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4A103A" w:rsidRPr="008B2CC1" w:rsidTr="002E25B2">
        <w:tc>
          <w:tcPr>
            <w:tcW w:w="4513" w:type="dxa"/>
            <w:tcBorders>
              <w:bottom w:val="single" w:sz="4" w:space="0" w:color="auto"/>
            </w:tcBorders>
            <w:tcMar>
              <w:bottom w:w="170" w:type="dxa"/>
            </w:tcMar>
          </w:tcPr>
          <w:p w:rsidR="004A103A" w:rsidRPr="008B2CC1" w:rsidRDefault="004A103A" w:rsidP="002E25B2"/>
        </w:tc>
        <w:tc>
          <w:tcPr>
            <w:tcW w:w="4337" w:type="dxa"/>
            <w:tcBorders>
              <w:bottom w:val="single" w:sz="4" w:space="0" w:color="auto"/>
            </w:tcBorders>
            <w:tcMar>
              <w:left w:w="0" w:type="dxa"/>
              <w:right w:w="0" w:type="dxa"/>
            </w:tcMar>
          </w:tcPr>
          <w:p w:rsidR="004A103A" w:rsidRPr="008B2CC1" w:rsidRDefault="004A103A" w:rsidP="002E25B2">
            <w:r>
              <w:rPr>
                <w:noProof/>
                <w:lang w:val="en-US" w:eastAsia="en-US"/>
              </w:rPr>
              <w:drawing>
                <wp:inline distT="0" distB="0" distL="0" distR="0" wp14:anchorId="2983F299" wp14:editId="45FEAD00">
                  <wp:extent cx="1857375" cy="1323975"/>
                  <wp:effectExtent l="0" t="0" r="9525" b="9525"/>
                  <wp:docPr id="58" name="Picture 58"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4A103A" w:rsidRPr="008B2CC1" w:rsidRDefault="004A103A" w:rsidP="002E25B2">
            <w:pPr>
              <w:jc w:val="right"/>
            </w:pPr>
            <w:r>
              <w:rPr>
                <w:b/>
                <w:sz w:val="40"/>
                <w:szCs w:val="40"/>
              </w:rPr>
              <w:t>S</w:t>
            </w:r>
          </w:p>
        </w:tc>
      </w:tr>
      <w:tr w:rsidR="004A103A" w:rsidRPr="001832A6" w:rsidTr="002E25B2">
        <w:trPr>
          <w:trHeight w:hRule="exact" w:val="340"/>
        </w:trPr>
        <w:tc>
          <w:tcPr>
            <w:tcW w:w="9356" w:type="dxa"/>
            <w:gridSpan w:val="3"/>
            <w:tcBorders>
              <w:top w:val="single" w:sz="4" w:space="0" w:color="auto"/>
            </w:tcBorders>
            <w:tcMar>
              <w:top w:w="170" w:type="dxa"/>
              <w:left w:w="0" w:type="dxa"/>
              <w:right w:w="0" w:type="dxa"/>
            </w:tcMar>
            <w:vAlign w:val="bottom"/>
          </w:tcPr>
          <w:p w:rsidR="004A103A" w:rsidRPr="0090731E" w:rsidRDefault="004A103A" w:rsidP="002E25B2">
            <w:pPr>
              <w:jc w:val="right"/>
              <w:rPr>
                <w:rFonts w:ascii="Arial Black" w:hAnsi="Arial Black"/>
                <w:caps/>
                <w:sz w:val="15"/>
              </w:rPr>
            </w:pPr>
            <w:r>
              <w:rPr>
                <w:rFonts w:ascii="Arial Black" w:hAnsi="Arial Black"/>
                <w:caps/>
                <w:sz w:val="15"/>
              </w:rPr>
              <w:t>A/56/5</w:t>
            </w:r>
          </w:p>
        </w:tc>
      </w:tr>
      <w:tr w:rsidR="004A103A" w:rsidRPr="001832A6" w:rsidTr="002E25B2">
        <w:trPr>
          <w:trHeight w:hRule="exact" w:val="170"/>
        </w:trPr>
        <w:tc>
          <w:tcPr>
            <w:tcW w:w="9356" w:type="dxa"/>
            <w:gridSpan w:val="3"/>
            <w:noWrap/>
            <w:tcMar>
              <w:left w:w="0" w:type="dxa"/>
              <w:right w:w="0" w:type="dxa"/>
            </w:tcMar>
            <w:vAlign w:val="bottom"/>
          </w:tcPr>
          <w:p w:rsidR="004A103A" w:rsidRPr="0090731E" w:rsidRDefault="004A103A" w:rsidP="002E25B2">
            <w:pPr>
              <w:jc w:val="right"/>
              <w:rPr>
                <w:rFonts w:ascii="Arial Black" w:hAnsi="Arial Black"/>
                <w:caps/>
                <w:sz w:val="15"/>
              </w:rPr>
            </w:pPr>
            <w:r w:rsidRPr="0090731E">
              <w:rPr>
                <w:rFonts w:ascii="Arial Black" w:hAnsi="Arial Black"/>
                <w:caps/>
                <w:sz w:val="15"/>
              </w:rPr>
              <w:t xml:space="preserve">ORIGINAL: </w:t>
            </w:r>
            <w:r>
              <w:rPr>
                <w:rFonts w:ascii="Arial Black" w:hAnsi="Arial Black"/>
                <w:caps/>
                <w:sz w:val="15"/>
              </w:rPr>
              <w:t>INGLÉS</w:t>
            </w:r>
          </w:p>
        </w:tc>
      </w:tr>
      <w:tr w:rsidR="004A103A" w:rsidRPr="001832A6" w:rsidTr="002E25B2">
        <w:trPr>
          <w:trHeight w:hRule="exact" w:val="198"/>
        </w:trPr>
        <w:tc>
          <w:tcPr>
            <w:tcW w:w="9356" w:type="dxa"/>
            <w:gridSpan w:val="3"/>
            <w:tcMar>
              <w:left w:w="0" w:type="dxa"/>
              <w:right w:w="0" w:type="dxa"/>
            </w:tcMar>
            <w:vAlign w:val="bottom"/>
          </w:tcPr>
          <w:p w:rsidR="004A103A" w:rsidRPr="0090731E" w:rsidRDefault="004A103A" w:rsidP="002E25B2">
            <w:pPr>
              <w:jc w:val="right"/>
              <w:rPr>
                <w:rFonts w:ascii="Arial Black" w:hAnsi="Arial Black"/>
                <w:caps/>
                <w:sz w:val="15"/>
              </w:rPr>
            </w:pPr>
            <w:r>
              <w:rPr>
                <w:rFonts w:ascii="Arial Black" w:hAnsi="Arial Black"/>
                <w:caps/>
                <w:sz w:val="15"/>
              </w:rPr>
              <w:t>fecha</w:t>
            </w:r>
            <w:r w:rsidRPr="0090731E">
              <w:rPr>
                <w:rFonts w:ascii="Arial Black" w:hAnsi="Arial Black"/>
                <w:caps/>
                <w:sz w:val="15"/>
              </w:rPr>
              <w:t xml:space="preserve">: </w:t>
            </w:r>
            <w:r>
              <w:rPr>
                <w:rFonts w:ascii="Arial Black" w:hAnsi="Arial Black"/>
                <w:caps/>
                <w:sz w:val="15"/>
              </w:rPr>
              <w:t xml:space="preserve"> 2 DE AGOSTO DE 2016</w:t>
            </w:r>
          </w:p>
        </w:tc>
      </w:tr>
    </w:tbl>
    <w:p w:rsidR="004A103A" w:rsidRPr="008B2CC1" w:rsidRDefault="004A103A" w:rsidP="004A103A"/>
    <w:p w:rsidR="004A103A" w:rsidRPr="008B2CC1" w:rsidRDefault="004A103A" w:rsidP="004A103A"/>
    <w:p w:rsidR="004A103A" w:rsidRPr="008B2CC1" w:rsidRDefault="004A103A" w:rsidP="004A103A"/>
    <w:p w:rsidR="004A103A" w:rsidRPr="008B2CC1" w:rsidRDefault="004A103A" w:rsidP="004A103A"/>
    <w:p w:rsidR="004A103A" w:rsidRPr="008B2CC1" w:rsidRDefault="004A103A" w:rsidP="004A103A"/>
    <w:p w:rsidR="004A103A" w:rsidRPr="00B67CDC" w:rsidRDefault="004A103A" w:rsidP="004A103A">
      <w:pPr>
        <w:rPr>
          <w:b/>
          <w:sz w:val="28"/>
          <w:szCs w:val="28"/>
        </w:rPr>
      </w:pPr>
      <w:r w:rsidRPr="00791713">
        <w:rPr>
          <w:rFonts w:eastAsia="Arial"/>
          <w:b/>
          <w:bCs/>
          <w:color w:val="0F0F0F"/>
          <w:sz w:val="27"/>
          <w:szCs w:val="27"/>
        </w:rPr>
        <w:t>Asambleas</w:t>
      </w:r>
      <w:r w:rsidRPr="00791713">
        <w:rPr>
          <w:rFonts w:eastAsia="Arial"/>
          <w:b/>
          <w:bCs/>
          <w:color w:val="0F0F0F"/>
          <w:spacing w:val="30"/>
          <w:sz w:val="27"/>
          <w:szCs w:val="27"/>
        </w:rPr>
        <w:t xml:space="preserve"> </w:t>
      </w:r>
      <w:r w:rsidRPr="00791713">
        <w:rPr>
          <w:rFonts w:eastAsia="Arial"/>
          <w:b/>
          <w:bCs/>
          <w:color w:val="0F0F0F"/>
          <w:sz w:val="27"/>
          <w:szCs w:val="27"/>
        </w:rPr>
        <w:t>de</w:t>
      </w:r>
      <w:r w:rsidRPr="00791713">
        <w:rPr>
          <w:rFonts w:eastAsia="Arial"/>
          <w:b/>
          <w:bCs/>
          <w:color w:val="0F0F0F"/>
          <w:spacing w:val="17"/>
          <w:sz w:val="27"/>
          <w:szCs w:val="27"/>
        </w:rPr>
        <w:t xml:space="preserve"> </w:t>
      </w:r>
      <w:r w:rsidRPr="00791713">
        <w:rPr>
          <w:rFonts w:eastAsia="Arial"/>
          <w:b/>
          <w:bCs/>
          <w:color w:val="0F0F0F"/>
          <w:sz w:val="27"/>
          <w:szCs w:val="27"/>
        </w:rPr>
        <w:t>los</w:t>
      </w:r>
      <w:r w:rsidRPr="00791713">
        <w:rPr>
          <w:rFonts w:eastAsia="Arial"/>
          <w:b/>
          <w:bCs/>
          <w:color w:val="0F0F0F"/>
          <w:spacing w:val="24"/>
          <w:sz w:val="27"/>
          <w:szCs w:val="27"/>
        </w:rPr>
        <w:t xml:space="preserve"> </w:t>
      </w:r>
      <w:r w:rsidRPr="00791713">
        <w:rPr>
          <w:rFonts w:eastAsia="Arial"/>
          <w:b/>
          <w:bCs/>
          <w:color w:val="0F0F0F"/>
          <w:sz w:val="27"/>
          <w:szCs w:val="27"/>
        </w:rPr>
        <w:t>Estados</w:t>
      </w:r>
      <w:r w:rsidRPr="00791713">
        <w:rPr>
          <w:rFonts w:eastAsia="Arial"/>
          <w:b/>
          <w:bCs/>
          <w:color w:val="0F0F0F"/>
          <w:spacing w:val="33"/>
          <w:sz w:val="27"/>
          <w:szCs w:val="27"/>
        </w:rPr>
        <w:t xml:space="preserve"> </w:t>
      </w:r>
      <w:r w:rsidRPr="00791713">
        <w:rPr>
          <w:rFonts w:eastAsia="Arial"/>
          <w:b/>
          <w:bCs/>
          <w:color w:val="0F0F0F"/>
          <w:sz w:val="27"/>
          <w:szCs w:val="27"/>
        </w:rPr>
        <w:t>miembros</w:t>
      </w:r>
      <w:r w:rsidRPr="00791713">
        <w:rPr>
          <w:rFonts w:eastAsia="Arial"/>
          <w:b/>
          <w:bCs/>
          <w:color w:val="0F0F0F"/>
          <w:spacing w:val="29"/>
          <w:sz w:val="27"/>
          <w:szCs w:val="27"/>
        </w:rPr>
        <w:t xml:space="preserve"> </w:t>
      </w:r>
      <w:r w:rsidRPr="00791713">
        <w:rPr>
          <w:rFonts w:eastAsia="Arial"/>
          <w:b/>
          <w:bCs/>
          <w:color w:val="0F0F0F"/>
          <w:sz w:val="27"/>
          <w:szCs w:val="27"/>
        </w:rPr>
        <w:t>de</w:t>
      </w:r>
      <w:r w:rsidRPr="00791713">
        <w:rPr>
          <w:rFonts w:eastAsia="Arial"/>
          <w:b/>
          <w:bCs/>
          <w:color w:val="0F0F0F"/>
          <w:spacing w:val="11"/>
          <w:sz w:val="27"/>
          <w:szCs w:val="27"/>
        </w:rPr>
        <w:t xml:space="preserve"> </w:t>
      </w:r>
      <w:proofErr w:type="spellStart"/>
      <w:r w:rsidRPr="00791713">
        <w:rPr>
          <w:rFonts w:eastAsia="Arial"/>
          <w:b/>
          <w:bCs/>
          <w:color w:val="0F0F0F"/>
          <w:sz w:val="27"/>
          <w:szCs w:val="27"/>
        </w:rPr>
        <w:t>Ia</w:t>
      </w:r>
      <w:proofErr w:type="spellEnd"/>
      <w:r w:rsidRPr="00791713">
        <w:rPr>
          <w:rFonts w:eastAsia="Arial"/>
          <w:b/>
          <w:bCs/>
          <w:color w:val="0F0F0F"/>
          <w:spacing w:val="8"/>
          <w:sz w:val="27"/>
          <w:szCs w:val="27"/>
        </w:rPr>
        <w:t xml:space="preserve"> </w:t>
      </w:r>
      <w:r w:rsidRPr="00791713">
        <w:rPr>
          <w:rFonts w:eastAsia="Arial"/>
          <w:b/>
          <w:bCs/>
          <w:color w:val="0F0F0F"/>
          <w:w w:val="104"/>
          <w:sz w:val="27"/>
          <w:szCs w:val="27"/>
        </w:rPr>
        <w:t>OMPI</w:t>
      </w:r>
    </w:p>
    <w:p w:rsidR="004A103A" w:rsidRDefault="004A103A" w:rsidP="004A103A"/>
    <w:p w:rsidR="004A103A" w:rsidRDefault="004A103A" w:rsidP="004A103A"/>
    <w:p w:rsidR="004A103A" w:rsidRPr="00B67CDC" w:rsidRDefault="004A103A" w:rsidP="004A103A">
      <w:pPr>
        <w:rPr>
          <w:b/>
          <w:sz w:val="24"/>
          <w:szCs w:val="24"/>
        </w:rPr>
      </w:pPr>
      <w:r w:rsidRPr="00791713">
        <w:rPr>
          <w:rFonts w:eastAsia="Arial"/>
          <w:b/>
          <w:bCs/>
          <w:color w:val="0F0F0F"/>
          <w:sz w:val="23"/>
          <w:szCs w:val="23"/>
        </w:rPr>
        <w:t>Quincuagésima</w:t>
      </w:r>
      <w:r w:rsidR="003F4A9C">
        <w:rPr>
          <w:rFonts w:eastAsia="Arial"/>
          <w:b/>
          <w:bCs/>
          <w:color w:val="0F0F0F"/>
          <w:spacing w:val="64"/>
          <w:sz w:val="23"/>
          <w:szCs w:val="23"/>
        </w:rPr>
        <w:t xml:space="preserve"> </w:t>
      </w:r>
      <w:r w:rsidRPr="00791713">
        <w:rPr>
          <w:rFonts w:eastAsia="Arial"/>
          <w:b/>
          <w:bCs/>
          <w:color w:val="0F0F0F"/>
          <w:sz w:val="23"/>
          <w:szCs w:val="23"/>
        </w:rPr>
        <w:t>sexta</w:t>
      </w:r>
      <w:r w:rsidRPr="00791713">
        <w:rPr>
          <w:rFonts w:eastAsia="Arial"/>
          <w:b/>
          <w:bCs/>
          <w:color w:val="0F0F0F"/>
          <w:spacing w:val="36"/>
          <w:sz w:val="23"/>
          <w:szCs w:val="23"/>
        </w:rPr>
        <w:t xml:space="preserve"> </w:t>
      </w:r>
      <w:r w:rsidRPr="00791713">
        <w:rPr>
          <w:rFonts w:eastAsia="Arial"/>
          <w:b/>
          <w:bCs/>
          <w:color w:val="0F0F0F"/>
          <w:sz w:val="23"/>
          <w:szCs w:val="23"/>
        </w:rPr>
        <w:t>serie</w:t>
      </w:r>
      <w:r w:rsidRPr="00791713">
        <w:rPr>
          <w:rFonts w:eastAsia="Arial"/>
          <w:b/>
          <w:bCs/>
          <w:color w:val="0F0F0F"/>
          <w:spacing w:val="24"/>
          <w:sz w:val="23"/>
          <w:szCs w:val="23"/>
        </w:rPr>
        <w:t xml:space="preserve"> </w:t>
      </w:r>
      <w:r w:rsidRPr="00791713">
        <w:rPr>
          <w:rFonts w:eastAsia="Arial"/>
          <w:b/>
          <w:bCs/>
          <w:color w:val="0F0F0F"/>
          <w:sz w:val="23"/>
          <w:szCs w:val="23"/>
        </w:rPr>
        <w:t>de</w:t>
      </w:r>
      <w:r w:rsidRPr="00791713">
        <w:rPr>
          <w:rFonts w:eastAsia="Arial"/>
          <w:b/>
          <w:bCs/>
          <w:color w:val="0F0F0F"/>
          <w:spacing w:val="22"/>
          <w:sz w:val="23"/>
          <w:szCs w:val="23"/>
        </w:rPr>
        <w:t xml:space="preserve"> </w:t>
      </w:r>
      <w:r w:rsidRPr="00791713">
        <w:rPr>
          <w:rFonts w:eastAsia="Arial"/>
          <w:b/>
          <w:bCs/>
          <w:color w:val="0F0F0F"/>
          <w:w w:val="103"/>
          <w:sz w:val="23"/>
          <w:szCs w:val="23"/>
        </w:rPr>
        <w:t>reuniones</w:t>
      </w:r>
    </w:p>
    <w:p w:rsidR="004A103A" w:rsidRPr="00B67CDC" w:rsidRDefault="004A103A" w:rsidP="004A103A">
      <w:pPr>
        <w:rPr>
          <w:b/>
          <w:sz w:val="24"/>
          <w:szCs w:val="24"/>
        </w:rPr>
      </w:pPr>
      <w:r w:rsidRPr="00791713">
        <w:rPr>
          <w:rFonts w:eastAsia="Arial"/>
          <w:b/>
          <w:bCs/>
          <w:color w:val="0F0F0F"/>
          <w:sz w:val="23"/>
          <w:szCs w:val="23"/>
        </w:rPr>
        <w:t>Ginebra,</w:t>
      </w:r>
      <w:r w:rsidRPr="00791713">
        <w:rPr>
          <w:rFonts w:eastAsia="Arial"/>
          <w:b/>
          <w:bCs/>
          <w:color w:val="0F0F0F"/>
          <w:spacing w:val="26"/>
          <w:sz w:val="23"/>
          <w:szCs w:val="23"/>
        </w:rPr>
        <w:t xml:space="preserve"> </w:t>
      </w:r>
      <w:r w:rsidRPr="00791713">
        <w:rPr>
          <w:rFonts w:eastAsia="Arial"/>
          <w:b/>
          <w:bCs/>
          <w:color w:val="0F0F0F"/>
          <w:sz w:val="23"/>
          <w:szCs w:val="23"/>
        </w:rPr>
        <w:t>3</w:t>
      </w:r>
      <w:r w:rsidRPr="00791713">
        <w:rPr>
          <w:rFonts w:eastAsia="Arial"/>
          <w:b/>
          <w:bCs/>
          <w:color w:val="0F0F0F"/>
          <w:spacing w:val="10"/>
          <w:sz w:val="23"/>
          <w:szCs w:val="23"/>
        </w:rPr>
        <w:t xml:space="preserve"> </w:t>
      </w:r>
      <w:r w:rsidRPr="00791713">
        <w:rPr>
          <w:rFonts w:eastAsia="Arial"/>
          <w:b/>
          <w:bCs/>
          <w:color w:val="0F0F0F"/>
          <w:sz w:val="23"/>
          <w:szCs w:val="23"/>
        </w:rPr>
        <w:t>a</w:t>
      </w:r>
      <w:r w:rsidRPr="00791713">
        <w:rPr>
          <w:rFonts w:eastAsia="Arial"/>
          <w:b/>
          <w:bCs/>
          <w:color w:val="0F0F0F"/>
          <w:spacing w:val="7"/>
          <w:sz w:val="23"/>
          <w:szCs w:val="23"/>
        </w:rPr>
        <w:t xml:space="preserve"> </w:t>
      </w:r>
      <w:r w:rsidRPr="00791713">
        <w:rPr>
          <w:rFonts w:eastAsia="Arial"/>
          <w:b/>
          <w:bCs/>
          <w:color w:val="0F0F0F"/>
          <w:sz w:val="23"/>
          <w:szCs w:val="23"/>
        </w:rPr>
        <w:t>11</w:t>
      </w:r>
      <w:r w:rsidRPr="00791713">
        <w:rPr>
          <w:rFonts w:eastAsia="Arial"/>
          <w:b/>
          <w:bCs/>
          <w:color w:val="0F0F0F"/>
          <w:spacing w:val="11"/>
          <w:sz w:val="23"/>
          <w:szCs w:val="23"/>
        </w:rPr>
        <w:t xml:space="preserve"> </w:t>
      </w:r>
      <w:r w:rsidRPr="00791713">
        <w:rPr>
          <w:rFonts w:eastAsia="Arial"/>
          <w:b/>
          <w:bCs/>
          <w:color w:val="0F0F0F"/>
          <w:sz w:val="23"/>
          <w:szCs w:val="23"/>
        </w:rPr>
        <w:t>de</w:t>
      </w:r>
      <w:r w:rsidRPr="00791713">
        <w:rPr>
          <w:rFonts w:eastAsia="Arial"/>
          <w:b/>
          <w:bCs/>
          <w:color w:val="0F0F0F"/>
          <w:spacing w:val="13"/>
          <w:sz w:val="23"/>
          <w:szCs w:val="23"/>
        </w:rPr>
        <w:t xml:space="preserve"> </w:t>
      </w:r>
      <w:r w:rsidRPr="00791713">
        <w:rPr>
          <w:rFonts w:eastAsia="Arial"/>
          <w:b/>
          <w:bCs/>
          <w:color w:val="0F0F0F"/>
          <w:sz w:val="23"/>
          <w:szCs w:val="23"/>
        </w:rPr>
        <w:t>octubre</w:t>
      </w:r>
      <w:r w:rsidRPr="00791713">
        <w:rPr>
          <w:rFonts w:eastAsia="Arial"/>
          <w:b/>
          <w:bCs/>
          <w:color w:val="0F0F0F"/>
          <w:spacing w:val="45"/>
          <w:sz w:val="23"/>
          <w:szCs w:val="23"/>
        </w:rPr>
        <w:t xml:space="preserve"> </w:t>
      </w:r>
      <w:r w:rsidRPr="00791713">
        <w:rPr>
          <w:rFonts w:eastAsia="Arial"/>
          <w:b/>
          <w:bCs/>
          <w:color w:val="0F0F0F"/>
          <w:sz w:val="23"/>
          <w:szCs w:val="23"/>
        </w:rPr>
        <w:t>de</w:t>
      </w:r>
      <w:r w:rsidRPr="00791713">
        <w:rPr>
          <w:rFonts w:eastAsia="Arial"/>
          <w:b/>
          <w:bCs/>
          <w:color w:val="0F0F0F"/>
          <w:spacing w:val="16"/>
          <w:sz w:val="23"/>
          <w:szCs w:val="23"/>
        </w:rPr>
        <w:t xml:space="preserve"> </w:t>
      </w:r>
      <w:r w:rsidRPr="00791713">
        <w:rPr>
          <w:rFonts w:eastAsia="Arial"/>
          <w:b/>
          <w:bCs/>
          <w:color w:val="0F0F0F"/>
          <w:w w:val="103"/>
          <w:sz w:val="23"/>
          <w:szCs w:val="23"/>
        </w:rPr>
        <w:t>2016</w:t>
      </w:r>
    </w:p>
    <w:p w:rsidR="004A103A" w:rsidRPr="008B2CC1" w:rsidRDefault="004A103A" w:rsidP="004A103A"/>
    <w:p w:rsidR="004A103A" w:rsidRPr="008B2CC1" w:rsidRDefault="004A103A" w:rsidP="004A103A"/>
    <w:p w:rsidR="004A103A" w:rsidRPr="008B2CC1" w:rsidRDefault="004A103A" w:rsidP="004A103A"/>
    <w:p w:rsidR="004A103A" w:rsidRDefault="004A103A" w:rsidP="004A103A">
      <w:pPr>
        <w:rPr>
          <w:caps/>
          <w:sz w:val="24"/>
        </w:rPr>
      </w:pPr>
      <w:r>
        <w:rPr>
          <w:caps/>
          <w:sz w:val="24"/>
        </w:rPr>
        <w:t xml:space="preserve">INFORME </w:t>
      </w:r>
      <w:r w:rsidR="00D2539A">
        <w:rPr>
          <w:caps/>
          <w:sz w:val="24"/>
        </w:rPr>
        <w:t>SOBRE EL RENDIMIENTO DE LOS PROGRAMAS EN</w:t>
      </w:r>
      <w:r>
        <w:rPr>
          <w:caps/>
          <w:sz w:val="24"/>
        </w:rPr>
        <w:t xml:space="preserve"> 2014/15 </w:t>
      </w:r>
    </w:p>
    <w:p w:rsidR="004A103A" w:rsidRDefault="004A103A" w:rsidP="004A103A"/>
    <w:p w:rsidR="004A103A" w:rsidRDefault="00D2539A" w:rsidP="004A103A">
      <w:pPr>
        <w:rPr>
          <w:i/>
        </w:rPr>
      </w:pPr>
      <w:proofErr w:type="gramStart"/>
      <w:r>
        <w:rPr>
          <w:i/>
        </w:rPr>
        <w:t>presentado</w:t>
      </w:r>
      <w:proofErr w:type="gramEnd"/>
      <w:r>
        <w:rPr>
          <w:i/>
        </w:rPr>
        <w:t xml:space="preserve"> por el Director General </w:t>
      </w:r>
    </w:p>
    <w:p w:rsidR="004A103A" w:rsidRDefault="004A103A" w:rsidP="004A103A"/>
    <w:p w:rsidR="004A103A" w:rsidRDefault="004A103A" w:rsidP="004A103A"/>
    <w:p w:rsidR="004A103A" w:rsidRDefault="004A103A" w:rsidP="004A103A"/>
    <w:p w:rsidR="004A103A" w:rsidRDefault="004A103A" w:rsidP="004A103A"/>
    <w:p w:rsidR="004A103A" w:rsidRDefault="004A103A" w:rsidP="004A103A"/>
    <w:p w:rsidR="004A103A" w:rsidRDefault="004A103A" w:rsidP="004A103A">
      <w:r>
        <w:t>1.</w:t>
      </w:r>
      <w:r>
        <w:tab/>
        <w:t xml:space="preserve">En el presente documento consta el Informe </w:t>
      </w:r>
      <w:r w:rsidR="00D2539A">
        <w:t xml:space="preserve">sobre el </w:t>
      </w:r>
      <w:r w:rsidR="007F55CE">
        <w:t>rendimiento de los programas en </w:t>
      </w:r>
      <w:r>
        <w:t>2014/15 (documento WO/PBC/25/</w:t>
      </w:r>
      <w:r w:rsidR="007F55CE">
        <w:t>7</w:t>
      </w:r>
      <w:r w:rsidR="00D2539A">
        <w:t>)</w:t>
      </w:r>
      <w:r>
        <w:t>, que se presentó al Comité del Programa y Presupuesto (PBC) de la OMPI en su vigesimoquinta sesión (29 de agosto a 2 de septiembre de 2016).</w:t>
      </w:r>
    </w:p>
    <w:p w:rsidR="004A103A" w:rsidRDefault="004A103A" w:rsidP="004A103A"/>
    <w:p w:rsidR="004A103A" w:rsidRDefault="004A103A" w:rsidP="004A103A">
      <w:r>
        <w:t>2.</w:t>
      </w:r>
      <w:r>
        <w:tab/>
        <w:t>Las decisiones del PBC con respecto a este documento figuran en la Reseña de las decisiones adoptadas por el Comité del Programa y Presupuesto (documento A/56/12).</w:t>
      </w:r>
    </w:p>
    <w:p w:rsidR="004A103A" w:rsidRDefault="004A103A" w:rsidP="004A103A"/>
    <w:p w:rsidR="004A103A" w:rsidRDefault="004A103A" w:rsidP="004A103A"/>
    <w:p w:rsidR="004A103A" w:rsidRDefault="00D2539A" w:rsidP="004A103A">
      <w:pPr>
        <w:ind w:left="5670"/>
      </w:pPr>
      <w:r>
        <w:t>[Sigue el documento WO/PBC/25/</w:t>
      </w:r>
      <w:r w:rsidR="007F55CE">
        <w:t>7</w:t>
      </w:r>
      <w:r w:rsidR="004A103A">
        <w:t>]</w:t>
      </w:r>
    </w:p>
    <w:p w:rsidR="004A103A" w:rsidRDefault="004A103A" w:rsidP="00AB613D"/>
    <w:p w:rsidR="004A103A" w:rsidRDefault="004A103A" w:rsidP="00AB613D">
      <w:pPr>
        <w:sectPr w:rsidR="004A103A" w:rsidSect="00020713">
          <w:headerReference w:type="even" r:id="rId10"/>
          <w:headerReference w:type="default" r:id="rId11"/>
          <w:footerReference w:type="default" r:id="rId12"/>
          <w:pgSz w:w="11907" w:h="16840" w:code="9"/>
          <w:pgMar w:top="425" w:right="1134" w:bottom="1418" w:left="1418" w:header="510" w:footer="1021" w:gutter="0"/>
          <w:cols w:space="720"/>
          <w:titlePg/>
          <w:docGrid w:linePitch="299"/>
        </w:sectPr>
      </w:pPr>
    </w:p>
    <w:tbl>
      <w:tblPr>
        <w:tblW w:w="9356" w:type="dxa"/>
        <w:tblInd w:w="108" w:type="dxa"/>
        <w:tblLayout w:type="fixed"/>
        <w:tblLook w:val="01E0" w:firstRow="1" w:lastRow="1" w:firstColumn="1" w:lastColumn="1" w:noHBand="0" w:noVBand="0"/>
      </w:tblPr>
      <w:tblGrid>
        <w:gridCol w:w="4513"/>
        <w:gridCol w:w="4337"/>
        <w:gridCol w:w="506"/>
      </w:tblGrid>
      <w:tr w:rsidR="00E504E5" w:rsidRPr="008B2CC1" w:rsidTr="0088395E">
        <w:tc>
          <w:tcPr>
            <w:tcW w:w="4513" w:type="dxa"/>
            <w:tcBorders>
              <w:bottom w:val="single" w:sz="4" w:space="0" w:color="auto"/>
            </w:tcBorders>
            <w:tcMar>
              <w:bottom w:w="170" w:type="dxa"/>
            </w:tcMar>
          </w:tcPr>
          <w:p w:rsidR="00E504E5" w:rsidRPr="008B2CC1" w:rsidRDefault="00E504E5" w:rsidP="00AB613D"/>
        </w:tc>
        <w:tc>
          <w:tcPr>
            <w:tcW w:w="4337" w:type="dxa"/>
            <w:tcBorders>
              <w:bottom w:val="single" w:sz="4" w:space="0" w:color="auto"/>
            </w:tcBorders>
            <w:tcMar>
              <w:left w:w="0" w:type="dxa"/>
              <w:right w:w="0" w:type="dxa"/>
            </w:tcMar>
          </w:tcPr>
          <w:p w:rsidR="00E504E5" w:rsidRPr="008B2CC1" w:rsidRDefault="004E5843" w:rsidP="00AB613D">
            <w:r>
              <w:rPr>
                <w:noProof/>
                <w:lang w:val="en-US" w:eastAsia="en-US"/>
              </w:rPr>
              <w:drawing>
                <wp:inline distT="0" distB="0" distL="0" distR="0" wp14:anchorId="5E3130A0" wp14:editId="20235161">
                  <wp:extent cx="1856105" cy="1323975"/>
                  <wp:effectExtent l="0" t="0" r="0"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610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8B2CC1" w:rsidRDefault="00E504E5" w:rsidP="00AB613D">
            <w:pPr>
              <w:jc w:val="right"/>
            </w:pPr>
            <w:r>
              <w:rPr>
                <w:b/>
                <w:sz w:val="40"/>
                <w:szCs w:val="40"/>
              </w:rPr>
              <w:t>S</w:t>
            </w:r>
          </w:p>
        </w:tc>
      </w:tr>
      <w:tr w:rsidR="008B2CC1" w:rsidRPr="001832A6" w:rsidTr="00AB613D">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4E5843" w:rsidP="004E5843">
            <w:pPr>
              <w:jc w:val="right"/>
              <w:rPr>
                <w:rFonts w:ascii="Arial Black" w:hAnsi="Arial Black"/>
                <w:caps/>
                <w:sz w:val="15"/>
              </w:rPr>
            </w:pPr>
            <w:r>
              <w:rPr>
                <w:rFonts w:ascii="Arial Black" w:hAnsi="Arial Black"/>
                <w:caps/>
                <w:sz w:val="15"/>
              </w:rPr>
              <w:t>WO/PBC/25/</w:t>
            </w:r>
            <w:bookmarkStart w:id="1" w:name="Code"/>
            <w:bookmarkEnd w:id="1"/>
            <w:r w:rsidR="00F919B0">
              <w:rPr>
                <w:rFonts w:ascii="Arial Black" w:hAnsi="Arial Black"/>
                <w:caps/>
                <w:sz w:val="15"/>
              </w:rPr>
              <w:t>7</w:t>
            </w:r>
          </w:p>
        </w:tc>
      </w:tr>
      <w:tr w:rsidR="008B2CC1" w:rsidRPr="001832A6" w:rsidTr="00AB613D">
        <w:trPr>
          <w:trHeight w:hRule="exact" w:val="170"/>
        </w:trPr>
        <w:tc>
          <w:tcPr>
            <w:tcW w:w="9356" w:type="dxa"/>
            <w:gridSpan w:val="3"/>
            <w:noWrap/>
            <w:tcMar>
              <w:left w:w="0" w:type="dxa"/>
              <w:right w:w="0" w:type="dxa"/>
            </w:tcMar>
            <w:vAlign w:val="bottom"/>
          </w:tcPr>
          <w:p w:rsidR="008B2CC1" w:rsidRPr="0090731E" w:rsidRDefault="008B2CC1" w:rsidP="0046793F">
            <w:pPr>
              <w:jc w:val="right"/>
              <w:rPr>
                <w:rFonts w:ascii="Arial Black" w:hAnsi="Arial Black"/>
                <w:caps/>
                <w:sz w:val="15"/>
              </w:rPr>
            </w:pPr>
            <w:r w:rsidRPr="0090731E">
              <w:rPr>
                <w:rFonts w:ascii="Arial Black" w:hAnsi="Arial Black"/>
                <w:caps/>
                <w:sz w:val="15"/>
              </w:rPr>
              <w:t xml:space="preserve">ORIGINAL: </w:t>
            </w:r>
            <w:bookmarkStart w:id="2" w:name="Original"/>
            <w:bookmarkEnd w:id="2"/>
            <w:r w:rsidR="00976A34">
              <w:rPr>
                <w:rFonts w:ascii="Arial Black" w:hAnsi="Arial Black"/>
                <w:caps/>
                <w:sz w:val="15"/>
              </w:rPr>
              <w:t xml:space="preserve"> </w:t>
            </w:r>
            <w:r w:rsidR="00F919B0">
              <w:rPr>
                <w:rFonts w:ascii="Arial Black" w:hAnsi="Arial Black"/>
                <w:caps/>
                <w:sz w:val="15"/>
              </w:rPr>
              <w:t>INGLÉS</w:t>
            </w:r>
          </w:p>
        </w:tc>
      </w:tr>
      <w:tr w:rsidR="008B2CC1" w:rsidRPr="001832A6" w:rsidTr="00AB613D">
        <w:trPr>
          <w:trHeight w:hRule="exact" w:val="198"/>
        </w:trPr>
        <w:tc>
          <w:tcPr>
            <w:tcW w:w="9356" w:type="dxa"/>
            <w:gridSpan w:val="3"/>
            <w:tcMar>
              <w:left w:w="0" w:type="dxa"/>
              <w:right w:w="0" w:type="dxa"/>
            </w:tcMar>
            <w:vAlign w:val="bottom"/>
          </w:tcPr>
          <w:p w:rsidR="008B2CC1" w:rsidRPr="0090731E" w:rsidRDefault="00675021" w:rsidP="002E3193">
            <w:pPr>
              <w:jc w:val="right"/>
              <w:rPr>
                <w:rFonts w:ascii="Arial Black" w:hAnsi="Arial Black"/>
                <w:caps/>
                <w:sz w:val="15"/>
              </w:rPr>
            </w:pPr>
            <w:r>
              <w:rPr>
                <w:rFonts w:ascii="Arial Black" w:hAnsi="Arial Black"/>
                <w:caps/>
                <w:sz w:val="15"/>
              </w:rPr>
              <w:t>fecha</w:t>
            </w:r>
            <w:r w:rsidR="008B2CC1" w:rsidRPr="0090731E">
              <w:rPr>
                <w:rFonts w:ascii="Arial Black" w:hAnsi="Arial Black"/>
                <w:caps/>
                <w:sz w:val="15"/>
              </w:rPr>
              <w:t xml:space="preserve">: </w:t>
            </w:r>
            <w:bookmarkStart w:id="3" w:name="Date"/>
            <w:bookmarkEnd w:id="3"/>
            <w:r w:rsidR="00976A34">
              <w:rPr>
                <w:rFonts w:ascii="Arial Black" w:hAnsi="Arial Black"/>
                <w:caps/>
                <w:sz w:val="15"/>
              </w:rPr>
              <w:t xml:space="preserve"> </w:t>
            </w:r>
            <w:r w:rsidR="002E3193">
              <w:rPr>
                <w:rFonts w:ascii="Arial Black" w:hAnsi="Arial Black"/>
                <w:caps/>
                <w:sz w:val="15"/>
              </w:rPr>
              <w:t>27</w:t>
            </w:r>
            <w:r w:rsidR="00F919B0">
              <w:rPr>
                <w:rFonts w:ascii="Arial Black" w:hAnsi="Arial Black"/>
                <w:caps/>
                <w:sz w:val="15"/>
              </w:rPr>
              <w:t xml:space="preserve"> DE JU</w:t>
            </w:r>
            <w:r w:rsidR="002E3193">
              <w:rPr>
                <w:rFonts w:ascii="Arial Black" w:hAnsi="Arial Black"/>
                <w:caps/>
                <w:sz w:val="15"/>
              </w:rPr>
              <w:t>n</w:t>
            </w:r>
            <w:r w:rsidR="00F919B0">
              <w:rPr>
                <w:rFonts w:ascii="Arial Black" w:hAnsi="Arial Black"/>
                <w:caps/>
                <w:sz w:val="15"/>
              </w:rPr>
              <w:t>IO DE 2016</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B67CDC" w:rsidRPr="00B67CDC" w:rsidRDefault="004E5843" w:rsidP="00B67CDC">
      <w:pPr>
        <w:rPr>
          <w:b/>
          <w:sz w:val="28"/>
          <w:szCs w:val="28"/>
        </w:rPr>
      </w:pPr>
      <w:r>
        <w:rPr>
          <w:b/>
          <w:sz w:val="28"/>
          <w:szCs w:val="28"/>
        </w:rPr>
        <w:t>Comité del Programa y Presupuesto</w:t>
      </w:r>
    </w:p>
    <w:p w:rsidR="003845C1" w:rsidRDefault="003845C1" w:rsidP="003845C1"/>
    <w:p w:rsidR="003845C1" w:rsidRDefault="003845C1" w:rsidP="003845C1"/>
    <w:p w:rsidR="00B67CDC" w:rsidRPr="00B67CDC" w:rsidRDefault="004E5843" w:rsidP="00B67CDC">
      <w:pPr>
        <w:rPr>
          <w:b/>
          <w:sz w:val="24"/>
          <w:szCs w:val="24"/>
        </w:rPr>
      </w:pPr>
      <w:r>
        <w:rPr>
          <w:b/>
          <w:sz w:val="24"/>
          <w:szCs w:val="24"/>
        </w:rPr>
        <w:t>Vigesimoquinta s</w:t>
      </w:r>
      <w:r w:rsidR="00B67CDC" w:rsidRPr="00B67CDC">
        <w:rPr>
          <w:b/>
          <w:sz w:val="24"/>
          <w:szCs w:val="24"/>
        </w:rPr>
        <w:t>esión</w:t>
      </w:r>
    </w:p>
    <w:p w:rsidR="00B67CDC" w:rsidRPr="00B67CDC" w:rsidRDefault="004E5843" w:rsidP="00B67CDC">
      <w:pPr>
        <w:rPr>
          <w:b/>
          <w:sz w:val="24"/>
          <w:szCs w:val="24"/>
        </w:rPr>
      </w:pPr>
      <w:r>
        <w:rPr>
          <w:b/>
          <w:sz w:val="24"/>
          <w:szCs w:val="24"/>
        </w:rPr>
        <w:t>Ginebra, 29 de agosto a 2 de septiembre de 2016</w:t>
      </w:r>
    </w:p>
    <w:p w:rsidR="008B2CC1" w:rsidRPr="008B2CC1" w:rsidRDefault="008B2CC1" w:rsidP="008B2CC1"/>
    <w:p w:rsidR="008B2CC1" w:rsidRPr="008B2CC1" w:rsidRDefault="008B2CC1" w:rsidP="008B2CC1"/>
    <w:p w:rsidR="008B2CC1" w:rsidRPr="008B2CC1" w:rsidRDefault="008B2CC1" w:rsidP="008B2CC1"/>
    <w:p w:rsidR="00966335" w:rsidRPr="001A0CD7" w:rsidRDefault="001A0CD7" w:rsidP="00966335">
      <w:pPr>
        <w:rPr>
          <w:caps/>
          <w:sz w:val="24"/>
        </w:rPr>
      </w:pPr>
      <w:bookmarkStart w:id="4" w:name="TitleOfDoc"/>
      <w:bookmarkEnd w:id="4"/>
      <w:r w:rsidRPr="001A0CD7">
        <w:rPr>
          <w:caps/>
          <w:sz w:val="24"/>
        </w:rPr>
        <w:t xml:space="preserve">Informe sobre el rendimiento de los programas en </w:t>
      </w:r>
      <w:r w:rsidR="00966335" w:rsidRPr="001A0CD7">
        <w:rPr>
          <w:caps/>
          <w:sz w:val="24"/>
        </w:rPr>
        <w:t>2014/15</w:t>
      </w:r>
    </w:p>
    <w:p w:rsidR="00966335" w:rsidRPr="001A0CD7" w:rsidRDefault="00966335" w:rsidP="00966335"/>
    <w:p w:rsidR="00966335" w:rsidRPr="002937CB" w:rsidRDefault="00966335" w:rsidP="00966335">
      <w:pPr>
        <w:rPr>
          <w:i/>
        </w:rPr>
      </w:pPr>
      <w:bookmarkStart w:id="5" w:name="Prepared"/>
      <w:bookmarkEnd w:id="5"/>
      <w:r w:rsidRPr="002937CB">
        <w:rPr>
          <w:i/>
        </w:rPr>
        <w:t>present</w:t>
      </w:r>
      <w:r w:rsidR="001A0CD7" w:rsidRPr="002937CB">
        <w:rPr>
          <w:i/>
        </w:rPr>
        <w:t>a</w:t>
      </w:r>
      <w:r w:rsidRPr="002937CB">
        <w:rPr>
          <w:i/>
        </w:rPr>
        <w:t>d</w:t>
      </w:r>
      <w:r w:rsidR="001A0CD7" w:rsidRPr="002937CB">
        <w:rPr>
          <w:i/>
        </w:rPr>
        <w:t>o por el</w:t>
      </w:r>
      <w:r w:rsidRPr="002937CB">
        <w:rPr>
          <w:i/>
        </w:rPr>
        <w:t xml:space="preserve"> Director General</w:t>
      </w:r>
    </w:p>
    <w:p w:rsidR="00966335" w:rsidRPr="002937CB" w:rsidRDefault="00966335" w:rsidP="00966335"/>
    <w:p w:rsidR="00966335" w:rsidRPr="002937CB" w:rsidRDefault="00966335" w:rsidP="00966335"/>
    <w:p w:rsidR="00966335" w:rsidRPr="002937CB" w:rsidRDefault="00966335" w:rsidP="00966335"/>
    <w:p w:rsidR="00966335" w:rsidRPr="002937CB" w:rsidRDefault="00966335" w:rsidP="00966335"/>
    <w:p w:rsidR="00966335" w:rsidRPr="002937CB" w:rsidRDefault="00966335" w:rsidP="00966335"/>
    <w:p w:rsidR="00966335" w:rsidRPr="001A0CD7" w:rsidRDefault="001A0CD7" w:rsidP="00966335">
      <w:pPr>
        <w:rPr>
          <w:szCs w:val="22"/>
        </w:rPr>
      </w:pPr>
      <w:r w:rsidRPr="001A0CD7">
        <w:rPr>
          <w:szCs w:val="22"/>
        </w:rPr>
        <w:t>1.</w:t>
      </w:r>
      <w:r w:rsidRPr="001A0CD7">
        <w:rPr>
          <w:szCs w:val="22"/>
        </w:rPr>
        <w:tab/>
        <w:t>El Informe sobre el rendimiento de los programas (en lo sucesivo “el document</w:t>
      </w:r>
      <w:r>
        <w:rPr>
          <w:szCs w:val="22"/>
        </w:rPr>
        <w:t>o</w:t>
      </w:r>
      <w:r w:rsidRPr="001A0CD7">
        <w:rPr>
          <w:szCs w:val="22"/>
        </w:rPr>
        <w:t xml:space="preserve"> PPR” por sus siglas en ingl</w:t>
      </w:r>
      <w:r>
        <w:rPr>
          <w:szCs w:val="22"/>
        </w:rPr>
        <w:t>és) en 2014/15 ha sido preparado de conformidad con el marco de gestión por resultados de la OMPI</w:t>
      </w:r>
      <w:r w:rsidR="00966335" w:rsidRPr="001A0CD7">
        <w:rPr>
          <w:szCs w:val="22"/>
        </w:rPr>
        <w:t xml:space="preserve">.  </w:t>
      </w:r>
      <w:r w:rsidRPr="001A0CD7">
        <w:rPr>
          <w:szCs w:val="22"/>
        </w:rPr>
        <w:t xml:space="preserve">El presente informe se basa en los criterios de rendimiento establecidos en el presupuesto por programas de </w:t>
      </w:r>
      <w:r w:rsidR="00966335" w:rsidRPr="001A0CD7">
        <w:rPr>
          <w:szCs w:val="22"/>
        </w:rPr>
        <w:t xml:space="preserve">2014/15, </w:t>
      </w:r>
      <w:r w:rsidRPr="001A0CD7">
        <w:rPr>
          <w:szCs w:val="22"/>
        </w:rPr>
        <w:t>tal como fue aprobado por los Estados miembros</w:t>
      </w:r>
      <w:r>
        <w:rPr>
          <w:szCs w:val="22"/>
        </w:rPr>
        <w:t xml:space="preserve"> de la OMPI</w:t>
      </w:r>
      <w:r w:rsidRPr="001A0CD7">
        <w:rPr>
          <w:szCs w:val="22"/>
        </w:rPr>
        <w:t xml:space="preserve"> en diciembre de </w:t>
      </w:r>
      <w:r w:rsidR="00966335" w:rsidRPr="001A0CD7">
        <w:rPr>
          <w:szCs w:val="22"/>
        </w:rPr>
        <w:t>2013 (publica</w:t>
      </w:r>
      <w:r>
        <w:rPr>
          <w:szCs w:val="22"/>
        </w:rPr>
        <w:t>c</w:t>
      </w:r>
      <w:r w:rsidR="00966335" w:rsidRPr="001A0CD7">
        <w:rPr>
          <w:szCs w:val="22"/>
        </w:rPr>
        <w:t>i</w:t>
      </w:r>
      <w:r>
        <w:rPr>
          <w:szCs w:val="22"/>
        </w:rPr>
        <w:t>ó</w:t>
      </w:r>
      <w:r w:rsidR="00966335" w:rsidRPr="001A0CD7">
        <w:rPr>
          <w:szCs w:val="22"/>
        </w:rPr>
        <w:t>n N</w:t>
      </w:r>
      <w:proofErr w:type="gramStart"/>
      <w:r w:rsidR="00966335" w:rsidRPr="001A0CD7">
        <w:rPr>
          <w:szCs w:val="22"/>
        </w:rPr>
        <w:t>.</w:t>
      </w:r>
      <w:r>
        <w:rPr>
          <w:szCs w:val="22"/>
        </w:rPr>
        <w:t>º</w:t>
      </w:r>
      <w:proofErr w:type="gramEnd"/>
      <w:r w:rsidR="00966335" w:rsidRPr="001A0CD7">
        <w:rPr>
          <w:szCs w:val="22"/>
        </w:rPr>
        <w:t> 360</w:t>
      </w:r>
      <w:r>
        <w:rPr>
          <w:szCs w:val="22"/>
        </w:rPr>
        <w:t>S</w:t>
      </w:r>
      <w:r w:rsidR="002F758B">
        <w:rPr>
          <w:szCs w:val="22"/>
        </w:rPr>
        <w:t>/PB14/15).</w:t>
      </w:r>
    </w:p>
    <w:p w:rsidR="00966335" w:rsidRPr="001A0CD7" w:rsidRDefault="00966335" w:rsidP="00966335">
      <w:pPr>
        <w:rPr>
          <w:szCs w:val="22"/>
        </w:rPr>
      </w:pPr>
    </w:p>
    <w:p w:rsidR="00966335" w:rsidRPr="001A0CD7" w:rsidRDefault="00966335" w:rsidP="00966335">
      <w:pPr>
        <w:rPr>
          <w:szCs w:val="22"/>
        </w:rPr>
      </w:pPr>
      <w:r w:rsidRPr="001A0CD7">
        <w:rPr>
          <w:szCs w:val="22"/>
        </w:rPr>
        <w:t>2.</w:t>
      </w:r>
      <w:r w:rsidRPr="001A0CD7">
        <w:rPr>
          <w:szCs w:val="22"/>
        </w:rPr>
        <w:tab/>
      </w:r>
      <w:r w:rsidR="001A0CD7" w:rsidRPr="001A0CD7">
        <w:rPr>
          <w:szCs w:val="22"/>
        </w:rPr>
        <w:t xml:space="preserve">Se propone el párrafo de </w:t>
      </w:r>
      <w:r w:rsidR="00BE5B8C" w:rsidRPr="001A0CD7">
        <w:rPr>
          <w:szCs w:val="22"/>
        </w:rPr>
        <w:t>decisión</w:t>
      </w:r>
      <w:r w:rsidR="001A0CD7" w:rsidRPr="001A0CD7">
        <w:rPr>
          <w:szCs w:val="22"/>
        </w:rPr>
        <w:t xml:space="preserve"> siguiente</w:t>
      </w:r>
      <w:r w:rsidRPr="001A0CD7">
        <w:rPr>
          <w:szCs w:val="22"/>
        </w:rPr>
        <w:t>.</w:t>
      </w:r>
    </w:p>
    <w:p w:rsidR="00966335" w:rsidRPr="001A0CD7" w:rsidRDefault="00966335" w:rsidP="00966335">
      <w:pPr>
        <w:rPr>
          <w:color w:val="000000"/>
          <w:szCs w:val="22"/>
        </w:rPr>
      </w:pPr>
    </w:p>
    <w:p w:rsidR="00966335" w:rsidRPr="001A0CD7" w:rsidRDefault="00966335" w:rsidP="001A0CD7">
      <w:pPr>
        <w:pStyle w:val="DecisionInvitingPara"/>
        <w:tabs>
          <w:tab w:val="left" w:pos="6096"/>
        </w:tabs>
        <w:rPr>
          <w:rFonts w:cs="Arial"/>
          <w:sz w:val="22"/>
          <w:szCs w:val="22"/>
          <w:lang w:val="es-ES"/>
        </w:rPr>
      </w:pPr>
      <w:r w:rsidRPr="001A0CD7">
        <w:rPr>
          <w:sz w:val="22"/>
          <w:szCs w:val="22"/>
          <w:lang w:val="es-ES"/>
        </w:rPr>
        <w:t>3.</w:t>
      </w:r>
      <w:r w:rsidRPr="001A0CD7">
        <w:rPr>
          <w:sz w:val="22"/>
          <w:szCs w:val="22"/>
          <w:lang w:val="es-ES"/>
        </w:rPr>
        <w:tab/>
      </w:r>
      <w:r w:rsidR="001A0CD7" w:rsidRPr="001A0CD7">
        <w:rPr>
          <w:sz w:val="22"/>
          <w:szCs w:val="22"/>
          <w:lang w:val="es-ES"/>
        </w:rPr>
        <w:t xml:space="preserve">Tras revisar el detallado Informe sobre el rendimiento de los programas (PPR) </w:t>
      </w:r>
      <w:r w:rsidRPr="001A0CD7">
        <w:rPr>
          <w:sz w:val="22"/>
          <w:szCs w:val="22"/>
          <w:lang w:val="es-ES"/>
        </w:rPr>
        <w:t>(document</w:t>
      </w:r>
      <w:r w:rsidR="001A0CD7" w:rsidRPr="001A0CD7">
        <w:rPr>
          <w:sz w:val="22"/>
          <w:szCs w:val="22"/>
          <w:lang w:val="es-ES"/>
        </w:rPr>
        <w:t>o</w:t>
      </w:r>
      <w:r w:rsidRPr="001A0CD7">
        <w:rPr>
          <w:sz w:val="22"/>
          <w:szCs w:val="22"/>
          <w:lang w:val="es-ES"/>
        </w:rPr>
        <w:t xml:space="preserve"> WO/PBC/25/7), </w:t>
      </w:r>
      <w:r w:rsidR="001A0CD7" w:rsidRPr="001A0CD7">
        <w:rPr>
          <w:sz w:val="22"/>
          <w:szCs w:val="22"/>
          <w:lang w:val="es-ES"/>
        </w:rPr>
        <w:t xml:space="preserve">y </w:t>
      </w:r>
      <w:r w:rsidR="00534A9F">
        <w:rPr>
          <w:sz w:val="22"/>
          <w:szCs w:val="22"/>
          <w:lang w:val="es-ES"/>
        </w:rPr>
        <w:t>observar</w:t>
      </w:r>
      <w:r w:rsidR="001A0CD7" w:rsidRPr="001A0CD7">
        <w:rPr>
          <w:sz w:val="22"/>
          <w:szCs w:val="22"/>
          <w:lang w:val="es-ES"/>
        </w:rPr>
        <w:t xml:space="preserve"> que constituye una autoevaluación por parte de la Secretaría, el Comité del Programa y Presupuesto (PBC) recomienda que las Asambleas de los Estados miembros de la OMPI reconozcan </w:t>
      </w:r>
      <w:r w:rsidR="00230C85">
        <w:rPr>
          <w:sz w:val="22"/>
          <w:szCs w:val="22"/>
          <w:lang w:val="es-ES"/>
        </w:rPr>
        <w:t>el aporte realizado por los programas en</w:t>
      </w:r>
      <w:r w:rsidRPr="001A0CD7">
        <w:rPr>
          <w:rFonts w:cs="Arial"/>
          <w:sz w:val="22"/>
          <w:szCs w:val="22"/>
          <w:lang w:val="es-ES"/>
        </w:rPr>
        <w:t xml:space="preserve"> 2014/15 </w:t>
      </w:r>
      <w:r w:rsidR="00230C85">
        <w:rPr>
          <w:rFonts w:cs="Arial"/>
          <w:sz w:val="22"/>
          <w:szCs w:val="22"/>
          <w:lang w:val="es-ES"/>
        </w:rPr>
        <w:t>al logro de los resultados previstos</w:t>
      </w:r>
      <w:r w:rsidR="002F758B">
        <w:rPr>
          <w:rFonts w:cs="Arial"/>
          <w:sz w:val="22"/>
          <w:szCs w:val="22"/>
          <w:lang w:val="es-ES"/>
        </w:rPr>
        <w:t>.</w:t>
      </w:r>
    </w:p>
    <w:p w:rsidR="001E561A" w:rsidRPr="002F758B" w:rsidRDefault="001E561A" w:rsidP="002F758B">
      <w:pPr>
        <w:pStyle w:val="DecisionInvitingPara"/>
        <w:spacing w:after="0" w:line="240" w:lineRule="auto"/>
        <w:ind w:left="0"/>
        <w:rPr>
          <w:i w:val="0"/>
          <w:sz w:val="22"/>
          <w:szCs w:val="22"/>
          <w:lang w:val="es-ES"/>
        </w:rPr>
      </w:pPr>
    </w:p>
    <w:p w:rsidR="00B26D73" w:rsidRPr="00230C85" w:rsidRDefault="00966335" w:rsidP="00121C2F">
      <w:pPr>
        <w:pStyle w:val="DecisionInvitingPara"/>
        <w:spacing w:after="0" w:line="240" w:lineRule="auto"/>
        <w:ind w:left="5529"/>
      </w:pPr>
      <w:r w:rsidRPr="00230C85">
        <w:rPr>
          <w:i w:val="0"/>
          <w:iCs/>
          <w:sz w:val="22"/>
          <w:szCs w:val="22"/>
          <w:lang w:val="es-ES"/>
        </w:rPr>
        <w:lastRenderedPageBreak/>
        <w:t>[</w:t>
      </w:r>
      <w:r w:rsidR="00230C85" w:rsidRPr="00230C85">
        <w:rPr>
          <w:i w:val="0"/>
          <w:iCs/>
          <w:sz w:val="22"/>
          <w:szCs w:val="22"/>
          <w:lang w:val="es-ES"/>
        </w:rPr>
        <w:t xml:space="preserve">Sigue el Informe sobre el rendimiento de los programas en </w:t>
      </w:r>
      <w:r w:rsidRPr="00230C85">
        <w:rPr>
          <w:i w:val="0"/>
          <w:iCs/>
          <w:sz w:val="22"/>
          <w:szCs w:val="22"/>
          <w:lang w:val="es-ES"/>
        </w:rPr>
        <w:t>2014/15]</w:t>
      </w:r>
    </w:p>
    <w:p w:rsidR="00B26D73" w:rsidRPr="00230C85" w:rsidRDefault="00B26D73" w:rsidP="00B26D73">
      <w:pPr>
        <w:sectPr w:rsidR="00B26D73" w:rsidRPr="00230C85" w:rsidSect="00774205">
          <w:headerReference w:type="first" r:id="rId13"/>
          <w:pgSz w:w="11907" w:h="16840" w:code="9"/>
          <w:pgMar w:top="425" w:right="1134" w:bottom="1418" w:left="1418" w:header="510" w:footer="1021" w:gutter="0"/>
          <w:pgNumType w:start="1"/>
          <w:cols w:space="720"/>
          <w:titlePg/>
          <w:docGrid w:linePitch="299"/>
        </w:sectPr>
      </w:pPr>
    </w:p>
    <w:p w:rsidR="00B26D73" w:rsidRPr="00553792" w:rsidRDefault="00553792" w:rsidP="00B26D73">
      <w:pPr>
        <w:pStyle w:val="ONUMFS"/>
        <w:numPr>
          <w:ilvl w:val="0"/>
          <w:numId w:val="0"/>
        </w:numPr>
        <w:jc w:val="center"/>
        <w:rPr>
          <w:b/>
        </w:rPr>
      </w:pPr>
      <w:r w:rsidRPr="00553792">
        <w:rPr>
          <w:b/>
          <w:caps/>
          <w:sz w:val="24"/>
        </w:rPr>
        <w:lastRenderedPageBreak/>
        <w:t>Informe sobre el rendimiento de los programas en 2014/15</w:t>
      </w:r>
    </w:p>
    <w:p w:rsidR="00B26D73" w:rsidRPr="00553792" w:rsidRDefault="00B26D73" w:rsidP="00B26D73">
      <w:pPr>
        <w:rPr>
          <w:rFonts w:asciiTheme="majorHAnsi" w:eastAsiaTheme="majorEastAsia" w:hAnsiTheme="majorHAnsi" w:cstheme="majorBidi"/>
          <w:b/>
          <w:bCs/>
          <w:szCs w:val="28"/>
          <w:lang w:eastAsia="ja-JP"/>
        </w:rPr>
      </w:pPr>
    </w:p>
    <w:p w:rsidR="00B26D73" w:rsidRPr="00B26D73" w:rsidRDefault="00B26D73" w:rsidP="00B26D73">
      <w:pPr>
        <w:jc w:val="center"/>
        <w:rPr>
          <w:rFonts w:eastAsiaTheme="majorEastAsia"/>
          <w:bCs/>
          <w:szCs w:val="28"/>
          <w:lang w:val="en-US" w:eastAsia="ja-JP"/>
        </w:rPr>
      </w:pPr>
      <w:r>
        <w:rPr>
          <w:rFonts w:eastAsiaTheme="majorEastAsia"/>
          <w:bCs/>
          <w:szCs w:val="28"/>
          <w:lang w:val="en-US" w:eastAsia="ja-JP"/>
        </w:rPr>
        <w:t>ÍNDICE</w:t>
      </w:r>
    </w:p>
    <w:p w:rsidR="00B26D73" w:rsidRDefault="00B26D73" w:rsidP="00B26D73">
      <w:pPr>
        <w:rPr>
          <w:lang w:val="en-US"/>
        </w:rPr>
      </w:pPr>
    </w:p>
    <w:sdt>
      <w:sdtPr>
        <w:rPr>
          <w:rFonts w:ascii="Arial" w:eastAsia="SimSun" w:hAnsi="Arial" w:cs="Arial"/>
          <w:b w:val="0"/>
          <w:bCs w:val="0"/>
          <w:color w:val="auto"/>
          <w:sz w:val="20"/>
          <w:szCs w:val="20"/>
          <w:lang w:val="es-ES" w:eastAsia="zh-CN"/>
        </w:rPr>
        <w:id w:val="2048409137"/>
        <w:docPartObj>
          <w:docPartGallery w:val="Table of Contents"/>
          <w:docPartUnique/>
        </w:docPartObj>
      </w:sdtPr>
      <w:sdtEndPr>
        <w:rPr>
          <w:noProof/>
          <w:sz w:val="22"/>
        </w:rPr>
      </w:sdtEndPr>
      <w:sdtContent>
        <w:p w:rsidR="00211983" w:rsidRPr="00211983" w:rsidRDefault="00211983" w:rsidP="00211983">
          <w:pPr>
            <w:pStyle w:val="TOCHeading"/>
            <w:numPr>
              <w:ilvl w:val="0"/>
              <w:numId w:val="0"/>
            </w:numPr>
            <w:spacing w:before="0" w:line="240" w:lineRule="auto"/>
            <w:ind w:left="720" w:hanging="720"/>
            <w:rPr>
              <w:rFonts w:ascii="Arial" w:hAnsi="Arial" w:cs="Arial"/>
              <w:color w:val="auto"/>
              <w:sz w:val="20"/>
              <w:szCs w:val="20"/>
            </w:rPr>
          </w:pPr>
        </w:p>
        <w:p w:rsidR="00211983" w:rsidRPr="00211983" w:rsidRDefault="00211983" w:rsidP="00211983">
          <w:pPr>
            <w:pStyle w:val="TOC1"/>
            <w:rPr>
              <w:rFonts w:eastAsiaTheme="minorEastAsia" w:cstheme="minorBidi"/>
              <w:b/>
            </w:rPr>
          </w:pPr>
          <w:r w:rsidRPr="00211983">
            <w:fldChar w:fldCharType="begin"/>
          </w:r>
          <w:r w:rsidRPr="00211983">
            <w:instrText xml:space="preserve"> TOC \o "1-3" \h \z \u </w:instrText>
          </w:r>
          <w:r w:rsidRPr="00211983">
            <w:fldChar w:fldCharType="separate"/>
          </w:r>
          <w:hyperlink w:anchor="_Toc455159063" w:history="1">
            <w:r w:rsidRPr="00211983">
              <w:rPr>
                <w:rStyle w:val="Hyperlink"/>
                <w:b/>
              </w:rPr>
              <w:t>I.</w:t>
            </w:r>
            <w:r w:rsidRPr="00211983">
              <w:rPr>
                <w:rFonts w:eastAsiaTheme="minorEastAsia" w:cstheme="minorBidi"/>
                <w:b/>
              </w:rPr>
              <w:tab/>
            </w:r>
            <w:r w:rsidRPr="00211983">
              <w:rPr>
                <w:rStyle w:val="Hyperlink"/>
                <w:b/>
              </w:rPr>
              <w:t>INTRODUCCIÓN</w:t>
            </w:r>
            <w:r w:rsidRPr="00211983">
              <w:rPr>
                <w:b/>
                <w:webHidden/>
              </w:rPr>
              <w:tab/>
            </w:r>
            <w:r w:rsidRPr="00211983">
              <w:rPr>
                <w:b/>
                <w:webHidden/>
              </w:rPr>
              <w:fldChar w:fldCharType="begin"/>
            </w:r>
            <w:r w:rsidRPr="00211983">
              <w:rPr>
                <w:b/>
                <w:webHidden/>
              </w:rPr>
              <w:instrText xml:space="preserve"> PAGEREF _Toc455159063 \h </w:instrText>
            </w:r>
            <w:r w:rsidRPr="00211983">
              <w:rPr>
                <w:b/>
                <w:webHidden/>
              </w:rPr>
            </w:r>
            <w:r w:rsidRPr="00211983">
              <w:rPr>
                <w:b/>
                <w:webHidden/>
              </w:rPr>
              <w:fldChar w:fldCharType="separate"/>
            </w:r>
            <w:r w:rsidR="00121C2F">
              <w:rPr>
                <w:b/>
                <w:webHidden/>
              </w:rPr>
              <w:t>3</w:t>
            </w:r>
            <w:r w:rsidRPr="00211983">
              <w:rPr>
                <w:b/>
                <w:webHidden/>
              </w:rPr>
              <w:fldChar w:fldCharType="end"/>
            </w:r>
          </w:hyperlink>
        </w:p>
        <w:p w:rsidR="00211983" w:rsidRPr="00211983" w:rsidRDefault="00121C2F" w:rsidP="00211983">
          <w:pPr>
            <w:pStyle w:val="TOC1"/>
            <w:rPr>
              <w:rFonts w:eastAsiaTheme="minorEastAsia" w:cstheme="minorBidi"/>
              <w:b/>
            </w:rPr>
          </w:pPr>
          <w:hyperlink w:anchor="_Toc455159064" w:history="1">
            <w:r w:rsidR="00211983" w:rsidRPr="00211983">
              <w:rPr>
                <w:rStyle w:val="Hyperlink"/>
                <w:b/>
              </w:rPr>
              <w:t>II.</w:t>
            </w:r>
            <w:r w:rsidR="00211983" w:rsidRPr="00211983">
              <w:rPr>
                <w:rFonts w:eastAsiaTheme="minorEastAsia" w:cstheme="minorBidi"/>
                <w:b/>
              </w:rPr>
              <w:tab/>
            </w:r>
            <w:r w:rsidR="00211983" w:rsidRPr="00211983">
              <w:rPr>
                <w:rStyle w:val="Hyperlink"/>
                <w:b/>
              </w:rPr>
              <w:t>RESUMEN DE LOS AVANCES LOGRADOS EN 2014/15</w:t>
            </w:r>
            <w:r w:rsidR="00211983" w:rsidRPr="00211983">
              <w:rPr>
                <w:b/>
                <w:webHidden/>
              </w:rPr>
              <w:tab/>
            </w:r>
            <w:r w:rsidR="00211983" w:rsidRPr="00211983">
              <w:rPr>
                <w:b/>
                <w:webHidden/>
              </w:rPr>
              <w:fldChar w:fldCharType="begin"/>
            </w:r>
            <w:r w:rsidR="00211983" w:rsidRPr="00211983">
              <w:rPr>
                <w:b/>
                <w:webHidden/>
              </w:rPr>
              <w:instrText xml:space="preserve"> PAGEREF _Toc455159064 \h </w:instrText>
            </w:r>
            <w:r w:rsidR="00211983" w:rsidRPr="00211983">
              <w:rPr>
                <w:b/>
                <w:webHidden/>
              </w:rPr>
            </w:r>
            <w:r w:rsidR="00211983" w:rsidRPr="00211983">
              <w:rPr>
                <w:b/>
                <w:webHidden/>
              </w:rPr>
              <w:fldChar w:fldCharType="separate"/>
            </w:r>
            <w:r>
              <w:rPr>
                <w:b/>
                <w:webHidden/>
              </w:rPr>
              <w:t>4</w:t>
            </w:r>
            <w:r w:rsidR="00211983" w:rsidRPr="00211983">
              <w:rPr>
                <w:b/>
                <w:webHidden/>
              </w:rPr>
              <w:fldChar w:fldCharType="end"/>
            </w:r>
          </w:hyperlink>
        </w:p>
        <w:p w:rsidR="00211983" w:rsidRPr="00211983" w:rsidRDefault="00121C2F" w:rsidP="00211983">
          <w:pPr>
            <w:pStyle w:val="TOC1"/>
            <w:rPr>
              <w:rFonts w:eastAsiaTheme="minorEastAsia" w:cstheme="minorBidi"/>
              <w:b/>
            </w:rPr>
          </w:pPr>
          <w:hyperlink w:anchor="_Toc455159065" w:history="1">
            <w:r w:rsidR="00211983" w:rsidRPr="00211983">
              <w:rPr>
                <w:rStyle w:val="Hyperlink"/>
                <w:b/>
              </w:rPr>
              <w:t>III.</w:t>
            </w:r>
            <w:r w:rsidR="00211983" w:rsidRPr="00211983">
              <w:rPr>
                <w:rFonts w:eastAsiaTheme="minorEastAsia" w:cstheme="minorBidi"/>
                <w:b/>
              </w:rPr>
              <w:tab/>
            </w:r>
            <w:r w:rsidR="00211983" w:rsidRPr="00211983">
              <w:rPr>
                <w:rStyle w:val="Hyperlink"/>
                <w:b/>
              </w:rPr>
              <w:t>PRESUPUESTO CONSOLIDADO Y GASTO REAL DEL BIENIO 2014/15</w:t>
            </w:r>
            <w:r w:rsidR="00211983" w:rsidRPr="00211983">
              <w:rPr>
                <w:b/>
                <w:webHidden/>
              </w:rPr>
              <w:tab/>
            </w:r>
            <w:r w:rsidR="00211983" w:rsidRPr="00211983">
              <w:rPr>
                <w:b/>
                <w:webHidden/>
              </w:rPr>
              <w:fldChar w:fldCharType="begin"/>
            </w:r>
            <w:r w:rsidR="00211983" w:rsidRPr="00211983">
              <w:rPr>
                <w:b/>
                <w:webHidden/>
              </w:rPr>
              <w:instrText xml:space="preserve"> PAGEREF _Toc455159065 \h </w:instrText>
            </w:r>
            <w:r w:rsidR="00211983" w:rsidRPr="00211983">
              <w:rPr>
                <w:b/>
                <w:webHidden/>
              </w:rPr>
            </w:r>
            <w:r w:rsidR="00211983" w:rsidRPr="00211983">
              <w:rPr>
                <w:b/>
                <w:webHidden/>
              </w:rPr>
              <w:fldChar w:fldCharType="separate"/>
            </w:r>
            <w:r>
              <w:rPr>
                <w:b/>
                <w:webHidden/>
              </w:rPr>
              <w:t>24</w:t>
            </w:r>
            <w:r w:rsidR="00211983" w:rsidRPr="00211983">
              <w:rPr>
                <w:b/>
                <w:webHidden/>
              </w:rPr>
              <w:fldChar w:fldCharType="end"/>
            </w:r>
          </w:hyperlink>
        </w:p>
        <w:p w:rsidR="00211983" w:rsidRPr="00211983" w:rsidRDefault="00121C2F" w:rsidP="00211983">
          <w:pPr>
            <w:pStyle w:val="TOC1"/>
            <w:rPr>
              <w:rFonts w:eastAsiaTheme="minorEastAsia" w:cstheme="minorBidi"/>
              <w:b/>
            </w:rPr>
          </w:pPr>
          <w:hyperlink w:anchor="_Toc455159066" w:history="1">
            <w:r w:rsidR="00211983" w:rsidRPr="00211983">
              <w:rPr>
                <w:rStyle w:val="Hyperlink"/>
                <w:b/>
              </w:rPr>
              <w:t>IV.</w:t>
            </w:r>
            <w:r w:rsidR="00211983" w:rsidRPr="00211983">
              <w:rPr>
                <w:rFonts w:eastAsiaTheme="minorEastAsia" w:cstheme="minorBidi"/>
                <w:b/>
              </w:rPr>
              <w:tab/>
            </w:r>
            <w:r w:rsidR="00211983" w:rsidRPr="00211983">
              <w:rPr>
                <w:rStyle w:val="Hyperlink"/>
                <w:b/>
              </w:rPr>
              <w:t>INFORME SOBRE LOS GASTOS EN DESARROLLO DURANTE EL BIENIO 2014/15</w:t>
            </w:r>
            <w:r w:rsidR="00211983" w:rsidRPr="00211983">
              <w:rPr>
                <w:b/>
                <w:webHidden/>
              </w:rPr>
              <w:tab/>
            </w:r>
            <w:r w:rsidR="00211983" w:rsidRPr="00211983">
              <w:rPr>
                <w:b/>
                <w:webHidden/>
              </w:rPr>
              <w:fldChar w:fldCharType="begin"/>
            </w:r>
            <w:r w:rsidR="00211983" w:rsidRPr="00211983">
              <w:rPr>
                <w:b/>
                <w:webHidden/>
              </w:rPr>
              <w:instrText xml:space="preserve"> PAGEREF _Toc455159066 \h </w:instrText>
            </w:r>
            <w:r w:rsidR="00211983" w:rsidRPr="00211983">
              <w:rPr>
                <w:b/>
                <w:webHidden/>
              </w:rPr>
            </w:r>
            <w:r w:rsidR="00211983" w:rsidRPr="00211983">
              <w:rPr>
                <w:b/>
                <w:webHidden/>
              </w:rPr>
              <w:fldChar w:fldCharType="separate"/>
            </w:r>
            <w:r>
              <w:rPr>
                <w:b/>
                <w:webHidden/>
              </w:rPr>
              <w:t>26</w:t>
            </w:r>
            <w:r w:rsidR="00211983" w:rsidRPr="00211983">
              <w:rPr>
                <w:b/>
                <w:webHidden/>
              </w:rPr>
              <w:fldChar w:fldCharType="end"/>
            </w:r>
          </w:hyperlink>
        </w:p>
        <w:p w:rsidR="00211983" w:rsidRPr="00211983" w:rsidRDefault="00121C2F" w:rsidP="00211983">
          <w:pPr>
            <w:pStyle w:val="TOC1"/>
            <w:rPr>
              <w:rFonts w:eastAsiaTheme="minorEastAsia" w:cstheme="minorBidi"/>
              <w:b/>
            </w:rPr>
          </w:pPr>
          <w:hyperlink w:anchor="_Toc455159067" w:history="1">
            <w:r w:rsidR="00211983" w:rsidRPr="00211983">
              <w:rPr>
                <w:rStyle w:val="Hyperlink"/>
                <w:b/>
              </w:rPr>
              <w:t>V.</w:t>
            </w:r>
            <w:r w:rsidR="00211983" w:rsidRPr="00211983">
              <w:rPr>
                <w:rFonts w:eastAsiaTheme="minorEastAsia" w:cstheme="minorBidi"/>
                <w:b/>
              </w:rPr>
              <w:tab/>
            </w:r>
            <w:r w:rsidR="00211983" w:rsidRPr="00211983">
              <w:rPr>
                <w:rStyle w:val="Hyperlink"/>
                <w:b/>
              </w:rPr>
              <w:t>INFORME SOBRE LA APLICACIÓN DE LAS MEDIDAS DESTINADAS A FOMENTAR LA EFICACIA EN FUNCIÓN DE LOS COSTOS EN EL BIENIO 2014/15</w:t>
            </w:r>
            <w:r w:rsidR="00211983" w:rsidRPr="00211983">
              <w:rPr>
                <w:b/>
                <w:webHidden/>
              </w:rPr>
              <w:tab/>
            </w:r>
            <w:r w:rsidR="00211983" w:rsidRPr="00211983">
              <w:rPr>
                <w:b/>
                <w:webHidden/>
              </w:rPr>
              <w:fldChar w:fldCharType="begin"/>
            </w:r>
            <w:r w:rsidR="00211983" w:rsidRPr="00211983">
              <w:rPr>
                <w:b/>
                <w:webHidden/>
              </w:rPr>
              <w:instrText xml:space="preserve"> PAGEREF _Toc455159067 \h </w:instrText>
            </w:r>
            <w:r w:rsidR="00211983" w:rsidRPr="00211983">
              <w:rPr>
                <w:b/>
                <w:webHidden/>
              </w:rPr>
            </w:r>
            <w:r w:rsidR="00211983" w:rsidRPr="00211983">
              <w:rPr>
                <w:b/>
                <w:webHidden/>
              </w:rPr>
              <w:fldChar w:fldCharType="separate"/>
            </w:r>
            <w:r>
              <w:rPr>
                <w:b/>
                <w:webHidden/>
              </w:rPr>
              <w:t>29</w:t>
            </w:r>
            <w:r w:rsidR="00211983" w:rsidRPr="00211983">
              <w:rPr>
                <w:b/>
                <w:webHidden/>
              </w:rPr>
              <w:fldChar w:fldCharType="end"/>
            </w:r>
          </w:hyperlink>
        </w:p>
        <w:p w:rsidR="00211983" w:rsidRPr="00211983" w:rsidRDefault="00121C2F" w:rsidP="00211983">
          <w:pPr>
            <w:pStyle w:val="TOC1"/>
            <w:rPr>
              <w:rFonts w:eastAsiaTheme="minorEastAsia" w:cstheme="minorBidi"/>
              <w:b/>
            </w:rPr>
          </w:pPr>
          <w:hyperlink w:anchor="_Toc455159068" w:history="1">
            <w:r w:rsidR="00211983" w:rsidRPr="00211983">
              <w:rPr>
                <w:rStyle w:val="Hyperlink"/>
                <w:b/>
              </w:rPr>
              <w:t>VI.</w:t>
            </w:r>
            <w:r w:rsidR="00211983" w:rsidRPr="00211983">
              <w:rPr>
                <w:rFonts w:eastAsiaTheme="minorEastAsia" w:cstheme="minorBidi"/>
                <w:b/>
              </w:rPr>
              <w:tab/>
            </w:r>
            <w:r w:rsidR="00211983" w:rsidRPr="00211983">
              <w:rPr>
                <w:rStyle w:val="Hyperlink"/>
                <w:b/>
              </w:rPr>
              <w:t>LOGROS DE LOS PROGRAMAS EN 2014/15 POR META ESTRATÉGICA</w:t>
            </w:r>
            <w:r w:rsidR="00211983" w:rsidRPr="00211983">
              <w:rPr>
                <w:b/>
                <w:webHidden/>
              </w:rPr>
              <w:tab/>
            </w:r>
            <w:r w:rsidR="00211983" w:rsidRPr="00211983">
              <w:rPr>
                <w:b/>
                <w:webHidden/>
              </w:rPr>
              <w:fldChar w:fldCharType="begin"/>
            </w:r>
            <w:r w:rsidR="00211983" w:rsidRPr="00211983">
              <w:rPr>
                <w:b/>
                <w:webHidden/>
              </w:rPr>
              <w:instrText xml:space="preserve"> PAGEREF _Toc455159068 \h </w:instrText>
            </w:r>
            <w:r w:rsidR="00211983" w:rsidRPr="00211983">
              <w:rPr>
                <w:b/>
                <w:webHidden/>
              </w:rPr>
            </w:r>
            <w:r w:rsidR="00211983" w:rsidRPr="00211983">
              <w:rPr>
                <w:b/>
                <w:webHidden/>
              </w:rPr>
              <w:fldChar w:fldCharType="separate"/>
            </w:r>
            <w:r>
              <w:rPr>
                <w:b/>
                <w:webHidden/>
              </w:rPr>
              <w:t>36</w:t>
            </w:r>
            <w:r w:rsidR="00211983" w:rsidRPr="00211983">
              <w:rPr>
                <w:b/>
                <w:webHidden/>
              </w:rPr>
              <w:fldChar w:fldCharType="end"/>
            </w:r>
          </w:hyperlink>
        </w:p>
        <w:p w:rsidR="00211983" w:rsidRPr="00211983" w:rsidRDefault="00121C2F" w:rsidP="00DD5AB6">
          <w:pPr>
            <w:pStyle w:val="TOC2"/>
            <w:rPr>
              <w:rFonts w:eastAsiaTheme="minorEastAsia" w:cstheme="minorBidi"/>
              <w:noProof/>
              <w:sz w:val="22"/>
              <w:szCs w:val="22"/>
            </w:rPr>
          </w:pPr>
          <w:hyperlink w:anchor="_Toc455159069" w:history="1">
            <w:r w:rsidR="00211983" w:rsidRPr="00211983">
              <w:rPr>
                <w:rStyle w:val="Hyperlink"/>
                <w:rFonts w:ascii="Arial" w:hAnsi="Arial"/>
                <w:noProof/>
                <w:lang w:val="es-ES"/>
              </w:rPr>
              <w:t>META ESTRATÉGICA I</w:t>
            </w:r>
            <w:r w:rsidR="00211983" w:rsidRPr="00211983">
              <w:rPr>
                <w:noProof/>
                <w:webHidden/>
              </w:rPr>
              <w:tab/>
            </w:r>
            <w:r w:rsidR="00211983" w:rsidRPr="00211983">
              <w:rPr>
                <w:noProof/>
                <w:webHidden/>
              </w:rPr>
              <w:fldChar w:fldCharType="begin"/>
            </w:r>
            <w:r w:rsidR="00211983" w:rsidRPr="00211983">
              <w:rPr>
                <w:noProof/>
                <w:webHidden/>
              </w:rPr>
              <w:instrText xml:space="preserve"> PAGEREF _Toc455159069 \h </w:instrText>
            </w:r>
            <w:r w:rsidR="00211983" w:rsidRPr="00211983">
              <w:rPr>
                <w:noProof/>
                <w:webHidden/>
              </w:rPr>
            </w:r>
            <w:r w:rsidR="00211983" w:rsidRPr="00211983">
              <w:rPr>
                <w:noProof/>
                <w:webHidden/>
              </w:rPr>
              <w:fldChar w:fldCharType="separate"/>
            </w:r>
            <w:r>
              <w:rPr>
                <w:noProof/>
                <w:webHidden/>
              </w:rPr>
              <w:t>36</w:t>
            </w:r>
            <w:r w:rsidR="00211983" w:rsidRPr="00211983">
              <w:rPr>
                <w:noProof/>
                <w:webHidden/>
              </w:rPr>
              <w:fldChar w:fldCharType="end"/>
            </w:r>
          </w:hyperlink>
        </w:p>
        <w:p w:rsidR="00211983" w:rsidRPr="00211983" w:rsidRDefault="00121C2F" w:rsidP="00DD5AB6">
          <w:pPr>
            <w:pStyle w:val="TOC2"/>
            <w:rPr>
              <w:rFonts w:eastAsiaTheme="minorEastAsia" w:cstheme="minorBidi"/>
              <w:noProof/>
              <w:sz w:val="22"/>
              <w:szCs w:val="22"/>
            </w:rPr>
          </w:pPr>
          <w:hyperlink w:anchor="_Toc455159070" w:history="1">
            <w:r w:rsidR="00211983" w:rsidRPr="00211983">
              <w:rPr>
                <w:rStyle w:val="Hyperlink"/>
                <w:noProof/>
              </w:rPr>
              <w:t>PROGRAMA 1</w:t>
            </w:r>
            <w:r w:rsidR="00211983" w:rsidRPr="00211983">
              <w:rPr>
                <w:rFonts w:eastAsiaTheme="minorEastAsia" w:cstheme="minorBidi"/>
                <w:noProof/>
                <w:sz w:val="22"/>
                <w:szCs w:val="22"/>
              </w:rPr>
              <w:tab/>
            </w:r>
            <w:r w:rsidR="00211983" w:rsidRPr="00211983">
              <w:rPr>
                <w:rStyle w:val="Hyperlink"/>
                <w:noProof/>
              </w:rPr>
              <w:t>DERECHO DE PATENTES</w:t>
            </w:r>
            <w:r w:rsidR="00211983" w:rsidRPr="00211983">
              <w:rPr>
                <w:noProof/>
                <w:webHidden/>
              </w:rPr>
              <w:tab/>
            </w:r>
            <w:r w:rsidR="00211983" w:rsidRPr="00211983">
              <w:rPr>
                <w:noProof/>
                <w:webHidden/>
              </w:rPr>
              <w:fldChar w:fldCharType="begin"/>
            </w:r>
            <w:r w:rsidR="00211983" w:rsidRPr="00211983">
              <w:rPr>
                <w:noProof/>
                <w:webHidden/>
              </w:rPr>
              <w:instrText xml:space="preserve"> PAGEREF _Toc455159070 \h </w:instrText>
            </w:r>
            <w:r w:rsidR="00211983" w:rsidRPr="00211983">
              <w:rPr>
                <w:noProof/>
                <w:webHidden/>
              </w:rPr>
            </w:r>
            <w:r w:rsidR="00211983" w:rsidRPr="00211983">
              <w:rPr>
                <w:noProof/>
                <w:webHidden/>
              </w:rPr>
              <w:fldChar w:fldCharType="separate"/>
            </w:r>
            <w:r>
              <w:rPr>
                <w:noProof/>
                <w:webHidden/>
              </w:rPr>
              <w:t>38</w:t>
            </w:r>
            <w:r w:rsidR="00211983" w:rsidRPr="00211983">
              <w:rPr>
                <w:noProof/>
                <w:webHidden/>
              </w:rPr>
              <w:fldChar w:fldCharType="end"/>
            </w:r>
          </w:hyperlink>
        </w:p>
        <w:p w:rsidR="00211983" w:rsidRPr="00211983" w:rsidRDefault="00121C2F" w:rsidP="00DD5AB6">
          <w:pPr>
            <w:pStyle w:val="TOC2"/>
            <w:rPr>
              <w:rFonts w:eastAsiaTheme="minorEastAsia" w:cstheme="minorBidi"/>
              <w:noProof/>
              <w:sz w:val="22"/>
              <w:szCs w:val="22"/>
            </w:rPr>
          </w:pPr>
          <w:hyperlink w:anchor="_Toc455159071" w:history="1">
            <w:r w:rsidR="00211983">
              <w:rPr>
                <w:rStyle w:val="Hyperlink"/>
                <w:noProof/>
              </w:rPr>
              <w:t>PROGRAMA </w:t>
            </w:r>
            <w:r w:rsidR="00211983" w:rsidRPr="00211983">
              <w:rPr>
                <w:rStyle w:val="Hyperlink"/>
                <w:noProof/>
              </w:rPr>
              <w:t>2</w:t>
            </w:r>
            <w:r w:rsidR="00211983" w:rsidRPr="00211983">
              <w:rPr>
                <w:rFonts w:eastAsiaTheme="minorEastAsia" w:cstheme="minorBidi"/>
                <w:noProof/>
                <w:sz w:val="22"/>
                <w:szCs w:val="22"/>
              </w:rPr>
              <w:tab/>
            </w:r>
            <w:r w:rsidR="00211983" w:rsidRPr="00211983">
              <w:rPr>
                <w:rStyle w:val="Hyperlink"/>
                <w:noProof/>
              </w:rPr>
              <w:t>MARCAS, DISEÑOS INDUSTRIALES E INDICACIONES GEOGRÁFICAS</w:t>
            </w:r>
            <w:r w:rsidR="00211983" w:rsidRPr="00211983">
              <w:rPr>
                <w:noProof/>
                <w:webHidden/>
              </w:rPr>
              <w:tab/>
            </w:r>
            <w:r w:rsidR="00211983" w:rsidRPr="00211983">
              <w:rPr>
                <w:noProof/>
                <w:webHidden/>
              </w:rPr>
              <w:fldChar w:fldCharType="begin"/>
            </w:r>
            <w:r w:rsidR="00211983" w:rsidRPr="00211983">
              <w:rPr>
                <w:noProof/>
                <w:webHidden/>
              </w:rPr>
              <w:instrText xml:space="preserve"> PAGEREF _Toc455159071 \h </w:instrText>
            </w:r>
            <w:r w:rsidR="00211983" w:rsidRPr="00211983">
              <w:rPr>
                <w:noProof/>
                <w:webHidden/>
              </w:rPr>
            </w:r>
            <w:r w:rsidR="00211983" w:rsidRPr="00211983">
              <w:rPr>
                <w:noProof/>
                <w:webHidden/>
              </w:rPr>
              <w:fldChar w:fldCharType="separate"/>
            </w:r>
            <w:r>
              <w:rPr>
                <w:noProof/>
                <w:webHidden/>
              </w:rPr>
              <w:t>42</w:t>
            </w:r>
            <w:r w:rsidR="00211983" w:rsidRPr="00211983">
              <w:rPr>
                <w:noProof/>
                <w:webHidden/>
              </w:rPr>
              <w:fldChar w:fldCharType="end"/>
            </w:r>
          </w:hyperlink>
        </w:p>
        <w:p w:rsidR="00211983" w:rsidRPr="00211983" w:rsidRDefault="00121C2F" w:rsidP="00DD5AB6">
          <w:pPr>
            <w:pStyle w:val="TOC2"/>
            <w:rPr>
              <w:rFonts w:eastAsiaTheme="minorEastAsia" w:cstheme="minorBidi"/>
              <w:noProof/>
              <w:sz w:val="22"/>
              <w:szCs w:val="22"/>
            </w:rPr>
          </w:pPr>
          <w:hyperlink w:anchor="_Toc455159072" w:history="1">
            <w:r w:rsidR="00211983" w:rsidRPr="00211983">
              <w:rPr>
                <w:rStyle w:val="Hyperlink"/>
                <w:noProof/>
              </w:rPr>
              <w:t>PROGRAMA 3</w:t>
            </w:r>
            <w:r w:rsidR="00211983" w:rsidRPr="00211983">
              <w:rPr>
                <w:rFonts w:eastAsiaTheme="minorEastAsia" w:cstheme="minorBidi"/>
                <w:noProof/>
                <w:sz w:val="22"/>
                <w:szCs w:val="22"/>
              </w:rPr>
              <w:tab/>
            </w:r>
            <w:r w:rsidR="00211983" w:rsidRPr="00211983">
              <w:rPr>
                <w:rStyle w:val="Hyperlink"/>
                <w:noProof/>
              </w:rPr>
              <w:t>DERECHO DE AUTOR Y DERECHOS CONEXOS</w:t>
            </w:r>
            <w:r w:rsidR="00211983" w:rsidRPr="00211983">
              <w:rPr>
                <w:noProof/>
                <w:webHidden/>
              </w:rPr>
              <w:tab/>
            </w:r>
            <w:r w:rsidR="00211983" w:rsidRPr="00211983">
              <w:rPr>
                <w:noProof/>
                <w:webHidden/>
              </w:rPr>
              <w:fldChar w:fldCharType="begin"/>
            </w:r>
            <w:r w:rsidR="00211983" w:rsidRPr="00211983">
              <w:rPr>
                <w:noProof/>
                <w:webHidden/>
              </w:rPr>
              <w:instrText xml:space="preserve"> PAGEREF _Toc455159072 \h </w:instrText>
            </w:r>
            <w:r w:rsidR="00211983" w:rsidRPr="00211983">
              <w:rPr>
                <w:noProof/>
                <w:webHidden/>
              </w:rPr>
            </w:r>
            <w:r w:rsidR="00211983" w:rsidRPr="00211983">
              <w:rPr>
                <w:noProof/>
                <w:webHidden/>
              </w:rPr>
              <w:fldChar w:fldCharType="separate"/>
            </w:r>
            <w:r>
              <w:rPr>
                <w:noProof/>
                <w:webHidden/>
              </w:rPr>
              <w:t>47</w:t>
            </w:r>
            <w:r w:rsidR="00211983" w:rsidRPr="00211983">
              <w:rPr>
                <w:noProof/>
                <w:webHidden/>
              </w:rPr>
              <w:fldChar w:fldCharType="end"/>
            </w:r>
          </w:hyperlink>
        </w:p>
        <w:p w:rsidR="00211983" w:rsidRPr="00211983" w:rsidRDefault="00121C2F" w:rsidP="00DD5AB6">
          <w:pPr>
            <w:pStyle w:val="TOC2"/>
            <w:rPr>
              <w:rFonts w:eastAsiaTheme="minorEastAsia" w:cstheme="minorBidi"/>
              <w:noProof/>
              <w:sz w:val="22"/>
              <w:szCs w:val="22"/>
            </w:rPr>
          </w:pPr>
          <w:hyperlink w:anchor="_Toc455159073" w:history="1">
            <w:r w:rsidR="00211983" w:rsidRPr="00211983">
              <w:rPr>
                <w:rStyle w:val="Hyperlink"/>
                <w:noProof/>
              </w:rPr>
              <w:t>PROGRAMA 4</w:t>
            </w:r>
            <w:r w:rsidR="00211983" w:rsidRPr="00211983">
              <w:rPr>
                <w:rFonts w:eastAsiaTheme="minorEastAsia" w:cstheme="minorBidi"/>
                <w:noProof/>
                <w:sz w:val="22"/>
                <w:szCs w:val="22"/>
              </w:rPr>
              <w:tab/>
            </w:r>
            <w:r w:rsidR="00211983" w:rsidRPr="00211983">
              <w:rPr>
                <w:rStyle w:val="Hyperlink"/>
                <w:noProof/>
              </w:rPr>
              <w:t>CONOCIMIENTOS TRADICIONALES, EXPRESIONES CULTURALES TRADICIONALES Y RECURSOS GENÉTICOS</w:t>
            </w:r>
            <w:r w:rsidR="00211983" w:rsidRPr="00211983">
              <w:rPr>
                <w:noProof/>
                <w:webHidden/>
              </w:rPr>
              <w:tab/>
            </w:r>
            <w:r w:rsidR="00211983" w:rsidRPr="00211983">
              <w:rPr>
                <w:noProof/>
                <w:webHidden/>
              </w:rPr>
              <w:fldChar w:fldCharType="begin"/>
            </w:r>
            <w:r w:rsidR="00211983" w:rsidRPr="00211983">
              <w:rPr>
                <w:noProof/>
                <w:webHidden/>
              </w:rPr>
              <w:instrText xml:space="preserve"> PAGEREF _Toc455159073 \h </w:instrText>
            </w:r>
            <w:r w:rsidR="00211983" w:rsidRPr="00211983">
              <w:rPr>
                <w:noProof/>
                <w:webHidden/>
              </w:rPr>
            </w:r>
            <w:r w:rsidR="00211983" w:rsidRPr="00211983">
              <w:rPr>
                <w:noProof/>
                <w:webHidden/>
              </w:rPr>
              <w:fldChar w:fldCharType="separate"/>
            </w:r>
            <w:r>
              <w:rPr>
                <w:noProof/>
                <w:webHidden/>
              </w:rPr>
              <w:t>57</w:t>
            </w:r>
            <w:r w:rsidR="00211983" w:rsidRPr="00211983">
              <w:rPr>
                <w:noProof/>
                <w:webHidden/>
              </w:rPr>
              <w:fldChar w:fldCharType="end"/>
            </w:r>
          </w:hyperlink>
        </w:p>
        <w:p w:rsidR="00211983" w:rsidRPr="00211983" w:rsidRDefault="00121C2F" w:rsidP="00DD5AB6">
          <w:pPr>
            <w:pStyle w:val="TOC2"/>
            <w:rPr>
              <w:rFonts w:eastAsiaTheme="minorEastAsia" w:cstheme="minorBidi"/>
              <w:noProof/>
              <w:sz w:val="22"/>
              <w:szCs w:val="22"/>
            </w:rPr>
          </w:pPr>
          <w:hyperlink w:anchor="_Toc455159074" w:history="1">
            <w:r w:rsidR="00211983" w:rsidRPr="00211983">
              <w:rPr>
                <w:rStyle w:val="Hyperlink"/>
                <w:rFonts w:ascii="Arial" w:hAnsi="Arial"/>
                <w:noProof/>
                <w:lang w:val="es-ES_tradnl"/>
              </w:rPr>
              <w:t>META ESTRATÉGICA II</w:t>
            </w:r>
            <w:r w:rsidR="00211983" w:rsidRPr="00211983">
              <w:rPr>
                <w:noProof/>
                <w:webHidden/>
              </w:rPr>
              <w:tab/>
            </w:r>
            <w:r w:rsidR="00211983" w:rsidRPr="00211983">
              <w:rPr>
                <w:noProof/>
                <w:webHidden/>
              </w:rPr>
              <w:fldChar w:fldCharType="begin"/>
            </w:r>
            <w:r w:rsidR="00211983" w:rsidRPr="00211983">
              <w:rPr>
                <w:noProof/>
                <w:webHidden/>
              </w:rPr>
              <w:instrText xml:space="preserve"> PAGEREF _Toc455159074 \h </w:instrText>
            </w:r>
            <w:r w:rsidR="00211983" w:rsidRPr="00211983">
              <w:rPr>
                <w:noProof/>
                <w:webHidden/>
              </w:rPr>
            </w:r>
            <w:r w:rsidR="00211983" w:rsidRPr="00211983">
              <w:rPr>
                <w:noProof/>
                <w:webHidden/>
              </w:rPr>
              <w:fldChar w:fldCharType="separate"/>
            </w:r>
            <w:r>
              <w:rPr>
                <w:noProof/>
                <w:webHidden/>
              </w:rPr>
              <w:t>61</w:t>
            </w:r>
            <w:r w:rsidR="00211983" w:rsidRPr="00211983">
              <w:rPr>
                <w:noProof/>
                <w:webHidden/>
              </w:rPr>
              <w:fldChar w:fldCharType="end"/>
            </w:r>
          </w:hyperlink>
        </w:p>
        <w:p w:rsidR="00211983" w:rsidRPr="00211983" w:rsidRDefault="00121C2F" w:rsidP="00DD5AB6">
          <w:pPr>
            <w:pStyle w:val="TOC2"/>
            <w:rPr>
              <w:rFonts w:eastAsiaTheme="minorEastAsia" w:cstheme="minorBidi"/>
              <w:noProof/>
              <w:sz w:val="22"/>
              <w:szCs w:val="22"/>
            </w:rPr>
          </w:pPr>
          <w:hyperlink w:anchor="_Toc455159075" w:history="1">
            <w:r w:rsidR="00211983" w:rsidRPr="00211983">
              <w:rPr>
                <w:rStyle w:val="Hyperlink"/>
                <w:noProof/>
              </w:rPr>
              <w:t>PROGRAMA 5</w:t>
            </w:r>
            <w:r w:rsidR="00211983" w:rsidRPr="00211983">
              <w:rPr>
                <w:rFonts w:eastAsiaTheme="minorEastAsia" w:cstheme="minorBidi"/>
                <w:noProof/>
                <w:sz w:val="22"/>
                <w:szCs w:val="22"/>
              </w:rPr>
              <w:tab/>
            </w:r>
            <w:r w:rsidR="00211983" w:rsidRPr="00211983">
              <w:rPr>
                <w:rStyle w:val="Hyperlink"/>
                <w:noProof/>
              </w:rPr>
              <w:t>SISTEMA DEL PCT</w:t>
            </w:r>
            <w:r w:rsidR="00211983" w:rsidRPr="00211983">
              <w:rPr>
                <w:noProof/>
                <w:webHidden/>
              </w:rPr>
              <w:tab/>
            </w:r>
            <w:r w:rsidR="00211983" w:rsidRPr="00211983">
              <w:rPr>
                <w:noProof/>
                <w:webHidden/>
              </w:rPr>
              <w:fldChar w:fldCharType="begin"/>
            </w:r>
            <w:r w:rsidR="00211983" w:rsidRPr="00211983">
              <w:rPr>
                <w:noProof/>
                <w:webHidden/>
              </w:rPr>
              <w:instrText xml:space="preserve"> PAGEREF _Toc455159075 \h </w:instrText>
            </w:r>
            <w:r w:rsidR="00211983" w:rsidRPr="00211983">
              <w:rPr>
                <w:noProof/>
                <w:webHidden/>
              </w:rPr>
            </w:r>
            <w:r w:rsidR="00211983" w:rsidRPr="00211983">
              <w:rPr>
                <w:noProof/>
                <w:webHidden/>
              </w:rPr>
              <w:fldChar w:fldCharType="separate"/>
            </w:r>
            <w:r>
              <w:rPr>
                <w:noProof/>
                <w:webHidden/>
              </w:rPr>
              <w:t>65</w:t>
            </w:r>
            <w:r w:rsidR="00211983" w:rsidRPr="00211983">
              <w:rPr>
                <w:noProof/>
                <w:webHidden/>
              </w:rPr>
              <w:fldChar w:fldCharType="end"/>
            </w:r>
          </w:hyperlink>
        </w:p>
        <w:p w:rsidR="00211983" w:rsidRPr="00211983" w:rsidRDefault="00121C2F" w:rsidP="008F093A">
          <w:pPr>
            <w:pStyle w:val="TOC3"/>
            <w:rPr>
              <w:rFonts w:eastAsiaTheme="minorEastAsia" w:cstheme="minorBidi"/>
              <w:sz w:val="22"/>
              <w:szCs w:val="22"/>
              <w:lang w:val="en-US"/>
            </w:rPr>
          </w:pPr>
          <w:hyperlink w:anchor="_Toc455159076" w:history="1">
            <w:r w:rsidR="00211983" w:rsidRPr="00211983">
              <w:rPr>
                <w:rStyle w:val="Hyperlink"/>
                <w:lang w:val="es-ES"/>
              </w:rPr>
              <w:t>Programa</w:t>
            </w:r>
            <w:r w:rsidR="00211983">
              <w:rPr>
                <w:rStyle w:val="Hyperlink"/>
                <w:lang w:val="es-ES"/>
              </w:rPr>
              <w:t> </w:t>
            </w:r>
            <w:r w:rsidR="00211983" w:rsidRPr="00211983">
              <w:rPr>
                <w:rStyle w:val="Hyperlink"/>
                <w:lang w:val="es-ES"/>
              </w:rPr>
              <w:t>5</w:t>
            </w:r>
            <w:r w:rsidR="00211983">
              <w:rPr>
                <w:rStyle w:val="Hyperlink"/>
                <w:lang w:val="es-ES"/>
              </w:rPr>
              <w:t>,</w:t>
            </w:r>
            <w:r w:rsidR="00211983" w:rsidRPr="00211983">
              <w:rPr>
                <w:rStyle w:val="Hyperlink"/>
                <w:lang w:val="es-ES"/>
              </w:rPr>
              <w:t xml:space="preserve"> Anexo:  Indicadores de las operaciones del PCT</w:t>
            </w:r>
            <w:r w:rsidR="00211983" w:rsidRPr="00211983">
              <w:rPr>
                <w:webHidden/>
              </w:rPr>
              <w:tab/>
            </w:r>
            <w:r w:rsidR="00211983" w:rsidRPr="00211983">
              <w:rPr>
                <w:webHidden/>
              </w:rPr>
              <w:fldChar w:fldCharType="begin"/>
            </w:r>
            <w:r w:rsidR="00211983" w:rsidRPr="00211983">
              <w:rPr>
                <w:webHidden/>
              </w:rPr>
              <w:instrText xml:space="preserve"> PAGEREF _Toc455159076 \h </w:instrText>
            </w:r>
            <w:r w:rsidR="00211983" w:rsidRPr="00211983">
              <w:rPr>
                <w:webHidden/>
              </w:rPr>
            </w:r>
            <w:r w:rsidR="00211983" w:rsidRPr="00211983">
              <w:rPr>
                <w:webHidden/>
              </w:rPr>
              <w:fldChar w:fldCharType="separate"/>
            </w:r>
            <w:r>
              <w:rPr>
                <w:webHidden/>
              </w:rPr>
              <w:t>72</w:t>
            </w:r>
            <w:r w:rsidR="00211983" w:rsidRPr="00211983">
              <w:rPr>
                <w:webHidden/>
              </w:rPr>
              <w:fldChar w:fldCharType="end"/>
            </w:r>
          </w:hyperlink>
        </w:p>
        <w:p w:rsidR="00211983" w:rsidRPr="00211983" w:rsidRDefault="00121C2F" w:rsidP="00DD5AB6">
          <w:pPr>
            <w:pStyle w:val="TOC2"/>
            <w:rPr>
              <w:rFonts w:eastAsiaTheme="minorEastAsia" w:cstheme="minorBidi"/>
              <w:noProof/>
              <w:sz w:val="22"/>
              <w:szCs w:val="22"/>
            </w:rPr>
          </w:pPr>
          <w:hyperlink w:anchor="_Toc455159077" w:history="1">
            <w:r w:rsidR="00211983" w:rsidRPr="00211983">
              <w:rPr>
                <w:rStyle w:val="Hyperlink"/>
                <w:noProof/>
              </w:rPr>
              <w:t>PROGRAMA</w:t>
            </w:r>
            <w:r w:rsidR="00211983">
              <w:rPr>
                <w:rStyle w:val="Hyperlink"/>
                <w:noProof/>
              </w:rPr>
              <w:t> </w:t>
            </w:r>
            <w:r w:rsidR="00211983" w:rsidRPr="00211983">
              <w:rPr>
                <w:rStyle w:val="Hyperlink"/>
                <w:noProof/>
              </w:rPr>
              <w:t>6</w:t>
            </w:r>
            <w:r w:rsidR="00211983" w:rsidRPr="00211983">
              <w:rPr>
                <w:rFonts w:eastAsiaTheme="minorEastAsia" w:cstheme="minorBidi"/>
                <w:noProof/>
                <w:sz w:val="22"/>
                <w:szCs w:val="22"/>
              </w:rPr>
              <w:tab/>
            </w:r>
            <w:r w:rsidR="00211983" w:rsidRPr="00211983">
              <w:rPr>
                <w:rStyle w:val="Hyperlink"/>
                <w:noProof/>
              </w:rPr>
              <w:t>LOS SISTEMAS DE MADRID Y DE LISBOA</w:t>
            </w:r>
            <w:r w:rsidR="00211983" w:rsidRPr="00211983">
              <w:rPr>
                <w:noProof/>
                <w:webHidden/>
              </w:rPr>
              <w:tab/>
            </w:r>
            <w:r w:rsidR="00211983" w:rsidRPr="00211983">
              <w:rPr>
                <w:noProof/>
                <w:webHidden/>
              </w:rPr>
              <w:fldChar w:fldCharType="begin"/>
            </w:r>
            <w:r w:rsidR="00211983" w:rsidRPr="00211983">
              <w:rPr>
                <w:noProof/>
                <w:webHidden/>
              </w:rPr>
              <w:instrText xml:space="preserve"> PAGEREF _Toc455159077 \h </w:instrText>
            </w:r>
            <w:r w:rsidR="00211983" w:rsidRPr="00211983">
              <w:rPr>
                <w:noProof/>
                <w:webHidden/>
              </w:rPr>
            </w:r>
            <w:r w:rsidR="00211983" w:rsidRPr="00211983">
              <w:rPr>
                <w:noProof/>
                <w:webHidden/>
              </w:rPr>
              <w:fldChar w:fldCharType="separate"/>
            </w:r>
            <w:r>
              <w:rPr>
                <w:noProof/>
                <w:webHidden/>
              </w:rPr>
              <w:t>84</w:t>
            </w:r>
            <w:r w:rsidR="00211983" w:rsidRPr="00211983">
              <w:rPr>
                <w:noProof/>
                <w:webHidden/>
              </w:rPr>
              <w:fldChar w:fldCharType="end"/>
            </w:r>
          </w:hyperlink>
        </w:p>
        <w:p w:rsidR="00211983" w:rsidRPr="00211983" w:rsidRDefault="00121C2F" w:rsidP="008F093A">
          <w:pPr>
            <w:pStyle w:val="TOC3"/>
            <w:rPr>
              <w:rFonts w:eastAsiaTheme="minorEastAsia" w:cstheme="minorBidi"/>
              <w:sz w:val="22"/>
              <w:szCs w:val="22"/>
              <w:lang w:val="en-US"/>
            </w:rPr>
          </w:pPr>
          <w:hyperlink w:anchor="_Toc455159078" w:history="1">
            <w:r w:rsidR="00211983" w:rsidRPr="00211983">
              <w:rPr>
                <w:rStyle w:val="Hyperlink"/>
                <w:lang w:val="es-ES"/>
              </w:rPr>
              <w:t>Programa 6, Anexo:  Indicadores de las operaciones del Sistema de Madrid</w:t>
            </w:r>
            <w:r w:rsidR="00211983" w:rsidRPr="00211983">
              <w:rPr>
                <w:webHidden/>
              </w:rPr>
              <w:tab/>
            </w:r>
            <w:r w:rsidR="00211983" w:rsidRPr="00211983">
              <w:rPr>
                <w:webHidden/>
              </w:rPr>
              <w:fldChar w:fldCharType="begin"/>
            </w:r>
            <w:r w:rsidR="00211983" w:rsidRPr="00211983">
              <w:rPr>
                <w:webHidden/>
              </w:rPr>
              <w:instrText xml:space="preserve"> PAGEREF _Toc455159078 \h </w:instrText>
            </w:r>
            <w:r w:rsidR="00211983" w:rsidRPr="00211983">
              <w:rPr>
                <w:webHidden/>
              </w:rPr>
            </w:r>
            <w:r w:rsidR="00211983" w:rsidRPr="00211983">
              <w:rPr>
                <w:webHidden/>
              </w:rPr>
              <w:fldChar w:fldCharType="separate"/>
            </w:r>
            <w:r>
              <w:rPr>
                <w:webHidden/>
              </w:rPr>
              <w:t>92</w:t>
            </w:r>
            <w:r w:rsidR="00211983" w:rsidRPr="00211983">
              <w:rPr>
                <w:webHidden/>
              </w:rPr>
              <w:fldChar w:fldCharType="end"/>
            </w:r>
          </w:hyperlink>
        </w:p>
        <w:p w:rsidR="00211983" w:rsidRPr="00211983" w:rsidRDefault="00121C2F" w:rsidP="00DD5AB6">
          <w:pPr>
            <w:pStyle w:val="TOC2"/>
            <w:rPr>
              <w:rFonts w:eastAsiaTheme="minorEastAsia" w:cstheme="minorBidi"/>
              <w:noProof/>
              <w:sz w:val="22"/>
              <w:szCs w:val="22"/>
            </w:rPr>
          </w:pPr>
          <w:hyperlink w:anchor="_Toc455159079" w:history="1">
            <w:r w:rsidR="00211983" w:rsidRPr="00211983">
              <w:rPr>
                <w:rStyle w:val="Hyperlink"/>
                <w:noProof/>
              </w:rPr>
              <w:t>PROGRAMA</w:t>
            </w:r>
            <w:r w:rsidR="00211983">
              <w:rPr>
                <w:rStyle w:val="Hyperlink"/>
                <w:noProof/>
              </w:rPr>
              <w:t> </w:t>
            </w:r>
            <w:r w:rsidR="00211983" w:rsidRPr="00211983">
              <w:rPr>
                <w:rStyle w:val="Hyperlink"/>
                <w:noProof/>
              </w:rPr>
              <w:t>31</w:t>
            </w:r>
            <w:r w:rsidR="00211983" w:rsidRPr="00211983">
              <w:rPr>
                <w:rFonts w:eastAsiaTheme="minorEastAsia" w:cstheme="minorBidi"/>
                <w:noProof/>
                <w:sz w:val="22"/>
                <w:szCs w:val="22"/>
              </w:rPr>
              <w:tab/>
            </w:r>
            <w:r w:rsidR="00211983" w:rsidRPr="00211983">
              <w:rPr>
                <w:rStyle w:val="Hyperlink"/>
                <w:noProof/>
              </w:rPr>
              <w:t>SISTEMA DE LA HAYA</w:t>
            </w:r>
            <w:r w:rsidR="00211983" w:rsidRPr="00211983">
              <w:rPr>
                <w:noProof/>
                <w:webHidden/>
              </w:rPr>
              <w:tab/>
            </w:r>
            <w:r w:rsidR="00211983" w:rsidRPr="00211983">
              <w:rPr>
                <w:noProof/>
                <w:webHidden/>
              </w:rPr>
              <w:fldChar w:fldCharType="begin"/>
            </w:r>
            <w:r w:rsidR="00211983" w:rsidRPr="00211983">
              <w:rPr>
                <w:noProof/>
                <w:webHidden/>
              </w:rPr>
              <w:instrText xml:space="preserve"> PAGEREF _Toc455159079 \h </w:instrText>
            </w:r>
            <w:r w:rsidR="00211983" w:rsidRPr="00211983">
              <w:rPr>
                <w:noProof/>
                <w:webHidden/>
              </w:rPr>
            </w:r>
            <w:r w:rsidR="00211983" w:rsidRPr="00211983">
              <w:rPr>
                <w:noProof/>
                <w:webHidden/>
              </w:rPr>
              <w:fldChar w:fldCharType="separate"/>
            </w:r>
            <w:r>
              <w:rPr>
                <w:noProof/>
                <w:webHidden/>
              </w:rPr>
              <w:t>110</w:t>
            </w:r>
            <w:r w:rsidR="00211983" w:rsidRPr="00211983">
              <w:rPr>
                <w:noProof/>
                <w:webHidden/>
              </w:rPr>
              <w:fldChar w:fldCharType="end"/>
            </w:r>
          </w:hyperlink>
        </w:p>
        <w:p w:rsidR="00211983" w:rsidRPr="00211983" w:rsidRDefault="00121C2F" w:rsidP="008F093A">
          <w:pPr>
            <w:pStyle w:val="TOC3"/>
            <w:rPr>
              <w:rFonts w:eastAsiaTheme="minorEastAsia" w:cstheme="minorBidi"/>
              <w:sz w:val="22"/>
              <w:szCs w:val="22"/>
              <w:lang w:val="en-US"/>
            </w:rPr>
          </w:pPr>
          <w:hyperlink w:anchor="_Toc455159080" w:history="1">
            <w:r w:rsidR="00211983">
              <w:rPr>
                <w:rStyle w:val="Hyperlink"/>
                <w:lang w:val="es-ES"/>
              </w:rPr>
              <w:t>Programa </w:t>
            </w:r>
            <w:r w:rsidR="00211983" w:rsidRPr="00211983">
              <w:rPr>
                <w:rStyle w:val="Hyperlink"/>
                <w:lang w:val="es-ES"/>
              </w:rPr>
              <w:t>31, Anexo:  Indicadores de las operaciones del Sistema de La Haya</w:t>
            </w:r>
            <w:r w:rsidR="00211983" w:rsidRPr="00211983">
              <w:rPr>
                <w:webHidden/>
              </w:rPr>
              <w:tab/>
            </w:r>
            <w:r w:rsidR="00211983" w:rsidRPr="00211983">
              <w:rPr>
                <w:webHidden/>
              </w:rPr>
              <w:fldChar w:fldCharType="begin"/>
            </w:r>
            <w:r w:rsidR="00211983" w:rsidRPr="00211983">
              <w:rPr>
                <w:webHidden/>
              </w:rPr>
              <w:instrText xml:space="preserve"> PAGEREF _Toc455159080 \h </w:instrText>
            </w:r>
            <w:r w:rsidR="00211983" w:rsidRPr="00211983">
              <w:rPr>
                <w:webHidden/>
              </w:rPr>
            </w:r>
            <w:r w:rsidR="00211983" w:rsidRPr="00211983">
              <w:rPr>
                <w:webHidden/>
              </w:rPr>
              <w:fldChar w:fldCharType="separate"/>
            </w:r>
            <w:r>
              <w:rPr>
                <w:webHidden/>
              </w:rPr>
              <w:t>115</w:t>
            </w:r>
            <w:r w:rsidR="00211983" w:rsidRPr="00211983">
              <w:rPr>
                <w:webHidden/>
              </w:rPr>
              <w:fldChar w:fldCharType="end"/>
            </w:r>
          </w:hyperlink>
        </w:p>
        <w:p w:rsidR="00211983" w:rsidRPr="00211983" w:rsidRDefault="00121C2F" w:rsidP="00DD5AB6">
          <w:pPr>
            <w:pStyle w:val="TOC2"/>
            <w:rPr>
              <w:rFonts w:eastAsiaTheme="minorEastAsia" w:cstheme="minorBidi"/>
              <w:noProof/>
              <w:sz w:val="22"/>
              <w:szCs w:val="22"/>
            </w:rPr>
          </w:pPr>
          <w:hyperlink w:anchor="_Toc455159081" w:history="1">
            <w:r w:rsidR="00211983" w:rsidRPr="00211983">
              <w:rPr>
                <w:rStyle w:val="Hyperlink"/>
                <w:noProof/>
              </w:rPr>
              <w:t>PROGRAMA 7</w:t>
            </w:r>
            <w:r w:rsidR="00211983" w:rsidRPr="00211983">
              <w:rPr>
                <w:rFonts w:eastAsiaTheme="minorEastAsia" w:cstheme="minorBidi"/>
                <w:noProof/>
                <w:sz w:val="22"/>
                <w:szCs w:val="22"/>
              </w:rPr>
              <w:tab/>
            </w:r>
            <w:r w:rsidR="00211983" w:rsidRPr="00211983">
              <w:rPr>
                <w:rStyle w:val="Hyperlink"/>
                <w:noProof/>
              </w:rPr>
              <w:t>ARBITRAJE, MEDIACIÓN Y NOMBRES DE DOMINIO</w:t>
            </w:r>
            <w:r w:rsidR="00211983" w:rsidRPr="00211983">
              <w:rPr>
                <w:noProof/>
                <w:webHidden/>
              </w:rPr>
              <w:tab/>
            </w:r>
            <w:r w:rsidR="00211983" w:rsidRPr="00211983">
              <w:rPr>
                <w:noProof/>
                <w:webHidden/>
              </w:rPr>
              <w:fldChar w:fldCharType="begin"/>
            </w:r>
            <w:r w:rsidR="00211983" w:rsidRPr="00211983">
              <w:rPr>
                <w:noProof/>
                <w:webHidden/>
              </w:rPr>
              <w:instrText xml:space="preserve"> PAGEREF _Toc455159081 \h </w:instrText>
            </w:r>
            <w:r w:rsidR="00211983" w:rsidRPr="00211983">
              <w:rPr>
                <w:noProof/>
                <w:webHidden/>
              </w:rPr>
            </w:r>
            <w:r w:rsidR="00211983" w:rsidRPr="00211983">
              <w:rPr>
                <w:noProof/>
                <w:webHidden/>
              </w:rPr>
              <w:fldChar w:fldCharType="separate"/>
            </w:r>
            <w:r>
              <w:rPr>
                <w:noProof/>
                <w:webHidden/>
              </w:rPr>
              <w:t>124</w:t>
            </w:r>
            <w:r w:rsidR="00211983" w:rsidRPr="00211983">
              <w:rPr>
                <w:noProof/>
                <w:webHidden/>
              </w:rPr>
              <w:fldChar w:fldCharType="end"/>
            </w:r>
          </w:hyperlink>
        </w:p>
        <w:p w:rsidR="00211983" w:rsidRPr="00211983" w:rsidRDefault="00121C2F" w:rsidP="00DD5AB6">
          <w:pPr>
            <w:pStyle w:val="TOC2"/>
            <w:rPr>
              <w:rFonts w:eastAsiaTheme="minorEastAsia" w:cstheme="minorBidi"/>
              <w:noProof/>
              <w:sz w:val="22"/>
              <w:szCs w:val="22"/>
            </w:rPr>
          </w:pPr>
          <w:hyperlink w:anchor="_Toc455159082" w:history="1">
            <w:r w:rsidR="00211983" w:rsidRPr="00211983">
              <w:rPr>
                <w:rStyle w:val="Hyperlink"/>
                <w:rFonts w:ascii="Arial" w:hAnsi="Arial"/>
                <w:noProof/>
                <w:lang w:val="es-ES_tradnl"/>
              </w:rPr>
              <w:t>META ESTRATÉGICA III</w:t>
            </w:r>
            <w:r w:rsidR="00211983" w:rsidRPr="00211983">
              <w:rPr>
                <w:noProof/>
                <w:webHidden/>
              </w:rPr>
              <w:tab/>
            </w:r>
            <w:r w:rsidR="00211983" w:rsidRPr="00211983">
              <w:rPr>
                <w:noProof/>
                <w:webHidden/>
              </w:rPr>
              <w:fldChar w:fldCharType="begin"/>
            </w:r>
            <w:r w:rsidR="00211983" w:rsidRPr="00211983">
              <w:rPr>
                <w:noProof/>
                <w:webHidden/>
              </w:rPr>
              <w:instrText xml:space="preserve"> PAGEREF _Toc455159082 \h </w:instrText>
            </w:r>
            <w:r w:rsidR="00211983" w:rsidRPr="00211983">
              <w:rPr>
                <w:noProof/>
                <w:webHidden/>
              </w:rPr>
            </w:r>
            <w:r w:rsidR="00211983" w:rsidRPr="00211983">
              <w:rPr>
                <w:noProof/>
                <w:webHidden/>
              </w:rPr>
              <w:fldChar w:fldCharType="separate"/>
            </w:r>
            <w:r>
              <w:rPr>
                <w:noProof/>
                <w:webHidden/>
              </w:rPr>
              <w:t>130</w:t>
            </w:r>
            <w:r w:rsidR="00211983" w:rsidRPr="00211983">
              <w:rPr>
                <w:noProof/>
                <w:webHidden/>
              </w:rPr>
              <w:fldChar w:fldCharType="end"/>
            </w:r>
          </w:hyperlink>
        </w:p>
        <w:p w:rsidR="00211983" w:rsidRPr="00211983" w:rsidRDefault="00121C2F" w:rsidP="00DD5AB6">
          <w:pPr>
            <w:pStyle w:val="TOC2"/>
            <w:rPr>
              <w:rFonts w:eastAsiaTheme="minorEastAsia" w:cstheme="minorBidi"/>
              <w:noProof/>
              <w:sz w:val="22"/>
              <w:szCs w:val="22"/>
            </w:rPr>
          </w:pPr>
          <w:hyperlink w:anchor="_Toc455159083" w:history="1">
            <w:r w:rsidR="00211983" w:rsidRPr="00211983">
              <w:rPr>
                <w:rStyle w:val="Hyperlink"/>
                <w:noProof/>
              </w:rPr>
              <w:t>PROGRAMA</w:t>
            </w:r>
            <w:r w:rsidR="00211983">
              <w:rPr>
                <w:rStyle w:val="Hyperlink"/>
                <w:noProof/>
              </w:rPr>
              <w:t> </w:t>
            </w:r>
            <w:r w:rsidR="00211983" w:rsidRPr="00211983">
              <w:rPr>
                <w:rStyle w:val="Hyperlink"/>
                <w:noProof/>
              </w:rPr>
              <w:t>8</w:t>
            </w:r>
            <w:r w:rsidR="00211983" w:rsidRPr="00211983">
              <w:rPr>
                <w:rFonts w:eastAsiaTheme="minorEastAsia" w:cstheme="minorBidi"/>
                <w:noProof/>
                <w:sz w:val="22"/>
                <w:szCs w:val="22"/>
              </w:rPr>
              <w:tab/>
            </w:r>
            <w:r w:rsidR="00211983" w:rsidRPr="00211983">
              <w:rPr>
                <w:rStyle w:val="Hyperlink"/>
                <w:noProof/>
              </w:rPr>
              <w:t>COORDINACIÓN DE LA AGENDA PARA EL DESARROLLO</w:t>
            </w:r>
            <w:r w:rsidR="00211983" w:rsidRPr="00211983">
              <w:rPr>
                <w:noProof/>
                <w:webHidden/>
              </w:rPr>
              <w:tab/>
            </w:r>
            <w:r w:rsidR="00211983" w:rsidRPr="00211983">
              <w:rPr>
                <w:noProof/>
                <w:webHidden/>
              </w:rPr>
              <w:fldChar w:fldCharType="begin"/>
            </w:r>
            <w:r w:rsidR="00211983" w:rsidRPr="00211983">
              <w:rPr>
                <w:noProof/>
                <w:webHidden/>
              </w:rPr>
              <w:instrText xml:space="preserve"> PAGEREF _Toc455159083 \h </w:instrText>
            </w:r>
            <w:r w:rsidR="00211983" w:rsidRPr="00211983">
              <w:rPr>
                <w:noProof/>
                <w:webHidden/>
              </w:rPr>
            </w:r>
            <w:r w:rsidR="00211983" w:rsidRPr="00211983">
              <w:rPr>
                <w:noProof/>
                <w:webHidden/>
              </w:rPr>
              <w:fldChar w:fldCharType="separate"/>
            </w:r>
            <w:r>
              <w:rPr>
                <w:noProof/>
                <w:webHidden/>
              </w:rPr>
              <w:t>134</w:t>
            </w:r>
            <w:r w:rsidR="00211983" w:rsidRPr="00211983">
              <w:rPr>
                <w:noProof/>
                <w:webHidden/>
              </w:rPr>
              <w:fldChar w:fldCharType="end"/>
            </w:r>
          </w:hyperlink>
        </w:p>
        <w:p w:rsidR="00211983" w:rsidRPr="00211983" w:rsidRDefault="00121C2F" w:rsidP="00DD5AB6">
          <w:pPr>
            <w:pStyle w:val="TOC2"/>
            <w:rPr>
              <w:rFonts w:eastAsiaTheme="minorEastAsia" w:cstheme="minorBidi"/>
              <w:noProof/>
              <w:sz w:val="22"/>
              <w:szCs w:val="22"/>
            </w:rPr>
          </w:pPr>
          <w:hyperlink w:anchor="_Toc455159084" w:history="1">
            <w:r w:rsidR="00211983" w:rsidRPr="00211983">
              <w:rPr>
                <w:rStyle w:val="Hyperlink"/>
                <w:noProof/>
              </w:rPr>
              <w:t>PROGRAMA</w:t>
            </w:r>
            <w:r w:rsidR="00211983">
              <w:rPr>
                <w:rStyle w:val="Hyperlink"/>
                <w:noProof/>
              </w:rPr>
              <w:t> </w:t>
            </w:r>
            <w:r w:rsidR="00211983" w:rsidRPr="00211983">
              <w:rPr>
                <w:rStyle w:val="Hyperlink"/>
                <w:noProof/>
              </w:rPr>
              <w:t>9</w:t>
            </w:r>
            <w:r w:rsidR="00211983" w:rsidRPr="00211983">
              <w:rPr>
                <w:rFonts w:eastAsiaTheme="minorEastAsia" w:cstheme="minorBidi"/>
                <w:noProof/>
                <w:sz w:val="22"/>
                <w:szCs w:val="22"/>
              </w:rPr>
              <w:tab/>
            </w:r>
            <w:r w:rsidR="00211983" w:rsidRPr="00211983">
              <w:rPr>
                <w:rStyle w:val="Hyperlink"/>
                <w:noProof/>
              </w:rPr>
              <w:t>PAÍSES AFRICANOS, ÁRABES, DE AMÉRICA LATINA Y EL CARIBE, DE ASIA Y EL PACÍFICO Y PAÍSES MENOS ADELANTADOS</w:t>
            </w:r>
            <w:r w:rsidR="00211983" w:rsidRPr="00211983">
              <w:rPr>
                <w:noProof/>
                <w:webHidden/>
              </w:rPr>
              <w:tab/>
            </w:r>
            <w:r w:rsidR="00211983" w:rsidRPr="00211983">
              <w:rPr>
                <w:noProof/>
                <w:webHidden/>
              </w:rPr>
              <w:fldChar w:fldCharType="begin"/>
            </w:r>
            <w:r w:rsidR="00211983" w:rsidRPr="00211983">
              <w:rPr>
                <w:noProof/>
                <w:webHidden/>
              </w:rPr>
              <w:instrText xml:space="preserve"> PAGEREF _Toc455159084 \h </w:instrText>
            </w:r>
            <w:r w:rsidR="00211983" w:rsidRPr="00211983">
              <w:rPr>
                <w:noProof/>
                <w:webHidden/>
              </w:rPr>
            </w:r>
            <w:r w:rsidR="00211983" w:rsidRPr="00211983">
              <w:rPr>
                <w:noProof/>
                <w:webHidden/>
              </w:rPr>
              <w:fldChar w:fldCharType="separate"/>
            </w:r>
            <w:r>
              <w:rPr>
                <w:noProof/>
                <w:webHidden/>
              </w:rPr>
              <w:t>139</w:t>
            </w:r>
            <w:r w:rsidR="00211983" w:rsidRPr="00211983">
              <w:rPr>
                <w:noProof/>
                <w:webHidden/>
              </w:rPr>
              <w:fldChar w:fldCharType="end"/>
            </w:r>
          </w:hyperlink>
        </w:p>
        <w:p w:rsidR="00211983" w:rsidRPr="00211983" w:rsidRDefault="00121C2F" w:rsidP="00DD5AB6">
          <w:pPr>
            <w:pStyle w:val="TOC2"/>
            <w:rPr>
              <w:rFonts w:eastAsiaTheme="minorEastAsia" w:cstheme="minorBidi"/>
              <w:noProof/>
              <w:sz w:val="22"/>
              <w:szCs w:val="22"/>
            </w:rPr>
          </w:pPr>
          <w:hyperlink w:anchor="_Toc455159085" w:history="1">
            <w:r w:rsidR="00211983">
              <w:rPr>
                <w:rStyle w:val="Hyperlink"/>
                <w:noProof/>
              </w:rPr>
              <w:t>PROGRAMA </w:t>
            </w:r>
            <w:r w:rsidR="00211983" w:rsidRPr="00211983">
              <w:rPr>
                <w:rStyle w:val="Hyperlink"/>
                <w:noProof/>
              </w:rPr>
              <w:t>10</w:t>
            </w:r>
            <w:r w:rsidR="00211983" w:rsidRPr="00211983">
              <w:rPr>
                <w:rFonts w:eastAsiaTheme="minorEastAsia" w:cstheme="minorBidi"/>
                <w:noProof/>
                <w:sz w:val="22"/>
                <w:szCs w:val="22"/>
              </w:rPr>
              <w:tab/>
            </w:r>
            <w:r w:rsidR="00211983" w:rsidRPr="00211983">
              <w:rPr>
                <w:rStyle w:val="Hyperlink"/>
                <w:noProof/>
              </w:rPr>
              <w:t>COOPERACIÓN CON DETERMINADOS PAÍSES DE EUROPA Y ASIA</w:t>
            </w:r>
            <w:r w:rsidR="00211983" w:rsidRPr="00211983">
              <w:rPr>
                <w:noProof/>
                <w:webHidden/>
              </w:rPr>
              <w:tab/>
            </w:r>
            <w:r w:rsidR="00211983" w:rsidRPr="00211983">
              <w:rPr>
                <w:noProof/>
                <w:webHidden/>
              </w:rPr>
              <w:fldChar w:fldCharType="begin"/>
            </w:r>
            <w:r w:rsidR="00211983" w:rsidRPr="00211983">
              <w:rPr>
                <w:noProof/>
                <w:webHidden/>
              </w:rPr>
              <w:instrText xml:space="preserve"> PAGEREF _Toc455159085 \h </w:instrText>
            </w:r>
            <w:r w:rsidR="00211983" w:rsidRPr="00211983">
              <w:rPr>
                <w:noProof/>
                <w:webHidden/>
              </w:rPr>
            </w:r>
            <w:r w:rsidR="00211983" w:rsidRPr="00211983">
              <w:rPr>
                <w:noProof/>
                <w:webHidden/>
              </w:rPr>
              <w:fldChar w:fldCharType="separate"/>
            </w:r>
            <w:r>
              <w:rPr>
                <w:noProof/>
                <w:webHidden/>
              </w:rPr>
              <w:t>151</w:t>
            </w:r>
            <w:r w:rsidR="00211983" w:rsidRPr="00211983">
              <w:rPr>
                <w:noProof/>
                <w:webHidden/>
              </w:rPr>
              <w:fldChar w:fldCharType="end"/>
            </w:r>
          </w:hyperlink>
        </w:p>
        <w:p w:rsidR="00211983" w:rsidRPr="00211983" w:rsidRDefault="00121C2F" w:rsidP="00DD5AB6">
          <w:pPr>
            <w:pStyle w:val="TOC2"/>
            <w:rPr>
              <w:rFonts w:eastAsiaTheme="minorEastAsia" w:cstheme="minorBidi"/>
              <w:noProof/>
              <w:sz w:val="22"/>
              <w:szCs w:val="22"/>
            </w:rPr>
          </w:pPr>
          <w:hyperlink w:anchor="_Toc455159086" w:history="1">
            <w:r w:rsidR="00211983" w:rsidRPr="00211983">
              <w:rPr>
                <w:rStyle w:val="Hyperlink"/>
                <w:noProof/>
              </w:rPr>
              <w:t>PROGRAMA 11</w:t>
            </w:r>
            <w:r w:rsidR="00211983" w:rsidRPr="00211983">
              <w:rPr>
                <w:rFonts w:eastAsiaTheme="minorEastAsia" w:cstheme="minorBidi"/>
                <w:noProof/>
                <w:sz w:val="22"/>
                <w:szCs w:val="22"/>
              </w:rPr>
              <w:tab/>
            </w:r>
            <w:r w:rsidR="00211983" w:rsidRPr="00211983">
              <w:rPr>
                <w:rStyle w:val="Hyperlink"/>
                <w:noProof/>
              </w:rPr>
              <w:t>ACADEMIA DE LA OMPI</w:t>
            </w:r>
            <w:r w:rsidR="00211983" w:rsidRPr="00211983">
              <w:rPr>
                <w:noProof/>
                <w:webHidden/>
              </w:rPr>
              <w:tab/>
            </w:r>
            <w:r w:rsidR="00211983" w:rsidRPr="00211983">
              <w:rPr>
                <w:noProof/>
                <w:webHidden/>
              </w:rPr>
              <w:fldChar w:fldCharType="begin"/>
            </w:r>
            <w:r w:rsidR="00211983" w:rsidRPr="00211983">
              <w:rPr>
                <w:noProof/>
                <w:webHidden/>
              </w:rPr>
              <w:instrText xml:space="preserve"> PAGEREF _Toc455159086 \h </w:instrText>
            </w:r>
            <w:r w:rsidR="00211983" w:rsidRPr="00211983">
              <w:rPr>
                <w:noProof/>
                <w:webHidden/>
              </w:rPr>
            </w:r>
            <w:r w:rsidR="00211983" w:rsidRPr="00211983">
              <w:rPr>
                <w:noProof/>
                <w:webHidden/>
              </w:rPr>
              <w:fldChar w:fldCharType="separate"/>
            </w:r>
            <w:r>
              <w:rPr>
                <w:noProof/>
                <w:webHidden/>
              </w:rPr>
              <w:t>160</w:t>
            </w:r>
            <w:r w:rsidR="00211983" w:rsidRPr="00211983">
              <w:rPr>
                <w:noProof/>
                <w:webHidden/>
              </w:rPr>
              <w:fldChar w:fldCharType="end"/>
            </w:r>
          </w:hyperlink>
        </w:p>
        <w:p w:rsidR="00211983" w:rsidRPr="00211983" w:rsidRDefault="00121C2F" w:rsidP="00DD5AB6">
          <w:pPr>
            <w:pStyle w:val="TOC2"/>
            <w:rPr>
              <w:rFonts w:eastAsiaTheme="minorEastAsia" w:cstheme="minorBidi"/>
              <w:noProof/>
              <w:sz w:val="22"/>
              <w:szCs w:val="22"/>
            </w:rPr>
          </w:pPr>
          <w:hyperlink w:anchor="_Toc455159087" w:history="1">
            <w:r w:rsidR="00211983">
              <w:rPr>
                <w:rStyle w:val="Hyperlink"/>
                <w:noProof/>
              </w:rPr>
              <w:t>PROGRAMA </w:t>
            </w:r>
            <w:r w:rsidR="00211983" w:rsidRPr="00211983">
              <w:rPr>
                <w:rStyle w:val="Hyperlink"/>
                <w:noProof/>
              </w:rPr>
              <w:t>30</w:t>
            </w:r>
            <w:r w:rsidR="00211983" w:rsidRPr="00211983">
              <w:rPr>
                <w:rFonts w:eastAsiaTheme="minorEastAsia" w:cstheme="minorBidi"/>
                <w:noProof/>
                <w:sz w:val="22"/>
                <w:szCs w:val="22"/>
              </w:rPr>
              <w:tab/>
            </w:r>
            <w:r w:rsidR="00211983" w:rsidRPr="00211983">
              <w:rPr>
                <w:rStyle w:val="Hyperlink"/>
                <w:noProof/>
              </w:rPr>
              <w:t>LAS PEQUEÑAS Y MEDIANAS EMPRESAS (PYMES) Y LA INNOVACIÓN</w:t>
            </w:r>
            <w:r w:rsidR="00211983" w:rsidRPr="00211983">
              <w:rPr>
                <w:noProof/>
                <w:webHidden/>
              </w:rPr>
              <w:tab/>
            </w:r>
            <w:r w:rsidR="00211983" w:rsidRPr="00211983">
              <w:rPr>
                <w:noProof/>
                <w:webHidden/>
              </w:rPr>
              <w:fldChar w:fldCharType="begin"/>
            </w:r>
            <w:r w:rsidR="00211983" w:rsidRPr="00211983">
              <w:rPr>
                <w:noProof/>
                <w:webHidden/>
              </w:rPr>
              <w:instrText xml:space="preserve"> PAGEREF _Toc455159087 \h </w:instrText>
            </w:r>
            <w:r w:rsidR="00211983" w:rsidRPr="00211983">
              <w:rPr>
                <w:noProof/>
                <w:webHidden/>
              </w:rPr>
            </w:r>
            <w:r w:rsidR="00211983" w:rsidRPr="00211983">
              <w:rPr>
                <w:noProof/>
                <w:webHidden/>
              </w:rPr>
              <w:fldChar w:fldCharType="separate"/>
            </w:r>
            <w:r>
              <w:rPr>
                <w:noProof/>
                <w:webHidden/>
              </w:rPr>
              <w:t>168</w:t>
            </w:r>
            <w:r w:rsidR="00211983" w:rsidRPr="00211983">
              <w:rPr>
                <w:noProof/>
                <w:webHidden/>
              </w:rPr>
              <w:fldChar w:fldCharType="end"/>
            </w:r>
          </w:hyperlink>
        </w:p>
        <w:p w:rsidR="00211983" w:rsidRPr="00211983" w:rsidRDefault="00121C2F" w:rsidP="00DD5AB6">
          <w:pPr>
            <w:pStyle w:val="TOC2"/>
            <w:rPr>
              <w:rFonts w:eastAsiaTheme="minorEastAsia" w:cstheme="minorBidi"/>
              <w:noProof/>
              <w:sz w:val="22"/>
              <w:szCs w:val="22"/>
            </w:rPr>
          </w:pPr>
          <w:hyperlink w:anchor="_Toc455159088" w:history="1">
            <w:r w:rsidR="00211983" w:rsidRPr="00211983">
              <w:rPr>
                <w:rStyle w:val="Hyperlink"/>
                <w:rFonts w:ascii="Arial" w:hAnsi="Arial" w:cs="Arial"/>
                <w:noProof/>
                <w:lang w:val="es-ES_tradnl"/>
              </w:rPr>
              <w:t>META ESTRATÉGICA IV</w:t>
            </w:r>
            <w:r w:rsidR="00211983" w:rsidRPr="00211983">
              <w:rPr>
                <w:noProof/>
                <w:webHidden/>
              </w:rPr>
              <w:tab/>
            </w:r>
            <w:r w:rsidR="00211983" w:rsidRPr="00211983">
              <w:rPr>
                <w:noProof/>
                <w:webHidden/>
              </w:rPr>
              <w:fldChar w:fldCharType="begin"/>
            </w:r>
            <w:r w:rsidR="00211983" w:rsidRPr="00211983">
              <w:rPr>
                <w:noProof/>
                <w:webHidden/>
              </w:rPr>
              <w:instrText xml:space="preserve"> PAGEREF _Toc455159088 \h </w:instrText>
            </w:r>
            <w:r w:rsidR="00211983" w:rsidRPr="00211983">
              <w:rPr>
                <w:noProof/>
                <w:webHidden/>
              </w:rPr>
            </w:r>
            <w:r w:rsidR="00211983" w:rsidRPr="00211983">
              <w:rPr>
                <w:noProof/>
                <w:webHidden/>
              </w:rPr>
              <w:fldChar w:fldCharType="separate"/>
            </w:r>
            <w:r>
              <w:rPr>
                <w:noProof/>
                <w:webHidden/>
              </w:rPr>
              <w:t>176</w:t>
            </w:r>
            <w:r w:rsidR="00211983" w:rsidRPr="00211983">
              <w:rPr>
                <w:noProof/>
                <w:webHidden/>
              </w:rPr>
              <w:fldChar w:fldCharType="end"/>
            </w:r>
          </w:hyperlink>
        </w:p>
        <w:p w:rsidR="00211983" w:rsidRPr="00211983" w:rsidRDefault="00121C2F" w:rsidP="00DD5AB6">
          <w:pPr>
            <w:pStyle w:val="TOC2"/>
            <w:rPr>
              <w:rFonts w:eastAsiaTheme="minorEastAsia" w:cstheme="minorBidi"/>
              <w:noProof/>
              <w:sz w:val="22"/>
              <w:szCs w:val="22"/>
            </w:rPr>
          </w:pPr>
          <w:hyperlink w:anchor="_Toc455159089" w:history="1">
            <w:r w:rsidR="00211983" w:rsidRPr="00211983">
              <w:rPr>
                <w:rStyle w:val="Hyperlink"/>
                <w:noProof/>
              </w:rPr>
              <w:t>PROGRAMA 12</w:t>
            </w:r>
            <w:r w:rsidR="00211983" w:rsidRPr="00211983">
              <w:rPr>
                <w:rFonts w:eastAsiaTheme="minorEastAsia" w:cstheme="minorBidi"/>
                <w:noProof/>
                <w:sz w:val="22"/>
                <w:szCs w:val="22"/>
              </w:rPr>
              <w:tab/>
            </w:r>
            <w:r w:rsidR="00211983" w:rsidRPr="00211983">
              <w:rPr>
                <w:rStyle w:val="Hyperlink"/>
                <w:noProof/>
              </w:rPr>
              <w:t>CLASIFICACIONES INTERNACIONALES Y NORMAS TÉCNICAS DE LA OMPI</w:t>
            </w:r>
            <w:r w:rsidR="00211983" w:rsidRPr="00211983">
              <w:rPr>
                <w:noProof/>
                <w:webHidden/>
              </w:rPr>
              <w:tab/>
            </w:r>
            <w:r w:rsidR="00211983" w:rsidRPr="00211983">
              <w:rPr>
                <w:noProof/>
                <w:webHidden/>
              </w:rPr>
              <w:fldChar w:fldCharType="begin"/>
            </w:r>
            <w:r w:rsidR="00211983" w:rsidRPr="00211983">
              <w:rPr>
                <w:noProof/>
                <w:webHidden/>
              </w:rPr>
              <w:instrText xml:space="preserve"> PAGEREF _Toc455159089 \h </w:instrText>
            </w:r>
            <w:r w:rsidR="00211983" w:rsidRPr="00211983">
              <w:rPr>
                <w:noProof/>
                <w:webHidden/>
              </w:rPr>
            </w:r>
            <w:r w:rsidR="00211983" w:rsidRPr="00211983">
              <w:rPr>
                <w:noProof/>
                <w:webHidden/>
              </w:rPr>
              <w:fldChar w:fldCharType="separate"/>
            </w:r>
            <w:r>
              <w:rPr>
                <w:noProof/>
                <w:webHidden/>
              </w:rPr>
              <w:t>179</w:t>
            </w:r>
            <w:r w:rsidR="00211983" w:rsidRPr="00211983">
              <w:rPr>
                <w:noProof/>
                <w:webHidden/>
              </w:rPr>
              <w:fldChar w:fldCharType="end"/>
            </w:r>
          </w:hyperlink>
        </w:p>
        <w:p w:rsidR="00211983" w:rsidRPr="00211983" w:rsidRDefault="00121C2F" w:rsidP="00DD5AB6">
          <w:pPr>
            <w:pStyle w:val="TOC2"/>
            <w:rPr>
              <w:rFonts w:eastAsiaTheme="minorEastAsia" w:cstheme="minorBidi"/>
              <w:noProof/>
              <w:sz w:val="22"/>
              <w:szCs w:val="22"/>
            </w:rPr>
          </w:pPr>
          <w:hyperlink w:anchor="_Toc455159090" w:history="1">
            <w:r w:rsidR="00211983" w:rsidRPr="00211983">
              <w:rPr>
                <w:rStyle w:val="Hyperlink"/>
                <w:noProof/>
              </w:rPr>
              <w:t>PROGRAMA 13</w:t>
            </w:r>
            <w:r w:rsidR="00211983" w:rsidRPr="00211983">
              <w:rPr>
                <w:rFonts w:eastAsiaTheme="minorEastAsia" w:cstheme="minorBidi"/>
                <w:noProof/>
                <w:sz w:val="22"/>
                <w:szCs w:val="22"/>
              </w:rPr>
              <w:tab/>
            </w:r>
            <w:r w:rsidR="00211983" w:rsidRPr="00211983">
              <w:rPr>
                <w:rStyle w:val="Hyperlink"/>
                <w:noProof/>
              </w:rPr>
              <w:t>BASES MUNDIALES DE DATOS</w:t>
            </w:r>
            <w:r w:rsidR="00211983" w:rsidRPr="00211983">
              <w:rPr>
                <w:noProof/>
                <w:webHidden/>
              </w:rPr>
              <w:tab/>
            </w:r>
            <w:r w:rsidR="00211983" w:rsidRPr="00211983">
              <w:rPr>
                <w:noProof/>
                <w:webHidden/>
              </w:rPr>
              <w:fldChar w:fldCharType="begin"/>
            </w:r>
            <w:r w:rsidR="00211983" w:rsidRPr="00211983">
              <w:rPr>
                <w:noProof/>
                <w:webHidden/>
              </w:rPr>
              <w:instrText xml:space="preserve"> PAGEREF _Toc455159090 \h </w:instrText>
            </w:r>
            <w:r w:rsidR="00211983" w:rsidRPr="00211983">
              <w:rPr>
                <w:noProof/>
                <w:webHidden/>
              </w:rPr>
            </w:r>
            <w:r w:rsidR="00211983" w:rsidRPr="00211983">
              <w:rPr>
                <w:noProof/>
                <w:webHidden/>
              </w:rPr>
              <w:fldChar w:fldCharType="separate"/>
            </w:r>
            <w:r>
              <w:rPr>
                <w:noProof/>
                <w:webHidden/>
              </w:rPr>
              <w:t>183</w:t>
            </w:r>
            <w:r w:rsidR="00211983" w:rsidRPr="00211983">
              <w:rPr>
                <w:noProof/>
                <w:webHidden/>
              </w:rPr>
              <w:fldChar w:fldCharType="end"/>
            </w:r>
          </w:hyperlink>
        </w:p>
        <w:p w:rsidR="00211983" w:rsidRPr="00211983" w:rsidRDefault="00121C2F" w:rsidP="00DD5AB6">
          <w:pPr>
            <w:pStyle w:val="TOC2"/>
            <w:rPr>
              <w:rFonts w:eastAsiaTheme="minorEastAsia" w:cstheme="minorBidi"/>
              <w:noProof/>
              <w:sz w:val="22"/>
              <w:szCs w:val="22"/>
            </w:rPr>
          </w:pPr>
          <w:hyperlink w:anchor="_Toc455159091" w:history="1">
            <w:r w:rsidR="00211983" w:rsidRPr="00211983">
              <w:rPr>
                <w:rStyle w:val="Hyperlink"/>
                <w:noProof/>
              </w:rPr>
              <w:t>PROGRAMA 14</w:t>
            </w:r>
            <w:r w:rsidR="00211983" w:rsidRPr="00211983">
              <w:rPr>
                <w:rFonts w:eastAsiaTheme="minorEastAsia" w:cstheme="minorBidi"/>
                <w:noProof/>
                <w:sz w:val="22"/>
                <w:szCs w:val="22"/>
              </w:rPr>
              <w:tab/>
            </w:r>
            <w:r w:rsidR="00211983" w:rsidRPr="00211983">
              <w:rPr>
                <w:rStyle w:val="Hyperlink"/>
                <w:noProof/>
              </w:rPr>
              <w:t>SERVICIOS DE ACCESO A LA INFORMACIÓN Y A LOS CONOCIMIENTOS</w:t>
            </w:r>
            <w:r w:rsidR="00211983" w:rsidRPr="00211983">
              <w:rPr>
                <w:noProof/>
                <w:webHidden/>
              </w:rPr>
              <w:tab/>
            </w:r>
            <w:r w:rsidR="00211983" w:rsidRPr="00211983">
              <w:rPr>
                <w:noProof/>
                <w:webHidden/>
              </w:rPr>
              <w:fldChar w:fldCharType="begin"/>
            </w:r>
            <w:r w:rsidR="00211983" w:rsidRPr="00211983">
              <w:rPr>
                <w:noProof/>
                <w:webHidden/>
              </w:rPr>
              <w:instrText xml:space="preserve"> PAGEREF _Toc455159091 \h </w:instrText>
            </w:r>
            <w:r w:rsidR="00211983" w:rsidRPr="00211983">
              <w:rPr>
                <w:noProof/>
                <w:webHidden/>
              </w:rPr>
            </w:r>
            <w:r w:rsidR="00211983" w:rsidRPr="00211983">
              <w:rPr>
                <w:noProof/>
                <w:webHidden/>
              </w:rPr>
              <w:fldChar w:fldCharType="separate"/>
            </w:r>
            <w:r>
              <w:rPr>
                <w:noProof/>
                <w:webHidden/>
              </w:rPr>
              <w:t>188</w:t>
            </w:r>
            <w:r w:rsidR="00211983" w:rsidRPr="00211983">
              <w:rPr>
                <w:noProof/>
                <w:webHidden/>
              </w:rPr>
              <w:fldChar w:fldCharType="end"/>
            </w:r>
          </w:hyperlink>
        </w:p>
        <w:p w:rsidR="00211983" w:rsidRPr="00211983" w:rsidRDefault="00121C2F" w:rsidP="00DD5AB6">
          <w:pPr>
            <w:pStyle w:val="TOC2"/>
            <w:rPr>
              <w:rFonts w:eastAsiaTheme="minorEastAsia" w:cstheme="minorBidi"/>
              <w:noProof/>
              <w:sz w:val="22"/>
              <w:szCs w:val="22"/>
            </w:rPr>
          </w:pPr>
          <w:hyperlink w:anchor="_Toc455159092" w:history="1">
            <w:r w:rsidR="00211983" w:rsidRPr="00211983">
              <w:rPr>
                <w:rStyle w:val="Hyperlink"/>
                <w:noProof/>
              </w:rPr>
              <w:t>PROGRAMA 15</w:t>
            </w:r>
            <w:r w:rsidR="00211983" w:rsidRPr="00211983">
              <w:rPr>
                <w:rFonts w:eastAsiaTheme="minorEastAsia" w:cstheme="minorBidi"/>
                <w:noProof/>
                <w:sz w:val="22"/>
                <w:szCs w:val="22"/>
              </w:rPr>
              <w:tab/>
            </w:r>
            <w:r w:rsidR="00211983" w:rsidRPr="00211983">
              <w:rPr>
                <w:rStyle w:val="Hyperlink"/>
                <w:noProof/>
              </w:rPr>
              <w:t>SOLUCIONES OPERATIVAS PARA LAS OFICINAS DE P.I.</w:t>
            </w:r>
            <w:r w:rsidR="00211983" w:rsidRPr="00211983">
              <w:rPr>
                <w:noProof/>
                <w:webHidden/>
              </w:rPr>
              <w:tab/>
            </w:r>
            <w:r w:rsidR="00211983" w:rsidRPr="00211983">
              <w:rPr>
                <w:noProof/>
                <w:webHidden/>
              </w:rPr>
              <w:fldChar w:fldCharType="begin"/>
            </w:r>
            <w:r w:rsidR="00211983" w:rsidRPr="00211983">
              <w:rPr>
                <w:noProof/>
                <w:webHidden/>
              </w:rPr>
              <w:instrText xml:space="preserve"> PAGEREF _Toc455159092 \h </w:instrText>
            </w:r>
            <w:r w:rsidR="00211983" w:rsidRPr="00211983">
              <w:rPr>
                <w:noProof/>
                <w:webHidden/>
              </w:rPr>
            </w:r>
            <w:r w:rsidR="00211983" w:rsidRPr="00211983">
              <w:rPr>
                <w:noProof/>
                <w:webHidden/>
              </w:rPr>
              <w:fldChar w:fldCharType="separate"/>
            </w:r>
            <w:r>
              <w:rPr>
                <w:noProof/>
                <w:webHidden/>
              </w:rPr>
              <w:t>193</w:t>
            </w:r>
            <w:r w:rsidR="00211983" w:rsidRPr="00211983">
              <w:rPr>
                <w:noProof/>
                <w:webHidden/>
              </w:rPr>
              <w:fldChar w:fldCharType="end"/>
            </w:r>
          </w:hyperlink>
        </w:p>
        <w:p w:rsidR="00211983" w:rsidRPr="00211983" w:rsidRDefault="00121C2F" w:rsidP="00DD5AB6">
          <w:pPr>
            <w:pStyle w:val="TOC2"/>
            <w:rPr>
              <w:rFonts w:eastAsiaTheme="minorEastAsia" w:cstheme="minorBidi"/>
              <w:noProof/>
              <w:sz w:val="22"/>
              <w:szCs w:val="22"/>
            </w:rPr>
          </w:pPr>
          <w:hyperlink w:anchor="_Toc455159093" w:history="1">
            <w:r w:rsidR="00211983" w:rsidRPr="00211983">
              <w:rPr>
                <w:rStyle w:val="Hyperlink"/>
                <w:rFonts w:ascii="Arial" w:hAnsi="Arial" w:cs="Arial"/>
                <w:noProof/>
                <w:lang w:val="es-ES_tradnl"/>
              </w:rPr>
              <w:t>META ESTRATÉGICA V</w:t>
            </w:r>
            <w:r w:rsidR="00211983" w:rsidRPr="00211983">
              <w:rPr>
                <w:noProof/>
                <w:webHidden/>
              </w:rPr>
              <w:tab/>
            </w:r>
            <w:r w:rsidR="00211983" w:rsidRPr="00211983">
              <w:rPr>
                <w:noProof/>
                <w:webHidden/>
              </w:rPr>
              <w:fldChar w:fldCharType="begin"/>
            </w:r>
            <w:r w:rsidR="00211983" w:rsidRPr="00211983">
              <w:rPr>
                <w:noProof/>
                <w:webHidden/>
              </w:rPr>
              <w:instrText xml:space="preserve"> PAGEREF _Toc455159093 \h </w:instrText>
            </w:r>
            <w:r w:rsidR="00211983" w:rsidRPr="00211983">
              <w:rPr>
                <w:noProof/>
                <w:webHidden/>
              </w:rPr>
            </w:r>
            <w:r w:rsidR="00211983" w:rsidRPr="00211983">
              <w:rPr>
                <w:noProof/>
                <w:webHidden/>
              </w:rPr>
              <w:fldChar w:fldCharType="separate"/>
            </w:r>
            <w:r>
              <w:rPr>
                <w:noProof/>
                <w:webHidden/>
              </w:rPr>
              <w:t>198</w:t>
            </w:r>
            <w:r w:rsidR="00211983" w:rsidRPr="00211983">
              <w:rPr>
                <w:noProof/>
                <w:webHidden/>
              </w:rPr>
              <w:fldChar w:fldCharType="end"/>
            </w:r>
          </w:hyperlink>
        </w:p>
        <w:p w:rsidR="00211983" w:rsidRPr="00211983" w:rsidRDefault="00121C2F" w:rsidP="00DD5AB6">
          <w:pPr>
            <w:pStyle w:val="TOC2"/>
            <w:rPr>
              <w:rFonts w:eastAsiaTheme="minorEastAsia" w:cstheme="minorBidi"/>
              <w:noProof/>
              <w:sz w:val="22"/>
              <w:szCs w:val="22"/>
            </w:rPr>
          </w:pPr>
          <w:hyperlink w:anchor="_Toc455159094" w:history="1">
            <w:r w:rsidR="00211983" w:rsidRPr="00211983">
              <w:rPr>
                <w:rStyle w:val="Hyperlink"/>
                <w:noProof/>
              </w:rPr>
              <w:t>PROGRAMA 16</w:t>
            </w:r>
            <w:r w:rsidR="00211983" w:rsidRPr="00211983">
              <w:rPr>
                <w:rFonts w:eastAsiaTheme="minorEastAsia" w:cstheme="minorBidi"/>
                <w:noProof/>
                <w:sz w:val="22"/>
                <w:szCs w:val="22"/>
              </w:rPr>
              <w:tab/>
            </w:r>
            <w:r w:rsidR="00211983" w:rsidRPr="00211983">
              <w:rPr>
                <w:rStyle w:val="Hyperlink"/>
                <w:noProof/>
              </w:rPr>
              <w:t>ECONOMÍA Y ESTADÍSTICA</w:t>
            </w:r>
            <w:r w:rsidR="00211983" w:rsidRPr="00211983">
              <w:rPr>
                <w:noProof/>
                <w:webHidden/>
              </w:rPr>
              <w:tab/>
            </w:r>
            <w:r w:rsidR="00211983" w:rsidRPr="00211983">
              <w:rPr>
                <w:noProof/>
                <w:webHidden/>
              </w:rPr>
              <w:fldChar w:fldCharType="begin"/>
            </w:r>
            <w:r w:rsidR="00211983" w:rsidRPr="00211983">
              <w:rPr>
                <w:noProof/>
                <w:webHidden/>
              </w:rPr>
              <w:instrText xml:space="preserve"> PAGEREF _Toc455159094 \h </w:instrText>
            </w:r>
            <w:r w:rsidR="00211983" w:rsidRPr="00211983">
              <w:rPr>
                <w:noProof/>
                <w:webHidden/>
              </w:rPr>
            </w:r>
            <w:r w:rsidR="00211983" w:rsidRPr="00211983">
              <w:rPr>
                <w:noProof/>
                <w:webHidden/>
              </w:rPr>
              <w:fldChar w:fldCharType="separate"/>
            </w:r>
            <w:r>
              <w:rPr>
                <w:noProof/>
                <w:webHidden/>
              </w:rPr>
              <w:t>199</w:t>
            </w:r>
            <w:r w:rsidR="00211983" w:rsidRPr="00211983">
              <w:rPr>
                <w:noProof/>
                <w:webHidden/>
              </w:rPr>
              <w:fldChar w:fldCharType="end"/>
            </w:r>
          </w:hyperlink>
        </w:p>
        <w:p w:rsidR="00211983" w:rsidRPr="00211983" w:rsidRDefault="00121C2F" w:rsidP="00DD5AB6">
          <w:pPr>
            <w:pStyle w:val="TOC2"/>
            <w:rPr>
              <w:rFonts w:eastAsiaTheme="minorEastAsia" w:cstheme="minorBidi"/>
              <w:noProof/>
              <w:sz w:val="22"/>
              <w:szCs w:val="22"/>
            </w:rPr>
          </w:pPr>
          <w:hyperlink w:anchor="_Toc455159095" w:history="1">
            <w:r w:rsidR="00211983" w:rsidRPr="00211983">
              <w:rPr>
                <w:rStyle w:val="Hyperlink"/>
                <w:rFonts w:ascii="Arial" w:hAnsi="Arial" w:cs="Arial"/>
                <w:noProof/>
                <w:lang w:val="es-ES_tradnl"/>
              </w:rPr>
              <w:t>META ESTRATÉGICA VI</w:t>
            </w:r>
            <w:r w:rsidR="00211983" w:rsidRPr="00211983">
              <w:rPr>
                <w:noProof/>
                <w:webHidden/>
              </w:rPr>
              <w:tab/>
            </w:r>
            <w:r w:rsidR="00211983" w:rsidRPr="00211983">
              <w:rPr>
                <w:noProof/>
                <w:webHidden/>
              </w:rPr>
              <w:fldChar w:fldCharType="begin"/>
            </w:r>
            <w:r w:rsidR="00211983" w:rsidRPr="00211983">
              <w:rPr>
                <w:noProof/>
                <w:webHidden/>
              </w:rPr>
              <w:instrText xml:space="preserve"> PAGEREF _Toc455159095 \h </w:instrText>
            </w:r>
            <w:r w:rsidR="00211983" w:rsidRPr="00211983">
              <w:rPr>
                <w:noProof/>
                <w:webHidden/>
              </w:rPr>
            </w:r>
            <w:r w:rsidR="00211983" w:rsidRPr="00211983">
              <w:rPr>
                <w:noProof/>
                <w:webHidden/>
              </w:rPr>
              <w:fldChar w:fldCharType="separate"/>
            </w:r>
            <w:r>
              <w:rPr>
                <w:noProof/>
                <w:webHidden/>
              </w:rPr>
              <w:t>204</w:t>
            </w:r>
            <w:r w:rsidR="00211983" w:rsidRPr="00211983">
              <w:rPr>
                <w:noProof/>
                <w:webHidden/>
              </w:rPr>
              <w:fldChar w:fldCharType="end"/>
            </w:r>
          </w:hyperlink>
        </w:p>
        <w:p w:rsidR="00211983" w:rsidRPr="00211983" w:rsidRDefault="00121C2F" w:rsidP="00DD5AB6">
          <w:pPr>
            <w:pStyle w:val="TOC2"/>
            <w:rPr>
              <w:rFonts w:eastAsiaTheme="minorEastAsia" w:cstheme="minorBidi"/>
              <w:noProof/>
              <w:sz w:val="22"/>
              <w:szCs w:val="22"/>
            </w:rPr>
          </w:pPr>
          <w:hyperlink w:anchor="_Toc455159096" w:history="1">
            <w:r w:rsidR="00211983" w:rsidRPr="00211983">
              <w:rPr>
                <w:rStyle w:val="Hyperlink"/>
                <w:noProof/>
              </w:rPr>
              <w:t>PROGRAMA 17</w:t>
            </w:r>
            <w:r w:rsidR="00211983" w:rsidRPr="00211983">
              <w:rPr>
                <w:rFonts w:eastAsiaTheme="minorEastAsia" w:cstheme="minorBidi"/>
                <w:noProof/>
                <w:sz w:val="22"/>
                <w:szCs w:val="22"/>
              </w:rPr>
              <w:tab/>
            </w:r>
            <w:r w:rsidR="00211983" w:rsidRPr="00211983">
              <w:rPr>
                <w:rStyle w:val="Hyperlink"/>
                <w:noProof/>
              </w:rPr>
              <w:t>FOMENTAR EL RESPETO POR LA P.I.</w:t>
            </w:r>
            <w:r w:rsidR="00211983" w:rsidRPr="00211983">
              <w:rPr>
                <w:noProof/>
                <w:webHidden/>
              </w:rPr>
              <w:tab/>
            </w:r>
            <w:r w:rsidR="00211983" w:rsidRPr="00211983">
              <w:rPr>
                <w:noProof/>
                <w:webHidden/>
              </w:rPr>
              <w:fldChar w:fldCharType="begin"/>
            </w:r>
            <w:r w:rsidR="00211983" w:rsidRPr="00211983">
              <w:rPr>
                <w:noProof/>
                <w:webHidden/>
              </w:rPr>
              <w:instrText xml:space="preserve"> PAGEREF _Toc455159096 \h </w:instrText>
            </w:r>
            <w:r w:rsidR="00211983" w:rsidRPr="00211983">
              <w:rPr>
                <w:noProof/>
                <w:webHidden/>
              </w:rPr>
            </w:r>
            <w:r w:rsidR="00211983" w:rsidRPr="00211983">
              <w:rPr>
                <w:noProof/>
                <w:webHidden/>
              </w:rPr>
              <w:fldChar w:fldCharType="separate"/>
            </w:r>
            <w:r>
              <w:rPr>
                <w:noProof/>
                <w:webHidden/>
              </w:rPr>
              <w:t>205</w:t>
            </w:r>
            <w:r w:rsidR="00211983" w:rsidRPr="00211983">
              <w:rPr>
                <w:noProof/>
                <w:webHidden/>
              </w:rPr>
              <w:fldChar w:fldCharType="end"/>
            </w:r>
          </w:hyperlink>
        </w:p>
        <w:p w:rsidR="00211983" w:rsidRPr="00211983" w:rsidRDefault="00121C2F" w:rsidP="00DD5AB6">
          <w:pPr>
            <w:pStyle w:val="TOC2"/>
            <w:rPr>
              <w:rFonts w:eastAsiaTheme="minorEastAsia" w:cstheme="minorBidi"/>
              <w:noProof/>
              <w:sz w:val="22"/>
              <w:szCs w:val="22"/>
            </w:rPr>
          </w:pPr>
          <w:hyperlink w:anchor="_Toc455159097" w:history="1">
            <w:r w:rsidR="00211983" w:rsidRPr="00211983">
              <w:rPr>
                <w:rStyle w:val="Hyperlink"/>
                <w:rFonts w:ascii="Arial" w:hAnsi="Arial" w:cs="Arial"/>
                <w:noProof/>
                <w:lang w:val="es-ES_tradnl"/>
              </w:rPr>
              <w:t>META ESTRATÉGICA VII</w:t>
            </w:r>
            <w:r w:rsidR="00211983" w:rsidRPr="00211983">
              <w:rPr>
                <w:noProof/>
                <w:webHidden/>
              </w:rPr>
              <w:tab/>
            </w:r>
            <w:r w:rsidR="00211983" w:rsidRPr="00211983">
              <w:rPr>
                <w:noProof/>
                <w:webHidden/>
              </w:rPr>
              <w:fldChar w:fldCharType="begin"/>
            </w:r>
            <w:r w:rsidR="00211983" w:rsidRPr="00211983">
              <w:rPr>
                <w:noProof/>
                <w:webHidden/>
              </w:rPr>
              <w:instrText xml:space="preserve"> PAGEREF _Toc455159097 \h </w:instrText>
            </w:r>
            <w:r w:rsidR="00211983" w:rsidRPr="00211983">
              <w:rPr>
                <w:noProof/>
                <w:webHidden/>
              </w:rPr>
            </w:r>
            <w:r w:rsidR="00211983" w:rsidRPr="00211983">
              <w:rPr>
                <w:noProof/>
                <w:webHidden/>
              </w:rPr>
              <w:fldChar w:fldCharType="separate"/>
            </w:r>
            <w:r>
              <w:rPr>
                <w:noProof/>
                <w:webHidden/>
              </w:rPr>
              <w:t>210</w:t>
            </w:r>
            <w:r w:rsidR="00211983" w:rsidRPr="00211983">
              <w:rPr>
                <w:noProof/>
                <w:webHidden/>
              </w:rPr>
              <w:fldChar w:fldCharType="end"/>
            </w:r>
          </w:hyperlink>
        </w:p>
        <w:p w:rsidR="00211983" w:rsidRPr="00211983" w:rsidRDefault="00121C2F" w:rsidP="00DD5AB6">
          <w:pPr>
            <w:pStyle w:val="TOC2"/>
            <w:rPr>
              <w:rFonts w:eastAsiaTheme="minorEastAsia" w:cstheme="minorBidi"/>
              <w:noProof/>
              <w:sz w:val="22"/>
              <w:szCs w:val="22"/>
            </w:rPr>
          </w:pPr>
          <w:hyperlink w:anchor="_Toc455159098" w:history="1">
            <w:r w:rsidR="00211983" w:rsidRPr="00211983">
              <w:rPr>
                <w:rStyle w:val="Hyperlink"/>
                <w:noProof/>
              </w:rPr>
              <w:t>PROGRAMA 18</w:t>
            </w:r>
            <w:r w:rsidR="00211983" w:rsidRPr="00211983">
              <w:rPr>
                <w:rFonts w:eastAsiaTheme="minorEastAsia" w:cstheme="minorBidi"/>
                <w:noProof/>
                <w:sz w:val="22"/>
                <w:szCs w:val="22"/>
              </w:rPr>
              <w:tab/>
            </w:r>
            <w:r w:rsidR="00211983" w:rsidRPr="00211983">
              <w:rPr>
                <w:rStyle w:val="Hyperlink"/>
                <w:noProof/>
              </w:rPr>
              <w:t>LA P.I. Y LOS DESAFÍOS MUNDIALES</w:t>
            </w:r>
            <w:r w:rsidR="00211983" w:rsidRPr="00211983">
              <w:rPr>
                <w:noProof/>
                <w:webHidden/>
              </w:rPr>
              <w:tab/>
            </w:r>
            <w:r w:rsidR="00211983" w:rsidRPr="00211983">
              <w:rPr>
                <w:noProof/>
                <w:webHidden/>
              </w:rPr>
              <w:fldChar w:fldCharType="begin"/>
            </w:r>
            <w:r w:rsidR="00211983" w:rsidRPr="00211983">
              <w:rPr>
                <w:noProof/>
                <w:webHidden/>
              </w:rPr>
              <w:instrText xml:space="preserve"> PAGEREF _Toc455159098 \h </w:instrText>
            </w:r>
            <w:r w:rsidR="00211983" w:rsidRPr="00211983">
              <w:rPr>
                <w:noProof/>
                <w:webHidden/>
              </w:rPr>
            </w:r>
            <w:r w:rsidR="00211983" w:rsidRPr="00211983">
              <w:rPr>
                <w:noProof/>
                <w:webHidden/>
              </w:rPr>
              <w:fldChar w:fldCharType="separate"/>
            </w:r>
            <w:r>
              <w:rPr>
                <w:noProof/>
                <w:webHidden/>
              </w:rPr>
              <w:t>212</w:t>
            </w:r>
            <w:r w:rsidR="00211983" w:rsidRPr="00211983">
              <w:rPr>
                <w:noProof/>
                <w:webHidden/>
              </w:rPr>
              <w:fldChar w:fldCharType="end"/>
            </w:r>
          </w:hyperlink>
        </w:p>
        <w:p w:rsidR="00211983" w:rsidRPr="00211983" w:rsidRDefault="00121C2F" w:rsidP="00DD5AB6">
          <w:pPr>
            <w:pStyle w:val="TOC2"/>
            <w:rPr>
              <w:rFonts w:eastAsiaTheme="minorEastAsia" w:cstheme="minorBidi"/>
              <w:noProof/>
              <w:sz w:val="22"/>
              <w:szCs w:val="22"/>
            </w:rPr>
          </w:pPr>
          <w:hyperlink w:anchor="_Toc455159099" w:history="1">
            <w:r w:rsidR="00211983" w:rsidRPr="00211983">
              <w:rPr>
                <w:rStyle w:val="Hyperlink"/>
                <w:rFonts w:ascii="Arial" w:hAnsi="Arial" w:cs="Arial"/>
                <w:noProof/>
                <w:lang w:val="es-ES_tradnl"/>
              </w:rPr>
              <w:t>META ESTRATÉGICA VIII</w:t>
            </w:r>
            <w:r w:rsidR="00211983" w:rsidRPr="00211983">
              <w:rPr>
                <w:noProof/>
                <w:webHidden/>
              </w:rPr>
              <w:tab/>
            </w:r>
            <w:r w:rsidR="00211983" w:rsidRPr="00211983">
              <w:rPr>
                <w:noProof/>
                <w:webHidden/>
              </w:rPr>
              <w:fldChar w:fldCharType="begin"/>
            </w:r>
            <w:r w:rsidR="00211983" w:rsidRPr="00211983">
              <w:rPr>
                <w:noProof/>
                <w:webHidden/>
              </w:rPr>
              <w:instrText xml:space="preserve"> PAGEREF _Toc455159099 \h </w:instrText>
            </w:r>
            <w:r w:rsidR="00211983" w:rsidRPr="00211983">
              <w:rPr>
                <w:noProof/>
                <w:webHidden/>
              </w:rPr>
            </w:r>
            <w:r w:rsidR="00211983" w:rsidRPr="00211983">
              <w:rPr>
                <w:noProof/>
                <w:webHidden/>
              </w:rPr>
              <w:fldChar w:fldCharType="separate"/>
            </w:r>
            <w:r>
              <w:rPr>
                <w:noProof/>
                <w:webHidden/>
              </w:rPr>
              <w:t>220</w:t>
            </w:r>
            <w:r w:rsidR="00211983" w:rsidRPr="00211983">
              <w:rPr>
                <w:noProof/>
                <w:webHidden/>
              </w:rPr>
              <w:fldChar w:fldCharType="end"/>
            </w:r>
          </w:hyperlink>
        </w:p>
        <w:p w:rsidR="00211983" w:rsidRPr="00211983" w:rsidRDefault="00121C2F" w:rsidP="00DD5AB6">
          <w:pPr>
            <w:pStyle w:val="TOC2"/>
            <w:rPr>
              <w:rFonts w:eastAsiaTheme="minorEastAsia" w:cstheme="minorBidi"/>
              <w:noProof/>
              <w:sz w:val="22"/>
              <w:szCs w:val="22"/>
            </w:rPr>
          </w:pPr>
          <w:hyperlink w:anchor="_Toc455159100" w:history="1">
            <w:r w:rsidR="00211983" w:rsidRPr="00211983">
              <w:rPr>
                <w:rStyle w:val="Hyperlink"/>
                <w:noProof/>
              </w:rPr>
              <w:t>PROGRAMA 19</w:t>
            </w:r>
            <w:r w:rsidR="00211983" w:rsidRPr="00211983">
              <w:rPr>
                <w:rFonts w:eastAsiaTheme="minorEastAsia" w:cstheme="minorBidi"/>
                <w:noProof/>
                <w:sz w:val="22"/>
                <w:szCs w:val="22"/>
              </w:rPr>
              <w:tab/>
            </w:r>
            <w:r w:rsidR="00211983" w:rsidRPr="00211983">
              <w:rPr>
                <w:rStyle w:val="Hyperlink"/>
                <w:noProof/>
              </w:rPr>
              <w:t>COMUNICACIONES</w:t>
            </w:r>
            <w:r w:rsidR="00211983" w:rsidRPr="00211983">
              <w:rPr>
                <w:noProof/>
                <w:webHidden/>
              </w:rPr>
              <w:tab/>
            </w:r>
            <w:r w:rsidR="00211983" w:rsidRPr="00211983">
              <w:rPr>
                <w:noProof/>
                <w:webHidden/>
              </w:rPr>
              <w:fldChar w:fldCharType="begin"/>
            </w:r>
            <w:r w:rsidR="00211983" w:rsidRPr="00211983">
              <w:rPr>
                <w:noProof/>
                <w:webHidden/>
              </w:rPr>
              <w:instrText xml:space="preserve"> PAGEREF _Toc455159100 \h </w:instrText>
            </w:r>
            <w:r w:rsidR="00211983" w:rsidRPr="00211983">
              <w:rPr>
                <w:noProof/>
                <w:webHidden/>
              </w:rPr>
            </w:r>
            <w:r w:rsidR="00211983" w:rsidRPr="00211983">
              <w:rPr>
                <w:noProof/>
                <w:webHidden/>
              </w:rPr>
              <w:fldChar w:fldCharType="separate"/>
            </w:r>
            <w:r>
              <w:rPr>
                <w:noProof/>
                <w:webHidden/>
              </w:rPr>
              <w:t>222</w:t>
            </w:r>
            <w:r w:rsidR="00211983" w:rsidRPr="00211983">
              <w:rPr>
                <w:noProof/>
                <w:webHidden/>
              </w:rPr>
              <w:fldChar w:fldCharType="end"/>
            </w:r>
          </w:hyperlink>
        </w:p>
        <w:p w:rsidR="00211983" w:rsidRPr="00211983" w:rsidRDefault="00121C2F" w:rsidP="00DD5AB6">
          <w:pPr>
            <w:pStyle w:val="TOC2"/>
            <w:rPr>
              <w:rFonts w:eastAsiaTheme="minorEastAsia" w:cstheme="minorBidi"/>
              <w:noProof/>
              <w:sz w:val="22"/>
              <w:szCs w:val="22"/>
            </w:rPr>
          </w:pPr>
          <w:hyperlink w:anchor="_Toc455159101" w:history="1">
            <w:r w:rsidR="00211983" w:rsidRPr="00211983">
              <w:rPr>
                <w:rStyle w:val="Hyperlink"/>
                <w:noProof/>
              </w:rPr>
              <w:t>PROGRAMA 20</w:t>
            </w:r>
            <w:r w:rsidR="00211983" w:rsidRPr="00211983">
              <w:rPr>
                <w:rFonts w:eastAsiaTheme="minorEastAsia" w:cstheme="minorBidi"/>
                <w:noProof/>
                <w:sz w:val="22"/>
                <w:szCs w:val="22"/>
              </w:rPr>
              <w:tab/>
            </w:r>
            <w:r w:rsidR="00211983" w:rsidRPr="00211983">
              <w:rPr>
                <w:rStyle w:val="Hyperlink"/>
                <w:noProof/>
              </w:rPr>
              <w:t>RELACIONES EXTERIORES, ALIANZAS Y OFICINAS EN EL EXTERIOR</w:t>
            </w:r>
            <w:r w:rsidR="00211983" w:rsidRPr="00211983">
              <w:rPr>
                <w:noProof/>
                <w:webHidden/>
              </w:rPr>
              <w:tab/>
            </w:r>
            <w:r w:rsidR="00211983" w:rsidRPr="00211983">
              <w:rPr>
                <w:noProof/>
                <w:webHidden/>
              </w:rPr>
              <w:fldChar w:fldCharType="begin"/>
            </w:r>
            <w:r w:rsidR="00211983" w:rsidRPr="00211983">
              <w:rPr>
                <w:noProof/>
                <w:webHidden/>
              </w:rPr>
              <w:instrText xml:space="preserve"> PAGEREF _Toc455159101 \h </w:instrText>
            </w:r>
            <w:r w:rsidR="00211983" w:rsidRPr="00211983">
              <w:rPr>
                <w:noProof/>
                <w:webHidden/>
              </w:rPr>
            </w:r>
            <w:r w:rsidR="00211983" w:rsidRPr="00211983">
              <w:rPr>
                <w:noProof/>
                <w:webHidden/>
              </w:rPr>
              <w:fldChar w:fldCharType="separate"/>
            </w:r>
            <w:r>
              <w:rPr>
                <w:noProof/>
                <w:webHidden/>
              </w:rPr>
              <w:t>229</w:t>
            </w:r>
            <w:r w:rsidR="00211983" w:rsidRPr="00211983">
              <w:rPr>
                <w:noProof/>
                <w:webHidden/>
              </w:rPr>
              <w:fldChar w:fldCharType="end"/>
            </w:r>
          </w:hyperlink>
        </w:p>
        <w:p w:rsidR="00211983" w:rsidRPr="00211983" w:rsidRDefault="00121C2F" w:rsidP="00DD5AB6">
          <w:pPr>
            <w:pStyle w:val="TOC2"/>
            <w:rPr>
              <w:rFonts w:eastAsiaTheme="minorEastAsia" w:cstheme="minorBidi"/>
              <w:noProof/>
              <w:sz w:val="22"/>
              <w:szCs w:val="22"/>
            </w:rPr>
          </w:pPr>
          <w:hyperlink w:anchor="_Toc455159102" w:history="1">
            <w:r w:rsidR="00211983" w:rsidRPr="00211983">
              <w:rPr>
                <w:rStyle w:val="Hyperlink"/>
                <w:rFonts w:ascii="Arial" w:hAnsi="Arial" w:cs="Arial"/>
                <w:noProof/>
                <w:lang w:val="es-ES_tradnl"/>
              </w:rPr>
              <w:t>META ESTRATÉGICA IX</w:t>
            </w:r>
            <w:r w:rsidR="00211983" w:rsidRPr="00211983">
              <w:rPr>
                <w:noProof/>
                <w:webHidden/>
              </w:rPr>
              <w:tab/>
            </w:r>
            <w:r w:rsidR="00211983" w:rsidRPr="00211983">
              <w:rPr>
                <w:noProof/>
                <w:webHidden/>
              </w:rPr>
              <w:fldChar w:fldCharType="begin"/>
            </w:r>
            <w:r w:rsidR="00211983" w:rsidRPr="00211983">
              <w:rPr>
                <w:noProof/>
                <w:webHidden/>
              </w:rPr>
              <w:instrText xml:space="preserve"> PAGEREF _Toc455159102 \h </w:instrText>
            </w:r>
            <w:r w:rsidR="00211983" w:rsidRPr="00211983">
              <w:rPr>
                <w:noProof/>
                <w:webHidden/>
              </w:rPr>
            </w:r>
            <w:r w:rsidR="00211983" w:rsidRPr="00211983">
              <w:rPr>
                <w:noProof/>
                <w:webHidden/>
              </w:rPr>
              <w:fldChar w:fldCharType="separate"/>
            </w:r>
            <w:r>
              <w:rPr>
                <w:noProof/>
                <w:webHidden/>
              </w:rPr>
              <w:t>247</w:t>
            </w:r>
            <w:r w:rsidR="00211983" w:rsidRPr="00211983">
              <w:rPr>
                <w:noProof/>
                <w:webHidden/>
              </w:rPr>
              <w:fldChar w:fldCharType="end"/>
            </w:r>
          </w:hyperlink>
        </w:p>
        <w:p w:rsidR="00211983" w:rsidRPr="00211983" w:rsidRDefault="00121C2F" w:rsidP="00DD5AB6">
          <w:pPr>
            <w:pStyle w:val="TOC2"/>
            <w:rPr>
              <w:rFonts w:eastAsiaTheme="minorEastAsia" w:cstheme="minorBidi"/>
              <w:noProof/>
              <w:sz w:val="22"/>
              <w:szCs w:val="22"/>
            </w:rPr>
          </w:pPr>
          <w:hyperlink w:anchor="_Toc455159103" w:history="1">
            <w:r w:rsidR="00211983" w:rsidRPr="00211983">
              <w:rPr>
                <w:rStyle w:val="Hyperlink"/>
                <w:noProof/>
              </w:rPr>
              <w:t>PROGRAMA 21</w:t>
            </w:r>
            <w:r w:rsidR="00211983" w:rsidRPr="00211983">
              <w:rPr>
                <w:rFonts w:eastAsiaTheme="minorEastAsia" w:cstheme="minorBidi"/>
                <w:noProof/>
                <w:sz w:val="22"/>
                <w:szCs w:val="22"/>
              </w:rPr>
              <w:tab/>
            </w:r>
            <w:r w:rsidR="00211983" w:rsidRPr="00211983">
              <w:rPr>
                <w:rStyle w:val="Hyperlink"/>
                <w:noProof/>
              </w:rPr>
              <w:t>GESTIÓN EJECUTIVA</w:t>
            </w:r>
            <w:r w:rsidR="00211983" w:rsidRPr="00211983">
              <w:rPr>
                <w:noProof/>
                <w:webHidden/>
              </w:rPr>
              <w:tab/>
            </w:r>
            <w:r w:rsidR="00211983" w:rsidRPr="00211983">
              <w:rPr>
                <w:noProof/>
                <w:webHidden/>
              </w:rPr>
              <w:fldChar w:fldCharType="begin"/>
            </w:r>
            <w:r w:rsidR="00211983" w:rsidRPr="00211983">
              <w:rPr>
                <w:noProof/>
                <w:webHidden/>
              </w:rPr>
              <w:instrText xml:space="preserve"> PAGEREF _Toc455159103 \h </w:instrText>
            </w:r>
            <w:r w:rsidR="00211983" w:rsidRPr="00211983">
              <w:rPr>
                <w:noProof/>
                <w:webHidden/>
              </w:rPr>
            </w:r>
            <w:r w:rsidR="00211983" w:rsidRPr="00211983">
              <w:rPr>
                <w:noProof/>
                <w:webHidden/>
              </w:rPr>
              <w:fldChar w:fldCharType="separate"/>
            </w:r>
            <w:r>
              <w:rPr>
                <w:noProof/>
                <w:webHidden/>
              </w:rPr>
              <w:t>251</w:t>
            </w:r>
            <w:r w:rsidR="00211983" w:rsidRPr="00211983">
              <w:rPr>
                <w:noProof/>
                <w:webHidden/>
              </w:rPr>
              <w:fldChar w:fldCharType="end"/>
            </w:r>
          </w:hyperlink>
        </w:p>
        <w:p w:rsidR="00211983" w:rsidRPr="00211983" w:rsidRDefault="00121C2F" w:rsidP="00DD5AB6">
          <w:pPr>
            <w:pStyle w:val="TOC2"/>
            <w:rPr>
              <w:rFonts w:eastAsiaTheme="minorEastAsia" w:cstheme="minorBidi"/>
              <w:noProof/>
              <w:sz w:val="22"/>
              <w:szCs w:val="22"/>
            </w:rPr>
          </w:pPr>
          <w:hyperlink w:anchor="_Toc455159104" w:history="1">
            <w:r w:rsidR="00211983" w:rsidRPr="00211983">
              <w:rPr>
                <w:rStyle w:val="Hyperlink"/>
                <w:noProof/>
              </w:rPr>
              <w:t>PROGRAMA 22</w:t>
            </w:r>
            <w:r w:rsidR="00211983" w:rsidRPr="00211983">
              <w:rPr>
                <w:rFonts w:eastAsiaTheme="minorEastAsia" w:cstheme="minorBidi"/>
                <w:noProof/>
                <w:sz w:val="22"/>
                <w:szCs w:val="22"/>
              </w:rPr>
              <w:tab/>
            </w:r>
            <w:r w:rsidR="00211983" w:rsidRPr="00211983">
              <w:rPr>
                <w:rStyle w:val="Hyperlink"/>
                <w:noProof/>
              </w:rPr>
              <w:t>GESTIÓN DE PROGRAMAS Y RECURSOS</w:t>
            </w:r>
            <w:r w:rsidR="00211983" w:rsidRPr="00211983">
              <w:rPr>
                <w:noProof/>
                <w:webHidden/>
              </w:rPr>
              <w:tab/>
            </w:r>
            <w:r w:rsidR="00211983" w:rsidRPr="00211983">
              <w:rPr>
                <w:noProof/>
                <w:webHidden/>
              </w:rPr>
              <w:fldChar w:fldCharType="begin"/>
            </w:r>
            <w:r w:rsidR="00211983" w:rsidRPr="00211983">
              <w:rPr>
                <w:noProof/>
                <w:webHidden/>
              </w:rPr>
              <w:instrText xml:space="preserve"> PAGEREF _Toc455159104 \h </w:instrText>
            </w:r>
            <w:r w:rsidR="00211983" w:rsidRPr="00211983">
              <w:rPr>
                <w:noProof/>
                <w:webHidden/>
              </w:rPr>
            </w:r>
            <w:r w:rsidR="00211983" w:rsidRPr="00211983">
              <w:rPr>
                <w:noProof/>
                <w:webHidden/>
              </w:rPr>
              <w:fldChar w:fldCharType="separate"/>
            </w:r>
            <w:r>
              <w:rPr>
                <w:noProof/>
                <w:webHidden/>
              </w:rPr>
              <w:t>258</w:t>
            </w:r>
            <w:r w:rsidR="00211983" w:rsidRPr="00211983">
              <w:rPr>
                <w:noProof/>
                <w:webHidden/>
              </w:rPr>
              <w:fldChar w:fldCharType="end"/>
            </w:r>
          </w:hyperlink>
        </w:p>
        <w:p w:rsidR="00211983" w:rsidRPr="00211983" w:rsidRDefault="00121C2F" w:rsidP="00DD5AB6">
          <w:pPr>
            <w:pStyle w:val="TOC2"/>
            <w:rPr>
              <w:rFonts w:eastAsiaTheme="minorEastAsia" w:cstheme="minorBidi"/>
              <w:noProof/>
              <w:sz w:val="22"/>
              <w:szCs w:val="22"/>
            </w:rPr>
          </w:pPr>
          <w:hyperlink w:anchor="_Toc455159105" w:history="1">
            <w:r w:rsidR="00211983" w:rsidRPr="00211983">
              <w:rPr>
                <w:rStyle w:val="Hyperlink"/>
                <w:noProof/>
              </w:rPr>
              <w:t>PROGRAMA 23</w:t>
            </w:r>
            <w:r w:rsidR="00211983" w:rsidRPr="00211983">
              <w:rPr>
                <w:rFonts w:eastAsiaTheme="minorEastAsia" w:cstheme="minorBidi"/>
                <w:noProof/>
                <w:sz w:val="22"/>
                <w:szCs w:val="22"/>
              </w:rPr>
              <w:tab/>
            </w:r>
            <w:r w:rsidR="00211983" w:rsidRPr="00211983">
              <w:rPr>
                <w:rStyle w:val="Hyperlink"/>
                <w:noProof/>
              </w:rPr>
              <w:t>GESTIÓN Y DESARROLLO DE LOS RECURSOS HUMANOS</w:t>
            </w:r>
            <w:r w:rsidR="00211983" w:rsidRPr="00211983">
              <w:rPr>
                <w:noProof/>
                <w:webHidden/>
              </w:rPr>
              <w:tab/>
            </w:r>
            <w:r w:rsidR="00211983" w:rsidRPr="00211983">
              <w:rPr>
                <w:noProof/>
                <w:webHidden/>
              </w:rPr>
              <w:fldChar w:fldCharType="begin"/>
            </w:r>
            <w:r w:rsidR="00211983" w:rsidRPr="00211983">
              <w:rPr>
                <w:noProof/>
                <w:webHidden/>
              </w:rPr>
              <w:instrText xml:space="preserve"> PAGEREF _Toc455159105 \h </w:instrText>
            </w:r>
            <w:r w:rsidR="00211983" w:rsidRPr="00211983">
              <w:rPr>
                <w:noProof/>
                <w:webHidden/>
              </w:rPr>
            </w:r>
            <w:r w:rsidR="00211983" w:rsidRPr="00211983">
              <w:rPr>
                <w:noProof/>
                <w:webHidden/>
              </w:rPr>
              <w:fldChar w:fldCharType="separate"/>
            </w:r>
            <w:r>
              <w:rPr>
                <w:noProof/>
                <w:webHidden/>
              </w:rPr>
              <w:t>265</w:t>
            </w:r>
            <w:r w:rsidR="00211983" w:rsidRPr="00211983">
              <w:rPr>
                <w:noProof/>
                <w:webHidden/>
              </w:rPr>
              <w:fldChar w:fldCharType="end"/>
            </w:r>
          </w:hyperlink>
        </w:p>
        <w:p w:rsidR="00211983" w:rsidRPr="00211983" w:rsidRDefault="00121C2F" w:rsidP="00DD5AB6">
          <w:pPr>
            <w:pStyle w:val="TOC2"/>
            <w:rPr>
              <w:rFonts w:eastAsiaTheme="minorEastAsia" w:cstheme="minorBidi"/>
              <w:noProof/>
              <w:sz w:val="22"/>
              <w:szCs w:val="22"/>
            </w:rPr>
          </w:pPr>
          <w:hyperlink w:anchor="_Toc455159106" w:history="1">
            <w:r w:rsidR="00211983" w:rsidRPr="00211983">
              <w:rPr>
                <w:rStyle w:val="Hyperlink"/>
                <w:noProof/>
              </w:rPr>
              <w:t>PROGRAMA 24</w:t>
            </w:r>
            <w:r w:rsidR="00211983" w:rsidRPr="00211983">
              <w:rPr>
                <w:rFonts w:eastAsiaTheme="minorEastAsia" w:cstheme="minorBidi"/>
                <w:noProof/>
                <w:sz w:val="22"/>
                <w:szCs w:val="22"/>
              </w:rPr>
              <w:tab/>
            </w:r>
            <w:r w:rsidR="00211983" w:rsidRPr="00211983">
              <w:rPr>
                <w:rStyle w:val="Hyperlink"/>
                <w:noProof/>
              </w:rPr>
              <w:t>SERVICIOS GENERALES DE APOYO</w:t>
            </w:r>
            <w:r w:rsidR="00211983" w:rsidRPr="00211983">
              <w:rPr>
                <w:noProof/>
                <w:webHidden/>
              </w:rPr>
              <w:tab/>
            </w:r>
            <w:r w:rsidR="00211983" w:rsidRPr="00211983">
              <w:rPr>
                <w:noProof/>
                <w:webHidden/>
              </w:rPr>
              <w:fldChar w:fldCharType="begin"/>
            </w:r>
            <w:r w:rsidR="00211983" w:rsidRPr="00211983">
              <w:rPr>
                <w:noProof/>
                <w:webHidden/>
              </w:rPr>
              <w:instrText xml:space="preserve"> PAGEREF _Toc455159106 \h </w:instrText>
            </w:r>
            <w:r w:rsidR="00211983" w:rsidRPr="00211983">
              <w:rPr>
                <w:noProof/>
                <w:webHidden/>
              </w:rPr>
            </w:r>
            <w:r w:rsidR="00211983" w:rsidRPr="00211983">
              <w:rPr>
                <w:noProof/>
                <w:webHidden/>
              </w:rPr>
              <w:fldChar w:fldCharType="separate"/>
            </w:r>
            <w:r>
              <w:rPr>
                <w:noProof/>
                <w:webHidden/>
              </w:rPr>
              <w:t>273</w:t>
            </w:r>
            <w:r w:rsidR="00211983" w:rsidRPr="00211983">
              <w:rPr>
                <w:noProof/>
                <w:webHidden/>
              </w:rPr>
              <w:fldChar w:fldCharType="end"/>
            </w:r>
          </w:hyperlink>
        </w:p>
        <w:p w:rsidR="00211983" w:rsidRPr="00211983" w:rsidRDefault="00121C2F" w:rsidP="00DD5AB6">
          <w:pPr>
            <w:pStyle w:val="TOC2"/>
            <w:rPr>
              <w:rFonts w:eastAsiaTheme="minorEastAsia" w:cstheme="minorBidi"/>
              <w:noProof/>
              <w:sz w:val="22"/>
              <w:szCs w:val="22"/>
            </w:rPr>
          </w:pPr>
          <w:hyperlink w:anchor="_Toc455159107" w:history="1">
            <w:r w:rsidR="00211983" w:rsidRPr="00211983">
              <w:rPr>
                <w:rStyle w:val="Hyperlink"/>
                <w:noProof/>
              </w:rPr>
              <w:t>PROGRAMA 25</w:t>
            </w:r>
            <w:r w:rsidR="00211983" w:rsidRPr="00211983">
              <w:rPr>
                <w:rFonts w:eastAsiaTheme="minorEastAsia" w:cstheme="minorBidi"/>
                <w:noProof/>
                <w:sz w:val="22"/>
                <w:szCs w:val="22"/>
              </w:rPr>
              <w:tab/>
            </w:r>
            <w:r w:rsidR="00211983" w:rsidRPr="00211983">
              <w:rPr>
                <w:rStyle w:val="Hyperlink"/>
                <w:noProof/>
              </w:rPr>
              <w:t>TECNOLOGÍAS DE LA INFORMACIÓN Y DE LAS COMUNICACIONES</w:t>
            </w:r>
            <w:r w:rsidR="00211983" w:rsidRPr="00211983">
              <w:rPr>
                <w:noProof/>
                <w:webHidden/>
              </w:rPr>
              <w:tab/>
            </w:r>
            <w:r w:rsidR="00211983" w:rsidRPr="00211983">
              <w:rPr>
                <w:noProof/>
                <w:webHidden/>
              </w:rPr>
              <w:fldChar w:fldCharType="begin"/>
            </w:r>
            <w:r w:rsidR="00211983" w:rsidRPr="00211983">
              <w:rPr>
                <w:noProof/>
                <w:webHidden/>
              </w:rPr>
              <w:instrText xml:space="preserve"> PAGEREF _Toc455159107 \h </w:instrText>
            </w:r>
            <w:r w:rsidR="00211983" w:rsidRPr="00211983">
              <w:rPr>
                <w:noProof/>
                <w:webHidden/>
              </w:rPr>
            </w:r>
            <w:r w:rsidR="00211983" w:rsidRPr="00211983">
              <w:rPr>
                <w:noProof/>
                <w:webHidden/>
              </w:rPr>
              <w:fldChar w:fldCharType="separate"/>
            </w:r>
            <w:r>
              <w:rPr>
                <w:noProof/>
                <w:webHidden/>
              </w:rPr>
              <w:t>283</w:t>
            </w:r>
            <w:r w:rsidR="00211983" w:rsidRPr="00211983">
              <w:rPr>
                <w:noProof/>
                <w:webHidden/>
              </w:rPr>
              <w:fldChar w:fldCharType="end"/>
            </w:r>
          </w:hyperlink>
        </w:p>
        <w:p w:rsidR="00211983" w:rsidRPr="00211983" w:rsidRDefault="00121C2F" w:rsidP="00DD5AB6">
          <w:pPr>
            <w:pStyle w:val="TOC2"/>
            <w:rPr>
              <w:rFonts w:eastAsiaTheme="minorEastAsia" w:cstheme="minorBidi"/>
              <w:noProof/>
              <w:sz w:val="22"/>
              <w:szCs w:val="22"/>
            </w:rPr>
          </w:pPr>
          <w:hyperlink w:anchor="_Toc455159108" w:history="1">
            <w:r w:rsidR="00211983" w:rsidRPr="00211983">
              <w:rPr>
                <w:rStyle w:val="Hyperlink"/>
                <w:noProof/>
              </w:rPr>
              <w:t>PROGRAMA 26</w:t>
            </w:r>
            <w:r w:rsidR="00211983" w:rsidRPr="00211983">
              <w:rPr>
                <w:rFonts w:eastAsiaTheme="minorEastAsia" w:cstheme="minorBidi"/>
                <w:noProof/>
                <w:sz w:val="22"/>
                <w:szCs w:val="22"/>
              </w:rPr>
              <w:tab/>
            </w:r>
            <w:r w:rsidR="00211983" w:rsidRPr="00211983">
              <w:rPr>
                <w:rStyle w:val="Hyperlink"/>
                <w:noProof/>
              </w:rPr>
              <w:t>SUPERVISIÓN INTERNA</w:t>
            </w:r>
            <w:r w:rsidR="00211983" w:rsidRPr="00211983">
              <w:rPr>
                <w:noProof/>
                <w:webHidden/>
              </w:rPr>
              <w:tab/>
            </w:r>
            <w:r w:rsidR="00211983" w:rsidRPr="00211983">
              <w:rPr>
                <w:noProof/>
                <w:webHidden/>
              </w:rPr>
              <w:fldChar w:fldCharType="begin"/>
            </w:r>
            <w:r w:rsidR="00211983" w:rsidRPr="00211983">
              <w:rPr>
                <w:noProof/>
                <w:webHidden/>
              </w:rPr>
              <w:instrText xml:space="preserve"> PAGEREF _Toc455159108 \h </w:instrText>
            </w:r>
            <w:r w:rsidR="00211983" w:rsidRPr="00211983">
              <w:rPr>
                <w:noProof/>
                <w:webHidden/>
              </w:rPr>
            </w:r>
            <w:r w:rsidR="00211983" w:rsidRPr="00211983">
              <w:rPr>
                <w:noProof/>
                <w:webHidden/>
              </w:rPr>
              <w:fldChar w:fldCharType="separate"/>
            </w:r>
            <w:r>
              <w:rPr>
                <w:noProof/>
                <w:webHidden/>
              </w:rPr>
              <w:t>289</w:t>
            </w:r>
            <w:r w:rsidR="00211983" w:rsidRPr="00211983">
              <w:rPr>
                <w:noProof/>
                <w:webHidden/>
              </w:rPr>
              <w:fldChar w:fldCharType="end"/>
            </w:r>
          </w:hyperlink>
        </w:p>
        <w:p w:rsidR="00211983" w:rsidRPr="00211983" w:rsidRDefault="00121C2F" w:rsidP="00DD5AB6">
          <w:pPr>
            <w:pStyle w:val="TOC2"/>
            <w:rPr>
              <w:rFonts w:eastAsiaTheme="minorEastAsia" w:cstheme="minorBidi"/>
              <w:noProof/>
              <w:sz w:val="22"/>
              <w:szCs w:val="22"/>
            </w:rPr>
          </w:pPr>
          <w:hyperlink w:anchor="_Toc455159109" w:history="1">
            <w:r w:rsidR="00211983" w:rsidRPr="00211983">
              <w:rPr>
                <w:rStyle w:val="Hyperlink"/>
                <w:noProof/>
              </w:rPr>
              <w:t>PROGRAMA 27</w:t>
            </w:r>
            <w:r w:rsidR="00211983" w:rsidRPr="00211983">
              <w:rPr>
                <w:rFonts w:eastAsiaTheme="minorEastAsia" w:cstheme="minorBidi"/>
                <w:noProof/>
                <w:sz w:val="22"/>
                <w:szCs w:val="22"/>
              </w:rPr>
              <w:tab/>
            </w:r>
            <w:r w:rsidR="00211983" w:rsidRPr="00211983">
              <w:rPr>
                <w:rStyle w:val="Hyperlink"/>
                <w:noProof/>
              </w:rPr>
              <w:t>SERVICIOS DE CONFERENCIAS Y LINGÜÍSTICOS</w:t>
            </w:r>
            <w:r w:rsidR="00211983" w:rsidRPr="00211983">
              <w:rPr>
                <w:noProof/>
                <w:webHidden/>
              </w:rPr>
              <w:tab/>
            </w:r>
            <w:r w:rsidR="00211983" w:rsidRPr="00211983">
              <w:rPr>
                <w:noProof/>
                <w:webHidden/>
              </w:rPr>
              <w:fldChar w:fldCharType="begin"/>
            </w:r>
            <w:r w:rsidR="00211983" w:rsidRPr="00211983">
              <w:rPr>
                <w:noProof/>
                <w:webHidden/>
              </w:rPr>
              <w:instrText xml:space="preserve"> PAGEREF _Toc455159109 \h </w:instrText>
            </w:r>
            <w:r w:rsidR="00211983" w:rsidRPr="00211983">
              <w:rPr>
                <w:noProof/>
                <w:webHidden/>
              </w:rPr>
            </w:r>
            <w:r w:rsidR="00211983" w:rsidRPr="00211983">
              <w:rPr>
                <w:noProof/>
                <w:webHidden/>
              </w:rPr>
              <w:fldChar w:fldCharType="separate"/>
            </w:r>
            <w:r>
              <w:rPr>
                <w:noProof/>
                <w:webHidden/>
              </w:rPr>
              <w:t>294</w:t>
            </w:r>
            <w:r w:rsidR="00211983" w:rsidRPr="00211983">
              <w:rPr>
                <w:noProof/>
                <w:webHidden/>
              </w:rPr>
              <w:fldChar w:fldCharType="end"/>
            </w:r>
          </w:hyperlink>
        </w:p>
        <w:p w:rsidR="00211983" w:rsidRPr="00211983" w:rsidRDefault="00121C2F" w:rsidP="00DD5AB6">
          <w:pPr>
            <w:pStyle w:val="TOC2"/>
            <w:rPr>
              <w:rFonts w:eastAsiaTheme="minorEastAsia" w:cstheme="minorBidi"/>
              <w:noProof/>
              <w:sz w:val="22"/>
              <w:szCs w:val="22"/>
            </w:rPr>
          </w:pPr>
          <w:hyperlink w:anchor="_Toc455159110" w:history="1">
            <w:r w:rsidR="00211983" w:rsidRPr="00211983">
              <w:rPr>
                <w:rStyle w:val="Hyperlink"/>
                <w:noProof/>
              </w:rPr>
              <w:t>PROGRAMA 28</w:t>
            </w:r>
            <w:r w:rsidR="00211983" w:rsidRPr="00211983">
              <w:rPr>
                <w:rFonts w:eastAsiaTheme="minorEastAsia" w:cstheme="minorBidi"/>
                <w:noProof/>
                <w:sz w:val="22"/>
                <w:szCs w:val="22"/>
              </w:rPr>
              <w:tab/>
            </w:r>
            <w:r w:rsidR="00211983" w:rsidRPr="00211983">
              <w:rPr>
                <w:rStyle w:val="Hyperlink"/>
                <w:noProof/>
              </w:rPr>
              <w:t>SEGURIDAD Y VIGILANCIA</w:t>
            </w:r>
            <w:r w:rsidR="00211983" w:rsidRPr="00211983">
              <w:rPr>
                <w:noProof/>
                <w:webHidden/>
              </w:rPr>
              <w:tab/>
            </w:r>
            <w:r w:rsidR="00211983" w:rsidRPr="00211983">
              <w:rPr>
                <w:noProof/>
                <w:webHidden/>
              </w:rPr>
              <w:fldChar w:fldCharType="begin"/>
            </w:r>
            <w:r w:rsidR="00211983" w:rsidRPr="00211983">
              <w:rPr>
                <w:noProof/>
                <w:webHidden/>
              </w:rPr>
              <w:instrText xml:space="preserve"> PAGEREF _Toc455159110 \h </w:instrText>
            </w:r>
            <w:r w:rsidR="00211983" w:rsidRPr="00211983">
              <w:rPr>
                <w:noProof/>
                <w:webHidden/>
              </w:rPr>
            </w:r>
            <w:r w:rsidR="00211983" w:rsidRPr="00211983">
              <w:rPr>
                <w:noProof/>
                <w:webHidden/>
              </w:rPr>
              <w:fldChar w:fldCharType="separate"/>
            </w:r>
            <w:r>
              <w:rPr>
                <w:noProof/>
                <w:webHidden/>
              </w:rPr>
              <w:t>300</w:t>
            </w:r>
            <w:r w:rsidR="00211983" w:rsidRPr="00211983">
              <w:rPr>
                <w:noProof/>
                <w:webHidden/>
              </w:rPr>
              <w:fldChar w:fldCharType="end"/>
            </w:r>
          </w:hyperlink>
        </w:p>
        <w:p w:rsidR="00211983" w:rsidRPr="00211983" w:rsidRDefault="00121C2F" w:rsidP="00DD5AB6">
          <w:pPr>
            <w:pStyle w:val="TOC2"/>
            <w:rPr>
              <w:rFonts w:eastAsiaTheme="minorEastAsia" w:cstheme="minorBidi"/>
              <w:noProof/>
              <w:sz w:val="22"/>
              <w:szCs w:val="22"/>
            </w:rPr>
          </w:pPr>
          <w:hyperlink w:anchor="_Toc455159111" w:history="1">
            <w:r w:rsidR="00211983" w:rsidRPr="00211983">
              <w:rPr>
                <w:rStyle w:val="Hyperlink"/>
                <w:noProof/>
              </w:rPr>
              <w:t>PROGRAMA 29</w:t>
            </w:r>
            <w:r w:rsidR="00211983" w:rsidRPr="00211983">
              <w:rPr>
                <w:rFonts w:eastAsiaTheme="minorEastAsia" w:cstheme="minorBidi"/>
                <w:noProof/>
                <w:sz w:val="22"/>
                <w:szCs w:val="22"/>
              </w:rPr>
              <w:tab/>
            </w:r>
            <w:r w:rsidR="00211983" w:rsidRPr="00211983">
              <w:rPr>
                <w:rStyle w:val="Hyperlink"/>
                <w:noProof/>
              </w:rPr>
              <w:t>PROYECTOS DE CONSTRUCCIÓN</w:t>
            </w:r>
            <w:r w:rsidR="00211983" w:rsidRPr="00211983">
              <w:rPr>
                <w:noProof/>
                <w:webHidden/>
              </w:rPr>
              <w:tab/>
            </w:r>
            <w:r w:rsidR="00211983" w:rsidRPr="00211983">
              <w:rPr>
                <w:noProof/>
                <w:webHidden/>
              </w:rPr>
              <w:fldChar w:fldCharType="begin"/>
            </w:r>
            <w:r w:rsidR="00211983" w:rsidRPr="00211983">
              <w:rPr>
                <w:noProof/>
                <w:webHidden/>
              </w:rPr>
              <w:instrText xml:space="preserve"> PAGEREF _Toc455159111 \h </w:instrText>
            </w:r>
            <w:r w:rsidR="00211983" w:rsidRPr="00211983">
              <w:rPr>
                <w:noProof/>
                <w:webHidden/>
              </w:rPr>
            </w:r>
            <w:r w:rsidR="00211983" w:rsidRPr="00211983">
              <w:rPr>
                <w:noProof/>
                <w:webHidden/>
              </w:rPr>
              <w:fldChar w:fldCharType="separate"/>
            </w:r>
            <w:r>
              <w:rPr>
                <w:noProof/>
                <w:webHidden/>
              </w:rPr>
              <w:t>304</w:t>
            </w:r>
            <w:r w:rsidR="00211983" w:rsidRPr="00211983">
              <w:rPr>
                <w:noProof/>
                <w:webHidden/>
              </w:rPr>
              <w:fldChar w:fldCharType="end"/>
            </w:r>
          </w:hyperlink>
        </w:p>
        <w:p w:rsidR="00211983" w:rsidRPr="00211983" w:rsidRDefault="00121C2F" w:rsidP="00211983">
          <w:pPr>
            <w:pStyle w:val="TOC1"/>
            <w:rPr>
              <w:rFonts w:eastAsiaTheme="minorEastAsia" w:cstheme="minorBidi"/>
            </w:rPr>
          </w:pPr>
          <w:hyperlink w:anchor="_Toc455159112" w:history="1">
            <w:r w:rsidR="00211983" w:rsidRPr="008F093A">
              <w:rPr>
                <w:rStyle w:val="Hyperlink"/>
                <w:b/>
              </w:rPr>
              <w:t>VII.</w:t>
            </w:r>
            <w:r w:rsidR="00211983" w:rsidRPr="008F093A">
              <w:rPr>
                <w:rFonts w:eastAsiaTheme="minorEastAsia" w:cstheme="minorBidi"/>
                <w:b/>
              </w:rPr>
              <w:tab/>
            </w:r>
            <w:r w:rsidR="00211983" w:rsidRPr="008F093A">
              <w:rPr>
                <w:rStyle w:val="Hyperlink"/>
                <w:b/>
              </w:rPr>
              <w:t>APÉNDICES</w:t>
            </w:r>
            <w:r w:rsidR="00211983" w:rsidRPr="00211983">
              <w:rPr>
                <w:webHidden/>
              </w:rPr>
              <w:tab/>
            </w:r>
            <w:r w:rsidR="00211983" w:rsidRPr="00211983">
              <w:rPr>
                <w:webHidden/>
              </w:rPr>
              <w:fldChar w:fldCharType="begin"/>
            </w:r>
            <w:r w:rsidR="00211983" w:rsidRPr="00211983">
              <w:rPr>
                <w:webHidden/>
              </w:rPr>
              <w:instrText xml:space="preserve"> PAGEREF _Toc455159112 \h </w:instrText>
            </w:r>
            <w:r w:rsidR="00211983" w:rsidRPr="00211983">
              <w:rPr>
                <w:webHidden/>
              </w:rPr>
            </w:r>
            <w:r w:rsidR="00211983" w:rsidRPr="00211983">
              <w:rPr>
                <w:webHidden/>
              </w:rPr>
              <w:fldChar w:fldCharType="separate"/>
            </w:r>
            <w:r>
              <w:rPr>
                <w:webHidden/>
              </w:rPr>
              <w:t>309</w:t>
            </w:r>
            <w:r w:rsidR="00211983" w:rsidRPr="00211983">
              <w:rPr>
                <w:webHidden/>
              </w:rPr>
              <w:fldChar w:fldCharType="end"/>
            </w:r>
          </w:hyperlink>
        </w:p>
        <w:p w:rsidR="00211983" w:rsidRPr="00211983" w:rsidRDefault="00121C2F" w:rsidP="00DD5AB6">
          <w:pPr>
            <w:pStyle w:val="TOC2"/>
            <w:rPr>
              <w:rFonts w:eastAsiaTheme="minorEastAsia" w:cstheme="minorBidi"/>
              <w:noProof/>
              <w:sz w:val="22"/>
              <w:szCs w:val="22"/>
            </w:rPr>
          </w:pPr>
          <w:hyperlink w:anchor="_Toc455159113" w:history="1">
            <w:r w:rsidR="00211983" w:rsidRPr="00211983">
              <w:rPr>
                <w:rStyle w:val="Hyperlink"/>
                <w:noProof/>
              </w:rPr>
              <w:t>APÉNDICE I</w:t>
            </w:r>
            <w:r w:rsidR="008F093A">
              <w:rPr>
                <w:rStyle w:val="Hyperlink"/>
                <w:noProof/>
              </w:rPr>
              <w:tab/>
            </w:r>
            <w:r w:rsidR="00211983" w:rsidRPr="00211983">
              <w:rPr>
                <w:rStyle w:val="Hyperlink"/>
                <w:noProof/>
              </w:rPr>
              <w:t>DESGLOSE DE LA EVALUACIÓN DEL RENDIMIENTO DE CADA PROGRAMA</w:t>
            </w:r>
            <w:r w:rsidR="00211983" w:rsidRPr="00211983">
              <w:rPr>
                <w:noProof/>
                <w:webHidden/>
              </w:rPr>
              <w:tab/>
            </w:r>
            <w:r w:rsidR="00211983" w:rsidRPr="00211983">
              <w:rPr>
                <w:noProof/>
                <w:webHidden/>
              </w:rPr>
              <w:fldChar w:fldCharType="begin"/>
            </w:r>
            <w:r w:rsidR="00211983" w:rsidRPr="00211983">
              <w:rPr>
                <w:noProof/>
                <w:webHidden/>
              </w:rPr>
              <w:instrText xml:space="preserve"> PAGEREF _Toc455159113 \h </w:instrText>
            </w:r>
            <w:r w:rsidR="00211983" w:rsidRPr="00211983">
              <w:rPr>
                <w:noProof/>
                <w:webHidden/>
              </w:rPr>
            </w:r>
            <w:r w:rsidR="00211983" w:rsidRPr="00211983">
              <w:rPr>
                <w:noProof/>
                <w:webHidden/>
              </w:rPr>
              <w:fldChar w:fldCharType="separate"/>
            </w:r>
            <w:r>
              <w:rPr>
                <w:noProof/>
                <w:webHidden/>
              </w:rPr>
              <w:t>309</w:t>
            </w:r>
            <w:r w:rsidR="00211983" w:rsidRPr="00211983">
              <w:rPr>
                <w:noProof/>
                <w:webHidden/>
              </w:rPr>
              <w:fldChar w:fldCharType="end"/>
            </w:r>
          </w:hyperlink>
        </w:p>
        <w:p w:rsidR="00211983" w:rsidRPr="00211983" w:rsidRDefault="00121C2F" w:rsidP="00DD5AB6">
          <w:pPr>
            <w:pStyle w:val="TOC2"/>
            <w:rPr>
              <w:rFonts w:eastAsiaTheme="minorEastAsia" w:cstheme="minorBidi"/>
              <w:noProof/>
              <w:sz w:val="22"/>
              <w:szCs w:val="22"/>
            </w:rPr>
          </w:pPr>
          <w:hyperlink w:anchor="_Toc455159114" w:history="1">
            <w:r w:rsidR="008F093A">
              <w:rPr>
                <w:rStyle w:val="Hyperlink"/>
                <w:noProof/>
              </w:rPr>
              <w:t>APÉNDICE II</w:t>
            </w:r>
            <w:r w:rsidR="008F093A" w:rsidRPr="008F093A">
              <w:rPr>
                <w:rStyle w:val="Hyperlink"/>
                <w:noProof/>
              </w:rPr>
              <w:tab/>
            </w:r>
            <w:r w:rsidR="00211983" w:rsidRPr="00211983">
              <w:rPr>
                <w:rStyle w:val="Hyperlink"/>
                <w:noProof/>
              </w:rPr>
              <w:t>ACTIVIDADES REALIZADAS CON CARGO A LOS FONDOS FIDUCIARIOS EN 2015</w:t>
            </w:r>
            <w:r w:rsidR="00211983" w:rsidRPr="00211983">
              <w:rPr>
                <w:noProof/>
                <w:webHidden/>
              </w:rPr>
              <w:tab/>
            </w:r>
            <w:r w:rsidR="00211983" w:rsidRPr="00211983">
              <w:rPr>
                <w:noProof/>
                <w:webHidden/>
              </w:rPr>
              <w:fldChar w:fldCharType="begin"/>
            </w:r>
            <w:r w:rsidR="00211983" w:rsidRPr="00211983">
              <w:rPr>
                <w:noProof/>
                <w:webHidden/>
              </w:rPr>
              <w:instrText xml:space="preserve"> PAGEREF _Toc455159114 \h </w:instrText>
            </w:r>
            <w:r w:rsidR="00211983" w:rsidRPr="00211983">
              <w:rPr>
                <w:noProof/>
                <w:webHidden/>
              </w:rPr>
            </w:r>
            <w:r w:rsidR="00211983" w:rsidRPr="00211983">
              <w:rPr>
                <w:noProof/>
                <w:webHidden/>
              </w:rPr>
              <w:fldChar w:fldCharType="separate"/>
            </w:r>
            <w:r>
              <w:rPr>
                <w:noProof/>
                <w:webHidden/>
              </w:rPr>
              <w:t>311</w:t>
            </w:r>
            <w:r w:rsidR="00211983" w:rsidRPr="00211983">
              <w:rPr>
                <w:noProof/>
                <w:webHidden/>
              </w:rPr>
              <w:fldChar w:fldCharType="end"/>
            </w:r>
          </w:hyperlink>
        </w:p>
        <w:p w:rsidR="00211983" w:rsidRPr="00211983" w:rsidRDefault="00121C2F" w:rsidP="00DD5AB6">
          <w:pPr>
            <w:pStyle w:val="TOC2"/>
            <w:rPr>
              <w:rFonts w:eastAsiaTheme="minorEastAsia" w:cstheme="minorBidi"/>
              <w:noProof/>
              <w:sz w:val="22"/>
              <w:szCs w:val="22"/>
            </w:rPr>
          </w:pPr>
          <w:hyperlink w:anchor="_Toc455159115" w:history="1">
            <w:r w:rsidR="00211983" w:rsidRPr="00211983">
              <w:rPr>
                <w:rStyle w:val="Hyperlink"/>
                <w:bCs/>
                <w:iCs/>
                <w:noProof/>
              </w:rPr>
              <w:t>APÉNDICE III</w:t>
            </w:r>
            <w:r w:rsidR="008F093A" w:rsidRPr="008F093A">
              <w:rPr>
                <w:rStyle w:val="Hyperlink"/>
                <w:bCs/>
                <w:iCs/>
                <w:noProof/>
              </w:rPr>
              <w:tab/>
            </w:r>
            <w:r w:rsidR="00211983" w:rsidRPr="00211983">
              <w:rPr>
                <w:rStyle w:val="Hyperlink"/>
                <w:bCs/>
                <w:iCs/>
                <w:noProof/>
              </w:rPr>
              <w:t>INFORME SOBRE LA MARCHA DEL PLAN MAESTRO DE MEJORAS DE INFRAESTRUCTURA EN 2014/15</w:t>
            </w:r>
            <w:r w:rsidR="00211983" w:rsidRPr="00211983">
              <w:rPr>
                <w:noProof/>
                <w:webHidden/>
              </w:rPr>
              <w:tab/>
            </w:r>
            <w:r w:rsidR="00211983" w:rsidRPr="00211983">
              <w:rPr>
                <w:noProof/>
                <w:webHidden/>
              </w:rPr>
              <w:fldChar w:fldCharType="begin"/>
            </w:r>
            <w:r w:rsidR="00211983" w:rsidRPr="00211983">
              <w:rPr>
                <w:noProof/>
                <w:webHidden/>
              </w:rPr>
              <w:instrText xml:space="preserve"> PAGEREF _Toc455159115 \h </w:instrText>
            </w:r>
            <w:r w:rsidR="00211983" w:rsidRPr="00211983">
              <w:rPr>
                <w:noProof/>
                <w:webHidden/>
              </w:rPr>
            </w:r>
            <w:r w:rsidR="00211983" w:rsidRPr="00211983">
              <w:rPr>
                <w:noProof/>
                <w:webHidden/>
              </w:rPr>
              <w:fldChar w:fldCharType="separate"/>
            </w:r>
            <w:r>
              <w:rPr>
                <w:noProof/>
                <w:webHidden/>
              </w:rPr>
              <w:t>338</w:t>
            </w:r>
            <w:r w:rsidR="00211983" w:rsidRPr="00211983">
              <w:rPr>
                <w:noProof/>
                <w:webHidden/>
              </w:rPr>
              <w:fldChar w:fldCharType="end"/>
            </w:r>
          </w:hyperlink>
        </w:p>
        <w:p w:rsidR="00211983" w:rsidRPr="00211983" w:rsidRDefault="00121C2F" w:rsidP="008F093A">
          <w:pPr>
            <w:pStyle w:val="TOC3"/>
            <w:rPr>
              <w:rFonts w:eastAsiaTheme="minorEastAsia" w:cstheme="minorBidi"/>
              <w:sz w:val="22"/>
              <w:szCs w:val="22"/>
              <w:lang w:val="en-US"/>
            </w:rPr>
          </w:pPr>
          <w:hyperlink w:anchor="_Toc455159116" w:history="1">
            <w:r w:rsidR="00211983" w:rsidRPr="00211983">
              <w:rPr>
                <w:rStyle w:val="Hyperlink"/>
                <w:bCs/>
              </w:rPr>
              <w:t>PROYECTO 1:</w:t>
            </w:r>
            <w:r w:rsidR="00211983" w:rsidRPr="00211983">
              <w:rPr>
                <w:rFonts w:eastAsiaTheme="minorEastAsia" w:cstheme="minorBidi"/>
                <w:sz w:val="22"/>
                <w:szCs w:val="22"/>
                <w:lang w:val="en-US"/>
              </w:rPr>
              <w:tab/>
            </w:r>
            <w:r w:rsidR="00211983" w:rsidRPr="00211983">
              <w:rPr>
                <w:rStyle w:val="Hyperlink"/>
                <w:bCs/>
              </w:rPr>
              <w:t>MEJORA DE LA SEGURIDAD:  CIFRADO DE DATOS Y GESTIÓN DE USUARIOS (PMM 1)</w:t>
            </w:r>
            <w:r w:rsidR="00211983" w:rsidRPr="00211983">
              <w:rPr>
                <w:webHidden/>
              </w:rPr>
              <w:tab/>
            </w:r>
            <w:r w:rsidR="00211983" w:rsidRPr="00211983">
              <w:rPr>
                <w:webHidden/>
              </w:rPr>
              <w:fldChar w:fldCharType="begin"/>
            </w:r>
            <w:r w:rsidR="00211983" w:rsidRPr="00211983">
              <w:rPr>
                <w:webHidden/>
              </w:rPr>
              <w:instrText xml:space="preserve"> PAGEREF _Toc455159116 \h </w:instrText>
            </w:r>
            <w:r w:rsidR="00211983" w:rsidRPr="00211983">
              <w:rPr>
                <w:webHidden/>
              </w:rPr>
            </w:r>
            <w:r w:rsidR="00211983" w:rsidRPr="00211983">
              <w:rPr>
                <w:webHidden/>
              </w:rPr>
              <w:fldChar w:fldCharType="separate"/>
            </w:r>
            <w:r>
              <w:rPr>
                <w:webHidden/>
              </w:rPr>
              <w:t>339</w:t>
            </w:r>
            <w:r w:rsidR="00211983" w:rsidRPr="00211983">
              <w:rPr>
                <w:webHidden/>
              </w:rPr>
              <w:fldChar w:fldCharType="end"/>
            </w:r>
          </w:hyperlink>
        </w:p>
        <w:p w:rsidR="00211983" w:rsidRPr="00211983" w:rsidRDefault="00121C2F" w:rsidP="008F093A">
          <w:pPr>
            <w:pStyle w:val="TOC3"/>
            <w:rPr>
              <w:rFonts w:eastAsiaTheme="minorEastAsia" w:cstheme="minorBidi"/>
              <w:sz w:val="22"/>
              <w:szCs w:val="22"/>
              <w:lang w:val="en-US"/>
            </w:rPr>
          </w:pPr>
          <w:hyperlink w:anchor="_Toc455159117" w:history="1">
            <w:r w:rsidR="00211983" w:rsidRPr="00211983">
              <w:rPr>
                <w:rStyle w:val="Hyperlink"/>
                <w:bCs/>
              </w:rPr>
              <w:t>PROYECTO 2:</w:t>
            </w:r>
            <w:r w:rsidR="00211983" w:rsidRPr="00211983">
              <w:rPr>
                <w:rFonts w:eastAsiaTheme="minorEastAsia" w:cstheme="minorBidi"/>
                <w:sz w:val="22"/>
                <w:szCs w:val="22"/>
                <w:lang w:val="en-US"/>
              </w:rPr>
              <w:tab/>
            </w:r>
            <w:r w:rsidR="00211983" w:rsidRPr="00211983">
              <w:rPr>
                <w:rStyle w:val="Hyperlink"/>
                <w:bCs/>
              </w:rPr>
              <w:t>APLICACIÓN DE LA GESTIÓN DE CONTENIDOS INSTITUCIONALES (PMM 2)</w:t>
            </w:r>
            <w:r w:rsidR="00211983" w:rsidRPr="00211983">
              <w:rPr>
                <w:webHidden/>
              </w:rPr>
              <w:tab/>
            </w:r>
            <w:r w:rsidR="00211983" w:rsidRPr="00211983">
              <w:rPr>
                <w:webHidden/>
              </w:rPr>
              <w:fldChar w:fldCharType="begin"/>
            </w:r>
            <w:r w:rsidR="00211983" w:rsidRPr="00211983">
              <w:rPr>
                <w:webHidden/>
              </w:rPr>
              <w:instrText xml:space="preserve"> PAGEREF _Toc455159117 \h </w:instrText>
            </w:r>
            <w:r w:rsidR="00211983" w:rsidRPr="00211983">
              <w:rPr>
                <w:webHidden/>
              </w:rPr>
            </w:r>
            <w:r w:rsidR="00211983" w:rsidRPr="00211983">
              <w:rPr>
                <w:webHidden/>
              </w:rPr>
              <w:fldChar w:fldCharType="separate"/>
            </w:r>
            <w:r>
              <w:rPr>
                <w:webHidden/>
              </w:rPr>
              <w:t>342</w:t>
            </w:r>
            <w:r w:rsidR="00211983" w:rsidRPr="00211983">
              <w:rPr>
                <w:webHidden/>
              </w:rPr>
              <w:fldChar w:fldCharType="end"/>
            </w:r>
          </w:hyperlink>
        </w:p>
        <w:p w:rsidR="00211983" w:rsidRPr="00211983" w:rsidRDefault="00121C2F" w:rsidP="008F093A">
          <w:pPr>
            <w:pStyle w:val="TOC3"/>
            <w:rPr>
              <w:rFonts w:eastAsiaTheme="minorEastAsia" w:cstheme="minorBidi"/>
              <w:sz w:val="22"/>
              <w:szCs w:val="22"/>
              <w:lang w:val="en-US"/>
            </w:rPr>
          </w:pPr>
          <w:hyperlink w:anchor="_Toc455159118" w:history="1">
            <w:r w:rsidR="00211983" w:rsidRPr="00211983">
              <w:rPr>
                <w:rStyle w:val="Hyperlink"/>
                <w:bCs/>
              </w:rPr>
              <w:t>PROYECTO 3:</w:t>
            </w:r>
            <w:r w:rsidR="00211983" w:rsidRPr="00211983">
              <w:rPr>
                <w:rFonts w:eastAsiaTheme="minorEastAsia" w:cstheme="minorBidi"/>
                <w:sz w:val="22"/>
                <w:szCs w:val="22"/>
                <w:lang w:val="en-US"/>
              </w:rPr>
              <w:tab/>
            </w:r>
            <w:r w:rsidR="00211983" w:rsidRPr="00211983">
              <w:rPr>
                <w:rStyle w:val="Hyperlink"/>
                <w:bCs/>
              </w:rPr>
              <w:t>RENOVACIÓN DE LAS FACHADAS E INSTALACIÓN DE REFRIGERACIÓN/CALEFACCIÓN EN EL EDIFICIO PCT (PMM 3)</w:t>
            </w:r>
            <w:r w:rsidR="00211983" w:rsidRPr="00211983">
              <w:rPr>
                <w:webHidden/>
              </w:rPr>
              <w:tab/>
            </w:r>
            <w:r w:rsidR="00211983" w:rsidRPr="00211983">
              <w:rPr>
                <w:webHidden/>
              </w:rPr>
              <w:fldChar w:fldCharType="begin"/>
            </w:r>
            <w:r w:rsidR="00211983" w:rsidRPr="00211983">
              <w:rPr>
                <w:webHidden/>
              </w:rPr>
              <w:instrText xml:space="preserve"> PAGEREF _Toc455159118 \h </w:instrText>
            </w:r>
            <w:r w:rsidR="00211983" w:rsidRPr="00211983">
              <w:rPr>
                <w:webHidden/>
              </w:rPr>
            </w:r>
            <w:r w:rsidR="00211983" w:rsidRPr="00211983">
              <w:rPr>
                <w:webHidden/>
              </w:rPr>
              <w:fldChar w:fldCharType="separate"/>
            </w:r>
            <w:r>
              <w:rPr>
                <w:webHidden/>
              </w:rPr>
              <w:t>349</w:t>
            </w:r>
            <w:r w:rsidR="00211983" w:rsidRPr="00211983">
              <w:rPr>
                <w:webHidden/>
              </w:rPr>
              <w:fldChar w:fldCharType="end"/>
            </w:r>
          </w:hyperlink>
        </w:p>
        <w:p w:rsidR="00211983" w:rsidRPr="00211983" w:rsidRDefault="00121C2F" w:rsidP="008F093A">
          <w:pPr>
            <w:pStyle w:val="TOC3"/>
            <w:rPr>
              <w:rFonts w:eastAsiaTheme="minorEastAsia" w:cstheme="minorBidi"/>
              <w:sz w:val="22"/>
              <w:szCs w:val="22"/>
              <w:lang w:val="en-US"/>
            </w:rPr>
          </w:pPr>
          <w:hyperlink w:anchor="_Toc455159119" w:history="1">
            <w:r w:rsidR="00211983" w:rsidRPr="00211983">
              <w:rPr>
                <w:rStyle w:val="Hyperlink"/>
                <w:bCs/>
              </w:rPr>
              <w:t>PROYECTO 4:</w:t>
            </w:r>
            <w:r w:rsidR="00211983" w:rsidRPr="00211983">
              <w:rPr>
                <w:rFonts w:eastAsiaTheme="minorEastAsia" w:cstheme="minorBidi"/>
                <w:sz w:val="22"/>
                <w:szCs w:val="22"/>
                <w:lang w:val="en-US"/>
              </w:rPr>
              <w:tab/>
            </w:r>
            <w:r w:rsidR="00211983" w:rsidRPr="00211983">
              <w:rPr>
                <w:rStyle w:val="Hyperlink"/>
                <w:bCs/>
              </w:rPr>
              <w:t>INSTALACIÓN EN LOS EDIFICIOS AB Y PCT DE UN SISTEMA DE REFRIGERACIÓN QUE UTILIZA EL AGUA DEL LAGO DE GINEBRA (“GLN”) (</w:t>
            </w:r>
            <w:r w:rsidR="00211983" w:rsidRPr="00211983">
              <w:rPr>
                <w:rStyle w:val="Hyperlink"/>
                <w:rFonts w:ascii="Arial" w:hAnsi="Arial" w:cs="Arial"/>
                <w:bCs/>
              </w:rPr>
              <w:t>PMM</w:t>
            </w:r>
            <w:r w:rsidR="00211983" w:rsidRPr="00211983">
              <w:rPr>
                <w:rStyle w:val="Hyperlink"/>
                <w:bCs/>
              </w:rPr>
              <w:t xml:space="preserve"> 4)</w:t>
            </w:r>
            <w:r w:rsidR="00211983" w:rsidRPr="00211983">
              <w:rPr>
                <w:webHidden/>
              </w:rPr>
              <w:tab/>
            </w:r>
            <w:r w:rsidR="00211983" w:rsidRPr="00211983">
              <w:rPr>
                <w:webHidden/>
              </w:rPr>
              <w:fldChar w:fldCharType="begin"/>
            </w:r>
            <w:r w:rsidR="00211983" w:rsidRPr="00211983">
              <w:rPr>
                <w:webHidden/>
              </w:rPr>
              <w:instrText xml:space="preserve"> PAGEREF _Toc455159119 \h </w:instrText>
            </w:r>
            <w:r w:rsidR="00211983" w:rsidRPr="00211983">
              <w:rPr>
                <w:webHidden/>
              </w:rPr>
            </w:r>
            <w:r w:rsidR="00211983" w:rsidRPr="00211983">
              <w:rPr>
                <w:webHidden/>
              </w:rPr>
              <w:fldChar w:fldCharType="separate"/>
            </w:r>
            <w:r>
              <w:rPr>
                <w:webHidden/>
              </w:rPr>
              <w:t>353</w:t>
            </w:r>
            <w:r w:rsidR="00211983" w:rsidRPr="00211983">
              <w:rPr>
                <w:webHidden/>
              </w:rPr>
              <w:fldChar w:fldCharType="end"/>
            </w:r>
          </w:hyperlink>
        </w:p>
        <w:p w:rsidR="00211983" w:rsidRPr="00211983" w:rsidRDefault="00121C2F" w:rsidP="008F093A">
          <w:pPr>
            <w:pStyle w:val="TOC3"/>
            <w:rPr>
              <w:rFonts w:eastAsiaTheme="minorEastAsia" w:cstheme="minorBidi"/>
              <w:sz w:val="22"/>
              <w:szCs w:val="22"/>
              <w:lang w:val="en-US"/>
            </w:rPr>
          </w:pPr>
          <w:hyperlink w:anchor="_Toc455159120" w:history="1">
            <w:r w:rsidR="00211983" w:rsidRPr="00211983">
              <w:rPr>
                <w:rStyle w:val="Hyperlink"/>
                <w:bCs/>
              </w:rPr>
              <w:t>PROYECTO 5:</w:t>
            </w:r>
            <w:r w:rsidR="00211983" w:rsidRPr="00211983">
              <w:rPr>
                <w:rFonts w:eastAsiaTheme="minorEastAsia" w:cstheme="minorBidi"/>
                <w:sz w:val="22"/>
                <w:szCs w:val="22"/>
                <w:lang w:val="en-US"/>
              </w:rPr>
              <w:tab/>
            </w:r>
            <w:r w:rsidR="00211983" w:rsidRPr="00211983">
              <w:rPr>
                <w:rStyle w:val="Hyperlink"/>
                <w:bCs/>
              </w:rPr>
              <w:t>EDIFICIO ARPAD BOGSCH – FASE 1 DE LA RENOVACIÓN DEL SUBSUELO (ADAPTACIÓN DE LAS DIMENSIONES DEL CENTRO DE DATOS Y RENOVACIÓN DE LA IMPRENTA) (PMM 5)</w:t>
            </w:r>
            <w:r w:rsidR="00211983" w:rsidRPr="00211983">
              <w:rPr>
                <w:webHidden/>
              </w:rPr>
              <w:tab/>
            </w:r>
            <w:r w:rsidR="00211983" w:rsidRPr="00211983">
              <w:rPr>
                <w:webHidden/>
              </w:rPr>
              <w:fldChar w:fldCharType="begin"/>
            </w:r>
            <w:r w:rsidR="00211983" w:rsidRPr="00211983">
              <w:rPr>
                <w:webHidden/>
              </w:rPr>
              <w:instrText xml:space="preserve"> PAGEREF _Toc455159120 \h </w:instrText>
            </w:r>
            <w:r w:rsidR="00211983" w:rsidRPr="00211983">
              <w:rPr>
                <w:webHidden/>
              </w:rPr>
            </w:r>
            <w:r w:rsidR="00211983" w:rsidRPr="00211983">
              <w:rPr>
                <w:webHidden/>
              </w:rPr>
              <w:fldChar w:fldCharType="separate"/>
            </w:r>
            <w:r>
              <w:rPr>
                <w:webHidden/>
              </w:rPr>
              <w:t>357</w:t>
            </w:r>
            <w:r w:rsidR="00211983" w:rsidRPr="00211983">
              <w:rPr>
                <w:webHidden/>
              </w:rPr>
              <w:fldChar w:fldCharType="end"/>
            </w:r>
          </w:hyperlink>
        </w:p>
        <w:p w:rsidR="00211983" w:rsidRPr="00211983" w:rsidRDefault="00121C2F" w:rsidP="008F093A">
          <w:pPr>
            <w:pStyle w:val="TOC3"/>
            <w:rPr>
              <w:rFonts w:eastAsiaTheme="minorEastAsia" w:cstheme="minorBidi"/>
              <w:sz w:val="22"/>
              <w:szCs w:val="22"/>
              <w:lang w:val="en-US"/>
            </w:rPr>
          </w:pPr>
          <w:hyperlink w:anchor="_Toc455159121" w:history="1">
            <w:r w:rsidR="00211983" w:rsidRPr="00211983">
              <w:rPr>
                <w:rStyle w:val="Hyperlink"/>
                <w:bCs/>
              </w:rPr>
              <w:t>PROYECTO 6:</w:t>
            </w:r>
            <w:r w:rsidR="00211983" w:rsidRPr="00211983">
              <w:rPr>
                <w:rFonts w:eastAsiaTheme="minorEastAsia" w:cstheme="minorBidi"/>
                <w:sz w:val="22"/>
                <w:szCs w:val="22"/>
                <w:lang w:val="en-US"/>
              </w:rPr>
              <w:tab/>
            </w:r>
            <w:r w:rsidR="00211983" w:rsidRPr="00211983">
              <w:rPr>
                <w:rStyle w:val="Hyperlink"/>
                <w:bCs/>
              </w:rPr>
              <w:t>EDIFICIO ARPAD BOGSCH – SUSTITUCIÓN DE DETERMINADAS VENTANAS (PMM 6)</w:t>
            </w:r>
            <w:r w:rsidR="00211983" w:rsidRPr="00211983">
              <w:rPr>
                <w:webHidden/>
              </w:rPr>
              <w:tab/>
            </w:r>
            <w:r w:rsidR="00211983" w:rsidRPr="00211983">
              <w:rPr>
                <w:webHidden/>
              </w:rPr>
              <w:fldChar w:fldCharType="begin"/>
            </w:r>
            <w:r w:rsidR="00211983" w:rsidRPr="00211983">
              <w:rPr>
                <w:webHidden/>
              </w:rPr>
              <w:instrText xml:space="preserve"> PAGEREF _Toc455159121 \h </w:instrText>
            </w:r>
            <w:r w:rsidR="00211983" w:rsidRPr="00211983">
              <w:rPr>
                <w:webHidden/>
              </w:rPr>
            </w:r>
            <w:r w:rsidR="00211983" w:rsidRPr="00211983">
              <w:rPr>
                <w:webHidden/>
              </w:rPr>
              <w:fldChar w:fldCharType="separate"/>
            </w:r>
            <w:r>
              <w:rPr>
                <w:webHidden/>
              </w:rPr>
              <w:t>360</w:t>
            </w:r>
            <w:r w:rsidR="00211983" w:rsidRPr="00211983">
              <w:rPr>
                <w:webHidden/>
              </w:rPr>
              <w:fldChar w:fldCharType="end"/>
            </w:r>
          </w:hyperlink>
        </w:p>
        <w:p w:rsidR="00211983" w:rsidRPr="00211983" w:rsidRDefault="00121C2F" w:rsidP="008F093A">
          <w:pPr>
            <w:pStyle w:val="TOC3"/>
            <w:rPr>
              <w:rFonts w:eastAsiaTheme="minorEastAsia" w:cstheme="minorBidi"/>
              <w:sz w:val="22"/>
              <w:szCs w:val="22"/>
              <w:lang w:val="en-US"/>
            </w:rPr>
          </w:pPr>
          <w:hyperlink w:anchor="_Toc455159122" w:history="1">
            <w:r w:rsidR="00211983" w:rsidRPr="00211983">
              <w:rPr>
                <w:rStyle w:val="Hyperlink"/>
                <w:bCs/>
              </w:rPr>
              <w:t>PROYECTO 7:</w:t>
            </w:r>
            <w:r w:rsidR="00211983" w:rsidRPr="00211983">
              <w:rPr>
                <w:rFonts w:eastAsiaTheme="minorEastAsia" w:cstheme="minorBidi"/>
                <w:sz w:val="22"/>
                <w:szCs w:val="22"/>
                <w:lang w:val="en-US"/>
              </w:rPr>
              <w:tab/>
            </w:r>
            <w:r w:rsidR="00211983" w:rsidRPr="00211983">
              <w:rPr>
                <w:rStyle w:val="Hyperlink"/>
                <w:bCs/>
              </w:rPr>
              <w:t>MEDIDAS DE SEGURIDAD Y DE PROTECCIÓN CONTRA INCENDIOS (PMM 7)</w:t>
            </w:r>
            <w:r w:rsidR="00211983" w:rsidRPr="00211983">
              <w:rPr>
                <w:webHidden/>
              </w:rPr>
              <w:tab/>
            </w:r>
            <w:r w:rsidR="00211983" w:rsidRPr="00211983">
              <w:rPr>
                <w:webHidden/>
              </w:rPr>
              <w:fldChar w:fldCharType="begin"/>
            </w:r>
            <w:r w:rsidR="00211983" w:rsidRPr="00211983">
              <w:rPr>
                <w:webHidden/>
              </w:rPr>
              <w:instrText xml:space="preserve"> PAGEREF _Toc455159122 \h </w:instrText>
            </w:r>
            <w:r w:rsidR="00211983" w:rsidRPr="00211983">
              <w:rPr>
                <w:webHidden/>
              </w:rPr>
            </w:r>
            <w:r w:rsidR="00211983" w:rsidRPr="00211983">
              <w:rPr>
                <w:webHidden/>
              </w:rPr>
              <w:fldChar w:fldCharType="separate"/>
            </w:r>
            <w:r>
              <w:rPr>
                <w:webHidden/>
              </w:rPr>
              <w:t>363</w:t>
            </w:r>
            <w:r w:rsidR="00211983" w:rsidRPr="00211983">
              <w:rPr>
                <w:webHidden/>
              </w:rPr>
              <w:fldChar w:fldCharType="end"/>
            </w:r>
          </w:hyperlink>
        </w:p>
        <w:p w:rsidR="00211983" w:rsidRPr="00211983" w:rsidRDefault="00121C2F" w:rsidP="00DD5AB6">
          <w:pPr>
            <w:pStyle w:val="TOC2"/>
            <w:rPr>
              <w:rFonts w:eastAsiaTheme="minorEastAsia" w:cstheme="minorBidi"/>
              <w:noProof/>
              <w:sz w:val="22"/>
              <w:szCs w:val="22"/>
            </w:rPr>
          </w:pPr>
          <w:hyperlink w:anchor="_Toc455159123" w:history="1">
            <w:r w:rsidR="008F093A">
              <w:rPr>
                <w:rStyle w:val="Hyperlink"/>
                <w:noProof/>
              </w:rPr>
              <w:t>APÉNDICE IV</w:t>
            </w:r>
            <w:r w:rsidR="008F093A" w:rsidRPr="008F093A">
              <w:rPr>
                <w:rStyle w:val="Hyperlink"/>
                <w:noProof/>
              </w:rPr>
              <w:tab/>
            </w:r>
            <w:r w:rsidR="00211983" w:rsidRPr="00211983">
              <w:rPr>
                <w:rStyle w:val="Hyperlink"/>
                <w:noProof/>
              </w:rPr>
              <w:t>SIGLAS Y ABREVIATURAS EMPLEADAS EN EL PRESENTE DOCUMENTO</w:t>
            </w:r>
            <w:r w:rsidR="00211983" w:rsidRPr="00211983">
              <w:rPr>
                <w:noProof/>
                <w:webHidden/>
              </w:rPr>
              <w:tab/>
            </w:r>
            <w:r w:rsidR="00211983" w:rsidRPr="00211983">
              <w:rPr>
                <w:noProof/>
                <w:webHidden/>
              </w:rPr>
              <w:fldChar w:fldCharType="begin"/>
            </w:r>
            <w:r w:rsidR="00211983" w:rsidRPr="00211983">
              <w:rPr>
                <w:noProof/>
                <w:webHidden/>
              </w:rPr>
              <w:instrText xml:space="preserve"> PAGEREF _Toc455159123 \h </w:instrText>
            </w:r>
            <w:r w:rsidR="00211983" w:rsidRPr="00211983">
              <w:rPr>
                <w:noProof/>
                <w:webHidden/>
              </w:rPr>
            </w:r>
            <w:r w:rsidR="00211983" w:rsidRPr="00211983">
              <w:rPr>
                <w:noProof/>
                <w:webHidden/>
              </w:rPr>
              <w:fldChar w:fldCharType="separate"/>
            </w:r>
            <w:r>
              <w:rPr>
                <w:noProof/>
                <w:webHidden/>
              </w:rPr>
              <w:t>367</w:t>
            </w:r>
            <w:r w:rsidR="00211983" w:rsidRPr="00211983">
              <w:rPr>
                <w:noProof/>
                <w:webHidden/>
              </w:rPr>
              <w:fldChar w:fldCharType="end"/>
            </w:r>
          </w:hyperlink>
        </w:p>
        <w:p w:rsidR="00211983" w:rsidRPr="00211983" w:rsidRDefault="00211983">
          <w:r w:rsidRPr="00211983">
            <w:rPr>
              <w:bCs/>
              <w:noProof/>
            </w:rPr>
            <w:fldChar w:fldCharType="end"/>
          </w:r>
        </w:p>
      </w:sdtContent>
    </w:sdt>
    <w:p w:rsidR="00B26D73" w:rsidRDefault="00B26D73" w:rsidP="00B26D73">
      <w:pPr>
        <w:rPr>
          <w:lang w:val="en-US"/>
        </w:rPr>
      </w:pPr>
    </w:p>
    <w:p w:rsidR="00B26D73" w:rsidRDefault="00B26D73">
      <w:pPr>
        <w:rPr>
          <w:lang w:val="en-US"/>
        </w:rPr>
      </w:pPr>
      <w:r>
        <w:rPr>
          <w:lang w:val="en-US"/>
        </w:rPr>
        <w:br w:type="page"/>
      </w:r>
    </w:p>
    <w:p w:rsidR="00A712D3" w:rsidRPr="00685779" w:rsidRDefault="008C30EE" w:rsidP="002671EB">
      <w:pPr>
        <w:pStyle w:val="Heading1"/>
        <w:tabs>
          <w:tab w:val="clear" w:pos="284"/>
        </w:tabs>
        <w:ind w:hanging="578"/>
        <w:rPr>
          <w:szCs w:val="22"/>
        </w:rPr>
      </w:pPr>
      <w:bookmarkStart w:id="6" w:name="_Toc455159063"/>
      <w:r w:rsidRPr="00685779">
        <w:lastRenderedPageBreak/>
        <w:t>INTRODUCCIÓN</w:t>
      </w:r>
      <w:bookmarkEnd w:id="6"/>
    </w:p>
    <w:p w:rsidR="00E020B6" w:rsidRPr="001402C5" w:rsidRDefault="00E020B6" w:rsidP="00E020B6">
      <w:pPr>
        <w:jc w:val="both"/>
        <w:rPr>
          <w:sz w:val="20"/>
        </w:rPr>
      </w:pPr>
      <w:bookmarkStart w:id="7" w:name="_Toc454544456"/>
    </w:p>
    <w:p w:rsidR="00E020B6" w:rsidRPr="001402C5" w:rsidRDefault="00E020B6" w:rsidP="009025C4">
      <w:pPr>
        <w:pStyle w:val="ONUMFS"/>
        <w:jc w:val="both"/>
        <w:rPr>
          <w:sz w:val="20"/>
        </w:rPr>
      </w:pPr>
      <w:r w:rsidRPr="001402C5">
        <w:rPr>
          <w:sz w:val="20"/>
        </w:rPr>
        <w:t xml:space="preserve">El Informe sobre el rendimiento de los programas (documento PPR) es el principal mecanismo de rendición de cuentas que se utiliza para informar a los Estados miembros sobre el rendimiento de la Organización, y es un elemento esencial del marco de gestión por resultados de la OMPI.  El Informe constituye asimismo una importante herramienta de aprendizaje que garantiza la asimilación de las lecciones que se desprenden del rendimiento logrado en el pasado y su debida incorporación a la aplicación futura de las actividades de la OMPI.  El documento PPR constituye una autoevaluación a cargo de los directores de programa basada en el marco de resultados aprobado por los Estados miembros.  Al igual que en 2014, la evaluación de la aplicación de la Agenda para el Desarrollo (A.D.) se incorporó y, por lo tanto, se integró en los Logros alcanzados en el bienio 2014/15, en lugar de ser examinada en una sección aparte.  En el marco del compromiso de la OMPI de reforzar los sistemas de gestión de riesgos, el documento PPR de 2014/15 se ha perfeccionado para incluir, por primera vez, una sección dedicada a la Presentación de informes en materia de riesgos durante el bienio.  Para reforzar la validez de la información contenida en el documento PPR, la División de Supervisión Interna (DSI) realiza cada dos años una validación de los datos sobre el rendimiento.  La validación del documento PPR de 2014/15 se recoge en el documento WO/PBC/25/8.  </w:t>
      </w:r>
    </w:p>
    <w:p w:rsidR="00E020B6" w:rsidRPr="001402C5" w:rsidRDefault="00E020B6" w:rsidP="00E020B6">
      <w:pPr>
        <w:pStyle w:val="ONUMFS"/>
        <w:jc w:val="both"/>
        <w:rPr>
          <w:sz w:val="20"/>
        </w:rPr>
      </w:pPr>
      <w:r w:rsidRPr="001402C5">
        <w:rPr>
          <w:sz w:val="20"/>
        </w:rPr>
        <w:t>El documento PPR de 2014/15 es un informe que se elabora a final del bienio y que valorar los avances y/o los logros alcanzados en la consecución de los resultados previstos, medidos en función de los indicadores de rendimiento y teniendo en cuenta los recursos aprobados en el presupuesto por programas de 2014/15</w:t>
      </w:r>
      <w:r w:rsidRPr="001402C5">
        <w:rPr>
          <w:sz w:val="20"/>
          <w:vertAlign w:val="superscript"/>
        </w:rPr>
        <w:footnoteReference w:id="2"/>
      </w:r>
      <w:r w:rsidRPr="001402C5">
        <w:rPr>
          <w:sz w:val="20"/>
        </w:rPr>
        <w:t>.  La medición de un mismo indicador de rendimiento puede hacerse por medio de más de un objetivo.  En es</w:t>
      </w:r>
      <w:r w:rsidR="00CE5FE1">
        <w:rPr>
          <w:sz w:val="20"/>
        </w:rPr>
        <w:t>os casos</w:t>
      </w:r>
      <w:r w:rsidRPr="001402C5">
        <w:rPr>
          <w:sz w:val="20"/>
        </w:rPr>
        <w:t xml:space="preserve"> se proporciona la calificación de cada objetivo, dando  lugar con ello a múltiples calificaciones.  En el documento PPR de 2014/15 se han utilizado los siguientes criterios de evaluación:</w:t>
      </w:r>
    </w:p>
    <w:p w:rsidR="00E020B6" w:rsidRPr="006B1CAE" w:rsidRDefault="00E020B6" w:rsidP="000C6F77">
      <w:pPr>
        <w:pStyle w:val="ONUMFS"/>
        <w:jc w:val="both"/>
        <w:rPr>
          <w:sz w:val="20"/>
        </w:rPr>
      </w:pPr>
      <w:r w:rsidRPr="006B1CAE">
        <w:rPr>
          <w:sz w:val="20"/>
        </w:rPr>
        <w:t>Clave de colores:</w:t>
      </w:r>
    </w:p>
    <w:p w:rsidR="00E020B6" w:rsidRPr="001402C5" w:rsidRDefault="00E020B6" w:rsidP="000C6F77">
      <w:pPr>
        <w:numPr>
          <w:ilvl w:val="0"/>
          <w:numId w:val="5"/>
        </w:numPr>
        <w:jc w:val="both"/>
        <w:rPr>
          <w:sz w:val="20"/>
        </w:rPr>
      </w:pPr>
      <w:r w:rsidRPr="001402C5">
        <w:rPr>
          <w:b/>
          <w:bCs/>
          <w:color w:val="008000"/>
          <w:sz w:val="20"/>
        </w:rPr>
        <w:t>Plenamente logrado</w:t>
      </w:r>
      <w:r w:rsidRPr="001402C5">
        <w:rPr>
          <w:sz w:val="20"/>
        </w:rPr>
        <w:t xml:space="preserve"> se aplica cuando los datos sobre el rendimiento correspondientes al bienio 2014/15 indican que el objetivo del indicador de rendimiento se ha alcanzado en un  80% o en un porcentaje superior.</w:t>
      </w:r>
    </w:p>
    <w:p w:rsidR="00E020B6" w:rsidRPr="001402C5" w:rsidRDefault="00E020B6" w:rsidP="000C6F77">
      <w:pPr>
        <w:numPr>
          <w:ilvl w:val="0"/>
          <w:numId w:val="5"/>
        </w:numPr>
        <w:spacing w:before="120"/>
        <w:jc w:val="both"/>
        <w:rPr>
          <w:sz w:val="20"/>
        </w:rPr>
      </w:pPr>
      <w:r w:rsidRPr="001402C5">
        <w:rPr>
          <w:b/>
          <w:bCs/>
          <w:color w:val="E26B0A"/>
          <w:sz w:val="20"/>
        </w:rPr>
        <w:t>Parcialmente logrado</w:t>
      </w:r>
      <w:r w:rsidRPr="001402C5">
        <w:rPr>
          <w:sz w:val="20"/>
        </w:rPr>
        <w:t xml:space="preserve"> se aplica cuando los datos sobre el rendimiento correspondientes al bienio 2014/15 indican que el objetivo del indicador se ha alcanzado en un porcentaje de entre el 30% y el 80%. </w:t>
      </w:r>
    </w:p>
    <w:p w:rsidR="00E020B6" w:rsidRPr="001402C5" w:rsidRDefault="00E020B6" w:rsidP="000C6F77">
      <w:pPr>
        <w:numPr>
          <w:ilvl w:val="0"/>
          <w:numId w:val="5"/>
        </w:numPr>
        <w:spacing w:before="120"/>
        <w:jc w:val="both"/>
        <w:rPr>
          <w:sz w:val="20"/>
        </w:rPr>
      </w:pPr>
      <w:r w:rsidRPr="001402C5">
        <w:rPr>
          <w:b/>
          <w:bCs/>
          <w:color w:val="FF0000"/>
          <w:sz w:val="20"/>
        </w:rPr>
        <w:t>No logrado</w:t>
      </w:r>
      <w:r w:rsidRPr="001402C5">
        <w:rPr>
          <w:sz w:val="20"/>
        </w:rPr>
        <w:t xml:space="preserve"> se aplica cuando los datos sobre el rendimiento correspondientes al bienio 2014/15 indican que el objetivo del indicador del rendimiento no ha alcanzado el 30%. </w:t>
      </w:r>
    </w:p>
    <w:p w:rsidR="00E020B6" w:rsidRDefault="00E020B6" w:rsidP="000C6F77">
      <w:pPr>
        <w:pStyle w:val="ListParagraph"/>
        <w:ind w:left="794"/>
        <w:jc w:val="both"/>
        <w:rPr>
          <w:lang w:val="es-ES"/>
        </w:rPr>
      </w:pPr>
    </w:p>
    <w:p w:rsidR="00E020B6" w:rsidRDefault="00E020B6" w:rsidP="000C6F77">
      <w:pPr>
        <w:pStyle w:val="ListParagraph"/>
        <w:numPr>
          <w:ilvl w:val="0"/>
          <w:numId w:val="5"/>
        </w:numPr>
        <w:jc w:val="both"/>
        <w:rPr>
          <w:lang w:val="es-ES"/>
        </w:rPr>
      </w:pPr>
      <w:r w:rsidRPr="00F36C80">
        <w:rPr>
          <w:b/>
          <w:bCs/>
          <w:color w:val="7F7F7F" w:themeColor="text1" w:themeTint="80"/>
          <w:lang w:val="es-ES"/>
        </w:rPr>
        <w:t>No mensurable</w:t>
      </w:r>
      <w:r w:rsidRPr="001438E7">
        <w:rPr>
          <w:rStyle w:val="FootnoteReference"/>
          <w:b/>
          <w:bCs/>
          <w:color w:val="7F7F7F" w:themeColor="text1" w:themeTint="80"/>
          <w:lang w:val="es-ES"/>
        </w:rPr>
        <w:footnoteReference w:id="3"/>
      </w:r>
      <w:r w:rsidRPr="00F36C80">
        <w:rPr>
          <w:b/>
          <w:bCs/>
          <w:color w:val="A6A6A6" w:themeColor="background1" w:themeShade="A6"/>
          <w:lang w:val="es-ES"/>
        </w:rPr>
        <w:t xml:space="preserve"> </w:t>
      </w:r>
      <w:r w:rsidRPr="00F36C80">
        <w:rPr>
          <w:lang w:val="es-ES"/>
        </w:rPr>
        <w:t>se aplica cuando no resulta viable evaluar el rendimiento por no haberse definido adecuadamente</w:t>
      </w:r>
      <w:r>
        <w:rPr>
          <w:lang w:val="es-ES"/>
        </w:rPr>
        <w:t xml:space="preserve"> el </w:t>
      </w:r>
      <w:r w:rsidRPr="00F36C80">
        <w:rPr>
          <w:lang w:val="es-ES"/>
        </w:rPr>
        <w:t>objetivo</w:t>
      </w:r>
      <w:r>
        <w:rPr>
          <w:lang w:val="es-ES"/>
        </w:rPr>
        <w:t>, cuando no se dispone de una base de referencia</w:t>
      </w:r>
      <w:r w:rsidRPr="00F36C80">
        <w:rPr>
          <w:lang w:val="es-ES"/>
        </w:rPr>
        <w:t xml:space="preserve"> o cuando los datos de rendimiento son insuficientes para determinar </w:t>
      </w:r>
      <w:r>
        <w:rPr>
          <w:lang w:val="es-ES"/>
        </w:rPr>
        <w:t xml:space="preserve">la clasificación en </w:t>
      </w:r>
      <w:r w:rsidRPr="00F36C80">
        <w:rPr>
          <w:lang w:val="es-ES"/>
        </w:rPr>
        <w:t>la clave de colores</w:t>
      </w:r>
      <w:r>
        <w:rPr>
          <w:lang w:val="es-ES"/>
        </w:rPr>
        <w:t>, y;</w:t>
      </w:r>
    </w:p>
    <w:p w:rsidR="00E020B6" w:rsidRPr="001402C5" w:rsidRDefault="00E020B6" w:rsidP="000C6F77">
      <w:pPr>
        <w:numPr>
          <w:ilvl w:val="0"/>
          <w:numId w:val="5"/>
        </w:numPr>
        <w:spacing w:before="120"/>
        <w:jc w:val="both"/>
        <w:rPr>
          <w:sz w:val="20"/>
        </w:rPr>
      </w:pPr>
      <w:r w:rsidRPr="001402C5">
        <w:rPr>
          <w:b/>
          <w:bCs/>
          <w:sz w:val="20"/>
        </w:rPr>
        <w:t>Discontinuado</w:t>
      </w:r>
      <w:r w:rsidRPr="001402C5">
        <w:rPr>
          <w:b/>
          <w:bCs/>
          <w:color w:val="808080"/>
          <w:sz w:val="20"/>
        </w:rPr>
        <w:t xml:space="preserve"> </w:t>
      </w:r>
      <w:r w:rsidRPr="001402C5">
        <w:rPr>
          <w:sz w:val="20"/>
        </w:rPr>
        <w:t xml:space="preserve">se aplica cuando ha dejado de utilizarse un indicador de rendimiento para medir el rendimiento del programa.  </w:t>
      </w:r>
    </w:p>
    <w:p w:rsidR="00E020B6" w:rsidRPr="001402C5" w:rsidRDefault="00E020B6" w:rsidP="000C6F77">
      <w:pPr>
        <w:jc w:val="both"/>
        <w:rPr>
          <w:sz w:val="20"/>
        </w:rPr>
      </w:pPr>
    </w:p>
    <w:p w:rsidR="00F754C4" w:rsidRPr="00F754C4" w:rsidRDefault="00F754C4" w:rsidP="000C6F77">
      <w:pPr>
        <w:pStyle w:val="ONUMFS"/>
        <w:jc w:val="both"/>
        <w:rPr>
          <w:sz w:val="20"/>
        </w:rPr>
      </w:pPr>
      <w:r w:rsidRPr="00F754C4">
        <w:rPr>
          <w:sz w:val="20"/>
        </w:rPr>
        <w:t>Del total de 394 indicadores de rendimiento previstos en el presupuesto por programas de 2014/15,</w:t>
      </w:r>
      <w:r w:rsidR="00CE5FE1">
        <w:rPr>
          <w:sz w:val="20"/>
        </w:rPr>
        <w:t xml:space="preserve"> </w:t>
      </w:r>
      <w:r w:rsidRPr="00F754C4">
        <w:rPr>
          <w:sz w:val="20"/>
        </w:rPr>
        <w:t>286 (el</w:t>
      </w:r>
      <w:r w:rsidR="00CE5FE1">
        <w:rPr>
          <w:sz w:val="20"/>
        </w:rPr>
        <w:t xml:space="preserve"> </w:t>
      </w:r>
      <w:r w:rsidRPr="00F754C4">
        <w:rPr>
          <w:sz w:val="20"/>
        </w:rPr>
        <w:t>72%) recibieron la calificación “Plenamente logrado”.  A un total de</w:t>
      </w:r>
      <w:r w:rsidR="00CE5FE1">
        <w:rPr>
          <w:sz w:val="20"/>
        </w:rPr>
        <w:t xml:space="preserve"> </w:t>
      </w:r>
      <w:r w:rsidRPr="00F754C4">
        <w:rPr>
          <w:sz w:val="20"/>
        </w:rPr>
        <w:t>19 indicadores (el 5%) se les aplicó la calificación “Parcialmente logrado” y a</w:t>
      </w:r>
      <w:r w:rsidR="00CE5FE1">
        <w:rPr>
          <w:sz w:val="20"/>
        </w:rPr>
        <w:t xml:space="preserve"> </w:t>
      </w:r>
      <w:r w:rsidRPr="00F754C4">
        <w:rPr>
          <w:sz w:val="20"/>
        </w:rPr>
        <w:t>46 (el 12%) la de “No logrado”.  Aproximadamente 35 indicadores (el 9%) fueron calificados como “No mensurables” y otros</w:t>
      </w:r>
      <w:r w:rsidR="00CE5FE1">
        <w:rPr>
          <w:sz w:val="20"/>
        </w:rPr>
        <w:t xml:space="preserve"> </w:t>
      </w:r>
      <w:r w:rsidRPr="00F754C4">
        <w:rPr>
          <w:sz w:val="20"/>
        </w:rPr>
        <w:t>8 (el 2%) recibieron la calificación de “Discontinuado”.</w:t>
      </w:r>
    </w:p>
    <w:p w:rsidR="00E020B6" w:rsidRPr="001402C5" w:rsidRDefault="00E020B6" w:rsidP="00E020B6">
      <w:pPr>
        <w:jc w:val="both"/>
        <w:rPr>
          <w:sz w:val="20"/>
        </w:rPr>
      </w:pPr>
    </w:p>
    <w:p w:rsidR="00E020B6" w:rsidRPr="001402C5" w:rsidRDefault="00E020B6" w:rsidP="00E020B6">
      <w:pPr>
        <w:jc w:val="center"/>
        <w:rPr>
          <w:sz w:val="20"/>
        </w:rPr>
      </w:pPr>
      <w:r w:rsidRPr="001402C5">
        <w:rPr>
          <w:noProof/>
          <w:sz w:val="20"/>
          <w:lang w:val="en-US" w:eastAsia="en-US"/>
        </w:rPr>
        <w:lastRenderedPageBreak/>
        <w:drawing>
          <wp:inline distT="0" distB="0" distL="0" distR="0" wp14:anchorId="1895242C" wp14:editId="2C997ABC">
            <wp:extent cx="4881781" cy="2803129"/>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880819" cy="2802577"/>
                    </a:xfrm>
                    <a:prstGeom prst="rect">
                      <a:avLst/>
                    </a:prstGeom>
                    <a:noFill/>
                    <a:ln>
                      <a:noFill/>
                    </a:ln>
                  </pic:spPr>
                </pic:pic>
              </a:graphicData>
            </a:graphic>
          </wp:inline>
        </w:drawing>
      </w:r>
    </w:p>
    <w:p w:rsidR="00A712D3" w:rsidRPr="00B010F4" w:rsidRDefault="00E020B6" w:rsidP="002671EB">
      <w:pPr>
        <w:pStyle w:val="Heading1"/>
        <w:tabs>
          <w:tab w:val="clear" w:pos="284"/>
        </w:tabs>
        <w:ind w:hanging="578"/>
        <w:rPr>
          <w:szCs w:val="22"/>
        </w:rPr>
      </w:pPr>
      <w:bookmarkStart w:id="8" w:name="_Toc382905012"/>
      <w:bookmarkStart w:id="9" w:name="_Toc420582484"/>
      <w:bookmarkStart w:id="10" w:name="_Toc455159064"/>
      <w:bookmarkEnd w:id="7"/>
      <w:r w:rsidRPr="00B010F4">
        <w:rPr>
          <w:caps w:val="0"/>
          <w:szCs w:val="22"/>
        </w:rPr>
        <w:t xml:space="preserve">RESUMEN DE LOS AVANCES LOGRADOS EN </w:t>
      </w:r>
      <w:bookmarkEnd w:id="8"/>
      <w:r w:rsidRPr="00B010F4">
        <w:rPr>
          <w:caps w:val="0"/>
          <w:szCs w:val="22"/>
        </w:rPr>
        <w:t>2014</w:t>
      </w:r>
      <w:bookmarkEnd w:id="9"/>
      <w:r w:rsidRPr="00B010F4">
        <w:rPr>
          <w:caps w:val="0"/>
          <w:szCs w:val="22"/>
        </w:rPr>
        <w:t>/15</w:t>
      </w:r>
      <w:bookmarkEnd w:id="10"/>
    </w:p>
    <w:p w:rsidR="006760C1" w:rsidRPr="001402C5" w:rsidRDefault="006760C1" w:rsidP="006760C1">
      <w:pPr>
        <w:rPr>
          <w:sz w:val="20"/>
        </w:rPr>
      </w:pPr>
      <w:bookmarkStart w:id="11" w:name="_Toc392610023"/>
    </w:p>
    <w:p w:rsidR="00044D62" w:rsidRPr="00044D62" w:rsidRDefault="00044D62" w:rsidP="00044D62">
      <w:pPr>
        <w:pStyle w:val="ONUMFS"/>
        <w:jc w:val="both"/>
        <w:rPr>
          <w:sz w:val="20"/>
        </w:rPr>
      </w:pPr>
      <w:r w:rsidRPr="00044D62">
        <w:rPr>
          <w:sz w:val="20"/>
        </w:rPr>
        <w:t>El documento PPR de 2014/15 incluye cuadros sobre el rendimiento de cada una de la</w:t>
      </w:r>
      <w:r w:rsidR="008B1CDA">
        <w:rPr>
          <w:sz w:val="20"/>
        </w:rPr>
        <w:t>s nueve metas estratégicas.  Es</w:t>
      </w:r>
      <w:r w:rsidRPr="00044D62">
        <w:rPr>
          <w:sz w:val="20"/>
        </w:rPr>
        <w:t xml:space="preserve">os cuadros proporcionan un resumen gráfico de los avances logrados </w:t>
      </w:r>
      <w:r>
        <w:rPr>
          <w:sz w:val="20"/>
        </w:rPr>
        <w:t>en </w:t>
      </w:r>
      <w:r w:rsidRPr="00044D62">
        <w:rPr>
          <w:sz w:val="20"/>
        </w:rPr>
        <w:t xml:space="preserve">2014/2015 tomando como referencia </w:t>
      </w:r>
      <w:r w:rsidRPr="00044D62">
        <w:rPr>
          <w:color w:val="000000"/>
          <w:sz w:val="20"/>
        </w:rPr>
        <w:t>los indicadores de rendimiento de los programas que contribuyen a la consecución de las metas respectivas.</w:t>
      </w:r>
      <w:r w:rsidRPr="00044D62">
        <w:rPr>
          <w:sz w:val="20"/>
        </w:rPr>
        <w:t xml:space="preserve">  Al evaluar el rendimiento, se realizó por primera vez en lo que respecta a los programas un análisis en profundidad de los riesgos identificados en el presupuesto por programas de 2014/15.  Esto incluyó una evaluación de la evolución de los riesgos durante el bienio para determinar, entre otras cosas, la materialización o no de los riesgos;  la aplicación de estrategias de mitigación;  y la incidencia sobre el rendimiento de los programas en la consecución de los resultados previstos.  </w:t>
      </w:r>
      <w:r w:rsidRPr="00044D62">
        <w:rPr>
          <w:color w:val="000000"/>
          <w:sz w:val="20"/>
        </w:rPr>
        <w:t xml:space="preserve">En la meta estratégica IX y en el </w:t>
      </w:r>
      <w:r w:rsidR="008B1CDA" w:rsidRPr="00044D62">
        <w:rPr>
          <w:color w:val="000000"/>
          <w:sz w:val="20"/>
        </w:rPr>
        <w:t>programa </w:t>
      </w:r>
      <w:r w:rsidRPr="00044D62">
        <w:rPr>
          <w:color w:val="000000"/>
          <w:sz w:val="20"/>
        </w:rPr>
        <w:t>22 figura una visión de conjunto de la mejora de los procesos de gestión de riesgos de la OMPI.</w:t>
      </w:r>
      <w:r w:rsidRPr="00044D62">
        <w:rPr>
          <w:sz w:val="20"/>
        </w:rPr>
        <w:t xml:space="preserve">  </w:t>
      </w:r>
    </w:p>
    <w:p w:rsidR="00044D62" w:rsidRPr="00044D62" w:rsidRDefault="00044D62" w:rsidP="00044D62">
      <w:pPr>
        <w:pStyle w:val="ONUMFS"/>
        <w:jc w:val="both"/>
        <w:rPr>
          <w:sz w:val="20"/>
        </w:rPr>
      </w:pPr>
      <w:r w:rsidRPr="00044D62">
        <w:rPr>
          <w:sz w:val="20"/>
        </w:rPr>
        <w:t>A continuación se indican de forma resumida los avances más destacados acaecidos en 2014/15 hacia la consecución de las nueve metas estratégicas.</w:t>
      </w:r>
    </w:p>
    <w:p w:rsidR="006760C1" w:rsidRPr="001402C5" w:rsidRDefault="006760C1" w:rsidP="006760C1">
      <w:pPr>
        <w:jc w:val="both"/>
        <w:rPr>
          <w:sz w:val="20"/>
        </w:rPr>
      </w:pPr>
    </w:p>
    <w:p w:rsidR="006760C1" w:rsidRDefault="006760C1" w:rsidP="006760C1">
      <w:pPr>
        <w:jc w:val="center"/>
        <w:rPr>
          <w:b/>
          <w:sz w:val="18"/>
          <w:szCs w:val="18"/>
        </w:rPr>
      </w:pPr>
      <w:r w:rsidRPr="005526E0">
        <w:rPr>
          <w:b/>
          <w:sz w:val="18"/>
          <w:szCs w:val="18"/>
        </w:rPr>
        <w:t>Síntesis unificada de</w:t>
      </w:r>
      <w:r>
        <w:rPr>
          <w:b/>
          <w:sz w:val="18"/>
          <w:szCs w:val="18"/>
        </w:rPr>
        <w:t xml:space="preserve"> los avances logrados en el bienio 2014/15 hacia la consecución </w:t>
      </w:r>
      <w:r w:rsidR="008B1CDA">
        <w:rPr>
          <w:b/>
          <w:sz w:val="18"/>
          <w:szCs w:val="18"/>
        </w:rPr>
        <w:br/>
      </w:r>
      <w:r>
        <w:rPr>
          <w:b/>
          <w:sz w:val="18"/>
          <w:szCs w:val="18"/>
        </w:rPr>
        <w:t>de los resultados previstos</w:t>
      </w:r>
      <w:r w:rsidR="008B1CDA">
        <w:rPr>
          <w:b/>
          <w:sz w:val="18"/>
          <w:szCs w:val="18"/>
        </w:rPr>
        <w:t>, por</w:t>
      </w:r>
      <w:r>
        <w:rPr>
          <w:b/>
          <w:sz w:val="18"/>
          <w:szCs w:val="18"/>
        </w:rPr>
        <w:t xml:space="preserve"> </w:t>
      </w:r>
      <w:r w:rsidRPr="005526E0">
        <w:rPr>
          <w:b/>
          <w:sz w:val="18"/>
          <w:szCs w:val="18"/>
        </w:rPr>
        <w:t>meta estratégica</w:t>
      </w:r>
    </w:p>
    <w:p w:rsidR="006760C1" w:rsidRDefault="006760C1" w:rsidP="006760C1">
      <w:pPr>
        <w:jc w:val="center"/>
        <w:rPr>
          <w:b/>
          <w:iCs/>
          <w:sz w:val="18"/>
          <w:szCs w:val="18"/>
        </w:rPr>
      </w:pPr>
    </w:p>
    <w:p w:rsidR="006760C1" w:rsidRPr="001402C5" w:rsidRDefault="006760C1" w:rsidP="006760C1">
      <w:pPr>
        <w:jc w:val="center"/>
        <w:rPr>
          <w:b/>
          <w:iCs/>
          <w:sz w:val="20"/>
        </w:rPr>
      </w:pPr>
      <w:r w:rsidRPr="001402C5">
        <w:rPr>
          <w:noProof/>
          <w:sz w:val="20"/>
          <w:lang w:val="en-US" w:eastAsia="en-US"/>
        </w:rPr>
        <w:drawing>
          <wp:inline distT="0" distB="0" distL="0" distR="0" wp14:anchorId="5D756003" wp14:editId="7AF13910">
            <wp:extent cx="4761781" cy="2860383"/>
            <wp:effectExtent l="0" t="0" r="127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763105" cy="2861178"/>
                    </a:xfrm>
                    <a:prstGeom prst="rect">
                      <a:avLst/>
                    </a:prstGeom>
                    <a:noFill/>
                    <a:ln>
                      <a:noFill/>
                    </a:ln>
                  </pic:spPr>
                </pic:pic>
              </a:graphicData>
            </a:graphic>
          </wp:inline>
        </w:drawing>
      </w:r>
    </w:p>
    <w:p w:rsidR="006760C1" w:rsidRPr="001402C5" w:rsidRDefault="006760C1" w:rsidP="006760C1">
      <w:pPr>
        <w:rPr>
          <w:b/>
          <w:iCs/>
          <w:sz w:val="20"/>
        </w:rPr>
      </w:pPr>
    </w:p>
    <w:p w:rsidR="006760C1" w:rsidRPr="001402C5" w:rsidRDefault="006760C1" w:rsidP="006760C1">
      <w:pPr>
        <w:rPr>
          <w:b/>
          <w:iCs/>
          <w:sz w:val="20"/>
        </w:rPr>
      </w:pPr>
      <w:r w:rsidRPr="001402C5">
        <w:rPr>
          <w:b/>
          <w:iCs/>
          <w:sz w:val="20"/>
        </w:rPr>
        <w:br w:type="page"/>
      </w:r>
    </w:p>
    <w:p w:rsidR="006760C1" w:rsidRPr="001402C5" w:rsidRDefault="006760C1" w:rsidP="006760C1">
      <w:pPr>
        <w:jc w:val="center"/>
        <w:rPr>
          <w:b/>
          <w:iCs/>
          <w:sz w:val="20"/>
        </w:rPr>
      </w:pPr>
      <w:r w:rsidRPr="001402C5">
        <w:rPr>
          <w:b/>
          <w:iCs/>
          <w:sz w:val="20"/>
        </w:rPr>
        <w:lastRenderedPageBreak/>
        <w:t>Meta estratégica I:  Evolución equilibrada del marco normativo internacional de P.I.</w:t>
      </w:r>
    </w:p>
    <w:p w:rsidR="006760C1" w:rsidRPr="001402C5" w:rsidRDefault="006760C1" w:rsidP="006760C1">
      <w:pPr>
        <w:jc w:val="center"/>
        <w:rPr>
          <w:b/>
          <w:iCs/>
          <w:sz w:val="20"/>
        </w:rPr>
      </w:pPr>
      <w:r w:rsidRPr="001402C5">
        <w:rPr>
          <w:noProof/>
          <w:sz w:val="20"/>
          <w:lang w:val="en-US" w:eastAsia="en-US"/>
        </w:rPr>
        <w:drawing>
          <wp:inline distT="0" distB="0" distL="0" distR="0" wp14:anchorId="1327232F" wp14:editId="5F7D8C07">
            <wp:extent cx="5527788" cy="2668772"/>
            <wp:effectExtent l="0" t="0" r="0" b="0"/>
            <wp:docPr id="822" name="Picture 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533111" cy="2671342"/>
                    </a:xfrm>
                    <a:prstGeom prst="rect">
                      <a:avLst/>
                    </a:prstGeom>
                    <a:noFill/>
                    <a:ln>
                      <a:noFill/>
                    </a:ln>
                  </pic:spPr>
                </pic:pic>
              </a:graphicData>
            </a:graphic>
          </wp:inline>
        </w:drawing>
      </w:r>
    </w:p>
    <w:p w:rsidR="006760C1" w:rsidRPr="001402C5" w:rsidRDefault="006760C1" w:rsidP="006760C1">
      <w:pPr>
        <w:rPr>
          <w:b/>
          <w:iCs/>
          <w:sz w:val="20"/>
        </w:rPr>
      </w:pPr>
    </w:p>
    <w:p w:rsidR="006760C1" w:rsidRPr="001402C5" w:rsidRDefault="006760C1" w:rsidP="006760C1">
      <w:pPr>
        <w:jc w:val="center"/>
        <w:rPr>
          <w:b/>
          <w:iCs/>
          <w:sz w:val="20"/>
        </w:rPr>
      </w:pPr>
      <w:r w:rsidRPr="0047708A">
        <w:rPr>
          <w:b/>
          <w:sz w:val="18"/>
          <w:szCs w:val="18"/>
        </w:rPr>
        <w:t xml:space="preserve">Resumen de los avances logrados </w:t>
      </w:r>
      <w:r>
        <w:rPr>
          <w:b/>
          <w:sz w:val="18"/>
          <w:szCs w:val="18"/>
        </w:rPr>
        <w:t>por resultado previsto</w:t>
      </w:r>
    </w:p>
    <w:p w:rsidR="006760C1" w:rsidRPr="001402C5" w:rsidRDefault="006760C1" w:rsidP="006760C1">
      <w:pPr>
        <w:jc w:val="center"/>
        <w:rPr>
          <w:b/>
          <w:iCs/>
          <w:sz w:val="20"/>
        </w:rPr>
      </w:pPr>
      <w:r w:rsidRPr="001402C5">
        <w:rPr>
          <w:noProof/>
          <w:sz w:val="20"/>
          <w:lang w:val="en-US" w:eastAsia="en-US"/>
        </w:rPr>
        <w:drawing>
          <wp:inline distT="0" distB="0" distL="0" distR="0" wp14:anchorId="6E71CD18" wp14:editId="1ED608C8">
            <wp:extent cx="5731510" cy="1553035"/>
            <wp:effectExtent l="0" t="0" r="2540" b="9525"/>
            <wp:docPr id="825" name="Picture 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31510" cy="1553035"/>
                    </a:xfrm>
                    <a:prstGeom prst="rect">
                      <a:avLst/>
                    </a:prstGeom>
                    <a:noFill/>
                    <a:ln>
                      <a:noFill/>
                    </a:ln>
                  </pic:spPr>
                </pic:pic>
              </a:graphicData>
            </a:graphic>
          </wp:inline>
        </w:drawing>
      </w:r>
    </w:p>
    <w:p w:rsidR="006760C1" w:rsidRPr="001402C5" w:rsidRDefault="006760C1" w:rsidP="006760C1">
      <w:pPr>
        <w:ind w:hanging="90"/>
        <w:jc w:val="center"/>
        <w:rPr>
          <w:iCs/>
          <w:sz w:val="20"/>
        </w:rPr>
      </w:pPr>
    </w:p>
    <w:p w:rsidR="00346F22" w:rsidRPr="00346F22" w:rsidRDefault="00346F22" w:rsidP="00346F22">
      <w:pPr>
        <w:pStyle w:val="ONUMFS"/>
        <w:jc w:val="both"/>
        <w:rPr>
          <w:sz w:val="20"/>
        </w:rPr>
      </w:pPr>
      <w:r w:rsidRPr="00346F22">
        <w:rPr>
          <w:color w:val="000000"/>
          <w:sz w:val="20"/>
        </w:rPr>
        <w:t>En el bienio 2014/15 siguieron los avances en el marco de esta meta estratégica, si bien a un ritmo más moderado que el esperado.  A fines del bienio todavía quedaban varias cuestiones pendientes en los comités permanentes.</w:t>
      </w:r>
    </w:p>
    <w:p w:rsidR="00346F22" w:rsidRPr="00346F22" w:rsidRDefault="00346F22" w:rsidP="00346F22">
      <w:pPr>
        <w:pStyle w:val="ONUMFS"/>
        <w:jc w:val="both"/>
        <w:rPr>
          <w:bCs/>
          <w:sz w:val="20"/>
        </w:rPr>
      </w:pPr>
      <w:r w:rsidRPr="00346F22">
        <w:rPr>
          <w:bCs/>
          <w:sz w:val="20"/>
        </w:rPr>
        <w:t xml:space="preserve">En 2014 y 2015 se siguió avanzando en el proceso hacia la entrada en vigor de los dos nuevos tratados sobre derechos de autor.  El Tratado de Beijing sobre Interpretaciones y Ejecuciones Audiovisuales (el “Tratado de Beijing”) obtuvo ocho nuevas ratificaciones y adhesiones (Chile, China, Japón, los Emiratos Árabes Unidos, Eslovaquia, la Federación de Rusia, Qatar y la República de </w:t>
      </w:r>
      <w:proofErr w:type="spellStart"/>
      <w:r w:rsidRPr="00346F22">
        <w:rPr>
          <w:bCs/>
          <w:sz w:val="20"/>
        </w:rPr>
        <w:t>Moldova</w:t>
      </w:r>
      <w:proofErr w:type="spellEnd"/>
      <w:r w:rsidRPr="00346F22">
        <w:rPr>
          <w:bCs/>
          <w:sz w:val="20"/>
        </w:rPr>
        <w:t>), alcanzando así un total de 10 de las 30 ratificaciones o adhesiones que son necesarias para su entrada en vigor.  El Tratado de Marrakech para facilitar el acceso a las obras publicadas a las personas ciegas, con discapacidad visual o con otras dificultades para acceder al texto impreso (el “Tratado de Marrakech”) obtuvo un total de 80 firmas antes de la finalización del plazo en junio de 2014.  El Tratado de Marrakech obtuvo 13 ratificaciones y adhesiones (Argentina, Australia, Brasil, El Salvador, los Emiratos Árabes Unidos, la India, Mali, México, Mongolia, Paraguay, la República de Corea, Singapur y Uruguay), avanzando así hacia las 20 necesarias para su entrada en vigor.  Aunque los objetivos</w:t>
      </w:r>
      <w:r w:rsidR="008B1CDA">
        <w:rPr>
          <w:bCs/>
          <w:sz w:val="20"/>
        </w:rPr>
        <w:t xml:space="preserve"> para 2014/15</w:t>
      </w:r>
      <w:r w:rsidRPr="00346F22">
        <w:rPr>
          <w:bCs/>
          <w:sz w:val="20"/>
        </w:rPr>
        <w:t xml:space="preserve"> de ratificación/adhesión solicitados para estos instrumentos en la vigésima sesión del Comité del Programa y Presupuesto eran bastante ambiciosos, teniendo en cuenta la necesidad de mantener las dotaciones de recursos en el nivel propuesto, los objetivos se alcanzaron parcialmente al hacer que la asistencia a los Estados miembros en el proceso de ratificación de los tratados se convirtiera en una prioridad.  Este enfoque se mantendrá en el bienio 2016/17.</w:t>
      </w:r>
    </w:p>
    <w:p w:rsidR="00346F22" w:rsidRPr="00346F22" w:rsidRDefault="00346F22" w:rsidP="00346F22">
      <w:pPr>
        <w:pStyle w:val="ONUMFS"/>
        <w:jc w:val="both"/>
        <w:rPr>
          <w:sz w:val="20"/>
        </w:rPr>
      </w:pPr>
      <w:r w:rsidRPr="00346F22">
        <w:rPr>
          <w:bCs/>
          <w:sz w:val="20"/>
        </w:rPr>
        <w:t>Se volvieron a examinar las cuestiones incluidas en el orden del día del Comité Permanente de Derecho de Autor y Derechos Conexos (SCCR) durante las cinco sesiones celebradas en abril/mayo de 2014, junio/julio de 2014, diciembre de 2014, junio/julio de 2015 y diciembre de 2015.  En el SCCR se celebró un debate sobre la propuesta de tratado sobre los organismos de radiodifusión, y sobre las limitaciones y excepciones relativas a las bibliotecas y los archivos, las instituciones docentes y de investigación y las personas con otras discapacidades</w:t>
      </w:r>
      <w:r w:rsidRPr="00346F22">
        <w:rPr>
          <w:sz w:val="20"/>
        </w:rPr>
        <w:t xml:space="preserve"> (al margen de las abarcadas por el Tratado de Marrakech</w:t>
      </w:r>
      <w:r>
        <w:rPr>
          <w:sz w:val="20"/>
        </w:rPr>
        <w:t xml:space="preserve">). </w:t>
      </w:r>
      <w:r w:rsidRPr="00346F22">
        <w:rPr>
          <w:sz w:val="20"/>
        </w:rPr>
        <w:t xml:space="preserve"> Además, en la sesión celebrada en diciembre de 2015, el SCCR también recibió dos propuestas para su inclusión como asuntos nuevos en el orden del día:  una sobre </w:t>
      </w:r>
      <w:r w:rsidR="008B1CDA">
        <w:rPr>
          <w:sz w:val="20"/>
        </w:rPr>
        <w:t>e</w:t>
      </w:r>
      <w:r w:rsidRPr="00346F22">
        <w:rPr>
          <w:sz w:val="20"/>
        </w:rPr>
        <w:t xml:space="preserve">l análisis del derecho </w:t>
      </w:r>
      <w:r w:rsidRPr="00346F22">
        <w:rPr>
          <w:sz w:val="20"/>
        </w:rPr>
        <w:lastRenderedPageBreak/>
        <w:t>de autor en el entorno digital y otra sobre el derecho de reventa.  No se logró el objetivo de celebrar una conferencia diplomática y de tener un nuevo tratado;  los Estados miembros solicitaron eliminar este objetivo para el bienio 2016/17.</w:t>
      </w:r>
    </w:p>
    <w:p w:rsidR="00346F22" w:rsidRPr="00346F22" w:rsidRDefault="00346F22" w:rsidP="00346F22">
      <w:pPr>
        <w:pStyle w:val="ONUMFS"/>
        <w:jc w:val="both"/>
        <w:rPr>
          <w:bCs/>
          <w:sz w:val="20"/>
        </w:rPr>
      </w:pPr>
      <w:r w:rsidRPr="00346F22">
        <w:rPr>
          <w:bCs/>
          <w:sz w:val="20"/>
        </w:rPr>
        <w:t>Durante el bienio, el Comité Permanente sobre el Derecho de Marcas, Diseños Industriales e Indicaciones Geográficas (SCT) continuó, entre su</w:t>
      </w:r>
      <w:r w:rsidR="008B1CDA">
        <w:rPr>
          <w:sz w:val="20"/>
        </w:rPr>
        <w:t xml:space="preserve"> trigésima primera y trigésima</w:t>
      </w:r>
      <w:r w:rsidRPr="00346F22">
        <w:rPr>
          <w:sz w:val="20"/>
        </w:rPr>
        <w:t xml:space="preserve"> cuarta</w:t>
      </w:r>
      <w:r w:rsidR="008B1CDA">
        <w:rPr>
          <w:sz w:val="20"/>
        </w:rPr>
        <w:t xml:space="preserve"> sesiones</w:t>
      </w:r>
      <w:r w:rsidRPr="00346F22">
        <w:rPr>
          <w:sz w:val="20"/>
        </w:rPr>
        <w:t>, el trabajo relativo a un proyecto de tratado sobre el Derecho de los diseños a fin de que fuera adoptado en una conferencia diplomática</w:t>
      </w:r>
      <w:r w:rsidRPr="00346F22">
        <w:rPr>
          <w:color w:val="000000"/>
          <w:sz w:val="20"/>
        </w:rPr>
        <w:t>.</w:t>
      </w:r>
      <w:r w:rsidRPr="00346F22">
        <w:rPr>
          <w:bCs/>
          <w:sz w:val="20"/>
        </w:rPr>
        <w:t xml:space="preserve">  </w:t>
      </w:r>
      <w:r w:rsidRPr="00346F22">
        <w:rPr>
          <w:sz w:val="20"/>
        </w:rPr>
        <w:t xml:space="preserve">La cuestión de convocar esa conferencia diplomática fue tratada por la Asamblea General de la OMPI en su </w:t>
      </w:r>
      <w:r w:rsidRPr="00346F22">
        <w:rPr>
          <w:bCs/>
          <w:sz w:val="20"/>
        </w:rPr>
        <w:t xml:space="preserve">cuadragésimo séptimo período de sesiones (22º ordinario) en octubre de 2015, en la que la Asamblea General acordó </w:t>
      </w:r>
      <w:r w:rsidRPr="00346F22">
        <w:rPr>
          <w:sz w:val="20"/>
        </w:rPr>
        <w:t xml:space="preserve">“convocar una conferencia diplomática para la adopción de un tratado sobre el Derecho de los diseños hacia fines del primer semestre de 2017, únicamente si se dan por concluidos los debates en el SCT sobre asistencia técnica y divulgación en su trigésima cuarta y trigésima </w:t>
      </w:r>
      <w:r w:rsidRPr="00346F22">
        <w:rPr>
          <w:color w:val="000000" w:themeColor="text1"/>
          <w:sz w:val="20"/>
        </w:rPr>
        <w:t>quinta</w:t>
      </w:r>
      <w:r w:rsidRPr="00346F22">
        <w:rPr>
          <w:sz w:val="20"/>
        </w:rPr>
        <w:t xml:space="preserve"> sesiones</w:t>
      </w:r>
      <w:r w:rsidRPr="00346F22">
        <w:rPr>
          <w:bCs/>
          <w:sz w:val="20"/>
        </w:rPr>
        <w:t>”.  El SCT continuó con su labor en torno a la protección de los nombres de países y aprobó un documento de referencia sobre la protección de los nombres de países contra su registro y uso como marcas (documento WIPO/</w:t>
      </w:r>
      <w:proofErr w:type="spellStart"/>
      <w:r w:rsidRPr="00346F22">
        <w:rPr>
          <w:bCs/>
          <w:sz w:val="20"/>
        </w:rPr>
        <w:t>Strad</w:t>
      </w:r>
      <w:proofErr w:type="spellEnd"/>
      <w:r w:rsidRPr="00346F22">
        <w:rPr>
          <w:bCs/>
          <w:sz w:val="20"/>
        </w:rPr>
        <w:t xml:space="preserve">/INF/7).  Además, varias delegaciones presentaron propuestas en relación con el trabajo del SCT en materia de indicaciones geográficas. </w:t>
      </w:r>
    </w:p>
    <w:p w:rsidR="00346F22" w:rsidRPr="00346F22" w:rsidRDefault="00346F22" w:rsidP="00346F22">
      <w:pPr>
        <w:pStyle w:val="ONUMFS"/>
        <w:jc w:val="both"/>
        <w:rPr>
          <w:color w:val="000000" w:themeColor="text1"/>
          <w:sz w:val="20"/>
        </w:rPr>
      </w:pPr>
      <w:r w:rsidRPr="00346F22">
        <w:rPr>
          <w:color w:val="000000" w:themeColor="text1"/>
          <w:sz w:val="20"/>
        </w:rPr>
        <w:t xml:space="preserve">El Comité Intergubernamental </w:t>
      </w:r>
      <w:r w:rsidR="008B1CDA">
        <w:rPr>
          <w:color w:val="000000" w:themeColor="text1"/>
          <w:sz w:val="20"/>
        </w:rPr>
        <w:t xml:space="preserve">de la OMPI </w:t>
      </w:r>
      <w:r w:rsidRPr="00346F22">
        <w:rPr>
          <w:color w:val="000000" w:themeColor="text1"/>
          <w:sz w:val="20"/>
        </w:rPr>
        <w:t>sobre Propiedad Intelectual y Recursos Genéticos, Conocimientos Tra</w:t>
      </w:r>
      <w:r w:rsidR="008B1CDA">
        <w:rPr>
          <w:color w:val="000000" w:themeColor="text1"/>
          <w:sz w:val="20"/>
        </w:rPr>
        <w:t xml:space="preserve">dicionales y Folclore </w:t>
      </w:r>
      <w:r w:rsidRPr="00346F22">
        <w:rPr>
          <w:color w:val="000000" w:themeColor="text1"/>
          <w:sz w:val="20"/>
        </w:rPr>
        <w:t>(CIG) se reunió tres veces en 2014 (26ª, 27ª y 28ª sesiones del CIG), de conformidad con el mandato renovado del CIG para el bienio aprobado por la Asamblea General de la OMPI en octubre de 2013, y acordó un programa de trabajo para 2014.  La 26ª sesión del CIG incluyó una reunión de embajadores y altos funcionarios de las capitales</w:t>
      </w:r>
      <w:r w:rsidRPr="00346F22">
        <w:rPr>
          <w:sz w:val="20"/>
        </w:rPr>
        <w:t>.  Para el final de la 28ª sesión del CIG, el Comité había simplificado más el texto consolidado sobre los recursos genéticos (RR.GG.) y conseguido nuevos avances en lo que atañe a los textos sobre los conocimientos tradicionales (CC.TT.) y las expresiones culturales tradicionales (ECT).</w:t>
      </w:r>
      <w:r w:rsidRPr="00346F22">
        <w:rPr>
          <w:color w:val="000000" w:themeColor="text1"/>
          <w:sz w:val="20"/>
        </w:rPr>
        <w:t xml:space="preserve">  El proceso experimentó un nuevo impulso en 2014 merced a la reunión organizada por los Estados miembros y celebrada fuera de Ginebra.  </w:t>
      </w:r>
      <w:r w:rsidRPr="00346F22">
        <w:rPr>
          <w:sz w:val="20"/>
        </w:rPr>
        <w:t xml:space="preserve">La Secretaría siguió esforzándose por cumplir una función de apoyo neutral, profesional y eficaz al proceso y por mejorar los servicios prestados a los participantes en el Comité, tras la evaluación realizada por la División de Supervisión Interna de la OMPI (DSI) en 2013, que determinó que el índice de satisfacción entre los participantes en el CIG era elevado (96%).  Aunque la Secretaría siguió facilitando la participación en el CIG de los pueblos indígenas y las comunidades locales en la medida de lo posible, el Fondo </w:t>
      </w:r>
      <w:r w:rsidR="008B1CDA">
        <w:rPr>
          <w:sz w:val="20"/>
        </w:rPr>
        <w:t xml:space="preserve">de la OMPI </w:t>
      </w:r>
      <w:r w:rsidRPr="00346F22">
        <w:rPr>
          <w:sz w:val="20"/>
        </w:rPr>
        <w:t>de Contribuciones Voluntarias para las Comunidades Indígenas y Locales Acreditadas siguió careciendo de recursos.</w:t>
      </w:r>
      <w:r w:rsidRPr="00346F22">
        <w:rPr>
          <w:color w:val="000000" w:themeColor="text1"/>
          <w:sz w:val="20"/>
        </w:rPr>
        <w:t xml:space="preserve">  </w:t>
      </w:r>
      <w:r w:rsidRPr="00346F22">
        <w:rPr>
          <w:sz w:val="20"/>
        </w:rPr>
        <w:t>Si bien la Asamblea General de la OMPI examinó en octubre de 2014 los textos y los avances realizados, no logró llegar a un acuerdo sobre el programa de trabajo del CIG para 2015.</w:t>
      </w:r>
      <w:r w:rsidRPr="00346F22">
        <w:rPr>
          <w:color w:val="000000" w:themeColor="text1"/>
          <w:sz w:val="20"/>
        </w:rPr>
        <w:t xml:space="preserve">  La Asamblea General de la OMPI convino en octubre de 2015 renovar el mandato del CIG para el bienio 2016/17.</w:t>
      </w:r>
    </w:p>
    <w:p w:rsidR="00346F22" w:rsidRPr="00346F22" w:rsidRDefault="00346F22" w:rsidP="00346F22">
      <w:pPr>
        <w:pStyle w:val="ONUMFS"/>
        <w:jc w:val="both"/>
        <w:rPr>
          <w:color w:val="000000"/>
          <w:sz w:val="20"/>
        </w:rPr>
      </w:pPr>
      <w:r w:rsidRPr="00346F22">
        <w:rPr>
          <w:sz w:val="20"/>
        </w:rPr>
        <w:t>Con el fin de mejorar la cooperación entre los Estados miembros en lo que atañe a seguir elaborando marcos normativos y de política equilibrados para el sistema internacional de patentes, la vigésima, la vig</w:t>
      </w:r>
      <w:r w:rsidR="008B1CDA">
        <w:rPr>
          <w:sz w:val="20"/>
        </w:rPr>
        <w:t>e</w:t>
      </w:r>
      <w:r w:rsidRPr="00346F22">
        <w:rPr>
          <w:sz w:val="20"/>
        </w:rPr>
        <w:t>simoprimera, la vig</w:t>
      </w:r>
      <w:r w:rsidR="008B1CDA">
        <w:rPr>
          <w:sz w:val="20"/>
        </w:rPr>
        <w:t>e</w:t>
      </w:r>
      <w:r w:rsidRPr="00346F22">
        <w:rPr>
          <w:sz w:val="20"/>
        </w:rPr>
        <w:t>simosegunda y la vig</w:t>
      </w:r>
      <w:r w:rsidR="008B1CDA">
        <w:rPr>
          <w:sz w:val="20"/>
        </w:rPr>
        <w:t>e</w:t>
      </w:r>
      <w:r w:rsidRPr="00346F22">
        <w:rPr>
          <w:sz w:val="20"/>
        </w:rPr>
        <w:t>simotercera sesiones del Comité Permanente sobre el Derecho de Patentes (SCP) se celebraron en enero y noviembre de 2014, y en julio y diciembre de 2015, respectivamente.  El SCP continuó evaluando cinco cuestiones en su orden del día, a saber:  i) las excepciones y limitaciones respecto de los derechos conferidos por las patentes;  ii) la calidad de las patentes, incluidos los procedimientos de oposición;  iii) las patentes y la salud;  iv) la confidencialidad de las comunicaciones entre asesores de patente y sus clientes;  y v) la transferencia de tecnología.</w:t>
      </w:r>
    </w:p>
    <w:p w:rsidR="006760C1" w:rsidRPr="001402C5" w:rsidRDefault="006760C1" w:rsidP="006760C1">
      <w:pPr>
        <w:rPr>
          <w:bCs/>
          <w:sz w:val="20"/>
        </w:rPr>
      </w:pPr>
    </w:p>
    <w:p w:rsidR="006760C1" w:rsidRPr="001402C5" w:rsidRDefault="006760C1" w:rsidP="006760C1">
      <w:pPr>
        <w:rPr>
          <w:b/>
          <w:iCs/>
          <w:sz w:val="20"/>
        </w:rPr>
      </w:pPr>
    </w:p>
    <w:p w:rsidR="006760C1" w:rsidRPr="001402C5" w:rsidRDefault="006760C1" w:rsidP="00346F22">
      <w:pPr>
        <w:keepNext/>
        <w:jc w:val="center"/>
        <w:rPr>
          <w:b/>
          <w:iCs/>
          <w:sz w:val="20"/>
        </w:rPr>
      </w:pPr>
      <w:r w:rsidRPr="001402C5">
        <w:rPr>
          <w:b/>
          <w:iCs/>
          <w:sz w:val="20"/>
        </w:rPr>
        <w:lastRenderedPageBreak/>
        <w:t>Meta estratégica II:  Prestación de servicios mundiales de P.I</w:t>
      </w:r>
      <w:r w:rsidR="00FB31BE">
        <w:rPr>
          <w:b/>
          <w:iCs/>
          <w:sz w:val="20"/>
        </w:rPr>
        <w:t>.</w:t>
      </w:r>
      <w:r w:rsidRPr="001402C5">
        <w:rPr>
          <w:b/>
          <w:iCs/>
          <w:sz w:val="20"/>
        </w:rPr>
        <w:t xml:space="preserve"> de calidad</w:t>
      </w:r>
    </w:p>
    <w:p w:rsidR="006760C1" w:rsidRPr="001402C5" w:rsidRDefault="006760C1" w:rsidP="00346F22">
      <w:pPr>
        <w:keepNext/>
        <w:jc w:val="center"/>
        <w:rPr>
          <w:b/>
          <w:iCs/>
          <w:sz w:val="20"/>
        </w:rPr>
      </w:pPr>
      <w:r w:rsidRPr="001402C5">
        <w:rPr>
          <w:noProof/>
          <w:sz w:val="20"/>
          <w:lang w:val="en-US" w:eastAsia="en-US"/>
        </w:rPr>
        <w:drawing>
          <wp:inline distT="0" distB="0" distL="0" distR="0" wp14:anchorId="141BAC43" wp14:editId="04AC4462">
            <wp:extent cx="5560828" cy="2764828"/>
            <wp:effectExtent l="0" t="0" r="1905" b="0"/>
            <wp:docPr id="826" name="Picture 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561372" cy="2765099"/>
                    </a:xfrm>
                    <a:prstGeom prst="rect">
                      <a:avLst/>
                    </a:prstGeom>
                    <a:noFill/>
                    <a:ln>
                      <a:noFill/>
                    </a:ln>
                  </pic:spPr>
                </pic:pic>
              </a:graphicData>
            </a:graphic>
          </wp:inline>
        </w:drawing>
      </w:r>
    </w:p>
    <w:p w:rsidR="006760C1" w:rsidRDefault="006760C1" w:rsidP="00346F22">
      <w:pPr>
        <w:keepNext/>
        <w:rPr>
          <w:b/>
          <w:sz w:val="18"/>
          <w:szCs w:val="18"/>
        </w:rPr>
      </w:pPr>
    </w:p>
    <w:p w:rsidR="006760C1" w:rsidRDefault="006760C1" w:rsidP="006760C1">
      <w:pPr>
        <w:jc w:val="center"/>
        <w:rPr>
          <w:b/>
          <w:sz w:val="18"/>
          <w:szCs w:val="18"/>
        </w:rPr>
      </w:pPr>
    </w:p>
    <w:p w:rsidR="006760C1" w:rsidRPr="001402C5" w:rsidRDefault="006760C1" w:rsidP="006760C1">
      <w:pPr>
        <w:jc w:val="center"/>
        <w:rPr>
          <w:b/>
          <w:iCs/>
          <w:sz w:val="20"/>
        </w:rPr>
      </w:pPr>
      <w:r>
        <w:rPr>
          <w:b/>
          <w:sz w:val="18"/>
          <w:szCs w:val="18"/>
        </w:rPr>
        <w:t>Resumen</w:t>
      </w:r>
      <w:r w:rsidRPr="00E9361E">
        <w:rPr>
          <w:b/>
          <w:sz w:val="18"/>
          <w:szCs w:val="18"/>
        </w:rPr>
        <w:t xml:space="preserve"> de los avances logrados </w:t>
      </w:r>
      <w:r>
        <w:rPr>
          <w:b/>
          <w:sz w:val="18"/>
          <w:szCs w:val="18"/>
        </w:rPr>
        <w:t>por resultado previsto</w:t>
      </w:r>
    </w:p>
    <w:p w:rsidR="006760C1" w:rsidRDefault="006760C1" w:rsidP="006760C1">
      <w:pPr>
        <w:jc w:val="center"/>
        <w:rPr>
          <w:b/>
          <w:sz w:val="18"/>
          <w:szCs w:val="18"/>
        </w:rPr>
      </w:pPr>
      <w:r w:rsidRPr="001402C5">
        <w:rPr>
          <w:noProof/>
          <w:sz w:val="20"/>
          <w:lang w:val="en-US" w:eastAsia="en-US"/>
        </w:rPr>
        <w:drawing>
          <wp:inline distT="0" distB="0" distL="0" distR="0" wp14:anchorId="5FC8265C" wp14:editId="1C74918F">
            <wp:extent cx="5894599" cy="3327991"/>
            <wp:effectExtent l="0" t="0" r="0" b="6350"/>
            <wp:docPr id="827" name="Picture 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06134" cy="3334503"/>
                    </a:xfrm>
                    <a:prstGeom prst="rect">
                      <a:avLst/>
                    </a:prstGeom>
                    <a:noFill/>
                    <a:ln>
                      <a:noFill/>
                    </a:ln>
                  </pic:spPr>
                </pic:pic>
              </a:graphicData>
            </a:graphic>
          </wp:inline>
        </w:drawing>
      </w:r>
    </w:p>
    <w:p w:rsidR="006760C1" w:rsidRDefault="006760C1" w:rsidP="006760C1">
      <w:pPr>
        <w:jc w:val="center"/>
        <w:rPr>
          <w:b/>
          <w:sz w:val="18"/>
          <w:szCs w:val="18"/>
        </w:rPr>
      </w:pPr>
    </w:p>
    <w:p w:rsidR="00346F22" w:rsidRPr="00346F22" w:rsidRDefault="00346F22" w:rsidP="00346F22">
      <w:pPr>
        <w:pStyle w:val="ONUMFS"/>
        <w:jc w:val="both"/>
        <w:rPr>
          <w:sz w:val="20"/>
        </w:rPr>
      </w:pPr>
      <w:r w:rsidRPr="00346F22">
        <w:rPr>
          <w:sz w:val="20"/>
        </w:rPr>
        <w:t>En el bienio se observó un crecimiento considerable de los sistemas de registro internacional por quinto y sexto años consecutivos a pesar de la persistente fragilidad económica a nivel mundial.</w:t>
      </w:r>
    </w:p>
    <w:p w:rsidR="00346F22" w:rsidRPr="00346F22" w:rsidRDefault="00346F22" w:rsidP="00346F22">
      <w:pPr>
        <w:pStyle w:val="ONUMFS"/>
        <w:jc w:val="both"/>
        <w:rPr>
          <w:sz w:val="20"/>
        </w:rPr>
      </w:pPr>
      <w:r w:rsidRPr="00346F22">
        <w:rPr>
          <w:sz w:val="20"/>
        </w:rPr>
        <w:t xml:space="preserve">El aumento en el número de solicitudes internacionales de patente presentadas en virtud del Tratado de Cooperación en materia de Patentes (PCT) siguió siendo sólido en 2014, </w:t>
      </w:r>
      <w:r w:rsidR="002964D9">
        <w:rPr>
          <w:sz w:val="20"/>
        </w:rPr>
        <w:t>con un total de </w:t>
      </w:r>
      <w:r w:rsidRPr="00346F22">
        <w:rPr>
          <w:sz w:val="20"/>
        </w:rPr>
        <w:t>214.500 solicitudes (un 4,5% más que en 2013), y en 2015, con 218.000 solicitudes (un incremento del 1,7% con respecto a 2014).  En 2015 se estableció un nuevo récord anual en el número de presentaciones de solicitudes de patentes.  Tres gigantes de las telecomunicaciones de China y los Estados Unidos de América lideraron las actividades relacionadas con la presentación de solicitudes internacionales de patente en los dos años del bienio.</w:t>
      </w:r>
    </w:p>
    <w:p w:rsidR="00346F22" w:rsidRPr="00346F22" w:rsidRDefault="00346F22" w:rsidP="00346F22">
      <w:pPr>
        <w:pStyle w:val="ONUMFS"/>
        <w:jc w:val="both"/>
        <w:rPr>
          <w:sz w:val="20"/>
        </w:rPr>
      </w:pPr>
      <w:r w:rsidRPr="00346F22">
        <w:rPr>
          <w:sz w:val="20"/>
        </w:rPr>
        <w:t xml:space="preserve">En su séptima y octava reuniones, celebradas en 2014 y 2015, el Grupo de Trabajo del PCT siguió debatiendo una serie de propuestas con la finalidad de mejorar el funcionamiento del Sistema del PCT.  Los debates estuvieron en consonancia con las recomendaciones refrendadas por el Grupo de Trabajo en su tercera reunión, lo que incluye recomendaciones acerca de cómo el desarrollo futuro del PCT puede ajustarse a las recomendaciones aplicables de la Agenda para el Desarrollo (A.D.), en particular </w:t>
      </w:r>
      <w:r w:rsidRPr="00346F22">
        <w:rPr>
          <w:sz w:val="20"/>
        </w:rPr>
        <w:lastRenderedPageBreak/>
        <w:t>las de las Categorías A y C.  Entre los logros de 2014 cabe mencionar:  i)  un acuerdo sobre los nuevos criterios que deben cumplir los solicitantes de determinados países para obtener una reducción de las tasas, que amplió el número de países en desarrollo y PMA que pueden acceder a dichas reducciones de tasas;  y ii) un procedimiento revisado para la designación de nuevas Administraciones encargadas de la búsqueda internacional y del examen preliminar internacional, que ayude a asegurar que las Administraciones candidatas dispongan de infraestructura y recursos para desempeñar esa función.  Entre los l</w:t>
      </w:r>
      <w:r w:rsidR="001F4714">
        <w:rPr>
          <w:sz w:val="20"/>
        </w:rPr>
        <w:t>ogros destacados de 2015, cabe señal</w:t>
      </w:r>
      <w:r w:rsidRPr="00346F22">
        <w:rPr>
          <w:sz w:val="20"/>
        </w:rPr>
        <w:t>ar:  i) un acuerdo para remitir a la Administraciones encargadas de la búsqueda internacional los resultados de búsqueda y clasificación de solicitudes anteriores para propiciar una mayor eficacia y contribuir a aumentar la calidad de la búsqueda internacional;  y ii) un acuerdo para exigir a las Oficinas designadas que informen oportunamente a la Oficina Internacional sobre las solicitudes en la fase nacional, lo que mejorará significativamente la información sobre los derechos de patente pendientes y concedidos.  La Oficina Internacional también presentó estimaciones para determinar en qué medida afectan a la presentación de solicitudes PCT los cambios que se producen en la tasa internacional de presentación de solicitudes, con simulaciones sobre cómo repercutirían eventuales reducciones de tasas en las universidades y en las organizaciones públicas de investigación, tanto en los países desarrollados como en los países en desarrollo.</w:t>
      </w:r>
    </w:p>
    <w:p w:rsidR="00346F22" w:rsidRPr="00346F22" w:rsidRDefault="00346F22" w:rsidP="00346F22">
      <w:pPr>
        <w:pStyle w:val="ONUMFS"/>
        <w:jc w:val="both"/>
        <w:rPr>
          <w:sz w:val="20"/>
          <w:lang w:eastAsia="ko-KR"/>
        </w:rPr>
      </w:pPr>
      <w:r w:rsidRPr="00346F22">
        <w:rPr>
          <w:sz w:val="20"/>
          <w:lang w:eastAsia="ko-KR"/>
        </w:rPr>
        <w:t xml:space="preserve">La utilización del Sistema de Madrid aumentó en un 2,3% en 2014 con respecto a 2013, con un total de 47.885 solicitudes recibidas.  </w:t>
      </w:r>
      <w:r w:rsidRPr="00346F22">
        <w:rPr>
          <w:sz w:val="20"/>
          <w:lang w:val="es-ES_tradnl" w:eastAsia="ko-KR"/>
        </w:rPr>
        <w:t>En 2014, los Estados Unidos de América superaron a Alemania como el principal usuario del Sistema de Madrid, lo que ilustra la transformación geográfica del Sistema.</w:t>
      </w:r>
      <w:r w:rsidRPr="00346F22">
        <w:rPr>
          <w:sz w:val="20"/>
          <w:lang w:eastAsia="ko-KR"/>
        </w:rPr>
        <w:t xml:space="preserve">  </w:t>
      </w:r>
      <w:r w:rsidRPr="00346F22">
        <w:rPr>
          <w:sz w:val="20"/>
          <w:lang w:val="es-ES_tradnl" w:eastAsia="ko-KR"/>
        </w:rPr>
        <w:t>En 2015, se recibieron un total de 49.273 solicitudes, lo que representó un crecimiento del 2,9 por ciento con respecto a 2014.  Esto representa un crecimiento sólido en el bienio, especialmente teniendo en cuenta que el Sistema de Madrid se encareció para los solicitantes de una serie de países importantes por número de solicitudes presentadas tras la fuerte revalorización del franco suizo.</w:t>
      </w:r>
      <w:r w:rsidRPr="00346F22">
        <w:rPr>
          <w:sz w:val="20"/>
          <w:lang w:eastAsia="ko-KR"/>
        </w:rPr>
        <w:t xml:space="preserve">  </w:t>
      </w:r>
      <w:r w:rsidRPr="00346F22">
        <w:rPr>
          <w:sz w:val="20"/>
          <w:lang w:val="es-ES_tradnl" w:eastAsia="ko-KR"/>
        </w:rPr>
        <w:t>La expansión geográfica del Sistema estuvo marcada por hechos importantes y positivos en el bienio.</w:t>
      </w:r>
      <w:r w:rsidRPr="00346F22">
        <w:rPr>
          <w:sz w:val="20"/>
          <w:lang w:eastAsia="ko-KR"/>
        </w:rPr>
        <w:t xml:space="preserve">  </w:t>
      </w:r>
      <w:r w:rsidRPr="00346F22">
        <w:rPr>
          <w:sz w:val="20"/>
          <w:lang w:val="es-ES_tradnl" w:eastAsia="ko-KR"/>
        </w:rPr>
        <w:t xml:space="preserve">En 2014, </w:t>
      </w:r>
      <w:proofErr w:type="spellStart"/>
      <w:r w:rsidRPr="00346F22">
        <w:rPr>
          <w:sz w:val="20"/>
          <w:lang w:val="es-ES_tradnl" w:eastAsia="ko-KR"/>
        </w:rPr>
        <w:t>Zimbabwe</w:t>
      </w:r>
      <w:proofErr w:type="spellEnd"/>
      <w:r w:rsidRPr="00346F22">
        <w:rPr>
          <w:sz w:val="20"/>
          <w:lang w:val="es-ES_tradnl" w:eastAsia="ko-KR"/>
        </w:rPr>
        <w:t xml:space="preserve"> y la Organización Africana de la Propiedad Intelectual (OAPI) se adhirieron al Protocolo de Madrid.</w:t>
      </w:r>
      <w:r w:rsidRPr="00346F22">
        <w:rPr>
          <w:sz w:val="20"/>
          <w:lang w:eastAsia="ko-KR"/>
        </w:rPr>
        <w:t xml:space="preserve">  </w:t>
      </w:r>
      <w:r w:rsidRPr="00346F22">
        <w:rPr>
          <w:sz w:val="20"/>
          <w:lang w:val="es-ES_tradnl" w:eastAsia="ko-KR"/>
        </w:rPr>
        <w:t>Puesto que la OAPI es una organización intergubernamental que cuenta con 17 Estados miembros, estas dos adhesiones aumentaron solo en 2014 de 94 a 110 el número de países en los que los usuarios pueden proteger y gestionar sus marcas de forma centralizada a través del Sistema de Madrid.</w:t>
      </w:r>
      <w:r w:rsidRPr="00346F22">
        <w:rPr>
          <w:sz w:val="20"/>
          <w:lang w:eastAsia="ko-KR"/>
        </w:rPr>
        <w:t xml:space="preserve">  </w:t>
      </w:r>
      <w:r w:rsidRPr="00346F22">
        <w:rPr>
          <w:sz w:val="20"/>
          <w:lang w:val="es-ES_tradnl" w:eastAsia="ko-KR"/>
        </w:rPr>
        <w:t>En 2015, Argelia, Camboya, Gambia y la República Democrática Popular Lao también se adhirieron al Protocolo, lo que suma un total de 97 Partes Contratantes a finales del bienio y abarca 113 países.</w:t>
      </w:r>
      <w:r w:rsidRPr="00346F22">
        <w:rPr>
          <w:sz w:val="20"/>
          <w:lang w:eastAsia="ko-KR"/>
        </w:rPr>
        <w:t xml:space="preserve">  </w:t>
      </w:r>
      <w:r w:rsidRPr="00346F22">
        <w:rPr>
          <w:sz w:val="20"/>
          <w:lang w:val="es-ES_tradnl" w:eastAsia="ko-KR"/>
        </w:rPr>
        <w:t>Dado que Argelia era la última Parte Contratante de la Unión de Madrid que era miembro únicamente del Arreglo de Madrid, el Sistema de Madrid, a efectos prácticos, funciona ahora como sistema de tratado único.</w:t>
      </w:r>
    </w:p>
    <w:p w:rsidR="00346F22" w:rsidRPr="00346F22" w:rsidRDefault="00346F22" w:rsidP="00346F22">
      <w:pPr>
        <w:pStyle w:val="ONUMFS"/>
        <w:jc w:val="both"/>
        <w:rPr>
          <w:sz w:val="20"/>
        </w:rPr>
      </w:pPr>
      <w:r w:rsidRPr="00346F22">
        <w:rPr>
          <w:sz w:val="20"/>
        </w:rPr>
        <w:t xml:space="preserve">El Sistema de La Haya registró un crecimiento positivo en el bienio 2014/15.  La República de Corea, en 2014, y los Estados Unidos de América, Japón y Turkmenistán, en 2015, pasaron a ser parte del Acta de Ginebra (1999) del Arreglo de La Haya relativo al registro internacional de dibujos y modelos industriales (denominada en lo sucesivo </w:t>
      </w:r>
      <w:r w:rsidR="001F4714">
        <w:rPr>
          <w:sz w:val="20"/>
        </w:rPr>
        <w:t>“</w:t>
      </w:r>
      <w:r w:rsidRPr="00346F22">
        <w:rPr>
          <w:sz w:val="20"/>
        </w:rPr>
        <w:t>el Acta de 1999</w:t>
      </w:r>
      <w:r w:rsidR="001F4714">
        <w:rPr>
          <w:sz w:val="20"/>
        </w:rPr>
        <w:t>”</w:t>
      </w:r>
      <w:r w:rsidRPr="00346F22">
        <w:rPr>
          <w:sz w:val="20"/>
        </w:rPr>
        <w:t>).   Con esas adhesiones, el número de Partes Contratantes de esa Acta se elevó a 50.  Aunque esta cifra se mantuvo por debajo del objetivo marcado, las adhesiones de la República de Corea, los Estados Unidos de América y Japón, que son, respectivamente, la tercera, la cuarta y la quinta jurisdicciones en términos de solicitudes de registro de dibujos y modelos industriales, aumentaron significativamente el atractivo del Sistema de La Haya.  Consecuentemente, las solicitudes internacionales aumentaron en más de un 40% en 2015, un porcentaje de incremento muy superior al previsto en 2014</w:t>
      </w:r>
      <w:r w:rsidR="001F4714">
        <w:rPr>
          <w:sz w:val="20"/>
        </w:rPr>
        <w:t>.  Como resultado también de es</w:t>
      </w:r>
      <w:r w:rsidRPr="00346F22">
        <w:rPr>
          <w:sz w:val="20"/>
        </w:rPr>
        <w:t xml:space="preserve">a expansión, a fines del bienio ya hubo indicios claros del interés de otras potenciales Partes Contratantes </w:t>
      </w:r>
      <w:r w:rsidR="001F4714">
        <w:rPr>
          <w:sz w:val="20"/>
        </w:rPr>
        <w:t>en</w:t>
      </w:r>
      <w:r w:rsidRPr="00346F22">
        <w:rPr>
          <w:sz w:val="20"/>
        </w:rPr>
        <w:t xml:space="preserve"> adherirse, incluso países obligados por Actas más antiguas.  En ese sentido, a fines de 2015 todavía se necesitaban dos autorizaciones para el cese de la aplicación del Acta de 1934, mientras que cuatro Partes Contratantes no miembros de la Unión Europea (UE) y de la Organización Africana de la Propiedad Intelectual (OAPI) siguieron obligadas únicamente por el Acta de 1960.</w:t>
      </w:r>
    </w:p>
    <w:p w:rsidR="00346F22" w:rsidRPr="00346F22" w:rsidRDefault="00346F22" w:rsidP="00346F22">
      <w:pPr>
        <w:pStyle w:val="ONUMFS"/>
        <w:jc w:val="both"/>
        <w:rPr>
          <w:sz w:val="20"/>
          <w:lang w:eastAsia="ko-KR"/>
        </w:rPr>
      </w:pPr>
      <w:r w:rsidRPr="00346F22">
        <w:rPr>
          <w:sz w:val="20"/>
        </w:rPr>
        <w:t>La Asamblea de la Unión de Lisboa encargó en 2009 al Grupo de Trabajo sobre el Desarrollo del Sistema de Lisboa que realizara una revisión completa del Sistema de Lisboa para hacerlo más atractivo para los usuarios y los posibles nuevos miembros, manteniendo sus principios y objetivos.  Ante los avances realizados por el Grupo de Trabajo, la Asamblea de la Unión de Lisboa aprobó en 2013 la convocación de una conferencia diplomática para la adopción en 2015 de un Arreglo de Lisboa revisado sobre las denominaciones de origen y las indicaciones geográficas.  En octubre de 2014, el Grupo de Trabajo concluyó su labor preparatoria</w:t>
      </w:r>
      <w:r w:rsidRPr="00346F22">
        <w:rPr>
          <w:sz w:val="20"/>
          <w:lang w:eastAsia="ko-KR"/>
        </w:rPr>
        <w:t>.  Del 11 al 21 de mayo de 2015, se celebró en Ginebra la Conferencia Diplomática para la adopción de una nueva Acta del Arreglo de Lisboa, que el 20 de mayo de 2015 adoptó el Acta de Ginebra del Arreglo de Lisboa relativo a las Denominaciones de Origen y las Indicaciones Geográficas.</w:t>
      </w:r>
    </w:p>
    <w:p w:rsidR="00346F22" w:rsidRPr="00346F22" w:rsidRDefault="00346F22" w:rsidP="00346F22">
      <w:pPr>
        <w:pStyle w:val="ONUMFS"/>
        <w:jc w:val="both"/>
        <w:rPr>
          <w:bCs/>
          <w:sz w:val="20"/>
        </w:rPr>
      </w:pPr>
      <w:r w:rsidRPr="00346F22">
        <w:rPr>
          <w:sz w:val="20"/>
        </w:rPr>
        <w:lastRenderedPageBreak/>
        <w:t xml:space="preserve">Partiendo de la base de las conclusiones de la Encuesta internacional sobre solución de controversias en el ámbito de las transacciones de tecnología efectuada por el Centro de Arbitraje y Mediación de la OMPI en 2013, el Centro procuró optimizar en 2014/15 el potencial de sus procedimientos para satisfacer las necesidades de los titulares y </w:t>
      </w:r>
      <w:r w:rsidRPr="00346F22">
        <w:rPr>
          <w:color w:val="000000"/>
          <w:sz w:val="20"/>
        </w:rPr>
        <w:t>los usuarios de derechos de P.I.</w:t>
      </w:r>
      <w:r w:rsidRPr="00346F22">
        <w:rPr>
          <w:sz w:val="20"/>
        </w:rPr>
        <w:t xml:space="preserve">  En </w:t>
      </w:r>
      <w:r w:rsidR="001B6C4E">
        <w:rPr>
          <w:sz w:val="20"/>
        </w:rPr>
        <w:t> </w:t>
      </w:r>
      <w:r w:rsidRPr="00346F22">
        <w:rPr>
          <w:sz w:val="20"/>
        </w:rPr>
        <w:t>2014 se celebró el 15º aniversario de la Política Uniforme de Solución de Controversias en materia de Nombres de Dominio (Política Uniforme) elaborada por la OMPI.  Desde que el Centro administró</w:t>
      </w:r>
      <w:r w:rsidR="001B6C4E">
        <w:rPr>
          <w:sz w:val="20"/>
        </w:rPr>
        <w:t xml:space="preserve"> en </w:t>
      </w:r>
      <w:r w:rsidRPr="00346F22">
        <w:rPr>
          <w:sz w:val="20"/>
        </w:rPr>
        <w:t>1999 el primer procedimiento con arreglo a la Política Uniforme, el total de demandas presentadas ante la OMPI ha sobrepasado la cifra de 33.000</w:t>
      </w:r>
      <w:r w:rsidRPr="00346F22">
        <w:rPr>
          <w:rStyle w:val="FootnoteReference"/>
          <w:sz w:val="20"/>
        </w:rPr>
        <w:footnoteReference w:id="4"/>
      </w:r>
      <w:r w:rsidRPr="00346F22">
        <w:rPr>
          <w:sz w:val="20"/>
        </w:rPr>
        <w:t xml:space="preserve">, abarcando más de 61.000 nombres de dominio.  Las demandas por </w:t>
      </w:r>
      <w:proofErr w:type="spellStart"/>
      <w:r w:rsidRPr="00346F22">
        <w:rPr>
          <w:sz w:val="20"/>
        </w:rPr>
        <w:t>ciberocupación</w:t>
      </w:r>
      <w:proofErr w:type="spellEnd"/>
      <w:r w:rsidRPr="00346F22">
        <w:rPr>
          <w:sz w:val="20"/>
        </w:rPr>
        <w:t xml:space="preserve"> presentadas ante la OMPI por propietarios de marcas denunciando el uso abusivo de sus marcas aumentaron en un 1,9% en 2014 con respecto al nivel de 2013, con un aumento adicional del 4,6% en 2015 en comparación con 2014.  Entre ellas figuraban las primeras demandas presentadas en virtud de la Política Uniforme en relación con los registros efectuados en los nuevos </w:t>
      </w:r>
      <w:proofErr w:type="spellStart"/>
      <w:r w:rsidRPr="00346F22">
        <w:rPr>
          <w:sz w:val="20"/>
        </w:rPr>
        <w:t>gTLD</w:t>
      </w:r>
      <w:proofErr w:type="spellEnd"/>
      <w:r w:rsidRPr="00346F22">
        <w:rPr>
          <w:sz w:val="20"/>
        </w:rPr>
        <w:t>, que representaron un 6,8% de los nombres de dominio objeto de controversia en 2014/15.</w:t>
      </w:r>
      <w:r w:rsidRPr="00346F22">
        <w:rPr>
          <w:bCs/>
          <w:sz w:val="20"/>
        </w:rPr>
        <w:t xml:space="preserve">  En las demandas presentadas ante la OMPI en virtud de la Política Uniforme intervinieron partes de 108 países, en 2014, y de 113 países, en 2015</w:t>
      </w:r>
      <w:r w:rsidRPr="00346F22">
        <w:rPr>
          <w:sz w:val="20"/>
        </w:rPr>
        <w:t>.  Entre los cinco primeros usuarios en el bienio, los Estados Unidos de América registró en 2014 el mayor crecimiento en el número de demandas presentadas (14,3%), mientras que en 2015 el mayor crecimiento correspondió a Alemania (43,6%).  En 2014, los tres principales sectores de actividad de los demandantes fueron: venta al por menor (13% de las demandas), banca y las finanzas (11%) y  moda (10%);  en 2015 fueron moda (10%), banca y las finanzas (9%), e Internet y T.I. (9%).</w:t>
      </w:r>
    </w:p>
    <w:p w:rsidR="006760C1" w:rsidRPr="001402C5" w:rsidRDefault="006760C1" w:rsidP="006760C1">
      <w:pPr>
        <w:rPr>
          <w:b/>
          <w:iCs/>
          <w:sz w:val="20"/>
        </w:rPr>
      </w:pPr>
    </w:p>
    <w:p w:rsidR="006760C1" w:rsidRPr="001402C5" w:rsidRDefault="006760C1" w:rsidP="006760C1">
      <w:pPr>
        <w:jc w:val="center"/>
        <w:rPr>
          <w:b/>
          <w:iCs/>
          <w:sz w:val="20"/>
        </w:rPr>
      </w:pPr>
      <w:r w:rsidRPr="001402C5">
        <w:rPr>
          <w:b/>
          <w:iCs/>
          <w:sz w:val="20"/>
        </w:rPr>
        <w:t>Meta estratégica III:  Facilitar el uso de la P.I. en aras del desarrollo</w:t>
      </w:r>
    </w:p>
    <w:p w:rsidR="006760C1" w:rsidRPr="001402C5" w:rsidRDefault="006760C1" w:rsidP="006760C1">
      <w:pPr>
        <w:jc w:val="center"/>
        <w:rPr>
          <w:b/>
          <w:iCs/>
          <w:sz w:val="20"/>
        </w:rPr>
      </w:pPr>
      <w:r w:rsidRPr="001402C5">
        <w:rPr>
          <w:noProof/>
          <w:sz w:val="20"/>
          <w:lang w:val="en-US" w:eastAsia="en-US"/>
        </w:rPr>
        <w:drawing>
          <wp:inline distT="0" distB="0" distL="0" distR="0" wp14:anchorId="3F00D146" wp14:editId="1D69385C">
            <wp:extent cx="5422605" cy="2716097"/>
            <wp:effectExtent l="0" t="0" r="6985" b="8255"/>
            <wp:docPr id="828" name="Picture 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423466" cy="2716528"/>
                    </a:xfrm>
                    <a:prstGeom prst="rect">
                      <a:avLst/>
                    </a:prstGeom>
                    <a:noFill/>
                    <a:ln>
                      <a:noFill/>
                    </a:ln>
                  </pic:spPr>
                </pic:pic>
              </a:graphicData>
            </a:graphic>
          </wp:inline>
        </w:drawing>
      </w:r>
    </w:p>
    <w:p w:rsidR="006760C1" w:rsidRPr="001402C5" w:rsidRDefault="006760C1" w:rsidP="006760C1">
      <w:pPr>
        <w:jc w:val="center"/>
        <w:rPr>
          <w:b/>
          <w:iCs/>
          <w:sz w:val="20"/>
        </w:rPr>
      </w:pPr>
    </w:p>
    <w:p w:rsidR="006760C1" w:rsidRDefault="006760C1" w:rsidP="006760C1">
      <w:pPr>
        <w:jc w:val="center"/>
        <w:rPr>
          <w:b/>
          <w:sz w:val="18"/>
          <w:szCs w:val="18"/>
        </w:rPr>
      </w:pPr>
    </w:p>
    <w:p w:rsidR="006760C1" w:rsidRDefault="006760C1" w:rsidP="002964D9">
      <w:pPr>
        <w:keepNext/>
        <w:jc w:val="center"/>
        <w:rPr>
          <w:b/>
          <w:sz w:val="18"/>
          <w:szCs w:val="18"/>
        </w:rPr>
      </w:pPr>
      <w:r>
        <w:rPr>
          <w:b/>
          <w:sz w:val="18"/>
          <w:szCs w:val="18"/>
        </w:rPr>
        <w:lastRenderedPageBreak/>
        <w:t>Resumen</w:t>
      </w:r>
      <w:r w:rsidRPr="00033A0B">
        <w:rPr>
          <w:b/>
          <w:sz w:val="18"/>
          <w:szCs w:val="18"/>
        </w:rPr>
        <w:t xml:space="preserve"> de los avances logrados </w:t>
      </w:r>
      <w:r>
        <w:rPr>
          <w:b/>
          <w:sz w:val="18"/>
          <w:szCs w:val="18"/>
        </w:rPr>
        <w:t>por resultado previsto</w:t>
      </w:r>
    </w:p>
    <w:p w:rsidR="002964D9" w:rsidRPr="001402C5" w:rsidRDefault="002964D9" w:rsidP="002964D9">
      <w:pPr>
        <w:keepNext/>
        <w:jc w:val="center"/>
        <w:rPr>
          <w:b/>
          <w:iCs/>
          <w:sz w:val="20"/>
        </w:rPr>
      </w:pPr>
    </w:p>
    <w:p w:rsidR="00320578" w:rsidRDefault="006760C1" w:rsidP="002964D9">
      <w:pPr>
        <w:keepNext/>
        <w:rPr>
          <w:sz w:val="20"/>
        </w:rPr>
      </w:pPr>
      <w:r w:rsidRPr="001402C5">
        <w:rPr>
          <w:noProof/>
          <w:sz w:val="20"/>
          <w:lang w:val="en-US" w:eastAsia="en-US"/>
        </w:rPr>
        <w:drawing>
          <wp:inline distT="0" distB="0" distL="0" distR="0" wp14:anchorId="68A3D14D" wp14:editId="6FA1536E">
            <wp:extent cx="5731510" cy="3290618"/>
            <wp:effectExtent l="0" t="0" r="2540" b="5080"/>
            <wp:docPr id="829" name="Picture 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31510" cy="3290618"/>
                    </a:xfrm>
                    <a:prstGeom prst="rect">
                      <a:avLst/>
                    </a:prstGeom>
                    <a:noFill/>
                    <a:ln>
                      <a:noFill/>
                    </a:ln>
                  </pic:spPr>
                </pic:pic>
              </a:graphicData>
            </a:graphic>
          </wp:inline>
        </w:drawing>
      </w:r>
    </w:p>
    <w:p w:rsidR="00320578" w:rsidRDefault="00320578" w:rsidP="002964D9">
      <w:pPr>
        <w:keepNext/>
        <w:rPr>
          <w:sz w:val="20"/>
        </w:rPr>
      </w:pPr>
    </w:p>
    <w:p w:rsidR="00346F22" w:rsidRPr="00346F22" w:rsidRDefault="00346F22" w:rsidP="002964D9">
      <w:pPr>
        <w:pStyle w:val="ONUMFS"/>
        <w:keepNext/>
        <w:jc w:val="both"/>
        <w:rPr>
          <w:sz w:val="20"/>
        </w:rPr>
      </w:pPr>
      <w:r w:rsidRPr="00346F22">
        <w:rPr>
          <w:sz w:val="20"/>
        </w:rPr>
        <w:t xml:space="preserve">En el bienio siguió siendo </w:t>
      </w:r>
      <w:r w:rsidR="001F4714">
        <w:rPr>
          <w:sz w:val="20"/>
        </w:rPr>
        <w:t>priorit</w:t>
      </w:r>
      <w:r w:rsidRPr="00346F22">
        <w:rPr>
          <w:sz w:val="20"/>
        </w:rPr>
        <w:t>a</w:t>
      </w:r>
      <w:r w:rsidR="001F4714">
        <w:rPr>
          <w:sz w:val="20"/>
        </w:rPr>
        <w:t>rio</w:t>
      </w:r>
      <w:r w:rsidRPr="00346F22">
        <w:rPr>
          <w:sz w:val="20"/>
        </w:rPr>
        <w:t xml:space="preserve"> propiciar el uso de la P.I. en aras del desarrollo y potenciar a los países en desarrollo, los PMA y los países en transición, a fin de que utilicen la P.I. para aumentar el potencial y las capacidades de innovación nacional. </w:t>
      </w:r>
    </w:p>
    <w:p w:rsidR="00346F22" w:rsidRPr="00346F22" w:rsidRDefault="00346F22" w:rsidP="00346F22">
      <w:pPr>
        <w:pStyle w:val="ONUMFS"/>
        <w:jc w:val="both"/>
        <w:rPr>
          <w:sz w:val="20"/>
        </w:rPr>
      </w:pPr>
      <w:r w:rsidRPr="00346F22">
        <w:rPr>
          <w:sz w:val="20"/>
        </w:rPr>
        <w:t xml:space="preserve">La OMPI no dejó de asistir a los países en desarrollo y a los PMA en el diseño, desarrollo y aplicación de estrategias nacionales de P.I. coherentes con sus planes generales de desarrollo y, al mismo tiempo, capaces de fomentar la innovación y la creatividad.  El proceso siguió orientándose hacia la aplicación de una metodología normalizada, pero flexible, y un repertorio de herramientas prácticas para la formulación de estrategias y planes nacionales de P.I., creadas en el marco del proyecto de la A.D. sobre la mejora de la capacidad de las instituciones de P.I. de ámbito nacional, subregional y regional y de los respectivos usuarios en 2012.  El resultado fue que 15 países (seis en África, cinco en Asia y el Pacífico, y cuatro en América Latina y el Caribe) iniciaron el proceso de formulación de estrategias y planes de desarrollo nacionales de P.I., y 13 países (cuatro en África, dos en la región </w:t>
      </w:r>
      <w:r w:rsidR="001F4714" w:rsidRPr="00346F22">
        <w:rPr>
          <w:sz w:val="20"/>
        </w:rPr>
        <w:t>árabe</w:t>
      </w:r>
      <w:r w:rsidRPr="00346F22">
        <w:rPr>
          <w:sz w:val="20"/>
        </w:rPr>
        <w:t xml:space="preserve">, tres en Asia y el Pacífico, y cuatro en América Latina y el Caribe) estaban todavía en el proceso de formulación o adopción a fines de 2014.  A fines del bienio 2014/15, se habían adoptado, o estaban en vías de aplicación, planes de desarrollo o estrategias nacionales en materia de P.I. en un total de 44 países (26 en África, dos en la región </w:t>
      </w:r>
      <w:r w:rsidR="001F4714" w:rsidRPr="00346F22">
        <w:rPr>
          <w:sz w:val="20"/>
        </w:rPr>
        <w:t>árabe</w:t>
      </w:r>
      <w:r w:rsidRPr="00346F22">
        <w:rPr>
          <w:sz w:val="20"/>
        </w:rPr>
        <w:t xml:space="preserve">, ocho en Asia y el Pacífico, y ocho en América Latina y el Caribe), 19 de ellos en PMA. </w:t>
      </w:r>
    </w:p>
    <w:p w:rsidR="00346F22" w:rsidRPr="00346F22" w:rsidRDefault="00346F22" w:rsidP="00346F22">
      <w:pPr>
        <w:pStyle w:val="ONUMFS"/>
        <w:jc w:val="both"/>
        <w:rPr>
          <w:sz w:val="20"/>
        </w:rPr>
      </w:pPr>
      <w:r w:rsidRPr="00346F22">
        <w:rPr>
          <w:sz w:val="20"/>
        </w:rPr>
        <w:t xml:space="preserve">Conforme a los planes de cooperación y las estrategias nacionales de P.I., y tras recibir asistencia de la OMPI que incluía actividades de promoción, los nueve países que se enumeran a continuación modificaron su legislación nacional en materia de P.I. y/o se adhirieron a tratados administrados por la OMPI:  la Federación de Rusia, Kazajstán, Kirguistán, Letonia, Lituania, Montenegro, la República de </w:t>
      </w:r>
      <w:proofErr w:type="spellStart"/>
      <w:r w:rsidRPr="00346F22">
        <w:rPr>
          <w:sz w:val="20"/>
        </w:rPr>
        <w:t>Moldova</w:t>
      </w:r>
      <w:proofErr w:type="spellEnd"/>
      <w:r w:rsidRPr="00346F22">
        <w:rPr>
          <w:sz w:val="20"/>
        </w:rPr>
        <w:t>, Tayikistán y Turkmenistán. En el bienio 2014/15, siguió siendo prioritario fomentar la importancia de elaborar y aplicar estrategias nacionales exhaustivas y de largo plazo en materia de P.I., así como prestar asistencia a ese respecto, para satisfacer las necesidades de los Estados miembros.  Seis países (Bulgaria, Eslovenia, Tayikistán, Turkmenistán. Turquía y Ucrania) aprobaron estrategias nacionales relacionadas con la P.I. y cuatro países (Albania, Georgia, Letonia y Polonia) iniciaron la elaboración de una nueva estrategia.</w:t>
      </w:r>
    </w:p>
    <w:p w:rsidR="00346F22" w:rsidRPr="00346F22" w:rsidRDefault="00346F22" w:rsidP="00346F22">
      <w:pPr>
        <w:pStyle w:val="ONUMFS"/>
        <w:jc w:val="both"/>
        <w:rPr>
          <w:rFonts w:eastAsiaTheme="minorHAnsi"/>
          <w:color w:val="000000"/>
          <w:sz w:val="20"/>
        </w:rPr>
      </w:pPr>
      <w:r w:rsidRPr="00346F22">
        <w:rPr>
          <w:rFonts w:eastAsiaTheme="minorHAnsi"/>
          <w:color w:val="000000"/>
          <w:sz w:val="20"/>
        </w:rPr>
        <w:t>En 2014/15, la Academia de la OMPI dio inicio a un proceso de reforma con miras a volver a situarse en la posición de principal entidad de la Organización en materia de formación y fortalecimiento de capacidades en P.I. para funcionarios gubernamentales y otras partes interesadas.</w:t>
      </w:r>
      <w:r w:rsidR="00B11F08">
        <w:rPr>
          <w:rFonts w:eastAsiaTheme="minorHAnsi"/>
          <w:color w:val="000000"/>
          <w:sz w:val="20"/>
        </w:rPr>
        <w:t xml:space="preserve">  A lo largo de es</w:t>
      </w:r>
      <w:r w:rsidRPr="00346F22">
        <w:rPr>
          <w:rFonts w:eastAsiaTheme="minorHAnsi"/>
          <w:color w:val="000000"/>
          <w:sz w:val="20"/>
        </w:rPr>
        <w:t xml:space="preserve">e proceso, la Academia de la OMPI procuró mantener la cantidad, calidad y frecuencia de los programas de formación propuestos regularmente para cumplir con las obligaciones ya asumidas con los asociados; responder a nuevas peticiones urgentes de los Estados miembros y demás sectores interesados; y </w:t>
      </w:r>
      <w:r w:rsidRPr="00346F22">
        <w:rPr>
          <w:rFonts w:eastAsiaTheme="minorHAnsi"/>
          <w:color w:val="000000"/>
          <w:sz w:val="20"/>
        </w:rPr>
        <w:lastRenderedPageBreak/>
        <w:t>preservar la continuidad de la formación impartida. Dur</w:t>
      </w:r>
      <w:r w:rsidR="002964D9">
        <w:rPr>
          <w:rFonts w:eastAsiaTheme="minorHAnsi"/>
          <w:color w:val="000000"/>
          <w:sz w:val="20"/>
        </w:rPr>
        <w:t>ante el bienio, aproximadamente </w:t>
      </w:r>
      <w:r w:rsidRPr="00346F22">
        <w:rPr>
          <w:rFonts w:eastAsiaTheme="minorHAnsi"/>
          <w:color w:val="000000"/>
          <w:sz w:val="20"/>
        </w:rPr>
        <w:t>80.000 personas aprovecharon sus programas y actividades.</w:t>
      </w:r>
    </w:p>
    <w:p w:rsidR="00346F22" w:rsidRPr="00346F22" w:rsidRDefault="00346F22" w:rsidP="00346F22">
      <w:pPr>
        <w:pStyle w:val="ONUMFS"/>
        <w:jc w:val="both"/>
        <w:rPr>
          <w:rFonts w:eastAsiaTheme="minorHAnsi"/>
          <w:color w:val="000000"/>
          <w:sz w:val="20"/>
        </w:rPr>
      </w:pPr>
      <w:r w:rsidRPr="00346F22">
        <w:rPr>
          <w:rFonts w:eastAsiaTheme="minorHAnsi"/>
          <w:color w:val="000000"/>
          <w:sz w:val="20"/>
        </w:rPr>
        <w:t xml:space="preserve">Con respecto al Programa de Desarrollo Profesional, se impartieron aproximadamente 35 cursos de formación organizados conjuntamente con 22 instituciones asociadas en Alemania, Argelia, Austria, Brasil, Camerún, Canadá, Costa Rica, España, Finlandia, Francia, Indonesia, Israel, Malasia, Marruecos, México, Noruega, Paraguay, Perú, el Reino Unido y Suiza, así como con la Organización Mundial del Comercio (OMC) y el </w:t>
      </w:r>
      <w:r w:rsidR="00B11F08" w:rsidRPr="00B11F08">
        <w:rPr>
          <w:i/>
          <w:sz w:val="20"/>
        </w:rPr>
        <w:t xml:space="preserve">Centre </w:t>
      </w:r>
      <w:proofErr w:type="spellStart"/>
      <w:r w:rsidR="00B11F08" w:rsidRPr="00B11F08">
        <w:rPr>
          <w:i/>
          <w:sz w:val="20"/>
        </w:rPr>
        <w:t>d’Études</w:t>
      </w:r>
      <w:proofErr w:type="spellEnd"/>
      <w:r w:rsidR="00B11F08" w:rsidRPr="00B11F08">
        <w:rPr>
          <w:i/>
          <w:sz w:val="20"/>
        </w:rPr>
        <w:t xml:space="preserve"> </w:t>
      </w:r>
      <w:proofErr w:type="spellStart"/>
      <w:r w:rsidR="00B11F08" w:rsidRPr="00B11F08">
        <w:rPr>
          <w:i/>
          <w:sz w:val="20"/>
        </w:rPr>
        <w:t>Internationales</w:t>
      </w:r>
      <w:proofErr w:type="spellEnd"/>
      <w:r w:rsidR="00B11F08" w:rsidRPr="00B11F08">
        <w:rPr>
          <w:i/>
          <w:sz w:val="20"/>
        </w:rPr>
        <w:t xml:space="preserve"> de la </w:t>
      </w:r>
      <w:proofErr w:type="spellStart"/>
      <w:r w:rsidR="00B11F08" w:rsidRPr="00B11F08">
        <w:rPr>
          <w:i/>
          <w:sz w:val="20"/>
        </w:rPr>
        <w:t>Propriété</w:t>
      </w:r>
      <w:proofErr w:type="spellEnd"/>
      <w:r w:rsidR="00B11F08" w:rsidRPr="00B11F08">
        <w:rPr>
          <w:i/>
          <w:sz w:val="20"/>
        </w:rPr>
        <w:t xml:space="preserve"> </w:t>
      </w:r>
      <w:proofErr w:type="spellStart"/>
      <w:r w:rsidR="00B11F08" w:rsidRPr="00B11F08">
        <w:rPr>
          <w:i/>
          <w:sz w:val="20"/>
        </w:rPr>
        <w:t>Intellectuelle</w:t>
      </w:r>
      <w:proofErr w:type="spellEnd"/>
      <w:r w:rsidRPr="00346F22">
        <w:rPr>
          <w:rFonts w:eastAsiaTheme="minorHAnsi"/>
          <w:color w:val="000000"/>
          <w:sz w:val="20"/>
        </w:rPr>
        <w:t xml:space="preserve"> (CEIPI), en Estrasburgo (Francia).  El Programa de enseñanza a distancia siguió atrayendo a participantes de un amplio abanico de sectores interesados.  En 2014/15, un total de 78.551 participantes de 193 países  (67.809 en el marco de los cursos generales y 10.742 en el marco de los cursos avanzados), lo que representa un descenso del 3,6% con respecto a 2012/13, utilizaron la plataforma mejorada de enseñanza a distancia (</w:t>
      </w:r>
      <w:proofErr w:type="spellStart"/>
      <w:r w:rsidRPr="00346F22">
        <w:rPr>
          <w:rFonts w:eastAsiaTheme="minorHAnsi"/>
          <w:color w:val="000000"/>
          <w:sz w:val="20"/>
        </w:rPr>
        <w:t>WeLC</w:t>
      </w:r>
      <w:proofErr w:type="spellEnd"/>
      <w:r w:rsidRPr="00346F22">
        <w:rPr>
          <w:rFonts w:eastAsiaTheme="minorHAnsi"/>
          <w:color w:val="000000"/>
          <w:sz w:val="20"/>
        </w:rPr>
        <w:t>).  Cabe destacar que la demanda de cursos avanzados impartidos por las Oficinas de P.I., otros organismos gubernamentales, academias y CATI, en los países en desarrollo y en los PMA, alcanzó una cifra récord de 6.926 frente a las 2.907 del bienio anterior, lo que representa un incremento del 138%</w:t>
      </w:r>
      <w:r w:rsidRPr="00346F22">
        <w:rPr>
          <w:rFonts w:eastAsiaTheme="minorHAnsi"/>
          <w:color w:val="000000"/>
          <w:sz w:val="20"/>
          <w:vertAlign w:val="superscript"/>
        </w:rPr>
        <w:footnoteReference w:id="5"/>
      </w:r>
      <w:r w:rsidRPr="00346F22">
        <w:rPr>
          <w:rFonts w:eastAsiaTheme="minorHAnsi"/>
          <w:color w:val="000000"/>
          <w:sz w:val="20"/>
        </w:rPr>
        <w:t xml:space="preserve">. </w:t>
      </w:r>
    </w:p>
    <w:p w:rsidR="00346F22" w:rsidRPr="00346F22" w:rsidRDefault="00346F22" w:rsidP="00346F22">
      <w:pPr>
        <w:pStyle w:val="ONUMFS"/>
        <w:jc w:val="both"/>
        <w:rPr>
          <w:rFonts w:eastAsiaTheme="minorHAnsi"/>
          <w:color w:val="000000"/>
          <w:sz w:val="20"/>
        </w:rPr>
      </w:pPr>
      <w:r w:rsidRPr="00346F22">
        <w:rPr>
          <w:rFonts w:eastAsiaTheme="minorHAnsi"/>
          <w:color w:val="000000"/>
          <w:sz w:val="20"/>
        </w:rPr>
        <w:t>En 2014, el proyecto de creación de academias nacionales de P.I. se integró en los programas regulares de la Academia de la OMPI tras la aprobación en la decimocuarta sesión del CDIP de una evaluación independiente del proyecto.  La cooperación continuó durante todo el bienio con la creación de seis academias nacionales de P.I. durante la fase proyecto del CDIP (Colombia, Egipto, Etiopía, Perú, República Dominicana y Túnez).  Se firmaron nuevos acuerdos para la creación de centros nacionales de formación en materia de P.I. con los gobiernos de Azerbaiyán, Camboya, Costa Rica, Ecuador, El</w:t>
      </w:r>
      <w:r w:rsidR="00EC0C5E">
        <w:rPr>
          <w:rFonts w:eastAsiaTheme="minorHAnsi"/>
          <w:color w:val="000000"/>
          <w:sz w:val="20"/>
        </w:rPr>
        <w:t> </w:t>
      </w:r>
      <w:r w:rsidRPr="00346F22">
        <w:rPr>
          <w:rFonts w:eastAsiaTheme="minorHAnsi"/>
          <w:color w:val="000000"/>
          <w:sz w:val="20"/>
        </w:rPr>
        <w:t>Salvador, Georgia y</w:t>
      </w:r>
      <w:r w:rsidR="00B11F08">
        <w:rPr>
          <w:rFonts w:eastAsiaTheme="minorHAnsi"/>
          <w:color w:val="000000"/>
          <w:sz w:val="20"/>
        </w:rPr>
        <w:t xml:space="preserve"> Turquía.  En el bienio 2014/15</w:t>
      </w:r>
      <w:r w:rsidRPr="00346F22">
        <w:rPr>
          <w:rFonts w:eastAsiaTheme="minorHAnsi"/>
          <w:color w:val="000000"/>
          <w:sz w:val="20"/>
        </w:rPr>
        <w:t xml:space="preserve"> se recibieron nuevas peticiones de Estados miembros que necesitan asistencia para establecer centros nacionales de formación en materia de P.I.  Estas peticiones se estudiarán en 2016/17. </w:t>
      </w:r>
    </w:p>
    <w:p w:rsidR="00346F22" w:rsidRPr="00346F22" w:rsidRDefault="00346F22" w:rsidP="00346F22">
      <w:pPr>
        <w:pStyle w:val="ONUMFS"/>
        <w:jc w:val="both"/>
        <w:rPr>
          <w:rFonts w:eastAsiaTheme="minorHAnsi"/>
          <w:color w:val="000000"/>
          <w:sz w:val="20"/>
        </w:rPr>
      </w:pPr>
      <w:r w:rsidRPr="00346F22">
        <w:rPr>
          <w:rFonts w:eastAsiaTheme="minorHAnsi"/>
          <w:color w:val="000000"/>
          <w:sz w:val="20"/>
        </w:rPr>
        <w:t xml:space="preserve">Durante el bienio, siguió siendo prioritaria la tarea de mejorar las capacidades en el ámbito de los recursos humanos para hacer frente al amplio espectro de exigencias que supone la utilización eficaz de la P.I. en aras del desarrollo y de potenciar la innovación y la creatividad.  Se llevaron a cabo programas, en los planos nacional, subregional y regional, de fortalecimiento de capacidades y de desarrollo de aptitudes destinados a grupos específicos tales como funcionarios gubernamentales, responsables de la elaboración de políticas, profesionales de la P.I., funcionarios encargados de hacer cumplir la ley, investigadores y académicos, empresarios y miembros del sector industrial, así como pymes. Se organizaron 33 programas sobre gestión eficaz de activos de P.I. por parte de las pymes, que beneficiaron a más de 700 participantes, con el fin de crear en países concretos una masa crítica de formadores con conocimientos, aptitudes y experiencia para prestar asistencia básica a las pymes en relación con la gestión de activos de P.I. </w:t>
      </w:r>
    </w:p>
    <w:p w:rsidR="00346F22" w:rsidRPr="00346F22" w:rsidRDefault="00346F22" w:rsidP="00346F22">
      <w:pPr>
        <w:pStyle w:val="ONUMFS"/>
        <w:jc w:val="both"/>
        <w:rPr>
          <w:sz w:val="20"/>
        </w:rPr>
      </w:pPr>
      <w:r w:rsidRPr="00346F22">
        <w:rPr>
          <w:bCs/>
          <w:sz w:val="20"/>
        </w:rPr>
        <w:t xml:space="preserve">La OMPI también reforzó su cooperación con los PMA para la elaboración de un marco de políticas nacionales sobre innovación;  la evaluación de necesidades en materia de habilidades técnicas;  la facilitación del acceso a las plataformas mundiales de información científica y tecnológica; el  desarrollo de infraestructuras de apoyo a la innovación;  y el apoyo a los inventarios y al fortalecimiento de capacidades en los conocimientos tradicionales.  En el marco de la fase II del proyecto de la A.D. sobre el fortalecimiento de capacidades en el uso de información técnica y científica relativa a tecnologías apropiadas para solucionar determinados problemas de desarrollo, se firmaron memorandos de entendimiento con cuatro PMA (Etiopía, la República Unida de </w:t>
      </w:r>
      <w:proofErr w:type="spellStart"/>
      <w:r w:rsidRPr="00346F22">
        <w:rPr>
          <w:bCs/>
          <w:sz w:val="20"/>
        </w:rPr>
        <w:t>Tanzanía</w:t>
      </w:r>
      <w:proofErr w:type="spellEnd"/>
      <w:r w:rsidRPr="00346F22">
        <w:rPr>
          <w:bCs/>
          <w:sz w:val="20"/>
        </w:rPr>
        <w:t xml:space="preserve">, </w:t>
      </w:r>
      <w:proofErr w:type="spellStart"/>
      <w:r w:rsidRPr="00346F22">
        <w:rPr>
          <w:bCs/>
          <w:sz w:val="20"/>
        </w:rPr>
        <w:t>Rwanda</w:t>
      </w:r>
      <w:proofErr w:type="spellEnd"/>
      <w:r w:rsidRPr="00346F22">
        <w:rPr>
          <w:bCs/>
          <w:sz w:val="20"/>
        </w:rPr>
        <w:t xml:space="preserve"> y Uganda), y a fines de 2015 la ejecución del proyecto había comenzado en tres PMA (</w:t>
      </w:r>
      <w:r w:rsidRPr="00346F22">
        <w:rPr>
          <w:rFonts w:eastAsia="Calibri"/>
          <w:color w:val="000000"/>
          <w:sz w:val="20"/>
          <w:szCs w:val="24"/>
        </w:rPr>
        <w:t xml:space="preserve">Etiopía, </w:t>
      </w:r>
      <w:r w:rsidRPr="00346F22">
        <w:rPr>
          <w:bCs/>
          <w:sz w:val="20"/>
        </w:rPr>
        <w:t xml:space="preserve">la República Unida de </w:t>
      </w:r>
      <w:proofErr w:type="spellStart"/>
      <w:r w:rsidRPr="00346F22">
        <w:rPr>
          <w:bCs/>
          <w:sz w:val="20"/>
        </w:rPr>
        <w:t>Tanzanía</w:t>
      </w:r>
      <w:proofErr w:type="spellEnd"/>
      <w:r w:rsidRPr="00346F22">
        <w:rPr>
          <w:bCs/>
          <w:sz w:val="20"/>
        </w:rPr>
        <w:t xml:space="preserve"> y </w:t>
      </w:r>
      <w:proofErr w:type="spellStart"/>
      <w:r w:rsidRPr="00346F22">
        <w:rPr>
          <w:bCs/>
          <w:sz w:val="20"/>
        </w:rPr>
        <w:t>Rwanda</w:t>
      </w:r>
      <w:proofErr w:type="spellEnd"/>
      <w:r w:rsidRPr="00346F22">
        <w:rPr>
          <w:rFonts w:eastAsia="Calibri"/>
          <w:color w:val="000000"/>
          <w:sz w:val="20"/>
          <w:szCs w:val="24"/>
        </w:rPr>
        <w:t>)</w:t>
      </w:r>
      <w:r w:rsidRPr="00346F22">
        <w:rPr>
          <w:bCs/>
          <w:sz w:val="20"/>
        </w:rPr>
        <w:t>.</w:t>
      </w:r>
    </w:p>
    <w:p w:rsidR="00346F22" w:rsidRPr="00346F22" w:rsidRDefault="00346F22" w:rsidP="00346F22">
      <w:pPr>
        <w:pStyle w:val="ONUMFS"/>
        <w:jc w:val="both"/>
        <w:rPr>
          <w:sz w:val="20"/>
        </w:rPr>
      </w:pPr>
      <w:r w:rsidRPr="00346F22">
        <w:rPr>
          <w:sz w:val="20"/>
        </w:rPr>
        <w:t xml:space="preserve">Igualmente, la OMPI colaboró estrechamente con la Oficina del Alto Representante para los Países Menos Adelantados, los Países en Desarrollo sin Litoral y los Pequeños Estados Insulares en Desarrollo en el contexto de la puesta en marcha del Programa de Acción de Estambul.  En 2014, con motivo de la Conferencia Ministerial de PMA celebrada en </w:t>
      </w:r>
      <w:proofErr w:type="spellStart"/>
      <w:r w:rsidRPr="00346F22">
        <w:rPr>
          <w:sz w:val="20"/>
        </w:rPr>
        <w:t>Benin</w:t>
      </w:r>
      <w:proofErr w:type="spellEnd"/>
      <w:r w:rsidRPr="00346F22">
        <w:rPr>
          <w:sz w:val="20"/>
        </w:rPr>
        <w:t xml:space="preserve">, la OMPI implementó un programa de asociación interregional en colaboración con la Unión Internacional de Telecomunicaciones (UIT), el Fondo de las Naciones Unidas para el Desarrollo de la Capitalización (FNUDC) y la Organización de las Naciones Unidas para el Desarrollo Industrial (ONUDI).  En 2015, se crearon dos foros adicionales de </w:t>
      </w:r>
      <w:r w:rsidRPr="00346F22">
        <w:rPr>
          <w:sz w:val="20"/>
        </w:rPr>
        <w:lastRenderedPageBreak/>
        <w:t>cooperación con los asociados, con la Comisión Económica y Social para Asia y el Pacífico (CESPAP) de las Naciones Unidas y con la Comisión Económica de las Naciones Unidas para África (CEPA).  La asociación con la CESPAP se tradujo en una propuesta para la firma de un memorando de entendimiento entre las dos organizaciones.  El documento incidió específicamente en el fortalecimiento de las capacidades y de las instituciones de los PMA de África y Asia.</w:t>
      </w:r>
    </w:p>
    <w:p w:rsidR="00346F22" w:rsidRPr="00346F22" w:rsidRDefault="00346F22" w:rsidP="00346F22">
      <w:pPr>
        <w:pStyle w:val="ONUMFS"/>
        <w:jc w:val="both"/>
        <w:rPr>
          <w:sz w:val="20"/>
        </w:rPr>
      </w:pPr>
      <w:r w:rsidRPr="00346F22">
        <w:rPr>
          <w:rFonts w:eastAsiaTheme="minorHAnsi"/>
          <w:color w:val="000000"/>
          <w:sz w:val="20"/>
        </w:rPr>
        <w:t>Durante</w:t>
      </w:r>
      <w:r w:rsidRPr="00346F22">
        <w:rPr>
          <w:sz w:val="20"/>
        </w:rPr>
        <w:t xml:space="preserve"> el bienio, el CDIP sometió a consideración y debatió diversos documentos y estudios. Además, el Comité aprobó propuestas para la puesta en marcha de las segundas fases de dos proyectos completados y evaluados, de tres nuevas propuestas de proyectos y de nuevas actividades relacionadas con la utilización del derecho de autor para promover el acceso a la información y el contenido creativo.  Asimismo, el Comité aprobó el mandato relativo al examen independiente de la aplicación de las recomendaciones de la Agenda para el Desarrollo y tomó una decisión sobre la convocación de la Conferencia Internacional sobre Propiedad Intelectual y Desarrollo.</w:t>
      </w:r>
    </w:p>
    <w:p w:rsidR="006760C1" w:rsidRPr="001402C5" w:rsidRDefault="006760C1" w:rsidP="006760C1">
      <w:pPr>
        <w:rPr>
          <w:b/>
          <w:iCs/>
          <w:sz w:val="20"/>
        </w:rPr>
      </w:pPr>
    </w:p>
    <w:p w:rsidR="006760C1" w:rsidRPr="001402C5" w:rsidRDefault="006760C1" w:rsidP="006760C1">
      <w:pPr>
        <w:jc w:val="center"/>
        <w:rPr>
          <w:b/>
          <w:iCs/>
          <w:sz w:val="20"/>
        </w:rPr>
      </w:pPr>
      <w:r w:rsidRPr="001402C5">
        <w:rPr>
          <w:b/>
          <w:iCs/>
          <w:sz w:val="20"/>
        </w:rPr>
        <w:t>Meta estratégica IV:  Coordinación y desarrollo de la infraestructura mundial de P.I.</w:t>
      </w:r>
    </w:p>
    <w:p w:rsidR="006760C1" w:rsidRDefault="006760C1" w:rsidP="006760C1">
      <w:pPr>
        <w:jc w:val="center"/>
        <w:rPr>
          <w:b/>
          <w:noProof/>
          <w:sz w:val="18"/>
          <w:szCs w:val="18"/>
        </w:rPr>
      </w:pPr>
    </w:p>
    <w:p w:rsidR="006760C1" w:rsidRDefault="006760C1" w:rsidP="006760C1">
      <w:pPr>
        <w:jc w:val="center"/>
        <w:rPr>
          <w:b/>
          <w:sz w:val="18"/>
          <w:szCs w:val="18"/>
        </w:rPr>
      </w:pPr>
      <w:r w:rsidRPr="001402C5">
        <w:rPr>
          <w:noProof/>
          <w:sz w:val="20"/>
          <w:lang w:val="en-US" w:eastAsia="en-US"/>
        </w:rPr>
        <w:drawing>
          <wp:inline distT="0" distB="0" distL="0" distR="0" wp14:anchorId="1B0AA8B6" wp14:editId="02F70A70">
            <wp:extent cx="5050465" cy="2773153"/>
            <wp:effectExtent l="0" t="0" r="0" b="8255"/>
            <wp:docPr id="830" name="Picture 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050959" cy="2773424"/>
                    </a:xfrm>
                    <a:prstGeom prst="rect">
                      <a:avLst/>
                    </a:prstGeom>
                    <a:noFill/>
                    <a:ln>
                      <a:noFill/>
                    </a:ln>
                  </pic:spPr>
                </pic:pic>
              </a:graphicData>
            </a:graphic>
          </wp:inline>
        </w:drawing>
      </w:r>
    </w:p>
    <w:p w:rsidR="006760C1" w:rsidRDefault="006760C1" w:rsidP="006760C1">
      <w:pPr>
        <w:jc w:val="center"/>
        <w:rPr>
          <w:b/>
          <w:sz w:val="18"/>
          <w:szCs w:val="18"/>
        </w:rPr>
      </w:pPr>
    </w:p>
    <w:p w:rsidR="006760C1" w:rsidRPr="001402C5" w:rsidRDefault="006760C1" w:rsidP="006760C1">
      <w:pPr>
        <w:jc w:val="center"/>
        <w:rPr>
          <w:b/>
          <w:iCs/>
          <w:sz w:val="20"/>
        </w:rPr>
      </w:pPr>
      <w:r w:rsidRPr="0047708A">
        <w:rPr>
          <w:b/>
          <w:sz w:val="18"/>
          <w:szCs w:val="18"/>
        </w:rPr>
        <w:t xml:space="preserve">Resumen de los avances logrados </w:t>
      </w:r>
      <w:r>
        <w:rPr>
          <w:b/>
          <w:sz w:val="18"/>
          <w:szCs w:val="18"/>
        </w:rPr>
        <w:t>por resultado previsto</w:t>
      </w:r>
    </w:p>
    <w:p w:rsidR="006760C1" w:rsidRDefault="006760C1" w:rsidP="006760C1">
      <w:pPr>
        <w:rPr>
          <w:b/>
          <w:noProof/>
          <w:sz w:val="18"/>
          <w:szCs w:val="18"/>
        </w:rPr>
      </w:pPr>
      <w:r w:rsidRPr="001402C5">
        <w:rPr>
          <w:noProof/>
          <w:sz w:val="20"/>
          <w:lang w:val="en-US" w:eastAsia="en-US"/>
        </w:rPr>
        <w:drawing>
          <wp:inline distT="0" distB="0" distL="0" distR="0" wp14:anchorId="5A5826A1" wp14:editId="02CED452">
            <wp:extent cx="5731510" cy="2241823"/>
            <wp:effectExtent l="0" t="0" r="2540" b="6350"/>
            <wp:docPr id="831" name="Picture 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31510" cy="2241823"/>
                    </a:xfrm>
                    <a:prstGeom prst="rect">
                      <a:avLst/>
                    </a:prstGeom>
                    <a:noFill/>
                    <a:ln>
                      <a:noFill/>
                    </a:ln>
                  </pic:spPr>
                </pic:pic>
              </a:graphicData>
            </a:graphic>
          </wp:inline>
        </w:drawing>
      </w:r>
    </w:p>
    <w:p w:rsidR="00346F22" w:rsidRPr="00346F22" w:rsidRDefault="00346F22" w:rsidP="00346F22">
      <w:pPr>
        <w:pStyle w:val="ONUMFS"/>
        <w:jc w:val="both"/>
        <w:rPr>
          <w:bCs/>
          <w:sz w:val="20"/>
        </w:rPr>
      </w:pPr>
      <w:r w:rsidRPr="00346F22">
        <w:rPr>
          <w:bCs/>
          <w:sz w:val="20"/>
        </w:rPr>
        <w:t xml:space="preserve">Con la mira puesta en fomentar la infraestructura mundial de P.I. para contribuir a satisfacer la creciente demanda mundial con respecto al sistema de P.I. y facilitar la participación en el mismo de los países en </w:t>
      </w:r>
      <w:r w:rsidRPr="00346F22">
        <w:rPr>
          <w:rFonts w:eastAsiaTheme="minorHAnsi"/>
          <w:color w:val="000000"/>
          <w:sz w:val="20"/>
        </w:rPr>
        <w:t>desarrollo</w:t>
      </w:r>
      <w:r w:rsidRPr="00346F22">
        <w:rPr>
          <w:bCs/>
          <w:sz w:val="20"/>
        </w:rPr>
        <w:t xml:space="preserve"> y los PMA, en 2014/15 se lograron importantes avances en los ámbitos de las bases mundiales de datos de P.I., las clasificaciones, la modernización de las oficinas de P.I. y los CATI. </w:t>
      </w:r>
    </w:p>
    <w:p w:rsidR="00346F22" w:rsidRPr="00346F22" w:rsidRDefault="00346F22" w:rsidP="00346F22">
      <w:pPr>
        <w:pStyle w:val="ONUMFS"/>
        <w:jc w:val="both"/>
        <w:rPr>
          <w:sz w:val="20"/>
        </w:rPr>
      </w:pPr>
      <w:r w:rsidRPr="00346F22">
        <w:rPr>
          <w:rFonts w:eastAsiaTheme="minorHAnsi"/>
          <w:color w:val="000000"/>
          <w:sz w:val="20"/>
        </w:rPr>
        <w:t>En 2014/2015, se siguió fortaleciendo el sistema PATENTSCOPE y se prestó especial atención a mejorar el acceso al sistema en las regiones que experimentaban retrasos en las conexiones.  También se lograron</w:t>
      </w:r>
      <w:r w:rsidRPr="00346F22">
        <w:rPr>
          <w:sz w:val="20"/>
        </w:rPr>
        <w:t xml:space="preserve"> mejoras demostrables para los usuarios en Asia</w:t>
      </w:r>
      <w:r w:rsidRPr="00346F22">
        <w:rPr>
          <w:rFonts w:eastAsia="MS Mincho"/>
          <w:sz w:val="20"/>
          <w:lang w:eastAsia="ja-JP" w:bidi="th-TH"/>
        </w:rPr>
        <w:t xml:space="preserve">.  </w:t>
      </w:r>
      <w:r w:rsidRPr="00346F22">
        <w:rPr>
          <w:sz w:val="20"/>
        </w:rPr>
        <w:t xml:space="preserve">Se hicieron los preparativos necesarios para incorporar otros dos idiomas al sistema de búsqueda plurilingüe </w:t>
      </w:r>
      <w:r w:rsidRPr="00346F22">
        <w:rPr>
          <w:i/>
          <w:sz w:val="20"/>
        </w:rPr>
        <w:t xml:space="preserve">Cross Lingual </w:t>
      </w:r>
      <w:proofErr w:type="spellStart"/>
      <w:r w:rsidRPr="00346F22">
        <w:rPr>
          <w:i/>
          <w:sz w:val="20"/>
        </w:rPr>
        <w:t>Information</w:t>
      </w:r>
      <w:proofErr w:type="spellEnd"/>
      <w:r w:rsidRPr="00346F22">
        <w:rPr>
          <w:i/>
          <w:sz w:val="20"/>
        </w:rPr>
        <w:t xml:space="preserve"> </w:t>
      </w:r>
      <w:proofErr w:type="spellStart"/>
      <w:r w:rsidRPr="00346F22">
        <w:rPr>
          <w:i/>
          <w:sz w:val="20"/>
        </w:rPr>
        <w:t>Retrieval</w:t>
      </w:r>
      <w:proofErr w:type="spellEnd"/>
      <w:r w:rsidRPr="00346F22">
        <w:rPr>
          <w:sz w:val="20"/>
        </w:rPr>
        <w:t xml:space="preserve"> </w:t>
      </w:r>
      <w:r w:rsidRPr="00346F22">
        <w:rPr>
          <w:sz w:val="20"/>
        </w:rPr>
        <w:lastRenderedPageBreak/>
        <w:t xml:space="preserve">(CLIR), situando la cifra total de idiomas en 14 a fines del bienio.  También a fines de 2014/15, WIPO </w:t>
      </w:r>
      <w:proofErr w:type="spellStart"/>
      <w:r w:rsidRPr="00346F22">
        <w:rPr>
          <w:sz w:val="20"/>
        </w:rPr>
        <w:t>Translate</w:t>
      </w:r>
      <w:proofErr w:type="spellEnd"/>
      <w:r w:rsidRPr="00346F22">
        <w:rPr>
          <w:rStyle w:val="FootnoteReference"/>
          <w:sz w:val="20"/>
        </w:rPr>
        <w:footnoteReference w:id="6"/>
      </w:r>
      <w:r w:rsidRPr="00346F22">
        <w:rPr>
          <w:sz w:val="20"/>
        </w:rPr>
        <w:t>, el sistema de traducción estadística por computadora puesto a punto en la Organización, se amplió para dar cabida a otros tres pares de idiomas adicionales que ofrecen dificultades:  inglés y coreano, inglés y ruso, e inglés y español, situando el número de combinaciones idiomáticas en nueve.  Además, se amplió la cobertura del inglés y el chino para incluir las descripciones y las reivindicaciones.</w:t>
      </w:r>
    </w:p>
    <w:p w:rsidR="00346F22" w:rsidRPr="00346F22" w:rsidRDefault="00346F22" w:rsidP="00346F22">
      <w:pPr>
        <w:pStyle w:val="ONUMFS"/>
        <w:jc w:val="both"/>
        <w:rPr>
          <w:sz w:val="20"/>
        </w:rPr>
      </w:pPr>
      <w:r w:rsidRPr="00346F22">
        <w:rPr>
          <w:rFonts w:eastAsia="MS Mincho"/>
          <w:sz w:val="20"/>
          <w:lang w:eastAsia="ja-JP" w:bidi="th-TH"/>
        </w:rPr>
        <w:t>El servicio PATENTSCOPE siguió mostrando altos niveles de uso, con un</w:t>
      </w:r>
      <w:r w:rsidR="00B11F08">
        <w:rPr>
          <w:rFonts w:eastAsia="MS Mincho"/>
          <w:sz w:val="20"/>
          <w:lang w:eastAsia="ja-JP" w:bidi="th-TH"/>
        </w:rPr>
        <w:t xml:space="preserve"> promedio</w:t>
      </w:r>
      <w:r w:rsidRPr="00346F22">
        <w:rPr>
          <w:rFonts w:eastAsia="MS Mincho"/>
          <w:sz w:val="20"/>
          <w:lang w:eastAsia="ja-JP" w:bidi="th-TH"/>
        </w:rPr>
        <w:t xml:space="preserve"> de 500.000 visitas de páginas distintas al día.  El uso de </w:t>
      </w:r>
      <w:r w:rsidRPr="00346F22">
        <w:rPr>
          <w:sz w:val="20"/>
        </w:rPr>
        <w:t xml:space="preserve">PATENTSCOPE </w:t>
      </w:r>
      <w:r w:rsidRPr="00346F22">
        <w:rPr>
          <w:rFonts w:eastAsia="MS Mincho"/>
          <w:sz w:val="20"/>
          <w:lang w:eastAsia="ja-JP" w:bidi="th-TH"/>
        </w:rPr>
        <w:t xml:space="preserve">se mantuvo estable con más de 221.000 usuarios distintos por trimestre a fines del bienio,  lo que demuestra que los niveles de servicio del motor de búsqueda de PATENTSCOPE tienen ahora la madurez suficiente para llegar al punto en que </w:t>
      </w:r>
      <w:r w:rsidR="00B11F08">
        <w:rPr>
          <w:rFonts w:eastAsia="MS Mincho"/>
          <w:sz w:val="20"/>
          <w:lang w:eastAsia="ja-JP" w:bidi="th-TH"/>
        </w:rPr>
        <w:t>e</w:t>
      </w:r>
      <w:r w:rsidRPr="00346F22">
        <w:rPr>
          <w:rFonts w:eastAsia="MS Mincho"/>
          <w:sz w:val="20"/>
          <w:lang w:eastAsia="ja-JP" w:bidi="th-TH"/>
        </w:rPr>
        <w:t>l rendimiento decrece.  El número de colecciones en PATENTSCOPE también aumentó en un 19% con respecto a 2013, lo que sitúa el número total de colecciones nacionales y regionales en 43 (frente a 36 a fines de 201</w:t>
      </w:r>
      <w:r w:rsidR="00B11F08">
        <w:rPr>
          <w:rFonts w:eastAsia="MS Mincho"/>
          <w:sz w:val="20"/>
          <w:lang w:eastAsia="ja-JP" w:bidi="th-TH"/>
        </w:rPr>
        <w:t>3) y el número t</w:t>
      </w:r>
      <w:r w:rsidRPr="00346F22">
        <w:rPr>
          <w:rFonts w:eastAsia="MS Mincho"/>
          <w:sz w:val="20"/>
          <w:lang w:eastAsia="ja-JP" w:bidi="th-TH"/>
        </w:rPr>
        <w:t>otal de registros contenidos en ellas a más de 50 millones (frente a los 34 millones a fines de 2013), un incremento del 47% con respecto a 2013.</w:t>
      </w:r>
    </w:p>
    <w:p w:rsidR="00346F22" w:rsidRPr="00346F22" w:rsidRDefault="00346F22" w:rsidP="00346F22">
      <w:pPr>
        <w:pStyle w:val="ONUMFS"/>
        <w:jc w:val="both"/>
        <w:rPr>
          <w:bCs/>
          <w:sz w:val="20"/>
        </w:rPr>
      </w:pPr>
      <w:r w:rsidRPr="00346F22">
        <w:rPr>
          <w:rFonts w:eastAsiaTheme="minorHAnsi"/>
          <w:color w:val="000000"/>
          <w:sz w:val="20"/>
        </w:rPr>
        <w:t>Gracias a la introducción de una potente función de búsqueda de imágenes similares, en 2014/15 el uso de la Base</w:t>
      </w:r>
      <w:r w:rsidRPr="00346F22">
        <w:rPr>
          <w:bCs/>
          <w:sz w:val="20"/>
        </w:rPr>
        <w:t xml:space="preserve"> Mundial de datos sobre Marcas superó las expectativas, ya que el número de usuarios distintos por trimestre se cuadruplicó, pasando de 23.000 a fines de 2013 a más de 80.000.  El número de colecciones nacionales se duplicó con creces, pasando de 12 a fines de 2013 a 26 a fines de 2015.  Asimismo, el número total de registros contenidos en el sistema aumentó en más del doble en 2014/15, pasando de 12 millones a más de 24 millones.</w:t>
      </w:r>
    </w:p>
    <w:p w:rsidR="00346F22" w:rsidRPr="00346F22" w:rsidRDefault="00346F22" w:rsidP="00346F22">
      <w:pPr>
        <w:pStyle w:val="ONUMFS"/>
        <w:jc w:val="both"/>
        <w:rPr>
          <w:sz w:val="20"/>
          <w:lang w:eastAsia="ja-JP" w:bidi="th-TH"/>
        </w:rPr>
      </w:pPr>
      <w:r w:rsidRPr="00346F22">
        <w:rPr>
          <w:rFonts w:eastAsia="MS Mincho"/>
          <w:sz w:val="20"/>
          <w:lang w:eastAsia="ja-JP" w:bidi="th-TH"/>
        </w:rPr>
        <w:t xml:space="preserve">En el bienio cabe destacar también el lanzamiento en enero de 2015 de un nuevo servicio, la Base Mundial de Datos sobre Diseños (GDD).  A fines de 2015, solo un año después de su introducción, esta base de datos ya había alcanzado la impresionante cifra de 14.000 usuarios distintos por trimestre.  Además, el número de colecciones nacionales ascendió a cinco, conteniendo más de 1,5 millones de documentos de dibujos y modelos industriales. </w:t>
      </w:r>
    </w:p>
    <w:p w:rsidR="00346F22" w:rsidRPr="00346F22" w:rsidRDefault="00346F22" w:rsidP="00346F22">
      <w:pPr>
        <w:pStyle w:val="ONUMFS"/>
        <w:jc w:val="both"/>
        <w:rPr>
          <w:sz w:val="20"/>
        </w:rPr>
      </w:pPr>
      <w:r w:rsidRPr="00346F22">
        <w:rPr>
          <w:rFonts w:eastAsiaTheme="minorHAnsi"/>
          <w:color w:val="000000"/>
          <w:sz w:val="20"/>
        </w:rPr>
        <w:t>A pesar de los desiguales avances logrados en 2014, la situación en lo que respecta a las clasificaciones internacionales y a las normas técnicas de la OMPI sobre propiedad industrial mejoró sustancialmente en 2015, superándose</w:t>
      </w:r>
      <w:r w:rsidRPr="00346F22">
        <w:rPr>
          <w:bCs/>
          <w:sz w:val="20"/>
        </w:rPr>
        <w:t xml:space="preserve"> las expectativas en determinados ámbitos y acusándose retrasos en otros.  En lo que respecta a la Clasificación de Niza, en el bienio se introdujeron un total de 1.480 nuevas modificaciones y 25 ficheros de información nuevos.  El número de modificaciones supone un aumento del 94% con respecto al bienio </w:t>
      </w:r>
      <w:r w:rsidRPr="00346F22">
        <w:rPr>
          <w:sz w:val="20"/>
        </w:rPr>
        <w:t xml:space="preserve">2012/13.  </w:t>
      </w:r>
      <w:r w:rsidRPr="00346F22">
        <w:rPr>
          <w:bCs/>
          <w:sz w:val="20"/>
        </w:rPr>
        <w:t>En el marco de la CIP, en abril de 2014 empezó a utilizarse una plataforma de publicación modificada para facilitar el uso del sistema, que incluye una herramienta de búsqueda nueva y la función “</w:t>
      </w:r>
      <w:proofErr w:type="spellStart"/>
      <w:r w:rsidRPr="00346F22">
        <w:rPr>
          <w:bCs/>
          <w:sz w:val="20"/>
        </w:rPr>
        <w:t>Parallel</w:t>
      </w:r>
      <w:proofErr w:type="spellEnd"/>
      <w:r w:rsidRPr="00346F22">
        <w:rPr>
          <w:bCs/>
          <w:sz w:val="20"/>
        </w:rPr>
        <w:t xml:space="preserve"> </w:t>
      </w:r>
      <w:proofErr w:type="spellStart"/>
      <w:r w:rsidRPr="00346F22">
        <w:rPr>
          <w:bCs/>
          <w:sz w:val="20"/>
        </w:rPr>
        <w:t>Viewer</w:t>
      </w:r>
      <w:proofErr w:type="spellEnd"/>
      <w:r w:rsidRPr="00346F22">
        <w:rPr>
          <w:bCs/>
          <w:sz w:val="20"/>
        </w:rPr>
        <w:t xml:space="preserve">” de la Clasificación Internacional de Patentes, la Clasificación de Patentes Cooperativa y el sistema </w:t>
      </w:r>
      <w:r w:rsidRPr="00B772EB">
        <w:rPr>
          <w:bCs/>
          <w:i/>
          <w:sz w:val="20"/>
        </w:rPr>
        <w:t xml:space="preserve">File </w:t>
      </w:r>
      <w:proofErr w:type="spellStart"/>
      <w:r w:rsidRPr="00B772EB">
        <w:rPr>
          <w:bCs/>
          <w:i/>
          <w:sz w:val="20"/>
        </w:rPr>
        <w:t>Index</w:t>
      </w:r>
      <w:proofErr w:type="spellEnd"/>
      <w:r w:rsidRPr="00346F22">
        <w:rPr>
          <w:bCs/>
          <w:sz w:val="20"/>
        </w:rPr>
        <w:t xml:space="preserve"> (CIP/CPC/FI).  Debido al aumento de los nuevos proyectos de revisión procedentes de las Oficinas de la Cooperación </w:t>
      </w:r>
      <w:proofErr w:type="spellStart"/>
      <w:r w:rsidRPr="00346F22">
        <w:rPr>
          <w:bCs/>
          <w:sz w:val="20"/>
        </w:rPr>
        <w:t>Pentalateral</w:t>
      </w:r>
      <w:proofErr w:type="spellEnd"/>
      <w:r w:rsidRPr="00346F22">
        <w:rPr>
          <w:bCs/>
          <w:sz w:val="20"/>
        </w:rPr>
        <w:t xml:space="preserve"> y de la comunidad de la CIP, el número de subdivisiones introducidas en </w:t>
      </w:r>
      <w:r w:rsidRPr="00346F22">
        <w:rPr>
          <w:sz w:val="20"/>
        </w:rPr>
        <w:t xml:space="preserve">2015 (1.031) superó el objetivo anual en un 28%, recuperándose con respecto a 2014 para alcanzar el objetivo.  </w:t>
      </w:r>
      <w:r w:rsidRPr="00346F22">
        <w:rPr>
          <w:bCs/>
          <w:sz w:val="20"/>
        </w:rPr>
        <w:t xml:space="preserve">En su cuarta sesión, el Comité de Normas Técnicas de la OMPI (CWS) no logró aprobar el orden del día, es decir que no fue posible tomar decisiones oficiales.  A pesar de ese contratiempo, en 2014 pudo aprobarse una nueva norma técnica y pudo revisarse otra de manera oficiosa.  Esta paralización tuvo continuidad en </w:t>
      </w:r>
      <w:r w:rsidRPr="00346F22">
        <w:rPr>
          <w:sz w:val="20"/>
        </w:rPr>
        <w:t xml:space="preserve">2015, lo que supuso la ausencia de aprobación formal de nuevas normas técnicas.  Pese a ello, las gestiones informales continuaron en los equipos técnicos, grupos integrados por expertos designados por los miembros y los observadores del CWS para hacerse cargo de tareas específicas.  Está previsto que varias normas técnicas sean aprobadas cuando el CWS reanude sus trabajos en 2016.  </w:t>
      </w:r>
      <w:r w:rsidRPr="00346F22">
        <w:rPr>
          <w:bCs/>
          <w:sz w:val="20"/>
        </w:rPr>
        <w:t>El uso de herramientas de Internet para acceder a las publicaciones de clasificaciones y de normas técnicas aumentó de forma estable, registrándose un número considerablemente mayor de visitas a las publicaciones de la CIP (un 107% frente a 2013), debido a la inclusión de clasificaciones revisadas y de nuevas herramientas.</w:t>
      </w:r>
    </w:p>
    <w:p w:rsidR="00346F22" w:rsidRPr="00346F22" w:rsidRDefault="00346F22" w:rsidP="00346F22">
      <w:pPr>
        <w:pStyle w:val="ONUMFS"/>
        <w:jc w:val="both"/>
        <w:rPr>
          <w:bCs/>
          <w:sz w:val="20"/>
        </w:rPr>
      </w:pPr>
      <w:r w:rsidRPr="00346F22">
        <w:rPr>
          <w:bCs/>
          <w:sz w:val="20"/>
        </w:rPr>
        <w:t xml:space="preserve">En el bienio 2014/15, el número de Estados miembros que habían establecido en sus países centros de apoyo a la tecnología y la innovación (CATI) ascendió a 50, con 11 redes adicionales, lo que supuso un incremento del 28% con respecto a 2012/13.  Se siguió prestando atención a la sostenibilidad a largo plazo </w:t>
      </w:r>
      <w:r w:rsidRPr="00346F22">
        <w:rPr>
          <w:rFonts w:eastAsiaTheme="minorHAnsi"/>
          <w:color w:val="000000"/>
          <w:sz w:val="20"/>
        </w:rPr>
        <w:t>de</w:t>
      </w:r>
      <w:r w:rsidRPr="00346F22">
        <w:rPr>
          <w:bCs/>
          <w:sz w:val="20"/>
        </w:rPr>
        <w:t xml:space="preserve"> las redes, y, a fines de 2015, se determinó que 25 redes de CATI eran sostenibles.  La plataforma de gestión de conocimientos “</w:t>
      </w:r>
      <w:proofErr w:type="spellStart"/>
      <w:r w:rsidRPr="00346F22">
        <w:rPr>
          <w:bCs/>
          <w:sz w:val="20"/>
        </w:rPr>
        <w:t>eTISC</w:t>
      </w:r>
      <w:proofErr w:type="spellEnd"/>
      <w:r w:rsidRPr="00346F22">
        <w:rPr>
          <w:bCs/>
          <w:sz w:val="20"/>
        </w:rPr>
        <w:t>” siguió creciendo con solidez, doblando con creces el número de miembros hasta casi 1.500 procedentes de más de 115 paíse</w:t>
      </w:r>
      <w:r w:rsidR="00AC067A">
        <w:rPr>
          <w:bCs/>
          <w:sz w:val="20"/>
        </w:rPr>
        <w:t>s a fines de 2015, frente a los </w:t>
      </w:r>
      <w:r w:rsidRPr="00346F22">
        <w:rPr>
          <w:bCs/>
          <w:sz w:val="20"/>
        </w:rPr>
        <w:t>700 miembros del bienio anterior.  Se incorporaron a la plataforma “</w:t>
      </w:r>
      <w:proofErr w:type="spellStart"/>
      <w:r w:rsidRPr="00346F22">
        <w:rPr>
          <w:bCs/>
          <w:sz w:val="20"/>
        </w:rPr>
        <w:t>eTISC</w:t>
      </w:r>
      <w:proofErr w:type="spellEnd"/>
      <w:r w:rsidRPr="00346F22">
        <w:rPr>
          <w:bCs/>
          <w:sz w:val="20"/>
        </w:rPr>
        <w:t xml:space="preserve">” 16 seminarios de </w:t>
      </w:r>
      <w:r w:rsidRPr="00346F22">
        <w:rPr>
          <w:bCs/>
          <w:sz w:val="20"/>
        </w:rPr>
        <w:lastRenderedPageBreak/>
        <w:t>formación por Internet y se celebraron 10 sesiones de preguntas y respuestas en directo con expertos de ayuda a la innovación.</w:t>
      </w:r>
    </w:p>
    <w:p w:rsidR="00346F22" w:rsidRPr="00346F22" w:rsidRDefault="00346F22" w:rsidP="00346F22">
      <w:pPr>
        <w:pStyle w:val="ONUMFS"/>
        <w:jc w:val="both"/>
        <w:rPr>
          <w:sz w:val="20"/>
        </w:rPr>
      </w:pPr>
      <w:r w:rsidRPr="00346F22">
        <w:rPr>
          <w:sz w:val="20"/>
        </w:rPr>
        <w:t xml:space="preserve">Para atender la demanda, la Oficina Internacional </w:t>
      </w:r>
      <w:r w:rsidRPr="00346F22">
        <w:rPr>
          <w:bCs/>
          <w:sz w:val="20"/>
        </w:rPr>
        <w:t>siguió elaborando instrumentos para dar apoyo a los procesos operacionales de las Oficinas de P.I., en particular, el Sistema de Automatización de la Propiedad Industrial (IPAS) y sus módulos de apoyo</w:t>
      </w:r>
      <w:r w:rsidRPr="00346F22">
        <w:rPr>
          <w:sz w:val="20"/>
        </w:rPr>
        <w:t xml:space="preserve">.  Entre las principales funciones nuevas incorporadas durante el bienio, cabe citar un apoyo más sólido a la gestión electrónica de documentos y el apoyo a las operaciones bilingües, sobre todo a las oficinas cuyo idioma de trabajo es el árabe.  En diversas oficinas de P.I. se desarrollaron y se pusieron a prueba dos módulos nuevos: </w:t>
      </w:r>
    </w:p>
    <w:p w:rsidR="006760C1" w:rsidRPr="001402C5" w:rsidRDefault="006760C1" w:rsidP="006760C1">
      <w:pPr>
        <w:numPr>
          <w:ilvl w:val="0"/>
          <w:numId w:val="4"/>
        </w:numPr>
        <w:ind w:left="1134" w:hanging="425"/>
        <w:jc w:val="both"/>
        <w:rPr>
          <w:sz w:val="20"/>
        </w:rPr>
      </w:pPr>
      <w:r w:rsidRPr="001402C5">
        <w:rPr>
          <w:i/>
          <w:sz w:val="20"/>
        </w:rPr>
        <w:t xml:space="preserve">WIPO </w:t>
      </w:r>
      <w:proofErr w:type="spellStart"/>
      <w:r w:rsidRPr="001402C5">
        <w:rPr>
          <w:i/>
          <w:sz w:val="20"/>
        </w:rPr>
        <w:t>Publish</w:t>
      </w:r>
      <w:proofErr w:type="spellEnd"/>
      <w:r w:rsidRPr="001402C5">
        <w:rPr>
          <w:i/>
          <w:sz w:val="20"/>
        </w:rPr>
        <w:t>:</w:t>
      </w:r>
      <w:r w:rsidRPr="001402C5">
        <w:rPr>
          <w:sz w:val="20"/>
        </w:rPr>
        <w:t xml:space="preserve"> diseñado para satisfacer las necesidades de las oficinas en lo que respecta a la publicación en Internet de datos de P.I., documentos, información sobre la situación jurídica y los expedientes así como las necesidades de intercambio de datos (lo que incluye el intercambio de datos de las bases de datos mundiales de la OMPI).  En 10 oficinas, este módulo se incorporó para su uso interno y en muchas otras para la difusión por Internet de información en materia de P.I.</w:t>
      </w:r>
    </w:p>
    <w:p w:rsidR="006760C1" w:rsidRPr="001402C5" w:rsidRDefault="006760C1" w:rsidP="006760C1">
      <w:pPr>
        <w:ind w:left="1134"/>
        <w:jc w:val="both"/>
        <w:rPr>
          <w:sz w:val="20"/>
        </w:rPr>
      </w:pPr>
    </w:p>
    <w:p w:rsidR="006760C1" w:rsidRDefault="006760C1" w:rsidP="006760C1">
      <w:pPr>
        <w:numPr>
          <w:ilvl w:val="0"/>
          <w:numId w:val="4"/>
        </w:numPr>
        <w:shd w:val="clear" w:color="auto" w:fill="FFFFFF"/>
        <w:ind w:left="1134" w:hanging="425"/>
        <w:jc w:val="both"/>
        <w:rPr>
          <w:sz w:val="20"/>
        </w:rPr>
      </w:pPr>
      <w:r w:rsidRPr="001402C5">
        <w:rPr>
          <w:i/>
          <w:sz w:val="20"/>
        </w:rPr>
        <w:t xml:space="preserve">WIPO File:  </w:t>
      </w:r>
      <w:r w:rsidRPr="001402C5">
        <w:rPr>
          <w:sz w:val="20"/>
        </w:rPr>
        <w:t xml:space="preserve">diseñado para facilitar una solución electrónica de presentación de solicitudes a las oficinas pequeñas y medianas, sin olvidar la flexibilidad para permitir una amplia adaptación a las condiciones locales (por ejemplo, a los sistemas de pago locales).  </w:t>
      </w:r>
      <w:r w:rsidRPr="001402C5">
        <w:rPr>
          <w:i/>
          <w:sz w:val="20"/>
        </w:rPr>
        <w:t>WIPO File</w:t>
      </w:r>
      <w:r w:rsidRPr="001402C5">
        <w:rPr>
          <w:sz w:val="20"/>
        </w:rPr>
        <w:t xml:space="preserve"> se aplicó experimentalmente con éxito en una oficina de P.I., donde se está utilizando para la presentación electrónica de solicitudes.</w:t>
      </w:r>
    </w:p>
    <w:p w:rsidR="002D601A" w:rsidRPr="001402C5" w:rsidRDefault="002D601A" w:rsidP="002D601A">
      <w:pPr>
        <w:shd w:val="clear" w:color="auto" w:fill="FFFFFF"/>
        <w:ind w:left="1134"/>
        <w:jc w:val="both"/>
        <w:rPr>
          <w:sz w:val="20"/>
        </w:rPr>
      </w:pPr>
    </w:p>
    <w:p w:rsidR="00346F22" w:rsidRPr="00346F22" w:rsidRDefault="00346F22" w:rsidP="00346F22">
      <w:pPr>
        <w:pStyle w:val="ONUMFS"/>
        <w:jc w:val="both"/>
        <w:rPr>
          <w:color w:val="282828"/>
          <w:sz w:val="20"/>
        </w:rPr>
      </w:pPr>
      <w:r w:rsidRPr="00346F22">
        <w:rPr>
          <w:color w:val="282828"/>
          <w:sz w:val="20"/>
        </w:rPr>
        <w:t xml:space="preserve">En </w:t>
      </w:r>
      <w:r w:rsidRPr="00346F22">
        <w:rPr>
          <w:rFonts w:eastAsiaTheme="minorHAnsi"/>
          <w:color w:val="000000"/>
          <w:sz w:val="20"/>
        </w:rPr>
        <w:t>2014</w:t>
      </w:r>
      <w:r w:rsidRPr="00346F22">
        <w:rPr>
          <w:color w:val="282828"/>
          <w:sz w:val="20"/>
        </w:rPr>
        <w:t xml:space="preserve"> se puso en marcha el proyecto “Conexión de Derecho de Autor de la OMPI” (WCC) (que ha sustituido al proyecto WIPOCOS) a fin de disponer de un sistema interconectado para la gestión de los derechos de autor y derechos conexos.  El sistema estaba en la fase</w:t>
      </w:r>
      <w:r w:rsidR="00887662">
        <w:rPr>
          <w:color w:val="282828"/>
          <w:sz w:val="20"/>
        </w:rPr>
        <w:t xml:space="preserve"> final de desarrollo a fines de </w:t>
      </w:r>
      <w:r w:rsidRPr="00346F22">
        <w:rPr>
          <w:color w:val="282828"/>
          <w:sz w:val="20"/>
        </w:rPr>
        <w:t>2014/15 y se implanta</w:t>
      </w:r>
      <w:r w:rsidR="00B772EB">
        <w:rPr>
          <w:color w:val="282828"/>
          <w:sz w:val="20"/>
        </w:rPr>
        <w:t>rá</w:t>
      </w:r>
      <w:r w:rsidRPr="00346F22">
        <w:rPr>
          <w:color w:val="282828"/>
          <w:sz w:val="20"/>
        </w:rPr>
        <w:t xml:space="preserve"> en organismos de gestión colectiva (OGC) de países en desarrollo y PMA </w:t>
      </w:r>
      <w:r w:rsidR="00B772EB">
        <w:rPr>
          <w:color w:val="282828"/>
          <w:sz w:val="20"/>
        </w:rPr>
        <w:t xml:space="preserve">a partir de comienzos </w:t>
      </w:r>
      <w:r w:rsidRPr="00346F22">
        <w:rPr>
          <w:color w:val="282828"/>
          <w:sz w:val="20"/>
        </w:rPr>
        <w:t>de 2016.</w:t>
      </w:r>
    </w:p>
    <w:p w:rsidR="00346F22" w:rsidRPr="00346F22" w:rsidRDefault="00346F22" w:rsidP="00346F22">
      <w:pPr>
        <w:pStyle w:val="ONUMFS"/>
        <w:jc w:val="both"/>
        <w:rPr>
          <w:rFonts w:eastAsiaTheme="minorHAnsi"/>
          <w:color w:val="000000"/>
          <w:sz w:val="20"/>
        </w:rPr>
      </w:pPr>
      <w:r w:rsidRPr="00346F22">
        <w:rPr>
          <w:rFonts w:eastAsiaTheme="minorHAnsi"/>
          <w:color w:val="000000"/>
          <w:sz w:val="20"/>
        </w:rPr>
        <w:t xml:space="preserve">A partir de un proceso de publicación de especificaciones y su examen, en colaboración con las Oficinas participantes, en diciembre de 2014 se publicó una nueva versión del Servicio de Acceso Digital a los Documentos de Prioridad (DAS) en apoyo del marco revisado de DAS 2.0.  El número de Oficinas participantes permaneció estable, manteniéndose en 11.  En abril de 2014, el acceso centralizado a los resultados de la búsqueda y el examen de la OMPI (CASE) quedó vinculado con la plataforma </w:t>
      </w:r>
      <w:r w:rsidRPr="002D601A">
        <w:rPr>
          <w:rFonts w:eastAsiaTheme="minorHAnsi"/>
          <w:i/>
          <w:color w:val="000000"/>
          <w:sz w:val="20"/>
        </w:rPr>
        <w:t>IP5 </w:t>
      </w:r>
      <w:proofErr w:type="spellStart"/>
      <w:r w:rsidRPr="002D601A">
        <w:rPr>
          <w:rFonts w:eastAsiaTheme="minorHAnsi"/>
          <w:i/>
          <w:color w:val="000000"/>
          <w:sz w:val="20"/>
        </w:rPr>
        <w:t>One</w:t>
      </w:r>
      <w:proofErr w:type="spellEnd"/>
      <w:r w:rsidRPr="002D601A">
        <w:rPr>
          <w:rFonts w:eastAsiaTheme="minorHAnsi"/>
          <w:i/>
          <w:color w:val="000000"/>
          <w:sz w:val="20"/>
        </w:rPr>
        <w:t> Portal Dossier</w:t>
      </w:r>
      <w:r w:rsidRPr="00346F22">
        <w:rPr>
          <w:rFonts w:eastAsiaTheme="minorHAnsi"/>
          <w:color w:val="000000"/>
          <w:sz w:val="20"/>
        </w:rPr>
        <w:t xml:space="preserve">, que permite el intercambio de información sobre expedientes, pleno y recíproco, entre el sistema WIPO CASE y las Oficinas de la Cooperación </w:t>
      </w:r>
      <w:proofErr w:type="spellStart"/>
      <w:r w:rsidRPr="00346F22">
        <w:rPr>
          <w:rFonts w:eastAsiaTheme="minorHAnsi"/>
          <w:color w:val="000000"/>
          <w:sz w:val="20"/>
        </w:rPr>
        <w:t>Pentalateral</w:t>
      </w:r>
      <w:proofErr w:type="spellEnd"/>
      <w:r w:rsidRPr="00346F22">
        <w:rPr>
          <w:rFonts w:eastAsiaTheme="minorHAnsi"/>
          <w:color w:val="000000"/>
          <w:sz w:val="20"/>
        </w:rPr>
        <w:t>.  Varias oficinas nuevas se inscribieron para utilizar WIPO CASE durante el bienio, lo que eleva a 21 el número total de oficinas participantes, de las cuales 10 han convenido compartir con otros la información contenida en sus expedientes.</w:t>
      </w:r>
    </w:p>
    <w:p w:rsidR="00346F22" w:rsidRPr="00346F22" w:rsidRDefault="00346F22" w:rsidP="00346F22">
      <w:pPr>
        <w:pStyle w:val="ONUMFS"/>
        <w:jc w:val="both"/>
        <w:rPr>
          <w:sz w:val="20"/>
        </w:rPr>
      </w:pPr>
      <w:r w:rsidRPr="00346F22">
        <w:rPr>
          <w:bCs/>
          <w:sz w:val="20"/>
        </w:rPr>
        <w:t>En junio de 2014, se creó una nueva entidad de múltiples sectores interesados, el Consorcio de Libros Accesibles (ABC), para aumentar el número de libros en todo el mundo en formatos accesibles para las personas con dificultad para acceder al texto impreso.  El ABC llevó a cabo tres actividades principales:  i) la asistencia técnica para elaboración de libros en formatos accesibles (con financiación de los Gobiernos de Australia y de la República de Corea);</w:t>
      </w:r>
      <w:r w:rsidRPr="00346F22">
        <w:rPr>
          <w:color w:val="000000"/>
          <w:sz w:val="20"/>
        </w:rPr>
        <w:t xml:space="preserve">  ii) el fomento de la publicación inclusiva, que promueve tecnologías que facilitan la edición de obras “que nacen accesibles”, de suerte que puedan utilizar desde el principio las obras de reciente creación tanto las personas sin dificultad visual como las personas con dificultad para acceder al texto impreso;  y iii) el Servicio de Libros del ABC, conocido también como TIGAR, un base internacional de datos con títulos accesibles en 55 idiomas.  En el marco de la primera actividad, el ABC produjo 1.580 libros educativos destinados a 23.500 estudiantes con dificultad para acceder al texto impreso en Bangladesh, la India, Nepal y Sri Lanka.  En el marco de la segunda actividad, el ABC patrocinó la Carta del ABC de la Edición Accesible y el Premio internacional a la excelencia en la edición accesible</w:t>
      </w:r>
      <w:r w:rsidRPr="00346F22">
        <w:rPr>
          <w:bCs/>
          <w:i/>
          <w:color w:val="000000"/>
          <w:sz w:val="20"/>
        </w:rPr>
        <w:t xml:space="preserve">.  </w:t>
      </w:r>
      <w:r w:rsidRPr="00346F22">
        <w:rPr>
          <w:color w:val="000000"/>
          <w:sz w:val="20"/>
        </w:rPr>
        <w:t>A fines de 2015, hubo 4.208 descargas de títulos accesibles adicionales por parte de 15 bibliotecas participantes y, en el periodo comprendido en el informe, más de 58.000 préstamos de libros accesibles a personas con dificultades para acceder al texto impreso.</w:t>
      </w:r>
    </w:p>
    <w:p w:rsidR="006760C1" w:rsidRPr="001402C5" w:rsidRDefault="006760C1" w:rsidP="006760C1">
      <w:pPr>
        <w:rPr>
          <w:b/>
          <w:iCs/>
          <w:sz w:val="20"/>
        </w:rPr>
      </w:pPr>
    </w:p>
    <w:p w:rsidR="006760C1" w:rsidRPr="001402C5" w:rsidRDefault="006760C1" w:rsidP="006760C1">
      <w:pPr>
        <w:rPr>
          <w:b/>
          <w:iCs/>
          <w:sz w:val="20"/>
        </w:rPr>
      </w:pPr>
    </w:p>
    <w:p w:rsidR="006760C1" w:rsidRPr="001402C5" w:rsidRDefault="006760C1" w:rsidP="006760C1">
      <w:pPr>
        <w:keepNext/>
        <w:keepLines/>
        <w:jc w:val="center"/>
        <w:rPr>
          <w:sz w:val="20"/>
        </w:rPr>
      </w:pPr>
      <w:r w:rsidRPr="001402C5">
        <w:rPr>
          <w:b/>
          <w:iCs/>
          <w:sz w:val="20"/>
        </w:rPr>
        <w:lastRenderedPageBreak/>
        <w:t>Meta estratégica V:  Fuente de referencia en el mundo de información y análisis en materia de P.I.</w:t>
      </w:r>
      <w:r w:rsidRPr="001402C5">
        <w:rPr>
          <w:noProof/>
          <w:sz w:val="20"/>
        </w:rPr>
        <w:t xml:space="preserve"> </w:t>
      </w:r>
      <w:r w:rsidRPr="001402C5">
        <w:rPr>
          <w:noProof/>
          <w:sz w:val="20"/>
          <w:lang w:val="en-US" w:eastAsia="en-US"/>
        </w:rPr>
        <w:drawing>
          <wp:inline distT="0" distB="0" distL="0" distR="0" wp14:anchorId="53B4127F" wp14:editId="3E3681A2">
            <wp:extent cx="5731510" cy="2748762"/>
            <wp:effectExtent l="0" t="0" r="2540" b="0"/>
            <wp:docPr id="832" name="Picture 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31510" cy="2748762"/>
                    </a:xfrm>
                    <a:prstGeom prst="rect">
                      <a:avLst/>
                    </a:prstGeom>
                    <a:noFill/>
                    <a:ln>
                      <a:noFill/>
                    </a:ln>
                  </pic:spPr>
                </pic:pic>
              </a:graphicData>
            </a:graphic>
          </wp:inline>
        </w:drawing>
      </w:r>
    </w:p>
    <w:p w:rsidR="006760C1" w:rsidRDefault="006760C1" w:rsidP="006760C1">
      <w:pPr>
        <w:keepNext/>
        <w:keepLines/>
        <w:jc w:val="center"/>
        <w:rPr>
          <w:b/>
          <w:sz w:val="18"/>
          <w:szCs w:val="18"/>
        </w:rPr>
      </w:pPr>
    </w:p>
    <w:p w:rsidR="006760C1" w:rsidRDefault="006760C1" w:rsidP="006760C1">
      <w:pPr>
        <w:rPr>
          <w:b/>
          <w:sz w:val="18"/>
          <w:szCs w:val="18"/>
        </w:rPr>
      </w:pPr>
    </w:p>
    <w:p w:rsidR="006760C1" w:rsidRPr="001402C5" w:rsidRDefault="006760C1" w:rsidP="006760C1">
      <w:pPr>
        <w:jc w:val="center"/>
        <w:rPr>
          <w:b/>
          <w:iCs/>
          <w:sz w:val="20"/>
        </w:rPr>
      </w:pPr>
      <w:r w:rsidRPr="0047708A">
        <w:rPr>
          <w:b/>
          <w:sz w:val="18"/>
          <w:szCs w:val="18"/>
        </w:rPr>
        <w:t xml:space="preserve">Resumen de los avances logrados </w:t>
      </w:r>
      <w:r>
        <w:rPr>
          <w:b/>
          <w:sz w:val="18"/>
          <w:szCs w:val="18"/>
        </w:rPr>
        <w:t>por resultado previsto</w:t>
      </w:r>
    </w:p>
    <w:p w:rsidR="006760C1" w:rsidRPr="001402C5" w:rsidRDefault="006760C1" w:rsidP="006760C1">
      <w:pPr>
        <w:rPr>
          <w:iCs/>
          <w:sz w:val="20"/>
        </w:rPr>
      </w:pPr>
      <w:r w:rsidRPr="001402C5">
        <w:rPr>
          <w:noProof/>
          <w:sz w:val="20"/>
          <w:lang w:val="en-US" w:eastAsia="en-US"/>
        </w:rPr>
        <w:drawing>
          <wp:inline distT="0" distB="0" distL="0" distR="0" wp14:anchorId="4C17F91F" wp14:editId="4EBCE8DC">
            <wp:extent cx="5731510" cy="1205915"/>
            <wp:effectExtent l="0" t="0" r="2540" b="0"/>
            <wp:docPr id="833" name="Picture 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31510" cy="1205915"/>
                    </a:xfrm>
                    <a:prstGeom prst="rect">
                      <a:avLst/>
                    </a:prstGeom>
                    <a:noFill/>
                    <a:ln>
                      <a:noFill/>
                    </a:ln>
                  </pic:spPr>
                </pic:pic>
              </a:graphicData>
            </a:graphic>
          </wp:inline>
        </w:drawing>
      </w:r>
    </w:p>
    <w:p w:rsidR="006760C1" w:rsidRPr="001402C5" w:rsidRDefault="006760C1" w:rsidP="006760C1">
      <w:pPr>
        <w:jc w:val="both"/>
        <w:rPr>
          <w:bCs/>
          <w:sz w:val="20"/>
        </w:rPr>
      </w:pPr>
    </w:p>
    <w:p w:rsidR="00346F22" w:rsidRPr="00346F22" w:rsidRDefault="00346F22" w:rsidP="00346F22">
      <w:pPr>
        <w:pStyle w:val="ONUMFS"/>
        <w:jc w:val="both"/>
        <w:rPr>
          <w:sz w:val="20"/>
        </w:rPr>
      </w:pPr>
      <w:r w:rsidRPr="00346F22">
        <w:rPr>
          <w:sz w:val="20"/>
        </w:rPr>
        <w:t xml:space="preserve">En el bienio, la labor de análisis económico de la OMPI avanzó de forma significativa hacia su objetivo de promover un análisis de alta calidad de los retos económicos en el sistema internacional de P.I. y de los efectos económicos de las decisiones sobre las políticas de P.I.  Un gran logro fue la publicación del tercer “Informe Mundial sobre la Propiedad intelectual:  La innovación revolucionaria y el crecimiento económico”, que generó más de 200 artículos de prensa y el interés de responsables políticos y académicos de todo el mundo.  Además, la OMPI siguió participando en la publicación conjunta del Índice Mundial de Innovación (GII), junto la Universidad de </w:t>
      </w:r>
      <w:proofErr w:type="spellStart"/>
      <w:r w:rsidRPr="00346F22">
        <w:rPr>
          <w:sz w:val="20"/>
        </w:rPr>
        <w:t>Cornell</w:t>
      </w:r>
      <w:proofErr w:type="spellEnd"/>
      <w:r w:rsidRPr="00346F22">
        <w:rPr>
          <w:sz w:val="20"/>
        </w:rPr>
        <w:t xml:space="preserve"> y el INSEAD.  </w:t>
      </w:r>
      <w:r w:rsidR="001212FD">
        <w:rPr>
          <w:sz w:val="20"/>
        </w:rPr>
        <w:t>En </w:t>
      </w:r>
      <w:r w:rsidRPr="00346F22">
        <w:rPr>
          <w:sz w:val="20"/>
        </w:rPr>
        <w:t>2014/15, por primera vez, las presentaciones del GII no se llevaron a cabo en Ginebra, sino que se organizaron de manera conjunta en su territorio con el Gobierno de Australia, en 2014, y con el Gobierno del Reino Unido, en 2015.  La cobertura mediática y la atención en las redes sociales también alcanzó nuevos niveles máximos con respecto al bienio anterior.</w:t>
      </w:r>
    </w:p>
    <w:p w:rsidR="00346F22" w:rsidRPr="00346F22" w:rsidRDefault="00346F22" w:rsidP="00346F22">
      <w:pPr>
        <w:pStyle w:val="ONUMFS"/>
        <w:jc w:val="both"/>
        <w:rPr>
          <w:sz w:val="20"/>
        </w:rPr>
      </w:pPr>
      <w:r w:rsidRPr="00346F22">
        <w:rPr>
          <w:sz w:val="20"/>
        </w:rPr>
        <w:t>En el bienio 2014/15 hubo también logros importantes en relación con los estudios económicos orientados a apoyar el trabajo que realizan los comités de la OMPI.  Hay que destacar ante todo que se finalizaron tres proyectos de la Agenda para el Desarrollo (A.D.) sobre P.I. y desarrollo socioeconómico, P.I. y la economía informal, y P.I. y la fuga de cerebros.  En 2015, también se lanzó la segunda fase del proyecto sobre P.I. y desarrollo socioeconómico, que lleva la labor principal de estudio a los nuevos países en desarrollo.</w:t>
      </w:r>
    </w:p>
    <w:p w:rsidR="00346F22" w:rsidRPr="00346F22" w:rsidRDefault="00346F22" w:rsidP="00346F22">
      <w:pPr>
        <w:pStyle w:val="ONUMFS"/>
        <w:jc w:val="both"/>
        <w:rPr>
          <w:sz w:val="20"/>
        </w:rPr>
      </w:pPr>
      <w:r w:rsidRPr="00346F22">
        <w:rPr>
          <w:sz w:val="20"/>
        </w:rPr>
        <w:t>Finalmente, el trabajo estadístico realizado en el bienio 2014/15 también cumplió el objetivo de  proporcionar información estadística precisa, exhaustiva y puntual sobre los resultados del sistema de P.I. a escala mundial.  Y lo más importante:  se llevaron a cabo sondeos estadísticos anuales de oficinas nacionales y regionales de P.I., en los que el número promedio de respuestas aumentó a 127, frente a las 112 del bienio anterior.</w:t>
      </w:r>
    </w:p>
    <w:p w:rsidR="006760C1" w:rsidRPr="001402C5" w:rsidRDefault="006760C1" w:rsidP="006760C1">
      <w:pPr>
        <w:rPr>
          <w:b/>
          <w:iCs/>
          <w:sz w:val="20"/>
        </w:rPr>
      </w:pPr>
    </w:p>
    <w:p w:rsidR="006760C1" w:rsidRPr="001402C5" w:rsidRDefault="006760C1" w:rsidP="006760C1">
      <w:pPr>
        <w:rPr>
          <w:b/>
          <w:iCs/>
          <w:sz w:val="20"/>
        </w:rPr>
      </w:pPr>
    </w:p>
    <w:p w:rsidR="006760C1" w:rsidRPr="001402C5" w:rsidRDefault="006760C1" w:rsidP="009D2603">
      <w:pPr>
        <w:keepNext/>
        <w:jc w:val="center"/>
        <w:rPr>
          <w:b/>
          <w:iCs/>
          <w:sz w:val="20"/>
        </w:rPr>
      </w:pPr>
      <w:r w:rsidRPr="001402C5">
        <w:rPr>
          <w:b/>
          <w:iCs/>
          <w:sz w:val="20"/>
        </w:rPr>
        <w:lastRenderedPageBreak/>
        <w:t>Meta estratégica VI:  Cooperación internacional para fomentar el respeto por la P.I.</w:t>
      </w:r>
    </w:p>
    <w:p w:rsidR="006760C1" w:rsidRDefault="006760C1" w:rsidP="009D2603">
      <w:pPr>
        <w:keepNext/>
        <w:jc w:val="center"/>
        <w:rPr>
          <w:b/>
          <w:noProof/>
          <w:sz w:val="18"/>
          <w:szCs w:val="18"/>
        </w:rPr>
      </w:pPr>
      <w:r w:rsidRPr="001402C5">
        <w:rPr>
          <w:noProof/>
          <w:sz w:val="20"/>
          <w:lang w:val="en-US" w:eastAsia="en-US"/>
        </w:rPr>
        <w:drawing>
          <wp:inline distT="0" distB="0" distL="0" distR="0" wp14:anchorId="403E2E84" wp14:editId="2C8B5BB1">
            <wp:extent cx="5731510" cy="2747629"/>
            <wp:effectExtent l="0" t="0" r="2540" b="0"/>
            <wp:docPr id="834" name="Picture 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31510" cy="2747629"/>
                    </a:xfrm>
                    <a:prstGeom prst="rect">
                      <a:avLst/>
                    </a:prstGeom>
                    <a:noFill/>
                    <a:ln>
                      <a:noFill/>
                    </a:ln>
                  </pic:spPr>
                </pic:pic>
              </a:graphicData>
            </a:graphic>
          </wp:inline>
        </w:drawing>
      </w:r>
    </w:p>
    <w:p w:rsidR="006760C1" w:rsidRDefault="006760C1" w:rsidP="009D2603">
      <w:pPr>
        <w:keepNext/>
        <w:rPr>
          <w:b/>
          <w:noProof/>
          <w:sz w:val="18"/>
          <w:szCs w:val="18"/>
        </w:rPr>
      </w:pPr>
    </w:p>
    <w:p w:rsidR="006760C1" w:rsidRPr="001402C5" w:rsidRDefault="006760C1" w:rsidP="009D2603">
      <w:pPr>
        <w:keepNext/>
        <w:jc w:val="center"/>
        <w:rPr>
          <w:b/>
          <w:iCs/>
          <w:sz w:val="20"/>
        </w:rPr>
      </w:pPr>
      <w:r w:rsidRPr="0047708A">
        <w:rPr>
          <w:b/>
          <w:sz w:val="18"/>
          <w:szCs w:val="18"/>
        </w:rPr>
        <w:t xml:space="preserve">Resumen de los avances logrados </w:t>
      </w:r>
      <w:r>
        <w:rPr>
          <w:b/>
          <w:sz w:val="18"/>
          <w:szCs w:val="18"/>
        </w:rPr>
        <w:t>por resultado previsto</w:t>
      </w:r>
    </w:p>
    <w:p w:rsidR="006760C1" w:rsidRDefault="006760C1" w:rsidP="006760C1">
      <w:pPr>
        <w:rPr>
          <w:b/>
          <w:sz w:val="18"/>
          <w:szCs w:val="18"/>
        </w:rPr>
      </w:pPr>
      <w:r w:rsidRPr="001402C5">
        <w:rPr>
          <w:noProof/>
          <w:sz w:val="20"/>
          <w:lang w:val="en-US" w:eastAsia="en-US"/>
        </w:rPr>
        <w:drawing>
          <wp:inline distT="0" distB="0" distL="0" distR="0" wp14:anchorId="794951B1" wp14:editId="0CCFDC94">
            <wp:extent cx="5731510" cy="1223142"/>
            <wp:effectExtent l="0" t="0" r="2540" b="0"/>
            <wp:docPr id="835" name="Picture 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31510" cy="1223142"/>
                    </a:xfrm>
                    <a:prstGeom prst="rect">
                      <a:avLst/>
                    </a:prstGeom>
                    <a:noFill/>
                    <a:ln>
                      <a:noFill/>
                    </a:ln>
                  </pic:spPr>
                </pic:pic>
              </a:graphicData>
            </a:graphic>
          </wp:inline>
        </w:drawing>
      </w:r>
    </w:p>
    <w:p w:rsidR="006760C1" w:rsidRPr="001402C5" w:rsidRDefault="006760C1" w:rsidP="006760C1">
      <w:pPr>
        <w:rPr>
          <w:sz w:val="20"/>
        </w:rPr>
      </w:pPr>
    </w:p>
    <w:p w:rsidR="00346F22" w:rsidRPr="00346F22" w:rsidRDefault="00346F22" w:rsidP="00346F22">
      <w:pPr>
        <w:pStyle w:val="ONUMFS"/>
        <w:jc w:val="both"/>
        <w:rPr>
          <w:sz w:val="20"/>
        </w:rPr>
      </w:pPr>
      <w:r w:rsidRPr="00346F22">
        <w:rPr>
          <w:rFonts w:eastAsiaTheme="minorHAnsi"/>
          <w:color w:val="000000"/>
          <w:sz w:val="20"/>
        </w:rPr>
        <w:t>Con</w:t>
      </w:r>
      <w:r w:rsidRPr="00346F22">
        <w:rPr>
          <w:sz w:val="20"/>
        </w:rPr>
        <w:t xml:space="preserve"> miras a conseguir avances en el diálogo internacional sobre políticas entre los Estados miembros de la OMPI para fomentar el respeto por la P.I., la 9ª y la 10ª sesiones del Comité Asesor en materia de Observancia (ACE) (celebrada</w:t>
      </w:r>
      <w:r w:rsidR="00B772EB">
        <w:rPr>
          <w:sz w:val="20"/>
        </w:rPr>
        <w:t>s</w:t>
      </w:r>
      <w:r w:rsidRPr="00346F22">
        <w:rPr>
          <w:sz w:val="20"/>
        </w:rPr>
        <w:t xml:space="preserve"> del 3 al 5 de marzo de 2014, y del 23 al 25 de noviembre</w:t>
      </w:r>
      <w:r w:rsidR="00557183">
        <w:rPr>
          <w:sz w:val="20"/>
        </w:rPr>
        <w:t xml:space="preserve"> de </w:t>
      </w:r>
      <w:r w:rsidRPr="00346F22">
        <w:rPr>
          <w:sz w:val="20"/>
        </w:rPr>
        <w:t>2015) sirvió como un "mercado de ideas" propicio para el intercambio de experiencias y prácticas nacionales.  En la reuniones de tres días de duración se observó el creciente interés que despiertan las estrategias de prevención eficaces, desde las actividades de sensibilización, los nuevos modelos de negocios y la seguridad en la cadena de suministro, hasta los mecanismos extrajudiciales de solución de controversias en materia de P.I.  En las dos sesiones hubo exposiciones audiovisuales en las que se presentaron campañas de comunicación pública sobre el respeto por la P.I. y herramientas de sensibilización dirigidas a los jóvenes.  Los Estados miembros convinieron</w:t>
      </w:r>
      <w:r w:rsidR="007F16A3">
        <w:rPr>
          <w:sz w:val="20"/>
        </w:rPr>
        <w:t xml:space="preserve"> en </w:t>
      </w:r>
      <w:r w:rsidRPr="00346F22">
        <w:rPr>
          <w:sz w:val="20"/>
        </w:rPr>
        <w:t>intercambiar información</w:t>
      </w:r>
      <w:r w:rsidR="007F16A3" w:rsidRPr="00346F22">
        <w:rPr>
          <w:sz w:val="20"/>
        </w:rPr>
        <w:t xml:space="preserve">, en </w:t>
      </w:r>
      <w:r w:rsidR="007F16A3" w:rsidRPr="007F16A3">
        <w:rPr>
          <w:sz w:val="20"/>
        </w:rPr>
        <w:t>su undécima sesión,</w:t>
      </w:r>
      <w:r w:rsidR="007F16A3" w:rsidRPr="00346F22">
        <w:rPr>
          <w:sz w:val="20"/>
        </w:rPr>
        <w:t xml:space="preserve"> </w:t>
      </w:r>
      <w:r w:rsidRPr="00346F22">
        <w:rPr>
          <w:sz w:val="20"/>
        </w:rPr>
        <w:t>sobre las experiencias a nivel nacional en cuatro temas:   i) las actividades de sensibilización y las campañas estratégicas como un medio para fomentar el respeto por la P.I. entre el público en general, especialmente los jóvenes, de conformidad con las prioridades educativas y de otra índole de los Estados miembros;  ii) los acuerdos institucionales relativos a las políticas y los regímenes de observancia de la P.I., entre ellos los mecanismos para resolver controversias de P.I. de manera equilibrada, integral y eficaz;  iii) la asistencia legislativa de la OMPI, con hincapié en la redacción de leyes nacionales de observancia que tengan presentes las flexibilidades, el nivel de desarrollo, las diferencias en la tradición jurídica y el posible abuso de los procedimientos de observancia;  y iv) el fortalecimiento de las capacidades y el apoyo de la OMPI a las actividades de formación, en consonancia con las correspondientes recomendaciones de la A.D. y con el mandato del ACE.</w:t>
      </w:r>
    </w:p>
    <w:p w:rsidR="006760C1" w:rsidRPr="001402C5" w:rsidRDefault="006760C1" w:rsidP="006760C1">
      <w:pPr>
        <w:jc w:val="center"/>
        <w:rPr>
          <w:b/>
          <w:iCs/>
          <w:sz w:val="20"/>
        </w:rPr>
      </w:pPr>
    </w:p>
    <w:p w:rsidR="006760C1" w:rsidRPr="001402C5" w:rsidRDefault="006760C1" w:rsidP="002913F7">
      <w:pPr>
        <w:keepNext/>
        <w:jc w:val="center"/>
        <w:rPr>
          <w:b/>
          <w:iCs/>
          <w:sz w:val="20"/>
        </w:rPr>
      </w:pPr>
      <w:r w:rsidRPr="001402C5">
        <w:rPr>
          <w:b/>
          <w:iCs/>
          <w:sz w:val="20"/>
        </w:rPr>
        <w:lastRenderedPageBreak/>
        <w:t>Meta estratégica VII:  Vínculos entre la P.I. y los problemas mundiales de política pública</w:t>
      </w:r>
    </w:p>
    <w:p w:rsidR="006760C1" w:rsidRPr="001402C5" w:rsidRDefault="006760C1" w:rsidP="002913F7">
      <w:pPr>
        <w:keepNext/>
        <w:jc w:val="center"/>
        <w:rPr>
          <w:sz w:val="20"/>
        </w:rPr>
      </w:pPr>
      <w:r w:rsidRPr="001402C5">
        <w:rPr>
          <w:noProof/>
          <w:sz w:val="20"/>
          <w:lang w:val="en-US" w:eastAsia="en-US"/>
        </w:rPr>
        <w:drawing>
          <wp:inline distT="0" distB="0" distL="0" distR="0" wp14:anchorId="1D4DD530" wp14:editId="4DF8477C">
            <wp:extent cx="5731510" cy="2899833"/>
            <wp:effectExtent l="0" t="0" r="2540" b="0"/>
            <wp:docPr id="836" name="Picture 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31510" cy="2899833"/>
                    </a:xfrm>
                    <a:prstGeom prst="rect">
                      <a:avLst/>
                    </a:prstGeom>
                    <a:noFill/>
                    <a:ln>
                      <a:noFill/>
                    </a:ln>
                  </pic:spPr>
                </pic:pic>
              </a:graphicData>
            </a:graphic>
          </wp:inline>
        </w:drawing>
      </w:r>
    </w:p>
    <w:p w:rsidR="006760C1" w:rsidRPr="001402C5" w:rsidRDefault="006760C1" w:rsidP="002913F7">
      <w:pPr>
        <w:keepNext/>
        <w:jc w:val="center"/>
        <w:rPr>
          <w:sz w:val="20"/>
        </w:rPr>
      </w:pPr>
    </w:p>
    <w:p w:rsidR="006760C1" w:rsidRPr="001402C5" w:rsidRDefault="006760C1" w:rsidP="002913F7">
      <w:pPr>
        <w:keepNext/>
        <w:jc w:val="center"/>
        <w:rPr>
          <w:b/>
          <w:iCs/>
          <w:sz w:val="20"/>
        </w:rPr>
      </w:pPr>
      <w:r w:rsidRPr="0047708A">
        <w:rPr>
          <w:b/>
          <w:sz w:val="18"/>
          <w:szCs w:val="18"/>
        </w:rPr>
        <w:t xml:space="preserve">Resumen de los avances logrados </w:t>
      </w:r>
      <w:r>
        <w:rPr>
          <w:b/>
          <w:sz w:val="18"/>
          <w:szCs w:val="18"/>
        </w:rPr>
        <w:t>por resultado previsto</w:t>
      </w:r>
    </w:p>
    <w:p w:rsidR="006760C1" w:rsidRPr="001402C5" w:rsidRDefault="006760C1" w:rsidP="006760C1">
      <w:pPr>
        <w:rPr>
          <w:sz w:val="20"/>
        </w:rPr>
      </w:pPr>
      <w:r w:rsidRPr="001402C5">
        <w:rPr>
          <w:noProof/>
          <w:sz w:val="20"/>
          <w:lang w:val="en-US" w:eastAsia="en-US"/>
        </w:rPr>
        <w:drawing>
          <wp:inline distT="0" distB="0" distL="0" distR="0" wp14:anchorId="48DB50F7" wp14:editId="20BDE34E">
            <wp:extent cx="5731510" cy="1337426"/>
            <wp:effectExtent l="0" t="0" r="2540" b="0"/>
            <wp:docPr id="837" name="Picture 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31510" cy="1337426"/>
                    </a:xfrm>
                    <a:prstGeom prst="rect">
                      <a:avLst/>
                    </a:prstGeom>
                    <a:noFill/>
                    <a:ln>
                      <a:noFill/>
                    </a:ln>
                  </pic:spPr>
                </pic:pic>
              </a:graphicData>
            </a:graphic>
          </wp:inline>
        </w:drawing>
      </w:r>
    </w:p>
    <w:p w:rsidR="006760C1" w:rsidRPr="001402C5" w:rsidRDefault="006760C1" w:rsidP="006760C1">
      <w:pPr>
        <w:rPr>
          <w:sz w:val="20"/>
        </w:rPr>
      </w:pPr>
    </w:p>
    <w:p w:rsidR="00346F22" w:rsidRPr="00346F22" w:rsidRDefault="00346F22" w:rsidP="00346F22">
      <w:pPr>
        <w:pStyle w:val="ONUMFS"/>
        <w:jc w:val="both"/>
        <w:rPr>
          <w:rFonts w:eastAsiaTheme="minorHAnsi"/>
          <w:color w:val="000000"/>
          <w:sz w:val="20"/>
        </w:rPr>
      </w:pPr>
      <w:r w:rsidRPr="00346F22">
        <w:rPr>
          <w:bCs/>
          <w:iCs/>
          <w:sz w:val="20"/>
        </w:rPr>
        <w:t xml:space="preserve">En la confluencia de varios problemas mundiales de carácter urgente relacionados entre sí, en particular la salud mundial, el cambio climático y la seguridad alimentaria, se logró un considerable avance en mejorar la comprensión de los responsables de la elaboración de políticas acerca de la relación entre los </w:t>
      </w:r>
      <w:r w:rsidRPr="00346F22">
        <w:rPr>
          <w:rFonts w:eastAsiaTheme="minorHAnsi"/>
          <w:color w:val="000000"/>
          <w:sz w:val="20"/>
        </w:rPr>
        <w:t>desafíos mundiales, la innovación y la propiedad intelectual.  En el bienio, la OMPI consolidó su posición como fuente fiable de apoyo, colaboración y referencia informativa en cuestiones relacionadas con las políticas públicas y la P.I., lo que motivó continuas solicitudes dirigidas a la Organización para contribuir y participar en foros de otras organizaciones como la OMS, la OMC, las ONG, el sector privado y las universidades.  Tras su puesta en marc</w:t>
      </w:r>
      <w:r w:rsidR="00600ABE">
        <w:rPr>
          <w:rFonts w:eastAsiaTheme="minorHAnsi"/>
          <w:color w:val="000000"/>
          <w:sz w:val="20"/>
        </w:rPr>
        <w:t>ha en noviembre de 2013, el año </w:t>
      </w:r>
      <w:r w:rsidRPr="00346F22">
        <w:rPr>
          <w:rFonts w:eastAsiaTheme="minorHAnsi"/>
          <w:color w:val="000000"/>
          <w:sz w:val="20"/>
        </w:rPr>
        <w:t>2014 supuso el primer año completo de actividad de la plataforma WIPO GREEN.  Mediante una campaña de sensibilización dirigida a destinatarios específicos, se logró potenciar considerablemente la visibilidad de WIPO GREEN.  La</w:t>
      </w:r>
      <w:r w:rsidR="004341AB">
        <w:rPr>
          <w:rFonts w:eastAsiaTheme="minorHAnsi"/>
          <w:color w:val="000000"/>
          <w:sz w:val="20"/>
        </w:rPr>
        <w:t xml:space="preserve"> alianza</w:t>
      </w:r>
      <w:r w:rsidRPr="00346F22">
        <w:rPr>
          <w:rFonts w:eastAsiaTheme="minorHAnsi"/>
          <w:color w:val="000000"/>
          <w:sz w:val="20"/>
        </w:rPr>
        <w:t xml:space="preserve"> se amplió de 36 a 54</w:t>
      </w:r>
      <w:r w:rsidR="004341AB">
        <w:rPr>
          <w:rFonts w:eastAsiaTheme="minorHAnsi"/>
          <w:color w:val="000000"/>
          <w:sz w:val="20"/>
        </w:rPr>
        <w:t xml:space="preserve"> miembros</w:t>
      </w:r>
      <w:r w:rsidRPr="00346F22">
        <w:rPr>
          <w:rFonts w:eastAsiaTheme="minorHAnsi"/>
          <w:color w:val="000000"/>
          <w:sz w:val="20"/>
        </w:rPr>
        <w:t xml:space="preserve"> en 2014, y de 54 a 65 en 2015, y el número de usuarios inscritos se triplicó, de 160 en 2013 a 490 a fines de 2015.  La base de datos de WIPO GREEN también aumentó en más del doble sus contenidos, pasando de 830 </w:t>
      </w:r>
      <w:r w:rsidR="00600ABE">
        <w:rPr>
          <w:rFonts w:eastAsiaTheme="minorHAnsi"/>
          <w:color w:val="000000"/>
          <w:sz w:val="20"/>
        </w:rPr>
        <w:t>registros en </w:t>
      </w:r>
      <w:r w:rsidRPr="00346F22">
        <w:rPr>
          <w:rFonts w:eastAsiaTheme="minorHAnsi"/>
          <w:color w:val="000000"/>
          <w:sz w:val="20"/>
        </w:rPr>
        <w:t xml:space="preserve">2013 a 2.181 en 2015, gracias a los acuerdos de integración de base de datos y las aportaciones individuales de datos.  </w:t>
      </w:r>
    </w:p>
    <w:p w:rsidR="00346F22" w:rsidRPr="00346F22" w:rsidRDefault="00346F22" w:rsidP="00346F22">
      <w:pPr>
        <w:pStyle w:val="ONUMFS"/>
        <w:jc w:val="both"/>
        <w:rPr>
          <w:color w:val="000000" w:themeColor="text1"/>
          <w:sz w:val="20"/>
        </w:rPr>
      </w:pPr>
      <w:r w:rsidRPr="00346F22">
        <w:rPr>
          <w:rFonts w:eastAsiaTheme="minorHAnsi"/>
          <w:color w:val="000000"/>
          <w:sz w:val="20"/>
        </w:rPr>
        <w:t xml:space="preserve">WIPO </w:t>
      </w:r>
      <w:proofErr w:type="spellStart"/>
      <w:r w:rsidRPr="00346F22">
        <w:rPr>
          <w:rFonts w:eastAsiaTheme="minorHAnsi"/>
          <w:color w:val="000000"/>
          <w:sz w:val="20"/>
        </w:rPr>
        <w:t>Re:Search</w:t>
      </w:r>
      <w:proofErr w:type="spellEnd"/>
      <w:r w:rsidRPr="00346F22">
        <w:rPr>
          <w:rFonts w:eastAsiaTheme="minorHAnsi"/>
          <w:color w:val="000000"/>
          <w:sz w:val="20"/>
        </w:rPr>
        <w:t xml:space="preserve"> – </w:t>
      </w:r>
      <w:r w:rsidRPr="002D601A">
        <w:rPr>
          <w:rFonts w:eastAsiaTheme="minorHAnsi"/>
          <w:i/>
          <w:color w:val="000000"/>
          <w:sz w:val="20"/>
        </w:rPr>
        <w:t xml:space="preserve">Compartir la innovación en la lucha contra las enfermedades tropicales desatendidas </w:t>
      </w:r>
      <w:r w:rsidRPr="00346F22">
        <w:rPr>
          <w:rFonts w:eastAsiaTheme="minorHAnsi"/>
          <w:color w:val="000000"/>
          <w:sz w:val="20"/>
        </w:rPr>
        <w:t>– logró un mayor</w:t>
      </w:r>
      <w:r w:rsidRPr="00346F22">
        <w:rPr>
          <w:bCs/>
          <w:sz w:val="20"/>
        </w:rPr>
        <w:t xml:space="preserve"> reconocimiento como plataforma de apoyo a la innovación, la transferencia de conocimientos y tecnología, y el fortalecimientos de capacidades relacionados con la investigación en el ámbito de las enfermedades tropicales desatendidas, la tuberculosis y el paludismo.  Se entablaron 52 colaboraciones adicionales durante el bienio entre miembros de WIPO </w:t>
      </w:r>
      <w:proofErr w:type="spellStart"/>
      <w:r w:rsidRPr="00346F22">
        <w:rPr>
          <w:bCs/>
          <w:sz w:val="20"/>
        </w:rPr>
        <w:t>Re:Search</w:t>
      </w:r>
      <w:proofErr w:type="spellEnd"/>
      <w:r w:rsidRPr="00346F22">
        <w:rPr>
          <w:bCs/>
          <w:sz w:val="20"/>
        </w:rPr>
        <w:t xml:space="preserve"> y 20 nuevos miembros, seis de ellos de países en desarrollo, lo que eleva los totales a 96 colaboraciones y 100 miembros, 22 de los cuales pro</w:t>
      </w:r>
      <w:r w:rsidR="004341AB">
        <w:rPr>
          <w:bCs/>
          <w:sz w:val="20"/>
        </w:rPr>
        <w:t>c</w:t>
      </w:r>
      <w:r w:rsidRPr="00346F22">
        <w:rPr>
          <w:bCs/>
          <w:sz w:val="20"/>
        </w:rPr>
        <w:t>e</w:t>
      </w:r>
      <w:r w:rsidR="004341AB">
        <w:rPr>
          <w:bCs/>
          <w:sz w:val="20"/>
        </w:rPr>
        <w:t>d</w:t>
      </w:r>
      <w:r w:rsidRPr="00346F22">
        <w:rPr>
          <w:bCs/>
          <w:sz w:val="20"/>
        </w:rPr>
        <w:t xml:space="preserve">en de países en desarrollo.  Además, se concretó el potencial de la plataforma para la transferencia de tecnología de países desarrollados a países en desarrollo respecto de los activos de P.I., incluidos los conocimientos especializados y la capacidad técnica, con la continuación de la concesión de licencias sabáticas a seis científicos africanos para trabajar en instituciones de investigación de otros países. </w:t>
      </w:r>
      <w:r w:rsidRPr="00346F22">
        <w:rPr>
          <w:color w:val="000000" w:themeColor="text1"/>
          <w:sz w:val="20"/>
        </w:rPr>
        <w:t xml:space="preserve"> Las licencias sabáticas, que comenzaron en el bienio anterior, fueron posibles gracias a un fondo fiduciario del Gobierno de Australia.  Cuatro de las licencias vencieron a fines de 2014.</w:t>
      </w:r>
    </w:p>
    <w:p w:rsidR="00346F22" w:rsidRPr="00346F22" w:rsidRDefault="00346F22" w:rsidP="00346F22">
      <w:pPr>
        <w:pStyle w:val="ONUMFS"/>
        <w:jc w:val="both"/>
        <w:rPr>
          <w:sz w:val="20"/>
        </w:rPr>
      </w:pPr>
      <w:r w:rsidRPr="00346F22">
        <w:rPr>
          <w:rFonts w:eastAsiaTheme="minorHAnsi"/>
          <w:color w:val="000000"/>
          <w:sz w:val="20"/>
        </w:rPr>
        <w:lastRenderedPageBreak/>
        <w:t>En 2014/2015, se organizaron tres seminarios de la OMPI sobre desafíos mundiales y se publicaron cuatro</w:t>
      </w:r>
      <w:r w:rsidRPr="00346F22">
        <w:rPr>
          <w:color w:val="000000" w:themeColor="text1"/>
          <w:sz w:val="20"/>
        </w:rPr>
        <w:t xml:space="preserve"> resúmenes sobre los desafíos mundiales y tres informes sobre desafíos mundiales, que ofrecieron una tribuna para </w:t>
      </w:r>
      <w:r w:rsidRPr="00346F22">
        <w:rPr>
          <w:rFonts w:eastAsia="Batang"/>
          <w:sz w:val="20"/>
          <w:lang w:eastAsia="ja-JP"/>
        </w:rPr>
        <w:t>que los participantes intercambiaran ideas, experiencias e información relacionadas con los tres ámbitos fundamentales</w:t>
      </w:r>
      <w:r w:rsidRPr="00346F22">
        <w:rPr>
          <w:sz w:val="20"/>
        </w:rPr>
        <w:t xml:space="preserve">. </w:t>
      </w:r>
    </w:p>
    <w:p w:rsidR="00346F22" w:rsidRPr="00346F22" w:rsidRDefault="00346F22" w:rsidP="00346F22">
      <w:pPr>
        <w:pStyle w:val="ONUMFS"/>
        <w:jc w:val="both"/>
        <w:rPr>
          <w:sz w:val="20"/>
        </w:rPr>
      </w:pPr>
      <w:r w:rsidRPr="00346F22">
        <w:rPr>
          <w:sz w:val="20"/>
        </w:rPr>
        <w:t>La cooperación trilateral con la OMS y la OMC siguió centrándose en mejorar la comprensión, entre los responsables de la elaboración de políticas, acerca de la interacción entre la salud, la P.I. y el comercio.  En noviembre de 2014 y octubre de 2015, se celebraron en Ginebra las ediciones cuarta y quinta del Simposio Trilateral, en las que se examinaron los desafíos y las oportunidades en la esfera de la innovación en materia de salud en los países de ingresos medi</w:t>
      </w:r>
      <w:r w:rsidR="004341AB">
        <w:rPr>
          <w:sz w:val="20"/>
        </w:rPr>
        <w:t>an</w:t>
      </w:r>
      <w:r w:rsidRPr="00346F22">
        <w:rPr>
          <w:sz w:val="20"/>
        </w:rPr>
        <w:t xml:space="preserve">os y las políticas públicas necesarias para asegurar que el rápido crecimiento económico contribuya al acceso y a una cobertura sanitaria universal. </w:t>
      </w:r>
    </w:p>
    <w:p w:rsidR="006760C1" w:rsidRPr="001402C5" w:rsidRDefault="006760C1" w:rsidP="006760C1">
      <w:pPr>
        <w:rPr>
          <w:b/>
          <w:iCs/>
          <w:sz w:val="20"/>
        </w:rPr>
      </w:pPr>
    </w:p>
    <w:p w:rsidR="006760C1" w:rsidRPr="001402C5" w:rsidRDefault="006760C1" w:rsidP="006760C1">
      <w:pPr>
        <w:jc w:val="center"/>
        <w:rPr>
          <w:b/>
          <w:iCs/>
          <w:sz w:val="20"/>
        </w:rPr>
      </w:pPr>
      <w:r w:rsidRPr="001402C5">
        <w:rPr>
          <w:b/>
          <w:iCs/>
          <w:sz w:val="20"/>
        </w:rPr>
        <w:t>Meta estratégica VIII:  Comunicación eficaz entre la OMPI, sus Estados miembros y todas las partes interesadas</w:t>
      </w:r>
    </w:p>
    <w:p w:rsidR="006760C1" w:rsidRDefault="006760C1" w:rsidP="006760C1">
      <w:pPr>
        <w:jc w:val="center"/>
        <w:rPr>
          <w:b/>
          <w:sz w:val="18"/>
          <w:szCs w:val="18"/>
        </w:rPr>
      </w:pPr>
      <w:r w:rsidRPr="001402C5">
        <w:rPr>
          <w:noProof/>
          <w:sz w:val="20"/>
          <w:lang w:val="en-US" w:eastAsia="en-US"/>
        </w:rPr>
        <w:drawing>
          <wp:inline distT="0" distB="0" distL="0" distR="0" wp14:anchorId="2FC5FD6E" wp14:editId="5998337C">
            <wp:extent cx="5731510" cy="2895419"/>
            <wp:effectExtent l="0" t="0" r="2540" b="635"/>
            <wp:docPr id="838" name="Picture 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31510" cy="2895419"/>
                    </a:xfrm>
                    <a:prstGeom prst="rect">
                      <a:avLst/>
                    </a:prstGeom>
                    <a:noFill/>
                    <a:ln>
                      <a:noFill/>
                    </a:ln>
                  </pic:spPr>
                </pic:pic>
              </a:graphicData>
            </a:graphic>
          </wp:inline>
        </w:drawing>
      </w:r>
    </w:p>
    <w:p w:rsidR="006760C1" w:rsidRDefault="006760C1" w:rsidP="006760C1">
      <w:pPr>
        <w:jc w:val="center"/>
        <w:rPr>
          <w:b/>
          <w:sz w:val="18"/>
          <w:szCs w:val="18"/>
        </w:rPr>
      </w:pPr>
    </w:p>
    <w:p w:rsidR="006760C1" w:rsidRPr="001402C5" w:rsidRDefault="006760C1" w:rsidP="006760C1">
      <w:pPr>
        <w:keepNext/>
        <w:keepLines/>
        <w:jc w:val="center"/>
        <w:rPr>
          <w:b/>
          <w:iCs/>
          <w:sz w:val="20"/>
        </w:rPr>
      </w:pPr>
      <w:r w:rsidRPr="0047708A">
        <w:rPr>
          <w:b/>
          <w:sz w:val="18"/>
          <w:szCs w:val="18"/>
        </w:rPr>
        <w:t xml:space="preserve">Resumen de los avances logrados </w:t>
      </w:r>
      <w:r>
        <w:rPr>
          <w:b/>
          <w:sz w:val="18"/>
          <w:szCs w:val="18"/>
        </w:rPr>
        <w:t>por resultado previsto</w:t>
      </w:r>
    </w:p>
    <w:p w:rsidR="006760C1" w:rsidRPr="001402C5" w:rsidRDefault="006760C1" w:rsidP="006760C1">
      <w:pPr>
        <w:keepNext/>
        <w:keepLines/>
        <w:rPr>
          <w:iCs/>
          <w:sz w:val="20"/>
        </w:rPr>
      </w:pPr>
      <w:r w:rsidRPr="001402C5">
        <w:rPr>
          <w:noProof/>
          <w:sz w:val="20"/>
          <w:lang w:val="en-US" w:eastAsia="en-US"/>
        </w:rPr>
        <w:drawing>
          <wp:inline distT="0" distB="0" distL="0" distR="0" wp14:anchorId="3EFC03AC" wp14:editId="6525BF57">
            <wp:extent cx="5731510" cy="2385597"/>
            <wp:effectExtent l="0" t="0" r="2540" b="0"/>
            <wp:docPr id="839" name="Picture 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31510" cy="2385597"/>
                    </a:xfrm>
                    <a:prstGeom prst="rect">
                      <a:avLst/>
                    </a:prstGeom>
                    <a:noFill/>
                    <a:ln>
                      <a:noFill/>
                    </a:ln>
                  </pic:spPr>
                </pic:pic>
              </a:graphicData>
            </a:graphic>
          </wp:inline>
        </w:drawing>
      </w:r>
    </w:p>
    <w:p w:rsidR="006760C1" w:rsidRPr="001402C5" w:rsidRDefault="006760C1" w:rsidP="006760C1">
      <w:pPr>
        <w:keepNext/>
        <w:keepLines/>
        <w:rPr>
          <w:iCs/>
          <w:sz w:val="20"/>
        </w:rPr>
      </w:pPr>
    </w:p>
    <w:p w:rsidR="00346F22" w:rsidRPr="00346F22" w:rsidRDefault="00346F22" w:rsidP="00346F22">
      <w:pPr>
        <w:pStyle w:val="ONUMFS"/>
        <w:jc w:val="both"/>
        <w:rPr>
          <w:sz w:val="20"/>
        </w:rPr>
      </w:pPr>
      <w:r w:rsidRPr="00346F22">
        <w:rPr>
          <w:sz w:val="20"/>
        </w:rPr>
        <w:t>Entre las prioridades de este objetivo figuraba seguir centrando la atención en la elaboración y difusión de contenidos pertinentes y de alto nivel, aumentar la visibilidad de la OMPI y el entendimiento público hacia sus actividades, y fortalecer la cultura orientada a la prestación de servicios en el seno de la Organización.</w:t>
      </w:r>
    </w:p>
    <w:p w:rsidR="00346F22" w:rsidRPr="00346F22" w:rsidRDefault="00346F22" w:rsidP="00346F22">
      <w:pPr>
        <w:pStyle w:val="ONUMFS"/>
        <w:jc w:val="both"/>
        <w:rPr>
          <w:sz w:val="20"/>
        </w:rPr>
      </w:pPr>
      <w:r w:rsidRPr="00346F22">
        <w:rPr>
          <w:sz w:val="20"/>
        </w:rPr>
        <w:t xml:space="preserve">El hecho de disponer de una estrategia más integrada en materia de contenidos y de medios de comunicación permitió conseguir una mayor repercusión en los medios sobre los principales eventos y </w:t>
      </w:r>
      <w:r w:rsidRPr="00346F22">
        <w:rPr>
          <w:sz w:val="20"/>
        </w:rPr>
        <w:lastRenderedPageBreak/>
        <w:t>presentaciones de productos de la OMPI.  El día de su lanzamiento en el Reino Unido, el Índice Mundial de Innovación (GII) de 2015 logró en Londres el estatus de ser uno de los temas más comentados en Twitter.  La cobertura conseguida en algunos de los medios de comunicación más influyentes del mundo ayudó a posicionar los informes emblemáticos de la OMPI en materia de P.I. (el GII; el Informe mundial sobre la propiedad intelectual; las reseñas anuales del PCT, del Sistema de Madrid y del Sistema de La Haya;  y los Indicadores mundiales de propiedad intelectual) como fuentes mundiales de referencia sobre la P.I. y la información sobre innovación.  La promoción del Informe mundial sobre la propiedad intelectual generó aproximadamente 200 artículos de prensa en la semana posterior a su publicación.  El trabajo concertado de difusión en medios de comunicación y en redes sociales para promover la Conferencia Ministerial de Dakar de 2014 generó una amplia cobertura en las radios y los medios de comunicación por Internet africanos, lo que estimuló el interés público en la P.I. y en las cuestiones relacionadas con el desarrollo.  Se publicaron sitios web en los seis idiomas dedicados a los principales eventos y se reforzaron las actividades de promoción del Consorcio de Libros Accesibles (ABC) a través de la producción de un emocionante video sobre el fortalecimiento de capacidades del consorcio en la India</w:t>
      </w:r>
      <w:r w:rsidR="000F7345">
        <w:rPr>
          <w:sz w:val="20"/>
        </w:rPr>
        <w:t>.</w:t>
      </w:r>
    </w:p>
    <w:p w:rsidR="00346F22" w:rsidRPr="00346F22" w:rsidRDefault="00346F22" w:rsidP="00346F22">
      <w:pPr>
        <w:pStyle w:val="ONUMFS"/>
        <w:jc w:val="both"/>
        <w:rPr>
          <w:sz w:val="20"/>
        </w:rPr>
      </w:pPr>
      <w:r w:rsidRPr="00346F22">
        <w:rPr>
          <w:sz w:val="20"/>
        </w:rPr>
        <w:t xml:space="preserve">La participación de los Estados miembros y el público en la campaña del Día Mundial de la P.I. alcanzó un nivel sin precedentes. En torno al lema “El cine, una pasión universal”, se organizaron más </w:t>
      </w:r>
      <w:r w:rsidR="00955456">
        <w:rPr>
          <w:sz w:val="20"/>
        </w:rPr>
        <w:t>de </w:t>
      </w:r>
      <w:r w:rsidRPr="00346F22">
        <w:rPr>
          <w:sz w:val="20"/>
        </w:rPr>
        <w:t>350 eventos en 105 países (en comparación con los 236 eventos celebrados en 93</w:t>
      </w:r>
      <w:r w:rsidRPr="00346F22">
        <w:rPr>
          <w:rStyle w:val="FootnoteReference"/>
          <w:sz w:val="20"/>
        </w:rPr>
        <w:footnoteReference w:id="7"/>
      </w:r>
      <w:r w:rsidRPr="00346F22">
        <w:rPr>
          <w:sz w:val="20"/>
        </w:rPr>
        <w:t xml:space="preserve"> países en 2013). Los </w:t>
      </w:r>
      <w:proofErr w:type="spellStart"/>
      <w:r w:rsidRPr="00346F22">
        <w:rPr>
          <w:sz w:val="20"/>
        </w:rPr>
        <w:t>tuit</w:t>
      </w:r>
      <w:r w:rsidR="007F16A3">
        <w:rPr>
          <w:sz w:val="20"/>
        </w:rPr>
        <w:t>eo</w:t>
      </w:r>
      <w:r w:rsidRPr="00346F22">
        <w:rPr>
          <w:sz w:val="20"/>
        </w:rPr>
        <w:t>s</w:t>
      </w:r>
      <w:proofErr w:type="spellEnd"/>
      <w:r w:rsidRPr="00346F22">
        <w:rPr>
          <w:sz w:val="20"/>
        </w:rPr>
        <w:t xml:space="preserve"> sobre el Día Mundial de la P.I. (#</w:t>
      </w:r>
      <w:proofErr w:type="spellStart"/>
      <w:r w:rsidRPr="00346F22">
        <w:rPr>
          <w:sz w:val="20"/>
        </w:rPr>
        <w:t>WorldIPDay</w:t>
      </w:r>
      <w:proofErr w:type="spellEnd"/>
      <w:r w:rsidRPr="00346F22">
        <w:rPr>
          <w:sz w:val="20"/>
        </w:rPr>
        <w:t xml:space="preserve">) obtuvieron 5,2 millones de impresiones potenciales (en comparación con la cifra de 1,55 millones obtenida en 2013) y consiguieron aproximadamente 900 </w:t>
      </w:r>
      <w:proofErr w:type="spellStart"/>
      <w:r w:rsidRPr="00346F22">
        <w:rPr>
          <w:sz w:val="20"/>
        </w:rPr>
        <w:t>retuit</w:t>
      </w:r>
      <w:r w:rsidR="007F16A3">
        <w:rPr>
          <w:sz w:val="20"/>
        </w:rPr>
        <w:t>eo</w:t>
      </w:r>
      <w:r w:rsidRPr="00346F22">
        <w:rPr>
          <w:sz w:val="20"/>
        </w:rPr>
        <w:t>s</w:t>
      </w:r>
      <w:proofErr w:type="spellEnd"/>
      <w:r w:rsidRPr="00346F22">
        <w:rPr>
          <w:sz w:val="20"/>
        </w:rPr>
        <w:t xml:space="preserve">.  La participación fue realmente de ámbito mundial, con más visitas </w:t>
      </w:r>
      <w:r w:rsidR="00FD069A">
        <w:rPr>
          <w:sz w:val="20"/>
        </w:rPr>
        <w:t>en </w:t>
      </w:r>
      <w:r w:rsidRPr="00346F22">
        <w:rPr>
          <w:sz w:val="20"/>
        </w:rPr>
        <w:t>2014 al sitio web en chino que a la versión inglesa, mientras que el mayor número de “me gusta” en la página de Facebook se registró, por este orden, en la India, los Estados Unidos de América, México, Egipto y Brasil.</w:t>
      </w:r>
    </w:p>
    <w:p w:rsidR="00346F22" w:rsidRPr="00CA607A" w:rsidRDefault="00346F22" w:rsidP="00346F22">
      <w:pPr>
        <w:pStyle w:val="ONUMFS"/>
        <w:jc w:val="both"/>
        <w:rPr>
          <w:sz w:val="20"/>
        </w:rPr>
      </w:pPr>
      <w:r w:rsidRPr="00CA607A">
        <w:rPr>
          <w:sz w:val="20"/>
        </w:rPr>
        <w:t>En lo que respecta a las relaciones exteriores, las Naciones Unidas y sus Estados miembros</w:t>
      </w:r>
      <w:r w:rsidRPr="00CA607A">
        <w:rPr>
          <w:color w:val="000000"/>
          <w:sz w:val="20"/>
        </w:rPr>
        <w:t xml:space="preserve"> formalizaron una serie de importantes procesos de negociación relevantes para la labor de la OMPI</w:t>
      </w:r>
      <w:r w:rsidRPr="00CA607A">
        <w:rPr>
          <w:bCs/>
          <w:sz w:val="20"/>
        </w:rPr>
        <w:t xml:space="preserve"> en el bienio 2014/15, entre otros la adopción de la Agenda de Acción de Addis Abeba</w:t>
      </w:r>
      <w:r w:rsidRPr="00CA607A">
        <w:rPr>
          <w:color w:val="000000"/>
          <w:sz w:val="20"/>
        </w:rPr>
        <w:t xml:space="preserve"> (AAAA) durante la III Conferencia Internacional sobre la Financiación para el Desarrollo;  la adopción de la resolución “Transformar nuestro mundo: la Agenda 2030 para el Desarrollo Sostenible”;  y la adopción del Acuerdo de París sobre cambio climático al amparo de la Convención Marco de la Naciones Unidas sobre el Cambio Climático (CMNUCC).</w:t>
      </w:r>
      <w:r w:rsidRPr="00CA607A">
        <w:rPr>
          <w:bCs/>
          <w:sz w:val="20"/>
        </w:rPr>
        <w:t xml:space="preserve">  En su condición de organismo especializado de las Naciones Unidas, y en sintonía con su mandato y con las recomendaciones 30 y 40 de la A.D., la OMPI siguió desempeñando la función q</w:t>
      </w:r>
      <w:r w:rsidR="00CA607A">
        <w:rPr>
          <w:bCs/>
          <w:sz w:val="20"/>
        </w:rPr>
        <w:t>ue le incumbe en el apoyo de es</w:t>
      </w:r>
      <w:r w:rsidRPr="00CA607A">
        <w:rPr>
          <w:bCs/>
          <w:sz w:val="20"/>
        </w:rPr>
        <w:t>os procesos mediante su participación estratégica y el suministro de información equilibrada y empírica, así como de respuestas oportunas a solicitudes específicas de contribuciones y cooperación</w:t>
      </w:r>
      <w:r w:rsidRPr="00CA607A">
        <w:rPr>
          <w:sz w:val="20"/>
        </w:rPr>
        <w:t>.</w:t>
      </w:r>
    </w:p>
    <w:p w:rsidR="00346F22" w:rsidRPr="00346F22" w:rsidRDefault="00346F22" w:rsidP="00346F22">
      <w:pPr>
        <w:pStyle w:val="ONUMFS"/>
        <w:jc w:val="both"/>
        <w:rPr>
          <w:sz w:val="20"/>
        </w:rPr>
      </w:pPr>
      <w:r w:rsidRPr="00346F22">
        <w:rPr>
          <w:sz w:val="20"/>
        </w:rPr>
        <w:t xml:space="preserve">La red de oficinas </w:t>
      </w:r>
      <w:r w:rsidR="00CA607A">
        <w:rPr>
          <w:sz w:val="20"/>
        </w:rPr>
        <w:t xml:space="preserve">de la OMPI </w:t>
      </w:r>
      <w:r w:rsidRPr="00346F22">
        <w:rPr>
          <w:sz w:val="20"/>
        </w:rPr>
        <w:t xml:space="preserve">en el exterior </w:t>
      </w:r>
      <w:r w:rsidR="00CA607A">
        <w:rPr>
          <w:sz w:val="20"/>
        </w:rPr>
        <w:t>es</w:t>
      </w:r>
      <w:r w:rsidRPr="00346F22">
        <w:rPr>
          <w:sz w:val="20"/>
        </w:rPr>
        <w:t xml:space="preserve"> parte integral de la Organización, con la finalidad de acercar los servicios y la cooperación de la OMPI a los Estados miembros, las partes interesadas y los asociados, en aras de una mayor eficacia en la ejecución de los programas y de responder a las necesidades y prioridades específicas de los países o regiones en los que operan. </w:t>
      </w:r>
      <w:r w:rsidR="00FD069A">
        <w:rPr>
          <w:sz w:val="20"/>
        </w:rPr>
        <w:t>En </w:t>
      </w:r>
      <w:r w:rsidRPr="00346F22">
        <w:rPr>
          <w:sz w:val="20"/>
        </w:rPr>
        <w:t>2014, la red aumentó a 5 oficinas a raíz de la apertura de las Oficinas de la OMPI en China (OOC) y en la Federación de Rusia (OOR).  En 2015, se celebró el décimo aniversario de la creación de la Oficina de la OMPI en Singapur.  Los resultados obtenidos en el bienio 2014/15 siguieron subrayando la contribución de las oficinas en el exterior en el cumplimiento del mandato de la Organización.</w:t>
      </w:r>
    </w:p>
    <w:p w:rsidR="006760C1" w:rsidRPr="001402C5" w:rsidRDefault="006760C1" w:rsidP="006760C1">
      <w:pPr>
        <w:rPr>
          <w:b/>
          <w:iCs/>
          <w:sz w:val="20"/>
        </w:rPr>
      </w:pPr>
    </w:p>
    <w:p w:rsidR="006760C1" w:rsidRPr="001402C5" w:rsidRDefault="006760C1" w:rsidP="007944F2">
      <w:pPr>
        <w:keepNext/>
        <w:jc w:val="center"/>
        <w:rPr>
          <w:b/>
          <w:iCs/>
          <w:sz w:val="20"/>
        </w:rPr>
      </w:pPr>
      <w:r w:rsidRPr="001402C5">
        <w:rPr>
          <w:b/>
          <w:iCs/>
          <w:sz w:val="20"/>
        </w:rPr>
        <w:lastRenderedPageBreak/>
        <w:t xml:space="preserve">Meta estratégica IX:  Estructura eficiente de apoyo administrativo y financiero que facilite la ejecución de los programas de la OMPI </w:t>
      </w:r>
    </w:p>
    <w:p w:rsidR="006760C1" w:rsidRPr="001402C5" w:rsidRDefault="006760C1" w:rsidP="007944F2">
      <w:pPr>
        <w:keepNext/>
        <w:jc w:val="center"/>
        <w:rPr>
          <w:noProof/>
          <w:sz w:val="20"/>
        </w:rPr>
      </w:pPr>
      <w:r w:rsidRPr="001402C5">
        <w:rPr>
          <w:noProof/>
          <w:sz w:val="20"/>
          <w:lang w:val="en-US" w:eastAsia="en-US"/>
        </w:rPr>
        <w:drawing>
          <wp:inline distT="0" distB="0" distL="0" distR="0" wp14:anchorId="742A4EFC" wp14:editId="16250658">
            <wp:extent cx="5411972" cy="2875377"/>
            <wp:effectExtent l="0" t="0" r="0" b="1270"/>
            <wp:docPr id="840" name="Picture 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412502" cy="2875658"/>
                    </a:xfrm>
                    <a:prstGeom prst="rect">
                      <a:avLst/>
                    </a:prstGeom>
                    <a:noFill/>
                    <a:ln>
                      <a:noFill/>
                    </a:ln>
                  </pic:spPr>
                </pic:pic>
              </a:graphicData>
            </a:graphic>
          </wp:inline>
        </w:drawing>
      </w:r>
    </w:p>
    <w:p w:rsidR="006760C1" w:rsidRPr="001402C5" w:rsidRDefault="006760C1" w:rsidP="007944F2">
      <w:pPr>
        <w:keepNext/>
        <w:rPr>
          <w:noProof/>
          <w:sz w:val="20"/>
        </w:rPr>
      </w:pPr>
    </w:p>
    <w:p w:rsidR="006760C1" w:rsidRPr="001402C5" w:rsidRDefault="006760C1" w:rsidP="007944F2">
      <w:pPr>
        <w:keepNext/>
        <w:jc w:val="center"/>
        <w:rPr>
          <w:b/>
          <w:iCs/>
          <w:sz w:val="20"/>
        </w:rPr>
      </w:pPr>
      <w:r w:rsidRPr="0047708A">
        <w:rPr>
          <w:b/>
          <w:sz w:val="18"/>
          <w:szCs w:val="18"/>
        </w:rPr>
        <w:t xml:space="preserve">Resumen de los avances logrados </w:t>
      </w:r>
      <w:r>
        <w:rPr>
          <w:b/>
          <w:sz w:val="18"/>
          <w:szCs w:val="18"/>
        </w:rPr>
        <w:t>por resultado previsto</w:t>
      </w:r>
    </w:p>
    <w:p w:rsidR="006760C1" w:rsidRDefault="006760C1" w:rsidP="006760C1">
      <w:pPr>
        <w:rPr>
          <w:sz w:val="20"/>
        </w:rPr>
      </w:pPr>
      <w:r w:rsidRPr="001402C5">
        <w:rPr>
          <w:noProof/>
          <w:sz w:val="20"/>
          <w:lang w:val="en-US" w:eastAsia="en-US"/>
        </w:rPr>
        <w:drawing>
          <wp:inline distT="0" distB="0" distL="0" distR="0" wp14:anchorId="25712DEB" wp14:editId="01FB62F2">
            <wp:extent cx="5731510" cy="2424481"/>
            <wp:effectExtent l="0" t="0" r="2540" b="0"/>
            <wp:docPr id="841" name="Picture 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31510" cy="2424481"/>
                    </a:xfrm>
                    <a:prstGeom prst="rect">
                      <a:avLst/>
                    </a:prstGeom>
                    <a:noFill/>
                    <a:ln>
                      <a:noFill/>
                    </a:ln>
                  </pic:spPr>
                </pic:pic>
              </a:graphicData>
            </a:graphic>
          </wp:inline>
        </w:drawing>
      </w:r>
    </w:p>
    <w:p w:rsidR="00592880" w:rsidRPr="001402C5" w:rsidRDefault="00592880" w:rsidP="006760C1">
      <w:pPr>
        <w:rPr>
          <w:sz w:val="20"/>
        </w:rPr>
      </w:pPr>
    </w:p>
    <w:p w:rsidR="00346F22" w:rsidRPr="00346F22" w:rsidRDefault="00346F22" w:rsidP="00346F22">
      <w:pPr>
        <w:pStyle w:val="ONUMFS"/>
        <w:jc w:val="both"/>
        <w:rPr>
          <w:sz w:val="20"/>
        </w:rPr>
      </w:pPr>
      <w:r w:rsidRPr="00346F22">
        <w:rPr>
          <w:sz w:val="20"/>
        </w:rPr>
        <w:t>Durante el bienio se siguió fortaleciendo la gestión de los programas y la gestión financiera con el fin de utilizar más eficazmente los recursos así como de establecer mejores prácticas en el ámbito de la administración, que atañen a la planificación, la gestión del rendimiento, la facilitación y el apoyo de diversas actividades operacionales a través de la Organización.</w:t>
      </w:r>
    </w:p>
    <w:p w:rsidR="00346F22" w:rsidRPr="00346F22" w:rsidRDefault="00346F22" w:rsidP="00346F22">
      <w:pPr>
        <w:pStyle w:val="ONUMFS"/>
        <w:jc w:val="both"/>
        <w:rPr>
          <w:rFonts w:eastAsiaTheme="minorHAnsi"/>
          <w:color w:val="000000"/>
          <w:sz w:val="20"/>
        </w:rPr>
      </w:pPr>
      <w:r w:rsidRPr="00346F22">
        <w:rPr>
          <w:rFonts w:eastAsiaTheme="minorHAnsi"/>
          <w:color w:val="000000"/>
          <w:sz w:val="20"/>
        </w:rPr>
        <w:t xml:space="preserve">A pesar de las persistentes incertidumbres económicas, la OMPI cerró el año con un resultado global positivo de 70,3 millones de francos suizos, con arreglo a las IPSAS.  Los ingresos tras los ajustes con arreglo a las IPSAS en 2014/15 totalizaron 775,7 millones de francos suizos, es decir, 62,4 millones de francos más (un 8%) con respecto a los ingresos presupuestados para el bienio.  Los gastos para el bienio ascendieron a 642,6 millones de francos suizos, es decir, 31,4 millones de francos suizos menos (un 4,7%) de lo establecido en el presupuesto aprobado para 2014/15. </w:t>
      </w:r>
    </w:p>
    <w:p w:rsidR="00346F22" w:rsidRPr="00346F22" w:rsidRDefault="00346F22" w:rsidP="00346F22">
      <w:pPr>
        <w:pStyle w:val="ONUMFS"/>
        <w:jc w:val="both"/>
        <w:rPr>
          <w:bCs/>
          <w:sz w:val="20"/>
          <w:szCs w:val="22"/>
        </w:rPr>
      </w:pPr>
      <w:r w:rsidRPr="00346F22">
        <w:rPr>
          <w:rFonts w:eastAsiaTheme="minorHAnsi"/>
          <w:color w:val="000000"/>
          <w:sz w:val="20"/>
        </w:rPr>
        <w:t>El estudio exhaustivo de las prácticas y riesgos de tesorería de la OMPI, emprendido en 2013, se terminó de realizar en la primavera de 2014, dando lugar a una serie de recomendaciones, entre las que figuraba el empleo de instrumentos de cobertura como medio de reducir la exposición a las fluctuaciones de los tipos de cambio en el PCT.  En 2015, se llevó a cabo un examen exhaustivo de la estrategia propuesta de cobertura de los ingresos que incluye la decisión final de crear un modelo de simulación de los efectos de</w:t>
      </w:r>
      <w:r w:rsidRPr="00346F22">
        <w:rPr>
          <w:bCs/>
          <w:sz w:val="20"/>
          <w:szCs w:val="22"/>
        </w:rPr>
        <w:t xml:space="preserve"> esta cobertura en los resultados del bienio 2014/15 y del año 2016.  Tras investigar extensamente en diversos bancos e instituciones financieras y estudiar las muchas políticas de inversiones operativas en el sistema de las Naciones Unidas, los Estados miembros prepararon y aprobaron en 2015 una nueva política de inversiones para la Organización.  </w:t>
      </w:r>
    </w:p>
    <w:p w:rsidR="00346F22" w:rsidRPr="00346F22" w:rsidRDefault="00346F22" w:rsidP="00346F22">
      <w:pPr>
        <w:pStyle w:val="ONUMFS"/>
        <w:jc w:val="both"/>
        <w:rPr>
          <w:sz w:val="20"/>
        </w:rPr>
      </w:pPr>
      <w:r w:rsidRPr="00346F22">
        <w:rPr>
          <w:sz w:val="20"/>
        </w:rPr>
        <w:lastRenderedPageBreak/>
        <w:t xml:space="preserve">En el bienio se lograron positivos avances con respecto a seguir arraigando una cultura basada en los resultados y en el fortalecimiento del ciclo de gestión del rendimiento de la OMPI.  Se siguieron reforzando los procesos bienales y anuales de planificación del trabajo.  En 2014, se introdujo la planificación </w:t>
      </w:r>
      <w:r w:rsidR="005B7A99">
        <w:rPr>
          <w:sz w:val="20"/>
        </w:rPr>
        <w:t>a nivel d</w:t>
      </w:r>
      <w:r w:rsidRPr="00346F22">
        <w:rPr>
          <w:sz w:val="20"/>
        </w:rPr>
        <w:t xml:space="preserve">e </w:t>
      </w:r>
      <w:r w:rsidR="005B7A99">
        <w:rPr>
          <w:sz w:val="20"/>
        </w:rPr>
        <w:t>cada puesto</w:t>
      </w:r>
      <w:r w:rsidRPr="00346F22">
        <w:rPr>
          <w:sz w:val="20"/>
        </w:rPr>
        <w:t>, intensificando los vínculos entre los resultados previstos para cada uno de los programas y los objetivos de cada miembro del personal, lo que aumentó la transparencia y la precisión en cuanto a la asignación y utilización de recursos relativos a personal.</w:t>
      </w:r>
    </w:p>
    <w:p w:rsidR="00346F22" w:rsidRPr="00346F22" w:rsidRDefault="00346F22" w:rsidP="00346F22">
      <w:pPr>
        <w:pStyle w:val="ONUMFS"/>
        <w:jc w:val="both"/>
        <w:rPr>
          <w:sz w:val="20"/>
        </w:rPr>
      </w:pPr>
      <w:r w:rsidRPr="00346F22">
        <w:rPr>
          <w:bCs/>
          <w:sz w:val="20"/>
        </w:rPr>
        <w:t xml:space="preserve">La integración aún mayor de los componentes del sistema de PRI en 2014/15 también contribuyó a mejorar la presentación de informes y las herramientas analíticas.  </w:t>
      </w:r>
      <w:r w:rsidRPr="00346F22">
        <w:rPr>
          <w:sz w:val="20"/>
        </w:rPr>
        <w:t xml:space="preserve">Por primera vez en 2014, se integraron los sistemas de planificación de la gestión del rendimiento institucional y los componentes financieros del sistema automatizado de gestión de la información (AIMS), lo que facilitó la presentación de informes comparativos entre el presupuesto y los gastos reales.  </w:t>
      </w:r>
      <w:r w:rsidRPr="00346F22">
        <w:rPr>
          <w:bCs/>
          <w:sz w:val="20"/>
        </w:rPr>
        <w:t>Además, en enero de 2014, comenzó a funcionar el sistema de g</w:t>
      </w:r>
      <w:r w:rsidRPr="00346F22">
        <w:rPr>
          <w:sz w:val="20"/>
        </w:rPr>
        <w:t>estión de los recursos humanos y de las nóminas</w:t>
      </w:r>
      <w:r w:rsidRPr="00346F22">
        <w:rPr>
          <w:bCs/>
          <w:sz w:val="20"/>
        </w:rPr>
        <w:t xml:space="preserve"> en el marco de la PRI y, en abril, se completó la integración con el sistema de gestión del rendimiento institucional, mejorando considerablemente la capacidad de gestión de los cargos.  E</w:t>
      </w:r>
      <w:r w:rsidRPr="00346F22">
        <w:rPr>
          <w:bCs/>
          <w:sz w:val="20"/>
          <w:szCs w:val="24"/>
        </w:rPr>
        <w:t>l módulo de inteligencia institucional evolucionó durante el bienio, con la creación y la puesta en marcha inicial en 2014 de tableros de control en los principales sectores administrativos (gestión de recursos humanos, adquisiciones y viajes, y planificación de programas y finanzas), y en el</w:t>
      </w:r>
      <w:r w:rsidR="00592880">
        <w:rPr>
          <w:bCs/>
          <w:sz w:val="20"/>
          <w:szCs w:val="24"/>
        </w:rPr>
        <w:t xml:space="preserve"> conjunto de la organización en </w:t>
      </w:r>
      <w:r w:rsidRPr="00346F22">
        <w:rPr>
          <w:bCs/>
          <w:sz w:val="20"/>
          <w:szCs w:val="24"/>
        </w:rPr>
        <w:t>2015. También en 2015, se creó y se puso en marcha un tablero de control sobre gestión de los riesgos.</w:t>
      </w:r>
    </w:p>
    <w:p w:rsidR="00346F22" w:rsidRPr="00346F22" w:rsidRDefault="00346F22" w:rsidP="00346F22">
      <w:pPr>
        <w:pStyle w:val="ONUMFS"/>
        <w:jc w:val="both"/>
        <w:rPr>
          <w:sz w:val="20"/>
        </w:rPr>
      </w:pPr>
      <w:r w:rsidRPr="00346F22">
        <w:rPr>
          <w:bCs/>
          <w:sz w:val="20"/>
          <w:szCs w:val="22"/>
        </w:rPr>
        <w:t xml:space="preserve">En consonancia con la hoja de ruta de gestión de riesgos, se elaboró un marco formal y coherente de gestión de riesgos y control interno para la Organización, que incluye </w:t>
      </w:r>
      <w:r w:rsidRPr="00346F22">
        <w:rPr>
          <w:sz w:val="20"/>
        </w:rPr>
        <w:t>el marco de rendición de cuentas de la OMPI, la declaración de apetito de riesgo de la OMPI, el establecimiento del Grupo de Gestión de Riesgos de la OMPI (RMG), la publicación de la política de gestión de riesgos, y la elaboración de un manual de gestión de riesgos y control interno.</w:t>
      </w:r>
    </w:p>
    <w:p w:rsidR="00346F22" w:rsidRPr="00346F22" w:rsidRDefault="00346F22" w:rsidP="00346F22">
      <w:pPr>
        <w:pStyle w:val="ONUMFS"/>
        <w:jc w:val="both"/>
        <w:rPr>
          <w:bCs/>
          <w:sz w:val="20"/>
          <w:szCs w:val="22"/>
        </w:rPr>
      </w:pPr>
      <w:r w:rsidRPr="00346F22">
        <w:rPr>
          <w:bCs/>
          <w:sz w:val="20"/>
          <w:szCs w:val="22"/>
        </w:rPr>
        <w:t>A fin de facilitar el acceso en tiempo real a información sobre riesgos y control, de prestar apoyo en materia de gestión proactiva de los riesgos y el control, y de ofrecer respuestas eficaces a los órganos de auditoria, en el segundo semestre de 2014 se creó una herramienta de gestión del riesgo institucional que se utilizó para apoyar el ejercicio de planificación del trabajo de 2015 y el pro</w:t>
      </w:r>
      <w:r w:rsidR="005B7A99">
        <w:rPr>
          <w:bCs/>
          <w:sz w:val="20"/>
          <w:szCs w:val="22"/>
        </w:rPr>
        <w:t>ceso del presupuesto por programas</w:t>
      </w:r>
      <w:r w:rsidRPr="00346F22">
        <w:rPr>
          <w:bCs/>
          <w:sz w:val="20"/>
          <w:szCs w:val="22"/>
        </w:rPr>
        <w:t xml:space="preserve"> de 2016/17.</w:t>
      </w:r>
    </w:p>
    <w:p w:rsidR="00346F22" w:rsidRPr="00346F22" w:rsidRDefault="00346F22" w:rsidP="00346F22">
      <w:pPr>
        <w:pStyle w:val="ONUMFS"/>
        <w:jc w:val="both"/>
        <w:rPr>
          <w:sz w:val="20"/>
        </w:rPr>
      </w:pPr>
      <w:r w:rsidRPr="00346F22">
        <w:rPr>
          <w:sz w:val="20"/>
        </w:rPr>
        <w:t>El bienio 2014/15 fue el primero en el que se aplicó la estrategia de recursos humanos aprobada por los Estados miembros en 2013.  También se siguió avanzando en la incorporación a las actividades de la Organización del diseño orgánico y la planificación de los recursos humanos, de suerte que queden plenamente integradas como actividades institucionales clave.  Entre los logros del bienio cabe señalar:  i) un mayor compromiso de los directivos en la planificación de los recursos humanos mediante la celebración de talleres introductorios y la elaboración de directrices conexas;  ii) la elaboración de planes de acción de recursos humanos de 2014/15 para cada</w:t>
      </w:r>
      <w:r w:rsidR="00C9083C">
        <w:rPr>
          <w:sz w:val="20"/>
        </w:rPr>
        <w:t xml:space="preserve"> unidad orgánica</w:t>
      </w:r>
      <w:r w:rsidRPr="00346F22">
        <w:rPr>
          <w:sz w:val="20"/>
        </w:rPr>
        <w:t xml:space="preserve"> a fin de determinar las medidas clave en materia de recursos humanos destinadas a satisfacer las necesidades institucionales;  iii) un ejercicio en el conjunto de la Organización para actualizar todas las descripciones de los puestos, asegurando que reflejan con precisión las prioridades institucionales;  y iv) una mayor y más sistemática armonización entre las descripciones de los puestos y los planes anuales de trabajo.  Como parte del ejercicio de planificación de los recursos humanos, se alentó a los directivos a examinar la combinación de recursos más adecuada para atender eficazmente sus necesidade</w:t>
      </w:r>
      <w:r w:rsidR="00C9083C">
        <w:rPr>
          <w:sz w:val="20"/>
        </w:rPr>
        <w:t>s operativas</w:t>
      </w:r>
      <w:r w:rsidRPr="00346F22">
        <w:rPr>
          <w:sz w:val="20"/>
        </w:rPr>
        <w:t>.</w:t>
      </w:r>
    </w:p>
    <w:p w:rsidR="00346F22" w:rsidRPr="00346F22" w:rsidRDefault="00346F22" w:rsidP="00346F22">
      <w:pPr>
        <w:pStyle w:val="ONUMFS"/>
        <w:jc w:val="both"/>
        <w:rPr>
          <w:sz w:val="20"/>
        </w:rPr>
      </w:pPr>
      <w:r w:rsidRPr="00346F22">
        <w:rPr>
          <w:sz w:val="20"/>
        </w:rPr>
        <w:t>En 2014, la OMPI publicó su primera Política sobre igualdad de género, con la doble finalidad de integrar la perspectiva de género en las actividades de la Organización y de establecer el objetivo, con un plazo concreto, de lograr el equilibrio de género entre los miembros del personal a todos los niveles.  Si bien el porcentaje de mujeres en el nivel P4 (46,1%) supuso un incremento de 2,7 puntos porcentuales con respecto a la base de referencia de 2013, lo que supone alcanzar plenamente el objetivo, la consecución de los objetivos de equilibrio de género en los niveles de mayor responsabilidad ejecutiva sigue siendo un reto.  Los nuevos nombramientos de mujeres en los niveles P5 y D1 evitaron que se ampliaran las diferencias por razón de sexo tras la salida de varias funcionarias que ocupaban puestos en esos niveles, si bien el número de mujeres en el nivel D2 disminuyó un 11,1</w:t>
      </w:r>
      <w:r w:rsidR="00592880">
        <w:rPr>
          <w:sz w:val="20"/>
        </w:rPr>
        <w:t>% con respecto a </w:t>
      </w:r>
      <w:r w:rsidRPr="00346F22">
        <w:rPr>
          <w:sz w:val="20"/>
        </w:rPr>
        <w:t xml:space="preserve">2013.  Los porcentajes de representación femenina fueron, no obstante, los más altos en la historia de la OMPI.  En consecuencia, se creó una red de coordinadores en cuestiones de género que abarca todos los programas de la OMPI, y la Organización se unió a la red </w:t>
      </w:r>
      <w:r w:rsidRPr="00346F22">
        <w:rPr>
          <w:i/>
          <w:sz w:val="20"/>
        </w:rPr>
        <w:t>Geneva Champions</w:t>
      </w:r>
      <w:r w:rsidRPr="00346F22">
        <w:rPr>
          <w:sz w:val="20"/>
        </w:rPr>
        <w:t xml:space="preserve"> en su compromiso colectivo de promocionar a las mujeres en el lugar de trabajo.</w:t>
      </w:r>
    </w:p>
    <w:p w:rsidR="00346F22" w:rsidRPr="00346F22" w:rsidRDefault="00346F22" w:rsidP="00346F22">
      <w:pPr>
        <w:pStyle w:val="ONUMFS"/>
        <w:jc w:val="both"/>
        <w:rPr>
          <w:sz w:val="20"/>
        </w:rPr>
      </w:pPr>
      <w:r w:rsidRPr="00346F22">
        <w:rPr>
          <w:sz w:val="20"/>
        </w:rPr>
        <w:lastRenderedPageBreak/>
        <w:t xml:space="preserve">En 2014 se llevó a término el proceso de regularización de empleados temporales con muchos años de servicio, en cuyo marco se regularizó ese mismo año la situación de 31 empleados de este tipo como consecuencia de un concurso.  Además, se anunciaron 40 puestos de plazo fijo para la regularización de funciones de naturaleza permanente durante el bienio (17 en 2014 y 23 en 2015), 30 de los cuales fueron cubiertos a fines de 2015.  El bienio siguió siendo testigo de un nivel significativo de actividad de contratación, lo que resultó en una </w:t>
      </w:r>
      <w:r w:rsidR="00B86C7F">
        <w:rPr>
          <w:sz w:val="20"/>
        </w:rPr>
        <w:t>disminución</w:t>
      </w:r>
      <w:r w:rsidRPr="00346F22">
        <w:rPr>
          <w:sz w:val="20"/>
        </w:rPr>
        <w:t xml:space="preserve"> del tiempo promedio en el proceso de contratación a 19,77 semanas, frente a las 16,03 semanas de 2012/13.  Durante el bienio hubo un total de 255 concursos (183 para puestos de plazo fijo, lo que supone un incremento del 29% con respecto a 2012/13, y 72 para puestos temporales).  En total, se recibieron 30.320 </w:t>
      </w:r>
      <w:r w:rsidR="00B86C7F">
        <w:rPr>
          <w:sz w:val="20"/>
        </w:rPr>
        <w:t>candidaturas</w:t>
      </w:r>
      <w:r w:rsidRPr="00346F22">
        <w:rPr>
          <w:sz w:val="20"/>
        </w:rPr>
        <w:t xml:space="preserve">.  También continuaron los procesos de modernización de los sistemas y los procedimientos del Departamento de Gestión de los Recursos Humanos.  En 2015, </w:t>
      </w:r>
      <w:r w:rsidR="00B86C7F">
        <w:rPr>
          <w:sz w:val="20"/>
        </w:rPr>
        <w:t>comenzó</w:t>
      </w:r>
      <w:r w:rsidRPr="00346F22">
        <w:rPr>
          <w:sz w:val="20"/>
        </w:rPr>
        <w:t xml:space="preserve"> la creación de una nueva plataforma integral de contratación (utilizando </w:t>
      </w:r>
      <w:proofErr w:type="spellStart"/>
      <w:r w:rsidRPr="00346F22">
        <w:rPr>
          <w:sz w:val="20"/>
        </w:rPr>
        <w:t>Taleo</w:t>
      </w:r>
      <w:proofErr w:type="spellEnd"/>
      <w:r w:rsidRPr="00346F22">
        <w:rPr>
          <w:sz w:val="20"/>
        </w:rPr>
        <w:t>), que previsiblemente mejorará la eficiencia del proceso de contratación</w:t>
      </w:r>
      <w:r w:rsidR="000D43F6">
        <w:rPr>
          <w:sz w:val="20"/>
        </w:rPr>
        <w:t>.</w:t>
      </w:r>
    </w:p>
    <w:p w:rsidR="00346F22" w:rsidRPr="00346F22" w:rsidRDefault="00346F22" w:rsidP="00346F22">
      <w:pPr>
        <w:pStyle w:val="ONUMFS"/>
        <w:jc w:val="both"/>
        <w:rPr>
          <w:sz w:val="20"/>
        </w:rPr>
      </w:pPr>
      <w:r w:rsidRPr="00346F22">
        <w:rPr>
          <w:sz w:val="20"/>
        </w:rPr>
        <w:t>En 2014/15, se realizaron sólidos progresos para alcanzar las metas fijadas en el ámbito de las compras y los viajes a través de una serie de medidas que tienen como finalidad optimizar el costo de los productos y servicios adquiridos por la OMPI y simplificar sus procesos, dando lugar a un ahorro global de 3,8 millones de francos suizos en 2015 y de 2,6 millones de francos suizos en 2014.  En lo que respecta a los gastos de viajes, el precio medio del billete se redujo en un 14% en 2015 hasta los 1.484 francos suizos, frente a los 1.728 francos suizos en 2013, lo que implica un ahorro importante en el conjunto del bienio.  Desde la puesta en marcha de la nueva herramienta de reservas por Internet (OBT</w:t>
      </w:r>
      <w:r w:rsidR="00B86C7F">
        <w:rPr>
          <w:sz w:val="20"/>
        </w:rPr>
        <w:t xml:space="preserve">, siglas de </w:t>
      </w:r>
      <w:r w:rsidR="00B86C7F" w:rsidRPr="00B86C7F">
        <w:rPr>
          <w:i/>
          <w:sz w:val="20"/>
        </w:rPr>
        <w:t xml:space="preserve">Online </w:t>
      </w:r>
      <w:proofErr w:type="spellStart"/>
      <w:r w:rsidR="00B86C7F" w:rsidRPr="00B86C7F">
        <w:rPr>
          <w:i/>
          <w:sz w:val="20"/>
        </w:rPr>
        <w:t>Booking</w:t>
      </w:r>
      <w:proofErr w:type="spellEnd"/>
      <w:r w:rsidR="00B86C7F" w:rsidRPr="00B86C7F">
        <w:rPr>
          <w:i/>
          <w:sz w:val="20"/>
        </w:rPr>
        <w:t xml:space="preserve"> </w:t>
      </w:r>
      <w:proofErr w:type="spellStart"/>
      <w:r w:rsidR="00B86C7F" w:rsidRPr="00B86C7F">
        <w:rPr>
          <w:i/>
          <w:sz w:val="20"/>
        </w:rPr>
        <w:t>Tool</w:t>
      </w:r>
      <w:proofErr w:type="spellEnd"/>
      <w:r w:rsidRPr="00346F22">
        <w:rPr>
          <w:sz w:val="20"/>
        </w:rPr>
        <w:t xml:space="preserve">) en diciembre de 2014, la comisión promedio por transacción también disminuyó en un 20% pese al incremento de la comisión de agencia </w:t>
      </w:r>
      <w:r w:rsidR="00B86C7F">
        <w:rPr>
          <w:sz w:val="20"/>
        </w:rPr>
        <w:t>generada tras</w:t>
      </w:r>
      <w:r w:rsidRPr="00346F22">
        <w:rPr>
          <w:sz w:val="20"/>
        </w:rPr>
        <w:t xml:space="preserve"> el cambio de proveedor.  Cabe señalar también que se realizaron esfuerzos considerables para reducir los gastos de viaje durante el bienio, con lo que disminuyó el número de billetes emitidos y el número de casos de presentación tardía de solicitudes de viaje.  Mediante la estrecha supervisión de los procesos administrativos, el tiempo medio de tramitación de las solicitudes de compra se redujo a la mitad en los últimos cinco años, dando lugar a una mayor eficiencia y agilidad en la adquisición de productos y servicios.  También es reseñable que el porcentaje de productos y servicios suministrados localmente para las actividades relacionadas con el desarrollo aumentó hasta</w:t>
      </w:r>
      <w:r w:rsidR="00B86C7F">
        <w:rPr>
          <w:sz w:val="20"/>
        </w:rPr>
        <w:t xml:space="preserve"> situarse en</w:t>
      </w:r>
      <w:r w:rsidRPr="00346F22">
        <w:rPr>
          <w:sz w:val="20"/>
        </w:rPr>
        <w:t xml:space="preserve"> el 57% del total en 2015, un incremento del 9% con respecto a 2013 y del 12% con respecto a 2014.</w:t>
      </w:r>
    </w:p>
    <w:p w:rsidR="00346F22" w:rsidRPr="00346F22" w:rsidRDefault="00346F22" w:rsidP="00346F22">
      <w:pPr>
        <w:pStyle w:val="ONUMFS"/>
        <w:jc w:val="both"/>
        <w:rPr>
          <w:sz w:val="20"/>
        </w:rPr>
      </w:pPr>
      <w:r w:rsidRPr="00346F22">
        <w:rPr>
          <w:sz w:val="20"/>
        </w:rPr>
        <w:t xml:space="preserve">En cuanto a las mejoras en las TIC, en 2014/15 se alcanzaron varios logros concretos:  una revisión de los contratos por servicios y de los procesos operativos para procurar operaciones más económicas, dando lugar a un ahorro de aproximadamente 460.000 francos suizos con respecto  a 2013;  la creación y puesta a prueba con éxito de un mecanismo de alto nivel de recuperación en caso de desastre en relación con las TIC, que presta servicio al sistema del PCT;  la finalización de la infraestructura de las TIC para la nueva sala de conferencias de la OMPI en el plazo previsto para acoger la vigesimosegunda sesión del </w:t>
      </w:r>
      <w:r w:rsidRPr="00346F22">
        <w:rPr>
          <w:bCs/>
          <w:sz w:val="20"/>
        </w:rPr>
        <w:t>PBC y la quincuagésimo cuarta serie de reuniones de las Asambleas de los Estados miembros de la OMPI</w:t>
      </w:r>
      <w:r w:rsidRPr="00346F22">
        <w:rPr>
          <w:sz w:val="20"/>
        </w:rPr>
        <w:t>;  un nuevo proyecto general de arquitectura de oficinas para procurar a las oficinas de la OMPI en el exterior un acceso seguro a todos los sistemas administrativos de T.I. ubicados en la sede central de la Organización, así como de servicios de T.I. centralizados y coherentes;  e</w:t>
      </w:r>
      <w:r w:rsidRPr="00346F22">
        <w:rPr>
          <w:bCs/>
          <w:sz w:val="20"/>
        </w:rPr>
        <w:t>l establecimiento de acuerdos de prestación de servicios para determinar explícitamente las necesidades en materia de TIC de sectores de actividad concretos y asegurar igualmente un seguimiento y supervisión más sistemáticos</w:t>
      </w:r>
      <w:r w:rsidRPr="00346F22">
        <w:rPr>
          <w:sz w:val="20"/>
        </w:rPr>
        <w:t>;  y la implantación de un sistema avanzado de fax que se integre con fluidez con los sistemas informáticos de Madrid, así como con los sistemas administrativos internos, dando lugar a una mayor eficiencia y a una reducción significativa de los índices de error en l</w:t>
      </w:r>
      <w:r w:rsidR="00B86C7F">
        <w:rPr>
          <w:sz w:val="20"/>
        </w:rPr>
        <w:t>as transmisiones por</w:t>
      </w:r>
      <w:r w:rsidRPr="00346F22">
        <w:rPr>
          <w:sz w:val="20"/>
        </w:rPr>
        <w:t xml:space="preserve"> fax.</w:t>
      </w:r>
    </w:p>
    <w:p w:rsidR="00346F22" w:rsidRPr="00346F22" w:rsidRDefault="00346F22" w:rsidP="00346F22">
      <w:pPr>
        <w:pStyle w:val="ONUMFS"/>
        <w:jc w:val="both"/>
        <w:rPr>
          <w:sz w:val="20"/>
        </w:rPr>
      </w:pPr>
      <w:r w:rsidRPr="00346F22">
        <w:rPr>
          <w:sz w:val="20"/>
        </w:rPr>
        <w:t xml:space="preserve">En el campo del aseguramiento de la información, como parte del proceso de mejora constante promovido por la Norma ISO 27001, el PCT se sometió en octubre de 2014 a una segunda ronda de auditorías de seguimiento externas para obtener la certificación ISO 27001, y al mismo </w:t>
      </w:r>
      <w:r w:rsidR="00AC0166">
        <w:rPr>
          <w:sz w:val="20"/>
        </w:rPr>
        <w:t xml:space="preserve">tiempo </w:t>
      </w:r>
      <w:r w:rsidRPr="00346F22">
        <w:rPr>
          <w:sz w:val="20"/>
        </w:rPr>
        <w:t xml:space="preserve">migró la certificación de la versión de 2005 a la más reciente ISO 27001:2013.  En octubre de 2015, la certificación se amplió para incluir las operaciones el Sistema de Madrid y del Sistema de La Haya, además de las del PCT.  Las campañas de simulación de estafas por suplantación de identidad o </w:t>
      </w:r>
      <w:proofErr w:type="spellStart"/>
      <w:r w:rsidRPr="00346F22">
        <w:rPr>
          <w:i/>
          <w:sz w:val="20"/>
        </w:rPr>
        <w:t>phishing</w:t>
      </w:r>
      <w:proofErr w:type="spellEnd"/>
      <w:r w:rsidRPr="00346F22">
        <w:rPr>
          <w:sz w:val="20"/>
        </w:rPr>
        <w:t xml:space="preserve">, que se pusieron en práctica por primera vez en 2014, siguieron sensibilizando a los usuarios sobre las amenazas contra la seguridad de la información, como evidenció el marcado aumento de usuarios que denunciaron esta práctica (del 1% en 2014 al 59% en 2015), así como por el descenso en un 10% en el número de usuarios que “picaron” en las campañas de sensibilización contra el </w:t>
      </w:r>
      <w:proofErr w:type="spellStart"/>
      <w:r w:rsidRPr="00346F22">
        <w:rPr>
          <w:i/>
          <w:sz w:val="20"/>
        </w:rPr>
        <w:t>phishing</w:t>
      </w:r>
      <w:proofErr w:type="spellEnd"/>
      <w:r w:rsidRPr="00346F22">
        <w:rPr>
          <w:sz w:val="20"/>
        </w:rPr>
        <w:t xml:space="preserve"> (de un promedio del 17% en 2014 a un promedio del 7% en 2015).</w:t>
      </w:r>
    </w:p>
    <w:p w:rsidR="00346F22" w:rsidRPr="00346F22" w:rsidRDefault="00346F22" w:rsidP="00346F22">
      <w:pPr>
        <w:pStyle w:val="ONUMFS"/>
        <w:jc w:val="both"/>
        <w:rPr>
          <w:bCs/>
          <w:sz w:val="20"/>
        </w:rPr>
      </w:pPr>
      <w:r w:rsidRPr="00346F22">
        <w:rPr>
          <w:sz w:val="20"/>
        </w:rPr>
        <w:t xml:space="preserve">Se siguió aplicando eficazmente la Política lingüística de la OMPI al ampliar la cobertura </w:t>
      </w:r>
      <w:r w:rsidR="00AC0166">
        <w:rPr>
          <w:sz w:val="20"/>
        </w:rPr>
        <w:t>de</w:t>
      </w:r>
      <w:r w:rsidRPr="00346F22">
        <w:rPr>
          <w:sz w:val="20"/>
        </w:rPr>
        <w:t xml:space="preserve"> seis idiomas a los grupos de trabajo, con un enfoque gradual y eficaz en función de los costos.  De </w:t>
      </w:r>
      <w:r w:rsidRPr="00346F22">
        <w:rPr>
          <w:sz w:val="20"/>
        </w:rPr>
        <w:lastRenderedPageBreak/>
        <w:t xml:space="preserve">conformidad con el calendario establecido por los Estados miembros, la cobertura se amplió en 2014/15 a:  i) el Grupo de Trabajo del PCT;  ii) el Grupo de Trabajo sobre el Desarrollo Jurídico del Sistema de La Haya para el Registro Internacional de Dibujos y Modelos Industriales;  iii) el Grupo de Trabajo sobre el Desarrollo Jurídico del Sistema de Madrid para el Registro Internacional de Marcas;  y </w:t>
      </w:r>
      <w:r w:rsidRPr="00346F22">
        <w:rPr>
          <w:bCs/>
          <w:sz w:val="20"/>
        </w:rPr>
        <w:t xml:space="preserve">iv) el Grupo de Trabajo sobre la Revisión de la CIP. </w:t>
      </w:r>
    </w:p>
    <w:p w:rsidR="00346F22" w:rsidRPr="00346F22" w:rsidRDefault="00346F22" w:rsidP="00346F22">
      <w:pPr>
        <w:pStyle w:val="ONUMFS"/>
        <w:jc w:val="both"/>
        <w:rPr>
          <w:sz w:val="20"/>
        </w:rPr>
      </w:pPr>
      <w:r w:rsidRPr="00346F22">
        <w:rPr>
          <w:sz w:val="20"/>
        </w:rPr>
        <w:t>Un logro reseñable en 2014 fue la inauguración de la nueva sala de conferencias de la OMPI. El proyecto se entregó en varias etapas y se realizaron en paralelo diversas pruebas técnicas y de los sistemas, zona por zona.  El nuevo Centro de Acceso se entregó en julio de 2014 y los elementos paisajísticos exteriores situados entre el nuevo edificio, la nueva sala de conferencias de la OMPI y el edificio AB se entregaron a finales de agosto de 2014.  La nueva sala de conferencias de la OMPI fue entregada a finales de agosto y estuvo disponible para celebrar la sesión del P</w:t>
      </w:r>
      <w:r w:rsidR="00AC0166">
        <w:rPr>
          <w:sz w:val="20"/>
        </w:rPr>
        <w:t>B</w:t>
      </w:r>
      <w:r w:rsidRPr="00346F22">
        <w:rPr>
          <w:sz w:val="20"/>
        </w:rPr>
        <w:t>C del 1 al 5 de septiembre de 2014.  En septiembre de 2014, se terminaron todas las obras de construcción y renovación en la nueva sala de conferencias de la OMPI y en tres plantas del edificio AB, quedando disponible para la celebración de las reuniones de las Asambleas de la OMPI del 22 al 30 de septiembre de 2014, lo que incluyó la inauguración de la nueva sala de conferencias el día de la apertura de las reuniones, en presencia de los Estados miembros de la OMPI y los observadores, de funcionarios del país anfitrión (de nivel federal, cantonal y municipal), de representantes de otros organismos de las Naciones Unidas, y de unas 70 empresas y entidades que habían contribuido a la construcción y finalización del proyecto.  Durante 2015, se trabajó en una serie de elementos de los componentes paisajísticos exteriores.  El proyecto se concluyó a tiempo para las Asambleas de la OMPI, a pesar de que se retrasó de abril a septiembre de 2014 debido a la complejidad de la obra, especialmente en los últimos meses.</w:t>
      </w:r>
    </w:p>
    <w:p w:rsidR="00346F22" w:rsidRPr="00346F22" w:rsidRDefault="00346F22" w:rsidP="00346F22">
      <w:pPr>
        <w:pStyle w:val="ONUMFS"/>
        <w:jc w:val="both"/>
        <w:rPr>
          <w:bCs/>
          <w:sz w:val="20"/>
        </w:rPr>
      </w:pPr>
      <w:r w:rsidRPr="00346F22">
        <w:rPr>
          <w:sz w:val="20"/>
        </w:rPr>
        <w:t>En el bienio 2014/15 también se consiguió finalizar e impulsar algunos logros importantes en materia de seguridad</w:t>
      </w:r>
      <w:r w:rsidRPr="00346F22">
        <w:rPr>
          <w:bCs/>
          <w:sz w:val="20"/>
        </w:rPr>
        <w:t xml:space="preserve"> y vigilancia, entre los que destacó la apertura del nuevo Centro de Acceso de la OMPI (recepción AB) y del Centro de Operaciones de Coordinación en materia de Seguridad (SCOC) en el plazo previsto para brindar un apoyo eficaz a la celebración de la vigesimosegunda sesión del PBC y de las Asambleas de los Estados miembros de la OMPI en 2014, así como a más de 200 conferencias y eventos en 2015 con presencia de empleados, delegados, visitantes y público.  Además, el proyecto de normas mínimas operativas de seguridad para las sedes de Naciones Unidas se completó en 2015, introduciendo mejoras que han reforzado significativamente la gestión de la seguridad y la vigilancia en todo el recinto de la OMPI.</w:t>
      </w:r>
    </w:p>
    <w:p w:rsidR="006760C1" w:rsidRPr="001402C5" w:rsidRDefault="006760C1" w:rsidP="006760C1">
      <w:pPr>
        <w:rPr>
          <w:sz w:val="20"/>
        </w:rPr>
      </w:pPr>
    </w:p>
    <w:p w:rsidR="006760C1" w:rsidRPr="00537605" w:rsidRDefault="006760C1" w:rsidP="006760C1"/>
    <w:p w:rsidR="006760C1" w:rsidRPr="00537605" w:rsidRDefault="006760C1" w:rsidP="006760C1"/>
    <w:p w:rsidR="006760C1" w:rsidRPr="00537605" w:rsidRDefault="006760C1" w:rsidP="006760C1"/>
    <w:p w:rsidR="006760C1" w:rsidRPr="00537605" w:rsidRDefault="006760C1" w:rsidP="006760C1"/>
    <w:p w:rsidR="006760C1" w:rsidRPr="00537605" w:rsidRDefault="006760C1" w:rsidP="006760C1"/>
    <w:p w:rsidR="006760C1" w:rsidRPr="00537605" w:rsidRDefault="006760C1" w:rsidP="006760C1"/>
    <w:p w:rsidR="002A52D5" w:rsidRPr="00BD33C8" w:rsidRDefault="002671EB" w:rsidP="002671EB">
      <w:pPr>
        <w:pStyle w:val="Heading1"/>
        <w:numPr>
          <w:ilvl w:val="0"/>
          <w:numId w:val="0"/>
        </w:numPr>
        <w:tabs>
          <w:tab w:val="left" w:pos="709"/>
        </w:tabs>
      </w:pPr>
      <w:bookmarkStart w:id="12" w:name="_Toc455159065"/>
      <w:r w:rsidRPr="002671EB">
        <w:lastRenderedPageBreak/>
        <w:t>III.</w:t>
      </w:r>
      <w:r w:rsidRPr="002671EB">
        <w:tab/>
        <w:t>PRESUPUESTO CONSOLIDADO Y GASTO REAL DEL BIENIO 2014/1</w:t>
      </w:r>
      <w:bookmarkEnd w:id="11"/>
      <w:r w:rsidRPr="002671EB">
        <w:t>5</w:t>
      </w:r>
      <w:bookmarkEnd w:id="12"/>
    </w:p>
    <w:p w:rsidR="002A52D5" w:rsidRPr="00BD33C8" w:rsidRDefault="002A52D5" w:rsidP="002A52D5">
      <w:pPr>
        <w:keepNext/>
        <w:widowControl w:val="0"/>
        <w:rPr>
          <w:u w:val="single"/>
        </w:rPr>
      </w:pPr>
    </w:p>
    <w:p w:rsidR="002A52D5" w:rsidRPr="00BD33C8" w:rsidRDefault="002A52D5" w:rsidP="002A52D5">
      <w:pPr>
        <w:keepNext/>
        <w:widowControl w:val="0"/>
        <w:rPr>
          <w:u w:val="single"/>
        </w:rPr>
      </w:pPr>
    </w:p>
    <w:p w:rsidR="002A52D5" w:rsidRPr="0023015B" w:rsidRDefault="002A52D5" w:rsidP="002A52D5">
      <w:pPr>
        <w:keepNext/>
        <w:jc w:val="center"/>
        <w:rPr>
          <w:b/>
          <w:sz w:val="18"/>
          <w:szCs w:val="18"/>
        </w:rPr>
      </w:pPr>
      <w:r w:rsidRPr="0023015B">
        <w:rPr>
          <w:b/>
          <w:sz w:val="18"/>
          <w:szCs w:val="18"/>
        </w:rPr>
        <w:t>Cuadro 1:  Resumen por programa, 2014/15</w:t>
      </w:r>
    </w:p>
    <w:p w:rsidR="002A52D5" w:rsidRPr="0023015B" w:rsidRDefault="002A52D5" w:rsidP="002A52D5">
      <w:pPr>
        <w:keepNext/>
        <w:jc w:val="center"/>
        <w:rPr>
          <w:i/>
          <w:sz w:val="18"/>
          <w:szCs w:val="18"/>
        </w:rPr>
      </w:pPr>
      <w:r w:rsidRPr="0023015B">
        <w:rPr>
          <w:i/>
          <w:sz w:val="18"/>
          <w:szCs w:val="18"/>
        </w:rPr>
        <w:t>(en miles de francos suizos)</w:t>
      </w:r>
    </w:p>
    <w:p w:rsidR="002A52D5" w:rsidRDefault="002A52D5" w:rsidP="002A52D5">
      <w:pPr>
        <w:keepNext/>
        <w:jc w:val="center"/>
        <w:rPr>
          <w:i/>
          <w:sz w:val="16"/>
          <w:szCs w:val="16"/>
        </w:rPr>
      </w:pPr>
    </w:p>
    <w:p w:rsidR="002A52D5" w:rsidRPr="00BD33C8" w:rsidRDefault="002A52D5" w:rsidP="002A52D5">
      <w:pPr>
        <w:keepNext/>
        <w:jc w:val="center"/>
        <w:rPr>
          <w:i/>
          <w:sz w:val="16"/>
          <w:szCs w:val="16"/>
        </w:rPr>
      </w:pPr>
    </w:p>
    <w:p w:rsidR="002A52D5" w:rsidRPr="00BD33C8" w:rsidRDefault="002A52D5" w:rsidP="002A52D5">
      <w:pPr>
        <w:keepNext/>
        <w:jc w:val="center"/>
        <w:rPr>
          <w:i/>
          <w:sz w:val="18"/>
          <w:szCs w:val="18"/>
        </w:rPr>
      </w:pPr>
      <w:r w:rsidRPr="004310C4">
        <w:rPr>
          <w:noProof/>
          <w:lang w:val="en-US" w:eastAsia="en-US"/>
        </w:rPr>
        <w:drawing>
          <wp:inline distT="0" distB="0" distL="0" distR="0" wp14:anchorId="6BBB5C67" wp14:editId="0DD4D7BA">
            <wp:extent cx="5940425" cy="5283811"/>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40425" cy="5283811"/>
                    </a:xfrm>
                    <a:prstGeom prst="rect">
                      <a:avLst/>
                    </a:prstGeom>
                    <a:noFill/>
                    <a:ln>
                      <a:noFill/>
                    </a:ln>
                  </pic:spPr>
                </pic:pic>
              </a:graphicData>
            </a:graphic>
          </wp:inline>
        </w:drawing>
      </w:r>
    </w:p>
    <w:p w:rsidR="002A52D5" w:rsidRPr="00BD33C8" w:rsidRDefault="002A52D5" w:rsidP="00DC1333">
      <w:pPr>
        <w:jc w:val="center"/>
      </w:pPr>
    </w:p>
    <w:p w:rsidR="002A52D5" w:rsidRPr="00BD33C8" w:rsidRDefault="002A52D5">
      <w:pPr>
        <w:rPr>
          <w:b/>
          <w:sz w:val="18"/>
          <w:szCs w:val="18"/>
        </w:rPr>
      </w:pPr>
      <w:r w:rsidRPr="00BD33C8">
        <w:rPr>
          <w:b/>
          <w:sz w:val="18"/>
          <w:szCs w:val="18"/>
        </w:rPr>
        <w:br w:type="page"/>
      </w:r>
    </w:p>
    <w:p w:rsidR="002A52D5" w:rsidRPr="00BD33C8" w:rsidRDefault="002A52D5" w:rsidP="00DC1333">
      <w:pPr>
        <w:jc w:val="center"/>
        <w:rPr>
          <w:b/>
          <w:sz w:val="16"/>
          <w:szCs w:val="16"/>
        </w:rPr>
      </w:pPr>
      <w:r>
        <w:rPr>
          <w:b/>
          <w:sz w:val="16"/>
          <w:szCs w:val="16"/>
        </w:rPr>
        <w:lastRenderedPageBreak/>
        <w:t>Cuadro 2:</w:t>
      </w:r>
      <w:r w:rsidRPr="00BD33C8">
        <w:rPr>
          <w:b/>
          <w:sz w:val="16"/>
          <w:szCs w:val="16"/>
        </w:rPr>
        <w:t xml:space="preserve"> </w:t>
      </w:r>
      <w:r>
        <w:rPr>
          <w:b/>
          <w:sz w:val="16"/>
          <w:szCs w:val="16"/>
        </w:rPr>
        <w:t xml:space="preserve"> Resumen por resultado previsto, 2014-15</w:t>
      </w:r>
    </w:p>
    <w:p w:rsidR="002A52D5" w:rsidRDefault="002A52D5" w:rsidP="00DC1333">
      <w:pPr>
        <w:jc w:val="center"/>
        <w:rPr>
          <w:i/>
          <w:sz w:val="16"/>
          <w:szCs w:val="16"/>
        </w:rPr>
      </w:pPr>
      <w:r w:rsidRPr="00BD33C8">
        <w:rPr>
          <w:i/>
          <w:sz w:val="16"/>
          <w:szCs w:val="16"/>
        </w:rPr>
        <w:t>(</w:t>
      </w:r>
      <w:r>
        <w:rPr>
          <w:i/>
          <w:sz w:val="16"/>
          <w:szCs w:val="16"/>
        </w:rPr>
        <w:t>en miles de francos suizos</w:t>
      </w:r>
      <w:r w:rsidRPr="00BD33C8">
        <w:rPr>
          <w:i/>
          <w:sz w:val="16"/>
          <w:szCs w:val="16"/>
        </w:rPr>
        <w:t>)</w:t>
      </w:r>
    </w:p>
    <w:p w:rsidR="002A52D5" w:rsidRDefault="002A52D5" w:rsidP="00DC1333">
      <w:pPr>
        <w:jc w:val="center"/>
        <w:rPr>
          <w:i/>
          <w:sz w:val="16"/>
          <w:szCs w:val="16"/>
        </w:rPr>
      </w:pPr>
    </w:p>
    <w:p w:rsidR="002A52D5" w:rsidRDefault="002A52D5" w:rsidP="00DC1333">
      <w:pPr>
        <w:jc w:val="center"/>
        <w:rPr>
          <w:i/>
          <w:sz w:val="16"/>
          <w:szCs w:val="16"/>
        </w:rPr>
      </w:pPr>
      <w:r w:rsidRPr="000E4231">
        <w:rPr>
          <w:noProof/>
          <w:lang w:val="en-US" w:eastAsia="en-US"/>
        </w:rPr>
        <w:drawing>
          <wp:inline distT="0" distB="0" distL="0" distR="0" wp14:anchorId="3964BB3C" wp14:editId="686FBD45">
            <wp:extent cx="3923117" cy="8476646"/>
            <wp:effectExtent l="0" t="0" r="127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930278" cy="8492119"/>
                    </a:xfrm>
                    <a:prstGeom prst="rect">
                      <a:avLst/>
                    </a:prstGeom>
                    <a:noFill/>
                    <a:ln>
                      <a:noFill/>
                    </a:ln>
                  </pic:spPr>
                </pic:pic>
              </a:graphicData>
            </a:graphic>
          </wp:inline>
        </w:drawing>
      </w:r>
    </w:p>
    <w:p w:rsidR="002A52D5" w:rsidRPr="00AA0B48" w:rsidRDefault="002A52D5" w:rsidP="00DC1333">
      <w:pPr>
        <w:rPr>
          <w:i/>
          <w:sz w:val="16"/>
          <w:szCs w:val="16"/>
        </w:rPr>
      </w:pPr>
    </w:p>
    <w:p w:rsidR="002A52D5" w:rsidRPr="002671EB" w:rsidRDefault="002A52D5" w:rsidP="00CA2B81">
      <w:pPr>
        <w:pStyle w:val="Heading1"/>
        <w:numPr>
          <w:ilvl w:val="0"/>
          <w:numId w:val="0"/>
        </w:numPr>
        <w:tabs>
          <w:tab w:val="left" w:pos="567"/>
        </w:tabs>
      </w:pPr>
      <w:bookmarkStart w:id="13" w:name="_Toc455159066"/>
      <w:r w:rsidRPr="002671EB">
        <w:lastRenderedPageBreak/>
        <w:t>IV.</w:t>
      </w:r>
      <w:r w:rsidRPr="002671EB">
        <w:tab/>
        <w:t>INFORME SOBRE LOS GASTOS EN DESARROLLO D</w:t>
      </w:r>
      <w:r w:rsidR="00CA2B81">
        <w:t xml:space="preserve">URANTE </w:t>
      </w:r>
      <w:r w:rsidRPr="002671EB">
        <w:t>EL BIENIO 2014/15</w:t>
      </w:r>
      <w:bookmarkEnd w:id="13"/>
    </w:p>
    <w:p w:rsidR="002A52D5" w:rsidRPr="00393114" w:rsidRDefault="002A52D5" w:rsidP="00DC1333">
      <w:pPr>
        <w:keepNext/>
        <w:widowControl w:val="0"/>
        <w:rPr>
          <w:u w:val="single"/>
        </w:rPr>
      </w:pPr>
    </w:p>
    <w:p w:rsidR="002A52D5" w:rsidRPr="000D43F6" w:rsidRDefault="002A52D5" w:rsidP="002671EB">
      <w:pPr>
        <w:pStyle w:val="ONUMFS"/>
        <w:numPr>
          <w:ilvl w:val="0"/>
          <w:numId w:val="6"/>
        </w:numPr>
        <w:jc w:val="both"/>
        <w:rPr>
          <w:rFonts w:eastAsia="MS Mincho"/>
          <w:sz w:val="20"/>
          <w:lang w:eastAsia="ja-JP" w:bidi="th-TH"/>
        </w:rPr>
      </w:pPr>
      <w:r w:rsidRPr="000D43F6">
        <w:rPr>
          <w:sz w:val="20"/>
        </w:rPr>
        <w:t>El presupuesto por programas del bienio 2014/15 presentaba una estimación de los gastos en desarrollo para el período 2014/15 desglosada por programa (en su cuadro 6) y por resultado previsto (en su marco de resultados, página 14).  En el período 2014/15, se consideran gastos en desarrollo únicamente aquellos cuyo beneficiario es un país en desarrollo, siempre que no se haya previsto un gasto equivalente para los países desarrollados.  En tales importes quedan excluidos los ingresos sacrificados por la reducción de tasas acordada por los sistemas internacionales de registro a solicitantes de países en desarrollo</w:t>
      </w:r>
      <w:r w:rsidRPr="000D43F6">
        <w:rPr>
          <w:rStyle w:val="FootnoteReference"/>
          <w:rFonts w:eastAsia="MS Mincho"/>
          <w:sz w:val="20"/>
          <w:lang w:eastAsia="ja-JP" w:bidi="th-TH"/>
        </w:rPr>
        <w:footnoteReference w:id="8"/>
      </w:r>
      <w:r w:rsidRPr="000D43F6">
        <w:rPr>
          <w:sz w:val="20"/>
        </w:rPr>
        <w:t>.  La finalidad de este informe es presentar el gasto real en desarrollo durante el bienio 2014/15.</w:t>
      </w:r>
    </w:p>
    <w:p w:rsidR="002A52D5" w:rsidRPr="000D43F6" w:rsidRDefault="002A52D5" w:rsidP="002671EB">
      <w:pPr>
        <w:pStyle w:val="ONUMFS"/>
        <w:numPr>
          <w:ilvl w:val="0"/>
          <w:numId w:val="6"/>
        </w:numPr>
        <w:jc w:val="both"/>
        <w:rPr>
          <w:sz w:val="20"/>
        </w:rPr>
      </w:pPr>
      <w:r w:rsidRPr="000D43F6">
        <w:rPr>
          <w:sz w:val="20"/>
        </w:rPr>
        <w:t>Cabe recordar que se introdujo por primera vez una estimación integral del gasto en materia de desarrollo en el presupuesto por programas revisado del bienio 2008/2009.  La metodología de 2010/11 se basó, al igual que para el bienio 2008/2009, en estimaciones globales a nivel de programa.  En el período 2012/13, el enfoque se perfeccionó considerablemente mediante la adopción de un enfoque integral ascendente detallado a nivel de actividad.  Este enfoque revisado, junto con el establecimiento de mecanismos de seguimiento del gasto en desarrollo mediante la PRI, dio lugar a la obtención de información más precisa sobre tales gastos.  La metodología aplicada para estimar la parte del presupuesto destinada al desarrollo en el período 2014/15 se ha armonizado y es plenamente compatible con la adoptada en el período 2012/13.  Este mecanismo fue perfeccionado de cara al bienio 2014/15 con la introducción de una metodología más precisa para la gestión de los recursos de personal asignados a actividades.  Los gastos en desarrollo por programa previstos para 2014/15 se calcularon aplicando la definición de gastos en desarrollo antes mencionada a las actividades programáticas, en estrecha colaboración con los directores de programa.</w:t>
      </w:r>
    </w:p>
    <w:p w:rsidR="002A52D5" w:rsidRPr="000D43F6" w:rsidRDefault="002A52D5" w:rsidP="002671EB">
      <w:pPr>
        <w:pStyle w:val="ONUMFS"/>
        <w:numPr>
          <w:ilvl w:val="0"/>
          <w:numId w:val="6"/>
        </w:numPr>
        <w:jc w:val="both"/>
        <w:rPr>
          <w:sz w:val="20"/>
        </w:rPr>
      </w:pPr>
      <w:r w:rsidRPr="000D43F6">
        <w:rPr>
          <w:sz w:val="20"/>
        </w:rPr>
        <w:t xml:space="preserve">Los cuadros 3 y 4, </w:t>
      </w:r>
      <w:r w:rsidRPr="000D43F6">
        <w:rPr>
          <w:i/>
          <w:sz w:val="20"/>
        </w:rPr>
        <w:t>infra</w:t>
      </w:r>
      <w:r w:rsidRPr="000D43F6">
        <w:rPr>
          <w:sz w:val="20"/>
        </w:rPr>
        <w:t>, proporcionan una visión general de la estimación de gastos en desarrollo por programa y por resultado previsto, partiendo del presupuesto después de transferencias y de los gastos reales para el bienio 2014/15.  Para obtener más información sobre los resultados logrados en materia de desarrollo y sobre la utilización del presupuesto durante el bienio, sírvase consultar la evaluación del rendimiento de cada uno de los programas que se incluye en el presente informe.</w:t>
      </w:r>
    </w:p>
    <w:p w:rsidR="002A52D5" w:rsidRPr="000D43F6" w:rsidRDefault="002A52D5" w:rsidP="002671EB">
      <w:pPr>
        <w:pStyle w:val="ONUMFS"/>
        <w:numPr>
          <w:ilvl w:val="0"/>
          <w:numId w:val="6"/>
        </w:numPr>
        <w:jc w:val="both"/>
        <w:rPr>
          <w:sz w:val="20"/>
        </w:rPr>
      </w:pPr>
      <w:r w:rsidRPr="000D43F6">
        <w:rPr>
          <w:sz w:val="20"/>
        </w:rPr>
        <w:t>En los comentarios sobre presupuesto y gastos reales de cada programa se incluyen explicaciones sobre las diferencias entre el presupuesto aprobado, el presupuesto después de transferencias y los gastos reales del bienio 2014/15.</w:t>
      </w:r>
    </w:p>
    <w:p w:rsidR="002A52D5" w:rsidRPr="00393114" w:rsidRDefault="002A52D5" w:rsidP="00DC1333">
      <w:pPr>
        <w:jc w:val="center"/>
        <w:rPr>
          <w:b/>
          <w:sz w:val="18"/>
          <w:szCs w:val="18"/>
        </w:rPr>
      </w:pPr>
    </w:p>
    <w:p w:rsidR="002A52D5" w:rsidRPr="00393114" w:rsidRDefault="002A52D5" w:rsidP="00DC1333">
      <w:pPr>
        <w:jc w:val="center"/>
        <w:rPr>
          <w:b/>
          <w:sz w:val="18"/>
          <w:szCs w:val="18"/>
        </w:rPr>
      </w:pPr>
    </w:p>
    <w:p w:rsidR="002A52D5" w:rsidRPr="00393114" w:rsidRDefault="002A52D5" w:rsidP="00DC1333">
      <w:pPr>
        <w:jc w:val="center"/>
        <w:rPr>
          <w:b/>
          <w:sz w:val="18"/>
          <w:szCs w:val="18"/>
        </w:rPr>
      </w:pPr>
    </w:p>
    <w:p w:rsidR="002A52D5" w:rsidRPr="00393114" w:rsidRDefault="002A52D5" w:rsidP="00DC1333">
      <w:pPr>
        <w:jc w:val="center"/>
        <w:rPr>
          <w:b/>
          <w:sz w:val="18"/>
          <w:szCs w:val="18"/>
        </w:rPr>
      </w:pPr>
    </w:p>
    <w:p w:rsidR="002A52D5" w:rsidRPr="00393114" w:rsidRDefault="002A52D5" w:rsidP="00DC1333">
      <w:pPr>
        <w:jc w:val="center"/>
        <w:rPr>
          <w:b/>
          <w:sz w:val="18"/>
          <w:szCs w:val="18"/>
        </w:rPr>
      </w:pPr>
    </w:p>
    <w:p w:rsidR="002A52D5" w:rsidRPr="00393114" w:rsidRDefault="002A52D5" w:rsidP="00DC1333">
      <w:pPr>
        <w:jc w:val="center"/>
        <w:rPr>
          <w:b/>
          <w:sz w:val="18"/>
          <w:szCs w:val="18"/>
        </w:rPr>
      </w:pPr>
    </w:p>
    <w:p w:rsidR="002A52D5" w:rsidRPr="00393114" w:rsidRDefault="002A52D5" w:rsidP="00DC1333">
      <w:pPr>
        <w:jc w:val="center"/>
        <w:rPr>
          <w:b/>
          <w:sz w:val="18"/>
          <w:szCs w:val="18"/>
        </w:rPr>
      </w:pPr>
    </w:p>
    <w:p w:rsidR="002A52D5" w:rsidRPr="00393114" w:rsidRDefault="002A52D5" w:rsidP="00DC1333">
      <w:pPr>
        <w:jc w:val="center"/>
        <w:rPr>
          <w:b/>
          <w:sz w:val="18"/>
          <w:szCs w:val="18"/>
        </w:rPr>
      </w:pPr>
    </w:p>
    <w:p w:rsidR="002A52D5" w:rsidRPr="00393114" w:rsidRDefault="002A52D5" w:rsidP="00DC1333">
      <w:pPr>
        <w:jc w:val="center"/>
        <w:rPr>
          <w:b/>
          <w:sz w:val="18"/>
          <w:szCs w:val="18"/>
        </w:rPr>
      </w:pPr>
    </w:p>
    <w:p w:rsidR="002A52D5" w:rsidRPr="00393114" w:rsidRDefault="002A52D5" w:rsidP="00DC1333">
      <w:pPr>
        <w:jc w:val="center"/>
        <w:rPr>
          <w:b/>
          <w:sz w:val="18"/>
          <w:szCs w:val="18"/>
        </w:rPr>
      </w:pPr>
    </w:p>
    <w:p w:rsidR="002A52D5" w:rsidRPr="00393114" w:rsidRDefault="002A52D5" w:rsidP="00DC1333">
      <w:pPr>
        <w:jc w:val="center"/>
        <w:rPr>
          <w:b/>
          <w:sz w:val="18"/>
          <w:szCs w:val="18"/>
        </w:rPr>
      </w:pPr>
    </w:p>
    <w:p w:rsidR="002A52D5" w:rsidRPr="00393114" w:rsidRDefault="002A52D5" w:rsidP="00DC1333">
      <w:pPr>
        <w:jc w:val="center"/>
        <w:rPr>
          <w:b/>
          <w:sz w:val="18"/>
          <w:szCs w:val="18"/>
        </w:rPr>
      </w:pPr>
    </w:p>
    <w:p w:rsidR="002A52D5" w:rsidRPr="00393114" w:rsidRDefault="002A52D5" w:rsidP="00DC1333">
      <w:pPr>
        <w:jc w:val="center"/>
        <w:rPr>
          <w:b/>
          <w:sz w:val="18"/>
          <w:szCs w:val="18"/>
        </w:rPr>
      </w:pPr>
    </w:p>
    <w:p w:rsidR="002A52D5" w:rsidRPr="00393114" w:rsidRDefault="002A52D5" w:rsidP="00DC1333">
      <w:pPr>
        <w:jc w:val="center"/>
        <w:rPr>
          <w:b/>
          <w:sz w:val="18"/>
          <w:szCs w:val="18"/>
        </w:rPr>
      </w:pPr>
    </w:p>
    <w:p w:rsidR="002A52D5" w:rsidRPr="00393114" w:rsidRDefault="002A52D5" w:rsidP="00DC1333">
      <w:pPr>
        <w:jc w:val="center"/>
        <w:rPr>
          <w:b/>
          <w:sz w:val="18"/>
          <w:szCs w:val="18"/>
        </w:rPr>
      </w:pPr>
    </w:p>
    <w:p w:rsidR="002A52D5" w:rsidRPr="00393114" w:rsidRDefault="002A52D5" w:rsidP="00DC1333">
      <w:pPr>
        <w:jc w:val="center"/>
        <w:rPr>
          <w:b/>
          <w:sz w:val="18"/>
          <w:szCs w:val="18"/>
        </w:rPr>
      </w:pPr>
    </w:p>
    <w:p w:rsidR="002A52D5" w:rsidRPr="00393114" w:rsidRDefault="002A52D5" w:rsidP="00DC1333">
      <w:pPr>
        <w:jc w:val="center"/>
        <w:rPr>
          <w:b/>
          <w:sz w:val="18"/>
          <w:szCs w:val="18"/>
        </w:rPr>
      </w:pPr>
    </w:p>
    <w:p w:rsidR="002A52D5" w:rsidRPr="00393114" w:rsidRDefault="002A52D5" w:rsidP="00DC1333">
      <w:pPr>
        <w:jc w:val="center"/>
        <w:rPr>
          <w:b/>
          <w:sz w:val="18"/>
          <w:szCs w:val="18"/>
        </w:rPr>
      </w:pPr>
    </w:p>
    <w:p w:rsidR="002A52D5" w:rsidRPr="00393114" w:rsidRDefault="002A52D5" w:rsidP="00DC1333">
      <w:pPr>
        <w:jc w:val="center"/>
        <w:rPr>
          <w:b/>
          <w:sz w:val="18"/>
          <w:szCs w:val="18"/>
        </w:rPr>
      </w:pPr>
    </w:p>
    <w:p w:rsidR="002A52D5" w:rsidRPr="00393114" w:rsidRDefault="002A52D5" w:rsidP="00DC1333">
      <w:pPr>
        <w:jc w:val="center"/>
        <w:rPr>
          <w:b/>
          <w:sz w:val="18"/>
          <w:szCs w:val="18"/>
        </w:rPr>
      </w:pPr>
    </w:p>
    <w:p w:rsidR="002A52D5" w:rsidRPr="00393114" w:rsidRDefault="002A52D5" w:rsidP="00DC1333">
      <w:pPr>
        <w:jc w:val="center"/>
        <w:rPr>
          <w:b/>
          <w:sz w:val="18"/>
          <w:szCs w:val="18"/>
        </w:rPr>
      </w:pPr>
    </w:p>
    <w:p w:rsidR="002A52D5" w:rsidRPr="00393114" w:rsidRDefault="002A52D5" w:rsidP="00DC1333">
      <w:pPr>
        <w:jc w:val="center"/>
        <w:rPr>
          <w:b/>
          <w:sz w:val="18"/>
          <w:szCs w:val="18"/>
        </w:rPr>
      </w:pPr>
    </w:p>
    <w:p w:rsidR="002A52D5" w:rsidRPr="00393114" w:rsidRDefault="002A52D5" w:rsidP="00DC1333">
      <w:pPr>
        <w:jc w:val="center"/>
        <w:rPr>
          <w:b/>
          <w:sz w:val="18"/>
          <w:szCs w:val="18"/>
        </w:rPr>
      </w:pPr>
    </w:p>
    <w:p w:rsidR="002A52D5" w:rsidRPr="00393114" w:rsidRDefault="002A52D5" w:rsidP="00DC1333">
      <w:pPr>
        <w:jc w:val="center"/>
        <w:rPr>
          <w:b/>
          <w:sz w:val="18"/>
          <w:szCs w:val="18"/>
        </w:rPr>
      </w:pPr>
    </w:p>
    <w:p w:rsidR="002A52D5" w:rsidRPr="00393114" w:rsidRDefault="002A52D5" w:rsidP="00DC1333">
      <w:pPr>
        <w:jc w:val="center"/>
        <w:rPr>
          <w:b/>
          <w:sz w:val="18"/>
          <w:szCs w:val="18"/>
        </w:rPr>
      </w:pPr>
    </w:p>
    <w:p w:rsidR="002A52D5" w:rsidRPr="00393114" w:rsidRDefault="002A52D5" w:rsidP="00DC1333">
      <w:pPr>
        <w:jc w:val="center"/>
        <w:rPr>
          <w:b/>
          <w:sz w:val="18"/>
          <w:szCs w:val="18"/>
        </w:rPr>
      </w:pPr>
      <w:r w:rsidRPr="00393114">
        <w:rPr>
          <w:b/>
          <w:sz w:val="18"/>
          <w:szCs w:val="18"/>
        </w:rPr>
        <w:lastRenderedPageBreak/>
        <w:t>Cuadro 3:  Gastos en desarrollo por programa, 2014/15</w:t>
      </w:r>
    </w:p>
    <w:p w:rsidR="002A52D5" w:rsidRPr="00393114" w:rsidRDefault="002A52D5" w:rsidP="00DC1333">
      <w:pPr>
        <w:jc w:val="center"/>
        <w:rPr>
          <w:i/>
          <w:sz w:val="18"/>
          <w:szCs w:val="18"/>
        </w:rPr>
      </w:pPr>
      <w:r w:rsidRPr="00393114">
        <w:rPr>
          <w:i/>
          <w:sz w:val="18"/>
          <w:szCs w:val="18"/>
        </w:rPr>
        <w:t>(en miles de francos suizos)</w:t>
      </w:r>
    </w:p>
    <w:p w:rsidR="002A52D5" w:rsidRPr="00393114" w:rsidRDefault="002A52D5" w:rsidP="00DC1333"/>
    <w:p w:rsidR="002A52D5" w:rsidRPr="00393114" w:rsidRDefault="002A52D5" w:rsidP="00DC1333">
      <w:pPr>
        <w:jc w:val="center"/>
      </w:pPr>
      <w:r w:rsidRPr="00393114">
        <w:rPr>
          <w:noProof/>
          <w:lang w:val="en-US" w:eastAsia="en-US"/>
        </w:rPr>
        <w:drawing>
          <wp:inline distT="0" distB="0" distL="0" distR="0" wp14:anchorId="21BCDD0E" wp14:editId="65792585">
            <wp:extent cx="5940425" cy="3419723"/>
            <wp:effectExtent l="0" t="0" r="317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40425" cy="3419723"/>
                    </a:xfrm>
                    <a:prstGeom prst="rect">
                      <a:avLst/>
                    </a:prstGeom>
                    <a:noFill/>
                    <a:ln>
                      <a:noFill/>
                    </a:ln>
                  </pic:spPr>
                </pic:pic>
              </a:graphicData>
            </a:graphic>
          </wp:inline>
        </w:drawing>
      </w:r>
    </w:p>
    <w:p w:rsidR="002A52D5" w:rsidRPr="00393114" w:rsidRDefault="002A52D5" w:rsidP="00DC1333">
      <w:pPr>
        <w:rPr>
          <w:b/>
          <w:sz w:val="18"/>
          <w:szCs w:val="18"/>
        </w:rPr>
      </w:pPr>
    </w:p>
    <w:p w:rsidR="002A52D5" w:rsidRPr="00393114" w:rsidRDefault="002A52D5" w:rsidP="00DC1333">
      <w:pPr>
        <w:keepNext/>
        <w:keepLines/>
        <w:jc w:val="center"/>
        <w:rPr>
          <w:b/>
          <w:sz w:val="18"/>
          <w:szCs w:val="18"/>
        </w:rPr>
      </w:pPr>
      <w:r w:rsidRPr="00393114">
        <w:rPr>
          <w:b/>
          <w:sz w:val="18"/>
          <w:szCs w:val="18"/>
        </w:rPr>
        <w:lastRenderedPageBreak/>
        <w:t>Cuadro 4:  Gastos en desarrollo por resultado previsto*, 2014/15</w:t>
      </w:r>
    </w:p>
    <w:p w:rsidR="002A52D5" w:rsidRPr="00393114" w:rsidRDefault="002A52D5" w:rsidP="00DC1333">
      <w:pPr>
        <w:keepNext/>
        <w:keepLines/>
        <w:jc w:val="center"/>
        <w:rPr>
          <w:i/>
          <w:sz w:val="18"/>
          <w:szCs w:val="18"/>
        </w:rPr>
      </w:pPr>
      <w:r w:rsidRPr="00393114">
        <w:rPr>
          <w:i/>
          <w:sz w:val="18"/>
          <w:szCs w:val="18"/>
        </w:rPr>
        <w:t>(en miles de francos suizos)</w:t>
      </w:r>
    </w:p>
    <w:p w:rsidR="002A52D5" w:rsidRPr="00B6368C" w:rsidRDefault="002A52D5" w:rsidP="00DC1333">
      <w:pPr>
        <w:keepNext/>
        <w:keepLines/>
        <w:jc w:val="center"/>
        <w:rPr>
          <w:i/>
          <w:sz w:val="18"/>
          <w:szCs w:val="18"/>
        </w:rPr>
      </w:pPr>
      <w:r w:rsidRPr="00393114">
        <w:rPr>
          <w:noProof/>
          <w:lang w:val="en-US" w:eastAsia="en-US"/>
        </w:rPr>
        <w:drawing>
          <wp:inline distT="0" distB="0" distL="0" distR="0" wp14:anchorId="73A14B6F" wp14:editId="0DD7E5A7">
            <wp:extent cx="4117231" cy="861921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126709" cy="8639056"/>
                    </a:xfrm>
                    <a:prstGeom prst="rect">
                      <a:avLst/>
                    </a:prstGeom>
                    <a:noFill/>
                    <a:ln>
                      <a:noFill/>
                    </a:ln>
                  </pic:spPr>
                </pic:pic>
              </a:graphicData>
            </a:graphic>
          </wp:inline>
        </w:drawing>
      </w:r>
    </w:p>
    <w:p w:rsidR="00C876E1" w:rsidRDefault="00C876E1" w:rsidP="00B26D73">
      <w:pPr>
        <w:rPr>
          <w:lang w:val="en-US"/>
        </w:rPr>
      </w:pPr>
    </w:p>
    <w:p w:rsidR="0010230A" w:rsidRPr="008F0E12" w:rsidRDefault="0010230A" w:rsidP="00DC1333"/>
    <w:p w:rsidR="0010230A" w:rsidRPr="008F0E12" w:rsidRDefault="00545F60" w:rsidP="002671EB">
      <w:pPr>
        <w:pStyle w:val="Heading1"/>
        <w:numPr>
          <w:ilvl w:val="0"/>
          <w:numId w:val="0"/>
        </w:numPr>
        <w:tabs>
          <w:tab w:val="left" w:pos="709"/>
        </w:tabs>
        <w:ind w:left="709" w:hanging="709"/>
      </w:pPr>
      <w:bookmarkStart w:id="14" w:name="_Toc451848679"/>
      <w:bookmarkStart w:id="15" w:name="_Toc455159067"/>
      <w:r w:rsidRPr="002671EB">
        <w:rPr>
          <w:caps w:val="0"/>
        </w:rPr>
        <w:t>V.</w:t>
      </w:r>
      <w:r w:rsidRPr="002671EB">
        <w:rPr>
          <w:caps w:val="0"/>
        </w:rPr>
        <w:tab/>
      </w:r>
      <w:bookmarkEnd w:id="14"/>
      <w:r w:rsidRPr="008F0E12">
        <w:rPr>
          <w:caps w:val="0"/>
        </w:rPr>
        <w:t xml:space="preserve">INFORME SOBRE LA APLICACIÓN DE LAS MEDIDAS DESTINADAS A FOMENTAR LA EFICACIA EN FUNCIÓN DE LOS COSTOS EN EL BIENIO </w:t>
      </w:r>
      <w:r w:rsidRPr="002671EB">
        <w:rPr>
          <w:caps w:val="0"/>
        </w:rPr>
        <w:t>2014/15</w:t>
      </w:r>
      <w:bookmarkEnd w:id="15"/>
    </w:p>
    <w:p w:rsidR="0010230A" w:rsidRPr="008F0E12" w:rsidRDefault="0010230A" w:rsidP="00DC1333">
      <w:pPr>
        <w:jc w:val="center"/>
        <w:rPr>
          <w:b/>
        </w:rPr>
      </w:pPr>
    </w:p>
    <w:p w:rsidR="0010230A" w:rsidRPr="008F0E12" w:rsidRDefault="0010230A" w:rsidP="00DC1333">
      <w:pPr>
        <w:jc w:val="center"/>
        <w:rPr>
          <w:b/>
        </w:rPr>
      </w:pPr>
    </w:p>
    <w:p w:rsidR="0010230A" w:rsidRPr="008F0E12" w:rsidRDefault="0010230A" w:rsidP="00DC1333">
      <w:pPr>
        <w:jc w:val="center"/>
      </w:pPr>
      <w:r w:rsidRPr="008F0E12">
        <w:rPr>
          <w:sz w:val="20"/>
        </w:rPr>
        <w:t>MEJORAS DE LA EFICACIA EN FUNCIÓN DE LOS COSTOS CONSEGUIDAS EN 2014/15</w:t>
      </w:r>
    </w:p>
    <w:p w:rsidR="0010230A" w:rsidRPr="008F0E12" w:rsidRDefault="0010230A" w:rsidP="00DC1333">
      <w:pPr>
        <w:rPr>
          <w:sz w:val="20"/>
        </w:rPr>
      </w:pPr>
    </w:p>
    <w:tbl>
      <w:tblPr>
        <w:tblW w:w="5091" w:type="pct"/>
        <w:tblInd w:w="-176" w:type="dxa"/>
        <w:tblLayout w:type="fixed"/>
        <w:tblCellMar>
          <w:top w:w="85" w:type="dxa"/>
        </w:tblCellMar>
        <w:tblLook w:val="04A0" w:firstRow="1" w:lastRow="0" w:firstColumn="1" w:lastColumn="0" w:noHBand="0" w:noVBand="1"/>
      </w:tblPr>
      <w:tblGrid>
        <w:gridCol w:w="1973"/>
        <w:gridCol w:w="1270"/>
        <w:gridCol w:w="930"/>
        <w:gridCol w:w="1604"/>
        <w:gridCol w:w="1694"/>
        <w:gridCol w:w="2274"/>
      </w:tblGrid>
      <w:tr w:rsidR="0010230A" w:rsidRPr="008F0E12" w:rsidTr="00DC1333">
        <w:trPr>
          <w:trHeight w:val="1229"/>
          <w:tblHeader/>
        </w:trPr>
        <w:tc>
          <w:tcPr>
            <w:tcW w:w="1012" w:type="pct"/>
            <w:tcBorders>
              <w:top w:val="single" w:sz="4" w:space="0" w:color="auto"/>
              <w:left w:val="single" w:sz="4" w:space="0" w:color="auto"/>
              <w:bottom w:val="single" w:sz="4" w:space="0" w:color="auto"/>
              <w:right w:val="single" w:sz="4" w:space="0" w:color="auto"/>
            </w:tcBorders>
            <w:shd w:val="clear" w:color="000000" w:fill="8DB4E2"/>
            <w:vAlign w:val="center"/>
            <w:hideMark/>
          </w:tcPr>
          <w:p w:rsidR="0010230A" w:rsidRPr="008F0E12" w:rsidRDefault="0010230A" w:rsidP="00DC1333">
            <w:pPr>
              <w:jc w:val="center"/>
              <w:rPr>
                <w:b/>
                <w:bCs/>
                <w:color w:val="000000"/>
                <w:sz w:val="18"/>
              </w:rPr>
            </w:pPr>
            <w:r w:rsidRPr="008F0E12">
              <w:rPr>
                <w:b/>
                <w:bCs/>
                <w:color w:val="000000"/>
                <w:sz w:val="18"/>
              </w:rPr>
              <w:t>Mejoras de la eficacia en función de los costos</w:t>
            </w:r>
          </w:p>
          <w:p w:rsidR="0010230A" w:rsidRPr="008F0E12" w:rsidRDefault="0010230A" w:rsidP="00DC1333">
            <w:pPr>
              <w:jc w:val="center"/>
              <w:rPr>
                <w:b/>
                <w:bCs/>
                <w:color w:val="000000"/>
                <w:sz w:val="18"/>
              </w:rPr>
            </w:pPr>
          </w:p>
          <w:p w:rsidR="0010230A" w:rsidRPr="008F0E12" w:rsidRDefault="0010230A" w:rsidP="00DC1333">
            <w:pPr>
              <w:jc w:val="center"/>
              <w:rPr>
                <w:b/>
                <w:bCs/>
                <w:color w:val="000000"/>
                <w:sz w:val="18"/>
              </w:rPr>
            </w:pPr>
          </w:p>
          <w:p w:rsidR="0010230A" w:rsidRPr="008F0E12" w:rsidRDefault="0010230A" w:rsidP="00DC1333">
            <w:pPr>
              <w:jc w:val="center"/>
              <w:rPr>
                <w:b/>
                <w:bCs/>
                <w:color w:val="000000"/>
                <w:sz w:val="18"/>
              </w:rPr>
            </w:pPr>
          </w:p>
          <w:p w:rsidR="0010230A" w:rsidRPr="008F0E12" w:rsidRDefault="0010230A" w:rsidP="00DC1333">
            <w:pPr>
              <w:jc w:val="center"/>
              <w:rPr>
                <w:b/>
                <w:bCs/>
                <w:color w:val="000000"/>
                <w:sz w:val="18"/>
              </w:rPr>
            </w:pPr>
            <w:r w:rsidRPr="008F0E12">
              <w:rPr>
                <w:b/>
                <w:bCs/>
                <w:color w:val="000000"/>
                <w:sz w:val="18"/>
              </w:rPr>
              <w:t>A</w:t>
            </w:r>
          </w:p>
        </w:tc>
        <w:tc>
          <w:tcPr>
            <w:tcW w:w="651" w:type="pct"/>
            <w:tcBorders>
              <w:top w:val="single" w:sz="4" w:space="0" w:color="auto"/>
              <w:left w:val="nil"/>
              <w:bottom w:val="single" w:sz="4" w:space="0" w:color="auto"/>
              <w:right w:val="single" w:sz="4" w:space="0" w:color="auto"/>
            </w:tcBorders>
            <w:shd w:val="clear" w:color="000000" w:fill="8DB4E2"/>
            <w:vAlign w:val="center"/>
            <w:hideMark/>
          </w:tcPr>
          <w:p w:rsidR="0010230A" w:rsidRPr="008F0E12" w:rsidRDefault="0010230A" w:rsidP="00DC1333">
            <w:pPr>
              <w:jc w:val="center"/>
              <w:rPr>
                <w:b/>
                <w:bCs/>
                <w:color w:val="000000"/>
                <w:sz w:val="18"/>
              </w:rPr>
            </w:pPr>
            <w:r w:rsidRPr="008F0E12">
              <w:rPr>
                <w:b/>
                <w:bCs/>
                <w:color w:val="000000"/>
                <w:sz w:val="18"/>
              </w:rPr>
              <w:t xml:space="preserve">2014 </w:t>
            </w:r>
            <w:r w:rsidRPr="008F0E12">
              <w:rPr>
                <w:b/>
                <w:bCs/>
                <w:color w:val="000000"/>
                <w:sz w:val="18"/>
              </w:rPr>
              <w:br/>
              <w:t>Ahorros anuales</w:t>
            </w:r>
          </w:p>
          <w:p w:rsidR="0010230A" w:rsidRPr="008F0E12" w:rsidRDefault="0010230A" w:rsidP="00DC1333">
            <w:pPr>
              <w:jc w:val="center"/>
              <w:rPr>
                <w:b/>
                <w:bCs/>
                <w:color w:val="000000"/>
                <w:sz w:val="18"/>
              </w:rPr>
            </w:pPr>
            <w:r w:rsidRPr="008F0E12">
              <w:rPr>
                <w:b/>
                <w:bCs/>
                <w:color w:val="000000"/>
                <w:sz w:val="18"/>
              </w:rPr>
              <w:t>(francos suizos)*</w:t>
            </w:r>
          </w:p>
          <w:p w:rsidR="0010230A" w:rsidRPr="008F0E12" w:rsidRDefault="0010230A" w:rsidP="00DC1333">
            <w:pPr>
              <w:jc w:val="center"/>
              <w:rPr>
                <w:b/>
                <w:bCs/>
                <w:color w:val="000000"/>
                <w:sz w:val="18"/>
              </w:rPr>
            </w:pPr>
          </w:p>
          <w:p w:rsidR="0010230A" w:rsidRPr="008F0E12" w:rsidRDefault="0010230A" w:rsidP="00DC1333">
            <w:pPr>
              <w:jc w:val="center"/>
              <w:rPr>
                <w:b/>
                <w:bCs/>
                <w:color w:val="000000"/>
                <w:sz w:val="18"/>
              </w:rPr>
            </w:pPr>
            <w:r w:rsidRPr="008F0E12">
              <w:rPr>
                <w:b/>
                <w:bCs/>
                <w:color w:val="000000"/>
                <w:sz w:val="18"/>
              </w:rPr>
              <w:t>B</w:t>
            </w:r>
          </w:p>
        </w:tc>
        <w:tc>
          <w:tcPr>
            <w:tcW w:w="477" w:type="pct"/>
            <w:tcBorders>
              <w:top w:val="single" w:sz="4" w:space="0" w:color="auto"/>
              <w:left w:val="nil"/>
              <w:bottom w:val="single" w:sz="4" w:space="0" w:color="auto"/>
              <w:right w:val="single" w:sz="4" w:space="0" w:color="auto"/>
            </w:tcBorders>
            <w:shd w:val="clear" w:color="000000" w:fill="8DB4E2"/>
            <w:vAlign w:val="center"/>
            <w:hideMark/>
          </w:tcPr>
          <w:p w:rsidR="0010230A" w:rsidRPr="008F0E12" w:rsidRDefault="0010230A" w:rsidP="00DC1333">
            <w:pPr>
              <w:jc w:val="center"/>
              <w:rPr>
                <w:b/>
                <w:bCs/>
                <w:color w:val="000000"/>
                <w:sz w:val="18"/>
              </w:rPr>
            </w:pPr>
            <w:r w:rsidRPr="008F0E12">
              <w:rPr>
                <w:b/>
                <w:bCs/>
                <w:color w:val="000000"/>
                <w:sz w:val="18"/>
              </w:rPr>
              <w:t xml:space="preserve">2015 </w:t>
            </w:r>
            <w:r w:rsidRPr="008F0E12">
              <w:rPr>
                <w:b/>
                <w:bCs/>
                <w:color w:val="000000"/>
                <w:sz w:val="18"/>
              </w:rPr>
              <w:br/>
              <w:t>Ahorros anuales</w:t>
            </w:r>
          </w:p>
          <w:p w:rsidR="0010230A" w:rsidRPr="008F0E12" w:rsidRDefault="0010230A" w:rsidP="00DC1333">
            <w:pPr>
              <w:jc w:val="center"/>
              <w:rPr>
                <w:b/>
                <w:bCs/>
                <w:color w:val="000000"/>
                <w:sz w:val="18"/>
              </w:rPr>
            </w:pPr>
            <w:r w:rsidRPr="008F0E12">
              <w:rPr>
                <w:b/>
                <w:bCs/>
                <w:color w:val="000000"/>
                <w:sz w:val="18"/>
              </w:rPr>
              <w:t>(francos suizos)**</w:t>
            </w:r>
          </w:p>
          <w:p w:rsidR="0010230A" w:rsidRPr="008F0E12" w:rsidRDefault="0010230A" w:rsidP="00DC1333">
            <w:pPr>
              <w:jc w:val="center"/>
              <w:rPr>
                <w:b/>
                <w:bCs/>
                <w:color w:val="000000"/>
                <w:sz w:val="18"/>
              </w:rPr>
            </w:pPr>
            <w:r w:rsidRPr="008F0E12">
              <w:rPr>
                <w:b/>
                <w:bCs/>
                <w:color w:val="000000"/>
                <w:sz w:val="18"/>
              </w:rPr>
              <w:t>C</w:t>
            </w:r>
          </w:p>
        </w:tc>
        <w:tc>
          <w:tcPr>
            <w:tcW w:w="823" w:type="pct"/>
            <w:tcBorders>
              <w:top w:val="single" w:sz="4" w:space="0" w:color="auto"/>
              <w:left w:val="nil"/>
              <w:bottom w:val="single" w:sz="4" w:space="0" w:color="auto"/>
              <w:right w:val="single" w:sz="4" w:space="0" w:color="auto"/>
            </w:tcBorders>
            <w:shd w:val="clear" w:color="000000" w:fill="8DB4E2"/>
            <w:vAlign w:val="center"/>
            <w:hideMark/>
          </w:tcPr>
          <w:p w:rsidR="0010230A" w:rsidRPr="008F0E12" w:rsidRDefault="0010230A" w:rsidP="00DC1333">
            <w:pPr>
              <w:jc w:val="center"/>
              <w:rPr>
                <w:b/>
                <w:bCs/>
                <w:color w:val="000000"/>
                <w:sz w:val="18"/>
              </w:rPr>
            </w:pPr>
            <w:r w:rsidRPr="008F0E12">
              <w:rPr>
                <w:b/>
                <w:bCs/>
                <w:color w:val="000000"/>
                <w:sz w:val="18"/>
              </w:rPr>
              <w:t>Disminución del costo unitario en 2014*</w:t>
            </w:r>
            <w:r w:rsidRPr="008F0E12">
              <w:rPr>
                <w:b/>
                <w:bCs/>
                <w:color w:val="000000"/>
                <w:sz w:val="18"/>
              </w:rPr>
              <w:br/>
              <w:t>(francos suizos)</w:t>
            </w:r>
          </w:p>
          <w:p w:rsidR="0010230A" w:rsidRPr="008F0E12" w:rsidRDefault="0010230A" w:rsidP="00DC1333">
            <w:pPr>
              <w:jc w:val="center"/>
              <w:rPr>
                <w:b/>
                <w:bCs/>
                <w:color w:val="000000"/>
                <w:sz w:val="18"/>
              </w:rPr>
            </w:pPr>
          </w:p>
          <w:p w:rsidR="0010230A" w:rsidRPr="008F0E12" w:rsidRDefault="0010230A" w:rsidP="00DC1333">
            <w:pPr>
              <w:jc w:val="center"/>
              <w:rPr>
                <w:b/>
                <w:bCs/>
                <w:color w:val="000000"/>
                <w:sz w:val="18"/>
              </w:rPr>
            </w:pPr>
            <w:r w:rsidRPr="008F0E12">
              <w:rPr>
                <w:b/>
                <w:bCs/>
                <w:color w:val="000000"/>
                <w:sz w:val="18"/>
              </w:rPr>
              <w:t>D</w:t>
            </w:r>
          </w:p>
        </w:tc>
        <w:tc>
          <w:tcPr>
            <w:tcW w:w="869" w:type="pct"/>
            <w:tcBorders>
              <w:top w:val="single" w:sz="4" w:space="0" w:color="auto"/>
              <w:left w:val="nil"/>
              <w:bottom w:val="single" w:sz="4" w:space="0" w:color="auto"/>
              <w:right w:val="single" w:sz="4" w:space="0" w:color="auto"/>
            </w:tcBorders>
            <w:shd w:val="clear" w:color="000000" w:fill="8DB4E2"/>
            <w:vAlign w:val="center"/>
            <w:hideMark/>
          </w:tcPr>
          <w:p w:rsidR="0010230A" w:rsidRPr="008F0E12" w:rsidRDefault="0010230A" w:rsidP="00DC1333">
            <w:pPr>
              <w:jc w:val="center"/>
              <w:rPr>
                <w:b/>
                <w:bCs/>
                <w:color w:val="000000"/>
                <w:sz w:val="18"/>
              </w:rPr>
            </w:pPr>
            <w:r w:rsidRPr="008F0E12">
              <w:rPr>
                <w:b/>
                <w:bCs/>
                <w:color w:val="000000"/>
                <w:sz w:val="18"/>
              </w:rPr>
              <w:t>Disminución del costo unitario en 2015</w:t>
            </w:r>
            <w:r w:rsidRPr="008F0E12">
              <w:rPr>
                <w:b/>
                <w:bCs/>
                <w:color w:val="000000"/>
                <w:sz w:val="18"/>
              </w:rPr>
              <w:br/>
              <w:t>(francos suizos)</w:t>
            </w:r>
          </w:p>
          <w:p w:rsidR="0010230A" w:rsidRPr="008F0E12" w:rsidRDefault="0010230A" w:rsidP="00DC1333">
            <w:pPr>
              <w:jc w:val="center"/>
              <w:rPr>
                <w:b/>
                <w:bCs/>
                <w:color w:val="000000"/>
                <w:sz w:val="18"/>
              </w:rPr>
            </w:pPr>
          </w:p>
          <w:p w:rsidR="0010230A" w:rsidRPr="008F0E12" w:rsidRDefault="0010230A" w:rsidP="00DC1333">
            <w:pPr>
              <w:jc w:val="center"/>
              <w:rPr>
                <w:b/>
                <w:bCs/>
                <w:color w:val="000000"/>
                <w:sz w:val="18"/>
              </w:rPr>
            </w:pPr>
          </w:p>
          <w:p w:rsidR="0010230A" w:rsidRPr="008F0E12" w:rsidRDefault="0010230A" w:rsidP="00DC1333">
            <w:pPr>
              <w:jc w:val="center"/>
              <w:rPr>
                <w:b/>
                <w:bCs/>
                <w:color w:val="000000"/>
                <w:sz w:val="18"/>
              </w:rPr>
            </w:pPr>
            <w:r w:rsidRPr="008F0E12">
              <w:rPr>
                <w:b/>
                <w:bCs/>
                <w:color w:val="000000"/>
                <w:sz w:val="18"/>
              </w:rPr>
              <w:t>E</w:t>
            </w:r>
          </w:p>
        </w:tc>
        <w:tc>
          <w:tcPr>
            <w:tcW w:w="1167" w:type="pct"/>
            <w:tcBorders>
              <w:top w:val="single" w:sz="4" w:space="0" w:color="auto"/>
              <w:left w:val="nil"/>
              <w:bottom w:val="single" w:sz="4" w:space="0" w:color="auto"/>
              <w:right w:val="single" w:sz="4" w:space="0" w:color="auto"/>
            </w:tcBorders>
            <w:shd w:val="clear" w:color="000000" w:fill="8DB4E2"/>
            <w:vAlign w:val="center"/>
            <w:hideMark/>
          </w:tcPr>
          <w:p w:rsidR="0010230A" w:rsidRPr="008F0E12" w:rsidRDefault="0010230A" w:rsidP="00DC1333">
            <w:pPr>
              <w:jc w:val="center"/>
              <w:rPr>
                <w:b/>
                <w:bCs/>
                <w:color w:val="000000"/>
                <w:sz w:val="18"/>
              </w:rPr>
            </w:pPr>
            <w:r w:rsidRPr="008F0E12">
              <w:rPr>
                <w:b/>
                <w:bCs/>
                <w:color w:val="000000"/>
                <w:sz w:val="18"/>
              </w:rPr>
              <w:t xml:space="preserve">Notas </w:t>
            </w:r>
          </w:p>
          <w:p w:rsidR="0010230A" w:rsidRPr="008F0E12" w:rsidRDefault="0010230A" w:rsidP="00DC1333">
            <w:pPr>
              <w:jc w:val="center"/>
              <w:rPr>
                <w:b/>
                <w:bCs/>
                <w:color w:val="000000"/>
                <w:sz w:val="18"/>
              </w:rPr>
            </w:pPr>
          </w:p>
          <w:p w:rsidR="0010230A" w:rsidRPr="008F0E12" w:rsidRDefault="0010230A" w:rsidP="00DC1333">
            <w:pPr>
              <w:jc w:val="center"/>
              <w:rPr>
                <w:b/>
                <w:bCs/>
                <w:color w:val="000000"/>
                <w:sz w:val="18"/>
              </w:rPr>
            </w:pPr>
          </w:p>
          <w:p w:rsidR="0010230A" w:rsidRPr="008F0E12" w:rsidRDefault="0010230A" w:rsidP="00DC1333">
            <w:pPr>
              <w:jc w:val="center"/>
              <w:rPr>
                <w:b/>
                <w:bCs/>
                <w:color w:val="000000"/>
                <w:sz w:val="18"/>
              </w:rPr>
            </w:pPr>
          </w:p>
          <w:p w:rsidR="0010230A" w:rsidRPr="008F0E12" w:rsidRDefault="0010230A" w:rsidP="00DC1333">
            <w:pPr>
              <w:jc w:val="center"/>
              <w:rPr>
                <w:b/>
                <w:bCs/>
                <w:color w:val="000000"/>
                <w:sz w:val="18"/>
              </w:rPr>
            </w:pPr>
          </w:p>
          <w:p w:rsidR="0010230A" w:rsidRPr="008F0E12" w:rsidRDefault="0010230A" w:rsidP="00DC1333">
            <w:pPr>
              <w:jc w:val="center"/>
              <w:rPr>
                <w:b/>
                <w:bCs/>
                <w:color w:val="000000"/>
                <w:sz w:val="18"/>
              </w:rPr>
            </w:pPr>
          </w:p>
          <w:p w:rsidR="0010230A" w:rsidRPr="008F0E12" w:rsidRDefault="0010230A" w:rsidP="00DC1333">
            <w:pPr>
              <w:jc w:val="center"/>
              <w:rPr>
                <w:b/>
                <w:bCs/>
                <w:color w:val="000000"/>
                <w:sz w:val="18"/>
              </w:rPr>
            </w:pPr>
            <w:r w:rsidRPr="008F0E12">
              <w:rPr>
                <w:b/>
                <w:bCs/>
                <w:color w:val="000000"/>
                <w:sz w:val="18"/>
              </w:rPr>
              <w:t>F</w:t>
            </w:r>
          </w:p>
        </w:tc>
      </w:tr>
      <w:tr w:rsidR="0010230A" w:rsidRPr="00D512B8" w:rsidTr="00DC1333">
        <w:trPr>
          <w:trHeight w:val="2281"/>
        </w:trPr>
        <w:tc>
          <w:tcPr>
            <w:tcW w:w="1012" w:type="pct"/>
            <w:tcBorders>
              <w:top w:val="single" w:sz="4" w:space="0" w:color="auto"/>
              <w:left w:val="single" w:sz="4" w:space="0" w:color="auto"/>
              <w:bottom w:val="single" w:sz="4" w:space="0" w:color="auto"/>
              <w:right w:val="single" w:sz="4" w:space="0" w:color="auto"/>
            </w:tcBorders>
            <w:shd w:val="clear" w:color="auto" w:fill="auto"/>
            <w:hideMark/>
          </w:tcPr>
          <w:p w:rsidR="0010230A" w:rsidRPr="008F0E12" w:rsidRDefault="0010230A" w:rsidP="00DC1333">
            <w:pPr>
              <w:rPr>
                <w:color w:val="000000"/>
                <w:sz w:val="17"/>
                <w:szCs w:val="17"/>
              </w:rPr>
            </w:pPr>
            <w:r w:rsidRPr="008F0E12">
              <w:rPr>
                <w:color w:val="000000"/>
                <w:sz w:val="17"/>
                <w:szCs w:val="17"/>
              </w:rPr>
              <w:t xml:space="preserve">Menores costos globales de tramitación de solicitudes internacionales PCT publicadas </w:t>
            </w:r>
            <w:r>
              <w:rPr>
                <w:color w:val="000000"/>
                <w:sz w:val="17"/>
                <w:szCs w:val="17"/>
              </w:rPr>
              <w:t>como consecuencia</w:t>
            </w:r>
            <w:r w:rsidRPr="008F0E12">
              <w:rPr>
                <w:color w:val="000000"/>
                <w:sz w:val="17"/>
                <w:szCs w:val="17"/>
              </w:rPr>
              <w:t xml:space="preserve"> de la mejora en el tratamiento de los compromisos financieros para la subcontratación de servicios de traducción y el aumento de la productividad</w:t>
            </w:r>
          </w:p>
        </w:tc>
        <w:tc>
          <w:tcPr>
            <w:tcW w:w="651" w:type="pct"/>
            <w:tcBorders>
              <w:top w:val="single" w:sz="4" w:space="0" w:color="auto"/>
              <w:left w:val="nil"/>
              <w:bottom w:val="single" w:sz="4" w:space="0" w:color="auto"/>
              <w:right w:val="single" w:sz="4" w:space="0" w:color="auto"/>
            </w:tcBorders>
            <w:shd w:val="clear" w:color="auto" w:fill="auto"/>
            <w:hideMark/>
          </w:tcPr>
          <w:p w:rsidR="0010230A" w:rsidRPr="008F0E12" w:rsidRDefault="0010230A" w:rsidP="00DC1333">
            <w:pPr>
              <w:spacing w:after="240"/>
              <w:rPr>
                <w:color w:val="000000"/>
                <w:sz w:val="17"/>
                <w:szCs w:val="17"/>
              </w:rPr>
            </w:pPr>
          </w:p>
        </w:tc>
        <w:tc>
          <w:tcPr>
            <w:tcW w:w="477" w:type="pct"/>
            <w:tcBorders>
              <w:top w:val="single" w:sz="4" w:space="0" w:color="auto"/>
              <w:left w:val="nil"/>
              <w:bottom w:val="single" w:sz="4" w:space="0" w:color="auto"/>
              <w:right w:val="single" w:sz="4" w:space="0" w:color="auto"/>
            </w:tcBorders>
            <w:shd w:val="clear" w:color="auto" w:fill="auto"/>
            <w:hideMark/>
          </w:tcPr>
          <w:p w:rsidR="0010230A" w:rsidRPr="008F0E12" w:rsidRDefault="0010230A" w:rsidP="00DC1333">
            <w:pPr>
              <w:rPr>
                <w:color w:val="000000"/>
                <w:sz w:val="17"/>
                <w:szCs w:val="17"/>
              </w:rPr>
            </w:pPr>
            <w:r w:rsidRPr="008F0E12">
              <w:rPr>
                <w:color w:val="000000"/>
                <w:sz w:val="17"/>
                <w:szCs w:val="17"/>
              </w:rPr>
              <w:t> </w:t>
            </w:r>
          </w:p>
        </w:tc>
        <w:tc>
          <w:tcPr>
            <w:tcW w:w="823" w:type="pct"/>
            <w:tcBorders>
              <w:top w:val="single" w:sz="4" w:space="0" w:color="auto"/>
              <w:left w:val="nil"/>
              <w:bottom w:val="single" w:sz="4" w:space="0" w:color="auto"/>
              <w:right w:val="single" w:sz="4" w:space="0" w:color="auto"/>
            </w:tcBorders>
            <w:shd w:val="clear" w:color="auto" w:fill="auto"/>
            <w:hideMark/>
          </w:tcPr>
          <w:p w:rsidR="0010230A" w:rsidRPr="008F0E12" w:rsidRDefault="0010230A" w:rsidP="00DC1333">
            <w:pPr>
              <w:rPr>
                <w:color w:val="000000"/>
                <w:sz w:val="17"/>
                <w:szCs w:val="17"/>
              </w:rPr>
            </w:pPr>
            <w:r w:rsidRPr="008F0E12">
              <w:rPr>
                <w:color w:val="000000"/>
                <w:sz w:val="17"/>
                <w:szCs w:val="17"/>
              </w:rPr>
              <w:t>Reducción de 722 CHF en 2013 a 662 CHF  en 2014  (es decir, disminución de 60 CHF o 8,3%)</w:t>
            </w:r>
          </w:p>
        </w:tc>
        <w:tc>
          <w:tcPr>
            <w:tcW w:w="869" w:type="pct"/>
            <w:tcBorders>
              <w:top w:val="single" w:sz="4" w:space="0" w:color="auto"/>
              <w:left w:val="nil"/>
              <w:bottom w:val="single" w:sz="4" w:space="0" w:color="auto"/>
              <w:right w:val="single" w:sz="4" w:space="0" w:color="auto"/>
            </w:tcBorders>
            <w:shd w:val="clear" w:color="auto" w:fill="auto"/>
            <w:hideMark/>
          </w:tcPr>
          <w:p w:rsidR="0010230A" w:rsidRPr="008F0E12" w:rsidRDefault="0010230A" w:rsidP="00DC1333">
            <w:pPr>
              <w:rPr>
                <w:color w:val="000000"/>
                <w:sz w:val="17"/>
                <w:szCs w:val="17"/>
              </w:rPr>
            </w:pPr>
            <w:r w:rsidRPr="008F0E12">
              <w:rPr>
                <w:color w:val="000000"/>
                <w:sz w:val="17"/>
                <w:szCs w:val="17"/>
              </w:rPr>
              <w:t> Aumento de 662 CHF en 2014 a 735 CHF en 2015 (es decir, 73 CHF o 11%)</w:t>
            </w:r>
          </w:p>
        </w:tc>
        <w:tc>
          <w:tcPr>
            <w:tcW w:w="1167" w:type="pct"/>
            <w:tcBorders>
              <w:top w:val="single" w:sz="4" w:space="0" w:color="auto"/>
              <w:left w:val="nil"/>
              <w:bottom w:val="single" w:sz="4" w:space="0" w:color="auto"/>
              <w:right w:val="single" w:sz="4" w:space="0" w:color="auto"/>
            </w:tcBorders>
            <w:shd w:val="clear" w:color="auto" w:fill="auto"/>
            <w:hideMark/>
          </w:tcPr>
          <w:p w:rsidR="0010230A" w:rsidRPr="008F0E12" w:rsidRDefault="0010230A" w:rsidP="00DC1333">
            <w:pPr>
              <w:rPr>
                <w:color w:val="000000"/>
                <w:sz w:val="17"/>
                <w:szCs w:val="17"/>
              </w:rPr>
            </w:pPr>
            <w:r w:rsidRPr="008F0E12">
              <w:rPr>
                <w:sz w:val="17"/>
                <w:szCs w:val="17"/>
              </w:rPr>
              <w:t xml:space="preserve">El costo unitario se define como el costo medio de producción de una unidad de producto.  En el cálculo del costo unitario se tiene en cuenta el costo total de producción que comprende los gastos relativos exclusivamente al Sistema del PCT y los gastos de actividades de apoyo al sistema.  </w:t>
            </w:r>
            <w:r w:rsidRPr="008F0E12">
              <w:rPr>
                <w:color w:val="000000"/>
                <w:sz w:val="17"/>
                <w:szCs w:val="17"/>
              </w:rPr>
              <w:t xml:space="preserve">(Para información más detallada, cabe remitirse al documento PPR de 2014/15).  </w:t>
            </w:r>
          </w:p>
          <w:p w:rsidR="0010230A" w:rsidRPr="008F0E12" w:rsidRDefault="0010230A">
            <w:pPr>
              <w:rPr>
                <w:color w:val="000000"/>
                <w:sz w:val="17"/>
                <w:szCs w:val="17"/>
              </w:rPr>
            </w:pPr>
          </w:p>
        </w:tc>
      </w:tr>
      <w:tr w:rsidR="0010230A" w:rsidRPr="00D512B8" w:rsidTr="00DC1333">
        <w:trPr>
          <w:trHeight w:val="1256"/>
        </w:trPr>
        <w:tc>
          <w:tcPr>
            <w:tcW w:w="1012" w:type="pct"/>
            <w:tcBorders>
              <w:top w:val="nil"/>
              <w:left w:val="single" w:sz="4" w:space="0" w:color="auto"/>
              <w:bottom w:val="single" w:sz="4" w:space="0" w:color="auto"/>
              <w:right w:val="single" w:sz="4" w:space="0" w:color="auto"/>
            </w:tcBorders>
            <w:shd w:val="clear" w:color="auto" w:fill="auto"/>
          </w:tcPr>
          <w:p w:rsidR="0010230A" w:rsidRPr="008F0E12" w:rsidRDefault="0010230A" w:rsidP="00DC1333">
            <w:pPr>
              <w:rPr>
                <w:color w:val="000000"/>
                <w:sz w:val="17"/>
                <w:szCs w:val="17"/>
              </w:rPr>
            </w:pPr>
            <w:r w:rsidRPr="008F0E12">
              <w:rPr>
                <w:color w:val="000000"/>
                <w:sz w:val="17"/>
                <w:szCs w:val="17"/>
              </w:rPr>
              <w:t xml:space="preserve">Menor costo de tramitación de los nuevos registros internacionales y de las renovaciones en el marco del Sistema de Madrid </w:t>
            </w:r>
          </w:p>
        </w:tc>
        <w:tc>
          <w:tcPr>
            <w:tcW w:w="651" w:type="pct"/>
            <w:tcBorders>
              <w:top w:val="nil"/>
              <w:left w:val="nil"/>
              <w:bottom w:val="single" w:sz="4" w:space="0" w:color="auto"/>
              <w:right w:val="single" w:sz="4" w:space="0" w:color="auto"/>
            </w:tcBorders>
            <w:shd w:val="clear" w:color="auto" w:fill="auto"/>
          </w:tcPr>
          <w:p w:rsidR="0010230A" w:rsidRPr="008F0E12" w:rsidRDefault="0010230A" w:rsidP="00DC1333">
            <w:pPr>
              <w:rPr>
                <w:color w:val="000000"/>
                <w:sz w:val="17"/>
                <w:szCs w:val="17"/>
              </w:rPr>
            </w:pPr>
          </w:p>
        </w:tc>
        <w:tc>
          <w:tcPr>
            <w:tcW w:w="477" w:type="pct"/>
            <w:tcBorders>
              <w:top w:val="nil"/>
              <w:left w:val="nil"/>
              <w:bottom w:val="single" w:sz="4" w:space="0" w:color="auto"/>
              <w:right w:val="single" w:sz="4" w:space="0" w:color="auto"/>
            </w:tcBorders>
            <w:shd w:val="clear" w:color="auto" w:fill="auto"/>
          </w:tcPr>
          <w:p w:rsidR="0010230A" w:rsidRPr="008F0E12" w:rsidRDefault="0010230A" w:rsidP="00DC1333">
            <w:pPr>
              <w:rPr>
                <w:color w:val="000000"/>
                <w:sz w:val="17"/>
                <w:szCs w:val="17"/>
              </w:rPr>
            </w:pPr>
          </w:p>
        </w:tc>
        <w:tc>
          <w:tcPr>
            <w:tcW w:w="823" w:type="pct"/>
            <w:tcBorders>
              <w:top w:val="nil"/>
              <w:left w:val="nil"/>
              <w:bottom w:val="single" w:sz="4" w:space="0" w:color="auto"/>
              <w:right w:val="single" w:sz="4" w:space="0" w:color="auto"/>
            </w:tcBorders>
            <w:shd w:val="clear" w:color="auto" w:fill="auto"/>
          </w:tcPr>
          <w:p w:rsidR="0010230A" w:rsidRPr="008F0E12" w:rsidRDefault="0010230A" w:rsidP="00DC1333">
            <w:pPr>
              <w:rPr>
                <w:color w:val="000000"/>
                <w:sz w:val="17"/>
                <w:szCs w:val="17"/>
              </w:rPr>
            </w:pPr>
          </w:p>
        </w:tc>
        <w:tc>
          <w:tcPr>
            <w:tcW w:w="869" w:type="pct"/>
            <w:tcBorders>
              <w:top w:val="nil"/>
              <w:left w:val="nil"/>
              <w:bottom w:val="single" w:sz="4" w:space="0" w:color="auto"/>
              <w:right w:val="single" w:sz="4" w:space="0" w:color="auto"/>
            </w:tcBorders>
            <w:shd w:val="clear" w:color="auto" w:fill="auto"/>
          </w:tcPr>
          <w:p w:rsidR="0010230A" w:rsidRPr="008F0E12" w:rsidRDefault="0010230A" w:rsidP="00DC1333">
            <w:pPr>
              <w:rPr>
                <w:color w:val="000000"/>
                <w:sz w:val="17"/>
                <w:szCs w:val="17"/>
              </w:rPr>
            </w:pPr>
            <w:r w:rsidRPr="008F0E12">
              <w:rPr>
                <w:color w:val="000000"/>
                <w:sz w:val="17"/>
                <w:szCs w:val="17"/>
              </w:rPr>
              <w:t>Disminución de 837 CHF en 2014 a 743 CHF en 2015 (es decir, 94 CHF o 11%)</w:t>
            </w:r>
          </w:p>
        </w:tc>
        <w:tc>
          <w:tcPr>
            <w:tcW w:w="1167" w:type="pct"/>
            <w:tcBorders>
              <w:top w:val="nil"/>
              <w:left w:val="nil"/>
              <w:bottom w:val="single" w:sz="4" w:space="0" w:color="auto"/>
              <w:right w:val="single" w:sz="4" w:space="0" w:color="auto"/>
            </w:tcBorders>
            <w:shd w:val="clear" w:color="auto" w:fill="auto"/>
          </w:tcPr>
          <w:p w:rsidR="0010230A" w:rsidRPr="008F0E12" w:rsidRDefault="0010230A" w:rsidP="00DC1333">
            <w:pPr>
              <w:rPr>
                <w:color w:val="000000"/>
                <w:sz w:val="17"/>
                <w:szCs w:val="17"/>
              </w:rPr>
            </w:pPr>
            <w:r w:rsidRPr="008F0E12">
              <w:rPr>
                <w:color w:val="000000"/>
                <w:sz w:val="17"/>
                <w:szCs w:val="17"/>
              </w:rPr>
              <w:t>Cabe remitirse al documento PPR de 2014/15 para más información sobre los indicadores de las operaciones del Sistema de Madrid.</w:t>
            </w:r>
          </w:p>
          <w:p w:rsidR="0010230A" w:rsidRPr="008F0E12" w:rsidRDefault="0010230A" w:rsidP="00DC1333">
            <w:pPr>
              <w:rPr>
                <w:color w:val="000000"/>
                <w:sz w:val="17"/>
                <w:szCs w:val="17"/>
              </w:rPr>
            </w:pPr>
          </w:p>
        </w:tc>
      </w:tr>
      <w:tr w:rsidR="0010230A" w:rsidRPr="00D512B8" w:rsidTr="00DC1333">
        <w:trPr>
          <w:trHeight w:val="1020"/>
        </w:trPr>
        <w:tc>
          <w:tcPr>
            <w:tcW w:w="1012" w:type="pct"/>
            <w:tcBorders>
              <w:top w:val="single" w:sz="4" w:space="0" w:color="auto"/>
              <w:left w:val="single" w:sz="4" w:space="0" w:color="auto"/>
              <w:bottom w:val="single" w:sz="4" w:space="0" w:color="auto"/>
              <w:right w:val="single" w:sz="4" w:space="0" w:color="auto"/>
            </w:tcBorders>
            <w:shd w:val="clear" w:color="auto" w:fill="auto"/>
            <w:hideMark/>
          </w:tcPr>
          <w:p w:rsidR="0010230A" w:rsidRPr="008F0E12" w:rsidRDefault="0010230A" w:rsidP="00DC1333">
            <w:pPr>
              <w:rPr>
                <w:color w:val="000000"/>
                <w:sz w:val="17"/>
                <w:szCs w:val="17"/>
              </w:rPr>
            </w:pPr>
            <w:r w:rsidRPr="008F0E12">
              <w:rPr>
                <w:color w:val="000000"/>
                <w:sz w:val="17"/>
                <w:szCs w:val="17"/>
              </w:rPr>
              <w:t xml:space="preserve">Reducción de los costos de viajes por vacaciones en el país de origen </w:t>
            </w:r>
            <w:r>
              <w:rPr>
                <w:color w:val="000000"/>
                <w:sz w:val="17"/>
                <w:szCs w:val="17"/>
              </w:rPr>
              <w:t xml:space="preserve">como consecuencia </w:t>
            </w:r>
            <w:r w:rsidRPr="008F0E12">
              <w:rPr>
                <w:color w:val="000000"/>
                <w:sz w:val="17"/>
                <w:szCs w:val="17"/>
              </w:rPr>
              <w:t>de la aplicación de la nueva política de viajes por vacaciones en el país de origen (OI 22/2014)</w:t>
            </w:r>
          </w:p>
          <w:p w:rsidR="0010230A" w:rsidRPr="008F0E12" w:rsidRDefault="0010230A" w:rsidP="00DC1333">
            <w:pPr>
              <w:rPr>
                <w:color w:val="000000"/>
                <w:sz w:val="17"/>
                <w:szCs w:val="17"/>
              </w:rPr>
            </w:pPr>
          </w:p>
        </w:tc>
        <w:tc>
          <w:tcPr>
            <w:tcW w:w="651" w:type="pct"/>
            <w:tcBorders>
              <w:top w:val="single" w:sz="4" w:space="0" w:color="auto"/>
              <w:left w:val="nil"/>
              <w:bottom w:val="single" w:sz="4" w:space="0" w:color="auto"/>
              <w:right w:val="single" w:sz="4" w:space="0" w:color="auto"/>
            </w:tcBorders>
            <w:shd w:val="clear" w:color="auto" w:fill="auto"/>
            <w:hideMark/>
          </w:tcPr>
          <w:p w:rsidR="0010230A" w:rsidRPr="008F0E12" w:rsidRDefault="0010230A" w:rsidP="00DC1333">
            <w:pPr>
              <w:rPr>
                <w:color w:val="000000"/>
                <w:sz w:val="17"/>
                <w:szCs w:val="17"/>
              </w:rPr>
            </w:pPr>
            <w:r w:rsidRPr="008F0E12">
              <w:rPr>
                <w:color w:val="000000"/>
                <w:sz w:val="17"/>
                <w:szCs w:val="17"/>
              </w:rPr>
              <w:t>n/a</w:t>
            </w:r>
          </w:p>
        </w:tc>
        <w:tc>
          <w:tcPr>
            <w:tcW w:w="477" w:type="pct"/>
            <w:tcBorders>
              <w:top w:val="single" w:sz="4" w:space="0" w:color="auto"/>
              <w:left w:val="nil"/>
              <w:bottom w:val="single" w:sz="4" w:space="0" w:color="auto"/>
              <w:right w:val="single" w:sz="4" w:space="0" w:color="auto"/>
            </w:tcBorders>
            <w:shd w:val="clear" w:color="auto" w:fill="auto"/>
            <w:hideMark/>
          </w:tcPr>
          <w:p w:rsidR="0010230A" w:rsidRPr="008F0E12" w:rsidRDefault="0010230A" w:rsidP="00DC1333">
            <w:pPr>
              <w:rPr>
                <w:color w:val="000000"/>
                <w:sz w:val="17"/>
                <w:szCs w:val="17"/>
              </w:rPr>
            </w:pPr>
            <w:r w:rsidRPr="008F0E12">
              <w:rPr>
                <w:color w:val="000000"/>
                <w:sz w:val="17"/>
                <w:szCs w:val="17"/>
              </w:rPr>
              <w:t> 267.000</w:t>
            </w:r>
          </w:p>
        </w:tc>
        <w:tc>
          <w:tcPr>
            <w:tcW w:w="823" w:type="pct"/>
            <w:tcBorders>
              <w:top w:val="single" w:sz="4" w:space="0" w:color="auto"/>
              <w:left w:val="nil"/>
              <w:bottom w:val="single" w:sz="4" w:space="0" w:color="auto"/>
              <w:right w:val="single" w:sz="4" w:space="0" w:color="auto"/>
            </w:tcBorders>
            <w:shd w:val="clear" w:color="auto" w:fill="auto"/>
            <w:hideMark/>
          </w:tcPr>
          <w:p w:rsidR="0010230A" w:rsidRPr="008F0E12" w:rsidRDefault="0010230A" w:rsidP="00DC1333">
            <w:pPr>
              <w:rPr>
                <w:color w:val="000000"/>
                <w:sz w:val="17"/>
                <w:szCs w:val="17"/>
              </w:rPr>
            </w:pPr>
          </w:p>
        </w:tc>
        <w:tc>
          <w:tcPr>
            <w:tcW w:w="869" w:type="pct"/>
            <w:tcBorders>
              <w:top w:val="single" w:sz="4" w:space="0" w:color="auto"/>
              <w:left w:val="nil"/>
              <w:bottom w:val="single" w:sz="4" w:space="0" w:color="auto"/>
              <w:right w:val="single" w:sz="4" w:space="0" w:color="auto"/>
            </w:tcBorders>
            <w:shd w:val="clear" w:color="auto" w:fill="auto"/>
            <w:hideMark/>
          </w:tcPr>
          <w:p w:rsidR="0010230A" w:rsidRPr="008F0E12" w:rsidRDefault="0010230A" w:rsidP="00DC1333">
            <w:pPr>
              <w:rPr>
                <w:color w:val="000000"/>
                <w:sz w:val="17"/>
                <w:szCs w:val="17"/>
              </w:rPr>
            </w:pPr>
          </w:p>
        </w:tc>
        <w:tc>
          <w:tcPr>
            <w:tcW w:w="1167" w:type="pct"/>
            <w:tcBorders>
              <w:top w:val="single" w:sz="4" w:space="0" w:color="auto"/>
              <w:left w:val="nil"/>
              <w:bottom w:val="single" w:sz="4" w:space="0" w:color="auto"/>
              <w:right w:val="single" w:sz="4" w:space="0" w:color="auto"/>
            </w:tcBorders>
            <w:shd w:val="clear" w:color="auto" w:fill="auto"/>
            <w:hideMark/>
          </w:tcPr>
          <w:p w:rsidR="0010230A" w:rsidRPr="008F0E12" w:rsidRDefault="0010230A" w:rsidP="00DC1333">
            <w:pPr>
              <w:rPr>
                <w:color w:val="000000"/>
                <w:sz w:val="17"/>
                <w:szCs w:val="17"/>
              </w:rPr>
            </w:pPr>
            <w:r w:rsidRPr="008F0E12">
              <w:rPr>
                <w:color w:val="000000"/>
                <w:sz w:val="17"/>
                <w:szCs w:val="17"/>
              </w:rPr>
              <w:t>La nueva política de viajes por vacaciones en el país de origen comenzó a aplicarse en 2015.</w:t>
            </w:r>
          </w:p>
        </w:tc>
      </w:tr>
      <w:tr w:rsidR="0010230A" w:rsidRPr="00D512B8" w:rsidTr="00DC1333">
        <w:trPr>
          <w:trHeight w:val="2040"/>
        </w:trPr>
        <w:tc>
          <w:tcPr>
            <w:tcW w:w="1012" w:type="pct"/>
            <w:tcBorders>
              <w:top w:val="nil"/>
              <w:left w:val="single" w:sz="4" w:space="0" w:color="auto"/>
              <w:bottom w:val="single" w:sz="4" w:space="0" w:color="auto"/>
              <w:right w:val="single" w:sz="4" w:space="0" w:color="auto"/>
            </w:tcBorders>
            <w:shd w:val="clear" w:color="auto" w:fill="auto"/>
          </w:tcPr>
          <w:p w:rsidR="0010230A" w:rsidRPr="008F0E12" w:rsidRDefault="0010230A" w:rsidP="00DC1333">
            <w:pPr>
              <w:rPr>
                <w:color w:val="000000"/>
                <w:sz w:val="17"/>
                <w:szCs w:val="17"/>
              </w:rPr>
            </w:pPr>
            <w:r w:rsidRPr="008F0E12">
              <w:rPr>
                <w:color w:val="000000"/>
                <w:sz w:val="17"/>
                <w:szCs w:val="17"/>
              </w:rPr>
              <w:t xml:space="preserve">Disminución del precio medio del billete de avión </w:t>
            </w:r>
            <w:r>
              <w:rPr>
                <w:color w:val="000000"/>
                <w:sz w:val="17"/>
                <w:szCs w:val="17"/>
              </w:rPr>
              <w:t>como consecuencia</w:t>
            </w:r>
            <w:r w:rsidRPr="008F0E12">
              <w:rPr>
                <w:color w:val="000000"/>
                <w:sz w:val="17"/>
                <w:szCs w:val="17"/>
              </w:rPr>
              <w:t xml:space="preserve"> de la aplicación de nuevas herramientas tecnológicas para los viajes que ofrecen tarifas más económicas (restrictivas o billetes no reembolsables) configuradas en pleno cumplimiento de la política de viajes la OMPI e influyen en la reserva anticipada de billetes.</w:t>
            </w:r>
          </w:p>
        </w:tc>
        <w:tc>
          <w:tcPr>
            <w:tcW w:w="651" w:type="pct"/>
            <w:tcBorders>
              <w:top w:val="nil"/>
              <w:left w:val="nil"/>
              <w:bottom w:val="single" w:sz="4" w:space="0" w:color="auto"/>
              <w:right w:val="single" w:sz="4" w:space="0" w:color="auto"/>
            </w:tcBorders>
            <w:shd w:val="clear" w:color="auto" w:fill="auto"/>
          </w:tcPr>
          <w:p w:rsidR="0010230A" w:rsidRPr="008F0E12" w:rsidRDefault="0010230A" w:rsidP="00DC1333">
            <w:pPr>
              <w:rPr>
                <w:color w:val="000000"/>
                <w:sz w:val="17"/>
                <w:szCs w:val="17"/>
              </w:rPr>
            </w:pPr>
          </w:p>
        </w:tc>
        <w:tc>
          <w:tcPr>
            <w:tcW w:w="477" w:type="pct"/>
            <w:tcBorders>
              <w:top w:val="nil"/>
              <w:left w:val="nil"/>
              <w:bottom w:val="single" w:sz="4" w:space="0" w:color="auto"/>
              <w:right w:val="single" w:sz="4" w:space="0" w:color="auto"/>
            </w:tcBorders>
            <w:shd w:val="clear" w:color="auto" w:fill="auto"/>
          </w:tcPr>
          <w:p w:rsidR="0010230A" w:rsidRPr="008F0E12" w:rsidRDefault="0010230A" w:rsidP="00DC1333">
            <w:pPr>
              <w:rPr>
                <w:color w:val="000000"/>
                <w:sz w:val="17"/>
                <w:szCs w:val="17"/>
              </w:rPr>
            </w:pPr>
            <w:r w:rsidRPr="008F0E12">
              <w:rPr>
                <w:color w:val="000000"/>
                <w:sz w:val="17"/>
                <w:szCs w:val="17"/>
              </w:rPr>
              <w:t> </w:t>
            </w:r>
          </w:p>
        </w:tc>
        <w:tc>
          <w:tcPr>
            <w:tcW w:w="823" w:type="pct"/>
            <w:tcBorders>
              <w:top w:val="nil"/>
              <w:left w:val="nil"/>
              <w:bottom w:val="single" w:sz="4" w:space="0" w:color="auto"/>
              <w:right w:val="single" w:sz="4" w:space="0" w:color="auto"/>
            </w:tcBorders>
            <w:shd w:val="clear" w:color="auto" w:fill="auto"/>
          </w:tcPr>
          <w:p w:rsidR="0010230A" w:rsidRPr="008F0E12" w:rsidRDefault="0010230A" w:rsidP="00DC1333">
            <w:pPr>
              <w:rPr>
                <w:color w:val="000000"/>
                <w:sz w:val="17"/>
                <w:szCs w:val="17"/>
              </w:rPr>
            </w:pPr>
            <w:r w:rsidRPr="008F0E12">
              <w:rPr>
                <w:color w:val="000000"/>
                <w:sz w:val="17"/>
                <w:szCs w:val="17"/>
              </w:rPr>
              <w:t>Reducción de 1.728 CHF en 2013 a 1.598 CHF en 2014  (7,5% menos que en 2013)</w:t>
            </w:r>
          </w:p>
        </w:tc>
        <w:tc>
          <w:tcPr>
            <w:tcW w:w="869" w:type="pct"/>
            <w:tcBorders>
              <w:top w:val="nil"/>
              <w:left w:val="nil"/>
              <w:bottom w:val="single" w:sz="4" w:space="0" w:color="auto"/>
              <w:right w:val="single" w:sz="4" w:space="0" w:color="auto"/>
            </w:tcBorders>
            <w:shd w:val="clear" w:color="auto" w:fill="auto"/>
          </w:tcPr>
          <w:p w:rsidR="0010230A" w:rsidRPr="008F0E12" w:rsidRDefault="0010230A" w:rsidP="00DC1333">
            <w:pPr>
              <w:rPr>
                <w:color w:val="000000"/>
                <w:sz w:val="17"/>
                <w:szCs w:val="17"/>
              </w:rPr>
            </w:pPr>
            <w:r w:rsidRPr="008F0E12">
              <w:rPr>
                <w:color w:val="000000"/>
                <w:sz w:val="17"/>
                <w:szCs w:val="17"/>
              </w:rPr>
              <w:t>Nueva reducción a 1.481 CHF en 2015 (7</w:t>
            </w:r>
            <w:r>
              <w:rPr>
                <w:color w:val="000000"/>
                <w:sz w:val="17"/>
                <w:szCs w:val="17"/>
              </w:rPr>
              <w:t>,</w:t>
            </w:r>
            <w:r w:rsidRPr="008F0E12">
              <w:rPr>
                <w:color w:val="000000"/>
                <w:sz w:val="17"/>
                <w:szCs w:val="17"/>
              </w:rPr>
              <w:t xml:space="preserve">3% menos que en 2014) </w:t>
            </w:r>
          </w:p>
        </w:tc>
        <w:tc>
          <w:tcPr>
            <w:tcW w:w="1167" w:type="pct"/>
            <w:tcBorders>
              <w:top w:val="nil"/>
              <w:left w:val="nil"/>
              <w:bottom w:val="single" w:sz="4" w:space="0" w:color="auto"/>
              <w:right w:val="single" w:sz="4" w:space="0" w:color="auto"/>
            </w:tcBorders>
            <w:shd w:val="clear" w:color="auto" w:fill="auto"/>
          </w:tcPr>
          <w:p w:rsidR="0010230A" w:rsidRPr="008F0E12" w:rsidRDefault="0010230A" w:rsidP="00DC1333">
            <w:pPr>
              <w:rPr>
                <w:color w:val="000000"/>
                <w:sz w:val="17"/>
                <w:szCs w:val="17"/>
              </w:rPr>
            </w:pPr>
            <w:r w:rsidRPr="008F0E12">
              <w:rPr>
                <w:color w:val="000000"/>
                <w:sz w:val="17"/>
                <w:szCs w:val="17"/>
              </w:rPr>
              <w:t>2014:  Se realizaron esfuerzos considerables para reducir los gastos de viaje, con lo que disminuyó el número de billetes emitidos y el número de casos de presentación tardía de solicitudes de viaje.</w:t>
            </w:r>
          </w:p>
          <w:p w:rsidR="0010230A" w:rsidRPr="008F0E12" w:rsidRDefault="0010230A" w:rsidP="00DC1333">
            <w:pPr>
              <w:rPr>
                <w:color w:val="000000"/>
                <w:sz w:val="17"/>
                <w:szCs w:val="17"/>
              </w:rPr>
            </w:pPr>
          </w:p>
          <w:p w:rsidR="0010230A" w:rsidRPr="008F0E12" w:rsidRDefault="0010230A" w:rsidP="00DC1333">
            <w:pPr>
              <w:rPr>
                <w:color w:val="000000"/>
                <w:sz w:val="17"/>
                <w:szCs w:val="17"/>
              </w:rPr>
            </w:pPr>
            <w:r w:rsidRPr="008F0E12">
              <w:rPr>
                <w:color w:val="000000"/>
                <w:sz w:val="17"/>
                <w:szCs w:val="17"/>
              </w:rPr>
              <w:t xml:space="preserve">2015: La utilización de una herramienta de reservas en línea y la presentación de informes sobre pedidos de autorización de viaje efectuados tardíamente (es decir, 16 días antes del inicio del viaje) han </w:t>
            </w:r>
            <w:r w:rsidRPr="008F0E12">
              <w:rPr>
                <w:color w:val="000000"/>
                <w:sz w:val="17"/>
                <w:szCs w:val="17"/>
              </w:rPr>
              <w:lastRenderedPageBreak/>
              <w:t xml:space="preserve">mejorado los índices de reserva anticipada de billetes, con lo que se dispone de tarifas más baratas en el mercado (el precio medio del billete comprende los billetes emitidos por medio de la agencia de viajes, el PNUD y los que compran por su cuenta quienes viajan). </w:t>
            </w:r>
          </w:p>
        </w:tc>
      </w:tr>
      <w:tr w:rsidR="0010230A" w:rsidRPr="00D512B8" w:rsidTr="00DC1333">
        <w:trPr>
          <w:trHeight w:val="1711"/>
        </w:trPr>
        <w:tc>
          <w:tcPr>
            <w:tcW w:w="1012" w:type="pct"/>
            <w:tcBorders>
              <w:top w:val="nil"/>
              <w:left w:val="single" w:sz="4" w:space="0" w:color="auto"/>
              <w:bottom w:val="single" w:sz="4" w:space="0" w:color="auto"/>
              <w:right w:val="single" w:sz="4" w:space="0" w:color="auto"/>
            </w:tcBorders>
            <w:shd w:val="clear" w:color="auto" w:fill="auto"/>
          </w:tcPr>
          <w:p w:rsidR="0010230A" w:rsidRPr="008F0E12" w:rsidRDefault="0010230A" w:rsidP="00DC1333">
            <w:pPr>
              <w:rPr>
                <w:color w:val="000000"/>
                <w:sz w:val="17"/>
                <w:szCs w:val="17"/>
              </w:rPr>
            </w:pPr>
            <w:r w:rsidRPr="008F0E12">
              <w:rPr>
                <w:color w:val="000000"/>
                <w:sz w:val="17"/>
                <w:szCs w:val="17"/>
              </w:rPr>
              <w:lastRenderedPageBreak/>
              <w:t xml:space="preserve">Menor </w:t>
            </w:r>
            <w:r w:rsidRPr="0071586D">
              <w:rPr>
                <w:color w:val="000000"/>
                <w:sz w:val="17"/>
                <w:szCs w:val="17"/>
              </w:rPr>
              <w:t>comisión media por transacción</w:t>
            </w:r>
            <w:r w:rsidRPr="008F0E12">
              <w:rPr>
                <w:color w:val="000000"/>
                <w:sz w:val="17"/>
                <w:szCs w:val="17"/>
              </w:rPr>
              <w:t xml:space="preserve"> pagada en total a la agencia de viajes, al PNUD, y herramienta de reservas en línea. </w:t>
            </w:r>
          </w:p>
          <w:p w:rsidR="0010230A" w:rsidRPr="008F0E12" w:rsidRDefault="0010230A" w:rsidP="00DC1333">
            <w:pPr>
              <w:rPr>
                <w:color w:val="000000"/>
                <w:sz w:val="17"/>
                <w:szCs w:val="17"/>
              </w:rPr>
            </w:pPr>
          </w:p>
        </w:tc>
        <w:tc>
          <w:tcPr>
            <w:tcW w:w="651" w:type="pct"/>
            <w:tcBorders>
              <w:top w:val="nil"/>
              <w:left w:val="nil"/>
              <w:bottom w:val="single" w:sz="4" w:space="0" w:color="auto"/>
              <w:right w:val="single" w:sz="4" w:space="0" w:color="auto"/>
            </w:tcBorders>
            <w:shd w:val="clear" w:color="auto" w:fill="auto"/>
          </w:tcPr>
          <w:p w:rsidR="0010230A" w:rsidRPr="008F0E12" w:rsidRDefault="0010230A" w:rsidP="00DC1333">
            <w:pPr>
              <w:rPr>
                <w:color w:val="000000"/>
                <w:sz w:val="17"/>
                <w:szCs w:val="17"/>
              </w:rPr>
            </w:pPr>
          </w:p>
        </w:tc>
        <w:tc>
          <w:tcPr>
            <w:tcW w:w="477" w:type="pct"/>
            <w:tcBorders>
              <w:top w:val="nil"/>
              <w:left w:val="nil"/>
              <w:bottom w:val="single" w:sz="4" w:space="0" w:color="auto"/>
              <w:right w:val="single" w:sz="4" w:space="0" w:color="auto"/>
            </w:tcBorders>
            <w:shd w:val="clear" w:color="auto" w:fill="auto"/>
          </w:tcPr>
          <w:p w:rsidR="0010230A" w:rsidRPr="008F0E12" w:rsidRDefault="0010230A" w:rsidP="00DC1333">
            <w:pPr>
              <w:rPr>
                <w:color w:val="000000"/>
                <w:sz w:val="17"/>
                <w:szCs w:val="17"/>
              </w:rPr>
            </w:pPr>
          </w:p>
        </w:tc>
        <w:tc>
          <w:tcPr>
            <w:tcW w:w="823" w:type="pct"/>
            <w:tcBorders>
              <w:top w:val="nil"/>
              <w:left w:val="nil"/>
              <w:bottom w:val="single" w:sz="4" w:space="0" w:color="auto"/>
              <w:right w:val="single" w:sz="4" w:space="0" w:color="auto"/>
            </w:tcBorders>
            <w:shd w:val="clear" w:color="auto" w:fill="auto"/>
          </w:tcPr>
          <w:p w:rsidR="0010230A" w:rsidRPr="008F0E12" w:rsidRDefault="0010230A" w:rsidP="00DC1333">
            <w:pPr>
              <w:rPr>
                <w:color w:val="000000"/>
                <w:sz w:val="17"/>
                <w:szCs w:val="17"/>
              </w:rPr>
            </w:pPr>
            <w:r w:rsidRPr="008F0E12">
              <w:rPr>
                <w:color w:val="000000"/>
                <w:sz w:val="17"/>
                <w:szCs w:val="17"/>
              </w:rPr>
              <w:t>119</w:t>
            </w:r>
          </w:p>
        </w:tc>
        <w:tc>
          <w:tcPr>
            <w:tcW w:w="869" w:type="pct"/>
            <w:tcBorders>
              <w:top w:val="nil"/>
              <w:left w:val="nil"/>
              <w:bottom w:val="single" w:sz="4" w:space="0" w:color="auto"/>
              <w:right w:val="single" w:sz="4" w:space="0" w:color="auto"/>
            </w:tcBorders>
            <w:shd w:val="clear" w:color="auto" w:fill="auto"/>
          </w:tcPr>
          <w:p w:rsidR="0010230A" w:rsidRPr="008F0E12" w:rsidRDefault="0010230A" w:rsidP="00DC1333">
            <w:pPr>
              <w:rPr>
                <w:color w:val="000000"/>
                <w:sz w:val="17"/>
                <w:szCs w:val="17"/>
              </w:rPr>
            </w:pPr>
            <w:r w:rsidRPr="008F0E12">
              <w:rPr>
                <w:color w:val="000000"/>
                <w:sz w:val="17"/>
                <w:szCs w:val="17"/>
              </w:rPr>
              <w:t>95</w:t>
            </w:r>
          </w:p>
        </w:tc>
        <w:tc>
          <w:tcPr>
            <w:tcW w:w="1167" w:type="pct"/>
            <w:tcBorders>
              <w:top w:val="nil"/>
              <w:left w:val="nil"/>
              <w:bottom w:val="single" w:sz="4" w:space="0" w:color="auto"/>
              <w:right w:val="single" w:sz="4" w:space="0" w:color="auto"/>
            </w:tcBorders>
            <w:shd w:val="clear" w:color="auto" w:fill="auto"/>
          </w:tcPr>
          <w:p w:rsidR="0010230A" w:rsidRPr="008F0E12" w:rsidRDefault="0010230A">
            <w:pPr>
              <w:rPr>
                <w:color w:val="000000"/>
                <w:sz w:val="17"/>
                <w:szCs w:val="17"/>
              </w:rPr>
            </w:pPr>
            <w:r w:rsidRPr="008F0E12">
              <w:rPr>
                <w:color w:val="000000"/>
                <w:sz w:val="17"/>
                <w:szCs w:val="17"/>
              </w:rPr>
              <w:t xml:space="preserve">La obligación de usar la herramienta de reservas en línea para todos los viajes sencillos (destino único) dio lugar a que la agencia de viajes emitiera el 69% de los billetes y a la disminución de la comisión media por transacción. </w:t>
            </w:r>
          </w:p>
          <w:p w:rsidR="0010230A" w:rsidRPr="008F0E12" w:rsidRDefault="0010230A">
            <w:pPr>
              <w:rPr>
                <w:color w:val="000000"/>
                <w:sz w:val="17"/>
                <w:szCs w:val="17"/>
              </w:rPr>
            </w:pPr>
          </w:p>
        </w:tc>
      </w:tr>
      <w:tr w:rsidR="0010230A" w:rsidRPr="00D512B8" w:rsidTr="00DC1333">
        <w:trPr>
          <w:trHeight w:val="2040"/>
        </w:trPr>
        <w:tc>
          <w:tcPr>
            <w:tcW w:w="1012" w:type="pct"/>
            <w:tcBorders>
              <w:top w:val="nil"/>
              <w:left w:val="single" w:sz="4" w:space="0" w:color="auto"/>
              <w:bottom w:val="single" w:sz="4" w:space="0" w:color="auto"/>
              <w:right w:val="single" w:sz="4" w:space="0" w:color="auto"/>
            </w:tcBorders>
            <w:shd w:val="clear" w:color="auto" w:fill="auto"/>
          </w:tcPr>
          <w:p w:rsidR="0010230A" w:rsidRPr="008F0E12" w:rsidRDefault="0010230A" w:rsidP="00DC1333">
            <w:pPr>
              <w:rPr>
                <w:color w:val="000000"/>
                <w:sz w:val="17"/>
                <w:szCs w:val="17"/>
              </w:rPr>
            </w:pPr>
            <w:r w:rsidRPr="008F0E12">
              <w:rPr>
                <w:color w:val="000000"/>
                <w:sz w:val="17"/>
                <w:szCs w:val="17"/>
              </w:rPr>
              <w:t>Disminución de los costos de adquisición de productos y servicios por la OMPI</w:t>
            </w:r>
          </w:p>
        </w:tc>
        <w:tc>
          <w:tcPr>
            <w:tcW w:w="651" w:type="pct"/>
            <w:tcBorders>
              <w:top w:val="nil"/>
              <w:left w:val="nil"/>
              <w:bottom w:val="single" w:sz="4" w:space="0" w:color="auto"/>
              <w:right w:val="single" w:sz="4" w:space="0" w:color="auto"/>
            </w:tcBorders>
            <w:shd w:val="clear" w:color="auto" w:fill="auto"/>
          </w:tcPr>
          <w:p w:rsidR="0010230A" w:rsidRPr="008F0E12" w:rsidRDefault="0010230A" w:rsidP="00DC1333">
            <w:pPr>
              <w:rPr>
                <w:color w:val="000000"/>
                <w:sz w:val="17"/>
                <w:szCs w:val="17"/>
              </w:rPr>
            </w:pPr>
            <w:r w:rsidRPr="008F0E12">
              <w:rPr>
                <w:color w:val="000000"/>
                <w:sz w:val="17"/>
                <w:szCs w:val="17"/>
              </w:rPr>
              <w:t>2.663.000</w:t>
            </w:r>
          </w:p>
        </w:tc>
        <w:tc>
          <w:tcPr>
            <w:tcW w:w="477" w:type="pct"/>
            <w:tcBorders>
              <w:top w:val="nil"/>
              <w:left w:val="nil"/>
              <w:bottom w:val="single" w:sz="4" w:space="0" w:color="auto"/>
              <w:right w:val="single" w:sz="4" w:space="0" w:color="auto"/>
            </w:tcBorders>
            <w:shd w:val="clear" w:color="auto" w:fill="auto"/>
          </w:tcPr>
          <w:p w:rsidR="0010230A" w:rsidRPr="008F0E12" w:rsidRDefault="0010230A" w:rsidP="00DC1333">
            <w:pPr>
              <w:rPr>
                <w:color w:val="000000"/>
                <w:sz w:val="17"/>
                <w:szCs w:val="17"/>
              </w:rPr>
            </w:pPr>
            <w:r w:rsidRPr="008F0E12">
              <w:rPr>
                <w:color w:val="000000"/>
                <w:sz w:val="17"/>
                <w:szCs w:val="17"/>
              </w:rPr>
              <w:t xml:space="preserve">3.826.361 </w:t>
            </w:r>
          </w:p>
        </w:tc>
        <w:tc>
          <w:tcPr>
            <w:tcW w:w="823" w:type="pct"/>
            <w:tcBorders>
              <w:top w:val="nil"/>
              <w:left w:val="nil"/>
              <w:bottom w:val="single" w:sz="4" w:space="0" w:color="auto"/>
              <w:right w:val="single" w:sz="4" w:space="0" w:color="auto"/>
            </w:tcBorders>
            <w:shd w:val="clear" w:color="auto" w:fill="auto"/>
          </w:tcPr>
          <w:p w:rsidR="0010230A" w:rsidRPr="008F0E12" w:rsidRDefault="0010230A" w:rsidP="00DC1333">
            <w:pPr>
              <w:rPr>
                <w:color w:val="000000"/>
                <w:sz w:val="17"/>
                <w:szCs w:val="17"/>
              </w:rPr>
            </w:pPr>
          </w:p>
        </w:tc>
        <w:tc>
          <w:tcPr>
            <w:tcW w:w="869" w:type="pct"/>
            <w:tcBorders>
              <w:top w:val="nil"/>
              <w:left w:val="nil"/>
              <w:bottom w:val="single" w:sz="4" w:space="0" w:color="auto"/>
              <w:right w:val="single" w:sz="4" w:space="0" w:color="auto"/>
            </w:tcBorders>
            <w:shd w:val="clear" w:color="auto" w:fill="auto"/>
          </w:tcPr>
          <w:p w:rsidR="0010230A" w:rsidRPr="008F0E12" w:rsidRDefault="0010230A" w:rsidP="00DC1333">
            <w:pPr>
              <w:rPr>
                <w:color w:val="000000"/>
                <w:sz w:val="17"/>
                <w:szCs w:val="17"/>
              </w:rPr>
            </w:pPr>
          </w:p>
        </w:tc>
        <w:tc>
          <w:tcPr>
            <w:tcW w:w="1167" w:type="pct"/>
            <w:tcBorders>
              <w:top w:val="nil"/>
              <w:left w:val="nil"/>
              <w:bottom w:val="single" w:sz="4" w:space="0" w:color="auto"/>
              <w:right w:val="single" w:sz="4" w:space="0" w:color="auto"/>
            </w:tcBorders>
            <w:shd w:val="clear" w:color="auto" w:fill="auto"/>
          </w:tcPr>
          <w:p w:rsidR="0010230A" w:rsidRDefault="0010230A" w:rsidP="00DC1333">
            <w:pPr>
              <w:rPr>
                <w:bCs/>
                <w:sz w:val="17"/>
                <w:szCs w:val="17"/>
              </w:rPr>
            </w:pPr>
            <w:r w:rsidRPr="008F0E12">
              <w:rPr>
                <w:bCs/>
                <w:sz w:val="17"/>
                <w:szCs w:val="17"/>
              </w:rPr>
              <w:t>2014: se han obtenido ahorros de 1.598.000 CHF gracias al  Grupo de Actividades Comunes de Compra de las Naciones Unidas (CPAG) y</w:t>
            </w:r>
            <w:r>
              <w:rPr>
                <w:bCs/>
                <w:sz w:val="17"/>
                <w:szCs w:val="17"/>
              </w:rPr>
              <w:t xml:space="preserve"> ahorros de</w:t>
            </w:r>
            <w:r w:rsidRPr="008F0E12">
              <w:rPr>
                <w:bCs/>
                <w:sz w:val="17"/>
                <w:szCs w:val="17"/>
              </w:rPr>
              <w:t xml:space="preserve"> 1.064.000 CHF </w:t>
            </w:r>
            <w:r>
              <w:rPr>
                <w:bCs/>
                <w:sz w:val="17"/>
                <w:szCs w:val="17"/>
              </w:rPr>
              <w:t>gracias a las</w:t>
            </w:r>
            <w:r w:rsidRPr="008F0E12">
              <w:rPr>
                <w:bCs/>
                <w:sz w:val="17"/>
                <w:szCs w:val="17"/>
              </w:rPr>
              <w:t xml:space="preserve"> negociaciones de la OMPI tras las licitaciones o </w:t>
            </w:r>
            <w:r>
              <w:rPr>
                <w:bCs/>
                <w:sz w:val="17"/>
                <w:szCs w:val="17"/>
              </w:rPr>
              <w:t xml:space="preserve">a las </w:t>
            </w:r>
            <w:r w:rsidRPr="008F0E12">
              <w:rPr>
                <w:bCs/>
                <w:sz w:val="17"/>
                <w:szCs w:val="17"/>
              </w:rPr>
              <w:t>negociaciones con proveedores únicos.</w:t>
            </w:r>
          </w:p>
          <w:p w:rsidR="0010230A" w:rsidRDefault="0010230A" w:rsidP="00DC1333">
            <w:pPr>
              <w:rPr>
                <w:bCs/>
                <w:sz w:val="17"/>
                <w:szCs w:val="17"/>
              </w:rPr>
            </w:pPr>
          </w:p>
          <w:p w:rsidR="0010230A" w:rsidRPr="00A95CB6" w:rsidRDefault="0010230A" w:rsidP="00DC1333">
            <w:pPr>
              <w:rPr>
                <w:bCs/>
                <w:sz w:val="17"/>
                <w:szCs w:val="17"/>
              </w:rPr>
            </w:pPr>
            <w:r>
              <w:rPr>
                <w:bCs/>
                <w:sz w:val="17"/>
                <w:szCs w:val="17"/>
              </w:rPr>
              <w:t>2015</w:t>
            </w:r>
            <w:r w:rsidRPr="00A95CB6">
              <w:rPr>
                <w:bCs/>
                <w:sz w:val="17"/>
                <w:szCs w:val="17"/>
              </w:rPr>
              <w:t>: se han obtenido ahorros de 1.</w:t>
            </w:r>
            <w:r>
              <w:rPr>
                <w:bCs/>
                <w:sz w:val="17"/>
                <w:szCs w:val="17"/>
              </w:rPr>
              <w:t>316</w:t>
            </w:r>
            <w:r w:rsidRPr="00A95CB6">
              <w:rPr>
                <w:bCs/>
                <w:sz w:val="17"/>
                <w:szCs w:val="17"/>
              </w:rPr>
              <w:t>.</w:t>
            </w:r>
            <w:r>
              <w:rPr>
                <w:bCs/>
                <w:sz w:val="17"/>
                <w:szCs w:val="17"/>
              </w:rPr>
              <w:t>919</w:t>
            </w:r>
            <w:r w:rsidRPr="00A95CB6">
              <w:rPr>
                <w:bCs/>
                <w:sz w:val="17"/>
                <w:szCs w:val="17"/>
              </w:rPr>
              <w:t xml:space="preserve"> CHF </w:t>
            </w:r>
            <w:r>
              <w:rPr>
                <w:bCs/>
                <w:sz w:val="17"/>
                <w:szCs w:val="17"/>
              </w:rPr>
              <w:t xml:space="preserve">gracias al </w:t>
            </w:r>
            <w:r w:rsidRPr="00A95CB6">
              <w:rPr>
                <w:bCs/>
                <w:sz w:val="17"/>
                <w:szCs w:val="17"/>
              </w:rPr>
              <w:t>Grupo de Actividades Comunes de Compra de las Naciones Unidas (CPAG) y ahorros de</w:t>
            </w:r>
            <w:r>
              <w:rPr>
                <w:bCs/>
                <w:sz w:val="17"/>
                <w:szCs w:val="17"/>
              </w:rPr>
              <w:t xml:space="preserve"> 2</w:t>
            </w:r>
            <w:r w:rsidRPr="00A95CB6">
              <w:rPr>
                <w:bCs/>
                <w:sz w:val="17"/>
                <w:szCs w:val="17"/>
              </w:rPr>
              <w:t>.</w:t>
            </w:r>
            <w:r>
              <w:rPr>
                <w:bCs/>
                <w:sz w:val="17"/>
                <w:szCs w:val="17"/>
              </w:rPr>
              <w:t>5</w:t>
            </w:r>
            <w:r w:rsidRPr="00A95CB6">
              <w:rPr>
                <w:bCs/>
                <w:sz w:val="17"/>
                <w:szCs w:val="17"/>
              </w:rPr>
              <w:t>0</w:t>
            </w:r>
            <w:r>
              <w:rPr>
                <w:bCs/>
                <w:sz w:val="17"/>
                <w:szCs w:val="17"/>
              </w:rPr>
              <w:t>9</w:t>
            </w:r>
            <w:r w:rsidRPr="00A95CB6">
              <w:rPr>
                <w:bCs/>
                <w:sz w:val="17"/>
                <w:szCs w:val="17"/>
              </w:rPr>
              <w:t>.</w:t>
            </w:r>
            <w:r>
              <w:rPr>
                <w:bCs/>
                <w:sz w:val="17"/>
                <w:szCs w:val="17"/>
              </w:rPr>
              <w:t>442</w:t>
            </w:r>
            <w:r w:rsidRPr="00A95CB6">
              <w:rPr>
                <w:bCs/>
                <w:sz w:val="17"/>
                <w:szCs w:val="17"/>
              </w:rPr>
              <w:t xml:space="preserve"> CHF gracias a las negociaciones de la OMPI tras las licitaciones o a las negociaciones con proveedores únicos.</w:t>
            </w:r>
          </w:p>
        </w:tc>
      </w:tr>
      <w:tr w:rsidR="0010230A" w:rsidRPr="00D512B8" w:rsidTr="00DC1333">
        <w:trPr>
          <w:trHeight w:val="719"/>
        </w:trPr>
        <w:tc>
          <w:tcPr>
            <w:tcW w:w="1012" w:type="pct"/>
            <w:tcBorders>
              <w:top w:val="nil"/>
              <w:left w:val="single" w:sz="4" w:space="0" w:color="auto"/>
              <w:bottom w:val="single" w:sz="4" w:space="0" w:color="auto"/>
              <w:right w:val="single" w:sz="4" w:space="0" w:color="auto"/>
            </w:tcBorders>
            <w:shd w:val="clear" w:color="auto" w:fill="auto"/>
            <w:hideMark/>
          </w:tcPr>
          <w:p w:rsidR="0010230A" w:rsidRPr="008F0E12" w:rsidRDefault="0010230A" w:rsidP="00DC1333">
            <w:pPr>
              <w:rPr>
                <w:color w:val="000000"/>
                <w:sz w:val="17"/>
                <w:szCs w:val="17"/>
              </w:rPr>
            </w:pPr>
            <w:r w:rsidRPr="008F0E12">
              <w:rPr>
                <w:color w:val="000000"/>
                <w:sz w:val="17"/>
                <w:szCs w:val="17"/>
              </w:rPr>
              <w:t xml:space="preserve">Reducción en el consumo de energía del sistema de refrigeración mediante el uso de agua del lago de Ginebra en lugar de utilizar agua de la red de abastecimiento urbano, sin necesidad de emplear máquinas para disminuir la temperatura, con el consiguiente ahorro de electricidad y agua para el funcionamiento del sistema de refrigeración </w:t>
            </w:r>
          </w:p>
          <w:p w:rsidR="0010230A" w:rsidRPr="008F0E12" w:rsidRDefault="0010230A" w:rsidP="00DC1333">
            <w:pPr>
              <w:rPr>
                <w:color w:val="000000"/>
                <w:sz w:val="17"/>
                <w:szCs w:val="17"/>
              </w:rPr>
            </w:pPr>
          </w:p>
          <w:p w:rsidR="0010230A" w:rsidRPr="008F0E12" w:rsidRDefault="0010230A" w:rsidP="00DC1333">
            <w:pPr>
              <w:rPr>
                <w:color w:val="000000"/>
                <w:sz w:val="17"/>
                <w:szCs w:val="17"/>
              </w:rPr>
            </w:pPr>
          </w:p>
        </w:tc>
        <w:tc>
          <w:tcPr>
            <w:tcW w:w="651" w:type="pct"/>
            <w:tcBorders>
              <w:top w:val="nil"/>
              <w:left w:val="nil"/>
              <w:bottom w:val="single" w:sz="4" w:space="0" w:color="auto"/>
              <w:right w:val="single" w:sz="4" w:space="0" w:color="auto"/>
            </w:tcBorders>
            <w:shd w:val="clear" w:color="auto" w:fill="auto"/>
            <w:hideMark/>
          </w:tcPr>
          <w:p w:rsidR="0010230A" w:rsidRPr="008F0E12" w:rsidRDefault="0010230A" w:rsidP="00DC1333">
            <w:pPr>
              <w:rPr>
                <w:color w:val="000000"/>
                <w:sz w:val="17"/>
                <w:szCs w:val="17"/>
              </w:rPr>
            </w:pPr>
            <w:r>
              <w:rPr>
                <w:color w:val="000000"/>
                <w:sz w:val="17"/>
                <w:szCs w:val="17"/>
              </w:rPr>
              <w:lastRenderedPageBreak/>
              <w:t>35.</w:t>
            </w:r>
            <w:r w:rsidRPr="008F0E12">
              <w:rPr>
                <w:color w:val="000000"/>
                <w:sz w:val="17"/>
                <w:szCs w:val="17"/>
              </w:rPr>
              <w:t>000</w:t>
            </w:r>
          </w:p>
        </w:tc>
        <w:tc>
          <w:tcPr>
            <w:tcW w:w="477" w:type="pct"/>
            <w:tcBorders>
              <w:top w:val="nil"/>
              <w:left w:val="nil"/>
              <w:bottom w:val="single" w:sz="4" w:space="0" w:color="auto"/>
              <w:right w:val="single" w:sz="4" w:space="0" w:color="auto"/>
            </w:tcBorders>
            <w:shd w:val="clear" w:color="auto" w:fill="auto"/>
            <w:hideMark/>
          </w:tcPr>
          <w:p w:rsidR="0010230A" w:rsidRPr="008F0E12" w:rsidRDefault="0010230A" w:rsidP="00DC1333">
            <w:pPr>
              <w:rPr>
                <w:color w:val="000000"/>
                <w:sz w:val="17"/>
                <w:szCs w:val="17"/>
              </w:rPr>
            </w:pPr>
            <w:r w:rsidRPr="008F0E12">
              <w:rPr>
                <w:color w:val="000000"/>
                <w:sz w:val="17"/>
                <w:szCs w:val="17"/>
              </w:rPr>
              <w:t> 75</w:t>
            </w:r>
            <w:r>
              <w:rPr>
                <w:color w:val="000000"/>
                <w:sz w:val="17"/>
                <w:szCs w:val="17"/>
              </w:rPr>
              <w:t>.</w:t>
            </w:r>
            <w:r w:rsidRPr="008F0E12">
              <w:rPr>
                <w:color w:val="000000"/>
                <w:sz w:val="17"/>
                <w:szCs w:val="17"/>
              </w:rPr>
              <w:t>000</w:t>
            </w:r>
          </w:p>
        </w:tc>
        <w:tc>
          <w:tcPr>
            <w:tcW w:w="823" w:type="pct"/>
            <w:tcBorders>
              <w:top w:val="nil"/>
              <w:left w:val="nil"/>
              <w:bottom w:val="single" w:sz="4" w:space="0" w:color="auto"/>
              <w:right w:val="single" w:sz="4" w:space="0" w:color="auto"/>
            </w:tcBorders>
            <w:shd w:val="clear" w:color="auto" w:fill="auto"/>
            <w:hideMark/>
          </w:tcPr>
          <w:p w:rsidR="0010230A" w:rsidRPr="008F0E12" w:rsidRDefault="0010230A" w:rsidP="00DC1333">
            <w:pPr>
              <w:rPr>
                <w:color w:val="000000"/>
                <w:sz w:val="17"/>
                <w:szCs w:val="17"/>
              </w:rPr>
            </w:pPr>
            <w:r w:rsidRPr="008F0E12">
              <w:rPr>
                <w:color w:val="000000"/>
                <w:sz w:val="17"/>
                <w:szCs w:val="17"/>
              </w:rPr>
              <w:t> </w:t>
            </w:r>
          </w:p>
        </w:tc>
        <w:tc>
          <w:tcPr>
            <w:tcW w:w="869" w:type="pct"/>
            <w:tcBorders>
              <w:top w:val="nil"/>
              <w:left w:val="nil"/>
              <w:bottom w:val="single" w:sz="4" w:space="0" w:color="auto"/>
              <w:right w:val="single" w:sz="4" w:space="0" w:color="auto"/>
            </w:tcBorders>
            <w:shd w:val="clear" w:color="auto" w:fill="auto"/>
            <w:hideMark/>
          </w:tcPr>
          <w:p w:rsidR="0010230A" w:rsidRPr="008F0E12" w:rsidRDefault="0010230A" w:rsidP="00DC1333">
            <w:pPr>
              <w:rPr>
                <w:color w:val="000000"/>
                <w:sz w:val="17"/>
                <w:szCs w:val="17"/>
              </w:rPr>
            </w:pPr>
            <w:r w:rsidRPr="008F0E12">
              <w:rPr>
                <w:color w:val="000000"/>
                <w:sz w:val="17"/>
                <w:szCs w:val="17"/>
              </w:rPr>
              <w:t> </w:t>
            </w:r>
          </w:p>
        </w:tc>
        <w:tc>
          <w:tcPr>
            <w:tcW w:w="1167" w:type="pct"/>
            <w:tcBorders>
              <w:top w:val="nil"/>
              <w:left w:val="nil"/>
              <w:bottom w:val="single" w:sz="4" w:space="0" w:color="auto"/>
              <w:right w:val="single" w:sz="4" w:space="0" w:color="auto"/>
            </w:tcBorders>
            <w:shd w:val="clear" w:color="auto" w:fill="auto"/>
            <w:hideMark/>
          </w:tcPr>
          <w:p w:rsidR="0010230A" w:rsidRPr="008F0E12" w:rsidRDefault="0010230A" w:rsidP="00DC1333">
            <w:pPr>
              <w:rPr>
                <w:color w:val="000000"/>
                <w:sz w:val="17"/>
                <w:szCs w:val="17"/>
              </w:rPr>
            </w:pPr>
            <w:r w:rsidRPr="008F0E12">
              <w:rPr>
                <w:color w:val="000000"/>
                <w:sz w:val="17"/>
                <w:szCs w:val="17"/>
              </w:rPr>
              <w:t xml:space="preserve">2014: Edificio AB:  </w:t>
            </w:r>
          </w:p>
          <w:p w:rsidR="0010230A" w:rsidRPr="008F0E12" w:rsidRDefault="0010230A" w:rsidP="00DC1333">
            <w:pPr>
              <w:rPr>
                <w:color w:val="000000"/>
                <w:sz w:val="17"/>
                <w:szCs w:val="17"/>
              </w:rPr>
            </w:pPr>
            <w:r w:rsidRPr="008F0E12">
              <w:rPr>
                <w:color w:val="000000"/>
                <w:sz w:val="17"/>
                <w:szCs w:val="17"/>
              </w:rPr>
              <w:t>Reducción del consumo de electricidad y agua gracias a la conexión del Edificio AB con el sistema de refrigeración.  La conexión se llevó a cabo a mediados de año;  por lo tanto, solo se obtuvieron ahorros en el segundo semestre.</w:t>
            </w:r>
          </w:p>
          <w:p w:rsidR="0010230A" w:rsidRPr="008F0E12" w:rsidRDefault="0010230A" w:rsidP="00DC1333">
            <w:pPr>
              <w:rPr>
                <w:color w:val="000000"/>
                <w:sz w:val="17"/>
                <w:szCs w:val="17"/>
              </w:rPr>
            </w:pPr>
          </w:p>
          <w:p w:rsidR="0010230A" w:rsidRPr="008F0E12" w:rsidRDefault="0010230A" w:rsidP="00DC1333">
            <w:pPr>
              <w:rPr>
                <w:color w:val="000000"/>
                <w:sz w:val="17"/>
                <w:szCs w:val="17"/>
              </w:rPr>
            </w:pPr>
            <w:r w:rsidRPr="008F0E12">
              <w:rPr>
                <w:color w:val="000000"/>
                <w:sz w:val="17"/>
                <w:szCs w:val="17"/>
              </w:rPr>
              <w:t xml:space="preserve">2015: Edificio AB:  ahorros en todo el año (70.000 CHF).  </w:t>
            </w:r>
          </w:p>
          <w:p w:rsidR="0010230A" w:rsidRPr="008F0E12" w:rsidRDefault="0010230A" w:rsidP="00DC1333">
            <w:pPr>
              <w:rPr>
                <w:color w:val="000000"/>
                <w:sz w:val="17"/>
                <w:szCs w:val="17"/>
              </w:rPr>
            </w:pPr>
          </w:p>
          <w:p w:rsidR="0010230A" w:rsidRPr="008F0E12" w:rsidRDefault="0010230A" w:rsidP="00DC1333">
            <w:pPr>
              <w:rPr>
                <w:color w:val="000000"/>
                <w:sz w:val="17"/>
                <w:szCs w:val="17"/>
              </w:rPr>
            </w:pPr>
            <w:r w:rsidRPr="008F0E12">
              <w:rPr>
                <w:color w:val="000000"/>
                <w:sz w:val="17"/>
                <w:szCs w:val="17"/>
              </w:rPr>
              <w:t xml:space="preserve">2015: Edificio PCT:  </w:t>
            </w:r>
          </w:p>
          <w:p w:rsidR="0010230A" w:rsidRPr="008F0E12" w:rsidRDefault="0010230A" w:rsidP="00DC1333">
            <w:pPr>
              <w:rPr>
                <w:color w:val="000000"/>
                <w:sz w:val="17"/>
                <w:szCs w:val="17"/>
              </w:rPr>
            </w:pPr>
            <w:r w:rsidRPr="008F0E12">
              <w:rPr>
                <w:color w:val="000000"/>
                <w:sz w:val="17"/>
                <w:szCs w:val="17"/>
              </w:rPr>
              <w:t xml:space="preserve">La conexión del sistema </w:t>
            </w:r>
            <w:r w:rsidRPr="008F0E12">
              <w:rPr>
                <w:color w:val="000000"/>
                <w:sz w:val="17"/>
                <w:szCs w:val="17"/>
              </w:rPr>
              <w:lastRenderedPageBreak/>
              <w:t xml:space="preserve">de refrigeración con el agua del lago de Ginebra entró en funcionamiento a partir de noviembre de 2015 (por lo tanto, ahorros de 5.000 CHF en 2 meses) </w:t>
            </w:r>
          </w:p>
        </w:tc>
      </w:tr>
      <w:tr w:rsidR="0010230A" w:rsidRPr="00D512B8" w:rsidTr="00DC1333">
        <w:trPr>
          <w:trHeight w:val="577"/>
        </w:trPr>
        <w:tc>
          <w:tcPr>
            <w:tcW w:w="1012" w:type="pct"/>
            <w:tcBorders>
              <w:top w:val="nil"/>
              <w:left w:val="single" w:sz="4" w:space="0" w:color="auto"/>
              <w:bottom w:val="single" w:sz="4" w:space="0" w:color="auto"/>
              <w:right w:val="single" w:sz="4" w:space="0" w:color="auto"/>
            </w:tcBorders>
            <w:shd w:val="clear" w:color="auto" w:fill="auto"/>
            <w:hideMark/>
          </w:tcPr>
          <w:p w:rsidR="0010230A" w:rsidRPr="008F0E12" w:rsidRDefault="0010230A" w:rsidP="00DC1333">
            <w:pPr>
              <w:rPr>
                <w:color w:val="000000"/>
                <w:sz w:val="17"/>
                <w:szCs w:val="17"/>
              </w:rPr>
            </w:pPr>
            <w:r w:rsidRPr="008F0E12">
              <w:rPr>
                <w:color w:val="000000"/>
                <w:sz w:val="17"/>
                <w:szCs w:val="17"/>
              </w:rPr>
              <w:lastRenderedPageBreak/>
              <w:t xml:space="preserve">Reducción del consumo de electricidad en todos los edificios de la OMPI </w:t>
            </w:r>
            <w:r>
              <w:rPr>
                <w:color w:val="000000"/>
                <w:sz w:val="17"/>
                <w:szCs w:val="17"/>
              </w:rPr>
              <w:t>como consecuencia</w:t>
            </w:r>
            <w:r w:rsidRPr="008F0E12">
              <w:rPr>
                <w:color w:val="000000"/>
                <w:sz w:val="17"/>
                <w:szCs w:val="17"/>
              </w:rPr>
              <w:t xml:space="preserve"> de la instalación de detectores de movimiento para la iluminación, bombillas de </w:t>
            </w:r>
            <w:r>
              <w:rPr>
                <w:color w:val="000000"/>
                <w:sz w:val="17"/>
                <w:szCs w:val="17"/>
              </w:rPr>
              <w:t>bajo consumo</w:t>
            </w:r>
            <w:r w:rsidRPr="008F0E12">
              <w:rPr>
                <w:color w:val="000000"/>
                <w:sz w:val="17"/>
                <w:szCs w:val="17"/>
              </w:rPr>
              <w:t>, un mecanismo de temporización en el aparcamiento y nuevos cuadros de distribución más eficaces para el funcionamiento de las instalaciones eléctricas en los pisos de todos los edificios.</w:t>
            </w:r>
          </w:p>
        </w:tc>
        <w:tc>
          <w:tcPr>
            <w:tcW w:w="651" w:type="pct"/>
            <w:tcBorders>
              <w:top w:val="nil"/>
              <w:left w:val="nil"/>
              <w:bottom w:val="single" w:sz="4" w:space="0" w:color="auto"/>
              <w:right w:val="single" w:sz="4" w:space="0" w:color="auto"/>
            </w:tcBorders>
            <w:shd w:val="clear" w:color="auto" w:fill="auto"/>
            <w:hideMark/>
          </w:tcPr>
          <w:p w:rsidR="0010230A" w:rsidRPr="008F0E12" w:rsidRDefault="0010230A" w:rsidP="00DC1333">
            <w:pPr>
              <w:rPr>
                <w:color w:val="000000"/>
                <w:sz w:val="17"/>
                <w:szCs w:val="17"/>
              </w:rPr>
            </w:pPr>
            <w:r w:rsidRPr="008F0E12">
              <w:rPr>
                <w:color w:val="000000"/>
                <w:sz w:val="17"/>
                <w:szCs w:val="17"/>
              </w:rPr>
              <w:t>15,000</w:t>
            </w:r>
          </w:p>
        </w:tc>
        <w:tc>
          <w:tcPr>
            <w:tcW w:w="477" w:type="pct"/>
            <w:tcBorders>
              <w:top w:val="nil"/>
              <w:left w:val="nil"/>
              <w:bottom w:val="single" w:sz="4" w:space="0" w:color="auto"/>
              <w:right w:val="single" w:sz="4" w:space="0" w:color="auto"/>
            </w:tcBorders>
            <w:shd w:val="clear" w:color="auto" w:fill="auto"/>
            <w:hideMark/>
          </w:tcPr>
          <w:p w:rsidR="0010230A" w:rsidRPr="008F0E12" w:rsidRDefault="0010230A" w:rsidP="00DC1333">
            <w:pPr>
              <w:rPr>
                <w:color w:val="000000"/>
                <w:sz w:val="17"/>
                <w:szCs w:val="17"/>
              </w:rPr>
            </w:pPr>
            <w:r w:rsidRPr="008F0E12">
              <w:rPr>
                <w:color w:val="000000"/>
                <w:sz w:val="17"/>
                <w:szCs w:val="17"/>
              </w:rPr>
              <w:t> 45,000</w:t>
            </w:r>
          </w:p>
        </w:tc>
        <w:tc>
          <w:tcPr>
            <w:tcW w:w="823" w:type="pct"/>
            <w:tcBorders>
              <w:top w:val="nil"/>
              <w:left w:val="nil"/>
              <w:bottom w:val="single" w:sz="4" w:space="0" w:color="auto"/>
              <w:right w:val="single" w:sz="4" w:space="0" w:color="auto"/>
            </w:tcBorders>
            <w:shd w:val="clear" w:color="auto" w:fill="auto"/>
            <w:hideMark/>
          </w:tcPr>
          <w:p w:rsidR="0010230A" w:rsidRPr="008F0E12" w:rsidRDefault="0010230A" w:rsidP="00DC1333">
            <w:pPr>
              <w:rPr>
                <w:color w:val="000000"/>
                <w:sz w:val="17"/>
                <w:szCs w:val="17"/>
              </w:rPr>
            </w:pPr>
            <w:r w:rsidRPr="008F0E12">
              <w:rPr>
                <w:color w:val="000000"/>
                <w:sz w:val="17"/>
                <w:szCs w:val="17"/>
              </w:rPr>
              <w:t> </w:t>
            </w:r>
          </w:p>
        </w:tc>
        <w:tc>
          <w:tcPr>
            <w:tcW w:w="869" w:type="pct"/>
            <w:tcBorders>
              <w:top w:val="nil"/>
              <w:left w:val="nil"/>
              <w:bottom w:val="single" w:sz="4" w:space="0" w:color="auto"/>
              <w:right w:val="single" w:sz="4" w:space="0" w:color="auto"/>
            </w:tcBorders>
            <w:shd w:val="clear" w:color="auto" w:fill="auto"/>
            <w:hideMark/>
          </w:tcPr>
          <w:p w:rsidR="0010230A" w:rsidRPr="008F0E12" w:rsidRDefault="0010230A" w:rsidP="00DC1333">
            <w:pPr>
              <w:rPr>
                <w:color w:val="000000"/>
                <w:sz w:val="17"/>
                <w:szCs w:val="17"/>
              </w:rPr>
            </w:pPr>
            <w:r w:rsidRPr="008F0E12">
              <w:rPr>
                <w:color w:val="000000"/>
                <w:sz w:val="17"/>
                <w:szCs w:val="17"/>
              </w:rPr>
              <w:t> </w:t>
            </w:r>
          </w:p>
        </w:tc>
        <w:tc>
          <w:tcPr>
            <w:tcW w:w="1167" w:type="pct"/>
            <w:tcBorders>
              <w:top w:val="nil"/>
              <w:left w:val="nil"/>
              <w:bottom w:val="single" w:sz="4" w:space="0" w:color="auto"/>
              <w:right w:val="single" w:sz="4" w:space="0" w:color="auto"/>
            </w:tcBorders>
            <w:shd w:val="clear" w:color="auto" w:fill="auto"/>
            <w:hideMark/>
          </w:tcPr>
          <w:p w:rsidR="0010230A" w:rsidRPr="008F0E12" w:rsidRDefault="0010230A" w:rsidP="00DC1333">
            <w:pPr>
              <w:rPr>
                <w:sz w:val="17"/>
                <w:szCs w:val="17"/>
              </w:rPr>
            </w:pPr>
            <w:r w:rsidRPr="008F0E12">
              <w:rPr>
                <w:sz w:val="17"/>
                <w:szCs w:val="17"/>
              </w:rPr>
              <w:t xml:space="preserve">Las medidas </w:t>
            </w:r>
            <w:r>
              <w:rPr>
                <w:sz w:val="17"/>
                <w:szCs w:val="17"/>
              </w:rPr>
              <w:t>aplicadas</w:t>
            </w:r>
            <w:r w:rsidRPr="008F0E12">
              <w:rPr>
                <w:sz w:val="17"/>
                <w:szCs w:val="17"/>
              </w:rPr>
              <w:t xml:space="preserve"> </w:t>
            </w:r>
            <w:r>
              <w:rPr>
                <w:sz w:val="17"/>
                <w:szCs w:val="17"/>
              </w:rPr>
              <w:t xml:space="preserve">en </w:t>
            </w:r>
            <w:r w:rsidRPr="008F0E12">
              <w:rPr>
                <w:sz w:val="17"/>
                <w:szCs w:val="17"/>
              </w:rPr>
              <w:t>2014 dieron lugar a ahorros de 15.000 CHF en 2014 y 30.000 CHF en 2015.</w:t>
            </w:r>
          </w:p>
          <w:p w:rsidR="0010230A" w:rsidRPr="008F0E12" w:rsidRDefault="0010230A" w:rsidP="00DC1333">
            <w:pPr>
              <w:rPr>
                <w:sz w:val="17"/>
                <w:szCs w:val="17"/>
              </w:rPr>
            </w:pPr>
          </w:p>
          <w:p w:rsidR="0010230A" w:rsidRPr="008F0E12" w:rsidRDefault="0010230A" w:rsidP="00DC1333">
            <w:pPr>
              <w:rPr>
                <w:color w:val="000000"/>
                <w:sz w:val="17"/>
                <w:szCs w:val="17"/>
              </w:rPr>
            </w:pPr>
            <w:r w:rsidRPr="008F0E12">
              <w:rPr>
                <w:sz w:val="17"/>
                <w:szCs w:val="17"/>
              </w:rPr>
              <w:t>Se han seguido aplicando las medidas en otros pisos y zonas de los edificios del recinto de la OMPI y han producido nuevos ahorros de 15.000 CHF en 2015.</w:t>
            </w:r>
          </w:p>
        </w:tc>
      </w:tr>
      <w:tr w:rsidR="0010230A" w:rsidRPr="008F0E12" w:rsidTr="00DC1333">
        <w:trPr>
          <w:trHeight w:val="1154"/>
        </w:trPr>
        <w:tc>
          <w:tcPr>
            <w:tcW w:w="1012" w:type="pct"/>
            <w:tcBorders>
              <w:top w:val="nil"/>
              <w:left w:val="single" w:sz="4" w:space="0" w:color="auto"/>
              <w:bottom w:val="single" w:sz="4" w:space="0" w:color="auto"/>
              <w:right w:val="single" w:sz="4" w:space="0" w:color="auto"/>
            </w:tcBorders>
            <w:shd w:val="clear" w:color="auto" w:fill="auto"/>
            <w:hideMark/>
          </w:tcPr>
          <w:p w:rsidR="0010230A" w:rsidRPr="008F0E12" w:rsidRDefault="0010230A" w:rsidP="00DC1333">
            <w:pPr>
              <w:rPr>
                <w:color w:val="000000"/>
                <w:sz w:val="17"/>
                <w:szCs w:val="17"/>
              </w:rPr>
            </w:pPr>
            <w:r w:rsidRPr="008F0E12">
              <w:rPr>
                <w:color w:val="000000"/>
                <w:sz w:val="17"/>
                <w:szCs w:val="17"/>
              </w:rPr>
              <w:t xml:space="preserve">Reducción del consumo de agua </w:t>
            </w:r>
            <w:r>
              <w:rPr>
                <w:color w:val="000000"/>
                <w:sz w:val="17"/>
                <w:szCs w:val="17"/>
              </w:rPr>
              <w:t>como consecuencia</w:t>
            </w:r>
            <w:r w:rsidRPr="008F0E12">
              <w:rPr>
                <w:color w:val="000000"/>
                <w:sz w:val="17"/>
                <w:szCs w:val="17"/>
              </w:rPr>
              <w:t>, entre otros factores, del uso de agua del lago en lugar de agua de la red de distribución urbana</w:t>
            </w:r>
          </w:p>
        </w:tc>
        <w:tc>
          <w:tcPr>
            <w:tcW w:w="651" w:type="pct"/>
            <w:tcBorders>
              <w:top w:val="nil"/>
              <w:left w:val="nil"/>
              <w:bottom w:val="single" w:sz="4" w:space="0" w:color="auto"/>
              <w:right w:val="single" w:sz="4" w:space="0" w:color="auto"/>
            </w:tcBorders>
            <w:shd w:val="clear" w:color="auto" w:fill="auto"/>
            <w:hideMark/>
          </w:tcPr>
          <w:p w:rsidR="0010230A" w:rsidRPr="008F0E12" w:rsidRDefault="0010230A" w:rsidP="00DC1333">
            <w:pPr>
              <w:rPr>
                <w:color w:val="000000"/>
                <w:sz w:val="17"/>
                <w:szCs w:val="17"/>
              </w:rPr>
            </w:pPr>
            <w:r w:rsidRPr="008F0E12">
              <w:rPr>
                <w:color w:val="000000"/>
                <w:sz w:val="17"/>
                <w:szCs w:val="17"/>
              </w:rPr>
              <w:t>19.500</w:t>
            </w:r>
          </w:p>
        </w:tc>
        <w:tc>
          <w:tcPr>
            <w:tcW w:w="477" w:type="pct"/>
            <w:tcBorders>
              <w:top w:val="nil"/>
              <w:left w:val="nil"/>
              <w:bottom w:val="single" w:sz="4" w:space="0" w:color="auto"/>
              <w:right w:val="single" w:sz="4" w:space="0" w:color="auto"/>
            </w:tcBorders>
            <w:shd w:val="clear" w:color="auto" w:fill="auto"/>
            <w:hideMark/>
          </w:tcPr>
          <w:p w:rsidR="0010230A" w:rsidRPr="008F0E12" w:rsidRDefault="0010230A" w:rsidP="00DC1333">
            <w:pPr>
              <w:rPr>
                <w:color w:val="000000"/>
                <w:sz w:val="17"/>
                <w:szCs w:val="17"/>
              </w:rPr>
            </w:pPr>
            <w:r w:rsidRPr="008F0E12">
              <w:rPr>
                <w:color w:val="000000"/>
                <w:sz w:val="17"/>
                <w:szCs w:val="17"/>
              </w:rPr>
              <w:t> 125.500</w:t>
            </w:r>
          </w:p>
        </w:tc>
        <w:tc>
          <w:tcPr>
            <w:tcW w:w="823" w:type="pct"/>
            <w:tcBorders>
              <w:top w:val="nil"/>
              <w:left w:val="nil"/>
              <w:bottom w:val="single" w:sz="4" w:space="0" w:color="auto"/>
              <w:right w:val="single" w:sz="4" w:space="0" w:color="auto"/>
            </w:tcBorders>
            <w:shd w:val="clear" w:color="auto" w:fill="auto"/>
            <w:hideMark/>
          </w:tcPr>
          <w:p w:rsidR="0010230A" w:rsidRPr="008F0E12" w:rsidRDefault="0010230A" w:rsidP="00DC1333">
            <w:pPr>
              <w:rPr>
                <w:color w:val="000000"/>
                <w:sz w:val="17"/>
                <w:szCs w:val="17"/>
              </w:rPr>
            </w:pPr>
            <w:r w:rsidRPr="008F0E12">
              <w:rPr>
                <w:color w:val="000000"/>
                <w:sz w:val="17"/>
                <w:szCs w:val="17"/>
              </w:rPr>
              <w:t> </w:t>
            </w:r>
          </w:p>
        </w:tc>
        <w:tc>
          <w:tcPr>
            <w:tcW w:w="869" w:type="pct"/>
            <w:tcBorders>
              <w:top w:val="nil"/>
              <w:left w:val="nil"/>
              <w:bottom w:val="single" w:sz="4" w:space="0" w:color="auto"/>
              <w:right w:val="single" w:sz="4" w:space="0" w:color="auto"/>
            </w:tcBorders>
            <w:shd w:val="clear" w:color="auto" w:fill="auto"/>
            <w:hideMark/>
          </w:tcPr>
          <w:p w:rsidR="0010230A" w:rsidRPr="008F0E12" w:rsidRDefault="0010230A" w:rsidP="00DC1333">
            <w:pPr>
              <w:rPr>
                <w:color w:val="000000"/>
                <w:sz w:val="17"/>
                <w:szCs w:val="17"/>
              </w:rPr>
            </w:pPr>
            <w:r w:rsidRPr="008F0E12">
              <w:rPr>
                <w:color w:val="000000"/>
                <w:sz w:val="17"/>
                <w:szCs w:val="17"/>
              </w:rPr>
              <w:t> </w:t>
            </w:r>
          </w:p>
        </w:tc>
        <w:tc>
          <w:tcPr>
            <w:tcW w:w="1167" w:type="pct"/>
            <w:tcBorders>
              <w:top w:val="nil"/>
              <w:left w:val="nil"/>
              <w:bottom w:val="single" w:sz="4" w:space="0" w:color="auto"/>
              <w:right w:val="single" w:sz="4" w:space="0" w:color="auto"/>
            </w:tcBorders>
            <w:shd w:val="clear" w:color="auto" w:fill="auto"/>
            <w:hideMark/>
          </w:tcPr>
          <w:p w:rsidR="0010230A" w:rsidRPr="008F0E12" w:rsidRDefault="0010230A" w:rsidP="00DC1333">
            <w:pPr>
              <w:rPr>
                <w:color w:val="000000"/>
                <w:sz w:val="17"/>
                <w:szCs w:val="17"/>
              </w:rPr>
            </w:pPr>
          </w:p>
        </w:tc>
      </w:tr>
      <w:tr w:rsidR="0010230A" w:rsidRPr="00D512B8" w:rsidTr="00DC1333">
        <w:trPr>
          <w:trHeight w:val="1020"/>
        </w:trPr>
        <w:tc>
          <w:tcPr>
            <w:tcW w:w="1012" w:type="pct"/>
            <w:tcBorders>
              <w:top w:val="single" w:sz="4" w:space="0" w:color="auto"/>
              <w:left w:val="single" w:sz="4" w:space="0" w:color="auto"/>
              <w:bottom w:val="single" w:sz="4" w:space="0" w:color="auto"/>
              <w:right w:val="single" w:sz="4" w:space="0" w:color="auto"/>
            </w:tcBorders>
            <w:shd w:val="clear" w:color="auto" w:fill="auto"/>
          </w:tcPr>
          <w:p w:rsidR="0010230A" w:rsidRPr="008F0E12" w:rsidRDefault="0010230A">
            <w:pPr>
              <w:rPr>
                <w:color w:val="000000"/>
                <w:sz w:val="17"/>
                <w:szCs w:val="17"/>
              </w:rPr>
            </w:pPr>
            <w:r w:rsidRPr="008F0E12">
              <w:rPr>
                <w:color w:val="000000"/>
                <w:sz w:val="17"/>
                <w:szCs w:val="17"/>
              </w:rPr>
              <w:t>Reducción en la tarifa eléctrica debido al contrato suscrito con el nuevo proveedor tras la licitación con otros organismos de las NN.UU. en Ginebra</w:t>
            </w:r>
          </w:p>
        </w:tc>
        <w:tc>
          <w:tcPr>
            <w:tcW w:w="651" w:type="pct"/>
            <w:tcBorders>
              <w:top w:val="single" w:sz="4" w:space="0" w:color="auto"/>
              <w:left w:val="nil"/>
              <w:bottom w:val="single" w:sz="4" w:space="0" w:color="auto"/>
              <w:right w:val="single" w:sz="4" w:space="0" w:color="auto"/>
            </w:tcBorders>
            <w:shd w:val="clear" w:color="auto" w:fill="auto"/>
          </w:tcPr>
          <w:p w:rsidR="0010230A" w:rsidRPr="008F0E12" w:rsidRDefault="0010230A" w:rsidP="00DC1333">
            <w:pPr>
              <w:rPr>
                <w:color w:val="000000"/>
                <w:sz w:val="17"/>
                <w:szCs w:val="17"/>
              </w:rPr>
            </w:pPr>
            <w:r w:rsidRPr="008F0E12">
              <w:rPr>
                <w:color w:val="000000"/>
                <w:sz w:val="17"/>
                <w:szCs w:val="17"/>
              </w:rPr>
              <w:t>n/a</w:t>
            </w:r>
          </w:p>
        </w:tc>
        <w:tc>
          <w:tcPr>
            <w:tcW w:w="477" w:type="pct"/>
            <w:tcBorders>
              <w:top w:val="single" w:sz="4" w:space="0" w:color="auto"/>
              <w:left w:val="nil"/>
              <w:bottom w:val="single" w:sz="4" w:space="0" w:color="auto"/>
              <w:right w:val="single" w:sz="4" w:space="0" w:color="auto"/>
            </w:tcBorders>
            <w:shd w:val="clear" w:color="auto" w:fill="auto"/>
          </w:tcPr>
          <w:p w:rsidR="0010230A" w:rsidRPr="008F0E12" w:rsidRDefault="0010230A">
            <w:pPr>
              <w:rPr>
                <w:sz w:val="17"/>
                <w:szCs w:val="17"/>
              </w:rPr>
            </w:pPr>
            <w:r w:rsidRPr="008F0E12">
              <w:rPr>
                <w:color w:val="000000"/>
                <w:sz w:val="17"/>
                <w:szCs w:val="17"/>
              </w:rPr>
              <w:t> </w:t>
            </w:r>
            <w:r w:rsidRPr="008F0E12">
              <w:rPr>
                <w:sz w:val="17"/>
                <w:szCs w:val="17"/>
              </w:rPr>
              <w:t>164.000</w:t>
            </w:r>
          </w:p>
          <w:p w:rsidR="0010230A" w:rsidRPr="008F0E12" w:rsidRDefault="0010230A">
            <w:pPr>
              <w:rPr>
                <w:color w:val="000000"/>
                <w:sz w:val="17"/>
                <w:szCs w:val="17"/>
              </w:rPr>
            </w:pPr>
          </w:p>
        </w:tc>
        <w:tc>
          <w:tcPr>
            <w:tcW w:w="823" w:type="pct"/>
            <w:tcBorders>
              <w:top w:val="single" w:sz="4" w:space="0" w:color="auto"/>
              <w:left w:val="nil"/>
              <w:bottom w:val="single" w:sz="4" w:space="0" w:color="auto"/>
              <w:right w:val="single" w:sz="4" w:space="0" w:color="auto"/>
            </w:tcBorders>
            <w:shd w:val="clear" w:color="auto" w:fill="auto"/>
          </w:tcPr>
          <w:p w:rsidR="0010230A" w:rsidRPr="008F0E12" w:rsidRDefault="0010230A" w:rsidP="00DC1333">
            <w:pPr>
              <w:rPr>
                <w:color w:val="000000"/>
                <w:sz w:val="17"/>
                <w:szCs w:val="17"/>
              </w:rPr>
            </w:pPr>
          </w:p>
        </w:tc>
        <w:tc>
          <w:tcPr>
            <w:tcW w:w="869" w:type="pct"/>
            <w:tcBorders>
              <w:top w:val="single" w:sz="4" w:space="0" w:color="auto"/>
              <w:left w:val="nil"/>
              <w:bottom w:val="single" w:sz="4" w:space="0" w:color="auto"/>
              <w:right w:val="single" w:sz="4" w:space="0" w:color="auto"/>
            </w:tcBorders>
            <w:shd w:val="clear" w:color="auto" w:fill="auto"/>
          </w:tcPr>
          <w:p w:rsidR="0010230A" w:rsidRPr="008F0E12" w:rsidRDefault="0010230A" w:rsidP="00DC1333">
            <w:pPr>
              <w:rPr>
                <w:color w:val="000000"/>
                <w:sz w:val="17"/>
                <w:szCs w:val="17"/>
              </w:rPr>
            </w:pPr>
          </w:p>
        </w:tc>
        <w:tc>
          <w:tcPr>
            <w:tcW w:w="1167" w:type="pct"/>
            <w:tcBorders>
              <w:top w:val="single" w:sz="4" w:space="0" w:color="auto"/>
              <w:left w:val="nil"/>
              <w:bottom w:val="single" w:sz="4" w:space="0" w:color="auto"/>
              <w:right w:val="single" w:sz="4" w:space="0" w:color="auto"/>
            </w:tcBorders>
            <w:shd w:val="clear" w:color="auto" w:fill="auto"/>
          </w:tcPr>
          <w:p w:rsidR="0010230A" w:rsidRPr="008F0E12" w:rsidRDefault="0010230A" w:rsidP="00DC1333">
            <w:pPr>
              <w:rPr>
                <w:color w:val="000000"/>
                <w:sz w:val="17"/>
                <w:szCs w:val="17"/>
              </w:rPr>
            </w:pPr>
            <w:r w:rsidRPr="008F0E12">
              <w:rPr>
                <w:color w:val="000000"/>
                <w:sz w:val="17"/>
                <w:szCs w:val="17"/>
              </w:rPr>
              <w:t>El contrato con el nuevo proveedor entró en vigor el 1 de enero de 2015.</w:t>
            </w:r>
          </w:p>
        </w:tc>
      </w:tr>
      <w:tr w:rsidR="0010230A" w:rsidRPr="00D512B8" w:rsidTr="00DC1333">
        <w:trPr>
          <w:trHeight w:val="1966"/>
        </w:trPr>
        <w:tc>
          <w:tcPr>
            <w:tcW w:w="1012" w:type="pct"/>
            <w:tcBorders>
              <w:top w:val="single" w:sz="4" w:space="0" w:color="auto"/>
              <w:left w:val="single" w:sz="4" w:space="0" w:color="auto"/>
              <w:bottom w:val="single" w:sz="4" w:space="0" w:color="auto"/>
              <w:right w:val="single" w:sz="4" w:space="0" w:color="auto"/>
            </w:tcBorders>
            <w:shd w:val="clear" w:color="auto" w:fill="auto"/>
            <w:hideMark/>
          </w:tcPr>
          <w:p w:rsidR="0010230A" w:rsidRPr="008F0E12" w:rsidRDefault="0010230A" w:rsidP="00DC1333">
            <w:pPr>
              <w:rPr>
                <w:color w:val="000000"/>
                <w:sz w:val="17"/>
                <w:szCs w:val="17"/>
              </w:rPr>
            </w:pPr>
            <w:r w:rsidRPr="008F0E12">
              <w:rPr>
                <w:color w:val="000000"/>
                <w:sz w:val="17"/>
                <w:szCs w:val="17"/>
              </w:rPr>
              <w:t>Rescisión del contrato de alquiler de áreas de almacenamiento ubicadas fuera del recinto</w:t>
            </w:r>
          </w:p>
        </w:tc>
        <w:tc>
          <w:tcPr>
            <w:tcW w:w="651" w:type="pct"/>
            <w:tcBorders>
              <w:top w:val="single" w:sz="4" w:space="0" w:color="auto"/>
              <w:left w:val="nil"/>
              <w:bottom w:val="single" w:sz="4" w:space="0" w:color="auto"/>
              <w:right w:val="single" w:sz="4" w:space="0" w:color="auto"/>
            </w:tcBorders>
            <w:shd w:val="clear" w:color="auto" w:fill="auto"/>
            <w:hideMark/>
          </w:tcPr>
          <w:p w:rsidR="0010230A" w:rsidRPr="008F0E12" w:rsidRDefault="0010230A" w:rsidP="00DC1333">
            <w:pPr>
              <w:rPr>
                <w:color w:val="000000"/>
                <w:sz w:val="17"/>
                <w:szCs w:val="17"/>
              </w:rPr>
            </w:pPr>
            <w:r w:rsidRPr="008F0E12">
              <w:rPr>
                <w:color w:val="000000"/>
                <w:sz w:val="17"/>
                <w:szCs w:val="17"/>
              </w:rPr>
              <w:t xml:space="preserve">12.178 </w:t>
            </w:r>
          </w:p>
          <w:p w:rsidR="0010230A" w:rsidRPr="008F0E12" w:rsidRDefault="0010230A" w:rsidP="00DC1333">
            <w:pPr>
              <w:rPr>
                <w:color w:val="000000"/>
                <w:sz w:val="17"/>
                <w:szCs w:val="17"/>
              </w:rPr>
            </w:pPr>
            <w:r w:rsidRPr="008F0E12">
              <w:rPr>
                <w:color w:val="000000"/>
                <w:sz w:val="17"/>
                <w:szCs w:val="17"/>
              </w:rPr>
              <w:t xml:space="preserve">(7.845 CHF en </w:t>
            </w:r>
            <w:proofErr w:type="spellStart"/>
            <w:r w:rsidRPr="008F0E12">
              <w:rPr>
                <w:color w:val="000000"/>
                <w:sz w:val="17"/>
                <w:szCs w:val="17"/>
              </w:rPr>
              <w:t>Meyrin</w:t>
            </w:r>
            <w:proofErr w:type="spellEnd"/>
            <w:r w:rsidRPr="008F0E12">
              <w:rPr>
                <w:color w:val="000000"/>
                <w:sz w:val="17"/>
                <w:szCs w:val="17"/>
              </w:rPr>
              <w:t xml:space="preserve"> IV y</w:t>
            </w:r>
          </w:p>
          <w:p w:rsidR="0010230A" w:rsidRPr="008F0E12" w:rsidRDefault="0010230A" w:rsidP="00DC1333">
            <w:pPr>
              <w:rPr>
                <w:sz w:val="17"/>
                <w:szCs w:val="17"/>
              </w:rPr>
            </w:pPr>
            <w:r w:rsidRPr="008F0E12">
              <w:rPr>
                <w:color w:val="000000"/>
                <w:sz w:val="17"/>
                <w:szCs w:val="17"/>
              </w:rPr>
              <w:t xml:space="preserve">4.333 CHF en La </w:t>
            </w:r>
            <w:proofErr w:type="spellStart"/>
            <w:r w:rsidRPr="008F0E12">
              <w:rPr>
                <w:color w:val="000000"/>
                <w:sz w:val="17"/>
                <w:szCs w:val="17"/>
              </w:rPr>
              <w:t>Praille</w:t>
            </w:r>
            <w:proofErr w:type="spellEnd"/>
            <w:r w:rsidRPr="008F0E12">
              <w:rPr>
                <w:color w:val="000000"/>
                <w:sz w:val="17"/>
                <w:szCs w:val="17"/>
              </w:rPr>
              <w:t>)</w:t>
            </w:r>
          </w:p>
          <w:p w:rsidR="0010230A" w:rsidRPr="008F0E12" w:rsidRDefault="0010230A" w:rsidP="00DC1333">
            <w:pPr>
              <w:rPr>
                <w:color w:val="000000"/>
                <w:sz w:val="17"/>
                <w:szCs w:val="17"/>
              </w:rPr>
            </w:pPr>
          </w:p>
        </w:tc>
        <w:tc>
          <w:tcPr>
            <w:tcW w:w="477" w:type="pct"/>
            <w:tcBorders>
              <w:top w:val="single" w:sz="4" w:space="0" w:color="auto"/>
              <w:left w:val="nil"/>
              <w:bottom w:val="single" w:sz="4" w:space="0" w:color="auto"/>
              <w:right w:val="single" w:sz="4" w:space="0" w:color="auto"/>
            </w:tcBorders>
            <w:shd w:val="clear" w:color="auto" w:fill="auto"/>
            <w:hideMark/>
          </w:tcPr>
          <w:p w:rsidR="0010230A" w:rsidRPr="008F0E12" w:rsidRDefault="0010230A">
            <w:pPr>
              <w:rPr>
                <w:color w:val="000000"/>
                <w:sz w:val="17"/>
                <w:szCs w:val="17"/>
              </w:rPr>
            </w:pPr>
            <w:r w:rsidRPr="008F0E12">
              <w:rPr>
                <w:color w:val="000000"/>
                <w:sz w:val="17"/>
                <w:szCs w:val="17"/>
              </w:rPr>
              <w:t> 54.150</w:t>
            </w:r>
          </w:p>
          <w:p w:rsidR="0010230A" w:rsidRPr="008F0E12" w:rsidRDefault="0010230A" w:rsidP="00DC1333">
            <w:pPr>
              <w:rPr>
                <w:color w:val="000000"/>
                <w:sz w:val="17"/>
                <w:szCs w:val="17"/>
              </w:rPr>
            </w:pPr>
            <w:r w:rsidRPr="008F0E12">
              <w:rPr>
                <w:color w:val="000000"/>
                <w:sz w:val="17"/>
                <w:szCs w:val="17"/>
              </w:rPr>
              <w:t xml:space="preserve">(31.380 CHF en </w:t>
            </w:r>
            <w:proofErr w:type="spellStart"/>
            <w:r w:rsidRPr="008F0E12">
              <w:rPr>
                <w:color w:val="000000"/>
                <w:sz w:val="17"/>
                <w:szCs w:val="17"/>
              </w:rPr>
              <w:t>Meyrin</w:t>
            </w:r>
            <w:proofErr w:type="spellEnd"/>
            <w:r w:rsidRPr="008F0E12">
              <w:rPr>
                <w:color w:val="000000"/>
                <w:sz w:val="17"/>
                <w:szCs w:val="17"/>
              </w:rPr>
              <w:t xml:space="preserve"> IV, </w:t>
            </w:r>
          </w:p>
          <w:p w:rsidR="0010230A" w:rsidRPr="008F0E12" w:rsidRDefault="0010230A" w:rsidP="00DC1333">
            <w:pPr>
              <w:rPr>
                <w:color w:val="000000"/>
                <w:sz w:val="17"/>
                <w:szCs w:val="17"/>
              </w:rPr>
            </w:pPr>
            <w:r w:rsidRPr="008F0E12">
              <w:rPr>
                <w:color w:val="000000"/>
                <w:sz w:val="17"/>
                <w:szCs w:val="17"/>
              </w:rPr>
              <w:t xml:space="preserve">15.000 CHF en La </w:t>
            </w:r>
            <w:proofErr w:type="spellStart"/>
            <w:r w:rsidRPr="008F0E12">
              <w:rPr>
                <w:color w:val="000000"/>
                <w:sz w:val="17"/>
                <w:szCs w:val="17"/>
              </w:rPr>
              <w:t>Praille</w:t>
            </w:r>
            <w:proofErr w:type="spellEnd"/>
            <w:r w:rsidRPr="008F0E12">
              <w:rPr>
                <w:color w:val="000000"/>
                <w:sz w:val="17"/>
                <w:szCs w:val="17"/>
              </w:rPr>
              <w:t xml:space="preserve"> y </w:t>
            </w:r>
          </w:p>
          <w:p w:rsidR="0010230A" w:rsidRPr="008F0E12" w:rsidRDefault="0010230A" w:rsidP="00DC1333">
            <w:pPr>
              <w:rPr>
                <w:sz w:val="17"/>
                <w:szCs w:val="17"/>
              </w:rPr>
            </w:pPr>
            <w:r w:rsidRPr="008F0E12">
              <w:rPr>
                <w:color w:val="000000"/>
                <w:sz w:val="17"/>
                <w:szCs w:val="17"/>
              </w:rPr>
              <w:t xml:space="preserve">7.770 CHF en </w:t>
            </w:r>
            <w:proofErr w:type="spellStart"/>
            <w:r w:rsidRPr="008F0E12">
              <w:rPr>
                <w:color w:val="000000"/>
                <w:sz w:val="17"/>
                <w:szCs w:val="17"/>
              </w:rPr>
              <w:t>Meyrin</w:t>
            </w:r>
            <w:proofErr w:type="spellEnd"/>
            <w:r w:rsidRPr="008F0E12">
              <w:rPr>
                <w:color w:val="000000"/>
                <w:sz w:val="17"/>
                <w:szCs w:val="17"/>
              </w:rPr>
              <w:t xml:space="preserve"> II)</w:t>
            </w:r>
          </w:p>
          <w:p w:rsidR="0010230A" w:rsidRPr="008F0E12" w:rsidRDefault="0010230A">
            <w:pPr>
              <w:rPr>
                <w:sz w:val="17"/>
                <w:szCs w:val="17"/>
              </w:rPr>
            </w:pPr>
          </w:p>
          <w:p w:rsidR="0010230A" w:rsidRPr="008F0E12" w:rsidRDefault="0010230A" w:rsidP="00DC1333">
            <w:pPr>
              <w:rPr>
                <w:color w:val="000000"/>
                <w:sz w:val="17"/>
                <w:szCs w:val="17"/>
              </w:rPr>
            </w:pPr>
          </w:p>
        </w:tc>
        <w:tc>
          <w:tcPr>
            <w:tcW w:w="823" w:type="pct"/>
            <w:tcBorders>
              <w:top w:val="single" w:sz="4" w:space="0" w:color="auto"/>
              <w:left w:val="nil"/>
              <w:bottom w:val="single" w:sz="4" w:space="0" w:color="auto"/>
              <w:right w:val="single" w:sz="4" w:space="0" w:color="auto"/>
            </w:tcBorders>
            <w:shd w:val="clear" w:color="auto" w:fill="auto"/>
            <w:hideMark/>
          </w:tcPr>
          <w:p w:rsidR="0010230A" w:rsidRPr="008F0E12" w:rsidRDefault="0010230A">
            <w:pPr>
              <w:rPr>
                <w:color w:val="000000"/>
                <w:sz w:val="17"/>
                <w:szCs w:val="17"/>
              </w:rPr>
            </w:pPr>
          </w:p>
        </w:tc>
        <w:tc>
          <w:tcPr>
            <w:tcW w:w="869" w:type="pct"/>
            <w:tcBorders>
              <w:top w:val="single" w:sz="4" w:space="0" w:color="auto"/>
              <w:left w:val="nil"/>
              <w:bottom w:val="single" w:sz="4" w:space="0" w:color="auto"/>
              <w:right w:val="single" w:sz="4" w:space="0" w:color="auto"/>
            </w:tcBorders>
            <w:shd w:val="clear" w:color="auto" w:fill="auto"/>
            <w:hideMark/>
          </w:tcPr>
          <w:p w:rsidR="0010230A" w:rsidRPr="008F0E12" w:rsidRDefault="0010230A">
            <w:pPr>
              <w:rPr>
                <w:color w:val="000000"/>
                <w:sz w:val="17"/>
                <w:szCs w:val="17"/>
              </w:rPr>
            </w:pPr>
          </w:p>
        </w:tc>
        <w:tc>
          <w:tcPr>
            <w:tcW w:w="1167" w:type="pct"/>
            <w:tcBorders>
              <w:top w:val="single" w:sz="4" w:space="0" w:color="auto"/>
              <w:left w:val="nil"/>
              <w:bottom w:val="single" w:sz="4" w:space="0" w:color="auto"/>
              <w:right w:val="single" w:sz="4" w:space="0" w:color="auto"/>
            </w:tcBorders>
            <w:shd w:val="clear" w:color="auto" w:fill="auto"/>
            <w:hideMark/>
          </w:tcPr>
          <w:p w:rsidR="0010230A" w:rsidRPr="008F0E12" w:rsidRDefault="0010230A" w:rsidP="00DC1333">
            <w:pPr>
              <w:rPr>
                <w:color w:val="000000"/>
                <w:sz w:val="17"/>
                <w:szCs w:val="17"/>
              </w:rPr>
            </w:pPr>
            <w:r w:rsidRPr="008F0E12">
              <w:rPr>
                <w:color w:val="000000"/>
                <w:sz w:val="17"/>
                <w:szCs w:val="17"/>
              </w:rPr>
              <w:t xml:space="preserve">El contrato de  alquiler de </w:t>
            </w:r>
            <w:proofErr w:type="spellStart"/>
            <w:r w:rsidRPr="008F0E12">
              <w:rPr>
                <w:color w:val="000000"/>
                <w:sz w:val="17"/>
                <w:szCs w:val="17"/>
              </w:rPr>
              <w:t>Meyrin</w:t>
            </w:r>
            <w:proofErr w:type="spellEnd"/>
            <w:r w:rsidRPr="008F0E12">
              <w:rPr>
                <w:color w:val="000000"/>
                <w:sz w:val="17"/>
                <w:szCs w:val="17"/>
              </w:rPr>
              <w:t xml:space="preserve"> IV se rescindió el 30 de septiembre de 2014.  El de La </w:t>
            </w:r>
            <w:proofErr w:type="spellStart"/>
            <w:r w:rsidRPr="008F0E12">
              <w:rPr>
                <w:color w:val="000000"/>
                <w:sz w:val="17"/>
                <w:szCs w:val="17"/>
              </w:rPr>
              <w:t>Praille</w:t>
            </w:r>
            <w:proofErr w:type="spellEnd"/>
            <w:r w:rsidRPr="008F0E12">
              <w:rPr>
                <w:color w:val="000000"/>
                <w:sz w:val="17"/>
                <w:szCs w:val="17"/>
              </w:rPr>
              <w:t>, en noviembre de 2014.</w:t>
            </w:r>
          </w:p>
          <w:p w:rsidR="0010230A" w:rsidRPr="008F0E12" w:rsidRDefault="0010230A" w:rsidP="00DC1333">
            <w:pPr>
              <w:rPr>
                <w:color w:val="000000"/>
                <w:sz w:val="17"/>
                <w:szCs w:val="17"/>
              </w:rPr>
            </w:pPr>
          </w:p>
          <w:p w:rsidR="0010230A" w:rsidRPr="008F0E12" w:rsidRDefault="0010230A" w:rsidP="00DC1333">
            <w:pPr>
              <w:rPr>
                <w:color w:val="000000"/>
                <w:sz w:val="17"/>
                <w:szCs w:val="17"/>
              </w:rPr>
            </w:pPr>
            <w:r w:rsidRPr="008F0E12">
              <w:rPr>
                <w:color w:val="000000"/>
                <w:sz w:val="17"/>
                <w:szCs w:val="17"/>
              </w:rPr>
              <w:t xml:space="preserve">En 2015, se rescindió por anticipado el contrato de alquiler de </w:t>
            </w:r>
            <w:proofErr w:type="spellStart"/>
            <w:r w:rsidRPr="008F0E12">
              <w:rPr>
                <w:color w:val="000000"/>
                <w:sz w:val="17"/>
                <w:szCs w:val="17"/>
              </w:rPr>
              <w:t>Meyrin</w:t>
            </w:r>
            <w:proofErr w:type="spellEnd"/>
            <w:r w:rsidRPr="008F0E12">
              <w:rPr>
                <w:color w:val="000000"/>
                <w:sz w:val="17"/>
                <w:szCs w:val="17"/>
              </w:rPr>
              <w:t xml:space="preserve"> II (antes de la fecha estipulada en el contrato, a fines de enero de 2016, debido al acuerdo alcanzado con el inquilino siguiente).</w:t>
            </w:r>
          </w:p>
        </w:tc>
      </w:tr>
      <w:tr w:rsidR="0010230A" w:rsidRPr="008F0E12" w:rsidTr="00523D2E">
        <w:trPr>
          <w:trHeight w:val="362"/>
        </w:trPr>
        <w:tc>
          <w:tcPr>
            <w:tcW w:w="1012" w:type="pct"/>
            <w:tcBorders>
              <w:top w:val="nil"/>
              <w:left w:val="single" w:sz="4" w:space="0" w:color="auto"/>
              <w:bottom w:val="single" w:sz="4" w:space="0" w:color="auto"/>
              <w:right w:val="single" w:sz="4" w:space="0" w:color="auto"/>
            </w:tcBorders>
            <w:shd w:val="clear" w:color="auto" w:fill="auto"/>
            <w:hideMark/>
          </w:tcPr>
          <w:p w:rsidR="0010230A" w:rsidRPr="008F0E12" w:rsidRDefault="0010230A" w:rsidP="00DC1333">
            <w:pPr>
              <w:rPr>
                <w:color w:val="000000"/>
                <w:sz w:val="17"/>
                <w:szCs w:val="17"/>
              </w:rPr>
            </w:pPr>
            <w:r w:rsidRPr="008F0E12">
              <w:rPr>
                <w:color w:val="000000"/>
                <w:sz w:val="17"/>
                <w:szCs w:val="17"/>
              </w:rPr>
              <w:t xml:space="preserve">Rescisión del contrato de alquiler de 32 plazas de estacionamiento en el Parking des </w:t>
            </w:r>
            <w:proofErr w:type="spellStart"/>
            <w:r w:rsidRPr="008F0E12">
              <w:rPr>
                <w:color w:val="000000"/>
                <w:sz w:val="17"/>
                <w:szCs w:val="17"/>
              </w:rPr>
              <w:t>Nations</w:t>
            </w:r>
            <w:proofErr w:type="spellEnd"/>
            <w:r w:rsidRPr="008F0E12">
              <w:rPr>
                <w:color w:val="000000"/>
                <w:sz w:val="17"/>
                <w:szCs w:val="17"/>
              </w:rPr>
              <w:t xml:space="preserve"> en varios lotes, entre </w:t>
            </w:r>
            <w:r w:rsidRPr="008F0E12">
              <w:rPr>
                <w:color w:val="000000"/>
                <w:sz w:val="17"/>
                <w:szCs w:val="17"/>
              </w:rPr>
              <w:lastRenderedPageBreak/>
              <w:t>agosto y diciembre de 2014.</w:t>
            </w:r>
          </w:p>
          <w:p w:rsidR="0010230A" w:rsidRPr="008F0E12" w:rsidRDefault="0010230A" w:rsidP="00DC1333">
            <w:pPr>
              <w:rPr>
                <w:color w:val="000000"/>
                <w:sz w:val="17"/>
                <w:szCs w:val="17"/>
              </w:rPr>
            </w:pPr>
          </w:p>
        </w:tc>
        <w:tc>
          <w:tcPr>
            <w:tcW w:w="651" w:type="pct"/>
            <w:tcBorders>
              <w:top w:val="nil"/>
              <w:left w:val="nil"/>
              <w:bottom w:val="single" w:sz="4" w:space="0" w:color="auto"/>
              <w:right w:val="single" w:sz="4" w:space="0" w:color="auto"/>
            </w:tcBorders>
            <w:shd w:val="clear" w:color="auto" w:fill="auto"/>
            <w:hideMark/>
          </w:tcPr>
          <w:p w:rsidR="0010230A" w:rsidRPr="008F0E12" w:rsidRDefault="0010230A" w:rsidP="00DC1333">
            <w:pPr>
              <w:rPr>
                <w:color w:val="000000"/>
                <w:sz w:val="17"/>
                <w:szCs w:val="17"/>
              </w:rPr>
            </w:pPr>
            <w:r w:rsidRPr="008F0E12">
              <w:rPr>
                <w:color w:val="000000"/>
                <w:sz w:val="17"/>
                <w:szCs w:val="17"/>
              </w:rPr>
              <w:lastRenderedPageBreak/>
              <w:t>3.404</w:t>
            </w:r>
          </w:p>
        </w:tc>
        <w:tc>
          <w:tcPr>
            <w:tcW w:w="477" w:type="pct"/>
            <w:tcBorders>
              <w:top w:val="nil"/>
              <w:left w:val="nil"/>
              <w:bottom w:val="single" w:sz="4" w:space="0" w:color="auto"/>
              <w:right w:val="single" w:sz="4" w:space="0" w:color="auto"/>
            </w:tcBorders>
            <w:shd w:val="clear" w:color="auto" w:fill="auto"/>
            <w:hideMark/>
          </w:tcPr>
          <w:p w:rsidR="0010230A" w:rsidRPr="008F0E12" w:rsidRDefault="0010230A">
            <w:pPr>
              <w:rPr>
                <w:sz w:val="17"/>
                <w:szCs w:val="17"/>
              </w:rPr>
            </w:pPr>
            <w:r w:rsidRPr="008F0E12">
              <w:rPr>
                <w:color w:val="000000"/>
                <w:sz w:val="17"/>
                <w:szCs w:val="17"/>
              </w:rPr>
              <w:t>  61.440</w:t>
            </w:r>
          </w:p>
          <w:p w:rsidR="0010230A" w:rsidRPr="008F0E12" w:rsidRDefault="0010230A" w:rsidP="00DC1333">
            <w:pPr>
              <w:rPr>
                <w:color w:val="000000"/>
                <w:sz w:val="17"/>
                <w:szCs w:val="17"/>
              </w:rPr>
            </w:pPr>
          </w:p>
        </w:tc>
        <w:tc>
          <w:tcPr>
            <w:tcW w:w="823" w:type="pct"/>
            <w:tcBorders>
              <w:top w:val="nil"/>
              <w:left w:val="nil"/>
              <w:bottom w:val="single" w:sz="4" w:space="0" w:color="auto"/>
              <w:right w:val="single" w:sz="4" w:space="0" w:color="auto"/>
            </w:tcBorders>
            <w:shd w:val="clear" w:color="auto" w:fill="auto"/>
            <w:hideMark/>
          </w:tcPr>
          <w:p w:rsidR="0010230A" w:rsidRPr="008F0E12" w:rsidRDefault="0010230A" w:rsidP="00DC1333">
            <w:pPr>
              <w:rPr>
                <w:color w:val="000000"/>
                <w:sz w:val="17"/>
                <w:szCs w:val="17"/>
              </w:rPr>
            </w:pPr>
            <w:r w:rsidRPr="008F0E12">
              <w:rPr>
                <w:color w:val="000000"/>
                <w:sz w:val="17"/>
                <w:szCs w:val="17"/>
              </w:rPr>
              <w:t> </w:t>
            </w:r>
          </w:p>
        </w:tc>
        <w:tc>
          <w:tcPr>
            <w:tcW w:w="869" w:type="pct"/>
            <w:tcBorders>
              <w:top w:val="nil"/>
              <w:left w:val="nil"/>
              <w:bottom w:val="single" w:sz="4" w:space="0" w:color="auto"/>
              <w:right w:val="single" w:sz="4" w:space="0" w:color="auto"/>
            </w:tcBorders>
            <w:shd w:val="clear" w:color="auto" w:fill="auto"/>
            <w:hideMark/>
          </w:tcPr>
          <w:p w:rsidR="0010230A" w:rsidRPr="008F0E12" w:rsidRDefault="0010230A" w:rsidP="00DC1333">
            <w:pPr>
              <w:rPr>
                <w:color w:val="000000"/>
                <w:sz w:val="17"/>
                <w:szCs w:val="17"/>
              </w:rPr>
            </w:pPr>
            <w:r w:rsidRPr="008F0E12">
              <w:rPr>
                <w:color w:val="000000"/>
                <w:sz w:val="17"/>
                <w:szCs w:val="17"/>
              </w:rPr>
              <w:t> </w:t>
            </w:r>
          </w:p>
        </w:tc>
        <w:tc>
          <w:tcPr>
            <w:tcW w:w="1167" w:type="pct"/>
            <w:tcBorders>
              <w:top w:val="nil"/>
              <w:left w:val="nil"/>
              <w:bottom w:val="single" w:sz="4" w:space="0" w:color="auto"/>
              <w:right w:val="single" w:sz="4" w:space="0" w:color="auto"/>
            </w:tcBorders>
            <w:shd w:val="clear" w:color="auto" w:fill="auto"/>
            <w:hideMark/>
          </w:tcPr>
          <w:p w:rsidR="0010230A" w:rsidRPr="008F0E12" w:rsidRDefault="0010230A">
            <w:pPr>
              <w:rPr>
                <w:sz w:val="17"/>
                <w:szCs w:val="17"/>
              </w:rPr>
            </w:pPr>
          </w:p>
          <w:p w:rsidR="0010230A" w:rsidRPr="008F0E12" w:rsidRDefault="0010230A" w:rsidP="00DC1333">
            <w:pPr>
              <w:rPr>
                <w:color w:val="000000"/>
                <w:sz w:val="17"/>
                <w:szCs w:val="17"/>
              </w:rPr>
            </w:pPr>
          </w:p>
        </w:tc>
      </w:tr>
      <w:tr w:rsidR="0010230A" w:rsidRPr="008F0E12" w:rsidTr="00DC1333">
        <w:trPr>
          <w:trHeight w:val="1363"/>
        </w:trPr>
        <w:tc>
          <w:tcPr>
            <w:tcW w:w="1012" w:type="pct"/>
            <w:tcBorders>
              <w:top w:val="nil"/>
              <w:left w:val="single" w:sz="4" w:space="0" w:color="auto"/>
              <w:bottom w:val="single" w:sz="4" w:space="0" w:color="auto"/>
              <w:right w:val="single" w:sz="4" w:space="0" w:color="auto"/>
            </w:tcBorders>
            <w:shd w:val="clear" w:color="auto" w:fill="auto"/>
          </w:tcPr>
          <w:p w:rsidR="0010230A" w:rsidRPr="008F0E12" w:rsidRDefault="0010230A">
            <w:pPr>
              <w:rPr>
                <w:sz w:val="17"/>
                <w:szCs w:val="17"/>
              </w:rPr>
            </w:pPr>
            <w:r w:rsidRPr="008F0E12">
              <w:rPr>
                <w:color w:val="000000"/>
                <w:sz w:val="17"/>
                <w:szCs w:val="17"/>
              </w:rPr>
              <w:lastRenderedPageBreak/>
              <w:t xml:space="preserve">Rescisión del contrato de alquiler de otras 20 plazas de estacionamiento en el Parking des </w:t>
            </w:r>
            <w:proofErr w:type="spellStart"/>
            <w:r w:rsidRPr="008F0E12">
              <w:rPr>
                <w:color w:val="000000"/>
                <w:sz w:val="17"/>
                <w:szCs w:val="17"/>
              </w:rPr>
              <w:t>Nations</w:t>
            </w:r>
            <w:proofErr w:type="spellEnd"/>
            <w:r w:rsidRPr="008F0E12">
              <w:rPr>
                <w:color w:val="000000"/>
                <w:sz w:val="17"/>
                <w:szCs w:val="17"/>
              </w:rPr>
              <w:t xml:space="preserve"> en varios lotes en 2015</w:t>
            </w:r>
          </w:p>
          <w:p w:rsidR="0010230A" w:rsidRPr="008F0E12" w:rsidRDefault="0010230A" w:rsidP="00DC1333">
            <w:pPr>
              <w:rPr>
                <w:color w:val="000000"/>
                <w:sz w:val="17"/>
                <w:szCs w:val="17"/>
              </w:rPr>
            </w:pPr>
          </w:p>
        </w:tc>
        <w:tc>
          <w:tcPr>
            <w:tcW w:w="651" w:type="pct"/>
            <w:tcBorders>
              <w:top w:val="nil"/>
              <w:left w:val="nil"/>
              <w:bottom w:val="single" w:sz="4" w:space="0" w:color="auto"/>
              <w:right w:val="single" w:sz="4" w:space="0" w:color="auto"/>
            </w:tcBorders>
            <w:shd w:val="clear" w:color="auto" w:fill="auto"/>
          </w:tcPr>
          <w:p w:rsidR="0010230A" w:rsidRPr="008F0E12" w:rsidRDefault="0010230A">
            <w:pPr>
              <w:rPr>
                <w:sz w:val="17"/>
                <w:szCs w:val="17"/>
              </w:rPr>
            </w:pPr>
            <w:r w:rsidRPr="008F0E12">
              <w:rPr>
                <w:color w:val="000000"/>
                <w:sz w:val="17"/>
                <w:szCs w:val="17"/>
              </w:rPr>
              <w:t>n/a</w:t>
            </w:r>
          </w:p>
          <w:p w:rsidR="0010230A" w:rsidRPr="008F0E12" w:rsidRDefault="0010230A" w:rsidP="00DC1333">
            <w:pPr>
              <w:rPr>
                <w:color w:val="000000"/>
                <w:sz w:val="17"/>
                <w:szCs w:val="17"/>
              </w:rPr>
            </w:pPr>
          </w:p>
        </w:tc>
        <w:tc>
          <w:tcPr>
            <w:tcW w:w="477" w:type="pct"/>
            <w:tcBorders>
              <w:top w:val="nil"/>
              <w:left w:val="nil"/>
              <w:bottom w:val="single" w:sz="4" w:space="0" w:color="auto"/>
              <w:right w:val="single" w:sz="4" w:space="0" w:color="auto"/>
            </w:tcBorders>
            <w:shd w:val="clear" w:color="auto" w:fill="auto"/>
          </w:tcPr>
          <w:p w:rsidR="0010230A" w:rsidRPr="008F0E12" w:rsidRDefault="0010230A">
            <w:pPr>
              <w:rPr>
                <w:sz w:val="17"/>
                <w:szCs w:val="17"/>
              </w:rPr>
            </w:pPr>
            <w:r w:rsidRPr="008F0E12">
              <w:rPr>
                <w:color w:val="000000"/>
                <w:sz w:val="17"/>
                <w:szCs w:val="17"/>
              </w:rPr>
              <w:t>62.052</w:t>
            </w:r>
          </w:p>
          <w:p w:rsidR="0010230A" w:rsidRPr="008F0E12" w:rsidRDefault="0010230A" w:rsidP="00DC1333">
            <w:pPr>
              <w:rPr>
                <w:color w:val="000000"/>
                <w:sz w:val="17"/>
                <w:szCs w:val="17"/>
              </w:rPr>
            </w:pPr>
          </w:p>
          <w:p w:rsidR="0010230A" w:rsidRPr="008F0E12" w:rsidRDefault="0010230A" w:rsidP="00DC1333">
            <w:pPr>
              <w:jc w:val="center"/>
              <w:rPr>
                <w:sz w:val="17"/>
                <w:szCs w:val="17"/>
              </w:rPr>
            </w:pPr>
          </w:p>
        </w:tc>
        <w:tc>
          <w:tcPr>
            <w:tcW w:w="823" w:type="pct"/>
            <w:tcBorders>
              <w:top w:val="nil"/>
              <w:left w:val="nil"/>
              <w:bottom w:val="single" w:sz="4" w:space="0" w:color="auto"/>
              <w:right w:val="single" w:sz="4" w:space="0" w:color="auto"/>
            </w:tcBorders>
            <w:shd w:val="clear" w:color="auto" w:fill="auto"/>
          </w:tcPr>
          <w:p w:rsidR="0010230A" w:rsidRPr="008F0E12" w:rsidRDefault="0010230A" w:rsidP="00DC1333">
            <w:pPr>
              <w:rPr>
                <w:color w:val="000000"/>
                <w:sz w:val="17"/>
                <w:szCs w:val="17"/>
              </w:rPr>
            </w:pPr>
          </w:p>
        </w:tc>
        <w:tc>
          <w:tcPr>
            <w:tcW w:w="869" w:type="pct"/>
            <w:tcBorders>
              <w:top w:val="nil"/>
              <w:left w:val="nil"/>
              <w:bottom w:val="single" w:sz="4" w:space="0" w:color="auto"/>
              <w:right w:val="single" w:sz="4" w:space="0" w:color="auto"/>
            </w:tcBorders>
            <w:shd w:val="clear" w:color="auto" w:fill="auto"/>
          </w:tcPr>
          <w:p w:rsidR="0010230A" w:rsidRPr="008F0E12" w:rsidRDefault="0010230A" w:rsidP="00DC1333">
            <w:pPr>
              <w:rPr>
                <w:color w:val="000000"/>
                <w:sz w:val="17"/>
                <w:szCs w:val="17"/>
              </w:rPr>
            </w:pPr>
          </w:p>
        </w:tc>
        <w:tc>
          <w:tcPr>
            <w:tcW w:w="1167" w:type="pct"/>
            <w:tcBorders>
              <w:top w:val="nil"/>
              <w:left w:val="nil"/>
              <w:bottom w:val="single" w:sz="4" w:space="0" w:color="auto"/>
              <w:right w:val="single" w:sz="4" w:space="0" w:color="auto"/>
            </w:tcBorders>
            <w:shd w:val="clear" w:color="auto" w:fill="auto"/>
          </w:tcPr>
          <w:p w:rsidR="0010230A" w:rsidRPr="008F0E12" w:rsidRDefault="0010230A">
            <w:pPr>
              <w:rPr>
                <w:color w:val="000000"/>
                <w:sz w:val="17"/>
                <w:szCs w:val="17"/>
              </w:rPr>
            </w:pPr>
          </w:p>
        </w:tc>
      </w:tr>
      <w:tr w:rsidR="0010230A" w:rsidRPr="008F0E12" w:rsidTr="00DC1333">
        <w:trPr>
          <w:trHeight w:val="1075"/>
        </w:trPr>
        <w:tc>
          <w:tcPr>
            <w:tcW w:w="1012" w:type="pct"/>
            <w:tcBorders>
              <w:top w:val="nil"/>
              <w:left w:val="single" w:sz="4" w:space="0" w:color="auto"/>
              <w:bottom w:val="single" w:sz="4" w:space="0" w:color="auto"/>
              <w:right w:val="single" w:sz="4" w:space="0" w:color="auto"/>
            </w:tcBorders>
            <w:shd w:val="clear" w:color="auto" w:fill="auto"/>
          </w:tcPr>
          <w:p w:rsidR="0010230A" w:rsidRPr="008F0E12" w:rsidRDefault="0010230A" w:rsidP="00DC1333">
            <w:pPr>
              <w:rPr>
                <w:color w:val="000000"/>
                <w:sz w:val="17"/>
                <w:szCs w:val="17"/>
              </w:rPr>
            </w:pPr>
            <w:r w:rsidRPr="008F0E12">
              <w:rPr>
                <w:color w:val="000000"/>
                <w:sz w:val="17"/>
                <w:szCs w:val="17"/>
              </w:rPr>
              <w:t>Rescisión del contrato de alquiler de 5 plazas de estacionamiento en el aparcamiento del edificio del CAM en 2015.</w:t>
            </w:r>
          </w:p>
        </w:tc>
        <w:tc>
          <w:tcPr>
            <w:tcW w:w="651" w:type="pct"/>
            <w:tcBorders>
              <w:top w:val="nil"/>
              <w:left w:val="nil"/>
              <w:bottom w:val="single" w:sz="4" w:space="0" w:color="auto"/>
              <w:right w:val="single" w:sz="4" w:space="0" w:color="auto"/>
            </w:tcBorders>
            <w:shd w:val="clear" w:color="auto" w:fill="auto"/>
          </w:tcPr>
          <w:p w:rsidR="0010230A" w:rsidRPr="008F0E12" w:rsidRDefault="0010230A">
            <w:pPr>
              <w:rPr>
                <w:sz w:val="17"/>
                <w:szCs w:val="17"/>
              </w:rPr>
            </w:pPr>
            <w:r w:rsidRPr="008F0E12">
              <w:rPr>
                <w:color w:val="000000"/>
                <w:sz w:val="17"/>
                <w:szCs w:val="17"/>
              </w:rPr>
              <w:t>n/a</w:t>
            </w:r>
          </w:p>
          <w:p w:rsidR="0010230A" w:rsidRPr="008F0E12" w:rsidRDefault="0010230A" w:rsidP="00DC1333">
            <w:pPr>
              <w:rPr>
                <w:color w:val="000000"/>
                <w:sz w:val="17"/>
                <w:szCs w:val="17"/>
              </w:rPr>
            </w:pPr>
          </w:p>
        </w:tc>
        <w:tc>
          <w:tcPr>
            <w:tcW w:w="477" w:type="pct"/>
            <w:tcBorders>
              <w:top w:val="nil"/>
              <w:left w:val="nil"/>
              <w:bottom w:val="single" w:sz="4" w:space="0" w:color="auto"/>
              <w:right w:val="single" w:sz="4" w:space="0" w:color="auto"/>
            </w:tcBorders>
            <w:shd w:val="clear" w:color="auto" w:fill="auto"/>
          </w:tcPr>
          <w:p w:rsidR="0010230A" w:rsidRPr="008F0E12" w:rsidRDefault="0010230A">
            <w:pPr>
              <w:rPr>
                <w:sz w:val="17"/>
                <w:szCs w:val="17"/>
              </w:rPr>
            </w:pPr>
            <w:r w:rsidRPr="008F0E12">
              <w:rPr>
                <w:color w:val="000000"/>
                <w:sz w:val="17"/>
                <w:szCs w:val="17"/>
              </w:rPr>
              <w:t>8.340</w:t>
            </w:r>
          </w:p>
          <w:p w:rsidR="0010230A" w:rsidRPr="008F0E12" w:rsidRDefault="0010230A" w:rsidP="00DC1333">
            <w:pPr>
              <w:rPr>
                <w:color w:val="000000"/>
                <w:sz w:val="17"/>
                <w:szCs w:val="17"/>
              </w:rPr>
            </w:pPr>
          </w:p>
        </w:tc>
        <w:tc>
          <w:tcPr>
            <w:tcW w:w="823" w:type="pct"/>
            <w:tcBorders>
              <w:top w:val="nil"/>
              <w:left w:val="nil"/>
              <w:bottom w:val="single" w:sz="4" w:space="0" w:color="auto"/>
              <w:right w:val="single" w:sz="4" w:space="0" w:color="auto"/>
            </w:tcBorders>
            <w:shd w:val="clear" w:color="auto" w:fill="auto"/>
          </w:tcPr>
          <w:p w:rsidR="0010230A" w:rsidRPr="008F0E12" w:rsidRDefault="0010230A" w:rsidP="00DC1333">
            <w:pPr>
              <w:rPr>
                <w:color w:val="000000"/>
                <w:sz w:val="17"/>
                <w:szCs w:val="17"/>
              </w:rPr>
            </w:pPr>
          </w:p>
        </w:tc>
        <w:tc>
          <w:tcPr>
            <w:tcW w:w="869" w:type="pct"/>
            <w:tcBorders>
              <w:top w:val="nil"/>
              <w:left w:val="nil"/>
              <w:bottom w:val="single" w:sz="4" w:space="0" w:color="auto"/>
              <w:right w:val="single" w:sz="4" w:space="0" w:color="auto"/>
            </w:tcBorders>
            <w:shd w:val="clear" w:color="auto" w:fill="auto"/>
          </w:tcPr>
          <w:p w:rsidR="0010230A" w:rsidRPr="008F0E12" w:rsidRDefault="0010230A" w:rsidP="00DC1333">
            <w:pPr>
              <w:rPr>
                <w:color w:val="000000"/>
                <w:sz w:val="17"/>
                <w:szCs w:val="17"/>
              </w:rPr>
            </w:pPr>
          </w:p>
        </w:tc>
        <w:tc>
          <w:tcPr>
            <w:tcW w:w="1167" w:type="pct"/>
            <w:tcBorders>
              <w:top w:val="nil"/>
              <w:left w:val="nil"/>
              <w:bottom w:val="single" w:sz="4" w:space="0" w:color="auto"/>
              <w:right w:val="single" w:sz="4" w:space="0" w:color="auto"/>
            </w:tcBorders>
            <w:shd w:val="clear" w:color="auto" w:fill="auto"/>
          </w:tcPr>
          <w:p w:rsidR="0010230A" w:rsidRPr="008F0E12" w:rsidRDefault="0010230A" w:rsidP="00DC1333">
            <w:pPr>
              <w:rPr>
                <w:color w:val="000000"/>
                <w:sz w:val="17"/>
                <w:szCs w:val="17"/>
              </w:rPr>
            </w:pPr>
          </w:p>
        </w:tc>
      </w:tr>
      <w:tr w:rsidR="0010230A" w:rsidRPr="00D512B8" w:rsidTr="00DC1333">
        <w:trPr>
          <w:trHeight w:val="765"/>
        </w:trPr>
        <w:tc>
          <w:tcPr>
            <w:tcW w:w="1012" w:type="pct"/>
            <w:tcBorders>
              <w:top w:val="nil"/>
              <w:left w:val="single" w:sz="4" w:space="0" w:color="auto"/>
              <w:bottom w:val="single" w:sz="4" w:space="0" w:color="auto"/>
              <w:right w:val="single" w:sz="4" w:space="0" w:color="auto"/>
            </w:tcBorders>
            <w:shd w:val="clear" w:color="auto" w:fill="auto"/>
            <w:hideMark/>
          </w:tcPr>
          <w:p w:rsidR="0010230A" w:rsidRPr="008F0E12" w:rsidRDefault="0010230A">
            <w:pPr>
              <w:rPr>
                <w:color w:val="000000"/>
                <w:sz w:val="17"/>
                <w:szCs w:val="17"/>
              </w:rPr>
            </w:pPr>
            <w:r w:rsidRPr="008F0E12">
              <w:rPr>
                <w:color w:val="000000"/>
                <w:sz w:val="17"/>
                <w:szCs w:val="17"/>
              </w:rPr>
              <w:t>Reducción del uso de material de oficina</w:t>
            </w:r>
          </w:p>
        </w:tc>
        <w:tc>
          <w:tcPr>
            <w:tcW w:w="651" w:type="pct"/>
            <w:tcBorders>
              <w:top w:val="nil"/>
              <w:left w:val="nil"/>
              <w:bottom w:val="single" w:sz="4" w:space="0" w:color="auto"/>
              <w:right w:val="single" w:sz="4" w:space="0" w:color="auto"/>
            </w:tcBorders>
            <w:shd w:val="clear" w:color="auto" w:fill="auto"/>
            <w:hideMark/>
          </w:tcPr>
          <w:p w:rsidR="0010230A" w:rsidRPr="008F0E12" w:rsidRDefault="0010230A" w:rsidP="00DC1333">
            <w:pPr>
              <w:rPr>
                <w:color w:val="000000"/>
                <w:sz w:val="17"/>
                <w:szCs w:val="17"/>
              </w:rPr>
            </w:pPr>
            <w:r w:rsidRPr="008F0E12">
              <w:rPr>
                <w:color w:val="000000"/>
                <w:sz w:val="17"/>
                <w:szCs w:val="17"/>
              </w:rPr>
              <w:t>8.193</w:t>
            </w:r>
          </w:p>
        </w:tc>
        <w:tc>
          <w:tcPr>
            <w:tcW w:w="477" w:type="pct"/>
            <w:tcBorders>
              <w:top w:val="nil"/>
              <w:left w:val="nil"/>
              <w:bottom w:val="single" w:sz="4" w:space="0" w:color="auto"/>
              <w:right w:val="single" w:sz="4" w:space="0" w:color="auto"/>
            </w:tcBorders>
            <w:shd w:val="clear" w:color="auto" w:fill="auto"/>
            <w:hideMark/>
          </w:tcPr>
          <w:p w:rsidR="0010230A" w:rsidRPr="008F0E12" w:rsidRDefault="0010230A">
            <w:pPr>
              <w:rPr>
                <w:sz w:val="17"/>
                <w:szCs w:val="17"/>
              </w:rPr>
            </w:pPr>
            <w:r w:rsidRPr="008F0E12">
              <w:rPr>
                <w:color w:val="000000"/>
                <w:sz w:val="17"/>
                <w:szCs w:val="17"/>
              </w:rPr>
              <w:t> 9.269</w:t>
            </w:r>
          </w:p>
          <w:p w:rsidR="0010230A" w:rsidRPr="008F0E12" w:rsidRDefault="0010230A" w:rsidP="00DC1333">
            <w:pPr>
              <w:rPr>
                <w:color w:val="000000"/>
                <w:sz w:val="17"/>
                <w:szCs w:val="17"/>
              </w:rPr>
            </w:pPr>
          </w:p>
        </w:tc>
        <w:tc>
          <w:tcPr>
            <w:tcW w:w="823" w:type="pct"/>
            <w:tcBorders>
              <w:top w:val="nil"/>
              <w:left w:val="nil"/>
              <w:bottom w:val="single" w:sz="4" w:space="0" w:color="auto"/>
              <w:right w:val="single" w:sz="4" w:space="0" w:color="auto"/>
            </w:tcBorders>
            <w:shd w:val="clear" w:color="auto" w:fill="auto"/>
            <w:hideMark/>
          </w:tcPr>
          <w:p w:rsidR="0010230A" w:rsidRPr="008F0E12" w:rsidRDefault="0010230A" w:rsidP="00DC1333">
            <w:pPr>
              <w:rPr>
                <w:color w:val="000000"/>
                <w:sz w:val="17"/>
                <w:szCs w:val="17"/>
              </w:rPr>
            </w:pPr>
            <w:r w:rsidRPr="008F0E12">
              <w:rPr>
                <w:color w:val="000000"/>
                <w:sz w:val="17"/>
                <w:szCs w:val="17"/>
              </w:rPr>
              <w:t> </w:t>
            </w:r>
          </w:p>
        </w:tc>
        <w:tc>
          <w:tcPr>
            <w:tcW w:w="869" w:type="pct"/>
            <w:tcBorders>
              <w:top w:val="nil"/>
              <w:left w:val="nil"/>
              <w:bottom w:val="single" w:sz="4" w:space="0" w:color="auto"/>
              <w:right w:val="single" w:sz="4" w:space="0" w:color="auto"/>
            </w:tcBorders>
            <w:shd w:val="clear" w:color="auto" w:fill="auto"/>
            <w:hideMark/>
          </w:tcPr>
          <w:p w:rsidR="0010230A" w:rsidRPr="008F0E12" w:rsidRDefault="0010230A" w:rsidP="00DC1333">
            <w:pPr>
              <w:rPr>
                <w:color w:val="000000"/>
                <w:sz w:val="17"/>
                <w:szCs w:val="17"/>
              </w:rPr>
            </w:pPr>
            <w:r w:rsidRPr="008F0E12">
              <w:rPr>
                <w:color w:val="000000"/>
                <w:sz w:val="17"/>
                <w:szCs w:val="17"/>
              </w:rPr>
              <w:t> </w:t>
            </w:r>
          </w:p>
        </w:tc>
        <w:tc>
          <w:tcPr>
            <w:tcW w:w="1167" w:type="pct"/>
            <w:tcBorders>
              <w:top w:val="nil"/>
              <w:left w:val="nil"/>
              <w:bottom w:val="single" w:sz="4" w:space="0" w:color="auto"/>
              <w:right w:val="single" w:sz="4" w:space="0" w:color="auto"/>
            </w:tcBorders>
            <w:shd w:val="clear" w:color="auto" w:fill="auto"/>
            <w:hideMark/>
          </w:tcPr>
          <w:p w:rsidR="0010230A" w:rsidRPr="008F0E12" w:rsidRDefault="0010230A">
            <w:pPr>
              <w:rPr>
                <w:color w:val="000000"/>
                <w:sz w:val="17"/>
                <w:szCs w:val="17"/>
              </w:rPr>
            </w:pPr>
            <w:r w:rsidRPr="008F0E12">
              <w:rPr>
                <w:color w:val="000000"/>
                <w:sz w:val="17"/>
                <w:szCs w:val="17"/>
              </w:rPr>
              <w:t>Los ahorros obtenidos en 2014 aumentaron ligeramente en 2015.</w:t>
            </w:r>
          </w:p>
        </w:tc>
      </w:tr>
      <w:tr w:rsidR="0010230A" w:rsidRPr="00D512B8" w:rsidTr="00DC1333">
        <w:trPr>
          <w:trHeight w:val="1283"/>
        </w:trPr>
        <w:tc>
          <w:tcPr>
            <w:tcW w:w="1012" w:type="pct"/>
            <w:tcBorders>
              <w:top w:val="nil"/>
              <w:left w:val="single" w:sz="4" w:space="0" w:color="auto"/>
              <w:bottom w:val="single" w:sz="4" w:space="0" w:color="auto"/>
              <w:right w:val="single" w:sz="4" w:space="0" w:color="auto"/>
            </w:tcBorders>
            <w:shd w:val="clear" w:color="auto" w:fill="auto"/>
            <w:hideMark/>
          </w:tcPr>
          <w:p w:rsidR="0010230A" w:rsidRPr="008F0E12" w:rsidRDefault="0010230A" w:rsidP="00DC1333">
            <w:pPr>
              <w:rPr>
                <w:color w:val="000000"/>
                <w:sz w:val="17"/>
                <w:szCs w:val="17"/>
              </w:rPr>
            </w:pPr>
            <w:r w:rsidRPr="008F0E12">
              <w:rPr>
                <w:color w:val="000000"/>
                <w:sz w:val="17"/>
                <w:szCs w:val="17"/>
              </w:rPr>
              <w:t xml:space="preserve">Implantación de un sistema de gestión de dispositivos móviles </w:t>
            </w:r>
            <w:r>
              <w:rPr>
                <w:color w:val="000000"/>
                <w:sz w:val="17"/>
                <w:szCs w:val="17"/>
              </w:rPr>
              <w:t>(MDM) con servicios más integrados ofrecidos a menor costo.</w:t>
            </w:r>
            <w:r w:rsidRPr="008F0E12">
              <w:rPr>
                <w:color w:val="000000"/>
                <w:sz w:val="17"/>
                <w:szCs w:val="17"/>
              </w:rPr>
              <w:t xml:space="preserve"> (OI 17/2014)</w:t>
            </w:r>
          </w:p>
        </w:tc>
        <w:tc>
          <w:tcPr>
            <w:tcW w:w="651" w:type="pct"/>
            <w:tcBorders>
              <w:top w:val="nil"/>
              <w:left w:val="nil"/>
              <w:bottom w:val="single" w:sz="4" w:space="0" w:color="auto"/>
              <w:right w:val="single" w:sz="4" w:space="0" w:color="auto"/>
            </w:tcBorders>
            <w:shd w:val="clear" w:color="auto" w:fill="auto"/>
            <w:hideMark/>
          </w:tcPr>
          <w:p w:rsidR="0010230A" w:rsidRPr="008F0E12" w:rsidRDefault="0010230A" w:rsidP="00DC1333">
            <w:pPr>
              <w:rPr>
                <w:color w:val="000000"/>
                <w:sz w:val="17"/>
                <w:szCs w:val="17"/>
              </w:rPr>
            </w:pPr>
            <w:r w:rsidRPr="008F0E12">
              <w:rPr>
                <w:color w:val="000000"/>
                <w:sz w:val="17"/>
                <w:szCs w:val="17"/>
              </w:rPr>
              <w:t>112.691</w:t>
            </w:r>
          </w:p>
        </w:tc>
        <w:tc>
          <w:tcPr>
            <w:tcW w:w="477" w:type="pct"/>
            <w:tcBorders>
              <w:top w:val="nil"/>
              <w:left w:val="nil"/>
              <w:bottom w:val="single" w:sz="4" w:space="0" w:color="auto"/>
              <w:right w:val="single" w:sz="4" w:space="0" w:color="auto"/>
            </w:tcBorders>
            <w:shd w:val="clear" w:color="auto" w:fill="auto"/>
            <w:hideMark/>
          </w:tcPr>
          <w:p w:rsidR="0010230A" w:rsidRPr="008F0E12" w:rsidRDefault="0010230A" w:rsidP="00DC1333">
            <w:pPr>
              <w:rPr>
                <w:color w:val="000000"/>
                <w:sz w:val="17"/>
                <w:szCs w:val="17"/>
              </w:rPr>
            </w:pPr>
            <w:r w:rsidRPr="008F0E12">
              <w:rPr>
                <w:color w:val="000000"/>
                <w:sz w:val="17"/>
                <w:szCs w:val="17"/>
              </w:rPr>
              <w:t> 277.540</w:t>
            </w:r>
          </w:p>
        </w:tc>
        <w:tc>
          <w:tcPr>
            <w:tcW w:w="823" w:type="pct"/>
            <w:tcBorders>
              <w:top w:val="nil"/>
              <w:left w:val="nil"/>
              <w:bottom w:val="single" w:sz="4" w:space="0" w:color="auto"/>
              <w:right w:val="single" w:sz="4" w:space="0" w:color="auto"/>
            </w:tcBorders>
            <w:shd w:val="clear" w:color="auto" w:fill="auto"/>
            <w:hideMark/>
          </w:tcPr>
          <w:p w:rsidR="0010230A" w:rsidRPr="008F0E12" w:rsidRDefault="0010230A" w:rsidP="00DC1333">
            <w:pPr>
              <w:rPr>
                <w:color w:val="000000"/>
                <w:sz w:val="17"/>
                <w:szCs w:val="17"/>
              </w:rPr>
            </w:pPr>
            <w:r>
              <w:rPr>
                <w:color w:val="000000"/>
                <w:sz w:val="17"/>
                <w:szCs w:val="17"/>
              </w:rPr>
              <w:t xml:space="preserve">Reducción del costo medio mensual de los dispositivos, de </w:t>
            </w:r>
            <w:r w:rsidRPr="008F0E12">
              <w:rPr>
                <w:color w:val="000000"/>
                <w:sz w:val="17"/>
                <w:szCs w:val="17"/>
              </w:rPr>
              <w:t xml:space="preserve">177 CHF </w:t>
            </w:r>
            <w:r>
              <w:rPr>
                <w:color w:val="000000"/>
                <w:sz w:val="17"/>
                <w:szCs w:val="17"/>
              </w:rPr>
              <w:t>e</w:t>
            </w:r>
            <w:r w:rsidRPr="008F0E12">
              <w:rPr>
                <w:color w:val="000000"/>
                <w:sz w:val="17"/>
                <w:szCs w:val="17"/>
              </w:rPr>
              <w:t xml:space="preserve">n 2013 </w:t>
            </w:r>
            <w:r>
              <w:rPr>
                <w:color w:val="000000"/>
                <w:sz w:val="17"/>
                <w:szCs w:val="17"/>
              </w:rPr>
              <w:t>a</w:t>
            </w:r>
            <w:r w:rsidRPr="008F0E12">
              <w:rPr>
                <w:color w:val="000000"/>
                <w:sz w:val="17"/>
                <w:szCs w:val="17"/>
              </w:rPr>
              <w:t xml:space="preserve"> 111 CHF </w:t>
            </w:r>
            <w:r>
              <w:rPr>
                <w:color w:val="000000"/>
                <w:sz w:val="17"/>
                <w:szCs w:val="17"/>
              </w:rPr>
              <w:t>e</w:t>
            </w:r>
            <w:r w:rsidRPr="008F0E12">
              <w:rPr>
                <w:color w:val="000000"/>
                <w:sz w:val="17"/>
                <w:szCs w:val="17"/>
              </w:rPr>
              <w:t xml:space="preserve">n 2014 </w:t>
            </w:r>
            <w:r>
              <w:rPr>
                <w:color w:val="000000"/>
                <w:sz w:val="17"/>
                <w:szCs w:val="17"/>
              </w:rPr>
              <w:t xml:space="preserve">(un </w:t>
            </w:r>
            <w:r w:rsidRPr="008F0E12">
              <w:rPr>
                <w:color w:val="000000"/>
                <w:sz w:val="17"/>
                <w:szCs w:val="17"/>
              </w:rPr>
              <w:t>37%</w:t>
            </w:r>
            <w:r>
              <w:rPr>
                <w:color w:val="000000"/>
                <w:sz w:val="17"/>
                <w:szCs w:val="17"/>
              </w:rPr>
              <w:t>)</w:t>
            </w:r>
          </w:p>
        </w:tc>
        <w:tc>
          <w:tcPr>
            <w:tcW w:w="869" w:type="pct"/>
            <w:tcBorders>
              <w:top w:val="nil"/>
              <w:left w:val="nil"/>
              <w:bottom w:val="single" w:sz="4" w:space="0" w:color="auto"/>
              <w:right w:val="single" w:sz="4" w:space="0" w:color="auto"/>
            </w:tcBorders>
            <w:shd w:val="clear" w:color="auto" w:fill="auto"/>
            <w:hideMark/>
          </w:tcPr>
          <w:p w:rsidR="0010230A" w:rsidRPr="008F0E12" w:rsidRDefault="0010230A" w:rsidP="00DC1333">
            <w:pPr>
              <w:rPr>
                <w:color w:val="000000"/>
                <w:sz w:val="17"/>
                <w:szCs w:val="17"/>
              </w:rPr>
            </w:pPr>
            <w:r>
              <w:rPr>
                <w:color w:val="000000"/>
                <w:sz w:val="17"/>
                <w:szCs w:val="17"/>
              </w:rPr>
              <w:t xml:space="preserve">Aumento del costo medio mensual de los dispositivos, de </w:t>
            </w:r>
            <w:r w:rsidRPr="008F0E12">
              <w:rPr>
                <w:color w:val="000000"/>
                <w:sz w:val="17"/>
                <w:szCs w:val="17"/>
              </w:rPr>
              <w:t xml:space="preserve">111 </w:t>
            </w:r>
            <w:r>
              <w:rPr>
                <w:color w:val="000000"/>
                <w:sz w:val="17"/>
                <w:szCs w:val="17"/>
              </w:rPr>
              <w:t>e</w:t>
            </w:r>
            <w:r w:rsidRPr="008F0E12">
              <w:rPr>
                <w:color w:val="000000"/>
                <w:sz w:val="17"/>
                <w:szCs w:val="17"/>
              </w:rPr>
              <w:t xml:space="preserve">n 2014 </w:t>
            </w:r>
            <w:r>
              <w:rPr>
                <w:color w:val="000000"/>
                <w:sz w:val="17"/>
                <w:szCs w:val="17"/>
              </w:rPr>
              <w:t xml:space="preserve">a </w:t>
            </w:r>
            <w:r w:rsidRPr="008F0E12">
              <w:rPr>
                <w:color w:val="000000"/>
                <w:sz w:val="17"/>
                <w:szCs w:val="17"/>
              </w:rPr>
              <w:t xml:space="preserve">115 </w:t>
            </w:r>
            <w:r>
              <w:rPr>
                <w:color w:val="000000"/>
                <w:sz w:val="17"/>
                <w:szCs w:val="17"/>
              </w:rPr>
              <w:t>e</w:t>
            </w:r>
            <w:r w:rsidRPr="008F0E12">
              <w:rPr>
                <w:color w:val="000000"/>
                <w:sz w:val="17"/>
                <w:szCs w:val="17"/>
              </w:rPr>
              <w:t xml:space="preserve">n 2015 </w:t>
            </w:r>
            <w:r>
              <w:rPr>
                <w:color w:val="000000"/>
                <w:sz w:val="17"/>
                <w:szCs w:val="17"/>
              </w:rPr>
              <w:t xml:space="preserve">(un </w:t>
            </w:r>
            <w:r w:rsidRPr="008F0E12">
              <w:rPr>
                <w:color w:val="000000"/>
                <w:sz w:val="17"/>
                <w:szCs w:val="17"/>
              </w:rPr>
              <w:t>3.6%</w:t>
            </w:r>
            <w:r>
              <w:rPr>
                <w:color w:val="000000"/>
                <w:sz w:val="17"/>
                <w:szCs w:val="17"/>
              </w:rPr>
              <w:t>)</w:t>
            </w:r>
            <w:r w:rsidRPr="008F0E12">
              <w:rPr>
                <w:color w:val="000000"/>
                <w:sz w:val="17"/>
                <w:szCs w:val="17"/>
              </w:rPr>
              <w:t xml:space="preserve">.  </w:t>
            </w:r>
            <w:r>
              <w:rPr>
                <w:color w:val="000000"/>
                <w:sz w:val="17"/>
                <w:szCs w:val="17"/>
              </w:rPr>
              <w:t xml:space="preserve">El costo medio en </w:t>
            </w:r>
            <w:r w:rsidRPr="008F0E12">
              <w:rPr>
                <w:color w:val="000000"/>
                <w:sz w:val="17"/>
                <w:szCs w:val="17"/>
              </w:rPr>
              <w:t xml:space="preserve">2015 </w:t>
            </w:r>
            <w:r>
              <w:rPr>
                <w:color w:val="000000"/>
                <w:sz w:val="17"/>
                <w:szCs w:val="17"/>
              </w:rPr>
              <w:t xml:space="preserve">sigue siendo sensiblemente inferior al costo de </w:t>
            </w:r>
            <w:r w:rsidRPr="008F0E12">
              <w:rPr>
                <w:color w:val="000000"/>
                <w:sz w:val="17"/>
                <w:szCs w:val="17"/>
              </w:rPr>
              <w:t>2013.</w:t>
            </w:r>
          </w:p>
        </w:tc>
        <w:tc>
          <w:tcPr>
            <w:tcW w:w="1167" w:type="pct"/>
            <w:tcBorders>
              <w:top w:val="nil"/>
              <w:left w:val="nil"/>
              <w:bottom w:val="single" w:sz="4" w:space="0" w:color="auto"/>
              <w:right w:val="single" w:sz="4" w:space="0" w:color="auto"/>
            </w:tcBorders>
            <w:shd w:val="clear" w:color="auto" w:fill="auto"/>
            <w:hideMark/>
          </w:tcPr>
          <w:p w:rsidR="0010230A" w:rsidRPr="008F0E12" w:rsidRDefault="0010230A" w:rsidP="00DC1333">
            <w:pPr>
              <w:rPr>
                <w:color w:val="000000"/>
                <w:sz w:val="17"/>
                <w:szCs w:val="17"/>
              </w:rPr>
            </w:pPr>
            <w:r>
              <w:rPr>
                <w:color w:val="000000"/>
                <w:sz w:val="17"/>
                <w:szCs w:val="17"/>
              </w:rPr>
              <w:t xml:space="preserve">Disminuyeron los gastos totales relacionados con la suscripción de </w:t>
            </w:r>
            <w:proofErr w:type="spellStart"/>
            <w:r w:rsidRPr="008F0E12">
              <w:rPr>
                <w:color w:val="000000"/>
                <w:sz w:val="17"/>
                <w:szCs w:val="17"/>
              </w:rPr>
              <w:t>Swisscom</w:t>
            </w:r>
            <w:proofErr w:type="spellEnd"/>
            <w:r>
              <w:rPr>
                <w:color w:val="000000"/>
                <w:sz w:val="17"/>
                <w:szCs w:val="17"/>
              </w:rPr>
              <w:t xml:space="preserve">, que pasaron de </w:t>
            </w:r>
            <w:r w:rsidRPr="008F0E12">
              <w:rPr>
                <w:color w:val="000000"/>
                <w:sz w:val="17"/>
                <w:szCs w:val="17"/>
              </w:rPr>
              <w:t xml:space="preserve">799.815 CHF </w:t>
            </w:r>
            <w:r>
              <w:rPr>
                <w:color w:val="000000"/>
                <w:sz w:val="17"/>
                <w:szCs w:val="17"/>
              </w:rPr>
              <w:t>e</w:t>
            </w:r>
            <w:r w:rsidRPr="008F0E12">
              <w:rPr>
                <w:color w:val="000000"/>
                <w:sz w:val="17"/>
                <w:szCs w:val="17"/>
              </w:rPr>
              <w:t xml:space="preserve">n 2013 (374 </w:t>
            </w:r>
            <w:r>
              <w:rPr>
                <w:color w:val="000000"/>
                <w:sz w:val="17"/>
                <w:szCs w:val="17"/>
              </w:rPr>
              <w:t>dispositivos al final del año</w:t>
            </w:r>
            <w:r w:rsidRPr="008F0E12">
              <w:rPr>
                <w:color w:val="000000"/>
                <w:sz w:val="17"/>
                <w:szCs w:val="17"/>
              </w:rPr>
              <w:t xml:space="preserve">) </w:t>
            </w:r>
            <w:r>
              <w:rPr>
                <w:color w:val="000000"/>
                <w:sz w:val="17"/>
                <w:szCs w:val="17"/>
              </w:rPr>
              <w:t>a</w:t>
            </w:r>
            <w:r w:rsidRPr="008F0E12">
              <w:rPr>
                <w:color w:val="000000"/>
                <w:sz w:val="17"/>
                <w:szCs w:val="17"/>
              </w:rPr>
              <w:t xml:space="preserve"> 520.430 CHF </w:t>
            </w:r>
            <w:r>
              <w:rPr>
                <w:color w:val="000000"/>
                <w:sz w:val="17"/>
                <w:szCs w:val="17"/>
              </w:rPr>
              <w:t>e</w:t>
            </w:r>
            <w:r w:rsidRPr="008F0E12">
              <w:rPr>
                <w:color w:val="000000"/>
                <w:sz w:val="17"/>
                <w:szCs w:val="17"/>
              </w:rPr>
              <w:t xml:space="preserve">n 2014 (404 </w:t>
            </w:r>
            <w:r>
              <w:rPr>
                <w:color w:val="000000"/>
                <w:sz w:val="17"/>
                <w:szCs w:val="17"/>
              </w:rPr>
              <w:t>dispositivos al final del año</w:t>
            </w:r>
            <w:r w:rsidRPr="008F0E12">
              <w:rPr>
                <w:color w:val="000000"/>
                <w:sz w:val="17"/>
                <w:szCs w:val="17"/>
              </w:rPr>
              <w:t xml:space="preserve">).  </w:t>
            </w:r>
            <w:r>
              <w:rPr>
                <w:color w:val="000000"/>
                <w:sz w:val="17"/>
                <w:szCs w:val="17"/>
              </w:rPr>
              <w:t xml:space="preserve">En 2014 se incurrió en un costo único de proyecto de </w:t>
            </w:r>
            <w:r w:rsidRPr="008F0E12">
              <w:rPr>
                <w:color w:val="000000"/>
                <w:sz w:val="17"/>
                <w:szCs w:val="17"/>
              </w:rPr>
              <w:t>166.784 CHF</w:t>
            </w:r>
            <w:r>
              <w:rPr>
                <w:color w:val="000000"/>
                <w:sz w:val="17"/>
                <w:szCs w:val="17"/>
              </w:rPr>
              <w:t xml:space="preserve">, que abarca la renovación de los dispositivos, la nota de crédito de </w:t>
            </w:r>
            <w:proofErr w:type="spellStart"/>
            <w:r w:rsidRPr="008F0E12">
              <w:rPr>
                <w:color w:val="000000"/>
                <w:sz w:val="17"/>
                <w:szCs w:val="17"/>
              </w:rPr>
              <w:t>Swisscom</w:t>
            </w:r>
            <w:proofErr w:type="spellEnd"/>
            <w:r w:rsidRPr="008F0E12">
              <w:rPr>
                <w:color w:val="000000"/>
                <w:sz w:val="17"/>
                <w:szCs w:val="17"/>
              </w:rPr>
              <w:t xml:space="preserve"> </w:t>
            </w:r>
            <w:r>
              <w:rPr>
                <w:color w:val="000000"/>
                <w:sz w:val="17"/>
                <w:szCs w:val="17"/>
              </w:rPr>
              <w:t xml:space="preserve">para la compra de dispositivos, las licencias del sistema </w:t>
            </w:r>
            <w:r w:rsidRPr="008F0E12">
              <w:rPr>
                <w:color w:val="000000"/>
                <w:sz w:val="17"/>
                <w:szCs w:val="17"/>
              </w:rPr>
              <w:t xml:space="preserve">MDM </w:t>
            </w:r>
            <w:r>
              <w:rPr>
                <w:color w:val="000000"/>
                <w:sz w:val="17"/>
                <w:szCs w:val="17"/>
              </w:rPr>
              <w:t>y el establecimiento de la infraestructura de dicho sistema</w:t>
            </w:r>
            <w:r w:rsidRPr="008F0E12">
              <w:rPr>
                <w:color w:val="000000"/>
                <w:sz w:val="17"/>
                <w:szCs w:val="17"/>
              </w:rPr>
              <w:t xml:space="preserve">. </w:t>
            </w:r>
            <w:r>
              <w:rPr>
                <w:color w:val="000000"/>
                <w:sz w:val="17"/>
                <w:szCs w:val="17"/>
              </w:rPr>
              <w:t>E</w:t>
            </w:r>
            <w:r w:rsidRPr="008F0E12">
              <w:rPr>
                <w:color w:val="000000"/>
                <w:sz w:val="17"/>
                <w:szCs w:val="17"/>
              </w:rPr>
              <w:t xml:space="preserve">n 2015, </w:t>
            </w:r>
            <w:r>
              <w:rPr>
                <w:color w:val="000000"/>
                <w:sz w:val="17"/>
                <w:szCs w:val="17"/>
              </w:rPr>
              <w:t xml:space="preserve">los gastos totales ascendieron a </w:t>
            </w:r>
            <w:r w:rsidRPr="008F0E12">
              <w:rPr>
                <w:color w:val="000000"/>
                <w:sz w:val="17"/>
                <w:szCs w:val="17"/>
              </w:rPr>
              <w:t>522.276 CHF (364</w:t>
            </w:r>
            <w:r>
              <w:rPr>
                <w:color w:val="000000"/>
                <w:sz w:val="17"/>
                <w:szCs w:val="17"/>
              </w:rPr>
              <w:t xml:space="preserve"> dispositivos al final del año</w:t>
            </w:r>
            <w:r w:rsidRPr="008F0E12">
              <w:rPr>
                <w:color w:val="000000"/>
                <w:sz w:val="17"/>
                <w:szCs w:val="17"/>
              </w:rPr>
              <w:t>).</w:t>
            </w:r>
          </w:p>
        </w:tc>
      </w:tr>
      <w:tr w:rsidR="0010230A" w:rsidRPr="00D512B8" w:rsidTr="00DC1333">
        <w:trPr>
          <w:trHeight w:val="1669"/>
        </w:trPr>
        <w:tc>
          <w:tcPr>
            <w:tcW w:w="1012" w:type="pct"/>
            <w:tcBorders>
              <w:top w:val="single" w:sz="4" w:space="0" w:color="auto"/>
              <w:left w:val="single" w:sz="4" w:space="0" w:color="auto"/>
              <w:bottom w:val="single" w:sz="4" w:space="0" w:color="auto"/>
              <w:right w:val="single" w:sz="4" w:space="0" w:color="auto"/>
            </w:tcBorders>
            <w:shd w:val="clear" w:color="auto" w:fill="auto"/>
          </w:tcPr>
          <w:p w:rsidR="0010230A" w:rsidRPr="008F0E12" w:rsidRDefault="0010230A" w:rsidP="00DC1333">
            <w:pPr>
              <w:rPr>
                <w:color w:val="000000"/>
                <w:sz w:val="17"/>
                <w:szCs w:val="17"/>
              </w:rPr>
            </w:pPr>
            <w:r>
              <w:rPr>
                <w:color w:val="000000"/>
                <w:sz w:val="17"/>
                <w:szCs w:val="17"/>
              </w:rPr>
              <w:t>Aplicación de una nueva política de gestión de buzones de correo a partir de marzo de 2015</w:t>
            </w:r>
          </w:p>
        </w:tc>
        <w:tc>
          <w:tcPr>
            <w:tcW w:w="651" w:type="pct"/>
            <w:tcBorders>
              <w:top w:val="single" w:sz="4" w:space="0" w:color="auto"/>
              <w:left w:val="nil"/>
              <w:bottom w:val="single" w:sz="4" w:space="0" w:color="auto"/>
              <w:right w:val="single" w:sz="4" w:space="0" w:color="auto"/>
            </w:tcBorders>
            <w:shd w:val="clear" w:color="auto" w:fill="auto"/>
          </w:tcPr>
          <w:p w:rsidR="0010230A" w:rsidRPr="008F0E12" w:rsidRDefault="0010230A">
            <w:pPr>
              <w:rPr>
                <w:color w:val="000000"/>
                <w:sz w:val="17"/>
                <w:szCs w:val="17"/>
              </w:rPr>
            </w:pPr>
            <w:r w:rsidRPr="008F0E12">
              <w:rPr>
                <w:color w:val="000000"/>
                <w:sz w:val="17"/>
                <w:szCs w:val="17"/>
              </w:rPr>
              <w:t>n/a</w:t>
            </w:r>
          </w:p>
          <w:p w:rsidR="0010230A" w:rsidRPr="008F0E12" w:rsidRDefault="0010230A">
            <w:pPr>
              <w:rPr>
                <w:color w:val="000000"/>
                <w:sz w:val="17"/>
                <w:szCs w:val="17"/>
              </w:rPr>
            </w:pPr>
          </w:p>
        </w:tc>
        <w:tc>
          <w:tcPr>
            <w:tcW w:w="477" w:type="pct"/>
            <w:tcBorders>
              <w:top w:val="single" w:sz="4" w:space="0" w:color="auto"/>
              <w:left w:val="nil"/>
              <w:bottom w:val="single" w:sz="4" w:space="0" w:color="auto"/>
              <w:right w:val="nil"/>
            </w:tcBorders>
            <w:shd w:val="clear" w:color="auto" w:fill="auto"/>
          </w:tcPr>
          <w:p w:rsidR="0010230A" w:rsidRPr="008F0E12" w:rsidRDefault="0010230A" w:rsidP="00DC1333">
            <w:pPr>
              <w:rPr>
                <w:color w:val="000000"/>
                <w:sz w:val="17"/>
                <w:szCs w:val="17"/>
              </w:rPr>
            </w:pPr>
            <w:r w:rsidRPr="008F0E12">
              <w:rPr>
                <w:color w:val="000000"/>
                <w:sz w:val="17"/>
                <w:szCs w:val="17"/>
              </w:rPr>
              <w:t>70.000</w:t>
            </w:r>
          </w:p>
        </w:tc>
        <w:tc>
          <w:tcPr>
            <w:tcW w:w="823" w:type="pct"/>
            <w:tcBorders>
              <w:top w:val="single" w:sz="4" w:space="0" w:color="auto"/>
              <w:left w:val="single" w:sz="4" w:space="0" w:color="auto"/>
              <w:bottom w:val="single" w:sz="4" w:space="0" w:color="auto"/>
              <w:right w:val="single" w:sz="4" w:space="0" w:color="auto"/>
            </w:tcBorders>
            <w:shd w:val="clear" w:color="auto" w:fill="auto"/>
          </w:tcPr>
          <w:p w:rsidR="0010230A" w:rsidRPr="008F0E12" w:rsidRDefault="0010230A" w:rsidP="00DC1333">
            <w:pPr>
              <w:rPr>
                <w:color w:val="000000"/>
                <w:sz w:val="17"/>
                <w:szCs w:val="17"/>
              </w:rPr>
            </w:pPr>
          </w:p>
        </w:tc>
        <w:tc>
          <w:tcPr>
            <w:tcW w:w="869" w:type="pct"/>
            <w:tcBorders>
              <w:top w:val="single" w:sz="4" w:space="0" w:color="auto"/>
              <w:left w:val="nil"/>
              <w:bottom w:val="single" w:sz="4" w:space="0" w:color="auto"/>
              <w:right w:val="single" w:sz="4" w:space="0" w:color="auto"/>
            </w:tcBorders>
            <w:shd w:val="clear" w:color="auto" w:fill="auto"/>
          </w:tcPr>
          <w:p w:rsidR="0010230A" w:rsidRPr="008F0E12" w:rsidRDefault="0010230A" w:rsidP="00DC1333">
            <w:pPr>
              <w:rPr>
                <w:color w:val="000000"/>
                <w:sz w:val="17"/>
                <w:szCs w:val="17"/>
              </w:rPr>
            </w:pPr>
          </w:p>
        </w:tc>
        <w:tc>
          <w:tcPr>
            <w:tcW w:w="1167" w:type="pct"/>
            <w:tcBorders>
              <w:top w:val="single" w:sz="4" w:space="0" w:color="auto"/>
              <w:left w:val="nil"/>
              <w:bottom w:val="single" w:sz="4" w:space="0" w:color="auto"/>
              <w:right w:val="single" w:sz="4" w:space="0" w:color="auto"/>
            </w:tcBorders>
            <w:shd w:val="clear" w:color="auto" w:fill="auto"/>
          </w:tcPr>
          <w:p w:rsidR="0010230A" w:rsidRPr="008F0E12" w:rsidRDefault="0010230A" w:rsidP="00DC1333">
            <w:pPr>
              <w:rPr>
                <w:color w:val="000000"/>
                <w:sz w:val="17"/>
                <w:szCs w:val="17"/>
              </w:rPr>
            </w:pPr>
            <w:r>
              <w:rPr>
                <w:color w:val="000000"/>
                <w:sz w:val="17"/>
                <w:szCs w:val="17"/>
              </w:rPr>
              <w:t xml:space="preserve">La nueva política dio lugar al archivo y progresiva limpieza de más de 1.480 antiguos buzones de correo a lo largo de 2015.  La reducción neta, que asciende aproximadamente a 113.000 CHF por año, seguirá realizándose en forma de ahorro de costos durante el bienio </w:t>
            </w:r>
            <w:r w:rsidRPr="008F0E12">
              <w:rPr>
                <w:color w:val="000000"/>
                <w:sz w:val="17"/>
                <w:szCs w:val="17"/>
              </w:rPr>
              <w:t>2016/17.</w:t>
            </w:r>
          </w:p>
        </w:tc>
      </w:tr>
      <w:tr w:rsidR="0010230A" w:rsidRPr="00D512B8" w:rsidTr="00DC1333">
        <w:trPr>
          <w:trHeight w:val="1228"/>
        </w:trPr>
        <w:tc>
          <w:tcPr>
            <w:tcW w:w="1012" w:type="pct"/>
            <w:tcBorders>
              <w:top w:val="single" w:sz="4" w:space="0" w:color="auto"/>
              <w:left w:val="single" w:sz="4" w:space="0" w:color="auto"/>
              <w:bottom w:val="single" w:sz="4" w:space="0" w:color="auto"/>
              <w:right w:val="single" w:sz="4" w:space="0" w:color="auto"/>
            </w:tcBorders>
            <w:shd w:val="clear" w:color="auto" w:fill="auto"/>
            <w:hideMark/>
          </w:tcPr>
          <w:p w:rsidR="0010230A" w:rsidRPr="008F0E12" w:rsidRDefault="0010230A" w:rsidP="00DC1333">
            <w:pPr>
              <w:rPr>
                <w:color w:val="000000"/>
                <w:sz w:val="17"/>
                <w:szCs w:val="17"/>
              </w:rPr>
            </w:pPr>
            <w:r>
              <w:rPr>
                <w:color w:val="000000"/>
                <w:sz w:val="17"/>
                <w:szCs w:val="17"/>
              </w:rPr>
              <w:lastRenderedPageBreak/>
              <w:t xml:space="preserve">Reducción en los costos de traducción debido a la renegociación de contratos con los traductores externos, la puesta en marcha de licitaciones internacionales para traducciones al árabe, chino y ruso, teniendo en cuenta la experiencia adquirida en la subcontratación de traducciones al español y al francés, y el uso de </w:t>
            </w:r>
            <w:r w:rsidRPr="006445BA">
              <w:rPr>
                <w:color w:val="000000"/>
                <w:sz w:val="17"/>
                <w:szCs w:val="17"/>
              </w:rPr>
              <w:t>herramientas de terminología y traducción asistida por computadora</w:t>
            </w:r>
            <w:r>
              <w:rPr>
                <w:color w:val="000000"/>
                <w:sz w:val="17"/>
                <w:szCs w:val="17"/>
              </w:rPr>
              <w:t>.</w:t>
            </w:r>
          </w:p>
        </w:tc>
        <w:tc>
          <w:tcPr>
            <w:tcW w:w="651" w:type="pct"/>
            <w:tcBorders>
              <w:top w:val="single" w:sz="4" w:space="0" w:color="auto"/>
              <w:left w:val="nil"/>
              <w:bottom w:val="single" w:sz="4" w:space="0" w:color="auto"/>
              <w:right w:val="single" w:sz="4" w:space="0" w:color="auto"/>
            </w:tcBorders>
            <w:shd w:val="clear" w:color="auto" w:fill="auto"/>
            <w:hideMark/>
          </w:tcPr>
          <w:p w:rsidR="0010230A" w:rsidRPr="008F0E12" w:rsidRDefault="0010230A">
            <w:pPr>
              <w:rPr>
                <w:color w:val="000000"/>
                <w:sz w:val="17"/>
                <w:szCs w:val="17"/>
              </w:rPr>
            </w:pPr>
            <w:r w:rsidRPr="008F0E12">
              <w:rPr>
                <w:color w:val="000000"/>
                <w:sz w:val="17"/>
                <w:szCs w:val="17"/>
              </w:rPr>
              <w:t>306.375</w:t>
            </w:r>
          </w:p>
          <w:p w:rsidR="0010230A" w:rsidRPr="008F0E12" w:rsidRDefault="0010230A" w:rsidP="00DC1333">
            <w:pPr>
              <w:rPr>
                <w:color w:val="000000"/>
                <w:sz w:val="17"/>
                <w:szCs w:val="17"/>
              </w:rPr>
            </w:pPr>
          </w:p>
        </w:tc>
        <w:tc>
          <w:tcPr>
            <w:tcW w:w="477" w:type="pct"/>
            <w:tcBorders>
              <w:top w:val="single" w:sz="4" w:space="0" w:color="auto"/>
              <w:left w:val="nil"/>
              <w:bottom w:val="single" w:sz="4" w:space="0" w:color="auto"/>
              <w:right w:val="nil"/>
            </w:tcBorders>
            <w:shd w:val="clear" w:color="auto" w:fill="auto"/>
            <w:hideMark/>
          </w:tcPr>
          <w:p w:rsidR="0010230A" w:rsidRPr="008F0E12" w:rsidRDefault="0010230A" w:rsidP="00DC1333">
            <w:pPr>
              <w:rPr>
                <w:color w:val="000000"/>
                <w:sz w:val="17"/>
                <w:szCs w:val="17"/>
              </w:rPr>
            </w:pPr>
            <w:r w:rsidRPr="008F0E12">
              <w:rPr>
                <w:color w:val="000000"/>
                <w:sz w:val="17"/>
                <w:szCs w:val="17"/>
              </w:rPr>
              <w:t>601.084</w:t>
            </w:r>
          </w:p>
        </w:tc>
        <w:tc>
          <w:tcPr>
            <w:tcW w:w="823" w:type="pct"/>
            <w:tcBorders>
              <w:top w:val="single" w:sz="4" w:space="0" w:color="auto"/>
              <w:left w:val="single" w:sz="4" w:space="0" w:color="auto"/>
              <w:bottom w:val="single" w:sz="4" w:space="0" w:color="auto"/>
              <w:right w:val="single" w:sz="4" w:space="0" w:color="auto"/>
            </w:tcBorders>
            <w:shd w:val="clear" w:color="auto" w:fill="auto"/>
            <w:hideMark/>
          </w:tcPr>
          <w:p w:rsidR="0010230A" w:rsidRDefault="0010230A">
            <w:pPr>
              <w:rPr>
                <w:color w:val="000000"/>
                <w:sz w:val="17"/>
                <w:szCs w:val="17"/>
              </w:rPr>
            </w:pPr>
            <w:r>
              <w:rPr>
                <w:color w:val="000000"/>
                <w:sz w:val="17"/>
                <w:szCs w:val="17"/>
              </w:rPr>
              <w:t>Reducción en el costo de traducción por palabra, de 0,63 CHF en 2013 a 0,59 en 2014</w:t>
            </w:r>
            <w:r w:rsidRPr="008F0E12">
              <w:rPr>
                <w:color w:val="000000"/>
                <w:sz w:val="17"/>
                <w:szCs w:val="17"/>
              </w:rPr>
              <w:t xml:space="preserve"> </w:t>
            </w:r>
            <w:r>
              <w:rPr>
                <w:color w:val="000000"/>
                <w:sz w:val="17"/>
                <w:szCs w:val="17"/>
              </w:rPr>
              <w:t>(es decir</w:t>
            </w:r>
            <w:r w:rsidRPr="008F0E12">
              <w:rPr>
                <w:color w:val="000000"/>
                <w:sz w:val="17"/>
                <w:szCs w:val="17"/>
              </w:rPr>
              <w:t xml:space="preserve">, </w:t>
            </w:r>
            <w:r>
              <w:rPr>
                <w:color w:val="000000"/>
                <w:sz w:val="17"/>
                <w:szCs w:val="17"/>
              </w:rPr>
              <w:t xml:space="preserve">una disminución de </w:t>
            </w:r>
            <w:r w:rsidRPr="008F0E12">
              <w:rPr>
                <w:color w:val="000000"/>
                <w:sz w:val="17"/>
                <w:szCs w:val="17"/>
              </w:rPr>
              <w:t>0</w:t>
            </w:r>
            <w:r>
              <w:rPr>
                <w:color w:val="000000"/>
                <w:sz w:val="17"/>
                <w:szCs w:val="17"/>
              </w:rPr>
              <w:t>,</w:t>
            </w:r>
            <w:r w:rsidRPr="008F0E12">
              <w:rPr>
                <w:color w:val="000000"/>
                <w:sz w:val="17"/>
                <w:szCs w:val="17"/>
              </w:rPr>
              <w:t>04 CHF</w:t>
            </w:r>
            <w:r>
              <w:rPr>
                <w:color w:val="000000"/>
                <w:sz w:val="17"/>
                <w:szCs w:val="17"/>
              </w:rPr>
              <w:t xml:space="preserve"> por palabra</w:t>
            </w:r>
            <w:r w:rsidRPr="008F0E12">
              <w:rPr>
                <w:color w:val="000000"/>
                <w:sz w:val="17"/>
                <w:szCs w:val="17"/>
              </w:rPr>
              <w:t>)</w:t>
            </w:r>
          </w:p>
          <w:p w:rsidR="0010230A" w:rsidRPr="008F0E12" w:rsidRDefault="0010230A" w:rsidP="00DC1333">
            <w:pPr>
              <w:rPr>
                <w:color w:val="000000"/>
                <w:sz w:val="17"/>
                <w:szCs w:val="17"/>
              </w:rPr>
            </w:pPr>
          </w:p>
        </w:tc>
        <w:tc>
          <w:tcPr>
            <w:tcW w:w="869" w:type="pct"/>
            <w:tcBorders>
              <w:top w:val="single" w:sz="4" w:space="0" w:color="auto"/>
              <w:left w:val="nil"/>
              <w:bottom w:val="single" w:sz="4" w:space="0" w:color="auto"/>
              <w:right w:val="single" w:sz="4" w:space="0" w:color="auto"/>
            </w:tcBorders>
            <w:shd w:val="clear" w:color="auto" w:fill="auto"/>
            <w:hideMark/>
          </w:tcPr>
          <w:p w:rsidR="0010230A" w:rsidRPr="008F0E12" w:rsidRDefault="0010230A" w:rsidP="00DC1333">
            <w:pPr>
              <w:rPr>
                <w:color w:val="000000"/>
                <w:sz w:val="17"/>
                <w:szCs w:val="17"/>
              </w:rPr>
            </w:pPr>
            <w:r>
              <w:rPr>
                <w:color w:val="000000"/>
                <w:sz w:val="17"/>
                <w:szCs w:val="17"/>
              </w:rPr>
              <w:t>Se redujo el costo por palabra a 0,57 CHF en 2015 (es decir, otra disminución de 0,02 CHF)</w:t>
            </w:r>
          </w:p>
        </w:tc>
        <w:tc>
          <w:tcPr>
            <w:tcW w:w="1167" w:type="pct"/>
            <w:tcBorders>
              <w:top w:val="single" w:sz="4" w:space="0" w:color="auto"/>
              <w:left w:val="nil"/>
              <w:bottom w:val="single" w:sz="4" w:space="0" w:color="auto"/>
              <w:right w:val="single" w:sz="4" w:space="0" w:color="auto"/>
            </w:tcBorders>
            <w:shd w:val="clear" w:color="auto" w:fill="auto"/>
            <w:hideMark/>
          </w:tcPr>
          <w:p w:rsidR="0010230A" w:rsidRPr="008F0E12" w:rsidRDefault="0010230A" w:rsidP="00DC1333">
            <w:pPr>
              <w:rPr>
                <w:color w:val="000000"/>
                <w:sz w:val="17"/>
                <w:szCs w:val="17"/>
              </w:rPr>
            </w:pPr>
            <w:r w:rsidRPr="008F0E12">
              <w:rPr>
                <w:color w:val="000000"/>
                <w:sz w:val="17"/>
                <w:szCs w:val="17"/>
              </w:rPr>
              <w:t> </w:t>
            </w:r>
          </w:p>
        </w:tc>
      </w:tr>
      <w:tr w:rsidR="0010230A" w:rsidRPr="00D512B8" w:rsidTr="00DC1333">
        <w:trPr>
          <w:trHeight w:val="1020"/>
        </w:trPr>
        <w:tc>
          <w:tcPr>
            <w:tcW w:w="1012" w:type="pct"/>
            <w:tcBorders>
              <w:top w:val="single" w:sz="4" w:space="0" w:color="auto"/>
              <w:left w:val="single" w:sz="4" w:space="0" w:color="auto"/>
              <w:bottom w:val="single" w:sz="4" w:space="0" w:color="auto"/>
              <w:right w:val="single" w:sz="4" w:space="0" w:color="auto"/>
            </w:tcBorders>
            <w:shd w:val="clear" w:color="auto" w:fill="auto"/>
            <w:hideMark/>
          </w:tcPr>
          <w:p w:rsidR="0010230A" w:rsidRPr="008F0E12" w:rsidRDefault="0010230A" w:rsidP="00DC1333">
            <w:pPr>
              <w:rPr>
                <w:color w:val="000000"/>
                <w:sz w:val="17"/>
                <w:szCs w:val="17"/>
              </w:rPr>
            </w:pPr>
            <w:r>
              <w:rPr>
                <w:color w:val="000000"/>
                <w:sz w:val="17"/>
                <w:szCs w:val="17"/>
              </w:rPr>
              <w:t>Reducción de los costos de impresión tras las negociaciones del contrato base para las impresoras.</w:t>
            </w:r>
          </w:p>
        </w:tc>
        <w:tc>
          <w:tcPr>
            <w:tcW w:w="651" w:type="pct"/>
            <w:tcBorders>
              <w:top w:val="single" w:sz="4" w:space="0" w:color="auto"/>
              <w:left w:val="nil"/>
              <w:bottom w:val="single" w:sz="4" w:space="0" w:color="auto"/>
              <w:right w:val="single" w:sz="4" w:space="0" w:color="auto"/>
            </w:tcBorders>
            <w:shd w:val="clear" w:color="auto" w:fill="auto"/>
            <w:hideMark/>
          </w:tcPr>
          <w:p w:rsidR="0010230A" w:rsidRPr="008F0E12" w:rsidRDefault="0010230A" w:rsidP="00DC1333">
            <w:pPr>
              <w:rPr>
                <w:color w:val="000000"/>
                <w:sz w:val="17"/>
                <w:szCs w:val="17"/>
              </w:rPr>
            </w:pPr>
            <w:r w:rsidRPr="008F0E12">
              <w:rPr>
                <w:color w:val="000000"/>
                <w:sz w:val="17"/>
                <w:szCs w:val="17"/>
              </w:rPr>
              <w:t>243.000***</w:t>
            </w:r>
          </w:p>
          <w:p w:rsidR="0010230A" w:rsidRPr="008F0E12" w:rsidRDefault="0010230A" w:rsidP="00DC1333">
            <w:pPr>
              <w:rPr>
                <w:color w:val="000000"/>
                <w:sz w:val="17"/>
                <w:szCs w:val="17"/>
              </w:rPr>
            </w:pPr>
          </w:p>
        </w:tc>
        <w:tc>
          <w:tcPr>
            <w:tcW w:w="477" w:type="pct"/>
            <w:tcBorders>
              <w:top w:val="single" w:sz="4" w:space="0" w:color="auto"/>
              <w:left w:val="nil"/>
              <w:bottom w:val="single" w:sz="4" w:space="0" w:color="auto"/>
              <w:right w:val="single" w:sz="4" w:space="0" w:color="auto"/>
            </w:tcBorders>
            <w:shd w:val="clear" w:color="auto" w:fill="auto"/>
            <w:hideMark/>
          </w:tcPr>
          <w:p w:rsidR="0010230A" w:rsidRPr="008F0E12" w:rsidRDefault="0010230A">
            <w:pPr>
              <w:rPr>
                <w:color w:val="000000"/>
                <w:sz w:val="17"/>
                <w:szCs w:val="17"/>
              </w:rPr>
            </w:pPr>
            <w:r w:rsidRPr="008F0E12">
              <w:rPr>
                <w:color w:val="000000"/>
                <w:sz w:val="17"/>
                <w:szCs w:val="17"/>
              </w:rPr>
              <w:t> 399.000</w:t>
            </w:r>
          </w:p>
        </w:tc>
        <w:tc>
          <w:tcPr>
            <w:tcW w:w="823" w:type="pct"/>
            <w:tcBorders>
              <w:top w:val="single" w:sz="4" w:space="0" w:color="auto"/>
              <w:left w:val="nil"/>
              <w:bottom w:val="single" w:sz="4" w:space="0" w:color="auto"/>
              <w:right w:val="single" w:sz="4" w:space="0" w:color="auto"/>
            </w:tcBorders>
            <w:shd w:val="clear" w:color="auto" w:fill="auto"/>
            <w:hideMark/>
          </w:tcPr>
          <w:p w:rsidR="0010230A" w:rsidRPr="008F0E12" w:rsidRDefault="0010230A" w:rsidP="00DC1333">
            <w:pPr>
              <w:rPr>
                <w:color w:val="000000"/>
                <w:sz w:val="17"/>
                <w:szCs w:val="17"/>
              </w:rPr>
            </w:pPr>
            <w:r>
              <w:rPr>
                <w:color w:val="000000"/>
                <w:sz w:val="17"/>
                <w:szCs w:val="17"/>
              </w:rPr>
              <w:t xml:space="preserve">Reducción del costo por página de 0,20 CHF en 2013 a 0,15 CHF en </w:t>
            </w:r>
            <w:r w:rsidRPr="008F0E12">
              <w:rPr>
                <w:color w:val="000000"/>
                <w:sz w:val="17"/>
                <w:szCs w:val="17"/>
              </w:rPr>
              <w:t xml:space="preserve">2014 </w:t>
            </w:r>
            <w:r>
              <w:rPr>
                <w:color w:val="000000"/>
                <w:sz w:val="17"/>
                <w:szCs w:val="17"/>
              </w:rPr>
              <w:t xml:space="preserve">(un </w:t>
            </w:r>
            <w:r w:rsidRPr="008F0E12">
              <w:rPr>
                <w:color w:val="000000"/>
                <w:sz w:val="17"/>
                <w:szCs w:val="17"/>
              </w:rPr>
              <w:t>26%</w:t>
            </w:r>
            <w:r>
              <w:rPr>
                <w:color w:val="000000"/>
                <w:sz w:val="17"/>
                <w:szCs w:val="17"/>
              </w:rPr>
              <w:t>)</w:t>
            </w:r>
            <w:r w:rsidRPr="008F0E12">
              <w:rPr>
                <w:color w:val="000000"/>
                <w:sz w:val="17"/>
                <w:szCs w:val="17"/>
              </w:rPr>
              <w:t xml:space="preserve">*** </w:t>
            </w:r>
          </w:p>
        </w:tc>
        <w:tc>
          <w:tcPr>
            <w:tcW w:w="869" w:type="pct"/>
            <w:tcBorders>
              <w:top w:val="single" w:sz="4" w:space="0" w:color="auto"/>
              <w:left w:val="nil"/>
              <w:bottom w:val="single" w:sz="4" w:space="0" w:color="auto"/>
              <w:right w:val="single" w:sz="4" w:space="0" w:color="auto"/>
            </w:tcBorders>
            <w:shd w:val="clear" w:color="auto" w:fill="auto"/>
            <w:hideMark/>
          </w:tcPr>
          <w:p w:rsidR="0010230A" w:rsidRPr="008F0E12" w:rsidRDefault="0010230A">
            <w:pPr>
              <w:rPr>
                <w:color w:val="000000"/>
                <w:sz w:val="17"/>
                <w:szCs w:val="17"/>
              </w:rPr>
            </w:pPr>
            <w:r>
              <w:rPr>
                <w:color w:val="000000"/>
                <w:sz w:val="17"/>
                <w:szCs w:val="17"/>
              </w:rPr>
              <w:t>El costo por página ascendió a 0,15 CHF en 2015, el mismo que en 2014.</w:t>
            </w:r>
          </w:p>
        </w:tc>
        <w:tc>
          <w:tcPr>
            <w:tcW w:w="1167" w:type="pct"/>
            <w:tcBorders>
              <w:top w:val="single" w:sz="4" w:space="0" w:color="auto"/>
              <w:left w:val="nil"/>
              <w:bottom w:val="single" w:sz="4" w:space="0" w:color="auto"/>
              <w:right w:val="single" w:sz="4" w:space="0" w:color="auto"/>
            </w:tcBorders>
            <w:shd w:val="clear" w:color="auto" w:fill="auto"/>
            <w:hideMark/>
          </w:tcPr>
          <w:p w:rsidR="0010230A" w:rsidRPr="008F0E12" w:rsidRDefault="0010230A" w:rsidP="00DC1333">
            <w:pPr>
              <w:rPr>
                <w:color w:val="000000"/>
                <w:sz w:val="17"/>
                <w:szCs w:val="17"/>
              </w:rPr>
            </w:pPr>
            <w:r w:rsidRPr="008F0E12">
              <w:rPr>
                <w:color w:val="000000"/>
                <w:sz w:val="17"/>
                <w:szCs w:val="17"/>
              </w:rPr>
              <w:t> </w:t>
            </w:r>
          </w:p>
        </w:tc>
      </w:tr>
      <w:tr w:rsidR="0010230A" w:rsidRPr="00D512B8" w:rsidTr="00DC1333">
        <w:trPr>
          <w:trHeight w:val="1561"/>
        </w:trPr>
        <w:tc>
          <w:tcPr>
            <w:tcW w:w="1012" w:type="pct"/>
            <w:tcBorders>
              <w:top w:val="nil"/>
              <w:left w:val="single" w:sz="4" w:space="0" w:color="auto"/>
              <w:bottom w:val="single" w:sz="4" w:space="0" w:color="auto"/>
              <w:right w:val="single" w:sz="4" w:space="0" w:color="auto"/>
            </w:tcBorders>
            <w:shd w:val="clear" w:color="auto" w:fill="auto"/>
            <w:hideMark/>
          </w:tcPr>
          <w:p w:rsidR="0010230A" w:rsidRPr="008F0E12" w:rsidRDefault="0010230A" w:rsidP="00DC1333">
            <w:pPr>
              <w:rPr>
                <w:color w:val="000000"/>
                <w:sz w:val="17"/>
                <w:szCs w:val="17"/>
              </w:rPr>
            </w:pPr>
            <w:r>
              <w:rPr>
                <w:color w:val="000000"/>
                <w:sz w:val="17"/>
                <w:szCs w:val="17"/>
              </w:rPr>
              <w:t>Reducción de los costos de correo debido a la negociación de tarifas reducidas con los proveedores de servicios de correo externos y al agrupamiento de las direcciones</w:t>
            </w:r>
          </w:p>
        </w:tc>
        <w:tc>
          <w:tcPr>
            <w:tcW w:w="651" w:type="pct"/>
            <w:tcBorders>
              <w:top w:val="nil"/>
              <w:left w:val="nil"/>
              <w:bottom w:val="single" w:sz="4" w:space="0" w:color="auto"/>
              <w:right w:val="single" w:sz="4" w:space="0" w:color="auto"/>
            </w:tcBorders>
            <w:shd w:val="clear" w:color="auto" w:fill="auto"/>
            <w:hideMark/>
          </w:tcPr>
          <w:p w:rsidR="0010230A" w:rsidRPr="008F0E12" w:rsidRDefault="0010230A" w:rsidP="00DC1333">
            <w:pPr>
              <w:rPr>
                <w:color w:val="000000"/>
                <w:sz w:val="17"/>
                <w:szCs w:val="17"/>
              </w:rPr>
            </w:pPr>
            <w:r w:rsidRPr="008F0E12">
              <w:rPr>
                <w:color w:val="000000"/>
                <w:sz w:val="17"/>
                <w:szCs w:val="17"/>
              </w:rPr>
              <w:t>71.662***</w:t>
            </w:r>
          </w:p>
          <w:p w:rsidR="0010230A" w:rsidRPr="008F0E12" w:rsidRDefault="0010230A">
            <w:pPr>
              <w:rPr>
                <w:color w:val="000000"/>
                <w:sz w:val="17"/>
                <w:szCs w:val="17"/>
              </w:rPr>
            </w:pPr>
          </w:p>
        </w:tc>
        <w:tc>
          <w:tcPr>
            <w:tcW w:w="477" w:type="pct"/>
            <w:tcBorders>
              <w:top w:val="nil"/>
              <w:left w:val="nil"/>
              <w:bottom w:val="single" w:sz="4" w:space="0" w:color="auto"/>
              <w:right w:val="single" w:sz="4" w:space="0" w:color="auto"/>
            </w:tcBorders>
            <w:shd w:val="clear" w:color="auto" w:fill="auto"/>
            <w:hideMark/>
          </w:tcPr>
          <w:p w:rsidR="0010230A" w:rsidRPr="008F0E12" w:rsidRDefault="0010230A" w:rsidP="00DC1333">
            <w:pPr>
              <w:rPr>
                <w:color w:val="000000"/>
                <w:sz w:val="17"/>
                <w:szCs w:val="17"/>
              </w:rPr>
            </w:pPr>
            <w:r w:rsidRPr="008F0E12">
              <w:rPr>
                <w:color w:val="000000"/>
                <w:sz w:val="17"/>
                <w:szCs w:val="17"/>
              </w:rPr>
              <w:t> 189.367</w:t>
            </w:r>
          </w:p>
        </w:tc>
        <w:tc>
          <w:tcPr>
            <w:tcW w:w="823" w:type="pct"/>
            <w:tcBorders>
              <w:top w:val="nil"/>
              <w:left w:val="nil"/>
              <w:bottom w:val="single" w:sz="4" w:space="0" w:color="auto"/>
              <w:right w:val="single" w:sz="4" w:space="0" w:color="auto"/>
            </w:tcBorders>
            <w:shd w:val="clear" w:color="auto" w:fill="auto"/>
            <w:hideMark/>
          </w:tcPr>
          <w:p w:rsidR="0010230A" w:rsidRPr="008F0E12" w:rsidRDefault="0010230A" w:rsidP="00DC1333">
            <w:pPr>
              <w:rPr>
                <w:color w:val="000000"/>
                <w:sz w:val="17"/>
                <w:szCs w:val="17"/>
              </w:rPr>
            </w:pPr>
            <w:r w:rsidRPr="008F0E12">
              <w:rPr>
                <w:color w:val="000000"/>
                <w:sz w:val="17"/>
                <w:szCs w:val="17"/>
              </w:rPr>
              <w:t> </w:t>
            </w:r>
          </w:p>
        </w:tc>
        <w:tc>
          <w:tcPr>
            <w:tcW w:w="869" w:type="pct"/>
            <w:tcBorders>
              <w:top w:val="nil"/>
              <w:left w:val="nil"/>
              <w:bottom w:val="single" w:sz="4" w:space="0" w:color="auto"/>
              <w:right w:val="single" w:sz="4" w:space="0" w:color="auto"/>
            </w:tcBorders>
            <w:shd w:val="clear" w:color="auto" w:fill="auto"/>
            <w:hideMark/>
          </w:tcPr>
          <w:p w:rsidR="0010230A" w:rsidRPr="008F0E12" w:rsidRDefault="0010230A" w:rsidP="00DC1333">
            <w:pPr>
              <w:rPr>
                <w:color w:val="000000"/>
                <w:sz w:val="17"/>
                <w:szCs w:val="17"/>
              </w:rPr>
            </w:pPr>
            <w:r w:rsidRPr="008F0E12">
              <w:rPr>
                <w:color w:val="000000"/>
                <w:sz w:val="17"/>
                <w:szCs w:val="17"/>
              </w:rPr>
              <w:t> </w:t>
            </w:r>
          </w:p>
        </w:tc>
        <w:tc>
          <w:tcPr>
            <w:tcW w:w="1167" w:type="pct"/>
            <w:tcBorders>
              <w:top w:val="nil"/>
              <w:left w:val="nil"/>
              <w:bottom w:val="single" w:sz="4" w:space="0" w:color="auto"/>
              <w:right w:val="single" w:sz="4" w:space="0" w:color="auto"/>
            </w:tcBorders>
            <w:shd w:val="clear" w:color="auto" w:fill="auto"/>
            <w:hideMark/>
          </w:tcPr>
          <w:p w:rsidR="0010230A" w:rsidRDefault="0010230A" w:rsidP="00DC1333">
            <w:pPr>
              <w:rPr>
                <w:color w:val="000000"/>
                <w:sz w:val="17"/>
                <w:szCs w:val="17"/>
              </w:rPr>
            </w:pPr>
            <w:r>
              <w:rPr>
                <w:color w:val="000000"/>
                <w:sz w:val="17"/>
                <w:szCs w:val="17"/>
              </w:rPr>
              <w:t>Las renegociaciones de contratos con los proveedores de servicios de correo han dado lugar a una disminución global de los costos de correo cifrada en un 4% en comparación con 2013.</w:t>
            </w:r>
          </w:p>
          <w:p w:rsidR="0010230A" w:rsidRPr="008F0E12" w:rsidRDefault="0010230A" w:rsidP="00DC1333">
            <w:pPr>
              <w:rPr>
                <w:color w:val="000000"/>
                <w:sz w:val="17"/>
                <w:szCs w:val="17"/>
              </w:rPr>
            </w:pPr>
          </w:p>
          <w:p w:rsidR="0010230A" w:rsidRPr="008F0E12" w:rsidRDefault="0010230A">
            <w:pPr>
              <w:rPr>
                <w:color w:val="000000"/>
                <w:sz w:val="17"/>
                <w:szCs w:val="17"/>
              </w:rPr>
            </w:pPr>
            <w:r>
              <w:rPr>
                <w:color w:val="000000"/>
                <w:sz w:val="17"/>
                <w:szCs w:val="17"/>
              </w:rPr>
              <w:t>2015: Reducción del</w:t>
            </w:r>
            <w:r w:rsidRPr="008F0E12">
              <w:rPr>
                <w:color w:val="000000"/>
                <w:sz w:val="17"/>
                <w:szCs w:val="17"/>
              </w:rPr>
              <w:t xml:space="preserve"> 11% </w:t>
            </w:r>
            <w:r>
              <w:rPr>
                <w:color w:val="000000"/>
                <w:sz w:val="17"/>
                <w:szCs w:val="17"/>
              </w:rPr>
              <w:t>e</w:t>
            </w:r>
            <w:r w:rsidRPr="008F0E12">
              <w:rPr>
                <w:color w:val="000000"/>
                <w:sz w:val="17"/>
                <w:szCs w:val="17"/>
              </w:rPr>
              <w:t xml:space="preserve">n 2015 </w:t>
            </w:r>
            <w:r>
              <w:rPr>
                <w:color w:val="000000"/>
                <w:sz w:val="17"/>
                <w:szCs w:val="17"/>
              </w:rPr>
              <w:t xml:space="preserve">en comparación con </w:t>
            </w:r>
            <w:r w:rsidRPr="008F0E12">
              <w:rPr>
                <w:color w:val="000000"/>
                <w:sz w:val="17"/>
                <w:szCs w:val="17"/>
              </w:rPr>
              <w:t>2013.</w:t>
            </w:r>
          </w:p>
          <w:p w:rsidR="0010230A" w:rsidRPr="008F0E12" w:rsidRDefault="0010230A">
            <w:pPr>
              <w:rPr>
                <w:color w:val="000000"/>
                <w:sz w:val="17"/>
                <w:szCs w:val="17"/>
              </w:rPr>
            </w:pPr>
            <w:r w:rsidRPr="008F0E12">
              <w:rPr>
                <w:color w:val="000000"/>
                <w:sz w:val="17"/>
                <w:szCs w:val="17"/>
              </w:rPr>
              <w:t xml:space="preserve"> </w:t>
            </w:r>
          </w:p>
        </w:tc>
      </w:tr>
      <w:tr w:rsidR="0010230A" w:rsidRPr="00D512B8" w:rsidTr="00523D2E">
        <w:trPr>
          <w:trHeight w:val="636"/>
        </w:trPr>
        <w:tc>
          <w:tcPr>
            <w:tcW w:w="1012" w:type="pct"/>
            <w:tcBorders>
              <w:top w:val="single" w:sz="4" w:space="0" w:color="auto"/>
              <w:left w:val="single" w:sz="4" w:space="0" w:color="auto"/>
              <w:bottom w:val="single" w:sz="4" w:space="0" w:color="auto"/>
              <w:right w:val="single" w:sz="4" w:space="0" w:color="auto"/>
            </w:tcBorders>
            <w:shd w:val="clear" w:color="auto" w:fill="auto"/>
            <w:hideMark/>
          </w:tcPr>
          <w:p w:rsidR="0010230A" w:rsidRPr="008F0E12" w:rsidRDefault="0010230A" w:rsidP="00DC1333">
            <w:pPr>
              <w:rPr>
                <w:color w:val="000000"/>
                <w:sz w:val="17"/>
                <w:szCs w:val="17"/>
              </w:rPr>
            </w:pPr>
            <w:r>
              <w:rPr>
                <w:color w:val="000000"/>
                <w:sz w:val="17"/>
                <w:szCs w:val="17"/>
              </w:rPr>
              <w:t>Reducción del número de guardias de seguridad subcontratados y del número de horas que trabajan.</w:t>
            </w:r>
          </w:p>
        </w:tc>
        <w:tc>
          <w:tcPr>
            <w:tcW w:w="651" w:type="pct"/>
            <w:tcBorders>
              <w:top w:val="single" w:sz="4" w:space="0" w:color="auto"/>
              <w:left w:val="nil"/>
              <w:bottom w:val="single" w:sz="4" w:space="0" w:color="auto"/>
              <w:right w:val="single" w:sz="4" w:space="0" w:color="auto"/>
            </w:tcBorders>
            <w:shd w:val="clear" w:color="auto" w:fill="auto"/>
            <w:hideMark/>
          </w:tcPr>
          <w:p w:rsidR="0010230A" w:rsidRPr="008F0E12" w:rsidRDefault="0010230A" w:rsidP="00DC1333">
            <w:pPr>
              <w:rPr>
                <w:color w:val="000000"/>
                <w:sz w:val="17"/>
                <w:szCs w:val="17"/>
              </w:rPr>
            </w:pPr>
            <w:r w:rsidRPr="008F0E12">
              <w:rPr>
                <w:color w:val="000000"/>
                <w:sz w:val="17"/>
                <w:szCs w:val="17"/>
              </w:rPr>
              <w:t xml:space="preserve">331.882*** </w:t>
            </w:r>
          </w:p>
          <w:p w:rsidR="0010230A" w:rsidRPr="008F0E12" w:rsidRDefault="0010230A" w:rsidP="00DC1333">
            <w:pPr>
              <w:rPr>
                <w:color w:val="000000"/>
                <w:sz w:val="17"/>
                <w:szCs w:val="17"/>
              </w:rPr>
            </w:pPr>
          </w:p>
          <w:p w:rsidR="0010230A" w:rsidRPr="008F0E12" w:rsidRDefault="0010230A" w:rsidP="00DC1333">
            <w:pPr>
              <w:rPr>
                <w:color w:val="000000"/>
                <w:sz w:val="17"/>
                <w:szCs w:val="17"/>
              </w:rPr>
            </w:pPr>
          </w:p>
        </w:tc>
        <w:tc>
          <w:tcPr>
            <w:tcW w:w="477" w:type="pct"/>
            <w:tcBorders>
              <w:top w:val="single" w:sz="4" w:space="0" w:color="auto"/>
              <w:left w:val="nil"/>
              <w:bottom w:val="single" w:sz="4" w:space="0" w:color="auto"/>
              <w:right w:val="single" w:sz="4" w:space="0" w:color="auto"/>
            </w:tcBorders>
            <w:shd w:val="clear" w:color="auto" w:fill="auto"/>
            <w:hideMark/>
          </w:tcPr>
          <w:p w:rsidR="0010230A" w:rsidRPr="008F0E12" w:rsidRDefault="0010230A">
            <w:pPr>
              <w:rPr>
                <w:color w:val="000000"/>
                <w:sz w:val="17"/>
                <w:szCs w:val="17"/>
              </w:rPr>
            </w:pPr>
            <w:r w:rsidRPr="008F0E12">
              <w:rPr>
                <w:color w:val="000000"/>
                <w:sz w:val="17"/>
                <w:szCs w:val="17"/>
              </w:rPr>
              <w:t> 708.739</w:t>
            </w:r>
          </w:p>
        </w:tc>
        <w:tc>
          <w:tcPr>
            <w:tcW w:w="823" w:type="pct"/>
            <w:tcBorders>
              <w:top w:val="single" w:sz="4" w:space="0" w:color="auto"/>
              <w:left w:val="nil"/>
              <w:bottom w:val="single" w:sz="4" w:space="0" w:color="auto"/>
              <w:right w:val="single" w:sz="4" w:space="0" w:color="auto"/>
            </w:tcBorders>
            <w:shd w:val="clear" w:color="auto" w:fill="auto"/>
            <w:hideMark/>
          </w:tcPr>
          <w:p w:rsidR="0010230A" w:rsidRPr="008F0E12" w:rsidRDefault="0010230A" w:rsidP="00DC1333">
            <w:pPr>
              <w:rPr>
                <w:color w:val="000000"/>
                <w:sz w:val="17"/>
                <w:szCs w:val="17"/>
              </w:rPr>
            </w:pPr>
            <w:r w:rsidRPr="008F0E12">
              <w:rPr>
                <w:color w:val="000000"/>
                <w:sz w:val="17"/>
                <w:szCs w:val="17"/>
              </w:rPr>
              <w:t> </w:t>
            </w:r>
          </w:p>
        </w:tc>
        <w:tc>
          <w:tcPr>
            <w:tcW w:w="869" w:type="pct"/>
            <w:tcBorders>
              <w:top w:val="single" w:sz="4" w:space="0" w:color="auto"/>
              <w:left w:val="nil"/>
              <w:bottom w:val="single" w:sz="4" w:space="0" w:color="auto"/>
              <w:right w:val="single" w:sz="4" w:space="0" w:color="auto"/>
            </w:tcBorders>
            <w:shd w:val="clear" w:color="auto" w:fill="auto"/>
            <w:hideMark/>
          </w:tcPr>
          <w:p w:rsidR="0010230A" w:rsidRPr="008F0E12" w:rsidRDefault="0010230A" w:rsidP="00DC1333">
            <w:pPr>
              <w:rPr>
                <w:color w:val="000000"/>
                <w:sz w:val="17"/>
                <w:szCs w:val="17"/>
              </w:rPr>
            </w:pPr>
            <w:r w:rsidRPr="008F0E12">
              <w:rPr>
                <w:color w:val="000000"/>
                <w:sz w:val="17"/>
                <w:szCs w:val="17"/>
              </w:rPr>
              <w:t> </w:t>
            </w:r>
          </w:p>
        </w:tc>
        <w:tc>
          <w:tcPr>
            <w:tcW w:w="1167" w:type="pct"/>
            <w:tcBorders>
              <w:top w:val="single" w:sz="4" w:space="0" w:color="auto"/>
              <w:left w:val="nil"/>
              <w:bottom w:val="single" w:sz="4" w:space="0" w:color="auto"/>
              <w:right w:val="single" w:sz="4" w:space="0" w:color="auto"/>
            </w:tcBorders>
            <w:shd w:val="clear" w:color="auto" w:fill="auto"/>
            <w:hideMark/>
          </w:tcPr>
          <w:p w:rsidR="0010230A" w:rsidRPr="008F0E12" w:rsidRDefault="0010230A" w:rsidP="00DC1333">
            <w:pPr>
              <w:contextualSpacing/>
              <w:rPr>
                <w:sz w:val="17"/>
                <w:szCs w:val="17"/>
              </w:rPr>
            </w:pPr>
            <w:r w:rsidRPr="008F0E12">
              <w:rPr>
                <w:sz w:val="17"/>
                <w:szCs w:val="17"/>
              </w:rPr>
              <w:t xml:space="preserve">2014: </w:t>
            </w:r>
            <w:r>
              <w:rPr>
                <w:sz w:val="17"/>
                <w:szCs w:val="17"/>
              </w:rPr>
              <w:t xml:space="preserve">Reducción global del </w:t>
            </w:r>
            <w:r w:rsidRPr="008F0E12">
              <w:rPr>
                <w:sz w:val="17"/>
                <w:szCs w:val="17"/>
              </w:rPr>
              <w:t>8</w:t>
            </w:r>
            <w:r>
              <w:rPr>
                <w:sz w:val="17"/>
                <w:szCs w:val="17"/>
              </w:rPr>
              <w:t>,</w:t>
            </w:r>
            <w:r w:rsidRPr="008F0E12">
              <w:rPr>
                <w:sz w:val="17"/>
                <w:szCs w:val="17"/>
              </w:rPr>
              <w:t>4% (331.</w:t>
            </w:r>
            <w:r>
              <w:rPr>
                <w:sz w:val="17"/>
                <w:szCs w:val="17"/>
              </w:rPr>
              <w:t xml:space="preserve">882 CHF), de </w:t>
            </w:r>
            <w:r w:rsidRPr="008F0E12">
              <w:rPr>
                <w:sz w:val="17"/>
                <w:szCs w:val="17"/>
              </w:rPr>
              <w:t>2013 (3.943.837 CHF)</w:t>
            </w:r>
            <w:r>
              <w:rPr>
                <w:sz w:val="17"/>
                <w:szCs w:val="17"/>
              </w:rPr>
              <w:t xml:space="preserve"> a</w:t>
            </w:r>
            <w:r w:rsidRPr="008F0E12">
              <w:rPr>
                <w:sz w:val="17"/>
                <w:szCs w:val="17"/>
              </w:rPr>
              <w:t xml:space="preserve"> 2014 (3.611.955 CHF)</w:t>
            </w:r>
            <w:r>
              <w:rPr>
                <w:sz w:val="17"/>
                <w:szCs w:val="17"/>
              </w:rPr>
              <w:t xml:space="preserve">, como consecuencia de la reducción del número de guardias de seguridad de </w:t>
            </w:r>
          </w:p>
          <w:p w:rsidR="0010230A" w:rsidRDefault="0010230A" w:rsidP="00DC1333">
            <w:pPr>
              <w:contextualSpacing/>
              <w:rPr>
                <w:sz w:val="17"/>
                <w:szCs w:val="17"/>
              </w:rPr>
            </w:pPr>
            <w:r w:rsidRPr="008F0E12">
              <w:rPr>
                <w:sz w:val="17"/>
                <w:szCs w:val="17"/>
              </w:rPr>
              <w:t xml:space="preserve">ARNDT </w:t>
            </w:r>
            <w:r>
              <w:rPr>
                <w:sz w:val="17"/>
                <w:szCs w:val="17"/>
              </w:rPr>
              <w:t>e</w:t>
            </w:r>
            <w:r w:rsidRPr="008F0E12">
              <w:rPr>
                <w:sz w:val="17"/>
                <w:szCs w:val="17"/>
              </w:rPr>
              <w:t xml:space="preserve">n 2014, </w:t>
            </w:r>
            <w:r>
              <w:rPr>
                <w:sz w:val="17"/>
                <w:szCs w:val="17"/>
              </w:rPr>
              <w:t>y una reducción del 2</w:t>
            </w:r>
            <w:r w:rsidRPr="00F46CFD">
              <w:rPr>
                <w:sz w:val="17"/>
                <w:szCs w:val="17"/>
              </w:rPr>
              <w:t xml:space="preserve">5% en los efectivos </w:t>
            </w:r>
            <w:r>
              <w:rPr>
                <w:sz w:val="17"/>
                <w:szCs w:val="17"/>
              </w:rPr>
              <w:t xml:space="preserve">necesarios </w:t>
            </w:r>
            <w:r w:rsidRPr="00F46CFD">
              <w:rPr>
                <w:sz w:val="17"/>
                <w:szCs w:val="17"/>
              </w:rPr>
              <w:t xml:space="preserve">para </w:t>
            </w:r>
            <w:r w:rsidRPr="002469C1">
              <w:rPr>
                <w:sz w:val="17"/>
                <w:szCs w:val="17"/>
              </w:rPr>
              <w:t>movilizarse en caso de emergencia</w:t>
            </w:r>
            <w:r w:rsidRPr="00F46CFD">
              <w:rPr>
                <w:sz w:val="17"/>
                <w:szCs w:val="17"/>
              </w:rPr>
              <w:t>.</w:t>
            </w:r>
          </w:p>
          <w:p w:rsidR="0010230A" w:rsidRPr="008F0E12" w:rsidRDefault="0010230A" w:rsidP="00DC1333">
            <w:pPr>
              <w:contextualSpacing/>
              <w:rPr>
                <w:sz w:val="17"/>
                <w:szCs w:val="17"/>
              </w:rPr>
            </w:pPr>
          </w:p>
          <w:p w:rsidR="0010230A" w:rsidRPr="008F0E12" w:rsidRDefault="0010230A" w:rsidP="00DC1333">
            <w:pPr>
              <w:contextualSpacing/>
              <w:rPr>
                <w:color w:val="000000"/>
                <w:sz w:val="17"/>
                <w:szCs w:val="17"/>
              </w:rPr>
            </w:pPr>
            <w:r w:rsidRPr="008F0E12">
              <w:rPr>
                <w:sz w:val="17"/>
                <w:szCs w:val="17"/>
              </w:rPr>
              <w:t xml:space="preserve">2015: </w:t>
            </w:r>
            <w:r>
              <w:rPr>
                <w:sz w:val="17"/>
                <w:szCs w:val="17"/>
              </w:rPr>
              <w:t xml:space="preserve"> Reducción global del </w:t>
            </w:r>
            <w:r w:rsidRPr="008F0E12">
              <w:rPr>
                <w:sz w:val="17"/>
                <w:szCs w:val="17"/>
              </w:rPr>
              <w:t>17</w:t>
            </w:r>
            <w:r>
              <w:rPr>
                <w:sz w:val="17"/>
                <w:szCs w:val="17"/>
              </w:rPr>
              <w:t>,</w:t>
            </w:r>
            <w:r w:rsidRPr="008F0E12">
              <w:rPr>
                <w:sz w:val="17"/>
                <w:szCs w:val="17"/>
              </w:rPr>
              <w:t xml:space="preserve">9% (708.739 CHF) </w:t>
            </w:r>
            <w:r>
              <w:rPr>
                <w:sz w:val="17"/>
                <w:szCs w:val="17"/>
              </w:rPr>
              <w:t xml:space="preserve">de </w:t>
            </w:r>
            <w:r w:rsidRPr="008F0E12">
              <w:rPr>
                <w:sz w:val="17"/>
                <w:szCs w:val="17"/>
              </w:rPr>
              <w:t xml:space="preserve">2013 </w:t>
            </w:r>
            <w:r>
              <w:rPr>
                <w:sz w:val="17"/>
                <w:szCs w:val="17"/>
              </w:rPr>
              <w:t xml:space="preserve">a </w:t>
            </w:r>
            <w:r w:rsidRPr="008F0E12">
              <w:rPr>
                <w:sz w:val="17"/>
                <w:szCs w:val="17"/>
              </w:rPr>
              <w:t xml:space="preserve">2015 (3.235.098 CHF) </w:t>
            </w:r>
            <w:r>
              <w:rPr>
                <w:sz w:val="17"/>
                <w:szCs w:val="17"/>
              </w:rPr>
              <w:t xml:space="preserve">como consecuencia de la redistribución eficaz de los guardias de seguridad de </w:t>
            </w:r>
            <w:r w:rsidRPr="008F0E12">
              <w:rPr>
                <w:sz w:val="17"/>
                <w:szCs w:val="17"/>
              </w:rPr>
              <w:t xml:space="preserve">ARNDT </w:t>
            </w:r>
            <w:r>
              <w:rPr>
                <w:sz w:val="17"/>
                <w:szCs w:val="17"/>
              </w:rPr>
              <w:t xml:space="preserve">tras la instalación de las puertas de acceso rápido, y el Centro de Operaciones de Seguridad </w:t>
            </w:r>
            <w:r>
              <w:rPr>
                <w:sz w:val="17"/>
                <w:szCs w:val="17"/>
              </w:rPr>
              <w:lastRenderedPageBreak/>
              <w:t xml:space="preserve">como parte del </w:t>
            </w:r>
            <w:r w:rsidRPr="00AA03F0">
              <w:rPr>
                <w:sz w:val="17"/>
                <w:szCs w:val="17"/>
              </w:rPr>
              <w:t>proyecto H-MOSS</w:t>
            </w:r>
            <w:r w:rsidRPr="008F0E12">
              <w:rPr>
                <w:sz w:val="17"/>
                <w:szCs w:val="17"/>
              </w:rPr>
              <w:t>,</w:t>
            </w:r>
            <w:r>
              <w:rPr>
                <w:sz w:val="17"/>
                <w:szCs w:val="17"/>
              </w:rPr>
              <w:t xml:space="preserve"> con lo que se ha reducido el número total de horas de trabajo de los guardias de seguridad;  y una reducción del 29% </w:t>
            </w:r>
            <w:r w:rsidRPr="00AA03F0">
              <w:rPr>
                <w:sz w:val="17"/>
                <w:szCs w:val="17"/>
              </w:rPr>
              <w:t xml:space="preserve">en los efectivos necesarios para </w:t>
            </w:r>
            <w:r>
              <w:rPr>
                <w:sz w:val="17"/>
                <w:szCs w:val="17"/>
              </w:rPr>
              <w:t>movilizarse en caso de emergencia</w:t>
            </w:r>
            <w:r w:rsidRPr="00AA03F0">
              <w:rPr>
                <w:sz w:val="17"/>
                <w:szCs w:val="17"/>
              </w:rPr>
              <w:t>.</w:t>
            </w:r>
            <w:r w:rsidRPr="008F0E12">
              <w:rPr>
                <w:color w:val="000000"/>
                <w:sz w:val="17"/>
                <w:szCs w:val="17"/>
              </w:rPr>
              <w:t xml:space="preserve"> </w:t>
            </w:r>
          </w:p>
        </w:tc>
      </w:tr>
      <w:tr w:rsidR="0010230A" w:rsidRPr="00D512B8" w:rsidTr="00DC1333">
        <w:trPr>
          <w:trHeight w:val="2550"/>
        </w:trPr>
        <w:tc>
          <w:tcPr>
            <w:tcW w:w="1012" w:type="pct"/>
            <w:tcBorders>
              <w:top w:val="single" w:sz="4" w:space="0" w:color="auto"/>
              <w:left w:val="single" w:sz="4" w:space="0" w:color="auto"/>
              <w:bottom w:val="single" w:sz="4" w:space="0" w:color="auto"/>
              <w:right w:val="single" w:sz="4" w:space="0" w:color="auto"/>
            </w:tcBorders>
            <w:shd w:val="clear" w:color="auto" w:fill="auto"/>
            <w:hideMark/>
          </w:tcPr>
          <w:p w:rsidR="0010230A" w:rsidRPr="008F0E12" w:rsidRDefault="0010230A" w:rsidP="00DC1333">
            <w:pPr>
              <w:rPr>
                <w:color w:val="000000"/>
                <w:sz w:val="17"/>
                <w:szCs w:val="17"/>
              </w:rPr>
            </w:pPr>
            <w:r>
              <w:rPr>
                <w:color w:val="000000"/>
                <w:sz w:val="17"/>
                <w:szCs w:val="17"/>
              </w:rPr>
              <w:lastRenderedPageBreak/>
              <w:t>Menores costos en general con respecto a la tramitación de las solicitudes internacionales en el marco del Sistema de La Haya</w:t>
            </w:r>
          </w:p>
        </w:tc>
        <w:tc>
          <w:tcPr>
            <w:tcW w:w="651" w:type="pct"/>
            <w:tcBorders>
              <w:top w:val="single" w:sz="4" w:space="0" w:color="auto"/>
              <w:left w:val="nil"/>
              <w:bottom w:val="single" w:sz="4" w:space="0" w:color="auto"/>
              <w:right w:val="single" w:sz="4" w:space="0" w:color="auto"/>
            </w:tcBorders>
            <w:shd w:val="clear" w:color="auto" w:fill="auto"/>
            <w:hideMark/>
          </w:tcPr>
          <w:p w:rsidR="0010230A" w:rsidRPr="008F0E12" w:rsidRDefault="0010230A" w:rsidP="00DC1333">
            <w:pPr>
              <w:rPr>
                <w:color w:val="000000"/>
                <w:sz w:val="17"/>
                <w:szCs w:val="17"/>
              </w:rPr>
            </w:pPr>
            <w:r w:rsidRPr="008F0E12">
              <w:rPr>
                <w:color w:val="000000"/>
                <w:sz w:val="17"/>
                <w:szCs w:val="17"/>
              </w:rPr>
              <w:t> </w:t>
            </w:r>
          </w:p>
        </w:tc>
        <w:tc>
          <w:tcPr>
            <w:tcW w:w="477" w:type="pct"/>
            <w:tcBorders>
              <w:top w:val="single" w:sz="4" w:space="0" w:color="auto"/>
              <w:left w:val="nil"/>
              <w:bottom w:val="single" w:sz="4" w:space="0" w:color="auto"/>
              <w:right w:val="single" w:sz="4" w:space="0" w:color="auto"/>
            </w:tcBorders>
            <w:shd w:val="clear" w:color="auto" w:fill="auto"/>
            <w:hideMark/>
          </w:tcPr>
          <w:p w:rsidR="0010230A" w:rsidRPr="008F0E12" w:rsidRDefault="0010230A" w:rsidP="00DC1333">
            <w:pPr>
              <w:rPr>
                <w:color w:val="000000"/>
                <w:sz w:val="17"/>
                <w:szCs w:val="17"/>
              </w:rPr>
            </w:pPr>
            <w:r w:rsidRPr="008F0E12">
              <w:rPr>
                <w:color w:val="000000"/>
                <w:sz w:val="17"/>
                <w:szCs w:val="17"/>
              </w:rPr>
              <w:t> </w:t>
            </w:r>
          </w:p>
        </w:tc>
        <w:tc>
          <w:tcPr>
            <w:tcW w:w="823" w:type="pct"/>
            <w:tcBorders>
              <w:top w:val="single" w:sz="4" w:space="0" w:color="auto"/>
              <w:left w:val="nil"/>
              <w:bottom w:val="single" w:sz="4" w:space="0" w:color="auto"/>
              <w:right w:val="single" w:sz="4" w:space="0" w:color="auto"/>
            </w:tcBorders>
            <w:shd w:val="clear" w:color="auto" w:fill="auto"/>
            <w:hideMark/>
          </w:tcPr>
          <w:p w:rsidR="0010230A" w:rsidRDefault="0010230A" w:rsidP="00DC1333">
            <w:pPr>
              <w:rPr>
                <w:color w:val="000000"/>
                <w:sz w:val="17"/>
                <w:szCs w:val="17"/>
              </w:rPr>
            </w:pPr>
            <w:r>
              <w:rPr>
                <w:color w:val="000000"/>
                <w:sz w:val="17"/>
                <w:szCs w:val="17"/>
              </w:rPr>
              <w:t>R</w:t>
            </w:r>
            <w:r w:rsidRPr="00A964E1">
              <w:rPr>
                <w:color w:val="000000"/>
                <w:sz w:val="17"/>
                <w:szCs w:val="17"/>
              </w:rPr>
              <w:t>educción del costo unitario por dibujo o modelo nuevo/</w:t>
            </w:r>
            <w:r>
              <w:rPr>
                <w:color w:val="000000"/>
                <w:sz w:val="17"/>
                <w:szCs w:val="17"/>
              </w:rPr>
              <w:t>renovado,</w:t>
            </w:r>
            <w:r w:rsidRPr="00A964E1">
              <w:rPr>
                <w:color w:val="000000"/>
                <w:sz w:val="17"/>
                <w:szCs w:val="17"/>
              </w:rPr>
              <w:t xml:space="preserve"> </w:t>
            </w:r>
            <w:r>
              <w:rPr>
                <w:color w:val="000000"/>
                <w:sz w:val="17"/>
                <w:szCs w:val="17"/>
              </w:rPr>
              <w:t>de 420 CHF e</w:t>
            </w:r>
            <w:r w:rsidRPr="008F0E12">
              <w:rPr>
                <w:color w:val="000000"/>
                <w:sz w:val="17"/>
                <w:szCs w:val="17"/>
              </w:rPr>
              <w:t xml:space="preserve">n 2013 </w:t>
            </w:r>
            <w:r>
              <w:rPr>
                <w:color w:val="000000"/>
                <w:sz w:val="17"/>
                <w:szCs w:val="17"/>
              </w:rPr>
              <w:t>a</w:t>
            </w:r>
            <w:r w:rsidRPr="008F0E12">
              <w:rPr>
                <w:color w:val="000000"/>
                <w:sz w:val="17"/>
                <w:szCs w:val="17"/>
              </w:rPr>
              <w:t xml:space="preserve"> 366 CHF </w:t>
            </w:r>
            <w:r>
              <w:rPr>
                <w:color w:val="000000"/>
                <w:sz w:val="17"/>
                <w:szCs w:val="17"/>
              </w:rPr>
              <w:t>e</w:t>
            </w:r>
            <w:r w:rsidRPr="008F0E12">
              <w:rPr>
                <w:color w:val="000000"/>
                <w:sz w:val="17"/>
                <w:szCs w:val="17"/>
              </w:rPr>
              <w:t>n 2014 (e</w:t>
            </w:r>
            <w:r>
              <w:rPr>
                <w:color w:val="000000"/>
                <w:sz w:val="17"/>
                <w:szCs w:val="17"/>
              </w:rPr>
              <w:t>s decir, 54 CHF o una disminución del</w:t>
            </w:r>
            <w:r w:rsidRPr="008F0E12">
              <w:rPr>
                <w:color w:val="000000"/>
                <w:sz w:val="17"/>
                <w:szCs w:val="17"/>
              </w:rPr>
              <w:t xml:space="preserve"> 13%). </w:t>
            </w:r>
            <w:r w:rsidRPr="008F0E12">
              <w:rPr>
                <w:color w:val="000000"/>
                <w:sz w:val="17"/>
                <w:szCs w:val="17"/>
              </w:rPr>
              <w:br w:type="page"/>
            </w:r>
            <w:r>
              <w:rPr>
                <w:color w:val="000000"/>
                <w:sz w:val="17"/>
                <w:szCs w:val="17"/>
              </w:rPr>
              <w:t xml:space="preserve">Reducción del costo unitario por documento inscrito en el Registro, de </w:t>
            </w:r>
            <w:r w:rsidRPr="008F0E12">
              <w:rPr>
                <w:color w:val="000000"/>
                <w:sz w:val="17"/>
                <w:szCs w:val="17"/>
              </w:rPr>
              <w:t xml:space="preserve">1.570 CHF  </w:t>
            </w:r>
            <w:r>
              <w:rPr>
                <w:color w:val="000000"/>
                <w:sz w:val="17"/>
                <w:szCs w:val="17"/>
              </w:rPr>
              <w:t>e</w:t>
            </w:r>
            <w:r w:rsidRPr="008F0E12">
              <w:rPr>
                <w:color w:val="000000"/>
                <w:sz w:val="17"/>
                <w:szCs w:val="17"/>
              </w:rPr>
              <w:t xml:space="preserve">n 2013 </w:t>
            </w:r>
            <w:r>
              <w:rPr>
                <w:color w:val="000000"/>
                <w:sz w:val="17"/>
                <w:szCs w:val="17"/>
              </w:rPr>
              <w:t>a</w:t>
            </w:r>
            <w:r w:rsidRPr="008F0E12">
              <w:rPr>
                <w:color w:val="000000"/>
                <w:sz w:val="17"/>
                <w:szCs w:val="17"/>
              </w:rPr>
              <w:t xml:space="preserve"> 1.483 CHF  </w:t>
            </w:r>
            <w:r>
              <w:rPr>
                <w:color w:val="000000"/>
                <w:sz w:val="17"/>
                <w:szCs w:val="17"/>
              </w:rPr>
              <w:t>e</w:t>
            </w:r>
            <w:r w:rsidRPr="008F0E12">
              <w:rPr>
                <w:color w:val="000000"/>
                <w:sz w:val="17"/>
                <w:szCs w:val="17"/>
              </w:rPr>
              <w:t>n 2014 (e</w:t>
            </w:r>
            <w:r>
              <w:rPr>
                <w:color w:val="000000"/>
                <w:sz w:val="17"/>
                <w:szCs w:val="17"/>
              </w:rPr>
              <w:t>s decir</w:t>
            </w:r>
            <w:r w:rsidRPr="008F0E12">
              <w:rPr>
                <w:color w:val="000000"/>
                <w:sz w:val="17"/>
                <w:szCs w:val="17"/>
              </w:rPr>
              <w:t>, 87 CHF o</w:t>
            </w:r>
            <w:r>
              <w:rPr>
                <w:color w:val="000000"/>
                <w:sz w:val="17"/>
                <w:szCs w:val="17"/>
              </w:rPr>
              <w:t xml:space="preserve"> una disminución del 5,</w:t>
            </w:r>
            <w:r w:rsidRPr="008F0E12">
              <w:rPr>
                <w:color w:val="000000"/>
                <w:sz w:val="17"/>
                <w:szCs w:val="17"/>
              </w:rPr>
              <w:t>5%)</w:t>
            </w:r>
          </w:p>
          <w:p w:rsidR="0010230A" w:rsidRPr="008F0E12" w:rsidRDefault="0010230A">
            <w:pPr>
              <w:rPr>
                <w:color w:val="000000"/>
                <w:sz w:val="17"/>
                <w:szCs w:val="17"/>
              </w:rPr>
            </w:pPr>
          </w:p>
        </w:tc>
        <w:tc>
          <w:tcPr>
            <w:tcW w:w="869" w:type="pct"/>
            <w:tcBorders>
              <w:top w:val="single" w:sz="4" w:space="0" w:color="auto"/>
              <w:left w:val="nil"/>
              <w:bottom w:val="single" w:sz="4" w:space="0" w:color="auto"/>
              <w:right w:val="single" w:sz="4" w:space="0" w:color="auto"/>
            </w:tcBorders>
            <w:shd w:val="clear" w:color="auto" w:fill="auto"/>
            <w:hideMark/>
          </w:tcPr>
          <w:p w:rsidR="0010230A" w:rsidRDefault="0010230A">
            <w:pPr>
              <w:rPr>
                <w:color w:val="000000"/>
                <w:sz w:val="17"/>
                <w:szCs w:val="17"/>
              </w:rPr>
            </w:pPr>
            <w:r>
              <w:rPr>
                <w:color w:val="000000"/>
                <w:sz w:val="17"/>
                <w:szCs w:val="17"/>
              </w:rPr>
              <w:t xml:space="preserve">Otra reducción del costo unitario por dibujo o modelo nuevo/renovado, de </w:t>
            </w:r>
            <w:r w:rsidRPr="008F0E12">
              <w:rPr>
                <w:color w:val="000000"/>
                <w:sz w:val="17"/>
                <w:szCs w:val="17"/>
              </w:rPr>
              <w:t xml:space="preserve">366 CHF </w:t>
            </w:r>
            <w:r>
              <w:rPr>
                <w:color w:val="000000"/>
                <w:sz w:val="17"/>
                <w:szCs w:val="17"/>
              </w:rPr>
              <w:t>e</w:t>
            </w:r>
            <w:r w:rsidRPr="008F0E12">
              <w:rPr>
                <w:color w:val="000000"/>
                <w:sz w:val="17"/>
                <w:szCs w:val="17"/>
              </w:rPr>
              <w:t xml:space="preserve">n 2014 </w:t>
            </w:r>
            <w:r>
              <w:rPr>
                <w:color w:val="000000"/>
                <w:sz w:val="17"/>
                <w:szCs w:val="17"/>
              </w:rPr>
              <w:t xml:space="preserve">a </w:t>
            </w:r>
            <w:r w:rsidRPr="008F0E12">
              <w:rPr>
                <w:color w:val="000000"/>
                <w:sz w:val="17"/>
                <w:szCs w:val="17"/>
              </w:rPr>
              <w:t xml:space="preserve">337 CHF </w:t>
            </w:r>
            <w:r>
              <w:rPr>
                <w:color w:val="000000"/>
                <w:sz w:val="17"/>
                <w:szCs w:val="17"/>
              </w:rPr>
              <w:t>e</w:t>
            </w:r>
            <w:r w:rsidRPr="008F0E12">
              <w:rPr>
                <w:color w:val="000000"/>
                <w:sz w:val="17"/>
                <w:szCs w:val="17"/>
              </w:rPr>
              <w:t>n 2015 (</w:t>
            </w:r>
            <w:r>
              <w:rPr>
                <w:color w:val="000000"/>
                <w:sz w:val="17"/>
                <w:szCs w:val="17"/>
              </w:rPr>
              <w:t>es decir</w:t>
            </w:r>
            <w:r w:rsidRPr="008F0E12">
              <w:rPr>
                <w:color w:val="000000"/>
                <w:sz w:val="17"/>
                <w:szCs w:val="17"/>
              </w:rPr>
              <w:t>, 29 CHF o</w:t>
            </w:r>
            <w:r>
              <w:rPr>
                <w:color w:val="000000"/>
                <w:sz w:val="17"/>
                <w:szCs w:val="17"/>
              </w:rPr>
              <w:t xml:space="preserve"> una disminución del 7,</w:t>
            </w:r>
            <w:r w:rsidRPr="008F0E12">
              <w:rPr>
                <w:color w:val="000000"/>
                <w:sz w:val="17"/>
                <w:szCs w:val="17"/>
              </w:rPr>
              <w:t>9%)</w:t>
            </w:r>
            <w:r w:rsidRPr="008F0E12">
              <w:rPr>
                <w:color w:val="000000"/>
                <w:sz w:val="17"/>
                <w:szCs w:val="17"/>
              </w:rPr>
              <w:br w:type="page"/>
              <w:t xml:space="preserve">.  </w:t>
            </w:r>
            <w:r>
              <w:rPr>
                <w:color w:val="000000"/>
                <w:sz w:val="17"/>
                <w:szCs w:val="17"/>
              </w:rPr>
              <w:t xml:space="preserve">Otra reducción del costo unitario por documento inscrito en el Registro, de </w:t>
            </w:r>
            <w:r w:rsidRPr="008F0E12">
              <w:rPr>
                <w:color w:val="000000"/>
                <w:sz w:val="17"/>
                <w:szCs w:val="17"/>
              </w:rPr>
              <w:t xml:space="preserve">1.483 CHF </w:t>
            </w:r>
            <w:r>
              <w:rPr>
                <w:color w:val="000000"/>
                <w:sz w:val="17"/>
                <w:szCs w:val="17"/>
              </w:rPr>
              <w:t>e</w:t>
            </w:r>
            <w:r w:rsidRPr="008F0E12">
              <w:rPr>
                <w:color w:val="000000"/>
                <w:sz w:val="17"/>
                <w:szCs w:val="17"/>
              </w:rPr>
              <w:t xml:space="preserve">n 2014 </w:t>
            </w:r>
            <w:r>
              <w:rPr>
                <w:color w:val="000000"/>
                <w:sz w:val="17"/>
                <w:szCs w:val="17"/>
              </w:rPr>
              <w:t>a</w:t>
            </w:r>
            <w:r w:rsidRPr="008F0E12">
              <w:rPr>
                <w:color w:val="000000"/>
                <w:sz w:val="17"/>
                <w:szCs w:val="17"/>
              </w:rPr>
              <w:t xml:space="preserve"> 1.153 </w:t>
            </w:r>
            <w:r>
              <w:rPr>
                <w:color w:val="000000"/>
                <w:sz w:val="17"/>
                <w:szCs w:val="17"/>
              </w:rPr>
              <w:t>e</w:t>
            </w:r>
            <w:r w:rsidRPr="008F0E12">
              <w:rPr>
                <w:color w:val="000000"/>
                <w:sz w:val="17"/>
                <w:szCs w:val="17"/>
              </w:rPr>
              <w:t>n 2015 (e</w:t>
            </w:r>
            <w:r>
              <w:rPr>
                <w:color w:val="000000"/>
                <w:sz w:val="17"/>
                <w:szCs w:val="17"/>
              </w:rPr>
              <w:t>s decir</w:t>
            </w:r>
            <w:r w:rsidRPr="008F0E12">
              <w:rPr>
                <w:color w:val="000000"/>
                <w:sz w:val="17"/>
                <w:szCs w:val="17"/>
              </w:rPr>
              <w:t xml:space="preserve">, 330 o </w:t>
            </w:r>
            <w:r>
              <w:rPr>
                <w:color w:val="000000"/>
                <w:sz w:val="17"/>
                <w:szCs w:val="17"/>
              </w:rPr>
              <w:t>una disminución del 22,</w:t>
            </w:r>
            <w:r w:rsidRPr="008F0E12">
              <w:rPr>
                <w:color w:val="000000"/>
                <w:sz w:val="17"/>
                <w:szCs w:val="17"/>
              </w:rPr>
              <w:t>3%)</w:t>
            </w:r>
          </w:p>
          <w:p w:rsidR="0010230A" w:rsidRPr="008F0E12" w:rsidRDefault="0010230A" w:rsidP="00DC1333">
            <w:pPr>
              <w:rPr>
                <w:color w:val="000000"/>
                <w:sz w:val="17"/>
                <w:szCs w:val="17"/>
              </w:rPr>
            </w:pPr>
          </w:p>
        </w:tc>
        <w:tc>
          <w:tcPr>
            <w:tcW w:w="1167" w:type="pct"/>
            <w:tcBorders>
              <w:top w:val="single" w:sz="4" w:space="0" w:color="auto"/>
              <w:left w:val="nil"/>
              <w:bottom w:val="single" w:sz="4" w:space="0" w:color="auto"/>
              <w:right w:val="single" w:sz="4" w:space="0" w:color="auto"/>
            </w:tcBorders>
            <w:shd w:val="clear" w:color="auto" w:fill="auto"/>
            <w:hideMark/>
          </w:tcPr>
          <w:p w:rsidR="0010230A" w:rsidRPr="008F0E12" w:rsidRDefault="0010230A" w:rsidP="00DC1333">
            <w:pPr>
              <w:rPr>
                <w:color w:val="000000"/>
                <w:sz w:val="17"/>
                <w:szCs w:val="17"/>
              </w:rPr>
            </w:pPr>
            <w:r>
              <w:rPr>
                <w:color w:val="000000"/>
                <w:sz w:val="17"/>
                <w:szCs w:val="17"/>
              </w:rPr>
              <w:t xml:space="preserve">Cabe remitirse al documento PPR de 2014/15 para más información sobre los indicadores </w:t>
            </w:r>
            <w:r w:rsidRPr="00A964E1">
              <w:rPr>
                <w:color w:val="000000"/>
                <w:sz w:val="17"/>
                <w:szCs w:val="17"/>
              </w:rPr>
              <w:t>de las operaciones del Sistema de La Haya</w:t>
            </w:r>
            <w:r>
              <w:rPr>
                <w:color w:val="000000"/>
                <w:sz w:val="17"/>
                <w:szCs w:val="17"/>
              </w:rPr>
              <w:t>.</w:t>
            </w:r>
          </w:p>
        </w:tc>
      </w:tr>
      <w:tr w:rsidR="0010230A" w:rsidRPr="00D512B8" w:rsidTr="00DC1333">
        <w:trPr>
          <w:trHeight w:val="1579"/>
        </w:trPr>
        <w:tc>
          <w:tcPr>
            <w:tcW w:w="1012" w:type="pct"/>
            <w:tcBorders>
              <w:top w:val="single" w:sz="4" w:space="0" w:color="auto"/>
              <w:left w:val="single" w:sz="4" w:space="0" w:color="auto"/>
              <w:bottom w:val="single" w:sz="4" w:space="0" w:color="auto"/>
              <w:right w:val="single" w:sz="4" w:space="0" w:color="auto"/>
            </w:tcBorders>
            <w:shd w:val="clear" w:color="auto" w:fill="auto"/>
          </w:tcPr>
          <w:p w:rsidR="0010230A" w:rsidRPr="008F0E12" w:rsidRDefault="0010230A" w:rsidP="00DC1333">
            <w:pPr>
              <w:rPr>
                <w:color w:val="000000"/>
                <w:sz w:val="17"/>
                <w:szCs w:val="17"/>
              </w:rPr>
            </w:pPr>
            <w:r>
              <w:rPr>
                <w:color w:val="000000"/>
                <w:sz w:val="17"/>
                <w:szCs w:val="17"/>
              </w:rPr>
              <w:t xml:space="preserve">Primas más bajas como consecuencia de la renegociación del nuevo contrato de seguro de accidentes profesionales </w:t>
            </w:r>
          </w:p>
        </w:tc>
        <w:tc>
          <w:tcPr>
            <w:tcW w:w="651" w:type="pct"/>
            <w:tcBorders>
              <w:top w:val="single" w:sz="4" w:space="0" w:color="auto"/>
              <w:left w:val="nil"/>
              <w:bottom w:val="single" w:sz="4" w:space="0" w:color="auto"/>
              <w:right w:val="single" w:sz="4" w:space="0" w:color="auto"/>
            </w:tcBorders>
            <w:shd w:val="clear" w:color="auto" w:fill="auto"/>
          </w:tcPr>
          <w:p w:rsidR="0010230A" w:rsidRPr="008F0E12" w:rsidRDefault="0010230A" w:rsidP="00DC1333">
            <w:pPr>
              <w:rPr>
                <w:color w:val="000000"/>
                <w:sz w:val="17"/>
                <w:szCs w:val="17"/>
              </w:rPr>
            </w:pPr>
            <w:r w:rsidRPr="008F0E12">
              <w:rPr>
                <w:color w:val="000000"/>
                <w:sz w:val="17"/>
                <w:szCs w:val="17"/>
              </w:rPr>
              <w:t>n/a</w:t>
            </w:r>
          </w:p>
        </w:tc>
        <w:tc>
          <w:tcPr>
            <w:tcW w:w="477" w:type="pct"/>
            <w:tcBorders>
              <w:top w:val="single" w:sz="4" w:space="0" w:color="auto"/>
              <w:left w:val="nil"/>
              <w:bottom w:val="single" w:sz="4" w:space="0" w:color="auto"/>
              <w:right w:val="single" w:sz="4" w:space="0" w:color="auto"/>
            </w:tcBorders>
            <w:shd w:val="clear" w:color="auto" w:fill="auto"/>
          </w:tcPr>
          <w:p w:rsidR="0010230A" w:rsidRPr="008F0E12" w:rsidRDefault="0010230A" w:rsidP="00DC1333">
            <w:pPr>
              <w:rPr>
                <w:color w:val="000000"/>
                <w:sz w:val="17"/>
                <w:szCs w:val="17"/>
              </w:rPr>
            </w:pPr>
            <w:r w:rsidRPr="008F0E12">
              <w:rPr>
                <w:color w:val="000000"/>
                <w:sz w:val="17"/>
                <w:szCs w:val="17"/>
              </w:rPr>
              <w:t>200.000</w:t>
            </w:r>
          </w:p>
        </w:tc>
        <w:tc>
          <w:tcPr>
            <w:tcW w:w="823" w:type="pct"/>
            <w:tcBorders>
              <w:top w:val="single" w:sz="4" w:space="0" w:color="auto"/>
              <w:left w:val="nil"/>
              <w:bottom w:val="single" w:sz="4" w:space="0" w:color="auto"/>
              <w:right w:val="single" w:sz="4" w:space="0" w:color="auto"/>
            </w:tcBorders>
            <w:shd w:val="clear" w:color="auto" w:fill="auto"/>
          </w:tcPr>
          <w:p w:rsidR="0010230A" w:rsidRPr="008F0E12" w:rsidRDefault="0010230A" w:rsidP="00DC1333">
            <w:pPr>
              <w:rPr>
                <w:color w:val="000000"/>
                <w:sz w:val="17"/>
                <w:szCs w:val="17"/>
              </w:rPr>
            </w:pPr>
          </w:p>
        </w:tc>
        <w:tc>
          <w:tcPr>
            <w:tcW w:w="869" w:type="pct"/>
            <w:tcBorders>
              <w:top w:val="single" w:sz="4" w:space="0" w:color="auto"/>
              <w:left w:val="nil"/>
              <w:bottom w:val="single" w:sz="4" w:space="0" w:color="auto"/>
              <w:right w:val="single" w:sz="4" w:space="0" w:color="auto"/>
            </w:tcBorders>
            <w:shd w:val="clear" w:color="auto" w:fill="auto"/>
          </w:tcPr>
          <w:p w:rsidR="0010230A" w:rsidRPr="008F0E12" w:rsidRDefault="0010230A" w:rsidP="00DC1333">
            <w:pPr>
              <w:rPr>
                <w:color w:val="000000"/>
                <w:sz w:val="17"/>
                <w:szCs w:val="17"/>
              </w:rPr>
            </w:pPr>
          </w:p>
        </w:tc>
        <w:tc>
          <w:tcPr>
            <w:tcW w:w="1167" w:type="pct"/>
            <w:tcBorders>
              <w:top w:val="single" w:sz="4" w:space="0" w:color="auto"/>
              <w:left w:val="nil"/>
              <w:bottom w:val="single" w:sz="4" w:space="0" w:color="auto"/>
              <w:right w:val="single" w:sz="4" w:space="0" w:color="auto"/>
            </w:tcBorders>
            <w:shd w:val="clear" w:color="auto" w:fill="auto"/>
          </w:tcPr>
          <w:p w:rsidR="0010230A" w:rsidRPr="008F0E12" w:rsidRDefault="0010230A" w:rsidP="00DC1333">
            <w:pPr>
              <w:rPr>
                <w:color w:val="000000"/>
                <w:sz w:val="17"/>
                <w:szCs w:val="17"/>
              </w:rPr>
            </w:pPr>
            <w:r>
              <w:rPr>
                <w:color w:val="000000"/>
                <w:sz w:val="17"/>
                <w:szCs w:val="17"/>
              </w:rPr>
              <w:t>La renegociación del contrato de seguro de accidentes profesionales ha dado lugar a unos ahorros que se cifran en 200.000 francos suizos en 2015.</w:t>
            </w:r>
          </w:p>
        </w:tc>
      </w:tr>
    </w:tbl>
    <w:p w:rsidR="0010230A" w:rsidRPr="008F0E12" w:rsidRDefault="0010230A" w:rsidP="00DC1333">
      <w:pPr>
        <w:rPr>
          <w:i/>
          <w:sz w:val="18"/>
          <w:szCs w:val="18"/>
        </w:rPr>
      </w:pPr>
    </w:p>
    <w:p w:rsidR="0010230A" w:rsidRPr="008F0E12" w:rsidRDefault="0010230A" w:rsidP="00DC1333">
      <w:pPr>
        <w:rPr>
          <w:i/>
          <w:sz w:val="18"/>
          <w:szCs w:val="18"/>
        </w:rPr>
      </w:pPr>
      <w:r w:rsidRPr="00C959A7">
        <w:rPr>
          <w:i/>
          <w:sz w:val="18"/>
          <w:szCs w:val="18"/>
        </w:rPr>
        <w:t>En caso de que las cifras no correspondan al total se deberá al redondeo de los importes.</w:t>
      </w:r>
    </w:p>
    <w:p w:rsidR="0010230A" w:rsidRPr="008F0E12" w:rsidRDefault="0010230A" w:rsidP="00DC1333">
      <w:pPr>
        <w:rPr>
          <w:i/>
          <w:sz w:val="18"/>
          <w:szCs w:val="18"/>
        </w:rPr>
      </w:pPr>
      <w:r w:rsidRPr="008F0E12">
        <w:rPr>
          <w:i/>
          <w:sz w:val="18"/>
          <w:szCs w:val="18"/>
        </w:rPr>
        <w:t>*</w:t>
      </w:r>
      <w:r>
        <w:rPr>
          <w:i/>
          <w:sz w:val="18"/>
          <w:szCs w:val="18"/>
        </w:rPr>
        <w:t xml:space="preserve">información facilitada según lo expuesto en el </w:t>
      </w:r>
      <w:r w:rsidRPr="008F0E12">
        <w:rPr>
          <w:i/>
          <w:sz w:val="18"/>
          <w:szCs w:val="18"/>
        </w:rPr>
        <w:t>document</w:t>
      </w:r>
      <w:r>
        <w:rPr>
          <w:i/>
          <w:sz w:val="18"/>
          <w:szCs w:val="18"/>
        </w:rPr>
        <w:t>o</w:t>
      </w:r>
      <w:r w:rsidRPr="008F0E12">
        <w:rPr>
          <w:i/>
          <w:sz w:val="18"/>
          <w:szCs w:val="18"/>
        </w:rPr>
        <w:t xml:space="preserve"> WO/PBC/23/COST EFFICIENCIES REALIZED IN 2014, </w:t>
      </w:r>
      <w:r>
        <w:rPr>
          <w:i/>
          <w:sz w:val="18"/>
          <w:szCs w:val="18"/>
        </w:rPr>
        <w:t xml:space="preserve">salvo que se indique lo contrario </w:t>
      </w:r>
    </w:p>
    <w:p w:rsidR="0010230A" w:rsidRPr="008F0E12" w:rsidRDefault="0010230A" w:rsidP="00DC1333">
      <w:pPr>
        <w:rPr>
          <w:i/>
          <w:sz w:val="18"/>
          <w:szCs w:val="18"/>
        </w:rPr>
      </w:pPr>
      <w:r w:rsidRPr="008F0E12">
        <w:rPr>
          <w:i/>
          <w:sz w:val="18"/>
          <w:szCs w:val="18"/>
        </w:rPr>
        <w:t>**</w:t>
      </w:r>
      <w:r>
        <w:rPr>
          <w:i/>
          <w:sz w:val="18"/>
          <w:szCs w:val="18"/>
        </w:rPr>
        <w:t xml:space="preserve">Ahorros anuales en </w:t>
      </w:r>
      <w:r w:rsidRPr="008F0E12">
        <w:rPr>
          <w:i/>
          <w:sz w:val="18"/>
          <w:szCs w:val="18"/>
        </w:rPr>
        <w:t xml:space="preserve">2015 </w:t>
      </w:r>
      <w:r>
        <w:rPr>
          <w:i/>
          <w:sz w:val="18"/>
          <w:szCs w:val="18"/>
        </w:rPr>
        <w:t xml:space="preserve">en comparación con </w:t>
      </w:r>
      <w:r w:rsidRPr="008F0E12">
        <w:rPr>
          <w:i/>
          <w:sz w:val="18"/>
          <w:szCs w:val="18"/>
        </w:rPr>
        <w:t>2013</w:t>
      </w:r>
    </w:p>
    <w:p w:rsidR="0010230A" w:rsidRPr="008F0E12" w:rsidRDefault="0010230A" w:rsidP="00DC1333">
      <w:pPr>
        <w:rPr>
          <w:i/>
          <w:sz w:val="18"/>
          <w:szCs w:val="18"/>
        </w:rPr>
      </w:pPr>
      <w:r w:rsidRPr="008F0E12">
        <w:rPr>
          <w:i/>
          <w:sz w:val="18"/>
          <w:szCs w:val="18"/>
        </w:rPr>
        <w:t>***</w:t>
      </w:r>
      <w:r>
        <w:rPr>
          <w:i/>
          <w:sz w:val="18"/>
          <w:szCs w:val="18"/>
        </w:rPr>
        <w:t xml:space="preserve">Cifras revisadas en abril de </w:t>
      </w:r>
      <w:r w:rsidRPr="008F0E12">
        <w:rPr>
          <w:i/>
          <w:sz w:val="18"/>
          <w:szCs w:val="18"/>
        </w:rPr>
        <w:t>2016</w:t>
      </w:r>
    </w:p>
    <w:p w:rsidR="0010230A" w:rsidRPr="008F0E12" w:rsidRDefault="0010230A" w:rsidP="00DC1333">
      <w:pPr>
        <w:jc w:val="center"/>
        <w:rPr>
          <w:b/>
          <w:sz w:val="18"/>
          <w:szCs w:val="18"/>
        </w:rPr>
      </w:pPr>
    </w:p>
    <w:p w:rsidR="0010230A" w:rsidRPr="008F0E12" w:rsidRDefault="0010230A" w:rsidP="00DC1333">
      <w:pPr>
        <w:jc w:val="center"/>
        <w:rPr>
          <w:b/>
          <w:sz w:val="18"/>
          <w:szCs w:val="18"/>
        </w:rPr>
      </w:pPr>
    </w:p>
    <w:p w:rsidR="0010230A" w:rsidRPr="008F0E12" w:rsidRDefault="0010230A" w:rsidP="00DC1333">
      <w:pPr>
        <w:jc w:val="center"/>
        <w:rPr>
          <w:b/>
          <w:sz w:val="18"/>
          <w:szCs w:val="18"/>
        </w:rPr>
      </w:pPr>
    </w:p>
    <w:p w:rsidR="0010230A" w:rsidRPr="008F0E12" w:rsidRDefault="0010230A" w:rsidP="00DC1333">
      <w:pPr>
        <w:keepNext/>
        <w:keepLines/>
        <w:jc w:val="center"/>
        <w:rPr>
          <w:sz w:val="20"/>
          <w:szCs w:val="18"/>
        </w:rPr>
      </w:pPr>
      <w:r>
        <w:rPr>
          <w:sz w:val="20"/>
          <w:szCs w:val="18"/>
        </w:rPr>
        <w:lastRenderedPageBreak/>
        <w:t>RECUPERACIONES DE COSTOS</w:t>
      </w:r>
      <w:r w:rsidRPr="008F0E12">
        <w:rPr>
          <w:sz w:val="20"/>
          <w:szCs w:val="18"/>
        </w:rPr>
        <w:t xml:space="preserve"> </w:t>
      </w:r>
      <w:r>
        <w:rPr>
          <w:sz w:val="20"/>
          <w:szCs w:val="18"/>
        </w:rPr>
        <w:t>E</w:t>
      </w:r>
      <w:r w:rsidRPr="008F0E12">
        <w:rPr>
          <w:sz w:val="20"/>
          <w:szCs w:val="18"/>
        </w:rPr>
        <w:t>N 2014/15</w:t>
      </w:r>
    </w:p>
    <w:p w:rsidR="0010230A" w:rsidRPr="008F0E12" w:rsidRDefault="0010230A" w:rsidP="00DC1333">
      <w:pPr>
        <w:keepNext/>
        <w:keepLines/>
        <w:jc w:val="center"/>
        <w:rPr>
          <w:sz w:val="18"/>
          <w:szCs w:val="18"/>
        </w:rPr>
      </w:pPr>
    </w:p>
    <w:p w:rsidR="0010230A" w:rsidRPr="008F0E12" w:rsidRDefault="0010230A" w:rsidP="00DC1333">
      <w:pPr>
        <w:keepNext/>
        <w:keepLines/>
        <w:jc w:val="center"/>
        <w:rPr>
          <w:b/>
          <w:sz w:val="18"/>
          <w:szCs w:val="18"/>
        </w:rPr>
      </w:pPr>
    </w:p>
    <w:tbl>
      <w:tblPr>
        <w:tblW w:w="5086" w:type="pct"/>
        <w:tblInd w:w="-176" w:type="dxa"/>
        <w:tblCellMar>
          <w:top w:w="85" w:type="dxa"/>
        </w:tblCellMar>
        <w:tblLook w:val="04A0" w:firstRow="1" w:lastRow="0" w:firstColumn="1" w:lastColumn="0" w:noHBand="0" w:noVBand="1"/>
      </w:tblPr>
      <w:tblGrid>
        <w:gridCol w:w="1674"/>
        <w:gridCol w:w="1058"/>
        <w:gridCol w:w="1116"/>
        <w:gridCol w:w="1395"/>
        <w:gridCol w:w="1397"/>
        <w:gridCol w:w="1759"/>
        <w:gridCol w:w="1337"/>
      </w:tblGrid>
      <w:tr w:rsidR="0010230A" w:rsidRPr="008F0E12" w:rsidTr="00DC1333">
        <w:trPr>
          <w:trHeight w:val="765"/>
        </w:trPr>
        <w:tc>
          <w:tcPr>
            <w:tcW w:w="867" w:type="pct"/>
            <w:tcBorders>
              <w:top w:val="single" w:sz="4" w:space="0" w:color="auto"/>
              <w:left w:val="single" w:sz="4" w:space="0" w:color="auto"/>
              <w:bottom w:val="nil"/>
              <w:right w:val="single" w:sz="4" w:space="0" w:color="auto"/>
            </w:tcBorders>
            <w:shd w:val="clear" w:color="000000" w:fill="8DB4E2"/>
            <w:vAlign w:val="center"/>
            <w:hideMark/>
          </w:tcPr>
          <w:p w:rsidR="0010230A" w:rsidRPr="008F0E12" w:rsidRDefault="0010230A" w:rsidP="00DC1333">
            <w:pPr>
              <w:keepNext/>
              <w:keepLines/>
              <w:jc w:val="center"/>
              <w:rPr>
                <w:b/>
                <w:bCs/>
                <w:color w:val="000000"/>
                <w:sz w:val="18"/>
                <w:szCs w:val="18"/>
              </w:rPr>
            </w:pPr>
            <w:r>
              <w:rPr>
                <w:b/>
                <w:bCs/>
                <w:color w:val="000000"/>
                <w:sz w:val="18"/>
                <w:szCs w:val="18"/>
              </w:rPr>
              <w:t>Recuperación de costos</w:t>
            </w:r>
          </w:p>
          <w:p w:rsidR="0010230A" w:rsidRPr="008F0E12" w:rsidRDefault="0010230A" w:rsidP="00DC1333">
            <w:pPr>
              <w:keepNext/>
              <w:keepLines/>
              <w:jc w:val="center"/>
              <w:rPr>
                <w:b/>
                <w:bCs/>
                <w:color w:val="000000"/>
                <w:sz w:val="18"/>
                <w:szCs w:val="18"/>
              </w:rPr>
            </w:pPr>
          </w:p>
          <w:p w:rsidR="0010230A" w:rsidRPr="008F0E12" w:rsidRDefault="0010230A" w:rsidP="00DC1333">
            <w:pPr>
              <w:keepNext/>
              <w:keepLines/>
              <w:jc w:val="center"/>
              <w:rPr>
                <w:b/>
                <w:bCs/>
                <w:color w:val="000000"/>
                <w:sz w:val="18"/>
                <w:szCs w:val="18"/>
              </w:rPr>
            </w:pPr>
          </w:p>
          <w:p w:rsidR="0010230A" w:rsidRPr="008F0E12" w:rsidRDefault="0010230A" w:rsidP="00DC1333">
            <w:pPr>
              <w:keepNext/>
              <w:keepLines/>
              <w:jc w:val="center"/>
              <w:rPr>
                <w:b/>
                <w:bCs/>
                <w:color w:val="000000"/>
                <w:sz w:val="18"/>
                <w:szCs w:val="18"/>
              </w:rPr>
            </w:pPr>
          </w:p>
          <w:p w:rsidR="0010230A" w:rsidRPr="008F0E12" w:rsidRDefault="0010230A" w:rsidP="00DC1333">
            <w:pPr>
              <w:keepNext/>
              <w:keepLines/>
              <w:jc w:val="center"/>
              <w:rPr>
                <w:b/>
                <w:bCs/>
                <w:color w:val="000000"/>
                <w:sz w:val="18"/>
                <w:szCs w:val="18"/>
              </w:rPr>
            </w:pPr>
          </w:p>
          <w:p w:rsidR="0010230A" w:rsidRPr="008F0E12" w:rsidRDefault="0010230A" w:rsidP="00DC1333">
            <w:pPr>
              <w:keepNext/>
              <w:keepLines/>
              <w:jc w:val="center"/>
              <w:rPr>
                <w:b/>
                <w:bCs/>
                <w:color w:val="000000"/>
                <w:sz w:val="18"/>
                <w:szCs w:val="18"/>
              </w:rPr>
            </w:pPr>
          </w:p>
          <w:p w:rsidR="0010230A" w:rsidRPr="008F0E12" w:rsidRDefault="0010230A" w:rsidP="00DC1333">
            <w:pPr>
              <w:keepNext/>
              <w:keepLines/>
              <w:jc w:val="center"/>
              <w:rPr>
                <w:b/>
                <w:bCs/>
                <w:color w:val="000000"/>
                <w:sz w:val="18"/>
                <w:szCs w:val="18"/>
              </w:rPr>
            </w:pPr>
            <w:r w:rsidRPr="008F0E12">
              <w:rPr>
                <w:b/>
                <w:bCs/>
                <w:color w:val="000000"/>
                <w:sz w:val="18"/>
                <w:szCs w:val="18"/>
              </w:rPr>
              <w:t>A</w:t>
            </w:r>
          </w:p>
        </w:tc>
        <w:tc>
          <w:tcPr>
            <w:tcW w:w="550" w:type="pct"/>
            <w:tcBorders>
              <w:top w:val="single" w:sz="4" w:space="0" w:color="auto"/>
              <w:left w:val="nil"/>
              <w:bottom w:val="nil"/>
              <w:right w:val="single" w:sz="4" w:space="0" w:color="auto"/>
            </w:tcBorders>
            <w:shd w:val="clear" w:color="000000" w:fill="8DB4E2"/>
            <w:vAlign w:val="center"/>
            <w:hideMark/>
          </w:tcPr>
          <w:p w:rsidR="0010230A" w:rsidRPr="00E01533" w:rsidRDefault="0010230A" w:rsidP="00DC1333">
            <w:pPr>
              <w:keepNext/>
              <w:keepLines/>
              <w:jc w:val="center"/>
              <w:rPr>
                <w:b/>
                <w:bCs/>
                <w:color w:val="000000"/>
                <w:sz w:val="18"/>
                <w:szCs w:val="18"/>
              </w:rPr>
            </w:pPr>
            <w:r w:rsidRPr="00E01533">
              <w:rPr>
                <w:b/>
                <w:bCs/>
                <w:color w:val="000000"/>
                <w:sz w:val="18"/>
                <w:szCs w:val="18"/>
              </w:rPr>
              <w:t xml:space="preserve">2014 </w:t>
            </w:r>
            <w:r w:rsidRPr="00E01533">
              <w:rPr>
                <w:b/>
                <w:bCs/>
                <w:color w:val="000000"/>
                <w:sz w:val="18"/>
                <w:szCs w:val="18"/>
              </w:rPr>
              <w:br/>
              <w:t>Ahorros anuales</w:t>
            </w:r>
          </w:p>
          <w:p w:rsidR="0010230A" w:rsidRPr="00E01533" w:rsidRDefault="0010230A" w:rsidP="00DC1333">
            <w:pPr>
              <w:keepNext/>
              <w:keepLines/>
              <w:jc w:val="center"/>
              <w:rPr>
                <w:b/>
                <w:bCs/>
                <w:color w:val="000000"/>
                <w:sz w:val="18"/>
                <w:szCs w:val="18"/>
              </w:rPr>
            </w:pPr>
            <w:r w:rsidRPr="00E01533">
              <w:rPr>
                <w:b/>
                <w:bCs/>
                <w:color w:val="000000"/>
                <w:sz w:val="18"/>
                <w:szCs w:val="18"/>
              </w:rPr>
              <w:t>(francos suizos)*</w:t>
            </w:r>
          </w:p>
          <w:p w:rsidR="0010230A" w:rsidRPr="008F0E12" w:rsidRDefault="0010230A" w:rsidP="00DC1333">
            <w:pPr>
              <w:keepNext/>
              <w:keepLines/>
              <w:jc w:val="center"/>
              <w:rPr>
                <w:b/>
                <w:bCs/>
                <w:color w:val="000000"/>
                <w:sz w:val="18"/>
                <w:szCs w:val="18"/>
              </w:rPr>
            </w:pPr>
          </w:p>
          <w:p w:rsidR="0010230A" w:rsidRPr="008F0E12" w:rsidRDefault="0010230A" w:rsidP="00DC1333">
            <w:pPr>
              <w:keepNext/>
              <w:keepLines/>
              <w:jc w:val="center"/>
              <w:rPr>
                <w:b/>
                <w:bCs/>
                <w:color w:val="000000"/>
                <w:sz w:val="18"/>
                <w:szCs w:val="18"/>
              </w:rPr>
            </w:pPr>
            <w:r w:rsidRPr="008F0E12">
              <w:rPr>
                <w:b/>
                <w:bCs/>
                <w:color w:val="000000"/>
                <w:sz w:val="18"/>
                <w:szCs w:val="18"/>
              </w:rPr>
              <w:t>B</w:t>
            </w:r>
          </w:p>
        </w:tc>
        <w:tc>
          <w:tcPr>
            <w:tcW w:w="580" w:type="pct"/>
            <w:tcBorders>
              <w:top w:val="single" w:sz="4" w:space="0" w:color="auto"/>
              <w:left w:val="nil"/>
              <w:bottom w:val="nil"/>
              <w:right w:val="single" w:sz="4" w:space="0" w:color="auto"/>
            </w:tcBorders>
            <w:shd w:val="clear" w:color="000000" w:fill="8DB4E2"/>
            <w:vAlign w:val="center"/>
            <w:hideMark/>
          </w:tcPr>
          <w:p w:rsidR="0010230A" w:rsidRPr="00E01533" w:rsidRDefault="0010230A" w:rsidP="00DC1333">
            <w:pPr>
              <w:keepNext/>
              <w:keepLines/>
              <w:jc w:val="center"/>
              <w:rPr>
                <w:b/>
                <w:bCs/>
                <w:color w:val="000000"/>
                <w:sz w:val="18"/>
                <w:szCs w:val="18"/>
              </w:rPr>
            </w:pPr>
            <w:r>
              <w:rPr>
                <w:b/>
                <w:bCs/>
                <w:color w:val="000000"/>
                <w:sz w:val="18"/>
                <w:szCs w:val="18"/>
              </w:rPr>
              <w:t>2015</w:t>
            </w:r>
            <w:r w:rsidRPr="00E01533">
              <w:rPr>
                <w:b/>
                <w:bCs/>
                <w:color w:val="000000"/>
                <w:sz w:val="18"/>
                <w:szCs w:val="18"/>
              </w:rPr>
              <w:br/>
              <w:t>Ahorros anuales</w:t>
            </w:r>
          </w:p>
          <w:p w:rsidR="0010230A" w:rsidRPr="00E01533" w:rsidRDefault="0010230A" w:rsidP="00DC1333">
            <w:pPr>
              <w:keepNext/>
              <w:keepLines/>
              <w:jc w:val="center"/>
              <w:rPr>
                <w:b/>
                <w:bCs/>
                <w:color w:val="000000"/>
                <w:sz w:val="18"/>
                <w:szCs w:val="18"/>
              </w:rPr>
            </w:pPr>
            <w:r w:rsidRPr="00E01533">
              <w:rPr>
                <w:b/>
                <w:bCs/>
                <w:color w:val="000000"/>
                <w:sz w:val="18"/>
                <w:szCs w:val="18"/>
              </w:rPr>
              <w:t>(francos suizos</w:t>
            </w:r>
            <w:r>
              <w:rPr>
                <w:b/>
                <w:bCs/>
                <w:color w:val="000000"/>
                <w:sz w:val="18"/>
                <w:szCs w:val="18"/>
              </w:rPr>
              <w:t>)</w:t>
            </w:r>
          </w:p>
          <w:p w:rsidR="0010230A" w:rsidRPr="008F0E12" w:rsidRDefault="0010230A" w:rsidP="00DC1333">
            <w:pPr>
              <w:keepNext/>
              <w:keepLines/>
              <w:jc w:val="center"/>
              <w:rPr>
                <w:b/>
                <w:bCs/>
                <w:color w:val="000000"/>
                <w:sz w:val="18"/>
                <w:szCs w:val="18"/>
              </w:rPr>
            </w:pPr>
          </w:p>
          <w:p w:rsidR="0010230A" w:rsidRPr="008F0E12" w:rsidRDefault="0010230A" w:rsidP="00DC1333">
            <w:pPr>
              <w:keepNext/>
              <w:keepLines/>
              <w:jc w:val="center"/>
              <w:rPr>
                <w:b/>
                <w:bCs/>
                <w:color w:val="000000"/>
                <w:sz w:val="18"/>
                <w:szCs w:val="18"/>
              </w:rPr>
            </w:pPr>
            <w:r w:rsidRPr="008F0E12">
              <w:rPr>
                <w:b/>
                <w:bCs/>
                <w:color w:val="000000"/>
                <w:sz w:val="18"/>
                <w:szCs w:val="18"/>
              </w:rPr>
              <w:t>C</w:t>
            </w:r>
          </w:p>
        </w:tc>
        <w:tc>
          <w:tcPr>
            <w:tcW w:w="723" w:type="pct"/>
            <w:tcBorders>
              <w:top w:val="single" w:sz="4" w:space="0" w:color="auto"/>
              <w:left w:val="nil"/>
              <w:bottom w:val="nil"/>
              <w:right w:val="single" w:sz="4" w:space="0" w:color="auto"/>
            </w:tcBorders>
            <w:shd w:val="clear" w:color="000000" w:fill="8DB4E2"/>
            <w:vAlign w:val="center"/>
            <w:hideMark/>
          </w:tcPr>
          <w:p w:rsidR="0010230A" w:rsidRPr="008F0E12" w:rsidRDefault="0010230A" w:rsidP="00DC1333">
            <w:pPr>
              <w:keepNext/>
              <w:keepLines/>
              <w:jc w:val="center"/>
              <w:rPr>
                <w:b/>
                <w:bCs/>
                <w:color w:val="000000"/>
                <w:sz w:val="18"/>
                <w:szCs w:val="18"/>
              </w:rPr>
            </w:pPr>
            <w:r>
              <w:rPr>
                <w:b/>
                <w:bCs/>
                <w:color w:val="000000"/>
                <w:sz w:val="18"/>
                <w:szCs w:val="18"/>
              </w:rPr>
              <w:t xml:space="preserve">Desglose de costos en </w:t>
            </w:r>
            <w:r w:rsidRPr="008F0E12">
              <w:rPr>
                <w:b/>
                <w:bCs/>
                <w:color w:val="000000"/>
                <w:sz w:val="18"/>
                <w:szCs w:val="18"/>
              </w:rPr>
              <w:t>2014*</w:t>
            </w:r>
            <w:r w:rsidRPr="008F0E12">
              <w:rPr>
                <w:b/>
                <w:bCs/>
                <w:color w:val="000000"/>
                <w:sz w:val="18"/>
                <w:szCs w:val="18"/>
              </w:rPr>
              <w:br/>
              <w:t>(</w:t>
            </w:r>
            <w:r>
              <w:rPr>
                <w:b/>
                <w:bCs/>
                <w:color w:val="000000"/>
                <w:sz w:val="18"/>
                <w:szCs w:val="18"/>
              </w:rPr>
              <w:t>francos suizos</w:t>
            </w:r>
            <w:r w:rsidRPr="008F0E12">
              <w:rPr>
                <w:b/>
                <w:bCs/>
                <w:color w:val="000000"/>
                <w:sz w:val="18"/>
                <w:szCs w:val="18"/>
              </w:rPr>
              <w:t>)</w:t>
            </w:r>
          </w:p>
          <w:p w:rsidR="0010230A" w:rsidRPr="008F0E12" w:rsidRDefault="0010230A" w:rsidP="00DC1333">
            <w:pPr>
              <w:keepNext/>
              <w:keepLines/>
              <w:jc w:val="center"/>
              <w:rPr>
                <w:b/>
                <w:bCs/>
                <w:color w:val="000000"/>
                <w:sz w:val="18"/>
                <w:szCs w:val="18"/>
              </w:rPr>
            </w:pPr>
          </w:p>
          <w:p w:rsidR="0010230A" w:rsidRPr="008F0E12" w:rsidRDefault="0010230A" w:rsidP="00DC1333">
            <w:pPr>
              <w:keepNext/>
              <w:keepLines/>
              <w:jc w:val="center"/>
              <w:rPr>
                <w:b/>
                <w:bCs/>
                <w:color w:val="000000"/>
                <w:sz w:val="18"/>
                <w:szCs w:val="18"/>
              </w:rPr>
            </w:pPr>
            <w:r w:rsidRPr="008F0E12">
              <w:rPr>
                <w:b/>
                <w:bCs/>
                <w:color w:val="000000"/>
                <w:sz w:val="18"/>
                <w:szCs w:val="18"/>
              </w:rPr>
              <w:t>D</w:t>
            </w:r>
          </w:p>
        </w:tc>
        <w:tc>
          <w:tcPr>
            <w:tcW w:w="724" w:type="pct"/>
            <w:tcBorders>
              <w:top w:val="single" w:sz="4" w:space="0" w:color="auto"/>
              <w:left w:val="nil"/>
              <w:bottom w:val="nil"/>
              <w:right w:val="single" w:sz="4" w:space="0" w:color="auto"/>
            </w:tcBorders>
            <w:shd w:val="clear" w:color="000000" w:fill="8DB4E2"/>
            <w:vAlign w:val="center"/>
            <w:hideMark/>
          </w:tcPr>
          <w:p w:rsidR="0010230A" w:rsidRPr="008F0E12" w:rsidRDefault="0010230A" w:rsidP="00DC1333">
            <w:pPr>
              <w:keepNext/>
              <w:keepLines/>
              <w:jc w:val="center"/>
              <w:rPr>
                <w:b/>
                <w:bCs/>
                <w:color w:val="000000"/>
                <w:sz w:val="18"/>
                <w:szCs w:val="18"/>
              </w:rPr>
            </w:pPr>
            <w:r>
              <w:rPr>
                <w:b/>
                <w:bCs/>
                <w:color w:val="000000"/>
                <w:sz w:val="18"/>
                <w:szCs w:val="18"/>
              </w:rPr>
              <w:t xml:space="preserve">Desglose de costos en </w:t>
            </w:r>
            <w:r w:rsidRPr="008F0E12">
              <w:rPr>
                <w:b/>
                <w:bCs/>
                <w:color w:val="000000"/>
                <w:sz w:val="18"/>
                <w:szCs w:val="18"/>
              </w:rPr>
              <w:t>2015</w:t>
            </w:r>
            <w:r w:rsidRPr="008F0E12">
              <w:rPr>
                <w:b/>
                <w:bCs/>
                <w:color w:val="000000"/>
                <w:sz w:val="18"/>
                <w:szCs w:val="18"/>
              </w:rPr>
              <w:br/>
              <w:t>(</w:t>
            </w:r>
            <w:r>
              <w:rPr>
                <w:b/>
                <w:bCs/>
                <w:color w:val="000000"/>
                <w:sz w:val="18"/>
                <w:szCs w:val="18"/>
              </w:rPr>
              <w:t>francos suizos</w:t>
            </w:r>
            <w:r w:rsidRPr="008F0E12">
              <w:rPr>
                <w:b/>
                <w:bCs/>
                <w:color w:val="000000"/>
                <w:sz w:val="18"/>
                <w:szCs w:val="18"/>
              </w:rPr>
              <w:t>)</w:t>
            </w:r>
          </w:p>
          <w:p w:rsidR="0010230A" w:rsidRPr="008F0E12" w:rsidRDefault="0010230A" w:rsidP="00DC1333">
            <w:pPr>
              <w:keepNext/>
              <w:keepLines/>
              <w:jc w:val="center"/>
              <w:rPr>
                <w:b/>
                <w:bCs/>
                <w:color w:val="000000"/>
                <w:sz w:val="18"/>
                <w:szCs w:val="18"/>
              </w:rPr>
            </w:pPr>
          </w:p>
          <w:p w:rsidR="0010230A" w:rsidRPr="008F0E12" w:rsidRDefault="0010230A" w:rsidP="00DC1333">
            <w:pPr>
              <w:keepNext/>
              <w:keepLines/>
              <w:jc w:val="center"/>
              <w:rPr>
                <w:b/>
                <w:bCs/>
                <w:color w:val="000000"/>
                <w:sz w:val="18"/>
                <w:szCs w:val="18"/>
              </w:rPr>
            </w:pPr>
            <w:r w:rsidRPr="008F0E12">
              <w:rPr>
                <w:b/>
                <w:bCs/>
                <w:color w:val="000000"/>
                <w:sz w:val="18"/>
                <w:szCs w:val="18"/>
              </w:rPr>
              <w:t>E</w:t>
            </w:r>
          </w:p>
        </w:tc>
        <w:tc>
          <w:tcPr>
            <w:tcW w:w="898" w:type="pct"/>
            <w:tcBorders>
              <w:top w:val="single" w:sz="4" w:space="0" w:color="auto"/>
              <w:left w:val="nil"/>
              <w:bottom w:val="nil"/>
              <w:right w:val="single" w:sz="4" w:space="0" w:color="auto"/>
            </w:tcBorders>
            <w:shd w:val="clear" w:color="000000" w:fill="8DB4E2"/>
            <w:vAlign w:val="center"/>
            <w:hideMark/>
          </w:tcPr>
          <w:p w:rsidR="0010230A" w:rsidRPr="008F0E12" w:rsidRDefault="0010230A" w:rsidP="00DC1333">
            <w:pPr>
              <w:keepNext/>
              <w:keepLines/>
              <w:jc w:val="center"/>
              <w:rPr>
                <w:b/>
                <w:bCs/>
                <w:color w:val="000000"/>
                <w:sz w:val="18"/>
                <w:szCs w:val="18"/>
              </w:rPr>
            </w:pPr>
            <w:r>
              <w:rPr>
                <w:b/>
                <w:bCs/>
                <w:color w:val="000000"/>
                <w:sz w:val="18"/>
                <w:szCs w:val="18"/>
              </w:rPr>
              <w:t>Nota</w:t>
            </w:r>
            <w:r w:rsidRPr="008F0E12">
              <w:rPr>
                <w:b/>
                <w:bCs/>
                <w:color w:val="000000"/>
                <w:sz w:val="18"/>
                <w:szCs w:val="18"/>
              </w:rPr>
              <w:t>s</w:t>
            </w:r>
          </w:p>
          <w:p w:rsidR="0010230A" w:rsidRPr="008F0E12" w:rsidRDefault="0010230A" w:rsidP="00DC1333">
            <w:pPr>
              <w:keepNext/>
              <w:keepLines/>
              <w:jc w:val="center"/>
              <w:rPr>
                <w:b/>
                <w:bCs/>
                <w:color w:val="000000"/>
                <w:sz w:val="18"/>
                <w:szCs w:val="18"/>
              </w:rPr>
            </w:pPr>
          </w:p>
          <w:p w:rsidR="0010230A" w:rsidRPr="008F0E12" w:rsidRDefault="0010230A" w:rsidP="00DC1333">
            <w:pPr>
              <w:keepNext/>
              <w:keepLines/>
              <w:jc w:val="center"/>
              <w:rPr>
                <w:b/>
                <w:bCs/>
                <w:color w:val="000000"/>
                <w:sz w:val="18"/>
                <w:szCs w:val="18"/>
              </w:rPr>
            </w:pPr>
          </w:p>
          <w:p w:rsidR="0010230A" w:rsidRPr="008F0E12" w:rsidRDefault="0010230A" w:rsidP="00DC1333">
            <w:pPr>
              <w:keepNext/>
              <w:keepLines/>
              <w:jc w:val="center"/>
              <w:rPr>
                <w:b/>
                <w:bCs/>
                <w:color w:val="000000"/>
                <w:sz w:val="18"/>
                <w:szCs w:val="18"/>
              </w:rPr>
            </w:pPr>
          </w:p>
          <w:p w:rsidR="0010230A" w:rsidRPr="008F0E12" w:rsidRDefault="0010230A" w:rsidP="00DC1333">
            <w:pPr>
              <w:keepNext/>
              <w:keepLines/>
              <w:jc w:val="center"/>
              <w:rPr>
                <w:b/>
                <w:bCs/>
                <w:color w:val="000000"/>
                <w:sz w:val="18"/>
                <w:szCs w:val="18"/>
              </w:rPr>
            </w:pPr>
          </w:p>
          <w:p w:rsidR="0010230A" w:rsidRPr="008F0E12" w:rsidRDefault="0010230A" w:rsidP="00DC1333">
            <w:pPr>
              <w:keepNext/>
              <w:keepLines/>
              <w:jc w:val="center"/>
              <w:rPr>
                <w:b/>
                <w:bCs/>
                <w:color w:val="000000"/>
                <w:sz w:val="18"/>
                <w:szCs w:val="18"/>
              </w:rPr>
            </w:pPr>
          </w:p>
          <w:p w:rsidR="0010230A" w:rsidRPr="008F0E12" w:rsidRDefault="0010230A" w:rsidP="00DC1333">
            <w:pPr>
              <w:keepNext/>
              <w:keepLines/>
              <w:jc w:val="center"/>
              <w:rPr>
                <w:b/>
                <w:bCs/>
                <w:color w:val="000000"/>
                <w:sz w:val="18"/>
                <w:szCs w:val="18"/>
              </w:rPr>
            </w:pPr>
            <w:r w:rsidRPr="008F0E12">
              <w:rPr>
                <w:b/>
                <w:bCs/>
                <w:color w:val="000000"/>
                <w:sz w:val="18"/>
                <w:szCs w:val="18"/>
              </w:rPr>
              <w:t>F</w:t>
            </w:r>
          </w:p>
        </w:tc>
        <w:tc>
          <w:tcPr>
            <w:tcW w:w="657" w:type="pct"/>
            <w:tcBorders>
              <w:top w:val="single" w:sz="4" w:space="0" w:color="auto"/>
              <w:left w:val="nil"/>
              <w:bottom w:val="nil"/>
              <w:right w:val="single" w:sz="4" w:space="0" w:color="auto"/>
            </w:tcBorders>
            <w:shd w:val="clear" w:color="000000" w:fill="8DB4E2"/>
            <w:vAlign w:val="center"/>
            <w:hideMark/>
          </w:tcPr>
          <w:p w:rsidR="0010230A" w:rsidRPr="008F0E12" w:rsidRDefault="0010230A" w:rsidP="00DC1333">
            <w:pPr>
              <w:keepNext/>
              <w:keepLines/>
              <w:jc w:val="center"/>
              <w:rPr>
                <w:b/>
                <w:bCs/>
                <w:color w:val="000000"/>
                <w:sz w:val="18"/>
                <w:szCs w:val="18"/>
              </w:rPr>
            </w:pPr>
            <w:r>
              <w:rPr>
                <w:b/>
                <w:bCs/>
                <w:color w:val="000000"/>
                <w:sz w:val="18"/>
                <w:szCs w:val="18"/>
              </w:rPr>
              <w:t>Dependencia a cargo</w:t>
            </w:r>
          </w:p>
          <w:p w:rsidR="0010230A" w:rsidRPr="008F0E12" w:rsidRDefault="0010230A" w:rsidP="00DC1333">
            <w:pPr>
              <w:keepNext/>
              <w:keepLines/>
              <w:jc w:val="center"/>
              <w:rPr>
                <w:b/>
                <w:bCs/>
                <w:color w:val="000000"/>
                <w:sz w:val="18"/>
                <w:szCs w:val="18"/>
              </w:rPr>
            </w:pPr>
          </w:p>
          <w:p w:rsidR="0010230A" w:rsidRPr="008F0E12" w:rsidRDefault="0010230A" w:rsidP="00DC1333">
            <w:pPr>
              <w:keepNext/>
              <w:keepLines/>
              <w:jc w:val="center"/>
              <w:rPr>
                <w:b/>
                <w:bCs/>
                <w:color w:val="000000"/>
                <w:sz w:val="18"/>
                <w:szCs w:val="18"/>
              </w:rPr>
            </w:pPr>
          </w:p>
          <w:p w:rsidR="0010230A" w:rsidRPr="008F0E12" w:rsidRDefault="0010230A" w:rsidP="00DC1333">
            <w:pPr>
              <w:keepNext/>
              <w:keepLines/>
              <w:jc w:val="center"/>
              <w:rPr>
                <w:b/>
                <w:bCs/>
                <w:color w:val="000000"/>
                <w:sz w:val="18"/>
                <w:szCs w:val="18"/>
              </w:rPr>
            </w:pPr>
          </w:p>
          <w:p w:rsidR="0010230A" w:rsidRPr="008F0E12" w:rsidRDefault="0010230A" w:rsidP="00DC1333">
            <w:pPr>
              <w:keepNext/>
              <w:keepLines/>
              <w:jc w:val="center"/>
              <w:rPr>
                <w:b/>
                <w:bCs/>
                <w:color w:val="000000"/>
                <w:sz w:val="18"/>
                <w:szCs w:val="18"/>
              </w:rPr>
            </w:pPr>
          </w:p>
          <w:p w:rsidR="0010230A" w:rsidRPr="008F0E12" w:rsidRDefault="0010230A" w:rsidP="00DC1333">
            <w:pPr>
              <w:keepNext/>
              <w:keepLines/>
              <w:jc w:val="center"/>
              <w:rPr>
                <w:b/>
                <w:bCs/>
                <w:color w:val="000000"/>
                <w:sz w:val="18"/>
                <w:szCs w:val="18"/>
              </w:rPr>
            </w:pPr>
            <w:r w:rsidRPr="008F0E12">
              <w:rPr>
                <w:b/>
                <w:bCs/>
                <w:color w:val="000000"/>
                <w:sz w:val="18"/>
                <w:szCs w:val="18"/>
              </w:rPr>
              <w:t>G</w:t>
            </w:r>
          </w:p>
        </w:tc>
      </w:tr>
      <w:tr w:rsidR="0010230A" w:rsidRPr="00D512B8" w:rsidTr="00DC1333">
        <w:trPr>
          <w:trHeight w:val="1785"/>
        </w:trPr>
        <w:tc>
          <w:tcPr>
            <w:tcW w:w="867" w:type="pct"/>
            <w:tcBorders>
              <w:top w:val="single" w:sz="4" w:space="0" w:color="auto"/>
              <w:left w:val="single" w:sz="4" w:space="0" w:color="auto"/>
              <w:bottom w:val="single" w:sz="4" w:space="0" w:color="auto"/>
              <w:right w:val="single" w:sz="4" w:space="0" w:color="auto"/>
            </w:tcBorders>
            <w:shd w:val="clear" w:color="auto" w:fill="auto"/>
            <w:hideMark/>
          </w:tcPr>
          <w:p w:rsidR="0010230A" w:rsidRPr="008F0E12" w:rsidRDefault="0010230A" w:rsidP="00DC1333">
            <w:pPr>
              <w:keepNext/>
              <w:keepLines/>
              <w:rPr>
                <w:color w:val="000000"/>
                <w:sz w:val="17"/>
                <w:szCs w:val="17"/>
              </w:rPr>
            </w:pPr>
            <w:r>
              <w:rPr>
                <w:color w:val="000000"/>
                <w:sz w:val="17"/>
                <w:szCs w:val="17"/>
              </w:rPr>
              <w:t>Ingresos generados por el alquiler de locales de la OMPI a otras entidades</w:t>
            </w:r>
            <w:r w:rsidRPr="008F0E12">
              <w:rPr>
                <w:color w:val="000000"/>
                <w:sz w:val="17"/>
                <w:szCs w:val="17"/>
              </w:rPr>
              <w:t>**</w:t>
            </w:r>
          </w:p>
        </w:tc>
        <w:tc>
          <w:tcPr>
            <w:tcW w:w="550" w:type="pct"/>
            <w:tcBorders>
              <w:top w:val="single" w:sz="4" w:space="0" w:color="auto"/>
              <w:left w:val="nil"/>
              <w:bottom w:val="single" w:sz="4" w:space="0" w:color="auto"/>
              <w:right w:val="single" w:sz="4" w:space="0" w:color="auto"/>
            </w:tcBorders>
            <w:shd w:val="clear" w:color="auto" w:fill="auto"/>
            <w:hideMark/>
          </w:tcPr>
          <w:p w:rsidR="0010230A" w:rsidRPr="008F0E12" w:rsidRDefault="0010230A" w:rsidP="00DC1333">
            <w:pPr>
              <w:keepNext/>
              <w:keepLines/>
              <w:rPr>
                <w:color w:val="000000"/>
                <w:sz w:val="17"/>
                <w:szCs w:val="17"/>
              </w:rPr>
            </w:pPr>
            <w:r w:rsidRPr="008F0E12">
              <w:rPr>
                <w:color w:val="000000"/>
                <w:sz w:val="17"/>
                <w:szCs w:val="17"/>
              </w:rPr>
              <w:t>195.000</w:t>
            </w:r>
          </w:p>
        </w:tc>
        <w:tc>
          <w:tcPr>
            <w:tcW w:w="580" w:type="pct"/>
            <w:tcBorders>
              <w:top w:val="single" w:sz="4" w:space="0" w:color="auto"/>
              <w:left w:val="nil"/>
              <w:bottom w:val="single" w:sz="4" w:space="0" w:color="auto"/>
              <w:right w:val="single" w:sz="4" w:space="0" w:color="auto"/>
            </w:tcBorders>
            <w:shd w:val="clear" w:color="auto" w:fill="auto"/>
            <w:hideMark/>
          </w:tcPr>
          <w:p w:rsidR="0010230A" w:rsidRPr="008F0E12" w:rsidRDefault="0010230A" w:rsidP="00DC1333">
            <w:pPr>
              <w:keepNext/>
              <w:keepLines/>
              <w:rPr>
                <w:sz w:val="17"/>
                <w:szCs w:val="17"/>
              </w:rPr>
            </w:pPr>
            <w:r w:rsidRPr="008F0E12">
              <w:rPr>
                <w:color w:val="000000"/>
                <w:sz w:val="17"/>
                <w:szCs w:val="17"/>
              </w:rPr>
              <w:t> 195.000</w:t>
            </w:r>
          </w:p>
          <w:p w:rsidR="0010230A" w:rsidRPr="008F0E12" w:rsidRDefault="0010230A" w:rsidP="00DC1333">
            <w:pPr>
              <w:keepNext/>
              <w:keepLines/>
              <w:rPr>
                <w:color w:val="000000"/>
                <w:sz w:val="17"/>
                <w:szCs w:val="17"/>
              </w:rPr>
            </w:pPr>
          </w:p>
        </w:tc>
        <w:tc>
          <w:tcPr>
            <w:tcW w:w="723" w:type="pct"/>
            <w:tcBorders>
              <w:top w:val="single" w:sz="4" w:space="0" w:color="auto"/>
              <w:left w:val="nil"/>
              <w:bottom w:val="single" w:sz="4" w:space="0" w:color="auto"/>
              <w:right w:val="single" w:sz="4" w:space="0" w:color="auto"/>
            </w:tcBorders>
            <w:shd w:val="clear" w:color="auto" w:fill="auto"/>
            <w:hideMark/>
          </w:tcPr>
          <w:p w:rsidR="0010230A" w:rsidRPr="008F0E12" w:rsidRDefault="0010230A" w:rsidP="00DC1333">
            <w:pPr>
              <w:keepNext/>
              <w:keepLines/>
              <w:rPr>
                <w:color w:val="000000"/>
                <w:sz w:val="17"/>
                <w:szCs w:val="17"/>
              </w:rPr>
            </w:pPr>
            <w:r w:rsidRPr="008F0E12">
              <w:rPr>
                <w:color w:val="000000"/>
                <w:sz w:val="17"/>
                <w:szCs w:val="17"/>
              </w:rPr>
              <w:t>124.</w:t>
            </w:r>
            <w:r>
              <w:rPr>
                <w:color w:val="000000"/>
                <w:sz w:val="17"/>
                <w:szCs w:val="17"/>
              </w:rPr>
              <w:t>766 CI</w:t>
            </w:r>
            <w:r w:rsidRPr="008F0E12">
              <w:rPr>
                <w:color w:val="000000"/>
                <w:sz w:val="17"/>
                <w:szCs w:val="17"/>
              </w:rPr>
              <w:t>C</w:t>
            </w:r>
            <w:r>
              <w:rPr>
                <w:color w:val="000000"/>
                <w:sz w:val="17"/>
                <w:szCs w:val="17"/>
              </w:rPr>
              <w:t>E</w:t>
            </w:r>
            <w:r w:rsidRPr="008F0E12">
              <w:rPr>
                <w:color w:val="000000"/>
                <w:sz w:val="17"/>
                <w:szCs w:val="17"/>
              </w:rPr>
              <w:br/>
              <w:t xml:space="preserve">17.500 </w:t>
            </w:r>
            <w:r>
              <w:rPr>
                <w:color w:val="000000"/>
                <w:sz w:val="17"/>
                <w:szCs w:val="17"/>
              </w:rPr>
              <w:t xml:space="preserve">Antena de </w:t>
            </w:r>
            <w:proofErr w:type="spellStart"/>
            <w:r w:rsidRPr="008F0E12">
              <w:rPr>
                <w:color w:val="000000"/>
                <w:sz w:val="17"/>
                <w:szCs w:val="17"/>
              </w:rPr>
              <w:t>Swisscom</w:t>
            </w:r>
            <w:proofErr w:type="spellEnd"/>
            <w:r w:rsidRPr="008F0E12">
              <w:rPr>
                <w:color w:val="000000"/>
                <w:sz w:val="17"/>
                <w:szCs w:val="17"/>
              </w:rPr>
              <w:t xml:space="preserve"> </w:t>
            </w:r>
            <w:r w:rsidRPr="008F0E12">
              <w:rPr>
                <w:color w:val="000000"/>
                <w:sz w:val="17"/>
                <w:szCs w:val="17"/>
              </w:rPr>
              <w:br/>
              <w:t xml:space="preserve">32.500 </w:t>
            </w:r>
            <w:r>
              <w:rPr>
                <w:color w:val="000000"/>
                <w:sz w:val="17"/>
                <w:szCs w:val="17"/>
              </w:rPr>
              <w:t xml:space="preserve">Antena de </w:t>
            </w:r>
            <w:r w:rsidRPr="008F0E12">
              <w:rPr>
                <w:color w:val="000000"/>
                <w:sz w:val="17"/>
                <w:szCs w:val="17"/>
              </w:rPr>
              <w:t xml:space="preserve">Orange </w:t>
            </w:r>
            <w:r w:rsidRPr="008F0E12">
              <w:rPr>
                <w:color w:val="000000"/>
                <w:sz w:val="17"/>
                <w:szCs w:val="17"/>
              </w:rPr>
              <w:br/>
              <w:t>9.</w:t>
            </w:r>
            <w:r>
              <w:rPr>
                <w:color w:val="000000"/>
                <w:sz w:val="17"/>
                <w:szCs w:val="17"/>
              </w:rPr>
              <w:t>504 AMFIE (una oficina</w:t>
            </w:r>
            <w:r w:rsidRPr="008F0E12">
              <w:rPr>
                <w:color w:val="000000"/>
                <w:sz w:val="17"/>
                <w:szCs w:val="17"/>
              </w:rPr>
              <w:t xml:space="preserve"> </w:t>
            </w:r>
            <w:r>
              <w:rPr>
                <w:color w:val="000000"/>
                <w:sz w:val="17"/>
                <w:szCs w:val="17"/>
              </w:rPr>
              <w:t xml:space="preserve">estándar en el </w:t>
            </w:r>
            <w:r w:rsidRPr="008F0E12">
              <w:rPr>
                <w:color w:val="000000"/>
                <w:sz w:val="17"/>
                <w:szCs w:val="17"/>
              </w:rPr>
              <w:t>CAM)</w:t>
            </w:r>
            <w:r w:rsidRPr="008F0E12">
              <w:rPr>
                <w:color w:val="000000"/>
                <w:sz w:val="17"/>
                <w:szCs w:val="17"/>
              </w:rPr>
              <w:br/>
              <w:t xml:space="preserve">9.298 </w:t>
            </w:r>
            <w:r>
              <w:rPr>
                <w:color w:val="000000"/>
                <w:sz w:val="17"/>
                <w:szCs w:val="17"/>
              </w:rPr>
              <w:t xml:space="preserve">cajero automático de la </w:t>
            </w:r>
            <w:r w:rsidRPr="008F0E12">
              <w:rPr>
                <w:color w:val="000000"/>
                <w:sz w:val="17"/>
                <w:szCs w:val="17"/>
              </w:rPr>
              <w:t xml:space="preserve">UBS </w:t>
            </w:r>
            <w:r>
              <w:rPr>
                <w:color w:val="000000"/>
                <w:sz w:val="17"/>
                <w:szCs w:val="17"/>
              </w:rPr>
              <w:t xml:space="preserve">en el edificio </w:t>
            </w:r>
            <w:r w:rsidRPr="008F0E12">
              <w:rPr>
                <w:color w:val="000000"/>
                <w:sz w:val="17"/>
                <w:szCs w:val="17"/>
              </w:rPr>
              <w:t>GBI</w:t>
            </w:r>
          </w:p>
        </w:tc>
        <w:tc>
          <w:tcPr>
            <w:tcW w:w="724" w:type="pct"/>
            <w:tcBorders>
              <w:top w:val="single" w:sz="4" w:space="0" w:color="auto"/>
              <w:left w:val="nil"/>
              <w:bottom w:val="single" w:sz="4" w:space="0" w:color="auto"/>
              <w:right w:val="single" w:sz="4" w:space="0" w:color="auto"/>
            </w:tcBorders>
            <w:shd w:val="clear" w:color="auto" w:fill="auto"/>
            <w:hideMark/>
          </w:tcPr>
          <w:p w:rsidR="0010230A" w:rsidRPr="008F0E12" w:rsidRDefault="0010230A" w:rsidP="00DC1333">
            <w:pPr>
              <w:keepNext/>
              <w:keepLines/>
              <w:rPr>
                <w:sz w:val="17"/>
                <w:szCs w:val="17"/>
              </w:rPr>
            </w:pPr>
            <w:r w:rsidRPr="008F0E12">
              <w:rPr>
                <w:color w:val="000000"/>
                <w:sz w:val="17"/>
                <w:szCs w:val="17"/>
              </w:rPr>
              <w:t xml:space="preserve">124.766 </w:t>
            </w:r>
            <w:r>
              <w:rPr>
                <w:color w:val="000000"/>
                <w:sz w:val="17"/>
                <w:szCs w:val="17"/>
              </w:rPr>
              <w:t>CICE</w:t>
            </w:r>
            <w:r w:rsidRPr="008F0E12">
              <w:rPr>
                <w:color w:val="000000"/>
                <w:sz w:val="17"/>
                <w:szCs w:val="17"/>
              </w:rPr>
              <w:br/>
              <w:t xml:space="preserve">17.500 </w:t>
            </w:r>
            <w:r>
              <w:rPr>
                <w:color w:val="000000"/>
                <w:sz w:val="17"/>
                <w:szCs w:val="17"/>
              </w:rPr>
              <w:t xml:space="preserve">Antena de </w:t>
            </w:r>
            <w:proofErr w:type="spellStart"/>
            <w:r w:rsidRPr="008F0E12">
              <w:rPr>
                <w:color w:val="000000"/>
                <w:sz w:val="17"/>
                <w:szCs w:val="17"/>
              </w:rPr>
              <w:t>Swisscom</w:t>
            </w:r>
            <w:proofErr w:type="spellEnd"/>
            <w:r w:rsidRPr="008F0E12">
              <w:rPr>
                <w:color w:val="000000"/>
                <w:sz w:val="17"/>
                <w:szCs w:val="17"/>
              </w:rPr>
              <w:t xml:space="preserve"> </w:t>
            </w:r>
            <w:r w:rsidRPr="008F0E12">
              <w:rPr>
                <w:color w:val="000000"/>
                <w:sz w:val="17"/>
                <w:szCs w:val="17"/>
              </w:rPr>
              <w:br/>
              <w:t xml:space="preserve">32.500 </w:t>
            </w:r>
            <w:r>
              <w:rPr>
                <w:color w:val="000000"/>
                <w:sz w:val="17"/>
                <w:szCs w:val="17"/>
              </w:rPr>
              <w:t xml:space="preserve">Antena de </w:t>
            </w:r>
            <w:r w:rsidRPr="008F0E12">
              <w:rPr>
                <w:color w:val="000000"/>
                <w:sz w:val="17"/>
                <w:szCs w:val="17"/>
              </w:rPr>
              <w:t xml:space="preserve">Orange </w:t>
            </w:r>
            <w:r w:rsidRPr="008F0E12">
              <w:rPr>
                <w:color w:val="000000"/>
                <w:sz w:val="17"/>
                <w:szCs w:val="17"/>
              </w:rPr>
              <w:br/>
              <w:t>9.504 AMFIE (</w:t>
            </w:r>
            <w:r w:rsidRPr="00A90A19">
              <w:rPr>
                <w:color w:val="000000"/>
                <w:sz w:val="17"/>
                <w:szCs w:val="17"/>
              </w:rPr>
              <w:t xml:space="preserve">una oficina estándar en el </w:t>
            </w:r>
            <w:r w:rsidRPr="008F0E12">
              <w:rPr>
                <w:color w:val="000000"/>
                <w:sz w:val="17"/>
                <w:szCs w:val="17"/>
              </w:rPr>
              <w:t>CAM)</w:t>
            </w:r>
            <w:r w:rsidRPr="008F0E12">
              <w:rPr>
                <w:color w:val="000000"/>
                <w:sz w:val="17"/>
                <w:szCs w:val="17"/>
              </w:rPr>
              <w:br/>
              <w:t xml:space="preserve">9.298 </w:t>
            </w:r>
            <w:r w:rsidRPr="00A90A19">
              <w:rPr>
                <w:color w:val="000000"/>
                <w:sz w:val="17"/>
                <w:szCs w:val="17"/>
              </w:rPr>
              <w:t>cajero automático de la UBS en el edificio GBI</w:t>
            </w:r>
          </w:p>
          <w:p w:rsidR="0010230A" w:rsidRPr="008F0E12" w:rsidRDefault="0010230A" w:rsidP="00DC1333">
            <w:pPr>
              <w:keepNext/>
              <w:keepLines/>
              <w:rPr>
                <w:color w:val="000000"/>
                <w:sz w:val="17"/>
                <w:szCs w:val="17"/>
              </w:rPr>
            </w:pPr>
          </w:p>
        </w:tc>
        <w:tc>
          <w:tcPr>
            <w:tcW w:w="898" w:type="pct"/>
            <w:tcBorders>
              <w:top w:val="single" w:sz="4" w:space="0" w:color="auto"/>
              <w:left w:val="nil"/>
              <w:bottom w:val="single" w:sz="4" w:space="0" w:color="auto"/>
              <w:right w:val="single" w:sz="4" w:space="0" w:color="auto"/>
            </w:tcBorders>
            <w:shd w:val="clear" w:color="auto" w:fill="auto"/>
            <w:hideMark/>
          </w:tcPr>
          <w:p w:rsidR="0010230A" w:rsidRPr="008F0E12" w:rsidRDefault="0010230A" w:rsidP="00DC1333">
            <w:pPr>
              <w:keepNext/>
              <w:keepLines/>
              <w:rPr>
                <w:color w:val="000000"/>
                <w:sz w:val="17"/>
                <w:szCs w:val="17"/>
              </w:rPr>
            </w:pPr>
            <w:r w:rsidRPr="008F0E12">
              <w:rPr>
                <w:color w:val="000000"/>
                <w:sz w:val="17"/>
                <w:szCs w:val="17"/>
              </w:rPr>
              <w:t> </w:t>
            </w:r>
          </w:p>
        </w:tc>
        <w:tc>
          <w:tcPr>
            <w:tcW w:w="657" w:type="pct"/>
            <w:tcBorders>
              <w:top w:val="single" w:sz="4" w:space="0" w:color="auto"/>
              <w:left w:val="nil"/>
              <w:bottom w:val="single" w:sz="4" w:space="0" w:color="auto"/>
              <w:right w:val="single" w:sz="4" w:space="0" w:color="auto"/>
            </w:tcBorders>
            <w:shd w:val="clear" w:color="auto" w:fill="auto"/>
            <w:hideMark/>
          </w:tcPr>
          <w:p w:rsidR="0010230A" w:rsidRPr="008F0E12" w:rsidRDefault="0010230A" w:rsidP="00DC1333">
            <w:pPr>
              <w:keepNext/>
              <w:keepLines/>
              <w:rPr>
                <w:color w:val="000000"/>
                <w:sz w:val="17"/>
                <w:szCs w:val="17"/>
              </w:rPr>
            </w:pPr>
            <w:r>
              <w:rPr>
                <w:color w:val="000000"/>
                <w:sz w:val="17"/>
                <w:szCs w:val="17"/>
              </w:rPr>
              <w:t>Divisió</w:t>
            </w:r>
            <w:r w:rsidRPr="008F0E12">
              <w:rPr>
                <w:color w:val="000000"/>
                <w:sz w:val="17"/>
                <w:szCs w:val="17"/>
              </w:rPr>
              <w:t>n</w:t>
            </w:r>
            <w:r>
              <w:rPr>
                <w:color w:val="000000"/>
                <w:sz w:val="17"/>
                <w:szCs w:val="17"/>
              </w:rPr>
              <w:t xml:space="preserve"> de Infraestructura de Locales</w:t>
            </w:r>
          </w:p>
        </w:tc>
      </w:tr>
      <w:tr w:rsidR="0010230A" w:rsidRPr="00D512B8" w:rsidTr="00DC1333">
        <w:trPr>
          <w:trHeight w:val="805"/>
        </w:trPr>
        <w:tc>
          <w:tcPr>
            <w:tcW w:w="867" w:type="pct"/>
            <w:tcBorders>
              <w:top w:val="single" w:sz="4" w:space="0" w:color="auto"/>
              <w:left w:val="single" w:sz="4" w:space="0" w:color="auto"/>
              <w:bottom w:val="single" w:sz="4" w:space="0" w:color="auto"/>
              <w:right w:val="single" w:sz="4" w:space="0" w:color="auto"/>
            </w:tcBorders>
            <w:shd w:val="clear" w:color="auto" w:fill="auto"/>
            <w:hideMark/>
          </w:tcPr>
          <w:p w:rsidR="0010230A" w:rsidRDefault="0010230A" w:rsidP="00DC1333">
            <w:pPr>
              <w:rPr>
                <w:color w:val="000000"/>
                <w:sz w:val="17"/>
                <w:szCs w:val="17"/>
              </w:rPr>
            </w:pPr>
            <w:r>
              <w:rPr>
                <w:color w:val="000000"/>
                <w:sz w:val="17"/>
                <w:szCs w:val="17"/>
              </w:rPr>
              <w:t>Ingresos generados por el reembolso de la diferencia abonada entre 2013 y 2014 por el proveedor de electricidad al haber cumplido el objetivo anual de ahorro de electricidad como consecuencia de las medidas de ahorro aplicadas y como incentivo para seguir reduciendo el consumo de electricidad.</w:t>
            </w:r>
          </w:p>
          <w:p w:rsidR="0010230A" w:rsidRPr="008F0E12" w:rsidRDefault="0010230A" w:rsidP="00DC1333">
            <w:pPr>
              <w:rPr>
                <w:color w:val="000000"/>
                <w:sz w:val="17"/>
                <w:szCs w:val="17"/>
              </w:rPr>
            </w:pPr>
          </w:p>
        </w:tc>
        <w:tc>
          <w:tcPr>
            <w:tcW w:w="550" w:type="pct"/>
            <w:tcBorders>
              <w:top w:val="single" w:sz="4" w:space="0" w:color="auto"/>
              <w:left w:val="nil"/>
              <w:bottom w:val="single" w:sz="4" w:space="0" w:color="auto"/>
              <w:right w:val="single" w:sz="4" w:space="0" w:color="auto"/>
            </w:tcBorders>
            <w:shd w:val="clear" w:color="auto" w:fill="auto"/>
            <w:hideMark/>
          </w:tcPr>
          <w:p w:rsidR="0010230A" w:rsidRPr="008F0E12" w:rsidRDefault="0010230A" w:rsidP="00DC1333">
            <w:pPr>
              <w:rPr>
                <w:color w:val="000000"/>
                <w:sz w:val="17"/>
                <w:szCs w:val="17"/>
              </w:rPr>
            </w:pPr>
            <w:r w:rsidRPr="008F0E12">
              <w:rPr>
                <w:color w:val="000000"/>
                <w:sz w:val="17"/>
                <w:szCs w:val="17"/>
              </w:rPr>
              <w:t>21.300</w:t>
            </w:r>
          </w:p>
        </w:tc>
        <w:tc>
          <w:tcPr>
            <w:tcW w:w="580" w:type="pct"/>
            <w:tcBorders>
              <w:top w:val="single" w:sz="4" w:space="0" w:color="auto"/>
              <w:left w:val="nil"/>
              <w:bottom w:val="single" w:sz="4" w:space="0" w:color="auto"/>
              <w:right w:val="single" w:sz="4" w:space="0" w:color="auto"/>
            </w:tcBorders>
            <w:shd w:val="clear" w:color="auto" w:fill="auto"/>
            <w:hideMark/>
          </w:tcPr>
          <w:p w:rsidR="0010230A" w:rsidRPr="008F0E12" w:rsidRDefault="0010230A">
            <w:pPr>
              <w:rPr>
                <w:sz w:val="17"/>
                <w:szCs w:val="17"/>
              </w:rPr>
            </w:pPr>
            <w:r w:rsidRPr="008F0E12">
              <w:rPr>
                <w:color w:val="000000"/>
                <w:sz w:val="17"/>
                <w:szCs w:val="17"/>
              </w:rPr>
              <w:t> n/a</w:t>
            </w:r>
          </w:p>
          <w:p w:rsidR="0010230A" w:rsidRPr="008F0E12" w:rsidRDefault="0010230A" w:rsidP="00DC1333">
            <w:pPr>
              <w:rPr>
                <w:color w:val="000000"/>
                <w:sz w:val="17"/>
                <w:szCs w:val="17"/>
              </w:rPr>
            </w:pPr>
          </w:p>
        </w:tc>
        <w:tc>
          <w:tcPr>
            <w:tcW w:w="723" w:type="pct"/>
            <w:tcBorders>
              <w:top w:val="single" w:sz="4" w:space="0" w:color="auto"/>
              <w:left w:val="nil"/>
              <w:bottom w:val="single" w:sz="4" w:space="0" w:color="auto"/>
              <w:right w:val="single" w:sz="4" w:space="0" w:color="auto"/>
            </w:tcBorders>
            <w:shd w:val="clear" w:color="auto" w:fill="auto"/>
            <w:hideMark/>
          </w:tcPr>
          <w:p w:rsidR="0010230A" w:rsidRPr="008F0E12" w:rsidRDefault="0010230A" w:rsidP="00DC1333">
            <w:pPr>
              <w:rPr>
                <w:color w:val="000000"/>
                <w:sz w:val="17"/>
                <w:szCs w:val="17"/>
              </w:rPr>
            </w:pPr>
            <w:r>
              <w:rPr>
                <w:color w:val="000000"/>
                <w:sz w:val="17"/>
                <w:szCs w:val="17"/>
              </w:rPr>
              <w:t>Pago único efectuado por el proveedor de electricidad al final del año</w:t>
            </w:r>
          </w:p>
        </w:tc>
        <w:tc>
          <w:tcPr>
            <w:tcW w:w="724" w:type="pct"/>
            <w:tcBorders>
              <w:top w:val="single" w:sz="4" w:space="0" w:color="auto"/>
              <w:left w:val="nil"/>
              <w:bottom w:val="single" w:sz="4" w:space="0" w:color="auto"/>
              <w:right w:val="single" w:sz="4" w:space="0" w:color="auto"/>
            </w:tcBorders>
            <w:shd w:val="clear" w:color="auto" w:fill="auto"/>
            <w:hideMark/>
          </w:tcPr>
          <w:p w:rsidR="0010230A" w:rsidRPr="008F0E12" w:rsidRDefault="0010230A">
            <w:pPr>
              <w:rPr>
                <w:sz w:val="17"/>
                <w:szCs w:val="17"/>
              </w:rPr>
            </w:pPr>
            <w:r w:rsidRPr="008F0E12">
              <w:rPr>
                <w:color w:val="000000"/>
                <w:sz w:val="17"/>
                <w:szCs w:val="17"/>
              </w:rPr>
              <w:t>n/a</w:t>
            </w:r>
          </w:p>
          <w:p w:rsidR="0010230A" w:rsidRPr="008F0E12" w:rsidRDefault="0010230A" w:rsidP="00DC1333">
            <w:pPr>
              <w:rPr>
                <w:color w:val="000000"/>
                <w:sz w:val="17"/>
                <w:szCs w:val="17"/>
              </w:rPr>
            </w:pPr>
          </w:p>
        </w:tc>
        <w:tc>
          <w:tcPr>
            <w:tcW w:w="898" w:type="pct"/>
            <w:tcBorders>
              <w:top w:val="single" w:sz="4" w:space="0" w:color="auto"/>
              <w:left w:val="nil"/>
              <w:bottom w:val="single" w:sz="4" w:space="0" w:color="auto"/>
              <w:right w:val="single" w:sz="4" w:space="0" w:color="auto"/>
            </w:tcBorders>
            <w:shd w:val="clear" w:color="auto" w:fill="auto"/>
            <w:hideMark/>
          </w:tcPr>
          <w:p w:rsidR="0010230A" w:rsidRPr="008F0E12" w:rsidRDefault="0010230A" w:rsidP="00DC1333">
            <w:pPr>
              <w:rPr>
                <w:color w:val="000000"/>
                <w:sz w:val="17"/>
                <w:szCs w:val="17"/>
              </w:rPr>
            </w:pPr>
            <w:r>
              <w:rPr>
                <w:color w:val="000000"/>
                <w:sz w:val="17"/>
                <w:szCs w:val="17"/>
              </w:rPr>
              <w:t>No se aplica en 2015 puesto que el nuevo proveedor de electricidad, seleccionado mediante la licitación de  un organismo de NN.UU. en Ginebra, no ofrece ese tipo de incentivo.</w:t>
            </w:r>
          </w:p>
          <w:p w:rsidR="0010230A" w:rsidRPr="008F0E12" w:rsidRDefault="0010230A" w:rsidP="00DC1333">
            <w:pPr>
              <w:tabs>
                <w:tab w:val="left" w:pos="1543"/>
              </w:tabs>
              <w:rPr>
                <w:sz w:val="17"/>
                <w:szCs w:val="17"/>
              </w:rPr>
            </w:pPr>
            <w:r w:rsidRPr="008F0E12">
              <w:rPr>
                <w:sz w:val="17"/>
                <w:szCs w:val="17"/>
              </w:rPr>
              <w:tab/>
            </w:r>
          </w:p>
        </w:tc>
        <w:tc>
          <w:tcPr>
            <w:tcW w:w="657" w:type="pct"/>
            <w:tcBorders>
              <w:top w:val="single" w:sz="4" w:space="0" w:color="auto"/>
              <w:left w:val="nil"/>
              <w:bottom w:val="single" w:sz="4" w:space="0" w:color="auto"/>
              <w:right w:val="single" w:sz="4" w:space="0" w:color="auto"/>
            </w:tcBorders>
            <w:shd w:val="clear" w:color="auto" w:fill="auto"/>
            <w:hideMark/>
          </w:tcPr>
          <w:p w:rsidR="0010230A" w:rsidRPr="008F0E12" w:rsidRDefault="0010230A" w:rsidP="00DC1333">
            <w:pPr>
              <w:rPr>
                <w:color w:val="000000"/>
                <w:sz w:val="17"/>
                <w:szCs w:val="17"/>
              </w:rPr>
            </w:pPr>
            <w:r w:rsidRPr="00E01533">
              <w:rPr>
                <w:color w:val="000000"/>
                <w:sz w:val="17"/>
                <w:szCs w:val="17"/>
              </w:rPr>
              <w:t>División de Infraestructura de Locales</w:t>
            </w:r>
          </w:p>
        </w:tc>
      </w:tr>
    </w:tbl>
    <w:p w:rsidR="0010230A" w:rsidRPr="008F0E12" w:rsidRDefault="0010230A" w:rsidP="00DC1333">
      <w:pPr>
        <w:rPr>
          <w:i/>
          <w:sz w:val="18"/>
          <w:szCs w:val="18"/>
        </w:rPr>
      </w:pPr>
    </w:p>
    <w:p w:rsidR="0010230A" w:rsidRPr="00A90A19" w:rsidRDefault="0010230A" w:rsidP="00DC1333">
      <w:pPr>
        <w:rPr>
          <w:i/>
          <w:sz w:val="18"/>
          <w:szCs w:val="18"/>
        </w:rPr>
      </w:pPr>
      <w:r w:rsidRPr="00A90A19">
        <w:rPr>
          <w:i/>
          <w:sz w:val="18"/>
          <w:szCs w:val="18"/>
        </w:rPr>
        <w:t xml:space="preserve">* </w:t>
      </w:r>
      <w:r w:rsidR="00801E65" w:rsidRPr="00A90A19">
        <w:rPr>
          <w:i/>
          <w:sz w:val="18"/>
          <w:szCs w:val="18"/>
        </w:rPr>
        <w:t>Información</w:t>
      </w:r>
      <w:r w:rsidRPr="00A90A19">
        <w:rPr>
          <w:i/>
          <w:sz w:val="18"/>
          <w:szCs w:val="18"/>
        </w:rPr>
        <w:t xml:space="preserve"> facilitada según lo expuesto en el documento WO/PBC/23/COST EFFICIENCIES REALIZED IN 2014</w:t>
      </w:r>
    </w:p>
    <w:p w:rsidR="0010230A" w:rsidRPr="008F0E12" w:rsidRDefault="0010230A" w:rsidP="00DC1333">
      <w:pPr>
        <w:rPr>
          <w:i/>
          <w:sz w:val="18"/>
          <w:szCs w:val="18"/>
        </w:rPr>
      </w:pPr>
      <w:r w:rsidRPr="00A90A19">
        <w:rPr>
          <w:i/>
          <w:sz w:val="18"/>
          <w:szCs w:val="18"/>
        </w:rPr>
        <w:t>** Las cifras</w:t>
      </w:r>
      <w:r>
        <w:rPr>
          <w:i/>
          <w:sz w:val="18"/>
          <w:szCs w:val="18"/>
        </w:rPr>
        <w:t xml:space="preserve"> anuales de ingresos correspondientes al CICE figuran en cifras brutas sin compensar las reducciones debidas a labores de mejora ejecutadas durante el </w:t>
      </w:r>
      <w:r w:rsidRPr="00A90A19">
        <w:rPr>
          <w:i/>
          <w:sz w:val="18"/>
          <w:szCs w:val="18"/>
        </w:rPr>
        <w:t xml:space="preserve">bienio 2014/15 </w:t>
      </w:r>
    </w:p>
    <w:p w:rsidR="0010230A" w:rsidRPr="008F0E12" w:rsidRDefault="0010230A" w:rsidP="00DC1333">
      <w:pPr>
        <w:rPr>
          <w:b/>
          <w:sz w:val="18"/>
          <w:szCs w:val="18"/>
        </w:rPr>
      </w:pPr>
    </w:p>
    <w:p w:rsidR="0010230A" w:rsidRDefault="0010230A" w:rsidP="00B26D73">
      <w:pPr>
        <w:rPr>
          <w:szCs w:val="22"/>
        </w:rPr>
      </w:pPr>
    </w:p>
    <w:p w:rsidR="002671EB" w:rsidRDefault="002671EB">
      <w:pPr>
        <w:rPr>
          <w:szCs w:val="22"/>
        </w:rPr>
      </w:pPr>
      <w:r>
        <w:rPr>
          <w:szCs w:val="22"/>
        </w:rPr>
        <w:br w:type="page"/>
      </w:r>
    </w:p>
    <w:p w:rsidR="002671EB" w:rsidRDefault="002671EB" w:rsidP="00DC1333">
      <w:bookmarkStart w:id="16" w:name="_Toc327875008"/>
    </w:p>
    <w:p w:rsidR="002671EB" w:rsidRPr="002671EB" w:rsidRDefault="00545F60" w:rsidP="002671EB">
      <w:pPr>
        <w:pStyle w:val="Heading1"/>
        <w:numPr>
          <w:ilvl w:val="0"/>
          <w:numId w:val="0"/>
        </w:numPr>
        <w:tabs>
          <w:tab w:val="left" w:pos="709"/>
        </w:tabs>
        <w:ind w:left="709" w:hanging="709"/>
      </w:pPr>
      <w:bookmarkStart w:id="17" w:name="_Toc421867752"/>
      <w:bookmarkStart w:id="18" w:name="_Toc421868019"/>
      <w:bookmarkStart w:id="19" w:name="_Toc421868069"/>
      <w:bookmarkStart w:id="20" w:name="_Toc422127323"/>
      <w:bookmarkStart w:id="21" w:name="_Toc422134318"/>
      <w:bookmarkStart w:id="22" w:name="_Toc421867753"/>
      <w:bookmarkStart w:id="23" w:name="_Toc421868020"/>
      <w:bookmarkStart w:id="24" w:name="_Toc421868070"/>
      <w:bookmarkStart w:id="25" w:name="_Toc422127324"/>
      <w:bookmarkStart w:id="26" w:name="_Toc422134319"/>
      <w:bookmarkStart w:id="27" w:name="_Toc421867754"/>
      <w:bookmarkStart w:id="28" w:name="_Toc421868021"/>
      <w:bookmarkStart w:id="29" w:name="_Toc421868071"/>
      <w:bookmarkStart w:id="30" w:name="_Toc422127325"/>
      <w:bookmarkStart w:id="31" w:name="_Toc422134320"/>
      <w:bookmarkStart w:id="32" w:name="_Toc421867755"/>
      <w:bookmarkStart w:id="33" w:name="_Toc421868022"/>
      <w:bookmarkStart w:id="34" w:name="_Toc421868072"/>
      <w:bookmarkStart w:id="35" w:name="_Toc422127326"/>
      <w:bookmarkStart w:id="36" w:name="_Toc422134321"/>
      <w:bookmarkStart w:id="37" w:name="_Toc421867756"/>
      <w:bookmarkStart w:id="38" w:name="_Toc421868023"/>
      <w:bookmarkStart w:id="39" w:name="_Toc421868073"/>
      <w:bookmarkStart w:id="40" w:name="_Toc422127327"/>
      <w:bookmarkStart w:id="41" w:name="_Toc422134322"/>
      <w:bookmarkStart w:id="42" w:name="_Toc421867757"/>
      <w:bookmarkStart w:id="43" w:name="_Toc421868024"/>
      <w:bookmarkStart w:id="44" w:name="_Toc421868074"/>
      <w:bookmarkStart w:id="45" w:name="_Toc422127328"/>
      <w:bookmarkStart w:id="46" w:name="_Toc422134323"/>
      <w:bookmarkStart w:id="47" w:name="_Toc294535814"/>
      <w:bookmarkStart w:id="48" w:name="_Toc327875006"/>
      <w:bookmarkStart w:id="49" w:name="_Toc358366918"/>
      <w:bookmarkStart w:id="50" w:name="_Toc422210475"/>
      <w:bookmarkStart w:id="51" w:name="_Toc455159068"/>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r>
        <w:rPr>
          <w:caps w:val="0"/>
        </w:rPr>
        <w:t>VI.</w:t>
      </w:r>
      <w:r>
        <w:rPr>
          <w:caps w:val="0"/>
        </w:rPr>
        <w:tab/>
      </w:r>
      <w:r w:rsidRPr="002671EB">
        <w:rPr>
          <w:caps w:val="0"/>
        </w:rPr>
        <w:t>LOGROS DE LOS PROGRAMAS EN 2014/15 POR META ESTRATÉGICA</w:t>
      </w:r>
      <w:bookmarkEnd w:id="47"/>
      <w:bookmarkEnd w:id="48"/>
      <w:bookmarkEnd w:id="49"/>
      <w:bookmarkEnd w:id="50"/>
      <w:bookmarkEnd w:id="51"/>
    </w:p>
    <w:p w:rsidR="002671EB" w:rsidRPr="00B010F4" w:rsidRDefault="002671EB" w:rsidP="00DC1333">
      <w:pPr>
        <w:jc w:val="both"/>
        <w:rPr>
          <w:sz w:val="20"/>
        </w:rPr>
      </w:pPr>
    </w:p>
    <w:p w:rsidR="00FA423E" w:rsidRPr="00B010F4" w:rsidRDefault="00FA423E" w:rsidP="00FA423E">
      <w:pPr>
        <w:pStyle w:val="StyleHeading214ptAuto"/>
        <w:rPr>
          <w:rFonts w:ascii="Arial" w:hAnsi="Arial"/>
          <w:bCs w:val="0"/>
          <w:caps w:val="0"/>
          <w:sz w:val="20"/>
          <w:szCs w:val="20"/>
          <w:lang w:val="es-ES" w:eastAsia="en-US"/>
        </w:rPr>
      </w:pPr>
      <w:bookmarkStart w:id="52" w:name="_Toc455159069"/>
      <w:r w:rsidRPr="00B010F4">
        <w:rPr>
          <w:rFonts w:ascii="Arial" w:hAnsi="Arial"/>
          <w:bCs w:val="0"/>
          <w:caps w:val="0"/>
          <w:sz w:val="20"/>
          <w:szCs w:val="20"/>
          <w:lang w:val="es-ES" w:eastAsia="en-US"/>
        </w:rPr>
        <w:t>META ESTRATÉGICA I</w:t>
      </w:r>
      <w:bookmarkEnd w:id="52"/>
    </w:p>
    <w:p w:rsidR="00FA423E" w:rsidRPr="00B010F4" w:rsidRDefault="00FA423E" w:rsidP="00FA423E">
      <w:pPr>
        <w:jc w:val="center"/>
        <w:rPr>
          <w:sz w:val="20"/>
        </w:rPr>
      </w:pPr>
    </w:p>
    <w:p w:rsidR="00FA423E" w:rsidRPr="00B010F4" w:rsidRDefault="00FA423E" w:rsidP="00FA423E">
      <w:pPr>
        <w:jc w:val="center"/>
        <w:rPr>
          <w:sz w:val="20"/>
        </w:rPr>
      </w:pPr>
      <w:r w:rsidRPr="00B010F4">
        <w:rPr>
          <w:b/>
          <w:sz w:val="20"/>
        </w:rPr>
        <w:t>EVOLUCIÓN EQUILIBRADA DEL MARCO NORMATIVO INTERNACIONAL DE P.I.</w:t>
      </w:r>
    </w:p>
    <w:p w:rsidR="00FA423E" w:rsidRPr="00B010F4" w:rsidRDefault="00FA423E" w:rsidP="00FA423E">
      <w:pPr>
        <w:jc w:val="center"/>
        <w:rPr>
          <w:b/>
          <w:sz w:val="20"/>
        </w:rPr>
      </w:pPr>
    </w:p>
    <w:p w:rsidR="00FA423E" w:rsidRPr="00B010F4" w:rsidRDefault="00FA423E" w:rsidP="00FA423E">
      <w:pPr>
        <w:jc w:val="center"/>
        <w:rPr>
          <w:b/>
          <w:sz w:val="20"/>
        </w:rPr>
      </w:pPr>
      <w:r w:rsidRPr="00B010F4">
        <w:rPr>
          <w:b/>
          <w:sz w:val="20"/>
        </w:rPr>
        <w:t xml:space="preserve">Cuadro sobre el rendimiento bienal </w:t>
      </w:r>
    </w:p>
    <w:p w:rsidR="00FA423E" w:rsidRPr="00B010F4" w:rsidRDefault="00FA423E" w:rsidP="00FA423E">
      <w:pPr>
        <w:jc w:val="both"/>
        <w:rPr>
          <w:sz w:val="20"/>
        </w:rPr>
      </w:pPr>
    </w:p>
    <w:p w:rsidR="00FA423E" w:rsidRPr="00B010F4" w:rsidRDefault="00FA423E" w:rsidP="00FA423E">
      <w:pPr>
        <w:autoSpaceDE w:val="0"/>
        <w:autoSpaceDN w:val="0"/>
        <w:adjustRightInd w:val="0"/>
        <w:jc w:val="both"/>
        <w:rPr>
          <w:sz w:val="20"/>
        </w:rPr>
      </w:pPr>
      <w:r w:rsidRPr="00B010F4">
        <w:rPr>
          <w:sz w:val="20"/>
          <w:lang w:val="es-ES_tradnl"/>
        </w:rPr>
        <w:t>En el siguiente cuadro se reseñan los avances realizados hacia la consecución de los resultados en el bienio 2014/15, medidos con arreglo a los indicadores de los programas que contribuyen al logro de esta meta estratégica.</w:t>
      </w:r>
      <w:r w:rsidRPr="00B010F4">
        <w:rPr>
          <w:sz w:val="20"/>
        </w:rPr>
        <w:t xml:space="preserve">  </w:t>
      </w:r>
    </w:p>
    <w:p w:rsidR="00FA423E" w:rsidRPr="00B010F4" w:rsidRDefault="00FA423E" w:rsidP="00FA423E">
      <w:pPr>
        <w:jc w:val="center"/>
        <w:rPr>
          <w:sz w:val="20"/>
        </w:rPr>
      </w:pPr>
      <w:r w:rsidRPr="00B010F4">
        <w:rPr>
          <w:noProof/>
          <w:sz w:val="20"/>
          <w:lang w:val="en-US" w:eastAsia="en-US"/>
        </w:rPr>
        <w:drawing>
          <wp:inline distT="0" distB="0" distL="0" distR="0" wp14:anchorId="6DD3FEB3" wp14:editId="78DF1CD3">
            <wp:extent cx="5940425" cy="2869905"/>
            <wp:effectExtent l="0" t="0" r="3175"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940425" cy="2869905"/>
                    </a:xfrm>
                    <a:prstGeom prst="rect">
                      <a:avLst/>
                    </a:prstGeom>
                    <a:noFill/>
                    <a:ln>
                      <a:noFill/>
                    </a:ln>
                  </pic:spPr>
                </pic:pic>
              </a:graphicData>
            </a:graphic>
          </wp:inline>
        </w:drawing>
      </w:r>
    </w:p>
    <w:p w:rsidR="00FA423E" w:rsidRPr="00B010F4" w:rsidRDefault="00FA423E" w:rsidP="00FA423E">
      <w:pPr>
        <w:jc w:val="center"/>
        <w:rPr>
          <w:sz w:val="20"/>
        </w:rPr>
      </w:pPr>
    </w:p>
    <w:tbl>
      <w:tblPr>
        <w:tblW w:w="5000" w:type="pct"/>
        <w:tblInd w:w="108" w:type="dxa"/>
        <w:tblBorders>
          <w:top w:val="single" w:sz="4" w:space="0" w:color="auto"/>
          <w:left w:val="single" w:sz="4" w:space="0" w:color="auto"/>
          <w:bottom w:val="single" w:sz="4" w:space="0" w:color="auto"/>
          <w:right w:val="single" w:sz="4" w:space="0" w:color="auto"/>
        </w:tblBorders>
        <w:tblCellMar>
          <w:left w:w="115" w:type="dxa"/>
          <w:right w:w="115" w:type="dxa"/>
        </w:tblCellMar>
        <w:tblLook w:val="0000" w:firstRow="0" w:lastRow="0" w:firstColumn="0" w:lastColumn="0" w:noHBand="0" w:noVBand="0"/>
      </w:tblPr>
      <w:tblGrid>
        <w:gridCol w:w="2964"/>
        <w:gridCol w:w="4189"/>
        <w:gridCol w:w="1476"/>
        <w:gridCol w:w="956"/>
      </w:tblGrid>
      <w:tr w:rsidR="00FA423E" w:rsidRPr="00AF5E7C" w:rsidTr="00DC1333">
        <w:trPr>
          <w:cantSplit/>
          <w:trHeight w:val="360"/>
          <w:tblHeader/>
        </w:trPr>
        <w:tc>
          <w:tcPr>
            <w:tcW w:w="1581" w:type="pct"/>
            <w:tcBorders>
              <w:top w:val="single" w:sz="4" w:space="0" w:color="auto"/>
              <w:bottom w:val="single" w:sz="4" w:space="0" w:color="auto"/>
            </w:tcBorders>
            <w:shd w:val="clear" w:color="auto" w:fill="DAEEF3" w:themeFill="accent5" w:themeFillTint="33"/>
            <w:tcMar>
              <w:top w:w="113" w:type="dxa"/>
              <w:bottom w:w="113" w:type="dxa"/>
            </w:tcMar>
            <w:vAlign w:val="center"/>
          </w:tcPr>
          <w:p w:rsidR="00FA423E" w:rsidRPr="002803A3" w:rsidRDefault="00FA423E" w:rsidP="00DC1333">
            <w:pPr>
              <w:spacing w:after="120"/>
              <w:rPr>
                <w:b/>
                <w:bCs/>
                <w:sz w:val="18"/>
                <w:szCs w:val="18"/>
              </w:rPr>
            </w:pPr>
            <w:r w:rsidRPr="002803A3">
              <w:rPr>
                <w:b/>
                <w:bCs/>
                <w:sz w:val="18"/>
                <w:szCs w:val="18"/>
                <w:lang w:val="es-ES_tradnl"/>
              </w:rPr>
              <w:t>Resultados previstos</w:t>
            </w:r>
          </w:p>
        </w:tc>
        <w:tc>
          <w:tcPr>
            <w:tcW w:w="2220" w:type="pct"/>
            <w:tcBorders>
              <w:top w:val="single" w:sz="4" w:space="0" w:color="auto"/>
              <w:bottom w:val="single" w:sz="4" w:space="0" w:color="auto"/>
            </w:tcBorders>
            <w:shd w:val="clear" w:color="auto" w:fill="DAEEF3" w:themeFill="accent5" w:themeFillTint="33"/>
            <w:tcMar>
              <w:top w:w="113" w:type="dxa"/>
              <w:bottom w:w="113" w:type="dxa"/>
            </w:tcMar>
            <w:vAlign w:val="center"/>
          </w:tcPr>
          <w:p w:rsidR="00FA423E" w:rsidRPr="002803A3" w:rsidRDefault="00FA423E" w:rsidP="00DC1333">
            <w:pPr>
              <w:spacing w:after="120"/>
              <w:rPr>
                <w:b/>
                <w:sz w:val="18"/>
                <w:szCs w:val="18"/>
              </w:rPr>
            </w:pPr>
            <w:r w:rsidRPr="002803A3">
              <w:rPr>
                <w:b/>
                <w:sz w:val="18"/>
                <w:szCs w:val="18"/>
                <w:lang w:val="es-ES_tradnl"/>
              </w:rPr>
              <w:t>Indicadores de rendimiento</w:t>
            </w:r>
          </w:p>
        </w:tc>
        <w:tc>
          <w:tcPr>
            <w:tcW w:w="765" w:type="pct"/>
            <w:tcBorders>
              <w:top w:val="single" w:sz="4" w:space="0" w:color="auto"/>
              <w:bottom w:val="single" w:sz="4" w:space="0" w:color="auto"/>
            </w:tcBorders>
            <w:shd w:val="clear" w:color="auto" w:fill="DAEEF3" w:themeFill="accent5" w:themeFillTint="33"/>
            <w:tcMar>
              <w:top w:w="113" w:type="dxa"/>
              <w:bottom w:w="113" w:type="dxa"/>
            </w:tcMar>
            <w:vAlign w:val="center"/>
          </w:tcPr>
          <w:p w:rsidR="00FA423E" w:rsidRPr="002803A3" w:rsidRDefault="00FA423E" w:rsidP="00DC1333">
            <w:pPr>
              <w:spacing w:after="120"/>
              <w:ind w:left="85"/>
              <w:jc w:val="center"/>
              <w:rPr>
                <w:sz w:val="18"/>
                <w:szCs w:val="18"/>
              </w:rPr>
            </w:pPr>
            <w:r w:rsidRPr="002803A3">
              <w:rPr>
                <w:b/>
                <w:sz w:val="18"/>
                <w:szCs w:val="18"/>
                <w:lang w:val="es-ES_tradnl"/>
              </w:rPr>
              <w:t>Programas responsables</w:t>
            </w:r>
          </w:p>
        </w:tc>
        <w:tc>
          <w:tcPr>
            <w:tcW w:w="434" w:type="pct"/>
            <w:tcBorders>
              <w:top w:val="single" w:sz="4" w:space="0" w:color="auto"/>
              <w:bottom w:val="single" w:sz="4" w:space="0" w:color="auto"/>
            </w:tcBorders>
            <w:shd w:val="clear" w:color="auto" w:fill="DAEEF3" w:themeFill="accent5" w:themeFillTint="33"/>
            <w:vAlign w:val="center"/>
          </w:tcPr>
          <w:p w:rsidR="00FA423E" w:rsidRPr="007B07A4" w:rsidRDefault="00FA423E" w:rsidP="00DC1333">
            <w:pPr>
              <w:spacing w:after="120"/>
              <w:ind w:left="85"/>
              <w:jc w:val="center"/>
              <w:rPr>
                <w:b/>
                <w:bCs/>
                <w:sz w:val="18"/>
                <w:szCs w:val="18"/>
              </w:rPr>
            </w:pPr>
            <w:r w:rsidRPr="002803A3">
              <w:rPr>
                <w:b/>
                <w:bCs/>
                <w:sz w:val="18"/>
                <w:szCs w:val="18"/>
                <w:lang w:val="es-ES_tradnl"/>
              </w:rPr>
              <w:t>Clave de colores</w:t>
            </w:r>
          </w:p>
        </w:tc>
      </w:tr>
      <w:tr w:rsidR="00FA423E" w:rsidRPr="00AF5E7C" w:rsidTr="00DC1333">
        <w:trPr>
          <w:cantSplit/>
          <w:trHeight w:val="360"/>
        </w:trPr>
        <w:tc>
          <w:tcPr>
            <w:tcW w:w="1581" w:type="pct"/>
            <w:vMerge w:val="restart"/>
            <w:tcBorders>
              <w:top w:val="single" w:sz="4" w:space="0" w:color="auto"/>
            </w:tcBorders>
            <w:shd w:val="clear" w:color="auto" w:fill="auto"/>
            <w:tcMar>
              <w:top w:w="113" w:type="dxa"/>
              <w:bottom w:w="113" w:type="dxa"/>
            </w:tcMar>
          </w:tcPr>
          <w:p w:rsidR="00FA423E" w:rsidRPr="002803A3" w:rsidRDefault="00FA423E" w:rsidP="00DC1333">
            <w:pPr>
              <w:rPr>
                <w:sz w:val="16"/>
                <w:szCs w:val="16"/>
              </w:rPr>
            </w:pPr>
            <w:r w:rsidRPr="002803A3">
              <w:rPr>
                <w:sz w:val="16"/>
                <w:szCs w:val="16"/>
                <w:lang w:val="es-ES_tradnl"/>
              </w:rPr>
              <w:t>I.1 Mejor cooperación entre los Estados miembros en lo que atañe a la elaboración de marcos normativos internacionales equilibrados para la P.I. y fomento de acuerdos sobre las cuestiones específicas respecto de las que se acuerdan instrumentos internacionales</w:t>
            </w:r>
          </w:p>
        </w:tc>
        <w:tc>
          <w:tcPr>
            <w:tcW w:w="2220" w:type="pct"/>
            <w:tcBorders>
              <w:top w:val="single" w:sz="4" w:space="0" w:color="auto"/>
            </w:tcBorders>
            <w:shd w:val="clear" w:color="auto" w:fill="auto"/>
            <w:tcMar>
              <w:top w:w="113" w:type="dxa"/>
              <w:bottom w:w="113" w:type="dxa"/>
            </w:tcMar>
          </w:tcPr>
          <w:p w:rsidR="00FA423E" w:rsidRPr="002803A3" w:rsidRDefault="00FA423E" w:rsidP="00DC1333">
            <w:pPr>
              <w:rPr>
                <w:sz w:val="16"/>
                <w:szCs w:val="16"/>
              </w:rPr>
            </w:pPr>
            <w:r w:rsidRPr="002803A3">
              <w:rPr>
                <w:sz w:val="16"/>
                <w:szCs w:val="16"/>
                <w:lang w:val="es-ES_tradnl"/>
              </w:rPr>
              <w:t>Progresos en la puesta en práctica de medidas/planes concertados por el SCP</w:t>
            </w:r>
          </w:p>
        </w:tc>
        <w:tc>
          <w:tcPr>
            <w:tcW w:w="765" w:type="pct"/>
            <w:tcBorders>
              <w:top w:val="single" w:sz="4" w:space="0" w:color="auto"/>
            </w:tcBorders>
            <w:shd w:val="clear" w:color="auto" w:fill="FFFFFF"/>
            <w:tcMar>
              <w:top w:w="113" w:type="dxa"/>
              <w:bottom w:w="113" w:type="dxa"/>
            </w:tcMar>
          </w:tcPr>
          <w:p w:rsidR="00FA423E" w:rsidRPr="002803A3" w:rsidRDefault="00FA423E" w:rsidP="00DC1333">
            <w:pPr>
              <w:jc w:val="center"/>
              <w:rPr>
                <w:sz w:val="16"/>
                <w:szCs w:val="16"/>
              </w:rPr>
            </w:pPr>
            <w:r w:rsidRPr="002803A3">
              <w:rPr>
                <w:sz w:val="16"/>
                <w:szCs w:val="16"/>
                <w:lang w:val="es-ES_tradnl"/>
              </w:rPr>
              <w:t>Programa 1</w:t>
            </w:r>
          </w:p>
        </w:tc>
        <w:tc>
          <w:tcPr>
            <w:tcW w:w="434" w:type="pct"/>
            <w:tcBorders>
              <w:top w:val="single" w:sz="4" w:space="0" w:color="auto"/>
            </w:tcBorders>
            <w:shd w:val="clear" w:color="auto" w:fill="FFFFFF"/>
          </w:tcPr>
          <w:p w:rsidR="00FA423E" w:rsidRPr="00CC3F44" w:rsidRDefault="00FA423E" w:rsidP="00DC1333">
            <w:pPr>
              <w:spacing w:before="40"/>
              <w:jc w:val="center"/>
              <w:rPr>
                <w:color w:val="008000"/>
                <w:szCs w:val="22"/>
              </w:rPr>
            </w:pPr>
            <w:r w:rsidRPr="00CC3F44">
              <w:rPr>
                <w:color w:val="008000"/>
                <w:szCs w:val="22"/>
              </w:rPr>
              <w:sym w:font="Wingdings" w:char="F06C"/>
            </w:r>
          </w:p>
        </w:tc>
      </w:tr>
      <w:tr w:rsidR="00FA423E" w:rsidRPr="00AF5E7C" w:rsidTr="00DC1333">
        <w:trPr>
          <w:cantSplit/>
          <w:trHeight w:val="360"/>
        </w:trPr>
        <w:tc>
          <w:tcPr>
            <w:tcW w:w="1581" w:type="pct"/>
            <w:vMerge/>
            <w:shd w:val="clear" w:color="auto" w:fill="auto"/>
            <w:tcMar>
              <w:top w:w="113" w:type="dxa"/>
              <w:bottom w:w="113" w:type="dxa"/>
            </w:tcMar>
          </w:tcPr>
          <w:p w:rsidR="00FA423E" w:rsidRPr="002803A3" w:rsidRDefault="00FA423E" w:rsidP="00DC1333">
            <w:pPr>
              <w:rPr>
                <w:sz w:val="16"/>
                <w:szCs w:val="16"/>
              </w:rPr>
            </w:pPr>
          </w:p>
        </w:tc>
        <w:tc>
          <w:tcPr>
            <w:tcW w:w="2220" w:type="pct"/>
            <w:shd w:val="clear" w:color="auto" w:fill="auto"/>
            <w:tcMar>
              <w:top w:w="113" w:type="dxa"/>
              <w:bottom w:w="113" w:type="dxa"/>
            </w:tcMar>
          </w:tcPr>
          <w:p w:rsidR="00FA423E" w:rsidRPr="002803A3" w:rsidRDefault="00FA423E" w:rsidP="00DC1333">
            <w:pPr>
              <w:rPr>
                <w:sz w:val="16"/>
                <w:szCs w:val="16"/>
              </w:rPr>
            </w:pPr>
            <w:r w:rsidRPr="002803A3">
              <w:rPr>
                <w:sz w:val="16"/>
                <w:szCs w:val="16"/>
                <w:lang w:val="es-ES_tradnl"/>
              </w:rPr>
              <w:t>Porcentaje de participantes en talleres/seminarios/conferencias sobre cuestiones específicas relacionadas con las patentes que expresaron satisfacción al respecto</w:t>
            </w:r>
          </w:p>
        </w:tc>
        <w:tc>
          <w:tcPr>
            <w:tcW w:w="765" w:type="pct"/>
            <w:shd w:val="clear" w:color="auto" w:fill="FFFFFF"/>
            <w:tcMar>
              <w:top w:w="113" w:type="dxa"/>
              <w:bottom w:w="113" w:type="dxa"/>
            </w:tcMar>
          </w:tcPr>
          <w:p w:rsidR="00FA423E" w:rsidRPr="002803A3" w:rsidRDefault="00FA423E" w:rsidP="00DC1333">
            <w:pPr>
              <w:jc w:val="center"/>
              <w:rPr>
                <w:sz w:val="16"/>
                <w:szCs w:val="16"/>
                <w:lang w:bidi="th-TH"/>
              </w:rPr>
            </w:pPr>
            <w:r w:rsidRPr="002803A3">
              <w:rPr>
                <w:sz w:val="16"/>
                <w:szCs w:val="16"/>
                <w:lang w:val="es-ES_tradnl" w:bidi="th-TH"/>
              </w:rPr>
              <w:t>Programa 1</w:t>
            </w:r>
          </w:p>
        </w:tc>
        <w:tc>
          <w:tcPr>
            <w:tcW w:w="434" w:type="pct"/>
            <w:shd w:val="clear" w:color="auto" w:fill="FFFFFF"/>
          </w:tcPr>
          <w:p w:rsidR="00FA423E" w:rsidRPr="00CC3F44" w:rsidRDefault="00FA423E" w:rsidP="00DC1333">
            <w:pPr>
              <w:spacing w:before="40"/>
              <w:jc w:val="center"/>
            </w:pPr>
            <w:r w:rsidRPr="00CC3F44">
              <w:rPr>
                <w:color w:val="008000"/>
                <w:szCs w:val="22"/>
              </w:rPr>
              <w:sym w:font="Wingdings" w:char="F06C"/>
            </w:r>
          </w:p>
        </w:tc>
      </w:tr>
      <w:tr w:rsidR="00FA423E" w:rsidRPr="00AF5E7C" w:rsidTr="00DC1333">
        <w:trPr>
          <w:cantSplit/>
          <w:trHeight w:val="360"/>
        </w:trPr>
        <w:tc>
          <w:tcPr>
            <w:tcW w:w="1581" w:type="pct"/>
            <w:shd w:val="clear" w:color="auto" w:fill="auto"/>
            <w:tcMar>
              <w:top w:w="113" w:type="dxa"/>
              <w:bottom w:w="113" w:type="dxa"/>
            </w:tcMar>
          </w:tcPr>
          <w:p w:rsidR="00FA423E" w:rsidRPr="002803A3" w:rsidRDefault="00FA423E" w:rsidP="00DC1333">
            <w:pPr>
              <w:rPr>
                <w:sz w:val="16"/>
                <w:szCs w:val="16"/>
              </w:rPr>
            </w:pPr>
          </w:p>
        </w:tc>
        <w:tc>
          <w:tcPr>
            <w:tcW w:w="2220" w:type="pct"/>
            <w:shd w:val="clear" w:color="auto" w:fill="auto"/>
            <w:tcMar>
              <w:top w:w="113" w:type="dxa"/>
              <w:bottom w:w="113" w:type="dxa"/>
            </w:tcMar>
          </w:tcPr>
          <w:p w:rsidR="00FA423E" w:rsidRPr="002803A3" w:rsidRDefault="00FA423E" w:rsidP="00DC1333">
            <w:pPr>
              <w:rPr>
                <w:sz w:val="16"/>
                <w:szCs w:val="16"/>
              </w:rPr>
            </w:pPr>
            <w:r w:rsidRPr="002803A3">
              <w:rPr>
                <w:sz w:val="16"/>
                <w:szCs w:val="16"/>
                <w:lang w:val="es-ES_tradnl"/>
              </w:rPr>
              <w:t>Acuerdo sobre un marco normativo para los procedimientos de registro y mantenimiento de los diseños industriales</w:t>
            </w:r>
          </w:p>
        </w:tc>
        <w:tc>
          <w:tcPr>
            <w:tcW w:w="765" w:type="pct"/>
            <w:shd w:val="clear" w:color="auto" w:fill="FFFFFF"/>
            <w:tcMar>
              <w:top w:w="113" w:type="dxa"/>
              <w:bottom w:w="113" w:type="dxa"/>
            </w:tcMar>
          </w:tcPr>
          <w:p w:rsidR="00FA423E" w:rsidRPr="002803A3" w:rsidRDefault="00FA423E" w:rsidP="00DC1333">
            <w:pPr>
              <w:jc w:val="center"/>
              <w:rPr>
                <w:sz w:val="16"/>
                <w:szCs w:val="16"/>
                <w:lang w:bidi="th-TH"/>
              </w:rPr>
            </w:pPr>
            <w:r w:rsidRPr="002803A3">
              <w:rPr>
                <w:sz w:val="16"/>
                <w:szCs w:val="16"/>
                <w:lang w:val="es-ES_tradnl" w:bidi="th-TH"/>
              </w:rPr>
              <w:t>Programa 2</w:t>
            </w:r>
          </w:p>
        </w:tc>
        <w:tc>
          <w:tcPr>
            <w:tcW w:w="434" w:type="pct"/>
            <w:shd w:val="clear" w:color="auto" w:fill="FFFFFF"/>
          </w:tcPr>
          <w:p w:rsidR="00FA423E" w:rsidRPr="00CC3F44" w:rsidRDefault="00FA423E" w:rsidP="00DC1333">
            <w:pPr>
              <w:jc w:val="center"/>
            </w:pPr>
            <w:r w:rsidRPr="00CC3F44">
              <w:rPr>
                <w:bCs/>
                <w:color w:val="FF0000"/>
                <w:szCs w:val="22"/>
              </w:rPr>
              <w:sym w:font="Wingdings" w:char="F06C"/>
            </w:r>
          </w:p>
        </w:tc>
      </w:tr>
      <w:tr w:rsidR="00FA423E" w:rsidRPr="00AF5E7C" w:rsidTr="00DC1333">
        <w:trPr>
          <w:cantSplit/>
          <w:trHeight w:val="360"/>
        </w:trPr>
        <w:tc>
          <w:tcPr>
            <w:tcW w:w="1581" w:type="pct"/>
            <w:shd w:val="clear" w:color="auto" w:fill="auto"/>
            <w:tcMar>
              <w:top w:w="113" w:type="dxa"/>
              <w:bottom w:w="113" w:type="dxa"/>
            </w:tcMar>
          </w:tcPr>
          <w:p w:rsidR="00FA423E" w:rsidRPr="002803A3" w:rsidRDefault="00FA423E" w:rsidP="00DC1333">
            <w:pPr>
              <w:rPr>
                <w:sz w:val="16"/>
                <w:szCs w:val="16"/>
              </w:rPr>
            </w:pPr>
          </w:p>
        </w:tc>
        <w:tc>
          <w:tcPr>
            <w:tcW w:w="2220" w:type="pct"/>
            <w:shd w:val="clear" w:color="auto" w:fill="auto"/>
            <w:tcMar>
              <w:top w:w="113" w:type="dxa"/>
              <w:bottom w:w="113" w:type="dxa"/>
            </w:tcMar>
          </w:tcPr>
          <w:p w:rsidR="00FA423E" w:rsidRPr="002803A3" w:rsidRDefault="00FA423E" w:rsidP="00DC1333">
            <w:pPr>
              <w:rPr>
                <w:sz w:val="16"/>
                <w:szCs w:val="16"/>
                <w:lang w:bidi="th-TH"/>
              </w:rPr>
            </w:pPr>
            <w:r w:rsidRPr="002803A3">
              <w:rPr>
                <w:sz w:val="16"/>
                <w:szCs w:val="16"/>
                <w:lang w:val="es-ES_tradnl" w:bidi="th-TH"/>
              </w:rPr>
              <w:t>Progresos en pos de un acuerdo relativo a las cuestiones que están en el orden del día del SCT</w:t>
            </w:r>
          </w:p>
        </w:tc>
        <w:tc>
          <w:tcPr>
            <w:tcW w:w="765" w:type="pct"/>
            <w:shd w:val="clear" w:color="auto" w:fill="FFFFFF"/>
            <w:tcMar>
              <w:top w:w="113" w:type="dxa"/>
              <w:bottom w:w="113" w:type="dxa"/>
            </w:tcMar>
          </w:tcPr>
          <w:p w:rsidR="00FA423E" w:rsidRPr="002803A3" w:rsidRDefault="00FA423E" w:rsidP="00DC1333">
            <w:pPr>
              <w:jc w:val="center"/>
              <w:rPr>
                <w:sz w:val="16"/>
                <w:szCs w:val="16"/>
                <w:lang w:bidi="th-TH"/>
              </w:rPr>
            </w:pPr>
            <w:r w:rsidRPr="002803A3">
              <w:rPr>
                <w:sz w:val="16"/>
                <w:szCs w:val="16"/>
                <w:lang w:val="es-ES_tradnl" w:bidi="th-TH"/>
              </w:rPr>
              <w:t>Programa 2</w:t>
            </w:r>
          </w:p>
        </w:tc>
        <w:tc>
          <w:tcPr>
            <w:tcW w:w="434" w:type="pct"/>
            <w:shd w:val="clear" w:color="auto" w:fill="FFFFFF"/>
          </w:tcPr>
          <w:p w:rsidR="00FA423E" w:rsidRPr="00CC3F44" w:rsidRDefault="00FA423E" w:rsidP="00DC1333">
            <w:pPr>
              <w:spacing w:before="40"/>
              <w:jc w:val="center"/>
            </w:pPr>
            <w:r w:rsidRPr="00CC3F44">
              <w:rPr>
                <w:color w:val="008000"/>
                <w:szCs w:val="22"/>
              </w:rPr>
              <w:sym w:font="Wingdings" w:char="F06C"/>
            </w:r>
          </w:p>
        </w:tc>
      </w:tr>
      <w:tr w:rsidR="00FA423E" w:rsidRPr="00AF5E7C" w:rsidTr="00DC1333">
        <w:trPr>
          <w:cantSplit/>
          <w:trHeight w:val="360"/>
        </w:trPr>
        <w:tc>
          <w:tcPr>
            <w:tcW w:w="1581" w:type="pct"/>
            <w:shd w:val="clear" w:color="auto" w:fill="auto"/>
            <w:tcMar>
              <w:top w:w="113" w:type="dxa"/>
              <w:bottom w:w="113" w:type="dxa"/>
            </w:tcMar>
          </w:tcPr>
          <w:p w:rsidR="00FA423E" w:rsidRPr="002803A3" w:rsidRDefault="00FA423E" w:rsidP="00DC1333">
            <w:pPr>
              <w:rPr>
                <w:sz w:val="16"/>
                <w:szCs w:val="16"/>
              </w:rPr>
            </w:pPr>
          </w:p>
        </w:tc>
        <w:tc>
          <w:tcPr>
            <w:tcW w:w="2220" w:type="pct"/>
            <w:shd w:val="clear" w:color="auto" w:fill="auto"/>
            <w:tcMar>
              <w:top w:w="113" w:type="dxa"/>
              <w:bottom w:w="113" w:type="dxa"/>
            </w:tcMar>
          </w:tcPr>
          <w:p w:rsidR="00FA423E" w:rsidRPr="002803A3" w:rsidRDefault="00FA423E" w:rsidP="00DC1333">
            <w:pPr>
              <w:rPr>
                <w:sz w:val="16"/>
                <w:szCs w:val="16"/>
              </w:rPr>
            </w:pPr>
            <w:r w:rsidRPr="002803A3">
              <w:rPr>
                <w:sz w:val="16"/>
                <w:szCs w:val="16"/>
                <w:lang w:val="es-ES_tradnl"/>
              </w:rPr>
              <w:t>Número de ratificaciones/adhesiones al Tratado de Singapur</w:t>
            </w:r>
          </w:p>
        </w:tc>
        <w:tc>
          <w:tcPr>
            <w:tcW w:w="765" w:type="pct"/>
            <w:shd w:val="clear" w:color="auto" w:fill="FFFFFF"/>
            <w:tcMar>
              <w:top w:w="113" w:type="dxa"/>
              <w:bottom w:w="113" w:type="dxa"/>
            </w:tcMar>
          </w:tcPr>
          <w:p w:rsidR="00FA423E" w:rsidRPr="002803A3" w:rsidRDefault="00FA423E" w:rsidP="00DC1333">
            <w:pPr>
              <w:jc w:val="center"/>
              <w:rPr>
                <w:sz w:val="16"/>
                <w:szCs w:val="16"/>
                <w:lang w:bidi="th-TH"/>
              </w:rPr>
            </w:pPr>
            <w:r w:rsidRPr="002803A3">
              <w:rPr>
                <w:sz w:val="16"/>
                <w:szCs w:val="16"/>
                <w:lang w:val="es-ES_tradnl" w:bidi="th-TH"/>
              </w:rPr>
              <w:t>Programa 2</w:t>
            </w:r>
          </w:p>
        </w:tc>
        <w:tc>
          <w:tcPr>
            <w:tcW w:w="434" w:type="pct"/>
            <w:shd w:val="clear" w:color="auto" w:fill="FFFFFF"/>
          </w:tcPr>
          <w:p w:rsidR="00FA423E" w:rsidRPr="00CC3F44" w:rsidRDefault="00FA423E" w:rsidP="00DC1333">
            <w:pPr>
              <w:spacing w:before="40"/>
              <w:jc w:val="center"/>
            </w:pPr>
            <w:r w:rsidRPr="00CC3F44">
              <w:rPr>
                <w:color w:val="008000"/>
                <w:szCs w:val="22"/>
              </w:rPr>
              <w:sym w:font="Wingdings" w:char="F06C"/>
            </w:r>
          </w:p>
        </w:tc>
      </w:tr>
      <w:tr w:rsidR="00FA423E" w:rsidRPr="00AF5E7C" w:rsidTr="00DC1333">
        <w:trPr>
          <w:cantSplit/>
          <w:trHeight w:val="360"/>
        </w:trPr>
        <w:tc>
          <w:tcPr>
            <w:tcW w:w="1581" w:type="pct"/>
            <w:shd w:val="clear" w:color="auto" w:fill="auto"/>
            <w:tcMar>
              <w:top w:w="113" w:type="dxa"/>
              <w:bottom w:w="113" w:type="dxa"/>
            </w:tcMar>
          </w:tcPr>
          <w:p w:rsidR="00FA423E" w:rsidRPr="002803A3" w:rsidRDefault="00FA423E" w:rsidP="00DC1333">
            <w:pPr>
              <w:rPr>
                <w:sz w:val="16"/>
                <w:szCs w:val="16"/>
              </w:rPr>
            </w:pPr>
          </w:p>
        </w:tc>
        <w:tc>
          <w:tcPr>
            <w:tcW w:w="2220" w:type="pct"/>
            <w:shd w:val="clear" w:color="auto" w:fill="auto"/>
            <w:tcMar>
              <w:top w:w="113" w:type="dxa"/>
              <w:bottom w:w="113" w:type="dxa"/>
            </w:tcMar>
          </w:tcPr>
          <w:p w:rsidR="00FA423E" w:rsidRPr="002803A3" w:rsidRDefault="00FA423E" w:rsidP="00DC1333">
            <w:pPr>
              <w:rPr>
                <w:sz w:val="16"/>
                <w:szCs w:val="16"/>
              </w:rPr>
            </w:pPr>
            <w:r w:rsidRPr="002803A3">
              <w:rPr>
                <w:sz w:val="16"/>
                <w:szCs w:val="16"/>
                <w:lang w:val="es-ES_tradnl"/>
              </w:rPr>
              <w:t>Progresos en pos de un acuerdo relativo a las cuestiones que están en el orden del día del SCCR</w:t>
            </w:r>
          </w:p>
        </w:tc>
        <w:tc>
          <w:tcPr>
            <w:tcW w:w="765" w:type="pct"/>
            <w:shd w:val="clear" w:color="auto" w:fill="FFFFFF"/>
            <w:tcMar>
              <w:top w:w="113" w:type="dxa"/>
              <w:bottom w:w="113" w:type="dxa"/>
            </w:tcMar>
          </w:tcPr>
          <w:p w:rsidR="00FA423E" w:rsidRPr="002803A3" w:rsidRDefault="00FA423E" w:rsidP="00DC1333">
            <w:pPr>
              <w:jc w:val="center"/>
              <w:rPr>
                <w:sz w:val="16"/>
                <w:szCs w:val="16"/>
                <w:lang w:bidi="th-TH"/>
              </w:rPr>
            </w:pPr>
            <w:r w:rsidRPr="002803A3">
              <w:rPr>
                <w:sz w:val="16"/>
                <w:szCs w:val="16"/>
                <w:lang w:val="es-ES_tradnl" w:bidi="th-TH"/>
              </w:rPr>
              <w:t>Programa 3</w:t>
            </w:r>
          </w:p>
        </w:tc>
        <w:tc>
          <w:tcPr>
            <w:tcW w:w="434" w:type="pct"/>
            <w:shd w:val="clear" w:color="auto" w:fill="FFFFFF"/>
          </w:tcPr>
          <w:p w:rsidR="00FA423E" w:rsidRPr="00CC3F44" w:rsidRDefault="00FA423E" w:rsidP="00DC1333">
            <w:pPr>
              <w:jc w:val="center"/>
            </w:pPr>
            <w:r w:rsidRPr="00CC3F44">
              <w:rPr>
                <w:bCs/>
                <w:color w:val="FF0000"/>
                <w:szCs w:val="22"/>
              </w:rPr>
              <w:sym w:font="Wingdings" w:char="F06C"/>
            </w:r>
          </w:p>
        </w:tc>
      </w:tr>
      <w:tr w:rsidR="00FA423E" w:rsidRPr="00AF5E7C" w:rsidTr="00DC1333">
        <w:trPr>
          <w:cantSplit/>
          <w:trHeight w:val="360"/>
        </w:trPr>
        <w:tc>
          <w:tcPr>
            <w:tcW w:w="1581" w:type="pct"/>
            <w:shd w:val="clear" w:color="auto" w:fill="auto"/>
            <w:tcMar>
              <w:top w:w="113" w:type="dxa"/>
              <w:bottom w:w="113" w:type="dxa"/>
            </w:tcMar>
          </w:tcPr>
          <w:p w:rsidR="00FA423E" w:rsidRPr="002803A3" w:rsidRDefault="00FA423E" w:rsidP="00DC1333">
            <w:pPr>
              <w:rPr>
                <w:sz w:val="16"/>
                <w:szCs w:val="16"/>
              </w:rPr>
            </w:pPr>
          </w:p>
        </w:tc>
        <w:tc>
          <w:tcPr>
            <w:tcW w:w="2220" w:type="pct"/>
            <w:shd w:val="clear" w:color="auto" w:fill="auto"/>
            <w:tcMar>
              <w:top w:w="113" w:type="dxa"/>
              <w:bottom w:w="113" w:type="dxa"/>
            </w:tcMar>
          </w:tcPr>
          <w:p w:rsidR="00FA423E" w:rsidRPr="002803A3" w:rsidRDefault="00FA423E" w:rsidP="00DC1333">
            <w:pPr>
              <w:rPr>
                <w:sz w:val="16"/>
                <w:szCs w:val="16"/>
              </w:rPr>
            </w:pPr>
            <w:r w:rsidRPr="002803A3">
              <w:rPr>
                <w:sz w:val="16"/>
                <w:szCs w:val="16"/>
                <w:lang w:val="es-ES_tradnl"/>
              </w:rPr>
              <w:t>Acuerdo en las negociaciones del CIG en torno a uno o varios instrumentos jurídicos internacionales sobre CC.TT., ECT y RR.GG.</w:t>
            </w:r>
          </w:p>
        </w:tc>
        <w:tc>
          <w:tcPr>
            <w:tcW w:w="765" w:type="pct"/>
            <w:shd w:val="clear" w:color="auto" w:fill="FFFFFF"/>
            <w:tcMar>
              <w:top w:w="113" w:type="dxa"/>
              <w:bottom w:w="113" w:type="dxa"/>
            </w:tcMar>
          </w:tcPr>
          <w:p w:rsidR="00FA423E" w:rsidRPr="002803A3" w:rsidRDefault="00FA423E" w:rsidP="00DC1333">
            <w:pPr>
              <w:jc w:val="center"/>
              <w:rPr>
                <w:sz w:val="16"/>
                <w:szCs w:val="16"/>
                <w:lang w:bidi="th-TH"/>
              </w:rPr>
            </w:pPr>
            <w:r w:rsidRPr="002803A3">
              <w:rPr>
                <w:sz w:val="16"/>
                <w:szCs w:val="16"/>
                <w:lang w:val="es-ES_tradnl" w:bidi="th-TH"/>
              </w:rPr>
              <w:t>Programa 4</w:t>
            </w:r>
          </w:p>
        </w:tc>
        <w:tc>
          <w:tcPr>
            <w:tcW w:w="434" w:type="pct"/>
            <w:shd w:val="clear" w:color="auto" w:fill="FFFFFF"/>
          </w:tcPr>
          <w:p w:rsidR="00FA423E" w:rsidRPr="00CC3F44" w:rsidRDefault="00FA423E" w:rsidP="00DC1333">
            <w:pPr>
              <w:jc w:val="center"/>
            </w:pPr>
            <w:r w:rsidRPr="00CC3F44">
              <w:rPr>
                <w:color w:val="FF0000"/>
                <w:szCs w:val="22"/>
              </w:rPr>
              <w:sym w:font="Wingdings" w:char="F06C"/>
            </w:r>
          </w:p>
        </w:tc>
      </w:tr>
      <w:tr w:rsidR="00FA423E" w:rsidRPr="00AF5E7C" w:rsidTr="00DC1333">
        <w:trPr>
          <w:cantSplit/>
          <w:trHeight w:val="360"/>
        </w:trPr>
        <w:tc>
          <w:tcPr>
            <w:tcW w:w="1581" w:type="pct"/>
            <w:shd w:val="clear" w:color="auto" w:fill="auto"/>
            <w:tcMar>
              <w:top w:w="113" w:type="dxa"/>
              <w:bottom w:w="113" w:type="dxa"/>
            </w:tcMar>
          </w:tcPr>
          <w:p w:rsidR="00FA423E" w:rsidRPr="002803A3" w:rsidRDefault="00FA423E" w:rsidP="00DC1333">
            <w:pPr>
              <w:rPr>
                <w:sz w:val="16"/>
                <w:szCs w:val="16"/>
              </w:rPr>
            </w:pPr>
            <w:r w:rsidRPr="002803A3">
              <w:rPr>
                <w:sz w:val="16"/>
                <w:szCs w:val="16"/>
              </w:rPr>
              <w:lastRenderedPageBreak/>
              <w:t xml:space="preserve">I.2 </w:t>
            </w:r>
            <w:r w:rsidRPr="002803A3">
              <w:rPr>
                <w:sz w:val="16"/>
                <w:szCs w:val="16"/>
                <w:lang w:val="es-ES_tradnl"/>
              </w:rPr>
              <w:t>Marcos de P.I. adaptados y equilibrados en el ámbito legislativo, reglamentario y de política</w:t>
            </w:r>
          </w:p>
        </w:tc>
        <w:tc>
          <w:tcPr>
            <w:tcW w:w="2220" w:type="pct"/>
            <w:shd w:val="clear" w:color="auto" w:fill="auto"/>
            <w:tcMar>
              <w:top w:w="113" w:type="dxa"/>
              <w:bottom w:w="113" w:type="dxa"/>
            </w:tcMar>
          </w:tcPr>
          <w:p w:rsidR="00FA423E" w:rsidRPr="002803A3" w:rsidRDefault="00FA423E" w:rsidP="00DC1333">
            <w:pPr>
              <w:rPr>
                <w:sz w:val="16"/>
                <w:szCs w:val="16"/>
              </w:rPr>
            </w:pPr>
            <w:r w:rsidRPr="002803A3">
              <w:rPr>
                <w:sz w:val="16"/>
                <w:szCs w:val="16"/>
                <w:lang w:val="es-ES_tradnl"/>
              </w:rPr>
              <w:t>Número y porcentaje de Estados miembros que consideran útil la información proporcionada en relación con los principios y prácticas jurídicos del sistema de patentes, como, por ejemplo, las flexibilidades que ofrece el sistema y los desafíos que se plantean en la materia</w:t>
            </w:r>
          </w:p>
        </w:tc>
        <w:tc>
          <w:tcPr>
            <w:tcW w:w="765" w:type="pct"/>
            <w:shd w:val="clear" w:color="auto" w:fill="FFFFFF"/>
            <w:tcMar>
              <w:top w:w="113" w:type="dxa"/>
              <w:bottom w:w="113" w:type="dxa"/>
            </w:tcMar>
          </w:tcPr>
          <w:p w:rsidR="00FA423E" w:rsidRPr="002803A3" w:rsidRDefault="00FA423E" w:rsidP="00DC1333">
            <w:pPr>
              <w:jc w:val="center"/>
              <w:rPr>
                <w:sz w:val="16"/>
                <w:szCs w:val="16"/>
                <w:lang w:bidi="th-TH"/>
              </w:rPr>
            </w:pPr>
            <w:r w:rsidRPr="002803A3">
              <w:rPr>
                <w:sz w:val="16"/>
                <w:szCs w:val="16"/>
                <w:lang w:val="es-ES_tradnl" w:bidi="th-TH"/>
              </w:rPr>
              <w:t>Programa 1</w:t>
            </w:r>
          </w:p>
        </w:tc>
        <w:tc>
          <w:tcPr>
            <w:tcW w:w="434" w:type="pct"/>
            <w:shd w:val="clear" w:color="auto" w:fill="FFFFFF"/>
          </w:tcPr>
          <w:p w:rsidR="00FA423E" w:rsidRPr="00CC3F44" w:rsidRDefault="00FA423E" w:rsidP="00DC1333">
            <w:pPr>
              <w:spacing w:before="40"/>
              <w:jc w:val="center"/>
            </w:pPr>
            <w:r w:rsidRPr="00CC3F44">
              <w:rPr>
                <w:color w:val="008000"/>
                <w:szCs w:val="22"/>
              </w:rPr>
              <w:sym w:font="Wingdings" w:char="F06C"/>
            </w:r>
          </w:p>
        </w:tc>
      </w:tr>
      <w:tr w:rsidR="00FA423E" w:rsidRPr="00AF5E7C" w:rsidTr="00DC1333">
        <w:trPr>
          <w:cantSplit/>
          <w:trHeight w:val="360"/>
        </w:trPr>
        <w:tc>
          <w:tcPr>
            <w:tcW w:w="1581" w:type="pct"/>
            <w:vMerge w:val="restart"/>
            <w:shd w:val="clear" w:color="auto" w:fill="auto"/>
            <w:tcMar>
              <w:top w:w="113" w:type="dxa"/>
              <w:bottom w:w="113" w:type="dxa"/>
            </w:tcMar>
          </w:tcPr>
          <w:p w:rsidR="00FA423E" w:rsidRPr="002803A3" w:rsidRDefault="00FA423E" w:rsidP="00DC1333">
            <w:pPr>
              <w:keepNext/>
              <w:rPr>
                <w:sz w:val="16"/>
                <w:szCs w:val="16"/>
              </w:rPr>
            </w:pPr>
          </w:p>
        </w:tc>
        <w:tc>
          <w:tcPr>
            <w:tcW w:w="2220" w:type="pct"/>
            <w:vMerge w:val="restart"/>
            <w:shd w:val="clear" w:color="auto" w:fill="auto"/>
            <w:tcMar>
              <w:top w:w="113" w:type="dxa"/>
              <w:bottom w:w="113" w:type="dxa"/>
            </w:tcMar>
          </w:tcPr>
          <w:p w:rsidR="00FA423E" w:rsidRPr="002803A3" w:rsidRDefault="00FA423E" w:rsidP="00DC1333">
            <w:pPr>
              <w:keepNext/>
              <w:rPr>
                <w:sz w:val="16"/>
                <w:szCs w:val="16"/>
              </w:rPr>
            </w:pPr>
            <w:r w:rsidRPr="002803A3">
              <w:rPr>
                <w:sz w:val="16"/>
                <w:szCs w:val="16"/>
                <w:lang w:val="es-ES_tradnl"/>
              </w:rPr>
              <w:t>Número y porcentaje de Estados miembros satisfechos con la calidad del asesoramiento jurídico sobre patentes, modelos de utilidad, secretos comerciales y circuitos integrados</w:t>
            </w:r>
          </w:p>
        </w:tc>
        <w:tc>
          <w:tcPr>
            <w:tcW w:w="765" w:type="pct"/>
            <w:shd w:val="clear" w:color="auto" w:fill="FFFFFF"/>
            <w:tcMar>
              <w:top w:w="113" w:type="dxa"/>
              <w:bottom w:w="113" w:type="dxa"/>
            </w:tcMar>
          </w:tcPr>
          <w:p w:rsidR="00FA423E" w:rsidRPr="002803A3" w:rsidRDefault="00FA423E" w:rsidP="00DC1333">
            <w:pPr>
              <w:keepNext/>
              <w:jc w:val="center"/>
              <w:rPr>
                <w:sz w:val="16"/>
                <w:szCs w:val="16"/>
                <w:lang w:bidi="th-TH"/>
              </w:rPr>
            </w:pPr>
            <w:r w:rsidRPr="002803A3">
              <w:rPr>
                <w:sz w:val="16"/>
                <w:szCs w:val="16"/>
                <w:lang w:val="es-ES_tradnl" w:bidi="th-TH"/>
              </w:rPr>
              <w:t>Programa 1</w:t>
            </w:r>
          </w:p>
        </w:tc>
        <w:tc>
          <w:tcPr>
            <w:tcW w:w="434" w:type="pct"/>
            <w:shd w:val="clear" w:color="auto" w:fill="FFFFFF"/>
          </w:tcPr>
          <w:p w:rsidR="00FA423E" w:rsidRPr="00CC3F44" w:rsidRDefault="00FA423E" w:rsidP="00DC1333">
            <w:pPr>
              <w:keepNext/>
              <w:spacing w:before="40"/>
              <w:jc w:val="center"/>
              <w:rPr>
                <w:color w:val="008000"/>
                <w:szCs w:val="22"/>
              </w:rPr>
            </w:pPr>
            <w:r w:rsidRPr="00CC3F44">
              <w:rPr>
                <w:color w:val="008000"/>
                <w:szCs w:val="22"/>
              </w:rPr>
              <w:sym w:font="Wingdings" w:char="F06C"/>
            </w:r>
          </w:p>
        </w:tc>
      </w:tr>
      <w:tr w:rsidR="00FA423E" w:rsidRPr="00AF5E7C" w:rsidTr="00DC1333">
        <w:trPr>
          <w:cantSplit/>
          <w:trHeight w:val="360"/>
        </w:trPr>
        <w:tc>
          <w:tcPr>
            <w:tcW w:w="1581" w:type="pct"/>
            <w:vMerge/>
            <w:shd w:val="clear" w:color="auto" w:fill="auto"/>
            <w:tcMar>
              <w:top w:w="113" w:type="dxa"/>
              <w:bottom w:w="113" w:type="dxa"/>
            </w:tcMar>
          </w:tcPr>
          <w:p w:rsidR="00FA423E" w:rsidRPr="002803A3" w:rsidRDefault="00FA423E" w:rsidP="00DC1333">
            <w:pPr>
              <w:rPr>
                <w:sz w:val="16"/>
                <w:szCs w:val="16"/>
              </w:rPr>
            </w:pPr>
          </w:p>
        </w:tc>
        <w:tc>
          <w:tcPr>
            <w:tcW w:w="2220" w:type="pct"/>
            <w:vMerge/>
            <w:shd w:val="clear" w:color="auto" w:fill="auto"/>
            <w:tcMar>
              <w:top w:w="113" w:type="dxa"/>
              <w:bottom w:w="113" w:type="dxa"/>
            </w:tcMar>
          </w:tcPr>
          <w:p w:rsidR="00FA423E" w:rsidRPr="002803A3" w:rsidRDefault="00FA423E" w:rsidP="00DC1333">
            <w:pPr>
              <w:rPr>
                <w:sz w:val="16"/>
                <w:szCs w:val="16"/>
              </w:rPr>
            </w:pPr>
          </w:p>
        </w:tc>
        <w:tc>
          <w:tcPr>
            <w:tcW w:w="765" w:type="pct"/>
            <w:shd w:val="clear" w:color="auto" w:fill="FFFFFF"/>
            <w:tcMar>
              <w:top w:w="113" w:type="dxa"/>
              <w:bottom w:w="113" w:type="dxa"/>
            </w:tcMar>
          </w:tcPr>
          <w:p w:rsidR="00FA423E" w:rsidRPr="002803A3" w:rsidRDefault="00FA423E" w:rsidP="00DC1333">
            <w:pPr>
              <w:jc w:val="center"/>
              <w:rPr>
                <w:sz w:val="16"/>
                <w:szCs w:val="16"/>
                <w:lang w:bidi="th-TH"/>
              </w:rPr>
            </w:pPr>
            <w:r w:rsidRPr="002803A3">
              <w:rPr>
                <w:sz w:val="16"/>
                <w:szCs w:val="16"/>
                <w:lang w:val="es-ES_tradnl" w:bidi="th-TH"/>
              </w:rPr>
              <w:t>Programa 9</w:t>
            </w:r>
          </w:p>
        </w:tc>
        <w:tc>
          <w:tcPr>
            <w:tcW w:w="434" w:type="pct"/>
            <w:shd w:val="clear" w:color="auto" w:fill="FFFFFF"/>
          </w:tcPr>
          <w:p w:rsidR="00FA423E" w:rsidRPr="00CC3F44" w:rsidRDefault="00FA423E" w:rsidP="00DC1333">
            <w:pPr>
              <w:spacing w:before="40"/>
              <w:jc w:val="center"/>
              <w:rPr>
                <w:color w:val="008000"/>
                <w:szCs w:val="22"/>
              </w:rPr>
            </w:pPr>
            <w:r w:rsidRPr="00CC3F44">
              <w:rPr>
                <w:color w:val="008000"/>
                <w:szCs w:val="22"/>
              </w:rPr>
              <w:sym w:font="Wingdings" w:char="F06C"/>
            </w:r>
          </w:p>
        </w:tc>
      </w:tr>
      <w:tr w:rsidR="00FA423E" w:rsidRPr="00AF5E7C" w:rsidTr="00DC1333">
        <w:trPr>
          <w:cantSplit/>
          <w:trHeight w:val="360"/>
        </w:trPr>
        <w:tc>
          <w:tcPr>
            <w:tcW w:w="1581" w:type="pct"/>
            <w:shd w:val="clear" w:color="auto" w:fill="auto"/>
            <w:tcMar>
              <w:top w:w="113" w:type="dxa"/>
              <w:bottom w:w="113" w:type="dxa"/>
            </w:tcMar>
          </w:tcPr>
          <w:p w:rsidR="00FA423E" w:rsidRPr="002803A3" w:rsidRDefault="00FA423E" w:rsidP="00DC1333">
            <w:pPr>
              <w:rPr>
                <w:sz w:val="16"/>
                <w:szCs w:val="16"/>
              </w:rPr>
            </w:pPr>
          </w:p>
        </w:tc>
        <w:tc>
          <w:tcPr>
            <w:tcW w:w="2220" w:type="pct"/>
            <w:shd w:val="clear" w:color="auto" w:fill="auto"/>
            <w:tcMar>
              <w:top w:w="113" w:type="dxa"/>
              <w:bottom w:w="113" w:type="dxa"/>
            </w:tcMar>
          </w:tcPr>
          <w:p w:rsidR="00FA423E" w:rsidRPr="002803A3" w:rsidRDefault="00FA423E" w:rsidP="00DC1333">
            <w:pPr>
              <w:rPr>
                <w:sz w:val="16"/>
                <w:szCs w:val="16"/>
              </w:rPr>
            </w:pPr>
            <w:r w:rsidRPr="002803A3">
              <w:rPr>
                <w:sz w:val="16"/>
                <w:szCs w:val="16"/>
                <w:lang w:val="es-ES_tradnl"/>
              </w:rPr>
              <w:t>Con sujeción a la aprobación de los Estados miembros, avance en la revisión de la ley tipo sobre patentes para los países en desarrollo y los PMA</w:t>
            </w:r>
          </w:p>
        </w:tc>
        <w:tc>
          <w:tcPr>
            <w:tcW w:w="765" w:type="pct"/>
            <w:shd w:val="clear" w:color="auto" w:fill="FFFFFF"/>
            <w:tcMar>
              <w:top w:w="113" w:type="dxa"/>
              <w:bottom w:w="113" w:type="dxa"/>
            </w:tcMar>
          </w:tcPr>
          <w:p w:rsidR="00FA423E" w:rsidRPr="002803A3" w:rsidRDefault="00FA423E" w:rsidP="00DC1333">
            <w:pPr>
              <w:jc w:val="center"/>
              <w:rPr>
                <w:sz w:val="16"/>
                <w:szCs w:val="16"/>
                <w:lang w:bidi="th-TH"/>
              </w:rPr>
            </w:pPr>
            <w:r w:rsidRPr="002803A3">
              <w:rPr>
                <w:sz w:val="16"/>
                <w:szCs w:val="16"/>
                <w:lang w:val="es-ES_tradnl" w:bidi="th-TH"/>
              </w:rPr>
              <w:t>Programa 1</w:t>
            </w:r>
          </w:p>
        </w:tc>
        <w:tc>
          <w:tcPr>
            <w:tcW w:w="434" w:type="pct"/>
            <w:shd w:val="clear" w:color="auto" w:fill="FFFFFF"/>
          </w:tcPr>
          <w:p w:rsidR="00FA423E" w:rsidRPr="00CC3F44" w:rsidRDefault="00FA423E" w:rsidP="00DC1333">
            <w:pPr>
              <w:jc w:val="center"/>
              <w:rPr>
                <w:szCs w:val="22"/>
              </w:rPr>
            </w:pPr>
            <w:r w:rsidRPr="00CC3F44">
              <w:rPr>
                <w:bCs/>
                <w:color w:val="FF0000"/>
                <w:szCs w:val="22"/>
              </w:rPr>
              <w:sym w:font="Wingdings" w:char="F06C"/>
            </w:r>
          </w:p>
        </w:tc>
      </w:tr>
      <w:tr w:rsidR="00FA423E" w:rsidRPr="00AF5E7C" w:rsidTr="00DC1333">
        <w:trPr>
          <w:cantSplit/>
          <w:trHeight w:val="360"/>
        </w:trPr>
        <w:tc>
          <w:tcPr>
            <w:tcW w:w="1581" w:type="pct"/>
            <w:vMerge w:val="restart"/>
            <w:shd w:val="clear" w:color="auto" w:fill="auto"/>
            <w:tcMar>
              <w:top w:w="113" w:type="dxa"/>
              <w:bottom w:w="113" w:type="dxa"/>
            </w:tcMar>
          </w:tcPr>
          <w:p w:rsidR="00FA423E" w:rsidRPr="002803A3" w:rsidRDefault="00FA423E" w:rsidP="00DC1333">
            <w:pPr>
              <w:rPr>
                <w:sz w:val="16"/>
                <w:szCs w:val="16"/>
              </w:rPr>
            </w:pPr>
          </w:p>
        </w:tc>
        <w:tc>
          <w:tcPr>
            <w:tcW w:w="2220" w:type="pct"/>
            <w:vMerge w:val="restart"/>
            <w:shd w:val="clear" w:color="auto" w:fill="auto"/>
            <w:tcMar>
              <w:top w:w="113" w:type="dxa"/>
              <w:bottom w:w="113" w:type="dxa"/>
            </w:tcMar>
          </w:tcPr>
          <w:p w:rsidR="00FA423E" w:rsidRPr="002803A3" w:rsidRDefault="00FA423E" w:rsidP="00DC1333">
            <w:pPr>
              <w:rPr>
                <w:sz w:val="16"/>
                <w:szCs w:val="16"/>
              </w:rPr>
            </w:pPr>
            <w:r w:rsidRPr="002803A3">
              <w:rPr>
                <w:sz w:val="16"/>
                <w:szCs w:val="16"/>
                <w:lang w:val="es-ES_tradnl"/>
              </w:rPr>
              <w:t>Número y porcentaje de Estados miembros/organizaciones regionales que han presentado comentarios positivos sobre el asesoramiento legislativo proporcionado en la esfera de las marcas, los diseños industriales y las indicaciones geográficas</w:t>
            </w:r>
          </w:p>
        </w:tc>
        <w:tc>
          <w:tcPr>
            <w:tcW w:w="765" w:type="pct"/>
            <w:shd w:val="clear" w:color="auto" w:fill="FFFFFF"/>
            <w:tcMar>
              <w:top w:w="113" w:type="dxa"/>
              <w:bottom w:w="113" w:type="dxa"/>
            </w:tcMar>
          </w:tcPr>
          <w:p w:rsidR="00FA423E" w:rsidRPr="002803A3" w:rsidRDefault="00FA423E" w:rsidP="00DC1333">
            <w:pPr>
              <w:jc w:val="center"/>
              <w:rPr>
                <w:sz w:val="16"/>
                <w:szCs w:val="16"/>
                <w:lang w:bidi="th-TH"/>
              </w:rPr>
            </w:pPr>
            <w:r w:rsidRPr="002803A3">
              <w:rPr>
                <w:sz w:val="16"/>
                <w:szCs w:val="16"/>
                <w:lang w:val="es-ES_tradnl" w:bidi="th-TH"/>
              </w:rPr>
              <w:t>Programa 2</w:t>
            </w:r>
          </w:p>
        </w:tc>
        <w:tc>
          <w:tcPr>
            <w:tcW w:w="434" w:type="pct"/>
            <w:shd w:val="clear" w:color="auto" w:fill="FFFFFF"/>
          </w:tcPr>
          <w:p w:rsidR="00FA423E" w:rsidRPr="00CC3F44" w:rsidRDefault="00FA423E" w:rsidP="00DC1333">
            <w:pPr>
              <w:spacing w:before="40"/>
              <w:jc w:val="center"/>
              <w:rPr>
                <w:color w:val="008000"/>
                <w:szCs w:val="22"/>
              </w:rPr>
            </w:pPr>
            <w:r w:rsidRPr="00CC3F44">
              <w:rPr>
                <w:color w:val="008000"/>
                <w:szCs w:val="22"/>
              </w:rPr>
              <w:sym w:font="Wingdings" w:char="F06C"/>
            </w:r>
            <w:r w:rsidRPr="00CC3F44">
              <w:rPr>
                <w:color w:val="008000"/>
                <w:szCs w:val="22"/>
              </w:rPr>
              <w:sym w:font="Wingdings" w:char="F06C"/>
            </w:r>
          </w:p>
        </w:tc>
      </w:tr>
      <w:tr w:rsidR="00FA423E" w:rsidRPr="00AF5E7C" w:rsidTr="00DC1333">
        <w:trPr>
          <w:cantSplit/>
          <w:trHeight w:val="360"/>
        </w:trPr>
        <w:tc>
          <w:tcPr>
            <w:tcW w:w="1581" w:type="pct"/>
            <w:vMerge/>
            <w:shd w:val="clear" w:color="auto" w:fill="auto"/>
            <w:tcMar>
              <w:top w:w="113" w:type="dxa"/>
              <w:bottom w:w="113" w:type="dxa"/>
            </w:tcMar>
          </w:tcPr>
          <w:p w:rsidR="00FA423E" w:rsidRPr="002803A3" w:rsidRDefault="00FA423E" w:rsidP="00DC1333">
            <w:pPr>
              <w:rPr>
                <w:sz w:val="16"/>
                <w:szCs w:val="16"/>
              </w:rPr>
            </w:pPr>
          </w:p>
        </w:tc>
        <w:tc>
          <w:tcPr>
            <w:tcW w:w="2220" w:type="pct"/>
            <w:vMerge/>
            <w:shd w:val="clear" w:color="auto" w:fill="auto"/>
            <w:tcMar>
              <w:top w:w="113" w:type="dxa"/>
              <w:bottom w:w="113" w:type="dxa"/>
            </w:tcMar>
          </w:tcPr>
          <w:p w:rsidR="00FA423E" w:rsidRPr="002803A3" w:rsidRDefault="00FA423E" w:rsidP="00DC1333">
            <w:pPr>
              <w:rPr>
                <w:sz w:val="16"/>
                <w:szCs w:val="16"/>
              </w:rPr>
            </w:pPr>
          </w:p>
        </w:tc>
        <w:tc>
          <w:tcPr>
            <w:tcW w:w="765" w:type="pct"/>
            <w:shd w:val="clear" w:color="auto" w:fill="FFFFFF"/>
            <w:tcMar>
              <w:top w:w="113" w:type="dxa"/>
              <w:bottom w:w="113" w:type="dxa"/>
            </w:tcMar>
          </w:tcPr>
          <w:p w:rsidR="00FA423E" w:rsidRPr="002803A3" w:rsidRDefault="00FA423E" w:rsidP="00DC1333">
            <w:pPr>
              <w:jc w:val="center"/>
              <w:rPr>
                <w:sz w:val="16"/>
                <w:szCs w:val="16"/>
                <w:lang w:bidi="th-TH"/>
              </w:rPr>
            </w:pPr>
            <w:r w:rsidRPr="002803A3">
              <w:rPr>
                <w:sz w:val="16"/>
                <w:szCs w:val="16"/>
                <w:lang w:val="es-ES_tradnl" w:bidi="th-TH"/>
              </w:rPr>
              <w:t>Programa 9</w:t>
            </w:r>
          </w:p>
        </w:tc>
        <w:tc>
          <w:tcPr>
            <w:tcW w:w="434" w:type="pct"/>
            <w:shd w:val="clear" w:color="auto" w:fill="FFFFFF"/>
          </w:tcPr>
          <w:p w:rsidR="00FA423E" w:rsidRPr="00CC3F44" w:rsidRDefault="00FA423E" w:rsidP="00DC1333">
            <w:pPr>
              <w:spacing w:before="40"/>
              <w:jc w:val="center"/>
              <w:rPr>
                <w:color w:val="008000"/>
                <w:szCs w:val="22"/>
              </w:rPr>
            </w:pPr>
            <w:r w:rsidRPr="00CC3F44">
              <w:rPr>
                <w:color w:val="008000"/>
                <w:szCs w:val="22"/>
              </w:rPr>
              <w:sym w:font="Wingdings" w:char="F06C"/>
            </w:r>
          </w:p>
        </w:tc>
      </w:tr>
      <w:tr w:rsidR="00FA423E" w:rsidRPr="00AF5E7C" w:rsidTr="00DC1333">
        <w:trPr>
          <w:cantSplit/>
          <w:trHeight w:val="360"/>
        </w:trPr>
        <w:tc>
          <w:tcPr>
            <w:tcW w:w="1581" w:type="pct"/>
            <w:shd w:val="clear" w:color="auto" w:fill="auto"/>
            <w:tcMar>
              <w:top w:w="113" w:type="dxa"/>
              <w:bottom w:w="113" w:type="dxa"/>
            </w:tcMar>
          </w:tcPr>
          <w:p w:rsidR="00FA423E" w:rsidRPr="002803A3" w:rsidRDefault="00FA423E" w:rsidP="00DC1333">
            <w:pPr>
              <w:rPr>
                <w:sz w:val="16"/>
                <w:szCs w:val="16"/>
              </w:rPr>
            </w:pPr>
          </w:p>
        </w:tc>
        <w:tc>
          <w:tcPr>
            <w:tcW w:w="2220" w:type="pct"/>
            <w:shd w:val="clear" w:color="auto" w:fill="auto"/>
            <w:tcMar>
              <w:top w:w="113" w:type="dxa"/>
              <w:bottom w:w="113" w:type="dxa"/>
            </w:tcMar>
          </w:tcPr>
          <w:p w:rsidR="00FA423E" w:rsidRPr="002803A3" w:rsidRDefault="00FA423E" w:rsidP="00DC1333">
            <w:pPr>
              <w:rPr>
                <w:sz w:val="16"/>
                <w:szCs w:val="16"/>
              </w:rPr>
            </w:pPr>
            <w:r w:rsidRPr="002803A3">
              <w:rPr>
                <w:sz w:val="16"/>
                <w:szCs w:val="16"/>
                <w:lang w:val="es-ES_tradnl"/>
              </w:rPr>
              <w:t>Número de países que han ratificado el Tratado de Beijing</w:t>
            </w:r>
          </w:p>
        </w:tc>
        <w:tc>
          <w:tcPr>
            <w:tcW w:w="765" w:type="pct"/>
            <w:shd w:val="clear" w:color="auto" w:fill="FFFFFF"/>
            <w:tcMar>
              <w:top w:w="113" w:type="dxa"/>
              <w:bottom w:w="113" w:type="dxa"/>
            </w:tcMar>
          </w:tcPr>
          <w:p w:rsidR="00FA423E" w:rsidRPr="002803A3" w:rsidRDefault="00FA423E" w:rsidP="00DC1333">
            <w:pPr>
              <w:jc w:val="center"/>
              <w:rPr>
                <w:sz w:val="16"/>
                <w:szCs w:val="16"/>
                <w:lang w:bidi="th-TH"/>
              </w:rPr>
            </w:pPr>
            <w:r w:rsidRPr="002803A3">
              <w:rPr>
                <w:sz w:val="16"/>
                <w:szCs w:val="16"/>
                <w:lang w:val="es-ES_tradnl" w:bidi="th-TH"/>
              </w:rPr>
              <w:t>Programa 3</w:t>
            </w:r>
          </w:p>
          <w:p w:rsidR="00FA423E" w:rsidRPr="002803A3" w:rsidRDefault="00FA423E" w:rsidP="00DC1333">
            <w:pPr>
              <w:jc w:val="center"/>
              <w:rPr>
                <w:sz w:val="16"/>
                <w:szCs w:val="16"/>
                <w:lang w:bidi="th-TH"/>
              </w:rPr>
            </w:pPr>
          </w:p>
        </w:tc>
        <w:tc>
          <w:tcPr>
            <w:tcW w:w="434" w:type="pct"/>
            <w:shd w:val="clear" w:color="auto" w:fill="FFFFFF"/>
          </w:tcPr>
          <w:p w:rsidR="00FA423E" w:rsidRPr="00CC3F44" w:rsidRDefault="00FA423E" w:rsidP="00DC1333">
            <w:pPr>
              <w:jc w:val="center"/>
              <w:rPr>
                <w:color w:val="E26B0A"/>
              </w:rPr>
            </w:pPr>
            <w:r w:rsidRPr="00CC3F44">
              <w:rPr>
                <w:bCs/>
                <w:color w:val="FF0000"/>
                <w:szCs w:val="22"/>
              </w:rPr>
              <w:sym w:font="Wingdings" w:char="F06C"/>
            </w:r>
          </w:p>
        </w:tc>
      </w:tr>
      <w:tr w:rsidR="00FA423E" w:rsidRPr="00AF5E7C" w:rsidTr="00DC1333">
        <w:trPr>
          <w:cantSplit/>
          <w:trHeight w:val="360"/>
        </w:trPr>
        <w:tc>
          <w:tcPr>
            <w:tcW w:w="1581" w:type="pct"/>
            <w:vMerge w:val="restart"/>
            <w:shd w:val="clear" w:color="auto" w:fill="auto"/>
            <w:tcMar>
              <w:top w:w="113" w:type="dxa"/>
              <w:bottom w:w="113" w:type="dxa"/>
            </w:tcMar>
          </w:tcPr>
          <w:p w:rsidR="00FA423E" w:rsidRPr="002803A3" w:rsidRDefault="00FA423E" w:rsidP="00DC1333">
            <w:pPr>
              <w:rPr>
                <w:sz w:val="16"/>
                <w:szCs w:val="16"/>
              </w:rPr>
            </w:pPr>
          </w:p>
        </w:tc>
        <w:tc>
          <w:tcPr>
            <w:tcW w:w="2220" w:type="pct"/>
            <w:vMerge w:val="restart"/>
            <w:shd w:val="clear" w:color="auto" w:fill="auto"/>
            <w:tcMar>
              <w:top w:w="113" w:type="dxa"/>
              <w:bottom w:w="113" w:type="dxa"/>
            </w:tcMar>
          </w:tcPr>
          <w:p w:rsidR="00FA423E" w:rsidRPr="002803A3" w:rsidRDefault="00FA423E" w:rsidP="00DC1333">
            <w:pPr>
              <w:rPr>
                <w:sz w:val="16"/>
                <w:szCs w:val="16"/>
              </w:rPr>
            </w:pPr>
            <w:r w:rsidRPr="002803A3">
              <w:rPr>
                <w:sz w:val="16"/>
                <w:szCs w:val="16"/>
                <w:lang w:val="es-ES_tradnl"/>
              </w:rPr>
              <w:t>Número y porcentaje de países que han presentado comentarios positivos sobre el asesoramiento legislativo de la OMPI</w:t>
            </w:r>
          </w:p>
        </w:tc>
        <w:tc>
          <w:tcPr>
            <w:tcW w:w="765" w:type="pct"/>
            <w:shd w:val="clear" w:color="auto" w:fill="FFFFFF"/>
            <w:tcMar>
              <w:top w:w="113" w:type="dxa"/>
              <w:bottom w:w="113" w:type="dxa"/>
            </w:tcMar>
          </w:tcPr>
          <w:p w:rsidR="00FA423E" w:rsidRPr="002803A3" w:rsidRDefault="00FA423E" w:rsidP="00DC1333">
            <w:pPr>
              <w:jc w:val="center"/>
              <w:rPr>
                <w:sz w:val="16"/>
                <w:szCs w:val="16"/>
                <w:lang w:bidi="th-TH"/>
              </w:rPr>
            </w:pPr>
            <w:r w:rsidRPr="002803A3">
              <w:rPr>
                <w:sz w:val="16"/>
                <w:szCs w:val="16"/>
                <w:lang w:val="es-ES_tradnl" w:bidi="th-TH"/>
              </w:rPr>
              <w:t>Programa 3</w:t>
            </w:r>
          </w:p>
        </w:tc>
        <w:tc>
          <w:tcPr>
            <w:tcW w:w="434" w:type="pct"/>
            <w:shd w:val="clear" w:color="auto" w:fill="FFFFFF"/>
          </w:tcPr>
          <w:p w:rsidR="00FA423E" w:rsidRPr="00CC3F44" w:rsidRDefault="00FA423E" w:rsidP="00DC1333">
            <w:pPr>
              <w:spacing w:before="40"/>
              <w:jc w:val="center"/>
              <w:rPr>
                <w:color w:val="008000"/>
                <w:szCs w:val="22"/>
              </w:rPr>
            </w:pPr>
            <w:r w:rsidRPr="00CC3F44">
              <w:rPr>
                <w:color w:val="008000"/>
                <w:szCs w:val="22"/>
              </w:rPr>
              <w:sym w:font="Wingdings" w:char="F06C"/>
            </w:r>
          </w:p>
        </w:tc>
      </w:tr>
      <w:tr w:rsidR="00FA423E" w:rsidRPr="00AF5E7C" w:rsidTr="00DC1333">
        <w:trPr>
          <w:cantSplit/>
          <w:trHeight w:val="360"/>
        </w:trPr>
        <w:tc>
          <w:tcPr>
            <w:tcW w:w="1581" w:type="pct"/>
            <w:vMerge/>
            <w:shd w:val="clear" w:color="auto" w:fill="auto"/>
            <w:tcMar>
              <w:top w:w="113" w:type="dxa"/>
              <w:bottom w:w="113" w:type="dxa"/>
            </w:tcMar>
          </w:tcPr>
          <w:p w:rsidR="00FA423E" w:rsidRPr="002803A3" w:rsidRDefault="00FA423E" w:rsidP="00DC1333">
            <w:pPr>
              <w:rPr>
                <w:sz w:val="16"/>
                <w:szCs w:val="16"/>
              </w:rPr>
            </w:pPr>
          </w:p>
        </w:tc>
        <w:tc>
          <w:tcPr>
            <w:tcW w:w="2220" w:type="pct"/>
            <w:vMerge/>
            <w:shd w:val="clear" w:color="auto" w:fill="auto"/>
            <w:tcMar>
              <w:top w:w="113" w:type="dxa"/>
              <w:bottom w:w="113" w:type="dxa"/>
            </w:tcMar>
          </w:tcPr>
          <w:p w:rsidR="00FA423E" w:rsidRPr="002803A3" w:rsidRDefault="00FA423E" w:rsidP="00DC1333">
            <w:pPr>
              <w:jc w:val="center"/>
              <w:rPr>
                <w:sz w:val="16"/>
                <w:szCs w:val="16"/>
              </w:rPr>
            </w:pPr>
          </w:p>
        </w:tc>
        <w:tc>
          <w:tcPr>
            <w:tcW w:w="765" w:type="pct"/>
            <w:shd w:val="clear" w:color="auto" w:fill="FFFFFF"/>
            <w:tcMar>
              <w:top w:w="113" w:type="dxa"/>
              <w:bottom w:w="113" w:type="dxa"/>
            </w:tcMar>
          </w:tcPr>
          <w:p w:rsidR="00FA423E" w:rsidRPr="002803A3" w:rsidRDefault="00FA423E" w:rsidP="00DC1333">
            <w:pPr>
              <w:jc w:val="center"/>
              <w:rPr>
                <w:sz w:val="16"/>
                <w:szCs w:val="16"/>
                <w:lang w:bidi="th-TH"/>
              </w:rPr>
            </w:pPr>
            <w:r w:rsidRPr="002803A3">
              <w:rPr>
                <w:sz w:val="16"/>
                <w:szCs w:val="16"/>
                <w:lang w:val="es-ES_tradnl" w:bidi="th-TH"/>
              </w:rPr>
              <w:t>Programa 9</w:t>
            </w:r>
          </w:p>
        </w:tc>
        <w:tc>
          <w:tcPr>
            <w:tcW w:w="434" w:type="pct"/>
            <w:shd w:val="clear" w:color="auto" w:fill="FFFFFF"/>
          </w:tcPr>
          <w:p w:rsidR="00FA423E" w:rsidRPr="00CC3F44" w:rsidRDefault="00FA423E" w:rsidP="00DC1333">
            <w:pPr>
              <w:spacing w:before="40"/>
              <w:jc w:val="center"/>
              <w:rPr>
                <w:color w:val="008000"/>
                <w:szCs w:val="22"/>
              </w:rPr>
            </w:pPr>
            <w:r w:rsidRPr="00CC3F44">
              <w:rPr>
                <w:color w:val="008000"/>
                <w:szCs w:val="22"/>
              </w:rPr>
              <w:sym w:font="Wingdings" w:char="F06C"/>
            </w:r>
          </w:p>
        </w:tc>
      </w:tr>
      <w:tr w:rsidR="00FA423E" w:rsidRPr="00AF5E7C" w:rsidTr="00DC1333">
        <w:trPr>
          <w:cantSplit/>
          <w:trHeight w:val="360"/>
        </w:trPr>
        <w:tc>
          <w:tcPr>
            <w:tcW w:w="1581" w:type="pct"/>
            <w:shd w:val="clear" w:color="auto" w:fill="auto"/>
            <w:tcMar>
              <w:top w:w="113" w:type="dxa"/>
              <w:bottom w:w="113" w:type="dxa"/>
            </w:tcMar>
          </w:tcPr>
          <w:p w:rsidR="00FA423E" w:rsidRPr="002803A3" w:rsidRDefault="00FA423E" w:rsidP="00DC1333">
            <w:pPr>
              <w:rPr>
                <w:sz w:val="16"/>
                <w:szCs w:val="16"/>
              </w:rPr>
            </w:pPr>
          </w:p>
        </w:tc>
        <w:tc>
          <w:tcPr>
            <w:tcW w:w="2220" w:type="pct"/>
            <w:shd w:val="clear" w:color="auto" w:fill="auto"/>
            <w:tcMar>
              <w:top w:w="113" w:type="dxa"/>
              <w:bottom w:w="113" w:type="dxa"/>
            </w:tcMar>
          </w:tcPr>
          <w:p w:rsidR="00FA423E" w:rsidRPr="002803A3" w:rsidRDefault="00FA423E" w:rsidP="00DC1333">
            <w:pPr>
              <w:rPr>
                <w:sz w:val="16"/>
                <w:szCs w:val="16"/>
              </w:rPr>
            </w:pPr>
            <w:r w:rsidRPr="002803A3">
              <w:rPr>
                <w:sz w:val="16"/>
                <w:szCs w:val="16"/>
                <w:lang w:val="es-ES_tradnl"/>
              </w:rPr>
              <w:t>Número de ratificaciones de los Tratados Internet de la OMPI</w:t>
            </w:r>
          </w:p>
        </w:tc>
        <w:tc>
          <w:tcPr>
            <w:tcW w:w="765" w:type="pct"/>
            <w:shd w:val="clear" w:color="auto" w:fill="FFFFFF"/>
            <w:tcMar>
              <w:top w:w="113" w:type="dxa"/>
              <w:bottom w:w="113" w:type="dxa"/>
            </w:tcMar>
          </w:tcPr>
          <w:p w:rsidR="00FA423E" w:rsidRPr="002803A3" w:rsidRDefault="00FA423E" w:rsidP="00DC1333">
            <w:pPr>
              <w:jc w:val="center"/>
              <w:rPr>
                <w:sz w:val="16"/>
                <w:szCs w:val="16"/>
                <w:lang w:bidi="th-TH"/>
              </w:rPr>
            </w:pPr>
            <w:r w:rsidRPr="002803A3">
              <w:rPr>
                <w:sz w:val="16"/>
                <w:szCs w:val="16"/>
                <w:lang w:val="es-ES_tradnl" w:bidi="th-TH"/>
              </w:rPr>
              <w:t>Programa 3</w:t>
            </w:r>
          </w:p>
          <w:p w:rsidR="00FA423E" w:rsidRPr="002803A3" w:rsidRDefault="00FA423E" w:rsidP="00DC1333">
            <w:pPr>
              <w:jc w:val="center"/>
              <w:rPr>
                <w:sz w:val="16"/>
                <w:szCs w:val="16"/>
                <w:lang w:bidi="th-TH"/>
              </w:rPr>
            </w:pPr>
          </w:p>
        </w:tc>
        <w:tc>
          <w:tcPr>
            <w:tcW w:w="434" w:type="pct"/>
            <w:shd w:val="clear" w:color="auto" w:fill="FFFFFF"/>
          </w:tcPr>
          <w:p w:rsidR="00FA423E" w:rsidRPr="00CC3F44" w:rsidRDefault="00FA423E" w:rsidP="00DC1333">
            <w:pPr>
              <w:spacing w:before="40"/>
              <w:jc w:val="center"/>
            </w:pPr>
            <w:r w:rsidRPr="00CC3F44">
              <w:rPr>
                <w:color w:val="008000"/>
                <w:szCs w:val="22"/>
              </w:rPr>
              <w:sym w:font="Wingdings" w:char="F06C"/>
            </w:r>
          </w:p>
        </w:tc>
      </w:tr>
      <w:tr w:rsidR="00FA423E" w:rsidRPr="00AF5E7C" w:rsidTr="00DC1333">
        <w:trPr>
          <w:cantSplit/>
          <w:trHeight w:val="360"/>
        </w:trPr>
        <w:tc>
          <w:tcPr>
            <w:tcW w:w="1581" w:type="pct"/>
            <w:shd w:val="clear" w:color="auto" w:fill="auto"/>
            <w:tcMar>
              <w:top w:w="113" w:type="dxa"/>
              <w:bottom w:w="113" w:type="dxa"/>
            </w:tcMar>
          </w:tcPr>
          <w:p w:rsidR="00FA423E" w:rsidRPr="002803A3" w:rsidRDefault="00FA423E" w:rsidP="00DC1333">
            <w:pPr>
              <w:rPr>
                <w:sz w:val="16"/>
                <w:szCs w:val="16"/>
              </w:rPr>
            </w:pPr>
          </w:p>
        </w:tc>
        <w:tc>
          <w:tcPr>
            <w:tcW w:w="2220" w:type="pct"/>
            <w:shd w:val="clear" w:color="auto" w:fill="auto"/>
            <w:tcMar>
              <w:top w:w="113" w:type="dxa"/>
              <w:bottom w:w="113" w:type="dxa"/>
            </w:tcMar>
          </w:tcPr>
          <w:p w:rsidR="00FA423E" w:rsidRPr="002803A3" w:rsidRDefault="00FA423E" w:rsidP="00DC1333">
            <w:pPr>
              <w:rPr>
                <w:sz w:val="16"/>
                <w:szCs w:val="16"/>
              </w:rPr>
            </w:pPr>
            <w:r w:rsidRPr="002803A3">
              <w:rPr>
                <w:sz w:val="16"/>
                <w:szCs w:val="16"/>
                <w:lang w:val="es-ES_tradnl"/>
              </w:rPr>
              <w:t>Número de países que han ratificado el Tratado de Marrakech sobre las personas con discapacidad visual</w:t>
            </w:r>
          </w:p>
        </w:tc>
        <w:tc>
          <w:tcPr>
            <w:tcW w:w="765" w:type="pct"/>
            <w:shd w:val="clear" w:color="auto" w:fill="FFFFFF"/>
            <w:tcMar>
              <w:top w:w="113" w:type="dxa"/>
              <w:bottom w:w="113" w:type="dxa"/>
            </w:tcMar>
          </w:tcPr>
          <w:p w:rsidR="00FA423E" w:rsidRPr="002803A3" w:rsidRDefault="00FA423E" w:rsidP="00DC1333">
            <w:pPr>
              <w:jc w:val="center"/>
              <w:rPr>
                <w:sz w:val="16"/>
                <w:szCs w:val="16"/>
                <w:lang w:bidi="th-TH"/>
              </w:rPr>
            </w:pPr>
            <w:r w:rsidRPr="002803A3">
              <w:rPr>
                <w:sz w:val="16"/>
                <w:szCs w:val="16"/>
                <w:lang w:val="es-ES_tradnl" w:bidi="th-TH"/>
              </w:rPr>
              <w:t>Programa 3</w:t>
            </w:r>
          </w:p>
          <w:p w:rsidR="00FA423E" w:rsidRPr="002803A3" w:rsidRDefault="00FA423E" w:rsidP="00DC1333">
            <w:pPr>
              <w:jc w:val="center"/>
              <w:rPr>
                <w:sz w:val="16"/>
                <w:szCs w:val="16"/>
                <w:lang w:bidi="th-TH"/>
              </w:rPr>
            </w:pPr>
          </w:p>
        </w:tc>
        <w:tc>
          <w:tcPr>
            <w:tcW w:w="434" w:type="pct"/>
            <w:shd w:val="clear" w:color="auto" w:fill="FFFFFF"/>
          </w:tcPr>
          <w:p w:rsidR="00FA423E" w:rsidRPr="00001FF8" w:rsidRDefault="00FA423E" w:rsidP="00DC1333">
            <w:pPr>
              <w:jc w:val="center"/>
              <w:rPr>
                <w:color w:val="E26B0A"/>
              </w:rPr>
            </w:pPr>
            <w:r w:rsidRPr="00001FF8">
              <w:rPr>
                <w:color w:val="E26B0A"/>
                <w:szCs w:val="22"/>
              </w:rPr>
              <w:sym w:font="Wingdings" w:char="F06C"/>
            </w:r>
          </w:p>
        </w:tc>
      </w:tr>
      <w:tr w:rsidR="00FA423E" w:rsidRPr="00AF5E7C" w:rsidTr="00DC1333">
        <w:trPr>
          <w:cantSplit/>
          <w:trHeight w:val="360"/>
        </w:trPr>
        <w:tc>
          <w:tcPr>
            <w:tcW w:w="1581" w:type="pct"/>
            <w:shd w:val="clear" w:color="auto" w:fill="auto"/>
            <w:tcMar>
              <w:top w:w="113" w:type="dxa"/>
              <w:bottom w:w="113" w:type="dxa"/>
            </w:tcMar>
          </w:tcPr>
          <w:p w:rsidR="00FA423E" w:rsidRPr="002803A3" w:rsidRDefault="00FA423E" w:rsidP="00DC1333">
            <w:pPr>
              <w:rPr>
                <w:sz w:val="16"/>
                <w:szCs w:val="16"/>
              </w:rPr>
            </w:pPr>
          </w:p>
        </w:tc>
        <w:tc>
          <w:tcPr>
            <w:tcW w:w="2220" w:type="pct"/>
            <w:shd w:val="clear" w:color="auto" w:fill="auto"/>
            <w:tcMar>
              <w:top w:w="113" w:type="dxa"/>
              <w:bottom w:w="113" w:type="dxa"/>
            </w:tcMar>
          </w:tcPr>
          <w:p w:rsidR="00FA423E" w:rsidRPr="002803A3" w:rsidRDefault="00FA423E" w:rsidP="00DC1333">
            <w:pPr>
              <w:rPr>
                <w:sz w:val="16"/>
                <w:szCs w:val="16"/>
              </w:rPr>
            </w:pPr>
            <w:r w:rsidRPr="002803A3">
              <w:rPr>
                <w:sz w:val="16"/>
                <w:szCs w:val="16"/>
                <w:lang w:val="es-ES_tradnl"/>
              </w:rPr>
              <w:t>Número de países que han actualizado su legislación o sus reglamentos</w:t>
            </w:r>
          </w:p>
        </w:tc>
        <w:tc>
          <w:tcPr>
            <w:tcW w:w="765" w:type="pct"/>
            <w:shd w:val="clear" w:color="auto" w:fill="FFFFFF"/>
            <w:tcMar>
              <w:top w:w="113" w:type="dxa"/>
              <w:bottom w:w="113" w:type="dxa"/>
            </w:tcMar>
          </w:tcPr>
          <w:p w:rsidR="00FA423E" w:rsidRPr="002803A3" w:rsidRDefault="00FA423E" w:rsidP="00DC1333">
            <w:pPr>
              <w:jc w:val="center"/>
              <w:rPr>
                <w:sz w:val="16"/>
                <w:szCs w:val="16"/>
                <w:lang w:bidi="th-TH"/>
              </w:rPr>
            </w:pPr>
            <w:r w:rsidRPr="002803A3">
              <w:rPr>
                <w:sz w:val="16"/>
                <w:szCs w:val="16"/>
                <w:lang w:val="es-ES_tradnl" w:bidi="th-TH"/>
              </w:rPr>
              <w:t>Programa 10</w:t>
            </w:r>
          </w:p>
        </w:tc>
        <w:tc>
          <w:tcPr>
            <w:tcW w:w="434" w:type="pct"/>
            <w:shd w:val="clear" w:color="auto" w:fill="FFFFFF"/>
          </w:tcPr>
          <w:p w:rsidR="00FA423E" w:rsidRPr="00CC3F44" w:rsidRDefault="00FA423E" w:rsidP="00DC1333">
            <w:pPr>
              <w:jc w:val="center"/>
            </w:pPr>
            <w:r w:rsidRPr="00CC3F44">
              <w:rPr>
                <w:color w:val="008000"/>
                <w:szCs w:val="22"/>
              </w:rPr>
              <w:sym w:font="Wingdings" w:char="F06C"/>
            </w:r>
          </w:p>
        </w:tc>
      </w:tr>
      <w:tr w:rsidR="00FA423E" w:rsidRPr="00AF5E7C" w:rsidTr="00DC1333">
        <w:trPr>
          <w:cantSplit/>
          <w:trHeight w:val="360"/>
        </w:trPr>
        <w:tc>
          <w:tcPr>
            <w:tcW w:w="1581" w:type="pct"/>
            <w:shd w:val="clear" w:color="auto" w:fill="auto"/>
            <w:tcMar>
              <w:top w:w="113" w:type="dxa"/>
              <w:bottom w:w="113" w:type="dxa"/>
            </w:tcMar>
          </w:tcPr>
          <w:p w:rsidR="00FA423E" w:rsidRPr="002803A3" w:rsidRDefault="00FA423E" w:rsidP="00DC1333">
            <w:pPr>
              <w:rPr>
                <w:sz w:val="16"/>
                <w:szCs w:val="16"/>
              </w:rPr>
            </w:pPr>
          </w:p>
        </w:tc>
        <w:tc>
          <w:tcPr>
            <w:tcW w:w="2220" w:type="pct"/>
            <w:shd w:val="clear" w:color="auto" w:fill="auto"/>
            <w:tcMar>
              <w:top w:w="113" w:type="dxa"/>
              <w:bottom w:w="113" w:type="dxa"/>
            </w:tcMar>
          </w:tcPr>
          <w:p w:rsidR="00FA423E" w:rsidRPr="002803A3" w:rsidRDefault="00FA423E" w:rsidP="00DC1333">
            <w:pPr>
              <w:rPr>
                <w:sz w:val="16"/>
                <w:szCs w:val="16"/>
              </w:rPr>
            </w:pPr>
            <w:r w:rsidRPr="002803A3">
              <w:rPr>
                <w:sz w:val="16"/>
                <w:szCs w:val="16"/>
                <w:lang w:val="es-ES_tradnl"/>
              </w:rPr>
              <w:t>Número de países que han aprobado o modificado los marcos pertinentes (o lo están haciendo actualmente) tras recibir asistencia de la OMPI</w:t>
            </w:r>
          </w:p>
        </w:tc>
        <w:tc>
          <w:tcPr>
            <w:tcW w:w="765" w:type="pct"/>
            <w:shd w:val="clear" w:color="auto" w:fill="FFFFFF"/>
            <w:tcMar>
              <w:top w:w="113" w:type="dxa"/>
              <w:bottom w:w="113" w:type="dxa"/>
            </w:tcMar>
          </w:tcPr>
          <w:p w:rsidR="00FA423E" w:rsidRPr="002803A3" w:rsidRDefault="00FA423E" w:rsidP="00DC1333">
            <w:pPr>
              <w:jc w:val="center"/>
              <w:rPr>
                <w:sz w:val="16"/>
                <w:szCs w:val="16"/>
                <w:lang w:bidi="th-TH"/>
              </w:rPr>
            </w:pPr>
            <w:r w:rsidRPr="002803A3">
              <w:rPr>
                <w:sz w:val="16"/>
                <w:szCs w:val="16"/>
                <w:lang w:val="es-ES_tradnl" w:bidi="th-TH"/>
              </w:rPr>
              <w:t>Programa 17</w:t>
            </w:r>
          </w:p>
        </w:tc>
        <w:tc>
          <w:tcPr>
            <w:tcW w:w="434" w:type="pct"/>
            <w:shd w:val="clear" w:color="auto" w:fill="FFFFFF"/>
          </w:tcPr>
          <w:p w:rsidR="00FA423E" w:rsidRPr="00CC3F44" w:rsidRDefault="00FA423E" w:rsidP="00DC1333">
            <w:pPr>
              <w:jc w:val="center"/>
            </w:pPr>
            <w:r w:rsidRPr="00CC3F44">
              <w:rPr>
                <w:color w:val="008000"/>
                <w:szCs w:val="22"/>
              </w:rPr>
              <w:sym w:font="Wingdings" w:char="F06C"/>
            </w:r>
          </w:p>
        </w:tc>
      </w:tr>
      <w:tr w:rsidR="00FA423E" w:rsidRPr="00AF5E7C" w:rsidTr="00DC1333">
        <w:trPr>
          <w:cantSplit/>
          <w:trHeight w:val="360"/>
        </w:trPr>
        <w:tc>
          <w:tcPr>
            <w:tcW w:w="1581" w:type="pct"/>
            <w:shd w:val="clear" w:color="auto" w:fill="auto"/>
            <w:tcMar>
              <w:top w:w="113" w:type="dxa"/>
              <w:bottom w:w="113" w:type="dxa"/>
            </w:tcMar>
          </w:tcPr>
          <w:p w:rsidR="00FA423E" w:rsidRPr="002803A3" w:rsidRDefault="00FA423E" w:rsidP="00DC1333">
            <w:pPr>
              <w:rPr>
                <w:sz w:val="16"/>
                <w:szCs w:val="16"/>
              </w:rPr>
            </w:pPr>
            <w:r w:rsidRPr="002803A3">
              <w:rPr>
                <w:sz w:val="16"/>
                <w:szCs w:val="16"/>
                <w:lang w:val="es-ES_tradnl"/>
              </w:rPr>
              <w:t>I.3 Aumento de la protección de los emblemas de Estado y de los nombres y emblemas de organizaciones intergubernamentales internacionales</w:t>
            </w:r>
          </w:p>
        </w:tc>
        <w:tc>
          <w:tcPr>
            <w:tcW w:w="2220" w:type="pct"/>
            <w:shd w:val="clear" w:color="auto" w:fill="auto"/>
            <w:tcMar>
              <w:top w:w="113" w:type="dxa"/>
              <w:bottom w:w="113" w:type="dxa"/>
            </w:tcMar>
          </w:tcPr>
          <w:p w:rsidR="00FA423E" w:rsidRPr="002803A3" w:rsidRDefault="00FA423E" w:rsidP="00DC1333">
            <w:pPr>
              <w:rPr>
                <w:sz w:val="16"/>
                <w:szCs w:val="16"/>
              </w:rPr>
            </w:pPr>
            <w:r w:rsidRPr="002803A3">
              <w:rPr>
                <w:sz w:val="16"/>
                <w:szCs w:val="16"/>
                <w:lang w:val="es-ES_tradnl"/>
              </w:rPr>
              <w:t>Número de peticiones tramitadas de comunicación en virtud del artículo 6</w:t>
            </w:r>
            <w:r w:rsidRPr="002803A3">
              <w:rPr>
                <w:i/>
                <w:sz w:val="16"/>
                <w:szCs w:val="16"/>
                <w:lang w:val="es-ES_tradnl"/>
              </w:rPr>
              <w:t>ter</w:t>
            </w:r>
          </w:p>
        </w:tc>
        <w:tc>
          <w:tcPr>
            <w:tcW w:w="765" w:type="pct"/>
            <w:shd w:val="clear" w:color="auto" w:fill="FFFFFF"/>
            <w:tcMar>
              <w:top w:w="113" w:type="dxa"/>
              <w:bottom w:w="113" w:type="dxa"/>
            </w:tcMar>
          </w:tcPr>
          <w:p w:rsidR="00FA423E" w:rsidRPr="002803A3" w:rsidRDefault="00FA423E" w:rsidP="00DC1333">
            <w:pPr>
              <w:jc w:val="center"/>
              <w:rPr>
                <w:sz w:val="16"/>
                <w:szCs w:val="16"/>
                <w:lang w:bidi="th-TH"/>
              </w:rPr>
            </w:pPr>
            <w:r w:rsidRPr="002803A3">
              <w:rPr>
                <w:sz w:val="16"/>
                <w:szCs w:val="16"/>
                <w:lang w:val="es-ES_tradnl" w:bidi="th-TH"/>
              </w:rPr>
              <w:t>Programa 2</w:t>
            </w:r>
          </w:p>
        </w:tc>
        <w:tc>
          <w:tcPr>
            <w:tcW w:w="434" w:type="pct"/>
            <w:shd w:val="clear" w:color="auto" w:fill="FFFFFF"/>
          </w:tcPr>
          <w:p w:rsidR="00FA423E" w:rsidRPr="00001FF8" w:rsidRDefault="00FA423E" w:rsidP="00DC1333">
            <w:pPr>
              <w:jc w:val="center"/>
              <w:rPr>
                <w:color w:val="E26B0A"/>
              </w:rPr>
            </w:pPr>
            <w:r w:rsidRPr="00001FF8">
              <w:rPr>
                <w:color w:val="E26B0A"/>
                <w:szCs w:val="22"/>
              </w:rPr>
              <w:sym w:font="Wingdings" w:char="F06C"/>
            </w:r>
          </w:p>
        </w:tc>
      </w:tr>
      <w:tr w:rsidR="00FA423E" w:rsidRPr="00AF5E7C" w:rsidTr="00DC1333">
        <w:trPr>
          <w:cantSplit/>
          <w:trHeight w:val="360"/>
        </w:trPr>
        <w:tc>
          <w:tcPr>
            <w:tcW w:w="1581" w:type="pct"/>
            <w:tcBorders>
              <w:bottom w:val="single" w:sz="4" w:space="0" w:color="auto"/>
            </w:tcBorders>
            <w:shd w:val="clear" w:color="auto" w:fill="auto"/>
            <w:tcMar>
              <w:top w:w="113" w:type="dxa"/>
              <w:bottom w:w="113" w:type="dxa"/>
            </w:tcMar>
          </w:tcPr>
          <w:p w:rsidR="00FA423E" w:rsidRPr="002803A3" w:rsidRDefault="00FA423E" w:rsidP="00DC1333">
            <w:pPr>
              <w:rPr>
                <w:sz w:val="16"/>
                <w:szCs w:val="16"/>
              </w:rPr>
            </w:pPr>
          </w:p>
        </w:tc>
        <w:tc>
          <w:tcPr>
            <w:tcW w:w="2220" w:type="pct"/>
            <w:tcBorders>
              <w:bottom w:val="single" w:sz="4" w:space="0" w:color="auto"/>
            </w:tcBorders>
            <w:shd w:val="clear" w:color="auto" w:fill="auto"/>
            <w:tcMar>
              <w:top w:w="113" w:type="dxa"/>
              <w:bottom w:w="113" w:type="dxa"/>
            </w:tcMar>
          </w:tcPr>
          <w:p w:rsidR="00FA423E" w:rsidRPr="002803A3" w:rsidRDefault="00FA423E" w:rsidP="00DC1333">
            <w:pPr>
              <w:rPr>
                <w:sz w:val="16"/>
                <w:szCs w:val="16"/>
              </w:rPr>
            </w:pPr>
            <w:r w:rsidRPr="002803A3">
              <w:rPr>
                <w:sz w:val="16"/>
                <w:szCs w:val="16"/>
                <w:lang w:val="es-ES_tradnl"/>
              </w:rPr>
              <w:t>Número de signos publicados en la base de datos sobre el artículo 6</w:t>
            </w:r>
            <w:r w:rsidRPr="002803A3">
              <w:rPr>
                <w:i/>
                <w:sz w:val="16"/>
                <w:szCs w:val="16"/>
                <w:lang w:val="es-ES_tradnl"/>
              </w:rPr>
              <w:t>ter</w:t>
            </w:r>
          </w:p>
        </w:tc>
        <w:tc>
          <w:tcPr>
            <w:tcW w:w="765" w:type="pct"/>
            <w:tcBorders>
              <w:bottom w:val="single" w:sz="4" w:space="0" w:color="auto"/>
            </w:tcBorders>
            <w:shd w:val="clear" w:color="auto" w:fill="FFFFFF"/>
            <w:tcMar>
              <w:top w:w="113" w:type="dxa"/>
              <w:bottom w:w="113" w:type="dxa"/>
            </w:tcMar>
          </w:tcPr>
          <w:p w:rsidR="00FA423E" w:rsidRPr="002803A3" w:rsidRDefault="00FA423E" w:rsidP="00DC1333">
            <w:pPr>
              <w:jc w:val="center"/>
              <w:rPr>
                <w:sz w:val="16"/>
                <w:szCs w:val="16"/>
                <w:lang w:bidi="th-TH"/>
              </w:rPr>
            </w:pPr>
            <w:r w:rsidRPr="002803A3">
              <w:rPr>
                <w:sz w:val="16"/>
                <w:szCs w:val="16"/>
                <w:lang w:val="es-ES_tradnl" w:bidi="th-TH"/>
              </w:rPr>
              <w:t>Programa 2</w:t>
            </w:r>
          </w:p>
        </w:tc>
        <w:tc>
          <w:tcPr>
            <w:tcW w:w="434" w:type="pct"/>
            <w:tcBorders>
              <w:bottom w:val="single" w:sz="4" w:space="0" w:color="auto"/>
            </w:tcBorders>
            <w:shd w:val="clear" w:color="auto" w:fill="FFFFFF"/>
          </w:tcPr>
          <w:p w:rsidR="00FA423E" w:rsidRPr="00CC3F44" w:rsidRDefault="00FA423E" w:rsidP="00DC1333">
            <w:pPr>
              <w:jc w:val="center"/>
            </w:pPr>
            <w:r w:rsidRPr="00CC3F44">
              <w:rPr>
                <w:color w:val="008000"/>
                <w:szCs w:val="22"/>
              </w:rPr>
              <w:sym w:font="Wingdings" w:char="F06C"/>
            </w:r>
          </w:p>
        </w:tc>
      </w:tr>
    </w:tbl>
    <w:p w:rsidR="00FA423E" w:rsidRDefault="00FA423E" w:rsidP="00FA423E">
      <w:pPr>
        <w:jc w:val="both"/>
      </w:pPr>
    </w:p>
    <w:p w:rsidR="00FA423E" w:rsidRDefault="00FA423E" w:rsidP="00FA423E"/>
    <w:p w:rsidR="00FA423E" w:rsidRDefault="00FA423E" w:rsidP="00FA423E"/>
    <w:p w:rsidR="00FA423E" w:rsidRDefault="00FA423E" w:rsidP="00FA423E"/>
    <w:p w:rsidR="00FA423E" w:rsidRDefault="00FA423E" w:rsidP="00FA423E"/>
    <w:p w:rsidR="00FA423E" w:rsidRDefault="00FA423E">
      <w:r>
        <w:br w:type="page"/>
      </w:r>
    </w:p>
    <w:p w:rsidR="00FA423E" w:rsidRPr="00526311" w:rsidRDefault="00FA423E" w:rsidP="00FA423E">
      <w:pPr>
        <w:pStyle w:val="Heading2"/>
        <w:tabs>
          <w:tab w:val="left" w:pos="2410"/>
        </w:tabs>
        <w:rPr>
          <w:b/>
        </w:rPr>
      </w:pPr>
      <w:bookmarkStart w:id="53" w:name="_Toc422927402"/>
      <w:bookmarkStart w:id="54" w:name="_Toc455159070"/>
      <w:r w:rsidRPr="00526311">
        <w:rPr>
          <w:b/>
        </w:rPr>
        <w:lastRenderedPageBreak/>
        <w:t>PROGRAMA 1</w:t>
      </w:r>
      <w:r w:rsidRPr="00526311">
        <w:rPr>
          <w:b/>
        </w:rPr>
        <w:tab/>
        <w:t>DERECHO DE PATENTES</w:t>
      </w:r>
      <w:bookmarkEnd w:id="53"/>
      <w:bookmarkEnd w:id="54"/>
    </w:p>
    <w:p w:rsidR="00FA423E" w:rsidRPr="00526311" w:rsidRDefault="00FA423E" w:rsidP="00FA423E">
      <w:pPr>
        <w:rPr>
          <w:sz w:val="20"/>
        </w:rPr>
      </w:pPr>
    </w:p>
    <w:p w:rsidR="00FA423E" w:rsidRPr="00013B5C" w:rsidRDefault="00FA423E" w:rsidP="00FA423E">
      <w:pPr>
        <w:tabs>
          <w:tab w:val="left" w:pos="2410"/>
        </w:tabs>
        <w:rPr>
          <w:b/>
          <w:sz w:val="20"/>
        </w:rPr>
      </w:pPr>
      <w:r w:rsidRPr="00013B5C">
        <w:rPr>
          <w:b/>
          <w:sz w:val="20"/>
        </w:rPr>
        <w:t>Director de programa</w:t>
      </w:r>
      <w:r w:rsidRPr="00013B5C">
        <w:rPr>
          <w:sz w:val="20"/>
        </w:rPr>
        <w:tab/>
      </w:r>
      <w:r w:rsidRPr="00013B5C">
        <w:rPr>
          <w:b/>
          <w:sz w:val="20"/>
        </w:rPr>
        <w:t>Sr. J. Sandage</w:t>
      </w:r>
    </w:p>
    <w:p w:rsidR="00FA423E" w:rsidRPr="00526311" w:rsidRDefault="00FA423E" w:rsidP="00FA423E">
      <w:pPr>
        <w:rPr>
          <w:sz w:val="20"/>
        </w:rPr>
      </w:pPr>
    </w:p>
    <w:p w:rsidR="00FA423E" w:rsidRPr="00526311" w:rsidRDefault="00FA423E" w:rsidP="00FA423E">
      <w:pPr>
        <w:rPr>
          <w:sz w:val="20"/>
        </w:rPr>
      </w:pPr>
    </w:p>
    <w:p w:rsidR="00FA423E" w:rsidRPr="00526311" w:rsidRDefault="008F7CBE" w:rsidP="00FA423E">
      <w:pPr>
        <w:rPr>
          <w:bCs/>
          <w:szCs w:val="22"/>
        </w:rPr>
      </w:pPr>
      <w:r w:rsidRPr="008F7CBE">
        <w:rPr>
          <w:bCs/>
          <w:sz w:val="20"/>
          <w:szCs w:val="22"/>
        </w:rPr>
        <w:t>LOGROS ALCANZADOS EN EL BIENIO 2014/15</w:t>
      </w:r>
    </w:p>
    <w:p w:rsidR="00FA423E" w:rsidRPr="00526311" w:rsidRDefault="00FA423E" w:rsidP="00FA423E">
      <w:pPr>
        <w:rPr>
          <w:sz w:val="20"/>
        </w:rPr>
      </w:pPr>
    </w:p>
    <w:p w:rsidR="00FA423E" w:rsidRPr="00526311" w:rsidRDefault="00FA423E" w:rsidP="00FA423E">
      <w:pPr>
        <w:pStyle w:val="ListParagraph"/>
        <w:numPr>
          <w:ilvl w:val="0"/>
          <w:numId w:val="9"/>
        </w:numPr>
        <w:tabs>
          <w:tab w:val="left" w:pos="709"/>
        </w:tabs>
        <w:autoSpaceDE w:val="0"/>
        <w:autoSpaceDN w:val="0"/>
        <w:ind w:left="0" w:firstLine="0"/>
        <w:jc w:val="both"/>
        <w:rPr>
          <w:rFonts w:cs="Arial"/>
          <w:lang w:val="es-ES" w:eastAsia="zh-CN"/>
        </w:rPr>
      </w:pPr>
      <w:r w:rsidRPr="00526311">
        <w:rPr>
          <w:rFonts w:cs="Arial"/>
          <w:lang w:val="es-ES" w:eastAsia="zh-CN"/>
        </w:rPr>
        <w:t>Con el fin de mejorar la cooperación entre los Estados miembros en lo que atañe a seguir elaborando marcos normativos y de política equilibrados para el sistema internacional de patentes, en enero y noviembre de 2014</w:t>
      </w:r>
      <w:r>
        <w:rPr>
          <w:rFonts w:cs="Arial"/>
          <w:lang w:val="es-ES" w:eastAsia="zh-CN"/>
        </w:rPr>
        <w:t xml:space="preserve"> se celebraron las </w:t>
      </w:r>
      <w:r w:rsidRPr="00526311">
        <w:rPr>
          <w:rFonts w:cs="Arial"/>
          <w:lang w:val="es-ES" w:eastAsia="zh-CN"/>
        </w:rPr>
        <w:t>sesiones</w:t>
      </w:r>
      <w:r>
        <w:rPr>
          <w:rFonts w:cs="Arial"/>
          <w:lang w:val="es-ES" w:eastAsia="zh-CN"/>
        </w:rPr>
        <w:t xml:space="preserve"> vigésima y </w:t>
      </w:r>
      <w:r w:rsidRPr="00526311">
        <w:rPr>
          <w:rFonts w:cs="Arial"/>
          <w:lang w:val="es-ES" w:eastAsia="zh-CN"/>
        </w:rPr>
        <w:t>vigesimoprimera del Comité Permanente so</w:t>
      </w:r>
      <w:r>
        <w:rPr>
          <w:rFonts w:cs="Arial"/>
          <w:lang w:val="es-ES" w:eastAsia="zh-CN"/>
        </w:rPr>
        <w:t>bre el Derecho de Patentes (SCP</w:t>
      </w:r>
      <w:r w:rsidRPr="00526311">
        <w:rPr>
          <w:rFonts w:cs="Arial"/>
          <w:lang w:val="es-ES" w:eastAsia="zh-CN"/>
        </w:rPr>
        <w:t>)</w:t>
      </w:r>
      <w:r>
        <w:rPr>
          <w:rFonts w:cs="Arial"/>
          <w:lang w:val="es-ES" w:eastAsia="zh-CN"/>
        </w:rPr>
        <w:t>, y en julio y diciembre de 2015 se celebraron las sesiones vigesimosegunda y vigesimotercera</w:t>
      </w:r>
      <w:r w:rsidRPr="00526311">
        <w:rPr>
          <w:rFonts w:cs="Arial"/>
          <w:lang w:val="es-ES" w:eastAsia="zh-CN"/>
        </w:rPr>
        <w:t>.  El SCP continuó prestando atención a cinco cuestiones en su orden del día, a saber:  i) excepciones y limitaciones a los derechos de patente;  ii) calidad de las patentes, incluidos los procedimientos de oposición;  iii) patentes y salud;  iv) confidencialidad de las comunicaciones entre aseso</w:t>
      </w:r>
      <w:r>
        <w:rPr>
          <w:rFonts w:cs="Arial"/>
          <w:lang w:val="es-ES" w:eastAsia="zh-CN"/>
        </w:rPr>
        <w:t>res de patentes y sus clientes,</w:t>
      </w:r>
      <w:r w:rsidRPr="00526311">
        <w:rPr>
          <w:rFonts w:cs="Arial"/>
          <w:lang w:val="es-ES" w:eastAsia="zh-CN"/>
        </w:rPr>
        <w:t xml:space="preserve"> y v) transferencia de tecnología.</w:t>
      </w:r>
    </w:p>
    <w:p w:rsidR="00FA423E" w:rsidRPr="00526311" w:rsidRDefault="00FA423E" w:rsidP="00FA423E">
      <w:pPr>
        <w:autoSpaceDE w:val="0"/>
        <w:autoSpaceDN w:val="0"/>
        <w:jc w:val="both"/>
        <w:rPr>
          <w:sz w:val="20"/>
        </w:rPr>
      </w:pPr>
    </w:p>
    <w:p w:rsidR="00FA423E" w:rsidRPr="00526311" w:rsidRDefault="00FA423E" w:rsidP="00FA423E">
      <w:pPr>
        <w:pStyle w:val="ListParagraph"/>
        <w:numPr>
          <w:ilvl w:val="0"/>
          <w:numId w:val="9"/>
        </w:numPr>
        <w:tabs>
          <w:tab w:val="left" w:pos="709"/>
        </w:tabs>
        <w:autoSpaceDE w:val="0"/>
        <w:autoSpaceDN w:val="0"/>
        <w:ind w:left="0" w:firstLine="0"/>
        <w:jc w:val="both"/>
        <w:rPr>
          <w:rFonts w:cs="Arial"/>
          <w:lang w:val="es-ES" w:eastAsia="zh-CN"/>
        </w:rPr>
      </w:pPr>
      <w:r w:rsidRPr="00526311">
        <w:rPr>
          <w:rFonts w:cs="Arial"/>
          <w:lang w:val="es-ES" w:eastAsia="zh-CN"/>
        </w:rPr>
        <w:t xml:space="preserve">El examen de estudios sustantivos permitió al SCP pasar revista al actual sistema internacional de patentes de manera integral, teniendo en cuenta las necesidades y los intereses de los Estados miembros y los sectores interesados.  El empleo de un enfoque por etapas amplió la base común desde la que el Comité podría desarrollar sus debates. Además, gracias a los distintos métodos empleados por el Comité, como la preparación de estudios de contexto, seminarios y sesiones de información sobre la aplicación nacional del Derecho de patentes y </w:t>
      </w:r>
      <w:r>
        <w:rPr>
          <w:rFonts w:cs="Arial"/>
          <w:lang w:val="es-ES" w:eastAsia="zh-CN"/>
        </w:rPr>
        <w:t xml:space="preserve">el intercambio de </w:t>
      </w:r>
      <w:r w:rsidRPr="00526311">
        <w:rPr>
          <w:rFonts w:cs="Arial"/>
          <w:lang w:val="es-ES" w:eastAsia="zh-CN"/>
        </w:rPr>
        <w:t xml:space="preserve">los desafíos y experiencias en ese plano, pudo avanzarse en los debates sobre cuestiones de interés común en el SCP.  Durante </w:t>
      </w:r>
      <w:r w:rsidR="008F7CBE">
        <w:rPr>
          <w:rFonts w:cs="Arial"/>
          <w:lang w:val="es-ES" w:eastAsia="zh-CN"/>
        </w:rPr>
        <w:t>el bienio </w:t>
      </w:r>
      <w:r w:rsidRPr="00526311">
        <w:rPr>
          <w:rFonts w:cs="Arial"/>
          <w:lang w:val="es-ES" w:eastAsia="zh-CN"/>
        </w:rPr>
        <w:t>2014</w:t>
      </w:r>
      <w:r>
        <w:rPr>
          <w:rFonts w:cs="Arial"/>
          <w:lang w:val="es-ES" w:eastAsia="zh-CN"/>
        </w:rPr>
        <w:t>/15</w:t>
      </w:r>
      <w:r w:rsidRPr="00526311">
        <w:rPr>
          <w:rFonts w:cs="Arial"/>
          <w:lang w:val="es-ES" w:eastAsia="zh-CN"/>
        </w:rPr>
        <w:t>, los Estados miembros formularon varias propuestas acerca de las cuestiones mencionadas, prueba de su determinación de progresar en el ámbito de actividad del SCP.</w:t>
      </w:r>
    </w:p>
    <w:p w:rsidR="00FA423E" w:rsidRPr="00526311" w:rsidRDefault="00FA423E" w:rsidP="00FA423E">
      <w:pPr>
        <w:autoSpaceDE w:val="0"/>
        <w:autoSpaceDN w:val="0"/>
        <w:jc w:val="both"/>
        <w:rPr>
          <w:sz w:val="20"/>
        </w:rPr>
      </w:pPr>
    </w:p>
    <w:p w:rsidR="00FA423E" w:rsidRPr="00526311" w:rsidRDefault="00FA423E" w:rsidP="00FA423E">
      <w:pPr>
        <w:pStyle w:val="ListParagraph"/>
        <w:numPr>
          <w:ilvl w:val="0"/>
          <w:numId w:val="9"/>
        </w:numPr>
        <w:tabs>
          <w:tab w:val="left" w:pos="709"/>
        </w:tabs>
        <w:autoSpaceDE w:val="0"/>
        <w:autoSpaceDN w:val="0"/>
        <w:ind w:left="0" w:firstLine="0"/>
        <w:jc w:val="both"/>
        <w:rPr>
          <w:rFonts w:cs="Arial"/>
          <w:lang w:val="es-ES" w:eastAsia="zh-CN"/>
        </w:rPr>
      </w:pPr>
      <w:r w:rsidRPr="00526311">
        <w:rPr>
          <w:rFonts w:cs="Arial"/>
          <w:lang w:val="es-ES" w:eastAsia="zh-CN"/>
        </w:rPr>
        <w:t>En lo que respecta a los tratados administrados por la OMPI en el</w:t>
      </w:r>
      <w:r>
        <w:rPr>
          <w:rFonts w:cs="Arial"/>
          <w:lang w:val="es-ES" w:eastAsia="zh-CN"/>
        </w:rPr>
        <w:t xml:space="preserve"> ámbito de las patentes</w:t>
      </w:r>
      <w:r w:rsidRPr="00526311">
        <w:rPr>
          <w:rFonts w:cs="Arial"/>
          <w:lang w:val="es-ES" w:eastAsia="zh-CN"/>
        </w:rPr>
        <w:t>, un Estado (Kuwait) se adhirió al Convenio de París</w:t>
      </w:r>
      <w:r>
        <w:rPr>
          <w:rFonts w:cs="Arial"/>
          <w:lang w:val="es-ES" w:eastAsia="zh-CN"/>
        </w:rPr>
        <w:t xml:space="preserve"> durante el bienio</w:t>
      </w:r>
      <w:r w:rsidRPr="00526311">
        <w:rPr>
          <w:rFonts w:cs="Arial"/>
          <w:lang w:val="es-ES" w:eastAsia="zh-CN"/>
        </w:rPr>
        <w:t>.</w:t>
      </w:r>
    </w:p>
    <w:p w:rsidR="00FA423E" w:rsidRPr="00526311" w:rsidRDefault="00FA423E" w:rsidP="00FA423E">
      <w:pPr>
        <w:autoSpaceDE w:val="0"/>
        <w:autoSpaceDN w:val="0"/>
        <w:jc w:val="both"/>
        <w:rPr>
          <w:sz w:val="20"/>
        </w:rPr>
      </w:pPr>
    </w:p>
    <w:p w:rsidR="00FA423E" w:rsidRPr="00526311" w:rsidRDefault="00FA423E" w:rsidP="00FA423E">
      <w:pPr>
        <w:pStyle w:val="ListParagraph"/>
        <w:numPr>
          <w:ilvl w:val="0"/>
          <w:numId w:val="9"/>
        </w:numPr>
        <w:tabs>
          <w:tab w:val="left" w:pos="709"/>
        </w:tabs>
        <w:autoSpaceDE w:val="0"/>
        <w:autoSpaceDN w:val="0"/>
        <w:ind w:left="0" w:firstLine="0"/>
        <w:jc w:val="both"/>
        <w:rPr>
          <w:rFonts w:cs="Arial"/>
          <w:lang w:val="es-ES" w:eastAsia="zh-CN"/>
        </w:rPr>
      </w:pPr>
      <w:r w:rsidRPr="00526311">
        <w:rPr>
          <w:rFonts w:cs="Arial"/>
          <w:lang w:val="es-ES" w:eastAsia="zh-CN"/>
        </w:rPr>
        <w:t>La asistencia legislativa y política que presta la OMPI se ha basado siempre en el marco jurídico multilateral.  La actividad legislativa de los Estados miembros se ha intensificado, en particular debido a su participación en los procesos regionales de integración económica y en los acuerdos comerciales preferenciales.  Además, varios Estados miembros están revisando su legislación de patentes para incorporar políticas públicas propias o reflejar su adhesión a tratados multilaterale</w:t>
      </w:r>
      <w:r>
        <w:rPr>
          <w:rFonts w:cs="Arial"/>
          <w:lang w:val="es-ES" w:eastAsia="zh-CN"/>
        </w:rPr>
        <w:t>s sobre patentes, en particular</w:t>
      </w:r>
      <w:r w:rsidRPr="00526311">
        <w:rPr>
          <w:rFonts w:cs="Arial"/>
          <w:lang w:val="es-ES" w:eastAsia="zh-CN"/>
        </w:rPr>
        <w:t xml:space="preserve"> el </w:t>
      </w:r>
      <w:r w:rsidRPr="00526311">
        <w:rPr>
          <w:lang w:val="es-ES"/>
        </w:rPr>
        <w:t>Tratado de Cooperación en materia de Patentes</w:t>
      </w:r>
      <w:r w:rsidRPr="00526311">
        <w:rPr>
          <w:rFonts w:cs="Arial"/>
          <w:lang w:val="es-ES" w:eastAsia="zh-CN"/>
        </w:rPr>
        <w:t xml:space="preserve"> </w:t>
      </w:r>
      <w:r>
        <w:rPr>
          <w:rFonts w:cs="Arial"/>
          <w:lang w:val="es-ES" w:eastAsia="zh-CN"/>
        </w:rPr>
        <w:t>(</w:t>
      </w:r>
      <w:r w:rsidRPr="00526311">
        <w:rPr>
          <w:rFonts w:cs="Arial"/>
          <w:lang w:val="es-ES" w:eastAsia="zh-CN"/>
        </w:rPr>
        <w:t>PCT</w:t>
      </w:r>
      <w:r>
        <w:rPr>
          <w:rFonts w:cs="Arial"/>
          <w:lang w:val="es-ES" w:eastAsia="zh-CN"/>
        </w:rPr>
        <w:t>)</w:t>
      </w:r>
      <w:r w:rsidRPr="00526311">
        <w:rPr>
          <w:rFonts w:cs="Arial"/>
          <w:lang w:val="es-ES" w:eastAsia="zh-CN"/>
        </w:rPr>
        <w:t xml:space="preserve">, el Tratado de Budapest y el </w:t>
      </w:r>
      <w:r w:rsidRPr="007D0C10">
        <w:rPr>
          <w:lang w:val="es-ES"/>
        </w:rPr>
        <w:t>Tratado sobre el Derecho de Patentes</w:t>
      </w:r>
      <w:r w:rsidRPr="00526311">
        <w:rPr>
          <w:rFonts w:cs="Arial"/>
          <w:lang w:val="es-ES" w:eastAsia="zh-CN"/>
        </w:rPr>
        <w:t xml:space="preserve"> </w:t>
      </w:r>
      <w:r>
        <w:rPr>
          <w:rFonts w:cs="Arial"/>
          <w:lang w:val="es-ES" w:eastAsia="zh-CN"/>
        </w:rPr>
        <w:t>(</w:t>
      </w:r>
      <w:r w:rsidRPr="00526311">
        <w:rPr>
          <w:rFonts w:cs="Arial"/>
          <w:lang w:val="es-ES" w:eastAsia="zh-CN"/>
        </w:rPr>
        <w:t>PLT</w:t>
      </w:r>
      <w:r>
        <w:rPr>
          <w:rFonts w:cs="Arial"/>
          <w:lang w:val="es-ES" w:eastAsia="zh-CN"/>
        </w:rPr>
        <w:t>), o la están aplicando por primera vez mediante la adopción de reglamentos</w:t>
      </w:r>
      <w:r w:rsidRPr="00526311">
        <w:rPr>
          <w:rFonts w:cs="Arial"/>
          <w:lang w:val="es-ES" w:eastAsia="zh-CN"/>
        </w:rPr>
        <w:t xml:space="preserve">.  Asimismo, los países que pasan a ser miembros de la </w:t>
      </w:r>
      <w:r w:rsidRPr="007D0C10">
        <w:rPr>
          <w:rFonts w:cs="Arial"/>
          <w:lang w:val="es-ES" w:eastAsia="zh-CN"/>
        </w:rPr>
        <w:t xml:space="preserve">Organización Mundial del Comercio </w:t>
      </w:r>
      <w:r>
        <w:rPr>
          <w:rFonts w:cs="Arial"/>
          <w:lang w:val="es-ES" w:eastAsia="zh-CN"/>
        </w:rPr>
        <w:t>(</w:t>
      </w:r>
      <w:r w:rsidRPr="00526311">
        <w:rPr>
          <w:rFonts w:cs="Arial"/>
          <w:lang w:val="es-ES" w:eastAsia="zh-CN"/>
        </w:rPr>
        <w:t>OMC</w:t>
      </w:r>
      <w:r>
        <w:rPr>
          <w:rFonts w:cs="Arial"/>
          <w:lang w:val="es-ES" w:eastAsia="zh-CN"/>
        </w:rPr>
        <w:t>)</w:t>
      </w:r>
      <w:r w:rsidRPr="00526311">
        <w:rPr>
          <w:rFonts w:cs="Arial"/>
          <w:lang w:val="es-ES" w:eastAsia="zh-CN"/>
        </w:rPr>
        <w:t xml:space="preserve"> revisan de forma sistemática su</w:t>
      </w:r>
      <w:r>
        <w:rPr>
          <w:rFonts w:cs="Arial"/>
          <w:lang w:val="es-ES" w:eastAsia="zh-CN"/>
        </w:rPr>
        <w:t>s</w:t>
      </w:r>
      <w:r w:rsidRPr="00526311">
        <w:rPr>
          <w:rFonts w:cs="Arial"/>
          <w:lang w:val="es-ES" w:eastAsia="zh-CN"/>
        </w:rPr>
        <w:t xml:space="preserve"> marco</w:t>
      </w:r>
      <w:r>
        <w:rPr>
          <w:rFonts w:cs="Arial"/>
          <w:lang w:val="es-ES" w:eastAsia="zh-CN"/>
        </w:rPr>
        <w:t>s</w:t>
      </w:r>
      <w:r w:rsidRPr="00526311">
        <w:rPr>
          <w:rFonts w:cs="Arial"/>
          <w:lang w:val="es-ES" w:eastAsia="zh-CN"/>
        </w:rPr>
        <w:t xml:space="preserve"> jurídico</w:t>
      </w:r>
      <w:r>
        <w:rPr>
          <w:rFonts w:cs="Arial"/>
          <w:lang w:val="es-ES" w:eastAsia="zh-CN"/>
        </w:rPr>
        <w:t>s</w:t>
      </w:r>
      <w:r w:rsidRPr="00526311">
        <w:rPr>
          <w:rFonts w:cs="Arial"/>
          <w:lang w:val="es-ES" w:eastAsia="zh-CN"/>
        </w:rPr>
        <w:t>.  Por lo tanto, las solicitudes de asesoramiento en el ámbito legislativo siguen la misma tendencia.</w:t>
      </w:r>
    </w:p>
    <w:p w:rsidR="00FA423E" w:rsidRPr="00526311" w:rsidRDefault="00FA423E" w:rsidP="00FA423E">
      <w:pPr>
        <w:pStyle w:val="ListParagraph"/>
        <w:tabs>
          <w:tab w:val="left" w:pos="709"/>
        </w:tabs>
        <w:autoSpaceDE w:val="0"/>
        <w:autoSpaceDN w:val="0"/>
        <w:ind w:left="0"/>
        <w:jc w:val="both"/>
        <w:rPr>
          <w:rFonts w:cs="Arial"/>
          <w:lang w:val="es-ES" w:eastAsia="zh-CN"/>
        </w:rPr>
      </w:pPr>
    </w:p>
    <w:p w:rsidR="00FA423E" w:rsidRPr="00526311" w:rsidRDefault="00FA423E" w:rsidP="00FA423E">
      <w:pPr>
        <w:pStyle w:val="ListParagraph"/>
        <w:numPr>
          <w:ilvl w:val="0"/>
          <w:numId w:val="9"/>
        </w:numPr>
        <w:tabs>
          <w:tab w:val="left" w:pos="709"/>
        </w:tabs>
        <w:autoSpaceDE w:val="0"/>
        <w:autoSpaceDN w:val="0"/>
        <w:ind w:left="0" w:firstLine="0"/>
        <w:jc w:val="both"/>
        <w:rPr>
          <w:rFonts w:cs="Arial"/>
          <w:lang w:val="es-ES" w:eastAsia="zh-CN"/>
        </w:rPr>
      </w:pPr>
      <w:r w:rsidRPr="00526311">
        <w:rPr>
          <w:rFonts w:cs="Arial"/>
          <w:lang w:val="es-ES" w:eastAsia="zh-CN"/>
        </w:rPr>
        <w:t xml:space="preserve">Además, durante </w:t>
      </w:r>
      <w:r>
        <w:rPr>
          <w:rFonts w:cs="Arial"/>
          <w:lang w:val="es-ES" w:eastAsia="zh-CN"/>
        </w:rPr>
        <w:t xml:space="preserve">el bienio </w:t>
      </w:r>
      <w:r w:rsidRPr="00526311">
        <w:rPr>
          <w:rFonts w:cs="Arial"/>
          <w:lang w:val="es-ES" w:eastAsia="zh-CN"/>
        </w:rPr>
        <w:t>2014</w:t>
      </w:r>
      <w:r>
        <w:rPr>
          <w:rFonts w:cs="Arial"/>
          <w:lang w:val="es-ES" w:eastAsia="zh-CN"/>
        </w:rPr>
        <w:t>/15</w:t>
      </w:r>
      <w:r w:rsidRPr="00526311">
        <w:rPr>
          <w:rFonts w:cs="Arial"/>
          <w:lang w:val="es-ES" w:eastAsia="zh-CN"/>
        </w:rPr>
        <w:t>, la Secretaría continuó contribuyendo a generar una mayor conciencia de los principios jurídicos y las prácticas del sistema de patentes mediante el suministro a organizaciones intergubernamentales, organismos de las Naciones Unidas, organizaciones no</w:t>
      </w:r>
      <w:r>
        <w:rPr>
          <w:rFonts w:cs="Arial"/>
          <w:lang w:val="es-ES" w:eastAsia="zh-CN"/>
        </w:rPr>
        <w:t xml:space="preserve"> gubernamentales y otras partes</w:t>
      </w:r>
      <w:r w:rsidRPr="00526311">
        <w:rPr>
          <w:rFonts w:cs="Arial"/>
          <w:lang w:val="es-ES" w:eastAsia="zh-CN"/>
        </w:rPr>
        <w:t xml:space="preserve"> de información relevante en relación con cuestiones relativas a este programa.</w:t>
      </w:r>
    </w:p>
    <w:p w:rsidR="00FA423E" w:rsidRPr="00526311" w:rsidRDefault="00FA423E" w:rsidP="00FA423E">
      <w:pPr>
        <w:pStyle w:val="ListParagraph"/>
        <w:tabs>
          <w:tab w:val="left" w:pos="709"/>
        </w:tabs>
        <w:autoSpaceDE w:val="0"/>
        <w:autoSpaceDN w:val="0"/>
        <w:ind w:left="0"/>
        <w:jc w:val="both"/>
        <w:rPr>
          <w:rFonts w:cs="Arial"/>
          <w:lang w:val="es-ES" w:eastAsia="zh-CN"/>
        </w:rPr>
      </w:pPr>
    </w:p>
    <w:p w:rsidR="00FA423E" w:rsidRPr="00526311" w:rsidRDefault="00FA423E" w:rsidP="00FA423E">
      <w:pPr>
        <w:pStyle w:val="ListParagraph"/>
        <w:numPr>
          <w:ilvl w:val="0"/>
          <w:numId w:val="9"/>
        </w:numPr>
        <w:tabs>
          <w:tab w:val="left" w:pos="709"/>
        </w:tabs>
        <w:autoSpaceDE w:val="0"/>
        <w:autoSpaceDN w:val="0"/>
        <w:ind w:left="0" w:firstLine="0"/>
        <w:jc w:val="both"/>
        <w:rPr>
          <w:rFonts w:cs="Arial"/>
          <w:lang w:val="es-ES"/>
        </w:rPr>
      </w:pPr>
      <w:r w:rsidRPr="00526311">
        <w:rPr>
          <w:rFonts w:cs="Arial"/>
          <w:lang w:val="es-ES"/>
        </w:rPr>
        <w:t>El diseño, la planificación y la ejecución de</w:t>
      </w:r>
      <w:r>
        <w:rPr>
          <w:rFonts w:cs="Arial"/>
          <w:lang w:val="es-ES"/>
        </w:rPr>
        <w:t xml:space="preserve"> las actividades </w:t>
      </w:r>
      <w:r w:rsidRPr="00526311">
        <w:rPr>
          <w:rFonts w:cs="Arial"/>
          <w:lang w:val="es-ES"/>
        </w:rPr>
        <w:t>se basaron en las recomendaciones pertinentes de la A.D. y se guiaron por ellas.  Los debates acerca del desarrollo progresivo del sistema internacional de patentes dentro del SCP se siguieron caracterizando por ser inclusivos y estar orientados hacia los miembros, por tener en cuenta los distintos niveles de desarrollo, por constituir un proceso participativo y por estar en consonancia con el principio de neutralidad de la Secretaría de la OMPI (recomendación 15).  Asimismo, se tuvieron en cuenta las flexibilidades existentes en los acuerdos internacionales sobre P.I. (recomendación 17).  Las actividades del SCP se basaron en consultas abiertas y equilibradas (recomendaciones 21 y 42) y contribuyeron a los objetivos de desarrollo de las Naciones Unidas (recomendación 22).  En particular, de conformidad con la recomendación 22, los documentos de trabajo del SCP abordaron cuestiones como:  i) la transferencia de tecnología</w:t>
      </w:r>
      <w:r>
        <w:rPr>
          <w:rFonts w:cs="Arial"/>
          <w:lang w:val="es-ES"/>
        </w:rPr>
        <w:t xml:space="preserve"> relacionada con las patentes, </w:t>
      </w:r>
      <w:r w:rsidRPr="00526311">
        <w:rPr>
          <w:rFonts w:cs="Arial"/>
          <w:lang w:val="es-ES"/>
        </w:rPr>
        <w:t>y ii) las potenciales flexibilidades, excepciones y limitaciones para los Estados miembros.</w:t>
      </w:r>
    </w:p>
    <w:p w:rsidR="00FA423E" w:rsidRPr="00526311" w:rsidRDefault="00FA423E" w:rsidP="00FA423E">
      <w:pPr>
        <w:autoSpaceDE w:val="0"/>
        <w:autoSpaceDN w:val="0"/>
        <w:jc w:val="both"/>
        <w:rPr>
          <w:sz w:val="20"/>
        </w:rPr>
      </w:pPr>
    </w:p>
    <w:p w:rsidR="00FA423E" w:rsidRPr="00526311" w:rsidRDefault="00FA423E" w:rsidP="00FA423E">
      <w:pPr>
        <w:pStyle w:val="ListParagraph"/>
        <w:numPr>
          <w:ilvl w:val="0"/>
          <w:numId w:val="9"/>
        </w:numPr>
        <w:tabs>
          <w:tab w:val="left" w:pos="709"/>
        </w:tabs>
        <w:autoSpaceDE w:val="0"/>
        <w:autoSpaceDN w:val="0"/>
        <w:ind w:left="0" w:firstLine="0"/>
        <w:jc w:val="both"/>
        <w:rPr>
          <w:rFonts w:cs="Arial"/>
          <w:lang w:val="es-ES" w:eastAsia="zh-CN"/>
        </w:rPr>
      </w:pPr>
      <w:r w:rsidRPr="00526311">
        <w:rPr>
          <w:rFonts w:cs="Arial"/>
          <w:lang w:val="es-ES" w:eastAsia="zh-CN"/>
        </w:rPr>
        <w:t>Las actividades del programa relativas al fortalecimiento de las capacidades y la asistencia legislativa y política estuvieron orientadas a potenciar el desarrollo, obedecieron a la demanda y se llevaron a cabo conforme al calendario previsto (recomendaciones 1, 13 y 14).</w:t>
      </w:r>
      <w:r>
        <w:rPr>
          <w:rFonts w:cs="Arial"/>
          <w:lang w:val="es-ES" w:eastAsia="zh-CN"/>
        </w:rPr>
        <w:t xml:space="preserve"> Desde marzo de 2015 se </w:t>
      </w:r>
      <w:r>
        <w:rPr>
          <w:rFonts w:cs="Arial"/>
          <w:lang w:val="es-ES" w:eastAsia="zh-CN"/>
        </w:rPr>
        <w:lastRenderedPageBreak/>
        <w:t>han llevado a cabo actividades de fortalecimiento de las capacidades en el ámbito de la redacción de solicitudes de patente mediante la elaboración de programas de formación eficientes y eficaces que generen sinergia entre las distintas partes interesadas.</w:t>
      </w:r>
    </w:p>
    <w:p w:rsidR="00FA423E" w:rsidRPr="00526311" w:rsidRDefault="00FA423E" w:rsidP="00FA423E">
      <w:pPr>
        <w:pStyle w:val="ListParagraph"/>
        <w:tabs>
          <w:tab w:val="left" w:pos="709"/>
        </w:tabs>
        <w:autoSpaceDE w:val="0"/>
        <w:autoSpaceDN w:val="0"/>
        <w:ind w:left="0"/>
        <w:jc w:val="both"/>
        <w:rPr>
          <w:rFonts w:cs="Arial"/>
          <w:lang w:val="es-ES" w:eastAsia="zh-CN"/>
        </w:rPr>
      </w:pPr>
    </w:p>
    <w:p w:rsidR="00FA423E" w:rsidRPr="00526311" w:rsidRDefault="00FA423E" w:rsidP="00FA423E">
      <w:pPr>
        <w:pStyle w:val="ListParagraph"/>
        <w:numPr>
          <w:ilvl w:val="0"/>
          <w:numId w:val="9"/>
        </w:numPr>
        <w:tabs>
          <w:tab w:val="left" w:pos="709"/>
        </w:tabs>
        <w:autoSpaceDE w:val="0"/>
        <w:autoSpaceDN w:val="0"/>
        <w:ind w:left="0" w:firstLine="0"/>
        <w:jc w:val="both"/>
        <w:rPr>
          <w:rFonts w:cs="Arial"/>
          <w:lang w:val="es-ES" w:eastAsia="zh-CN"/>
        </w:rPr>
      </w:pPr>
      <w:r w:rsidRPr="00526311">
        <w:rPr>
          <w:rFonts w:cs="Arial"/>
          <w:lang w:val="es-ES" w:eastAsia="zh-CN"/>
        </w:rPr>
        <w:t xml:space="preserve">Por otro lado, y conforme a las recomendaciones 16 y 20, se participó en una evaluación final de los resultados concretos del proyecto de la A.D. sobre patentes y dominio público, que fue presentada y examinada en la decimotercera sesión del Comité de Desarrollo y Propiedad Intelectual (CDIP), </w:t>
      </w:r>
      <w:r>
        <w:rPr>
          <w:rFonts w:cs="Arial"/>
          <w:lang w:val="es-ES" w:eastAsia="zh-CN"/>
        </w:rPr>
        <w:t>celebrada</w:t>
      </w:r>
      <w:r w:rsidRPr="00526311">
        <w:rPr>
          <w:rFonts w:cs="Arial"/>
          <w:lang w:val="es-ES" w:eastAsia="zh-CN"/>
        </w:rPr>
        <w:t xml:space="preserve"> </w:t>
      </w:r>
      <w:r>
        <w:rPr>
          <w:rFonts w:cs="Arial"/>
          <w:lang w:val="es-ES" w:eastAsia="zh-CN"/>
        </w:rPr>
        <w:t>en</w:t>
      </w:r>
      <w:r w:rsidRPr="00526311">
        <w:rPr>
          <w:rFonts w:cs="Arial"/>
          <w:lang w:val="es-ES" w:eastAsia="zh-CN"/>
        </w:rPr>
        <w:t xml:space="preserve"> mayo de 2014.</w:t>
      </w:r>
    </w:p>
    <w:p w:rsidR="00FA423E" w:rsidRPr="00526311" w:rsidRDefault="00FA423E" w:rsidP="00FA423E">
      <w:pPr>
        <w:pStyle w:val="ListParagraph"/>
        <w:tabs>
          <w:tab w:val="left" w:pos="709"/>
        </w:tabs>
        <w:autoSpaceDE w:val="0"/>
        <w:autoSpaceDN w:val="0"/>
        <w:ind w:left="0"/>
        <w:jc w:val="both"/>
        <w:rPr>
          <w:rFonts w:cs="Arial"/>
          <w:lang w:val="es-ES" w:eastAsia="zh-CN"/>
        </w:rPr>
      </w:pPr>
    </w:p>
    <w:p w:rsidR="00FA423E" w:rsidRPr="00526311" w:rsidRDefault="00FA423E" w:rsidP="00FA423E">
      <w:pPr>
        <w:pStyle w:val="ListParagraph"/>
        <w:numPr>
          <w:ilvl w:val="0"/>
          <w:numId w:val="9"/>
        </w:numPr>
        <w:tabs>
          <w:tab w:val="left" w:pos="709"/>
        </w:tabs>
        <w:autoSpaceDE w:val="0"/>
        <w:autoSpaceDN w:val="0"/>
        <w:ind w:left="0" w:firstLine="0"/>
        <w:jc w:val="both"/>
        <w:rPr>
          <w:rFonts w:cs="Arial"/>
          <w:lang w:val="es-ES" w:eastAsia="zh-CN"/>
        </w:rPr>
      </w:pPr>
      <w:r w:rsidRPr="00526311">
        <w:rPr>
          <w:rFonts w:cs="Arial"/>
          <w:lang w:val="es-ES" w:eastAsia="zh-CN"/>
        </w:rPr>
        <w:t>En el marco del programa se pre</w:t>
      </w:r>
      <w:r>
        <w:rPr>
          <w:rFonts w:cs="Arial"/>
          <w:lang w:val="es-ES" w:eastAsia="zh-CN"/>
        </w:rPr>
        <w:t xml:space="preserve">pararon </w:t>
      </w:r>
      <w:r w:rsidRPr="00526311">
        <w:rPr>
          <w:rFonts w:cs="Arial"/>
          <w:lang w:val="es-ES" w:eastAsia="zh-CN"/>
        </w:rPr>
        <w:t>l</w:t>
      </w:r>
      <w:r>
        <w:rPr>
          <w:rFonts w:cs="Arial"/>
          <w:lang w:val="es-ES" w:eastAsia="zh-CN"/>
        </w:rPr>
        <w:t>os</w:t>
      </w:r>
      <w:r w:rsidRPr="00526311">
        <w:rPr>
          <w:rFonts w:cs="Arial"/>
          <w:lang w:val="es-ES" w:eastAsia="zh-CN"/>
        </w:rPr>
        <w:t xml:space="preserve"> documento</w:t>
      </w:r>
      <w:r>
        <w:rPr>
          <w:rFonts w:cs="Arial"/>
          <w:lang w:val="es-ES" w:eastAsia="zh-CN"/>
        </w:rPr>
        <w:t>s</w:t>
      </w:r>
      <w:r w:rsidRPr="00526311">
        <w:rPr>
          <w:rFonts w:cs="Arial"/>
          <w:lang w:val="es-ES" w:eastAsia="zh-CN"/>
        </w:rPr>
        <w:t xml:space="preserve"> CDIP/13/10</w:t>
      </w:r>
      <w:r>
        <w:rPr>
          <w:rFonts w:cs="Arial"/>
          <w:lang w:val="es-ES" w:eastAsia="zh-CN"/>
        </w:rPr>
        <w:t xml:space="preserve"> y </w:t>
      </w:r>
      <w:r w:rsidRPr="00D528DA">
        <w:rPr>
          <w:color w:val="000000"/>
          <w:lang w:val="es-ES" w:eastAsia="zh-CN"/>
        </w:rPr>
        <w:t>CDIP/15/6</w:t>
      </w:r>
      <w:r>
        <w:rPr>
          <w:rFonts w:cs="Arial"/>
          <w:lang w:val="es-ES" w:eastAsia="zh-CN"/>
        </w:rPr>
        <w:t xml:space="preserve">, en </w:t>
      </w:r>
      <w:r w:rsidRPr="00526311">
        <w:rPr>
          <w:rFonts w:cs="Arial"/>
          <w:lang w:val="es-ES" w:eastAsia="zh-CN"/>
        </w:rPr>
        <w:t>l</w:t>
      </w:r>
      <w:r>
        <w:rPr>
          <w:rFonts w:cs="Arial"/>
          <w:lang w:val="es-ES" w:eastAsia="zh-CN"/>
        </w:rPr>
        <w:t>os</w:t>
      </w:r>
      <w:r w:rsidRPr="00526311">
        <w:rPr>
          <w:rFonts w:cs="Arial"/>
          <w:lang w:val="es-ES" w:eastAsia="zh-CN"/>
        </w:rPr>
        <w:t xml:space="preserve"> que se abordan </w:t>
      </w:r>
      <w:r>
        <w:rPr>
          <w:rFonts w:cs="Arial"/>
          <w:lang w:val="es-ES" w:eastAsia="zh-CN"/>
        </w:rPr>
        <w:t>cuatro</w:t>
      </w:r>
      <w:r w:rsidRPr="00526311">
        <w:rPr>
          <w:rFonts w:cs="Arial"/>
          <w:lang w:val="es-ES" w:eastAsia="zh-CN"/>
        </w:rPr>
        <w:t xml:space="preserve"> nuevas flexib</w:t>
      </w:r>
      <w:r>
        <w:rPr>
          <w:rFonts w:cs="Arial"/>
          <w:lang w:val="es-ES" w:eastAsia="zh-CN"/>
        </w:rPr>
        <w:t>ilidades en materia de patentes</w:t>
      </w:r>
      <w:r w:rsidRPr="00526311">
        <w:rPr>
          <w:rFonts w:cs="Arial"/>
          <w:lang w:val="es-ES" w:eastAsia="zh-CN"/>
        </w:rPr>
        <w:t xml:space="preserve"> y que fue</w:t>
      </w:r>
      <w:r>
        <w:rPr>
          <w:rFonts w:cs="Arial"/>
          <w:lang w:val="es-ES" w:eastAsia="zh-CN"/>
        </w:rPr>
        <w:t>ron</w:t>
      </w:r>
      <w:r w:rsidRPr="00526311">
        <w:rPr>
          <w:rFonts w:cs="Arial"/>
          <w:lang w:val="es-ES" w:eastAsia="zh-CN"/>
        </w:rPr>
        <w:t xml:space="preserve"> examinado</w:t>
      </w:r>
      <w:r>
        <w:rPr>
          <w:rFonts w:cs="Arial"/>
          <w:lang w:val="es-ES" w:eastAsia="zh-CN"/>
        </w:rPr>
        <w:t>s</w:t>
      </w:r>
      <w:r w:rsidRPr="00526311">
        <w:rPr>
          <w:rFonts w:cs="Arial"/>
          <w:lang w:val="es-ES" w:eastAsia="zh-CN"/>
        </w:rPr>
        <w:t xml:space="preserve"> </w:t>
      </w:r>
      <w:r>
        <w:rPr>
          <w:rFonts w:cs="Arial"/>
          <w:lang w:val="es-ES" w:eastAsia="zh-CN"/>
        </w:rPr>
        <w:t>en las sesiones</w:t>
      </w:r>
      <w:r w:rsidRPr="00526311">
        <w:rPr>
          <w:rFonts w:cs="Arial"/>
          <w:lang w:val="es-ES" w:eastAsia="zh-CN"/>
        </w:rPr>
        <w:t xml:space="preserve"> </w:t>
      </w:r>
      <w:r>
        <w:rPr>
          <w:rFonts w:cs="Arial"/>
          <w:lang w:val="es-ES" w:eastAsia="zh-CN"/>
        </w:rPr>
        <w:t xml:space="preserve">decimotercera y decimocuarta </w:t>
      </w:r>
      <w:r w:rsidRPr="00526311">
        <w:rPr>
          <w:rFonts w:cs="Arial"/>
          <w:lang w:val="es-ES" w:eastAsia="zh-CN"/>
        </w:rPr>
        <w:t>del CDIP</w:t>
      </w:r>
      <w:r>
        <w:rPr>
          <w:rFonts w:cs="Arial"/>
          <w:lang w:val="es-ES" w:eastAsia="zh-CN"/>
        </w:rPr>
        <w:t xml:space="preserve"> respectivamente.  Además,</w:t>
      </w:r>
      <w:r w:rsidRPr="00526311">
        <w:rPr>
          <w:rFonts w:cs="Arial"/>
          <w:lang w:val="es-ES" w:eastAsia="zh-CN"/>
        </w:rPr>
        <w:t xml:space="preserve"> se realizaron actividades orientadas a fomentar la sensibilización acerca de la aplicación práctica de las flexibilidades en el plano nacional</w:t>
      </w:r>
      <w:r>
        <w:rPr>
          <w:rFonts w:cs="Arial"/>
          <w:lang w:val="es-ES" w:eastAsia="zh-CN"/>
        </w:rPr>
        <w:t xml:space="preserve">, entre ellas 14 </w:t>
      </w:r>
      <w:r w:rsidRPr="00526311">
        <w:rPr>
          <w:rFonts w:cs="Arial"/>
          <w:lang w:val="es-ES" w:eastAsia="zh-CN"/>
        </w:rPr>
        <w:t>seminario</w:t>
      </w:r>
      <w:r>
        <w:rPr>
          <w:rFonts w:cs="Arial"/>
          <w:lang w:val="es-ES" w:eastAsia="zh-CN"/>
        </w:rPr>
        <w:t>s</w:t>
      </w:r>
      <w:r w:rsidRPr="00526311">
        <w:rPr>
          <w:rFonts w:cs="Arial"/>
          <w:lang w:val="es-ES" w:eastAsia="zh-CN"/>
        </w:rPr>
        <w:t xml:space="preserve"> </w:t>
      </w:r>
      <w:r>
        <w:rPr>
          <w:rFonts w:cs="Arial"/>
          <w:lang w:val="es-ES" w:eastAsia="zh-CN"/>
        </w:rPr>
        <w:t xml:space="preserve">o talleres nacionales y </w:t>
      </w:r>
      <w:r w:rsidRPr="00526311">
        <w:rPr>
          <w:rFonts w:cs="Arial"/>
          <w:lang w:val="es-ES" w:eastAsia="zh-CN"/>
        </w:rPr>
        <w:t>regional</w:t>
      </w:r>
      <w:r>
        <w:rPr>
          <w:rFonts w:cs="Arial"/>
          <w:lang w:val="es-ES" w:eastAsia="zh-CN"/>
        </w:rPr>
        <w:t>es</w:t>
      </w:r>
      <w:r w:rsidRPr="00526311">
        <w:rPr>
          <w:rFonts w:cs="Arial"/>
          <w:lang w:val="es-ES" w:eastAsia="zh-CN"/>
        </w:rPr>
        <w:t xml:space="preserve"> sobre el marco jurídico </w:t>
      </w:r>
      <w:r>
        <w:rPr>
          <w:rFonts w:cs="Arial"/>
          <w:lang w:val="es-ES" w:eastAsia="zh-CN"/>
        </w:rPr>
        <w:t xml:space="preserve">multilateral de las patentes </w:t>
      </w:r>
      <w:r w:rsidRPr="00526311">
        <w:rPr>
          <w:rFonts w:cs="Arial"/>
          <w:lang w:val="es-ES" w:eastAsia="zh-CN"/>
        </w:rPr>
        <w:t xml:space="preserve">y </w:t>
      </w:r>
      <w:r>
        <w:rPr>
          <w:rFonts w:cs="Arial"/>
          <w:lang w:val="es-ES" w:eastAsia="zh-CN"/>
        </w:rPr>
        <w:t xml:space="preserve">cuestiones relacionadas con </w:t>
      </w:r>
      <w:r w:rsidRPr="00526311">
        <w:rPr>
          <w:rFonts w:cs="Arial"/>
          <w:lang w:val="es-ES" w:eastAsia="zh-CN"/>
        </w:rPr>
        <w:t>la</w:t>
      </w:r>
      <w:r>
        <w:rPr>
          <w:rFonts w:cs="Arial"/>
          <w:lang w:val="es-ES" w:eastAsia="zh-CN"/>
        </w:rPr>
        <w:t>s políticas públicas, incluidas las flexibilidades contempladas en dicho marco</w:t>
      </w:r>
      <w:r w:rsidRPr="00526311">
        <w:rPr>
          <w:rFonts w:cs="Arial"/>
          <w:lang w:val="es-ES" w:eastAsia="zh-CN"/>
        </w:rPr>
        <w:t>.</w:t>
      </w:r>
    </w:p>
    <w:p w:rsidR="00FA423E" w:rsidRPr="00526311" w:rsidRDefault="00FA423E" w:rsidP="00FA423E">
      <w:pPr>
        <w:rPr>
          <w:sz w:val="20"/>
        </w:rPr>
      </w:pPr>
    </w:p>
    <w:p w:rsidR="00FA423E" w:rsidRPr="00526311" w:rsidRDefault="00FA423E" w:rsidP="00FA423E">
      <w:pPr>
        <w:rPr>
          <w:sz w:val="20"/>
        </w:rPr>
      </w:pPr>
    </w:p>
    <w:p w:rsidR="00FA423E" w:rsidRPr="00526311" w:rsidRDefault="008F7CBE" w:rsidP="00FA423E">
      <w:pPr>
        <w:jc w:val="both"/>
        <w:rPr>
          <w:szCs w:val="22"/>
        </w:rPr>
      </w:pPr>
      <w:r w:rsidRPr="008F7CBE">
        <w:rPr>
          <w:sz w:val="20"/>
          <w:szCs w:val="22"/>
        </w:rPr>
        <w:t>DATOS SOBRE EL RENDIMIENTO</w:t>
      </w:r>
    </w:p>
    <w:p w:rsidR="00FA423E" w:rsidRPr="00526311" w:rsidRDefault="00FA423E" w:rsidP="00FA423E">
      <w:pPr>
        <w:rPr>
          <w:b/>
        </w:rPr>
      </w:pPr>
    </w:p>
    <w:tbl>
      <w:tblPr>
        <w:tblW w:w="4888"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411"/>
        <w:gridCol w:w="2268"/>
        <w:gridCol w:w="1274"/>
        <w:gridCol w:w="2128"/>
        <w:gridCol w:w="1276"/>
      </w:tblGrid>
      <w:tr w:rsidR="00FA423E" w:rsidRPr="00526311" w:rsidTr="00DC1333">
        <w:trPr>
          <w:trHeight w:val="810"/>
        </w:trPr>
        <w:tc>
          <w:tcPr>
            <w:tcW w:w="5000" w:type="pct"/>
            <w:gridSpan w:val="5"/>
            <w:tcBorders>
              <w:top w:val="single" w:sz="4" w:space="0" w:color="auto"/>
              <w:bottom w:val="single" w:sz="4" w:space="0" w:color="auto"/>
            </w:tcBorders>
            <w:shd w:val="clear" w:color="auto" w:fill="C6D9F1" w:themeFill="text2" w:themeFillTint="33"/>
            <w:vAlign w:val="center"/>
          </w:tcPr>
          <w:p w:rsidR="00FA423E" w:rsidRPr="00526311" w:rsidRDefault="00FA423E" w:rsidP="00DC1333">
            <w:pPr>
              <w:keepNext/>
              <w:keepLines/>
              <w:ind w:left="2019" w:hanging="2019"/>
              <w:rPr>
                <w:b/>
                <w:bCs/>
                <w:sz w:val="16"/>
                <w:szCs w:val="16"/>
              </w:rPr>
            </w:pPr>
            <w:r w:rsidRPr="00526311">
              <w:rPr>
                <w:b/>
                <w:bCs/>
                <w:sz w:val="16"/>
                <w:szCs w:val="16"/>
              </w:rPr>
              <w:t>Resultado previsto:</w:t>
            </w:r>
            <w:r w:rsidRPr="00526311">
              <w:tab/>
            </w:r>
            <w:r w:rsidRPr="00526311">
              <w:rPr>
                <w:bCs/>
                <w:sz w:val="16"/>
                <w:szCs w:val="16"/>
              </w:rPr>
              <w:t>I.1 Mejor cooperación entre los Estados miembros en lo que atañe a la elaboración de marcos normativos internacionales equilibrados para la P.I. y fomento de acuerdos sobre las cuestiones específicas respecto de las que se acuerdan instrumentos internacionales</w:t>
            </w:r>
          </w:p>
        </w:tc>
      </w:tr>
      <w:tr w:rsidR="00FA423E" w:rsidRPr="00526311" w:rsidTr="00DC1333">
        <w:tc>
          <w:tcPr>
            <w:tcW w:w="1288" w:type="pct"/>
            <w:tcBorders>
              <w:top w:val="single" w:sz="4" w:space="0" w:color="auto"/>
              <w:left w:val="single" w:sz="4" w:space="0" w:color="auto"/>
              <w:bottom w:val="nil"/>
              <w:right w:val="nil"/>
            </w:tcBorders>
            <w:shd w:val="clear" w:color="auto" w:fill="auto"/>
            <w:vAlign w:val="center"/>
          </w:tcPr>
          <w:p w:rsidR="00FA423E" w:rsidRPr="00526311" w:rsidRDefault="00FA423E" w:rsidP="00DC1333">
            <w:pPr>
              <w:rPr>
                <w:sz w:val="16"/>
                <w:szCs w:val="16"/>
              </w:rPr>
            </w:pPr>
            <w:r w:rsidRPr="00526311">
              <w:rPr>
                <w:b/>
                <w:sz w:val="16"/>
                <w:szCs w:val="16"/>
              </w:rPr>
              <w:t>Indicadores de rendimiento</w:t>
            </w:r>
          </w:p>
        </w:tc>
        <w:tc>
          <w:tcPr>
            <w:tcW w:w="1212" w:type="pct"/>
            <w:tcBorders>
              <w:top w:val="single" w:sz="4" w:space="0" w:color="auto"/>
              <w:left w:val="nil"/>
              <w:bottom w:val="nil"/>
              <w:right w:val="nil"/>
            </w:tcBorders>
            <w:shd w:val="clear" w:color="auto" w:fill="auto"/>
            <w:vAlign w:val="center"/>
          </w:tcPr>
          <w:p w:rsidR="00FA423E" w:rsidRPr="00526311" w:rsidRDefault="00FA423E" w:rsidP="00DC1333">
            <w:pPr>
              <w:rPr>
                <w:b/>
                <w:bCs/>
                <w:sz w:val="16"/>
                <w:szCs w:val="16"/>
              </w:rPr>
            </w:pPr>
            <w:r w:rsidRPr="00526311">
              <w:rPr>
                <w:b/>
                <w:bCs/>
                <w:sz w:val="16"/>
                <w:szCs w:val="16"/>
              </w:rPr>
              <w:t>Referencia</w:t>
            </w:r>
          </w:p>
        </w:tc>
        <w:tc>
          <w:tcPr>
            <w:tcW w:w="681" w:type="pct"/>
            <w:tcBorders>
              <w:top w:val="single" w:sz="4" w:space="0" w:color="auto"/>
              <w:left w:val="nil"/>
              <w:bottom w:val="nil"/>
              <w:right w:val="nil"/>
            </w:tcBorders>
            <w:shd w:val="clear" w:color="auto" w:fill="auto"/>
            <w:tcMar>
              <w:top w:w="110" w:type="dxa"/>
            </w:tcMar>
            <w:vAlign w:val="center"/>
          </w:tcPr>
          <w:p w:rsidR="00FA423E" w:rsidRPr="00526311" w:rsidRDefault="00FA423E" w:rsidP="00DC1333">
            <w:pPr>
              <w:rPr>
                <w:b/>
                <w:sz w:val="16"/>
                <w:szCs w:val="16"/>
              </w:rPr>
            </w:pPr>
            <w:r w:rsidRPr="00526311">
              <w:rPr>
                <w:b/>
                <w:sz w:val="16"/>
                <w:szCs w:val="16"/>
              </w:rPr>
              <w:t>Objetivos</w:t>
            </w:r>
          </w:p>
        </w:tc>
        <w:tc>
          <w:tcPr>
            <w:tcW w:w="1137" w:type="pct"/>
            <w:tcBorders>
              <w:top w:val="single" w:sz="4" w:space="0" w:color="auto"/>
              <w:left w:val="nil"/>
              <w:bottom w:val="nil"/>
              <w:right w:val="nil"/>
            </w:tcBorders>
            <w:shd w:val="clear" w:color="auto" w:fill="FFFFFF"/>
            <w:tcMar>
              <w:top w:w="110" w:type="dxa"/>
            </w:tcMar>
            <w:vAlign w:val="center"/>
          </w:tcPr>
          <w:p w:rsidR="00FA423E" w:rsidRPr="00526311" w:rsidRDefault="00FA423E" w:rsidP="00DC1333">
            <w:pPr>
              <w:rPr>
                <w:sz w:val="16"/>
                <w:szCs w:val="16"/>
              </w:rPr>
            </w:pPr>
            <w:r w:rsidRPr="00526311">
              <w:rPr>
                <w:b/>
                <w:sz w:val="16"/>
                <w:szCs w:val="16"/>
              </w:rPr>
              <w:t>Datos sobre el rendimiento</w:t>
            </w:r>
          </w:p>
        </w:tc>
        <w:tc>
          <w:tcPr>
            <w:tcW w:w="682" w:type="pct"/>
            <w:tcBorders>
              <w:top w:val="single" w:sz="4" w:space="0" w:color="auto"/>
              <w:left w:val="nil"/>
              <w:bottom w:val="nil"/>
              <w:right w:val="single" w:sz="4" w:space="0" w:color="auto"/>
            </w:tcBorders>
            <w:shd w:val="clear" w:color="auto" w:fill="auto"/>
            <w:tcMar>
              <w:top w:w="110" w:type="dxa"/>
            </w:tcMar>
            <w:vAlign w:val="center"/>
          </w:tcPr>
          <w:p w:rsidR="00FA423E" w:rsidRPr="00526311" w:rsidRDefault="00FA423E" w:rsidP="00DC1333">
            <w:pPr>
              <w:keepNext/>
              <w:keepLines/>
              <w:jc w:val="center"/>
              <w:rPr>
                <w:b/>
                <w:sz w:val="16"/>
                <w:szCs w:val="16"/>
              </w:rPr>
            </w:pPr>
            <w:r w:rsidRPr="00526311">
              <w:rPr>
                <w:b/>
                <w:sz w:val="16"/>
                <w:szCs w:val="16"/>
              </w:rPr>
              <w:t>Clave de colores</w:t>
            </w:r>
          </w:p>
        </w:tc>
      </w:tr>
      <w:tr w:rsidR="00FA423E" w:rsidRPr="00526311" w:rsidTr="00DC1333">
        <w:tc>
          <w:tcPr>
            <w:tcW w:w="1288" w:type="pct"/>
            <w:tcBorders>
              <w:top w:val="nil"/>
              <w:left w:val="single" w:sz="4" w:space="0" w:color="auto"/>
              <w:bottom w:val="nil"/>
              <w:right w:val="nil"/>
            </w:tcBorders>
            <w:shd w:val="clear" w:color="auto" w:fill="auto"/>
          </w:tcPr>
          <w:p w:rsidR="00FA423E" w:rsidRPr="00526311" w:rsidRDefault="00FA423E" w:rsidP="00DC1333">
            <w:pPr>
              <w:rPr>
                <w:sz w:val="16"/>
                <w:szCs w:val="16"/>
              </w:rPr>
            </w:pPr>
            <w:r w:rsidRPr="00526311">
              <w:rPr>
                <w:sz w:val="16"/>
                <w:szCs w:val="16"/>
              </w:rPr>
              <w:t>Progresos en la puesta en práctica de medidas/planes concertados por el SCP</w:t>
            </w:r>
          </w:p>
        </w:tc>
        <w:tc>
          <w:tcPr>
            <w:tcW w:w="1212" w:type="pct"/>
            <w:tcBorders>
              <w:top w:val="nil"/>
              <w:left w:val="nil"/>
              <w:bottom w:val="nil"/>
              <w:right w:val="nil"/>
            </w:tcBorders>
            <w:shd w:val="clear" w:color="auto" w:fill="auto"/>
          </w:tcPr>
          <w:p w:rsidR="00FA423E" w:rsidRPr="00526311" w:rsidRDefault="00FA423E" w:rsidP="00DC1333">
            <w:pPr>
              <w:rPr>
                <w:i/>
                <w:color w:val="002060"/>
                <w:sz w:val="16"/>
                <w:szCs w:val="16"/>
              </w:rPr>
            </w:pPr>
            <w:r w:rsidRPr="00526311">
              <w:rPr>
                <w:i/>
                <w:color w:val="002060"/>
                <w:sz w:val="16"/>
                <w:szCs w:val="16"/>
              </w:rPr>
              <w:t xml:space="preserve">Referencia actualizada a fines de 2013:  </w:t>
            </w:r>
            <w:r w:rsidRPr="00526311">
              <w:rPr>
                <w:color w:val="002060"/>
                <w:sz w:val="16"/>
                <w:szCs w:val="16"/>
              </w:rPr>
              <w:t>El SCP ha concentrado sus esfuerzos en avanzar en cinco cuestiones de su orden del día y ha conseguido progresar en sus debates, por ejemplo, gracias a la recopilación de información a través de un cuestionario, la elaboración de estudios y el intercambio de experiencias y prácticas nacionales entre los Estados miembros.</w:t>
            </w:r>
          </w:p>
          <w:p w:rsidR="00FA423E" w:rsidRPr="00526311" w:rsidRDefault="00FA423E" w:rsidP="00DC1333">
            <w:pPr>
              <w:rPr>
                <w:i/>
                <w:sz w:val="8"/>
                <w:szCs w:val="8"/>
              </w:rPr>
            </w:pPr>
          </w:p>
          <w:p w:rsidR="00FA423E" w:rsidRPr="00526311" w:rsidRDefault="00FA423E" w:rsidP="00DC1333">
            <w:pPr>
              <w:rPr>
                <w:i/>
                <w:sz w:val="16"/>
                <w:szCs w:val="16"/>
                <w:lang w:bidi="th-TH"/>
              </w:rPr>
            </w:pPr>
            <w:r w:rsidRPr="00526311">
              <w:rPr>
                <w:i/>
                <w:sz w:val="16"/>
                <w:szCs w:val="16"/>
                <w:lang w:bidi="th-TH"/>
              </w:rPr>
              <w:t xml:space="preserve">Referencia original en el presupuesto de 2014/15:  </w:t>
            </w:r>
            <w:r w:rsidRPr="00526311">
              <w:rPr>
                <w:sz w:val="16"/>
                <w:szCs w:val="16"/>
                <w:lang w:bidi="th-TH"/>
              </w:rPr>
              <w:t>por determinar</w:t>
            </w:r>
          </w:p>
          <w:p w:rsidR="00FA423E" w:rsidRPr="00526311" w:rsidRDefault="00FA423E" w:rsidP="00DC1333">
            <w:pPr>
              <w:rPr>
                <w:sz w:val="16"/>
                <w:szCs w:val="16"/>
              </w:rPr>
            </w:pPr>
          </w:p>
        </w:tc>
        <w:tc>
          <w:tcPr>
            <w:tcW w:w="681" w:type="pct"/>
            <w:tcBorders>
              <w:top w:val="nil"/>
              <w:left w:val="nil"/>
              <w:bottom w:val="nil"/>
              <w:right w:val="nil"/>
            </w:tcBorders>
            <w:shd w:val="clear" w:color="auto" w:fill="auto"/>
            <w:tcMar>
              <w:top w:w="110" w:type="dxa"/>
            </w:tcMar>
          </w:tcPr>
          <w:p w:rsidR="00FA423E" w:rsidRPr="00526311" w:rsidRDefault="00FA423E" w:rsidP="00DC1333">
            <w:pPr>
              <w:rPr>
                <w:sz w:val="16"/>
                <w:szCs w:val="16"/>
              </w:rPr>
            </w:pPr>
            <w:r w:rsidRPr="00526311">
              <w:rPr>
                <w:sz w:val="16"/>
                <w:szCs w:val="16"/>
              </w:rPr>
              <w:t>Progresos en cuestiones de interés común en el marco del SCP.</w:t>
            </w:r>
          </w:p>
        </w:tc>
        <w:tc>
          <w:tcPr>
            <w:tcW w:w="1137" w:type="pct"/>
            <w:tcBorders>
              <w:top w:val="nil"/>
              <w:left w:val="nil"/>
              <w:bottom w:val="nil"/>
              <w:right w:val="nil"/>
            </w:tcBorders>
            <w:shd w:val="clear" w:color="auto" w:fill="FFFFFF"/>
            <w:tcMar>
              <w:top w:w="110" w:type="dxa"/>
            </w:tcMar>
          </w:tcPr>
          <w:p w:rsidR="00FA423E" w:rsidRPr="00526311" w:rsidRDefault="00FA423E" w:rsidP="00DC1333">
            <w:pPr>
              <w:rPr>
                <w:sz w:val="16"/>
                <w:szCs w:val="16"/>
              </w:rPr>
            </w:pPr>
            <w:r>
              <w:rPr>
                <w:sz w:val="16"/>
                <w:szCs w:val="16"/>
              </w:rPr>
              <w:t>El SCP ha concentrado sus esfuerzos en avanzar en las cinco</w:t>
            </w:r>
            <w:r w:rsidRPr="00526311">
              <w:rPr>
                <w:sz w:val="16"/>
                <w:szCs w:val="16"/>
              </w:rPr>
              <w:t xml:space="preserve"> cuestiones</w:t>
            </w:r>
            <w:r>
              <w:rPr>
                <w:sz w:val="16"/>
                <w:szCs w:val="16"/>
              </w:rPr>
              <w:t xml:space="preserve"> de su orden del día</w:t>
            </w:r>
            <w:r>
              <w:t xml:space="preserve"> </w:t>
            </w:r>
            <w:r w:rsidRPr="00BF09FA">
              <w:rPr>
                <w:sz w:val="16"/>
                <w:szCs w:val="16"/>
              </w:rPr>
              <w:t>y ha conseguido progresar en sus debates, por ejemplo, gracias a</w:t>
            </w:r>
            <w:r>
              <w:rPr>
                <w:sz w:val="16"/>
                <w:szCs w:val="16"/>
              </w:rPr>
              <w:t xml:space="preserve"> la elaboración de estudios</w:t>
            </w:r>
            <w:r w:rsidRPr="00526311">
              <w:rPr>
                <w:sz w:val="16"/>
                <w:szCs w:val="16"/>
              </w:rPr>
              <w:t xml:space="preserve">, </w:t>
            </w:r>
            <w:r>
              <w:rPr>
                <w:sz w:val="16"/>
                <w:szCs w:val="16"/>
              </w:rPr>
              <w:t xml:space="preserve">la recopilación de información sobre las legislaciones y prácticas nacionales y el intercambio de experiencias nacionales entre los Estados miembros. </w:t>
            </w:r>
            <w:r w:rsidRPr="00526311">
              <w:rPr>
                <w:sz w:val="16"/>
                <w:szCs w:val="16"/>
              </w:rPr>
              <w:t>Los debates se basaron en las pr</w:t>
            </w:r>
            <w:r>
              <w:rPr>
                <w:sz w:val="16"/>
                <w:szCs w:val="16"/>
              </w:rPr>
              <w:t>opuestas de las delegaciones (12</w:t>
            </w:r>
            <w:r w:rsidRPr="00526311">
              <w:rPr>
                <w:sz w:val="16"/>
                <w:szCs w:val="16"/>
              </w:rPr>
              <w:t xml:space="preserve">) y en documentos </w:t>
            </w:r>
            <w:r>
              <w:rPr>
                <w:sz w:val="16"/>
                <w:szCs w:val="16"/>
              </w:rPr>
              <w:t>preparados por la Secretaría (27</w:t>
            </w:r>
            <w:r w:rsidRPr="00526311">
              <w:rPr>
                <w:sz w:val="16"/>
                <w:szCs w:val="16"/>
              </w:rPr>
              <w:t xml:space="preserve">) </w:t>
            </w:r>
            <w:r>
              <w:rPr>
                <w:sz w:val="16"/>
                <w:szCs w:val="16"/>
              </w:rPr>
              <w:t>durante el bienio</w:t>
            </w:r>
          </w:p>
        </w:tc>
        <w:tc>
          <w:tcPr>
            <w:tcW w:w="682" w:type="pct"/>
            <w:tcBorders>
              <w:top w:val="nil"/>
              <w:left w:val="nil"/>
              <w:bottom w:val="nil"/>
              <w:right w:val="single" w:sz="4" w:space="0" w:color="auto"/>
            </w:tcBorders>
            <w:shd w:val="clear" w:color="auto" w:fill="auto"/>
            <w:tcMar>
              <w:top w:w="110" w:type="dxa"/>
            </w:tcMar>
          </w:tcPr>
          <w:p w:rsidR="00FA423E" w:rsidRPr="00526311" w:rsidRDefault="00FA423E" w:rsidP="00DC1333">
            <w:pPr>
              <w:keepNext/>
              <w:keepLines/>
              <w:ind w:left="-108"/>
              <w:jc w:val="center"/>
              <w:rPr>
                <w:b/>
                <w:bCs/>
                <w:color w:val="00B050"/>
                <w:sz w:val="16"/>
                <w:szCs w:val="16"/>
              </w:rPr>
            </w:pPr>
            <w:r>
              <w:rPr>
                <w:b/>
                <w:bCs/>
                <w:color w:val="00B050"/>
                <w:sz w:val="16"/>
                <w:szCs w:val="16"/>
              </w:rPr>
              <w:t>Plenamente logrado</w:t>
            </w:r>
          </w:p>
          <w:p w:rsidR="00FA423E" w:rsidRPr="00526311" w:rsidRDefault="00FA423E" w:rsidP="00DC1333">
            <w:pPr>
              <w:keepNext/>
              <w:keepLines/>
              <w:jc w:val="center"/>
              <w:rPr>
                <w:b/>
                <w:color w:val="00B050"/>
                <w:sz w:val="16"/>
                <w:szCs w:val="16"/>
              </w:rPr>
            </w:pPr>
          </w:p>
        </w:tc>
      </w:tr>
      <w:tr w:rsidR="00FA423E" w:rsidRPr="00526311" w:rsidTr="00DC1333">
        <w:tc>
          <w:tcPr>
            <w:tcW w:w="1288" w:type="pct"/>
            <w:tcBorders>
              <w:top w:val="nil"/>
              <w:left w:val="single" w:sz="4" w:space="0" w:color="auto"/>
              <w:bottom w:val="single" w:sz="4" w:space="0" w:color="auto"/>
              <w:right w:val="nil"/>
            </w:tcBorders>
            <w:shd w:val="clear" w:color="auto" w:fill="auto"/>
          </w:tcPr>
          <w:p w:rsidR="00FA423E" w:rsidRPr="00526311" w:rsidRDefault="00FA423E" w:rsidP="00DC1333">
            <w:pPr>
              <w:rPr>
                <w:sz w:val="16"/>
                <w:szCs w:val="16"/>
              </w:rPr>
            </w:pPr>
            <w:r w:rsidRPr="00526311">
              <w:rPr>
                <w:sz w:val="16"/>
                <w:szCs w:val="16"/>
              </w:rPr>
              <w:t>Porcentaje de participantes en talleres/seminarios/conferencias sobre cuestiones específicas relacionadas con las patentes que expresaron satisfacción al respecto</w:t>
            </w:r>
          </w:p>
        </w:tc>
        <w:tc>
          <w:tcPr>
            <w:tcW w:w="1212" w:type="pct"/>
            <w:tcBorders>
              <w:top w:val="nil"/>
              <w:left w:val="nil"/>
              <w:bottom w:val="single" w:sz="4" w:space="0" w:color="auto"/>
              <w:right w:val="nil"/>
            </w:tcBorders>
            <w:shd w:val="clear" w:color="auto" w:fill="auto"/>
          </w:tcPr>
          <w:p w:rsidR="00FA423E" w:rsidRPr="00526311" w:rsidRDefault="00FA423E" w:rsidP="00DC1333">
            <w:pPr>
              <w:rPr>
                <w:color w:val="002060"/>
                <w:sz w:val="16"/>
                <w:szCs w:val="16"/>
                <w:lang w:bidi="th-TH"/>
              </w:rPr>
            </w:pPr>
            <w:r w:rsidRPr="00526311">
              <w:rPr>
                <w:i/>
                <w:color w:val="002060"/>
                <w:sz w:val="16"/>
                <w:szCs w:val="16"/>
              </w:rPr>
              <w:t xml:space="preserve">Referencia actualizada a fines de 2013:  </w:t>
            </w:r>
            <w:r w:rsidRPr="00526311">
              <w:rPr>
                <w:color w:val="002060"/>
                <w:sz w:val="16"/>
                <w:szCs w:val="16"/>
                <w:lang w:bidi="th-TH"/>
              </w:rPr>
              <w:t>92,5%, sobre la base de una encuesta de 2012/13</w:t>
            </w:r>
          </w:p>
          <w:p w:rsidR="00FA423E" w:rsidRPr="00526311" w:rsidRDefault="00FA423E" w:rsidP="00DC1333">
            <w:pPr>
              <w:rPr>
                <w:i/>
                <w:sz w:val="8"/>
                <w:szCs w:val="8"/>
              </w:rPr>
            </w:pPr>
          </w:p>
          <w:p w:rsidR="00FA423E" w:rsidRPr="00526311" w:rsidRDefault="00FA423E" w:rsidP="00DC1333">
            <w:pPr>
              <w:rPr>
                <w:i/>
                <w:sz w:val="16"/>
                <w:szCs w:val="16"/>
                <w:lang w:bidi="th-TH"/>
              </w:rPr>
            </w:pPr>
            <w:r w:rsidRPr="00526311">
              <w:rPr>
                <w:i/>
                <w:sz w:val="16"/>
                <w:szCs w:val="16"/>
                <w:lang w:bidi="th-TH"/>
              </w:rPr>
              <w:t xml:space="preserve">Referencia original en el presupuesto de 2014/15:  </w:t>
            </w:r>
            <w:r w:rsidRPr="00526311">
              <w:rPr>
                <w:sz w:val="16"/>
                <w:szCs w:val="16"/>
                <w:lang w:bidi="th-TH"/>
              </w:rPr>
              <w:t>encuestas</w:t>
            </w:r>
            <w:r w:rsidRPr="00526311">
              <w:rPr>
                <w:i/>
                <w:sz w:val="16"/>
                <w:szCs w:val="16"/>
                <w:lang w:bidi="th-TH"/>
              </w:rPr>
              <w:t xml:space="preserve"> </w:t>
            </w:r>
            <w:r w:rsidRPr="00526311">
              <w:rPr>
                <w:sz w:val="16"/>
                <w:szCs w:val="16"/>
                <w:lang w:bidi="th-TH"/>
              </w:rPr>
              <w:t>2012</w:t>
            </w:r>
          </w:p>
          <w:p w:rsidR="00FA423E" w:rsidRPr="00526311" w:rsidRDefault="00FA423E" w:rsidP="00DC1333">
            <w:pPr>
              <w:rPr>
                <w:sz w:val="16"/>
                <w:szCs w:val="16"/>
              </w:rPr>
            </w:pPr>
          </w:p>
        </w:tc>
        <w:tc>
          <w:tcPr>
            <w:tcW w:w="681" w:type="pct"/>
            <w:tcBorders>
              <w:top w:val="nil"/>
              <w:left w:val="nil"/>
              <w:bottom w:val="single" w:sz="4" w:space="0" w:color="auto"/>
              <w:right w:val="nil"/>
            </w:tcBorders>
            <w:shd w:val="clear" w:color="auto" w:fill="auto"/>
            <w:tcMar>
              <w:top w:w="110" w:type="dxa"/>
            </w:tcMar>
          </w:tcPr>
          <w:p w:rsidR="00FA423E" w:rsidRPr="00526311" w:rsidRDefault="00FA423E" w:rsidP="00DC1333">
            <w:pPr>
              <w:rPr>
                <w:sz w:val="16"/>
                <w:szCs w:val="16"/>
              </w:rPr>
            </w:pPr>
            <w:r w:rsidRPr="00526311">
              <w:rPr>
                <w:sz w:val="16"/>
                <w:szCs w:val="16"/>
              </w:rPr>
              <w:t>90%</w:t>
            </w:r>
          </w:p>
        </w:tc>
        <w:tc>
          <w:tcPr>
            <w:tcW w:w="1137" w:type="pct"/>
            <w:tcBorders>
              <w:top w:val="nil"/>
              <w:left w:val="nil"/>
              <w:bottom w:val="single" w:sz="4" w:space="0" w:color="auto"/>
              <w:right w:val="nil"/>
            </w:tcBorders>
            <w:shd w:val="clear" w:color="auto" w:fill="FFFFFF"/>
            <w:tcMar>
              <w:top w:w="110" w:type="dxa"/>
            </w:tcMar>
          </w:tcPr>
          <w:p w:rsidR="00FA423E" w:rsidRPr="00526311" w:rsidRDefault="00FA423E" w:rsidP="00DC1333">
            <w:pPr>
              <w:rPr>
                <w:sz w:val="16"/>
                <w:szCs w:val="16"/>
              </w:rPr>
            </w:pPr>
            <w:r>
              <w:rPr>
                <w:sz w:val="16"/>
                <w:szCs w:val="16"/>
              </w:rPr>
              <w:t>96,8</w:t>
            </w:r>
            <w:r w:rsidRPr="00526311">
              <w:rPr>
                <w:sz w:val="16"/>
                <w:szCs w:val="16"/>
              </w:rPr>
              <w:t xml:space="preserve">5% sobre la base de </w:t>
            </w:r>
            <w:r>
              <w:rPr>
                <w:sz w:val="16"/>
                <w:szCs w:val="16"/>
              </w:rPr>
              <w:t>los cuestionarios rellenados por los participantes</w:t>
            </w:r>
          </w:p>
        </w:tc>
        <w:tc>
          <w:tcPr>
            <w:tcW w:w="682" w:type="pct"/>
            <w:tcBorders>
              <w:top w:val="nil"/>
              <w:left w:val="nil"/>
              <w:bottom w:val="single" w:sz="4" w:space="0" w:color="auto"/>
              <w:right w:val="single" w:sz="4" w:space="0" w:color="auto"/>
            </w:tcBorders>
            <w:shd w:val="clear" w:color="auto" w:fill="auto"/>
            <w:tcMar>
              <w:top w:w="110" w:type="dxa"/>
            </w:tcMar>
          </w:tcPr>
          <w:p w:rsidR="00FA423E" w:rsidRPr="00526311" w:rsidRDefault="00FA423E" w:rsidP="00DC1333">
            <w:pPr>
              <w:keepNext/>
              <w:keepLines/>
              <w:ind w:left="-108"/>
              <w:jc w:val="center"/>
              <w:rPr>
                <w:b/>
                <w:bCs/>
                <w:color w:val="00B050"/>
                <w:sz w:val="16"/>
                <w:szCs w:val="16"/>
              </w:rPr>
            </w:pPr>
            <w:r>
              <w:rPr>
                <w:b/>
                <w:bCs/>
                <w:color w:val="00B050"/>
                <w:sz w:val="16"/>
                <w:szCs w:val="16"/>
              </w:rPr>
              <w:t>Plenamente logrado</w:t>
            </w:r>
          </w:p>
          <w:p w:rsidR="00FA423E" w:rsidRPr="00526311" w:rsidRDefault="00FA423E" w:rsidP="00DC1333">
            <w:pPr>
              <w:keepNext/>
              <w:keepLines/>
              <w:jc w:val="center"/>
              <w:rPr>
                <w:b/>
                <w:color w:val="00B050"/>
                <w:sz w:val="16"/>
                <w:szCs w:val="16"/>
              </w:rPr>
            </w:pPr>
          </w:p>
        </w:tc>
      </w:tr>
      <w:tr w:rsidR="00FA423E" w:rsidRPr="00526311" w:rsidTr="00DC1333">
        <w:trPr>
          <w:trHeight w:val="431"/>
        </w:trPr>
        <w:tc>
          <w:tcPr>
            <w:tcW w:w="5000" w:type="pct"/>
            <w:gridSpan w:val="5"/>
            <w:tcBorders>
              <w:top w:val="single" w:sz="4" w:space="0" w:color="auto"/>
              <w:bottom w:val="single" w:sz="4" w:space="0" w:color="auto"/>
            </w:tcBorders>
            <w:shd w:val="clear" w:color="auto" w:fill="C6D9F1" w:themeFill="text2" w:themeFillTint="33"/>
            <w:vAlign w:val="center"/>
          </w:tcPr>
          <w:p w:rsidR="00FA423E" w:rsidRPr="00526311" w:rsidRDefault="00FA423E" w:rsidP="00DC1333">
            <w:pPr>
              <w:keepNext/>
              <w:keepLines/>
              <w:ind w:left="2019" w:hanging="2019"/>
              <w:rPr>
                <w:b/>
                <w:bCs/>
                <w:sz w:val="16"/>
                <w:szCs w:val="16"/>
              </w:rPr>
            </w:pPr>
            <w:r w:rsidRPr="00526311">
              <w:rPr>
                <w:b/>
                <w:bCs/>
                <w:sz w:val="16"/>
                <w:szCs w:val="16"/>
              </w:rPr>
              <w:lastRenderedPageBreak/>
              <w:t>Resultado previsto:</w:t>
            </w:r>
            <w:r w:rsidRPr="00526311">
              <w:rPr>
                <w:bCs/>
                <w:sz w:val="16"/>
                <w:szCs w:val="16"/>
              </w:rPr>
              <w:tab/>
              <w:t>I.2 Marcos de P.I. adaptados y equilibrados en el ámbito legislativo, reglamentario y de política</w:t>
            </w:r>
          </w:p>
        </w:tc>
      </w:tr>
      <w:tr w:rsidR="00FA423E" w:rsidRPr="00526311" w:rsidTr="00DC1333">
        <w:tc>
          <w:tcPr>
            <w:tcW w:w="1288" w:type="pct"/>
            <w:tcBorders>
              <w:top w:val="single" w:sz="4" w:space="0" w:color="auto"/>
              <w:bottom w:val="nil"/>
            </w:tcBorders>
            <w:shd w:val="clear" w:color="auto" w:fill="auto"/>
            <w:vAlign w:val="center"/>
          </w:tcPr>
          <w:p w:rsidR="00FA423E" w:rsidRPr="00526311" w:rsidRDefault="00FA423E" w:rsidP="00DC1333">
            <w:pPr>
              <w:keepNext/>
              <w:rPr>
                <w:sz w:val="16"/>
                <w:szCs w:val="16"/>
              </w:rPr>
            </w:pPr>
            <w:r w:rsidRPr="00526311">
              <w:rPr>
                <w:b/>
                <w:sz w:val="16"/>
                <w:szCs w:val="16"/>
              </w:rPr>
              <w:t>Indicadores de rendimiento</w:t>
            </w:r>
          </w:p>
        </w:tc>
        <w:tc>
          <w:tcPr>
            <w:tcW w:w="1212" w:type="pct"/>
            <w:tcBorders>
              <w:top w:val="single" w:sz="4" w:space="0" w:color="auto"/>
              <w:bottom w:val="nil"/>
            </w:tcBorders>
            <w:shd w:val="clear" w:color="auto" w:fill="auto"/>
            <w:vAlign w:val="center"/>
          </w:tcPr>
          <w:p w:rsidR="00FA423E" w:rsidRPr="00526311" w:rsidRDefault="00FA423E" w:rsidP="00DC1333">
            <w:pPr>
              <w:keepNext/>
              <w:rPr>
                <w:b/>
                <w:bCs/>
                <w:sz w:val="16"/>
                <w:szCs w:val="16"/>
              </w:rPr>
            </w:pPr>
            <w:r w:rsidRPr="00526311">
              <w:rPr>
                <w:b/>
                <w:bCs/>
                <w:sz w:val="16"/>
                <w:szCs w:val="16"/>
              </w:rPr>
              <w:t>Referencia</w:t>
            </w:r>
          </w:p>
        </w:tc>
        <w:tc>
          <w:tcPr>
            <w:tcW w:w="681" w:type="pct"/>
            <w:tcBorders>
              <w:top w:val="single" w:sz="4" w:space="0" w:color="auto"/>
              <w:bottom w:val="nil"/>
            </w:tcBorders>
            <w:shd w:val="clear" w:color="auto" w:fill="auto"/>
            <w:tcMar>
              <w:top w:w="110" w:type="dxa"/>
            </w:tcMar>
            <w:vAlign w:val="center"/>
          </w:tcPr>
          <w:p w:rsidR="00FA423E" w:rsidRPr="00526311" w:rsidRDefault="00FA423E" w:rsidP="00DC1333">
            <w:pPr>
              <w:keepNext/>
              <w:rPr>
                <w:b/>
                <w:sz w:val="16"/>
                <w:szCs w:val="16"/>
              </w:rPr>
            </w:pPr>
            <w:r w:rsidRPr="00526311">
              <w:rPr>
                <w:b/>
                <w:sz w:val="16"/>
                <w:szCs w:val="16"/>
              </w:rPr>
              <w:t>Objetivos</w:t>
            </w:r>
          </w:p>
        </w:tc>
        <w:tc>
          <w:tcPr>
            <w:tcW w:w="1137" w:type="pct"/>
            <w:tcBorders>
              <w:top w:val="single" w:sz="4" w:space="0" w:color="auto"/>
              <w:bottom w:val="nil"/>
            </w:tcBorders>
            <w:shd w:val="clear" w:color="auto" w:fill="auto"/>
            <w:tcMar>
              <w:top w:w="110" w:type="dxa"/>
            </w:tcMar>
            <w:vAlign w:val="center"/>
          </w:tcPr>
          <w:p w:rsidR="00FA423E" w:rsidRPr="00526311" w:rsidRDefault="00FA423E" w:rsidP="00DC1333">
            <w:pPr>
              <w:keepNext/>
              <w:rPr>
                <w:sz w:val="16"/>
                <w:szCs w:val="16"/>
              </w:rPr>
            </w:pPr>
            <w:r w:rsidRPr="00526311">
              <w:rPr>
                <w:b/>
                <w:sz w:val="16"/>
                <w:szCs w:val="16"/>
              </w:rPr>
              <w:t>Datos sobre el rendimiento</w:t>
            </w:r>
          </w:p>
        </w:tc>
        <w:tc>
          <w:tcPr>
            <w:tcW w:w="682" w:type="pct"/>
            <w:tcBorders>
              <w:top w:val="single" w:sz="4" w:space="0" w:color="auto"/>
              <w:bottom w:val="nil"/>
            </w:tcBorders>
            <w:shd w:val="clear" w:color="auto" w:fill="auto"/>
            <w:tcMar>
              <w:top w:w="110" w:type="dxa"/>
            </w:tcMar>
            <w:vAlign w:val="center"/>
          </w:tcPr>
          <w:p w:rsidR="00FA423E" w:rsidRPr="00526311" w:rsidRDefault="00FA423E" w:rsidP="00DC1333">
            <w:pPr>
              <w:keepNext/>
              <w:keepLines/>
              <w:jc w:val="center"/>
              <w:rPr>
                <w:b/>
                <w:sz w:val="16"/>
                <w:szCs w:val="16"/>
              </w:rPr>
            </w:pPr>
            <w:r w:rsidRPr="00526311">
              <w:rPr>
                <w:b/>
                <w:sz w:val="16"/>
                <w:szCs w:val="16"/>
              </w:rPr>
              <w:t>Clave de colores</w:t>
            </w:r>
          </w:p>
        </w:tc>
      </w:tr>
      <w:tr w:rsidR="00FA423E" w:rsidRPr="00526311" w:rsidTr="00DC1333">
        <w:tc>
          <w:tcPr>
            <w:tcW w:w="1288" w:type="pct"/>
            <w:tcBorders>
              <w:top w:val="nil"/>
              <w:bottom w:val="nil"/>
            </w:tcBorders>
            <w:shd w:val="clear" w:color="auto" w:fill="auto"/>
          </w:tcPr>
          <w:p w:rsidR="00FA423E" w:rsidRPr="00526311" w:rsidRDefault="00FA423E" w:rsidP="00DC1333">
            <w:pPr>
              <w:keepNext/>
              <w:rPr>
                <w:sz w:val="16"/>
                <w:szCs w:val="16"/>
                <w:lang w:bidi="th-TH"/>
              </w:rPr>
            </w:pPr>
            <w:r w:rsidRPr="00526311">
              <w:rPr>
                <w:sz w:val="16"/>
                <w:szCs w:val="16"/>
                <w:lang w:bidi="th-TH"/>
              </w:rPr>
              <w:t>Número y porcentaje de Estados miembros que consideran útil la información proporcionada en relación con los principios y prácticas jurídico</w:t>
            </w:r>
            <w:r>
              <w:rPr>
                <w:sz w:val="16"/>
                <w:szCs w:val="16"/>
                <w:lang w:bidi="th-TH"/>
              </w:rPr>
              <w:t>s del sistema de patentes, como por ejemplo</w:t>
            </w:r>
            <w:r w:rsidRPr="00526311">
              <w:rPr>
                <w:sz w:val="16"/>
                <w:szCs w:val="16"/>
                <w:lang w:bidi="th-TH"/>
              </w:rPr>
              <w:t xml:space="preserve"> las flexibilidades que ofrece el sistema y los desafíos que se plantean en la materia.</w:t>
            </w:r>
          </w:p>
        </w:tc>
        <w:tc>
          <w:tcPr>
            <w:tcW w:w="1212" w:type="pct"/>
            <w:tcBorders>
              <w:top w:val="nil"/>
              <w:bottom w:val="nil"/>
            </w:tcBorders>
            <w:shd w:val="clear" w:color="auto" w:fill="auto"/>
          </w:tcPr>
          <w:p w:rsidR="00FA423E" w:rsidRPr="00526311" w:rsidRDefault="00FA423E" w:rsidP="00DC1333">
            <w:pPr>
              <w:keepNext/>
              <w:rPr>
                <w:color w:val="002060"/>
                <w:sz w:val="16"/>
                <w:szCs w:val="16"/>
                <w:lang w:bidi="th-TH"/>
              </w:rPr>
            </w:pPr>
            <w:r w:rsidRPr="00526311">
              <w:rPr>
                <w:i/>
                <w:color w:val="002060"/>
                <w:sz w:val="16"/>
                <w:szCs w:val="16"/>
              </w:rPr>
              <w:t xml:space="preserve">Referencia actualizada a fines de 2013:  </w:t>
            </w:r>
            <w:r w:rsidRPr="00526311">
              <w:rPr>
                <w:color w:val="002060"/>
                <w:sz w:val="16"/>
                <w:szCs w:val="16"/>
                <w:lang w:bidi="th-TH"/>
              </w:rPr>
              <w:t>90%, sobre la base de una encuesta realizada por la DSI en 2013 entre 47 Estados miembros</w:t>
            </w:r>
          </w:p>
          <w:p w:rsidR="00FA423E" w:rsidRPr="00526311" w:rsidRDefault="00FA423E" w:rsidP="00DC1333">
            <w:pPr>
              <w:keepNext/>
              <w:rPr>
                <w:i/>
                <w:sz w:val="8"/>
                <w:szCs w:val="8"/>
                <w:lang w:bidi="th-TH"/>
              </w:rPr>
            </w:pPr>
          </w:p>
          <w:p w:rsidR="00FA423E" w:rsidRPr="00526311" w:rsidRDefault="00FA423E" w:rsidP="00DC1333">
            <w:pPr>
              <w:keepNext/>
              <w:rPr>
                <w:i/>
                <w:sz w:val="16"/>
                <w:szCs w:val="16"/>
              </w:rPr>
            </w:pPr>
            <w:r w:rsidRPr="00526311">
              <w:rPr>
                <w:i/>
                <w:sz w:val="16"/>
                <w:szCs w:val="16"/>
                <w:lang w:bidi="th-TH"/>
              </w:rPr>
              <w:t xml:space="preserve">Referencia original en el presupuesto de 2014/15:  </w:t>
            </w:r>
            <w:r w:rsidRPr="00526311">
              <w:rPr>
                <w:sz w:val="16"/>
                <w:szCs w:val="16"/>
                <w:lang w:bidi="th-TH"/>
              </w:rPr>
              <w:t>por determinar</w:t>
            </w:r>
          </w:p>
          <w:p w:rsidR="00FA423E" w:rsidRPr="00526311" w:rsidRDefault="00FA423E" w:rsidP="00DC1333">
            <w:pPr>
              <w:keepNext/>
              <w:rPr>
                <w:i/>
                <w:sz w:val="16"/>
                <w:szCs w:val="16"/>
              </w:rPr>
            </w:pPr>
          </w:p>
        </w:tc>
        <w:tc>
          <w:tcPr>
            <w:tcW w:w="681" w:type="pct"/>
            <w:tcBorders>
              <w:top w:val="nil"/>
              <w:bottom w:val="nil"/>
            </w:tcBorders>
            <w:shd w:val="clear" w:color="auto" w:fill="auto"/>
            <w:tcMar>
              <w:top w:w="110" w:type="dxa"/>
            </w:tcMar>
          </w:tcPr>
          <w:p w:rsidR="00FA423E" w:rsidRPr="00526311" w:rsidRDefault="00FA423E" w:rsidP="00DC1333">
            <w:pPr>
              <w:keepNext/>
              <w:autoSpaceDE w:val="0"/>
              <w:autoSpaceDN w:val="0"/>
              <w:adjustRightInd w:val="0"/>
              <w:rPr>
                <w:sz w:val="16"/>
                <w:szCs w:val="16"/>
              </w:rPr>
            </w:pPr>
            <w:r w:rsidRPr="00526311">
              <w:rPr>
                <w:sz w:val="16"/>
                <w:szCs w:val="16"/>
              </w:rPr>
              <w:t>90%</w:t>
            </w:r>
          </w:p>
        </w:tc>
        <w:tc>
          <w:tcPr>
            <w:tcW w:w="1137" w:type="pct"/>
            <w:tcBorders>
              <w:top w:val="nil"/>
              <w:bottom w:val="nil"/>
            </w:tcBorders>
            <w:shd w:val="clear" w:color="auto" w:fill="auto"/>
            <w:tcMar>
              <w:top w:w="110" w:type="dxa"/>
            </w:tcMar>
          </w:tcPr>
          <w:p w:rsidR="00FA423E" w:rsidRPr="00526311" w:rsidRDefault="00FA423E" w:rsidP="00DC1333">
            <w:pPr>
              <w:keepNext/>
              <w:rPr>
                <w:sz w:val="16"/>
                <w:szCs w:val="16"/>
                <w:lang w:bidi="th-TH"/>
              </w:rPr>
            </w:pPr>
            <w:r>
              <w:rPr>
                <w:sz w:val="16"/>
                <w:szCs w:val="16"/>
                <w:lang w:bidi="th-TH"/>
              </w:rPr>
              <w:t>95,24% sobre la base de las respuestas a una encuesta</w:t>
            </w:r>
          </w:p>
        </w:tc>
        <w:tc>
          <w:tcPr>
            <w:tcW w:w="682" w:type="pct"/>
            <w:tcBorders>
              <w:top w:val="nil"/>
              <w:bottom w:val="nil"/>
            </w:tcBorders>
            <w:shd w:val="clear" w:color="auto" w:fill="auto"/>
            <w:tcMar>
              <w:top w:w="110" w:type="dxa"/>
            </w:tcMar>
          </w:tcPr>
          <w:p w:rsidR="00FA423E" w:rsidRPr="00526311" w:rsidRDefault="00FA423E" w:rsidP="00DC1333">
            <w:pPr>
              <w:keepNext/>
              <w:keepLines/>
              <w:ind w:left="-108"/>
              <w:jc w:val="center"/>
              <w:rPr>
                <w:b/>
                <w:bCs/>
                <w:color w:val="00B050"/>
                <w:sz w:val="16"/>
                <w:szCs w:val="16"/>
              </w:rPr>
            </w:pPr>
            <w:r>
              <w:rPr>
                <w:b/>
                <w:bCs/>
                <w:color w:val="00B050"/>
                <w:sz w:val="16"/>
                <w:szCs w:val="16"/>
              </w:rPr>
              <w:t>Plenamente logrado</w:t>
            </w:r>
          </w:p>
          <w:p w:rsidR="00FA423E" w:rsidRPr="00526311" w:rsidRDefault="00FA423E" w:rsidP="00DC1333">
            <w:pPr>
              <w:keepNext/>
              <w:keepLines/>
              <w:jc w:val="center"/>
              <w:rPr>
                <w:b/>
                <w:bCs/>
                <w:color w:val="00B050"/>
                <w:sz w:val="16"/>
                <w:szCs w:val="16"/>
              </w:rPr>
            </w:pPr>
          </w:p>
        </w:tc>
      </w:tr>
      <w:tr w:rsidR="00FA423E" w:rsidRPr="00526311" w:rsidTr="00DC1333">
        <w:tc>
          <w:tcPr>
            <w:tcW w:w="1288" w:type="pct"/>
            <w:shd w:val="clear" w:color="auto" w:fill="FFFFFF"/>
          </w:tcPr>
          <w:p w:rsidR="00FA423E" w:rsidRPr="00526311" w:rsidRDefault="00FA423E" w:rsidP="00DC1333">
            <w:pPr>
              <w:keepNext/>
              <w:keepLines/>
              <w:rPr>
                <w:sz w:val="16"/>
                <w:szCs w:val="16"/>
                <w:lang w:bidi="th-TH"/>
              </w:rPr>
            </w:pPr>
            <w:r w:rsidRPr="00526311">
              <w:rPr>
                <w:sz w:val="16"/>
                <w:szCs w:val="16"/>
                <w:lang w:bidi="th-TH"/>
              </w:rPr>
              <w:t>Número y porcentaje de Estados miembros satisfechos con la calidad del asesoramiento jurídico sobre patentes, modelos de utilidad, secretos comerciales y circuitos integrados.</w:t>
            </w:r>
          </w:p>
        </w:tc>
        <w:tc>
          <w:tcPr>
            <w:tcW w:w="1212" w:type="pct"/>
            <w:shd w:val="clear" w:color="auto" w:fill="auto"/>
          </w:tcPr>
          <w:p w:rsidR="00FA423E" w:rsidRPr="00526311" w:rsidRDefault="00FA423E" w:rsidP="00DC1333">
            <w:pPr>
              <w:rPr>
                <w:color w:val="002060"/>
                <w:sz w:val="16"/>
                <w:szCs w:val="16"/>
                <w:lang w:bidi="th-TH"/>
              </w:rPr>
            </w:pPr>
            <w:r w:rsidRPr="00526311">
              <w:rPr>
                <w:i/>
                <w:color w:val="002060"/>
                <w:sz w:val="16"/>
                <w:szCs w:val="16"/>
              </w:rPr>
              <w:t xml:space="preserve">Referencia actualizada a fines de 2013:  </w:t>
            </w:r>
            <w:r w:rsidRPr="00526311">
              <w:rPr>
                <w:color w:val="002060"/>
                <w:sz w:val="16"/>
                <w:szCs w:val="16"/>
                <w:lang w:bidi="th-TH"/>
              </w:rPr>
              <w:t>9 encuestados (90%), sobre la base de una encuesta realizada por la DSI en 2013</w:t>
            </w:r>
          </w:p>
          <w:p w:rsidR="00FA423E" w:rsidRPr="00526311" w:rsidRDefault="00FA423E" w:rsidP="00DC1333">
            <w:pPr>
              <w:rPr>
                <w:i/>
                <w:sz w:val="8"/>
                <w:szCs w:val="8"/>
                <w:lang w:bidi="th-TH"/>
              </w:rPr>
            </w:pPr>
          </w:p>
          <w:p w:rsidR="00FA423E" w:rsidRPr="00526311" w:rsidRDefault="00FA423E" w:rsidP="00DC1333">
            <w:pPr>
              <w:rPr>
                <w:i/>
                <w:sz w:val="16"/>
                <w:szCs w:val="16"/>
                <w:lang w:bidi="th-TH"/>
              </w:rPr>
            </w:pPr>
            <w:r w:rsidRPr="00526311">
              <w:rPr>
                <w:i/>
                <w:sz w:val="16"/>
                <w:szCs w:val="16"/>
                <w:lang w:bidi="th-TH"/>
              </w:rPr>
              <w:t xml:space="preserve">Referencia original en el presupuesto de 2014/15:  </w:t>
            </w:r>
            <w:r w:rsidRPr="00526311">
              <w:rPr>
                <w:sz w:val="16"/>
                <w:szCs w:val="16"/>
                <w:lang w:bidi="th-TH"/>
              </w:rPr>
              <w:t>encuestas de  2012</w:t>
            </w:r>
          </w:p>
          <w:p w:rsidR="00FA423E" w:rsidRPr="00526311" w:rsidRDefault="00FA423E" w:rsidP="00DC1333">
            <w:pPr>
              <w:keepNext/>
              <w:keepLines/>
              <w:rPr>
                <w:sz w:val="16"/>
                <w:szCs w:val="16"/>
                <w:lang w:bidi="th-TH"/>
              </w:rPr>
            </w:pPr>
          </w:p>
        </w:tc>
        <w:tc>
          <w:tcPr>
            <w:tcW w:w="681" w:type="pct"/>
            <w:shd w:val="clear" w:color="auto" w:fill="auto"/>
            <w:tcMar>
              <w:top w:w="110" w:type="dxa"/>
            </w:tcMar>
          </w:tcPr>
          <w:p w:rsidR="00FA423E" w:rsidRPr="00526311" w:rsidRDefault="00FA423E" w:rsidP="00DC1333">
            <w:pPr>
              <w:autoSpaceDE w:val="0"/>
              <w:autoSpaceDN w:val="0"/>
              <w:adjustRightInd w:val="0"/>
              <w:rPr>
                <w:sz w:val="16"/>
                <w:szCs w:val="16"/>
              </w:rPr>
            </w:pPr>
            <w:r w:rsidRPr="00526311">
              <w:rPr>
                <w:sz w:val="16"/>
                <w:szCs w:val="16"/>
              </w:rPr>
              <w:t>90%</w:t>
            </w:r>
          </w:p>
        </w:tc>
        <w:tc>
          <w:tcPr>
            <w:tcW w:w="1137" w:type="pct"/>
            <w:shd w:val="clear" w:color="auto" w:fill="FFFFFF"/>
            <w:tcMar>
              <w:top w:w="110" w:type="dxa"/>
            </w:tcMar>
          </w:tcPr>
          <w:p w:rsidR="00FA423E" w:rsidRPr="00526311" w:rsidRDefault="00801E65" w:rsidP="00801E65">
            <w:pPr>
              <w:rPr>
                <w:sz w:val="16"/>
                <w:szCs w:val="16"/>
                <w:lang w:bidi="th-TH"/>
              </w:rPr>
            </w:pPr>
            <w:r>
              <w:rPr>
                <w:sz w:val="16"/>
                <w:szCs w:val="16"/>
                <w:lang w:bidi="th-TH"/>
              </w:rPr>
              <w:t xml:space="preserve">En 2014/15 9 </w:t>
            </w:r>
            <w:r w:rsidR="00FA423E" w:rsidRPr="00526311">
              <w:rPr>
                <w:sz w:val="16"/>
                <w:szCs w:val="16"/>
                <w:lang w:bidi="th-TH"/>
              </w:rPr>
              <w:t>encuestados se manifestaron satisfechos</w:t>
            </w:r>
            <w:r w:rsidR="00FA423E">
              <w:rPr>
                <w:sz w:val="16"/>
                <w:szCs w:val="16"/>
                <w:lang w:bidi="th-TH"/>
              </w:rPr>
              <w:t xml:space="preserve"> en una media del 9</w:t>
            </w:r>
            <w:r>
              <w:rPr>
                <w:sz w:val="16"/>
                <w:szCs w:val="16"/>
                <w:lang w:bidi="th-TH"/>
              </w:rPr>
              <w:t>4</w:t>
            </w:r>
            <w:r w:rsidR="00FA423E">
              <w:rPr>
                <w:sz w:val="16"/>
                <w:szCs w:val="16"/>
                <w:lang w:bidi="th-TH"/>
              </w:rPr>
              <w:t>% (África-</w:t>
            </w:r>
            <w:r>
              <w:rPr>
                <w:sz w:val="16"/>
                <w:szCs w:val="16"/>
                <w:lang w:bidi="th-TH"/>
              </w:rPr>
              <w:t>3</w:t>
            </w:r>
            <w:r w:rsidR="00FA423E">
              <w:rPr>
                <w:sz w:val="16"/>
                <w:szCs w:val="16"/>
                <w:lang w:bidi="th-TH"/>
              </w:rPr>
              <w:t>;  P</w:t>
            </w:r>
            <w:r w:rsidR="00FA423E" w:rsidRPr="00526311">
              <w:rPr>
                <w:sz w:val="16"/>
                <w:szCs w:val="16"/>
                <w:lang w:bidi="th-TH"/>
              </w:rPr>
              <w:t>aíses árabes</w:t>
            </w:r>
            <w:r w:rsidR="00FA423E" w:rsidRPr="00526311">
              <w:rPr>
                <w:sz w:val="16"/>
                <w:szCs w:val="16"/>
                <w:lang w:bidi="th-TH"/>
              </w:rPr>
              <w:noBreakHyphen/>
            </w:r>
            <w:r>
              <w:rPr>
                <w:sz w:val="16"/>
                <w:szCs w:val="16"/>
                <w:lang w:bidi="th-TH"/>
              </w:rPr>
              <w:t>1</w:t>
            </w:r>
            <w:r w:rsidR="00FA423E">
              <w:rPr>
                <w:sz w:val="16"/>
                <w:szCs w:val="16"/>
                <w:lang w:bidi="th-TH"/>
              </w:rPr>
              <w:t>;  Asia y el Pacífico-</w:t>
            </w:r>
            <w:r>
              <w:rPr>
                <w:sz w:val="16"/>
                <w:szCs w:val="16"/>
                <w:lang w:bidi="th-TH"/>
              </w:rPr>
              <w:t>2</w:t>
            </w:r>
            <w:r w:rsidR="00FA423E" w:rsidRPr="00526311">
              <w:rPr>
                <w:sz w:val="16"/>
                <w:szCs w:val="16"/>
                <w:lang w:bidi="th-TH"/>
              </w:rPr>
              <w:t>;  Determinados países de Europa y Asia</w:t>
            </w:r>
            <w:r w:rsidR="00FA423E" w:rsidRPr="00526311">
              <w:rPr>
                <w:sz w:val="16"/>
                <w:szCs w:val="16"/>
                <w:lang w:bidi="th-TH"/>
              </w:rPr>
              <w:noBreakHyphen/>
            </w:r>
            <w:r w:rsidR="00FA423E">
              <w:rPr>
                <w:sz w:val="16"/>
                <w:szCs w:val="16"/>
                <w:lang w:bidi="th-TH"/>
              </w:rPr>
              <w:t>4</w:t>
            </w:r>
            <w:r w:rsidR="00FA423E" w:rsidRPr="00526311">
              <w:rPr>
                <w:sz w:val="16"/>
                <w:szCs w:val="16"/>
                <w:lang w:bidi="th-TH"/>
              </w:rPr>
              <w:t xml:space="preserve">;  América </w:t>
            </w:r>
            <w:r w:rsidR="00FA423E">
              <w:rPr>
                <w:sz w:val="16"/>
                <w:szCs w:val="16"/>
                <w:lang w:bidi="th-TH"/>
              </w:rPr>
              <w:t>Latina y el Caribe-1)</w:t>
            </w:r>
            <w:r w:rsidR="00FA423E" w:rsidRPr="00854B75">
              <w:rPr>
                <w:rStyle w:val="FootnoteReference"/>
                <w:sz w:val="16"/>
                <w:szCs w:val="16"/>
                <w:lang w:bidi="th-TH"/>
              </w:rPr>
              <w:t xml:space="preserve"> </w:t>
            </w:r>
            <w:r w:rsidR="00FA423E" w:rsidRPr="00854B75">
              <w:rPr>
                <w:rStyle w:val="FootnoteReference"/>
                <w:sz w:val="16"/>
                <w:szCs w:val="16"/>
                <w:lang w:bidi="th-TH"/>
              </w:rPr>
              <w:footnoteReference w:id="9"/>
            </w:r>
            <w:r w:rsidR="00FA423E" w:rsidRPr="00526311">
              <w:rPr>
                <w:sz w:val="16"/>
                <w:szCs w:val="16"/>
                <w:lang w:bidi="th-TH"/>
              </w:rPr>
              <w:t xml:space="preserve"> </w:t>
            </w:r>
          </w:p>
        </w:tc>
        <w:tc>
          <w:tcPr>
            <w:tcW w:w="682" w:type="pct"/>
            <w:shd w:val="clear" w:color="auto" w:fill="auto"/>
            <w:tcMar>
              <w:top w:w="110" w:type="dxa"/>
            </w:tcMar>
          </w:tcPr>
          <w:p w:rsidR="00FA423E" w:rsidRPr="00526311" w:rsidRDefault="00FA423E" w:rsidP="00DC1333">
            <w:pPr>
              <w:keepNext/>
              <w:keepLines/>
              <w:ind w:left="-108"/>
              <w:jc w:val="center"/>
              <w:rPr>
                <w:b/>
                <w:bCs/>
                <w:color w:val="00B050"/>
                <w:sz w:val="16"/>
                <w:szCs w:val="16"/>
              </w:rPr>
            </w:pPr>
            <w:r>
              <w:rPr>
                <w:b/>
                <w:bCs/>
                <w:color w:val="00B050"/>
                <w:sz w:val="16"/>
                <w:szCs w:val="16"/>
              </w:rPr>
              <w:t>Plenamente logrado</w:t>
            </w:r>
          </w:p>
          <w:p w:rsidR="00FA423E" w:rsidRPr="00526311" w:rsidRDefault="00FA423E" w:rsidP="00DC1333">
            <w:pPr>
              <w:keepNext/>
              <w:keepLines/>
              <w:jc w:val="center"/>
              <w:rPr>
                <w:b/>
                <w:bCs/>
                <w:color w:val="00B050"/>
                <w:sz w:val="16"/>
                <w:szCs w:val="16"/>
              </w:rPr>
            </w:pPr>
          </w:p>
        </w:tc>
      </w:tr>
      <w:tr w:rsidR="00FA423E" w:rsidRPr="00526311" w:rsidTr="00DC1333">
        <w:tc>
          <w:tcPr>
            <w:tcW w:w="1288" w:type="pct"/>
            <w:shd w:val="clear" w:color="auto" w:fill="FFFFFF"/>
          </w:tcPr>
          <w:p w:rsidR="00FA423E" w:rsidRPr="00526311" w:rsidRDefault="00FA423E" w:rsidP="00DC1333">
            <w:pPr>
              <w:rPr>
                <w:sz w:val="16"/>
                <w:szCs w:val="16"/>
                <w:lang w:bidi="th-TH"/>
              </w:rPr>
            </w:pPr>
            <w:r w:rsidRPr="00526311">
              <w:rPr>
                <w:sz w:val="16"/>
                <w:szCs w:val="16"/>
                <w:lang w:bidi="th-TH"/>
              </w:rPr>
              <w:t>Con sujeción a la aprobación de los Estados miembros, avance en la revisión de la ley tipo sobre patentes para los países en desarrollo y los PMA.</w:t>
            </w:r>
          </w:p>
        </w:tc>
        <w:tc>
          <w:tcPr>
            <w:tcW w:w="1212" w:type="pct"/>
            <w:shd w:val="clear" w:color="auto" w:fill="auto"/>
          </w:tcPr>
          <w:p w:rsidR="00FA423E" w:rsidRPr="00526311" w:rsidRDefault="00FA423E" w:rsidP="00DC1333">
            <w:pPr>
              <w:rPr>
                <w:color w:val="002060"/>
                <w:sz w:val="16"/>
                <w:szCs w:val="16"/>
                <w:lang w:bidi="th-TH"/>
              </w:rPr>
            </w:pPr>
            <w:r w:rsidRPr="00526311">
              <w:rPr>
                <w:i/>
                <w:color w:val="002060"/>
                <w:sz w:val="16"/>
                <w:szCs w:val="16"/>
              </w:rPr>
              <w:t xml:space="preserve">Referencia actualizada a fines de 2013:  </w:t>
            </w:r>
            <w:r w:rsidRPr="00526311">
              <w:rPr>
                <w:color w:val="002060"/>
                <w:sz w:val="16"/>
                <w:szCs w:val="16"/>
              </w:rPr>
              <w:t>una reunión de expertos</w:t>
            </w:r>
          </w:p>
          <w:p w:rsidR="00FA423E" w:rsidRPr="00526311" w:rsidRDefault="00FA423E" w:rsidP="00DC1333">
            <w:pPr>
              <w:rPr>
                <w:i/>
                <w:sz w:val="8"/>
                <w:szCs w:val="8"/>
                <w:lang w:bidi="th-TH"/>
              </w:rPr>
            </w:pPr>
          </w:p>
          <w:p w:rsidR="00FA423E" w:rsidRPr="00526311" w:rsidRDefault="00FA423E" w:rsidP="00DC1333">
            <w:pPr>
              <w:rPr>
                <w:sz w:val="16"/>
                <w:szCs w:val="16"/>
                <w:lang w:bidi="th-TH"/>
              </w:rPr>
            </w:pPr>
            <w:r w:rsidRPr="00526311">
              <w:rPr>
                <w:i/>
                <w:sz w:val="16"/>
                <w:szCs w:val="16"/>
                <w:lang w:bidi="th-TH"/>
              </w:rPr>
              <w:t xml:space="preserve">Referencia original en el presupuesto de 2014/15:  </w:t>
            </w:r>
            <w:r w:rsidRPr="00526311">
              <w:rPr>
                <w:sz w:val="16"/>
                <w:szCs w:val="16"/>
                <w:lang w:bidi="th-TH"/>
              </w:rPr>
              <w:t>por determinar</w:t>
            </w:r>
          </w:p>
          <w:p w:rsidR="00FA423E" w:rsidRPr="00526311" w:rsidRDefault="00FA423E" w:rsidP="00DC1333">
            <w:pPr>
              <w:rPr>
                <w:i/>
                <w:sz w:val="16"/>
                <w:szCs w:val="16"/>
                <w:lang w:bidi="th-TH"/>
              </w:rPr>
            </w:pPr>
          </w:p>
        </w:tc>
        <w:tc>
          <w:tcPr>
            <w:tcW w:w="681" w:type="pct"/>
            <w:shd w:val="clear" w:color="auto" w:fill="auto"/>
            <w:tcMar>
              <w:top w:w="110" w:type="dxa"/>
            </w:tcMar>
          </w:tcPr>
          <w:p w:rsidR="00FA423E" w:rsidRDefault="00FA423E" w:rsidP="00DC1333">
            <w:pPr>
              <w:autoSpaceDE w:val="0"/>
              <w:autoSpaceDN w:val="0"/>
              <w:adjustRightInd w:val="0"/>
              <w:rPr>
                <w:sz w:val="16"/>
                <w:szCs w:val="16"/>
              </w:rPr>
            </w:pPr>
            <w:r w:rsidRPr="00526311">
              <w:rPr>
                <w:sz w:val="16"/>
                <w:szCs w:val="16"/>
              </w:rPr>
              <w:t>Avances en la labor preparatoria de la actualización de la ley tipo de la OMPI sobre patentes</w:t>
            </w:r>
          </w:p>
          <w:p w:rsidR="00FA423E" w:rsidRPr="00526311" w:rsidRDefault="00FA423E" w:rsidP="00DC1333">
            <w:pPr>
              <w:autoSpaceDE w:val="0"/>
              <w:autoSpaceDN w:val="0"/>
              <w:adjustRightInd w:val="0"/>
              <w:rPr>
                <w:sz w:val="16"/>
                <w:szCs w:val="16"/>
              </w:rPr>
            </w:pPr>
          </w:p>
        </w:tc>
        <w:tc>
          <w:tcPr>
            <w:tcW w:w="1137" w:type="pct"/>
            <w:shd w:val="clear" w:color="auto" w:fill="FFFFFF"/>
            <w:tcMar>
              <w:top w:w="110" w:type="dxa"/>
            </w:tcMar>
          </w:tcPr>
          <w:p w:rsidR="00FA423E" w:rsidRPr="00526311" w:rsidRDefault="00FA423E" w:rsidP="00DC1333">
            <w:pPr>
              <w:rPr>
                <w:sz w:val="16"/>
                <w:szCs w:val="16"/>
                <w:lang w:bidi="th-TH"/>
              </w:rPr>
            </w:pPr>
            <w:r>
              <w:rPr>
                <w:sz w:val="16"/>
                <w:szCs w:val="16"/>
                <w:lang w:bidi="th-TH"/>
              </w:rPr>
              <w:t>El SCP siguió debatiendo una propuesta del GRULAC.</w:t>
            </w:r>
          </w:p>
        </w:tc>
        <w:tc>
          <w:tcPr>
            <w:tcW w:w="682" w:type="pct"/>
            <w:shd w:val="clear" w:color="auto" w:fill="auto"/>
            <w:tcMar>
              <w:top w:w="110" w:type="dxa"/>
            </w:tcMar>
          </w:tcPr>
          <w:p w:rsidR="00FA423E" w:rsidRPr="00526311" w:rsidRDefault="00FA423E" w:rsidP="00DC1333">
            <w:pPr>
              <w:keepNext/>
              <w:keepLines/>
              <w:jc w:val="center"/>
              <w:rPr>
                <w:b/>
                <w:color w:val="FF0000"/>
                <w:sz w:val="16"/>
                <w:szCs w:val="16"/>
              </w:rPr>
            </w:pPr>
            <w:r>
              <w:rPr>
                <w:b/>
                <w:color w:val="FF0000"/>
                <w:sz w:val="16"/>
                <w:szCs w:val="16"/>
              </w:rPr>
              <w:t>No logrado</w:t>
            </w:r>
          </w:p>
        </w:tc>
      </w:tr>
    </w:tbl>
    <w:p w:rsidR="00FA423E" w:rsidRPr="00526311" w:rsidRDefault="00FA423E" w:rsidP="00FA423E">
      <w:pPr>
        <w:rPr>
          <w:sz w:val="20"/>
        </w:rPr>
      </w:pPr>
    </w:p>
    <w:p w:rsidR="00FA423E" w:rsidRDefault="00FA423E" w:rsidP="00FA423E">
      <w:pPr>
        <w:rPr>
          <w:sz w:val="20"/>
        </w:rPr>
      </w:pPr>
    </w:p>
    <w:p w:rsidR="00FA423E" w:rsidRDefault="008F7CBE" w:rsidP="00FA423E">
      <w:pPr>
        <w:rPr>
          <w:sz w:val="20"/>
        </w:rPr>
      </w:pPr>
      <w:r w:rsidRPr="008F7CBE">
        <w:rPr>
          <w:sz w:val="20"/>
        </w:rPr>
        <w:t>INFORMACIÓN SOBRE LOS RIESGOS PLANTEADOS EN EL BIENIO</w:t>
      </w:r>
    </w:p>
    <w:p w:rsidR="00FA423E" w:rsidRDefault="00FA423E" w:rsidP="00FA423E">
      <w:pPr>
        <w:rPr>
          <w:sz w:val="20"/>
        </w:rPr>
      </w:pPr>
    </w:p>
    <w:tbl>
      <w:tblPr>
        <w:tblW w:w="0" w:type="auto"/>
        <w:tblInd w:w="108" w:type="dxa"/>
        <w:tblLook w:val="01E0" w:firstRow="1" w:lastRow="1" w:firstColumn="1" w:lastColumn="1" w:noHBand="0" w:noVBand="0"/>
      </w:tblPr>
      <w:tblGrid>
        <w:gridCol w:w="2420"/>
        <w:gridCol w:w="2200"/>
        <w:gridCol w:w="2310"/>
        <w:gridCol w:w="2306"/>
      </w:tblGrid>
      <w:tr w:rsidR="00FA423E" w:rsidRPr="003454A6" w:rsidTr="00DC1333">
        <w:trPr>
          <w:trHeight w:val="1007"/>
        </w:trPr>
        <w:tc>
          <w:tcPr>
            <w:tcW w:w="2420" w:type="dxa"/>
            <w:tcBorders>
              <w:top w:val="single" w:sz="4" w:space="0" w:color="auto"/>
              <w:left w:val="single" w:sz="4" w:space="0" w:color="auto"/>
              <w:bottom w:val="single" w:sz="4" w:space="0" w:color="auto"/>
            </w:tcBorders>
            <w:shd w:val="clear" w:color="auto" w:fill="C6D9F1" w:themeFill="text2" w:themeFillTint="33"/>
            <w:vAlign w:val="center"/>
          </w:tcPr>
          <w:p w:rsidR="00FA423E" w:rsidRPr="003454A6" w:rsidRDefault="00FA423E" w:rsidP="00DC1333">
            <w:pPr>
              <w:autoSpaceDE w:val="0"/>
              <w:autoSpaceDN w:val="0"/>
              <w:adjustRightInd w:val="0"/>
              <w:ind w:right="-59"/>
              <w:jc w:val="center"/>
              <w:rPr>
                <w:b/>
                <w:bCs/>
                <w:iCs/>
                <w:sz w:val="18"/>
                <w:szCs w:val="18"/>
              </w:rPr>
            </w:pPr>
            <w:r w:rsidRPr="003454A6">
              <w:rPr>
                <w:b/>
                <w:sz w:val="18"/>
                <w:szCs w:val="18"/>
              </w:rPr>
              <w:t>Riesgos en el logro de los resultados del programa</w:t>
            </w:r>
          </w:p>
        </w:tc>
        <w:tc>
          <w:tcPr>
            <w:tcW w:w="2200" w:type="dxa"/>
            <w:tcBorders>
              <w:top w:val="single" w:sz="4" w:space="0" w:color="auto"/>
              <w:bottom w:val="single" w:sz="4" w:space="0" w:color="auto"/>
            </w:tcBorders>
            <w:shd w:val="clear" w:color="auto" w:fill="C6D9F1" w:themeFill="text2" w:themeFillTint="33"/>
            <w:vAlign w:val="center"/>
          </w:tcPr>
          <w:p w:rsidR="00FA423E" w:rsidRPr="003454A6" w:rsidRDefault="00FA423E" w:rsidP="00DC1333">
            <w:pPr>
              <w:autoSpaceDE w:val="0"/>
              <w:autoSpaceDN w:val="0"/>
              <w:adjustRightInd w:val="0"/>
              <w:ind w:right="-59"/>
              <w:jc w:val="center"/>
              <w:rPr>
                <w:b/>
                <w:bCs/>
                <w:iCs/>
                <w:sz w:val="18"/>
                <w:szCs w:val="18"/>
              </w:rPr>
            </w:pPr>
            <w:r w:rsidRPr="003454A6">
              <w:rPr>
                <w:b/>
                <w:bCs/>
                <w:iCs/>
                <w:sz w:val="18"/>
                <w:szCs w:val="18"/>
              </w:rPr>
              <w:t>Planes de mitigación ejecutados o en ejecución</w:t>
            </w:r>
          </w:p>
        </w:tc>
        <w:tc>
          <w:tcPr>
            <w:tcW w:w="2310" w:type="dxa"/>
            <w:tcBorders>
              <w:top w:val="single" w:sz="4" w:space="0" w:color="auto"/>
              <w:bottom w:val="single" w:sz="4" w:space="0" w:color="auto"/>
            </w:tcBorders>
            <w:shd w:val="clear" w:color="auto" w:fill="C6D9F1" w:themeFill="text2" w:themeFillTint="33"/>
            <w:vAlign w:val="center"/>
          </w:tcPr>
          <w:p w:rsidR="00FA423E" w:rsidRPr="003454A6" w:rsidRDefault="00FA423E" w:rsidP="00DC1333">
            <w:pPr>
              <w:autoSpaceDE w:val="0"/>
              <w:autoSpaceDN w:val="0"/>
              <w:adjustRightInd w:val="0"/>
              <w:ind w:right="-59"/>
              <w:jc w:val="center"/>
              <w:rPr>
                <w:b/>
                <w:bCs/>
                <w:iCs/>
                <w:sz w:val="18"/>
                <w:szCs w:val="18"/>
              </w:rPr>
            </w:pPr>
            <w:r w:rsidRPr="003454A6">
              <w:rPr>
                <w:b/>
                <w:bCs/>
                <w:iCs/>
                <w:sz w:val="18"/>
                <w:szCs w:val="18"/>
              </w:rPr>
              <w:t>Evolución de los riesgos y estrategias de mitigaci</w:t>
            </w:r>
            <w:r>
              <w:rPr>
                <w:b/>
                <w:bCs/>
                <w:iCs/>
                <w:sz w:val="18"/>
                <w:szCs w:val="18"/>
              </w:rPr>
              <w:t>ón durante el bienio</w:t>
            </w:r>
          </w:p>
        </w:tc>
        <w:tc>
          <w:tcPr>
            <w:tcW w:w="2306" w:type="dxa"/>
            <w:tcBorders>
              <w:top w:val="single" w:sz="4" w:space="0" w:color="auto"/>
              <w:bottom w:val="single" w:sz="4" w:space="0" w:color="auto"/>
              <w:right w:val="single" w:sz="4" w:space="0" w:color="auto"/>
            </w:tcBorders>
            <w:shd w:val="clear" w:color="auto" w:fill="C6D9F1" w:themeFill="text2" w:themeFillTint="33"/>
            <w:vAlign w:val="center"/>
          </w:tcPr>
          <w:p w:rsidR="00FA423E" w:rsidRPr="003454A6" w:rsidRDefault="00FA423E" w:rsidP="00DC1333">
            <w:pPr>
              <w:autoSpaceDE w:val="0"/>
              <w:autoSpaceDN w:val="0"/>
              <w:adjustRightInd w:val="0"/>
              <w:ind w:right="-59"/>
              <w:jc w:val="center"/>
              <w:rPr>
                <w:b/>
                <w:bCs/>
                <w:iCs/>
                <w:sz w:val="18"/>
                <w:szCs w:val="18"/>
              </w:rPr>
            </w:pPr>
            <w:r w:rsidRPr="003454A6">
              <w:rPr>
                <w:b/>
                <w:bCs/>
                <w:iCs/>
                <w:sz w:val="18"/>
                <w:szCs w:val="18"/>
              </w:rPr>
              <w:t>Incidencia en el rendimiento del programa</w:t>
            </w:r>
          </w:p>
        </w:tc>
      </w:tr>
      <w:tr w:rsidR="00FA423E" w:rsidRPr="001E6875" w:rsidTr="00DC1333">
        <w:trPr>
          <w:trHeight w:val="1332"/>
        </w:trPr>
        <w:tc>
          <w:tcPr>
            <w:tcW w:w="2420" w:type="dxa"/>
            <w:tcBorders>
              <w:top w:val="single" w:sz="4" w:space="0" w:color="auto"/>
              <w:left w:val="single" w:sz="4" w:space="0" w:color="auto"/>
              <w:bottom w:val="single" w:sz="4" w:space="0" w:color="auto"/>
            </w:tcBorders>
            <w:shd w:val="clear" w:color="auto" w:fill="auto"/>
            <w:tcMar>
              <w:top w:w="113" w:type="dxa"/>
              <w:bottom w:w="113" w:type="dxa"/>
            </w:tcMar>
          </w:tcPr>
          <w:p w:rsidR="00FA423E" w:rsidRPr="00292ED4" w:rsidRDefault="00FA423E" w:rsidP="00DC1333">
            <w:pPr>
              <w:rPr>
                <w:sz w:val="16"/>
                <w:szCs w:val="16"/>
              </w:rPr>
            </w:pPr>
            <w:r w:rsidRPr="00292ED4">
              <w:rPr>
                <w:sz w:val="16"/>
                <w:szCs w:val="16"/>
              </w:rPr>
              <w:t>Menor pertinencia del Comité Permanente sobre el Derecho de Patentes como foro multilateral.</w:t>
            </w:r>
          </w:p>
          <w:p w:rsidR="00FA423E" w:rsidRPr="00292ED4" w:rsidRDefault="00FA423E" w:rsidP="00DC1333">
            <w:pPr>
              <w:autoSpaceDE w:val="0"/>
              <w:autoSpaceDN w:val="0"/>
              <w:adjustRightInd w:val="0"/>
              <w:ind w:right="-59"/>
              <w:jc w:val="both"/>
              <w:rPr>
                <w:sz w:val="16"/>
                <w:szCs w:val="16"/>
              </w:rPr>
            </w:pPr>
          </w:p>
        </w:tc>
        <w:tc>
          <w:tcPr>
            <w:tcW w:w="2200" w:type="dxa"/>
            <w:tcBorders>
              <w:top w:val="single" w:sz="4" w:space="0" w:color="auto"/>
              <w:bottom w:val="single" w:sz="4" w:space="0" w:color="auto"/>
            </w:tcBorders>
            <w:shd w:val="clear" w:color="auto" w:fill="auto"/>
            <w:tcMar>
              <w:top w:w="113" w:type="dxa"/>
              <w:bottom w:w="113" w:type="dxa"/>
            </w:tcMar>
          </w:tcPr>
          <w:p w:rsidR="00FA423E" w:rsidRPr="00327D44" w:rsidRDefault="00FA423E" w:rsidP="00DC1333">
            <w:pPr>
              <w:rPr>
                <w:sz w:val="16"/>
                <w:szCs w:val="16"/>
              </w:rPr>
            </w:pPr>
            <w:r w:rsidRPr="00327D44">
              <w:rPr>
                <w:sz w:val="16"/>
                <w:szCs w:val="16"/>
              </w:rPr>
              <w:t>Prestación de asesoramiento imparcial y profesional.</w:t>
            </w:r>
          </w:p>
          <w:p w:rsidR="00FA423E" w:rsidRPr="00327D44" w:rsidRDefault="00FA423E" w:rsidP="00DC1333">
            <w:pPr>
              <w:rPr>
                <w:sz w:val="16"/>
                <w:szCs w:val="16"/>
              </w:rPr>
            </w:pPr>
          </w:p>
          <w:p w:rsidR="00FA423E" w:rsidRPr="00E05BEC" w:rsidRDefault="00FA423E" w:rsidP="00DC1333">
            <w:pPr>
              <w:rPr>
                <w:sz w:val="16"/>
                <w:szCs w:val="16"/>
              </w:rPr>
            </w:pPr>
            <w:r w:rsidRPr="00E05BEC">
              <w:rPr>
                <w:sz w:val="16"/>
                <w:szCs w:val="16"/>
              </w:rPr>
              <w:t>Creación de un clima de diálogo integrador y neutral entre los Estados miembros.</w:t>
            </w:r>
          </w:p>
          <w:p w:rsidR="00FA423E" w:rsidRPr="00E05BEC" w:rsidRDefault="00FA423E" w:rsidP="00DC1333">
            <w:pPr>
              <w:rPr>
                <w:sz w:val="16"/>
                <w:szCs w:val="16"/>
              </w:rPr>
            </w:pPr>
          </w:p>
          <w:p w:rsidR="00FA423E" w:rsidRPr="00E05BEC" w:rsidRDefault="00FA423E" w:rsidP="00DC1333">
            <w:pPr>
              <w:autoSpaceDE w:val="0"/>
              <w:autoSpaceDN w:val="0"/>
              <w:adjustRightInd w:val="0"/>
              <w:ind w:right="-59"/>
              <w:rPr>
                <w:sz w:val="16"/>
                <w:szCs w:val="16"/>
              </w:rPr>
            </w:pPr>
            <w:r w:rsidRPr="00E05BEC">
              <w:rPr>
                <w:sz w:val="16"/>
                <w:szCs w:val="16"/>
              </w:rPr>
              <w:t>Facilitación de información oportuna, precisa y pertinente de interés para los Estados miembros.</w:t>
            </w:r>
          </w:p>
        </w:tc>
        <w:tc>
          <w:tcPr>
            <w:tcW w:w="2310" w:type="dxa"/>
            <w:tcBorders>
              <w:top w:val="single" w:sz="4" w:space="0" w:color="auto"/>
              <w:bottom w:val="single" w:sz="4" w:space="0" w:color="auto"/>
            </w:tcBorders>
          </w:tcPr>
          <w:p w:rsidR="00FA423E" w:rsidRPr="00E05BEC" w:rsidRDefault="00FA423E" w:rsidP="00DC1333">
            <w:pPr>
              <w:rPr>
                <w:sz w:val="16"/>
                <w:szCs w:val="16"/>
              </w:rPr>
            </w:pPr>
            <w:r w:rsidRPr="00E05BEC">
              <w:rPr>
                <w:sz w:val="16"/>
                <w:szCs w:val="16"/>
              </w:rPr>
              <w:t xml:space="preserve">Este es un riesgo </w:t>
            </w:r>
            <w:r>
              <w:rPr>
                <w:sz w:val="16"/>
                <w:szCs w:val="16"/>
              </w:rPr>
              <w:t>permanente</w:t>
            </w:r>
            <w:r w:rsidRPr="00E05BEC">
              <w:rPr>
                <w:sz w:val="16"/>
                <w:szCs w:val="16"/>
              </w:rPr>
              <w:t xml:space="preserve"> para el programa que se mantuvo presente durante el bienio y ha tenido reflejo también como riesgo fundamental </w:t>
            </w:r>
            <w:r>
              <w:rPr>
                <w:sz w:val="16"/>
                <w:szCs w:val="16"/>
              </w:rPr>
              <w:t>respecto de</w:t>
            </w:r>
            <w:r w:rsidRPr="00E05BEC">
              <w:rPr>
                <w:sz w:val="16"/>
                <w:szCs w:val="16"/>
              </w:rPr>
              <w:t xml:space="preserve"> los resultados </w:t>
            </w:r>
            <w:r>
              <w:rPr>
                <w:sz w:val="16"/>
                <w:szCs w:val="16"/>
              </w:rPr>
              <w:t>previstos del programa para el bienio próximo.</w:t>
            </w:r>
          </w:p>
          <w:p w:rsidR="00FA423E" w:rsidRPr="00E05BEC" w:rsidRDefault="00FA423E" w:rsidP="00DC1333">
            <w:pPr>
              <w:rPr>
                <w:sz w:val="16"/>
                <w:szCs w:val="16"/>
              </w:rPr>
            </w:pPr>
          </w:p>
        </w:tc>
        <w:tc>
          <w:tcPr>
            <w:tcW w:w="2306" w:type="dxa"/>
            <w:tcBorders>
              <w:top w:val="single" w:sz="4" w:space="0" w:color="auto"/>
              <w:bottom w:val="single" w:sz="4" w:space="0" w:color="auto"/>
              <w:right w:val="single" w:sz="4" w:space="0" w:color="auto"/>
            </w:tcBorders>
          </w:tcPr>
          <w:p w:rsidR="00FA423E" w:rsidRPr="001E6875" w:rsidRDefault="00FA423E" w:rsidP="00DC1333">
            <w:pPr>
              <w:rPr>
                <w:sz w:val="16"/>
                <w:szCs w:val="16"/>
              </w:rPr>
            </w:pPr>
            <w:r>
              <w:rPr>
                <w:sz w:val="16"/>
                <w:szCs w:val="16"/>
              </w:rPr>
              <w:t xml:space="preserve">Se considera que el riesgo </w:t>
            </w:r>
            <w:r w:rsidRPr="001E6875">
              <w:rPr>
                <w:sz w:val="16"/>
                <w:szCs w:val="16"/>
              </w:rPr>
              <w:t>p</w:t>
            </w:r>
            <w:r>
              <w:rPr>
                <w:sz w:val="16"/>
                <w:szCs w:val="16"/>
              </w:rPr>
              <w:t>ro</w:t>
            </w:r>
            <w:r w:rsidRPr="001E6875">
              <w:rPr>
                <w:sz w:val="16"/>
                <w:szCs w:val="16"/>
              </w:rPr>
              <w:t>viene principalmente de las diferencia</w:t>
            </w:r>
            <w:r>
              <w:rPr>
                <w:sz w:val="16"/>
                <w:szCs w:val="16"/>
              </w:rPr>
              <w:t>s</w:t>
            </w:r>
            <w:r w:rsidRPr="001E6875">
              <w:rPr>
                <w:sz w:val="16"/>
                <w:szCs w:val="16"/>
              </w:rPr>
              <w:t xml:space="preserve"> de </w:t>
            </w:r>
            <w:r>
              <w:rPr>
                <w:sz w:val="16"/>
                <w:szCs w:val="16"/>
              </w:rPr>
              <w:t>opinió</w:t>
            </w:r>
            <w:r w:rsidRPr="001E6875">
              <w:rPr>
                <w:sz w:val="16"/>
                <w:szCs w:val="16"/>
              </w:rPr>
              <w:t xml:space="preserve">n entre los Estados miembros en relación con la forma </w:t>
            </w:r>
            <w:r>
              <w:rPr>
                <w:sz w:val="16"/>
                <w:szCs w:val="16"/>
              </w:rPr>
              <w:t xml:space="preserve">de </w:t>
            </w:r>
            <w:r w:rsidRPr="001E6875">
              <w:rPr>
                <w:sz w:val="16"/>
                <w:szCs w:val="16"/>
              </w:rPr>
              <w:t>avanzar</w:t>
            </w:r>
            <w:r>
              <w:rPr>
                <w:sz w:val="16"/>
                <w:szCs w:val="16"/>
              </w:rPr>
              <w:t xml:space="preserve"> en los</w:t>
            </w:r>
            <w:r w:rsidRPr="001E6875">
              <w:rPr>
                <w:sz w:val="16"/>
                <w:szCs w:val="16"/>
              </w:rPr>
              <w:t xml:space="preserve"> </w:t>
            </w:r>
            <w:r>
              <w:rPr>
                <w:sz w:val="16"/>
                <w:szCs w:val="16"/>
              </w:rPr>
              <w:t>debates del SCP, lo que ha ralentizado el avance.</w:t>
            </w:r>
          </w:p>
        </w:tc>
      </w:tr>
    </w:tbl>
    <w:p w:rsidR="00FA423E" w:rsidRDefault="00FA423E" w:rsidP="00FA423E">
      <w:pPr>
        <w:rPr>
          <w:sz w:val="20"/>
        </w:rPr>
      </w:pPr>
    </w:p>
    <w:p w:rsidR="00FA423E" w:rsidRPr="001E6875" w:rsidRDefault="00FA423E" w:rsidP="00FA423E">
      <w:pPr>
        <w:rPr>
          <w:sz w:val="20"/>
        </w:rPr>
      </w:pPr>
    </w:p>
    <w:p w:rsidR="00FA423E" w:rsidRPr="00526311" w:rsidRDefault="00403D2C" w:rsidP="00FA423E">
      <w:pPr>
        <w:keepNext/>
        <w:rPr>
          <w:b/>
          <w:sz w:val="18"/>
          <w:szCs w:val="18"/>
        </w:rPr>
      </w:pPr>
      <w:r w:rsidRPr="00403D2C">
        <w:rPr>
          <w:sz w:val="20"/>
          <w:szCs w:val="22"/>
        </w:rPr>
        <w:lastRenderedPageBreak/>
        <w:t>UTILIZACIÓN DE LOS RECURSOS</w:t>
      </w:r>
    </w:p>
    <w:p w:rsidR="00FA423E" w:rsidRPr="00526311" w:rsidRDefault="00FA423E" w:rsidP="00FA423E">
      <w:pPr>
        <w:keepNext/>
        <w:rPr>
          <w:sz w:val="20"/>
        </w:rPr>
      </w:pPr>
    </w:p>
    <w:p w:rsidR="00FA423E" w:rsidRPr="00526311" w:rsidRDefault="00FA423E" w:rsidP="00FA423E">
      <w:pPr>
        <w:pStyle w:val="NormalWeb"/>
        <w:keepNext/>
        <w:spacing w:before="0" w:beforeAutospacing="0" w:after="0" w:afterAutospacing="0"/>
        <w:jc w:val="center"/>
        <w:rPr>
          <w:sz w:val="20"/>
          <w:szCs w:val="20"/>
          <w:lang w:val="es-ES"/>
        </w:rPr>
      </w:pPr>
      <w:r w:rsidRPr="00526311">
        <w:rPr>
          <w:sz w:val="20"/>
          <w:szCs w:val="20"/>
          <w:lang w:val="es-ES"/>
        </w:rPr>
        <w:t xml:space="preserve">Presupuesto y gastos reales (por resultado) </w:t>
      </w:r>
    </w:p>
    <w:p w:rsidR="00FA423E" w:rsidRPr="00526311" w:rsidRDefault="00FA423E" w:rsidP="00FA423E">
      <w:pPr>
        <w:pStyle w:val="NormalWeb"/>
        <w:keepNext/>
        <w:spacing w:before="0" w:beforeAutospacing="0" w:after="0" w:afterAutospacing="0"/>
        <w:jc w:val="center"/>
        <w:rPr>
          <w:i/>
          <w:iCs/>
          <w:sz w:val="20"/>
          <w:szCs w:val="20"/>
          <w:lang w:val="es-ES"/>
        </w:rPr>
      </w:pPr>
      <w:r w:rsidRPr="00526311">
        <w:rPr>
          <w:i/>
          <w:iCs/>
          <w:sz w:val="20"/>
          <w:szCs w:val="20"/>
          <w:lang w:val="es-ES"/>
        </w:rPr>
        <w:t>(en miles de francos suizos)</w:t>
      </w:r>
    </w:p>
    <w:p w:rsidR="00FA423E" w:rsidRPr="00526311" w:rsidRDefault="00FA423E" w:rsidP="00FA423E">
      <w:pPr>
        <w:pStyle w:val="NormalWeb"/>
        <w:keepNext/>
        <w:spacing w:before="0" w:beforeAutospacing="0" w:after="0" w:afterAutospacing="0"/>
        <w:jc w:val="center"/>
        <w:rPr>
          <w:sz w:val="20"/>
          <w:szCs w:val="20"/>
          <w:lang w:val="es-ES"/>
        </w:rPr>
      </w:pPr>
    </w:p>
    <w:p w:rsidR="00FA423E" w:rsidRPr="00526311" w:rsidRDefault="00FA423E" w:rsidP="00FA423E">
      <w:pPr>
        <w:keepNext/>
        <w:jc w:val="center"/>
        <w:rPr>
          <w:sz w:val="20"/>
        </w:rPr>
      </w:pPr>
      <w:r>
        <w:rPr>
          <w:noProof/>
          <w:sz w:val="20"/>
          <w:lang w:val="en-US" w:eastAsia="en-US"/>
        </w:rPr>
        <w:drawing>
          <wp:inline distT="0" distB="0" distL="0" distR="0" wp14:anchorId="2F405664" wp14:editId="523F0435">
            <wp:extent cx="5677535" cy="1956435"/>
            <wp:effectExtent l="0" t="0" r="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677535" cy="1956435"/>
                    </a:xfrm>
                    <a:prstGeom prst="rect">
                      <a:avLst/>
                    </a:prstGeom>
                    <a:noFill/>
                    <a:ln>
                      <a:noFill/>
                    </a:ln>
                  </pic:spPr>
                </pic:pic>
              </a:graphicData>
            </a:graphic>
          </wp:inline>
        </w:drawing>
      </w:r>
    </w:p>
    <w:p w:rsidR="00FA423E" w:rsidRPr="00526311" w:rsidRDefault="00FA423E" w:rsidP="00FA423E">
      <w:pPr>
        <w:rPr>
          <w:sz w:val="20"/>
        </w:rPr>
      </w:pPr>
    </w:p>
    <w:p w:rsidR="00FA423E" w:rsidRPr="00526311" w:rsidRDefault="00FA423E" w:rsidP="00FA423E">
      <w:pPr>
        <w:pStyle w:val="NormalWeb"/>
        <w:keepNext/>
        <w:keepLines/>
        <w:spacing w:before="0" w:beforeAutospacing="0" w:after="0" w:afterAutospacing="0"/>
        <w:jc w:val="center"/>
        <w:rPr>
          <w:sz w:val="20"/>
          <w:szCs w:val="20"/>
          <w:lang w:val="es-ES"/>
        </w:rPr>
      </w:pPr>
      <w:r w:rsidRPr="00526311">
        <w:rPr>
          <w:sz w:val="20"/>
          <w:szCs w:val="20"/>
          <w:lang w:val="es-ES"/>
        </w:rPr>
        <w:t xml:space="preserve">Presupuesto y gastos reales (de personal y no relativos a personal) </w:t>
      </w:r>
    </w:p>
    <w:p w:rsidR="00FA423E" w:rsidRPr="00526311" w:rsidRDefault="00FA423E" w:rsidP="00FA423E">
      <w:pPr>
        <w:pStyle w:val="NormalWeb"/>
        <w:keepNext/>
        <w:keepLines/>
        <w:spacing w:before="0" w:beforeAutospacing="0" w:after="0" w:afterAutospacing="0"/>
        <w:jc w:val="center"/>
        <w:rPr>
          <w:i/>
          <w:iCs/>
          <w:sz w:val="20"/>
          <w:szCs w:val="20"/>
          <w:lang w:val="es-ES"/>
        </w:rPr>
      </w:pPr>
      <w:r w:rsidRPr="00526311">
        <w:rPr>
          <w:i/>
          <w:iCs/>
          <w:sz w:val="20"/>
          <w:szCs w:val="20"/>
          <w:lang w:val="es-ES"/>
        </w:rPr>
        <w:t>(en miles de francos suizos)</w:t>
      </w:r>
    </w:p>
    <w:p w:rsidR="00FA423E" w:rsidRPr="00526311" w:rsidRDefault="00FA423E" w:rsidP="00FA423E">
      <w:pPr>
        <w:pStyle w:val="NormalWeb"/>
        <w:keepNext/>
        <w:keepLines/>
        <w:spacing w:before="0" w:beforeAutospacing="0" w:after="0" w:afterAutospacing="0"/>
        <w:jc w:val="center"/>
        <w:rPr>
          <w:lang w:val="es-ES"/>
        </w:rPr>
      </w:pPr>
    </w:p>
    <w:p w:rsidR="00FA423E" w:rsidRPr="00526311" w:rsidRDefault="00FA423E" w:rsidP="00FA423E">
      <w:pPr>
        <w:jc w:val="center"/>
        <w:rPr>
          <w:sz w:val="20"/>
        </w:rPr>
      </w:pPr>
      <w:bookmarkStart w:id="55" w:name="Bm1"/>
      <w:bookmarkStart w:id="56" w:name="Point1"/>
      <w:r>
        <w:rPr>
          <w:noProof/>
          <w:lang w:val="en-US" w:eastAsia="en-US"/>
        </w:rPr>
        <w:drawing>
          <wp:inline distT="0" distB="0" distL="0" distR="0" wp14:anchorId="569142D7" wp14:editId="1DBE06ED">
            <wp:extent cx="5940425" cy="1065595"/>
            <wp:effectExtent l="0" t="0" r="3175" b="127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40425" cy="1065595"/>
                    </a:xfrm>
                    <a:prstGeom prst="rect">
                      <a:avLst/>
                    </a:prstGeom>
                    <a:noFill/>
                    <a:ln>
                      <a:noFill/>
                    </a:ln>
                  </pic:spPr>
                </pic:pic>
              </a:graphicData>
            </a:graphic>
          </wp:inline>
        </w:drawing>
      </w:r>
      <w:bookmarkEnd w:id="55"/>
      <w:bookmarkEnd w:id="56"/>
    </w:p>
    <w:p w:rsidR="00FA423E" w:rsidRDefault="00FA423E" w:rsidP="00FA423E">
      <w:pPr>
        <w:widowControl w:val="0"/>
        <w:autoSpaceDE w:val="0"/>
        <w:autoSpaceDN w:val="0"/>
        <w:adjustRightInd w:val="0"/>
        <w:rPr>
          <w:sz w:val="20"/>
        </w:rPr>
      </w:pPr>
    </w:p>
    <w:p w:rsidR="00FA423E" w:rsidRPr="00526311" w:rsidRDefault="00FA423E" w:rsidP="00FA423E">
      <w:pPr>
        <w:widowControl w:val="0"/>
        <w:autoSpaceDE w:val="0"/>
        <w:autoSpaceDN w:val="0"/>
        <w:adjustRightInd w:val="0"/>
        <w:rPr>
          <w:sz w:val="20"/>
        </w:rPr>
      </w:pPr>
    </w:p>
    <w:p w:rsidR="00FA423E" w:rsidRPr="00526311" w:rsidRDefault="00403D2C" w:rsidP="00FA423E">
      <w:pPr>
        <w:rPr>
          <w:sz w:val="20"/>
          <w:u w:val="single"/>
        </w:rPr>
      </w:pPr>
      <w:r w:rsidRPr="00403D2C">
        <w:rPr>
          <w:sz w:val="20"/>
        </w:rPr>
        <w:t>A.</w:t>
      </w:r>
      <w:r w:rsidRPr="00403D2C">
        <w:rPr>
          <w:sz w:val="20"/>
        </w:rPr>
        <w:tab/>
      </w:r>
      <w:r w:rsidRPr="00403D2C">
        <w:rPr>
          <w:sz w:val="20"/>
          <w:u w:val="single"/>
        </w:rPr>
        <w:t>Presupuesto final de 2014/15 tras las transferencias</w:t>
      </w:r>
    </w:p>
    <w:p w:rsidR="00FA423E" w:rsidRPr="00526311" w:rsidRDefault="00FA423E" w:rsidP="00FA423E">
      <w:pPr>
        <w:autoSpaceDE w:val="0"/>
        <w:autoSpaceDN w:val="0"/>
        <w:jc w:val="both"/>
        <w:rPr>
          <w:sz w:val="20"/>
          <w:lang w:eastAsia="ko-KR"/>
        </w:rPr>
      </w:pPr>
    </w:p>
    <w:p w:rsidR="00FA423E" w:rsidRPr="00526311" w:rsidRDefault="00FA423E" w:rsidP="00FA423E">
      <w:pPr>
        <w:pStyle w:val="ListParagraph"/>
        <w:numPr>
          <w:ilvl w:val="0"/>
          <w:numId w:val="9"/>
        </w:numPr>
        <w:tabs>
          <w:tab w:val="left" w:pos="709"/>
        </w:tabs>
        <w:autoSpaceDE w:val="0"/>
        <w:autoSpaceDN w:val="0"/>
        <w:ind w:left="0" w:firstLine="0"/>
        <w:jc w:val="both"/>
        <w:rPr>
          <w:rFonts w:cs="Arial"/>
          <w:lang w:val="es-ES" w:eastAsia="ko-KR"/>
        </w:rPr>
      </w:pPr>
      <w:r w:rsidRPr="00526311">
        <w:rPr>
          <w:rFonts w:cs="Arial"/>
          <w:lang w:val="es-ES" w:eastAsia="zh-CN"/>
        </w:rPr>
        <w:t xml:space="preserve">El aumento general del presupuesto </w:t>
      </w:r>
      <w:r>
        <w:rPr>
          <w:rFonts w:cs="Arial"/>
          <w:lang w:val="es-ES" w:eastAsia="zh-CN"/>
        </w:rPr>
        <w:t xml:space="preserve">final </w:t>
      </w:r>
      <w:r w:rsidRPr="00526311">
        <w:rPr>
          <w:rFonts w:cs="Arial"/>
          <w:lang w:val="es-ES" w:eastAsia="zh-CN"/>
        </w:rPr>
        <w:t xml:space="preserve">de </w:t>
      </w:r>
      <w:r w:rsidRPr="00526311">
        <w:rPr>
          <w:rFonts w:cs="Arial"/>
          <w:lang w:val="es-ES" w:eastAsia="ko-KR"/>
        </w:rPr>
        <w:t xml:space="preserve">2014/15 </w:t>
      </w:r>
      <w:r>
        <w:rPr>
          <w:rFonts w:cs="Arial"/>
          <w:lang w:val="es-ES" w:eastAsia="ko-KR"/>
        </w:rPr>
        <w:t xml:space="preserve">tras las transferencias se debió a: i) </w:t>
      </w:r>
      <w:r w:rsidRPr="00526311">
        <w:rPr>
          <w:rFonts w:cs="Arial"/>
          <w:lang w:val="es-ES" w:eastAsia="ko-KR"/>
        </w:rPr>
        <w:t>la asignación de recursos de personal adicionales al resultado I.2 (Asesoramiento en el ámbito legislativo) a fin de responder con mayor eficacia a un aumento de solicitudes</w:t>
      </w:r>
      <w:r>
        <w:rPr>
          <w:rFonts w:cs="Arial"/>
          <w:lang w:val="es-ES" w:eastAsia="ko-KR"/>
        </w:rPr>
        <w:t xml:space="preserve"> de asesoramiento en ese ámbito;  y ii) el traslado de las actividades de </w:t>
      </w:r>
      <w:r>
        <w:rPr>
          <w:rFonts w:cs="Arial"/>
          <w:lang w:val="es-ES" w:eastAsia="zh-CN"/>
        </w:rPr>
        <w:t>redacción de solicitudes de patente del Programa 30 al Programa 1.</w:t>
      </w:r>
    </w:p>
    <w:p w:rsidR="00FA423E" w:rsidRPr="00526311" w:rsidRDefault="00FA423E" w:rsidP="00FA423E">
      <w:pPr>
        <w:autoSpaceDE w:val="0"/>
        <w:autoSpaceDN w:val="0"/>
        <w:jc w:val="both"/>
        <w:rPr>
          <w:sz w:val="20"/>
          <w:lang w:eastAsia="ko-KR"/>
        </w:rPr>
      </w:pPr>
    </w:p>
    <w:p w:rsidR="00FA423E" w:rsidRPr="00526311" w:rsidRDefault="00403D2C" w:rsidP="00FA423E">
      <w:pPr>
        <w:keepNext/>
        <w:keepLines/>
        <w:jc w:val="both"/>
        <w:rPr>
          <w:sz w:val="20"/>
          <w:u w:val="single"/>
          <w:lang w:eastAsia="ko-KR"/>
        </w:rPr>
      </w:pPr>
      <w:r w:rsidRPr="00403D2C">
        <w:rPr>
          <w:sz w:val="20"/>
          <w:lang w:eastAsia="ko-KR"/>
        </w:rPr>
        <w:t>B.</w:t>
      </w:r>
      <w:r w:rsidRPr="00403D2C">
        <w:rPr>
          <w:sz w:val="20"/>
          <w:lang w:eastAsia="ko-KR"/>
        </w:rPr>
        <w:tab/>
      </w:r>
      <w:r w:rsidRPr="00403D2C">
        <w:rPr>
          <w:sz w:val="20"/>
          <w:u w:val="single"/>
          <w:lang w:eastAsia="ko-KR"/>
        </w:rPr>
        <w:t>Utilización del presupuesto en 2014/15</w:t>
      </w:r>
    </w:p>
    <w:p w:rsidR="00FA423E" w:rsidRPr="00526311" w:rsidRDefault="00FA423E" w:rsidP="00FA423E">
      <w:pPr>
        <w:keepNext/>
        <w:keepLines/>
        <w:autoSpaceDE w:val="0"/>
        <w:autoSpaceDN w:val="0"/>
        <w:jc w:val="both"/>
        <w:rPr>
          <w:sz w:val="20"/>
        </w:rPr>
      </w:pPr>
    </w:p>
    <w:p w:rsidR="00FA423E" w:rsidRPr="00526311" w:rsidRDefault="00FA423E" w:rsidP="00FA423E">
      <w:pPr>
        <w:pStyle w:val="ListParagraph"/>
        <w:keepNext/>
        <w:keepLines/>
        <w:numPr>
          <w:ilvl w:val="0"/>
          <w:numId w:val="9"/>
        </w:numPr>
        <w:tabs>
          <w:tab w:val="left" w:pos="709"/>
        </w:tabs>
        <w:autoSpaceDE w:val="0"/>
        <w:autoSpaceDN w:val="0"/>
        <w:ind w:left="0" w:firstLine="0"/>
        <w:jc w:val="both"/>
        <w:rPr>
          <w:lang w:val="es-ES"/>
        </w:rPr>
      </w:pPr>
      <w:r w:rsidRPr="00526311">
        <w:rPr>
          <w:rFonts w:cs="Arial"/>
          <w:lang w:val="es-ES" w:eastAsia="zh-CN"/>
        </w:rPr>
        <w:t xml:space="preserve">La utilización </w:t>
      </w:r>
      <w:r>
        <w:rPr>
          <w:rFonts w:cs="Arial"/>
          <w:lang w:val="es-ES" w:eastAsia="zh-CN"/>
        </w:rPr>
        <w:t xml:space="preserve">general </w:t>
      </w:r>
      <w:r w:rsidRPr="00526311">
        <w:rPr>
          <w:rFonts w:cs="Arial"/>
          <w:lang w:val="es-ES" w:eastAsia="zh-CN"/>
        </w:rPr>
        <w:t xml:space="preserve">del presupuesto </w:t>
      </w:r>
      <w:r>
        <w:rPr>
          <w:rFonts w:cs="Arial"/>
          <w:lang w:val="es-ES" w:eastAsia="zh-CN"/>
        </w:rPr>
        <w:t>para el bienio 2014/15 alcanzó el 97%, pero algunas actividades relacionadas con la revisión de la ley tipo sobre patentes de invención para los países en desarrollo no se han ejecutado debido a la falta de acuerdo entre los Estados miembros en el SCP.</w:t>
      </w:r>
    </w:p>
    <w:p w:rsidR="00FA423E" w:rsidRPr="00526311" w:rsidRDefault="00FA423E" w:rsidP="00FA423E">
      <w:pPr>
        <w:tabs>
          <w:tab w:val="left" w:pos="709"/>
        </w:tabs>
        <w:autoSpaceDE w:val="0"/>
        <w:autoSpaceDN w:val="0"/>
        <w:jc w:val="both"/>
        <w:rPr>
          <w:sz w:val="20"/>
        </w:rPr>
      </w:pPr>
    </w:p>
    <w:p w:rsidR="00FA423E" w:rsidRDefault="00FA423E" w:rsidP="00FA423E">
      <w:r>
        <w:br w:type="page"/>
      </w:r>
    </w:p>
    <w:p w:rsidR="00FA423E" w:rsidRPr="00526311" w:rsidRDefault="00FA423E" w:rsidP="00FA423E">
      <w:pPr>
        <w:pStyle w:val="Heading2"/>
        <w:tabs>
          <w:tab w:val="left" w:pos="2410"/>
        </w:tabs>
        <w:ind w:left="2410" w:hanging="2410"/>
        <w:rPr>
          <w:b/>
          <w:szCs w:val="22"/>
        </w:rPr>
      </w:pPr>
      <w:bookmarkStart w:id="57" w:name="_Toc422927403"/>
      <w:bookmarkStart w:id="58" w:name="_Toc455159071"/>
      <w:r w:rsidRPr="00526311">
        <w:rPr>
          <w:b/>
          <w:szCs w:val="22"/>
        </w:rPr>
        <w:lastRenderedPageBreak/>
        <w:t>PROGRAMA 2</w:t>
      </w:r>
      <w:r w:rsidRPr="00526311">
        <w:rPr>
          <w:b/>
          <w:szCs w:val="22"/>
        </w:rPr>
        <w:tab/>
        <w:t>MARCAS, DISEÑOS INDUSTRIALES E INDICACIONES GEOGRÁFICAS</w:t>
      </w:r>
      <w:bookmarkEnd w:id="57"/>
      <w:bookmarkEnd w:id="58"/>
    </w:p>
    <w:p w:rsidR="00FA423E" w:rsidRPr="00526311" w:rsidRDefault="00FA423E" w:rsidP="00FA423E">
      <w:pPr>
        <w:rPr>
          <w:sz w:val="20"/>
        </w:rPr>
      </w:pPr>
    </w:p>
    <w:p w:rsidR="00FA423E" w:rsidRPr="00013B5C" w:rsidRDefault="00FA423E" w:rsidP="00FA423E">
      <w:pPr>
        <w:tabs>
          <w:tab w:val="left" w:pos="2410"/>
        </w:tabs>
        <w:rPr>
          <w:b/>
          <w:sz w:val="20"/>
        </w:rPr>
      </w:pPr>
      <w:r w:rsidRPr="00013B5C">
        <w:rPr>
          <w:b/>
          <w:sz w:val="20"/>
        </w:rPr>
        <w:t>Directora de programa</w:t>
      </w:r>
      <w:r w:rsidRPr="00013B5C">
        <w:rPr>
          <w:b/>
          <w:sz w:val="20"/>
        </w:rPr>
        <w:tab/>
        <w:t>Sra. B. Wang</w:t>
      </w:r>
    </w:p>
    <w:p w:rsidR="00FA423E" w:rsidRPr="00526311" w:rsidRDefault="00FA423E" w:rsidP="00FA423E">
      <w:pPr>
        <w:tabs>
          <w:tab w:val="left" w:pos="2268"/>
        </w:tabs>
        <w:rPr>
          <w:sz w:val="20"/>
        </w:rPr>
      </w:pPr>
    </w:p>
    <w:p w:rsidR="00FA423E" w:rsidRPr="00526311" w:rsidRDefault="00FA423E" w:rsidP="00FA423E">
      <w:pPr>
        <w:tabs>
          <w:tab w:val="left" w:pos="2268"/>
        </w:tabs>
        <w:rPr>
          <w:bCs/>
          <w:sz w:val="20"/>
        </w:rPr>
      </w:pPr>
    </w:p>
    <w:p w:rsidR="00FA423E" w:rsidRPr="00526311" w:rsidRDefault="008F7CBE" w:rsidP="00FA423E">
      <w:pPr>
        <w:rPr>
          <w:bCs/>
          <w:szCs w:val="22"/>
        </w:rPr>
      </w:pPr>
      <w:r w:rsidRPr="008F7CBE">
        <w:rPr>
          <w:bCs/>
          <w:sz w:val="20"/>
          <w:szCs w:val="22"/>
        </w:rPr>
        <w:t>LOGROS ALCANZADOS EN EL BIENIO 2014/15</w:t>
      </w:r>
    </w:p>
    <w:p w:rsidR="00FA423E" w:rsidRPr="00526311" w:rsidRDefault="00FA423E" w:rsidP="00FA423E">
      <w:pPr>
        <w:tabs>
          <w:tab w:val="left" w:pos="2268"/>
        </w:tabs>
        <w:jc w:val="both"/>
        <w:rPr>
          <w:sz w:val="20"/>
        </w:rPr>
      </w:pPr>
    </w:p>
    <w:p w:rsidR="00FA423E" w:rsidRPr="00526311" w:rsidRDefault="00FA423E" w:rsidP="00FA423E">
      <w:pPr>
        <w:pStyle w:val="ListParagraph"/>
        <w:numPr>
          <w:ilvl w:val="0"/>
          <w:numId w:val="11"/>
        </w:numPr>
        <w:tabs>
          <w:tab w:val="left" w:pos="709"/>
        </w:tabs>
        <w:autoSpaceDE w:val="0"/>
        <w:autoSpaceDN w:val="0"/>
        <w:ind w:left="0" w:firstLine="0"/>
        <w:jc w:val="both"/>
        <w:rPr>
          <w:rFonts w:cs="Arial"/>
          <w:lang w:val="es-ES" w:eastAsia="zh-CN"/>
        </w:rPr>
      </w:pPr>
      <w:r>
        <w:rPr>
          <w:rFonts w:cs="Arial"/>
          <w:lang w:val="es-ES" w:eastAsia="zh-CN"/>
        </w:rPr>
        <w:t>Durante el bienio</w:t>
      </w:r>
      <w:r w:rsidRPr="00526311">
        <w:rPr>
          <w:rFonts w:cs="Arial"/>
          <w:lang w:val="es-ES" w:eastAsia="zh-CN"/>
        </w:rPr>
        <w:t>, el Comité Permanente sobre el Derecho de Marcas, Diseños Industriales e Indicaciones Geográficas (SCT) prosiguió en</w:t>
      </w:r>
      <w:r>
        <w:rPr>
          <w:rFonts w:cs="Arial"/>
          <w:lang w:val="es-ES" w:eastAsia="zh-CN"/>
        </w:rPr>
        <w:t>tre</w:t>
      </w:r>
      <w:r w:rsidRPr="00526311">
        <w:rPr>
          <w:rFonts w:cs="Arial"/>
          <w:lang w:val="es-ES" w:eastAsia="zh-CN"/>
        </w:rPr>
        <w:t xml:space="preserve"> sus sesiones trig</w:t>
      </w:r>
      <w:r>
        <w:rPr>
          <w:rFonts w:cs="Arial"/>
          <w:lang w:val="es-ES" w:eastAsia="zh-CN"/>
        </w:rPr>
        <w:t>ésima primera y trigésima cuart</w:t>
      </w:r>
      <w:r w:rsidRPr="00526311">
        <w:rPr>
          <w:rFonts w:cs="Arial"/>
          <w:lang w:val="es-ES" w:eastAsia="zh-CN"/>
        </w:rPr>
        <w:t>a el trabajo relativo a un proyecto de tratado sobre el Derecho de los diseños que habría de adoptarse en una conferencia diplomática.  La cuestión de convocar esa conferencia diplomática fue tratada por la Asamblea General de</w:t>
      </w:r>
      <w:r>
        <w:rPr>
          <w:rFonts w:cs="Arial"/>
          <w:lang w:val="es-ES" w:eastAsia="zh-CN"/>
        </w:rPr>
        <w:t xml:space="preserve"> la OMPI en su cuadragésimo sép</w:t>
      </w:r>
      <w:r w:rsidRPr="00526311">
        <w:rPr>
          <w:rFonts w:cs="Arial"/>
          <w:lang w:val="es-ES" w:eastAsia="zh-CN"/>
        </w:rPr>
        <w:t>t</w:t>
      </w:r>
      <w:r>
        <w:rPr>
          <w:rFonts w:cs="Arial"/>
          <w:lang w:val="es-ES" w:eastAsia="zh-CN"/>
        </w:rPr>
        <w:t>im</w:t>
      </w:r>
      <w:r w:rsidRPr="00526311">
        <w:rPr>
          <w:rFonts w:cs="Arial"/>
          <w:lang w:val="es-ES" w:eastAsia="zh-CN"/>
        </w:rPr>
        <w:t>o período de sesiones</w:t>
      </w:r>
      <w:r>
        <w:rPr>
          <w:rFonts w:cs="Arial"/>
          <w:lang w:val="es-ES" w:eastAsia="zh-CN"/>
        </w:rPr>
        <w:t xml:space="preserve"> (22º </w:t>
      </w:r>
      <w:r w:rsidRPr="00526311">
        <w:rPr>
          <w:rFonts w:cs="Arial"/>
          <w:lang w:val="es-ES" w:eastAsia="zh-CN"/>
        </w:rPr>
        <w:t>ordinario)</w:t>
      </w:r>
      <w:r>
        <w:rPr>
          <w:rFonts w:cs="Arial"/>
          <w:lang w:val="es-ES" w:eastAsia="zh-CN"/>
        </w:rPr>
        <w:t>, en octubre de 2015, en el que la Asamblea General acordó “</w:t>
      </w:r>
      <w:r w:rsidRPr="00925CEA">
        <w:rPr>
          <w:rFonts w:cs="Arial"/>
          <w:lang w:val="es-ES" w:eastAsia="zh-CN"/>
        </w:rPr>
        <w:t>convocar una conferencia diplomática para la adopción de un tratado sobre el Derecho de los diseños hacia fines del primer semestre de 2017, únicamente si se dan por concluidos los debates en el SCT sobre asistencia técnica y divulgación en su trigésima cuarta y trigésima quinta sesiones</w:t>
      </w:r>
      <w:r>
        <w:rPr>
          <w:rFonts w:cs="Arial"/>
          <w:lang w:val="es-ES" w:eastAsia="zh-CN"/>
        </w:rPr>
        <w:t>”</w:t>
      </w:r>
      <w:r w:rsidRPr="00526311">
        <w:rPr>
          <w:rFonts w:cs="Arial"/>
          <w:lang w:val="es-ES" w:eastAsia="zh-CN"/>
        </w:rPr>
        <w:t xml:space="preserve">.  Igualmente, el SCT continuó con su labor en torno a la protección de los nombres de países y </w:t>
      </w:r>
      <w:r>
        <w:rPr>
          <w:rFonts w:cs="Arial"/>
          <w:lang w:val="es-ES" w:eastAsia="zh-CN"/>
        </w:rPr>
        <w:t>aprobó un D</w:t>
      </w:r>
      <w:r w:rsidRPr="00925CEA">
        <w:rPr>
          <w:rFonts w:cs="Arial"/>
          <w:lang w:val="es-ES" w:eastAsia="zh-CN"/>
        </w:rPr>
        <w:t xml:space="preserve">ocumento de referencia sobre la protección de los nombres de países contra su registro y uso como marcas </w:t>
      </w:r>
      <w:r w:rsidRPr="00925CEA">
        <w:rPr>
          <w:bCs/>
          <w:lang w:val="es-ES"/>
        </w:rPr>
        <w:t>(documento WIPO/</w:t>
      </w:r>
      <w:proofErr w:type="spellStart"/>
      <w:r w:rsidRPr="00925CEA">
        <w:rPr>
          <w:bCs/>
          <w:lang w:val="es-ES"/>
        </w:rPr>
        <w:t>Strad</w:t>
      </w:r>
      <w:proofErr w:type="spellEnd"/>
      <w:r w:rsidRPr="00925CEA">
        <w:rPr>
          <w:bCs/>
          <w:lang w:val="es-ES"/>
        </w:rPr>
        <w:t>/INF/7)</w:t>
      </w:r>
      <w:r w:rsidRPr="00526311">
        <w:rPr>
          <w:rFonts w:cs="Arial"/>
          <w:lang w:val="es-ES" w:eastAsia="zh-CN"/>
        </w:rPr>
        <w:t>.  Además, varias delegaciones presentaron propuestas en relación con el trabajo del SCT en materia de indicaciones geográficas.  Las actividades normativas del programa dentro del SCT se siguieron caracterizando por ser inclusivas y estar orientadas hacia los miembros, en sintonía con la recomendación 15 de la Agenda para el Desarrollo (A.D.), y las negociaciones del SCT se basaron en consultas abiertas y equilibradas, en sintonía con las recomendaciones 21 y 42 de la A.D.</w:t>
      </w:r>
    </w:p>
    <w:p w:rsidR="00FA423E" w:rsidRPr="00526311" w:rsidRDefault="00FA423E" w:rsidP="00FA423E">
      <w:pPr>
        <w:pStyle w:val="ListParagraph"/>
        <w:tabs>
          <w:tab w:val="left" w:pos="709"/>
        </w:tabs>
        <w:autoSpaceDE w:val="0"/>
        <w:autoSpaceDN w:val="0"/>
        <w:ind w:left="0"/>
        <w:jc w:val="both"/>
        <w:rPr>
          <w:rFonts w:cs="Arial"/>
          <w:lang w:val="es-ES" w:eastAsia="zh-CN"/>
        </w:rPr>
      </w:pPr>
    </w:p>
    <w:p w:rsidR="00FA423E" w:rsidRPr="00526311" w:rsidRDefault="00FA423E" w:rsidP="00FA423E">
      <w:pPr>
        <w:pStyle w:val="ListParagraph"/>
        <w:numPr>
          <w:ilvl w:val="0"/>
          <w:numId w:val="11"/>
        </w:numPr>
        <w:tabs>
          <w:tab w:val="left" w:pos="709"/>
        </w:tabs>
        <w:autoSpaceDE w:val="0"/>
        <w:autoSpaceDN w:val="0"/>
        <w:ind w:left="0" w:firstLine="0"/>
        <w:jc w:val="both"/>
        <w:rPr>
          <w:rFonts w:cs="Arial"/>
          <w:lang w:val="es-ES" w:eastAsia="zh-CN"/>
        </w:rPr>
      </w:pPr>
      <w:r w:rsidRPr="00526311">
        <w:rPr>
          <w:rFonts w:cs="Arial"/>
          <w:lang w:val="es-ES" w:eastAsia="zh-CN"/>
        </w:rPr>
        <w:t xml:space="preserve">En </w:t>
      </w:r>
      <w:r>
        <w:rPr>
          <w:rFonts w:cs="Arial"/>
          <w:lang w:val="es-ES" w:eastAsia="zh-CN"/>
        </w:rPr>
        <w:t xml:space="preserve">el bienio </w:t>
      </w:r>
      <w:r w:rsidRPr="00526311">
        <w:rPr>
          <w:rFonts w:cs="Arial"/>
          <w:lang w:val="es-ES" w:eastAsia="zh-CN"/>
        </w:rPr>
        <w:t>2014</w:t>
      </w:r>
      <w:r>
        <w:rPr>
          <w:rFonts w:cs="Arial"/>
          <w:lang w:val="es-ES" w:eastAsia="zh-CN"/>
        </w:rPr>
        <w:t>/15</w:t>
      </w:r>
      <w:r w:rsidRPr="00526311">
        <w:rPr>
          <w:rFonts w:cs="Arial"/>
          <w:lang w:val="es-ES" w:eastAsia="zh-CN"/>
        </w:rPr>
        <w:t xml:space="preserve"> también se produjo la ratificación del Tratado de Singapur sobre el Derecho de Marcas, o la adhesión a él, por siete nuevas Partes Contratantes (</w:t>
      </w:r>
      <w:proofErr w:type="spellStart"/>
      <w:r w:rsidRPr="00526311">
        <w:rPr>
          <w:rFonts w:cs="Arial"/>
          <w:lang w:val="es-ES" w:eastAsia="zh-CN"/>
        </w:rPr>
        <w:t>Belarús</w:t>
      </w:r>
      <w:proofErr w:type="spellEnd"/>
      <w:r w:rsidRPr="00526311">
        <w:rPr>
          <w:rFonts w:cs="Arial"/>
          <w:lang w:val="es-ES" w:eastAsia="zh-CN"/>
        </w:rPr>
        <w:t>, Bélgica, Iraq, Luxemburgo, la Organización de Propiedad Intelectual del Benelux (BOIP), los Países Bajos y Tayikistán), elevando a 38 el número total de Partes</w:t>
      </w:r>
      <w:r>
        <w:rPr>
          <w:rFonts w:cs="Arial"/>
          <w:lang w:val="es-ES" w:eastAsia="zh-CN"/>
        </w:rPr>
        <w:t xml:space="preserve"> Contratantes a finales de 2015</w:t>
      </w:r>
      <w:r w:rsidRPr="00526311">
        <w:rPr>
          <w:rFonts w:cs="Arial"/>
          <w:lang w:val="es-ES" w:eastAsia="zh-CN"/>
        </w:rPr>
        <w:t>.</w:t>
      </w:r>
    </w:p>
    <w:p w:rsidR="00FA423E" w:rsidRPr="00526311" w:rsidRDefault="00FA423E" w:rsidP="00FA423E">
      <w:pPr>
        <w:pStyle w:val="ListParagraph"/>
        <w:tabs>
          <w:tab w:val="left" w:pos="709"/>
        </w:tabs>
        <w:autoSpaceDE w:val="0"/>
        <w:autoSpaceDN w:val="0"/>
        <w:ind w:left="0"/>
        <w:jc w:val="both"/>
        <w:rPr>
          <w:rFonts w:cs="Arial"/>
          <w:lang w:val="es-ES" w:eastAsia="zh-CN"/>
        </w:rPr>
      </w:pPr>
    </w:p>
    <w:p w:rsidR="00FA423E" w:rsidRPr="00526311" w:rsidRDefault="00FA423E" w:rsidP="00FA423E">
      <w:pPr>
        <w:pStyle w:val="ListParagraph"/>
        <w:numPr>
          <w:ilvl w:val="0"/>
          <w:numId w:val="11"/>
        </w:numPr>
        <w:autoSpaceDE w:val="0"/>
        <w:autoSpaceDN w:val="0"/>
        <w:ind w:left="0" w:firstLine="0"/>
        <w:jc w:val="both"/>
        <w:rPr>
          <w:rFonts w:cs="Arial"/>
          <w:lang w:val="es-ES" w:eastAsia="zh-CN"/>
        </w:rPr>
      </w:pPr>
      <w:r w:rsidRPr="00526311">
        <w:rPr>
          <w:rFonts w:cs="Arial"/>
          <w:lang w:val="es-ES" w:eastAsia="zh-CN"/>
        </w:rPr>
        <w:t>Por lo que atañe al aumento de la protección de los emblemas de Estado y de los nombres y emblemas de organizaciones intergubernamentales internacionales en virtud del Artículo 6</w:t>
      </w:r>
      <w:r w:rsidRPr="00526311">
        <w:rPr>
          <w:rFonts w:cs="Arial"/>
          <w:i/>
          <w:lang w:val="es-ES" w:eastAsia="zh-CN"/>
        </w:rPr>
        <w:t>ter</w:t>
      </w:r>
      <w:r w:rsidRPr="00526311">
        <w:rPr>
          <w:rFonts w:cs="Arial"/>
          <w:lang w:val="es-ES" w:eastAsia="zh-CN"/>
        </w:rPr>
        <w:t xml:space="preserve"> del Convenio de París, las comunicaciones y las respuestas a peticiones se trataron con puntualidad y eficiencia durante el período objeto de examen.  Las discrepancias entre el objetivo de peticiones que se deben tramitar y el número de peticiones tramitadas en realidad se deben a la fluctuación en el número de peticiones y al hecho de que el objetivo estimado está basado en una media bienal.  A finales de </w:t>
      </w:r>
      <w:r>
        <w:rPr>
          <w:rFonts w:cs="Arial"/>
          <w:lang w:val="es-ES" w:eastAsia="zh-CN"/>
        </w:rPr>
        <w:t>2015 la</w:t>
      </w:r>
      <w:r w:rsidRPr="00526311">
        <w:rPr>
          <w:rFonts w:cs="Arial"/>
          <w:lang w:val="es-ES" w:eastAsia="zh-CN"/>
        </w:rPr>
        <w:t xml:space="preserve"> base de datos sobre el Artículo 6</w:t>
      </w:r>
      <w:r w:rsidRPr="00526311">
        <w:rPr>
          <w:rFonts w:cs="Arial"/>
          <w:i/>
          <w:lang w:val="es-ES" w:eastAsia="zh-CN"/>
        </w:rPr>
        <w:t>ter</w:t>
      </w:r>
      <w:r>
        <w:rPr>
          <w:rFonts w:cs="Arial"/>
          <w:lang w:val="es-ES" w:eastAsia="zh-CN"/>
        </w:rPr>
        <w:t xml:space="preserve"> contenía un total de 3.1</w:t>
      </w:r>
      <w:r w:rsidRPr="00526311">
        <w:rPr>
          <w:rFonts w:cs="Arial"/>
          <w:lang w:val="es-ES" w:eastAsia="zh-CN"/>
        </w:rPr>
        <w:t>57 signos.</w:t>
      </w:r>
    </w:p>
    <w:p w:rsidR="00FA423E" w:rsidRPr="00526311" w:rsidRDefault="00FA423E" w:rsidP="00FA423E">
      <w:pPr>
        <w:pStyle w:val="ListParagraph"/>
        <w:tabs>
          <w:tab w:val="left" w:pos="709"/>
        </w:tabs>
        <w:autoSpaceDE w:val="0"/>
        <w:autoSpaceDN w:val="0"/>
        <w:ind w:left="0"/>
        <w:jc w:val="both"/>
        <w:rPr>
          <w:rFonts w:cs="Arial"/>
          <w:lang w:val="es-ES" w:eastAsia="zh-CN"/>
        </w:rPr>
      </w:pPr>
    </w:p>
    <w:p w:rsidR="00FA423E" w:rsidRPr="00526311" w:rsidRDefault="00FA423E" w:rsidP="00FA423E">
      <w:pPr>
        <w:pStyle w:val="ListParagraph"/>
        <w:numPr>
          <w:ilvl w:val="0"/>
          <w:numId w:val="11"/>
        </w:numPr>
        <w:tabs>
          <w:tab w:val="left" w:pos="709"/>
        </w:tabs>
        <w:autoSpaceDE w:val="0"/>
        <w:autoSpaceDN w:val="0"/>
        <w:ind w:left="0" w:firstLine="0"/>
        <w:jc w:val="both"/>
        <w:rPr>
          <w:rFonts w:cs="Arial"/>
          <w:lang w:val="es-ES" w:eastAsia="zh-CN"/>
        </w:rPr>
      </w:pPr>
      <w:r w:rsidRPr="00526311">
        <w:rPr>
          <w:rFonts w:cs="Arial"/>
          <w:lang w:val="es-ES" w:eastAsia="zh-CN"/>
        </w:rPr>
        <w:t>En cuanto al trabajo relativo a marcos de P.I. adaptados y equilibrados en el ámbito legislativo, reglamentario y de pol</w:t>
      </w:r>
      <w:r>
        <w:rPr>
          <w:rFonts w:cs="Arial"/>
          <w:lang w:val="es-ES" w:eastAsia="zh-CN"/>
        </w:rPr>
        <w:t>ítica, se dio asesoramiento a 31</w:t>
      </w:r>
      <w:r w:rsidRPr="00526311">
        <w:rPr>
          <w:rFonts w:cs="Arial"/>
          <w:lang w:val="es-ES" w:eastAsia="zh-CN"/>
        </w:rPr>
        <w:t xml:space="preserve"> Estados miembros/organizaciones intergubernamentales en la esfera del Derecho de marcas, </w:t>
      </w:r>
      <w:r>
        <w:rPr>
          <w:rFonts w:cs="Arial"/>
          <w:lang w:val="es-ES" w:eastAsia="zh-CN"/>
        </w:rPr>
        <w:t>diseños</w:t>
      </w:r>
      <w:r w:rsidRPr="00526311">
        <w:rPr>
          <w:rFonts w:cs="Arial"/>
          <w:lang w:val="es-ES" w:eastAsia="zh-CN"/>
        </w:rPr>
        <w:t xml:space="preserve"> industriales e indicaciones geográficas.  Las actividades del programa en las esferas de la asistencia técnica, el fortalecimiento de capacidades y la asistencia en materia legislativa estuvieron orientadas a potenciar el desarrollo, obedecieron a la demanda y fueron objeto de informes durante el año, en sintonía con las re</w:t>
      </w:r>
      <w:r>
        <w:rPr>
          <w:rFonts w:cs="Arial"/>
          <w:lang w:val="es-ES" w:eastAsia="zh-CN"/>
        </w:rPr>
        <w:t>comendaciones 1 y 13 de la A.D.</w:t>
      </w:r>
    </w:p>
    <w:p w:rsidR="00FA423E" w:rsidRPr="00526311" w:rsidRDefault="00FA423E" w:rsidP="00FA423E">
      <w:pPr>
        <w:pStyle w:val="ListParagraph"/>
        <w:tabs>
          <w:tab w:val="left" w:pos="709"/>
        </w:tabs>
        <w:autoSpaceDE w:val="0"/>
        <w:autoSpaceDN w:val="0"/>
        <w:ind w:left="0"/>
        <w:jc w:val="both"/>
        <w:rPr>
          <w:rFonts w:cs="Arial"/>
          <w:lang w:val="es-ES" w:eastAsia="zh-CN"/>
        </w:rPr>
      </w:pPr>
    </w:p>
    <w:p w:rsidR="00FA423E" w:rsidRPr="00526311" w:rsidRDefault="00FA423E" w:rsidP="00FA423E">
      <w:pPr>
        <w:pStyle w:val="ListParagraph"/>
        <w:numPr>
          <w:ilvl w:val="0"/>
          <w:numId w:val="11"/>
        </w:numPr>
        <w:tabs>
          <w:tab w:val="left" w:pos="0"/>
        </w:tabs>
        <w:autoSpaceDE w:val="0"/>
        <w:autoSpaceDN w:val="0"/>
        <w:ind w:left="0" w:firstLine="0"/>
        <w:jc w:val="both"/>
        <w:rPr>
          <w:rFonts w:cs="Arial"/>
          <w:lang w:val="es-ES" w:eastAsia="zh-CN"/>
        </w:rPr>
      </w:pPr>
      <w:r w:rsidRPr="00526311">
        <w:rPr>
          <w:rFonts w:cs="Arial"/>
          <w:lang w:val="es-ES" w:eastAsia="zh-CN"/>
        </w:rPr>
        <w:t>Además, en el marco del pro</w:t>
      </w:r>
      <w:r>
        <w:rPr>
          <w:rFonts w:cs="Arial"/>
          <w:lang w:val="es-ES" w:eastAsia="zh-CN"/>
        </w:rPr>
        <w:t xml:space="preserve">grama, se ejecutó </w:t>
      </w:r>
      <w:r w:rsidRPr="00526311">
        <w:rPr>
          <w:rFonts w:cs="Arial"/>
          <w:lang w:val="es-ES" w:eastAsia="zh-CN"/>
        </w:rPr>
        <w:t xml:space="preserve">el Proyecto piloto sobre la P.I. y la gestión de diseños para fomentar las actividades comerciales </w:t>
      </w:r>
      <w:r>
        <w:rPr>
          <w:rFonts w:cs="Arial"/>
          <w:lang w:val="es-ES" w:eastAsia="zh-CN"/>
        </w:rPr>
        <w:t xml:space="preserve">en los países en desarrollo y los países menos adelantados </w:t>
      </w:r>
      <w:r w:rsidRPr="00526311">
        <w:rPr>
          <w:rFonts w:cs="Arial"/>
          <w:lang w:val="es-ES" w:eastAsia="zh-CN"/>
        </w:rPr>
        <w:t>(DA_4_10_02), de la A.D</w:t>
      </w:r>
      <w:r>
        <w:rPr>
          <w:rFonts w:cs="Arial"/>
          <w:lang w:val="es-ES" w:eastAsia="zh-CN"/>
        </w:rPr>
        <w:t xml:space="preserve"> en la Argentina y Marruecos</w:t>
      </w:r>
      <w:r w:rsidRPr="00526311">
        <w:rPr>
          <w:rFonts w:cs="Arial"/>
          <w:lang w:val="es-ES" w:eastAsia="zh-CN"/>
        </w:rPr>
        <w:t>.  Tras un</w:t>
      </w:r>
      <w:r>
        <w:rPr>
          <w:rFonts w:cs="Arial"/>
          <w:lang w:val="es-ES" w:eastAsia="zh-CN"/>
        </w:rPr>
        <w:t xml:space="preserve"> acuerdo formal acerca </w:t>
      </w:r>
      <w:r w:rsidRPr="00526311">
        <w:rPr>
          <w:rFonts w:cs="Arial"/>
          <w:lang w:val="es-ES" w:eastAsia="zh-CN"/>
        </w:rPr>
        <w:t>de</w:t>
      </w:r>
      <w:r>
        <w:rPr>
          <w:rFonts w:cs="Arial"/>
          <w:lang w:val="es-ES" w:eastAsia="zh-CN"/>
        </w:rPr>
        <w:t>l</w:t>
      </w:r>
      <w:r w:rsidRPr="00526311">
        <w:rPr>
          <w:rFonts w:cs="Arial"/>
          <w:lang w:val="es-ES" w:eastAsia="zh-CN"/>
        </w:rPr>
        <w:t xml:space="preserve"> alcance del proyecto, se redactaron las estrategias nacionales de protección de los diseños</w:t>
      </w:r>
      <w:r>
        <w:rPr>
          <w:rFonts w:cs="Arial"/>
          <w:lang w:val="es-ES" w:eastAsia="zh-CN"/>
        </w:rPr>
        <w:t xml:space="preserve"> en 2014</w:t>
      </w:r>
      <w:r w:rsidRPr="00526311">
        <w:rPr>
          <w:rFonts w:cs="Arial"/>
          <w:lang w:val="es-ES" w:eastAsia="zh-CN"/>
        </w:rPr>
        <w:t>, los planes de divulgación y las estrategias de salida</w:t>
      </w:r>
      <w:r>
        <w:rPr>
          <w:rFonts w:cs="Arial"/>
          <w:lang w:val="es-ES" w:eastAsia="zh-CN"/>
        </w:rPr>
        <w:t xml:space="preserve"> para ambos países piloto y se creó un programa nacional específico </w:t>
      </w:r>
      <w:r>
        <w:rPr>
          <w:bCs/>
          <w:lang w:val="es-ES"/>
        </w:rPr>
        <w:t>(a saber,</w:t>
      </w:r>
      <w:r w:rsidRPr="00B9089B">
        <w:rPr>
          <w:bCs/>
          <w:lang w:val="es-ES"/>
        </w:rPr>
        <w:t xml:space="preserve"> </w:t>
      </w:r>
      <w:r w:rsidRPr="00B9089B">
        <w:rPr>
          <w:bCs/>
          <w:i/>
          <w:lang w:val="es-ES"/>
        </w:rPr>
        <w:t>Diseñar</w:t>
      </w:r>
      <w:r>
        <w:rPr>
          <w:bCs/>
          <w:lang w:val="es-ES"/>
        </w:rPr>
        <w:t xml:space="preserve"> e</w:t>
      </w:r>
      <w:r w:rsidRPr="00B9089B">
        <w:rPr>
          <w:bCs/>
          <w:lang w:val="es-ES"/>
        </w:rPr>
        <w:t xml:space="preserve">n </w:t>
      </w:r>
      <w:r>
        <w:rPr>
          <w:bCs/>
          <w:lang w:val="es-ES"/>
        </w:rPr>
        <w:t>la Argentina y</w:t>
      </w:r>
      <w:r w:rsidRPr="00B9089B">
        <w:rPr>
          <w:bCs/>
          <w:lang w:val="es-ES"/>
        </w:rPr>
        <w:t xml:space="preserve"> </w:t>
      </w:r>
      <w:proofErr w:type="spellStart"/>
      <w:r w:rsidRPr="00B9089B">
        <w:rPr>
          <w:bCs/>
          <w:i/>
          <w:lang w:val="es-ES"/>
        </w:rPr>
        <w:t>Nama</w:t>
      </w:r>
      <w:r>
        <w:rPr>
          <w:bCs/>
          <w:lang w:val="es-ES"/>
        </w:rPr>
        <w:t>dij</w:t>
      </w:r>
      <w:proofErr w:type="spellEnd"/>
      <w:r>
        <w:rPr>
          <w:bCs/>
          <w:lang w:val="es-ES"/>
        </w:rPr>
        <w:t xml:space="preserve"> en Ma</w:t>
      </w:r>
      <w:r w:rsidRPr="00B9089B">
        <w:rPr>
          <w:bCs/>
          <w:lang w:val="es-ES"/>
        </w:rPr>
        <w:t>r</w:t>
      </w:r>
      <w:r>
        <w:rPr>
          <w:bCs/>
          <w:lang w:val="es-ES"/>
        </w:rPr>
        <w:t>ruec</w:t>
      </w:r>
      <w:r w:rsidRPr="00B9089B">
        <w:rPr>
          <w:bCs/>
          <w:lang w:val="es-ES"/>
        </w:rPr>
        <w:t>o</w:t>
      </w:r>
      <w:r>
        <w:rPr>
          <w:bCs/>
          <w:lang w:val="es-ES"/>
        </w:rPr>
        <w:t>s</w:t>
      </w:r>
      <w:r w:rsidRPr="00B9089B">
        <w:rPr>
          <w:bCs/>
          <w:lang w:val="es-ES"/>
        </w:rPr>
        <w:t>)</w:t>
      </w:r>
      <w:r w:rsidRPr="00526311">
        <w:rPr>
          <w:rFonts w:cs="Arial"/>
          <w:lang w:val="es-ES" w:eastAsia="zh-CN"/>
        </w:rPr>
        <w:t>.  En ambos países se real</w:t>
      </w:r>
      <w:r>
        <w:rPr>
          <w:rFonts w:cs="Arial"/>
          <w:lang w:val="es-ES" w:eastAsia="zh-CN"/>
        </w:rPr>
        <w:t xml:space="preserve">izaron estudios de viabilidad, que permitieron seleccionar inicialmente a </w:t>
      </w:r>
      <w:r w:rsidRPr="00526311">
        <w:rPr>
          <w:rFonts w:cs="Arial"/>
          <w:lang w:val="es-ES" w:eastAsia="zh-CN"/>
        </w:rPr>
        <w:t>70 pymes beneficiarias</w:t>
      </w:r>
      <w:r>
        <w:rPr>
          <w:rFonts w:cs="Arial"/>
          <w:lang w:val="es-ES" w:eastAsia="zh-CN"/>
        </w:rPr>
        <w:t>, 68 de las cuales se mantuvieron hasta el final (42 de la Argentina y 26 de Marruecos).  S</w:t>
      </w:r>
      <w:r w:rsidRPr="00526311">
        <w:rPr>
          <w:rFonts w:cs="Arial"/>
          <w:lang w:val="es-ES" w:eastAsia="zh-CN"/>
        </w:rPr>
        <w:t xml:space="preserve">e </w:t>
      </w:r>
      <w:r>
        <w:rPr>
          <w:rFonts w:cs="Arial"/>
          <w:lang w:val="es-ES" w:eastAsia="zh-CN"/>
        </w:rPr>
        <w:t>crearon equipos de proyectos nacionales compuestos por comités directivos, coordinadores nacionales de los proyectos y ocho expertos (cinco para la Argentina y tres para Marruecos), a fin de ayudar a las pymes beneficiarias a elaborar estrategias adaptadas de protección de diseños y prestarles asistencia en relación con las solicitudes de P.I.</w:t>
      </w:r>
    </w:p>
    <w:p w:rsidR="00FA423E" w:rsidRPr="00526311" w:rsidRDefault="00FA423E" w:rsidP="00FA423E">
      <w:pPr>
        <w:pStyle w:val="ListParagraph"/>
        <w:tabs>
          <w:tab w:val="left" w:pos="709"/>
        </w:tabs>
        <w:autoSpaceDE w:val="0"/>
        <w:autoSpaceDN w:val="0"/>
        <w:ind w:left="0"/>
        <w:jc w:val="both"/>
        <w:rPr>
          <w:rFonts w:cs="Arial"/>
          <w:lang w:val="es-ES" w:eastAsia="zh-CN"/>
        </w:rPr>
      </w:pPr>
    </w:p>
    <w:p w:rsidR="00FA423E" w:rsidRPr="00526311" w:rsidRDefault="00FA423E" w:rsidP="00FA423E">
      <w:pPr>
        <w:pStyle w:val="ListParagraph"/>
        <w:tabs>
          <w:tab w:val="left" w:pos="709"/>
        </w:tabs>
        <w:autoSpaceDE w:val="0"/>
        <w:autoSpaceDN w:val="0"/>
        <w:ind w:left="0"/>
        <w:jc w:val="both"/>
        <w:rPr>
          <w:rFonts w:cs="Arial"/>
          <w:lang w:val="es-ES" w:eastAsia="zh-CN"/>
        </w:rPr>
      </w:pPr>
      <w:r>
        <w:rPr>
          <w:rFonts w:cs="Arial"/>
          <w:lang w:val="es-ES" w:eastAsia="zh-CN"/>
        </w:rPr>
        <w:t>2.6.</w:t>
      </w:r>
      <w:r>
        <w:rPr>
          <w:rFonts w:cs="Arial"/>
          <w:lang w:val="es-ES" w:eastAsia="zh-CN"/>
        </w:rPr>
        <w:tab/>
        <w:t xml:space="preserve">En 2015 se siguió avanzando en la elaboración de material promocional y el desarrollo de una serie de herramientas para brindar aún más apoyo a las pymes beneficiarias en relación con la </w:t>
      </w:r>
      <w:r>
        <w:rPr>
          <w:rFonts w:cs="Arial"/>
          <w:lang w:val="es-ES" w:eastAsia="zh-CN"/>
        </w:rPr>
        <w:lastRenderedPageBreak/>
        <w:t>protección estratégica de sus diseños en favor de su desarrollo comercial, tanto en el mercado local como el internacional.  En noviembre de 2015 las pymes participantes ya habían presentado o estaban en el proceso de presentar solicitudes para un total de 32 diseños industriales y 29 marcas en la Argentina y 77 diseños industriales en Marruecos.  El Proyecto ha arrojado otros resultados principales durante el bienio, como por ejemplo el establecimiento de un comité directivo nacional en cada país, en el que participan ministerios, asociaciones, cámaras de comercio, escuelas y universidades.  Además, con el objetivo de consolidar aún más el compromiso de los asociados institucionales de contribuir a los objetivos de cada país en relación con el programa, se firmaron las cartas de los proyectos el 7 de abril de 2015 en la Argentina, en presencia del Ministro de Producción, y entre el 1 de abril y el 27 de octubre de 2015 en Marruecos, por los asociados principales del proyecto en el país.  La Secretaría y las delegaciones de ambos países presentaron los resultados del proyecto a los Estados miembros en un acto paralelo a la trigésima cuarta sesión del SCT.  Las encuestas efectuadas hasta la fecha indican que, a nivel general, los organismos de coordinación y las pymes se encuentran muy satisfechos con la asistencia técnica recibida y el valor añadido que aporta el Proyecto al desarrollo local de las pymes en cuya actividad los diseños revisten mucha importancia, gracias a la utilización estratégica de la P.I.  Se están examinando las estrategias de salida con miras a aplicarlas en cada país en 2016, y se llevará a cabo asimismo una evaluación final del proyecto.</w:t>
      </w:r>
    </w:p>
    <w:p w:rsidR="00FA423E" w:rsidRDefault="00FA423E" w:rsidP="00FA423E">
      <w:pPr>
        <w:rPr>
          <w:sz w:val="20"/>
          <w:szCs w:val="22"/>
        </w:rPr>
      </w:pPr>
    </w:p>
    <w:p w:rsidR="00FA423E" w:rsidRPr="00526311" w:rsidRDefault="00FA423E" w:rsidP="00FA423E">
      <w:pPr>
        <w:rPr>
          <w:sz w:val="20"/>
          <w:szCs w:val="22"/>
        </w:rPr>
      </w:pPr>
    </w:p>
    <w:p w:rsidR="00FA423E" w:rsidRPr="00526311" w:rsidRDefault="008F7CBE" w:rsidP="00FA423E">
      <w:pPr>
        <w:tabs>
          <w:tab w:val="left" w:pos="2268"/>
        </w:tabs>
        <w:rPr>
          <w:szCs w:val="22"/>
        </w:rPr>
      </w:pPr>
      <w:r w:rsidRPr="008F7CBE">
        <w:rPr>
          <w:sz w:val="20"/>
          <w:szCs w:val="22"/>
        </w:rPr>
        <w:t>DATOS SOBRE EL RENDIMIENTO</w:t>
      </w:r>
    </w:p>
    <w:p w:rsidR="00FA423E" w:rsidRPr="005E6E76" w:rsidRDefault="00FA423E" w:rsidP="00FA423E">
      <w:pPr>
        <w:tabs>
          <w:tab w:val="left" w:pos="2268"/>
        </w:tabs>
        <w:rPr>
          <w:b/>
          <w:sz w:val="20"/>
        </w:rPr>
      </w:pPr>
    </w:p>
    <w:tbl>
      <w:tblPr>
        <w:tblW w:w="5202"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92"/>
        <w:gridCol w:w="2744"/>
        <w:gridCol w:w="30"/>
        <w:gridCol w:w="1316"/>
        <w:gridCol w:w="18"/>
        <w:gridCol w:w="86"/>
        <w:gridCol w:w="2039"/>
        <w:gridCol w:w="58"/>
        <w:gridCol w:w="133"/>
        <w:gridCol w:w="1342"/>
      </w:tblGrid>
      <w:tr w:rsidR="00FA423E" w:rsidRPr="00526311" w:rsidTr="00DC1333">
        <w:trPr>
          <w:cantSplit/>
          <w:trHeight w:val="634"/>
        </w:trPr>
        <w:tc>
          <w:tcPr>
            <w:tcW w:w="5000" w:type="pct"/>
            <w:gridSpan w:val="10"/>
            <w:tcBorders>
              <w:top w:val="single" w:sz="4" w:space="0" w:color="auto"/>
              <w:bottom w:val="single" w:sz="4" w:space="0" w:color="auto"/>
            </w:tcBorders>
            <w:shd w:val="clear" w:color="auto" w:fill="C6D9F1" w:themeFill="text2" w:themeFillTint="33"/>
            <w:vAlign w:val="center"/>
          </w:tcPr>
          <w:p w:rsidR="00FA423E" w:rsidRPr="00526311" w:rsidRDefault="00FA423E" w:rsidP="00DC1333">
            <w:pPr>
              <w:keepNext/>
              <w:keepLines/>
              <w:ind w:left="2019" w:hanging="2019"/>
              <w:rPr>
                <w:b/>
                <w:bCs/>
                <w:sz w:val="16"/>
                <w:szCs w:val="16"/>
              </w:rPr>
            </w:pPr>
            <w:r w:rsidRPr="00526311">
              <w:rPr>
                <w:b/>
                <w:bCs/>
                <w:sz w:val="16"/>
                <w:szCs w:val="16"/>
              </w:rPr>
              <w:t>Resultado previsto:</w:t>
            </w:r>
            <w:r w:rsidRPr="00526311">
              <w:rPr>
                <w:bCs/>
                <w:sz w:val="16"/>
                <w:szCs w:val="16"/>
              </w:rPr>
              <w:tab/>
              <w:t>I.1 Mejor cooperación entre los Estados miembros en lo que atañe a la elaboración de marcos normativos internacionales equilibrados para la P.I. y fomento de acuerdos sobre las cuestiones específicas respecto de las que se acuerdan instrumentos internacionales</w:t>
            </w:r>
          </w:p>
        </w:tc>
      </w:tr>
      <w:tr w:rsidR="00FA423E" w:rsidRPr="00526311" w:rsidTr="00DC1333">
        <w:trPr>
          <w:cantSplit/>
        </w:trPr>
        <w:tc>
          <w:tcPr>
            <w:tcW w:w="1100" w:type="pct"/>
            <w:tcBorders>
              <w:top w:val="single" w:sz="4" w:space="0" w:color="auto"/>
            </w:tcBorders>
            <w:shd w:val="clear" w:color="auto" w:fill="auto"/>
            <w:vAlign w:val="center"/>
          </w:tcPr>
          <w:p w:rsidR="00FA423E" w:rsidRPr="00526311" w:rsidRDefault="00FA423E" w:rsidP="00DC1333">
            <w:pPr>
              <w:rPr>
                <w:b/>
                <w:sz w:val="16"/>
                <w:szCs w:val="16"/>
              </w:rPr>
            </w:pPr>
            <w:r w:rsidRPr="00526311">
              <w:rPr>
                <w:b/>
                <w:sz w:val="16"/>
                <w:szCs w:val="16"/>
              </w:rPr>
              <w:t>Indicadores de rendimiento</w:t>
            </w:r>
          </w:p>
        </w:tc>
        <w:tc>
          <w:tcPr>
            <w:tcW w:w="1393" w:type="pct"/>
            <w:gridSpan w:val="2"/>
            <w:tcBorders>
              <w:top w:val="single" w:sz="4" w:space="0" w:color="auto"/>
            </w:tcBorders>
            <w:shd w:val="clear" w:color="auto" w:fill="auto"/>
            <w:vAlign w:val="center"/>
          </w:tcPr>
          <w:p w:rsidR="00FA423E" w:rsidRPr="00526311" w:rsidRDefault="00FA423E" w:rsidP="00DC1333">
            <w:pPr>
              <w:rPr>
                <w:b/>
                <w:bCs/>
                <w:sz w:val="16"/>
                <w:szCs w:val="16"/>
              </w:rPr>
            </w:pPr>
            <w:r w:rsidRPr="00526311">
              <w:rPr>
                <w:b/>
                <w:bCs/>
                <w:sz w:val="16"/>
                <w:szCs w:val="16"/>
              </w:rPr>
              <w:t>Referencia</w:t>
            </w:r>
          </w:p>
        </w:tc>
        <w:tc>
          <w:tcPr>
            <w:tcW w:w="670" w:type="pct"/>
            <w:gridSpan w:val="2"/>
            <w:tcBorders>
              <w:top w:val="single" w:sz="4" w:space="0" w:color="auto"/>
            </w:tcBorders>
            <w:shd w:val="clear" w:color="auto" w:fill="auto"/>
            <w:tcMar>
              <w:top w:w="110" w:type="dxa"/>
            </w:tcMar>
            <w:vAlign w:val="center"/>
          </w:tcPr>
          <w:p w:rsidR="00FA423E" w:rsidRPr="00526311" w:rsidRDefault="00FA423E" w:rsidP="00DC1333">
            <w:pPr>
              <w:rPr>
                <w:b/>
                <w:sz w:val="16"/>
                <w:szCs w:val="16"/>
              </w:rPr>
            </w:pPr>
            <w:r w:rsidRPr="00526311">
              <w:rPr>
                <w:b/>
                <w:sz w:val="16"/>
                <w:szCs w:val="16"/>
              </w:rPr>
              <w:t>Objetivos</w:t>
            </w:r>
          </w:p>
        </w:tc>
        <w:tc>
          <w:tcPr>
            <w:tcW w:w="1096" w:type="pct"/>
            <w:gridSpan w:val="3"/>
            <w:tcBorders>
              <w:top w:val="single" w:sz="4" w:space="0" w:color="auto"/>
            </w:tcBorders>
            <w:shd w:val="clear" w:color="auto" w:fill="auto"/>
            <w:tcMar>
              <w:top w:w="110" w:type="dxa"/>
            </w:tcMar>
            <w:vAlign w:val="center"/>
          </w:tcPr>
          <w:p w:rsidR="00FA423E" w:rsidRPr="00526311" w:rsidRDefault="00FA423E" w:rsidP="00DC1333">
            <w:pPr>
              <w:rPr>
                <w:b/>
                <w:sz w:val="16"/>
                <w:szCs w:val="16"/>
              </w:rPr>
            </w:pPr>
            <w:r w:rsidRPr="00526311">
              <w:rPr>
                <w:b/>
                <w:sz w:val="16"/>
                <w:szCs w:val="16"/>
              </w:rPr>
              <w:t>Datos sobre el rendimiento</w:t>
            </w:r>
          </w:p>
        </w:tc>
        <w:tc>
          <w:tcPr>
            <w:tcW w:w="741" w:type="pct"/>
            <w:gridSpan w:val="2"/>
            <w:tcBorders>
              <w:top w:val="single" w:sz="4" w:space="0" w:color="auto"/>
            </w:tcBorders>
            <w:shd w:val="clear" w:color="auto" w:fill="auto"/>
            <w:tcMar>
              <w:top w:w="110" w:type="dxa"/>
            </w:tcMar>
            <w:vAlign w:val="center"/>
          </w:tcPr>
          <w:p w:rsidR="00FA423E" w:rsidRPr="00526311" w:rsidRDefault="00FA423E" w:rsidP="00DC1333">
            <w:pPr>
              <w:rPr>
                <w:b/>
                <w:sz w:val="16"/>
                <w:szCs w:val="16"/>
              </w:rPr>
            </w:pPr>
            <w:r w:rsidRPr="00526311">
              <w:rPr>
                <w:b/>
                <w:sz w:val="16"/>
                <w:szCs w:val="16"/>
              </w:rPr>
              <w:t>Clave de colores</w:t>
            </w:r>
          </w:p>
        </w:tc>
      </w:tr>
      <w:tr w:rsidR="00FA423E" w:rsidRPr="00526311" w:rsidTr="00DC1333">
        <w:trPr>
          <w:cantSplit/>
        </w:trPr>
        <w:tc>
          <w:tcPr>
            <w:tcW w:w="1100" w:type="pct"/>
            <w:shd w:val="clear" w:color="auto" w:fill="auto"/>
          </w:tcPr>
          <w:p w:rsidR="00FA423E" w:rsidRPr="00526311" w:rsidRDefault="00FA423E" w:rsidP="00DC1333">
            <w:pPr>
              <w:autoSpaceDE w:val="0"/>
              <w:autoSpaceDN w:val="0"/>
              <w:adjustRightInd w:val="0"/>
              <w:rPr>
                <w:sz w:val="16"/>
                <w:szCs w:val="16"/>
              </w:rPr>
            </w:pPr>
            <w:r w:rsidRPr="00526311">
              <w:rPr>
                <w:rFonts w:eastAsiaTheme="minorHAnsi"/>
                <w:sz w:val="16"/>
                <w:szCs w:val="16"/>
              </w:rPr>
              <w:t>Acuerdo sobre un marco normativo para los procedimientos de registro y mantenimiento de los diseños industriales.</w:t>
            </w:r>
          </w:p>
        </w:tc>
        <w:tc>
          <w:tcPr>
            <w:tcW w:w="1393" w:type="pct"/>
            <w:gridSpan w:val="2"/>
            <w:shd w:val="clear" w:color="auto" w:fill="auto"/>
          </w:tcPr>
          <w:p w:rsidR="00FA423E" w:rsidRPr="00526311" w:rsidRDefault="00FA423E" w:rsidP="00DC1333">
            <w:pPr>
              <w:rPr>
                <w:color w:val="002060"/>
                <w:sz w:val="16"/>
                <w:szCs w:val="16"/>
                <w:lang w:bidi="th-TH"/>
              </w:rPr>
            </w:pPr>
            <w:r w:rsidRPr="00526311">
              <w:rPr>
                <w:i/>
                <w:color w:val="002060"/>
                <w:sz w:val="16"/>
                <w:szCs w:val="16"/>
                <w:lang w:bidi="th-TH"/>
              </w:rPr>
              <w:t>Referencia actualizada a fines de 2013:</w:t>
            </w:r>
            <w:r w:rsidRPr="00526311">
              <w:rPr>
                <w:color w:val="002060"/>
                <w:sz w:val="16"/>
                <w:szCs w:val="16"/>
                <w:lang w:bidi="th-TH"/>
              </w:rPr>
              <w:t xml:space="preserve">  No existe un marco normativo para los procedimientos de registro de los diseños industriales.</w:t>
            </w:r>
          </w:p>
          <w:p w:rsidR="00FA423E" w:rsidRPr="00526311" w:rsidRDefault="00FA423E" w:rsidP="00DC1333">
            <w:pPr>
              <w:rPr>
                <w:i/>
                <w:sz w:val="8"/>
                <w:szCs w:val="8"/>
              </w:rPr>
            </w:pPr>
          </w:p>
          <w:p w:rsidR="00FA423E" w:rsidRPr="00526311" w:rsidRDefault="00FA423E" w:rsidP="00DC1333">
            <w:pPr>
              <w:rPr>
                <w:sz w:val="16"/>
                <w:szCs w:val="16"/>
              </w:rPr>
            </w:pPr>
            <w:r w:rsidRPr="00526311">
              <w:rPr>
                <w:i/>
                <w:sz w:val="16"/>
                <w:szCs w:val="16"/>
              </w:rPr>
              <w:t xml:space="preserve">Referencia original en el presupuesto de 2014/15:  </w:t>
            </w:r>
            <w:r w:rsidRPr="00526311">
              <w:rPr>
                <w:rFonts w:eastAsiaTheme="minorHAnsi"/>
                <w:sz w:val="16"/>
                <w:szCs w:val="16"/>
              </w:rPr>
              <w:t>No existe un marco normativo para los procedimientos de registro y mantenimiento de los diseños industriales.</w:t>
            </w:r>
          </w:p>
        </w:tc>
        <w:tc>
          <w:tcPr>
            <w:tcW w:w="670" w:type="pct"/>
            <w:gridSpan w:val="2"/>
            <w:shd w:val="clear" w:color="auto" w:fill="auto"/>
            <w:tcMar>
              <w:top w:w="110" w:type="dxa"/>
            </w:tcMar>
          </w:tcPr>
          <w:p w:rsidR="00FA423E" w:rsidRPr="00526311" w:rsidRDefault="00FA423E" w:rsidP="00DC1333">
            <w:pPr>
              <w:autoSpaceDE w:val="0"/>
              <w:autoSpaceDN w:val="0"/>
              <w:adjustRightInd w:val="0"/>
              <w:rPr>
                <w:sz w:val="16"/>
                <w:szCs w:val="16"/>
              </w:rPr>
            </w:pPr>
            <w:r w:rsidRPr="00526311">
              <w:rPr>
                <w:sz w:val="16"/>
                <w:szCs w:val="16"/>
              </w:rPr>
              <w:t>Adopción en una posible conferencia diplomática de un tratado sobre el Derecho de los diseños industriales.</w:t>
            </w:r>
          </w:p>
        </w:tc>
        <w:tc>
          <w:tcPr>
            <w:tcW w:w="1096" w:type="pct"/>
            <w:gridSpan w:val="3"/>
            <w:shd w:val="clear" w:color="auto" w:fill="auto"/>
            <w:tcMar>
              <w:top w:w="110" w:type="dxa"/>
            </w:tcMar>
          </w:tcPr>
          <w:p w:rsidR="00FA423E" w:rsidRPr="00526311" w:rsidRDefault="00FA423E" w:rsidP="00DC1333">
            <w:pPr>
              <w:rPr>
                <w:sz w:val="16"/>
                <w:szCs w:val="16"/>
              </w:rPr>
            </w:pPr>
            <w:r>
              <w:rPr>
                <w:sz w:val="16"/>
                <w:szCs w:val="16"/>
              </w:rPr>
              <w:t>La Asamblea General de la OMPI adoptó</w:t>
            </w:r>
            <w:r w:rsidRPr="00526311">
              <w:rPr>
                <w:sz w:val="16"/>
                <w:szCs w:val="16"/>
              </w:rPr>
              <w:t xml:space="preserve"> la decisión de convocar una conferencia diplomática para la adopción de un tratado sobre el Derecho de los diseños</w:t>
            </w:r>
            <w:r w:rsidRPr="005279F1">
              <w:rPr>
                <w:sz w:val="16"/>
                <w:szCs w:val="16"/>
              </w:rPr>
              <w:t xml:space="preserve"> hacia fines del primer semestre de 2017, únicamente si se dan por concluidos los debates en el SCT sobre asistencia técnica y divulgación en su trigésima cuarta y trigésima quinta sesiones</w:t>
            </w:r>
            <w:r>
              <w:rPr>
                <w:rStyle w:val="FootnoteReference"/>
                <w:sz w:val="16"/>
                <w:szCs w:val="16"/>
              </w:rPr>
              <w:footnoteReference w:id="10"/>
            </w:r>
            <w:r w:rsidRPr="00526311">
              <w:rPr>
                <w:sz w:val="16"/>
                <w:szCs w:val="16"/>
              </w:rPr>
              <w:t>.</w:t>
            </w:r>
          </w:p>
        </w:tc>
        <w:tc>
          <w:tcPr>
            <w:tcW w:w="741" w:type="pct"/>
            <w:gridSpan w:val="2"/>
            <w:shd w:val="clear" w:color="auto" w:fill="auto"/>
            <w:tcMar>
              <w:top w:w="110" w:type="dxa"/>
            </w:tcMar>
          </w:tcPr>
          <w:p w:rsidR="00FA423E" w:rsidRPr="00526311" w:rsidRDefault="00FA423E" w:rsidP="00DC1333">
            <w:pPr>
              <w:rPr>
                <w:b/>
                <w:color w:val="FF0000"/>
                <w:sz w:val="16"/>
                <w:szCs w:val="16"/>
              </w:rPr>
            </w:pPr>
            <w:r>
              <w:rPr>
                <w:b/>
                <w:color w:val="FF0000"/>
                <w:sz w:val="16"/>
                <w:szCs w:val="16"/>
              </w:rPr>
              <w:t>No logrado</w:t>
            </w:r>
          </w:p>
        </w:tc>
      </w:tr>
      <w:tr w:rsidR="00FA423E" w:rsidRPr="00526311" w:rsidTr="00DC1333">
        <w:trPr>
          <w:cantSplit/>
        </w:trPr>
        <w:tc>
          <w:tcPr>
            <w:tcW w:w="1100" w:type="pct"/>
            <w:shd w:val="clear" w:color="auto" w:fill="auto"/>
          </w:tcPr>
          <w:p w:rsidR="00FA423E" w:rsidRPr="00526311" w:rsidRDefault="00FA423E" w:rsidP="00DC1333">
            <w:pPr>
              <w:autoSpaceDE w:val="0"/>
              <w:autoSpaceDN w:val="0"/>
              <w:adjustRightInd w:val="0"/>
              <w:rPr>
                <w:sz w:val="16"/>
                <w:szCs w:val="16"/>
              </w:rPr>
            </w:pPr>
            <w:r w:rsidRPr="00526311">
              <w:rPr>
                <w:rFonts w:eastAsiaTheme="minorHAnsi"/>
                <w:sz w:val="16"/>
                <w:szCs w:val="16"/>
              </w:rPr>
              <w:t>Avances para llegar a un acuerdo sobre las cuestiones que figuran en el orden del día del SCT.</w:t>
            </w:r>
          </w:p>
        </w:tc>
        <w:tc>
          <w:tcPr>
            <w:tcW w:w="1393" w:type="pct"/>
            <w:gridSpan w:val="2"/>
            <w:shd w:val="clear" w:color="auto" w:fill="auto"/>
          </w:tcPr>
          <w:p w:rsidR="00FA423E" w:rsidRPr="00526311" w:rsidRDefault="00FA423E" w:rsidP="00DC1333">
            <w:pPr>
              <w:rPr>
                <w:color w:val="002060"/>
                <w:sz w:val="16"/>
                <w:szCs w:val="16"/>
                <w:lang w:bidi="th-TH"/>
              </w:rPr>
            </w:pPr>
            <w:r w:rsidRPr="00526311">
              <w:rPr>
                <w:i/>
                <w:color w:val="002060"/>
                <w:sz w:val="16"/>
                <w:szCs w:val="16"/>
                <w:lang w:bidi="th-TH"/>
              </w:rPr>
              <w:t>Referencia actualizada a fines de 2013:</w:t>
            </w:r>
            <w:r w:rsidRPr="00526311">
              <w:rPr>
                <w:color w:val="002060"/>
                <w:sz w:val="16"/>
                <w:szCs w:val="16"/>
                <w:lang w:bidi="th-TH"/>
              </w:rPr>
              <w:t xml:space="preserve">  Acuerdo del SCT con respecto a un número significativo de proyectos de artículos y normas para un tratado sobre el Derecho de los diseños industriales.</w:t>
            </w:r>
          </w:p>
          <w:p w:rsidR="00FA423E" w:rsidRPr="00526311" w:rsidRDefault="00FA423E" w:rsidP="00DC1333">
            <w:pPr>
              <w:rPr>
                <w:color w:val="002060"/>
                <w:sz w:val="16"/>
                <w:szCs w:val="16"/>
                <w:lang w:bidi="th-TH"/>
              </w:rPr>
            </w:pPr>
          </w:p>
          <w:p w:rsidR="00FA423E" w:rsidRPr="00526311" w:rsidRDefault="00FA423E" w:rsidP="00DC1333">
            <w:pPr>
              <w:rPr>
                <w:i/>
                <w:sz w:val="16"/>
                <w:szCs w:val="16"/>
              </w:rPr>
            </w:pPr>
            <w:r w:rsidRPr="00526311">
              <w:rPr>
                <w:color w:val="002060"/>
                <w:sz w:val="16"/>
                <w:szCs w:val="16"/>
                <w:lang w:bidi="th-TH"/>
              </w:rPr>
              <w:t>Acuerdo del SCT sobre la continuación del trabajo en materia de protección de los nombres de país.</w:t>
            </w:r>
          </w:p>
          <w:p w:rsidR="00FA423E" w:rsidRPr="00526311" w:rsidRDefault="00FA423E" w:rsidP="00DC1333">
            <w:pPr>
              <w:rPr>
                <w:i/>
                <w:sz w:val="8"/>
                <w:szCs w:val="8"/>
              </w:rPr>
            </w:pPr>
          </w:p>
          <w:p w:rsidR="00FA423E" w:rsidRPr="00526311" w:rsidRDefault="00FA423E" w:rsidP="00DC1333">
            <w:pPr>
              <w:rPr>
                <w:sz w:val="16"/>
                <w:szCs w:val="16"/>
              </w:rPr>
            </w:pPr>
            <w:r w:rsidRPr="00526311">
              <w:rPr>
                <w:i/>
                <w:sz w:val="16"/>
                <w:szCs w:val="16"/>
              </w:rPr>
              <w:t>Referencia original en el presupuesto de 2014/15:</w:t>
            </w:r>
          </w:p>
          <w:p w:rsidR="00FA423E" w:rsidRPr="00526311" w:rsidRDefault="00FA423E" w:rsidP="00DC1333">
            <w:pPr>
              <w:rPr>
                <w:sz w:val="16"/>
                <w:szCs w:val="16"/>
              </w:rPr>
            </w:pPr>
            <w:r w:rsidRPr="00526311">
              <w:rPr>
                <w:sz w:val="16"/>
                <w:szCs w:val="16"/>
              </w:rPr>
              <w:t>Proyecto de documento de referencia sobre la protección de los nombres de países contra su registro y uso como marcas.</w:t>
            </w:r>
          </w:p>
        </w:tc>
        <w:tc>
          <w:tcPr>
            <w:tcW w:w="670" w:type="pct"/>
            <w:gridSpan w:val="2"/>
            <w:shd w:val="clear" w:color="auto" w:fill="auto"/>
            <w:tcMar>
              <w:top w:w="110" w:type="dxa"/>
            </w:tcMar>
          </w:tcPr>
          <w:p w:rsidR="00FA423E" w:rsidRPr="00526311" w:rsidRDefault="00FA423E" w:rsidP="00DC1333">
            <w:pPr>
              <w:autoSpaceDE w:val="0"/>
              <w:autoSpaceDN w:val="0"/>
              <w:adjustRightInd w:val="0"/>
              <w:rPr>
                <w:sz w:val="16"/>
                <w:szCs w:val="16"/>
              </w:rPr>
            </w:pPr>
            <w:r w:rsidRPr="00526311">
              <w:rPr>
                <w:sz w:val="16"/>
                <w:szCs w:val="16"/>
              </w:rPr>
              <w:t>Resultados acordados en el SCT.</w:t>
            </w:r>
          </w:p>
        </w:tc>
        <w:tc>
          <w:tcPr>
            <w:tcW w:w="1096" w:type="pct"/>
            <w:gridSpan w:val="3"/>
            <w:shd w:val="clear" w:color="auto" w:fill="auto"/>
            <w:tcMar>
              <w:top w:w="110" w:type="dxa"/>
            </w:tcMar>
          </w:tcPr>
          <w:p w:rsidR="00FA423E" w:rsidRPr="00526311" w:rsidRDefault="00FA423E" w:rsidP="00DC1333">
            <w:pPr>
              <w:rPr>
                <w:sz w:val="16"/>
                <w:szCs w:val="16"/>
              </w:rPr>
            </w:pPr>
            <w:r>
              <w:rPr>
                <w:sz w:val="16"/>
                <w:szCs w:val="16"/>
              </w:rPr>
              <w:t xml:space="preserve">En la trigésima cuarta sesión del SCT se </w:t>
            </w:r>
            <w:r w:rsidRPr="00CE649C">
              <w:rPr>
                <w:sz w:val="16"/>
                <w:szCs w:val="16"/>
              </w:rPr>
              <w:t xml:space="preserve">aprobó un Documento de referencia sobre la protección de los nombres de países contra su registro y uso como marcas </w:t>
            </w:r>
            <w:r>
              <w:rPr>
                <w:bCs/>
                <w:sz w:val="16"/>
                <w:szCs w:val="16"/>
              </w:rPr>
              <w:t xml:space="preserve">(publicado en el </w:t>
            </w:r>
            <w:r w:rsidRPr="00CE649C">
              <w:rPr>
                <w:bCs/>
                <w:sz w:val="16"/>
                <w:szCs w:val="16"/>
              </w:rPr>
              <w:t>documento WIPO/</w:t>
            </w:r>
            <w:proofErr w:type="spellStart"/>
            <w:r w:rsidRPr="00CE649C">
              <w:rPr>
                <w:bCs/>
                <w:sz w:val="16"/>
                <w:szCs w:val="16"/>
              </w:rPr>
              <w:t>Strad</w:t>
            </w:r>
            <w:proofErr w:type="spellEnd"/>
            <w:r w:rsidRPr="00CE649C">
              <w:rPr>
                <w:bCs/>
                <w:sz w:val="16"/>
                <w:szCs w:val="16"/>
              </w:rPr>
              <w:t>/INF/7)</w:t>
            </w:r>
          </w:p>
        </w:tc>
        <w:tc>
          <w:tcPr>
            <w:tcW w:w="741" w:type="pct"/>
            <w:gridSpan w:val="2"/>
            <w:shd w:val="clear" w:color="auto" w:fill="auto"/>
            <w:tcMar>
              <w:top w:w="110" w:type="dxa"/>
            </w:tcMar>
          </w:tcPr>
          <w:p w:rsidR="00FA423E" w:rsidRPr="00526311" w:rsidRDefault="00FA423E" w:rsidP="00DC1333">
            <w:pPr>
              <w:rPr>
                <w:b/>
                <w:color w:val="00B050"/>
                <w:sz w:val="16"/>
                <w:szCs w:val="16"/>
              </w:rPr>
            </w:pPr>
            <w:r>
              <w:rPr>
                <w:b/>
                <w:color w:val="00B050"/>
                <w:sz w:val="16"/>
                <w:szCs w:val="16"/>
              </w:rPr>
              <w:t>Plenamente logrado</w:t>
            </w:r>
          </w:p>
        </w:tc>
      </w:tr>
      <w:tr w:rsidR="00FA423E" w:rsidRPr="00526311" w:rsidTr="00DC1333">
        <w:trPr>
          <w:cantSplit/>
        </w:trPr>
        <w:tc>
          <w:tcPr>
            <w:tcW w:w="1100" w:type="pct"/>
            <w:shd w:val="clear" w:color="auto" w:fill="auto"/>
          </w:tcPr>
          <w:p w:rsidR="00FA423E" w:rsidRPr="00526311" w:rsidRDefault="00FA423E" w:rsidP="00DC1333">
            <w:pPr>
              <w:rPr>
                <w:sz w:val="16"/>
                <w:szCs w:val="16"/>
              </w:rPr>
            </w:pPr>
            <w:r w:rsidRPr="00526311">
              <w:rPr>
                <w:sz w:val="16"/>
                <w:szCs w:val="16"/>
              </w:rPr>
              <w:lastRenderedPageBreak/>
              <w:t>Número de ratificaciones y adhesiones al Tratado de Singapur.</w:t>
            </w:r>
          </w:p>
        </w:tc>
        <w:tc>
          <w:tcPr>
            <w:tcW w:w="1393" w:type="pct"/>
            <w:gridSpan w:val="2"/>
            <w:shd w:val="clear" w:color="auto" w:fill="auto"/>
          </w:tcPr>
          <w:p w:rsidR="00FA423E" w:rsidRPr="00526311" w:rsidRDefault="00FA423E" w:rsidP="00DC1333">
            <w:pPr>
              <w:rPr>
                <w:color w:val="002060"/>
                <w:sz w:val="16"/>
                <w:szCs w:val="16"/>
                <w:lang w:bidi="th-TH"/>
              </w:rPr>
            </w:pPr>
            <w:r w:rsidRPr="00526311">
              <w:rPr>
                <w:i/>
                <w:color w:val="002060"/>
                <w:sz w:val="16"/>
                <w:szCs w:val="16"/>
                <w:lang w:bidi="th-TH"/>
              </w:rPr>
              <w:t>Referencia actualizada a fines de 2013:</w:t>
            </w:r>
            <w:r w:rsidRPr="00526311">
              <w:rPr>
                <w:color w:val="002060"/>
                <w:sz w:val="16"/>
                <w:szCs w:val="16"/>
                <w:lang w:bidi="th-TH"/>
              </w:rPr>
              <w:t xml:space="preserve">  31 Partes Contratantes (finales de 2013)</w:t>
            </w:r>
          </w:p>
          <w:p w:rsidR="00FA423E" w:rsidRPr="00526311" w:rsidRDefault="00FA423E" w:rsidP="00DC1333">
            <w:pPr>
              <w:rPr>
                <w:i/>
                <w:sz w:val="8"/>
                <w:szCs w:val="8"/>
              </w:rPr>
            </w:pPr>
          </w:p>
          <w:p w:rsidR="00FA423E" w:rsidRPr="00526311" w:rsidRDefault="00FA423E" w:rsidP="00DC1333">
            <w:pPr>
              <w:rPr>
                <w:sz w:val="16"/>
                <w:szCs w:val="16"/>
              </w:rPr>
            </w:pPr>
            <w:r w:rsidRPr="00526311">
              <w:rPr>
                <w:i/>
                <w:sz w:val="16"/>
                <w:szCs w:val="16"/>
              </w:rPr>
              <w:t>Referencia original en el presupuesto de 2014/15:</w:t>
            </w:r>
          </w:p>
          <w:p w:rsidR="00FA423E" w:rsidRPr="00526311" w:rsidRDefault="00FA423E" w:rsidP="00DC1333">
            <w:pPr>
              <w:rPr>
                <w:sz w:val="16"/>
                <w:szCs w:val="16"/>
              </w:rPr>
            </w:pPr>
            <w:r w:rsidRPr="00526311">
              <w:rPr>
                <w:sz w:val="16"/>
                <w:szCs w:val="16"/>
              </w:rPr>
              <w:t>29 Partes Contratantes (finales de 2012).</w:t>
            </w:r>
          </w:p>
        </w:tc>
        <w:tc>
          <w:tcPr>
            <w:tcW w:w="670" w:type="pct"/>
            <w:gridSpan w:val="2"/>
            <w:shd w:val="clear" w:color="auto" w:fill="auto"/>
            <w:tcMar>
              <w:top w:w="110" w:type="dxa"/>
            </w:tcMar>
          </w:tcPr>
          <w:p w:rsidR="00FA423E" w:rsidRPr="00526311" w:rsidRDefault="00FA423E" w:rsidP="00DC1333">
            <w:pPr>
              <w:autoSpaceDE w:val="0"/>
              <w:autoSpaceDN w:val="0"/>
              <w:adjustRightInd w:val="0"/>
              <w:rPr>
                <w:sz w:val="16"/>
                <w:szCs w:val="16"/>
              </w:rPr>
            </w:pPr>
            <w:r w:rsidRPr="00526311">
              <w:rPr>
                <w:sz w:val="16"/>
                <w:szCs w:val="16"/>
              </w:rPr>
              <w:t>Ocho nuevas ratificaciones/ adhesiones.</w:t>
            </w:r>
          </w:p>
        </w:tc>
        <w:tc>
          <w:tcPr>
            <w:tcW w:w="1096" w:type="pct"/>
            <w:gridSpan w:val="3"/>
            <w:shd w:val="clear" w:color="auto" w:fill="auto"/>
            <w:tcMar>
              <w:top w:w="110" w:type="dxa"/>
            </w:tcMar>
          </w:tcPr>
          <w:p w:rsidR="00FA423E" w:rsidRPr="00526311" w:rsidRDefault="00FA423E" w:rsidP="00DC1333">
            <w:pPr>
              <w:rPr>
                <w:sz w:val="16"/>
                <w:szCs w:val="16"/>
              </w:rPr>
            </w:pPr>
            <w:r w:rsidRPr="00526311">
              <w:rPr>
                <w:sz w:val="16"/>
                <w:szCs w:val="16"/>
              </w:rPr>
              <w:t xml:space="preserve">Siete nuevas Partes Contratantes </w:t>
            </w:r>
            <w:r>
              <w:rPr>
                <w:sz w:val="16"/>
                <w:szCs w:val="16"/>
              </w:rPr>
              <w:t>durante el bienio</w:t>
            </w:r>
            <w:r w:rsidRPr="00526311">
              <w:rPr>
                <w:sz w:val="16"/>
                <w:szCs w:val="16"/>
              </w:rPr>
              <w:t xml:space="preserve">:  </w:t>
            </w:r>
            <w:proofErr w:type="spellStart"/>
            <w:r w:rsidRPr="00526311">
              <w:rPr>
                <w:sz w:val="16"/>
                <w:szCs w:val="16"/>
              </w:rPr>
              <w:t>Belarús</w:t>
            </w:r>
            <w:proofErr w:type="spellEnd"/>
            <w:r w:rsidRPr="00526311">
              <w:rPr>
                <w:sz w:val="16"/>
                <w:szCs w:val="16"/>
              </w:rPr>
              <w:t>, Bélgica, Iraq, Luxemburgo, Organización de Propiedad Intelectual del Benelux (BOIP), Países Bajos y Tayikistán, elevando a 38 el número total de Par</w:t>
            </w:r>
            <w:r>
              <w:rPr>
                <w:sz w:val="16"/>
                <w:szCs w:val="16"/>
              </w:rPr>
              <w:t>tes Contratantes a fines de 2015</w:t>
            </w:r>
            <w:r w:rsidRPr="00526311">
              <w:rPr>
                <w:sz w:val="16"/>
                <w:szCs w:val="16"/>
              </w:rPr>
              <w:t>.</w:t>
            </w:r>
            <w:r w:rsidRPr="00526311">
              <w:rPr>
                <w:sz w:val="16"/>
                <w:szCs w:val="16"/>
              </w:rPr>
              <w:br/>
            </w:r>
          </w:p>
        </w:tc>
        <w:tc>
          <w:tcPr>
            <w:tcW w:w="741" w:type="pct"/>
            <w:gridSpan w:val="2"/>
            <w:shd w:val="clear" w:color="auto" w:fill="auto"/>
            <w:tcMar>
              <w:top w:w="110" w:type="dxa"/>
            </w:tcMar>
          </w:tcPr>
          <w:p w:rsidR="00FA423E" w:rsidRPr="00526311" w:rsidRDefault="00FA423E" w:rsidP="00DC1333">
            <w:pPr>
              <w:rPr>
                <w:b/>
                <w:color w:val="00B050"/>
                <w:sz w:val="16"/>
                <w:szCs w:val="16"/>
              </w:rPr>
            </w:pPr>
            <w:r>
              <w:rPr>
                <w:b/>
                <w:color w:val="00B050"/>
                <w:sz w:val="16"/>
                <w:szCs w:val="16"/>
              </w:rPr>
              <w:t>Plenamente logrado</w:t>
            </w:r>
          </w:p>
        </w:tc>
      </w:tr>
      <w:tr w:rsidR="00FA423E" w:rsidRPr="00526311" w:rsidTr="00DC1333">
        <w:trPr>
          <w:cantSplit/>
          <w:trHeight w:val="423"/>
        </w:trPr>
        <w:tc>
          <w:tcPr>
            <w:tcW w:w="5000" w:type="pct"/>
            <w:gridSpan w:val="10"/>
            <w:tcBorders>
              <w:top w:val="single" w:sz="4" w:space="0" w:color="auto"/>
              <w:bottom w:val="single" w:sz="4" w:space="0" w:color="auto"/>
            </w:tcBorders>
            <w:shd w:val="clear" w:color="auto" w:fill="C6D9F1" w:themeFill="text2" w:themeFillTint="33"/>
            <w:vAlign w:val="center"/>
          </w:tcPr>
          <w:p w:rsidR="00FA423E" w:rsidRPr="00526311" w:rsidRDefault="00FA423E" w:rsidP="00DC1333">
            <w:pPr>
              <w:keepNext/>
              <w:keepLines/>
              <w:tabs>
                <w:tab w:val="left" w:pos="1452"/>
                <w:tab w:val="left" w:pos="1962"/>
              </w:tabs>
              <w:ind w:left="1452" w:hanging="1452"/>
              <w:rPr>
                <w:b/>
                <w:bCs/>
                <w:sz w:val="16"/>
                <w:szCs w:val="16"/>
              </w:rPr>
            </w:pPr>
            <w:r w:rsidRPr="00526311">
              <w:rPr>
                <w:b/>
                <w:bCs/>
                <w:sz w:val="16"/>
                <w:szCs w:val="16"/>
              </w:rPr>
              <w:t>Resultado previsto:</w:t>
            </w:r>
            <w:r w:rsidRPr="00526311">
              <w:rPr>
                <w:bCs/>
                <w:sz w:val="16"/>
                <w:szCs w:val="16"/>
              </w:rPr>
              <w:tab/>
              <w:t>I.2 Marcos de P.I. adaptados y equilibrados en el ámbito legislativo, reglamentario y de política</w:t>
            </w:r>
          </w:p>
        </w:tc>
      </w:tr>
      <w:tr w:rsidR="00FA423E" w:rsidRPr="00526311" w:rsidTr="00DC1333">
        <w:trPr>
          <w:cantSplit/>
        </w:trPr>
        <w:tc>
          <w:tcPr>
            <w:tcW w:w="1100" w:type="pct"/>
            <w:tcBorders>
              <w:top w:val="single" w:sz="4" w:space="0" w:color="auto"/>
            </w:tcBorders>
            <w:shd w:val="clear" w:color="auto" w:fill="auto"/>
            <w:vAlign w:val="center"/>
          </w:tcPr>
          <w:p w:rsidR="00FA423E" w:rsidRPr="00526311" w:rsidRDefault="00FA423E" w:rsidP="00DC1333">
            <w:pPr>
              <w:keepNext/>
              <w:rPr>
                <w:b/>
                <w:sz w:val="16"/>
                <w:szCs w:val="16"/>
              </w:rPr>
            </w:pPr>
            <w:r w:rsidRPr="00526311">
              <w:rPr>
                <w:b/>
                <w:sz w:val="16"/>
                <w:szCs w:val="16"/>
              </w:rPr>
              <w:t>Indicadores de rendimiento</w:t>
            </w:r>
          </w:p>
        </w:tc>
        <w:tc>
          <w:tcPr>
            <w:tcW w:w="1393" w:type="pct"/>
            <w:gridSpan w:val="2"/>
            <w:tcBorders>
              <w:top w:val="single" w:sz="4" w:space="0" w:color="auto"/>
            </w:tcBorders>
            <w:shd w:val="clear" w:color="auto" w:fill="auto"/>
            <w:vAlign w:val="center"/>
          </w:tcPr>
          <w:p w:rsidR="00FA423E" w:rsidRPr="00526311" w:rsidRDefault="00FA423E" w:rsidP="00DC1333">
            <w:pPr>
              <w:keepNext/>
              <w:rPr>
                <w:b/>
                <w:bCs/>
                <w:sz w:val="16"/>
                <w:szCs w:val="16"/>
              </w:rPr>
            </w:pPr>
            <w:r w:rsidRPr="00526311">
              <w:rPr>
                <w:b/>
                <w:bCs/>
                <w:sz w:val="16"/>
                <w:szCs w:val="16"/>
              </w:rPr>
              <w:t>Referencia</w:t>
            </w:r>
          </w:p>
        </w:tc>
        <w:tc>
          <w:tcPr>
            <w:tcW w:w="713" w:type="pct"/>
            <w:gridSpan w:val="3"/>
            <w:tcBorders>
              <w:top w:val="single" w:sz="4" w:space="0" w:color="auto"/>
            </w:tcBorders>
            <w:shd w:val="clear" w:color="auto" w:fill="auto"/>
            <w:tcMar>
              <w:top w:w="110" w:type="dxa"/>
            </w:tcMar>
            <w:vAlign w:val="center"/>
          </w:tcPr>
          <w:p w:rsidR="00FA423E" w:rsidRPr="00526311" w:rsidRDefault="00FA423E" w:rsidP="00DC1333">
            <w:pPr>
              <w:keepNext/>
              <w:rPr>
                <w:b/>
                <w:sz w:val="16"/>
                <w:szCs w:val="16"/>
              </w:rPr>
            </w:pPr>
            <w:r w:rsidRPr="00526311">
              <w:rPr>
                <w:b/>
                <w:sz w:val="16"/>
                <w:szCs w:val="16"/>
              </w:rPr>
              <w:t>Objetivos</w:t>
            </w:r>
          </w:p>
        </w:tc>
        <w:tc>
          <w:tcPr>
            <w:tcW w:w="1120" w:type="pct"/>
            <w:gridSpan w:val="3"/>
            <w:tcBorders>
              <w:top w:val="single" w:sz="4" w:space="0" w:color="auto"/>
            </w:tcBorders>
            <w:shd w:val="clear" w:color="auto" w:fill="auto"/>
            <w:tcMar>
              <w:top w:w="110" w:type="dxa"/>
            </w:tcMar>
            <w:vAlign w:val="center"/>
          </w:tcPr>
          <w:p w:rsidR="00FA423E" w:rsidRPr="00526311" w:rsidRDefault="00FA423E" w:rsidP="00DC1333">
            <w:pPr>
              <w:keepNext/>
              <w:rPr>
                <w:b/>
                <w:sz w:val="16"/>
                <w:szCs w:val="16"/>
              </w:rPr>
            </w:pPr>
            <w:r w:rsidRPr="00526311">
              <w:rPr>
                <w:b/>
                <w:sz w:val="16"/>
                <w:szCs w:val="16"/>
              </w:rPr>
              <w:t>Datos sobre el rendimiento</w:t>
            </w:r>
          </w:p>
        </w:tc>
        <w:tc>
          <w:tcPr>
            <w:tcW w:w="674" w:type="pct"/>
            <w:tcBorders>
              <w:top w:val="single" w:sz="4" w:space="0" w:color="auto"/>
            </w:tcBorders>
            <w:shd w:val="clear" w:color="auto" w:fill="auto"/>
            <w:tcMar>
              <w:top w:w="110" w:type="dxa"/>
            </w:tcMar>
            <w:vAlign w:val="center"/>
          </w:tcPr>
          <w:p w:rsidR="00FA423E" w:rsidRPr="00526311" w:rsidRDefault="00FA423E" w:rsidP="00DC1333">
            <w:pPr>
              <w:keepNext/>
              <w:jc w:val="center"/>
              <w:rPr>
                <w:b/>
                <w:bCs/>
                <w:sz w:val="16"/>
                <w:szCs w:val="16"/>
              </w:rPr>
            </w:pPr>
            <w:r w:rsidRPr="00526311">
              <w:rPr>
                <w:b/>
                <w:bCs/>
                <w:sz w:val="16"/>
                <w:szCs w:val="16"/>
              </w:rPr>
              <w:t>Clave de colores</w:t>
            </w:r>
          </w:p>
        </w:tc>
      </w:tr>
      <w:tr w:rsidR="00FA423E" w:rsidRPr="00526311" w:rsidTr="00DC1333">
        <w:trPr>
          <w:cantSplit/>
        </w:trPr>
        <w:tc>
          <w:tcPr>
            <w:tcW w:w="1100" w:type="pct"/>
            <w:shd w:val="clear" w:color="auto" w:fill="auto"/>
          </w:tcPr>
          <w:p w:rsidR="00FA423E" w:rsidRPr="00526311" w:rsidRDefault="00FA423E" w:rsidP="00DC1333">
            <w:pPr>
              <w:keepNext/>
              <w:autoSpaceDE w:val="0"/>
              <w:autoSpaceDN w:val="0"/>
              <w:adjustRightInd w:val="0"/>
              <w:rPr>
                <w:sz w:val="16"/>
                <w:szCs w:val="16"/>
                <w:lang w:bidi="th-TH"/>
              </w:rPr>
            </w:pPr>
            <w:r w:rsidRPr="00526311">
              <w:rPr>
                <w:rFonts w:eastAsiaTheme="minorHAnsi"/>
                <w:sz w:val="16"/>
                <w:szCs w:val="16"/>
              </w:rPr>
              <w:t>Número y porcentaje de Estados miembros/organizaciones regionales que han presentado comentarios positivos sobre el asesoramiento legislativo proporcionado en la esfera de las marcas, los diseños industriales y las indicaciones geográficas.</w:t>
            </w:r>
          </w:p>
        </w:tc>
        <w:tc>
          <w:tcPr>
            <w:tcW w:w="1393" w:type="pct"/>
            <w:gridSpan w:val="2"/>
            <w:shd w:val="clear" w:color="auto" w:fill="auto"/>
          </w:tcPr>
          <w:p w:rsidR="00FA423E" w:rsidRPr="00526311" w:rsidRDefault="00FA423E" w:rsidP="00DC1333">
            <w:pPr>
              <w:keepNext/>
              <w:rPr>
                <w:i/>
                <w:color w:val="002060"/>
                <w:sz w:val="16"/>
                <w:szCs w:val="16"/>
                <w:lang w:bidi="th-TH"/>
              </w:rPr>
            </w:pPr>
            <w:r w:rsidRPr="00526311">
              <w:rPr>
                <w:i/>
                <w:color w:val="002060"/>
                <w:sz w:val="16"/>
                <w:szCs w:val="16"/>
                <w:lang w:bidi="th-TH"/>
              </w:rPr>
              <w:t>Referencia actualizada a fines de 2013:</w:t>
            </w:r>
          </w:p>
          <w:p w:rsidR="00FA423E" w:rsidRPr="00526311" w:rsidRDefault="00FA423E" w:rsidP="00DC1333">
            <w:pPr>
              <w:keepNext/>
              <w:rPr>
                <w:i/>
                <w:color w:val="002060"/>
                <w:sz w:val="16"/>
                <w:szCs w:val="16"/>
                <w:lang w:bidi="th-TH"/>
              </w:rPr>
            </w:pPr>
          </w:p>
          <w:p w:rsidR="00FA423E" w:rsidRPr="00526311" w:rsidRDefault="00FA423E" w:rsidP="00DC1333">
            <w:pPr>
              <w:keepNext/>
              <w:rPr>
                <w:color w:val="002060"/>
                <w:sz w:val="16"/>
                <w:szCs w:val="16"/>
                <w:lang w:bidi="th-TH"/>
              </w:rPr>
            </w:pPr>
            <w:r w:rsidRPr="00526311">
              <w:rPr>
                <w:color w:val="002060"/>
                <w:sz w:val="16"/>
                <w:szCs w:val="16"/>
                <w:lang w:bidi="th-TH"/>
              </w:rPr>
              <w:t>2013:  Se proporcionó asesoramiento a 13 Estados miembros sobre 18 proyectos de legislación específicos.</w:t>
            </w:r>
          </w:p>
          <w:p w:rsidR="00FA423E" w:rsidRPr="00526311" w:rsidRDefault="00FA423E" w:rsidP="00DC1333">
            <w:pPr>
              <w:keepNext/>
              <w:rPr>
                <w:color w:val="002060"/>
                <w:sz w:val="16"/>
                <w:szCs w:val="16"/>
                <w:lang w:bidi="th-TH"/>
              </w:rPr>
            </w:pPr>
          </w:p>
          <w:p w:rsidR="00FA423E" w:rsidRPr="00526311" w:rsidRDefault="00FA423E" w:rsidP="00DC1333">
            <w:pPr>
              <w:keepNext/>
              <w:rPr>
                <w:color w:val="002060"/>
                <w:sz w:val="16"/>
                <w:szCs w:val="16"/>
                <w:lang w:bidi="th-TH"/>
              </w:rPr>
            </w:pPr>
            <w:r>
              <w:rPr>
                <w:color w:val="002060"/>
                <w:sz w:val="16"/>
                <w:szCs w:val="16"/>
                <w:lang w:bidi="th-TH"/>
              </w:rPr>
              <w:t>9</w:t>
            </w:r>
            <w:r w:rsidRPr="00526311">
              <w:rPr>
                <w:color w:val="002060"/>
                <w:sz w:val="16"/>
                <w:szCs w:val="16"/>
                <w:lang w:bidi="th-TH"/>
              </w:rPr>
              <w:t xml:space="preserve"> de 13 países formularo</w:t>
            </w:r>
            <w:r>
              <w:rPr>
                <w:color w:val="002060"/>
                <w:sz w:val="16"/>
                <w:szCs w:val="16"/>
                <w:lang w:bidi="th-TH"/>
              </w:rPr>
              <w:t>n comentarios positivos.  4</w:t>
            </w:r>
            <w:r w:rsidRPr="00526311">
              <w:rPr>
                <w:color w:val="002060"/>
                <w:sz w:val="16"/>
                <w:szCs w:val="16"/>
                <w:lang w:bidi="th-TH"/>
              </w:rPr>
              <w:t xml:space="preserve"> países no respondieron.</w:t>
            </w:r>
          </w:p>
          <w:p w:rsidR="00FA423E" w:rsidRPr="00526311" w:rsidRDefault="00FA423E" w:rsidP="00DC1333">
            <w:pPr>
              <w:keepNext/>
              <w:rPr>
                <w:i/>
                <w:sz w:val="8"/>
                <w:szCs w:val="8"/>
              </w:rPr>
            </w:pPr>
          </w:p>
          <w:p w:rsidR="00FA423E" w:rsidRPr="00526311" w:rsidRDefault="00FA423E" w:rsidP="00DC1333">
            <w:pPr>
              <w:keepNext/>
              <w:rPr>
                <w:sz w:val="16"/>
                <w:szCs w:val="16"/>
              </w:rPr>
            </w:pPr>
            <w:r w:rsidRPr="00526311">
              <w:rPr>
                <w:i/>
                <w:sz w:val="16"/>
                <w:szCs w:val="16"/>
              </w:rPr>
              <w:t xml:space="preserve">Referencia original en el presupuesto de 2014/15:  </w:t>
            </w:r>
            <w:r w:rsidRPr="00526311">
              <w:rPr>
                <w:sz w:val="16"/>
                <w:szCs w:val="16"/>
              </w:rPr>
              <w:t>11 Estados miembros/organizaciones regionales han recibido asesoramient</w:t>
            </w:r>
            <w:r>
              <w:rPr>
                <w:sz w:val="16"/>
                <w:szCs w:val="16"/>
              </w:rPr>
              <w:t>o legislativo y 3</w:t>
            </w:r>
            <w:r w:rsidRPr="00526311">
              <w:rPr>
                <w:sz w:val="16"/>
                <w:szCs w:val="16"/>
              </w:rPr>
              <w:t xml:space="preserve"> de ellos han formulado comentarios positivos sobre el asesoramiento legislativo recibido en 2012.</w:t>
            </w:r>
          </w:p>
          <w:p w:rsidR="00FA423E" w:rsidRPr="00526311" w:rsidRDefault="00FA423E" w:rsidP="00DC1333">
            <w:pPr>
              <w:keepNext/>
              <w:rPr>
                <w:sz w:val="16"/>
                <w:szCs w:val="16"/>
              </w:rPr>
            </w:pPr>
          </w:p>
        </w:tc>
        <w:tc>
          <w:tcPr>
            <w:tcW w:w="713" w:type="pct"/>
            <w:gridSpan w:val="3"/>
            <w:shd w:val="clear" w:color="auto" w:fill="auto"/>
            <w:tcMar>
              <w:top w:w="110" w:type="dxa"/>
            </w:tcMar>
          </w:tcPr>
          <w:p w:rsidR="00FA423E" w:rsidRPr="00526311" w:rsidRDefault="00FA423E" w:rsidP="00DC1333">
            <w:pPr>
              <w:keepNext/>
              <w:autoSpaceDE w:val="0"/>
              <w:autoSpaceDN w:val="0"/>
              <w:adjustRightInd w:val="0"/>
              <w:rPr>
                <w:sz w:val="16"/>
                <w:szCs w:val="16"/>
              </w:rPr>
            </w:pPr>
            <w:r w:rsidRPr="00526311">
              <w:rPr>
                <w:sz w:val="16"/>
                <w:szCs w:val="16"/>
              </w:rPr>
              <w:t>Se proporciona asesoramiento le</w:t>
            </w:r>
            <w:r>
              <w:rPr>
                <w:sz w:val="16"/>
                <w:szCs w:val="16"/>
              </w:rPr>
              <w:t>gislativo a 10 Estados miembros/</w:t>
            </w:r>
            <w:r w:rsidRPr="00526311">
              <w:rPr>
                <w:sz w:val="16"/>
                <w:szCs w:val="16"/>
              </w:rPr>
              <w:t>organizaciones regionales.  El 90% de los encuestados expresa satisfacción con el asesoramiento brindado.</w:t>
            </w:r>
          </w:p>
        </w:tc>
        <w:tc>
          <w:tcPr>
            <w:tcW w:w="1120" w:type="pct"/>
            <w:gridSpan w:val="3"/>
            <w:shd w:val="clear" w:color="auto" w:fill="auto"/>
            <w:tcMar>
              <w:top w:w="110" w:type="dxa"/>
            </w:tcMar>
          </w:tcPr>
          <w:p w:rsidR="00FA423E" w:rsidRPr="00526311" w:rsidRDefault="00FA423E" w:rsidP="00DC1333">
            <w:pPr>
              <w:keepNext/>
              <w:rPr>
                <w:sz w:val="16"/>
                <w:szCs w:val="16"/>
                <w:lang w:bidi="th-TH"/>
              </w:rPr>
            </w:pPr>
            <w:r w:rsidRPr="00526311">
              <w:rPr>
                <w:sz w:val="16"/>
                <w:szCs w:val="16"/>
                <w:lang w:bidi="th-TH"/>
              </w:rPr>
              <w:t>S</w:t>
            </w:r>
            <w:r>
              <w:rPr>
                <w:sz w:val="16"/>
                <w:szCs w:val="16"/>
                <w:lang w:bidi="th-TH"/>
              </w:rPr>
              <w:t>e proporcionó asesoramiento a 31 Estados miembros/</w:t>
            </w:r>
            <w:r w:rsidRPr="00526311">
              <w:rPr>
                <w:sz w:val="16"/>
                <w:szCs w:val="16"/>
                <w:lang w:bidi="th-TH"/>
              </w:rPr>
              <w:t>org</w:t>
            </w:r>
            <w:r>
              <w:rPr>
                <w:sz w:val="16"/>
                <w:szCs w:val="16"/>
                <w:lang w:bidi="th-TH"/>
              </w:rPr>
              <w:t>anizaciones regionales (África 8</w:t>
            </w:r>
            <w:r w:rsidRPr="00526311">
              <w:rPr>
                <w:sz w:val="16"/>
                <w:szCs w:val="16"/>
                <w:lang w:bidi="th-TH"/>
              </w:rPr>
              <w:t xml:space="preserve">;  Países </w:t>
            </w:r>
            <w:r>
              <w:rPr>
                <w:sz w:val="16"/>
                <w:szCs w:val="16"/>
                <w:lang w:bidi="th-TH"/>
              </w:rPr>
              <w:t>árabes 1;  Asia y el Pacífico 14</w:t>
            </w:r>
            <w:r w:rsidRPr="00526311">
              <w:rPr>
                <w:sz w:val="16"/>
                <w:szCs w:val="16"/>
                <w:lang w:bidi="th-TH"/>
              </w:rPr>
              <w:t>;  América Latina y el Caribe </w:t>
            </w:r>
            <w:r>
              <w:rPr>
                <w:sz w:val="16"/>
                <w:szCs w:val="16"/>
                <w:lang w:bidi="th-TH"/>
              </w:rPr>
              <w:t xml:space="preserve">6;  </w:t>
            </w:r>
            <w:r w:rsidRPr="00526311">
              <w:rPr>
                <w:sz w:val="16"/>
                <w:szCs w:val="16"/>
                <w:lang w:bidi="th-TH"/>
              </w:rPr>
              <w:t>Determinados países de Europa y Asia</w:t>
            </w:r>
            <w:r>
              <w:rPr>
                <w:sz w:val="16"/>
                <w:szCs w:val="16"/>
                <w:lang w:bidi="th-TH"/>
              </w:rPr>
              <w:t xml:space="preserve"> 1</w:t>
            </w:r>
            <w:r w:rsidRPr="00526311">
              <w:rPr>
                <w:sz w:val="16"/>
                <w:szCs w:val="16"/>
                <w:lang w:bidi="th-TH"/>
              </w:rPr>
              <w:t>).</w:t>
            </w:r>
          </w:p>
          <w:p w:rsidR="00FA423E" w:rsidRPr="00526311" w:rsidRDefault="00FA423E" w:rsidP="00DC1333">
            <w:pPr>
              <w:keepNext/>
              <w:rPr>
                <w:sz w:val="16"/>
                <w:szCs w:val="16"/>
                <w:lang w:bidi="th-TH"/>
              </w:rPr>
            </w:pPr>
          </w:p>
          <w:p w:rsidR="00FA423E" w:rsidRPr="00526311" w:rsidRDefault="00FA423E" w:rsidP="00DC1333">
            <w:pPr>
              <w:keepNext/>
              <w:rPr>
                <w:sz w:val="16"/>
                <w:szCs w:val="16"/>
                <w:lang w:bidi="th-TH"/>
              </w:rPr>
            </w:pPr>
            <w:r w:rsidRPr="00526311">
              <w:rPr>
                <w:sz w:val="16"/>
                <w:szCs w:val="16"/>
                <w:lang w:bidi="th-TH"/>
              </w:rPr>
              <w:t xml:space="preserve">Se recibieron comentarios de </w:t>
            </w:r>
            <w:r>
              <w:rPr>
                <w:sz w:val="16"/>
                <w:szCs w:val="16"/>
                <w:lang w:bidi="th-TH"/>
              </w:rPr>
              <w:t>10</w:t>
            </w:r>
            <w:r w:rsidRPr="00526311">
              <w:rPr>
                <w:sz w:val="16"/>
                <w:szCs w:val="16"/>
                <w:lang w:bidi="th-TH"/>
              </w:rPr>
              <w:t xml:space="preserve"> encuestados, y todos ellos (100%) manifestaron estar satisfechos con el asesoramiento brindado.</w:t>
            </w:r>
          </w:p>
        </w:tc>
        <w:tc>
          <w:tcPr>
            <w:tcW w:w="674" w:type="pct"/>
            <w:shd w:val="clear" w:color="auto" w:fill="auto"/>
            <w:tcMar>
              <w:top w:w="110" w:type="dxa"/>
            </w:tcMar>
          </w:tcPr>
          <w:p w:rsidR="00FA423E" w:rsidRDefault="00FA423E" w:rsidP="00DC1333">
            <w:pPr>
              <w:keepNext/>
              <w:rPr>
                <w:b/>
                <w:sz w:val="16"/>
                <w:szCs w:val="16"/>
              </w:rPr>
            </w:pPr>
            <w:r>
              <w:rPr>
                <w:b/>
                <w:color w:val="00B050"/>
                <w:sz w:val="16"/>
                <w:szCs w:val="16"/>
              </w:rPr>
              <w:t>Plenamente logrado</w:t>
            </w:r>
          </w:p>
          <w:p w:rsidR="00FA423E" w:rsidRPr="0093726D" w:rsidRDefault="00FA423E" w:rsidP="00DC1333">
            <w:pPr>
              <w:keepNext/>
              <w:rPr>
                <w:sz w:val="16"/>
                <w:szCs w:val="16"/>
              </w:rPr>
            </w:pPr>
          </w:p>
          <w:p w:rsidR="00FA423E" w:rsidRPr="0093726D" w:rsidRDefault="00FA423E" w:rsidP="00DC1333">
            <w:pPr>
              <w:keepNext/>
              <w:rPr>
                <w:sz w:val="16"/>
                <w:szCs w:val="16"/>
              </w:rPr>
            </w:pPr>
          </w:p>
          <w:p w:rsidR="00FA423E" w:rsidRPr="0093726D" w:rsidRDefault="00FA423E" w:rsidP="00DC1333">
            <w:pPr>
              <w:keepNext/>
              <w:rPr>
                <w:sz w:val="16"/>
                <w:szCs w:val="16"/>
              </w:rPr>
            </w:pPr>
          </w:p>
          <w:p w:rsidR="00FA423E" w:rsidRPr="0093726D" w:rsidRDefault="00FA423E" w:rsidP="00DC1333">
            <w:pPr>
              <w:keepNext/>
              <w:rPr>
                <w:sz w:val="16"/>
                <w:szCs w:val="16"/>
              </w:rPr>
            </w:pPr>
          </w:p>
          <w:p w:rsidR="00FA423E" w:rsidRPr="0093726D" w:rsidRDefault="00FA423E" w:rsidP="00DC1333">
            <w:pPr>
              <w:keepNext/>
              <w:rPr>
                <w:sz w:val="16"/>
                <w:szCs w:val="16"/>
              </w:rPr>
            </w:pPr>
          </w:p>
          <w:p w:rsidR="00FA423E" w:rsidRPr="0093726D" w:rsidRDefault="00FA423E" w:rsidP="00DC1333">
            <w:pPr>
              <w:keepNext/>
              <w:rPr>
                <w:sz w:val="16"/>
                <w:szCs w:val="16"/>
              </w:rPr>
            </w:pPr>
          </w:p>
          <w:p w:rsidR="00FA423E" w:rsidRPr="0093726D" w:rsidRDefault="00FA423E" w:rsidP="00DC1333">
            <w:pPr>
              <w:keepNext/>
              <w:rPr>
                <w:sz w:val="16"/>
                <w:szCs w:val="16"/>
              </w:rPr>
            </w:pPr>
          </w:p>
          <w:p w:rsidR="00FA423E" w:rsidRPr="0093726D" w:rsidRDefault="00FA423E" w:rsidP="00DC1333">
            <w:pPr>
              <w:keepNext/>
              <w:rPr>
                <w:sz w:val="16"/>
                <w:szCs w:val="16"/>
              </w:rPr>
            </w:pPr>
          </w:p>
          <w:p w:rsidR="00FA423E" w:rsidRDefault="00FA423E" w:rsidP="00DC1333">
            <w:pPr>
              <w:keepNext/>
              <w:rPr>
                <w:sz w:val="16"/>
                <w:szCs w:val="16"/>
              </w:rPr>
            </w:pPr>
          </w:p>
          <w:p w:rsidR="00FA423E" w:rsidRDefault="00FA423E" w:rsidP="00DC1333">
            <w:pPr>
              <w:keepNext/>
              <w:rPr>
                <w:b/>
                <w:sz w:val="16"/>
                <w:szCs w:val="16"/>
              </w:rPr>
            </w:pPr>
            <w:r>
              <w:rPr>
                <w:b/>
                <w:color w:val="00B050"/>
                <w:sz w:val="16"/>
                <w:szCs w:val="16"/>
              </w:rPr>
              <w:t>Plenamente logrado</w:t>
            </w:r>
          </w:p>
          <w:p w:rsidR="00FA423E" w:rsidRPr="0093726D" w:rsidRDefault="00FA423E" w:rsidP="00DC1333">
            <w:pPr>
              <w:keepNext/>
              <w:rPr>
                <w:sz w:val="16"/>
                <w:szCs w:val="16"/>
              </w:rPr>
            </w:pPr>
          </w:p>
        </w:tc>
      </w:tr>
      <w:tr w:rsidR="00FA423E" w:rsidRPr="00526311" w:rsidTr="00DC1333">
        <w:trPr>
          <w:cantSplit/>
          <w:trHeight w:val="485"/>
        </w:trPr>
        <w:tc>
          <w:tcPr>
            <w:tcW w:w="5000" w:type="pct"/>
            <w:gridSpan w:val="10"/>
            <w:tcBorders>
              <w:top w:val="single" w:sz="4" w:space="0" w:color="auto"/>
              <w:bottom w:val="single" w:sz="4" w:space="0" w:color="auto"/>
            </w:tcBorders>
            <w:shd w:val="clear" w:color="auto" w:fill="C6D9F1" w:themeFill="text2" w:themeFillTint="33"/>
            <w:vAlign w:val="center"/>
          </w:tcPr>
          <w:p w:rsidR="00FA423E" w:rsidRPr="00526311" w:rsidRDefault="00FA423E" w:rsidP="00DC1333">
            <w:pPr>
              <w:keepNext/>
              <w:keepLines/>
              <w:tabs>
                <w:tab w:val="left" w:pos="2007"/>
              </w:tabs>
              <w:ind w:left="2019" w:hanging="2019"/>
              <w:rPr>
                <w:b/>
                <w:bCs/>
                <w:sz w:val="16"/>
                <w:szCs w:val="16"/>
              </w:rPr>
            </w:pPr>
            <w:r w:rsidRPr="00526311">
              <w:rPr>
                <w:b/>
                <w:bCs/>
                <w:sz w:val="16"/>
                <w:szCs w:val="16"/>
              </w:rPr>
              <w:t>Resultado previsto:</w:t>
            </w:r>
            <w:r w:rsidRPr="00526311">
              <w:rPr>
                <w:bCs/>
                <w:sz w:val="16"/>
                <w:szCs w:val="16"/>
              </w:rPr>
              <w:tab/>
              <w:t>I.3 Aumento de la protección de los emblemas de Estado y de los nombres y emblemas de organizaciones intergubernamentales internacionales</w:t>
            </w:r>
          </w:p>
        </w:tc>
      </w:tr>
      <w:tr w:rsidR="00FA423E" w:rsidRPr="00526311" w:rsidTr="00DC1333">
        <w:trPr>
          <w:cantSplit/>
        </w:trPr>
        <w:tc>
          <w:tcPr>
            <w:tcW w:w="1100" w:type="pct"/>
            <w:tcBorders>
              <w:top w:val="single" w:sz="4" w:space="0" w:color="auto"/>
              <w:bottom w:val="nil"/>
            </w:tcBorders>
            <w:shd w:val="clear" w:color="auto" w:fill="auto"/>
            <w:vAlign w:val="center"/>
          </w:tcPr>
          <w:p w:rsidR="00FA423E" w:rsidRPr="00526311" w:rsidRDefault="00FA423E" w:rsidP="00DC1333">
            <w:pPr>
              <w:keepNext/>
              <w:keepLines/>
              <w:rPr>
                <w:b/>
                <w:sz w:val="16"/>
                <w:szCs w:val="16"/>
              </w:rPr>
            </w:pPr>
            <w:r w:rsidRPr="00526311">
              <w:rPr>
                <w:b/>
                <w:sz w:val="16"/>
                <w:szCs w:val="16"/>
              </w:rPr>
              <w:t>Indicadores de rendimiento</w:t>
            </w:r>
          </w:p>
        </w:tc>
        <w:tc>
          <w:tcPr>
            <w:tcW w:w="1378" w:type="pct"/>
            <w:tcBorders>
              <w:top w:val="single" w:sz="4" w:space="0" w:color="auto"/>
              <w:bottom w:val="nil"/>
            </w:tcBorders>
            <w:shd w:val="clear" w:color="auto" w:fill="auto"/>
            <w:vAlign w:val="center"/>
          </w:tcPr>
          <w:p w:rsidR="00FA423E" w:rsidRPr="00526311" w:rsidRDefault="00FA423E" w:rsidP="00DC1333">
            <w:pPr>
              <w:keepNext/>
              <w:keepLines/>
              <w:rPr>
                <w:b/>
                <w:bCs/>
                <w:sz w:val="16"/>
                <w:szCs w:val="16"/>
              </w:rPr>
            </w:pPr>
            <w:r w:rsidRPr="00526311">
              <w:rPr>
                <w:b/>
                <w:bCs/>
                <w:sz w:val="16"/>
                <w:szCs w:val="16"/>
              </w:rPr>
              <w:t>Referencia</w:t>
            </w:r>
          </w:p>
        </w:tc>
        <w:tc>
          <w:tcPr>
            <w:tcW w:w="676" w:type="pct"/>
            <w:gridSpan w:val="2"/>
            <w:tcBorders>
              <w:top w:val="single" w:sz="4" w:space="0" w:color="auto"/>
              <w:bottom w:val="nil"/>
            </w:tcBorders>
            <w:shd w:val="clear" w:color="auto" w:fill="auto"/>
            <w:tcMar>
              <w:top w:w="110" w:type="dxa"/>
            </w:tcMar>
            <w:vAlign w:val="center"/>
          </w:tcPr>
          <w:p w:rsidR="00FA423E" w:rsidRPr="00526311" w:rsidRDefault="00FA423E" w:rsidP="00DC1333">
            <w:pPr>
              <w:keepNext/>
              <w:keepLines/>
              <w:rPr>
                <w:b/>
                <w:sz w:val="16"/>
                <w:szCs w:val="16"/>
              </w:rPr>
            </w:pPr>
            <w:r w:rsidRPr="00526311">
              <w:rPr>
                <w:b/>
                <w:sz w:val="16"/>
                <w:szCs w:val="16"/>
              </w:rPr>
              <w:t>Objetivos</w:t>
            </w:r>
          </w:p>
        </w:tc>
        <w:tc>
          <w:tcPr>
            <w:tcW w:w="1076" w:type="pct"/>
            <w:gridSpan w:val="3"/>
            <w:tcBorders>
              <w:top w:val="single" w:sz="4" w:space="0" w:color="auto"/>
              <w:bottom w:val="nil"/>
            </w:tcBorders>
            <w:shd w:val="clear" w:color="auto" w:fill="auto"/>
            <w:tcMar>
              <w:top w:w="110" w:type="dxa"/>
            </w:tcMar>
            <w:vAlign w:val="center"/>
          </w:tcPr>
          <w:p w:rsidR="00FA423E" w:rsidRPr="00526311" w:rsidRDefault="00FA423E" w:rsidP="00DC1333">
            <w:pPr>
              <w:keepNext/>
              <w:keepLines/>
              <w:rPr>
                <w:b/>
                <w:sz w:val="16"/>
                <w:szCs w:val="16"/>
              </w:rPr>
            </w:pPr>
            <w:r w:rsidRPr="00526311">
              <w:rPr>
                <w:b/>
                <w:sz w:val="16"/>
                <w:szCs w:val="16"/>
              </w:rPr>
              <w:t>Datos sobre el rendimiento</w:t>
            </w:r>
          </w:p>
        </w:tc>
        <w:tc>
          <w:tcPr>
            <w:tcW w:w="769" w:type="pct"/>
            <w:gridSpan w:val="3"/>
            <w:tcBorders>
              <w:top w:val="single" w:sz="4" w:space="0" w:color="auto"/>
              <w:bottom w:val="nil"/>
            </w:tcBorders>
            <w:shd w:val="clear" w:color="auto" w:fill="auto"/>
            <w:tcMar>
              <w:top w:w="110" w:type="dxa"/>
            </w:tcMar>
            <w:vAlign w:val="center"/>
          </w:tcPr>
          <w:p w:rsidR="00FA423E" w:rsidRPr="00526311" w:rsidRDefault="00FA423E" w:rsidP="00DC1333">
            <w:pPr>
              <w:keepNext/>
              <w:keepLines/>
              <w:rPr>
                <w:b/>
                <w:sz w:val="16"/>
                <w:szCs w:val="16"/>
              </w:rPr>
            </w:pPr>
            <w:r w:rsidRPr="00526311">
              <w:rPr>
                <w:b/>
                <w:sz w:val="16"/>
                <w:szCs w:val="16"/>
              </w:rPr>
              <w:t>Clave de colores</w:t>
            </w:r>
          </w:p>
        </w:tc>
      </w:tr>
      <w:tr w:rsidR="00FA423E" w:rsidRPr="00526311" w:rsidTr="00DC1333">
        <w:trPr>
          <w:cantSplit/>
        </w:trPr>
        <w:tc>
          <w:tcPr>
            <w:tcW w:w="1100" w:type="pct"/>
            <w:tcBorders>
              <w:top w:val="nil"/>
              <w:bottom w:val="nil"/>
            </w:tcBorders>
            <w:shd w:val="clear" w:color="auto" w:fill="auto"/>
          </w:tcPr>
          <w:p w:rsidR="00FA423E" w:rsidRPr="00526311" w:rsidRDefault="00FA423E" w:rsidP="00DC1333">
            <w:pPr>
              <w:keepNext/>
              <w:keepLines/>
              <w:rPr>
                <w:sz w:val="16"/>
                <w:szCs w:val="16"/>
                <w:lang w:bidi="th-TH"/>
              </w:rPr>
            </w:pPr>
            <w:r w:rsidRPr="00526311">
              <w:rPr>
                <w:sz w:val="16"/>
                <w:szCs w:val="16"/>
                <w:lang w:bidi="th-TH"/>
              </w:rPr>
              <w:t>Número de peticiones de comunicación en virtud del artículo 6</w:t>
            </w:r>
            <w:r w:rsidRPr="00526311">
              <w:rPr>
                <w:i/>
                <w:sz w:val="16"/>
                <w:szCs w:val="16"/>
                <w:lang w:bidi="th-TH"/>
              </w:rPr>
              <w:t>ter</w:t>
            </w:r>
            <w:r w:rsidRPr="00526311">
              <w:rPr>
                <w:sz w:val="16"/>
                <w:szCs w:val="16"/>
                <w:lang w:bidi="th-TH"/>
              </w:rPr>
              <w:t xml:space="preserve"> que han sido tramitadas</w:t>
            </w:r>
            <w:r w:rsidRPr="00526311">
              <w:rPr>
                <w:i/>
                <w:sz w:val="16"/>
                <w:szCs w:val="16"/>
                <w:lang w:bidi="th-TH"/>
              </w:rPr>
              <w:t>.</w:t>
            </w:r>
          </w:p>
        </w:tc>
        <w:tc>
          <w:tcPr>
            <w:tcW w:w="1378" w:type="pct"/>
            <w:tcBorders>
              <w:top w:val="nil"/>
              <w:bottom w:val="nil"/>
            </w:tcBorders>
            <w:shd w:val="clear" w:color="auto" w:fill="auto"/>
          </w:tcPr>
          <w:p w:rsidR="00FA423E" w:rsidRPr="00526311" w:rsidRDefault="00FA423E" w:rsidP="00DC1333">
            <w:pPr>
              <w:rPr>
                <w:color w:val="002060"/>
                <w:sz w:val="16"/>
                <w:szCs w:val="16"/>
                <w:lang w:bidi="th-TH"/>
              </w:rPr>
            </w:pPr>
            <w:r w:rsidRPr="00526311">
              <w:rPr>
                <w:i/>
                <w:color w:val="002060"/>
                <w:sz w:val="16"/>
                <w:szCs w:val="16"/>
                <w:lang w:bidi="th-TH"/>
              </w:rPr>
              <w:t>Referencia actualizada a fines de 2013:</w:t>
            </w:r>
            <w:r w:rsidRPr="00526311">
              <w:rPr>
                <w:color w:val="002060"/>
                <w:sz w:val="16"/>
                <w:szCs w:val="16"/>
                <w:lang w:bidi="th-TH"/>
              </w:rPr>
              <w:t xml:space="preserve">  126 peticiones de publicación en virtud del Artículo 6</w:t>
            </w:r>
            <w:r w:rsidRPr="00526311">
              <w:rPr>
                <w:i/>
                <w:color w:val="002060"/>
                <w:sz w:val="16"/>
                <w:szCs w:val="16"/>
                <w:lang w:bidi="th-TH"/>
              </w:rPr>
              <w:t>ter</w:t>
            </w:r>
            <w:r w:rsidRPr="00526311">
              <w:rPr>
                <w:color w:val="002060"/>
                <w:sz w:val="16"/>
                <w:szCs w:val="16"/>
                <w:lang w:bidi="th-TH"/>
              </w:rPr>
              <w:t xml:space="preserve"> tramitadas a fines de 2013.</w:t>
            </w:r>
          </w:p>
          <w:p w:rsidR="00FA423E" w:rsidRPr="00526311" w:rsidRDefault="00FA423E" w:rsidP="00DC1333">
            <w:pPr>
              <w:keepNext/>
              <w:keepLines/>
              <w:rPr>
                <w:i/>
                <w:sz w:val="8"/>
                <w:szCs w:val="8"/>
              </w:rPr>
            </w:pPr>
          </w:p>
          <w:p w:rsidR="00FA423E" w:rsidRPr="00526311" w:rsidRDefault="00FA423E" w:rsidP="00DC1333">
            <w:pPr>
              <w:keepNext/>
              <w:keepLines/>
              <w:rPr>
                <w:sz w:val="16"/>
                <w:szCs w:val="16"/>
                <w:lang w:bidi="th-TH"/>
              </w:rPr>
            </w:pPr>
            <w:r w:rsidRPr="00526311">
              <w:rPr>
                <w:i/>
                <w:sz w:val="16"/>
                <w:szCs w:val="16"/>
              </w:rPr>
              <w:t xml:space="preserve">Referencia original en el presupuesto de 2014/15:  </w:t>
            </w:r>
            <w:r w:rsidRPr="00526311">
              <w:rPr>
                <w:sz w:val="16"/>
                <w:szCs w:val="16"/>
                <w:lang w:bidi="th-TH"/>
              </w:rPr>
              <w:t>70 peticiones</w:t>
            </w:r>
            <w:r w:rsidRPr="00526311">
              <w:rPr>
                <w:sz w:val="16"/>
                <w:szCs w:val="16"/>
                <w:vertAlign w:val="superscript"/>
                <w:lang w:bidi="th-TH"/>
              </w:rPr>
              <w:footnoteReference w:id="11"/>
            </w:r>
            <w:r w:rsidRPr="00526311">
              <w:rPr>
                <w:sz w:val="16"/>
                <w:szCs w:val="16"/>
                <w:lang w:bidi="th-TH"/>
              </w:rPr>
              <w:t xml:space="preserve"> de comunicación tramitadas en 2012 en virtud del Artículo 6</w:t>
            </w:r>
            <w:r w:rsidRPr="00526311">
              <w:rPr>
                <w:i/>
                <w:sz w:val="16"/>
                <w:szCs w:val="16"/>
                <w:lang w:bidi="th-TH"/>
              </w:rPr>
              <w:t>ter</w:t>
            </w:r>
            <w:r w:rsidRPr="00526311">
              <w:rPr>
                <w:sz w:val="16"/>
                <w:szCs w:val="16"/>
                <w:lang w:bidi="th-TH"/>
              </w:rPr>
              <w:t>.</w:t>
            </w:r>
          </w:p>
        </w:tc>
        <w:tc>
          <w:tcPr>
            <w:tcW w:w="676" w:type="pct"/>
            <w:gridSpan w:val="2"/>
            <w:tcBorders>
              <w:top w:val="nil"/>
              <w:bottom w:val="nil"/>
            </w:tcBorders>
            <w:shd w:val="clear" w:color="auto" w:fill="auto"/>
            <w:tcMar>
              <w:top w:w="110" w:type="dxa"/>
            </w:tcMar>
          </w:tcPr>
          <w:p w:rsidR="00FA423E" w:rsidRPr="00526311" w:rsidRDefault="00FA423E" w:rsidP="00DC1333">
            <w:pPr>
              <w:keepNext/>
              <w:keepLines/>
              <w:rPr>
                <w:sz w:val="16"/>
                <w:szCs w:val="16"/>
                <w:lang w:bidi="th-TH"/>
              </w:rPr>
            </w:pPr>
            <w:r w:rsidRPr="00526311">
              <w:rPr>
                <w:sz w:val="16"/>
                <w:szCs w:val="16"/>
                <w:lang w:bidi="th-TH"/>
              </w:rPr>
              <w:t>140 peticiones de comunicación tramitadas en virtud del Artículo 6</w:t>
            </w:r>
            <w:r w:rsidRPr="00526311">
              <w:rPr>
                <w:i/>
                <w:sz w:val="16"/>
                <w:szCs w:val="16"/>
                <w:lang w:bidi="th-TH"/>
              </w:rPr>
              <w:t>ter.</w:t>
            </w:r>
          </w:p>
        </w:tc>
        <w:tc>
          <w:tcPr>
            <w:tcW w:w="1076" w:type="pct"/>
            <w:gridSpan w:val="3"/>
            <w:tcBorders>
              <w:top w:val="nil"/>
              <w:bottom w:val="nil"/>
            </w:tcBorders>
            <w:shd w:val="clear" w:color="auto" w:fill="auto"/>
            <w:tcMar>
              <w:top w:w="110" w:type="dxa"/>
            </w:tcMar>
          </w:tcPr>
          <w:p w:rsidR="00FA423E" w:rsidRPr="00526311" w:rsidRDefault="00FA423E" w:rsidP="00DC1333">
            <w:pPr>
              <w:keepNext/>
              <w:keepLines/>
              <w:rPr>
                <w:sz w:val="16"/>
                <w:szCs w:val="16"/>
                <w:lang w:bidi="th-TH"/>
              </w:rPr>
            </w:pPr>
            <w:r w:rsidRPr="00526311">
              <w:rPr>
                <w:sz w:val="16"/>
                <w:szCs w:val="16"/>
                <w:lang w:bidi="th-TH"/>
              </w:rPr>
              <w:t>1</w:t>
            </w:r>
            <w:r>
              <w:rPr>
                <w:sz w:val="16"/>
                <w:szCs w:val="16"/>
                <w:lang w:bidi="th-TH"/>
              </w:rPr>
              <w:t>09</w:t>
            </w:r>
            <w:r w:rsidRPr="00526311">
              <w:rPr>
                <w:sz w:val="16"/>
                <w:szCs w:val="16"/>
                <w:lang w:bidi="th-TH"/>
              </w:rPr>
              <w:t xml:space="preserve"> peticiones de comunicación recibidas y tramitada</w:t>
            </w:r>
            <w:r>
              <w:rPr>
                <w:sz w:val="16"/>
                <w:szCs w:val="16"/>
                <w:lang w:bidi="th-TH"/>
              </w:rPr>
              <w:t>s, de las cuales se publicaron 4</w:t>
            </w:r>
            <w:r w:rsidRPr="00526311">
              <w:rPr>
                <w:sz w:val="16"/>
                <w:szCs w:val="16"/>
                <w:lang w:bidi="th-TH"/>
              </w:rPr>
              <w:t>1.</w:t>
            </w:r>
          </w:p>
        </w:tc>
        <w:tc>
          <w:tcPr>
            <w:tcW w:w="769" w:type="pct"/>
            <w:gridSpan w:val="3"/>
            <w:tcBorders>
              <w:top w:val="nil"/>
              <w:bottom w:val="nil"/>
            </w:tcBorders>
            <w:shd w:val="clear" w:color="auto" w:fill="auto"/>
            <w:tcMar>
              <w:top w:w="110" w:type="dxa"/>
            </w:tcMar>
          </w:tcPr>
          <w:p w:rsidR="00FA423E" w:rsidRPr="00526311" w:rsidRDefault="00FA423E" w:rsidP="00DC1333">
            <w:pPr>
              <w:rPr>
                <w:b/>
                <w:bCs/>
                <w:color w:val="FF0000"/>
                <w:sz w:val="16"/>
                <w:szCs w:val="16"/>
              </w:rPr>
            </w:pPr>
            <w:proofErr w:type="spellStart"/>
            <w:r>
              <w:rPr>
                <w:rFonts w:eastAsia="Times New Roman"/>
                <w:b/>
                <w:bCs/>
                <w:color w:val="E26B0A"/>
                <w:sz w:val="16"/>
                <w:szCs w:val="16"/>
                <w:lang w:val="en-US" w:eastAsia="en-US"/>
              </w:rPr>
              <w:t>Parcialmente</w:t>
            </w:r>
            <w:proofErr w:type="spellEnd"/>
            <w:r>
              <w:rPr>
                <w:rFonts w:eastAsia="Times New Roman"/>
                <w:b/>
                <w:bCs/>
                <w:color w:val="E26B0A"/>
                <w:sz w:val="16"/>
                <w:szCs w:val="16"/>
                <w:lang w:val="en-US" w:eastAsia="en-US"/>
              </w:rPr>
              <w:t xml:space="preserve"> </w:t>
            </w:r>
            <w:proofErr w:type="spellStart"/>
            <w:r>
              <w:rPr>
                <w:rFonts w:eastAsia="Times New Roman"/>
                <w:b/>
                <w:bCs/>
                <w:color w:val="E26B0A"/>
                <w:sz w:val="16"/>
                <w:szCs w:val="16"/>
                <w:lang w:val="en-US" w:eastAsia="en-US"/>
              </w:rPr>
              <w:t>logra</w:t>
            </w:r>
            <w:r w:rsidRPr="00472E7C">
              <w:rPr>
                <w:rFonts w:eastAsia="Times New Roman"/>
                <w:b/>
                <w:bCs/>
                <w:color w:val="E26B0A"/>
                <w:sz w:val="16"/>
                <w:szCs w:val="16"/>
                <w:lang w:val="en-US" w:eastAsia="en-US"/>
              </w:rPr>
              <w:t>d</w:t>
            </w:r>
            <w:r>
              <w:rPr>
                <w:rFonts w:eastAsia="Times New Roman"/>
                <w:b/>
                <w:bCs/>
                <w:color w:val="E26B0A"/>
                <w:sz w:val="16"/>
                <w:szCs w:val="16"/>
                <w:lang w:val="en-US" w:eastAsia="en-US"/>
              </w:rPr>
              <w:t>o</w:t>
            </w:r>
            <w:proofErr w:type="spellEnd"/>
          </w:p>
        </w:tc>
      </w:tr>
      <w:tr w:rsidR="00FA423E" w:rsidRPr="00526311" w:rsidTr="00DC1333">
        <w:trPr>
          <w:cantSplit/>
        </w:trPr>
        <w:tc>
          <w:tcPr>
            <w:tcW w:w="1100" w:type="pct"/>
            <w:tcBorders>
              <w:top w:val="nil"/>
              <w:left w:val="single" w:sz="4" w:space="0" w:color="auto"/>
              <w:bottom w:val="single" w:sz="4" w:space="0" w:color="auto"/>
              <w:right w:val="nil"/>
            </w:tcBorders>
            <w:shd w:val="clear" w:color="auto" w:fill="auto"/>
          </w:tcPr>
          <w:p w:rsidR="00FA423E" w:rsidRPr="00526311" w:rsidRDefault="00FA423E" w:rsidP="00DC1333">
            <w:pPr>
              <w:rPr>
                <w:sz w:val="16"/>
                <w:szCs w:val="16"/>
                <w:lang w:bidi="th-TH"/>
              </w:rPr>
            </w:pPr>
            <w:r w:rsidRPr="00526311">
              <w:rPr>
                <w:sz w:val="16"/>
                <w:szCs w:val="16"/>
                <w:lang w:bidi="th-TH"/>
              </w:rPr>
              <w:t>Número de signos publicados en la base de datos sobre el Artículo 6</w:t>
            </w:r>
            <w:r w:rsidRPr="00526311">
              <w:rPr>
                <w:i/>
                <w:sz w:val="16"/>
                <w:szCs w:val="16"/>
                <w:lang w:bidi="th-TH"/>
              </w:rPr>
              <w:t>ter</w:t>
            </w:r>
            <w:r w:rsidRPr="00526311">
              <w:rPr>
                <w:sz w:val="16"/>
                <w:szCs w:val="16"/>
                <w:lang w:bidi="th-TH"/>
              </w:rPr>
              <w:t>.</w:t>
            </w:r>
          </w:p>
        </w:tc>
        <w:tc>
          <w:tcPr>
            <w:tcW w:w="1378" w:type="pct"/>
            <w:tcBorders>
              <w:top w:val="nil"/>
              <w:left w:val="nil"/>
              <w:bottom w:val="single" w:sz="4" w:space="0" w:color="auto"/>
              <w:right w:val="nil"/>
            </w:tcBorders>
            <w:shd w:val="clear" w:color="auto" w:fill="auto"/>
          </w:tcPr>
          <w:p w:rsidR="00FA423E" w:rsidRPr="00526311" w:rsidRDefault="00FA423E" w:rsidP="00DC1333">
            <w:pPr>
              <w:rPr>
                <w:color w:val="002060"/>
                <w:sz w:val="16"/>
                <w:szCs w:val="16"/>
                <w:lang w:bidi="th-TH"/>
              </w:rPr>
            </w:pPr>
            <w:r w:rsidRPr="00526311">
              <w:rPr>
                <w:i/>
                <w:color w:val="002060"/>
                <w:sz w:val="16"/>
                <w:szCs w:val="16"/>
                <w:lang w:bidi="th-TH"/>
              </w:rPr>
              <w:t xml:space="preserve">Referencia actualizada a fines de 2013: </w:t>
            </w:r>
            <w:r w:rsidRPr="00526311">
              <w:rPr>
                <w:color w:val="002060"/>
                <w:sz w:val="16"/>
                <w:szCs w:val="16"/>
                <w:lang w:bidi="th-TH"/>
              </w:rPr>
              <w:t xml:space="preserve"> 132 signos publicados </w:t>
            </w:r>
            <w:r w:rsidRPr="00526311">
              <w:rPr>
                <w:sz w:val="16"/>
                <w:szCs w:val="16"/>
                <w:lang w:bidi="th-TH"/>
              </w:rPr>
              <w:t>en la base de datos sobre el Artículo 6</w:t>
            </w:r>
            <w:r w:rsidRPr="00526311">
              <w:rPr>
                <w:i/>
                <w:sz w:val="16"/>
                <w:szCs w:val="16"/>
                <w:lang w:bidi="th-TH"/>
              </w:rPr>
              <w:t>ter</w:t>
            </w:r>
            <w:r w:rsidRPr="00526311">
              <w:rPr>
                <w:sz w:val="16"/>
                <w:szCs w:val="16"/>
                <w:lang w:bidi="th-TH"/>
              </w:rPr>
              <w:t xml:space="preserve"> </w:t>
            </w:r>
            <w:r w:rsidRPr="00526311">
              <w:rPr>
                <w:color w:val="002060"/>
                <w:sz w:val="16"/>
                <w:szCs w:val="16"/>
                <w:lang w:bidi="th-TH"/>
              </w:rPr>
              <w:t>en 2012/13.</w:t>
            </w:r>
          </w:p>
          <w:p w:rsidR="00FA423E" w:rsidRPr="00526311" w:rsidRDefault="00FA423E" w:rsidP="00DC1333">
            <w:pPr>
              <w:rPr>
                <w:i/>
                <w:sz w:val="8"/>
                <w:szCs w:val="8"/>
              </w:rPr>
            </w:pPr>
          </w:p>
          <w:p w:rsidR="00FA423E" w:rsidRPr="00526311" w:rsidRDefault="00FA423E" w:rsidP="00DC1333">
            <w:pPr>
              <w:rPr>
                <w:i/>
                <w:sz w:val="16"/>
                <w:szCs w:val="16"/>
              </w:rPr>
            </w:pPr>
            <w:r w:rsidRPr="00526311">
              <w:rPr>
                <w:i/>
                <w:sz w:val="16"/>
                <w:szCs w:val="16"/>
              </w:rPr>
              <w:t xml:space="preserve">Referencia original en el presupuesto de 2014/15:  </w:t>
            </w:r>
            <w:r w:rsidRPr="00526311">
              <w:rPr>
                <w:sz w:val="16"/>
                <w:szCs w:val="16"/>
              </w:rPr>
              <w:t>75 signos</w:t>
            </w:r>
            <w:r w:rsidRPr="00526311">
              <w:rPr>
                <w:i/>
                <w:sz w:val="16"/>
                <w:szCs w:val="16"/>
                <w:vertAlign w:val="superscript"/>
              </w:rPr>
              <w:footnoteReference w:id="12"/>
            </w:r>
            <w:r w:rsidRPr="00526311">
              <w:rPr>
                <w:sz w:val="16"/>
                <w:szCs w:val="16"/>
              </w:rPr>
              <w:t xml:space="preserve"> publicados en 2012 en la base de datos sobre el Artículo 6</w:t>
            </w:r>
            <w:r w:rsidRPr="00526311">
              <w:rPr>
                <w:i/>
                <w:sz w:val="16"/>
                <w:szCs w:val="16"/>
              </w:rPr>
              <w:t>ter</w:t>
            </w:r>
            <w:r w:rsidRPr="00526311">
              <w:rPr>
                <w:sz w:val="16"/>
                <w:szCs w:val="16"/>
              </w:rPr>
              <w:t>.</w:t>
            </w:r>
            <w:r w:rsidRPr="00526311">
              <w:rPr>
                <w:sz w:val="16"/>
                <w:szCs w:val="16"/>
              </w:rPr>
              <w:br/>
            </w:r>
          </w:p>
        </w:tc>
        <w:tc>
          <w:tcPr>
            <w:tcW w:w="676" w:type="pct"/>
            <w:gridSpan w:val="2"/>
            <w:tcBorders>
              <w:top w:val="nil"/>
              <w:left w:val="nil"/>
              <w:bottom w:val="single" w:sz="4" w:space="0" w:color="auto"/>
              <w:right w:val="nil"/>
            </w:tcBorders>
            <w:shd w:val="clear" w:color="auto" w:fill="auto"/>
            <w:tcMar>
              <w:top w:w="110" w:type="dxa"/>
            </w:tcMar>
          </w:tcPr>
          <w:p w:rsidR="00FA423E" w:rsidRPr="00526311" w:rsidRDefault="00FA423E" w:rsidP="00DC1333">
            <w:pPr>
              <w:rPr>
                <w:sz w:val="16"/>
                <w:szCs w:val="16"/>
                <w:lang w:bidi="th-TH"/>
              </w:rPr>
            </w:pPr>
            <w:r w:rsidRPr="00526311">
              <w:rPr>
                <w:sz w:val="16"/>
                <w:szCs w:val="16"/>
                <w:lang w:bidi="th-TH"/>
              </w:rPr>
              <w:t>150 signos publicados en la base de datos sobre el Artículo 6</w:t>
            </w:r>
            <w:r w:rsidRPr="00526311">
              <w:rPr>
                <w:i/>
                <w:sz w:val="16"/>
                <w:szCs w:val="16"/>
                <w:lang w:bidi="th-TH"/>
              </w:rPr>
              <w:t>ter</w:t>
            </w:r>
            <w:r w:rsidRPr="00526311">
              <w:rPr>
                <w:rStyle w:val="FootnoteReference"/>
                <w:sz w:val="16"/>
                <w:szCs w:val="16"/>
                <w:lang w:bidi="th-TH"/>
              </w:rPr>
              <w:footnoteReference w:id="13"/>
            </w:r>
            <w:r w:rsidRPr="00526311">
              <w:rPr>
                <w:i/>
                <w:sz w:val="16"/>
                <w:szCs w:val="16"/>
                <w:lang w:bidi="th-TH"/>
              </w:rPr>
              <w:t>.</w:t>
            </w:r>
          </w:p>
        </w:tc>
        <w:tc>
          <w:tcPr>
            <w:tcW w:w="1076" w:type="pct"/>
            <w:gridSpan w:val="3"/>
            <w:tcBorders>
              <w:top w:val="nil"/>
              <w:left w:val="nil"/>
              <w:bottom w:val="single" w:sz="4" w:space="0" w:color="auto"/>
              <w:right w:val="nil"/>
            </w:tcBorders>
            <w:shd w:val="clear" w:color="auto" w:fill="auto"/>
            <w:tcMar>
              <w:top w:w="110" w:type="dxa"/>
            </w:tcMar>
          </w:tcPr>
          <w:p w:rsidR="00FA423E" w:rsidRPr="00526311" w:rsidRDefault="00FA423E" w:rsidP="00DC1333">
            <w:pPr>
              <w:rPr>
                <w:sz w:val="16"/>
                <w:szCs w:val="16"/>
                <w:lang w:bidi="th-TH"/>
              </w:rPr>
            </w:pPr>
            <w:r>
              <w:rPr>
                <w:sz w:val="16"/>
                <w:szCs w:val="16"/>
                <w:lang w:bidi="th-TH"/>
              </w:rPr>
              <w:t>1</w:t>
            </w:r>
            <w:r w:rsidRPr="00526311">
              <w:rPr>
                <w:sz w:val="16"/>
                <w:szCs w:val="16"/>
                <w:lang w:bidi="th-TH"/>
              </w:rPr>
              <w:t>49</w:t>
            </w:r>
            <w:r>
              <w:rPr>
                <w:sz w:val="16"/>
                <w:szCs w:val="16"/>
                <w:lang w:bidi="th-TH"/>
              </w:rPr>
              <w:t xml:space="preserve"> nuevos signos publicados</w:t>
            </w:r>
          </w:p>
          <w:p w:rsidR="00FA423E" w:rsidRPr="00526311" w:rsidRDefault="00FA423E" w:rsidP="00DC1333">
            <w:pPr>
              <w:rPr>
                <w:sz w:val="16"/>
                <w:szCs w:val="16"/>
                <w:lang w:bidi="th-TH"/>
              </w:rPr>
            </w:pPr>
          </w:p>
          <w:p w:rsidR="00FA423E" w:rsidRPr="00526311" w:rsidRDefault="00FA423E" w:rsidP="00DC1333">
            <w:pPr>
              <w:rPr>
                <w:sz w:val="16"/>
                <w:szCs w:val="16"/>
                <w:lang w:bidi="th-TH"/>
              </w:rPr>
            </w:pPr>
            <w:r>
              <w:rPr>
                <w:sz w:val="16"/>
                <w:szCs w:val="16"/>
                <w:lang w:bidi="th-TH"/>
              </w:rPr>
              <w:t>Un total de 3.1</w:t>
            </w:r>
            <w:r w:rsidRPr="00526311">
              <w:rPr>
                <w:sz w:val="16"/>
                <w:szCs w:val="16"/>
                <w:lang w:bidi="th-TH"/>
              </w:rPr>
              <w:t>57 signos contenidos en la base de datos sobre el Artículo</w:t>
            </w:r>
            <w:r w:rsidRPr="00526311">
              <w:rPr>
                <w:sz w:val="16"/>
                <w:szCs w:val="16"/>
              </w:rPr>
              <w:t xml:space="preserve"> 6</w:t>
            </w:r>
            <w:r w:rsidRPr="00526311">
              <w:rPr>
                <w:i/>
                <w:sz w:val="16"/>
                <w:szCs w:val="16"/>
              </w:rPr>
              <w:t>ter</w:t>
            </w:r>
            <w:r>
              <w:rPr>
                <w:sz w:val="16"/>
                <w:szCs w:val="16"/>
              </w:rPr>
              <w:t xml:space="preserve"> a finales de 2015</w:t>
            </w:r>
            <w:r w:rsidRPr="00526311">
              <w:rPr>
                <w:sz w:val="16"/>
                <w:szCs w:val="16"/>
              </w:rPr>
              <w:t>.</w:t>
            </w:r>
          </w:p>
        </w:tc>
        <w:tc>
          <w:tcPr>
            <w:tcW w:w="769" w:type="pct"/>
            <w:gridSpan w:val="3"/>
            <w:tcBorders>
              <w:top w:val="nil"/>
              <w:left w:val="nil"/>
              <w:bottom w:val="single" w:sz="4" w:space="0" w:color="auto"/>
              <w:right w:val="single" w:sz="4" w:space="0" w:color="auto"/>
            </w:tcBorders>
            <w:shd w:val="clear" w:color="auto" w:fill="auto"/>
          </w:tcPr>
          <w:p w:rsidR="00FA423E" w:rsidRPr="00526311" w:rsidRDefault="00FA423E" w:rsidP="00DC1333">
            <w:pPr>
              <w:rPr>
                <w:b/>
                <w:color w:val="FF0000"/>
                <w:sz w:val="16"/>
                <w:szCs w:val="16"/>
              </w:rPr>
            </w:pPr>
            <w:r>
              <w:rPr>
                <w:b/>
                <w:color w:val="00B050"/>
                <w:sz w:val="16"/>
                <w:szCs w:val="16"/>
              </w:rPr>
              <w:t>Plenamente logrado</w:t>
            </w:r>
          </w:p>
        </w:tc>
      </w:tr>
    </w:tbl>
    <w:p w:rsidR="00FA423E" w:rsidRPr="005E6E76" w:rsidRDefault="00FA423E" w:rsidP="00FA423E">
      <w:pPr>
        <w:jc w:val="both"/>
        <w:rPr>
          <w:sz w:val="20"/>
        </w:rPr>
      </w:pPr>
    </w:p>
    <w:p w:rsidR="00FA423E" w:rsidRPr="005E6E76" w:rsidRDefault="00FA423E" w:rsidP="00FA423E">
      <w:pPr>
        <w:jc w:val="both"/>
        <w:rPr>
          <w:sz w:val="20"/>
        </w:rPr>
      </w:pPr>
    </w:p>
    <w:p w:rsidR="00FA423E" w:rsidRDefault="008F7CBE" w:rsidP="00FA423E">
      <w:pPr>
        <w:keepNext/>
        <w:keepLines/>
        <w:rPr>
          <w:color w:val="000000"/>
          <w:szCs w:val="22"/>
        </w:rPr>
      </w:pPr>
      <w:r w:rsidRPr="008F7CBE">
        <w:rPr>
          <w:sz w:val="20"/>
        </w:rPr>
        <w:lastRenderedPageBreak/>
        <w:t>INFORMACIÓN SOBRE LOS RIESGOS PLANTEADOS EN EL BIENIO</w:t>
      </w:r>
    </w:p>
    <w:p w:rsidR="00FA423E" w:rsidRPr="005E6E76" w:rsidRDefault="00FA423E" w:rsidP="00FA423E">
      <w:pPr>
        <w:keepNext/>
        <w:keepLines/>
        <w:rPr>
          <w:color w:val="000000"/>
          <w:sz w:val="20"/>
        </w:rPr>
      </w:pPr>
    </w:p>
    <w:tbl>
      <w:tblPr>
        <w:tblW w:w="9900" w:type="dxa"/>
        <w:tblInd w:w="108" w:type="dxa"/>
        <w:tblLook w:val="01E0" w:firstRow="1" w:lastRow="1" w:firstColumn="1" w:lastColumn="1" w:noHBand="0" w:noVBand="0"/>
      </w:tblPr>
      <w:tblGrid>
        <w:gridCol w:w="2420"/>
        <w:gridCol w:w="2200"/>
        <w:gridCol w:w="2310"/>
        <w:gridCol w:w="2970"/>
      </w:tblGrid>
      <w:tr w:rsidR="00FA423E" w:rsidRPr="001D4B59" w:rsidTr="00DC1333">
        <w:trPr>
          <w:trHeight w:val="314"/>
        </w:trPr>
        <w:tc>
          <w:tcPr>
            <w:tcW w:w="2420" w:type="dxa"/>
            <w:tcBorders>
              <w:top w:val="single" w:sz="4" w:space="0" w:color="auto"/>
              <w:left w:val="single" w:sz="4" w:space="0" w:color="auto"/>
              <w:bottom w:val="single" w:sz="4" w:space="0" w:color="auto"/>
            </w:tcBorders>
            <w:shd w:val="clear" w:color="auto" w:fill="C6D9F1" w:themeFill="text2" w:themeFillTint="33"/>
            <w:tcMar>
              <w:top w:w="113" w:type="dxa"/>
              <w:bottom w:w="113" w:type="dxa"/>
            </w:tcMar>
            <w:vAlign w:val="center"/>
          </w:tcPr>
          <w:p w:rsidR="00FA423E" w:rsidRPr="001D4B59" w:rsidRDefault="00FA423E" w:rsidP="00DC1333">
            <w:pPr>
              <w:keepNext/>
              <w:autoSpaceDE w:val="0"/>
              <w:autoSpaceDN w:val="0"/>
              <w:adjustRightInd w:val="0"/>
              <w:ind w:right="-59"/>
              <w:jc w:val="center"/>
              <w:rPr>
                <w:b/>
                <w:bCs/>
                <w:iCs/>
                <w:sz w:val="18"/>
                <w:szCs w:val="18"/>
              </w:rPr>
            </w:pPr>
            <w:r w:rsidRPr="003454A6">
              <w:rPr>
                <w:b/>
                <w:sz w:val="18"/>
                <w:szCs w:val="18"/>
              </w:rPr>
              <w:t>Riesgos en el logro de los resultados del programa</w:t>
            </w:r>
          </w:p>
        </w:tc>
        <w:tc>
          <w:tcPr>
            <w:tcW w:w="2200" w:type="dxa"/>
            <w:tcBorders>
              <w:top w:val="single" w:sz="4" w:space="0" w:color="auto"/>
              <w:bottom w:val="single" w:sz="4" w:space="0" w:color="auto"/>
            </w:tcBorders>
            <w:shd w:val="clear" w:color="auto" w:fill="C6D9F1" w:themeFill="text2" w:themeFillTint="33"/>
            <w:tcMar>
              <w:top w:w="113" w:type="dxa"/>
              <w:bottom w:w="113" w:type="dxa"/>
            </w:tcMar>
            <w:vAlign w:val="center"/>
          </w:tcPr>
          <w:p w:rsidR="00FA423E" w:rsidRPr="001D4B59" w:rsidRDefault="00FA423E" w:rsidP="00DC1333">
            <w:pPr>
              <w:keepNext/>
              <w:autoSpaceDE w:val="0"/>
              <w:autoSpaceDN w:val="0"/>
              <w:adjustRightInd w:val="0"/>
              <w:ind w:right="-59"/>
              <w:jc w:val="center"/>
              <w:rPr>
                <w:b/>
                <w:bCs/>
                <w:iCs/>
                <w:sz w:val="18"/>
                <w:szCs w:val="18"/>
              </w:rPr>
            </w:pPr>
            <w:r w:rsidRPr="003454A6">
              <w:rPr>
                <w:b/>
                <w:bCs/>
                <w:iCs/>
                <w:sz w:val="18"/>
                <w:szCs w:val="18"/>
              </w:rPr>
              <w:t>Planes de mitigación ejecutados o en ejecución</w:t>
            </w:r>
          </w:p>
        </w:tc>
        <w:tc>
          <w:tcPr>
            <w:tcW w:w="2310" w:type="dxa"/>
            <w:tcBorders>
              <w:top w:val="single" w:sz="4" w:space="0" w:color="auto"/>
              <w:bottom w:val="single" w:sz="4" w:space="0" w:color="auto"/>
            </w:tcBorders>
            <w:shd w:val="clear" w:color="auto" w:fill="C6D9F1" w:themeFill="text2" w:themeFillTint="33"/>
          </w:tcPr>
          <w:p w:rsidR="00FA423E" w:rsidRPr="001D4B59" w:rsidRDefault="00FA423E" w:rsidP="00DC1333">
            <w:pPr>
              <w:keepNext/>
              <w:jc w:val="center"/>
              <w:rPr>
                <w:b/>
                <w:bCs/>
                <w:sz w:val="18"/>
                <w:szCs w:val="18"/>
              </w:rPr>
            </w:pPr>
            <w:r w:rsidRPr="003454A6">
              <w:rPr>
                <w:b/>
                <w:bCs/>
                <w:iCs/>
                <w:sz w:val="18"/>
                <w:szCs w:val="18"/>
              </w:rPr>
              <w:t>Evolución de los riesgos y estrategias de mitigaci</w:t>
            </w:r>
            <w:r>
              <w:rPr>
                <w:b/>
                <w:bCs/>
                <w:iCs/>
                <w:sz w:val="18"/>
                <w:szCs w:val="18"/>
              </w:rPr>
              <w:t>ón durante el bienio</w:t>
            </w:r>
          </w:p>
        </w:tc>
        <w:tc>
          <w:tcPr>
            <w:tcW w:w="2970" w:type="dxa"/>
            <w:tcBorders>
              <w:top w:val="single" w:sz="4" w:space="0" w:color="auto"/>
              <w:bottom w:val="single" w:sz="4" w:space="0" w:color="auto"/>
              <w:right w:val="single" w:sz="4" w:space="0" w:color="auto"/>
            </w:tcBorders>
            <w:shd w:val="clear" w:color="auto" w:fill="C6D9F1" w:themeFill="text2" w:themeFillTint="33"/>
          </w:tcPr>
          <w:p w:rsidR="00FA423E" w:rsidRPr="001D4B59" w:rsidRDefault="00FA423E" w:rsidP="00DC1333">
            <w:pPr>
              <w:keepNext/>
              <w:jc w:val="center"/>
              <w:rPr>
                <w:b/>
                <w:bCs/>
                <w:sz w:val="18"/>
                <w:szCs w:val="18"/>
              </w:rPr>
            </w:pPr>
            <w:r w:rsidRPr="001D4B59">
              <w:rPr>
                <w:b/>
                <w:bCs/>
                <w:iCs/>
                <w:sz w:val="18"/>
                <w:szCs w:val="18"/>
              </w:rPr>
              <w:t>Incidencia en el rendimiento del programa</w:t>
            </w:r>
          </w:p>
        </w:tc>
      </w:tr>
      <w:tr w:rsidR="00FA423E" w:rsidRPr="00CD775E" w:rsidTr="00DC1333">
        <w:trPr>
          <w:trHeight w:val="1219"/>
        </w:trPr>
        <w:tc>
          <w:tcPr>
            <w:tcW w:w="2420" w:type="dxa"/>
            <w:tcBorders>
              <w:top w:val="single" w:sz="4" w:space="0" w:color="auto"/>
              <w:left w:val="single" w:sz="4" w:space="0" w:color="auto"/>
              <w:bottom w:val="single" w:sz="4" w:space="0" w:color="auto"/>
            </w:tcBorders>
            <w:shd w:val="clear" w:color="auto" w:fill="auto"/>
            <w:tcMar>
              <w:top w:w="113" w:type="dxa"/>
              <w:bottom w:w="113" w:type="dxa"/>
            </w:tcMar>
          </w:tcPr>
          <w:p w:rsidR="00FA423E" w:rsidRPr="006A1112" w:rsidRDefault="00FA423E" w:rsidP="00DC1333">
            <w:pPr>
              <w:keepNext/>
              <w:rPr>
                <w:sz w:val="16"/>
                <w:szCs w:val="16"/>
              </w:rPr>
            </w:pPr>
            <w:r w:rsidRPr="006A1112">
              <w:rPr>
                <w:sz w:val="16"/>
                <w:szCs w:val="16"/>
              </w:rPr>
              <w:t>La forja de acuerdos a escala multilateral sigue siendo ardua y la conclusión satisfactoria de las actividades normativas en el marco del programa 2 dependerá en gran medida de la voluntad de los Estados miembros de definir resultados mutuamente convenidos</w:t>
            </w:r>
            <w:r>
              <w:rPr>
                <w:sz w:val="16"/>
                <w:szCs w:val="16"/>
              </w:rPr>
              <w:t>.</w:t>
            </w:r>
          </w:p>
        </w:tc>
        <w:tc>
          <w:tcPr>
            <w:tcW w:w="2200" w:type="dxa"/>
            <w:tcBorders>
              <w:top w:val="single" w:sz="4" w:space="0" w:color="auto"/>
              <w:bottom w:val="single" w:sz="4" w:space="0" w:color="auto"/>
            </w:tcBorders>
            <w:shd w:val="clear" w:color="auto" w:fill="auto"/>
            <w:tcMar>
              <w:top w:w="113" w:type="dxa"/>
              <w:bottom w:w="113" w:type="dxa"/>
            </w:tcMar>
          </w:tcPr>
          <w:p w:rsidR="00FA423E" w:rsidRPr="00EB76D1" w:rsidRDefault="00FA423E" w:rsidP="00DC1333">
            <w:pPr>
              <w:keepNext/>
              <w:autoSpaceDE w:val="0"/>
              <w:autoSpaceDN w:val="0"/>
              <w:adjustRightInd w:val="0"/>
              <w:ind w:right="-59"/>
              <w:rPr>
                <w:sz w:val="16"/>
                <w:szCs w:val="16"/>
              </w:rPr>
            </w:pPr>
            <w:r w:rsidRPr="00EB76D1">
              <w:rPr>
                <w:sz w:val="16"/>
                <w:szCs w:val="16"/>
              </w:rPr>
              <w:t>Se trata de un riesgo inherente a toda act</w:t>
            </w:r>
            <w:r>
              <w:rPr>
                <w:sz w:val="16"/>
                <w:szCs w:val="16"/>
              </w:rPr>
              <w:t>ividad de elaboración de normas</w:t>
            </w:r>
            <w:r w:rsidRPr="00EB76D1">
              <w:rPr>
                <w:sz w:val="16"/>
                <w:szCs w:val="16"/>
              </w:rPr>
              <w:t xml:space="preserve"> que, por su naturaleza, habrá que asumir en el programa.  Sin embargo, en determinadas actividades programáticas, en particular las sesiones del SCT, cabrá el diálogo e intercambio de puntos de vista a fin de señalar los ámbitos de entendimiento común y los posibles resultados en que se haya llegado a un acuerdo.</w:t>
            </w:r>
          </w:p>
        </w:tc>
        <w:tc>
          <w:tcPr>
            <w:tcW w:w="2310" w:type="dxa"/>
            <w:tcBorders>
              <w:top w:val="single" w:sz="4" w:space="0" w:color="auto"/>
              <w:bottom w:val="single" w:sz="4" w:space="0" w:color="auto"/>
            </w:tcBorders>
          </w:tcPr>
          <w:p w:rsidR="00FA423E" w:rsidRPr="008828B7" w:rsidRDefault="00FA423E" w:rsidP="00DC1333">
            <w:pPr>
              <w:keepNext/>
              <w:autoSpaceDE w:val="0"/>
              <w:autoSpaceDN w:val="0"/>
              <w:adjustRightInd w:val="0"/>
              <w:ind w:right="-59"/>
              <w:rPr>
                <w:sz w:val="16"/>
                <w:szCs w:val="16"/>
              </w:rPr>
            </w:pPr>
            <w:r w:rsidRPr="008828B7">
              <w:rPr>
                <w:sz w:val="16"/>
                <w:szCs w:val="16"/>
              </w:rPr>
              <w:t>El riesgo general descrito para el programa no ha cambiado sustancialmente durante el per</w:t>
            </w:r>
            <w:r>
              <w:rPr>
                <w:sz w:val="16"/>
                <w:szCs w:val="16"/>
              </w:rPr>
              <w:t xml:space="preserve">íodo objeto de examen, y se debe considerar constante.  </w:t>
            </w:r>
            <w:r w:rsidRPr="008828B7">
              <w:rPr>
                <w:sz w:val="16"/>
                <w:szCs w:val="16"/>
              </w:rPr>
              <w:t xml:space="preserve">Lo mismo se puede decir de los planes de mitigación </w:t>
            </w:r>
            <w:r>
              <w:rPr>
                <w:sz w:val="16"/>
                <w:szCs w:val="16"/>
              </w:rPr>
              <w:t>ejecutados</w:t>
            </w:r>
            <w:r w:rsidRPr="008828B7">
              <w:rPr>
                <w:sz w:val="16"/>
                <w:szCs w:val="16"/>
              </w:rPr>
              <w:t>, que seguir</w:t>
            </w:r>
            <w:r>
              <w:rPr>
                <w:sz w:val="16"/>
                <w:szCs w:val="16"/>
              </w:rPr>
              <w:t>án siendo pertinentes durante el bienio 2016/17</w:t>
            </w:r>
            <w:r w:rsidRPr="008828B7">
              <w:rPr>
                <w:sz w:val="16"/>
                <w:szCs w:val="16"/>
              </w:rPr>
              <w:t>.</w:t>
            </w:r>
          </w:p>
        </w:tc>
        <w:tc>
          <w:tcPr>
            <w:tcW w:w="2970" w:type="dxa"/>
            <w:tcBorders>
              <w:top w:val="single" w:sz="4" w:space="0" w:color="auto"/>
              <w:bottom w:val="single" w:sz="4" w:space="0" w:color="auto"/>
              <w:right w:val="single" w:sz="4" w:space="0" w:color="auto"/>
            </w:tcBorders>
          </w:tcPr>
          <w:p w:rsidR="00FA423E" w:rsidRPr="00CD775E" w:rsidRDefault="00FA423E" w:rsidP="00DC1333">
            <w:pPr>
              <w:keepNext/>
              <w:autoSpaceDE w:val="0"/>
              <w:autoSpaceDN w:val="0"/>
              <w:adjustRightInd w:val="0"/>
              <w:ind w:right="-59"/>
              <w:rPr>
                <w:sz w:val="16"/>
                <w:szCs w:val="16"/>
              </w:rPr>
            </w:pPr>
            <w:r w:rsidRPr="00846B62">
              <w:rPr>
                <w:sz w:val="16"/>
                <w:szCs w:val="16"/>
              </w:rPr>
              <w:t xml:space="preserve">Los riesgos inherentes a las actividades normativas del presente Programa se mitigan constantemente mediante el diálogo y el intercambio de opiniones que posibilitan las sesiones del SCT y la Asamblea General de la OMPI. </w:t>
            </w:r>
            <w:r>
              <w:rPr>
                <w:sz w:val="16"/>
                <w:szCs w:val="16"/>
              </w:rPr>
              <w:t xml:space="preserve"> </w:t>
            </w:r>
            <w:r w:rsidRPr="00CD775E">
              <w:rPr>
                <w:sz w:val="16"/>
                <w:szCs w:val="16"/>
              </w:rPr>
              <w:t xml:space="preserve">Por lo tanto, aun cuando no se logró el objetivo principal de la actividad normativa </w:t>
            </w:r>
            <w:r>
              <w:rPr>
                <w:sz w:val="16"/>
                <w:szCs w:val="16"/>
              </w:rPr>
              <w:t xml:space="preserve">en el marco del Programa 2 </w:t>
            </w:r>
            <w:r w:rsidRPr="00CD775E">
              <w:rPr>
                <w:sz w:val="16"/>
                <w:szCs w:val="16"/>
              </w:rPr>
              <w:t>(es decir, concluir un tratado sobre el Derecho de los diseños</w:t>
            </w:r>
            <w:r>
              <w:rPr>
                <w:sz w:val="16"/>
                <w:szCs w:val="16"/>
              </w:rPr>
              <w:t>), se lograron avances considerables, en particular en el cuadragésimo séptimo período de sesiones de la Asamblea General de la OMPI.</w:t>
            </w:r>
          </w:p>
        </w:tc>
      </w:tr>
    </w:tbl>
    <w:p w:rsidR="00FA423E" w:rsidRPr="005E6E76" w:rsidRDefault="00FA423E" w:rsidP="00FA423E">
      <w:pPr>
        <w:jc w:val="both"/>
        <w:rPr>
          <w:sz w:val="20"/>
        </w:rPr>
      </w:pPr>
    </w:p>
    <w:p w:rsidR="00FA423E" w:rsidRPr="005E6E76" w:rsidRDefault="00FA423E" w:rsidP="00FA423E">
      <w:pPr>
        <w:jc w:val="both"/>
        <w:rPr>
          <w:sz w:val="20"/>
        </w:rPr>
      </w:pPr>
    </w:p>
    <w:p w:rsidR="00FA423E" w:rsidRPr="00526311" w:rsidRDefault="00403D2C" w:rsidP="00FA423E">
      <w:pPr>
        <w:rPr>
          <w:b/>
          <w:sz w:val="18"/>
          <w:szCs w:val="18"/>
        </w:rPr>
      </w:pPr>
      <w:r w:rsidRPr="00403D2C">
        <w:rPr>
          <w:sz w:val="20"/>
          <w:szCs w:val="22"/>
        </w:rPr>
        <w:t>UTILIZACIÓN DE LOS RECURSOS</w:t>
      </w:r>
    </w:p>
    <w:p w:rsidR="00FA423E" w:rsidRPr="00526311" w:rsidRDefault="00FA423E" w:rsidP="00FA423E">
      <w:pPr>
        <w:rPr>
          <w:sz w:val="20"/>
        </w:rPr>
      </w:pPr>
    </w:p>
    <w:p w:rsidR="00FA423E" w:rsidRPr="00526311" w:rsidRDefault="00FA423E" w:rsidP="00FA423E">
      <w:pPr>
        <w:pStyle w:val="NormalWeb"/>
        <w:spacing w:before="0" w:beforeAutospacing="0" w:after="0" w:afterAutospacing="0"/>
        <w:jc w:val="center"/>
        <w:rPr>
          <w:sz w:val="20"/>
          <w:szCs w:val="20"/>
          <w:lang w:val="es-ES"/>
        </w:rPr>
      </w:pPr>
      <w:r w:rsidRPr="00526311">
        <w:rPr>
          <w:sz w:val="20"/>
          <w:szCs w:val="20"/>
          <w:lang w:val="es-ES"/>
        </w:rPr>
        <w:t>Presupuesto y gastos reales (por resultado)</w:t>
      </w:r>
    </w:p>
    <w:p w:rsidR="00FA423E" w:rsidRPr="00526311" w:rsidRDefault="00FA423E" w:rsidP="00FA423E">
      <w:pPr>
        <w:pStyle w:val="NormalWeb"/>
        <w:spacing w:before="0" w:beforeAutospacing="0" w:after="0" w:afterAutospacing="0"/>
        <w:jc w:val="center"/>
        <w:rPr>
          <w:i/>
          <w:iCs/>
          <w:sz w:val="20"/>
          <w:szCs w:val="20"/>
          <w:lang w:val="es-ES"/>
        </w:rPr>
      </w:pPr>
      <w:r w:rsidRPr="00526311">
        <w:rPr>
          <w:i/>
          <w:iCs/>
          <w:sz w:val="20"/>
          <w:szCs w:val="20"/>
          <w:lang w:val="es-ES"/>
        </w:rPr>
        <w:t>(en miles de francos suizos)</w:t>
      </w:r>
    </w:p>
    <w:p w:rsidR="00FA423E" w:rsidRPr="00526311" w:rsidRDefault="00FA423E" w:rsidP="00FA423E">
      <w:pPr>
        <w:pStyle w:val="NormalWeb"/>
        <w:spacing w:before="0" w:beforeAutospacing="0" w:after="0" w:afterAutospacing="0"/>
        <w:jc w:val="center"/>
        <w:rPr>
          <w:i/>
          <w:iCs/>
          <w:sz w:val="16"/>
          <w:szCs w:val="20"/>
          <w:lang w:val="es-ES"/>
        </w:rPr>
      </w:pPr>
    </w:p>
    <w:p w:rsidR="00FA423E" w:rsidRPr="00526311" w:rsidRDefault="00FA423E" w:rsidP="00FA423E">
      <w:pPr>
        <w:jc w:val="center"/>
        <w:rPr>
          <w:sz w:val="20"/>
        </w:rPr>
      </w:pPr>
      <w:bookmarkStart w:id="59" w:name="Bm2"/>
      <w:bookmarkStart w:id="60" w:name="Punto2"/>
      <w:r>
        <w:rPr>
          <w:noProof/>
          <w:lang w:val="en-US" w:eastAsia="en-US"/>
        </w:rPr>
        <w:drawing>
          <wp:inline distT="0" distB="0" distL="0" distR="0" wp14:anchorId="1E1C7D41" wp14:editId="45FDE135">
            <wp:extent cx="5676900" cy="28575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676900" cy="2857500"/>
                    </a:xfrm>
                    <a:prstGeom prst="rect">
                      <a:avLst/>
                    </a:prstGeom>
                    <a:noFill/>
                    <a:ln>
                      <a:noFill/>
                    </a:ln>
                  </pic:spPr>
                </pic:pic>
              </a:graphicData>
            </a:graphic>
          </wp:inline>
        </w:drawing>
      </w:r>
      <w:bookmarkEnd w:id="59"/>
      <w:bookmarkEnd w:id="60"/>
    </w:p>
    <w:p w:rsidR="00FA423E" w:rsidRDefault="00FA423E" w:rsidP="00FA423E">
      <w:pPr>
        <w:rPr>
          <w:sz w:val="20"/>
        </w:rPr>
      </w:pPr>
    </w:p>
    <w:p w:rsidR="00FA423E" w:rsidRPr="00526311" w:rsidRDefault="00FA423E" w:rsidP="00FA423E">
      <w:pPr>
        <w:rPr>
          <w:sz w:val="20"/>
        </w:rPr>
      </w:pPr>
    </w:p>
    <w:p w:rsidR="00FA423E" w:rsidRPr="00526311" w:rsidRDefault="00FA423E" w:rsidP="00FA423E">
      <w:pPr>
        <w:pStyle w:val="NormalWeb"/>
        <w:keepNext/>
        <w:keepLines/>
        <w:spacing w:before="0" w:beforeAutospacing="0" w:after="0" w:afterAutospacing="0"/>
        <w:jc w:val="center"/>
        <w:rPr>
          <w:sz w:val="20"/>
          <w:szCs w:val="20"/>
          <w:lang w:val="es-ES"/>
        </w:rPr>
      </w:pPr>
      <w:r w:rsidRPr="00526311">
        <w:rPr>
          <w:sz w:val="20"/>
          <w:szCs w:val="20"/>
          <w:lang w:val="es-ES"/>
        </w:rPr>
        <w:t xml:space="preserve">Presupuesto y gastos reales (de personal y no relativos a personal) </w:t>
      </w:r>
    </w:p>
    <w:p w:rsidR="00FA423E" w:rsidRPr="00526311" w:rsidRDefault="00FA423E" w:rsidP="00FA423E">
      <w:pPr>
        <w:pStyle w:val="NormalWeb"/>
        <w:keepNext/>
        <w:keepLines/>
        <w:spacing w:before="0" w:beforeAutospacing="0" w:after="0" w:afterAutospacing="0"/>
        <w:jc w:val="center"/>
        <w:rPr>
          <w:i/>
          <w:iCs/>
          <w:sz w:val="20"/>
          <w:szCs w:val="20"/>
          <w:lang w:val="es-ES"/>
        </w:rPr>
      </w:pPr>
      <w:r w:rsidRPr="00526311">
        <w:rPr>
          <w:i/>
          <w:iCs/>
          <w:sz w:val="20"/>
          <w:szCs w:val="20"/>
          <w:lang w:val="es-ES"/>
        </w:rPr>
        <w:t>(en miles de francos suizos)</w:t>
      </w:r>
    </w:p>
    <w:p w:rsidR="00FA423E" w:rsidRPr="00526311" w:rsidRDefault="00FA423E" w:rsidP="00FA423E">
      <w:pPr>
        <w:pStyle w:val="NormalWeb"/>
        <w:keepNext/>
        <w:keepLines/>
        <w:spacing w:before="0" w:beforeAutospacing="0" w:after="0" w:afterAutospacing="0"/>
        <w:jc w:val="center"/>
        <w:rPr>
          <w:i/>
          <w:iCs/>
          <w:sz w:val="16"/>
          <w:szCs w:val="20"/>
          <w:lang w:val="es-ES"/>
        </w:rPr>
      </w:pPr>
    </w:p>
    <w:p w:rsidR="00FA423E" w:rsidRPr="00526311" w:rsidRDefault="00FA423E" w:rsidP="00FA423E">
      <w:pPr>
        <w:jc w:val="center"/>
        <w:rPr>
          <w:i/>
          <w:sz w:val="16"/>
          <w:szCs w:val="16"/>
        </w:rPr>
      </w:pPr>
      <w:bookmarkStart w:id="61" w:name="Point2"/>
      <w:r>
        <w:rPr>
          <w:noProof/>
          <w:lang w:val="en-US" w:eastAsia="en-US"/>
        </w:rPr>
        <w:drawing>
          <wp:inline distT="0" distB="0" distL="0" distR="0" wp14:anchorId="37B589BE" wp14:editId="4A720F8C">
            <wp:extent cx="5940425" cy="1017996"/>
            <wp:effectExtent l="0" t="0" r="3175"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40425" cy="1017996"/>
                    </a:xfrm>
                    <a:prstGeom prst="rect">
                      <a:avLst/>
                    </a:prstGeom>
                    <a:noFill/>
                    <a:ln>
                      <a:noFill/>
                    </a:ln>
                  </pic:spPr>
                </pic:pic>
              </a:graphicData>
            </a:graphic>
          </wp:inline>
        </w:drawing>
      </w:r>
      <w:bookmarkEnd w:id="61"/>
    </w:p>
    <w:p w:rsidR="00FA423E" w:rsidRPr="005E6E76" w:rsidRDefault="00FA423E" w:rsidP="00FA423E">
      <w:pPr>
        <w:rPr>
          <w:sz w:val="20"/>
        </w:rPr>
      </w:pPr>
    </w:p>
    <w:p w:rsidR="00FA423E" w:rsidRPr="005E6E76" w:rsidRDefault="00FA423E" w:rsidP="00FA423E">
      <w:pPr>
        <w:rPr>
          <w:sz w:val="20"/>
        </w:rPr>
      </w:pPr>
    </w:p>
    <w:p w:rsidR="00FA423E" w:rsidRPr="00526311" w:rsidRDefault="00403D2C" w:rsidP="00FA423E">
      <w:pPr>
        <w:keepNext/>
        <w:rPr>
          <w:sz w:val="20"/>
          <w:u w:val="single"/>
        </w:rPr>
      </w:pPr>
      <w:r w:rsidRPr="00403D2C">
        <w:rPr>
          <w:sz w:val="20"/>
        </w:rPr>
        <w:lastRenderedPageBreak/>
        <w:t>A.</w:t>
      </w:r>
      <w:r w:rsidRPr="00403D2C">
        <w:rPr>
          <w:sz w:val="20"/>
        </w:rPr>
        <w:tab/>
      </w:r>
      <w:r w:rsidRPr="00403D2C">
        <w:rPr>
          <w:sz w:val="20"/>
          <w:u w:val="single"/>
        </w:rPr>
        <w:t>Presupuesto final de 2014/15 tras las transferencias</w:t>
      </w:r>
    </w:p>
    <w:p w:rsidR="00FA423E" w:rsidRPr="00526311" w:rsidRDefault="00FA423E" w:rsidP="00FA423E">
      <w:pPr>
        <w:keepNext/>
        <w:autoSpaceDE w:val="0"/>
        <w:autoSpaceDN w:val="0"/>
        <w:jc w:val="both"/>
        <w:rPr>
          <w:sz w:val="20"/>
          <w:lang w:eastAsia="ko-KR"/>
        </w:rPr>
      </w:pPr>
    </w:p>
    <w:p w:rsidR="00FA423E" w:rsidRPr="003F6D40" w:rsidRDefault="00FA423E" w:rsidP="00FA423E">
      <w:pPr>
        <w:pStyle w:val="ListParagraph"/>
        <w:keepNext/>
        <w:numPr>
          <w:ilvl w:val="0"/>
          <w:numId w:val="12"/>
        </w:numPr>
        <w:tabs>
          <w:tab w:val="left" w:pos="709"/>
        </w:tabs>
        <w:autoSpaceDE w:val="0"/>
        <w:autoSpaceDN w:val="0"/>
        <w:ind w:left="0" w:firstLine="0"/>
        <w:jc w:val="both"/>
        <w:rPr>
          <w:rFonts w:cs="Arial"/>
          <w:lang w:val="es-ES" w:eastAsia="ko-KR"/>
        </w:rPr>
      </w:pPr>
      <w:r w:rsidRPr="00416E14">
        <w:rPr>
          <w:rFonts w:eastAsia="Batang" w:cs="Arial"/>
          <w:lang w:val="es-ES" w:eastAsia="ko-KR"/>
        </w:rPr>
        <w:t>En</w:t>
      </w:r>
      <w:r w:rsidRPr="00526311">
        <w:rPr>
          <w:rFonts w:eastAsia="Batang"/>
          <w:lang w:val="es-ES" w:eastAsia="ko-KR"/>
        </w:rPr>
        <w:t xml:space="preserve"> el presupuesto </w:t>
      </w:r>
      <w:r>
        <w:rPr>
          <w:rFonts w:eastAsia="Batang"/>
          <w:lang w:val="es-ES" w:eastAsia="ko-KR"/>
        </w:rPr>
        <w:t xml:space="preserve">final </w:t>
      </w:r>
      <w:r w:rsidRPr="00526311">
        <w:rPr>
          <w:rFonts w:eastAsia="Batang"/>
          <w:lang w:val="es-ES" w:eastAsia="ko-KR"/>
        </w:rPr>
        <w:t xml:space="preserve">de </w:t>
      </w:r>
      <w:r>
        <w:rPr>
          <w:rFonts w:eastAsia="Batang"/>
          <w:lang w:val="es-ES" w:eastAsia="ko-KR"/>
        </w:rPr>
        <w:t>2014/15 tras las transferencias</w:t>
      </w:r>
      <w:r w:rsidRPr="00526311">
        <w:rPr>
          <w:rFonts w:eastAsia="Batang"/>
          <w:lang w:val="es-ES" w:eastAsia="ko-KR"/>
        </w:rPr>
        <w:t xml:space="preserve"> la disminución de recursos relativos al resultado I.1 (Elaboración de marcos normativos internacionales equilibrados para la P</w:t>
      </w:r>
      <w:r>
        <w:rPr>
          <w:rFonts w:eastAsia="Batang"/>
          <w:lang w:val="es-ES" w:eastAsia="ko-KR"/>
        </w:rPr>
        <w:t>.I.) se debe a la transferencia</w:t>
      </w:r>
      <w:r w:rsidRPr="00526311">
        <w:rPr>
          <w:rFonts w:eastAsia="Batang"/>
          <w:lang w:val="es-ES" w:eastAsia="ko-KR"/>
        </w:rPr>
        <w:t xml:space="preserve"> </w:t>
      </w:r>
      <w:r>
        <w:rPr>
          <w:rFonts w:eastAsia="Batang"/>
          <w:lang w:val="es-ES" w:eastAsia="ko-KR"/>
        </w:rPr>
        <w:t>desde el programa</w:t>
      </w:r>
      <w:r w:rsidRPr="00526311">
        <w:rPr>
          <w:rFonts w:eastAsia="Batang"/>
          <w:lang w:val="es-ES" w:eastAsia="ko-KR"/>
        </w:rPr>
        <w:t xml:space="preserve"> de recursos</w:t>
      </w:r>
      <w:r w:rsidRPr="00526311">
        <w:rPr>
          <w:rFonts w:eastAsia="Batang"/>
          <w:szCs w:val="24"/>
          <w:lang w:val="es-ES" w:eastAsia="ko-KR"/>
        </w:rPr>
        <w:t xml:space="preserve"> </w:t>
      </w:r>
      <w:r w:rsidRPr="00526311">
        <w:rPr>
          <w:rFonts w:eastAsia="Batang"/>
          <w:lang w:val="es-ES" w:eastAsia="ko-KR"/>
        </w:rPr>
        <w:t xml:space="preserve">no relativos a personal inicialmente presupuestados </w:t>
      </w:r>
      <w:r>
        <w:rPr>
          <w:rFonts w:eastAsia="Batang"/>
          <w:lang w:val="es-ES" w:eastAsia="ko-KR"/>
        </w:rPr>
        <w:t>en previsión de que se celebrara</w:t>
      </w:r>
      <w:r w:rsidRPr="00526311">
        <w:rPr>
          <w:rFonts w:eastAsia="Batang"/>
          <w:lang w:val="es-ES" w:eastAsia="ko-KR"/>
        </w:rPr>
        <w:t xml:space="preserve"> una conferencia diplomática.</w:t>
      </w:r>
    </w:p>
    <w:p w:rsidR="00FA423E" w:rsidRPr="003F6D40" w:rsidRDefault="00FA423E" w:rsidP="00FA423E">
      <w:pPr>
        <w:pStyle w:val="ListParagraph"/>
        <w:tabs>
          <w:tab w:val="left" w:pos="709"/>
        </w:tabs>
        <w:autoSpaceDE w:val="0"/>
        <w:autoSpaceDN w:val="0"/>
        <w:ind w:left="0"/>
        <w:jc w:val="both"/>
        <w:rPr>
          <w:rFonts w:cs="Arial"/>
          <w:lang w:val="es-ES" w:eastAsia="ko-KR"/>
        </w:rPr>
      </w:pPr>
    </w:p>
    <w:p w:rsidR="00FA423E" w:rsidRDefault="00FA423E" w:rsidP="00FA423E">
      <w:pPr>
        <w:pStyle w:val="ListParagraph"/>
        <w:numPr>
          <w:ilvl w:val="0"/>
          <w:numId w:val="12"/>
        </w:numPr>
        <w:tabs>
          <w:tab w:val="left" w:pos="709"/>
        </w:tabs>
        <w:autoSpaceDE w:val="0"/>
        <w:autoSpaceDN w:val="0"/>
        <w:ind w:left="0" w:firstLine="0"/>
        <w:jc w:val="both"/>
        <w:rPr>
          <w:rFonts w:cs="Arial"/>
          <w:lang w:val="es-ES" w:eastAsia="ko-KR"/>
        </w:rPr>
      </w:pPr>
      <w:r>
        <w:rPr>
          <w:rFonts w:cs="Arial"/>
          <w:lang w:val="es-ES" w:eastAsia="ko-KR"/>
        </w:rPr>
        <w:t>El ligero aumento de recursos de personal que figura en el presupuesto final de 2014/15 tras las transferencias se debe a que un puesto se reclasificó a una categoría superior.</w:t>
      </w:r>
    </w:p>
    <w:p w:rsidR="00FA423E" w:rsidRPr="000441EB" w:rsidRDefault="00FA423E" w:rsidP="00FA423E">
      <w:pPr>
        <w:pStyle w:val="ListParagraph"/>
        <w:rPr>
          <w:rFonts w:cs="Arial"/>
          <w:lang w:val="es-ES" w:eastAsia="ko-KR"/>
        </w:rPr>
      </w:pPr>
    </w:p>
    <w:p w:rsidR="00FA423E" w:rsidRPr="00526311" w:rsidRDefault="00FA423E" w:rsidP="00FA423E">
      <w:pPr>
        <w:pStyle w:val="ListParagraph"/>
        <w:numPr>
          <w:ilvl w:val="0"/>
          <w:numId w:val="12"/>
        </w:numPr>
        <w:tabs>
          <w:tab w:val="left" w:pos="709"/>
        </w:tabs>
        <w:autoSpaceDE w:val="0"/>
        <w:autoSpaceDN w:val="0"/>
        <w:ind w:left="0" w:firstLine="0"/>
        <w:jc w:val="both"/>
        <w:rPr>
          <w:rFonts w:cs="Arial"/>
          <w:lang w:val="es-ES" w:eastAsia="ko-KR"/>
        </w:rPr>
      </w:pPr>
      <w:r w:rsidRPr="000441EB">
        <w:rPr>
          <w:rFonts w:cs="Arial"/>
          <w:lang w:val="es-ES" w:eastAsia="ko-KR"/>
        </w:rPr>
        <w:t>Los ajustes efectuados respecto de los distintos resultados en el presupuesto de 2014/15 tras las transferencias</w:t>
      </w:r>
      <w:r>
        <w:rPr>
          <w:rFonts w:cs="Arial"/>
          <w:lang w:val="es-ES" w:eastAsia="ko-KR"/>
        </w:rPr>
        <w:t>,</w:t>
      </w:r>
      <w:r w:rsidRPr="000441EB">
        <w:rPr>
          <w:rFonts w:cs="Arial"/>
          <w:lang w:val="es-ES" w:eastAsia="ko-KR"/>
        </w:rPr>
        <w:t xml:space="preserve"> </w:t>
      </w:r>
      <w:r>
        <w:rPr>
          <w:rFonts w:cs="Arial"/>
          <w:lang w:val="es-ES" w:eastAsia="ko-KR"/>
        </w:rPr>
        <w:t xml:space="preserve">en particular en los resultados </w:t>
      </w:r>
      <w:r w:rsidRPr="00526311">
        <w:rPr>
          <w:rFonts w:eastAsia="Batang" w:cs="Arial"/>
          <w:lang w:val="es-ES" w:eastAsia="ko-KR"/>
        </w:rPr>
        <w:t>I.2 (asesoramiento</w:t>
      </w:r>
      <w:r w:rsidRPr="00526311">
        <w:rPr>
          <w:lang w:val="es-ES"/>
        </w:rPr>
        <w:t xml:space="preserve"> legislativo)</w:t>
      </w:r>
      <w:r>
        <w:rPr>
          <w:lang w:val="es-ES"/>
        </w:rPr>
        <w:t xml:space="preserve"> y I.3 (</w:t>
      </w:r>
      <w:r w:rsidRPr="000441EB">
        <w:rPr>
          <w:bCs/>
          <w:lang w:val="es-ES"/>
        </w:rPr>
        <w:t>Aumento de la protección de los emblemas de Estado</w:t>
      </w:r>
      <w:r>
        <w:rPr>
          <w:lang w:val="es-ES"/>
        </w:rPr>
        <w:t xml:space="preserve">), </w:t>
      </w:r>
      <w:r w:rsidRPr="000441EB">
        <w:rPr>
          <w:rFonts w:cs="Arial"/>
          <w:lang w:val="es-ES" w:eastAsia="ko-KR"/>
        </w:rPr>
        <w:t>son consecuencia de la metodología nueva y más precisa para la consignación de los recursos de personal tras las mejoras introducidas en el sistema de planificación de la gestión del rendimiento institucional con respecto a</w:t>
      </w:r>
      <w:r>
        <w:rPr>
          <w:rFonts w:cs="Arial"/>
          <w:lang w:val="es-ES" w:eastAsia="ko-KR"/>
        </w:rPr>
        <w:t xml:space="preserve"> </w:t>
      </w:r>
      <w:r w:rsidRPr="000441EB">
        <w:rPr>
          <w:rFonts w:cs="Arial"/>
          <w:lang w:val="es-ES" w:eastAsia="ko-KR"/>
        </w:rPr>
        <w:t>l</w:t>
      </w:r>
      <w:r>
        <w:rPr>
          <w:rFonts w:cs="Arial"/>
          <w:lang w:val="es-ES" w:eastAsia="ko-KR"/>
        </w:rPr>
        <w:t>os</w:t>
      </w:r>
      <w:r w:rsidRPr="000441EB">
        <w:rPr>
          <w:rFonts w:cs="Arial"/>
          <w:lang w:val="es-ES" w:eastAsia="ko-KR"/>
        </w:rPr>
        <w:t xml:space="preserve"> ejercicio</w:t>
      </w:r>
      <w:r>
        <w:rPr>
          <w:rFonts w:cs="Arial"/>
          <w:lang w:val="es-ES" w:eastAsia="ko-KR"/>
        </w:rPr>
        <w:t>s</w:t>
      </w:r>
      <w:r w:rsidRPr="000441EB">
        <w:rPr>
          <w:rFonts w:cs="Arial"/>
          <w:lang w:val="es-ES" w:eastAsia="ko-KR"/>
        </w:rPr>
        <w:t xml:space="preserve"> de planificación anual del trabajo</w:t>
      </w:r>
      <w:r>
        <w:rPr>
          <w:rFonts w:cs="Arial"/>
          <w:lang w:val="es-ES" w:eastAsia="ko-KR"/>
        </w:rPr>
        <w:t xml:space="preserve"> correspondientes a 2014 y 2015</w:t>
      </w:r>
      <w:r w:rsidRPr="000441EB">
        <w:rPr>
          <w:rFonts w:cs="Arial"/>
          <w:lang w:val="es-ES" w:eastAsia="ko-KR"/>
        </w:rPr>
        <w:t>.</w:t>
      </w:r>
    </w:p>
    <w:p w:rsidR="00FA423E" w:rsidRPr="00526311" w:rsidRDefault="00FA423E" w:rsidP="00FA423E">
      <w:pPr>
        <w:autoSpaceDE w:val="0"/>
        <w:autoSpaceDN w:val="0"/>
        <w:jc w:val="both"/>
        <w:rPr>
          <w:sz w:val="20"/>
          <w:lang w:eastAsia="ko-KR"/>
        </w:rPr>
      </w:pPr>
    </w:p>
    <w:p w:rsidR="00FA423E" w:rsidRPr="00526311" w:rsidRDefault="00403D2C" w:rsidP="00FA423E">
      <w:pPr>
        <w:jc w:val="both"/>
        <w:rPr>
          <w:sz w:val="20"/>
          <w:u w:val="single"/>
          <w:lang w:eastAsia="ko-KR"/>
        </w:rPr>
      </w:pPr>
      <w:r w:rsidRPr="00403D2C">
        <w:rPr>
          <w:sz w:val="20"/>
          <w:lang w:eastAsia="ko-KR"/>
        </w:rPr>
        <w:t>B.</w:t>
      </w:r>
      <w:r w:rsidRPr="00403D2C">
        <w:rPr>
          <w:sz w:val="20"/>
          <w:lang w:eastAsia="ko-KR"/>
        </w:rPr>
        <w:tab/>
      </w:r>
      <w:r w:rsidRPr="00403D2C">
        <w:rPr>
          <w:sz w:val="20"/>
          <w:u w:val="single"/>
          <w:lang w:eastAsia="ko-KR"/>
        </w:rPr>
        <w:t>Utilización del presupuesto en 2014/15</w:t>
      </w:r>
    </w:p>
    <w:p w:rsidR="00FA423E" w:rsidRPr="00526311" w:rsidRDefault="00FA423E" w:rsidP="00FA423E">
      <w:pPr>
        <w:tabs>
          <w:tab w:val="left" w:pos="709"/>
        </w:tabs>
        <w:jc w:val="both"/>
        <w:rPr>
          <w:sz w:val="20"/>
          <w:u w:val="single"/>
          <w:lang w:eastAsia="ko-KR"/>
        </w:rPr>
      </w:pPr>
    </w:p>
    <w:p w:rsidR="00FA423E" w:rsidRPr="00526311" w:rsidRDefault="00FA423E" w:rsidP="00FA423E">
      <w:pPr>
        <w:pStyle w:val="ListParagraph"/>
        <w:numPr>
          <w:ilvl w:val="0"/>
          <w:numId w:val="12"/>
        </w:numPr>
        <w:tabs>
          <w:tab w:val="left" w:pos="709"/>
        </w:tabs>
        <w:autoSpaceDE w:val="0"/>
        <w:autoSpaceDN w:val="0"/>
        <w:ind w:left="0" w:firstLine="0"/>
        <w:jc w:val="both"/>
        <w:rPr>
          <w:rFonts w:eastAsia="Batang" w:cs="Arial"/>
          <w:lang w:val="es-ES" w:eastAsia="ko-KR"/>
        </w:rPr>
      </w:pPr>
      <w:r w:rsidRPr="00526311">
        <w:rPr>
          <w:rFonts w:eastAsia="Batang" w:cs="Arial"/>
          <w:lang w:val="es-ES" w:eastAsia="ko-KR"/>
        </w:rPr>
        <w:t xml:space="preserve">La </w:t>
      </w:r>
      <w:r>
        <w:rPr>
          <w:rFonts w:eastAsia="Batang" w:cs="Arial"/>
          <w:lang w:val="es-ES" w:eastAsia="ko-KR"/>
        </w:rPr>
        <w:t xml:space="preserve">pequeña </w:t>
      </w:r>
      <w:r w:rsidRPr="00526311">
        <w:rPr>
          <w:rFonts w:eastAsia="Batang" w:cs="Arial"/>
          <w:lang w:val="es-ES" w:eastAsia="ko-KR"/>
        </w:rPr>
        <w:t>infrautilización de los recursos no relativos a personal se debió principalmente a:</w:t>
      </w:r>
    </w:p>
    <w:p w:rsidR="00FA423E" w:rsidRPr="00526311" w:rsidRDefault="00FA423E" w:rsidP="00FA423E">
      <w:pPr>
        <w:pStyle w:val="ListParagraph"/>
        <w:tabs>
          <w:tab w:val="left" w:pos="709"/>
        </w:tabs>
        <w:autoSpaceDE w:val="0"/>
        <w:autoSpaceDN w:val="0"/>
        <w:ind w:left="0"/>
        <w:jc w:val="both"/>
        <w:rPr>
          <w:rFonts w:eastAsia="Batang" w:cs="Arial"/>
          <w:lang w:val="es-ES" w:eastAsia="ko-KR"/>
        </w:rPr>
      </w:pPr>
    </w:p>
    <w:p w:rsidR="00FA423E" w:rsidRPr="00526311" w:rsidRDefault="00FA423E" w:rsidP="00FA423E">
      <w:pPr>
        <w:pStyle w:val="ListParagraph"/>
        <w:numPr>
          <w:ilvl w:val="0"/>
          <w:numId w:val="10"/>
        </w:numPr>
        <w:spacing w:after="120"/>
        <w:ind w:left="1134" w:hanging="425"/>
        <w:jc w:val="both"/>
        <w:rPr>
          <w:lang w:val="es-ES"/>
        </w:rPr>
      </w:pPr>
      <w:r w:rsidRPr="00526311">
        <w:rPr>
          <w:rFonts w:eastAsia="Batang" w:cs="Arial"/>
          <w:lang w:val="es-ES" w:eastAsia="ko-KR"/>
        </w:rPr>
        <w:t>el aplazamiento de la conferencia diplomática en el marco del resultado I.1 (Elaboración de marcos normativos internacionales equilibrados para la P.I.);</w:t>
      </w:r>
    </w:p>
    <w:p w:rsidR="00FA423E" w:rsidRPr="00526311" w:rsidRDefault="00FA423E" w:rsidP="00FA423E">
      <w:pPr>
        <w:pStyle w:val="ListParagraph"/>
        <w:numPr>
          <w:ilvl w:val="0"/>
          <w:numId w:val="10"/>
        </w:numPr>
        <w:spacing w:after="120"/>
        <w:ind w:left="1134" w:hanging="425"/>
        <w:jc w:val="both"/>
        <w:rPr>
          <w:lang w:val="es-ES"/>
        </w:rPr>
      </w:pPr>
      <w:r w:rsidRPr="00526311">
        <w:rPr>
          <w:rFonts w:eastAsia="Batang" w:cs="Arial"/>
          <w:lang w:val="es-ES" w:eastAsia="ko-KR"/>
        </w:rPr>
        <w:t>los ahorros de costos derivados de la reducción de</w:t>
      </w:r>
      <w:r>
        <w:rPr>
          <w:rFonts w:eastAsia="Batang" w:cs="Arial"/>
          <w:lang w:val="es-ES" w:eastAsia="ko-KR"/>
        </w:rPr>
        <w:t>l número de</w:t>
      </w:r>
      <w:r w:rsidRPr="00526311">
        <w:rPr>
          <w:rFonts w:eastAsia="Batang" w:cs="Arial"/>
          <w:lang w:val="es-ES" w:eastAsia="ko-KR"/>
        </w:rPr>
        <w:t xml:space="preserve"> misiones del personal en el marco del resultado I.2 (asesoramiento</w:t>
      </w:r>
      <w:r>
        <w:rPr>
          <w:lang w:val="es-ES"/>
        </w:rPr>
        <w:t xml:space="preserve"> legislativo),</w:t>
      </w:r>
      <w:r w:rsidRPr="00526311">
        <w:rPr>
          <w:lang w:val="es-ES"/>
        </w:rPr>
        <w:t xml:space="preserve"> y</w:t>
      </w:r>
    </w:p>
    <w:p w:rsidR="00FA423E" w:rsidRPr="00526311" w:rsidRDefault="00FA423E" w:rsidP="00FA423E">
      <w:pPr>
        <w:pStyle w:val="ListParagraph"/>
        <w:numPr>
          <w:ilvl w:val="0"/>
          <w:numId w:val="10"/>
        </w:numPr>
        <w:spacing w:after="120"/>
        <w:ind w:left="1134" w:hanging="425"/>
        <w:jc w:val="both"/>
        <w:rPr>
          <w:lang w:val="es-ES"/>
        </w:rPr>
      </w:pPr>
      <w:r w:rsidRPr="00526311">
        <w:rPr>
          <w:lang w:val="es-ES"/>
        </w:rPr>
        <w:t>la demora en la contratación de un oficial de proyectos para el Proyecto piloto sobre la Propiedad Intelectual y la gestión de diseños para fomentar las actividades comerciales en los países en desarrollo y los paíse</w:t>
      </w:r>
      <w:r>
        <w:rPr>
          <w:lang w:val="es-ES"/>
        </w:rPr>
        <w:t>s menos adelantados, de la A.D.</w:t>
      </w:r>
      <w:r w:rsidRPr="00526311">
        <w:rPr>
          <w:lang w:val="es-ES"/>
        </w:rPr>
        <w:t xml:space="preserve"> </w:t>
      </w:r>
      <w:r>
        <w:rPr>
          <w:lang w:val="es-ES"/>
        </w:rPr>
        <w:t>que, en definitiva, se tradujo en un ligero retraso en la ejecución del proyecto, lo que se reflejó</w:t>
      </w:r>
      <w:r w:rsidRPr="00526311">
        <w:rPr>
          <w:lang w:val="es-ES"/>
        </w:rPr>
        <w:t xml:space="preserve"> en el resultado III.4 (Fortalecimiento de los mecanismos de cooperación y de los programas adaptados a las necesidades de los países en desarrollo y los PMA).</w:t>
      </w:r>
      <w:r>
        <w:rPr>
          <w:lang w:val="es-ES"/>
        </w:rPr>
        <w:t xml:space="preserve">  Está previsto que el proyecto esté finalizado durante el primer semestre de 2016.</w:t>
      </w:r>
    </w:p>
    <w:p w:rsidR="00FA423E" w:rsidRDefault="00FA423E" w:rsidP="00FA423E"/>
    <w:p w:rsidR="00FA423E" w:rsidRDefault="00FA423E" w:rsidP="00FA423E"/>
    <w:p w:rsidR="00FA423E" w:rsidRDefault="00FA423E" w:rsidP="00FA423E">
      <w:pPr>
        <w:rPr>
          <w:b/>
          <w:bCs/>
          <w:iCs/>
          <w:caps/>
          <w:szCs w:val="28"/>
        </w:rPr>
      </w:pPr>
      <w:bookmarkStart w:id="62" w:name="_Toc422927404"/>
      <w:r>
        <w:rPr>
          <w:b/>
        </w:rPr>
        <w:br w:type="page"/>
      </w:r>
    </w:p>
    <w:p w:rsidR="00FA423E" w:rsidRPr="002D0A6A" w:rsidRDefault="00FA423E" w:rsidP="00FA423E">
      <w:pPr>
        <w:pStyle w:val="Heading2"/>
        <w:tabs>
          <w:tab w:val="left" w:pos="2410"/>
        </w:tabs>
        <w:rPr>
          <w:b/>
        </w:rPr>
      </w:pPr>
      <w:bookmarkStart w:id="63" w:name="_Toc455159072"/>
      <w:r w:rsidRPr="002D0A6A">
        <w:rPr>
          <w:b/>
        </w:rPr>
        <w:lastRenderedPageBreak/>
        <w:t>PROGRAMA 3</w:t>
      </w:r>
      <w:r w:rsidRPr="002D0A6A">
        <w:rPr>
          <w:b/>
        </w:rPr>
        <w:tab/>
        <w:t>DERECHO DE AUTOR Y DERECHOS CONEXOS</w:t>
      </w:r>
      <w:bookmarkEnd w:id="62"/>
      <w:bookmarkEnd w:id="63"/>
    </w:p>
    <w:p w:rsidR="00FA423E" w:rsidRPr="002D0A6A" w:rsidRDefault="00FA423E" w:rsidP="00FA423E">
      <w:pPr>
        <w:rPr>
          <w:sz w:val="20"/>
        </w:rPr>
      </w:pPr>
    </w:p>
    <w:p w:rsidR="00FA423E" w:rsidRPr="002D0A6A" w:rsidRDefault="00FA423E" w:rsidP="00FA423E">
      <w:pPr>
        <w:tabs>
          <w:tab w:val="left" w:pos="2410"/>
        </w:tabs>
        <w:rPr>
          <w:b/>
          <w:sz w:val="20"/>
        </w:rPr>
      </w:pPr>
      <w:r w:rsidRPr="002D0A6A">
        <w:rPr>
          <w:b/>
          <w:sz w:val="20"/>
        </w:rPr>
        <w:t>Directora de programa</w:t>
      </w:r>
      <w:r w:rsidRPr="002D0A6A">
        <w:rPr>
          <w:b/>
          <w:sz w:val="20"/>
        </w:rPr>
        <w:tab/>
        <w:t>Sra. M. Woods</w:t>
      </w:r>
      <w:r w:rsidR="00801E65">
        <w:rPr>
          <w:b/>
          <w:sz w:val="20"/>
        </w:rPr>
        <w:t xml:space="preserve"> (funcionaria encargada)</w:t>
      </w:r>
    </w:p>
    <w:p w:rsidR="00FA423E" w:rsidRPr="002D0A6A" w:rsidRDefault="00FA423E" w:rsidP="00FA423E">
      <w:pPr>
        <w:rPr>
          <w:sz w:val="20"/>
        </w:rPr>
      </w:pPr>
    </w:p>
    <w:p w:rsidR="00FA423E" w:rsidRPr="002D0A6A" w:rsidRDefault="00FA423E" w:rsidP="00FA423E">
      <w:pPr>
        <w:rPr>
          <w:sz w:val="20"/>
        </w:rPr>
      </w:pPr>
    </w:p>
    <w:p w:rsidR="00FA423E" w:rsidRPr="002D0A6A" w:rsidRDefault="008F7CBE" w:rsidP="00FA423E">
      <w:pPr>
        <w:rPr>
          <w:bCs/>
          <w:szCs w:val="22"/>
        </w:rPr>
      </w:pPr>
      <w:r w:rsidRPr="008F7CBE">
        <w:rPr>
          <w:bCs/>
          <w:sz w:val="20"/>
          <w:szCs w:val="22"/>
        </w:rPr>
        <w:t>LOGROS ALCANZADOS EN EL BIENIO 2014/15</w:t>
      </w:r>
    </w:p>
    <w:p w:rsidR="00FA423E" w:rsidRPr="002D0A6A" w:rsidRDefault="00FA423E" w:rsidP="00FA423E">
      <w:pPr>
        <w:rPr>
          <w:sz w:val="20"/>
        </w:rPr>
      </w:pPr>
    </w:p>
    <w:p w:rsidR="00FA423E" w:rsidRPr="002D0A6A" w:rsidRDefault="00FA423E" w:rsidP="00FA423E">
      <w:pPr>
        <w:pStyle w:val="ListParagraph"/>
        <w:numPr>
          <w:ilvl w:val="0"/>
          <w:numId w:val="14"/>
        </w:numPr>
        <w:tabs>
          <w:tab w:val="left" w:pos="0"/>
          <w:tab w:val="left" w:pos="709"/>
        </w:tabs>
        <w:ind w:left="0" w:firstLine="0"/>
        <w:jc w:val="both"/>
        <w:rPr>
          <w:rFonts w:cs="Arial"/>
          <w:lang w:val="es-ES"/>
        </w:rPr>
      </w:pPr>
      <w:r w:rsidRPr="002D0A6A">
        <w:rPr>
          <w:rFonts w:eastAsia="SimSun" w:cs="Arial"/>
          <w:bCs/>
          <w:lang w:val="es-ES" w:eastAsia="zh-CN"/>
        </w:rPr>
        <w:t>La labor relativa al programa en el bienio 2014/15 se centró en lograr los resultados previstos en tres ámbitos amplios:  i) avanzar en la labor normativa apoyando la adhesión de los Estados miembros a los tratados de la OMPI sobre derecho de autor y en el Comité Permanente de Derecho de A</w:t>
      </w:r>
      <w:r>
        <w:rPr>
          <w:rFonts w:eastAsia="SimSun" w:cs="Arial"/>
          <w:bCs/>
          <w:lang w:val="es-ES" w:eastAsia="zh-CN"/>
        </w:rPr>
        <w:t xml:space="preserve">utor y Derechos Conexos (SCCR); </w:t>
      </w:r>
      <w:r w:rsidRPr="002D0A6A">
        <w:rPr>
          <w:rFonts w:eastAsia="SimSun" w:cs="Arial"/>
          <w:bCs/>
          <w:lang w:val="es-ES" w:eastAsia="zh-CN"/>
        </w:rPr>
        <w:t xml:space="preserve"> ii) reforzar el desarrollo de la infraestructura de derecho de autor, y iii) mejorar la capacidad institucional y humana en los países en desarrollo y los PMA, con vistas a utilizar el sistema de derecho de autor para explotar el potencial económico de sus culturas.  Se ha progresado de forma notable en cada uno de estos ámbitos, tal y como ponen de manifiesto los indicadores de rendimiento que se examinan a continuación.</w:t>
      </w:r>
    </w:p>
    <w:p w:rsidR="00FA423E" w:rsidRPr="002D0A6A" w:rsidRDefault="00FA423E" w:rsidP="00FA423E">
      <w:pPr>
        <w:widowControl w:val="0"/>
        <w:jc w:val="both"/>
        <w:rPr>
          <w:sz w:val="20"/>
        </w:rPr>
      </w:pPr>
    </w:p>
    <w:p w:rsidR="00FA423E" w:rsidRPr="002D0A6A" w:rsidRDefault="00FA423E" w:rsidP="00FA423E">
      <w:pPr>
        <w:widowControl w:val="0"/>
        <w:jc w:val="both"/>
        <w:rPr>
          <w:bCs/>
          <w:sz w:val="20"/>
          <w:u w:val="single"/>
        </w:rPr>
      </w:pPr>
      <w:r w:rsidRPr="002D0A6A">
        <w:rPr>
          <w:bCs/>
          <w:sz w:val="20"/>
          <w:u w:val="single"/>
        </w:rPr>
        <w:t>Labor normativa y de política</w:t>
      </w:r>
    </w:p>
    <w:p w:rsidR="00FA423E" w:rsidRPr="002D0A6A" w:rsidRDefault="00FA423E" w:rsidP="00FA423E">
      <w:pPr>
        <w:widowControl w:val="0"/>
        <w:jc w:val="both"/>
        <w:rPr>
          <w:bCs/>
          <w:sz w:val="20"/>
        </w:rPr>
      </w:pPr>
    </w:p>
    <w:p w:rsidR="00FA423E" w:rsidRPr="002D0A6A" w:rsidRDefault="00FA423E" w:rsidP="00FA423E">
      <w:pPr>
        <w:pStyle w:val="ListParagraph"/>
        <w:widowControl w:val="0"/>
        <w:numPr>
          <w:ilvl w:val="0"/>
          <w:numId w:val="14"/>
        </w:numPr>
        <w:tabs>
          <w:tab w:val="left" w:pos="0"/>
          <w:tab w:val="left" w:pos="709"/>
        </w:tabs>
        <w:ind w:left="0" w:firstLine="0"/>
        <w:jc w:val="both"/>
        <w:rPr>
          <w:bCs/>
          <w:lang w:val="es-ES"/>
        </w:rPr>
      </w:pPr>
      <w:r w:rsidRPr="002D0A6A">
        <w:rPr>
          <w:rFonts w:eastAsia="SimSun" w:cs="Arial"/>
          <w:bCs/>
          <w:lang w:val="es-ES" w:eastAsia="zh-CN"/>
        </w:rPr>
        <w:t>Siguiendo las recomendaciones de la A.D., las actividades normativas del programa fueron incluyentes y estuvieron orientadas hacia los miembros (recomendación 15), se tuvieron debidamente en cuenta los límites, la función y el alcance del dominio público (recomendaciones 16 y 20) y las flexibilidades en los acuerdos internacionales sobre P.I. (recomendación 17).  Las negociaciones del SCCR se basaron en consultas abiertas y equilibradas (recomendaciones 21 y 42) y contribuyeron a los objetivos de desarrollo de las Naciones Unidas (recomendación 22).  El asesoramiento en materia legislativa relacionado con los derechos de autor y derechos conexos que se prestó a los Estados miembros que lo solicitaron estuvo orientado a potenciar el desarrollo, fue equilibrado y se adaptó a las situaciones específicas de cada Estado miembro, de acuerdo con los principios de la A.D. (recomendación 13), y tuvo en cuenta las flexibilidades aplicables a los países según sus distintos niveles de desarrollo (recomendaciones 14 y 17).</w:t>
      </w:r>
    </w:p>
    <w:p w:rsidR="00FA423E" w:rsidRPr="002D0A6A" w:rsidRDefault="00FA423E" w:rsidP="00FA423E">
      <w:pPr>
        <w:widowControl w:val="0"/>
        <w:jc w:val="both"/>
        <w:rPr>
          <w:bCs/>
          <w:sz w:val="20"/>
        </w:rPr>
      </w:pPr>
    </w:p>
    <w:p w:rsidR="00FA423E" w:rsidRPr="002D0A6A" w:rsidRDefault="00FA423E" w:rsidP="00FA423E">
      <w:pPr>
        <w:pStyle w:val="ListParagraph"/>
        <w:widowControl w:val="0"/>
        <w:numPr>
          <w:ilvl w:val="0"/>
          <w:numId w:val="14"/>
        </w:numPr>
        <w:tabs>
          <w:tab w:val="left" w:pos="0"/>
          <w:tab w:val="left" w:pos="709"/>
        </w:tabs>
        <w:ind w:left="0" w:firstLine="0"/>
        <w:jc w:val="both"/>
        <w:rPr>
          <w:rFonts w:eastAsia="SimSun" w:cs="Arial"/>
          <w:bCs/>
          <w:lang w:val="es-ES" w:eastAsia="zh-CN"/>
        </w:rPr>
      </w:pPr>
      <w:r w:rsidRPr="002D0A6A">
        <w:rPr>
          <w:rFonts w:eastAsia="SimSun" w:cs="Arial"/>
          <w:bCs/>
          <w:lang w:val="es-ES" w:eastAsia="zh-CN"/>
        </w:rPr>
        <w:t xml:space="preserve">En 2014 y 2015 se siguió avanzando en el proceso hacia la entrada en vigor de los dos nuevos tratados sobre derechos de autor.  El Tratado de Beijing para la protección de las interpretaciones y ejecuciones audiovisuales (el “Tratado de Beijing”) obtuvo ocho nuevas ratificaciones/adhesiones (Chile, China, Japón, Emiratos Árabes Unidos, Eslovaquia, Federación de Rusia, Qatar y República de </w:t>
      </w:r>
      <w:proofErr w:type="spellStart"/>
      <w:r w:rsidRPr="002D0A6A">
        <w:rPr>
          <w:rFonts w:eastAsia="SimSun" w:cs="Arial"/>
          <w:bCs/>
          <w:lang w:val="es-ES" w:eastAsia="zh-CN"/>
        </w:rPr>
        <w:t>Moldova</w:t>
      </w:r>
      <w:proofErr w:type="spellEnd"/>
      <w:r w:rsidRPr="002D0A6A">
        <w:rPr>
          <w:rFonts w:eastAsia="SimSun" w:cs="Arial"/>
          <w:bCs/>
          <w:lang w:val="es-ES" w:eastAsia="zh-CN"/>
        </w:rPr>
        <w:t>), alcanzando así un total de 10 de las 30 ratificaciones o adhesiones que son necesarias para su entrada en vigor.  El Tratado de Marrakech para facilitar el acceso a las obras publicadas a las personas ciegas, con discapacidad visual o con otras dificultades para acceder al texto impreso (el “Tratado de Marrakech”), obtuvo 80 firmas en total antes del plazo de junio de 2014.  Dicho tratado consiguió 13 ratificaciones y adhesiones (Argentina, Australia, Brasil, Emiratos Árabes Unidos, El Salvador, India, Malí, México, Mongolia, Paraguay, República de Corea, Singapur y Uruguay), avanzando así hacia las 20 ratificaciones o adhesiones necesarias para su entrada en vigor.  Aun cuando los objetivos de ratificación o adhesión a esos tratados que se habían establecido para el bienio 2014/15 en la vigésima sesión del Comité del Programa y Presupuesto (PBC) eran bastante ambiciosos, el programa consiguió alcanzarlos parcialmente al establecer como prioridad la prestación de asistencia a los Estados miembros en relación con la adhesión a tratados.  Durante el bienio 2016/17 se mantendrá este enfoque en el programa.</w:t>
      </w:r>
    </w:p>
    <w:p w:rsidR="00FA423E" w:rsidRPr="002D0A6A" w:rsidRDefault="00FA423E" w:rsidP="00FA423E">
      <w:pPr>
        <w:pStyle w:val="ListParagraph"/>
        <w:tabs>
          <w:tab w:val="left" w:pos="0"/>
          <w:tab w:val="left" w:pos="709"/>
        </w:tabs>
        <w:ind w:left="0"/>
        <w:jc w:val="both"/>
        <w:rPr>
          <w:rFonts w:eastAsia="SimSun" w:cs="Arial"/>
          <w:bCs/>
          <w:lang w:val="es-ES" w:eastAsia="zh-CN"/>
        </w:rPr>
      </w:pPr>
    </w:p>
    <w:p w:rsidR="00FA423E" w:rsidRPr="002D0A6A" w:rsidRDefault="00FA423E" w:rsidP="00FA423E">
      <w:pPr>
        <w:pStyle w:val="ListParagraph"/>
        <w:numPr>
          <w:ilvl w:val="0"/>
          <w:numId w:val="14"/>
        </w:numPr>
        <w:tabs>
          <w:tab w:val="left" w:pos="0"/>
          <w:tab w:val="left" w:pos="709"/>
        </w:tabs>
        <w:ind w:left="0" w:firstLine="0"/>
        <w:jc w:val="both"/>
        <w:rPr>
          <w:rFonts w:eastAsia="SimSun" w:cs="Arial"/>
          <w:bCs/>
          <w:lang w:val="es-ES" w:eastAsia="zh-CN"/>
        </w:rPr>
      </w:pPr>
      <w:r w:rsidRPr="002D0A6A">
        <w:rPr>
          <w:rFonts w:eastAsia="SimSun" w:cs="Arial"/>
          <w:bCs/>
          <w:lang w:val="es-ES" w:eastAsia="zh-CN"/>
        </w:rPr>
        <w:t>Se volvi</w:t>
      </w:r>
      <w:r w:rsidR="00801E65">
        <w:rPr>
          <w:rFonts w:eastAsia="SimSun" w:cs="Arial"/>
          <w:bCs/>
          <w:lang w:val="es-ES" w:eastAsia="zh-CN"/>
        </w:rPr>
        <w:t xml:space="preserve">eron </w:t>
      </w:r>
      <w:r w:rsidRPr="002D0A6A">
        <w:rPr>
          <w:rFonts w:eastAsia="SimSun" w:cs="Arial"/>
          <w:bCs/>
          <w:lang w:val="es-ES" w:eastAsia="zh-CN"/>
        </w:rPr>
        <w:t xml:space="preserve">a examinar </w:t>
      </w:r>
      <w:r w:rsidR="00801E65">
        <w:rPr>
          <w:rFonts w:eastAsia="SimSun" w:cs="Arial"/>
          <w:bCs/>
          <w:lang w:val="es-ES" w:eastAsia="zh-CN"/>
        </w:rPr>
        <w:t>los temas d</w:t>
      </w:r>
      <w:r w:rsidRPr="002D0A6A">
        <w:rPr>
          <w:rFonts w:eastAsia="SimSun" w:cs="Arial"/>
          <w:bCs/>
          <w:lang w:val="es-ES" w:eastAsia="zh-CN"/>
        </w:rPr>
        <w:t>el orden del día del SCCR durante las cinco reuniones celebradas en abril/mayo, junio/julio y diciembre de 2014, y junio/julio y diciembre de 2015.  En el SCCR se celebró un debate sobre la propuesta de tratado sobre los organismos de radiodifusión, y sobre las limitaciones y excepciones relativas a las bibliotecas y los archivos, las instituciones docentes y de investigación y las personas con otras discapacidades</w:t>
      </w:r>
      <w:r w:rsidR="00801E65">
        <w:rPr>
          <w:rFonts w:eastAsia="SimSun" w:cs="Arial"/>
          <w:bCs/>
          <w:lang w:val="es-ES" w:eastAsia="zh-CN"/>
        </w:rPr>
        <w:t xml:space="preserve"> (es decir, distintas de las abarcadas por el Tratado de Marrakech)</w:t>
      </w:r>
      <w:r w:rsidRPr="002D0A6A">
        <w:rPr>
          <w:rFonts w:eastAsia="SimSun" w:cs="Arial"/>
          <w:bCs/>
          <w:lang w:val="es-ES" w:eastAsia="zh-CN"/>
        </w:rPr>
        <w:t>.  Además, en la sesión celebrada en diciembre de 2015 el SCCR recibió asimismo dos propuestas de puntos para añadir al orden del día, una relativa al análisis de los derechos de autor en el entorno digital y la otra sobre el derecho de reventa.  No se consiguió el objetivo de celebrar una conferencia diplomática y un nuevo tratado.  Los Estados miembros solicitaron que se suprimiera este objetivo para el bienio 2016/17.</w:t>
      </w:r>
    </w:p>
    <w:p w:rsidR="00FA423E" w:rsidRPr="002D0A6A" w:rsidRDefault="00FA423E" w:rsidP="00FA423E">
      <w:pPr>
        <w:pStyle w:val="ListParagraph"/>
        <w:tabs>
          <w:tab w:val="left" w:pos="0"/>
          <w:tab w:val="left" w:pos="709"/>
        </w:tabs>
        <w:ind w:left="0"/>
        <w:jc w:val="both"/>
        <w:rPr>
          <w:rFonts w:eastAsia="SimSun" w:cs="Arial"/>
          <w:bCs/>
          <w:lang w:val="es-ES" w:eastAsia="zh-CN"/>
        </w:rPr>
      </w:pPr>
    </w:p>
    <w:p w:rsidR="00FA423E" w:rsidRPr="002D0A6A" w:rsidRDefault="00FA423E" w:rsidP="00FA423E">
      <w:pPr>
        <w:pStyle w:val="ListParagraph"/>
        <w:numPr>
          <w:ilvl w:val="0"/>
          <w:numId w:val="14"/>
        </w:numPr>
        <w:tabs>
          <w:tab w:val="left" w:pos="0"/>
          <w:tab w:val="left" w:pos="709"/>
        </w:tabs>
        <w:ind w:left="0" w:firstLine="0"/>
        <w:jc w:val="both"/>
        <w:rPr>
          <w:rFonts w:eastAsia="SimSun" w:cs="Arial"/>
          <w:bCs/>
          <w:lang w:val="es-ES" w:eastAsia="zh-CN"/>
        </w:rPr>
      </w:pPr>
      <w:r w:rsidRPr="002D0A6A">
        <w:rPr>
          <w:rFonts w:eastAsia="SimSun" w:cs="Arial"/>
          <w:bCs/>
          <w:lang w:val="es-ES" w:eastAsia="zh-CN"/>
        </w:rPr>
        <w:t xml:space="preserve">En el bienio 2014/15, se prestó asesoramiento en materia legislativa a 25 Estados miembros en diversas regiones.  Las peticiones de asesoramiento aumentaron durante el bienio, en parte debido al interés de algunos Estados miembros por adherirse al Tratado de Beijing y al Tratado de Marrakech.  También se proporcionó asesoramiento a los países en desarrollo y los PMA que lo solicitaron, en </w:t>
      </w:r>
      <w:r w:rsidRPr="002D0A6A">
        <w:rPr>
          <w:rFonts w:eastAsia="SimSun" w:cs="Arial"/>
          <w:bCs/>
          <w:lang w:val="es-ES" w:eastAsia="zh-CN"/>
        </w:rPr>
        <w:lastRenderedPageBreak/>
        <w:t>relación con el nuevo régimen de los diez años del Anexo del Convenio de Berna.  En 2015 se llevó a cabo una encuesta entre los Estados miembros, en la que estos valoraron positivamente el servicio de asesoramiento en materia legislativa.</w:t>
      </w:r>
    </w:p>
    <w:p w:rsidR="00FA423E" w:rsidRPr="002D0A6A" w:rsidRDefault="00FA423E" w:rsidP="00FA423E">
      <w:pPr>
        <w:pStyle w:val="ListParagraph"/>
        <w:tabs>
          <w:tab w:val="left" w:pos="0"/>
          <w:tab w:val="left" w:pos="709"/>
        </w:tabs>
        <w:ind w:left="0"/>
        <w:jc w:val="both"/>
        <w:rPr>
          <w:rFonts w:eastAsia="SimSun" w:cs="Arial"/>
          <w:bCs/>
          <w:lang w:val="es-ES" w:eastAsia="zh-CN"/>
        </w:rPr>
      </w:pPr>
    </w:p>
    <w:p w:rsidR="00FA423E" w:rsidRPr="002D0A6A" w:rsidRDefault="00FA423E" w:rsidP="00FA423E">
      <w:pPr>
        <w:pStyle w:val="ListParagraph"/>
        <w:numPr>
          <w:ilvl w:val="0"/>
          <w:numId w:val="14"/>
        </w:numPr>
        <w:tabs>
          <w:tab w:val="left" w:pos="0"/>
          <w:tab w:val="left" w:pos="709"/>
        </w:tabs>
        <w:ind w:left="0" w:firstLine="0"/>
        <w:jc w:val="both"/>
        <w:rPr>
          <w:rFonts w:eastAsia="SimSun" w:cs="Arial"/>
          <w:bCs/>
          <w:lang w:val="es-ES" w:eastAsia="zh-CN"/>
        </w:rPr>
      </w:pPr>
      <w:r w:rsidRPr="002D0A6A">
        <w:rPr>
          <w:rFonts w:eastAsia="SimSun" w:cs="Arial"/>
          <w:bCs/>
          <w:lang w:val="es-ES" w:eastAsia="zh-CN"/>
        </w:rPr>
        <w:t>Además, se consiguieron también avances positivos en varios proyectos destinados a potenciar el papel que desempeña la OMPI en el ámbito del derecho de autor en el entorno digital.  En el marco del programa, la Organización participó en diversas actividades en foros tan diversos como la Cumbre Mundial sobre la Sociedad de la Información, el Foro para la Gobernanza de Internet y el Foro Económico Mundial, con el fin de informar sobre cuestiones pertinentes para el derecho de autor, como los contenidos creados por los usuarios, el código abierto, la protección jurídica de los videojuegos y las nuevas modalidades en materia de concesión de licencias.</w:t>
      </w:r>
    </w:p>
    <w:p w:rsidR="00224863" w:rsidRPr="00224863" w:rsidRDefault="00224863" w:rsidP="00224863">
      <w:pPr>
        <w:tabs>
          <w:tab w:val="left" w:pos="709"/>
        </w:tabs>
        <w:jc w:val="both"/>
        <w:rPr>
          <w:sz w:val="20"/>
        </w:rPr>
      </w:pPr>
    </w:p>
    <w:p w:rsidR="00FA423E" w:rsidRPr="00B573D2" w:rsidRDefault="00224863" w:rsidP="00224863">
      <w:pPr>
        <w:pStyle w:val="ListParagraph"/>
        <w:numPr>
          <w:ilvl w:val="0"/>
          <w:numId w:val="14"/>
        </w:numPr>
        <w:tabs>
          <w:tab w:val="left" w:pos="0"/>
          <w:tab w:val="left" w:pos="709"/>
        </w:tabs>
        <w:ind w:left="0" w:firstLine="0"/>
        <w:jc w:val="both"/>
        <w:rPr>
          <w:lang w:val="es-ES"/>
        </w:rPr>
      </w:pPr>
      <w:r w:rsidRPr="00B573D2">
        <w:rPr>
          <w:lang w:val="es-ES"/>
        </w:rPr>
        <w:t>3.1.</w:t>
      </w:r>
      <w:r w:rsidRPr="00B573D2">
        <w:rPr>
          <w:lang w:val="es-ES"/>
        </w:rPr>
        <w:tab/>
      </w:r>
      <w:r w:rsidRPr="00224863">
        <w:rPr>
          <w:rFonts w:eastAsia="SimSun" w:cs="Arial"/>
          <w:bCs/>
          <w:lang w:val="es-ES" w:eastAsia="zh-CN"/>
        </w:rPr>
        <w:t>Igualmente</w:t>
      </w:r>
      <w:r w:rsidRPr="00B573D2">
        <w:rPr>
          <w:lang w:val="es-ES"/>
        </w:rPr>
        <w:t xml:space="preserve">, prosiguió la labor en el marco de varios proyectos relacionados con la A.D:  durante el bienio se completó con éxito y se evaluó el proyecto piloto sobre fortalecimiento y desarrollo del sector audiovisual en Burkina Faso y en determinados países de África, en el que están incluidos también </w:t>
      </w:r>
      <w:proofErr w:type="spellStart"/>
      <w:r w:rsidRPr="00B573D2">
        <w:rPr>
          <w:lang w:val="es-ES"/>
        </w:rPr>
        <w:t>Kenya</w:t>
      </w:r>
      <w:proofErr w:type="spellEnd"/>
      <w:r w:rsidRPr="00B573D2">
        <w:rPr>
          <w:lang w:val="es-ES"/>
        </w:rPr>
        <w:t xml:space="preserve"> y el Senegal.  Además, basándose en los debates mantenidos en la duodécima sesión del CDIP, en la decimotercera sesión del Comité se presentó y se aprobó una propuesta revisada para la realización de posibles nuevas actividades de la OMPI relacionadas con la utilización del derecho de autor para promover el acceso a la información y el contenido creativo.  El proyecto de ejecución en 18 meses se aprobó muy avanzado el bienio y, por esta razón, se pondrá en marcha durante el bienio 2016/17.  El análisis comparado de los regímenes nacionales de renuncia voluntaria al derecho de autor (documento CDIP/13/INF/6) fue presentado y acogido favorablemente por el CDIP en el marco de la aplicación de las recomendaciones 1c, 1f y 2a del Estudio exploratorio sobre el derecho de autor y los derechos conexos y el dominio público.</w:t>
      </w:r>
    </w:p>
    <w:p w:rsidR="00224863" w:rsidRPr="00B90D95" w:rsidRDefault="00224863" w:rsidP="00224863">
      <w:pPr>
        <w:tabs>
          <w:tab w:val="left" w:pos="709"/>
        </w:tabs>
        <w:jc w:val="both"/>
        <w:rPr>
          <w:sz w:val="20"/>
        </w:rPr>
      </w:pPr>
    </w:p>
    <w:p w:rsidR="00FA423E" w:rsidRPr="002D0A6A" w:rsidRDefault="00FA423E" w:rsidP="00FA423E">
      <w:pPr>
        <w:tabs>
          <w:tab w:val="left" w:pos="709"/>
        </w:tabs>
        <w:jc w:val="both"/>
        <w:rPr>
          <w:sz w:val="20"/>
          <w:u w:val="single"/>
        </w:rPr>
      </w:pPr>
      <w:r w:rsidRPr="002D0A6A">
        <w:rPr>
          <w:sz w:val="20"/>
          <w:u w:val="single"/>
        </w:rPr>
        <w:t>Infraestructura en el ámbito del derecho de autor</w:t>
      </w:r>
    </w:p>
    <w:p w:rsidR="00FA423E" w:rsidRPr="002D0A6A" w:rsidRDefault="00FA423E" w:rsidP="00FA423E">
      <w:pPr>
        <w:tabs>
          <w:tab w:val="left" w:pos="709"/>
        </w:tabs>
        <w:jc w:val="both"/>
        <w:rPr>
          <w:sz w:val="20"/>
        </w:rPr>
      </w:pPr>
    </w:p>
    <w:p w:rsidR="00FA423E" w:rsidRPr="002D0A6A" w:rsidRDefault="00FA423E" w:rsidP="00FA423E">
      <w:pPr>
        <w:pStyle w:val="ListParagraph"/>
        <w:numPr>
          <w:ilvl w:val="0"/>
          <w:numId w:val="14"/>
        </w:numPr>
        <w:tabs>
          <w:tab w:val="left" w:pos="0"/>
          <w:tab w:val="left" w:pos="709"/>
        </w:tabs>
        <w:ind w:left="0" w:firstLine="0"/>
        <w:jc w:val="both"/>
        <w:rPr>
          <w:rFonts w:cs="Arial"/>
          <w:lang w:val="es-ES" w:eastAsia="fr-FR"/>
        </w:rPr>
      </w:pPr>
      <w:r w:rsidRPr="002D0A6A">
        <w:rPr>
          <w:rFonts w:eastAsia="SimSun" w:cs="Arial"/>
          <w:bCs/>
          <w:lang w:val="es-ES" w:eastAsia="zh-CN"/>
        </w:rPr>
        <w:t>La labor en este ámbito se ajustó a las recomendaciones de la A.D., en particular las recomendaciones 10 (</w:t>
      </w:r>
      <w:r w:rsidRPr="002D0A6A">
        <w:rPr>
          <w:lang w:val="es-ES"/>
        </w:rPr>
        <w:t>mejorar la capacidad de las instituciones nacionales de P.I. mediante el desarrollo de la infraestructura y de otros servicios), 11</w:t>
      </w:r>
      <w:r w:rsidRPr="002D0A6A">
        <w:rPr>
          <w:rFonts w:eastAsia="SimSun" w:cs="Arial"/>
          <w:bCs/>
          <w:lang w:val="es-ES" w:eastAsia="zh-CN"/>
        </w:rPr>
        <w:t xml:space="preserve"> (</w:t>
      </w:r>
      <w:r w:rsidRPr="002D0A6A">
        <w:rPr>
          <w:lang w:val="es-ES"/>
        </w:rPr>
        <w:t>fortalecer la capacidad nacional para la protección de las creaciones) y 35 (emprender estudios sobre las consecuencias económicas, sociales y culturales del sistema de P.I.).</w:t>
      </w:r>
    </w:p>
    <w:p w:rsidR="00FA423E" w:rsidRPr="002D0A6A" w:rsidRDefault="00FA423E" w:rsidP="00FA423E">
      <w:pPr>
        <w:pStyle w:val="ListParagraph"/>
        <w:tabs>
          <w:tab w:val="left" w:pos="0"/>
          <w:tab w:val="left" w:pos="709"/>
        </w:tabs>
        <w:ind w:left="0"/>
        <w:jc w:val="both"/>
        <w:rPr>
          <w:rFonts w:cs="Arial"/>
          <w:lang w:val="es-ES" w:eastAsia="fr-FR"/>
        </w:rPr>
      </w:pPr>
    </w:p>
    <w:p w:rsidR="00FA423E" w:rsidRPr="002D0A6A" w:rsidRDefault="00FA423E" w:rsidP="00FA423E">
      <w:pPr>
        <w:pStyle w:val="ListParagraph"/>
        <w:numPr>
          <w:ilvl w:val="0"/>
          <w:numId w:val="14"/>
        </w:numPr>
        <w:tabs>
          <w:tab w:val="left" w:pos="0"/>
          <w:tab w:val="left" w:pos="709"/>
        </w:tabs>
        <w:ind w:left="0" w:firstLine="0"/>
        <w:jc w:val="both"/>
        <w:rPr>
          <w:rFonts w:cs="Arial"/>
          <w:lang w:val="es-ES" w:eastAsia="fr-FR"/>
        </w:rPr>
      </w:pPr>
      <w:r w:rsidRPr="002D0A6A">
        <w:rPr>
          <w:rFonts w:eastAsia="SimSun" w:cs="Arial"/>
          <w:bCs/>
          <w:lang w:val="es-ES" w:eastAsia="zh-CN"/>
        </w:rPr>
        <w:t>Se progresó en lo que respecta al avance de la iniciativa</w:t>
      </w:r>
      <w:r w:rsidRPr="002D0A6A">
        <w:rPr>
          <w:lang w:val="es-ES"/>
        </w:rPr>
        <w:t xml:space="preserve"> “</w:t>
      </w:r>
      <w:r w:rsidRPr="002D0A6A">
        <w:rPr>
          <w:rFonts w:cs="Arial"/>
          <w:lang w:val="es-ES"/>
        </w:rPr>
        <w:t xml:space="preserve">TAG of </w:t>
      </w:r>
      <w:proofErr w:type="spellStart"/>
      <w:r w:rsidRPr="002D0A6A">
        <w:rPr>
          <w:rFonts w:cs="Arial"/>
          <w:lang w:val="es-ES"/>
        </w:rPr>
        <w:t>Excellence</w:t>
      </w:r>
      <w:proofErr w:type="spellEnd"/>
      <w:r w:rsidRPr="002D0A6A">
        <w:rPr>
          <w:rFonts w:cs="Arial"/>
          <w:lang w:val="es-ES"/>
        </w:rPr>
        <w:t>”, cuya finalidad es fomentar la excelencia en la transparencia, la rendición de cuentas y la gobernanza de los organismos de gestión colectiva.  Varias asociaciones profesionales internacionales se unieron a la OMPI para crear un consorcio que aprobó un catálogo de mejores prácticas en la gestión colectiva del derecho de autor y los derechos conexos, y se empezaron a llevar a cabo consultas sobre el catálogo.  La iniciativa TAG recabó el apoyo de varios organismos de gestión colectiva y gobiernos tanto del mundo en desarrollo como en el desarrollado</w:t>
      </w:r>
      <w:r w:rsidRPr="002D0A6A">
        <w:rPr>
          <w:rFonts w:cs="Arial"/>
          <w:lang w:val="es-ES" w:eastAsia="fr-FR"/>
        </w:rPr>
        <w:t xml:space="preserve"> </w:t>
      </w:r>
      <w:r w:rsidRPr="002D0A6A">
        <w:rPr>
          <w:rFonts w:cs="Arial"/>
          <w:lang w:val="es-ES"/>
        </w:rPr>
        <w:t>(en total 14 gobiernos y 63 organismos de gestión colectiva han cursado manifestaciones de interés al respecto).</w:t>
      </w:r>
    </w:p>
    <w:p w:rsidR="00FA423E" w:rsidRPr="002D0A6A" w:rsidRDefault="00FA423E" w:rsidP="00FA423E">
      <w:pPr>
        <w:tabs>
          <w:tab w:val="left" w:pos="709"/>
        </w:tabs>
        <w:jc w:val="both"/>
        <w:rPr>
          <w:sz w:val="20"/>
          <w:lang w:eastAsia="fr-FR"/>
        </w:rPr>
      </w:pPr>
    </w:p>
    <w:p w:rsidR="00FA423E" w:rsidRPr="002D0A6A" w:rsidRDefault="00FA423E" w:rsidP="00FA423E">
      <w:pPr>
        <w:pStyle w:val="ListParagraph"/>
        <w:numPr>
          <w:ilvl w:val="0"/>
          <w:numId w:val="14"/>
        </w:numPr>
        <w:tabs>
          <w:tab w:val="left" w:pos="0"/>
          <w:tab w:val="left" w:pos="709"/>
        </w:tabs>
        <w:ind w:left="0" w:firstLine="0"/>
        <w:jc w:val="both"/>
        <w:rPr>
          <w:rFonts w:eastAsia="SimSun" w:cs="Arial"/>
          <w:bCs/>
          <w:lang w:val="es-ES" w:eastAsia="zh-CN"/>
        </w:rPr>
      </w:pPr>
      <w:r w:rsidRPr="002D0A6A">
        <w:rPr>
          <w:rFonts w:eastAsia="SimSun" w:cs="Arial"/>
          <w:bCs/>
          <w:lang w:val="es-ES" w:eastAsia="zh-CN"/>
        </w:rPr>
        <w:t>La OMPI creó y puso en marcha un curso de enseñanza a distancia que se vale de toda la gama existente de técnicas de comunicación del siglo XXI, y constituye una herramienta práctica de gestión colectiva destinada al personal de los organismos de gestión colectiva, los encargados de la formulación de políticas y los profesionales del Derecho.  El curso se puso a prueba como proyecto piloto en 2014 y obtuvo una buena acogida de los participantes.  La versión definitiva del curso se pondrá en marcha de manera oficial en 2016.  La OMPI firmó asimismo memorandos de entendimiento y organizó una serie de programas y actividades de fortalecimiento de capacidades conjuntamente con diversas ONG, como la Federación Internacional de Organizaciones de Derechos de Reproducción (IFRRO), la Federación Internacional de la Industria Fonográfica (IFPI), la Asociaci</w:t>
      </w:r>
      <w:r w:rsidRPr="002D0A6A">
        <w:rPr>
          <w:rFonts w:ascii="Tahoma" w:eastAsia="SimSun" w:hAnsi="Tahoma" w:cs="Tahoma"/>
          <w:bCs/>
          <w:lang w:val="es-ES" w:eastAsia="zh-CN"/>
        </w:rPr>
        <w:t>ó</w:t>
      </w:r>
      <w:r w:rsidRPr="002D0A6A">
        <w:rPr>
          <w:rFonts w:eastAsia="SimSun" w:cs="Arial"/>
          <w:bCs/>
          <w:lang w:val="es-ES" w:eastAsia="zh-CN"/>
        </w:rPr>
        <w:t xml:space="preserve">n Noruega para el Desarrollo del Derecho de Autor (NORCODE), el Consejo de Sociedades para la Administración de los Derechos de los Artistas Intérpretes o Ejecutantes (SCAPR), el Instituto de Derecho de Autor (IA) y la </w:t>
      </w:r>
      <w:proofErr w:type="spellStart"/>
      <w:r w:rsidRPr="002D0A6A">
        <w:rPr>
          <w:rFonts w:eastAsia="SimSun" w:cs="Arial"/>
          <w:bCs/>
          <w:i/>
          <w:lang w:val="es-ES" w:eastAsia="zh-CN"/>
        </w:rPr>
        <w:t>Sociedade</w:t>
      </w:r>
      <w:proofErr w:type="spellEnd"/>
      <w:r w:rsidRPr="002D0A6A">
        <w:rPr>
          <w:rFonts w:eastAsia="SimSun" w:cs="Arial"/>
          <w:bCs/>
          <w:i/>
          <w:lang w:val="es-ES" w:eastAsia="zh-CN"/>
        </w:rPr>
        <w:t xml:space="preserve"> Portuguesa de Autores</w:t>
      </w:r>
      <w:r w:rsidRPr="002D0A6A">
        <w:rPr>
          <w:rFonts w:eastAsia="SimSun" w:cs="Arial"/>
          <w:bCs/>
          <w:lang w:val="es-ES" w:eastAsia="zh-CN"/>
        </w:rPr>
        <w:t xml:space="preserve"> (SPA), y algunos gobiernos, como el de los Estados Unidos de América.  En el marco de esta labor de fortalecimiento de capacidades, prosiguió la ejecución del programa de orientación para facilitar la transferencia de conocimientos en la gestión colectiva, por el que se empareja a organismos de gestión colectiva consolidados con organismos del mismo tipo en de</w:t>
      </w:r>
      <w:r w:rsidR="00ED7781">
        <w:rPr>
          <w:rFonts w:eastAsia="SimSun" w:cs="Arial"/>
          <w:bCs/>
          <w:lang w:val="es-ES" w:eastAsia="zh-CN"/>
        </w:rPr>
        <w:t>sarrollo.  Además, en el bienio </w:t>
      </w:r>
      <w:r w:rsidRPr="002D0A6A">
        <w:rPr>
          <w:rFonts w:eastAsia="SimSun" w:cs="Arial"/>
          <w:bCs/>
          <w:lang w:val="es-ES" w:eastAsia="zh-CN"/>
        </w:rPr>
        <w:t>2014/15 se pusieron a disposición de los Estados miembros seis módulos didácticos sobre organismos de gestión colectiva.</w:t>
      </w:r>
    </w:p>
    <w:p w:rsidR="00FA423E" w:rsidRPr="002D0A6A" w:rsidRDefault="00FA423E" w:rsidP="00FA423E">
      <w:pPr>
        <w:pStyle w:val="ListParagraph"/>
        <w:tabs>
          <w:tab w:val="left" w:pos="0"/>
          <w:tab w:val="left" w:pos="709"/>
        </w:tabs>
        <w:ind w:left="0"/>
        <w:jc w:val="both"/>
        <w:rPr>
          <w:rFonts w:eastAsia="SimSun" w:cs="Arial"/>
          <w:bCs/>
          <w:lang w:val="es-ES" w:eastAsia="zh-CN"/>
        </w:rPr>
      </w:pPr>
    </w:p>
    <w:p w:rsidR="00FA423E" w:rsidRPr="002D0A6A" w:rsidRDefault="00FA423E" w:rsidP="00FA423E">
      <w:pPr>
        <w:pStyle w:val="ListParagraph"/>
        <w:numPr>
          <w:ilvl w:val="0"/>
          <w:numId w:val="14"/>
        </w:numPr>
        <w:tabs>
          <w:tab w:val="left" w:pos="0"/>
          <w:tab w:val="left" w:pos="709"/>
        </w:tabs>
        <w:ind w:left="0" w:firstLine="0"/>
        <w:jc w:val="both"/>
        <w:rPr>
          <w:rFonts w:eastAsia="SimSun" w:cs="Arial"/>
          <w:bCs/>
          <w:lang w:val="es-ES" w:eastAsia="zh-CN"/>
        </w:rPr>
      </w:pPr>
      <w:r w:rsidRPr="002D0A6A">
        <w:rPr>
          <w:rFonts w:eastAsia="SimSun" w:cs="Arial"/>
          <w:bCs/>
          <w:lang w:val="es-ES" w:eastAsia="zh-CN"/>
        </w:rPr>
        <w:lastRenderedPageBreak/>
        <w:t xml:space="preserve">El </w:t>
      </w:r>
      <w:proofErr w:type="spellStart"/>
      <w:r w:rsidRPr="002D0A6A">
        <w:rPr>
          <w:i/>
          <w:iCs/>
          <w:szCs w:val="24"/>
          <w:lang w:val="es-ES"/>
        </w:rPr>
        <w:t>Collecting</w:t>
      </w:r>
      <w:proofErr w:type="spellEnd"/>
      <w:r w:rsidRPr="002D0A6A">
        <w:rPr>
          <w:i/>
          <w:iCs/>
          <w:szCs w:val="24"/>
          <w:lang w:val="es-ES"/>
        </w:rPr>
        <w:t xml:space="preserve"> </w:t>
      </w:r>
      <w:proofErr w:type="spellStart"/>
      <w:r w:rsidRPr="002D0A6A">
        <w:rPr>
          <w:i/>
          <w:iCs/>
          <w:szCs w:val="24"/>
          <w:lang w:val="es-ES"/>
        </w:rPr>
        <w:t>Societies</w:t>
      </w:r>
      <w:proofErr w:type="spellEnd"/>
      <w:r w:rsidRPr="002D0A6A">
        <w:rPr>
          <w:i/>
          <w:iCs/>
          <w:szCs w:val="24"/>
          <w:lang w:val="es-ES"/>
        </w:rPr>
        <w:t xml:space="preserve"> </w:t>
      </w:r>
      <w:proofErr w:type="spellStart"/>
      <w:r w:rsidRPr="002D0A6A">
        <w:rPr>
          <w:i/>
          <w:iCs/>
          <w:szCs w:val="24"/>
          <w:lang w:val="es-ES"/>
        </w:rPr>
        <w:t>Handbook</w:t>
      </w:r>
      <w:proofErr w:type="spellEnd"/>
      <w:r w:rsidRPr="002D0A6A">
        <w:rPr>
          <w:i/>
          <w:iCs/>
          <w:szCs w:val="24"/>
          <w:lang w:val="es-ES"/>
        </w:rPr>
        <w:t xml:space="preserve"> </w:t>
      </w:r>
      <w:r w:rsidRPr="002D0A6A">
        <w:rPr>
          <w:iCs/>
          <w:szCs w:val="24"/>
          <w:lang w:val="es-ES"/>
        </w:rPr>
        <w:t>de 2014,</w:t>
      </w:r>
      <w:r w:rsidRPr="002D0A6A">
        <w:rPr>
          <w:rStyle w:val="FootnoteReference"/>
          <w:iCs/>
          <w:szCs w:val="24"/>
          <w:lang w:val="es-ES"/>
        </w:rPr>
        <w:footnoteReference w:id="14"/>
      </w:r>
      <w:r w:rsidRPr="002D0A6A">
        <w:rPr>
          <w:rFonts w:eastAsia="SimSun" w:cs="Arial"/>
          <w:bCs/>
          <w:lang w:val="es-ES" w:eastAsia="zh-CN"/>
        </w:rPr>
        <w:t xml:space="preserve"> que es un manual en línea que contiene datos y cifras fundamentales acerca de los organismos de gestión colectiva de todo el mundo, se elaboró en colaboración con el estudio de abogados </w:t>
      </w:r>
      <w:r w:rsidRPr="002D0A6A">
        <w:rPr>
          <w:rFonts w:eastAsia="SimSun" w:cs="Arial"/>
          <w:bCs/>
          <w:szCs w:val="24"/>
          <w:lang w:val="es-ES" w:eastAsia="zh-CN"/>
        </w:rPr>
        <w:t xml:space="preserve">Baker &amp; </w:t>
      </w:r>
      <w:proofErr w:type="spellStart"/>
      <w:r w:rsidRPr="002D0A6A">
        <w:rPr>
          <w:rFonts w:eastAsia="SimSun" w:cs="Arial"/>
          <w:bCs/>
          <w:szCs w:val="24"/>
          <w:lang w:val="es-ES" w:eastAsia="zh-CN"/>
        </w:rPr>
        <w:t>McKenzie</w:t>
      </w:r>
      <w:proofErr w:type="spellEnd"/>
      <w:r w:rsidRPr="002D0A6A">
        <w:rPr>
          <w:rFonts w:eastAsia="SimSun" w:cs="Arial"/>
          <w:bCs/>
          <w:lang w:val="es-ES" w:eastAsia="zh-CN"/>
        </w:rPr>
        <w:t xml:space="preserve"> y se publicó en octubre de 2014.  Desde entonces ha recibido una media de más de 2.300 visitas únicas al mes.</w:t>
      </w:r>
    </w:p>
    <w:p w:rsidR="00FA423E" w:rsidRPr="002D0A6A" w:rsidRDefault="00FA423E" w:rsidP="00FA423E">
      <w:pPr>
        <w:pStyle w:val="ListParagraph"/>
        <w:tabs>
          <w:tab w:val="left" w:pos="0"/>
          <w:tab w:val="left" w:pos="709"/>
        </w:tabs>
        <w:ind w:left="0"/>
        <w:jc w:val="both"/>
        <w:rPr>
          <w:rFonts w:eastAsia="SimSun" w:cs="Arial"/>
          <w:bCs/>
          <w:lang w:val="es-ES" w:eastAsia="zh-CN"/>
        </w:rPr>
      </w:pPr>
    </w:p>
    <w:p w:rsidR="00FA423E" w:rsidRPr="002D0A6A" w:rsidRDefault="00FA423E" w:rsidP="00FA423E">
      <w:pPr>
        <w:pStyle w:val="ListParagraph"/>
        <w:numPr>
          <w:ilvl w:val="0"/>
          <w:numId w:val="14"/>
        </w:numPr>
        <w:tabs>
          <w:tab w:val="left" w:pos="0"/>
          <w:tab w:val="left" w:pos="709"/>
        </w:tabs>
        <w:ind w:left="0" w:firstLine="0"/>
        <w:jc w:val="both"/>
        <w:rPr>
          <w:bCs/>
          <w:lang w:val="es-ES"/>
        </w:rPr>
      </w:pPr>
      <w:r w:rsidRPr="002D0A6A">
        <w:rPr>
          <w:rFonts w:eastAsia="SimSun" w:cs="Arial"/>
          <w:bCs/>
          <w:lang w:val="es-ES" w:eastAsia="zh-CN"/>
        </w:rPr>
        <w:t xml:space="preserve">En el bienio 2014/15 la OMPI publicó cuatro estudios económicos nacionales sobre la contribución económica de las industrias culturales en Argentina, Indonesia, Serbia y Turquía así como un estudio sobre los Estados miembros de la Organización de los Estados del Caribe Oriental (OECO) y finalizó los estudios relativos a Etiopía, Francia y la República de </w:t>
      </w:r>
      <w:proofErr w:type="spellStart"/>
      <w:r w:rsidRPr="002D0A6A">
        <w:rPr>
          <w:rFonts w:eastAsia="SimSun" w:cs="Arial"/>
          <w:bCs/>
          <w:lang w:val="es-ES" w:eastAsia="zh-CN"/>
        </w:rPr>
        <w:t>Moldova</w:t>
      </w:r>
      <w:proofErr w:type="spellEnd"/>
      <w:r w:rsidRPr="002D0A6A">
        <w:rPr>
          <w:rFonts w:eastAsia="SimSun" w:cs="Arial"/>
          <w:bCs/>
          <w:lang w:val="es-ES" w:eastAsia="zh-CN"/>
        </w:rPr>
        <w:t>, que se publicarán a principios de 2016 (alcanzándose un total de 49 estudios de ese tipo).  Esos estudios se basan en la Guía de la OMPI para determinar la contribución económica de las industrias relacionadas con el derecho de autor, cuya segunda edición se publicó en 2015.  Los estudios indican que las industrias creativas representan en promedio el 5,16% del PIB y el 5,36% del empleo total.  La OMPI también i) publicó (en colaboración con asociados externos) dos encuestas anuales sobre los gravámenes por derecho de autor;  puso en marcha un estudio piloto sobre el alcance de los efectos del derecho de autor en las industrias creativas, y iii) finalizó un estudio sobre la piratería.</w:t>
      </w:r>
    </w:p>
    <w:p w:rsidR="00FA423E" w:rsidRPr="002D0A6A" w:rsidRDefault="00FA423E" w:rsidP="00FA423E">
      <w:pPr>
        <w:pStyle w:val="ListParagraph"/>
        <w:tabs>
          <w:tab w:val="left" w:pos="0"/>
          <w:tab w:val="left" w:pos="709"/>
        </w:tabs>
        <w:ind w:left="0"/>
        <w:jc w:val="both"/>
        <w:rPr>
          <w:rFonts w:eastAsia="SimSun" w:cs="Arial"/>
          <w:bCs/>
          <w:lang w:val="es-ES" w:eastAsia="zh-CN"/>
        </w:rPr>
      </w:pPr>
    </w:p>
    <w:p w:rsidR="00FA423E" w:rsidRPr="002D0A6A" w:rsidRDefault="00FA423E" w:rsidP="00FA423E">
      <w:pPr>
        <w:pStyle w:val="ListParagraph"/>
        <w:numPr>
          <w:ilvl w:val="0"/>
          <w:numId w:val="14"/>
        </w:numPr>
        <w:tabs>
          <w:tab w:val="left" w:pos="0"/>
          <w:tab w:val="left" w:pos="709"/>
        </w:tabs>
        <w:ind w:left="0" w:firstLine="0"/>
        <w:jc w:val="both"/>
        <w:rPr>
          <w:rFonts w:eastAsia="SimSun" w:cs="Arial"/>
          <w:bCs/>
          <w:lang w:val="es-ES" w:eastAsia="zh-CN"/>
        </w:rPr>
      </w:pPr>
      <w:r w:rsidRPr="002D0A6A">
        <w:rPr>
          <w:rFonts w:eastAsia="SimSun" w:cs="Arial"/>
          <w:bCs/>
          <w:lang w:val="es-ES" w:eastAsia="zh-CN"/>
        </w:rPr>
        <w:t>En lo que respecta a la labor desarrollada con los creadores, en 2014 la OMPI publicó dos nuevas herramientas:  Dominar el juego: cuestiones jurídicas y empresariales para los creadores de videojuegos y Monetización de los activos derivados del derecho de autor por las empresas creativas.  En julio de 2014 se publicó la segunda edición de la publicación de la OMPI “Cómo ganarse la vida con la música”.  Estas herramientas se usaron extensivamente en los programas de fortalecimiento de capacidades y se descargaron más de 100.000 veces al año en 2014 y 2015.</w:t>
      </w:r>
    </w:p>
    <w:p w:rsidR="00FA423E" w:rsidRPr="002D0A6A" w:rsidRDefault="00FA423E" w:rsidP="00FA423E">
      <w:pPr>
        <w:pStyle w:val="ListParagraph"/>
        <w:tabs>
          <w:tab w:val="left" w:pos="0"/>
          <w:tab w:val="left" w:pos="709"/>
        </w:tabs>
        <w:ind w:left="0"/>
        <w:jc w:val="both"/>
        <w:rPr>
          <w:rFonts w:eastAsia="SimSun" w:cs="Arial"/>
          <w:bCs/>
          <w:lang w:val="es-ES" w:eastAsia="zh-CN"/>
        </w:rPr>
      </w:pPr>
    </w:p>
    <w:p w:rsidR="00FA423E" w:rsidRPr="002D0A6A" w:rsidRDefault="00FA423E" w:rsidP="00FA423E">
      <w:pPr>
        <w:pStyle w:val="ListParagraph"/>
        <w:numPr>
          <w:ilvl w:val="0"/>
          <w:numId w:val="14"/>
        </w:numPr>
        <w:tabs>
          <w:tab w:val="left" w:pos="0"/>
          <w:tab w:val="left" w:pos="709"/>
        </w:tabs>
        <w:ind w:left="0" w:firstLine="0"/>
        <w:jc w:val="both"/>
        <w:rPr>
          <w:rFonts w:eastAsia="SimSun" w:cs="Arial"/>
          <w:bCs/>
          <w:lang w:val="es-ES" w:eastAsia="zh-CN"/>
        </w:rPr>
      </w:pPr>
      <w:r w:rsidRPr="002D0A6A">
        <w:rPr>
          <w:rFonts w:eastAsia="SimSun" w:cs="Arial"/>
          <w:bCs/>
          <w:lang w:val="es-ES" w:eastAsia="zh-CN"/>
        </w:rPr>
        <w:t>En junio de 2014 se estableció una nueva entidad integrada por múltiples partes interesadas, el Consorcio de Libros Accesibles (ABC), destinada a aumentar el número de libros disponibles en formato accesible para las personas con dificultad para acceder al texto impreso de todo el mundo.  El ABC llevó a cabo tres actividades principales:  i) prestación de asistencia técnica para la elaboración de libros accesibles (financiada por los Gobiernos de Australia y la República de Corea);  ii) la edición inclusiva, que promueve tecnologías que permiten la publicación de obras que “nacen accesibles” y su utilización desde el principio tanto por personas que no tienen problemas de visión como por personas con dificultad para acceder al texto impreso, y iii) el servicio de libros del ABC, conocido también como TIGAR, una base de datos internacional que consta de títulos de libros en formatos accesibles en 55 idiomas.  En el marco de la primera actividad, el ABC editó 1.580 libros educativos en formatos accesibles en beneficio de 23.500 estudiantes con dificultad para acceder al texto impreso de Bangladesh, la India, Nepal y Sri Lanka.  Dentro de la segunda, el Consorcio patrocinó la Carta de la edici</w:t>
      </w:r>
      <w:r w:rsidRPr="002D0A6A">
        <w:rPr>
          <w:rFonts w:ascii="Tahoma" w:eastAsia="SimSun" w:hAnsi="Tahoma" w:cs="Tahoma"/>
          <w:bCs/>
          <w:lang w:val="es-ES" w:eastAsia="zh-CN"/>
        </w:rPr>
        <w:t>ó</w:t>
      </w:r>
      <w:r w:rsidRPr="002D0A6A">
        <w:rPr>
          <w:rFonts w:eastAsia="SimSun" w:cs="Arial"/>
          <w:bCs/>
          <w:lang w:val="es-ES" w:eastAsia="zh-CN"/>
        </w:rPr>
        <w:t xml:space="preserve">n accesible y el Premio Internacional a la Excelencia en la Edición Accesible.  </w:t>
      </w:r>
      <w:r w:rsidR="00224863">
        <w:rPr>
          <w:rFonts w:eastAsia="SimSun" w:cs="Arial"/>
          <w:bCs/>
          <w:lang w:val="es-ES" w:eastAsia="zh-CN"/>
        </w:rPr>
        <w:t>Con respecto a la tercera actividad, a</w:t>
      </w:r>
      <w:r w:rsidRPr="002D0A6A">
        <w:rPr>
          <w:rFonts w:eastAsia="SimSun" w:cs="Arial"/>
          <w:bCs/>
          <w:lang w:val="es-ES" w:eastAsia="zh-CN"/>
        </w:rPr>
        <w:t xml:space="preserve"> finales de 2015 había 15 bibliotecas participantes que habían efectuado 4.208 descargas de títulos accesibles y se llevaron a cabo más de 58.000 préstamos de libros accesibles a personas con dificultad para acceder al texto impreso.</w:t>
      </w:r>
    </w:p>
    <w:p w:rsidR="00FA423E" w:rsidRPr="002D0A6A" w:rsidRDefault="00FA423E" w:rsidP="00FA423E">
      <w:pPr>
        <w:pStyle w:val="ListParagraph"/>
        <w:tabs>
          <w:tab w:val="left" w:pos="0"/>
          <w:tab w:val="left" w:pos="709"/>
        </w:tabs>
        <w:ind w:left="0"/>
        <w:jc w:val="both"/>
        <w:rPr>
          <w:rFonts w:eastAsia="SimSun" w:cs="Arial"/>
          <w:bCs/>
          <w:lang w:val="es-ES" w:eastAsia="zh-CN"/>
        </w:rPr>
      </w:pPr>
    </w:p>
    <w:p w:rsidR="00FA423E" w:rsidRPr="002D0A6A" w:rsidRDefault="00FA423E" w:rsidP="00FA423E">
      <w:pPr>
        <w:pStyle w:val="ListParagraph"/>
        <w:numPr>
          <w:ilvl w:val="0"/>
          <w:numId w:val="14"/>
        </w:numPr>
        <w:tabs>
          <w:tab w:val="left" w:pos="0"/>
          <w:tab w:val="left" w:pos="709"/>
        </w:tabs>
        <w:ind w:left="0" w:firstLine="0"/>
        <w:jc w:val="both"/>
        <w:rPr>
          <w:rFonts w:eastAsia="SimSun" w:cs="Arial"/>
          <w:bCs/>
          <w:lang w:val="es-ES" w:eastAsia="zh-CN"/>
        </w:rPr>
      </w:pPr>
      <w:r w:rsidRPr="002D0A6A">
        <w:rPr>
          <w:rFonts w:eastAsia="SimSun" w:cs="Arial"/>
          <w:bCs/>
          <w:lang w:val="es-ES" w:eastAsia="zh-CN"/>
        </w:rPr>
        <w:t>El programa siguió prestando apoyo eficaz a WIPOCOS, la actual herramienta de gestión de datos sobre el derecho de autor de la OMPI, hasta septiembre de 2015, momento en que dicha responsabilidad se transfirió al programa 15 (Soluciones operativas para las oficinas de P.I.).  El objetivo de la OMPI es seguir apoyando WIPOCOS hasta que la conexión de derecho de autor de la OMPI (WCC), el nuevo sistema de gestión de datos que mejora el flujo de datos y derechos a escala mundial entre los organismos de gestión colectiva beneficiarios, esté lista para su implantación.</w:t>
      </w:r>
    </w:p>
    <w:p w:rsidR="00FA423E" w:rsidRPr="002D0A6A" w:rsidRDefault="00FA423E" w:rsidP="00FA423E">
      <w:pPr>
        <w:pStyle w:val="ListParagraph"/>
        <w:tabs>
          <w:tab w:val="left" w:pos="0"/>
          <w:tab w:val="left" w:pos="709"/>
        </w:tabs>
        <w:ind w:left="0"/>
        <w:jc w:val="both"/>
        <w:rPr>
          <w:rFonts w:eastAsia="SimSun" w:cs="Arial"/>
          <w:bCs/>
          <w:lang w:val="es-ES" w:eastAsia="zh-CN"/>
        </w:rPr>
      </w:pPr>
    </w:p>
    <w:p w:rsidR="00FA423E" w:rsidRPr="002D0A6A" w:rsidRDefault="00FA423E" w:rsidP="00FA423E">
      <w:pPr>
        <w:pStyle w:val="ListParagraph"/>
        <w:tabs>
          <w:tab w:val="left" w:pos="0"/>
          <w:tab w:val="left" w:pos="709"/>
        </w:tabs>
        <w:ind w:left="0"/>
        <w:jc w:val="both"/>
        <w:rPr>
          <w:rFonts w:eastAsia="SimSun" w:cs="Arial"/>
          <w:bCs/>
          <w:u w:val="single"/>
          <w:lang w:val="es-ES" w:eastAsia="zh-CN"/>
        </w:rPr>
      </w:pPr>
      <w:r w:rsidRPr="002D0A6A">
        <w:rPr>
          <w:rFonts w:eastAsia="SimSun" w:cs="Arial"/>
          <w:bCs/>
          <w:u w:val="single"/>
          <w:lang w:val="es-ES" w:eastAsia="zh-CN"/>
        </w:rPr>
        <w:t xml:space="preserve">Asistencia técnica a los países en desarrollo y los PMA </w:t>
      </w:r>
    </w:p>
    <w:p w:rsidR="00FA423E" w:rsidRPr="002D0A6A" w:rsidRDefault="00FA423E" w:rsidP="00FA423E">
      <w:pPr>
        <w:pStyle w:val="ListParagraph"/>
        <w:tabs>
          <w:tab w:val="left" w:pos="0"/>
          <w:tab w:val="left" w:pos="709"/>
        </w:tabs>
        <w:ind w:left="0"/>
        <w:jc w:val="both"/>
        <w:rPr>
          <w:rFonts w:eastAsia="SimSun" w:cs="Arial"/>
          <w:bCs/>
          <w:lang w:val="es-ES" w:eastAsia="zh-CN"/>
        </w:rPr>
      </w:pPr>
    </w:p>
    <w:p w:rsidR="00FA423E" w:rsidRPr="002D0A6A" w:rsidRDefault="00FA423E" w:rsidP="00FA423E">
      <w:pPr>
        <w:pStyle w:val="ListParagraph"/>
        <w:numPr>
          <w:ilvl w:val="0"/>
          <w:numId w:val="14"/>
        </w:numPr>
        <w:tabs>
          <w:tab w:val="left" w:pos="0"/>
          <w:tab w:val="left" w:pos="709"/>
        </w:tabs>
        <w:ind w:left="0" w:firstLine="0"/>
        <w:jc w:val="both"/>
        <w:rPr>
          <w:rFonts w:eastAsia="SimSun" w:cs="Arial"/>
          <w:bCs/>
          <w:lang w:val="es-ES" w:eastAsia="zh-CN"/>
        </w:rPr>
      </w:pPr>
      <w:r w:rsidRPr="002D0A6A">
        <w:rPr>
          <w:rFonts w:eastAsia="SimSun" w:cs="Arial"/>
          <w:bCs/>
          <w:lang w:val="es-ES" w:eastAsia="zh-CN"/>
        </w:rPr>
        <w:t>Durante el bienio 2014/15 las recomendaciones y los principios de la A.D., en particular las recomendaciones 1, 5, 6, 10 y 11, siguieron orientando la asistencia técnica prestada a los países en desarrollo y los PMA en el ámbito del derecho de autor y los derechos conexos.  Por consiguiente, los programas de asistencia técnica estuvieron impulsados por la demanda, se elaboraron en colaboración estrecha con los países beneficiarios y se ejecutaron de manera adaptada para dar respuesta a las necesidades y prioridades de desarrollo detectadas en cada país.</w:t>
      </w:r>
    </w:p>
    <w:p w:rsidR="00FA423E" w:rsidRPr="002D0A6A" w:rsidRDefault="00FA423E" w:rsidP="00FA423E">
      <w:pPr>
        <w:pStyle w:val="ListParagraph"/>
        <w:tabs>
          <w:tab w:val="left" w:pos="0"/>
          <w:tab w:val="left" w:pos="709"/>
        </w:tabs>
        <w:ind w:left="0"/>
        <w:jc w:val="both"/>
        <w:rPr>
          <w:rFonts w:eastAsia="SimSun" w:cs="Arial"/>
          <w:bCs/>
          <w:lang w:val="es-ES" w:eastAsia="zh-CN"/>
        </w:rPr>
      </w:pPr>
    </w:p>
    <w:p w:rsidR="00FA423E" w:rsidRPr="002D0A6A" w:rsidRDefault="00FA423E" w:rsidP="00FA423E">
      <w:pPr>
        <w:pStyle w:val="ListParagraph"/>
        <w:numPr>
          <w:ilvl w:val="0"/>
          <w:numId w:val="14"/>
        </w:numPr>
        <w:tabs>
          <w:tab w:val="left" w:pos="0"/>
          <w:tab w:val="left" w:pos="709"/>
        </w:tabs>
        <w:ind w:left="0" w:firstLine="0"/>
        <w:jc w:val="both"/>
        <w:rPr>
          <w:rFonts w:eastAsia="SimSun" w:cs="Arial"/>
          <w:bCs/>
          <w:lang w:val="es-ES" w:eastAsia="zh-CN"/>
        </w:rPr>
      </w:pPr>
      <w:r w:rsidRPr="002D0A6A">
        <w:rPr>
          <w:rFonts w:eastAsia="SimSun" w:cs="Arial"/>
          <w:bCs/>
          <w:lang w:val="es-ES" w:eastAsia="zh-CN"/>
        </w:rPr>
        <w:t xml:space="preserve">Se hicieron esfuerzos para dar respuesta a la demanda creciente de asistencia técnica en el ámbito del derecho de autor y los derechos conexos proveniente de los países en desarrollo y los PMA.  </w:t>
      </w:r>
      <w:r w:rsidRPr="002D0A6A">
        <w:rPr>
          <w:rFonts w:eastAsia="SimSun" w:cs="Arial"/>
          <w:bCs/>
          <w:lang w:val="es-ES" w:eastAsia="zh-CN"/>
        </w:rPr>
        <w:lastRenderedPageBreak/>
        <w:t xml:space="preserve">Durante el período objeto del examen se ejecutaron 95 programas diferentes de asistencia técnica y fortalecimiento de capacidades a escala nacional, regional e interregional en 116 países y cinco organizaciones intergubernamentales regionales (la Organización Regional Africana de la Propiedad Intelectual (ARIPO), el Centro Regional para el Fomento del Libro en América Latina y el Caribe (CERLALC), la </w:t>
      </w:r>
      <w:r w:rsidRPr="002D0A6A">
        <w:rPr>
          <w:rFonts w:eastAsia="SimSun"/>
          <w:lang w:val="es-ES" w:eastAsia="zh-CN"/>
        </w:rPr>
        <w:t xml:space="preserve">Organización Africana de la Propiedad Intelectual (OAPI), la Liga de los Estados Árabes (LEA) y la </w:t>
      </w:r>
      <w:r w:rsidRPr="002D0A6A">
        <w:rPr>
          <w:rStyle w:val="preferred"/>
          <w:lang w:val="es-ES"/>
        </w:rPr>
        <w:t>Secretaría del Foro de las Islas del Pacífico)</w:t>
      </w:r>
      <w:r w:rsidRPr="002D0A6A">
        <w:rPr>
          <w:rFonts w:eastAsia="SimSun"/>
          <w:lang w:val="es-ES" w:eastAsia="zh-CN"/>
        </w:rPr>
        <w:t>.</w:t>
      </w:r>
    </w:p>
    <w:p w:rsidR="00FA423E" w:rsidRPr="002D0A6A" w:rsidRDefault="00FA423E" w:rsidP="00FA423E">
      <w:pPr>
        <w:pStyle w:val="ListParagraph"/>
        <w:ind w:left="0"/>
        <w:rPr>
          <w:rFonts w:eastAsia="SimSun" w:cs="Arial"/>
          <w:bCs/>
          <w:lang w:val="es-ES" w:eastAsia="zh-CN"/>
        </w:rPr>
      </w:pPr>
    </w:p>
    <w:p w:rsidR="00FA423E" w:rsidRPr="002D0A6A" w:rsidRDefault="00FA423E" w:rsidP="00FA423E">
      <w:pPr>
        <w:pStyle w:val="ListParagraph"/>
        <w:numPr>
          <w:ilvl w:val="0"/>
          <w:numId w:val="14"/>
        </w:numPr>
        <w:tabs>
          <w:tab w:val="left" w:pos="0"/>
          <w:tab w:val="left" w:pos="709"/>
        </w:tabs>
        <w:ind w:left="0" w:firstLine="0"/>
        <w:jc w:val="both"/>
        <w:rPr>
          <w:rFonts w:eastAsia="SimSun" w:cs="Arial"/>
          <w:bCs/>
          <w:lang w:val="es-ES" w:eastAsia="zh-CN"/>
        </w:rPr>
      </w:pPr>
      <w:r w:rsidRPr="002D0A6A">
        <w:rPr>
          <w:rFonts w:eastAsia="SimSun" w:cs="Arial"/>
          <w:bCs/>
          <w:lang w:val="es-ES" w:eastAsia="zh-CN"/>
        </w:rPr>
        <w:t>Entre estas actividades realizadas estaban las relativas a la sensibilización y el fortalecimiento de capacidades en materia de derecho de autor y derechos conexos entre los directores de oficinales nacionales de derecho de autor, los responsables de la formulación de políticas y principales interesados.  En los programas de fortalecimiento de capacidades se abordaron los principios básicos del derecho de autor y los derechos conexos, así como nuevas cuestiones de especial importancia y pertinencia para los países en desarrollo y los PMA, en particular las novedades a nivel nacional e internacional, y contribuyeron a:  i) mejorar la capacidad para formular y poner en aplicación políticas nacionales en materia de derecho de autor y marcos estratégicos para la utilización coherente y eficaz  de la P.I. en favor del desarrollo sostenible;  ii) fortalecer la capacidad de los recursos humanos y el desarrollo institucional para prestar mejores servicios a las partes interesadas, y iii) promover y aprovechar su creatividad nacional.</w:t>
      </w:r>
    </w:p>
    <w:p w:rsidR="00FA423E" w:rsidRPr="002D0A6A" w:rsidRDefault="00FA423E" w:rsidP="00FA423E">
      <w:pPr>
        <w:pStyle w:val="ListParagraph"/>
        <w:tabs>
          <w:tab w:val="left" w:pos="0"/>
          <w:tab w:val="left" w:pos="709"/>
        </w:tabs>
        <w:ind w:left="0"/>
        <w:jc w:val="both"/>
        <w:rPr>
          <w:rFonts w:eastAsia="SimSun" w:cs="Arial"/>
          <w:bCs/>
          <w:lang w:val="es-ES" w:eastAsia="zh-CN"/>
        </w:rPr>
      </w:pPr>
    </w:p>
    <w:p w:rsidR="00FA423E" w:rsidRPr="002D0A6A" w:rsidRDefault="00FA423E" w:rsidP="00FA423E">
      <w:pPr>
        <w:pStyle w:val="ListParagraph"/>
        <w:numPr>
          <w:ilvl w:val="0"/>
          <w:numId w:val="14"/>
        </w:numPr>
        <w:tabs>
          <w:tab w:val="left" w:pos="0"/>
          <w:tab w:val="left" w:pos="709"/>
        </w:tabs>
        <w:ind w:left="0" w:firstLine="0"/>
        <w:jc w:val="both"/>
        <w:rPr>
          <w:rFonts w:eastAsia="SimSun" w:cs="Arial"/>
          <w:bCs/>
          <w:lang w:val="es-ES" w:eastAsia="zh-CN"/>
        </w:rPr>
      </w:pPr>
      <w:r w:rsidRPr="002D0A6A">
        <w:rPr>
          <w:rFonts w:eastAsia="SimSun" w:cs="Arial"/>
          <w:bCs/>
          <w:lang w:val="es-ES" w:eastAsia="zh-CN"/>
        </w:rPr>
        <w:t>También se hicieron esfuerzos a fin de mejorar la eficacia en función de los costos y la sostenibilidad de estas actividades de asistencia técnica, por ejemplo fomentando y fortaleciendo la cooperación entre los países en desarrollo a través del intercambio de conocimientos, destrezas, competencias y recursos para alcanzar sus objetivos de desarrollo.  Asimismo, se llevaron a cabo procesos de evaluación específicos por países al objeto de mejorar la responsabilidad por los</w:t>
      </w:r>
      <w:r w:rsidR="00224863">
        <w:rPr>
          <w:rFonts w:eastAsia="SimSun" w:cs="Arial"/>
          <w:bCs/>
          <w:lang w:val="es-ES" w:eastAsia="zh-CN"/>
        </w:rPr>
        <w:t xml:space="preserve"> resultados.  De acuerdo con es</w:t>
      </w:r>
      <w:r w:rsidRPr="002D0A6A">
        <w:rPr>
          <w:rFonts w:eastAsia="SimSun" w:cs="Arial"/>
          <w:bCs/>
          <w:lang w:val="es-ES" w:eastAsia="zh-CN"/>
        </w:rPr>
        <w:t xml:space="preserve">as evaluaciones, más del 80% de los participantes consideró que el contenido de </w:t>
      </w:r>
      <w:r w:rsidR="00224863">
        <w:rPr>
          <w:rFonts w:eastAsia="SimSun" w:cs="Arial"/>
          <w:bCs/>
          <w:lang w:val="es-ES" w:eastAsia="zh-CN"/>
        </w:rPr>
        <w:t xml:space="preserve">las reuniones y </w:t>
      </w:r>
      <w:r w:rsidRPr="002D0A6A">
        <w:rPr>
          <w:rFonts w:eastAsia="SimSun" w:cs="Arial"/>
          <w:bCs/>
          <w:lang w:val="es-ES" w:eastAsia="zh-CN"/>
        </w:rPr>
        <w:t>talleres</w:t>
      </w:r>
      <w:r w:rsidR="00224863">
        <w:rPr>
          <w:rFonts w:eastAsia="SimSun" w:cs="Arial"/>
          <w:bCs/>
          <w:lang w:val="es-ES" w:eastAsia="zh-CN"/>
        </w:rPr>
        <w:t xml:space="preserve"> sobre fortalecimiento de capacidades</w:t>
      </w:r>
      <w:r w:rsidRPr="002D0A6A">
        <w:rPr>
          <w:rFonts w:eastAsia="SimSun" w:cs="Arial"/>
          <w:bCs/>
          <w:lang w:val="es-ES" w:eastAsia="zh-CN"/>
        </w:rPr>
        <w:t xml:space="preserve"> era pertinente para sus tareas profesionales y que podría aprovechar la información y los conocimientos adquiridos en ellos para su trabajo.</w:t>
      </w:r>
    </w:p>
    <w:p w:rsidR="00FA423E" w:rsidRPr="002D0A6A" w:rsidRDefault="00FA423E" w:rsidP="00FA423E">
      <w:pPr>
        <w:rPr>
          <w:sz w:val="20"/>
        </w:rPr>
      </w:pPr>
    </w:p>
    <w:p w:rsidR="00FA423E" w:rsidRPr="002D0A6A" w:rsidRDefault="00FA423E" w:rsidP="00FA423E">
      <w:pPr>
        <w:rPr>
          <w:b/>
        </w:rPr>
      </w:pPr>
    </w:p>
    <w:p w:rsidR="00FA423E" w:rsidRPr="002D0A6A" w:rsidRDefault="008F7CBE" w:rsidP="00FA423E">
      <w:pPr>
        <w:rPr>
          <w:szCs w:val="22"/>
        </w:rPr>
      </w:pPr>
      <w:r w:rsidRPr="008F7CBE">
        <w:rPr>
          <w:sz w:val="20"/>
          <w:szCs w:val="22"/>
        </w:rPr>
        <w:t>DATOS SOBRE EL RENDIMIENTO</w:t>
      </w:r>
    </w:p>
    <w:p w:rsidR="00FA423E" w:rsidRPr="002D0A6A" w:rsidRDefault="00FA423E" w:rsidP="00FA423E">
      <w:pPr>
        <w:rPr>
          <w:sz w:val="20"/>
        </w:rPr>
      </w:pPr>
    </w:p>
    <w:tbl>
      <w:tblPr>
        <w:tblW w:w="4962"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9"/>
        <w:gridCol w:w="139"/>
        <w:gridCol w:w="13"/>
        <w:gridCol w:w="2395"/>
        <w:gridCol w:w="13"/>
        <w:gridCol w:w="1271"/>
        <w:gridCol w:w="289"/>
        <w:gridCol w:w="1976"/>
        <w:gridCol w:w="11"/>
        <w:gridCol w:w="135"/>
        <w:gridCol w:w="1119"/>
        <w:gridCol w:w="8"/>
      </w:tblGrid>
      <w:tr w:rsidR="00FA423E" w:rsidRPr="002D0A6A" w:rsidTr="00DC1333">
        <w:trPr>
          <w:gridAfter w:val="1"/>
          <w:wAfter w:w="4" w:type="pct"/>
          <w:trHeight w:val="789"/>
        </w:trPr>
        <w:tc>
          <w:tcPr>
            <w:tcW w:w="4996" w:type="pct"/>
            <w:gridSpan w:val="11"/>
            <w:tcBorders>
              <w:top w:val="single" w:sz="4" w:space="0" w:color="auto"/>
              <w:bottom w:val="single" w:sz="4" w:space="0" w:color="auto"/>
            </w:tcBorders>
            <w:shd w:val="clear" w:color="auto" w:fill="C6D9F1" w:themeFill="text2" w:themeFillTint="33"/>
            <w:vAlign w:val="center"/>
          </w:tcPr>
          <w:p w:rsidR="00FA423E" w:rsidRPr="002D0A6A" w:rsidRDefault="00FA423E" w:rsidP="00DC1333">
            <w:pPr>
              <w:keepNext/>
              <w:keepLines/>
              <w:ind w:left="2019" w:hanging="2019"/>
              <w:rPr>
                <w:b/>
                <w:bCs/>
                <w:sz w:val="16"/>
                <w:szCs w:val="16"/>
              </w:rPr>
            </w:pPr>
            <w:r w:rsidRPr="002D0A6A">
              <w:rPr>
                <w:b/>
                <w:bCs/>
                <w:sz w:val="16"/>
                <w:szCs w:val="16"/>
              </w:rPr>
              <w:t>Resultado previsto:</w:t>
            </w:r>
            <w:r w:rsidRPr="002D0A6A">
              <w:rPr>
                <w:bCs/>
                <w:sz w:val="16"/>
                <w:szCs w:val="16"/>
              </w:rPr>
              <w:tab/>
              <w:t>I.1 Mejor cooperación entre los Estados miembros en lo que atañe a la elaboración de marcos normativos internacionales equilibrados para la P.I. y fomento de acuerdos sobre las cuestiones específicas respecto de las que se acuerdan instrumentos internacionales</w:t>
            </w:r>
          </w:p>
        </w:tc>
      </w:tr>
      <w:tr w:rsidR="00FA423E" w:rsidRPr="002D0A6A" w:rsidTr="00DC1333">
        <w:trPr>
          <w:gridAfter w:val="1"/>
          <w:wAfter w:w="4" w:type="pct"/>
        </w:trPr>
        <w:tc>
          <w:tcPr>
            <w:tcW w:w="1194" w:type="pct"/>
            <w:gridSpan w:val="2"/>
            <w:tcBorders>
              <w:top w:val="single" w:sz="4" w:space="0" w:color="auto"/>
            </w:tcBorders>
            <w:shd w:val="clear" w:color="auto" w:fill="auto"/>
            <w:vAlign w:val="center"/>
          </w:tcPr>
          <w:p w:rsidR="00FA423E" w:rsidRPr="002D0A6A" w:rsidRDefault="00FA423E" w:rsidP="00DC1333">
            <w:pPr>
              <w:rPr>
                <w:sz w:val="16"/>
                <w:szCs w:val="16"/>
              </w:rPr>
            </w:pPr>
            <w:r w:rsidRPr="002D0A6A">
              <w:rPr>
                <w:b/>
                <w:sz w:val="16"/>
                <w:szCs w:val="16"/>
              </w:rPr>
              <w:t>Indicadores de rendimiento</w:t>
            </w:r>
          </w:p>
        </w:tc>
        <w:tc>
          <w:tcPr>
            <w:tcW w:w="1268" w:type="pct"/>
            <w:gridSpan w:val="2"/>
            <w:tcBorders>
              <w:top w:val="single" w:sz="4" w:space="0" w:color="auto"/>
            </w:tcBorders>
            <w:shd w:val="clear" w:color="auto" w:fill="auto"/>
            <w:vAlign w:val="center"/>
          </w:tcPr>
          <w:p w:rsidR="00FA423E" w:rsidRPr="002D0A6A" w:rsidRDefault="00FA423E" w:rsidP="00DC1333">
            <w:pPr>
              <w:rPr>
                <w:b/>
                <w:bCs/>
                <w:sz w:val="16"/>
                <w:szCs w:val="16"/>
              </w:rPr>
            </w:pPr>
            <w:r w:rsidRPr="002D0A6A">
              <w:rPr>
                <w:b/>
                <w:bCs/>
                <w:sz w:val="16"/>
                <w:szCs w:val="16"/>
              </w:rPr>
              <w:t>Referencia</w:t>
            </w:r>
          </w:p>
        </w:tc>
        <w:tc>
          <w:tcPr>
            <w:tcW w:w="676" w:type="pct"/>
            <w:gridSpan w:val="2"/>
            <w:tcBorders>
              <w:top w:val="single" w:sz="4" w:space="0" w:color="auto"/>
            </w:tcBorders>
            <w:shd w:val="clear" w:color="auto" w:fill="auto"/>
            <w:tcMar>
              <w:top w:w="110" w:type="dxa"/>
            </w:tcMar>
            <w:vAlign w:val="center"/>
          </w:tcPr>
          <w:p w:rsidR="00FA423E" w:rsidRPr="002D0A6A" w:rsidRDefault="00FA423E" w:rsidP="00DC1333">
            <w:pPr>
              <w:rPr>
                <w:b/>
                <w:sz w:val="16"/>
                <w:szCs w:val="16"/>
              </w:rPr>
            </w:pPr>
            <w:r w:rsidRPr="002D0A6A">
              <w:rPr>
                <w:b/>
                <w:sz w:val="16"/>
                <w:szCs w:val="16"/>
              </w:rPr>
              <w:t>Objetivos</w:t>
            </w:r>
          </w:p>
        </w:tc>
        <w:tc>
          <w:tcPr>
            <w:tcW w:w="1192" w:type="pct"/>
            <w:gridSpan w:val="2"/>
            <w:tcBorders>
              <w:top w:val="single" w:sz="4" w:space="0" w:color="auto"/>
            </w:tcBorders>
            <w:shd w:val="clear" w:color="auto" w:fill="FFFFFF"/>
            <w:tcMar>
              <w:top w:w="110" w:type="dxa"/>
            </w:tcMar>
            <w:vAlign w:val="center"/>
          </w:tcPr>
          <w:p w:rsidR="00FA423E" w:rsidRPr="002D0A6A" w:rsidRDefault="00FA423E" w:rsidP="00DC1333">
            <w:pPr>
              <w:rPr>
                <w:sz w:val="16"/>
                <w:szCs w:val="16"/>
              </w:rPr>
            </w:pPr>
            <w:r w:rsidRPr="002D0A6A">
              <w:rPr>
                <w:b/>
                <w:sz w:val="16"/>
                <w:szCs w:val="16"/>
              </w:rPr>
              <w:t>Datos sobre el rendimiento</w:t>
            </w:r>
          </w:p>
        </w:tc>
        <w:tc>
          <w:tcPr>
            <w:tcW w:w="666" w:type="pct"/>
            <w:gridSpan w:val="3"/>
            <w:tcBorders>
              <w:top w:val="single" w:sz="4" w:space="0" w:color="auto"/>
            </w:tcBorders>
            <w:shd w:val="clear" w:color="auto" w:fill="auto"/>
            <w:tcMar>
              <w:top w:w="110" w:type="dxa"/>
            </w:tcMar>
            <w:vAlign w:val="center"/>
          </w:tcPr>
          <w:p w:rsidR="00FA423E" w:rsidRPr="002D0A6A" w:rsidRDefault="00FA423E" w:rsidP="00DC1333">
            <w:pPr>
              <w:keepNext/>
              <w:keepLines/>
              <w:ind w:right="-104"/>
              <w:jc w:val="center"/>
              <w:rPr>
                <w:b/>
                <w:bCs/>
                <w:sz w:val="16"/>
                <w:szCs w:val="16"/>
              </w:rPr>
            </w:pPr>
            <w:r w:rsidRPr="002D0A6A">
              <w:rPr>
                <w:b/>
                <w:bCs/>
                <w:sz w:val="16"/>
                <w:szCs w:val="16"/>
              </w:rPr>
              <w:t>Clave de colores</w:t>
            </w:r>
          </w:p>
        </w:tc>
      </w:tr>
      <w:tr w:rsidR="00FA423E" w:rsidRPr="002D0A6A" w:rsidTr="00DC1333">
        <w:trPr>
          <w:gridAfter w:val="1"/>
          <w:wAfter w:w="4" w:type="pct"/>
        </w:trPr>
        <w:tc>
          <w:tcPr>
            <w:tcW w:w="1194" w:type="pct"/>
            <w:gridSpan w:val="2"/>
            <w:tcBorders>
              <w:bottom w:val="single" w:sz="4" w:space="0" w:color="auto"/>
            </w:tcBorders>
            <w:shd w:val="clear" w:color="auto" w:fill="auto"/>
          </w:tcPr>
          <w:p w:rsidR="00FA423E" w:rsidRPr="002D0A6A" w:rsidRDefault="00FA423E" w:rsidP="00DC1333">
            <w:pPr>
              <w:rPr>
                <w:sz w:val="16"/>
                <w:szCs w:val="16"/>
              </w:rPr>
            </w:pPr>
            <w:r w:rsidRPr="002D0A6A">
              <w:rPr>
                <w:sz w:val="16"/>
                <w:szCs w:val="16"/>
              </w:rPr>
              <w:t>Avances para llegar a un acuerdo sobre las cuestiones que figuran en el orden del día del SCCR</w:t>
            </w:r>
          </w:p>
        </w:tc>
        <w:tc>
          <w:tcPr>
            <w:tcW w:w="1268" w:type="pct"/>
            <w:gridSpan w:val="2"/>
            <w:tcBorders>
              <w:bottom w:val="single" w:sz="4" w:space="0" w:color="auto"/>
            </w:tcBorders>
            <w:shd w:val="clear" w:color="auto" w:fill="auto"/>
          </w:tcPr>
          <w:p w:rsidR="00FA423E" w:rsidRPr="002D0A6A" w:rsidRDefault="00FA423E" w:rsidP="00DC1333">
            <w:pPr>
              <w:rPr>
                <w:i/>
                <w:sz w:val="16"/>
                <w:szCs w:val="16"/>
              </w:rPr>
            </w:pPr>
            <w:r w:rsidRPr="002D0A6A">
              <w:rPr>
                <w:i/>
                <w:color w:val="002060"/>
                <w:sz w:val="16"/>
                <w:szCs w:val="16"/>
              </w:rPr>
              <w:t xml:space="preserve">Referencia actualizada a fines de  2013:  </w:t>
            </w:r>
            <w:r w:rsidRPr="002D0A6A">
              <w:rPr>
                <w:sz w:val="16"/>
                <w:szCs w:val="16"/>
              </w:rPr>
              <w:t>Se adoptó el texto del Tratado de Beijing en junio de 2012. Se adoptó el texto del Tratado de Marrakech en junio de 2013.  Los progresos están en sintonía con el plan de trabajo del SCCR sobre todos los puntos que figuran en el orden del día.</w:t>
            </w:r>
          </w:p>
          <w:p w:rsidR="00FA423E" w:rsidRPr="002D0A6A" w:rsidRDefault="00FA423E" w:rsidP="00DC1333">
            <w:pPr>
              <w:rPr>
                <w:color w:val="002060"/>
                <w:sz w:val="8"/>
                <w:szCs w:val="8"/>
              </w:rPr>
            </w:pPr>
          </w:p>
          <w:p w:rsidR="00FA423E" w:rsidRPr="002D0A6A" w:rsidRDefault="00FA423E" w:rsidP="00DC1333">
            <w:pPr>
              <w:rPr>
                <w:sz w:val="16"/>
                <w:szCs w:val="16"/>
                <w:lang w:bidi="th-TH"/>
              </w:rPr>
            </w:pPr>
            <w:r w:rsidRPr="002D0A6A">
              <w:rPr>
                <w:i/>
                <w:sz w:val="16"/>
                <w:szCs w:val="16"/>
                <w:lang w:bidi="th-TH"/>
              </w:rPr>
              <w:t>Referencia original en el presupuesto de 2014/15:</w:t>
            </w:r>
            <w:r w:rsidRPr="002D0A6A">
              <w:rPr>
                <w:sz w:val="16"/>
                <w:szCs w:val="16"/>
                <w:lang w:bidi="th-TH"/>
              </w:rPr>
              <w:t xml:space="preserve">  dos tratados adoptados en el bienio 2012/13 (hasta la fecha).  Dos conferencias diplomáticas convocadas en el bienio 2012/13.</w:t>
            </w:r>
          </w:p>
          <w:p w:rsidR="00FA423E" w:rsidRPr="002D0A6A" w:rsidRDefault="00FA423E" w:rsidP="00DC1333">
            <w:pPr>
              <w:rPr>
                <w:sz w:val="16"/>
                <w:szCs w:val="16"/>
              </w:rPr>
            </w:pPr>
          </w:p>
        </w:tc>
        <w:tc>
          <w:tcPr>
            <w:tcW w:w="676" w:type="pct"/>
            <w:gridSpan w:val="2"/>
            <w:tcBorders>
              <w:bottom w:val="single" w:sz="4" w:space="0" w:color="auto"/>
            </w:tcBorders>
            <w:shd w:val="clear" w:color="auto" w:fill="auto"/>
            <w:tcMar>
              <w:top w:w="110" w:type="dxa"/>
            </w:tcMar>
          </w:tcPr>
          <w:p w:rsidR="00FA423E" w:rsidRPr="002D0A6A" w:rsidRDefault="00FA423E" w:rsidP="00DC1333">
            <w:pPr>
              <w:rPr>
                <w:sz w:val="16"/>
                <w:szCs w:val="16"/>
              </w:rPr>
            </w:pPr>
            <w:r w:rsidRPr="002D0A6A">
              <w:rPr>
                <w:sz w:val="16"/>
                <w:szCs w:val="16"/>
              </w:rPr>
              <w:t>Una conferencia diplomática convocada y un tratad</w:t>
            </w:r>
            <w:r>
              <w:rPr>
                <w:sz w:val="16"/>
                <w:szCs w:val="16"/>
              </w:rPr>
              <w:t>o adoptado en el bienio 2014/15</w:t>
            </w:r>
          </w:p>
          <w:p w:rsidR="00FA423E" w:rsidRPr="002D0A6A" w:rsidRDefault="00FA423E" w:rsidP="00DC1333">
            <w:pPr>
              <w:rPr>
                <w:sz w:val="16"/>
                <w:szCs w:val="16"/>
              </w:rPr>
            </w:pPr>
          </w:p>
          <w:p w:rsidR="00FA423E" w:rsidRPr="002D0A6A" w:rsidRDefault="00FA423E" w:rsidP="00DC1333">
            <w:pPr>
              <w:rPr>
                <w:sz w:val="16"/>
                <w:szCs w:val="16"/>
                <w:lang w:bidi="th-TH"/>
              </w:rPr>
            </w:pPr>
          </w:p>
        </w:tc>
        <w:tc>
          <w:tcPr>
            <w:tcW w:w="1192" w:type="pct"/>
            <w:gridSpan w:val="2"/>
            <w:tcBorders>
              <w:bottom w:val="single" w:sz="4" w:space="0" w:color="auto"/>
            </w:tcBorders>
            <w:shd w:val="clear" w:color="auto" w:fill="FFFFFF"/>
            <w:tcMar>
              <w:top w:w="110" w:type="dxa"/>
            </w:tcMar>
          </w:tcPr>
          <w:p w:rsidR="00FA423E" w:rsidRPr="002D0A6A" w:rsidRDefault="00FA423E" w:rsidP="00DC1333">
            <w:pPr>
              <w:rPr>
                <w:sz w:val="16"/>
                <w:szCs w:val="16"/>
              </w:rPr>
            </w:pPr>
            <w:r w:rsidRPr="002D0A6A">
              <w:rPr>
                <w:sz w:val="16"/>
                <w:szCs w:val="16"/>
                <w:lang w:bidi="th-TH"/>
              </w:rPr>
              <w:t>El SCCR y la Asamblea General de la OMPI no lograron llegar a un acuerdo sobre los aspectos que permitan avanzar hacia la convocatoria de una conferencia diplomática en relación con el tratado sobre la protección de los organismos de radiodifusión.</w:t>
            </w:r>
          </w:p>
        </w:tc>
        <w:tc>
          <w:tcPr>
            <w:tcW w:w="666" w:type="pct"/>
            <w:gridSpan w:val="3"/>
            <w:tcBorders>
              <w:bottom w:val="single" w:sz="4" w:space="0" w:color="auto"/>
            </w:tcBorders>
            <w:shd w:val="clear" w:color="auto" w:fill="auto"/>
            <w:tcMar>
              <w:top w:w="110" w:type="dxa"/>
            </w:tcMar>
          </w:tcPr>
          <w:p w:rsidR="00FA423E" w:rsidRPr="002D0A6A" w:rsidRDefault="00FA423E" w:rsidP="00DC1333">
            <w:pPr>
              <w:keepNext/>
              <w:keepLines/>
              <w:ind w:left="-108"/>
              <w:jc w:val="center"/>
              <w:rPr>
                <w:b/>
                <w:bCs/>
                <w:sz w:val="16"/>
                <w:szCs w:val="16"/>
              </w:rPr>
            </w:pPr>
            <w:r w:rsidRPr="002D0A6A">
              <w:rPr>
                <w:b/>
                <w:bCs/>
                <w:color w:val="FF0000"/>
                <w:sz w:val="16"/>
                <w:szCs w:val="16"/>
              </w:rPr>
              <w:t>No logrado</w:t>
            </w:r>
          </w:p>
        </w:tc>
      </w:tr>
      <w:tr w:rsidR="00FA423E" w:rsidRPr="002D0A6A" w:rsidTr="00DC1333">
        <w:trPr>
          <w:gridAfter w:val="1"/>
          <w:wAfter w:w="4" w:type="pct"/>
          <w:trHeight w:val="475"/>
        </w:trPr>
        <w:tc>
          <w:tcPr>
            <w:tcW w:w="4996" w:type="pct"/>
            <w:gridSpan w:val="11"/>
            <w:tcBorders>
              <w:top w:val="single" w:sz="4" w:space="0" w:color="auto"/>
              <w:bottom w:val="single" w:sz="4" w:space="0" w:color="auto"/>
            </w:tcBorders>
            <w:shd w:val="clear" w:color="auto" w:fill="C6D9F1" w:themeFill="text2" w:themeFillTint="33"/>
            <w:vAlign w:val="center"/>
          </w:tcPr>
          <w:p w:rsidR="00FA423E" w:rsidRPr="002D0A6A" w:rsidRDefault="00FA423E" w:rsidP="00DC1333">
            <w:pPr>
              <w:keepNext/>
              <w:ind w:left="2019" w:hanging="2019"/>
              <w:rPr>
                <w:b/>
                <w:bCs/>
                <w:sz w:val="16"/>
                <w:szCs w:val="16"/>
              </w:rPr>
            </w:pPr>
            <w:r w:rsidRPr="002D0A6A">
              <w:rPr>
                <w:b/>
                <w:bCs/>
                <w:sz w:val="16"/>
                <w:szCs w:val="16"/>
              </w:rPr>
              <w:lastRenderedPageBreak/>
              <w:t>Resultado previsto:</w:t>
            </w:r>
            <w:r w:rsidRPr="002D0A6A">
              <w:rPr>
                <w:bCs/>
                <w:sz w:val="16"/>
                <w:szCs w:val="16"/>
              </w:rPr>
              <w:tab/>
              <w:t>I.2 Marcos de P.I. adaptados y equilibrados en el ámbito legislativo, reglamentario y de política</w:t>
            </w:r>
          </w:p>
        </w:tc>
      </w:tr>
      <w:tr w:rsidR="00FA423E" w:rsidRPr="002D0A6A" w:rsidTr="00DC1333">
        <w:trPr>
          <w:gridAfter w:val="1"/>
          <w:wAfter w:w="4" w:type="pct"/>
        </w:trPr>
        <w:tc>
          <w:tcPr>
            <w:tcW w:w="1194" w:type="pct"/>
            <w:gridSpan w:val="2"/>
            <w:tcBorders>
              <w:top w:val="single" w:sz="4" w:space="0" w:color="auto"/>
              <w:left w:val="single" w:sz="4" w:space="0" w:color="auto"/>
              <w:bottom w:val="nil"/>
            </w:tcBorders>
            <w:shd w:val="clear" w:color="auto" w:fill="auto"/>
            <w:vAlign w:val="center"/>
          </w:tcPr>
          <w:p w:rsidR="00FA423E" w:rsidRPr="002D0A6A" w:rsidRDefault="00FA423E" w:rsidP="00DC1333">
            <w:pPr>
              <w:keepNext/>
              <w:rPr>
                <w:sz w:val="16"/>
                <w:szCs w:val="16"/>
              </w:rPr>
            </w:pPr>
            <w:r w:rsidRPr="002D0A6A">
              <w:rPr>
                <w:b/>
                <w:sz w:val="16"/>
                <w:szCs w:val="16"/>
              </w:rPr>
              <w:t>Indicadores de rendimiento</w:t>
            </w:r>
          </w:p>
        </w:tc>
        <w:tc>
          <w:tcPr>
            <w:tcW w:w="1268" w:type="pct"/>
            <w:gridSpan w:val="2"/>
            <w:tcBorders>
              <w:top w:val="single" w:sz="4" w:space="0" w:color="auto"/>
              <w:bottom w:val="nil"/>
            </w:tcBorders>
            <w:shd w:val="clear" w:color="auto" w:fill="auto"/>
            <w:vAlign w:val="center"/>
          </w:tcPr>
          <w:p w:rsidR="00FA423E" w:rsidRPr="002D0A6A" w:rsidRDefault="00FA423E" w:rsidP="00DC1333">
            <w:pPr>
              <w:keepNext/>
              <w:rPr>
                <w:b/>
                <w:bCs/>
                <w:sz w:val="16"/>
                <w:szCs w:val="16"/>
              </w:rPr>
            </w:pPr>
            <w:r w:rsidRPr="002D0A6A">
              <w:rPr>
                <w:b/>
                <w:bCs/>
                <w:sz w:val="16"/>
                <w:szCs w:val="16"/>
              </w:rPr>
              <w:t>Referencia</w:t>
            </w:r>
          </w:p>
        </w:tc>
        <w:tc>
          <w:tcPr>
            <w:tcW w:w="676" w:type="pct"/>
            <w:gridSpan w:val="2"/>
            <w:tcBorders>
              <w:top w:val="single" w:sz="4" w:space="0" w:color="auto"/>
              <w:bottom w:val="nil"/>
            </w:tcBorders>
            <w:shd w:val="clear" w:color="auto" w:fill="auto"/>
            <w:tcMar>
              <w:top w:w="110" w:type="dxa"/>
            </w:tcMar>
            <w:vAlign w:val="center"/>
          </w:tcPr>
          <w:p w:rsidR="00FA423E" w:rsidRPr="002D0A6A" w:rsidRDefault="00FA423E" w:rsidP="00DC1333">
            <w:pPr>
              <w:keepNext/>
              <w:rPr>
                <w:b/>
                <w:sz w:val="16"/>
                <w:szCs w:val="16"/>
              </w:rPr>
            </w:pPr>
            <w:r w:rsidRPr="002D0A6A">
              <w:rPr>
                <w:b/>
                <w:sz w:val="16"/>
                <w:szCs w:val="16"/>
              </w:rPr>
              <w:t>Objetivos</w:t>
            </w:r>
          </w:p>
        </w:tc>
        <w:tc>
          <w:tcPr>
            <w:tcW w:w="1192" w:type="pct"/>
            <w:gridSpan w:val="2"/>
            <w:tcBorders>
              <w:top w:val="single" w:sz="4" w:space="0" w:color="auto"/>
              <w:bottom w:val="nil"/>
            </w:tcBorders>
            <w:shd w:val="clear" w:color="auto" w:fill="FFFFFF"/>
            <w:tcMar>
              <w:top w:w="110" w:type="dxa"/>
            </w:tcMar>
            <w:vAlign w:val="center"/>
          </w:tcPr>
          <w:p w:rsidR="00FA423E" w:rsidRPr="002D0A6A" w:rsidRDefault="00FA423E" w:rsidP="00DC1333">
            <w:pPr>
              <w:keepNext/>
              <w:rPr>
                <w:sz w:val="16"/>
                <w:szCs w:val="16"/>
              </w:rPr>
            </w:pPr>
            <w:r w:rsidRPr="002D0A6A">
              <w:rPr>
                <w:b/>
                <w:sz w:val="16"/>
                <w:szCs w:val="16"/>
              </w:rPr>
              <w:t>Datos sobre el rendimiento</w:t>
            </w:r>
          </w:p>
        </w:tc>
        <w:tc>
          <w:tcPr>
            <w:tcW w:w="666" w:type="pct"/>
            <w:gridSpan w:val="3"/>
            <w:tcBorders>
              <w:top w:val="single" w:sz="4" w:space="0" w:color="auto"/>
              <w:bottom w:val="nil"/>
              <w:right w:val="single" w:sz="4" w:space="0" w:color="auto"/>
            </w:tcBorders>
            <w:shd w:val="clear" w:color="auto" w:fill="auto"/>
            <w:tcMar>
              <w:top w:w="110" w:type="dxa"/>
            </w:tcMar>
            <w:vAlign w:val="center"/>
          </w:tcPr>
          <w:p w:rsidR="00FA423E" w:rsidRPr="002D0A6A" w:rsidRDefault="00FA423E" w:rsidP="00DC1333">
            <w:pPr>
              <w:keepNext/>
              <w:keepLines/>
              <w:jc w:val="center"/>
              <w:rPr>
                <w:b/>
                <w:bCs/>
                <w:sz w:val="16"/>
                <w:szCs w:val="16"/>
              </w:rPr>
            </w:pPr>
            <w:r w:rsidRPr="002D0A6A">
              <w:rPr>
                <w:b/>
                <w:bCs/>
                <w:sz w:val="16"/>
                <w:szCs w:val="16"/>
              </w:rPr>
              <w:t>Clave de colores</w:t>
            </w:r>
          </w:p>
        </w:tc>
      </w:tr>
      <w:tr w:rsidR="00FA423E" w:rsidRPr="002D0A6A" w:rsidTr="00DC1333">
        <w:trPr>
          <w:gridAfter w:val="1"/>
          <w:wAfter w:w="4" w:type="pct"/>
        </w:trPr>
        <w:tc>
          <w:tcPr>
            <w:tcW w:w="1194" w:type="pct"/>
            <w:gridSpan w:val="2"/>
            <w:tcBorders>
              <w:top w:val="nil"/>
              <w:left w:val="single" w:sz="4" w:space="0" w:color="auto"/>
              <w:bottom w:val="nil"/>
            </w:tcBorders>
            <w:shd w:val="clear" w:color="auto" w:fill="FFFFFF"/>
          </w:tcPr>
          <w:p w:rsidR="00FA423E" w:rsidRPr="002D0A6A" w:rsidRDefault="00FA423E" w:rsidP="00DC1333">
            <w:pPr>
              <w:keepNext/>
              <w:rPr>
                <w:sz w:val="16"/>
                <w:szCs w:val="16"/>
              </w:rPr>
            </w:pPr>
            <w:r w:rsidRPr="002D0A6A">
              <w:rPr>
                <w:sz w:val="16"/>
                <w:szCs w:val="16"/>
              </w:rPr>
              <w:t>Número de países que han ratificado el Tratado de Beijing.</w:t>
            </w:r>
          </w:p>
        </w:tc>
        <w:tc>
          <w:tcPr>
            <w:tcW w:w="1268" w:type="pct"/>
            <w:gridSpan w:val="2"/>
            <w:tcBorders>
              <w:top w:val="nil"/>
              <w:bottom w:val="nil"/>
            </w:tcBorders>
            <w:shd w:val="clear" w:color="auto" w:fill="auto"/>
          </w:tcPr>
          <w:p w:rsidR="00FA423E" w:rsidRPr="002D0A6A" w:rsidRDefault="00FA423E" w:rsidP="00DC1333">
            <w:pPr>
              <w:keepNext/>
              <w:rPr>
                <w:i/>
                <w:color w:val="002060"/>
                <w:sz w:val="16"/>
                <w:szCs w:val="16"/>
              </w:rPr>
            </w:pPr>
            <w:r w:rsidRPr="002D0A6A">
              <w:rPr>
                <w:i/>
                <w:color w:val="002060"/>
                <w:sz w:val="16"/>
                <w:szCs w:val="16"/>
              </w:rPr>
              <w:t xml:space="preserve">Referencia actualizada a fines de  2013:  </w:t>
            </w:r>
            <w:r w:rsidRPr="002D0A6A">
              <w:rPr>
                <w:color w:val="002060"/>
                <w:sz w:val="16"/>
                <w:szCs w:val="16"/>
              </w:rPr>
              <w:t>2 (</w:t>
            </w:r>
            <w:proofErr w:type="spellStart"/>
            <w:r w:rsidRPr="002D0A6A">
              <w:rPr>
                <w:color w:val="002060"/>
                <w:sz w:val="16"/>
                <w:szCs w:val="16"/>
              </w:rPr>
              <w:t>Botswana</w:t>
            </w:r>
            <w:proofErr w:type="spellEnd"/>
            <w:r w:rsidRPr="002D0A6A">
              <w:rPr>
                <w:color w:val="002060"/>
                <w:sz w:val="16"/>
                <w:szCs w:val="16"/>
              </w:rPr>
              <w:t>, República Árabe Siria)</w:t>
            </w:r>
          </w:p>
          <w:p w:rsidR="00FA423E" w:rsidRPr="002D0A6A" w:rsidRDefault="00FA423E" w:rsidP="00DC1333">
            <w:pPr>
              <w:keepNext/>
              <w:rPr>
                <w:i/>
                <w:sz w:val="8"/>
                <w:szCs w:val="8"/>
                <w:lang w:bidi="th-TH"/>
              </w:rPr>
            </w:pPr>
          </w:p>
          <w:p w:rsidR="00FA423E" w:rsidRPr="002D0A6A" w:rsidRDefault="00FA423E" w:rsidP="00DC1333">
            <w:pPr>
              <w:keepNext/>
              <w:rPr>
                <w:sz w:val="16"/>
                <w:szCs w:val="16"/>
                <w:lang w:bidi="th-TH"/>
              </w:rPr>
            </w:pPr>
            <w:r w:rsidRPr="002D0A6A">
              <w:rPr>
                <w:i/>
                <w:sz w:val="16"/>
                <w:szCs w:val="16"/>
                <w:lang w:bidi="th-TH"/>
              </w:rPr>
              <w:t xml:space="preserve">Referencia original en el presupuesto de 2014/15: </w:t>
            </w:r>
            <w:r w:rsidRPr="002D0A6A">
              <w:rPr>
                <w:sz w:val="16"/>
                <w:szCs w:val="16"/>
                <w:lang w:bidi="th-TH"/>
              </w:rPr>
              <w:t xml:space="preserve"> ninguna</w:t>
            </w:r>
          </w:p>
          <w:p w:rsidR="00FA423E" w:rsidRPr="002D0A6A" w:rsidRDefault="00FA423E" w:rsidP="00DC1333">
            <w:pPr>
              <w:keepNext/>
              <w:rPr>
                <w:sz w:val="16"/>
                <w:szCs w:val="16"/>
              </w:rPr>
            </w:pPr>
          </w:p>
        </w:tc>
        <w:tc>
          <w:tcPr>
            <w:tcW w:w="676" w:type="pct"/>
            <w:gridSpan w:val="2"/>
            <w:tcBorders>
              <w:top w:val="nil"/>
              <w:bottom w:val="nil"/>
            </w:tcBorders>
            <w:shd w:val="clear" w:color="auto" w:fill="auto"/>
            <w:tcMar>
              <w:top w:w="110" w:type="dxa"/>
            </w:tcMar>
          </w:tcPr>
          <w:p w:rsidR="00FA423E" w:rsidRPr="002D0A6A" w:rsidRDefault="00FA423E" w:rsidP="00DC1333">
            <w:pPr>
              <w:keepNext/>
              <w:rPr>
                <w:sz w:val="16"/>
                <w:szCs w:val="16"/>
              </w:rPr>
            </w:pPr>
            <w:r w:rsidRPr="002D0A6A">
              <w:rPr>
                <w:sz w:val="16"/>
                <w:szCs w:val="16"/>
              </w:rPr>
              <w:t>30 países en total.</w:t>
            </w:r>
          </w:p>
        </w:tc>
        <w:tc>
          <w:tcPr>
            <w:tcW w:w="1192" w:type="pct"/>
            <w:gridSpan w:val="2"/>
            <w:tcBorders>
              <w:top w:val="nil"/>
              <w:bottom w:val="nil"/>
            </w:tcBorders>
            <w:shd w:val="clear" w:color="auto" w:fill="FFFFFF"/>
            <w:tcMar>
              <w:top w:w="110" w:type="dxa"/>
            </w:tcMar>
          </w:tcPr>
          <w:p w:rsidR="00FA423E" w:rsidRPr="002D0A6A" w:rsidRDefault="00FA423E" w:rsidP="00DC1333">
            <w:pPr>
              <w:keepNext/>
              <w:rPr>
                <w:sz w:val="16"/>
                <w:szCs w:val="16"/>
              </w:rPr>
            </w:pPr>
            <w:r w:rsidRPr="002D0A6A">
              <w:rPr>
                <w:sz w:val="16"/>
                <w:szCs w:val="16"/>
              </w:rPr>
              <w:t xml:space="preserve">Otros ocho países depositaron instrumentos de ratificación o de adhesión al Tratado de  Beijing (Chile, China, Emiratos Árabes Unidos, Eslovaquia, Federación de Rusia, Japón, Qatar y República de </w:t>
            </w:r>
            <w:proofErr w:type="spellStart"/>
            <w:r w:rsidRPr="002D0A6A">
              <w:rPr>
                <w:sz w:val="16"/>
                <w:szCs w:val="16"/>
              </w:rPr>
              <w:t>Moldova</w:t>
            </w:r>
            <w:proofErr w:type="spellEnd"/>
            <w:r w:rsidRPr="002D0A6A">
              <w:rPr>
                <w:sz w:val="16"/>
                <w:szCs w:val="16"/>
              </w:rPr>
              <w:t>) (10 países en total)</w:t>
            </w:r>
          </w:p>
        </w:tc>
        <w:tc>
          <w:tcPr>
            <w:tcW w:w="666" w:type="pct"/>
            <w:gridSpan w:val="3"/>
            <w:tcBorders>
              <w:top w:val="nil"/>
              <w:bottom w:val="nil"/>
              <w:right w:val="single" w:sz="4" w:space="0" w:color="auto"/>
            </w:tcBorders>
            <w:shd w:val="clear" w:color="auto" w:fill="auto"/>
            <w:tcMar>
              <w:top w:w="110" w:type="dxa"/>
            </w:tcMar>
          </w:tcPr>
          <w:p w:rsidR="00FA423E" w:rsidRPr="002D0A6A" w:rsidRDefault="00FA423E" w:rsidP="00DC1333">
            <w:pPr>
              <w:keepNext/>
              <w:keepLines/>
              <w:ind w:left="-108"/>
              <w:jc w:val="center"/>
              <w:rPr>
                <w:b/>
                <w:bCs/>
                <w:color w:val="808080" w:themeColor="background1" w:themeShade="80"/>
                <w:sz w:val="16"/>
                <w:szCs w:val="16"/>
              </w:rPr>
            </w:pPr>
            <w:r w:rsidRPr="002D0A6A">
              <w:rPr>
                <w:b/>
                <w:bCs/>
                <w:color w:val="FF0000"/>
                <w:sz w:val="16"/>
                <w:szCs w:val="16"/>
              </w:rPr>
              <w:t>No logrado</w:t>
            </w:r>
          </w:p>
        </w:tc>
      </w:tr>
      <w:tr w:rsidR="00FA423E" w:rsidRPr="002D0A6A" w:rsidTr="00DC1333">
        <w:trPr>
          <w:gridAfter w:val="1"/>
          <w:wAfter w:w="4" w:type="pct"/>
        </w:trPr>
        <w:tc>
          <w:tcPr>
            <w:tcW w:w="1194" w:type="pct"/>
            <w:gridSpan w:val="2"/>
            <w:tcBorders>
              <w:top w:val="nil"/>
              <w:left w:val="single" w:sz="4" w:space="0" w:color="auto"/>
              <w:bottom w:val="nil"/>
            </w:tcBorders>
            <w:shd w:val="clear" w:color="auto" w:fill="auto"/>
          </w:tcPr>
          <w:p w:rsidR="00FA423E" w:rsidRPr="002D0A6A" w:rsidRDefault="00FA423E" w:rsidP="00DC1333">
            <w:pPr>
              <w:keepNext/>
              <w:rPr>
                <w:sz w:val="16"/>
                <w:szCs w:val="16"/>
                <w:lang w:bidi="th-TH"/>
              </w:rPr>
            </w:pPr>
            <w:r w:rsidRPr="002D0A6A">
              <w:rPr>
                <w:sz w:val="16"/>
                <w:szCs w:val="16"/>
                <w:lang w:bidi="th-TH"/>
              </w:rPr>
              <w:t>Número y porcentaje de países que han presentado comentarios positivos sobre el asesoramiento legislativo de la OMPI.</w:t>
            </w:r>
          </w:p>
        </w:tc>
        <w:tc>
          <w:tcPr>
            <w:tcW w:w="1268" w:type="pct"/>
            <w:gridSpan w:val="2"/>
            <w:tcBorders>
              <w:top w:val="nil"/>
              <w:bottom w:val="nil"/>
            </w:tcBorders>
            <w:shd w:val="clear" w:color="auto" w:fill="auto"/>
          </w:tcPr>
          <w:p w:rsidR="00FA423E" w:rsidRPr="002D0A6A" w:rsidRDefault="00FA423E" w:rsidP="00DC1333">
            <w:pPr>
              <w:keepNext/>
              <w:rPr>
                <w:sz w:val="16"/>
                <w:szCs w:val="16"/>
                <w:lang w:bidi="th-TH"/>
              </w:rPr>
            </w:pPr>
            <w:r w:rsidRPr="002D0A6A">
              <w:rPr>
                <w:sz w:val="16"/>
                <w:szCs w:val="16"/>
                <w:lang w:bidi="th-TH"/>
              </w:rPr>
              <w:t>No se dispone de datos.</w:t>
            </w:r>
          </w:p>
          <w:p w:rsidR="00FA423E" w:rsidRPr="002D0A6A" w:rsidRDefault="00FA423E" w:rsidP="00DC1333">
            <w:pPr>
              <w:keepNext/>
              <w:rPr>
                <w:sz w:val="16"/>
                <w:szCs w:val="16"/>
                <w:lang w:bidi="th-TH"/>
              </w:rPr>
            </w:pPr>
          </w:p>
        </w:tc>
        <w:tc>
          <w:tcPr>
            <w:tcW w:w="676" w:type="pct"/>
            <w:gridSpan w:val="2"/>
            <w:tcBorders>
              <w:top w:val="nil"/>
              <w:bottom w:val="nil"/>
            </w:tcBorders>
            <w:shd w:val="clear" w:color="auto" w:fill="auto"/>
            <w:tcMar>
              <w:top w:w="110" w:type="dxa"/>
            </w:tcMar>
          </w:tcPr>
          <w:p w:rsidR="00FA423E" w:rsidRPr="002D0A6A" w:rsidRDefault="00FA423E" w:rsidP="00DC1333">
            <w:pPr>
              <w:keepNext/>
              <w:rPr>
                <w:sz w:val="16"/>
                <w:szCs w:val="16"/>
                <w:lang w:bidi="th-TH"/>
              </w:rPr>
            </w:pPr>
            <w:r w:rsidRPr="002D0A6A">
              <w:rPr>
                <w:sz w:val="16"/>
                <w:szCs w:val="16"/>
                <w:lang w:bidi="th-TH"/>
              </w:rPr>
              <w:t xml:space="preserve">15 países </w:t>
            </w:r>
          </w:p>
        </w:tc>
        <w:tc>
          <w:tcPr>
            <w:tcW w:w="1192" w:type="pct"/>
            <w:gridSpan w:val="2"/>
            <w:tcBorders>
              <w:top w:val="nil"/>
              <w:bottom w:val="nil"/>
            </w:tcBorders>
            <w:shd w:val="clear" w:color="auto" w:fill="FFFFFF"/>
            <w:tcMar>
              <w:top w:w="110" w:type="dxa"/>
            </w:tcMar>
          </w:tcPr>
          <w:p w:rsidR="00FA423E" w:rsidRPr="002D0A6A" w:rsidRDefault="00FA423E" w:rsidP="00DC1333">
            <w:pPr>
              <w:keepNext/>
              <w:rPr>
                <w:sz w:val="16"/>
                <w:szCs w:val="16"/>
                <w:lang w:bidi="th-TH"/>
              </w:rPr>
            </w:pPr>
            <w:r w:rsidRPr="002D0A6A">
              <w:rPr>
                <w:sz w:val="16"/>
                <w:szCs w:val="16"/>
                <w:lang w:bidi="th-TH"/>
              </w:rPr>
              <w:t>25 países recibieron asesoramiento en el ámbito legislativo en 2014/15.  (África 9;  América Latina y el Caribe 6;  Asia y el Pacífico 5;  Países árabes 3; otros 2).</w:t>
            </w:r>
          </w:p>
          <w:p w:rsidR="00FA423E" w:rsidRPr="002D0A6A" w:rsidRDefault="00FA423E" w:rsidP="00DC1333">
            <w:pPr>
              <w:keepNext/>
              <w:rPr>
                <w:sz w:val="16"/>
                <w:szCs w:val="16"/>
                <w:lang w:bidi="th-TH"/>
              </w:rPr>
            </w:pPr>
          </w:p>
        </w:tc>
        <w:tc>
          <w:tcPr>
            <w:tcW w:w="666" w:type="pct"/>
            <w:gridSpan w:val="3"/>
            <w:tcBorders>
              <w:top w:val="nil"/>
              <w:bottom w:val="nil"/>
              <w:right w:val="single" w:sz="4" w:space="0" w:color="auto"/>
            </w:tcBorders>
            <w:shd w:val="clear" w:color="auto" w:fill="auto"/>
          </w:tcPr>
          <w:p w:rsidR="00FA423E" w:rsidRPr="002D0A6A" w:rsidRDefault="00FA423E" w:rsidP="00DC1333">
            <w:pPr>
              <w:keepNext/>
              <w:keepLines/>
              <w:jc w:val="center"/>
              <w:rPr>
                <w:bCs/>
                <w:sz w:val="16"/>
                <w:szCs w:val="16"/>
              </w:rPr>
            </w:pPr>
            <w:r w:rsidRPr="002D0A6A">
              <w:rPr>
                <w:b/>
                <w:bCs/>
                <w:color w:val="00B050"/>
                <w:sz w:val="16"/>
                <w:szCs w:val="16"/>
              </w:rPr>
              <w:t>Plenamente logrado</w:t>
            </w:r>
          </w:p>
        </w:tc>
      </w:tr>
      <w:tr w:rsidR="00FA423E" w:rsidRPr="002D0A6A" w:rsidTr="00DC1333">
        <w:trPr>
          <w:gridAfter w:val="1"/>
          <w:wAfter w:w="4" w:type="pct"/>
        </w:trPr>
        <w:tc>
          <w:tcPr>
            <w:tcW w:w="1194" w:type="pct"/>
            <w:gridSpan w:val="2"/>
            <w:tcBorders>
              <w:top w:val="nil"/>
              <w:left w:val="single" w:sz="4" w:space="0" w:color="auto"/>
              <w:bottom w:val="nil"/>
            </w:tcBorders>
            <w:shd w:val="clear" w:color="auto" w:fill="auto"/>
          </w:tcPr>
          <w:p w:rsidR="00FA423E" w:rsidRPr="002D0A6A" w:rsidRDefault="00FA423E" w:rsidP="00DC1333">
            <w:pPr>
              <w:keepNext/>
              <w:rPr>
                <w:sz w:val="16"/>
                <w:szCs w:val="16"/>
                <w:lang w:bidi="th-TH"/>
              </w:rPr>
            </w:pPr>
          </w:p>
        </w:tc>
        <w:tc>
          <w:tcPr>
            <w:tcW w:w="1268" w:type="pct"/>
            <w:gridSpan w:val="2"/>
            <w:tcBorders>
              <w:top w:val="nil"/>
              <w:bottom w:val="nil"/>
            </w:tcBorders>
            <w:shd w:val="clear" w:color="auto" w:fill="auto"/>
          </w:tcPr>
          <w:p w:rsidR="00FA423E" w:rsidRPr="002D0A6A" w:rsidRDefault="00FA423E" w:rsidP="00DC1333">
            <w:pPr>
              <w:keepNext/>
              <w:keepLines/>
              <w:rPr>
                <w:i/>
                <w:color w:val="002060"/>
                <w:sz w:val="16"/>
                <w:szCs w:val="16"/>
              </w:rPr>
            </w:pPr>
          </w:p>
        </w:tc>
        <w:tc>
          <w:tcPr>
            <w:tcW w:w="676" w:type="pct"/>
            <w:gridSpan w:val="2"/>
            <w:tcBorders>
              <w:top w:val="nil"/>
              <w:bottom w:val="nil"/>
            </w:tcBorders>
            <w:shd w:val="clear" w:color="auto" w:fill="auto"/>
            <w:tcMar>
              <w:top w:w="110" w:type="dxa"/>
            </w:tcMar>
          </w:tcPr>
          <w:p w:rsidR="00FA423E" w:rsidRPr="002D0A6A" w:rsidRDefault="00FA423E" w:rsidP="00DC1333">
            <w:pPr>
              <w:keepNext/>
              <w:keepLines/>
              <w:rPr>
                <w:sz w:val="16"/>
                <w:szCs w:val="16"/>
                <w:lang w:bidi="th-TH"/>
              </w:rPr>
            </w:pPr>
          </w:p>
        </w:tc>
        <w:tc>
          <w:tcPr>
            <w:tcW w:w="1192" w:type="pct"/>
            <w:gridSpan w:val="2"/>
            <w:tcBorders>
              <w:top w:val="nil"/>
              <w:bottom w:val="nil"/>
            </w:tcBorders>
            <w:shd w:val="clear" w:color="auto" w:fill="FFFFFF"/>
            <w:tcMar>
              <w:top w:w="110" w:type="dxa"/>
            </w:tcMar>
          </w:tcPr>
          <w:p w:rsidR="00FA423E" w:rsidRPr="002D0A6A" w:rsidRDefault="00FA423E" w:rsidP="00DC1333">
            <w:pPr>
              <w:keepNext/>
              <w:keepLines/>
              <w:rPr>
                <w:sz w:val="16"/>
                <w:szCs w:val="16"/>
                <w:lang w:bidi="th-TH"/>
              </w:rPr>
            </w:pPr>
            <w:r w:rsidRPr="002D0A6A">
              <w:rPr>
                <w:sz w:val="16"/>
                <w:szCs w:val="16"/>
                <w:lang w:bidi="th-TH"/>
              </w:rPr>
              <w:t>El 100% de las respuestas válidas a la encuesta proporcionaron una opinión positiva (5 o 6 en una escala del 1 al 6) acerca del servicio de asesoramiento en materia legislativa de la OMPI.</w:t>
            </w:r>
          </w:p>
        </w:tc>
        <w:tc>
          <w:tcPr>
            <w:tcW w:w="666" w:type="pct"/>
            <w:gridSpan w:val="3"/>
            <w:tcBorders>
              <w:top w:val="nil"/>
              <w:bottom w:val="nil"/>
              <w:right w:val="single" w:sz="4" w:space="0" w:color="auto"/>
            </w:tcBorders>
            <w:shd w:val="clear" w:color="auto" w:fill="auto"/>
          </w:tcPr>
          <w:p w:rsidR="00FA423E" w:rsidRPr="002D0A6A" w:rsidRDefault="00FA423E" w:rsidP="00DC1333">
            <w:pPr>
              <w:keepNext/>
              <w:keepLines/>
              <w:ind w:left="-111"/>
              <w:jc w:val="center"/>
              <w:rPr>
                <w:b/>
                <w:bCs/>
                <w:color w:val="00B050"/>
                <w:sz w:val="16"/>
                <w:szCs w:val="16"/>
              </w:rPr>
            </w:pPr>
          </w:p>
        </w:tc>
      </w:tr>
      <w:tr w:rsidR="00FA423E" w:rsidRPr="002D0A6A" w:rsidTr="00DC1333">
        <w:trPr>
          <w:gridAfter w:val="1"/>
          <w:wAfter w:w="4" w:type="pct"/>
        </w:trPr>
        <w:tc>
          <w:tcPr>
            <w:tcW w:w="1194" w:type="pct"/>
            <w:gridSpan w:val="2"/>
            <w:tcBorders>
              <w:top w:val="nil"/>
              <w:left w:val="single" w:sz="4" w:space="0" w:color="auto"/>
              <w:bottom w:val="nil"/>
            </w:tcBorders>
            <w:shd w:val="clear" w:color="auto" w:fill="auto"/>
          </w:tcPr>
          <w:p w:rsidR="00FA423E" w:rsidRPr="002D0A6A" w:rsidRDefault="00FA423E" w:rsidP="00DC1333">
            <w:pPr>
              <w:keepNext/>
              <w:rPr>
                <w:sz w:val="16"/>
                <w:szCs w:val="16"/>
                <w:lang w:bidi="th-TH"/>
              </w:rPr>
            </w:pPr>
            <w:r w:rsidRPr="002D0A6A">
              <w:rPr>
                <w:sz w:val="16"/>
                <w:szCs w:val="16"/>
                <w:lang w:bidi="th-TH"/>
              </w:rPr>
              <w:t>Número de ratificaciones de los Tratados Internet de la OMPI.</w:t>
            </w:r>
          </w:p>
        </w:tc>
        <w:tc>
          <w:tcPr>
            <w:tcW w:w="1268" w:type="pct"/>
            <w:gridSpan w:val="2"/>
            <w:tcBorders>
              <w:top w:val="nil"/>
              <w:bottom w:val="nil"/>
            </w:tcBorders>
            <w:shd w:val="clear" w:color="auto" w:fill="auto"/>
          </w:tcPr>
          <w:p w:rsidR="00FA423E" w:rsidRPr="002D0A6A" w:rsidRDefault="00FA423E" w:rsidP="00DC1333">
            <w:pPr>
              <w:keepNext/>
              <w:keepLines/>
              <w:rPr>
                <w:color w:val="002060"/>
                <w:sz w:val="16"/>
                <w:szCs w:val="16"/>
              </w:rPr>
            </w:pPr>
            <w:r w:rsidRPr="002D0A6A">
              <w:rPr>
                <w:i/>
                <w:color w:val="002060"/>
                <w:sz w:val="16"/>
                <w:szCs w:val="16"/>
              </w:rPr>
              <w:t>Referencia actualizada a fines de 2013: 184</w:t>
            </w:r>
            <w:r w:rsidRPr="002D0A6A">
              <w:rPr>
                <w:color w:val="002060"/>
                <w:sz w:val="16"/>
                <w:szCs w:val="16"/>
              </w:rPr>
              <w:t xml:space="preserve"> </w:t>
            </w:r>
          </w:p>
          <w:p w:rsidR="00FA423E" w:rsidRPr="002D0A6A" w:rsidRDefault="00FA423E" w:rsidP="00DC1333">
            <w:pPr>
              <w:keepNext/>
              <w:keepLines/>
              <w:rPr>
                <w:i/>
                <w:sz w:val="8"/>
                <w:szCs w:val="8"/>
                <w:lang w:bidi="th-TH"/>
              </w:rPr>
            </w:pPr>
          </w:p>
          <w:p w:rsidR="00FA423E" w:rsidRPr="002D0A6A" w:rsidRDefault="00FA423E" w:rsidP="00DC1333">
            <w:pPr>
              <w:keepNext/>
              <w:keepLines/>
              <w:rPr>
                <w:sz w:val="16"/>
                <w:szCs w:val="16"/>
                <w:lang w:bidi="th-TH"/>
              </w:rPr>
            </w:pPr>
            <w:r w:rsidRPr="002D0A6A">
              <w:rPr>
                <w:i/>
                <w:sz w:val="16"/>
                <w:szCs w:val="16"/>
                <w:lang w:bidi="th-TH"/>
              </w:rPr>
              <w:t>Referencia original en el presupuesto de 2014/15:  181 (</w:t>
            </w:r>
            <w:r w:rsidRPr="002D0A6A">
              <w:rPr>
                <w:sz w:val="16"/>
                <w:szCs w:val="16"/>
                <w:lang w:bidi="th-TH"/>
              </w:rPr>
              <w:t>a fines de 2012)</w:t>
            </w:r>
          </w:p>
        </w:tc>
        <w:tc>
          <w:tcPr>
            <w:tcW w:w="676" w:type="pct"/>
            <w:gridSpan w:val="2"/>
            <w:tcBorders>
              <w:top w:val="nil"/>
              <w:bottom w:val="nil"/>
            </w:tcBorders>
            <w:shd w:val="clear" w:color="auto" w:fill="auto"/>
            <w:tcMar>
              <w:top w:w="110" w:type="dxa"/>
            </w:tcMar>
          </w:tcPr>
          <w:p w:rsidR="00FA423E" w:rsidRPr="002D0A6A" w:rsidRDefault="00FA423E" w:rsidP="00DC1333">
            <w:pPr>
              <w:keepNext/>
              <w:keepLines/>
              <w:rPr>
                <w:sz w:val="16"/>
                <w:szCs w:val="16"/>
                <w:lang w:bidi="th-TH"/>
              </w:rPr>
            </w:pPr>
            <w:r w:rsidRPr="002D0A6A">
              <w:rPr>
                <w:sz w:val="16"/>
                <w:szCs w:val="16"/>
                <w:lang w:bidi="th-TH"/>
              </w:rPr>
              <w:t>190 en total</w:t>
            </w:r>
          </w:p>
        </w:tc>
        <w:tc>
          <w:tcPr>
            <w:tcW w:w="1192" w:type="pct"/>
            <w:gridSpan w:val="2"/>
            <w:tcBorders>
              <w:top w:val="nil"/>
              <w:bottom w:val="nil"/>
            </w:tcBorders>
            <w:shd w:val="clear" w:color="auto" w:fill="FFFFFF"/>
            <w:tcMar>
              <w:top w:w="110" w:type="dxa"/>
            </w:tcMar>
          </w:tcPr>
          <w:p w:rsidR="00FA423E" w:rsidRPr="002D0A6A" w:rsidRDefault="00FA423E" w:rsidP="00DC1333">
            <w:pPr>
              <w:keepNext/>
              <w:keepLines/>
              <w:rPr>
                <w:sz w:val="16"/>
                <w:szCs w:val="16"/>
                <w:lang w:bidi="th-TH"/>
              </w:rPr>
            </w:pPr>
            <w:r w:rsidRPr="002D0A6A">
              <w:rPr>
                <w:sz w:val="16"/>
                <w:szCs w:val="16"/>
                <w:lang w:bidi="th-TH"/>
              </w:rPr>
              <w:t>Se depositaron cuatro instrumentos de ratificación o de adhesión en 2014/15, alcanzando así un total de 188:</w:t>
            </w:r>
          </w:p>
          <w:p w:rsidR="00FA423E" w:rsidRPr="002D0A6A" w:rsidRDefault="00FA423E" w:rsidP="00DC1333">
            <w:pPr>
              <w:pStyle w:val="ListParagraph"/>
              <w:keepNext/>
              <w:keepLines/>
              <w:numPr>
                <w:ilvl w:val="0"/>
                <w:numId w:val="13"/>
              </w:numPr>
              <w:rPr>
                <w:rFonts w:cs="Arial"/>
                <w:sz w:val="16"/>
                <w:szCs w:val="16"/>
                <w:lang w:val="es-ES" w:bidi="th-TH"/>
              </w:rPr>
            </w:pPr>
            <w:r w:rsidRPr="002D0A6A">
              <w:rPr>
                <w:rFonts w:cs="Arial"/>
                <w:sz w:val="16"/>
                <w:szCs w:val="16"/>
                <w:lang w:val="es-ES" w:bidi="th-TH"/>
              </w:rPr>
              <w:t>Tratado de la OMPI sobre Derecho de Autor (Canadá, Madagascar)</w:t>
            </w:r>
          </w:p>
          <w:p w:rsidR="00FA423E" w:rsidRPr="002D0A6A" w:rsidRDefault="00FA423E" w:rsidP="00DC1333">
            <w:pPr>
              <w:pStyle w:val="ListParagraph"/>
              <w:keepNext/>
              <w:keepLines/>
              <w:numPr>
                <w:ilvl w:val="0"/>
                <w:numId w:val="13"/>
              </w:numPr>
              <w:rPr>
                <w:rFonts w:cs="Arial"/>
                <w:sz w:val="16"/>
                <w:szCs w:val="16"/>
                <w:lang w:val="es-ES" w:bidi="th-TH"/>
              </w:rPr>
            </w:pPr>
            <w:r w:rsidRPr="002D0A6A">
              <w:rPr>
                <w:rFonts w:cs="Arial"/>
                <w:sz w:val="16"/>
                <w:szCs w:val="16"/>
                <w:lang w:val="es-ES" w:bidi="th-TH"/>
              </w:rPr>
              <w:t>Tratado de la OMPI sobre Interpretación o Ejecución y Fonogramas (Canadá, Madagascar)</w:t>
            </w:r>
          </w:p>
        </w:tc>
        <w:tc>
          <w:tcPr>
            <w:tcW w:w="666" w:type="pct"/>
            <w:gridSpan w:val="3"/>
            <w:tcBorders>
              <w:top w:val="nil"/>
              <w:bottom w:val="nil"/>
              <w:right w:val="single" w:sz="4" w:space="0" w:color="auto"/>
            </w:tcBorders>
            <w:shd w:val="clear" w:color="auto" w:fill="auto"/>
          </w:tcPr>
          <w:p w:rsidR="00FA423E" w:rsidRPr="002D0A6A" w:rsidRDefault="00FA423E" w:rsidP="00DC1333">
            <w:pPr>
              <w:keepNext/>
              <w:keepLines/>
              <w:ind w:left="-111"/>
              <w:jc w:val="center"/>
              <w:rPr>
                <w:b/>
                <w:bCs/>
                <w:color w:val="808080" w:themeColor="background1" w:themeShade="80"/>
                <w:sz w:val="16"/>
                <w:szCs w:val="16"/>
              </w:rPr>
            </w:pPr>
            <w:r w:rsidRPr="002D0A6A">
              <w:rPr>
                <w:b/>
                <w:bCs/>
                <w:color w:val="00B050"/>
                <w:sz w:val="16"/>
                <w:szCs w:val="16"/>
              </w:rPr>
              <w:t>Plenamente logrado</w:t>
            </w:r>
          </w:p>
        </w:tc>
      </w:tr>
      <w:tr w:rsidR="00FA423E" w:rsidRPr="002D0A6A" w:rsidTr="00DC1333">
        <w:trPr>
          <w:gridAfter w:val="1"/>
          <w:wAfter w:w="4" w:type="pct"/>
        </w:trPr>
        <w:tc>
          <w:tcPr>
            <w:tcW w:w="1194" w:type="pct"/>
            <w:gridSpan w:val="2"/>
            <w:tcBorders>
              <w:top w:val="nil"/>
              <w:left w:val="single" w:sz="4" w:space="0" w:color="auto"/>
              <w:bottom w:val="single" w:sz="4" w:space="0" w:color="auto"/>
            </w:tcBorders>
            <w:shd w:val="clear" w:color="auto" w:fill="auto"/>
          </w:tcPr>
          <w:p w:rsidR="00FA423E" w:rsidRPr="002D0A6A" w:rsidRDefault="00FA423E" w:rsidP="00DC1333">
            <w:pPr>
              <w:rPr>
                <w:sz w:val="16"/>
                <w:szCs w:val="16"/>
                <w:lang w:bidi="th-TH"/>
              </w:rPr>
            </w:pPr>
            <w:r w:rsidRPr="002D0A6A">
              <w:rPr>
                <w:sz w:val="16"/>
                <w:szCs w:val="16"/>
                <w:lang w:bidi="th-TH"/>
              </w:rPr>
              <w:t xml:space="preserve">Número de países que han ratificado el Tratado de Marrakech </w:t>
            </w:r>
          </w:p>
        </w:tc>
        <w:tc>
          <w:tcPr>
            <w:tcW w:w="1268" w:type="pct"/>
            <w:gridSpan w:val="2"/>
            <w:tcBorders>
              <w:top w:val="nil"/>
              <w:bottom w:val="single" w:sz="4" w:space="0" w:color="auto"/>
            </w:tcBorders>
            <w:shd w:val="clear" w:color="auto" w:fill="auto"/>
          </w:tcPr>
          <w:p w:rsidR="00FA423E" w:rsidRPr="002D0A6A" w:rsidRDefault="00FA423E" w:rsidP="00DC1333">
            <w:pPr>
              <w:keepNext/>
              <w:rPr>
                <w:sz w:val="16"/>
                <w:szCs w:val="16"/>
                <w:lang w:bidi="th-TH"/>
              </w:rPr>
            </w:pPr>
            <w:r w:rsidRPr="002D0A6A">
              <w:rPr>
                <w:sz w:val="16"/>
                <w:szCs w:val="16"/>
                <w:lang w:bidi="th-TH"/>
              </w:rPr>
              <w:t>Ninguno</w:t>
            </w:r>
          </w:p>
          <w:p w:rsidR="00FA423E" w:rsidRPr="002D0A6A" w:rsidRDefault="00FA423E" w:rsidP="00DC1333">
            <w:pPr>
              <w:rPr>
                <w:i/>
                <w:color w:val="000000"/>
                <w:sz w:val="16"/>
                <w:szCs w:val="16"/>
                <w:lang w:bidi="th-TH"/>
              </w:rPr>
            </w:pPr>
          </w:p>
        </w:tc>
        <w:tc>
          <w:tcPr>
            <w:tcW w:w="676" w:type="pct"/>
            <w:gridSpan w:val="2"/>
            <w:tcBorders>
              <w:top w:val="nil"/>
              <w:bottom w:val="single" w:sz="4" w:space="0" w:color="auto"/>
            </w:tcBorders>
            <w:shd w:val="clear" w:color="auto" w:fill="auto"/>
            <w:tcMar>
              <w:top w:w="110" w:type="dxa"/>
            </w:tcMar>
          </w:tcPr>
          <w:p w:rsidR="00FA423E" w:rsidRPr="002D0A6A" w:rsidRDefault="00FA423E" w:rsidP="00DC1333">
            <w:pPr>
              <w:rPr>
                <w:sz w:val="16"/>
                <w:szCs w:val="16"/>
                <w:lang w:bidi="th-TH"/>
              </w:rPr>
            </w:pPr>
            <w:r w:rsidRPr="002D0A6A">
              <w:rPr>
                <w:sz w:val="16"/>
                <w:szCs w:val="16"/>
                <w:lang w:bidi="th-TH"/>
              </w:rPr>
              <w:t>20 países en total</w:t>
            </w:r>
          </w:p>
        </w:tc>
        <w:tc>
          <w:tcPr>
            <w:tcW w:w="1192" w:type="pct"/>
            <w:gridSpan w:val="2"/>
            <w:tcBorders>
              <w:top w:val="nil"/>
              <w:bottom w:val="single" w:sz="4" w:space="0" w:color="auto"/>
            </w:tcBorders>
            <w:shd w:val="clear" w:color="auto" w:fill="FFFFFF"/>
            <w:tcMar>
              <w:top w:w="110" w:type="dxa"/>
            </w:tcMar>
          </w:tcPr>
          <w:p w:rsidR="00FA423E" w:rsidRPr="002D0A6A" w:rsidRDefault="00FA423E" w:rsidP="00DC1333">
            <w:pPr>
              <w:rPr>
                <w:sz w:val="16"/>
                <w:szCs w:val="16"/>
                <w:lang w:bidi="th-TH"/>
              </w:rPr>
            </w:pPr>
            <w:r w:rsidRPr="002D0A6A">
              <w:rPr>
                <w:sz w:val="16"/>
                <w:szCs w:val="16"/>
                <w:lang w:bidi="th-TH"/>
              </w:rPr>
              <w:t xml:space="preserve">Se depositaron 13 instrumentos de ratificación o de adhesión en 2014/15 </w:t>
            </w:r>
          </w:p>
          <w:p w:rsidR="00FA423E" w:rsidRDefault="00FA423E" w:rsidP="00DC1333">
            <w:pPr>
              <w:rPr>
                <w:sz w:val="16"/>
                <w:szCs w:val="16"/>
                <w:lang w:bidi="th-TH"/>
              </w:rPr>
            </w:pPr>
            <w:r w:rsidRPr="002D0A6A">
              <w:rPr>
                <w:sz w:val="16"/>
                <w:szCs w:val="16"/>
                <w:lang w:bidi="th-TH"/>
              </w:rPr>
              <w:t>(Argentina, Australia, Brasil, El Salvador, Emiratos Árabes Unidos, India, Malí, México, Mongolia, Paraguay, República de Corea, Singapur y Uruguay).</w:t>
            </w:r>
          </w:p>
          <w:p w:rsidR="00FA423E" w:rsidRPr="002D0A6A" w:rsidRDefault="00FA423E" w:rsidP="00DC1333">
            <w:pPr>
              <w:rPr>
                <w:sz w:val="16"/>
                <w:szCs w:val="16"/>
                <w:lang w:bidi="th-TH"/>
              </w:rPr>
            </w:pPr>
          </w:p>
        </w:tc>
        <w:tc>
          <w:tcPr>
            <w:tcW w:w="666" w:type="pct"/>
            <w:gridSpan w:val="3"/>
            <w:tcBorders>
              <w:top w:val="nil"/>
              <w:bottom w:val="single" w:sz="4" w:space="0" w:color="auto"/>
              <w:right w:val="single" w:sz="4" w:space="0" w:color="auto"/>
            </w:tcBorders>
            <w:shd w:val="clear" w:color="auto" w:fill="auto"/>
          </w:tcPr>
          <w:p w:rsidR="00FA423E" w:rsidRPr="002D0A6A" w:rsidRDefault="00FA423E" w:rsidP="00DC1333">
            <w:pPr>
              <w:keepNext/>
              <w:keepLines/>
              <w:ind w:left="-108"/>
              <w:jc w:val="center"/>
              <w:rPr>
                <w:b/>
                <w:bCs/>
                <w:color w:val="808080" w:themeColor="background1" w:themeShade="80"/>
                <w:sz w:val="16"/>
                <w:szCs w:val="16"/>
              </w:rPr>
            </w:pPr>
            <w:r w:rsidRPr="002D0A6A">
              <w:rPr>
                <w:b/>
                <w:bCs/>
                <w:color w:val="E36C0A" w:themeColor="accent6" w:themeShade="BF"/>
                <w:sz w:val="16"/>
                <w:szCs w:val="16"/>
              </w:rPr>
              <w:t>Parcialmente logrado</w:t>
            </w:r>
          </w:p>
        </w:tc>
      </w:tr>
      <w:tr w:rsidR="00FA423E" w:rsidRPr="002D0A6A" w:rsidTr="00DC1333">
        <w:trPr>
          <w:trHeight w:val="807"/>
        </w:trPr>
        <w:tc>
          <w:tcPr>
            <w:tcW w:w="5000" w:type="pct"/>
            <w:gridSpan w:val="12"/>
            <w:tcBorders>
              <w:top w:val="single" w:sz="4" w:space="0" w:color="auto"/>
              <w:bottom w:val="single" w:sz="4" w:space="0" w:color="auto"/>
            </w:tcBorders>
            <w:shd w:val="clear" w:color="auto" w:fill="C6D9F1" w:themeFill="text2" w:themeFillTint="33"/>
            <w:vAlign w:val="center"/>
          </w:tcPr>
          <w:p w:rsidR="00FA423E" w:rsidRPr="002D0A6A" w:rsidRDefault="00FA423E" w:rsidP="00DC1333">
            <w:pPr>
              <w:keepNext/>
              <w:ind w:left="2019" w:hanging="2019"/>
              <w:rPr>
                <w:b/>
                <w:bCs/>
                <w:sz w:val="16"/>
                <w:szCs w:val="16"/>
              </w:rPr>
            </w:pPr>
            <w:r w:rsidRPr="002D0A6A">
              <w:rPr>
                <w:b/>
                <w:bCs/>
                <w:sz w:val="16"/>
                <w:szCs w:val="16"/>
              </w:rPr>
              <w:lastRenderedPageBreak/>
              <w:t>Resultado previsto:</w:t>
            </w:r>
            <w:r w:rsidRPr="002D0A6A">
              <w:rPr>
                <w:bCs/>
                <w:sz w:val="16"/>
                <w:szCs w:val="16"/>
              </w:rPr>
              <w:tab/>
              <w:t>III.2 Aumento de las capacidades en recursos humanos para hacer frente a la gran diversidad de exigencias que supone la utilización eficaz de la P.I. para fomentar desarrollo en los países en desarrollo, PMA y países con economías en transición</w:t>
            </w:r>
          </w:p>
        </w:tc>
      </w:tr>
      <w:tr w:rsidR="00FA423E" w:rsidRPr="002D0A6A" w:rsidTr="00DC1333">
        <w:tc>
          <w:tcPr>
            <w:tcW w:w="1201" w:type="pct"/>
            <w:gridSpan w:val="3"/>
            <w:tcBorders>
              <w:top w:val="single" w:sz="4" w:space="0" w:color="auto"/>
              <w:left w:val="single" w:sz="4" w:space="0" w:color="auto"/>
              <w:bottom w:val="nil"/>
            </w:tcBorders>
            <w:shd w:val="clear" w:color="auto" w:fill="auto"/>
            <w:vAlign w:val="center"/>
          </w:tcPr>
          <w:p w:rsidR="00FA423E" w:rsidRPr="002D0A6A" w:rsidRDefault="00FA423E" w:rsidP="00DC1333">
            <w:pPr>
              <w:keepNext/>
              <w:rPr>
                <w:sz w:val="16"/>
                <w:szCs w:val="16"/>
              </w:rPr>
            </w:pPr>
            <w:r w:rsidRPr="002D0A6A">
              <w:rPr>
                <w:b/>
                <w:sz w:val="16"/>
                <w:szCs w:val="16"/>
              </w:rPr>
              <w:t>Indicadores de rendimiento</w:t>
            </w:r>
          </w:p>
        </w:tc>
        <w:tc>
          <w:tcPr>
            <w:tcW w:w="1268" w:type="pct"/>
            <w:gridSpan w:val="2"/>
            <w:tcBorders>
              <w:top w:val="single" w:sz="4" w:space="0" w:color="auto"/>
              <w:bottom w:val="nil"/>
            </w:tcBorders>
            <w:shd w:val="clear" w:color="auto" w:fill="auto"/>
            <w:vAlign w:val="center"/>
          </w:tcPr>
          <w:p w:rsidR="00FA423E" w:rsidRPr="002D0A6A" w:rsidRDefault="00FA423E" w:rsidP="00DC1333">
            <w:pPr>
              <w:keepNext/>
              <w:rPr>
                <w:b/>
                <w:bCs/>
                <w:sz w:val="16"/>
                <w:szCs w:val="16"/>
              </w:rPr>
            </w:pPr>
            <w:r w:rsidRPr="002D0A6A">
              <w:rPr>
                <w:b/>
                <w:bCs/>
                <w:sz w:val="16"/>
                <w:szCs w:val="16"/>
              </w:rPr>
              <w:t>Referencia</w:t>
            </w:r>
          </w:p>
        </w:tc>
        <w:tc>
          <w:tcPr>
            <w:tcW w:w="821" w:type="pct"/>
            <w:gridSpan w:val="2"/>
            <w:tcBorders>
              <w:top w:val="single" w:sz="4" w:space="0" w:color="auto"/>
              <w:bottom w:val="nil"/>
            </w:tcBorders>
            <w:shd w:val="clear" w:color="auto" w:fill="auto"/>
            <w:tcMar>
              <w:top w:w="110" w:type="dxa"/>
            </w:tcMar>
            <w:vAlign w:val="center"/>
          </w:tcPr>
          <w:p w:rsidR="00FA423E" w:rsidRPr="002D0A6A" w:rsidRDefault="00FA423E" w:rsidP="00DC1333">
            <w:pPr>
              <w:keepNext/>
              <w:rPr>
                <w:b/>
                <w:sz w:val="16"/>
                <w:szCs w:val="16"/>
              </w:rPr>
            </w:pPr>
            <w:r w:rsidRPr="002D0A6A">
              <w:rPr>
                <w:b/>
                <w:sz w:val="16"/>
                <w:szCs w:val="16"/>
              </w:rPr>
              <w:t>Objetivos</w:t>
            </w:r>
          </w:p>
        </w:tc>
        <w:tc>
          <w:tcPr>
            <w:tcW w:w="1046" w:type="pct"/>
            <w:gridSpan w:val="2"/>
            <w:tcBorders>
              <w:top w:val="single" w:sz="4" w:space="0" w:color="auto"/>
              <w:bottom w:val="nil"/>
            </w:tcBorders>
            <w:shd w:val="clear" w:color="auto" w:fill="FFFFFF"/>
            <w:tcMar>
              <w:top w:w="110" w:type="dxa"/>
            </w:tcMar>
            <w:vAlign w:val="center"/>
          </w:tcPr>
          <w:p w:rsidR="00FA423E" w:rsidRPr="002D0A6A" w:rsidRDefault="00FA423E" w:rsidP="00DC1333">
            <w:pPr>
              <w:keepNext/>
              <w:rPr>
                <w:sz w:val="16"/>
                <w:szCs w:val="16"/>
              </w:rPr>
            </w:pPr>
            <w:r w:rsidRPr="002D0A6A">
              <w:rPr>
                <w:b/>
                <w:sz w:val="16"/>
                <w:szCs w:val="16"/>
              </w:rPr>
              <w:t>Datos sobre el rendimiento</w:t>
            </w:r>
          </w:p>
        </w:tc>
        <w:tc>
          <w:tcPr>
            <w:tcW w:w="664" w:type="pct"/>
            <w:gridSpan w:val="3"/>
            <w:tcBorders>
              <w:top w:val="single" w:sz="4" w:space="0" w:color="auto"/>
              <w:bottom w:val="nil"/>
              <w:right w:val="single" w:sz="4" w:space="0" w:color="auto"/>
            </w:tcBorders>
            <w:shd w:val="clear" w:color="auto" w:fill="auto"/>
            <w:tcMar>
              <w:top w:w="110" w:type="dxa"/>
            </w:tcMar>
            <w:vAlign w:val="center"/>
          </w:tcPr>
          <w:p w:rsidR="00FA423E" w:rsidRPr="002D0A6A" w:rsidRDefault="00FA423E" w:rsidP="00DC1333">
            <w:pPr>
              <w:keepNext/>
              <w:keepLines/>
              <w:jc w:val="center"/>
              <w:rPr>
                <w:b/>
                <w:bCs/>
                <w:sz w:val="16"/>
                <w:szCs w:val="16"/>
              </w:rPr>
            </w:pPr>
            <w:r w:rsidRPr="002D0A6A">
              <w:rPr>
                <w:b/>
                <w:bCs/>
                <w:sz w:val="16"/>
                <w:szCs w:val="16"/>
              </w:rPr>
              <w:t>Clave de colores</w:t>
            </w:r>
          </w:p>
        </w:tc>
      </w:tr>
      <w:tr w:rsidR="00FA423E" w:rsidRPr="002D0A6A" w:rsidTr="00DC1333">
        <w:tc>
          <w:tcPr>
            <w:tcW w:w="1201" w:type="pct"/>
            <w:gridSpan w:val="3"/>
            <w:tcBorders>
              <w:top w:val="nil"/>
              <w:left w:val="single" w:sz="4" w:space="0" w:color="auto"/>
              <w:bottom w:val="nil"/>
            </w:tcBorders>
            <w:shd w:val="clear" w:color="auto" w:fill="auto"/>
          </w:tcPr>
          <w:p w:rsidR="00FA423E" w:rsidRPr="002D0A6A" w:rsidRDefault="00FA423E" w:rsidP="00DC1333">
            <w:pPr>
              <w:keepNext/>
              <w:rPr>
                <w:sz w:val="16"/>
                <w:szCs w:val="16"/>
                <w:lang w:bidi="th-TH"/>
              </w:rPr>
            </w:pPr>
            <w:r w:rsidRPr="002D0A6A">
              <w:rPr>
                <w:sz w:val="16"/>
                <w:szCs w:val="16"/>
                <w:lang w:bidi="th-TH"/>
              </w:rPr>
              <w:t>Número de gobiernos y de OGC que firman acuerdos con la OMPI para elaborar una nueva norma de garantía de calidad en materia de transparencia, rendición de cuentas y gobernanza.</w:t>
            </w:r>
          </w:p>
        </w:tc>
        <w:tc>
          <w:tcPr>
            <w:tcW w:w="1268" w:type="pct"/>
            <w:gridSpan w:val="2"/>
            <w:tcBorders>
              <w:top w:val="nil"/>
              <w:bottom w:val="nil"/>
            </w:tcBorders>
            <w:shd w:val="clear" w:color="auto" w:fill="auto"/>
          </w:tcPr>
          <w:p w:rsidR="00FA423E" w:rsidRPr="002D0A6A" w:rsidRDefault="00FA423E" w:rsidP="00DC1333">
            <w:pPr>
              <w:keepNext/>
              <w:rPr>
                <w:sz w:val="16"/>
                <w:szCs w:val="16"/>
                <w:lang w:bidi="th-TH"/>
              </w:rPr>
            </w:pPr>
            <w:proofErr w:type="spellStart"/>
            <w:r w:rsidRPr="002D0A6A">
              <w:rPr>
                <w:sz w:val="16"/>
                <w:szCs w:val="16"/>
                <w:lang w:bidi="th-TH"/>
              </w:rPr>
              <w:t>n.d</w:t>
            </w:r>
            <w:proofErr w:type="spellEnd"/>
            <w:r w:rsidRPr="002D0A6A">
              <w:rPr>
                <w:sz w:val="16"/>
                <w:szCs w:val="16"/>
                <w:lang w:bidi="th-TH"/>
              </w:rPr>
              <w:t>.</w:t>
            </w:r>
          </w:p>
          <w:p w:rsidR="00FA423E" w:rsidRPr="002D0A6A" w:rsidRDefault="00FA423E" w:rsidP="00DC1333">
            <w:pPr>
              <w:keepNext/>
              <w:rPr>
                <w:sz w:val="16"/>
                <w:szCs w:val="16"/>
                <w:lang w:bidi="th-TH"/>
              </w:rPr>
            </w:pPr>
          </w:p>
        </w:tc>
        <w:tc>
          <w:tcPr>
            <w:tcW w:w="821" w:type="pct"/>
            <w:gridSpan w:val="2"/>
            <w:tcBorders>
              <w:top w:val="nil"/>
              <w:bottom w:val="nil"/>
            </w:tcBorders>
            <w:shd w:val="clear" w:color="auto" w:fill="auto"/>
            <w:tcMar>
              <w:top w:w="110" w:type="dxa"/>
            </w:tcMar>
          </w:tcPr>
          <w:p w:rsidR="00FA423E" w:rsidRPr="002D0A6A" w:rsidRDefault="00FA423E" w:rsidP="00DC1333">
            <w:pPr>
              <w:keepNext/>
              <w:rPr>
                <w:sz w:val="16"/>
                <w:szCs w:val="16"/>
                <w:lang w:bidi="th-TH"/>
              </w:rPr>
            </w:pPr>
            <w:r w:rsidRPr="002D0A6A">
              <w:rPr>
                <w:sz w:val="16"/>
                <w:szCs w:val="16"/>
                <w:lang w:bidi="th-TH"/>
              </w:rPr>
              <w:t>Cuatro gobiernos y seis OGC.</w:t>
            </w:r>
          </w:p>
        </w:tc>
        <w:tc>
          <w:tcPr>
            <w:tcW w:w="1046" w:type="pct"/>
            <w:gridSpan w:val="2"/>
            <w:tcBorders>
              <w:top w:val="nil"/>
              <w:bottom w:val="nil"/>
            </w:tcBorders>
            <w:shd w:val="clear" w:color="auto" w:fill="FFFFFF"/>
            <w:tcMar>
              <w:top w:w="110" w:type="dxa"/>
            </w:tcMar>
          </w:tcPr>
          <w:p w:rsidR="00FA423E" w:rsidRPr="002D0A6A" w:rsidRDefault="00FA423E" w:rsidP="00DC1333">
            <w:pPr>
              <w:keepNext/>
              <w:rPr>
                <w:sz w:val="16"/>
                <w:szCs w:val="16"/>
                <w:lang w:bidi="th-TH"/>
              </w:rPr>
            </w:pPr>
            <w:r w:rsidRPr="002D0A6A">
              <w:rPr>
                <w:sz w:val="16"/>
                <w:szCs w:val="16"/>
                <w:lang w:bidi="th-TH"/>
              </w:rPr>
              <w:t xml:space="preserve">14 gobiernos nacionales (Bangladesh, Camboya, Filipinas, Gambia, Indonesia, Jordania, Liberia, Malasia, Mauricio, Namibia, Nepal, Nigeria, Sri Lanka, Trinidad y </w:t>
            </w:r>
            <w:proofErr w:type="spellStart"/>
            <w:r w:rsidRPr="002D0A6A">
              <w:rPr>
                <w:sz w:val="16"/>
                <w:szCs w:val="16"/>
                <w:lang w:bidi="th-TH"/>
              </w:rPr>
              <w:t>Tabago</w:t>
            </w:r>
            <w:proofErr w:type="spellEnd"/>
            <w:r w:rsidRPr="002D0A6A">
              <w:rPr>
                <w:rStyle w:val="FootnoteReference"/>
                <w:sz w:val="16"/>
                <w:szCs w:val="16"/>
                <w:lang w:bidi="th-TH"/>
              </w:rPr>
              <w:footnoteReference w:id="15"/>
            </w:r>
            <w:r w:rsidRPr="002D0A6A">
              <w:rPr>
                <w:sz w:val="16"/>
                <w:szCs w:val="16"/>
                <w:lang w:bidi="th-TH"/>
              </w:rPr>
              <w:t xml:space="preserve"> y 63 organismos de gestión colectiva han cursado manifestaciones de interés por el proyecto </w:t>
            </w:r>
            <w:r w:rsidRPr="002D0A6A">
              <w:rPr>
                <w:i/>
                <w:sz w:val="16"/>
                <w:szCs w:val="16"/>
                <w:lang w:bidi="th-TH"/>
              </w:rPr>
              <w:t>TAG</w:t>
            </w:r>
            <w:r w:rsidRPr="002D0A6A">
              <w:rPr>
                <w:sz w:val="16"/>
                <w:szCs w:val="16"/>
                <w:lang w:bidi="th-TH"/>
              </w:rPr>
              <w:t>.</w:t>
            </w:r>
          </w:p>
        </w:tc>
        <w:tc>
          <w:tcPr>
            <w:tcW w:w="664" w:type="pct"/>
            <w:gridSpan w:val="3"/>
            <w:tcBorders>
              <w:top w:val="nil"/>
              <w:bottom w:val="nil"/>
              <w:right w:val="single" w:sz="4" w:space="0" w:color="auto"/>
            </w:tcBorders>
            <w:shd w:val="clear" w:color="auto" w:fill="auto"/>
            <w:tcMar>
              <w:top w:w="110" w:type="dxa"/>
            </w:tcMar>
          </w:tcPr>
          <w:p w:rsidR="00FA423E" w:rsidRPr="002D0A6A" w:rsidRDefault="00FA423E" w:rsidP="00DC1333">
            <w:pPr>
              <w:keepNext/>
              <w:keepLines/>
              <w:ind w:left="-108"/>
              <w:jc w:val="center"/>
              <w:rPr>
                <w:bCs/>
                <w:color w:val="808080" w:themeColor="background1" w:themeShade="80"/>
                <w:sz w:val="16"/>
                <w:szCs w:val="16"/>
              </w:rPr>
            </w:pPr>
            <w:r w:rsidRPr="002D0A6A">
              <w:rPr>
                <w:b/>
                <w:bCs/>
                <w:color w:val="00B050"/>
                <w:sz w:val="16"/>
                <w:szCs w:val="16"/>
              </w:rPr>
              <w:t>Plenamente logrado</w:t>
            </w:r>
          </w:p>
        </w:tc>
      </w:tr>
      <w:tr w:rsidR="00FA423E" w:rsidRPr="002D0A6A" w:rsidTr="00DC1333">
        <w:tc>
          <w:tcPr>
            <w:tcW w:w="1201" w:type="pct"/>
            <w:gridSpan w:val="3"/>
            <w:tcBorders>
              <w:top w:val="nil"/>
              <w:left w:val="single" w:sz="4" w:space="0" w:color="auto"/>
              <w:bottom w:val="nil"/>
            </w:tcBorders>
            <w:shd w:val="clear" w:color="auto" w:fill="auto"/>
          </w:tcPr>
          <w:p w:rsidR="00FA423E" w:rsidRPr="002D0A6A" w:rsidRDefault="00FA423E" w:rsidP="00DC1333">
            <w:pPr>
              <w:keepNext/>
              <w:rPr>
                <w:sz w:val="16"/>
                <w:szCs w:val="16"/>
                <w:lang w:bidi="th-TH"/>
              </w:rPr>
            </w:pPr>
            <w:r w:rsidRPr="002D0A6A">
              <w:rPr>
                <w:sz w:val="16"/>
                <w:szCs w:val="16"/>
                <w:lang w:bidi="th-TH"/>
              </w:rPr>
              <w:t>Porcentaje de creadores satisfechos con la formación proporcionada sobre el uso de la información y los datos de derecho de autor para la gestión eficaz de sus derechos de autor.</w:t>
            </w:r>
          </w:p>
        </w:tc>
        <w:tc>
          <w:tcPr>
            <w:tcW w:w="1268" w:type="pct"/>
            <w:gridSpan w:val="2"/>
            <w:tcBorders>
              <w:top w:val="nil"/>
              <w:bottom w:val="nil"/>
            </w:tcBorders>
            <w:shd w:val="clear" w:color="auto" w:fill="auto"/>
          </w:tcPr>
          <w:p w:rsidR="00FA423E" w:rsidRPr="002D0A6A" w:rsidRDefault="00FA423E" w:rsidP="00DC1333">
            <w:pPr>
              <w:keepNext/>
              <w:rPr>
                <w:i/>
                <w:color w:val="002060"/>
                <w:sz w:val="16"/>
                <w:szCs w:val="16"/>
              </w:rPr>
            </w:pPr>
            <w:r w:rsidRPr="002D0A6A">
              <w:rPr>
                <w:i/>
                <w:color w:val="002060"/>
                <w:sz w:val="16"/>
                <w:szCs w:val="16"/>
              </w:rPr>
              <w:t xml:space="preserve">Referencia actualizada a fines de 2013:  </w:t>
            </w:r>
          </w:p>
          <w:p w:rsidR="00FA423E" w:rsidRPr="002D0A6A" w:rsidRDefault="00FA423E" w:rsidP="00DC1333">
            <w:pPr>
              <w:keepNext/>
              <w:rPr>
                <w:i/>
                <w:sz w:val="8"/>
                <w:szCs w:val="8"/>
                <w:lang w:bidi="th-TH"/>
              </w:rPr>
            </w:pPr>
          </w:p>
          <w:p w:rsidR="00FA423E" w:rsidRPr="002D0A6A" w:rsidRDefault="00FA423E" w:rsidP="00DC1333">
            <w:pPr>
              <w:keepNext/>
              <w:rPr>
                <w:sz w:val="16"/>
                <w:szCs w:val="16"/>
                <w:lang w:bidi="th-TH"/>
              </w:rPr>
            </w:pPr>
            <w:r w:rsidRPr="002D0A6A">
              <w:rPr>
                <w:i/>
                <w:sz w:val="16"/>
                <w:szCs w:val="16"/>
                <w:lang w:bidi="th-TH"/>
              </w:rPr>
              <w:t>Referencia original en el presupuesto de 2014/15</w:t>
            </w:r>
            <w:r w:rsidRPr="002D0A6A">
              <w:rPr>
                <w:i/>
                <w:color w:val="808080"/>
                <w:sz w:val="16"/>
                <w:szCs w:val="16"/>
                <w:lang w:bidi="th-TH"/>
              </w:rPr>
              <w:t xml:space="preserve">:  </w:t>
            </w:r>
            <w:r w:rsidRPr="002D0A6A">
              <w:rPr>
                <w:sz w:val="16"/>
                <w:szCs w:val="16"/>
                <w:lang w:bidi="th-TH"/>
              </w:rPr>
              <w:t>Aún no se ha iniciado</w:t>
            </w:r>
            <w:r w:rsidRPr="002D0A6A">
              <w:rPr>
                <w:color w:val="808080"/>
                <w:sz w:val="16"/>
                <w:szCs w:val="16"/>
                <w:lang w:bidi="th-TH"/>
              </w:rPr>
              <w:t>.</w:t>
            </w:r>
          </w:p>
          <w:p w:rsidR="00FA423E" w:rsidRPr="002D0A6A" w:rsidRDefault="00FA423E" w:rsidP="00DC1333">
            <w:pPr>
              <w:keepNext/>
              <w:rPr>
                <w:i/>
                <w:color w:val="002060"/>
                <w:sz w:val="16"/>
                <w:szCs w:val="16"/>
              </w:rPr>
            </w:pPr>
          </w:p>
        </w:tc>
        <w:tc>
          <w:tcPr>
            <w:tcW w:w="821" w:type="pct"/>
            <w:gridSpan w:val="2"/>
            <w:tcBorders>
              <w:top w:val="nil"/>
              <w:bottom w:val="nil"/>
            </w:tcBorders>
            <w:shd w:val="clear" w:color="auto" w:fill="auto"/>
            <w:tcMar>
              <w:top w:w="110" w:type="dxa"/>
            </w:tcMar>
          </w:tcPr>
          <w:p w:rsidR="00FA423E" w:rsidRPr="002D0A6A" w:rsidRDefault="00FA423E" w:rsidP="00DC1333">
            <w:pPr>
              <w:keepNext/>
              <w:rPr>
                <w:sz w:val="16"/>
                <w:szCs w:val="16"/>
                <w:lang w:bidi="th-TH"/>
              </w:rPr>
            </w:pPr>
            <w:r w:rsidRPr="002D0A6A">
              <w:rPr>
                <w:sz w:val="16"/>
                <w:szCs w:val="16"/>
                <w:lang w:bidi="th-TH"/>
              </w:rPr>
              <w:t>60%</w:t>
            </w:r>
          </w:p>
        </w:tc>
        <w:tc>
          <w:tcPr>
            <w:tcW w:w="1046" w:type="pct"/>
            <w:gridSpan w:val="2"/>
            <w:tcBorders>
              <w:top w:val="nil"/>
              <w:bottom w:val="nil"/>
            </w:tcBorders>
            <w:shd w:val="clear" w:color="auto" w:fill="FFFFFF"/>
            <w:tcMar>
              <w:top w:w="110" w:type="dxa"/>
            </w:tcMar>
          </w:tcPr>
          <w:p w:rsidR="00FA423E" w:rsidRPr="002D0A6A" w:rsidRDefault="00FA423E" w:rsidP="00DC1333">
            <w:pPr>
              <w:keepNext/>
              <w:rPr>
                <w:sz w:val="16"/>
                <w:szCs w:val="16"/>
                <w:lang w:bidi="th-TH"/>
              </w:rPr>
            </w:pPr>
            <w:r w:rsidRPr="002D0A6A">
              <w:rPr>
                <w:sz w:val="16"/>
                <w:szCs w:val="16"/>
                <w:lang w:bidi="th-TH"/>
              </w:rPr>
              <w:t>90%</w:t>
            </w:r>
          </w:p>
        </w:tc>
        <w:tc>
          <w:tcPr>
            <w:tcW w:w="664" w:type="pct"/>
            <w:gridSpan w:val="3"/>
            <w:tcBorders>
              <w:top w:val="nil"/>
              <w:bottom w:val="nil"/>
              <w:right w:val="single" w:sz="4" w:space="0" w:color="auto"/>
            </w:tcBorders>
            <w:shd w:val="clear" w:color="auto" w:fill="auto"/>
            <w:tcMar>
              <w:top w:w="110" w:type="dxa"/>
            </w:tcMar>
          </w:tcPr>
          <w:p w:rsidR="00FA423E" w:rsidRPr="002D0A6A" w:rsidRDefault="00FA423E" w:rsidP="00DC1333">
            <w:pPr>
              <w:keepNext/>
              <w:ind w:left="-112" w:right="-104"/>
              <w:jc w:val="center"/>
              <w:rPr>
                <w:b/>
                <w:bCs/>
                <w:color w:val="808080" w:themeColor="background1" w:themeShade="80"/>
                <w:sz w:val="16"/>
                <w:szCs w:val="16"/>
              </w:rPr>
            </w:pPr>
            <w:r w:rsidRPr="002D0A6A">
              <w:rPr>
                <w:b/>
                <w:bCs/>
                <w:color w:val="00B050"/>
                <w:sz w:val="16"/>
                <w:szCs w:val="16"/>
              </w:rPr>
              <w:t>Plenamente logrado</w:t>
            </w:r>
          </w:p>
        </w:tc>
      </w:tr>
      <w:tr w:rsidR="00FA423E" w:rsidRPr="002D0A6A" w:rsidTr="00DC1333">
        <w:tc>
          <w:tcPr>
            <w:tcW w:w="1201" w:type="pct"/>
            <w:gridSpan w:val="3"/>
            <w:tcBorders>
              <w:top w:val="nil"/>
              <w:left w:val="single" w:sz="4" w:space="0" w:color="auto"/>
              <w:bottom w:val="nil"/>
            </w:tcBorders>
            <w:shd w:val="clear" w:color="auto" w:fill="auto"/>
          </w:tcPr>
          <w:p w:rsidR="00FA423E" w:rsidRPr="002D0A6A" w:rsidRDefault="00FA423E" w:rsidP="00DC1333">
            <w:pPr>
              <w:rPr>
                <w:sz w:val="16"/>
                <w:szCs w:val="16"/>
                <w:lang w:bidi="th-TH"/>
              </w:rPr>
            </w:pPr>
            <w:r w:rsidRPr="002D0A6A">
              <w:rPr>
                <w:sz w:val="16"/>
                <w:szCs w:val="16"/>
                <w:lang w:bidi="th-TH"/>
              </w:rPr>
              <w:t>Porcentaje de participantes en reuniones y talleres de creación de capacidad sobre cuestiones de derecho de autor que expresaron satisfacción al respecto.</w:t>
            </w:r>
          </w:p>
        </w:tc>
        <w:tc>
          <w:tcPr>
            <w:tcW w:w="1268" w:type="pct"/>
            <w:gridSpan w:val="2"/>
            <w:tcBorders>
              <w:top w:val="nil"/>
              <w:bottom w:val="nil"/>
            </w:tcBorders>
            <w:shd w:val="clear" w:color="auto" w:fill="auto"/>
          </w:tcPr>
          <w:p w:rsidR="00FA423E" w:rsidRPr="002D0A6A" w:rsidRDefault="00FA423E" w:rsidP="00DC1333">
            <w:pPr>
              <w:keepNext/>
              <w:rPr>
                <w:i/>
                <w:color w:val="002060"/>
                <w:sz w:val="16"/>
                <w:szCs w:val="16"/>
              </w:rPr>
            </w:pPr>
            <w:r w:rsidRPr="002D0A6A">
              <w:rPr>
                <w:i/>
                <w:color w:val="002060"/>
                <w:sz w:val="16"/>
                <w:szCs w:val="16"/>
              </w:rPr>
              <w:t xml:space="preserve">Referencia actualizada a fines de 2013:  </w:t>
            </w:r>
            <w:r w:rsidRPr="002D0A6A">
              <w:rPr>
                <w:color w:val="002060"/>
                <w:sz w:val="16"/>
                <w:szCs w:val="16"/>
              </w:rPr>
              <w:t>Más del 80% de los participantes en programas de fortalecimiento de capacidades en materia de derecho de autor y derechos conexos calificaron de útil la formación recibida.</w:t>
            </w:r>
          </w:p>
          <w:p w:rsidR="00FA423E" w:rsidRPr="002D0A6A" w:rsidRDefault="00FA423E" w:rsidP="00DC1333">
            <w:pPr>
              <w:keepNext/>
              <w:rPr>
                <w:i/>
                <w:sz w:val="8"/>
                <w:szCs w:val="8"/>
                <w:lang w:bidi="th-TH"/>
              </w:rPr>
            </w:pPr>
          </w:p>
          <w:p w:rsidR="00FA423E" w:rsidRPr="002D0A6A" w:rsidRDefault="00FA423E" w:rsidP="00DC1333">
            <w:pPr>
              <w:keepNext/>
              <w:rPr>
                <w:i/>
                <w:color w:val="002060"/>
                <w:sz w:val="16"/>
                <w:szCs w:val="16"/>
              </w:rPr>
            </w:pPr>
            <w:r w:rsidRPr="002D0A6A">
              <w:rPr>
                <w:i/>
                <w:sz w:val="16"/>
                <w:szCs w:val="16"/>
                <w:lang w:bidi="th-TH"/>
              </w:rPr>
              <w:t xml:space="preserve">Referencia original en el presupuesto de 2014/15: </w:t>
            </w:r>
            <w:r w:rsidRPr="002D0A6A">
              <w:rPr>
                <w:sz w:val="16"/>
                <w:szCs w:val="16"/>
                <w:lang w:bidi="th-TH"/>
              </w:rPr>
              <w:t xml:space="preserve"> Índice de satisfacción del 70%</w:t>
            </w:r>
          </w:p>
        </w:tc>
        <w:tc>
          <w:tcPr>
            <w:tcW w:w="821" w:type="pct"/>
            <w:gridSpan w:val="2"/>
            <w:tcBorders>
              <w:top w:val="nil"/>
              <w:bottom w:val="nil"/>
            </w:tcBorders>
            <w:shd w:val="clear" w:color="auto" w:fill="auto"/>
            <w:tcMar>
              <w:top w:w="110" w:type="dxa"/>
            </w:tcMar>
          </w:tcPr>
          <w:p w:rsidR="00FA423E" w:rsidRPr="002D0A6A" w:rsidRDefault="00FA423E" w:rsidP="00DC1333">
            <w:pPr>
              <w:rPr>
                <w:sz w:val="16"/>
                <w:szCs w:val="16"/>
                <w:lang w:bidi="th-TH"/>
              </w:rPr>
            </w:pPr>
            <w:r w:rsidRPr="002D0A6A">
              <w:rPr>
                <w:sz w:val="16"/>
                <w:szCs w:val="16"/>
                <w:lang w:bidi="th-TH"/>
              </w:rPr>
              <w:t>70% de acuerdo o completamente de acuerdo</w:t>
            </w:r>
            <w:r w:rsidRPr="002D0A6A">
              <w:rPr>
                <w:color w:val="808080"/>
                <w:sz w:val="16"/>
                <w:szCs w:val="16"/>
                <w:lang w:bidi="th-TH"/>
              </w:rPr>
              <w:t>.</w:t>
            </w:r>
          </w:p>
        </w:tc>
        <w:tc>
          <w:tcPr>
            <w:tcW w:w="1046" w:type="pct"/>
            <w:gridSpan w:val="2"/>
            <w:tcBorders>
              <w:top w:val="nil"/>
              <w:bottom w:val="nil"/>
            </w:tcBorders>
            <w:shd w:val="clear" w:color="auto" w:fill="FFFFFF"/>
            <w:tcMar>
              <w:top w:w="110" w:type="dxa"/>
            </w:tcMar>
          </w:tcPr>
          <w:p w:rsidR="00FA423E" w:rsidRPr="002D0A6A" w:rsidRDefault="00FA423E" w:rsidP="00DC1333">
            <w:pPr>
              <w:rPr>
                <w:sz w:val="16"/>
                <w:szCs w:val="16"/>
                <w:lang w:bidi="th-TH"/>
              </w:rPr>
            </w:pPr>
            <w:r w:rsidRPr="002D0A6A">
              <w:rPr>
                <w:sz w:val="16"/>
                <w:szCs w:val="16"/>
                <w:lang w:bidi="th-TH"/>
              </w:rPr>
              <w:t>Más del 80% de los participantes están de acuerdo o completamente de acuerdo</w:t>
            </w:r>
          </w:p>
        </w:tc>
        <w:tc>
          <w:tcPr>
            <w:tcW w:w="664" w:type="pct"/>
            <w:gridSpan w:val="3"/>
            <w:tcBorders>
              <w:top w:val="nil"/>
              <w:bottom w:val="nil"/>
              <w:right w:val="single" w:sz="4" w:space="0" w:color="auto"/>
            </w:tcBorders>
            <w:shd w:val="clear" w:color="auto" w:fill="auto"/>
            <w:tcMar>
              <w:top w:w="110" w:type="dxa"/>
            </w:tcMar>
          </w:tcPr>
          <w:p w:rsidR="00FA423E" w:rsidRPr="002D0A6A" w:rsidRDefault="00FA423E" w:rsidP="00DC1333">
            <w:pPr>
              <w:ind w:left="-112" w:right="-104"/>
              <w:jc w:val="center"/>
              <w:rPr>
                <w:b/>
                <w:bCs/>
                <w:color w:val="00B050"/>
                <w:sz w:val="16"/>
                <w:szCs w:val="16"/>
              </w:rPr>
            </w:pPr>
            <w:r w:rsidRPr="002D0A6A">
              <w:rPr>
                <w:b/>
                <w:bCs/>
                <w:color w:val="00B050"/>
                <w:sz w:val="16"/>
                <w:szCs w:val="16"/>
              </w:rPr>
              <w:t>Plenamente logrado</w:t>
            </w:r>
          </w:p>
        </w:tc>
      </w:tr>
      <w:tr w:rsidR="00FA423E" w:rsidRPr="002D0A6A" w:rsidTr="00DC1333">
        <w:tc>
          <w:tcPr>
            <w:tcW w:w="1201" w:type="pct"/>
            <w:gridSpan w:val="3"/>
            <w:tcBorders>
              <w:top w:val="nil"/>
              <w:left w:val="single" w:sz="4" w:space="0" w:color="auto"/>
              <w:bottom w:val="single" w:sz="4" w:space="0" w:color="auto"/>
            </w:tcBorders>
            <w:shd w:val="clear" w:color="auto" w:fill="auto"/>
          </w:tcPr>
          <w:p w:rsidR="00FA423E" w:rsidRPr="002D0A6A" w:rsidRDefault="00FA423E" w:rsidP="00DC1333">
            <w:pPr>
              <w:rPr>
                <w:sz w:val="16"/>
                <w:szCs w:val="16"/>
                <w:lang w:bidi="th-TH"/>
              </w:rPr>
            </w:pPr>
            <w:r w:rsidRPr="002D0A6A">
              <w:rPr>
                <w:sz w:val="16"/>
                <w:szCs w:val="16"/>
                <w:lang w:bidi="th-TH"/>
              </w:rPr>
              <w:t>Nº de Estados miembros que toman iniciativas para mejorar el uso del sistema de derecho de autor a fin de explotar el potencial económico de sus obras y productos culturales.</w:t>
            </w:r>
          </w:p>
        </w:tc>
        <w:tc>
          <w:tcPr>
            <w:tcW w:w="1268" w:type="pct"/>
            <w:gridSpan w:val="2"/>
            <w:tcBorders>
              <w:top w:val="nil"/>
              <w:bottom w:val="single" w:sz="4" w:space="0" w:color="auto"/>
            </w:tcBorders>
            <w:shd w:val="clear" w:color="auto" w:fill="auto"/>
          </w:tcPr>
          <w:p w:rsidR="00FA423E" w:rsidRPr="002D0A6A" w:rsidRDefault="00FA423E" w:rsidP="00DC1333">
            <w:pPr>
              <w:rPr>
                <w:i/>
                <w:color w:val="002060"/>
                <w:sz w:val="16"/>
                <w:szCs w:val="16"/>
              </w:rPr>
            </w:pPr>
            <w:r w:rsidRPr="002D0A6A">
              <w:rPr>
                <w:i/>
                <w:color w:val="002060"/>
                <w:sz w:val="16"/>
                <w:szCs w:val="16"/>
              </w:rPr>
              <w:t xml:space="preserve">Referencia actualizada a fines de 2013:  </w:t>
            </w:r>
            <w:r w:rsidRPr="002D0A6A">
              <w:rPr>
                <w:color w:val="002060"/>
                <w:sz w:val="16"/>
                <w:szCs w:val="16"/>
              </w:rPr>
              <w:t>60% de países que recibieron asistencia</w:t>
            </w:r>
            <w:r w:rsidRPr="002D0A6A">
              <w:rPr>
                <w:i/>
                <w:color w:val="002060"/>
                <w:sz w:val="16"/>
                <w:szCs w:val="16"/>
              </w:rPr>
              <w:t xml:space="preserve"> </w:t>
            </w:r>
          </w:p>
          <w:p w:rsidR="00FA423E" w:rsidRPr="002D0A6A" w:rsidRDefault="00FA423E" w:rsidP="00DC1333">
            <w:pPr>
              <w:rPr>
                <w:i/>
                <w:sz w:val="8"/>
                <w:szCs w:val="8"/>
                <w:lang w:bidi="th-TH"/>
              </w:rPr>
            </w:pPr>
          </w:p>
          <w:p w:rsidR="00FA423E" w:rsidRPr="002D0A6A" w:rsidRDefault="00FA423E" w:rsidP="00DC1333">
            <w:pPr>
              <w:rPr>
                <w:i/>
                <w:color w:val="002060"/>
                <w:sz w:val="16"/>
                <w:szCs w:val="16"/>
              </w:rPr>
            </w:pPr>
            <w:r w:rsidRPr="002D0A6A">
              <w:rPr>
                <w:i/>
                <w:sz w:val="16"/>
                <w:szCs w:val="16"/>
                <w:lang w:bidi="th-TH"/>
              </w:rPr>
              <w:t xml:space="preserve">Referencia original en el presupuesto de 2014/15: </w:t>
            </w:r>
            <w:r w:rsidRPr="002D0A6A">
              <w:rPr>
                <w:sz w:val="16"/>
                <w:szCs w:val="16"/>
                <w:lang w:bidi="th-TH"/>
              </w:rPr>
              <w:t xml:space="preserve"> 60% de países que solicitaron asistencia técnica</w:t>
            </w:r>
            <w:r w:rsidRPr="002D0A6A">
              <w:rPr>
                <w:sz w:val="16"/>
                <w:szCs w:val="16"/>
                <w:lang w:bidi="th-TH"/>
              </w:rPr>
              <w:br/>
            </w:r>
          </w:p>
        </w:tc>
        <w:tc>
          <w:tcPr>
            <w:tcW w:w="821" w:type="pct"/>
            <w:gridSpan w:val="2"/>
            <w:tcBorders>
              <w:top w:val="nil"/>
              <w:bottom w:val="single" w:sz="4" w:space="0" w:color="auto"/>
            </w:tcBorders>
            <w:shd w:val="clear" w:color="auto" w:fill="auto"/>
            <w:tcMar>
              <w:top w:w="110" w:type="dxa"/>
            </w:tcMar>
          </w:tcPr>
          <w:p w:rsidR="00FA423E" w:rsidRPr="002D0A6A" w:rsidRDefault="00FA423E" w:rsidP="00DC1333">
            <w:pPr>
              <w:rPr>
                <w:sz w:val="16"/>
                <w:szCs w:val="16"/>
                <w:lang w:bidi="th-TH"/>
              </w:rPr>
            </w:pPr>
            <w:r w:rsidRPr="002D0A6A">
              <w:rPr>
                <w:sz w:val="16"/>
                <w:szCs w:val="16"/>
                <w:lang w:bidi="th-TH"/>
              </w:rPr>
              <w:t>El 60% de los países que recibieron asistencia técnica.</w:t>
            </w:r>
          </w:p>
        </w:tc>
        <w:tc>
          <w:tcPr>
            <w:tcW w:w="1046" w:type="pct"/>
            <w:gridSpan w:val="2"/>
            <w:tcBorders>
              <w:top w:val="nil"/>
              <w:bottom w:val="single" w:sz="4" w:space="0" w:color="auto"/>
            </w:tcBorders>
            <w:shd w:val="clear" w:color="auto" w:fill="FFFFFF"/>
            <w:tcMar>
              <w:top w:w="110" w:type="dxa"/>
            </w:tcMar>
          </w:tcPr>
          <w:p w:rsidR="00FA423E" w:rsidRPr="002D0A6A" w:rsidRDefault="00FA423E" w:rsidP="00DC1333">
            <w:pPr>
              <w:rPr>
                <w:sz w:val="16"/>
                <w:szCs w:val="16"/>
                <w:lang w:bidi="th-TH"/>
              </w:rPr>
            </w:pPr>
            <w:r w:rsidRPr="002D0A6A">
              <w:rPr>
                <w:sz w:val="16"/>
                <w:szCs w:val="16"/>
                <w:lang w:bidi="th-TH"/>
              </w:rPr>
              <w:t>Más del 60%</w:t>
            </w:r>
          </w:p>
        </w:tc>
        <w:tc>
          <w:tcPr>
            <w:tcW w:w="664" w:type="pct"/>
            <w:gridSpan w:val="3"/>
            <w:tcBorders>
              <w:top w:val="nil"/>
              <w:bottom w:val="single" w:sz="4" w:space="0" w:color="auto"/>
              <w:right w:val="single" w:sz="4" w:space="0" w:color="auto"/>
            </w:tcBorders>
            <w:shd w:val="clear" w:color="auto" w:fill="auto"/>
            <w:tcMar>
              <w:top w:w="110" w:type="dxa"/>
            </w:tcMar>
          </w:tcPr>
          <w:p w:rsidR="00FA423E" w:rsidRPr="002D0A6A" w:rsidRDefault="00FA423E" w:rsidP="00DC1333">
            <w:pPr>
              <w:ind w:left="-112" w:right="-104"/>
              <w:jc w:val="center"/>
              <w:rPr>
                <w:b/>
                <w:bCs/>
                <w:sz w:val="16"/>
                <w:szCs w:val="16"/>
              </w:rPr>
            </w:pPr>
            <w:r w:rsidRPr="002D0A6A">
              <w:rPr>
                <w:b/>
                <w:bCs/>
                <w:color w:val="00B050"/>
                <w:sz w:val="16"/>
                <w:szCs w:val="16"/>
              </w:rPr>
              <w:t>Plenamente logrado</w:t>
            </w:r>
          </w:p>
        </w:tc>
      </w:tr>
      <w:tr w:rsidR="00FA423E" w:rsidRPr="002D0A6A" w:rsidTr="00DC1333">
        <w:trPr>
          <w:trHeight w:val="656"/>
        </w:trPr>
        <w:tc>
          <w:tcPr>
            <w:tcW w:w="5000" w:type="pct"/>
            <w:gridSpan w:val="12"/>
            <w:tcBorders>
              <w:top w:val="single" w:sz="4" w:space="0" w:color="auto"/>
              <w:bottom w:val="single" w:sz="4" w:space="0" w:color="auto"/>
            </w:tcBorders>
            <w:shd w:val="clear" w:color="auto" w:fill="C6D9F1" w:themeFill="text2" w:themeFillTint="33"/>
            <w:vAlign w:val="center"/>
          </w:tcPr>
          <w:p w:rsidR="00FA423E" w:rsidRPr="002D0A6A" w:rsidRDefault="00FA423E" w:rsidP="00DC1333">
            <w:pPr>
              <w:keepNext/>
              <w:ind w:left="2019" w:hanging="2019"/>
              <w:rPr>
                <w:b/>
                <w:bCs/>
                <w:sz w:val="16"/>
                <w:szCs w:val="16"/>
              </w:rPr>
            </w:pPr>
            <w:r w:rsidRPr="002D0A6A">
              <w:rPr>
                <w:b/>
                <w:bCs/>
                <w:sz w:val="16"/>
                <w:szCs w:val="16"/>
              </w:rPr>
              <w:lastRenderedPageBreak/>
              <w:t>Resultado previsto:</w:t>
            </w:r>
            <w:r w:rsidRPr="002D0A6A">
              <w:rPr>
                <w:bCs/>
                <w:sz w:val="16"/>
                <w:szCs w:val="16"/>
              </w:rPr>
              <w:tab/>
              <w:t>IV.2 Mejora del acceso y uso de información de P.I. por parte de instituciones de P.I. y el público para fomentar la innovación y la creatividad</w:t>
            </w:r>
          </w:p>
        </w:tc>
      </w:tr>
      <w:tr w:rsidR="00FA423E" w:rsidRPr="002D0A6A" w:rsidTr="00DC1333">
        <w:tc>
          <w:tcPr>
            <w:tcW w:w="1201" w:type="pct"/>
            <w:gridSpan w:val="3"/>
            <w:tcBorders>
              <w:top w:val="single" w:sz="4" w:space="0" w:color="auto"/>
              <w:left w:val="single" w:sz="4" w:space="0" w:color="auto"/>
              <w:bottom w:val="nil"/>
            </w:tcBorders>
            <w:shd w:val="clear" w:color="auto" w:fill="auto"/>
            <w:vAlign w:val="center"/>
          </w:tcPr>
          <w:p w:rsidR="00FA423E" w:rsidRPr="002D0A6A" w:rsidRDefault="00FA423E" w:rsidP="00DC1333">
            <w:pPr>
              <w:keepNext/>
              <w:rPr>
                <w:sz w:val="16"/>
                <w:szCs w:val="16"/>
              </w:rPr>
            </w:pPr>
            <w:r w:rsidRPr="002D0A6A">
              <w:rPr>
                <w:b/>
                <w:sz w:val="16"/>
                <w:szCs w:val="16"/>
              </w:rPr>
              <w:t>Indicadores de rendimiento</w:t>
            </w:r>
          </w:p>
        </w:tc>
        <w:tc>
          <w:tcPr>
            <w:tcW w:w="1268" w:type="pct"/>
            <w:gridSpan w:val="2"/>
            <w:tcBorders>
              <w:top w:val="single" w:sz="4" w:space="0" w:color="auto"/>
              <w:bottom w:val="nil"/>
            </w:tcBorders>
            <w:shd w:val="clear" w:color="auto" w:fill="auto"/>
            <w:vAlign w:val="center"/>
          </w:tcPr>
          <w:p w:rsidR="00FA423E" w:rsidRPr="002D0A6A" w:rsidRDefault="00FA423E" w:rsidP="00DC1333">
            <w:pPr>
              <w:keepNext/>
              <w:rPr>
                <w:b/>
                <w:bCs/>
                <w:sz w:val="16"/>
                <w:szCs w:val="16"/>
              </w:rPr>
            </w:pPr>
            <w:r w:rsidRPr="002D0A6A">
              <w:rPr>
                <w:b/>
                <w:bCs/>
                <w:sz w:val="16"/>
                <w:szCs w:val="16"/>
              </w:rPr>
              <w:t>Referencia</w:t>
            </w:r>
          </w:p>
        </w:tc>
        <w:tc>
          <w:tcPr>
            <w:tcW w:w="669" w:type="pct"/>
            <w:tcBorders>
              <w:top w:val="single" w:sz="4" w:space="0" w:color="auto"/>
              <w:bottom w:val="nil"/>
            </w:tcBorders>
            <w:shd w:val="clear" w:color="auto" w:fill="auto"/>
            <w:tcMar>
              <w:top w:w="110" w:type="dxa"/>
            </w:tcMar>
            <w:vAlign w:val="center"/>
          </w:tcPr>
          <w:p w:rsidR="00FA423E" w:rsidRPr="002D0A6A" w:rsidRDefault="00FA423E" w:rsidP="00DC1333">
            <w:pPr>
              <w:keepNext/>
              <w:rPr>
                <w:b/>
                <w:sz w:val="16"/>
                <w:szCs w:val="16"/>
              </w:rPr>
            </w:pPr>
            <w:r w:rsidRPr="002D0A6A">
              <w:rPr>
                <w:b/>
                <w:sz w:val="16"/>
                <w:szCs w:val="16"/>
              </w:rPr>
              <w:t>Objetivos</w:t>
            </w:r>
          </w:p>
        </w:tc>
        <w:tc>
          <w:tcPr>
            <w:tcW w:w="1198" w:type="pct"/>
            <w:gridSpan w:val="3"/>
            <w:tcBorders>
              <w:top w:val="single" w:sz="4" w:space="0" w:color="auto"/>
              <w:bottom w:val="nil"/>
            </w:tcBorders>
            <w:shd w:val="clear" w:color="auto" w:fill="FFFFFF"/>
            <w:tcMar>
              <w:top w:w="110" w:type="dxa"/>
            </w:tcMar>
            <w:vAlign w:val="center"/>
          </w:tcPr>
          <w:p w:rsidR="00FA423E" w:rsidRPr="002D0A6A" w:rsidRDefault="00FA423E" w:rsidP="00DC1333">
            <w:pPr>
              <w:keepNext/>
              <w:rPr>
                <w:sz w:val="16"/>
                <w:szCs w:val="16"/>
              </w:rPr>
            </w:pPr>
            <w:r w:rsidRPr="002D0A6A">
              <w:rPr>
                <w:b/>
                <w:sz w:val="16"/>
                <w:szCs w:val="16"/>
              </w:rPr>
              <w:t>Datos sobre el rendimiento</w:t>
            </w:r>
          </w:p>
        </w:tc>
        <w:tc>
          <w:tcPr>
            <w:tcW w:w="664" w:type="pct"/>
            <w:gridSpan w:val="3"/>
            <w:tcBorders>
              <w:top w:val="single" w:sz="4" w:space="0" w:color="auto"/>
              <w:bottom w:val="nil"/>
              <w:right w:val="single" w:sz="4" w:space="0" w:color="auto"/>
            </w:tcBorders>
            <w:shd w:val="clear" w:color="auto" w:fill="auto"/>
            <w:tcMar>
              <w:top w:w="110" w:type="dxa"/>
            </w:tcMar>
            <w:vAlign w:val="center"/>
          </w:tcPr>
          <w:p w:rsidR="00FA423E" w:rsidRPr="002D0A6A" w:rsidRDefault="00FA423E" w:rsidP="00DC1333">
            <w:pPr>
              <w:keepNext/>
              <w:jc w:val="center"/>
              <w:rPr>
                <w:b/>
                <w:bCs/>
                <w:sz w:val="16"/>
                <w:szCs w:val="16"/>
              </w:rPr>
            </w:pPr>
            <w:r w:rsidRPr="002D0A6A">
              <w:rPr>
                <w:b/>
                <w:bCs/>
                <w:sz w:val="16"/>
                <w:szCs w:val="16"/>
              </w:rPr>
              <w:t>Clave de colores</w:t>
            </w:r>
          </w:p>
        </w:tc>
      </w:tr>
      <w:tr w:rsidR="00FA423E" w:rsidRPr="002D0A6A" w:rsidTr="00DC1333">
        <w:tc>
          <w:tcPr>
            <w:tcW w:w="1201" w:type="pct"/>
            <w:gridSpan w:val="3"/>
            <w:tcBorders>
              <w:top w:val="nil"/>
              <w:left w:val="single" w:sz="4" w:space="0" w:color="auto"/>
              <w:bottom w:val="nil"/>
            </w:tcBorders>
            <w:shd w:val="clear" w:color="auto" w:fill="auto"/>
          </w:tcPr>
          <w:p w:rsidR="00FA423E" w:rsidRPr="002D0A6A" w:rsidRDefault="00FA423E" w:rsidP="00DC1333">
            <w:pPr>
              <w:keepNext/>
              <w:rPr>
                <w:sz w:val="16"/>
                <w:szCs w:val="16"/>
                <w:lang w:bidi="th-TH"/>
              </w:rPr>
            </w:pPr>
            <w:r w:rsidRPr="002D0A6A">
              <w:rPr>
                <w:sz w:val="16"/>
                <w:szCs w:val="16"/>
                <w:lang w:bidi="th-TH"/>
              </w:rPr>
              <w:t>Número de intermediarios de confianza y titulares de derechos que se han adherido a la red de sistemas TIGAR, incluidos los procedentes de países en desarrollo y PMA.</w:t>
            </w:r>
          </w:p>
          <w:p w:rsidR="00FA423E" w:rsidRPr="002D0A6A" w:rsidRDefault="00FA423E" w:rsidP="00DC1333">
            <w:pPr>
              <w:keepNext/>
              <w:rPr>
                <w:color w:val="000000"/>
                <w:sz w:val="16"/>
                <w:szCs w:val="16"/>
                <w:lang w:bidi="th-TH"/>
              </w:rPr>
            </w:pPr>
          </w:p>
        </w:tc>
        <w:tc>
          <w:tcPr>
            <w:tcW w:w="1268" w:type="pct"/>
            <w:gridSpan w:val="2"/>
            <w:tcBorders>
              <w:top w:val="nil"/>
              <w:bottom w:val="nil"/>
            </w:tcBorders>
            <w:shd w:val="clear" w:color="auto" w:fill="auto"/>
          </w:tcPr>
          <w:p w:rsidR="00FA423E" w:rsidRPr="002D0A6A" w:rsidRDefault="00FA423E" w:rsidP="00DC1333">
            <w:pPr>
              <w:keepNext/>
              <w:rPr>
                <w:i/>
                <w:color w:val="002060"/>
                <w:sz w:val="16"/>
                <w:szCs w:val="16"/>
              </w:rPr>
            </w:pPr>
            <w:r w:rsidRPr="002D0A6A">
              <w:rPr>
                <w:i/>
                <w:color w:val="002060"/>
                <w:sz w:val="16"/>
                <w:szCs w:val="16"/>
              </w:rPr>
              <w:t xml:space="preserve">Referencia actualizada a fines de 2013: </w:t>
            </w:r>
            <w:r w:rsidRPr="002D0A6A">
              <w:rPr>
                <w:color w:val="002060"/>
                <w:sz w:val="16"/>
                <w:szCs w:val="16"/>
              </w:rPr>
              <w:t>Para finales de 2013, 25 intermediarios de confianza y 45 titulares de derechos habían firmado el memorando de entendimiento del proyecto TIGAR, incluyendo intermediarios de confianza procedentes de países en desarrollo y países menos adelantados.  A fines de 2013, 11 intermediarios de confianza habían cargado sus títulos en formato accesible en la base de datos del proyecto TIGAR.</w:t>
            </w:r>
          </w:p>
          <w:p w:rsidR="00FA423E" w:rsidRPr="002D0A6A" w:rsidRDefault="00FA423E" w:rsidP="00DC1333">
            <w:pPr>
              <w:keepNext/>
              <w:rPr>
                <w:i/>
                <w:sz w:val="16"/>
                <w:szCs w:val="16"/>
                <w:lang w:bidi="th-TH"/>
              </w:rPr>
            </w:pPr>
          </w:p>
          <w:p w:rsidR="00FA423E" w:rsidRPr="002D0A6A" w:rsidRDefault="00FA423E" w:rsidP="00DC1333">
            <w:pPr>
              <w:keepNext/>
              <w:rPr>
                <w:sz w:val="16"/>
                <w:szCs w:val="16"/>
                <w:lang w:bidi="th-TH"/>
              </w:rPr>
            </w:pPr>
            <w:r w:rsidRPr="002D0A6A">
              <w:rPr>
                <w:i/>
                <w:sz w:val="16"/>
                <w:szCs w:val="16"/>
                <w:lang w:bidi="th-TH"/>
              </w:rPr>
              <w:t xml:space="preserve">Referencia original en el presupuesto de 2014/15: </w:t>
            </w:r>
            <w:r w:rsidRPr="002D0A6A">
              <w:rPr>
                <w:sz w:val="16"/>
                <w:szCs w:val="16"/>
                <w:lang w:bidi="th-TH"/>
              </w:rPr>
              <w:t xml:space="preserve"> 19 intermediarios de confianza y 40 titulares de derechos</w:t>
            </w:r>
          </w:p>
          <w:p w:rsidR="00FA423E" w:rsidRPr="002D0A6A" w:rsidRDefault="00FA423E" w:rsidP="00DC1333">
            <w:pPr>
              <w:keepNext/>
              <w:rPr>
                <w:sz w:val="16"/>
                <w:szCs w:val="16"/>
                <w:lang w:bidi="th-TH"/>
              </w:rPr>
            </w:pPr>
          </w:p>
        </w:tc>
        <w:tc>
          <w:tcPr>
            <w:tcW w:w="669" w:type="pct"/>
            <w:tcBorders>
              <w:top w:val="nil"/>
              <w:bottom w:val="nil"/>
            </w:tcBorders>
            <w:shd w:val="clear" w:color="auto" w:fill="auto"/>
            <w:tcMar>
              <w:top w:w="110" w:type="dxa"/>
            </w:tcMar>
          </w:tcPr>
          <w:p w:rsidR="00FA423E" w:rsidRPr="002D0A6A" w:rsidRDefault="00FA423E" w:rsidP="00DC1333">
            <w:pPr>
              <w:keepNext/>
              <w:autoSpaceDE w:val="0"/>
              <w:autoSpaceDN w:val="0"/>
              <w:adjustRightInd w:val="0"/>
              <w:rPr>
                <w:sz w:val="16"/>
                <w:szCs w:val="16"/>
              </w:rPr>
            </w:pPr>
            <w:r w:rsidRPr="002D0A6A">
              <w:rPr>
                <w:sz w:val="16"/>
                <w:szCs w:val="16"/>
              </w:rPr>
              <w:t>24 intermediarios de confianza y 46 titulares de derechos (en total)</w:t>
            </w:r>
          </w:p>
          <w:p w:rsidR="00FA423E" w:rsidRPr="002D0A6A" w:rsidRDefault="00FA423E" w:rsidP="00DC1333">
            <w:pPr>
              <w:keepNext/>
              <w:autoSpaceDE w:val="0"/>
              <w:autoSpaceDN w:val="0"/>
              <w:adjustRightInd w:val="0"/>
              <w:rPr>
                <w:sz w:val="16"/>
                <w:szCs w:val="16"/>
              </w:rPr>
            </w:pPr>
          </w:p>
          <w:p w:rsidR="00FA423E" w:rsidRPr="002D0A6A" w:rsidRDefault="00FA423E" w:rsidP="00DC1333">
            <w:pPr>
              <w:keepNext/>
              <w:autoSpaceDE w:val="0"/>
              <w:autoSpaceDN w:val="0"/>
              <w:adjustRightInd w:val="0"/>
              <w:rPr>
                <w:sz w:val="16"/>
                <w:szCs w:val="16"/>
              </w:rPr>
            </w:pPr>
          </w:p>
          <w:p w:rsidR="00FA423E" w:rsidRPr="002D0A6A" w:rsidRDefault="00FA423E" w:rsidP="00DC1333">
            <w:pPr>
              <w:keepNext/>
              <w:autoSpaceDE w:val="0"/>
              <w:autoSpaceDN w:val="0"/>
              <w:adjustRightInd w:val="0"/>
              <w:rPr>
                <w:sz w:val="16"/>
                <w:szCs w:val="16"/>
              </w:rPr>
            </w:pPr>
          </w:p>
          <w:p w:rsidR="00FA423E" w:rsidRPr="002D0A6A" w:rsidRDefault="00FA423E" w:rsidP="00DC1333">
            <w:pPr>
              <w:keepNext/>
              <w:autoSpaceDE w:val="0"/>
              <w:autoSpaceDN w:val="0"/>
              <w:adjustRightInd w:val="0"/>
              <w:rPr>
                <w:sz w:val="16"/>
                <w:szCs w:val="16"/>
              </w:rPr>
            </w:pPr>
          </w:p>
          <w:p w:rsidR="00FA423E" w:rsidRPr="002D0A6A" w:rsidRDefault="00FA423E" w:rsidP="00DC1333">
            <w:pPr>
              <w:keepNext/>
              <w:autoSpaceDE w:val="0"/>
              <w:autoSpaceDN w:val="0"/>
              <w:adjustRightInd w:val="0"/>
              <w:rPr>
                <w:sz w:val="16"/>
                <w:szCs w:val="16"/>
              </w:rPr>
            </w:pPr>
          </w:p>
          <w:p w:rsidR="00FA423E" w:rsidRPr="002D0A6A" w:rsidRDefault="00FA423E" w:rsidP="00DC1333">
            <w:pPr>
              <w:keepNext/>
              <w:autoSpaceDE w:val="0"/>
              <w:autoSpaceDN w:val="0"/>
              <w:adjustRightInd w:val="0"/>
              <w:rPr>
                <w:sz w:val="16"/>
                <w:szCs w:val="16"/>
              </w:rPr>
            </w:pPr>
          </w:p>
          <w:p w:rsidR="00FA423E" w:rsidRPr="002D0A6A" w:rsidRDefault="00FA423E" w:rsidP="00DC1333">
            <w:pPr>
              <w:keepNext/>
              <w:autoSpaceDE w:val="0"/>
              <w:autoSpaceDN w:val="0"/>
              <w:adjustRightInd w:val="0"/>
              <w:rPr>
                <w:sz w:val="16"/>
                <w:szCs w:val="16"/>
              </w:rPr>
            </w:pPr>
          </w:p>
          <w:p w:rsidR="00FA423E" w:rsidRPr="002D0A6A" w:rsidRDefault="00FA423E" w:rsidP="00DC1333">
            <w:pPr>
              <w:keepNext/>
              <w:autoSpaceDE w:val="0"/>
              <w:autoSpaceDN w:val="0"/>
              <w:adjustRightInd w:val="0"/>
              <w:rPr>
                <w:sz w:val="16"/>
                <w:szCs w:val="16"/>
              </w:rPr>
            </w:pPr>
          </w:p>
          <w:p w:rsidR="00FA423E" w:rsidRPr="002D0A6A" w:rsidRDefault="00FA423E" w:rsidP="00DC1333">
            <w:pPr>
              <w:keepNext/>
              <w:autoSpaceDE w:val="0"/>
              <w:autoSpaceDN w:val="0"/>
              <w:adjustRightInd w:val="0"/>
              <w:rPr>
                <w:sz w:val="16"/>
                <w:szCs w:val="16"/>
              </w:rPr>
            </w:pPr>
          </w:p>
          <w:p w:rsidR="00FA423E" w:rsidRPr="002D0A6A" w:rsidRDefault="00FA423E" w:rsidP="00DC1333">
            <w:pPr>
              <w:keepNext/>
              <w:autoSpaceDE w:val="0"/>
              <w:autoSpaceDN w:val="0"/>
              <w:adjustRightInd w:val="0"/>
              <w:rPr>
                <w:sz w:val="16"/>
                <w:szCs w:val="16"/>
              </w:rPr>
            </w:pPr>
          </w:p>
          <w:p w:rsidR="00FA423E" w:rsidRPr="002D0A6A" w:rsidRDefault="00FA423E" w:rsidP="00DC1333">
            <w:pPr>
              <w:keepNext/>
              <w:autoSpaceDE w:val="0"/>
              <w:autoSpaceDN w:val="0"/>
              <w:adjustRightInd w:val="0"/>
              <w:rPr>
                <w:sz w:val="16"/>
                <w:szCs w:val="16"/>
              </w:rPr>
            </w:pPr>
          </w:p>
          <w:p w:rsidR="00FA423E" w:rsidRPr="002D0A6A" w:rsidRDefault="00FA423E" w:rsidP="00DC1333">
            <w:pPr>
              <w:keepNext/>
              <w:autoSpaceDE w:val="0"/>
              <w:autoSpaceDN w:val="0"/>
              <w:adjustRightInd w:val="0"/>
              <w:rPr>
                <w:sz w:val="16"/>
                <w:szCs w:val="16"/>
              </w:rPr>
            </w:pPr>
          </w:p>
          <w:p w:rsidR="00FA423E" w:rsidRPr="002D0A6A" w:rsidRDefault="00FA423E" w:rsidP="00DC1333">
            <w:pPr>
              <w:keepNext/>
              <w:autoSpaceDE w:val="0"/>
              <w:autoSpaceDN w:val="0"/>
              <w:adjustRightInd w:val="0"/>
              <w:rPr>
                <w:sz w:val="16"/>
                <w:szCs w:val="16"/>
              </w:rPr>
            </w:pPr>
          </w:p>
          <w:p w:rsidR="00FA423E" w:rsidRPr="002D0A6A" w:rsidRDefault="00FA423E" w:rsidP="00DC1333">
            <w:pPr>
              <w:keepNext/>
              <w:autoSpaceDE w:val="0"/>
              <w:autoSpaceDN w:val="0"/>
              <w:adjustRightInd w:val="0"/>
              <w:rPr>
                <w:sz w:val="16"/>
                <w:szCs w:val="16"/>
              </w:rPr>
            </w:pPr>
          </w:p>
        </w:tc>
        <w:tc>
          <w:tcPr>
            <w:tcW w:w="1198" w:type="pct"/>
            <w:gridSpan w:val="3"/>
            <w:tcBorders>
              <w:top w:val="nil"/>
              <w:bottom w:val="nil"/>
            </w:tcBorders>
            <w:shd w:val="clear" w:color="auto" w:fill="FFFFFF"/>
            <w:tcMar>
              <w:top w:w="110" w:type="dxa"/>
            </w:tcMar>
          </w:tcPr>
          <w:p w:rsidR="00FA423E" w:rsidRPr="002D0A6A" w:rsidRDefault="00FA423E" w:rsidP="00DC1333">
            <w:pPr>
              <w:keepNext/>
              <w:rPr>
                <w:sz w:val="16"/>
                <w:szCs w:val="16"/>
                <w:lang w:bidi="th-TH"/>
              </w:rPr>
            </w:pPr>
            <w:r w:rsidRPr="002D0A6A">
              <w:rPr>
                <w:sz w:val="16"/>
                <w:szCs w:val="16"/>
                <w:lang w:bidi="th-TH"/>
              </w:rPr>
              <w:t>La plataforma de sectores interesados se ha trasladado al Consorcio de Libros Accesibles (ABC).</w:t>
            </w:r>
          </w:p>
          <w:p w:rsidR="00FA423E" w:rsidRPr="002D0A6A" w:rsidRDefault="00FA423E" w:rsidP="00DC1333">
            <w:pPr>
              <w:keepNext/>
              <w:rPr>
                <w:sz w:val="16"/>
                <w:szCs w:val="16"/>
                <w:lang w:bidi="th-TH"/>
              </w:rPr>
            </w:pPr>
          </w:p>
          <w:p w:rsidR="00FA423E" w:rsidRPr="002D0A6A" w:rsidRDefault="00FA423E" w:rsidP="00DC1333">
            <w:pPr>
              <w:keepNext/>
              <w:rPr>
                <w:sz w:val="16"/>
                <w:szCs w:val="16"/>
                <w:lang w:bidi="th-TH"/>
              </w:rPr>
            </w:pPr>
          </w:p>
          <w:p w:rsidR="00FA423E" w:rsidRPr="002D0A6A" w:rsidRDefault="00FA423E" w:rsidP="00DC1333">
            <w:pPr>
              <w:keepNext/>
              <w:rPr>
                <w:sz w:val="16"/>
                <w:szCs w:val="16"/>
                <w:lang w:bidi="th-TH"/>
              </w:rPr>
            </w:pPr>
          </w:p>
          <w:p w:rsidR="00FA423E" w:rsidRPr="002D0A6A" w:rsidRDefault="00FA423E" w:rsidP="00DC1333">
            <w:pPr>
              <w:keepNext/>
              <w:rPr>
                <w:sz w:val="16"/>
                <w:szCs w:val="16"/>
                <w:lang w:bidi="th-TH"/>
              </w:rPr>
            </w:pPr>
          </w:p>
          <w:p w:rsidR="00FA423E" w:rsidRPr="002D0A6A" w:rsidRDefault="00FA423E" w:rsidP="00DC1333">
            <w:pPr>
              <w:keepNext/>
              <w:rPr>
                <w:sz w:val="16"/>
                <w:szCs w:val="16"/>
                <w:lang w:bidi="th-TH"/>
              </w:rPr>
            </w:pPr>
          </w:p>
          <w:p w:rsidR="00FA423E" w:rsidRPr="002D0A6A" w:rsidRDefault="00FA423E" w:rsidP="00DC1333">
            <w:pPr>
              <w:keepNext/>
              <w:rPr>
                <w:sz w:val="16"/>
                <w:szCs w:val="16"/>
                <w:lang w:bidi="th-TH"/>
              </w:rPr>
            </w:pPr>
          </w:p>
          <w:p w:rsidR="00FA423E" w:rsidRPr="002D0A6A" w:rsidRDefault="00FA423E" w:rsidP="00DC1333">
            <w:pPr>
              <w:keepNext/>
              <w:rPr>
                <w:sz w:val="16"/>
                <w:szCs w:val="16"/>
                <w:lang w:bidi="th-TH"/>
              </w:rPr>
            </w:pPr>
          </w:p>
          <w:p w:rsidR="00FA423E" w:rsidRPr="002D0A6A" w:rsidRDefault="00FA423E" w:rsidP="00DC1333">
            <w:pPr>
              <w:keepNext/>
              <w:rPr>
                <w:sz w:val="16"/>
                <w:szCs w:val="16"/>
                <w:lang w:bidi="th-TH"/>
              </w:rPr>
            </w:pPr>
          </w:p>
          <w:p w:rsidR="00FA423E" w:rsidRPr="002D0A6A" w:rsidRDefault="00FA423E" w:rsidP="00DC1333">
            <w:pPr>
              <w:keepNext/>
              <w:rPr>
                <w:sz w:val="16"/>
                <w:szCs w:val="16"/>
                <w:lang w:bidi="th-TH"/>
              </w:rPr>
            </w:pPr>
          </w:p>
          <w:p w:rsidR="00FA423E" w:rsidRPr="002D0A6A" w:rsidRDefault="00FA423E" w:rsidP="00DC1333">
            <w:pPr>
              <w:keepNext/>
              <w:rPr>
                <w:sz w:val="16"/>
                <w:szCs w:val="16"/>
                <w:lang w:bidi="th-TH"/>
              </w:rPr>
            </w:pPr>
          </w:p>
          <w:p w:rsidR="00FA423E" w:rsidRPr="002D0A6A" w:rsidRDefault="00FA423E" w:rsidP="00DC1333">
            <w:pPr>
              <w:keepNext/>
              <w:rPr>
                <w:sz w:val="16"/>
                <w:szCs w:val="16"/>
                <w:lang w:bidi="th-TH"/>
              </w:rPr>
            </w:pPr>
          </w:p>
          <w:p w:rsidR="00FA423E" w:rsidRPr="002D0A6A" w:rsidRDefault="00FA423E" w:rsidP="00DC1333">
            <w:pPr>
              <w:keepNext/>
              <w:rPr>
                <w:sz w:val="16"/>
                <w:szCs w:val="16"/>
                <w:lang w:bidi="th-TH"/>
              </w:rPr>
            </w:pPr>
          </w:p>
          <w:p w:rsidR="00FA423E" w:rsidRPr="002D0A6A" w:rsidRDefault="00FA423E" w:rsidP="00DC1333">
            <w:pPr>
              <w:keepNext/>
              <w:rPr>
                <w:sz w:val="16"/>
                <w:szCs w:val="16"/>
                <w:lang w:bidi="th-TH"/>
              </w:rPr>
            </w:pPr>
          </w:p>
          <w:p w:rsidR="00FA423E" w:rsidRPr="002D0A6A" w:rsidRDefault="00FA423E" w:rsidP="00DC1333">
            <w:pPr>
              <w:keepNext/>
              <w:rPr>
                <w:sz w:val="16"/>
                <w:szCs w:val="16"/>
                <w:lang w:bidi="th-TH"/>
              </w:rPr>
            </w:pPr>
          </w:p>
          <w:p w:rsidR="00FA423E" w:rsidRPr="002D0A6A" w:rsidRDefault="00FA423E" w:rsidP="00DC1333">
            <w:pPr>
              <w:keepNext/>
              <w:rPr>
                <w:sz w:val="16"/>
                <w:szCs w:val="16"/>
                <w:lang w:bidi="th-TH"/>
              </w:rPr>
            </w:pPr>
          </w:p>
          <w:p w:rsidR="00FA423E" w:rsidRPr="002D0A6A" w:rsidRDefault="00FA423E" w:rsidP="00DC1333">
            <w:pPr>
              <w:keepNext/>
              <w:rPr>
                <w:sz w:val="16"/>
                <w:szCs w:val="16"/>
                <w:lang w:bidi="th-TH"/>
              </w:rPr>
            </w:pPr>
          </w:p>
        </w:tc>
        <w:tc>
          <w:tcPr>
            <w:tcW w:w="664" w:type="pct"/>
            <w:gridSpan w:val="3"/>
            <w:tcBorders>
              <w:top w:val="nil"/>
              <w:bottom w:val="nil"/>
              <w:right w:val="single" w:sz="4" w:space="0" w:color="auto"/>
            </w:tcBorders>
            <w:shd w:val="clear" w:color="auto" w:fill="auto"/>
            <w:tcMar>
              <w:top w:w="110" w:type="dxa"/>
            </w:tcMar>
          </w:tcPr>
          <w:p w:rsidR="00FA423E" w:rsidRPr="002D0A6A" w:rsidRDefault="007F16A3" w:rsidP="00DC1333">
            <w:pPr>
              <w:keepNext/>
              <w:jc w:val="center"/>
              <w:rPr>
                <w:b/>
                <w:bCs/>
                <w:sz w:val="13"/>
                <w:szCs w:val="13"/>
              </w:rPr>
            </w:pPr>
            <w:r>
              <w:rPr>
                <w:b/>
                <w:bCs/>
                <w:sz w:val="13"/>
                <w:szCs w:val="13"/>
              </w:rPr>
              <w:t>Discontinuado</w:t>
            </w:r>
          </w:p>
          <w:p w:rsidR="00FA423E" w:rsidRPr="002D0A6A" w:rsidRDefault="00FA423E" w:rsidP="00DC1333">
            <w:pPr>
              <w:keepNext/>
              <w:jc w:val="center"/>
              <w:rPr>
                <w:b/>
                <w:bCs/>
                <w:color w:val="808080" w:themeColor="background1" w:themeShade="80"/>
                <w:sz w:val="16"/>
                <w:szCs w:val="16"/>
              </w:rPr>
            </w:pPr>
          </w:p>
          <w:p w:rsidR="00FA423E" w:rsidRPr="002D0A6A" w:rsidRDefault="00FA423E" w:rsidP="00DC1333">
            <w:pPr>
              <w:keepNext/>
              <w:jc w:val="center"/>
              <w:rPr>
                <w:b/>
                <w:bCs/>
                <w:color w:val="808080" w:themeColor="background1" w:themeShade="80"/>
                <w:sz w:val="16"/>
                <w:szCs w:val="16"/>
              </w:rPr>
            </w:pPr>
          </w:p>
          <w:p w:rsidR="00FA423E" w:rsidRPr="002D0A6A" w:rsidRDefault="00FA423E" w:rsidP="00DC1333">
            <w:pPr>
              <w:keepNext/>
              <w:jc w:val="center"/>
              <w:rPr>
                <w:b/>
                <w:bCs/>
                <w:color w:val="808080" w:themeColor="background1" w:themeShade="80"/>
                <w:sz w:val="16"/>
                <w:szCs w:val="16"/>
              </w:rPr>
            </w:pPr>
          </w:p>
          <w:p w:rsidR="00FA423E" w:rsidRPr="002D0A6A" w:rsidRDefault="00FA423E" w:rsidP="00DC1333">
            <w:pPr>
              <w:keepNext/>
              <w:jc w:val="center"/>
              <w:rPr>
                <w:b/>
                <w:bCs/>
                <w:color w:val="808080" w:themeColor="background1" w:themeShade="80"/>
                <w:sz w:val="16"/>
                <w:szCs w:val="16"/>
              </w:rPr>
            </w:pPr>
          </w:p>
          <w:p w:rsidR="00FA423E" w:rsidRPr="002D0A6A" w:rsidRDefault="00FA423E" w:rsidP="00DC1333">
            <w:pPr>
              <w:keepNext/>
              <w:jc w:val="center"/>
              <w:rPr>
                <w:b/>
                <w:bCs/>
                <w:color w:val="808080" w:themeColor="background1" w:themeShade="80"/>
                <w:sz w:val="16"/>
                <w:szCs w:val="16"/>
              </w:rPr>
            </w:pPr>
          </w:p>
          <w:p w:rsidR="00FA423E" w:rsidRPr="002D0A6A" w:rsidRDefault="00FA423E" w:rsidP="00DC1333">
            <w:pPr>
              <w:keepNext/>
              <w:jc w:val="center"/>
              <w:rPr>
                <w:b/>
                <w:bCs/>
                <w:color w:val="808080" w:themeColor="background1" w:themeShade="80"/>
                <w:sz w:val="16"/>
                <w:szCs w:val="16"/>
              </w:rPr>
            </w:pPr>
          </w:p>
          <w:p w:rsidR="00FA423E" w:rsidRPr="002D0A6A" w:rsidRDefault="00FA423E" w:rsidP="00DC1333">
            <w:pPr>
              <w:keepNext/>
              <w:jc w:val="center"/>
              <w:rPr>
                <w:b/>
                <w:bCs/>
                <w:color w:val="808080" w:themeColor="background1" w:themeShade="80"/>
                <w:sz w:val="16"/>
                <w:szCs w:val="16"/>
              </w:rPr>
            </w:pPr>
          </w:p>
          <w:p w:rsidR="00FA423E" w:rsidRPr="002D0A6A" w:rsidRDefault="00FA423E" w:rsidP="00DC1333">
            <w:pPr>
              <w:keepNext/>
              <w:jc w:val="center"/>
              <w:rPr>
                <w:b/>
                <w:bCs/>
                <w:color w:val="808080" w:themeColor="background1" w:themeShade="80"/>
                <w:sz w:val="16"/>
                <w:szCs w:val="16"/>
              </w:rPr>
            </w:pPr>
          </w:p>
          <w:p w:rsidR="00FA423E" w:rsidRPr="002D0A6A" w:rsidRDefault="00FA423E" w:rsidP="00DC1333">
            <w:pPr>
              <w:keepNext/>
              <w:jc w:val="center"/>
              <w:rPr>
                <w:b/>
                <w:bCs/>
                <w:color w:val="808080" w:themeColor="background1" w:themeShade="80"/>
                <w:sz w:val="16"/>
                <w:szCs w:val="16"/>
              </w:rPr>
            </w:pPr>
          </w:p>
          <w:p w:rsidR="00FA423E" w:rsidRPr="002D0A6A" w:rsidRDefault="00FA423E" w:rsidP="00DC1333">
            <w:pPr>
              <w:keepNext/>
              <w:jc w:val="center"/>
              <w:rPr>
                <w:b/>
                <w:bCs/>
                <w:color w:val="808080" w:themeColor="background1" w:themeShade="80"/>
                <w:sz w:val="16"/>
                <w:szCs w:val="16"/>
              </w:rPr>
            </w:pPr>
          </w:p>
          <w:p w:rsidR="00FA423E" w:rsidRPr="002D0A6A" w:rsidRDefault="00FA423E" w:rsidP="00DC1333">
            <w:pPr>
              <w:keepNext/>
              <w:jc w:val="center"/>
              <w:rPr>
                <w:b/>
                <w:bCs/>
                <w:color w:val="808080" w:themeColor="background1" w:themeShade="80"/>
                <w:sz w:val="16"/>
                <w:szCs w:val="16"/>
              </w:rPr>
            </w:pPr>
          </w:p>
          <w:p w:rsidR="00FA423E" w:rsidRPr="002D0A6A" w:rsidRDefault="00FA423E" w:rsidP="00DC1333">
            <w:pPr>
              <w:keepNext/>
              <w:jc w:val="center"/>
              <w:rPr>
                <w:b/>
                <w:bCs/>
                <w:color w:val="808080" w:themeColor="background1" w:themeShade="80"/>
                <w:sz w:val="16"/>
                <w:szCs w:val="16"/>
              </w:rPr>
            </w:pPr>
          </w:p>
          <w:p w:rsidR="00FA423E" w:rsidRPr="002D0A6A" w:rsidRDefault="00FA423E" w:rsidP="00DC1333">
            <w:pPr>
              <w:keepNext/>
              <w:jc w:val="center"/>
              <w:rPr>
                <w:b/>
                <w:bCs/>
                <w:color w:val="808080" w:themeColor="background1" w:themeShade="80"/>
                <w:sz w:val="16"/>
                <w:szCs w:val="16"/>
              </w:rPr>
            </w:pPr>
          </w:p>
          <w:p w:rsidR="00FA423E" w:rsidRPr="002D0A6A" w:rsidRDefault="00FA423E" w:rsidP="00DC1333">
            <w:pPr>
              <w:keepNext/>
              <w:jc w:val="center"/>
              <w:rPr>
                <w:b/>
                <w:bCs/>
                <w:color w:val="808080" w:themeColor="background1" w:themeShade="80"/>
                <w:sz w:val="16"/>
                <w:szCs w:val="16"/>
              </w:rPr>
            </w:pPr>
          </w:p>
          <w:p w:rsidR="00FA423E" w:rsidRPr="002D0A6A" w:rsidRDefault="00FA423E" w:rsidP="00DC1333">
            <w:pPr>
              <w:keepNext/>
              <w:jc w:val="center"/>
              <w:rPr>
                <w:b/>
                <w:bCs/>
                <w:color w:val="808080" w:themeColor="background1" w:themeShade="80"/>
                <w:sz w:val="16"/>
                <w:szCs w:val="16"/>
              </w:rPr>
            </w:pPr>
          </w:p>
          <w:p w:rsidR="00FA423E" w:rsidRPr="002D0A6A" w:rsidRDefault="00FA423E" w:rsidP="00DC1333">
            <w:pPr>
              <w:keepNext/>
              <w:jc w:val="center"/>
              <w:rPr>
                <w:b/>
                <w:bCs/>
                <w:color w:val="808080" w:themeColor="background1" w:themeShade="80"/>
                <w:sz w:val="16"/>
                <w:szCs w:val="16"/>
              </w:rPr>
            </w:pPr>
          </w:p>
          <w:p w:rsidR="00FA423E" w:rsidRPr="002D0A6A" w:rsidRDefault="00FA423E" w:rsidP="00DC1333">
            <w:pPr>
              <w:keepNext/>
              <w:jc w:val="center"/>
              <w:rPr>
                <w:b/>
                <w:bCs/>
                <w:color w:val="808080" w:themeColor="background1" w:themeShade="80"/>
                <w:sz w:val="16"/>
                <w:szCs w:val="16"/>
              </w:rPr>
            </w:pPr>
          </w:p>
          <w:p w:rsidR="00FA423E" w:rsidRPr="002D0A6A" w:rsidRDefault="00FA423E" w:rsidP="00DC1333">
            <w:pPr>
              <w:keepNext/>
              <w:jc w:val="center"/>
              <w:rPr>
                <w:b/>
                <w:bCs/>
                <w:color w:val="808080" w:themeColor="background1" w:themeShade="80"/>
                <w:sz w:val="16"/>
                <w:szCs w:val="16"/>
              </w:rPr>
            </w:pPr>
          </w:p>
          <w:p w:rsidR="00FA423E" w:rsidRPr="002D0A6A" w:rsidRDefault="00FA423E" w:rsidP="00DC1333">
            <w:pPr>
              <w:keepNext/>
              <w:rPr>
                <w:b/>
                <w:bCs/>
                <w:color w:val="808080" w:themeColor="background1" w:themeShade="80"/>
                <w:sz w:val="16"/>
                <w:szCs w:val="16"/>
              </w:rPr>
            </w:pPr>
          </w:p>
        </w:tc>
      </w:tr>
      <w:tr w:rsidR="00FA423E" w:rsidRPr="002D0A6A" w:rsidTr="00DC1333">
        <w:tc>
          <w:tcPr>
            <w:tcW w:w="1201" w:type="pct"/>
            <w:gridSpan w:val="3"/>
            <w:tcBorders>
              <w:top w:val="nil"/>
              <w:left w:val="single" w:sz="4" w:space="0" w:color="auto"/>
              <w:bottom w:val="nil"/>
            </w:tcBorders>
            <w:shd w:val="clear" w:color="auto" w:fill="auto"/>
          </w:tcPr>
          <w:p w:rsidR="00FA423E" w:rsidRPr="002D0A6A" w:rsidRDefault="00FA423E" w:rsidP="00DC1333">
            <w:pPr>
              <w:rPr>
                <w:sz w:val="16"/>
                <w:szCs w:val="16"/>
                <w:lang w:bidi="th-TH"/>
              </w:rPr>
            </w:pPr>
            <w:r w:rsidRPr="002D0A6A">
              <w:rPr>
                <w:sz w:val="16"/>
                <w:szCs w:val="16"/>
                <w:lang w:bidi="th-TH"/>
              </w:rPr>
              <w:t xml:space="preserve">Número de obras protegidas por derecho de autor y distribuidas entre intermediarios de confianza puestas a disposición de las personas con discapacidad visual a escala internacional por medio de la red de sistemas TIGAR. </w:t>
            </w:r>
          </w:p>
        </w:tc>
        <w:tc>
          <w:tcPr>
            <w:tcW w:w="1268" w:type="pct"/>
            <w:gridSpan w:val="2"/>
            <w:tcBorders>
              <w:top w:val="nil"/>
              <w:bottom w:val="nil"/>
            </w:tcBorders>
            <w:shd w:val="clear" w:color="auto" w:fill="auto"/>
          </w:tcPr>
          <w:p w:rsidR="00FA423E" w:rsidRPr="002D0A6A" w:rsidRDefault="00FA423E" w:rsidP="00DC1333">
            <w:pPr>
              <w:pStyle w:val="Default"/>
              <w:keepNext/>
              <w:keepLines/>
              <w:rPr>
                <w:color w:val="002060"/>
                <w:sz w:val="16"/>
                <w:szCs w:val="16"/>
                <w:lang w:val="es-ES" w:bidi="th-TH"/>
              </w:rPr>
            </w:pPr>
            <w:r w:rsidRPr="002D0A6A">
              <w:rPr>
                <w:i/>
                <w:color w:val="002060"/>
                <w:sz w:val="16"/>
                <w:szCs w:val="16"/>
                <w:lang w:val="es-ES" w:bidi="th-TH"/>
              </w:rPr>
              <w:t>Referencia actualizada a fines de 2013: A</w:t>
            </w:r>
            <w:r w:rsidRPr="002D0A6A">
              <w:rPr>
                <w:color w:val="002060"/>
                <w:sz w:val="16"/>
                <w:szCs w:val="16"/>
                <w:lang w:val="es-ES" w:bidi="th-TH"/>
              </w:rPr>
              <w:t xml:space="preserve"> fines de 2013, se habían descargado de la base de datos del proyecto TIGAR aproximadamente 600 libros en formatos accesibles en distintos países.</w:t>
            </w:r>
          </w:p>
          <w:p w:rsidR="00FA423E" w:rsidRPr="002D0A6A" w:rsidRDefault="00FA423E" w:rsidP="00DC1333">
            <w:pPr>
              <w:keepNext/>
              <w:keepLines/>
              <w:rPr>
                <w:color w:val="002060"/>
                <w:sz w:val="8"/>
                <w:szCs w:val="8"/>
                <w:lang w:bidi="th-TH"/>
              </w:rPr>
            </w:pPr>
          </w:p>
          <w:p w:rsidR="00FA423E" w:rsidRPr="002D0A6A" w:rsidRDefault="00FA423E" w:rsidP="00DC1333">
            <w:pPr>
              <w:keepNext/>
              <w:keepLines/>
              <w:rPr>
                <w:sz w:val="16"/>
                <w:szCs w:val="16"/>
                <w:lang w:bidi="th-TH"/>
              </w:rPr>
            </w:pPr>
            <w:r w:rsidRPr="002D0A6A">
              <w:rPr>
                <w:i/>
                <w:sz w:val="16"/>
                <w:szCs w:val="16"/>
                <w:lang w:bidi="th-TH"/>
              </w:rPr>
              <w:t xml:space="preserve">Referencia original en el presupuesto de 2014/15: </w:t>
            </w:r>
            <w:r w:rsidRPr="002D0A6A">
              <w:rPr>
                <w:sz w:val="16"/>
                <w:szCs w:val="16"/>
                <w:lang w:bidi="th-TH"/>
              </w:rPr>
              <w:t xml:space="preserve"> 400</w:t>
            </w:r>
          </w:p>
        </w:tc>
        <w:tc>
          <w:tcPr>
            <w:tcW w:w="669" w:type="pct"/>
            <w:tcBorders>
              <w:top w:val="nil"/>
              <w:bottom w:val="nil"/>
            </w:tcBorders>
            <w:shd w:val="clear" w:color="auto" w:fill="auto"/>
            <w:tcMar>
              <w:top w:w="110" w:type="dxa"/>
            </w:tcMar>
          </w:tcPr>
          <w:p w:rsidR="00FA423E" w:rsidRPr="002D0A6A" w:rsidRDefault="00FA423E" w:rsidP="00DC1333">
            <w:pPr>
              <w:keepNext/>
              <w:keepLines/>
              <w:rPr>
                <w:sz w:val="16"/>
                <w:szCs w:val="16"/>
                <w:lang w:bidi="th-TH"/>
              </w:rPr>
            </w:pPr>
            <w:r w:rsidRPr="002D0A6A">
              <w:rPr>
                <w:sz w:val="16"/>
                <w:szCs w:val="16"/>
                <w:lang w:bidi="th-TH"/>
              </w:rPr>
              <w:t>1.000 (en total).</w:t>
            </w:r>
          </w:p>
        </w:tc>
        <w:tc>
          <w:tcPr>
            <w:tcW w:w="1198" w:type="pct"/>
            <w:gridSpan w:val="3"/>
            <w:tcBorders>
              <w:top w:val="nil"/>
              <w:bottom w:val="nil"/>
            </w:tcBorders>
            <w:shd w:val="clear" w:color="auto" w:fill="FFFFFF"/>
            <w:tcMar>
              <w:top w:w="110" w:type="dxa"/>
            </w:tcMar>
          </w:tcPr>
          <w:p w:rsidR="00FA423E" w:rsidRPr="002D0A6A" w:rsidRDefault="00FA423E" w:rsidP="00DC1333">
            <w:pPr>
              <w:keepNext/>
              <w:keepLines/>
              <w:rPr>
                <w:sz w:val="16"/>
                <w:szCs w:val="16"/>
                <w:lang w:bidi="th-TH"/>
              </w:rPr>
            </w:pPr>
            <w:r w:rsidRPr="002D0A6A">
              <w:rPr>
                <w:sz w:val="16"/>
                <w:szCs w:val="16"/>
                <w:lang w:bidi="th-TH"/>
              </w:rPr>
              <w:t>15 bibliotecas participantes habían descargado 4.208 versiones accesibles de libros a finales de 2015 (en total).</w:t>
            </w:r>
          </w:p>
          <w:p w:rsidR="00FA423E" w:rsidRPr="002D0A6A" w:rsidRDefault="00FA423E" w:rsidP="00DC1333">
            <w:pPr>
              <w:keepNext/>
              <w:keepLines/>
              <w:rPr>
                <w:sz w:val="16"/>
                <w:szCs w:val="16"/>
                <w:lang w:bidi="th-TH"/>
              </w:rPr>
            </w:pPr>
          </w:p>
          <w:p w:rsidR="00FA423E" w:rsidRPr="002D0A6A" w:rsidRDefault="00FA423E" w:rsidP="00DC1333">
            <w:pPr>
              <w:keepNext/>
              <w:keepLines/>
              <w:rPr>
                <w:sz w:val="16"/>
                <w:szCs w:val="16"/>
                <w:lang w:bidi="th-TH"/>
              </w:rPr>
            </w:pPr>
            <w:r w:rsidRPr="002D0A6A">
              <w:rPr>
                <w:sz w:val="16"/>
                <w:szCs w:val="16"/>
                <w:lang w:bidi="th-TH"/>
              </w:rPr>
              <w:t>Más de 58.000 préstamos de libros accesibles a personas con dificultad para acceder al texto impreso a finales de 2015</w:t>
            </w:r>
          </w:p>
        </w:tc>
        <w:tc>
          <w:tcPr>
            <w:tcW w:w="664" w:type="pct"/>
            <w:gridSpan w:val="3"/>
            <w:tcBorders>
              <w:top w:val="nil"/>
              <w:bottom w:val="nil"/>
              <w:right w:val="single" w:sz="4" w:space="0" w:color="auto"/>
            </w:tcBorders>
            <w:shd w:val="clear" w:color="auto" w:fill="auto"/>
          </w:tcPr>
          <w:p w:rsidR="00FA423E" w:rsidRPr="002D0A6A" w:rsidRDefault="00FA423E" w:rsidP="00DC1333">
            <w:pPr>
              <w:ind w:left="-112" w:right="-104"/>
              <w:jc w:val="center"/>
              <w:rPr>
                <w:bCs/>
                <w:color w:val="00B050"/>
                <w:sz w:val="16"/>
                <w:szCs w:val="16"/>
              </w:rPr>
            </w:pPr>
            <w:r w:rsidRPr="002D0A6A">
              <w:rPr>
                <w:b/>
                <w:bCs/>
                <w:color w:val="00B050"/>
                <w:sz w:val="16"/>
                <w:szCs w:val="16"/>
              </w:rPr>
              <w:t>Plenamente logrado</w:t>
            </w:r>
          </w:p>
        </w:tc>
      </w:tr>
      <w:tr w:rsidR="00FA423E" w:rsidRPr="002D0A6A" w:rsidTr="00DC1333">
        <w:tc>
          <w:tcPr>
            <w:tcW w:w="1201" w:type="pct"/>
            <w:gridSpan w:val="3"/>
            <w:tcBorders>
              <w:top w:val="nil"/>
              <w:left w:val="single" w:sz="4" w:space="0" w:color="auto"/>
              <w:bottom w:val="nil"/>
            </w:tcBorders>
            <w:shd w:val="clear" w:color="auto" w:fill="auto"/>
          </w:tcPr>
          <w:p w:rsidR="00FA423E" w:rsidRPr="002D0A6A" w:rsidRDefault="00FA423E" w:rsidP="00DC1333">
            <w:pPr>
              <w:rPr>
                <w:sz w:val="16"/>
                <w:szCs w:val="16"/>
                <w:lang w:bidi="th-TH"/>
              </w:rPr>
            </w:pPr>
            <w:r w:rsidRPr="002D0A6A">
              <w:rPr>
                <w:sz w:val="16"/>
                <w:szCs w:val="16"/>
                <w:lang w:bidi="th-TH"/>
              </w:rPr>
              <w:t>Porcentaje de personas satisfechas con el apoyo al fortalecimiento de capacidades en infraestructura de derecho de autor</w:t>
            </w:r>
          </w:p>
        </w:tc>
        <w:tc>
          <w:tcPr>
            <w:tcW w:w="1268" w:type="pct"/>
            <w:gridSpan w:val="2"/>
            <w:tcBorders>
              <w:top w:val="nil"/>
              <w:bottom w:val="nil"/>
            </w:tcBorders>
            <w:shd w:val="clear" w:color="auto" w:fill="auto"/>
          </w:tcPr>
          <w:p w:rsidR="00FA423E" w:rsidRPr="002D0A6A" w:rsidRDefault="00FA423E" w:rsidP="00DC1333">
            <w:pPr>
              <w:keepNext/>
              <w:keepLines/>
              <w:rPr>
                <w:sz w:val="16"/>
                <w:szCs w:val="16"/>
                <w:lang w:bidi="th-TH"/>
              </w:rPr>
            </w:pPr>
            <w:r w:rsidRPr="002D0A6A">
              <w:rPr>
                <w:sz w:val="16"/>
                <w:szCs w:val="16"/>
                <w:lang w:bidi="th-TH"/>
              </w:rPr>
              <w:t>No se ha iniciado</w:t>
            </w:r>
          </w:p>
        </w:tc>
        <w:tc>
          <w:tcPr>
            <w:tcW w:w="669" w:type="pct"/>
            <w:tcBorders>
              <w:top w:val="nil"/>
              <w:bottom w:val="nil"/>
            </w:tcBorders>
            <w:shd w:val="clear" w:color="auto" w:fill="auto"/>
            <w:tcMar>
              <w:top w:w="110" w:type="dxa"/>
            </w:tcMar>
          </w:tcPr>
          <w:p w:rsidR="00FA423E" w:rsidRPr="002D0A6A" w:rsidRDefault="00FA423E" w:rsidP="00DC1333">
            <w:pPr>
              <w:keepNext/>
              <w:keepLines/>
              <w:rPr>
                <w:sz w:val="16"/>
                <w:szCs w:val="16"/>
                <w:lang w:bidi="th-TH"/>
              </w:rPr>
            </w:pPr>
            <w:r w:rsidRPr="002D0A6A">
              <w:rPr>
                <w:sz w:val="16"/>
                <w:szCs w:val="16"/>
                <w:lang w:bidi="th-TH"/>
              </w:rPr>
              <w:t>60%</w:t>
            </w:r>
          </w:p>
        </w:tc>
        <w:tc>
          <w:tcPr>
            <w:tcW w:w="1198" w:type="pct"/>
            <w:gridSpan w:val="3"/>
            <w:tcBorders>
              <w:top w:val="nil"/>
              <w:bottom w:val="nil"/>
            </w:tcBorders>
            <w:shd w:val="clear" w:color="auto" w:fill="FFFFFF"/>
            <w:tcMar>
              <w:top w:w="110" w:type="dxa"/>
            </w:tcMar>
          </w:tcPr>
          <w:p w:rsidR="00FA423E" w:rsidRPr="002D0A6A" w:rsidRDefault="00FA423E" w:rsidP="00DC1333">
            <w:pPr>
              <w:keepNext/>
              <w:keepLines/>
              <w:rPr>
                <w:sz w:val="16"/>
                <w:szCs w:val="16"/>
                <w:lang w:bidi="th-TH"/>
              </w:rPr>
            </w:pPr>
            <w:r w:rsidRPr="002D0A6A">
              <w:rPr>
                <w:sz w:val="16"/>
                <w:szCs w:val="16"/>
                <w:lang w:bidi="th-TH"/>
              </w:rPr>
              <w:t>90%</w:t>
            </w:r>
          </w:p>
        </w:tc>
        <w:tc>
          <w:tcPr>
            <w:tcW w:w="664" w:type="pct"/>
            <w:gridSpan w:val="3"/>
            <w:tcBorders>
              <w:top w:val="nil"/>
              <w:bottom w:val="nil"/>
              <w:right w:val="single" w:sz="4" w:space="0" w:color="auto"/>
            </w:tcBorders>
            <w:shd w:val="clear" w:color="auto" w:fill="auto"/>
          </w:tcPr>
          <w:p w:rsidR="00FA423E" w:rsidRPr="002D0A6A" w:rsidRDefault="00FA423E" w:rsidP="00DC1333">
            <w:pPr>
              <w:keepNext/>
              <w:keepLines/>
              <w:ind w:left="-111"/>
              <w:jc w:val="center"/>
              <w:rPr>
                <w:bCs/>
                <w:color w:val="00B050"/>
                <w:sz w:val="16"/>
                <w:szCs w:val="16"/>
              </w:rPr>
            </w:pPr>
            <w:r w:rsidRPr="002D0A6A">
              <w:rPr>
                <w:b/>
                <w:bCs/>
                <w:color w:val="00B050"/>
                <w:sz w:val="16"/>
                <w:szCs w:val="16"/>
              </w:rPr>
              <w:t>Plenamente logrado</w:t>
            </w:r>
          </w:p>
        </w:tc>
      </w:tr>
      <w:tr w:rsidR="00FA423E" w:rsidRPr="002D0A6A" w:rsidTr="00DC1333">
        <w:trPr>
          <w:trHeight w:val="1629"/>
        </w:trPr>
        <w:tc>
          <w:tcPr>
            <w:tcW w:w="1201" w:type="pct"/>
            <w:gridSpan w:val="3"/>
            <w:tcBorders>
              <w:top w:val="nil"/>
              <w:left w:val="single" w:sz="4" w:space="0" w:color="auto"/>
              <w:bottom w:val="nil"/>
            </w:tcBorders>
            <w:shd w:val="clear" w:color="auto" w:fill="auto"/>
          </w:tcPr>
          <w:p w:rsidR="00FA423E" w:rsidRPr="002D0A6A" w:rsidRDefault="00FA423E" w:rsidP="00DC1333">
            <w:pPr>
              <w:rPr>
                <w:sz w:val="16"/>
                <w:szCs w:val="16"/>
                <w:lang w:bidi="th-TH"/>
              </w:rPr>
            </w:pPr>
            <w:r w:rsidRPr="002D0A6A">
              <w:rPr>
                <w:sz w:val="16"/>
                <w:szCs w:val="16"/>
                <w:lang w:bidi="th-TH"/>
              </w:rPr>
              <w:t>Número de instituciones que utilizan el sistema GDA.</w:t>
            </w:r>
          </w:p>
        </w:tc>
        <w:tc>
          <w:tcPr>
            <w:tcW w:w="1268" w:type="pct"/>
            <w:gridSpan w:val="2"/>
            <w:tcBorders>
              <w:top w:val="nil"/>
              <w:bottom w:val="nil"/>
            </w:tcBorders>
            <w:shd w:val="clear" w:color="auto" w:fill="auto"/>
          </w:tcPr>
          <w:p w:rsidR="00FA423E" w:rsidRPr="002D0A6A" w:rsidRDefault="00FA423E" w:rsidP="00DC1333">
            <w:pPr>
              <w:keepNext/>
              <w:keepLines/>
              <w:rPr>
                <w:color w:val="002060"/>
                <w:sz w:val="16"/>
                <w:szCs w:val="16"/>
                <w:lang w:bidi="th-TH"/>
              </w:rPr>
            </w:pPr>
            <w:r w:rsidRPr="002D0A6A">
              <w:rPr>
                <w:i/>
                <w:color w:val="002060"/>
                <w:sz w:val="16"/>
                <w:szCs w:val="16"/>
              </w:rPr>
              <w:t>Referencia actualizada a fines de 2013:</w:t>
            </w:r>
            <w:r w:rsidRPr="002D0A6A">
              <w:rPr>
                <w:color w:val="002060"/>
                <w:sz w:val="16"/>
                <w:szCs w:val="16"/>
                <w:lang w:bidi="th-TH"/>
              </w:rPr>
              <w:t xml:space="preserve">  15</w:t>
            </w:r>
            <w:r w:rsidRPr="002D0A6A">
              <w:rPr>
                <w:rStyle w:val="FootnoteReference"/>
                <w:color w:val="002060"/>
                <w:sz w:val="16"/>
                <w:szCs w:val="16"/>
                <w:lang w:bidi="th-TH"/>
              </w:rPr>
              <w:footnoteReference w:id="16"/>
            </w:r>
            <w:r w:rsidRPr="002D0A6A">
              <w:rPr>
                <w:color w:val="002060"/>
                <w:sz w:val="16"/>
                <w:szCs w:val="16"/>
                <w:lang w:bidi="th-TH"/>
              </w:rPr>
              <w:t xml:space="preserve"> oficinas de derecho de autor que utilizan el sistema GDA (en total)</w:t>
            </w:r>
          </w:p>
          <w:p w:rsidR="00FA423E" w:rsidRPr="002D0A6A" w:rsidRDefault="00FA423E" w:rsidP="00DC1333">
            <w:pPr>
              <w:keepNext/>
              <w:keepLines/>
              <w:rPr>
                <w:sz w:val="8"/>
                <w:szCs w:val="8"/>
                <w:lang w:bidi="th-TH"/>
              </w:rPr>
            </w:pPr>
          </w:p>
          <w:p w:rsidR="00FA423E" w:rsidRPr="002D0A6A" w:rsidRDefault="00FA423E" w:rsidP="00DC1333">
            <w:pPr>
              <w:keepNext/>
              <w:keepLines/>
              <w:rPr>
                <w:i/>
                <w:color w:val="002060"/>
                <w:sz w:val="16"/>
                <w:szCs w:val="16"/>
              </w:rPr>
            </w:pPr>
            <w:r w:rsidRPr="002D0A6A">
              <w:rPr>
                <w:i/>
                <w:sz w:val="16"/>
                <w:szCs w:val="16"/>
                <w:lang w:bidi="th-TH"/>
              </w:rPr>
              <w:t xml:space="preserve">Referencia original en el presupuesto de 2014/15:  </w:t>
            </w:r>
            <w:r w:rsidRPr="002D0A6A">
              <w:rPr>
                <w:sz w:val="16"/>
                <w:szCs w:val="16"/>
                <w:lang w:bidi="th-TH"/>
              </w:rPr>
              <w:t>15</w:t>
            </w:r>
          </w:p>
        </w:tc>
        <w:tc>
          <w:tcPr>
            <w:tcW w:w="669" w:type="pct"/>
            <w:tcBorders>
              <w:top w:val="nil"/>
              <w:bottom w:val="nil"/>
            </w:tcBorders>
            <w:shd w:val="clear" w:color="auto" w:fill="auto"/>
            <w:tcMar>
              <w:top w:w="110" w:type="dxa"/>
            </w:tcMar>
          </w:tcPr>
          <w:p w:rsidR="00FA423E" w:rsidRPr="002D0A6A" w:rsidRDefault="00FA423E" w:rsidP="00DC1333">
            <w:pPr>
              <w:keepNext/>
              <w:keepLines/>
              <w:rPr>
                <w:sz w:val="16"/>
                <w:szCs w:val="16"/>
                <w:lang w:bidi="th-TH"/>
              </w:rPr>
            </w:pPr>
            <w:r w:rsidRPr="002D0A6A">
              <w:rPr>
                <w:sz w:val="16"/>
                <w:szCs w:val="16"/>
                <w:lang w:bidi="th-TH"/>
              </w:rPr>
              <w:t>15</w:t>
            </w:r>
          </w:p>
        </w:tc>
        <w:tc>
          <w:tcPr>
            <w:tcW w:w="1198" w:type="pct"/>
            <w:gridSpan w:val="3"/>
            <w:tcBorders>
              <w:top w:val="nil"/>
              <w:bottom w:val="nil"/>
            </w:tcBorders>
            <w:shd w:val="clear" w:color="auto" w:fill="FFFFFF"/>
            <w:tcMar>
              <w:top w:w="110" w:type="dxa"/>
            </w:tcMar>
          </w:tcPr>
          <w:p w:rsidR="00FA423E" w:rsidRPr="002D0A6A" w:rsidRDefault="00FA423E" w:rsidP="00DC1333">
            <w:pPr>
              <w:keepNext/>
              <w:keepLines/>
              <w:rPr>
                <w:sz w:val="16"/>
                <w:szCs w:val="16"/>
                <w:lang w:bidi="th-TH"/>
              </w:rPr>
            </w:pPr>
            <w:r w:rsidRPr="002D0A6A">
              <w:rPr>
                <w:sz w:val="16"/>
                <w:szCs w:val="16"/>
                <w:lang w:bidi="th-TH"/>
              </w:rPr>
              <w:t>16 oficinas de derecho de autor utilizan el sistema GDA (en total)</w:t>
            </w:r>
          </w:p>
          <w:p w:rsidR="00FA423E" w:rsidRPr="002D0A6A" w:rsidRDefault="00FA423E" w:rsidP="00DC1333">
            <w:pPr>
              <w:keepNext/>
              <w:keepLines/>
              <w:rPr>
                <w:sz w:val="12"/>
                <w:szCs w:val="12"/>
                <w:lang w:bidi="th-TH"/>
              </w:rPr>
            </w:pPr>
          </w:p>
          <w:p w:rsidR="00FA423E" w:rsidRPr="002D0A6A" w:rsidRDefault="00FA423E" w:rsidP="00DC1333">
            <w:pPr>
              <w:keepNext/>
              <w:keepLines/>
              <w:rPr>
                <w:sz w:val="16"/>
                <w:szCs w:val="16"/>
                <w:lang w:bidi="th-TH"/>
              </w:rPr>
            </w:pPr>
            <w:r w:rsidRPr="002D0A6A">
              <w:rPr>
                <w:sz w:val="16"/>
                <w:szCs w:val="16"/>
                <w:lang w:bidi="th-TH"/>
              </w:rPr>
              <w:t>El apoyo prestado por la OMPI al Sistema GDA se había eliminado gradualmente a finales de 2015.</w:t>
            </w:r>
          </w:p>
        </w:tc>
        <w:tc>
          <w:tcPr>
            <w:tcW w:w="664" w:type="pct"/>
            <w:gridSpan w:val="3"/>
            <w:tcBorders>
              <w:top w:val="nil"/>
              <w:bottom w:val="nil"/>
              <w:right w:val="single" w:sz="4" w:space="0" w:color="auto"/>
            </w:tcBorders>
            <w:shd w:val="clear" w:color="auto" w:fill="auto"/>
          </w:tcPr>
          <w:p w:rsidR="00FA423E" w:rsidRPr="002D0A6A" w:rsidRDefault="007F16A3" w:rsidP="00DC1333">
            <w:pPr>
              <w:jc w:val="center"/>
              <w:rPr>
                <w:b/>
                <w:bCs/>
                <w:sz w:val="13"/>
                <w:szCs w:val="13"/>
              </w:rPr>
            </w:pPr>
            <w:r>
              <w:rPr>
                <w:b/>
                <w:bCs/>
                <w:sz w:val="13"/>
                <w:szCs w:val="13"/>
              </w:rPr>
              <w:t>Discontinuado</w:t>
            </w:r>
          </w:p>
          <w:p w:rsidR="00FA423E" w:rsidRPr="002D0A6A" w:rsidRDefault="00FA423E" w:rsidP="00DC1333">
            <w:pPr>
              <w:keepNext/>
              <w:keepLines/>
              <w:ind w:left="-111"/>
              <w:jc w:val="center"/>
              <w:rPr>
                <w:b/>
                <w:bCs/>
                <w:color w:val="00B050"/>
                <w:sz w:val="16"/>
                <w:szCs w:val="16"/>
              </w:rPr>
            </w:pPr>
          </w:p>
        </w:tc>
      </w:tr>
      <w:tr w:rsidR="00FA423E" w:rsidRPr="002D0A6A" w:rsidTr="00DC1333">
        <w:tc>
          <w:tcPr>
            <w:tcW w:w="1201" w:type="pct"/>
            <w:gridSpan w:val="3"/>
            <w:tcBorders>
              <w:top w:val="nil"/>
              <w:left w:val="single" w:sz="4" w:space="0" w:color="auto"/>
              <w:bottom w:val="single" w:sz="4" w:space="0" w:color="auto"/>
            </w:tcBorders>
            <w:shd w:val="clear" w:color="auto" w:fill="auto"/>
          </w:tcPr>
          <w:p w:rsidR="00FA423E" w:rsidRPr="002D0A6A" w:rsidRDefault="00FA423E" w:rsidP="00DC1333">
            <w:pPr>
              <w:rPr>
                <w:sz w:val="16"/>
                <w:szCs w:val="16"/>
                <w:lang w:bidi="th-TH"/>
              </w:rPr>
            </w:pPr>
            <w:r w:rsidRPr="002D0A6A">
              <w:rPr>
                <w:sz w:val="16"/>
                <w:szCs w:val="16"/>
                <w:lang w:bidi="th-TH"/>
              </w:rPr>
              <w:t>Uso de la base de datos de la OMPI sobre gestión colectiva de los derechos.</w:t>
            </w:r>
          </w:p>
        </w:tc>
        <w:tc>
          <w:tcPr>
            <w:tcW w:w="1268" w:type="pct"/>
            <w:gridSpan w:val="2"/>
            <w:tcBorders>
              <w:top w:val="nil"/>
              <w:bottom w:val="single" w:sz="4" w:space="0" w:color="auto"/>
            </w:tcBorders>
            <w:shd w:val="clear" w:color="auto" w:fill="auto"/>
          </w:tcPr>
          <w:p w:rsidR="00FA423E" w:rsidRPr="002D0A6A" w:rsidRDefault="00FA423E" w:rsidP="00DC1333">
            <w:pPr>
              <w:keepNext/>
              <w:keepLines/>
              <w:rPr>
                <w:i/>
                <w:color w:val="808080"/>
                <w:sz w:val="16"/>
                <w:szCs w:val="16"/>
              </w:rPr>
            </w:pPr>
            <w:r w:rsidRPr="002D0A6A">
              <w:rPr>
                <w:sz w:val="16"/>
                <w:szCs w:val="16"/>
                <w:lang w:bidi="th-TH"/>
              </w:rPr>
              <w:t>No se ha iniciado</w:t>
            </w:r>
          </w:p>
        </w:tc>
        <w:tc>
          <w:tcPr>
            <w:tcW w:w="669" w:type="pct"/>
            <w:tcBorders>
              <w:top w:val="nil"/>
              <w:bottom w:val="single" w:sz="4" w:space="0" w:color="auto"/>
            </w:tcBorders>
            <w:shd w:val="clear" w:color="auto" w:fill="auto"/>
            <w:tcMar>
              <w:top w:w="110" w:type="dxa"/>
            </w:tcMar>
          </w:tcPr>
          <w:p w:rsidR="00FA423E" w:rsidRPr="002D0A6A" w:rsidRDefault="00FA423E" w:rsidP="00DC1333">
            <w:pPr>
              <w:keepNext/>
              <w:keepLines/>
              <w:rPr>
                <w:sz w:val="16"/>
                <w:szCs w:val="16"/>
                <w:lang w:bidi="th-TH"/>
              </w:rPr>
            </w:pPr>
            <w:r w:rsidRPr="002D0A6A">
              <w:rPr>
                <w:sz w:val="16"/>
                <w:szCs w:val="16"/>
                <w:lang w:bidi="th-TH"/>
              </w:rPr>
              <w:t>100 usuarios.</w:t>
            </w:r>
          </w:p>
        </w:tc>
        <w:tc>
          <w:tcPr>
            <w:tcW w:w="1198" w:type="pct"/>
            <w:gridSpan w:val="3"/>
            <w:tcBorders>
              <w:top w:val="nil"/>
              <w:bottom w:val="single" w:sz="4" w:space="0" w:color="auto"/>
            </w:tcBorders>
            <w:shd w:val="clear" w:color="auto" w:fill="FFFFFF"/>
            <w:tcMar>
              <w:top w:w="110" w:type="dxa"/>
            </w:tcMar>
          </w:tcPr>
          <w:p w:rsidR="00FA423E" w:rsidRPr="002D0A6A" w:rsidRDefault="00FA423E" w:rsidP="00DC1333">
            <w:pPr>
              <w:keepNext/>
              <w:keepLines/>
              <w:rPr>
                <w:sz w:val="16"/>
                <w:szCs w:val="16"/>
                <w:lang w:bidi="th-TH"/>
              </w:rPr>
            </w:pPr>
            <w:r w:rsidRPr="002D0A6A">
              <w:rPr>
                <w:sz w:val="16"/>
                <w:szCs w:val="16"/>
                <w:lang w:bidi="th-TH"/>
              </w:rPr>
              <w:t xml:space="preserve">Desde que se publicó en octubre de 2014, </w:t>
            </w:r>
            <w:r w:rsidRPr="002D0A6A">
              <w:rPr>
                <w:bCs/>
                <w:sz w:val="16"/>
                <w:szCs w:val="16"/>
                <w:lang w:bidi="th-TH"/>
              </w:rPr>
              <w:t xml:space="preserve">el </w:t>
            </w:r>
            <w:proofErr w:type="spellStart"/>
            <w:r w:rsidRPr="002D0A6A">
              <w:rPr>
                <w:i/>
                <w:iCs/>
                <w:sz w:val="16"/>
                <w:szCs w:val="16"/>
                <w:lang w:bidi="th-TH"/>
              </w:rPr>
              <w:t>Collecting</w:t>
            </w:r>
            <w:proofErr w:type="spellEnd"/>
            <w:r w:rsidRPr="002D0A6A">
              <w:rPr>
                <w:i/>
                <w:iCs/>
                <w:sz w:val="16"/>
                <w:szCs w:val="16"/>
                <w:lang w:bidi="th-TH"/>
              </w:rPr>
              <w:t xml:space="preserve"> </w:t>
            </w:r>
            <w:proofErr w:type="spellStart"/>
            <w:r w:rsidRPr="002D0A6A">
              <w:rPr>
                <w:i/>
                <w:iCs/>
                <w:sz w:val="16"/>
                <w:szCs w:val="16"/>
                <w:lang w:bidi="th-TH"/>
              </w:rPr>
              <w:t>Societies</w:t>
            </w:r>
            <w:proofErr w:type="spellEnd"/>
            <w:r w:rsidRPr="002D0A6A">
              <w:rPr>
                <w:i/>
                <w:iCs/>
                <w:sz w:val="16"/>
                <w:szCs w:val="16"/>
                <w:lang w:bidi="th-TH"/>
              </w:rPr>
              <w:t xml:space="preserve"> </w:t>
            </w:r>
            <w:proofErr w:type="spellStart"/>
            <w:r w:rsidRPr="002D0A6A">
              <w:rPr>
                <w:i/>
                <w:iCs/>
                <w:sz w:val="16"/>
                <w:szCs w:val="16"/>
                <w:lang w:bidi="th-TH"/>
              </w:rPr>
              <w:t>Handbook</w:t>
            </w:r>
            <w:proofErr w:type="spellEnd"/>
            <w:r w:rsidRPr="002D0A6A">
              <w:rPr>
                <w:i/>
                <w:iCs/>
                <w:sz w:val="16"/>
                <w:szCs w:val="16"/>
                <w:lang w:bidi="th-TH"/>
              </w:rPr>
              <w:t xml:space="preserve"> </w:t>
            </w:r>
            <w:r w:rsidRPr="002D0A6A">
              <w:rPr>
                <w:iCs/>
                <w:sz w:val="16"/>
                <w:szCs w:val="16"/>
                <w:lang w:bidi="th-TH"/>
              </w:rPr>
              <w:t>de 2014 recibió una media de 2.300 vistas únicas al mes.</w:t>
            </w:r>
          </w:p>
        </w:tc>
        <w:tc>
          <w:tcPr>
            <w:tcW w:w="664" w:type="pct"/>
            <w:gridSpan w:val="3"/>
            <w:tcBorders>
              <w:top w:val="nil"/>
              <w:bottom w:val="single" w:sz="4" w:space="0" w:color="auto"/>
              <w:right w:val="single" w:sz="4" w:space="0" w:color="auto"/>
            </w:tcBorders>
            <w:shd w:val="clear" w:color="auto" w:fill="auto"/>
          </w:tcPr>
          <w:p w:rsidR="00FA423E" w:rsidRPr="002D0A6A" w:rsidRDefault="00FA423E" w:rsidP="00DC1333">
            <w:pPr>
              <w:keepNext/>
              <w:keepLines/>
              <w:ind w:left="-111"/>
              <w:jc w:val="center"/>
              <w:rPr>
                <w:b/>
                <w:bCs/>
                <w:color w:val="00B050"/>
                <w:sz w:val="16"/>
                <w:szCs w:val="16"/>
              </w:rPr>
            </w:pPr>
            <w:r w:rsidRPr="002D0A6A">
              <w:rPr>
                <w:b/>
                <w:bCs/>
                <w:color w:val="00B050"/>
                <w:sz w:val="16"/>
                <w:szCs w:val="16"/>
              </w:rPr>
              <w:t>Plenamente logrado</w:t>
            </w:r>
          </w:p>
        </w:tc>
      </w:tr>
      <w:tr w:rsidR="00FA423E" w:rsidRPr="002D0A6A" w:rsidTr="00DC1333">
        <w:trPr>
          <w:trHeight w:val="2000"/>
        </w:trPr>
        <w:tc>
          <w:tcPr>
            <w:tcW w:w="1201" w:type="pct"/>
            <w:gridSpan w:val="3"/>
            <w:tcBorders>
              <w:top w:val="single" w:sz="4" w:space="0" w:color="auto"/>
              <w:left w:val="single" w:sz="4" w:space="0" w:color="auto"/>
              <w:bottom w:val="single" w:sz="4" w:space="0" w:color="auto"/>
            </w:tcBorders>
            <w:shd w:val="clear" w:color="auto" w:fill="auto"/>
          </w:tcPr>
          <w:p w:rsidR="00FA423E" w:rsidRPr="002D0A6A" w:rsidRDefault="00FA423E" w:rsidP="00DC1333">
            <w:pPr>
              <w:keepNext/>
              <w:keepLines/>
              <w:rPr>
                <w:sz w:val="16"/>
                <w:szCs w:val="16"/>
                <w:lang w:bidi="th-TH"/>
              </w:rPr>
            </w:pPr>
            <w:r w:rsidRPr="002D0A6A">
              <w:rPr>
                <w:sz w:val="16"/>
                <w:szCs w:val="16"/>
                <w:lang w:bidi="th-TH"/>
              </w:rPr>
              <w:lastRenderedPageBreak/>
              <w:t>Número de instrumentos jurídicos, directrices, declaraciones de principios distintas de tratados acordados o suscritos por las partes interesadas en ámbitos como los de la P.I. y el deporte y el derecho de autor en el entorno digital.</w:t>
            </w:r>
          </w:p>
        </w:tc>
        <w:tc>
          <w:tcPr>
            <w:tcW w:w="1268" w:type="pct"/>
            <w:gridSpan w:val="2"/>
            <w:tcBorders>
              <w:top w:val="single" w:sz="4" w:space="0" w:color="auto"/>
              <w:bottom w:val="single" w:sz="4" w:space="0" w:color="auto"/>
            </w:tcBorders>
            <w:shd w:val="clear" w:color="auto" w:fill="auto"/>
          </w:tcPr>
          <w:p w:rsidR="00FA423E" w:rsidRPr="002D0A6A" w:rsidRDefault="00FA423E" w:rsidP="00DC1333">
            <w:pPr>
              <w:keepNext/>
              <w:keepLines/>
              <w:rPr>
                <w:color w:val="002060"/>
                <w:sz w:val="16"/>
                <w:szCs w:val="16"/>
                <w:lang w:bidi="th-TH"/>
              </w:rPr>
            </w:pPr>
            <w:r w:rsidRPr="002D0A6A">
              <w:rPr>
                <w:i/>
                <w:color w:val="002060"/>
                <w:sz w:val="16"/>
                <w:szCs w:val="16"/>
                <w:lang w:bidi="th-TH"/>
              </w:rPr>
              <w:t>Referencia actualizada a fines de 2013:</w:t>
            </w:r>
            <w:r w:rsidRPr="002D0A6A">
              <w:rPr>
                <w:color w:val="002060"/>
                <w:sz w:val="16"/>
                <w:szCs w:val="16"/>
                <w:lang w:bidi="th-TH"/>
              </w:rPr>
              <w:t xml:space="preserve">  </w:t>
            </w:r>
          </w:p>
          <w:p w:rsidR="00FA423E" w:rsidRPr="002D0A6A" w:rsidRDefault="00FA423E" w:rsidP="00DC1333">
            <w:pPr>
              <w:keepNext/>
              <w:keepLines/>
              <w:rPr>
                <w:sz w:val="8"/>
                <w:szCs w:val="8"/>
                <w:lang w:bidi="th-TH"/>
              </w:rPr>
            </w:pPr>
          </w:p>
          <w:p w:rsidR="00FA423E" w:rsidRPr="002D0A6A" w:rsidRDefault="00FA423E" w:rsidP="00DC1333">
            <w:pPr>
              <w:keepNext/>
              <w:keepLines/>
              <w:rPr>
                <w:i/>
                <w:color w:val="002060"/>
                <w:sz w:val="16"/>
                <w:szCs w:val="16"/>
              </w:rPr>
            </w:pPr>
            <w:r w:rsidRPr="002D0A6A">
              <w:rPr>
                <w:i/>
                <w:sz w:val="16"/>
                <w:szCs w:val="16"/>
                <w:lang w:bidi="th-TH"/>
              </w:rPr>
              <w:t xml:space="preserve">Referencia original en el presupuesto de 2014/15:  </w:t>
            </w:r>
            <w:r w:rsidRPr="002D0A6A">
              <w:rPr>
                <w:sz w:val="16"/>
                <w:szCs w:val="16"/>
                <w:lang w:bidi="th-TH"/>
              </w:rPr>
              <w:t>Uno (Examen de la OMPI de las consideraciones contractuales en el sector audiovisual)</w:t>
            </w:r>
          </w:p>
        </w:tc>
        <w:tc>
          <w:tcPr>
            <w:tcW w:w="669" w:type="pct"/>
            <w:tcBorders>
              <w:top w:val="single" w:sz="4" w:space="0" w:color="auto"/>
              <w:bottom w:val="single" w:sz="4" w:space="0" w:color="auto"/>
            </w:tcBorders>
            <w:shd w:val="clear" w:color="auto" w:fill="auto"/>
            <w:tcMar>
              <w:top w:w="110" w:type="dxa"/>
            </w:tcMar>
          </w:tcPr>
          <w:p w:rsidR="00FA423E" w:rsidRPr="002D0A6A" w:rsidRDefault="00FA423E" w:rsidP="00DC1333">
            <w:pPr>
              <w:keepNext/>
              <w:keepLines/>
              <w:rPr>
                <w:sz w:val="16"/>
                <w:szCs w:val="16"/>
                <w:lang w:bidi="th-TH"/>
              </w:rPr>
            </w:pPr>
            <w:r w:rsidRPr="002D0A6A">
              <w:rPr>
                <w:sz w:val="16"/>
                <w:szCs w:val="16"/>
                <w:lang w:bidi="th-TH"/>
              </w:rPr>
              <w:t>1</w:t>
            </w:r>
          </w:p>
        </w:tc>
        <w:tc>
          <w:tcPr>
            <w:tcW w:w="1198" w:type="pct"/>
            <w:gridSpan w:val="3"/>
            <w:tcBorders>
              <w:top w:val="single" w:sz="4" w:space="0" w:color="auto"/>
              <w:bottom w:val="single" w:sz="4" w:space="0" w:color="auto"/>
            </w:tcBorders>
            <w:shd w:val="clear" w:color="auto" w:fill="FFFFFF"/>
            <w:tcMar>
              <w:top w:w="110" w:type="dxa"/>
            </w:tcMar>
          </w:tcPr>
          <w:p w:rsidR="00FA423E" w:rsidRPr="002D0A6A" w:rsidRDefault="00FA423E" w:rsidP="00DC1333">
            <w:pPr>
              <w:keepNext/>
              <w:keepLines/>
              <w:rPr>
                <w:sz w:val="16"/>
                <w:szCs w:val="16"/>
                <w:lang w:bidi="th-TH"/>
              </w:rPr>
            </w:pPr>
            <w:r w:rsidRPr="002D0A6A">
              <w:rPr>
                <w:sz w:val="16"/>
                <w:szCs w:val="16"/>
                <w:lang w:bidi="th-TH"/>
              </w:rPr>
              <w:t>El proyecto de directrices de la OMPI para la evaluación de la repercusión económica, social y cultural del derecho de autor en la economía (Directrices ESCIA) se finalizó en 2014 y entró en la fase piloto de ejecución, que terminará en junio de 2016.</w:t>
            </w:r>
          </w:p>
        </w:tc>
        <w:tc>
          <w:tcPr>
            <w:tcW w:w="664" w:type="pct"/>
            <w:gridSpan w:val="3"/>
            <w:tcBorders>
              <w:top w:val="single" w:sz="4" w:space="0" w:color="auto"/>
              <w:bottom w:val="single" w:sz="4" w:space="0" w:color="auto"/>
              <w:right w:val="single" w:sz="4" w:space="0" w:color="auto"/>
            </w:tcBorders>
            <w:shd w:val="clear" w:color="auto" w:fill="auto"/>
          </w:tcPr>
          <w:p w:rsidR="00FA423E" w:rsidRPr="002D0A6A" w:rsidRDefault="00FA423E" w:rsidP="00DC1333">
            <w:pPr>
              <w:keepNext/>
              <w:keepLines/>
              <w:ind w:left="-111"/>
              <w:jc w:val="center"/>
              <w:rPr>
                <w:b/>
                <w:bCs/>
                <w:color w:val="00B050"/>
                <w:sz w:val="16"/>
                <w:szCs w:val="16"/>
              </w:rPr>
            </w:pPr>
            <w:r w:rsidRPr="002D0A6A">
              <w:rPr>
                <w:b/>
                <w:bCs/>
                <w:color w:val="00B050"/>
                <w:sz w:val="16"/>
                <w:szCs w:val="16"/>
              </w:rPr>
              <w:t>Plenamente logrado</w:t>
            </w:r>
          </w:p>
        </w:tc>
      </w:tr>
      <w:tr w:rsidR="00FA423E" w:rsidRPr="002D0A6A" w:rsidTr="00DC1333">
        <w:trPr>
          <w:trHeight w:val="733"/>
        </w:trPr>
        <w:tc>
          <w:tcPr>
            <w:tcW w:w="5000" w:type="pct"/>
            <w:gridSpan w:val="12"/>
            <w:tcBorders>
              <w:top w:val="single" w:sz="4" w:space="0" w:color="auto"/>
              <w:bottom w:val="single" w:sz="4" w:space="0" w:color="auto"/>
            </w:tcBorders>
            <w:shd w:val="clear" w:color="auto" w:fill="C6D9F1" w:themeFill="text2" w:themeFillTint="33"/>
            <w:vAlign w:val="center"/>
          </w:tcPr>
          <w:p w:rsidR="00FA423E" w:rsidRPr="002D0A6A" w:rsidRDefault="00FA423E" w:rsidP="00DC1333">
            <w:pPr>
              <w:ind w:left="2019" w:hanging="2019"/>
              <w:rPr>
                <w:b/>
                <w:bCs/>
                <w:sz w:val="16"/>
                <w:szCs w:val="16"/>
              </w:rPr>
            </w:pPr>
            <w:r w:rsidRPr="002D0A6A">
              <w:rPr>
                <w:b/>
                <w:bCs/>
                <w:sz w:val="16"/>
                <w:szCs w:val="16"/>
              </w:rPr>
              <w:t>Resultado previsto:</w:t>
            </w:r>
            <w:r w:rsidRPr="002D0A6A">
              <w:rPr>
                <w:bCs/>
                <w:sz w:val="16"/>
                <w:szCs w:val="16"/>
              </w:rPr>
              <w:tab/>
              <w:t>IV.4 Mejora en la infraestructura técnica y de conocimientos de las Oficinas y demás instituciones de P.I. que les permita prestar mejores servicios (más económicos, más rápidos y de mejor calidad) a sus partes interesadas</w:t>
            </w:r>
          </w:p>
        </w:tc>
      </w:tr>
      <w:tr w:rsidR="00FA423E" w:rsidRPr="002D0A6A" w:rsidTr="00DC1333">
        <w:tc>
          <w:tcPr>
            <w:tcW w:w="1121" w:type="pct"/>
            <w:tcBorders>
              <w:top w:val="single" w:sz="4" w:space="0" w:color="auto"/>
            </w:tcBorders>
            <w:shd w:val="clear" w:color="auto" w:fill="auto"/>
            <w:vAlign w:val="center"/>
          </w:tcPr>
          <w:p w:rsidR="00FA423E" w:rsidRPr="002D0A6A" w:rsidRDefault="00FA423E" w:rsidP="00DC1333">
            <w:pPr>
              <w:rPr>
                <w:sz w:val="16"/>
                <w:szCs w:val="16"/>
              </w:rPr>
            </w:pPr>
            <w:r w:rsidRPr="002D0A6A">
              <w:rPr>
                <w:b/>
                <w:sz w:val="16"/>
                <w:szCs w:val="16"/>
              </w:rPr>
              <w:t>Indicadores de rendimiento</w:t>
            </w:r>
          </w:p>
        </w:tc>
        <w:tc>
          <w:tcPr>
            <w:tcW w:w="1348" w:type="pct"/>
            <w:gridSpan w:val="4"/>
            <w:tcBorders>
              <w:top w:val="single" w:sz="4" w:space="0" w:color="auto"/>
            </w:tcBorders>
            <w:shd w:val="clear" w:color="auto" w:fill="auto"/>
            <w:vAlign w:val="center"/>
          </w:tcPr>
          <w:p w:rsidR="00FA423E" w:rsidRPr="002D0A6A" w:rsidRDefault="00FA423E" w:rsidP="00DC1333">
            <w:pPr>
              <w:rPr>
                <w:b/>
                <w:bCs/>
                <w:sz w:val="16"/>
                <w:szCs w:val="16"/>
              </w:rPr>
            </w:pPr>
            <w:r w:rsidRPr="002D0A6A">
              <w:rPr>
                <w:b/>
                <w:bCs/>
                <w:sz w:val="16"/>
                <w:szCs w:val="16"/>
              </w:rPr>
              <w:t>Referencia</w:t>
            </w:r>
          </w:p>
        </w:tc>
        <w:tc>
          <w:tcPr>
            <w:tcW w:w="669" w:type="pct"/>
            <w:tcBorders>
              <w:top w:val="single" w:sz="4" w:space="0" w:color="auto"/>
            </w:tcBorders>
            <w:shd w:val="clear" w:color="auto" w:fill="auto"/>
            <w:tcMar>
              <w:top w:w="110" w:type="dxa"/>
            </w:tcMar>
            <w:vAlign w:val="center"/>
          </w:tcPr>
          <w:p w:rsidR="00FA423E" w:rsidRPr="002D0A6A" w:rsidRDefault="00FA423E" w:rsidP="00DC1333">
            <w:pPr>
              <w:rPr>
                <w:b/>
                <w:sz w:val="16"/>
                <w:szCs w:val="16"/>
              </w:rPr>
            </w:pPr>
            <w:r w:rsidRPr="002D0A6A">
              <w:rPr>
                <w:b/>
                <w:sz w:val="16"/>
                <w:szCs w:val="16"/>
              </w:rPr>
              <w:t>Objetivos</w:t>
            </w:r>
          </w:p>
        </w:tc>
        <w:tc>
          <w:tcPr>
            <w:tcW w:w="1198" w:type="pct"/>
            <w:gridSpan w:val="3"/>
            <w:tcBorders>
              <w:top w:val="single" w:sz="4" w:space="0" w:color="auto"/>
            </w:tcBorders>
            <w:shd w:val="clear" w:color="auto" w:fill="FFFFFF"/>
            <w:tcMar>
              <w:top w:w="110" w:type="dxa"/>
            </w:tcMar>
            <w:vAlign w:val="center"/>
          </w:tcPr>
          <w:p w:rsidR="00FA423E" w:rsidRPr="002D0A6A" w:rsidRDefault="00FA423E" w:rsidP="00DC1333">
            <w:pPr>
              <w:rPr>
                <w:sz w:val="16"/>
                <w:szCs w:val="16"/>
              </w:rPr>
            </w:pPr>
            <w:r w:rsidRPr="002D0A6A">
              <w:rPr>
                <w:b/>
                <w:sz w:val="16"/>
                <w:szCs w:val="16"/>
              </w:rPr>
              <w:t>Datos sobre el rendimiento</w:t>
            </w:r>
          </w:p>
        </w:tc>
        <w:tc>
          <w:tcPr>
            <w:tcW w:w="664" w:type="pct"/>
            <w:gridSpan w:val="3"/>
            <w:tcBorders>
              <w:top w:val="single" w:sz="4" w:space="0" w:color="auto"/>
            </w:tcBorders>
            <w:shd w:val="clear" w:color="auto" w:fill="auto"/>
            <w:tcMar>
              <w:top w:w="110" w:type="dxa"/>
            </w:tcMar>
            <w:vAlign w:val="center"/>
          </w:tcPr>
          <w:p w:rsidR="00FA423E" w:rsidRPr="002D0A6A" w:rsidRDefault="00FA423E" w:rsidP="00DC1333">
            <w:pPr>
              <w:keepNext/>
              <w:keepLines/>
              <w:ind w:left="-111"/>
              <w:jc w:val="center"/>
              <w:rPr>
                <w:b/>
                <w:bCs/>
                <w:sz w:val="16"/>
                <w:szCs w:val="16"/>
              </w:rPr>
            </w:pPr>
            <w:r w:rsidRPr="002D0A6A">
              <w:rPr>
                <w:b/>
                <w:bCs/>
                <w:sz w:val="16"/>
                <w:szCs w:val="16"/>
              </w:rPr>
              <w:t>Clave de colores</w:t>
            </w:r>
          </w:p>
        </w:tc>
      </w:tr>
      <w:tr w:rsidR="00FA423E" w:rsidRPr="002D0A6A" w:rsidTr="00DC1333">
        <w:tc>
          <w:tcPr>
            <w:tcW w:w="1121" w:type="pct"/>
            <w:shd w:val="clear" w:color="auto" w:fill="auto"/>
          </w:tcPr>
          <w:p w:rsidR="00FA423E" w:rsidRPr="002D0A6A" w:rsidRDefault="00FA423E" w:rsidP="00DC1333">
            <w:pPr>
              <w:rPr>
                <w:sz w:val="16"/>
                <w:szCs w:val="16"/>
                <w:lang w:bidi="th-TH"/>
              </w:rPr>
            </w:pPr>
            <w:r w:rsidRPr="002D0A6A">
              <w:rPr>
                <w:sz w:val="16"/>
                <w:szCs w:val="16"/>
                <w:lang w:bidi="th-TH"/>
              </w:rPr>
              <w:t>Número de gobiernos y OGC que firman acuerdos con la OMPI para reestructurar WIPOCOS.</w:t>
            </w:r>
          </w:p>
        </w:tc>
        <w:tc>
          <w:tcPr>
            <w:tcW w:w="1348" w:type="pct"/>
            <w:gridSpan w:val="4"/>
            <w:shd w:val="clear" w:color="auto" w:fill="auto"/>
          </w:tcPr>
          <w:p w:rsidR="00FA423E" w:rsidRPr="002D0A6A" w:rsidRDefault="00FA423E" w:rsidP="00DC1333">
            <w:pPr>
              <w:rPr>
                <w:color w:val="808080"/>
                <w:sz w:val="16"/>
                <w:szCs w:val="16"/>
                <w:lang w:bidi="th-TH"/>
              </w:rPr>
            </w:pPr>
            <w:r w:rsidRPr="002D0A6A">
              <w:rPr>
                <w:sz w:val="16"/>
                <w:szCs w:val="16"/>
                <w:lang w:bidi="th-TH"/>
              </w:rPr>
              <w:t>Aún no se ha iniciado</w:t>
            </w:r>
            <w:r w:rsidRPr="002D0A6A">
              <w:rPr>
                <w:color w:val="808080"/>
                <w:sz w:val="16"/>
                <w:szCs w:val="16"/>
                <w:lang w:bidi="th-TH"/>
              </w:rPr>
              <w:t>.</w:t>
            </w:r>
          </w:p>
        </w:tc>
        <w:tc>
          <w:tcPr>
            <w:tcW w:w="669" w:type="pct"/>
            <w:shd w:val="clear" w:color="auto" w:fill="auto"/>
            <w:tcMar>
              <w:top w:w="110" w:type="dxa"/>
            </w:tcMar>
          </w:tcPr>
          <w:p w:rsidR="00FA423E" w:rsidRPr="002D0A6A" w:rsidRDefault="00FA423E" w:rsidP="00DC1333">
            <w:pPr>
              <w:pStyle w:val="Default"/>
              <w:rPr>
                <w:color w:val="808080"/>
                <w:sz w:val="16"/>
                <w:szCs w:val="16"/>
                <w:lang w:val="es-ES" w:bidi="th-TH"/>
              </w:rPr>
            </w:pPr>
            <w:r w:rsidRPr="002D0A6A">
              <w:rPr>
                <w:color w:val="auto"/>
                <w:sz w:val="16"/>
                <w:szCs w:val="16"/>
                <w:lang w:val="es-ES" w:bidi="th-TH"/>
              </w:rPr>
              <w:t>Cuatro gobiernos y cinco OGC.</w:t>
            </w:r>
          </w:p>
        </w:tc>
        <w:tc>
          <w:tcPr>
            <w:tcW w:w="1198" w:type="pct"/>
            <w:gridSpan w:val="3"/>
            <w:shd w:val="clear" w:color="auto" w:fill="FFFFFF"/>
            <w:tcMar>
              <w:top w:w="110" w:type="dxa"/>
            </w:tcMar>
          </w:tcPr>
          <w:p w:rsidR="00FA423E" w:rsidRPr="002D0A6A" w:rsidRDefault="00FA423E" w:rsidP="00DC1333">
            <w:pPr>
              <w:rPr>
                <w:sz w:val="16"/>
                <w:szCs w:val="16"/>
                <w:lang w:bidi="th-TH"/>
              </w:rPr>
            </w:pPr>
            <w:r w:rsidRPr="002D0A6A">
              <w:rPr>
                <w:sz w:val="16"/>
                <w:szCs w:val="16"/>
                <w:lang w:bidi="th-TH"/>
              </w:rPr>
              <w:t xml:space="preserve">Siete gobiernos (Chad, Rep. </w:t>
            </w:r>
            <w:proofErr w:type="spellStart"/>
            <w:r w:rsidRPr="002D0A6A">
              <w:rPr>
                <w:sz w:val="16"/>
                <w:szCs w:val="16"/>
                <w:lang w:bidi="th-TH"/>
              </w:rPr>
              <w:t>Dem</w:t>
            </w:r>
            <w:proofErr w:type="spellEnd"/>
            <w:r w:rsidRPr="002D0A6A">
              <w:rPr>
                <w:sz w:val="16"/>
                <w:szCs w:val="16"/>
                <w:lang w:bidi="th-TH"/>
              </w:rPr>
              <w:t>. del Congo, Malasia, Malí, Nepal, Filipinas y Uganda) y 43 organismos de gestión colectiva</w:t>
            </w:r>
          </w:p>
        </w:tc>
        <w:tc>
          <w:tcPr>
            <w:tcW w:w="664" w:type="pct"/>
            <w:gridSpan w:val="3"/>
            <w:shd w:val="clear" w:color="auto" w:fill="auto"/>
            <w:tcMar>
              <w:top w:w="110" w:type="dxa"/>
            </w:tcMar>
          </w:tcPr>
          <w:p w:rsidR="00FA423E" w:rsidRPr="002D0A6A" w:rsidRDefault="00FA423E" w:rsidP="00DC1333">
            <w:pPr>
              <w:keepNext/>
              <w:keepLines/>
              <w:ind w:left="-111"/>
              <w:jc w:val="center"/>
              <w:rPr>
                <w:bCs/>
                <w:color w:val="00B050"/>
                <w:sz w:val="16"/>
                <w:szCs w:val="16"/>
              </w:rPr>
            </w:pPr>
            <w:r w:rsidRPr="002D0A6A">
              <w:rPr>
                <w:b/>
                <w:bCs/>
                <w:color w:val="00B050"/>
                <w:sz w:val="16"/>
                <w:szCs w:val="16"/>
              </w:rPr>
              <w:t>Plenamente logrado</w:t>
            </w:r>
          </w:p>
        </w:tc>
      </w:tr>
      <w:tr w:rsidR="00FA423E" w:rsidRPr="002D0A6A" w:rsidTr="00DC1333">
        <w:tc>
          <w:tcPr>
            <w:tcW w:w="1121" w:type="pct"/>
            <w:tcBorders>
              <w:bottom w:val="nil"/>
            </w:tcBorders>
            <w:shd w:val="clear" w:color="auto" w:fill="auto"/>
          </w:tcPr>
          <w:p w:rsidR="00FA423E" w:rsidRPr="002D0A6A" w:rsidRDefault="00FA423E" w:rsidP="00DC1333">
            <w:pPr>
              <w:rPr>
                <w:sz w:val="16"/>
                <w:szCs w:val="16"/>
                <w:lang w:bidi="th-TH"/>
              </w:rPr>
            </w:pPr>
            <w:r w:rsidRPr="002D0A6A">
              <w:rPr>
                <w:sz w:val="16"/>
                <w:szCs w:val="16"/>
                <w:lang w:bidi="th-TH"/>
              </w:rPr>
              <w:t>Número de OGC en países en desarrollo y PMA que participan en redes regionales y mundiales facilitadas por la OMPI.</w:t>
            </w:r>
          </w:p>
        </w:tc>
        <w:tc>
          <w:tcPr>
            <w:tcW w:w="1348" w:type="pct"/>
            <w:gridSpan w:val="4"/>
            <w:tcBorders>
              <w:bottom w:val="nil"/>
            </w:tcBorders>
            <w:shd w:val="clear" w:color="auto" w:fill="auto"/>
          </w:tcPr>
          <w:p w:rsidR="00FA423E" w:rsidRPr="002D0A6A" w:rsidRDefault="00FA423E" w:rsidP="00DC1333">
            <w:pPr>
              <w:autoSpaceDE w:val="0"/>
              <w:autoSpaceDN w:val="0"/>
              <w:adjustRightInd w:val="0"/>
              <w:rPr>
                <w:sz w:val="16"/>
                <w:szCs w:val="16"/>
              </w:rPr>
            </w:pPr>
            <w:r w:rsidRPr="002D0A6A">
              <w:rPr>
                <w:sz w:val="16"/>
                <w:szCs w:val="16"/>
                <w:lang w:bidi="th-TH"/>
              </w:rPr>
              <w:t>0 (cero)</w:t>
            </w:r>
          </w:p>
        </w:tc>
        <w:tc>
          <w:tcPr>
            <w:tcW w:w="669" w:type="pct"/>
            <w:tcBorders>
              <w:bottom w:val="nil"/>
            </w:tcBorders>
            <w:shd w:val="clear" w:color="auto" w:fill="auto"/>
            <w:tcMar>
              <w:top w:w="110" w:type="dxa"/>
            </w:tcMar>
          </w:tcPr>
          <w:p w:rsidR="00FA423E" w:rsidRPr="002D0A6A" w:rsidRDefault="00FA423E" w:rsidP="00DC1333">
            <w:pPr>
              <w:rPr>
                <w:sz w:val="16"/>
                <w:szCs w:val="16"/>
                <w:lang w:bidi="th-TH"/>
              </w:rPr>
            </w:pPr>
            <w:r w:rsidRPr="002D0A6A">
              <w:rPr>
                <w:rFonts w:eastAsia="Batang"/>
                <w:sz w:val="16"/>
                <w:szCs w:val="16"/>
                <w:lang w:eastAsia="ja-JP"/>
              </w:rPr>
              <w:t>10</w:t>
            </w:r>
          </w:p>
        </w:tc>
        <w:tc>
          <w:tcPr>
            <w:tcW w:w="1198" w:type="pct"/>
            <w:gridSpan w:val="3"/>
            <w:tcBorders>
              <w:bottom w:val="nil"/>
            </w:tcBorders>
            <w:shd w:val="clear" w:color="auto" w:fill="FFFFFF"/>
            <w:tcMar>
              <w:top w:w="110" w:type="dxa"/>
            </w:tcMar>
          </w:tcPr>
          <w:p w:rsidR="00FA423E" w:rsidRPr="002D0A6A" w:rsidRDefault="00FA423E" w:rsidP="00DC1333">
            <w:pPr>
              <w:rPr>
                <w:sz w:val="16"/>
                <w:szCs w:val="16"/>
                <w:lang w:bidi="th-TH"/>
              </w:rPr>
            </w:pPr>
            <w:r w:rsidRPr="002D0A6A">
              <w:rPr>
                <w:sz w:val="16"/>
                <w:szCs w:val="16"/>
                <w:lang w:bidi="th-TH"/>
              </w:rPr>
              <w:t>13</w:t>
            </w:r>
          </w:p>
        </w:tc>
        <w:tc>
          <w:tcPr>
            <w:tcW w:w="664" w:type="pct"/>
            <w:gridSpan w:val="3"/>
            <w:tcBorders>
              <w:bottom w:val="nil"/>
            </w:tcBorders>
            <w:shd w:val="clear" w:color="auto" w:fill="auto"/>
          </w:tcPr>
          <w:p w:rsidR="00FA423E" w:rsidRPr="002D0A6A" w:rsidRDefault="00FA423E" w:rsidP="00DC1333">
            <w:pPr>
              <w:keepNext/>
              <w:keepLines/>
              <w:ind w:left="-111"/>
              <w:jc w:val="center"/>
              <w:rPr>
                <w:bCs/>
                <w:color w:val="00B050"/>
                <w:sz w:val="16"/>
                <w:szCs w:val="16"/>
              </w:rPr>
            </w:pPr>
            <w:r w:rsidRPr="002D0A6A">
              <w:rPr>
                <w:b/>
                <w:bCs/>
                <w:color w:val="00B050"/>
                <w:sz w:val="16"/>
                <w:szCs w:val="16"/>
              </w:rPr>
              <w:t>Plenamente logrado</w:t>
            </w:r>
          </w:p>
        </w:tc>
      </w:tr>
      <w:tr w:rsidR="00FA423E" w:rsidRPr="002D0A6A" w:rsidTr="00DC1333">
        <w:tc>
          <w:tcPr>
            <w:tcW w:w="1121" w:type="pct"/>
            <w:tcBorders>
              <w:top w:val="nil"/>
              <w:bottom w:val="single" w:sz="4" w:space="0" w:color="auto"/>
            </w:tcBorders>
            <w:shd w:val="clear" w:color="auto" w:fill="auto"/>
          </w:tcPr>
          <w:p w:rsidR="00FA423E" w:rsidRPr="002D0A6A" w:rsidRDefault="00FA423E" w:rsidP="00DC1333">
            <w:pPr>
              <w:rPr>
                <w:sz w:val="16"/>
                <w:szCs w:val="16"/>
                <w:lang w:bidi="th-TH"/>
              </w:rPr>
            </w:pPr>
            <w:r w:rsidRPr="002D0A6A">
              <w:rPr>
                <w:sz w:val="16"/>
                <w:szCs w:val="16"/>
                <w:lang w:bidi="th-TH"/>
              </w:rPr>
              <w:t>Porcentaje de gobiernos que informan favorablemente acerca de la eficacia y la gobernanza de las oficinas de derecho de autor y otras instituciones en el país.</w:t>
            </w:r>
          </w:p>
        </w:tc>
        <w:tc>
          <w:tcPr>
            <w:tcW w:w="1348" w:type="pct"/>
            <w:gridSpan w:val="4"/>
            <w:tcBorders>
              <w:top w:val="nil"/>
              <w:bottom w:val="single" w:sz="4" w:space="0" w:color="auto"/>
            </w:tcBorders>
            <w:shd w:val="clear" w:color="auto" w:fill="auto"/>
          </w:tcPr>
          <w:p w:rsidR="00FA423E" w:rsidRPr="002D0A6A" w:rsidRDefault="00FA423E" w:rsidP="00DC1333">
            <w:pPr>
              <w:rPr>
                <w:i/>
                <w:color w:val="002060"/>
                <w:sz w:val="16"/>
                <w:szCs w:val="16"/>
                <w:lang w:bidi="th-TH"/>
              </w:rPr>
            </w:pPr>
            <w:r w:rsidRPr="002D0A6A">
              <w:rPr>
                <w:i/>
                <w:color w:val="002060"/>
                <w:sz w:val="16"/>
                <w:szCs w:val="16"/>
                <w:lang w:bidi="th-TH"/>
              </w:rPr>
              <w:t xml:space="preserve">Referencia actualizada a fines de 2013:  </w:t>
            </w:r>
            <w:r w:rsidRPr="002D0A6A">
              <w:rPr>
                <w:color w:val="002060"/>
                <w:sz w:val="16"/>
                <w:szCs w:val="16"/>
                <w:lang w:bidi="th-TH"/>
              </w:rPr>
              <w:t>Más del 70% de los gobiernos que recibieron asistencia informaron favorablemente respecto de la mejora de la eficacia y gobernanza de las instituciones pertinentes en el país después de la formación.</w:t>
            </w:r>
          </w:p>
          <w:p w:rsidR="00FA423E" w:rsidRPr="002D0A6A" w:rsidRDefault="00FA423E" w:rsidP="00DC1333">
            <w:pPr>
              <w:rPr>
                <w:i/>
                <w:sz w:val="6"/>
                <w:szCs w:val="6"/>
                <w:lang w:bidi="th-TH"/>
              </w:rPr>
            </w:pPr>
          </w:p>
          <w:p w:rsidR="00FA423E" w:rsidRDefault="00FA423E" w:rsidP="00DC1333">
            <w:pPr>
              <w:pStyle w:val="Default"/>
              <w:rPr>
                <w:sz w:val="16"/>
                <w:szCs w:val="16"/>
                <w:lang w:val="es-ES" w:bidi="th-TH"/>
              </w:rPr>
            </w:pPr>
            <w:r w:rsidRPr="002D0A6A">
              <w:rPr>
                <w:i/>
                <w:sz w:val="16"/>
                <w:szCs w:val="16"/>
                <w:lang w:val="es-ES" w:bidi="th-TH"/>
              </w:rPr>
              <w:t xml:space="preserve">Referencia original en el presupuesto de 2014/15:  </w:t>
            </w:r>
            <w:r>
              <w:rPr>
                <w:sz w:val="16"/>
                <w:szCs w:val="16"/>
                <w:lang w:val="es-ES" w:bidi="th-TH"/>
              </w:rPr>
              <w:t>Índice de satisfacción del 80%</w:t>
            </w:r>
          </w:p>
          <w:p w:rsidR="00FA423E" w:rsidRPr="002D0A6A" w:rsidRDefault="00FA423E" w:rsidP="00DC1333">
            <w:pPr>
              <w:pStyle w:val="Default"/>
              <w:rPr>
                <w:i/>
                <w:color w:val="002060"/>
                <w:sz w:val="16"/>
                <w:szCs w:val="16"/>
                <w:lang w:val="es-ES"/>
              </w:rPr>
            </w:pPr>
          </w:p>
        </w:tc>
        <w:tc>
          <w:tcPr>
            <w:tcW w:w="669" w:type="pct"/>
            <w:tcBorders>
              <w:top w:val="nil"/>
              <w:bottom w:val="single" w:sz="4" w:space="0" w:color="auto"/>
            </w:tcBorders>
            <w:shd w:val="clear" w:color="auto" w:fill="auto"/>
            <w:tcMar>
              <w:top w:w="110" w:type="dxa"/>
            </w:tcMar>
          </w:tcPr>
          <w:p w:rsidR="00FA423E" w:rsidRPr="002D0A6A" w:rsidRDefault="00FA423E" w:rsidP="00DC1333">
            <w:pPr>
              <w:rPr>
                <w:rFonts w:eastAsia="Batang"/>
                <w:sz w:val="16"/>
                <w:szCs w:val="16"/>
                <w:lang w:eastAsia="ja-JP"/>
              </w:rPr>
            </w:pPr>
            <w:r w:rsidRPr="002D0A6A">
              <w:rPr>
                <w:rFonts w:eastAsia="Batang"/>
                <w:sz w:val="16"/>
                <w:szCs w:val="16"/>
                <w:lang w:eastAsia="ja-JP"/>
              </w:rPr>
              <w:t>El 80% de los países que recibieron asistencia técnica</w:t>
            </w:r>
            <w:r w:rsidRPr="002D0A6A">
              <w:rPr>
                <w:rFonts w:eastAsia="Batang"/>
                <w:color w:val="FF00FF"/>
                <w:sz w:val="16"/>
                <w:szCs w:val="16"/>
                <w:lang w:eastAsia="ja-JP"/>
              </w:rPr>
              <w:t>.</w:t>
            </w:r>
          </w:p>
        </w:tc>
        <w:tc>
          <w:tcPr>
            <w:tcW w:w="1198" w:type="pct"/>
            <w:gridSpan w:val="3"/>
            <w:tcBorders>
              <w:top w:val="nil"/>
              <w:bottom w:val="single" w:sz="4" w:space="0" w:color="auto"/>
            </w:tcBorders>
            <w:shd w:val="clear" w:color="auto" w:fill="FFFFFF"/>
            <w:tcMar>
              <w:top w:w="110" w:type="dxa"/>
            </w:tcMar>
          </w:tcPr>
          <w:p w:rsidR="00FA423E" w:rsidRPr="002D0A6A" w:rsidRDefault="00FA423E" w:rsidP="00DC1333">
            <w:pPr>
              <w:rPr>
                <w:sz w:val="16"/>
                <w:szCs w:val="16"/>
                <w:lang w:bidi="th-TH"/>
              </w:rPr>
            </w:pPr>
            <w:r w:rsidRPr="002D0A6A">
              <w:rPr>
                <w:sz w:val="16"/>
                <w:szCs w:val="16"/>
                <w:lang w:bidi="th-TH"/>
              </w:rPr>
              <w:t>80% de los países que recibieron asistencia técnica</w:t>
            </w:r>
          </w:p>
        </w:tc>
        <w:tc>
          <w:tcPr>
            <w:tcW w:w="664" w:type="pct"/>
            <w:gridSpan w:val="3"/>
            <w:tcBorders>
              <w:top w:val="nil"/>
              <w:bottom w:val="single" w:sz="4" w:space="0" w:color="auto"/>
            </w:tcBorders>
            <w:shd w:val="clear" w:color="auto" w:fill="auto"/>
          </w:tcPr>
          <w:p w:rsidR="00FA423E" w:rsidRPr="002D0A6A" w:rsidRDefault="00FA423E" w:rsidP="00DC1333">
            <w:pPr>
              <w:keepNext/>
              <w:keepLines/>
              <w:ind w:left="-111"/>
              <w:jc w:val="center"/>
              <w:rPr>
                <w:b/>
                <w:bCs/>
                <w:color w:val="00B050"/>
                <w:sz w:val="16"/>
                <w:szCs w:val="16"/>
              </w:rPr>
            </w:pPr>
            <w:r w:rsidRPr="002D0A6A">
              <w:rPr>
                <w:b/>
                <w:bCs/>
                <w:color w:val="00B050"/>
                <w:sz w:val="16"/>
                <w:szCs w:val="16"/>
              </w:rPr>
              <w:t>Plenamente logrado</w:t>
            </w:r>
          </w:p>
        </w:tc>
      </w:tr>
      <w:tr w:rsidR="00FA423E" w:rsidRPr="002D0A6A" w:rsidTr="00DC1333">
        <w:trPr>
          <w:trHeight w:val="430"/>
        </w:trPr>
        <w:tc>
          <w:tcPr>
            <w:tcW w:w="5000" w:type="pct"/>
            <w:gridSpan w:val="12"/>
            <w:tcBorders>
              <w:top w:val="single" w:sz="4" w:space="0" w:color="auto"/>
              <w:bottom w:val="single" w:sz="4" w:space="0" w:color="auto"/>
            </w:tcBorders>
            <w:shd w:val="clear" w:color="auto" w:fill="C6D9F1" w:themeFill="text2" w:themeFillTint="33"/>
            <w:vAlign w:val="center"/>
          </w:tcPr>
          <w:p w:rsidR="00FA423E" w:rsidRPr="002D0A6A" w:rsidRDefault="00FA423E" w:rsidP="00DC1333">
            <w:pPr>
              <w:ind w:left="2019" w:hanging="2019"/>
              <w:rPr>
                <w:b/>
                <w:bCs/>
                <w:sz w:val="16"/>
                <w:szCs w:val="16"/>
              </w:rPr>
            </w:pPr>
            <w:r w:rsidRPr="002D0A6A">
              <w:rPr>
                <w:b/>
                <w:bCs/>
                <w:sz w:val="16"/>
                <w:szCs w:val="16"/>
              </w:rPr>
              <w:t>Resultado previsto:</w:t>
            </w:r>
            <w:r w:rsidRPr="002D0A6A">
              <w:rPr>
                <w:bCs/>
                <w:sz w:val="16"/>
                <w:szCs w:val="16"/>
              </w:rPr>
              <w:tab/>
              <w:t>V.2 Ampliación y mejora del uso de los análisis económicos de la OMPI en la formulación de políticas</w:t>
            </w:r>
          </w:p>
        </w:tc>
      </w:tr>
      <w:tr w:rsidR="00FA423E" w:rsidRPr="002D0A6A" w:rsidTr="00DC1333">
        <w:tc>
          <w:tcPr>
            <w:tcW w:w="1201" w:type="pct"/>
            <w:gridSpan w:val="3"/>
            <w:tcBorders>
              <w:top w:val="single" w:sz="4" w:space="0" w:color="auto"/>
            </w:tcBorders>
            <w:shd w:val="clear" w:color="auto" w:fill="auto"/>
            <w:vAlign w:val="center"/>
          </w:tcPr>
          <w:p w:rsidR="00FA423E" w:rsidRPr="002D0A6A" w:rsidRDefault="00FA423E" w:rsidP="00DC1333">
            <w:pPr>
              <w:rPr>
                <w:sz w:val="16"/>
                <w:szCs w:val="16"/>
              </w:rPr>
            </w:pPr>
            <w:r w:rsidRPr="002D0A6A">
              <w:rPr>
                <w:b/>
                <w:sz w:val="16"/>
                <w:szCs w:val="16"/>
              </w:rPr>
              <w:t>Indicadores de rendimiento</w:t>
            </w:r>
          </w:p>
        </w:tc>
        <w:tc>
          <w:tcPr>
            <w:tcW w:w="1268" w:type="pct"/>
            <w:gridSpan w:val="2"/>
            <w:tcBorders>
              <w:top w:val="single" w:sz="4" w:space="0" w:color="auto"/>
            </w:tcBorders>
            <w:shd w:val="clear" w:color="auto" w:fill="auto"/>
            <w:vAlign w:val="center"/>
          </w:tcPr>
          <w:p w:rsidR="00FA423E" w:rsidRPr="002D0A6A" w:rsidRDefault="00FA423E" w:rsidP="00DC1333">
            <w:pPr>
              <w:keepNext/>
              <w:keepLines/>
              <w:rPr>
                <w:b/>
                <w:bCs/>
                <w:sz w:val="16"/>
                <w:szCs w:val="16"/>
              </w:rPr>
            </w:pPr>
            <w:r w:rsidRPr="002D0A6A">
              <w:rPr>
                <w:b/>
                <w:bCs/>
                <w:sz w:val="16"/>
                <w:szCs w:val="16"/>
              </w:rPr>
              <w:t>Referencia</w:t>
            </w:r>
          </w:p>
        </w:tc>
        <w:tc>
          <w:tcPr>
            <w:tcW w:w="821" w:type="pct"/>
            <w:gridSpan w:val="2"/>
            <w:tcBorders>
              <w:top w:val="single" w:sz="4" w:space="0" w:color="auto"/>
            </w:tcBorders>
            <w:shd w:val="clear" w:color="auto" w:fill="auto"/>
            <w:tcMar>
              <w:top w:w="110" w:type="dxa"/>
            </w:tcMar>
            <w:vAlign w:val="center"/>
          </w:tcPr>
          <w:p w:rsidR="00FA423E" w:rsidRPr="002D0A6A" w:rsidRDefault="00FA423E" w:rsidP="00DC1333">
            <w:pPr>
              <w:keepNext/>
              <w:keepLines/>
              <w:rPr>
                <w:b/>
                <w:sz w:val="16"/>
                <w:szCs w:val="16"/>
              </w:rPr>
            </w:pPr>
            <w:r w:rsidRPr="002D0A6A">
              <w:rPr>
                <w:b/>
                <w:sz w:val="16"/>
                <w:szCs w:val="16"/>
              </w:rPr>
              <w:t>Objetivos</w:t>
            </w:r>
          </w:p>
        </w:tc>
        <w:tc>
          <w:tcPr>
            <w:tcW w:w="1117" w:type="pct"/>
            <w:gridSpan w:val="3"/>
            <w:tcBorders>
              <w:top w:val="single" w:sz="4" w:space="0" w:color="auto"/>
            </w:tcBorders>
            <w:shd w:val="clear" w:color="auto" w:fill="FFFFFF"/>
            <w:tcMar>
              <w:top w:w="110" w:type="dxa"/>
            </w:tcMar>
            <w:vAlign w:val="center"/>
          </w:tcPr>
          <w:p w:rsidR="00FA423E" w:rsidRPr="002D0A6A" w:rsidRDefault="00FA423E" w:rsidP="00DC1333">
            <w:pPr>
              <w:keepNext/>
              <w:keepLines/>
              <w:rPr>
                <w:sz w:val="16"/>
                <w:szCs w:val="16"/>
              </w:rPr>
            </w:pPr>
            <w:r w:rsidRPr="002D0A6A">
              <w:rPr>
                <w:b/>
                <w:sz w:val="16"/>
                <w:szCs w:val="16"/>
              </w:rPr>
              <w:t>Datos sobre el rendimiento</w:t>
            </w:r>
          </w:p>
        </w:tc>
        <w:tc>
          <w:tcPr>
            <w:tcW w:w="593" w:type="pct"/>
            <w:gridSpan w:val="2"/>
            <w:tcBorders>
              <w:top w:val="single" w:sz="4" w:space="0" w:color="auto"/>
            </w:tcBorders>
            <w:shd w:val="clear" w:color="auto" w:fill="auto"/>
            <w:tcMar>
              <w:top w:w="110" w:type="dxa"/>
            </w:tcMar>
            <w:vAlign w:val="center"/>
          </w:tcPr>
          <w:p w:rsidR="00FA423E" w:rsidRPr="002D0A6A" w:rsidRDefault="00FA423E" w:rsidP="00DC1333">
            <w:pPr>
              <w:keepNext/>
              <w:keepLines/>
              <w:ind w:left="-111"/>
              <w:jc w:val="center"/>
              <w:rPr>
                <w:b/>
                <w:bCs/>
                <w:sz w:val="16"/>
                <w:szCs w:val="16"/>
              </w:rPr>
            </w:pPr>
            <w:r w:rsidRPr="002D0A6A">
              <w:rPr>
                <w:b/>
                <w:bCs/>
                <w:sz w:val="16"/>
                <w:szCs w:val="16"/>
              </w:rPr>
              <w:t>Clave de colores</w:t>
            </w:r>
          </w:p>
        </w:tc>
      </w:tr>
      <w:tr w:rsidR="00FA423E" w:rsidRPr="002D0A6A" w:rsidTr="00DC1333">
        <w:tc>
          <w:tcPr>
            <w:tcW w:w="1201" w:type="pct"/>
            <w:gridSpan w:val="3"/>
            <w:shd w:val="clear" w:color="auto" w:fill="auto"/>
          </w:tcPr>
          <w:p w:rsidR="00FA423E" w:rsidRPr="002D0A6A" w:rsidRDefault="00FA423E" w:rsidP="00DC1333">
            <w:pPr>
              <w:rPr>
                <w:sz w:val="16"/>
                <w:szCs w:val="16"/>
                <w:lang w:bidi="th-TH"/>
              </w:rPr>
            </w:pPr>
            <w:r w:rsidRPr="002D0A6A">
              <w:rPr>
                <w:sz w:val="16"/>
                <w:szCs w:val="16"/>
                <w:lang w:bidi="th-TH"/>
              </w:rPr>
              <w:t>Uso de estudios económicos de la OMPI sobre derecho de autor en la toma de decisiones de gobiernos y ONG.</w:t>
            </w:r>
          </w:p>
        </w:tc>
        <w:tc>
          <w:tcPr>
            <w:tcW w:w="1268" w:type="pct"/>
            <w:gridSpan w:val="2"/>
            <w:shd w:val="clear" w:color="auto" w:fill="auto"/>
          </w:tcPr>
          <w:p w:rsidR="00FA423E" w:rsidRPr="002D0A6A" w:rsidRDefault="00FA423E" w:rsidP="00DC1333">
            <w:pPr>
              <w:keepNext/>
              <w:keepLines/>
              <w:rPr>
                <w:color w:val="002060"/>
                <w:sz w:val="16"/>
                <w:szCs w:val="16"/>
                <w:lang w:bidi="th-TH"/>
              </w:rPr>
            </w:pPr>
            <w:r w:rsidRPr="002D0A6A">
              <w:rPr>
                <w:i/>
                <w:color w:val="002060"/>
                <w:sz w:val="16"/>
                <w:szCs w:val="16"/>
                <w:lang w:bidi="th-TH"/>
              </w:rPr>
              <w:t>Referencia actualizada a fines de 2013:</w:t>
            </w:r>
            <w:r w:rsidRPr="002D0A6A">
              <w:rPr>
                <w:color w:val="002060"/>
                <w:sz w:val="16"/>
                <w:szCs w:val="16"/>
                <w:lang w:bidi="th-TH"/>
              </w:rPr>
              <w:t xml:space="preserve">  10 países en 2012/13:  Bulgaria, China, Colombia, Croacia, Jamaica, </w:t>
            </w:r>
            <w:proofErr w:type="spellStart"/>
            <w:r w:rsidRPr="002D0A6A">
              <w:rPr>
                <w:color w:val="002060"/>
                <w:sz w:val="16"/>
                <w:szCs w:val="16"/>
                <w:lang w:bidi="th-TH"/>
              </w:rPr>
              <w:t>Kenya</w:t>
            </w:r>
            <w:proofErr w:type="spellEnd"/>
            <w:r w:rsidRPr="002D0A6A">
              <w:rPr>
                <w:color w:val="002060"/>
                <w:sz w:val="16"/>
                <w:szCs w:val="16"/>
                <w:lang w:bidi="th-TH"/>
              </w:rPr>
              <w:t xml:space="preserve">, Malasia, la Rep. Unida de </w:t>
            </w:r>
            <w:proofErr w:type="spellStart"/>
            <w:r w:rsidRPr="002D0A6A">
              <w:rPr>
                <w:color w:val="002060"/>
                <w:sz w:val="16"/>
                <w:szCs w:val="16"/>
                <w:lang w:bidi="th-TH"/>
              </w:rPr>
              <w:t>Tanzanía</w:t>
            </w:r>
            <w:proofErr w:type="spellEnd"/>
            <w:r w:rsidRPr="002D0A6A">
              <w:rPr>
                <w:color w:val="002060"/>
                <w:sz w:val="16"/>
                <w:szCs w:val="16"/>
                <w:lang w:bidi="th-TH"/>
              </w:rPr>
              <w:t xml:space="preserve">, Tailandia, y Trinidad y </w:t>
            </w:r>
            <w:proofErr w:type="spellStart"/>
            <w:r w:rsidRPr="002D0A6A">
              <w:rPr>
                <w:color w:val="002060"/>
                <w:sz w:val="16"/>
                <w:szCs w:val="16"/>
                <w:lang w:bidi="th-TH"/>
              </w:rPr>
              <w:t>Tabago</w:t>
            </w:r>
            <w:proofErr w:type="spellEnd"/>
            <w:r w:rsidRPr="002D0A6A">
              <w:rPr>
                <w:color w:val="002060"/>
                <w:sz w:val="16"/>
                <w:szCs w:val="16"/>
                <w:lang w:bidi="th-TH"/>
              </w:rPr>
              <w:t>.</w:t>
            </w:r>
          </w:p>
          <w:p w:rsidR="00FA423E" w:rsidRPr="002D0A6A" w:rsidRDefault="00FA423E" w:rsidP="00DC1333">
            <w:pPr>
              <w:keepNext/>
              <w:keepLines/>
              <w:rPr>
                <w:sz w:val="8"/>
                <w:szCs w:val="8"/>
                <w:lang w:bidi="th-TH"/>
              </w:rPr>
            </w:pPr>
          </w:p>
          <w:p w:rsidR="00FA423E" w:rsidRPr="002D0A6A" w:rsidRDefault="00FA423E" w:rsidP="00DC1333">
            <w:pPr>
              <w:keepNext/>
              <w:keepLines/>
              <w:rPr>
                <w:sz w:val="16"/>
                <w:szCs w:val="16"/>
                <w:lang w:bidi="th-TH"/>
              </w:rPr>
            </w:pPr>
            <w:r w:rsidRPr="002D0A6A">
              <w:rPr>
                <w:i/>
                <w:sz w:val="16"/>
                <w:szCs w:val="16"/>
                <w:lang w:bidi="th-TH"/>
              </w:rPr>
              <w:t>Referencia original en el presupuesto de 2014/15</w:t>
            </w:r>
            <w:r w:rsidRPr="002D0A6A">
              <w:rPr>
                <w:sz w:val="16"/>
                <w:szCs w:val="16"/>
                <w:lang w:bidi="th-TH"/>
              </w:rPr>
              <w:t>:  ocho gobiernos u ONG que utilizan los estudios de la OMPI</w:t>
            </w:r>
          </w:p>
          <w:p w:rsidR="00FA423E" w:rsidRPr="002D0A6A" w:rsidRDefault="00FA423E" w:rsidP="00DC1333">
            <w:pPr>
              <w:keepNext/>
              <w:keepLines/>
              <w:rPr>
                <w:sz w:val="16"/>
                <w:szCs w:val="16"/>
                <w:lang w:bidi="th-TH"/>
              </w:rPr>
            </w:pPr>
          </w:p>
        </w:tc>
        <w:tc>
          <w:tcPr>
            <w:tcW w:w="821" w:type="pct"/>
            <w:gridSpan w:val="2"/>
            <w:shd w:val="clear" w:color="auto" w:fill="auto"/>
            <w:tcMar>
              <w:top w:w="110" w:type="dxa"/>
            </w:tcMar>
          </w:tcPr>
          <w:p w:rsidR="00FA423E" w:rsidRPr="002D0A6A" w:rsidRDefault="00FA423E" w:rsidP="00DC1333">
            <w:pPr>
              <w:keepNext/>
              <w:keepLines/>
              <w:rPr>
                <w:sz w:val="16"/>
                <w:szCs w:val="16"/>
                <w:lang w:bidi="th-TH"/>
              </w:rPr>
            </w:pPr>
            <w:r w:rsidRPr="002D0A6A">
              <w:rPr>
                <w:sz w:val="16"/>
                <w:szCs w:val="16"/>
                <w:lang w:bidi="th-TH"/>
              </w:rPr>
              <w:t>12 gobiernos u ONG que utilizan los estudios de la OMPI (en total).</w:t>
            </w:r>
          </w:p>
        </w:tc>
        <w:tc>
          <w:tcPr>
            <w:tcW w:w="1046" w:type="pct"/>
            <w:gridSpan w:val="2"/>
            <w:shd w:val="clear" w:color="auto" w:fill="FFFFFF"/>
            <w:tcMar>
              <w:top w:w="110" w:type="dxa"/>
            </w:tcMar>
          </w:tcPr>
          <w:p w:rsidR="00FA423E" w:rsidRPr="002D0A6A" w:rsidRDefault="00FA423E" w:rsidP="00DC1333">
            <w:pPr>
              <w:keepNext/>
              <w:keepLines/>
              <w:rPr>
                <w:sz w:val="16"/>
                <w:szCs w:val="16"/>
                <w:lang w:bidi="th-TH"/>
              </w:rPr>
            </w:pPr>
            <w:r w:rsidRPr="002D0A6A">
              <w:rPr>
                <w:sz w:val="16"/>
                <w:szCs w:val="16"/>
                <w:lang w:bidi="th-TH"/>
              </w:rPr>
              <w:t xml:space="preserve">Otros 13 países y ONG utilizan los estudios de la OMPI (Estados Unidos de América, Filipinas, Finlandia, Indonesia, Letonia, Lituania, Malawi, Países Bajos, República de Corea, República de </w:t>
            </w:r>
            <w:proofErr w:type="spellStart"/>
            <w:r w:rsidRPr="002D0A6A">
              <w:rPr>
                <w:sz w:val="16"/>
                <w:szCs w:val="16"/>
                <w:lang w:bidi="th-TH"/>
              </w:rPr>
              <w:t>Moldova</w:t>
            </w:r>
            <w:proofErr w:type="spellEnd"/>
            <w:r w:rsidRPr="002D0A6A">
              <w:rPr>
                <w:sz w:val="16"/>
                <w:szCs w:val="16"/>
                <w:lang w:bidi="th-TH"/>
              </w:rPr>
              <w:t xml:space="preserve">, Serbia, CERLALC y </w:t>
            </w:r>
            <w:proofErr w:type="spellStart"/>
            <w:r w:rsidRPr="002D0A6A">
              <w:rPr>
                <w:sz w:val="16"/>
                <w:szCs w:val="16"/>
                <w:lang w:bidi="th-TH"/>
              </w:rPr>
              <w:t>Society</w:t>
            </w:r>
            <w:proofErr w:type="spellEnd"/>
            <w:r w:rsidRPr="002D0A6A">
              <w:rPr>
                <w:sz w:val="16"/>
                <w:szCs w:val="16"/>
                <w:lang w:bidi="th-TH"/>
              </w:rPr>
              <w:t xml:space="preserve"> </w:t>
            </w:r>
            <w:proofErr w:type="spellStart"/>
            <w:r w:rsidRPr="002D0A6A">
              <w:rPr>
                <w:sz w:val="16"/>
                <w:szCs w:val="16"/>
                <w:lang w:bidi="th-TH"/>
              </w:rPr>
              <w:t>for</w:t>
            </w:r>
            <w:proofErr w:type="spellEnd"/>
            <w:r w:rsidRPr="002D0A6A">
              <w:rPr>
                <w:sz w:val="16"/>
                <w:szCs w:val="16"/>
                <w:lang w:bidi="th-TH"/>
              </w:rPr>
              <w:t xml:space="preserve"> </w:t>
            </w:r>
            <w:proofErr w:type="spellStart"/>
            <w:r w:rsidRPr="002D0A6A">
              <w:rPr>
                <w:sz w:val="16"/>
                <w:szCs w:val="16"/>
                <w:lang w:bidi="th-TH"/>
              </w:rPr>
              <w:t>Economic</w:t>
            </w:r>
            <w:proofErr w:type="spellEnd"/>
            <w:r w:rsidRPr="002D0A6A">
              <w:rPr>
                <w:sz w:val="16"/>
                <w:szCs w:val="16"/>
                <w:lang w:bidi="th-TH"/>
              </w:rPr>
              <w:t xml:space="preserve"> </w:t>
            </w:r>
            <w:proofErr w:type="spellStart"/>
            <w:r w:rsidRPr="002D0A6A">
              <w:rPr>
                <w:sz w:val="16"/>
                <w:szCs w:val="16"/>
                <w:lang w:bidi="th-TH"/>
              </w:rPr>
              <w:t>Research</w:t>
            </w:r>
            <w:proofErr w:type="spellEnd"/>
            <w:r w:rsidRPr="002D0A6A">
              <w:rPr>
                <w:sz w:val="16"/>
                <w:szCs w:val="16"/>
                <w:lang w:bidi="th-TH"/>
              </w:rPr>
              <w:t xml:space="preserve"> </w:t>
            </w:r>
            <w:proofErr w:type="spellStart"/>
            <w:r w:rsidRPr="002D0A6A">
              <w:rPr>
                <w:sz w:val="16"/>
                <w:szCs w:val="16"/>
                <w:lang w:bidi="th-TH"/>
              </w:rPr>
              <w:t>on</w:t>
            </w:r>
            <w:proofErr w:type="spellEnd"/>
            <w:r w:rsidRPr="002D0A6A">
              <w:rPr>
                <w:sz w:val="16"/>
                <w:szCs w:val="16"/>
                <w:lang w:bidi="th-TH"/>
              </w:rPr>
              <w:t xml:space="preserve"> Copyright </w:t>
            </w:r>
            <w:proofErr w:type="spellStart"/>
            <w:r w:rsidRPr="002D0A6A">
              <w:rPr>
                <w:sz w:val="16"/>
                <w:szCs w:val="16"/>
                <w:lang w:bidi="th-TH"/>
              </w:rPr>
              <w:t>Issues</w:t>
            </w:r>
            <w:proofErr w:type="spellEnd"/>
            <w:r w:rsidRPr="002D0A6A">
              <w:rPr>
                <w:sz w:val="16"/>
                <w:szCs w:val="16"/>
                <w:lang w:bidi="th-TH"/>
              </w:rPr>
              <w:t>)</w:t>
            </w:r>
          </w:p>
          <w:p w:rsidR="00FA423E" w:rsidRPr="002D0A6A" w:rsidRDefault="00FA423E" w:rsidP="00DC1333">
            <w:pPr>
              <w:keepNext/>
              <w:keepLines/>
              <w:rPr>
                <w:sz w:val="16"/>
                <w:szCs w:val="16"/>
                <w:lang w:bidi="th-TH"/>
              </w:rPr>
            </w:pPr>
          </w:p>
          <w:p w:rsidR="00FA423E" w:rsidRPr="002D0A6A" w:rsidRDefault="00FA423E" w:rsidP="00DC1333">
            <w:pPr>
              <w:keepNext/>
              <w:keepLines/>
              <w:rPr>
                <w:sz w:val="16"/>
                <w:szCs w:val="16"/>
                <w:lang w:bidi="th-TH"/>
              </w:rPr>
            </w:pPr>
          </w:p>
          <w:p w:rsidR="00FA423E" w:rsidRPr="002D0A6A" w:rsidRDefault="00FA423E" w:rsidP="00DC1333">
            <w:pPr>
              <w:keepNext/>
              <w:keepLines/>
              <w:rPr>
                <w:sz w:val="16"/>
                <w:szCs w:val="16"/>
                <w:lang w:bidi="th-TH"/>
              </w:rPr>
            </w:pPr>
            <w:r w:rsidRPr="002D0A6A">
              <w:rPr>
                <w:sz w:val="16"/>
                <w:szCs w:val="16"/>
                <w:lang w:bidi="th-TH"/>
              </w:rPr>
              <w:t>23 países y ONG (en total).</w:t>
            </w:r>
          </w:p>
          <w:p w:rsidR="00FA423E" w:rsidRPr="002D0A6A" w:rsidRDefault="00FA423E" w:rsidP="00DC1333">
            <w:pPr>
              <w:keepNext/>
              <w:keepLines/>
              <w:rPr>
                <w:sz w:val="16"/>
                <w:szCs w:val="16"/>
                <w:lang w:bidi="th-TH"/>
              </w:rPr>
            </w:pPr>
          </w:p>
          <w:p w:rsidR="00FA423E" w:rsidRPr="002D0A6A" w:rsidRDefault="00FA423E" w:rsidP="00DC1333">
            <w:pPr>
              <w:keepNext/>
              <w:keepLines/>
              <w:rPr>
                <w:sz w:val="16"/>
                <w:szCs w:val="16"/>
                <w:lang w:bidi="th-TH"/>
              </w:rPr>
            </w:pPr>
          </w:p>
        </w:tc>
        <w:tc>
          <w:tcPr>
            <w:tcW w:w="664" w:type="pct"/>
            <w:gridSpan w:val="3"/>
            <w:shd w:val="clear" w:color="auto" w:fill="auto"/>
            <w:tcMar>
              <w:top w:w="110" w:type="dxa"/>
            </w:tcMar>
          </w:tcPr>
          <w:p w:rsidR="00FA423E" w:rsidRPr="002D0A6A" w:rsidRDefault="00FA423E" w:rsidP="00DC1333">
            <w:pPr>
              <w:keepNext/>
              <w:keepLines/>
              <w:ind w:left="-111"/>
              <w:jc w:val="center"/>
              <w:rPr>
                <w:b/>
                <w:color w:val="00B050"/>
                <w:sz w:val="16"/>
                <w:szCs w:val="16"/>
              </w:rPr>
            </w:pPr>
            <w:r w:rsidRPr="002D0A6A">
              <w:rPr>
                <w:b/>
                <w:bCs/>
                <w:color w:val="00B050"/>
                <w:sz w:val="16"/>
                <w:szCs w:val="16"/>
              </w:rPr>
              <w:t>Plenamente logrado</w:t>
            </w:r>
          </w:p>
        </w:tc>
      </w:tr>
      <w:tr w:rsidR="00FA423E" w:rsidRPr="002D0A6A" w:rsidTr="00DC1333">
        <w:tc>
          <w:tcPr>
            <w:tcW w:w="1201" w:type="pct"/>
            <w:gridSpan w:val="3"/>
            <w:shd w:val="clear" w:color="auto" w:fill="auto"/>
          </w:tcPr>
          <w:p w:rsidR="00FA423E" w:rsidRPr="002D0A6A" w:rsidRDefault="00FA423E" w:rsidP="00DC1333">
            <w:pPr>
              <w:rPr>
                <w:sz w:val="16"/>
                <w:szCs w:val="16"/>
                <w:lang w:bidi="th-TH"/>
              </w:rPr>
            </w:pPr>
            <w:r w:rsidRPr="002D0A6A">
              <w:rPr>
                <w:sz w:val="16"/>
                <w:szCs w:val="16"/>
                <w:lang w:bidi="th-TH"/>
              </w:rPr>
              <w:t xml:space="preserve">Iniciativas nacionales para elaborar nuevas estadísticas sobre las industrias creativas teniendo en cuenta la labor de la OMPI en ese ámbito. </w:t>
            </w:r>
          </w:p>
        </w:tc>
        <w:tc>
          <w:tcPr>
            <w:tcW w:w="1268" w:type="pct"/>
            <w:gridSpan w:val="2"/>
            <w:shd w:val="clear" w:color="auto" w:fill="auto"/>
          </w:tcPr>
          <w:p w:rsidR="00FA423E" w:rsidRPr="002D0A6A" w:rsidRDefault="00FA423E" w:rsidP="00DC1333">
            <w:pPr>
              <w:rPr>
                <w:sz w:val="16"/>
                <w:szCs w:val="16"/>
                <w:lang w:bidi="th-TH"/>
              </w:rPr>
            </w:pPr>
            <w:r w:rsidRPr="002D0A6A">
              <w:rPr>
                <w:sz w:val="16"/>
                <w:szCs w:val="16"/>
                <w:lang w:bidi="th-TH"/>
              </w:rPr>
              <w:t xml:space="preserve">10 iniciativas nacionales (Bulgaria, China, Colombia, Croacia, Jamaica, </w:t>
            </w:r>
            <w:proofErr w:type="spellStart"/>
            <w:r w:rsidRPr="002D0A6A">
              <w:rPr>
                <w:sz w:val="16"/>
                <w:szCs w:val="16"/>
                <w:lang w:bidi="th-TH"/>
              </w:rPr>
              <w:t>Kenya</w:t>
            </w:r>
            <w:proofErr w:type="spellEnd"/>
            <w:r w:rsidRPr="002D0A6A">
              <w:rPr>
                <w:sz w:val="16"/>
                <w:szCs w:val="16"/>
                <w:lang w:bidi="th-TH"/>
              </w:rPr>
              <w:t xml:space="preserve">, Malasia, Tailandia, Trinidad y </w:t>
            </w:r>
            <w:proofErr w:type="spellStart"/>
            <w:r w:rsidRPr="002D0A6A">
              <w:rPr>
                <w:sz w:val="16"/>
                <w:szCs w:val="16"/>
                <w:lang w:bidi="th-TH"/>
              </w:rPr>
              <w:t>Tabago</w:t>
            </w:r>
            <w:proofErr w:type="spellEnd"/>
            <w:r w:rsidRPr="002D0A6A">
              <w:rPr>
                <w:sz w:val="16"/>
                <w:szCs w:val="16"/>
                <w:lang w:bidi="th-TH"/>
              </w:rPr>
              <w:t xml:space="preserve">, R. U. de </w:t>
            </w:r>
            <w:proofErr w:type="spellStart"/>
            <w:r w:rsidRPr="002D0A6A">
              <w:rPr>
                <w:sz w:val="16"/>
                <w:szCs w:val="16"/>
                <w:lang w:bidi="th-TH"/>
              </w:rPr>
              <w:t>Tanzanía</w:t>
            </w:r>
            <w:proofErr w:type="spellEnd"/>
            <w:r w:rsidRPr="002D0A6A">
              <w:rPr>
                <w:sz w:val="16"/>
                <w:szCs w:val="16"/>
                <w:lang w:bidi="th-TH"/>
              </w:rPr>
              <w:t>)</w:t>
            </w:r>
          </w:p>
          <w:p w:rsidR="00FA423E" w:rsidRPr="002D0A6A" w:rsidRDefault="00FA423E" w:rsidP="00DC1333">
            <w:pPr>
              <w:rPr>
                <w:sz w:val="16"/>
                <w:szCs w:val="16"/>
                <w:lang w:bidi="th-TH"/>
              </w:rPr>
            </w:pPr>
          </w:p>
        </w:tc>
        <w:tc>
          <w:tcPr>
            <w:tcW w:w="821" w:type="pct"/>
            <w:gridSpan w:val="2"/>
            <w:shd w:val="clear" w:color="auto" w:fill="auto"/>
            <w:tcMar>
              <w:top w:w="110" w:type="dxa"/>
            </w:tcMar>
          </w:tcPr>
          <w:p w:rsidR="00FA423E" w:rsidRPr="002D0A6A" w:rsidRDefault="00FA423E" w:rsidP="00DC1333">
            <w:pPr>
              <w:pStyle w:val="Default"/>
              <w:rPr>
                <w:color w:val="auto"/>
                <w:sz w:val="16"/>
                <w:szCs w:val="16"/>
                <w:lang w:val="es-ES"/>
              </w:rPr>
            </w:pPr>
            <w:r w:rsidRPr="002D0A6A">
              <w:rPr>
                <w:color w:val="auto"/>
                <w:sz w:val="16"/>
                <w:szCs w:val="16"/>
                <w:lang w:val="es-ES"/>
              </w:rPr>
              <w:t>15 iniciativas nacionales (en total)</w:t>
            </w:r>
          </w:p>
        </w:tc>
        <w:tc>
          <w:tcPr>
            <w:tcW w:w="1046" w:type="pct"/>
            <w:gridSpan w:val="2"/>
            <w:shd w:val="clear" w:color="auto" w:fill="FFFFFF"/>
            <w:tcMar>
              <w:top w:w="110" w:type="dxa"/>
            </w:tcMar>
          </w:tcPr>
          <w:p w:rsidR="00FA423E" w:rsidRPr="002D0A6A" w:rsidRDefault="00FA423E" w:rsidP="00DC1333">
            <w:pPr>
              <w:rPr>
                <w:sz w:val="16"/>
                <w:szCs w:val="16"/>
                <w:lang w:bidi="th-TH"/>
              </w:rPr>
            </w:pPr>
            <w:r w:rsidRPr="002D0A6A">
              <w:rPr>
                <w:sz w:val="16"/>
                <w:szCs w:val="16"/>
                <w:lang w:bidi="th-TH"/>
              </w:rPr>
              <w:t>1 nueva iniciativa nacional (Finlandia) en 2014, la labor en esta ámbito se interrumpió en 2015</w:t>
            </w:r>
          </w:p>
          <w:p w:rsidR="00FA423E" w:rsidRPr="002D0A6A" w:rsidRDefault="00FA423E" w:rsidP="00DC1333">
            <w:pPr>
              <w:rPr>
                <w:sz w:val="16"/>
                <w:szCs w:val="16"/>
                <w:lang w:bidi="th-TH"/>
              </w:rPr>
            </w:pPr>
          </w:p>
          <w:p w:rsidR="00FA423E" w:rsidRPr="002D0A6A" w:rsidRDefault="00FA423E" w:rsidP="00DC1333">
            <w:pPr>
              <w:rPr>
                <w:sz w:val="16"/>
                <w:szCs w:val="16"/>
                <w:lang w:bidi="th-TH"/>
              </w:rPr>
            </w:pPr>
            <w:r w:rsidRPr="002D0A6A">
              <w:rPr>
                <w:sz w:val="16"/>
                <w:szCs w:val="16"/>
                <w:lang w:bidi="th-TH"/>
              </w:rPr>
              <w:t>11 iniciativas nacionales (en total)</w:t>
            </w:r>
          </w:p>
        </w:tc>
        <w:tc>
          <w:tcPr>
            <w:tcW w:w="664" w:type="pct"/>
            <w:gridSpan w:val="3"/>
            <w:shd w:val="clear" w:color="auto" w:fill="auto"/>
          </w:tcPr>
          <w:p w:rsidR="00FA423E" w:rsidRPr="002D0A6A" w:rsidRDefault="007F16A3" w:rsidP="00DC1333">
            <w:pPr>
              <w:jc w:val="center"/>
              <w:rPr>
                <w:b/>
                <w:bCs/>
                <w:sz w:val="13"/>
                <w:szCs w:val="13"/>
              </w:rPr>
            </w:pPr>
            <w:r>
              <w:rPr>
                <w:b/>
                <w:bCs/>
                <w:sz w:val="13"/>
                <w:szCs w:val="13"/>
              </w:rPr>
              <w:t>Discontinuado</w:t>
            </w:r>
          </w:p>
        </w:tc>
      </w:tr>
    </w:tbl>
    <w:p w:rsidR="00FA423E" w:rsidRPr="002D0A6A" w:rsidRDefault="008F7CBE" w:rsidP="00FA423E">
      <w:pPr>
        <w:keepNext/>
        <w:keepLines/>
        <w:rPr>
          <w:color w:val="000000"/>
          <w:szCs w:val="22"/>
        </w:rPr>
      </w:pPr>
      <w:r w:rsidRPr="008F7CBE">
        <w:rPr>
          <w:sz w:val="20"/>
        </w:rPr>
        <w:lastRenderedPageBreak/>
        <w:t>INFORMACIÓN SOBRE LOS RIESGOS PLANTEADOS EN EL BIENIO</w:t>
      </w:r>
    </w:p>
    <w:p w:rsidR="00FA423E" w:rsidRPr="002D0A6A" w:rsidRDefault="00FA423E" w:rsidP="00FA423E">
      <w:pPr>
        <w:rPr>
          <w:color w:val="000000"/>
          <w:szCs w:val="22"/>
        </w:rPr>
      </w:pPr>
    </w:p>
    <w:tbl>
      <w:tblPr>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420"/>
        <w:gridCol w:w="2200"/>
        <w:gridCol w:w="2310"/>
        <w:gridCol w:w="2426"/>
      </w:tblGrid>
      <w:tr w:rsidR="00FA423E" w:rsidRPr="002D0A6A" w:rsidTr="00DC1333">
        <w:trPr>
          <w:trHeight w:val="417"/>
        </w:trPr>
        <w:tc>
          <w:tcPr>
            <w:tcW w:w="2420" w:type="dxa"/>
            <w:tcBorders>
              <w:top w:val="single" w:sz="4" w:space="0" w:color="auto"/>
              <w:left w:val="single" w:sz="4" w:space="0" w:color="auto"/>
              <w:bottom w:val="single" w:sz="4" w:space="0" w:color="auto"/>
              <w:right w:val="nil"/>
            </w:tcBorders>
            <w:shd w:val="clear" w:color="auto" w:fill="C6D9F1" w:themeFill="text2" w:themeFillTint="33"/>
            <w:tcMar>
              <w:top w:w="113" w:type="dxa"/>
              <w:left w:w="108" w:type="dxa"/>
              <w:bottom w:w="113" w:type="dxa"/>
              <w:right w:w="108" w:type="dxa"/>
            </w:tcMar>
            <w:vAlign w:val="center"/>
            <w:hideMark/>
          </w:tcPr>
          <w:p w:rsidR="00FA423E" w:rsidRPr="002D0A6A" w:rsidRDefault="00FA423E" w:rsidP="00DC1333">
            <w:pPr>
              <w:autoSpaceDE w:val="0"/>
              <w:autoSpaceDN w:val="0"/>
              <w:adjustRightInd w:val="0"/>
              <w:spacing w:line="276" w:lineRule="auto"/>
              <w:ind w:right="-59"/>
              <w:jc w:val="center"/>
              <w:rPr>
                <w:rFonts w:eastAsia="Times New Roman"/>
                <w:b/>
                <w:sz w:val="18"/>
                <w:szCs w:val="18"/>
              </w:rPr>
            </w:pPr>
            <w:r w:rsidRPr="002D0A6A">
              <w:rPr>
                <w:b/>
                <w:bCs/>
                <w:iCs/>
                <w:sz w:val="18"/>
                <w:szCs w:val="18"/>
              </w:rPr>
              <w:t>Riesgos en el logro de los resultados del programa</w:t>
            </w:r>
          </w:p>
        </w:tc>
        <w:tc>
          <w:tcPr>
            <w:tcW w:w="2200" w:type="dxa"/>
            <w:tcBorders>
              <w:top w:val="single" w:sz="4" w:space="0" w:color="auto"/>
              <w:left w:val="nil"/>
              <w:bottom w:val="single" w:sz="4" w:space="0" w:color="auto"/>
              <w:right w:val="nil"/>
            </w:tcBorders>
            <w:shd w:val="clear" w:color="auto" w:fill="C6D9F1" w:themeFill="text2" w:themeFillTint="33"/>
            <w:tcMar>
              <w:top w:w="113" w:type="dxa"/>
              <w:left w:w="108" w:type="dxa"/>
              <w:bottom w:w="113" w:type="dxa"/>
              <w:right w:w="108" w:type="dxa"/>
            </w:tcMar>
            <w:vAlign w:val="center"/>
            <w:hideMark/>
          </w:tcPr>
          <w:p w:rsidR="00FA423E" w:rsidRPr="002D0A6A" w:rsidRDefault="00FA423E" w:rsidP="00DC1333">
            <w:pPr>
              <w:autoSpaceDE w:val="0"/>
              <w:autoSpaceDN w:val="0"/>
              <w:adjustRightInd w:val="0"/>
              <w:spacing w:line="276" w:lineRule="auto"/>
              <w:ind w:right="-59"/>
              <w:jc w:val="center"/>
              <w:rPr>
                <w:rFonts w:eastAsia="Times New Roman"/>
                <w:b/>
                <w:sz w:val="18"/>
                <w:szCs w:val="18"/>
              </w:rPr>
            </w:pPr>
            <w:r w:rsidRPr="002D0A6A">
              <w:rPr>
                <w:b/>
                <w:bCs/>
                <w:iCs/>
                <w:sz w:val="18"/>
                <w:szCs w:val="18"/>
              </w:rPr>
              <w:t>Planes de mitigación ejecutados o en ejecución</w:t>
            </w:r>
          </w:p>
        </w:tc>
        <w:tc>
          <w:tcPr>
            <w:tcW w:w="2310" w:type="dxa"/>
            <w:tcBorders>
              <w:top w:val="single" w:sz="4" w:space="0" w:color="auto"/>
              <w:left w:val="nil"/>
              <w:bottom w:val="single" w:sz="4" w:space="0" w:color="auto"/>
              <w:right w:val="nil"/>
            </w:tcBorders>
            <w:shd w:val="clear" w:color="auto" w:fill="C6D9F1" w:themeFill="text2" w:themeFillTint="33"/>
            <w:hideMark/>
          </w:tcPr>
          <w:p w:rsidR="00FA423E" w:rsidRPr="002D0A6A" w:rsidRDefault="00FA423E" w:rsidP="00DC1333">
            <w:pPr>
              <w:spacing w:line="276" w:lineRule="auto"/>
              <w:jc w:val="center"/>
              <w:rPr>
                <w:rFonts w:eastAsia="Times New Roman"/>
                <w:b/>
                <w:bCs/>
                <w:sz w:val="18"/>
                <w:szCs w:val="18"/>
              </w:rPr>
            </w:pPr>
            <w:r w:rsidRPr="002D0A6A">
              <w:rPr>
                <w:b/>
                <w:bCs/>
                <w:iCs/>
                <w:sz w:val="18"/>
                <w:szCs w:val="18"/>
              </w:rPr>
              <w:t>Evolución de los riesgos y estrategias de mitigación durante el bienio</w:t>
            </w:r>
          </w:p>
        </w:tc>
        <w:tc>
          <w:tcPr>
            <w:tcW w:w="2426" w:type="dxa"/>
            <w:tcBorders>
              <w:top w:val="single" w:sz="4" w:space="0" w:color="auto"/>
              <w:left w:val="nil"/>
              <w:bottom w:val="single" w:sz="4" w:space="0" w:color="auto"/>
              <w:right w:val="single" w:sz="4" w:space="0" w:color="auto"/>
            </w:tcBorders>
            <w:shd w:val="clear" w:color="auto" w:fill="C6D9F1" w:themeFill="text2" w:themeFillTint="33"/>
            <w:hideMark/>
          </w:tcPr>
          <w:p w:rsidR="00FA423E" w:rsidRPr="002D0A6A" w:rsidRDefault="00FA423E" w:rsidP="00DC1333">
            <w:pPr>
              <w:spacing w:line="276" w:lineRule="auto"/>
              <w:jc w:val="center"/>
              <w:rPr>
                <w:rFonts w:eastAsia="Times New Roman"/>
                <w:b/>
                <w:bCs/>
                <w:sz w:val="18"/>
                <w:szCs w:val="18"/>
              </w:rPr>
            </w:pPr>
            <w:r w:rsidRPr="002D0A6A">
              <w:rPr>
                <w:b/>
                <w:bCs/>
                <w:sz w:val="18"/>
                <w:szCs w:val="18"/>
              </w:rPr>
              <w:t>Incidencia en el rendimiento del programa</w:t>
            </w:r>
          </w:p>
        </w:tc>
      </w:tr>
      <w:tr w:rsidR="00FA423E" w:rsidRPr="002D0A6A" w:rsidTr="00DC1333">
        <w:trPr>
          <w:trHeight w:val="744"/>
        </w:trPr>
        <w:tc>
          <w:tcPr>
            <w:tcW w:w="2420" w:type="dxa"/>
            <w:tcBorders>
              <w:top w:val="single" w:sz="4" w:space="0" w:color="auto"/>
              <w:left w:val="single" w:sz="4" w:space="0" w:color="auto"/>
              <w:bottom w:val="single" w:sz="4" w:space="0" w:color="auto"/>
              <w:right w:val="nil"/>
            </w:tcBorders>
            <w:tcMar>
              <w:top w:w="113" w:type="dxa"/>
              <w:left w:w="108" w:type="dxa"/>
              <w:bottom w:w="113" w:type="dxa"/>
              <w:right w:w="108" w:type="dxa"/>
            </w:tcMar>
            <w:hideMark/>
          </w:tcPr>
          <w:p w:rsidR="00FA423E" w:rsidRPr="002D0A6A" w:rsidRDefault="00FA423E" w:rsidP="00DC1333">
            <w:pPr>
              <w:tabs>
                <w:tab w:val="left" w:pos="1170"/>
              </w:tabs>
              <w:spacing w:line="276" w:lineRule="auto"/>
              <w:rPr>
                <w:rFonts w:eastAsia="Times New Roman"/>
                <w:sz w:val="16"/>
                <w:szCs w:val="16"/>
              </w:rPr>
            </w:pPr>
            <w:r w:rsidRPr="002D0A6A">
              <w:rPr>
                <w:sz w:val="16"/>
                <w:szCs w:val="16"/>
              </w:rPr>
              <w:t>Tecnología e innovación:  la incapacidad del sistema de derecho de autor para adaptarse a los rápidos cambios tecnológicos y de los medios de comunicación puede menoscabar la pertinencia del sistema de derecho de autor.</w:t>
            </w:r>
          </w:p>
        </w:tc>
        <w:tc>
          <w:tcPr>
            <w:tcW w:w="2200" w:type="dxa"/>
            <w:tcBorders>
              <w:top w:val="single" w:sz="4" w:space="0" w:color="auto"/>
              <w:left w:val="nil"/>
              <w:bottom w:val="single" w:sz="4" w:space="0" w:color="auto"/>
              <w:right w:val="nil"/>
            </w:tcBorders>
            <w:tcMar>
              <w:top w:w="113" w:type="dxa"/>
              <w:left w:w="108" w:type="dxa"/>
              <w:bottom w:w="113" w:type="dxa"/>
              <w:right w:w="108" w:type="dxa"/>
            </w:tcMar>
            <w:hideMark/>
          </w:tcPr>
          <w:p w:rsidR="00FA423E" w:rsidRPr="002D0A6A" w:rsidRDefault="00FA423E" w:rsidP="00DC1333">
            <w:pPr>
              <w:autoSpaceDE w:val="0"/>
              <w:autoSpaceDN w:val="0"/>
              <w:adjustRightInd w:val="0"/>
              <w:spacing w:line="276" w:lineRule="auto"/>
              <w:ind w:right="-59"/>
              <w:rPr>
                <w:rFonts w:eastAsia="Times New Roman"/>
                <w:sz w:val="16"/>
                <w:szCs w:val="16"/>
              </w:rPr>
            </w:pPr>
            <w:r w:rsidRPr="002D0A6A">
              <w:rPr>
                <w:sz w:val="16"/>
                <w:szCs w:val="16"/>
              </w:rPr>
              <w:t>Mantenimiento de las actividades e iniciativas de sensibilización para demostrar la importancia del derecho de autor y confirmar su utilidad y adecuación en el cambiante panorama tecnológico.</w:t>
            </w:r>
          </w:p>
        </w:tc>
        <w:tc>
          <w:tcPr>
            <w:tcW w:w="2310" w:type="dxa"/>
            <w:tcBorders>
              <w:top w:val="single" w:sz="4" w:space="0" w:color="auto"/>
              <w:left w:val="nil"/>
              <w:bottom w:val="single" w:sz="4" w:space="0" w:color="auto"/>
              <w:right w:val="nil"/>
            </w:tcBorders>
          </w:tcPr>
          <w:p w:rsidR="00FA423E" w:rsidRPr="002D0A6A" w:rsidRDefault="00FA423E" w:rsidP="00DC1333">
            <w:pPr>
              <w:autoSpaceDE w:val="0"/>
              <w:autoSpaceDN w:val="0"/>
              <w:adjustRightInd w:val="0"/>
              <w:spacing w:line="276" w:lineRule="auto"/>
              <w:ind w:right="-59"/>
              <w:rPr>
                <w:sz w:val="16"/>
                <w:szCs w:val="16"/>
              </w:rPr>
            </w:pPr>
            <w:r w:rsidRPr="002D0A6A">
              <w:rPr>
                <w:sz w:val="16"/>
                <w:szCs w:val="16"/>
              </w:rPr>
              <w:t>Se mantuvo la rápida evolución tecnológica a medida que las tecnologías evolucionaban y cambiaban;  por lo tanto, el riesgo y las estrategias de mitigación no variaron de forma notable durante el bienio.</w:t>
            </w:r>
          </w:p>
        </w:tc>
        <w:tc>
          <w:tcPr>
            <w:tcW w:w="2426" w:type="dxa"/>
            <w:tcBorders>
              <w:top w:val="single" w:sz="4" w:space="0" w:color="auto"/>
              <w:left w:val="nil"/>
              <w:bottom w:val="single" w:sz="4" w:space="0" w:color="auto"/>
              <w:right w:val="single" w:sz="4" w:space="0" w:color="auto"/>
            </w:tcBorders>
          </w:tcPr>
          <w:p w:rsidR="00FA423E" w:rsidRPr="002D0A6A" w:rsidRDefault="00FA423E" w:rsidP="00DC1333">
            <w:pPr>
              <w:autoSpaceDE w:val="0"/>
              <w:autoSpaceDN w:val="0"/>
              <w:adjustRightInd w:val="0"/>
              <w:spacing w:line="276" w:lineRule="auto"/>
              <w:ind w:right="-59"/>
              <w:rPr>
                <w:rFonts w:eastAsia="Times New Roman"/>
                <w:sz w:val="16"/>
                <w:szCs w:val="16"/>
              </w:rPr>
            </w:pPr>
            <w:r w:rsidRPr="002D0A6A">
              <w:rPr>
                <w:sz w:val="16"/>
                <w:szCs w:val="16"/>
              </w:rPr>
              <w:t>La estrategia de mitigación resultó fructífera en la media en que durante el bienio muchos Estados miembros de la OMPI solicitaron asistencia técnica para demostrar la importancia del sistema de derecho de autor, en especial para las economías nacionales.  El programa dio respuesta a estas solicitudes en la medida de lo posible, teniendo en cuenta las limitaciones prácticas existentes en materia de recursos.  No se produjo ninguna incidencia sustancial en el rendimiento del programa durante el bienio.</w:t>
            </w:r>
          </w:p>
        </w:tc>
      </w:tr>
    </w:tbl>
    <w:p w:rsidR="00FA423E" w:rsidRDefault="00FA423E" w:rsidP="00FA423E">
      <w:pPr>
        <w:rPr>
          <w:color w:val="000000"/>
          <w:sz w:val="20"/>
          <w:szCs w:val="22"/>
        </w:rPr>
      </w:pPr>
    </w:p>
    <w:p w:rsidR="00FA423E" w:rsidRPr="002D0A6A" w:rsidRDefault="00FA423E" w:rsidP="00FA423E">
      <w:pPr>
        <w:rPr>
          <w:color w:val="000000"/>
          <w:sz w:val="20"/>
          <w:szCs w:val="22"/>
        </w:rPr>
      </w:pPr>
    </w:p>
    <w:p w:rsidR="00FA423E" w:rsidRPr="002D0A6A" w:rsidRDefault="00403D2C" w:rsidP="00FA423E">
      <w:pPr>
        <w:rPr>
          <w:b/>
          <w:sz w:val="18"/>
          <w:szCs w:val="18"/>
        </w:rPr>
      </w:pPr>
      <w:r w:rsidRPr="00403D2C">
        <w:rPr>
          <w:color w:val="000000"/>
          <w:sz w:val="20"/>
          <w:szCs w:val="22"/>
        </w:rPr>
        <w:t>UTILIZACIÓN DE LOS RECURSOS</w:t>
      </w:r>
    </w:p>
    <w:p w:rsidR="00FA423E" w:rsidRPr="002D0A6A" w:rsidRDefault="00FA423E" w:rsidP="00FA423E">
      <w:pPr>
        <w:rPr>
          <w:sz w:val="20"/>
        </w:rPr>
      </w:pPr>
    </w:p>
    <w:p w:rsidR="00FA423E" w:rsidRPr="00B75A89" w:rsidRDefault="00FA423E" w:rsidP="00FA423E">
      <w:pPr>
        <w:jc w:val="center"/>
        <w:rPr>
          <w:sz w:val="20"/>
        </w:rPr>
      </w:pPr>
      <w:r w:rsidRPr="00B75A89">
        <w:rPr>
          <w:sz w:val="20"/>
        </w:rPr>
        <w:t>Presupuesto y gastos reales (por resultado)</w:t>
      </w:r>
    </w:p>
    <w:p w:rsidR="00FA423E" w:rsidRPr="00B75A89" w:rsidRDefault="00FA423E" w:rsidP="00FA423E">
      <w:pPr>
        <w:jc w:val="center"/>
        <w:rPr>
          <w:i/>
          <w:iCs/>
          <w:sz w:val="20"/>
        </w:rPr>
      </w:pPr>
      <w:r w:rsidRPr="00B75A89">
        <w:rPr>
          <w:i/>
          <w:iCs/>
          <w:sz w:val="20"/>
        </w:rPr>
        <w:t>(en miles de francos suizos)</w:t>
      </w:r>
    </w:p>
    <w:p w:rsidR="00FA423E" w:rsidRPr="00B75A89" w:rsidRDefault="00FA423E" w:rsidP="00FA423E">
      <w:pPr>
        <w:jc w:val="center"/>
        <w:rPr>
          <w:sz w:val="20"/>
        </w:rPr>
      </w:pPr>
    </w:p>
    <w:p w:rsidR="00FA423E" w:rsidRPr="002D0A6A" w:rsidRDefault="00FA423E" w:rsidP="00FA423E">
      <w:pPr>
        <w:jc w:val="center"/>
        <w:rPr>
          <w:sz w:val="20"/>
        </w:rPr>
      </w:pPr>
      <w:bookmarkStart w:id="64" w:name="Bm3"/>
      <w:bookmarkStart w:id="65" w:name="Punto3"/>
      <w:r>
        <w:rPr>
          <w:noProof/>
          <w:lang w:val="en-US" w:eastAsia="en-US"/>
        </w:rPr>
        <w:drawing>
          <wp:inline distT="0" distB="0" distL="0" distR="0" wp14:anchorId="14CB3951" wp14:editId="53628887">
            <wp:extent cx="5676900" cy="43624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676900" cy="4362450"/>
                    </a:xfrm>
                    <a:prstGeom prst="rect">
                      <a:avLst/>
                    </a:prstGeom>
                    <a:noFill/>
                    <a:ln>
                      <a:noFill/>
                    </a:ln>
                  </pic:spPr>
                </pic:pic>
              </a:graphicData>
            </a:graphic>
          </wp:inline>
        </w:drawing>
      </w:r>
      <w:bookmarkEnd w:id="64"/>
      <w:bookmarkEnd w:id="65"/>
    </w:p>
    <w:p w:rsidR="00FA423E" w:rsidRDefault="00FA423E" w:rsidP="00FA423E">
      <w:pPr>
        <w:rPr>
          <w:sz w:val="20"/>
        </w:rPr>
      </w:pPr>
    </w:p>
    <w:p w:rsidR="00FA423E" w:rsidRPr="002D0A6A" w:rsidRDefault="00FA423E" w:rsidP="00FA423E">
      <w:pPr>
        <w:rPr>
          <w:sz w:val="20"/>
        </w:rPr>
      </w:pPr>
    </w:p>
    <w:p w:rsidR="00FA423E" w:rsidRPr="002D0A6A" w:rsidRDefault="00FA423E" w:rsidP="00FA423E">
      <w:pPr>
        <w:keepNext/>
        <w:jc w:val="center"/>
        <w:rPr>
          <w:sz w:val="20"/>
        </w:rPr>
      </w:pPr>
      <w:r w:rsidRPr="002D0A6A">
        <w:rPr>
          <w:sz w:val="20"/>
        </w:rPr>
        <w:t xml:space="preserve">Presupuesto y gastos reales (de personal y no relativos a personal) </w:t>
      </w:r>
    </w:p>
    <w:p w:rsidR="00FA423E" w:rsidRPr="00B75A89" w:rsidRDefault="00FA423E" w:rsidP="00FA423E">
      <w:pPr>
        <w:keepNext/>
        <w:jc w:val="center"/>
        <w:rPr>
          <w:i/>
          <w:sz w:val="20"/>
        </w:rPr>
      </w:pPr>
      <w:r w:rsidRPr="00B75A89">
        <w:rPr>
          <w:i/>
          <w:sz w:val="20"/>
        </w:rPr>
        <w:t>(en miles de francos suizos)</w:t>
      </w:r>
    </w:p>
    <w:p w:rsidR="00FA423E" w:rsidRPr="002D0A6A" w:rsidRDefault="00FA423E" w:rsidP="00FA423E">
      <w:pPr>
        <w:pStyle w:val="NormalWeb"/>
        <w:keepNext/>
        <w:keepLines/>
        <w:spacing w:before="0" w:beforeAutospacing="0" w:after="0" w:afterAutospacing="0"/>
        <w:jc w:val="center"/>
        <w:rPr>
          <w:lang w:val="es-ES"/>
        </w:rPr>
      </w:pPr>
    </w:p>
    <w:p w:rsidR="00FA423E" w:rsidRPr="002D0A6A" w:rsidRDefault="00FA423E" w:rsidP="00FA423E">
      <w:pPr>
        <w:keepNext/>
        <w:jc w:val="center"/>
        <w:rPr>
          <w:sz w:val="20"/>
        </w:rPr>
      </w:pPr>
      <w:bookmarkStart w:id="66" w:name="Point3"/>
      <w:r>
        <w:rPr>
          <w:noProof/>
          <w:lang w:val="en-US" w:eastAsia="en-US"/>
        </w:rPr>
        <w:drawing>
          <wp:inline distT="0" distB="0" distL="0" distR="0" wp14:anchorId="061C946A" wp14:editId="1176532B">
            <wp:extent cx="5940425" cy="1024977"/>
            <wp:effectExtent l="0" t="0" r="3175" b="381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940425" cy="1024977"/>
                    </a:xfrm>
                    <a:prstGeom prst="rect">
                      <a:avLst/>
                    </a:prstGeom>
                    <a:noFill/>
                    <a:ln>
                      <a:noFill/>
                    </a:ln>
                  </pic:spPr>
                </pic:pic>
              </a:graphicData>
            </a:graphic>
          </wp:inline>
        </w:drawing>
      </w:r>
      <w:bookmarkEnd w:id="66"/>
    </w:p>
    <w:p w:rsidR="00FA423E" w:rsidRPr="00284250" w:rsidRDefault="00FA423E" w:rsidP="00FA423E">
      <w:pPr>
        <w:keepNext/>
        <w:autoSpaceDE w:val="0"/>
        <w:autoSpaceDN w:val="0"/>
        <w:rPr>
          <w:sz w:val="20"/>
        </w:rPr>
      </w:pPr>
    </w:p>
    <w:p w:rsidR="00FA423E" w:rsidRPr="00284250" w:rsidRDefault="00FA423E" w:rsidP="00FA423E">
      <w:pPr>
        <w:autoSpaceDE w:val="0"/>
        <w:autoSpaceDN w:val="0"/>
        <w:rPr>
          <w:sz w:val="20"/>
        </w:rPr>
      </w:pPr>
    </w:p>
    <w:p w:rsidR="00FA423E" w:rsidRPr="002D0A6A" w:rsidRDefault="00403D2C" w:rsidP="00FA423E">
      <w:pPr>
        <w:rPr>
          <w:sz w:val="20"/>
          <w:u w:val="single"/>
        </w:rPr>
      </w:pPr>
      <w:r w:rsidRPr="00403D2C">
        <w:rPr>
          <w:sz w:val="20"/>
        </w:rPr>
        <w:t>A.</w:t>
      </w:r>
      <w:r w:rsidRPr="00403D2C">
        <w:rPr>
          <w:sz w:val="20"/>
        </w:rPr>
        <w:tab/>
      </w:r>
      <w:r w:rsidRPr="00403D2C">
        <w:rPr>
          <w:sz w:val="20"/>
          <w:u w:val="single"/>
        </w:rPr>
        <w:t>Presupuesto final de 2014/15 tras las transferencias</w:t>
      </w:r>
    </w:p>
    <w:p w:rsidR="00FA423E" w:rsidRPr="002D0A6A" w:rsidRDefault="00FA423E" w:rsidP="00FA423E">
      <w:pPr>
        <w:rPr>
          <w:sz w:val="20"/>
          <w:u w:val="single"/>
        </w:rPr>
      </w:pPr>
    </w:p>
    <w:p w:rsidR="00FA423E" w:rsidRPr="002D0A6A" w:rsidRDefault="00FA423E" w:rsidP="00FA423E">
      <w:pPr>
        <w:pStyle w:val="ListParagraph"/>
        <w:numPr>
          <w:ilvl w:val="0"/>
          <w:numId w:val="14"/>
        </w:numPr>
        <w:tabs>
          <w:tab w:val="left" w:pos="0"/>
          <w:tab w:val="left" w:pos="709"/>
        </w:tabs>
        <w:ind w:left="0" w:firstLine="0"/>
        <w:jc w:val="both"/>
        <w:rPr>
          <w:rFonts w:cs="Arial"/>
          <w:lang w:val="es-ES"/>
        </w:rPr>
      </w:pPr>
      <w:r w:rsidRPr="002D0A6A">
        <w:rPr>
          <w:rFonts w:cs="Arial"/>
          <w:lang w:val="es-ES"/>
        </w:rPr>
        <w:t>El trasvase de recursos del resultado previsto I.1 (</w:t>
      </w:r>
      <w:r w:rsidRPr="002D0A6A">
        <w:rPr>
          <w:rFonts w:cs="Arial"/>
          <w:bCs/>
          <w:lang w:val="es-ES"/>
        </w:rPr>
        <w:t>Mejor cooperación entre los Estados miembros</w:t>
      </w:r>
      <w:r w:rsidRPr="002D0A6A">
        <w:rPr>
          <w:rFonts w:cs="Arial"/>
          <w:lang w:val="es-ES"/>
        </w:rPr>
        <w:t>) al resultado previsto I.2 (</w:t>
      </w:r>
      <w:r w:rsidRPr="002D0A6A">
        <w:rPr>
          <w:rFonts w:cs="Arial"/>
          <w:bCs/>
          <w:lang w:val="es-ES"/>
        </w:rPr>
        <w:t>Marcos de P.I. adaptados y equilibrados en el ámbito legislativo, reglamentario y de política)</w:t>
      </w:r>
      <w:r w:rsidRPr="002D0A6A">
        <w:rPr>
          <w:rFonts w:cs="Arial"/>
          <w:lang w:val="es-ES"/>
        </w:rPr>
        <w:t xml:space="preserve"> se debió a que se asignaron recursos adicionales de personal y no relativos a personal a relacionadas con la asistencia para la ratificación y la aplicación de los Tratados de Marrakech y Beijing.</w:t>
      </w:r>
    </w:p>
    <w:p w:rsidR="00FA423E" w:rsidRPr="002D0A6A" w:rsidRDefault="00FA423E" w:rsidP="00FA423E">
      <w:pPr>
        <w:rPr>
          <w:sz w:val="20"/>
        </w:rPr>
      </w:pPr>
    </w:p>
    <w:p w:rsidR="00FA423E" w:rsidRPr="002D0A6A" w:rsidRDefault="00FA423E" w:rsidP="00FA423E">
      <w:pPr>
        <w:pStyle w:val="ListParagraph"/>
        <w:numPr>
          <w:ilvl w:val="0"/>
          <w:numId w:val="14"/>
        </w:numPr>
        <w:tabs>
          <w:tab w:val="left" w:pos="0"/>
          <w:tab w:val="left" w:pos="709"/>
        </w:tabs>
        <w:ind w:left="0" w:firstLine="0"/>
        <w:jc w:val="both"/>
        <w:rPr>
          <w:rFonts w:cs="Arial"/>
          <w:lang w:val="es-ES"/>
        </w:rPr>
      </w:pPr>
      <w:r w:rsidRPr="002D0A6A">
        <w:rPr>
          <w:rFonts w:cs="Arial"/>
          <w:lang w:val="es-ES"/>
        </w:rPr>
        <w:t>El aumento de los recursos en el marco del resultado previsto IV.2 (</w:t>
      </w:r>
      <w:r w:rsidRPr="002D0A6A">
        <w:rPr>
          <w:rFonts w:cs="Arial"/>
          <w:bCs/>
          <w:lang w:val="es-ES"/>
        </w:rPr>
        <w:t xml:space="preserve">Mejora del acceso y uso de información de P.I.) </w:t>
      </w:r>
      <w:r w:rsidRPr="002D0A6A">
        <w:rPr>
          <w:rFonts w:cs="Arial"/>
          <w:lang w:val="es-ES"/>
        </w:rPr>
        <w:t>se debió esencialmente a la mayor prioridad otorgada a las actividades relacionadas con el Consorcio ABC.</w:t>
      </w:r>
    </w:p>
    <w:p w:rsidR="00FA423E" w:rsidRPr="002D0A6A" w:rsidRDefault="00FA423E" w:rsidP="00FA423E">
      <w:pPr>
        <w:rPr>
          <w:sz w:val="20"/>
        </w:rPr>
      </w:pPr>
    </w:p>
    <w:p w:rsidR="00FA423E" w:rsidRPr="002D0A6A" w:rsidRDefault="00FA423E" w:rsidP="00FA423E">
      <w:pPr>
        <w:pStyle w:val="ListParagraph"/>
        <w:numPr>
          <w:ilvl w:val="0"/>
          <w:numId w:val="14"/>
        </w:numPr>
        <w:tabs>
          <w:tab w:val="left" w:pos="0"/>
          <w:tab w:val="left" w:pos="709"/>
        </w:tabs>
        <w:ind w:left="0" w:firstLine="0"/>
        <w:jc w:val="both"/>
        <w:rPr>
          <w:rFonts w:cs="Arial"/>
          <w:lang w:val="es-ES"/>
        </w:rPr>
      </w:pPr>
      <w:r w:rsidRPr="002D0A6A">
        <w:rPr>
          <w:rFonts w:cs="Arial"/>
          <w:lang w:val="es-ES"/>
        </w:rPr>
        <w:t>La disminución de los recursos en el marco del resultado previsto IV.4 (</w:t>
      </w:r>
      <w:r w:rsidRPr="002D0A6A">
        <w:rPr>
          <w:rFonts w:cs="Arial"/>
          <w:bCs/>
          <w:lang w:val="es-ES"/>
        </w:rPr>
        <w:t>Ampliación y mejora del uso de los análisis económicos de la OMPI)</w:t>
      </w:r>
      <w:r w:rsidRPr="002D0A6A">
        <w:rPr>
          <w:rFonts w:cs="Arial"/>
          <w:lang w:val="es-ES"/>
        </w:rPr>
        <w:t xml:space="preserve"> se debió a que determinadas actividades relacionadas con WIPOCOS se transfirieron al programa 15 (</w:t>
      </w:r>
      <w:r w:rsidRPr="002D0A6A">
        <w:rPr>
          <w:szCs w:val="22"/>
          <w:lang w:val="es-ES"/>
        </w:rPr>
        <w:t>Soluciones operativas para las oficinas de P.I.), a fin de consolidar los sistemas de gestión de datos de dicho programa relacionados con los organismos de gestión colectiva</w:t>
      </w:r>
      <w:r w:rsidRPr="002D0A6A">
        <w:rPr>
          <w:rFonts w:cs="Arial"/>
          <w:lang w:val="es-ES"/>
        </w:rPr>
        <w:t>.</w:t>
      </w:r>
    </w:p>
    <w:p w:rsidR="00FA423E" w:rsidRPr="002D0A6A" w:rsidRDefault="00FA423E" w:rsidP="00FA423E">
      <w:pPr>
        <w:tabs>
          <w:tab w:val="left" w:pos="5113"/>
        </w:tabs>
        <w:rPr>
          <w:rFonts w:eastAsiaTheme="minorHAnsi"/>
          <w:sz w:val="20"/>
        </w:rPr>
      </w:pPr>
    </w:p>
    <w:p w:rsidR="00FA423E" w:rsidRPr="002D0A6A" w:rsidRDefault="00403D2C" w:rsidP="00FA423E">
      <w:pPr>
        <w:jc w:val="both"/>
        <w:rPr>
          <w:sz w:val="20"/>
          <w:u w:val="single"/>
          <w:lang w:eastAsia="ko-KR"/>
        </w:rPr>
      </w:pPr>
      <w:r w:rsidRPr="00403D2C">
        <w:rPr>
          <w:sz w:val="20"/>
          <w:lang w:eastAsia="ko-KR"/>
        </w:rPr>
        <w:t>B.</w:t>
      </w:r>
      <w:r w:rsidRPr="00403D2C">
        <w:rPr>
          <w:sz w:val="20"/>
          <w:lang w:eastAsia="ko-KR"/>
        </w:rPr>
        <w:tab/>
      </w:r>
      <w:r w:rsidRPr="00403D2C">
        <w:rPr>
          <w:sz w:val="20"/>
          <w:u w:val="single"/>
          <w:lang w:eastAsia="ko-KR"/>
        </w:rPr>
        <w:t>Utilización del presupuesto en 2014/15</w:t>
      </w:r>
    </w:p>
    <w:p w:rsidR="00FA423E" w:rsidRPr="002D0A6A" w:rsidRDefault="00FA423E" w:rsidP="00FA423E">
      <w:pPr>
        <w:jc w:val="both"/>
        <w:rPr>
          <w:sz w:val="20"/>
          <w:u w:val="single"/>
          <w:lang w:eastAsia="ko-KR"/>
        </w:rPr>
      </w:pPr>
    </w:p>
    <w:p w:rsidR="00FA423E" w:rsidRPr="002D0A6A" w:rsidRDefault="00FA423E" w:rsidP="00FA423E">
      <w:pPr>
        <w:pStyle w:val="ListParagraph"/>
        <w:numPr>
          <w:ilvl w:val="0"/>
          <w:numId w:val="14"/>
        </w:numPr>
        <w:tabs>
          <w:tab w:val="left" w:pos="0"/>
          <w:tab w:val="left" w:pos="709"/>
        </w:tabs>
        <w:ind w:left="0" w:firstLine="0"/>
        <w:jc w:val="both"/>
        <w:rPr>
          <w:rFonts w:cs="Arial"/>
          <w:lang w:val="es-ES" w:eastAsia="ko-KR"/>
        </w:rPr>
      </w:pPr>
      <w:r w:rsidRPr="002D0A6A">
        <w:rPr>
          <w:lang w:val="es-ES" w:eastAsia="zh-CN"/>
        </w:rPr>
        <w:t>La disminución del gasto en el marco del resultado previsto IV.2 (</w:t>
      </w:r>
      <w:r w:rsidRPr="002D0A6A">
        <w:rPr>
          <w:rFonts w:cs="Arial"/>
          <w:bCs/>
          <w:lang w:val="es-ES"/>
        </w:rPr>
        <w:t xml:space="preserve">Mejora del acceso y uso de información de P.I.) se debió principalmente a que se pospusieron algunas actividades del proyecto de la Agenda para el Desarrollo relativo a </w:t>
      </w:r>
      <w:r w:rsidRPr="002D0A6A">
        <w:rPr>
          <w:lang w:val="es-ES" w:eastAsia="zh-CN"/>
        </w:rPr>
        <w:t xml:space="preserve">la utilización del derecho de autor para fomentar el acceso a la información y al contenido creativo.  La ligera disminución del gasto en el marco del resultado previsto I.2 </w:t>
      </w:r>
      <w:r w:rsidRPr="002D0A6A">
        <w:rPr>
          <w:rFonts w:cs="Arial"/>
          <w:lang w:val="es-ES"/>
        </w:rPr>
        <w:t>(</w:t>
      </w:r>
      <w:r w:rsidRPr="002D0A6A">
        <w:rPr>
          <w:rFonts w:cs="Arial"/>
          <w:bCs/>
          <w:lang w:val="es-ES"/>
        </w:rPr>
        <w:t>Marcos de P.I. adaptados y equilibrados en el ámbito legislativo, reglamentario y de política) se debió al aplazamiento de algunas actividades relacionadas con la promoción de los Tratados de Marrakech y Beijing, concretamente en las regiones de África y América Latina.</w:t>
      </w:r>
    </w:p>
    <w:p w:rsidR="00FA423E" w:rsidRDefault="00FA423E" w:rsidP="00FA423E"/>
    <w:p w:rsidR="00FA423E" w:rsidRDefault="00FA423E" w:rsidP="00FA423E"/>
    <w:p w:rsidR="00FA423E" w:rsidRPr="002D0A6A" w:rsidRDefault="00FA423E" w:rsidP="00FA423E"/>
    <w:p w:rsidR="00FA423E" w:rsidRDefault="00FA423E" w:rsidP="00FA423E">
      <w:pPr>
        <w:rPr>
          <w:b/>
          <w:bCs/>
          <w:iCs/>
          <w:caps/>
          <w:szCs w:val="28"/>
        </w:rPr>
      </w:pPr>
      <w:bookmarkStart w:id="67" w:name="_Toc422927405"/>
      <w:r>
        <w:rPr>
          <w:b/>
        </w:rPr>
        <w:br w:type="page"/>
      </w:r>
    </w:p>
    <w:p w:rsidR="00FA423E" w:rsidRPr="00526311" w:rsidRDefault="00FA423E" w:rsidP="00FA423E">
      <w:pPr>
        <w:pStyle w:val="Heading2"/>
        <w:tabs>
          <w:tab w:val="left" w:pos="2410"/>
        </w:tabs>
        <w:ind w:left="2410" w:hanging="2410"/>
        <w:rPr>
          <w:b/>
        </w:rPr>
      </w:pPr>
      <w:bookmarkStart w:id="68" w:name="_Toc455159073"/>
      <w:r w:rsidRPr="00526311">
        <w:rPr>
          <w:b/>
        </w:rPr>
        <w:lastRenderedPageBreak/>
        <w:t>PROGRAMA 4</w:t>
      </w:r>
      <w:r w:rsidRPr="00526311">
        <w:rPr>
          <w:b/>
        </w:rPr>
        <w:tab/>
        <w:t>CONOCIMIENTOS TRADICIONALES, EXPRESIONES CULTURALES TRADICIONALES Y RECURSOS GENÉTICOS</w:t>
      </w:r>
      <w:bookmarkEnd w:id="67"/>
      <w:bookmarkEnd w:id="68"/>
    </w:p>
    <w:p w:rsidR="00FA423E" w:rsidRPr="00526311" w:rsidRDefault="00FA423E" w:rsidP="00FA423E">
      <w:pPr>
        <w:rPr>
          <w:sz w:val="20"/>
        </w:rPr>
      </w:pPr>
    </w:p>
    <w:p w:rsidR="00FA423E" w:rsidRPr="00526311" w:rsidRDefault="00FA423E" w:rsidP="00FA423E">
      <w:pPr>
        <w:tabs>
          <w:tab w:val="left" w:pos="2410"/>
        </w:tabs>
        <w:rPr>
          <w:b/>
          <w:sz w:val="20"/>
        </w:rPr>
      </w:pPr>
      <w:r w:rsidRPr="00526311">
        <w:rPr>
          <w:b/>
          <w:sz w:val="20"/>
        </w:rPr>
        <w:t>Director de programa</w:t>
      </w:r>
      <w:r w:rsidRPr="00526311">
        <w:rPr>
          <w:b/>
          <w:sz w:val="20"/>
        </w:rPr>
        <w:tab/>
        <w:t>Sr. M. A. Getahun</w:t>
      </w:r>
    </w:p>
    <w:p w:rsidR="00FA423E" w:rsidRPr="00526311" w:rsidRDefault="00FA423E" w:rsidP="00FA423E">
      <w:pPr>
        <w:rPr>
          <w:sz w:val="20"/>
        </w:rPr>
      </w:pPr>
    </w:p>
    <w:p w:rsidR="00FA423E" w:rsidRPr="00526311" w:rsidRDefault="00FA423E" w:rsidP="00FA423E">
      <w:pPr>
        <w:rPr>
          <w:sz w:val="20"/>
        </w:rPr>
      </w:pPr>
    </w:p>
    <w:p w:rsidR="00FA423E" w:rsidRPr="00526311" w:rsidRDefault="008F7CBE" w:rsidP="00FA423E">
      <w:pPr>
        <w:rPr>
          <w:bCs/>
          <w:szCs w:val="22"/>
        </w:rPr>
      </w:pPr>
      <w:r w:rsidRPr="008F7CBE">
        <w:rPr>
          <w:bCs/>
          <w:sz w:val="20"/>
          <w:szCs w:val="22"/>
        </w:rPr>
        <w:t>LOGROS ALCANZADOS EN EL BIENIO 2014/15</w:t>
      </w:r>
    </w:p>
    <w:p w:rsidR="00FA423E" w:rsidRPr="00526311" w:rsidRDefault="00FA423E" w:rsidP="00FA423E">
      <w:pPr>
        <w:jc w:val="both"/>
        <w:rPr>
          <w:sz w:val="20"/>
        </w:rPr>
      </w:pPr>
    </w:p>
    <w:p w:rsidR="00FA423E" w:rsidRPr="00526311" w:rsidRDefault="00FA423E" w:rsidP="00FA423E">
      <w:pPr>
        <w:numPr>
          <w:ilvl w:val="0"/>
          <w:numId w:val="15"/>
        </w:numPr>
        <w:jc w:val="both"/>
        <w:rPr>
          <w:sz w:val="20"/>
        </w:rPr>
      </w:pPr>
      <w:r w:rsidRPr="00526311">
        <w:rPr>
          <w:sz w:val="20"/>
        </w:rPr>
        <w:t>El Comité Intergubernamental sobre Propiedad Intelectual y Recursos Genéticos, Conocimientos Tradicionale</w:t>
      </w:r>
      <w:r>
        <w:rPr>
          <w:sz w:val="20"/>
        </w:rPr>
        <w:t xml:space="preserve">s y Folclore de la OMPI (CIG) </w:t>
      </w:r>
      <w:r w:rsidRPr="00526311">
        <w:rPr>
          <w:sz w:val="20"/>
        </w:rPr>
        <w:t xml:space="preserve">se reunió en tres ocasiones </w:t>
      </w:r>
      <w:r>
        <w:rPr>
          <w:sz w:val="20"/>
        </w:rPr>
        <w:t xml:space="preserve">en 2014 </w:t>
      </w:r>
      <w:r w:rsidRPr="00526311">
        <w:rPr>
          <w:sz w:val="20"/>
        </w:rPr>
        <w:t xml:space="preserve">(sesiones </w:t>
      </w:r>
      <w:r>
        <w:rPr>
          <w:sz w:val="20"/>
        </w:rPr>
        <w:t xml:space="preserve">vigésima sexta, vigésima séptima y vigésima octava </w:t>
      </w:r>
      <w:r w:rsidRPr="00526311">
        <w:rPr>
          <w:sz w:val="20"/>
        </w:rPr>
        <w:t>del CIG)</w:t>
      </w:r>
      <w:r>
        <w:rPr>
          <w:sz w:val="20"/>
        </w:rPr>
        <w:t>, de acuerdo con el mandato renovado del Comité para el bienio, que adoptó la Asamblea General de la OMPI en octubre de 2013, y un programa de trabajo acordado para 2014.  En la vigésima sexta sesión del CIG se incluyó una reunión a la que asistieron embajadores y altos funcionarios de las capitales</w:t>
      </w:r>
      <w:r w:rsidRPr="00526311">
        <w:rPr>
          <w:sz w:val="20"/>
        </w:rPr>
        <w:t xml:space="preserve">.  </w:t>
      </w:r>
      <w:r>
        <w:rPr>
          <w:sz w:val="20"/>
        </w:rPr>
        <w:t>Al final de</w:t>
      </w:r>
      <w:r w:rsidRPr="00526311">
        <w:rPr>
          <w:sz w:val="20"/>
        </w:rPr>
        <w:t xml:space="preserve"> la </w:t>
      </w:r>
      <w:r>
        <w:rPr>
          <w:sz w:val="20"/>
        </w:rPr>
        <w:t>vigésima octava sesión del CIG</w:t>
      </w:r>
      <w:r w:rsidRPr="00526311">
        <w:rPr>
          <w:sz w:val="20"/>
        </w:rPr>
        <w:t xml:space="preserve"> el Comité había simplificado más el texto consolidado sobre los recursos genéticos (RR.GG.) y conseguido nuevos avances en lo que atañe a los textos sobre los conocimientos tradicionales (CC.TT.) y las expresiones culturales tradicionales (ECT).  </w:t>
      </w:r>
      <w:r>
        <w:rPr>
          <w:sz w:val="20"/>
        </w:rPr>
        <w:t xml:space="preserve">Los Estados miembros organizaron una reunión entre sesiones que se celebró fuera de Ginebra y que sirvió para dar más impulso al proceso.  </w:t>
      </w:r>
      <w:r w:rsidRPr="00526311">
        <w:rPr>
          <w:sz w:val="20"/>
        </w:rPr>
        <w:t>La Secretaría siguió esforzándose por cumplir una función de apoyo neutral, profesio</w:t>
      </w:r>
      <w:r>
        <w:rPr>
          <w:sz w:val="20"/>
        </w:rPr>
        <w:t xml:space="preserve">nal y eficaz al proceso </w:t>
      </w:r>
      <w:r w:rsidRPr="00526311">
        <w:rPr>
          <w:sz w:val="20"/>
        </w:rPr>
        <w:t xml:space="preserve">y por mejorar los servicios prestados a los participantes en el Comité, tras la evaluación realizada por la División de Supervisión Interna de la OMPI (DSI) en 2013, que determinó que el índice de satisfacción entre los participantes en el CIG era elevado (96%).  Aunque la Secretaría siguió facilitando, en la medida de lo posible, la participación en el CIG de los pueblos indígenas y las comunidades locales, el Fondo </w:t>
      </w:r>
      <w:r>
        <w:rPr>
          <w:sz w:val="20"/>
        </w:rPr>
        <w:t xml:space="preserve">de la OMPI </w:t>
      </w:r>
      <w:r w:rsidRPr="00526311">
        <w:rPr>
          <w:sz w:val="20"/>
        </w:rPr>
        <w:t xml:space="preserve">de Contribuciones Voluntarias para las Comunidades Indígenas y Locales Acreditadas </w:t>
      </w:r>
      <w:r>
        <w:rPr>
          <w:sz w:val="20"/>
        </w:rPr>
        <w:t>siguió careciendo</w:t>
      </w:r>
      <w:r w:rsidRPr="00526311">
        <w:rPr>
          <w:sz w:val="20"/>
        </w:rPr>
        <w:t xml:space="preserve"> de recursos.  En octubre de 2014 la Asamblea Gener</w:t>
      </w:r>
      <w:r>
        <w:rPr>
          <w:sz w:val="20"/>
        </w:rPr>
        <w:t xml:space="preserve">al de la OMPI examinó </w:t>
      </w:r>
      <w:r w:rsidRPr="00526311">
        <w:rPr>
          <w:sz w:val="20"/>
        </w:rPr>
        <w:t xml:space="preserve">los textos y los avances realizados, pero </w:t>
      </w:r>
      <w:r>
        <w:rPr>
          <w:sz w:val="20"/>
        </w:rPr>
        <w:t>no logró llegar</w:t>
      </w:r>
      <w:r w:rsidRPr="00526311">
        <w:rPr>
          <w:sz w:val="20"/>
        </w:rPr>
        <w:t xml:space="preserve"> a un acuerdo sobre el programa de trabajo del CIG para 2015.</w:t>
      </w:r>
      <w:r>
        <w:rPr>
          <w:sz w:val="20"/>
        </w:rPr>
        <w:t xml:space="preserve">  En la Asamblea General de la OMPI celebrada en octubre de 2015 se alcanzó un acuerdo en relación con un mandato renovado para el CIG para el bienio 2016/17.</w:t>
      </w:r>
    </w:p>
    <w:p w:rsidR="00FA423E" w:rsidRPr="00526311" w:rsidRDefault="00FA423E" w:rsidP="00FA423E">
      <w:pPr>
        <w:jc w:val="both"/>
        <w:rPr>
          <w:sz w:val="20"/>
        </w:rPr>
      </w:pPr>
    </w:p>
    <w:p w:rsidR="00FA423E" w:rsidRPr="00526311" w:rsidRDefault="00FA423E" w:rsidP="00FA423E">
      <w:pPr>
        <w:numPr>
          <w:ilvl w:val="0"/>
          <w:numId w:val="15"/>
        </w:numPr>
        <w:jc w:val="both"/>
        <w:rPr>
          <w:rFonts w:eastAsia="MS Mincho"/>
          <w:bCs/>
          <w:sz w:val="20"/>
          <w:lang w:eastAsia="ja-JP" w:bidi="th-TH"/>
        </w:rPr>
      </w:pPr>
      <w:r w:rsidRPr="00526311">
        <w:rPr>
          <w:rFonts w:eastAsia="MS Mincho"/>
          <w:bCs/>
          <w:sz w:val="20"/>
          <w:lang w:eastAsia="ja-JP" w:bidi="th-TH"/>
        </w:rPr>
        <w:t>La conclusión satisfactoria de las negociaciones en el marco del CIG es el objeto de la recomendación 18 de la A.D., en la que se insta al Comité a “agilizar el proceso sobre la protección de RR.GG., CC.TT. y folclore, sin perjuicio de ningún posible resultado, como pueda ser la elaboración de un instrumento o instrumentos de dimensión internacional”.  Las actividades normativas del programa en el marco del CIG se siguieron caracterizando por ser incluyentes, estar orientadas hacia los miembros y basarse en consultas abiertas y equilibradas, en particular con la sociedad civil en su conjunto (recomendaciones 15, 21 y 42), y por tener en cuenta el dominio público (recomendaciones 16 y 20) y las flexibilidades establecidas en los acuerdos internacionales (recomendaciones 14 y 17).  Las negociaciones mantenidas en el CIG facilitaron la incorporación de las cuestiones de desarrollo y contribuyeron a los objetivos de desarrollo de las Naciones Unidas (recomendaciones 12 y 22).</w:t>
      </w:r>
    </w:p>
    <w:p w:rsidR="00FA423E" w:rsidRPr="00526311" w:rsidRDefault="00FA423E" w:rsidP="00FA423E">
      <w:pPr>
        <w:jc w:val="both"/>
        <w:rPr>
          <w:sz w:val="20"/>
        </w:rPr>
      </w:pPr>
    </w:p>
    <w:p w:rsidR="00FA423E" w:rsidRPr="00526311" w:rsidRDefault="00FA423E" w:rsidP="00FA423E">
      <w:pPr>
        <w:numPr>
          <w:ilvl w:val="0"/>
          <w:numId w:val="15"/>
        </w:numPr>
        <w:jc w:val="both"/>
        <w:rPr>
          <w:sz w:val="20"/>
        </w:rPr>
      </w:pPr>
      <w:r w:rsidRPr="00526311">
        <w:rPr>
          <w:sz w:val="20"/>
        </w:rPr>
        <w:t>En relación con el fortalecimiento de capacidades y la sensibilización, se prosiguió la labor relativa a la divulgación entre los pueblos indígenas y las comunidades locales con vistas a familiarizarlos aún más con la P.I. y facilitar su participación efectiva en el proceso del CIG;  la asistencia, previa petición, en relación con el desarrollo de legislación y las polí</w:t>
      </w:r>
      <w:r>
        <w:rPr>
          <w:sz w:val="20"/>
        </w:rPr>
        <w:t xml:space="preserve">ticas nacionales y regionales, </w:t>
      </w:r>
      <w:r w:rsidRPr="00526311">
        <w:rPr>
          <w:sz w:val="20"/>
        </w:rPr>
        <w:t>y la consecución de soluciones prácticas a todos los niveles mediante la mayor comprensión de los probl</w:t>
      </w:r>
      <w:r>
        <w:rPr>
          <w:sz w:val="20"/>
        </w:rPr>
        <w:t>emas y las opciones.  En 2015 la Secretaría organizó</w:t>
      </w:r>
      <w:r w:rsidRPr="00526311">
        <w:rPr>
          <w:sz w:val="20"/>
        </w:rPr>
        <w:t xml:space="preserve"> </w:t>
      </w:r>
      <w:r>
        <w:rPr>
          <w:sz w:val="20"/>
        </w:rPr>
        <w:t xml:space="preserve">en Ginebra dos seminarios internacionales abiertos a todos los Estados miembros y observadores sobre P.I., RR.GG., CC.TT. y ECT.  En los seminarios se intercambiaron experiencias regionales, nacionales y locales, y los países y demás partes interesadas pudieron debatir acerca de cuestiones relativas a las políticas en un ambiente menos formal.  En el transcurso del bienio </w:t>
      </w:r>
      <w:r w:rsidRPr="00526311">
        <w:rPr>
          <w:sz w:val="20"/>
        </w:rPr>
        <w:t>la Secretaría respo</w:t>
      </w:r>
      <w:r>
        <w:rPr>
          <w:sz w:val="20"/>
        </w:rPr>
        <w:t>ndió de forma positiva a algo menos de 8</w:t>
      </w:r>
      <w:r w:rsidRPr="00526311">
        <w:rPr>
          <w:sz w:val="20"/>
        </w:rPr>
        <w:t>0 solicitudes provenientes de Estados miembros, ONG, pueblos indígenas y comunidades locales, asociaciones profesionales y universidades</w:t>
      </w:r>
      <w:r>
        <w:rPr>
          <w:sz w:val="20"/>
        </w:rPr>
        <w:t>,</w:t>
      </w:r>
      <w:r w:rsidRPr="00526311">
        <w:rPr>
          <w:sz w:val="20"/>
        </w:rPr>
        <w:t xml:space="preserve"> para la celebración de </w:t>
      </w:r>
      <w:r>
        <w:rPr>
          <w:sz w:val="20"/>
        </w:rPr>
        <w:t xml:space="preserve">talleres, </w:t>
      </w:r>
      <w:r w:rsidRPr="00526311">
        <w:rPr>
          <w:sz w:val="20"/>
        </w:rPr>
        <w:t>sesiones informativas y</w:t>
      </w:r>
      <w:r>
        <w:rPr>
          <w:sz w:val="20"/>
        </w:rPr>
        <w:t xml:space="preserve"> otro tipo de exposiciones</w:t>
      </w:r>
      <w:r w:rsidRPr="00526311">
        <w:rPr>
          <w:sz w:val="20"/>
        </w:rPr>
        <w:t xml:space="preserve"> en Ginebra o en otros lugares.  </w:t>
      </w:r>
      <w:r>
        <w:rPr>
          <w:sz w:val="20"/>
        </w:rPr>
        <w:t>Seis paí</w:t>
      </w:r>
      <w:r w:rsidRPr="00526311">
        <w:rPr>
          <w:sz w:val="20"/>
        </w:rPr>
        <w:t>s</w:t>
      </w:r>
      <w:r>
        <w:rPr>
          <w:sz w:val="20"/>
        </w:rPr>
        <w:t>es que lo solicitaron recibieron</w:t>
      </w:r>
      <w:r w:rsidRPr="00526311">
        <w:rPr>
          <w:sz w:val="20"/>
        </w:rPr>
        <w:t xml:space="preserve"> asistencia en materia legislativa</w:t>
      </w:r>
      <w:r>
        <w:rPr>
          <w:sz w:val="20"/>
        </w:rPr>
        <w:t xml:space="preserve"> y de política.  En</w:t>
      </w:r>
      <w:r w:rsidRPr="00526311">
        <w:rPr>
          <w:sz w:val="20"/>
        </w:rPr>
        <w:t xml:space="preserve"> 2014 </w:t>
      </w:r>
      <w:r>
        <w:rPr>
          <w:sz w:val="20"/>
        </w:rPr>
        <w:t>y 2015 se organizaron asimismo</w:t>
      </w:r>
      <w:r w:rsidRPr="00526311">
        <w:rPr>
          <w:sz w:val="20"/>
        </w:rPr>
        <w:t xml:space="preserve"> un</w:t>
      </w:r>
      <w:r>
        <w:rPr>
          <w:sz w:val="20"/>
        </w:rPr>
        <w:t>a</w:t>
      </w:r>
      <w:r w:rsidRPr="00526311">
        <w:rPr>
          <w:sz w:val="20"/>
        </w:rPr>
        <w:t xml:space="preserve"> </w:t>
      </w:r>
      <w:r>
        <w:rPr>
          <w:sz w:val="20"/>
        </w:rPr>
        <w:t xml:space="preserve">serie de </w:t>
      </w:r>
      <w:r w:rsidRPr="00526311">
        <w:rPr>
          <w:sz w:val="20"/>
        </w:rPr>
        <w:t>taller</w:t>
      </w:r>
      <w:r>
        <w:rPr>
          <w:sz w:val="20"/>
        </w:rPr>
        <w:t>es</w:t>
      </w:r>
      <w:r w:rsidRPr="00526311">
        <w:rPr>
          <w:sz w:val="20"/>
        </w:rPr>
        <w:t xml:space="preserve"> práctico</w:t>
      </w:r>
      <w:r>
        <w:rPr>
          <w:sz w:val="20"/>
        </w:rPr>
        <w:t>s</w:t>
      </w:r>
      <w:r w:rsidRPr="00526311">
        <w:rPr>
          <w:sz w:val="20"/>
        </w:rPr>
        <w:t xml:space="preserve"> destinado</w:t>
      </w:r>
      <w:r>
        <w:rPr>
          <w:sz w:val="20"/>
        </w:rPr>
        <w:t>s</w:t>
      </w:r>
      <w:r w:rsidRPr="00526311">
        <w:rPr>
          <w:sz w:val="20"/>
        </w:rPr>
        <w:t xml:space="preserve"> a </w:t>
      </w:r>
      <w:r>
        <w:rPr>
          <w:sz w:val="20"/>
        </w:rPr>
        <w:t xml:space="preserve">intercambiar conocimientos, crear entendimiento </w:t>
      </w:r>
      <w:r w:rsidRPr="00942E6E">
        <w:rPr>
          <w:sz w:val="20"/>
        </w:rPr>
        <w:t>y fomentar la coo</w:t>
      </w:r>
      <w:r>
        <w:rPr>
          <w:sz w:val="20"/>
        </w:rPr>
        <w:t>peración.  Se celebraron talleres en Ginebra (diciembre de 2014), Windhoek (Namibia, agosto de 2015), ciudad de Panamá (noviembre de 2015) y Apia (Samoa, diciembre de 2015)</w:t>
      </w:r>
      <w:r w:rsidRPr="00526311">
        <w:rPr>
          <w:sz w:val="20"/>
        </w:rPr>
        <w:t xml:space="preserve">.  La OMPI siguió contribuyendo en calidad de </w:t>
      </w:r>
      <w:r>
        <w:rPr>
          <w:sz w:val="20"/>
        </w:rPr>
        <w:t>a</w:t>
      </w:r>
      <w:r w:rsidRPr="00526311">
        <w:rPr>
          <w:sz w:val="20"/>
        </w:rPr>
        <w:t>soci</w:t>
      </w:r>
      <w:r>
        <w:rPr>
          <w:sz w:val="20"/>
        </w:rPr>
        <w:t>ad</w:t>
      </w:r>
      <w:r w:rsidRPr="00526311">
        <w:rPr>
          <w:sz w:val="20"/>
        </w:rPr>
        <w:t xml:space="preserve">o técnico a diversos proyectos regionales en África, Asia y el Pacífico, y América Latina y el Caribe.  </w:t>
      </w:r>
      <w:r>
        <w:rPr>
          <w:sz w:val="20"/>
        </w:rPr>
        <w:t>Además, siguió facilitando</w:t>
      </w:r>
      <w:r w:rsidRPr="00526311">
        <w:rPr>
          <w:sz w:val="20"/>
        </w:rPr>
        <w:t xml:space="preserve"> una serie de publicacion</w:t>
      </w:r>
      <w:r>
        <w:rPr>
          <w:sz w:val="20"/>
        </w:rPr>
        <w:t>es cortas y accesibles sobre</w:t>
      </w:r>
      <w:r w:rsidRPr="00526311">
        <w:rPr>
          <w:sz w:val="20"/>
        </w:rPr>
        <w:t xml:space="preserve"> cuestiones fundamentales y </w:t>
      </w:r>
      <w:r>
        <w:rPr>
          <w:sz w:val="20"/>
        </w:rPr>
        <w:t xml:space="preserve">en 2014 </w:t>
      </w:r>
      <w:r w:rsidRPr="00526311">
        <w:rPr>
          <w:sz w:val="20"/>
        </w:rPr>
        <w:t xml:space="preserve">publicó una guía práctica sobre la propiedad intelectual y los festivales de </w:t>
      </w:r>
      <w:r w:rsidRPr="00526311">
        <w:rPr>
          <w:sz w:val="20"/>
        </w:rPr>
        <w:lastRenderedPageBreak/>
        <w:t>folclore, artísticos y culturales.</w:t>
      </w:r>
      <w:r w:rsidRPr="00526311">
        <w:rPr>
          <w:rStyle w:val="FootnoteReference"/>
        </w:rPr>
        <w:footnoteReference w:id="17"/>
      </w:r>
      <w:r>
        <w:rPr>
          <w:sz w:val="20"/>
        </w:rPr>
        <w:t xml:space="preserve">  En abril de 2015 se puso en marcha, en cooperación con la Academia de la OMPI, un curso de enseñanza a distancia sobre P.I., CC.TT. y ECT.</w:t>
      </w:r>
    </w:p>
    <w:p w:rsidR="00FA423E" w:rsidRPr="00526311" w:rsidRDefault="00FA423E" w:rsidP="00FA423E">
      <w:pPr>
        <w:jc w:val="both"/>
        <w:rPr>
          <w:sz w:val="20"/>
        </w:rPr>
      </w:pPr>
    </w:p>
    <w:p w:rsidR="00FA423E" w:rsidRPr="00526311" w:rsidRDefault="00FA423E" w:rsidP="00FA423E">
      <w:pPr>
        <w:numPr>
          <w:ilvl w:val="0"/>
          <w:numId w:val="15"/>
        </w:numPr>
        <w:jc w:val="both"/>
        <w:rPr>
          <w:sz w:val="20"/>
        </w:rPr>
      </w:pPr>
      <w:r w:rsidRPr="00526311">
        <w:rPr>
          <w:sz w:val="20"/>
        </w:rPr>
        <w:t>Con el fin de fomentar la cooperación con otros foros y organ</w:t>
      </w:r>
      <w:r>
        <w:rPr>
          <w:sz w:val="20"/>
        </w:rPr>
        <w:t xml:space="preserve">izaciones intergubernamentales </w:t>
      </w:r>
      <w:r w:rsidRPr="00526311">
        <w:rPr>
          <w:sz w:val="20"/>
        </w:rPr>
        <w:t>pertinentes, la Secretaría reforzó su colaboración con la Secretaría del Convenio sobre la Diversidad Biológica (CDB) y el Protocolo de Nagoya sobre Acceso a los Recursos Genéticos y Participación Justa y Equitativa en los Beneficios que se deriven de su Utilización</w:t>
      </w:r>
      <w:r w:rsidRPr="00526311">
        <w:rPr>
          <w:iCs/>
          <w:sz w:val="20"/>
        </w:rPr>
        <w:t xml:space="preserve">, en particular mediante la organización </w:t>
      </w:r>
      <w:r>
        <w:rPr>
          <w:iCs/>
          <w:sz w:val="20"/>
        </w:rPr>
        <w:t xml:space="preserve">conjunta </w:t>
      </w:r>
      <w:r w:rsidRPr="00526311">
        <w:rPr>
          <w:iCs/>
          <w:sz w:val="20"/>
        </w:rPr>
        <w:t xml:space="preserve">de talleres destinados a funcionarios y a representantes de las poblaciones indígenas y comunidades </w:t>
      </w:r>
      <w:r>
        <w:rPr>
          <w:iCs/>
          <w:sz w:val="20"/>
        </w:rPr>
        <w:t xml:space="preserve">locales.  La Secretaría </w:t>
      </w:r>
      <w:r w:rsidRPr="00526311">
        <w:rPr>
          <w:iCs/>
          <w:sz w:val="20"/>
        </w:rPr>
        <w:t>colaboró con el Foro Permanente de las Naciones Unidas para las Cuestiones Indígenas y participó en su</w:t>
      </w:r>
      <w:r>
        <w:rPr>
          <w:iCs/>
          <w:sz w:val="20"/>
        </w:rPr>
        <w:t>s</w:t>
      </w:r>
      <w:r w:rsidRPr="00526311">
        <w:rPr>
          <w:iCs/>
          <w:sz w:val="20"/>
        </w:rPr>
        <w:t xml:space="preserve"> 13º </w:t>
      </w:r>
      <w:r>
        <w:rPr>
          <w:iCs/>
          <w:sz w:val="20"/>
        </w:rPr>
        <w:t xml:space="preserve">y 14º </w:t>
      </w:r>
      <w:r w:rsidRPr="00526311">
        <w:rPr>
          <w:iCs/>
          <w:sz w:val="20"/>
        </w:rPr>
        <w:t>período</w:t>
      </w:r>
      <w:r>
        <w:rPr>
          <w:iCs/>
          <w:sz w:val="20"/>
        </w:rPr>
        <w:t>s</w:t>
      </w:r>
      <w:r w:rsidRPr="00526311">
        <w:rPr>
          <w:iCs/>
          <w:sz w:val="20"/>
        </w:rPr>
        <w:t xml:space="preserve"> de sesiones, </w:t>
      </w:r>
      <w:r>
        <w:rPr>
          <w:iCs/>
          <w:sz w:val="20"/>
        </w:rPr>
        <w:t xml:space="preserve">celebrados en </w:t>
      </w:r>
      <w:r w:rsidRPr="00526311">
        <w:rPr>
          <w:sz w:val="20"/>
        </w:rPr>
        <w:t>2014</w:t>
      </w:r>
      <w:r>
        <w:rPr>
          <w:sz w:val="20"/>
        </w:rPr>
        <w:t xml:space="preserve"> y 2015 respectivamente, así como</w:t>
      </w:r>
      <w:r w:rsidRPr="00526311">
        <w:rPr>
          <w:sz w:val="20"/>
        </w:rPr>
        <w:t xml:space="preserve"> en la Conferencia Mundial sobre Pueblos Indígenas en septiembre de 2014, con miras a potenciar su colaboración con las organizaciones indígenas y comunitarias locales y otras organizaciones de las </w:t>
      </w:r>
      <w:r>
        <w:rPr>
          <w:sz w:val="20"/>
        </w:rPr>
        <w:t>Naciones Unidas</w:t>
      </w:r>
      <w:r w:rsidRPr="00526311">
        <w:rPr>
          <w:sz w:val="20"/>
        </w:rPr>
        <w:t xml:space="preserve">.  A petición de la Secretaría del </w:t>
      </w:r>
      <w:r w:rsidRPr="00526311">
        <w:rPr>
          <w:iCs/>
          <w:sz w:val="20"/>
        </w:rPr>
        <w:t>Foro Permanente</w:t>
      </w:r>
      <w:r w:rsidRPr="00526311">
        <w:rPr>
          <w:sz w:val="20"/>
        </w:rPr>
        <w:t>, la Secretaría de la OMPI proporcionó ayuda</w:t>
      </w:r>
      <w:r>
        <w:rPr>
          <w:sz w:val="20"/>
        </w:rPr>
        <w:t xml:space="preserve"> financiera para la elaboración por un experto indígena</w:t>
      </w:r>
      <w:r w:rsidRPr="00526311">
        <w:rPr>
          <w:sz w:val="20"/>
        </w:rPr>
        <w:t xml:space="preserve"> de un estudio técnico para el Foro</w:t>
      </w:r>
      <w:r>
        <w:rPr>
          <w:sz w:val="20"/>
        </w:rPr>
        <w:t>,</w:t>
      </w:r>
      <w:r w:rsidRPr="00526311">
        <w:rPr>
          <w:sz w:val="20"/>
        </w:rPr>
        <w:t xml:space="preserve"> sobre los proyectos de textos del CIG desde </w:t>
      </w:r>
      <w:r>
        <w:rPr>
          <w:sz w:val="20"/>
        </w:rPr>
        <w:t>l</w:t>
      </w:r>
      <w:r w:rsidRPr="00526311">
        <w:rPr>
          <w:sz w:val="20"/>
        </w:rPr>
        <w:t xml:space="preserve">a perspectiva de </w:t>
      </w:r>
      <w:r>
        <w:rPr>
          <w:sz w:val="20"/>
        </w:rPr>
        <w:t xml:space="preserve">los </w:t>
      </w:r>
      <w:r w:rsidRPr="00526311">
        <w:rPr>
          <w:sz w:val="20"/>
        </w:rPr>
        <w:t>derechos humanos.</w:t>
      </w:r>
    </w:p>
    <w:p w:rsidR="00FA423E" w:rsidRPr="00526311" w:rsidRDefault="00FA423E" w:rsidP="00FA423E">
      <w:pPr>
        <w:jc w:val="both"/>
        <w:rPr>
          <w:sz w:val="20"/>
        </w:rPr>
      </w:pPr>
    </w:p>
    <w:p w:rsidR="00FA423E" w:rsidRPr="00526311" w:rsidRDefault="00FA423E" w:rsidP="00FA423E">
      <w:pPr>
        <w:numPr>
          <w:ilvl w:val="0"/>
          <w:numId w:val="15"/>
        </w:numPr>
        <w:jc w:val="both"/>
        <w:rPr>
          <w:rFonts w:eastAsia="MS Mincho"/>
          <w:bCs/>
          <w:sz w:val="20"/>
          <w:lang w:eastAsia="ja-JP" w:bidi="th-TH"/>
        </w:rPr>
      </w:pPr>
      <w:r w:rsidRPr="00526311">
        <w:rPr>
          <w:rFonts w:eastAsia="MS Mincho"/>
          <w:bCs/>
          <w:sz w:val="20"/>
          <w:lang w:eastAsia="ja-JP" w:bidi="th-TH"/>
        </w:rPr>
        <w:t>Las actividades del programa en materia de asistencia técnica, fortalecimiento de capacidad</w:t>
      </w:r>
      <w:r>
        <w:rPr>
          <w:rFonts w:eastAsia="MS Mincho"/>
          <w:bCs/>
          <w:sz w:val="20"/>
          <w:lang w:eastAsia="ja-JP" w:bidi="th-TH"/>
        </w:rPr>
        <w:t>es</w:t>
      </w:r>
      <w:r w:rsidRPr="00526311">
        <w:rPr>
          <w:rFonts w:eastAsia="MS Mincho"/>
          <w:bCs/>
          <w:sz w:val="20"/>
          <w:lang w:eastAsia="ja-JP" w:bidi="th-TH"/>
        </w:rPr>
        <w:t xml:space="preserve"> y asistencia legislativa contribuyeron directamente al desarrollo y a la aplicación de otras recomendaciones de la A.D., en particular velando por que la asistencia técnica esté orientada a potenciar el desarrollo y obedezca a una demanda (recomendaciones 1 y 12), prestando asesoramiento legislativo y de política respecto de textos normativos nacionales (recomendaciones 11, 13 y 14), potenciando la sensibilización acerca de la P.I. en relación con los CC.TT., los RR.GG. y las ECT (recomendación 3) e intensificando la cooperación en cuestiones relacionadas con la P.I. con los organismos de las Naciones Unidas (recomendación 40).</w:t>
      </w:r>
    </w:p>
    <w:p w:rsidR="00FA423E" w:rsidRPr="00D72FB9" w:rsidRDefault="00FA423E" w:rsidP="00FA423E">
      <w:pPr>
        <w:jc w:val="both"/>
        <w:rPr>
          <w:sz w:val="20"/>
        </w:rPr>
      </w:pPr>
    </w:p>
    <w:p w:rsidR="00FA423E" w:rsidRPr="00D72FB9" w:rsidRDefault="00FA423E" w:rsidP="00FA423E">
      <w:pPr>
        <w:rPr>
          <w:b/>
          <w:sz w:val="20"/>
        </w:rPr>
      </w:pPr>
    </w:p>
    <w:p w:rsidR="00FA423E" w:rsidRPr="00526311" w:rsidRDefault="008F7CBE" w:rsidP="00FA423E">
      <w:pPr>
        <w:rPr>
          <w:szCs w:val="22"/>
        </w:rPr>
      </w:pPr>
      <w:r w:rsidRPr="008F7CBE">
        <w:rPr>
          <w:sz w:val="20"/>
          <w:szCs w:val="22"/>
        </w:rPr>
        <w:t>DATOS SOBRE EL RENDIMIENTO</w:t>
      </w:r>
    </w:p>
    <w:p w:rsidR="00FA423E" w:rsidRPr="00526311" w:rsidRDefault="00FA423E" w:rsidP="00FA423E">
      <w:pPr>
        <w:rPr>
          <w:sz w:val="20"/>
        </w:rPr>
      </w:pPr>
    </w:p>
    <w:tbl>
      <w:tblPr>
        <w:tblW w:w="4890"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17"/>
        <w:gridCol w:w="2419"/>
        <w:gridCol w:w="1134"/>
        <w:gridCol w:w="285"/>
        <w:gridCol w:w="1984"/>
        <w:gridCol w:w="1421"/>
      </w:tblGrid>
      <w:tr w:rsidR="00FA423E" w:rsidRPr="00526311" w:rsidTr="00DC1333">
        <w:trPr>
          <w:cantSplit/>
          <w:trHeight w:val="758"/>
        </w:trPr>
        <w:tc>
          <w:tcPr>
            <w:tcW w:w="5000" w:type="pct"/>
            <w:gridSpan w:val="6"/>
            <w:tcBorders>
              <w:top w:val="single" w:sz="4" w:space="0" w:color="auto"/>
              <w:bottom w:val="nil"/>
            </w:tcBorders>
            <w:shd w:val="clear" w:color="auto" w:fill="C6D9F1" w:themeFill="text2" w:themeFillTint="33"/>
            <w:vAlign w:val="center"/>
          </w:tcPr>
          <w:p w:rsidR="00FA423E" w:rsidRPr="00526311" w:rsidRDefault="00FA423E" w:rsidP="00DC1333">
            <w:pPr>
              <w:keepNext/>
              <w:keepLines/>
              <w:tabs>
                <w:tab w:val="left" w:pos="1452"/>
              </w:tabs>
              <w:ind w:left="2019" w:hanging="2019"/>
              <w:rPr>
                <w:b/>
                <w:bCs/>
                <w:sz w:val="16"/>
                <w:szCs w:val="16"/>
              </w:rPr>
            </w:pPr>
            <w:r w:rsidRPr="00526311">
              <w:rPr>
                <w:b/>
                <w:bCs/>
                <w:sz w:val="16"/>
                <w:szCs w:val="16"/>
              </w:rPr>
              <w:t>Resultado previsto:</w:t>
            </w:r>
            <w:r w:rsidRPr="00526311">
              <w:rPr>
                <w:bCs/>
                <w:sz w:val="16"/>
                <w:szCs w:val="16"/>
              </w:rPr>
              <w:tab/>
              <w:t>I.1 Mejor cooperación entre los Estados miembros en lo que atañe a la elaboración de marcos normativos internacionales equilibrados para la P.I. y fomento de acuerdos sobre las cuestiones específicas respecto de las que se acuerdan instrumentos internacionales</w:t>
            </w:r>
          </w:p>
        </w:tc>
      </w:tr>
      <w:tr w:rsidR="00FA423E" w:rsidRPr="00526311" w:rsidTr="00DC1333">
        <w:trPr>
          <w:cantSplit/>
        </w:trPr>
        <w:tc>
          <w:tcPr>
            <w:tcW w:w="1131" w:type="pct"/>
            <w:tcBorders>
              <w:top w:val="single" w:sz="4" w:space="0" w:color="auto"/>
              <w:bottom w:val="nil"/>
            </w:tcBorders>
            <w:vAlign w:val="center"/>
          </w:tcPr>
          <w:p w:rsidR="00FA423E" w:rsidRPr="00526311" w:rsidRDefault="00FA423E" w:rsidP="00DC1333">
            <w:pPr>
              <w:rPr>
                <w:sz w:val="16"/>
                <w:szCs w:val="16"/>
              </w:rPr>
            </w:pPr>
            <w:r w:rsidRPr="00526311">
              <w:rPr>
                <w:b/>
                <w:sz w:val="16"/>
                <w:szCs w:val="16"/>
              </w:rPr>
              <w:t>Indicadores de rendimiento</w:t>
            </w:r>
          </w:p>
        </w:tc>
        <w:tc>
          <w:tcPr>
            <w:tcW w:w="1292" w:type="pct"/>
            <w:tcBorders>
              <w:top w:val="single" w:sz="4" w:space="0" w:color="auto"/>
              <w:bottom w:val="nil"/>
            </w:tcBorders>
            <w:shd w:val="clear" w:color="auto" w:fill="auto"/>
            <w:vAlign w:val="center"/>
          </w:tcPr>
          <w:p w:rsidR="00FA423E" w:rsidRPr="00526311" w:rsidRDefault="00FA423E" w:rsidP="00DC1333">
            <w:pPr>
              <w:rPr>
                <w:b/>
                <w:bCs/>
                <w:sz w:val="16"/>
                <w:szCs w:val="16"/>
              </w:rPr>
            </w:pPr>
            <w:r w:rsidRPr="00526311">
              <w:rPr>
                <w:b/>
                <w:bCs/>
                <w:sz w:val="16"/>
                <w:szCs w:val="16"/>
              </w:rPr>
              <w:t>Referencia</w:t>
            </w:r>
          </w:p>
        </w:tc>
        <w:tc>
          <w:tcPr>
            <w:tcW w:w="758" w:type="pct"/>
            <w:gridSpan w:val="2"/>
            <w:tcBorders>
              <w:top w:val="single" w:sz="4" w:space="0" w:color="auto"/>
              <w:bottom w:val="nil"/>
            </w:tcBorders>
            <w:tcMar>
              <w:top w:w="110" w:type="dxa"/>
            </w:tcMar>
            <w:vAlign w:val="center"/>
          </w:tcPr>
          <w:p w:rsidR="00FA423E" w:rsidRPr="00526311" w:rsidRDefault="00FA423E" w:rsidP="00DC1333">
            <w:pPr>
              <w:rPr>
                <w:b/>
                <w:sz w:val="16"/>
                <w:szCs w:val="16"/>
              </w:rPr>
            </w:pPr>
            <w:r w:rsidRPr="00526311">
              <w:rPr>
                <w:b/>
                <w:sz w:val="16"/>
                <w:szCs w:val="16"/>
              </w:rPr>
              <w:t>Objetivos</w:t>
            </w:r>
          </w:p>
        </w:tc>
        <w:tc>
          <w:tcPr>
            <w:tcW w:w="1060" w:type="pct"/>
            <w:tcBorders>
              <w:top w:val="single" w:sz="4" w:space="0" w:color="auto"/>
              <w:bottom w:val="nil"/>
            </w:tcBorders>
            <w:shd w:val="clear" w:color="auto" w:fill="FFFFFF"/>
            <w:tcMar>
              <w:top w:w="110" w:type="dxa"/>
            </w:tcMar>
            <w:vAlign w:val="center"/>
          </w:tcPr>
          <w:p w:rsidR="00FA423E" w:rsidRPr="00526311" w:rsidRDefault="00FA423E" w:rsidP="00DC1333">
            <w:pPr>
              <w:ind w:right="-179"/>
              <w:rPr>
                <w:sz w:val="16"/>
                <w:szCs w:val="16"/>
              </w:rPr>
            </w:pPr>
            <w:r w:rsidRPr="00526311">
              <w:rPr>
                <w:b/>
                <w:sz w:val="16"/>
                <w:szCs w:val="16"/>
              </w:rPr>
              <w:t>Datos sobre el rendimiento</w:t>
            </w:r>
          </w:p>
        </w:tc>
        <w:tc>
          <w:tcPr>
            <w:tcW w:w="759" w:type="pct"/>
            <w:tcBorders>
              <w:top w:val="single" w:sz="4" w:space="0" w:color="auto"/>
              <w:bottom w:val="nil"/>
            </w:tcBorders>
            <w:tcMar>
              <w:top w:w="110" w:type="dxa"/>
            </w:tcMar>
            <w:vAlign w:val="center"/>
          </w:tcPr>
          <w:p w:rsidR="00FA423E" w:rsidRPr="00526311" w:rsidRDefault="00FA423E" w:rsidP="00DC1333">
            <w:pPr>
              <w:keepNext/>
              <w:keepLines/>
              <w:ind w:left="-136"/>
              <w:jc w:val="center"/>
              <w:rPr>
                <w:b/>
                <w:bCs/>
                <w:sz w:val="16"/>
                <w:szCs w:val="16"/>
              </w:rPr>
            </w:pPr>
            <w:r w:rsidRPr="00526311">
              <w:rPr>
                <w:b/>
                <w:bCs/>
                <w:sz w:val="16"/>
                <w:szCs w:val="16"/>
              </w:rPr>
              <w:t>Clave de colores</w:t>
            </w:r>
          </w:p>
        </w:tc>
      </w:tr>
      <w:tr w:rsidR="00FA423E" w:rsidRPr="00526311" w:rsidTr="00DC1333">
        <w:trPr>
          <w:cantSplit/>
        </w:trPr>
        <w:tc>
          <w:tcPr>
            <w:tcW w:w="1131" w:type="pct"/>
            <w:tcBorders>
              <w:top w:val="nil"/>
              <w:bottom w:val="single" w:sz="4" w:space="0" w:color="auto"/>
            </w:tcBorders>
          </w:tcPr>
          <w:p w:rsidR="00FA423E" w:rsidRPr="00526311" w:rsidRDefault="00FA423E" w:rsidP="00DC1333">
            <w:pPr>
              <w:rPr>
                <w:sz w:val="16"/>
                <w:szCs w:val="16"/>
              </w:rPr>
            </w:pPr>
            <w:r w:rsidRPr="00526311">
              <w:rPr>
                <w:sz w:val="16"/>
                <w:szCs w:val="16"/>
              </w:rPr>
              <w:t>Acuerdo en las negociaciones del CIG sobre uno o varios instrumentos jurídicos internacionales relativos a los CC.TT., ECT y RR.GG.</w:t>
            </w:r>
          </w:p>
        </w:tc>
        <w:tc>
          <w:tcPr>
            <w:tcW w:w="1292" w:type="pct"/>
            <w:tcBorders>
              <w:top w:val="nil"/>
              <w:bottom w:val="single" w:sz="4" w:space="0" w:color="auto"/>
            </w:tcBorders>
            <w:shd w:val="clear" w:color="auto" w:fill="auto"/>
          </w:tcPr>
          <w:p w:rsidR="00FA423E" w:rsidRPr="00526311" w:rsidRDefault="00FA423E" w:rsidP="00DC1333">
            <w:pPr>
              <w:rPr>
                <w:i/>
                <w:color w:val="002060"/>
                <w:sz w:val="16"/>
                <w:szCs w:val="16"/>
              </w:rPr>
            </w:pPr>
            <w:r w:rsidRPr="00526311">
              <w:rPr>
                <w:i/>
                <w:color w:val="002060"/>
                <w:sz w:val="16"/>
                <w:szCs w:val="16"/>
              </w:rPr>
              <w:t>Referencia actualizada a fines de 2013:  La Asamblea General de la OMPI celebrada en octubre de 2013 acordó un mandato renovado para el CIG para 2014/15 y un programa de trabajo para 2014</w:t>
            </w:r>
          </w:p>
          <w:p w:rsidR="00FA423E" w:rsidRPr="00526311" w:rsidRDefault="00FA423E" w:rsidP="00DC1333">
            <w:pPr>
              <w:rPr>
                <w:i/>
                <w:color w:val="002060"/>
                <w:sz w:val="8"/>
                <w:szCs w:val="8"/>
              </w:rPr>
            </w:pPr>
          </w:p>
          <w:p w:rsidR="00FA423E" w:rsidRPr="00526311" w:rsidRDefault="00FA423E" w:rsidP="00DC1333">
            <w:pPr>
              <w:rPr>
                <w:sz w:val="16"/>
                <w:szCs w:val="16"/>
              </w:rPr>
            </w:pPr>
            <w:r w:rsidRPr="00526311">
              <w:rPr>
                <w:i/>
                <w:sz w:val="16"/>
                <w:szCs w:val="16"/>
              </w:rPr>
              <w:t>Referencia original en el presupuesto de 2014/15:</w:t>
            </w:r>
            <w:r>
              <w:rPr>
                <w:i/>
                <w:sz w:val="16"/>
                <w:szCs w:val="16"/>
              </w:rPr>
              <w:t xml:space="preserve">  </w:t>
            </w:r>
          </w:p>
          <w:p w:rsidR="00FA423E" w:rsidRPr="00526311" w:rsidRDefault="00FA423E" w:rsidP="00DC1333">
            <w:pPr>
              <w:rPr>
                <w:sz w:val="16"/>
                <w:szCs w:val="16"/>
              </w:rPr>
            </w:pPr>
            <w:r w:rsidRPr="00526311">
              <w:rPr>
                <w:sz w:val="16"/>
                <w:szCs w:val="16"/>
              </w:rPr>
              <w:t>Negociaciones en curso en el marco del mandato del CIG correspondiente a 2012-2013 y programa de trabajo de 2013</w:t>
            </w:r>
          </w:p>
          <w:p w:rsidR="00FA423E" w:rsidRPr="00526311" w:rsidRDefault="00FA423E" w:rsidP="00DC1333">
            <w:pPr>
              <w:rPr>
                <w:sz w:val="16"/>
                <w:szCs w:val="16"/>
              </w:rPr>
            </w:pPr>
          </w:p>
        </w:tc>
        <w:tc>
          <w:tcPr>
            <w:tcW w:w="758" w:type="pct"/>
            <w:gridSpan w:val="2"/>
            <w:tcBorders>
              <w:top w:val="nil"/>
              <w:bottom w:val="single" w:sz="4" w:space="0" w:color="auto"/>
            </w:tcBorders>
            <w:tcMar>
              <w:top w:w="110" w:type="dxa"/>
            </w:tcMar>
          </w:tcPr>
          <w:p w:rsidR="00FA423E" w:rsidRPr="00526311" w:rsidRDefault="00FA423E" w:rsidP="00DC1333">
            <w:pPr>
              <w:autoSpaceDE w:val="0"/>
              <w:autoSpaceDN w:val="0"/>
              <w:adjustRightInd w:val="0"/>
              <w:rPr>
                <w:sz w:val="16"/>
                <w:szCs w:val="16"/>
              </w:rPr>
            </w:pPr>
            <w:r w:rsidRPr="00526311">
              <w:rPr>
                <w:sz w:val="16"/>
                <w:szCs w:val="16"/>
              </w:rPr>
              <w:t>Adopción de uno o varios instrumentos internacionales en una conferencia diplomática</w:t>
            </w:r>
          </w:p>
        </w:tc>
        <w:tc>
          <w:tcPr>
            <w:tcW w:w="1060" w:type="pct"/>
            <w:tcBorders>
              <w:top w:val="nil"/>
              <w:bottom w:val="single" w:sz="4" w:space="0" w:color="auto"/>
            </w:tcBorders>
            <w:shd w:val="clear" w:color="auto" w:fill="FFFFFF"/>
            <w:tcMar>
              <w:top w:w="110" w:type="dxa"/>
            </w:tcMar>
          </w:tcPr>
          <w:p w:rsidR="00FA423E" w:rsidRPr="00526311" w:rsidRDefault="00FA423E" w:rsidP="00DC1333">
            <w:pPr>
              <w:ind w:right="-89"/>
              <w:rPr>
                <w:sz w:val="16"/>
                <w:szCs w:val="16"/>
              </w:rPr>
            </w:pPr>
            <w:r w:rsidRPr="00526311">
              <w:rPr>
                <w:sz w:val="16"/>
                <w:szCs w:val="16"/>
                <w:lang w:bidi="th-TH"/>
              </w:rPr>
              <w:t>Tras tres sesiones adicionales en 2014, el CIG logró avanzar en sus negociaciones basadas en textos, conforme al mandato recibido. La Asamblea General de la OMPI, celebrada en octubre de 2014, no llegó a un acuerdo sobre el programa de trabajo del CIG para 2015</w:t>
            </w:r>
            <w:r>
              <w:rPr>
                <w:sz w:val="16"/>
                <w:szCs w:val="16"/>
                <w:lang w:bidi="th-TH"/>
              </w:rPr>
              <w:t xml:space="preserve">.  </w:t>
            </w:r>
            <w:r w:rsidRPr="00843D70">
              <w:rPr>
                <w:sz w:val="16"/>
                <w:szCs w:val="16"/>
                <w:lang w:bidi="th-TH"/>
              </w:rPr>
              <w:t xml:space="preserve">En la Asamblea </w:t>
            </w:r>
            <w:r>
              <w:rPr>
                <w:sz w:val="16"/>
                <w:szCs w:val="16"/>
                <w:lang w:bidi="th-TH"/>
              </w:rPr>
              <w:t>G</w:t>
            </w:r>
            <w:r w:rsidRPr="00843D70">
              <w:rPr>
                <w:sz w:val="16"/>
                <w:szCs w:val="16"/>
                <w:lang w:bidi="th-TH"/>
              </w:rPr>
              <w:t xml:space="preserve">eneral de la OMPI </w:t>
            </w:r>
            <w:r>
              <w:rPr>
                <w:sz w:val="16"/>
                <w:szCs w:val="16"/>
                <w:lang w:bidi="th-TH"/>
              </w:rPr>
              <w:t xml:space="preserve">celebrada en </w:t>
            </w:r>
            <w:r w:rsidRPr="00843D70">
              <w:rPr>
                <w:sz w:val="16"/>
                <w:szCs w:val="16"/>
                <w:lang w:bidi="th-TH"/>
              </w:rPr>
              <w:t xml:space="preserve">octubre de 2015 </w:t>
            </w:r>
            <w:r>
              <w:rPr>
                <w:sz w:val="16"/>
                <w:szCs w:val="16"/>
                <w:lang w:bidi="th-TH"/>
              </w:rPr>
              <w:t xml:space="preserve">se </w:t>
            </w:r>
            <w:r w:rsidRPr="00843D70">
              <w:rPr>
                <w:sz w:val="16"/>
                <w:szCs w:val="16"/>
                <w:lang w:bidi="th-TH"/>
              </w:rPr>
              <w:t>alcanzó un acuerdo en relación con un mandato renovado para el CIG para el bienio 2016/17.</w:t>
            </w:r>
          </w:p>
        </w:tc>
        <w:tc>
          <w:tcPr>
            <w:tcW w:w="759" w:type="pct"/>
            <w:tcBorders>
              <w:top w:val="nil"/>
              <w:bottom w:val="single" w:sz="4" w:space="0" w:color="auto"/>
            </w:tcBorders>
            <w:tcMar>
              <w:top w:w="110" w:type="dxa"/>
            </w:tcMar>
          </w:tcPr>
          <w:p w:rsidR="00FA423E" w:rsidRPr="00526311" w:rsidRDefault="00FA423E" w:rsidP="00DC1333">
            <w:pPr>
              <w:keepNext/>
              <w:keepLines/>
              <w:ind w:left="-136"/>
              <w:jc w:val="center"/>
              <w:rPr>
                <w:b/>
                <w:bCs/>
                <w:color w:val="FF0000"/>
                <w:sz w:val="16"/>
                <w:szCs w:val="16"/>
              </w:rPr>
            </w:pPr>
            <w:r>
              <w:rPr>
                <w:b/>
                <w:bCs/>
                <w:color w:val="FF0000"/>
                <w:sz w:val="16"/>
                <w:szCs w:val="16"/>
              </w:rPr>
              <w:t>No logrado</w:t>
            </w:r>
          </w:p>
        </w:tc>
      </w:tr>
      <w:tr w:rsidR="00FA423E" w:rsidRPr="00526311" w:rsidTr="00DC1333">
        <w:trPr>
          <w:cantSplit/>
          <w:trHeight w:val="563"/>
        </w:trPr>
        <w:tc>
          <w:tcPr>
            <w:tcW w:w="5000" w:type="pct"/>
            <w:gridSpan w:val="6"/>
            <w:tcBorders>
              <w:top w:val="single" w:sz="4" w:space="0" w:color="auto"/>
              <w:bottom w:val="single" w:sz="4" w:space="0" w:color="auto"/>
            </w:tcBorders>
            <w:shd w:val="clear" w:color="auto" w:fill="C6D9F1" w:themeFill="text2" w:themeFillTint="33"/>
            <w:vAlign w:val="center"/>
          </w:tcPr>
          <w:p w:rsidR="00FA423E" w:rsidRPr="00526311" w:rsidRDefault="00FA423E" w:rsidP="00DC1333">
            <w:pPr>
              <w:keepNext/>
              <w:keepLines/>
              <w:tabs>
                <w:tab w:val="left" w:pos="1452"/>
              </w:tabs>
              <w:ind w:left="2019" w:hanging="2019"/>
              <w:rPr>
                <w:b/>
                <w:bCs/>
                <w:sz w:val="16"/>
                <w:szCs w:val="16"/>
              </w:rPr>
            </w:pPr>
            <w:r w:rsidRPr="00526311">
              <w:rPr>
                <w:b/>
                <w:bCs/>
                <w:sz w:val="16"/>
                <w:szCs w:val="16"/>
              </w:rPr>
              <w:lastRenderedPageBreak/>
              <w:t>Resultado previsto:</w:t>
            </w:r>
            <w:r w:rsidRPr="00526311">
              <w:rPr>
                <w:bCs/>
                <w:sz w:val="16"/>
                <w:szCs w:val="16"/>
              </w:rPr>
              <w:tab/>
              <w:t>III.2 Aumento de las capacidades en recursos humanos para hacer frente a la gran diversidad de exigencias que supone la utilización eficaz de la P.I. para fomentar el desarrollo en los países en desarrollo, PMA y países con economías en transición</w:t>
            </w:r>
          </w:p>
        </w:tc>
      </w:tr>
      <w:tr w:rsidR="00FA423E" w:rsidRPr="00526311" w:rsidTr="00DC1333">
        <w:trPr>
          <w:cantSplit/>
        </w:trPr>
        <w:tc>
          <w:tcPr>
            <w:tcW w:w="1131" w:type="pct"/>
            <w:tcBorders>
              <w:top w:val="single" w:sz="4" w:space="0" w:color="auto"/>
              <w:bottom w:val="nil"/>
            </w:tcBorders>
            <w:vAlign w:val="center"/>
          </w:tcPr>
          <w:p w:rsidR="00FA423E" w:rsidRPr="00526311" w:rsidRDefault="00FA423E" w:rsidP="00DC1333">
            <w:pPr>
              <w:keepNext/>
              <w:keepLines/>
              <w:rPr>
                <w:sz w:val="16"/>
                <w:szCs w:val="16"/>
              </w:rPr>
            </w:pPr>
            <w:r w:rsidRPr="00526311">
              <w:rPr>
                <w:b/>
                <w:sz w:val="16"/>
                <w:szCs w:val="16"/>
              </w:rPr>
              <w:t>Indicadores de rendimiento</w:t>
            </w:r>
          </w:p>
        </w:tc>
        <w:tc>
          <w:tcPr>
            <w:tcW w:w="1292" w:type="pct"/>
            <w:tcBorders>
              <w:top w:val="single" w:sz="4" w:space="0" w:color="auto"/>
              <w:bottom w:val="nil"/>
            </w:tcBorders>
            <w:shd w:val="clear" w:color="auto" w:fill="auto"/>
            <w:vAlign w:val="center"/>
          </w:tcPr>
          <w:p w:rsidR="00FA423E" w:rsidRPr="00526311" w:rsidRDefault="00FA423E" w:rsidP="00DC1333">
            <w:pPr>
              <w:keepNext/>
              <w:keepLines/>
              <w:rPr>
                <w:b/>
                <w:bCs/>
                <w:sz w:val="16"/>
                <w:szCs w:val="16"/>
              </w:rPr>
            </w:pPr>
            <w:r w:rsidRPr="00526311">
              <w:rPr>
                <w:b/>
                <w:bCs/>
                <w:sz w:val="16"/>
                <w:szCs w:val="16"/>
              </w:rPr>
              <w:t>Referencia</w:t>
            </w:r>
          </w:p>
        </w:tc>
        <w:tc>
          <w:tcPr>
            <w:tcW w:w="606" w:type="pct"/>
            <w:tcBorders>
              <w:top w:val="single" w:sz="4" w:space="0" w:color="auto"/>
              <w:bottom w:val="nil"/>
            </w:tcBorders>
            <w:tcMar>
              <w:top w:w="110" w:type="dxa"/>
            </w:tcMar>
            <w:vAlign w:val="center"/>
          </w:tcPr>
          <w:p w:rsidR="00FA423E" w:rsidRPr="00526311" w:rsidRDefault="00FA423E" w:rsidP="00DC1333">
            <w:pPr>
              <w:keepNext/>
              <w:keepLines/>
              <w:rPr>
                <w:b/>
                <w:sz w:val="16"/>
                <w:szCs w:val="16"/>
              </w:rPr>
            </w:pPr>
            <w:r w:rsidRPr="00526311">
              <w:rPr>
                <w:b/>
                <w:sz w:val="16"/>
                <w:szCs w:val="16"/>
              </w:rPr>
              <w:t>Objetivos</w:t>
            </w:r>
          </w:p>
        </w:tc>
        <w:tc>
          <w:tcPr>
            <w:tcW w:w="1212" w:type="pct"/>
            <w:gridSpan w:val="2"/>
            <w:tcBorders>
              <w:top w:val="single" w:sz="4" w:space="0" w:color="auto"/>
              <w:bottom w:val="nil"/>
            </w:tcBorders>
            <w:shd w:val="clear" w:color="auto" w:fill="FFFFFF"/>
            <w:tcMar>
              <w:top w:w="110" w:type="dxa"/>
            </w:tcMar>
            <w:vAlign w:val="center"/>
          </w:tcPr>
          <w:p w:rsidR="00FA423E" w:rsidRPr="00526311" w:rsidRDefault="00FA423E" w:rsidP="00DC1333">
            <w:pPr>
              <w:keepNext/>
              <w:keepLines/>
              <w:rPr>
                <w:sz w:val="16"/>
                <w:szCs w:val="16"/>
              </w:rPr>
            </w:pPr>
            <w:r w:rsidRPr="00526311">
              <w:rPr>
                <w:b/>
                <w:sz w:val="16"/>
                <w:szCs w:val="16"/>
              </w:rPr>
              <w:t>Datos sobre el rendimiento</w:t>
            </w:r>
          </w:p>
        </w:tc>
        <w:tc>
          <w:tcPr>
            <w:tcW w:w="759" w:type="pct"/>
            <w:tcBorders>
              <w:top w:val="single" w:sz="4" w:space="0" w:color="auto"/>
              <w:bottom w:val="nil"/>
            </w:tcBorders>
            <w:tcMar>
              <w:top w:w="110" w:type="dxa"/>
            </w:tcMar>
            <w:vAlign w:val="center"/>
          </w:tcPr>
          <w:p w:rsidR="00FA423E" w:rsidRPr="00526311" w:rsidRDefault="00FA423E" w:rsidP="00DC1333">
            <w:pPr>
              <w:keepNext/>
              <w:keepLines/>
              <w:ind w:left="-136"/>
              <w:jc w:val="center"/>
              <w:rPr>
                <w:b/>
                <w:bCs/>
                <w:sz w:val="16"/>
                <w:szCs w:val="16"/>
              </w:rPr>
            </w:pPr>
            <w:r w:rsidRPr="00526311">
              <w:rPr>
                <w:b/>
                <w:bCs/>
                <w:sz w:val="16"/>
                <w:szCs w:val="16"/>
              </w:rPr>
              <w:t>Clave de colores</w:t>
            </w:r>
          </w:p>
        </w:tc>
      </w:tr>
      <w:tr w:rsidR="00FA423E" w:rsidRPr="00526311" w:rsidTr="00DC1333">
        <w:trPr>
          <w:cantSplit/>
        </w:trPr>
        <w:tc>
          <w:tcPr>
            <w:tcW w:w="1131" w:type="pct"/>
            <w:tcBorders>
              <w:top w:val="nil"/>
              <w:bottom w:val="single" w:sz="4" w:space="0" w:color="auto"/>
            </w:tcBorders>
            <w:shd w:val="clear" w:color="auto" w:fill="FFFFFF"/>
          </w:tcPr>
          <w:p w:rsidR="00FA423E" w:rsidRPr="00526311" w:rsidRDefault="00FA423E" w:rsidP="00DC1333">
            <w:pPr>
              <w:rPr>
                <w:sz w:val="16"/>
                <w:szCs w:val="16"/>
                <w:lang w:bidi="th-TH"/>
              </w:rPr>
            </w:pPr>
            <w:r w:rsidRPr="00526311">
              <w:rPr>
                <w:sz w:val="16"/>
                <w:szCs w:val="16"/>
                <w:lang w:bidi="th-TH"/>
              </w:rPr>
              <w:t>Porcentaje de participantes en actividades de la OMPI que afirman haber fomentado la capacidad de comprender y utilizar principios, sistemas y herramientas de P.I. para la protección de los CC.TT. y las ECT, y para la gestión de la relación existente entre la P.I. y los RR.GG.</w:t>
            </w:r>
          </w:p>
        </w:tc>
        <w:tc>
          <w:tcPr>
            <w:tcW w:w="1292" w:type="pct"/>
            <w:tcBorders>
              <w:top w:val="nil"/>
              <w:bottom w:val="single" w:sz="4" w:space="0" w:color="auto"/>
            </w:tcBorders>
            <w:shd w:val="clear" w:color="auto" w:fill="auto"/>
          </w:tcPr>
          <w:p w:rsidR="00FA423E" w:rsidRPr="00526311" w:rsidRDefault="00FA423E" w:rsidP="00DC1333">
            <w:pPr>
              <w:rPr>
                <w:color w:val="002060"/>
                <w:sz w:val="16"/>
                <w:szCs w:val="16"/>
              </w:rPr>
            </w:pPr>
            <w:r w:rsidRPr="00526311">
              <w:rPr>
                <w:i/>
                <w:color w:val="002060"/>
                <w:sz w:val="16"/>
                <w:szCs w:val="16"/>
              </w:rPr>
              <w:t xml:space="preserve">Referencia actualizada a fines de 2013:  </w:t>
            </w:r>
            <w:r w:rsidRPr="00526311">
              <w:rPr>
                <w:color w:val="002060"/>
                <w:sz w:val="16"/>
                <w:szCs w:val="16"/>
              </w:rPr>
              <w:t>el</w:t>
            </w:r>
            <w:r w:rsidRPr="00526311">
              <w:rPr>
                <w:i/>
                <w:color w:val="002060"/>
                <w:sz w:val="16"/>
                <w:szCs w:val="16"/>
              </w:rPr>
              <w:t xml:space="preserve"> </w:t>
            </w:r>
            <w:r>
              <w:rPr>
                <w:color w:val="002060"/>
                <w:sz w:val="16"/>
                <w:szCs w:val="16"/>
              </w:rPr>
              <w:t xml:space="preserve">95% (79 de 83) de los </w:t>
            </w:r>
            <w:r w:rsidRPr="00526311">
              <w:rPr>
                <w:color w:val="002060"/>
                <w:sz w:val="16"/>
                <w:szCs w:val="16"/>
              </w:rPr>
              <w:t xml:space="preserve">participantes han respondido positivamente (cuestionario </w:t>
            </w:r>
            <w:r>
              <w:rPr>
                <w:color w:val="002060"/>
                <w:sz w:val="16"/>
                <w:szCs w:val="16"/>
              </w:rPr>
              <w:t>de evaluación utilizado en 5</w:t>
            </w:r>
            <w:r w:rsidRPr="00526311">
              <w:rPr>
                <w:color w:val="002060"/>
                <w:sz w:val="16"/>
                <w:szCs w:val="16"/>
              </w:rPr>
              <w:t xml:space="preserve"> actividades organizadas por la División de CC.TT. en 2012/13)</w:t>
            </w:r>
          </w:p>
          <w:p w:rsidR="00FA423E" w:rsidRPr="00526311" w:rsidRDefault="00FA423E" w:rsidP="00DC1333">
            <w:pPr>
              <w:rPr>
                <w:i/>
                <w:color w:val="002060"/>
                <w:sz w:val="8"/>
                <w:szCs w:val="8"/>
              </w:rPr>
            </w:pPr>
          </w:p>
          <w:p w:rsidR="00FA423E" w:rsidRPr="00526311" w:rsidRDefault="00FA423E" w:rsidP="00DC1333">
            <w:pPr>
              <w:rPr>
                <w:sz w:val="16"/>
                <w:szCs w:val="16"/>
              </w:rPr>
            </w:pPr>
            <w:r w:rsidRPr="00526311">
              <w:rPr>
                <w:i/>
                <w:sz w:val="16"/>
                <w:szCs w:val="16"/>
              </w:rPr>
              <w:t>Referencia original en el presupuesto de 2014/15:</w:t>
            </w:r>
            <w:r>
              <w:rPr>
                <w:i/>
                <w:sz w:val="16"/>
                <w:szCs w:val="16"/>
              </w:rPr>
              <w:t xml:space="preserve">  </w:t>
            </w:r>
          </w:p>
          <w:p w:rsidR="00FA423E" w:rsidRPr="00526311" w:rsidRDefault="00FA423E" w:rsidP="00DC1333">
            <w:pPr>
              <w:rPr>
                <w:sz w:val="16"/>
                <w:szCs w:val="16"/>
                <w:lang w:bidi="th-TH"/>
              </w:rPr>
            </w:pPr>
            <w:r w:rsidRPr="00526311">
              <w:rPr>
                <w:sz w:val="16"/>
                <w:szCs w:val="16"/>
                <w:lang w:bidi="th-TH"/>
              </w:rPr>
              <w:t>Aún no está disponible.</w:t>
            </w:r>
          </w:p>
        </w:tc>
        <w:tc>
          <w:tcPr>
            <w:tcW w:w="606" w:type="pct"/>
            <w:tcBorders>
              <w:top w:val="nil"/>
              <w:bottom w:val="single" w:sz="4" w:space="0" w:color="auto"/>
            </w:tcBorders>
            <w:tcMar>
              <w:top w:w="110" w:type="dxa"/>
            </w:tcMar>
          </w:tcPr>
          <w:p w:rsidR="00FA423E" w:rsidRPr="00526311" w:rsidRDefault="00FA423E" w:rsidP="00DC1333">
            <w:pPr>
              <w:rPr>
                <w:sz w:val="16"/>
                <w:szCs w:val="16"/>
                <w:lang w:bidi="th-TH"/>
              </w:rPr>
            </w:pPr>
            <w:r w:rsidRPr="00526311">
              <w:rPr>
                <w:sz w:val="16"/>
                <w:szCs w:val="16"/>
              </w:rPr>
              <w:t>80%</w:t>
            </w:r>
          </w:p>
        </w:tc>
        <w:tc>
          <w:tcPr>
            <w:tcW w:w="1212" w:type="pct"/>
            <w:gridSpan w:val="2"/>
            <w:tcBorders>
              <w:top w:val="nil"/>
              <w:bottom w:val="single" w:sz="4" w:space="0" w:color="auto"/>
            </w:tcBorders>
            <w:shd w:val="clear" w:color="auto" w:fill="FFFFFF"/>
            <w:tcMar>
              <w:top w:w="110" w:type="dxa"/>
            </w:tcMar>
          </w:tcPr>
          <w:p w:rsidR="00FA423E" w:rsidRPr="00526311" w:rsidRDefault="00FA423E" w:rsidP="00DC1333">
            <w:pPr>
              <w:ind w:right="-89"/>
              <w:rPr>
                <w:sz w:val="16"/>
                <w:szCs w:val="16"/>
                <w:lang w:bidi="th-TH"/>
              </w:rPr>
            </w:pPr>
            <w:r>
              <w:rPr>
                <w:sz w:val="16"/>
                <w:szCs w:val="16"/>
                <w:lang w:bidi="th-TH"/>
              </w:rPr>
              <w:t>El 92% (</w:t>
            </w:r>
            <w:r w:rsidRPr="00526311">
              <w:rPr>
                <w:sz w:val="16"/>
                <w:szCs w:val="16"/>
                <w:lang w:bidi="th-TH"/>
              </w:rPr>
              <w:t>3</w:t>
            </w:r>
            <w:r>
              <w:rPr>
                <w:sz w:val="16"/>
                <w:szCs w:val="16"/>
                <w:lang w:bidi="th-TH"/>
              </w:rPr>
              <w:t>70 de 3</w:t>
            </w:r>
            <w:r w:rsidRPr="00526311">
              <w:rPr>
                <w:sz w:val="16"/>
                <w:szCs w:val="16"/>
                <w:lang w:bidi="th-TH"/>
              </w:rPr>
              <w:t>9</w:t>
            </w:r>
            <w:r>
              <w:rPr>
                <w:sz w:val="16"/>
                <w:szCs w:val="16"/>
                <w:lang w:bidi="th-TH"/>
              </w:rPr>
              <w:t>8</w:t>
            </w:r>
            <w:r w:rsidRPr="00526311">
              <w:rPr>
                <w:sz w:val="16"/>
                <w:szCs w:val="16"/>
                <w:lang w:bidi="th-TH"/>
              </w:rPr>
              <w:t>) de los participantes han respondido positivamente (cuestionario</w:t>
            </w:r>
            <w:r>
              <w:rPr>
                <w:sz w:val="16"/>
                <w:szCs w:val="16"/>
                <w:lang w:bidi="th-TH"/>
              </w:rPr>
              <w:t xml:space="preserve"> de evaluación utilizado en 15</w:t>
            </w:r>
            <w:r w:rsidRPr="00526311">
              <w:rPr>
                <w:sz w:val="16"/>
                <w:szCs w:val="16"/>
                <w:lang w:bidi="th-TH"/>
              </w:rPr>
              <w:t xml:space="preserve"> actividades organizadas por la División de CC.TT. en 2014</w:t>
            </w:r>
            <w:r>
              <w:rPr>
                <w:sz w:val="16"/>
                <w:szCs w:val="16"/>
                <w:lang w:bidi="th-TH"/>
              </w:rPr>
              <w:t>/15</w:t>
            </w:r>
            <w:r w:rsidRPr="00526311">
              <w:rPr>
                <w:sz w:val="16"/>
                <w:szCs w:val="16"/>
                <w:lang w:bidi="th-TH"/>
              </w:rPr>
              <w:t>)</w:t>
            </w:r>
          </w:p>
        </w:tc>
        <w:tc>
          <w:tcPr>
            <w:tcW w:w="759" w:type="pct"/>
            <w:tcBorders>
              <w:top w:val="nil"/>
              <w:bottom w:val="single" w:sz="4" w:space="0" w:color="auto"/>
            </w:tcBorders>
            <w:tcMar>
              <w:top w:w="110" w:type="dxa"/>
            </w:tcMar>
          </w:tcPr>
          <w:p w:rsidR="00FA423E" w:rsidRPr="00526311" w:rsidRDefault="00FA423E" w:rsidP="00DC1333">
            <w:pPr>
              <w:keepNext/>
              <w:keepLines/>
              <w:ind w:left="-136"/>
              <w:jc w:val="center"/>
              <w:rPr>
                <w:b/>
                <w:bCs/>
                <w:color w:val="00B050"/>
                <w:sz w:val="16"/>
                <w:szCs w:val="16"/>
              </w:rPr>
            </w:pPr>
            <w:r>
              <w:rPr>
                <w:b/>
                <w:bCs/>
                <w:color w:val="00B050"/>
                <w:sz w:val="16"/>
                <w:szCs w:val="16"/>
              </w:rPr>
              <w:t>Plenamente logrado</w:t>
            </w:r>
          </w:p>
        </w:tc>
      </w:tr>
    </w:tbl>
    <w:p w:rsidR="00FA423E" w:rsidRDefault="00FA423E" w:rsidP="00FA423E">
      <w:pPr>
        <w:rPr>
          <w:color w:val="000000"/>
          <w:szCs w:val="22"/>
        </w:rPr>
      </w:pPr>
    </w:p>
    <w:p w:rsidR="00FA423E" w:rsidRPr="00526311" w:rsidRDefault="00FA423E" w:rsidP="00FA423E"/>
    <w:p w:rsidR="00FA423E" w:rsidRDefault="008F7CBE" w:rsidP="00FA423E">
      <w:pPr>
        <w:keepNext/>
        <w:keepLines/>
        <w:rPr>
          <w:color w:val="000000"/>
          <w:szCs w:val="22"/>
        </w:rPr>
      </w:pPr>
      <w:r w:rsidRPr="008F7CBE">
        <w:rPr>
          <w:color w:val="000000"/>
          <w:sz w:val="20"/>
          <w:szCs w:val="22"/>
        </w:rPr>
        <w:t>INFORMACIÓN SOBRE LOS RIESGOS PLANTEADOS EN EL BIENIO</w:t>
      </w:r>
    </w:p>
    <w:p w:rsidR="00FA423E" w:rsidRDefault="00FA423E" w:rsidP="00FA423E">
      <w:pPr>
        <w:rPr>
          <w:color w:val="000000"/>
          <w:szCs w:val="22"/>
        </w:rPr>
      </w:pPr>
    </w:p>
    <w:tbl>
      <w:tblPr>
        <w:tblW w:w="9498"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420"/>
        <w:gridCol w:w="2200"/>
        <w:gridCol w:w="2310"/>
        <w:gridCol w:w="2568"/>
      </w:tblGrid>
      <w:tr w:rsidR="00FA423E" w:rsidRPr="00A76445" w:rsidTr="00DC1333">
        <w:trPr>
          <w:trHeight w:val="458"/>
        </w:trPr>
        <w:tc>
          <w:tcPr>
            <w:tcW w:w="2420" w:type="dxa"/>
            <w:tcBorders>
              <w:top w:val="single" w:sz="4" w:space="0" w:color="auto"/>
              <w:bottom w:val="single" w:sz="4" w:space="0" w:color="auto"/>
            </w:tcBorders>
            <w:shd w:val="clear" w:color="auto" w:fill="C6D9F1" w:themeFill="text2" w:themeFillTint="33"/>
            <w:tcMar>
              <w:top w:w="113" w:type="dxa"/>
            </w:tcMar>
            <w:vAlign w:val="center"/>
          </w:tcPr>
          <w:p w:rsidR="00FA423E" w:rsidRPr="00A76445" w:rsidRDefault="00FA423E" w:rsidP="00DC1333">
            <w:pPr>
              <w:keepNext/>
              <w:keepLines/>
              <w:autoSpaceDE w:val="0"/>
              <w:autoSpaceDN w:val="0"/>
              <w:adjustRightInd w:val="0"/>
              <w:ind w:right="-59"/>
              <w:jc w:val="center"/>
              <w:rPr>
                <w:b/>
                <w:bCs/>
                <w:iCs/>
                <w:sz w:val="18"/>
                <w:szCs w:val="18"/>
              </w:rPr>
            </w:pPr>
            <w:r w:rsidRPr="003454A6">
              <w:rPr>
                <w:b/>
                <w:sz w:val="18"/>
                <w:szCs w:val="18"/>
              </w:rPr>
              <w:t>Riesgos en el logro de los resultados del programa</w:t>
            </w:r>
          </w:p>
        </w:tc>
        <w:tc>
          <w:tcPr>
            <w:tcW w:w="2200" w:type="dxa"/>
            <w:tcBorders>
              <w:top w:val="single" w:sz="4" w:space="0" w:color="auto"/>
              <w:bottom w:val="single" w:sz="4" w:space="0" w:color="auto"/>
            </w:tcBorders>
            <w:shd w:val="clear" w:color="auto" w:fill="C6D9F1" w:themeFill="text2" w:themeFillTint="33"/>
            <w:tcMar>
              <w:top w:w="113" w:type="dxa"/>
            </w:tcMar>
            <w:vAlign w:val="center"/>
          </w:tcPr>
          <w:p w:rsidR="00FA423E" w:rsidRPr="00A76445" w:rsidRDefault="00FA423E" w:rsidP="00DC1333">
            <w:pPr>
              <w:keepNext/>
              <w:keepLines/>
              <w:autoSpaceDE w:val="0"/>
              <w:autoSpaceDN w:val="0"/>
              <w:adjustRightInd w:val="0"/>
              <w:ind w:right="-59"/>
              <w:jc w:val="center"/>
              <w:rPr>
                <w:b/>
                <w:bCs/>
                <w:iCs/>
                <w:sz w:val="18"/>
                <w:szCs w:val="18"/>
              </w:rPr>
            </w:pPr>
            <w:r w:rsidRPr="00A76445">
              <w:rPr>
                <w:b/>
                <w:bCs/>
                <w:iCs/>
                <w:sz w:val="18"/>
                <w:szCs w:val="18"/>
              </w:rPr>
              <w:t>Planes de mitigación ejecutados o en ejecución</w:t>
            </w:r>
          </w:p>
        </w:tc>
        <w:tc>
          <w:tcPr>
            <w:tcW w:w="2310" w:type="dxa"/>
            <w:tcBorders>
              <w:top w:val="single" w:sz="4" w:space="0" w:color="auto"/>
              <w:bottom w:val="single" w:sz="4" w:space="0" w:color="auto"/>
            </w:tcBorders>
            <w:shd w:val="clear" w:color="auto" w:fill="C6D9F1" w:themeFill="text2" w:themeFillTint="33"/>
          </w:tcPr>
          <w:p w:rsidR="00FA423E" w:rsidRPr="00A76445" w:rsidRDefault="00FA423E" w:rsidP="00DC1333">
            <w:pPr>
              <w:jc w:val="center"/>
              <w:rPr>
                <w:b/>
                <w:bCs/>
                <w:sz w:val="18"/>
                <w:szCs w:val="18"/>
              </w:rPr>
            </w:pPr>
            <w:r w:rsidRPr="00A76445">
              <w:rPr>
                <w:b/>
                <w:bCs/>
                <w:iCs/>
                <w:sz w:val="18"/>
                <w:szCs w:val="18"/>
              </w:rPr>
              <w:t>Evolución de los riesgos y estrategias de mitigación durante el bienio</w:t>
            </w:r>
          </w:p>
        </w:tc>
        <w:tc>
          <w:tcPr>
            <w:tcW w:w="2568" w:type="dxa"/>
            <w:tcBorders>
              <w:top w:val="single" w:sz="4" w:space="0" w:color="auto"/>
              <w:bottom w:val="single" w:sz="4" w:space="0" w:color="auto"/>
            </w:tcBorders>
            <w:shd w:val="clear" w:color="auto" w:fill="C6D9F1" w:themeFill="text2" w:themeFillTint="33"/>
          </w:tcPr>
          <w:p w:rsidR="00FA423E" w:rsidRPr="00A76445" w:rsidRDefault="00FA423E" w:rsidP="00DC1333">
            <w:pPr>
              <w:jc w:val="center"/>
              <w:rPr>
                <w:b/>
                <w:bCs/>
                <w:sz w:val="18"/>
                <w:szCs w:val="18"/>
              </w:rPr>
            </w:pPr>
            <w:r w:rsidRPr="00A76445">
              <w:rPr>
                <w:b/>
                <w:bCs/>
                <w:sz w:val="18"/>
                <w:szCs w:val="18"/>
              </w:rPr>
              <w:t>Incidencia en el rendimiento del programa</w:t>
            </w:r>
          </w:p>
        </w:tc>
      </w:tr>
      <w:tr w:rsidR="00FA423E" w:rsidRPr="007E08B9" w:rsidTr="00DC1333">
        <w:trPr>
          <w:trHeight w:val="1129"/>
        </w:trPr>
        <w:tc>
          <w:tcPr>
            <w:tcW w:w="2420" w:type="dxa"/>
            <w:tcBorders>
              <w:top w:val="single" w:sz="4" w:space="0" w:color="auto"/>
            </w:tcBorders>
            <w:shd w:val="clear" w:color="auto" w:fill="auto"/>
            <w:tcMar>
              <w:top w:w="113" w:type="dxa"/>
            </w:tcMar>
          </w:tcPr>
          <w:p w:rsidR="00FA423E" w:rsidRPr="00944CFB" w:rsidRDefault="00FA423E" w:rsidP="00DC1333">
            <w:pPr>
              <w:keepNext/>
              <w:keepLines/>
              <w:autoSpaceDE w:val="0"/>
              <w:autoSpaceDN w:val="0"/>
              <w:adjustRightInd w:val="0"/>
              <w:ind w:right="-59"/>
              <w:rPr>
                <w:sz w:val="16"/>
                <w:szCs w:val="16"/>
              </w:rPr>
            </w:pPr>
            <w:r w:rsidRPr="00944CFB">
              <w:rPr>
                <w:bCs/>
                <w:sz w:val="16"/>
                <w:szCs w:val="16"/>
              </w:rPr>
              <w:t>Incapacidad del CIG de alcanzar un acuerdo sobre un</w:t>
            </w:r>
            <w:r>
              <w:rPr>
                <w:bCs/>
                <w:sz w:val="16"/>
                <w:szCs w:val="16"/>
              </w:rPr>
              <w:t>o</w:t>
            </w:r>
            <w:r w:rsidRPr="00944CFB">
              <w:rPr>
                <w:bCs/>
                <w:sz w:val="16"/>
                <w:szCs w:val="16"/>
              </w:rPr>
              <w:t xml:space="preserve"> o varios instrumento</w:t>
            </w:r>
            <w:r>
              <w:rPr>
                <w:bCs/>
                <w:sz w:val="16"/>
                <w:szCs w:val="16"/>
              </w:rPr>
              <w:t>s</w:t>
            </w:r>
            <w:r w:rsidRPr="00944CFB">
              <w:rPr>
                <w:bCs/>
                <w:sz w:val="16"/>
                <w:szCs w:val="16"/>
              </w:rPr>
              <w:t xml:space="preserve"> jurídico</w:t>
            </w:r>
            <w:r>
              <w:rPr>
                <w:bCs/>
                <w:sz w:val="16"/>
                <w:szCs w:val="16"/>
              </w:rPr>
              <w:t>s</w:t>
            </w:r>
            <w:r w:rsidRPr="00944CFB">
              <w:rPr>
                <w:bCs/>
                <w:sz w:val="16"/>
                <w:szCs w:val="16"/>
              </w:rPr>
              <w:t xml:space="preserve"> internacional</w:t>
            </w:r>
            <w:r>
              <w:rPr>
                <w:bCs/>
                <w:sz w:val="16"/>
                <w:szCs w:val="16"/>
              </w:rPr>
              <w:t>es</w:t>
            </w:r>
            <w:r w:rsidRPr="00944CFB">
              <w:rPr>
                <w:bCs/>
                <w:sz w:val="16"/>
                <w:szCs w:val="16"/>
              </w:rPr>
              <w:t>.</w:t>
            </w:r>
          </w:p>
        </w:tc>
        <w:tc>
          <w:tcPr>
            <w:tcW w:w="2200" w:type="dxa"/>
            <w:tcBorders>
              <w:top w:val="single" w:sz="4" w:space="0" w:color="auto"/>
            </w:tcBorders>
            <w:shd w:val="clear" w:color="auto" w:fill="auto"/>
            <w:tcMar>
              <w:top w:w="113" w:type="dxa"/>
            </w:tcMar>
          </w:tcPr>
          <w:p w:rsidR="00FA423E" w:rsidRPr="00944CFB" w:rsidRDefault="00FA423E" w:rsidP="00DC1333">
            <w:pPr>
              <w:keepNext/>
              <w:keepLines/>
              <w:autoSpaceDE w:val="0"/>
              <w:autoSpaceDN w:val="0"/>
              <w:adjustRightInd w:val="0"/>
              <w:ind w:right="-59"/>
              <w:rPr>
                <w:sz w:val="16"/>
                <w:szCs w:val="16"/>
              </w:rPr>
            </w:pPr>
            <w:r w:rsidRPr="00944CFB">
              <w:rPr>
                <w:bCs/>
                <w:sz w:val="16"/>
                <w:szCs w:val="16"/>
              </w:rPr>
              <w:t>La Secretaría hará todo lo posible, en el alcance de sus recursos, para facilitar y crear un clima favorable a las negociaciones, por ejemplo, facilitando información precisa y objetiva sobre las cuestiones que se están examinando en el CIG y prestando servicios administrativos eficientes y neutrales a</w:t>
            </w:r>
            <w:r>
              <w:rPr>
                <w:bCs/>
                <w:sz w:val="16"/>
                <w:szCs w:val="16"/>
              </w:rPr>
              <w:t>sí como apoyo eficiente y neutral</w:t>
            </w:r>
            <w:r w:rsidRPr="00944CFB">
              <w:rPr>
                <w:bCs/>
                <w:sz w:val="16"/>
                <w:szCs w:val="16"/>
              </w:rPr>
              <w:t xml:space="preserve"> al Presidente del CIG.</w:t>
            </w:r>
          </w:p>
        </w:tc>
        <w:tc>
          <w:tcPr>
            <w:tcW w:w="2310" w:type="dxa"/>
            <w:tcBorders>
              <w:top w:val="single" w:sz="4" w:space="0" w:color="auto"/>
            </w:tcBorders>
          </w:tcPr>
          <w:p w:rsidR="00FA423E" w:rsidRPr="00044FDF" w:rsidRDefault="00FA423E" w:rsidP="00DC1333">
            <w:pPr>
              <w:keepNext/>
              <w:keepLines/>
              <w:autoSpaceDE w:val="0"/>
              <w:autoSpaceDN w:val="0"/>
              <w:adjustRightInd w:val="0"/>
              <w:ind w:right="-59"/>
              <w:rPr>
                <w:bCs/>
                <w:sz w:val="16"/>
                <w:szCs w:val="16"/>
              </w:rPr>
            </w:pPr>
            <w:r w:rsidRPr="00944CFB">
              <w:rPr>
                <w:bCs/>
                <w:sz w:val="16"/>
                <w:szCs w:val="16"/>
              </w:rPr>
              <w:t>Teniendo en cuenta la falta de decisión mostrada por algunos Estados miembros en relación con el plan de trabajo para 2015</w:t>
            </w:r>
            <w:r>
              <w:rPr>
                <w:bCs/>
                <w:sz w:val="16"/>
                <w:szCs w:val="16"/>
              </w:rPr>
              <w:t>,</w:t>
            </w:r>
            <w:r w:rsidRPr="00944CFB">
              <w:rPr>
                <w:bCs/>
                <w:sz w:val="16"/>
                <w:szCs w:val="16"/>
              </w:rPr>
              <w:t xml:space="preserve"> y a pesar de que en septiembre de 2015 se renovó el mandato del CIG, </w:t>
            </w:r>
            <w:r>
              <w:rPr>
                <w:bCs/>
                <w:sz w:val="16"/>
                <w:szCs w:val="16"/>
              </w:rPr>
              <w:t xml:space="preserve">durante el bienio siguiente persistirá igualmente </w:t>
            </w:r>
            <w:r w:rsidRPr="00944CFB">
              <w:rPr>
                <w:bCs/>
                <w:sz w:val="16"/>
                <w:szCs w:val="16"/>
              </w:rPr>
              <w:t xml:space="preserve">el riesgo de que </w:t>
            </w:r>
            <w:r>
              <w:rPr>
                <w:bCs/>
                <w:sz w:val="16"/>
                <w:szCs w:val="16"/>
              </w:rPr>
              <w:t>los E</w:t>
            </w:r>
            <w:r w:rsidRPr="00944CFB">
              <w:rPr>
                <w:bCs/>
                <w:sz w:val="16"/>
                <w:szCs w:val="16"/>
              </w:rPr>
              <w:t xml:space="preserve">stados miembros </w:t>
            </w:r>
            <w:r>
              <w:rPr>
                <w:bCs/>
                <w:sz w:val="16"/>
                <w:szCs w:val="16"/>
              </w:rPr>
              <w:t xml:space="preserve">no consigan acordar uno o varios instrumentos jurídicos internacionales.  </w:t>
            </w:r>
            <w:r w:rsidRPr="00044FDF">
              <w:rPr>
                <w:bCs/>
                <w:sz w:val="16"/>
                <w:szCs w:val="16"/>
              </w:rPr>
              <w:t>La estrategia de mitigación también seguirá siendo la misma, es decir, prestar apoyo eficiente y neutral al proceso, y en particular al Presidente del CIG.</w:t>
            </w:r>
          </w:p>
        </w:tc>
        <w:tc>
          <w:tcPr>
            <w:tcW w:w="2568" w:type="dxa"/>
            <w:tcBorders>
              <w:top w:val="single" w:sz="4" w:space="0" w:color="auto"/>
            </w:tcBorders>
          </w:tcPr>
          <w:p w:rsidR="00FA423E" w:rsidRPr="007E08B9" w:rsidRDefault="00FA423E" w:rsidP="00DC1333">
            <w:pPr>
              <w:keepNext/>
              <w:keepLines/>
              <w:autoSpaceDE w:val="0"/>
              <w:autoSpaceDN w:val="0"/>
              <w:adjustRightInd w:val="0"/>
              <w:ind w:right="-59"/>
              <w:rPr>
                <w:bCs/>
                <w:sz w:val="16"/>
                <w:szCs w:val="16"/>
              </w:rPr>
            </w:pPr>
            <w:r w:rsidRPr="007E08B9">
              <w:rPr>
                <w:bCs/>
                <w:sz w:val="16"/>
                <w:szCs w:val="16"/>
              </w:rPr>
              <w:t>La evoluci</w:t>
            </w:r>
            <w:r>
              <w:rPr>
                <w:bCs/>
                <w:sz w:val="16"/>
                <w:szCs w:val="16"/>
              </w:rPr>
              <w:t xml:space="preserve">ón de este riesgo incidió directamente en la adopción por los Estados miembros de </w:t>
            </w:r>
            <w:r w:rsidRPr="007E08B9">
              <w:rPr>
                <w:bCs/>
                <w:sz w:val="16"/>
                <w:szCs w:val="16"/>
              </w:rPr>
              <w:t>uno o varios instrum</w:t>
            </w:r>
            <w:r>
              <w:rPr>
                <w:bCs/>
                <w:sz w:val="16"/>
                <w:szCs w:val="16"/>
              </w:rPr>
              <w:t>entos jurídicos internacionales</w:t>
            </w:r>
            <w:r w:rsidRPr="007E08B9">
              <w:rPr>
                <w:bCs/>
                <w:sz w:val="16"/>
                <w:szCs w:val="16"/>
              </w:rPr>
              <w:t>.</w:t>
            </w:r>
          </w:p>
        </w:tc>
      </w:tr>
      <w:tr w:rsidR="00FA423E" w:rsidRPr="00901BDF" w:rsidTr="00DC1333">
        <w:trPr>
          <w:trHeight w:val="3113"/>
        </w:trPr>
        <w:tc>
          <w:tcPr>
            <w:tcW w:w="2420" w:type="dxa"/>
            <w:shd w:val="clear" w:color="auto" w:fill="auto"/>
            <w:tcMar>
              <w:top w:w="113" w:type="dxa"/>
            </w:tcMar>
          </w:tcPr>
          <w:p w:rsidR="00FA423E" w:rsidRPr="00401E16" w:rsidRDefault="00FA423E" w:rsidP="00DC1333">
            <w:pPr>
              <w:keepNext/>
              <w:keepLines/>
              <w:autoSpaceDE w:val="0"/>
              <w:autoSpaceDN w:val="0"/>
              <w:adjustRightInd w:val="0"/>
              <w:ind w:right="-59"/>
              <w:rPr>
                <w:bCs/>
                <w:sz w:val="16"/>
                <w:szCs w:val="16"/>
              </w:rPr>
            </w:pPr>
            <w:r w:rsidRPr="00401E16">
              <w:rPr>
                <w:sz w:val="16"/>
                <w:szCs w:val="16"/>
              </w:rPr>
              <w:t>El CIG perderá su pertinencia si los Estados miembros dejan de considerar los CC.TT., las ECT y los RR.GG. como cuestiones prioritarias de P.I. o si estiman que es más probable lograr resultados favorables en otros foros.</w:t>
            </w:r>
          </w:p>
        </w:tc>
        <w:tc>
          <w:tcPr>
            <w:tcW w:w="2200" w:type="dxa"/>
            <w:shd w:val="clear" w:color="auto" w:fill="auto"/>
            <w:tcMar>
              <w:top w:w="113" w:type="dxa"/>
            </w:tcMar>
          </w:tcPr>
          <w:p w:rsidR="00FA423E" w:rsidRPr="003F5E91" w:rsidRDefault="00FA423E" w:rsidP="00DC1333">
            <w:pPr>
              <w:keepNext/>
              <w:keepLines/>
              <w:autoSpaceDE w:val="0"/>
              <w:autoSpaceDN w:val="0"/>
              <w:adjustRightInd w:val="0"/>
              <w:ind w:right="-59"/>
              <w:rPr>
                <w:bCs/>
                <w:sz w:val="16"/>
                <w:szCs w:val="16"/>
              </w:rPr>
            </w:pPr>
            <w:r w:rsidRPr="003F5E91">
              <w:rPr>
                <w:sz w:val="16"/>
                <w:szCs w:val="16"/>
              </w:rPr>
              <w:t>La Secretaría lleva a cabo iniciativas de sensibilización sobre la importancia de las políticas de P.I. relacionadas con los CC.TT., las ECT y los RR.GG.  También sigue de cerca las negociaciones que se celebran en otras instancias para poder facilitar a los Estados miembros información neutral sobre la labor del CIG en dichas instancias y se coordina con otras Secretarías para evitar la duplicación de t</w:t>
            </w:r>
            <w:r>
              <w:rPr>
                <w:sz w:val="16"/>
                <w:szCs w:val="16"/>
              </w:rPr>
              <w:t>areas, lo que podría gener</w:t>
            </w:r>
            <w:r w:rsidRPr="003F5E91">
              <w:rPr>
                <w:sz w:val="16"/>
                <w:szCs w:val="16"/>
              </w:rPr>
              <w:t xml:space="preserve">ar </w:t>
            </w:r>
            <w:r>
              <w:rPr>
                <w:sz w:val="16"/>
                <w:szCs w:val="16"/>
              </w:rPr>
              <w:t xml:space="preserve">confusión </w:t>
            </w:r>
            <w:r w:rsidRPr="003F5E91">
              <w:rPr>
                <w:sz w:val="16"/>
                <w:szCs w:val="16"/>
              </w:rPr>
              <w:t>entre los Estados miembros.</w:t>
            </w:r>
          </w:p>
        </w:tc>
        <w:tc>
          <w:tcPr>
            <w:tcW w:w="2310" w:type="dxa"/>
          </w:tcPr>
          <w:p w:rsidR="00FA423E" w:rsidRPr="00F45668" w:rsidRDefault="00FA423E" w:rsidP="00DC1333">
            <w:pPr>
              <w:keepNext/>
              <w:keepLines/>
              <w:autoSpaceDE w:val="0"/>
              <w:autoSpaceDN w:val="0"/>
              <w:adjustRightInd w:val="0"/>
              <w:ind w:right="-59"/>
              <w:rPr>
                <w:sz w:val="16"/>
                <w:szCs w:val="16"/>
              </w:rPr>
            </w:pPr>
            <w:r w:rsidRPr="008B7E60">
              <w:rPr>
                <w:sz w:val="16"/>
                <w:szCs w:val="16"/>
              </w:rPr>
              <w:t xml:space="preserve">Durante la Asamblea General de 2015 los Estados miembros mostraron un apoyo considerable al proceso </w:t>
            </w:r>
            <w:r>
              <w:rPr>
                <w:sz w:val="16"/>
                <w:szCs w:val="16"/>
              </w:rPr>
              <w:t>del CIG y el p</w:t>
            </w:r>
            <w:r w:rsidRPr="008B7E60">
              <w:rPr>
                <w:sz w:val="16"/>
                <w:szCs w:val="16"/>
              </w:rPr>
              <w:t xml:space="preserve">rograma 4 </w:t>
            </w:r>
            <w:r>
              <w:rPr>
                <w:sz w:val="16"/>
                <w:szCs w:val="16"/>
              </w:rPr>
              <w:t xml:space="preserve">en su totalidad, a pesar del paréntesis experimentado por el CIG en 2015.  </w:t>
            </w:r>
            <w:r w:rsidRPr="00F45668">
              <w:rPr>
                <w:sz w:val="16"/>
                <w:szCs w:val="16"/>
              </w:rPr>
              <w:t xml:space="preserve">Ese apoyo, unido a la renovación del mandato del CIG, sugiere que </w:t>
            </w:r>
            <w:r>
              <w:rPr>
                <w:sz w:val="16"/>
                <w:szCs w:val="16"/>
              </w:rPr>
              <w:t xml:space="preserve">se ha reducido hasta cierto punto </w:t>
            </w:r>
            <w:r w:rsidRPr="00F45668">
              <w:rPr>
                <w:sz w:val="16"/>
                <w:szCs w:val="16"/>
              </w:rPr>
              <w:t xml:space="preserve">el riesgo de que </w:t>
            </w:r>
            <w:r>
              <w:rPr>
                <w:sz w:val="16"/>
                <w:szCs w:val="16"/>
              </w:rPr>
              <w:t xml:space="preserve">el Comité pierda su pertinencia.  </w:t>
            </w:r>
            <w:r w:rsidRPr="00F45668">
              <w:rPr>
                <w:sz w:val="16"/>
                <w:szCs w:val="16"/>
              </w:rPr>
              <w:t xml:space="preserve">La Secretaría prosiguió sus iniciativas de sensibilización sobre la importancia </w:t>
            </w:r>
            <w:r>
              <w:rPr>
                <w:sz w:val="16"/>
                <w:szCs w:val="16"/>
              </w:rPr>
              <w:t>que tienen</w:t>
            </w:r>
            <w:r w:rsidRPr="00F45668">
              <w:rPr>
                <w:sz w:val="16"/>
                <w:szCs w:val="16"/>
              </w:rPr>
              <w:t xml:space="preserve"> las cuestiones relacionadas con los RR.GG.,</w:t>
            </w:r>
            <w:r>
              <w:rPr>
                <w:sz w:val="16"/>
                <w:szCs w:val="16"/>
              </w:rPr>
              <w:t xml:space="preserve"> los CC.TT. y las ECT para la formulación de políticas de P.I.</w:t>
            </w:r>
          </w:p>
        </w:tc>
        <w:tc>
          <w:tcPr>
            <w:tcW w:w="2568" w:type="dxa"/>
          </w:tcPr>
          <w:p w:rsidR="00FA423E" w:rsidRPr="00901BDF" w:rsidRDefault="00FA423E" w:rsidP="00DC1333">
            <w:pPr>
              <w:keepNext/>
              <w:keepLines/>
              <w:autoSpaceDE w:val="0"/>
              <w:autoSpaceDN w:val="0"/>
              <w:adjustRightInd w:val="0"/>
              <w:ind w:right="-59"/>
              <w:rPr>
                <w:sz w:val="16"/>
                <w:szCs w:val="16"/>
              </w:rPr>
            </w:pPr>
            <w:r>
              <w:rPr>
                <w:sz w:val="16"/>
                <w:szCs w:val="16"/>
              </w:rPr>
              <w:t>L</w:t>
            </w:r>
            <w:r w:rsidRPr="00901BDF">
              <w:rPr>
                <w:sz w:val="16"/>
                <w:szCs w:val="16"/>
              </w:rPr>
              <w:t>a evoluci</w:t>
            </w:r>
            <w:r>
              <w:rPr>
                <w:sz w:val="16"/>
                <w:szCs w:val="16"/>
              </w:rPr>
              <w:t>ón del riesgo</w:t>
            </w:r>
            <w:r w:rsidRPr="00901BDF">
              <w:rPr>
                <w:sz w:val="16"/>
                <w:szCs w:val="16"/>
              </w:rPr>
              <w:t xml:space="preserve"> </w:t>
            </w:r>
            <w:r>
              <w:rPr>
                <w:sz w:val="16"/>
                <w:szCs w:val="16"/>
              </w:rPr>
              <w:t>no incidió sustancialmente en e</w:t>
            </w:r>
            <w:r w:rsidRPr="00901BDF">
              <w:rPr>
                <w:sz w:val="16"/>
                <w:szCs w:val="16"/>
              </w:rPr>
              <w:t>l rendimiento del programa</w:t>
            </w:r>
            <w:r>
              <w:rPr>
                <w:bCs/>
                <w:sz w:val="16"/>
                <w:szCs w:val="16"/>
              </w:rPr>
              <w:t>.</w:t>
            </w:r>
          </w:p>
        </w:tc>
      </w:tr>
    </w:tbl>
    <w:p w:rsidR="00FA423E" w:rsidRDefault="00FA423E" w:rsidP="00FA423E">
      <w:pPr>
        <w:rPr>
          <w:color w:val="000000"/>
          <w:szCs w:val="22"/>
        </w:rPr>
      </w:pPr>
    </w:p>
    <w:p w:rsidR="00FA423E" w:rsidRPr="00901BDF" w:rsidRDefault="00FA423E" w:rsidP="00FA423E">
      <w:pPr>
        <w:rPr>
          <w:color w:val="000000"/>
          <w:szCs w:val="22"/>
        </w:rPr>
      </w:pPr>
    </w:p>
    <w:p w:rsidR="00FA423E" w:rsidRPr="00526311" w:rsidRDefault="00403D2C" w:rsidP="00FA423E">
      <w:pPr>
        <w:keepNext/>
        <w:rPr>
          <w:b/>
          <w:sz w:val="18"/>
          <w:szCs w:val="18"/>
        </w:rPr>
      </w:pPr>
      <w:r w:rsidRPr="00403D2C">
        <w:rPr>
          <w:color w:val="000000"/>
          <w:sz w:val="20"/>
          <w:szCs w:val="22"/>
        </w:rPr>
        <w:lastRenderedPageBreak/>
        <w:t>UTILIZACIÓN DE LOS RECURSOS</w:t>
      </w:r>
    </w:p>
    <w:p w:rsidR="00FA423E" w:rsidRPr="00526311" w:rsidRDefault="00FA423E" w:rsidP="00FA423E">
      <w:pPr>
        <w:keepNext/>
        <w:rPr>
          <w:sz w:val="20"/>
        </w:rPr>
      </w:pPr>
    </w:p>
    <w:p w:rsidR="00FA423E" w:rsidRPr="00526311" w:rsidRDefault="00FA423E" w:rsidP="00FA423E">
      <w:pPr>
        <w:pStyle w:val="NormalWeb"/>
        <w:keepNext/>
        <w:spacing w:before="0" w:beforeAutospacing="0" w:after="0" w:afterAutospacing="0"/>
        <w:jc w:val="center"/>
        <w:rPr>
          <w:sz w:val="20"/>
          <w:szCs w:val="20"/>
          <w:lang w:val="es-ES"/>
        </w:rPr>
      </w:pPr>
      <w:r w:rsidRPr="00526311">
        <w:rPr>
          <w:sz w:val="20"/>
          <w:szCs w:val="20"/>
          <w:lang w:val="es-ES"/>
        </w:rPr>
        <w:t xml:space="preserve">Presupuesto y gastos reales (por resultado) </w:t>
      </w:r>
    </w:p>
    <w:p w:rsidR="00FA423E" w:rsidRPr="00526311" w:rsidRDefault="00FA423E" w:rsidP="00FA423E">
      <w:pPr>
        <w:pStyle w:val="NormalWeb"/>
        <w:keepNext/>
        <w:spacing w:before="0" w:beforeAutospacing="0" w:after="0" w:afterAutospacing="0"/>
        <w:jc w:val="center"/>
        <w:rPr>
          <w:i/>
          <w:iCs/>
          <w:sz w:val="20"/>
          <w:szCs w:val="20"/>
          <w:lang w:val="es-ES"/>
        </w:rPr>
      </w:pPr>
      <w:r w:rsidRPr="00526311">
        <w:rPr>
          <w:i/>
          <w:iCs/>
          <w:sz w:val="20"/>
          <w:szCs w:val="20"/>
          <w:lang w:val="es-ES"/>
        </w:rPr>
        <w:t>(en miles de francos suizos)</w:t>
      </w:r>
    </w:p>
    <w:p w:rsidR="00FA423E" w:rsidRPr="00526311" w:rsidRDefault="00FA423E" w:rsidP="00FA423E">
      <w:pPr>
        <w:pStyle w:val="NormalWeb"/>
        <w:keepNext/>
        <w:spacing w:before="0" w:beforeAutospacing="0" w:after="0" w:afterAutospacing="0"/>
        <w:jc w:val="center"/>
        <w:rPr>
          <w:sz w:val="20"/>
          <w:szCs w:val="20"/>
          <w:lang w:val="es-ES"/>
        </w:rPr>
      </w:pPr>
    </w:p>
    <w:p w:rsidR="00FA423E" w:rsidRPr="00526311" w:rsidRDefault="00FA423E" w:rsidP="00FA423E">
      <w:pPr>
        <w:keepNext/>
        <w:jc w:val="center"/>
        <w:rPr>
          <w:sz w:val="20"/>
        </w:rPr>
      </w:pPr>
      <w:bookmarkStart w:id="69" w:name="Bm4"/>
      <w:bookmarkStart w:id="70" w:name="Punto4"/>
      <w:r>
        <w:rPr>
          <w:noProof/>
          <w:lang w:val="en-US" w:eastAsia="en-US"/>
        </w:rPr>
        <w:drawing>
          <wp:inline distT="0" distB="0" distL="0" distR="0" wp14:anchorId="036155FE" wp14:editId="482C9BAF">
            <wp:extent cx="5676900" cy="30861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676900" cy="3086100"/>
                    </a:xfrm>
                    <a:prstGeom prst="rect">
                      <a:avLst/>
                    </a:prstGeom>
                    <a:noFill/>
                    <a:ln>
                      <a:noFill/>
                    </a:ln>
                  </pic:spPr>
                </pic:pic>
              </a:graphicData>
            </a:graphic>
          </wp:inline>
        </w:drawing>
      </w:r>
      <w:bookmarkEnd w:id="69"/>
      <w:bookmarkEnd w:id="70"/>
    </w:p>
    <w:p w:rsidR="00FA423E" w:rsidRPr="00526311" w:rsidRDefault="00FA423E" w:rsidP="00FA423E">
      <w:pPr>
        <w:keepNext/>
        <w:rPr>
          <w:sz w:val="20"/>
        </w:rPr>
      </w:pPr>
    </w:p>
    <w:p w:rsidR="00FA423E" w:rsidRPr="00526311" w:rsidRDefault="00FA423E" w:rsidP="00FA423E">
      <w:pPr>
        <w:keepNext/>
        <w:rPr>
          <w:sz w:val="20"/>
        </w:rPr>
      </w:pPr>
    </w:p>
    <w:p w:rsidR="00FA423E" w:rsidRPr="00526311" w:rsidRDefault="00FA423E" w:rsidP="00FA423E">
      <w:pPr>
        <w:pStyle w:val="NormalWeb"/>
        <w:keepNext/>
        <w:keepLines/>
        <w:spacing w:before="0" w:beforeAutospacing="0" w:after="0" w:afterAutospacing="0"/>
        <w:jc w:val="center"/>
        <w:rPr>
          <w:sz w:val="20"/>
          <w:szCs w:val="20"/>
          <w:lang w:val="es-ES"/>
        </w:rPr>
      </w:pPr>
      <w:r w:rsidRPr="00526311">
        <w:rPr>
          <w:sz w:val="20"/>
          <w:szCs w:val="20"/>
          <w:lang w:val="es-ES"/>
        </w:rPr>
        <w:t xml:space="preserve">Presupuesto y gastos reales (de personal y no relativos a personal) </w:t>
      </w:r>
    </w:p>
    <w:p w:rsidR="00FA423E" w:rsidRPr="00526311" w:rsidRDefault="00FA423E" w:rsidP="00FA423E">
      <w:pPr>
        <w:pStyle w:val="NormalWeb"/>
        <w:keepNext/>
        <w:keepLines/>
        <w:spacing w:before="0" w:beforeAutospacing="0" w:after="0" w:afterAutospacing="0"/>
        <w:jc w:val="center"/>
        <w:rPr>
          <w:i/>
          <w:iCs/>
          <w:sz w:val="20"/>
          <w:szCs w:val="20"/>
          <w:lang w:val="es-ES"/>
        </w:rPr>
      </w:pPr>
      <w:r w:rsidRPr="00526311">
        <w:rPr>
          <w:i/>
          <w:iCs/>
          <w:sz w:val="20"/>
          <w:szCs w:val="20"/>
          <w:lang w:val="es-ES"/>
        </w:rPr>
        <w:t>(en miles de francos suizos)</w:t>
      </w:r>
    </w:p>
    <w:p w:rsidR="00FA423E" w:rsidRPr="00526311" w:rsidRDefault="00FA423E" w:rsidP="00FA423E">
      <w:pPr>
        <w:pStyle w:val="NormalWeb"/>
        <w:keepNext/>
        <w:keepLines/>
        <w:spacing w:before="0" w:beforeAutospacing="0" w:after="0" w:afterAutospacing="0"/>
        <w:jc w:val="center"/>
        <w:rPr>
          <w:lang w:val="es-ES"/>
        </w:rPr>
      </w:pPr>
    </w:p>
    <w:p w:rsidR="00FA423E" w:rsidRPr="00526311" w:rsidRDefault="00FA423E" w:rsidP="00FA423E">
      <w:pPr>
        <w:jc w:val="center"/>
        <w:rPr>
          <w:sz w:val="20"/>
        </w:rPr>
      </w:pPr>
      <w:bookmarkStart w:id="71" w:name="Point4"/>
      <w:r>
        <w:rPr>
          <w:noProof/>
          <w:lang w:val="en-US" w:eastAsia="en-US"/>
        </w:rPr>
        <w:drawing>
          <wp:inline distT="0" distB="0" distL="0" distR="0" wp14:anchorId="725D5B11" wp14:editId="027B9ADC">
            <wp:extent cx="5940425" cy="1059884"/>
            <wp:effectExtent l="0" t="0" r="3175" b="698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40425" cy="1059884"/>
                    </a:xfrm>
                    <a:prstGeom prst="rect">
                      <a:avLst/>
                    </a:prstGeom>
                    <a:noFill/>
                    <a:ln>
                      <a:noFill/>
                    </a:ln>
                  </pic:spPr>
                </pic:pic>
              </a:graphicData>
            </a:graphic>
          </wp:inline>
        </w:drawing>
      </w:r>
      <w:bookmarkEnd w:id="71"/>
    </w:p>
    <w:p w:rsidR="00FA423E" w:rsidRDefault="00FA423E" w:rsidP="00FA423E">
      <w:pPr>
        <w:widowControl w:val="0"/>
        <w:autoSpaceDE w:val="0"/>
        <w:autoSpaceDN w:val="0"/>
        <w:adjustRightInd w:val="0"/>
        <w:rPr>
          <w:sz w:val="20"/>
        </w:rPr>
      </w:pPr>
    </w:p>
    <w:p w:rsidR="00FA423E" w:rsidRPr="00526311" w:rsidRDefault="00FA423E" w:rsidP="00FA423E">
      <w:pPr>
        <w:widowControl w:val="0"/>
        <w:autoSpaceDE w:val="0"/>
        <w:autoSpaceDN w:val="0"/>
        <w:adjustRightInd w:val="0"/>
        <w:rPr>
          <w:sz w:val="20"/>
        </w:rPr>
      </w:pPr>
    </w:p>
    <w:p w:rsidR="00FA423E" w:rsidRPr="00526311" w:rsidRDefault="00403D2C" w:rsidP="00FA423E">
      <w:pPr>
        <w:rPr>
          <w:sz w:val="20"/>
          <w:u w:val="single"/>
        </w:rPr>
      </w:pPr>
      <w:r w:rsidRPr="00403D2C">
        <w:rPr>
          <w:sz w:val="20"/>
        </w:rPr>
        <w:t>A.</w:t>
      </w:r>
      <w:r w:rsidRPr="00403D2C">
        <w:rPr>
          <w:sz w:val="20"/>
        </w:rPr>
        <w:tab/>
      </w:r>
      <w:r w:rsidRPr="00403D2C">
        <w:rPr>
          <w:sz w:val="20"/>
          <w:u w:val="single"/>
        </w:rPr>
        <w:t>Presupuesto final de 2014/15 tras las transferencias</w:t>
      </w:r>
    </w:p>
    <w:p w:rsidR="00FA423E" w:rsidRPr="00526311" w:rsidRDefault="00FA423E" w:rsidP="00FA423E">
      <w:pPr>
        <w:rPr>
          <w:sz w:val="20"/>
          <w:u w:val="single"/>
        </w:rPr>
      </w:pPr>
    </w:p>
    <w:p w:rsidR="00FA423E" w:rsidRPr="00526311" w:rsidRDefault="00FA423E" w:rsidP="00FA423E">
      <w:pPr>
        <w:pStyle w:val="ListParagraph"/>
        <w:numPr>
          <w:ilvl w:val="0"/>
          <w:numId w:val="15"/>
        </w:numPr>
        <w:jc w:val="both"/>
        <w:rPr>
          <w:szCs w:val="24"/>
          <w:lang w:val="es-ES" w:eastAsia="ko-KR"/>
        </w:rPr>
      </w:pPr>
      <w:r w:rsidRPr="00526311">
        <w:rPr>
          <w:szCs w:val="24"/>
          <w:lang w:val="es-ES" w:eastAsia="ko-KR"/>
        </w:rPr>
        <w:t xml:space="preserve">La disminución del presupuesto </w:t>
      </w:r>
      <w:r>
        <w:rPr>
          <w:szCs w:val="24"/>
          <w:lang w:val="es-ES" w:eastAsia="ko-KR"/>
        </w:rPr>
        <w:t xml:space="preserve">final de 2014/15 </w:t>
      </w:r>
      <w:r w:rsidRPr="00526311">
        <w:rPr>
          <w:szCs w:val="24"/>
          <w:lang w:val="es-ES" w:eastAsia="ko-KR"/>
        </w:rPr>
        <w:t>tras las transferencias en relación con el resultado I.1 (Elaboración de marcos normativos internacionales equilibrados para la P.I.) refleja una reducción en la asignación de recursos prevista inicialmente para la organización de una conferencia diplomática en el ámbito de la P.I. y los recursos genéticos, los conocimientos tradicionales y el folclore.</w:t>
      </w:r>
    </w:p>
    <w:p w:rsidR="00FA423E" w:rsidRPr="00526311" w:rsidRDefault="00FA423E" w:rsidP="00FA423E">
      <w:pPr>
        <w:autoSpaceDE w:val="0"/>
        <w:autoSpaceDN w:val="0"/>
        <w:jc w:val="both"/>
        <w:rPr>
          <w:sz w:val="20"/>
          <w:lang w:eastAsia="ko-KR"/>
        </w:rPr>
      </w:pPr>
    </w:p>
    <w:p w:rsidR="00FA423E" w:rsidRPr="00526311" w:rsidRDefault="00FA423E" w:rsidP="00FA423E">
      <w:pPr>
        <w:numPr>
          <w:ilvl w:val="0"/>
          <w:numId w:val="15"/>
        </w:numPr>
        <w:jc w:val="both"/>
        <w:rPr>
          <w:sz w:val="20"/>
          <w:lang w:eastAsia="ko-KR"/>
        </w:rPr>
      </w:pPr>
      <w:r w:rsidRPr="00526311">
        <w:rPr>
          <w:sz w:val="20"/>
          <w:lang w:eastAsia="ko-KR"/>
        </w:rPr>
        <w:t>El programa 4 dispone de recursos consignados al Departamento de Conocimientos Tradicionales y Desafíos Mundiales en relación con el resultado previsto VII.2.</w:t>
      </w:r>
    </w:p>
    <w:p w:rsidR="00FA423E" w:rsidRPr="00526311" w:rsidRDefault="00FA423E" w:rsidP="00FA423E">
      <w:pPr>
        <w:autoSpaceDE w:val="0"/>
        <w:autoSpaceDN w:val="0"/>
        <w:jc w:val="both"/>
        <w:rPr>
          <w:sz w:val="20"/>
          <w:lang w:eastAsia="ko-KR"/>
        </w:rPr>
      </w:pPr>
    </w:p>
    <w:p w:rsidR="00FA423E" w:rsidRPr="00526311" w:rsidRDefault="00403D2C" w:rsidP="00FA423E">
      <w:pPr>
        <w:jc w:val="both"/>
        <w:rPr>
          <w:sz w:val="20"/>
          <w:u w:val="single"/>
          <w:lang w:eastAsia="ko-KR"/>
        </w:rPr>
      </w:pPr>
      <w:r w:rsidRPr="00403D2C">
        <w:rPr>
          <w:sz w:val="20"/>
          <w:lang w:eastAsia="ko-KR"/>
        </w:rPr>
        <w:t>B.</w:t>
      </w:r>
      <w:r w:rsidRPr="00403D2C">
        <w:rPr>
          <w:sz w:val="20"/>
          <w:lang w:eastAsia="ko-KR"/>
        </w:rPr>
        <w:tab/>
      </w:r>
      <w:r w:rsidRPr="00403D2C">
        <w:rPr>
          <w:sz w:val="20"/>
          <w:u w:val="single"/>
          <w:lang w:eastAsia="ko-KR"/>
        </w:rPr>
        <w:t>Utilización del presupuesto en 2014/15</w:t>
      </w:r>
    </w:p>
    <w:p w:rsidR="00FA423E" w:rsidRPr="00526311" w:rsidRDefault="00FA423E" w:rsidP="00FA423E">
      <w:pPr>
        <w:tabs>
          <w:tab w:val="left" w:pos="709"/>
        </w:tabs>
        <w:jc w:val="both"/>
        <w:rPr>
          <w:sz w:val="20"/>
          <w:u w:val="single"/>
          <w:lang w:eastAsia="ko-KR"/>
        </w:rPr>
      </w:pPr>
    </w:p>
    <w:p w:rsidR="00FA423E" w:rsidRPr="00526311" w:rsidRDefault="00FA423E" w:rsidP="00FA423E">
      <w:pPr>
        <w:numPr>
          <w:ilvl w:val="0"/>
          <w:numId w:val="15"/>
        </w:numPr>
        <w:jc w:val="both"/>
        <w:rPr>
          <w:rFonts w:ascii="Calibri" w:hAnsi="Calibri"/>
          <w:szCs w:val="22"/>
        </w:rPr>
      </w:pPr>
      <w:r w:rsidRPr="001B4ECC">
        <w:rPr>
          <w:sz w:val="20"/>
          <w:lang w:eastAsia="ko-KR"/>
        </w:rPr>
        <w:t>La utilización del presupuesto no relati</w:t>
      </w:r>
      <w:r>
        <w:rPr>
          <w:sz w:val="20"/>
          <w:lang w:eastAsia="ko-KR"/>
        </w:rPr>
        <w:t>vo a personal correspondió al 67</w:t>
      </w:r>
      <w:r w:rsidRPr="001B4ECC">
        <w:rPr>
          <w:sz w:val="20"/>
          <w:lang w:eastAsia="ko-KR"/>
        </w:rPr>
        <w:t xml:space="preserve">% del presupuesto </w:t>
      </w:r>
      <w:r>
        <w:rPr>
          <w:sz w:val="20"/>
          <w:lang w:eastAsia="ko-KR"/>
        </w:rPr>
        <w:t xml:space="preserve">final </w:t>
      </w:r>
      <w:r w:rsidRPr="001B4ECC">
        <w:rPr>
          <w:sz w:val="20"/>
          <w:lang w:eastAsia="ko-KR"/>
        </w:rPr>
        <w:t>tras las transferencias</w:t>
      </w:r>
      <w:r>
        <w:rPr>
          <w:sz w:val="20"/>
          <w:lang w:eastAsia="ko-KR"/>
        </w:rPr>
        <w:t xml:space="preserve">.  </w:t>
      </w:r>
      <w:r w:rsidRPr="005C372D">
        <w:rPr>
          <w:sz w:val="20"/>
          <w:lang w:eastAsia="ko-KR"/>
        </w:rPr>
        <w:t>La infrautilización de los recursos no relativos a personal se debió principalmente a</w:t>
      </w:r>
      <w:r>
        <w:rPr>
          <w:sz w:val="20"/>
          <w:lang w:eastAsia="ko-KR"/>
        </w:rPr>
        <w:t xml:space="preserve"> la falta de acuerdo en la Asamblea General de la OMPI celebrada en octubre de 2014 respecto de un programa de trabajo del CIG para 2015, lo que impidió que se celebraran sesiones del Comité en 2015.  Dado que el CIG representa una parte importante del presupuesto del programa, en 2015 se utilizó una parte del presupuesto del CIG para aumentar las actividades de fortalecimiento de capacidades y asistencia técnica del programa.</w:t>
      </w:r>
    </w:p>
    <w:p w:rsidR="00FA423E" w:rsidRDefault="00FA423E" w:rsidP="00FA423E"/>
    <w:p w:rsidR="00FA423E" w:rsidRDefault="00FA423E" w:rsidP="00FA423E">
      <w:pPr>
        <w:rPr>
          <w:highlight w:val="yellow"/>
        </w:rPr>
      </w:pPr>
      <w:r>
        <w:rPr>
          <w:highlight w:val="yellow"/>
        </w:rPr>
        <w:br w:type="page"/>
      </w:r>
    </w:p>
    <w:p w:rsidR="00FA423E" w:rsidRDefault="00FA423E" w:rsidP="00FA423E"/>
    <w:p w:rsidR="00FA423E" w:rsidRPr="00F171B5" w:rsidRDefault="00FA423E" w:rsidP="00FA423E">
      <w:pPr>
        <w:pStyle w:val="StyleHeading214ptAuto"/>
        <w:rPr>
          <w:rFonts w:ascii="Arial" w:hAnsi="Arial"/>
          <w:bCs w:val="0"/>
          <w:caps w:val="0"/>
          <w:sz w:val="20"/>
          <w:szCs w:val="20"/>
          <w:lang w:val="es-ES" w:eastAsia="en-US"/>
        </w:rPr>
      </w:pPr>
      <w:bookmarkStart w:id="72" w:name="_Toc455159074"/>
      <w:r w:rsidRPr="00F171B5">
        <w:rPr>
          <w:rFonts w:ascii="Arial" w:hAnsi="Arial"/>
          <w:bCs w:val="0"/>
          <w:caps w:val="0"/>
          <w:sz w:val="20"/>
          <w:szCs w:val="20"/>
          <w:lang w:val="es-ES_tradnl" w:eastAsia="en-US"/>
        </w:rPr>
        <w:t>META ESTRATÉGICA II</w:t>
      </w:r>
      <w:bookmarkEnd w:id="72"/>
    </w:p>
    <w:p w:rsidR="00FA423E" w:rsidRPr="00F171B5" w:rsidRDefault="00FA423E" w:rsidP="00FA423E">
      <w:pPr>
        <w:jc w:val="center"/>
        <w:rPr>
          <w:bCs/>
          <w:caps/>
          <w:sz w:val="20"/>
        </w:rPr>
      </w:pPr>
    </w:p>
    <w:p w:rsidR="00FA423E" w:rsidRPr="00F171B5" w:rsidRDefault="00FA423E" w:rsidP="00FA423E">
      <w:pPr>
        <w:jc w:val="center"/>
        <w:rPr>
          <w:bCs/>
          <w:caps/>
          <w:sz w:val="20"/>
        </w:rPr>
      </w:pPr>
      <w:r w:rsidRPr="00F171B5">
        <w:rPr>
          <w:b/>
          <w:bCs/>
          <w:caps/>
          <w:sz w:val="20"/>
          <w:lang w:val="es-ES_tradnl"/>
        </w:rPr>
        <w:t>Principal proveedor de servicios mundiales de P.I.</w:t>
      </w:r>
    </w:p>
    <w:p w:rsidR="00FA423E" w:rsidRPr="00F171B5" w:rsidRDefault="00FA423E" w:rsidP="00FA423E">
      <w:pPr>
        <w:jc w:val="center"/>
        <w:rPr>
          <w:bCs/>
          <w:caps/>
          <w:sz w:val="20"/>
        </w:rPr>
      </w:pPr>
    </w:p>
    <w:p w:rsidR="00FA423E" w:rsidRPr="00F171B5" w:rsidRDefault="00FA423E" w:rsidP="00FA423E">
      <w:pPr>
        <w:jc w:val="center"/>
        <w:rPr>
          <w:b/>
          <w:sz w:val="20"/>
        </w:rPr>
      </w:pPr>
      <w:r w:rsidRPr="00F171B5">
        <w:rPr>
          <w:b/>
          <w:sz w:val="20"/>
        </w:rPr>
        <w:t xml:space="preserve">Cuadro sobre el rendimiento bienal </w:t>
      </w:r>
    </w:p>
    <w:p w:rsidR="00FA423E" w:rsidRPr="00F171B5" w:rsidRDefault="00FA423E" w:rsidP="00FA423E">
      <w:pPr>
        <w:jc w:val="center"/>
        <w:rPr>
          <w:b/>
          <w:sz w:val="20"/>
        </w:rPr>
      </w:pPr>
    </w:p>
    <w:p w:rsidR="00FA423E" w:rsidRPr="00F171B5" w:rsidRDefault="00FA423E" w:rsidP="00FA423E">
      <w:pPr>
        <w:autoSpaceDE w:val="0"/>
        <w:autoSpaceDN w:val="0"/>
        <w:adjustRightInd w:val="0"/>
        <w:jc w:val="both"/>
        <w:rPr>
          <w:sz w:val="20"/>
        </w:rPr>
      </w:pPr>
      <w:r w:rsidRPr="00F171B5">
        <w:rPr>
          <w:sz w:val="20"/>
          <w:lang w:val="es-ES_tradnl"/>
        </w:rPr>
        <w:t>En el siguiente cuadro se reseñan los avances realizados hacia la consecución de los resultados en el bienio 2014/15, medidos con arreglo a los indicadores de los programas que contribuyen al logro de esta meta estratégica.</w:t>
      </w:r>
      <w:r w:rsidRPr="00F171B5">
        <w:rPr>
          <w:sz w:val="20"/>
        </w:rPr>
        <w:t xml:space="preserve">  </w:t>
      </w:r>
    </w:p>
    <w:p w:rsidR="00FA423E" w:rsidRPr="00F171B5" w:rsidRDefault="00FA423E" w:rsidP="00FA423E">
      <w:pPr>
        <w:rPr>
          <w:sz w:val="20"/>
        </w:rPr>
      </w:pPr>
    </w:p>
    <w:p w:rsidR="00FA423E" w:rsidRPr="00F171B5" w:rsidRDefault="00FA423E" w:rsidP="00FA423E">
      <w:pPr>
        <w:jc w:val="center"/>
        <w:rPr>
          <w:sz w:val="20"/>
        </w:rPr>
      </w:pPr>
      <w:r w:rsidRPr="00F171B5">
        <w:rPr>
          <w:noProof/>
          <w:sz w:val="20"/>
          <w:lang w:val="en-US" w:eastAsia="en-US"/>
        </w:rPr>
        <w:drawing>
          <wp:inline distT="0" distB="0" distL="0" distR="0" wp14:anchorId="38EDF29F" wp14:editId="1B819CEC">
            <wp:extent cx="5940425" cy="2954281"/>
            <wp:effectExtent l="0" t="0" r="317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940425" cy="2954281"/>
                    </a:xfrm>
                    <a:prstGeom prst="rect">
                      <a:avLst/>
                    </a:prstGeom>
                    <a:noFill/>
                    <a:ln>
                      <a:noFill/>
                    </a:ln>
                  </pic:spPr>
                </pic:pic>
              </a:graphicData>
            </a:graphic>
          </wp:inline>
        </w:drawing>
      </w:r>
    </w:p>
    <w:p w:rsidR="00FA423E" w:rsidRPr="00F171B5" w:rsidRDefault="00FA423E" w:rsidP="00FA423E">
      <w:pPr>
        <w:rPr>
          <w:sz w:val="20"/>
        </w:rPr>
      </w:pPr>
    </w:p>
    <w:tbl>
      <w:tblPr>
        <w:tblW w:w="4942"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679"/>
        <w:gridCol w:w="4237"/>
        <w:gridCol w:w="1602"/>
        <w:gridCol w:w="942"/>
      </w:tblGrid>
      <w:tr w:rsidR="00FA423E" w:rsidRPr="0096319C" w:rsidTr="00DC1333">
        <w:trPr>
          <w:cantSplit/>
          <w:tblHeader/>
        </w:trPr>
        <w:tc>
          <w:tcPr>
            <w:tcW w:w="1424" w:type="pct"/>
            <w:tcBorders>
              <w:top w:val="single" w:sz="4" w:space="0" w:color="auto"/>
              <w:bottom w:val="single" w:sz="4" w:space="0" w:color="auto"/>
            </w:tcBorders>
            <w:shd w:val="clear" w:color="auto" w:fill="DAEEF3" w:themeFill="accent5" w:themeFillTint="33"/>
            <w:tcMar>
              <w:top w:w="113" w:type="dxa"/>
              <w:bottom w:w="113" w:type="dxa"/>
            </w:tcMar>
            <w:vAlign w:val="center"/>
          </w:tcPr>
          <w:p w:rsidR="00FA423E" w:rsidRPr="007E4934" w:rsidRDefault="00FA423E" w:rsidP="00DC1333">
            <w:pPr>
              <w:spacing w:after="120"/>
              <w:rPr>
                <w:b/>
                <w:bCs/>
                <w:sz w:val="18"/>
                <w:szCs w:val="18"/>
              </w:rPr>
            </w:pPr>
            <w:r w:rsidRPr="007E4934">
              <w:rPr>
                <w:b/>
                <w:bCs/>
                <w:sz w:val="18"/>
                <w:szCs w:val="18"/>
                <w:lang w:val="es-ES_tradnl"/>
              </w:rPr>
              <w:t>Resultados previstos</w:t>
            </w:r>
          </w:p>
        </w:tc>
        <w:tc>
          <w:tcPr>
            <w:tcW w:w="2247" w:type="pct"/>
            <w:tcBorders>
              <w:top w:val="single" w:sz="4" w:space="0" w:color="auto"/>
              <w:bottom w:val="single" w:sz="4" w:space="0" w:color="auto"/>
            </w:tcBorders>
            <w:shd w:val="clear" w:color="auto" w:fill="DAEEF3" w:themeFill="accent5" w:themeFillTint="33"/>
            <w:tcMar>
              <w:top w:w="113" w:type="dxa"/>
              <w:bottom w:w="113" w:type="dxa"/>
            </w:tcMar>
            <w:vAlign w:val="center"/>
          </w:tcPr>
          <w:p w:rsidR="00FA423E" w:rsidRPr="007E4934" w:rsidRDefault="00FA423E" w:rsidP="00DC1333">
            <w:pPr>
              <w:spacing w:after="120"/>
              <w:rPr>
                <w:b/>
                <w:sz w:val="18"/>
                <w:szCs w:val="18"/>
              </w:rPr>
            </w:pPr>
            <w:r w:rsidRPr="007E4934">
              <w:rPr>
                <w:b/>
                <w:sz w:val="18"/>
                <w:szCs w:val="18"/>
                <w:lang w:val="es-ES_tradnl"/>
              </w:rPr>
              <w:t>Indicadores de rendimiento</w:t>
            </w:r>
          </w:p>
        </w:tc>
        <w:tc>
          <w:tcPr>
            <w:tcW w:w="854" w:type="pct"/>
            <w:tcBorders>
              <w:top w:val="single" w:sz="4" w:space="0" w:color="auto"/>
              <w:bottom w:val="single" w:sz="4" w:space="0" w:color="auto"/>
            </w:tcBorders>
            <w:shd w:val="clear" w:color="auto" w:fill="DAEEF3" w:themeFill="accent5" w:themeFillTint="33"/>
            <w:tcMar>
              <w:top w:w="113" w:type="dxa"/>
              <w:bottom w:w="113" w:type="dxa"/>
            </w:tcMar>
            <w:vAlign w:val="center"/>
          </w:tcPr>
          <w:p w:rsidR="00FA423E" w:rsidRPr="007E4934" w:rsidRDefault="00FA423E" w:rsidP="00DC1333">
            <w:pPr>
              <w:spacing w:after="120"/>
              <w:ind w:left="85"/>
              <w:jc w:val="center"/>
              <w:rPr>
                <w:sz w:val="18"/>
                <w:szCs w:val="18"/>
              </w:rPr>
            </w:pPr>
            <w:r w:rsidRPr="007E4934">
              <w:rPr>
                <w:b/>
                <w:sz w:val="18"/>
                <w:szCs w:val="18"/>
                <w:lang w:val="es-ES_tradnl"/>
              </w:rPr>
              <w:t>Programas responsables</w:t>
            </w:r>
          </w:p>
        </w:tc>
        <w:tc>
          <w:tcPr>
            <w:tcW w:w="475" w:type="pct"/>
            <w:tcBorders>
              <w:top w:val="single" w:sz="4" w:space="0" w:color="auto"/>
              <w:bottom w:val="single" w:sz="4" w:space="0" w:color="auto"/>
            </w:tcBorders>
            <w:shd w:val="clear" w:color="auto" w:fill="DAEEF3" w:themeFill="accent5" w:themeFillTint="33"/>
            <w:vAlign w:val="center"/>
          </w:tcPr>
          <w:p w:rsidR="00FA423E" w:rsidRPr="007B07A4" w:rsidRDefault="00FA423E" w:rsidP="00DC1333">
            <w:pPr>
              <w:spacing w:after="120"/>
              <w:ind w:left="85"/>
              <w:jc w:val="center"/>
              <w:rPr>
                <w:b/>
                <w:bCs/>
                <w:sz w:val="18"/>
                <w:szCs w:val="18"/>
              </w:rPr>
            </w:pPr>
            <w:r w:rsidRPr="007E4934">
              <w:rPr>
                <w:b/>
                <w:bCs/>
                <w:sz w:val="18"/>
                <w:szCs w:val="18"/>
                <w:lang w:val="es-ES_tradnl"/>
              </w:rPr>
              <w:t>Clave de colores</w:t>
            </w:r>
          </w:p>
        </w:tc>
      </w:tr>
      <w:tr w:rsidR="00FA423E" w:rsidRPr="00811500" w:rsidTr="00DC1333">
        <w:trPr>
          <w:cantSplit/>
        </w:trPr>
        <w:tc>
          <w:tcPr>
            <w:tcW w:w="1424" w:type="pct"/>
            <w:shd w:val="clear" w:color="auto" w:fill="auto"/>
            <w:tcMar>
              <w:top w:w="113" w:type="dxa"/>
              <w:bottom w:w="113" w:type="dxa"/>
            </w:tcMar>
          </w:tcPr>
          <w:p w:rsidR="00FA423E" w:rsidRPr="007E4934" w:rsidRDefault="00FA423E" w:rsidP="00DC1333">
            <w:pPr>
              <w:rPr>
                <w:sz w:val="16"/>
                <w:szCs w:val="16"/>
              </w:rPr>
            </w:pPr>
            <w:r w:rsidRPr="007E4934">
              <w:rPr>
                <w:sz w:val="16"/>
                <w:szCs w:val="16"/>
                <w:lang w:val="es-ES_tradnl"/>
              </w:rPr>
              <w:t>II.1 Fomento del uso de la vía del PCT para la presentación de solicitudes internacionales de patente</w:t>
            </w:r>
          </w:p>
        </w:tc>
        <w:tc>
          <w:tcPr>
            <w:tcW w:w="2247" w:type="pct"/>
            <w:shd w:val="clear" w:color="auto" w:fill="auto"/>
            <w:tcMar>
              <w:top w:w="113" w:type="dxa"/>
              <w:bottom w:w="113" w:type="dxa"/>
            </w:tcMar>
          </w:tcPr>
          <w:p w:rsidR="00FA423E" w:rsidRPr="007E4934" w:rsidRDefault="00FA423E" w:rsidP="00DC1333">
            <w:pPr>
              <w:rPr>
                <w:sz w:val="16"/>
                <w:szCs w:val="16"/>
              </w:rPr>
            </w:pPr>
            <w:r w:rsidRPr="007E4934">
              <w:rPr>
                <w:sz w:val="16"/>
                <w:szCs w:val="16"/>
              </w:rPr>
              <w:t>Nivel de satisfacción de los usuarios del PCT respecto de los servicios de información y formación destinados a los usuarios</w:t>
            </w:r>
          </w:p>
        </w:tc>
        <w:tc>
          <w:tcPr>
            <w:tcW w:w="854" w:type="pct"/>
            <w:shd w:val="clear" w:color="auto" w:fill="FFFFFF"/>
            <w:tcMar>
              <w:top w:w="113" w:type="dxa"/>
              <w:bottom w:w="113" w:type="dxa"/>
            </w:tcMar>
          </w:tcPr>
          <w:p w:rsidR="00FA423E" w:rsidRPr="007E4934" w:rsidRDefault="00FA423E" w:rsidP="00DC1333">
            <w:pPr>
              <w:ind w:left="441" w:hanging="413"/>
              <w:jc w:val="center"/>
              <w:rPr>
                <w:sz w:val="16"/>
                <w:szCs w:val="16"/>
              </w:rPr>
            </w:pPr>
            <w:r w:rsidRPr="007E4934">
              <w:rPr>
                <w:sz w:val="16"/>
                <w:szCs w:val="16"/>
                <w:lang w:val="es-ES_tradnl"/>
              </w:rPr>
              <w:t>Programa 5</w:t>
            </w:r>
          </w:p>
        </w:tc>
        <w:tc>
          <w:tcPr>
            <w:tcW w:w="475" w:type="pct"/>
            <w:shd w:val="clear" w:color="auto" w:fill="FFFFFF"/>
          </w:tcPr>
          <w:p w:rsidR="00FA423E" w:rsidRPr="00CC3F44" w:rsidRDefault="00FA423E" w:rsidP="00DC1333">
            <w:pPr>
              <w:jc w:val="center"/>
              <w:rPr>
                <w:color w:val="008000"/>
                <w:szCs w:val="22"/>
              </w:rPr>
            </w:pPr>
            <w:r w:rsidRPr="00CC3F44">
              <w:rPr>
                <w:color w:val="008000"/>
                <w:szCs w:val="22"/>
              </w:rPr>
              <w:sym w:font="Wingdings" w:char="F06C"/>
            </w:r>
          </w:p>
        </w:tc>
      </w:tr>
      <w:tr w:rsidR="00FA423E" w:rsidRPr="00811500" w:rsidTr="00DC1333">
        <w:trPr>
          <w:cantSplit/>
          <w:trHeight w:val="112"/>
        </w:trPr>
        <w:tc>
          <w:tcPr>
            <w:tcW w:w="1424" w:type="pct"/>
            <w:shd w:val="clear" w:color="auto" w:fill="auto"/>
            <w:tcMar>
              <w:top w:w="113" w:type="dxa"/>
              <w:bottom w:w="113" w:type="dxa"/>
            </w:tcMar>
          </w:tcPr>
          <w:p w:rsidR="00FA423E" w:rsidRPr="007E4934" w:rsidRDefault="00FA423E" w:rsidP="00DC1333">
            <w:pPr>
              <w:rPr>
                <w:sz w:val="16"/>
                <w:szCs w:val="16"/>
              </w:rPr>
            </w:pPr>
          </w:p>
        </w:tc>
        <w:tc>
          <w:tcPr>
            <w:tcW w:w="2247" w:type="pct"/>
            <w:shd w:val="clear" w:color="auto" w:fill="auto"/>
            <w:tcMar>
              <w:top w:w="113" w:type="dxa"/>
              <w:bottom w:w="113" w:type="dxa"/>
            </w:tcMar>
          </w:tcPr>
          <w:p w:rsidR="00FA423E" w:rsidRPr="007E4934" w:rsidRDefault="00FA423E" w:rsidP="00DC1333">
            <w:pPr>
              <w:rPr>
                <w:sz w:val="16"/>
                <w:szCs w:val="16"/>
              </w:rPr>
            </w:pPr>
            <w:r w:rsidRPr="007E4934">
              <w:rPr>
                <w:sz w:val="16"/>
                <w:szCs w:val="16"/>
                <w:lang w:val="es-ES_tradnl"/>
              </w:rPr>
              <w:t>Satisfacción de las oficinas y las administraciones internacionales con las actividades de cooperación en el marco del PCT</w:t>
            </w:r>
          </w:p>
        </w:tc>
        <w:tc>
          <w:tcPr>
            <w:tcW w:w="854" w:type="pct"/>
            <w:shd w:val="clear" w:color="auto" w:fill="FFFFFF"/>
            <w:tcMar>
              <w:top w:w="113" w:type="dxa"/>
              <w:bottom w:w="113" w:type="dxa"/>
            </w:tcMar>
          </w:tcPr>
          <w:p w:rsidR="00FA423E" w:rsidRPr="007E4934" w:rsidRDefault="00FA423E" w:rsidP="00DC1333">
            <w:pPr>
              <w:ind w:left="441" w:hanging="413"/>
              <w:jc w:val="center"/>
              <w:rPr>
                <w:sz w:val="16"/>
                <w:szCs w:val="16"/>
                <w:lang w:bidi="th-TH"/>
              </w:rPr>
            </w:pPr>
            <w:r w:rsidRPr="007E4934">
              <w:rPr>
                <w:sz w:val="16"/>
                <w:szCs w:val="16"/>
                <w:lang w:val="es-ES_tradnl" w:bidi="th-TH"/>
              </w:rPr>
              <w:t>Programa 5</w:t>
            </w:r>
          </w:p>
        </w:tc>
        <w:tc>
          <w:tcPr>
            <w:tcW w:w="475" w:type="pct"/>
            <w:shd w:val="clear" w:color="auto" w:fill="FFFFFF"/>
          </w:tcPr>
          <w:p w:rsidR="00FA423E" w:rsidRPr="00CC3F44" w:rsidRDefault="00FA423E" w:rsidP="00DC1333">
            <w:pPr>
              <w:jc w:val="center"/>
              <w:rPr>
                <w:color w:val="008000"/>
                <w:szCs w:val="22"/>
              </w:rPr>
            </w:pPr>
            <w:r w:rsidRPr="00CC3F44">
              <w:rPr>
                <w:color w:val="008000"/>
                <w:szCs w:val="22"/>
              </w:rPr>
              <w:sym w:font="Wingdings" w:char="F06C"/>
            </w:r>
          </w:p>
        </w:tc>
      </w:tr>
      <w:tr w:rsidR="00FA423E" w:rsidRPr="00811500" w:rsidTr="00DC1333">
        <w:trPr>
          <w:cantSplit/>
          <w:trHeight w:val="311"/>
        </w:trPr>
        <w:tc>
          <w:tcPr>
            <w:tcW w:w="1424" w:type="pct"/>
            <w:shd w:val="clear" w:color="auto" w:fill="auto"/>
            <w:tcMar>
              <w:top w:w="113" w:type="dxa"/>
              <w:bottom w:w="113" w:type="dxa"/>
            </w:tcMar>
          </w:tcPr>
          <w:p w:rsidR="00FA423E" w:rsidRPr="007E4934" w:rsidRDefault="00FA423E" w:rsidP="00DC1333">
            <w:pPr>
              <w:rPr>
                <w:sz w:val="16"/>
                <w:szCs w:val="16"/>
              </w:rPr>
            </w:pPr>
          </w:p>
        </w:tc>
        <w:tc>
          <w:tcPr>
            <w:tcW w:w="2247" w:type="pct"/>
            <w:shd w:val="clear" w:color="auto" w:fill="auto"/>
            <w:tcMar>
              <w:top w:w="113" w:type="dxa"/>
              <w:bottom w:w="113" w:type="dxa"/>
            </w:tcMar>
          </w:tcPr>
          <w:p w:rsidR="00FA423E" w:rsidRPr="007E4934" w:rsidRDefault="00FA423E" w:rsidP="00DC1333">
            <w:pPr>
              <w:rPr>
                <w:sz w:val="16"/>
                <w:szCs w:val="16"/>
              </w:rPr>
            </w:pPr>
            <w:r w:rsidRPr="007E4934">
              <w:rPr>
                <w:sz w:val="16"/>
                <w:szCs w:val="16"/>
                <w:lang w:val="es-ES_tradnl"/>
              </w:rPr>
              <w:t>Número de solicitudes PCT procedentes de países con economías en transición y países desarrollados</w:t>
            </w:r>
          </w:p>
        </w:tc>
        <w:tc>
          <w:tcPr>
            <w:tcW w:w="854" w:type="pct"/>
            <w:shd w:val="clear" w:color="auto" w:fill="FFFFFF"/>
            <w:tcMar>
              <w:top w:w="113" w:type="dxa"/>
              <w:bottom w:w="113" w:type="dxa"/>
            </w:tcMar>
          </w:tcPr>
          <w:p w:rsidR="00FA423E" w:rsidRPr="007E4934" w:rsidRDefault="00FA423E" w:rsidP="00DC1333">
            <w:pPr>
              <w:ind w:left="441" w:hanging="413"/>
              <w:jc w:val="center"/>
              <w:rPr>
                <w:sz w:val="16"/>
                <w:szCs w:val="16"/>
                <w:lang w:bidi="th-TH"/>
              </w:rPr>
            </w:pPr>
            <w:r w:rsidRPr="007E4934">
              <w:rPr>
                <w:sz w:val="16"/>
                <w:szCs w:val="16"/>
                <w:lang w:val="es-ES_tradnl" w:bidi="th-TH"/>
              </w:rPr>
              <w:t>Programa 10</w:t>
            </w:r>
          </w:p>
        </w:tc>
        <w:tc>
          <w:tcPr>
            <w:tcW w:w="475" w:type="pct"/>
            <w:shd w:val="clear" w:color="auto" w:fill="FFFFFF"/>
          </w:tcPr>
          <w:p w:rsidR="00FA423E" w:rsidRPr="00CC3F44" w:rsidRDefault="00FA423E" w:rsidP="00DC1333">
            <w:pPr>
              <w:jc w:val="center"/>
            </w:pPr>
            <w:r w:rsidRPr="00CC3F44">
              <w:rPr>
                <w:color w:val="008000"/>
                <w:szCs w:val="22"/>
              </w:rPr>
              <w:sym w:font="Wingdings" w:char="F06C"/>
            </w:r>
          </w:p>
        </w:tc>
      </w:tr>
      <w:tr w:rsidR="00FA423E" w:rsidRPr="00811500" w:rsidTr="00DC1333">
        <w:trPr>
          <w:cantSplit/>
          <w:trHeight w:val="22"/>
        </w:trPr>
        <w:tc>
          <w:tcPr>
            <w:tcW w:w="1424" w:type="pct"/>
            <w:shd w:val="clear" w:color="auto" w:fill="auto"/>
            <w:tcMar>
              <w:top w:w="113" w:type="dxa"/>
              <w:bottom w:w="113" w:type="dxa"/>
            </w:tcMar>
          </w:tcPr>
          <w:p w:rsidR="00FA423E" w:rsidRPr="007E4934" w:rsidRDefault="00FA423E" w:rsidP="00DC1333">
            <w:pPr>
              <w:rPr>
                <w:sz w:val="16"/>
                <w:szCs w:val="16"/>
              </w:rPr>
            </w:pPr>
          </w:p>
        </w:tc>
        <w:tc>
          <w:tcPr>
            <w:tcW w:w="2247" w:type="pct"/>
            <w:shd w:val="clear" w:color="auto" w:fill="auto"/>
            <w:tcMar>
              <w:top w:w="113" w:type="dxa"/>
              <w:bottom w:w="113" w:type="dxa"/>
            </w:tcMar>
          </w:tcPr>
          <w:p w:rsidR="00FA423E" w:rsidRPr="007E4934" w:rsidRDefault="00FA423E" w:rsidP="00DC1333">
            <w:pPr>
              <w:rPr>
                <w:sz w:val="16"/>
                <w:szCs w:val="16"/>
              </w:rPr>
            </w:pPr>
            <w:r w:rsidRPr="007E4934">
              <w:rPr>
                <w:sz w:val="16"/>
                <w:szCs w:val="16"/>
                <w:lang w:val="es-ES_tradnl"/>
              </w:rPr>
              <w:t>Porcentaje de solicitudes presentadas en virtud del PCT</w:t>
            </w:r>
          </w:p>
        </w:tc>
        <w:tc>
          <w:tcPr>
            <w:tcW w:w="854" w:type="pct"/>
            <w:shd w:val="clear" w:color="auto" w:fill="FFFFFF"/>
            <w:tcMar>
              <w:top w:w="113" w:type="dxa"/>
              <w:bottom w:w="113" w:type="dxa"/>
            </w:tcMar>
          </w:tcPr>
          <w:p w:rsidR="00FA423E" w:rsidRPr="007E4934" w:rsidRDefault="00FA423E" w:rsidP="00DC1333">
            <w:pPr>
              <w:ind w:left="441" w:hanging="413"/>
              <w:jc w:val="center"/>
              <w:rPr>
                <w:sz w:val="16"/>
                <w:szCs w:val="16"/>
                <w:lang w:bidi="th-TH"/>
              </w:rPr>
            </w:pPr>
            <w:r w:rsidRPr="007E4934">
              <w:rPr>
                <w:sz w:val="16"/>
                <w:szCs w:val="16"/>
                <w:lang w:val="es-ES_tradnl" w:bidi="th-TH"/>
              </w:rPr>
              <w:t>Programa 20</w:t>
            </w:r>
          </w:p>
        </w:tc>
        <w:tc>
          <w:tcPr>
            <w:tcW w:w="475" w:type="pct"/>
            <w:shd w:val="clear" w:color="auto" w:fill="FFFFFF"/>
          </w:tcPr>
          <w:p w:rsidR="00FA423E" w:rsidRPr="00CC3F44" w:rsidRDefault="00FA423E" w:rsidP="00DC1333">
            <w:pPr>
              <w:jc w:val="center"/>
            </w:pPr>
            <w:r w:rsidRPr="00CC3F44">
              <w:rPr>
                <w:color w:val="FF0000"/>
                <w:szCs w:val="22"/>
              </w:rPr>
              <w:sym w:font="Wingdings" w:char="F06C"/>
            </w:r>
            <w:r w:rsidRPr="00CC3F44">
              <w:rPr>
                <w:color w:val="FF0000"/>
                <w:szCs w:val="22"/>
              </w:rPr>
              <w:sym w:font="Wingdings" w:char="F06C"/>
            </w:r>
            <w:r w:rsidRPr="00CC3F44">
              <w:rPr>
                <w:color w:val="008000"/>
                <w:szCs w:val="22"/>
              </w:rPr>
              <w:sym w:font="Wingdings" w:char="F06C"/>
            </w:r>
          </w:p>
        </w:tc>
      </w:tr>
      <w:tr w:rsidR="00FA423E" w:rsidRPr="00811500" w:rsidTr="00DC1333">
        <w:trPr>
          <w:cantSplit/>
          <w:trHeight w:val="672"/>
        </w:trPr>
        <w:tc>
          <w:tcPr>
            <w:tcW w:w="1424" w:type="pct"/>
            <w:shd w:val="clear" w:color="auto" w:fill="auto"/>
            <w:tcMar>
              <w:top w:w="113" w:type="dxa"/>
              <w:bottom w:w="113" w:type="dxa"/>
            </w:tcMar>
          </w:tcPr>
          <w:p w:rsidR="00FA423E" w:rsidRPr="007E4934" w:rsidRDefault="00FA423E" w:rsidP="00DC1333">
            <w:pPr>
              <w:rPr>
                <w:sz w:val="16"/>
                <w:szCs w:val="16"/>
              </w:rPr>
            </w:pPr>
          </w:p>
        </w:tc>
        <w:tc>
          <w:tcPr>
            <w:tcW w:w="2247" w:type="pct"/>
            <w:shd w:val="clear" w:color="auto" w:fill="auto"/>
            <w:tcMar>
              <w:top w:w="113" w:type="dxa"/>
              <w:bottom w:w="113" w:type="dxa"/>
            </w:tcMar>
          </w:tcPr>
          <w:p w:rsidR="00FA423E" w:rsidRPr="007E4934" w:rsidRDefault="00FA423E" w:rsidP="00DC1333">
            <w:pPr>
              <w:rPr>
                <w:sz w:val="16"/>
                <w:szCs w:val="16"/>
              </w:rPr>
            </w:pPr>
            <w:r w:rsidRPr="007E4934">
              <w:rPr>
                <w:sz w:val="16"/>
                <w:szCs w:val="16"/>
                <w:lang w:val="es-ES_tradnl"/>
              </w:rPr>
              <w:t>Porcentaje de encargados de la adopción de políticas, funcionarios gubernamentales, profesionales de la P.I. y participantes en talleres con un mayor conocimiento del PCT y los temas conexos</w:t>
            </w:r>
          </w:p>
        </w:tc>
        <w:tc>
          <w:tcPr>
            <w:tcW w:w="854" w:type="pct"/>
            <w:shd w:val="clear" w:color="auto" w:fill="FFFFFF"/>
            <w:tcMar>
              <w:top w:w="113" w:type="dxa"/>
              <w:bottom w:w="113" w:type="dxa"/>
            </w:tcMar>
          </w:tcPr>
          <w:p w:rsidR="00FA423E" w:rsidRPr="007E4934" w:rsidRDefault="00FA423E" w:rsidP="00DC1333">
            <w:pPr>
              <w:ind w:left="441" w:hanging="413"/>
              <w:jc w:val="center"/>
              <w:rPr>
                <w:sz w:val="16"/>
                <w:szCs w:val="16"/>
                <w:lang w:bidi="th-TH"/>
              </w:rPr>
            </w:pPr>
            <w:r w:rsidRPr="007E4934">
              <w:rPr>
                <w:sz w:val="16"/>
                <w:szCs w:val="16"/>
                <w:lang w:val="es-ES_tradnl" w:bidi="th-TH"/>
              </w:rPr>
              <w:t>Programa 20</w:t>
            </w:r>
          </w:p>
        </w:tc>
        <w:tc>
          <w:tcPr>
            <w:tcW w:w="475" w:type="pct"/>
            <w:shd w:val="clear" w:color="auto" w:fill="FFFFFF"/>
          </w:tcPr>
          <w:p w:rsidR="00FA423E" w:rsidRPr="00CC3F44" w:rsidRDefault="00FA423E" w:rsidP="00DC1333">
            <w:pPr>
              <w:jc w:val="center"/>
            </w:pPr>
            <w:r w:rsidRPr="00CC3F44">
              <w:rPr>
                <w:color w:val="008000"/>
                <w:szCs w:val="22"/>
              </w:rPr>
              <w:sym w:font="Wingdings" w:char="F06C"/>
            </w:r>
            <w:r w:rsidRPr="00CC3F44">
              <w:rPr>
                <w:color w:val="008000"/>
                <w:szCs w:val="22"/>
              </w:rPr>
              <w:sym w:font="Wingdings" w:char="F06C"/>
            </w:r>
            <w:r w:rsidRPr="00CC3F44">
              <w:rPr>
                <w:color w:val="008000"/>
                <w:szCs w:val="22"/>
              </w:rPr>
              <w:sym w:font="Wingdings" w:char="F06C"/>
            </w:r>
          </w:p>
        </w:tc>
      </w:tr>
      <w:tr w:rsidR="00FA423E" w:rsidRPr="00811500" w:rsidTr="00DC1333">
        <w:trPr>
          <w:cantSplit/>
          <w:trHeight w:val="518"/>
        </w:trPr>
        <w:tc>
          <w:tcPr>
            <w:tcW w:w="1424" w:type="pct"/>
            <w:shd w:val="clear" w:color="auto" w:fill="auto"/>
            <w:tcMar>
              <w:top w:w="113" w:type="dxa"/>
              <w:bottom w:w="113" w:type="dxa"/>
            </w:tcMar>
          </w:tcPr>
          <w:p w:rsidR="00FA423E" w:rsidRPr="007E4934" w:rsidRDefault="00FA423E" w:rsidP="00DC1333">
            <w:pPr>
              <w:autoSpaceDE w:val="0"/>
              <w:autoSpaceDN w:val="0"/>
              <w:adjustRightInd w:val="0"/>
              <w:rPr>
                <w:sz w:val="16"/>
                <w:szCs w:val="16"/>
                <w:lang w:bidi="th-TH"/>
              </w:rPr>
            </w:pPr>
            <w:r w:rsidRPr="007E4934">
              <w:rPr>
                <w:sz w:val="16"/>
                <w:szCs w:val="16"/>
                <w:lang w:val="es-ES_tradnl" w:bidi="th-TH"/>
              </w:rPr>
              <w:t>II.2 Mejora del sistema del PCT</w:t>
            </w:r>
            <w:r w:rsidRPr="007E4934">
              <w:rPr>
                <w:sz w:val="16"/>
                <w:szCs w:val="16"/>
                <w:lang w:bidi="th-TH"/>
              </w:rPr>
              <w:t xml:space="preserve"> </w:t>
            </w:r>
          </w:p>
          <w:p w:rsidR="00FA423E" w:rsidRPr="007E4934" w:rsidRDefault="00FA423E" w:rsidP="00DC1333">
            <w:pPr>
              <w:rPr>
                <w:sz w:val="16"/>
                <w:szCs w:val="16"/>
              </w:rPr>
            </w:pPr>
          </w:p>
        </w:tc>
        <w:tc>
          <w:tcPr>
            <w:tcW w:w="2247" w:type="pct"/>
            <w:shd w:val="clear" w:color="auto" w:fill="auto"/>
            <w:tcMar>
              <w:top w:w="113" w:type="dxa"/>
              <w:bottom w:w="113" w:type="dxa"/>
            </w:tcMar>
          </w:tcPr>
          <w:p w:rsidR="00FA423E" w:rsidRPr="007E4934" w:rsidRDefault="00FA423E" w:rsidP="00DC1333">
            <w:pPr>
              <w:rPr>
                <w:sz w:val="16"/>
                <w:szCs w:val="16"/>
              </w:rPr>
            </w:pPr>
            <w:r w:rsidRPr="007E4934">
              <w:rPr>
                <w:sz w:val="16"/>
                <w:szCs w:val="16"/>
                <w:lang w:val="es-ES_tradnl"/>
              </w:rPr>
              <w:t>Continuo desarrollo del sistema del PCT, sobre todo gracias a la aplicación de las recomendaciones de la hoja de ruta del PCT suscritas por los Estados miembros del PCT</w:t>
            </w:r>
          </w:p>
        </w:tc>
        <w:tc>
          <w:tcPr>
            <w:tcW w:w="854" w:type="pct"/>
            <w:shd w:val="clear" w:color="auto" w:fill="FFFFFF"/>
            <w:tcMar>
              <w:top w:w="113" w:type="dxa"/>
              <w:bottom w:w="113" w:type="dxa"/>
            </w:tcMar>
          </w:tcPr>
          <w:p w:rsidR="00FA423E" w:rsidRPr="007E4934" w:rsidRDefault="00FA423E" w:rsidP="00DC1333">
            <w:pPr>
              <w:ind w:left="441" w:hanging="413"/>
              <w:jc w:val="center"/>
              <w:rPr>
                <w:sz w:val="16"/>
                <w:szCs w:val="16"/>
                <w:lang w:bidi="th-TH"/>
              </w:rPr>
            </w:pPr>
            <w:r w:rsidRPr="007E4934">
              <w:rPr>
                <w:sz w:val="16"/>
                <w:szCs w:val="16"/>
                <w:lang w:val="es-ES_tradnl" w:bidi="th-TH"/>
              </w:rPr>
              <w:t>Programa 5</w:t>
            </w:r>
          </w:p>
        </w:tc>
        <w:tc>
          <w:tcPr>
            <w:tcW w:w="475" w:type="pct"/>
            <w:shd w:val="clear" w:color="auto" w:fill="FFFFFF"/>
          </w:tcPr>
          <w:p w:rsidR="00FA423E" w:rsidRPr="00CC3F44" w:rsidRDefault="00FA423E" w:rsidP="00DC1333">
            <w:pPr>
              <w:spacing w:before="40"/>
              <w:jc w:val="center"/>
            </w:pPr>
            <w:r w:rsidRPr="00CC3F44">
              <w:rPr>
                <w:color w:val="008000"/>
                <w:szCs w:val="22"/>
              </w:rPr>
              <w:sym w:font="Wingdings" w:char="F06C"/>
            </w:r>
          </w:p>
        </w:tc>
      </w:tr>
      <w:tr w:rsidR="00FA423E" w:rsidRPr="00811500" w:rsidTr="00DC1333">
        <w:trPr>
          <w:cantSplit/>
          <w:trHeight w:val="221"/>
        </w:trPr>
        <w:tc>
          <w:tcPr>
            <w:tcW w:w="1424" w:type="pct"/>
            <w:shd w:val="clear" w:color="auto" w:fill="auto"/>
            <w:tcMar>
              <w:top w:w="113" w:type="dxa"/>
              <w:bottom w:w="113" w:type="dxa"/>
            </w:tcMar>
          </w:tcPr>
          <w:p w:rsidR="00FA423E" w:rsidRPr="007E4934" w:rsidRDefault="00FA423E" w:rsidP="00DC1333">
            <w:pPr>
              <w:rPr>
                <w:sz w:val="16"/>
                <w:szCs w:val="16"/>
              </w:rPr>
            </w:pPr>
          </w:p>
        </w:tc>
        <w:tc>
          <w:tcPr>
            <w:tcW w:w="2247" w:type="pct"/>
            <w:shd w:val="clear" w:color="auto" w:fill="auto"/>
            <w:tcMar>
              <w:top w:w="113" w:type="dxa"/>
              <w:bottom w:w="113" w:type="dxa"/>
            </w:tcMar>
          </w:tcPr>
          <w:p w:rsidR="00FA423E" w:rsidRPr="007E4934" w:rsidRDefault="00FA423E" w:rsidP="00DC1333">
            <w:pPr>
              <w:rPr>
                <w:sz w:val="16"/>
                <w:szCs w:val="16"/>
              </w:rPr>
            </w:pPr>
            <w:r w:rsidRPr="007E4934">
              <w:rPr>
                <w:sz w:val="16"/>
                <w:szCs w:val="16"/>
                <w:lang w:val="es-ES_tradnl"/>
              </w:rPr>
              <w:t>Mejora de los servicios electrónicos dirigidos a solicitantes, terceros, oficinas y Administraciones</w:t>
            </w:r>
          </w:p>
        </w:tc>
        <w:tc>
          <w:tcPr>
            <w:tcW w:w="854" w:type="pct"/>
            <w:shd w:val="clear" w:color="auto" w:fill="FFFFFF"/>
            <w:tcMar>
              <w:top w:w="113" w:type="dxa"/>
              <w:bottom w:w="113" w:type="dxa"/>
            </w:tcMar>
          </w:tcPr>
          <w:p w:rsidR="00FA423E" w:rsidRPr="007E4934" w:rsidRDefault="00FA423E" w:rsidP="00DC1333">
            <w:pPr>
              <w:ind w:left="441" w:hanging="413"/>
              <w:jc w:val="center"/>
              <w:rPr>
                <w:sz w:val="16"/>
                <w:szCs w:val="16"/>
                <w:lang w:bidi="th-TH"/>
              </w:rPr>
            </w:pPr>
            <w:r w:rsidRPr="007E4934">
              <w:rPr>
                <w:sz w:val="16"/>
                <w:szCs w:val="16"/>
                <w:lang w:val="es-ES_tradnl" w:bidi="th-TH"/>
              </w:rPr>
              <w:t>Programa 5</w:t>
            </w:r>
          </w:p>
        </w:tc>
        <w:tc>
          <w:tcPr>
            <w:tcW w:w="475" w:type="pct"/>
            <w:shd w:val="clear" w:color="auto" w:fill="FFFFFF"/>
          </w:tcPr>
          <w:p w:rsidR="00FA423E" w:rsidRPr="00CC3F44" w:rsidRDefault="00FA423E" w:rsidP="00DC1333">
            <w:pPr>
              <w:spacing w:before="40"/>
              <w:jc w:val="center"/>
            </w:pPr>
            <w:r w:rsidRPr="00CC3F44">
              <w:rPr>
                <w:color w:val="008000"/>
                <w:szCs w:val="22"/>
              </w:rPr>
              <w:sym w:font="Wingdings" w:char="F06C"/>
            </w:r>
          </w:p>
        </w:tc>
      </w:tr>
      <w:tr w:rsidR="00FA423E" w:rsidRPr="00811500" w:rsidTr="00DC1333">
        <w:trPr>
          <w:cantSplit/>
          <w:trHeight w:val="45"/>
        </w:trPr>
        <w:tc>
          <w:tcPr>
            <w:tcW w:w="1424" w:type="pct"/>
            <w:shd w:val="clear" w:color="auto" w:fill="auto"/>
            <w:tcMar>
              <w:top w:w="113" w:type="dxa"/>
              <w:bottom w:w="113" w:type="dxa"/>
            </w:tcMar>
          </w:tcPr>
          <w:p w:rsidR="00FA423E" w:rsidRPr="007E4934" w:rsidRDefault="00FA423E" w:rsidP="00DC1333">
            <w:pPr>
              <w:rPr>
                <w:sz w:val="16"/>
                <w:szCs w:val="16"/>
              </w:rPr>
            </w:pPr>
            <w:r w:rsidRPr="007E4934">
              <w:rPr>
                <w:sz w:val="16"/>
                <w:szCs w:val="16"/>
                <w:lang w:val="es-ES_tradnl"/>
              </w:rPr>
              <w:lastRenderedPageBreak/>
              <w:t>II.3 Mejora de la productividad y de la calidad de los servicios en las operaciones del PCT</w:t>
            </w:r>
          </w:p>
        </w:tc>
        <w:tc>
          <w:tcPr>
            <w:tcW w:w="2247" w:type="pct"/>
            <w:shd w:val="clear" w:color="auto" w:fill="auto"/>
            <w:tcMar>
              <w:top w:w="113" w:type="dxa"/>
              <w:bottom w:w="113" w:type="dxa"/>
            </w:tcMar>
          </w:tcPr>
          <w:p w:rsidR="00FA423E" w:rsidRPr="007E4934" w:rsidRDefault="00FA423E" w:rsidP="00DC1333">
            <w:pPr>
              <w:rPr>
                <w:sz w:val="16"/>
                <w:szCs w:val="16"/>
              </w:rPr>
            </w:pPr>
            <w:r w:rsidRPr="007E4934">
              <w:rPr>
                <w:sz w:val="16"/>
                <w:szCs w:val="16"/>
                <w:lang w:val="es-ES_tradnl"/>
              </w:rPr>
              <w:t>Costo unitario de tramitación de las solicitudes</w:t>
            </w:r>
            <w:r w:rsidRPr="007E4934">
              <w:rPr>
                <w:sz w:val="16"/>
                <w:szCs w:val="16"/>
              </w:rPr>
              <w:t xml:space="preserve"> </w:t>
            </w:r>
          </w:p>
          <w:p w:rsidR="00FA423E" w:rsidRPr="007E4934" w:rsidRDefault="00FA423E" w:rsidP="00DC1333">
            <w:pPr>
              <w:rPr>
                <w:sz w:val="16"/>
                <w:szCs w:val="16"/>
              </w:rPr>
            </w:pPr>
          </w:p>
          <w:p w:rsidR="00FA423E" w:rsidRPr="007E4934" w:rsidRDefault="00FA423E" w:rsidP="00DC1333">
            <w:pPr>
              <w:rPr>
                <w:sz w:val="16"/>
                <w:szCs w:val="16"/>
              </w:rPr>
            </w:pPr>
            <w:r w:rsidRPr="007E4934">
              <w:rPr>
                <w:sz w:val="16"/>
                <w:szCs w:val="16"/>
                <w:lang w:val="es-ES_tradnl"/>
              </w:rPr>
              <w:t>Calidad global del examen de forma (incluido el tiempo empleado)</w:t>
            </w:r>
          </w:p>
        </w:tc>
        <w:tc>
          <w:tcPr>
            <w:tcW w:w="854" w:type="pct"/>
            <w:shd w:val="clear" w:color="auto" w:fill="FFFFFF"/>
            <w:tcMar>
              <w:top w:w="113" w:type="dxa"/>
              <w:bottom w:w="113" w:type="dxa"/>
            </w:tcMar>
          </w:tcPr>
          <w:p w:rsidR="00FA423E" w:rsidRPr="007E4934" w:rsidRDefault="00FA423E" w:rsidP="00DC1333">
            <w:pPr>
              <w:ind w:left="441" w:hanging="413"/>
              <w:jc w:val="center"/>
              <w:rPr>
                <w:sz w:val="16"/>
                <w:szCs w:val="16"/>
                <w:lang w:bidi="th-TH"/>
              </w:rPr>
            </w:pPr>
            <w:r w:rsidRPr="007E4934">
              <w:rPr>
                <w:sz w:val="16"/>
                <w:szCs w:val="16"/>
                <w:lang w:val="es-ES_tradnl" w:bidi="th-TH"/>
              </w:rPr>
              <w:t>Programa 5</w:t>
            </w:r>
          </w:p>
          <w:p w:rsidR="00FA423E" w:rsidRPr="007E4934" w:rsidRDefault="00FA423E" w:rsidP="00DC1333">
            <w:pPr>
              <w:ind w:left="441" w:hanging="413"/>
              <w:jc w:val="center"/>
              <w:rPr>
                <w:sz w:val="16"/>
                <w:szCs w:val="16"/>
                <w:lang w:bidi="th-TH"/>
              </w:rPr>
            </w:pPr>
          </w:p>
          <w:p w:rsidR="00FA423E" w:rsidRPr="007E4934" w:rsidRDefault="00FA423E" w:rsidP="00DC1333">
            <w:pPr>
              <w:ind w:left="441" w:hanging="413"/>
              <w:jc w:val="center"/>
              <w:rPr>
                <w:sz w:val="16"/>
                <w:szCs w:val="16"/>
                <w:lang w:bidi="th-TH"/>
              </w:rPr>
            </w:pPr>
            <w:r w:rsidRPr="007E4934">
              <w:rPr>
                <w:sz w:val="16"/>
                <w:szCs w:val="16"/>
                <w:lang w:val="es-ES_tradnl" w:bidi="th-TH"/>
              </w:rPr>
              <w:t>Programa 5</w:t>
            </w:r>
          </w:p>
        </w:tc>
        <w:tc>
          <w:tcPr>
            <w:tcW w:w="475" w:type="pct"/>
            <w:shd w:val="clear" w:color="auto" w:fill="FFFFFF"/>
          </w:tcPr>
          <w:p w:rsidR="00FA423E" w:rsidRDefault="00FA423E" w:rsidP="00DC1333">
            <w:pPr>
              <w:spacing w:before="40"/>
              <w:jc w:val="center"/>
              <w:rPr>
                <w:color w:val="008000"/>
                <w:szCs w:val="22"/>
              </w:rPr>
            </w:pPr>
            <w:r w:rsidRPr="00CC3F44">
              <w:rPr>
                <w:color w:val="008000"/>
                <w:szCs w:val="22"/>
              </w:rPr>
              <w:sym w:font="Wingdings" w:char="F06C"/>
            </w:r>
            <w:r w:rsidRPr="00CC3F44">
              <w:rPr>
                <w:color w:val="FF0000"/>
                <w:szCs w:val="22"/>
              </w:rPr>
              <w:sym w:font="Wingdings" w:char="F06C"/>
            </w:r>
            <w:r w:rsidRPr="00CC3F44">
              <w:rPr>
                <w:color w:val="008000"/>
                <w:szCs w:val="22"/>
              </w:rPr>
              <w:sym w:font="Wingdings" w:char="F06C"/>
            </w:r>
          </w:p>
          <w:p w:rsidR="00FA423E" w:rsidRPr="00CC3F44" w:rsidRDefault="00FA423E" w:rsidP="00DC1333">
            <w:pPr>
              <w:spacing w:before="40"/>
              <w:jc w:val="center"/>
            </w:pPr>
            <w:r w:rsidRPr="00CC3F44">
              <w:rPr>
                <w:color w:val="008000"/>
                <w:szCs w:val="22"/>
              </w:rPr>
              <w:sym w:font="Wingdings" w:char="F06C"/>
            </w:r>
          </w:p>
        </w:tc>
      </w:tr>
      <w:tr w:rsidR="00FA423E" w:rsidRPr="00811500" w:rsidTr="00DC1333">
        <w:trPr>
          <w:cantSplit/>
          <w:trHeight w:val="201"/>
        </w:trPr>
        <w:tc>
          <w:tcPr>
            <w:tcW w:w="1424" w:type="pct"/>
            <w:shd w:val="clear" w:color="auto" w:fill="auto"/>
            <w:tcMar>
              <w:top w:w="113" w:type="dxa"/>
              <w:bottom w:w="113" w:type="dxa"/>
            </w:tcMar>
          </w:tcPr>
          <w:p w:rsidR="00FA423E" w:rsidRPr="007E4934" w:rsidRDefault="00FA423E" w:rsidP="00DC1333">
            <w:pPr>
              <w:rPr>
                <w:sz w:val="16"/>
                <w:szCs w:val="16"/>
              </w:rPr>
            </w:pPr>
          </w:p>
        </w:tc>
        <w:tc>
          <w:tcPr>
            <w:tcW w:w="2247" w:type="pct"/>
            <w:shd w:val="clear" w:color="auto" w:fill="auto"/>
            <w:tcMar>
              <w:top w:w="113" w:type="dxa"/>
              <w:bottom w:w="113" w:type="dxa"/>
            </w:tcMar>
          </w:tcPr>
          <w:p w:rsidR="00FA423E" w:rsidRPr="007E4934" w:rsidRDefault="00FA423E" w:rsidP="00DC1333">
            <w:pPr>
              <w:rPr>
                <w:sz w:val="16"/>
                <w:szCs w:val="16"/>
              </w:rPr>
            </w:pPr>
            <w:r w:rsidRPr="007E4934">
              <w:rPr>
                <w:sz w:val="16"/>
                <w:szCs w:val="16"/>
                <w:lang w:val="es-ES_tradnl"/>
              </w:rPr>
              <w:t>Calidad de las traducciones</w:t>
            </w:r>
          </w:p>
        </w:tc>
        <w:tc>
          <w:tcPr>
            <w:tcW w:w="854" w:type="pct"/>
            <w:shd w:val="clear" w:color="auto" w:fill="FFFFFF"/>
            <w:tcMar>
              <w:top w:w="113" w:type="dxa"/>
              <w:bottom w:w="113" w:type="dxa"/>
            </w:tcMar>
          </w:tcPr>
          <w:p w:rsidR="00FA423E" w:rsidRPr="007E4934" w:rsidRDefault="00FA423E" w:rsidP="00DC1333">
            <w:pPr>
              <w:ind w:left="441" w:hanging="413"/>
              <w:jc w:val="center"/>
              <w:rPr>
                <w:sz w:val="16"/>
                <w:szCs w:val="16"/>
                <w:lang w:bidi="th-TH"/>
              </w:rPr>
            </w:pPr>
            <w:r w:rsidRPr="007E4934">
              <w:rPr>
                <w:sz w:val="16"/>
                <w:szCs w:val="16"/>
                <w:lang w:val="es-ES_tradnl" w:bidi="th-TH"/>
              </w:rPr>
              <w:t>Programa 5</w:t>
            </w:r>
          </w:p>
        </w:tc>
        <w:tc>
          <w:tcPr>
            <w:tcW w:w="475" w:type="pct"/>
            <w:shd w:val="clear" w:color="auto" w:fill="FFFFFF"/>
          </w:tcPr>
          <w:p w:rsidR="00FA423E" w:rsidRPr="00CC3F44" w:rsidRDefault="00FA423E" w:rsidP="00DC1333">
            <w:pPr>
              <w:spacing w:before="40"/>
              <w:jc w:val="center"/>
            </w:pPr>
            <w:r w:rsidRPr="00CC3F44">
              <w:rPr>
                <w:color w:val="008000"/>
                <w:szCs w:val="22"/>
              </w:rPr>
              <w:sym w:font="Wingdings" w:char="F06C"/>
            </w:r>
          </w:p>
        </w:tc>
      </w:tr>
      <w:tr w:rsidR="00FA423E" w:rsidRPr="00811500" w:rsidTr="00DC1333">
        <w:trPr>
          <w:cantSplit/>
          <w:trHeight w:val="225"/>
        </w:trPr>
        <w:tc>
          <w:tcPr>
            <w:tcW w:w="1424" w:type="pct"/>
            <w:shd w:val="clear" w:color="auto" w:fill="auto"/>
            <w:tcMar>
              <w:top w:w="113" w:type="dxa"/>
              <w:bottom w:w="113" w:type="dxa"/>
            </w:tcMar>
          </w:tcPr>
          <w:p w:rsidR="00FA423E" w:rsidRPr="007E4934" w:rsidRDefault="00FA423E" w:rsidP="00DC1333">
            <w:pPr>
              <w:rPr>
                <w:sz w:val="16"/>
                <w:szCs w:val="16"/>
              </w:rPr>
            </w:pPr>
          </w:p>
        </w:tc>
        <w:tc>
          <w:tcPr>
            <w:tcW w:w="2247" w:type="pct"/>
            <w:shd w:val="clear" w:color="auto" w:fill="auto"/>
            <w:tcMar>
              <w:top w:w="57" w:type="dxa"/>
              <w:bottom w:w="57" w:type="dxa"/>
            </w:tcMar>
          </w:tcPr>
          <w:p w:rsidR="00FA423E" w:rsidRPr="007E4934" w:rsidRDefault="00FA423E" w:rsidP="00DC1333">
            <w:pPr>
              <w:tabs>
                <w:tab w:val="left" w:pos="1860"/>
              </w:tabs>
              <w:rPr>
                <w:sz w:val="16"/>
                <w:szCs w:val="16"/>
              </w:rPr>
            </w:pPr>
            <w:r w:rsidRPr="007E4934">
              <w:rPr>
                <w:sz w:val="16"/>
                <w:szCs w:val="16"/>
                <w:lang w:val="es-ES_tradnl"/>
              </w:rPr>
              <w:t>Plazos de traducción de los informes</w:t>
            </w:r>
          </w:p>
        </w:tc>
        <w:tc>
          <w:tcPr>
            <w:tcW w:w="854" w:type="pct"/>
            <w:shd w:val="clear" w:color="auto" w:fill="FFFFFF"/>
            <w:tcMar>
              <w:top w:w="113" w:type="dxa"/>
              <w:bottom w:w="113" w:type="dxa"/>
            </w:tcMar>
          </w:tcPr>
          <w:p w:rsidR="00FA423E" w:rsidRPr="007E4934" w:rsidRDefault="00FA423E" w:rsidP="00DC1333">
            <w:pPr>
              <w:ind w:left="441" w:hanging="413"/>
              <w:jc w:val="center"/>
              <w:rPr>
                <w:sz w:val="16"/>
                <w:szCs w:val="16"/>
                <w:lang w:bidi="th-TH"/>
              </w:rPr>
            </w:pPr>
            <w:r w:rsidRPr="007E4934">
              <w:rPr>
                <w:sz w:val="16"/>
                <w:szCs w:val="16"/>
                <w:lang w:val="es-ES_tradnl" w:bidi="th-TH"/>
              </w:rPr>
              <w:t>Programa 5</w:t>
            </w:r>
          </w:p>
        </w:tc>
        <w:tc>
          <w:tcPr>
            <w:tcW w:w="475" w:type="pct"/>
            <w:shd w:val="clear" w:color="auto" w:fill="FFFFFF"/>
          </w:tcPr>
          <w:p w:rsidR="00FA423E" w:rsidRPr="00CC3F44" w:rsidRDefault="00FA423E" w:rsidP="00DC1333">
            <w:pPr>
              <w:spacing w:before="40"/>
              <w:jc w:val="center"/>
            </w:pPr>
            <w:r w:rsidRPr="00CC3F44">
              <w:rPr>
                <w:color w:val="008000"/>
                <w:szCs w:val="22"/>
              </w:rPr>
              <w:sym w:font="Wingdings" w:char="F06C"/>
            </w:r>
          </w:p>
        </w:tc>
      </w:tr>
      <w:tr w:rsidR="00FA423E" w:rsidRPr="00811500" w:rsidTr="00DC1333">
        <w:trPr>
          <w:cantSplit/>
          <w:trHeight w:val="133"/>
        </w:trPr>
        <w:tc>
          <w:tcPr>
            <w:tcW w:w="1424" w:type="pct"/>
            <w:shd w:val="clear" w:color="auto" w:fill="auto"/>
            <w:tcMar>
              <w:top w:w="113" w:type="dxa"/>
              <w:bottom w:w="113" w:type="dxa"/>
            </w:tcMar>
          </w:tcPr>
          <w:p w:rsidR="00FA423E" w:rsidRPr="007E4934" w:rsidRDefault="00FA423E" w:rsidP="00DC1333">
            <w:pPr>
              <w:rPr>
                <w:sz w:val="16"/>
                <w:szCs w:val="16"/>
              </w:rPr>
            </w:pPr>
          </w:p>
        </w:tc>
        <w:tc>
          <w:tcPr>
            <w:tcW w:w="2247" w:type="pct"/>
            <w:shd w:val="clear" w:color="auto" w:fill="auto"/>
            <w:tcMar>
              <w:top w:w="57" w:type="dxa"/>
              <w:bottom w:w="57" w:type="dxa"/>
            </w:tcMar>
          </w:tcPr>
          <w:p w:rsidR="00FA423E" w:rsidRPr="007E4934" w:rsidRDefault="00FA423E" w:rsidP="00DC1333">
            <w:pPr>
              <w:rPr>
                <w:sz w:val="16"/>
                <w:szCs w:val="16"/>
              </w:rPr>
            </w:pPr>
            <w:r w:rsidRPr="007E4934">
              <w:rPr>
                <w:sz w:val="16"/>
                <w:szCs w:val="16"/>
                <w:lang w:val="es-ES_tradnl"/>
              </w:rPr>
              <w:t>Calidad del desarrollo de programas informáticos</w:t>
            </w:r>
          </w:p>
        </w:tc>
        <w:tc>
          <w:tcPr>
            <w:tcW w:w="854" w:type="pct"/>
            <w:shd w:val="clear" w:color="auto" w:fill="FFFFFF"/>
            <w:tcMar>
              <w:top w:w="113" w:type="dxa"/>
              <w:bottom w:w="113" w:type="dxa"/>
            </w:tcMar>
          </w:tcPr>
          <w:p w:rsidR="00FA423E" w:rsidRPr="007E4934" w:rsidRDefault="00FA423E" w:rsidP="00DC1333">
            <w:pPr>
              <w:ind w:left="441" w:hanging="413"/>
              <w:jc w:val="center"/>
              <w:rPr>
                <w:sz w:val="16"/>
                <w:szCs w:val="16"/>
                <w:lang w:bidi="th-TH"/>
              </w:rPr>
            </w:pPr>
            <w:r w:rsidRPr="007E4934">
              <w:rPr>
                <w:sz w:val="16"/>
                <w:szCs w:val="16"/>
                <w:lang w:val="es-ES_tradnl" w:bidi="th-TH"/>
              </w:rPr>
              <w:t>Programa 5</w:t>
            </w:r>
          </w:p>
        </w:tc>
        <w:tc>
          <w:tcPr>
            <w:tcW w:w="475" w:type="pct"/>
            <w:shd w:val="clear" w:color="auto" w:fill="FFFFFF"/>
          </w:tcPr>
          <w:p w:rsidR="00FA423E" w:rsidRPr="00CC3F44" w:rsidRDefault="00FA423E" w:rsidP="00DC1333">
            <w:pPr>
              <w:spacing w:before="40"/>
              <w:jc w:val="center"/>
            </w:pPr>
            <w:r w:rsidRPr="00CC3F44">
              <w:rPr>
                <w:color w:val="008000"/>
                <w:szCs w:val="22"/>
              </w:rPr>
              <w:sym w:font="Wingdings" w:char="F06C"/>
            </w:r>
          </w:p>
        </w:tc>
      </w:tr>
      <w:tr w:rsidR="00FA423E" w:rsidRPr="00811500" w:rsidTr="00DC1333">
        <w:trPr>
          <w:cantSplit/>
          <w:trHeight w:val="40"/>
        </w:trPr>
        <w:tc>
          <w:tcPr>
            <w:tcW w:w="1424" w:type="pct"/>
            <w:shd w:val="clear" w:color="auto" w:fill="auto"/>
            <w:tcMar>
              <w:top w:w="113" w:type="dxa"/>
              <w:bottom w:w="113" w:type="dxa"/>
            </w:tcMar>
          </w:tcPr>
          <w:p w:rsidR="00FA423E" w:rsidRPr="007E4934" w:rsidRDefault="00FA423E" w:rsidP="00DC1333">
            <w:pPr>
              <w:rPr>
                <w:sz w:val="16"/>
                <w:szCs w:val="16"/>
              </w:rPr>
            </w:pPr>
          </w:p>
        </w:tc>
        <w:tc>
          <w:tcPr>
            <w:tcW w:w="2247" w:type="pct"/>
            <w:shd w:val="clear" w:color="auto" w:fill="auto"/>
            <w:tcMar>
              <w:top w:w="57" w:type="dxa"/>
              <w:bottom w:w="57" w:type="dxa"/>
            </w:tcMar>
          </w:tcPr>
          <w:p w:rsidR="00FA423E" w:rsidRPr="007E4934" w:rsidRDefault="00FA423E" w:rsidP="00DC1333">
            <w:pPr>
              <w:rPr>
                <w:sz w:val="16"/>
                <w:szCs w:val="16"/>
              </w:rPr>
            </w:pPr>
            <w:r w:rsidRPr="007E4934">
              <w:rPr>
                <w:sz w:val="16"/>
                <w:szCs w:val="16"/>
                <w:lang w:val="es-ES_tradnl"/>
              </w:rPr>
              <w:t>Niveles de los servicios prestados por los sistemas de información</w:t>
            </w:r>
          </w:p>
        </w:tc>
        <w:tc>
          <w:tcPr>
            <w:tcW w:w="854" w:type="pct"/>
            <w:shd w:val="clear" w:color="auto" w:fill="FFFFFF"/>
            <w:tcMar>
              <w:top w:w="113" w:type="dxa"/>
              <w:bottom w:w="113" w:type="dxa"/>
            </w:tcMar>
          </w:tcPr>
          <w:p w:rsidR="00FA423E" w:rsidRPr="007E4934" w:rsidRDefault="00FA423E" w:rsidP="00DC1333">
            <w:pPr>
              <w:ind w:left="441" w:hanging="413"/>
              <w:jc w:val="center"/>
              <w:rPr>
                <w:sz w:val="16"/>
                <w:szCs w:val="16"/>
                <w:lang w:bidi="th-TH"/>
              </w:rPr>
            </w:pPr>
            <w:r w:rsidRPr="007E4934">
              <w:rPr>
                <w:sz w:val="16"/>
                <w:szCs w:val="16"/>
                <w:lang w:val="es-ES_tradnl" w:bidi="th-TH"/>
              </w:rPr>
              <w:t>Programa 5</w:t>
            </w:r>
          </w:p>
        </w:tc>
        <w:tc>
          <w:tcPr>
            <w:tcW w:w="475" w:type="pct"/>
            <w:shd w:val="clear" w:color="auto" w:fill="FFFFFF"/>
          </w:tcPr>
          <w:p w:rsidR="00FA423E" w:rsidRPr="00CC3F44" w:rsidRDefault="00FA423E" w:rsidP="00DC1333">
            <w:pPr>
              <w:spacing w:before="40"/>
              <w:jc w:val="center"/>
            </w:pPr>
            <w:r w:rsidRPr="00CC3F44">
              <w:rPr>
                <w:color w:val="008000"/>
                <w:szCs w:val="22"/>
              </w:rPr>
              <w:sym w:font="Wingdings" w:char="F06C"/>
            </w:r>
          </w:p>
        </w:tc>
      </w:tr>
      <w:tr w:rsidR="00FA423E" w:rsidRPr="00811500" w:rsidTr="00DC1333">
        <w:trPr>
          <w:cantSplit/>
          <w:trHeight w:val="180"/>
        </w:trPr>
        <w:tc>
          <w:tcPr>
            <w:tcW w:w="1424" w:type="pct"/>
            <w:shd w:val="clear" w:color="auto" w:fill="auto"/>
            <w:tcMar>
              <w:top w:w="113" w:type="dxa"/>
              <w:bottom w:w="113" w:type="dxa"/>
            </w:tcMar>
          </w:tcPr>
          <w:p w:rsidR="00FA423E" w:rsidRPr="007E4934" w:rsidRDefault="00FA423E" w:rsidP="00DC1333">
            <w:pPr>
              <w:rPr>
                <w:sz w:val="16"/>
                <w:szCs w:val="16"/>
              </w:rPr>
            </w:pPr>
            <w:r w:rsidRPr="007E4934">
              <w:rPr>
                <w:sz w:val="16"/>
                <w:szCs w:val="16"/>
                <w:lang w:val="es-ES_tradnl"/>
              </w:rPr>
              <w:t>II.4 Mayor y más eficaz utilización del Sistema de La Haya, entre otros por los países en desarrollo y los PMA</w:t>
            </w:r>
          </w:p>
        </w:tc>
        <w:tc>
          <w:tcPr>
            <w:tcW w:w="2247" w:type="pct"/>
            <w:shd w:val="clear" w:color="auto" w:fill="auto"/>
            <w:tcMar>
              <w:top w:w="57" w:type="dxa"/>
              <w:bottom w:w="57" w:type="dxa"/>
            </w:tcMar>
          </w:tcPr>
          <w:p w:rsidR="00FA423E" w:rsidRPr="007E4934" w:rsidRDefault="00FA423E" w:rsidP="00DC1333">
            <w:pPr>
              <w:rPr>
                <w:sz w:val="16"/>
                <w:szCs w:val="16"/>
              </w:rPr>
            </w:pPr>
            <w:r w:rsidRPr="007E4934">
              <w:rPr>
                <w:sz w:val="16"/>
                <w:szCs w:val="16"/>
                <w:lang w:val="es-ES_tradnl"/>
              </w:rPr>
              <w:t>Número de solicitudes del Sistema de La Haya procedentes de países con economías en transición y países desarrollados</w:t>
            </w:r>
            <w:r w:rsidRPr="007E4934">
              <w:rPr>
                <w:sz w:val="16"/>
                <w:szCs w:val="16"/>
              </w:rPr>
              <w:t xml:space="preserve"> </w:t>
            </w:r>
          </w:p>
          <w:p w:rsidR="00FA423E" w:rsidRPr="007E4934" w:rsidRDefault="00FA423E" w:rsidP="00DC1333">
            <w:pPr>
              <w:rPr>
                <w:sz w:val="16"/>
                <w:szCs w:val="16"/>
              </w:rPr>
            </w:pPr>
          </w:p>
          <w:p w:rsidR="00FA423E" w:rsidRPr="007E4934" w:rsidRDefault="00FA423E" w:rsidP="00DC1333">
            <w:pPr>
              <w:rPr>
                <w:sz w:val="16"/>
                <w:szCs w:val="16"/>
              </w:rPr>
            </w:pPr>
            <w:r w:rsidRPr="007E4934">
              <w:rPr>
                <w:sz w:val="16"/>
                <w:szCs w:val="16"/>
                <w:lang w:val="es-ES_tradnl"/>
              </w:rPr>
              <w:t>Número de países que han formulado o adoptado políticas en las que se expone su adhesión al Arreglo de La Haya</w:t>
            </w:r>
          </w:p>
        </w:tc>
        <w:tc>
          <w:tcPr>
            <w:tcW w:w="854" w:type="pct"/>
            <w:shd w:val="clear" w:color="auto" w:fill="FFFFFF"/>
            <w:tcMar>
              <w:top w:w="113" w:type="dxa"/>
              <w:bottom w:w="113" w:type="dxa"/>
            </w:tcMar>
          </w:tcPr>
          <w:p w:rsidR="00FA423E" w:rsidRPr="007E4934" w:rsidRDefault="00FA423E" w:rsidP="00DC1333">
            <w:pPr>
              <w:ind w:left="441" w:hanging="413"/>
              <w:jc w:val="center"/>
              <w:rPr>
                <w:sz w:val="16"/>
                <w:szCs w:val="16"/>
                <w:lang w:bidi="th-TH"/>
              </w:rPr>
            </w:pPr>
            <w:r w:rsidRPr="007E4934">
              <w:rPr>
                <w:sz w:val="16"/>
                <w:szCs w:val="16"/>
                <w:lang w:val="es-ES_tradnl" w:bidi="th-TH"/>
              </w:rPr>
              <w:t>Programa 10</w:t>
            </w:r>
          </w:p>
          <w:p w:rsidR="00FA423E" w:rsidRPr="007E4934" w:rsidRDefault="00FA423E" w:rsidP="00DC1333">
            <w:pPr>
              <w:ind w:left="441" w:hanging="413"/>
              <w:jc w:val="center"/>
              <w:rPr>
                <w:sz w:val="16"/>
                <w:szCs w:val="16"/>
                <w:lang w:bidi="th-TH"/>
              </w:rPr>
            </w:pPr>
          </w:p>
          <w:p w:rsidR="00FA423E" w:rsidRPr="007E4934" w:rsidRDefault="00FA423E" w:rsidP="00DC1333">
            <w:pPr>
              <w:ind w:left="441" w:hanging="413"/>
              <w:jc w:val="center"/>
              <w:rPr>
                <w:sz w:val="16"/>
                <w:szCs w:val="16"/>
                <w:lang w:bidi="th-TH"/>
              </w:rPr>
            </w:pPr>
          </w:p>
          <w:p w:rsidR="00FA423E" w:rsidRPr="007E4934" w:rsidRDefault="00FA423E" w:rsidP="00DC1333">
            <w:pPr>
              <w:ind w:left="441" w:hanging="413"/>
              <w:jc w:val="center"/>
              <w:rPr>
                <w:sz w:val="16"/>
                <w:szCs w:val="16"/>
                <w:lang w:bidi="th-TH"/>
              </w:rPr>
            </w:pPr>
            <w:r w:rsidRPr="007E4934">
              <w:rPr>
                <w:sz w:val="16"/>
                <w:szCs w:val="16"/>
                <w:lang w:val="es-ES_tradnl" w:bidi="th-TH"/>
              </w:rPr>
              <w:t>Programa 20</w:t>
            </w:r>
          </w:p>
        </w:tc>
        <w:tc>
          <w:tcPr>
            <w:tcW w:w="475" w:type="pct"/>
            <w:shd w:val="clear" w:color="auto" w:fill="FFFFFF"/>
          </w:tcPr>
          <w:p w:rsidR="00FA423E" w:rsidRDefault="00FA423E" w:rsidP="00DC1333">
            <w:pPr>
              <w:jc w:val="center"/>
              <w:rPr>
                <w:color w:val="008000"/>
                <w:szCs w:val="22"/>
              </w:rPr>
            </w:pPr>
            <w:r w:rsidRPr="00CC3F44">
              <w:rPr>
                <w:color w:val="008000"/>
                <w:szCs w:val="22"/>
              </w:rPr>
              <w:sym w:font="Wingdings" w:char="F06C"/>
            </w:r>
          </w:p>
          <w:p w:rsidR="00FA423E" w:rsidRDefault="00FA423E" w:rsidP="00DC1333">
            <w:pPr>
              <w:jc w:val="center"/>
              <w:rPr>
                <w:color w:val="A6A6A6" w:themeColor="background1" w:themeShade="A6"/>
                <w:szCs w:val="22"/>
              </w:rPr>
            </w:pPr>
          </w:p>
          <w:p w:rsidR="00FA423E" w:rsidRPr="00CC3F44" w:rsidRDefault="00FA423E" w:rsidP="00DC1333">
            <w:pPr>
              <w:jc w:val="center"/>
            </w:pPr>
            <w:r w:rsidRPr="00CC3F44">
              <w:rPr>
                <w:color w:val="008000"/>
                <w:szCs w:val="22"/>
              </w:rPr>
              <w:sym w:font="Wingdings" w:char="F06C"/>
            </w:r>
          </w:p>
        </w:tc>
      </w:tr>
      <w:tr w:rsidR="00FA423E" w:rsidRPr="00811500" w:rsidTr="00DC1333">
        <w:trPr>
          <w:cantSplit/>
          <w:trHeight w:val="696"/>
        </w:trPr>
        <w:tc>
          <w:tcPr>
            <w:tcW w:w="1424" w:type="pct"/>
            <w:shd w:val="clear" w:color="auto" w:fill="auto"/>
            <w:tcMar>
              <w:top w:w="113" w:type="dxa"/>
              <w:bottom w:w="113" w:type="dxa"/>
            </w:tcMar>
          </w:tcPr>
          <w:p w:rsidR="00FA423E" w:rsidRPr="007E4934" w:rsidRDefault="00FA423E" w:rsidP="00DC1333">
            <w:pPr>
              <w:rPr>
                <w:sz w:val="16"/>
                <w:szCs w:val="16"/>
              </w:rPr>
            </w:pPr>
          </w:p>
        </w:tc>
        <w:tc>
          <w:tcPr>
            <w:tcW w:w="2247" w:type="pct"/>
            <w:shd w:val="clear" w:color="auto" w:fill="auto"/>
            <w:tcMar>
              <w:top w:w="57" w:type="dxa"/>
              <w:bottom w:w="57" w:type="dxa"/>
            </w:tcMar>
          </w:tcPr>
          <w:p w:rsidR="00FA423E" w:rsidRPr="007E4934" w:rsidRDefault="00FA423E" w:rsidP="00DC1333">
            <w:pPr>
              <w:rPr>
                <w:sz w:val="16"/>
                <w:szCs w:val="16"/>
              </w:rPr>
            </w:pPr>
            <w:r w:rsidRPr="007E4934">
              <w:rPr>
                <w:sz w:val="16"/>
                <w:szCs w:val="16"/>
                <w:lang w:val="es-ES_tradnl"/>
              </w:rPr>
              <w:t>Porcentaje de encargados de la adopción de políticas, funcionarios gubernamentales, profesionales de la P.I. y participantes en talleres con un mayor conocimiento del Sistema de La Haya</w:t>
            </w:r>
          </w:p>
        </w:tc>
        <w:tc>
          <w:tcPr>
            <w:tcW w:w="854" w:type="pct"/>
            <w:shd w:val="clear" w:color="auto" w:fill="FFFFFF"/>
            <w:tcMar>
              <w:top w:w="113" w:type="dxa"/>
              <w:bottom w:w="113" w:type="dxa"/>
            </w:tcMar>
          </w:tcPr>
          <w:p w:rsidR="00FA423E" w:rsidRPr="007E4934" w:rsidRDefault="00FA423E" w:rsidP="00DC1333">
            <w:pPr>
              <w:ind w:left="441" w:hanging="413"/>
              <w:jc w:val="center"/>
              <w:rPr>
                <w:sz w:val="16"/>
                <w:szCs w:val="16"/>
                <w:lang w:bidi="th-TH"/>
              </w:rPr>
            </w:pPr>
            <w:r w:rsidRPr="007E4934">
              <w:rPr>
                <w:sz w:val="16"/>
                <w:szCs w:val="16"/>
                <w:lang w:val="es-ES_tradnl" w:bidi="th-TH"/>
              </w:rPr>
              <w:t>Programa 20</w:t>
            </w:r>
          </w:p>
        </w:tc>
        <w:tc>
          <w:tcPr>
            <w:tcW w:w="475" w:type="pct"/>
            <w:shd w:val="clear" w:color="auto" w:fill="FFFFFF"/>
          </w:tcPr>
          <w:p w:rsidR="00FA423E" w:rsidRPr="00CC3F44" w:rsidRDefault="00FA423E" w:rsidP="00DC1333">
            <w:pPr>
              <w:jc w:val="center"/>
            </w:pPr>
            <w:r w:rsidRPr="00CC3F44">
              <w:rPr>
                <w:color w:val="008000"/>
                <w:szCs w:val="22"/>
              </w:rPr>
              <w:sym w:font="Wingdings" w:char="F06C"/>
            </w:r>
            <w:r w:rsidRPr="00CC3F44">
              <w:rPr>
                <w:color w:val="008000"/>
                <w:szCs w:val="22"/>
              </w:rPr>
              <w:sym w:font="Wingdings" w:char="F06C"/>
            </w:r>
            <w:r w:rsidRPr="00CC3F44">
              <w:rPr>
                <w:color w:val="008000"/>
                <w:szCs w:val="22"/>
              </w:rPr>
              <w:sym w:font="Wingdings" w:char="F06C"/>
            </w:r>
          </w:p>
        </w:tc>
      </w:tr>
      <w:tr w:rsidR="00FA423E" w:rsidRPr="00811500" w:rsidTr="00DC1333">
        <w:trPr>
          <w:cantSplit/>
          <w:trHeight w:val="156"/>
        </w:trPr>
        <w:tc>
          <w:tcPr>
            <w:tcW w:w="1424" w:type="pct"/>
            <w:shd w:val="clear" w:color="auto" w:fill="auto"/>
            <w:tcMar>
              <w:top w:w="113" w:type="dxa"/>
              <w:bottom w:w="113" w:type="dxa"/>
            </w:tcMar>
          </w:tcPr>
          <w:p w:rsidR="00FA423E" w:rsidRPr="007E4934" w:rsidRDefault="00FA423E" w:rsidP="00DC1333">
            <w:pPr>
              <w:rPr>
                <w:sz w:val="16"/>
                <w:szCs w:val="16"/>
              </w:rPr>
            </w:pPr>
          </w:p>
        </w:tc>
        <w:tc>
          <w:tcPr>
            <w:tcW w:w="2247" w:type="pct"/>
            <w:shd w:val="clear" w:color="auto" w:fill="auto"/>
            <w:tcMar>
              <w:top w:w="57" w:type="dxa"/>
              <w:bottom w:w="57" w:type="dxa"/>
            </w:tcMar>
          </w:tcPr>
          <w:p w:rsidR="00FA423E" w:rsidRPr="007E4934" w:rsidRDefault="00FA423E" w:rsidP="00DC1333">
            <w:pPr>
              <w:rPr>
                <w:sz w:val="16"/>
                <w:szCs w:val="16"/>
              </w:rPr>
            </w:pPr>
            <w:r w:rsidRPr="007E4934">
              <w:rPr>
                <w:sz w:val="16"/>
                <w:szCs w:val="16"/>
                <w:lang w:val="es-ES_tradnl"/>
              </w:rPr>
              <w:t>Número de partes contratantes en el Sistema de La Haya de la región de Asia y el Pacífico</w:t>
            </w:r>
          </w:p>
        </w:tc>
        <w:tc>
          <w:tcPr>
            <w:tcW w:w="854" w:type="pct"/>
            <w:shd w:val="clear" w:color="auto" w:fill="FFFFFF"/>
            <w:tcMar>
              <w:top w:w="113" w:type="dxa"/>
              <w:bottom w:w="113" w:type="dxa"/>
            </w:tcMar>
          </w:tcPr>
          <w:p w:rsidR="00FA423E" w:rsidRPr="007E4934" w:rsidRDefault="00FA423E" w:rsidP="00DC1333">
            <w:pPr>
              <w:ind w:left="441" w:hanging="413"/>
              <w:jc w:val="center"/>
              <w:rPr>
                <w:sz w:val="16"/>
                <w:szCs w:val="16"/>
                <w:lang w:bidi="th-TH"/>
              </w:rPr>
            </w:pPr>
            <w:r w:rsidRPr="007E4934">
              <w:rPr>
                <w:sz w:val="16"/>
                <w:szCs w:val="16"/>
                <w:lang w:val="es-ES_tradnl" w:bidi="th-TH"/>
              </w:rPr>
              <w:t>Programa 20</w:t>
            </w:r>
          </w:p>
        </w:tc>
        <w:tc>
          <w:tcPr>
            <w:tcW w:w="475" w:type="pct"/>
            <w:shd w:val="clear" w:color="auto" w:fill="FFFFFF"/>
          </w:tcPr>
          <w:p w:rsidR="00FA423E" w:rsidRPr="00CC3F44" w:rsidRDefault="00FA423E" w:rsidP="00DC1333">
            <w:pPr>
              <w:jc w:val="center"/>
              <w:rPr>
                <w:color w:val="FF0000"/>
                <w:szCs w:val="22"/>
              </w:rPr>
            </w:pPr>
            <w:r w:rsidRPr="00CC3F44">
              <w:rPr>
                <w:color w:val="008000"/>
                <w:szCs w:val="22"/>
              </w:rPr>
              <w:sym w:font="Wingdings" w:char="F06C"/>
            </w:r>
            <w:r w:rsidRPr="00CC3F44">
              <w:rPr>
                <w:color w:val="FF0000"/>
                <w:szCs w:val="22"/>
              </w:rPr>
              <w:sym w:font="Wingdings" w:char="F06C"/>
            </w:r>
          </w:p>
        </w:tc>
      </w:tr>
      <w:tr w:rsidR="00FA423E" w:rsidRPr="00811500" w:rsidTr="00DC1333">
        <w:trPr>
          <w:cantSplit/>
          <w:trHeight w:val="332"/>
        </w:trPr>
        <w:tc>
          <w:tcPr>
            <w:tcW w:w="1424" w:type="pct"/>
            <w:shd w:val="clear" w:color="auto" w:fill="auto"/>
            <w:tcMar>
              <w:top w:w="113" w:type="dxa"/>
              <w:bottom w:w="113" w:type="dxa"/>
            </w:tcMar>
          </w:tcPr>
          <w:p w:rsidR="00FA423E" w:rsidRPr="007E4934" w:rsidRDefault="00FA423E" w:rsidP="00DC1333">
            <w:pPr>
              <w:rPr>
                <w:sz w:val="16"/>
                <w:szCs w:val="16"/>
              </w:rPr>
            </w:pPr>
          </w:p>
        </w:tc>
        <w:tc>
          <w:tcPr>
            <w:tcW w:w="2247" w:type="pct"/>
            <w:shd w:val="clear" w:color="auto" w:fill="auto"/>
            <w:tcMar>
              <w:top w:w="57" w:type="dxa"/>
              <w:bottom w:w="57" w:type="dxa"/>
            </w:tcMar>
          </w:tcPr>
          <w:p w:rsidR="00FA423E" w:rsidRPr="007E4934" w:rsidRDefault="00FA423E" w:rsidP="00DC1333">
            <w:pPr>
              <w:rPr>
                <w:sz w:val="16"/>
                <w:szCs w:val="16"/>
              </w:rPr>
            </w:pPr>
            <w:r w:rsidRPr="007E4934">
              <w:rPr>
                <w:sz w:val="16"/>
                <w:szCs w:val="16"/>
                <w:lang w:val="es-ES_tradnl"/>
              </w:rPr>
              <w:t>Número de miembros del Acta de Ginebra (1999)</w:t>
            </w:r>
          </w:p>
        </w:tc>
        <w:tc>
          <w:tcPr>
            <w:tcW w:w="854" w:type="pct"/>
            <w:shd w:val="clear" w:color="auto" w:fill="FFFFFF"/>
            <w:tcMar>
              <w:top w:w="113" w:type="dxa"/>
              <w:bottom w:w="113" w:type="dxa"/>
            </w:tcMar>
          </w:tcPr>
          <w:p w:rsidR="00FA423E" w:rsidRPr="007E4934" w:rsidRDefault="00FA423E" w:rsidP="00DC1333">
            <w:pPr>
              <w:ind w:left="441" w:hanging="413"/>
              <w:jc w:val="center"/>
              <w:rPr>
                <w:sz w:val="16"/>
                <w:szCs w:val="16"/>
                <w:lang w:bidi="th-TH"/>
              </w:rPr>
            </w:pPr>
            <w:r w:rsidRPr="007E4934">
              <w:rPr>
                <w:sz w:val="16"/>
                <w:szCs w:val="16"/>
                <w:lang w:val="es-ES_tradnl" w:bidi="th-TH"/>
              </w:rPr>
              <w:t>Programa 31</w:t>
            </w:r>
          </w:p>
        </w:tc>
        <w:tc>
          <w:tcPr>
            <w:tcW w:w="475" w:type="pct"/>
            <w:shd w:val="clear" w:color="auto" w:fill="FFFFFF"/>
          </w:tcPr>
          <w:p w:rsidR="00FA423E" w:rsidRPr="00CC3F44" w:rsidRDefault="00FA423E" w:rsidP="00DC1333">
            <w:pPr>
              <w:jc w:val="center"/>
            </w:pPr>
            <w:r w:rsidRPr="00CC3F44">
              <w:rPr>
                <w:color w:val="E26B0A"/>
                <w:szCs w:val="22"/>
              </w:rPr>
              <w:sym w:font="Wingdings" w:char="F06C"/>
            </w:r>
          </w:p>
        </w:tc>
      </w:tr>
      <w:tr w:rsidR="00FA423E" w:rsidRPr="00811500" w:rsidTr="00DC1333">
        <w:trPr>
          <w:cantSplit/>
          <w:trHeight w:val="178"/>
        </w:trPr>
        <w:tc>
          <w:tcPr>
            <w:tcW w:w="1424" w:type="pct"/>
            <w:shd w:val="clear" w:color="auto" w:fill="auto"/>
            <w:tcMar>
              <w:top w:w="113" w:type="dxa"/>
              <w:bottom w:w="113" w:type="dxa"/>
            </w:tcMar>
          </w:tcPr>
          <w:p w:rsidR="00FA423E" w:rsidRPr="007E4934" w:rsidRDefault="00FA423E" w:rsidP="00DC1333">
            <w:pPr>
              <w:rPr>
                <w:sz w:val="16"/>
                <w:szCs w:val="16"/>
              </w:rPr>
            </w:pPr>
          </w:p>
        </w:tc>
        <w:tc>
          <w:tcPr>
            <w:tcW w:w="2247" w:type="pct"/>
            <w:shd w:val="clear" w:color="auto" w:fill="auto"/>
            <w:tcMar>
              <w:top w:w="113" w:type="dxa"/>
              <w:bottom w:w="113" w:type="dxa"/>
            </w:tcMar>
          </w:tcPr>
          <w:p w:rsidR="00FA423E" w:rsidRPr="007E4934" w:rsidRDefault="00FA423E" w:rsidP="00DC1333">
            <w:pPr>
              <w:rPr>
                <w:sz w:val="16"/>
                <w:szCs w:val="16"/>
              </w:rPr>
            </w:pPr>
            <w:r w:rsidRPr="007E4934">
              <w:rPr>
                <w:sz w:val="16"/>
                <w:szCs w:val="16"/>
                <w:lang w:val="es-ES_tradnl"/>
              </w:rPr>
              <w:t>Porcentaje de oficinas que proporcionan información sobre el Sistema de La Haya.</w:t>
            </w:r>
            <w:r w:rsidRPr="007E4934">
              <w:rPr>
                <w:sz w:val="16"/>
                <w:szCs w:val="16"/>
              </w:rPr>
              <w:t xml:space="preserve"> </w:t>
            </w:r>
          </w:p>
        </w:tc>
        <w:tc>
          <w:tcPr>
            <w:tcW w:w="854" w:type="pct"/>
            <w:shd w:val="clear" w:color="auto" w:fill="FFFFFF"/>
            <w:tcMar>
              <w:top w:w="113" w:type="dxa"/>
              <w:bottom w:w="113" w:type="dxa"/>
            </w:tcMar>
          </w:tcPr>
          <w:p w:rsidR="00FA423E" w:rsidRPr="007E4934" w:rsidRDefault="00FA423E" w:rsidP="00DC1333">
            <w:pPr>
              <w:ind w:left="441" w:hanging="413"/>
              <w:jc w:val="center"/>
              <w:rPr>
                <w:sz w:val="16"/>
                <w:szCs w:val="16"/>
                <w:lang w:bidi="th-TH"/>
              </w:rPr>
            </w:pPr>
            <w:r w:rsidRPr="007E4934">
              <w:rPr>
                <w:sz w:val="16"/>
                <w:szCs w:val="16"/>
                <w:lang w:val="es-ES_tradnl" w:bidi="th-TH"/>
              </w:rPr>
              <w:t>Programa 31</w:t>
            </w:r>
          </w:p>
        </w:tc>
        <w:tc>
          <w:tcPr>
            <w:tcW w:w="475" w:type="pct"/>
            <w:shd w:val="clear" w:color="auto" w:fill="FFFFFF"/>
          </w:tcPr>
          <w:p w:rsidR="00FA423E" w:rsidRPr="00CC3F44" w:rsidRDefault="00FA423E" w:rsidP="00DC1333">
            <w:pPr>
              <w:jc w:val="center"/>
            </w:pPr>
            <w:r w:rsidRPr="00CC3F44">
              <w:rPr>
                <w:color w:val="008000"/>
                <w:szCs w:val="22"/>
              </w:rPr>
              <w:sym w:font="Wingdings" w:char="F06C"/>
            </w:r>
          </w:p>
        </w:tc>
      </w:tr>
      <w:tr w:rsidR="00FA423E" w:rsidRPr="00811500" w:rsidTr="00DC1333">
        <w:trPr>
          <w:cantSplit/>
          <w:trHeight w:val="22"/>
        </w:trPr>
        <w:tc>
          <w:tcPr>
            <w:tcW w:w="1424" w:type="pct"/>
            <w:shd w:val="clear" w:color="auto" w:fill="auto"/>
            <w:tcMar>
              <w:top w:w="113" w:type="dxa"/>
              <w:bottom w:w="113" w:type="dxa"/>
            </w:tcMar>
          </w:tcPr>
          <w:p w:rsidR="00FA423E" w:rsidRPr="007E4934" w:rsidRDefault="00FA423E" w:rsidP="00DC1333">
            <w:pPr>
              <w:rPr>
                <w:sz w:val="16"/>
                <w:szCs w:val="16"/>
              </w:rPr>
            </w:pPr>
          </w:p>
        </w:tc>
        <w:tc>
          <w:tcPr>
            <w:tcW w:w="2247" w:type="pct"/>
            <w:shd w:val="clear" w:color="auto" w:fill="auto"/>
            <w:tcMar>
              <w:top w:w="113" w:type="dxa"/>
              <w:bottom w:w="113" w:type="dxa"/>
            </w:tcMar>
          </w:tcPr>
          <w:p w:rsidR="00FA423E" w:rsidRPr="007E4934" w:rsidRDefault="00FA423E" w:rsidP="00DC1333">
            <w:pPr>
              <w:rPr>
                <w:sz w:val="16"/>
                <w:szCs w:val="16"/>
              </w:rPr>
            </w:pPr>
            <w:r w:rsidRPr="007E4934">
              <w:rPr>
                <w:sz w:val="16"/>
                <w:szCs w:val="16"/>
                <w:lang w:val="es-ES_tradnl"/>
              </w:rPr>
              <w:t>Solicitudes de registro y renovaciones en virtud del Sistema de La Haya</w:t>
            </w:r>
          </w:p>
        </w:tc>
        <w:tc>
          <w:tcPr>
            <w:tcW w:w="854" w:type="pct"/>
            <w:shd w:val="clear" w:color="auto" w:fill="FFFFFF"/>
            <w:tcMar>
              <w:top w:w="113" w:type="dxa"/>
              <w:bottom w:w="113" w:type="dxa"/>
            </w:tcMar>
          </w:tcPr>
          <w:p w:rsidR="00FA423E" w:rsidRPr="007E4934" w:rsidRDefault="00FA423E" w:rsidP="00DC1333">
            <w:pPr>
              <w:ind w:left="441" w:hanging="413"/>
              <w:jc w:val="center"/>
              <w:rPr>
                <w:sz w:val="16"/>
                <w:szCs w:val="16"/>
                <w:lang w:bidi="th-TH"/>
              </w:rPr>
            </w:pPr>
            <w:r w:rsidRPr="007E4934">
              <w:rPr>
                <w:sz w:val="16"/>
                <w:szCs w:val="16"/>
                <w:lang w:val="es-ES_tradnl" w:bidi="th-TH"/>
              </w:rPr>
              <w:t>Programa 31</w:t>
            </w:r>
          </w:p>
        </w:tc>
        <w:tc>
          <w:tcPr>
            <w:tcW w:w="475" w:type="pct"/>
            <w:shd w:val="clear" w:color="auto" w:fill="FFFFFF"/>
          </w:tcPr>
          <w:p w:rsidR="00FA423E" w:rsidRDefault="00FA423E" w:rsidP="00DC1333">
            <w:pPr>
              <w:jc w:val="center"/>
              <w:rPr>
                <w:bCs/>
                <w:color w:val="E26B0A"/>
                <w:szCs w:val="22"/>
              </w:rPr>
            </w:pPr>
            <w:r w:rsidRPr="00CC3F44">
              <w:rPr>
                <w:color w:val="FF0000"/>
                <w:szCs w:val="22"/>
              </w:rPr>
              <w:sym w:font="Wingdings" w:char="F06C"/>
            </w:r>
            <w:r w:rsidRPr="00CC3F44">
              <w:rPr>
                <w:color w:val="FF0000"/>
                <w:szCs w:val="22"/>
              </w:rPr>
              <w:sym w:font="Wingdings" w:char="F06C"/>
            </w:r>
            <w:r w:rsidRPr="00CC3F44">
              <w:rPr>
                <w:color w:val="E26B0A"/>
                <w:szCs w:val="22"/>
              </w:rPr>
              <w:sym w:font="Wingdings" w:char="F06C"/>
            </w:r>
          </w:p>
          <w:p w:rsidR="00FA423E" w:rsidRPr="00CC3F44" w:rsidRDefault="00FA423E" w:rsidP="00DC1333">
            <w:pPr>
              <w:jc w:val="center"/>
            </w:pPr>
            <w:r w:rsidRPr="00CC3F44">
              <w:rPr>
                <w:color w:val="FF0000"/>
                <w:szCs w:val="22"/>
              </w:rPr>
              <w:sym w:font="Wingdings" w:char="F06C"/>
            </w:r>
            <w:r w:rsidRPr="00CC3F44">
              <w:rPr>
                <w:color w:val="FF0000"/>
                <w:szCs w:val="22"/>
              </w:rPr>
              <w:sym w:font="Wingdings" w:char="F06C"/>
            </w:r>
            <w:r w:rsidRPr="00CC3F44">
              <w:rPr>
                <w:color w:val="008000"/>
                <w:szCs w:val="22"/>
              </w:rPr>
              <w:sym w:font="Wingdings" w:char="F06C"/>
            </w:r>
          </w:p>
        </w:tc>
      </w:tr>
      <w:tr w:rsidR="00FA423E" w:rsidRPr="00811500" w:rsidTr="00DC1333">
        <w:trPr>
          <w:cantSplit/>
          <w:trHeight w:val="495"/>
        </w:trPr>
        <w:tc>
          <w:tcPr>
            <w:tcW w:w="1424" w:type="pct"/>
            <w:shd w:val="clear" w:color="auto" w:fill="auto"/>
            <w:tcMar>
              <w:top w:w="113" w:type="dxa"/>
              <w:bottom w:w="113" w:type="dxa"/>
            </w:tcMar>
          </w:tcPr>
          <w:p w:rsidR="00FA423E" w:rsidRPr="007E4934" w:rsidRDefault="00FA423E" w:rsidP="00DC1333">
            <w:pPr>
              <w:tabs>
                <w:tab w:val="right" w:pos="2835"/>
              </w:tabs>
              <w:spacing w:after="60"/>
              <w:rPr>
                <w:sz w:val="16"/>
                <w:szCs w:val="16"/>
              </w:rPr>
            </w:pPr>
            <w:r w:rsidRPr="007E4934">
              <w:rPr>
                <w:sz w:val="16"/>
                <w:szCs w:val="16"/>
                <w:lang w:val="es-ES_tradnl"/>
              </w:rPr>
              <w:t>II.5 Mejora de la productividad y de la calidad de los servicios en las operaciones del Sistema de La Haya</w:t>
            </w:r>
          </w:p>
        </w:tc>
        <w:tc>
          <w:tcPr>
            <w:tcW w:w="2247" w:type="pct"/>
            <w:shd w:val="clear" w:color="auto" w:fill="auto"/>
            <w:tcMar>
              <w:top w:w="113" w:type="dxa"/>
              <w:bottom w:w="113" w:type="dxa"/>
            </w:tcMar>
          </w:tcPr>
          <w:p w:rsidR="00FA423E" w:rsidRPr="007E4934" w:rsidRDefault="00FA423E" w:rsidP="00DC1333">
            <w:pPr>
              <w:rPr>
                <w:sz w:val="16"/>
                <w:szCs w:val="16"/>
              </w:rPr>
            </w:pPr>
            <w:r w:rsidRPr="007E4934">
              <w:rPr>
                <w:sz w:val="16"/>
                <w:szCs w:val="16"/>
                <w:lang w:val="es-ES_tradnl"/>
              </w:rPr>
              <w:t>Predominio del Acta de Ginebra (1999) en el Sistema de La Haya</w:t>
            </w:r>
          </w:p>
        </w:tc>
        <w:tc>
          <w:tcPr>
            <w:tcW w:w="854" w:type="pct"/>
            <w:shd w:val="clear" w:color="auto" w:fill="FFFFFF"/>
            <w:tcMar>
              <w:top w:w="113" w:type="dxa"/>
              <w:bottom w:w="113" w:type="dxa"/>
            </w:tcMar>
          </w:tcPr>
          <w:p w:rsidR="00FA423E" w:rsidRPr="007E4934" w:rsidRDefault="00FA423E" w:rsidP="00DC1333">
            <w:pPr>
              <w:ind w:left="441" w:hanging="413"/>
              <w:jc w:val="center"/>
              <w:rPr>
                <w:sz w:val="16"/>
                <w:szCs w:val="16"/>
                <w:lang w:bidi="th-TH"/>
              </w:rPr>
            </w:pPr>
            <w:r w:rsidRPr="007E4934">
              <w:rPr>
                <w:sz w:val="16"/>
                <w:szCs w:val="16"/>
                <w:lang w:val="es-ES_tradnl" w:bidi="th-TH"/>
              </w:rPr>
              <w:t>Programa 31</w:t>
            </w:r>
          </w:p>
        </w:tc>
        <w:tc>
          <w:tcPr>
            <w:tcW w:w="475" w:type="pct"/>
            <w:shd w:val="clear" w:color="auto" w:fill="FFFFFF"/>
          </w:tcPr>
          <w:p w:rsidR="00FA423E" w:rsidRPr="00CC3F44" w:rsidRDefault="00FA423E" w:rsidP="00DC1333">
            <w:pPr>
              <w:jc w:val="center"/>
            </w:pPr>
            <w:r w:rsidRPr="00CC3F44">
              <w:rPr>
                <w:color w:val="FF0000"/>
                <w:szCs w:val="22"/>
              </w:rPr>
              <w:sym w:font="Wingdings" w:char="F06C"/>
            </w:r>
          </w:p>
        </w:tc>
      </w:tr>
      <w:tr w:rsidR="00FA423E" w:rsidRPr="00811500" w:rsidTr="00DC1333">
        <w:trPr>
          <w:cantSplit/>
          <w:trHeight w:val="344"/>
        </w:trPr>
        <w:tc>
          <w:tcPr>
            <w:tcW w:w="1424" w:type="pct"/>
            <w:shd w:val="clear" w:color="auto" w:fill="auto"/>
            <w:tcMar>
              <w:top w:w="113" w:type="dxa"/>
              <w:bottom w:w="113" w:type="dxa"/>
            </w:tcMar>
          </w:tcPr>
          <w:p w:rsidR="00FA423E" w:rsidRPr="007E4934" w:rsidRDefault="00FA423E" w:rsidP="00DC1333">
            <w:pPr>
              <w:rPr>
                <w:sz w:val="16"/>
                <w:szCs w:val="16"/>
              </w:rPr>
            </w:pPr>
          </w:p>
        </w:tc>
        <w:tc>
          <w:tcPr>
            <w:tcW w:w="2247" w:type="pct"/>
            <w:shd w:val="clear" w:color="auto" w:fill="auto"/>
            <w:tcMar>
              <w:top w:w="113" w:type="dxa"/>
              <w:bottom w:w="113" w:type="dxa"/>
            </w:tcMar>
          </w:tcPr>
          <w:p w:rsidR="00FA423E" w:rsidRPr="007E4934" w:rsidRDefault="00FA423E" w:rsidP="00DC1333">
            <w:pPr>
              <w:rPr>
                <w:sz w:val="16"/>
                <w:szCs w:val="16"/>
              </w:rPr>
            </w:pPr>
            <w:r w:rsidRPr="007E4934">
              <w:rPr>
                <w:sz w:val="16"/>
                <w:szCs w:val="16"/>
                <w:lang w:val="es-ES_tradnl"/>
              </w:rPr>
              <w:t>Avances en la mejora del marco jurídico</w:t>
            </w:r>
          </w:p>
        </w:tc>
        <w:tc>
          <w:tcPr>
            <w:tcW w:w="854" w:type="pct"/>
            <w:shd w:val="clear" w:color="auto" w:fill="FFFFFF"/>
            <w:tcMar>
              <w:top w:w="113" w:type="dxa"/>
              <w:bottom w:w="113" w:type="dxa"/>
            </w:tcMar>
          </w:tcPr>
          <w:p w:rsidR="00FA423E" w:rsidRPr="007E4934" w:rsidRDefault="00FA423E" w:rsidP="00DC1333">
            <w:pPr>
              <w:ind w:left="441" w:hanging="413"/>
              <w:jc w:val="center"/>
              <w:rPr>
                <w:sz w:val="16"/>
                <w:szCs w:val="16"/>
                <w:lang w:bidi="th-TH"/>
              </w:rPr>
            </w:pPr>
            <w:r w:rsidRPr="007E4934">
              <w:rPr>
                <w:sz w:val="16"/>
                <w:szCs w:val="16"/>
                <w:lang w:val="es-ES_tradnl" w:bidi="th-TH"/>
              </w:rPr>
              <w:t>Programa 31</w:t>
            </w:r>
          </w:p>
        </w:tc>
        <w:tc>
          <w:tcPr>
            <w:tcW w:w="475" w:type="pct"/>
            <w:shd w:val="clear" w:color="auto" w:fill="FFFFFF"/>
          </w:tcPr>
          <w:p w:rsidR="00FA423E" w:rsidRPr="00CC3F44" w:rsidRDefault="00FA423E" w:rsidP="00DC1333">
            <w:pPr>
              <w:jc w:val="center"/>
            </w:pPr>
            <w:r w:rsidRPr="00CC3F44">
              <w:rPr>
                <w:color w:val="008000"/>
                <w:szCs w:val="22"/>
              </w:rPr>
              <w:sym w:font="Wingdings" w:char="F06C"/>
            </w:r>
          </w:p>
        </w:tc>
      </w:tr>
      <w:tr w:rsidR="00FA423E" w:rsidRPr="00811500" w:rsidTr="00DC1333">
        <w:trPr>
          <w:cantSplit/>
          <w:trHeight w:val="324"/>
        </w:trPr>
        <w:tc>
          <w:tcPr>
            <w:tcW w:w="1424" w:type="pct"/>
            <w:shd w:val="clear" w:color="auto" w:fill="auto"/>
            <w:tcMar>
              <w:top w:w="113" w:type="dxa"/>
              <w:bottom w:w="113" w:type="dxa"/>
            </w:tcMar>
          </w:tcPr>
          <w:p w:rsidR="00FA423E" w:rsidRPr="007E4934" w:rsidRDefault="00FA423E" w:rsidP="00DC1333">
            <w:pPr>
              <w:rPr>
                <w:sz w:val="16"/>
                <w:szCs w:val="16"/>
              </w:rPr>
            </w:pPr>
          </w:p>
        </w:tc>
        <w:tc>
          <w:tcPr>
            <w:tcW w:w="2247" w:type="pct"/>
            <w:shd w:val="clear" w:color="auto" w:fill="auto"/>
            <w:tcMar>
              <w:top w:w="113" w:type="dxa"/>
              <w:bottom w:w="113" w:type="dxa"/>
            </w:tcMar>
          </w:tcPr>
          <w:p w:rsidR="00FA423E" w:rsidRPr="007E4934" w:rsidRDefault="00FA423E" w:rsidP="00DC1333">
            <w:pPr>
              <w:rPr>
                <w:sz w:val="16"/>
                <w:szCs w:val="16"/>
              </w:rPr>
            </w:pPr>
            <w:r w:rsidRPr="007E4934">
              <w:rPr>
                <w:sz w:val="16"/>
                <w:szCs w:val="16"/>
                <w:lang w:val="es-ES_tradnl"/>
              </w:rPr>
              <w:t>Flexibilidad de los datos inscritos en el Registro Internacional</w:t>
            </w:r>
          </w:p>
        </w:tc>
        <w:tc>
          <w:tcPr>
            <w:tcW w:w="854" w:type="pct"/>
            <w:shd w:val="clear" w:color="auto" w:fill="FFFFFF"/>
            <w:tcMar>
              <w:top w:w="113" w:type="dxa"/>
              <w:bottom w:w="113" w:type="dxa"/>
            </w:tcMar>
          </w:tcPr>
          <w:p w:rsidR="00FA423E" w:rsidRPr="007E4934" w:rsidRDefault="00FA423E" w:rsidP="00DC1333">
            <w:pPr>
              <w:ind w:left="441" w:hanging="413"/>
              <w:jc w:val="center"/>
              <w:rPr>
                <w:sz w:val="16"/>
                <w:szCs w:val="16"/>
                <w:lang w:bidi="th-TH"/>
              </w:rPr>
            </w:pPr>
            <w:r w:rsidRPr="007E4934">
              <w:rPr>
                <w:sz w:val="16"/>
                <w:szCs w:val="16"/>
                <w:lang w:val="es-ES_tradnl" w:bidi="th-TH"/>
              </w:rPr>
              <w:t>Programa 31</w:t>
            </w:r>
          </w:p>
        </w:tc>
        <w:tc>
          <w:tcPr>
            <w:tcW w:w="475" w:type="pct"/>
            <w:shd w:val="clear" w:color="auto" w:fill="FFFFFF"/>
          </w:tcPr>
          <w:p w:rsidR="00FA423E" w:rsidRPr="00CC3F44" w:rsidRDefault="00FA423E" w:rsidP="00DC1333">
            <w:pPr>
              <w:jc w:val="center"/>
            </w:pPr>
            <w:r w:rsidRPr="00CC3F44">
              <w:rPr>
                <w:color w:val="FF0000"/>
                <w:szCs w:val="22"/>
              </w:rPr>
              <w:sym w:font="Wingdings" w:char="F06C"/>
            </w:r>
          </w:p>
        </w:tc>
      </w:tr>
      <w:tr w:rsidR="00FA423E" w:rsidRPr="00811500" w:rsidTr="00DC1333">
        <w:trPr>
          <w:cantSplit/>
          <w:trHeight w:val="149"/>
        </w:trPr>
        <w:tc>
          <w:tcPr>
            <w:tcW w:w="1424" w:type="pct"/>
            <w:shd w:val="clear" w:color="auto" w:fill="auto"/>
            <w:tcMar>
              <w:top w:w="113" w:type="dxa"/>
              <w:bottom w:w="113" w:type="dxa"/>
            </w:tcMar>
          </w:tcPr>
          <w:p w:rsidR="00FA423E" w:rsidRPr="007E4934" w:rsidRDefault="00FA423E" w:rsidP="00DC1333">
            <w:pPr>
              <w:rPr>
                <w:sz w:val="16"/>
                <w:szCs w:val="16"/>
              </w:rPr>
            </w:pPr>
          </w:p>
        </w:tc>
        <w:tc>
          <w:tcPr>
            <w:tcW w:w="2247" w:type="pct"/>
            <w:shd w:val="clear" w:color="auto" w:fill="auto"/>
            <w:tcMar>
              <w:top w:w="113" w:type="dxa"/>
              <w:bottom w:w="113" w:type="dxa"/>
            </w:tcMar>
          </w:tcPr>
          <w:p w:rsidR="00FA423E" w:rsidRPr="007E4934" w:rsidRDefault="00FA423E" w:rsidP="00DC1333">
            <w:pPr>
              <w:rPr>
                <w:sz w:val="16"/>
                <w:szCs w:val="16"/>
              </w:rPr>
            </w:pPr>
            <w:r w:rsidRPr="007E4934">
              <w:rPr>
                <w:sz w:val="16"/>
                <w:szCs w:val="16"/>
                <w:lang w:val="es-ES_tradnl"/>
              </w:rPr>
              <w:t>Número de procedimientos automatizados</w:t>
            </w:r>
          </w:p>
        </w:tc>
        <w:tc>
          <w:tcPr>
            <w:tcW w:w="854" w:type="pct"/>
            <w:shd w:val="clear" w:color="auto" w:fill="FFFFFF"/>
            <w:tcMar>
              <w:top w:w="113" w:type="dxa"/>
              <w:bottom w:w="113" w:type="dxa"/>
            </w:tcMar>
          </w:tcPr>
          <w:p w:rsidR="00FA423E" w:rsidRPr="007E4934" w:rsidRDefault="00FA423E" w:rsidP="00DC1333">
            <w:pPr>
              <w:ind w:left="441" w:hanging="413"/>
              <w:jc w:val="center"/>
              <w:rPr>
                <w:sz w:val="16"/>
                <w:szCs w:val="16"/>
                <w:lang w:bidi="th-TH"/>
              </w:rPr>
            </w:pPr>
            <w:r w:rsidRPr="007E4934">
              <w:rPr>
                <w:sz w:val="16"/>
                <w:szCs w:val="16"/>
                <w:lang w:val="es-ES_tradnl" w:bidi="th-TH"/>
              </w:rPr>
              <w:t>Programa 31</w:t>
            </w:r>
          </w:p>
        </w:tc>
        <w:tc>
          <w:tcPr>
            <w:tcW w:w="475" w:type="pct"/>
            <w:shd w:val="clear" w:color="auto" w:fill="FFFFFF"/>
          </w:tcPr>
          <w:p w:rsidR="00FA423E" w:rsidRPr="00CC3F44" w:rsidRDefault="00FA423E" w:rsidP="00DC1333">
            <w:pPr>
              <w:jc w:val="center"/>
            </w:pPr>
            <w:r w:rsidRPr="00CC3F44">
              <w:rPr>
                <w:color w:val="008000"/>
                <w:szCs w:val="22"/>
              </w:rPr>
              <w:sym w:font="Wingdings" w:char="F06C"/>
            </w:r>
          </w:p>
        </w:tc>
      </w:tr>
      <w:tr w:rsidR="00FA423E" w:rsidRPr="00811500" w:rsidTr="00DC1333">
        <w:trPr>
          <w:cantSplit/>
          <w:trHeight w:val="283"/>
        </w:trPr>
        <w:tc>
          <w:tcPr>
            <w:tcW w:w="1424" w:type="pct"/>
            <w:vMerge w:val="restart"/>
            <w:shd w:val="clear" w:color="auto" w:fill="auto"/>
            <w:tcMar>
              <w:top w:w="113" w:type="dxa"/>
              <w:bottom w:w="113" w:type="dxa"/>
            </w:tcMar>
          </w:tcPr>
          <w:p w:rsidR="00FA423E" w:rsidRPr="007E4934" w:rsidRDefault="00FA423E" w:rsidP="00DC1333">
            <w:pPr>
              <w:rPr>
                <w:sz w:val="16"/>
                <w:szCs w:val="16"/>
              </w:rPr>
            </w:pPr>
            <w:r w:rsidRPr="007E4934">
              <w:rPr>
                <w:sz w:val="16"/>
                <w:szCs w:val="16"/>
                <w:lang w:val="es-ES_tradnl"/>
              </w:rPr>
              <w:t>II.6 Mayor y más eficaz utilización de los Sistemas de Madrid y de Lisboa por los países en desarrollo y los PMA, entre otros</w:t>
            </w:r>
          </w:p>
        </w:tc>
        <w:tc>
          <w:tcPr>
            <w:tcW w:w="2247" w:type="pct"/>
            <w:shd w:val="clear" w:color="auto" w:fill="auto"/>
            <w:tcMar>
              <w:top w:w="113" w:type="dxa"/>
              <w:bottom w:w="113" w:type="dxa"/>
            </w:tcMar>
          </w:tcPr>
          <w:p w:rsidR="00FA423E" w:rsidRPr="007E4934" w:rsidRDefault="00FA423E" w:rsidP="00DC1333">
            <w:pPr>
              <w:rPr>
                <w:sz w:val="16"/>
                <w:szCs w:val="16"/>
              </w:rPr>
            </w:pPr>
            <w:r w:rsidRPr="007E4934">
              <w:rPr>
                <w:sz w:val="16"/>
                <w:szCs w:val="16"/>
                <w:lang w:val="es-ES_tradnl"/>
              </w:rPr>
              <w:t>Ampliación de la cobertura geográfica (Madrid)</w:t>
            </w:r>
          </w:p>
        </w:tc>
        <w:tc>
          <w:tcPr>
            <w:tcW w:w="854" w:type="pct"/>
            <w:shd w:val="clear" w:color="auto" w:fill="FFFFFF"/>
            <w:tcMar>
              <w:top w:w="113" w:type="dxa"/>
              <w:bottom w:w="113" w:type="dxa"/>
            </w:tcMar>
          </w:tcPr>
          <w:p w:rsidR="00FA423E" w:rsidRPr="007E4934" w:rsidRDefault="00FA423E" w:rsidP="00DC1333">
            <w:pPr>
              <w:ind w:left="441" w:hanging="413"/>
              <w:jc w:val="center"/>
              <w:rPr>
                <w:sz w:val="16"/>
                <w:szCs w:val="16"/>
                <w:lang w:bidi="th-TH"/>
              </w:rPr>
            </w:pPr>
            <w:r w:rsidRPr="007E4934">
              <w:rPr>
                <w:sz w:val="16"/>
                <w:szCs w:val="16"/>
                <w:lang w:val="es-ES_tradnl" w:bidi="th-TH"/>
              </w:rPr>
              <w:t>Programa 6</w:t>
            </w:r>
          </w:p>
        </w:tc>
        <w:tc>
          <w:tcPr>
            <w:tcW w:w="475" w:type="pct"/>
            <w:shd w:val="clear" w:color="auto" w:fill="FFFFFF"/>
          </w:tcPr>
          <w:p w:rsidR="00FA423E" w:rsidRPr="00CC3F44" w:rsidRDefault="00FA423E" w:rsidP="00DC1333">
            <w:pPr>
              <w:jc w:val="center"/>
              <w:rPr>
                <w:color w:val="008000"/>
                <w:szCs w:val="22"/>
              </w:rPr>
            </w:pPr>
            <w:r w:rsidRPr="00CC3F44">
              <w:rPr>
                <w:color w:val="008000"/>
                <w:szCs w:val="22"/>
              </w:rPr>
              <w:sym w:font="Wingdings" w:char="F06C"/>
            </w:r>
          </w:p>
        </w:tc>
      </w:tr>
      <w:tr w:rsidR="00FA423E" w:rsidRPr="00811500" w:rsidTr="00DC1333">
        <w:trPr>
          <w:cantSplit/>
          <w:trHeight w:val="231"/>
        </w:trPr>
        <w:tc>
          <w:tcPr>
            <w:tcW w:w="1424" w:type="pct"/>
            <w:vMerge/>
            <w:shd w:val="clear" w:color="auto" w:fill="auto"/>
            <w:tcMar>
              <w:top w:w="113" w:type="dxa"/>
              <w:bottom w:w="113" w:type="dxa"/>
            </w:tcMar>
          </w:tcPr>
          <w:p w:rsidR="00FA423E" w:rsidRPr="007E4934" w:rsidRDefault="00FA423E" w:rsidP="00DC1333">
            <w:pPr>
              <w:rPr>
                <w:sz w:val="16"/>
                <w:szCs w:val="16"/>
              </w:rPr>
            </w:pPr>
          </w:p>
        </w:tc>
        <w:tc>
          <w:tcPr>
            <w:tcW w:w="2247" w:type="pct"/>
            <w:shd w:val="clear" w:color="auto" w:fill="auto"/>
            <w:tcMar>
              <w:top w:w="113" w:type="dxa"/>
              <w:bottom w:w="113" w:type="dxa"/>
            </w:tcMar>
          </w:tcPr>
          <w:p w:rsidR="00FA423E" w:rsidRPr="007E4934" w:rsidRDefault="00FA423E" w:rsidP="00DC1333">
            <w:pPr>
              <w:rPr>
                <w:sz w:val="16"/>
                <w:szCs w:val="16"/>
              </w:rPr>
            </w:pPr>
            <w:r w:rsidRPr="007E4934">
              <w:rPr>
                <w:sz w:val="16"/>
                <w:szCs w:val="16"/>
                <w:lang w:val="es-ES_tradnl"/>
              </w:rPr>
              <w:t>Ampliación de la cobertura geográfica (Lisboa)</w:t>
            </w:r>
          </w:p>
        </w:tc>
        <w:tc>
          <w:tcPr>
            <w:tcW w:w="854" w:type="pct"/>
            <w:shd w:val="clear" w:color="auto" w:fill="FFFFFF"/>
            <w:tcMar>
              <w:top w:w="113" w:type="dxa"/>
              <w:bottom w:w="113" w:type="dxa"/>
            </w:tcMar>
          </w:tcPr>
          <w:p w:rsidR="00FA423E" w:rsidRPr="007E4934" w:rsidRDefault="00FA423E" w:rsidP="00DC1333">
            <w:pPr>
              <w:ind w:left="441" w:hanging="413"/>
              <w:jc w:val="center"/>
              <w:rPr>
                <w:sz w:val="16"/>
                <w:szCs w:val="16"/>
                <w:lang w:bidi="th-TH"/>
              </w:rPr>
            </w:pPr>
            <w:r w:rsidRPr="007E4934">
              <w:rPr>
                <w:sz w:val="16"/>
                <w:szCs w:val="16"/>
                <w:lang w:val="es-ES_tradnl" w:bidi="th-TH"/>
              </w:rPr>
              <w:t>Programa 6</w:t>
            </w:r>
          </w:p>
        </w:tc>
        <w:tc>
          <w:tcPr>
            <w:tcW w:w="475" w:type="pct"/>
            <w:shd w:val="clear" w:color="auto" w:fill="FFFFFF"/>
          </w:tcPr>
          <w:p w:rsidR="00FA423E" w:rsidRPr="00CC3F44" w:rsidRDefault="00FA423E" w:rsidP="00DC1333">
            <w:pPr>
              <w:jc w:val="center"/>
              <w:rPr>
                <w:color w:val="008000"/>
                <w:szCs w:val="22"/>
              </w:rPr>
            </w:pPr>
            <w:r w:rsidRPr="00CC3F44">
              <w:rPr>
                <w:color w:val="FF0000"/>
                <w:szCs w:val="22"/>
              </w:rPr>
              <w:sym w:font="Wingdings" w:char="F06C"/>
            </w:r>
          </w:p>
        </w:tc>
      </w:tr>
      <w:tr w:rsidR="00FA423E" w:rsidRPr="00811500" w:rsidTr="00DC1333">
        <w:trPr>
          <w:cantSplit/>
          <w:trHeight w:val="95"/>
        </w:trPr>
        <w:tc>
          <w:tcPr>
            <w:tcW w:w="1424" w:type="pct"/>
            <w:shd w:val="clear" w:color="auto" w:fill="auto"/>
            <w:tcMar>
              <w:top w:w="113" w:type="dxa"/>
              <w:bottom w:w="113" w:type="dxa"/>
            </w:tcMar>
          </w:tcPr>
          <w:p w:rsidR="00FA423E" w:rsidRPr="007E4934" w:rsidRDefault="00FA423E" w:rsidP="00DC1333">
            <w:pPr>
              <w:rPr>
                <w:sz w:val="16"/>
                <w:szCs w:val="16"/>
              </w:rPr>
            </w:pPr>
          </w:p>
        </w:tc>
        <w:tc>
          <w:tcPr>
            <w:tcW w:w="2247" w:type="pct"/>
            <w:shd w:val="clear" w:color="auto" w:fill="auto"/>
            <w:tcMar>
              <w:top w:w="113" w:type="dxa"/>
              <w:bottom w:w="113" w:type="dxa"/>
            </w:tcMar>
          </w:tcPr>
          <w:p w:rsidR="00FA423E" w:rsidRPr="007E4934" w:rsidRDefault="00FA423E" w:rsidP="00DC1333">
            <w:pPr>
              <w:rPr>
                <w:sz w:val="16"/>
                <w:szCs w:val="16"/>
              </w:rPr>
            </w:pPr>
            <w:r w:rsidRPr="007E4934">
              <w:rPr>
                <w:sz w:val="16"/>
                <w:szCs w:val="16"/>
                <w:lang w:val="es-ES_tradnl"/>
              </w:rPr>
              <w:t>Adopción de disposiciones que agilicen o modernicen el marco jurídico del Sistema de Lisboa</w:t>
            </w:r>
          </w:p>
        </w:tc>
        <w:tc>
          <w:tcPr>
            <w:tcW w:w="854" w:type="pct"/>
            <w:shd w:val="clear" w:color="auto" w:fill="FFFFFF"/>
            <w:tcMar>
              <w:top w:w="113" w:type="dxa"/>
              <w:bottom w:w="113" w:type="dxa"/>
            </w:tcMar>
          </w:tcPr>
          <w:p w:rsidR="00FA423E" w:rsidRPr="007E4934" w:rsidRDefault="00FA423E" w:rsidP="00DC1333">
            <w:pPr>
              <w:ind w:left="441" w:hanging="413"/>
              <w:jc w:val="center"/>
              <w:rPr>
                <w:sz w:val="16"/>
                <w:szCs w:val="16"/>
                <w:lang w:bidi="th-TH"/>
              </w:rPr>
            </w:pPr>
            <w:r w:rsidRPr="007E4934">
              <w:rPr>
                <w:sz w:val="16"/>
                <w:szCs w:val="16"/>
                <w:lang w:val="es-ES_tradnl" w:bidi="th-TH"/>
              </w:rPr>
              <w:t>Programa 6</w:t>
            </w:r>
          </w:p>
        </w:tc>
        <w:tc>
          <w:tcPr>
            <w:tcW w:w="475" w:type="pct"/>
            <w:shd w:val="clear" w:color="auto" w:fill="FFFFFF"/>
          </w:tcPr>
          <w:p w:rsidR="00FA423E" w:rsidRPr="00CC3F44" w:rsidRDefault="00FA423E" w:rsidP="00DC1333">
            <w:pPr>
              <w:jc w:val="center"/>
            </w:pPr>
            <w:r w:rsidRPr="00CC3F44">
              <w:rPr>
                <w:color w:val="008000"/>
                <w:szCs w:val="22"/>
              </w:rPr>
              <w:sym w:font="Wingdings" w:char="F06C"/>
            </w:r>
          </w:p>
        </w:tc>
      </w:tr>
      <w:tr w:rsidR="00FA423E" w:rsidRPr="00811500" w:rsidTr="00DC1333">
        <w:trPr>
          <w:cantSplit/>
          <w:trHeight w:val="121"/>
        </w:trPr>
        <w:tc>
          <w:tcPr>
            <w:tcW w:w="1424" w:type="pct"/>
            <w:shd w:val="clear" w:color="auto" w:fill="auto"/>
            <w:tcMar>
              <w:top w:w="113" w:type="dxa"/>
              <w:bottom w:w="113" w:type="dxa"/>
            </w:tcMar>
          </w:tcPr>
          <w:p w:rsidR="00FA423E" w:rsidRPr="007E4934" w:rsidRDefault="00FA423E" w:rsidP="00DC1333">
            <w:pPr>
              <w:rPr>
                <w:sz w:val="16"/>
                <w:szCs w:val="16"/>
              </w:rPr>
            </w:pPr>
          </w:p>
        </w:tc>
        <w:tc>
          <w:tcPr>
            <w:tcW w:w="2247" w:type="pct"/>
            <w:shd w:val="clear" w:color="auto" w:fill="auto"/>
            <w:tcMar>
              <w:top w:w="113" w:type="dxa"/>
              <w:bottom w:w="113" w:type="dxa"/>
            </w:tcMar>
          </w:tcPr>
          <w:p w:rsidR="00FA423E" w:rsidRPr="007E4934" w:rsidRDefault="00FA423E" w:rsidP="00DC1333">
            <w:pPr>
              <w:rPr>
                <w:sz w:val="16"/>
                <w:szCs w:val="16"/>
              </w:rPr>
            </w:pPr>
            <w:r w:rsidRPr="007E4934">
              <w:rPr>
                <w:sz w:val="16"/>
                <w:szCs w:val="16"/>
                <w:lang w:val="es-ES_tradnl"/>
              </w:rPr>
              <w:t>Número de solicitudes internacionales (Madrid)</w:t>
            </w:r>
          </w:p>
        </w:tc>
        <w:tc>
          <w:tcPr>
            <w:tcW w:w="854" w:type="pct"/>
            <w:shd w:val="clear" w:color="auto" w:fill="FFFFFF"/>
            <w:tcMar>
              <w:top w:w="113" w:type="dxa"/>
              <w:bottom w:w="113" w:type="dxa"/>
            </w:tcMar>
          </w:tcPr>
          <w:p w:rsidR="00FA423E" w:rsidRPr="007E4934" w:rsidRDefault="00FA423E" w:rsidP="00DC1333">
            <w:pPr>
              <w:ind w:left="441" w:hanging="413"/>
              <w:jc w:val="center"/>
              <w:rPr>
                <w:sz w:val="16"/>
                <w:szCs w:val="16"/>
                <w:lang w:bidi="th-TH"/>
              </w:rPr>
            </w:pPr>
            <w:r w:rsidRPr="007E4934">
              <w:rPr>
                <w:sz w:val="16"/>
                <w:szCs w:val="16"/>
                <w:lang w:val="es-ES_tradnl" w:bidi="th-TH"/>
              </w:rPr>
              <w:t>Programa 6</w:t>
            </w:r>
          </w:p>
        </w:tc>
        <w:tc>
          <w:tcPr>
            <w:tcW w:w="475" w:type="pct"/>
            <w:shd w:val="clear" w:color="auto" w:fill="FFFFFF"/>
          </w:tcPr>
          <w:p w:rsidR="00FA423E" w:rsidRPr="00CC3F44" w:rsidRDefault="00FA423E" w:rsidP="00DC1333">
            <w:pPr>
              <w:jc w:val="center"/>
            </w:pPr>
            <w:r w:rsidRPr="00CC3F44">
              <w:rPr>
                <w:color w:val="008000"/>
                <w:szCs w:val="22"/>
              </w:rPr>
              <w:sym w:font="Wingdings" w:char="F06C"/>
            </w:r>
          </w:p>
        </w:tc>
      </w:tr>
      <w:tr w:rsidR="00FA423E" w:rsidRPr="00811500" w:rsidTr="00DC1333">
        <w:trPr>
          <w:cantSplit/>
          <w:trHeight w:val="325"/>
        </w:trPr>
        <w:tc>
          <w:tcPr>
            <w:tcW w:w="1424" w:type="pct"/>
            <w:shd w:val="clear" w:color="auto" w:fill="auto"/>
            <w:tcMar>
              <w:top w:w="113" w:type="dxa"/>
              <w:bottom w:w="113" w:type="dxa"/>
            </w:tcMar>
          </w:tcPr>
          <w:p w:rsidR="00FA423E" w:rsidRPr="007E4934" w:rsidRDefault="00FA423E" w:rsidP="00DC1333">
            <w:pPr>
              <w:rPr>
                <w:sz w:val="16"/>
                <w:szCs w:val="16"/>
              </w:rPr>
            </w:pPr>
          </w:p>
        </w:tc>
        <w:tc>
          <w:tcPr>
            <w:tcW w:w="2247" w:type="pct"/>
            <w:shd w:val="clear" w:color="auto" w:fill="auto"/>
            <w:tcMar>
              <w:top w:w="113" w:type="dxa"/>
              <w:bottom w:w="113" w:type="dxa"/>
            </w:tcMar>
          </w:tcPr>
          <w:p w:rsidR="00FA423E" w:rsidRPr="007E4934" w:rsidRDefault="00FA423E" w:rsidP="00DC1333">
            <w:pPr>
              <w:rPr>
                <w:sz w:val="16"/>
                <w:szCs w:val="16"/>
              </w:rPr>
            </w:pPr>
            <w:r w:rsidRPr="007E4934">
              <w:rPr>
                <w:sz w:val="16"/>
                <w:szCs w:val="16"/>
                <w:lang w:val="es-ES_tradnl"/>
              </w:rPr>
              <w:t>Porcentaje de oficinas que proporcionan información actualizada sobre el Sistema de Madrid</w:t>
            </w:r>
          </w:p>
        </w:tc>
        <w:tc>
          <w:tcPr>
            <w:tcW w:w="854" w:type="pct"/>
            <w:shd w:val="clear" w:color="auto" w:fill="FFFFFF"/>
            <w:tcMar>
              <w:top w:w="113" w:type="dxa"/>
              <w:bottom w:w="113" w:type="dxa"/>
            </w:tcMar>
          </w:tcPr>
          <w:p w:rsidR="00FA423E" w:rsidRPr="007E4934" w:rsidRDefault="00FA423E" w:rsidP="00DC1333">
            <w:pPr>
              <w:ind w:left="441" w:hanging="413"/>
              <w:jc w:val="center"/>
              <w:rPr>
                <w:sz w:val="16"/>
                <w:szCs w:val="16"/>
                <w:lang w:bidi="th-TH"/>
              </w:rPr>
            </w:pPr>
            <w:r w:rsidRPr="007E4934">
              <w:rPr>
                <w:sz w:val="16"/>
                <w:szCs w:val="16"/>
                <w:lang w:val="es-ES_tradnl" w:bidi="th-TH"/>
              </w:rPr>
              <w:t>Programa 6</w:t>
            </w:r>
          </w:p>
        </w:tc>
        <w:tc>
          <w:tcPr>
            <w:tcW w:w="475" w:type="pct"/>
            <w:shd w:val="clear" w:color="auto" w:fill="FFFFFF"/>
          </w:tcPr>
          <w:p w:rsidR="00FA423E" w:rsidRPr="00CC3F44" w:rsidRDefault="00FA423E" w:rsidP="00DC1333">
            <w:pPr>
              <w:jc w:val="center"/>
            </w:pPr>
            <w:r w:rsidRPr="00CC3F44">
              <w:rPr>
                <w:szCs w:val="22"/>
              </w:rPr>
              <w:sym w:font="Wingdings" w:char="F06C"/>
            </w:r>
          </w:p>
        </w:tc>
      </w:tr>
      <w:tr w:rsidR="00FA423E" w:rsidRPr="00811500" w:rsidTr="00DC1333">
        <w:trPr>
          <w:cantSplit/>
          <w:trHeight w:val="432"/>
        </w:trPr>
        <w:tc>
          <w:tcPr>
            <w:tcW w:w="1424" w:type="pct"/>
            <w:shd w:val="clear" w:color="auto" w:fill="auto"/>
            <w:tcMar>
              <w:top w:w="113" w:type="dxa"/>
              <w:bottom w:w="113" w:type="dxa"/>
            </w:tcMar>
          </w:tcPr>
          <w:p w:rsidR="00FA423E" w:rsidRPr="007E4934" w:rsidRDefault="00FA423E" w:rsidP="00DC1333">
            <w:pPr>
              <w:rPr>
                <w:sz w:val="16"/>
                <w:szCs w:val="16"/>
              </w:rPr>
            </w:pPr>
          </w:p>
        </w:tc>
        <w:tc>
          <w:tcPr>
            <w:tcW w:w="2247" w:type="pct"/>
            <w:shd w:val="clear" w:color="auto" w:fill="auto"/>
            <w:tcMar>
              <w:top w:w="113" w:type="dxa"/>
              <w:bottom w:w="113" w:type="dxa"/>
            </w:tcMar>
          </w:tcPr>
          <w:p w:rsidR="00FA423E" w:rsidRPr="007E4934" w:rsidRDefault="00FA423E" w:rsidP="00DC1333">
            <w:pPr>
              <w:rPr>
                <w:sz w:val="16"/>
                <w:szCs w:val="16"/>
              </w:rPr>
            </w:pPr>
            <w:r w:rsidRPr="007E4934">
              <w:rPr>
                <w:sz w:val="16"/>
                <w:szCs w:val="16"/>
                <w:lang w:val="es-ES_tradnl"/>
              </w:rPr>
              <w:t>Porcentaje de participantes en las actividades del Sistema de Lisboa que están satisfechos y manifiestan haber mejorado sus conocimientos tras haber participado en las actividades</w:t>
            </w:r>
          </w:p>
        </w:tc>
        <w:tc>
          <w:tcPr>
            <w:tcW w:w="854" w:type="pct"/>
            <w:shd w:val="clear" w:color="auto" w:fill="FFFFFF"/>
            <w:tcMar>
              <w:top w:w="113" w:type="dxa"/>
              <w:bottom w:w="113" w:type="dxa"/>
            </w:tcMar>
          </w:tcPr>
          <w:p w:rsidR="00FA423E" w:rsidRPr="007E4934" w:rsidRDefault="00FA423E" w:rsidP="00DC1333">
            <w:pPr>
              <w:ind w:left="441" w:hanging="413"/>
              <w:jc w:val="center"/>
              <w:rPr>
                <w:sz w:val="16"/>
                <w:szCs w:val="16"/>
                <w:lang w:bidi="th-TH"/>
              </w:rPr>
            </w:pPr>
            <w:r w:rsidRPr="007E4934">
              <w:rPr>
                <w:sz w:val="16"/>
                <w:szCs w:val="16"/>
                <w:lang w:val="es-ES_tradnl" w:bidi="th-TH"/>
              </w:rPr>
              <w:t>Programa 6</w:t>
            </w:r>
          </w:p>
        </w:tc>
        <w:tc>
          <w:tcPr>
            <w:tcW w:w="475" w:type="pct"/>
            <w:shd w:val="clear" w:color="auto" w:fill="FFFFFF"/>
          </w:tcPr>
          <w:p w:rsidR="00FA423E" w:rsidRPr="00CC3F44" w:rsidRDefault="00FA423E" w:rsidP="00DC1333">
            <w:pPr>
              <w:jc w:val="center"/>
            </w:pPr>
            <w:r w:rsidRPr="00CC3F44">
              <w:rPr>
                <w:color w:val="008000"/>
                <w:szCs w:val="22"/>
              </w:rPr>
              <w:sym w:font="Wingdings" w:char="F06C"/>
            </w:r>
          </w:p>
        </w:tc>
      </w:tr>
      <w:tr w:rsidR="00FA423E" w:rsidRPr="00811500" w:rsidTr="00DC1333">
        <w:trPr>
          <w:cantSplit/>
          <w:trHeight w:val="372"/>
        </w:trPr>
        <w:tc>
          <w:tcPr>
            <w:tcW w:w="1424" w:type="pct"/>
            <w:shd w:val="clear" w:color="auto" w:fill="auto"/>
            <w:tcMar>
              <w:top w:w="113" w:type="dxa"/>
              <w:bottom w:w="113" w:type="dxa"/>
            </w:tcMar>
          </w:tcPr>
          <w:p w:rsidR="00FA423E" w:rsidRPr="007E4934" w:rsidRDefault="00FA423E" w:rsidP="00DC1333">
            <w:pPr>
              <w:rPr>
                <w:sz w:val="16"/>
                <w:szCs w:val="16"/>
              </w:rPr>
            </w:pPr>
          </w:p>
        </w:tc>
        <w:tc>
          <w:tcPr>
            <w:tcW w:w="2247" w:type="pct"/>
            <w:shd w:val="clear" w:color="auto" w:fill="auto"/>
            <w:tcMar>
              <w:top w:w="113" w:type="dxa"/>
              <w:bottom w:w="113" w:type="dxa"/>
            </w:tcMar>
          </w:tcPr>
          <w:p w:rsidR="00FA423E" w:rsidRPr="007E4934" w:rsidRDefault="00FA423E" w:rsidP="00DC1333">
            <w:pPr>
              <w:rPr>
                <w:sz w:val="16"/>
                <w:szCs w:val="16"/>
              </w:rPr>
            </w:pPr>
            <w:r w:rsidRPr="007E4934">
              <w:rPr>
                <w:sz w:val="16"/>
                <w:szCs w:val="16"/>
                <w:lang w:val="es-ES_tradnl"/>
              </w:rPr>
              <w:t>Número y proporción de registros en vigor del Sistema de Lisboa procedentes de países en desarrollo y PMA</w:t>
            </w:r>
          </w:p>
        </w:tc>
        <w:tc>
          <w:tcPr>
            <w:tcW w:w="854" w:type="pct"/>
            <w:shd w:val="clear" w:color="auto" w:fill="FFFFFF"/>
            <w:tcMar>
              <w:top w:w="113" w:type="dxa"/>
              <w:bottom w:w="113" w:type="dxa"/>
            </w:tcMar>
          </w:tcPr>
          <w:p w:rsidR="00FA423E" w:rsidRPr="007E4934" w:rsidRDefault="00FA423E" w:rsidP="00DC1333">
            <w:pPr>
              <w:ind w:left="441" w:hanging="413"/>
              <w:jc w:val="center"/>
              <w:rPr>
                <w:sz w:val="16"/>
                <w:szCs w:val="16"/>
                <w:lang w:bidi="th-TH"/>
              </w:rPr>
            </w:pPr>
            <w:r w:rsidRPr="007E4934">
              <w:rPr>
                <w:sz w:val="16"/>
                <w:szCs w:val="16"/>
                <w:lang w:val="es-ES_tradnl" w:bidi="th-TH"/>
              </w:rPr>
              <w:t>Programa 6</w:t>
            </w:r>
          </w:p>
        </w:tc>
        <w:tc>
          <w:tcPr>
            <w:tcW w:w="475" w:type="pct"/>
            <w:shd w:val="clear" w:color="auto" w:fill="FFFFFF"/>
          </w:tcPr>
          <w:p w:rsidR="00FA423E" w:rsidRPr="00CC3F44" w:rsidRDefault="00FA423E" w:rsidP="00DC1333">
            <w:pPr>
              <w:jc w:val="center"/>
            </w:pPr>
            <w:r w:rsidRPr="00CC3F44">
              <w:rPr>
                <w:color w:val="008000"/>
                <w:szCs w:val="22"/>
              </w:rPr>
              <w:sym w:font="Wingdings" w:char="F06C"/>
            </w:r>
          </w:p>
        </w:tc>
      </w:tr>
      <w:tr w:rsidR="00FA423E" w:rsidRPr="00811500" w:rsidTr="00DC1333">
        <w:trPr>
          <w:cantSplit/>
          <w:trHeight w:val="283"/>
        </w:trPr>
        <w:tc>
          <w:tcPr>
            <w:tcW w:w="1424" w:type="pct"/>
            <w:shd w:val="clear" w:color="auto" w:fill="auto"/>
            <w:tcMar>
              <w:top w:w="113" w:type="dxa"/>
              <w:bottom w:w="113" w:type="dxa"/>
            </w:tcMar>
          </w:tcPr>
          <w:p w:rsidR="00FA423E" w:rsidRPr="007E4934" w:rsidRDefault="00FA423E" w:rsidP="00DC1333">
            <w:pPr>
              <w:rPr>
                <w:sz w:val="16"/>
                <w:szCs w:val="16"/>
              </w:rPr>
            </w:pPr>
          </w:p>
        </w:tc>
        <w:tc>
          <w:tcPr>
            <w:tcW w:w="2247" w:type="pct"/>
            <w:shd w:val="clear" w:color="auto" w:fill="auto"/>
            <w:tcMar>
              <w:top w:w="113" w:type="dxa"/>
              <w:bottom w:w="113" w:type="dxa"/>
            </w:tcMar>
          </w:tcPr>
          <w:p w:rsidR="00FA423E" w:rsidRPr="007E4934" w:rsidRDefault="00FA423E" w:rsidP="00DC1333">
            <w:pPr>
              <w:rPr>
                <w:sz w:val="16"/>
                <w:szCs w:val="16"/>
              </w:rPr>
            </w:pPr>
            <w:r w:rsidRPr="007E4934">
              <w:rPr>
                <w:sz w:val="16"/>
                <w:szCs w:val="16"/>
                <w:lang w:val="es-ES_tradnl"/>
              </w:rPr>
              <w:t>Disminución del número de irregularidades (Madrid)</w:t>
            </w:r>
          </w:p>
        </w:tc>
        <w:tc>
          <w:tcPr>
            <w:tcW w:w="854" w:type="pct"/>
            <w:shd w:val="clear" w:color="auto" w:fill="FFFFFF"/>
            <w:tcMar>
              <w:top w:w="113" w:type="dxa"/>
              <w:bottom w:w="113" w:type="dxa"/>
            </w:tcMar>
          </w:tcPr>
          <w:p w:rsidR="00FA423E" w:rsidRPr="007E4934" w:rsidRDefault="00FA423E" w:rsidP="00DC1333">
            <w:pPr>
              <w:ind w:left="441" w:hanging="413"/>
              <w:jc w:val="center"/>
              <w:rPr>
                <w:sz w:val="16"/>
                <w:szCs w:val="16"/>
                <w:lang w:bidi="th-TH"/>
              </w:rPr>
            </w:pPr>
            <w:r w:rsidRPr="007E4934">
              <w:rPr>
                <w:sz w:val="16"/>
                <w:szCs w:val="16"/>
                <w:lang w:val="es-ES_tradnl" w:bidi="th-TH"/>
              </w:rPr>
              <w:t>Programa 6</w:t>
            </w:r>
          </w:p>
        </w:tc>
        <w:tc>
          <w:tcPr>
            <w:tcW w:w="475" w:type="pct"/>
            <w:shd w:val="clear" w:color="auto" w:fill="FFFFFF"/>
          </w:tcPr>
          <w:p w:rsidR="00FA423E" w:rsidRPr="00CC3F44" w:rsidRDefault="00FA423E" w:rsidP="00DC1333">
            <w:pPr>
              <w:jc w:val="center"/>
            </w:pPr>
            <w:r w:rsidRPr="00CC3F44">
              <w:rPr>
                <w:color w:val="FF0000"/>
                <w:szCs w:val="22"/>
              </w:rPr>
              <w:sym w:font="Wingdings" w:char="F06C"/>
            </w:r>
          </w:p>
        </w:tc>
      </w:tr>
      <w:tr w:rsidR="00FA423E" w:rsidRPr="00811500" w:rsidTr="00DC1333">
        <w:trPr>
          <w:cantSplit/>
          <w:trHeight w:val="480"/>
        </w:trPr>
        <w:tc>
          <w:tcPr>
            <w:tcW w:w="1424" w:type="pct"/>
            <w:shd w:val="clear" w:color="auto" w:fill="auto"/>
            <w:tcMar>
              <w:top w:w="113" w:type="dxa"/>
              <w:bottom w:w="113" w:type="dxa"/>
            </w:tcMar>
          </w:tcPr>
          <w:p w:rsidR="00FA423E" w:rsidRPr="007E4934" w:rsidRDefault="00FA423E" w:rsidP="00DC1333">
            <w:pPr>
              <w:rPr>
                <w:sz w:val="16"/>
                <w:szCs w:val="16"/>
              </w:rPr>
            </w:pPr>
          </w:p>
        </w:tc>
        <w:tc>
          <w:tcPr>
            <w:tcW w:w="2247" w:type="pct"/>
            <w:shd w:val="clear" w:color="auto" w:fill="auto"/>
            <w:tcMar>
              <w:top w:w="113" w:type="dxa"/>
              <w:bottom w:w="113" w:type="dxa"/>
            </w:tcMar>
          </w:tcPr>
          <w:p w:rsidR="00FA423E" w:rsidRPr="007E4934" w:rsidRDefault="00FA423E" w:rsidP="00DC1333">
            <w:pPr>
              <w:rPr>
                <w:sz w:val="16"/>
                <w:szCs w:val="16"/>
              </w:rPr>
            </w:pPr>
            <w:r w:rsidRPr="007E4934">
              <w:rPr>
                <w:sz w:val="16"/>
                <w:szCs w:val="16"/>
                <w:lang w:val="es-ES_tradnl"/>
              </w:rPr>
              <w:t>Número de solicitudes de los Sistemas de Madrid y de Lisboa procedentes de países con economías en transición y países desarrollados</w:t>
            </w:r>
          </w:p>
        </w:tc>
        <w:tc>
          <w:tcPr>
            <w:tcW w:w="854" w:type="pct"/>
            <w:shd w:val="clear" w:color="auto" w:fill="FFFFFF"/>
            <w:tcMar>
              <w:top w:w="113" w:type="dxa"/>
              <w:bottom w:w="113" w:type="dxa"/>
            </w:tcMar>
          </w:tcPr>
          <w:p w:rsidR="00FA423E" w:rsidRPr="007E4934" w:rsidRDefault="00FA423E" w:rsidP="00DC1333">
            <w:pPr>
              <w:ind w:left="441" w:hanging="413"/>
              <w:jc w:val="center"/>
              <w:rPr>
                <w:sz w:val="16"/>
                <w:szCs w:val="16"/>
                <w:lang w:bidi="th-TH"/>
              </w:rPr>
            </w:pPr>
            <w:r w:rsidRPr="007E4934">
              <w:rPr>
                <w:sz w:val="16"/>
                <w:szCs w:val="16"/>
                <w:lang w:val="es-ES_tradnl" w:bidi="th-TH"/>
              </w:rPr>
              <w:t>Programa 10</w:t>
            </w:r>
          </w:p>
        </w:tc>
        <w:tc>
          <w:tcPr>
            <w:tcW w:w="475" w:type="pct"/>
            <w:shd w:val="clear" w:color="auto" w:fill="FFFFFF"/>
          </w:tcPr>
          <w:p w:rsidR="00FA423E" w:rsidRPr="00CC3F44" w:rsidRDefault="00FA423E" w:rsidP="00DC1333">
            <w:pPr>
              <w:jc w:val="center"/>
            </w:pPr>
            <w:r w:rsidRPr="00CC3F44">
              <w:rPr>
                <w:color w:val="008000"/>
                <w:szCs w:val="22"/>
              </w:rPr>
              <w:sym w:font="Wingdings" w:char="F06C"/>
            </w:r>
            <w:r w:rsidRPr="00CC3F44">
              <w:rPr>
                <w:color w:val="008000"/>
                <w:szCs w:val="22"/>
              </w:rPr>
              <w:sym w:font="Wingdings" w:char="F06C"/>
            </w:r>
          </w:p>
        </w:tc>
      </w:tr>
      <w:tr w:rsidR="00FA423E" w:rsidRPr="00811500" w:rsidTr="00DC1333">
        <w:trPr>
          <w:cantSplit/>
          <w:trHeight w:val="589"/>
        </w:trPr>
        <w:tc>
          <w:tcPr>
            <w:tcW w:w="1424" w:type="pct"/>
            <w:shd w:val="clear" w:color="auto" w:fill="auto"/>
            <w:tcMar>
              <w:top w:w="113" w:type="dxa"/>
              <w:bottom w:w="113" w:type="dxa"/>
            </w:tcMar>
          </w:tcPr>
          <w:p w:rsidR="00FA423E" w:rsidRPr="007E4934" w:rsidRDefault="00FA423E" w:rsidP="00DC1333">
            <w:pPr>
              <w:rPr>
                <w:sz w:val="16"/>
                <w:szCs w:val="16"/>
              </w:rPr>
            </w:pPr>
          </w:p>
        </w:tc>
        <w:tc>
          <w:tcPr>
            <w:tcW w:w="2247" w:type="pct"/>
            <w:shd w:val="clear" w:color="auto" w:fill="auto"/>
            <w:tcMar>
              <w:top w:w="113" w:type="dxa"/>
              <w:bottom w:w="113" w:type="dxa"/>
            </w:tcMar>
          </w:tcPr>
          <w:p w:rsidR="00FA423E" w:rsidRPr="007E4934" w:rsidRDefault="00FA423E" w:rsidP="00DC1333">
            <w:pPr>
              <w:rPr>
                <w:sz w:val="16"/>
                <w:szCs w:val="16"/>
              </w:rPr>
            </w:pPr>
            <w:r w:rsidRPr="007E4934">
              <w:rPr>
                <w:sz w:val="16"/>
                <w:szCs w:val="16"/>
                <w:lang w:val="es-ES_tradnl"/>
              </w:rPr>
              <w:t>Número de países que han formulado o adoptado políticas en las que se expone su adhesión al Protocolo de Madrid</w:t>
            </w:r>
          </w:p>
        </w:tc>
        <w:tc>
          <w:tcPr>
            <w:tcW w:w="854" w:type="pct"/>
            <w:shd w:val="clear" w:color="auto" w:fill="FFFFFF"/>
            <w:tcMar>
              <w:top w:w="113" w:type="dxa"/>
              <w:bottom w:w="113" w:type="dxa"/>
            </w:tcMar>
          </w:tcPr>
          <w:p w:rsidR="00FA423E" w:rsidRPr="007E4934" w:rsidRDefault="00FA423E" w:rsidP="00DC1333">
            <w:pPr>
              <w:ind w:left="441" w:hanging="413"/>
              <w:jc w:val="center"/>
              <w:rPr>
                <w:sz w:val="16"/>
                <w:szCs w:val="16"/>
                <w:lang w:bidi="th-TH"/>
              </w:rPr>
            </w:pPr>
            <w:r w:rsidRPr="007E4934">
              <w:rPr>
                <w:sz w:val="16"/>
                <w:szCs w:val="16"/>
                <w:lang w:val="es-ES_tradnl" w:bidi="th-TH"/>
              </w:rPr>
              <w:t>Programa 20</w:t>
            </w:r>
          </w:p>
        </w:tc>
        <w:tc>
          <w:tcPr>
            <w:tcW w:w="475" w:type="pct"/>
            <w:shd w:val="clear" w:color="auto" w:fill="FFFFFF"/>
          </w:tcPr>
          <w:p w:rsidR="00FA423E" w:rsidRPr="00CC3F44" w:rsidRDefault="00FA423E" w:rsidP="00DC1333">
            <w:pPr>
              <w:jc w:val="center"/>
            </w:pPr>
            <w:r w:rsidRPr="00CC3F44">
              <w:rPr>
                <w:color w:val="008000"/>
                <w:szCs w:val="22"/>
              </w:rPr>
              <w:sym w:font="Wingdings" w:char="F06C"/>
            </w:r>
          </w:p>
        </w:tc>
      </w:tr>
      <w:tr w:rsidR="00FA423E" w:rsidRPr="00811500" w:rsidTr="00DC1333">
        <w:trPr>
          <w:cantSplit/>
          <w:trHeight w:val="374"/>
        </w:trPr>
        <w:tc>
          <w:tcPr>
            <w:tcW w:w="1424" w:type="pct"/>
            <w:shd w:val="clear" w:color="auto" w:fill="auto"/>
            <w:tcMar>
              <w:top w:w="113" w:type="dxa"/>
              <w:bottom w:w="113" w:type="dxa"/>
            </w:tcMar>
          </w:tcPr>
          <w:p w:rsidR="00FA423E" w:rsidRPr="007E4934" w:rsidRDefault="00FA423E" w:rsidP="00DC1333">
            <w:pPr>
              <w:rPr>
                <w:sz w:val="16"/>
                <w:szCs w:val="16"/>
              </w:rPr>
            </w:pPr>
          </w:p>
        </w:tc>
        <w:tc>
          <w:tcPr>
            <w:tcW w:w="2247" w:type="pct"/>
            <w:shd w:val="clear" w:color="auto" w:fill="auto"/>
            <w:tcMar>
              <w:top w:w="113" w:type="dxa"/>
              <w:bottom w:w="113" w:type="dxa"/>
            </w:tcMar>
          </w:tcPr>
          <w:p w:rsidR="00FA423E" w:rsidRPr="007E4934" w:rsidRDefault="00FA423E" w:rsidP="00DC1333">
            <w:pPr>
              <w:rPr>
                <w:sz w:val="16"/>
                <w:szCs w:val="16"/>
              </w:rPr>
            </w:pPr>
            <w:r w:rsidRPr="007E4934">
              <w:rPr>
                <w:sz w:val="16"/>
                <w:szCs w:val="16"/>
                <w:lang w:val="es-ES_tradnl"/>
              </w:rPr>
              <w:t>Porcentaje de participantes satisfechos en talleres/seminarios sobre temas relacionados con el Sistema de Madrid</w:t>
            </w:r>
          </w:p>
        </w:tc>
        <w:tc>
          <w:tcPr>
            <w:tcW w:w="854" w:type="pct"/>
            <w:shd w:val="clear" w:color="auto" w:fill="FFFFFF"/>
            <w:tcMar>
              <w:top w:w="113" w:type="dxa"/>
              <w:bottom w:w="113" w:type="dxa"/>
            </w:tcMar>
          </w:tcPr>
          <w:p w:rsidR="00FA423E" w:rsidRPr="007E4934" w:rsidRDefault="00FA423E" w:rsidP="00DC1333">
            <w:pPr>
              <w:ind w:left="441" w:hanging="413"/>
              <w:jc w:val="center"/>
              <w:rPr>
                <w:sz w:val="16"/>
                <w:szCs w:val="16"/>
                <w:lang w:bidi="th-TH"/>
              </w:rPr>
            </w:pPr>
            <w:r w:rsidRPr="007E4934">
              <w:rPr>
                <w:sz w:val="16"/>
                <w:szCs w:val="16"/>
                <w:lang w:val="es-ES_tradnl" w:bidi="th-TH"/>
              </w:rPr>
              <w:t>Programa 20</w:t>
            </w:r>
          </w:p>
        </w:tc>
        <w:tc>
          <w:tcPr>
            <w:tcW w:w="475" w:type="pct"/>
            <w:shd w:val="clear" w:color="auto" w:fill="FFFFFF"/>
          </w:tcPr>
          <w:p w:rsidR="00FA423E" w:rsidRPr="00CC3F44" w:rsidRDefault="00FA423E" w:rsidP="00DC1333">
            <w:pPr>
              <w:jc w:val="center"/>
            </w:pPr>
            <w:r w:rsidRPr="00CC3F44">
              <w:rPr>
                <w:color w:val="FF0000"/>
                <w:szCs w:val="22"/>
              </w:rPr>
              <w:sym w:font="Wingdings" w:char="F06C"/>
            </w:r>
            <w:r w:rsidRPr="00CC3F44">
              <w:rPr>
                <w:color w:val="008000"/>
                <w:szCs w:val="22"/>
              </w:rPr>
              <w:sym w:font="Wingdings" w:char="F06C"/>
            </w:r>
          </w:p>
        </w:tc>
      </w:tr>
      <w:tr w:rsidR="00FA423E" w:rsidRPr="00811500" w:rsidTr="00DC1333">
        <w:trPr>
          <w:cantSplit/>
          <w:trHeight w:val="341"/>
        </w:trPr>
        <w:tc>
          <w:tcPr>
            <w:tcW w:w="1424" w:type="pct"/>
            <w:shd w:val="clear" w:color="auto" w:fill="auto"/>
            <w:tcMar>
              <w:top w:w="113" w:type="dxa"/>
              <w:bottom w:w="113" w:type="dxa"/>
            </w:tcMar>
          </w:tcPr>
          <w:p w:rsidR="00FA423E" w:rsidRPr="007E4934" w:rsidRDefault="00FA423E" w:rsidP="00DC1333">
            <w:pPr>
              <w:rPr>
                <w:sz w:val="16"/>
                <w:szCs w:val="16"/>
              </w:rPr>
            </w:pPr>
          </w:p>
        </w:tc>
        <w:tc>
          <w:tcPr>
            <w:tcW w:w="2247" w:type="pct"/>
            <w:shd w:val="clear" w:color="auto" w:fill="auto"/>
            <w:tcMar>
              <w:top w:w="113" w:type="dxa"/>
              <w:bottom w:w="113" w:type="dxa"/>
            </w:tcMar>
          </w:tcPr>
          <w:p w:rsidR="00FA423E" w:rsidRPr="007E4934" w:rsidRDefault="00FA423E" w:rsidP="00DC1333">
            <w:pPr>
              <w:rPr>
                <w:sz w:val="16"/>
                <w:szCs w:val="16"/>
              </w:rPr>
            </w:pPr>
            <w:r w:rsidRPr="007E4934">
              <w:rPr>
                <w:sz w:val="16"/>
                <w:szCs w:val="16"/>
                <w:lang w:val="es-ES_tradnl"/>
              </w:rPr>
              <w:t>Número de Partes Contratantes del Protocolo de Madrid</w:t>
            </w:r>
          </w:p>
        </w:tc>
        <w:tc>
          <w:tcPr>
            <w:tcW w:w="854" w:type="pct"/>
            <w:shd w:val="clear" w:color="auto" w:fill="FFFFFF"/>
            <w:tcMar>
              <w:top w:w="113" w:type="dxa"/>
              <w:bottom w:w="113" w:type="dxa"/>
            </w:tcMar>
          </w:tcPr>
          <w:p w:rsidR="00FA423E" w:rsidRPr="007E4934" w:rsidRDefault="00FA423E" w:rsidP="00DC1333">
            <w:pPr>
              <w:ind w:left="441" w:hanging="413"/>
              <w:jc w:val="center"/>
              <w:rPr>
                <w:sz w:val="16"/>
                <w:szCs w:val="16"/>
                <w:lang w:bidi="th-TH"/>
              </w:rPr>
            </w:pPr>
            <w:r w:rsidRPr="007E4934">
              <w:rPr>
                <w:sz w:val="16"/>
                <w:szCs w:val="16"/>
                <w:lang w:val="es-ES_tradnl" w:bidi="th-TH"/>
              </w:rPr>
              <w:t>Programa 20</w:t>
            </w:r>
          </w:p>
        </w:tc>
        <w:tc>
          <w:tcPr>
            <w:tcW w:w="475" w:type="pct"/>
            <w:shd w:val="clear" w:color="auto" w:fill="FFFFFF"/>
          </w:tcPr>
          <w:p w:rsidR="00FA423E" w:rsidRPr="00CC3F44" w:rsidRDefault="00FA423E" w:rsidP="00DC1333">
            <w:pPr>
              <w:jc w:val="center"/>
              <w:rPr>
                <w:color w:val="E26B0A"/>
              </w:rPr>
            </w:pPr>
            <w:r w:rsidRPr="00CC3F44">
              <w:rPr>
                <w:color w:val="E26B0A"/>
                <w:szCs w:val="22"/>
              </w:rPr>
              <w:sym w:font="Wingdings" w:char="F06C"/>
            </w:r>
          </w:p>
        </w:tc>
      </w:tr>
      <w:tr w:rsidR="00FA423E" w:rsidRPr="00811500" w:rsidTr="00DC1333">
        <w:trPr>
          <w:cantSplit/>
          <w:trHeight w:val="149"/>
        </w:trPr>
        <w:tc>
          <w:tcPr>
            <w:tcW w:w="1424" w:type="pct"/>
            <w:shd w:val="clear" w:color="auto" w:fill="auto"/>
            <w:tcMar>
              <w:top w:w="113" w:type="dxa"/>
              <w:bottom w:w="113" w:type="dxa"/>
            </w:tcMar>
          </w:tcPr>
          <w:p w:rsidR="00FA423E" w:rsidRPr="007E4934" w:rsidRDefault="00FA423E" w:rsidP="00DC1333">
            <w:pPr>
              <w:rPr>
                <w:sz w:val="16"/>
                <w:szCs w:val="16"/>
              </w:rPr>
            </w:pPr>
          </w:p>
        </w:tc>
        <w:tc>
          <w:tcPr>
            <w:tcW w:w="2247" w:type="pct"/>
            <w:shd w:val="clear" w:color="auto" w:fill="auto"/>
            <w:tcMar>
              <w:top w:w="113" w:type="dxa"/>
              <w:bottom w:w="113" w:type="dxa"/>
            </w:tcMar>
          </w:tcPr>
          <w:p w:rsidR="00FA423E" w:rsidRPr="007E4934" w:rsidRDefault="00FA423E" w:rsidP="00DC1333">
            <w:pPr>
              <w:rPr>
                <w:sz w:val="16"/>
                <w:szCs w:val="16"/>
              </w:rPr>
            </w:pPr>
            <w:r w:rsidRPr="007E4934">
              <w:rPr>
                <w:sz w:val="16"/>
                <w:szCs w:val="16"/>
                <w:lang w:val="es-ES_tradnl"/>
              </w:rPr>
              <w:t>Número de nuevos registros (Sistema de Madrid)</w:t>
            </w:r>
          </w:p>
        </w:tc>
        <w:tc>
          <w:tcPr>
            <w:tcW w:w="854" w:type="pct"/>
            <w:shd w:val="clear" w:color="auto" w:fill="FFFFFF"/>
            <w:tcMar>
              <w:top w:w="113" w:type="dxa"/>
              <w:bottom w:w="113" w:type="dxa"/>
            </w:tcMar>
          </w:tcPr>
          <w:p w:rsidR="00FA423E" w:rsidRPr="007E4934" w:rsidRDefault="00FA423E" w:rsidP="00DC1333">
            <w:pPr>
              <w:ind w:left="441" w:hanging="413"/>
              <w:jc w:val="center"/>
              <w:rPr>
                <w:sz w:val="16"/>
                <w:szCs w:val="16"/>
                <w:lang w:bidi="th-TH"/>
              </w:rPr>
            </w:pPr>
            <w:r w:rsidRPr="007E4934">
              <w:rPr>
                <w:sz w:val="16"/>
                <w:szCs w:val="16"/>
                <w:lang w:val="es-ES_tradnl" w:bidi="th-TH"/>
              </w:rPr>
              <w:t>Programa 20</w:t>
            </w:r>
          </w:p>
        </w:tc>
        <w:tc>
          <w:tcPr>
            <w:tcW w:w="475" w:type="pct"/>
            <w:shd w:val="clear" w:color="auto" w:fill="FFFFFF"/>
          </w:tcPr>
          <w:p w:rsidR="00FA423E" w:rsidRPr="00CC3F44" w:rsidRDefault="00FA423E" w:rsidP="00DC1333">
            <w:pPr>
              <w:jc w:val="center"/>
            </w:pPr>
            <w:r w:rsidRPr="00CC3F44">
              <w:rPr>
                <w:color w:val="008000"/>
                <w:szCs w:val="22"/>
              </w:rPr>
              <w:sym w:font="Wingdings" w:char="F06C"/>
            </w:r>
            <w:r w:rsidRPr="00CC3F44">
              <w:rPr>
                <w:color w:val="008000"/>
                <w:szCs w:val="22"/>
              </w:rPr>
              <w:sym w:font="Wingdings" w:char="F06C"/>
            </w:r>
          </w:p>
        </w:tc>
      </w:tr>
      <w:tr w:rsidR="00FA423E" w:rsidRPr="00811500" w:rsidTr="00DC1333">
        <w:trPr>
          <w:cantSplit/>
          <w:trHeight w:val="134"/>
        </w:trPr>
        <w:tc>
          <w:tcPr>
            <w:tcW w:w="1424" w:type="pct"/>
            <w:shd w:val="clear" w:color="auto" w:fill="auto"/>
            <w:tcMar>
              <w:top w:w="113" w:type="dxa"/>
              <w:bottom w:w="113" w:type="dxa"/>
            </w:tcMar>
          </w:tcPr>
          <w:p w:rsidR="00FA423E" w:rsidRPr="007E4934" w:rsidRDefault="00FA423E" w:rsidP="00DC1333">
            <w:pPr>
              <w:rPr>
                <w:sz w:val="16"/>
                <w:szCs w:val="16"/>
              </w:rPr>
            </w:pPr>
          </w:p>
        </w:tc>
        <w:tc>
          <w:tcPr>
            <w:tcW w:w="2247" w:type="pct"/>
            <w:shd w:val="clear" w:color="auto" w:fill="auto"/>
            <w:tcMar>
              <w:top w:w="113" w:type="dxa"/>
              <w:bottom w:w="113" w:type="dxa"/>
            </w:tcMar>
          </w:tcPr>
          <w:p w:rsidR="00FA423E" w:rsidRPr="007E4934" w:rsidRDefault="00FA423E" w:rsidP="00DC1333">
            <w:pPr>
              <w:rPr>
                <w:sz w:val="16"/>
                <w:szCs w:val="16"/>
              </w:rPr>
            </w:pPr>
            <w:r w:rsidRPr="007E4934">
              <w:rPr>
                <w:sz w:val="16"/>
                <w:szCs w:val="16"/>
                <w:lang w:val="es-ES_tradnl"/>
              </w:rPr>
              <w:t>Número de renovaciones (Sistema de Madrid)</w:t>
            </w:r>
          </w:p>
        </w:tc>
        <w:tc>
          <w:tcPr>
            <w:tcW w:w="854" w:type="pct"/>
            <w:shd w:val="clear" w:color="auto" w:fill="FFFFFF"/>
            <w:tcMar>
              <w:top w:w="113" w:type="dxa"/>
              <w:bottom w:w="113" w:type="dxa"/>
            </w:tcMar>
          </w:tcPr>
          <w:p w:rsidR="00FA423E" w:rsidRPr="007E4934" w:rsidRDefault="00FA423E" w:rsidP="00DC1333">
            <w:pPr>
              <w:ind w:left="441" w:hanging="413"/>
              <w:jc w:val="center"/>
              <w:rPr>
                <w:sz w:val="16"/>
                <w:szCs w:val="16"/>
                <w:lang w:bidi="th-TH"/>
              </w:rPr>
            </w:pPr>
            <w:r w:rsidRPr="007E4934">
              <w:rPr>
                <w:sz w:val="16"/>
                <w:szCs w:val="16"/>
                <w:lang w:val="es-ES_tradnl" w:bidi="th-TH"/>
              </w:rPr>
              <w:t>Programa 20</w:t>
            </w:r>
          </w:p>
        </w:tc>
        <w:tc>
          <w:tcPr>
            <w:tcW w:w="475" w:type="pct"/>
            <w:shd w:val="clear" w:color="auto" w:fill="FFFFFF"/>
          </w:tcPr>
          <w:p w:rsidR="00FA423E" w:rsidRPr="00CC3F44" w:rsidRDefault="00FA423E" w:rsidP="00DC1333">
            <w:pPr>
              <w:jc w:val="center"/>
            </w:pPr>
            <w:r w:rsidRPr="00CC3F44">
              <w:rPr>
                <w:color w:val="A6A6A6" w:themeColor="background1" w:themeShade="A6"/>
                <w:szCs w:val="22"/>
              </w:rPr>
              <w:sym w:font="Wingdings" w:char="F06C"/>
            </w:r>
            <w:r w:rsidRPr="00CC3F44">
              <w:rPr>
                <w:color w:val="A6A6A6" w:themeColor="background1" w:themeShade="A6"/>
                <w:szCs w:val="22"/>
              </w:rPr>
              <w:sym w:font="Wingdings" w:char="F06C"/>
            </w:r>
          </w:p>
        </w:tc>
      </w:tr>
      <w:tr w:rsidR="00FA423E" w:rsidRPr="00811500" w:rsidTr="00DC1333">
        <w:trPr>
          <w:cantSplit/>
          <w:trHeight w:val="546"/>
        </w:trPr>
        <w:tc>
          <w:tcPr>
            <w:tcW w:w="1424" w:type="pct"/>
            <w:shd w:val="clear" w:color="auto" w:fill="auto"/>
            <w:tcMar>
              <w:top w:w="113" w:type="dxa"/>
              <w:bottom w:w="113" w:type="dxa"/>
            </w:tcMar>
          </w:tcPr>
          <w:p w:rsidR="00FA423E" w:rsidRPr="007E4934" w:rsidRDefault="00FA423E" w:rsidP="00DC1333">
            <w:pPr>
              <w:rPr>
                <w:sz w:val="16"/>
                <w:szCs w:val="16"/>
              </w:rPr>
            </w:pPr>
            <w:r w:rsidRPr="007E4934">
              <w:rPr>
                <w:sz w:val="16"/>
                <w:szCs w:val="16"/>
                <w:lang w:val="es-ES_tradnl"/>
              </w:rPr>
              <w:t>II.7 Mejora de la productividad y de la calidad de los servicios en las operaciones de los Sistemas de Madrid y de Lisboa</w:t>
            </w:r>
          </w:p>
        </w:tc>
        <w:tc>
          <w:tcPr>
            <w:tcW w:w="2247" w:type="pct"/>
            <w:shd w:val="clear" w:color="auto" w:fill="auto"/>
            <w:tcMar>
              <w:top w:w="113" w:type="dxa"/>
              <w:bottom w:w="113" w:type="dxa"/>
            </w:tcMar>
          </w:tcPr>
          <w:p w:rsidR="00FA423E" w:rsidRPr="007E4934" w:rsidRDefault="00FA423E" w:rsidP="00DC1333">
            <w:pPr>
              <w:rPr>
                <w:sz w:val="16"/>
                <w:szCs w:val="16"/>
              </w:rPr>
            </w:pPr>
            <w:r w:rsidRPr="007E4934">
              <w:rPr>
                <w:sz w:val="16"/>
                <w:szCs w:val="16"/>
                <w:lang w:val="es-ES_tradnl"/>
              </w:rPr>
              <w:t>Avances en la agilización y simplificación del marco jurídico del Sistema de Madrid</w:t>
            </w:r>
          </w:p>
        </w:tc>
        <w:tc>
          <w:tcPr>
            <w:tcW w:w="854" w:type="pct"/>
            <w:shd w:val="clear" w:color="auto" w:fill="FFFFFF"/>
            <w:tcMar>
              <w:top w:w="113" w:type="dxa"/>
              <w:bottom w:w="113" w:type="dxa"/>
            </w:tcMar>
          </w:tcPr>
          <w:p w:rsidR="00FA423E" w:rsidRPr="007E4934" w:rsidRDefault="00FA423E" w:rsidP="00DC1333">
            <w:pPr>
              <w:ind w:left="441" w:hanging="413"/>
              <w:jc w:val="center"/>
              <w:rPr>
                <w:sz w:val="16"/>
                <w:szCs w:val="16"/>
                <w:lang w:bidi="th-TH"/>
              </w:rPr>
            </w:pPr>
            <w:r w:rsidRPr="007E4934">
              <w:rPr>
                <w:sz w:val="16"/>
                <w:szCs w:val="16"/>
                <w:lang w:val="es-ES_tradnl" w:bidi="th-TH"/>
              </w:rPr>
              <w:t>Programa 6</w:t>
            </w:r>
          </w:p>
        </w:tc>
        <w:tc>
          <w:tcPr>
            <w:tcW w:w="475" w:type="pct"/>
            <w:shd w:val="clear" w:color="auto" w:fill="FFFFFF"/>
          </w:tcPr>
          <w:p w:rsidR="00FA423E" w:rsidRPr="00CC3F44" w:rsidRDefault="00FA423E" w:rsidP="00DC1333">
            <w:pPr>
              <w:jc w:val="center"/>
            </w:pPr>
            <w:r w:rsidRPr="00CC3F44">
              <w:rPr>
                <w:color w:val="008000"/>
                <w:szCs w:val="22"/>
              </w:rPr>
              <w:sym w:font="Wingdings" w:char="F06C"/>
            </w:r>
          </w:p>
        </w:tc>
      </w:tr>
      <w:tr w:rsidR="00FA423E" w:rsidRPr="00811500" w:rsidTr="00DC1333">
        <w:trPr>
          <w:cantSplit/>
          <w:trHeight w:val="742"/>
        </w:trPr>
        <w:tc>
          <w:tcPr>
            <w:tcW w:w="1424" w:type="pct"/>
            <w:shd w:val="clear" w:color="auto" w:fill="auto"/>
            <w:tcMar>
              <w:top w:w="113" w:type="dxa"/>
              <w:bottom w:w="113" w:type="dxa"/>
            </w:tcMar>
          </w:tcPr>
          <w:p w:rsidR="00FA423E" w:rsidRPr="007E4934" w:rsidRDefault="00FA423E" w:rsidP="00DC1333">
            <w:pPr>
              <w:rPr>
                <w:sz w:val="16"/>
                <w:szCs w:val="16"/>
              </w:rPr>
            </w:pPr>
          </w:p>
        </w:tc>
        <w:tc>
          <w:tcPr>
            <w:tcW w:w="2247" w:type="pct"/>
            <w:shd w:val="clear" w:color="auto" w:fill="auto"/>
            <w:tcMar>
              <w:top w:w="113" w:type="dxa"/>
              <w:bottom w:w="113" w:type="dxa"/>
            </w:tcMar>
          </w:tcPr>
          <w:p w:rsidR="00FA423E" w:rsidRPr="007E4934" w:rsidRDefault="00FA423E" w:rsidP="00DC1333">
            <w:pPr>
              <w:rPr>
                <w:sz w:val="16"/>
                <w:szCs w:val="16"/>
              </w:rPr>
            </w:pPr>
            <w:r w:rsidRPr="007E4934">
              <w:rPr>
                <w:sz w:val="16"/>
                <w:szCs w:val="16"/>
                <w:lang w:val="es-ES_tradnl"/>
              </w:rPr>
              <w:t>Número de registros</w:t>
            </w:r>
            <w:r w:rsidRPr="007E4934">
              <w:rPr>
                <w:sz w:val="16"/>
                <w:szCs w:val="16"/>
              </w:rPr>
              <w:t xml:space="preserve"> </w:t>
            </w:r>
          </w:p>
          <w:p w:rsidR="00FA423E" w:rsidRPr="007E4934" w:rsidRDefault="00FA423E" w:rsidP="00DC1333">
            <w:pPr>
              <w:rPr>
                <w:sz w:val="16"/>
                <w:szCs w:val="16"/>
              </w:rPr>
            </w:pPr>
            <w:r w:rsidRPr="007E4934">
              <w:rPr>
                <w:sz w:val="16"/>
                <w:szCs w:val="16"/>
                <w:lang w:val="es-ES_tradnl"/>
              </w:rPr>
              <w:t>Número de renovaciones tramitadas</w:t>
            </w:r>
            <w:r w:rsidRPr="007E4934">
              <w:rPr>
                <w:sz w:val="16"/>
                <w:szCs w:val="16"/>
              </w:rPr>
              <w:t xml:space="preserve"> </w:t>
            </w:r>
          </w:p>
          <w:p w:rsidR="00FA423E" w:rsidRPr="007E4934" w:rsidRDefault="00FA423E" w:rsidP="00DC1333">
            <w:pPr>
              <w:rPr>
                <w:sz w:val="16"/>
                <w:szCs w:val="16"/>
              </w:rPr>
            </w:pPr>
            <w:r w:rsidRPr="007E4934">
              <w:rPr>
                <w:sz w:val="16"/>
                <w:szCs w:val="16"/>
                <w:lang w:val="es-ES_tradnl"/>
              </w:rPr>
              <w:t>Número de modificaciones, incluidas las designaciones posteriores (Madrid)</w:t>
            </w:r>
          </w:p>
        </w:tc>
        <w:tc>
          <w:tcPr>
            <w:tcW w:w="854" w:type="pct"/>
            <w:shd w:val="clear" w:color="auto" w:fill="FFFFFF"/>
            <w:tcMar>
              <w:top w:w="113" w:type="dxa"/>
              <w:bottom w:w="113" w:type="dxa"/>
            </w:tcMar>
          </w:tcPr>
          <w:p w:rsidR="00FA423E" w:rsidRPr="007E4934" w:rsidRDefault="00FA423E" w:rsidP="00DC1333">
            <w:pPr>
              <w:ind w:left="441" w:hanging="413"/>
              <w:jc w:val="center"/>
              <w:rPr>
                <w:sz w:val="16"/>
                <w:szCs w:val="16"/>
                <w:lang w:bidi="th-TH"/>
              </w:rPr>
            </w:pPr>
            <w:r w:rsidRPr="007E4934">
              <w:rPr>
                <w:sz w:val="16"/>
                <w:szCs w:val="16"/>
                <w:lang w:val="es-ES_tradnl" w:bidi="th-TH"/>
              </w:rPr>
              <w:t>Programa 6</w:t>
            </w:r>
          </w:p>
        </w:tc>
        <w:tc>
          <w:tcPr>
            <w:tcW w:w="475" w:type="pct"/>
            <w:shd w:val="clear" w:color="auto" w:fill="FFFFFF"/>
          </w:tcPr>
          <w:p w:rsidR="00FA423E" w:rsidRDefault="00FA423E" w:rsidP="00DC1333">
            <w:pPr>
              <w:jc w:val="center"/>
              <w:rPr>
                <w:color w:val="008000"/>
                <w:szCs w:val="22"/>
              </w:rPr>
            </w:pPr>
            <w:r w:rsidRPr="00CC3F44">
              <w:rPr>
                <w:color w:val="FF0000"/>
                <w:szCs w:val="22"/>
              </w:rPr>
              <w:sym w:font="Wingdings" w:char="F06C"/>
            </w:r>
            <w:r w:rsidRPr="00CC3F44">
              <w:rPr>
                <w:color w:val="008000"/>
                <w:szCs w:val="22"/>
              </w:rPr>
              <w:sym w:font="Wingdings" w:char="F06C"/>
            </w:r>
            <w:r w:rsidRPr="00CC3F44">
              <w:rPr>
                <w:color w:val="008000"/>
                <w:szCs w:val="22"/>
              </w:rPr>
              <w:sym w:font="Wingdings" w:char="F06C"/>
            </w:r>
          </w:p>
          <w:p w:rsidR="00FA423E" w:rsidRPr="00CC3F44" w:rsidRDefault="00FA423E" w:rsidP="00DC1333">
            <w:pPr>
              <w:jc w:val="center"/>
            </w:pPr>
            <w:r w:rsidRPr="00CC3F44">
              <w:rPr>
                <w:color w:val="008000"/>
                <w:szCs w:val="22"/>
              </w:rPr>
              <w:sym w:font="Wingdings" w:char="F06C"/>
            </w:r>
            <w:r w:rsidRPr="00CC3F44">
              <w:rPr>
                <w:color w:val="008000"/>
                <w:szCs w:val="22"/>
              </w:rPr>
              <w:sym w:font="Wingdings" w:char="F06C"/>
            </w:r>
          </w:p>
        </w:tc>
      </w:tr>
      <w:tr w:rsidR="00FA423E" w:rsidRPr="00811500" w:rsidTr="00DC1333">
        <w:trPr>
          <w:cantSplit/>
          <w:trHeight w:val="315"/>
        </w:trPr>
        <w:tc>
          <w:tcPr>
            <w:tcW w:w="1424" w:type="pct"/>
            <w:shd w:val="clear" w:color="auto" w:fill="auto"/>
            <w:tcMar>
              <w:top w:w="113" w:type="dxa"/>
              <w:bottom w:w="113" w:type="dxa"/>
            </w:tcMar>
          </w:tcPr>
          <w:p w:rsidR="00FA423E" w:rsidRPr="007E4934" w:rsidRDefault="00FA423E" w:rsidP="00DC1333">
            <w:pPr>
              <w:rPr>
                <w:sz w:val="16"/>
                <w:szCs w:val="16"/>
              </w:rPr>
            </w:pPr>
          </w:p>
        </w:tc>
        <w:tc>
          <w:tcPr>
            <w:tcW w:w="2247" w:type="pct"/>
            <w:shd w:val="clear" w:color="auto" w:fill="auto"/>
            <w:tcMar>
              <w:top w:w="113" w:type="dxa"/>
              <w:bottom w:w="113" w:type="dxa"/>
            </w:tcMar>
          </w:tcPr>
          <w:p w:rsidR="00FA423E" w:rsidRPr="007E4934" w:rsidRDefault="00FA423E" w:rsidP="00DC1333">
            <w:pPr>
              <w:rPr>
                <w:sz w:val="16"/>
                <w:szCs w:val="16"/>
              </w:rPr>
            </w:pPr>
            <w:r w:rsidRPr="007E4934">
              <w:rPr>
                <w:sz w:val="16"/>
                <w:szCs w:val="16"/>
                <w:lang w:val="es-ES_tradnl"/>
              </w:rPr>
              <w:t>Traducción de las solicitudes de manera puntual (Madrid)</w:t>
            </w:r>
          </w:p>
        </w:tc>
        <w:tc>
          <w:tcPr>
            <w:tcW w:w="854" w:type="pct"/>
            <w:shd w:val="clear" w:color="auto" w:fill="FFFFFF"/>
            <w:tcMar>
              <w:top w:w="113" w:type="dxa"/>
              <w:bottom w:w="113" w:type="dxa"/>
            </w:tcMar>
          </w:tcPr>
          <w:p w:rsidR="00FA423E" w:rsidRPr="007E4934" w:rsidRDefault="00FA423E" w:rsidP="00DC1333">
            <w:pPr>
              <w:ind w:left="441" w:hanging="413"/>
              <w:jc w:val="center"/>
              <w:rPr>
                <w:sz w:val="16"/>
                <w:szCs w:val="16"/>
                <w:lang w:bidi="th-TH"/>
              </w:rPr>
            </w:pPr>
            <w:r w:rsidRPr="007E4934">
              <w:rPr>
                <w:sz w:val="16"/>
                <w:szCs w:val="16"/>
                <w:lang w:val="es-ES_tradnl" w:bidi="th-TH"/>
              </w:rPr>
              <w:t>Programa 6</w:t>
            </w:r>
          </w:p>
        </w:tc>
        <w:tc>
          <w:tcPr>
            <w:tcW w:w="475" w:type="pct"/>
            <w:shd w:val="clear" w:color="auto" w:fill="FFFFFF"/>
          </w:tcPr>
          <w:p w:rsidR="00FA423E" w:rsidRPr="00CC3F44" w:rsidRDefault="00FA423E" w:rsidP="00DC1333">
            <w:pPr>
              <w:jc w:val="center"/>
            </w:pPr>
            <w:r w:rsidRPr="00CC3F44">
              <w:rPr>
                <w:color w:val="008000"/>
                <w:szCs w:val="22"/>
              </w:rPr>
              <w:sym w:font="Wingdings" w:char="F06C"/>
            </w:r>
          </w:p>
        </w:tc>
      </w:tr>
      <w:tr w:rsidR="00FA423E" w:rsidRPr="00811500" w:rsidTr="00DC1333">
        <w:trPr>
          <w:cantSplit/>
          <w:trHeight w:val="228"/>
        </w:trPr>
        <w:tc>
          <w:tcPr>
            <w:tcW w:w="1424" w:type="pct"/>
            <w:shd w:val="clear" w:color="auto" w:fill="auto"/>
            <w:tcMar>
              <w:top w:w="57" w:type="dxa"/>
              <w:bottom w:w="57" w:type="dxa"/>
            </w:tcMar>
          </w:tcPr>
          <w:p w:rsidR="00FA423E" w:rsidRPr="007E4934" w:rsidRDefault="00FA423E" w:rsidP="00DC1333">
            <w:pPr>
              <w:rPr>
                <w:sz w:val="16"/>
                <w:szCs w:val="16"/>
              </w:rPr>
            </w:pPr>
          </w:p>
        </w:tc>
        <w:tc>
          <w:tcPr>
            <w:tcW w:w="2247" w:type="pct"/>
            <w:shd w:val="clear" w:color="auto" w:fill="auto"/>
            <w:tcMar>
              <w:top w:w="57" w:type="dxa"/>
              <w:bottom w:w="57" w:type="dxa"/>
            </w:tcMar>
          </w:tcPr>
          <w:p w:rsidR="00FA423E" w:rsidRPr="007E4934" w:rsidRDefault="00FA423E" w:rsidP="00DC1333">
            <w:pPr>
              <w:rPr>
                <w:sz w:val="16"/>
                <w:szCs w:val="16"/>
              </w:rPr>
            </w:pPr>
            <w:r w:rsidRPr="007E4934">
              <w:rPr>
                <w:sz w:val="16"/>
                <w:szCs w:val="16"/>
                <w:lang w:val="es-ES_tradnl"/>
              </w:rPr>
              <w:t>Disminución del número de correcciones (Madrid)</w:t>
            </w:r>
          </w:p>
        </w:tc>
        <w:tc>
          <w:tcPr>
            <w:tcW w:w="854" w:type="pct"/>
            <w:shd w:val="clear" w:color="auto" w:fill="FFFFFF"/>
            <w:tcMar>
              <w:top w:w="57" w:type="dxa"/>
              <w:bottom w:w="57" w:type="dxa"/>
            </w:tcMar>
          </w:tcPr>
          <w:p w:rsidR="00FA423E" w:rsidRPr="007E4934" w:rsidRDefault="00FA423E" w:rsidP="00DC1333">
            <w:pPr>
              <w:ind w:left="441" w:hanging="413"/>
              <w:jc w:val="center"/>
              <w:rPr>
                <w:sz w:val="16"/>
                <w:szCs w:val="16"/>
                <w:lang w:bidi="th-TH"/>
              </w:rPr>
            </w:pPr>
            <w:r w:rsidRPr="007E4934">
              <w:rPr>
                <w:sz w:val="16"/>
                <w:szCs w:val="16"/>
                <w:lang w:val="es-ES_tradnl" w:bidi="th-TH"/>
              </w:rPr>
              <w:t>Programa 6</w:t>
            </w:r>
          </w:p>
        </w:tc>
        <w:tc>
          <w:tcPr>
            <w:tcW w:w="475" w:type="pct"/>
            <w:shd w:val="clear" w:color="auto" w:fill="FFFFFF"/>
            <w:tcMar>
              <w:top w:w="57" w:type="dxa"/>
              <w:bottom w:w="57" w:type="dxa"/>
            </w:tcMar>
          </w:tcPr>
          <w:p w:rsidR="00FA423E" w:rsidRPr="00CC3F44" w:rsidRDefault="00FA423E" w:rsidP="00DC1333">
            <w:pPr>
              <w:jc w:val="center"/>
            </w:pPr>
            <w:r w:rsidRPr="00CC3F44">
              <w:rPr>
                <w:color w:val="FF0000"/>
                <w:szCs w:val="22"/>
              </w:rPr>
              <w:sym w:font="Wingdings" w:char="F06C"/>
            </w:r>
          </w:p>
        </w:tc>
      </w:tr>
      <w:tr w:rsidR="00FA423E" w:rsidRPr="00811500" w:rsidTr="00DC1333">
        <w:trPr>
          <w:cantSplit/>
          <w:trHeight w:val="205"/>
        </w:trPr>
        <w:tc>
          <w:tcPr>
            <w:tcW w:w="1424" w:type="pct"/>
            <w:shd w:val="clear" w:color="auto" w:fill="auto"/>
            <w:tcMar>
              <w:top w:w="57" w:type="dxa"/>
              <w:bottom w:w="57" w:type="dxa"/>
            </w:tcMar>
          </w:tcPr>
          <w:p w:rsidR="00FA423E" w:rsidRPr="007E4934" w:rsidRDefault="00FA423E" w:rsidP="00DC1333">
            <w:pPr>
              <w:rPr>
                <w:sz w:val="16"/>
                <w:szCs w:val="16"/>
              </w:rPr>
            </w:pPr>
          </w:p>
        </w:tc>
        <w:tc>
          <w:tcPr>
            <w:tcW w:w="2247" w:type="pct"/>
            <w:shd w:val="clear" w:color="auto" w:fill="auto"/>
            <w:tcMar>
              <w:top w:w="57" w:type="dxa"/>
              <w:bottom w:w="57" w:type="dxa"/>
            </w:tcMar>
          </w:tcPr>
          <w:p w:rsidR="00FA423E" w:rsidRPr="007E4934" w:rsidRDefault="00FA423E" w:rsidP="00DC1333">
            <w:pPr>
              <w:rPr>
                <w:sz w:val="16"/>
                <w:szCs w:val="16"/>
              </w:rPr>
            </w:pPr>
            <w:r w:rsidRPr="007E4934">
              <w:rPr>
                <w:sz w:val="16"/>
                <w:szCs w:val="16"/>
                <w:lang w:val="es-ES_tradnl"/>
              </w:rPr>
              <w:t>Aumento de la satisfacción de los clientes (Madrid)</w:t>
            </w:r>
          </w:p>
        </w:tc>
        <w:tc>
          <w:tcPr>
            <w:tcW w:w="854" w:type="pct"/>
            <w:shd w:val="clear" w:color="auto" w:fill="FFFFFF"/>
            <w:tcMar>
              <w:top w:w="57" w:type="dxa"/>
              <w:bottom w:w="57" w:type="dxa"/>
            </w:tcMar>
          </w:tcPr>
          <w:p w:rsidR="00FA423E" w:rsidRPr="007E4934" w:rsidRDefault="00FA423E" w:rsidP="00DC1333">
            <w:pPr>
              <w:ind w:left="441" w:hanging="413"/>
              <w:jc w:val="center"/>
              <w:rPr>
                <w:sz w:val="16"/>
                <w:szCs w:val="16"/>
                <w:lang w:bidi="th-TH"/>
              </w:rPr>
            </w:pPr>
            <w:r w:rsidRPr="007E4934">
              <w:rPr>
                <w:sz w:val="16"/>
                <w:szCs w:val="16"/>
                <w:lang w:val="es-ES_tradnl" w:bidi="th-TH"/>
              </w:rPr>
              <w:t>Programa 6</w:t>
            </w:r>
          </w:p>
        </w:tc>
        <w:tc>
          <w:tcPr>
            <w:tcW w:w="475" w:type="pct"/>
            <w:shd w:val="clear" w:color="auto" w:fill="FFFFFF"/>
            <w:tcMar>
              <w:top w:w="57" w:type="dxa"/>
              <w:bottom w:w="57" w:type="dxa"/>
            </w:tcMar>
          </w:tcPr>
          <w:p w:rsidR="00FA423E" w:rsidRPr="00CC3F44" w:rsidRDefault="00FA423E" w:rsidP="00DC1333">
            <w:pPr>
              <w:jc w:val="center"/>
            </w:pPr>
            <w:r w:rsidRPr="00CC3F44">
              <w:rPr>
                <w:color w:val="008000"/>
                <w:szCs w:val="22"/>
              </w:rPr>
              <w:sym w:font="Wingdings" w:char="F06C"/>
            </w:r>
            <w:r w:rsidRPr="00CC3F44">
              <w:rPr>
                <w:color w:val="A6A6A6" w:themeColor="background1" w:themeShade="A6"/>
                <w:szCs w:val="22"/>
              </w:rPr>
              <w:sym w:font="Wingdings" w:char="F06C"/>
            </w:r>
          </w:p>
        </w:tc>
      </w:tr>
      <w:tr w:rsidR="00FA423E" w:rsidRPr="00811500" w:rsidTr="00DC1333">
        <w:trPr>
          <w:cantSplit/>
          <w:trHeight w:val="131"/>
        </w:trPr>
        <w:tc>
          <w:tcPr>
            <w:tcW w:w="1424" w:type="pct"/>
            <w:shd w:val="clear" w:color="auto" w:fill="auto"/>
            <w:tcMar>
              <w:top w:w="113" w:type="dxa"/>
              <w:bottom w:w="113" w:type="dxa"/>
            </w:tcMar>
          </w:tcPr>
          <w:p w:rsidR="00FA423E" w:rsidRPr="007E4934" w:rsidRDefault="00FA423E" w:rsidP="00DC1333">
            <w:pPr>
              <w:rPr>
                <w:sz w:val="16"/>
                <w:szCs w:val="16"/>
              </w:rPr>
            </w:pPr>
          </w:p>
        </w:tc>
        <w:tc>
          <w:tcPr>
            <w:tcW w:w="2247" w:type="pct"/>
            <w:shd w:val="clear" w:color="auto" w:fill="auto"/>
            <w:tcMar>
              <w:top w:w="113" w:type="dxa"/>
              <w:bottom w:w="113" w:type="dxa"/>
            </w:tcMar>
          </w:tcPr>
          <w:p w:rsidR="00FA423E" w:rsidRPr="007E4934" w:rsidRDefault="00FA423E" w:rsidP="00DC1333">
            <w:pPr>
              <w:rPr>
                <w:sz w:val="16"/>
                <w:szCs w:val="16"/>
              </w:rPr>
            </w:pPr>
            <w:r w:rsidRPr="007E4934">
              <w:rPr>
                <w:sz w:val="16"/>
                <w:szCs w:val="16"/>
                <w:lang w:val="es-ES_tradnl"/>
              </w:rPr>
              <w:t>Aumento del uso del intercambio electrónico (Madrid)</w:t>
            </w:r>
          </w:p>
        </w:tc>
        <w:tc>
          <w:tcPr>
            <w:tcW w:w="854" w:type="pct"/>
            <w:shd w:val="clear" w:color="auto" w:fill="FFFFFF"/>
            <w:tcMar>
              <w:top w:w="113" w:type="dxa"/>
              <w:bottom w:w="113" w:type="dxa"/>
            </w:tcMar>
          </w:tcPr>
          <w:p w:rsidR="00FA423E" w:rsidRPr="007E4934" w:rsidRDefault="00FA423E" w:rsidP="00DC1333">
            <w:pPr>
              <w:ind w:left="441" w:hanging="413"/>
              <w:jc w:val="center"/>
              <w:rPr>
                <w:sz w:val="16"/>
                <w:szCs w:val="16"/>
                <w:lang w:bidi="th-TH"/>
              </w:rPr>
            </w:pPr>
            <w:r w:rsidRPr="007E4934">
              <w:rPr>
                <w:sz w:val="16"/>
                <w:szCs w:val="16"/>
                <w:lang w:val="es-ES_tradnl" w:bidi="th-TH"/>
              </w:rPr>
              <w:t>Programa 6</w:t>
            </w:r>
          </w:p>
        </w:tc>
        <w:tc>
          <w:tcPr>
            <w:tcW w:w="475" w:type="pct"/>
            <w:shd w:val="clear" w:color="auto" w:fill="FFFFFF"/>
          </w:tcPr>
          <w:p w:rsidR="00FA423E" w:rsidRPr="00CC3F44" w:rsidRDefault="00FA423E" w:rsidP="00DC1333">
            <w:pPr>
              <w:jc w:val="center"/>
            </w:pPr>
            <w:r w:rsidRPr="00CC3F44">
              <w:rPr>
                <w:color w:val="008000"/>
                <w:szCs w:val="22"/>
              </w:rPr>
              <w:sym w:font="Wingdings" w:char="F06C"/>
            </w:r>
            <w:r w:rsidRPr="00CC3F44">
              <w:rPr>
                <w:color w:val="008000"/>
                <w:szCs w:val="22"/>
              </w:rPr>
              <w:sym w:font="Wingdings" w:char="F06C"/>
            </w:r>
            <w:r w:rsidRPr="00CC3F44">
              <w:rPr>
                <w:color w:val="008000"/>
                <w:szCs w:val="22"/>
              </w:rPr>
              <w:sym w:font="Wingdings" w:char="F06C"/>
            </w:r>
            <w:r w:rsidRPr="00CC3F44">
              <w:rPr>
                <w:color w:val="008000"/>
                <w:szCs w:val="22"/>
              </w:rPr>
              <w:sym w:font="Wingdings" w:char="F06C"/>
            </w:r>
          </w:p>
        </w:tc>
      </w:tr>
      <w:tr w:rsidR="00FA423E" w:rsidRPr="00811500" w:rsidTr="00DC1333">
        <w:trPr>
          <w:cantSplit/>
          <w:trHeight w:val="264"/>
        </w:trPr>
        <w:tc>
          <w:tcPr>
            <w:tcW w:w="1424" w:type="pct"/>
            <w:shd w:val="clear" w:color="auto" w:fill="auto"/>
            <w:tcMar>
              <w:top w:w="113" w:type="dxa"/>
              <w:bottom w:w="113" w:type="dxa"/>
            </w:tcMar>
          </w:tcPr>
          <w:p w:rsidR="00FA423E" w:rsidRPr="007E4934" w:rsidRDefault="00FA423E" w:rsidP="00DC1333">
            <w:pPr>
              <w:rPr>
                <w:sz w:val="16"/>
                <w:szCs w:val="16"/>
              </w:rPr>
            </w:pPr>
          </w:p>
        </w:tc>
        <w:tc>
          <w:tcPr>
            <w:tcW w:w="2247" w:type="pct"/>
            <w:shd w:val="clear" w:color="auto" w:fill="auto"/>
            <w:tcMar>
              <w:top w:w="113" w:type="dxa"/>
              <w:bottom w:w="113" w:type="dxa"/>
            </w:tcMar>
          </w:tcPr>
          <w:p w:rsidR="00FA423E" w:rsidRPr="007E4934" w:rsidRDefault="00FA423E" w:rsidP="00DC1333">
            <w:pPr>
              <w:rPr>
                <w:sz w:val="16"/>
                <w:szCs w:val="16"/>
              </w:rPr>
            </w:pPr>
            <w:r w:rsidRPr="007E4934">
              <w:rPr>
                <w:sz w:val="16"/>
                <w:szCs w:val="16"/>
                <w:lang w:val="es-ES_tradnl"/>
              </w:rPr>
              <w:t>Perfeccionamiento del Registro Internacional electrónico del Sistema de Lisboa</w:t>
            </w:r>
          </w:p>
        </w:tc>
        <w:tc>
          <w:tcPr>
            <w:tcW w:w="854" w:type="pct"/>
            <w:shd w:val="clear" w:color="auto" w:fill="FFFFFF"/>
            <w:tcMar>
              <w:top w:w="113" w:type="dxa"/>
              <w:bottom w:w="113" w:type="dxa"/>
            </w:tcMar>
          </w:tcPr>
          <w:p w:rsidR="00FA423E" w:rsidRPr="007E4934" w:rsidRDefault="00FA423E" w:rsidP="00DC1333">
            <w:pPr>
              <w:ind w:left="441" w:hanging="413"/>
              <w:jc w:val="center"/>
              <w:rPr>
                <w:sz w:val="16"/>
                <w:szCs w:val="16"/>
                <w:lang w:bidi="th-TH"/>
              </w:rPr>
            </w:pPr>
            <w:r w:rsidRPr="007E4934">
              <w:rPr>
                <w:sz w:val="16"/>
                <w:szCs w:val="16"/>
                <w:lang w:val="es-ES_tradnl" w:bidi="th-TH"/>
              </w:rPr>
              <w:t>Programa 6</w:t>
            </w:r>
          </w:p>
        </w:tc>
        <w:tc>
          <w:tcPr>
            <w:tcW w:w="475" w:type="pct"/>
            <w:shd w:val="clear" w:color="auto" w:fill="FFFFFF"/>
          </w:tcPr>
          <w:p w:rsidR="00FA423E" w:rsidRPr="00CC3F44" w:rsidRDefault="00FA423E" w:rsidP="00DC1333">
            <w:pPr>
              <w:jc w:val="center"/>
              <w:rPr>
                <w:color w:val="E26B0A"/>
              </w:rPr>
            </w:pPr>
            <w:r w:rsidRPr="00CC3F44">
              <w:rPr>
                <w:color w:val="E26B0A"/>
                <w:szCs w:val="22"/>
              </w:rPr>
              <w:sym w:font="Wingdings" w:char="F06C"/>
            </w:r>
          </w:p>
        </w:tc>
      </w:tr>
      <w:tr w:rsidR="00FA423E" w:rsidRPr="00811500" w:rsidTr="00DC1333">
        <w:trPr>
          <w:cantSplit/>
          <w:trHeight w:val="383"/>
        </w:trPr>
        <w:tc>
          <w:tcPr>
            <w:tcW w:w="1424" w:type="pct"/>
            <w:shd w:val="clear" w:color="auto" w:fill="auto"/>
            <w:tcMar>
              <w:top w:w="113" w:type="dxa"/>
              <w:bottom w:w="113" w:type="dxa"/>
            </w:tcMar>
          </w:tcPr>
          <w:p w:rsidR="00FA423E" w:rsidRPr="007E4934" w:rsidRDefault="00FA423E" w:rsidP="00DC1333">
            <w:pPr>
              <w:rPr>
                <w:sz w:val="16"/>
                <w:szCs w:val="16"/>
              </w:rPr>
            </w:pPr>
          </w:p>
        </w:tc>
        <w:tc>
          <w:tcPr>
            <w:tcW w:w="2247" w:type="pct"/>
            <w:shd w:val="clear" w:color="auto" w:fill="auto"/>
            <w:tcMar>
              <w:top w:w="113" w:type="dxa"/>
              <w:bottom w:w="113" w:type="dxa"/>
            </w:tcMar>
          </w:tcPr>
          <w:p w:rsidR="00FA423E" w:rsidRPr="007E4934" w:rsidRDefault="00FA423E" w:rsidP="00DC1333">
            <w:pPr>
              <w:rPr>
                <w:sz w:val="16"/>
                <w:szCs w:val="16"/>
              </w:rPr>
            </w:pPr>
            <w:r w:rsidRPr="007E4934">
              <w:rPr>
                <w:sz w:val="16"/>
                <w:szCs w:val="16"/>
                <w:lang w:val="es-ES_tradnl"/>
              </w:rPr>
              <w:t>Perfeccionamiento de los medios de comunicación y publicación electrónicos en el marco de los procedimientos del Arreglo de Lisboa</w:t>
            </w:r>
          </w:p>
        </w:tc>
        <w:tc>
          <w:tcPr>
            <w:tcW w:w="854" w:type="pct"/>
            <w:shd w:val="clear" w:color="auto" w:fill="FFFFFF"/>
            <w:tcMar>
              <w:top w:w="113" w:type="dxa"/>
              <w:bottom w:w="113" w:type="dxa"/>
            </w:tcMar>
          </w:tcPr>
          <w:p w:rsidR="00FA423E" w:rsidRPr="007E4934" w:rsidRDefault="00FA423E" w:rsidP="00DC1333">
            <w:pPr>
              <w:ind w:left="441" w:hanging="413"/>
              <w:jc w:val="center"/>
              <w:rPr>
                <w:sz w:val="16"/>
                <w:szCs w:val="16"/>
                <w:lang w:bidi="th-TH"/>
              </w:rPr>
            </w:pPr>
            <w:r w:rsidRPr="007E4934">
              <w:rPr>
                <w:sz w:val="16"/>
                <w:szCs w:val="16"/>
                <w:lang w:val="es-ES_tradnl" w:bidi="th-TH"/>
              </w:rPr>
              <w:t>Programa 6</w:t>
            </w:r>
          </w:p>
        </w:tc>
        <w:tc>
          <w:tcPr>
            <w:tcW w:w="475" w:type="pct"/>
            <w:shd w:val="clear" w:color="auto" w:fill="FFFFFF"/>
          </w:tcPr>
          <w:p w:rsidR="00FA423E" w:rsidRPr="00CC3F44" w:rsidRDefault="00FA423E" w:rsidP="00DC1333">
            <w:pPr>
              <w:jc w:val="center"/>
            </w:pPr>
            <w:r w:rsidRPr="00CC3F44">
              <w:rPr>
                <w:color w:val="008000"/>
                <w:szCs w:val="22"/>
              </w:rPr>
              <w:sym w:font="Wingdings" w:char="F06C"/>
            </w:r>
          </w:p>
        </w:tc>
      </w:tr>
      <w:tr w:rsidR="00FA423E" w:rsidRPr="00811500" w:rsidTr="00DC1333">
        <w:trPr>
          <w:cantSplit/>
          <w:trHeight w:val="307"/>
        </w:trPr>
        <w:tc>
          <w:tcPr>
            <w:tcW w:w="1424" w:type="pct"/>
            <w:vMerge w:val="restart"/>
            <w:shd w:val="clear" w:color="auto" w:fill="auto"/>
            <w:tcMar>
              <w:top w:w="113" w:type="dxa"/>
              <w:bottom w:w="113" w:type="dxa"/>
            </w:tcMar>
          </w:tcPr>
          <w:p w:rsidR="00FA423E" w:rsidRPr="007E4934" w:rsidRDefault="00FA423E" w:rsidP="00DC1333">
            <w:pPr>
              <w:rPr>
                <w:sz w:val="16"/>
                <w:szCs w:val="16"/>
              </w:rPr>
            </w:pPr>
            <w:r w:rsidRPr="007E4934">
              <w:rPr>
                <w:sz w:val="16"/>
                <w:szCs w:val="16"/>
                <w:lang w:val="es-ES_tradnl"/>
              </w:rPr>
              <w:t>II.8 Las controversias nacionales e internacionales en materia de P.I. se evitan o resuelven cada vez con más frecuencia mediante procedimientos de mediación, arbitraje y demás métodos de solución extrajudicial de controversias</w:t>
            </w:r>
          </w:p>
        </w:tc>
        <w:tc>
          <w:tcPr>
            <w:tcW w:w="2247" w:type="pct"/>
            <w:vMerge w:val="restart"/>
            <w:shd w:val="clear" w:color="auto" w:fill="auto"/>
            <w:tcMar>
              <w:top w:w="57" w:type="dxa"/>
              <w:bottom w:w="57" w:type="dxa"/>
            </w:tcMar>
          </w:tcPr>
          <w:p w:rsidR="00FA423E" w:rsidRPr="007E4934" w:rsidRDefault="00FA423E" w:rsidP="00DC1333">
            <w:pPr>
              <w:rPr>
                <w:sz w:val="16"/>
                <w:szCs w:val="16"/>
              </w:rPr>
            </w:pPr>
            <w:r w:rsidRPr="007E4934">
              <w:rPr>
                <w:sz w:val="16"/>
                <w:szCs w:val="16"/>
                <w:lang w:val="es-ES_tradnl"/>
              </w:rPr>
              <w:t>Cada vez más se considera la posibilidad de utilizar servicios extrajudiciales de solución de controversias en las transacciones sobre P.I., entre otras cosas, valiéndose de los procedimientos de la OMPI</w:t>
            </w:r>
            <w:r w:rsidRPr="007E4934">
              <w:rPr>
                <w:sz w:val="16"/>
                <w:szCs w:val="16"/>
              </w:rPr>
              <w:t xml:space="preserve"> </w:t>
            </w:r>
          </w:p>
        </w:tc>
        <w:tc>
          <w:tcPr>
            <w:tcW w:w="854" w:type="pct"/>
            <w:shd w:val="clear" w:color="auto" w:fill="FFFFFF"/>
            <w:tcMar>
              <w:top w:w="57" w:type="dxa"/>
              <w:bottom w:w="57" w:type="dxa"/>
            </w:tcMar>
          </w:tcPr>
          <w:p w:rsidR="00FA423E" w:rsidRPr="007E4934" w:rsidRDefault="00FA423E" w:rsidP="00DC1333">
            <w:pPr>
              <w:ind w:left="441" w:hanging="413"/>
              <w:jc w:val="center"/>
              <w:rPr>
                <w:sz w:val="16"/>
                <w:szCs w:val="16"/>
                <w:lang w:bidi="th-TH"/>
              </w:rPr>
            </w:pPr>
            <w:r w:rsidRPr="007E4934">
              <w:rPr>
                <w:sz w:val="16"/>
                <w:szCs w:val="16"/>
                <w:lang w:val="es-ES_tradnl" w:bidi="th-TH"/>
              </w:rPr>
              <w:t>Programa 7</w:t>
            </w:r>
          </w:p>
        </w:tc>
        <w:tc>
          <w:tcPr>
            <w:tcW w:w="475" w:type="pct"/>
            <w:shd w:val="clear" w:color="auto" w:fill="FFFFFF"/>
            <w:tcMar>
              <w:top w:w="57" w:type="dxa"/>
              <w:bottom w:w="57" w:type="dxa"/>
            </w:tcMar>
          </w:tcPr>
          <w:p w:rsidR="00FA423E" w:rsidRDefault="00FA423E" w:rsidP="00DC1333">
            <w:pPr>
              <w:jc w:val="center"/>
              <w:rPr>
                <w:color w:val="008000"/>
                <w:szCs w:val="22"/>
              </w:rPr>
            </w:pPr>
            <w:r w:rsidRPr="00CC3F44">
              <w:rPr>
                <w:color w:val="008000"/>
                <w:szCs w:val="22"/>
              </w:rPr>
              <w:sym w:font="Wingdings" w:char="F06C"/>
            </w:r>
            <w:r w:rsidRPr="00CC3F44">
              <w:rPr>
                <w:color w:val="008000"/>
                <w:szCs w:val="22"/>
              </w:rPr>
              <w:sym w:font="Wingdings" w:char="F06C"/>
            </w:r>
            <w:r w:rsidRPr="00CC3F44">
              <w:rPr>
                <w:color w:val="008000"/>
                <w:szCs w:val="22"/>
              </w:rPr>
              <w:sym w:font="Wingdings" w:char="F06C"/>
            </w:r>
          </w:p>
          <w:p w:rsidR="00FA423E" w:rsidRPr="00CC3F44" w:rsidRDefault="00FA423E" w:rsidP="00DC1333">
            <w:pPr>
              <w:jc w:val="center"/>
              <w:rPr>
                <w:color w:val="008000"/>
                <w:szCs w:val="22"/>
              </w:rPr>
            </w:pPr>
            <w:r w:rsidRPr="00CC3F44">
              <w:rPr>
                <w:color w:val="008000"/>
                <w:szCs w:val="22"/>
              </w:rPr>
              <w:sym w:font="Wingdings" w:char="F06C"/>
            </w:r>
            <w:r w:rsidRPr="00CC3F44">
              <w:rPr>
                <w:color w:val="008000"/>
                <w:szCs w:val="22"/>
              </w:rPr>
              <w:sym w:font="Wingdings" w:char="F06C"/>
            </w:r>
          </w:p>
        </w:tc>
      </w:tr>
      <w:tr w:rsidR="00FA423E" w:rsidRPr="00811500" w:rsidTr="00DC1333">
        <w:trPr>
          <w:cantSplit/>
          <w:trHeight w:val="244"/>
        </w:trPr>
        <w:tc>
          <w:tcPr>
            <w:tcW w:w="1424" w:type="pct"/>
            <w:vMerge/>
            <w:shd w:val="clear" w:color="auto" w:fill="auto"/>
            <w:tcMar>
              <w:top w:w="113" w:type="dxa"/>
              <w:bottom w:w="113" w:type="dxa"/>
            </w:tcMar>
          </w:tcPr>
          <w:p w:rsidR="00FA423E" w:rsidRPr="007E4934" w:rsidRDefault="00FA423E" w:rsidP="00DC1333">
            <w:pPr>
              <w:rPr>
                <w:sz w:val="16"/>
                <w:szCs w:val="16"/>
              </w:rPr>
            </w:pPr>
          </w:p>
        </w:tc>
        <w:tc>
          <w:tcPr>
            <w:tcW w:w="2247" w:type="pct"/>
            <w:vMerge/>
            <w:shd w:val="clear" w:color="auto" w:fill="auto"/>
            <w:tcMar>
              <w:top w:w="57" w:type="dxa"/>
              <w:bottom w:w="57" w:type="dxa"/>
            </w:tcMar>
          </w:tcPr>
          <w:p w:rsidR="00FA423E" w:rsidRPr="007E4934" w:rsidRDefault="00FA423E" w:rsidP="00DC1333">
            <w:pPr>
              <w:rPr>
                <w:sz w:val="16"/>
                <w:szCs w:val="16"/>
              </w:rPr>
            </w:pPr>
          </w:p>
        </w:tc>
        <w:tc>
          <w:tcPr>
            <w:tcW w:w="854" w:type="pct"/>
            <w:shd w:val="clear" w:color="auto" w:fill="FFFFFF"/>
            <w:tcMar>
              <w:top w:w="57" w:type="dxa"/>
              <w:bottom w:w="57" w:type="dxa"/>
            </w:tcMar>
          </w:tcPr>
          <w:p w:rsidR="00FA423E" w:rsidRPr="007E4934" w:rsidRDefault="00FA423E" w:rsidP="00DC1333">
            <w:pPr>
              <w:ind w:left="441" w:hanging="413"/>
              <w:jc w:val="center"/>
              <w:rPr>
                <w:sz w:val="16"/>
                <w:szCs w:val="16"/>
                <w:lang w:bidi="th-TH"/>
              </w:rPr>
            </w:pPr>
            <w:r w:rsidRPr="007E4934">
              <w:rPr>
                <w:sz w:val="16"/>
                <w:szCs w:val="16"/>
                <w:lang w:val="es-ES_tradnl" w:bidi="th-TH"/>
              </w:rPr>
              <w:t>Programa 20</w:t>
            </w:r>
          </w:p>
        </w:tc>
        <w:tc>
          <w:tcPr>
            <w:tcW w:w="475" w:type="pct"/>
            <w:shd w:val="clear" w:color="auto" w:fill="FFFFFF"/>
            <w:tcMar>
              <w:top w:w="57" w:type="dxa"/>
              <w:bottom w:w="57" w:type="dxa"/>
            </w:tcMar>
          </w:tcPr>
          <w:p w:rsidR="00FA423E" w:rsidRPr="00CC3F44" w:rsidRDefault="00FA423E" w:rsidP="00DC1333">
            <w:pPr>
              <w:jc w:val="center"/>
              <w:rPr>
                <w:color w:val="008000"/>
                <w:szCs w:val="22"/>
              </w:rPr>
            </w:pPr>
            <w:r w:rsidRPr="00CC3F44">
              <w:rPr>
                <w:color w:val="FF0000"/>
                <w:szCs w:val="22"/>
              </w:rPr>
              <w:sym w:font="Wingdings" w:char="F06C"/>
            </w:r>
          </w:p>
        </w:tc>
      </w:tr>
      <w:tr w:rsidR="00FA423E" w:rsidRPr="00811500" w:rsidTr="00DC1333">
        <w:trPr>
          <w:cantSplit/>
          <w:trHeight w:val="564"/>
        </w:trPr>
        <w:tc>
          <w:tcPr>
            <w:tcW w:w="1424" w:type="pct"/>
            <w:vMerge/>
            <w:shd w:val="clear" w:color="auto" w:fill="auto"/>
            <w:tcMar>
              <w:top w:w="113" w:type="dxa"/>
              <w:bottom w:w="113" w:type="dxa"/>
            </w:tcMar>
          </w:tcPr>
          <w:p w:rsidR="00FA423E" w:rsidRPr="007E4934" w:rsidRDefault="00FA423E" w:rsidP="00DC1333">
            <w:pPr>
              <w:rPr>
                <w:sz w:val="16"/>
                <w:szCs w:val="16"/>
              </w:rPr>
            </w:pPr>
          </w:p>
        </w:tc>
        <w:tc>
          <w:tcPr>
            <w:tcW w:w="2247" w:type="pct"/>
            <w:shd w:val="clear" w:color="auto" w:fill="auto"/>
            <w:tcMar>
              <w:top w:w="57" w:type="dxa"/>
              <w:bottom w:w="57" w:type="dxa"/>
            </w:tcMar>
          </w:tcPr>
          <w:p w:rsidR="00FA423E" w:rsidRPr="007E4934" w:rsidRDefault="00FA423E" w:rsidP="00DC1333">
            <w:pPr>
              <w:rPr>
                <w:sz w:val="16"/>
                <w:szCs w:val="16"/>
              </w:rPr>
            </w:pPr>
            <w:r w:rsidRPr="007E4934">
              <w:rPr>
                <w:sz w:val="16"/>
                <w:szCs w:val="16"/>
                <w:lang w:val="es-ES_tradnl"/>
              </w:rPr>
              <w:t>Políticas de solución extrajudicial de controversias a cuyo desarrollo y aplicación ha contribuido el Centro de Arbitraje y Mediación de la OMPI</w:t>
            </w:r>
          </w:p>
        </w:tc>
        <w:tc>
          <w:tcPr>
            <w:tcW w:w="854" w:type="pct"/>
            <w:shd w:val="clear" w:color="auto" w:fill="FFFFFF"/>
            <w:tcMar>
              <w:top w:w="57" w:type="dxa"/>
              <w:bottom w:w="57" w:type="dxa"/>
            </w:tcMar>
          </w:tcPr>
          <w:p w:rsidR="00FA423E" w:rsidRPr="007E4934" w:rsidRDefault="00FA423E" w:rsidP="00DC1333">
            <w:pPr>
              <w:ind w:left="441" w:hanging="413"/>
              <w:jc w:val="center"/>
              <w:rPr>
                <w:sz w:val="16"/>
                <w:szCs w:val="16"/>
                <w:lang w:bidi="th-TH"/>
              </w:rPr>
            </w:pPr>
            <w:r w:rsidRPr="007E4934">
              <w:rPr>
                <w:sz w:val="16"/>
                <w:szCs w:val="16"/>
                <w:lang w:val="es-ES_tradnl" w:bidi="th-TH"/>
              </w:rPr>
              <w:t>Programa 7</w:t>
            </w:r>
          </w:p>
        </w:tc>
        <w:tc>
          <w:tcPr>
            <w:tcW w:w="475" w:type="pct"/>
            <w:shd w:val="clear" w:color="auto" w:fill="FFFFFF"/>
          </w:tcPr>
          <w:p w:rsidR="00FA423E" w:rsidRPr="00CC3F44" w:rsidRDefault="00FA423E" w:rsidP="00DC1333">
            <w:pPr>
              <w:jc w:val="center"/>
              <w:rPr>
                <w:color w:val="A6A6A6" w:themeColor="background1" w:themeShade="A6"/>
                <w:szCs w:val="22"/>
              </w:rPr>
            </w:pPr>
            <w:r w:rsidRPr="00CC3F44">
              <w:rPr>
                <w:color w:val="008000"/>
                <w:szCs w:val="22"/>
              </w:rPr>
              <w:sym w:font="Wingdings" w:char="F06C"/>
            </w:r>
          </w:p>
        </w:tc>
      </w:tr>
      <w:tr w:rsidR="00FA423E" w:rsidRPr="00811500" w:rsidTr="00DC1333">
        <w:trPr>
          <w:cantSplit/>
          <w:trHeight w:val="379"/>
        </w:trPr>
        <w:tc>
          <w:tcPr>
            <w:tcW w:w="1424" w:type="pct"/>
            <w:shd w:val="clear" w:color="auto" w:fill="auto"/>
            <w:tcMar>
              <w:top w:w="113" w:type="dxa"/>
              <w:bottom w:w="113" w:type="dxa"/>
            </w:tcMar>
          </w:tcPr>
          <w:p w:rsidR="00FA423E" w:rsidRPr="007E4934" w:rsidRDefault="00FA423E" w:rsidP="00DC1333">
            <w:pPr>
              <w:rPr>
                <w:sz w:val="16"/>
                <w:szCs w:val="16"/>
              </w:rPr>
            </w:pPr>
          </w:p>
        </w:tc>
        <w:tc>
          <w:tcPr>
            <w:tcW w:w="2247" w:type="pct"/>
            <w:shd w:val="clear" w:color="auto" w:fill="auto"/>
            <w:tcMar>
              <w:top w:w="113" w:type="dxa"/>
              <w:bottom w:w="113" w:type="dxa"/>
            </w:tcMar>
          </w:tcPr>
          <w:p w:rsidR="00FA423E" w:rsidRPr="007E4934" w:rsidRDefault="00FA423E" w:rsidP="00DC1333">
            <w:pPr>
              <w:rPr>
                <w:sz w:val="16"/>
                <w:szCs w:val="16"/>
              </w:rPr>
            </w:pPr>
            <w:r w:rsidRPr="007E4934">
              <w:rPr>
                <w:sz w:val="16"/>
                <w:szCs w:val="16"/>
                <w:lang w:val="es-ES_tradnl"/>
              </w:rPr>
              <w:t>Número de usuarios de países con economías en transición y países desarrollados que utilizan los servicios del Centro de Arbitraje y Mediación</w:t>
            </w:r>
          </w:p>
        </w:tc>
        <w:tc>
          <w:tcPr>
            <w:tcW w:w="854" w:type="pct"/>
            <w:shd w:val="clear" w:color="auto" w:fill="FFFFFF"/>
            <w:tcMar>
              <w:top w:w="113" w:type="dxa"/>
              <w:bottom w:w="113" w:type="dxa"/>
            </w:tcMar>
          </w:tcPr>
          <w:p w:rsidR="00FA423E" w:rsidRPr="007E4934" w:rsidRDefault="00FA423E" w:rsidP="00DC1333">
            <w:pPr>
              <w:ind w:left="441" w:hanging="413"/>
              <w:jc w:val="center"/>
              <w:rPr>
                <w:sz w:val="16"/>
                <w:szCs w:val="16"/>
                <w:lang w:bidi="th-TH"/>
              </w:rPr>
            </w:pPr>
            <w:r w:rsidRPr="007E4934">
              <w:rPr>
                <w:sz w:val="16"/>
                <w:szCs w:val="16"/>
                <w:lang w:val="es-ES_tradnl" w:bidi="th-TH"/>
              </w:rPr>
              <w:t>Programa 10</w:t>
            </w:r>
          </w:p>
        </w:tc>
        <w:tc>
          <w:tcPr>
            <w:tcW w:w="475" w:type="pct"/>
            <w:shd w:val="clear" w:color="auto" w:fill="FFFFFF"/>
          </w:tcPr>
          <w:p w:rsidR="00FA423E" w:rsidRPr="00CC3F44" w:rsidRDefault="00FA423E" w:rsidP="00DC1333">
            <w:pPr>
              <w:jc w:val="center"/>
            </w:pPr>
            <w:r w:rsidRPr="00CC3F44">
              <w:rPr>
                <w:color w:val="008000"/>
                <w:szCs w:val="22"/>
              </w:rPr>
              <w:sym w:font="Wingdings" w:char="F06C"/>
            </w:r>
          </w:p>
        </w:tc>
      </w:tr>
      <w:tr w:rsidR="00FA423E" w:rsidRPr="00811500" w:rsidTr="00DC1333">
        <w:trPr>
          <w:cantSplit/>
          <w:trHeight w:val="289"/>
        </w:trPr>
        <w:tc>
          <w:tcPr>
            <w:tcW w:w="1424" w:type="pct"/>
            <w:shd w:val="clear" w:color="auto" w:fill="auto"/>
            <w:tcMar>
              <w:top w:w="113" w:type="dxa"/>
              <w:bottom w:w="113" w:type="dxa"/>
            </w:tcMar>
          </w:tcPr>
          <w:p w:rsidR="00FA423E" w:rsidRPr="007E4934" w:rsidRDefault="00FA423E" w:rsidP="00DC1333">
            <w:pPr>
              <w:rPr>
                <w:sz w:val="16"/>
                <w:szCs w:val="16"/>
              </w:rPr>
            </w:pPr>
            <w:r w:rsidRPr="007E4934">
              <w:rPr>
                <w:sz w:val="16"/>
                <w:szCs w:val="16"/>
                <w:lang w:val="es-ES_tradnl"/>
              </w:rPr>
              <w:t xml:space="preserve">II.9 Protección eficaz de la propiedad intelectual en los </w:t>
            </w:r>
            <w:proofErr w:type="spellStart"/>
            <w:r w:rsidRPr="007E4934">
              <w:rPr>
                <w:sz w:val="16"/>
                <w:szCs w:val="16"/>
                <w:lang w:val="es-ES_tradnl"/>
              </w:rPr>
              <w:t>gTLD</w:t>
            </w:r>
            <w:proofErr w:type="spellEnd"/>
            <w:r w:rsidRPr="007E4934">
              <w:rPr>
                <w:sz w:val="16"/>
                <w:szCs w:val="16"/>
                <w:lang w:val="es-ES_tradnl"/>
              </w:rPr>
              <w:t xml:space="preserve"> y los </w:t>
            </w:r>
            <w:proofErr w:type="spellStart"/>
            <w:r w:rsidRPr="007E4934">
              <w:rPr>
                <w:sz w:val="16"/>
                <w:szCs w:val="16"/>
                <w:lang w:val="es-ES_tradnl"/>
              </w:rPr>
              <w:t>ccTLD</w:t>
            </w:r>
            <w:proofErr w:type="spellEnd"/>
          </w:p>
        </w:tc>
        <w:tc>
          <w:tcPr>
            <w:tcW w:w="2247" w:type="pct"/>
            <w:shd w:val="clear" w:color="auto" w:fill="auto"/>
            <w:tcMar>
              <w:top w:w="113" w:type="dxa"/>
              <w:bottom w:w="113" w:type="dxa"/>
            </w:tcMar>
          </w:tcPr>
          <w:p w:rsidR="00FA423E" w:rsidRPr="007E4934" w:rsidRDefault="00FA423E" w:rsidP="00DC1333">
            <w:pPr>
              <w:rPr>
                <w:sz w:val="16"/>
                <w:szCs w:val="16"/>
              </w:rPr>
            </w:pPr>
            <w:r w:rsidRPr="007E4934">
              <w:rPr>
                <w:sz w:val="16"/>
                <w:szCs w:val="16"/>
                <w:lang w:val="es-ES_tradnl"/>
              </w:rPr>
              <w:t xml:space="preserve">Número de procedimientos relativos a los </w:t>
            </w:r>
            <w:proofErr w:type="spellStart"/>
            <w:r w:rsidRPr="007E4934">
              <w:rPr>
                <w:sz w:val="16"/>
                <w:szCs w:val="16"/>
                <w:lang w:val="es-ES_tradnl"/>
              </w:rPr>
              <w:t>gTLD</w:t>
            </w:r>
            <w:proofErr w:type="spellEnd"/>
            <w:r w:rsidRPr="007E4934">
              <w:rPr>
                <w:sz w:val="16"/>
                <w:szCs w:val="16"/>
                <w:lang w:val="es-ES_tradnl"/>
              </w:rPr>
              <w:t xml:space="preserve"> administrados en virtud de la Política Uniforme</w:t>
            </w:r>
          </w:p>
        </w:tc>
        <w:tc>
          <w:tcPr>
            <w:tcW w:w="854" w:type="pct"/>
            <w:shd w:val="clear" w:color="auto" w:fill="FFFFFF"/>
            <w:tcMar>
              <w:top w:w="113" w:type="dxa"/>
              <w:bottom w:w="113" w:type="dxa"/>
            </w:tcMar>
          </w:tcPr>
          <w:p w:rsidR="00FA423E" w:rsidRPr="007E4934" w:rsidRDefault="00FA423E" w:rsidP="00DC1333">
            <w:pPr>
              <w:ind w:left="441" w:hanging="413"/>
              <w:jc w:val="center"/>
              <w:rPr>
                <w:sz w:val="16"/>
                <w:szCs w:val="16"/>
                <w:lang w:bidi="th-TH"/>
              </w:rPr>
            </w:pPr>
            <w:r w:rsidRPr="007E4934">
              <w:rPr>
                <w:sz w:val="16"/>
                <w:szCs w:val="16"/>
                <w:lang w:val="es-ES_tradnl" w:bidi="th-TH"/>
              </w:rPr>
              <w:t>Programa 7</w:t>
            </w:r>
          </w:p>
        </w:tc>
        <w:tc>
          <w:tcPr>
            <w:tcW w:w="475" w:type="pct"/>
            <w:shd w:val="clear" w:color="auto" w:fill="FFFFFF"/>
          </w:tcPr>
          <w:p w:rsidR="00FA423E" w:rsidRPr="00CC3F44" w:rsidRDefault="00FA423E" w:rsidP="00DC1333">
            <w:pPr>
              <w:jc w:val="center"/>
            </w:pPr>
            <w:r w:rsidRPr="00CC3F44">
              <w:rPr>
                <w:color w:val="008000"/>
                <w:szCs w:val="22"/>
              </w:rPr>
              <w:sym w:font="Wingdings" w:char="F06C"/>
            </w:r>
          </w:p>
        </w:tc>
      </w:tr>
      <w:tr w:rsidR="00FA423E" w:rsidRPr="00811500" w:rsidTr="00DC1333">
        <w:trPr>
          <w:cantSplit/>
          <w:trHeight w:val="226"/>
        </w:trPr>
        <w:tc>
          <w:tcPr>
            <w:tcW w:w="1424" w:type="pct"/>
            <w:shd w:val="clear" w:color="auto" w:fill="auto"/>
            <w:tcMar>
              <w:top w:w="113" w:type="dxa"/>
              <w:bottom w:w="113" w:type="dxa"/>
            </w:tcMar>
          </w:tcPr>
          <w:p w:rsidR="00FA423E" w:rsidRPr="007E4934" w:rsidRDefault="00FA423E" w:rsidP="00DC1333">
            <w:pPr>
              <w:rPr>
                <w:sz w:val="16"/>
                <w:szCs w:val="16"/>
              </w:rPr>
            </w:pPr>
          </w:p>
        </w:tc>
        <w:tc>
          <w:tcPr>
            <w:tcW w:w="2247" w:type="pct"/>
            <w:shd w:val="clear" w:color="auto" w:fill="auto"/>
            <w:tcMar>
              <w:top w:w="113" w:type="dxa"/>
              <w:bottom w:w="113" w:type="dxa"/>
            </w:tcMar>
          </w:tcPr>
          <w:p w:rsidR="00FA423E" w:rsidRPr="007E4934" w:rsidRDefault="00FA423E" w:rsidP="00DC1333">
            <w:pPr>
              <w:rPr>
                <w:sz w:val="16"/>
                <w:szCs w:val="16"/>
              </w:rPr>
            </w:pPr>
            <w:r w:rsidRPr="007E4934">
              <w:rPr>
                <w:sz w:val="16"/>
                <w:szCs w:val="16"/>
                <w:lang w:val="es-ES_tradnl"/>
              </w:rPr>
              <w:t xml:space="preserve">Número de procedimientos relativos a los </w:t>
            </w:r>
            <w:proofErr w:type="spellStart"/>
            <w:r w:rsidRPr="007E4934">
              <w:rPr>
                <w:sz w:val="16"/>
                <w:szCs w:val="16"/>
                <w:lang w:val="es-ES_tradnl"/>
              </w:rPr>
              <w:t>ccTLD</w:t>
            </w:r>
            <w:proofErr w:type="spellEnd"/>
            <w:r w:rsidRPr="007E4934">
              <w:rPr>
                <w:sz w:val="16"/>
                <w:szCs w:val="16"/>
                <w:lang w:val="es-ES_tradnl"/>
              </w:rPr>
              <w:t xml:space="preserve"> administrados en virtud de la Política Uniforme</w:t>
            </w:r>
          </w:p>
        </w:tc>
        <w:tc>
          <w:tcPr>
            <w:tcW w:w="854" w:type="pct"/>
            <w:shd w:val="clear" w:color="auto" w:fill="FFFFFF"/>
            <w:tcMar>
              <w:top w:w="113" w:type="dxa"/>
              <w:bottom w:w="113" w:type="dxa"/>
            </w:tcMar>
          </w:tcPr>
          <w:p w:rsidR="00FA423E" w:rsidRPr="007E4934" w:rsidRDefault="00FA423E" w:rsidP="00DC1333">
            <w:pPr>
              <w:ind w:left="441" w:hanging="413"/>
              <w:jc w:val="center"/>
              <w:rPr>
                <w:sz w:val="16"/>
                <w:szCs w:val="16"/>
                <w:lang w:bidi="th-TH"/>
              </w:rPr>
            </w:pPr>
            <w:r w:rsidRPr="007E4934">
              <w:rPr>
                <w:sz w:val="16"/>
                <w:szCs w:val="16"/>
                <w:lang w:val="es-ES_tradnl" w:bidi="th-TH"/>
              </w:rPr>
              <w:t>Programa 7</w:t>
            </w:r>
          </w:p>
        </w:tc>
        <w:tc>
          <w:tcPr>
            <w:tcW w:w="475" w:type="pct"/>
            <w:shd w:val="clear" w:color="auto" w:fill="FFFFFF"/>
          </w:tcPr>
          <w:p w:rsidR="00FA423E" w:rsidRPr="00CC3F44" w:rsidRDefault="00FA423E" w:rsidP="00DC1333">
            <w:pPr>
              <w:jc w:val="center"/>
            </w:pPr>
            <w:r w:rsidRPr="00CC3F44">
              <w:rPr>
                <w:color w:val="008000"/>
                <w:szCs w:val="22"/>
              </w:rPr>
              <w:sym w:font="Wingdings" w:char="F06C"/>
            </w:r>
          </w:p>
        </w:tc>
      </w:tr>
      <w:tr w:rsidR="00FA423E" w:rsidRPr="00811500" w:rsidTr="00DC1333">
        <w:trPr>
          <w:cantSplit/>
          <w:trHeight w:val="566"/>
        </w:trPr>
        <w:tc>
          <w:tcPr>
            <w:tcW w:w="1424" w:type="pct"/>
            <w:shd w:val="clear" w:color="auto" w:fill="auto"/>
            <w:tcMar>
              <w:top w:w="113" w:type="dxa"/>
              <w:bottom w:w="113" w:type="dxa"/>
            </w:tcMar>
          </w:tcPr>
          <w:p w:rsidR="00FA423E" w:rsidRPr="007E4934" w:rsidRDefault="00FA423E" w:rsidP="00DC1333">
            <w:pPr>
              <w:rPr>
                <w:sz w:val="16"/>
                <w:szCs w:val="16"/>
              </w:rPr>
            </w:pPr>
          </w:p>
        </w:tc>
        <w:tc>
          <w:tcPr>
            <w:tcW w:w="2247" w:type="pct"/>
            <w:shd w:val="clear" w:color="auto" w:fill="auto"/>
            <w:tcMar>
              <w:top w:w="113" w:type="dxa"/>
              <w:bottom w:w="113" w:type="dxa"/>
            </w:tcMar>
          </w:tcPr>
          <w:p w:rsidR="00FA423E" w:rsidRPr="007E4934" w:rsidRDefault="00FA423E" w:rsidP="00DC1333">
            <w:pPr>
              <w:rPr>
                <w:sz w:val="16"/>
                <w:szCs w:val="16"/>
              </w:rPr>
            </w:pPr>
            <w:r w:rsidRPr="007E4934">
              <w:rPr>
                <w:sz w:val="16"/>
                <w:szCs w:val="16"/>
                <w:lang w:val="es-ES_tradnl"/>
              </w:rPr>
              <w:t>Políticas de solución de controversias en el sistema de nombres de dominio a cuyo desarrollo y aplicación ha contribuido el Centro de Arbitraje y Mediación de la OMPI</w:t>
            </w:r>
          </w:p>
        </w:tc>
        <w:tc>
          <w:tcPr>
            <w:tcW w:w="854" w:type="pct"/>
            <w:shd w:val="clear" w:color="auto" w:fill="FFFFFF"/>
            <w:tcMar>
              <w:top w:w="113" w:type="dxa"/>
              <w:bottom w:w="113" w:type="dxa"/>
            </w:tcMar>
          </w:tcPr>
          <w:p w:rsidR="00FA423E" w:rsidRPr="007E4934" w:rsidRDefault="00FA423E" w:rsidP="00DC1333">
            <w:pPr>
              <w:ind w:left="441" w:hanging="413"/>
              <w:jc w:val="center"/>
              <w:rPr>
                <w:sz w:val="16"/>
                <w:szCs w:val="16"/>
                <w:lang w:bidi="th-TH"/>
              </w:rPr>
            </w:pPr>
            <w:r w:rsidRPr="007E4934">
              <w:rPr>
                <w:sz w:val="16"/>
                <w:szCs w:val="16"/>
                <w:lang w:val="es-ES_tradnl" w:bidi="th-TH"/>
              </w:rPr>
              <w:t>Programa 7</w:t>
            </w:r>
          </w:p>
        </w:tc>
        <w:tc>
          <w:tcPr>
            <w:tcW w:w="475" w:type="pct"/>
            <w:shd w:val="clear" w:color="auto" w:fill="FFFFFF"/>
          </w:tcPr>
          <w:p w:rsidR="00FA423E" w:rsidRPr="00CC3F44" w:rsidRDefault="00FA423E" w:rsidP="00DC1333">
            <w:pPr>
              <w:jc w:val="center"/>
            </w:pPr>
            <w:r w:rsidRPr="00CC3F44">
              <w:rPr>
                <w:color w:val="008000"/>
                <w:szCs w:val="22"/>
              </w:rPr>
              <w:sym w:font="Wingdings" w:char="F06C"/>
            </w:r>
          </w:p>
        </w:tc>
      </w:tr>
      <w:tr w:rsidR="00FA423E" w:rsidRPr="00811500" w:rsidTr="00DC1333">
        <w:trPr>
          <w:cantSplit/>
          <w:trHeight w:val="500"/>
        </w:trPr>
        <w:tc>
          <w:tcPr>
            <w:tcW w:w="1424" w:type="pct"/>
            <w:shd w:val="clear" w:color="auto" w:fill="auto"/>
            <w:tcMar>
              <w:top w:w="113" w:type="dxa"/>
              <w:bottom w:w="113" w:type="dxa"/>
            </w:tcMar>
          </w:tcPr>
          <w:p w:rsidR="00FA423E" w:rsidRPr="007E4934" w:rsidRDefault="00FA423E" w:rsidP="00DC1333">
            <w:pPr>
              <w:rPr>
                <w:sz w:val="16"/>
                <w:szCs w:val="16"/>
              </w:rPr>
            </w:pPr>
          </w:p>
        </w:tc>
        <w:tc>
          <w:tcPr>
            <w:tcW w:w="2247" w:type="pct"/>
            <w:shd w:val="clear" w:color="auto" w:fill="auto"/>
            <w:tcMar>
              <w:top w:w="113" w:type="dxa"/>
              <w:bottom w:w="113" w:type="dxa"/>
            </w:tcMar>
          </w:tcPr>
          <w:p w:rsidR="00FA423E" w:rsidRPr="007E4934" w:rsidRDefault="00FA423E" w:rsidP="00DC1333">
            <w:pPr>
              <w:rPr>
                <w:sz w:val="16"/>
                <w:szCs w:val="16"/>
              </w:rPr>
            </w:pPr>
            <w:r w:rsidRPr="007E4934">
              <w:rPr>
                <w:sz w:val="16"/>
                <w:szCs w:val="16"/>
                <w:lang w:val="es-ES_tradnl"/>
              </w:rPr>
              <w:t xml:space="preserve">Número de administradores de </w:t>
            </w:r>
            <w:proofErr w:type="spellStart"/>
            <w:r w:rsidRPr="007E4934">
              <w:rPr>
                <w:sz w:val="16"/>
                <w:szCs w:val="16"/>
                <w:lang w:val="es-ES_tradnl"/>
              </w:rPr>
              <w:t>ccTLD</w:t>
            </w:r>
            <w:proofErr w:type="spellEnd"/>
            <w:r w:rsidRPr="007E4934">
              <w:rPr>
                <w:sz w:val="16"/>
                <w:szCs w:val="16"/>
                <w:lang w:val="es-ES_tradnl"/>
              </w:rPr>
              <w:t xml:space="preserve"> que disponen de mecanismos de protección de P.I. concebidos o administrados por la OMPI de conformidad con las normas internacionales</w:t>
            </w:r>
          </w:p>
        </w:tc>
        <w:tc>
          <w:tcPr>
            <w:tcW w:w="854" w:type="pct"/>
            <w:shd w:val="clear" w:color="auto" w:fill="FFFFFF"/>
            <w:tcMar>
              <w:top w:w="113" w:type="dxa"/>
              <w:bottom w:w="113" w:type="dxa"/>
            </w:tcMar>
          </w:tcPr>
          <w:p w:rsidR="00FA423E" w:rsidRPr="007E4934" w:rsidRDefault="00FA423E" w:rsidP="00DC1333">
            <w:pPr>
              <w:ind w:left="441" w:hanging="413"/>
              <w:jc w:val="center"/>
              <w:rPr>
                <w:sz w:val="16"/>
                <w:szCs w:val="16"/>
                <w:lang w:bidi="th-TH"/>
              </w:rPr>
            </w:pPr>
            <w:r w:rsidRPr="007E4934">
              <w:rPr>
                <w:sz w:val="16"/>
                <w:szCs w:val="16"/>
                <w:lang w:val="es-ES_tradnl" w:bidi="th-TH"/>
              </w:rPr>
              <w:t>Programa 7</w:t>
            </w:r>
          </w:p>
        </w:tc>
        <w:tc>
          <w:tcPr>
            <w:tcW w:w="475" w:type="pct"/>
            <w:shd w:val="clear" w:color="auto" w:fill="FFFFFF"/>
          </w:tcPr>
          <w:p w:rsidR="00FA423E" w:rsidRPr="00CC3F44" w:rsidRDefault="00FA423E" w:rsidP="00DC1333">
            <w:pPr>
              <w:jc w:val="center"/>
              <w:rPr>
                <w:color w:val="E26B0A"/>
              </w:rPr>
            </w:pPr>
            <w:r w:rsidRPr="00CC3F44">
              <w:rPr>
                <w:color w:val="E26B0A"/>
                <w:szCs w:val="22"/>
              </w:rPr>
              <w:sym w:font="Wingdings" w:char="F06C"/>
            </w:r>
          </w:p>
        </w:tc>
      </w:tr>
    </w:tbl>
    <w:p w:rsidR="00FA423E" w:rsidRDefault="00FA423E" w:rsidP="00FA423E"/>
    <w:p w:rsidR="00CF11D1" w:rsidRDefault="00CF11D1">
      <w:r>
        <w:br w:type="page"/>
      </w:r>
    </w:p>
    <w:p w:rsidR="00CF11D1" w:rsidRPr="00CD2DE5" w:rsidRDefault="00CF11D1" w:rsidP="00CF11D1">
      <w:pPr>
        <w:pStyle w:val="Heading2"/>
        <w:tabs>
          <w:tab w:val="left" w:pos="2410"/>
        </w:tabs>
        <w:rPr>
          <w:b/>
        </w:rPr>
      </w:pPr>
      <w:bookmarkStart w:id="73" w:name="_Toc422927407"/>
      <w:bookmarkStart w:id="74" w:name="_Toc455159075"/>
      <w:r w:rsidRPr="00CD2DE5">
        <w:rPr>
          <w:b/>
        </w:rPr>
        <w:lastRenderedPageBreak/>
        <w:t>PROGRAMA 5</w:t>
      </w:r>
      <w:r w:rsidRPr="00CD2DE5">
        <w:rPr>
          <w:b/>
        </w:rPr>
        <w:tab/>
        <w:t>SISTEMA DEL PCT</w:t>
      </w:r>
      <w:bookmarkEnd w:id="73"/>
      <w:bookmarkEnd w:id="74"/>
    </w:p>
    <w:p w:rsidR="00CF11D1" w:rsidRPr="00CD2DE5" w:rsidRDefault="00CF11D1" w:rsidP="00CF11D1"/>
    <w:p w:rsidR="00CF11D1" w:rsidRPr="00CD2DE5" w:rsidRDefault="00CF11D1" w:rsidP="00CF11D1">
      <w:pPr>
        <w:tabs>
          <w:tab w:val="left" w:pos="2410"/>
        </w:tabs>
        <w:rPr>
          <w:b/>
          <w:sz w:val="20"/>
        </w:rPr>
      </w:pPr>
      <w:r w:rsidRPr="00CD2DE5">
        <w:rPr>
          <w:b/>
          <w:sz w:val="20"/>
        </w:rPr>
        <w:t>Director de programa</w:t>
      </w:r>
      <w:r w:rsidRPr="00CD2DE5">
        <w:rPr>
          <w:b/>
          <w:sz w:val="20"/>
        </w:rPr>
        <w:tab/>
        <w:t>Sr. J. Sandage</w:t>
      </w:r>
    </w:p>
    <w:p w:rsidR="00CF11D1" w:rsidRPr="00CD2DE5" w:rsidRDefault="00CF11D1" w:rsidP="00CF11D1"/>
    <w:p w:rsidR="00CF11D1" w:rsidRPr="00CD2DE5" w:rsidRDefault="00CF11D1" w:rsidP="00CF11D1"/>
    <w:p w:rsidR="00CF11D1" w:rsidRPr="00CD2DE5" w:rsidRDefault="008F7CBE" w:rsidP="00CF11D1">
      <w:pPr>
        <w:rPr>
          <w:bCs/>
          <w:szCs w:val="22"/>
        </w:rPr>
      </w:pPr>
      <w:r w:rsidRPr="008F7CBE">
        <w:rPr>
          <w:bCs/>
          <w:sz w:val="20"/>
          <w:szCs w:val="22"/>
        </w:rPr>
        <w:t>LOGROS ALCANZADOS EN EL BIENIO 2014/15</w:t>
      </w:r>
    </w:p>
    <w:p w:rsidR="00CF11D1" w:rsidRPr="00CD2DE5" w:rsidRDefault="00CF11D1" w:rsidP="00CF11D1">
      <w:pPr>
        <w:rPr>
          <w:b/>
        </w:rPr>
      </w:pPr>
    </w:p>
    <w:p w:rsidR="00CF11D1" w:rsidRPr="00CD2DE5" w:rsidRDefault="00CF11D1" w:rsidP="00CF11D1">
      <w:pPr>
        <w:pStyle w:val="ListParagraph"/>
        <w:numPr>
          <w:ilvl w:val="0"/>
          <w:numId w:val="17"/>
        </w:numPr>
        <w:tabs>
          <w:tab w:val="left" w:pos="709"/>
        </w:tabs>
        <w:ind w:left="0" w:firstLine="0"/>
        <w:jc w:val="both"/>
        <w:rPr>
          <w:rFonts w:cs="Arial"/>
          <w:lang w:val="es-ES"/>
        </w:rPr>
      </w:pPr>
      <w:r w:rsidRPr="00CD2DE5">
        <w:rPr>
          <w:rFonts w:cs="Arial"/>
          <w:lang w:val="es-ES"/>
        </w:rPr>
        <w:t>La Oficina Internacional recibió aproximadamente 217.000 ejemplares originales en 2015, lo que supone una disminución del 0,3% con respecto a 2014.  Una de las razones principales de este descenso fue el repunte de las solicitudes procedentes de los Estado</w:t>
      </w:r>
      <w:r>
        <w:rPr>
          <w:rFonts w:cs="Arial"/>
          <w:lang w:val="es-ES"/>
        </w:rPr>
        <w:t>s Unidos de América en marzo de </w:t>
      </w:r>
      <w:r w:rsidRPr="00CD2DE5">
        <w:rPr>
          <w:rFonts w:cs="Arial"/>
          <w:lang w:val="es-ES"/>
        </w:rPr>
        <w:t xml:space="preserve">2014, debido a que un año antes había entrado en vigor la Ley </w:t>
      </w:r>
      <w:proofErr w:type="spellStart"/>
      <w:r w:rsidRPr="00CD2DE5">
        <w:rPr>
          <w:rFonts w:cs="Arial"/>
          <w:lang w:val="es-ES"/>
        </w:rPr>
        <w:t>Leahy</w:t>
      </w:r>
      <w:proofErr w:type="spellEnd"/>
      <w:r w:rsidRPr="00CD2DE5">
        <w:rPr>
          <w:rFonts w:cs="Arial"/>
          <w:lang w:val="es-ES"/>
        </w:rPr>
        <w:t xml:space="preserve">-Smith </w:t>
      </w:r>
      <w:proofErr w:type="spellStart"/>
      <w:r w:rsidRPr="00CD2DE5">
        <w:rPr>
          <w:rFonts w:cs="Arial"/>
          <w:lang w:val="es-ES"/>
        </w:rPr>
        <w:t>America</w:t>
      </w:r>
      <w:proofErr w:type="spellEnd"/>
      <w:r w:rsidRPr="00CD2DE5">
        <w:rPr>
          <w:rFonts w:cs="Arial"/>
          <w:lang w:val="es-ES"/>
        </w:rPr>
        <w:t xml:space="preserve"> </w:t>
      </w:r>
      <w:proofErr w:type="spellStart"/>
      <w:r w:rsidRPr="00CD2DE5">
        <w:rPr>
          <w:rFonts w:cs="Arial"/>
          <w:lang w:val="es-ES"/>
        </w:rPr>
        <w:t>Invents</w:t>
      </w:r>
      <w:proofErr w:type="spellEnd"/>
      <w:r w:rsidRPr="00CD2DE5">
        <w:rPr>
          <w:rFonts w:cs="Arial"/>
          <w:lang w:val="es-ES"/>
        </w:rPr>
        <w:t>.  Durante el bienio 2014/15 se recibieron aproximadamente 435.000 ejemplares originales en total, lo que representa un aumento del 9% en comparación con los 399.000 que se alcanzar</w:t>
      </w:r>
      <w:r>
        <w:rPr>
          <w:rFonts w:cs="Arial"/>
          <w:lang w:val="es-ES"/>
        </w:rPr>
        <w:t>on aproximadamente en el bienio </w:t>
      </w:r>
      <w:r w:rsidRPr="00CD2DE5">
        <w:rPr>
          <w:rFonts w:cs="Arial"/>
          <w:lang w:val="es-ES"/>
        </w:rPr>
        <w:t>2012/13.  El porcentaje de solicitudes presentadas enteramente por medios electrónicos siguió aumentando en 2015, y actualmente constituye el 94% de todas las solicitudes que se presentan.  Aunque el porcentaje más alto de solicitudes se presentaron en inglés (48,6% en 2014/15), el porcentaje de solicitudes presentadas en idiomas asiáticos ha aumentado en el último decenio.  El porcentaje combinado de solicitudes PCT presentadas en japonés, chino y coreano ha pasado del 29,5% en 2009 al 37,6% en 2015.</w:t>
      </w:r>
    </w:p>
    <w:p w:rsidR="00CF11D1" w:rsidRPr="00CD2DE5" w:rsidRDefault="00CF11D1" w:rsidP="00CF11D1">
      <w:pPr>
        <w:pStyle w:val="ListParagraph"/>
        <w:tabs>
          <w:tab w:val="left" w:pos="709"/>
        </w:tabs>
        <w:ind w:left="0"/>
        <w:jc w:val="both"/>
        <w:rPr>
          <w:rFonts w:cs="Arial"/>
          <w:lang w:val="es-ES"/>
        </w:rPr>
      </w:pPr>
    </w:p>
    <w:p w:rsidR="00CF11D1" w:rsidRPr="00CD2DE5" w:rsidRDefault="00CF11D1" w:rsidP="00CF11D1">
      <w:pPr>
        <w:pStyle w:val="ListParagraph"/>
        <w:numPr>
          <w:ilvl w:val="0"/>
          <w:numId w:val="17"/>
        </w:numPr>
        <w:tabs>
          <w:tab w:val="left" w:pos="709"/>
        </w:tabs>
        <w:autoSpaceDE w:val="0"/>
        <w:autoSpaceDN w:val="0"/>
        <w:adjustRightInd w:val="0"/>
        <w:ind w:left="0" w:firstLine="0"/>
        <w:jc w:val="both"/>
        <w:rPr>
          <w:rFonts w:cs="Arial"/>
          <w:lang w:val="es-ES"/>
        </w:rPr>
      </w:pPr>
      <w:r w:rsidRPr="00CD2DE5">
        <w:rPr>
          <w:rFonts w:cs="Arial"/>
          <w:lang w:val="es-ES"/>
        </w:rPr>
        <w:t xml:space="preserve">Aumentó significativamente la utilización del sistema </w:t>
      </w:r>
      <w:proofErr w:type="spellStart"/>
      <w:r w:rsidRPr="00CD2DE5">
        <w:rPr>
          <w:rFonts w:cs="Arial"/>
          <w:lang w:val="es-ES"/>
        </w:rPr>
        <w:t>ePCT</w:t>
      </w:r>
      <w:proofErr w:type="spellEnd"/>
      <w:r w:rsidRPr="00CD2DE5">
        <w:rPr>
          <w:rFonts w:cs="Arial"/>
          <w:lang w:val="es-ES"/>
        </w:rPr>
        <w:t xml:space="preserve"> en 2014/15 y desde abril de 2015 la interfaz está disponible en los 10 idiomas de publicación, con lo que se simplifica el acceso a los solicitantes y las Oficinas de todo el mundo.  El acceso al sistema de presentación </w:t>
      </w:r>
      <w:proofErr w:type="spellStart"/>
      <w:r w:rsidRPr="00CD2DE5">
        <w:rPr>
          <w:rFonts w:cs="Arial"/>
          <w:lang w:val="es-ES"/>
        </w:rPr>
        <w:t>ePCT</w:t>
      </w:r>
      <w:proofErr w:type="spellEnd"/>
      <w:r w:rsidRPr="00CD2DE5">
        <w:rPr>
          <w:rFonts w:cs="Arial"/>
          <w:lang w:val="es-ES"/>
        </w:rPr>
        <w:t xml:space="preserve">, que en 2013 solo estaba disponible para la Oficina receptora de la Oficina Internacional, se extendió en 2014/15 a todas las Oficinas receptoras deseosas de recibir y tramitar solicitudes internacionales.  A fines del bienio 2014/15 29 Oficinas receptoras habían comenzado, con la ayuda de la Oficina Internacional, a aceptar solicitudes internacionales presentadas mediante el sistema </w:t>
      </w:r>
      <w:proofErr w:type="spellStart"/>
      <w:r w:rsidRPr="00CD2DE5">
        <w:rPr>
          <w:rFonts w:cs="Arial"/>
          <w:lang w:val="es-ES"/>
        </w:rPr>
        <w:t>ePCT</w:t>
      </w:r>
      <w:proofErr w:type="spellEnd"/>
      <w:r w:rsidRPr="00CD2DE5">
        <w:rPr>
          <w:rFonts w:cs="Arial"/>
          <w:lang w:val="es-ES"/>
        </w:rPr>
        <w:t xml:space="preserve">, incluso de países en desarrollo como la Arabia Saudita, Argelia, Azerbaiyán, el Brasil, Chile, Colombia, la India, Malasia, México y Sudáfrica, que hasta entonces no ofrecían a sus solicitantes la posibilidad de presentar solicitudes internacionales por Internet, de acuerdo con las recomendaciones de la A.D. recogidas en la Categoría A, relativa a la asistencia técnica y el fortalecimiento de capacidades.  Otros países se encontraban en diferentes etapas de prueba del sistema, y 34 Oficinas receptoras y 8 Administraciones internacionales permitían la presentación de documentos por el sistema </w:t>
      </w:r>
      <w:proofErr w:type="spellStart"/>
      <w:r w:rsidRPr="00CD2DE5">
        <w:rPr>
          <w:rFonts w:cs="Arial"/>
          <w:lang w:val="es-ES"/>
        </w:rPr>
        <w:t>ePCT</w:t>
      </w:r>
      <w:proofErr w:type="spellEnd"/>
      <w:r w:rsidRPr="00CD2DE5">
        <w:rPr>
          <w:rFonts w:cs="Arial"/>
          <w:lang w:val="es-ES"/>
        </w:rPr>
        <w:t xml:space="preserve"> posteriormente a la presentación de la solicitud internacional.  Además, la Oficina Internacional puso en marcha un nuevo servicio, </w:t>
      </w:r>
      <w:proofErr w:type="spellStart"/>
      <w:r w:rsidRPr="00CD2DE5">
        <w:rPr>
          <w:rFonts w:cs="Arial"/>
          <w:lang w:val="es-ES"/>
        </w:rPr>
        <w:t>eSearchCopy</w:t>
      </w:r>
      <w:proofErr w:type="spellEnd"/>
      <w:r w:rsidRPr="00CD2DE5">
        <w:rPr>
          <w:rFonts w:cs="Arial"/>
          <w:lang w:val="es-ES"/>
        </w:rPr>
        <w:t xml:space="preserve">, que comenzó a funcionar en pruebas en 2014, para preparar y transmitir las copias para la búsqueda a la Administración encargada de la búsqueda internacional en nombre de la Oficina receptora con la finalidad de mejorar la puntualidad y la eficacia de </w:t>
      </w:r>
      <w:proofErr w:type="gramStart"/>
      <w:r w:rsidRPr="00CD2DE5">
        <w:rPr>
          <w:rFonts w:cs="Arial"/>
          <w:lang w:val="es-ES"/>
        </w:rPr>
        <w:t>las búsqueda</w:t>
      </w:r>
      <w:proofErr w:type="gramEnd"/>
      <w:r w:rsidRPr="00CD2DE5">
        <w:rPr>
          <w:rFonts w:cs="Arial"/>
          <w:lang w:val="es-ES"/>
        </w:rPr>
        <w:t xml:space="preserve"> internacionales.  A fines de 2015 el servicio lo utilizaban 28 pares de Oficinas, entre las que se encontraban 6 Administraciones encargadas de la búsqueda internacional y 15 Oficinas receptoras.</w:t>
      </w:r>
    </w:p>
    <w:p w:rsidR="00CF11D1" w:rsidRPr="00CD2DE5" w:rsidRDefault="00CF11D1" w:rsidP="00CF11D1">
      <w:pPr>
        <w:tabs>
          <w:tab w:val="left" w:pos="709"/>
        </w:tabs>
        <w:autoSpaceDE w:val="0"/>
        <w:autoSpaceDN w:val="0"/>
        <w:adjustRightInd w:val="0"/>
        <w:jc w:val="both"/>
      </w:pPr>
    </w:p>
    <w:p w:rsidR="00CF11D1" w:rsidRPr="00CD2DE5" w:rsidRDefault="00CF11D1" w:rsidP="00CF11D1">
      <w:pPr>
        <w:pStyle w:val="ListParagraph"/>
        <w:numPr>
          <w:ilvl w:val="0"/>
          <w:numId w:val="17"/>
        </w:numPr>
        <w:tabs>
          <w:tab w:val="left" w:pos="709"/>
        </w:tabs>
        <w:autoSpaceDE w:val="0"/>
        <w:autoSpaceDN w:val="0"/>
        <w:adjustRightInd w:val="0"/>
        <w:ind w:left="0" w:firstLine="0"/>
        <w:jc w:val="both"/>
        <w:rPr>
          <w:rFonts w:cs="Arial"/>
          <w:lang w:val="es-ES"/>
        </w:rPr>
      </w:pPr>
      <w:r w:rsidRPr="00CD2DE5">
        <w:rPr>
          <w:rFonts w:cs="Arial"/>
          <w:lang w:val="es-ES"/>
        </w:rPr>
        <w:t xml:space="preserve">En </w:t>
      </w:r>
      <w:proofErr w:type="gramStart"/>
      <w:r w:rsidRPr="00CD2DE5">
        <w:rPr>
          <w:rFonts w:cs="Arial"/>
          <w:lang w:val="es-ES"/>
        </w:rPr>
        <w:t>sus reuniones séptima</w:t>
      </w:r>
      <w:proofErr w:type="gramEnd"/>
      <w:r w:rsidRPr="00CD2DE5">
        <w:rPr>
          <w:rFonts w:cs="Arial"/>
          <w:lang w:val="es-ES"/>
        </w:rPr>
        <w:t xml:space="preserve"> y octava, celebradas en junio de 2014 y 2015, el Grupo de Trabajo del PCT continuó los debates sobre algunas propuestas para mejorar el funcionamiento del Sistema del PCT.  Se debatió de conformidad con las recomendaciones respaldadas por el Grupo de Trabajo en su tercera reunión, entre las que figuran recomendacio</w:t>
      </w:r>
      <w:r>
        <w:rPr>
          <w:rFonts w:cs="Arial"/>
          <w:lang w:val="es-ES"/>
        </w:rPr>
        <w:t>nes relativas a cómo</w:t>
      </w:r>
      <w:r w:rsidRPr="00CD2DE5">
        <w:rPr>
          <w:rFonts w:cs="Arial"/>
          <w:lang w:val="es-ES"/>
        </w:rPr>
        <w:t xml:space="preserve"> armonizar el desarrollo futuro del PCT con las recomendaciones aplicables de la A.D., en particular las de las Categorías A y C.  Entre los logros de 2014 cabe mencionar los siguientes:  i) el acuerdo sobre los nuevos criterios que deben cumplir los solicitantes de determinados países para obtener una reducción de las tasas, en cuyo marco se amplió el número de países en desarrollo y de PMA que pueden acceder a dichas reducciones de las tasas, y ii) un procedimiento revisado para la designación de nuevas Administraciones encargadas de la búsqueda y del examen preliminar internacionales que ayude a garantizar que las Administraciones candidatas cuentan con las infraestructuras y los recursos necesarios para ejercer esta función.  Entre los logros de 2015 cabe mencionar los siguientes:  acuerdo a fin de transmitir los resultados de la búsqueda y clasificación de solicitudes anteriores a las Administraciones encargadas de la búsqueda internacional para seguir aumentando la eficacia de la búsqueda internacional y contribuir a mejorar su calidad, y ii) acuerdo para exigir a las Oficinas designadas que remitan puntualmente a la Oficina Internacional información acerca de las solicitudes en la fase nacional, lo que mejorará notablemente la información disponible </w:t>
      </w:r>
      <w:r w:rsidRPr="00CD2DE5">
        <w:rPr>
          <w:lang w:val="es-ES"/>
        </w:rPr>
        <w:t>sobre</w:t>
      </w:r>
      <w:r w:rsidRPr="00CD2DE5">
        <w:rPr>
          <w:rFonts w:cs="Arial"/>
          <w:lang w:val="es-ES"/>
        </w:rPr>
        <w:t xml:space="preserve"> los derechos nacionales de patente concedidos </w:t>
      </w:r>
      <w:r>
        <w:rPr>
          <w:rFonts w:cs="Arial"/>
          <w:lang w:val="es-ES"/>
        </w:rPr>
        <w:t>y</w:t>
      </w:r>
      <w:r w:rsidRPr="00CD2DE5">
        <w:rPr>
          <w:rFonts w:cs="Arial"/>
          <w:lang w:val="es-ES"/>
        </w:rPr>
        <w:t xml:space="preserve"> pendientes de concesión.  La Oficina Internacional presentó también información sobre en qué medida afectan a la presentación de solicitudes PCT los cambios que se producen en la tasa de presentación internacional, mediante simulaciones de la incidencia que, de producirse, tendría la reducción de las tasas para las universidades e instituciones públicas de investigación de los países desarrollados y en desarrollo.</w:t>
      </w:r>
    </w:p>
    <w:p w:rsidR="00CF11D1" w:rsidRPr="00CD2DE5" w:rsidRDefault="00CF11D1" w:rsidP="00CF11D1">
      <w:pPr>
        <w:pStyle w:val="ListParagraph"/>
        <w:numPr>
          <w:ilvl w:val="0"/>
          <w:numId w:val="17"/>
        </w:numPr>
        <w:tabs>
          <w:tab w:val="left" w:pos="709"/>
        </w:tabs>
        <w:autoSpaceDE w:val="0"/>
        <w:autoSpaceDN w:val="0"/>
        <w:adjustRightInd w:val="0"/>
        <w:ind w:left="0" w:firstLine="0"/>
        <w:jc w:val="both"/>
        <w:rPr>
          <w:rFonts w:cs="Arial"/>
          <w:lang w:val="es-ES"/>
        </w:rPr>
      </w:pPr>
      <w:r w:rsidRPr="00CD2DE5">
        <w:rPr>
          <w:lang w:val="es-ES"/>
        </w:rPr>
        <w:lastRenderedPageBreak/>
        <w:t>En el marco del programa, siguió dedicándose una parte importante de la labor y recursos a la cooperación y asistencia técnicas a los países en desarrollo y PMA.  Se llevaron a cab</w:t>
      </w:r>
      <w:r>
        <w:rPr>
          <w:lang w:val="es-ES"/>
        </w:rPr>
        <w:t xml:space="preserve">o actividades de formación y </w:t>
      </w:r>
      <w:r w:rsidRPr="00CD2DE5">
        <w:rPr>
          <w:lang w:val="es-ES"/>
        </w:rPr>
        <w:t>fortalecimiento de las capacidades con el fin de asistir tanto a los Estados miembros del PCT como los que estaban estudiando la posibilidad de adherirse a él en el fortalecimiento de la capacidad nacional para la protección de la creatividad y la innovación nacional, en consonancia con la recomendación 1 de la A.D.  Dichas actividades, efectuadas a petición de los interesados, estaban orientadas a la potenciación del desarrollo y eran transparentes.  Se concibieron en coordinación con organizadores locales teniendo en cuenta el grado de sensibilización o el conocimiento técnico sobre el PCT y las competencias de los participantes en relación con el PCT, y abarcaban una gran variedad de aspecto</w:t>
      </w:r>
      <w:r>
        <w:rPr>
          <w:lang w:val="es-ES"/>
        </w:rPr>
        <w:t>s</w:t>
      </w:r>
      <w:r w:rsidRPr="00CD2DE5">
        <w:rPr>
          <w:lang w:val="es-ES"/>
        </w:rPr>
        <w:t xml:space="preserve"> del Tratado</w:t>
      </w:r>
      <w:r>
        <w:rPr>
          <w:lang w:val="es-ES"/>
        </w:rPr>
        <w:t>,</w:t>
      </w:r>
      <w:r w:rsidRPr="00CD2DE5">
        <w:rPr>
          <w:lang w:val="es-ES"/>
        </w:rPr>
        <w:t xml:space="preserve"> </w:t>
      </w:r>
      <w:r w:rsidRPr="00CD2DE5">
        <w:rPr>
          <w:rFonts w:cs="Arial"/>
          <w:lang w:val="es-ES"/>
        </w:rPr>
        <w:t>como</w:t>
      </w:r>
      <w:r w:rsidRPr="00CD2DE5">
        <w:rPr>
          <w:lang w:val="es-ES"/>
        </w:rPr>
        <w:t xml:space="preserve"> el sistema </w:t>
      </w:r>
      <w:proofErr w:type="spellStart"/>
      <w:r w:rsidRPr="00CD2DE5">
        <w:rPr>
          <w:lang w:val="es-ES"/>
        </w:rPr>
        <w:t>ePCT</w:t>
      </w:r>
      <w:proofErr w:type="spellEnd"/>
      <w:r w:rsidRPr="00CD2DE5">
        <w:rPr>
          <w:lang w:val="es-ES"/>
        </w:rPr>
        <w:t xml:space="preserve"> y el examen posterior a la entrada en la fase nacional.  Dichas actividades contribuyeron además a fortalecer las capacidades de los Estados miembros del PCT y de los que estaban estudiando la posibilidad de adherirse al PCT mediante la mejora de los conocimientos y competencias locales en la utilización del Sistema del PCT.</w:t>
      </w:r>
    </w:p>
    <w:p w:rsidR="00CF11D1" w:rsidRPr="00CD2DE5" w:rsidRDefault="00CF11D1" w:rsidP="00CF11D1"/>
    <w:p w:rsidR="00CF11D1" w:rsidRPr="00CD2DE5" w:rsidRDefault="00CF11D1" w:rsidP="00CF11D1">
      <w:pPr>
        <w:pStyle w:val="ListParagraph"/>
        <w:numPr>
          <w:ilvl w:val="0"/>
          <w:numId w:val="17"/>
        </w:numPr>
        <w:tabs>
          <w:tab w:val="left" w:pos="709"/>
        </w:tabs>
        <w:autoSpaceDE w:val="0"/>
        <w:autoSpaceDN w:val="0"/>
        <w:adjustRightInd w:val="0"/>
        <w:ind w:left="0" w:firstLine="0"/>
        <w:jc w:val="both"/>
        <w:rPr>
          <w:rFonts w:cs="Arial"/>
          <w:lang w:val="es-ES"/>
        </w:rPr>
      </w:pPr>
      <w:r w:rsidRPr="00CD2DE5">
        <w:rPr>
          <w:rFonts w:cs="Arial"/>
          <w:lang w:val="es-ES"/>
        </w:rPr>
        <w:t xml:space="preserve">En el bienio 2014/15 se fomentó el conocimiento del PCT entre los </w:t>
      </w:r>
      <w:r>
        <w:rPr>
          <w:rFonts w:cs="Arial"/>
          <w:lang w:val="es-ES"/>
        </w:rPr>
        <w:t>usuarios y potenciales usuarios</w:t>
      </w:r>
      <w:r w:rsidRPr="00CD2DE5">
        <w:rPr>
          <w:rFonts w:cs="Arial"/>
          <w:lang w:val="es-ES"/>
        </w:rPr>
        <w:t xml:space="preserve"> a través de diversas actividades de formación y divulgación, incluidos 111 seminarios, 101 presentaciones, 25 seminarios web y 67 visitas de usuarios.  Por otra parte, el Servicio de Información del PCT respondió a 23.618 consultas relacionadas con el PCT formuladas por sus usuarios y potenciales usuarios (una media de 49 consultas al día) y resolvió 2.408 casos “de tramitación especial” durante el año.</w:t>
      </w:r>
    </w:p>
    <w:p w:rsidR="00CF11D1" w:rsidRPr="00CD2DE5" w:rsidRDefault="00CF11D1" w:rsidP="00CF11D1"/>
    <w:p w:rsidR="00CF11D1" w:rsidRPr="00CD2DE5" w:rsidRDefault="00CF11D1" w:rsidP="00CF11D1">
      <w:pPr>
        <w:pStyle w:val="ListParagraph"/>
        <w:numPr>
          <w:ilvl w:val="0"/>
          <w:numId w:val="17"/>
        </w:numPr>
        <w:tabs>
          <w:tab w:val="left" w:pos="709"/>
        </w:tabs>
        <w:autoSpaceDE w:val="0"/>
        <w:autoSpaceDN w:val="0"/>
        <w:adjustRightInd w:val="0"/>
        <w:ind w:left="0" w:firstLine="0"/>
        <w:jc w:val="both"/>
        <w:rPr>
          <w:lang w:val="es-ES"/>
        </w:rPr>
      </w:pPr>
      <w:r w:rsidRPr="00CD2DE5">
        <w:rPr>
          <w:rFonts w:cs="Arial"/>
          <w:lang w:val="es-ES"/>
        </w:rPr>
        <w:t>La Oficina Internacional siguió mejorando y ampliando la automatización de determinados procesos relativos al examen de forma de solicitudes internacionales PCT.  Además de las solicitudes presentadas electrónicamente en formatos XML y PDF, la Oficina Internacional hizo importantes avances en la tramitación automática de los informes de búsqueda internacional y las opiniones escritas que recibe de China, el Japón, la República de Corea y la Oficina Europea de Patentes, en formato XML y PDF.  Con ello se logró mejorar la productividad y la calidad del examen de forma de las solicitudes internacionales PCT durante el bienio, lo que permitió a la Oficina Internacional afrontar el incesante aumento del volumen de trabajo con menor número de miembros del personal, sin dejar de mantener la elevada calidad del servicio.  En el bienio 2014/15 se produjo un aumento notable, del 22%, de la productividad medida por el número de publicaciones del PCT dividido por el número de miembros del personal en comparación con el bien</w:t>
      </w:r>
      <w:r>
        <w:rPr>
          <w:rFonts w:cs="Arial"/>
          <w:lang w:val="es-ES"/>
        </w:rPr>
        <w:t>io 2012/</w:t>
      </w:r>
      <w:r w:rsidRPr="00CD2DE5">
        <w:rPr>
          <w:rFonts w:cs="Arial"/>
          <w:lang w:val="es-ES"/>
        </w:rPr>
        <w:t>13.  La calidad en general, medida por el índice agregado, mejoró considerablemente, un 5,8%, en el bienio 2014/15 en comparación con el bienio anterior.</w:t>
      </w:r>
    </w:p>
    <w:p w:rsidR="00CF11D1" w:rsidRPr="00CD2DE5" w:rsidRDefault="00CF11D1" w:rsidP="00CF11D1">
      <w:pPr>
        <w:tabs>
          <w:tab w:val="left" w:pos="709"/>
        </w:tabs>
        <w:autoSpaceDE w:val="0"/>
        <w:autoSpaceDN w:val="0"/>
        <w:adjustRightInd w:val="0"/>
        <w:jc w:val="both"/>
      </w:pPr>
    </w:p>
    <w:p w:rsidR="00CF11D1" w:rsidRPr="00CD2DE5" w:rsidRDefault="00CF11D1" w:rsidP="00CF11D1">
      <w:pPr>
        <w:tabs>
          <w:tab w:val="left" w:pos="8145"/>
        </w:tabs>
      </w:pPr>
    </w:p>
    <w:p w:rsidR="00CF11D1" w:rsidRPr="00CD2DE5" w:rsidRDefault="008F7CBE" w:rsidP="00CF11D1">
      <w:pPr>
        <w:rPr>
          <w:szCs w:val="22"/>
        </w:rPr>
      </w:pPr>
      <w:r w:rsidRPr="008F7CBE">
        <w:rPr>
          <w:sz w:val="20"/>
          <w:szCs w:val="22"/>
        </w:rPr>
        <w:t>DATOS SOBRE EL RENDIMIENTO</w:t>
      </w:r>
    </w:p>
    <w:p w:rsidR="00CF11D1" w:rsidRPr="00CD2DE5" w:rsidRDefault="00CF11D1" w:rsidP="00CF11D1">
      <w:pPr>
        <w:rPr>
          <w:b/>
          <w:szCs w:val="22"/>
        </w:rPr>
      </w:pPr>
    </w:p>
    <w:tbl>
      <w:tblPr>
        <w:tblW w:w="5000"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15"/>
        <w:gridCol w:w="2247"/>
        <w:gridCol w:w="142"/>
        <w:gridCol w:w="1409"/>
        <w:gridCol w:w="140"/>
        <w:gridCol w:w="2111"/>
        <w:gridCol w:w="138"/>
        <w:gridCol w:w="1269"/>
      </w:tblGrid>
      <w:tr w:rsidR="00CF11D1" w:rsidRPr="00CD2DE5" w:rsidTr="00DC1333">
        <w:trPr>
          <w:trHeight w:val="336"/>
        </w:trPr>
        <w:tc>
          <w:tcPr>
            <w:tcW w:w="5000" w:type="pct"/>
            <w:gridSpan w:val="8"/>
            <w:tcBorders>
              <w:top w:val="single" w:sz="4" w:space="0" w:color="auto"/>
              <w:bottom w:val="single" w:sz="4" w:space="0" w:color="auto"/>
            </w:tcBorders>
            <w:shd w:val="clear" w:color="auto" w:fill="C6D9F1" w:themeFill="text2" w:themeFillTint="33"/>
            <w:vAlign w:val="center"/>
          </w:tcPr>
          <w:p w:rsidR="00CF11D1" w:rsidRPr="00CD2DE5" w:rsidRDefault="00CF11D1" w:rsidP="00DC1333">
            <w:pPr>
              <w:tabs>
                <w:tab w:val="left" w:pos="1452"/>
              </w:tabs>
              <w:ind w:left="2019" w:hanging="2019"/>
              <w:rPr>
                <w:b/>
                <w:bCs/>
                <w:sz w:val="16"/>
                <w:szCs w:val="16"/>
              </w:rPr>
            </w:pPr>
            <w:r w:rsidRPr="00CD2DE5">
              <w:rPr>
                <w:b/>
                <w:bCs/>
                <w:sz w:val="16"/>
                <w:szCs w:val="16"/>
              </w:rPr>
              <w:t>Resultado previsto:</w:t>
            </w:r>
            <w:r w:rsidRPr="00CD2DE5">
              <w:rPr>
                <w:bCs/>
                <w:sz w:val="16"/>
                <w:szCs w:val="16"/>
              </w:rPr>
              <w:tab/>
              <w:t>II.1 Fomento del uso de la vía del PCT para la presentación de solicitudes internacionales de patente</w:t>
            </w:r>
          </w:p>
        </w:tc>
      </w:tr>
      <w:tr w:rsidR="00CF11D1" w:rsidRPr="00CD2DE5" w:rsidTr="00DC1333">
        <w:tc>
          <w:tcPr>
            <w:tcW w:w="1105" w:type="pct"/>
            <w:tcBorders>
              <w:top w:val="single" w:sz="4" w:space="0" w:color="auto"/>
            </w:tcBorders>
            <w:shd w:val="clear" w:color="auto" w:fill="auto"/>
            <w:vAlign w:val="center"/>
          </w:tcPr>
          <w:p w:rsidR="00CF11D1" w:rsidRPr="00CD2DE5" w:rsidRDefault="00CF11D1" w:rsidP="00DC1333">
            <w:pPr>
              <w:rPr>
                <w:sz w:val="16"/>
                <w:szCs w:val="16"/>
              </w:rPr>
            </w:pPr>
            <w:r w:rsidRPr="00CD2DE5">
              <w:rPr>
                <w:b/>
                <w:sz w:val="16"/>
                <w:szCs w:val="16"/>
              </w:rPr>
              <w:t>Indicadores de rendimiento</w:t>
            </w:r>
          </w:p>
        </w:tc>
        <w:tc>
          <w:tcPr>
            <w:tcW w:w="1248" w:type="pct"/>
            <w:gridSpan w:val="2"/>
            <w:tcBorders>
              <w:top w:val="single" w:sz="4" w:space="0" w:color="auto"/>
            </w:tcBorders>
            <w:shd w:val="clear" w:color="auto" w:fill="auto"/>
            <w:vAlign w:val="center"/>
          </w:tcPr>
          <w:p w:rsidR="00CF11D1" w:rsidRPr="00CD2DE5" w:rsidRDefault="00CF11D1" w:rsidP="00DC1333">
            <w:pPr>
              <w:rPr>
                <w:b/>
                <w:bCs/>
                <w:sz w:val="16"/>
                <w:szCs w:val="16"/>
              </w:rPr>
            </w:pPr>
            <w:r w:rsidRPr="00CD2DE5">
              <w:rPr>
                <w:b/>
                <w:bCs/>
                <w:sz w:val="16"/>
                <w:szCs w:val="16"/>
              </w:rPr>
              <w:t>Referencia</w:t>
            </w:r>
          </w:p>
        </w:tc>
        <w:tc>
          <w:tcPr>
            <w:tcW w:w="809" w:type="pct"/>
            <w:gridSpan w:val="2"/>
            <w:tcBorders>
              <w:top w:val="single" w:sz="4" w:space="0" w:color="auto"/>
            </w:tcBorders>
            <w:shd w:val="clear" w:color="auto" w:fill="auto"/>
            <w:tcMar>
              <w:top w:w="110" w:type="dxa"/>
            </w:tcMar>
            <w:vAlign w:val="center"/>
          </w:tcPr>
          <w:p w:rsidR="00CF11D1" w:rsidRPr="00CD2DE5" w:rsidRDefault="00CF11D1" w:rsidP="00DC1333">
            <w:pPr>
              <w:rPr>
                <w:b/>
                <w:sz w:val="16"/>
                <w:szCs w:val="16"/>
              </w:rPr>
            </w:pPr>
            <w:r w:rsidRPr="00CD2DE5">
              <w:rPr>
                <w:b/>
                <w:sz w:val="16"/>
                <w:szCs w:val="16"/>
              </w:rPr>
              <w:t>Objetivos</w:t>
            </w:r>
          </w:p>
        </w:tc>
        <w:tc>
          <w:tcPr>
            <w:tcW w:w="1175" w:type="pct"/>
            <w:gridSpan w:val="2"/>
            <w:tcBorders>
              <w:top w:val="single" w:sz="4" w:space="0" w:color="auto"/>
            </w:tcBorders>
            <w:shd w:val="clear" w:color="auto" w:fill="FFFFFF"/>
            <w:tcMar>
              <w:top w:w="110" w:type="dxa"/>
            </w:tcMar>
            <w:vAlign w:val="center"/>
          </w:tcPr>
          <w:p w:rsidR="00CF11D1" w:rsidRPr="00CD2DE5" w:rsidRDefault="00CF11D1" w:rsidP="00DC1333">
            <w:pPr>
              <w:rPr>
                <w:sz w:val="16"/>
                <w:szCs w:val="16"/>
              </w:rPr>
            </w:pPr>
            <w:r w:rsidRPr="00CD2DE5">
              <w:rPr>
                <w:b/>
                <w:sz w:val="16"/>
                <w:szCs w:val="16"/>
              </w:rPr>
              <w:t>Datos sobre el rendimiento</w:t>
            </w:r>
          </w:p>
        </w:tc>
        <w:tc>
          <w:tcPr>
            <w:tcW w:w="663" w:type="pct"/>
            <w:tcBorders>
              <w:top w:val="single" w:sz="4" w:space="0" w:color="auto"/>
            </w:tcBorders>
            <w:shd w:val="clear" w:color="auto" w:fill="auto"/>
            <w:tcMar>
              <w:top w:w="110" w:type="dxa"/>
            </w:tcMar>
            <w:vAlign w:val="center"/>
          </w:tcPr>
          <w:p w:rsidR="00CF11D1" w:rsidRPr="00CD2DE5" w:rsidRDefault="00CF11D1" w:rsidP="00DC1333">
            <w:pPr>
              <w:ind w:left="-112"/>
              <w:jc w:val="center"/>
              <w:rPr>
                <w:b/>
                <w:bCs/>
                <w:sz w:val="16"/>
                <w:szCs w:val="16"/>
              </w:rPr>
            </w:pPr>
            <w:r w:rsidRPr="00CD2DE5">
              <w:rPr>
                <w:b/>
                <w:bCs/>
                <w:sz w:val="16"/>
                <w:szCs w:val="16"/>
              </w:rPr>
              <w:t>Clave de colores</w:t>
            </w:r>
          </w:p>
        </w:tc>
      </w:tr>
      <w:tr w:rsidR="00CF11D1" w:rsidRPr="00CD2DE5" w:rsidTr="00DC1333">
        <w:tc>
          <w:tcPr>
            <w:tcW w:w="1105" w:type="pct"/>
            <w:shd w:val="clear" w:color="auto" w:fill="auto"/>
          </w:tcPr>
          <w:p w:rsidR="00CF11D1" w:rsidRPr="00CD2DE5" w:rsidRDefault="00CF11D1" w:rsidP="00DC1333">
            <w:pPr>
              <w:rPr>
                <w:sz w:val="16"/>
                <w:szCs w:val="16"/>
              </w:rPr>
            </w:pPr>
            <w:r w:rsidRPr="00CD2DE5">
              <w:rPr>
                <w:sz w:val="16"/>
                <w:szCs w:val="16"/>
              </w:rPr>
              <w:t>Nivel de satisfacción de los usuarios del PCT respecto de los servicios de información y formación destinados a los usuarios</w:t>
            </w:r>
          </w:p>
        </w:tc>
        <w:tc>
          <w:tcPr>
            <w:tcW w:w="1248" w:type="pct"/>
            <w:gridSpan w:val="2"/>
            <w:shd w:val="clear" w:color="auto" w:fill="auto"/>
          </w:tcPr>
          <w:p w:rsidR="00CF11D1" w:rsidRPr="00CD2DE5" w:rsidRDefault="00CF11D1" w:rsidP="00DC1333">
            <w:pPr>
              <w:rPr>
                <w:sz w:val="16"/>
                <w:szCs w:val="16"/>
              </w:rPr>
            </w:pPr>
            <w:r w:rsidRPr="00CD2DE5">
              <w:rPr>
                <w:sz w:val="16"/>
                <w:szCs w:val="16"/>
              </w:rPr>
              <w:t>Nivel de satisfacción existente en 2009 entre los usuarios del PCT respecto de los servicios de información y formación destinados a los usuarios</w:t>
            </w:r>
          </w:p>
        </w:tc>
        <w:tc>
          <w:tcPr>
            <w:tcW w:w="809" w:type="pct"/>
            <w:gridSpan w:val="2"/>
            <w:shd w:val="clear" w:color="auto" w:fill="auto"/>
            <w:tcMar>
              <w:top w:w="110" w:type="dxa"/>
            </w:tcMar>
          </w:tcPr>
          <w:p w:rsidR="00CF11D1" w:rsidRPr="00CD2DE5" w:rsidRDefault="00CF11D1" w:rsidP="00DC1333">
            <w:pPr>
              <w:rPr>
                <w:sz w:val="16"/>
                <w:szCs w:val="16"/>
              </w:rPr>
            </w:pPr>
            <w:r w:rsidRPr="00CD2DE5">
              <w:rPr>
                <w:sz w:val="16"/>
                <w:szCs w:val="16"/>
              </w:rPr>
              <w:t>Mantenimiento o aumento del nivel de satisfacción existente en 2009 entre los usuarios del PCT</w:t>
            </w:r>
          </w:p>
        </w:tc>
        <w:tc>
          <w:tcPr>
            <w:tcW w:w="1175" w:type="pct"/>
            <w:gridSpan w:val="2"/>
            <w:shd w:val="clear" w:color="auto" w:fill="FFFFFF"/>
            <w:tcMar>
              <w:top w:w="110" w:type="dxa"/>
            </w:tcMar>
          </w:tcPr>
          <w:p w:rsidR="00CF11D1" w:rsidRPr="00CD2DE5" w:rsidRDefault="00CF11D1" w:rsidP="00DC1333">
            <w:pPr>
              <w:rPr>
                <w:sz w:val="16"/>
                <w:szCs w:val="16"/>
              </w:rPr>
            </w:pPr>
            <w:r w:rsidRPr="00CD2DE5">
              <w:rPr>
                <w:sz w:val="16"/>
                <w:szCs w:val="16"/>
              </w:rPr>
              <w:t>El nivel de satisfacción general de los usuarios con los servicios prestados por la</w:t>
            </w:r>
            <w:r w:rsidR="00CA2B81">
              <w:rPr>
                <w:sz w:val="16"/>
                <w:szCs w:val="16"/>
              </w:rPr>
              <w:t xml:space="preserve"> OMPI aumentó un 11% desde 2009</w:t>
            </w:r>
            <w:r w:rsidRPr="00CD2DE5">
              <w:rPr>
                <w:sz w:val="16"/>
                <w:szCs w:val="16"/>
              </w:rPr>
              <w:t xml:space="preserve"> hasta llegar al 89%.</w:t>
            </w:r>
          </w:p>
        </w:tc>
        <w:tc>
          <w:tcPr>
            <w:tcW w:w="663" w:type="pct"/>
            <w:shd w:val="clear" w:color="auto" w:fill="auto"/>
            <w:tcMar>
              <w:top w:w="110" w:type="dxa"/>
            </w:tcMar>
          </w:tcPr>
          <w:p w:rsidR="00CF11D1" w:rsidRPr="00CD2DE5" w:rsidRDefault="00CF11D1" w:rsidP="00DC1333">
            <w:pPr>
              <w:jc w:val="center"/>
              <w:rPr>
                <w:b/>
                <w:bCs/>
                <w:color w:val="0070C0"/>
                <w:sz w:val="16"/>
                <w:szCs w:val="16"/>
              </w:rPr>
            </w:pPr>
            <w:r w:rsidRPr="00CD2DE5">
              <w:rPr>
                <w:b/>
                <w:bCs/>
                <w:color w:val="00B050"/>
                <w:sz w:val="16"/>
                <w:szCs w:val="16"/>
              </w:rPr>
              <w:t>Plenamente logrado</w:t>
            </w:r>
          </w:p>
        </w:tc>
      </w:tr>
      <w:tr w:rsidR="00CF11D1" w:rsidRPr="00CD2DE5" w:rsidTr="00DC1333">
        <w:tc>
          <w:tcPr>
            <w:tcW w:w="1105" w:type="pct"/>
            <w:tcBorders>
              <w:bottom w:val="single" w:sz="4" w:space="0" w:color="auto"/>
            </w:tcBorders>
            <w:shd w:val="clear" w:color="auto" w:fill="auto"/>
          </w:tcPr>
          <w:p w:rsidR="00CF11D1" w:rsidRPr="00CD2DE5" w:rsidRDefault="00CF11D1" w:rsidP="00DC1333">
            <w:pPr>
              <w:rPr>
                <w:sz w:val="16"/>
                <w:szCs w:val="16"/>
              </w:rPr>
            </w:pPr>
            <w:r w:rsidRPr="00CD2DE5">
              <w:rPr>
                <w:sz w:val="16"/>
                <w:szCs w:val="16"/>
              </w:rPr>
              <w:t>Satisfacción de las oficinas y las administraciones internacionales respecto de las actividades de cooperación del PCT</w:t>
            </w:r>
          </w:p>
        </w:tc>
        <w:tc>
          <w:tcPr>
            <w:tcW w:w="1248" w:type="pct"/>
            <w:gridSpan w:val="2"/>
            <w:tcBorders>
              <w:bottom w:val="single" w:sz="4" w:space="0" w:color="auto"/>
            </w:tcBorders>
            <w:shd w:val="clear" w:color="auto" w:fill="auto"/>
          </w:tcPr>
          <w:p w:rsidR="00CF11D1" w:rsidRPr="00CD2DE5" w:rsidRDefault="00CF11D1" w:rsidP="00DC1333">
            <w:pPr>
              <w:rPr>
                <w:i/>
                <w:color w:val="002060"/>
                <w:sz w:val="8"/>
                <w:szCs w:val="8"/>
              </w:rPr>
            </w:pPr>
            <w:r w:rsidRPr="00CD2DE5">
              <w:rPr>
                <w:i/>
                <w:color w:val="002060"/>
                <w:sz w:val="16"/>
                <w:szCs w:val="16"/>
              </w:rPr>
              <w:t xml:space="preserve">Referencia actualizada a fines de 2013:  </w:t>
            </w:r>
            <w:r w:rsidRPr="00CD2DE5">
              <w:rPr>
                <w:color w:val="002060"/>
                <w:sz w:val="16"/>
                <w:szCs w:val="16"/>
              </w:rPr>
              <w:t>56 (95% de los 59 beneficiarios de las actividades de cooperación en el marco del PCT;  85% de los</w:t>
            </w:r>
          </w:p>
          <w:p w:rsidR="00CF11D1" w:rsidRPr="00CD2DE5" w:rsidRDefault="00CF11D1" w:rsidP="00DC1333">
            <w:pPr>
              <w:rPr>
                <w:color w:val="002060"/>
                <w:sz w:val="16"/>
                <w:szCs w:val="16"/>
              </w:rPr>
            </w:pPr>
            <w:r w:rsidRPr="00CD2DE5">
              <w:rPr>
                <w:color w:val="002060"/>
                <w:sz w:val="16"/>
                <w:szCs w:val="16"/>
              </w:rPr>
              <w:t>66 encuestados (encuesta de 2012)</w:t>
            </w:r>
          </w:p>
          <w:p w:rsidR="00CF11D1" w:rsidRPr="00CD2DE5" w:rsidRDefault="00CF11D1" w:rsidP="00DC1333">
            <w:pPr>
              <w:rPr>
                <w:color w:val="002060"/>
                <w:sz w:val="16"/>
                <w:szCs w:val="16"/>
              </w:rPr>
            </w:pPr>
          </w:p>
          <w:p w:rsidR="00CF11D1" w:rsidRPr="00CD2DE5" w:rsidRDefault="00CF11D1" w:rsidP="00DC1333">
            <w:pPr>
              <w:rPr>
                <w:sz w:val="16"/>
                <w:szCs w:val="16"/>
              </w:rPr>
            </w:pPr>
            <w:r w:rsidRPr="00CD2DE5">
              <w:rPr>
                <w:i/>
                <w:sz w:val="16"/>
                <w:szCs w:val="16"/>
              </w:rPr>
              <w:t>Referencia original en el presupuesto de 2014/15:</w:t>
            </w:r>
            <w:r w:rsidRPr="00CD2DE5">
              <w:rPr>
                <w:sz w:val="16"/>
                <w:szCs w:val="16"/>
              </w:rPr>
              <w:t xml:space="preserve">  59 encuestados expresaron satisfacción con las actividades en 2011 (95% de los 62 que participaron en las actividades / 86% de los 69 encuestados)</w:t>
            </w:r>
            <w:r w:rsidRPr="00CD2DE5">
              <w:rPr>
                <w:sz w:val="16"/>
                <w:szCs w:val="16"/>
              </w:rPr>
              <w:br/>
            </w:r>
          </w:p>
        </w:tc>
        <w:tc>
          <w:tcPr>
            <w:tcW w:w="809" w:type="pct"/>
            <w:gridSpan w:val="2"/>
            <w:tcBorders>
              <w:bottom w:val="single" w:sz="4" w:space="0" w:color="auto"/>
            </w:tcBorders>
            <w:shd w:val="clear" w:color="auto" w:fill="auto"/>
            <w:tcMar>
              <w:top w:w="110" w:type="dxa"/>
            </w:tcMar>
          </w:tcPr>
          <w:p w:rsidR="00CF11D1" w:rsidRPr="00CD2DE5" w:rsidRDefault="00CF11D1" w:rsidP="00DC1333">
            <w:pPr>
              <w:rPr>
                <w:sz w:val="16"/>
                <w:szCs w:val="16"/>
                <w:lang w:bidi="th-TH"/>
              </w:rPr>
            </w:pPr>
            <w:r w:rsidRPr="00CD2DE5">
              <w:rPr>
                <w:sz w:val="16"/>
                <w:szCs w:val="16"/>
                <w:lang w:bidi="th-TH"/>
              </w:rPr>
              <w:t>Mantenimiento del nivel de satisfacción existente en 2011 entre las Oficinas y las Administraciones internacionales</w:t>
            </w:r>
          </w:p>
        </w:tc>
        <w:tc>
          <w:tcPr>
            <w:tcW w:w="1175" w:type="pct"/>
            <w:gridSpan w:val="2"/>
            <w:tcBorders>
              <w:bottom w:val="single" w:sz="4" w:space="0" w:color="auto"/>
            </w:tcBorders>
            <w:shd w:val="clear" w:color="auto" w:fill="FFFFFF"/>
            <w:tcMar>
              <w:top w:w="110" w:type="dxa"/>
            </w:tcMar>
          </w:tcPr>
          <w:p w:rsidR="00CF11D1" w:rsidRPr="00CD2DE5" w:rsidRDefault="00CF11D1" w:rsidP="00DC1333">
            <w:pPr>
              <w:rPr>
                <w:sz w:val="16"/>
                <w:szCs w:val="16"/>
              </w:rPr>
            </w:pPr>
            <w:r w:rsidRPr="00CD2DE5">
              <w:rPr>
                <w:sz w:val="16"/>
                <w:szCs w:val="16"/>
              </w:rPr>
              <w:t>58 (el 96% de 60 beneficiarios de las actividades de cooperación en el marco del PCT;  el 95 de los encuestados (encuesta de 2016)</w:t>
            </w:r>
          </w:p>
        </w:tc>
        <w:tc>
          <w:tcPr>
            <w:tcW w:w="663" w:type="pct"/>
            <w:tcBorders>
              <w:bottom w:val="single" w:sz="4" w:space="0" w:color="auto"/>
            </w:tcBorders>
            <w:shd w:val="clear" w:color="auto" w:fill="auto"/>
            <w:tcMar>
              <w:top w:w="110" w:type="dxa"/>
            </w:tcMar>
          </w:tcPr>
          <w:p w:rsidR="00CF11D1" w:rsidRPr="00CD2DE5" w:rsidRDefault="00CF11D1" w:rsidP="00DC1333">
            <w:pPr>
              <w:jc w:val="center"/>
              <w:rPr>
                <w:b/>
                <w:bCs/>
                <w:color w:val="0070C0"/>
                <w:sz w:val="16"/>
                <w:szCs w:val="16"/>
              </w:rPr>
            </w:pPr>
            <w:r w:rsidRPr="00CD2DE5">
              <w:rPr>
                <w:b/>
                <w:bCs/>
                <w:color w:val="00B050"/>
                <w:sz w:val="16"/>
                <w:szCs w:val="16"/>
              </w:rPr>
              <w:t>Plenamente logrado</w:t>
            </w:r>
          </w:p>
        </w:tc>
      </w:tr>
      <w:tr w:rsidR="00CF11D1" w:rsidRPr="00CD2DE5" w:rsidTr="00DC1333">
        <w:trPr>
          <w:trHeight w:val="374"/>
        </w:trPr>
        <w:tc>
          <w:tcPr>
            <w:tcW w:w="5000" w:type="pct"/>
            <w:gridSpan w:val="8"/>
            <w:tcBorders>
              <w:top w:val="single" w:sz="4" w:space="0" w:color="auto"/>
              <w:bottom w:val="single" w:sz="4" w:space="0" w:color="auto"/>
            </w:tcBorders>
            <w:shd w:val="clear" w:color="auto" w:fill="C6D9F1" w:themeFill="text2" w:themeFillTint="33"/>
            <w:vAlign w:val="center"/>
          </w:tcPr>
          <w:p w:rsidR="00CF11D1" w:rsidRPr="00CD2DE5" w:rsidRDefault="00CF11D1" w:rsidP="00DC1333">
            <w:pPr>
              <w:keepNext/>
              <w:keepLines/>
              <w:tabs>
                <w:tab w:val="left" w:pos="-5495"/>
                <w:tab w:val="left" w:pos="-3794"/>
              </w:tabs>
              <w:ind w:left="2019" w:hanging="2019"/>
              <w:rPr>
                <w:b/>
                <w:bCs/>
                <w:sz w:val="16"/>
                <w:szCs w:val="16"/>
              </w:rPr>
            </w:pPr>
            <w:r w:rsidRPr="00CD2DE5">
              <w:rPr>
                <w:b/>
                <w:bCs/>
                <w:sz w:val="16"/>
                <w:szCs w:val="16"/>
              </w:rPr>
              <w:lastRenderedPageBreak/>
              <w:t>Resultado previsto:</w:t>
            </w:r>
            <w:r w:rsidRPr="00CD2DE5">
              <w:rPr>
                <w:bCs/>
                <w:sz w:val="16"/>
                <w:szCs w:val="16"/>
              </w:rPr>
              <w:tab/>
              <w:t>II.2 Mejora del Sistema del PCT</w:t>
            </w:r>
          </w:p>
        </w:tc>
      </w:tr>
      <w:tr w:rsidR="00CF11D1" w:rsidRPr="00CD2DE5" w:rsidTr="00DA11AF">
        <w:tc>
          <w:tcPr>
            <w:tcW w:w="1105" w:type="pct"/>
            <w:tcBorders>
              <w:top w:val="single" w:sz="4" w:space="0" w:color="auto"/>
            </w:tcBorders>
            <w:shd w:val="clear" w:color="auto" w:fill="auto"/>
            <w:vAlign w:val="center"/>
          </w:tcPr>
          <w:p w:rsidR="00CF11D1" w:rsidRPr="00CD2DE5" w:rsidRDefault="00CF11D1" w:rsidP="00DC1333">
            <w:pPr>
              <w:keepNext/>
              <w:keepLines/>
              <w:rPr>
                <w:sz w:val="16"/>
                <w:szCs w:val="16"/>
              </w:rPr>
            </w:pPr>
            <w:r w:rsidRPr="00CD2DE5">
              <w:rPr>
                <w:b/>
                <w:sz w:val="16"/>
                <w:szCs w:val="16"/>
              </w:rPr>
              <w:t>Indicadores de rendimiento</w:t>
            </w:r>
          </w:p>
        </w:tc>
        <w:tc>
          <w:tcPr>
            <w:tcW w:w="1174" w:type="pct"/>
            <w:tcBorders>
              <w:top w:val="single" w:sz="4" w:space="0" w:color="auto"/>
            </w:tcBorders>
            <w:shd w:val="clear" w:color="auto" w:fill="auto"/>
            <w:vAlign w:val="center"/>
          </w:tcPr>
          <w:p w:rsidR="00CF11D1" w:rsidRPr="00CD2DE5" w:rsidRDefault="00CF11D1" w:rsidP="00DC1333">
            <w:pPr>
              <w:keepNext/>
              <w:keepLines/>
              <w:rPr>
                <w:b/>
                <w:bCs/>
                <w:sz w:val="16"/>
                <w:szCs w:val="16"/>
              </w:rPr>
            </w:pPr>
            <w:r w:rsidRPr="00CD2DE5">
              <w:rPr>
                <w:b/>
                <w:bCs/>
                <w:sz w:val="16"/>
                <w:szCs w:val="16"/>
              </w:rPr>
              <w:t>Referencia</w:t>
            </w:r>
          </w:p>
        </w:tc>
        <w:tc>
          <w:tcPr>
            <w:tcW w:w="810" w:type="pct"/>
            <w:gridSpan w:val="2"/>
            <w:tcBorders>
              <w:top w:val="single" w:sz="4" w:space="0" w:color="auto"/>
            </w:tcBorders>
            <w:shd w:val="clear" w:color="auto" w:fill="auto"/>
            <w:tcMar>
              <w:top w:w="110" w:type="dxa"/>
            </w:tcMar>
            <w:vAlign w:val="center"/>
          </w:tcPr>
          <w:p w:rsidR="00CF11D1" w:rsidRPr="00CD2DE5" w:rsidRDefault="00CF11D1" w:rsidP="00DC1333">
            <w:pPr>
              <w:keepNext/>
              <w:keepLines/>
              <w:rPr>
                <w:b/>
                <w:sz w:val="16"/>
                <w:szCs w:val="16"/>
              </w:rPr>
            </w:pPr>
            <w:r w:rsidRPr="00CD2DE5">
              <w:rPr>
                <w:b/>
                <w:sz w:val="16"/>
                <w:szCs w:val="16"/>
              </w:rPr>
              <w:t>Objetivos</w:t>
            </w:r>
          </w:p>
        </w:tc>
        <w:tc>
          <w:tcPr>
            <w:tcW w:w="1176" w:type="pct"/>
            <w:gridSpan w:val="2"/>
            <w:tcBorders>
              <w:top w:val="single" w:sz="4" w:space="0" w:color="auto"/>
            </w:tcBorders>
            <w:shd w:val="clear" w:color="auto" w:fill="FFFFFF"/>
            <w:tcMar>
              <w:top w:w="110" w:type="dxa"/>
            </w:tcMar>
            <w:vAlign w:val="center"/>
          </w:tcPr>
          <w:p w:rsidR="00CF11D1" w:rsidRPr="00CD2DE5" w:rsidRDefault="00CF11D1" w:rsidP="00DC1333">
            <w:pPr>
              <w:keepNext/>
              <w:keepLines/>
              <w:rPr>
                <w:sz w:val="16"/>
                <w:szCs w:val="16"/>
              </w:rPr>
            </w:pPr>
            <w:r w:rsidRPr="00CD2DE5">
              <w:rPr>
                <w:b/>
                <w:sz w:val="16"/>
                <w:szCs w:val="16"/>
              </w:rPr>
              <w:t>Datos sobre el rendimiento</w:t>
            </w:r>
          </w:p>
        </w:tc>
        <w:tc>
          <w:tcPr>
            <w:tcW w:w="735" w:type="pct"/>
            <w:gridSpan w:val="2"/>
            <w:tcBorders>
              <w:top w:val="single" w:sz="4" w:space="0" w:color="auto"/>
            </w:tcBorders>
            <w:shd w:val="clear" w:color="auto" w:fill="auto"/>
            <w:tcMar>
              <w:top w:w="110" w:type="dxa"/>
            </w:tcMar>
            <w:vAlign w:val="center"/>
          </w:tcPr>
          <w:p w:rsidR="00CF11D1" w:rsidRPr="00CD2DE5" w:rsidRDefault="00CF11D1" w:rsidP="00DC1333">
            <w:pPr>
              <w:keepNext/>
              <w:keepLines/>
              <w:jc w:val="center"/>
              <w:rPr>
                <w:b/>
                <w:bCs/>
                <w:sz w:val="16"/>
                <w:szCs w:val="16"/>
              </w:rPr>
            </w:pPr>
            <w:r w:rsidRPr="00CD2DE5">
              <w:rPr>
                <w:b/>
                <w:bCs/>
                <w:sz w:val="16"/>
                <w:szCs w:val="16"/>
              </w:rPr>
              <w:t>Clave de colores</w:t>
            </w:r>
          </w:p>
        </w:tc>
      </w:tr>
      <w:tr w:rsidR="00CF11D1" w:rsidRPr="00CD2DE5" w:rsidTr="00DA11AF">
        <w:tc>
          <w:tcPr>
            <w:tcW w:w="1105" w:type="pct"/>
            <w:tcBorders>
              <w:bottom w:val="nil"/>
            </w:tcBorders>
            <w:shd w:val="clear" w:color="auto" w:fill="FFFFFF"/>
          </w:tcPr>
          <w:p w:rsidR="00CF11D1" w:rsidRPr="00CD2DE5" w:rsidRDefault="00CF11D1" w:rsidP="00DC1333">
            <w:pPr>
              <w:keepNext/>
              <w:keepLines/>
              <w:rPr>
                <w:sz w:val="16"/>
                <w:szCs w:val="16"/>
              </w:rPr>
            </w:pPr>
            <w:r w:rsidRPr="00CD2DE5">
              <w:rPr>
                <w:sz w:val="16"/>
                <w:szCs w:val="16"/>
              </w:rPr>
              <w:t xml:space="preserve">Continuo desarrollo del </w:t>
            </w:r>
            <w:r w:rsidRPr="00CD2DE5">
              <w:rPr>
                <w:sz w:val="16"/>
                <w:szCs w:val="16"/>
              </w:rPr>
              <w:br/>
              <w:t>Sistema del PCT, sobre todo gracias a la aplicación de las recomendaciones de la hoja de ruta del PCT suscritas por los Estados miembros del PCT</w:t>
            </w:r>
          </w:p>
        </w:tc>
        <w:tc>
          <w:tcPr>
            <w:tcW w:w="1174" w:type="pct"/>
            <w:tcBorders>
              <w:bottom w:val="nil"/>
            </w:tcBorders>
            <w:shd w:val="clear" w:color="auto" w:fill="auto"/>
          </w:tcPr>
          <w:p w:rsidR="00CF11D1" w:rsidRPr="00CD2DE5" w:rsidRDefault="00CF11D1" w:rsidP="00DC1333">
            <w:pPr>
              <w:keepNext/>
              <w:keepLines/>
              <w:rPr>
                <w:color w:val="002060"/>
                <w:sz w:val="16"/>
                <w:szCs w:val="16"/>
              </w:rPr>
            </w:pPr>
            <w:r w:rsidRPr="00CD2DE5">
              <w:rPr>
                <w:i/>
                <w:color w:val="002060"/>
                <w:sz w:val="16"/>
                <w:szCs w:val="16"/>
              </w:rPr>
              <w:t xml:space="preserve">Referencia actualizada a fines de 2013:  </w:t>
            </w:r>
            <w:r w:rsidRPr="00CD2DE5">
              <w:rPr>
                <w:color w:val="002060"/>
                <w:sz w:val="16"/>
                <w:szCs w:val="16"/>
              </w:rPr>
              <w:t>Situación del Sistema del PCT a fines de 2013</w:t>
            </w:r>
          </w:p>
          <w:p w:rsidR="00CF11D1" w:rsidRPr="00CD2DE5" w:rsidRDefault="00CF11D1" w:rsidP="00DC1333">
            <w:pPr>
              <w:keepNext/>
              <w:keepLines/>
              <w:rPr>
                <w:i/>
                <w:sz w:val="16"/>
                <w:szCs w:val="16"/>
              </w:rPr>
            </w:pPr>
          </w:p>
          <w:p w:rsidR="00CF11D1" w:rsidRPr="00CD2DE5" w:rsidRDefault="00CF11D1" w:rsidP="00DC1333">
            <w:pPr>
              <w:keepNext/>
              <w:keepLines/>
              <w:rPr>
                <w:sz w:val="16"/>
                <w:szCs w:val="16"/>
              </w:rPr>
            </w:pPr>
            <w:r w:rsidRPr="00CD2DE5">
              <w:rPr>
                <w:i/>
                <w:sz w:val="16"/>
                <w:szCs w:val="16"/>
              </w:rPr>
              <w:t>Referencia original en el presupuesto de 2014/15:</w:t>
            </w:r>
            <w:r w:rsidRPr="00CD2DE5">
              <w:rPr>
                <w:sz w:val="16"/>
                <w:szCs w:val="16"/>
              </w:rPr>
              <w:t xml:space="preserve">  Decisiones de los órganos pertinentes del PCT hasta el final de 2013</w:t>
            </w:r>
          </w:p>
        </w:tc>
        <w:tc>
          <w:tcPr>
            <w:tcW w:w="810" w:type="pct"/>
            <w:gridSpan w:val="2"/>
            <w:tcBorders>
              <w:bottom w:val="nil"/>
            </w:tcBorders>
            <w:shd w:val="clear" w:color="auto" w:fill="auto"/>
            <w:tcMar>
              <w:top w:w="110" w:type="dxa"/>
            </w:tcMar>
          </w:tcPr>
          <w:p w:rsidR="00CF11D1" w:rsidRPr="00CD2DE5" w:rsidRDefault="00CF11D1" w:rsidP="00DC1333">
            <w:pPr>
              <w:keepNext/>
              <w:keepLines/>
              <w:autoSpaceDE w:val="0"/>
              <w:autoSpaceDN w:val="0"/>
              <w:adjustRightInd w:val="0"/>
              <w:rPr>
                <w:sz w:val="16"/>
                <w:szCs w:val="16"/>
              </w:rPr>
            </w:pPr>
            <w:r w:rsidRPr="00CD2DE5">
              <w:rPr>
                <w:sz w:val="16"/>
                <w:szCs w:val="16"/>
              </w:rPr>
              <w:t>Progresos para alcanzar los objetivos del Tratado en beneficio de todas las partes interesadas, en sintonía con las recomendaciones de la hoja de ruta del PCT suscritas por los Estados miembros</w:t>
            </w:r>
            <w:r w:rsidRPr="00CD2DE5">
              <w:rPr>
                <w:rStyle w:val="FootnoteReference"/>
                <w:sz w:val="16"/>
                <w:szCs w:val="16"/>
              </w:rPr>
              <w:footnoteReference w:id="18"/>
            </w:r>
          </w:p>
        </w:tc>
        <w:tc>
          <w:tcPr>
            <w:tcW w:w="1176" w:type="pct"/>
            <w:gridSpan w:val="2"/>
            <w:tcBorders>
              <w:bottom w:val="nil"/>
            </w:tcBorders>
            <w:shd w:val="clear" w:color="auto" w:fill="FFFFFF"/>
            <w:tcMar>
              <w:top w:w="110" w:type="dxa"/>
            </w:tcMar>
          </w:tcPr>
          <w:p w:rsidR="00CF11D1" w:rsidRPr="00CD2DE5" w:rsidRDefault="00CF11D1" w:rsidP="00DA11AF">
            <w:pPr>
              <w:keepNext/>
              <w:keepLines/>
              <w:ind w:right="-91"/>
              <w:rPr>
                <w:sz w:val="16"/>
                <w:szCs w:val="16"/>
                <w:lang w:bidi="th-TH"/>
              </w:rPr>
            </w:pPr>
            <w:r w:rsidRPr="00CD2DE5">
              <w:rPr>
                <w:sz w:val="16"/>
                <w:szCs w:val="16"/>
                <w:lang w:bidi="th-TH"/>
              </w:rPr>
              <w:t>En 2014/15 se avanzó en el fomen</w:t>
            </w:r>
            <w:r>
              <w:rPr>
                <w:sz w:val="16"/>
                <w:szCs w:val="16"/>
                <w:lang w:bidi="th-TH"/>
              </w:rPr>
              <w:t>to de los objetivos del Tratado</w:t>
            </w:r>
            <w:r w:rsidRPr="00CD2DE5">
              <w:rPr>
                <w:sz w:val="16"/>
                <w:szCs w:val="16"/>
                <w:lang w:bidi="th-TH"/>
              </w:rPr>
              <w:t xml:space="preserve"> en favor de todos los sectores interesados, de conformidad con las recomendaciones de la hoja de ruta del PCT sus</w:t>
            </w:r>
            <w:r>
              <w:rPr>
                <w:sz w:val="16"/>
                <w:szCs w:val="16"/>
                <w:lang w:bidi="th-TH"/>
              </w:rPr>
              <w:t>critas por los Estados miembros</w:t>
            </w:r>
            <w:r w:rsidRPr="00CD2DE5">
              <w:rPr>
                <w:sz w:val="16"/>
                <w:szCs w:val="16"/>
                <w:lang w:bidi="th-TH"/>
              </w:rPr>
              <w:t xml:space="preserve"> con respecto</w:t>
            </w:r>
            <w:r>
              <w:rPr>
                <w:sz w:val="16"/>
                <w:szCs w:val="16"/>
                <w:lang w:bidi="th-TH"/>
              </w:rPr>
              <w:t xml:space="preserve"> a los siguientes asuntos:  a) a</w:t>
            </w:r>
            <w:r w:rsidRPr="00CD2DE5">
              <w:rPr>
                <w:sz w:val="16"/>
                <w:szCs w:val="16"/>
                <w:lang w:bidi="th-TH"/>
              </w:rPr>
              <w:t>cuerdo de los Estados miembros sobre los criterios que deben cumplirse para obtener una reducción de las tasas</w:t>
            </w:r>
            <w:r>
              <w:rPr>
                <w:sz w:val="16"/>
                <w:szCs w:val="16"/>
                <w:lang w:bidi="th-TH"/>
              </w:rPr>
              <w:t>;  b) a</w:t>
            </w:r>
            <w:r w:rsidRPr="00CD2DE5">
              <w:rPr>
                <w:sz w:val="16"/>
                <w:szCs w:val="16"/>
                <w:lang w:bidi="th-TH"/>
              </w:rPr>
              <w:t>cuerdo de los Estados miembros sobre el procedimiento revisado para la designación de las Administraciones encargadas de la búsqueda y el examen p</w:t>
            </w:r>
            <w:r>
              <w:rPr>
                <w:sz w:val="16"/>
                <w:szCs w:val="16"/>
                <w:lang w:bidi="th-TH"/>
              </w:rPr>
              <w:t>reliminar internacionales;  c) a</w:t>
            </w:r>
            <w:r w:rsidRPr="00CD2DE5">
              <w:rPr>
                <w:sz w:val="16"/>
                <w:szCs w:val="16"/>
                <w:lang w:bidi="th-TH"/>
              </w:rPr>
              <w:t xml:space="preserve">cuerdo de los Estados miembros para intercambiar los resultados de la labor de búsqueda sobre las solicitudes anteriores a fin de mejorar la calidad y puntualidad de los textos producidos en el marco del PCT;  </w:t>
            </w:r>
            <w:r>
              <w:rPr>
                <w:sz w:val="16"/>
                <w:szCs w:val="16"/>
                <w:lang w:bidi="th-TH"/>
              </w:rPr>
              <w:t>d) p</w:t>
            </w:r>
            <w:r w:rsidRPr="00CD2DE5">
              <w:rPr>
                <w:sz w:val="16"/>
                <w:szCs w:val="16"/>
                <w:lang w:bidi="th-TH"/>
              </w:rPr>
              <w:t xml:space="preserve">uesta en marcha de un nuevo servicio, </w:t>
            </w:r>
            <w:proofErr w:type="spellStart"/>
            <w:r w:rsidRPr="00CD2DE5">
              <w:rPr>
                <w:sz w:val="16"/>
                <w:szCs w:val="16"/>
                <w:lang w:bidi="th-TH"/>
              </w:rPr>
              <w:t>eSearchCopy</w:t>
            </w:r>
            <w:proofErr w:type="spellEnd"/>
            <w:r w:rsidRPr="00CD2DE5">
              <w:rPr>
                <w:sz w:val="16"/>
                <w:szCs w:val="16"/>
                <w:lang w:bidi="th-TH"/>
              </w:rPr>
              <w:t>, para transmitir de forma más rápida y eficaz las solicitudes de búsqueda internacional, y</w:t>
            </w:r>
            <w:r w:rsidR="00DA11AF">
              <w:rPr>
                <w:sz w:val="16"/>
                <w:szCs w:val="16"/>
                <w:lang w:bidi="th-TH"/>
              </w:rPr>
              <w:t xml:space="preserve"> </w:t>
            </w:r>
            <w:r>
              <w:rPr>
                <w:sz w:val="16"/>
                <w:szCs w:val="16"/>
                <w:lang w:bidi="th-TH"/>
              </w:rPr>
              <w:t>e) a</w:t>
            </w:r>
            <w:r w:rsidRPr="00CD2DE5">
              <w:rPr>
                <w:sz w:val="16"/>
                <w:szCs w:val="16"/>
                <w:lang w:bidi="th-TH"/>
              </w:rPr>
              <w:t>cuerdo a fin de que las Oficinas remitan puntualmente a la Oficina Internacional datos acerca de las solicitudes en la fase nacional para mejorar la información sobre la situación jurídica de las patentes.</w:t>
            </w:r>
          </w:p>
        </w:tc>
        <w:tc>
          <w:tcPr>
            <w:tcW w:w="735" w:type="pct"/>
            <w:gridSpan w:val="2"/>
            <w:tcBorders>
              <w:bottom w:val="nil"/>
            </w:tcBorders>
            <w:shd w:val="clear" w:color="auto" w:fill="auto"/>
            <w:tcMar>
              <w:top w:w="110" w:type="dxa"/>
            </w:tcMar>
          </w:tcPr>
          <w:p w:rsidR="00CF11D1" w:rsidRPr="00CD2DE5" w:rsidRDefault="00CF11D1" w:rsidP="00DC1333">
            <w:pPr>
              <w:keepNext/>
              <w:keepLines/>
              <w:ind w:left="-109"/>
              <w:jc w:val="center"/>
              <w:rPr>
                <w:bCs/>
                <w:color w:val="008000"/>
                <w:sz w:val="16"/>
                <w:szCs w:val="16"/>
              </w:rPr>
            </w:pPr>
            <w:r w:rsidRPr="00CD2DE5">
              <w:rPr>
                <w:b/>
                <w:bCs/>
                <w:color w:val="00B050"/>
                <w:sz w:val="16"/>
                <w:szCs w:val="16"/>
              </w:rPr>
              <w:t>Plenamente logrado</w:t>
            </w:r>
          </w:p>
        </w:tc>
      </w:tr>
      <w:tr w:rsidR="00CF11D1" w:rsidRPr="00CD2DE5" w:rsidTr="00DA11AF">
        <w:tc>
          <w:tcPr>
            <w:tcW w:w="1105" w:type="pct"/>
            <w:tcBorders>
              <w:top w:val="nil"/>
              <w:bottom w:val="single" w:sz="4" w:space="0" w:color="auto"/>
            </w:tcBorders>
            <w:shd w:val="clear" w:color="auto" w:fill="auto"/>
          </w:tcPr>
          <w:p w:rsidR="00CF11D1" w:rsidRPr="00CD2DE5" w:rsidRDefault="00CF11D1" w:rsidP="00DC1333">
            <w:pPr>
              <w:rPr>
                <w:sz w:val="16"/>
                <w:szCs w:val="16"/>
              </w:rPr>
            </w:pPr>
            <w:r w:rsidRPr="00CD2DE5">
              <w:rPr>
                <w:sz w:val="16"/>
                <w:szCs w:val="16"/>
              </w:rPr>
              <w:t>Mejora de los servicios electrónicos dirigidos a solicitantes, terceros, oficinas y Administraciones</w:t>
            </w:r>
          </w:p>
        </w:tc>
        <w:tc>
          <w:tcPr>
            <w:tcW w:w="1174" w:type="pct"/>
            <w:tcBorders>
              <w:top w:val="nil"/>
              <w:bottom w:val="single" w:sz="4" w:space="0" w:color="auto"/>
            </w:tcBorders>
            <w:shd w:val="clear" w:color="auto" w:fill="auto"/>
          </w:tcPr>
          <w:p w:rsidR="00CF11D1" w:rsidRPr="00CD2DE5" w:rsidRDefault="00CF11D1" w:rsidP="00DC1333">
            <w:pPr>
              <w:pStyle w:val="Default"/>
              <w:rPr>
                <w:color w:val="002060"/>
                <w:sz w:val="16"/>
                <w:szCs w:val="16"/>
                <w:lang w:val="es-ES"/>
              </w:rPr>
            </w:pPr>
            <w:r w:rsidRPr="00CD2DE5">
              <w:rPr>
                <w:i/>
                <w:color w:val="002060"/>
                <w:sz w:val="16"/>
                <w:szCs w:val="16"/>
                <w:lang w:val="es-ES"/>
              </w:rPr>
              <w:t>Referencia actualizada a fines de 2013:</w:t>
            </w:r>
            <w:r w:rsidRPr="00CD2DE5">
              <w:rPr>
                <w:color w:val="943634" w:themeColor="accent2" w:themeShade="BF"/>
                <w:sz w:val="16"/>
                <w:szCs w:val="16"/>
                <w:lang w:val="es-ES"/>
              </w:rPr>
              <w:t xml:space="preserve">  </w:t>
            </w:r>
            <w:r w:rsidRPr="00CD2DE5">
              <w:rPr>
                <w:color w:val="002060"/>
                <w:sz w:val="16"/>
                <w:szCs w:val="16"/>
                <w:lang w:val="es-ES"/>
              </w:rPr>
              <w:t xml:space="preserve">Nº de transacciones efectuadas utilizando los servicios </w:t>
            </w:r>
            <w:proofErr w:type="spellStart"/>
            <w:r w:rsidRPr="00CD2DE5">
              <w:rPr>
                <w:color w:val="002060"/>
                <w:sz w:val="16"/>
                <w:szCs w:val="16"/>
                <w:lang w:val="es-ES"/>
              </w:rPr>
              <w:t>ePCT</w:t>
            </w:r>
            <w:proofErr w:type="spellEnd"/>
            <w:r w:rsidRPr="00CD2DE5">
              <w:rPr>
                <w:color w:val="002060"/>
                <w:sz w:val="16"/>
                <w:szCs w:val="16"/>
                <w:lang w:val="es-ES"/>
              </w:rPr>
              <w:t xml:space="preserve"> a fines de 2013 </w:t>
            </w:r>
            <w:r w:rsidR="00DA11AF">
              <w:rPr>
                <w:color w:val="002060"/>
                <w:sz w:val="16"/>
                <w:szCs w:val="16"/>
                <w:lang w:val="es-ES"/>
              </w:rPr>
              <w:t>par</w:t>
            </w:r>
            <w:r w:rsidRPr="00CD2DE5">
              <w:rPr>
                <w:color w:val="002060"/>
                <w:sz w:val="16"/>
                <w:szCs w:val="16"/>
                <w:lang w:val="es-ES"/>
              </w:rPr>
              <w:t xml:space="preserve">a:  </w:t>
            </w:r>
          </w:p>
          <w:p w:rsidR="00CF11D1" w:rsidRPr="00CD2DE5" w:rsidRDefault="00CF11D1" w:rsidP="00DC1333">
            <w:pPr>
              <w:pStyle w:val="Default"/>
              <w:rPr>
                <w:color w:val="002060"/>
                <w:sz w:val="16"/>
                <w:szCs w:val="16"/>
                <w:lang w:val="es-ES"/>
              </w:rPr>
            </w:pPr>
            <w:r w:rsidRPr="00CD2DE5">
              <w:rPr>
                <w:color w:val="002060"/>
                <w:sz w:val="16"/>
                <w:szCs w:val="16"/>
                <w:lang w:val="es-ES"/>
              </w:rPr>
              <w:t xml:space="preserve">-- 8.005 solicitantes del sector público;  </w:t>
            </w:r>
          </w:p>
          <w:p w:rsidR="00CF11D1" w:rsidRPr="00CD2DE5" w:rsidRDefault="00CF11D1" w:rsidP="00DC1333">
            <w:pPr>
              <w:pStyle w:val="Default"/>
              <w:rPr>
                <w:color w:val="002060"/>
                <w:sz w:val="16"/>
                <w:szCs w:val="16"/>
                <w:lang w:val="es-ES"/>
              </w:rPr>
            </w:pPr>
            <w:r w:rsidRPr="00CD2DE5">
              <w:rPr>
                <w:color w:val="002060"/>
                <w:sz w:val="16"/>
                <w:szCs w:val="16"/>
                <w:lang w:val="es-ES"/>
              </w:rPr>
              <w:t>-- 4.754 solicitantes del sector privado;</w:t>
            </w:r>
          </w:p>
          <w:p w:rsidR="00CF11D1" w:rsidRPr="00CD2DE5" w:rsidRDefault="00CF11D1" w:rsidP="00DC1333">
            <w:pPr>
              <w:pStyle w:val="Default"/>
              <w:rPr>
                <w:color w:val="002060"/>
                <w:sz w:val="16"/>
                <w:szCs w:val="16"/>
                <w:lang w:val="es-ES"/>
              </w:rPr>
            </w:pPr>
            <w:r w:rsidRPr="00CD2DE5">
              <w:rPr>
                <w:color w:val="002060"/>
                <w:sz w:val="16"/>
                <w:szCs w:val="16"/>
                <w:lang w:val="es-ES"/>
              </w:rPr>
              <w:t xml:space="preserve">-- 74 terceros;  </w:t>
            </w:r>
          </w:p>
          <w:p w:rsidR="00CF11D1" w:rsidRPr="00CD2DE5" w:rsidRDefault="00CF11D1" w:rsidP="00DC1333">
            <w:pPr>
              <w:pStyle w:val="Default"/>
              <w:rPr>
                <w:color w:val="002060"/>
                <w:sz w:val="16"/>
                <w:szCs w:val="16"/>
                <w:lang w:val="es-ES"/>
              </w:rPr>
            </w:pPr>
            <w:r w:rsidRPr="00CD2DE5">
              <w:rPr>
                <w:color w:val="002060"/>
                <w:sz w:val="16"/>
                <w:szCs w:val="16"/>
                <w:lang w:val="es-ES"/>
              </w:rPr>
              <w:t xml:space="preserve">-- 2.474 </w:t>
            </w:r>
            <w:r>
              <w:rPr>
                <w:color w:val="002060"/>
                <w:sz w:val="16"/>
                <w:szCs w:val="16"/>
                <w:lang w:val="es-ES"/>
              </w:rPr>
              <w:t xml:space="preserve">oficinas, </w:t>
            </w:r>
            <w:r w:rsidRPr="00CD2DE5">
              <w:rPr>
                <w:color w:val="002060"/>
                <w:sz w:val="16"/>
                <w:szCs w:val="16"/>
                <w:lang w:val="es-ES"/>
              </w:rPr>
              <w:t>y</w:t>
            </w:r>
          </w:p>
          <w:p w:rsidR="00CF11D1" w:rsidRPr="00CD2DE5" w:rsidRDefault="00CF11D1" w:rsidP="00DC1333">
            <w:pPr>
              <w:pStyle w:val="Default"/>
              <w:rPr>
                <w:color w:val="002060"/>
                <w:sz w:val="16"/>
                <w:szCs w:val="16"/>
                <w:lang w:val="es-ES"/>
              </w:rPr>
            </w:pPr>
            <w:r w:rsidRPr="00CD2DE5">
              <w:rPr>
                <w:color w:val="002060"/>
                <w:sz w:val="16"/>
                <w:szCs w:val="16"/>
                <w:lang w:val="es-ES"/>
              </w:rPr>
              <w:t>-- 2.398 Administraciones</w:t>
            </w:r>
          </w:p>
          <w:p w:rsidR="00CF11D1" w:rsidRPr="00CD2DE5" w:rsidRDefault="00CF11D1" w:rsidP="00DC1333">
            <w:pPr>
              <w:pStyle w:val="Default"/>
              <w:rPr>
                <w:color w:val="002060"/>
                <w:sz w:val="16"/>
                <w:szCs w:val="16"/>
                <w:lang w:val="es-ES"/>
              </w:rPr>
            </w:pPr>
            <w:r w:rsidRPr="00CD2DE5">
              <w:rPr>
                <w:color w:val="002060"/>
                <w:sz w:val="16"/>
                <w:szCs w:val="16"/>
                <w:lang w:val="es-ES"/>
              </w:rPr>
              <w:t>(en total)</w:t>
            </w:r>
          </w:p>
          <w:p w:rsidR="00CF11D1" w:rsidRPr="00CD2DE5" w:rsidRDefault="00CF11D1" w:rsidP="00DC1333">
            <w:pPr>
              <w:rPr>
                <w:i/>
                <w:sz w:val="8"/>
                <w:szCs w:val="8"/>
              </w:rPr>
            </w:pPr>
          </w:p>
          <w:p w:rsidR="00CF11D1" w:rsidRPr="00CD2DE5" w:rsidRDefault="00CF11D1" w:rsidP="00DC1333">
            <w:pPr>
              <w:rPr>
                <w:sz w:val="16"/>
                <w:szCs w:val="16"/>
              </w:rPr>
            </w:pPr>
            <w:r w:rsidRPr="00CD2DE5">
              <w:rPr>
                <w:i/>
                <w:sz w:val="16"/>
                <w:szCs w:val="16"/>
              </w:rPr>
              <w:t>Referencia original en el presupuesto de 2014/15:</w:t>
            </w:r>
            <w:r w:rsidRPr="00CD2DE5">
              <w:rPr>
                <w:sz w:val="16"/>
                <w:szCs w:val="16"/>
              </w:rPr>
              <w:t xml:space="preserve">  </w:t>
            </w:r>
            <w:r w:rsidR="00DA11AF">
              <w:rPr>
                <w:sz w:val="16"/>
                <w:szCs w:val="16"/>
              </w:rPr>
              <w:t xml:space="preserve">N.º </w:t>
            </w:r>
            <w:r w:rsidRPr="00CD2DE5">
              <w:rPr>
                <w:sz w:val="16"/>
                <w:szCs w:val="16"/>
              </w:rPr>
              <w:t>de transacciones efectuadas medi</w:t>
            </w:r>
            <w:r w:rsidR="00DA11AF">
              <w:rPr>
                <w:sz w:val="16"/>
                <w:szCs w:val="16"/>
              </w:rPr>
              <w:t>ante</w:t>
            </w:r>
            <w:r w:rsidRPr="00CD2DE5">
              <w:rPr>
                <w:sz w:val="16"/>
                <w:szCs w:val="16"/>
              </w:rPr>
              <w:t xml:space="preserve"> los servicios </w:t>
            </w:r>
            <w:proofErr w:type="spellStart"/>
            <w:r w:rsidRPr="00CD2DE5">
              <w:rPr>
                <w:sz w:val="16"/>
                <w:szCs w:val="16"/>
              </w:rPr>
              <w:t>ePCT</w:t>
            </w:r>
            <w:proofErr w:type="spellEnd"/>
            <w:r w:rsidRPr="00CD2DE5">
              <w:rPr>
                <w:sz w:val="16"/>
                <w:szCs w:val="16"/>
              </w:rPr>
              <w:t xml:space="preserve"> al final de 2013 para:  </w:t>
            </w:r>
          </w:p>
          <w:p w:rsidR="00CF11D1" w:rsidRPr="00CD2DE5" w:rsidRDefault="00CF11D1" w:rsidP="00DC1333">
            <w:pPr>
              <w:rPr>
                <w:sz w:val="16"/>
                <w:szCs w:val="16"/>
              </w:rPr>
            </w:pPr>
            <w:r w:rsidRPr="00CD2DE5">
              <w:rPr>
                <w:sz w:val="16"/>
                <w:szCs w:val="16"/>
              </w:rPr>
              <w:t xml:space="preserve">--  solicitantes; </w:t>
            </w:r>
          </w:p>
          <w:p w:rsidR="00CF11D1" w:rsidRPr="00CD2DE5" w:rsidRDefault="00CF11D1" w:rsidP="00DC1333">
            <w:pPr>
              <w:rPr>
                <w:sz w:val="16"/>
                <w:szCs w:val="16"/>
              </w:rPr>
            </w:pPr>
            <w:r w:rsidRPr="00CD2DE5">
              <w:rPr>
                <w:sz w:val="16"/>
                <w:szCs w:val="16"/>
              </w:rPr>
              <w:t xml:space="preserve">--  terceros;  </w:t>
            </w:r>
          </w:p>
          <w:p w:rsidR="00CF11D1" w:rsidRPr="00CD2DE5" w:rsidRDefault="00CF11D1" w:rsidP="00DC1333">
            <w:pPr>
              <w:rPr>
                <w:sz w:val="16"/>
                <w:szCs w:val="16"/>
              </w:rPr>
            </w:pPr>
            <w:r>
              <w:rPr>
                <w:sz w:val="16"/>
                <w:szCs w:val="16"/>
              </w:rPr>
              <w:t xml:space="preserve">--  oficinas, </w:t>
            </w:r>
            <w:r w:rsidRPr="00CD2DE5">
              <w:rPr>
                <w:sz w:val="16"/>
                <w:szCs w:val="16"/>
              </w:rPr>
              <w:t xml:space="preserve">y </w:t>
            </w:r>
          </w:p>
          <w:p w:rsidR="00CF11D1" w:rsidRPr="00CD2DE5" w:rsidRDefault="00CF11D1" w:rsidP="00DC1333">
            <w:pPr>
              <w:rPr>
                <w:sz w:val="16"/>
                <w:szCs w:val="16"/>
              </w:rPr>
            </w:pPr>
            <w:r w:rsidRPr="00CD2DE5">
              <w:rPr>
                <w:sz w:val="16"/>
                <w:szCs w:val="16"/>
              </w:rPr>
              <w:t>--  Administraciones</w:t>
            </w:r>
          </w:p>
        </w:tc>
        <w:tc>
          <w:tcPr>
            <w:tcW w:w="810" w:type="pct"/>
            <w:gridSpan w:val="2"/>
            <w:tcBorders>
              <w:top w:val="nil"/>
              <w:bottom w:val="single" w:sz="4" w:space="0" w:color="auto"/>
            </w:tcBorders>
            <w:shd w:val="clear" w:color="auto" w:fill="auto"/>
            <w:tcMar>
              <w:top w:w="110" w:type="dxa"/>
            </w:tcMar>
          </w:tcPr>
          <w:p w:rsidR="00CF11D1" w:rsidRPr="00CD2DE5" w:rsidRDefault="00CF11D1" w:rsidP="00DC1333">
            <w:pPr>
              <w:rPr>
                <w:sz w:val="16"/>
                <w:szCs w:val="16"/>
              </w:rPr>
            </w:pPr>
            <w:r w:rsidRPr="00CD2DE5">
              <w:rPr>
                <w:sz w:val="16"/>
                <w:szCs w:val="16"/>
              </w:rPr>
              <w:t xml:space="preserve">Aumentar el nº de transacciones efectuadas mediante los servicios </w:t>
            </w:r>
            <w:proofErr w:type="spellStart"/>
            <w:r w:rsidRPr="00CD2DE5">
              <w:rPr>
                <w:sz w:val="16"/>
                <w:szCs w:val="16"/>
              </w:rPr>
              <w:t>ePCT</w:t>
            </w:r>
            <w:proofErr w:type="spellEnd"/>
            <w:r w:rsidRPr="00CD2DE5">
              <w:rPr>
                <w:sz w:val="16"/>
                <w:szCs w:val="16"/>
              </w:rPr>
              <w:t xml:space="preserve"> para: </w:t>
            </w:r>
          </w:p>
          <w:p w:rsidR="00CF11D1" w:rsidRPr="00CD2DE5" w:rsidRDefault="00CF11D1" w:rsidP="00DC1333">
            <w:pPr>
              <w:rPr>
                <w:sz w:val="16"/>
                <w:szCs w:val="16"/>
              </w:rPr>
            </w:pPr>
            <w:r w:rsidRPr="00CD2DE5">
              <w:rPr>
                <w:sz w:val="16"/>
                <w:szCs w:val="16"/>
              </w:rPr>
              <w:t xml:space="preserve">-- solicitantes;  </w:t>
            </w:r>
          </w:p>
          <w:p w:rsidR="00CF11D1" w:rsidRPr="00CD2DE5" w:rsidRDefault="00CF11D1" w:rsidP="00DC1333">
            <w:pPr>
              <w:rPr>
                <w:sz w:val="16"/>
                <w:szCs w:val="16"/>
              </w:rPr>
            </w:pPr>
            <w:r w:rsidRPr="00CD2DE5">
              <w:rPr>
                <w:sz w:val="16"/>
                <w:szCs w:val="16"/>
              </w:rPr>
              <w:t xml:space="preserve">-- terceros;  </w:t>
            </w:r>
          </w:p>
          <w:p w:rsidR="00CF11D1" w:rsidRPr="00CD2DE5" w:rsidRDefault="00CF11D1" w:rsidP="00DC1333">
            <w:pPr>
              <w:rPr>
                <w:sz w:val="16"/>
                <w:szCs w:val="16"/>
              </w:rPr>
            </w:pPr>
            <w:r>
              <w:rPr>
                <w:sz w:val="16"/>
                <w:szCs w:val="16"/>
              </w:rPr>
              <w:t xml:space="preserve">-- oficinas, </w:t>
            </w:r>
            <w:r w:rsidRPr="00CD2DE5">
              <w:rPr>
                <w:sz w:val="16"/>
                <w:szCs w:val="16"/>
              </w:rPr>
              <w:t xml:space="preserve">y </w:t>
            </w:r>
          </w:p>
          <w:p w:rsidR="00CF11D1" w:rsidRPr="00CD2DE5" w:rsidRDefault="00CF11D1" w:rsidP="00DC1333">
            <w:pPr>
              <w:rPr>
                <w:sz w:val="16"/>
                <w:szCs w:val="16"/>
                <w:lang w:bidi="th-TH"/>
              </w:rPr>
            </w:pPr>
            <w:r w:rsidRPr="00CD2DE5">
              <w:rPr>
                <w:sz w:val="16"/>
                <w:szCs w:val="16"/>
              </w:rPr>
              <w:t>-Administraciones</w:t>
            </w:r>
          </w:p>
        </w:tc>
        <w:tc>
          <w:tcPr>
            <w:tcW w:w="1176" w:type="pct"/>
            <w:gridSpan w:val="2"/>
            <w:tcBorders>
              <w:top w:val="nil"/>
              <w:bottom w:val="single" w:sz="4" w:space="0" w:color="auto"/>
            </w:tcBorders>
            <w:shd w:val="clear" w:color="auto" w:fill="FFFFFF"/>
            <w:tcMar>
              <w:top w:w="110" w:type="dxa"/>
            </w:tcMar>
          </w:tcPr>
          <w:p w:rsidR="00CF11D1" w:rsidRPr="00CD2DE5" w:rsidRDefault="00CF11D1" w:rsidP="00DC1333">
            <w:pPr>
              <w:rPr>
                <w:sz w:val="16"/>
                <w:szCs w:val="16"/>
                <w:lang w:bidi="th-TH"/>
              </w:rPr>
            </w:pPr>
            <w:r w:rsidRPr="00CD2DE5">
              <w:rPr>
                <w:sz w:val="16"/>
                <w:szCs w:val="16"/>
                <w:lang w:bidi="th-TH"/>
              </w:rPr>
              <w:t>A fines de 2015, con respecto a fines de 2013:</w:t>
            </w:r>
            <w:r>
              <w:rPr>
                <w:sz w:val="16"/>
                <w:szCs w:val="16"/>
                <w:lang w:bidi="th-TH"/>
              </w:rPr>
              <w:t xml:space="preserve">  </w:t>
            </w:r>
          </w:p>
          <w:p w:rsidR="00CF11D1" w:rsidRPr="00CD2DE5" w:rsidRDefault="00CF11D1" w:rsidP="00DC1333">
            <w:pPr>
              <w:pStyle w:val="ListParagraph"/>
              <w:numPr>
                <w:ilvl w:val="0"/>
                <w:numId w:val="16"/>
              </w:numPr>
              <w:rPr>
                <w:rFonts w:cs="Arial"/>
                <w:sz w:val="16"/>
                <w:szCs w:val="16"/>
                <w:lang w:val="es-ES" w:bidi="th-TH"/>
              </w:rPr>
            </w:pPr>
            <w:r w:rsidRPr="00CD2DE5">
              <w:rPr>
                <w:rFonts w:cs="Arial"/>
                <w:sz w:val="16"/>
                <w:szCs w:val="16"/>
                <w:lang w:val="es-ES" w:bidi="th-TH"/>
              </w:rPr>
              <w:t>11.242 solicitantes del sector público (+40%)</w:t>
            </w:r>
          </w:p>
          <w:p w:rsidR="00CF11D1" w:rsidRPr="00CD2DE5" w:rsidRDefault="00CF11D1" w:rsidP="00DC1333">
            <w:pPr>
              <w:pStyle w:val="ListParagraph"/>
              <w:numPr>
                <w:ilvl w:val="0"/>
                <w:numId w:val="16"/>
              </w:numPr>
              <w:rPr>
                <w:rFonts w:cs="Arial"/>
                <w:sz w:val="16"/>
                <w:szCs w:val="16"/>
                <w:lang w:val="es-ES" w:bidi="th-TH"/>
              </w:rPr>
            </w:pPr>
            <w:r w:rsidRPr="00CD2DE5">
              <w:rPr>
                <w:rFonts w:cs="Arial"/>
                <w:sz w:val="16"/>
                <w:szCs w:val="16"/>
                <w:lang w:val="es-ES" w:bidi="th-TH"/>
              </w:rPr>
              <w:t xml:space="preserve">29.590 solicitantes del sector privado (+522%) </w:t>
            </w:r>
          </w:p>
          <w:p w:rsidR="00CF11D1" w:rsidRPr="00CD2DE5" w:rsidRDefault="00CF11D1" w:rsidP="00DC1333">
            <w:pPr>
              <w:pStyle w:val="ListParagraph"/>
              <w:numPr>
                <w:ilvl w:val="0"/>
                <w:numId w:val="16"/>
              </w:numPr>
              <w:rPr>
                <w:rFonts w:cs="Arial"/>
                <w:sz w:val="16"/>
                <w:szCs w:val="16"/>
                <w:lang w:val="es-ES" w:bidi="th-TH"/>
              </w:rPr>
            </w:pPr>
            <w:r w:rsidRPr="00CD2DE5">
              <w:rPr>
                <w:rFonts w:cs="Arial"/>
                <w:sz w:val="16"/>
                <w:szCs w:val="16"/>
                <w:lang w:val="es-ES" w:bidi="th-TH"/>
              </w:rPr>
              <w:t xml:space="preserve">93 terceros que presentan observaciones (-5%);  </w:t>
            </w:r>
          </w:p>
          <w:p w:rsidR="00CF11D1" w:rsidRPr="00CD2DE5" w:rsidRDefault="00CF11D1" w:rsidP="00DC1333">
            <w:pPr>
              <w:pStyle w:val="ListParagraph"/>
              <w:numPr>
                <w:ilvl w:val="0"/>
                <w:numId w:val="16"/>
              </w:numPr>
              <w:rPr>
                <w:rFonts w:cs="Arial"/>
                <w:sz w:val="16"/>
                <w:szCs w:val="16"/>
                <w:lang w:val="es-ES" w:bidi="th-TH"/>
              </w:rPr>
            </w:pPr>
            <w:r w:rsidRPr="00CD2DE5">
              <w:rPr>
                <w:rFonts w:cs="Arial"/>
                <w:sz w:val="16"/>
                <w:szCs w:val="16"/>
                <w:lang w:val="es-ES" w:bidi="th-TH"/>
              </w:rPr>
              <w:t xml:space="preserve">9.085 Oficinas receptoras (+267%); </w:t>
            </w:r>
            <w:r>
              <w:rPr>
                <w:rFonts w:cs="Arial"/>
                <w:sz w:val="16"/>
                <w:szCs w:val="16"/>
                <w:lang w:val="es-ES" w:bidi="th-TH"/>
              </w:rPr>
              <w:t xml:space="preserve"> </w:t>
            </w:r>
          </w:p>
          <w:p w:rsidR="00CF11D1" w:rsidRPr="00CD2DE5" w:rsidRDefault="00CF11D1" w:rsidP="00DC1333">
            <w:pPr>
              <w:pStyle w:val="ListParagraph"/>
              <w:numPr>
                <w:ilvl w:val="0"/>
                <w:numId w:val="16"/>
              </w:numPr>
              <w:ind w:right="-80"/>
              <w:rPr>
                <w:rFonts w:cs="Arial"/>
                <w:sz w:val="16"/>
                <w:szCs w:val="16"/>
                <w:lang w:val="es-ES" w:bidi="th-TH"/>
              </w:rPr>
            </w:pPr>
            <w:r w:rsidRPr="00CD2DE5">
              <w:rPr>
                <w:rFonts w:cs="Arial"/>
                <w:sz w:val="16"/>
                <w:szCs w:val="16"/>
                <w:lang w:val="es-ES" w:bidi="th-TH"/>
              </w:rPr>
              <w:t>2.596 Administraciones internacionales (+8%) (en total)</w:t>
            </w:r>
          </w:p>
        </w:tc>
        <w:tc>
          <w:tcPr>
            <w:tcW w:w="735" w:type="pct"/>
            <w:gridSpan w:val="2"/>
            <w:tcBorders>
              <w:top w:val="nil"/>
              <w:bottom w:val="single" w:sz="4" w:space="0" w:color="auto"/>
            </w:tcBorders>
            <w:shd w:val="clear" w:color="auto" w:fill="auto"/>
          </w:tcPr>
          <w:p w:rsidR="00CF11D1" w:rsidRPr="00CD2DE5" w:rsidRDefault="00CF11D1" w:rsidP="00DC1333">
            <w:pPr>
              <w:keepNext/>
              <w:keepLines/>
              <w:ind w:left="-109"/>
              <w:jc w:val="center"/>
              <w:rPr>
                <w:b/>
                <w:bCs/>
                <w:color w:val="00B050"/>
                <w:sz w:val="16"/>
                <w:szCs w:val="16"/>
              </w:rPr>
            </w:pPr>
            <w:r w:rsidRPr="00CD2DE5">
              <w:rPr>
                <w:b/>
                <w:bCs/>
                <w:color w:val="00B050"/>
                <w:sz w:val="16"/>
                <w:szCs w:val="16"/>
              </w:rPr>
              <w:t>Plenamente logrado</w:t>
            </w:r>
          </w:p>
        </w:tc>
      </w:tr>
      <w:tr w:rsidR="00CF11D1" w:rsidRPr="00CD2DE5" w:rsidTr="00DC1333">
        <w:trPr>
          <w:trHeight w:val="423"/>
        </w:trPr>
        <w:tc>
          <w:tcPr>
            <w:tcW w:w="5000" w:type="pct"/>
            <w:gridSpan w:val="8"/>
            <w:tcBorders>
              <w:top w:val="single" w:sz="4" w:space="0" w:color="auto"/>
              <w:bottom w:val="single" w:sz="4" w:space="0" w:color="auto"/>
            </w:tcBorders>
            <w:shd w:val="clear" w:color="auto" w:fill="C6D9F1" w:themeFill="text2" w:themeFillTint="33"/>
            <w:vAlign w:val="center"/>
          </w:tcPr>
          <w:p w:rsidR="00CF11D1" w:rsidRPr="00CD2DE5" w:rsidRDefault="00CF11D1" w:rsidP="00DC1333">
            <w:pPr>
              <w:keepNext/>
              <w:keepLines/>
              <w:ind w:left="2019" w:hanging="2019"/>
              <w:rPr>
                <w:b/>
                <w:bCs/>
                <w:sz w:val="16"/>
                <w:szCs w:val="16"/>
              </w:rPr>
            </w:pPr>
            <w:r w:rsidRPr="00CD2DE5">
              <w:rPr>
                <w:b/>
                <w:bCs/>
                <w:sz w:val="16"/>
                <w:szCs w:val="16"/>
              </w:rPr>
              <w:lastRenderedPageBreak/>
              <w:t>Resultado previsto:</w:t>
            </w:r>
            <w:r w:rsidRPr="00CD2DE5">
              <w:rPr>
                <w:bCs/>
                <w:sz w:val="16"/>
                <w:szCs w:val="16"/>
              </w:rPr>
              <w:tab/>
              <w:t>II.3 Mejora de la productividad y de la calidad de los servicios en las operaciones del PCT</w:t>
            </w:r>
          </w:p>
        </w:tc>
      </w:tr>
      <w:tr w:rsidR="00CF11D1" w:rsidRPr="00CD2DE5" w:rsidTr="00DA11AF">
        <w:tc>
          <w:tcPr>
            <w:tcW w:w="1105" w:type="pct"/>
            <w:tcBorders>
              <w:top w:val="single" w:sz="4" w:space="0" w:color="auto"/>
              <w:left w:val="single" w:sz="4" w:space="0" w:color="auto"/>
              <w:bottom w:val="nil"/>
            </w:tcBorders>
            <w:shd w:val="clear" w:color="auto" w:fill="auto"/>
          </w:tcPr>
          <w:p w:rsidR="00CF11D1" w:rsidRPr="00CD2DE5" w:rsidRDefault="00CF11D1" w:rsidP="00DC1333">
            <w:pPr>
              <w:keepNext/>
              <w:keepLines/>
              <w:rPr>
                <w:sz w:val="16"/>
                <w:szCs w:val="16"/>
              </w:rPr>
            </w:pPr>
            <w:r w:rsidRPr="00CD2DE5">
              <w:rPr>
                <w:b/>
                <w:sz w:val="16"/>
                <w:szCs w:val="16"/>
              </w:rPr>
              <w:t>Indicadores de rendimiento</w:t>
            </w:r>
          </w:p>
        </w:tc>
        <w:tc>
          <w:tcPr>
            <w:tcW w:w="1248" w:type="pct"/>
            <w:gridSpan w:val="2"/>
            <w:tcBorders>
              <w:top w:val="single" w:sz="4" w:space="0" w:color="auto"/>
              <w:bottom w:val="nil"/>
            </w:tcBorders>
            <w:shd w:val="clear" w:color="auto" w:fill="auto"/>
          </w:tcPr>
          <w:p w:rsidR="00CF11D1" w:rsidRPr="00CD2DE5" w:rsidRDefault="00CF11D1" w:rsidP="00DC1333">
            <w:pPr>
              <w:keepNext/>
              <w:keepLines/>
              <w:rPr>
                <w:b/>
                <w:bCs/>
                <w:sz w:val="16"/>
                <w:szCs w:val="16"/>
              </w:rPr>
            </w:pPr>
            <w:r w:rsidRPr="00CD2DE5">
              <w:rPr>
                <w:b/>
                <w:bCs/>
                <w:sz w:val="16"/>
                <w:szCs w:val="16"/>
              </w:rPr>
              <w:t>Referencia</w:t>
            </w:r>
          </w:p>
        </w:tc>
        <w:tc>
          <w:tcPr>
            <w:tcW w:w="736" w:type="pct"/>
            <w:tcBorders>
              <w:top w:val="single" w:sz="4" w:space="0" w:color="auto"/>
              <w:bottom w:val="nil"/>
            </w:tcBorders>
            <w:shd w:val="clear" w:color="auto" w:fill="auto"/>
            <w:tcMar>
              <w:top w:w="110" w:type="dxa"/>
            </w:tcMar>
          </w:tcPr>
          <w:p w:rsidR="00CF11D1" w:rsidRPr="00CD2DE5" w:rsidRDefault="00CF11D1" w:rsidP="00DC1333">
            <w:pPr>
              <w:keepNext/>
              <w:keepLines/>
              <w:rPr>
                <w:b/>
                <w:sz w:val="16"/>
                <w:szCs w:val="16"/>
              </w:rPr>
            </w:pPr>
            <w:r w:rsidRPr="00CD2DE5">
              <w:rPr>
                <w:b/>
                <w:sz w:val="16"/>
                <w:szCs w:val="16"/>
              </w:rPr>
              <w:t>Objetivos</w:t>
            </w:r>
          </w:p>
        </w:tc>
        <w:tc>
          <w:tcPr>
            <w:tcW w:w="1176" w:type="pct"/>
            <w:gridSpan w:val="2"/>
            <w:tcBorders>
              <w:top w:val="single" w:sz="4" w:space="0" w:color="auto"/>
              <w:bottom w:val="nil"/>
            </w:tcBorders>
            <w:shd w:val="clear" w:color="auto" w:fill="FFFFFF"/>
            <w:tcMar>
              <w:top w:w="110" w:type="dxa"/>
            </w:tcMar>
          </w:tcPr>
          <w:p w:rsidR="00CF11D1" w:rsidRPr="00CD2DE5" w:rsidRDefault="00CF11D1" w:rsidP="00DC1333">
            <w:pPr>
              <w:keepNext/>
              <w:keepLines/>
              <w:rPr>
                <w:sz w:val="16"/>
                <w:szCs w:val="16"/>
              </w:rPr>
            </w:pPr>
            <w:r w:rsidRPr="00CD2DE5">
              <w:rPr>
                <w:b/>
                <w:sz w:val="16"/>
                <w:szCs w:val="16"/>
              </w:rPr>
              <w:t>Datos sobre el rendimiento</w:t>
            </w:r>
          </w:p>
        </w:tc>
        <w:tc>
          <w:tcPr>
            <w:tcW w:w="735" w:type="pct"/>
            <w:gridSpan w:val="2"/>
            <w:tcBorders>
              <w:top w:val="single" w:sz="4" w:space="0" w:color="auto"/>
              <w:bottom w:val="nil"/>
              <w:right w:val="single" w:sz="4" w:space="0" w:color="auto"/>
            </w:tcBorders>
            <w:shd w:val="clear" w:color="auto" w:fill="auto"/>
            <w:tcMar>
              <w:top w:w="110" w:type="dxa"/>
            </w:tcMar>
            <w:vAlign w:val="center"/>
          </w:tcPr>
          <w:p w:rsidR="00CF11D1" w:rsidRPr="00CD2DE5" w:rsidRDefault="00CF11D1" w:rsidP="00DC1333">
            <w:pPr>
              <w:keepNext/>
              <w:keepLines/>
              <w:jc w:val="center"/>
              <w:rPr>
                <w:b/>
                <w:bCs/>
                <w:sz w:val="16"/>
                <w:szCs w:val="16"/>
              </w:rPr>
            </w:pPr>
            <w:r w:rsidRPr="00CD2DE5">
              <w:rPr>
                <w:b/>
                <w:bCs/>
                <w:sz w:val="16"/>
                <w:szCs w:val="16"/>
              </w:rPr>
              <w:t>Clave de colores</w:t>
            </w:r>
          </w:p>
        </w:tc>
      </w:tr>
      <w:tr w:rsidR="00CF11D1" w:rsidRPr="00CD2DE5" w:rsidTr="00DA11AF">
        <w:tc>
          <w:tcPr>
            <w:tcW w:w="1105" w:type="pct"/>
            <w:tcBorders>
              <w:top w:val="nil"/>
              <w:left w:val="single" w:sz="4" w:space="0" w:color="auto"/>
              <w:bottom w:val="nil"/>
            </w:tcBorders>
            <w:shd w:val="clear" w:color="auto" w:fill="FFFFFF"/>
          </w:tcPr>
          <w:p w:rsidR="00CF11D1" w:rsidRPr="00CD2DE5" w:rsidRDefault="00CF11D1" w:rsidP="00DC1333">
            <w:pPr>
              <w:keepNext/>
              <w:keepLines/>
              <w:rPr>
                <w:sz w:val="16"/>
                <w:szCs w:val="16"/>
              </w:rPr>
            </w:pPr>
            <w:r w:rsidRPr="00CD2DE5">
              <w:rPr>
                <w:sz w:val="16"/>
                <w:szCs w:val="16"/>
              </w:rPr>
              <w:t>Costo unitario de tramitación de las solicitudes</w:t>
            </w:r>
          </w:p>
        </w:tc>
        <w:tc>
          <w:tcPr>
            <w:tcW w:w="1248" w:type="pct"/>
            <w:gridSpan w:val="2"/>
            <w:tcBorders>
              <w:top w:val="nil"/>
              <w:bottom w:val="nil"/>
            </w:tcBorders>
            <w:shd w:val="clear" w:color="auto" w:fill="auto"/>
          </w:tcPr>
          <w:p w:rsidR="00CF11D1" w:rsidRPr="00CD2DE5" w:rsidRDefault="00CF11D1" w:rsidP="00DC1333">
            <w:pPr>
              <w:pStyle w:val="Default"/>
              <w:rPr>
                <w:color w:val="002060"/>
                <w:sz w:val="16"/>
                <w:szCs w:val="16"/>
                <w:lang w:val="es-ES"/>
              </w:rPr>
            </w:pPr>
            <w:r w:rsidRPr="00CD2DE5">
              <w:rPr>
                <w:i/>
                <w:color w:val="002060"/>
                <w:sz w:val="16"/>
                <w:szCs w:val="16"/>
                <w:lang w:val="es-ES"/>
              </w:rPr>
              <w:t>Referencia actualizada a fines de 2013:</w:t>
            </w:r>
            <w:r w:rsidRPr="00CD2DE5">
              <w:rPr>
                <w:color w:val="002060"/>
                <w:sz w:val="16"/>
                <w:szCs w:val="16"/>
                <w:lang w:val="es-ES"/>
              </w:rPr>
              <w:t xml:space="preserve">  722 francos suizos (2013)</w:t>
            </w:r>
          </w:p>
          <w:p w:rsidR="00CF11D1" w:rsidRPr="00CD2DE5" w:rsidRDefault="00CF11D1" w:rsidP="00DC1333">
            <w:pPr>
              <w:pStyle w:val="Default"/>
              <w:rPr>
                <w:color w:val="002060"/>
                <w:sz w:val="16"/>
                <w:szCs w:val="16"/>
                <w:lang w:val="es-ES"/>
              </w:rPr>
            </w:pPr>
          </w:p>
          <w:p w:rsidR="00CF11D1" w:rsidRPr="00CD2DE5" w:rsidRDefault="00CF11D1" w:rsidP="00DC1333">
            <w:pPr>
              <w:rPr>
                <w:sz w:val="16"/>
                <w:szCs w:val="16"/>
              </w:rPr>
            </w:pPr>
            <w:r w:rsidRPr="00CD2DE5">
              <w:rPr>
                <w:i/>
                <w:sz w:val="16"/>
                <w:szCs w:val="16"/>
              </w:rPr>
              <w:t xml:space="preserve">Referencia original en el presupuesto de 2014/15:  </w:t>
            </w:r>
            <w:r w:rsidRPr="00CD2DE5">
              <w:rPr>
                <w:sz w:val="16"/>
                <w:szCs w:val="16"/>
              </w:rPr>
              <w:t>Costo unitario en 2013</w:t>
            </w:r>
          </w:p>
        </w:tc>
        <w:tc>
          <w:tcPr>
            <w:tcW w:w="736" w:type="pct"/>
            <w:tcBorders>
              <w:top w:val="nil"/>
              <w:bottom w:val="nil"/>
            </w:tcBorders>
            <w:shd w:val="clear" w:color="auto" w:fill="auto"/>
            <w:tcMar>
              <w:top w:w="110" w:type="dxa"/>
            </w:tcMar>
          </w:tcPr>
          <w:p w:rsidR="00CF11D1" w:rsidRPr="00CD2DE5" w:rsidRDefault="00CF11D1" w:rsidP="00DC1333">
            <w:pPr>
              <w:keepNext/>
              <w:keepLines/>
              <w:autoSpaceDE w:val="0"/>
              <w:autoSpaceDN w:val="0"/>
              <w:adjustRightInd w:val="0"/>
              <w:rPr>
                <w:sz w:val="16"/>
                <w:szCs w:val="16"/>
              </w:rPr>
            </w:pPr>
            <w:r w:rsidRPr="00CD2DE5">
              <w:rPr>
                <w:sz w:val="16"/>
                <w:szCs w:val="16"/>
              </w:rPr>
              <w:t>Menor costo unitario</w:t>
            </w:r>
          </w:p>
        </w:tc>
        <w:tc>
          <w:tcPr>
            <w:tcW w:w="1176" w:type="pct"/>
            <w:gridSpan w:val="2"/>
            <w:tcBorders>
              <w:top w:val="nil"/>
              <w:bottom w:val="nil"/>
            </w:tcBorders>
            <w:shd w:val="clear" w:color="auto" w:fill="FFFFFF"/>
            <w:tcMar>
              <w:top w:w="110" w:type="dxa"/>
            </w:tcMar>
          </w:tcPr>
          <w:p w:rsidR="00CF11D1" w:rsidRPr="00CD2DE5" w:rsidRDefault="00CF11D1" w:rsidP="00DC1333">
            <w:pPr>
              <w:keepNext/>
              <w:keepLines/>
              <w:rPr>
                <w:sz w:val="16"/>
                <w:szCs w:val="16"/>
                <w:lang w:bidi="th-TH"/>
              </w:rPr>
            </w:pPr>
            <w:r w:rsidRPr="00CD2DE5">
              <w:rPr>
                <w:sz w:val="16"/>
                <w:szCs w:val="16"/>
                <w:lang w:bidi="th-TH"/>
              </w:rPr>
              <w:t>662 francos suizos en 2014</w:t>
            </w:r>
          </w:p>
          <w:p w:rsidR="00CF11D1" w:rsidRPr="00CD2DE5" w:rsidRDefault="00CF11D1" w:rsidP="00DC1333">
            <w:pPr>
              <w:keepNext/>
              <w:keepLines/>
              <w:rPr>
                <w:sz w:val="16"/>
                <w:szCs w:val="16"/>
                <w:lang w:bidi="th-TH"/>
              </w:rPr>
            </w:pPr>
          </w:p>
          <w:p w:rsidR="00CF11D1" w:rsidRPr="00CD2DE5" w:rsidRDefault="00CF11D1" w:rsidP="00DC1333">
            <w:pPr>
              <w:keepNext/>
              <w:keepLines/>
              <w:rPr>
                <w:sz w:val="16"/>
                <w:szCs w:val="16"/>
                <w:lang w:bidi="th-TH"/>
              </w:rPr>
            </w:pPr>
            <w:r w:rsidRPr="00CD2DE5">
              <w:rPr>
                <w:sz w:val="16"/>
                <w:szCs w:val="16"/>
                <w:lang w:bidi="th-TH"/>
              </w:rPr>
              <w:t>735 francos suizos en 2015</w:t>
            </w:r>
            <w:r w:rsidRPr="00CD2DE5">
              <w:rPr>
                <w:rStyle w:val="FootnoteReference"/>
                <w:sz w:val="16"/>
                <w:szCs w:val="16"/>
                <w:lang w:bidi="th-TH"/>
              </w:rPr>
              <w:footnoteReference w:id="19"/>
            </w:r>
          </w:p>
          <w:p w:rsidR="00CF11D1" w:rsidRPr="00CD2DE5" w:rsidRDefault="00CF11D1" w:rsidP="00DC1333">
            <w:pPr>
              <w:keepNext/>
              <w:keepLines/>
              <w:rPr>
                <w:sz w:val="16"/>
                <w:szCs w:val="16"/>
                <w:lang w:bidi="th-TH"/>
              </w:rPr>
            </w:pPr>
          </w:p>
          <w:p w:rsidR="00CF11D1" w:rsidRPr="00CD2DE5" w:rsidRDefault="00CF11D1" w:rsidP="00DC1333">
            <w:pPr>
              <w:keepNext/>
              <w:keepLines/>
              <w:rPr>
                <w:sz w:val="16"/>
                <w:szCs w:val="16"/>
                <w:lang w:bidi="th-TH"/>
              </w:rPr>
            </w:pPr>
            <w:r w:rsidRPr="00CD2DE5">
              <w:rPr>
                <w:sz w:val="16"/>
                <w:szCs w:val="16"/>
                <w:lang w:bidi="th-TH"/>
              </w:rPr>
              <w:t>Promedio de 698 francos suizos en el bienio 2014/15, un 2,7% por debajo del promedio de 717 francos suizos en el bienio 2012/13</w:t>
            </w:r>
          </w:p>
          <w:p w:rsidR="00CF11D1" w:rsidRPr="00CD2DE5" w:rsidRDefault="00CF11D1" w:rsidP="00DC1333">
            <w:pPr>
              <w:keepNext/>
              <w:keepLines/>
              <w:rPr>
                <w:sz w:val="16"/>
                <w:szCs w:val="16"/>
                <w:lang w:bidi="th-TH"/>
              </w:rPr>
            </w:pPr>
          </w:p>
        </w:tc>
        <w:tc>
          <w:tcPr>
            <w:tcW w:w="735" w:type="pct"/>
            <w:gridSpan w:val="2"/>
            <w:tcBorders>
              <w:top w:val="nil"/>
              <w:bottom w:val="nil"/>
              <w:right w:val="single" w:sz="4" w:space="0" w:color="auto"/>
            </w:tcBorders>
            <w:shd w:val="clear" w:color="auto" w:fill="auto"/>
            <w:tcMar>
              <w:top w:w="110" w:type="dxa"/>
            </w:tcMar>
          </w:tcPr>
          <w:p w:rsidR="00CF11D1" w:rsidRPr="00CD2DE5" w:rsidRDefault="00CF11D1" w:rsidP="00DC1333">
            <w:pPr>
              <w:keepNext/>
              <w:keepLines/>
              <w:ind w:left="-109"/>
              <w:jc w:val="center"/>
              <w:rPr>
                <w:b/>
                <w:bCs/>
                <w:color w:val="00B050"/>
                <w:sz w:val="16"/>
                <w:szCs w:val="16"/>
              </w:rPr>
            </w:pPr>
            <w:r w:rsidRPr="00CD2DE5">
              <w:rPr>
                <w:b/>
                <w:bCs/>
                <w:color w:val="00B050"/>
                <w:sz w:val="16"/>
                <w:szCs w:val="16"/>
              </w:rPr>
              <w:t>Plenamente logrado</w:t>
            </w:r>
          </w:p>
          <w:p w:rsidR="00CF11D1" w:rsidRPr="00CD2DE5" w:rsidRDefault="00CF11D1" w:rsidP="00DC1333">
            <w:pPr>
              <w:keepNext/>
              <w:keepLines/>
              <w:ind w:left="-109"/>
              <w:jc w:val="center"/>
              <w:rPr>
                <w:b/>
                <w:bCs/>
                <w:color w:val="00B050"/>
                <w:sz w:val="16"/>
                <w:szCs w:val="16"/>
              </w:rPr>
            </w:pPr>
          </w:p>
          <w:p w:rsidR="00CF11D1" w:rsidRPr="00CD2DE5" w:rsidRDefault="00CF11D1" w:rsidP="00DC1333">
            <w:pPr>
              <w:keepNext/>
              <w:keepLines/>
              <w:ind w:left="-109"/>
              <w:jc w:val="center"/>
              <w:rPr>
                <w:b/>
                <w:color w:val="FF0000"/>
                <w:sz w:val="16"/>
                <w:szCs w:val="16"/>
              </w:rPr>
            </w:pPr>
            <w:r w:rsidRPr="00CD2DE5">
              <w:rPr>
                <w:b/>
                <w:color w:val="FF0000"/>
                <w:sz w:val="16"/>
                <w:szCs w:val="16"/>
              </w:rPr>
              <w:t>No logrado</w:t>
            </w:r>
          </w:p>
          <w:p w:rsidR="00CF11D1" w:rsidRPr="00CD2DE5" w:rsidRDefault="00CF11D1" w:rsidP="00DC1333">
            <w:pPr>
              <w:keepNext/>
              <w:keepLines/>
              <w:ind w:left="-109"/>
              <w:jc w:val="center"/>
              <w:rPr>
                <w:b/>
                <w:color w:val="FF0000"/>
                <w:sz w:val="16"/>
                <w:szCs w:val="16"/>
              </w:rPr>
            </w:pPr>
          </w:p>
          <w:p w:rsidR="00CF11D1" w:rsidRPr="00CD2DE5" w:rsidRDefault="00CF11D1" w:rsidP="00DC1333">
            <w:pPr>
              <w:keepNext/>
              <w:keepLines/>
              <w:ind w:left="-109"/>
              <w:jc w:val="center"/>
              <w:rPr>
                <w:b/>
                <w:color w:val="FF0000"/>
                <w:sz w:val="16"/>
                <w:szCs w:val="16"/>
              </w:rPr>
            </w:pPr>
          </w:p>
          <w:p w:rsidR="00CF11D1" w:rsidRPr="00CD2DE5" w:rsidRDefault="00CF11D1" w:rsidP="00DC1333">
            <w:pPr>
              <w:keepNext/>
              <w:keepLines/>
              <w:ind w:left="-109"/>
              <w:jc w:val="center"/>
              <w:rPr>
                <w:b/>
                <w:bCs/>
                <w:color w:val="00B050"/>
                <w:sz w:val="16"/>
                <w:szCs w:val="16"/>
              </w:rPr>
            </w:pPr>
            <w:r w:rsidRPr="00CD2DE5">
              <w:rPr>
                <w:b/>
                <w:bCs/>
                <w:color w:val="00B050"/>
                <w:sz w:val="16"/>
                <w:szCs w:val="16"/>
              </w:rPr>
              <w:t>Plenamente logrado</w:t>
            </w:r>
          </w:p>
          <w:p w:rsidR="00CF11D1" w:rsidRPr="00CD2DE5" w:rsidRDefault="00CF11D1" w:rsidP="00DC1333">
            <w:pPr>
              <w:keepNext/>
              <w:keepLines/>
              <w:ind w:left="-109"/>
              <w:jc w:val="center"/>
              <w:rPr>
                <w:b/>
                <w:bCs/>
                <w:color w:val="00B050"/>
                <w:sz w:val="16"/>
                <w:szCs w:val="16"/>
              </w:rPr>
            </w:pPr>
          </w:p>
        </w:tc>
      </w:tr>
      <w:tr w:rsidR="00CF11D1" w:rsidRPr="00CD2DE5" w:rsidTr="00DA11AF">
        <w:tc>
          <w:tcPr>
            <w:tcW w:w="1105" w:type="pct"/>
            <w:tcBorders>
              <w:top w:val="nil"/>
              <w:left w:val="single" w:sz="4" w:space="0" w:color="auto"/>
              <w:bottom w:val="nil"/>
            </w:tcBorders>
            <w:shd w:val="clear" w:color="auto" w:fill="FFFFFF"/>
          </w:tcPr>
          <w:p w:rsidR="00CF11D1" w:rsidRPr="00CD2DE5" w:rsidRDefault="00CF11D1" w:rsidP="00DC1333">
            <w:pPr>
              <w:rPr>
                <w:sz w:val="16"/>
                <w:szCs w:val="16"/>
              </w:rPr>
            </w:pPr>
            <w:r w:rsidRPr="00CD2DE5">
              <w:rPr>
                <w:sz w:val="16"/>
                <w:szCs w:val="16"/>
              </w:rPr>
              <w:t>Calidad global del examen de forma (incluido el tiempo empleado)</w:t>
            </w:r>
          </w:p>
        </w:tc>
        <w:tc>
          <w:tcPr>
            <w:tcW w:w="1248" w:type="pct"/>
            <w:gridSpan w:val="2"/>
            <w:tcBorders>
              <w:top w:val="nil"/>
              <w:bottom w:val="nil"/>
            </w:tcBorders>
            <w:shd w:val="clear" w:color="auto" w:fill="auto"/>
          </w:tcPr>
          <w:p w:rsidR="00CF11D1" w:rsidRPr="00CD2DE5" w:rsidRDefault="00CF11D1" w:rsidP="00DC1333">
            <w:pPr>
              <w:pStyle w:val="Default"/>
              <w:rPr>
                <w:color w:val="002060"/>
                <w:sz w:val="16"/>
                <w:szCs w:val="16"/>
                <w:lang w:val="es-ES"/>
              </w:rPr>
            </w:pPr>
            <w:r w:rsidRPr="00CD2DE5">
              <w:rPr>
                <w:i/>
                <w:color w:val="002060"/>
                <w:sz w:val="16"/>
                <w:szCs w:val="16"/>
                <w:lang w:val="es-ES"/>
              </w:rPr>
              <w:t>Referencia actualizada a fines de 2013:</w:t>
            </w:r>
            <w:r w:rsidRPr="00CD2DE5">
              <w:rPr>
                <w:color w:val="002060"/>
                <w:sz w:val="16"/>
                <w:szCs w:val="16"/>
                <w:lang w:val="es-ES"/>
              </w:rPr>
              <w:t xml:space="preserve">  88,74% (promedio 2011-13)</w:t>
            </w:r>
          </w:p>
          <w:p w:rsidR="00CF11D1" w:rsidRPr="00CD2DE5" w:rsidRDefault="00CF11D1" w:rsidP="00DC1333">
            <w:pPr>
              <w:pStyle w:val="Default"/>
              <w:rPr>
                <w:color w:val="002060"/>
                <w:sz w:val="16"/>
                <w:szCs w:val="16"/>
                <w:lang w:val="es-ES"/>
              </w:rPr>
            </w:pPr>
          </w:p>
          <w:p w:rsidR="00CF11D1" w:rsidRPr="00CD2DE5" w:rsidRDefault="00CF11D1" w:rsidP="00DC1333">
            <w:pPr>
              <w:pStyle w:val="Default"/>
              <w:rPr>
                <w:i/>
                <w:color w:val="auto"/>
                <w:sz w:val="16"/>
                <w:szCs w:val="16"/>
                <w:lang w:val="es-ES"/>
              </w:rPr>
            </w:pPr>
            <w:r w:rsidRPr="00CD2DE5">
              <w:rPr>
                <w:i/>
                <w:color w:val="auto"/>
                <w:sz w:val="16"/>
                <w:szCs w:val="16"/>
                <w:lang w:val="es-ES"/>
              </w:rPr>
              <w:t>Referencia original en el presupuesto de 2014/15:</w:t>
            </w:r>
            <w:r w:rsidRPr="00CD2DE5">
              <w:rPr>
                <w:color w:val="auto"/>
                <w:sz w:val="16"/>
                <w:szCs w:val="16"/>
                <w:lang w:val="es-ES"/>
              </w:rPr>
              <w:t xml:space="preserve"> Promedio de los últimos 3 años</w:t>
            </w:r>
          </w:p>
        </w:tc>
        <w:tc>
          <w:tcPr>
            <w:tcW w:w="736" w:type="pct"/>
            <w:tcBorders>
              <w:top w:val="nil"/>
              <w:bottom w:val="nil"/>
            </w:tcBorders>
            <w:shd w:val="clear" w:color="auto" w:fill="auto"/>
            <w:tcMar>
              <w:top w:w="110" w:type="dxa"/>
            </w:tcMar>
          </w:tcPr>
          <w:p w:rsidR="00CF11D1" w:rsidRPr="00CD2DE5" w:rsidRDefault="00CF11D1" w:rsidP="00DC1333">
            <w:pPr>
              <w:autoSpaceDE w:val="0"/>
              <w:autoSpaceDN w:val="0"/>
              <w:adjustRightInd w:val="0"/>
              <w:rPr>
                <w:sz w:val="16"/>
                <w:szCs w:val="16"/>
              </w:rPr>
            </w:pPr>
            <w:r w:rsidRPr="00CD2DE5">
              <w:rPr>
                <w:sz w:val="16"/>
                <w:szCs w:val="16"/>
              </w:rPr>
              <w:t>Mayor calidad</w:t>
            </w:r>
          </w:p>
        </w:tc>
        <w:tc>
          <w:tcPr>
            <w:tcW w:w="1176" w:type="pct"/>
            <w:gridSpan w:val="2"/>
            <w:tcBorders>
              <w:top w:val="nil"/>
              <w:bottom w:val="nil"/>
            </w:tcBorders>
            <w:shd w:val="clear" w:color="auto" w:fill="FFFFFF"/>
            <w:tcMar>
              <w:top w:w="110" w:type="dxa"/>
            </w:tcMar>
          </w:tcPr>
          <w:p w:rsidR="00CF11D1" w:rsidRPr="00CD2DE5" w:rsidRDefault="00CF11D1" w:rsidP="00DC1333">
            <w:pPr>
              <w:rPr>
                <w:sz w:val="16"/>
                <w:szCs w:val="16"/>
              </w:rPr>
            </w:pPr>
            <w:r w:rsidRPr="00CD2DE5">
              <w:rPr>
                <w:sz w:val="16"/>
                <w:szCs w:val="16"/>
              </w:rPr>
              <w:t>89,60% (2012-2014)</w:t>
            </w:r>
          </w:p>
          <w:p w:rsidR="00CF11D1" w:rsidRPr="00CD2DE5" w:rsidRDefault="00CF11D1" w:rsidP="00DC1333">
            <w:pPr>
              <w:rPr>
                <w:sz w:val="16"/>
                <w:szCs w:val="16"/>
              </w:rPr>
            </w:pPr>
            <w:r w:rsidRPr="00CD2DE5">
              <w:rPr>
                <w:sz w:val="16"/>
                <w:szCs w:val="16"/>
              </w:rPr>
              <w:t>91,13% (2013-2015)</w:t>
            </w:r>
          </w:p>
        </w:tc>
        <w:tc>
          <w:tcPr>
            <w:tcW w:w="735" w:type="pct"/>
            <w:gridSpan w:val="2"/>
            <w:tcBorders>
              <w:top w:val="nil"/>
              <w:bottom w:val="nil"/>
              <w:right w:val="single" w:sz="4" w:space="0" w:color="auto"/>
            </w:tcBorders>
            <w:shd w:val="clear" w:color="auto" w:fill="auto"/>
            <w:tcMar>
              <w:top w:w="110" w:type="dxa"/>
            </w:tcMar>
          </w:tcPr>
          <w:p w:rsidR="00CF11D1" w:rsidRPr="00CD2DE5" w:rsidRDefault="00CF11D1" w:rsidP="00DC1333">
            <w:pPr>
              <w:keepNext/>
              <w:keepLines/>
              <w:ind w:left="-109"/>
              <w:jc w:val="center"/>
              <w:rPr>
                <w:b/>
                <w:bCs/>
                <w:color w:val="00B050"/>
                <w:sz w:val="16"/>
                <w:szCs w:val="16"/>
              </w:rPr>
            </w:pPr>
            <w:r w:rsidRPr="00CD2DE5">
              <w:rPr>
                <w:b/>
                <w:bCs/>
                <w:color w:val="00B050"/>
                <w:sz w:val="16"/>
                <w:szCs w:val="16"/>
              </w:rPr>
              <w:t>Plenamente logrado</w:t>
            </w:r>
          </w:p>
        </w:tc>
      </w:tr>
      <w:tr w:rsidR="00CF11D1" w:rsidRPr="00CD2DE5" w:rsidTr="00DA11AF">
        <w:tc>
          <w:tcPr>
            <w:tcW w:w="1105" w:type="pct"/>
            <w:tcBorders>
              <w:top w:val="nil"/>
              <w:left w:val="single" w:sz="4" w:space="0" w:color="auto"/>
              <w:bottom w:val="nil"/>
            </w:tcBorders>
            <w:shd w:val="clear" w:color="auto" w:fill="FFFFFF"/>
          </w:tcPr>
          <w:p w:rsidR="00CF11D1" w:rsidRPr="00CD2DE5" w:rsidRDefault="00CF11D1" w:rsidP="00DC1333">
            <w:pPr>
              <w:rPr>
                <w:sz w:val="16"/>
                <w:szCs w:val="16"/>
              </w:rPr>
            </w:pPr>
            <w:r w:rsidRPr="00CD2DE5">
              <w:rPr>
                <w:sz w:val="16"/>
                <w:szCs w:val="16"/>
              </w:rPr>
              <w:t>Calidad de las traducciones</w:t>
            </w:r>
          </w:p>
        </w:tc>
        <w:tc>
          <w:tcPr>
            <w:tcW w:w="1248" w:type="pct"/>
            <w:gridSpan w:val="2"/>
            <w:tcBorders>
              <w:top w:val="nil"/>
              <w:bottom w:val="nil"/>
            </w:tcBorders>
            <w:shd w:val="clear" w:color="auto" w:fill="auto"/>
          </w:tcPr>
          <w:p w:rsidR="00CF11D1" w:rsidRPr="00CD2DE5" w:rsidRDefault="00CF11D1" w:rsidP="00DC1333">
            <w:pPr>
              <w:rPr>
                <w:rFonts w:eastAsia="Batang"/>
                <w:color w:val="002060"/>
                <w:sz w:val="16"/>
                <w:szCs w:val="16"/>
                <w:lang w:eastAsia="ja-JP"/>
              </w:rPr>
            </w:pPr>
            <w:r w:rsidRPr="00CD2DE5">
              <w:rPr>
                <w:rFonts w:eastAsia="Batang"/>
                <w:i/>
                <w:color w:val="002060"/>
                <w:sz w:val="16"/>
                <w:szCs w:val="16"/>
                <w:lang w:eastAsia="ja-JP"/>
              </w:rPr>
              <w:t>Referencia actu</w:t>
            </w:r>
            <w:r>
              <w:rPr>
                <w:rFonts w:eastAsia="Batang"/>
                <w:i/>
                <w:color w:val="002060"/>
                <w:sz w:val="16"/>
                <w:szCs w:val="16"/>
                <w:lang w:eastAsia="ja-JP"/>
              </w:rPr>
              <w:t xml:space="preserve">alizada a fines de 2013:  86,23% </w:t>
            </w:r>
            <w:r w:rsidRPr="00CD2DE5">
              <w:rPr>
                <w:rFonts w:eastAsia="Batang"/>
                <w:i/>
                <w:color w:val="002060"/>
                <w:sz w:val="16"/>
                <w:szCs w:val="16"/>
                <w:lang w:eastAsia="ja-JP"/>
              </w:rPr>
              <w:t>(2011-2013</w:t>
            </w:r>
            <w:r w:rsidRPr="00CD2DE5">
              <w:rPr>
                <w:rFonts w:eastAsia="Batang"/>
                <w:color w:val="002060"/>
                <w:sz w:val="16"/>
                <w:szCs w:val="16"/>
                <w:lang w:eastAsia="ja-JP"/>
              </w:rPr>
              <w:t>)</w:t>
            </w:r>
          </w:p>
          <w:p w:rsidR="00CF11D1" w:rsidRPr="00CD2DE5" w:rsidRDefault="00CF11D1" w:rsidP="00DC1333">
            <w:pPr>
              <w:rPr>
                <w:rFonts w:eastAsia="Batang"/>
                <w:color w:val="002060"/>
                <w:sz w:val="16"/>
                <w:szCs w:val="16"/>
                <w:lang w:eastAsia="ja-JP"/>
              </w:rPr>
            </w:pPr>
          </w:p>
          <w:p w:rsidR="00CF11D1" w:rsidRPr="00CD2DE5" w:rsidRDefault="00CF11D1" w:rsidP="00DC1333">
            <w:pPr>
              <w:pStyle w:val="Default"/>
              <w:rPr>
                <w:i/>
                <w:color w:val="auto"/>
                <w:sz w:val="16"/>
                <w:szCs w:val="16"/>
                <w:lang w:val="es-ES"/>
              </w:rPr>
            </w:pPr>
            <w:r w:rsidRPr="00CD2DE5">
              <w:rPr>
                <w:i/>
                <w:color w:val="auto"/>
                <w:sz w:val="16"/>
                <w:szCs w:val="16"/>
                <w:lang w:val="es-ES"/>
              </w:rPr>
              <w:t>Referencia original en el presupuesto de 2014/15:</w:t>
            </w:r>
            <w:r w:rsidRPr="00CD2DE5">
              <w:rPr>
                <w:color w:val="auto"/>
                <w:sz w:val="16"/>
                <w:szCs w:val="16"/>
                <w:lang w:val="es-ES"/>
              </w:rPr>
              <w:t xml:space="preserve"> </w:t>
            </w:r>
            <w:r>
              <w:rPr>
                <w:color w:val="auto"/>
                <w:sz w:val="16"/>
                <w:szCs w:val="16"/>
                <w:lang w:val="es-ES"/>
              </w:rPr>
              <w:t xml:space="preserve"> </w:t>
            </w:r>
            <w:r w:rsidRPr="00CD2DE5">
              <w:rPr>
                <w:color w:val="auto"/>
                <w:sz w:val="16"/>
                <w:szCs w:val="16"/>
                <w:lang w:val="es-ES"/>
              </w:rPr>
              <w:t>Promedio de los últimos 3 años</w:t>
            </w:r>
          </w:p>
        </w:tc>
        <w:tc>
          <w:tcPr>
            <w:tcW w:w="736" w:type="pct"/>
            <w:tcBorders>
              <w:top w:val="nil"/>
              <w:bottom w:val="nil"/>
            </w:tcBorders>
            <w:shd w:val="clear" w:color="auto" w:fill="auto"/>
            <w:tcMar>
              <w:top w:w="110" w:type="dxa"/>
            </w:tcMar>
          </w:tcPr>
          <w:p w:rsidR="00CF11D1" w:rsidRPr="00CD2DE5" w:rsidRDefault="00CF11D1" w:rsidP="00DC1333">
            <w:pPr>
              <w:autoSpaceDE w:val="0"/>
              <w:autoSpaceDN w:val="0"/>
              <w:adjustRightInd w:val="0"/>
              <w:rPr>
                <w:sz w:val="16"/>
                <w:szCs w:val="16"/>
              </w:rPr>
            </w:pPr>
            <w:r w:rsidRPr="00CD2DE5">
              <w:rPr>
                <w:sz w:val="16"/>
                <w:szCs w:val="16"/>
              </w:rPr>
              <w:t>Mayor calidad</w:t>
            </w:r>
          </w:p>
        </w:tc>
        <w:tc>
          <w:tcPr>
            <w:tcW w:w="1176" w:type="pct"/>
            <w:gridSpan w:val="2"/>
            <w:tcBorders>
              <w:top w:val="nil"/>
              <w:bottom w:val="nil"/>
            </w:tcBorders>
            <w:shd w:val="clear" w:color="auto" w:fill="FFFFFF"/>
            <w:tcMar>
              <w:top w:w="110" w:type="dxa"/>
            </w:tcMar>
          </w:tcPr>
          <w:p w:rsidR="00CF11D1" w:rsidRPr="00CD2DE5" w:rsidRDefault="00CF11D1" w:rsidP="00DC1333">
            <w:pPr>
              <w:rPr>
                <w:sz w:val="16"/>
                <w:szCs w:val="16"/>
              </w:rPr>
            </w:pPr>
            <w:r w:rsidRPr="00CD2DE5">
              <w:rPr>
                <w:sz w:val="16"/>
                <w:szCs w:val="16"/>
              </w:rPr>
              <w:t>86,77% (2012-2014)</w:t>
            </w:r>
          </w:p>
          <w:p w:rsidR="00CF11D1" w:rsidRPr="00CD2DE5" w:rsidRDefault="00CF11D1" w:rsidP="00DC1333">
            <w:pPr>
              <w:rPr>
                <w:sz w:val="16"/>
                <w:szCs w:val="16"/>
              </w:rPr>
            </w:pPr>
            <w:r w:rsidRPr="00CD2DE5">
              <w:rPr>
                <w:sz w:val="16"/>
                <w:szCs w:val="16"/>
              </w:rPr>
              <w:t>86,90% (2013-2015)</w:t>
            </w:r>
          </w:p>
        </w:tc>
        <w:tc>
          <w:tcPr>
            <w:tcW w:w="735" w:type="pct"/>
            <w:gridSpan w:val="2"/>
            <w:tcBorders>
              <w:top w:val="nil"/>
              <w:bottom w:val="nil"/>
              <w:right w:val="single" w:sz="4" w:space="0" w:color="auto"/>
            </w:tcBorders>
            <w:shd w:val="clear" w:color="auto" w:fill="auto"/>
            <w:tcMar>
              <w:top w:w="110" w:type="dxa"/>
            </w:tcMar>
          </w:tcPr>
          <w:p w:rsidR="00CF11D1" w:rsidRPr="00CD2DE5" w:rsidRDefault="00CF11D1" w:rsidP="00DC1333">
            <w:pPr>
              <w:keepNext/>
              <w:keepLines/>
              <w:ind w:left="-109"/>
              <w:jc w:val="center"/>
              <w:rPr>
                <w:b/>
                <w:bCs/>
                <w:color w:val="00B050"/>
                <w:sz w:val="16"/>
                <w:szCs w:val="16"/>
              </w:rPr>
            </w:pPr>
            <w:r w:rsidRPr="00CD2DE5">
              <w:rPr>
                <w:b/>
                <w:bCs/>
                <w:color w:val="00B050"/>
                <w:sz w:val="16"/>
                <w:szCs w:val="16"/>
              </w:rPr>
              <w:t>Plenamente logrado</w:t>
            </w:r>
          </w:p>
        </w:tc>
      </w:tr>
      <w:tr w:rsidR="00CF11D1" w:rsidRPr="00CD2DE5" w:rsidTr="00DA11AF">
        <w:tc>
          <w:tcPr>
            <w:tcW w:w="1105" w:type="pct"/>
            <w:tcBorders>
              <w:top w:val="nil"/>
              <w:left w:val="single" w:sz="4" w:space="0" w:color="auto"/>
              <w:bottom w:val="nil"/>
            </w:tcBorders>
            <w:shd w:val="clear" w:color="auto" w:fill="FFFFFF"/>
          </w:tcPr>
          <w:p w:rsidR="00CF11D1" w:rsidRPr="00CD2DE5" w:rsidRDefault="00CF11D1" w:rsidP="00DC1333">
            <w:pPr>
              <w:rPr>
                <w:sz w:val="16"/>
                <w:szCs w:val="16"/>
              </w:rPr>
            </w:pPr>
            <w:r w:rsidRPr="00CD2DE5">
              <w:rPr>
                <w:sz w:val="16"/>
                <w:szCs w:val="16"/>
              </w:rPr>
              <w:t>Plazos de traducción de los informes</w:t>
            </w:r>
          </w:p>
        </w:tc>
        <w:tc>
          <w:tcPr>
            <w:tcW w:w="1248" w:type="pct"/>
            <w:gridSpan w:val="2"/>
            <w:tcBorders>
              <w:top w:val="nil"/>
              <w:bottom w:val="nil"/>
            </w:tcBorders>
            <w:shd w:val="clear" w:color="auto" w:fill="auto"/>
          </w:tcPr>
          <w:p w:rsidR="00CF11D1" w:rsidRPr="00CD2DE5" w:rsidRDefault="00CF11D1" w:rsidP="00DC1333">
            <w:pPr>
              <w:pStyle w:val="Default"/>
              <w:rPr>
                <w:color w:val="002060"/>
                <w:sz w:val="16"/>
                <w:szCs w:val="16"/>
                <w:lang w:val="es-ES"/>
              </w:rPr>
            </w:pPr>
            <w:r w:rsidRPr="00CD2DE5">
              <w:rPr>
                <w:i/>
                <w:color w:val="002060"/>
                <w:sz w:val="16"/>
                <w:szCs w:val="16"/>
                <w:lang w:val="es-ES"/>
              </w:rPr>
              <w:t>Referencia actualizada a fines de 2013:</w:t>
            </w:r>
            <w:r w:rsidRPr="00CD2DE5">
              <w:rPr>
                <w:color w:val="002060"/>
                <w:sz w:val="16"/>
                <w:szCs w:val="16"/>
                <w:lang w:val="es-ES"/>
              </w:rPr>
              <w:t xml:space="preserve">  64% a tiempo (2013)</w:t>
            </w:r>
          </w:p>
          <w:p w:rsidR="00CF11D1" w:rsidRPr="00CD2DE5" w:rsidRDefault="00CF11D1" w:rsidP="00DC1333">
            <w:pPr>
              <w:pStyle w:val="Default"/>
              <w:rPr>
                <w:color w:val="002060"/>
                <w:sz w:val="16"/>
                <w:szCs w:val="16"/>
                <w:lang w:val="es-ES"/>
              </w:rPr>
            </w:pPr>
          </w:p>
          <w:p w:rsidR="00CF11D1" w:rsidRPr="00CD2DE5" w:rsidRDefault="00CF11D1" w:rsidP="00DC1333">
            <w:pPr>
              <w:rPr>
                <w:sz w:val="16"/>
                <w:szCs w:val="16"/>
              </w:rPr>
            </w:pPr>
            <w:r w:rsidRPr="00CD2DE5">
              <w:rPr>
                <w:i/>
                <w:sz w:val="16"/>
                <w:szCs w:val="16"/>
              </w:rPr>
              <w:t>Referencia original en el presupuesto de 2014/15:</w:t>
            </w:r>
            <w:r w:rsidRPr="00CD2DE5">
              <w:rPr>
                <w:sz w:val="16"/>
                <w:szCs w:val="16"/>
              </w:rPr>
              <w:t xml:space="preserve">  Plazos de 2013</w:t>
            </w:r>
          </w:p>
        </w:tc>
        <w:tc>
          <w:tcPr>
            <w:tcW w:w="736" w:type="pct"/>
            <w:tcBorders>
              <w:top w:val="nil"/>
              <w:bottom w:val="nil"/>
            </w:tcBorders>
            <w:shd w:val="clear" w:color="auto" w:fill="auto"/>
            <w:tcMar>
              <w:top w:w="110" w:type="dxa"/>
            </w:tcMar>
          </w:tcPr>
          <w:p w:rsidR="00CF11D1" w:rsidRPr="00CD2DE5" w:rsidRDefault="00CF11D1" w:rsidP="00DC1333">
            <w:pPr>
              <w:autoSpaceDE w:val="0"/>
              <w:autoSpaceDN w:val="0"/>
              <w:adjustRightInd w:val="0"/>
              <w:rPr>
                <w:sz w:val="16"/>
                <w:szCs w:val="16"/>
              </w:rPr>
            </w:pPr>
            <w:r w:rsidRPr="00CD2DE5">
              <w:rPr>
                <w:sz w:val="16"/>
                <w:szCs w:val="16"/>
              </w:rPr>
              <w:t>Mejora</w:t>
            </w:r>
          </w:p>
        </w:tc>
        <w:tc>
          <w:tcPr>
            <w:tcW w:w="1176" w:type="pct"/>
            <w:gridSpan w:val="2"/>
            <w:tcBorders>
              <w:top w:val="nil"/>
              <w:bottom w:val="nil"/>
            </w:tcBorders>
            <w:shd w:val="clear" w:color="auto" w:fill="FFFFFF"/>
            <w:tcMar>
              <w:top w:w="110" w:type="dxa"/>
            </w:tcMar>
          </w:tcPr>
          <w:p w:rsidR="00CF11D1" w:rsidRPr="00CD2DE5" w:rsidRDefault="00CF11D1" w:rsidP="00DC1333">
            <w:pPr>
              <w:rPr>
                <w:sz w:val="16"/>
                <w:szCs w:val="16"/>
              </w:rPr>
            </w:pPr>
            <w:r w:rsidRPr="00CD2DE5">
              <w:rPr>
                <w:sz w:val="16"/>
                <w:szCs w:val="16"/>
              </w:rPr>
              <w:t>82,5% (2014)</w:t>
            </w:r>
          </w:p>
          <w:p w:rsidR="00CF11D1" w:rsidRPr="00CD2DE5" w:rsidRDefault="00CF11D1" w:rsidP="00DC1333">
            <w:pPr>
              <w:rPr>
                <w:sz w:val="16"/>
                <w:szCs w:val="16"/>
              </w:rPr>
            </w:pPr>
            <w:r w:rsidRPr="00CD2DE5">
              <w:rPr>
                <w:sz w:val="16"/>
                <w:szCs w:val="16"/>
              </w:rPr>
              <w:t>90,0% (2015)</w:t>
            </w:r>
          </w:p>
        </w:tc>
        <w:tc>
          <w:tcPr>
            <w:tcW w:w="735" w:type="pct"/>
            <w:gridSpan w:val="2"/>
            <w:tcBorders>
              <w:top w:val="nil"/>
              <w:bottom w:val="nil"/>
              <w:right w:val="single" w:sz="4" w:space="0" w:color="auto"/>
            </w:tcBorders>
            <w:shd w:val="clear" w:color="auto" w:fill="auto"/>
            <w:tcMar>
              <w:top w:w="110" w:type="dxa"/>
            </w:tcMar>
          </w:tcPr>
          <w:p w:rsidR="00CF11D1" w:rsidRPr="00CD2DE5" w:rsidRDefault="00CF11D1" w:rsidP="00DC1333">
            <w:pPr>
              <w:keepNext/>
              <w:keepLines/>
              <w:ind w:left="-109"/>
              <w:jc w:val="center"/>
              <w:rPr>
                <w:b/>
                <w:bCs/>
                <w:color w:val="00B050"/>
                <w:sz w:val="16"/>
                <w:szCs w:val="16"/>
              </w:rPr>
            </w:pPr>
            <w:r w:rsidRPr="00CD2DE5">
              <w:rPr>
                <w:b/>
                <w:bCs/>
                <w:color w:val="00B050"/>
                <w:sz w:val="16"/>
                <w:szCs w:val="16"/>
              </w:rPr>
              <w:t>Plenamente logrado</w:t>
            </w:r>
          </w:p>
        </w:tc>
      </w:tr>
      <w:tr w:rsidR="00CF11D1" w:rsidRPr="00CD2DE5" w:rsidTr="00DA11AF">
        <w:tc>
          <w:tcPr>
            <w:tcW w:w="1105" w:type="pct"/>
            <w:tcBorders>
              <w:top w:val="nil"/>
              <w:left w:val="single" w:sz="4" w:space="0" w:color="auto"/>
              <w:bottom w:val="nil"/>
            </w:tcBorders>
            <w:shd w:val="clear" w:color="auto" w:fill="FFFFFF"/>
          </w:tcPr>
          <w:p w:rsidR="00CF11D1" w:rsidRPr="00CD2DE5" w:rsidRDefault="00CF11D1" w:rsidP="00DC1333">
            <w:pPr>
              <w:rPr>
                <w:sz w:val="16"/>
                <w:szCs w:val="16"/>
              </w:rPr>
            </w:pPr>
            <w:r w:rsidRPr="00CD2DE5">
              <w:rPr>
                <w:sz w:val="16"/>
                <w:szCs w:val="16"/>
              </w:rPr>
              <w:t>Calidad del desarrollo de programas informáticos</w:t>
            </w:r>
          </w:p>
        </w:tc>
        <w:tc>
          <w:tcPr>
            <w:tcW w:w="1248" w:type="pct"/>
            <w:gridSpan w:val="2"/>
            <w:tcBorders>
              <w:top w:val="nil"/>
              <w:bottom w:val="nil"/>
            </w:tcBorders>
            <w:shd w:val="clear" w:color="auto" w:fill="auto"/>
          </w:tcPr>
          <w:p w:rsidR="00CF11D1" w:rsidRPr="00CD2DE5" w:rsidRDefault="00CF11D1" w:rsidP="00DC1333">
            <w:pPr>
              <w:pStyle w:val="Default"/>
              <w:rPr>
                <w:color w:val="002060"/>
                <w:sz w:val="16"/>
                <w:szCs w:val="16"/>
                <w:lang w:val="es-ES"/>
              </w:rPr>
            </w:pPr>
            <w:r w:rsidRPr="00CD2DE5">
              <w:rPr>
                <w:i/>
                <w:color w:val="002060"/>
                <w:sz w:val="16"/>
                <w:szCs w:val="16"/>
                <w:lang w:val="es-ES"/>
              </w:rPr>
              <w:t xml:space="preserve">Referencia actualizada a fines de 2013:  </w:t>
            </w:r>
            <w:r w:rsidRPr="00CD2DE5">
              <w:rPr>
                <w:color w:val="002060"/>
                <w:sz w:val="16"/>
                <w:szCs w:val="16"/>
                <w:lang w:val="es-ES"/>
              </w:rPr>
              <w:t>89,4% (2013)</w:t>
            </w:r>
          </w:p>
          <w:p w:rsidR="00CF11D1" w:rsidRPr="00CD2DE5" w:rsidRDefault="00CF11D1" w:rsidP="00DC1333">
            <w:pPr>
              <w:pStyle w:val="Default"/>
              <w:rPr>
                <w:color w:val="002060"/>
                <w:sz w:val="16"/>
                <w:szCs w:val="16"/>
                <w:lang w:val="es-ES"/>
              </w:rPr>
            </w:pPr>
          </w:p>
          <w:p w:rsidR="00CF11D1" w:rsidRPr="00CD2DE5" w:rsidRDefault="00CF11D1" w:rsidP="00DC1333">
            <w:pPr>
              <w:rPr>
                <w:sz w:val="16"/>
                <w:szCs w:val="16"/>
              </w:rPr>
            </w:pPr>
            <w:r w:rsidRPr="00CD2DE5">
              <w:rPr>
                <w:i/>
                <w:sz w:val="16"/>
                <w:szCs w:val="16"/>
              </w:rPr>
              <w:t>Referencia original en el presupuesto de 2014/15:</w:t>
            </w:r>
            <w:r w:rsidRPr="00CD2DE5">
              <w:rPr>
                <w:sz w:val="16"/>
                <w:szCs w:val="16"/>
              </w:rPr>
              <w:t xml:space="preserve">  Calidad del desarrollo de las aplicaciones informáticas más recientes de </w:t>
            </w:r>
            <w:proofErr w:type="spellStart"/>
            <w:r w:rsidRPr="00CD2DE5">
              <w:rPr>
                <w:sz w:val="16"/>
                <w:szCs w:val="16"/>
              </w:rPr>
              <w:t>ePCT</w:t>
            </w:r>
            <w:proofErr w:type="spellEnd"/>
            <w:r w:rsidRPr="00CD2DE5">
              <w:rPr>
                <w:sz w:val="16"/>
                <w:szCs w:val="16"/>
              </w:rPr>
              <w:t xml:space="preserve"> y </w:t>
            </w:r>
            <w:proofErr w:type="spellStart"/>
            <w:r w:rsidRPr="00CD2DE5">
              <w:rPr>
                <w:sz w:val="16"/>
                <w:szCs w:val="16"/>
              </w:rPr>
              <w:t>eDossier</w:t>
            </w:r>
            <w:proofErr w:type="spellEnd"/>
            <w:r w:rsidRPr="00CD2DE5">
              <w:rPr>
                <w:sz w:val="16"/>
                <w:szCs w:val="16"/>
              </w:rPr>
              <w:t xml:space="preserve"> en 2013</w:t>
            </w:r>
          </w:p>
        </w:tc>
        <w:tc>
          <w:tcPr>
            <w:tcW w:w="736" w:type="pct"/>
            <w:tcBorders>
              <w:top w:val="nil"/>
              <w:bottom w:val="nil"/>
            </w:tcBorders>
            <w:shd w:val="clear" w:color="auto" w:fill="auto"/>
            <w:tcMar>
              <w:top w:w="110" w:type="dxa"/>
            </w:tcMar>
          </w:tcPr>
          <w:p w:rsidR="00CF11D1" w:rsidRPr="00CD2DE5" w:rsidRDefault="00CF11D1" w:rsidP="00DC1333">
            <w:pPr>
              <w:autoSpaceDE w:val="0"/>
              <w:autoSpaceDN w:val="0"/>
              <w:adjustRightInd w:val="0"/>
              <w:rPr>
                <w:sz w:val="16"/>
                <w:szCs w:val="16"/>
              </w:rPr>
            </w:pPr>
            <w:r w:rsidRPr="00CD2DE5">
              <w:rPr>
                <w:sz w:val="16"/>
                <w:szCs w:val="16"/>
              </w:rPr>
              <w:t>Mayor calidad</w:t>
            </w:r>
          </w:p>
        </w:tc>
        <w:tc>
          <w:tcPr>
            <w:tcW w:w="1176" w:type="pct"/>
            <w:gridSpan w:val="2"/>
            <w:tcBorders>
              <w:top w:val="nil"/>
              <w:bottom w:val="nil"/>
            </w:tcBorders>
            <w:shd w:val="clear" w:color="auto" w:fill="FFFFFF"/>
            <w:tcMar>
              <w:top w:w="110" w:type="dxa"/>
            </w:tcMar>
          </w:tcPr>
          <w:p w:rsidR="00CF11D1" w:rsidRPr="00CD2DE5" w:rsidRDefault="00CF11D1" w:rsidP="00DC1333">
            <w:pPr>
              <w:rPr>
                <w:sz w:val="16"/>
                <w:szCs w:val="16"/>
              </w:rPr>
            </w:pPr>
            <w:r w:rsidRPr="00CD2DE5">
              <w:rPr>
                <w:sz w:val="16"/>
                <w:szCs w:val="16"/>
              </w:rPr>
              <w:t>94,5% (2014)</w:t>
            </w:r>
          </w:p>
          <w:p w:rsidR="00CF11D1" w:rsidRPr="00CD2DE5" w:rsidRDefault="00CF11D1" w:rsidP="00DC1333">
            <w:pPr>
              <w:rPr>
                <w:sz w:val="16"/>
                <w:szCs w:val="16"/>
              </w:rPr>
            </w:pPr>
            <w:r w:rsidRPr="00CD2DE5">
              <w:rPr>
                <w:sz w:val="16"/>
                <w:szCs w:val="16"/>
              </w:rPr>
              <w:t>91,9% (2015)</w:t>
            </w:r>
          </w:p>
        </w:tc>
        <w:tc>
          <w:tcPr>
            <w:tcW w:w="735" w:type="pct"/>
            <w:gridSpan w:val="2"/>
            <w:tcBorders>
              <w:top w:val="nil"/>
              <w:bottom w:val="nil"/>
              <w:right w:val="single" w:sz="4" w:space="0" w:color="auto"/>
            </w:tcBorders>
            <w:shd w:val="clear" w:color="auto" w:fill="auto"/>
            <w:tcMar>
              <w:top w:w="110" w:type="dxa"/>
            </w:tcMar>
          </w:tcPr>
          <w:p w:rsidR="00CF11D1" w:rsidRPr="00CD2DE5" w:rsidRDefault="00CF11D1" w:rsidP="00DC1333">
            <w:pPr>
              <w:keepNext/>
              <w:keepLines/>
              <w:ind w:left="-109"/>
              <w:jc w:val="center"/>
              <w:rPr>
                <w:b/>
                <w:bCs/>
                <w:color w:val="00B050"/>
                <w:sz w:val="16"/>
                <w:szCs w:val="16"/>
              </w:rPr>
            </w:pPr>
            <w:r w:rsidRPr="00CD2DE5">
              <w:rPr>
                <w:b/>
                <w:bCs/>
                <w:color w:val="00B050"/>
                <w:sz w:val="16"/>
                <w:szCs w:val="16"/>
              </w:rPr>
              <w:t>Plenamente logrado</w:t>
            </w:r>
          </w:p>
        </w:tc>
      </w:tr>
      <w:tr w:rsidR="00CF11D1" w:rsidRPr="00CD2DE5" w:rsidTr="00DA11AF">
        <w:tc>
          <w:tcPr>
            <w:tcW w:w="1105" w:type="pct"/>
            <w:tcBorders>
              <w:top w:val="nil"/>
              <w:left w:val="single" w:sz="4" w:space="0" w:color="auto"/>
              <w:bottom w:val="single" w:sz="4" w:space="0" w:color="auto"/>
            </w:tcBorders>
            <w:shd w:val="clear" w:color="auto" w:fill="FFFFFF"/>
          </w:tcPr>
          <w:p w:rsidR="00CF11D1" w:rsidRPr="00CD2DE5" w:rsidRDefault="00CF11D1" w:rsidP="00DC1333">
            <w:pPr>
              <w:rPr>
                <w:sz w:val="16"/>
                <w:szCs w:val="16"/>
              </w:rPr>
            </w:pPr>
            <w:r w:rsidRPr="00CD2DE5">
              <w:rPr>
                <w:sz w:val="16"/>
                <w:szCs w:val="16"/>
              </w:rPr>
              <w:t>Niveles de los servicios prestados por los sistemas de información</w:t>
            </w:r>
          </w:p>
        </w:tc>
        <w:tc>
          <w:tcPr>
            <w:tcW w:w="1248" w:type="pct"/>
            <w:gridSpan w:val="2"/>
            <w:tcBorders>
              <w:top w:val="nil"/>
              <w:bottom w:val="single" w:sz="4" w:space="0" w:color="auto"/>
            </w:tcBorders>
            <w:shd w:val="clear" w:color="auto" w:fill="auto"/>
          </w:tcPr>
          <w:p w:rsidR="00CF11D1" w:rsidRPr="00CD2DE5" w:rsidRDefault="00CF11D1" w:rsidP="00DC1333">
            <w:pPr>
              <w:rPr>
                <w:rFonts w:eastAsia="Batang"/>
                <w:color w:val="002060"/>
                <w:sz w:val="16"/>
                <w:szCs w:val="16"/>
                <w:lang w:eastAsia="ja-JP"/>
              </w:rPr>
            </w:pPr>
            <w:r w:rsidRPr="00CD2DE5">
              <w:rPr>
                <w:i/>
                <w:color w:val="002060"/>
                <w:sz w:val="16"/>
                <w:szCs w:val="16"/>
              </w:rPr>
              <w:t>Referencia actualizada a fines de </w:t>
            </w:r>
            <w:r w:rsidRPr="00CD2DE5">
              <w:rPr>
                <w:rFonts w:eastAsia="Batang"/>
                <w:i/>
                <w:color w:val="002060"/>
                <w:sz w:val="16"/>
                <w:szCs w:val="16"/>
                <w:lang w:eastAsia="ja-JP"/>
              </w:rPr>
              <w:t xml:space="preserve"> 2013:  </w:t>
            </w:r>
            <w:r w:rsidRPr="00CD2DE5">
              <w:rPr>
                <w:rFonts w:eastAsia="Batang"/>
                <w:color w:val="002060"/>
                <w:sz w:val="16"/>
                <w:szCs w:val="16"/>
                <w:lang w:eastAsia="ja-JP"/>
              </w:rPr>
              <w:t>93,0% (2013)</w:t>
            </w:r>
          </w:p>
          <w:p w:rsidR="00CF11D1" w:rsidRPr="00CD2DE5" w:rsidRDefault="00CF11D1" w:rsidP="00DC1333">
            <w:pPr>
              <w:rPr>
                <w:rFonts w:eastAsia="Batang"/>
                <w:color w:val="002060"/>
                <w:sz w:val="16"/>
                <w:szCs w:val="16"/>
                <w:lang w:eastAsia="ja-JP"/>
              </w:rPr>
            </w:pPr>
          </w:p>
          <w:p w:rsidR="00CF11D1" w:rsidRPr="00CD2DE5" w:rsidRDefault="00CF11D1" w:rsidP="00DC1333">
            <w:pPr>
              <w:rPr>
                <w:sz w:val="16"/>
                <w:szCs w:val="16"/>
              </w:rPr>
            </w:pPr>
            <w:r w:rsidRPr="00CD2DE5">
              <w:rPr>
                <w:i/>
                <w:sz w:val="16"/>
                <w:szCs w:val="16"/>
              </w:rPr>
              <w:t>Referencia original en el presupuesto de 2014/15:</w:t>
            </w:r>
            <w:r w:rsidRPr="00CD2DE5">
              <w:rPr>
                <w:sz w:val="16"/>
                <w:szCs w:val="16"/>
              </w:rPr>
              <w:t xml:space="preserve">  Niveles de los servicios prestados por los sistemas de información en 2013</w:t>
            </w:r>
          </w:p>
        </w:tc>
        <w:tc>
          <w:tcPr>
            <w:tcW w:w="736" w:type="pct"/>
            <w:tcBorders>
              <w:top w:val="nil"/>
              <w:bottom w:val="single" w:sz="4" w:space="0" w:color="auto"/>
            </w:tcBorders>
            <w:shd w:val="clear" w:color="auto" w:fill="auto"/>
            <w:tcMar>
              <w:top w:w="110" w:type="dxa"/>
            </w:tcMar>
          </w:tcPr>
          <w:p w:rsidR="00CF11D1" w:rsidRPr="00CD2DE5" w:rsidRDefault="00CF11D1" w:rsidP="00DC1333">
            <w:pPr>
              <w:autoSpaceDE w:val="0"/>
              <w:autoSpaceDN w:val="0"/>
              <w:adjustRightInd w:val="0"/>
              <w:rPr>
                <w:sz w:val="16"/>
                <w:szCs w:val="16"/>
              </w:rPr>
            </w:pPr>
            <w:r w:rsidRPr="00CD2DE5">
              <w:rPr>
                <w:sz w:val="16"/>
                <w:szCs w:val="16"/>
              </w:rPr>
              <w:t>Niveles más elevados de los servicios prestados por los sistemas de información</w:t>
            </w:r>
          </w:p>
        </w:tc>
        <w:tc>
          <w:tcPr>
            <w:tcW w:w="1176" w:type="pct"/>
            <w:gridSpan w:val="2"/>
            <w:tcBorders>
              <w:top w:val="nil"/>
              <w:bottom w:val="single" w:sz="4" w:space="0" w:color="auto"/>
            </w:tcBorders>
            <w:shd w:val="clear" w:color="auto" w:fill="FFFFFF"/>
            <w:tcMar>
              <w:top w:w="110" w:type="dxa"/>
            </w:tcMar>
          </w:tcPr>
          <w:p w:rsidR="00CF11D1" w:rsidRPr="00CD2DE5" w:rsidRDefault="00CF11D1" w:rsidP="00DC1333">
            <w:pPr>
              <w:rPr>
                <w:sz w:val="16"/>
                <w:szCs w:val="16"/>
              </w:rPr>
            </w:pPr>
            <w:r w:rsidRPr="00CD2DE5">
              <w:rPr>
                <w:sz w:val="16"/>
                <w:szCs w:val="16"/>
              </w:rPr>
              <w:t>95,1%</w:t>
            </w:r>
            <w:r w:rsidRPr="00CD2DE5">
              <w:rPr>
                <w:rStyle w:val="FootnoteReference"/>
                <w:sz w:val="16"/>
                <w:szCs w:val="16"/>
              </w:rPr>
              <w:footnoteReference w:id="20"/>
            </w:r>
            <w:r w:rsidRPr="00CD2DE5">
              <w:rPr>
                <w:sz w:val="16"/>
                <w:szCs w:val="16"/>
              </w:rPr>
              <w:t xml:space="preserve"> (2014)</w:t>
            </w:r>
          </w:p>
          <w:p w:rsidR="00CF11D1" w:rsidRPr="00CD2DE5" w:rsidRDefault="00CF11D1" w:rsidP="00DC1333">
            <w:pPr>
              <w:rPr>
                <w:sz w:val="16"/>
                <w:szCs w:val="16"/>
              </w:rPr>
            </w:pPr>
            <w:r w:rsidRPr="00CD2DE5">
              <w:rPr>
                <w:sz w:val="16"/>
                <w:szCs w:val="16"/>
              </w:rPr>
              <w:t>96,5% (2015)</w:t>
            </w:r>
          </w:p>
        </w:tc>
        <w:tc>
          <w:tcPr>
            <w:tcW w:w="735" w:type="pct"/>
            <w:gridSpan w:val="2"/>
            <w:tcBorders>
              <w:top w:val="nil"/>
              <w:bottom w:val="single" w:sz="4" w:space="0" w:color="auto"/>
              <w:right w:val="single" w:sz="4" w:space="0" w:color="auto"/>
            </w:tcBorders>
            <w:shd w:val="clear" w:color="auto" w:fill="auto"/>
            <w:tcMar>
              <w:top w:w="110" w:type="dxa"/>
            </w:tcMar>
          </w:tcPr>
          <w:p w:rsidR="00CF11D1" w:rsidRPr="00CD2DE5" w:rsidRDefault="00CF11D1" w:rsidP="00DC1333">
            <w:pPr>
              <w:keepNext/>
              <w:keepLines/>
              <w:ind w:left="-109"/>
              <w:jc w:val="center"/>
              <w:rPr>
                <w:b/>
                <w:bCs/>
                <w:color w:val="00B050"/>
                <w:sz w:val="16"/>
                <w:szCs w:val="16"/>
              </w:rPr>
            </w:pPr>
            <w:r w:rsidRPr="00CD2DE5">
              <w:rPr>
                <w:b/>
                <w:bCs/>
                <w:color w:val="00B050"/>
                <w:sz w:val="16"/>
                <w:szCs w:val="16"/>
              </w:rPr>
              <w:t>Plenamente logrado</w:t>
            </w:r>
          </w:p>
        </w:tc>
      </w:tr>
    </w:tbl>
    <w:p w:rsidR="00CF11D1" w:rsidRDefault="00CF11D1" w:rsidP="00CF11D1">
      <w:pPr>
        <w:tabs>
          <w:tab w:val="left" w:pos="1155"/>
        </w:tabs>
        <w:rPr>
          <w:bCs/>
          <w:szCs w:val="22"/>
        </w:rPr>
      </w:pPr>
    </w:p>
    <w:p w:rsidR="00CF11D1" w:rsidRPr="00CD2DE5" w:rsidRDefault="00CF11D1" w:rsidP="00CF11D1">
      <w:pPr>
        <w:tabs>
          <w:tab w:val="left" w:pos="1155"/>
        </w:tabs>
        <w:rPr>
          <w:bCs/>
          <w:szCs w:val="22"/>
        </w:rPr>
      </w:pPr>
    </w:p>
    <w:p w:rsidR="00CF11D1" w:rsidRPr="00CD2DE5" w:rsidRDefault="008F7CBE" w:rsidP="00CF11D1">
      <w:pPr>
        <w:keepNext/>
        <w:rPr>
          <w:color w:val="000000"/>
          <w:szCs w:val="22"/>
        </w:rPr>
      </w:pPr>
      <w:r w:rsidRPr="008F7CBE">
        <w:rPr>
          <w:sz w:val="20"/>
        </w:rPr>
        <w:lastRenderedPageBreak/>
        <w:t>INFORMACIÓN SOBRE LOS RIESGOS PLANTEADOS EN EL BIENIO</w:t>
      </w:r>
    </w:p>
    <w:p w:rsidR="00CF11D1" w:rsidRPr="00CD2DE5" w:rsidRDefault="00CF11D1" w:rsidP="00CF11D1">
      <w:pPr>
        <w:keepNext/>
      </w:pPr>
    </w:p>
    <w:tbl>
      <w:tblPr>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420"/>
        <w:gridCol w:w="2200"/>
        <w:gridCol w:w="2310"/>
        <w:gridCol w:w="2306"/>
      </w:tblGrid>
      <w:tr w:rsidR="00CF11D1" w:rsidRPr="00CD2DE5" w:rsidTr="00DC1333">
        <w:trPr>
          <w:trHeight w:val="514"/>
          <w:tblHeader/>
        </w:trPr>
        <w:tc>
          <w:tcPr>
            <w:tcW w:w="2420" w:type="dxa"/>
            <w:tcBorders>
              <w:top w:val="single" w:sz="4" w:space="0" w:color="auto"/>
              <w:bottom w:val="single" w:sz="4" w:space="0" w:color="auto"/>
            </w:tcBorders>
            <w:shd w:val="clear" w:color="auto" w:fill="C6D9F1" w:themeFill="text2" w:themeFillTint="33"/>
            <w:tcMar>
              <w:top w:w="113" w:type="dxa"/>
            </w:tcMar>
            <w:vAlign w:val="center"/>
          </w:tcPr>
          <w:p w:rsidR="00CF11D1" w:rsidRPr="00CD2DE5" w:rsidRDefault="00CF11D1" w:rsidP="00DC1333">
            <w:pPr>
              <w:keepNext/>
              <w:autoSpaceDE w:val="0"/>
              <w:autoSpaceDN w:val="0"/>
              <w:adjustRightInd w:val="0"/>
              <w:ind w:right="-59"/>
              <w:jc w:val="center"/>
              <w:rPr>
                <w:b/>
                <w:sz w:val="18"/>
                <w:szCs w:val="18"/>
              </w:rPr>
            </w:pPr>
            <w:r w:rsidRPr="00CD2DE5">
              <w:rPr>
                <w:b/>
                <w:bCs/>
                <w:iCs/>
                <w:sz w:val="18"/>
                <w:szCs w:val="18"/>
              </w:rPr>
              <w:t>Riesgos en el logro de los resultados del programa</w:t>
            </w:r>
          </w:p>
        </w:tc>
        <w:tc>
          <w:tcPr>
            <w:tcW w:w="2200" w:type="dxa"/>
            <w:tcBorders>
              <w:top w:val="single" w:sz="4" w:space="0" w:color="auto"/>
              <w:bottom w:val="single" w:sz="4" w:space="0" w:color="auto"/>
            </w:tcBorders>
            <w:shd w:val="clear" w:color="auto" w:fill="C6D9F1" w:themeFill="text2" w:themeFillTint="33"/>
            <w:tcMar>
              <w:top w:w="113" w:type="dxa"/>
            </w:tcMar>
            <w:vAlign w:val="center"/>
          </w:tcPr>
          <w:p w:rsidR="00CF11D1" w:rsidRPr="00CD2DE5" w:rsidRDefault="00CF11D1" w:rsidP="00DC1333">
            <w:pPr>
              <w:keepNext/>
              <w:autoSpaceDE w:val="0"/>
              <w:autoSpaceDN w:val="0"/>
              <w:adjustRightInd w:val="0"/>
              <w:ind w:right="-59"/>
              <w:jc w:val="center"/>
              <w:rPr>
                <w:b/>
                <w:sz w:val="18"/>
                <w:szCs w:val="18"/>
              </w:rPr>
            </w:pPr>
            <w:r w:rsidRPr="00CD2DE5">
              <w:rPr>
                <w:b/>
                <w:bCs/>
                <w:iCs/>
                <w:sz w:val="18"/>
                <w:szCs w:val="18"/>
              </w:rPr>
              <w:t>Planes de mitigación ejecutados o en ejecución</w:t>
            </w:r>
          </w:p>
        </w:tc>
        <w:tc>
          <w:tcPr>
            <w:tcW w:w="2310" w:type="dxa"/>
            <w:tcBorders>
              <w:top w:val="single" w:sz="4" w:space="0" w:color="auto"/>
              <w:bottom w:val="single" w:sz="4" w:space="0" w:color="auto"/>
            </w:tcBorders>
            <w:shd w:val="clear" w:color="auto" w:fill="C6D9F1" w:themeFill="text2" w:themeFillTint="33"/>
          </w:tcPr>
          <w:p w:rsidR="00CF11D1" w:rsidRPr="00CD2DE5" w:rsidRDefault="00CF11D1" w:rsidP="00DC1333">
            <w:pPr>
              <w:keepNext/>
              <w:jc w:val="center"/>
              <w:rPr>
                <w:b/>
                <w:bCs/>
                <w:sz w:val="18"/>
                <w:szCs w:val="18"/>
              </w:rPr>
            </w:pPr>
            <w:r w:rsidRPr="00CD2DE5">
              <w:rPr>
                <w:b/>
                <w:bCs/>
                <w:iCs/>
                <w:sz w:val="18"/>
                <w:szCs w:val="18"/>
              </w:rPr>
              <w:t>Evolución de los riesgos y estrategias de mitigación durante el bienio</w:t>
            </w:r>
          </w:p>
        </w:tc>
        <w:tc>
          <w:tcPr>
            <w:tcW w:w="2306" w:type="dxa"/>
            <w:tcBorders>
              <w:top w:val="single" w:sz="4" w:space="0" w:color="auto"/>
              <w:bottom w:val="single" w:sz="4" w:space="0" w:color="auto"/>
            </w:tcBorders>
            <w:shd w:val="clear" w:color="auto" w:fill="C6D9F1" w:themeFill="text2" w:themeFillTint="33"/>
          </w:tcPr>
          <w:p w:rsidR="00CF11D1" w:rsidRPr="00CD2DE5" w:rsidRDefault="00CF11D1" w:rsidP="00DC1333">
            <w:pPr>
              <w:keepNext/>
              <w:jc w:val="center"/>
              <w:rPr>
                <w:b/>
                <w:bCs/>
                <w:sz w:val="18"/>
                <w:szCs w:val="18"/>
              </w:rPr>
            </w:pPr>
            <w:r w:rsidRPr="00CD2DE5">
              <w:rPr>
                <w:b/>
                <w:bCs/>
                <w:sz w:val="18"/>
                <w:szCs w:val="18"/>
              </w:rPr>
              <w:t>Incidencia en el rendimiento del programa</w:t>
            </w:r>
          </w:p>
        </w:tc>
      </w:tr>
      <w:tr w:rsidR="00CF11D1" w:rsidRPr="00CD2DE5" w:rsidTr="00DC1333">
        <w:trPr>
          <w:trHeight w:val="668"/>
        </w:trPr>
        <w:tc>
          <w:tcPr>
            <w:tcW w:w="2420" w:type="dxa"/>
            <w:tcBorders>
              <w:top w:val="single" w:sz="4" w:space="0" w:color="auto"/>
              <w:bottom w:val="nil"/>
            </w:tcBorders>
            <w:shd w:val="clear" w:color="auto" w:fill="auto"/>
            <w:tcMar>
              <w:top w:w="113" w:type="dxa"/>
            </w:tcMar>
          </w:tcPr>
          <w:p w:rsidR="00CF11D1" w:rsidRPr="00CD2DE5" w:rsidRDefault="00CF11D1" w:rsidP="00DC1333">
            <w:pPr>
              <w:keepNext/>
              <w:rPr>
                <w:sz w:val="16"/>
                <w:szCs w:val="16"/>
              </w:rPr>
            </w:pPr>
            <w:r w:rsidRPr="00CD2DE5">
              <w:rPr>
                <w:sz w:val="16"/>
                <w:szCs w:val="16"/>
              </w:rPr>
              <w:t>Disminución del número de solicitudes presentadas en virtud del PCT, en términos absolutos o relativos con respecto a las solicitudes presentadas mediante el Convenio de París</w:t>
            </w:r>
          </w:p>
        </w:tc>
        <w:tc>
          <w:tcPr>
            <w:tcW w:w="2200" w:type="dxa"/>
            <w:tcBorders>
              <w:top w:val="single" w:sz="4" w:space="0" w:color="auto"/>
              <w:bottom w:val="nil"/>
            </w:tcBorders>
            <w:shd w:val="clear" w:color="auto" w:fill="auto"/>
            <w:tcMar>
              <w:top w:w="113" w:type="dxa"/>
            </w:tcMar>
          </w:tcPr>
          <w:p w:rsidR="00CF11D1" w:rsidRPr="00CD2DE5" w:rsidRDefault="00CF11D1" w:rsidP="00DC1333">
            <w:pPr>
              <w:keepNext/>
              <w:rPr>
                <w:sz w:val="16"/>
                <w:szCs w:val="16"/>
              </w:rPr>
            </w:pPr>
            <w:r w:rsidRPr="00CD2DE5">
              <w:rPr>
                <w:sz w:val="16"/>
                <w:szCs w:val="16"/>
              </w:rPr>
              <w:t>Se seguirá fomentando el PCT entre todos los usuarios como el instrumento más útil y eficiente para proteger la innovación en los mercados internacionales</w:t>
            </w:r>
          </w:p>
        </w:tc>
        <w:tc>
          <w:tcPr>
            <w:tcW w:w="2310" w:type="dxa"/>
            <w:tcBorders>
              <w:top w:val="single" w:sz="4" w:space="0" w:color="auto"/>
              <w:bottom w:val="nil"/>
            </w:tcBorders>
          </w:tcPr>
          <w:p w:rsidR="00CF11D1" w:rsidRPr="00CD2DE5" w:rsidRDefault="00DA11AF" w:rsidP="00DA11AF">
            <w:pPr>
              <w:keepNext/>
              <w:rPr>
                <w:sz w:val="16"/>
                <w:szCs w:val="16"/>
              </w:rPr>
            </w:pPr>
            <w:r>
              <w:rPr>
                <w:sz w:val="16"/>
                <w:szCs w:val="16"/>
              </w:rPr>
              <w:t>Se trata de un</w:t>
            </w:r>
            <w:r w:rsidR="00CF11D1" w:rsidRPr="00CD2DE5">
              <w:rPr>
                <w:sz w:val="16"/>
                <w:szCs w:val="16"/>
              </w:rPr>
              <w:t xml:space="preserve"> riesgo</w:t>
            </w:r>
            <w:r>
              <w:rPr>
                <w:sz w:val="16"/>
                <w:szCs w:val="16"/>
              </w:rPr>
              <w:t xml:space="preserve"> continuo para el programa, pero </w:t>
            </w:r>
            <w:r w:rsidR="00CF11D1" w:rsidRPr="00CD2DE5">
              <w:rPr>
                <w:sz w:val="16"/>
                <w:szCs w:val="16"/>
              </w:rPr>
              <w:t>su evolución no perjudicó al PCT en 2014/15.  La</w:t>
            </w:r>
            <w:r>
              <w:rPr>
                <w:sz w:val="16"/>
                <w:szCs w:val="16"/>
              </w:rPr>
              <w:t>s</w:t>
            </w:r>
            <w:r w:rsidR="00CF11D1" w:rsidRPr="00CD2DE5">
              <w:rPr>
                <w:sz w:val="16"/>
                <w:szCs w:val="16"/>
              </w:rPr>
              <w:t xml:space="preserve"> estrategias de mitigación siguieron aplic</w:t>
            </w:r>
            <w:r>
              <w:rPr>
                <w:sz w:val="16"/>
                <w:szCs w:val="16"/>
              </w:rPr>
              <w:t>á</w:t>
            </w:r>
            <w:r w:rsidR="00CF11D1" w:rsidRPr="00CD2DE5">
              <w:rPr>
                <w:sz w:val="16"/>
                <w:szCs w:val="16"/>
              </w:rPr>
              <w:t>ndo</w:t>
            </w:r>
            <w:r>
              <w:rPr>
                <w:sz w:val="16"/>
                <w:szCs w:val="16"/>
              </w:rPr>
              <w:t>se</w:t>
            </w:r>
            <w:r w:rsidR="00CF11D1" w:rsidRPr="00CD2DE5">
              <w:rPr>
                <w:sz w:val="16"/>
                <w:szCs w:val="16"/>
              </w:rPr>
              <w:t>.</w:t>
            </w:r>
          </w:p>
        </w:tc>
        <w:tc>
          <w:tcPr>
            <w:tcW w:w="2306" w:type="dxa"/>
            <w:tcBorders>
              <w:top w:val="single" w:sz="4" w:space="0" w:color="auto"/>
              <w:bottom w:val="nil"/>
            </w:tcBorders>
          </w:tcPr>
          <w:p w:rsidR="00CF11D1" w:rsidRPr="00CD2DE5" w:rsidRDefault="00CF11D1" w:rsidP="00DC1333">
            <w:pPr>
              <w:keepNext/>
              <w:rPr>
                <w:sz w:val="16"/>
                <w:szCs w:val="16"/>
              </w:rPr>
            </w:pPr>
            <w:r w:rsidRPr="00CD2DE5">
              <w:rPr>
                <w:sz w:val="16"/>
                <w:szCs w:val="16"/>
              </w:rPr>
              <w:t>Sin incidencia mensurable</w:t>
            </w:r>
          </w:p>
        </w:tc>
      </w:tr>
      <w:tr w:rsidR="00CF11D1" w:rsidRPr="00CD2DE5" w:rsidTr="00DC1333">
        <w:trPr>
          <w:trHeight w:val="1574"/>
        </w:trPr>
        <w:tc>
          <w:tcPr>
            <w:tcW w:w="2420" w:type="dxa"/>
            <w:tcBorders>
              <w:top w:val="nil"/>
              <w:bottom w:val="nil"/>
            </w:tcBorders>
            <w:shd w:val="clear" w:color="auto" w:fill="auto"/>
            <w:tcMar>
              <w:top w:w="113" w:type="dxa"/>
            </w:tcMar>
          </w:tcPr>
          <w:p w:rsidR="00CF11D1" w:rsidRPr="00CD2DE5" w:rsidRDefault="00CF11D1" w:rsidP="00DC1333">
            <w:pPr>
              <w:rPr>
                <w:sz w:val="16"/>
                <w:szCs w:val="16"/>
              </w:rPr>
            </w:pPr>
            <w:r w:rsidRPr="00CD2DE5">
              <w:rPr>
                <w:sz w:val="16"/>
                <w:szCs w:val="16"/>
              </w:rPr>
              <w:t>Interrupción prolongada de las actividades del PCT</w:t>
            </w:r>
          </w:p>
          <w:p w:rsidR="00CF11D1" w:rsidRPr="00CD2DE5" w:rsidRDefault="00CF11D1" w:rsidP="00DC1333">
            <w:pPr>
              <w:rPr>
                <w:sz w:val="16"/>
                <w:szCs w:val="16"/>
              </w:rPr>
            </w:pPr>
          </w:p>
          <w:p w:rsidR="00CF11D1" w:rsidRPr="00CD2DE5" w:rsidRDefault="00CF11D1" w:rsidP="00DC1333">
            <w:pPr>
              <w:rPr>
                <w:sz w:val="16"/>
                <w:szCs w:val="16"/>
              </w:rPr>
            </w:pPr>
          </w:p>
          <w:p w:rsidR="00CF11D1" w:rsidRPr="00CD2DE5" w:rsidRDefault="00CF11D1" w:rsidP="00DC1333">
            <w:pPr>
              <w:rPr>
                <w:sz w:val="16"/>
                <w:szCs w:val="16"/>
              </w:rPr>
            </w:pPr>
          </w:p>
          <w:p w:rsidR="00CF11D1" w:rsidRPr="00CD2DE5" w:rsidRDefault="00CF11D1" w:rsidP="00DC1333">
            <w:pPr>
              <w:rPr>
                <w:sz w:val="16"/>
                <w:szCs w:val="16"/>
              </w:rPr>
            </w:pPr>
          </w:p>
          <w:p w:rsidR="00CF11D1" w:rsidRPr="00CD2DE5" w:rsidRDefault="00CF11D1" w:rsidP="00DC1333">
            <w:pPr>
              <w:rPr>
                <w:sz w:val="16"/>
                <w:szCs w:val="16"/>
              </w:rPr>
            </w:pPr>
          </w:p>
          <w:p w:rsidR="00CF11D1" w:rsidRPr="00CD2DE5" w:rsidRDefault="00CF11D1" w:rsidP="00DC1333">
            <w:pPr>
              <w:rPr>
                <w:sz w:val="16"/>
                <w:szCs w:val="16"/>
              </w:rPr>
            </w:pPr>
          </w:p>
          <w:p w:rsidR="00CF11D1" w:rsidRPr="00CD2DE5" w:rsidRDefault="00CF11D1" w:rsidP="00DC1333">
            <w:pPr>
              <w:rPr>
                <w:sz w:val="16"/>
                <w:szCs w:val="16"/>
              </w:rPr>
            </w:pPr>
          </w:p>
          <w:p w:rsidR="00CF11D1" w:rsidRPr="00CD2DE5" w:rsidRDefault="00CF11D1" w:rsidP="00DC1333">
            <w:pPr>
              <w:rPr>
                <w:sz w:val="16"/>
                <w:szCs w:val="16"/>
              </w:rPr>
            </w:pPr>
          </w:p>
          <w:p w:rsidR="00CF11D1" w:rsidRPr="00CD2DE5" w:rsidRDefault="00CF11D1" w:rsidP="00DC1333">
            <w:pPr>
              <w:rPr>
                <w:sz w:val="16"/>
                <w:szCs w:val="16"/>
              </w:rPr>
            </w:pPr>
            <w:r w:rsidRPr="00CD2DE5">
              <w:rPr>
                <w:sz w:val="16"/>
                <w:szCs w:val="16"/>
              </w:rPr>
              <w:t>Si la Oficina Internacional no puede tramitar documentos, incluso durante un plazo breve, el volumen de trabajo acumulado aumenta rápidamente.  Unos pocos días de interrupción de la actividad pueden ocasionar varias semanas de trabajo atrasado.</w:t>
            </w:r>
          </w:p>
        </w:tc>
        <w:tc>
          <w:tcPr>
            <w:tcW w:w="2200" w:type="dxa"/>
            <w:tcBorders>
              <w:top w:val="nil"/>
              <w:bottom w:val="nil"/>
            </w:tcBorders>
            <w:shd w:val="clear" w:color="auto" w:fill="auto"/>
            <w:tcMar>
              <w:top w:w="113" w:type="dxa"/>
            </w:tcMar>
          </w:tcPr>
          <w:p w:rsidR="00CF11D1" w:rsidRPr="00CD2DE5" w:rsidRDefault="00CF11D1" w:rsidP="00DC1333">
            <w:pPr>
              <w:rPr>
                <w:sz w:val="16"/>
                <w:szCs w:val="16"/>
              </w:rPr>
            </w:pPr>
            <w:r w:rsidRPr="00CD2DE5">
              <w:rPr>
                <w:sz w:val="16"/>
                <w:szCs w:val="16"/>
              </w:rPr>
              <w:t>Aplicación y ejecución periódica de pruebas del plan de gestión de la continuidad de las operaciones</w:t>
            </w:r>
          </w:p>
          <w:p w:rsidR="00CF11D1" w:rsidRPr="00CD2DE5" w:rsidRDefault="00CF11D1" w:rsidP="00DC1333">
            <w:pPr>
              <w:rPr>
                <w:sz w:val="16"/>
                <w:szCs w:val="16"/>
              </w:rPr>
            </w:pPr>
          </w:p>
          <w:p w:rsidR="00CF11D1" w:rsidRPr="00CD2DE5" w:rsidRDefault="00CF11D1" w:rsidP="00DC1333">
            <w:pPr>
              <w:autoSpaceDE w:val="0"/>
              <w:autoSpaceDN w:val="0"/>
              <w:adjustRightInd w:val="0"/>
              <w:ind w:right="-59"/>
              <w:rPr>
                <w:sz w:val="16"/>
                <w:szCs w:val="16"/>
              </w:rPr>
            </w:pPr>
          </w:p>
          <w:p w:rsidR="00CF11D1" w:rsidRPr="00CD2DE5" w:rsidRDefault="00CF11D1" w:rsidP="00DC1333">
            <w:pPr>
              <w:autoSpaceDE w:val="0"/>
              <w:autoSpaceDN w:val="0"/>
              <w:adjustRightInd w:val="0"/>
              <w:ind w:right="-59"/>
              <w:rPr>
                <w:sz w:val="16"/>
                <w:szCs w:val="16"/>
              </w:rPr>
            </w:pPr>
          </w:p>
          <w:p w:rsidR="00CF11D1" w:rsidRPr="00CD2DE5" w:rsidRDefault="00CF11D1" w:rsidP="00DC1333">
            <w:pPr>
              <w:autoSpaceDE w:val="0"/>
              <w:autoSpaceDN w:val="0"/>
              <w:adjustRightInd w:val="0"/>
              <w:ind w:right="-59"/>
              <w:rPr>
                <w:sz w:val="16"/>
                <w:szCs w:val="16"/>
              </w:rPr>
            </w:pPr>
          </w:p>
          <w:p w:rsidR="00CF11D1" w:rsidRPr="00CD2DE5" w:rsidRDefault="00CF11D1" w:rsidP="00DC1333">
            <w:pPr>
              <w:autoSpaceDE w:val="0"/>
              <w:autoSpaceDN w:val="0"/>
              <w:adjustRightInd w:val="0"/>
              <w:ind w:right="-59"/>
              <w:rPr>
                <w:sz w:val="16"/>
                <w:szCs w:val="16"/>
              </w:rPr>
            </w:pPr>
          </w:p>
          <w:p w:rsidR="00CF11D1" w:rsidRPr="00CD2DE5" w:rsidRDefault="00CF11D1" w:rsidP="00DC1333">
            <w:pPr>
              <w:autoSpaceDE w:val="0"/>
              <w:autoSpaceDN w:val="0"/>
              <w:adjustRightInd w:val="0"/>
              <w:ind w:right="-59"/>
              <w:rPr>
                <w:sz w:val="16"/>
                <w:szCs w:val="16"/>
              </w:rPr>
            </w:pPr>
            <w:r w:rsidRPr="00CD2DE5">
              <w:rPr>
                <w:sz w:val="16"/>
                <w:szCs w:val="16"/>
              </w:rPr>
              <w:t>La finalidad del plan de gestión de la continuidad de las operaciones es asegurar que, en los períodos de interrupción, la labor de la Oficina Internacional pueda efectuarse en la medida suficiente como para evitar que la calidad de los servicios prestados a los usuarios y oficinas del PCT se degrade a niveles inaceptables</w:t>
            </w:r>
          </w:p>
        </w:tc>
        <w:tc>
          <w:tcPr>
            <w:tcW w:w="2310" w:type="dxa"/>
            <w:tcBorders>
              <w:top w:val="nil"/>
              <w:bottom w:val="nil"/>
            </w:tcBorders>
          </w:tcPr>
          <w:p w:rsidR="00CF11D1" w:rsidRPr="00CD2DE5" w:rsidRDefault="00CF11D1" w:rsidP="00DC1333">
            <w:pPr>
              <w:rPr>
                <w:sz w:val="16"/>
                <w:szCs w:val="16"/>
              </w:rPr>
            </w:pPr>
            <w:r w:rsidRPr="00CD2DE5">
              <w:rPr>
                <w:sz w:val="16"/>
                <w:szCs w:val="16"/>
              </w:rPr>
              <w:t xml:space="preserve">El riesgo no se materializó.  Se iniciaron los preparativos para diseñar una arquitectura de plataforma </w:t>
            </w:r>
            <w:proofErr w:type="spellStart"/>
            <w:r w:rsidRPr="00CD2DE5">
              <w:rPr>
                <w:sz w:val="16"/>
                <w:szCs w:val="16"/>
              </w:rPr>
              <w:t>resiliente</w:t>
            </w:r>
            <w:proofErr w:type="spellEnd"/>
            <w:r w:rsidRPr="00CD2DE5">
              <w:rPr>
                <w:sz w:val="16"/>
                <w:szCs w:val="16"/>
              </w:rPr>
              <w:t xml:space="preserve"> y segura para los sistemas de información del PCT como medida de mitigación.</w:t>
            </w:r>
          </w:p>
          <w:p w:rsidR="00CF11D1" w:rsidRPr="00CD2DE5" w:rsidRDefault="00CF11D1" w:rsidP="00DC1333">
            <w:pPr>
              <w:rPr>
                <w:sz w:val="16"/>
                <w:szCs w:val="16"/>
              </w:rPr>
            </w:pPr>
          </w:p>
          <w:p w:rsidR="00CF11D1" w:rsidRPr="00CD2DE5" w:rsidRDefault="00CF11D1" w:rsidP="00DC1333">
            <w:pPr>
              <w:rPr>
                <w:sz w:val="16"/>
                <w:szCs w:val="16"/>
              </w:rPr>
            </w:pPr>
            <w:r w:rsidRPr="00CD2DE5">
              <w:rPr>
                <w:sz w:val="16"/>
                <w:szCs w:val="16"/>
              </w:rPr>
              <w:t>El riesgo no se materializó.  Se crearon nuevos indicadores del volumen de trabajo para mejorar los procedimientos de control de la calidad de las medidas de mitigación.</w:t>
            </w:r>
          </w:p>
        </w:tc>
        <w:tc>
          <w:tcPr>
            <w:tcW w:w="2306" w:type="dxa"/>
            <w:tcBorders>
              <w:top w:val="nil"/>
              <w:bottom w:val="nil"/>
            </w:tcBorders>
          </w:tcPr>
          <w:p w:rsidR="00CF11D1" w:rsidRPr="00CD2DE5" w:rsidRDefault="00CF11D1" w:rsidP="00DC1333">
            <w:pPr>
              <w:autoSpaceDE w:val="0"/>
              <w:autoSpaceDN w:val="0"/>
              <w:adjustRightInd w:val="0"/>
              <w:ind w:right="-59"/>
              <w:rPr>
                <w:sz w:val="16"/>
                <w:szCs w:val="16"/>
              </w:rPr>
            </w:pPr>
            <w:r w:rsidRPr="00CD2DE5">
              <w:rPr>
                <w:sz w:val="16"/>
                <w:szCs w:val="16"/>
              </w:rPr>
              <w:t>Este riesgo y su evolución no incidieron sustancialmente en el rendimiento del programa en 2014/15.</w:t>
            </w:r>
          </w:p>
          <w:p w:rsidR="00CF11D1" w:rsidRPr="00CD2DE5" w:rsidRDefault="00CF11D1" w:rsidP="00DC1333">
            <w:pPr>
              <w:rPr>
                <w:sz w:val="16"/>
                <w:szCs w:val="16"/>
              </w:rPr>
            </w:pPr>
          </w:p>
          <w:p w:rsidR="00CF11D1" w:rsidRPr="00CD2DE5" w:rsidRDefault="00CF11D1" w:rsidP="00DC1333">
            <w:pPr>
              <w:rPr>
                <w:sz w:val="16"/>
                <w:szCs w:val="16"/>
              </w:rPr>
            </w:pPr>
          </w:p>
          <w:p w:rsidR="00CF11D1" w:rsidRPr="00CD2DE5" w:rsidRDefault="00CF11D1" w:rsidP="00DC1333">
            <w:pPr>
              <w:rPr>
                <w:sz w:val="16"/>
                <w:szCs w:val="16"/>
              </w:rPr>
            </w:pPr>
          </w:p>
          <w:p w:rsidR="00CF11D1" w:rsidRPr="00CD2DE5" w:rsidRDefault="00CF11D1" w:rsidP="00DC1333">
            <w:pPr>
              <w:rPr>
                <w:sz w:val="16"/>
                <w:szCs w:val="16"/>
              </w:rPr>
            </w:pPr>
          </w:p>
          <w:p w:rsidR="00CF11D1" w:rsidRPr="00CD2DE5" w:rsidRDefault="00CF11D1" w:rsidP="00DC1333">
            <w:pPr>
              <w:rPr>
                <w:sz w:val="16"/>
                <w:szCs w:val="16"/>
              </w:rPr>
            </w:pPr>
          </w:p>
          <w:p w:rsidR="00CF11D1" w:rsidRPr="00CD2DE5" w:rsidRDefault="00CF11D1" w:rsidP="00DC1333">
            <w:pPr>
              <w:rPr>
                <w:sz w:val="16"/>
                <w:szCs w:val="16"/>
              </w:rPr>
            </w:pPr>
            <w:r w:rsidRPr="00CD2DE5">
              <w:rPr>
                <w:sz w:val="16"/>
                <w:szCs w:val="16"/>
              </w:rPr>
              <w:t>Mejoría de la calidad del examen de forma.</w:t>
            </w:r>
          </w:p>
        </w:tc>
      </w:tr>
      <w:tr w:rsidR="00CF11D1" w:rsidRPr="00CD2DE5" w:rsidTr="00DC1333">
        <w:trPr>
          <w:trHeight w:val="1031"/>
        </w:trPr>
        <w:tc>
          <w:tcPr>
            <w:tcW w:w="2420" w:type="dxa"/>
            <w:tcBorders>
              <w:top w:val="nil"/>
              <w:bottom w:val="single" w:sz="4" w:space="0" w:color="auto"/>
            </w:tcBorders>
            <w:shd w:val="clear" w:color="auto" w:fill="auto"/>
            <w:tcMar>
              <w:top w:w="113" w:type="dxa"/>
            </w:tcMar>
          </w:tcPr>
          <w:p w:rsidR="00CF11D1" w:rsidRPr="00CD2DE5" w:rsidRDefault="00CF11D1" w:rsidP="00DC1333">
            <w:pPr>
              <w:rPr>
                <w:sz w:val="16"/>
                <w:szCs w:val="16"/>
              </w:rPr>
            </w:pPr>
            <w:r w:rsidRPr="00CD2DE5">
              <w:rPr>
                <w:sz w:val="16"/>
                <w:szCs w:val="16"/>
              </w:rPr>
              <w:t>Divulgación intencionada o involuntaria de información confidencial</w:t>
            </w:r>
          </w:p>
        </w:tc>
        <w:tc>
          <w:tcPr>
            <w:tcW w:w="2200" w:type="dxa"/>
            <w:tcBorders>
              <w:top w:val="nil"/>
              <w:bottom w:val="single" w:sz="4" w:space="0" w:color="auto"/>
            </w:tcBorders>
            <w:shd w:val="clear" w:color="auto" w:fill="auto"/>
            <w:tcMar>
              <w:top w:w="113" w:type="dxa"/>
            </w:tcMar>
          </w:tcPr>
          <w:p w:rsidR="00CF11D1" w:rsidRPr="00CD2DE5" w:rsidDel="00C266CB" w:rsidRDefault="00CF11D1" w:rsidP="00DC1333">
            <w:pPr>
              <w:rPr>
                <w:sz w:val="16"/>
                <w:szCs w:val="16"/>
              </w:rPr>
            </w:pPr>
            <w:r w:rsidRPr="00CD2DE5">
              <w:rPr>
                <w:sz w:val="16"/>
                <w:szCs w:val="16"/>
              </w:rPr>
              <w:t>Programa continuo de sensibilización destinado al personal competente:  seguir aplicando los más modernos mecanismos de control del entorno físico y electrónico;  seguir mejorando la vigilancia estratégica;  mantener un alto grado de supervisión de los proveedores de servicios de traducción subcontratados</w:t>
            </w:r>
          </w:p>
        </w:tc>
        <w:tc>
          <w:tcPr>
            <w:tcW w:w="2310" w:type="dxa"/>
            <w:tcBorders>
              <w:top w:val="nil"/>
              <w:bottom w:val="single" w:sz="4" w:space="0" w:color="auto"/>
            </w:tcBorders>
          </w:tcPr>
          <w:p w:rsidR="00CF11D1" w:rsidRPr="00CD2DE5" w:rsidRDefault="00CF11D1" w:rsidP="00DC1333">
            <w:pPr>
              <w:rPr>
                <w:sz w:val="16"/>
                <w:szCs w:val="16"/>
              </w:rPr>
            </w:pPr>
            <w:r w:rsidRPr="00CD2DE5">
              <w:rPr>
                <w:sz w:val="16"/>
                <w:szCs w:val="16"/>
              </w:rPr>
              <w:t xml:space="preserve">El riesgo no se materializó.  Se iniciaron los preparativos para diseñar una arquitectura de plataforma </w:t>
            </w:r>
            <w:proofErr w:type="spellStart"/>
            <w:r w:rsidRPr="00CD2DE5">
              <w:rPr>
                <w:sz w:val="16"/>
                <w:szCs w:val="16"/>
              </w:rPr>
              <w:t>resiliente</w:t>
            </w:r>
            <w:proofErr w:type="spellEnd"/>
            <w:r w:rsidRPr="00CD2DE5">
              <w:rPr>
                <w:sz w:val="16"/>
                <w:szCs w:val="16"/>
              </w:rPr>
              <w:t xml:space="preserve"> y segura para los sistemas de información del PCT como medida de mitigación.</w:t>
            </w:r>
          </w:p>
        </w:tc>
        <w:tc>
          <w:tcPr>
            <w:tcW w:w="2306" w:type="dxa"/>
            <w:tcBorders>
              <w:top w:val="nil"/>
              <w:bottom w:val="single" w:sz="4" w:space="0" w:color="auto"/>
            </w:tcBorders>
          </w:tcPr>
          <w:p w:rsidR="00CF11D1" w:rsidRPr="00CD2DE5" w:rsidRDefault="00CF11D1" w:rsidP="00DC1333">
            <w:pPr>
              <w:autoSpaceDE w:val="0"/>
              <w:autoSpaceDN w:val="0"/>
              <w:adjustRightInd w:val="0"/>
              <w:ind w:right="-59"/>
              <w:rPr>
                <w:sz w:val="16"/>
                <w:szCs w:val="16"/>
              </w:rPr>
            </w:pPr>
            <w:r w:rsidRPr="00CD2DE5">
              <w:rPr>
                <w:sz w:val="16"/>
                <w:szCs w:val="16"/>
              </w:rPr>
              <w:t>Este riesgo y su evolución no incidieron sustancialmente en el rendimiento del programa en 2014/15.</w:t>
            </w:r>
          </w:p>
          <w:p w:rsidR="00CF11D1" w:rsidRPr="00CD2DE5" w:rsidRDefault="00CF11D1" w:rsidP="00DC1333">
            <w:pPr>
              <w:rPr>
                <w:sz w:val="16"/>
                <w:szCs w:val="16"/>
              </w:rPr>
            </w:pPr>
          </w:p>
        </w:tc>
      </w:tr>
    </w:tbl>
    <w:p w:rsidR="00CF11D1" w:rsidRDefault="00CF11D1" w:rsidP="00CF11D1">
      <w:pPr>
        <w:rPr>
          <w:bCs/>
          <w:szCs w:val="22"/>
        </w:rPr>
      </w:pPr>
    </w:p>
    <w:p w:rsidR="00CF11D1" w:rsidRPr="00CD2DE5" w:rsidRDefault="00CF11D1" w:rsidP="00CF11D1">
      <w:pPr>
        <w:rPr>
          <w:bCs/>
          <w:szCs w:val="22"/>
        </w:rPr>
      </w:pPr>
    </w:p>
    <w:p w:rsidR="00CF11D1" w:rsidRPr="00CD2DE5" w:rsidRDefault="00403D2C" w:rsidP="00CF11D1">
      <w:pPr>
        <w:keepNext/>
        <w:rPr>
          <w:b/>
          <w:sz w:val="18"/>
          <w:szCs w:val="18"/>
        </w:rPr>
      </w:pPr>
      <w:r w:rsidRPr="00403D2C">
        <w:rPr>
          <w:color w:val="000000"/>
          <w:sz w:val="20"/>
          <w:szCs w:val="22"/>
        </w:rPr>
        <w:lastRenderedPageBreak/>
        <w:t>UTILIZACIÓN DE LOS RECURSOS</w:t>
      </w:r>
    </w:p>
    <w:p w:rsidR="00CF11D1" w:rsidRPr="00CD2DE5" w:rsidRDefault="00CF11D1" w:rsidP="00CF11D1">
      <w:pPr>
        <w:keepNext/>
      </w:pPr>
    </w:p>
    <w:p w:rsidR="00CF11D1" w:rsidRPr="00CD2DE5" w:rsidRDefault="00CF11D1" w:rsidP="00CF11D1">
      <w:pPr>
        <w:pStyle w:val="NormalWeb"/>
        <w:keepNext/>
        <w:spacing w:before="0" w:beforeAutospacing="0" w:after="0" w:afterAutospacing="0"/>
        <w:jc w:val="center"/>
        <w:rPr>
          <w:sz w:val="20"/>
          <w:szCs w:val="20"/>
          <w:lang w:val="es-ES"/>
        </w:rPr>
      </w:pPr>
      <w:r w:rsidRPr="00CD2DE5">
        <w:rPr>
          <w:sz w:val="20"/>
          <w:szCs w:val="20"/>
          <w:lang w:val="es-ES"/>
        </w:rPr>
        <w:t xml:space="preserve">Presupuesto y gastos reales (por resultado) </w:t>
      </w:r>
    </w:p>
    <w:p w:rsidR="00CF11D1" w:rsidRPr="00CD2DE5" w:rsidRDefault="00CF11D1" w:rsidP="00CF11D1">
      <w:pPr>
        <w:pStyle w:val="NormalWeb"/>
        <w:keepNext/>
        <w:spacing w:before="0" w:beforeAutospacing="0" w:after="0" w:afterAutospacing="0"/>
        <w:jc w:val="center"/>
        <w:rPr>
          <w:i/>
          <w:iCs/>
          <w:sz w:val="20"/>
          <w:szCs w:val="20"/>
          <w:lang w:val="es-ES"/>
        </w:rPr>
      </w:pPr>
      <w:r w:rsidRPr="00CD2DE5">
        <w:rPr>
          <w:i/>
          <w:iCs/>
          <w:sz w:val="20"/>
          <w:szCs w:val="20"/>
          <w:lang w:val="es-ES"/>
        </w:rPr>
        <w:t>(en miles de francos suizos)</w:t>
      </w:r>
    </w:p>
    <w:p w:rsidR="00CF11D1" w:rsidRPr="00CD2DE5" w:rsidRDefault="00CF11D1" w:rsidP="00CF11D1">
      <w:pPr>
        <w:pStyle w:val="NormalWeb"/>
        <w:keepNext/>
        <w:spacing w:before="0" w:beforeAutospacing="0" w:after="0" w:afterAutospacing="0"/>
        <w:jc w:val="center"/>
        <w:rPr>
          <w:i/>
          <w:iCs/>
          <w:color w:val="000000"/>
          <w:sz w:val="20"/>
          <w:szCs w:val="20"/>
          <w:lang w:val="es-ES"/>
        </w:rPr>
      </w:pPr>
    </w:p>
    <w:p w:rsidR="00CF11D1" w:rsidRPr="00CD2DE5" w:rsidRDefault="00CF11D1" w:rsidP="00CF11D1">
      <w:pPr>
        <w:jc w:val="center"/>
      </w:pPr>
      <w:bookmarkStart w:id="75" w:name="Bm5"/>
      <w:bookmarkStart w:id="76" w:name="Punto5"/>
      <w:r>
        <w:rPr>
          <w:noProof/>
          <w:lang w:val="en-US" w:eastAsia="en-US"/>
        </w:rPr>
        <w:drawing>
          <wp:inline distT="0" distB="0" distL="0" distR="0" wp14:anchorId="79D7F213" wp14:editId="6C6EC49A">
            <wp:extent cx="5676900" cy="279082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676900" cy="2790825"/>
                    </a:xfrm>
                    <a:prstGeom prst="rect">
                      <a:avLst/>
                    </a:prstGeom>
                    <a:noFill/>
                    <a:ln>
                      <a:noFill/>
                    </a:ln>
                  </pic:spPr>
                </pic:pic>
              </a:graphicData>
            </a:graphic>
          </wp:inline>
        </w:drawing>
      </w:r>
      <w:bookmarkEnd w:id="75"/>
      <w:bookmarkEnd w:id="76"/>
    </w:p>
    <w:p w:rsidR="00CF11D1" w:rsidRDefault="00CF11D1" w:rsidP="00CF11D1"/>
    <w:p w:rsidR="00CF11D1" w:rsidRPr="00CD2DE5" w:rsidRDefault="00CF11D1" w:rsidP="00CF11D1"/>
    <w:p w:rsidR="00CF11D1" w:rsidRPr="00CD2DE5" w:rsidRDefault="00CF11D1" w:rsidP="00CF11D1">
      <w:pPr>
        <w:pStyle w:val="NormalWeb"/>
        <w:keepNext/>
        <w:keepLines/>
        <w:spacing w:before="0" w:beforeAutospacing="0" w:after="0" w:afterAutospacing="0"/>
        <w:jc w:val="center"/>
        <w:rPr>
          <w:sz w:val="20"/>
          <w:szCs w:val="20"/>
          <w:lang w:val="es-ES"/>
        </w:rPr>
      </w:pPr>
      <w:r w:rsidRPr="00CD2DE5">
        <w:rPr>
          <w:sz w:val="20"/>
          <w:szCs w:val="20"/>
          <w:lang w:val="es-ES"/>
        </w:rPr>
        <w:t xml:space="preserve">Presupuesto y gastos reales (de personal y no relativos a personal) </w:t>
      </w:r>
    </w:p>
    <w:p w:rsidR="00CF11D1" w:rsidRPr="00CD2DE5" w:rsidRDefault="00CF11D1" w:rsidP="00CF11D1">
      <w:pPr>
        <w:pStyle w:val="NormalWeb"/>
        <w:keepNext/>
        <w:keepLines/>
        <w:spacing w:before="0" w:beforeAutospacing="0" w:after="0" w:afterAutospacing="0"/>
        <w:jc w:val="center"/>
        <w:rPr>
          <w:i/>
          <w:iCs/>
          <w:sz w:val="20"/>
          <w:szCs w:val="20"/>
          <w:lang w:val="es-ES"/>
        </w:rPr>
      </w:pPr>
      <w:r w:rsidRPr="00CD2DE5">
        <w:rPr>
          <w:i/>
          <w:iCs/>
          <w:sz w:val="20"/>
          <w:szCs w:val="20"/>
          <w:lang w:val="es-ES"/>
        </w:rPr>
        <w:t>(en miles de francos suizos)</w:t>
      </w:r>
    </w:p>
    <w:p w:rsidR="00CF11D1" w:rsidRPr="00CD2DE5" w:rsidRDefault="00CF11D1" w:rsidP="00CF11D1">
      <w:pPr>
        <w:pStyle w:val="NormalWeb"/>
        <w:keepNext/>
        <w:keepLines/>
        <w:spacing w:before="0" w:beforeAutospacing="0" w:after="0" w:afterAutospacing="0"/>
        <w:jc w:val="center"/>
        <w:rPr>
          <w:lang w:val="es-ES"/>
        </w:rPr>
      </w:pPr>
    </w:p>
    <w:p w:rsidR="00CF11D1" w:rsidRPr="00CD2DE5" w:rsidRDefault="00CF11D1" w:rsidP="00CF11D1">
      <w:pPr>
        <w:jc w:val="center"/>
      </w:pPr>
      <w:bookmarkStart w:id="77" w:name="Point5"/>
      <w:r>
        <w:rPr>
          <w:noProof/>
          <w:lang w:val="en-US" w:eastAsia="en-US"/>
        </w:rPr>
        <w:drawing>
          <wp:inline distT="0" distB="0" distL="0" distR="0" wp14:anchorId="707931F7" wp14:editId="747ED1D4">
            <wp:extent cx="5940425" cy="982455"/>
            <wp:effectExtent l="0" t="0" r="3175" b="825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940425" cy="982455"/>
                    </a:xfrm>
                    <a:prstGeom prst="rect">
                      <a:avLst/>
                    </a:prstGeom>
                    <a:noFill/>
                    <a:ln>
                      <a:noFill/>
                    </a:ln>
                  </pic:spPr>
                </pic:pic>
              </a:graphicData>
            </a:graphic>
          </wp:inline>
        </w:drawing>
      </w:r>
      <w:bookmarkEnd w:id="77"/>
    </w:p>
    <w:p w:rsidR="00CF11D1" w:rsidRPr="00CD2DE5" w:rsidRDefault="00CF11D1" w:rsidP="00CF11D1">
      <w:pPr>
        <w:keepNext/>
        <w:autoSpaceDE w:val="0"/>
        <w:autoSpaceDN w:val="0"/>
        <w:rPr>
          <w:sz w:val="16"/>
          <w:szCs w:val="16"/>
        </w:rPr>
      </w:pPr>
    </w:p>
    <w:p w:rsidR="00CF11D1" w:rsidRPr="00CD2DE5" w:rsidRDefault="00CF11D1" w:rsidP="00CF11D1">
      <w:pPr>
        <w:rPr>
          <w:sz w:val="24"/>
        </w:rPr>
      </w:pPr>
      <w:r w:rsidRPr="00CD2DE5">
        <w:rPr>
          <w:i/>
          <w:sz w:val="16"/>
          <w:szCs w:val="16"/>
        </w:rPr>
        <w:t>NOTA:  Los recursos para los proyectos de la A.D. “P.I. y transferencia de tecnología” y “Proyectos de colaboración abierta” (280.000 y 153.000 francos suizos respectivamente) se recogen bajo los resultados previstos IV.2 y VII.3.  Los proyectos se culminaron en 2015;  en el programa 30 se recoge un informe sustantivo de ambos proyectos.</w:t>
      </w:r>
    </w:p>
    <w:p w:rsidR="00CF11D1" w:rsidRDefault="00CF11D1" w:rsidP="00CF11D1">
      <w:pPr>
        <w:widowControl w:val="0"/>
        <w:autoSpaceDE w:val="0"/>
        <w:autoSpaceDN w:val="0"/>
        <w:adjustRightInd w:val="0"/>
        <w:rPr>
          <w:sz w:val="20"/>
        </w:rPr>
      </w:pPr>
    </w:p>
    <w:p w:rsidR="00CF11D1" w:rsidRPr="00CD2DE5" w:rsidRDefault="00CF11D1" w:rsidP="00CF11D1">
      <w:pPr>
        <w:widowControl w:val="0"/>
        <w:autoSpaceDE w:val="0"/>
        <w:autoSpaceDN w:val="0"/>
        <w:adjustRightInd w:val="0"/>
        <w:rPr>
          <w:sz w:val="20"/>
        </w:rPr>
      </w:pPr>
    </w:p>
    <w:p w:rsidR="00CF11D1" w:rsidRPr="00CD2DE5" w:rsidRDefault="00403D2C" w:rsidP="00CF11D1">
      <w:pPr>
        <w:rPr>
          <w:sz w:val="20"/>
          <w:u w:val="single"/>
        </w:rPr>
      </w:pPr>
      <w:r w:rsidRPr="00403D2C">
        <w:rPr>
          <w:sz w:val="20"/>
        </w:rPr>
        <w:t>A.</w:t>
      </w:r>
      <w:r w:rsidRPr="00403D2C">
        <w:rPr>
          <w:sz w:val="20"/>
        </w:rPr>
        <w:tab/>
      </w:r>
      <w:r w:rsidRPr="00403D2C">
        <w:rPr>
          <w:sz w:val="20"/>
          <w:u w:val="single"/>
        </w:rPr>
        <w:t>Presupuesto final de 2014/15 tras las transferencias</w:t>
      </w:r>
    </w:p>
    <w:p w:rsidR="00CF11D1" w:rsidRPr="00CD2DE5" w:rsidRDefault="00CF11D1" w:rsidP="00CF11D1">
      <w:pPr>
        <w:autoSpaceDE w:val="0"/>
        <w:autoSpaceDN w:val="0"/>
        <w:jc w:val="both"/>
        <w:rPr>
          <w:sz w:val="20"/>
          <w:lang w:eastAsia="ko-KR"/>
        </w:rPr>
      </w:pPr>
    </w:p>
    <w:p w:rsidR="00CF11D1" w:rsidRPr="00CD2DE5" w:rsidRDefault="00CF11D1" w:rsidP="00CF11D1">
      <w:pPr>
        <w:pStyle w:val="ListParagraph"/>
        <w:numPr>
          <w:ilvl w:val="0"/>
          <w:numId w:val="17"/>
        </w:numPr>
        <w:tabs>
          <w:tab w:val="left" w:pos="709"/>
        </w:tabs>
        <w:autoSpaceDE w:val="0"/>
        <w:autoSpaceDN w:val="0"/>
        <w:adjustRightInd w:val="0"/>
        <w:ind w:left="0" w:firstLine="0"/>
        <w:jc w:val="both"/>
        <w:rPr>
          <w:lang w:val="es-ES" w:eastAsia="ko-KR"/>
        </w:rPr>
      </w:pPr>
      <w:r w:rsidRPr="00CD2DE5">
        <w:rPr>
          <w:rFonts w:cs="Arial"/>
          <w:lang w:val="es-ES"/>
        </w:rPr>
        <w:t>La disminución general en el presupuesto final tras las transferencias se debe principalmente a</w:t>
      </w:r>
      <w:r w:rsidRPr="00CD2DE5">
        <w:rPr>
          <w:rFonts w:cs="Arial"/>
          <w:lang w:val="es-ES" w:eastAsia="ko-KR"/>
        </w:rPr>
        <w:t>l aumento de</w:t>
      </w:r>
      <w:r w:rsidRPr="00CD2DE5">
        <w:rPr>
          <w:lang w:val="es-ES" w:eastAsia="ko-KR"/>
        </w:rPr>
        <w:t xml:space="preserve"> la productividad que se registró durante el bienio en la tramitación de las solicitudes internacionales.  Por otra parte, la mejora de los flujos de trabajo y d</w:t>
      </w:r>
      <w:r w:rsidRPr="00CD2DE5">
        <w:rPr>
          <w:lang w:val="es-ES"/>
        </w:rPr>
        <w:t>e la tramitación de los compromisos financieros con respecto a los servicios de traducción contribuyeron a una utilización más eficaz de los recursos.</w:t>
      </w:r>
    </w:p>
    <w:p w:rsidR="00CF11D1" w:rsidRPr="00CD2DE5" w:rsidRDefault="00CF11D1" w:rsidP="00CF11D1">
      <w:pPr>
        <w:tabs>
          <w:tab w:val="left" w:pos="709"/>
        </w:tabs>
        <w:autoSpaceDE w:val="0"/>
        <w:autoSpaceDN w:val="0"/>
        <w:adjustRightInd w:val="0"/>
        <w:jc w:val="both"/>
        <w:rPr>
          <w:lang w:eastAsia="ko-KR"/>
        </w:rPr>
      </w:pPr>
    </w:p>
    <w:p w:rsidR="00CF11D1" w:rsidRPr="00CD2DE5" w:rsidRDefault="00CF11D1" w:rsidP="00CF11D1">
      <w:pPr>
        <w:pStyle w:val="ListParagraph"/>
        <w:numPr>
          <w:ilvl w:val="0"/>
          <w:numId w:val="17"/>
        </w:numPr>
        <w:tabs>
          <w:tab w:val="left" w:pos="709"/>
        </w:tabs>
        <w:autoSpaceDE w:val="0"/>
        <w:autoSpaceDN w:val="0"/>
        <w:adjustRightInd w:val="0"/>
        <w:ind w:left="0" w:firstLine="0"/>
        <w:jc w:val="both"/>
        <w:rPr>
          <w:rFonts w:cs="Arial"/>
          <w:lang w:val="es-ES" w:eastAsia="ko-KR"/>
        </w:rPr>
      </w:pPr>
      <w:r w:rsidRPr="00CD2DE5">
        <w:rPr>
          <w:rFonts w:cs="Arial"/>
          <w:lang w:val="es-ES" w:eastAsia="ko-KR"/>
        </w:rPr>
        <w:t>Esta disminución general se vio compensada parcialmente por el aumento neto del presupuesto asignado a apoyar las nuevas mejoras de los sistemas de información del PCT.</w:t>
      </w:r>
    </w:p>
    <w:p w:rsidR="00CF11D1" w:rsidRPr="00CD2DE5" w:rsidRDefault="00CF11D1" w:rsidP="00CF11D1">
      <w:pPr>
        <w:pStyle w:val="ListParagraph"/>
        <w:ind w:left="0"/>
        <w:rPr>
          <w:rFonts w:cs="Arial"/>
          <w:lang w:val="es-ES" w:eastAsia="ko-KR"/>
        </w:rPr>
      </w:pPr>
    </w:p>
    <w:p w:rsidR="00CF11D1" w:rsidRPr="00CD2DE5" w:rsidRDefault="00CF11D1" w:rsidP="00CF11D1">
      <w:pPr>
        <w:pStyle w:val="ListParagraph"/>
        <w:numPr>
          <w:ilvl w:val="0"/>
          <w:numId w:val="17"/>
        </w:numPr>
        <w:tabs>
          <w:tab w:val="left" w:pos="709"/>
        </w:tabs>
        <w:autoSpaceDE w:val="0"/>
        <w:autoSpaceDN w:val="0"/>
        <w:adjustRightInd w:val="0"/>
        <w:ind w:left="0" w:firstLine="0"/>
        <w:jc w:val="both"/>
        <w:rPr>
          <w:rFonts w:cs="Arial"/>
          <w:lang w:val="es-ES" w:eastAsia="ko-KR"/>
        </w:rPr>
      </w:pPr>
      <w:r w:rsidRPr="00CD2DE5">
        <w:rPr>
          <w:rFonts w:cs="Arial"/>
          <w:lang w:val="es-ES" w:eastAsia="ko-KR"/>
        </w:rPr>
        <w:t>Los ajustes efectuados entre los resultados en el presupuesto final tras las transferencias se deben principalmente a la reasignación de recursos de personal.</w:t>
      </w:r>
    </w:p>
    <w:p w:rsidR="00CF11D1" w:rsidRPr="00CD2DE5" w:rsidRDefault="00CF11D1" w:rsidP="00CF11D1">
      <w:pPr>
        <w:autoSpaceDE w:val="0"/>
        <w:autoSpaceDN w:val="0"/>
        <w:jc w:val="both"/>
        <w:rPr>
          <w:sz w:val="20"/>
          <w:lang w:eastAsia="ko-KR"/>
        </w:rPr>
      </w:pPr>
    </w:p>
    <w:p w:rsidR="00CF11D1" w:rsidRPr="00CD2DE5" w:rsidRDefault="00403D2C" w:rsidP="00CF11D1">
      <w:pPr>
        <w:jc w:val="both"/>
        <w:rPr>
          <w:sz w:val="20"/>
          <w:u w:val="single"/>
          <w:lang w:eastAsia="ko-KR"/>
        </w:rPr>
      </w:pPr>
      <w:r w:rsidRPr="00403D2C">
        <w:rPr>
          <w:sz w:val="20"/>
          <w:lang w:eastAsia="ko-KR"/>
        </w:rPr>
        <w:t>B.</w:t>
      </w:r>
      <w:r w:rsidRPr="00403D2C">
        <w:rPr>
          <w:color w:val="FF00FF"/>
          <w:sz w:val="20"/>
          <w:lang w:eastAsia="ko-KR"/>
        </w:rPr>
        <w:tab/>
      </w:r>
      <w:r w:rsidRPr="00403D2C">
        <w:rPr>
          <w:sz w:val="20"/>
          <w:u w:val="single"/>
          <w:lang w:eastAsia="ko-KR"/>
        </w:rPr>
        <w:t>Utilización del presupuesto en 2014/15</w:t>
      </w:r>
    </w:p>
    <w:p w:rsidR="00CF11D1" w:rsidRPr="00CD2DE5" w:rsidRDefault="00CF11D1" w:rsidP="00CF11D1">
      <w:pPr>
        <w:jc w:val="both"/>
        <w:rPr>
          <w:sz w:val="20"/>
          <w:u w:val="single"/>
          <w:lang w:eastAsia="ko-KR"/>
        </w:rPr>
      </w:pPr>
    </w:p>
    <w:p w:rsidR="00CF11D1" w:rsidRPr="00CD2DE5" w:rsidRDefault="00CF11D1" w:rsidP="00CF11D1">
      <w:pPr>
        <w:pStyle w:val="ListParagraph"/>
        <w:numPr>
          <w:ilvl w:val="0"/>
          <w:numId w:val="17"/>
        </w:numPr>
        <w:tabs>
          <w:tab w:val="left" w:pos="709"/>
        </w:tabs>
        <w:autoSpaceDE w:val="0"/>
        <w:autoSpaceDN w:val="0"/>
        <w:adjustRightInd w:val="0"/>
        <w:ind w:left="0" w:firstLine="0"/>
        <w:jc w:val="both"/>
        <w:rPr>
          <w:rFonts w:ascii="Calibri" w:hAnsi="Calibri"/>
          <w:lang w:val="es-ES"/>
        </w:rPr>
      </w:pPr>
      <w:r w:rsidRPr="00CD2DE5">
        <w:rPr>
          <w:rFonts w:cs="Arial"/>
          <w:lang w:val="es-ES" w:eastAsia="ko-KR"/>
        </w:rPr>
        <w:t>La utilización general del presupuesto durante el bienio fue del 95% debido a:</w:t>
      </w:r>
    </w:p>
    <w:p w:rsidR="00CF11D1" w:rsidRPr="00CD2DE5" w:rsidRDefault="00CF11D1" w:rsidP="00CF11D1"/>
    <w:p w:rsidR="00CF11D1" w:rsidRPr="00A02A1F" w:rsidRDefault="00CF11D1" w:rsidP="00CF11D1">
      <w:pPr>
        <w:pStyle w:val="ListParagraph"/>
        <w:numPr>
          <w:ilvl w:val="0"/>
          <w:numId w:val="18"/>
        </w:numPr>
        <w:autoSpaceDE w:val="0"/>
        <w:autoSpaceDN w:val="0"/>
        <w:ind w:left="1134" w:hanging="567"/>
        <w:jc w:val="both"/>
        <w:rPr>
          <w:lang w:val="es-ES"/>
        </w:rPr>
      </w:pPr>
      <w:r w:rsidRPr="00CD2DE5">
        <w:rPr>
          <w:rFonts w:cs="Arial"/>
          <w:lang w:val="es-ES" w:eastAsia="ko-KR"/>
        </w:rPr>
        <w:t xml:space="preserve">el aumento de la productividad en la tramitación de las solicitudes internacionales que se consiguió durante el bienio y la reducción de los costos de traducción, lo que se tradujo en </w:t>
      </w:r>
      <w:r w:rsidRPr="00CD2DE5">
        <w:rPr>
          <w:rFonts w:cs="Arial"/>
          <w:lang w:val="es-ES" w:eastAsia="ko-KR"/>
        </w:rPr>
        <w:lastRenderedPageBreak/>
        <w:t>una mejora de la eficacia en las operaciones del PCT, y la aplicación en curso de determinados proyectos del sistema de información del PCT que se habían iniciado y no se completaron en 2015, y que continuará durante el bienio próximo.</w:t>
      </w:r>
    </w:p>
    <w:p w:rsidR="00CF11D1" w:rsidRDefault="00CF11D1" w:rsidP="00CF11D1">
      <w:pPr>
        <w:autoSpaceDE w:val="0"/>
        <w:autoSpaceDN w:val="0"/>
        <w:jc w:val="both"/>
      </w:pPr>
    </w:p>
    <w:p w:rsidR="00CF11D1" w:rsidRPr="00A02A1F" w:rsidRDefault="00CF11D1" w:rsidP="00CF11D1">
      <w:pPr>
        <w:autoSpaceDE w:val="0"/>
        <w:autoSpaceDN w:val="0"/>
        <w:jc w:val="both"/>
      </w:pPr>
    </w:p>
    <w:p w:rsidR="00CF11D1" w:rsidRDefault="00CF11D1" w:rsidP="00CF11D1">
      <w:pPr>
        <w:rPr>
          <w:b/>
          <w:bCs/>
          <w:i/>
          <w:szCs w:val="22"/>
          <w:lang w:eastAsia="en-US"/>
        </w:rPr>
      </w:pPr>
      <w:bookmarkStart w:id="78" w:name="_Toc422927408"/>
      <w:r>
        <w:rPr>
          <w:b/>
          <w:szCs w:val="22"/>
        </w:rPr>
        <w:br w:type="page"/>
      </w:r>
    </w:p>
    <w:p w:rsidR="00CF11D1" w:rsidRPr="00F22588" w:rsidRDefault="00CF11D1" w:rsidP="00CF11D1">
      <w:pPr>
        <w:pStyle w:val="StyleHeading3BoldNounderline"/>
        <w:rPr>
          <w:b/>
          <w:szCs w:val="22"/>
          <w:lang w:val="es-ES"/>
        </w:rPr>
      </w:pPr>
      <w:bookmarkStart w:id="79" w:name="_Toc455159076"/>
      <w:r w:rsidRPr="00F22588">
        <w:rPr>
          <w:b/>
          <w:szCs w:val="22"/>
          <w:lang w:val="es-ES"/>
        </w:rPr>
        <w:lastRenderedPageBreak/>
        <w:t>Programa 5, Anexo:  Indicadores de las operaciones del PCT</w:t>
      </w:r>
      <w:bookmarkEnd w:id="78"/>
      <w:bookmarkEnd w:id="79"/>
    </w:p>
    <w:p w:rsidR="00CF11D1" w:rsidRPr="00F22588" w:rsidRDefault="00CF11D1" w:rsidP="00CF11D1">
      <w:pPr>
        <w:widowControl w:val="0"/>
        <w:rPr>
          <w:sz w:val="20"/>
        </w:rPr>
      </w:pPr>
    </w:p>
    <w:p w:rsidR="00CF11D1" w:rsidRPr="00F22588" w:rsidRDefault="00CF11D1" w:rsidP="00CF11D1">
      <w:pPr>
        <w:widowControl w:val="0"/>
        <w:rPr>
          <w:sz w:val="20"/>
        </w:rPr>
      </w:pPr>
    </w:p>
    <w:p w:rsidR="00CF11D1" w:rsidRPr="00F22588" w:rsidRDefault="00CF11D1" w:rsidP="00CF11D1">
      <w:pPr>
        <w:widowControl w:val="0"/>
        <w:rPr>
          <w:sz w:val="20"/>
        </w:rPr>
      </w:pPr>
      <w:r w:rsidRPr="00F22588">
        <w:rPr>
          <w:sz w:val="20"/>
        </w:rPr>
        <w:t>INDICADORES DE RENDIMIENTO CON RESPECTO AL RESULTADO PREVISTO</w:t>
      </w:r>
    </w:p>
    <w:p w:rsidR="00CF11D1" w:rsidRPr="00F22588" w:rsidRDefault="00CF11D1" w:rsidP="00CF11D1">
      <w:pPr>
        <w:widowControl w:val="0"/>
        <w:rPr>
          <w:sz w:val="20"/>
        </w:rPr>
      </w:pPr>
      <w:r w:rsidRPr="00F22588">
        <w:rPr>
          <w:sz w:val="20"/>
        </w:rPr>
        <w:t>“MEJORA DE LA PRODUCTIVIDAD Y DE LA CALIDAD DE LOS SERVICIOS EN LAS OPERACIONES DEL SISTEMA DEL PCT”</w:t>
      </w:r>
    </w:p>
    <w:p w:rsidR="00CF11D1" w:rsidRPr="00F22588" w:rsidRDefault="00CF11D1" w:rsidP="00CF11D1">
      <w:pPr>
        <w:widowControl w:val="0"/>
        <w:rPr>
          <w:bCs/>
          <w:sz w:val="20"/>
        </w:rPr>
      </w:pPr>
    </w:p>
    <w:p w:rsidR="00CF11D1" w:rsidRPr="00F22588" w:rsidRDefault="00CF11D1" w:rsidP="00CF11D1">
      <w:pPr>
        <w:widowControl w:val="0"/>
        <w:rPr>
          <w:b/>
          <w:sz w:val="20"/>
        </w:rPr>
      </w:pPr>
      <w:r w:rsidRPr="00F22588">
        <w:rPr>
          <w:b/>
          <w:sz w:val="20"/>
        </w:rPr>
        <w:t>Generalidades</w:t>
      </w:r>
    </w:p>
    <w:p w:rsidR="00CF11D1" w:rsidRPr="00F22588" w:rsidRDefault="00CF11D1" w:rsidP="00CF11D1">
      <w:pPr>
        <w:widowControl w:val="0"/>
        <w:rPr>
          <w:b/>
          <w:sz w:val="20"/>
        </w:rPr>
      </w:pPr>
    </w:p>
    <w:p w:rsidR="00CF11D1" w:rsidRPr="00F22588" w:rsidRDefault="00CF11D1" w:rsidP="00CF11D1">
      <w:pPr>
        <w:widowControl w:val="0"/>
        <w:numPr>
          <w:ilvl w:val="0"/>
          <w:numId w:val="21"/>
        </w:numPr>
        <w:tabs>
          <w:tab w:val="clear" w:pos="709"/>
          <w:tab w:val="num" w:pos="567"/>
        </w:tabs>
        <w:ind w:left="0"/>
        <w:jc w:val="both"/>
        <w:rPr>
          <w:sz w:val="20"/>
        </w:rPr>
      </w:pPr>
      <w:r w:rsidRPr="00F22588">
        <w:rPr>
          <w:sz w:val="20"/>
        </w:rPr>
        <w:t>Como referencia de los indicadores de rendimiento en lo que respecta al resultado previsto “Mejora de la productividad y de la calidad de los servicios en las operaciones del Sistema del PCT”, es necesario considerar la evolución de los siguientes factores:</w:t>
      </w:r>
    </w:p>
    <w:p w:rsidR="00CF11D1" w:rsidRPr="00F22588" w:rsidRDefault="00CF11D1" w:rsidP="00CF11D1">
      <w:pPr>
        <w:widowControl w:val="0"/>
        <w:rPr>
          <w:sz w:val="20"/>
        </w:rPr>
      </w:pPr>
    </w:p>
    <w:p w:rsidR="00CF11D1" w:rsidRPr="00F22588" w:rsidRDefault="00CF11D1" w:rsidP="00CF11D1">
      <w:pPr>
        <w:widowControl w:val="0"/>
        <w:numPr>
          <w:ilvl w:val="0"/>
          <w:numId w:val="20"/>
        </w:numPr>
        <w:tabs>
          <w:tab w:val="clear" w:pos="720"/>
          <w:tab w:val="num" w:pos="1100"/>
        </w:tabs>
        <w:spacing w:after="60"/>
        <w:ind w:left="1208" w:hanging="658"/>
        <w:rPr>
          <w:sz w:val="20"/>
        </w:rPr>
      </w:pPr>
      <w:r w:rsidRPr="00F22588">
        <w:rPr>
          <w:sz w:val="20"/>
        </w:rPr>
        <w:t>volúmenes de trabajo del PCT;</w:t>
      </w:r>
    </w:p>
    <w:p w:rsidR="00CF11D1" w:rsidRPr="00F22588" w:rsidRDefault="00CF11D1" w:rsidP="00CF11D1">
      <w:pPr>
        <w:widowControl w:val="0"/>
        <w:numPr>
          <w:ilvl w:val="0"/>
          <w:numId w:val="20"/>
        </w:numPr>
        <w:tabs>
          <w:tab w:val="clear" w:pos="720"/>
          <w:tab w:val="num" w:pos="1100"/>
        </w:tabs>
        <w:spacing w:after="60"/>
        <w:ind w:left="1208" w:hanging="658"/>
        <w:rPr>
          <w:sz w:val="20"/>
        </w:rPr>
      </w:pPr>
      <w:r w:rsidRPr="00F22588">
        <w:rPr>
          <w:sz w:val="20"/>
        </w:rPr>
        <w:t>distribución de idiomas con respecto al volumen de trabajo;</w:t>
      </w:r>
    </w:p>
    <w:p w:rsidR="00CF11D1" w:rsidRPr="00F22588" w:rsidRDefault="00CF11D1" w:rsidP="00CF11D1">
      <w:pPr>
        <w:widowControl w:val="0"/>
        <w:numPr>
          <w:ilvl w:val="0"/>
          <w:numId w:val="20"/>
        </w:numPr>
        <w:tabs>
          <w:tab w:val="clear" w:pos="720"/>
          <w:tab w:val="num" w:pos="1100"/>
        </w:tabs>
        <w:spacing w:after="60"/>
        <w:ind w:left="1208" w:hanging="658"/>
        <w:rPr>
          <w:sz w:val="20"/>
        </w:rPr>
      </w:pPr>
      <w:r w:rsidRPr="00F22588">
        <w:rPr>
          <w:sz w:val="20"/>
        </w:rPr>
        <w:t>personal asignado para gestionar el volumen de trabajo;  y</w:t>
      </w:r>
    </w:p>
    <w:p w:rsidR="00CF11D1" w:rsidRPr="00F22588" w:rsidRDefault="00CF11D1" w:rsidP="00CF11D1">
      <w:pPr>
        <w:widowControl w:val="0"/>
        <w:numPr>
          <w:ilvl w:val="0"/>
          <w:numId w:val="20"/>
        </w:numPr>
        <w:tabs>
          <w:tab w:val="clear" w:pos="720"/>
          <w:tab w:val="num" w:pos="1100"/>
        </w:tabs>
        <w:ind w:left="1210" w:hanging="660"/>
        <w:rPr>
          <w:sz w:val="20"/>
        </w:rPr>
      </w:pPr>
      <w:r w:rsidRPr="00F22588">
        <w:rPr>
          <w:sz w:val="20"/>
        </w:rPr>
        <w:t>nivel de automatización.</w:t>
      </w:r>
    </w:p>
    <w:p w:rsidR="00CF11D1" w:rsidRPr="00F22588" w:rsidRDefault="00CF11D1" w:rsidP="00CF11D1">
      <w:pPr>
        <w:widowControl w:val="0"/>
        <w:tabs>
          <w:tab w:val="num" w:pos="1100"/>
        </w:tabs>
        <w:rPr>
          <w:sz w:val="20"/>
        </w:rPr>
      </w:pPr>
    </w:p>
    <w:p w:rsidR="00CF11D1" w:rsidRPr="00F22588" w:rsidRDefault="00CF11D1" w:rsidP="00CF11D1">
      <w:pPr>
        <w:widowControl w:val="0"/>
        <w:rPr>
          <w:i/>
          <w:sz w:val="20"/>
        </w:rPr>
      </w:pPr>
      <w:r w:rsidRPr="00F22588">
        <w:rPr>
          <w:i/>
          <w:sz w:val="20"/>
        </w:rPr>
        <w:t>Volúmenes de trabajo</w:t>
      </w:r>
    </w:p>
    <w:p w:rsidR="00CF11D1" w:rsidRPr="00F22588" w:rsidRDefault="00CF11D1" w:rsidP="00CF11D1">
      <w:pPr>
        <w:widowControl w:val="0"/>
        <w:rPr>
          <w:sz w:val="20"/>
        </w:rPr>
      </w:pPr>
    </w:p>
    <w:p w:rsidR="00CF11D1" w:rsidRPr="00F22588" w:rsidRDefault="00CF11D1" w:rsidP="00CF11D1">
      <w:pPr>
        <w:widowControl w:val="0"/>
        <w:numPr>
          <w:ilvl w:val="0"/>
          <w:numId w:val="21"/>
        </w:numPr>
        <w:tabs>
          <w:tab w:val="clear" w:pos="709"/>
          <w:tab w:val="num" w:pos="567"/>
        </w:tabs>
        <w:ind w:left="0"/>
        <w:jc w:val="both"/>
        <w:rPr>
          <w:sz w:val="20"/>
        </w:rPr>
      </w:pPr>
      <w:r w:rsidRPr="00F22588">
        <w:rPr>
          <w:sz w:val="20"/>
        </w:rPr>
        <w:t>La evolución de los volúmenes de trabajo se analiza a partir del número de ejemplares originales que la Oficina Internacional</w:t>
      </w:r>
      <w:r w:rsidRPr="00F22588">
        <w:rPr>
          <w:rStyle w:val="FootnoteReference"/>
          <w:sz w:val="20"/>
        </w:rPr>
        <w:footnoteReference w:id="21"/>
      </w:r>
      <w:r w:rsidRPr="00F22588">
        <w:rPr>
          <w:sz w:val="20"/>
        </w:rPr>
        <w:t xml:space="preserve"> recibe anualmente.</w:t>
      </w:r>
    </w:p>
    <w:p w:rsidR="00CF11D1" w:rsidRPr="00F22588" w:rsidRDefault="00CF11D1" w:rsidP="00CF11D1">
      <w:pPr>
        <w:widowControl w:val="0"/>
        <w:rPr>
          <w:b/>
          <w:bCs/>
          <w:sz w:val="20"/>
        </w:rPr>
      </w:pPr>
    </w:p>
    <w:p w:rsidR="00CF11D1" w:rsidRPr="00F22588" w:rsidRDefault="00CF11D1" w:rsidP="00CF11D1">
      <w:pPr>
        <w:widowControl w:val="0"/>
        <w:jc w:val="center"/>
        <w:rPr>
          <w:b/>
          <w:bCs/>
          <w:sz w:val="18"/>
          <w:szCs w:val="18"/>
        </w:rPr>
      </w:pPr>
      <w:r w:rsidRPr="00F22588">
        <w:rPr>
          <w:b/>
          <w:bCs/>
          <w:sz w:val="18"/>
          <w:szCs w:val="18"/>
        </w:rPr>
        <w:t>Evolución del número de ejemplares originales por medio de presentación</w:t>
      </w:r>
    </w:p>
    <w:p w:rsidR="00CF11D1" w:rsidRPr="00F22588" w:rsidRDefault="00CF11D1" w:rsidP="00CF11D1">
      <w:pPr>
        <w:widowControl w:val="0"/>
        <w:jc w:val="center"/>
        <w:rPr>
          <w:b/>
          <w:bCs/>
          <w:sz w:val="18"/>
          <w:szCs w:val="18"/>
        </w:rPr>
      </w:pPr>
      <w:r w:rsidRPr="00C12A7E">
        <w:rPr>
          <w:noProof/>
          <w:lang w:val="en-US" w:eastAsia="en-US"/>
        </w:rPr>
        <w:drawing>
          <wp:inline distT="0" distB="0" distL="0" distR="0" wp14:anchorId="4044B105" wp14:editId="2647E229">
            <wp:extent cx="5940425" cy="2386480"/>
            <wp:effectExtent l="0" t="0" r="317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940425" cy="2386480"/>
                    </a:xfrm>
                    <a:prstGeom prst="rect">
                      <a:avLst/>
                    </a:prstGeom>
                    <a:noFill/>
                    <a:ln>
                      <a:noFill/>
                    </a:ln>
                  </pic:spPr>
                </pic:pic>
              </a:graphicData>
            </a:graphic>
          </wp:inline>
        </w:drawing>
      </w:r>
    </w:p>
    <w:p w:rsidR="00CF11D1" w:rsidRPr="00F22588" w:rsidRDefault="00CF11D1" w:rsidP="00CF11D1">
      <w:pPr>
        <w:widowControl w:val="0"/>
        <w:jc w:val="center"/>
        <w:rPr>
          <w:b/>
          <w:bCs/>
          <w:sz w:val="18"/>
          <w:szCs w:val="18"/>
        </w:rPr>
      </w:pPr>
    </w:p>
    <w:p w:rsidR="00CF11D1" w:rsidRPr="00F22588" w:rsidRDefault="00CF11D1" w:rsidP="00CF11D1">
      <w:pPr>
        <w:pStyle w:val="BodyText2"/>
        <w:widowControl w:val="0"/>
        <w:numPr>
          <w:ilvl w:val="0"/>
          <w:numId w:val="22"/>
        </w:numPr>
        <w:tabs>
          <w:tab w:val="clear" w:pos="720"/>
          <w:tab w:val="num" w:pos="1134"/>
        </w:tabs>
        <w:spacing w:after="60" w:line="240" w:lineRule="auto"/>
        <w:ind w:left="1134" w:hanging="567"/>
        <w:jc w:val="both"/>
        <w:rPr>
          <w:rFonts w:cs="Arial"/>
          <w:szCs w:val="20"/>
          <w:lang w:val="es-ES"/>
        </w:rPr>
      </w:pPr>
      <w:r w:rsidRPr="00F22588">
        <w:rPr>
          <w:rFonts w:cs="Arial"/>
          <w:szCs w:val="20"/>
          <w:highlight w:val="white"/>
          <w:lang w:val="es-ES"/>
        </w:rPr>
        <w:t>La Oficina Internacional recibió aproximadamente</w:t>
      </w:r>
      <w:r w:rsidRPr="00F22588">
        <w:rPr>
          <w:rFonts w:cs="Arial"/>
          <w:szCs w:val="20"/>
          <w:lang w:val="es-ES"/>
        </w:rPr>
        <w:t xml:space="preserve"> 217.000 ejemplares originales</w:t>
      </w:r>
      <w:r w:rsidRPr="00F22588">
        <w:rPr>
          <w:rFonts w:cs="Arial"/>
          <w:szCs w:val="20"/>
          <w:highlight w:val="white"/>
          <w:lang w:val="es-ES"/>
        </w:rPr>
        <w:t xml:space="preserve"> en</w:t>
      </w:r>
      <w:r w:rsidRPr="00F22588">
        <w:rPr>
          <w:rFonts w:cs="Arial"/>
          <w:szCs w:val="20"/>
          <w:lang w:val="es-ES"/>
        </w:rPr>
        <w:t xml:space="preserve"> 2015, </w:t>
      </w:r>
      <w:r w:rsidRPr="00F22588">
        <w:rPr>
          <w:rFonts w:cs="Arial"/>
          <w:szCs w:val="20"/>
          <w:highlight w:val="white"/>
          <w:lang w:val="es-ES"/>
        </w:rPr>
        <w:t>lo que representa una pequeña disminución del</w:t>
      </w:r>
      <w:r w:rsidRPr="00F22588">
        <w:rPr>
          <w:rFonts w:cs="Arial"/>
          <w:szCs w:val="20"/>
          <w:lang w:val="es-ES"/>
        </w:rPr>
        <w:t> </w:t>
      </w:r>
      <w:r w:rsidRPr="00F22588">
        <w:rPr>
          <w:rFonts w:cs="Arial"/>
          <w:szCs w:val="20"/>
          <w:highlight w:val="white"/>
          <w:lang w:val="es-ES"/>
        </w:rPr>
        <w:t>0,3%</w:t>
      </w:r>
      <w:r w:rsidRPr="00F22588">
        <w:rPr>
          <w:rFonts w:cs="Arial"/>
          <w:szCs w:val="20"/>
          <w:lang w:val="es-ES"/>
        </w:rPr>
        <w:t xml:space="preserve"> con respecto a 2014.  Una de las razones principales de esta disminución es el repunte de las solicitudes procedentes de los Estados Unidos de América en marzo de 2014, </w:t>
      </w:r>
      <w:r w:rsidRPr="00F22588">
        <w:rPr>
          <w:rFonts w:cs="Arial"/>
          <w:lang w:val="es-ES"/>
        </w:rPr>
        <w:t xml:space="preserve">debido a que un año antes había entrado en vigor la Ley </w:t>
      </w:r>
      <w:proofErr w:type="spellStart"/>
      <w:r w:rsidRPr="00F22588">
        <w:rPr>
          <w:rFonts w:cs="Arial"/>
          <w:lang w:val="es-ES"/>
        </w:rPr>
        <w:t>Leahy</w:t>
      </w:r>
      <w:proofErr w:type="spellEnd"/>
      <w:r w:rsidRPr="00F22588">
        <w:rPr>
          <w:rFonts w:cs="Arial"/>
          <w:lang w:val="es-ES"/>
        </w:rPr>
        <w:t xml:space="preserve">-Smith </w:t>
      </w:r>
      <w:proofErr w:type="spellStart"/>
      <w:r w:rsidRPr="00F22588">
        <w:rPr>
          <w:rFonts w:cs="Arial"/>
          <w:lang w:val="es-ES"/>
        </w:rPr>
        <w:t>America</w:t>
      </w:r>
      <w:proofErr w:type="spellEnd"/>
      <w:r w:rsidRPr="00F22588">
        <w:rPr>
          <w:rFonts w:cs="Arial"/>
          <w:lang w:val="es-ES"/>
        </w:rPr>
        <w:t xml:space="preserve"> </w:t>
      </w:r>
      <w:proofErr w:type="spellStart"/>
      <w:r w:rsidRPr="00F22588">
        <w:rPr>
          <w:rFonts w:cs="Arial"/>
          <w:lang w:val="es-ES"/>
        </w:rPr>
        <w:t>Invents</w:t>
      </w:r>
      <w:proofErr w:type="spellEnd"/>
      <w:r w:rsidRPr="00F22588">
        <w:rPr>
          <w:rFonts w:cs="Arial"/>
          <w:lang w:val="es-ES"/>
        </w:rPr>
        <w:t>.  Aun así, el total de ejemplares originales recibidas durante el bienio 2014/15 aumentó un 9% en comparación con el bienio 2012/13.</w:t>
      </w:r>
    </w:p>
    <w:p w:rsidR="00CF11D1" w:rsidRPr="00F22588" w:rsidRDefault="00CF11D1" w:rsidP="00CF11D1">
      <w:pPr>
        <w:pStyle w:val="BodyText2"/>
        <w:widowControl w:val="0"/>
        <w:numPr>
          <w:ilvl w:val="0"/>
          <w:numId w:val="22"/>
        </w:numPr>
        <w:tabs>
          <w:tab w:val="clear" w:pos="720"/>
          <w:tab w:val="num" w:pos="1134"/>
        </w:tabs>
        <w:spacing w:after="60" w:line="240" w:lineRule="auto"/>
        <w:ind w:left="1134" w:hanging="567"/>
        <w:jc w:val="both"/>
        <w:rPr>
          <w:rFonts w:cs="Arial"/>
          <w:szCs w:val="20"/>
          <w:lang w:val="es-ES"/>
        </w:rPr>
      </w:pPr>
      <w:r w:rsidRPr="00F22588">
        <w:rPr>
          <w:rFonts w:cs="Arial"/>
          <w:szCs w:val="20"/>
          <w:lang w:val="es-ES"/>
        </w:rPr>
        <w:t>En 2015 siguió aumentando el porcentaje de solicitudes presentadas enteramente por medios electrónicos, que actualmente constituye el 94% de todas las solicitudes que se presentan.</w:t>
      </w:r>
    </w:p>
    <w:p w:rsidR="00CF11D1" w:rsidRPr="00F22588" w:rsidRDefault="00CF11D1" w:rsidP="00CF11D1">
      <w:pPr>
        <w:pStyle w:val="BodyText2"/>
        <w:keepNext/>
        <w:keepLines/>
        <w:widowControl w:val="0"/>
        <w:spacing w:after="0" w:line="240" w:lineRule="auto"/>
        <w:rPr>
          <w:rFonts w:cs="Arial"/>
          <w:i/>
          <w:szCs w:val="20"/>
          <w:lang w:val="es-ES"/>
        </w:rPr>
      </w:pPr>
      <w:r w:rsidRPr="00F22588">
        <w:rPr>
          <w:rFonts w:cs="Arial"/>
          <w:i/>
          <w:szCs w:val="20"/>
          <w:lang w:val="es-ES"/>
        </w:rPr>
        <w:lastRenderedPageBreak/>
        <w:t>Distribución de idiomas</w:t>
      </w:r>
    </w:p>
    <w:p w:rsidR="00CF11D1" w:rsidRPr="00F22588" w:rsidRDefault="00CF11D1" w:rsidP="00CF11D1">
      <w:pPr>
        <w:pStyle w:val="BodyText2"/>
        <w:keepNext/>
        <w:keepLines/>
        <w:widowControl w:val="0"/>
        <w:spacing w:after="0" w:line="240" w:lineRule="auto"/>
        <w:rPr>
          <w:rFonts w:cs="Arial"/>
          <w:szCs w:val="20"/>
          <w:lang w:val="es-ES"/>
        </w:rPr>
      </w:pPr>
    </w:p>
    <w:p w:rsidR="00CF11D1" w:rsidRPr="00F22588" w:rsidRDefault="00CF11D1" w:rsidP="00CF11D1">
      <w:pPr>
        <w:keepNext/>
        <w:keepLines/>
        <w:widowControl w:val="0"/>
        <w:numPr>
          <w:ilvl w:val="0"/>
          <w:numId w:val="21"/>
        </w:numPr>
        <w:tabs>
          <w:tab w:val="clear" w:pos="709"/>
          <w:tab w:val="num" w:pos="567"/>
        </w:tabs>
        <w:ind w:left="0"/>
        <w:jc w:val="both"/>
        <w:rPr>
          <w:sz w:val="20"/>
        </w:rPr>
      </w:pPr>
      <w:r w:rsidRPr="00F22588">
        <w:rPr>
          <w:sz w:val="20"/>
        </w:rPr>
        <w:t>Uno de los factores fundamentales del cambio en el funcionamiento de la Oficina Internacional es la creciente diversidad lingüística de las solicitudes presentadas, que es consecuencia, principalmente, del aumento continuo en el uso del Sistema del PCT en los países de Asia oriental.</w:t>
      </w:r>
    </w:p>
    <w:p w:rsidR="00CF11D1" w:rsidRPr="00F22588" w:rsidRDefault="00CF11D1" w:rsidP="00CF11D1">
      <w:pPr>
        <w:keepNext/>
        <w:keepLines/>
        <w:widowControl w:val="0"/>
        <w:jc w:val="both"/>
        <w:rPr>
          <w:sz w:val="20"/>
          <w:highlight w:val="yellow"/>
        </w:rPr>
      </w:pPr>
    </w:p>
    <w:p w:rsidR="00CF11D1" w:rsidRPr="00F22588" w:rsidRDefault="00CF11D1" w:rsidP="00CF11D1">
      <w:pPr>
        <w:widowControl w:val="0"/>
        <w:spacing w:after="120"/>
        <w:jc w:val="center"/>
        <w:rPr>
          <w:i/>
          <w:sz w:val="20"/>
        </w:rPr>
      </w:pPr>
      <w:r w:rsidRPr="00F22588">
        <w:rPr>
          <w:b/>
          <w:bCs/>
          <w:sz w:val="20"/>
          <w:highlight w:val="white"/>
        </w:rPr>
        <w:t>Idiomas de presentación</w:t>
      </w:r>
      <w:r w:rsidRPr="00F22588">
        <w:rPr>
          <w:sz w:val="20"/>
        </w:rPr>
        <w:t xml:space="preserve"> </w:t>
      </w:r>
      <w:r w:rsidRPr="00F22588">
        <w:rPr>
          <w:i/>
          <w:sz w:val="20"/>
        </w:rPr>
        <w:t>(todos)</w:t>
      </w:r>
    </w:p>
    <w:p w:rsidR="00CF11D1" w:rsidRPr="00F22588" w:rsidRDefault="00CF11D1" w:rsidP="00CF11D1">
      <w:pPr>
        <w:widowControl w:val="0"/>
        <w:spacing w:after="120"/>
        <w:jc w:val="center"/>
        <w:rPr>
          <w:i/>
          <w:sz w:val="18"/>
          <w:szCs w:val="18"/>
        </w:rPr>
      </w:pPr>
      <w:r w:rsidRPr="00C12A7E">
        <w:rPr>
          <w:noProof/>
          <w:lang w:val="en-US" w:eastAsia="en-US"/>
        </w:rPr>
        <w:drawing>
          <wp:inline distT="0" distB="0" distL="0" distR="0" wp14:anchorId="2EBC1477" wp14:editId="0069DD58">
            <wp:extent cx="5940425" cy="2928217"/>
            <wp:effectExtent l="0" t="0" r="3175" b="571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940425" cy="2928217"/>
                    </a:xfrm>
                    <a:prstGeom prst="rect">
                      <a:avLst/>
                    </a:prstGeom>
                    <a:noFill/>
                    <a:ln>
                      <a:noFill/>
                    </a:ln>
                  </pic:spPr>
                </pic:pic>
              </a:graphicData>
            </a:graphic>
          </wp:inline>
        </w:drawing>
      </w:r>
    </w:p>
    <w:p w:rsidR="00CF11D1" w:rsidRPr="00F22588" w:rsidRDefault="00CF11D1" w:rsidP="00CF11D1">
      <w:pPr>
        <w:widowControl w:val="0"/>
        <w:numPr>
          <w:ilvl w:val="0"/>
          <w:numId w:val="21"/>
        </w:numPr>
        <w:tabs>
          <w:tab w:val="clear" w:pos="709"/>
          <w:tab w:val="num" w:pos="567"/>
        </w:tabs>
        <w:ind w:left="0"/>
        <w:jc w:val="both"/>
        <w:rPr>
          <w:sz w:val="20"/>
        </w:rPr>
      </w:pPr>
      <w:r w:rsidRPr="00F22588">
        <w:rPr>
          <w:sz w:val="20"/>
        </w:rPr>
        <w:t>Como puede observarse en el gráfico</w:t>
      </w:r>
      <w:r w:rsidRPr="00F22588">
        <w:rPr>
          <w:sz w:val="20"/>
          <w:highlight w:val="white"/>
        </w:rPr>
        <w:t>, si bien en</w:t>
      </w:r>
      <w:r w:rsidRPr="00F22588">
        <w:rPr>
          <w:sz w:val="20"/>
        </w:rPr>
        <w:t xml:space="preserve"> 2015 </w:t>
      </w:r>
      <w:r w:rsidRPr="00F22588">
        <w:rPr>
          <w:sz w:val="20"/>
          <w:highlight w:val="white"/>
        </w:rPr>
        <w:t xml:space="preserve">el porcentaje más alto de solicitudes corresponde a las que se presentaron en inglés, a saber, el </w:t>
      </w:r>
      <w:r w:rsidRPr="00F22588">
        <w:rPr>
          <w:sz w:val="20"/>
        </w:rPr>
        <w:t xml:space="preserve">48,6%, en el último decenio aumentó la proporción de idiomas asiáticos.  El porcentaje combinado de solicitudes PCT presentadas en chino, coreano y japonés aumentó, pasando del </w:t>
      </w:r>
      <w:r w:rsidRPr="00F22588">
        <w:rPr>
          <w:sz w:val="20"/>
          <w:highlight w:val="white"/>
        </w:rPr>
        <w:t>29,5%</w:t>
      </w:r>
      <w:r w:rsidRPr="00F22588">
        <w:rPr>
          <w:sz w:val="20"/>
        </w:rPr>
        <w:t xml:space="preserve"> e</w:t>
      </w:r>
      <w:r w:rsidRPr="00F22588">
        <w:rPr>
          <w:sz w:val="20"/>
          <w:highlight w:val="white"/>
        </w:rPr>
        <w:t>n 2009 al</w:t>
      </w:r>
      <w:r w:rsidRPr="00F22588">
        <w:rPr>
          <w:sz w:val="20"/>
        </w:rPr>
        <w:t xml:space="preserve"> 37,6%</w:t>
      </w:r>
      <w:r w:rsidRPr="00F22588">
        <w:rPr>
          <w:sz w:val="20"/>
          <w:highlight w:val="white"/>
        </w:rPr>
        <w:t xml:space="preserve"> en 201</w:t>
      </w:r>
      <w:r w:rsidRPr="00F22588">
        <w:rPr>
          <w:sz w:val="20"/>
        </w:rPr>
        <w:t>5.  En el siguiente gráfico se presenta la evolución de idiomas distintos al inglés en la presentación de solicitudes:</w:t>
      </w:r>
    </w:p>
    <w:p w:rsidR="00CF11D1" w:rsidRPr="00F22588" w:rsidRDefault="00CF11D1" w:rsidP="00CF11D1">
      <w:pPr>
        <w:widowControl w:val="0"/>
        <w:spacing w:after="120"/>
        <w:rPr>
          <w:sz w:val="20"/>
        </w:rPr>
      </w:pPr>
    </w:p>
    <w:p w:rsidR="00CF11D1" w:rsidRPr="00F22588" w:rsidRDefault="00CF11D1" w:rsidP="00CF11D1">
      <w:pPr>
        <w:widowControl w:val="0"/>
        <w:spacing w:after="120"/>
        <w:jc w:val="center"/>
        <w:rPr>
          <w:sz w:val="20"/>
        </w:rPr>
      </w:pPr>
      <w:r w:rsidRPr="00F22588">
        <w:rPr>
          <w:b/>
          <w:bCs/>
          <w:sz w:val="20"/>
          <w:highlight w:val="white"/>
        </w:rPr>
        <w:t>Idiomas de presentación</w:t>
      </w:r>
      <w:r w:rsidRPr="00F22588">
        <w:rPr>
          <w:b/>
          <w:bCs/>
          <w:sz w:val="20"/>
        </w:rPr>
        <w:t xml:space="preserve"> </w:t>
      </w:r>
      <w:r w:rsidRPr="00F22588">
        <w:rPr>
          <w:sz w:val="20"/>
        </w:rPr>
        <w:t>(</w:t>
      </w:r>
      <w:r w:rsidRPr="00F22588">
        <w:rPr>
          <w:i/>
          <w:sz w:val="20"/>
        </w:rPr>
        <w:t>todos excepto el inglés</w:t>
      </w:r>
      <w:r w:rsidRPr="00F22588">
        <w:rPr>
          <w:sz w:val="20"/>
        </w:rPr>
        <w:t>)</w:t>
      </w:r>
    </w:p>
    <w:p w:rsidR="00CF11D1" w:rsidRPr="00F22588" w:rsidRDefault="00CF11D1" w:rsidP="00CF11D1">
      <w:pPr>
        <w:widowControl w:val="0"/>
        <w:spacing w:after="120"/>
        <w:jc w:val="center"/>
        <w:rPr>
          <w:sz w:val="20"/>
        </w:rPr>
      </w:pPr>
      <w:r w:rsidRPr="00857060">
        <w:rPr>
          <w:noProof/>
          <w:lang w:val="en-US" w:eastAsia="en-US"/>
        </w:rPr>
        <w:drawing>
          <wp:inline distT="0" distB="0" distL="0" distR="0" wp14:anchorId="785D30B6" wp14:editId="2A22BBB8">
            <wp:extent cx="5940425" cy="3174463"/>
            <wp:effectExtent l="0" t="0" r="3175" b="698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940425" cy="3174463"/>
                    </a:xfrm>
                    <a:prstGeom prst="rect">
                      <a:avLst/>
                    </a:prstGeom>
                    <a:noFill/>
                    <a:ln>
                      <a:noFill/>
                    </a:ln>
                  </pic:spPr>
                </pic:pic>
              </a:graphicData>
            </a:graphic>
          </wp:inline>
        </w:drawing>
      </w:r>
    </w:p>
    <w:p w:rsidR="00CF11D1" w:rsidRPr="00F22588" w:rsidRDefault="00CF11D1" w:rsidP="00CF11D1">
      <w:pPr>
        <w:keepNext/>
        <w:keepLines/>
        <w:widowControl w:val="0"/>
        <w:numPr>
          <w:ilvl w:val="0"/>
          <w:numId w:val="21"/>
        </w:numPr>
        <w:tabs>
          <w:tab w:val="clear" w:pos="709"/>
          <w:tab w:val="num" w:pos="567"/>
        </w:tabs>
        <w:ind w:left="0"/>
        <w:jc w:val="both"/>
        <w:rPr>
          <w:sz w:val="20"/>
        </w:rPr>
      </w:pPr>
      <w:r w:rsidRPr="00F22588">
        <w:rPr>
          <w:sz w:val="20"/>
          <w:highlight w:val="white"/>
        </w:rPr>
        <w:lastRenderedPageBreak/>
        <w:t xml:space="preserve">El marcado aumento de las solicitudes presentadas en idiomas asiáticos en los últimos cinco años ha supuesto </w:t>
      </w:r>
      <w:r w:rsidRPr="00F22588">
        <w:rPr>
          <w:sz w:val="20"/>
        </w:rPr>
        <w:t>una carga de trabajo considerable para la Oficina Internacional</w:t>
      </w:r>
      <w:r w:rsidRPr="00F22588">
        <w:rPr>
          <w:sz w:val="20"/>
          <w:highlight w:val="white"/>
        </w:rPr>
        <w:t xml:space="preserve"> debido al número limitado de recursos de personal disponibles para trabajar en esos idiomas</w:t>
      </w:r>
      <w:r w:rsidRPr="00F22588">
        <w:rPr>
          <w:sz w:val="20"/>
        </w:rPr>
        <w:t>.  La solución a ese problema está dada por la automatización de determinadas tareas y la contratación de personal que pueda trabajar en dichos idiomas.</w:t>
      </w:r>
    </w:p>
    <w:p w:rsidR="00CF11D1" w:rsidRPr="00F22588" w:rsidRDefault="00CF11D1" w:rsidP="00CF11D1">
      <w:pPr>
        <w:widowControl w:val="0"/>
        <w:spacing w:after="120"/>
        <w:rPr>
          <w:i/>
          <w:sz w:val="20"/>
        </w:rPr>
      </w:pPr>
    </w:p>
    <w:p w:rsidR="00CF11D1" w:rsidRPr="00F22588" w:rsidRDefault="00CF11D1" w:rsidP="00CF11D1">
      <w:pPr>
        <w:widowControl w:val="0"/>
        <w:spacing w:after="120"/>
        <w:rPr>
          <w:i/>
          <w:sz w:val="20"/>
        </w:rPr>
      </w:pPr>
      <w:r w:rsidRPr="00F22588">
        <w:rPr>
          <w:i/>
          <w:sz w:val="20"/>
        </w:rPr>
        <w:t>Personal</w:t>
      </w:r>
    </w:p>
    <w:p w:rsidR="00CF11D1" w:rsidRDefault="00CF11D1" w:rsidP="00CF11D1">
      <w:pPr>
        <w:widowControl w:val="0"/>
        <w:numPr>
          <w:ilvl w:val="0"/>
          <w:numId w:val="21"/>
        </w:numPr>
        <w:tabs>
          <w:tab w:val="clear" w:pos="709"/>
          <w:tab w:val="num" w:pos="567"/>
        </w:tabs>
        <w:ind w:left="0"/>
        <w:jc w:val="both"/>
        <w:rPr>
          <w:sz w:val="20"/>
        </w:rPr>
      </w:pPr>
      <w:r w:rsidRPr="00F22588">
        <w:rPr>
          <w:sz w:val="20"/>
        </w:rPr>
        <w:t>El siguiente gráfico muestra el número de miembros del personal encargados de las operaciones del PCT desde 2001, expresado en equivalente de puestos a jornada completa (número de miembros del personal a jornada completa más el equivalente de puestos a jornada completa de miembros del personal a jornada parcial).</w:t>
      </w:r>
    </w:p>
    <w:p w:rsidR="00CF11D1" w:rsidRDefault="00CF11D1" w:rsidP="00CF11D1">
      <w:pPr>
        <w:widowControl w:val="0"/>
        <w:jc w:val="both"/>
        <w:rPr>
          <w:sz w:val="20"/>
        </w:rPr>
      </w:pPr>
    </w:p>
    <w:p w:rsidR="00CF11D1" w:rsidRPr="00F22588" w:rsidRDefault="00CF11D1" w:rsidP="00CF11D1">
      <w:pPr>
        <w:widowControl w:val="0"/>
        <w:spacing w:after="120"/>
        <w:jc w:val="center"/>
        <w:rPr>
          <w:sz w:val="20"/>
        </w:rPr>
      </w:pPr>
      <w:r>
        <w:rPr>
          <w:b/>
          <w:bCs/>
          <w:sz w:val="20"/>
        </w:rPr>
        <w:t>Número de miembros del personal del PCT</w:t>
      </w:r>
    </w:p>
    <w:p w:rsidR="00CF11D1" w:rsidRDefault="00CF11D1" w:rsidP="00CF11D1">
      <w:pPr>
        <w:widowControl w:val="0"/>
        <w:jc w:val="both"/>
        <w:rPr>
          <w:sz w:val="20"/>
        </w:rPr>
      </w:pPr>
    </w:p>
    <w:p w:rsidR="00CF11D1" w:rsidRPr="00F22588" w:rsidRDefault="00CF11D1" w:rsidP="00CF11D1">
      <w:pPr>
        <w:widowControl w:val="0"/>
        <w:jc w:val="center"/>
        <w:rPr>
          <w:sz w:val="20"/>
        </w:rPr>
      </w:pPr>
      <w:r w:rsidRPr="00275971">
        <w:rPr>
          <w:noProof/>
          <w:lang w:val="en-US" w:eastAsia="en-US"/>
        </w:rPr>
        <w:drawing>
          <wp:inline distT="0" distB="0" distL="0" distR="0" wp14:anchorId="11883E77" wp14:editId="32D10CAF">
            <wp:extent cx="5624502" cy="3847359"/>
            <wp:effectExtent l="0" t="0" r="0" b="127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624912" cy="3847639"/>
                    </a:xfrm>
                    <a:prstGeom prst="rect">
                      <a:avLst/>
                    </a:prstGeom>
                    <a:noFill/>
                    <a:ln>
                      <a:noFill/>
                    </a:ln>
                  </pic:spPr>
                </pic:pic>
              </a:graphicData>
            </a:graphic>
          </wp:inline>
        </w:drawing>
      </w:r>
    </w:p>
    <w:p w:rsidR="00CF11D1" w:rsidRPr="00F22588" w:rsidRDefault="00CF11D1" w:rsidP="00CF11D1">
      <w:pPr>
        <w:widowControl w:val="0"/>
        <w:numPr>
          <w:ilvl w:val="0"/>
          <w:numId w:val="19"/>
        </w:numPr>
        <w:tabs>
          <w:tab w:val="num" w:pos="1100"/>
        </w:tabs>
        <w:ind w:left="1100" w:hanging="550"/>
        <w:rPr>
          <w:sz w:val="20"/>
        </w:rPr>
      </w:pPr>
      <w:r w:rsidRPr="00F22588">
        <w:rPr>
          <w:sz w:val="20"/>
          <w:highlight w:val="white"/>
        </w:rPr>
        <w:t>El número de miembros del personal de la División de Operaciones del PCT siguió disminuyendo en 201</w:t>
      </w:r>
      <w:r w:rsidRPr="00F22588">
        <w:rPr>
          <w:sz w:val="20"/>
        </w:rPr>
        <w:t>5.</w:t>
      </w:r>
    </w:p>
    <w:p w:rsidR="00CF11D1" w:rsidRPr="00F22588" w:rsidRDefault="00CF11D1" w:rsidP="00CF11D1">
      <w:pPr>
        <w:widowControl w:val="0"/>
        <w:spacing w:after="120"/>
        <w:rPr>
          <w:sz w:val="20"/>
          <w:u w:val="single"/>
        </w:rPr>
      </w:pPr>
    </w:p>
    <w:p w:rsidR="00CF11D1" w:rsidRPr="00F22588" w:rsidRDefault="00CF11D1" w:rsidP="00CF11D1">
      <w:pPr>
        <w:widowControl w:val="0"/>
        <w:rPr>
          <w:i/>
          <w:sz w:val="20"/>
        </w:rPr>
      </w:pPr>
      <w:r w:rsidRPr="00F22588">
        <w:rPr>
          <w:i/>
          <w:sz w:val="20"/>
        </w:rPr>
        <w:t>Costo unitario de tramitación de las solicitudes</w:t>
      </w:r>
    </w:p>
    <w:p w:rsidR="00CF11D1" w:rsidRPr="00F22588" w:rsidRDefault="00CF11D1" w:rsidP="00CF11D1">
      <w:pPr>
        <w:widowControl w:val="0"/>
        <w:rPr>
          <w:sz w:val="20"/>
        </w:rPr>
      </w:pPr>
    </w:p>
    <w:p w:rsidR="00CF11D1" w:rsidRPr="00F22588" w:rsidRDefault="00CF11D1" w:rsidP="00CF11D1">
      <w:pPr>
        <w:widowControl w:val="0"/>
        <w:numPr>
          <w:ilvl w:val="0"/>
          <w:numId w:val="21"/>
        </w:numPr>
        <w:tabs>
          <w:tab w:val="clear" w:pos="709"/>
          <w:tab w:val="num" w:pos="567"/>
        </w:tabs>
        <w:ind w:left="0"/>
        <w:jc w:val="both"/>
        <w:rPr>
          <w:sz w:val="20"/>
        </w:rPr>
      </w:pPr>
      <w:r w:rsidRPr="00F22588">
        <w:rPr>
          <w:sz w:val="20"/>
        </w:rPr>
        <w:t>La eficacia de la Oficina Internacional en cuanto a la tramitación de las solicitudes PCT puede medirse por el costo unitario, que se define como el costo medio de producción de una unidad de producto.  El costo total de la producción comprende el gasto relacionado exclusivamente con el Sistema del PCT y el gasto en concepto de actividades de apoyo al Sistema.</w:t>
      </w:r>
    </w:p>
    <w:p w:rsidR="00CF11D1" w:rsidRPr="00F22588" w:rsidRDefault="00CF11D1" w:rsidP="00CF11D1">
      <w:pPr>
        <w:widowControl w:val="0"/>
        <w:jc w:val="both"/>
        <w:rPr>
          <w:sz w:val="20"/>
        </w:rPr>
      </w:pPr>
    </w:p>
    <w:p w:rsidR="00CF11D1" w:rsidRPr="00F22588" w:rsidRDefault="00CF11D1" w:rsidP="00CF11D1">
      <w:pPr>
        <w:widowControl w:val="0"/>
        <w:numPr>
          <w:ilvl w:val="0"/>
          <w:numId w:val="21"/>
        </w:numPr>
        <w:tabs>
          <w:tab w:val="clear" w:pos="709"/>
          <w:tab w:val="num" w:pos="567"/>
        </w:tabs>
        <w:ind w:left="0"/>
        <w:jc w:val="both"/>
        <w:rPr>
          <w:sz w:val="20"/>
        </w:rPr>
      </w:pPr>
      <w:r w:rsidRPr="00F22588">
        <w:rPr>
          <w:sz w:val="20"/>
        </w:rPr>
        <w:t>En el gasto relacionado exclusivamente con el Sistema del PCT se incluyen los gastos del programa 5 (Sistema del PCT).</w:t>
      </w:r>
    </w:p>
    <w:p w:rsidR="00CF11D1" w:rsidRPr="00F22588" w:rsidRDefault="00CF11D1" w:rsidP="00CF11D1">
      <w:pPr>
        <w:pStyle w:val="ListParagraph"/>
        <w:ind w:left="0"/>
        <w:rPr>
          <w:lang w:val="es-ES"/>
        </w:rPr>
      </w:pPr>
    </w:p>
    <w:p w:rsidR="00CF11D1" w:rsidRPr="00F22588" w:rsidRDefault="00CF11D1" w:rsidP="00CF11D1">
      <w:pPr>
        <w:widowControl w:val="0"/>
        <w:numPr>
          <w:ilvl w:val="0"/>
          <w:numId w:val="21"/>
        </w:numPr>
        <w:tabs>
          <w:tab w:val="clear" w:pos="709"/>
          <w:tab w:val="num" w:pos="567"/>
        </w:tabs>
        <w:ind w:left="0"/>
        <w:jc w:val="both"/>
        <w:rPr>
          <w:sz w:val="20"/>
        </w:rPr>
      </w:pPr>
      <w:r w:rsidRPr="00F22588">
        <w:rPr>
          <w:sz w:val="20"/>
        </w:rPr>
        <w:t xml:space="preserve">El gasto en concepto de actividades de apoyo al Sistema comprende los gastos derivados de las actividades siguientes:  servicio de conferencias y lingüísticos, construcción, gestión ejecutiva, finanzas y presupuesto, servicios generales de apoyo, gestión de los recursos humanos, supervisión interna, T.I. y seguridad y vigilancia.  Una pequeña parte de estos gastos (el costo del alojamiento del servidor en el </w:t>
      </w:r>
      <w:r w:rsidRPr="00F22588">
        <w:rPr>
          <w:rStyle w:val="preferred"/>
          <w:sz w:val="20"/>
        </w:rPr>
        <w:t xml:space="preserve">Centro Internacional de Cálculo de las Naciones Unidas, el costo estimado de la fuente auténtica de publicación de las solicitudes PCT (PATENTSCOPE) </w:t>
      </w:r>
      <w:r w:rsidRPr="00F22588">
        <w:rPr>
          <w:sz w:val="20"/>
        </w:rPr>
        <w:t xml:space="preserve">y el porcentaje del costo de la Sección de Ingresos </w:t>
      </w:r>
      <w:r w:rsidRPr="00F22588">
        <w:rPr>
          <w:sz w:val="20"/>
        </w:rPr>
        <w:lastRenderedPageBreak/>
        <w:t xml:space="preserve">dentro del Departamento de Finanzas) </w:t>
      </w:r>
      <w:r w:rsidRPr="00F22588">
        <w:rPr>
          <w:noProof/>
          <w:sz w:val="20"/>
          <w:lang w:eastAsia="es-ES"/>
        </w:rPr>
        <w:t>se atribuyen directamente al Sistema del PCT, pero el resto de gastos que se pueden atribuir al Sistema se calculan en función de la dotación de personal (incluyendo el personal de plazo fijo, el personal temporal y los becarios).</w:t>
      </w:r>
    </w:p>
    <w:p w:rsidR="00CF11D1" w:rsidRPr="00F22588" w:rsidRDefault="00CF11D1" w:rsidP="00CF11D1">
      <w:pPr>
        <w:widowControl w:val="0"/>
        <w:jc w:val="both"/>
        <w:rPr>
          <w:sz w:val="20"/>
        </w:rPr>
      </w:pPr>
    </w:p>
    <w:p w:rsidR="00CF11D1" w:rsidRPr="00F22588" w:rsidRDefault="00CF11D1" w:rsidP="00CF11D1">
      <w:pPr>
        <w:widowControl w:val="0"/>
        <w:numPr>
          <w:ilvl w:val="0"/>
          <w:numId w:val="21"/>
        </w:numPr>
        <w:tabs>
          <w:tab w:val="clear" w:pos="709"/>
          <w:tab w:val="num" w:pos="567"/>
        </w:tabs>
        <w:ind w:left="0"/>
        <w:jc w:val="both"/>
        <w:rPr>
          <w:sz w:val="20"/>
        </w:rPr>
      </w:pPr>
      <w:r w:rsidRPr="00F22588">
        <w:rPr>
          <w:sz w:val="20"/>
        </w:rPr>
        <w:t xml:space="preserve">El método para calcular el costo unitario fue revisado en 2013 para ponerlo en sintonía con los cálculos de costos relativos a otras unidades/uniones de la OMPI y para tener mejor en cuenta un entorno en rápida evolución.  </w:t>
      </w:r>
      <w:r w:rsidRPr="00F22588">
        <w:rPr>
          <w:sz w:val="20"/>
          <w:highlight w:val="white"/>
        </w:rPr>
        <w:t xml:space="preserve">Por ejemplo, </w:t>
      </w:r>
      <w:r w:rsidRPr="00F22588">
        <w:rPr>
          <w:sz w:val="20"/>
        </w:rPr>
        <w:t>conforme al método antiguo, concebido en 2007, se tenía en cuenta un costo de almacenamiento (por más de 30 años) en depósitos;  sin embargo, la presentación en papel (incluidas las presentaciones de solicitudes mediante el sistema PCT EASY) representó menos del 10% de las solicitudes presentadas en 2013.  El costo unitario de 2012 fue calculado con arreglo a ambos métodos.  Dicho costo fue de 680 francos suizos conforme al método antiguo y de 712 francos suizos conforme al nuevo método.  La diferencia de 32 francos suizos se debe al nuevo método de atribución de los costos indirectos.</w:t>
      </w:r>
    </w:p>
    <w:p w:rsidR="00CF11D1" w:rsidRPr="00F22588" w:rsidRDefault="00CF11D1" w:rsidP="00CF11D1">
      <w:pPr>
        <w:widowControl w:val="0"/>
        <w:jc w:val="both"/>
        <w:rPr>
          <w:sz w:val="20"/>
        </w:rPr>
      </w:pPr>
    </w:p>
    <w:p w:rsidR="00CF11D1" w:rsidRPr="00F22588" w:rsidRDefault="00CF11D1" w:rsidP="00CF11D1">
      <w:pPr>
        <w:widowControl w:val="0"/>
        <w:numPr>
          <w:ilvl w:val="0"/>
          <w:numId w:val="21"/>
        </w:numPr>
        <w:tabs>
          <w:tab w:val="clear" w:pos="709"/>
          <w:tab w:val="num" w:pos="567"/>
        </w:tabs>
        <w:ind w:left="0"/>
        <w:rPr>
          <w:sz w:val="20"/>
        </w:rPr>
      </w:pPr>
      <w:r w:rsidRPr="00F22588">
        <w:rPr>
          <w:sz w:val="20"/>
        </w:rPr>
        <w:t>Formalmente, el costo unitario se define de la siguiente manera:</w:t>
      </w:r>
    </w:p>
    <w:p w:rsidR="00CF11D1" w:rsidRPr="00F22588" w:rsidRDefault="00CF11D1" w:rsidP="00CF11D1">
      <w:pPr>
        <w:widowControl w:val="0"/>
      </w:pPr>
    </w:p>
    <w:p w:rsidR="00CF11D1" w:rsidRPr="00F22588" w:rsidRDefault="00CF11D1" w:rsidP="00CF11D1">
      <w:pPr>
        <w:widowControl w:val="0"/>
        <w:jc w:val="center"/>
      </w:pPr>
      <w:r w:rsidRPr="00F22588">
        <w:rPr>
          <w:noProof/>
          <w:lang w:val="en-US" w:eastAsia="en-US"/>
        </w:rPr>
        <w:drawing>
          <wp:inline distT="0" distB="0" distL="0" distR="0" wp14:anchorId="18E06AEC" wp14:editId="74728EF0">
            <wp:extent cx="2484120" cy="344805"/>
            <wp:effectExtent l="0" t="0" r="0" b="0"/>
            <wp:docPr id="1045"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484120" cy="344805"/>
                    </a:xfrm>
                    <a:prstGeom prst="rect">
                      <a:avLst/>
                    </a:prstGeom>
                    <a:noFill/>
                    <a:ln>
                      <a:noFill/>
                    </a:ln>
                  </pic:spPr>
                </pic:pic>
              </a:graphicData>
            </a:graphic>
          </wp:inline>
        </w:drawing>
      </w:r>
    </w:p>
    <w:p w:rsidR="00CF11D1" w:rsidRPr="00F22588" w:rsidRDefault="00CF11D1" w:rsidP="00CF11D1">
      <w:pPr>
        <w:widowControl w:val="0"/>
        <w:rPr>
          <w:sz w:val="20"/>
          <w:highlight w:val="yellow"/>
        </w:rPr>
      </w:pPr>
    </w:p>
    <w:p w:rsidR="00CF11D1" w:rsidRPr="00F22588" w:rsidRDefault="00CF11D1" w:rsidP="00CF11D1">
      <w:pPr>
        <w:widowControl w:val="0"/>
        <w:numPr>
          <w:ilvl w:val="0"/>
          <w:numId w:val="21"/>
        </w:numPr>
        <w:tabs>
          <w:tab w:val="clear" w:pos="709"/>
          <w:tab w:val="num" w:pos="567"/>
        </w:tabs>
        <w:ind w:left="0"/>
        <w:jc w:val="both"/>
        <w:rPr>
          <w:sz w:val="20"/>
        </w:rPr>
      </w:pPr>
      <w:r w:rsidRPr="00F22588">
        <w:rPr>
          <w:sz w:val="20"/>
        </w:rPr>
        <w:t>En los gráficos que figuran a continuación se ilustra la evolución del costo unitario de tramitación desde 2004 hasta 2012, utilizando el método antiguo, y desde</w:t>
      </w:r>
      <w:r w:rsidRPr="00F22588">
        <w:rPr>
          <w:sz w:val="20"/>
          <w:highlight w:val="white"/>
        </w:rPr>
        <w:t xml:space="preserve"> 2012 hasta 2015 utilizando el nuevo método</w:t>
      </w:r>
      <w:r w:rsidRPr="00F22588">
        <w:rPr>
          <w:sz w:val="20"/>
        </w:rPr>
        <w:t>, incluido un desglose de la parte correspondiente a los costos directos e indirectos.</w:t>
      </w:r>
    </w:p>
    <w:p w:rsidR="00CF11D1" w:rsidRPr="00F22588" w:rsidRDefault="00CF11D1" w:rsidP="00CF11D1">
      <w:pPr>
        <w:widowControl w:val="0"/>
        <w:rPr>
          <w:sz w:val="20"/>
        </w:rPr>
      </w:pPr>
    </w:p>
    <w:p w:rsidR="00CF11D1" w:rsidRPr="00F22588" w:rsidRDefault="00CF11D1" w:rsidP="00CF11D1">
      <w:pPr>
        <w:widowControl w:val="0"/>
        <w:jc w:val="center"/>
        <w:rPr>
          <w:b/>
          <w:sz w:val="20"/>
        </w:rPr>
      </w:pPr>
      <w:r w:rsidRPr="00F22588">
        <w:rPr>
          <w:b/>
          <w:sz w:val="20"/>
        </w:rPr>
        <w:t>Costo de tramitación de una solicitud PCT publicada</w:t>
      </w:r>
    </w:p>
    <w:p w:rsidR="00CF11D1" w:rsidRPr="00F22588" w:rsidRDefault="00CF11D1" w:rsidP="00CF11D1">
      <w:pPr>
        <w:widowControl w:val="0"/>
        <w:jc w:val="center"/>
        <w:rPr>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5"/>
        <w:gridCol w:w="4516"/>
      </w:tblGrid>
      <w:tr w:rsidR="00CF11D1" w:rsidRPr="00F22588" w:rsidTr="00DC1333">
        <w:tc>
          <w:tcPr>
            <w:tcW w:w="4832" w:type="dxa"/>
            <w:shd w:val="clear" w:color="auto" w:fill="auto"/>
          </w:tcPr>
          <w:p w:rsidR="00CF11D1" w:rsidRPr="00F22588" w:rsidRDefault="00CF11D1" w:rsidP="00DC1333">
            <w:pPr>
              <w:widowControl w:val="0"/>
              <w:jc w:val="center"/>
              <w:rPr>
                <w:sz w:val="20"/>
                <w:highlight w:val="yellow"/>
              </w:rPr>
            </w:pPr>
            <w:r w:rsidRPr="00F22588">
              <w:rPr>
                <w:sz w:val="20"/>
              </w:rPr>
              <w:t>Método antiguo</w:t>
            </w:r>
          </w:p>
        </w:tc>
        <w:tc>
          <w:tcPr>
            <w:tcW w:w="4433" w:type="dxa"/>
            <w:shd w:val="clear" w:color="auto" w:fill="auto"/>
          </w:tcPr>
          <w:p w:rsidR="00CF11D1" w:rsidRPr="00F22588" w:rsidRDefault="00CF11D1" w:rsidP="00DC1333">
            <w:pPr>
              <w:widowControl w:val="0"/>
              <w:jc w:val="center"/>
              <w:rPr>
                <w:sz w:val="20"/>
              </w:rPr>
            </w:pPr>
            <w:r w:rsidRPr="00F22588">
              <w:rPr>
                <w:sz w:val="20"/>
              </w:rPr>
              <w:t>Método nuevo</w:t>
            </w:r>
          </w:p>
        </w:tc>
      </w:tr>
      <w:tr w:rsidR="00CF11D1" w:rsidRPr="00F22588" w:rsidTr="00DC1333">
        <w:tc>
          <w:tcPr>
            <w:tcW w:w="4832" w:type="dxa"/>
            <w:shd w:val="clear" w:color="auto" w:fill="auto"/>
          </w:tcPr>
          <w:p w:rsidR="00CF11D1" w:rsidRPr="00F22588" w:rsidRDefault="00CF11D1" w:rsidP="00DC1333">
            <w:pPr>
              <w:widowControl w:val="0"/>
            </w:pPr>
            <w:r>
              <w:rPr>
                <w:noProof/>
                <w:lang w:val="en-US" w:eastAsia="en-US"/>
              </w:rPr>
              <w:drawing>
                <wp:inline distT="0" distB="0" distL="0" distR="0" wp14:anchorId="69E277A9" wp14:editId="30156C95">
                  <wp:extent cx="3110899" cy="1834307"/>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121775" cy="1840720"/>
                          </a:xfrm>
                          <a:prstGeom prst="rect">
                            <a:avLst/>
                          </a:prstGeom>
                          <a:noFill/>
                          <a:ln>
                            <a:noFill/>
                          </a:ln>
                        </pic:spPr>
                      </pic:pic>
                    </a:graphicData>
                  </a:graphic>
                </wp:inline>
              </w:drawing>
            </w:r>
          </w:p>
        </w:tc>
        <w:tc>
          <w:tcPr>
            <w:tcW w:w="4433" w:type="dxa"/>
            <w:shd w:val="clear" w:color="auto" w:fill="auto"/>
          </w:tcPr>
          <w:p w:rsidR="00CF11D1" w:rsidRPr="00F22588" w:rsidRDefault="00CF11D1" w:rsidP="00DC1333">
            <w:pPr>
              <w:widowControl w:val="0"/>
            </w:pPr>
            <w:r>
              <w:rPr>
                <w:noProof/>
                <w:lang w:val="en-US" w:eastAsia="en-US"/>
              </w:rPr>
              <w:drawing>
                <wp:inline distT="0" distB="0" distL="0" distR="0" wp14:anchorId="40F34FF8" wp14:editId="514FADA4">
                  <wp:extent cx="2764838" cy="1797087"/>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772703" cy="1802199"/>
                          </a:xfrm>
                          <a:prstGeom prst="rect">
                            <a:avLst/>
                          </a:prstGeom>
                          <a:noFill/>
                          <a:ln>
                            <a:noFill/>
                          </a:ln>
                        </pic:spPr>
                      </pic:pic>
                    </a:graphicData>
                  </a:graphic>
                </wp:inline>
              </w:drawing>
            </w:r>
          </w:p>
        </w:tc>
      </w:tr>
    </w:tbl>
    <w:p w:rsidR="00CF11D1" w:rsidRPr="00F22588" w:rsidRDefault="00CF11D1" w:rsidP="00CF11D1">
      <w:pPr>
        <w:widowControl w:val="0"/>
        <w:ind w:left="1134"/>
        <w:jc w:val="both"/>
        <w:rPr>
          <w:sz w:val="20"/>
        </w:rPr>
      </w:pPr>
    </w:p>
    <w:p w:rsidR="00CF11D1" w:rsidRPr="00F22588" w:rsidRDefault="00CF11D1" w:rsidP="00CF11D1">
      <w:pPr>
        <w:widowControl w:val="0"/>
        <w:numPr>
          <w:ilvl w:val="0"/>
          <w:numId w:val="19"/>
        </w:numPr>
        <w:tabs>
          <w:tab w:val="num" w:pos="1134"/>
        </w:tabs>
        <w:ind w:left="1134" w:hanging="567"/>
        <w:jc w:val="both"/>
        <w:rPr>
          <w:sz w:val="20"/>
        </w:rPr>
      </w:pPr>
      <w:r w:rsidRPr="00F22588">
        <w:rPr>
          <w:sz w:val="20"/>
        </w:rPr>
        <w:t xml:space="preserve">El costo medio de tramitación de una solicitud PCT publicada fue de 735 francos suizos en 2015, lo que representa un aumento del 11% en comparación con 2014.  Este aumento se debió a al aumento de los gastos directos e indirectos unido a la disminución del número de solicitudes publicadas en comparación con 2014.  Este aumento registrado en 2015 en comparación con 2014 se debió principalmente a que en 2014 el costo unitario fue excepcionalmente bajo y la eficacia aumentó de forma notable, debido a:  i) el repunte de las solicitudes procedentes de los Estados Unidos de América en marzo de 2014, debido a que un año antes había entrado en vigor la Ley </w:t>
      </w:r>
      <w:proofErr w:type="spellStart"/>
      <w:r w:rsidRPr="00F22588">
        <w:rPr>
          <w:sz w:val="20"/>
        </w:rPr>
        <w:t>Leahy</w:t>
      </w:r>
      <w:proofErr w:type="spellEnd"/>
      <w:r w:rsidRPr="00F22588">
        <w:rPr>
          <w:sz w:val="20"/>
        </w:rPr>
        <w:t xml:space="preserve">-Smith </w:t>
      </w:r>
      <w:proofErr w:type="spellStart"/>
      <w:r w:rsidRPr="00F22588">
        <w:rPr>
          <w:sz w:val="20"/>
        </w:rPr>
        <w:t>America</w:t>
      </w:r>
      <w:proofErr w:type="spellEnd"/>
      <w:r w:rsidRPr="00F22588">
        <w:rPr>
          <w:sz w:val="20"/>
        </w:rPr>
        <w:t xml:space="preserve"> </w:t>
      </w:r>
      <w:proofErr w:type="spellStart"/>
      <w:r w:rsidRPr="00F22588">
        <w:rPr>
          <w:sz w:val="20"/>
        </w:rPr>
        <w:t>Invents</w:t>
      </w:r>
      <w:proofErr w:type="spellEnd"/>
      <w:r w:rsidRPr="00F22588">
        <w:rPr>
          <w:sz w:val="20"/>
        </w:rPr>
        <w:t>, y ii) el hecho de que en 2014, tal como sucede cada cinco o seis años, el número de semanas de publicación fue 53 en vez de 52, con lo que se produjo un aumento del número de publicaciones llevadas a cabo en 2014.  Además, normalmente los gastos son mayores durante el segundo año de un bienio.  Por otra parte, en 2015 el costo de las traducciones del PCT aumentó un 7,3% en comparación con 2014 debido al incremento del porcentaje de solicitudes presentadas en idiomas asiáticos, así como el mayor volumen de los informes que se tradujeron.  Este aumento se desglosa de la manera siguiente:  el 44% es atribuible a la disminución mencionada de las publicaciones, el 18,7% al aumento de los costos de traducción, el 4,4% al costo de los servicios de información del PCT, el 5,5% a la tramitación en sí de las solicitudes y el resto es atribuible a los costos indirectos.  Aun así, comparándolo con bienios anteriores, el costo unitario medio de tramitación de una solicitud procesada durante el bienio 2014/15 (698 francos suizos) se redujo un 2,7% en comparación con el bienio 2012/13 (717 francos suizos).</w:t>
      </w:r>
    </w:p>
    <w:p w:rsidR="00CF11D1" w:rsidRPr="00F22588" w:rsidRDefault="00CF11D1" w:rsidP="00CF11D1">
      <w:pPr>
        <w:pStyle w:val="ListParagraph"/>
        <w:widowControl w:val="0"/>
        <w:tabs>
          <w:tab w:val="num" w:pos="1134"/>
        </w:tabs>
        <w:ind w:left="1134" w:hanging="567"/>
        <w:jc w:val="center"/>
        <w:rPr>
          <w:lang w:val="es-ES"/>
        </w:rPr>
      </w:pPr>
    </w:p>
    <w:p w:rsidR="00CF11D1" w:rsidRPr="00F22588" w:rsidRDefault="00CF11D1" w:rsidP="00CF11D1">
      <w:pPr>
        <w:widowControl w:val="0"/>
        <w:numPr>
          <w:ilvl w:val="0"/>
          <w:numId w:val="19"/>
        </w:numPr>
        <w:tabs>
          <w:tab w:val="num" w:pos="1134"/>
        </w:tabs>
        <w:ind w:left="1134" w:hanging="567"/>
        <w:jc w:val="both"/>
        <w:rPr>
          <w:sz w:val="20"/>
        </w:rPr>
      </w:pPr>
      <w:r w:rsidRPr="00F22588">
        <w:rPr>
          <w:sz w:val="20"/>
          <w:highlight w:val="white"/>
        </w:rPr>
        <w:lastRenderedPageBreak/>
        <w:t>El costo medio de tramitación de una solicitud PCT publicada, calculado conforme al método antiguo disminuyó del 5</w:t>
      </w:r>
      <w:r w:rsidRPr="00F22588">
        <w:rPr>
          <w:sz w:val="20"/>
        </w:rPr>
        <w:t>% anual en promedio, pasando de</w:t>
      </w:r>
      <w:r w:rsidRPr="00F22588">
        <w:rPr>
          <w:sz w:val="20"/>
          <w:highlight w:val="white"/>
        </w:rPr>
        <w:t xml:space="preserve"> 1.042 francos suizos en 2004 a 680 francos suizos en 2012</w:t>
      </w:r>
      <w:r w:rsidRPr="00F22588">
        <w:rPr>
          <w:sz w:val="20"/>
        </w:rPr>
        <w:t>.</w:t>
      </w:r>
    </w:p>
    <w:p w:rsidR="00CF11D1" w:rsidRPr="00F22588" w:rsidRDefault="00CF11D1" w:rsidP="00CF11D1">
      <w:pPr>
        <w:widowControl w:val="0"/>
        <w:rPr>
          <w:i/>
          <w:sz w:val="20"/>
          <w:highlight w:val="yellow"/>
        </w:rPr>
      </w:pPr>
    </w:p>
    <w:p w:rsidR="00CF11D1" w:rsidRPr="00F22588" w:rsidRDefault="00CF11D1" w:rsidP="00CF11D1">
      <w:pPr>
        <w:widowControl w:val="0"/>
        <w:rPr>
          <w:i/>
          <w:sz w:val="20"/>
        </w:rPr>
      </w:pPr>
      <w:r w:rsidRPr="00F22588">
        <w:rPr>
          <w:i/>
          <w:sz w:val="20"/>
        </w:rPr>
        <w:t>Productividad en el examen de forma</w:t>
      </w:r>
    </w:p>
    <w:p w:rsidR="00CF11D1" w:rsidRPr="00F22588" w:rsidRDefault="00CF11D1" w:rsidP="00CF11D1">
      <w:pPr>
        <w:widowControl w:val="0"/>
        <w:rPr>
          <w:sz w:val="20"/>
        </w:rPr>
      </w:pPr>
    </w:p>
    <w:p w:rsidR="00CF11D1" w:rsidRPr="00F22588" w:rsidRDefault="00CF11D1" w:rsidP="00CF11D1">
      <w:pPr>
        <w:widowControl w:val="0"/>
        <w:numPr>
          <w:ilvl w:val="0"/>
          <w:numId w:val="21"/>
        </w:numPr>
        <w:tabs>
          <w:tab w:val="clear" w:pos="709"/>
          <w:tab w:val="num" w:pos="567"/>
        </w:tabs>
        <w:ind w:left="0"/>
        <w:jc w:val="both"/>
        <w:rPr>
          <w:sz w:val="20"/>
        </w:rPr>
      </w:pPr>
      <w:r w:rsidRPr="00F22588">
        <w:rPr>
          <w:sz w:val="20"/>
        </w:rPr>
        <w:t>La definición de productividad del personal consiste en el valor de la producción (esto es, el número de publicaciones del PCT) dividido entre el número de miembros del personal encargados del examen de forma.</w:t>
      </w:r>
    </w:p>
    <w:p w:rsidR="00CF11D1" w:rsidRPr="00F22588" w:rsidRDefault="00CF11D1" w:rsidP="00CF11D1">
      <w:pPr>
        <w:widowControl w:val="0"/>
        <w:rPr>
          <w:sz w:val="20"/>
        </w:rPr>
      </w:pPr>
    </w:p>
    <w:p w:rsidR="00CF11D1" w:rsidRPr="00F22588" w:rsidRDefault="00CF11D1" w:rsidP="00CF11D1">
      <w:pPr>
        <w:keepNext/>
        <w:widowControl w:val="0"/>
        <w:jc w:val="center"/>
        <w:rPr>
          <w:b/>
          <w:sz w:val="20"/>
        </w:rPr>
      </w:pPr>
      <w:r w:rsidRPr="00F22588">
        <w:rPr>
          <w:b/>
          <w:sz w:val="20"/>
        </w:rPr>
        <w:t>Productividad en el examen de forma</w:t>
      </w:r>
    </w:p>
    <w:p w:rsidR="00CF11D1" w:rsidRDefault="00CF11D1" w:rsidP="00CF11D1">
      <w:pPr>
        <w:widowControl w:val="0"/>
        <w:jc w:val="center"/>
        <w:rPr>
          <w:b/>
          <w:noProof/>
          <w:sz w:val="20"/>
          <w:lang w:val="en-US" w:eastAsia="en-US"/>
        </w:rPr>
      </w:pPr>
      <w:r w:rsidRPr="00FC41B9">
        <w:rPr>
          <w:noProof/>
          <w:lang w:val="en-US" w:eastAsia="en-US"/>
        </w:rPr>
        <w:drawing>
          <wp:inline distT="0" distB="0" distL="0" distR="0" wp14:anchorId="78C55088" wp14:editId="44AF5716">
            <wp:extent cx="5940425" cy="2702275"/>
            <wp:effectExtent l="0" t="0" r="3175" b="317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940425" cy="2702275"/>
                    </a:xfrm>
                    <a:prstGeom prst="rect">
                      <a:avLst/>
                    </a:prstGeom>
                    <a:noFill/>
                    <a:ln>
                      <a:noFill/>
                    </a:ln>
                  </pic:spPr>
                </pic:pic>
              </a:graphicData>
            </a:graphic>
          </wp:inline>
        </w:drawing>
      </w:r>
    </w:p>
    <w:p w:rsidR="00CF11D1" w:rsidRPr="00F22588" w:rsidRDefault="00CF11D1" w:rsidP="00CF11D1">
      <w:pPr>
        <w:widowControl w:val="0"/>
        <w:jc w:val="center"/>
        <w:rPr>
          <w:b/>
          <w:sz w:val="20"/>
        </w:rPr>
      </w:pPr>
    </w:p>
    <w:p w:rsidR="00CF11D1" w:rsidRDefault="00CF11D1" w:rsidP="00CF11D1">
      <w:pPr>
        <w:pStyle w:val="ListParagraph"/>
        <w:keepNext/>
        <w:widowControl w:val="0"/>
        <w:numPr>
          <w:ilvl w:val="0"/>
          <w:numId w:val="19"/>
        </w:numPr>
        <w:tabs>
          <w:tab w:val="num" w:pos="1134"/>
        </w:tabs>
        <w:spacing w:after="200"/>
        <w:ind w:left="1134" w:hanging="567"/>
        <w:contextualSpacing/>
        <w:jc w:val="both"/>
        <w:rPr>
          <w:lang w:val="es-ES"/>
        </w:rPr>
      </w:pPr>
      <w:r w:rsidRPr="00F22588">
        <w:rPr>
          <w:highlight w:val="white"/>
          <w:lang w:val="es-ES"/>
        </w:rPr>
        <w:t>Históricamente, la productividad del examen de forma ha aumentado a lo largo del tiempo debido, principalmente, a la automatización que ha permitido que un menor o igual número de miembros del personal pueda tramitar un volumen de trabajo mucho mayor</w:t>
      </w:r>
      <w:r w:rsidRPr="00F22588">
        <w:rPr>
          <w:lang w:val="es-ES"/>
        </w:rPr>
        <w:t>.</w:t>
      </w:r>
    </w:p>
    <w:p w:rsidR="00CF11D1" w:rsidRPr="00F22588" w:rsidRDefault="00CF11D1" w:rsidP="00CF11D1">
      <w:pPr>
        <w:pStyle w:val="ListParagraph"/>
        <w:keepNext/>
        <w:widowControl w:val="0"/>
        <w:spacing w:after="200"/>
        <w:ind w:left="1134"/>
        <w:contextualSpacing/>
        <w:jc w:val="both"/>
        <w:rPr>
          <w:lang w:val="es-ES"/>
        </w:rPr>
      </w:pPr>
    </w:p>
    <w:p w:rsidR="00CF11D1" w:rsidRPr="00F22588" w:rsidRDefault="00CF11D1" w:rsidP="00CF11D1">
      <w:pPr>
        <w:pStyle w:val="ListParagraph"/>
        <w:keepNext/>
        <w:widowControl w:val="0"/>
        <w:numPr>
          <w:ilvl w:val="0"/>
          <w:numId w:val="19"/>
        </w:numPr>
        <w:tabs>
          <w:tab w:val="num" w:pos="1134"/>
        </w:tabs>
        <w:spacing w:after="200"/>
        <w:ind w:left="1134" w:hanging="567"/>
        <w:contextualSpacing/>
        <w:jc w:val="both"/>
        <w:rPr>
          <w:lang w:val="es-ES"/>
        </w:rPr>
      </w:pPr>
      <w:r w:rsidRPr="00F22588">
        <w:rPr>
          <w:lang w:val="es-ES"/>
        </w:rPr>
        <w:t xml:space="preserve">En 2015, a pesar de la disminución del 4% en el personal encargado del examen de forma, se produjo un descenso del 1% de la productividad de </w:t>
      </w:r>
      <w:r>
        <w:rPr>
          <w:lang w:val="es-ES"/>
        </w:rPr>
        <w:t>dicho examen en comparación con </w:t>
      </w:r>
      <w:r w:rsidRPr="00F22588">
        <w:rPr>
          <w:lang w:val="es-ES"/>
        </w:rPr>
        <w:t xml:space="preserve">2014 debido a que se redujo el número de solicitudes PCT que hubo que preparar para su publicación.  Las razones principales de esta disminución fueron:  i) el repunte de </w:t>
      </w:r>
      <w:r w:rsidRPr="00F22588">
        <w:rPr>
          <w:rFonts w:cs="Arial"/>
          <w:lang w:val="es-ES"/>
        </w:rPr>
        <w:t xml:space="preserve">las solicitudes procedentes de los Estados Unidos de América en marzo de 2014, debido a que un año antes había entrado en vigor la Ley </w:t>
      </w:r>
      <w:proofErr w:type="spellStart"/>
      <w:r w:rsidRPr="00F22588">
        <w:rPr>
          <w:rFonts w:cs="Arial"/>
          <w:lang w:val="es-ES"/>
        </w:rPr>
        <w:t>Leahy</w:t>
      </w:r>
      <w:proofErr w:type="spellEnd"/>
      <w:r w:rsidRPr="00F22588">
        <w:rPr>
          <w:rFonts w:cs="Arial"/>
          <w:lang w:val="es-ES"/>
        </w:rPr>
        <w:t xml:space="preserve">-Smith </w:t>
      </w:r>
      <w:proofErr w:type="spellStart"/>
      <w:r w:rsidRPr="00F22588">
        <w:rPr>
          <w:rFonts w:cs="Arial"/>
          <w:lang w:val="es-ES"/>
        </w:rPr>
        <w:t>America</w:t>
      </w:r>
      <w:proofErr w:type="spellEnd"/>
      <w:r w:rsidRPr="00F22588">
        <w:rPr>
          <w:rFonts w:cs="Arial"/>
          <w:lang w:val="es-ES"/>
        </w:rPr>
        <w:t xml:space="preserve"> </w:t>
      </w:r>
      <w:proofErr w:type="spellStart"/>
      <w:r w:rsidRPr="00F22588">
        <w:rPr>
          <w:rFonts w:cs="Arial"/>
          <w:lang w:val="es-ES"/>
        </w:rPr>
        <w:t>Invents</w:t>
      </w:r>
      <w:proofErr w:type="spellEnd"/>
      <w:r w:rsidRPr="00F22588">
        <w:rPr>
          <w:lang w:val="es-ES"/>
        </w:rPr>
        <w:t>, y ii) el hecho de que en 2014, tal como sucede cada cinco o seis años, el número de semanas de publicación fue 53 en vez de 52, con lo que se produjo un aumento del número de publicaciones llevadas a cabo en ese año.  Aun así, comparándolo con bienios anteriores, la productividad total del examen formal durante el bienio 2014/15 aumentó un 22% en comparación con el bienio 2012/13.</w:t>
      </w:r>
    </w:p>
    <w:p w:rsidR="00CF11D1" w:rsidRPr="00F22588" w:rsidRDefault="00CF11D1" w:rsidP="00CF11D1">
      <w:pPr>
        <w:widowControl w:val="0"/>
        <w:rPr>
          <w:bCs/>
          <w:sz w:val="20"/>
        </w:rPr>
      </w:pPr>
    </w:p>
    <w:p w:rsidR="00CF11D1" w:rsidRPr="00F22588" w:rsidRDefault="00CF11D1" w:rsidP="00CF11D1">
      <w:pPr>
        <w:widowControl w:val="0"/>
        <w:rPr>
          <w:i/>
          <w:sz w:val="20"/>
        </w:rPr>
      </w:pPr>
      <w:r w:rsidRPr="00F22588">
        <w:rPr>
          <w:i/>
          <w:sz w:val="20"/>
        </w:rPr>
        <w:t>Calidad global del examen de forma</w:t>
      </w:r>
    </w:p>
    <w:p w:rsidR="00CF11D1" w:rsidRPr="00F22588" w:rsidRDefault="00CF11D1" w:rsidP="00CF11D1">
      <w:pPr>
        <w:widowControl w:val="0"/>
        <w:rPr>
          <w:sz w:val="20"/>
        </w:rPr>
      </w:pPr>
    </w:p>
    <w:p w:rsidR="00CF11D1" w:rsidRPr="00F22588" w:rsidRDefault="00CF11D1" w:rsidP="00CF11D1">
      <w:pPr>
        <w:widowControl w:val="0"/>
        <w:numPr>
          <w:ilvl w:val="0"/>
          <w:numId w:val="21"/>
        </w:numPr>
        <w:tabs>
          <w:tab w:val="clear" w:pos="709"/>
          <w:tab w:val="num" w:pos="567"/>
        </w:tabs>
        <w:ind w:left="0"/>
        <w:jc w:val="both"/>
        <w:rPr>
          <w:sz w:val="20"/>
        </w:rPr>
      </w:pPr>
      <w:r w:rsidRPr="00F22588">
        <w:rPr>
          <w:sz w:val="20"/>
        </w:rPr>
        <w:t>Con el fin de medir la calidad del trabajo realizado por la Oficina Internacional de una manera sencilla e integral, la Oficina Internacional ha elaborado un indicador de calidad global, que es el promedio de cuatro indicadores de calidad principales.   Tres de ellos se basan en el tiempo necesario para efectuar las transacciones fundamentales:  acuse de recibo de la solicitud PCT, publicación y nueva publicación.  El cuarto indicador da cuenta de los errores cometidos en el curso de la tramitación de solicitudes PCT.</w:t>
      </w:r>
    </w:p>
    <w:p w:rsidR="00CF11D1" w:rsidRPr="00F22588" w:rsidRDefault="00CF11D1" w:rsidP="00CF11D1">
      <w:pPr>
        <w:widowControl w:val="0"/>
        <w:rPr>
          <w:sz w:val="20"/>
        </w:rPr>
      </w:pPr>
    </w:p>
    <w:p w:rsidR="00CF11D1" w:rsidRDefault="00CF11D1" w:rsidP="00CF11D1">
      <w:pPr>
        <w:pStyle w:val="BodyText2"/>
        <w:keepNext/>
        <w:keepLines/>
        <w:widowControl w:val="0"/>
        <w:spacing w:line="240" w:lineRule="auto"/>
        <w:jc w:val="center"/>
        <w:rPr>
          <w:rFonts w:cs="Arial"/>
          <w:b/>
          <w:bCs/>
          <w:szCs w:val="18"/>
          <w:lang w:val="es-ES"/>
        </w:rPr>
      </w:pPr>
      <w:r w:rsidRPr="00F22588">
        <w:rPr>
          <w:rFonts w:cs="Arial"/>
          <w:b/>
          <w:bCs/>
          <w:szCs w:val="18"/>
          <w:lang w:val="es-ES"/>
        </w:rPr>
        <w:lastRenderedPageBreak/>
        <w:t>Indicador de calidad del examen de forma</w:t>
      </w:r>
    </w:p>
    <w:p w:rsidR="00CF11D1" w:rsidRDefault="00CF11D1" w:rsidP="00CF11D1">
      <w:pPr>
        <w:pStyle w:val="BodyText2"/>
        <w:keepNext/>
        <w:keepLines/>
        <w:widowControl w:val="0"/>
        <w:spacing w:line="240" w:lineRule="auto"/>
        <w:jc w:val="center"/>
        <w:rPr>
          <w:rFonts w:cs="Arial"/>
          <w:b/>
          <w:bCs/>
          <w:szCs w:val="18"/>
          <w:lang w:val="es-ES"/>
        </w:rPr>
      </w:pPr>
    </w:p>
    <w:p w:rsidR="00CF11D1" w:rsidRPr="00F22588" w:rsidRDefault="00CF11D1" w:rsidP="00CF11D1">
      <w:pPr>
        <w:pStyle w:val="BodyText2"/>
        <w:keepNext/>
        <w:keepLines/>
        <w:widowControl w:val="0"/>
        <w:spacing w:line="240" w:lineRule="auto"/>
        <w:jc w:val="center"/>
        <w:rPr>
          <w:rFonts w:cs="Arial"/>
          <w:b/>
          <w:bCs/>
          <w:szCs w:val="18"/>
          <w:lang w:val="es-ES"/>
        </w:rPr>
      </w:pPr>
      <w:r w:rsidRPr="00067B9F">
        <w:rPr>
          <w:noProof/>
        </w:rPr>
        <w:drawing>
          <wp:inline distT="0" distB="0" distL="0" distR="0" wp14:anchorId="15ACAD34" wp14:editId="1C7D5EF0">
            <wp:extent cx="5940425" cy="2721157"/>
            <wp:effectExtent l="0" t="0" r="3175" b="317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940425" cy="2721157"/>
                    </a:xfrm>
                    <a:prstGeom prst="rect">
                      <a:avLst/>
                    </a:prstGeom>
                    <a:noFill/>
                    <a:ln>
                      <a:noFill/>
                    </a:ln>
                  </pic:spPr>
                </pic:pic>
              </a:graphicData>
            </a:graphic>
          </wp:inline>
        </w:drawing>
      </w:r>
    </w:p>
    <w:p w:rsidR="00CF11D1" w:rsidRPr="00F22588" w:rsidRDefault="00CF11D1" w:rsidP="00CF11D1">
      <w:pPr>
        <w:keepNext/>
        <w:keepLines/>
        <w:widowControl w:val="0"/>
        <w:numPr>
          <w:ilvl w:val="0"/>
          <w:numId w:val="23"/>
        </w:numPr>
        <w:ind w:left="1134" w:hanging="584"/>
        <w:jc w:val="both"/>
        <w:rPr>
          <w:sz w:val="20"/>
        </w:rPr>
      </w:pPr>
      <w:r w:rsidRPr="00F22588">
        <w:rPr>
          <w:sz w:val="20"/>
        </w:rPr>
        <w:t xml:space="preserve">La calidad general, de acuerdo con el indicador global, ha mejorado notablemente, pasando del </w:t>
      </w:r>
      <w:r w:rsidRPr="00F22588">
        <w:rPr>
          <w:sz w:val="20"/>
          <w:highlight w:val="white"/>
        </w:rPr>
        <w:t>81%</w:t>
      </w:r>
      <w:r w:rsidRPr="00F22588">
        <w:rPr>
          <w:sz w:val="20"/>
        </w:rPr>
        <w:t>, en promedio, en 2007 al 92,8%</w:t>
      </w:r>
      <w:r w:rsidRPr="00F22588">
        <w:rPr>
          <w:sz w:val="20"/>
          <w:highlight w:val="white"/>
        </w:rPr>
        <w:t xml:space="preserve"> en 201</w:t>
      </w:r>
      <w:r w:rsidRPr="00F22588">
        <w:rPr>
          <w:sz w:val="20"/>
        </w:rPr>
        <w:t>5.</w:t>
      </w:r>
    </w:p>
    <w:p w:rsidR="00CF11D1" w:rsidRPr="00F22588" w:rsidRDefault="00CF11D1" w:rsidP="00CF11D1">
      <w:pPr>
        <w:keepLines/>
        <w:widowControl w:val="0"/>
        <w:ind w:left="1134"/>
        <w:jc w:val="both"/>
        <w:rPr>
          <w:sz w:val="20"/>
        </w:rPr>
      </w:pPr>
    </w:p>
    <w:p w:rsidR="00CF11D1" w:rsidRPr="00F22588" w:rsidRDefault="00CF11D1" w:rsidP="00CF11D1">
      <w:pPr>
        <w:keepLines/>
        <w:widowControl w:val="0"/>
        <w:numPr>
          <w:ilvl w:val="0"/>
          <w:numId w:val="23"/>
        </w:numPr>
        <w:ind w:left="1134" w:hanging="584"/>
        <w:jc w:val="both"/>
        <w:rPr>
          <w:sz w:val="20"/>
        </w:rPr>
      </w:pPr>
      <w:r w:rsidRPr="00F22588">
        <w:rPr>
          <w:sz w:val="20"/>
        </w:rPr>
        <w:t>La pequeña disminución del 0,3% del indicador de calidad en</w:t>
      </w:r>
      <w:r w:rsidRPr="00F22588">
        <w:rPr>
          <w:sz w:val="20"/>
          <w:highlight w:val="white"/>
        </w:rPr>
        <w:t xml:space="preserve"> 2015 </w:t>
      </w:r>
      <w:r>
        <w:rPr>
          <w:sz w:val="20"/>
          <w:highlight w:val="white"/>
        </w:rPr>
        <w:t>en comparación con </w:t>
      </w:r>
      <w:r w:rsidRPr="00F22588">
        <w:rPr>
          <w:sz w:val="20"/>
          <w:highlight w:val="white"/>
        </w:rPr>
        <w:t>2014 se debe a los retrasos en la nueva publicación de las solicitudes PCT junto con los informes de búsqueda internacional</w:t>
      </w:r>
      <w:r w:rsidRPr="00F22588">
        <w:rPr>
          <w:sz w:val="20"/>
        </w:rPr>
        <w:t xml:space="preserve"> en un plazo de dos </w:t>
      </w:r>
      <w:r>
        <w:rPr>
          <w:sz w:val="20"/>
        </w:rPr>
        <w:t>meses, que se redujo del 77% en </w:t>
      </w:r>
      <w:r w:rsidRPr="00F22588">
        <w:rPr>
          <w:sz w:val="20"/>
        </w:rPr>
        <w:t>2014 al 74% en 2015.  Las otras tres transacciones fundamentales que se emplean para computar este indicador de calidad global mejoraron en 2015 en comparación con 2014.  Durante el bienio 2014/15 el indicador de calidad (93%) mejoró casi cinco puntos porcentuales con respecto al bienio 2012/13 (88,1%).</w:t>
      </w:r>
    </w:p>
    <w:p w:rsidR="00CF11D1" w:rsidRPr="00F22588" w:rsidRDefault="00CF11D1" w:rsidP="00CF11D1">
      <w:pPr>
        <w:pStyle w:val="ListParagraph"/>
        <w:widowControl w:val="0"/>
        <w:ind w:left="0"/>
        <w:rPr>
          <w:rFonts w:cs="Arial"/>
          <w:lang w:val="es-ES"/>
        </w:rPr>
      </w:pPr>
    </w:p>
    <w:p w:rsidR="00CF11D1" w:rsidRPr="00F22588" w:rsidRDefault="00CF11D1" w:rsidP="00CF11D1">
      <w:pPr>
        <w:widowControl w:val="0"/>
        <w:rPr>
          <w:i/>
          <w:sz w:val="20"/>
        </w:rPr>
      </w:pPr>
      <w:r w:rsidRPr="00F22588">
        <w:rPr>
          <w:i/>
          <w:sz w:val="20"/>
        </w:rPr>
        <w:t>Tiempo necesario para el examen de forma</w:t>
      </w:r>
    </w:p>
    <w:p w:rsidR="00CF11D1" w:rsidRPr="00F22588" w:rsidRDefault="00CF11D1" w:rsidP="00CF11D1">
      <w:pPr>
        <w:widowControl w:val="0"/>
        <w:rPr>
          <w:b/>
          <w:sz w:val="20"/>
        </w:rPr>
      </w:pPr>
    </w:p>
    <w:p w:rsidR="00CF11D1" w:rsidRPr="004B1B8C" w:rsidRDefault="00CF11D1" w:rsidP="00CF11D1">
      <w:pPr>
        <w:widowControl w:val="0"/>
        <w:numPr>
          <w:ilvl w:val="0"/>
          <w:numId w:val="21"/>
        </w:numPr>
        <w:tabs>
          <w:tab w:val="clear" w:pos="709"/>
          <w:tab w:val="num" w:pos="567"/>
        </w:tabs>
        <w:ind w:left="0"/>
        <w:jc w:val="both"/>
        <w:rPr>
          <w:b/>
          <w:sz w:val="20"/>
        </w:rPr>
      </w:pPr>
      <w:r w:rsidRPr="00F22588">
        <w:rPr>
          <w:sz w:val="20"/>
        </w:rPr>
        <w:t>Este indicador refleja más detalladamente uno de los componentes del indicador global de calidad, esto es el tiempo que necesita la Oficina Internacional para enviar el formulario 301.   Este formulario es expedido una vez completado el examen de forma de la solicitud.  Los solicitantes agradecen que se les envíe ese formulario lo antes posible, puesto que constituye un acuse de recibo de la solicitud en la Oficina Internacional y les permite saber si su solicitud presenta errores formales.</w:t>
      </w:r>
    </w:p>
    <w:p w:rsidR="00CF11D1" w:rsidRPr="00F22588" w:rsidRDefault="00CF11D1" w:rsidP="00CF11D1">
      <w:pPr>
        <w:widowControl w:val="0"/>
        <w:jc w:val="both"/>
        <w:rPr>
          <w:b/>
          <w:sz w:val="20"/>
        </w:rPr>
      </w:pPr>
    </w:p>
    <w:p w:rsidR="00CF11D1" w:rsidRPr="004B1B8C" w:rsidRDefault="00CF11D1" w:rsidP="00CF11D1">
      <w:pPr>
        <w:widowControl w:val="0"/>
        <w:jc w:val="center"/>
        <w:rPr>
          <w:b/>
          <w:sz w:val="16"/>
          <w:szCs w:val="16"/>
        </w:rPr>
      </w:pPr>
      <w:r w:rsidRPr="004B1B8C">
        <w:rPr>
          <w:b/>
          <w:sz w:val="16"/>
          <w:szCs w:val="16"/>
        </w:rPr>
        <w:t>Tiempo necesario para el examen de forma</w:t>
      </w:r>
    </w:p>
    <w:p w:rsidR="00CF11D1" w:rsidRPr="00F22588" w:rsidRDefault="00CF11D1" w:rsidP="00CF11D1">
      <w:pPr>
        <w:widowControl w:val="0"/>
        <w:rPr>
          <w:b/>
        </w:rPr>
      </w:pPr>
      <w:r w:rsidRPr="004F5F6E">
        <w:rPr>
          <w:noProof/>
          <w:lang w:val="en-US" w:eastAsia="en-US"/>
        </w:rPr>
        <w:drawing>
          <wp:inline distT="0" distB="0" distL="0" distR="0" wp14:anchorId="10AFD5C3" wp14:editId="44A852A3">
            <wp:extent cx="5940425" cy="2509607"/>
            <wp:effectExtent l="0" t="0" r="3175" b="508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940425" cy="2509607"/>
                    </a:xfrm>
                    <a:prstGeom prst="rect">
                      <a:avLst/>
                    </a:prstGeom>
                    <a:noFill/>
                    <a:ln>
                      <a:noFill/>
                    </a:ln>
                  </pic:spPr>
                </pic:pic>
              </a:graphicData>
            </a:graphic>
          </wp:inline>
        </w:drawing>
      </w:r>
    </w:p>
    <w:p w:rsidR="00CF11D1" w:rsidRPr="00F22588" w:rsidRDefault="00CF11D1" w:rsidP="00CF11D1">
      <w:pPr>
        <w:widowControl w:val="0"/>
        <w:rPr>
          <w:b/>
          <w:sz w:val="20"/>
        </w:rPr>
      </w:pPr>
    </w:p>
    <w:p w:rsidR="00CF11D1" w:rsidRPr="00F22588" w:rsidRDefault="00CF11D1" w:rsidP="00CF11D1">
      <w:pPr>
        <w:keepNext/>
        <w:widowControl w:val="0"/>
        <w:rPr>
          <w:i/>
          <w:sz w:val="20"/>
        </w:rPr>
      </w:pPr>
      <w:r w:rsidRPr="00F22588">
        <w:rPr>
          <w:i/>
          <w:sz w:val="20"/>
        </w:rPr>
        <w:lastRenderedPageBreak/>
        <w:t>Tiempo necesario para la publicación</w:t>
      </w:r>
    </w:p>
    <w:p w:rsidR="00CF11D1" w:rsidRPr="00F22588" w:rsidRDefault="00CF11D1" w:rsidP="00CF11D1">
      <w:pPr>
        <w:keepNext/>
        <w:widowControl w:val="0"/>
        <w:rPr>
          <w:sz w:val="20"/>
        </w:rPr>
      </w:pPr>
    </w:p>
    <w:p w:rsidR="00CF11D1" w:rsidRDefault="00CF11D1" w:rsidP="00CF11D1">
      <w:pPr>
        <w:keepNext/>
        <w:widowControl w:val="0"/>
        <w:numPr>
          <w:ilvl w:val="0"/>
          <w:numId w:val="21"/>
        </w:numPr>
        <w:tabs>
          <w:tab w:val="clear" w:pos="709"/>
          <w:tab w:val="num" w:pos="567"/>
        </w:tabs>
        <w:ind w:left="0"/>
        <w:jc w:val="both"/>
        <w:rPr>
          <w:sz w:val="20"/>
        </w:rPr>
      </w:pPr>
      <w:r w:rsidRPr="00F22588">
        <w:rPr>
          <w:sz w:val="20"/>
        </w:rPr>
        <w:t>Este indicador refleja con más detalle uno de los componentes del indicador global de calidad, esto es, el tiempo que tarda la Oficina Internaci</w:t>
      </w:r>
      <w:r>
        <w:rPr>
          <w:sz w:val="20"/>
        </w:rPr>
        <w:t xml:space="preserve">onal en publicar la solicitud. </w:t>
      </w:r>
      <w:r w:rsidRPr="00F22588">
        <w:rPr>
          <w:sz w:val="20"/>
        </w:rPr>
        <w:t xml:space="preserve"> El artículo 21.2)a) del PCT </w:t>
      </w:r>
      <w:r>
        <w:rPr>
          <w:sz w:val="20"/>
        </w:rPr>
        <w:t>establece que</w:t>
      </w:r>
      <w:r w:rsidRPr="00F22588">
        <w:rPr>
          <w:sz w:val="20"/>
        </w:rPr>
        <w:t xml:space="preserve"> “[…] la publicación internacional de la solicitud internacional se efectuará rápidamente tras el vencimiento de un plazo de 18 meses desde la fecha de prioridad de esa solicitud”.</w:t>
      </w:r>
    </w:p>
    <w:p w:rsidR="00CF11D1" w:rsidRDefault="00CF11D1" w:rsidP="00CF11D1">
      <w:pPr>
        <w:widowControl w:val="0"/>
        <w:jc w:val="both"/>
        <w:rPr>
          <w:sz w:val="20"/>
        </w:rPr>
      </w:pPr>
    </w:p>
    <w:p w:rsidR="00CF11D1" w:rsidRPr="0039161D" w:rsidRDefault="00CF11D1" w:rsidP="00CF11D1">
      <w:pPr>
        <w:widowControl w:val="0"/>
        <w:jc w:val="center"/>
        <w:rPr>
          <w:b/>
          <w:sz w:val="16"/>
          <w:szCs w:val="16"/>
        </w:rPr>
      </w:pPr>
      <w:r w:rsidRPr="0039161D">
        <w:rPr>
          <w:b/>
          <w:sz w:val="16"/>
          <w:szCs w:val="16"/>
        </w:rPr>
        <w:t>Tiempo necesario para la publicación</w:t>
      </w:r>
    </w:p>
    <w:p w:rsidR="00CF11D1" w:rsidRPr="00F22588" w:rsidRDefault="00CF11D1" w:rsidP="00CF11D1">
      <w:pPr>
        <w:pStyle w:val="BodyText2"/>
        <w:widowControl w:val="0"/>
        <w:spacing w:line="240" w:lineRule="auto"/>
        <w:rPr>
          <w:rFonts w:cs="Arial"/>
          <w:szCs w:val="20"/>
          <w:lang w:val="es-ES"/>
        </w:rPr>
      </w:pPr>
      <w:r w:rsidRPr="00792FE2">
        <w:rPr>
          <w:noProof/>
        </w:rPr>
        <w:drawing>
          <wp:inline distT="0" distB="0" distL="0" distR="0" wp14:anchorId="087704EB" wp14:editId="59046CB5">
            <wp:extent cx="5940425" cy="2651672"/>
            <wp:effectExtent l="0" t="0" r="317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940425" cy="2651672"/>
                    </a:xfrm>
                    <a:prstGeom prst="rect">
                      <a:avLst/>
                    </a:prstGeom>
                    <a:noFill/>
                    <a:ln>
                      <a:noFill/>
                    </a:ln>
                  </pic:spPr>
                </pic:pic>
              </a:graphicData>
            </a:graphic>
          </wp:inline>
        </w:drawing>
      </w:r>
    </w:p>
    <w:p w:rsidR="00CF11D1" w:rsidRPr="00F22588" w:rsidRDefault="00CF11D1" w:rsidP="00CF11D1">
      <w:pPr>
        <w:keepNext/>
        <w:keepLines/>
        <w:widowControl w:val="0"/>
        <w:rPr>
          <w:i/>
          <w:sz w:val="20"/>
        </w:rPr>
      </w:pPr>
      <w:r w:rsidRPr="00F22588">
        <w:rPr>
          <w:i/>
          <w:sz w:val="20"/>
        </w:rPr>
        <w:t>Tiempo necesario para una nueva publicación</w:t>
      </w:r>
    </w:p>
    <w:p w:rsidR="00CF11D1" w:rsidRPr="00F22588" w:rsidRDefault="00CF11D1" w:rsidP="00CF11D1">
      <w:pPr>
        <w:keepNext/>
        <w:keepLines/>
        <w:widowControl w:val="0"/>
        <w:rPr>
          <w:sz w:val="20"/>
        </w:rPr>
      </w:pPr>
    </w:p>
    <w:p w:rsidR="00CF11D1" w:rsidRPr="00F22588" w:rsidRDefault="00CF11D1" w:rsidP="00CF11D1">
      <w:pPr>
        <w:keepNext/>
        <w:keepLines/>
        <w:widowControl w:val="0"/>
        <w:numPr>
          <w:ilvl w:val="0"/>
          <w:numId w:val="21"/>
        </w:numPr>
        <w:tabs>
          <w:tab w:val="clear" w:pos="709"/>
          <w:tab w:val="num" w:pos="567"/>
        </w:tabs>
        <w:ind w:left="0"/>
        <w:jc w:val="both"/>
        <w:rPr>
          <w:sz w:val="20"/>
        </w:rPr>
      </w:pPr>
      <w:r w:rsidRPr="00F22588">
        <w:rPr>
          <w:sz w:val="20"/>
          <w:highlight w:val="white"/>
        </w:rPr>
        <w:t xml:space="preserve">Este indicador refleja con más detalle uno de los componentes del indicador global de calidad, esto es, el tiempo que tarda la Oficina Internacional </w:t>
      </w:r>
      <w:r w:rsidRPr="00F22588">
        <w:rPr>
          <w:sz w:val="20"/>
        </w:rPr>
        <w:t>en llevar a cabo la nueva publicación de</w:t>
      </w:r>
      <w:r w:rsidRPr="00F22588">
        <w:rPr>
          <w:sz w:val="20"/>
          <w:highlight w:val="white"/>
        </w:rPr>
        <w:t xml:space="preserve"> la solicitud, junto con el informe de búsqueda internacional</w:t>
      </w:r>
      <w:r w:rsidRPr="00F22588">
        <w:rPr>
          <w:sz w:val="20"/>
        </w:rPr>
        <w:t>.  Algunas solicitudes internacionales se publican sin su informe de búsqueda internacional, ya que las Administraciones encargadas de la búsqueda internacional los comunican con retraso.</w:t>
      </w:r>
    </w:p>
    <w:p w:rsidR="00CF11D1" w:rsidRDefault="00CF11D1" w:rsidP="00CF11D1">
      <w:pPr>
        <w:widowControl w:val="0"/>
        <w:rPr>
          <w:sz w:val="20"/>
        </w:rPr>
      </w:pPr>
    </w:p>
    <w:p w:rsidR="00CF11D1" w:rsidRPr="00AA1815" w:rsidRDefault="00CF11D1" w:rsidP="00CF11D1">
      <w:pPr>
        <w:widowControl w:val="0"/>
        <w:jc w:val="center"/>
        <w:rPr>
          <w:b/>
          <w:sz w:val="16"/>
          <w:szCs w:val="16"/>
        </w:rPr>
      </w:pPr>
      <w:r w:rsidRPr="00AA1815">
        <w:rPr>
          <w:b/>
          <w:sz w:val="16"/>
          <w:szCs w:val="16"/>
        </w:rPr>
        <w:t>Tiempo necesario para una nueva publicación</w:t>
      </w:r>
    </w:p>
    <w:p w:rsidR="00CF11D1" w:rsidRPr="00F22588" w:rsidRDefault="00CF11D1" w:rsidP="00CF11D1">
      <w:pPr>
        <w:widowControl w:val="0"/>
        <w:rPr>
          <w:sz w:val="20"/>
        </w:rPr>
      </w:pPr>
      <w:r w:rsidRPr="00BE4C1F">
        <w:rPr>
          <w:noProof/>
          <w:lang w:val="en-US" w:eastAsia="en-US"/>
        </w:rPr>
        <w:drawing>
          <wp:inline distT="0" distB="0" distL="0" distR="0" wp14:anchorId="19CB4495" wp14:editId="2612C007">
            <wp:extent cx="5940425" cy="2651672"/>
            <wp:effectExtent l="0" t="0" r="317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940425" cy="2651672"/>
                    </a:xfrm>
                    <a:prstGeom prst="rect">
                      <a:avLst/>
                    </a:prstGeom>
                    <a:noFill/>
                    <a:ln>
                      <a:noFill/>
                    </a:ln>
                  </pic:spPr>
                </pic:pic>
              </a:graphicData>
            </a:graphic>
          </wp:inline>
        </w:drawing>
      </w:r>
    </w:p>
    <w:p w:rsidR="00CF11D1" w:rsidRPr="00F22588" w:rsidRDefault="00CF11D1" w:rsidP="00CF11D1">
      <w:pPr>
        <w:widowControl w:val="0"/>
        <w:rPr>
          <w:i/>
          <w:sz w:val="20"/>
        </w:rPr>
      </w:pPr>
    </w:p>
    <w:p w:rsidR="00CF11D1" w:rsidRPr="00F22588" w:rsidRDefault="00CF11D1" w:rsidP="00CF11D1">
      <w:pPr>
        <w:widowControl w:val="0"/>
        <w:rPr>
          <w:i/>
          <w:sz w:val="20"/>
        </w:rPr>
      </w:pPr>
      <w:r w:rsidRPr="00F22588">
        <w:rPr>
          <w:i/>
          <w:sz w:val="20"/>
        </w:rPr>
        <w:t xml:space="preserve">Calidad de la traducción </w:t>
      </w:r>
    </w:p>
    <w:p w:rsidR="00CF11D1" w:rsidRPr="00F22588" w:rsidRDefault="00CF11D1" w:rsidP="00CF11D1">
      <w:pPr>
        <w:widowControl w:val="0"/>
        <w:rPr>
          <w:sz w:val="20"/>
        </w:rPr>
      </w:pPr>
    </w:p>
    <w:p w:rsidR="00CF11D1" w:rsidRPr="00F22588" w:rsidRDefault="00CF11D1" w:rsidP="00CF11D1">
      <w:pPr>
        <w:widowControl w:val="0"/>
        <w:numPr>
          <w:ilvl w:val="0"/>
          <w:numId w:val="21"/>
        </w:numPr>
        <w:tabs>
          <w:tab w:val="clear" w:pos="709"/>
          <w:tab w:val="num" w:pos="567"/>
        </w:tabs>
        <w:ind w:left="0"/>
        <w:jc w:val="both"/>
        <w:rPr>
          <w:sz w:val="20"/>
        </w:rPr>
      </w:pPr>
      <w:r w:rsidRPr="00F22588">
        <w:rPr>
          <w:sz w:val="20"/>
        </w:rPr>
        <w:t xml:space="preserve">Con el fin de evaluar la calidad de la traducción, se extrae una muestra aleatoria de los extractos y de los informes de </w:t>
      </w:r>
      <w:proofErr w:type="spellStart"/>
      <w:r w:rsidRPr="00F22588">
        <w:rPr>
          <w:sz w:val="20"/>
        </w:rPr>
        <w:t>patentabilidad</w:t>
      </w:r>
      <w:proofErr w:type="spellEnd"/>
      <w:r w:rsidRPr="00F22588">
        <w:rPr>
          <w:sz w:val="20"/>
        </w:rPr>
        <w:t xml:space="preserve"> preparados bajo la responsabilidad de la Oficina;  la muestra está compuesta por un número de documentos calculado estadísticamente.  La evaluación permite determinar si una traducción es </w:t>
      </w:r>
      <w:r>
        <w:rPr>
          <w:sz w:val="20"/>
        </w:rPr>
        <w:t xml:space="preserve">"aceptable" o "no aceptable".  </w:t>
      </w:r>
      <w:r w:rsidRPr="00F22588">
        <w:rPr>
          <w:sz w:val="20"/>
        </w:rPr>
        <w:t xml:space="preserve">El indicador engloba los resultados del control de calidad realizado por la Oficina Internacional respecto de todas las combinaciones lingüísticas </w:t>
      </w:r>
      <w:r w:rsidRPr="00F22588">
        <w:rPr>
          <w:sz w:val="20"/>
        </w:rPr>
        <w:lastRenderedPageBreak/>
        <w:t>y todos los tipos de documentos.  Se interrumpe la colaboración con aquellas agencias cuya tasa de traducciones consideradas "aceptables" sea sistemáticamente inferior al 80%.  El porcentaje del 87,6% de traducciones aceptables alcanzado en 2015 es el más alto que se ha obtenido jamás, y superó el porcentaje de 2014 por 1,6 puntos porcentuales.</w:t>
      </w:r>
    </w:p>
    <w:p w:rsidR="00CF11D1" w:rsidRPr="00F22588" w:rsidRDefault="00CF11D1" w:rsidP="00CF11D1">
      <w:pPr>
        <w:widowControl w:val="0"/>
        <w:jc w:val="center"/>
        <w:rPr>
          <w:sz w:val="20"/>
          <w:highlight w:val="yellow"/>
        </w:rPr>
      </w:pPr>
    </w:p>
    <w:p w:rsidR="00CF11D1" w:rsidRDefault="00CF11D1" w:rsidP="00CF11D1">
      <w:pPr>
        <w:keepNext/>
        <w:widowControl w:val="0"/>
        <w:jc w:val="center"/>
        <w:rPr>
          <w:b/>
          <w:sz w:val="20"/>
        </w:rPr>
      </w:pPr>
      <w:r w:rsidRPr="00F22588">
        <w:rPr>
          <w:b/>
          <w:sz w:val="20"/>
          <w:highlight w:val="white"/>
        </w:rPr>
        <w:t>Calidad de la traducción en el PCT</w:t>
      </w:r>
    </w:p>
    <w:p w:rsidR="00CF11D1" w:rsidRPr="00F22588" w:rsidRDefault="00CF11D1" w:rsidP="00CF11D1">
      <w:pPr>
        <w:keepNext/>
        <w:widowControl w:val="0"/>
        <w:jc w:val="center"/>
        <w:rPr>
          <w:b/>
          <w:sz w:val="20"/>
        </w:rPr>
      </w:pPr>
    </w:p>
    <w:p w:rsidR="00CF11D1" w:rsidRPr="00F22588" w:rsidRDefault="00CF11D1" w:rsidP="00CF11D1">
      <w:pPr>
        <w:keepNext/>
        <w:widowControl w:val="0"/>
        <w:jc w:val="center"/>
        <w:rPr>
          <w:b/>
          <w:sz w:val="20"/>
        </w:rPr>
      </w:pPr>
      <w:r w:rsidRPr="00A133DB">
        <w:rPr>
          <w:noProof/>
          <w:lang w:val="en-US" w:eastAsia="en-US"/>
        </w:rPr>
        <w:drawing>
          <wp:inline distT="0" distB="0" distL="0" distR="0" wp14:anchorId="385D935A" wp14:editId="78EAB01E">
            <wp:extent cx="5940425" cy="3252002"/>
            <wp:effectExtent l="0" t="0" r="3175" b="571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940425" cy="3252002"/>
                    </a:xfrm>
                    <a:prstGeom prst="rect">
                      <a:avLst/>
                    </a:prstGeom>
                    <a:noFill/>
                    <a:ln>
                      <a:noFill/>
                    </a:ln>
                  </pic:spPr>
                </pic:pic>
              </a:graphicData>
            </a:graphic>
          </wp:inline>
        </w:drawing>
      </w:r>
    </w:p>
    <w:p w:rsidR="00CF11D1" w:rsidRPr="00F22588" w:rsidRDefault="00CF11D1" w:rsidP="00CF11D1">
      <w:pPr>
        <w:keepNext/>
        <w:widowControl w:val="0"/>
        <w:rPr>
          <w:sz w:val="20"/>
          <w:highlight w:val="yellow"/>
        </w:rPr>
      </w:pPr>
    </w:p>
    <w:p w:rsidR="00CF11D1" w:rsidRPr="00F22588" w:rsidRDefault="00CF11D1" w:rsidP="00CF11D1">
      <w:pPr>
        <w:keepNext/>
        <w:widowControl w:val="0"/>
        <w:rPr>
          <w:i/>
          <w:sz w:val="20"/>
        </w:rPr>
      </w:pPr>
      <w:r w:rsidRPr="00F22588">
        <w:rPr>
          <w:i/>
          <w:sz w:val="20"/>
        </w:rPr>
        <w:t>Tiempo necesario para la traducción de informes</w:t>
      </w:r>
    </w:p>
    <w:p w:rsidR="00CF11D1" w:rsidRPr="00F22588" w:rsidRDefault="00CF11D1" w:rsidP="00CF11D1">
      <w:pPr>
        <w:keepNext/>
        <w:widowControl w:val="0"/>
        <w:rPr>
          <w:sz w:val="20"/>
        </w:rPr>
      </w:pPr>
    </w:p>
    <w:p w:rsidR="00CF11D1" w:rsidRPr="00F22588" w:rsidRDefault="00CF11D1" w:rsidP="00CF11D1">
      <w:pPr>
        <w:keepNext/>
        <w:widowControl w:val="0"/>
        <w:numPr>
          <w:ilvl w:val="0"/>
          <w:numId w:val="21"/>
        </w:numPr>
        <w:tabs>
          <w:tab w:val="clear" w:pos="709"/>
          <w:tab w:val="num" w:pos="567"/>
        </w:tabs>
        <w:ind w:left="0"/>
        <w:jc w:val="both"/>
        <w:rPr>
          <w:sz w:val="20"/>
        </w:rPr>
      </w:pPr>
      <w:r w:rsidRPr="00F22588">
        <w:rPr>
          <w:sz w:val="20"/>
        </w:rPr>
        <w:t xml:space="preserve">Este indicador proporciona información sobre el tiempo necesario para que la Oficina Internacional ponga la traducción del informe sobre la </w:t>
      </w:r>
      <w:proofErr w:type="spellStart"/>
      <w:r w:rsidRPr="00F22588">
        <w:rPr>
          <w:sz w:val="20"/>
        </w:rPr>
        <w:t>patentabilidad</w:t>
      </w:r>
      <w:proofErr w:type="spellEnd"/>
      <w:r w:rsidRPr="00F22588">
        <w:rPr>
          <w:sz w:val="20"/>
        </w:rPr>
        <w:t xml:space="preserve"> a disposición de los solicitantes y las Oficinas.  Desde 2010, no ha dejado de aumentar la proporción de traducciones de informes sobre la </w:t>
      </w:r>
      <w:proofErr w:type="spellStart"/>
      <w:r w:rsidRPr="00F22588">
        <w:rPr>
          <w:sz w:val="20"/>
        </w:rPr>
        <w:t>patentabilidad</w:t>
      </w:r>
      <w:proofErr w:type="spellEnd"/>
      <w:r w:rsidRPr="00F22588">
        <w:rPr>
          <w:sz w:val="20"/>
        </w:rPr>
        <w:t xml:space="preserve"> entregadas dentro de los 30 meses contados a partir de la fecha de prioridad de la solicitud internacional.  En 2014, el 82,5%</w:t>
      </w:r>
      <w:r w:rsidRPr="00F22588">
        <w:rPr>
          <w:sz w:val="20"/>
          <w:highlight w:val="white"/>
        </w:rPr>
        <w:t xml:space="preserve"> de las traducciones de informes sobre la </w:t>
      </w:r>
      <w:proofErr w:type="spellStart"/>
      <w:r w:rsidRPr="00F22588">
        <w:rPr>
          <w:sz w:val="20"/>
          <w:highlight w:val="white"/>
        </w:rPr>
        <w:t>patentabilidad</w:t>
      </w:r>
      <w:proofErr w:type="spellEnd"/>
      <w:r w:rsidRPr="00F22588">
        <w:rPr>
          <w:sz w:val="20"/>
          <w:highlight w:val="white"/>
        </w:rPr>
        <w:t xml:space="preserve"> se entregó dentro de los 30 meses contados a partir de la fecha de prioridad</w:t>
      </w:r>
      <w:r w:rsidRPr="00F22588">
        <w:rPr>
          <w:sz w:val="20"/>
        </w:rPr>
        <w:t xml:space="preserve">.  En 2015 el porcentaje de traducciones de informes sobre la </w:t>
      </w:r>
      <w:proofErr w:type="spellStart"/>
      <w:r w:rsidRPr="00F22588">
        <w:rPr>
          <w:sz w:val="20"/>
        </w:rPr>
        <w:t>patentabilidad</w:t>
      </w:r>
      <w:proofErr w:type="spellEnd"/>
      <w:r w:rsidRPr="00F22588">
        <w:rPr>
          <w:sz w:val="20"/>
        </w:rPr>
        <w:t xml:space="preserve"> entregadas dentr</w:t>
      </w:r>
      <w:r>
        <w:rPr>
          <w:sz w:val="20"/>
        </w:rPr>
        <w:t>o de esos 30 meses aumentó a un </w:t>
      </w:r>
      <w:r w:rsidRPr="00F22588">
        <w:rPr>
          <w:sz w:val="20"/>
        </w:rPr>
        <w:t>90%, y el 99% se entregaron en un plazo de 31 meses.</w:t>
      </w:r>
    </w:p>
    <w:p w:rsidR="00CF11D1" w:rsidRPr="00F22588" w:rsidRDefault="00CF11D1" w:rsidP="00CF11D1">
      <w:pPr>
        <w:widowControl w:val="0"/>
        <w:ind w:left="142"/>
        <w:jc w:val="both"/>
        <w:rPr>
          <w:sz w:val="20"/>
        </w:rPr>
      </w:pPr>
    </w:p>
    <w:p w:rsidR="00CF11D1" w:rsidRPr="00F22588" w:rsidRDefault="00CF11D1" w:rsidP="00CF11D1">
      <w:pPr>
        <w:widowControl w:val="0"/>
        <w:ind w:left="142"/>
        <w:jc w:val="center"/>
        <w:rPr>
          <w:b/>
          <w:sz w:val="20"/>
        </w:rPr>
      </w:pPr>
      <w:r w:rsidRPr="00F22588">
        <w:rPr>
          <w:b/>
          <w:sz w:val="20"/>
        </w:rPr>
        <w:t>Tiempo necesario para la traducción de informes</w:t>
      </w:r>
    </w:p>
    <w:p w:rsidR="00CF11D1" w:rsidRDefault="00CF11D1" w:rsidP="00CF11D1">
      <w:pPr>
        <w:widowControl w:val="0"/>
        <w:ind w:left="142"/>
        <w:jc w:val="center"/>
        <w:rPr>
          <w:b/>
          <w:noProof/>
          <w:sz w:val="20"/>
          <w:lang w:val="en-US" w:eastAsia="en-US"/>
        </w:rPr>
      </w:pPr>
      <w:r w:rsidRPr="00150B98">
        <w:rPr>
          <w:noProof/>
          <w:lang w:val="en-US" w:eastAsia="en-US"/>
        </w:rPr>
        <w:drawing>
          <wp:inline distT="0" distB="0" distL="0" distR="0" wp14:anchorId="5E737997" wp14:editId="0F0C7817">
            <wp:extent cx="5940425" cy="2562507"/>
            <wp:effectExtent l="0" t="0" r="3175"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940425" cy="2562507"/>
                    </a:xfrm>
                    <a:prstGeom prst="rect">
                      <a:avLst/>
                    </a:prstGeom>
                    <a:noFill/>
                    <a:ln>
                      <a:noFill/>
                    </a:ln>
                  </pic:spPr>
                </pic:pic>
              </a:graphicData>
            </a:graphic>
          </wp:inline>
        </w:drawing>
      </w:r>
    </w:p>
    <w:p w:rsidR="00CF11D1" w:rsidRPr="00F22588" w:rsidRDefault="00CF11D1" w:rsidP="00CF11D1">
      <w:pPr>
        <w:widowControl w:val="0"/>
        <w:ind w:left="142"/>
        <w:jc w:val="center"/>
        <w:rPr>
          <w:b/>
          <w:sz w:val="20"/>
        </w:rPr>
      </w:pPr>
    </w:p>
    <w:p w:rsidR="00CF11D1" w:rsidRPr="00F22588" w:rsidRDefault="00CF11D1" w:rsidP="00CF11D1">
      <w:pPr>
        <w:keepNext/>
        <w:widowControl w:val="0"/>
        <w:rPr>
          <w:i/>
          <w:sz w:val="20"/>
        </w:rPr>
      </w:pPr>
      <w:r w:rsidRPr="00F22588">
        <w:rPr>
          <w:i/>
          <w:sz w:val="20"/>
        </w:rPr>
        <w:lastRenderedPageBreak/>
        <w:t>Calidad del desarrollo de programas informáticos</w:t>
      </w:r>
    </w:p>
    <w:p w:rsidR="00CF11D1" w:rsidRPr="00F22588" w:rsidRDefault="00CF11D1" w:rsidP="00CF11D1">
      <w:pPr>
        <w:keepNext/>
        <w:widowControl w:val="0"/>
        <w:jc w:val="both"/>
        <w:rPr>
          <w:b/>
          <w:sz w:val="20"/>
        </w:rPr>
      </w:pPr>
    </w:p>
    <w:p w:rsidR="00CF11D1" w:rsidRPr="00F22588" w:rsidRDefault="00CF11D1" w:rsidP="00CF11D1">
      <w:pPr>
        <w:keepNext/>
        <w:widowControl w:val="0"/>
        <w:numPr>
          <w:ilvl w:val="0"/>
          <w:numId w:val="21"/>
        </w:numPr>
        <w:tabs>
          <w:tab w:val="clear" w:pos="709"/>
          <w:tab w:val="num" w:pos="567"/>
        </w:tabs>
        <w:ind w:left="0"/>
        <w:jc w:val="both"/>
        <w:rPr>
          <w:sz w:val="20"/>
        </w:rPr>
      </w:pPr>
      <w:r w:rsidRPr="00F22588">
        <w:rPr>
          <w:sz w:val="20"/>
          <w:highlight w:val="white"/>
        </w:rPr>
        <w:t xml:space="preserve">El indicador de calidad del desarrollo de programas informáticos proporciona una medida de la calidad de las principales versiones de </w:t>
      </w:r>
      <w:r w:rsidRPr="00F22588">
        <w:rPr>
          <w:i/>
          <w:sz w:val="20"/>
          <w:highlight w:val="white"/>
        </w:rPr>
        <w:t>software</w:t>
      </w:r>
      <w:r w:rsidRPr="00F22588">
        <w:rPr>
          <w:sz w:val="20"/>
          <w:highlight w:val="white"/>
        </w:rPr>
        <w:t xml:space="preserve"> para</w:t>
      </w:r>
      <w:r w:rsidRPr="00F22588">
        <w:rPr>
          <w:sz w:val="20"/>
        </w:rPr>
        <w:t xml:space="preserve"> los proyectos </w:t>
      </w:r>
      <w:proofErr w:type="spellStart"/>
      <w:r w:rsidRPr="00F22588">
        <w:rPr>
          <w:i/>
          <w:sz w:val="20"/>
        </w:rPr>
        <w:t>eDossier</w:t>
      </w:r>
      <w:proofErr w:type="spellEnd"/>
      <w:r w:rsidRPr="00F22588">
        <w:rPr>
          <w:sz w:val="20"/>
        </w:rPr>
        <w:t xml:space="preserve"> y </w:t>
      </w:r>
      <w:proofErr w:type="spellStart"/>
      <w:r w:rsidRPr="00F22588">
        <w:rPr>
          <w:i/>
          <w:sz w:val="20"/>
        </w:rPr>
        <w:t>ePCT</w:t>
      </w:r>
      <w:proofErr w:type="spellEnd"/>
      <w:r w:rsidRPr="00F22588">
        <w:rPr>
          <w:sz w:val="20"/>
        </w:rPr>
        <w:t>.  La calidad del desarrollo de programas informáticos refleja el porcentaje de tiempo dedicado a aportar nuevas funciones a las versiones (es decir, trabajo), sobre el total de tiempo utilizado (es decir, trabajo + modificaciones).  Las modificaciones representan el tiempo dedicado a corregir el trabajo defectuoso detectado en el entorno de producción.</w:t>
      </w:r>
    </w:p>
    <w:p w:rsidR="00CF11D1" w:rsidRPr="00F22588" w:rsidRDefault="00CF11D1" w:rsidP="00CF11D1">
      <w:pPr>
        <w:widowControl w:val="0"/>
        <w:jc w:val="both"/>
        <w:rPr>
          <w:sz w:val="20"/>
        </w:rPr>
      </w:pPr>
    </w:p>
    <w:p w:rsidR="00CF11D1" w:rsidRPr="00F22588" w:rsidRDefault="00CF11D1" w:rsidP="00CF11D1">
      <w:pPr>
        <w:widowControl w:val="0"/>
        <w:numPr>
          <w:ilvl w:val="0"/>
          <w:numId w:val="21"/>
        </w:numPr>
        <w:tabs>
          <w:tab w:val="clear" w:pos="709"/>
          <w:tab w:val="num" w:pos="567"/>
        </w:tabs>
        <w:ind w:left="0"/>
        <w:jc w:val="both"/>
        <w:rPr>
          <w:sz w:val="20"/>
        </w:rPr>
      </w:pPr>
      <w:r w:rsidRPr="00F22588">
        <w:rPr>
          <w:sz w:val="20"/>
        </w:rPr>
        <w:t>En el marco de este enfoque, los productos desarrollados que solo requieran ligeras modificaciones se considerarán de alta calidad, pues reflejan la extensión del valor añadido al producto mediante la incorporación de nuevas funciones.</w:t>
      </w:r>
    </w:p>
    <w:p w:rsidR="00CF11D1" w:rsidRPr="00F22588" w:rsidRDefault="00CF11D1" w:rsidP="00CF11D1">
      <w:pPr>
        <w:widowControl w:val="0"/>
        <w:jc w:val="both"/>
        <w:rPr>
          <w:sz w:val="20"/>
        </w:rPr>
      </w:pPr>
    </w:p>
    <w:p w:rsidR="00CF11D1" w:rsidRPr="00F22588" w:rsidRDefault="00CF11D1" w:rsidP="00CF11D1">
      <w:pPr>
        <w:widowControl w:val="0"/>
        <w:numPr>
          <w:ilvl w:val="0"/>
          <w:numId w:val="21"/>
        </w:numPr>
        <w:tabs>
          <w:tab w:val="clear" w:pos="709"/>
          <w:tab w:val="num" w:pos="567"/>
        </w:tabs>
        <w:ind w:left="0"/>
        <w:rPr>
          <w:sz w:val="20"/>
        </w:rPr>
      </w:pPr>
      <w:r w:rsidRPr="00F22588">
        <w:rPr>
          <w:sz w:val="20"/>
        </w:rPr>
        <w:t>La calidad del desarrollo de programas informáticos se define de la manera siguiente:</w:t>
      </w:r>
    </w:p>
    <w:p w:rsidR="00CF11D1" w:rsidRPr="00F22588" w:rsidRDefault="00CF11D1" w:rsidP="00CF11D1">
      <w:pPr>
        <w:pStyle w:val="ListParagraph"/>
        <w:widowControl w:val="0"/>
        <w:ind w:left="0"/>
        <w:rPr>
          <w:rFonts w:cs="Arial"/>
          <w:lang w:val="es-ES"/>
        </w:rPr>
      </w:pPr>
    </w:p>
    <w:p w:rsidR="00CF11D1" w:rsidRPr="00F22588" w:rsidRDefault="00CF11D1" w:rsidP="00CF11D1">
      <w:pPr>
        <w:widowControl w:val="0"/>
        <w:jc w:val="center"/>
        <w:rPr>
          <w:sz w:val="20"/>
        </w:rPr>
      </w:pPr>
      <w:r w:rsidRPr="00F22588">
        <w:rPr>
          <w:noProof/>
          <w:sz w:val="20"/>
          <w:lang w:val="en-US" w:eastAsia="en-US"/>
        </w:rPr>
        <w:drawing>
          <wp:inline distT="0" distB="0" distL="0" distR="0" wp14:anchorId="6C67C2D9" wp14:editId="63AAFD62">
            <wp:extent cx="4614545" cy="351155"/>
            <wp:effectExtent l="0" t="0" r="0" b="0"/>
            <wp:docPr id="805" name="Imagen 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614545" cy="351155"/>
                    </a:xfrm>
                    <a:prstGeom prst="rect">
                      <a:avLst/>
                    </a:prstGeom>
                    <a:noFill/>
                    <a:ln>
                      <a:noFill/>
                    </a:ln>
                  </pic:spPr>
                </pic:pic>
              </a:graphicData>
            </a:graphic>
          </wp:inline>
        </w:drawing>
      </w:r>
    </w:p>
    <w:p w:rsidR="00CF11D1" w:rsidRPr="00F22588" w:rsidRDefault="00CF11D1" w:rsidP="00CF11D1">
      <w:pPr>
        <w:pStyle w:val="BodyText2"/>
        <w:widowControl w:val="0"/>
        <w:spacing w:after="0" w:line="240" w:lineRule="auto"/>
        <w:jc w:val="both"/>
        <w:rPr>
          <w:rFonts w:cs="Arial"/>
          <w:szCs w:val="20"/>
          <w:lang w:val="es-ES"/>
        </w:rPr>
      </w:pPr>
    </w:p>
    <w:p w:rsidR="00CF11D1" w:rsidRPr="00F22588" w:rsidRDefault="00CF11D1" w:rsidP="00CF11D1">
      <w:pPr>
        <w:widowControl w:val="0"/>
        <w:numPr>
          <w:ilvl w:val="0"/>
          <w:numId w:val="21"/>
        </w:numPr>
        <w:tabs>
          <w:tab w:val="clear" w:pos="709"/>
          <w:tab w:val="num" w:pos="567"/>
        </w:tabs>
        <w:ind w:left="0"/>
        <w:jc w:val="both"/>
        <w:rPr>
          <w:sz w:val="20"/>
        </w:rPr>
      </w:pPr>
      <w:r w:rsidRPr="00F22588">
        <w:rPr>
          <w:sz w:val="20"/>
          <w:highlight w:val="white"/>
        </w:rPr>
        <w:t>En 2014, la calidad de las principales versiones</w:t>
      </w:r>
      <w:r w:rsidRPr="00F22588">
        <w:rPr>
          <w:sz w:val="20"/>
        </w:rPr>
        <w:t>, definida por la calidad del desarrollo de programas informáticos, fue del 94,5%, prácticamente cinco puntos porcentuales más que en 2013.</w:t>
      </w:r>
      <w:r>
        <w:rPr>
          <w:sz w:val="20"/>
        </w:rPr>
        <w:t xml:space="preserve">  En </w:t>
      </w:r>
      <w:r w:rsidRPr="00F22588">
        <w:rPr>
          <w:sz w:val="20"/>
        </w:rPr>
        <w:t xml:space="preserve">2015 se registró una ligera reducción en comparación con 2014, pasando al 91,9%.  No obstante, los objetivos de rendimiento se cumplieron los dos años, ya que en ambos se superó </w:t>
      </w:r>
      <w:r>
        <w:rPr>
          <w:sz w:val="20"/>
        </w:rPr>
        <w:t>la referencia del </w:t>
      </w:r>
      <w:r w:rsidRPr="00F22588">
        <w:rPr>
          <w:sz w:val="20"/>
        </w:rPr>
        <w:t>89,4%.</w:t>
      </w:r>
    </w:p>
    <w:p w:rsidR="00CF11D1" w:rsidRPr="00F22588" w:rsidRDefault="00CF11D1" w:rsidP="00CF11D1">
      <w:pPr>
        <w:widowControl w:val="0"/>
        <w:rPr>
          <w:sz w:val="20"/>
        </w:rPr>
      </w:pPr>
    </w:p>
    <w:p w:rsidR="00CF11D1" w:rsidRPr="00F22588" w:rsidRDefault="00CF11D1" w:rsidP="00CF11D1">
      <w:pPr>
        <w:keepNext/>
        <w:widowControl w:val="0"/>
        <w:jc w:val="center"/>
        <w:rPr>
          <w:b/>
          <w:sz w:val="20"/>
        </w:rPr>
      </w:pPr>
      <w:r w:rsidRPr="00F22588">
        <w:rPr>
          <w:b/>
          <w:sz w:val="20"/>
        </w:rPr>
        <w:t>Calidad del desarrollo de programas informáticos</w:t>
      </w:r>
    </w:p>
    <w:p w:rsidR="00CF11D1" w:rsidRPr="00F22588" w:rsidRDefault="00CF11D1" w:rsidP="00CF11D1">
      <w:pPr>
        <w:widowControl w:val="0"/>
        <w:jc w:val="center"/>
        <w:rPr>
          <w:b/>
          <w:sz w:val="20"/>
        </w:rPr>
      </w:pPr>
      <w:r w:rsidRPr="00B45E18">
        <w:rPr>
          <w:noProof/>
          <w:lang w:val="en-US" w:eastAsia="en-US"/>
        </w:rPr>
        <w:drawing>
          <wp:inline distT="0" distB="0" distL="0" distR="0" wp14:anchorId="31C790DD" wp14:editId="500D3637">
            <wp:extent cx="5352156" cy="3391253"/>
            <wp:effectExtent l="0" t="0" r="127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352709" cy="3391603"/>
                    </a:xfrm>
                    <a:prstGeom prst="rect">
                      <a:avLst/>
                    </a:prstGeom>
                    <a:noFill/>
                    <a:ln>
                      <a:noFill/>
                    </a:ln>
                  </pic:spPr>
                </pic:pic>
              </a:graphicData>
            </a:graphic>
          </wp:inline>
        </w:drawing>
      </w:r>
    </w:p>
    <w:p w:rsidR="00CF11D1" w:rsidRPr="00F22588" w:rsidRDefault="00CF11D1" w:rsidP="00CF11D1">
      <w:pPr>
        <w:widowControl w:val="0"/>
        <w:rPr>
          <w:i/>
          <w:sz w:val="20"/>
        </w:rPr>
      </w:pPr>
      <w:r w:rsidRPr="00F22588">
        <w:rPr>
          <w:i/>
          <w:sz w:val="20"/>
        </w:rPr>
        <w:t>Niveles de los servicios prestados por los sistemas de Información</w:t>
      </w:r>
    </w:p>
    <w:p w:rsidR="00CF11D1" w:rsidRPr="00F22588" w:rsidRDefault="00CF11D1" w:rsidP="00CF11D1">
      <w:pPr>
        <w:pStyle w:val="BodyText2"/>
        <w:widowControl w:val="0"/>
        <w:spacing w:after="0" w:line="240" w:lineRule="auto"/>
        <w:rPr>
          <w:rFonts w:cs="Arial"/>
          <w:szCs w:val="20"/>
          <w:lang w:val="es-ES"/>
        </w:rPr>
      </w:pPr>
    </w:p>
    <w:p w:rsidR="00CF11D1" w:rsidRPr="00F22588" w:rsidRDefault="00CF11D1" w:rsidP="00CF11D1">
      <w:pPr>
        <w:widowControl w:val="0"/>
        <w:numPr>
          <w:ilvl w:val="0"/>
          <w:numId w:val="21"/>
        </w:numPr>
        <w:tabs>
          <w:tab w:val="clear" w:pos="709"/>
          <w:tab w:val="num" w:pos="567"/>
        </w:tabs>
        <w:ind w:left="0"/>
        <w:jc w:val="both"/>
        <w:rPr>
          <w:sz w:val="20"/>
          <w:lang w:eastAsia="en-GB"/>
        </w:rPr>
      </w:pPr>
      <w:r w:rsidRPr="00F22588">
        <w:rPr>
          <w:sz w:val="20"/>
        </w:rPr>
        <w:t xml:space="preserve">El indicador de rendimiento denominado niveles de los servicios prestados por los sistemas de Información </w:t>
      </w:r>
      <w:r w:rsidRPr="00F22588">
        <w:rPr>
          <w:sz w:val="20"/>
          <w:lang w:eastAsia="en-GB"/>
        </w:rPr>
        <w:t>refleja el rendimiento del servicio prestado a los usuarios por el Servicio de Sistemas de Información del PCT</w:t>
      </w:r>
      <w:r w:rsidRPr="00F22588">
        <w:rPr>
          <w:sz w:val="20"/>
          <w:highlight w:val="white"/>
          <w:lang w:eastAsia="en-GB"/>
        </w:rPr>
        <w:t>, sobre la base de su capacidad de cumplir con los objetivos acordados</w:t>
      </w:r>
      <w:r w:rsidRPr="00F22588">
        <w:rPr>
          <w:sz w:val="20"/>
          <w:lang w:eastAsia="en-GB"/>
        </w:rPr>
        <w:t>.</w:t>
      </w:r>
    </w:p>
    <w:p w:rsidR="00CF11D1" w:rsidRPr="00F22588" w:rsidRDefault="00CF11D1" w:rsidP="00CF11D1">
      <w:pPr>
        <w:pStyle w:val="BodyText2"/>
        <w:widowControl w:val="0"/>
        <w:spacing w:after="0" w:line="240" w:lineRule="auto"/>
        <w:rPr>
          <w:rFonts w:cs="Arial"/>
          <w:szCs w:val="20"/>
          <w:lang w:val="es-ES"/>
        </w:rPr>
      </w:pPr>
    </w:p>
    <w:p w:rsidR="00CF11D1" w:rsidRPr="00F22588" w:rsidRDefault="00CF11D1" w:rsidP="00CF11D1">
      <w:pPr>
        <w:widowControl w:val="0"/>
        <w:numPr>
          <w:ilvl w:val="0"/>
          <w:numId w:val="21"/>
        </w:numPr>
        <w:tabs>
          <w:tab w:val="clear" w:pos="709"/>
          <w:tab w:val="num" w:pos="567"/>
        </w:tabs>
        <w:ind w:left="0"/>
        <w:jc w:val="both"/>
        <w:rPr>
          <w:sz w:val="20"/>
          <w:lang w:eastAsia="en-GB"/>
        </w:rPr>
      </w:pPr>
      <w:r w:rsidRPr="00F22588">
        <w:rPr>
          <w:sz w:val="20"/>
          <w:highlight w:val="white"/>
        </w:rPr>
        <w:t xml:space="preserve">Este indicador compuesto se calcula </w:t>
      </w:r>
      <w:r w:rsidRPr="00F22588">
        <w:rPr>
          <w:sz w:val="20"/>
        </w:rPr>
        <w:t xml:space="preserve">a partir del promedio ponderado de cinco indicadores de </w:t>
      </w:r>
      <w:r w:rsidRPr="00F22588">
        <w:rPr>
          <w:sz w:val="20"/>
          <w:highlight w:val="white"/>
        </w:rPr>
        <w:t>rendimiento basados en objetivos</w:t>
      </w:r>
      <w:r w:rsidRPr="00F22588">
        <w:rPr>
          <w:rStyle w:val="FootnoteReference"/>
          <w:sz w:val="20"/>
        </w:rPr>
        <w:footnoteReference w:id="22"/>
      </w:r>
      <w:r w:rsidRPr="00F22588">
        <w:rPr>
          <w:sz w:val="20"/>
          <w:lang w:eastAsia="en-GB"/>
        </w:rPr>
        <w:t xml:space="preserve">.  Cada </w:t>
      </w:r>
      <w:r w:rsidRPr="00F22588">
        <w:rPr>
          <w:sz w:val="20"/>
          <w:highlight w:val="white"/>
          <w:lang w:eastAsia="en-GB"/>
        </w:rPr>
        <w:t>indicador se expresa como porcentaje del objetivo efectivamente cumplido</w:t>
      </w:r>
      <w:r w:rsidRPr="00F22588">
        <w:rPr>
          <w:sz w:val="20"/>
          <w:lang w:eastAsia="en-GB"/>
        </w:rPr>
        <w:t>.</w:t>
      </w:r>
    </w:p>
    <w:p w:rsidR="00CF11D1" w:rsidRPr="00F22588" w:rsidRDefault="00CF11D1" w:rsidP="00CF11D1">
      <w:pPr>
        <w:widowControl w:val="0"/>
        <w:numPr>
          <w:ilvl w:val="0"/>
          <w:numId w:val="21"/>
        </w:numPr>
        <w:tabs>
          <w:tab w:val="clear" w:pos="709"/>
          <w:tab w:val="num" w:pos="567"/>
        </w:tabs>
        <w:ind w:left="0"/>
        <w:jc w:val="both"/>
        <w:rPr>
          <w:sz w:val="20"/>
        </w:rPr>
      </w:pPr>
      <w:r w:rsidRPr="00F22588">
        <w:rPr>
          <w:sz w:val="20"/>
        </w:rPr>
        <w:lastRenderedPageBreak/>
        <w:t xml:space="preserve">En 2014, el nivel general de servicios fue del </w:t>
      </w:r>
      <w:r w:rsidRPr="00F22588">
        <w:rPr>
          <w:sz w:val="20"/>
          <w:highlight w:val="white"/>
        </w:rPr>
        <w:t>95,1%</w:t>
      </w:r>
      <w:r w:rsidRPr="00F22588">
        <w:rPr>
          <w:sz w:val="20"/>
        </w:rPr>
        <w:t xml:space="preserve"> en relación con el cumplimiento de los niveles de rendimiento prefijados como objetivo.  En 2015 también se produjo una mejoría, y el nivel general de servicios alcanzó el 95,6%, con lo que los dos años se consiguió el objetivo bienal de superar la referencia del 93% de 2013.</w:t>
      </w:r>
    </w:p>
    <w:p w:rsidR="00CF11D1" w:rsidRPr="00F22588" w:rsidRDefault="00CF11D1" w:rsidP="00CF11D1">
      <w:pPr>
        <w:widowControl w:val="0"/>
        <w:autoSpaceDE w:val="0"/>
        <w:autoSpaceDN w:val="0"/>
        <w:adjustRightInd w:val="0"/>
        <w:jc w:val="both"/>
        <w:rPr>
          <w:sz w:val="20"/>
        </w:rPr>
      </w:pPr>
    </w:p>
    <w:p w:rsidR="00CF11D1" w:rsidRPr="00F22588" w:rsidRDefault="00CF11D1" w:rsidP="00CF11D1">
      <w:pPr>
        <w:widowControl w:val="0"/>
        <w:jc w:val="center"/>
        <w:rPr>
          <w:b/>
          <w:sz w:val="20"/>
        </w:rPr>
      </w:pPr>
    </w:p>
    <w:p w:rsidR="00CF11D1" w:rsidRPr="00F22588" w:rsidRDefault="00CF11D1" w:rsidP="00CF11D1">
      <w:pPr>
        <w:keepNext/>
        <w:widowControl w:val="0"/>
        <w:jc w:val="center"/>
        <w:rPr>
          <w:b/>
          <w:sz w:val="20"/>
        </w:rPr>
      </w:pPr>
      <w:r w:rsidRPr="00F22588">
        <w:rPr>
          <w:b/>
          <w:sz w:val="20"/>
        </w:rPr>
        <w:t>Niveles de los servicios prestados por los sistemas de información</w:t>
      </w:r>
    </w:p>
    <w:p w:rsidR="00CF11D1" w:rsidRPr="00F22588" w:rsidRDefault="00CF11D1" w:rsidP="00CF11D1">
      <w:pPr>
        <w:keepNext/>
        <w:widowControl w:val="0"/>
        <w:autoSpaceDE w:val="0"/>
        <w:autoSpaceDN w:val="0"/>
        <w:adjustRightInd w:val="0"/>
        <w:rPr>
          <w:sz w:val="20"/>
          <w:lang w:eastAsia="en-GB"/>
        </w:rPr>
      </w:pPr>
    </w:p>
    <w:tbl>
      <w:tblPr>
        <w:tblW w:w="9309" w:type="dxa"/>
        <w:tblInd w:w="103" w:type="dxa"/>
        <w:tblLook w:val="04A0" w:firstRow="1" w:lastRow="0" w:firstColumn="1" w:lastColumn="0" w:noHBand="0" w:noVBand="1"/>
      </w:tblPr>
      <w:tblGrid>
        <w:gridCol w:w="400"/>
        <w:gridCol w:w="3149"/>
        <w:gridCol w:w="1788"/>
        <w:gridCol w:w="1692"/>
        <w:gridCol w:w="760"/>
        <w:gridCol w:w="781"/>
        <w:gridCol w:w="760"/>
      </w:tblGrid>
      <w:tr w:rsidR="00CF11D1" w:rsidRPr="00F22588" w:rsidTr="00DC1333">
        <w:trPr>
          <w:trHeight w:val="255"/>
        </w:trPr>
        <w:tc>
          <w:tcPr>
            <w:tcW w:w="400" w:type="dxa"/>
            <w:vMerge w:val="restart"/>
            <w:tcBorders>
              <w:top w:val="single" w:sz="4" w:space="0" w:color="auto"/>
              <w:left w:val="single" w:sz="4" w:space="0" w:color="auto"/>
              <w:bottom w:val="nil"/>
              <w:right w:val="nil"/>
            </w:tcBorders>
            <w:shd w:val="clear" w:color="000000" w:fill="FABF8F"/>
            <w:vAlign w:val="center"/>
            <w:hideMark/>
          </w:tcPr>
          <w:p w:rsidR="00CF11D1" w:rsidRPr="00F22588" w:rsidRDefault="00CF11D1" w:rsidP="00DC1333">
            <w:pPr>
              <w:keepNext/>
              <w:keepLines/>
              <w:jc w:val="center"/>
              <w:rPr>
                <w:b/>
                <w:bCs/>
                <w:color w:val="000000"/>
                <w:sz w:val="18"/>
              </w:rPr>
            </w:pPr>
            <w:r w:rsidRPr="00F22588">
              <w:rPr>
                <w:b/>
                <w:bCs/>
                <w:color w:val="000000"/>
                <w:sz w:val="18"/>
              </w:rPr>
              <w:t>Id</w:t>
            </w:r>
          </w:p>
        </w:tc>
        <w:tc>
          <w:tcPr>
            <w:tcW w:w="3149" w:type="dxa"/>
            <w:tcBorders>
              <w:top w:val="single" w:sz="4" w:space="0" w:color="auto"/>
              <w:left w:val="single" w:sz="4" w:space="0" w:color="auto"/>
              <w:bottom w:val="nil"/>
              <w:right w:val="single" w:sz="4" w:space="0" w:color="auto"/>
            </w:tcBorders>
            <w:shd w:val="clear" w:color="000000" w:fill="FABF8F"/>
            <w:vAlign w:val="center"/>
            <w:hideMark/>
          </w:tcPr>
          <w:p w:rsidR="00CF11D1" w:rsidRPr="00F22588" w:rsidRDefault="00CF11D1" w:rsidP="00DC1333">
            <w:pPr>
              <w:keepNext/>
              <w:keepLines/>
              <w:jc w:val="center"/>
              <w:rPr>
                <w:b/>
                <w:bCs/>
                <w:color w:val="000000"/>
                <w:sz w:val="18"/>
              </w:rPr>
            </w:pPr>
            <w:r w:rsidRPr="00F22588">
              <w:rPr>
                <w:b/>
                <w:bCs/>
                <w:color w:val="000000"/>
                <w:sz w:val="18"/>
              </w:rPr>
              <w:t>Indicadores de rendimiento</w:t>
            </w:r>
          </w:p>
        </w:tc>
        <w:tc>
          <w:tcPr>
            <w:tcW w:w="1788" w:type="dxa"/>
            <w:vMerge w:val="restart"/>
            <w:tcBorders>
              <w:top w:val="single" w:sz="4" w:space="0" w:color="auto"/>
              <w:left w:val="single" w:sz="4" w:space="0" w:color="auto"/>
              <w:bottom w:val="single" w:sz="4" w:space="0" w:color="000000"/>
              <w:right w:val="single" w:sz="4" w:space="0" w:color="auto"/>
            </w:tcBorders>
            <w:shd w:val="clear" w:color="000000" w:fill="FABF8F"/>
            <w:vAlign w:val="center"/>
            <w:hideMark/>
          </w:tcPr>
          <w:p w:rsidR="00CF11D1" w:rsidRPr="00F22588" w:rsidRDefault="00CF11D1" w:rsidP="00DC1333">
            <w:pPr>
              <w:keepNext/>
              <w:keepLines/>
              <w:jc w:val="center"/>
              <w:rPr>
                <w:b/>
                <w:bCs/>
                <w:color w:val="000000"/>
                <w:sz w:val="18"/>
              </w:rPr>
            </w:pPr>
            <w:r w:rsidRPr="00F22588">
              <w:rPr>
                <w:b/>
                <w:bCs/>
                <w:color w:val="000000"/>
                <w:sz w:val="18"/>
              </w:rPr>
              <w:t>Objetivos</w:t>
            </w:r>
          </w:p>
        </w:tc>
        <w:tc>
          <w:tcPr>
            <w:tcW w:w="1692" w:type="dxa"/>
            <w:vMerge w:val="restart"/>
            <w:tcBorders>
              <w:top w:val="single" w:sz="4" w:space="0" w:color="auto"/>
              <w:left w:val="single" w:sz="4" w:space="0" w:color="auto"/>
              <w:bottom w:val="single" w:sz="4" w:space="0" w:color="000000"/>
              <w:right w:val="single" w:sz="4" w:space="0" w:color="auto"/>
            </w:tcBorders>
            <w:shd w:val="clear" w:color="000000" w:fill="FABF8F"/>
            <w:vAlign w:val="center"/>
            <w:hideMark/>
          </w:tcPr>
          <w:p w:rsidR="00CF11D1" w:rsidRPr="00F22588" w:rsidRDefault="00CF11D1" w:rsidP="00DC1333">
            <w:pPr>
              <w:keepNext/>
              <w:keepLines/>
              <w:jc w:val="center"/>
              <w:rPr>
                <w:b/>
                <w:bCs/>
                <w:color w:val="000000"/>
                <w:sz w:val="18"/>
              </w:rPr>
            </w:pPr>
            <w:r w:rsidRPr="00F22588">
              <w:rPr>
                <w:b/>
                <w:bCs/>
                <w:color w:val="000000"/>
                <w:sz w:val="18"/>
              </w:rPr>
              <w:t>Condiciones</w:t>
            </w:r>
          </w:p>
        </w:tc>
        <w:tc>
          <w:tcPr>
            <w:tcW w:w="2280" w:type="dxa"/>
            <w:gridSpan w:val="3"/>
            <w:tcBorders>
              <w:top w:val="single" w:sz="4" w:space="0" w:color="auto"/>
              <w:left w:val="nil"/>
              <w:bottom w:val="single" w:sz="4" w:space="0" w:color="auto"/>
              <w:right w:val="single" w:sz="4" w:space="0" w:color="000000"/>
            </w:tcBorders>
            <w:shd w:val="clear" w:color="000000" w:fill="FABF8F"/>
            <w:vAlign w:val="center"/>
            <w:hideMark/>
          </w:tcPr>
          <w:p w:rsidR="00CF11D1" w:rsidRPr="00F22588" w:rsidRDefault="00CF11D1" w:rsidP="00DC1333">
            <w:pPr>
              <w:keepNext/>
              <w:keepLines/>
              <w:jc w:val="center"/>
              <w:rPr>
                <w:b/>
                <w:bCs/>
                <w:sz w:val="18"/>
              </w:rPr>
            </w:pPr>
            <w:r w:rsidRPr="00F22588">
              <w:rPr>
                <w:b/>
                <w:bCs/>
                <w:sz w:val="18"/>
              </w:rPr>
              <w:t>Resultados</w:t>
            </w:r>
          </w:p>
        </w:tc>
      </w:tr>
      <w:tr w:rsidR="00CF11D1" w:rsidRPr="00F22588" w:rsidTr="00DC1333">
        <w:trPr>
          <w:trHeight w:val="255"/>
        </w:trPr>
        <w:tc>
          <w:tcPr>
            <w:tcW w:w="400" w:type="dxa"/>
            <w:vMerge/>
            <w:tcBorders>
              <w:top w:val="single" w:sz="4" w:space="0" w:color="auto"/>
              <w:left w:val="single" w:sz="4" w:space="0" w:color="auto"/>
              <w:bottom w:val="nil"/>
              <w:right w:val="nil"/>
            </w:tcBorders>
            <w:vAlign w:val="center"/>
            <w:hideMark/>
          </w:tcPr>
          <w:p w:rsidR="00CF11D1" w:rsidRPr="00F22588" w:rsidRDefault="00CF11D1" w:rsidP="00DC1333">
            <w:pPr>
              <w:keepNext/>
              <w:keepLines/>
              <w:rPr>
                <w:b/>
                <w:bCs/>
                <w:color w:val="000000"/>
                <w:sz w:val="18"/>
              </w:rPr>
            </w:pPr>
          </w:p>
        </w:tc>
        <w:tc>
          <w:tcPr>
            <w:tcW w:w="3149" w:type="dxa"/>
            <w:tcBorders>
              <w:top w:val="nil"/>
              <w:left w:val="single" w:sz="4" w:space="0" w:color="auto"/>
              <w:bottom w:val="single" w:sz="4" w:space="0" w:color="auto"/>
              <w:right w:val="single" w:sz="4" w:space="0" w:color="auto"/>
            </w:tcBorders>
            <w:shd w:val="clear" w:color="000000" w:fill="FABF8F"/>
            <w:vAlign w:val="center"/>
            <w:hideMark/>
          </w:tcPr>
          <w:p w:rsidR="00CF11D1" w:rsidRPr="00F22588" w:rsidRDefault="00CF11D1" w:rsidP="00DC1333">
            <w:pPr>
              <w:keepNext/>
              <w:keepLines/>
              <w:jc w:val="center"/>
              <w:rPr>
                <w:b/>
                <w:bCs/>
                <w:i/>
                <w:iCs/>
                <w:color w:val="000000"/>
                <w:sz w:val="18"/>
              </w:rPr>
            </w:pPr>
            <w:r w:rsidRPr="00F22588">
              <w:rPr>
                <w:b/>
                <w:bCs/>
                <w:i/>
                <w:iCs/>
                <w:color w:val="000000"/>
                <w:sz w:val="18"/>
              </w:rPr>
              <w:t>Descripción breve</w:t>
            </w:r>
          </w:p>
        </w:tc>
        <w:tc>
          <w:tcPr>
            <w:tcW w:w="1788" w:type="dxa"/>
            <w:vMerge/>
            <w:tcBorders>
              <w:top w:val="single" w:sz="4" w:space="0" w:color="auto"/>
              <w:left w:val="single" w:sz="4" w:space="0" w:color="auto"/>
              <w:bottom w:val="single" w:sz="4" w:space="0" w:color="000000"/>
              <w:right w:val="single" w:sz="4" w:space="0" w:color="auto"/>
            </w:tcBorders>
            <w:vAlign w:val="center"/>
            <w:hideMark/>
          </w:tcPr>
          <w:p w:rsidR="00CF11D1" w:rsidRPr="00F22588" w:rsidRDefault="00CF11D1" w:rsidP="00DC1333">
            <w:pPr>
              <w:keepNext/>
              <w:keepLines/>
              <w:rPr>
                <w:b/>
                <w:bCs/>
                <w:color w:val="000000"/>
                <w:sz w:val="18"/>
              </w:rPr>
            </w:pPr>
          </w:p>
        </w:tc>
        <w:tc>
          <w:tcPr>
            <w:tcW w:w="1692" w:type="dxa"/>
            <w:vMerge/>
            <w:tcBorders>
              <w:top w:val="single" w:sz="4" w:space="0" w:color="auto"/>
              <w:left w:val="single" w:sz="4" w:space="0" w:color="auto"/>
              <w:bottom w:val="single" w:sz="4" w:space="0" w:color="000000"/>
              <w:right w:val="single" w:sz="4" w:space="0" w:color="auto"/>
            </w:tcBorders>
            <w:vAlign w:val="center"/>
            <w:hideMark/>
          </w:tcPr>
          <w:p w:rsidR="00CF11D1" w:rsidRPr="00F22588" w:rsidRDefault="00CF11D1" w:rsidP="00DC1333">
            <w:pPr>
              <w:keepNext/>
              <w:keepLines/>
              <w:rPr>
                <w:b/>
                <w:bCs/>
                <w:color w:val="000000"/>
                <w:sz w:val="18"/>
              </w:rPr>
            </w:pPr>
          </w:p>
        </w:tc>
        <w:tc>
          <w:tcPr>
            <w:tcW w:w="760" w:type="dxa"/>
            <w:tcBorders>
              <w:top w:val="nil"/>
              <w:left w:val="nil"/>
              <w:bottom w:val="nil"/>
              <w:right w:val="nil"/>
            </w:tcBorders>
            <w:shd w:val="clear" w:color="000000" w:fill="FABF8F"/>
            <w:vAlign w:val="center"/>
            <w:hideMark/>
          </w:tcPr>
          <w:p w:rsidR="00CF11D1" w:rsidRPr="00F22588" w:rsidRDefault="00CF11D1" w:rsidP="00DC1333">
            <w:pPr>
              <w:keepNext/>
              <w:keepLines/>
              <w:jc w:val="center"/>
              <w:rPr>
                <w:b/>
                <w:bCs/>
                <w:sz w:val="18"/>
              </w:rPr>
            </w:pPr>
            <w:r w:rsidRPr="00F22588">
              <w:rPr>
                <w:b/>
                <w:bCs/>
                <w:sz w:val="18"/>
              </w:rPr>
              <w:t>2013</w:t>
            </w:r>
          </w:p>
        </w:tc>
        <w:tc>
          <w:tcPr>
            <w:tcW w:w="760" w:type="dxa"/>
            <w:tcBorders>
              <w:top w:val="nil"/>
              <w:left w:val="single" w:sz="4" w:space="0" w:color="auto"/>
              <w:bottom w:val="single" w:sz="4" w:space="0" w:color="auto"/>
              <w:right w:val="single" w:sz="4" w:space="0" w:color="auto"/>
            </w:tcBorders>
            <w:shd w:val="clear" w:color="000000" w:fill="FABF8F"/>
            <w:vAlign w:val="center"/>
            <w:hideMark/>
          </w:tcPr>
          <w:p w:rsidR="00CF11D1" w:rsidRPr="00F22588" w:rsidRDefault="00CF11D1" w:rsidP="00DC1333">
            <w:pPr>
              <w:keepNext/>
              <w:keepLines/>
              <w:jc w:val="center"/>
              <w:rPr>
                <w:b/>
                <w:bCs/>
                <w:sz w:val="18"/>
              </w:rPr>
            </w:pPr>
            <w:r w:rsidRPr="00F22588">
              <w:rPr>
                <w:b/>
                <w:bCs/>
                <w:sz w:val="18"/>
              </w:rPr>
              <w:t>2014</w:t>
            </w:r>
          </w:p>
        </w:tc>
        <w:tc>
          <w:tcPr>
            <w:tcW w:w="760" w:type="dxa"/>
            <w:tcBorders>
              <w:top w:val="nil"/>
              <w:left w:val="nil"/>
              <w:bottom w:val="nil"/>
              <w:right w:val="single" w:sz="4" w:space="0" w:color="auto"/>
            </w:tcBorders>
            <w:shd w:val="clear" w:color="000000" w:fill="FABF8F"/>
            <w:vAlign w:val="center"/>
            <w:hideMark/>
          </w:tcPr>
          <w:p w:rsidR="00CF11D1" w:rsidRPr="00F22588" w:rsidRDefault="00CF11D1" w:rsidP="00DC1333">
            <w:pPr>
              <w:keepNext/>
              <w:keepLines/>
              <w:jc w:val="center"/>
              <w:rPr>
                <w:b/>
                <w:bCs/>
                <w:sz w:val="20"/>
              </w:rPr>
            </w:pPr>
            <w:r w:rsidRPr="00F22588">
              <w:rPr>
                <w:b/>
                <w:bCs/>
                <w:sz w:val="20"/>
              </w:rPr>
              <w:t>2015</w:t>
            </w:r>
          </w:p>
        </w:tc>
      </w:tr>
      <w:tr w:rsidR="00CF11D1" w:rsidRPr="00F22588" w:rsidTr="00DC1333">
        <w:trPr>
          <w:trHeight w:val="255"/>
        </w:trPr>
        <w:tc>
          <w:tcPr>
            <w:tcW w:w="4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F11D1" w:rsidRPr="00F22588" w:rsidRDefault="00CF11D1" w:rsidP="00DC1333">
            <w:pPr>
              <w:keepNext/>
              <w:keepLines/>
              <w:jc w:val="center"/>
              <w:rPr>
                <w:sz w:val="16"/>
                <w:szCs w:val="16"/>
              </w:rPr>
            </w:pPr>
            <w:r w:rsidRPr="00F22588">
              <w:rPr>
                <w:sz w:val="16"/>
                <w:szCs w:val="16"/>
              </w:rPr>
              <w:t>1</w:t>
            </w:r>
          </w:p>
        </w:tc>
        <w:tc>
          <w:tcPr>
            <w:tcW w:w="3149" w:type="dxa"/>
            <w:tcBorders>
              <w:top w:val="nil"/>
              <w:left w:val="nil"/>
              <w:bottom w:val="nil"/>
              <w:right w:val="single" w:sz="4" w:space="0" w:color="auto"/>
            </w:tcBorders>
            <w:shd w:val="clear" w:color="auto" w:fill="auto"/>
            <w:vAlign w:val="center"/>
            <w:hideMark/>
          </w:tcPr>
          <w:p w:rsidR="00CF11D1" w:rsidRPr="00F22588" w:rsidRDefault="00CF11D1" w:rsidP="00DC1333">
            <w:pPr>
              <w:keepNext/>
              <w:widowControl w:val="0"/>
              <w:rPr>
                <w:sz w:val="16"/>
                <w:szCs w:val="16"/>
                <w:lang w:eastAsia="en-GB"/>
              </w:rPr>
            </w:pPr>
            <w:r w:rsidRPr="00F22588">
              <w:rPr>
                <w:sz w:val="16"/>
                <w:szCs w:val="16"/>
                <w:lang w:eastAsia="en-GB"/>
              </w:rPr>
              <w:t>Tiempo de solución de incidentes</w:t>
            </w:r>
          </w:p>
        </w:tc>
        <w:tc>
          <w:tcPr>
            <w:tcW w:w="1788" w:type="dxa"/>
            <w:tcBorders>
              <w:top w:val="nil"/>
              <w:left w:val="nil"/>
              <w:bottom w:val="nil"/>
              <w:right w:val="single" w:sz="4" w:space="0" w:color="auto"/>
            </w:tcBorders>
            <w:shd w:val="clear" w:color="auto" w:fill="auto"/>
            <w:vAlign w:val="center"/>
            <w:hideMark/>
          </w:tcPr>
          <w:p w:rsidR="00CF11D1" w:rsidRPr="00F22588" w:rsidRDefault="00CF11D1" w:rsidP="00DC1333">
            <w:pPr>
              <w:keepNext/>
              <w:widowControl w:val="0"/>
              <w:autoSpaceDE w:val="0"/>
              <w:autoSpaceDN w:val="0"/>
              <w:adjustRightInd w:val="0"/>
              <w:rPr>
                <w:sz w:val="16"/>
                <w:szCs w:val="16"/>
                <w:lang w:eastAsia="en-GB"/>
              </w:rPr>
            </w:pPr>
            <w:r w:rsidRPr="00F22588">
              <w:rPr>
                <w:sz w:val="16"/>
                <w:szCs w:val="16"/>
                <w:lang w:eastAsia="en-GB"/>
              </w:rPr>
              <w:t>Gravedad 1:  4 horas</w:t>
            </w:r>
          </w:p>
        </w:tc>
        <w:tc>
          <w:tcPr>
            <w:tcW w:w="1692" w:type="dxa"/>
            <w:vMerge w:val="restart"/>
            <w:tcBorders>
              <w:top w:val="nil"/>
              <w:left w:val="single" w:sz="4" w:space="0" w:color="auto"/>
              <w:bottom w:val="single" w:sz="4" w:space="0" w:color="auto"/>
              <w:right w:val="single" w:sz="4" w:space="0" w:color="auto"/>
            </w:tcBorders>
            <w:shd w:val="clear" w:color="auto" w:fill="auto"/>
            <w:vAlign w:val="center"/>
            <w:hideMark/>
          </w:tcPr>
          <w:p w:rsidR="00CF11D1" w:rsidRPr="00F22588" w:rsidRDefault="00CF11D1" w:rsidP="00DC1333">
            <w:pPr>
              <w:keepNext/>
              <w:keepLines/>
              <w:rPr>
                <w:color w:val="000000"/>
                <w:sz w:val="16"/>
                <w:szCs w:val="16"/>
              </w:rPr>
            </w:pPr>
            <w:r w:rsidRPr="00F22588">
              <w:rPr>
                <w:sz w:val="16"/>
                <w:szCs w:val="16"/>
                <w:lang w:eastAsia="en-GB"/>
              </w:rPr>
              <w:t xml:space="preserve">Tickets de producción y asistencia </w:t>
            </w:r>
            <w:r w:rsidRPr="00F22588">
              <w:rPr>
                <w:sz w:val="16"/>
                <w:szCs w:val="16"/>
                <w:highlight w:val="white"/>
                <w:lang w:eastAsia="en-GB"/>
              </w:rPr>
              <w:t xml:space="preserve">resueltos por el equipo de </w:t>
            </w:r>
            <w:r w:rsidRPr="00F22588">
              <w:rPr>
                <w:sz w:val="16"/>
                <w:szCs w:val="16"/>
                <w:lang w:eastAsia="en-GB"/>
              </w:rPr>
              <w:t>asistencia</w:t>
            </w:r>
          </w:p>
        </w:tc>
        <w:tc>
          <w:tcPr>
            <w:tcW w:w="7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F11D1" w:rsidRPr="00F22588" w:rsidRDefault="00CF11D1" w:rsidP="00DC1333">
            <w:pPr>
              <w:keepNext/>
              <w:keepLines/>
              <w:jc w:val="center"/>
              <w:rPr>
                <w:sz w:val="16"/>
                <w:szCs w:val="16"/>
              </w:rPr>
            </w:pPr>
            <w:r w:rsidRPr="00F22588">
              <w:rPr>
                <w:sz w:val="16"/>
                <w:szCs w:val="16"/>
              </w:rPr>
              <w:t>85,5%</w:t>
            </w:r>
          </w:p>
        </w:tc>
        <w:tc>
          <w:tcPr>
            <w:tcW w:w="760" w:type="dxa"/>
            <w:vMerge w:val="restart"/>
            <w:tcBorders>
              <w:top w:val="nil"/>
              <w:left w:val="single" w:sz="4" w:space="0" w:color="auto"/>
              <w:bottom w:val="single" w:sz="4" w:space="0" w:color="auto"/>
              <w:right w:val="single" w:sz="4" w:space="0" w:color="auto"/>
            </w:tcBorders>
            <w:shd w:val="clear" w:color="auto" w:fill="auto"/>
            <w:vAlign w:val="center"/>
            <w:hideMark/>
          </w:tcPr>
          <w:p w:rsidR="00CF11D1" w:rsidRPr="00F22588" w:rsidRDefault="00CF11D1" w:rsidP="00DC1333">
            <w:pPr>
              <w:keepNext/>
              <w:keepLines/>
              <w:jc w:val="center"/>
              <w:rPr>
                <w:sz w:val="16"/>
                <w:szCs w:val="16"/>
              </w:rPr>
            </w:pPr>
            <w:r w:rsidRPr="00F22588">
              <w:rPr>
                <w:sz w:val="16"/>
                <w:szCs w:val="16"/>
              </w:rPr>
              <w:t>87,6%</w:t>
            </w:r>
            <w:r w:rsidRPr="00F22588">
              <w:rPr>
                <w:rStyle w:val="FootnoteReference"/>
                <w:sz w:val="16"/>
                <w:szCs w:val="16"/>
              </w:rPr>
              <w:footnoteReference w:id="23"/>
            </w:r>
          </w:p>
        </w:tc>
        <w:tc>
          <w:tcPr>
            <w:tcW w:w="7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F11D1" w:rsidRPr="00F22588" w:rsidRDefault="00CF11D1" w:rsidP="00DC1333">
            <w:pPr>
              <w:keepNext/>
              <w:keepLines/>
              <w:jc w:val="center"/>
              <w:rPr>
                <w:sz w:val="16"/>
                <w:szCs w:val="16"/>
              </w:rPr>
            </w:pPr>
            <w:r w:rsidRPr="00F22588">
              <w:rPr>
                <w:sz w:val="16"/>
                <w:szCs w:val="16"/>
              </w:rPr>
              <w:t>93,6%</w:t>
            </w:r>
          </w:p>
        </w:tc>
      </w:tr>
      <w:tr w:rsidR="00CF11D1" w:rsidRPr="00F22588" w:rsidTr="00DC1333">
        <w:trPr>
          <w:trHeight w:val="255"/>
        </w:trPr>
        <w:tc>
          <w:tcPr>
            <w:tcW w:w="400" w:type="dxa"/>
            <w:vMerge/>
            <w:tcBorders>
              <w:top w:val="single" w:sz="4" w:space="0" w:color="auto"/>
              <w:left w:val="single" w:sz="4" w:space="0" w:color="auto"/>
              <w:bottom w:val="single" w:sz="4" w:space="0" w:color="auto"/>
              <w:right w:val="single" w:sz="4" w:space="0" w:color="auto"/>
            </w:tcBorders>
            <w:vAlign w:val="center"/>
            <w:hideMark/>
          </w:tcPr>
          <w:p w:rsidR="00CF11D1" w:rsidRPr="00F22588" w:rsidRDefault="00CF11D1" w:rsidP="00DC1333">
            <w:pPr>
              <w:keepNext/>
              <w:keepLines/>
              <w:rPr>
                <w:sz w:val="16"/>
                <w:szCs w:val="16"/>
              </w:rPr>
            </w:pPr>
          </w:p>
        </w:tc>
        <w:tc>
          <w:tcPr>
            <w:tcW w:w="3149" w:type="dxa"/>
            <w:vMerge w:val="restart"/>
            <w:tcBorders>
              <w:top w:val="nil"/>
              <w:left w:val="single" w:sz="4" w:space="0" w:color="auto"/>
              <w:bottom w:val="nil"/>
              <w:right w:val="single" w:sz="4" w:space="0" w:color="auto"/>
            </w:tcBorders>
            <w:shd w:val="clear" w:color="auto" w:fill="auto"/>
            <w:vAlign w:val="center"/>
            <w:hideMark/>
          </w:tcPr>
          <w:p w:rsidR="00CF11D1" w:rsidRPr="00F22588" w:rsidRDefault="00CF11D1" w:rsidP="00DC1333">
            <w:pPr>
              <w:keepNext/>
            </w:pPr>
            <w:r w:rsidRPr="00F22588">
              <w:rPr>
                <w:i/>
                <w:sz w:val="16"/>
                <w:szCs w:val="16"/>
                <w:lang w:eastAsia="en-GB"/>
              </w:rPr>
              <w:t>Horas de trabajo (de 7 a 19, en días laborables en la OMPI) entre la creación de un ticket y la solución.</w:t>
            </w:r>
          </w:p>
        </w:tc>
        <w:tc>
          <w:tcPr>
            <w:tcW w:w="1788" w:type="dxa"/>
            <w:tcBorders>
              <w:top w:val="nil"/>
              <w:left w:val="nil"/>
              <w:bottom w:val="nil"/>
              <w:right w:val="single" w:sz="4" w:space="0" w:color="auto"/>
            </w:tcBorders>
            <w:shd w:val="clear" w:color="auto" w:fill="auto"/>
            <w:vAlign w:val="center"/>
            <w:hideMark/>
          </w:tcPr>
          <w:p w:rsidR="00CF11D1" w:rsidRPr="00F22588" w:rsidRDefault="00CF11D1" w:rsidP="00DC1333">
            <w:pPr>
              <w:keepNext/>
              <w:widowControl w:val="0"/>
              <w:autoSpaceDE w:val="0"/>
              <w:autoSpaceDN w:val="0"/>
              <w:adjustRightInd w:val="0"/>
              <w:rPr>
                <w:sz w:val="16"/>
                <w:szCs w:val="16"/>
                <w:lang w:eastAsia="en-GB"/>
              </w:rPr>
            </w:pPr>
            <w:r w:rsidRPr="00F22588">
              <w:rPr>
                <w:sz w:val="16"/>
                <w:szCs w:val="16"/>
                <w:lang w:eastAsia="en-GB"/>
              </w:rPr>
              <w:t>Gravedad 2:  2 días</w:t>
            </w:r>
          </w:p>
        </w:tc>
        <w:tc>
          <w:tcPr>
            <w:tcW w:w="1692" w:type="dxa"/>
            <w:vMerge/>
            <w:tcBorders>
              <w:top w:val="nil"/>
              <w:left w:val="single" w:sz="4" w:space="0" w:color="auto"/>
              <w:bottom w:val="single" w:sz="4" w:space="0" w:color="auto"/>
              <w:right w:val="single" w:sz="4" w:space="0" w:color="auto"/>
            </w:tcBorders>
            <w:vAlign w:val="center"/>
            <w:hideMark/>
          </w:tcPr>
          <w:p w:rsidR="00CF11D1" w:rsidRPr="00F22588" w:rsidRDefault="00CF11D1" w:rsidP="00DC1333">
            <w:pPr>
              <w:keepNext/>
              <w:keepLines/>
              <w:rPr>
                <w:color w:val="000000"/>
                <w:sz w:val="16"/>
                <w:szCs w:val="16"/>
              </w:rPr>
            </w:pPr>
          </w:p>
        </w:tc>
        <w:tc>
          <w:tcPr>
            <w:tcW w:w="760" w:type="dxa"/>
            <w:vMerge/>
            <w:tcBorders>
              <w:top w:val="single" w:sz="4" w:space="0" w:color="auto"/>
              <w:left w:val="single" w:sz="4" w:space="0" w:color="auto"/>
              <w:bottom w:val="single" w:sz="4" w:space="0" w:color="auto"/>
              <w:right w:val="single" w:sz="4" w:space="0" w:color="auto"/>
            </w:tcBorders>
            <w:vAlign w:val="center"/>
            <w:hideMark/>
          </w:tcPr>
          <w:p w:rsidR="00CF11D1" w:rsidRPr="00F22588" w:rsidRDefault="00CF11D1" w:rsidP="00DC1333">
            <w:pPr>
              <w:keepNext/>
              <w:keepLines/>
              <w:rPr>
                <w:sz w:val="16"/>
                <w:szCs w:val="16"/>
              </w:rPr>
            </w:pPr>
          </w:p>
        </w:tc>
        <w:tc>
          <w:tcPr>
            <w:tcW w:w="760" w:type="dxa"/>
            <w:vMerge/>
            <w:tcBorders>
              <w:top w:val="nil"/>
              <w:left w:val="single" w:sz="4" w:space="0" w:color="auto"/>
              <w:bottom w:val="single" w:sz="4" w:space="0" w:color="auto"/>
              <w:right w:val="single" w:sz="4" w:space="0" w:color="auto"/>
            </w:tcBorders>
            <w:vAlign w:val="center"/>
            <w:hideMark/>
          </w:tcPr>
          <w:p w:rsidR="00CF11D1" w:rsidRPr="00F22588" w:rsidRDefault="00CF11D1" w:rsidP="00DC1333">
            <w:pPr>
              <w:keepNext/>
              <w:keepLines/>
              <w:rPr>
                <w:sz w:val="16"/>
                <w:szCs w:val="16"/>
              </w:rPr>
            </w:pPr>
          </w:p>
        </w:tc>
        <w:tc>
          <w:tcPr>
            <w:tcW w:w="760" w:type="dxa"/>
            <w:vMerge/>
            <w:tcBorders>
              <w:top w:val="single" w:sz="4" w:space="0" w:color="auto"/>
              <w:left w:val="single" w:sz="4" w:space="0" w:color="auto"/>
              <w:bottom w:val="single" w:sz="4" w:space="0" w:color="auto"/>
              <w:right w:val="single" w:sz="4" w:space="0" w:color="auto"/>
            </w:tcBorders>
            <w:vAlign w:val="center"/>
            <w:hideMark/>
          </w:tcPr>
          <w:p w:rsidR="00CF11D1" w:rsidRPr="00F22588" w:rsidRDefault="00CF11D1" w:rsidP="00DC1333">
            <w:pPr>
              <w:keepNext/>
              <w:keepLines/>
              <w:rPr>
                <w:sz w:val="16"/>
                <w:szCs w:val="16"/>
              </w:rPr>
            </w:pPr>
          </w:p>
        </w:tc>
      </w:tr>
      <w:tr w:rsidR="00CF11D1" w:rsidRPr="00F22588" w:rsidTr="00DC1333">
        <w:trPr>
          <w:trHeight w:val="255"/>
        </w:trPr>
        <w:tc>
          <w:tcPr>
            <w:tcW w:w="400" w:type="dxa"/>
            <w:vMerge/>
            <w:tcBorders>
              <w:top w:val="single" w:sz="4" w:space="0" w:color="auto"/>
              <w:left w:val="single" w:sz="4" w:space="0" w:color="auto"/>
              <w:bottom w:val="single" w:sz="4" w:space="0" w:color="auto"/>
              <w:right w:val="single" w:sz="4" w:space="0" w:color="auto"/>
            </w:tcBorders>
            <w:vAlign w:val="center"/>
            <w:hideMark/>
          </w:tcPr>
          <w:p w:rsidR="00CF11D1" w:rsidRPr="00F22588" w:rsidRDefault="00CF11D1" w:rsidP="00DC1333">
            <w:pPr>
              <w:keepNext/>
              <w:keepLines/>
              <w:rPr>
                <w:sz w:val="16"/>
                <w:szCs w:val="16"/>
              </w:rPr>
            </w:pPr>
          </w:p>
        </w:tc>
        <w:tc>
          <w:tcPr>
            <w:tcW w:w="3149" w:type="dxa"/>
            <w:vMerge/>
            <w:tcBorders>
              <w:top w:val="nil"/>
              <w:left w:val="single" w:sz="4" w:space="0" w:color="auto"/>
              <w:bottom w:val="nil"/>
              <w:right w:val="single" w:sz="4" w:space="0" w:color="auto"/>
            </w:tcBorders>
            <w:vAlign w:val="center"/>
            <w:hideMark/>
          </w:tcPr>
          <w:p w:rsidR="00CF11D1" w:rsidRPr="00F22588" w:rsidRDefault="00CF11D1" w:rsidP="00DC1333">
            <w:pPr>
              <w:keepNext/>
              <w:keepLines/>
              <w:rPr>
                <w:i/>
                <w:iCs/>
                <w:sz w:val="16"/>
                <w:szCs w:val="16"/>
              </w:rPr>
            </w:pPr>
          </w:p>
        </w:tc>
        <w:tc>
          <w:tcPr>
            <w:tcW w:w="1788" w:type="dxa"/>
            <w:tcBorders>
              <w:top w:val="nil"/>
              <w:left w:val="nil"/>
              <w:bottom w:val="nil"/>
              <w:right w:val="single" w:sz="4" w:space="0" w:color="auto"/>
            </w:tcBorders>
            <w:shd w:val="clear" w:color="auto" w:fill="auto"/>
            <w:vAlign w:val="center"/>
            <w:hideMark/>
          </w:tcPr>
          <w:p w:rsidR="00CF11D1" w:rsidRPr="00F22588" w:rsidRDefault="00CF11D1" w:rsidP="00DC1333">
            <w:pPr>
              <w:widowControl w:val="0"/>
              <w:autoSpaceDE w:val="0"/>
              <w:autoSpaceDN w:val="0"/>
              <w:adjustRightInd w:val="0"/>
              <w:rPr>
                <w:sz w:val="16"/>
                <w:szCs w:val="16"/>
                <w:lang w:eastAsia="en-GB"/>
              </w:rPr>
            </w:pPr>
            <w:r w:rsidRPr="00F22588">
              <w:rPr>
                <w:sz w:val="16"/>
                <w:szCs w:val="16"/>
                <w:lang w:eastAsia="en-GB"/>
              </w:rPr>
              <w:t xml:space="preserve">Gravedad </w:t>
            </w:r>
            <w:r w:rsidRPr="00F22588">
              <w:rPr>
                <w:sz w:val="16"/>
                <w:szCs w:val="16"/>
                <w:highlight w:val="white"/>
                <w:lang w:eastAsia="en-GB"/>
              </w:rPr>
              <w:t>3:  5 días</w:t>
            </w:r>
          </w:p>
        </w:tc>
        <w:tc>
          <w:tcPr>
            <w:tcW w:w="1692" w:type="dxa"/>
            <w:vMerge/>
            <w:tcBorders>
              <w:top w:val="nil"/>
              <w:left w:val="single" w:sz="4" w:space="0" w:color="auto"/>
              <w:bottom w:val="single" w:sz="4" w:space="0" w:color="auto"/>
              <w:right w:val="single" w:sz="4" w:space="0" w:color="auto"/>
            </w:tcBorders>
            <w:vAlign w:val="center"/>
            <w:hideMark/>
          </w:tcPr>
          <w:p w:rsidR="00CF11D1" w:rsidRPr="00F22588" w:rsidRDefault="00CF11D1" w:rsidP="00DC1333">
            <w:pPr>
              <w:keepNext/>
              <w:keepLines/>
              <w:rPr>
                <w:color w:val="000000"/>
                <w:sz w:val="16"/>
                <w:szCs w:val="16"/>
              </w:rPr>
            </w:pPr>
          </w:p>
        </w:tc>
        <w:tc>
          <w:tcPr>
            <w:tcW w:w="760" w:type="dxa"/>
            <w:vMerge/>
            <w:tcBorders>
              <w:top w:val="single" w:sz="4" w:space="0" w:color="auto"/>
              <w:left w:val="single" w:sz="4" w:space="0" w:color="auto"/>
              <w:bottom w:val="single" w:sz="4" w:space="0" w:color="auto"/>
              <w:right w:val="single" w:sz="4" w:space="0" w:color="auto"/>
            </w:tcBorders>
            <w:vAlign w:val="center"/>
            <w:hideMark/>
          </w:tcPr>
          <w:p w:rsidR="00CF11D1" w:rsidRPr="00F22588" w:rsidRDefault="00CF11D1" w:rsidP="00DC1333">
            <w:pPr>
              <w:keepNext/>
              <w:keepLines/>
              <w:rPr>
                <w:sz w:val="16"/>
                <w:szCs w:val="16"/>
              </w:rPr>
            </w:pPr>
          </w:p>
        </w:tc>
        <w:tc>
          <w:tcPr>
            <w:tcW w:w="760" w:type="dxa"/>
            <w:vMerge/>
            <w:tcBorders>
              <w:top w:val="nil"/>
              <w:left w:val="single" w:sz="4" w:space="0" w:color="auto"/>
              <w:bottom w:val="single" w:sz="4" w:space="0" w:color="auto"/>
              <w:right w:val="single" w:sz="4" w:space="0" w:color="auto"/>
            </w:tcBorders>
            <w:vAlign w:val="center"/>
            <w:hideMark/>
          </w:tcPr>
          <w:p w:rsidR="00CF11D1" w:rsidRPr="00F22588" w:rsidRDefault="00CF11D1" w:rsidP="00DC1333">
            <w:pPr>
              <w:keepNext/>
              <w:keepLines/>
              <w:rPr>
                <w:sz w:val="16"/>
                <w:szCs w:val="16"/>
              </w:rPr>
            </w:pPr>
          </w:p>
        </w:tc>
        <w:tc>
          <w:tcPr>
            <w:tcW w:w="760" w:type="dxa"/>
            <w:vMerge/>
            <w:tcBorders>
              <w:top w:val="single" w:sz="4" w:space="0" w:color="auto"/>
              <w:left w:val="single" w:sz="4" w:space="0" w:color="auto"/>
              <w:bottom w:val="single" w:sz="4" w:space="0" w:color="auto"/>
              <w:right w:val="single" w:sz="4" w:space="0" w:color="auto"/>
            </w:tcBorders>
            <w:vAlign w:val="center"/>
            <w:hideMark/>
          </w:tcPr>
          <w:p w:rsidR="00CF11D1" w:rsidRPr="00F22588" w:rsidRDefault="00CF11D1" w:rsidP="00DC1333">
            <w:pPr>
              <w:keepNext/>
              <w:keepLines/>
              <w:rPr>
                <w:sz w:val="16"/>
                <w:szCs w:val="16"/>
              </w:rPr>
            </w:pPr>
          </w:p>
        </w:tc>
      </w:tr>
      <w:tr w:rsidR="00CF11D1" w:rsidRPr="00F22588" w:rsidTr="00DC1333">
        <w:trPr>
          <w:trHeight w:val="255"/>
        </w:trPr>
        <w:tc>
          <w:tcPr>
            <w:tcW w:w="400" w:type="dxa"/>
            <w:vMerge/>
            <w:tcBorders>
              <w:top w:val="single" w:sz="4" w:space="0" w:color="auto"/>
              <w:left w:val="single" w:sz="4" w:space="0" w:color="auto"/>
              <w:bottom w:val="single" w:sz="4" w:space="0" w:color="auto"/>
              <w:right w:val="single" w:sz="4" w:space="0" w:color="auto"/>
            </w:tcBorders>
            <w:vAlign w:val="center"/>
            <w:hideMark/>
          </w:tcPr>
          <w:p w:rsidR="00CF11D1" w:rsidRPr="00F22588" w:rsidRDefault="00CF11D1" w:rsidP="00DC1333">
            <w:pPr>
              <w:keepNext/>
              <w:keepLines/>
              <w:rPr>
                <w:sz w:val="16"/>
                <w:szCs w:val="16"/>
              </w:rPr>
            </w:pPr>
          </w:p>
        </w:tc>
        <w:tc>
          <w:tcPr>
            <w:tcW w:w="3149" w:type="dxa"/>
            <w:vMerge/>
            <w:tcBorders>
              <w:top w:val="nil"/>
              <w:left w:val="single" w:sz="4" w:space="0" w:color="auto"/>
              <w:bottom w:val="nil"/>
              <w:right w:val="single" w:sz="4" w:space="0" w:color="auto"/>
            </w:tcBorders>
            <w:vAlign w:val="center"/>
            <w:hideMark/>
          </w:tcPr>
          <w:p w:rsidR="00CF11D1" w:rsidRPr="00F22588" w:rsidRDefault="00CF11D1" w:rsidP="00DC1333">
            <w:pPr>
              <w:keepNext/>
              <w:keepLines/>
              <w:rPr>
                <w:i/>
                <w:iCs/>
                <w:sz w:val="16"/>
                <w:szCs w:val="16"/>
              </w:rPr>
            </w:pPr>
          </w:p>
        </w:tc>
        <w:tc>
          <w:tcPr>
            <w:tcW w:w="1788" w:type="dxa"/>
            <w:tcBorders>
              <w:top w:val="nil"/>
              <w:left w:val="nil"/>
              <w:bottom w:val="nil"/>
              <w:right w:val="single" w:sz="4" w:space="0" w:color="auto"/>
            </w:tcBorders>
            <w:shd w:val="clear" w:color="auto" w:fill="auto"/>
            <w:vAlign w:val="center"/>
            <w:hideMark/>
          </w:tcPr>
          <w:p w:rsidR="00CF11D1" w:rsidRPr="00F22588" w:rsidRDefault="00CF11D1" w:rsidP="00DC1333">
            <w:r w:rsidRPr="00F22588">
              <w:rPr>
                <w:sz w:val="16"/>
                <w:szCs w:val="16"/>
                <w:lang w:eastAsia="en-GB"/>
              </w:rPr>
              <w:t>Gravedad 4:  10 días</w:t>
            </w:r>
          </w:p>
        </w:tc>
        <w:tc>
          <w:tcPr>
            <w:tcW w:w="1692" w:type="dxa"/>
            <w:vMerge/>
            <w:tcBorders>
              <w:top w:val="nil"/>
              <w:left w:val="single" w:sz="4" w:space="0" w:color="auto"/>
              <w:bottom w:val="single" w:sz="4" w:space="0" w:color="auto"/>
              <w:right w:val="single" w:sz="4" w:space="0" w:color="auto"/>
            </w:tcBorders>
            <w:vAlign w:val="center"/>
            <w:hideMark/>
          </w:tcPr>
          <w:p w:rsidR="00CF11D1" w:rsidRPr="00F22588" w:rsidRDefault="00CF11D1" w:rsidP="00DC1333">
            <w:pPr>
              <w:keepNext/>
              <w:keepLines/>
              <w:rPr>
                <w:color w:val="000000"/>
                <w:sz w:val="16"/>
                <w:szCs w:val="16"/>
              </w:rPr>
            </w:pPr>
          </w:p>
        </w:tc>
        <w:tc>
          <w:tcPr>
            <w:tcW w:w="760" w:type="dxa"/>
            <w:vMerge/>
            <w:tcBorders>
              <w:top w:val="single" w:sz="4" w:space="0" w:color="auto"/>
              <w:left w:val="single" w:sz="4" w:space="0" w:color="auto"/>
              <w:bottom w:val="single" w:sz="4" w:space="0" w:color="auto"/>
              <w:right w:val="single" w:sz="4" w:space="0" w:color="auto"/>
            </w:tcBorders>
            <w:vAlign w:val="center"/>
            <w:hideMark/>
          </w:tcPr>
          <w:p w:rsidR="00CF11D1" w:rsidRPr="00F22588" w:rsidRDefault="00CF11D1" w:rsidP="00DC1333">
            <w:pPr>
              <w:keepNext/>
              <w:keepLines/>
              <w:rPr>
                <w:sz w:val="16"/>
                <w:szCs w:val="16"/>
              </w:rPr>
            </w:pPr>
          </w:p>
        </w:tc>
        <w:tc>
          <w:tcPr>
            <w:tcW w:w="760" w:type="dxa"/>
            <w:vMerge/>
            <w:tcBorders>
              <w:top w:val="nil"/>
              <w:left w:val="single" w:sz="4" w:space="0" w:color="auto"/>
              <w:bottom w:val="single" w:sz="4" w:space="0" w:color="auto"/>
              <w:right w:val="single" w:sz="4" w:space="0" w:color="auto"/>
            </w:tcBorders>
            <w:vAlign w:val="center"/>
            <w:hideMark/>
          </w:tcPr>
          <w:p w:rsidR="00CF11D1" w:rsidRPr="00F22588" w:rsidRDefault="00CF11D1" w:rsidP="00DC1333">
            <w:pPr>
              <w:keepNext/>
              <w:keepLines/>
              <w:rPr>
                <w:sz w:val="16"/>
                <w:szCs w:val="16"/>
              </w:rPr>
            </w:pPr>
          </w:p>
        </w:tc>
        <w:tc>
          <w:tcPr>
            <w:tcW w:w="760" w:type="dxa"/>
            <w:vMerge/>
            <w:tcBorders>
              <w:top w:val="single" w:sz="4" w:space="0" w:color="auto"/>
              <w:left w:val="single" w:sz="4" w:space="0" w:color="auto"/>
              <w:bottom w:val="single" w:sz="4" w:space="0" w:color="auto"/>
              <w:right w:val="single" w:sz="4" w:space="0" w:color="auto"/>
            </w:tcBorders>
            <w:vAlign w:val="center"/>
            <w:hideMark/>
          </w:tcPr>
          <w:p w:rsidR="00CF11D1" w:rsidRPr="00F22588" w:rsidRDefault="00CF11D1" w:rsidP="00DC1333">
            <w:pPr>
              <w:keepNext/>
              <w:keepLines/>
              <w:rPr>
                <w:sz w:val="16"/>
                <w:szCs w:val="16"/>
              </w:rPr>
            </w:pPr>
          </w:p>
        </w:tc>
      </w:tr>
      <w:tr w:rsidR="00CF11D1" w:rsidRPr="00F22588" w:rsidTr="00DC1333">
        <w:trPr>
          <w:trHeight w:val="493"/>
        </w:trPr>
        <w:tc>
          <w:tcPr>
            <w:tcW w:w="4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F11D1" w:rsidRPr="00F22588" w:rsidRDefault="00CF11D1" w:rsidP="00DC1333">
            <w:pPr>
              <w:keepNext/>
              <w:keepLines/>
              <w:jc w:val="center"/>
              <w:rPr>
                <w:sz w:val="16"/>
                <w:szCs w:val="16"/>
              </w:rPr>
            </w:pPr>
            <w:r w:rsidRPr="00F22588">
              <w:rPr>
                <w:sz w:val="16"/>
                <w:szCs w:val="16"/>
              </w:rPr>
              <w:t>2</w:t>
            </w:r>
          </w:p>
        </w:tc>
        <w:tc>
          <w:tcPr>
            <w:tcW w:w="3149" w:type="dxa"/>
            <w:tcBorders>
              <w:top w:val="single" w:sz="4" w:space="0" w:color="auto"/>
              <w:left w:val="nil"/>
              <w:bottom w:val="nil"/>
              <w:right w:val="single" w:sz="4" w:space="0" w:color="auto"/>
            </w:tcBorders>
            <w:shd w:val="clear" w:color="auto" w:fill="auto"/>
            <w:vAlign w:val="center"/>
            <w:hideMark/>
          </w:tcPr>
          <w:p w:rsidR="00CF11D1" w:rsidRPr="00F22588" w:rsidRDefault="00CF11D1" w:rsidP="00DC1333">
            <w:pPr>
              <w:widowControl w:val="0"/>
              <w:rPr>
                <w:sz w:val="16"/>
                <w:szCs w:val="16"/>
                <w:lang w:eastAsia="en-GB"/>
              </w:rPr>
            </w:pPr>
            <w:r w:rsidRPr="00F22588">
              <w:rPr>
                <w:sz w:val="16"/>
                <w:szCs w:val="16"/>
                <w:lang w:eastAsia="en-GB"/>
              </w:rPr>
              <w:t>Tiempo necesario para cargar documentos</w:t>
            </w:r>
          </w:p>
        </w:tc>
        <w:tc>
          <w:tcPr>
            <w:tcW w:w="178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F11D1" w:rsidRPr="00F22588" w:rsidRDefault="00CF11D1" w:rsidP="00DC1333">
            <w:pPr>
              <w:keepNext/>
              <w:keepLines/>
              <w:rPr>
                <w:color w:val="000000"/>
                <w:sz w:val="16"/>
                <w:szCs w:val="16"/>
              </w:rPr>
            </w:pPr>
            <w:r w:rsidRPr="00F22588">
              <w:rPr>
                <w:color w:val="000000"/>
                <w:sz w:val="16"/>
                <w:szCs w:val="16"/>
              </w:rPr>
              <w:t>8 horas</w:t>
            </w:r>
          </w:p>
        </w:tc>
        <w:tc>
          <w:tcPr>
            <w:tcW w:w="16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F11D1" w:rsidRPr="00F22588" w:rsidRDefault="00CF11D1" w:rsidP="00DC1333">
            <w:pPr>
              <w:keepNext/>
              <w:keepLines/>
              <w:rPr>
                <w:color w:val="000000"/>
                <w:sz w:val="16"/>
                <w:szCs w:val="16"/>
              </w:rPr>
            </w:pPr>
            <w:r w:rsidRPr="00F22588">
              <w:rPr>
                <w:sz w:val="16"/>
                <w:szCs w:val="16"/>
                <w:lang w:eastAsia="en-GB"/>
              </w:rPr>
              <w:t>Documentos cargados mediante un proceso total o parcialmente automatizado</w:t>
            </w:r>
          </w:p>
        </w:tc>
        <w:tc>
          <w:tcPr>
            <w:tcW w:w="7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F11D1" w:rsidRPr="00F22588" w:rsidRDefault="00CF11D1" w:rsidP="00DC1333">
            <w:pPr>
              <w:keepNext/>
              <w:keepLines/>
              <w:jc w:val="center"/>
              <w:rPr>
                <w:sz w:val="16"/>
                <w:szCs w:val="16"/>
              </w:rPr>
            </w:pPr>
            <w:r w:rsidRPr="00F22588">
              <w:rPr>
                <w:sz w:val="16"/>
                <w:szCs w:val="16"/>
              </w:rPr>
              <w:t>80,0%</w:t>
            </w:r>
          </w:p>
        </w:tc>
        <w:tc>
          <w:tcPr>
            <w:tcW w:w="7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F11D1" w:rsidRPr="00F22588" w:rsidRDefault="00CF11D1" w:rsidP="00DC1333">
            <w:pPr>
              <w:keepNext/>
              <w:keepLines/>
              <w:jc w:val="center"/>
              <w:rPr>
                <w:sz w:val="16"/>
                <w:szCs w:val="16"/>
              </w:rPr>
            </w:pPr>
            <w:r w:rsidRPr="00F22588">
              <w:rPr>
                <w:sz w:val="16"/>
                <w:szCs w:val="16"/>
              </w:rPr>
              <w:t>88,2%</w:t>
            </w:r>
          </w:p>
        </w:tc>
        <w:tc>
          <w:tcPr>
            <w:tcW w:w="7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F11D1" w:rsidRPr="00F22588" w:rsidRDefault="00CF11D1" w:rsidP="00DC1333">
            <w:pPr>
              <w:keepNext/>
              <w:keepLines/>
              <w:jc w:val="center"/>
              <w:rPr>
                <w:sz w:val="16"/>
                <w:szCs w:val="16"/>
              </w:rPr>
            </w:pPr>
            <w:r w:rsidRPr="00F22588">
              <w:rPr>
                <w:sz w:val="16"/>
                <w:szCs w:val="16"/>
              </w:rPr>
              <w:t>89,5%</w:t>
            </w:r>
          </w:p>
        </w:tc>
      </w:tr>
      <w:tr w:rsidR="00CF11D1" w:rsidRPr="00F22588" w:rsidTr="00DC1333">
        <w:trPr>
          <w:trHeight w:val="967"/>
        </w:trPr>
        <w:tc>
          <w:tcPr>
            <w:tcW w:w="400" w:type="dxa"/>
            <w:vMerge/>
            <w:tcBorders>
              <w:top w:val="single" w:sz="4" w:space="0" w:color="auto"/>
              <w:left w:val="single" w:sz="4" w:space="0" w:color="auto"/>
              <w:bottom w:val="single" w:sz="4" w:space="0" w:color="auto"/>
              <w:right w:val="single" w:sz="4" w:space="0" w:color="auto"/>
            </w:tcBorders>
            <w:vAlign w:val="center"/>
            <w:hideMark/>
          </w:tcPr>
          <w:p w:rsidR="00CF11D1" w:rsidRPr="00F22588" w:rsidRDefault="00CF11D1" w:rsidP="00DC1333">
            <w:pPr>
              <w:keepNext/>
              <w:keepLines/>
              <w:rPr>
                <w:sz w:val="16"/>
                <w:szCs w:val="16"/>
              </w:rPr>
            </w:pPr>
          </w:p>
        </w:tc>
        <w:tc>
          <w:tcPr>
            <w:tcW w:w="3149" w:type="dxa"/>
            <w:tcBorders>
              <w:top w:val="nil"/>
              <w:left w:val="nil"/>
              <w:bottom w:val="single" w:sz="4" w:space="0" w:color="auto"/>
              <w:right w:val="single" w:sz="4" w:space="0" w:color="auto"/>
            </w:tcBorders>
            <w:shd w:val="clear" w:color="auto" w:fill="auto"/>
            <w:hideMark/>
          </w:tcPr>
          <w:p w:rsidR="00CF11D1" w:rsidRPr="00F22588" w:rsidRDefault="00CF11D1" w:rsidP="00DC1333">
            <w:r w:rsidRPr="00F22588">
              <w:rPr>
                <w:i/>
                <w:sz w:val="16"/>
                <w:szCs w:val="16"/>
                <w:lang w:eastAsia="en-GB"/>
              </w:rPr>
              <w:t>Tiempo transcurrido entre la recepción del documento en la Oficina Internacional</w:t>
            </w:r>
            <w:r w:rsidRPr="00F22588">
              <w:rPr>
                <w:i/>
                <w:sz w:val="16"/>
                <w:szCs w:val="16"/>
                <w:highlight w:val="white"/>
                <w:lang w:eastAsia="en-GB"/>
              </w:rPr>
              <w:t xml:space="preserve"> y su disponibilidad en </w:t>
            </w:r>
            <w:proofErr w:type="spellStart"/>
            <w:r w:rsidRPr="00F22588">
              <w:rPr>
                <w:sz w:val="16"/>
                <w:szCs w:val="16"/>
                <w:lang w:eastAsia="en-GB"/>
              </w:rPr>
              <w:t>eDossier</w:t>
            </w:r>
            <w:proofErr w:type="spellEnd"/>
          </w:p>
        </w:tc>
        <w:tc>
          <w:tcPr>
            <w:tcW w:w="1788" w:type="dxa"/>
            <w:vMerge/>
            <w:tcBorders>
              <w:top w:val="single" w:sz="4" w:space="0" w:color="auto"/>
              <w:left w:val="single" w:sz="4" w:space="0" w:color="auto"/>
              <w:bottom w:val="single" w:sz="4" w:space="0" w:color="auto"/>
              <w:right w:val="single" w:sz="4" w:space="0" w:color="auto"/>
            </w:tcBorders>
            <w:vAlign w:val="center"/>
            <w:hideMark/>
          </w:tcPr>
          <w:p w:rsidR="00CF11D1" w:rsidRPr="00F22588" w:rsidRDefault="00CF11D1" w:rsidP="00DC1333">
            <w:pPr>
              <w:keepNext/>
              <w:keepLines/>
              <w:rPr>
                <w:color w:val="000000"/>
                <w:sz w:val="16"/>
                <w:szCs w:val="16"/>
              </w:rPr>
            </w:pPr>
          </w:p>
        </w:tc>
        <w:tc>
          <w:tcPr>
            <w:tcW w:w="1692" w:type="dxa"/>
            <w:vMerge/>
            <w:tcBorders>
              <w:top w:val="single" w:sz="4" w:space="0" w:color="auto"/>
              <w:left w:val="single" w:sz="4" w:space="0" w:color="auto"/>
              <w:bottom w:val="single" w:sz="4" w:space="0" w:color="auto"/>
              <w:right w:val="single" w:sz="4" w:space="0" w:color="auto"/>
            </w:tcBorders>
            <w:vAlign w:val="center"/>
            <w:hideMark/>
          </w:tcPr>
          <w:p w:rsidR="00CF11D1" w:rsidRPr="00F22588" w:rsidRDefault="00CF11D1" w:rsidP="00DC1333">
            <w:pPr>
              <w:keepNext/>
              <w:keepLines/>
              <w:rPr>
                <w:color w:val="000000"/>
                <w:sz w:val="16"/>
                <w:szCs w:val="16"/>
              </w:rPr>
            </w:pPr>
          </w:p>
        </w:tc>
        <w:tc>
          <w:tcPr>
            <w:tcW w:w="760" w:type="dxa"/>
            <w:vMerge/>
            <w:tcBorders>
              <w:top w:val="single" w:sz="4" w:space="0" w:color="auto"/>
              <w:left w:val="single" w:sz="4" w:space="0" w:color="auto"/>
              <w:bottom w:val="single" w:sz="4" w:space="0" w:color="auto"/>
              <w:right w:val="single" w:sz="4" w:space="0" w:color="auto"/>
            </w:tcBorders>
            <w:vAlign w:val="center"/>
            <w:hideMark/>
          </w:tcPr>
          <w:p w:rsidR="00CF11D1" w:rsidRPr="00F22588" w:rsidRDefault="00CF11D1" w:rsidP="00DC1333">
            <w:pPr>
              <w:keepNext/>
              <w:keepLines/>
              <w:rPr>
                <w:sz w:val="16"/>
                <w:szCs w:val="16"/>
              </w:rPr>
            </w:pPr>
          </w:p>
        </w:tc>
        <w:tc>
          <w:tcPr>
            <w:tcW w:w="760" w:type="dxa"/>
            <w:vMerge/>
            <w:tcBorders>
              <w:top w:val="single" w:sz="4" w:space="0" w:color="auto"/>
              <w:left w:val="single" w:sz="4" w:space="0" w:color="auto"/>
              <w:bottom w:val="single" w:sz="4" w:space="0" w:color="auto"/>
              <w:right w:val="single" w:sz="4" w:space="0" w:color="auto"/>
            </w:tcBorders>
            <w:vAlign w:val="center"/>
            <w:hideMark/>
          </w:tcPr>
          <w:p w:rsidR="00CF11D1" w:rsidRPr="00F22588" w:rsidRDefault="00CF11D1" w:rsidP="00DC1333">
            <w:pPr>
              <w:keepNext/>
              <w:keepLines/>
              <w:rPr>
                <w:sz w:val="16"/>
                <w:szCs w:val="16"/>
              </w:rPr>
            </w:pPr>
          </w:p>
        </w:tc>
        <w:tc>
          <w:tcPr>
            <w:tcW w:w="760" w:type="dxa"/>
            <w:vMerge/>
            <w:tcBorders>
              <w:top w:val="single" w:sz="4" w:space="0" w:color="auto"/>
              <w:left w:val="single" w:sz="4" w:space="0" w:color="auto"/>
              <w:bottom w:val="single" w:sz="4" w:space="0" w:color="auto"/>
              <w:right w:val="single" w:sz="4" w:space="0" w:color="auto"/>
            </w:tcBorders>
            <w:vAlign w:val="center"/>
            <w:hideMark/>
          </w:tcPr>
          <w:p w:rsidR="00CF11D1" w:rsidRPr="00F22588" w:rsidRDefault="00CF11D1" w:rsidP="00DC1333">
            <w:pPr>
              <w:keepNext/>
              <w:keepLines/>
              <w:rPr>
                <w:sz w:val="16"/>
                <w:szCs w:val="16"/>
              </w:rPr>
            </w:pPr>
          </w:p>
        </w:tc>
      </w:tr>
      <w:tr w:rsidR="00CF11D1" w:rsidRPr="00F22588" w:rsidTr="00DC1333">
        <w:trPr>
          <w:trHeight w:val="900"/>
        </w:trPr>
        <w:tc>
          <w:tcPr>
            <w:tcW w:w="400" w:type="dxa"/>
            <w:tcBorders>
              <w:top w:val="nil"/>
              <w:left w:val="single" w:sz="4" w:space="0" w:color="auto"/>
              <w:bottom w:val="single" w:sz="4" w:space="0" w:color="auto"/>
              <w:right w:val="single" w:sz="4" w:space="0" w:color="auto"/>
            </w:tcBorders>
            <w:shd w:val="clear" w:color="auto" w:fill="auto"/>
            <w:vAlign w:val="center"/>
            <w:hideMark/>
          </w:tcPr>
          <w:p w:rsidR="00CF11D1" w:rsidRPr="00F22588" w:rsidRDefault="00CF11D1" w:rsidP="00DC1333">
            <w:pPr>
              <w:keepNext/>
              <w:keepLines/>
              <w:jc w:val="center"/>
              <w:rPr>
                <w:color w:val="000000"/>
                <w:sz w:val="16"/>
                <w:szCs w:val="16"/>
              </w:rPr>
            </w:pPr>
            <w:r w:rsidRPr="00F22588">
              <w:rPr>
                <w:color w:val="000000"/>
                <w:sz w:val="16"/>
                <w:szCs w:val="16"/>
              </w:rPr>
              <w:t>3</w:t>
            </w:r>
          </w:p>
        </w:tc>
        <w:tc>
          <w:tcPr>
            <w:tcW w:w="3149" w:type="dxa"/>
            <w:tcBorders>
              <w:top w:val="nil"/>
              <w:left w:val="nil"/>
              <w:bottom w:val="single" w:sz="4" w:space="0" w:color="auto"/>
              <w:right w:val="single" w:sz="4" w:space="0" w:color="auto"/>
            </w:tcBorders>
            <w:shd w:val="clear" w:color="auto" w:fill="auto"/>
            <w:vAlign w:val="center"/>
            <w:hideMark/>
          </w:tcPr>
          <w:p w:rsidR="00CF11D1" w:rsidRPr="00F22588" w:rsidRDefault="00CF11D1" w:rsidP="00DC1333">
            <w:pPr>
              <w:keepNext/>
              <w:keepLines/>
              <w:rPr>
                <w:color w:val="000000"/>
                <w:sz w:val="16"/>
                <w:szCs w:val="16"/>
              </w:rPr>
            </w:pPr>
            <w:r w:rsidRPr="00F22588">
              <w:rPr>
                <w:sz w:val="16"/>
                <w:szCs w:val="16"/>
                <w:lang w:eastAsia="en-GB"/>
              </w:rPr>
              <w:t>Índice de éxito para el tratamiento de trabajos en lote</w:t>
            </w:r>
          </w:p>
        </w:tc>
        <w:tc>
          <w:tcPr>
            <w:tcW w:w="1788" w:type="dxa"/>
            <w:tcBorders>
              <w:top w:val="nil"/>
              <w:left w:val="nil"/>
              <w:bottom w:val="single" w:sz="4" w:space="0" w:color="auto"/>
              <w:right w:val="single" w:sz="4" w:space="0" w:color="auto"/>
            </w:tcBorders>
            <w:shd w:val="clear" w:color="auto" w:fill="auto"/>
            <w:vAlign w:val="center"/>
            <w:hideMark/>
          </w:tcPr>
          <w:p w:rsidR="00CF11D1" w:rsidRPr="00F22588" w:rsidRDefault="00CF11D1" w:rsidP="00DC1333">
            <w:pPr>
              <w:keepNext/>
              <w:keepLines/>
              <w:rPr>
                <w:color w:val="000000"/>
                <w:sz w:val="16"/>
                <w:szCs w:val="16"/>
              </w:rPr>
            </w:pPr>
            <w:r w:rsidRPr="00F22588">
              <w:rPr>
                <w:color w:val="000000"/>
                <w:sz w:val="16"/>
                <w:szCs w:val="16"/>
              </w:rPr>
              <w:t>100%</w:t>
            </w:r>
          </w:p>
        </w:tc>
        <w:tc>
          <w:tcPr>
            <w:tcW w:w="1692" w:type="dxa"/>
            <w:tcBorders>
              <w:top w:val="nil"/>
              <w:left w:val="nil"/>
              <w:bottom w:val="single" w:sz="4" w:space="0" w:color="auto"/>
              <w:right w:val="single" w:sz="4" w:space="0" w:color="auto"/>
            </w:tcBorders>
            <w:shd w:val="clear" w:color="auto" w:fill="auto"/>
            <w:vAlign w:val="center"/>
            <w:hideMark/>
          </w:tcPr>
          <w:p w:rsidR="00CF11D1" w:rsidRPr="00F22588" w:rsidRDefault="00CF11D1" w:rsidP="00DC1333">
            <w:pPr>
              <w:keepNext/>
              <w:keepLines/>
              <w:rPr>
                <w:color w:val="000000"/>
                <w:sz w:val="16"/>
                <w:szCs w:val="16"/>
              </w:rPr>
            </w:pPr>
            <w:r w:rsidRPr="00F22588">
              <w:rPr>
                <w:sz w:val="16"/>
                <w:szCs w:val="16"/>
                <w:lang w:eastAsia="en-GB"/>
              </w:rPr>
              <w:t>Los trabajos en lote se completan antes de la hora de cierre en la fecha prevista</w:t>
            </w:r>
          </w:p>
        </w:tc>
        <w:tc>
          <w:tcPr>
            <w:tcW w:w="760" w:type="dxa"/>
            <w:tcBorders>
              <w:top w:val="nil"/>
              <w:left w:val="nil"/>
              <w:bottom w:val="single" w:sz="4" w:space="0" w:color="auto"/>
              <w:right w:val="single" w:sz="4" w:space="0" w:color="auto"/>
            </w:tcBorders>
            <w:shd w:val="clear" w:color="auto" w:fill="auto"/>
            <w:vAlign w:val="center"/>
            <w:hideMark/>
          </w:tcPr>
          <w:p w:rsidR="00CF11D1" w:rsidRPr="00F22588" w:rsidRDefault="00CF11D1" w:rsidP="00DC1333">
            <w:pPr>
              <w:keepNext/>
              <w:keepLines/>
              <w:jc w:val="center"/>
              <w:rPr>
                <w:sz w:val="16"/>
                <w:szCs w:val="16"/>
              </w:rPr>
            </w:pPr>
            <w:r w:rsidRPr="00F22588">
              <w:rPr>
                <w:sz w:val="16"/>
                <w:szCs w:val="16"/>
              </w:rPr>
              <w:t>99,6%</w:t>
            </w:r>
          </w:p>
        </w:tc>
        <w:tc>
          <w:tcPr>
            <w:tcW w:w="760" w:type="dxa"/>
            <w:tcBorders>
              <w:top w:val="nil"/>
              <w:left w:val="nil"/>
              <w:bottom w:val="single" w:sz="4" w:space="0" w:color="auto"/>
              <w:right w:val="single" w:sz="4" w:space="0" w:color="auto"/>
            </w:tcBorders>
            <w:shd w:val="clear" w:color="auto" w:fill="auto"/>
            <w:vAlign w:val="center"/>
            <w:hideMark/>
          </w:tcPr>
          <w:p w:rsidR="00CF11D1" w:rsidRPr="00F22588" w:rsidRDefault="00CF11D1" w:rsidP="00DC1333">
            <w:pPr>
              <w:keepNext/>
              <w:keepLines/>
              <w:jc w:val="center"/>
              <w:rPr>
                <w:sz w:val="16"/>
                <w:szCs w:val="16"/>
              </w:rPr>
            </w:pPr>
            <w:r w:rsidRPr="00F22588">
              <w:rPr>
                <w:sz w:val="16"/>
                <w:szCs w:val="16"/>
              </w:rPr>
              <w:t>99,5%</w:t>
            </w:r>
          </w:p>
        </w:tc>
        <w:tc>
          <w:tcPr>
            <w:tcW w:w="760" w:type="dxa"/>
            <w:tcBorders>
              <w:top w:val="nil"/>
              <w:left w:val="nil"/>
              <w:bottom w:val="single" w:sz="4" w:space="0" w:color="auto"/>
              <w:right w:val="single" w:sz="4" w:space="0" w:color="auto"/>
            </w:tcBorders>
            <w:shd w:val="clear" w:color="auto" w:fill="auto"/>
            <w:vAlign w:val="center"/>
            <w:hideMark/>
          </w:tcPr>
          <w:p w:rsidR="00CF11D1" w:rsidRPr="00F22588" w:rsidRDefault="00CF11D1" w:rsidP="00DC1333">
            <w:pPr>
              <w:keepNext/>
              <w:keepLines/>
              <w:jc w:val="center"/>
              <w:rPr>
                <w:sz w:val="16"/>
                <w:szCs w:val="16"/>
              </w:rPr>
            </w:pPr>
            <w:r w:rsidRPr="00F22588">
              <w:rPr>
                <w:sz w:val="16"/>
                <w:szCs w:val="16"/>
              </w:rPr>
              <w:t>99,6%</w:t>
            </w:r>
          </w:p>
        </w:tc>
      </w:tr>
      <w:tr w:rsidR="00CF11D1" w:rsidRPr="00F22588" w:rsidTr="00DC1333">
        <w:trPr>
          <w:trHeight w:val="450"/>
        </w:trPr>
        <w:tc>
          <w:tcPr>
            <w:tcW w:w="400" w:type="dxa"/>
            <w:tcBorders>
              <w:top w:val="nil"/>
              <w:left w:val="single" w:sz="4" w:space="0" w:color="auto"/>
              <w:bottom w:val="single" w:sz="4" w:space="0" w:color="auto"/>
              <w:right w:val="single" w:sz="4" w:space="0" w:color="auto"/>
            </w:tcBorders>
            <w:shd w:val="clear" w:color="auto" w:fill="auto"/>
            <w:vAlign w:val="center"/>
            <w:hideMark/>
          </w:tcPr>
          <w:p w:rsidR="00CF11D1" w:rsidRPr="00F22588" w:rsidRDefault="00CF11D1" w:rsidP="00DC1333">
            <w:pPr>
              <w:keepNext/>
              <w:keepLines/>
              <w:jc w:val="center"/>
              <w:rPr>
                <w:color w:val="000000"/>
                <w:sz w:val="16"/>
                <w:szCs w:val="16"/>
              </w:rPr>
            </w:pPr>
            <w:r w:rsidRPr="00F22588">
              <w:rPr>
                <w:color w:val="000000"/>
                <w:sz w:val="16"/>
                <w:szCs w:val="16"/>
              </w:rPr>
              <w:t>4</w:t>
            </w:r>
          </w:p>
        </w:tc>
        <w:tc>
          <w:tcPr>
            <w:tcW w:w="3149" w:type="dxa"/>
            <w:tcBorders>
              <w:top w:val="nil"/>
              <w:left w:val="nil"/>
              <w:bottom w:val="single" w:sz="4" w:space="0" w:color="auto"/>
              <w:right w:val="single" w:sz="4" w:space="0" w:color="auto"/>
            </w:tcBorders>
            <w:shd w:val="clear" w:color="auto" w:fill="auto"/>
            <w:vAlign w:val="center"/>
            <w:hideMark/>
          </w:tcPr>
          <w:p w:rsidR="00CF11D1" w:rsidRPr="00F22588" w:rsidRDefault="00CF11D1" w:rsidP="00DC1333">
            <w:pPr>
              <w:keepNext/>
              <w:keepLines/>
              <w:rPr>
                <w:color w:val="000000"/>
                <w:sz w:val="16"/>
                <w:szCs w:val="16"/>
              </w:rPr>
            </w:pPr>
            <w:r w:rsidRPr="00F22588">
              <w:rPr>
                <w:sz w:val="16"/>
                <w:szCs w:val="16"/>
                <w:lang w:eastAsia="en-GB"/>
              </w:rPr>
              <w:t xml:space="preserve">Disponibilidad del sistema </w:t>
            </w:r>
            <w:proofErr w:type="spellStart"/>
            <w:r w:rsidRPr="00F22588">
              <w:rPr>
                <w:i/>
                <w:sz w:val="16"/>
                <w:szCs w:val="16"/>
                <w:lang w:eastAsia="en-GB"/>
              </w:rPr>
              <w:t>eDossier</w:t>
            </w:r>
            <w:proofErr w:type="spellEnd"/>
          </w:p>
        </w:tc>
        <w:tc>
          <w:tcPr>
            <w:tcW w:w="1788" w:type="dxa"/>
            <w:tcBorders>
              <w:top w:val="nil"/>
              <w:left w:val="nil"/>
              <w:bottom w:val="single" w:sz="4" w:space="0" w:color="auto"/>
              <w:right w:val="single" w:sz="4" w:space="0" w:color="auto"/>
            </w:tcBorders>
            <w:shd w:val="clear" w:color="auto" w:fill="auto"/>
            <w:vAlign w:val="center"/>
            <w:hideMark/>
          </w:tcPr>
          <w:p w:rsidR="00CF11D1" w:rsidRPr="00F22588" w:rsidRDefault="00CF11D1" w:rsidP="00DC1333">
            <w:pPr>
              <w:keepNext/>
              <w:keepLines/>
              <w:rPr>
                <w:color w:val="000000"/>
                <w:sz w:val="16"/>
                <w:szCs w:val="16"/>
              </w:rPr>
            </w:pPr>
            <w:r w:rsidRPr="00F22588">
              <w:rPr>
                <w:color w:val="000000"/>
                <w:sz w:val="16"/>
                <w:szCs w:val="16"/>
              </w:rPr>
              <w:t>99%</w:t>
            </w:r>
          </w:p>
        </w:tc>
        <w:tc>
          <w:tcPr>
            <w:tcW w:w="1692" w:type="dxa"/>
            <w:tcBorders>
              <w:top w:val="nil"/>
              <w:left w:val="nil"/>
              <w:bottom w:val="single" w:sz="4" w:space="0" w:color="auto"/>
              <w:right w:val="single" w:sz="4" w:space="0" w:color="auto"/>
            </w:tcBorders>
            <w:shd w:val="clear" w:color="auto" w:fill="auto"/>
            <w:vAlign w:val="center"/>
            <w:hideMark/>
          </w:tcPr>
          <w:p w:rsidR="00CF11D1" w:rsidRPr="00F22588" w:rsidRDefault="00CF11D1" w:rsidP="00DC1333">
            <w:pPr>
              <w:keepNext/>
              <w:keepLines/>
              <w:rPr>
                <w:color w:val="000000"/>
                <w:sz w:val="16"/>
                <w:szCs w:val="16"/>
              </w:rPr>
            </w:pPr>
            <w:r w:rsidRPr="00F22588">
              <w:rPr>
                <w:sz w:val="16"/>
                <w:szCs w:val="16"/>
                <w:lang w:eastAsia="en-GB"/>
              </w:rPr>
              <w:t>De 7 a 19, en días laborables</w:t>
            </w:r>
          </w:p>
        </w:tc>
        <w:tc>
          <w:tcPr>
            <w:tcW w:w="760" w:type="dxa"/>
            <w:tcBorders>
              <w:top w:val="nil"/>
              <w:left w:val="nil"/>
              <w:bottom w:val="single" w:sz="4" w:space="0" w:color="auto"/>
              <w:right w:val="single" w:sz="4" w:space="0" w:color="auto"/>
            </w:tcBorders>
            <w:shd w:val="clear" w:color="auto" w:fill="auto"/>
            <w:vAlign w:val="center"/>
            <w:hideMark/>
          </w:tcPr>
          <w:p w:rsidR="00CF11D1" w:rsidRPr="00F22588" w:rsidRDefault="00CF11D1" w:rsidP="00DC1333">
            <w:pPr>
              <w:keepNext/>
              <w:keepLines/>
              <w:jc w:val="center"/>
              <w:rPr>
                <w:sz w:val="16"/>
                <w:szCs w:val="16"/>
              </w:rPr>
            </w:pPr>
            <w:r w:rsidRPr="00F22588">
              <w:rPr>
                <w:sz w:val="16"/>
                <w:szCs w:val="16"/>
              </w:rPr>
              <w:t>100,0%</w:t>
            </w:r>
          </w:p>
        </w:tc>
        <w:tc>
          <w:tcPr>
            <w:tcW w:w="760" w:type="dxa"/>
            <w:tcBorders>
              <w:top w:val="nil"/>
              <w:left w:val="nil"/>
              <w:bottom w:val="single" w:sz="4" w:space="0" w:color="auto"/>
              <w:right w:val="single" w:sz="4" w:space="0" w:color="auto"/>
            </w:tcBorders>
            <w:shd w:val="clear" w:color="auto" w:fill="auto"/>
            <w:vAlign w:val="center"/>
            <w:hideMark/>
          </w:tcPr>
          <w:p w:rsidR="00CF11D1" w:rsidRPr="00F22588" w:rsidRDefault="00CF11D1" w:rsidP="00DC1333">
            <w:pPr>
              <w:keepNext/>
              <w:keepLines/>
              <w:jc w:val="center"/>
              <w:rPr>
                <w:sz w:val="16"/>
                <w:szCs w:val="16"/>
              </w:rPr>
            </w:pPr>
            <w:r w:rsidRPr="00F22588">
              <w:rPr>
                <w:sz w:val="16"/>
                <w:szCs w:val="16"/>
              </w:rPr>
              <w:t>100,0%</w:t>
            </w:r>
          </w:p>
        </w:tc>
        <w:tc>
          <w:tcPr>
            <w:tcW w:w="760" w:type="dxa"/>
            <w:tcBorders>
              <w:top w:val="nil"/>
              <w:left w:val="nil"/>
              <w:bottom w:val="single" w:sz="4" w:space="0" w:color="auto"/>
              <w:right w:val="single" w:sz="4" w:space="0" w:color="auto"/>
            </w:tcBorders>
            <w:shd w:val="clear" w:color="auto" w:fill="auto"/>
            <w:vAlign w:val="center"/>
            <w:hideMark/>
          </w:tcPr>
          <w:p w:rsidR="00CF11D1" w:rsidRPr="00F22588" w:rsidRDefault="00CF11D1" w:rsidP="00DC1333">
            <w:pPr>
              <w:keepNext/>
              <w:keepLines/>
              <w:jc w:val="center"/>
              <w:rPr>
                <w:sz w:val="16"/>
                <w:szCs w:val="16"/>
              </w:rPr>
            </w:pPr>
            <w:r w:rsidRPr="00F22588">
              <w:rPr>
                <w:sz w:val="16"/>
                <w:szCs w:val="16"/>
              </w:rPr>
              <w:t>100,0%</w:t>
            </w:r>
          </w:p>
        </w:tc>
      </w:tr>
      <w:tr w:rsidR="00CF11D1" w:rsidRPr="00F22588" w:rsidTr="00DC1333">
        <w:trPr>
          <w:trHeight w:val="318"/>
        </w:trPr>
        <w:tc>
          <w:tcPr>
            <w:tcW w:w="400" w:type="dxa"/>
            <w:tcBorders>
              <w:top w:val="nil"/>
              <w:left w:val="single" w:sz="4" w:space="0" w:color="auto"/>
              <w:bottom w:val="single" w:sz="4" w:space="0" w:color="auto"/>
              <w:right w:val="single" w:sz="4" w:space="0" w:color="auto"/>
            </w:tcBorders>
            <w:shd w:val="clear" w:color="auto" w:fill="auto"/>
            <w:vAlign w:val="center"/>
            <w:hideMark/>
          </w:tcPr>
          <w:p w:rsidR="00CF11D1" w:rsidRPr="00F22588" w:rsidRDefault="00CF11D1" w:rsidP="00DC1333">
            <w:pPr>
              <w:keepNext/>
              <w:keepLines/>
              <w:jc w:val="center"/>
              <w:rPr>
                <w:color w:val="000000"/>
                <w:sz w:val="16"/>
                <w:szCs w:val="16"/>
              </w:rPr>
            </w:pPr>
            <w:r w:rsidRPr="00F22588">
              <w:rPr>
                <w:color w:val="000000"/>
                <w:sz w:val="16"/>
                <w:szCs w:val="16"/>
              </w:rPr>
              <w:t>5</w:t>
            </w:r>
          </w:p>
        </w:tc>
        <w:tc>
          <w:tcPr>
            <w:tcW w:w="3149" w:type="dxa"/>
            <w:tcBorders>
              <w:top w:val="nil"/>
              <w:left w:val="nil"/>
              <w:bottom w:val="single" w:sz="4" w:space="0" w:color="auto"/>
              <w:right w:val="single" w:sz="4" w:space="0" w:color="auto"/>
            </w:tcBorders>
            <w:shd w:val="clear" w:color="auto" w:fill="auto"/>
            <w:vAlign w:val="center"/>
            <w:hideMark/>
          </w:tcPr>
          <w:p w:rsidR="00CF11D1" w:rsidRPr="00F22588" w:rsidRDefault="00CF11D1" w:rsidP="00DC1333">
            <w:pPr>
              <w:keepNext/>
              <w:keepLines/>
              <w:rPr>
                <w:color w:val="000000"/>
                <w:sz w:val="16"/>
                <w:szCs w:val="16"/>
              </w:rPr>
            </w:pPr>
            <w:r w:rsidRPr="00F22588">
              <w:rPr>
                <w:sz w:val="16"/>
                <w:szCs w:val="16"/>
                <w:lang w:eastAsia="en-GB"/>
              </w:rPr>
              <w:t xml:space="preserve">Disponibilidad del sistema </w:t>
            </w:r>
            <w:proofErr w:type="spellStart"/>
            <w:r w:rsidRPr="00F22588">
              <w:rPr>
                <w:i/>
                <w:sz w:val="16"/>
                <w:szCs w:val="16"/>
                <w:lang w:eastAsia="en-GB"/>
              </w:rPr>
              <w:t>ePCT</w:t>
            </w:r>
            <w:proofErr w:type="spellEnd"/>
          </w:p>
        </w:tc>
        <w:tc>
          <w:tcPr>
            <w:tcW w:w="1788" w:type="dxa"/>
            <w:tcBorders>
              <w:top w:val="nil"/>
              <w:left w:val="nil"/>
              <w:bottom w:val="single" w:sz="4" w:space="0" w:color="auto"/>
              <w:right w:val="single" w:sz="4" w:space="0" w:color="auto"/>
            </w:tcBorders>
            <w:shd w:val="clear" w:color="auto" w:fill="auto"/>
            <w:vAlign w:val="center"/>
            <w:hideMark/>
          </w:tcPr>
          <w:p w:rsidR="00CF11D1" w:rsidRPr="00F22588" w:rsidRDefault="00CF11D1" w:rsidP="00DC1333">
            <w:pPr>
              <w:keepNext/>
              <w:keepLines/>
              <w:rPr>
                <w:color w:val="000000"/>
                <w:sz w:val="16"/>
                <w:szCs w:val="16"/>
              </w:rPr>
            </w:pPr>
            <w:r w:rsidRPr="00F22588">
              <w:rPr>
                <w:color w:val="000000"/>
                <w:sz w:val="16"/>
                <w:szCs w:val="16"/>
              </w:rPr>
              <w:t>99%</w:t>
            </w:r>
          </w:p>
        </w:tc>
        <w:tc>
          <w:tcPr>
            <w:tcW w:w="1692" w:type="dxa"/>
            <w:tcBorders>
              <w:top w:val="nil"/>
              <w:left w:val="nil"/>
              <w:bottom w:val="single" w:sz="4" w:space="0" w:color="auto"/>
              <w:right w:val="single" w:sz="4" w:space="0" w:color="auto"/>
            </w:tcBorders>
            <w:shd w:val="clear" w:color="auto" w:fill="auto"/>
            <w:vAlign w:val="center"/>
            <w:hideMark/>
          </w:tcPr>
          <w:p w:rsidR="00CF11D1" w:rsidRPr="00F22588" w:rsidRDefault="00CF11D1" w:rsidP="00DC1333">
            <w:pPr>
              <w:keepNext/>
              <w:keepLines/>
              <w:rPr>
                <w:color w:val="000000"/>
                <w:sz w:val="16"/>
                <w:szCs w:val="16"/>
              </w:rPr>
            </w:pPr>
            <w:r w:rsidRPr="00F22588">
              <w:rPr>
                <w:color w:val="000000"/>
                <w:sz w:val="16"/>
                <w:szCs w:val="16"/>
              </w:rPr>
              <w:t>24 horas</w:t>
            </w:r>
          </w:p>
        </w:tc>
        <w:tc>
          <w:tcPr>
            <w:tcW w:w="760" w:type="dxa"/>
            <w:tcBorders>
              <w:top w:val="nil"/>
              <w:left w:val="nil"/>
              <w:bottom w:val="single" w:sz="4" w:space="0" w:color="auto"/>
              <w:right w:val="single" w:sz="4" w:space="0" w:color="auto"/>
            </w:tcBorders>
            <w:shd w:val="clear" w:color="auto" w:fill="auto"/>
            <w:vAlign w:val="center"/>
            <w:hideMark/>
          </w:tcPr>
          <w:p w:rsidR="00CF11D1" w:rsidRPr="00F22588" w:rsidRDefault="00CF11D1" w:rsidP="00DC1333">
            <w:pPr>
              <w:keepNext/>
              <w:keepLines/>
              <w:jc w:val="center"/>
              <w:rPr>
                <w:sz w:val="16"/>
                <w:szCs w:val="16"/>
              </w:rPr>
            </w:pPr>
            <w:r w:rsidRPr="00F22588">
              <w:rPr>
                <w:sz w:val="16"/>
                <w:szCs w:val="16"/>
              </w:rPr>
              <w:t>100,0%</w:t>
            </w:r>
          </w:p>
        </w:tc>
        <w:tc>
          <w:tcPr>
            <w:tcW w:w="760" w:type="dxa"/>
            <w:tcBorders>
              <w:top w:val="nil"/>
              <w:left w:val="nil"/>
              <w:bottom w:val="single" w:sz="4" w:space="0" w:color="auto"/>
              <w:right w:val="single" w:sz="4" w:space="0" w:color="auto"/>
            </w:tcBorders>
            <w:shd w:val="clear" w:color="auto" w:fill="auto"/>
            <w:vAlign w:val="center"/>
            <w:hideMark/>
          </w:tcPr>
          <w:p w:rsidR="00CF11D1" w:rsidRPr="00F22588" w:rsidRDefault="00CF11D1" w:rsidP="00DC1333">
            <w:pPr>
              <w:keepNext/>
              <w:keepLines/>
              <w:jc w:val="center"/>
              <w:rPr>
                <w:sz w:val="16"/>
                <w:szCs w:val="16"/>
              </w:rPr>
            </w:pPr>
            <w:r w:rsidRPr="00F22588">
              <w:rPr>
                <w:sz w:val="16"/>
                <w:szCs w:val="16"/>
              </w:rPr>
              <w:t>100,0%</w:t>
            </w:r>
          </w:p>
        </w:tc>
        <w:tc>
          <w:tcPr>
            <w:tcW w:w="760" w:type="dxa"/>
            <w:tcBorders>
              <w:top w:val="nil"/>
              <w:left w:val="nil"/>
              <w:bottom w:val="single" w:sz="4" w:space="0" w:color="auto"/>
              <w:right w:val="single" w:sz="4" w:space="0" w:color="auto"/>
            </w:tcBorders>
            <w:shd w:val="clear" w:color="auto" w:fill="auto"/>
            <w:vAlign w:val="center"/>
            <w:hideMark/>
          </w:tcPr>
          <w:p w:rsidR="00CF11D1" w:rsidRPr="00F22588" w:rsidRDefault="00CF11D1" w:rsidP="00DC1333">
            <w:pPr>
              <w:keepNext/>
              <w:keepLines/>
              <w:jc w:val="center"/>
              <w:rPr>
                <w:sz w:val="16"/>
                <w:szCs w:val="16"/>
              </w:rPr>
            </w:pPr>
            <w:r w:rsidRPr="00F22588">
              <w:rPr>
                <w:sz w:val="16"/>
                <w:szCs w:val="16"/>
              </w:rPr>
              <w:t>100,0%</w:t>
            </w:r>
          </w:p>
        </w:tc>
      </w:tr>
      <w:tr w:rsidR="00CF11D1" w:rsidRPr="00F22588" w:rsidTr="00DC1333">
        <w:trPr>
          <w:trHeight w:val="450"/>
        </w:trPr>
        <w:tc>
          <w:tcPr>
            <w:tcW w:w="400" w:type="dxa"/>
            <w:vMerge w:val="restart"/>
            <w:tcBorders>
              <w:top w:val="nil"/>
              <w:left w:val="single" w:sz="4" w:space="0" w:color="auto"/>
              <w:bottom w:val="single" w:sz="4" w:space="0" w:color="auto"/>
              <w:right w:val="single" w:sz="4" w:space="0" w:color="auto"/>
            </w:tcBorders>
            <w:shd w:val="clear" w:color="auto" w:fill="auto"/>
            <w:vAlign w:val="center"/>
            <w:hideMark/>
          </w:tcPr>
          <w:p w:rsidR="00CF11D1" w:rsidRPr="00F22588" w:rsidRDefault="00CF11D1" w:rsidP="00DC1333">
            <w:pPr>
              <w:keepNext/>
              <w:keepLines/>
              <w:jc w:val="center"/>
              <w:rPr>
                <w:b/>
                <w:bCs/>
                <w:color w:val="000000"/>
                <w:sz w:val="16"/>
                <w:szCs w:val="16"/>
              </w:rPr>
            </w:pPr>
            <w:r w:rsidRPr="00F22588">
              <w:rPr>
                <w:b/>
                <w:bCs/>
                <w:color w:val="000000"/>
                <w:sz w:val="16"/>
                <w:szCs w:val="16"/>
              </w:rPr>
              <w:t> </w:t>
            </w:r>
          </w:p>
        </w:tc>
        <w:tc>
          <w:tcPr>
            <w:tcW w:w="3149" w:type="dxa"/>
            <w:tcBorders>
              <w:top w:val="nil"/>
              <w:left w:val="nil"/>
              <w:bottom w:val="nil"/>
              <w:right w:val="single" w:sz="4" w:space="0" w:color="auto"/>
            </w:tcBorders>
            <w:shd w:val="clear" w:color="auto" w:fill="auto"/>
            <w:vAlign w:val="center"/>
            <w:hideMark/>
          </w:tcPr>
          <w:p w:rsidR="00CF11D1" w:rsidRPr="00F22588" w:rsidRDefault="00CF11D1" w:rsidP="00DC1333">
            <w:pPr>
              <w:widowControl w:val="0"/>
              <w:autoSpaceDE w:val="0"/>
              <w:autoSpaceDN w:val="0"/>
              <w:adjustRightInd w:val="0"/>
              <w:rPr>
                <w:b/>
                <w:sz w:val="16"/>
                <w:szCs w:val="16"/>
                <w:lang w:eastAsia="en-GB"/>
              </w:rPr>
            </w:pPr>
            <w:r w:rsidRPr="00F22588">
              <w:rPr>
                <w:b/>
                <w:sz w:val="16"/>
                <w:szCs w:val="16"/>
                <w:highlight w:val="white"/>
                <w:lang w:eastAsia="en-GB"/>
              </w:rPr>
              <w:t>Niveles de los servicios prestados por los sistemas de Información</w:t>
            </w:r>
          </w:p>
        </w:tc>
        <w:tc>
          <w:tcPr>
            <w:tcW w:w="1788" w:type="dxa"/>
            <w:vMerge w:val="restart"/>
            <w:tcBorders>
              <w:top w:val="nil"/>
              <w:left w:val="single" w:sz="4" w:space="0" w:color="auto"/>
              <w:bottom w:val="single" w:sz="4" w:space="0" w:color="auto"/>
              <w:right w:val="single" w:sz="4" w:space="0" w:color="auto"/>
            </w:tcBorders>
            <w:shd w:val="clear" w:color="auto" w:fill="auto"/>
            <w:vAlign w:val="center"/>
            <w:hideMark/>
          </w:tcPr>
          <w:p w:rsidR="00CF11D1" w:rsidRPr="00F22588" w:rsidRDefault="00CF11D1" w:rsidP="00DC1333">
            <w:pPr>
              <w:keepNext/>
              <w:keepLines/>
              <w:rPr>
                <w:b/>
                <w:bCs/>
                <w:color w:val="000000"/>
                <w:sz w:val="16"/>
                <w:szCs w:val="16"/>
              </w:rPr>
            </w:pPr>
            <w:r w:rsidRPr="00F22588">
              <w:rPr>
                <w:b/>
                <w:bCs/>
                <w:color w:val="000000"/>
                <w:sz w:val="16"/>
                <w:szCs w:val="16"/>
              </w:rPr>
              <w:t> </w:t>
            </w:r>
          </w:p>
        </w:tc>
        <w:tc>
          <w:tcPr>
            <w:tcW w:w="1692" w:type="dxa"/>
            <w:vMerge w:val="restart"/>
            <w:tcBorders>
              <w:top w:val="nil"/>
              <w:left w:val="single" w:sz="4" w:space="0" w:color="auto"/>
              <w:bottom w:val="single" w:sz="4" w:space="0" w:color="auto"/>
              <w:right w:val="single" w:sz="4" w:space="0" w:color="auto"/>
            </w:tcBorders>
            <w:shd w:val="clear" w:color="auto" w:fill="auto"/>
            <w:vAlign w:val="center"/>
            <w:hideMark/>
          </w:tcPr>
          <w:p w:rsidR="00CF11D1" w:rsidRPr="00F22588" w:rsidRDefault="00CF11D1" w:rsidP="00DC1333">
            <w:pPr>
              <w:keepNext/>
              <w:keepLines/>
              <w:rPr>
                <w:b/>
                <w:bCs/>
                <w:color w:val="000000"/>
                <w:sz w:val="16"/>
                <w:szCs w:val="16"/>
              </w:rPr>
            </w:pPr>
            <w:r w:rsidRPr="00F22588">
              <w:rPr>
                <w:b/>
                <w:bCs/>
                <w:color w:val="000000"/>
                <w:sz w:val="16"/>
                <w:szCs w:val="16"/>
              </w:rPr>
              <w:t> </w:t>
            </w:r>
          </w:p>
        </w:tc>
        <w:tc>
          <w:tcPr>
            <w:tcW w:w="760" w:type="dxa"/>
            <w:vMerge w:val="restart"/>
            <w:tcBorders>
              <w:top w:val="nil"/>
              <w:left w:val="single" w:sz="4" w:space="0" w:color="auto"/>
              <w:bottom w:val="single" w:sz="4" w:space="0" w:color="auto"/>
              <w:right w:val="single" w:sz="4" w:space="0" w:color="auto"/>
            </w:tcBorders>
            <w:shd w:val="clear" w:color="auto" w:fill="auto"/>
            <w:vAlign w:val="center"/>
            <w:hideMark/>
          </w:tcPr>
          <w:p w:rsidR="00CF11D1" w:rsidRPr="00F22588" w:rsidRDefault="00CF11D1" w:rsidP="00DC1333">
            <w:pPr>
              <w:keepNext/>
              <w:keepLines/>
              <w:jc w:val="center"/>
              <w:rPr>
                <w:b/>
                <w:bCs/>
                <w:sz w:val="16"/>
                <w:szCs w:val="16"/>
              </w:rPr>
            </w:pPr>
            <w:r w:rsidRPr="00F22588">
              <w:rPr>
                <w:b/>
                <w:bCs/>
                <w:sz w:val="16"/>
                <w:szCs w:val="16"/>
              </w:rPr>
              <w:t>93,0%</w:t>
            </w:r>
          </w:p>
        </w:tc>
        <w:tc>
          <w:tcPr>
            <w:tcW w:w="760" w:type="dxa"/>
            <w:vMerge w:val="restart"/>
            <w:tcBorders>
              <w:top w:val="nil"/>
              <w:left w:val="single" w:sz="4" w:space="0" w:color="auto"/>
              <w:bottom w:val="single" w:sz="4" w:space="0" w:color="auto"/>
              <w:right w:val="single" w:sz="4" w:space="0" w:color="auto"/>
            </w:tcBorders>
            <w:shd w:val="clear" w:color="auto" w:fill="auto"/>
            <w:vAlign w:val="center"/>
            <w:hideMark/>
          </w:tcPr>
          <w:p w:rsidR="00CF11D1" w:rsidRPr="00F22588" w:rsidRDefault="00CF11D1" w:rsidP="00DC1333">
            <w:pPr>
              <w:keepNext/>
              <w:keepLines/>
              <w:jc w:val="center"/>
              <w:rPr>
                <w:b/>
                <w:bCs/>
                <w:sz w:val="16"/>
                <w:szCs w:val="16"/>
              </w:rPr>
            </w:pPr>
            <w:r w:rsidRPr="00F22588">
              <w:rPr>
                <w:b/>
                <w:bCs/>
                <w:sz w:val="16"/>
                <w:szCs w:val="16"/>
              </w:rPr>
              <w:t>95,1%</w:t>
            </w:r>
            <w:r w:rsidRPr="00F22588">
              <w:rPr>
                <w:rStyle w:val="FootnoteReference"/>
                <w:b/>
                <w:bCs/>
                <w:sz w:val="16"/>
                <w:szCs w:val="16"/>
              </w:rPr>
              <w:footnoteReference w:id="24"/>
            </w:r>
          </w:p>
        </w:tc>
        <w:tc>
          <w:tcPr>
            <w:tcW w:w="760" w:type="dxa"/>
            <w:vMerge w:val="restart"/>
            <w:tcBorders>
              <w:top w:val="nil"/>
              <w:left w:val="single" w:sz="4" w:space="0" w:color="auto"/>
              <w:bottom w:val="single" w:sz="4" w:space="0" w:color="auto"/>
              <w:right w:val="single" w:sz="4" w:space="0" w:color="auto"/>
            </w:tcBorders>
            <w:shd w:val="clear" w:color="auto" w:fill="auto"/>
            <w:vAlign w:val="center"/>
            <w:hideMark/>
          </w:tcPr>
          <w:p w:rsidR="00CF11D1" w:rsidRPr="00F22588" w:rsidRDefault="00CF11D1" w:rsidP="00DC1333">
            <w:pPr>
              <w:keepNext/>
              <w:keepLines/>
              <w:jc w:val="center"/>
              <w:rPr>
                <w:b/>
                <w:bCs/>
                <w:sz w:val="16"/>
                <w:szCs w:val="16"/>
              </w:rPr>
            </w:pPr>
            <w:r w:rsidRPr="00F22588">
              <w:rPr>
                <w:b/>
                <w:bCs/>
                <w:sz w:val="16"/>
                <w:szCs w:val="16"/>
              </w:rPr>
              <w:t>96,5%</w:t>
            </w:r>
          </w:p>
        </w:tc>
      </w:tr>
      <w:tr w:rsidR="00CF11D1" w:rsidRPr="00F22588" w:rsidTr="00DC1333">
        <w:trPr>
          <w:trHeight w:val="938"/>
        </w:trPr>
        <w:tc>
          <w:tcPr>
            <w:tcW w:w="400" w:type="dxa"/>
            <w:vMerge/>
            <w:tcBorders>
              <w:top w:val="nil"/>
              <w:left w:val="single" w:sz="4" w:space="0" w:color="auto"/>
              <w:bottom w:val="single" w:sz="4" w:space="0" w:color="auto"/>
              <w:right w:val="single" w:sz="4" w:space="0" w:color="auto"/>
            </w:tcBorders>
            <w:vAlign w:val="center"/>
            <w:hideMark/>
          </w:tcPr>
          <w:p w:rsidR="00CF11D1" w:rsidRPr="00F22588" w:rsidRDefault="00CF11D1" w:rsidP="00DC1333">
            <w:pPr>
              <w:keepNext/>
              <w:keepLines/>
              <w:rPr>
                <w:b/>
                <w:bCs/>
                <w:color w:val="000000"/>
                <w:sz w:val="16"/>
                <w:szCs w:val="16"/>
              </w:rPr>
            </w:pPr>
          </w:p>
        </w:tc>
        <w:tc>
          <w:tcPr>
            <w:tcW w:w="3149" w:type="dxa"/>
            <w:tcBorders>
              <w:top w:val="nil"/>
              <w:left w:val="nil"/>
              <w:bottom w:val="single" w:sz="4" w:space="0" w:color="auto"/>
              <w:right w:val="single" w:sz="4" w:space="0" w:color="auto"/>
            </w:tcBorders>
            <w:shd w:val="clear" w:color="auto" w:fill="auto"/>
            <w:hideMark/>
          </w:tcPr>
          <w:p w:rsidR="00CF11D1" w:rsidRPr="00F22588" w:rsidRDefault="00CF11D1" w:rsidP="00DC1333">
            <w:r w:rsidRPr="00F22588">
              <w:rPr>
                <w:b/>
                <w:i/>
                <w:sz w:val="16"/>
                <w:szCs w:val="16"/>
                <w:highlight w:val="white"/>
                <w:lang w:eastAsia="en-GB"/>
              </w:rPr>
              <w:t xml:space="preserve">Promedio ponderado de los indicadores que figuran </w:t>
            </w:r>
            <w:r w:rsidRPr="00F22588">
              <w:rPr>
                <w:b/>
                <w:sz w:val="16"/>
                <w:szCs w:val="16"/>
                <w:highlight w:val="white"/>
                <w:lang w:eastAsia="en-GB"/>
              </w:rPr>
              <w:t>supra</w:t>
            </w:r>
            <w:r w:rsidRPr="00F22588">
              <w:rPr>
                <w:b/>
                <w:i/>
                <w:sz w:val="16"/>
                <w:szCs w:val="16"/>
                <w:lang w:eastAsia="en-GB"/>
              </w:rPr>
              <w:t>:  1):  20%, 2):  20%, 3):  20%, 4):  20%, 5):  20%.</w:t>
            </w:r>
          </w:p>
        </w:tc>
        <w:tc>
          <w:tcPr>
            <w:tcW w:w="1788" w:type="dxa"/>
            <w:vMerge/>
            <w:tcBorders>
              <w:top w:val="nil"/>
              <w:left w:val="single" w:sz="4" w:space="0" w:color="auto"/>
              <w:bottom w:val="single" w:sz="4" w:space="0" w:color="auto"/>
              <w:right w:val="single" w:sz="4" w:space="0" w:color="auto"/>
            </w:tcBorders>
            <w:vAlign w:val="center"/>
            <w:hideMark/>
          </w:tcPr>
          <w:p w:rsidR="00CF11D1" w:rsidRPr="00F22588" w:rsidRDefault="00CF11D1" w:rsidP="00DC1333">
            <w:pPr>
              <w:keepNext/>
              <w:keepLines/>
              <w:rPr>
                <w:b/>
                <w:bCs/>
                <w:color w:val="000000"/>
                <w:sz w:val="16"/>
                <w:szCs w:val="16"/>
              </w:rPr>
            </w:pPr>
          </w:p>
        </w:tc>
        <w:tc>
          <w:tcPr>
            <w:tcW w:w="1692" w:type="dxa"/>
            <w:vMerge/>
            <w:tcBorders>
              <w:top w:val="nil"/>
              <w:left w:val="single" w:sz="4" w:space="0" w:color="auto"/>
              <w:bottom w:val="single" w:sz="4" w:space="0" w:color="auto"/>
              <w:right w:val="single" w:sz="4" w:space="0" w:color="auto"/>
            </w:tcBorders>
            <w:vAlign w:val="center"/>
            <w:hideMark/>
          </w:tcPr>
          <w:p w:rsidR="00CF11D1" w:rsidRPr="00F22588" w:rsidRDefault="00CF11D1" w:rsidP="00DC1333">
            <w:pPr>
              <w:keepNext/>
              <w:keepLines/>
              <w:rPr>
                <w:b/>
                <w:bCs/>
                <w:color w:val="000000"/>
                <w:sz w:val="16"/>
                <w:szCs w:val="16"/>
              </w:rPr>
            </w:pPr>
          </w:p>
        </w:tc>
        <w:tc>
          <w:tcPr>
            <w:tcW w:w="760" w:type="dxa"/>
            <w:vMerge/>
            <w:tcBorders>
              <w:top w:val="nil"/>
              <w:left w:val="single" w:sz="4" w:space="0" w:color="auto"/>
              <w:bottom w:val="single" w:sz="4" w:space="0" w:color="auto"/>
              <w:right w:val="single" w:sz="4" w:space="0" w:color="auto"/>
            </w:tcBorders>
            <w:vAlign w:val="center"/>
            <w:hideMark/>
          </w:tcPr>
          <w:p w:rsidR="00CF11D1" w:rsidRPr="00F22588" w:rsidRDefault="00CF11D1" w:rsidP="00DC1333">
            <w:pPr>
              <w:keepNext/>
              <w:keepLines/>
              <w:rPr>
                <w:b/>
                <w:bCs/>
                <w:sz w:val="16"/>
                <w:szCs w:val="16"/>
              </w:rPr>
            </w:pPr>
          </w:p>
        </w:tc>
        <w:tc>
          <w:tcPr>
            <w:tcW w:w="760" w:type="dxa"/>
            <w:vMerge/>
            <w:tcBorders>
              <w:top w:val="nil"/>
              <w:left w:val="single" w:sz="4" w:space="0" w:color="auto"/>
              <w:bottom w:val="single" w:sz="4" w:space="0" w:color="auto"/>
              <w:right w:val="single" w:sz="4" w:space="0" w:color="auto"/>
            </w:tcBorders>
            <w:vAlign w:val="center"/>
            <w:hideMark/>
          </w:tcPr>
          <w:p w:rsidR="00CF11D1" w:rsidRPr="00F22588" w:rsidRDefault="00CF11D1" w:rsidP="00DC1333">
            <w:pPr>
              <w:keepNext/>
              <w:keepLines/>
              <w:rPr>
                <w:b/>
                <w:bCs/>
                <w:sz w:val="16"/>
                <w:szCs w:val="16"/>
              </w:rPr>
            </w:pPr>
          </w:p>
        </w:tc>
        <w:tc>
          <w:tcPr>
            <w:tcW w:w="760" w:type="dxa"/>
            <w:vMerge/>
            <w:tcBorders>
              <w:top w:val="nil"/>
              <w:left w:val="single" w:sz="4" w:space="0" w:color="auto"/>
              <w:bottom w:val="single" w:sz="4" w:space="0" w:color="auto"/>
              <w:right w:val="single" w:sz="4" w:space="0" w:color="auto"/>
            </w:tcBorders>
            <w:vAlign w:val="center"/>
            <w:hideMark/>
          </w:tcPr>
          <w:p w:rsidR="00CF11D1" w:rsidRPr="00F22588" w:rsidRDefault="00CF11D1" w:rsidP="00DC1333">
            <w:pPr>
              <w:keepNext/>
              <w:keepLines/>
              <w:rPr>
                <w:b/>
                <w:bCs/>
                <w:sz w:val="16"/>
                <w:szCs w:val="16"/>
              </w:rPr>
            </w:pPr>
          </w:p>
        </w:tc>
      </w:tr>
      <w:tr w:rsidR="00CF11D1" w:rsidRPr="00F22588" w:rsidTr="00DC1333">
        <w:trPr>
          <w:trHeight w:val="255"/>
        </w:trPr>
        <w:tc>
          <w:tcPr>
            <w:tcW w:w="3549" w:type="dxa"/>
            <w:gridSpan w:val="2"/>
            <w:tcBorders>
              <w:top w:val="nil"/>
              <w:left w:val="nil"/>
              <w:bottom w:val="nil"/>
              <w:right w:val="nil"/>
            </w:tcBorders>
            <w:shd w:val="clear" w:color="auto" w:fill="auto"/>
            <w:noWrap/>
            <w:vAlign w:val="center"/>
            <w:hideMark/>
          </w:tcPr>
          <w:p w:rsidR="00CF11D1" w:rsidRPr="00F22588" w:rsidRDefault="00CF11D1" w:rsidP="00DC1333">
            <w:pPr>
              <w:keepNext/>
              <w:keepLines/>
              <w:ind w:right="-108"/>
              <w:rPr>
                <w:color w:val="000000"/>
                <w:sz w:val="16"/>
                <w:szCs w:val="16"/>
              </w:rPr>
            </w:pPr>
            <w:r w:rsidRPr="00F22588">
              <w:rPr>
                <w:color w:val="000000"/>
                <w:sz w:val="16"/>
                <w:szCs w:val="16"/>
              </w:rPr>
              <w:t>Fuente:  Operaciones del PCT, febrero de 2016</w:t>
            </w:r>
          </w:p>
        </w:tc>
        <w:tc>
          <w:tcPr>
            <w:tcW w:w="1788" w:type="dxa"/>
            <w:tcBorders>
              <w:top w:val="nil"/>
              <w:left w:val="nil"/>
              <w:bottom w:val="nil"/>
              <w:right w:val="nil"/>
            </w:tcBorders>
            <w:shd w:val="clear" w:color="auto" w:fill="auto"/>
            <w:noWrap/>
            <w:vAlign w:val="bottom"/>
            <w:hideMark/>
          </w:tcPr>
          <w:p w:rsidR="00CF11D1" w:rsidRPr="00F22588" w:rsidRDefault="00CF11D1" w:rsidP="00DC1333">
            <w:pPr>
              <w:keepNext/>
              <w:keepLines/>
            </w:pPr>
          </w:p>
        </w:tc>
        <w:tc>
          <w:tcPr>
            <w:tcW w:w="1692" w:type="dxa"/>
            <w:tcBorders>
              <w:top w:val="nil"/>
              <w:left w:val="nil"/>
              <w:bottom w:val="nil"/>
              <w:right w:val="nil"/>
            </w:tcBorders>
            <w:shd w:val="clear" w:color="auto" w:fill="auto"/>
            <w:noWrap/>
            <w:vAlign w:val="bottom"/>
            <w:hideMark/>
          </w:tcPr>
          <w:p w:rsidR="00CF11D1" w:rsidRPr="00F22588" w:rsidRDefault="00CF11D1" w:rsidP="00DC1333">
            <w:pPr>
              <w:keepNext/>
              <w:keepLines/>
            </w:pPr>
          </w:p>
        </w:tc>
        <w:tc>
          <w:tcPr>
            <w:tcW w:w="760" w:type="dxa"/>
            <w:tcBorders>
              <w:top w:val="nil"/>
              <w:left w:val="nil"/>
              <w:bottom w:val="nil"/>
              <w:right w:val="nil"/>
            </w:tcBorders>
            <w:shd w:val="clear" w:color="auto" w:fill="auto"/>
            <w:noWrap/>
            <w:vAlign w:val="bottom"/>
            <w:hideMark/>
          </w:tcPr>
          <w:p w:rsidR="00CF11D1" w:rsidRPr="00F22588" w:rsidRDefault="00CF11D1" w:rsidP="00DC1333">
            <w:pPr>
              <w:keepNext/>
              <w:keepLines/>
            </w:pPr>
          </w:p>
        </w:tc>
        <w:tc>
          <w:tcPr>
            <w:tcW w:w="760" w:type="dxa"/>
            <w:tcBorders>
              <w:top w:val="nil"/>
              <w:left w:val="nil"/>
              <w:bottom w:val="nil"/>
              <w:right w:val="nil"/>
            </w:tcBorders>
            <w:shd w:val="clear" w:color="auto" w:fill="auto"/>
            <w:noWrap/>
            <w:vAlign w:val="bottom"/>
            <w:hideMark/>
          </w:tcPr>
          <w:p w:rsidR="00CF11D1" w:rsidRPr="00F22588" w:rsidRDefault="00CF11D1" w:rsidP="00DC1333">
            <w:pPr>
              <w:keepNext/>
              <w:keepLines/>
            </w:pPr>
          </w:p>
        </w:tc>
        <w:tc>
          <w:tcPr>
            <w:tcW w:w="760" w:type="dxa"/>
            <w:tcBorders>
              <w:top w:val="nil"/>
              <w:left w:val="nil"/>
              <w:bottom w:val="nil"/>
              <w:right w:val="nil"/>
            </w:tcBorders>
            <w:shd w:val="clear" w:color="auto" w:fill="auto"/>
            <w:noWrap/>
            <w:vAlign w:val="bottom"/>
            <w:hideMark/>
          </w:tcPr>
          <w:p w:rsidR="00CF11D1" w:rsidRPr="00F22588" w:rsidRDefault="00CF11D1" w:rsidP="00DC1333">
            <w:pPr>
              <w:keepNext/>
              <w:keepLines/>
            </w:pPr>
          </w:p>
        </w:tc>
      </w:tr>
    </w:tbl>
    <w:p w:rsidR="00CF11D1" w:rsidRDefault="00CF11D1" w:rsidP="00CF11D1">
      <w:pPr>
        <w:widowControl w:val="0"/>
        <w:rPr>
          <w:b/>
          <w:sz w:val="20"/>
          <w:highlight w:val="yellow"/>
        </w:rPr>
      </w:pPr>
    </w:p>
    <w:p w:rsidR="00CF11D1" w:rsidRPr="00F22588" w:rsidRDefault="00CF11D1" w:rsidP="00CF11D1">
      <w:pPr>
        <w:widowControl w:val="0"/>
        <w:rPr>
          <w:b/>
          <w:sz w:val="20"/>
          <w:highlight w:val="yellow"/>
        </w:rPr>
      </w:pPr>
    </w:p>
    <w:p w:rsidR="00CF11D1" w:rsidRPr="00F22588" w:rsidRDefault="00CF11D1" w:rsidP="00CF11D1">
      <w:pPr>
        <w:widowControl w:val="0"/>
        <w:rPr>
          <w:b/>
          <w:sz w:val="20"/>
        </w:rPr>
      </w:pPr>
      <w:r w:rsidRPr="00F22588">
        <w:rPr>
          <w:b/>
          <w:sz w:val="20"/>
          <w:highlight w:val="white"/>
        </w:rPr>
        <w:t>Oficina Internacional</w:t>
      </w:r>
      <w:r w:rsidRPr="00F22588">
        <w:rPr>
          <w:b/>
          <w:sz w:val="20"/>
        </w:rPr>
        <w:t xml:space="preserve"> actuando en calidad de Oficina receptora (RO/IB)</w:t>
      </w:r>
    </w:p>
    <w:p w:rsidR="00CF11D1" w:rsidRPr="00F22588" w:rsidRDefault="00CF11D1" w:rsidP="00CF11D1">
      <w:pPr>
        <w:widowControl w:val="0"/>
        <w:rPr>
          <w:b/>
          <w:sz w:val="20"/>
        </w:rPr>
      </w:pPr>
    </w:p>
    <w:p w:rsidR="00CF11D1" w:rsidRPr="00F22588" w:rsidRDefault="00CF11D1" w:rsidP="00CF11D1">
      <w:pPr>
        <w:widowControl w:val="0"/>
        <w:rPr>
          <w:i/>
          <w:sz w:val="20"/>
        </w:rPr>
      </w:pPr>
      <w:r w:rsidRPr="00F22588">
        <w:rPr>
          <w:i/>
          <w:sz w:val="20"/>
        </w:rPr>
        <w:t xml:space="preserve">Presentación de solicitudes </w:t>
      </w:r>
    </w:p>
    <w:p w:rsidR="00CF11D1" w:rsidRPr="00F22588" w:rsidRDefault="00CF11D1" w:rsidP="00CF11D1">
      <w:pPr>
        <w:widowControl w:val="0"/>
        <w:rPr>
          <w:b/>
          <w:sz w:val="20"/>
        </w:rPr>
      </w:pPr>
    </w:p>
    <w:p w:rsidR="00CF11D1" w:rsidRPr="00F22588" w:rsidRDefault="00CF11D1" w:rsidP="00CF11D1">
      <w:pPr>
        <w:widowControl w:val="0"/>
        <w:numPr>
          <w:ilvl w:val="0"/>
          <w:numId w:val="21"/>
        </w:numPr>
        <w:tabs>
          <w:tab w:val="clear" w:pos="709"/>
          <w:tab w:val="num" w:pos="567"/>
        </w:tabs>
        <w:ind w:left="0"/>
        <w:jc w:val="both"/>
        <w:rPr>
          <w:sz w:val="20"/>
        </w:rPr>
      </w:pPr>
      <w:r w:rsidRPr="00F22588">
        <w:rPr>
          <w:sz w:val="20"/>
        </w:rPr>
        <w:t xml:space="preserve">En este cuadro se muestra la actividad de presentación de solicitudes PCT con respecto a las diez principales oficinas receptoras desde los últimos cinco años hasta 2015.  En principio, las solicitudes PCT se presentan en la oficina de patentes del país de residencia del solicitante o en una oficina regional de patentes con jurisdicción sobre el lugar de residencia del solicitante.  </w:t>
      </w:r>
      <w:r w:rsidRPr="00F22588">
        <w:rPr>
          <w:sz w:val="20"/>
          <w:highlight w:val="white"/>
        </w:rPr>
        <w:t>La Oficina Internacional es la Oficina receptora competente</w:t>
      </w:r>
      <w:r w:rsidRPr="00F22588">
        <w:rPr>
          <w:sz w:val="20"/>
        </w:rPr>
        <w:t xml:space="preserve"> (RO/IB) para los solicitantes de todos los Estados contratantes del </w:t>
      </w:r>
      <w:r w:rsidRPr="00F22588">
        <w:rPr>
          <w:sz w:val="20"/>
          <w:highlight w:val="white"/>
        </w:rPr>
        <w:t xml:space="preserve"> PCT</w:t>
      </w:r>
      <w:r w:rsidRPr="00F22588">
        <w:rPr>
          <w:sz w:val="20"/>
        </w:rPr>
        <w:t xml:space="preserve">.  En el cuadro se muestra la evolución en la presentación de solicitudes ante la RO/IB, el </w:t>
      </w:r>
      <w:r w:rsidRPr="00F22588">
        <w:rPr>
          <w:i/>
          <w:sz w:val="20"/>
        </w:rPr>
        <w:t>ranking</w:t>
      </w:r>
      <w:r w:rsidRPr="00F22588">
        <w:rPr>
          <w:sz w:val="20"/>
        </w:rPr>
        <w:t xml:space="preserve"> que le corresponde en lo relativo al número de solicitudes recibidas por otras oficinas receptoras, así como su cuota de mercado.</w:t>
      </w:r>
    </w:p>
    <w:p w:rsidR="00CF11D1" w:rsidRPr="00F22588" w:rsidRDefault="00CF11D1" w:rsidP="00CF11D1">
      <w:pPr>
        <w:widowControl w:val="0"/>
        <w:jc w:val="both"/>
        <w:rPr>
          <w:sz w:val="20"/>
          <w:highlight w:val="yellow"/>
        </w:rPr>
      </w:pPr>
    </w:p>
    <w:p w:rsidR="00CF11D1" w:rsidRPr="00F22588" w:rsidRDefault="00CF11D1" w:rsidP="00CF11D1">
      <w:pPr>
        <w:widowControl w:val="0"/>
        <w:jc w:val="both"/>
        <w:rPr>
          <w:sz w:val="20"/>
          <w:highlight w:val="yellow"/>
        </w:rPr>
      </w:pPr>
      <w:r w:rsidRPr="00442B27">
        <w:rPr>
          <w:noProof/>
          <w:lang w:val="en-US" w:eastAsia="en-US"/>
        </w:rPr>
        <w:lastRenderedPageBreak/>
        <w:drawing>
          <wp:inline distT="0" distB="0" distL="0" distR="0" wp14:anchorId="25E5C435" wp14:editId="7AA4F221">
            <wp:extent cx="5940425" cy="2735630"/>
            <wp:effectExtent l="0" t="0" r="3175" b="762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940425" cy="2735630"/>
                    </a:xfrm>
                    <a:prstGeom prst="rect">
                      <a:avLst/>
                    </a:prstGeom>
                    <a:noFill/>
                    <a:ln>
                      <a:noFill/>
                    </a:ln>
                  </pic:spPr>
                </pic:pic>
              </a:graphicData>
            </a:graphic>
          </wp:inline>
        </w:drawing>
      </w:r>
    </w:p>
    <w:p w:rsidR="00CF11D1" w:rsidRPr="00F22588" w:rsidRDefault="00CF11D1" w:rsidP="00CF11D1">
      <w:pPr>
        <w:widowControl w:val="0"/>
        <w:rPr>
          <w:sz w:val="20"/>
          <w:highlight w:val="yellow"/>
        </w:rPr>
      </w:pPr>
    </w:p>
    <w:p w:rsidR="00CF11D1" w:rsidRPr="00F22588" w:rsidRDefault="00CF11D1" w:rsidP="00CF11D1">
      <w:pPr>
        <w:widowControl w:val="0"/>
        <w:numPr>
          <w:ilvl w:val="0"/>
          <w:numId w:val="21"/>
        </w:numPr>
        <w:tabs>
          <w:tab w:val="clear" w:pos="709"/>
          <w:tab w:val="num" w:pos="567"/>
        </w:tabs>
        <w:ind w:left="0"/>
        <w:jc w:val="both"/>
        <w:rPr>
          <w:sz w:val="20"/>
        </w:rPr>
      </w:pPr>
      <w:r w:rsidRPr="00F22588">
        <w:rPr>
          <w:sz w:val="20"/>
          <w:highlight w:val="white"/>
        </w:rPr>
        <w:t>En el presupuesto por programas de 2014/15</w:t>
      </w:r>
      <w:r w:rsidRPr="00F22588">
        <w:rPr>
          <w:sz w:val="20"/>
        </w:rPr>
        <w:t xml:space="preserve">, se añadieron los dos indicadores de rendimiento siguientes para la </w:t>
      </w:r>
      <w:r w:rsidRPr="00F22588">
        <w:rPr>
          <w:sz w:val="20"/>
          <w:highlight w:val="white"/>
        </w:rPr>
        <w:t>RO/IB</w:t>
      </w:r>
      <w:r w:rsidRPr="00F22588">
        <w:rPr>
          <w:sz w:val="20"/>
        </w:rPr>
        <w:t>:</w:t>
      </w:r>
    </w:p>
    <w:p w:rsidR="00CF11D1" w:rsidRPr="007C5F41" w:rsidRDefault="00CF11D1" w:rsidP="00CF11D1">
      <w:pPr>
        <w:pStyle w:val="PlainText"/>
        <w:widowControl w:val="0"/>
        <w:rPr>
          <w:rFonts w:ascii="Arial" w:hAnsi="Arial" w:cs="Arial"/>
          <w:color w:val="auto"/>
          <w:lang w:val="es-ES"/>
        </w:rPr>
      </w:pPr>
    </w:p>
    <w:p w:rsidR="00CF11D1" w:rsidRPr="007C5F41" w:rsidRDefault="00CF11D1" w:rsidP="00CF11D1">
      <w:pPr>
        <w:pStyle w:val="PlainText"/>
        <w:widowControl w:val="0"/>
        <w:rPr>
          <w:rFonts w:ascii="Arial" w:hAnsi="Arial" w:cs="Arial"/>
          <w:color w:val="auto"/>
          <w:lang w:val="es-ES"/>
        </w:rPr>
      </w:pPr>
      <w:r w:rsidRPr="007C5F41">
        <w:rPr>
          <w:rFonts w:ascii="Arial" w:hAnsi="Arial" w:cs="Arial"/>
          <w:i/>
          <w:color w:val="auto"/>
          <w:lang w:val="es-ES"/>
        </w:rPr>
        <w:t>Tiempo necesario para la notificación de la fecha de presentación de la solicitud internacional</w:t>
      </w:r>
    </w:p>
    <w:p w:rsidR="00CF11D1" w:rsidRPr="007C5F41" w:rsidRDefault="00CF11D1" w:rsidP="00CF11D1">
      <w:pPr>
        <w:pStyle w:val="PlainText"/>
        <w:widowControl w:val="0"/>
        <w:rPr>
          <w:rFonts w:ascii="Arial" w:hAnsi="Arial" w:cs="Arial"/>
          <w:color w:val="auto"/>
          <w:lang w:val="es-ES"/>
        </w:rPr>
      </w:pPr>
    </w:p>
    <w:p w:rsidR="00CF11D1" w:rsidRPr="00F22588" w:rsidRDefault="00CF11D1" w:rsidP="00CF11D1">
      <w:pPr>
        <w:widowControl w:val="0"/>
        <w:numPr>
          <w:ilvl w:val="0"/>
          <w:numId w:val="21"/>
        </w:numPr>
        <w:tabs>
          <w:tab w:val="clear" w:pos="709"/>
          <w:tab w:val="num" w:pos="567"/>
        </w:tabs>
        <w:ind w:left="0"/>
        <w:jc w:val="both"/>
        <w:rPr>
          <w:sz w:val="20"/>
        </w:rPr>
      </w:pPr>
      <w:r w:rsidRPr="00F22588">
        <w:rPr>
          <w:sz w:val="20"/>
        </w:rPr>
        <w:t>Este indicador refleja el tiempo que tarda la RO/IB en expedir el formulario 105.   Se expide este formulario una vez otorgada la fecha de presentación internacional.   Los solicitantes agradecen que se les envíe lo antes posible, puesto que la solicitud internacional surtirá el mismo efecto que una solicitud nacional común que haya sido presentada en cada uno de los Estados designados en la fecha de presentación internacional, que será considerada como la fecha de presentación efectiva en cada Estado designado.</w:t>
      </w:r>
    </w:p>
    <w:p w:rsidR="00CF11D1" w:rsidRPr="00F22588" w:rsidRDefault="00CF11D1" w:rsidP="00CF11D1">
      <w:pPr>
        <w:pStyle w:val="BodyText2"/>
        <w:widowControl w:val="0"/>
        <w:spacing w:after="0" w:line="240" w:lineRule="auto"/>
        <w:jc w:val="both"/>
        <w:rPr>
          <w:rFonts w:cs="Arial"/>
          <w:szCs w:val="20"/>
          <w:lang w:val="es-ES"/>
        </w:rPr>
      </w:pPr>
    </w:p>
    <w:p w:rsidR="00CF11D1" w:rsidRPr="007C5F41" w:rsidRDefault="00CF11D1" w:rsidP="00CF11D1">
      <w:pPr>
        <w:pStyle w:val="PlainText"/>
        <w:widowControl w:val="0"/>
        <w:jc w:val="center"/>
        <w:rPr>
          <w:rFonts w:ascii="Arial" w:hAnsi="Arial" w:cs="Arial"/>
          <w:b/>
          <w:color w:val="auto"/>
          <w:sz w:val="18"/>
          <w:szCs w:val="18"/>
          <w:lang w:val="es-ES"/>
        </w:rPr>
      </w:pPr>
      <w:r w:rsidRPr="007C5F41">
        <w:rPr>
          <w:rFonts w:ascii="Arial" w:hAnsi="Arial" w:cs="Arial"/>
          <w:b/>
          <w:color w:val="auto"/>
          <w:sz w:val="18"/>
          <w:szCs w:val="18"/>
          <w:lang w:val="es-ES"/>
        </w:rPr>
        <w:t>Tiempo necesario para la notificación de la fecha de presentación de la solicitud internacional</w:t>
      </w:r>
    </w:p>
    <w:p w:rsidR="00CF11D1" w:rsidRPr="00F22588" w:rsidRDefault="00CF11D1" w:rsidP="00CF11D1">
      <w:pPr>
        <w:pStyle w:val="PlainText"/>
        <w:widowControl w:val="0"/>
        <w:jc w:val="center"/>
        <w:rPr>
          <w:rFonts w:ascii="Arial" w:hAnsi="Arial" w:cs="Arial"/>
          <w:b/>
          <w:color w:val="auto"/>
        </w:rPr>
      </w:pPr>
      <w:r w:rsidRPr="00442B27">
        <w:rPr>
          <w:noProof/>
          <w:lang w:eastAsia="en-US"/>
        </w:rPr>
        <w:drawing>
          <wp:inline distT="0" distB="0" distL="0" distR="0" wp14:anchorId="24E9C3C4" wp14:editId="3707FFB5">
            <wp:extent cx="5940425" cy="2551622"/>
            <wp:effectExtent l="0" t="0" r="3175" b="127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940425" cy="2551622"/>
                    </a:xfrm>
                    <a:prstGeom prst="rect">
                      <a:avLst/>
                    </a:prstGeom>
                    <a:noFill/>
                    <a:ln>
                      <a:noFill/>
                    </a:ln>
                  </pic:spPr>
                </pic:pic>
              </a:graphicData>
            </a:graphic>
          </wp:inline>
        </w:drawing>
      </w:r>
    </w:p>
    <w:p w:rsidR="00CF11D1" w:rsidRPr="00F22588" w:rsidRDefault="00CF11D1" w:rsidP="00CF11D1">
      <w:pPr>
        <w:pStyle w:val="PlainText"/>
        <w:widowControl w:val="0"/>
        <w:rPr>
          <w:rFonts w:ascii="Arial" w:hAnsi="Arial" w:cs="Arial"/>
          <w:color w:val="auto"/>
        </w:rPr>
      </w:pPr>
    </w:p>
    <w:p w:rsidR="00CF11D1" w:rsidRPr="007C5F41" w:rsidRDefault="00CF11D1" w:rsidP="00CF11D1">
      <w:pPr>
        <w:pStyle w:val="PlainText"/>
        <w:widowControl w:val="0"/>
        <w:rPr>
          <w:rFonts w:ascii="Arial" w:hAnsi="Arial" w:cs="Arial"/>
          <w:i/>
          <w:color w:val="auto"/>
          <w:lang w:val="es-ES"/>
        </w:rPr>
      </w:pPr>
      <w:r w:rsidRPr="007C5F41">
        <w:rPr>
          <w:rFonts w:ascii="Arial" w:hAnsi="Arial" w:cs="Arial"/>
          <w:i/>
          <w:color w:val="auto"/>
          <w:lang w:val="es-ES"/>
        </w:rPr>
        <w:t>Tiempo necesario para la transmisión de la copia para la búsqueda</w:t>
      </w:r>
    </w:p>
    <w:p w:rsidR="00CF11D1" w:rsidRPr="007C5F41" w:rsidRDefault="00CF11D1" w:rsidP="00CF11D1">
      <w:pPr>
        <w:pStyle w:val="PlainText"/>
        <w:widowControl w:val="0"/>
        <w:rPr>
          <w:rFonts w:ascii="Arial" w:hAnsi="Arial" w:cs="Arial"/>
          <w:color w:val="auto"/>
          <w:lang w:val="es-ES"/>
        </w:rPr>
      </w:pPr>
    </w:p>
    <w:p w:rsidR="00CF11D1" w:rsidRPr="00F22588" w:rsidRDefault="00CF11D1" w:rsidP="00CF11D1">
      <w:pPr>
        <w:widowControl w:val="0"/>
        <w:numPr>
          <w:ilvl w:val="0"/>
          <w:numId w:val="21"/>
        </w:numPr>
        <w:tabs>
          <w:tab w:val="clear" w:pos="709"/>
          <w:tab w:val="num" w:pos="567"/>
        </w:tabs>
        <w:ind w:left="0"/>
        <w:jc w:val="both"/>
        <w:rPr>
          <w:sz w:val="20"/>
        </w:rPr>
      </w:pPr>
      <w:r w:rsidRPr="00F22588">
        <w:rPr>
          <w:sz w:val="20"/>
        </w:rPr>
        <w:t>Este indicador refleja el tiempo que tarda la RO/IB en transmitir las copias para la búsqueda a las Administraciones encargadas de la búsqueda internacional.  La copia para la búsqueda debe ser transmitida lo antes posible tras el pago de la tasa, para que la Administración encargada de la búsqueda internacional pueda elaborar el informe sobre la búsqueda internacional dentro de los plazos dispuestos en el marco regulador del PCT.  La demora en el pago de la tasa demorará la transmisión de las copias para la búsqueda a las Administraciones encargadas de la búsqueda internacional y, por lo tanto, incidirá negativamente en la capacidad de dichas Administraciones de cumplir con esos plazos.</w:t>
      </w:r>
    </w:p>
    <w:p w:rsidR="00CF11D1" w:rsidRPr="00F22588" w:rsidRDefault="00CF11D1" w:rsidP="00CF11D1">
      <w:pPr>
        <w:widowControl w:val="0"/>
        <w:rPr>
          <w:sz w:val="20"/>
        </w:rPr>
      </w:pPr>
    </w:p>
    <w:p w:rsidR="00CF11D1" w:rsidRPr="007C5F41" w:rsidRDefault="00CF11D1" w:rsidP="00CF11D1">
      <w:pPr>
        <w:pStyle w:val="PlainText"/>
        <w:keepNext/>
        <w:widowControl w:val="0"/>
        <w:jc w:val="center"/>
        <w:rPr>
          <w:rFonts w:ascii="Arial" w:hAnsi="Arial" w:cs="Arial"/>
          <w:b/>
          <w:color w:val="auto"/>
          <w:sz w:val="18"/>
          <w:szCs w:val="18"/>
          <w:lang w:val="es-ES"/>
        </w:rPr>
      </w:pPr>
      <w:r w:rsidRPr="007C5F41">
        <w:rPr>
          <w:rFonts w:ascii="Arial" w:hAnsi="Arial" w:cs="Arial"/>
          <w:b/>
          <w:color w:val="auto"/>
          <w:sz w:val="18"/>
          <w:szCs w:val="18"/>
          <w:lang w:val="es-ES"/>
        </w:rPr>
        <w:lastRenderedPageBreak/>
        <w:t>Tiempo necesario para la transmisión de la copia para la búsqueda</w:t>
      </w:r>
    </w:p>
    <w:p w:rsidR="00CF11D1" w:rsidRPr="00F22588" w:rsidRDefault="00CF11D1" w:rsidP="00CF11D1">
      <w:pPr>
        <w:pStyle w:val="PlainText"/>
        <w:widowControl w:val="0"/>
        <w:jc w:val="center"/>
        <w:rPr>
          <w:rFonts w:ascii="Arial" w:hAnsi="Arial" w:cs="Arial"/>
          <w:b/>
          <w:color w:val="auto"/>
        </w:rPr>
      </w:pPr>
      <w:r w:rsidRPr="00EC7F81">
        <w:rPr>
          <w:noProof/>
          <w:lang w:eastAsia="en-US"/>
        </w:rPr>
        <w:drawing>
          <wp:inline distT="0" distB="0" distL="0" distR="0" wp14:anchorId="48E9A3DC" wp14:editId="46401859">
            <wp:extent cx="5940425" cy="2660414"/>
            <wp:effectExtent l="0" t="0" r="3175" b="698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940425" cy="2660414"/>
                    </a:xfrm>
                    <a:prstGeom prst="rect">
                      <a:avLst/>
                    </a:prstGeom>
                    <a:noFill/>
                    <a:ln>
                      <a:noFill/>
                    </a:ln>
                  </pic:spPr>
                </pic:pic>
              </a:graphicData>
            </a:graphic>
          </wp:inline>
        </w:drawing>
      </w:r>
    </w:p>
    <w:p w:rsidR="00CF11D1" w:rsidRPr="00F22588" w:rsidRDefault="00CF11D1" w:rsidP="00CF11D1">
      <w:pPr>
        <w:pStyle w:val="PlainText"/>
        <w:widowControl w:val="0"/>
        <w:rPr>
          <w:rFonts w:ascii="Arial" w:hAnsi="Arial" w:cs="Arial"/>
          <w:b/>
          <w:color w:val="auto"/>
        </w:rPr>
      </w:pPr>
    </w:p>
    <w:p w:rsidR="00CF11D1" w:rsidRDefault="00CF11D1" w:rsidP="00CF11D1"/>
    <w:p w:rsidR="00CF11D1" w:rsidRPr="00F22588" w:rsidRDefault="00CF11D1" w:rsidP="00CF11D1">
      <w:pPr>
        <w:jc w:val="right"/>
      </w:pPr>
      <w:r w:rsidRPr="00821C88">
        <w:rPr>
          <w:szCs w:val="22"/>
        </w:rPr>
        <w:t>[Fin del Anexo]</w:t>
      </w:r>
    </w:p>
    <w:p w:rsidR="00CF11D1" w:rsidRDefault="00CF11D1" w:rsidP="00CF11D1">
      <w:pPr>
        <w:rPr>
          <w:b/>
          <w:bCs/>
          <w:iCs/>
          <w:caps/>
          <w:szCs w:val="28"/>
        </w:rPr>
      </w:pPr>
      <w:bookmarkStart w:id="80" w:name="_Toc422927411"/>
      <w:r>
        <w:rPr>
          <w:b/>
        </w:rPr>
        <w:br w:type="page"/>
      </w:r>
    </w:p>
    <w:p w:rsidR="00320744" w:rsidRPr="00320744" w:rsidRDefault="00320744" w:rsidP="00DC1333">
      <w:pPr>
        <w:pStyle w:val="Heading2"/>
        <w:tabs>
          <w:tab w:val="left" w:pos="2410"/>
        </w:tabs>
        <w:rPr>
          <w:b/>
          <w:caps w:val="0"/>
        </w:rPr>
      </w:pPr>
      <w:bookmarkStart w:id="81" w:name="_Toc455159077"/>
      <w:bookmarkEnd w:id="80"/>
      <w:r w:rsidRPr="00320744">
        <w:rPr>
          <w:b/>
        </w:rPr>
        <w:lastRenderedPageBreak/>
        <w:t>PROGRAMA 6</w:t>
      </w:r>
      <w:r w:rsidRPr="00320744">
        <w:rPr>
          <w:b/>
        </w:rPr>
        <w:tab/>
        <w:t>LOS SISTEMAS DE MADRID Y DE LISBOA</w:t>
      </w:r>
      <w:bookmarkEnd w:id="81"/>
    </w:p>
    <w:p w:rsidR="00320744" w:rsidRPr="00456D44" w:rsidRDefault="00320744" w:rsidP="00DC1333"/>
    <w:p w:rsidR="00320744" w:rsidRPr="00013B5C" w:rsidRDefault="00320744" w:rsidP="00DC1333">
      <w:pPr>
        <w:tabs>
          <w:tab w:val="left" w:pos="2410"/>
        </w:tabs>
        <w:rPr>
          <w:b/>
          <w:sz w:val="20"/>
        </w:rPr>
      </w:pPr>
      <w:r w:rsidRPr="00013B5C">
        <w:rPr>
          <w:b/>
          <w:sz w:val="20"/>
        </w:rPr>
        <w:t>Directora de programa</w:t>
      </w:r>
      <w:r w:rsidRPr="00013B5C">
        <w:rPr>
          <w:b/>
          <w:sz w:val="20"/>
        </w:rPr>
        <w:tab/>
        <w:t>Sra. B. Wang</w:t>
      </w:r>
    </w:p>
    <w:p w:rsidR="00320744" w:rsidRPr="00456D44" w:rsidRDefault="00320744" w:rsidP="00DC1333"/>
    <w:p w:rsidR="00320744" w:rsidRPr="00456D44" w:rsidRDefault="00320744" w:rsidP="00DC1333"/>
    <w:p w:rsidR="00320744" w:rsidRPr="00456D44" w:rsidRDefault="008F7CBE" w:rsidP="00DC1333">
      <w:pPr>
        <w:rPr>
          <w:bCs/>
          <w:szCs w:val="22"/>
        </w:rPr>
      </w:pPr>
      <w:r w:rsidRPr="008F7CBE">
        <w:rPr>
          <w:bCs/>
          <w:sz w:val="20"/>
          <w:szCs w:val="22"/>
        </w:rPr>
        <w:t>LOGROS ALCANZADOS EN EL BIENIO 2014/15</w:t>
      </w:r>
    </w:p>
    <w:p w:rsidR="00320744" w:rsidRPr="00456D44" w:rsidRDefault="00320744" w:rsidP="00DC1333"/>
    <w:p w:rsidR="00320744" w:rsidRPr="00403D2C" w:rsidRDefault="00320744" w:rsidP="00DC1333">
      <w:pPr>
        <w:spacing w:after="200" w:line="276" w:lineRule="auto"/>
        <w:rPr>
          <w:rFonts w:eastAsiaTheme="minorHAnsi"/>
          <w:sz w:val="20"/>
        </w:rPr>
      </w:pPr>
      <w:r w:rsidRPr="00403D2C">
        <w:rPr>
          <w:rFonts w:eastAsiaTheme="minorHAnsi"/>
          <w:sz w:val="20"/>
        </w:rPr>
        <w:t>A.</w:t>
      </w:r>
      <w:r w:rsidRPr="00403D2C">
        <w:rPr>
          <w:rFonts w:eastAsiaTheme="minorHAnsi"/>
          <w:sz w:val="20"/>
        </w:rPr>
        <w:tab/>
        <w:t>EL SISTEMA DE MADRID</w:t>
      </w:r>
    </w:p>
    <w:p w:rsidR="00320744" w:rsidRPr="00456D44" w:rsidRDefault="00320744" w:rsidP="00320744">
      <w:pPr>
        <w:pStyle w:val="ListParagraph"/>
        <w:numPr>
          <w:ilvl w:val="0"/>
          <w:numId w:val="24"/>
        </w:numPr>
        <w:tabs>
          <w:tab w:val="left" w:pos="709"/>
        </w:tabs>
        <w:ind w:left="0" w:firstLine="0"/>
        <w:jc w:val="both"/>
        <w:rPr>
          <w:rFonts w:cs="Arial"/>
          <w:lang w:val="es-ES" w:eastAsia="ko-KR"/>
        </w:rPr>
      </w:pPr>
      <w:r w:rsidRPr="00456D44">
        <w:rPr>
          <w:rFonts w:cs="Arial"/>
          <w:lang w:val="es-ES" w:eastAsia="ko-KR"/>
        </w:rPr>
        <w:t xml:space="preserve">La ampliación de la cobertura geográfica del Sistema estuvo marcada por hechos importantes y positivos en el bienio.  En 2014, </w:t>
      </w:r>
      <w:proofErr w:type="spellStart"/>
      <w:r w:rsidRPr="00456D44">
        <w:rPr>
          <w:rFonts w:cs="Arial"/>
          <w:lang w:val="es-ES" w:eastAsia="ko-KR"/>
        </w:rPr>
        <w:t>Zimbabwe</w:t>
      </w:r>
      <w:proofErr w:type="spellEnd"/>
      <w:r w:rsidRPr="00456D44">
        <w:rPr>
          <w:rFonts w:cs="Arial"/>
          <w:lang w:val="es-ES" w:eastAsia="ko-KR"/>
        </w:rPr>
        <w:t xml:space="preserve"> y la Organización Africana de la Propiedad Intelectual (OAPI) se adhirieron al Protocolo de Madrid.  Puesto que la OAPI es una organización intergubernamental que cuenta con 17 Estados miembros, solamente estas dos adhesiones aumentaron de 94 a 110, ya en 2014, el número de países en que los usuarios pueden proteger y gestionar sus marcas de forma centralizada a través del Sistema de Madrid.  En 2015, Argelia, Camboya, Gambia y la República Democrática Popular Lao también se adhirieron al Protocolo, situando en 97 el número total de Partes Contratantes</w:t>
      </w:r>
      <w:r w:rsidRPr="00456D44">
        <w:rPr>
          <w:rFonts w:cs="Arial"/>
          <w:b/>
          <w:lang w:val="es-ES" w:eastAsia="ko-KR"/>
        </w:rPr>
        <w:t xml:space="preserve"> </w:t>
      </w:r>
      <w:r w:rsidRPr="00456D44">
        <w:rPr>
          <w:rFonts w:cs="Arial"/>
          <w:lang w:val="es-ES" w:eastAsia="ko-KR"/>
        </w:rPr>
        <w:t>a fines del bienio, abarcando 113 países. Dado que Argelia era la última Parte Contratante de la Unión de Madrid que era miembro únicamente del Arreglo de Madrid, el Sistema de Madrid opera ahora, a efectos prácticos, como un sistema de tratado único.</w:t>
      </w:r>
    </w:p>
    <w:p w:rsidR="00320744" w:rsidRPr="00456D44" w:rsidRDefault="00320744" w:rsidP="00DC1333">
      <w:pPr>
        <w:pStyle w:val="ListParagraph"/>
        <w:tabs>
          <w:tab w:val="left" w:pos="709"/>
        </w:tabs>
        <w:ind w:left="0"/>
        <w:jc w:val="both"/>
        <w:rPr>
          <w:rFonts w:cs="Arial"/>
          <w:lang w:val="es-ES" w:eastAsia="ko-KR"/>
        </w:rPr>
      </w:pPr>
    </w:p>
    <w:p w:rsidR="00320744" w:rsidRPr="00456D44" w:rsidRDefault="00320744" w:rsidP="00320744">
      <w:pPr>
        <w:pStyle w:val="ListParagraph"/>
        <w:numPr>
          <w:ilvl w:val="0"/>
          <w:numId w:val="24"/>
        </w:numPr>
        <w:tabs>
          <w:tab w:val="left" w:pos="709"/>
        </w:tabs>
        <w:ind w:left="0" w:firstLine="0"/>
        <w:jc w:val="both"/>
        <w:rPr>
          <w:rFonts w:cs="Arial"/>
          <w:lang w:val="es-ES" w:eastAsia="ko-KR"/>
        </w:rPr>
      </w:pPr>
      <w:r w:rsidRPr="00456D44">
        <w:rPr>
          <w:rFonts w:cs="Arial"/>
          <w:lang w:val="es-ES" w:eastAsia="ko-KR"/>
        </w:rPr>
        <w:t>La utilización del Sistema de Madrid aumentó en un 2,3% en 2014 con respecto a 2013, con un total de 47.885 solicitudes recibidas.  En 2014, los Estados Unidos de América superaron a Alemania como el principal usuario del Sistema de Madrid, lo que ilustra la transformación geográfica del Sistema.  En 2015, se recibieron un total de 49.273 solicitudes, lo que representa un crecimiento del 2,9% con respecto a 2014.  Esto refleja un crecimiento sólido en el bienio, especialmente teniendo en cuenta que el Sistema de Madrid se encareció para los solicitantes de una serie de países importantes por número de solicitudes presentadas tras la fuerte revalorización del franco suizo en 2015.</w:t>
      </w:r>
    </w:p>
    <w:p w:rsidR="00320744" w:rsidRPr="00456D44" w:rsidRDefault="00320744" w:rsidP="00DC1333">
      <w:pPr>
        <w:pStyle w:val="ListParagraph"/>
        <w:ind w:left="0"/>
        <w:rPr>
          <w:rFonts w:cs="Arial"/>
          <w:lang w:val="es-ES" w:eastAsia="ko-KR"/>
        </w:rPr>
      </w:pPr>
    </w:p>
    <w:p w:rsidR="00320744" w:rsidRPr="00456D44" w:rsidRDefault="00320744" w:rsidP="00320744">
      <w:pPr>
        <w:pStyle w:val="ListParagraph"/>
        <w:numPr>
          <w:ilvl w:val="0"/>
          <w:numId w:val="24"/>
        </w:numPr>
        <w:tabs>
          <w:tab w:val="left" w:pos="709"/>
        </w:tabs>
        <w:ind w:left="0" w:firstLine="0"/>
        <w:jc w:val="both"/>
        <w:rPr>
          <w:rFonts w:cs="Arial"/>
          <w:lang w:val="es-ES" w:eastAsia="ko-KR"/>
        </w:rPr>
      </w:pPr>
      <w:r w:rsidRPr="00456D44">
        <w:rPr>
          <w:rFonts w:cs="Arial"/>
          <w:lang w:val="es-ES" w:eastAsia="ko-KR"/>
        </w:rPr>
        <w:t>Los debates en el Grupo de Trabajo sobre el Desarrollo Jurídico del Sistema de Madrid se tradujeron en la adopción por parte de la Asamblea de la Unión de Madrid de una serie de modificaciones importantes del Reglamento Común, como se indica a continuación:  i) la "continuación de la tramitación” está disponible ahora para los solicitantes o titulares que no logran cumplir ciertos plazos en los procedimientos específicos que se llevan a cabo en la Oficina Internacional;  ii) el procedimiento de renovación se ha simplificado desde el punto de vista jurídico con la introducción de una opción para renovar el registro internacional solo para  una lista reducida de productos y servicios, en lugar de tener que presentar una petición de inscripción de una limitación anterior a la renovación, como ocurría anteriormente;  iii) el incumplimiento del plazo establecido para una comunicación dirigida a la Oficina Internacional y enviada por medios electrónicos se excusará si la parte presenta pruebas en las que demuestre de forma satisfactoria que se debió a un fallo en la comunicación electrónica con la Oficina Internacional o que afecte a la localidad de esa parte, debido a circunstancias extraordinarias;  iv) las modificaciones relativas a la dirección para la correspondencia, la dirección de correo-e o a cualquier otro medio de comunicación con el solicitante o el titular están exentas del pago de tasas;  v) se permitirá a los solicitantes aportar una descripción voluntaria de la marca, lo que resultará útil para evitar denegaciones provisionales;  vi) ha quedado claro el nivel de examen que aplicará la Oficina Internacional a la lista de productos y servicios en las designaciones posteriores;  y vii) en el caso de designación posterior de los Estados Unidos de América y de otras Partes Contratantes, aunque no se haya facilitado o corregido la declaración de intención de uso en los Estados Unidos de América, ese incumplimiento ya no afectará al resto de las Partes Contratantes.  Algunos cambios entraron en vigor en enero de 2015 y el 1 de abril de 2016, y otros lo harán el 1 de noviembre de 2017.</w:t>
      </w:r>
    </w:p>
    <w:p w:rsidR="00320744" w:rsidRPr="00456D44" w:rsidRDefault="00320744" w:rsidP="00DC1333">
      <w:pPr>
        <w:pStyle w:val="ListParagraph"/>
        <w:tabs>
          <w:tab w:val="left" w:pos="709"/>
        </w:tabs>
        <w:ind w:left="0"/>
        <w:jc w:val="both"/>
        <w:rPr>
          <w:rFonts w:cs="Arial"/>
          <w:lang w:val="es-ES" w:eastAsia="ko-KR"/>
        </w:rPr>
      </w:pPr>
    </w:p>
    <w:p w:rsidR="00320744" w:rsidRPr="00456D44" w:rsidRDefault="00320744" w:rsidP="00320744">
      <w:pPr>
        <w:pStyle w:val="ListParagraph"/>
        <w:numPr>
          <w:ilvl w:val="0"/>
          <w:numId w:val="24"/>
        </w:numPr>
        <w:tabs>
          <w:tab w:val="left" w:pos="709"/>
        </w:tabs>
        <w:ind w:left="0" w:firstLine="0"/>
        <w:jc w:val="both"/>
        <w:rPr>
          <w:rFonts w:cs="Arial"/>
          <w:lang w:val="es-ES" w:eastAsia="ko-KR"/>
        </w:rPr>
      </w:pPr>
      <w:r w:rsidRPr="00456D44">
        <w:rPr>
          <w:rFonts w:cs="Arial"/>
          <w:lang w:val="es-ES" w:eastAsia="ko-KR"/>
        </w:rPr>
        <w:t xml:space="preserve">A principios de 2014, se lanzó una importante iniciativa de reforma a largo plazo destinada a mejorar el nivel de madurez del entorno operativo.  Entre las principales esferas que abarca esta iniciativa figuran las siguientes:  i) la planificación del trabajo y los procedimientos conexos;  ii) las T.I.;  iii) la atención al cliente;  iv) la documentación de examen;  v) la tramitación de las tasas;  y vi) la continuidad de las operaciones.  Estos proyectos nuevos hicieron necesario el desvío de determinados recursos que previamente se dedicaban al examen y otras actividades.  El resultado fue que en 2014 se acumularon retrasos en diversas transacciones de examen y se incurrió en otros retrasos operativos.  Sin embargo, se introdujeron medidas paliativas, entre otras, la retención de un número de recursos flexibles adicionales, lo que permitió a la Oficina Internacional revertir la situación en 2015.  A fines del bienio, el tiempo de tramitación de todas las transacciones relacionadas con el examen igualaba o mejoraba el promedio correspondiente a los cinco años anteriores.  Además, el elevado nivel de registros </w:t>
      </w:r>
      <w:r w:rsidRPr="00456D44">
        <w:rPr>
          <w:rFonts w:cs="Arial"/>
          <w:lang w:val="es-ES" w:eastAsia="ko-KR"/>
        </w:rPr>
        <w:lastRenderedPageBreak/>
        <w:t>alcanzado en 2015 (como consecuencia de la eliminación de los retrasos en la tramitación) tuvo como resultado que el nivel bienal de ingresos superara en un 6% el objetivo presupuestado.  En paralelo a estas actividades, se lograron importantes progresos esenciales en los otros ámbitos de reforma mencionados más arriba, especialmente en la atención al cliente, el control de calidad del examen y la continuidad de las operaciones, cuyos beneficios previsiblemente se materializarán en los próximos años.  Con la estabilización gradual del entorno operativo en 2015, también fue posible reorientar parte de la gestión hacia la mercadotecnia y la promoción, así como hacia la evolución estratégica del propio Sistema de Madrid.</w:t>
      </w:r>
    </w:p>
    <w:p w:rsidR="00320744" w:rsidRPr="00456D44" w:rsidRDefault="00320744" w:rsidP="00DC1333">
      <w:pPr>
        <w:pStyle w:val="ListParagraph"/>
        <w:tabs>
          <w:tab w:val="left" w:pos="709"/>
        </w:tabs>
        <w:ind w:left="0"/>
        <w:jc w:val="both"/>
        <w:rPr>
          <w:rFonts w:cs="Arial"/>
          <w:lang w:val="es-ES" w:eastAsia="ko-KR"/>
        </w:rPr>
      </w:pPr>
    </w:p>
    <w:p w:rsidR="00320744" w:rsidRPr="00456D44" w:rsidRDefault="00320744" w:rsidP="00320744">
      <w:pPr>
        <w:pStyle w:val="ListParagraph"/>
        <w:numPr>
          <w:ilvl w:val="0"/>
          <w:numId w:val="24"/>
        </w:numPr>
        <w:tabs>
          <w:tab w:val="left" w:pos="709"/>
        </w:tabs>
        <w:ind w:left="0" w:firstLine="0"/>
        <w:jc w:val="both"/>
        <w:rPr>
          <w:rFonts w:cs="Arial"/>
          <w:lang w:val="es-ES" w:eastAsia="ko-KR"/>
        </w:rPr>
      </w:pPr>
      <w:r w:rsidRPr="00456D44">
        <w:rPr>
          <w:rFonts w:cs="Arial"/>
          <w:lang w:val="es-ES" w:eastAsia="ko-KR"/>
        </w:rPr>
        <w:t xml:space="preserve">Tras la aplicación de las recomendaciones incluidas en la revisión independiente de los preparativos necesarios para instalar sistemas informáticos de apoyo administrativo más modernos en el Registro de Madrid, y en concreto, la puesta en marcha de programas adecuados de transformación operativa y de transformación de las TIC, se programó una prueba exhaustiva de aceptación, por parte de los usuarios, de los sistemas de apoyo administrativo modernizados y, en función del éxito del sistema definitivo y la prueba de los usuarios, se previó su implantación en marzo de 2016.  </w:t>
      </w:r>
      <w:r w:rsidRPr="00456D44">
        <w:rPr>
          <w:rFonts w:cs="Arial"/>
          <w:lang w:val="es-ES"/>
        </w:rPr>
        <w:t>En cuanto a los sistemas informáticos utilizados por los usuarios externos, la labor continuó según lo previsto</w:t>
      </w:r>
      <w:r w:rsidRPr="00456D44">
        <w:rPr>
          <w:rFonts w:cs="Arial"/>
          <w:lang w:val="es-ES" w:eastAsia="ko-KR"/>
        </w:rPr>
        <w:t xml:space="preserve">.  Se constataron avances en el desarrollo de un sistema de búsqueda reforzado, el </w:t>
      </w:r>
      <w:r w:rsidRPr="00456D44">
        <w:rPr>
          <w:rFonts w:cs="Arial"/>
          <w:i/>
          <w:lang w:val="es-ES" w:eastAsia="ko-KR"/>
        </w:rPr>
        <w:t>Madrid Monitor</w:t>
      </w:r>
      <w:r w:rsidRPr="00456D44">
        <w:rPr>
          <w:rFonts w:cs="Arial"/>
          <w:lang w:val="es-ES" w:eastAsia="ko-KR"/>
        </w:rPr>
        <w:t xml:space="preserve">, cuya implantación en modo de pruebas beta está prevista para el segundo semestre de 2016.  También se constataron avances en la actual evolución de la presencia del Sistema de Madrid en Internet, especialmente en lo relativo a la revisión de la funcionalidad del formulario </w:t>
      </w:r>
      <w:proofErr w:type="spellStart"/>
      <w:r w:rsidRPr="00456D44">
        <w:rPr>
          <w:rFonts w:cs="Arial"/>
          <w:i/>
          <w:lang w:val="es-ES" w:eastAsia="ko-KR"/>
        </w:rPr>
        <w:t>eRenewal</w:t>
      </w:r>
      <w:proofErr w:type="spellEnd"/>
      <w:r w:rsidRPr="00456D44">
        <w:rPr>
          <w:rFonts w:cs="Arial"/>
          <w:lang w:val="es-ES" w:eastAsia="ko-KR"/>
        </w:rPr>
        <w:t xml:space="preserve"> como consecuencia de las disposiciones incluidas en el nuevo marco jurídico.</w:t>
      </w:r>
    </w:p>
    <w:p w:rsidR="00320744" w:rsidRPr="00456D44" w:rsidRDefault="00320744" w:rsidP="00DC1333"/>
    <w:p w:rsidR="00320744" w:rsidRPr="00403D2C" w:rsidRDefault="00320744" w:rsidP="00DC1333">
      <w:pPr>
        <w:rPr>
          <w:sz w:val="20"/>
        </w:rPr>
      </w:pPr>
      <w:r w:rsidRPr="00403D2C">
        <w:rPr>
          <w:sz w:val="20"/>
        </w:rPr>
        <w:t>B.</w:t>
      </w:r>
      <w:r w:rsidRPr="00403D2C">
        <w:rPr>
          <w:sz w:val="20"/>
        </w:rPr>
        <w:tab/>
        <w:t>EL SISTEMA DE LISBOA</w:t>
      </w:r>
    </w:p>
    <w:p w:rsidR="00320744" w:rsidRPr="00456D44" w:rsidRDefault="00320744" w:rsidP="00DC1333">
      <w:pPr>
        <w:jc w:val="both"/>
      </w:pPr>
    </w:p>
    <w:p w:rsidR="00320744" w:rsidRPr="00456D44" w:rsidRDefault="00320744" w:rsidP="00320744">
      <w:pPr>
        <w:pStyle w:val="ListParagraph"/>
        <w:numPr>
          <w:ilvl w:val="0"/>
          <w:numId w:val="24"/>
        </w:numPr>
        <w:tabs>
          <w:tab w:val="left" w:pos="709"/>
        </w:tabs>
        <w:ind w:left="0" w:firstLine="0"/>
        <w:jc w:val="both"/>
        <w:rPr>
          <w:rFonts w:cs="Arial"/>
          <w:lang w:val="es-ES" w:eastAsia="ko-KR"/>
        </w:rPr>
      </w:pPr>
      <w:r w:rsidRPr="00456D44">
        <w:rPr>
          <w:rFonts w:cs="Arial"/>
          <w:lang w:val="es-ES" w:eastAsia="ko-KR"/>
        </w:rPr>
        <w:t>La Asamblea de la Unión de Lisboa encargó en 2009 al Grupo de Trabajo sobre el Desarrollo del Sistema de Lisboa que realizara una revisión completa del Sistema de Lisboa para hacerlo más atractivo para los usuarios y posibles nuevos miembros, manteniendo sus principios y objetivos.  Ante los avances realizados por el Grupo de Trabajo, la Asamblea de la Unión de Lisboa aprobó, en 2013, la convocación de una conferencia diplomática para la adopción en 2015 de un Arreglo de Lisboa revisado sobre las denominaciones de origen y las indicaciones geográficas.  En octubre de 2014, el Grupo de Trabajo concluyó su labor preparatoria.  Del 11 al 21 de mayo de 2015, se celebró en Ginebra la Conferencia Diplomática para la adopción de una nueva Acta del Arreglo de Lisboa, que el 20 de mayo de 2015 aprobó el Acta de Ginebra del Arreglo de Lisboa relativo a las Denominaciones de Origen y las Indicaciones Geográficas.</w:t>
      </w:r>
    </w:p>
    <w:p w:rsidR="00320744" w:rsidRPr="00456D44" w:rsidRDefault="00320744" w:rsidP="00DC1333">
      <w:pPr>
        <w:pStyle w:val="ListParagraph"/>
        <w:tabs>
          <w:tab w:val="left" w:pos="709"/>
        </w:tabs>
        <w:ind w:left="0"/>
        <w:jc w:val="both"/>
        <w:rPr>
          <w:rFonts w:cs="Arial"/>
          <w:lang w:val="es-ES" w:eastAsia="ko-KR"/>
        </w:rPr>
      </w:pPr>
    </w:p>
    <w:p w:rsidR="00320744" w:rsidRPr="00456D44" w:rsidRDefault="00320744" w:rsidP="00320744">
      <w:pPr>
        <w:pStyle w:val="ListParagraph"/>
        <w:numPr>
          <w:ilvl w:val="0"/>
          <w:numId w:val="24"/>
        </w:numPr>
        <w:tabs>
          <w:tab w:val="left" w:pos="567"/>
        </w:tabs>
        <w:ind w:left="0" w:firstLine="0"/>
        <w:jc w:val="both"/>
        <w:rPr>
          <w:rFonts w:cs="Arial"/>
          <w:lang w:val="es-ES" w:eastAsia="ko-KR"/>
        </w:rPr>
      </w:pPr>
      <w:r w:rsidRPr="00456D44">
        <w:rPr>
          <w:rFonts w:cs="Arial"/>
          <w:lang w:val="es-ES" w:eastAsia="ko-KR"/>
        </w:rPr>
        <w:t xml:space="preserve">El Registro de Lisboa recibió 115 nuevas solicitudes para el registro de denominaciones de origen, 105 declaraciones de concesión de protección y </w:t>
      </w:r>
      <w:r w:rsidR="00807DE6">
        <w:rPr>
          <w:rFonts w:cs="Arial"/>
          <w:lang w:val="es-ES" w:eastAsia="ko-KR"/>
        </w:rPr>
        <w:t>39</w:t>
      </w:r>
      <w:r w:rsidRPr="00456D44">
        <w:rPr>
          <w:rFonts w:cs="Arial"/>
          <w:lang w:val="es-ES" w:eastAsia="ko-KR"/>
        </w:rPr>
        <w:t xml:space="preserve"> declaraciones de denegación, l</w:t>
      </w:r>
      <w:r w:rsidR="00807DE6">
        <w:rPr>
          <w:rFonts w:cs="Arial"/>
          <w:lang w:val="es-ES" w:eastAsia="ko-KR"/>
        </w:rPr>
        <w:t>o que representa un total de 267</w:t>
      </w:r>
      <w:r w:rsidRPr="00456D44">
        <w:rPr>
          <w:rFonts w:cs="Arial"/>
          <w:lang w:val="es-ES" w:eastAsia="ko-KR"/>
        </w:rPr>
        <w:t xml:space="preserve"> transacciones (incluyendo la retirada de </w:t>
      </w:r>
      <w:r w:rsidR="00807DE6">
        <w:rPr>
          <w:rFonts w:cs="Arial"/>
          <w:lang w:val="es-ES" w:eastAsia="ko-KR"/>
        </w:rPr>
        <w:t>dos</w:t>
      </w:r>
      <w:r w:rsidRPr="00456D44">
        <w:rPr>
          <w:rFonts w:cs="Arial"/>
          <w:lang w:val="es-ES" w:eastAsia="ko-KR"/>
        </w:rPr>
        <w:t xml:space="preserve"> denegaci</w:t>
      </w:r>
      <w:r w:rsidR="00807DE6">
        <w:rPr>
          <w:rFonts w:cs="Arial"/>
          <w:lang w:val="es-ES" w:eastAsia="ko-KR"/>
        </w:rPr>
        <w:t>ones</w:t>
      </w:r>
      <w:r w:rsidRPr="00456D44">
        <w:rPr>
          <w:rFonts w:cs="Arial"/>
          <w:lang w:val="es-ES" w:eastAsia="ko-KR"/>
        </w:rPr>
        <w:t xml:space="preserve"> y </w:t>
      </w:r>
      <w:r w:rsidR="00807DE6">
        <w:rPr>
          <w:rFonts w:cs="Arial"/>
          <w:lang w:val="es-ES" w:eastAsia="ko-KR"/>
        </w:rPr>
        <w:t>seis</w:t>
      </w:r>
      <w:r w:rsidRPr="00456D44">
        <w:rPr>
          <w:rFonts w:cs="Arial"/>
          <w:lang w:val="es-ES" w:eastAsia="ko-KR"/>
        </w:rPr>
        <w:t xml:space="preserve"> correcciones).  El número total de registros en vigor aumentó de 816 en 2013 a 931 en el bienio.  </w:t>
      </w:r>
      <w:r w:rsidRPr="00456D44">
        <w:rPr>
          <w:rFonts w:cs="Arial"/>
          <w:lang w:val="es-ES"/>
        </w:rPr>
        <w:t>De ese total, 95 procedieron de países en desarrollo o PMA (14 de la región de los Países Árabes, 38 de Asia y el Pacífico, y 43 de América Latina y el Caribe).</w:t>
      </w:r>
    </w:p>
    <w:p w:rsidR="00320744" w:rsidRPr="00456D44" w:rsidRDefault="00320744" w:rsidP="00DC1333">
      <w:pPr>
        <w:pStyle w:val="ListParagraph"/>
        <w:tabs>
          <w:tab w:val="left" w:pos="709"/>
        </w:tabs>
        <w:ind w:left="0"/>
        <w:jc w:val="both"/>
        <w:rPr>
          <w:rFonts w:cs="Arial"/>
          <w:lang w:val="es-ES" w:eastAsia="ko-KR"/>
        </w:rPr>
      </w:pPr>
    </w:p>
    <w:p w:rsidR="00320744" w:rsidRPr="00456D44" w:rsidRDefault="00320744" w:rsidP="00320744">
      <w:pPr>
        <w:pStyle w:val="ListParagraph"/>
        <w:numPr>
          <w:ilvl w:val="0"/>
          <w:numId w:val="24"/>
        </w:numPr>
        <w:tabs>
          <w:tab w:val="left" w:pos="567"/>
        </w:tabs>
        <w:ind w:left="0" w:firstLine="0"/>
        <w:jc w:val="both"/>
        <w:rPr>
          <w:rFonts w:cs="Arial"/>
          <w:lang w:val="es-ES"/>
        </w:rPr>
      </w:pPr>
      <w:r w:rsidRPr="00456D44">
        <w:rPr>
          <w:rFonts w:cs="Arial"/>
          <w:lang w:val="es-ES"/>
        </w:rPr>
        <w:t xml:space="preserve">El número de administraciones competentes que habían aprobado el uso de medios electrónicos para las comunicaciones en virtud de los procedimientos del Sistema de Lisboa aumentó a 26 a fines de 2015, respecto de 23 en 2013.  En 2014, se completó y puso en marcha la interfaz electrónica entre el Registro Internacional y la base de datos </w:t>
      </w:r>
      <w:proofErr w:type="spellStart"/>
      <w:r w:rsidRPr="00456D44">
        <w:rPr>
          <w:rFonts w:cs="Arial"/>
          <w:i/>
          <w:lang w:val="es-ES"/>
        </w:rPr>
        <w:t>Lisbon</w:t>
      </w:r>
      <w:proofErr w:type="spellEnd"/>
      <w:r w:rsidRPr="00456D44">
        <w:rPr>
          <w:rFonts w:cs="Arial"/>
          <w:i/>
          <w:lang w:val="es-ES"/>
        </w:rPr>
        <w:t xml:space="preserve"> Express</w:t>
      </w:r>
      <w:r w:rsidRPr="00456D44">
        <w:rPr>
          <w:rFonts w:cs="Arial"/>
          <w:lang w:val="es-ES"/>
        </w:rPr>
        <w:t xml:space="preserve"> en el sitio web de la OMPI.  </w:t>
      </w:r>
      <w:r w:rsidRPr="00456D44">
        <w:rPr>
          <w:rFonts w:cs="Arial"/>
          <w:bCs/>
          <w:lang w:val="es-ES"/>
        </w:rPr>
        <w:t xml:space="preserve">Se siguió integrando el procedimiento de notificación a través del uso del sistema de control de solicitudes (WINS) de la OMPI. </w:t>
      </w:r>
      <w:r w:rsidRPr="00456D44">
        <w:rPr>
          <w:rFonts w:cs="Arial"/>
          <w:lang w:val="es-ES"/>
        </w:rPr>
        <w:t xml:space="preserve"> Tras los nuevos avances logrados en 2015 para la creación de un sistema electrónico de generación de cartas de notificación, se puso en marcha una fase de pruebas.</w:t>
      </w:r>
    </w:p>
    <w:p w:rsidR="00320744" w:rsidRPr="00456D44" w:rsidRDefault="00320744" w:rsidP="00DC1333">
      <w:pPr>
        <w:pStyle w:val="ListParagraph"/>
        <w:rPr>
          <w:rFonts w:cs="Arial"/>
          <w:lang w:val="es-ES"/>
        </w:rPr>
      </w:pPr>
    </w:p>
    <w:p w:rsidR="00320744" w:rsidRPr="00456D44" w:rsidRDefault="00320744" w:rsidP="00320744">
      <w:pPr>
        <w:pStyle w:val="ListParagraph"/>
        <w:numPr>
          <w:ilvl w:val="0"/>
          <w:numId w:val="24"/>
        </w:numPr>
        <w:tabs>
          <w:tab w:val="left" w:pos="567"/>
        </w:tabs>
        <w:ind w:left="0" w:firstLine="0"/>
        <w:jc w:val="both"/>
        <w:rPr>
          <w:rFonts w:cs="Arial"/>
          <w:lang w:val="es-ES"/>
        </w:rPr>
      </w:pPr>
      <w:r w:rsidRPr="00456D44">
        <w:rPr>
          <w:rFonts w:cs="Arial"/>
          <w:lang w:val="es-ES"/>
        </w:rPr>
        <w:t xml:space="preserve">Con respecto al fomento de la sensibilización acerca del Sistema de Lisboa, la Oficina Internacional organizó y/o participó en siete eventos de información y promoción en todas las regiones, especialmente dedicados al Sistema de Lisboa, incluida su revisión prevista.  </w:t>
      </w:r>
    </w:p>
    <w:p w:rsidR="00320744" w:rsidRPr="00456D44" w:rsidRDefault="00320744" w:rsidP="00DC1333">
      <w:pPr>
        <w:jc w:val="both"/>
      </w:pPr>
    </w:p>
    <w:p w:rsidR="00320744" w:rsidRPr="00456D44" w:rsidRDefault="00320744" w:rsidP="00320744">
      <w:pPr>
        <w:pStyle w:val="ListParagraph"/>
        <w:numPr>
          <w:ilvl w:val="0"/>
          <w:numId w:val="24"/>
        </w:numPr>
        <w:tabs>
          <w:tab w:val="left" w:pos="567"/>
        </w:tabs>
        <w:ind w:left="0" w:firstLine="0"/>
        <w:jc w:val="both"/>
        <w:rPr>
          <w:rFonts w:cs="Arial"/>
          <w:lang w:val="es-ES" w:eastAsia="ko-KR"/>
        </w:rPr>
      </w:pPr>
      <w:r w:rsidRPr="00456D44">
        <w:rPr>
          <w:rFonts w:cs="Arial"/>
          <w:lang w:val="es-ES"/>
        </w:rPr>
        <w:t>El diseño, la planificación y la ejecución de las actividades del programa 6 se basaron en las recomendaciones pertinentes de la Agenda para el Desarrollo y se guiaron por ellas, en particular por las recomendaciones 1 y 6.  Además, la asistencia legislativa ofrecida a los Estados miembros estuvo orientada al desarrollo, fue ponderada y adaptada a las solicitudes específicas de cada Estado miembro, de conformidad con los principios de la Agenda para el Desarrollo (recomendación 13), y tuvo en cuenta las flexibilidades aplicables a los países según sus distintos niveles de desarrollo (recomendaciones 14 y 17).</w:t>
      </w:r>
    </w:p>
    <w:p w:rsidR="00320744" w:rsidRPr="00456D44" w:rsidRDefault="008F7CBE" w:rsidP="00DC1333">
      <w:pPr>
        <w:keepNext/>
        <w:keepLines/>
        <w:rPr>
          <w:szCs w:val="22"/>
        </w:rPr>
      </w:pPr>
      <w:r w:rsidRPr="008F7CBE">
        <w:rPr>
          <w:sz w:val="20"/>
          <w:szCs w:val="22"/>
        </w:rPr>
        <w:lastRenderedPageBreak/>
        <w:t>DATOS SOBRE EL RENDIMIENTO</w:t>
      </w:r>
    </w:p>
    <w:p w:rsidR="00320744" w:rsidRPr="00456D44" w:rsidRDefault="00320744" w:rsidP="00DC1333">
      <w:pPr>
        <w:keepNext/>
        <w:keepLines/>
        <w:rPr>
          <w:szCs w:val="18"/>
        </w:rPr>
      </w:pPr>
    </w:p>
    <w:tbl>
      <w:tblPr>
        <w:tblW w:w="4866"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056"/>
        <w:gridCol w:w="2602"/>
        <w:gridCol w:w="1509"/>
        <w:gridCol w:w="2191"/>
        <w:gridCol w:w="956"/>
      </w:tblGrid>
      <w:tr w:rsidR="00320744" w:rsidRPr="00456D44" w:rsidTr="00DC1333">
        <w:trPr>
          <w:cantSplit/>
          <w:trHeight w:val="392"/>
        </w:trPr>
        <w:tc>
          <w:tcPr>
            <w:tcW w:w="5000" w:type="pct"/>
            <w:gridSpan w:val="5"/>
            <w:tcBorders>
              <w:top w:val="single" w:sz="4" w:space="0" w:color="auto"/>
              <w:bottom w:val="single" w:sz="4" w:space="0" w:color="auto"/>
            </w:tcBorders>
            <w:shd w:val="clear" w:color="auto" w:fill="C6D9F1" w:themeFill="text2" w:themeFillTint="33"/>
            <w:vAlign w:val="center"/>
          </w:tcPr>
          <w:p w:rsidR="00320744" w:rsidRPr="00456D44" w:rsidRDefault="00320744" w:rsidP="00DC1333">
            <w:pPr>
              <w:keepNext/>
              <w:widowControl w:val="0"/>
              <w:ind w:left="2019" w:hanging="2019"/>
              <w:rPr>
                <w:b/>
                <w:bCs/>
                <w:sz w:val="16"/>
                <w:szCs w:val="16"/>
              </w:rPr>
            </w:pPr>
            <w:r w:rsidRPr="00456D44">
              <w:rPr>
                <w:b/>
                <w:bCs/>
                <w:sz w:val="16"/>
                <w:szCs w:val="16"/>
              </w:rPr>
              <w:t>Resultado previsto:</w:t>
            </w:r>
            <w:r w:rsidRPr="00456D44">
              <w:rPr>
                <w:bCs/>
                <w:sz w:val="16"/>
                <w:szCs w:val="16"/>
              </w:rPr>
              <w:tab/>
              <w:t>II. 6 Mayor y más eficaz utilización de los Sistemas de Madrid y de Lisboa por los países en desarrollo y los PMA, entre otros</w:t>
            </w:r>
          </w:p>
        </w:tc>
      </w:tr>
      <w:tr w:rsidR="00320744" w:rsidRPr="00456D44" w:rsidTr="00DC1333">
        <w:trPr>
          <w:cantSplit/>
        </w:trPr>
        <w:tc>
          <w:tcPr>
            <w:tcW w:w="1104" w:type="pct"/>
            <w:tcBorders>
              <w:top w:val="single" w:sz="4" w:space="0" w:color="auto"/>
              <w:left w:val="single" w:sz="4" w:space="0" w:color="auto"/>
              <w:bottom w:val="nil"/>
            </w:tcBorders>
            <w:shd w:val="clear" w:color="auto" w:fill="auto"/>
            <w:vAlign w:val="center"/>
          </w:tcPr>
          <w:p w:rsidR="00320744" w:rsidRPr="00456D44" w:rsidRDefault="00320744" w:rsidP="00DC1333">
            <w:pPr>
              <w:keepNext/>
              <w:keepLines/>
              <w:rPr>
                <w:sz w:val="16"/>
                <w:szCs w:val="16"/>
              </w:rPr>
            </w:pPr>
            <w:r w:rsidRPr="00456D44">
              <w:rPr>
                <w:b/>
                <w:bCs/>
                <w:sz w:val="16"/>
                <w:szCs w:val="16"/>
              </w:rPr>
              <w:t>Indicadores de rendimiento</w:t>
            </w:r>
          </w:p>
        </w:tc>
        <w:tc>
          <w:tcPr>
            <w:tcW w:w="1397" w:type="pct"/>
            <w:tcBorders>
              <w:top w:val="single" w:sz="4" w:space="0" w:color="auto"/>
              <w:bottom w:val="nil"/>
            </w:tcBorders>
            <w:shd w:val="clear" w:color="auto" w:fill="auto"/>
            <w:vAlign w:val="center"/>
          </w:tcPr>
          <w:p w:rsidR="00320744" w:rsidRPr="00456D44" w:rsidRDefault="00320744" w:rsidP="00DC1333">
            <w:pPr>
              <w:keepNext/>
              <w:keepLines/>
              <w:rPr>
                <w:b/>
                <w:bCs/>
                <w:sz w:val="16"/>
                <w:szCs w:val="16"/>
              </w:rPr>
            </w:pPr>
            <w:r w:rsidRPr="00456D44">
              <w:rPr>
                <w:b/>
                <w:bCs/>
                <w:sz w:val="16"/>
                <w:szCs w:val="16"/>
              </w:rPr>
              <w:t>Referencia</w:t>
            </w:r>
          </w:p>
        </w:tc>
        <w:tc>
          <w:tcPr>
            <w:tcW w:w="810" w:type="pct"/>
            <w:tcBorders>
              <w:top w:val="single" w:sz="4" w:space="0" w:color="auto"/>
              <w:bottom w:val="nil"/>
            </w:tcBorders>
            <w:shd w:val="clear" w:color="auto" w:fill="auto"/>
            <w:tcMar>
              <w:top w:w="110" w:type="dxa"/>
            </w:tcMar>
            <w:vAlign w:val="center"/>
          </w:tcPr>
          <w:p w:rsidR="00320744" w:rsidRPr="00456D44" w:rsidRDefault="00320744" w:rsidP="00DC1333">
            <w:pPr>
              <w:keepNext/>
              <w:keepLines/>
              <w:rPr>
                <w:b/>
                <w:sz w:val="16"/>
                <w:szCs w:val="16"/>
              </w:rPr>
            </w:pPr>
            <w:r w:rsidRPr="00456D44">
              <w:rPr>
                <w:b/>
                <w:sz w:val="16"/>
                <w:szCs w:val="16"/>
              </w:rPr>
              <w:t>Objetivos</w:t>
            </w:r>
          </w:p>
        </w:tc>
        <w:tc>
          <w:tcPr>
            <w:tcW w:w="1176" w:type="pct"/>
            <w:tcBorders>
              <w:top w:val="single" w:sz="4" w:space="0" w:color="auto"/>
              <w:bottom w:val="nil"/>
            </w:tcBorders>
            <w:shd w:val="clear" w:color="auto" w:fill="FFFFFF"/>
            <w:tcMar>
              <w:top w:w="110" w:type="dxa"/>
            </w:tcMar>
            <w:vAlign w:val="center"/>
          </w:tcPr>
          <w:p w:rsidR="00320744" w:rsidRPr="00456D44" w:rsidRDefault="00320744" w:rsidP="00DC1333">
            <w:pPr>
              <w:keepNext/>
              <w:keepLines/>
              <w:rPr>
                <w:sz w:val="16"/>
                <w:szCs w:val="16"/>
              </w:rPr>
            </w:pPr>
            <w:r w:rsidRPr="00456D44">
              <w:rPr>
                <w:b/>
                <w:bCs/>
                <w:sz w:val="16"/>
                <w:szCs w:val="16"/>
              </w:rPr>
              <w:t>Datos sobre el rendimiento</w:t>
            </w:r>
          </w:p>
        </w:tc>
        <w:tc>
          <w:tcPr>
            <w:tcW w:w="513" w:type="pct"/>
            <w:tcBorders>
              <w:top w:val="single" w:sz="4" w:space="0" w:color="auto"/>
              <w:bottom w:val="nil"/>
              <w:right w:val="single" w:sz="4" w:space="0" w:color="auto"/>
            </w:tcBorders>
            <w:shd w:val="clear" w:color="auto" w:fill="auto"/>
            <w:tcMar>
              <w:top w:w="110" w:type="dxa"/>
            </w:tcMar>
            <w:vAlign w:val="center"/>
          </w:tcPr>
          <w:p w:rsidR="00320744" w:rsidRPr="00456D44" w:rsidRDefault="00320744" w:rsidP="00DC1333">
            <w:pPr>
              <w:keepNext/>
              <w:keepLines/>
              <w:jc w:val="center"/>
              <w:rPr>
                <w:b/>
                <w:bCs/>
                <w:sz w:val="16"/>
                <w:szCs w:val="16"/>
              </w:rPr>
            </w:pPr>
            <w:r w:rsidRPr="00456D44">
              <w:rPr>
                <w:b/>
                <w:bCs/>
                <w:sz w:val="16"/>
                <w:szCs w:val="16"/>
              </w:rPr>
              <w:t>Clave de colores</w:t>
            </w:r>
          </w:p>
        </w:tc>
      </w:tr>
      <w:tr w:rsidR="00320744" w:rsidRPr="00456D44" w:rsidTr="00DC1333">
        <w:trPr>
          <w:cantSplit/>
        </w:trPr>
        <w:tc>
          <w:tcPr>
            <w:tcW w:w="1104" w:type="pct"/>
            <w:tcBorders>
              <w:top w:val="nil"/>
              <w:left w:val="single" w:sz="4" w:space="0" w:color="auto"/>
              <w:bottom w:val="nil"/>
            </w:tcBorders>
            <w:shd w:val="clear" w:color="auto" w:fill="auto"/>
          </w:tcPr>
          <w:p w:rsidR="00320744" w:rsidRPr="00456D44" w:rsidRDefault="00320744" w:rsidP="00DC1333">
            <w:pPr>
              <w:rPr>
                <w:sz w:val="16"/>
                <w:szCs w:val="16"/>
              </w:rPr>
            </w:pPr>
            <w:r w:rsidRPr="00456D44">
              <w:rPr>
                <w:sz w:val="16"/>
                <w:szCs w:val="16"/>
              </w:rPr>
              <w:t>Ampliación del alcance geográfico (Madrid)</w:t>
            </w:r>
          </w:p>
        </w:tc>
        <w:tc>
          <w:tcPr>
            <w:tcW w:w="1397" w:type="pct"/>
            <w:tcBorders>
              <w:top w:val="nil"/>
              <w:bottom w:val="nil"/>
            </w:tcBorders>
            <w:shd w:val="clear" w:color="auto" w:fill="auto"/>
          </w:tcPr>
          <w:p w:rsidR="00320744" w:rsidRPr="00456D44" w:rsidRDefault="00320744" w:rsidP="00DC1333">
            <w:pPr>
              <w:widowControl w:val="0"/>
              <w:rPr>
                <w:color w:val="002060"/>
                <w:sz w:val="16"/>
                <w:szCs w:val="16"/>
              </w:rPr>
            </w:pPr>
            <w:r w:rsidRPr="00456D44">
              <w:rPr>
                <w:i/>
                <w:color w:val="002060"/>
                <w:sz w:val="16"/>
                <w:szCs w:val="16"/>
              </w:rPr>
              <w:t xml:space="preserve">Referencia actualizada a fines de 2013:  </w:t>
            </w:r>
            <w:r w:rsidRPr="00456D44">
              <w:rPr>
                <w:color w:val="002060"/>
                <w:sz w:val="16"/>
                <w:szCs w:val="16"/>
              </w:rPr>
              <w:t>92 Partes Contratantes en el Sistema de Madrid (fin de 2013)</w:t>
            </w:r>
          </w:p>
          <w:p w:rsidR="00320744" w:rsidRPr="00456D44" w:rsidRDefault="00320744" w:rsidP="00DC1333">
            <w:pPr>
              <w:widowControl w:val="0"/>
              <w:rPr>
                <w:sz w:val="8"/>
                <w:szCs w:val="8"/>
              </w:rPr>
            </w:pPr>
          </w:p>
          <w:p w:rsidR="00320744" w:rsidRPr="00456D44" w:rsidRDefault="00320744" w:rsidP="00DC1333">
            <w:pPr>
              <w:rPr>
                <w:sz w:val="16"/>
                <w:szCs w:val="16"/>
              </w:rPr>
            </w:pPr>
            <w:r w:rsidRPr="00456D44">
              <w:rPr>
                <w:i/>
                <w:sz w:val="16"/>
                <w:szCs w:val="16"/>
              </w:rPr>
              <w:t xml:space="preserve">Referencia original en el presupuesto de 2014/15: </w:t>
            </w:r>
            <w:r w:rsidRPr="00456D44">
              <w:rPr>
                <w:sz w:val="16"/>
                <w:szCs w:val="16"/>
              </w:rPr>
              <w:t>El nº de Partes Contratantes a fines de 2013</w:t>
            </w:r>
          </w:p>
          <w:p w:rsidR="00320744" w:rsidRPr="00456D44" w:rsidRDefault="00320744" w:rsidP="00DC1333">
            <w:pPr>
              <w:rPr>
                <w:sz w:val="16"/>
                <w:szCs w:val="16"/>
              </w:rPr>
            </w:pPr>
          </w:p>
        </w:tc>
        <w:tc>
          <w:tcPr>
            <w:tcW w:w="810" w:type="pct"/>
            <w:tcBorders>
              <w:top w:val="nil"/>
              <w:bottom w:val="nil"/>
            </w:tcBorders>
            <w:shd w:val="clear" w:color="auto" w:fill="auto"/>
            <w:tcMar>
              <w:top w:w="110" w:type="dxa"/>
            </w:tcMar>
          </w:tcPr>
          <w:p w:rsidR="00320744" w:rsidRPr="00456D44" w:rsidRDefault="00320744" w:rsidP="00DC1333">
            <w:pPr>
              <w:rPr>
                <w:b/>
                <w:sz w:val="16"/>
                <w:szCs w:val="16"/>
              </w:rPr>
            </w:pPr>
            <w:r w:rsidRPr="00456D44">
              <w:rPr>
                <w:sz w:val="16"/>
                <w:szCs w:val="16"/>
              </w:rPr>
              <w:t>Un total de 100 Partes Contratantes a fines de 2015</w:t>
            </w:r>
          </w:p>
        </w:tc>
        <w:tc>
          <w:tcPr>
            <w:tcW w:w="1176" w:type="pct"/>
            <w:tcBorders>
              <w:top w:val="nil"/>
              <w:bottom w:val="nil"/>
            </w:tcBorders>
            <w:shd w:val="clear" w:color="auto" w:fill="FFFFFF"/>
            <w:tcMar>
              <w:top w:w="110" w:type="dxa"/>
            </w:tcMar>
          </w:tcPr>
          <w:p w:rsidR="00320744" w:rsidRPr="00456D44" w:rsidRDefault="00320744" w:rsidP="00DC1333">
            <w:pPr>
              <w:rPr>
                <w:color w:val="000000" w:themeColor="text1"/>
                <w:sz w:val="16"/>
                <w:szCs w:val="16"/>
              </w:rPr>
            </w:pPr>
            <w:r w:rsidRPr="00456D44">
              <w:rPr>
                <w:color w:val="000000" w:themeColor="text1"/>
                <w:sz w:val="16"/>
                <w:szCs w:val="16"/>
              </w:rPr>
              <w:t>97 Partes Contratantes a fines de 2015, que abarcan 113 países</w:t>
            </w:r>
          </w:p>
        </w:tc>
        <w:tc>
          <w:tcPr>
            <w:tcW w:w="513" w:type="pct"/>
            <w:tcBorders>
              <w:top w:val="nil"/>
              <w:bottom w:val="nil"/>
              <w:right w:val="single" w:sz="4" w:space="0" w:color="auto"/>
            </w:tcBorders>
            <w:shd w:val="clear" w:color="auto" w:fill="auto"/>
            <w:tcMar>
              <w:top w:w="110" w:type="dxa"/>
            </w:tcMar>
          </w:tcPr>
          <w:p w:rsidR="00320744" w:rsidRPr="00456D44" w:rsidRDefault="00320744" w:rsidP="00DC1333">
            <w:pPr>
              <w:keepNext/>
              <w:keepLines/>
              <w:jc w:val="center"/>
              <w:rPr>
                <w:b/>
                <w:bCs/>
                <w:color w:val="00B050"/>
                <w:sz w:val="12"/>
                <w:szCs w:val="12"/>
              </w:rPr>
            </w:pPr>
            <w:r w:rsidRPr="00456D44">
              <w:rPr>
                <w:b/>
                <w:color w:val="00B050"/>
                <w:sz w:val="12"/>
                <w:szCs w:val="12"/>
              </w:rPr>
              <w:t>Plenamente logrado</w:t>
            </w:r>
          </w:p>
        </w:tc>
      </w:tr>
      <w:tr w:rsidR="00320744" w:rsidRPr="00456D44" w:rsidTr="00DC1333">
        <w:trPr>
          <w:cantSplit/>
        </w:trPr>
        <w:tc>
          <w:tcPr>
            <w:tcW w:w="1104" w:type="pct"/>
            <w:tcBorders>
              <w:top w:val="nil"/>
              <w:left w:val="single" w:sz="4" w:space="0" w:color="auto"/>
              <w:bottom w:val="nil"/>
            </w:tcBorders>
            <w:shd w:val="clear" w:color="auto" w:fill="auto"/>
          </w:tcPr>
          <w:p w:rsidR="00320744" w:rsidRPr="00456D44" w:rsidRDefault="00320744" w:rsidP="00DC1333">
            <w:pPr>
              <w:widowControl w:val="0"/>
              <w:rPr>
                <w:sz w:val="16"/>
                <w:szCs w:val="16"/>
              </w:rPr>
            </w:pPr>
            <w:r w:rsidRPr="00456D44">
              <w:rPr>
                <w:sz w:val="16"/>
                <w:szCs w:val="16"/>
              </w:rPr>
              <w:t>Ampliación del alcance geográfico (Lisboa)</w:t>
            </w:r>
          </w:p>
        </w:tc>
        <w:tc>
          <w:tcPr>
            <w:tcW w:w="1397" w:type="pct"/>
            <w:tcBorders>
              <w:top w:val="nil"/>
              <w:bottom w:val="nil"/>
            </w:tcBorders>
            <w:shd w:val="clear" w:color="auto" w:fill="auto"/>
          </w:tcPr>
          <w:p w:rsidR="00320744" w:rsidRPr="00456D44" w:rsidRDefault="00320744" w:rsidP="00DC1333">
            <w:pPr>
              <w:widowControl w:val="0"/>
              <w:rPr>
                <w:i/>
                <w:color w:val="002060"/>
                <w:sz w:val="16"/>
                <w:szCs w:val="16"/>
              </w:rPr>
            </w:pPr>
            <w:r w:rsidRPr="00456D44">
              <w:rPr>
                <w:i/>
                <w:color w:val="002060"/>
                <w:sz w:val="16"/>
                <w:szCs w:val="16"/>
              </w:rPr>
              <w:t>Referencia actualizada a fines de 2013: 28</w:t>
            </w:r>
            <w:r w:rsidRPr="00456D44">
              <w:rPr>
                <w:color w:val="002060"/>
                <w:sz w:val="16"/>
                <w:szCs w:val="16"/>
              </w:rPr>
              <w:t xml:space="preserve"> Partes (fin de 2013)</w:t>
            </w:r>
            <w:r w:rsidRPr="00456D44">
              <w:rPr>
                <w:color w:val="002060"/>
                <w:sz w:val="16"/>
                <w:szCs w:val="16"/>
              </w:rPr>
              <w:br/>
            </w:r>
            <w:r w:rsidRPr="00456D44">
              <w:rPr>
                <w:color w:val="002060"/>
                <w:sz w:val="16"/>
                <w:szCs w:val="16"/>
              </w:rPr>
              <w:br/>
            </w:r>
            <w:r w:rsidRPr="00456D44">
              <w:rPr>
                <w:i/>
                <w:sz w:val="16"/>
                <w:szCs w:val="16"/>
              </w:rPr>
              <w:t>Referencia original en el presupuesto de 2013/14:</w:t>
            </w:r>
            <w:r w:rsidRPr="00456D44">
              <w:rPr>
                <w:sz w:val="16"/>
                <w:szCs w:val="16"/>
              </w:rPr>
              <w:t>28 (abril de 2013)</w:t>
            </w:r>
          </w:p>
        </w:tc>
        <w:tc>
          <w:tcPr>
            <w:tcW w:w="810" w:type="pct"/>
            <w:tcBorders>
              <w:top w:val="nil"/>
              <w:bottom w:val="nil"/>
            </w:tcBorders>
            <w:shd w:val="clear" w:color="auto" w:fill="auto"/>
            <w:tcMar>
              <w:top w:w="110" w:type="dxa"/>
            </w:tcMar>
          </w:tcPr>
          <w:p w:rsidR="00320744" w:rsidRPr="00456D44" w:rsidRDefault="00320744" w:rsidP="00DC1333">
            <w:pPr>
              <w:rPr>
                <w:sz w:val="16"/>
                <w:szCs w:val="16"/>
              </w:rPr>
            </w:pPr>
            <w:r w:rsidRPr="00456D44">
              <w:rPr>
                <w:sz w:val="16"/>
                <w:szCs w:val="16"/>
              </w:rPr>
              <w:t>32</w:t>
            </w:r>
          </w:p>
        </w:tc>
        <w:tc>
          <w:tcPr>
            <w:tcW w:w="1176" w:type="pct"/>
            <w:tcBorders>
              <w:top w:val="nil"/>
              <w:bottom w:val="nil"/>
            </w:tcBorders>
            <w:shd w:val="clear" w:color="auto" w:fill="FFFFFF"/>
            <w:tcMar>
              <w:top w:w="110" w:type="dxa"/>
            </w:tcMar>
          </w:tcPr>
          <w:p w:rsidR="00320744" w:rsidRPr="00456D44" w:rsidRDefault="00320744" w:rsidP="00DC1333">
            <w:pPr>
              <w:rPr>
                <w:sz w:val="16"/>
                <w:szCs w:val="16"/>
                <w:lang w:bidi="th-TH"/>
              </w:rPr>
            </w:pPr>
            <w:r w:rsidRPr="00456D44">
              <w:rPr>
                <w:sz w:val="16"/>
                <w:szCs w:val="16"/>
              </w:rPr>
              <w:t>No hubo nuevas Partes Contratantes</w:t>
            </w:r>
          </w:p>
        </w:tc>
        <w:tc>
          <w:tcPr>
            <w:tcW w:w="513" w:type="pct"/>
            <w:tcBorders>
              <w:top w:val="nil"/>
              <w:bottom w:val="nil"/>
              <w:right w:val="single" w:sz="4" w:space="0" w:color="auto"/>
            </w:tcBorders>
            <w:shd w:val="clear" w:color="auto" w:fill="auto"/>
            <w:tcMar>
              <w:top w:w="110" w:type="dxa"/>
            </w:tcMar>
          </w:tcPr>
          <w:p w:rsidR="00320744" w:rsidRPr="00456D44" w:rsidRDefault="00320744" w:rsidP="00DC1333">
            <w:pPr>
              <w:keepNext/>
              <w:keepLines/>
              <w:jc w:val="center"/>
              <w:rPr>
                <w:rStyle w:val="Style5"/>
                <w:sz w:val="12"/>
                <w:szCs w:val="12"/>
              </w:rPr>
            </w:pPr>
            <w:r w:rsidRPr="00456D44">
              <w:rPr>
                <w:b/>
                <w:color w:val="FF0000"/>
                <w:sz w:val="12"/>
                <w:szCs w:val="12"/>
              </w:rPr>
              <w:t>No logrado</w:t>
            </w:r>
          </w:p>
        </w:tc>
      </w:tr>
      <w:tr w:rsidR="00320744" w:rsidRPr="00456D44" w:rsidTr="00DC1333">
        <w:trPr>
          <w:cantSplit/>
        </w:trPr>
        <w:tc>
          <w:tcPr>
            <w:tcW w:w="1104" w:type="pct"/>
            <w:tcBorders>
              <w:top w:val="nil"/>
              <w:left w:val="single" w:sz="4" w:space="0" w:color="auto"/>
              <w:bottom w:val="nil"/>
            </w:tcBorders>
            <w:shd w:val="clear" w:color="auto" w:fill="auto"/>
          </w:tcPr>
          <w:p w:rsidR="00320744" w:rsidRPr="00456D44" w:rsidRDefault="00320744" w:rsidP="00DC1333">
            <w:pPr>
              <w:widowControl w:val="0"/>
              <w:rPr>
                <w:sz w:val="16"/>
                <w:szCs w:val="16"/>
              </w:rPr>
            </w:pPr>
            <w:r w:rsidRPr="00456D44">
              <w:rPr>
                <w:sz w:val="16"/>
                <w:szCs w:val="16"/>
              </w:rPr>
              <w:t>Adopción de disposiciones que agilicen o modernicen el marco jurídico del Sistema de Lisboa</w:t>
            </w:r>
          </w:p>
          <w:p w:rsidR="00320744" w:rsidRPr="00456D44" w:rsidRDefault="00320744" w:rsidP="00DC1333">
            <w:pPr>
              <w:widowControl w:val="0"/>
              <w:rPr>
                <w:sz w:val="16"/>
                <w:szCs w:val="16"/>
              </w:rPr>
            </w:pPr>
          </w:p>
          <w:p w:rsidR="00320744" w:rsidRPr="00456D44" w:rsidRDefault="00320744" w:rsidP="00DC1333">
            <w:pPr>
              <w:widowControl w:val="0"/>
              <w:rPr>
                <w:sz w:val="16"/>
                <w:szCs w:val="16"/>
              </w:rPr>
            </w:pPr>
          </w:p>
        </w:tc>
        <w:tc>
          <w:tcPr>
            <w:tcW w:w="1397" w:type="pct"/>
            <w:tcBorders>
              <w:top w:val="nil"/>
              <w:bottom w:val="nil"/>
            </w:tcBorders>
            <w:shd w:val="clear" w:color="auto" w:fill="auto"/>
          </w:tcPr>
          <w:p w:rsidR="00320744" w:rsidRPr="00456D44" w:rsidRDefault="00320744" w:rsidP="00DC1333">
            <w:pPr>
              <w:widowControl w:val="0"/>
              <w:rPr>
                <w:color w:val="002060"/>
                <w:sz w:val="16"/>
                <w:szCs w:val="16"/>
              </w:rPr>
            </w:pPr>
            <w:r w:rsidRPr="00456D44">
              <w:rPr>
                <w:i/>
                <w:color w:val="002060"/>
                <w:sz w:val="16"/>
                <w:szCs w:val="16"/>
              </w:rPr>
              <w:t xml:space="preserve">Referencia actualizada a fines de 2013:  </w:t>
            </w:r>
            <w:r w:rsidRPr="00456D44">
              <w:rPr>
                <w:color w:val="002060"/>
                <w:sz w:val="16"/>
                <w:szCs w:val="16"/>
              </w:rPr>
              <w:t>El Grupo de Trabajo sobre el Desarrollo del Arreglo de Lisboa está preparando una revisión del Arreglo de Lisboa así como modificaciones del Reglamento de dicho Arreglo.</w:t>
            </w:r>
          </w:p>
          <w:p w:rsidR="00320744" w:rsidRPr="00456D44" w:rsidRDefault="00320744" w:rsidP="00DC1333">
            <w:pPr>
              <w:widowControl w:val="0"/>
              <w:rPr>
                <w:i/>
                <w:sz w:val="8"/>
                <w:szCs w:val="8"/>
              </w:rPr>
            </w:pPr>
          </w:p>
          <w:p w:rsidR="00320744" w:rsidRPr="00456D44" w:rsidRDefault="00320744" w:rsidP="00DC1333">
            <w:pPr>
              <w:widowControl w:val="0"/>
              <w:rPr>
                <w:sz w:val="16"/>
                <w:szCs w:val="16"/>
              </w:rPr>
            </w:pPr>
            <w:r w:rsidRPr="00456D44">
              <w:rPr>
                <w:i/>
                <w:sz w:val="16"/>
                <w:szCs w:val="16"/>
              </w:rPr>
              <w:t>Referencia original en el presupuesto de 2013/14:</w:t>
            </w:r>
            <w:r w:rsidRPr="00456D44">
              <w:rPr>
                <w:sz w:val="16"/>
                <w:szCs w:val="16"/>
              </w:rPr>
              <w:t xml:space="preserve">  El Arreglo, su Reglamento y las Instrucciones Administrativas vigentes a fines de 2013</w:t>
            </w:r>
          </w:p>
        </w:tc>
        <w:tc>
          <w:tcPr>
            <w:tcW w:w="810" w:type="pct"/>
            <w:tcBorders>
              <w:top w:val="nil"/>
              <w:bottom w:val="nil"/>
            </w:tcBorders>
            <w:shd w:val="clear" w:color="auto" w:fill="auto"/>
            <w:tcMar>
              <w:top w:w="110" w:type="dxa"/>
            </w:tcMar>
          </w:tcPr>
          <w:p w:rsidR="00320744" w:rsidRPr="00456D44" w:rsidRDefault="00320744" w:rsidP="00DC1333">
            <w:pPr>
              <w:widowControl w:val="0"/>
              <w:rPr>
                <w:sz w:val="16"/>
                <w:szCs w:val="16"/>
              </w:rPr>
            </w:pPr>
            <w:r w:rsidRPr="00456D44">
              <w:rPr>
                <w:sz w:val="16"/>
                <w:szCs w:val="16"/>
              </w:rPr>
              <w:t>Revisión del Arreglo de Lisboa y modificación de su Reglamento y de las Instrucciones Administrativas</w:t>
            </w:r>
          </w:p>
          <w:p w:rsidR="00320744" w:rsidRPr="00456D44" w:rsidRDefault="00320744" w:rsidP="00DC1333">
            <w:pPr>
              <w:widowControl w:val="0"/>
              <w:tabs>
                <w:tab w:val="left" w:pos="1172"/>
              </w:tabs>
              <w:rPr>
                <w:sz w:val="16"/>
                <w:szCs w:val="16"/>
              </w:rPr>
            </w:pPr>
            <w:r w:rsidRPr="00456D44">
              <w:rPr>
                <w:sz w:val="16"/>
                <w:szCs w:val="16"/>
              </w:rPr>
              <w:tab/>
            </w:r>
          </w:p>
          <w:p w:rsidR="00320744" w:rsidRPr="00456D44" w:rsidRDefault="00320744" w:rsidP="00DC1333">
            <w:pPr>
              <w:rPr>
                <w:sz w:val="16"/>
              </w:rPr>
            </w:pPr>
          </w:p>
        </w:tc>
        <w:tc>
          <w:tcPr>
            <w:tcW w:w="1176" w:type="pct"/>
            <w:tcBorders>
              <w:top w:val="nil"/>
              <w:bottom w:val="nil"/>
            </w:tcBorders>
            <w:shd w:val="clear" w:color="auto" w:fill="FFFFFF"/>
            <w:tcMar>
              <w:top w:w="110" w:type="dxa"/>
            </w:tcMar>
          </w:tcPr>
          <w:p w:rsidR="00320744" w:rsidRPr="00456D44" w:rsidRDefault="00320744" w:rsidP="00DC1333">
            <w:pPr>
              <w:rPr>
                <w:sz w:val="16"/>
                <w:szCs w:val="16"/>
                <w:lang w:bidi="th-TH"/>
              </w:rPr>
            </w:pPr>
            <w:r w:rsidRPr="00456D44">
              <w:rPr>
                <w:sz w:val="16"/>
                <w:szCs w:val="16"/>
                <w:lang w:eastAsia="ko-KR"/>
              </w:rPr>
              <w:t>El Acta de Ginebra del Arreglo de Lisboa relativo a las Denominaciones de Origen y las Indicaciones Geográficas</w:t>
            </w:r>
            <w:r w:rsidRPr="00456D44">
              <w:rPr>
                <w:sz w:val="16"/>
                <w:szCs w:val="16"/>
              </w:rPr>
              <w:t xml:space="preserve"> se adoptó en mayo de 2015</w:t>
            </w:r>
          </w:p>
        </w:tc>
        <w:tc>
          <w:tcPr>
            <w:tcW w:w="513" w:type="pct"/>
            <w:tcBorders>
              <w:top w:val="nil"/>
              <w:bottom w:val="nil"/>
              <w:right w:val="single" w:sz="4" w:space="0" w:color="auto"/>
            </w:tcBorders>
            <w:shd w:val="clear" w:color="auto" w:fill="auto"/>
            <w:tcMar>
              <w:top w:w="110" w:type="dxa"/>
            </w:tcMar>
          </w:tcPr>
          <w:p w:rsidR="00320744" w:rsidRPr="00456D44" w:rsidRDefault="00320744" w:rsidP="00DC1333">
            <w:pPr>
              <w:keepNext/>
              <w:keepLines/>
              <w:jc w:val="center"/>
              <w:rPr>
                <w:rStyle w:val="Style5"/>
                <w:sz w:val="12"/>
                <w:szCs w:val="12"/>
              </w:rPr>
            </w:pPr>
            <w:r w:rsidRPr="00456D44">
              <w:rPr>
                <w:b/>
                <w:color w:val="00B050"/>
                <w:sz w:val="12"/>
                <w:szCs w:val="12"/>
              </w:rPr>
              <w:t>Plenamente logrado</w:t>
            </w:r>
          </w:p>
        </w:tc>
      </w:tr>
      <w:tr w:rsidR="00320744" w:rsidRPr="00456D44" w:rsidTr="00DC1333">
        <w:trPr>
          <w:cantSplit/>
        </w:trPr>
        <w:tc>
          <w:tcPr>
            <w:tcW w:w="1104" w:type="pct"/>
            <w:tcBorders>
              <w:top w:val="nil"/>
              <w:left w:val="single" w:sz="4" w:space="0" w:color="auto"/>
              <w:bottom w:val="nil"/>
            </w:tcBorders>
            <w:shd w:val="clear" w:color="auto" w:fill="auto"/>
          </w:tcPr>
          <w:p w:rsidR="00320744" w:rsidRPr="00456D44" w:rsidRDefault="00320744" w:rsidP="00DC1333">
            <w:pPr>
              <w:rPr>
                <w:sz w:val="16"/>
                <w:szCs w:val="16"/>
              </w:rPr>
            </w:pPr>
            <w:r w:rsidRPr="00456D44">
              <w:rPr>
                <w:sz w:val="16"/>
                <w:szCs w:val="16"/>
              </w:rPr>
              <w:t>Número de solicitudes internacionales (Madrid)</w:t>
            </w:r>
          </w:p>
        </w:tc>
        <w:tc>
          <w:tcPr>
            <w:tcW w:w="1397" w:type="pct"/>
            <w:tcBorders>
              <w:top w:val="nil"/>
              <w:bottom w:val="nil"/>
            </w:tcBorders>
            <w:shd w:val="clear" w:color="auto" w:fill="auto"/>
          </w:tcPr>
          <w:p w:rsidR="00320744" w:rsidRPr="00456D44" w:rsidRDefault="00320744" w:rsidP="00DC1333">
            <w:pPr>
              <w:widowControl w:val="0"/>
              <w:rPr>
                <w:color w:val="002060"/>
                <w:sz w:val="16"/>
                <w:szCs w:val="16"/>
              </w:rPr>
            </w:pPr>
            <w:r w:rsidRPr="00456D44">
              <w:rPr>
                <w:i/>
                <w:color w:val="002060"/>
                <w:sz w:val="16"/>
                <w:szCs w:val="16"/>
              </w:rPr>
              <w:t>Referencia actualizada a fines de 2013:</w:t>
            </w:r>
            <w:r w:rsidRPr="00456D44">
              <w:rPr>
                <w:color w:val="002060"/>
                <w:sz w:val="16"/>
                <w:szCs w:val="16"/>
              </w:rPr>
              <w:t xml:space="preserve">  </w:t>
            </w:r>
          </w:p>
          <w:p w:rsidR="00320744" w:rsidRPr="00456D44" w:rsidRDefault="00320744" w:rsidP="00DC1333">
            <w:pPr>
              <w:widowControl w:val="0"/>
              <w:rPr>
                <w:color w:val="002060"/>
                <w:sz w:val="16"/>
                <w:szCs w:val="16"/>
              </w:rPr>
            </w:pPr>
            <w:r w:rsidRPr="00456D44">
              <w:rPr>
                <w:color w:val="002060"/>
                <w:sz w:val="16"/>
                <w:szCs w:val="16"/>
              </w:rPr>
              <w:t>44.018 (2012)</w:t>
            </w:r>
          </w:p>
          <w:p w:rsidR="00320744" w:rsidRPr="00456D44" w:rsidRDefault="00320744" w:rsidP="00DC1333">
            <w:pPr>
              <w:widowControl w:val="0"/>
              <w:rPr>
                <w:color w:val="002060"/>
                <w:sz w:val="16"/>
                <w:szCs w:val="16"/>
              </w:rPr>
            </w:pPr>
            <w:r w:rsidRPr="00456D44">
              <w:rPr>
                <w:color w:val="002060"/>
                <w:sz w:val="16"/>
                <w:szCs w:val="16"/>
              </w:rPr>
              <w:t>46.829 (2013)</w:t>
            </w:r>
          </w:p>
          <w:p w:rsidR="00320744" w:rsidRPr="00456D44" w:rsidRDefault="00320744" w:rsidP="00DC1333">
            <w:pPr>
              <w:widowControl w:val="0"/>
              <w:rPr>
                <w:sz w:val="16"/>
                <w:szCs w:val="16"/>
              </w:rPr>
            </w:pPr>
          </w:p>
          <w:p w:rsidR="00320744" w:rsidRPr="00456D44" w:rsidRDefault="00320744" w:rsidP="00DC1333">
            <w:pPr>
              <w:rPr>
                <w:sz w:val="16"/>
                <w:szCs w:val="16"/>
              </w:rPr>
            </w:pPr>
            <w:r w:rsidRPr="00456D44">
              <w:rPr>
                <w:i/>
                <w:sz w:val="16"/>
                <w:szCs w:val="16"/>
              </w:rPr>
              <w:t xml:space="preserve">Referencia original en el presupuesto de 2014/15: </w:t>
            </w:r>
            <w:r w:rsidRPr="00456D44">
              <w:rPr>
                <w:sz w:val="16"/>
                <w:szCs w:val="16"/>
              </w:rPr>
              <w:t xml:space="preserve"> El número de solicitudes internacionales a fines de 2013.</w:t>
            </w:r>
          </w:p>
          <w:p w:rsidR="00320744" w:rsidRPr="00456D44" w:rsidRDefault="00320744" w:rsidP="00DC1333">
            <w:pPr>
              <w:rPr>
                <w:sz w:val="16"/>
                <w:szCs w:val="16"/>
              </w:rPr>
            </w:pPr>
          </w:p>
        </w:tc>
        <w:tc>
          <w:tcPr>
            <w:tcW w:w="810" w:type="pct"/>
            <w:tcBorders>
              <w:top w:val="nil"/>
              <w:bottom w:val="nil"/>
            </w:tcBorders>
            <w:shd w:val="clear" w:color="auto" w:fill="auto"/>
            <w:tcMar>
              <w:top w:w="110" w:type="dxa"/>
            </w:tcMar>
          </w:tcPr>
          <w:p w:rsidR="00320744" w:rsidRPr="00456D44" w:rsidRDefault="00320744" w:rsidP="00DC1333">
            <w:pPr>
              <w:rPr>
                <w:i/>
                <w:sz w:val="16"/>
                <w:szCs w:val="16"/>
              </w:rPr>
            </w:pPr>
            <w:r w:rsidRPr="00456D44">
              <w:rPr>
                <w:sz w:val="16"/>
                <w:szCs w:val="16"/>
              </w:rPr>
              <w:t>Aumento del 8,1% a fines de 2015</w:t>
            </w:r>
          </w:p>
        </w:tc>
        <w:tc>
          <w:tcPr>
            <w:tcW w:w="1176" w:type="pct"/>
            <w:tcBorders>
              <w:top w:val="nil"/>
              <w:bottom w:val="nil"/>
            </w:tcBorders>
            <w:shd w:val="clear" w:color="auto" w:fill="FFFFFF"/>
            <w:tcMar>
              <w:top w:w="110" w:type="dxa"/>
            </w:tcMar>
          </w:tcPr>
          <w:p w:rsidR="00320744" w:rsidRPr="00456D44" w:rsidRDefault="00320744" w:rsidP="00DC1333">
            <w:pPr>
              <w:rPr>
                <w:sz w:val="16"/>
                <w:szCs w:val="16"/>
              </w:rPr>
            </w:pPr>
            <w:r w:rsidRPr="00456D44">
              <w:rPr>
                <w:sz w:val="16"/>
                <w:szCs w:val="16"/>
              </w:rPr>
              <w:t>Se recibieron un total de 97.158 solicitudes internacionales en 2014/15:</w:t>
            </w:r>
            <w:r w:rsidRPr="00456D44" w:rsidDel="00495417">
              <w:rPr>
                <w:sz w:val="16"/>
                <w:szCs w:val="16"/>
              </w:rPr>
              <w:t xml:space="preserve"> </w:t>
            </w:r>
          </w:p>
          <w:p w:rsidR="00320744" w:rsidRPr="00456D44" w:rsidRDefault="00320744" w:rsidP="00DC1333">
            <w:pPr>
              <w:rPr>
                <w:sz w:val="16"/>
                <w:szCs w:val="16"/>
              </w:rPr>
            </w:pPr>
            <w:r w:rsidRPr="00456D44">
              <w:rPr>
                <w:sz w:val="16"/>
                <w:szCs w:val="16"/>
              </w:rPr>
              <w:t>47.885 (2014)</w:t>
            </w:r>
          </w:p>
          <w:p w:rsidR="00320744" w:rsidRPr="00456D44" w:rsidRDefault="00320744" w:rsidP="00DC1333">
            <w:pPr>
              <w:rPr>
                <w:sz w:val="16"/>
                <w:szCs w:val="16"/>
              </w:rPr>
            </w:pPr>
            <w:r w:rsidRPr="00456D44">
              <w:rPr>
                <w:sz w:val="16"/>
                <w:szCs w:val="16"/>
              </w:rPr>
              <w:t>49.273 (2015)</w:t>
            </w:r>
          </w:p>
          <w:p w:rsidR="00320744" w:rsidRPr="00456D44" w:rsidRDefault="00320744" w:rsidP="00DC1333">
            <w:pPr>
              <w:rPr>
                <w:sz w:val="16"/>
                <w:szCs w:val="16"/>
              </w:rPr>
            </w:pPr>
          </w:p>
          <w:p w:rsidR="00320744" w:rsidRPr="00456D44" w:rsidRDefault="00320744" w:rsidP="00DC1333">
            <w:pPr>
              <w:rPr>
                <w:sz w:val="16"/>
                <w:szCs w:val="16"/>
              </w:rPr>
            </w:pPr>
            <w:r w:rsidRPr="00456D44">
              <w:rPr>
                <w:sz w:val="16"/>
                <w:szCs w:val="16"/>
              </w:rPr>
              <w:t>Esto supone un aumento del 6,9% con respecto al bienio 2012/13.</w:t>
            </w:r>
          </w:p>
        </w:tc>
        <w:tc>
          <w:tcPr>
            <w:tcW w:w="513" w:type="pct"/>
            <w:tcBorders>
              <w:top w:val="nil"/>
              <w:bottom w:val="nil"/>
              <w:right w:val="single" w:sz="4" w:space="0" w:color="auto"/>
            </w:tcBorders>
            <w:shd w:val="clear" w:color="auto" w:fill="auto"/>
            <w:tcMar>
              <w:top w:w="110" w:type="dxa"/>
            </w:tcMar>
          </w:tcPr>
          <w:p w:rsidR="00320744" w:rsidRPr="00456D44" w:rsidRDefault="00320744" w:rsidP="00DC1333">
            <w:pPr>
              <w:keepNext/>
              <w:keepLines/>
              <w:jc w:val="center"/>
              <w:rPr>
                <w:bCs/>
                <w:color w:val="808080"/>
                <w:sz w:val="12"/>
                <w:szCs w:val="12"/>
              </w:rPr>
            </w:pPr>
            <w:r w:rsidRPr="00456D44">
              <w:rPr>
                <w:b/>
                <w:color w:val="00B050"/>
                <w:sz w:val="12"/>
                <w:szCs w:val="12"/>
              </w:rPr>
              <w:t>Plenamente logrado</w:t>
            </w:r>
          </w:p>
        </w:tc>
      </w:tr>
      <w:tr w:rsidR="00320744" w:rsidRPr="00456D44" w:rsidTr="00DC1333">
        <w:trPr>
          <w:cantSplit/>
        </w:trPr>
        <w:tc>
          <w:tcPr>
            <w:tcW w:w="1104" w:type="pct"/>
            <w:tcBorders>
              <w:top w:val="nil"/>
              <w:left w:val="single" w:sz="4" w:space="0" w:color="auto"/>
              <w:bottom w:val="single" w:sz="4" w:space="0" w:color="auto"/>
            </w:tcBorders>
            <w:shd w:val="clear" w:color="auto" w:fill="auto"/>
          </w:tcPr>
          <w:p w:rsidR="00320744" w:rsidRPr="00456D44" w:rsidRDefault="00320744" w:rsidP="00DC1333">
            <w:pPr>
              <w:widowControl w:val="0"/>
              <w:rPr>
                <w:sz w:val="16"/>
                <w:szCs w:val="16"/>
              </w:rPr>
            </w:pPr>
            <w:r w:rsidRPr="00456D44">
              <w:rPr>
                <w:sz w:val="16"/>
                <w:szCs w:val="16"/>
              </w:rPr>
              <w:t>Porcentaje de oficinas que proporcionan información actualizada sobre el Sistema de Madrid</w:t>
            </w:r>
          </w:p>
          <w:p w:rsidR="00320744" w:rsidRPr="00456D44" w:rsidRDefault="00320744" w:rsidP="00DC1333">
            <w:pPr>
              <w:widowControl w:val="0"/>
              <w:rPr>
                <w:sz w:val="16"/>
                <w:szCs w:val="16"/>
              </w:rPr>
            </w:pPr>
          </w:p>
          <w:p w:rsidR="00320744" w:rsidRPr="00456D44" w:rsidRDefault="00320744" w:rsidP="00DC1333">
            <w:pPr>
              <w:widowControl w:val="0"/>
              <w:rPr>
                <w:sz w:val="16"/>
                <w:szCs w:val="16"/>
              </w:rPr>
            </w:pPr>
          </w:p>
          <w:p w:rsidR="00320744" w:rsidRPr="00456D44" w:rsidRDefault="00320744" w:rsidP="00DC1333">
            <w:pPr>
              <w:widowControl w:val="0"/>
              <w:rPr>
                <w:sz w:val="16"/>
                <w:szCs w:val="16"/>
              </w:rPr>
            </w:pPr>
          </w:p>
        </w:tc>
        <w:tc>
          <w:tcPr>
            <w:tcW w:w="1397" w:type="pct"/>
            <w:tcBorders>
              <w:top w:val="nil"/>
              <w:bottom w:val="single" w:sz="4" w:space="0" w:color="auto"/>
            </w:tcBorders>
            <w:shd w:val="clear" w:color="auto" w:fill="auto"/>
          </w:tcPr>
          <w:p w:rsidR="00320744" w:rsidRPr="00456D44" w:rsidRDefault="00320744" w:rsidP="00DC1333">
            <w:pPr>
              <w:rPr>
                <w:sz w:val="16"/>
                <w:szCs w:val="16"/>
              </w:rPr>
            </w:pPr>
            <w:r w:rsidRPr="00456D44">
              <w:rPr>
                <w:sz w:val="16"/>
                <w:szCs w:val="16"/>
              </w:rPr>
              <w:t xml:space="preserve">Porcentaje de oficinas que proporcionan dicha información </w:t>
            </w:r>
          </w:p>
        </w:tc>
        <w:tc>
          <w:tcPr>
            <w:tcW w:w="810" w:type="pct"/>
            <w:tcBorders>
              <w:top w:val="nil"/>
              <w:bottom w:val="single" w:sz="4" w:space="0" w:color="auto"/>
            </w:tcBorders>
            <w:shd w:val="clear" w:color="auto" w:fill="auto"/>
            <w:tcMar>
              <w:top w:w="110" w:type="dxa"/>
            </w:tcMar>
          </w:tcPr>
          <w:p w:rsidR="00320744" w:rsidRPr="00456D44" w:rsidRDefault="00320744" w:rsidP="00DC1333">
            <w:pPr>
              <w:rPr>
                <w:sz w:val="16"/>
                <w:szCs w:val="16"/>
              </w:rPr>
            </w:pPr>
            <w:r w:rsidRPr="00456D44">
              <w:rPr>
                <w:sz w:val="16"/>
                <w:szCs w:val="16"/>
              </w:rPr>
              <w:t>Mayor porcentaje</w:t>
            </w:r>
          </w:p>
        </w:tc>
        <w:tc>
          <w:tcPr>
            <w:tcW w:w="1176" w:type="pct"/>
            <w:tcBorders>
              <w:top w:val="nil"/>
              <w:bottom w:val="single" w:sz="4" w:space="0" w:color="auto"/>
            </w:tcBorders>
            <w:shd w:val="clear" w:color="auto" w:fill="FFFFFF"/>
            <w:tcMar>
              <w:top w:w="110" w:type="dxa"/>
            </w:tcMar>
          </w:tcPr>
          <w:p w:rsidR="00320744" w:rsidRPr="00456D44" w:rsidRDefault="00320744" w:rsidP="00DC1333">
            <w:pPr>
              <w:rPr>
                <w:b/>
                <w:sz w:val="16"/>
                <w:szCs w:val="16"/>
              </w:rPr>
            </w:pPr>
          </w:p>
        </w:tc>
        <w:tc>
          <w:tcPr>
            <w:tcW w:w="513" w:type="pct"/>
            <w:tcBorders>
              <w:top w:val="nil"/>
              <w:bottom w:val="single" w:sz="4" w:space="0" w:color="auto"/>
              <w:right w:val="single" w:sz="4" w:space="0" w:color="auto"/>
            </w:tcBorders>
            <w:shd w:val="clear" w:color="auto" w:fill="auto"/>
            <w:tcMar>
              <w:top w:w="110" w:type="dxa"/>
            </w:tcMar>
          </w:tcPr>
          <w:p w:rsidR="00320744" w:rsidRPr="00456D44" w:rsidRDefault="00320744" w:rsidP="00DC1333">
            <w:pPr>
              <w:keepNext/>
              <w:keepLines/>
              <w:ind w:left="-102"/>
              <w:jc w:val="center"/>
              <w:rPr>
                <w:b/>
                <w:bCs/>
                <w:sz w:val="12"/>
                <w:szCs w:val="12"/>
              </w:rPr>
            </w:pPr>
            <w:r w:rsidRPr="00456D44">
              <w:rPr>
                <w:b/>
                <w:bCs/>
                <w:sz w:val="12"/>
                <w:szCs w:val="12"/>
              </w:rPr>
              <w:t>Discontinuado</w:t>
            </w:r>
          </w:p>
        </w:tc>
      </w:tr>
      <w:tr w:rsidR="00320744" w:rsidRPr="00456D44" w:rsidTr="00DC1333">
        <w:trPr>
          <w:cantSplit/>
          <w:trHeight w:val="502"/>
        </w:trPr>
        <w:tc>
          <w:tcPr>
            <w:tcW w:w="5000" w:type="pct"/>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320744" w:rsidRPr="00456D44" w:rsidRDefault="00320744" w:rsidP="00DC1333">
            <w:pPr>
              <w:keepNext/>
              <w:widowControl w:val="0"/>
              <w:ind w:left="2019" w:hanging="2019"/>
              <w:rPr>
                <w:b/>
                <w:bCs/>
                <w:sz w:val="16"/>
                <w:szCs w:val="16"/>
              </w:rPr>
            </w:pPr>
            <w:r w:rsidRPr="00456D44">
              <w:rPr>
                <w:b/>
                <w:bCs/>
                <w:sz w:val="16"/>
                <w:szCs w:val="16"/>
              </w:rPr>
              <w:lastRenderedPageBreak/>
              <w:t>Resultado previsto:</w:t>
            </w:r>
            <w:r w:rsidRPr="00456D44">
              <w:rPr>
                <w:bCs/>
                <w:sz w:val="16"/>
                <w:szCs w:val="16"/>
              </w:rPr>
              <w:tab/>
              <w:t>II. 6 Mayor y más eficaz utilización de los Sistemas de Madrid y de Lisboa por los países en desarrollo y los PMA, entre otros</w:t>
            </w:r>
          </w:p>
        </w:tc>
      </w:tr>
      <w:tr w:rsidR="00320744" w:rsidRPr="00456D44" w:rsidTr="00DC1333">
        <w:trPr>
          <w:cantSplit/>
        </w:trPr>
        <w:tc>
          <w:tcPr>
            <w:tcW w:w="1104" w:type="pct"/>
            <w:tcBorders>
              <w:top w:val="single" w:sz="4" w:space="0" w:color="auto"/>
              <w:left w:val="single" w:sz="4" w:space="0" w:color="auto"/>
              <w:bottom w:val="nil"/>
            </w:tcBorders>
            <w:shd w:val="clear" w:color="auto" w:fill="auto"/>
            <w:vAlign w:val="center"/>
          </w:tcPr>
          <w:p w:rsidR="00320744" w:rsidRPr="00456D44" w:rsidRDefault="00320744" w:rsidP="00DC1333">
            <w:pPr>
              <w:keepNext/>
              <w:rPr>
                <w:sz w:val="16"/>
                <w:szCs w:val="16"/>
              </w:rPr>
            </w:pPr>
            <w:r w:rsidRPr="00456D44">
              <w:rPr>
                <w:b/>
                <w:bCs/>
                <w:sz w:val="16"/>
                <w:szCs w:val="16"/>
              </w:rPr>
              <w:t>Indicadores de rendimiento</w:t>
            </w:r>
          </w:p>
        </w:tc>
        <w:tc>
          <w:tcPr>
            <w:tcW w:w="1397" w:type="pct"/>
            <w:tcBorders>
              <w:top w:val="single" w:sz="4" w:space="0" w:color="auto"/>
              <w:bottom w:val="nil"/>
            </w:tcBorders>
            <w:shd w:val="clear" w:color="auto" w:fill="auto"/>
            <w:vAlign w:val="center"/>
          </w:tcPr>
          <w:p w:rsidR="00320744" w:rsidRPr="00456D44" w:rsidRDefault="00320744" w:rsidP="00DC1333">
            <w:pPr>
              <w:keepNext/>
              <w:rPr>
                <w:i/>
                <w:color w:val="002060"/>
                <w:sz w:val="16"/>
                <w:szCs w:val="16"/>
              </w:rPr>
            </w:pPr>
            <w:r w:rsidRPr="00456D44">
              <w:rPr>
                <w:b/>
                <w:bCs/>
                <w:sz w:val="16"/>
                <w:szCs w:val="16"/>
              </w:rPr>
              <w:t>Referencia</w:t>
            </w:r>
          </w:p>
        </w:tc>
        <w:tc>
          <w:tcPr>
            <w:tcW w:w="810" w:type="pct"/>
            <w:tcBorders>
              <w:top w:val="single" w:sz="4" w:space="0" w:color="auto"/>
              <w:bottom w:val="nil"/>
            </w:tcBorders>
            <w:shd w:val="clear" w:color="auto" w:fill="auto"/>
            <w:tcMar>
              <w:top w:w="110" w:type="dxa"/>
            </w:tcMar>
            <w:vAlign w:val="center"/>
          </w:tcPr>
          <w:p w:rsidR="00320744" w:rsidRPr="00456D44" w:rsidRDefault="00320744" w:rsidP="00DC1333">
            <w:pPr>
              <w:keepNext/>
              <w:rPr>
                <w:sz w:val="16"/>
                <w:szCs w:val="16"/>
              </w:rPr>
            </w:pPr>
            <w:r w:rsidRPr="00456D44">
              <w:rPr>
                <w:b/>
                <w:sz w:val="16"/>
                <w:szCs w:val="16"/>
              </w:rPr>
              <w:t>Objetivos</w:t>
            </w:r>
          </w:p>
        </w:tc>
        <w:tc>
          <w:tcPr>
            <w:tcW w:w="1176" w:type="pct"/>
            <w:tcBorders>
              <w:top w:val="single" w:sz="4" w:space="0" w:color="auto"/>
              <w:bottom w:val="nil"/>
            </w:tcBorders>
            <w:shd w:val="clear" w:color="auto" w:fill="FFFFFF"/>
            <w:tcMar>
              <w:top w:w="110" w:type="dxa"/>
            </w:tcMar>
            <w:vAlign w:val="center"/>
          </w:tcPr>
          <w:p w:rsidR="00320744" w:rsidRPr="00456D44" w:rsidRDefault="00320744" w:rsidP="00DC1333">
            <w:pPr>
              <w:keepNext/>
              <w:rPr>
                <w:sz w:val="16"/>
                <w:szCs w:val="16"/>
              </w:rPr>
            </w:pPr>
            <w:r w:rsidRPr="00456D44">
              <w:rPr>
                <w:b/>
                <w:bCs/>
                <w:sz w:val="16"/>
                <w:szCs w:val="16"/>
              </w:rPr>
              <w:t>Datos sobre el rendimiento</w:t>
            </w:r>
          </w:p>
        </w:tc>
        <w:tc>
          <w:tcPr>
            <w:tcW w:w="513" w:type="pct"/>
            <w:tcBorders>
              <w:top w:val="single" w:sz="4" w:space="0" w:color="auto"/>
              <w:bottom w:val="nil"/>
              <w:right w:val="single" w:sz="4" w:space="0" w:color="auto"/>
            </w:tcBorders>
            <w:shd w:val="clear" w:color="auto" w:fill="auto"/>
            <w:tcMar>
              <w:top w:w="110" w:type="dxa"/>
            </w:tcMar>
            <w:vAlign w:val="center"/>
          </w:tcPr>
          <w:p w:rsidR="00320744" w:rsidRPr="00456D44" w:rsidRDefault="00320744" w:rsidP="00DC1333">
            <w:pPr>
              <w:keepNext/>
              <w:keepLines/>
              <w:jc w:val="center"/>
              <w:rPr>
                <w:rStyle w:val="Style5"/>
                <w:sz w:val="16"/>
                <w:szCs w:val="16"/>
              </w:rPr>
            </w:pPr>
            <w:r w:rsidRPr="00456D44">
              <w:rPr>
                <w:b/>
                <w:bCs/>
                <w:sz w:val="16"/>
                <w:szCs w:val="16"/>
              </w:rPr>
              <w:t>Clave de colores</w:t>
            </w:r>
          </w:p>
        </w:tc>
      </w:tr>
      <w:tr w:rsidR="00320744" w:rsidRPr="00456D44" w:rsidTr="00DC1333">
        <w:trPr>
          <w:cantSplit/>
        </w:trPr>
        <w:tc>
          <w:tcPr>
            <w:tcW w:w="1104" w:type="pct"/>
            <w:tcBorders>
              <w:top w:val="nil"/>
              <w:left w:val="single" w:sz="4" w:space="0" w:color="auto"/>
              <w:bottom w:val="nil"/>
            </w:tcBorders>
            <w:shd w:val="clear" w:color="auto" w:fill="auto"/>
          </w:tcPr>
          <w:p w:rsidR="00320744" w:rsidRPr="00456D44" w:rsidRDefault="00320744" w:rsidP="00DC1333">
            <w:pPr>
              <w:keepNext/>
              <w:widowControl w:val="0"/>
              <w:rPr>
                <w:sz w:val="16"/>
                <w:szCs w:val="16"/>
              </w:rPr>
            </w:pPr>
            <w:r w:rsidRPr="00456D44">
              <w:rPr>
                <w:sz w:val="16"/>
                <w:szCs w:val="16"/>
              </w:rPr>
              <w:t>Porcentaje de participantes en las actividades del Sistema de Lisboa que están satisfechos y manifiestan haber mejorado sus conocimientos tras haber participado en las actividades</w:t>
            </w:r>
          </w:p>
        </w:tc>
        <w:tc>
          <w:tcPr>
            <w:tcW w:w="1397" w:type="pct"/>
            <w:tcBorders>
              <w:top w:val="nil"/>
              <w:bottom w:val="nil"/>
            </w:tcBorders>
            <w:shd w:val="clear" w:color="auto" w:fill="auto"/>
          </w:tcPr>
          <w:p w:rsidR="00320744" w:rsidRPr="00456D44" w:rsidRDefault="00320744" w:rsidP="00DC1333">
            <w:pPr>
              <w:keepNext/>
              <w:widowControl w:val="0"/>
              <w:rPr>
                <w:color w:val="002060"/>
                <w:sz w:val="16"/>
                <w:szCs w:val="16"/>
              </w:rPr>
            </w:pPr>
            <w:r w:rsidRPr="00456D44">
              <w:rPr>
                <w:i/>
                <w:color w:val="002060"/>
                <w:sz w:val="16"/>
                <w:szCs w:val="16"/>
              </w:rPr>
              <w:t xml:space="preserve">Referencia actualizada a fines de </w:t>
            </w:r>
            <w:r w:rsidRPr="00456D44">
              <w:rPr>
                <w:color w:val="002060"/>
                <w:sz w:val="16"/>
                <w:szCs w:val="16"/>
              </w:rPr>
              <w:t>2013: Los cuestionarios de evaluación utilizados revelan un índice de satisfacción de más del 90%</w:t>
            </w:r>
          </w:p>
          <w:p w:rsidR="00320744" w:rsidRPr="00456D44" w:rsidRDefault="00320744" w:rsidP="00DC1333">
            <w:pPr>
              <w:keepNext/>
              <w:widowControl w:val="0"/>
              <w:rPr>
                <w:color w:val="002060"/>
                <w:sz w:val="16"/>
                <w:szCs w:val="16"/>
              </w:rPr>
            </w:pPr>
          </w:p>
          <w:p w:rsidR="00320744" w:rsidRPr="00456D44" w:rsidRDefault="00320744" w:rsidP="00DC1333">
            <w:pPr>
              <w:keepNext/>
              <w:rPr>
                <w:i/>
                <w:color w:val="002060"/>
                <w:sz w:val="16"/>
                <w:szCs w:val="16"/>
              </w:rPr>
            </w:pPr>
            <w:r w:rsidRPr="00456D44">
              <w:rPr>
                <w:i/>
                <w:sz w:val="16"/>
                <w:szCs w:val="16"/>
              </w:rPr>
              <w:t>Referencia original en el presupuesto de 2013/14:  Número de actividades y porcentaje de participantes satisfechos en 2013</w:t>
            </w:r>
          </w:p>
          <w:p w:rsidR="00320744" w:rsidRPr="00456D44" w:rsidRDefault="00320744" w:rsidP="00DC1333">
            <w:pPr>
              <w:keepNext/>
              <w:rPr>
                <w:i/>
                <w:color w:val="002060"/>
                <w:sz w:val="16"/>
                <w:szCs w:val="16"/>
              </w:rPr>
            </w:pPr>
          </w:p>
        </w:tc>
        <w:tc>
          <w:tcPr>
            <w:tcW w:w="810" w:type="pct"/>
            <w:tcBorders>
              <w:top w:val="nil"/>
              <w:bottom w:val="nil"/>
            </w:tcBorders>
            <w:shd w:val="clear" w:color="auto" w:fill="auto"/>
            <w:tcMar>
              <w:top w:w="110" w:type="dxa"/>
            </w:tcMar>
          </w:tcPr>
          <w:p w:rsidR="00320744" w:rsidRPr="00456D44" w:rsidRDefault="00320744" w:rsidP="00DC1333">
            <w:pPr>
              <w:keepNext/>
              <w:rPr>
                <w:sz w:val="16"/>
                <w:szCs w:val="16"/>
              </w:rPr>
            </w:pPr>
            <w:r w:rsidRPr="00456D44">
              <w:rPr>
                <w:sz w:val="16"/>
                <w:szCs w:val="16"/>
              </w:rPr>
              <w:t>Al menos ocho actividades y un 85% de participantes satisfechos</w:t>
            </w:r>
          </w:p>
        </w:tc>
        <w:tc>
          <w:tcPr>
            <w:tcW w:w="1176" w:type="pct"/>
            <w:tcBorders>
              <w:top w:val="nil"/>
              <w:bottom w:val="nil"/>
            </w:tcBorders>
            <w:shd w:val="clear" w:color="auto" w:fill="FFFFFF"/>
            <w:tcMar>
              <w:top w:w="110" w:type="dxa"/>
            </w:tcMar>
          </w:tcPr>
          <w:p w:rsidR="00320744" w:rsidRPr="00456D44" w:rsidRDefault="00320744" w:rsidP="00DC1333">
            <w:pPr>
              <w:keepNext/>
              <w:rPr>
                <w:sz w:val="16"/>
                <w:szCs w:val="16"/>
              </w:rPr>
            </w:pPr>
            <w:r w:rsidRPr="00456D44">
              <w:rPr>
                <w:sz w:val="16"/>
                <w:szCs w:val="16"/>
              </w:rPr>
              <w:t xml:space="preserve">Siete eventos de información y promoción especialmente dedicados al Sistema de Lisboa, incluida su revisión prevista en todas las regiones, con un 84% de participantes satisfechos </w:t>
            </w:r>
          </w:p>
        </w:tc>
        <w:tc>
          <w:tcPr>
            <w:tcW w:w="513" w:type="pct"/>
            <w:tcBorders>
              <w:top w:val="nil"/>
              <w:bottom w:val="nil"/>
              <w:right w:val="single" w:sz="4" w:space="0" w:color="auto"/>
            </w:tcBorders>
            <w:shd w:val="clear" w:color="auto" w:fill="auto"/>
            <w:tcMar>
              <w:top w:w="110" w:type="dxa"/>
            </w:tcMar>
          </w:tcPr>
          <w:p w:rsidR="00320744" w:rsidRPr="00456D44" w:rsidRDefault="00320744" w:rsidP="00DC1333">
            <w:pPr>
              <w:keepNext/>
              <w:keepLines/>
              <w:jc w:val="center"/>
              <w:rPr>
                <w:rStyle w:val="Style5"/>
                <w:sz w:val="12"/>
                <w:szCs w:val="12"/>
              </w:rPr>
            </w:pPr>
            <w:r w:rsidRPr="00456D44">
              <w:rPr>
                <w:b/>
                <w:color w:val="00B050"/>
                <w:sz w:val="12"/>
                <w:szCs w:val="12"/>
              </w:rPr>
              <w:t>Plenamente logrado</w:t>
            </w:r>
          </w:p>
        </w:tc>
      </w:tr>
      <w:tr w:rsidR="00320744" w:rsidRPr="00456D44" w:rsidTr="00DC1333">
        <w:trPr>
          <w:cantSplit/>
        </w:trPr>
        <w:tc>
          <w:tcPr>
            <w:tcW w:w="1104" w:type="pct"/>
            <w:tcBorders>
              <w:top w:val="nil"/>
              <w:left w:val="single" w:sz="4" w:space="0" w:color="auto"/>
              <w:bottom w:val="nil"/>
            </w:tcBorders>
            <w:shd w:val="clear" w:color="auto" w:fill="auto"/>
          </w:tcPr>
          <w:p w:rsidR="00320744" w:rsidRPr="00456D44" w:rsidRDefault="00320744" w:rsidP="00DC1333">
            <w:pPr>
              <w:rPr>
                <w:sz w:val="16"/>
                <w:szCs w:val="16"/>
              </w:rPr>
            </w:pPr>
            <w:r w:rsidRPr="00456D44">
              <w:rPr>
                <w:sz w:val="16"/>
                <w:szCs w:val="16"/>
              </w:rPr>
              <w:t xml:space="preserve">Número y proporción de registros en vigor del Sistema de Lisboa procedentes de países en desarrollo y PMA </w:t>
            </w:r>
          </w:p>
        </w:tc>
        <w:tc>
          <w:tcPr>
            <w:tcW w:w="1397" w:type="pct"/>
            <w:tcBorders>
              <w:top w:val="nil"/>
              <w:bottom w:val="nil"/>
            </w:tcBorders>
            <w:shd w:val="clear" w:color="auto" w:fill="auto"/>
          </w:tcPr>
          <w:p w:rsidR="00320744" w:rsidRPr="00456D44" w:rsidRDefault="00320744" w:rsidP="00DC1333">
            <w:pPr>
              <w:widowControl w:val="0"/>
              <w:rPr>
                <w:color w:val="002060"/>
                <w:sz w:val="16"/>
                <w:szCs w:val="16"/>
              </w:rPr>
            </w:pPr>
            <w:r w:rsidRPr="00456D44">
              <w:rPr>
                <w:i/>
                <w:color w:val="002060"/>
                <w:sz w:val="16"/>
                <w:szCs w:val="16"/>
              </w:rPr>
              <w:t>Referencia actualizada a fines de 2013:</w:t>
            </w:r>
            <w:r w:rsidRPr="00456D44">
              <w:rPr>
                <w:color w:val="002060"/>
                <w:sz w:val="16"/>
                <w:szCs w:val="16"/>
              </w:rPr>
              <w:t xml:space="preserve"> 67 (de 816)</w:t>
            </w:r>
          </w:p>
          <w:p w:rsidR="00320744" w:rsidRPr="00456D44" w:rsidRDefault="00320744" w:rsidP="00DC1333">
            <w:pPr>
              <w:widowControl w:val="0"/>
              <w:rPr>
                <w:color w:val="002060"/>
                <w:sz w:val="16"/>
                <w:szCs w:val="16"/>
              </w:rPr>
            </w:pPr>
          </w:p>
          <w:p w:rsidR="00320744" w:rsidRPr="00456D44" w:rsidRDefault="00320744" w:rsidP="00DC1333">
            <w:pPr>
              <w:rPr>
                <w:i/>
                <w:color w:val="002060"/>
                <w:sz w:val="16"/>
                <w:szCs w:val="16"/>
              </w:rPr>
            </w:pPr>
            <w:r w:rsidRPr="00456D44">
              <w:rPr>
                <w:i/>
                <w:sz w:val="16"/>
                <w:szCs w:val="16"/>
              </w:rPr>
              <w:t xml:space="preserve">Referencia original en el presupuesto de 2013/14:  </w:t>
            </w:r>
            <w:r w:rsidRPr="00456D44">
              <w:rPr>
                <w:sz w:val="16"/>
                <w:szCs w:val="16"/>
              </w:rPr>
              <w:t>67 (de 809) (abril de 2013)</w:t>
            </w:r>
          </w:p>
          <w:p w:rsidR="00320744" w:rsidRPr="00456D44" w:rsidRDefault="00320744" w:rsidP="00DC1333">
            <w:pPr>
              <w:rPr>
                <w:i/>
                <w:color w:val="002060"/>
                <w:sz w:val="16"/>
                <w:szCs w:val="16"/>
              </w:rPr>
            </w:pPr>
          </w:p>
        </w:tc>
        <w:tc>
          <w:tcPr>
            <w:tcW w:w="810" w:type="pct"/>
            <w:tcBorders>
              <w:top w:val="nil"/>
              <w:bottom w:val="nil"/>
            </w:tcBorders>
            <w:shd w:val="clear" w:color="auto" w:fill="auto"/>
            <w:tcMar>
              <w:top w:w="110" w:type="dxa"/>
            </w:tcMar>
          </w:tcPr>
          <w:p w:rsidR="00320744" w:rsidRPr="00456D44" w:rsidRDefault="00320744" w:rsidP="00DC1333">
            <w:pPr>
              <w:rPr>
                <w:sz w:val="16"/>
                <w:szCs w:val="16"/>
              </w:rPr>
            </w:pPr>
            <w:r w:rsidRPr="00456D44">
              <w:rPr>
                <w:sz w:val="16"/>
                <w:szCs w:val="16"/>
              </w:rPr>
              <w:t>80 (de 825)</w:t>
            </w:r>
          </w:p>
        </w:tc>
        <w:tc>
          <w:tcPr>
            <w:tcW w:w="1176" w:type="pct"/>
            <w:tcBorders>
              <w:top w:val="nil"/>
              <w:bottom w:val="nil"/>
            </w:tcBorders>
            <w:shd w:val="clear" w:color="auto" w:fill="FFFFFF"/>
            <w:tcMar>
              <w:top w:w="110" w:type="dxa"/>
            </w:tcMar>
          </w:tcPr>
          <w:p w:rsidR="00320744" w:rsidRPr="00456D44" w:rsidRDefault="00320744" w:rsidP="00DC1333">
            <w:pPr>
              <w:rPr>
                <w:sz w:val="16"/>
                <w:szCs w:val="16"/>
              </w:rPr>
            </w:pPr>
            <w:r w:rsidRPr="00456D44">
              <w:rPr>
                <w:sz w:val="16"/>
                <w:szCs w:val="16"/>
              </w:rPr>
              <w:t>95 (de 931):</w:t>
            </w:r>
          </w:p>
          <w:p w:rsidR="00320744" w:rsidRPr="00456D44" w:rsidRDefault="00320744" w:rsidP="00320744">
            <w:pPr>
              <w:numPr>
                <w:ilvl w:val="0"/>
                <w:numId w:val="25"/>
              </w:numPr>
              <w:rPr>
                <w:sz w:val="16"/>
                <w:szCs w:val="16"/>
              </w:rPr>
            </w:pPr>
            <w:r w:rsidRPr="00456D44">
              <w:rPr>
                <w:sz w:val="16"/>
                <w:szCs w:val="16"/>
              </w:rPr>
              <w:t>Países Árabes (14)</w:t>
            </w:r>
          </w:p>
          <w:p w:rsidR="00320744" w:rsidRPr="00456D44" w:rsidRDefault="00320744" w:rsidP="00320744">
            <w:pPr>
              <w:numPr>
                <w:ilvl w:val="0"/>
                <w:numId w:val="25"/>
              </w:numPr>
              <w:rPr>
                <w:sz w:val="16"/>
                <w:szCs w:val="16"/>
              </w:rPr>
            </w:pPr>
            <w:r w:rsidRPr="00456D44">
              <w:rPr>
                <w:sz w:val="16"/>
                <w:szCs w:val="16"/>
              </w:rPr>
              <w:t>Asia y el Pacífico (38)</w:t>
            </w:r>
          </w:p>
          <w:p w:rsidR="00320744" w:rsidRPr="00456D44" w:rsidRDefault="00320744" w:rsidP="00320744">
            <w:pPr>
              <w:numPr>
                <w:ilvl w:val="0"/>
                <w:numId w:val="25"/>
              </w:numPr>
              <w:rPr>
                <w:sz w:val="16"/>
                <w:szCs w:val="16"/>
              </w:rPr>
            </w:pPr>
            <w:r w:rsidRPr="00456D44">
              <w:rPr>
                <w:sz w:val="16"/>
                <w:szCs w:val="16"/>
              </w:rPr>
              <w:t>América Latina y el Caribe (43)</w:t>
            </w:r>
          </w:p>
        </w:tc>
        <w:tc>
          <w:tcPr>
            <w:tcW w:w="513" w:type="pct"/>
            <w:tcBorders>
              <w:top w:val="nil"/>
              <w:bottom w:val="nil"/>
              <w:right w:val="single" w:sz="4" w:space="0" w:color="auto"/>
            </w:tcBorders>
            <w:shd w:val="clear" w:color="auto" w:fill="auto"/>
            <w:tcMar>
              <w:top w:w="110" w:type="dxa"/>
            </w:tcMar>
          </w:tcPr>
          <w:p w:rsidR="00320744" w:rsidRPr="00456D44" w:rsidRDefault="00320744" w:rsidP="00DC1333">
            <w:pPr>
              <w:keepNext/>
              <w:keepLines/>
              <w:jc w:val="center"/>
              <w:rPr>
                <w:rStyle w:val="Style5"/>
                <w:sz w:val="12"/>
                <w:szCs w:val="12"/>
              </w:rPr>
            </w:pPr>
            <w:r w:rsidRPr="00456D44">
              <w:rPr>
                <w:b/>
                <w:color w:val="00B050"/>
                <w:sz w:val="12"/>
                <w:szCs w:val="12"/>
              </w:rPr>
              <w:t>Plenamente logrado</w:t>
            </w:r>
          </w:p>
        </w:tc>
      </w:tr>
      <w:tr w:rsidR="00320744" w:rsidRPr="00456D44" w:rsidTr="00DC1333">
        <w:trPr>
          <w:cantSplit/>
        </w:trPr>
        <w:tc>
          <w:tcPr>
            <w:tcW w:w="1104" w:type="pct"/>
            <w:tcBorders>
              <w:top w:val="nil"/>
              <w:left w:val="single" w:sz="4" w:space="0" w:color="auto"/>
              <w:bottom w:val="single" w:sz="4" w:space="0" w:color="auto"/>
            </w:tcBorders>
            <w:shd w:val="clear" w:color="auto" w:fill="auto"/>
          </w:tcPr>
          <w:p w:rsidR="00320744" w:rsidRPr="00456D44" w:rsidRDefault="00320744" w:rsidP="00DC1333">
            <w:pPr>
              <w:widowControl w:val="0"/>
              <w:rPr>
                <w:sz w:val="16"/>
                <w:szCs w:val="16"/>
              </w:rPr>
            </w:pPr>
            <w:r w:rsidRPr="00456D44">
              <w:rPr>
                <w:sz w:val="16"/>
                <w:szCs w:val="16"/>
              </w:rPr>
              <w:t>Disminución del número de irregularidades (Madrid)</w:t>
            </w:r>
          </w:p>
        </w:tc>
        <w:tc>
          <w:tcPr>
            <w:tcW w:w="1397" w:type="pct"/>
            <w:tcBorders>
              <w:top w:val="nil"/>
              <w:bottom w:val="single" w:sz="4" w:space="0" w:color="auto"/>
            </w:tcBorders>
            <w:shd w:val="clear" w:color="auto" w:fill="auto"/>
          </w:tcPr>
          <w:p w:rsidR="00320744" w:rsidRPr="00456D44" w:rsidRDefault="00320744" w:rsidP="00DC1333">
            <w:pPr>
              <w:widowControl w:val="0"/>
              <w:rPr>
                <w:color w:val="002060"/>
                <w:sz w:val="16"/>
                <w:szCs w:val="16"/>
              </w:rPr>
            </w:pPr>
            <w:r w:rsidRPr="00456D44">
              <w:rPr>
                <w:i/>
                <w:color w:val="002060"/>
                <w:sz w:val="16"/>
                <w:szCs w:val="16"/>
              </w:rPr>
              <w:t xml:space="preserve">Referencia actualizada a fines de 2013:  </w:t>
            </w:r>
            <w:r w:rsidRPr="00456D44">
              <w:rPr>
                <w:color w:val="002060"/>
                <w:sz w:val="16"/>
                <w:szCs w:val="16"/>
              </w:rPr>
              <w:t>2013:  32%</w:t>
            </w:r>
            <w:r w:rsidRPr="00456D44">
              <w:rPr>
                <w:rStyle w:val="FootnoteReference"/>
                <w:sz w:val="16"/>
                <w:szCs w:val="16"/>
              </w:rPr>
              <w:footnoteReference w:id="25"/>
            </w:r>
            <w:r w:rsidRPr="00456D44">
              <w:rPr>
                <w:color w:val="002060"/>
                <w:sz w:val="16"/>
                <w:szCs w:val="16"/>
              </w:rPr>
              <w:t xml:space="preserve"> (14.985 solicitudes con irregularidades)</w:t>
            </w:r>
          </w:p>
          <w:p w:rsidR="00320744" w:rsidRPr="00456D44" w:rsidRDefault="00320744" w:rsidP="00DC1333">
            <w:pPr>
              <w:widowControl w:val="0"/>
              <w:rPr>
                <w:i/>
                <w:sz w:val="8"/>
                <w:szCs w:val="8"/>
              </w:rPr>
            </w:pPr>
          </w:p>
          <w:p w:rsidR="00320744" w:rsidRPr="00456D44" w:rsidRDefault="00320744" w:rsidP="00DC1333">
            <w:pPr>
              <w:rPr>
                <w:i/>
                <w:color w:val="002060"/>
                <w:sz w:val="16"/>
                <w:szCs w:val="16"/>
              </w:rPr>
            </w:pPr>
            <w:r w:rsidRPr="00456D44">
              <w:rPr>
                <w:i/>
                <w:sz w:val="16"/>
                <w:szCs w:val="16"/>
              </w:rPr>
              <w:t xml:space="preserve">Referencia original en el presupuesto de 2014/15:  </w:t>
            </w:r>
            <w:r w:rsidRPr="00456D44">
              <w:rPr>
                <w:sz w:val="16"/>
                <w:szCs w:val="16"/>
              </w:rPr>
              <w:t>32%</w:t>
            </w:r>
            <w:r w:rsidRPr="00456D44">
              <w:rPr>
                <w:rStyle w:val="FootnoteReference"/>
                <w:sz w:val="16"/>
                <w:szCs w:val="16"/>
              </w:rPr>
              <w:footnoteReference w:id="26"/>
            </w:r>
            <w:r w:rsidRPr="00456D44">
              <w:rPr>
                <w:sz w:val="16"/>
                <w:szCs w:val="16"/>
              </w:rPr>
              <w:t xml:space="preserve"> de solicitudes irregulares (en 2012)</w:t>
            </w:r>
            <w:r w:rsidRPr="00456D44">
              <w:rPr>
                <w:sz w:val="16"/>
                <w:szCs w:val="16"/>
              </w:rPr>
              <w:br/>
            </w:r>
          </w:p>
          <w:p w:rsidR="00320744" w:rsidRPr="00456D44" w:rsidRDefault="00320744" w:rsidP="00DC1333">
            <w:pPr>
              <w:rPr>
                <w:i/>
                <w:color w:val="002060"/>
                <w:sz w:val="16"/>
                <w:szCs w:val="16"/>
              </w:rPr>
            </w:pPr>
          </w:p>
        </w:tc>
        <w:tc>
          <w:tcPr>
            <w:tcW w:w="810" w:type="pct"/>
            <w:tcBorders>
              <w:top w:val="nil"/>
              <w:bottom w:val="single" w:sz="4" w:space="0" w:color="auto"/>
            </w:tcBorders>
            <w:shd w:val="clear" w:color="auto" w:fill="auto"/>
            <w:tcMar>
              <w:top w:w="110" w:type="dxa"/>
            </w:tcMar>
          </w:tcPr>
          <w:p w:rsidR="00320744" w:rsidRPr="00456D44" w:rsidRDefault="00320744" w:rsidP="00DC1333">
            <w:pPr>
              <w:widowControl w:val="0"/>
              <w:rPr>
                <w:sz w:val="16"/>
                <w:szCs w:val="16"/>
              </w:rPr>
            </w:pPr>
            <w:r w:rsidRPr="00456D44">
              <w:rPr>
                <w:sz w:val="16"/>
                <w:szCs w:val="16"/>
              </w:rPr>
              <w:t>Disminución en un 10% del número de irregularidades</w:t>
            </w:r>
          </w:p>
          <w:p w:rsidR="00320744" w:rsidRPr="00456D44" w:rsidRDefault="00320744" w:rsidP="00DC1333">
            <w:pPr>
              <w:rPr>
                <w:sz w:val="16"/>
                <w:szCs w:val="16"/>
              </w:rPr>
            </w:pPr>
          </w:p>
        </w:tc>
        <w:tc>
          <w:tcPr>
            <w:tcW w:w="1176" w:type="pct"/>
            <w:tcBorders>
              <w:top w:val="nil"/>
              <w:bottom w:val="single" w:sz="4" w:space="0" w:color="auto"/>
            </w:tcBorders>
            <w:shd w:val="clear" w:color="auto" w:fill="FFFFFF"/>
            <w:tcMar>
              <w:top w:w="110" w:type="dxa"/>
            </w:tcMar>
          </w:tcPr>
          <w:p w:rsidR="00320744" w:rsidRPr="00456D44" w:rsidRDefault="00320744" w:rsidP="00320744">
            <w:pPr>
              <w:pStyle w:val="ListParagraph"/>
              <w:numPr>
                <w:ilvl w:val="0"/>
                <w:numId w:val="28"/>
              </w:numPr>
              <w:rPr>
                <w:rFonts w:cs="Arial"/>
                <w:sz w:val="16"/>
                <w:szCs w:val="16"/>
                <w:lang w:val="es-ES"/>
              </w:rPr>
            </w:pPr>
            <w:r w:rsidRPr="00456D44">
              <w:rPr>
                <w:rFonts w:cs="Arial"/>
                <w:sz w:val="16"/>
                <w:szCs w:val="16"/>
                <w:lang w:val="es-ES"/>
              </w:rPr>
              <w:t>2014:  34%</w:t>
            </w:r>
            <w:r w:rsidRPr="00456D44">
              <w:rPr>
                <w:rStyle w:val="FootnoteReference"/>
                <w:rFonts w:cs="Arial"/>
                <w:sz w:val="16"/>
                <w:szCs w:val="16"/>
                <w:lang w:val="es-ES"/>
              </w:rPr>
              <w:footnoteReference w:id="27"/>
            </w:r>
            <w:r w:rsidRPr="00456D44">
              <w:rPr>
                <w:rFonts w:cs="Arial"/>
                <w:sz w:val="16"/>
                <w:szCs w:val="16"/>
                <w:lang w:val="es-ES"/>
              </w:rPr>
              <w:t xml:space="preserve"> o 16.281 solicitudes con irregularidades (+9% con respecto a 2013)</w:t>
            </w:r>
          </w:p>
          <w:p w:rsidR="00320744" w:rsidRPr="00456D44" w:rsidRDefault="00320744" w:rsidP="00320744">
            <w:pPr>
              <w:pStyle w:val="ListParagraph"/>
              <w:numPr>
                <w:ilvl w:val="0"/>
                <w:numId w:val="28"/>
              </w:numPr>
              <w:spacing w:before="60"/>
              <w:rPr>
                <w:rFonts w:cs="Arial"/>
                <w:b/>
                <w:sz w:val="16"/>
                <w:szCs w:val="16"/>
                <w:lang w:val="es-ES"/>
              </w:rPr>
            </w:pPr>
            <w:r w:rsidRPr="00456D44">
              <w:rPr>
                <w:rFonts w:cs="Arial"/>
                <w:sz w:val="16"/>
                <w:szCs w:val="16"/>
                <w:lang w:val="es-ES"/>
              </w:rPr>
              <w:t xml:space="preserve">2015:  39% o 19.216 solicitudes con irregularidades (+18% con respecto a 2014) </w:t>
            </w:r>
          </w:p>
        </w:tc>
        <w:tc>
          <w:tcPr>
            <w:tcW w:w="513" w:type="pct"/>
            <w:tcBorders>
              <w:top w:val="nil"/>
              <w:bottom w:val="single" w:sz="4" w:space="0" w:color="auto"/>
              <w:right w:val="single" w:sz="4" w:space="0" w:color="auto"/>
            </w:tcBorders>
            <w:shd w:val="clear" w:color="auto" w:fill="auto"/>
            <w:tcMar>
              <w:top w:w="110" w:type="dxa"/>
            </w:tcMar>
          </w:tcPr>
          <w:p w:rsidR="00320744" w:rsidRPr="00456D44" w:rsidRDefault="00320744" w:rsidP="00DC1333">
            <w:pPr>
              <w:keepNext/>
              <w:keepLines/>
              <w:jc w:val="center"/>
              <w:rPr>
                <w:rStyle w:val="Style5"/>
                <w:sz w:val="12"/>
                <w:szCs w:val="12"/>
              </w:rPr>
            </w:pPr>
            <w:r w:rsidRPr="00456D44">
              <w:rPr>
                <w:b/>
                <w:color w:val="FF0000"/>
                <w:sz w:val="12"/>
                <w:szCs w:val="12"/>
              </w:rPr>
              <w:t>No logrado</w:t>
            </w:r>
          </w:p>
        </w:tc>
      </w:tr>
      <w:tr w:rsidR="00320744" w:rsidRPr="00456D44" w:rsidTr="00320744">
        <w:trPr>
          <w:cantSplit/>
          <w:trHeight w:val="495"/>
        </w:trPr>
        <w:tc>
          <w:tcPr>
            <w:tcW w:w="5000" w:type="pct"/>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320744" w:rsidRPr="00456D44" w:rsidRDefault="00320744" w:rsidP="00DC1333">
            <w:pPr>
              <w:keepNext/>
              <w:keepLines/>
              <w:ind w:left="2019" w:hanging="2019"/>
              <w:rPr>
                <w:b/>
                <w:bCs/>
                <w:sz w:val="12"/>
                <w:szCs w:val="12"/>
              </w:rPr>
            </w:pPr>
            <w:r w:rsidRPr="00456D44">
              <w:rPr>
                <w:b/>
                <w:bCs/>
                <w:sz w:val="16"/>
                <w:szCs w:val="16"/>
              </w:rPr>
              <w:t>Resultado previsto:</w:t>
            </w:r>
            <w:r w:rsidRPr="00456D44">
              <w:rPr>
                <w:bCs/>
                <w:sz w:val="16"/>
                <w:szCs w:val="16"/>
              </w:rPr>
              <w:tab/>
              <w:t>II.7 Mejora de la productividad y de la calidad de los servicios en las operaciones de los Sistemas de Madrid y de Lisboa</w:t>
            </w:r>
            <w:r w:rsidRPr="00456D44">
              <w:rPr>
                <w:b/>
                <w:bCs/>
                <w:sz w:val="12"/>
                <w:szCs w:val="12"/>
              </w:rPr>
              <w:t xml:space="preserve"> </w:t>
            </w:r>
          </w:p>
        </w:tc>
      </w:tr>
      <w:tr w:rsidR="00320744" w:rsidRPr="00456D44" w:rsidTr="00DC1333">
        <w:trPr>
          <w:cantSplit/>
        </w:trPr>
        <w:tc>
          <w:tcPr>
            <w:tcW w:w="1104" w:type="pct"/>
            <w:tcBorders>
              <w:top w:val="single" w:sz="4" w:space="0" w:color="auto"/>
              <w:left w:val="single" w:sz="4" w:space="0" w:color="auto"/>
              <w:bottom w:val="nil"/>
            </w:tcBorders>
            <w:shd w:val="clear" w:color="auto" w:fill="auto"/>
            <w:vAlign w:val="center"/>
          </w:tcPr>
          <w:p w:rsidR="00320744" w:rsidRPr="00456D44" w:rsidRDefault="00320744" w:rsidP="00DC1333">
            <w:pPr>
              <w:rPr>
                <w:sz w:val="16"/>
                <w:szCs w:val="16"/>
              </w:rPr>
            </w:pPr>
            <w:r w:rsidRPr="00456D44">
              <w:rPr>
                <w:b/>
                <w:bCs/>
                <w:sz w:val="16"/>
                <w:szCs w:val="16"/>
              </w:rPr>
              <w:t>Indicadores de rendimiento</w:t>
            </w:r>
          </w:p>
        </w:tc>
        <w:tc>
          <w:tcPr>
            <w:tcW w:w="1397" w:type="pct"/>
            <w:tcBorders>
              <w:top w:val="single" w:sz="4" w:space="0" w:color="auto"/>
              <w:bottom w:val="nil"/>
            </w:tcBorders>
            <w:shd w:val="clear" w:color="auto" w:fill="auto"/>
            <w:vAlign w:val="center"/>
          </w:tcPr>
          <w:p w:rsidR="00320744" w:rsidRPr="00456D44" w:rsidRDefault="00320744" w:rsidP="00DC1333">
            <w:pPr>
              <w:rPr>
                <w:b/>
                <w:bCs/>
                <w:sz w:val="16"/>
                <w:szCs w:val="16"/>
              </w:rPr>
            </w:pPr>
            <w:r w:rsidRPr="00456D44">
              <w:rPr>
                <w:b/>
                <w:bCs/>
                <w:sz w:val="16"/>
                <w:szCs w:val="16"/>
              </w:rPr>
              <w:t>Referencia</w:t>
            </w:r>
          </w:p>
        </w:tc>
        <w:tc>
          <w:tcPr>
            <w:tcW w:w="810" w:type="pct"/>
            <w:tcBorders>
              <w:top w:val="single" w:sz="4" w:space="0" w:color="auto"/>
              <w:bottom w:val="nil"/>
            </w:tcBorders>
            <w:shd w:val="clear" w:color="auto" w:fill="auto"/>
            <w:tcMar>
              <w:top w:w="110" w:type="dxa"/>
            </w:tcMar>
            <w:vAlign w:val="center"/>
          </w:tcPr>
          <w:p w:rsidR="00320744" w:rsidRPr="00456D44" w:rsidRDefault="00320744" w:rsidP="00DC1333">
            <w:pPr>
              <w:rPr>
                <w:b/>
                <w:sz w:val="16"/>
                <w:szCs w:val="16"/>
              </w:rPr>
            </w:pPr>
            <w:r w:rsidRPr="00456D44">
              <w:rPr>
                <w:b/>
                <w:sz w:val="16"/>
                <w:szCs w:val="16"/>
              </w:rPr>
              <w:t>Objetivos</w:t>
            </w:r>
          </w:p>
        </w:tc>
        <w:tc>
          <w:tcPr>
            <w:tcW w:w="1176" w:type="pct"/>
            <w:tcBorders>
              <w:top w:val="single" w:sz="4" w:space="0" w:color="auto"/>
              <w:bottom w:val="nil"/>
            </w:tcBorders>
            <w:shd w:val="clear" w:color="auto" w:fill="FFFFFF"/>
            <w:tcMar>
              <w:top w:w="110" w:type="dxa"/>
            </w:tcMar>
            <w:vAlign w:val="center"/>
          </w:tcPr>
          <w:p w:rsidR="00320744" w:rsidRPr="00456D44" w:rsidRDefault="00320744" w:rsidP="00DC1333">
            <w:pPr>
              <w:rPr>
                <w:sz w:val="16"/>
                <w:szCs w:val="16"/>
              </w:rPr>
            </w:pPr>
            <w:r w:rsidRPr="00456D44">
              <w:rPr>
                <w:b/>
                <w:bCs/>
                <w:sz w:val="16"/>
                <w:szCs w:val="16"/>
              </w:rPr>
              <w:t>Datos sobre el rendimiento</w:t>
            </w:r>
          </w:p>
        </w:tc>
        <w:tc>
          <w:tcPr>
            <w:tcW w:w="513" w:type="pct"/>
            <w:tcBorders>
              <w:top w:val="single" w:sz="4" w:space="0" w:color="auto"/>
              <w:bottom w:val="nil"/>
              <w:right w:val="single" w:sz="4" w:space="0" w:color="auto"/>
            </w:tcBorders>
            <w:shd w:val="clear" w:color="auto" w:fill="auto"/>
            <w:tcMar>
              <w:top w:w="110" w:type="dxa"/>
            </w:tcMar>
            <w:vAlign w:val="center"/>
          </w:tcPr>
          <w:p w:rsidR="00320744" w:rsidRPr="00456D44" w:rsidRDefault="00320744" w:rsidP="00DC1333">
            <w:pPr>
              <w:keepNext/>
              <w:keepLines/>
              <w:jc w:val="center"/>
              <w:rPr>
                <w:b/>
                <w:bCs/>
                <w:sz w:val="16"/>
                <w:szCs w:val="16"/>
              </w:rPr>
            </w:pPr>
            <w:r w:rsidRPr="00456D44">
              <w:rPr>
                <w:b/>
                <w:bCs/>
                <w:sz w:val="16"/>
                <w:szCs w:val="16"/>
              </w:rPr>
              <w:t>Clave de colores</w:t>
            </w:r>
          </w:p>
        </w:tc>
      </w:tr>
      <w:tr w:rsidR="00320744" w:rsidRPr="00456D44" w:rsidTr="00DC1333">
        <w:trPr>
          <w:cantSplit/>
        </w:trPr>
        <w:tc>
          <w:tcPr>
            <w:tcW w:w="1104" w:type="pct"/>
            <w:tcBorders>
              <w:top w:val="nil"/>
              <w:left w:val="single" w:sz="4" w:space="0" w:color="auto"/>
              <w:bottom w:val="single" w:sz="4" w:space="0" w:color="auto"/>
            </w:tcBorders>
            <w:shd w:val="clear" w:color="auto" w:fill="FFFFFF"/>
          </w:tcPr>
          <w:p w:rsidR="00320744" w:rsidRPr="00456D44" w:rsidRDefault="00320744" w:rsidP="00DC1333">
            <w:pPr>
              <w:rPr>
                <w:sz w:val="16"/>
                <w:szCs w:val="16"/>
              </w:rPr>
            </w:pPr>
            <w:r w:rsidRPr="00456D44">
              <w:rPr>
                <w:sz w:val="16"/>
                <w:szCs w:val="16"/>
              </w:rPr>
              <w:t xml:space="preserve">Avances en la agilización y simplificación del marco jurídico del Sistema de Madrid. </w:t>
            </w:r>
          </w:p>
        </w:tc>
        <w:tc>
          <w:tcPr>
            <w:tcW w:w="1397" w:type="pct"/>
            <w:tcBorders>
              <w:top w:val="nil"/>
              <w:bottom w:val="single" w:sz="4" w:space="0" w:color="auto"/>
            </w:tcBorders>
            <w:shd w:val="clear" w:color="auto" w:fill="auto"/>
          </w:tcPr>
          <w:p w:rsidR="00320744" w:rsidRPr="00456D44" w:rsidRDefault="00320744" w:rsidP="00DC1333">
            <w:pPr>
              <w:rPr>
                <w:sz w:val="16"/>
                <w:szCs w:val="16"/>
              </w:rPr>
            </w:pPr>
            <w:r w:rsidRPr="00456D44">
              <w:rPr>
                <w:sz w:val="16"/>
                <w:szCs w:val="16"/>
              </w:rPr>
              <w:t>Reglamento Común e Instrucciones Administrativas del sistema de Madrid en vigor a fines de 2013</w:t>
            </w:r>
          </w:p>
        </w:tc>
        <w:tc>
          <w:tcPr>
            <w:tcW w:w="810" w:type="pct"/>
            <w:tcBorders>
              <w:top w:val="nil"/>
              <w:bottom w:val="single" w:sz="4" w:space="0" w:color="auto"/>
            </w:tcBorders>
            <w:shd w:val="clear" w:color="auto" w:fill="auto"/>
            <w:tcMar>
              <w:top w:w="110" w:type="dxa"/>
            </w:tcMar>
          </w:tcPr>
          <w:p w:rsidR="00320744" w:rsidRPr="00456D44" w:rsidRDefault="00320744" w:rsidP="00DC1333">
            <w:pPr>
              <w:rPr>
                <w:sz w:val="16"/>
                <w:szCs w:val="16"/>
              </w:rPr>
            </w:pPr>
            <w:r w:rsidRPr="00456D44">
              <w:rPr>
                <w:sz w:val="16"/>
                <w:szCs w:val="16"/>
              </w:rPr>
              <w:t>Modificaciones del Reglamento Común y las Instrucciones Administrativas del Sistema de Madrid</w:t>
            </w:r>
          </w:p>
        </w:tc>
        <w:tc>
          <w:tcPr>
            <w:tcW w:w="1176" w:type="pct"/>
            <w:tcBorders>
              <w:top w:val="nil"/>
              <w:bottom w:val="single" w:sz="4" w:space="0" w:color="auto"/>
            </w:tcBorders>
            <w:shd w:val="clear" w:color="auto" w:fill="FFFFFF"/>
            <w:tcMar>
              <w:top w:w="110" w:type="dxa"/>
            </w:tcMar>
          </w:tcPr>
          <w:p w:rsidR="00320744" w:rsidRPr="00456D44" w:rsidRDefault="00320744" w:rsidP="00DC1333">
            <w:pPr>
              <w:rPr>
                <w:sz w:val="16"/>
                <w:szCs w:val="16"/>
                <w:lang w:bidi="th-TH"/>
              </w:rPr>
            </w:pPr>
            <w:r w:rsidRPr="00456D44">
              <w:rPr>
                <w:color w:val="000000" w:themeColor="text1"/>
                <w:sz w:val="16"/>
                <w:szCs w:val="16"/>
                <w:lang w:bidi="th-TH"/>
              </w:rPr>
              <w:t>La Asamblea de la Unión de Madrid aprobó modificaciones (Reglas 5, 5</w:t>
            </w:r>
            <w:r w:rsidRPr="00456D44">
              <w:rPr>
                <w:i/>
                <w:color w:val="000000" w:themeColor="text1"/>
                <w:sz w:val="16"/>
                <w:szCs w:val="16"/>
                <w:lang w:bidi="th-TH"/>
              </w:rPr>
              <w:t>bis</w:t>
            </w:r>
            <w:r w:rsidRPr="00456D44">
              <w:rPr>
                <w:color w:val="000000" w:themeColor="text1"/>
                <w:sz w:val="16"/>
                <w:szCs w:val="16"/>
                <w:lang w:bidi="th-TH"/>
              </w:rPr>
              <w:t>, 9, 20</w:t>
            </w:r>
            <w:r w:rsidRPr="00456D44">
              <w:rPr>
                <w:i/>
                <w:color w:val="000000" w:themeColor="text1"/>
                <w:sz w:val="16"/>
                <w:szCs w:val="16"/>
                <w:lang w:bidi="th-TH"/>
              </w:rPr>
              <w:t>bis</w:t>
            </w:r>
            <w:r w:rsidRPr="00456D44">
              <w:rPr>
                <w:color w:val="000000" w:themeColor="text1"/>
                <w:sz w:val="16"/>
                <w:szCs w:val="16"/>
                <w:lang w:bidi="th-TH"/>
              </w:rPr>
              <w:t>, 24, 27, 30, 31, 36 y Tabla de tasas.  Algunas ya entraron en vigor (1 de abril de 2015 y 1 de abril de 2016) y otras lo harán en 2017 (1 de julio y 1 de noviembre).</w:t>
            </w:r>
          </w:p>
        </w:tc>
        <w:tc>
          <w:tcPr>
            <w:tcW w:w="513" w:type="pct"/>
            <w:tcBorders>
              <w:top w:val="nil"/>
              <w:bottom w:val="single" w:sz="4" w:space="0" w:color="auto"/>
              <w:right w:val="single" w:sz="4" w:space="0" w:color="auto"/>
            </w:tcBorders>
            <w:shd w:val="clear" w:color="auto" w:fill="auto"/>
            <w:tcMar>
              <w:top w:w="110" w:type="dxa"/>
            </w:tcMar>
          </w:tcPr>
          <w:p w:rsidR="00320744" w:rsidRPr="00456D44" w:rsidRDefault="00320744" w:rsidP="00DC1333">
            <w:pPr>
              <w:keepNext/>
              <w:keepLines/>
              <w:jc w:val="center"/>
              <w:rPr>
                <w:rStyle w:val="Style5"/>
                <w:sz w:val="12"/>
                <w:szCs w:val="12"/>
              </w:rPr>
            </w:pPr>
            <w:r w:rsidRPr="00456D44">
              <w:rPr>
                <w:b/>
                <w:color w:val="00B050"/>
                <w:sz w:val="12"/>
                <w:szCs w:val="12"/>
              </w:rPr>
              <w:t>Plenamente logrado</w:t>
            </w:r>
          </w:p>
        </w:tc>
      </w:tr>
      <w:tr w:rsidR="00320744" w:rsidRPr="00456D44" w:rsidTr="00DC1333">
        <w:trPr>
          <w:cantSplit/>
        </w:trPr>
        <w:tc>
          <w:tcPr>
            <w:tcW w:w="1104" w:type="pct"/>
            <w:tcBorders>
              <w:top w:val="single" w:sz="4" w:space="0" w:color="auto"/>
              <w:left w:val="single" w:sz="4" w:space="0" w:color="auto"/>
              <w:bottom w:val="nil"/>
            </w:tcBorders>
            <w:shd w:val="clear" w:color="auto" w:fill="FFFFFF"/>
          </w:tcPr>
          <w:p w:rsidR="00320744" w:rsidRPr="00456D44" w:rsidRDefault="00320744" w:rsidP="00DC1333">
            <w:pPr>
              <w:rPr>
                <w:sz w:val="16"/>
                <w:szCs w:val="16"/>
              </w:rPr>
            </w:pPr>
            <w:r w:rsidRPr="00456D44">
              <w:rPr>
                <w:sz w:val="16"/>
                <w:szCs w:val="16"/>
              </w:rPr>
              <w:lastRenderedPageBreak/>
              <w:t>Número de registros.</w:t>
            </w:r>
          </w:p>
          <w:p w:rsidR="00320744" w:rsidRPr="00456D44" w:rsidRDefault="00320744" w:rsidP="00DC1333">
            <w:pPr>
              <w:rPr>
                <w:sz w:val="16"/>
                <w:szCs w:val="16"/>
              </w:rPr>
            </w:pPr>
            <w:r w:rsidRPr="00456D44">
              <w:rPr>
                <w:sz w:val="16"/>
                <w:szCs w:val="16"/>
              </w:rPr>
              <w:t>Número de renovaciones tramitadas.</w:t>
            </w:r>
          </w:p>
          <w:p w:rsidR="00320744" w:rsidRPr="00456D44" w:rsidRDefault="00320744" w:rsidP="00DC1333">
            <w:pPr>
              <w:rPr>
                <w:sz w:val="16"/>
                <w:szCs w:val="16"/>
              </w:rPr>
            </w:pPr>
            <w:r w:rsidRPr="00456D44">
              <w:rPr>
                <w:sz w:val="16"/>
                <w:szCs w:val="16"/>
              </w:rPr>
              <w:t>Número de modificaciones, incluidas las designaciones posteriores (Madrid)</w:t>
            </w:r>
          </w:p>
        </w:tc>
        <w:tc>
          <w:tcPr>
            <w:tcW w:w="1397" w:type="pct"/>
            <w:tcBorders>
              <w:top w:val="single" w:sz="4" w:space="0" w:color="auto"/>
              <w:bottom w:val="nil"/>
            </w:tcBorders>
            <w:shd w:val="clear" w:color="auto" w:fill="auto"/>
          </w:tcPr>
          <w:p w:rsidR="00320744" w:rsidRPr="00456D44" w:rsidRDefault="00320744" w:rsidP="00DC1333">
            <w:pPr>
              <w:rPr>
                <w:i/>
                <w:color w:val="002060"/>
                <w:sz w:val="16"/>
                <w:szCs w:val="16"/>
              </w:rPr>
            </w:pPr>
            <w:r w:rsidRPr="00456D44">
              <w:rPr>
                <w:i/>
                <w:color w:val="002060"/>
                <w:sz w:val="16"/>
                <w:szCs w:val="16"/>
              </w:rPr>
              <w:t xml:space="preserve">Referencia actualizada a fines de 2013: </w:t>
            </w:r>
          </w:p>
          <w:p w:rsidR="00320744" w:rsidRPr="00456D44" w:rsidRDefault="00320744" w:rsidP="00DC1333">
            <w:pPr>
              <w:rPr>
                <w:color w:val="002060"/>
                <w:sz w:val="16"/>
                <w:szCs w:val="16"/>
              </w:rPr>
            </w:pPr>
          </w:p>
          <w:p w:rsidR="00320744" w:rsidRPr="00456D44" w:rsidRDefault="00320744" w:rsidP="00DC1333">
            <w:pPr>
              <w:rPr>
                <w:color w:val="002060"/>
                <w:sz w:val="16"/>
                <w:szCs w:val="16"/>
              </w:rPr>
            </w:pPr>
            <w:r w:rsidRPr="00456D44">
              <w:rPr>
                <w:color w:val="002060"/>
                <w:sz w:val="16"/>
                <w:szCs w:val="16"/>
              </w:rPr>
              <w:t>2013: 44.414 registros;</w:t>
            </w:r>
          </w:p>
          <w:p w:rsidR="00320744" w:rsidRPr="00456D44" w:rsidRDefault="00320744" w:rsidP="00DC1333">
            <w:pPr>
              <w:rPr>
                <w:color w:val="002060"/>
                <w:sz w:val="16"/>
                <w:szCs w:val="16"/>
              </w:rPr>
            </w:pPr>
            <w:r w:rsidRPr="00456D44">
              <w:rPr>
                <w:color w:val="002060"/>
                <w:sz w:val="16"/>
                <w:szCs w:val="16"/>
              </w:rPr>
              <w:t>23.014 renovaciones;</w:t>
            </w:r>
          </w:p>
          <w:p w:rsidR="00320744" w:rsidRPr="00456D44" w:rsidRDefault="00320744" w:rsidP="00DC1333">
            <w:pPr>
              <w:rPr>
                <w:color w:val="002060"/>
                <w:sz w:val="16"/>
                <w:szCs w:val="16"/>
              </w:rPr>
            </w:pPr>
            <w:r w:rsidRPr="00456D44">
              <w:rPr>
                <w:color w:val="002060"/>
                <w:sz w:val="16"/>
                <w:szCs w:val="16"/>
              </w:rPr>
              <w:t>117.673 modificaciones, incluyendo 14.373 designaciones posteriores</w:t>
            </w:r>
          </w:p>
          <w:p w:rsidR="00320744" w:rsidRPr="00456D44" w:rsidRDefault="00320744" w:rsidP="00DC1333">
            <w:pPr>
              <w:rPr>
                <w:color w:val="002060"/>
                <w:sz w:val="16"/>
                <w:szCs w:val="16"/>
              </w:rPr>
            </w:pPr>
          </w:p>
          <w:p w:rsidR="00320744" w:rsidRPr="00456D44" w:rsidRDefault="00320744" w:rsidP="00DC1333">
            <w:pPr>
              <w:rPr>
                <w:sz w:val="16"/>
                <w:szCs w:val="16"/>
              </w:rPr>
            </w:pPr>
            <w:r w:rsidRPr="00456D44">
              <w:rPr>
                <w:i/>
                <w:sz w:val="16"/>
                <w:szCs w:val="16"/>
              </w:rPr>
              <w:t>Referencia original en el presupuesto de 2013/14:</w:t>
            </w:r>
          </w:p>
          <w:p w:rsidR="00320744" w:rsidRPr="00456D44" w:rsidRDefault="00320744" w:rsidP="00DC1333">
            <w:pPr>
              <w:rPr>
                <w:sz w:val="16"/>
                <w:szCs w:val="16"/>
              </w:rPr>
            </w:pPr>
            <w:r w:rsidRPr="00456D44">
              <w:rPr>
                <w:sz w:val="16"/>
                <w:szCs w:val="16"/>
              </w:rPr>
              <w:t>Registros, renovaciones (véase el Anexo VII).</w:t>
            </w:r>
          </w:p>
          <w:p w:rsidR="00320744" w:rsidRPr="00456D44" w:rsidRDefault="00320744" w:rsidP="00DC1333">
            <w:pPr>
              <w:rPr>
                <w:sz w:val="16"/>
                <w:szCs w:val="16"/>
              </w:rPr>
            </w:pPr>
            <w:r w:rsidRPr="00456D44">
              <w:rPr>
                <w:sz w:val="16"/>
                <w:szCs w:val="16"/>
              </w:rPr>
              <w:t>Se inscribieron 97.500 modificaciones en el Registro (2012)</w:t>
            </w:r>
          </w:p>
        </w:tc>
        <w:tc>
          <w:tcPr>
            <w:tcW w:w="810" w:type="pct"/>
            <w:tcBorders>
              <w:top w:val="single" w:sz="4" w:space="0" w:color="auto"/>
              <w:bottom w:val="nil"/>
            </w:tcBorders>
            <w:shd w:val="clear" w:color="auto" w:fill="auto"/>
            <w:tcMar>
              <w:top w:w="110" w:type="dxa"/>
            </w:tcMar>
          </w:tcPr>
          <w:p w:rsidR="00320744" w:rsidRPr="00456D44" w:rsidRDefault="00320744" w:rsidP="00DC1333">
            <w:pPr>
              <w:rPr>
                <w:sz w:val="16"/>
                <w:szCs w:val="16"/>
                <w:lang w:bidi="th-TH"/>
              </w:rPr>
            </w:pPr>
            <w:r w:rsidRPr="00456D44">
              <w:rPr>
                <w:sz w:val="16"/>
                <w:szCs w:val="16"/>
                <w:lang w:bidi="th-TH"/>
              </w:rPr>
              <w:t>2014: Aumento del 6,3% en los registros y renovaciones</w:t>
            </w:r>
            <w:r w:rsidRPr="00456D44">
              <w:rPr>
                <w:rStyle w:val="FootnoteReference"/>
                <w:sz w:val="16"/>
                <w:szCs w:val="16"/>
                <w:lang w:bidi="th-TH"/>
              </w:rPr>
              <w:footnoteReference w:id="28"/>
            </w:r>
            <w:r w:rsidRPr="00456D44">
              <w:rPr>
                <w:sz w:val="16"/>
                <w:szCs w:val="16"/>
                <w:lang w:bidi="th-TH"/>
              </w:rPr>
              <w:t xml:space="preserve"> </w:t>
            </w:r>
          </w:p>
          <w:p w:rsidR="00320744" w:rsidRPr="00456D44" w:rsidRDefault="00320744" w:rsidP="00DC1333">
            <w:pPr>
              <w:rPr>
                <w:sz w:val="16"/>
                <w:szCs w:val="16"/>
                <w:lang w:bidi="th-TH"/>
              </w:rPr>
            </w:pPr>
          </w:p>
          <w:p w:rsidR="00320744" w:rsidRPr="00456D44" w:rsidRDefault="00320744" w:rsidP="00DC1333">
            <w:pPr>
              <w:rPr>
                <w:sz w:val="16"/>
                <w:szCs w:val="16"/>
                <w:lang w:bidi="th-TH"/>
              </w:rPr>
            </w:pPr>
          </w:p>
          <w:p w:rsidR="00320744" w:rsidRPr="00456D44" w:rsidRDefault="00320744" w:rsidP="00DC1333">
            <w:pPr>
              <w:rPr>
                <w:sz w:val="16"/>
                <w:szCs w:val="16"/>
                <w:lang w:bidi="th-TH"/>
              </w:rPr>
            </w:pPr>
            <w:r w:rsidRPr="00456D44">
              <w:rPr>
                <w:sz w:val="16"/>
                <w:szCs w:val="16"/>
                <w:lang w:bidi="th-TH"/>
              </w:rPr>
              <w:t xml:space="preserve">2015:  Aumento del 3,3% en los registros y renovaciones.  </w:t>
            </w:r>
          </w:p>
          <w:p w:rsidR="00320744" w:rsidRPr="00456D44" w:rsidRDefault="00320744" w:rsidP="00DC1333">
            <w:pPr>
              <w:rPr>
                <w:sz w:val="16"/>
                <w:szCs w:val="16"/>
                <w:lang w:bidi="th-TH"/>
              </w:rPr>
            </w:pPr>
          </w:p>
          <w:p w:rsidR="00320744" w:rsidRPr="00456D44" w:rsidRDefault="00320744" w:rsidP="00DC1333">
            <w:pPr>
              <w:rPr>
                <w:lang w:bidi="th-TH"/>
              </w:rPr>
            </w:pPr>
          </w:p>
          <w:p w:rsidR="00320744" w:rsidRPr="00456D44" w:rsidRDefault="00320744" w:rsidP="00DC1333">
            <w:pPr>
              <w:rPr>
                <w:sz w:val="16"/>
                <w:szCs w:val="16"/>
                <w:lang w:bidi="th-TH"/>
              </w:rPr>
            </w:pPr>
          </w:p>
          <w:p w:rsidR="00320744" w:rsidRPr="00456D44" w:rsidRDefault="00320744" w:rsidP="00DC1333">
            <w:pPr>
              <w:rPr>
                <w:sz w:val="16"/>
                <w:szCs w:val="16"/>
                <w:lang w:bidi="th-TH"/>
              </w:rPr>
            </w:pPr>
            <w:r w:rsidRPr="00456D44">
              <w:rPr>
                <w:sz w:val="16"/>
                <w:szCs w:val="16"/>
                <w:lang w:bidi="th-TH"/>
              </w:rPr>
              <w:t xml:space="preserve">Total de registros: 92.500. </w:t>
            </w:r>
          </w:p>
          <w:p w:rsidR="00320744" w:rsidRPr="00456D44" w:rsidRDefault="00320744" w:rsidP="00DC1333">
            <w:pPr>
              <w:rPr>
                <w:sz w:val="16"/>
                <w:szCs w:val="16"/>
                <w:lang w:bidi="th-TH"/>
              </w:rPr>
            </w:pPr>
          </w:p>
          <w:p w:rsidR="00320744" w:rsidRPr="00456D44" w:rsidRDefault="00320744" w:rsidP="00DC1333">
            <w:pPr>
              <w:rPr>
                <w:sz w:val="16"/>
                <w:szCs w:val="16"/>
                <w:lang w:bidi="th-TH"/>
              </w:rPr>
            </w:pPr>
            <w:r w:rsidRPr="00456D44">
              <w:rPr>
                <w:sz w:val="16"/>
                <w:szCs w:val="16"/>
                <w:lang w:bidi="th-TH"/>
              </w:rPr>
              <w:t xml:space="preserve">Total de renovaciones: 49.000. </w:t>
            </w:r>
          </w:p>
          <w:p w:rsidR="00320744" w:rsidRPr="00456D44" w:rsidRDefault="00320744" w:rsidP="00DC1333">
            <w:pPr>
              <w:rPr>
                <w:sz w:val="16"/>
                <w:szCs w:val="16"/>
                <w:lang w:bidi="th-TH"/>
              </w:rPr>
            </w:pPr>
          </w:p>
          <w:p w:rsidR="00320744" w:rsidRPr="00456D44" w:rsidRDefault="00320744" w:rsidP="00DC1333">
            <w:pPr>
              <w:rPr>
                <w:sz w:val="16"/>
                <w:szCs w:val="16"/>
              </w:rPr>
            </w:pPr>
            <w:r w:rsidRPr="00456D44">
              <w:rPr>
                <w:sz w:val="16"/>
                <w:szCs w:val="16"/>
              </w:rPr>
              <w:t>Total de modificaciones: 200.000, incluyendo 35.000 designaciones posteriores</w:t>
            </w:r>
          </w:p>
        </w:tc>
        <w:tc>
          <w:tcPr>
            <w:tcW w:w="1176" w:type="pct"/>
            <w:tcBorders>
              <w:top w:val="single" w:sz="4" w:space="0" w:color="auto"/>
              <w:bottom w:val="nil"/>
            </w:tcBorders>
            <w:shd w:val="clear" w:color="auto" w:fill="FFFFFF"/>
            <w:tcMar>
              <w:top w:w="110" w:type="dxa"/>
            </w:tcMar>
          </w:tcPr>
          <w:p w:rsidR="00320744" w:rsidRPr="00456D44" w:rsidRDefault="00320744" w:rsidP="00DC1333">
            <w:pPr>
              <w:rPr>
                <w:sz w:val="16"/>
                <w:szCs w:val="16"/>
                <w:lang w:bidi="th-TH"/>
              </w:rPr>
            </w:pPr>
            <w:r w:rsidRPr="00456D44">
              <w:rPr>
                <w:sz w:val="16"/>
                <w:szCs w:val="16"/>
                <w:lang w:bidi="th-TH"/>
              </w:rPr>
              <w:t>2014:  aumento del 1,1% en los registros y renovaciones con respecto a 2013</w:t>
            </w:r>
          </w:p>
          <w:p w:rsidR="00320744" w:rsidRPr="00456D44" w:rsidRDefault="00320744" w:rsidP="00320744">
            <w:pPr>
              <w:pStyle w:val="ListParagraph"/>
              <w:numPr>
                <w:ilvl w:val="0"/>
                <w:numId w:val="26"/>
              </w:numPr>
              <w:rPr>
                <w:rFonts w:cs="Arial"/>
                <w:sz w:val="16"/>
                <w:szCs w:val="16"/>
                <w:lang w:val="es-ES" w:bidi="th-TH"/>
              </w:rPr>
            </w:pPr>
            <w:r w:rsidRPr="00456D44">
              <w:rPr>
                <w:rFonts w:cs="Arial"/>
                <w:sz w:val="16"/>
                <w:szCs w:val="16"/>
                <w:lang w:val="es-ES" w:bidi="th-TH"/>
              </w:rPr>
              <w:t>42.430 registros</w:t>
            </w:r>
          </w:p>
          <w:p w:rsidR="00320744" w:rsidRPr="00456D44" w:rsidRDefault="00320744" w:rsidP="00320744">
            <w:pPr>
              <w:pStyle w:val="ListParagraph"/>
              <w:numPr>
                <w:ilvl w:val="0"/>
                <w:numId w:val="26"/>
              </w:numPr>
              <w:rPr>
                <w:rFonts w:cs="Arial"/>
                <w:sz w:val="16"/>
                <w:szCs w:val="16"/>
                <w:lang w:val="es-ES" w:bidi="th-TH"/>
              </w:rPr>
            </w:pPr>
            <w:r w:rsidRPr="00456D44">
              <w:rPr>
                <w:rFonts w:cs="Arial"/>
                <w:sz w:val="16"/>
                <w:szCs w:val="16"/>
                <w:lang w:val="es-ES" w:bidi="th-TH"/>
              </w:rPr>
              <w:t>25.729 renovaciones.</w:t>
            </w:r>
          </w:p>
          <w:p w:rsidR="00320744" w:rsidRPr="00456D44" w:rsidRDefault="00320744" w:rsidP="00DC1333">
            <w:pPr>
              <w:rPr>
                <w:sz w:val="16"/>
                <w:szCs w:val="16"/>
                <w:lang w:bidi="th-TH"/>
              </w:rPr>
            </w:pPr>
          </w:p>
          <w:p w:rsidR="00320744" w:rsidRPr="00456D44" w:rsidRDefault="00320744" w:rsidP="00DC1333">
            <w:pPr>
              <w:rPr>
                <w:sz w:val="16"/>
                <w:szCs w:val="16"/>
                <w:lang w:bidi="th-TH"/>
              </w:rPr>
            </w:pPr>
            <w:r w:rsidRPr="00456D44">
              <w:rPr>
                <w:sz w:val="16"/>
                <w:szCs w:val="16"/>
                <w:lang w:bidi="th-TH"/>
              </w:rPr>
              <w:t>2015:  aumento del 12,2% del objetivo en registros y renovaciones</w:t>
            </w:r>
            <w:r w:rsidRPr="00456D44">
              <w:rPr>
                <w:rStyle w:val="FootnoteReference"/>
                <w:sz w:val="16"/>
                <w:szCs w:val="16"/>
                <w:lang w:bidi="th-TH"/>
              </w:rPr>
              <w:footnoteReference w:id="29"/>
            </w:r>
            <w:r w:rsidRPr="00456D44">
              <w:rPr>
                <w:sz w:val="16"/>
                <w:szCs w:val="16"/>
                <w:lang w:bidi="th-TH"/>
              </w:rPr>
              <w:t xml:space="preserve"> con respecto a 2014</w:t>
            </w:r>
          </w:p>
          <w:p w:rsidR="00320744" w:rsidRPr="00456D44" w:rsidRDefault="00320744" w:rsidP="00320744">
            <w:pPr>
              <w:pStyle w:val="ListParagraph"/>
              <w:numPr>
                <w:ilvl w:val="0"/>
                <w:numId w:val="26"/>
              </w:numPr>
              <w:rPr>
                <w:rFonts w:cs="Arial"/>
                <w:sz w:val="16"/>
                <w:szCs w:val="16"/>
                <w:lang w:val="es-ES" w:bidi="th-TH"/>
              </w:rPr>
            </w:pPr>
            <w:r w:rsidRPr="00456D44">
              <w:rPr>
                <w:rFonts w:cs="Arial"/>
                <w:sz w:val="16"/>
                <w:szCs w:val="16"/>
                <w:lang w:val="es-ES" w:bidi="th-TH"/>
              </w:rPr>
              <w:t>51.938 registros</w:t>
            </w:r>
          </w:p>
          <w:p w:rsidR="00320744" w:rsidRPr="00456D44" w:rsidRDefault="00320744" w:rsidP="00320744">
            <w:pPr>
              <w:pStyle w:val="ListParagraph"/>
              <w:numPr>
                <w:ilvl w:val="0"/>
                <w:numId w:val="26"/>
              </w:numPr>
              <w:rPr>
                <w:rFonts w:cs="Arial"/>
                <w:sz w:val="16"/>
                <w:szCs w:val="16"/>
                <w:lang w:val="es-ES" w:bidi="th-TH"/>
              </w:rPr>
            </w:pPr>
            <w:r w:rsidRPr="00456D44">
              <w:rPr>
                <w:rFonts w:cs="Arial"/>
                <w:sz w:val="16"/>
                <w:szCs w:val="16"/>
                <w:lang w:val="es-ES" w:bidi="th-TH"/>
              </w:rPr>
              <w:t>28.502 renovaciones</w:t>
            </w:r>
          </w:p>
          <w:p w:rsidR="00320744" w:rsidRPr="00456D44" w:rsidRDefault="00320744">
            <w:pPr>
              <w:rPr>
                <w:sz w:val="16"/>
                <w:szCs w:val="16"/>
                <w:lang w:bidi="th-TH"/>
              </w:rPr>
            </w:pPr>
          </w:p>
          <w:p w:rsidR="00320744" w:rsidRPr="00456D44" w:rsidRDefault="00320744" w:rsidP="00DC1333">
            <w:pPr>
              <w:rPr>
                <w:sz w:val="16"/>
                <w:szCs w:val="16"/>
                <w:lang w:bidi="th-TH"/>
              </w:rPr>
            </w:pPr>
            <w:r w:rsidRPr="00456D44">
              <w:rPr>
                <w:sz w:val="16"/>
                <w:szCs w:val="16"/>
                <w:lang w:bidi="th-TH"/>
              </w:rPr>
              <w:t>Total de registros en 2014/15:  94.368</w:t>
            </w:r>
          </w:p>
          <w:p w:rsidR="00320744" w:rsidRPr="00456D44" w:rsidRDefault="00320744" w:rsidP="00DC1333">
            <w:pPr>
              <w:rPr>
                <w:sz w:val="16"/>
                <w:szCs w:val="16"/>
                <w:lang w:bidi="th-TH"/>
              </w:rPr>
            </w:pPr>
          </w:p>
          <w:p w:rsidR="00320744" w:rsidRPr="00456D44" w:rsidRDefault="00320744" w:rsidP="00DC1333">
            <w:pPr>
              <w:rPr>
                <w:sz w:val="16"/>
                <w:szCs w:val="16"/>
                <w:lang w:bidi="th-TH"/>
              </w:rPr>
            </w:pPr>
            <w:r w:rsidRPr="00456D44">
              <w:rPr>
                <w:sz w:val="16"/>
                <w:szCs w:val="16"/>
                <w:lang w:bidi="th-TH"/>
              </w:rPr>
              <w:t>Total de renovaciones en  2014/15:  54.230.</w:t>
            </w:r>
          </w:p>
          <w:p w:rsidR="00320744" w:rsidRPr="00456D44" w:rsidRDefault="00320744" w:rsidP="00DC1333">
            <w:pPr>
              <w:rPr>
                <w:sz w:val="16"/>
                <w:szCs w:val="16"/>
                <w:lang w:bidi="th-TH"/>
              </w:rPr>
            </w:pPr>
          </w:p>
          <w:p w:rsidR="00320744" w:rsidRPr="00456D44" w:rsidRDefault="00320744" w:rsidP="00DC1333">
            <w:pPr>
              <w:rPr>
                <w:sz w:val="16"/>
                <w:szCs w:val="16"/>
                <w:lang w:bidi="th-TH"/>
              </w:rPr>
            </w:pPr>
          </w:p>
          <w:p w:rsidR="00320744" w:rsidRPr="00456D44" w:rsidRDefault="00320744" w:rsidP="00DC1333">
            <w:pPr>
              <w:rPr>
                <w:sz w:val="16"/>
                <w:szCs w:val="16"/>
                <w:lang w:bidi="th-TH"/>
              </w:rPr>
            </w:pPr>
            <w:r w:rsidRPr="00456D44">
              <w:rPr>
                <w:sz w:val="16"/>
                <w:szCs w:val="16"/>
                <w:lang w:bidi="th-TH"/>
              </w:rPr>
              <w:t>Total de modificaciones en 2014/15: 220.469, entre ellas 35.937 designaciones posteriores</w:t>
            </w:r>
          </w:p>
        </w:tc>
        <w:tc>
          <w:tcPr>
            <w:tcW w:w="513" w:type="pct"/>
            <w:tcBorders>
              <w:top w:val="single" w:sz="4" w:space="0" w:color="auto"/>
              <w:bottom w:val="nil"/>
              <w:right w:val="single" w:sz="4" w:space="0" w:color="auto"/>
            </w:tcBorders>
            <w:shd w:val="clear" w:color="auto" w:fill="auto"/>
            <w:tcMar>
              <w:top w:w="110" w:type="dxa"/>
            </w:tcMar>
          </w:tcPr>
          <w:p w:rsidR="00320744" w:rsidRPr="00456D44" w:rsidRDefault="00320744" w:rsidP="00DC1333">
            <w:pPr>
              <w:keepNext/>
              <w:keepLines/>
              <w:jc w:val="center"/>
              <w:rPr>
                <w:rStyle w:val="Style5"/>
                <w:b/>
                <w:color w:val="FF0000"/>
                <w:sz w:val="12"/>
                <w:szCs w:val="12"/>
              </w:rPr>
            </w:pPr>
            <w:r w:rsidRPr="00456D44">
              <w:rPr>
                <w:rStyle w:val="Style5"/>
                <w:b/>
                <w:color w:val="FF0000"/>
                <w:sz w:val="12"/>
                <w:szCs w:val="12"/>
              </w:rPr>
              <w:t>No se ha logrado</w:t>
            </w:r>
          </w:p>
          <w:p w:rsidR="00320744" w:rsidRPr="00456D44" w:rsidRDefault="00320744" w:rsidP="00DC1333">
            <w:pPr>
              <w:keepNext/>
              <w:keepLines/>
              <w:jc w:val="center"/>
              <w:rPr>
                <w:rStyle w:val="Style5"/>
                <w:b/>
                <w:color w:val="FF0000"/>
                <w:sz w:val="12"/>
                <w:szCs w:val="12"/>
              </w:rPr>
            </w:pPr>
          </w:p>
          <w:p w:rsidR="00320744" w:rsidRPr="00456D44" w:rsidRDefault="00320744" w:rsidP="00DC1333">
            <w:pPr>
              <w:keepNext/>
              <w:keepLines/>
              <w:jc w:val="center"/>
              <w:rPr>
                <w:rStyle w:val="Style5"/>
                <w:b/>
                <w:color w:val="FF0000"/>
                <w:sz w:val="12"/>
                <w:szCs w:val="12"/>
              </w:rPr>
            </w:pPr>
          </w:p>
          <w:p w:rsidR="00320744" w:rsidRPr="00456D44" w:rsidRDefault="00320744" w:rsidP="00DC1333">
            <w:pPr>
              <w:keepNext/>
              <w:keepLines/>
              <w:jc w:val="center"/>
              <w:rPr>
                <w:b/>
                <w:color w:val="00B050"/>
                <w:sz w:val="12"/>
                <w:szCs w:val="12"/>
              </w:rPr>
            </w:pPr>
          </w:p>
          <w:p w:rsidR="00320744" w:rsidRPr="00456D44" w:rsidRDefault="00320744" w:rsidP="00DC1333">
            <w:pPr>
              <w:keepNext/>
              <w:keepLines/>
              <w:jc w:val="center"/>
              <w:rPr>
                <w:b/>
                <w:color w:val="00B050"/>
                <w:sz w:val="12"/>
                <w:szCs w:val="12"/>
              </w:rPr>
            </w:pPr>
          </w:p>
          <w:p w:rsidR="00320744" w:rsidRPr="00456D44" w:rsidRDefault="00320744" w:rsidP="00DC1333">
            <w:pPr>
              <w:keepNext/>
              <w:keepLines/>
              <w:jc w:val="center"/>
              <w:rPr>
                <w:b/>
                <w:color w:val="00B050"/>
                <w:sz w:val="12"/>
                <w:szCs w:val="12"/>
              </w:rPr>
            </w:pPr>
            <w:r w:rsidRPr="00456D44">
              <w:rPr>
                <w:b/>
                <w:color w:val="00B050"/>
                <w:sz w:val="12"/>
                <w:szCs w:val="12"/>
              </w:rPr>
              <w:t>Plenamente logrado</w:t>
            </w:r>
          </w:p>
          <w:p w:rsidR="00320744" w:rsidRPr="00456D44" w:rsidRDefault="00320744" w:rsidP="00DC1333">
            <w:pPr>
              <w:keepNext/>
              <w:keepLines/>
              <w:jc w:val="center"/>
              <w:rPr>
                <w:rStyle w:val="Style5"/>
                <w:b/>
                <w:color w:val="FF0000"/>
                <w:sz w:val="12"/>
                <w:szCs w:val="12"/>
              </w:rPr>
            </w:pPr>
          </w:p>
          <w:p w:rsidR="00320744" w:rsidRPr="00456D44" w:rsidRDefault="00320744" w:rsidP="00DC1333">
            <w:pPr>
              <w:keepNext/>
              <w:keepLines/>
              <w:jc w:val="center"/>
              <w:rPr>
                <w:rStyle w:val="Style5"/>
                <w:b/>
                <w:color w:val="FF0000"/>
                <w:sz w:val="12"/>
                <w:szCs w:val="12"/>
              </w:rPr>
            </w:pPr>
          </w:p>
          <w:p w:rsidR="00320744" w:rsidRPr="00456D44" w:rsidRDefault="00320744" w:rsidP="00DC1333">
            <w:pPr>
              <w:keepNext/>
              <w:keepLines/>
              <w:jc w:val="center"/>
              <w:rPr>
                <w:b/>
                <w:color w:val="00B050"/>
                <w:sz w:val="12"/>
                <w:szCs w:val="12"/>
              </w:rPr>
            </w:pPr>
          </w:p>
          <w:p w:rsidR="00320744" w:rsidRPr="00456D44" w:rsidRDefault="00320744" w:rsidP="00DC1333">
            <w:pPr>
              <w:keepNext/>
              <w:keepLines/>
              <w:jc w:val="center"/>
              <w:rPr>
                <w:b/>
                <w:color w:val="00B050"/>
                <w:sz w:val="12"/>
                <w:szCs w:val="12"/>
              </w:rPr>
            </w:pPr>
          </w:p>
          <w:p w:rsidR="00320744" w:rsidRPr="00456D44" w:rsidRDefault="00320744">
            <w:pPr>
              <w:keepNext/>
              <w:keepLines/>
              <w:jc w:val="center"/>
              <w:rPr>
                <w:b/>
                <w:color w:val="00B050"/>
                <w:sz w:val="12"/>
                <w:szCs w:val="12"/>
              </w:rPr>
            </w:pPr>
            <w:r w:rsidRPr="00456D44">
              <w:rPr>
                <w:b/>
                <w:color w:val="00B050"/>
                <w:sz w:val="12"/>
                <w:szCs w:val="12"/>
              </w:rPr>
              <w:t>Plenamente logrado</w:t>
            </w:r>
          </w:p>
          <w:p w:rsidR="00320744" w:rsidRPr="00456D44" w:rsidRDefault="00320744">
            <w:pPr>
              <w:keepNext/>
              <w:keepLines/>
              <w:jc w:val="center"/>
              <w:rPr>
                <w:b/>
                <w:color w:val="00B050"/>
                <w:sz w:val="12"/>
                <w:szCs w:val="12"/>
              </w:rPr>
            </w:pPr>
          </w:p>
          <w:p w:rsidR="00320744" w:rsidRPr="00456D44" w:rsidRDefault="00320744">
            <w:pPr>
              <w:keepNext/>
              <w:keepLines/>
              <w:jc w:val="center"/>
              <w:rPr>
                <w:b/>
                <w:color w:val="00B050"/>
                <w:sz w:val="12"/>
                <w:szCs w:val="12"/>
              </w:rPr>
            </w:pPr>
            <w:r w:rsidRPr="00456D44">
              <w:rPr>
                <w:b/>
                <w:color w:val="00B050"/>
                <w:sz w:val="12"/>
                <w:szCs w:val="12"/>
              </w:rPr>
              <w:t>Plenamente logrado</w:t>
            </w:r>
          </w:p>
          <w:p w:rsidR="00320744" w:rsidRPr="00456D44" w:rsidRDefault="00320744">
            <w:pPr>
              <w:keepNext/>
              <w:keepLines/>
              <w:jc w:val="center"/>
              <w:rPr>
                <w:b/>
                <w:color w:val="00B050"/>
                <w:sz w:val="12"/>
                <w:szCs w:val="12"/>
              </w:rPr>
            </w:pPr>
          </w:p>
          <w:p w:rsidR="00320744" w:rsidRPr="00456D44" w:rsidRDefault="00320744">
            <w:pPr>
              <w:keepNext/>
              <w:keepLines/>
              <w:jc w:val="center"/>
              <w:rPr>
                <w:rStyle w:val="Style5"/>
                <w:sz w:val="12"/>
                <w:szCs w:val="12"/>
              </w:rPr>
            </w:pPr>
            <w:r w:rsidRPr="00456D44">
              <w:rPr>
                <w:b/>
                <w:color w:val="00B050"/>
                <w:sz w:val="12"/>
                <w:szCs w:val="12"/>
              </w:rPr>
              <w:t>Plenamente logrado</w:t>
            </w:r>
          </w:p>
        </w:tc>
      </w:tr>
      <w:tr w:rsidR="00320744" w:rsidRPr="00456D44" w:rsidTr="00DC1333">
        <w:trPr>
          <w:cantSplit/>
          <w:trHeight w:val="322"/>
        </w:trPr>
        <w:tc>
          <w:tcPr>
            <w:tcW w:w="1104" w:type="pct"/>
            <w:tcBorders>
              <w:top w:val="nil"/>
              <w:left w:val="single" w:sz="4" w:space="0" w:color="auto"/>
              <w:bottom w:val="nil"/>
            </w:tcBorders>
            <w:shd w:val="clear" w:color="auto" w:fill="auto"/>
          </w:tcPr>
          <w:p w:rsidR="00320744" w:rsidRPr="00456D44" w:rsidRDefault="00320744" w:rsidP="00DC1333">
            <w:pPr>
              <w:rPr>
                <w:sz w:val="16"/>
                <w:szCs w:val="16"/>
              </w:rPr>
            </w:pPr>
            <w:r w:rsidRPr="00456D44">
              <w:rPr>
                <w:sz w:val="16"/>
                <w:szCs w:val="16"/>
              </w:rPr>
              <w:t>Traducción de las solicitudes de manera puntual (Madrid)</w:t>
            </w:r>
          </w:p>
          <w:p w:rsidR="00320744" w:rsidRPr="00456D44" w:rsidRDefault="00320744" w:rsidP="00DC1333">
            <w:pPr>
              <w:rPr>
                <w:b/>
                <w:bCs/>
                <w:sz w:val="16"/>
                <w:szCs w:val="16"/>
              </w:rPr>
            </w:pPr>
          </w:p>
        </w:tc>
        <w:tc>
          <w:tcPr>
            <w:tcW w:w="1397" w:type="pct"/>
            <w:tcBorders>
              <w:top w:val="nil"/>
              <w:bottom w:val="nil"/>
            </w:tcBorders>
            <w:shd w:val="clear" w:color="auto" w:fill="auto"/>
          </w:tcPr>
          <w:p w:rsidR="00320744" w:rsidRPr="00456D44" w:rsidRDefault="00320744" w:rsidP="00DC1333">
            <w:pPr>
              <w:rPr>
                <w:bCs/>
                <w:sz w:val="16"/>
                <w:szCs w:val="16"/>
              </w:rPr>
            </w:pPr>
            <w:r w:rsidRPr="00456D44">
              <w:rPr>
                <w:bCs/>
                <w:sz w:val="16"/>
                <w:szCs w:val="16"/>
              </w:rPr>
              <w:t>No se dispone de datos</w:t>
            </w:r>
          </w:p>
        </w:tc>
        <w:tc>
          <w:tcPr>
            <w:tcW w:w="810" w:type="pct"/>
            <w:tcBorders>
              <w:top w:val="nil"/>
              <w:bottom w:val="nil"/>
            </w:tcBorders>
            <w:shd w:val="clear" w:color="auto" w:fill="auto"/>
            <w:tcMar>
              <w:top w:w="110" w:type="dxa"/>
            </w:tcMar>
          </w:tcPr>
          <w:p w:rsidR="00320744" w:rsidRPr="00456D44" w:rsidRDefault="00320744" w:rsidP="00DC1333">
            <w:pPr>
              <w:rPr>
                <w:b/>
                <w:sz w:val="16"/>
                <w:szCs w:val="16"/>
              </w:rPr>
            </w:pPr>
            <w:r w:rsidRPr="00456D44">
              <w:rPr>
                <w:sz w:val="16"/>
                <w:szCs w:val="16"/>
              </w:rPr>
              <w:t>Cuatro semanas</w:t>
            </w:r>
          </w:p>
        </w:tc>
        <w:tc>
          <w:tcPr>
            <w:tcW w:w="1176" w:type="pct"/>
            <w:tcBorders>
              <w:top w:val="nil"/>
              <w:bottom w:val="nil"/>
            </w:tcBorders>
            <w:shd w:val="clear" w:color="auto" w:fill="FFFFFF"/>
            <w:tcMar>
              <w:top w:w="110" w:type="dxa"/>
            </w:tcMar>
          </w:tcPr>
          <w:p w:rsidR="00320744" w:rsidRPr="00456D44" w:rsidRDefault="00320744" w:rsidP="00DC1333">
            <w:pPr>
              <w:rPr>
                <w:bCs/>
                <w:sz w:val="16"/>
                <w:szCs w:val="16"/>
              </w:rPr>
            </w:pPr>
            <w:r w:rsidRPr="00456D44">
              <w:rPr>
                <w:bCs/>
                <w:sz w:val="16"/>
                <w:szCs w:val="16"/>
              </w:rPr>
              <w:t>El tiempo medio de tramitación es de dos semanas</w:t>
            </w:r>
          </w:p>
        </w:tc>
        <w:tc>
          <w:tcPr>
            <w:tcW w:w="513" w:type="pct"/>
            <w:tcBorders>
              <w:top w:val="nil"/>
              <w:bottom w:val="nil"/>
              <w:right w:val="single" w:sz="4" w:space="0" w:color="auto"/>
            </w:tcBorders>
            <w:shd w:val="clear" w:color="auto" w:fill="auto"/>
          </w:tcPr>
          <w:p w:rsidR="00320744" w:rsidRPr="00456D44" w:rsidRDefault="00320744" w:rsidP="00DC1333">
            <w:pPr>
              <w:jc w:val="center"/>
              <w:rPr>
                <w:b/>
                <w:bCs/>
                <w:sz w:val="12"/>
                <w:szCs w:val="12"/>
              </w:rPr>
            </w:pPr>
            <w:r w:rsidRPr="00456D44">
              <w:rPr>
                <w:b/>
                <w:bCs/>
                <w:color w:val="00B050"/>
                <w:sz w:val="12"/>
                <w:szCs w:val="12"/>
              </w:rPr>
              <w:t>Plenamente logrado</w:t>
            </w:r>
          </w:p>
        </w:tc>
      </w:tr>
      <w:tr w:rsidR="00320744" w:rsidRPr="00456D44" w:rsidTr="00DC1333">
        <w:trPr>
          <w:cantSplit/>
        </w:trPr>
        <w:tc>
          <w:tcPr>
            <w:tcW w:w="1104" w:type="pct"/>
            <w:tcBorders>
              <w:top w:val="nil"/>
              <w:left w:val="single" w:sz="4" w:space="0" w:color="auto"/>
              <w:bottom w:val="nil"/>
            </w:tcBorders>
            <w:shd w:val="clear" w:color="auto" w:fill="auto"/>
          </w:tcPr>
          <w:p w:rsidR="00320744" w:rsidRPr="00456D44" w:rsidRDefault="00320744" w:rsidP="00DC1333">
            <w:pPr>
              <w:rPr>
                <w:sz w:val="16"/>
                <w:szCs w:val="16"/>
              </w:rPr>
            </w:pPr>
            <w:r w:rsidRPr="00456D44">
              <w:rPr>
                <w:sz w:val="16"/>
                <w:szCs w:val="16"/>
              </w:rPr>
              <w:t>Disminución del número de correcciones (Madrid)</w:t>
            </w:r>
          </w:p>
        </w:tc>
        <w:tc>
          <w:tcPr>
            <w:tcW w:w="1397" w:type="pct"/>
            <w:tcBorders>
              <w:top w:val="nil"/>
              <w:bottom w:val="nil"/>
            </w:tcBorders>
            <w:shd w:val="clear" w:color="auto" w:fill="auto"/>
          </w:tcPr>
          <w:p w:rsidR="00320744" w:rsidRPr="00456D44" w:rsidRDefault="00320744" w:rsidP="00DC1333">
            <w:pPr>
              <w:rPr>
                <w:i/>
                <w:color w:val="002060"/>
                <w:sz w:val="16"/>
                <w:szCs w:val="16"/>
              </w:rPr>
            </w:pPr>
            <w:r w:rsidRPr="00456D44">
              <w:rPr>
                <w:i/>
                <w:color w:val="002060"/>
                <w:sz w:val="16"/>
                <w:szCs w:val="16"/>
              </w:rPr>
              <w:t>Referencia actualizada a fines de 2013:</w:t>
            </w:r>
            <w:r w:rsidRPr="00456D44">
              <w:rPr>
                <w:color w:val="002060"/>
                <w:sz w:val="16"/>
                <w:szCs w:val="16"/>
              </w:rPr>
              <w:t xml:space="preserve">  2013: 5.197 correcciones recibidas y  </w:t>
            </w:r>
            <w:r w:rsidRPr="00456D44">
              <w:rPr>
                <w:i/>
                <w:color w:val="002060"/>
                <w:sz w:val="16"/>
                <w:szCs w:val="16"/>
              </w:rPr>
              <w:t>4.499 tramitadas</w:t>
            </w:r>
          </w:p>
          <w:p w:rsidR="00320744" w:rsidRPr="00456D44" w:rsidRDefault="00320744" w:rsidP="00DC1333">
            <w:pPr>
              <w:rPr>
                <w:color w:val="002060"/>
                <w:sz w:val="16"/>
                <w:szCs w:val="16"/>
              </w:rPr>
            </w:pPr>
          </w:p>
          <w:p w:rsidR="00320744" w:rsidRPr="00456D44" w:rsidRDefault="00320744" w:rsidP="00DC1333">
            <w:pPr>
              <w:rPr>
                <w:sz w:val="16"/>
                <w:szCs w:val="16"/>
              </w:rPr>
            </w:pPr>
            <w:r w:rsidRPr="00456D44">
              <w:rPr>
                <w:i/>
                <w:sz w:val="16"/>
                <w:szCs w:val="16"/>
              </w:rPr>
              <w:t xml:space="preserve">Referencia original en el presupuesto de 2013/14: </w:t>
            </w:r>
            <w:r w:rsidRPr="00456D44">
              <w:rPr>
                <w:sz w:val="16"/>
                <w:szCs w:val="16"/>
              </w:rPr>
              <w:t>Cifras sobre correcciones en 2012 (5.000 peticiones)</w:t>
            </w:r>
          </w:p>
          <w:p w:rsidR="00320744" w:rsidRPr="00456D44" w:rsidRDefault="00320744" w:rsidP="00DC1333">
            <w:pPr>
              <w:rPr>
                <w:sz w:val="16"/>
                <w:szCs w:val="16"/>
              </w:rPr>
            </w:pPr>
          </w:p>
        </w:tc>
        <w:tc>
          <w:tcPr>
            <w:tcW w:w="810" w:type="pct"/>
            <w:tcBorders>
              <w:top w:val="nil"/>
              <w:bottom w:val="nil"/>
            </w:tcBorders>
            <w:shd w:val="clear" w:color="auto" w:fill="auto"/>
            <w:tcMar>
              <w:top w:w="110" w:type="dxa"/>
            </w:tcMar>
          </w:tcPr>
          <w:p w:rsidR="00320744" w:rsidRPr="00456D44" w:rsidRDefault="00320744" w:rsidP="00DC1333">
            <w:pPr>
              <w:rPr>
                <w:sz w:val="16"/>
                <w:szCs w:val="16"/>
              </w:rPr>
            </w:pPr>
            <w:r w:rsidRPr="00456D44">
              <w:rPr>
                <w:sz w:val="16"/>
                <w:szCs w:val="16"/>
              </w:rPr>
              <w:t>Disminución en un 10% del número de correcciones.</w:t>
            </w:r>
          </w:p>
        </w:tc>
        <w:tc>
          <w:tcPr>
            <w:tcW w:w="1176" w:type="pct"/>
            <w:tcBorders>
              <w:top w:val="nil"/>
              <w:bottom w:val="nil"/>
            </w:tcBorders>
            <w:shd w:val="clear" w:color="auto" w:fill="FFFFFF"/>
            <w:tcMar>
              <w:top w:w="110" w:type="dxa"/>
            </w:tcMar>
          </w:tcPr>
          <w:p w:rsidR="00320744" w:rsidRPr="00456D44" w:rsidRDefault="00320744" w:rsidP="00DC1333">
            <w:pPr>
              <w:rPr>
                <w:sz w:val="16"/>
                <w:szCs w:val="16"/>
                <w:lang w:bidi="th-TH"/>
              </w:rPr>
            </w:pPr>
            <w:r w:rsidRPr="00456D44">
              <w:rPr>
                <w:sz w:val="16"/>
                <w:szCs w:val="16"/>
                <w:lang w:bidi="th-TH"/>
              </w:rPr>
              <w:t>El número de correcciones aumentó en 2014/15</w:t>
            </w:r>
          </w:p>
          <w:p w:rsidR="00320744" w:rsidRPr="00456D44" w:rsidRDefault="00320744" w:rsidP="00320744">
            <w:pPr>
              <w:pStyle w:val="ListParagraph"/>
              <w:numPr>
                <w:ilvl w:val="0"/>
                <w:numId w:val="27"/>
              </w:numPr>
              <w:rPr>
                <w:rFonts w:cs="Arial"/>
                <w:sz w:val="16"/>
                <w:szCs w:val="16"/>
                <w:lang w:val="es-ES" w:bidi="th-TH"/>
              </w:rPr>
            </w:pPr>
            <w:r w:rsidRPr="00456D44">
              <w:rPr>
                <w:rFonts w:cs="Arial"/>
                <w:sz w:val="16"/>
                <w:szCs w:val="16"/>
                <w:lang w:val="es-ES" w:bidi="th-TH"/>
              </w:rPr>
              <w:t>2014:  6.073 correcciones recibidas y 5.737 tramitadas (+17% con respecto a 2013)</w:t>
            </w:r>
          </w:p>
          <w:p w:rsidR="00320744" w:rsidRPr="00456D44" w:rsidRDefault="00320744" w:rsidP="00320744">
            <w:pPr>
              <w:pStyle w:val="ListParagraph"/>
              <w:numPr>
                <w:ilvl w:val="0"/>
                <w:numId w:val="27"/>
              </w:numPr>
              <w:rPr>
                <w:rFonts w:cs="Arial"/>
                <w:sz w:val="16"/>
                <w:szCs w:val="16"/>
                <w:lang w:val="es-ES" w:bidi="th-TH"/>
              </w:rPr>
            </w:pPr>
            <w:r w:rsidRPr="00456D44">
              <w:rPr>
                <w:rFonts w:cs="Arial"/>
                <w:sz w:val="16"/>
                <w:szCs w:val="16"/>
                <w:lang w:val="es-ES" w:bidi="th-TH"/>
              </w:rPr>
              <w:t>2015: 6.127 correcciones recibidas y 5.294 tramitadas (+31% con respecto al objetivo de 2014)</w:t>
            </w:r>
            <w:r w:rsidRPr="00456D44">
              <w:rPr>
                <w:rStyle w:val="FootnoteReference"/>
                <w:rFonts w:cs="Arial"/>
                <w:sz w:val="16"/>
                <w:szCs w:val="16"/>
                <w:lang w:val="es-ES" w:bidi="th-TH"/>
              </w:rPr>
              <w:footnoteReference w:id="30"/>
            </w:r>
          </w:p>
          <w:p w:rsidR="00320744" w:rsidRPr="00456D44" w:rsidRDefault="00320744" w:rsidP="00DC1333">
            <w:pPr>
              <w:rPr>
                <w:sz w:val="16"/>
                <w:szCs w:val="16"/>
                <w:lang w:bidi="th-TH"/>
              </w:rPr>
            </w:pPr>
          </w:p>
        </w:tc>
        <w:tc>
          <w:tcPr>
            <w:tcW w:w="513" w:type="pct"/>
            <w:tcBorders>
              <w:top w:val="nil"/>
              <w:bottom w:val="nil"/>
              <w:right w:val="single" w:sz="4" w:space="0" w:color="auto"/>
            </w:tcBorders>
            <w:shd w:val="clear" w:color="auto" w:fill="auto"/>
          </w:tcPr>
          <w:p w:rsidR="00320744" w:rsidRPr="00456D44" w:rsidRDefault="00320744" w:rsidP="00DC1333">
            <w:pPr>
              <w:jc w:val="center"/>
              <w:rPr>
                <w:rStyle w:val="Style5"/>
                <w:sz w:val="12"/>
                <w:szCs w:val="12"/>
              </w:rPr>
            </w:pPr>
            <w:r w:rsidRPr="00456D44">
              <w:rPr>
                <w:rStyle w:val="Style5"/>
                <w:b/>
                <w:color w:val="FF0000"/>
                <w:sz w:val="12"/>
                <w:szCs w:val="12"/>
              </w:rPr>
              <w:t>No logrado</w:t>
            </w:r>
          </w:p>
        </w:tc>
      </w:tr>
      <w:tr w:rsidR="00320744" w:rsidRPr="00456D44" w:rsidTr="00DC1333">
        <w:trPr>
          <w:cantSplit/>
        </w:trPr>
        <w:tc>
          <w:tcPr>
            <w:tcW w:w="1104" w:type="pct"/>
            <w:tcBorders>
              <w:top w:val="nil"/>
              <w:left w:val="single" w:sz="4" w:space="0" w:color="auto"/>
              <w:bottom w:val="single" w:sz="4" w:space="0" w:color="auto"/>
            </w:tcBorders>
            <w:shd w:val="clear" w:color="auto" w:fill="auto"/>
          </w:tcPr>
          <w:p w:rsidR="00320744" w:rsidRPr="00456D44" w:rsidRDefault="00320744" w:rsidP="00DC1333">
            <w:pPr>
              <w:rPr>
                <w:sz w:val="16"/>
                <w:szCs w:val="16"/>
              </w:rPr>
            </w:pPr>
            <w:r w:rsidRPr="00456D44">
              <w:rPr>
                <w:sz w:val="16"/>
                <w:szCs w:val="16"/>
              </w:rPr>
              <w:t>Aumento de la satisfacción de los clientes (Madrid)</w:t>
            </w:r>
          </w:p>
        </w:tc>
        <w:tc>
          <w:tcPr>
            <w:tcW w:w="1397" w:type="pct"/>
            <w:tcBorders>
              <w:top w:val="nil"/>
              <w:bottom w:val="single" w:sz="4" w:space="0" w:color="auto"/>
            </w:tcBorders>
            <w:shd w:val="clear" w:color="auto" w:fill="auto"/>
          </w:tcPr>
          <w:p w:rsidR="00320744" w:rsidRPr="00456D44" w:rsidRDefault="00320744" w:rsidP="00DC1333">
            <w:pPr>
              <w:rPr>
                <w:i/>
                <w:color w:val="002060"/>
                <w:sz w:val="16"/>
                <w:szCs w:val="16"/>
              </w:rPr>
            </w:pPr>
            <w:r w:rsidRPr="00456D44">
              <w:rPr>
                <w:i/>
                <w:color w:val="002060"/>
                <w:sz w:val="16"/>
                <w:szCs w:val="16"/>
              </w:rPr>
              <w:t xml:space="preserve">Referencia actualizada a fines de 2013:  </w:t>
            </w:r>
          </w:p>
          <w:p w:rsidR="00320744" w:rsidRPr="00456D44" w:rsidRDefault="00320744" w:rsidP="00DC1333">
            <w:pPr>
              <w:rPr>
                <w:i/>
                <w:color w:val="002060"/>
                <w:sz w:val="16"/>
                <w:szCs w:val="16"/>
              </w:rPr>
            </w:pPr>
            <w:r w:rsidRPr="00456D44">
              <w:rPr>
                <w:i/>
                <w:color w:val="002060"/>
                <w:sz w:val="16"/>
                <w:szCs w:val="16"/>
              </w:rPr>
              <w:t>Índice de prestación de servicios:  38.</w:t>
            </w:r>
          </w:p>
          <w:p w:rsidR="00320744" w:rsidRPr="00456D44" w:rsidRDefault="00320744" w:rsidP="00DC1333">
            <w:pPr>
              <w:rPr>
                <w:color w:val="002060"/>
                <w:sz w:val="16"/>
                <w:szCs w:val="16"/>
              </w:rPr>
            </w:pPr>
          </w:p>
          <w:p w:rsidR="00320744" w:rsidRPr="00456D44" w:rsidRDefault="00320744" w:rsidP="00DC1333">
            <w:pPr>
              <w:rPr>
                <w:sz w:val="16"/>
                <w:szCs w:val="16"/>
              </w:rPr>
            </w:pPr>
            <w:r w:rsidRPr="00456D44">
              <w:rPr>
                <w:i/>
                <w:sz w:val="16"/>
                <w:szCs w:val="16"/>
              </w:rPr>
              <w:t xml:space="preserve">Referencia original en el presupuesto de 2013/14: </w:t>
            </w:r>
            <w:r w:rsidRPr="00456D44">
              <w:rPr>
                <w:sz w:val="16"/>
                <w:szCs w:val="16"/>
              </w:rPr>
              <w:t xml:space="preserve">Encuesta de prestación de servicios al cliente en 2012. </w:t>
            </w:r>
          </w:p>
          <w:p w:rsidR="00320744" w:rsidRPr="00456D44" w:rsidRDefault="00320744" w:rsidP="00DC1333">
            <w:pPr>
              <w:rPr>
                <w:sz w:val="16"/>
                <w:szCs w:val="16"/>
              </w:rPr>
            </w:pPr>
            <w:r w:rsidRPr="00456D44">
              <w:rPr>
                <w:sz w:val="16"/>
                <w:szCs w:val="16"/>
              </w:rPr>
              <w:t>Índice de prestación de servicios 79</w:t>
            </w:r>
            <w:r w:rsidRPr="00456D44">
              <w:rPr>
                <w:rStyle w:val="FootnoteReference"/>
                <w:sz w:val="16"/>
                <w:szCs w:val="16"/>
              </w:rPr>
              <w:footnoteReference w:id="31"/>
            </w:r>
          </w:p>
          <w:p w:rsidR="00320744" w:rsidRPr="00456D44" w:rsidRDefault="00320744" w:rsidP="00DC1333">
            <w:pPr>
              <w:rPr>
                <w:i/>
                <w:color w:val="002060"/>
                <w:sz w:val="16"/>
                <w:szCs w:val="16"/>
              </w:rPr>
            </w:pPr>
          </w:p>
        </w:tc>
        <w:tc>
          <w:tcPr>
            <w:tcW w:w="810" w:type="pct"/>
            <w:tcBorders>
              <w:top w:val="nil"/>
              <w:bottom w:val="single" w:sz="4" w:space="0" w:color="auto"/>
            </w:tcBorders>
            <w:shd w:val="clear" w:color="auto" w:fill="auto"/>
            <w:tcMar>
              <w:top w:w="110" w:type="dxa"/>
            </w:tcMar>
          </w:tcPr>
          <w:p w:rsidR="00320744" w:rsidRPr="00456D44" w:rsidRDefault="00320744" w:rsidP="00DC1333">
            <w:pPr>
              <w:rPr>
                <w:sz w:val="16"/>
                <w:szCs w:val="16"/>
              </w:rPr>
            </w:pPr>
            <w:r w:rsidRPr="00456D44">
              <w:rPr>
                <w:sz w:val="16"/>
                <w:szCs w:val="16"/>
              </w:rPr>
              <w:t>Índice de satisfacción más elevado en la siguiente encuesta, centrada en la puntualidad y la capacidad de respuesta</w:t>
            </w:r>
          </w:p>
        </w:tc>
        <w:tc>
          <w:tcPr>
            <w:tcW w:w="1176" w:type="pct"/>
            <w:tcBorders>
              <w:top w:val="nil"/>
              <w:bottom w:val="single" w:sz="4" w:space="0" w:color="auto"/>
            </w:tcBorders>
            <w:shd w:val="clear" w:color="auto" w:fill="FFFFFF"/>
            <w:tcMar>
              <w:top w:w="110" w:type="dxa"/>
            </w:tcMar>
          </w:tcPr>
          <w:p w:rsidR="00320744" w:rsidRPr="00456D44" w:rsidRDefault="00320744" w:rsidP="00DC1333">
            <w:pPr>
              <w:rPr>
                <w:sz w:val="16"/>
                <w:szCs w:val="16"/>
                <w:lang w:bidi="th-TH"/>
              </w:rPr>
            </w:pPr>
            <w:r w:rsidRPr="00456D44">
              <w:rPr>
                <w:sz w:val="16"/>
                <w:szCs w:val="16"/>
                <w:lang w:bidi="th-TH"/>
              </w:rPr>
              <w:t>2014: Índice de prestación de servicios:  39</w:t>
            </w:r>
          </w:p>
          <w:p w:rsidR="00320744" w:rsidRPr="00456D44" w:rsidRDefault="00320744" w:rsidP="00DC1333">
            <w:pPr>
              <w:rPr>
                <w:sz w:val="16"/>
                <w:szCs w:val="16"/>
                <w:lang w:bidi="th-TH"/>
              </w:rPr>
            </w:pPr>
          </w:p>
          <w:p w:rsidR="00320744" w:rsidRPr="00456D44" w:rsidRDefault="00320744" w:rsidP="00DC1333">
            <w:pPr>
              <w:rPr>
                <w:sz w:val="16"/>
                <w:szCs w:val="16"/>
                <w:lang w:bidi="th-TH"/>
              </w:rPr>
            </w:pPr>
            <w:r w:rsidRPr="00456D44">
              <w:rPr>
                <w:sz w:val="16"/>
                <w:szCs w:val="16"/>
                <w:lang w:bidi="th-TH"/>
              </w:rPr>
              <w:t>2015: No se realizó una encuesta correspondiente a este año</w:t>
            </w:r>
          </w:p>
        </w:tc>
        <w:tc>
          <w:tcPr>
            <w:tcW w:w="513" w:type="pct"/>
            <w:tcBorders>
              <w:top w:val="nil"/>
              <w:bottom w:val="single" w:sz="4" w:space="0" w:color="auto"/>
              <w:right w:val="single" w:sz="4" w:space="0" w:color="auto"/>
            </w:tcBorders>
            <w:shd w:val="clear" w:color="auto" w:fill="auto"/>
          </w:tcPr>
          <w:p w:rsidR="00320744" w:rsidRPr="00456D44" w:rsidRDefault="00320744" w:rsidP="00DC1333">
            <w:pPr>
              <w:jc w:val="center"/>
              <w:rPr>
                <w:b/>
                <w:bCs/>
                <w:color w:val="00B050"/>
                <w:sz w:val="12"/>
                <w:szCs w:val="12"/>
              </w:rPr>
            </w:pPr>
            <w:r w:rsidRPr="00456D44">
              <w:rPr>
                <w:b/>
                <w:bCs/>
                <w:color w:val="00B050"/>
                <w:sz w:val="12"/>
                <w:szCs w:val="12"/>
              </w:rPr>
              <w:t>Plenamente logrado</w:t>
            </w:r>
          </w:p>
          <w:p w:rsidR="00320744" w:rsidRPr="00456D44" w:rsidRDefault="00320744" w:rsidP="00DC1333">
            <w:pPr>
              <w:jc w:val="center"/>
              <w:rPr>
                <w:b/>
                <w:bCs/>
                <w:color w:val="00B050"/>
                <w:sz w:val="12"/>
                <w:szCs w:val="12"/>
              </w:rPr>
            </w:pPr>
          </w:p>
          <w:p w:rsidR="00320744" w:rsidRPr="00456D44" w:rsidRDefault="00320744" w:rsidP="00DC1333">
            <w:pPr>
              <w:jc w:val="center"/>
              <w:rPr>
                <w:rStyle w:val="Style5"/>
                <w:sz w:val="12"/>
                <w:szCs w:val="12"/>
              </w:rPr>
            </w:pPr>
            <w:r w:rsidRPr="00456D44">
              <w:rPr>
                <w:b/>
                <w:bCs/>
                <w:color w:val="808080" w:themeColor="background1" w:themeShade="80"/>
                <w:sz w:val="12"/>
                <w:szCs w:val="12"/>
              </w:rPr>
              <w:t>No mensurable</w:t>
            </w:r>
          </w:p>
        </w:tc>
      </w:tr>
      <w:tr w:rsidR="00320744" w:rsidRPr="00456D44" w:rsidTr="00DC1333">
        <w:trPr>
          <w:cantSplit/>
        </w:trPr>
        <w:tc>
          <w:tcPr>
            <w:tcW w:w="1104" w:type="pct"/>
            <w:tcBorders>
              <w:top w:val="single" w:sz="4" w:space="0" w:color="auto"/>
              <w:left w:val="single" w:sz="4" w:space="0" w:color="auto"/>
              <w:bottom w:val="nil"/>
              <w:right w:val="nil"/>
            </w:tcBorders>
            <w:shd w:val="clear" w:color="auto" w:fill="auto"/>
          </w:tcPr>
          <w:p w:rsidR="00320744" w:rsidRPr="00456D44" w:rsidRDefault="00320744" w:rsidP="00DC1333">
            <w:pPr>
              <w:rPr>
                <w:sz w:val="16"/>
                <w:szCs w:val="16"/>
              </w:rPr>
            </w:pPr>
            <w:r w:rsidRPr="00456D44">
              <w:rPr>
                <w:sz w:val="16"/>
                <w:szCs w:val="16"/>
              </w:rPr>
              <w:lastRenderedPageBreak/>
              <w:t>Aumento del uso del intercambio electrónico (Madrid).</w:t>
            </w:r>
          </w:p>
        </w:tc>
        <w:tc>
          <w:tcPr>
            <w:tcW w:w="1397" w:type="pct"/>
            <w:tcBorders>
              <w:top w:val="single" w:sz="4" w:space="0" w:color="auto"/>
              <w:left w:val="nil"/>
              <w:bottom w:val="nil"/>
              <w:right w:val="nil"/>
            </w:tcBorders>
            <w:shd w:val="clear" w:color="auto" w:fill="auto"/>
          </w:tcPr>
          <w:p w:rsidR="00320744" w:rsidRPr="00456D44" w:rsidRDefault="00320744" w:rsidP="00DC1333">
            <w:pPr>
              <w:rPr>
                <w:color w:val="002060"/>
                <w:sz w:val="16"/>
                <w:szCs w:val="16"/>
              </w:rPr>
            </w:pPr>
            <w:r w:rsidRPr="00456D44">
              <w:rPr>
                <w:i/>
                <w:color w:val="002060"/>
                <w:sz w:val="16"/>
                <w:szCs w:val="16"/>
              </w:rPr>
              <w:t xml:space="preserve">Referencia actualizada a fines de 2013:  </w:t>
            </w:r>
            <w:r w:rsidRPr="00456D44">
              <w:rPr>
                <w:color w:val="002060"/>
                <w:sz w:val="16"/>
                <w:szCs w:val="16"/>
              </w:rPr>
              <w:t>67% de documentos recibidos electrónicamente</w:t>
            </w:r>
          </w:p>
          <w:p w:rsidR="00320744" w:rsidRPr="00456D44" w:rsidRDefault="00320744" w:rsidP="00DC1333">
            <w:pPr>
              <w:rPr>
                <w:color w:val="002060"/>
                <w:sz w:val="16"/>
                <w:szCs w:val="16"/>
              </w:rPr>
            </w:pPr>
          </w:p>
          <w:p w:rsidR="00320744" w:rsidRPr="00456D44" w:rsidRDefault="00320744" w:rsidP="00DC1333">
            <w:pPr>
              <w:rPr>
                <w:color w:val="002060"/>
                <w:sz w:val="16"/>
                <w:szCs w:val="16"/>
              </w:rPr>
            </w:pPr>
            <w:r w:rsidRPr="00456D44">
              <w:rPr>
                <w:color w:val="002060"/>
                <w:sz w:val="16"/>
                <w:szCs w:val="16"/>
              </w:rPr>
              <w:t>158.717 notificaciones recibidas por correo-e</w:t>
            </w:r>
          </w:p>
          <w:p w:rsidR="00320744" w:rsidRPr="00456D44" w:rsidRDefault="00320744" w:rsidP="00DC1333">
            <w:pPr>
              <w:rPr>
                <w:color w:val="002060"/>
                <w:sz w:val="16"/>
                <w:szCs w:val="16"/>
              </w:rPr>
            </w:pPr>
          </w:p>
          <w:p w:rsidR="00320744" w:rsidRPr="00456D44" w:rsidRDefault="00320744" w:rsidP="00DC1333">
            <w:pPr>
              <w:rPr>
                <w:color w:val="002060"/>
                <w:sz w:val="16"/>
                <w:szCs w:val="16"/>
              </w:rPr>
            </w:pPr>
            <w:r w:rsidRPr="00456D44">
              <w:rPr>
                <w:color w:val="002060"/>
                <w:sz w:val="16"/>
                <w:szCs w:val="16"/>
              </w:rPr>
              <w:t>714 clientes del Gestor de carteras del Sistema de Madrid</w:t>
            </w:r>
          </w:p>
          <w:p w:rsidR="00320744" w:rsidRPr="00456D44" w:rsidRDefault="00320744" w:rsidP="00DC1333">
            <w:pPr>
              <w:rPr>
                <w:color w:val="002060"/>
                <w:sz w:val="16"/>
                <w:szCs w:val="16"/>
              </w:rPr>
            </w:pPr>
          </w:p>
          <w:p w:rsidR="00320744" w:rsidRPr="00456D44" w:rsidRDefault="00320744" w:rsidP="00DC1333">
            <w:pPr>
              <w:rPr>
                <w:color w:val="002060"/>
                <w:sz w:val="16"/>
                <w:szCs w:val="16"/>
              </w:rPr>
            </w:pPr>
            <w:r w:rsidRPr="00456D44">
              <w:rPr>
                <w:color w:val="002060"/>
                <w:sz w:val="16"/>
                <w:szCs w:val="16"/>
              </w:rPr>
              <w:t>16 oficinas que envían solicitudes en XML</w:t>
            </w:r>
          </w:p>
          <w:p w:rsidR="00320744" w:rsidRPr="00456D44" w:rsidRDefault="00320744" w:rsidP="00DC1333">
            <w:pPr>
              <w:rPr>
                <w:i/>
                <w:color w:val="002060"/>
                <w:sz w:val="16"/>
                <w:szCs w:val="16"/>
              </w:rPr>
            </w:pPr>
          </w:p>
          <w:p w:rsidR="00320744" w:rsidRPr="00456D44" w:rsidRDefault="00320744" w:rsidP="00DC1333">
            <w:pPr>
              <w:rPr>
                <w:i/>
                <w:sz w:val="16"/>
                <w:szCs w:val="16"/>
              </w:rPr>
            </w:pPr>
            <w:r w:rsidRPr="00456D44">
              <w:rPr>
                <w:i/>
                <w:sz w:val="16"/>
                <w:szCs w:val="16"/>
              </w:rPr>
              <w:t>Referencia original en el presupuesto de 2013/14:</w:t>
            </w:r>
          </w:p>
          <w:p w:rsidR="00320744" w:rsidRPr="00456D44" w:rsidRDefault="00320744" w:rsidP="00DC1333">
            <w:pPr>
              <w:rPr>
                <w:i/>
                <w:color w:val="002060"/>
                <w:sz w:val="16"/>
                <w:szCs w:val="16"/>
              </w:rPr>
            </w:pPr>
            <w:r w:rsidRPr="00456D44">
              <w:rPr>
                <w:i/>
                <w:sz w:val="16"/>
                <w:szCs w:val="16"/>
              </w:rPr>
              <w:t>60% de documentos recibidos electrónicamente;  85.000 marcas notificadas por correo electrónico;  200 usuarios que utilizan el Gestor de carteras del Sistema de Madrid;  17 oficinas que envían solicitudes en XML</w:t>
            </w:r>
          </w:p>
        </w:tc>
        <w:tc>
          <w:tcPr>
            <w:tcW w:w="810" w:type="pct"/>
            <w:tcBorders>
              <w:top w:val="single" w:sz="4" w:space="0" w:color="auto"/>
              <w:left w:val="nil"/>
              <w:bottom w:val="nil"/>
              <w:right w:val="nil"/>
            </w:tcBorders>
            <w:shd w:val="clear" w:color="auto" w:fill="auto"/>
            <w:tcMar>
              <w:top w:w="110" w:type="dxa"/>
            </w:tcMar>
          </w:tcPr>
          <w:p w:rsidR="00320744" w:rsidRPr="00456D44" w:rsidRDefault="00320744" w:rsidP="00DC1333">
            <w:pPr>
              <w:rPr>
                <w:sz w:val="16"/>
                <w:szCs w:val="16"/>
              </w:rPr>
            </w:pPr>
            <w:r w:rsidRPr="00456D44">
              <w:rPr>
                <w:sz w:val="16"/>
                <w:szCs w:val="16"/>
              </w:rPr>
              <w:t>70% de documentos recibidos electrónicamente;  110.000 marcas notificadas por correo–e;  1.000 usuarios que utilizan el Gestor de carteras del sistema de Madrid;  23 oficinas que envían solicitudes en XML.</w:t>
            </w:r>
          </w:p>
        </w:tc>
        <w:tc>
          <w:tcPr>
            <w:tcW w:w="1176" w:type="pct"/>
            <w:tcBorders>
              <w:top w:val="single" w:sz="4" w:space="0" w:color="auto"/>
              <w:left w:val="nil"/>
              <w:bottom w:val="nil"/>
              <w:right w:val="nil"/>
            </w:tcBorders>
            <w:shd w:val="clear" w:color="auto" w:fill="FFFFFF"/>
            <w:tcMar>
              <w:top w:w="110" w:type="dxa"/>
            </w:tcMar>
          </w:tcPr>
          <w:p w:rsidR="00320744" w:rsidRPr="00456D44" w:rsidRDefault="00320744" w:rsidP="00DC1333">
            <w:pPr>
              <w:rPr>
                <w:color w:val="000000" w:themeColor="text1"/>
                <w:sz w:val="16"/>
                <w:szCs w:val="16"/>
                <w:lang w:bidi="th-TH"/>
              </w:rPr>
            </w:pPr>
            <w:r w:rsidRPr="00456D44">
              <w:rPr>
                <w:color w:val="000000" w:themeColor="text1"/>
                <w:sz w:val="16"/>
                <w:szCs w:val="16"/>
                <w:lang w:bidi="th-TH"/>
              </w:rPr>
              <w:t>79% de documentos recibidos electrónicamente en 2015.  (70% en 2014)</w:t>
            </w:r>
          </w:p>
          <w:p w:rsidR="00320744" w:rsidRPr="00456D44" w:rsidRDefault="00320744" w:rsidP="00DC1333">
            <w:pPr>
              <w:rPr>
                <w:color w:val="000000" w:themeColor="text1"/>
                <w:sz w:val="16"/>
                <w:szCs w:val="16"/>
                <w:lang w:bidi="th-TH"/>
              </w:rPr>
            </w:pPr>
          </w:p>
          <w:p w:rsidR="00320744" w:rsidRPr="00456D44" w:rsidRDefault="00320744" w:rsidP="00DC1333">
            <w:pPr>
              <w:rPr>
                <w:color w:val="000000" w:themeColor="text1"/>
                <w:sz w:val="16"/>
                <w:szCs w:val="16"/>
                <w:lang w:bidi="th-TH"/>
              </w:rPr>
            </w:pPr>
            <w:r w:rsidRPr="00456D44">
              <w:rPr>
                <w:color w:val="000000" w:themeColor="text1"/>
                <w:sz w:val="16"/>
                <w:szCs w:val="16"/>
                <w:lang w:bidi="th-TH"/>
              </w:rPr>
              <w:t>Correos electrónicos (RSD) 325.000 notificaciones por correo–e en 2015 (220.000 en 2014)</w:t>
            </w:r>
          </w:p>
          <w:p w:rsidR="00320744" w:rsidRPr="00456D44" w:rsidRDefault="00320744" w:rsidP="00DC1333">
            <w:pPr>
              <w:rPr>
                <w:color w:val="000000" w:themeColor="text1"/>
                <w:sz w:val="16"/>
                <w:szCs w:val="16"/>
                <w:lang w:bidi="th-TH"/>
              </w:rPr>
            </w:pPr>
          </w:p>
          <w:p w:rsidR="00320744" w:rsidRPr="00456D44" w:rsidRDefault="00320744" w:rsidP="00DC1333">
            <w:pPr>
              <w:rPr>
                <w:color w:val="000000" w:themeColor="text1"/>
                <w:sz w:val="16"/>
                <w:szCs w:val="16"/>
                <w:lang w:bidi="th-TH"/>
              </w:rPr>
            </w:pPr>
            <w:r w:rsidRPr="00456D44">
              <w:rPr>
                <w:color w:val="000000" w:themeColor="text1"/>
                <w:sz w:val="16"/>
                <w:szCs w:val="16"/>
                <w:lang w:bidi="th-TH"/>
              </w:rPr>
              <w:t xml:space="preserve">2.752 clientes </w:t>
            </w:r>
            <w:r w:rsidRPr="00456D44">
              <w:rPr>
                <w:sz w:val="16"/>
                <w:szCs w:val="16"/>
              </w:rPr>
              <w:t>que utilizan</w:t>
            </w:r>
            <w:r w:rsidRPr="00456D44">
              <w:rPr>
                <w:color w:val="000000" w:themeColor="text1"/>
                <w:sz w:val="16"/>
                <w:szCs w:val="16"/>
                <w:lang w:bidi="th-TH"/>
              </w:rPr>
              <w:t xml:space="preserve"> el Gestor de carteras del Sistema de Madrid en 2015 (1.800 en 2014)</w:t>
            </w:r>
          </w:p>
          <w:p w:rsidR="00320744" w:rsidRPr="00456D44" w:rsidRDefault="00320744" w:rsidP="00DC1333">
            <w:pPr>
              <w:rPr>
                <w:color w:val="000000" w:themeColor="text1"/>
                <w:sz w:val="16"/>
                <w:szCs w:val="16"/>
                <w:lang w:bidi="th-TH"/>
              </w:rPr>
            </w:pPr>
          </w:p>
          <w:p w:rsidR="00320744" w:rsidRPr="00456D44" w:rsidRDefault="00320744" w:rsidP="00DC1333">
            <w:pPr>
              <w:rPr>
                <w:sz w:val="16"/>
                <w:szCs w:val="16"/>
                <w:lang w:bidi="th-TH"/>
              </w:rPr>
            </w:pPr>
            <w:r w:rsidRPr="00456D44">
              <w:rPr>
                <w:color w:val="000000" w:themeColor="text1"/>
                <w:sz w:val="16"/>
                <w:szCs w:val="16"/>
                <w:lang w:bidi="th-TH"/>
              </w:rPr>
              <w:t>27 oficinas que envían solicitudes en XML en 2015 (24 en 2014)</w:t>
            </w:r>
          </w:p>
        </w:tc>
        <w:tc>
          <w:tcPr>
            <w:tcW w:w="513" w:type="pct"/>
            <w:tcBorders>
              <w:top w:val="single" w:sz="4" w:space="0" w:color="auto"/>
              <w:left w:val="nil"/>
              <w:bottom w:val="nil"/>
              <w:right w:val="single" w:sz="4" w:space="0" w:color="auto"/>
            </w:tcBorders>
            <w:shd w:val="clear" w:color="auto" w:fill="auto"/>
            <w:tcMar>
              <w:top w:w="110" w:type="dxa"/>
            </w:tcMar>
          </w:tcPr>
          <w:p w:rsidR="00320744" w:rsidRPr="00456D44" w:rsidRDefault="00320744" w:rsidP="00DC1333">
            <w:pPr>
              <w:jc w:val="center"/>
              <w:rPr>
                <w:b/>
                <w:bCs/>
                <w:color w:val="00B050"/>
                <w:sz w:val="12"/>
                <w:szCs w:val="12"/>
              </w:rPr>
            </w:pPr>
            <w:r w:rsidRPr="00456D44">
              <w:rPr>
                <w:b/>
                <w:bCs/>
                <w:color w:val="00B050"/>
                <w:sz w:val="12"/>
                <w:szCs w:val="12"/>
              </w:rPr>
              <w:t>Plenamente logrado</w:t>
            </w:r>
          </w:p>
          <w:p w:rsidR="00320744" w:rsidRPr="00456D44" w:rsidRDefault="00320744" w:rsidP="00DC1333">
            <w:pPr>
              <w:jc w:val="center"/>
              <w:rPr>
                <w:b/>
                <w:bCs/>
                <w:color w:val="00B050"/>
                <w:sz w:val="12"/>
                <w:szCs w:val="12"/>
              </w:rPr>
            </w:pPr>
          </w:p>
          <w:p w:rsidR="00320744" w:rsidRPr="00456D44" w:rsidRDefault="00320744" w:rsidP="00DC1333">
            <w:pPr>
              <w:jc w:val="center"/>
              <w:rPr>
                <w:b/>
                <w:bCs/>
                <w:color w:val="00B050"/>
                <w:sz w:val="12"/>
                <w:szCs w:val="12"/>
              </w:rPr>
            </w:pPr>
          </w:p>
          <w:p w:rsidR="00320744" w:rsidRPr="00456D44" w:rsidRDefault="00320744" w:rsidP="00DC1333">
            <w:pPr>
              <w:jc w:val="center"/>
              <w:rPr>
                <w:b/>
                <w:bCs/>
                <w:color w:val="00B050"/>
                <w:sz w:val="12"/>
                <w:szCs w:val="12"/>
              </w:rPr>
            </w:pPr>
            <w:r w:rsidRPr="00456D44">
              <w:rPr>
                <w:b/>
                <w:bCs/>
                <w:color w:val="00B050"/>
                <w:sz w:val="12"/>
                <w:szCs w:val="12"/>
              </w:rPr>
              <w:t>Plenamente logrado</w:t>
            </w:r>
          </w:p>
          <w:p w:rsidR="00320744" w:rsidRPr="00456D44" w:rsidRDefault="00320744" w:rsidP="00DC1333">
            <w:pPr>
              <w:jc w:val="center"/>
              <w:rPr>
                <w:b/>
                <w:bCs/>
                <w:color w:val="00B050"/>
                <w:sz w:val="12"/>
                <w:szCs w:val="12"/>
              </w:rPr>
            </w:pPr>
          </w:p>
          <w:p w:rsidR="00320744" w:rsidRPr="00456D44" w:rsidRDefault="00320744" w:rsidP="00DC1333">
            <w:pPr>
              <w:jc w:val="center"/>
              <w:rPr>
                <w:b/>
                <w:bCs/>
                <w:color w:val="00B050"/>
                <w:sz w:val="12"/>
                <w:szCs w:val="12"/>
              </w:rPr>
            </w:pPr>
          </w:p>
          <w:p w:rsidR="00320744" w:rsidRPr="00456D44" w:rsidRDefault="00320744" w:rsidP="00DC1333">
            <w:pPr>
              <w:jc w:val="center"/>
              <w:rPr>
                <w:b/>
                <w:bCs/>
                <w:color w:val="00B050"/>
                <w:sz w:val="12"/>
                <w:szCs w:val="12"/>
              </w:rPr>
            </w:pPr>
            <w:r w:rsidRPr="00456D44">
              <w:rPr>
                <w:b/>
                <w:bCs/>
                <w:color w:val="00B050"/>
                <w:sz w:val="12"/>
                <w:szCs w:val="12"/>
              </w:rPr>
              <w:t>Plenamente logrado</w:t>
            </w:r>
          </w:p>
          <w:p w:rsidR="00320744" w:rsidRPr="00456D44" w:rsidRDefault="00320744" w:rsidP="00DC1333">
            <w:pPr>
              <w:jc w:val="center"/>
              <w:rPr>
                <w:b/>
                <w:bCs/>
                <w:color w:val="00B050"/>
                <w:sz w:val="12"/>
                <w:szCs w:val="12"/>
              </w:rPr>
            </w:pPr>
          </w:p>
          <w:p w:rsidR="00320744" w:rsidRPr="00456D44" w:rsidRDefault="00320744" w:rsidP="00DC1333">
            <w:pPr>
              <w:jc w:val="center"/>
              <w:rPr>
                <w:b/>
                <w:bCs/>
                <w:color w:val="00B050"/>
                <w:sz w:val="12"/>
                <w:szCs w:val="12"/>
              </w:rPr>
            </w:pPr>
          </w:p>
          <w:p w:rsidR="00320744" w:rsidRPr="00456D44" w:rsidRDefault="00320744" w:rsidP="00DC1333">
            <w:pPr>
              <w:jc w:val="center"/>
              <w:rPr>
                <w:bCs/>
                <w:color w:val="008000"/>
                <w:sz w:val="12"/>
                <w:szCs w:val="12"/>
              </w:rPr>
            </w:pPr>
            <w:r w:rsidRPr="00456D44">
              <w:rPr>
                <w:b/>
                <w:bCs/>
                <w:color w:val="00B050"/>
                <w:sz w:val="12"/>
                <w:szCs w:val="12"/>
              </w:rPr>
              <w:t>Plenamente logrado</w:t>
            </w:r>
          </w:p>
        </w:tc>
      </w:tr>
      <w:tr w:rsidR="00320744" w:rsidRPr="00456D44" w:rsidTr="00DC1333">
        <w:trPr>
          <w:cantSplit/>
        </w:trPr>
        <w:tc>
          <w:tcPr>
            <w:tcW w:w="1104" w:type="pct"/>
            <w:tcBorders>
              <w:top w:val="nil"/>
              <w:left w:val="single" w:sz="4" w:space="0" w:color="auto"/>
              <w:bottom w:val="nil"/>
            </w:tcBorders>
            <w:shd w:val="clear" w:color="auto" w:fill="auto"/>
          </w:tcPr>
          <w:p w:rsidR="00320744" w:rsidRPr="00456D44" w:rsidRDefault="00320744" w:rsidP="00DC1333">
            <w:pPr>
              <w:keepNext/>
              <w:keepLines/>
              <w:rPr>
                <w:sz w:val="16"/>
                <w:szCs w:val="16"/>
              </w:rPr>
            </w:pPr>
            <w:r w:rsidRPr="00456D44">
              <w:rPr>
                <w:sz w:val="16"/>
                <w:szCs w:val="16"/>
              </w:rPr>
              <w:t>Perfeccionamiento de los medios electrónicos de comunicación y publicación en el marco de los procedimientos del Arreglo de Lisboa</w:t>
            </w:r>
          </w:p>
        </w:tc>
        <w:tc>
          <w:tcPr>
            <w:tcW w:w="1397" w:type="pct"/>
            <w:tcBorders>
              <w:top w:val="nil"/>
              <w:bottom w:val="nil"/>
            </w:tcBorders>
            <w:shd w:val="clear" w:color="auto" w:fill="auto"/>
          </w:tcPr>
          <w:p w:rsidR="00320744" w:rsidRPr="00456D44" w:rsidRDefault="00320744" w:rsidP="00DC1333">
            <w:pPr>
              <w:keepNext/>
              <w:keepLines/>
              <w:rPr>
                <w:sz w:val="16"/>
                <w:szCs w:val="16"/>
              </w:rPr>
            </w:pPr>
            <w:r w:rsidRPr="00456D44">
              <w:rPr>
                <w:sz w:val="16"/>
                <w:szCs w:val="16"/>
              </w:rPr>
              <w:t>Medios electrónicos en funcionamiento a fines de 2013</w:t>
            </w:r>
          </w:p>
        </w:tc>
        <w:tc>
          <w:tcPr>
            <w:tcW w:w="810" w:type="pct"/>
            <w:tcBorders>
              <w:top w:val="nil"/>
              <w:bottom w:val="nil"/>
            </w:tcBorders>
            <w:shd w:val="clear" w:color="auto" w:fill="auto"/>
            <w:tcMar>
              <w:top w:w="110" w:type="dxa"/>
            </w:tcMar>
          </w:tcPr>
          <w:p w:rsidR="00320744" w:rsidRPr="00456D44" w:rsidRDefault="00320744" w:rsidP="00DC1333">
            <w:pPr>
              <w:keepNext/>
              <w:keepLines/>
              <w:rPr>
                <w:sz w:val="16"/>
                <w:szCs w:val="16"/>
              </w:rPr>
            </w:pPr>
            <w:r w:rsidRPr="00456D44">
              <w:rPr>
                <w:sz w:val="16"/>
                <w:szCs w:val="16"/>
              </w:rPr>
              <w:t xml:space="preserve">Sistema de presentación electrónica e incorporación del boletín del Sistema de Lisboa a la base de datos </w:t>
            </w:r>
            <w:proofErr w:type="spellStart"/>
            <w:r w:rsidRPr="00456D44">
              <w:rPr>
                <w:i/>
                <w:sz w:val="16"/>
                <w:szCs w:val="16"/>
              </w:rPr>
              <w:t>Lisbon</w:t>
            </w:r>
            <w:proofErr w:type="spellEnd"/>
            <w:r w:rsidRPr="00456D44">
              <w:rPr>
                <w:i/>
                <w:sz w:val="16"/>
                <w:szCs w:val="16"/>
              </w:rPr>
              <w:t xml:space="preserve"> Express</w:t>
            </w:r>
            <w:r w:rsidRPr="00456D44">
              <w:rPr>
                <w:sz w:val="16"/>
                <w:szCs w:val="16"/>
              </w:rPr>
              <w:t>.</w:t>
            </w:r>
          </w:p>
        </w:tc>
        <w:tc>
          <w:tcPr>
            <w:tcW w:w="1176" w:type="pct"/>
            <w:tcBorders>
              <w:top w:val="nil"/>
              <w:bottom w:val="nil"/>
            </w:tcBorders>
            <w:shd w:val="clear" w:color="auto" w:fill="FFFFFF"/>
            <w:tcMar>
              <w:top w:w="110" w:type="dxa"/>
            </w:tcMar>
          </w:tcPr>
          <w:p w:rsidR="00320744" w:rsidRPr="00456D44" w:rsidRDefault="00320744" w:rsidP="00DC1333">
            <w:pPr>
              <w:keepNext/>
              <w:keepLines/>
              <w:rPr>
                <w:sz w:val="16"/>
                <w:szCs w:val="16"/>
              </w:rPr>
            </w:pPr>
            <w:r w:rsidRPr="00456D44">
              <w:rPr>
                <w:sz w:val="16"/>
                <w:szCs w:val="16"/>
              </w:rPr>
              <w:t>Se introdujo un procedimiento simplificado para notificaciones a través del sistema de notificación de consultas (WINS) de la OMPI</w:t>
            </w:r>
          </w:p>
          <w:p w:rsidR="00320744" w:rsidRPr="00456D44" w:rsidRDefault="00320744" w:rsidP="00DC1333">
            <w:pPr>
              <w:keepNext/>
              <w:keepLines/>
              <w:rPr>
                <w:sz w:val="16"/>
                <w:szCs w:val="16"/>
              </w:rPr>
            </w:pPr>
          </w:p>
        </w:tc>
        <w:tc>
          <w:tcPr>
            <w:tcW w:w="513" w:type="pct"/>
            <w:tcBorders>
              <w:top w:val="nil"/>
              <w:bottom w:val="nil"/>
              <w:right w:val="single" w:sz="4" w:space="0" w:color="auto"/>
            </w:tcBorders>
            <w:shd w:val="clear" w:color="auto" w:fill="auto"/>
          </w:tcPr>
          <w:p w:rsidR="00320744" w:rsidRPr="00456D44" w:rsidRDefault="00320744" w:rsidP="00DC1333">
            <w:pPr>
              <w:keepNext/>
              <w:keepLines/>
              <w:ind w:left="-8"/>
              <w:jc w:val="center"/>
              <w:rPr>
                <w:rStyle w:val="Style5"/>
                <w:sz w:val="12"/>
                <w:szCs w:val="12"/>
              </w:rPr>
            </w:pPr>
            <w:r w:rsidRPr="00456D44">
              <w:rPr>
                <w:b/>
                <w:color w:val="E36C0A" w:themeColor="accent6" w:themeShade="BF"/>
                <w:sz w:val="12"/>
                <w:szCs w:val="12"/>
              </w:rPr>
              <w:t>Parcialmente logrado</w:t>
            </w:r>
          </w:p>
        </w:tc>
      </w:tr>
      <w:tr w:rsidR="00320744" w:rsidRPr="00456D44" w:rsidTr="00DC1333">
        <w:trPr>
          <w:cantSplit/>
        </w:trPr>
        <w:tc>
          <w:tcPr>
            <w:tcW w:w="1104" w:type="pct"/>
            <w:tcBorders>
              <w:top w:val="nil"/>
              <w:left w:val="single" w:sz="4" w:space="0" w:color="auto"/>
              <w:bottom w:val="single" w:sz="4" w:space="0" w:color="auto"/>
            </w:tcBorders>
            <w:shd w:val="clear" w:color="auto" w:fill="auto"/>
          </w:tcPr>
          <w:p w:rsidR="00320744" w:rsidRPr="00456D44" w:rsidRDefault="00320744" w:rsidP="00DC1333">
            <w:pPr>
              <w:keepNext/>
              <w:keepLines/>
              <w:rPr>
                <w:sz w:val="16"/>
                <w:szCs w:val="16"/>
              </w:rPr>
            </w:pPr>
            <w:r w:rsidRPr="00456D44">
              <w:rPr>
                <w:sz w:val="16"/>
                <w:szCs w:val="16"/>
              </w:rPr>
              <w:t>Perfeccionamiento del Registro Internacional electrónico del sistema de Lisboa.</w:t>
            </w:r>
          </w:p>
        </w:tc>
        <w:tc>
          <w:tcPr>
            <w:tcW w:w="1397" w:type="pct"/>
            <w:tcBorders>
              <w:top w:val="nil"/>
              <w:bottom w:val="single" w:sz="4" w:space="0" w:color="auto"/>
            </w:tcBorders>
            <w:shd w:val="clear" w:color="auto" w:fill="auto"/>
          </w:tcPr>
          <w:p w:rsidR="00320744" w:rsidRPr="00456D44" w:rsidRDefault="00320744" w:rsidP="00DC1333">
            <w:pPr>
              <w:keepNext/>
              <w:keepLines/>
              <w:rPr>
                <w:color w:val="002060"/>
                <w:sz w:val="16"/>
                <w:szCs w:val="16"/>
              </w:rPr>
            </w:pPr>
            <w:r w:rsidRPr="00456D44">
              <w:rPr>
                <w:i/>
                <w:color w:val="002060"/>
                <w:sz w:val="16"/>
                <w:szCs w:val="16"/>
              </w:rPr>
              <w:t xml:space="preserve">Referencia actualizada a fines de 2013:  </w:t>
            </w:r>
            <w:r w:rsidRPr="00456D44">
              <w:rPr>
                <w:color w:val="002060"/>
                <w:sz w:val="16"/>
                <w:szCs w:val="16"/>
              </w:rPr>
              <w:t>Aplicación informática para un Registro Internacional electrónico en funcionamiento desde el verano de 2013.</w:t>
            </w:r>
          </w:p>
          <w:p w:rsidR="00320744" w:rsidRPr="00456D44" w:rsidRDefault="00320744" w:rsidP="00DC1333">
            <w:pPr>
              <w:keepNext/>
              <w:keepLines/>
              <w:rPr>
                <w:color w:val="002060"/>
                <w:sz w:val="16"/>
                <w:szCs w:val="16"/>
              </w:rPr>
            </w:pPr>
          </w:p>
          <w:p w:rsidR="00320744" w:rsidRPr="00456D44" w:rsidRDefault="00320744" w:rsidP="00DC1333">
            <w:pPr>
              <w:keepNext/>
              <w:keepLines/>
              <w:rPr>
                <w:sz w:val="16"/>
                <w:szCs w:val="16"/>
              </w:rPr>
            </w:pPr>
            <w:r w:rsidRPr="00456D44">
              <w:rPr>
                <w:i/>
                <w:sz w:val="16"/>
                <w:szCs w:val="16"/>
              </w:rPr>
              <w:t>Referencia original en el presupuesto de 2013/14:</w:t>
            </w:r>
          </w:p>
          <w:p w:rsidR="00320744" w:rsidRPr="00456D44" w:rsidRDefault="00320744" w:rsidP="00DC1333">
            <w:pPr>
              <w:keepNext/>
              <w:keepLines/>
              <w:rPr>
                <w:sz w:val="16"/>
                <w:szCs w:val="16"/>
              </w:rPr>
            </w:pPr>
            <w:r w:rsidRPr="00456D44">
              <w:rPr>
                <w:sz w:val="16"/>
                <w:szCs w:val="16"/>
              </w:rPr>
              <w:t>El Registro Internacional electrónico por establecer en 2013</w:t>
            </w:r>
          </w:p>
        </w:tc>
        <w:tc>
          <w:tcPr>
            <w:tcW w:w="810" w:type="pct"/>
            <w:tcBorders>
              <w:top w:val="nil"/>
              <w:bottom w:val="single" w:sz="4" w:space="0" w:color="auto"/>
            </w:tcBorders>
            <w:shd w:val="clear" w:color="auto" w:fill="auto"/>
            <w:tcMar>
              <w:top w:w="110" w:type="dxa"/>
            </w:tcMar>
          </w:tcPr>
          <w:p w:rsidR="00320744" w:rsidRPr="00456D44" w:rsidRDefault="00320744" w:rsidP="00DC1333">
            <w:pPr>
              <w:keepNext/>
              <w:keepLines/>
              <w:rPr>
                <w:sz w:val="16"/>
                <w:szCs w:val="16"/>
                <w:lang w:bidi="th-TH"/>
              </w:rPr>
            </w:pPr>
            <w:r w:rsidRPr="00456D44">
              <w:rPr>
                <w:sz w:val="16"/>
                <w:szCs w:val="16"/>
                <w:lang w:bidi="th-TH"/>
              </w:rPr>
              <w:t xml:space="preserve">Sistema electrónico que conecta el Registro Internacional y la base de datos </w:t>
            </w:r>
            <w:proofErr w:type="spellStart"/>
            <w:r w:rsidRPr="00456D44">
              <w:rPr>
                <w:i/>
                <w:sz w:val="16"/>
                <w:szCs w:val="16"/>
                <w:lang w:bidi="th-TH"/>
              </w:rPr>
              <w:t>Lisbon</w:t>
            </w:r>
            <w:proofErr w:type="spellEnd"/>
            <w:r w:rsidRPr="00456D44">
              <w:rPr>
                <w:i/>
                <w:sz w:val="16"/>
                <w:szCs w:val="16"/>
                <w:lang w:bidi="th-TH"/>
              </w:rPr>
              <w:t xml:space="preserve"> Express</w:t>
            </w:r>
            <w:r w:rsidRPr="00456D44">
              <w:rPr>
                <w:sz w:val="16"/>
                <w:szCs w:val="16"/>
                <w:lang w:bidi="th-TH"/>
              </w:rPr>
              <w:t xml:space="preserve"> en el sitio web de la OMPI</w:t>
            </w:r>
          </w:p>
        </w:tc>
        <w:tc>
          <w:tcPr>
            <w:tcW w:w="1176" w:type="pct"/>
            <w:tcBorders>
              <w:top w:val="nil"/>
              <w:bottom w:val="single" w:sz="4" w:space="0" w:color="auto"/>
            </w:tcBorders>
            <w:shd w:val="clear" w:color="auto" w:fill="FFFFFF"/>
            <w:tcMar>
              <w:top w:w="110" w:type="dxa"/>
            </w:tcMar>
          </w:tcPr>
          <w:p w:rsidR="00320744" w:rsidRPr="00456D44" w:rsidRDefault="00320744" w:rsidP="00DC1333">
            <w:pPr>
              <w:keepNext/>
              <w:keepLines/>
              <w:rPr>
                <w:sz w:val="16"/>
                <w:szCs w:val="16"/>
                <w:lang w:bidi="th-TH"/>
              </w:rPr>
            </w:pPr>
            <w:r w:rsidRPr="00456D44">
              <w:rPr>
                <w:sz w:val="16"/>
                <w:szCs w:val="16"/>
                <w:lang w:bidi="th-TH"/>
              </w:rPr>
              <w:t xml:space="preserve">En 2014, se completó y se puso en marcha una interfaz electrónica que conecta el Registro Internacional y la base de datos </w:t>
            </w:r>
            <w:proofErr w:type="spellStart"/>
            <w:r w:rsidRPr="00456D44">
              <w:rPr>
                <w:i/>
                <w:sz w:val="16"/>
                <w:szCs w:val="16"/>
                <w:lang w:bidi="th-TH"/>
              </w:rPr>
              <w:t>Lisbon</w:t>
            </w:r>
            <w:proofErr w:type="spellEnd"/>
            <w:r w:rsidRPr="00456D44">
              <w:rPr>
                <w:i/>
                <w:sz w:val="16"/>
                <w:szCs w:val="16"/>
                <w:lang w:bidi="th-TH"/>
              </w:rPr>
              <w:t xml:space="preserve"> Express</w:t>
            </w:r>
            <w:r w:rsidRPr="00456D44">
              <w:rPr>
                <w:sz w:val="16"/>
                <w:szCs w:val="16"/>
                <w:lang w:bidi="th-TH"/>
              </w:rPr>
              <w:t xml:space="preserve"> en el sitio web de la OMPI</w:t>
            </w:r>
          </w:p>
        </w:tc>
        <w:tc>
          <w:tcPr>
            <w:tcW w:w="513" w:type="pct"/>
            <w:tcBorders>
              <w:top w:val="nil"/>
              <w:bottom w:val="single" w:sz="4" w:space="0" w:color="auto"/>
              <w:right w:val="single" w:sz="4" w:space="0" w:color="auto"/>
            </w:tcBorders>
            <w:shd w:val="clear" w:color="auto" w:fill="auto"/>
            <w:tcMar>
              <w:top w:w="110" w:type="dxa"/>
            </w:tcMar>
          </w:tcPr>
          <w:p w:rsidR="00320744" w:rsidRPr="00456D44" w:rsidRDefault="00320744" w:rsidP="00DC1333">
            <w:pPr>
              <w:keepNext/>
              <w:keepLines/>
              <w:jc w:val="center"/>
              <w:rPr>
                <w:rStyle w:val="Style5"/>
                <w:sz w:val="12"/>
                <w:szCs w:val="12"/>
              </w:rPr>
            </w:pPr>
            <w:r w:rsidRPr="00456D44">
              <w:rPr>
                <w:b/>
                <w:color w:val="00B050"/>
                <w:sz w:val="12"/>
                <w:szCs w:val="12"/>
              </w:rPr>
              <w:t>Plenamente logrado</w:t>
            </w:r>
          </w:p>
        </w:tc>
      </w:tr>
    </w:tbl>
    <w:p w:rsidR="00320744" w:rsidRPr="00456D44" w:rsidRDefault="00320744" w:rsidP="00DC1333">
      <w:pPr>
        <w:rPr>
          <w:color w:val="000000"/>
          <w:szCs w:val="22"/>
        </w:rPr>
      </w:pPr>
    </w:p>
    <w:p w:rsidR="00320744" w:rsidRPr="00456D44" w:rsidRDefault="008F7CBE" w:rsidP="00DC1333">
      <w:pPr>
        <w:keepNext/>
        <w:keepLines/>
        <w:rPr>
          <w:color w:val="000000"/>
          <w:szCs w:val="22"/>
        </w:rPr>
      </w:pPr>
      <w:r w:rsidRPr="008F7CBE">
        <w:rPr>
          <w:color w:val="000000"/>
          <w:sz w:val="20"/>
          <w:szCs w:val="22"/>
        </w:rPr>
        <w:lastRenderedPageBreak/>
        <w:t>INFORMACIÓN SOBRE LOS RIESGOS PLANTEADOS EN EL BIENIO</w:t>
      </w:r>
    </w:p>
    <w:p w:rsidR="00320744" w:rsidRPr="00456D44" w:rsidRDefault="00320744" w:rsidP="00DC1333">
      <w:pPr>
        <w:keepNext/>
        <w:keepLines/>
      </w:pPr>
    </w:p>
    <w:tbl>
      <w:tblPr>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420"/>
        <w:gridCol w:w="2200"/>
        <w:gridCol w:w="2310"/>
        <w:gridCol w:w="2426"/>
      </w:tblGrid>
      <w:tr w:rsidR="00320744" w:rsidRPr="00456D44" w:rsidTr="00DC1333">
        <w:trPr>
          <w:trHeight w:val="639"/>
          <w:tblHeader/>
        </w:trPr>
        <w:tc>
          <w:tcPr>
            <w:tcW w:w="2420" w:type="dxa"/>
            <w:tcBorders>
              <w:top w:val="single" w:sz="4" w:space="0" w:color="auto"/>
              <w:bottom w:val="single" w:sz="4" w:space="0" w:color="auto"/>
            </w:tcBorders>
            <w:shd w:val="clear" w:color="auto" w:fill="C6D9F1" w:themeFill="text2" w:themeFillTint="33"/>
            <w:vAlign w:val="center"/>
          </w:tcPr>
          <w:p w:rsidR="00320744" w:rsidRPr="00456D44" w:rsidRDefault="00320744" w:rsidP="00DC1333">
            <w:pPr>
              <w:keepNext/>
              <w:keepLines/>
              <w:autoSpaceDE w:val="0"/>
              <w:autoSpaceDN w:val="0"/>
              <w:adjustRightInd w:val="0"/>
              <w:ind w:right="-59"/>
              <w:jc w:val="center"/>
              <w:rPr>
                <w:b/>
                <w:bCs/>
                <w:iCs/>
                <w:sz w:val="18"/>
                <w:szCs w:val="18"/>
              </w:rPr>
            </w:pPr>
            <w:r w:rsidRPr="00456D44">
              <w:rPr>
                <w:b/>
                <w:bCs/>
                <w:iCs/>
                <w:sz w:val="18"/>
                <w:szCs w:val="18"/>
              </w:rPr>
              <w:t>Riesgos en el logro de los resultados del programa</w:t>
            </w:r>
          </w:p>
        </w:tc>
        <w:tc>
          <w:tcPr>
            <w:tcW w:w="2200" w:type="dxa"/>
            <w:tcBorders>
              <w:top w:val="single" w:sz="4" w:space="0" w:color="auto"/>
              <w:bottom w:val="single" w:sz="4" w:space="0" w:color="auto"/>
            </w:tcBorders>
            <w:shd w:val="clear" w:color="auto" w:fill="C6D9F1" w:themeFill="text2" w:themeFillTint="33"/>
            <w:vAlign w:val="center"/>
          </w:tcPr>
          <w:p w:rsidR="00320744" w:rsidRPr="00456D44" w:rsidRDefault="00320744" w:rsidP="00DC1333">
            <w:pPr>
              <w:keepNext/>
              <w:keepLines/>
              <w:autoSpaceDE w:val="0"/>
              <w:autoSpaceDN w:val="0"/>
              <w:adjustRightInd w:val="0"/>
              <w:ind w:right="-59"/>
              <w:jc w:val="center"/>
              <w:rPr>
                <w:b/>
                <w:bCs/>
                <w:iCs/>
                <w:sz w:val="18"/>
                <w:szCs w:val="18"/>
              </w:rPr>
            </w:pPr>
            <w:r w:rsidRPr="00456D44">
              <w:rPr>
                <w:b/>
                <w:bCs/>
                <w:iCs/>
                <w:sz w:val="18"/>
                <w:szCs w:val="18"/>
              </w:rPr>
              <w:t xml:space="preserve">Planes de mitigación ejecutados o en ejecución </w:t>
            </w:r>
          </w:p>
        </w:tc>
        <w:tc>
          <w:tcPr>
            <w:tcW w:w="2310" w:type="dxa"/>
            <w:tcBorders>
              <w:top w:val="single" w:sz="4" w:space="0" w:color="auto"/>
              <w:bottom w:val="single" w:sz="4" w:space="0" w:color="auto"/>
            </w:tcBorders>
            <w:shd w:val="clear" w:color="auto" w:fill="C6D9F1" w:themeFill="text2" w:themeFillTint="33"/>
          </w:tcPr>
          <w:p w:rsidR="00320744" w:rsidRPr="00456D44" w:rsidRDefault="00320744" w:rsidP="00DC1333">
            <w:pPr>
              <w:keepNext/>
              <w:keepLines/>
              <w:jc w:val="center"/>
              <w:rPr>
                <w:b/>
                <w:bCs/>
                <w:sz w:val="18"/>
                <w:szCs w:val="18"/>
              </w:rPr>
            </w:pPr>
            <w:r w:rsidRPr="00456D44">
              <w:rPr>
                <w:b/>
                <w:bCs/>
                <w:sz w:val="18"/>
                <w:szCs w:val="18"/>
              </w:rPr>
              <w:t>Evolución de los riesgos y de las estrategias de mitigación durante el bienio</w:t>
            </w:r>
          </w:p>
        </w:tc>
        <w:tc>
          <w:tcPr>
            <w:tcW w:w="2426" w:type="dxa"/>
            <w:tcBorders>
              <w:top w:val="single" w:sz="4" w:space="0" w:color="auto"/>
              <w:bottom w:val="single" w:sz="4" w:space="0" w:color="auto"/>
            </w:tcBorders>
            <w:shd w:val="clear" w:color="auto" w:fill="C6D9F1" w:themeFill="text2" w:themeFillTint="33"/>
          </w:tcPr>
          <w:p w:rsidR="00320744" w:rsidRPr="00456D44" w:rsidRDefault="00320744" w:rsidP="00DC1333">
            <w:pPr>
              <w:keepNext/>
              <w:keepLines/>
              <w:jc w:val="center"/>
              <w:rPr>
                <w:b/>
                <w:bCs/>
                <w:sz w:val="18"/>
                <w:szCs w:val="18"/>
              </w:rPr>
            </w:pPr>
            <w:r w:rsidRPr="00456D44">
              <w:rPr>
                <w:b/>
                <w:bCs/>
                <w:sz w:val="18"/>
                <w:szCs w:val="18"/>
              </w:rPr>
              <w:t>Incidencia en el rendimiento del programa</w:t>
            </w:r>
          </w:p>
        </w:tc>
      </w:tr>
      <w:tr w:rsidR="00320744" w:rsidRPr="00456D44" w:rsidTr="00DC1333">
        <w:trPr>
          <w:trHeight w:val="1496"/>
        </w:trPr>
        <w:tc>
          <w:tcPr>
            <w:tcW w:w="2420" w:type="dxa"/>
            <w:tcBorders>
              <w:top w:val="single" w:sz="4" w:space="0" w:color="auto"/>
            </w:tcBorders>
            <w:shd w:val="clear" w:color="auto" w:fill="auto"/>
            <w:tcMar>
              <w:top w:w="113" w:type="dxa"/>
              <w:bottom w:w="113" w:type="dxa"/>
            </w:tcMar>
          </w:tcPr>
          <w:p w:rsidR="00320744" w:rsidRPr="00456D44" w:rsidRDefault="00320744" w:rsidP="00DC1333">
            <w:pPr>
              <w:keepNext/>
              <w:keepLines/>
              <w:rPr>
                <w:sz w:val="16"/>
                <w:szCs w:val="16"/>
              </w:rPr>
            </w:pPr>
            <w:r w:rsidRPr="00456D44">
              <w:rPr>
                <w:sz w:val="16"/>
                <w:szCs w:val="16"/>
              </w:rPr>
              <w:t>La utilización del sistema de Madrid disminuyó en 2009, pero ha ido aumentando a partir de entonces.  Sin embargo, podría producirse una segunda “caída”, lo que daría lugar a una infrautilización del sistema de Madrid y menos ingresos para la OMPI.  Hay además otros factores que podrían contribuir a la infrautilización del sistema de Madrid, como la inestabilidad política o social o la falta de infraestructura jurídica apropiada.</w:t>
            </w:r>
          </w:p>
        </w:tc>
        <w:tc>
          <w:tcPr>
            <w:tcW w:w="2200" w:type="dxa"/>
            <w:tcBorders>
              <w:top w:val="single" w:sz="4" w:space="0" w:color="auto"/>
            </w:tcBorders>
            <w:shd w:val="clear" w:color="auto" w:fill="auto"/>
            <w:tcMar>
              <w:top w:w="113" w:type="dxa"/>
              <w:bottom w:w="113" w:type="dxa"/>
            </w:tcMar>
          </w:tcPr>
          <w:p w:rsidR="00320744" w:rsidRPr="00456D44" w:rsidRDefault="00320744" w:rsidP="00DC1333">
            <w:pPr>
              <w:keepNext/>
              <w:keepLines/>
              <w:autoSpaceDE w:val="0"/>
              <w:autoSpaceDN w:val="0"/>
              <w:adjustRightInd w:val="0"/>
              <w:ind w:right="-59"/>
              <w:rPr>
                <w:sz w:val="16"/>
                <w:szCs w:val="16"/>
              </w:rPr>
            </w:pPr>
            <w:r w:rsidRPr="00456D44">
              <w:rPr>
                <w:sz w:val="16"/>
                <w:szCs w:val="16"/>
              </w:rPr>
              <w:t xml:space="preserve">Los riesgos podrían mitigarse mediante un intensivo programa de actividades promocionales encaminadas a maximizar el posible uso del sistema de Madrid por parte de los usuarios, y contrarrestar así su infrautilización, a fin de aprovechar el aumento de la eficiencia y la </w:t>
            </w:r>
            <w:proofErr w:type="spellStart"/>
            <w:r w:rsidRPr="00456D44">
              <w:rPr>
                <w:sz w:val="16"/>
                <w:szCs w:val="16"/>
              </w:rPr>
              <w:t>costoeficacia</w:t>
            </w:r>
            <w:proofErr w:type="spellEnd"/>
            <w:r w:rsidRPr="00456D44">
              <w:rPr>
                <w:sz w:val="16"/>
                <w:szCs w:val="16"/>
              </w:rPr>
              <w:t xml:space="preserve"> del sistema.  No obstante, cuando fuera necesario modificar las políticas o leyes de marcas en los planos nacional, regional o incluso internacional, podría llevar mucho tiempo resolver el problema, o incluso no llegar a resolverse.</w:t>
            </w:r>
          </w:p>
        </w:tc>
        <w:tc>
          <w:tcPr>
            <w:tcW w:w="2310" w:type="dxa"/>
            <w:tcBorders>
              <w:top w:val="single" w:sz="4" w:space="0" w:color="auto"/>
            </w:tcBorders>
          </w:tcPr>
          <w:p w:rsidR="00320744" w:rsidRPr="00456D44" w:rsidRDefault="00320744" w:rsidP="00DC1333">
            <w:pPr>
              <w:keepNext/>
              <w:keepLines/>
              <w:autoSpaceDE w:val="0"/>
              <w:autoSpaceDN w:val="0"/>
              <w:adjustRightInd w:val="0"/>
              <w:ind w:right="-59"/>
              <w:rPr>
                <w:sz w:val="16"/>
                <w:szCs w:val="16"/>
              </w:rPr>
            </w:pPr>
            <w:r w:rsidRPr="00456D44">
              <w:rPr>
                <w:sz w:val="16"/>
                <w:szCs w:val="16"/>
              </w:rPr>
              <w:t>Durante el bienio, se ampliaron las estrategias de mitigación para incluir también una mejora de los servicios y del rendimiento para los usuarios del sistema, entre otras cosas mediante la modernización de la plataforma informática que se emplea.  También se llevó a cabo un análisis de las estrategias a las que recurren los usuarios para presentar sus solicitudes, en estrecha colaboración con la División de Estadística y Economía.</w:t>
            </w:r>
          </w:p>
          <w:p w:rsidR="00320744" w:rsidRPr="00456D44" w:rsidRDefault="00320744" w:rsidP="00DC1333">
            <w:pPr>
              <w:keepNext/>
              <w:keepLines/>
              <w:autoSpaceDE w:val="0"/>
              <w:autoSpaceDN w:val="0"/>
              <w:adjustRightInd w:val="0"/>
              <w:ind w:right="-59"/>
              <w:rPr>
                <w:sz w:val="16"/>
                <w:szCs w:val="16"/>
              </w:rPr>
            </w:pPr>
          </w:p>
          <w:p w:rsidR="00320744" w:rsidRPr="00456D44" w:rsidRDefault="00320744" w:rsidP="00DC1333">
            <w:pPr>
              <w:keepNext/>
              <w:keepLines/>
              <w:autoSpaceDE w:val="0"/>
              <w:autoSpaceDN w:val="0"/>
              <w:adjustRightInd w:val="0"/>
              <w:ind w:right="-59"/>
              <w:rPr>
                <w:sz w:val="16"/>
                <w:szCs w:val="16"/>
              </w:rPr>
            </w:pPr>
            <w:r w:rsidRPr="00456D44">
              <w:rPr>
                <w:sz w:val="16"/>
                <w:szCs w:val="16"/>
              </w:rPr>
              <w:t>Se desplegaron importantes esfuerzos para entablar una buena comunicación con las Partes Contratantes sobre cómo debería evolucionar el marco jurídico del sistema, pero pese a ello, hay un límite en los cambios que las Partes Contratantes están dispuestas a aceptar en esta etapa.</w:t>
            </w:r>
          </w:p>
        </w:tc>
        <w:tc>
          <w:tcPr>
            <w:tcW w:w="2426" w:type="dxa"/>
            <w:tcBorders>
              <w:top w:val="single" w:sz="4" w:space="0" w:color="auto"/>
            </w:tcBorders>
          </w:tcPr>
          <w:p w:rsidR="00320744" w:rsidRPr="00456D44" w:rsidRDefault="00320744" w:rsidP="00DC1333">
            <w:pPr>
              <w:keepNext/>
              <w:keepLines/>
              <w:autoSpaceDE w:val="0"/>
              <w:autoSpaceDN w:val="0"/>
              <w:adjustRightInd w:val="0"/>
              <w:ind w:right="-59"/>
              <w:rPr>
                <w:sz w:val="16"/>
                <w:szCs w:val="16"/>
              </w:rPr>
            </w:pPr>
            <w:r w:rsidRPr="00456D44">
              <w:rPr>
                <w:sz w:val="16"/>
                <w:szCs w:val="16"/>
              </w:rPr>
              <w:t>Si bien el número de Partes Contratantes fue ligeramente inferior al previsto, el número de países abarcados fue muy superior al que se anticipó (debido a la adhesión del sistema regional de la OAPI).  Las tasas de presentación de solicitudes estuvieron por debajo de lo previsto, pero se mantuvieron en un nivel razonable, teniendo en cuenta la situación de la economía y el valor del franco suizo.</w:t>
            </w:r>
          </w:p>
          <w:p w:rsidR="00320744" w:rsidRPr="00456D44" w:rsidRDefault="00320744" w:rsidP="00DC1333">
            <w:pPr>
              <w:keepNext/>
              <w:keepLines/>
              <w:autoSpaceDE w:val="0"/>
              <w:autoSpaceDN w:val="0"/>
              <w:adjustRightInd w:val="0"/>
              <w:ind w:right="-59"/>
              <w:rPr>
                <w:sz w:val="16"/>
                <w:szCs w:val="16"/>
              </w:rPr>
            </w:pPr>
          </w:p>
          <w:p w:rsidR="00320744" w:rsidRPr="00456D44" w:rsidRDefault="00320744" w:rsidP="00DC1333">
            <w:pPr>
              <w:keepNext/>
              <w:keepLines/>
              <w:autoSpaceDE w:val="0"/>
              <w:autoSpaceDN w:val="0"/>
              <w:adjustRightInd w:val="0"/>
              <w:ind w:right="-59"/>
              <w:rPr>
                <w:sz w:val="16"/>
                <w:szCs w:val="16"/>
              </w:rPr>
            </w:pPr>
            <w:r w:rsidRPr="00456D44">
              <w:rPr>
                <w:sz w:val="16"/>
                <w:szCs w:val="16"/>
              </w:rPr>
              <w:t>El rendimiento operativo mejoró de forma considerable en lo que hace al tiempo de realización del examen y el número de registros superó el objetivo establecido para el bienio.  Todo apunta a que la satisfacción general de los clientes avanza en la buena dirección.  El número de irregularidades y correcciones, sin embargo, se mantuvo por encima del objetivo.</w:t>
            </w:r>
          </w:p>
          <w:p w:rsidR="00320744" w:rsidRPr="00456D44" w:rsidRDefault="00320744" w:rsidP="00DC1333">
            <w:pPr>
              <w:keepNext/>
              <w:keepLines/>
              <w:autoSpaceDE w:val="0"/>
              <w:autoSpaceDN w:val="0"/>
              <w:adjustRightInd w:val="0"/>
              <w:ind w:right="-59"/>
              <w:rPr>
                <w:sz w:val="16"/>
                <w:szCs w:val="16"/>
              </w:rPr>
            </w:pPr>
          </w:p>
          <w:p w:rsidR="00320744" w:rsidRPr="00456D44" w:rsidRDefault="00320744" w:rsidP="00DC1333">
            <w:pPr>
              <w:keepNext/>
              <w:keepLines/>
              <w:autoSpaceDE w:val="0"/>
              <w:autoSpaceDN w:val="0"/>
              <w:adjustRightInd w:val="0"/>
              <w:ind w:right="-59"/>
              <w:rPr>
                <w:sz w:val="16"/>
                <w:szCs w:val="16"/>
              </w:rPr>
            </w:pPr>
            <w:r w:rsidRPr="00456D44">
              <w:rPr>
                <w:sz w:val="16"/>
                <w:szCs w:val="16"/>
              </w:rPr>
              <w:t>Si bien la mayor parte de los cambios del marco jurídico propuestos por la Oficina Internacional fueron aprobados, algunos de los más importantes chocaron con una resistencia política</w:t>
            </w:r>
          </w:p>
        </w:tc>
      </w:tr>
      <w:tr w:rsidR="00320744" w:rsidRPr="00456D44" w:rsidTr="00DC1333">
        <w:trPr>
          <w:trHeight w:val="1575"/>
        </w:trPr>
        <w:tc>
          <w:tcPr>
            <w:tcW w:w="2420" w:type="dxa"/>
            <w:shd w:val="clear" w:color="auto" w:fill="auto"/>
            <w:tcMar>
              <w:top w:w="113" w:type="dxa"/>
              <w:bottom w:w="113" w:type="dxa"/>
            </w:tcMar>
          </w:tcPr>
          <w:p w:rsidR="00320744" w:rsidRPr="00456D44" w:rsidRDefault="00320744" w:rsidP="00DC1333">
            <w:pPr>
              <w:keepNext/>
              <w:keepLines/>
              <w:rPr>
                <w:sz w:val="16"/>
                <w:szCs w:val="16"/>
              </w:rPr>
            </w:pPr>
            <w:r w:rsidRPr="00456D44">
              <w:rPr>
                <w:sz w:val="16"/>
                <w:szCs w:val="16"/>
              </w:rPr>
              <w:t>Algunas complicaciones podrían obstaculizar la transformación del sistema de Lisboa en un sistema con mayor participación internacional.  En concreto, las partes interesadas podrían seguir dudando de las ventajas del sistema.</w:t>
            </w:r>
          </w:p>
        </w:tc>
        <w:tc>
          <w:tcPr>
            <w:tcW w:w="2200" w:type="dxa"/>
            <w:shd w:val="clear" w:color="auto" w:fill="auto"/>
            <w:tcMar>
              <w:top w:w="113" w:type="dxa"/>
              <w:bottom w:w="113" w:type="dxa"/>
            </w:tcMar>
          </w:tcPr>
          <w:p w:rsidR="00320744" w:rsidRPr="00456D44" w:rsidRDefault="00320744" w:rsidP="00DC1333">
            <w:pPr>
              <w:keepNext/>
              <w:keepLines/>
              <w:autoSpaceDE w:val="0"/>
              <w:autoSpaceDN w:val="0"/>
              <w:adjustRightInd w:val="0"/>
              <w:ind w:right="-59"/>
              <w:rPr>
                <w:sz w:val="16"/>
                <w:szCs w:val="16"/>
              </w:rPr>
            </w:pPr>
            <w:r w:rsidRPr="00456D44">
              <w:rPr>
                <w:sz w:val="16"/>
                <w:szCs w:val="16"/>
              </w:rPr>
              <w:t>En la revisión se tiene en cuenta cómo se protegen las denominaciones de origen y las indicaciones geográficas en varias jurisdicciones sin perder de vista los principios y objetivos del sistema de Lisboa</w:t>
            </w:r>
          </w:p>
          <w:p w:rsidR="00320744" w:rsidRPr="00456D44" w:rsidRDefault="00320744" w:rsidP="00DC1333">
            <w:pPr>
              <w:keepNext/>
              <w:keepLines/>
              <w:autoSpaceDE w:val="0"/>
              <w:autoSpaceDN w:val="0"/>
              <w:adjustRightInd w:val="0"/>
              <w:ind w:right="-59"/>
              <w:rPr>
                <w:sz w:val="16"/>
                <w:szCs w:val="16"/>
              </w:rPr>
            </w:pPr>
          </w:p>
          <w:p w:rsidR="00320744" w:rsidRPr="00456D44" w:rsidRDefault="00320744" w:rsidP="00DC1333">
            <w:pPr>
              <w:keepNext/>
              <w:keepLines/>
              <w:autoSpaceDE w:val="0"/>
              <w:autoSpaceDN w:val="0"/>
              <w:adjustRightInd w:val="0"/>
              <w:ind w:right="-59"/>
              <w:rPr>
                <w:sz w:val="16"/>
                <w:szCs w:val="16"/>
              </w:rPr>
            </w:pPr>
            <w:r w:rsidRPr="00456D44">
              <w:rPr>
                <w:sz w:val="16"/>
                <w:szCs w:val="16"/>
              </w:rPr>
              <w:t>Las actividades informativas y promocionales se basan en el mismo planteamiento, al tiempo que se señalan las ventajas del sistema de Lisboa y las flexibilidades disponibles que deben especificarse en el Arreglo de Lisboa revisado</w:t>
            </w:r>
          </w:p>
        </w:tc>
        <w:tc>
          <w:tcPr>
            <w:tcW w:w="2310" w:type="dxa"/>
          </w:tcPr>
          <w:p w:rsidR="00320744" w:rsidRPr="00456D44" w:rsidRDefault="00320744" w:rsidP="00DC1333">
            <w:pPr>
              <w:keepNext/>
              <w:keepLines/>
              <w:autoSpaceDE w:val="0"/>
              <w:autoSpaceDN w:val="0"/>
              <w:adjustRightInd w:val="0"/>
              <w:ind w:right="-59"/>
              <w:rPr>
                <w:sz w:val="16"/>
                <w:szCs w:val="16"/>
              </w:rPr>
            </w:pPr>
            <w:r w:rsidRPr="00456D44">
              <w:rPr>
                <w:sz w:val="16"/>
                <w:szCs w:val="16"/>
              </w:rPr>
              <w:t>Los riesgos se materializaron durante el bienio pese a las estrategias de mitigación puestas en práctica, que se centraron especialmente en seguir posibilitando la existencia de un foro internacional propicio y neutral para que los diversos sectores interesados puedan expresar y exponer  sus intereses</w:t>
            </w:r>
          </w:p>
        </w:tc>
        <w:tc>
          <w:tcPr>
            <w:tcW w:w="2426" w:type="dxa"/>
          </w:tcPr>
          <w:p w:rsidR="00320744" w:rsidRPr="00456D44" w:rsidRDefault="00320744" w:rsidP="00DC1333">
            <w:pPr>
              <w:keepNext/>
              <w:keepLines/>
              <w:autoSpaceDE w:val="0"/>
              <w:autoSpaceDN w:val="0"/>
              <w:adjustRightInd w:val="0"/>
              <w:ind w:right="-59"/>
              <w:rPr>
                <w:color w:val="000000"/>
                <w:sz w:val="16"/>
                <w:szCs w:val="16"/>
              </w:rPr>
            </w:pPr>
            <w:r w:rsidRPr="00456D44">
              <w:rPr>
                <w:color w:val="000000"/>
                <w:sz w:val="16"/>
                <w:szCs w:val="16"/>
              </w:rPr>
              <w:t>La incidencia en el rendimiento del programa fue limitada.  Sin embargo, los riesgos señalados en este bienio pueden seguir estando presentes en el próximo.</w:t>
            </w:r>
          </w:p>
          <w:p w:rsidR="00320744" w:rsidRPr="00456D44" w:rsidRDefault="00320744" w:rsidP="00DC1333">
            <w:pPr>
              <w:keepNext/>
              <w:autoSpaceDE w:val="0"/>
              <w:autoSpaceDN w:val="0"/>
              <w:spacing w:line="276" w:lineRule="auto"/>
              <w:ind w:right="-59"/>
              <w:rPr>
                <w:sz w:val="16"/>
                <w:szCs w:val="16"/>
              </w:rPr>
            </w:pPr>
          </w:p>
        </w:tc>
      </w:tr>
    </w:tbl>
    <w:p w:rsidR="00320744" w:rsidRPr="00456D44" w:rsidRDefault="00320744" w:rsidP="00DC1333">
      <w:pPr>
        <w:keepNext/>
        <w:keepLines/>
        <w:rPr>
          <w:color w:val="000000"/>
          <w:szCs w:val="22"/>
        </w:rPr>
      </w:pPr>
    </w:p>
    <w:p w:rsidR="00320744" w:rsidRPr="00456D44" w:rsidRDefault="00320744" w:rsidP="00DC1333">
      <w:pPr>
        <w:spacing w:after="200" w:line="276" w:lineRule="auto"/>
        <w:rPr>
          <w:color w:val="000000"/>
          <w:szCs w:val="22"/>
        </w:rPr>
      </w:pPr>
    </w:p>
    <w:p w:rsidR="00320744" w:rsidRPr="00456D44" w:rsidRDefault="00320744" w:rsidP="00DC1333">
      <w:pPr>
        <w:spacing w:after="200" w:line="276" w:lineRule="auto"/>
        <w:rPr>
          <w:color w:val="000000"/>
          <w:szCs w:val="22"/>
        </w:rPr>
      </w:pPr>
    </w:p>
    <w:p w:rsidR="00320744" w:rsidRPr="00456D44" w:rsidRDefault="00403D2C" w:rsidP="00DC1333">
      <w:pPr>
        <w:keepNext/>
        <w:keepLines/>
        <w:spacing w:line="276" w:lineRule="auto"/>
        <w:rPr>
          <w:b/>
          <w:sz w:val="16"/>
          <w:szCs w:val="18"/>
        </w:rPr>
      </w:pPr>
      <w:r w:rsidRPr="00403D2C">
        <w:rPr>
          <w:sz w:val="20"/>
          <w:szCs w:val="22"/>
        </w:rPr>
        <w:lastRenderedPageBreak/>
        <w:t>UTILIZACIÓN DE LOS RECURSOS</w:t>
      </w:r>
    </w:p>
    <w:p w:rsidR="00320744" w:rsidRPr="00456D44" w:rsidRDefault="00320744" w:rsidP="00DC1333">
      <w:pPr>
        <w:keepNext/>
        <w:keepLines/>
      </w:pPr>
    </w:p>
    <w:p w:rsidR="00320744" w:rsidRPr="00456D44" w:rsidRDefault="00320744" w:rsidP="00DC1333">
      <w:pPr>
        <w:pStyle w:val="NormalWeb"/>
        <w:keepNext/>
        <w:keepLines/>
        <w:spacing w:before="0" w:beforeAutospacing="0" w:after="0" w:afterAutospacing="0"/>
        <w:jc w:val="center"/>
        <w:rPr>
          <w:sz w:val="20"/>
          <w:szCs w:val="20"/>
          <w:lang w:val="es-ES"/>
        </w:rPr>
      </w:pPr>
      <w:r w:rsidRPr="00456D44">
        <w:rPr>
          <w:sz w:val="20"/>
          <w:szCs w:val="20"/>
          <w:lang w:val="es-ES"/>
        </w:rPr>
        <w:t>Presupuesto y gastos reales (por resultado)</w:t>
      </w:r>
    </w:p>
    <w:p w:rsidR="00320744" w:rsidRPr="00456D44" w:rsidRDefault="00320744" w:rsidP="00DC1333">
      <w:pPr>
        <w:pStyle w:val="NormalWeb"/>
        <w:keepNext/>
        <w:keepLines/>
        <w:spacing w:before="0" w:beforeAutospacing="0" w:after="0" w:afterAutospacing="0"/>
        <w:jc w:val="center"/>
        <w:rPr>
          <w:i/>
          <w:iCs/>
          <w:sz w:val="20"/>
          <w:szCs w:val="20"/>
          <w:lang w:val="es-ES"/>
        </w:rPr>
      </w:pPr>
      <w:r w:rsidRPr="00456D44">
        <w:rPr>
          <w:i/>
          <w:iCs/>
          <w:sz w:val="20"/>
          <w:szCs w:val="20"/>
          <w:lang w:val="es-ES"/>
        </w:rPr>
        <w:t>(en miles de francos suizos)</w:t>
      </w:r>
    </w:p>
    <w:p w:rsidR="00320744" w:rsidRPr="00456D44" w:rsidRDefault="00320744" w:rsidP="00DC1333">
      <w:pPr>
        <w:pStyle w:val="NormalWeb"/>
        <w:keepNext/>
        <w:keepLines/>
        <w:spacing w:before="0" w:beforeAutospacing="0" w:after="0" w:afterAutospacing="0"/>
        <w:jc w:val="center"/>
        <w:rPr>
          <w:sz w:val="20"/>
          <w:szCs w:val="20"/>
          <w:lang w:val="es-ES"/>
        </w:rPr>
      </w:pPr>
    </w:p>
    <w:p w:rsidR="00320744" w:rsidRPr="00456D44" w:rsidRDefault="00320744" w:rsidP="00DC1333">
      <w:pPr>
        <w:pStyle w:val="NormalWeb"/>
        <w:keepNext/>
        <w:keepLines/>
        <w:spacing w:before="0" w:beforeAutospacing="0" w:after="0" w:afterAutospacing="0"/>
        <w:jc w:val="center"/>
        <w:rPr>
          <w:sz w:val="20"/>
          <w:szCs w:val="20"/>
          <w:lang w:val="es-ES"/>
        </w:rPr>
      </w:pPr>
      <w:r w:rsidRPr="00456D44">
        <w:rPr>
          <w:noProof/>
          <w:sz w:val="20"/>
          <w:szCs w:val="20"/>
        </w:rPr>
        <w:drawing>
          <wp:inline distT="0" distB="0" distL="0" distR="0" wp14:anchorId="23F2D79D" wp14:editId="36466E3D">
            <wp:extent cx="4722126" cy="1241699"/>
            <wp:effectExtent l="0" t="0" r="254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721832" cy="1241622"/>
                    </a:xfrm>
                    <a:prstGeom prst="rect">
                      <a:avLst/>
                    </a:prstGeom>
                    <a:noFill/>
                    <a:ln>
                      <a:noFill/>
                    </a:ln>
                  </pic:spPr>
                </pic:pic>
              </a:graphicData>
            </a:graphic>
          </wp:inline>
        </w:drawing>
      </w:r>
    </w:p>
    <w:p w:rsidR="00320744" w:rsidRPr="00456D44" w:rsidRDefault="00320744" w:rsidP="00DC1333">
      <w:pPr>
        <w:pStyle w:val="NormalWeb"/>
        <w:keepNext/>
        <w:keepLines/>
        <w:spacing w:before="0" w:beforeAutospacing="0" w:after="0" w:afterAutospacing="0"/>
        <w:jc w:val="center"/>
        <w:rPr>
          <w:sz w:val="20"/>
          <w:szCs w:val="20"/>
          <w:lang w:val="es-ES"/>
        </w:rPr>
      </w:pPr>
    </w:p>
    <w:p w:rsidR="00320744" w:rsidRPr="00456D44" w:rsidRDefault="00320744" w:rsidP="00DC1333">
      <w:pPr>
        <w:pStyle w:val="NormalWeb"/>
        <w:keepNext/>
        <w:keepLines/>
        <w:spacing w:before="0" w:beforeAutospacing="0" w:after="0" w:afterAutospacing="0"/>
        <w:jc w:val="center"/>
        <w:rPr>
          <w:sz w:val="20"/>
          <w:szCs w:val="20"/>
          <w:lang w:val="es-ES"/>
        </w:rPr>
      </w:pPr>
    </w:p>
    <w:p w:rsidR="00320744" w:rsidRPr="00456D44" w:rsidRDefault="00320744" w:rsidP="00DC1333">
      <w:pPr>
        <w:pStyle w:val="NormalWeb"/>
        <w:keepNext/>
        <w:keepLines/>
        <w:spacing w:before="0" w:beforeAutospacing="0" w:after="0" w:afterAutospacing="0"/>
        <w:jc w:val="center"/>
        <w:rPr>
          <w:sz w:val="20"/>
          <w:szCs w:val="20"/>
          <w:lang w:val="es-ES"/>
        </w:rPr>
      </w:pPr>
      <w:r w:rsidRPr="00456D44">
        <w:rPr>
          <w:sz w:val="20"/>
          <w:szCs w:val="20"/>
          <w:lang w:val="es-ES"/>
        </w:rPr>
        <w:t xml:space="preserve">Presupuesto y gastos reales (de personal y no relativos a personal) </w:t>
      </w:r>
    </w:p>
    <w:p w:rsidR="00320744" w:rsidRPr="00456D44" w:rsidRDefault="00320744" w:rsidP="00DC1333">
      <w:pPr>
        <w:pStyle w:val="NormalWeb"/>
        <w:keepNext/>
        <w:keepLines/>
        <w:spacing w:before="0" w:beforeAutospacing="0" w:after="0" w:afterAutospacing="0"/>
        <w:jc w:val="center"/>
        <w:rPr>
          <w:i/>
          <w:iCs/>
          <w:sz w:val="20"/>
          <w:szCs w:val="20"/>
          <w:lang w:val="es-ES"/>
        </w:rPr>
      </w:pPr>
      <w:r w:rsidRPr="00456D44">
        <w:rPr>
          <w:i/>
          <w:iCs/>
          <w:sz w:val="20"/>
          <w:szCs w:val="20"/>
          <w:lang w:val="es-ES"/>
        </w:rPr>
        <w:t>(en miles de francos suizos)</w:t>
      </w:r>
    </w:p>
    <w:p w:rsidR="00320744" w:rsidRPr="00456D44" w:rsidRDefault="00320744" w:rsidP="00DC1333">
      <w:pPr>
        <w:pStyle w:val="NormalWeb"/>
        <w:keepNext/>
        <w:keepLines/>
        <w:spacing w:before="0" w:beforeAutospacing="0" w:after="0" w:afterAutospacing="0"/>
        <w:jc w:val="center"/>
        <w:rPr>
          <w:lang w:val="es-ES"/>
        </w:rPr>
      </w:pPr>
    </w:p>
    <w:p w:rsidR="00320744" w:rsidRPr="00456D44" w:rsidRDefault="00320744" w:rsidP="00DC1333">
      <w:pPr>
        <w:pStyle w:val="NormalWeb"/>
        <w:keepNext/>
        <w:keepLines/>
        <w:spacing w:before="0" w:beforeAutospacing="0" w:after="0" w:afterAutospacing="0"/>
        <w:jc w:val="center"/>
        <w:rPr>
          <w:lang w:val="es-ES"/>
        </w:rPr>
      </w:pPr>
      <w:r w:rsidRPr="00456D44">
        <w:rPr>
          <w:noProof/>
        </w:rPr>
        <w:drawing>
          <wp:inline distT="0" distB="0" distL="0" distR="0" wp14:anchorId="46FFE996" wp14:editId="62B0E7A5">
            <wp:extent cx="5051136" cy="97581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090096" cy="983342"/>
                    </a:xfrm>
                    <a:prstGeom prst="rect">
                      <a:avLst/>
                    </a:prstGeom>
                    <a:noFill/>
                    <a:ln>
                      <a:noFill/>
                    </a:ln>
                  </pic:spPr>
                </pic:pic>
              </a:graphicData>
            </a:graphic>
          </wp:inline>
        </w:drawing>
      </w:r>
    </w:p>
    <w:p w:rsidR="00320744" w:rsidRPr="00456D44" w:rsidRDefault="00320744" w:rsidP="00DC1333">
      <w:pPr>
        <w:widowControl w:val="0"/>
        <w:autoSpaceDE w:val="0"/>
        <w:autoSpaceDN w:val="0"/>
        <w:adjustRightInd w:val="0"/>
      </w:pPr>
    </w:p>
    <w:p w:rsidR="00320744" w:rsidRPr="00456D44" w:rsidRDefault="00320744" w:rsidP="00DC1333">
      <w:pPr>
        <w:widowControl w:val="0"/>
        <w:autoSpaceDE w:val="0"/>
        <w:autoSpaceDN w:val="0"/>
        <w:adjustRightInd w:val="0"/>
      </w:pPr>
    </w:p>
    <w:p w:rsidR="00320744" w:rsidRPr="00751675" w:rsidRDefault="00403D2C" w:rsidP="00DC1333">
      <w:pPr>
        <w:rPr>
          <w:sz w:val="20"/>
          <w:u w:val="single"/>
        </w:rPr>
      </w:pPr>
      <w:r w:rsidRPr="00403D2C">
        <w:rPr>
          <w:sz w:val="20"/>
        </w:rPr>
        <w:t>A.</w:t>
      </w:r>
      <w:r w:rsidRPr="00403D2C">
        <w:rPr>
          <w:sz w:val="20"/>
        </w:rPr>
        <w:tab/>
      </w:r>
      <w:r w:rsidR="00320744" w:rsidRPr="00751675">
        <w:rPr>
          <w:sz w:val="20"/>
          <w:u w:val="single"/>
        </w:rPr>
        <w:t xml:space="preserve">Presupuesto final para 2014/2015 tras las transferencias </w:t>
      </w:r>
    </w:p>
    <w:p w:rsidR="00320744" w:rsidRPr="00751675" w:rsidRDefault="00320744" w:rsidP="00DC1333">
      <w:pPr>
        <w:rPr>
          <w:sz w:val="20"/>
          <w:u w:val="single"/>
        </w:rPr>
      </w:pPr>
    </w:p>
    <w:p w:rsidR="00320744" w:rsidRPr="00751675" w:rsidRDefault="00320744" w:rsidP="00320744">
      <w:pPr>
        <w:pStyle w:val="ListParagraph"/>
        <w:numPr>
          <w:ilvl w:val="0"/>
          <w:numId w:val="24"/>
        </w:numPr>
        <w:tabs>
          <w:tab w:val="left" w:pos="709"/>
        </w:tabs>
        <w:ind w:left="0" w:firstLine="0"/>
        <w:jc w:val="both"/>
        <w:rPr>
          <w:rFonts w:cs="Arial"/>
          <w:lang w:val="es-ES" w:eastAsia="ko-KR"/>
        </w:rPr>
      </w:pPr>
      <w:r w:rsidRPr="00751675">
        <w:rPr>
          <w:rFonts w:cs="Arial"/>
          <w:lang w:val="es-ES" w:eastAsia="ko-KR"/>
        </w:rPr>
        <w:t>El presupuesto final tras las transferencias según el resultado II.6 (</w:t>
      </w:r>
      <w:r w:rsidRPr="00751675">
        <w:rPr>
          <w:bCs/>
          <w:lang w:val="es-ES"/>
        </w:rPr>
        <w:t>Mayor y más eficaz utilización de los Sistemas de Madrid y de Lisboa</w:t>
      </w:r>
      <w:r w:rsidRPr="00751675">
        <w:rPr>
          <w:rFonts w:cs="Arial"/>
          <w:lang w:val="es-ES" w:eastAsia="ko-KR"/>
        </w:rPr>
        <w:t>) refleja un ajuste al alza debido principalmente a:  i) la transferencia de fondos adicionales para apoyar la iniciativa de reforma del Sistema de Madrid, lo que incluye la expansión del programa de becas de Madrid;  ii) la transferencia de fondos para la convocación de una Conferencia Diplomática para la adopción de un Arreglo de Lisboa revisado sobre las denominaciones de origen y las indicaciones geográficas;  y iii) la transferencia de fondos desde el Programa 31 al Programa 6 para labores en materia de T.I., así como para cubrir el costo de un mayor número de delegados participantes en las Asambleas de las Uniones de Madrid, La Haya y Lisboa, como consecuencia del crecimiento de los Sistemas.</w:t>
      </w:r>
    </w:p>
    <w:p w:rsidR="00320744" w:rsidRPr="00751675" w:rsidRDefault="00320744" w:rsidP="00DC1333">
      <w:pPr>
        <w:autoSpaceDE w:val="0"/>
        <w:autoSpaceDN w:val="0"/>
        <w:jc w:val="both"/>
        <w:rPr>
          <w:sz w:val="20"/>
          <w:lang w:eastAsia="ko-KR"/>
        </w:rPr>
      </w:pPr>
    </w:p>
    <w:p w:rsidR="00320744" w:rsidRPr="00751675" w:rsidRDefault="00320744" w:rsidP="00320744">
      <w:pPr>
        <w:pStyle w:val="ListParagraph"/>
        <w:numPr>
          <w:ilvl w:val="0"/>
          <w:numId w:val="24"/>
        </w:numPr>
        <w:tabs>
          <w:tab w:val="left" w:pos="709"/>
        </w:tabs>
        <w:ind w:left="0" w:firstLine="0"/>
        <w:jc w:val="both"/>
        <w:rPr>
          <w:rFonts w:cs="Arial"/>
          <w:lang w:val="es-ES" w:eastAsia="ko-KR"/>
        </w:rPr>
      </w:pPr>
      <w:r w:rsidRPr="00751675">
        <w:rPr>
          <w:rFonts w:cs="Arial"/>
          <w:lang w:val="es-ES"/>
        </w:rPr>
        <w:t>La disminución neta de los recursos relativos a personal en el presupuesto final de 2014/2015 tras las transferencias refleja un traslado de recursos de personal a recursos no relativos a personal como medio para disponer de recursos más ágiles y flexibles en las operaciones del Sistema de Madrid en el marco de la iniciativa de reforma del Sistema</w:t>
      </w:r>
      <w:r w:rsidRPr="00751675">
        <w:rPr>
          <w:rFonts w:cs="Arial"/>
          <w:lang w:val="es-ES" w:eastAsia="ko-KR"/>
        </w:rPr>
        <w:t>.</w:t>
      </w:r>
    </w:p>
    <w:p w:rsidR="00320744" w:rsidRPr="00751675" w:rsidRDefault="00320744" w:rsidP="00DC1333">
      <w:pPr>
        <w:rPr>
          <w:sz w:val="20"/>
          <w:u w:val="single"/>
        </w:rPr>
      </w:pPr>
    </w:p>
    <w:p w:rsidR="00320744" w:rsidRPr="00751675" w:rsidRDefault="00403D2C" w:rsidP="00DC1333">
      <w:pPr>
        <w:jc w:val="both"/>
        <w:rPr>
          <w:sz w:val="20"/>
          <w:u w:val="single"/>
          <w:lang w:eastAsia="ko-KR"/>
        </w:rPr>
      </w:pPr>
      <w:r w:rsidRPr="00403D2C">
        <w:rPr>
          <w:sz w:val="20"/>
          <w:lang w:eastAsia="ko-KR"/>
        </w:rPr>
        <w:t>B.</w:t>
      </w:r>
      <w:r w:rsidRPr="00403D2C">
        <w:rPr>
          <w:sz w:val="20"/>
          <w:lang w:eastAsia="ko-KR"/>
        </w:rPr>
        <w:tab/>
      </w:r>
      <w:r w:rsidRPr="00403D2C">
        <w:rPr>
          <w:sz w:val="20"/>
          <w:u w:val="single"/>
        </w:rPr>
        <w:t>Utilización del presupuesto en 2014/15</w:t>
      </w:r>
    </w:p>
    <w:p w:rsidR="00320744" w:rsidRPr="00456D44" w:rsidRDefault="00320744" w:rsidP="00DC1333">
      <w:pPr>
        <w:tabs>
          <w:tab w:val="left" w:pos="709"/>
        </w:tabs>
        <w:jc w:val="both"/>
        <w:rPr>
          <w:u w:val="single"/>
          <w:lang w:eastAsia="ko-KR"/>
        </w:rPr>
      </w:pPr>
    </w:p>
    <w:p w:rsidR="00320744" w:rsidRPr="00456D44" w:rsidRDefault="00320744" w:rsidP="00320744">
      <w:pPr>
        <w:pStyle w:val="ListParagraph"/>
        <w:numPr>
          <w:ilvl w:val="0"/>
          <w:numId w:val="24"/>
        </w:numPr>
        <w:tabs>
          <w:tab w:val="left" w:pos="709"/>
        </w:tabs>
        <w:ind w:left="0" w:firstLine="0"/>
        <w:jc w:val="both"/>
        <w:rPr>
          <w:lang w:val="es-ES"/>
        </w:rPr>
      </w:pPr>
      <w:r w:rsidRPr="00456D44">
        <w:rPr>
          <w:rFonts w:cs="Arial"/>
          <w:lang w:val="es-ES" w:eastAsia="ko-KR"/>
        </w:rPr>
        <w:t>La utilización del presupuesto se ha mantenido dentro de los límites establecidos para el bienio.</w:t>
      </w:r>
    </w:p>
    <w:p w:rsidR="00320744" w:rsidRPr="00456D44" w:rsidRDefault="00320744"/>
    <w:p w:rsidR="00320744" w:rsidRPr="00456D44" w:rsidRDefault="00320744"/>
    <w:p w:rsidR="0023753C" w:rsidRDefault="0023753C">
      <w:r>
        <w:br w:type="page"/>
      </w:r>
    </w:p>
    <w:p w:rsidR="0023753C" w:rsidRDefault="0023753C" w:rsidP="00DC1333">
      <w:pPr>
        <w:pStyle w:val="StyleHeading3BoldNounderline"/>
        <w:rPr>
          <w:b/>
          <w:lang w:val="es-ES"/>
        </w:rPr>
      </w:pPr>
      <w:bookmarkStart w:id="82" w:name="_Toc452473223"/>
      <w:bookmarkStart w:id="83" w:name="_Toc455159078"/>
      <w:r w:rsidRPr="004A1985">
        <w:rPr>
          <w:b/>
          <w:lang w:val="es-ES"/>
        </w:rPr>
        <w:lastRenderedPageBreak/>
        <w:t xml:space="preserve">Programa 6, Anexo: </w:t>
      </w:r>
      <w:r>
        <w:rPr>
          <w:b/>
          <w:lang w:val="es-ES"/>
        </w:rPr>
        <w:t xml:space="preserve"> </w:t>
      </w:r>
      <w:r w:rsidRPr="004A1985">
        <w:rPr>
          <w:b/>
          <w:lang w:val="es-ES"/>
        </w:rPr>
        <w:t>Indicadores de las operaciones del Sistema de Madrid</w:t>
      </w:r>
      <w:bookmarkEnd w:id="82"/>
      <w:bookmarkEnd w:id="83"/>
    </w:p>
    <w:p w:rsidR="0023753C" w:rsidRDefault="0023753C" w:rsidP="00DC1333">
      <w:pPr>
        <w:rPr>
          <w:b/>
        </w:rPr>
      </w:pPr>
    </w:p>
    <w:p w:rsidR="0023753C" w:rsidRDefault="0023753C" w:rsidP="00DC1333">
      <w:pPr>
        <w:rPr>
          <w:sz w:val="20"/>
          <w:lang w:bidi="th-TH"/>
        </w:rPr>
      </w:pPr>
      <w:r w:rsidRPr="00A44EF1">
        <w:rPr>
          <w:sz w:val="20"/>
          <w:lang w:bidi="th-TH"/>
        </w:rPr>
        <w:t xml:space="preserve">INDICADORES DE RENDIMIENTO CON RESPECTO AL RESULTADO PREVISTO </w:t>
      </w:r>
    </w:p>
    <w:p w:rsidR="0023753C" w:rsidRDefault="0023753C" w:rsidP="00DC1333">
      <w:pPr>
        <w:rPr>
          <w:sz w:val="20"/>
        </w:rPr>
      </w:pPr>
      <w:r>
        <w:rPr>
          <w:sz w:val="20"/>
          <w:lang w:bidi="th-TH"/>
        </w:rPr>
        <w:t>“MEJORA DE LA PRODUCTIVIDAD Y DE LA CALIDAD DE LOS SERVICIOS EN LAS OPERACIONES DEL SISTEMA DE MADRID</w:t>
      </w:r>
      <w:r w:rsidRPr="00A44EF1">
        <w:rPr>
          <w:sz w:val="20"/>
        </w:rPr>
        <w:t>”</w:t>
      </w:r>
    </w:p>
    <w:p w:rsidR="0023753C" w:rsidRDefault="0023753C" w:rsidP="00DC1333">
      <w:pPr>
        <w:rPr>
          <w:b/>
        </w:rPr>
      </w:pPr>
    </w:p>
    <w:p w:rsidR="0023753C" w:rsidRDefault="0023753C" w:rsidP="0023753C">
      <w:pPr>
        <w:pStyle w:val="ListParagraph"/>
        <w:numPr>
          <w:ilvl w:val="0"/>
          <w:numId w:val="35"/>
        </w:numPr>
        <w:tabs>
          <w:tab w:val="left" w:pos="567"/>
        </w:tabs>
        <w:ind w:left="0" w:firstLine="0"/>
        <w:contextualSpacing/>
        <w:jc w:val="both"/>
        <w:rPr>
          <w:rFonts w:cs="Arial"/>
          <w:lang w:val="es-ES"/>
        </w:rPr>
      </w:pPr>
      <w:r w:rsidRPr="00A44EF1">
        <w:rPr>
          <w:rFonts w:cs="Arial"/>
          <w:lang w:val="es-ES"/>
        </w:rPr>
        <w:t>Al evaluar los indicadores de rendimiento para determinar el resultado previsto</w:t>
      </w:r>
      <w:r>
        <w:rPr>
          <w:rFonts w:cs="Arial"/>
          <w:lang w:val="es-ES"/>
        </w:rPr>
        <w:t xml:space="preserve"> en el epígrafe </w:t>
      </w:r>
      <w:r w:rsidRPr="00A44EF1">
        <w:rPr>
          <w:rFonts w:cs="Arial"/>
          <w:lang w:val="es-ES"/>
        </w:rPr>
        <w:t>“</w:t>
      </w:r>
      <w:r>
        <w:rPr>
          <w:rFonts w:cs="Arial"/>
          <w:lang w:val="es-ES"/>
        </w:rPr>
        <w:t>M</w:t>
      </w:r>
      <w:r w:rsidRPr="00A44EF1">
        <w:rPr>
          <w:rFonts w:cs="Arial"/>
          <w:lang w:val="es-ES"/>
        </w:rPr>
        <w:t xml:space="preserve">ejora de la productividad y de la calidad de los servicios en las operaciones del Sistema de Madrid”, </w:t>
      </w:r>
      <w:r>
        <w:rPr>
          <w:rFonts w:cs="Arial"/>
          <w:lang w:val="es-ES"/>
        </w:rPr>
        <w:t>es necesario tener en cuenta los siguientes factores</w:t>
      </w:r>
      <w:r w:rsidRPr="00A44EF1">
        <w:rPr>
          <w:rFonts w:cs="Arial"/>
          <w:lang w:val="es-ES"/>
        </w:rPr>
        <w:t>:</w:t>
      </w:r>
    </w:p>
    <w:p w:rsidR="0023753C" w:rsidRDefault="0023753C" w:rsidP="00DC1333">
      <w:pPr>
        <w:jc w:val="both"/>
        <w:rPr>
          <w:sz w:val="20"/>
        </w:rPr>
      </w:pPr>
    </w:p>
    <w:p w:rsidR="0023753C" w:rsidRDefault="0023753C" w:rsidP="0023753C">
      <w:pPr>
        <w:numPr>
          <w:ilvl w:val="0"/>
          <w:numId w:val="30"/>
        </w:numPr>
        <w:tabs>
          <w:tab w:val="clear" w:pos="720"/>
          <w:tab w:val="num" w:pos="1701"/>
        </w:tabs>
        <w:spacing w:after="120"/>
        <w:ind w:left="1701" w:hanging="567"/>
        <w:jc w:val="both"/>
        <w:rPr>
          <w:sz w:val="20"/>
        </w:rPr>
      </w:pPr>
      <w:r>
        <w:rPr>
          <w:sz w:val="20"/>
        </w:rPr>
        <w:t>El volumen de trabajo del Sistema de M</w:t>
      </w:r>
      <w:r w:rsidRPr="00760842">
        <w:rPr>
          <w:sz w:val="20"/>
        </w:rPr>
        <w:t>adrid;</w:t>
      </w:r>
    </w:p>
    <w:p w:rsidR="0023753C" w:rsidRDefault="0023753C" w:rsidP="0023753C">
      <w:pPr>
        <w:numPr>
          <w:ilvl w:val="0"/>
          <w:numId w:val="30"/>
        </w:numPr>
        <w:tabs>
          <w:tab w:val="clear" w:pos="720"/>
          <w:tab w:val="num" w:pos="1701"/>
        </w:tabs>
        <w:spacing w:after="120"/>
        <w:ind w:left="1701" w:hanging="567"/>
        <w:jc w:val="both"/>
        <w:rPr>
          <w:sz w:val="20"/>
        </w:rPr>
      </w:pPr>
      <w:r>
        <w:rPr>
          <w:sz w:val="20"/>
        </w:rPr>
        <w:t>La composición del volumen de trabajo</w:t>
      </w:r>
      <w:r w:rsidRPr="00760842">
        <w:rPr>
          <w:sz w:val="20"/>
        </w:rPr>
        <w:t>;</w:t>
      </w:r>
    </w:p>
    <w:p w:rsidR="0023753C" w:rsidRDefault="0023753C" w:rsidP="0023753C">
      <w:pPr>
        <w:numPr>
          <w:ilvl w:val="0"/>
          <w:numId w:val="30"/>
        </w:numPr>
        <w:tabs>
          <w:tab w:val="clear" w:pos="720"/>
          <w:tab w:val="num" w:pos="1701"/>
        </w:tabs>
        <w:spacing w:after="120"/>
        <w:ind w:left="1701" w:hanging="567"/>
        <w:jc w:val="both"/>
        <w:rPr>
          <w:sz w:val="20"/>
        </w:rPr>
      </w:pPr>
      <w:r w:rsidRPr="00A44EF1">
        <w:rPr>
          <w:sz w:val="20"/>
        </w:rPr>
        <w:t xml:space="preserve">El número de </w:t>
      </w:r>
      <w:r>
        <w:rPr>
          <w:sz w:val="20"/>
        </w:rPr>
        <w:t>empleados</w:t>
      </w:r>
      <w:r w:rsidRPr="00A44EF1">
        <w:rPr>
          <w:sz w:val="20"/>
        </w:rPr>
        <w:t xml:space="preserve"> asignados a la tramitación del volumen de trabajo;</w:t>
      </w:r>
    </w:p>
    <w:p w:rsidR="0023753C" w:rsidRDefault="0023753C" w:rsidP="0023753C">
      <w:pPr>
        <w:numPr>
          <w:ilvl w:val="0"/>
          <w:numId w:val="30"/>
        </w:numPr>
        <w:tabs>
          <w:tab w:val="clear" w:pos="720"/>
          <w:tab w:val="num" w:pos="1701"/>
        </w:tabs>
        <w:spacing w:after="120"/>
        <w:ind w:left="1701" w:hanging="567"/>
        <w:jc w:val="both"/>
        <w:rPr>
          <w:sz w:val="20"/>
        </w:rPr>
      </w:pPr>
      <w:r>
        <w:rPr>
          <w:sz w:val="20"/>
        </w:rPr>
        <w:t>El grado de automatización</w:t>
      </w:r>
      <w:r w:rsidRPr="00760842">
        <w:rPr>
          <w:sz w:val="20"/>
        </w:rPr>
        <w:t xml:space="preserve">;  </w:t>
      </w:r>
      <w:r>
        <w:rPr>
          <w:sz w:val="20"/>
        </w:rPr>
        <w:t>y</w:t>
      </w:r>
      <w:r w:rsidRPr="00760842">
        <w:rPr>
          <w:sz w:val="20"/>
        </w:rPr>
        <w:t>,</w:t>
      </w:r>
    </w:p>
    <w:p w:rsidR="0023753C" w:rsidRDefault="0023753C" w:rsidP="0023753C">
      <w:pPr>
        <w:numPr>
          <w:ilvl w:val="0"/>
          <w:numId w:val="30"/>
        </w:numPr>
        <w:tabs>
          <w:tab w:val="clear" w:pos="720"/>
          <w:tab w:val="num" w:pos="1701"/>
        </w:tabs>
        <w:ind w:left="1701" w:hanging="567"/>
        <w:jc w:val="both"/>
        <w:rPr>
          <w:sz w:val="20"/>
        </w:rPr>
      </w:pPr>
      <w:r>
        <w:rPr>
          <w:sz w:val="20"/>
        </w:rPr>
        <w:t>El costo total de la producción</w:t>
      </w:r>
      <w:r w:rsidRPr="00760842">
        <w:rPr>
          <w:sz w:val="20"/>
        </w:rPr>
        <w:t>.</w:t>
      </w:r>
    </w:p>
    <w:p w:rsidR="0023753C" w:rsidRDefault="0023753C" w:rsidP="00DC1333">
      <w:pPr>
        <w:ind w:left="360"/>
        <w:jc w:val="both"/>
        <w:rPr>
          <w:sz w:val="20"/>
        </w:rPr>
      </w:pPr>
    </w:p>
    <w:p w:rsidR="0023753C" w:rsidRDefault="0023753C" w:rsidP="0023753C">
      <w:pPr>
        <w:pStyle w:val="ListParagraph"/>
        <w:numPr>
          <w:ilvl w:val="0"/>
          <w:numId w:val="29"/>
        </w:numPr>
        <w:ind w:left="360" w:hanging="360"/>
        <w:contextualSpacing/>
        <w:jc w:val="both"/>
        <w:rPr>
          <w:rFonts w:cs="Arial"/>
          <w:b/>
          <w:lang w:val="es-ES"/>
        </w:rPr>
      </w:pPr>
      <w:r>
        <w:rPr>
          <w:rFonts w:cs="Arial"/>
          <w:b/>
          <w:lang w:val="es-ES"/>
        </w:rPr>
        <w:t>Documentos recibidos</w:t>
      </w:r>
    </w:p>
    <w:p w:rsidR="0023753C" w:rsidRPr="006E031E" w:rsidRDefault="0023753C" w:rsidP="00DC1333">
      <w:pPr>
        <w:jc w:val="both"/>
        <w:rPr>
          <w:sz w:val="20"/>
        </w:rPr>
      </w:pPr>
    </w:p>
    <w:p w:rsidR="0023753C" w:rsidRDefault="0023753C" w:rsidP="0023753C">
      <w:pPr>
        <w:pStyle w:val="ListParagraph"/>
        <w:numPr>
          <w:ilvl w:val="0"/>
          <w:numId w:val="35"/>
        </w:numPr>
        <w:tabs>
          <w:tab w:val="left" w:pos="567"/>
        </w:tabs>
        <w:ind w:left="0" w:firstLine="0"/>
        <w:contextualSpacing/>
        <w:jc w:val="both"/>
        <w:rPr>
          <w:rFonts w:cs="Arial"/>
          <w:lang w:val="es-ES"/>
        </w:rPr>
      </w:pPr>
      <w:r w:rsidRPr="00F6597E">
        <w:rPr>
          <w:rFonts w:cs="Arial"/>
          <w:lang w:val="es-ES"/>
        </w:rPr>
        <w:t xml:space="preserve">La Oficina Internacional recibe seis categorías distintas de documentos, a saber, solicitudes internacionales, renovaciones, designaciones posteriores, cambios, decisiones y correcciones.  </w:t>
      </w:r>
      <w:r w:rsidRPr="00D871CB">
        <w:rPr>
          <w:rFonts w:cs="Arial"/>
          <w:lang w:val="es-ES"/>
        </w:rPr>
        <w:t>A continuación se presenta</w:t>
      </w:r>
      <w:r>
        <w:rPr>
          <w:rFonts w:cs="Arial"/>
          <w:lang w:val="es-ES"/>
        </w:rPr>
        <w:t xml:space="preserve"> la evolución más reciente en </w:t>
      </w:r>
      <w:r w:rsidRPr="00D871CB">
        <w:rPr>
          <w:rFonts w:cs="Arial"/>
          <w:lang w:val="es-ES"/>
        </w:rPr>
        <w:t>el número de documentos recibidos por la Oficina Internacional en relación con cada una de estas categor</w:t>
      </w:r>
      <w:r>
        <w:rPr>
          <w:rFonts w:cs="Arial"/>
          <w:lang w:val="es-ES"/>
        </w:rPr>
        <w:t>ías</w:t>
      </w:r>
      <w:r w:rsidRPr="00D871CB">
        <w:rPr>
          <w:rFonts w:cs="Arial"/>
          <w:lang w:val="es-ES"/>
        </w:rPr>
        <w:t>.</w:t>
      </w:r>
      <w:r>
        <w:rPr>
          <w:rFonts w:cs="Arial"/>
          <w:lang w:val="es-ES"/>
        </w:rPr>
        <w:t xml:space="preserve">  </w:t>
      </w:r>
      <w:r w:rsidRPr="00D871CB">
        <w:rPr>
          <w:rFonts w:cs="Arial"/>
          <w:lang w:val="es-ES"/>
        </w:rPr>
        <w:t xml:space="preserve">También se proporciona información complementaria sobre las solicitudes internacionales, como el </w:t>
      </w:r>
      <w:r>
        <w:rPr>
          <w:rFonts w:cs="Arial"/>
          <w:lang w:val="es-ES"/>
        </w:rPr>
        <w:t xml:space="preserve">promedio de </w:t>
      </w:r>
      <w:r w:rsidRPr="00D871CB">
        <w:rPr>
          <w:rFonts w:cs="Arial"/>
          <w:lang w:val="es-ES"/>
        </w:rPr>
        <w:t xml:space="preserve">clases </w:t>
      </w:r>
      <w:r>
        <w:rPr>
          <w:rFonts w:cs="Arial"/>
          <w:lang w:val="es-ES"/>
        </w:rPr>
        <w:t>y la extensión media de las solicitudes</w:t>
      </w:r>
      <w:r w:rsidRPr="00D871CB">
        <w:rPr>
          <w:rFonts w:cs="Arial"/>
          <w:lang w:val="es-ES"/>
        </w:rPr>
        <w:t>.</w:t>
      </w:r>
      <w:r>
        <w:rPr>
          <w:rFonts w:cs="Arial"/>
          <w:lang w:val="es-ES"/>
        </w:rPr>
        <w:t xml:space="preserve">  </w:t>
      </w:r>
      <w:r w:rsidRPr="00D871CB">
        <w:rPr>
          <w:rFonts w:cs="Arial"/>
          <w:lang w:val="es-ES"/>
        </w:rPr>
        <w:t>Por razones técnicas, algunos indicadores reflejan datos basados en documentos tra</w:t>
      </w:r>
      <w:r>
        <w:rPr>
          <w:rFonts w:cs="Arial"/>
          <w:lang w:val="es-ES"/>
        </w:rPr>
        <w:t>mitados</w:t>
      </w:r>
      <w:r w:rsidRPr="00D871CB">
        <w:rPr>
          <w:rFonts w:cs="Arial"/>
          <w:lang w:val="es-ES"/>
        </w:rPr>
        <w:t xml:space="preserve"> y no en documentos recibidos. </w:t>
      </w:r>
      <w:r>
        <w:rPr>
          <w:rFonts w:cs="Arial"/>
          <w:lang w:val="es-ES"/>
        </w:rPr>
        <w:t xml:space="preserve"> Es posible, por lo tanto, que los atrasos en la tramitación incidan en algunos indicadores</w:t>
      </w:r>
      <w:r w:rsidRPr="00D871CB">
        <w:rPr>
          <w:rFonts w:cs="Arial"/>
          <w:lang w:val="es-ES"/>
        </w:rPr>
        <w:t xml:space="preserve">.  </w:t>
      </w:r>
      <w:r>
        <w:rPr>
          <w:rFonts w:cs="Arial"/>
          <w:lang w:val="es-ES"/>
        </w:rPr>
        <w:t xml:space="preserve">Esto se aplica en particular a </w:t>
      </w:r>
      <w:r w:rsidRPr="00D871CB">
        <w:rPr>
          <w:rFonts w:cs="Arial"/>
          <w:lang w:val="es-ES"/>
        </w:rPr>
        <w:t xml:space="preserve">2015, ya que una gran parte de </w:t>
      </w:r>
      <w:r>
        <w:rPr>
          <w:rFonts w:cs="Arial"/>
          <w:lang w:val="es-ES"/>
        </w:rPr>
        <w:t>los</w:t>
      </w:r>
      <w:r w:rsidRPr="00D871CB">
        <w:rPr>
          <w:rFonts w:cs="Arial"/>
          <w:lang w:val="es-ES"/>
        </w:rPr>
        <w:t xml:space="preserve"> atrasos fueron eliminados ese año</w:t>
      </w:r>
      <w:r>
        <w:rPr>
          <w:rFonts w:cs="Arial"/>
          <w:lang w:val="es-ES"/>
        </w:rPr>
        <w:t xml:space="preserve"> por la Oficina Internacional</w:t>
      </w:r>
      <w:r w:rsidRPr="00D871CB">
        <w:rPr>
          <w:rFonts w:cs="Arial"/>
          <w:lang w:val="es-ES"/>
        </w:rPr>
        <w:t>.</w:t>
      </w:r>
    </w:p>
    <w:p w:rsidR="0023753C" w:rsidRDefault="0023753C" w:rsidP="00DC1333">
      <w:pPr>
        <w:pStyle w:val="ListParagraph"/>
        <w:ind w:left="0"/>
        <w:jc w:val="both"/>
        <w:rPr>
          <w:rFonts w:cs="Arial"/>
          <w:lang w:val="es-ES"/>
        </w:rPr>
      </w:pPr>
    </w:p>
    <w:p w:rsidR="0023753C" w:rsidRDefault="0023753C" w:rsidP="00DC1333">
      <w:pPr>
        <w:pStyle w:val="ListParagraph"/>
        <w:ind w:left="0"/>
        <w:jc w:val="both"/>
        <w:rPr>
          <w:rFonts w:cs="Arial"/>
          <w:u w:val="single"/>
          <w:lang w:val="es-ES"/>
        </w:rPr>
      </w:pPr>
      <w:r>
        <w:rPr>
          <w:rFonts w:cs="Arial"/>
          <w:u w:val="single"/>
          <w:lang w:val="es-ES"/>
        </w:rPr>
        <w:t>Solicitudes internacionales</w:t>
      </w:r>
      <w:r w:rsidRPr="00760842">
        <w:rPr>
          <w:rFonts w:cs="Arial"/>
          <w:u w:val="single"/>
          <w:lang w:val="es-ES"/>
        </w:rPr>
        <w:t xml:space="preserve"> </w:t>
      </w:r>
    </w:p>
    <w:p w:rsidR="0023753C" w:rsidRDefault="0023753C" w:rsidP="00DC1333">
      <w:pPr>
        <w:pStyle w:val="ListParagraph"/>
        <w:ind w:left="0"/>
        <w:jc w:val="both"/>
        <w:rPr>
          <w:rFonts w:cs="Arial"/>
          <w:u w:val="single"/>
          <w:lang w:val="es-ES"/>
        </w:rPr>
      </w:pPr>
      <w:r w:rsidRPr="00135169">
        <w:rPr>
          <w:noProof/>
        </w:rPr>
        <w:drawing>
          <wp:inline distT="0" distB="0" distL="0" distR="0" wp14:anchorId="37B3A213" wp14:editId="015D736B">
            <wp:extent cx="5411760" cy="2439449"/>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408052" cy="2437778"/>
                    </a:xfrm>
                    <a:prstGeom prst="rect">
                      <a:avLst/>
                    </a:prstGeom>
                    <a:noFill/>
                    <a:ln>
                      <a:noFill/>
                    </a:ln>
                  </pic:spPr>
                </pic:pic>
              </a:graphicData>
            </a:graphic>
          </wp:inline>
        </w:drawing>
      </w:r>
    </w:p>
    <w:p w:rsidR="0023753C" w:rsidRDefault="0023753C" w:rsidP="00DC1333">
      <w:pPr>
        <w:pStyle w:val="ListParagraph"/>
        <w:ind w:left="0"/>
        <w:jc w:val="both"/>
        <w:rPr>
          <w:rFonts w:cs="Arial"/>
          <w:u w:val="single"/>
          <w:lang w:val="es-ES"/>
        </w:rPr>
      </w:pPr>
    </w:p>
    <w:p w:rsidR="0023753C" w:rsidRPr="00905624" w:rsidRDefault="0023753C" w:rsidP="00DC1333">
      <w:pPr>
        <w:spacing w:after="120"/>
        <w:jc w:val="both"/>
        <w:rPr>
          <w:sz w:val="20"/>
        </w:rPr>
      </w:pPr>
    </w:p>
    <w:p w:rsidR="0023753C" w:rsidRPr="00905624" w:rsidRDefault="0023753C" w:rsidP="0023753C">
      <w:pPr>
        <w:numPr>
          <w:ilvl w:val="0"/>
          <w:numId w:val="30"/>
        </w:numPr>
        <w:tabs>
          <w:tab w:val="clear" w:pos="720"/>
          <w:tab w:val="num" w:pos="1560"/>
        </w:tabs>
        <w:spacing w:after="120"/>
        <w:ind w:left="993" w:hanging="426"/>
        <w:jc w:val="both"/>
        <w:rPr>
          <w:sz w:val="20"/>
        </w:rPr>
      </w:pPr>
      <w:r w:rsidRPr="00D871CB">
        <w:rPr>
          <w:sz w:val="20"/>
        </w:rPr>
        <w:t>La Oficina Internacional recibió 49.273 solicitudes en 2015, lo que supuso un increment</w:t>
      </w:r>
      <w:r>
        <w:rPr>
          <w:sz w:val="20"/>
        </w:rPr>
        <w:t>o</w:t>
      </w:r>
      <w:r w:rsidRPr="00D871CB">
        <w:rPr>
          <w:sz w:val="20"/>
        </w:rPr>
        <w:t xml:space="preserve"> </w:t>
      </w:r>
      <w:r>
        <w:rPr>
          <w:sz w:val="20"/>
        </w:rPr>
        <w:t>del  </w:t>
      </w:r>
      <w:r w:rsidRPr="00D871CB">
        <w:rPr>
          <w:sz w:val="20"/>
        </w:rPr>
        <w:t>2</w:t>
      </w:r>
      <w:r>
        <w:rPr>
          <w:sz w:val="20"/>
        </w:rPr>
        <w:t>,</w:t>
      </w:r>
      <w:r w:rsidRPr="00D871CB">
        <w:rPr>
          <w:sz w:val="20"/>
        </w:rPr>
        <w:t>9</w:t>
      </w:r>
      <w:r>
        <w:rPr>
          <w:sz w:val="20"/>
        </w:rPr>
        <w:t xml:space="preserve">% con respecto a </w:t>
      </w:r>
      <w:r w:rsidRPr="00D871CB">
        <w:rPr>
          <w:sz w:val="20"/>
        </w:rPr>
        <w:t xml:space="preserve">2014.  </w:t>
      </w:r>
      <w:r w:rsidRPr="00905624">
        <w:rPr>
          <w:sz w:val="20"/>
        </w:rPr>
        <w:t>El número total de solicitudes recibidas en el bienio 2014/15 aumentó en un 7% en relaci</w:t>
      </w:r>
      <w:r>
        <w:rPr>
          <w:sz w:val="20"/>
        </w:rPr>
        <w:t xml:space="preserve">ón con el bienio </w:t>
      </w:r>
      <w:r w:rsidRPr="00905624">
        <w:rPr>
          <w:sz w:val="20"/>
        </w:rPr>
        <w:t>2012/13</w:t>
      </w:r>
      <w:r>
        <w:rPr>
          <w:sz w:val="20"/>
        </w:rPr>
        <w:t>.</w:t>
      </w:r>
    </w:p>
    <w:p w:rsidR="0023753C" w:rsidRDefault="0023753C" w:rsidP="0023753C">
      <w:pPr>
        <w:numPr>
          <w:ilvl w:val="0"/>
          <w:numId w:val="30"/>
        </w:numPr>
        <w:tabs>
          <w:tab w:val="clear" w:pos="720"/>
          <w:tab w:val="num" w:pos="1560"/>
        </w:tabs>
        <w:spacing w:after="120"/>
        <w:ind w:left="993" w:hanging="426"/>
        <w:jc w:val="both"/>
        <w:rPr>
          <w:sz w:val="20"/>
        </w:rPr>
      </w:pPr>
      <w:r>
        <w:rPr>
          <w:sz w:val="20"/>
        </w:rPr>
        <w:t xml:space="preserve">El número de </w:t>
      </w:r>
      <w:r w:rsidRPr="00A44EF1">
        <w:rPr>
          <w:sz w:val="20"/>
        </w:rPr>
        <w:t>solicitudes recibidas ha aumentado de forma constante desde 2010.</w:t>
      </w:r>
    </w:p>
    <w:p w:rsidR="0023753C" w:rsidRPr="00905624" w:rsidRDefault="0023753C" w:rsidP="00DC1333">
      <w:pPr>
        <w:pStyle w:val="ListParagraph"/>
        <w:ind w:left="1418"/>
        <w:jc w:val="both"/>
        <w:rPr>
          <w:rFonts w:cs="Arial"/>
          <w:lang w:val="es-ES"/>
        </w:rPr>
      </w:pPr>
    </w:p>
    <w:p w:rsidR="0023753C" w:rsidRDefault="0023753C" w:rsidP="00DC1333">
      <w:pPr>
        <w:pStyle w:val="ListParagraph"/>
        <w:keepNext/>
        <w:keepLines/>
        <w:tabs>
          <w:tab w:val="left" w:pos="1701"/>
        </w:tabs>
        <w:ind w:left="567"/>
        <w:jc w:val="both"/>
        <w:rPr>
          <w:rFonts w:cs="Arial"/>
          <w:i/>
          <w:lang w:val="es-ES"/>
        </w:rPr>
      </w:pPr>
      <w:r w:rsidRPr="00A44EF1">
        <w:rPr>
          <w:rFonts w:cs="Arial"/>
          <w:i/>
          <w:lang w:val="es-ES"/>
        </w:rPr>
        <w:lastRenderedPageBreak/>
        <w:t>Distribución de las solicitudes por idioma de presentación</w:t>
      </w:r>
    </w:p>
    <w:p w:rsidR="0023753C" w:rsidRDefault="0023753C" w:rsidP="00DC1333">
      <w:pPr>
        <w:pStyle w:val="ListParagraph"/>
        <w:keepNext/>
        <w:keepLines/>
        <w:tabs>
          <w:tab w:val="left" w:pos="1701"/>
        </w:tabs>
        <w:ind w:left="1134"/>
        <w:jc w:val="both"/>
        <w:rPr>
          <w:rFonts w:cs="Arial"/>
          <w:lang w:val="es-ES"/>
        </w:rPr>
      </w:pPr>
    </w:p>
    <w:p w:rsidR="0023753C" w:rsidRDefault="0023753C" w:rsidP="00DC1333">
      <w:pPr>
        <w:keepNext/>
        <w:keepLines/>
        <w:jc w:val="center"/>
      </w:pPr>
      <w:r w:rsidRPr="00135169">
        <w:rPr>
          <w:noProof/>
          <w:lang w:val="en-US" w:eastAsia="en-US"/>
        </w:rPr>
        <w:drawing>
          <wp:inline distT="0" distB="0" distL="0" distR="0" wp14:anchorId="79219267" wp14:editId="17FA8503">
            <wp:extent cx="5295569" cy="2651322"/>
            <wp:effectExtent l="0" t="0" r="63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296269" cy="2651672"/>
                    </a:xfrm>
                    <a:prstGeom prst="rect">
                      <a:avLst/>
                    </a:prstGeom>
                    <a:noFill/>
                    <a:ln>
                      <a:noFill/>
                    </a:ln>
                  </pic:spPr>
                </pic:pic>
              </a:graphicData>
            </a:graphic>
          </wp:inline>
        </w:drawing>
      </w:r>
    </w:p>
    <w:p w:rsidR="0023753C" w:rsidRDefault="0023753C" w:rsidP="0023753C">
      <w:pPr>
        <w:keepNext/>
        <w:keepLines/>
        <w:numPr>
          <w:ilvl w:val="0"/>
          <w:numId w:val="30"/>
        </w:numPr>
        <w:tabs>
          <w:tab w:val="clear" w:pos="720"/>
          <w:tab w:val="num" w:pos="993"/>
        </w:tabs>
        <w:spacing w:after="120"/>
        <w:ind w:left="993" w:hanging="426"/>
        <w:jc w:val="both"/>
        <w:rPr>
          <w:sz w:val="20"/>
        </w:rPr>
      </w:pPr>
      <w:r w:rsidRPr="00AA020B">
        <w:rPr>
          <w:sz w:val="20"/>
        </w:rPr>
        <w:t>En 201</w:t>
      </w:r>
      <w:r>
        <w:rPr>
          <w:sz w:val="20"/>
        </w:rPr>
        <w:t>5</w:t>
      </w:r>
      <w:r w:rsidRPr="00AA020B">
        <w:rPr>
          <w:sz w:val="20"/>
        </w:rPr>
        <w:t>, el 80</w:t>
      </w:r>
      <w:r>
        <w:rPr>
          <w:sz w:val="20"/>
        </w:rPr>
        <w:t>%</w:t>
      </w:r>
      <w:r w:rsidRPr="00AA020B">
        <w:rPr>
          <w:sz w:val="20"/>
        </w:rPr>
        <w:t xml:space="preserve"> de todas las solicitudes se present</w:t>
      </w:r>
      <w:r>
        <w:rPr>
          <w:sz w:val="20"/>
        </w:rPr>
        <w:t>ó</w:t>
      </w:r>
      <w:r w:rsidRPr="00AA020B">
        <w:rPr>
          <w:sz w:val="20"/>
        </w:rPr>
        <w:t xml:space="preserve"> en ingl</w:t>
      </w:r>
      <w:r>
        <w:rPr>
          <w:sz w:val="20"/>
        </w:rPr>
        <w:t>és</w:t>
      </w:r>
      <w:r w:rsidRPr="00AA020B">
        <w:rPr>
          <w:sz w:val="20"/>
        </w:rPr>
        <w:t>.  Este porcentaje se mantuvo invariable con respecto a 2014, pero aumentó en 15 puntos porcentuales desde 2008, cuando las solicitudes en ingl</w:t>
      </w:r>
      <w:r>
        <w:rPr>
          <w:sz w:val="20"/>
        </w:rPr>
        <w:t>és supusieron el 65% de todas las solicitudes presentadas</w:t>
      </w:r>
      <w:r w:rsidRPr="00AA020B">
        <w:rPr>
          <w:sz w:val="20"/>
        </w:rPr>
        <w:t>.</w:t>
      </w:r>
    </w:p>
    <w:p w:rsidR="0023753C" w:rsidRDefault="0023753C" w:rsidP="00DC1333">
      <w:pPr>
        <w:jc w:val="both"/>
        <w:rPr>
          <w:sz w:val="20"/>
        </w:rPr>
      </w:pPr>
    </w:p>
    <w:p w:rsidR="0023753C" w:rsidRDefault="0023753C" w:rsidP="00DC1333">
      <w:pPr>
        <w:jc w:val="both"/>
        <w:rPr>
          <w:sz w:val="20"/>
        </w:rPr>
      </w:pPr>
    </w:p>
    <w:p w:rsidR="0023753C" w:rsidRDefault="0023753C" w:rsidP="00DC1333">
      <w:pPr>
        <w:pStyle w:val="ListParagraph"/>
        <w:keepNext/>
        <w:keepLines/>
        <w:tabs>
          <w:tab w:val="left" w:pos="1701"/>
        </w:tabs>
        <w:ind w:left="567"/>
        <w:jc w:val="both"/>
        <w:rPr>
          <w:rFonts w:cs="Arial"/>
          <w:i/>
        </w:rPr>
      </w:pPr>
      <w:proofErr w:type="spellStart"/>
      <w:r>
        <w:rPr>
          <w:rFonts w:cs="Arial"/>
          <w:i/>
        </w:rPr>
        <w:t>Promedio</w:t>
      </w:r>
      <w:proofErr w:type="spellEnd"/>
      <w:r>
        <w:rPr>
          <w:rFonts w:cs="Arial"/>
          <w:i/>
        </w:rPr>
        <w:t xml:space="preserve"> de </w:t>
      </w:r>
      <w:proofErr w:type="spellStart"/>
      <w:r>
        <w:rPr>
          <w:rFonts w:cs="Arial"/>
          <w:i/>
        </w:rPr>
        <w:t>designaciones</w:t>
      </w:r>
      <w:proofErr w:type="spellEnd"/>
      <w:r>
        <w:rPr>
          <w:rFonts w:cs="Arial"/>
          <w:i/>
        </w:rPr>
        <w:t xml:space="preserve"> </w:t>
      </w:r>
      <w:proofErr w:type="spellStart"/>
      <w:r>
        <w:rPr>
          <w:rFonts w:cs="Arial"/>
          <w:i/>
        </w:rPr>
        <w:t>por</w:t>
      </w:r>
      <w:proofErr w:type="spellEnd"/>
      <w:r>
        <w:rPr>
          <w:rFonts w:cs="Arial"/>
          <w:i/>
        </w:rPr>
        <w:t xml:space="preserve"> </w:t>
      </w:r>
      <w:proofErr w:type="spellStart"/>
      <w:r>
        <w:rPr>
          <w:rFonts w:cs="Arial"/>
          <w:i/>
        </w:rPr>
        <w:t>registro</w:t>
      </w:r>
      <w:proofErr w:type="spellEnd"/>
    </w:p>
    <w:p w:rsidR="0023753C" w:rsidRPr="00E43F8B" w:rsidRDefault="0023753C" w:rsidP="00DC1333">
      <w:pPr>
        <w:keepNext/>
        <w:keepLines/>
        <w:tabs>
          <w:tab w:val="left" w:pos="1701"/>
        </w:tabs>
        <w:jc w:val="both"/>
      </w:pPr>
    </w:p>
    <w:p w:rsidR="0023753C" w:rsidRDefault="0023753C" w:rsidP="00DC1333">
      <w:r w:rsidRPr="00E43F8B">
        <w:rPr>
          <w:noProof/>
          <w:lang w:val="en-US" w:eastAsia="en-US"/>
        </w:rPr>
        <w:drawing>
          <wp:inline distT="0" distB="0" distL="0" distR="0" wp14:anchorId="00CD923F" wp14:editId="6970194E">
            <wp:extent cx="5940425" cy="2935675"/>
            <wp:effectExtent l="0" t="0" r="317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940425" cy="2935675"/>
                    </a:xfrm>
                    <a:prstGeom prst="rect">
                      <a:avLst/>
                    </a:prstGeom>
                    <a:noFill/>
                    <a:ln>
                      <a:noFill/>
                    </a:ln>
                  </pic:spPr>
                </pic:pic>
              </a:graphicData>
            </a:graphic>
          </wp:inline>
        </w:drawing>
      </w:r>
    </w:p>
    <w:p w:rsidR="0023753C" w:rsidRDefault="0023753C" w:rsidP="0023753C">
      <w:pPr>
        <w:numPr>
          <w:ilvl w:val="0"/>
          <w:numId w:val="30"/>
        </w:numPr>
        <w:tabs>
          <w:tab w:val="clear" w:pos="720"/>
          <w:tab w:val="num" w:pos="1134"/>
        </w:tabs>
        <w:spacing w:after="120"/>
        <w:ind w:left="993" w:hanging="426"/>
        <w:jc w:val="both"/>
        <w:rPr>
          <w:sz w:val="20"/>
        </w:rPr>
      </w:pPr>
      <w:r w:rsidRPr="00AA1C30">
        <w:rPr>
          <w:sz w:val="20"/>
        </w:rPr>
        <w:t>Se inscribieron en promedio 7,7 designaciones en las solicitudes registradas en 2015, casi una designaci</w:t>
      </w:r>
      <w:r>
        <w:rPr>
          <w:sz w:val="20"/>
        </w:rPr>
        <w:t xml:space="preserve">ón más que el promedio en </w:t>
      </w:r>
      <w:r w:rsidRPr="00AA1C30">
        <w:rPr>
          <w:sz w:val="20"/>
        </w:rPr>
        <w:t>2014.</w:t>
      </w:r>
    </w:p>
    <w:p w:rsidR="0023753C" w:rsidRDefault="0023753C" w:rsidP="00DC1333">
      <w:pPr>
        <w:tabs>
          <w:tab w:val="num" w:pos="1134"/>
        </w:tabs>
        <w:spacing w:after="120"/>
        <w:ind w:left="993" w:hanging="426"/>
        <w:jc w:val="both"/>
        <w:rPr>
          <w:sz w:val="20"/>
        </w:rPr>
      </w:pPr>
    </w:p>
    <w:p w:rsidR="0023753C" w:rsidRDefault="0023753C" w:rsidP="00DC1333">
      <w:pPr>
        <w:pStyle w:val="ListParagraph"/>
        <w:keepNext/>
        <w:keepLines/>
        <w:tabs>
          <w:tab w:val="left" w:pos="1701"/>
        </w:tabs>
        <w:ind w:left="567"/>
        <w:jc w:val="both"/>
        <w:rPr>
          <w:rFonts w:cs="Arial"/>
          <w:i/>
        </w:rPr>
      </w:pPr>
      <w:proofErr w:type="spellStart"/>
      <w:r>
        <w:rPr>
          <w:rFonts w:cs="Arial"/>
          <w:i/>
        </w:rPr>
        <w:lastRenderedPageBreak/>
        <w:t>Promedio</w:t>
      </w:r>
      <w:proofErr w:type="spellEnd"/>
      <w:r>
        <w:rPr>
          <w:rFonts w:cs="Arial"/>
          <w:i/>
        </w:rPr>
        <w:t xml:space="preserve"> de </w:t>
      </w:r>
      <w:proofErr w:type="spellStart"/>
      <w:r>
        <w:rPr>
          <w:rFonts w:cs="Arial"/>
          <w:i/>
        </w:rPr>
        <w:t>clases</w:t>
      </w:r>
      <w:proofErr w:type="spellEnd"/>
      <w:r>
        <w:rPr>
          <w:rFonts w:cs="Arial"/>
          <w:i/>
        </w:rPr>
        <w:t xml:space="preserve"> </w:t>
      </w:r>
      <w:proofErr w:type="spellStart"/>
      <w:r>
        <w:rPr>
          <w:rFonts w:cs="Arial"/>
          <w:i/>
        </w:rPr>
        <w:t>por</w:t>
      </w:r>
      <w:proofErr w:type="spellEnd"/>
      <w:r>
        <w:rPr>
          <w:rFonts w:cs="Arial"/>
          <w:i/>
        </w:rPr>
        <w:t xml:space="preserve"> </w:t>
      </w:r>
      <w:proofErr w:type="spellStart"/>
      <w:r>
        <w:rPr>
          <w:rFonts w:cs="Arial"/>
          <w:i/>
        </w:rPr>
        <w:t>registro</w:t>
      </w:r>
      <w:proofErr w:type="spellEnd"/>
    </w:p>
    <w:p w:rsidR="0023753C" w:rsidRDefault="0023753C" w:rsidP="00DC1333">
      <w:pPr>
        <w:keepNext/>
        <w:keepLines/>
        <w:jc w:val="center"/>
      </w:pPr>
      <w:r w:rsidRPr="00881BDF">
        <w:rPr>
          <w:noProof/>
          <w:lang w:val="en-US" w:eastAsia="en-US"/>
        </w:rPr>
        <w:drawing>
          <wp:inline distT="0" distB="0" distL="0" distR="0" wp14:anchorId="0C87BBCD" wp14:editId="4E3C6D15">
            <wp:extent cx="5718230" cy="2700000"/>
            <wp:effectExtent l="0" t="0" r="0" b="571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718230" cy="2700000"/>
                    </a:xfrm>
                    <a:prstGeom prst="rect">
                      <a:avLst/>
                    </a:prstGeom>
                    <a:noFill/>
                    <a:ln>
                      <a:noFill/>
                    </a:ln>
                  </pic:spPr>
                </pic:pic>
              </a:graphicData>
            </a:graphic>
          </wp:inline>
        </w:drawing>
      </w:r>
    </w:p>
    <w:p w:rsidR="0023753C" w:rsidRDefault="0023753C" w:rsidP="0023753C">
      <w:pPr>
        <w:keepNext/>
        <w:keepLines/>
        <w:numPr>
          <w:ilvl w:val="0"/>
          <w:numId w:val="30"/>
        </w:numPr>
        <w:tabs>
          <w:tab w:val="clear" w:pos="720"/>
          <w:tab w:val="num" w:pos="993"/>
        </w:tabs>
        <w:spacing w:after="120"/>
        <w:ind w:left="993" w:hanging="426"/>
        <w:jc w:val="both"/>
        <w:rPr>
          <w:sz w:val="20"/>
        </w:rPr>
      </w:pPr>
      <w:r w:rsidRPr="00AA1C30">
        <w:rPr>
          <w:sz w:val="20"/>
        </w:rPr>
        <w:t>Como ocurrió en 2014, se especificaron en promedio 2,5 clases en las solicitudes registradas en 2015</w:t>
      </w:r>
      <w:r>
        <w:rPr>
          <w:sz w:val="20"/>
        </w:rPr>
        <w:t>.</w:t>
      </w:r>
    </w:p>
    <w:p w:rsidR="0023753C" w:rsidRDefault="0023753C" w:rsidP="00DC1333">
      <w:pPr>
        <w:jc w:val="both"/>
        <w:rPr>
          <w:sz w:val="20"/>
        </w:rPr>
      </w:pPr>
    </w:p>
    <w:p w:rsidR="0023753C" w:rsidRDefault="0023753C" w:rsidP="00DC1333">
      <w:pPr>
        <w:pStyle w:val="ListParagraph"/>
        <w:tabs>
          <w:tab w:val="left" w:pos="1701"/>
        </w:tabs>
        <w:ind w:left="567"/>
        <w:jc w:val="both"/>
        <w:rPr>
          <w:rFonts w:cs="Arial"/>
          <w:i/>
          <w:lang w:val="es-ES"/>
        </w:rPr>
      </w:pPr>
      <w:r>
        <w:rPr>
          <w:rFonts w:cs="Arial"/>
          <w:i/>
          <w:lang w:val="es-ES"/>
        </w:rPr>
        <w:t>Extensión media de las solicitudes</w:t>
      </w:r>
      <w:r w:rsidRPr="00760842">
        <w:rPr>
          <w:rFonts w:cs="Arial"/>
          <w:i/>
          <w:lang w:val="es-ES"/>
        </w:rPr>
        <w:t xml:space="preserve"> </w:t>
      </w:r>
    </w:p>
    <w:p w:rsidR="0023753C" w:rsidRDefault="0023753C" w:rsidP="00DC1333">
      <w:pPr>
        <w:pStyle w:val="ListParagraph"/>
        <w:ind w:left="1980"/>
        <w:jc w:val="both"/>
        <w:rPr>
          <w:rFonts w:cs="Arial"/>
          <w:lang w:val="es-ES"/>
        </w:rPr>
      </w:pPr>
    </w:p>
    <w:p w:rsidR="0023753C" w:rsidRDefault="0023753C" w:rsidP="0023753C">
      <w:pPr>
        <w:pStyle w:val="ListParagraph"/>
        <w:numPr>
          <w:ilvl w:val="0"/>
          <w:numId w:val="35"/>
        </w:numPr>
        <w:tabs>
          <w:tab w:val="left" w:pos="567"/>
        </w:tabs>
        <w:ind w:left="0" w:firstLine="0"/>
        <w:contextualSpacing/>
        <w:jc w:val="both"/>
        <w:rPr>
          <w:rFonts w:cs="Arial"/>
          <w:lang w:val="es-ES"/>
        </w:rPr>
      </w:pPr>
      <w:r w:rsidRPr="00AA020B">
        <w:rPr>
          <w:rFonts w:cs="Arial"/>
          <w:lang w:val="es-ES"/>
        </w:rPr>
        <w:t>La extensión de una solicitud l</w:t>
      </w:r>
      <w:r>
        <w:rPr>
          <w:rFonts w:cs="Arial"/>
          <w:lang w:val="es-ES"/>
        </w:rPr>
        <w:t>a</w:t>
      </w:r>
      <w:r w:rsidRPr="00AA020B">
        <w:rPr>
          <w:rFonts w:cs="Arial"/>
          <w:lang w:val="es-ES"/>
        </w:rPr>
        <w:t xml:space="preserve"> determina el número total de palabras empleadas por los solicitantes para</w:t>
      </w:r>
      <w:r>
        <w:rPr>
          <w:rFonts w:cs="Arial"/>
          <w:lang w:val="es-ES"/>
        </w:rPr>
        <w:t xml:space="preserve"> a) la descripción de la marca, b) la lista de productos y servicios, y c) cualquier limitación que las acompañe</w:t>
      </w:r>
      <w:r w:rsidRPr="00AA020B">
        <w:rPr>
          <w:rFonts w:cs="Arial"/>
          <w:lang w:val="es-ES"/>
        </w:rPr>
        <w:t xml:space="preserve">.  </w:t>
      </w:r>
      <w:r w:rsidRPr="001F3563">
        <w:rPr>
          <w:rFonts w:cs="Arial"/>
          <w:lang w:val="es-ES"/>
        </w:rPr>
        <w:t xml:space="preserve">Para que la solicitud esté disponible en los tres idiomas del Sistema de Madrid, </w:t>
      </w:r>
      <w:r>
        <w:rPr>
          <w:rFonts w:cs="Arial"/>
          <w:lang w:val="es-ES"/>
        </w:rPr>
        <w:t xml:space="preserve">la Oficina Internacional traduce </w:t>
      </w:r>
      <w:r w:rsidRPr="001F3563">
        <w:rPr>
          <w:rFonts w:cs="Arial"/>
          <w:lang w:val="es-ES"/>
        </w:rPr>
        <w:t xml:space="preserve">estos tres elementos </w:t>
      </w:r>
      <w:r>
        <w:rPr>
          <w:rFonts w:cs="Arial"/>
          <w:lang w:val="es-ES"/>
        </w:rPr>
        <w:t>al</w:t>
      </w:r>
      <w:r w:rsidRPr="001F3563">
        <w:rPr>
          <w:rFonts w:cs="Arial"/>
          <w:lang w:val="es-ES"/>
        </w:rPr>
        <w:t xml:space="preserve"> inglés, </w:t>
      </w:r>
      <w:r>
        <w:rPr>
          <w:rFonts w:cs="Arial"/>
          <w:lang w:val="es-ES"/>
        </w:rPr>
        <w:t xml:space="preserve">al </w:t>
      </w:r>
      <w:r w:rsidRPr="001F3563">
        <w:rPr>
          <w:rFonts w:cs="Arial"/>
          <w:lang w:val="es-ES"/>
        </w:rPr>
        <w:t>franc</w:t>
      </w:r>
      <w:r>
        <w:rPr>
          <w:rFonts w:cs="Arial"/>
          <w:lang w:val="es-ES"/>
        </w:rPr>
        <w:t>és o al español, dependiendo del idioma original de la solicitud</w:t>
      </w:r>
      <w:r w:rsidRPr="001F3563">
        <w:rPr>
          <w:rFonts w:cs="Arial"/>
          <w:lang w:val="es-ES"/>
        </w:rPr>
        <w:t xml:space="preserve">. </w:t>
      </w:r>
    </w:p>
    <w:p w:rsidR="0023753C" w:rsidRDefault="0023753C" w:rsidP="00DC1333">
      <w:pPr>
        <w:jc w:val="both"/>
        <w:rPr>
          <w:sz w:val="20"/>
        </w:rPr>
      </w:pPr>
    </w:p>
    <w:p w:rsidR="0023753C" w:rsidRDefault="0023753C" w:rsidP="00DC1333">
      <w:pPr>
        <w:jc w:val="center"/>
        <w:rPr>
          <w:sz w:val="20"/>
        </w:rPr>
      </w:pPr>
      <w:r w:rsidRPr="00135169">
        <w:rPr>
          <w:noProof/>
          <w:lang w:val="en-US" w:eastAsia="en-US"/>
        </w:rPr>
        <w:drawing>
          <wp:inline distT="0" distB="0" distL="0" distR="0" wp14:anchorId="7F318EA6" wp14:editId="2B3A7635">
            <wp:extent cx="5319423" cy="2659712"/>
            <wp:effectExtent l="0" t="0" r="0" b="762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313028" cy="2656515"/>
                    </a:xfrm>
                    <a:prstGeom prst="rect">
                      <a:avLst/>
                    </a:prstGeom>
                    <a:noFill/>
                    <a:ln>
                      <a:noFill/>
                    </a:ln>
                  </pic:spPr>
                </pic:pic>
              </a:graphicData>
            </a:graphic>
          </wp:inline>
        </w:drawing>
      </w:r>
    </w:p>
    <w:p w:rsidR="0023753C" w:rsidRDefault="0023753C" w:rsidP="00DC1333">
      <w:pPr>
        <w:jc w:val="both"/>
        <w:rPr>
          <w:sz w:val="20"/>
        </w:rPr>
      </w:pPr>
    </w:p>
    <w:p w:rsidR="0023753C" w:rsidRDefault="0023753C" w:rsidP="0023753C">
      <w:pPr>
        <w:numPr>
          <w:ilvl w:val="0"/>
          <w:numId w:val="30"/>
        </w:numPr>
        <w:tabs>
          <w:tab w:val="clear" w:pos="720"/>
          <w:tab w:val="num" w:pos="993"/>
        </w:tabs>
        <w:spacing w:after="120"/>
        <w:ind w:left="993" w:hanging="426"/>
        <w:jc w:val="both"/>
        <w:rPr>
          <w:sz w:val="20"/>
        </w:rPr>
      </w:pPr>
      <w:r w:rsidRPr="001F3563">
        <w:rPr>
          <w:sz w:val="20"/>
        </w:rPr>
        <w:t xml:space="preserve">En 2015, la extensión media de una solicitud </w:t>
      </w:r>
      <w:r>
        <w:rPr>
          <w:sz w:val="20"/>
        </w:rPr>
        <w:t>fue</w:t>
      </w:r>
      <w:r w:rsidRPr="001F3563">
        <w:rPr>
          <w:sz w:val="20"/>
        </w:rPr>
        <w:t xml:space="preserve"> de 209 palabras, frente a 239 palab</w:t>
      </w:r>
      <w:r>
        <w:rPr>
          <w:sz w:val="20"/>
        </w:rPr>
        <w:t>ras en </w:t>
      </w:r>
      <w:r w:rsidRPr="001F3563">
        <w:rPr>
          <w:sz w:val="20"/>
        </w:rPr>
        <w:t xml:space="preserve">2014.  </w:t>
      </w:r>
      <w:r>
        <w:rPr>
          <w:sz w:val="20"/>
        </w:rPr>
        <w:t xml:space="preserve">Esto representa un descenso del </w:t>
      </w:r>
      <w:r w:rsidRPr="001F3563">
        <w:rPr>
          <w:sz w:val="20"/>
        </w:rPr>
        <w:t>12,4</w:t>
      </w:r>
      <w:r>
        <w:rPr>
          <w:sz w:val="20"/>
        </w:rPr>
        <w:t>%</w:t>
      </w:r>
      <w:r w:rsidRPr="001F3563">
        <w:rPr>
          <w:sz w:val="20"/>
        </w:rPr>
        <w:t xml:space="preserve"> con respecto</w:t>
      </w:r>
      <w:r>
        <w:rPr>
          <w:sz w:val="20"/>
        </w:rPr>
        <w:t xml:space="preserve"> a</w:t>
      </w:r>
      <w:r w:rsidRPr="001F3563">
        <w:rPr>
          <w:sz w:val="20"/>
        </w:rPr>
        <w:t xml:space="preserve"> 2014.</w:t>
      </w:r>
    </w:p>
    <w:p w:rsidR="0023753C" w:rsidRDefault="0023753C" w:rsidP="0023753C">
      <w:pPr>
        <w:numPr>
          <w:ilvl w:val="0"/>
          <w:numId w:val="30"/>
        </w:numPr>
        <w:tabs>
          <w:tab w:val="clear" w:pos="720"/>
          <w:tab w:val="num" w:pos="993"/>
        </w:tabs>
        <w:spacing w:after="120"/>
        <w:ind w:left="993" w:hanging="426"/>
        <w:jc w:val="both"/>
        <w:rPr>
          <w:sz w:val="20"/>
        </w:rPr>
      </w:pPr>
      <w:r w:rsidRPr="001F3563">
        <w:rPr>
          <w:sz w:val="20"/>
        </w:rPr>
        <w:t xml:space="preserve">Si bien algunos aspectos de la labor de traducción y de clasificación son automáticos, </w:t>
      </w:r>
      <w:r>
        <w:rPr>
          <w:sz w:val="20"/>
        </w:rPr>
        <w:t>los aumentos en l</w:t>
      </w:r>
      <w:r w:rsidRPr="001F3563">
        <w:rPr>
          <w:sz w:val="20"/>
        </w:rPr>
        <w:t xml:space="preserve">a extensión de las solicitudes, como </w:t>
      </w:r>
      <w:r>
        <w:rPr>
          <w:sz w:val="20"/>
        </w:rPr>
        <w:t xml:space="preserve">los </w:t>
      </w:r>
      <w:r w:rsidRPr="001F3563">
        <w:rPr>
          <w:sz w:val="20"/>
        </w:rPr>
        <w:t>observado</w:t>
      </w:r>
      <w:r>
        <w:rPr>
          <w:sz w:val="20"/>
        </w:rPr>
        <w:t>s</w:t>
      </w:r>
      <w:r w:rsidRPr="001F3563">
        <w:rPr>
          <w:sz w:val="20"/>
        </w:rPr>
        <w:t xml:space="preserve"> durante el per</w:t>
      </w:r>
      <w:r>
        <w:rPr>
          <w:sz w:val="20"/>
        </w:rPr>
        <w:t>íodo 2011</w:t>
      </w:r>
      <w:r>
        <w:rPr>
          <w:sz w:val="20"/>
        </w:rPr>
        <w:noBreakHyphen/>
      </w:r>
      <w:r w:rsidRPr="001F3563">
        <w:rPr>
          <w:sz w:val="20"/>
        </w:rPr>
        <w:t xml:space="preserve">2014, </w:t>
      </w:r>
      <w:r>
        <w:rPr>
          <w:sz w:val="20"/>
        </w:rPr>
        <w:t>tuvieron una incidencia importante en el volumen de trabajo de la Oficina Internacional</w:t>
      </w:r>
      <w:r w:rsidRPr="001F3563">
        <w:rPr>
          <w:sz w:val="20"/>
        </w:rPr>
        <w:t>.</w:t>
      </w:r>
    </w:p>
    <w:p w:rsidR="0023753C" w:rsidRDefault="0023753C" w:rsidP="00DC1333">
      <w:pPr>
        <w:pStyle w:val="ListParagraph"/>
        <w:jc w:val="both"/>
        <w:rPr>
          <w:rFonts w:cs="Arial"/>
          <w:lang w:val="es-ES"/>
        </w:rPr>
      </w:pPr>
    </w:p>
    <w:p w:rsidR="0023753C" w:rsidRDefault="0023753C" w:rsidP="00DC1333">
      <w:pPr>
        <w:pStyle w:val="ListParagraph"/>
        <w:jc w:val="both"/>
        <w:rPr>
          <w:rFonts w:cs="Arial"/>
          <w:lang w:val="es-ES"/>
        </w:rPr>
      </w:pPr>
    </w:p>
    <w:p w:rsidR="0023753C" w:rsidRPr="00730767" w:rsidRDefault="0023753C" w:rsidP="00DC1333">
      <w:pPr>
        <w:pStyle w:val="ListParagraph"/>
        <w:keepNext/>
        <w:keepLines/>
        <w:tabs>
          <w:tab w:val="left" w:pos="1701"/>
        </w:tabs>
        <w:ind w:left="567"/>
        <w:jc w:val="both"/>
        <w:rPr>
          <w:rFonts w:cs="Arial"/>
          <w:i/>
          <w:lang w:val="es-ES"/>
        </w:rPr>
      </w:pPr>
      <w:r w:rsidRPr="00730767">
        <w:rPr>
          <w:rFonts w:cs="Arial"/>
          <w:i/>
          <w:lang w:val="es-ES"/>
        </w:rPr>
        <w:lastRenderedPageBreak/>
        <w:t>Distribución de las solicitudes regulares e irregulares</w:t>
      </w:r>
    </w:p>
    <w:p w:rsidR="0023753C" w:rsidRDefault="0023753C" w:rsidP="00DC1333">
      <w:pPr>
        <w:jc w:val="center"/>
        <w:rPr>
          <w:sz w:val="20"/>
        </w:rPr>
      </w:pPr>
      <w:r w:rsidRPr="0071157B">
        <w:rPr>
          <w:noProof/>
          <w:lang w:val="en-US" w:eastAsia="en-US"/>
        </w:rPr>
        <w:drawing>
          <wp:inline distT="0" distB="0" distL="0" distR="0" wp14:anchorId="7CD5AB7D" wp14:editId="2C20CB41">
            <wp:extent cx="6041411" cy="3024000"/>
            <wp:effectExtent l="0" t="0" r="0" b="508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6041411" cy="3024000"/>
                    </a:xfrm>
                    <a:prstGeom prst="rect">
                      <a:avLst/>
                    </a:prstGeom>
                    <a:noFill/>
                    <a:ln>
                      <a:noFill/>
                    </a:ln>
                  </pic:spPr>
                </pic:pic>
              </a:graphicData>
            </a:graphic>
          </wp:inline>
        </w:drawing>
      </w:r>
    </w:p>
    <w:p w:rsidR="0023753C" w:rsidRDefault="0023753C" w:rsidP="00DC1333">
      <w:pPr>
        <w:jc w:val="both"/>
        <w:rPr>
          <w:sz w:val="20"/>
        </w:rPr>
      </w:pPr>
      <w:r w:rsidRPr="001F3563">
        <w:rPr>
          <w:sz w:val="20"/>
        </w:rPr>
        <w:t xml:space="preserve">Si bien el porcentaje de </w:t>
      </w:r>
      <w:r>
        <w:rPr>
          <w:sz w:val="20"/>
        </w:rPr>
        <w:t xml:space="preserve">las </w:t>
      </w:r>
      <w:r w:rsidRPr="001F3563">
        <w:rPr>
          <w:sz w:val="20"/>
        </w:rPr>
        <w:t xml:space="preserve">solicitudes regulares se ha mantenido estable entre 2011 y 2014, en 2015 se </w:t>
      </w:r>
      <w:r>
        <w:rPr>
          <w:sz w:val="20"/>
        </w:rPr>
        <w:t>observó una disminución de cinco puntos porcentuales</w:t>
      </w:r>
      <w:r w:rsidRPr="001F3563">
        <w:rPr>
          <w:sz w:val="20"/>
        </w:rPr>
        <w:t>.</w:t>
      </w:r>
    </w:p>
    <w:p w:rsidR="0023753C" w:rsidRDefault="0023753C" w:rsidP="00DC1333">
      <w:pPr>
        <w:jc w:val="both"/>
        <w:rPr>
          <w:sz w:val="20"/>
        </w:rPr>
      </w:pPr>
    </w:p>
    <w:p w:rsidR="0023753C" w:rsidRDefault="0023753C" w:rsidP="00DC1333">
      <w:pPr>
        <w:pStyle w:val="ListParagraph"/>
        <w:ind w:left="0"/>
        <w:jc w:val="both"/>
        <w:rPr>
          <w:rFonts w:cs="Arial"/>
          <w:u w:val="single"/>
          <w:lang w:val="es-ES"/>
        </w:rPr>
      </w:pPr>
      <w:r w:rsidRPr="00760842">
        <w:rPr>
          <w:rFonts w:cs="Arial"/>
          <w:u w:val="single"/>
          <w:lang w:val="es-ES"/>
        </w:rPr>
        <w:t>Ren</w:t>
      </w:r>
      <w:r>
        <w:rPr>
          <w:rFonts w:cs="Arial"/>
          <w:u w:val="single"/>
          <w:lang w:val="es-ES"/>
        </w:rPr>
        <w:t>ovaciones</w:t>
      </w:r>
    </w:p>
    <w:p w:rsidR="0023753C" w:rsidRDefault="0023753C" w:rsidP="00DC1333">
      <w:pPr>
        <w:jc w:val="center"/>
        <w:rPr>
          <w:sz w:val="20"/>
        </w:rPr>
      </w:pPr>
      <w:r w:rsidRPr="00135169">
        <w:rPr>
          <w:noProof/>
          <w:lang w:val="en-US" w:eastAsia="en-US"/>
        </w:rPr>
        <w:drawing>
          <wp:inline distT="0" distB="0" distL="0" distR="0" wp14:anchorId="01224539" wp14:editId="1AC64F8F">
            <wp:extent cx="5157809" cy="2234317"/>
            <wp:effectExtent l="0" t="0" r="508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157241" cy="2234071"/>
                    </a:xfrm>
                    <a:prstGeom prst="rect">
                      <a:avLst/>
                    </a:prstGeom>
                    <a:noFill/>
                    <a:ln>
                      <a:noFill/>
                    </a:ln>
                  </pic:spPr>
                </pic:pic>
              </a:graphicData>
            </a:graphic>
          </wp:inline>
        </w:drawing>
      </w:r>
    </w:p>
    <w:p w:rsidR="0023753C" w:rsidRDefault="0023753C" w:rsidP="0023753C">
      <w:pPr>
        <w:numPr>
          <w:ilvl w:val="0"/>
          <w:numId w:val="30"/>
        </w:numPr>
        <w:tabs>
          <w:tab w:val="clear" w:pos="720"/>
          <w:tab w:val="num" w:pos="1560"/>
        </w:tabs>
        <w:spacing w:after="120"/>
        <w:ind w:left="993" w:hanging="426"/>
        <w:jc w:val="both"/>
        <w:rPr>
          <w:sz w:val="20"/>
        </w:rPr>
      </w:pPr>
      <w:r w:rsidRPr="001F3563">
        <w:rPr>
          <w:sz w:val="20"/>
        </w:rPr>
        <w:t>En 2015, la Oficina Internacional registró 28.502 renovaciones, un 11</w:t>
      </w:r>
      <w:r>
        <w:rPr>
          <w:sz w:val="20"/>
        </w:rPr>
        <w:t>%</w:t>
      </w:r>
      <w:r w:rsidRPr="001F3563">
        <w:rPr>
          <w:sz w:val="20"/>
        </w:rPr>
        <w:t xml:space="preserve"> m</w:t>
      </w:r>
      <w:r>
        <w:rPr>
          <w:sz w:val="20"/>
        </w:rPr>
        <w:t xml:space="preserve">ás que en </w:t>
      </w:r>
      <w:r w:rsidRPr="001F3563">
        <w:rPr>
          <w:sz w:val="20"/>
        </w:rPr>
        <w:t>2014.  La cifra total de renovaciones tramitadas durante el bienio 2014/15 aumentó en un 21</w:t>
      </w:r>
      <w:r>
        <w:rPr>
          <w:sz w:val="20"/>
        </w:rPr>
        <w:t>%</w:t>
      </w:r>
      <w:r w:rsidRPr="001F3563">
        <w:rPr>
          <w:sz w:val="20"/>
        </w:rPr>
        <w:t xml:space="preserve"> con respect</w:t>
      </w:r>
      <w:r>
        <w:rPr>
          <w:sz w:val="20"/>
        </w:rPr>
        <w:t>o</w:t>
      </w:r>
      <w:r w:rsidRPr="001F3563">
        <w:rPr>
          <w:sz w:val="20"/>
        </w:rPr>
        <w:t xml:space="preserve"> al bienio 2012/13</w:t>
      </w:r>
      <w:r>
        <w:rPr>
          <w:sz w:val="20"/>
        </w:rPr>
        <w:t>.</w:t>
      </w:r>
    </w:p>
    <w:p w:rsidR="0023753C" w:rsidRDefault="0023753C" w:rsidP="00DC1333">
      <w:pPr>
        <w:spacing w:after="120"/>
        <w:ind w:left="993" w:hanging="426"/>
        <w:jc w:val="both"/>
        <w:rPr>
          <w:sz w:val="20"/>
        </w:rPr>
      </w:pPr>
    </w:p>
    <w:p w:rsidR="0023753C" w:rsidRDefault="0023753C" w:rsidP="00DC1333">
      <w:pPr>
        <w:pStyle w:val="ListParagraph"/>
        <w:keepNext/>
        <w:keepLines/>
        <w:ind w:left="0"/>
        <w:jc w:val="both"/>
        <w:rPr>
          <w:rFonts w:cs="Arial"/>
          <w:u w:val="single"/>
          <w:lang w:val="es-ES"/>
        </w:rPr>
      </w:pPr>
      <w:r>
        <w:rPr>
          <w:rFonts w:cs="Arial"/>
          <w:u w:val="single"/>
          <w:lang w:val="es-ES"/>
        </w:rPr>
        <w:lastRenderedPageBreak/>
        <w:t>Designaciones posteriores</w:t>
      </w:r>
      <w:r w:rsidRPr="00760842">
        <w:rPr>
          <w:rFonts w:cs="Arial"/>
          <w:u w:val="single"/>
          <w:lang w:val="es-ES"/>
        </w:rPr>
        <w:t xml:space="preserve"> </w:t>
      </w:r>
    </w:p>
    <w:p w:rsidR="0023753C" w:rsidRDefault="0023753C" w:rsidP="00DC1333">
      <w:pPr>
        <w:keepNext/>
        <w:keepLines/>
        <w:jc w:val="center"/>
        <w:rPr>
          <w:sz w:val="20"/>
          <w:highlight w:val="yellow"/>
        </w:rPr>
      </w:pPr>
      <w:r w:rsidRPr="00881BDF">
        <w:rPr>
          <w:noProof/>
          <w:lang w:val="en-US" w:eastAsia="en-US"/>
        </w:rPr>
        <w:drawing>
          <wp:inline distT="0" distB="0" distL="0" distR="0" wp14:anchorId="44E6EF1A" wp14:editId="6A6F88BB">
            <wp:extent cx="5325001" cy="2624447"/>
            <wp:effectExtent l="0" t="0" r="0" b="508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346565" cy="2635075"/>
                    </a:xfrm>
                    <a:prstGeom prst="rect">
                      <a:avLst/>
                    </a:prstGeom>
                    <a:noFill/>
                    <a:ln>
                      <a:noFill/>
                    </a:ln>
                  </pic:spPr>
                </pic:pic>
              </a:graphicData>
            </a:graphic>
          </wp:inline>
        </w:drawing>
      </w:r>
    </w:p>
    <w:p w:rsidR="0023753C" w:rsidRDefault="0023753C" w:rsidP="00DC1333">
      <w:pPr>
        <w:keepNext/>
        <w:keepLines/>
        <w:jc w:val="both"/>
        <w:rPr>
          <w:sz w:val="20"/>
          <w:highlight w:val="yellow"/>
        </w:rPr>
      </w:pPr>
    </w:p>
    <w:p w:rsidR="0023753C" w:rsidRDefault="0023753C" w:rsidP="0023753C">
      <w:pPr>
        <w:keepNext/>
        <w:keepLines/>
        <w:numPr>
          <w:ilvl w:val="0"/>
          <w:numId w:val="30"/>
        </w:numPr>
        <w:tabs>
          <w:tab w:val="clear" w:pos="720"/>
          <w:tab w:val="num" w:pos="993"/>
        </w:tabs>
        <w:spacing w:after="120"/>
        <w:ind w:left="993" w:hanging="426"/>
        <w:jc w:val="both"/>
        <w:rPr>
          <w:sz w:val="20"/>
        </w:rPr>
      </w:pPr>
      <w:r w:rsidRPr="001F3563">
        <w:rPr>
          <w:sz w:val="20"/>
        </w:rPr>
        <w:t xml:space="preserve">En 2015, la Oficina Internacional </w:t>
      </w:r>
      <w:r>
        <w:rPr>
          <w:sz w:val="20"/>
        </w:rPr>
        <w:t>inscribi</w:t>
      </w:r>
      <w:r w:rsidRPr="001F3563">
        <w:rPr>
          <w:sz w:val="20"/>
        </w:rPr>
        <w:t>ó 17.937 designaciones posteriores, un 3,6</w:t>
      </w:r>
      <w:r>
        <w:rPr>
          <w:sz w:val="20"/>
        </w:rPr>
        <w:t>%</w:t>
      </w:r>
      <w:r w:rsidRPr="001F3563">
        <w:rPr>
          <w:sz w:val="20"/>
        </w:rPr>
        <w:t xml:space="preserve"> m</w:t>
      </w:r>
      <w:r>
        <w:rPr>
          <w:sz w:val="20"/>
        </w:rPr>
        <w:t xml:space="preserve">ás que en </w:t>
      </w:r>
      <w:r w:rsidRPr="001F3563">
        <w:rPr>
          <w:sz w:val="20"/>
        </w:rPr>
        <w:t xml:space="preserve">2014. </w:t>
      </w:r>
    </w:p>
    <w:p w:rsidR="0023753C" w:rsidRDefault="0023753C" w:rsidP="00DC1333">
      <w:pPr>
        <w:pStyle w:val="ListParagraph"/>
        <w:ind w:left="1418"/>
        <w:jc w:val="both"/>
        <w:rPr>
          <w:rFonts w:cs="Arial"/>
          <w:b/>
          <w:lang w:val="es-ES"/>
        </w:rPr>
      </w:pPr>
    </w:p>
    <w:p w:rsidR="0023753C" w:rsidRDefault="0023753C" w:rsidP="00DC1333">
      <w:pPr>
        <w:pStyle w:val="ListParagraph"/>
        <w:ind w:left="1418"/>
        <w:jc w:val="both"/>
        <w:rPr>
          <w:rFonts w:cs="Arial"/>
          <w:b/>
          <w:lang w:val="es-ES"/>
        </w:rPr>
      </w:pPr>
    </w:p>
    <w:p w:rsidR="0023753C" w:rsidRDefault="0023753C" w:rsidP="00DC1333">
      <w:pPr>
        <w:pStyle w:val="ListParagraph"/>
        <w:ind w:left="0"/>
        <w:jc w:val="both"/>
        <w:rPr>
          <w:rFonts w:cs="Arial"/>
          <w:u w:val="single"/>
          <w:lang w:val="es-ES"/>
        </w:rPr>
      </w:pPr>
      <w:r>
        <w:rPr>
          <w:rFonts w:cs="Arial"/>
          <w:u w:val="single"/>
          <w:lang w:val="es-ES"/>
        </w:rPr>
        <w:t>Cambios</w:t>
      </w:r>
    </w:p>
    <w:p w:rsidR="0023753C" w:rsidRDefault="0023753C" w:rsidP="00DC1333">
      <w:pPr>
        <w:ind w:left="360"/>
        <w:jc w:val="center"/>
      </w:pPr>
      <w:r w:rsidRPr="0071157B">
        <w:rPr>
          <w:noProof/>
          <w:lang w:val="en-US" w:eastAsia="en-US"/>
        </w:rPr>
        <w:drawing>
          <wp:inline distT="0" distB="0" distL="0" distR="0" wp14:anchorId="53DD4CB8" wp14:editId="6BD50010">
            <wp:extent cx="5660112" cy="2660073"/>
            <wp:effectExtent l="0" t="0" r="0" b="698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659596" cy="2659831"/>
                    </a:xfrm>
                    <a:prstGeom prst="rect">
                      <a:avLst/>
                    </a:prstGeom>
                    <a:noFill/>
                    <a:ln>
                      <a:noFill/>
                    </a:ln>
                  </pic:spPr>
                </pic:pic>
              </a:graphicData>
            </a:graphic>
          </wp:inline>
        </w:drawing>
      </w:r>
    </w:p>
    <w:p w:rsidR="0023753C" w:rsidRDefault="0023753C" w:rsidP="0023753C">
      <w:pPr>
        <w:numPr>
          <w:ilvl w:val="0"/>
          <w:numId w:val="30"/>
        </w:numPr>
        <w:tabs>
          <w:tab w:val="clear" w:pos="720"/>
          <w:tab w:val="num" w:pos="993"/>
        </w:tabs>
        <w:spacing w:after="120"/>
        <w:ind w:left="993" w:hanging="426"/>
        <w:jc w:val="both"/>
        <w:rPr>
          <w:sz w:val="20"/>
        </w:rPr>
      </w:pPr>
      <w:r w:rsidRPr="00351F29">
        <w:rPr>
          <w:sz w:val="20"/>
        </w:rPr>
        <w:t xml:space="preserve">En 2015, la Oficina Internacional recibió 41.363 peticiones </w:t>
      </w:r>
      <w:r>
        <w:rPr>
          <w:sz w:val="20"/>
        </w:rPr>
        <w:t xml:space="preserve">para realizar </w:t>
      </w:r>
      <w:r w:rsidRPr="00351F29">
        <w:rPr>
          <w:sz w:val="20"/>
        </w:rPr>
        <w:t>cambio</w:t>
      </w:r>
      <w:r>
        <w:rPr>
          <w:sz w:val="20"/>
        </w:rPr>
        <w:t>s</w:t>
      </w:r>
      <w:r w:rsidRPr="00351F29">
        <w:rPr>
          <w:sz w:val="20"/>
        </w:rPr>
        <w:t>, un 6,6</w:t>
      </w:r>
      <w:r>
        <w:rPr>
          <w:sz w:val="20"/>
        </w:rPr>
        <w:t>%</w:t>
      </w:r>
      <w:r w:rsidRPr="00351F29">
        <w:rPr>
          <w:sz w:val="20"/>
        </w:rPr>
        <w:t xml:space="preserve"> m</w:t>
      </w:r>
      <w:r>
        <w:rPr>
          <w:sz w:val="20"/>
        </w:rPr>
        <w:t xml:space="preserve">ás que en </w:t>
      </w:r>
      <w:r w:rsidRPr="00351F29">
        <w:rPr>
          <w:sz w:val="20"/>
        </w:rPr>
        <w:t xml:space="preserve">2014. </w:t>
      </w:r>
    </w:p>
    <w:p w:rsidR="0023753C" w:rsidRDefault="0023753C" w:rsidP="00DC1333">
      <w:pPr>
        <w:spacing w:after="120"/>
        <w:ind w:left="1560"/>
        <w:jc w:val="both"/>
        <w:rPr>
          <w:sz w:val="20"/>
        </w:rPr>
      </w:pPr>
    </w:p>
    <w:p w:rsidR="0023753C" w:rsidRDefault="0023753C" w:rsidP="00DC1333">
      <w:pPr>
        <w:pStyle w:val="ListParagraph"/>
        <w:keepNext/>
        <w:keepLines/>
        <w:ind w:left="0"/>
        <w:jc w:val="both"/>
        <w:rPr>
          <w:rFonts w:cs="Arial"/>
          <w:u w:val="single"/>
          <w:lang w:val="es-ES"/>
        </w:rPr>
      </w:pPr>
      <w:r w:rsidRPr="00760842">
        <w:rPr>
          <w:rFonts w:cs="Arial"/>
          <w:u w:val="single"/>
          <w:lang w:val="es-ES"/>
        </w:rPr>
        <w:lastRenderedPageBreak/>
        <w:t>Decision</w:t>
      </w:r>
      <w:r>
        <w:rPr>
          <w:rFonts w:cs="Arial"/>
          <w:u w:val="single"/>
          <w:lang w:val="es-ES"/>
        </w:rPr>
        <w:t>e</w:t>
      </w:r>
      <w:r w:rsidRPr="00760842">
        <w:rPr>
          <w:rFonts w:cs="Arial"/>
          <w:u w:val="single"/>
          <w:lang w:val="es-ES"/>
        </w:rPr>
        <w:t>s</w:t>
      </w:r>
    </w:p>
    <w:p w:rsidR="0023753C" w:rsidRDefault="0023753C" w:rsidP="00DC1333">
      <w:pPr>
        <w:keepNext/>
        <w:keepLines/>
        <w:jc w:val="center"/>
      </w:pPr>
      <w:r w:rsidRPr="00135169">
        <w:rPr>
          <w:noProof/>
          <w:lang w:val="en-US" w:eastAsia="en-US"/>
        </w:rPr>
        <w:drawing>
          <wp:inline distT="0" distB="0" distL="0" distR="0" wp14:anchorId="6570621E" wp14:editId="2370FFED">
            <wp:extent cx="5463472" cy="2873829"/>
            <wp:effectExtent l="0" t="0" r="4445" b="317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469541" cy="2877022"/>
                    </a:xfrm>
                    <a:prstGeom prst="rect">
                      <a:avLst/>
                    </a:prstGeom>
                    <a:noFill/>
                    <a:ln>
                      <a:noFill/>
                    </a:ln>
                  </pic:spPr>
                </pic:pic>
              </a:graphicData>
            </a:graphic>
          </wp:inline>
        </w:drawing>
      </w:r>
    </w:p>
    <w:p w:rsidR="0023753C" w:rsidRDefault="0023753C" w:rsidP="0023753C">
      <w:pPr>
        <w:keepNext/>
        <w:keepLines/>
        <w:numPr>
          <w:ilvl w:val="0"/>
          <w:numId w:val="30"/>
        </w:numPr>
        <w:tabs>
          <w:tab w:val="clear" w:pos="720"/>
          <w:tab w:val="num" w:pos="993"/>
        </w:tabs>
        <w:spacing w:after="120"/>
        <w:ind w:left="993" w:hanging="426"/>
        <w:jc w:val="both"/>
        <w:rPr>
          <w:sz w:val="20"/>
        </w:rPr>
      </w:pPr>
      <w:r w:rsidRPr="00351F29">
        <w:rPr>
          <w:sz w:val="20"/>
        </w:rPr>
        <w:t xml:space="preserve">En 2015, el número de decisiones registradas aumentó en un </w:t>
      </w:r>
      <w:r>
        <w:rPr>
          <w:sz w:val="20"/>
        </w:rPr>
        <w:t>4%</w:t>
      </w:r>
      <w:r w:rsidRPr="00351F29">
        <w:rPr>
          <w:sz w:val="20"/>
        </w:rPr>
        <w:t xml:space="preserve"> con respect</w:t>
      </w:r>
      <w:r>
        <w:rPr>
          <w:sz w:val="20"/>
        </w:rPr>
        <w:t>o</w:t>
      </w:r>
      <w:r w:rsidRPr="00351F29">
        <w:rPr>
          <w:sz w:val="20"/>
        </w:rPr>
        <w:t xml:space="preserve"> a 2014, </w:t>
      </w:r>
      <w:r>
        <w:rPr>
          <w:sz w:val="20"/>
        </w:rPr>
        <w:t xml:space="preserve">situando el número total en </w:t>
      </w:r>
      <w:r w:rsidRPr="00351F29">
        <w:rPr>
          <w:sz w:val="20"/>
        </w:rPr>
        <w:t>541</w:t>
      </w:r>
      <w:r>
        <w:rPr>
          <w:sz w:val="20"/>
        </w:rPr>
        <w:t>.</w:t>
      </w:r>
      <w:r w:rsidRPr="00351F29">
        <w:rPr>
          <w:sz w:val="20"/>
        </w:rPr>
        <w:t xml:space="preserve">964.  </w:t>
      </w:r>
      <w:r w:rsidRPr="0094648B">
        <w:rPr>
          <w:sz w:val="20"/>
        </w:rPr>
        <w:t>El número de decisiones tramitadas ha aumentado significativamente desde 2010.</w:t>
      </w:r>
    </w:p>
    <w:p w:rsidR="0023753C" w:rsidRDefault="0023753C" w:rsidP="0023753C">
      <w:pPr>
        <w:numPr>
          <w:ilvl w:val="0"/>
          <w:numId w:val="30"/>
        </w:numPr>
        <w:tabs>
          <w:tab w:val="clear" w:pos="720"/>
          <w:tab w:val="num" w:pos="993"/>
        </w:tabs>
        <w:spacing w:after="120"/>
        <w:ind w:left="993" w:hanging="426"/>
        <w:jc w:val="both"/>
        <w:rPr>
          <w:sz w:val="20"/>
        </w:rPr>
      </w:pPr>
      <w:r w:rsidRPr="00351F29">
        <w:rPr>
          <w:sz w:val="20"/>
        </w:rPr>
        <w:t xml:space="preserve">En 2015, el 68 </w:t>
      </w:r>
      <w:r>
        <w:rPr>
          <w:sz w:val="20"/>
        </w:rPr>
        <w:t>%</w:t>
      </w:r>
      <w:r w:rsidRPr="00351F29">
        <w:rPr>
          <w:sz w:val="20"/>
        </w:rPr>
        <w:t xml:space="preserve"> de las decisiones se tramitaron automáticamente, una proporción que ha crecido </w:t>
      </w:r>
      <w:r>
        <w:rPr>
          <w:sz w:val="20"/>
        </w:rPr>
        <w:t xml:space="preserve">de forma </w:t>
      </w:r>
      <w:r w:rsidRPr="00351F29">
        <w:rPr>
          <w:sz w:val="20"/>
        </w:rPr>
        <w:t>constante desde 2011, cuando la mayoría de las decisiones empezaron a tramitarse de manera autom</w:t>
      </w:r>
      <w:r>
        <w:rPr>
          <w:sz w:val="20"/>
        </w:rPr>
        <w:t>ática</w:t>
      </w:r>
      <w:r w:rsidRPr="00351F29">
        <w:rPr>
          <w:sz w:val="20"/>
        </w:rPr>
        <w:t>.</w:t>
      </w:r>
    </w:p>
    <w:p w:rsidR="0023753C" w:rsidRDefault="0023753C" w:rsidP="00DC1333">
      <w:pPr>
        <w:jc w:val="both"/>
      </w:pPr>
    </w:p>
    <w:p w:rsidR="0023753C" w:rsidRDefault="0023753C" w:rsidP="00DC1333">
      <w:pPr>
        <w:pStyle w:val="ListParagraph"/>
        <w:ind w:left="0"/>
        <w:jc w:val="both"/>
        <w:rPr>
          <w:rFonts w:cs="Arial"/>
          <w:u w:val="single"/>
          <w:lang w:val="es-ES"/>
        </w:rPr>
      </w:pPr>
      <w:r w:rsidRPr="00760842">
        <w:rPr>
          <w:rFonts w:cs="Arial"/>
          <w:u w:val="single"/>
          <w:lang w:val="es-ES"/>
        </w:rPr>
        <w:t>Correc</w:t>
      </w:r>
      <w:r>
        <w:rPr>
          <w:rFonts w:cs="Arial"/>
          <w:u w:val="single"/>
          <w:lang w:val="es-ES"/>
        </w:rPr>
        <w:t>c</w:t>
      </w:r>
      <w:r w:rsidRPr="00760842">
        <w:rPr>
          <w:rFonts w:cs="Arial"/>
          <w:u w:val="single"/>
          <w:lang w:val="es-ES"/>
        </w:rPr>
        <w:t>ion</w:t>
      </w:r>
      <w:r>
        <w:rPr>
          <w:rFonts w:cs="Arial"/>
          <w:u w:val="single"/>
          <w:lang w:val="es-ES"/>
        </w:rPr>
        <w:t>e</w:t>
      </w:r>
      <w:r w:rsidRPr="00760842">
        <w:rPr>
          <w:rFonts w:cs="Arial"/>
          <w:u w:val="single"/>
          <w:lang w:val="es-ES"/>
        </w:rPr>
        <w:t>s</w:t>
      </w:r>
    </w:p>
    <w:p w:rsidR="0023753C" w:rsidRDefault="0023753C" w:rsidP="00DC1333">
      <w:pPr>
        <w:jc w:val="center"/>
      </w:pPr>
      <w:r w:rsidRPr="0071157B">
        <w:rPr>
          <w:noProof/>
          <w:lang w:val="en-US" w:eastAsia="en-US"/>
        </w:rPr>
        <w:drawing>
          <wp:inline distT="0" distB="0" distL="0" distR="0" wp14:anchorId="4116F792" wp14:editId="29247907">
            <wp:extent cx="6109338" cy="2683823"/>
            <wp:effectExtent l="0" t="0" r="5715" b="254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6120658" cy="2688796"/>
                    </a:xfrm>
                    <a:prstGeom prst="rect">
                      <a:avLst/>
                    </a:prstGeom>
                    <a:noFill/>
                    <a:ln>
                      <a:noFill/>
                    </a:ln>
                  </pic:spPr>
                </pic:pic>
              </a:graphicData>
            </a:graphic>
          </wp:inline>
        </w:drawing>
      </w:r>
    </w:p>
    <w:p w:rsidR="0023753C" w:rsidRDefault="0023753C" w:rsidP="0023753C">
      <w:pPr>
        <w:numPr>
          <w:ilvl w:val="0"/>
          <w:numId w:val="30"/>
        </w:numPr>
        <w:tabs>
          <w:tab w:val="clear" w:pos="720"/>
          <w:tab w:val="num" w:pos="993"/>
        </w:tabs>
        <w:spacing w:after="120"/>
        <w:ind w:left="993" w:hanging="426"/>
        <w:jc w:val="both"/>
        <w:rPr>
          <w:sz w:val="20"/>
        </w:rPr>
      </w:pPr>
      <w:r w:rsidRPr="00351F29">
        <w:rPr>
          <w:sz w:val="20"/>
        </w:rPr>
        <w:t xml:space="preserve">En 2014, la Oficina Internacional </w:t>
      </w:r>
      <w:r>
        <w:rPr>
          <w:sz w:val="20"/>
        </w:rPr>
        <w:t xml:space="preserve">inscribió </w:t>
      </w:r>
      <w:r w:rsidRPr="00351F29">
        <w:rPr>
          <w:sz w:val="20"/>
        </w:rPr>
        <w:t>6</w:t>
      </w:r>
      <w:r>
        <w:rPr>
          <w:sz w:val="20"/>
        </w:rPr>
        <w:t>.</w:t>
      </w:r>
      <w:r w:rsidRPr="00351F29">
        <w:rPr>
          <w:sz w:val="20"/>
        </w:rPr>
        <w:t>127 correc</w:t>
      </w:r>
      <w:r>
        <w:rPr>
          <w:sz w:val="20"/>
        </w:rPr>
        <w:t>c</w:t>
      </w:r>
      <w:r w:rsidRPr="00351F29">
        <w:rPr>
          <w:sz w:val="20"/>
        </w:rPr>
        <w:t>ion</w:t>
      </w:r>
      <w:r>
        <w:rPr>
          <w:sz w:val="20"/>
        </w:rPr>
        <w:t>e</w:t>
      </w:r>
      <w:r w:rsidRPr="00351F29">
        <w:rPr>
          <w:sz w:val="20"/>
        </w:rPr>
        <w:t xml:space="preserve">s.  </w:t>
      </w:r>
      <w:r>
        <w:rPr>
          <w:sz w:val="20"/>
        </w:rPr>
        <w:t xml:space="preserve">Esto representa un aumento del </w:t>
      </w:r>
      <w:r w:rsidRPr="00351F29">
        <w:rPr>
          <w:sz w:val="20"/>
        </w:rPr>
        <w:t>0,9</w:t>
      </w:r>
      <w:r>
        <w:rPr>
          <w:sz w:val="20"/>
        </w:rPr>
        <w:t>%</w:t>
      </w:r>
      <w:r w:rsidRPr="00351F29">
        <w:rPr>
          <w:sz w:val="20"/>
        </w:rPr>
        <w:t xml:space="preserve"> con respecto a 2014.</w:t>
      </w:r>
    </w:p>
    <w:p w:rsidR="0023753C" w:rsidRDefault="0023753C" w:rsidP="00DC1333">
      <w:pPr>
        <w:spacing w:after="120"/>
        <w:ind w:left="993"/>
        <w:jc w:val="both"/>
        <w:rPr>
          <w:sz w:val="20"/>
        </w:rPr>
      </w:pPr>
    </w:p>
    <w:p w:rsidR="0023753C" w:rsidRDefault="0023753C" w:rsidP="0023753C">
      <w:pPr>
        <w:pStyle w:val="ListParagraph"/>
        <w:keepNext/>
        <w:keepLines/>
        <w:numPr>
          <w:ilvl w:val="0"/>
          <w:numId w:val="29"/>
        </w:numPr>
        <w:ind w:left="540" w:hanging="540"/>
        <w:contextualSpacing/>
        <w:jc w:val="both"/>
        <w:rPr>
          <w:rFonts w:cs="Arial"/>
          <w:b/>
          <w:lang w:val="es-ES"/>
        </w:rPr>
      </w:pPr>
      <w:r>
        <w:rPr>
          <w:rFonts w:cs="Arial"/>
          <w:b/>
          <w:lang w:val="es-ES"/>
        </w:rPr>
        <w:lastRenderedPageBreak/>
        <w:t>Volumen total de trabajo</w:t>
      </w:r>
    </w:p>
    <w:p w:rsidR="0023753C" w:rsidRDefault="0023753C" w:rsidP="00DC1333">
      <w:pPr>
        <w:keepNext/>
        <w:keepLines/>
        <w:jc w:val="both"/>
        <w:rPr>
          <w:sz w:val="20"/>
        </w:rPr>
      </w:pPr>
    </w:p>
    <w:p w:rsidR="0023753C" w:rsidRDefault="0023753C" w:rsidP="0023753C">
      <w:pPr>
        <w:pStyle w:val="ListParagraph"/>
        <w:keepNext/>
        <w:keepLines/>
        <w:numPr>
          <w:ilvl w:val="0"/>
          <w:numId w:val="35"/>
        </w:numPr>
        <w:tabs>
          <w:tab w:val="left" w:pos="567"/>
        </w:tabs>
        <w:ind w:left="0" w:firstLine="0"/>
        <w:contextualSpacing/>
        <w:jc w:val="both"/>
        <w:rPr>
          <w:rFonts w:cs="Arial"/>
          <w:lang w:val="es-ES"/>
        </w:rPr>
      </w:pPr>
      <w:r w:rsidRPr="00AA1C30">
        <w:rPr>
          <w:rFonts w:cs="Arial"/>
          <w:lang w:val="es-ES"/>
        </w:rPr>
        <w:t xml:space="preserve">El volumen total de trabajo </w:t>
      </w:r>
      <w:r>
        <w:rPr>
          <w:rFonts w:cs="Arial"/>
          <w:lang w:val="es-ES"/>
        </w:rPr>
        <w:t>representa e</w:t>
      </w:r>
      <w:r w:rsidRPr="00AA1C30">
        <w:rPr>
          <w:rFonts w:cs="Arial"/>
          <w:lang w:val="es-ES"/>
        </w:rPr>
        <w:t>l número total ponderado de los documentos tramitados por la Oficina Internacional.  En el total se incluyen las seis categorías de documentos mencionad</w:t>
      </w:r>
      <w:r>
        <w:rPr>
          <w:rFonts w:cs="Arial"/>
          <w:lang w:val="es-ES"/>
        </w:rPr>
        <w:t>o</w:t>
      </w:r>
      <w:r w:rsidRPr="00AA1C30">
        <w:rPr>
          <w:rFonts w:cs="Arial"/>
          <w:lang w:val="es-ES"/>
        </w:rPr>
        <w:t xml:space="preserve">s, a saber, solicitudes, renovaciones, designaciones posteriores, cambios, decisiones y correcciones. </w:t>
      </w:r>
    </w:p>
    <w:p w:rsidR="0023753C" w:rsidRDefault="0023753C" w:rsidP="00DC1333">
      <w:pPr>
        <w:pStyle w:val="ListParagraph"/>
        <w:keepNext/>
        <w:keepLines/>
        <w:tabs>
          <w:tab w:val="left" w:pos="567"/>
        </w:tabs>
        <w:ind w:left="0"/>
        <w:jc w:val="both"/>
        <w:rPr>
          <w:rFonts w:cs="Arial"/>
          <w:lang w:val="es-ES"/>
        </w:rPr>
      </w:pPr>
    </w:p>
    <w:p w:rsidR="0023753C" w:rsidRPr="00A273AA" w:rsidRDefault="0023753C" w:rsidP="0023753C">
      <w:pPr>
        <w:pStyle w:val="ListParagraph"/>
        <w:keepNext/>
        <w:keepLines/>
        <w:numPr>
          <w:ilvl w:val="0"/>
          <w:numId w:val="35"/>
        </w:numPr>
        <w:tabs>
          <w:tab w:val="left" w:pos="567"/>
        </w:tabs>
        <w:ind w:left="0" w:firstLine="0"/>
        <w:contextualSpacing/>
        <w:jc w:val="both"/>
        <w:rPr>
          <w:rFonts w:cs="Arial"/>
          <w:sz w:val="16"/>
          <w:szCs w:val="16"/>
          <w:lang w:val="es-ES"/>
        </w:rPr>
      </w:pPr>
      <w:r>
        <w:rPr>
          <w:rFonts w:cs="Arial"/>
          <w:lang w:val="es-ES"/>
        </w:rPr>
        <w:t>En vista de qu</w:t>
      </w:r>
      <w:r w:rsidRPr="001D6136">
        <w:rPr>
          <w:rFonts w:cs="Arial"/>
          <w:lang w:val="es-ES"/>
        </w:rPr>
        <w:t xml:space="preserve">e son necesarios diferentes niveles de recursos para tramitar cada tipo de documento, </w:t>
      </w:r>
      <w:r>
        <w:rPr>
          <w:rFonts w:cs="Arial"/>
          <w:lang w:val="es-ES"/>
        </w:rPr>
        <w:t>cada uno de ellos se pondera de una manera diferente</w:t>
      </w:r>
      <w:r w:rsidRPr="001D6136">
        <w:rPr>
          <w:rFonts w:cs="Arial"/>
          <w:lang w:val="es-ES"/>
        </w:rPr>
        <w:t xml:space="preserve">.  </w:t>
      </w:r>
      <w:r w:rsidRPr="0094648B">
        <w:rPr>
          <w:rFonts w:cs="Arial"/>
          <w:lang w:val="es-ES"/>
        </w:rPr>
        <w:t>Según este sistema de ponderación, en el tiempo necesario para tramitar una solicitud internacional, se considera que un examinador es capaz de tramitar 1</w:t>
      </w:r>
      <w:r>
        <w:rPr>
          <w:rFonts w:cs="Arial"/>
          <w:lang w:val="es-ES"/>
        </w:rPr>
        <w:t>,</w:t>
      </w:r>
      <w:r w:rsidRPr="0094648B">
        <w:rPr>
          <w:rFonts w:cs="Arial"/>
          <w:lang w:val="es-ES"/>
        </w:rPr>
        <w:t>6 ren</w:t>
      </w:r>
      <w:r>
        <w:rPr>
          <w:rFonts w:cs="Arial"/>
          <w:lang w:val="es-ES"/>
        </w:rPr>
        <w:t xml:space="preserve">ovaciones, </w:t>
      </w:r>
      <w:r w:rsidRPr="0094648B">
        <w:rPr>
          <w:rFonts w:cs="Arial"/>
          <w:lang w:val="es-ES"/>
        </w:rPr>
        <w:t>1</w:t>
      </w:r>
      <w:r>
        <w:rPr>
          <w:rFonts w:cs="Arial"/>
          <w:lang w:val="es-ES"/>
        </w:rPr>
        <w:t>,</w:t>
      </w:r>
      <w:r w:rsidRPr="0094648B">
        <w:rPr>
          <w:rFonts w:cs="Arial"/>
          <w:lang w:val="es-ES"/>
        </w:rPr>
        <w:t xml:space="preserve">8 </w:t>
      </w:r>
      <w:r>
        <w:rPr>
          <w:rFonts w:cs="Arial"/>
          <w:lang w:val="es-ES"/>
        </w:rPr>
        <w:t>designaciones posteriores o 10 decisiones</w:t>
      </w:r>
      <w:r w:rsidRPr="0094648B">
        <w:rPr>
          <w:rFonts w:cs="Arial"/>
          <w:lang w:val="es-ES"/>
        </w:rPr>
        <w:t xml:space="preserve">.  Asimismo, en el tiempo necesario para tramitar una solicitud internacional, </w:t>
      </w:r>
      <w:r>
        <w:rPr>
          <w:rFonts w:cs="Arial"/>
          <w:lang w:val="es-ES"/>
        </w:rPr>
        <w:t xml:space="preserve">se considera que </w:t>
      </w:r>
      <w:r w:rsidRPr="0094648B">
        <w:rPr>
          <w:rFonts w:cs="Arial"/>
          <w:lang w:val="es-ES"/>
        </w:rPr>
        <w:t xml:space="preserve">un empleado encargado de los procesos automáticos </w:t>
      </w:r>
      <w:r>
        <w:rPr>
          <w:rFonts w:cs="Arial"/>
          <w:lang w:val="es-ES"/>
        </w:rPr>
        <w:t xml:space="preserve">es capaz de tramitar </w:t>
      </w:r>
      <w:r w:rsidRPr="0094648B">
        <w:rPr>
          <w:rFonts w:cs="Arial"/>
          <w:lang w:val="es-ES"/>
        </w:rPr>
        <w:t xml:space="preserve">17 documentos. </w:t>
      </w:r>
    </w:p>
    <w:p w:rsidR="0023753C" w:rsidRPr="00A273AA" w:rsidRDefault="0023753C" w:rsidP="00DC1333">
      <w:pPr>
        <w:pStyle w:val="ListParagraph"/>
        <w:keepNext/>
        <w:keepLines/>
        <w:tabs>
          <w:tab w:val="left" w:pos="567"/>
        </w:tabs>
        <w:ind w:left="0"/>
        <w:jc w:val="both"/>
        <w:rPr>
          <w:rFonts w:cs="Arial"/>
          <w:sz w:val="16"/>
          <w:szCs w:val="16"/>
          <w:lang w:val="es-ES"/>
        </w:rPr>
      </w:pPr>
    </w:p>
    <w:p w:rsidR="0023753C" w:rsidRDefault="0023753C" w:rsidP="00DC1333">
      <w:pPr>
        <w:jc w:val="center"/>
        <w:rPr>
          <w:noProof/>
        </w:rPr>
      </w:pPr>
      <w:r w:rsidRPr="00CC661C">
        <w:rPr>
          <w:noProof/>
          <w:lang w:val="en-US" w:eastAsia="en-US"/>
        </w:rPr>
        <w:drawing>
          <wp:inline distT="0" distB="0" distL="0" distR="0" wp14:anchorId="7743C4FA" wp14:editId="7DE896F0">
            <wp:extent cx="5449276" cy="2968832"/>
            <wp:effectExtent l="0" t="0" r="0" b="317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446037" cy="2967067"/>
                    </a:xfrm>
                    <a:prstGeom prst="rect">
                      <a:avLst/>
                    </a:prstGeom>
                    <a:noFill/>
                    <a:ln>
                      <a:noFill/>
                    </a:ln>
                  </pic:spPr>
                </pic:pic>
              </a:graphicData>
            </a:graphic>
          </wp:inline>
        </w:drawing>
      </w:r>
    </w:p>
    <w:p w:rsidR="0023753C" w:rsidRDefault="0023753C" w:rsidP="00DC1333">
      <w:pPr>
        <w:jc w:val="center"/>
      </w:pPr>
    </w:p>
    <w:p w:rsidR="0023753C" w:rsidRDefault="0023753C" w:rsidP="0023753C">
      <w:pPr>
        <w:numPr>
          <w:ilvl w:val="0"/>
          <w:numId w:val="30"/>
        </w:numPr>
        <w:tabs>
          <w:tab w:val="clear" w:pos="720"/>
          <w:tab w:val="num" w:pos="993"/>
        </w:tabs>
        <w:spacing w:after="120"/>
        <w:ind w:left="993" w:hanging="426"/>
        <w:jc w:val="both"/>
        <w:rPr>
          <w:sz w:val="20"/>
        </w:rPr>
      </w:pPr>
      <w:r w:rsidRPr="002219C3">
        <w:rPr>
          <w:sz w:val="20"/>
        </w:rPr>
        <w:t xml:space="preserve">En 2015, el volumen total de trabajo aumentó en un 11% en relación con 2014. </w:t>
      </w:r>
      <w:r>
        <w:rPr>
          <w:sz w:val="20"/>
        </w:rPr>
        <w:t xml:space="preserve"> </w:t>
      </w:r>
      <w:r w:rsidRPr="002219C3">
        <w:rPr>
          <w:sz w:val="20"/>
        </w:rPr>
        <w:t xml:space="preserve">Las solicitudes, las decisiones y los cambios representaron casi el 80% de la carga total de trabajo.  La carga total de trabajo durante el bienio 2014/2015 aumentó en un 10% en </w:t>
      </w:r>
      <w:r>
        <w:rPr>
          <w:sz w:val="20"/>
        </w:rPr>
        <w:t xml:space="preserve">comparación con </w:t>
      </w:r>
      <w:r w:rsidRPr="002219C3">
        <w:rPr>
          <w:sz w:val="20"/>
        </w:rPr>
        <w:t>el bienio</w:t>
      </w:r>
      <w:r>
        <w:rPr>
          <w:sz w:val="20"/>
        </w:rPr>
        <w:t xml:space="preserve"> 2012/2013.</w:t>
      </w:r>
    </w:p>
    <w:p w:rsidR="0023753C" w:rsidRDefault="0023753C" w:rsidP="0023753C">
      <w:pPr>
        <w:numPr>
          <w:ilvl w:val="0"/>
          <w:numId w:val="30"/>
        </w:numPr>
        <w:tabs>
          <w:tab w:val="clear" w:pos="720"/>
          <w:tab w:val="num" w:pos="993"/>
        </w:tabs>
        <w:spacing w:after="120"/>
        <w:ind w:left="993" w:hanging="426"/>
        <w:jc w:val="both"/>
      </w:pPr>
      <w:r w:rsidRPr="002219C3">
        <w:rPr>
          <w:sz w:val="20"/>
        </w:rPr>
        <w:t xml:space="preserve">El crecimiento observado en 2015 </w:t>
      </w:r>
      <w:r>
        <w:rPr>
          <w:sz w:val="20"/>
        </w:rPr>
        <w:t>guard</w:t>
      </w:r>
      <w:r w:rsidRPr="002219C3">
        <w:rPr>
          <w:sz w:val="20"/>
        </w:rPr>
        <w:t xml:space="preserve">ó </w:t>
      </w:r>
      <w:r>
        <w:rPr>
          <w:sz w:val="20"/>
        </w:rPr>
        <w:t xml:space="preserve">relación principalmente con el aumento </w:t>
      </w:r>
      <w:r w:rsidRPr="002219C3">
        <w:rPr>
          <w:sz w:val="20"/>
        </w:rPr>
        <w:t xml:space="preserve">en el número de solicitudes y renovaciones, mientras que el marcado aumento en la carga de trabajo entre 2011 y 2013 </w:t>
      </w:r>
      <w:r>
        <w:rPr>
          <w:sz w:val="20"/>
        </w:rPr>
        <w:t>se debió sobre todo al creciente número de decisiones</w:t>
      </w:r>
      <w:r w:rsidRPr="002219C3">
        <w:rPr>
          <w:sz w:val="20"/>
        </w:rPr>
        <w:t>.</w:t>
      </w:r>
    </w:p>
    <w:p w:rsidR="0023753C" w:rsidRDefault="0023753C" w:rsidP="00DC1333">
      <w:pPr>
        <w:pStyle w:val="ListParagraph"/>
        <w:ind w:left="1080"/>
        <w:jc w:val="both"/>
        <w:rPr>
          <w:rFonts w:cs="Arial"/>
          <w:sz w:val="16"/>
          <w:szCs w:val="16"/>
          <w:lang w:val="es-ES"/>
        </w:rPr>
      </w:pPr>
    </w:p>
    <w:p w:rsidR="0023753C" w:rsidRDefault="0023753C">
      <w:pPr>
        <w:rPr>
          <w:sz w:val="16"/>
          <w:szCs w:val="16"/>
        </w:rPr>
      </w:pPr>
      <w:r w:rsidRPr="002219C3">
        <w:rPr>
          <w:sz w:val="16"/>
          <w:szCs w:val="16"/>
        </w:rPr>
        <w:br w:type="page"/>
      </w:r>
    </w:p>
    <w:p w:rsidR="0023753C" w:rsidRDefault="0023753C" w:rsidP="00DC1333">
      <w:pPr>
        <w:pStyle w:val="ListParagraph"/>
        <w:ind w:left="1080"/>
        <w:jc w:val="both"/>
        <w:rPr>
          <w:rFonts w:cs="Arial"/>
          <w:sz w:val="16"/>
          <w:szCs w:val="16"/>
          <w:lang w:val="es-ES"/>
        </w:rPr>
      </w:pPr>
    </w:p>
    <w:p w:rsidR="0023753C" w:rsidRDefault="0023753C" w:rsidP="0023753C">
      <w:pPr>
        <w:pStyle w:val="ListParagraph"/>
        <w:numPr>
          <w:ilvl w:val="0"/>
          <w:numId w:val="29"/>
        </w:numPr>
        <w:ind w:left="567" w:hanging="567"/>
        <w:contextualSpacing/>
        <w:jc w:val="both"/>
        <w:rPr>
          <w:rFonts w:cs="Arial"/>
          <w:b/>
          <w:lang w:val="es-ES"/>
        </w:rPr>
      </w:pPr>
      <w:r w:rsidRPr="00AA1C30">
        <w:rPr>
          <w:rFonts w:cs="Arial"/>
          <w:b/>
          <w:lang w:val="es-ES"/>
        </w:rPr>
        <w:t>Medios de transmisi</w:t>
      </w:r>
      <w:r>
        <w:rPr>
          <w:rFonts w:cs="Arial"/>
          <w:b/>
          <w:lang w:val="es-ES"/>
        </w:rPr>
        <w:t>ó</w:t>
      </w:r>
      <w:r w:rsidRPr="00AA1C30">
        <w:rPr>
          <w:rFonts w:cs="Arial"/>
          <w:b/>
          <w:lang w:val="es-ES"/>
        </w:rPr>
        <w:t>n de los documentos recibidos</w:t>
      </w:r>
    </w:p>
    <w:p w:rsidR="0023753C" w:rsidRDefault="0023753C" w:rsidP="00DC1333">
      <w:pPr>
        <w:pStyle w:val="ListParagraph"/>
        <w:ind w:left="1080"/>
        <w:jc w:val="both"/>
        <w:rPr>
          <w:rFonts w:cs="Arial"/>
          <w:b/>
          <w:lang w:val="es-ES"/>
        </w:rPr>
      </w:pPr>
    </w:p>
    <w:p w:rsidR="0023753C" w:rsidRDefault="0023753C" w:rsidP="00DC1333">
      <w:pPr>
        <w:jc w:val="center"/>
        <w:rPr>
          <w:noProof/>
        </w:rPr>
      </w:pPr>
      <w:r w:rsidRPr="00CC661C">
        <w:rPr>
          <w:noProof/>
          <w:lang w:val="en-US" w:eastAsia="en-US"/>
        </w:rPr>
        <w:drawing>
          <wp:inline distT="0" distB="0" distL="0" distR="0" wp14:anchorId="5EF37996" wp14:editId="3D8C47D5">
            <wp:extent cx="6120455" cy="2802577"/>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6135067" cy="2809268"/>
                    </a:xfrm>
                    <a:prstGeom prst="rect">
                      <a:avLst/>
                    </a:prstGeom>
                    <a:noFill/>
                    <a:ln>
                      <a:noFill/>
                    </a:ln>
                  </pic:spPr>
                </pic:pic>
              </a:graphicData>
            </a:graphic>
          </wp:inline>
        </w:drawing>
      </w:r>
    </w:p>
    <w:p w:rsidR="0023753C" w:rsidRDefault="0023753C" w:rsidP="0023753C">
      <w:pPr>
        <w:numPr>
          <w:ilvl w:val="0"/>
          <w:numId w:val="30"/>
        </w:numPr>
        <w:tabs>
          <w:tab w:val="clear" w:pos="720"/>
          <w:tab w:val="num" w:pos="993"/>
        </w:tabs>
        <w:spacing w:after="120"/>
        <w:ind w:left="993" w:hanging="426"/>
        <w:jc w:val="both"/>
        <w:rPr>
          <w:sz w:val="20"/>
        </w:rPr>
      </w:pPr>
      <w:r w:rsidRPr="00AA1C30">
        <w:rPr>
          <w:sz w:val="20"/>
        </w:rPr>
        <w:t xml:space="preserve">En 2015, el 79 </w:t>
      </w:r>
      <w:r>
        <w:rPr>
          <w:sz w:val="20"/>
        </w:rPr>
        <w:t>%</w:t>
      </w:r>
      <w:r w:rsidRPr="00AA1C30">
        <w:rPr>
          <w:sz w:val="20"/>
        </w:rPr>
        <w:t xml:space="preserve"> de todos los documentos recibidos se transmitieron a la Oficina Inter</w:t>
      </w:r>
      <w:r>
        <w:rPr>
          <w:sz w:val="20"/>
        </w:rPr>
        <w:t>n</w:t>
      </w:r>
      <w:r w:rsidRPr="00AA1C30">
        <w:rPr>
          <w:sz w:val="20"/>
        </w:rPr>
        <w:t>acional por v</w:t>
      </w:r>
      <w:r>
        <w:rPr>
          <w:sz w:val="20"/>
        </w:rPr>
        <w:t xml:space="preserve">ía electrónica, lo que representa un incremento de cinco puntos porcentuales con respecto a </w:t>
      </w:r>
      <w:r w:rsidRPr="00AA1C30">
        <w:rPr>
          <w:sz w:val="20"/>
        </w:rPr>
        <w:t>2014.</w:t>
      </w:r>
    </w:p>
    <w:p w:rsidR="0023753C" w:rsidRDefault="0023753C" w:rsidP="00DC1333">
      <w:pPr>
        <w:tabs>
          <w:tab w:val="num" w:pos="993"/>
        </w:tabs>
        <w:jc w:val="both"/>
        <w:rPr>
          <w:sz w:val="20"/>
        </w:rPr>
      </w:pPr>
    </w:p>
    <w:p w:rsidR="0023753C" w:rsidRDefault="0023753C" w:rsidP="0023753C">
      <w:pPr>
        <w:pStyle w:val="ListParagraph"/>
        <w:keepNext/>
        <w:keepLines/>
        <w:numPr>
          <w:ilvl w:val="0"/>
          <w:numId w:val="29"/>
        </w:numPr>
        <w:ind w:left="567" w:hanging="567"/>
        <w:contextualSpacing/>
        <w:jc w:val="both"/>
        <w:rPr>
          <w:rFonts w:cs="Arial"/>
          <w:b/>
          <w:lang w:val="es-ES"/>
        </w:rPr>
      </w:pPr>
      <w:r>
        <w:rPr>
          <w:rFonts w:cs="Arial"/>
          <w:b/>
          <w:lang w:val="es-ES"/>
        </w:rPr>
        <w:t>Tramitación</w:t>
      </w:r>
    </w:p>
    <w:p w:rsidR="0023753C" w:rsidRDefault="0023753C" w:rsidP="00DC1333">
      <w:pPr>
        <w:keepNext/>
        <w:keepLines/>
        <w:jc w:val="both"/>
        <w:rPr>
          <w:sz w:val="20"/>
        </w:rPr>
      </w:pPr>
    </w:p>
    <w:p w:rsidR="0023753C" w:rsidRDefault="0023753C" w:rsidP="00DC1333">
      <w:pPr>
        <w:pStyle w:val="ListParagraph"/>
        <w:ind w:left="0"/>
        <w:jc w:val="both"/>
        <w:rPr>
          <w:rFonts w:cs="Arial"/>
          <w:u w:val="single"/>
          <w:lang w:val="es-ES"/>
        </w:rPr>
      </w:pPr>
      <w:r>
        <w:rPr>
          <w:rFonts w:cs="Arial"/>
          <w:u w:val="single"/>
          <w:lang w:val="es-ES"/>
        </w:rPr>
        <w:t>C</w:t>
      </w:r>
      <w:r w:rsidRPr="00760842">
        <w:rPr>
          <w:rFonts w:cs="Arial"/>
          <w:u w:val="single"/>
          <w:lang w:val="es-ES"/>
        </w:rPr>
        <w:t>o</w:t>
      </w:r>
      <w:r>
        <w:rPr>
          <w:rFonts w:cs="Arial"/>
          <w:u w:val="single"/>
          <w:lang w:val="es-ES"/>
        </w:rPr>
        <w:t>sto to</w:t>
      </w:r>
      <w:r w:rsidRPr="00760842">
        <w:rPr>
          <w:rFonts w:cs="Arial"/>
          <w:u w:val="single"/>
          <w:lang w:val="es-ES"/>
        </w:rPr>
        <w:t xml:space="preserve">tal </w:t>
      </w:r>
      <w:r>
        <w:rPr>
          <w:rFonts w:cs="Arial"/>
          <w:u w:val="single"/>
          <w:lang w:val="es-ES"/>
        </w:rPr>
        <w:t>de producción</w:t>
      </w:r>
    </w:p>
    <w:p w:rsidR="0023753C" w:rsidRDefault="0023753C" w:rsidP="00DC1333">
      <w:pPr>
        <w:pStyle w:val="ListParagraph"/>
        <w:keepNext/>
        <w:keepLines/>
        <w:ind w:left="1440"/>
        <w:jc w:val="both"/>
        <w:rPr>
          <w:rFonts w:cs="Arial"/>
          <w:b/>
          <w:i/>
          <w:lang w:val="es-ES"/>
        </w:rPr>
      </w:pPr>
    </w:p>
    <w:p w:rsidR="0023753C" w:rsidRDefault="0023753C" w:rsidP="0023753C">
      <w:pPr>
        <w:pStyle w:val="ListParagraph"/>
        <w:keepNext/>
        <w:keepLines/>
        <w:numPr>
          <w:ilvl w:val="0"/>
          <w:numId w:val="35"/>
        </w:numPr>
        <w:tabs>
          <w:tab w:val="left" w:pos="567"/>
        </w:tabs>
        <w:ind w:left="0" w:firstLine="0"/>
        <w:contextualSpacing/>
        <w:jc w:val="both"/>
        <w:rPr>
          <w:rFonts w:cs="Arial"/>
          <w:lang w:val="es-ES"/>
        </w:rPr>
      </w:pPr>
      <w:r w:rsidRPr="00257B0E">
        <w:rPr>
          <w:rFonts w:cs="Arial"/>
          <w:lang w:val="es-ES"/>
        </w:rPr>
        <w:t xml:space="preserve">El costo total de producción comprende los gastos </w:t>
      </w:r>
      <w:r>
        <w:rPr>
          <w:rFonts w:cs="Arial"/>
          <w:lang w:val="es-ES"/>
        </w:rPr>
        <w:t xml:space="preserve">relacionados </w:t>
      </w:r>
      <w:r w:rsidRPr="00257B0E">
        <w:rPr>
          <w:rFonts w:cs="Arial"/>
          <w:lang w:val="es-ES"/>
        </w:rPr>
        <w:t xml:space="preserve">exclusivamente </w:t>
      </w:r>
      <w:r>
        <w:rPr>
          <w:rFonts w:cs="Arial"/>
          <w:lang w:val="es-ES"/>
        </w:rPr>
        <w:t xml:space="preserve">con </w:t>
      </w:r>
      <w:r w:rsidRPr="00257B0E">
        <w:rPr>
          <w:rFonts w:cs="Arial"/>
          <w:lang w:val="es-ES"/>
        </w:rPr>
        <w:t xml:space="preserve">el Sistema de Madrid y los gastos </w:t>
      </w:r>
      <w:r>
        <w:rPr>
          <w:rFonts w:cs="Arial"/>
          <w:lang w:val="es-ES"/>
        </w:rPr>
        <w:t xml:space="preserve">correspondientes a </w:t>
      </w:r>
      <w:r w:rsidRPr="00257B0E">
        <w:rPr>
          <w:rFonts w:cs="Arial"/>
          <w:lang w:val="es-ES"/>
        </w:rPr>
        <w:t xml:space="preserve">las actividades de apoyo </w:t>
      </w:r>
      <w:r>
        <w:rPr>
          <w:rFonts w:cs="Arial"/>
          <w:lang w:val="es-ES"/>
        </w:rPr>
        <w:t>de</w:t>
      </w:r>
      <w:r w:rsidRPr="00257B0E">
        <w:rPr>
          <w:rFonts w:cs="Arial"/>
          <w:lang w:val="es-ES"/>
        </w:rPr>
        <w:t xml:space="preserve">l </w:t>
      </w:r>
      <w:r>
        <w:rPr>
          <w:rFonts w:cs="Arial"/>
          <w:lang w:val="es-ES"/>
        </w:rPr>
        <w:t>Sistema.</w:t>
      </w:r>
    </w:p>
    <w:p w:rsidR="0023753C" w:rsidRDefault="0023753C" w:rsidP="00DC1333">
      <w:pPr>
        <w:pStyle w:val="ListParagraph"/>
        <w:keepNext/>
        <w:keepLines/>
        <w:tabs>
          <w:tab w:val="left" w:pos="567"/>
        </w:tabs>
        <w:jc w:val="both"/>
        <w:rPr>
          <w:rFonts w:cs="Arial"/>
          <w:lang w:val="es-ES"/>
        </w:rPr>
      </w:pPr>
    </w:p>
    <w:p w:rsidR="0023753C" w:rsidRDefault="0023753C" w:rsidP="0023753C">
      <w:pPr>
        <w:pStyle w:val="ListParagraph"/>
        <w:keepNext/>
        <w:keepLines/>
        <w:numPr>
          <w:ilvl w:val="0"/>
          <w:numId w:val="35"/>
        </w:numPr>
        <w:tabs>
          <w:tab w:val="left" w:pos="567"/>
        </w:tabs>
        <w:ind w:left="0" w:firstLine="0"/>
        <w:contextualSpacing/>
        <w:jc w:val="both"/>
        <w:rPr>
          <w:rFonts w:cs="Arial"/>
          <w:lang w:val="es-ES"/>
        </w:rPr>
      </w:pPr>
      <w:r>
        <w:rPr>
          <w:rFonts w:cs="Arial"/>
          <w:lang w:val="es-ES"/>
        </w:rPr>
        <w:t>Los</w:t>
      </w:r>
      <w:r w:rsidRPr="008A4A86">
        <w:rPr>
          <w:rFonts w:cs="Arial"/>
          <w:lang w:val="es-ES"/>
        </w:rPr>
        <w:t xml:space="preserve"> gasto</w:t>
      </w:r>
      <w:r>
        <w:rPr>
          <w:rFonts w:cs="Arial"/>
          <w:lang w:val="es-ES"/>
        </w:rPr>
        <w:t>s</w:t>
      </w:r>
      <w:r w:rsidRPr="008A4A86">
        <w:rPr>
          <w:rFonts w:cs="Arial"/>
          <w:lang w:val="es-ES"/>
        </w:rPr>
        <w:t xml:space="preserve"> relacionado</w:t>
      </w:r>
      <w:r>
        <w:rPr>
          <w:rFonts w:cs="Arial"/>
          <w:lang w:val="es-ES"/>
        </w:rPr>
        <w:t>s</w:t>
      </w:r>
      <w:r w:rsidRPr="008A4A86">
        <w:rPr>
          <w:rFonts w:cs="Arial"/>
          <w:lang w:val="es-ES"/>
        </w:rPr>
        <w:t xml:space="preserve"> exclusivamente con el Sistema de Madrid representa</w:t>
      </w:r>
      <w:r>
        <w:rPr>
          <w:rFonts w:cs="Arial"/>
          <w:lang w:val="es-ES"/>
        </w:rPr>
        <w:t>n</w:t>
      </w:r>
      <w:r w:rsidRPr="008A4A86">
        <w:rPr>
          <w:rFonts w:cs="Arial"/>
          <w:lang w:val="es-ES"/>
        </w:rPr>
        <w:t xml:space="preserve"> en torno al 96% de los gastos del programa 6 (</w:t>
      </w:r>
      <w:r>
        <w:rPr>
          <w:rFonts w:cs="Arial"/>
          <w:lang w:val="es-ES"/>
        </w:rPr>
        <w:t>los Sistemas de Madrid y de Lisboa</w:t>
      </w:r>
      <w:r w:rsidRPr="008A4A86">
        <w:rPr>
          <w:rFonts w:cs="Arial"/>
          <w:lang w:val="es-ES"/>
        </w:rPr>
        <w:t>)</w:t>
      </w:r>
      <w:r w:rsidRPr="00760842">
        <w:rPr>
          <w:rStyle w:val="FootnoteReference"/>
          <w:rFonts w:cs="Arial"/>
          <w:lang w:val="es-ES"/>
        </w:rPr>
        <w:footnoteReference w:id="32"/>
      </w:r>
      <w:r w:rsidRPr="008A4A86">
        <w:rPr>
          <w:rFonts w:cs="Arial"/>
          <w:lang w:val="es-ES"/>
        </w:rPr>
        <w:t>.  Los g</w:t>
      </w:r>
      <w:r>
        <w:rPr>
          <w:rFonts w:cs="Arial"/>
          <w:lang w:val="es-ES"/>
        </w:rPr>
        <w:t>astos del Registro de Lisboa en </w:t>
      </w:r>
      <w:r w:rsidRPr="008A4A86">
        <w:rPr>
          <w:rFonts w:cs="Arial"/>
          <w:lang w:val="es-ES"/>
        </w:rPr>
        <w:t>2015 se excluyen del costo total de producci</w:t>
      </w:r>
      <w:r>
        <w:rPr>
          <w:rFonts w:cs="Arial"/>
          <w:lang w:val="es-ES"/>
        </w:rPr>
        <w:t>ón del Sistema de Madrid</w:t>
      </w:r>
      <w:r w:rsidRPr="008A4A86">
        <w:rPr>
          <w:rFonts w:cs="Arial"/>
          <w:lang w:val="es-ES"/>
        </w:rPr>
        <w:t>.</w:t>
      </w:r>
      <w:r w:rsidRPr="00760842">
        <w:rPr>
          <w:rStyle w:val="FootnoteReference"/>
          <w:rFonts w:cs="Arial"/>
          <w:lang w:val="es-ES"/>
        </w:rPr>
        <w:footnoteReference w:id="33"/>
      </w:r>
    </w:p>
    <w:p w:rsidR="0023753C" w:rsidRDefault="0023753C" w:rsidP="00DC1333">
      <w:pPr>
        <w:pStyle w:val="ListParagraph"/>
        <w:keepNext/>
        <w:keepLines/>
        <w:tabs>
          <w:tab w:val="left" w:pos="567"/>
        </w:tabs>
        <w:jc w:val="both"/>
        <w:rPr>
          <w:rFonts w:cs="Arial"/>
          <w:lang w:val="es-ES"/>
        </w:rPr>
      </w:pPr>
    </w:p>
    <w:p w:rsidR="0023753C" w:rsidRDefault="0023753C" w:rsidP="0023753C">
      <w:pPr>
        <w:pStyle w:val="ListParagraph"/>
        <w:keepNext/>
        <w:keepLines/>
        <w:numPr>
          <w:ilvl w:val="0"/>
          <w:numId w:val="35"/>
        </w:numPr>
        <w:tabs>
          <w:tab w:val="left" w:pos="567"/>
        </w:tabs>
        <w:ind w:left="0" w:firstLine="0"/>
        <w:contextualSpacing/>
        <w:jc w:val="both"/>
        <w:rPr>
          <w:rFonts w:cs="Arial"/>
          <w:lang w:val="es-ES"/>
        </w:rPr>
      </w:pPr>
      <w:r w:rsidRPr="008A4A86">
        <w:rPr>
          <w:rFonts w:cs="Arial"/>
          <w:lang w:val="es-ES"/>
        </w:rPr>
        <w:t xml:space="preserve">El gasto en actividades de apoyo del Sistema de Madrid incluye el gasto relacionado con los </w:t>
      </w:r>
      <w:r>
        <w:rPr>
          <w:rFonts w:cs="Arial"/>
          <w:lang w:val="es-ES"/>
        </w:rPr>
        <w:t xml:space="preserve">siguientes </w:t>
      </w:r>
      <w:r w:rsidRPr="008A4A86">
        <w:rPr>
          <w:rFonts w:cs="Arial"/>
          <w:lang w:val="es-ES"/>
        </w:rPr>
        <w:t xml:space="preserve">servicios generales: </w:t>
      </w:r>
      <w:r>
        <w:rPr>
          <w:rFonts w:cs="Arial"/>
          <w:lang w:val="es-ES"/>
        </w:rPr>
        <w:t xml:space="preserve"> servicios de conferencias y lingüísticos, construcción, gestión ejecutiva, finanzas y presupuesto, servicios generales de apoyo, gestión de los recursos humanos, supervisión interna</w:t>
      </w:r>
      <w:r w:rsidRPr="008A4A86">
        <w:rPr>
          <w:rFonts w:cs="Arial"/>
          <w:lang w:val="es-ES"/>
        </w:rPr>
        <w:t xml:space="preserve">, </w:t>
      </w:r>
      <w:r>
        <w:rPr>
          <w:rFonts w:cs="Arial"/>
          <w:lang w:val="es-ES"/>
        </w:rPr>
        <w:t>T.I., y seguridad y vigilancia</w:t>
      </w:r>
      <w:r w:rsidRPr="008A4A86">
        <w:rPr>
          <w:rFonts w:cs="Arial"/>
          <w:lang w:val="es-ES"/>
        </w:rPr>
        <w:t xml:space="preserve">.  </w:t>
      </w:r>
      <w:r w:rsidRPr="00700365">
        <w:rPr>
          <w:rFonts w:cs="Arial"/>
          <w:lang w:val="es-ES"/>
        </w:rPr>
        <w:t>Un pequeño porcentaje de esos gastos (el costo del hospedaje de los servidores en el Centro Internacional de Cálculos Electrónicos de las Naciones Unidas (CICE) y un</w:t>
      </w:r>
      <w:r>
        <w:rPr>
          <w:rFonts w:cs="Arial"/>
          <w:lang w:val="es-ES"/>
        </w:rPr>
        <w:t>a parte</w:t>
      </w:r>
      <w:r w:rsidRPr="00700365">
        <w:rPr>
          <w:rFonts w:cs="Arial"/>
          <w:lang w:val="es-ES"/>
        </w:rPr>
        <w:t xml:space="preserve"> del costo</w:t>
      </w:r>
      <w:r>
        <w:rPr>
          <w:rFonts w:cs="Arial"/>
          <w:lang w:val="es-ES"/>
        </w:rPr>
        <w:t xml:space="preserve"> de la Sección de Ingresos en el Departamento de Finanzas</w:t>
      </w:r>
      <w:r w:rsidRPr="00700365">
        <w:rPr>
          <w:rFonts w:cs="Arial"/>
          <w:lang w:val="es-ES"/>
        </w:rPr>
        <w:t xml:space="preserve">) </w:t>
      </w:r>
      <w:r>
        <w:rPr>
          <w:rFonts w:cs="Arial"/>
          <w:lang w:val="es-ES"/>
        </w:rPr>
        <w:t>se atribuye directamente al Sistema de Madrid, mientras que el resto de los citados gastos atribuibles al Sistema de Madrid se calculan en función de las personas en nómina</w:t>
      </w:r>
      <w:r w:rsidRPr="00700365">
        <w:rPr>
          <w:rFonts w:cs="Arial"/>
          <w:lang w:val="es-ES"/>
        </w:rPr>
        <w:t xml:space="preserve"> (</w:t>
      </w:r>
      <w:r>
        <w:rPr>
          <w:rFonts w:cs="Arial"/>
          <w:lang w:val="es-ES"/>
        </w:rPr>
        <w:t xml:space="preserve">esto incluye a los empleados </w:t>
      </w:r>
      <w:r w:rsidRPr="00D62B21">
        <w:rPr>
          <w:rFonts w:cs="Arial"/>
          <w:lang w:val="es-ES"/>
        </w:rPr>
        <w:t>con contratos de duración determinada, los empleados con contratos de duración temporal y los becarios</w:t>
      </w:r>
      <w:r w:rsidRPr="00700365">
        <w:rPr>
          <w:rFonts w:cs="Arial"/>
          <w:lang w:val="es-ES"/>
        </w:rPr>
        <w:t>).</w:t>
      </w:r>
    </w:p>
    <w:p w:rsidR="0023753C" w:rsidRDefault="0023753C" w:rsidP="00DC1333">
      <w:pPr>
        <w:jc w:val="center"/>
      </w:pPr>
    </w:p>
    <w:p w:rsidR="0023753C" w:rsidRDefault="0023753C" w:rsidP="00DC1333">
      <w:pPr>
        <w:jc w:val="center"/>
      </w:pPr>
    </w:p>
    <w:p w:rsidR="0023753C" w:rsidRDefault="0023753C" w:rsidP="00DC1333">
      <w:pPr>
        <w:jc w:val="center"/>
      </w:pPr>
      <w:r w:rsidRPr="00CC661C">
        <w:rPr>
          <w:noProof/>
          <w:lang w:val="en-US" w:eastAsia="en-US"/>
        </w:rPr>
        <w:lastRenderedPageBreak/>
        <w:drawing>
          <wp:inline distT="0" distB="0" distL="0" distR="0" wp14:anchorId="49AC9623" wp14:editId="7D089BCC">
            <wp:extent cx="5450742" cy="3230088"/>
            <wp:effectExtent l="0" t="0" r="0" b="889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462840" cy="3237257"/>
                    </a:xfrm>
                    <a:prstGeom prst="rect">
                      <a:avLst/>
                    </a:prstGeom>
                    <a:noFill/>
                    <a:ln>
                      <a:noFill/>
                    </a:ln>
                  </pic:spPr>
                </pic:pic>
              </a:graphicData>
            </a:graphic>
          </wp:inline>
        </w:drawing>
      </w:r>
    </w:p>
    <w:p w:rsidR="0023753C" w:rsidRDefault="0023753C" w:rsidP="00DC1333">
      <w:pPr>
        <w:jc w:val="center"/>
      </w:pPr>
    </w:p>
    <w:p w:rsidR="0023753C" w:rsidRDefault="0023753C" w:rsidP="0023753C">
      <w:pPr>
        <w:pStyle w:val="ListParagraph"/>
        <w:numPr>
          <w:ilvl w:val="0"/>
          <w:numId w:val="32"/>
        </w:numPr>
        <w:spacing w:after="200"/>
        <w:ind w:left="1134" w:hanging="567"/>
        <w:contextualSpacing/>
        <w:jc w:val="both"/>
        <w:rPr>
          <w:rFonts w:cs="Arial"/>
          <w:lang w:val="es-ES"/>
        </w:rPr>
      </w:pPr>
      <w:r w:rsidRPr="006645C1">
        <w:rPr>
          <w:rFonts w:cs="Arial"/>
          <w:lang w:val="es-ES"/>
        </w:rPr>
        <w:t>Se calcula que el costo total de producción fue de 46,3 millon</w:t>
      </w:r>
      <w:r>
        <w:rPr>
          <w:rFonts w:cs="Arial"/>
          <w:lang w:val="es-ES"/>
        </w:rPr>
        <w:t xml:space="preserve">es de francos suizos en </w:t>
      </w:r>
      <w:r w:rsidRPr="006645C1">
        <w:rPr>
          <w:rFonts w:cs="Arial"/>
          <w:lang w:val="es-ES"/>
        </w:rPr>
        <w:t xml:space="preserve">2015.  </w:t>
      </w:r>
      <w:r w:rsidRPr="00A273AA">
        <w:rPr>
          <w:rFonts w:cs="Arial"/>
          <w:lang w:val="es-ES"/>
        </w:rPr>
        <w:t xml:space="preserve">Esto supone un aumento del 11% con respecto a 2014.  </w:t>
      </w:r>
      <w:r w:rsidRPr="006645C1">
        <w:rPr>
          <w:rFonts w:cs="Arial"/>
          <w:lang w:val="es-ES"/>
        </w:rPr>
        <w:t>El costo total de producción en el bienio 2014/15 aumentó en un 10% en relaci</w:t>
      </w:r>
      <w:r>
        <w:rPr>
          <w:rFonts w:cs="Arial"/>
          <w:lang w:val="es-ES"/>
        </w:rPr>
        <w:t xml:space="preserve">ón con el bienio </w:t>
      </w:r>
      <w:r w:rsidRPr="006645C1">
        <w:rPr>
          <w:rFonts w:cs="Arial"/>
          <w:lang w:val="es-ES"/>
        </w:rPr>
        <w:t>2012/13.</w:t>
      </w:r>
    </w:p>
    <w:p w:rsidR="0023753C" w:rsidRDefault="0023753C" w:rsidP="00DC1333">
      <w:pPr>
        <w:pStyle w:val="ListParagraph"/>
        <w:ind w:left="1134" w:hanging="567"/>
        <w:jc w:val="both"/>
        <w:rPr>
          <w:rFonts w:cs="Arial"/>
          <w:lang w:val="es-ES"/>
        </w:rPr>
      </w:pPr>
    </w:p>
    <w:p w:rsidR="0023753C" w:rsidRDefault="0023753C" w:rsidP="0023753C">
      <w:pPr>
        <w:pStyle w:val="ListParagraph"/>
        <w:numPr>
          <w:ilvl w:val="0"/>
          <w:numId w:val="32"/>
        </w:numPr>
        <w:ind w:left="1134" w:hanging="567"/>
        <w:contextualSpacing/>
        <w:jc w:val="both"/>
        <w:rPr>
          <w:rFonts w:cs="Arial"/>
          <w:lang w:val="es-ES"/>
        </w:rPr>
      </w:pPr>
      <w:r w:rsidRPr="006645C1">
        <w:rPr>
          <w:rFonts w:cs="Arial"/>
          <w:lang w:val="es-ES"/>
        </w:rPr>
        <w:t xml:space="preserve">En 2015, los costos directos representaron el 61% de los costos totales. </w:t>
      </w:r>
    </w:p>
    <w:p w:rsidR="0023753C" w:rsidRDefault="0023753C" w:rsidP="00DC1333">
      <w:pPr>
        <w:ind w:left="1134" w:hanging="567"/>
        <w:jc w:val="both"/>
        <w:rPr>
          <w:sz w:val="20"/>
        </w:rPr>
      </w:pPr>
    </w:p>
    <w:p w:rsidR="0023753C" w:rsidRDefault="0023753C" w:rsidP="00DC1333">
      <w:pPr>
        <w:ind w:left="1080"/>
        <w:jc w:val="both"/>
        <w:rPr>
          <w:sz w:val="20"/>
        </w:rPr>
      </w:pPr>
    </w:p>
    <w:p w:rsidR="0023753C" w:rsidRDefault="0023753C" w:rsidP="00DC1333">
      <w:pPr>
        <w:pStyle w:val="ListParagraph"/>
        <w:ind w:left="0"/>
        <w:jc w:val="both"/>
        <w:rPr>
          <w:rFonts w:cs="Arial"/>
          <w:u w:val="single"/>
          <w:lang w:val="es-ES"/>
        </w:rPr>
      </w:pPr>
      <w:r>
        <w:rPr>
          <w:rFonts w:cs="Arial"/>
          <w:u w:val="single"/>
          <w:lang w:val="es-ES"/>
        </w:rPr>
        <w:t>Costo unitario</w:t>
      </w:r>
    </w:p>
    <w:p w:rsidR="0023753C" w:rsidRDefault="0023753C" w:rsidP="00DC1333">
      <w:pPr>
        <w:jc w:val="both"/>
        <w:rPr>
          <w:sz w:val="20"/>
        </w:rPr>
      </w:pPr>
    </w:p>
    <w:p w:rsidR="0023753C" w:rsidRDefault="0023753C" w:rsidP="0023753C">
      <w:pPr>
        <w:pStyle w:val="ListParagraph"/>
        <w:numPr>
          <w:ilvl w:val="0"/>
          <w:numId w:val="35"/>
        </w:numPr>
        <w:tabs>
          <w:tab w:val="left" w:pos="567"/>
        </w:tabs>
        <w:ind w:left="0" w:firstLine="0"/>
        <w:contextualSpacing/>
        <w:jc w:val="both"/>
        <w:rPr>
          <w:rFonts w:cs="Arial"/>
          <w:lang w:val="es-ES"/>
        </w:rPr>
      </w:pPr>
      <w:r w:rsidRPr="002165BA">
        <w:rPr>
          <w:rFonts w:cs="Arial"/>
          <w:lang w:val="es-ES"/>
        </w:rPr>
        <w:t>La eficacia de la tramitación de las transacciones de la Oficina Internacional puede medirse por el costo unitario, que se define como el costo medio de producción de una unidad de producto.</w:t>
      </w:r>
    </w:p>
    <w:p w:rsidR="0023753C" w:rsidRDefault="0023753C" w:rsidP="00DC1333">
      <w:pPr>
        <w:pStyle w:val="ListParagraph"/>
        <w:tabs>
          <w:tab w:val="left" w:pos="567"/>
        </w:tabs>
        <w:ind w:left="0"/>
        <w:jc w:val="both"/>
        <w:rPr>
          <w:rFonts w:cs="Arial"/>
          <w:lang w:val="es-ES"/>
        </w:rPr>
      </w:pPr>
    </w:p>
    <w:p w:rsidR="0023753C" w:rsidRDefault="0023753C" w:rsidP="0023753C">
      <w:pPr>
        <w:pStyle w:val="ListParagraph"/>
        <w:numPr>
          <w:ilvl w:val="0"/>
          <w:numId w:val="35"/>
        </w:numPr>
        <w:tabs>
          <w:tab w:val="left" w:pos="567"/>
        </w:tabs>
        <w:ind w:left="0" w:firstLine="0"/>
        <w:contextualSpacing/>
        <w:jc w:val="both"/>
        <w:rPr>
          <w:rFonts w:cs="Arial"/>
          <w:lang w:val="es-ES"/>
        </w:rPr>
      </w:pPr>
      <w:r w:rsidRPr="002165BA">
        <w:rPr>
          <w:rFonts w:cs="Arial"/>
          <w:lang w:val="es-ES"/>
        </w:rPr>
        <w:t>Dado que la Oficina Internacional registra nuevas solicitudes y mantiene los registros existentes, resulta pertinente contar con una unidad de producto que englobe una serie de transacciones.  A continuación se presentan dos indicadores de costo unitario que utilizan dos unidades de producto diferentes.</w:t>
      </w:r>
    </w:p>
    <w:p w:rsidR="0023753C" w:rsidRDefault="0023753C" w:rsidP="00DC1333">
      <w:pPr>
        <w:pStyle w:val="ListParagraph"/>
        <w:rPr>
          <w:rFonts w:cs="Arial"/>
          <w:lang w:val="es-ES"/>
        </w:rPr>
      </w:pPr>
    </w:p>
    <w:p w:rsidR="0023753C" w:rsidRDefault="0023753C" w:rsidP="0023753C">
      <w:pPr>
        <w:pStyle w:val="ListParagraph"/>
        <w:numPr>
          <w:ilvl w:val="0"/>
          <w:numId w:val="35"/>
        </w:numPr>
        <w:tabs>
          <w:tab w:val="left" w:pos="567"/>
        </w:tabs>
        <w:ind w:left="0" w:firstLine="0"/>
        <w:contextualSpacing/>
        <w:jc w:val="both"/>
        <w:rPr>
          <w:rFonts w:cs="Arial"/>
          <w:lang w:val="es-ES"/>
        </w:rPr>
      </w:pPr>
      <w:r w:rsidRPr="002165BA">
        <w:rPr>
          <w:rFonts w:cs="Arial"/>
          <w:lang w:val="es-ES"/>
        </w:rPr>
        <w:t xml:space="preserve">En el marco de las iniciativas de la Oficina Internacional para </w:t>
      </w:r>
      <w:r>
        <w:rPr>
          <w:rFonts w:cs="Arial"/>
          <w:lang w:val="es-ES"/>
        </w:rPr>
        <w:t xml:space="preserve">perfeccionar constantemente sus planteamientos de </w:t>
      </w:r>
      <w:r w:rsidRPr="002165BA">
        <w:rPr>
          <w:rFonts w:cs="Arial"/>
          <w:lang w:val="es-ES"/>
        </w:rPr>
        <w:t>cálc</w:t>
      </w:r>
      <w:r>
        <w:rPr>
          <w:rFonts w:cs="Arial"/>
          <w:lang w:val="es-ES"/>
        </w:rPr>
        <w:t xml:space="preserve">ulo de los costos unitarios, se ha revisado la </w:t>
      </w:r>
      <w:r w:rsidRPr="002165BA">
        <w:rPr>
          <w:rFonts w:cs="Arial"/>
          <w:lang w:val="es-ES"/>
        </w:rPr>
        <w:t>metodología en el Presupuesto por Programas de 2016/2017, con el fin de reflejar de forma más precisa el costo de la tramitación del volumen de trabajo relativo al Sistema de Madrid en la Oficina Internacional:</w:t>
      </w:r>
    </w:p>
    <w:p w:rsidR="0023753C" w:rsidRDefault="0023753C" w:rsidP="00DC1333">
      <w:pPr>
        <w:pStyle w:val="ListParagraph"/>
        <w:tabs>
          <w:tab w:val="left" w:pos="567"/>
        </w:tabs>
        <w:ind w:left="0"/>
        <w:jc w:val="both"/>
        <w:rPr>
          <w:rFonts w:cs="Arial"/>
          <w:lang w:val="es-ES"/>
        </w:rPr>
      </w:pPr>
    </w:p>
    <w:p w:rsidR="0023753C" w:rsidRDefault="0023753C" w:rsidP="0023753C">
      <w:pPr>
        <w:pStyle w:val="ListParagraph"/>
        <w:numPr>
          <w:ilvl w:val="0"/>
          <w:numId w:val="31"/>
        </w:numPr>
        <w:spacing w:after="200"/>
        <w:ind w:left="1134" w:hanging="567"/>
        <w:contextualSpacing/>
        <w:jc w:val="both"/>
        <w:rPr>
          <w:rFonts w:cs="Arial"/>
          <w:lang w:val="es-ES"/>
        </w:rPr>
      </w:pPr>
      <w:r w:rsidRPr="002165BA">
        <w:rPr>
          <w:rFonts w:cs="Arial"/>
          <w:lang w:val="es-ES"/>
        </w:rPr>
        <w:t>La metodología para calcular los costos directos e indirectos del Sistema de Madrid se ha armonizado con las metodologías para calcular los costos unitarios del PCT y del Sistema de La Haya.</w:t>
      </w:r>
    </w:p>
    <w:p w:rsidR="0023753C" w:rsidRDefault="0023753C" w:rsidP="00DC1333">
      <w:pPr>
        <w:pStyle w:val="ListParagraph"/>
        <w:ind w:left="1134"/>
        <w:jc w:val="both"/>
        <w:rPr>
          <w:rFonts w:cs="Arial"/>
          <w:lang w:val="es-ES"/>
        </w:rPr>
      </w:pPr>
    </w:p>
    <w:p w:rsidR="0023753C" w:rsidRDefault="0023753C" w:rsidP="0023753C">
      <w:pPr>
        <w:pStyle w:val="ListParagraph"/>
        <w:numPr>
          <w:ilvl w:val="0"/>
          <w:numId w:val="31"/>
        </w:numPr>
        <w:spacing w:after="200"/>
        <w:ind w:left="1134" w:hanging="567"/>
        <w:contextualSpacing/>
        <w:jc w:val="both"/>
        <w:rPr>
          <w:rFonts w:cs="Arial"/>
          <w:lang w:val="es-ES"/>
        </w:rPr>
      </w:pPr>
      <w:r w:rsidRPr="007A23AF">
        <w:rPr>
          <w:rFonts w:cs="Arial"/>
          <w:lang w:val="es-ES"/>
        </w:rPr>
        <w:t xml:space="preserve">Se ha puesto en marcha un sistema de ponderación que permite </w:t>
      </w:r>
      <w:r>
        <w:rPr>
          <w:rFonts w:cs="Arial"/>
          <w:lang w:val="es-ES"/>
        </w:rPr>
        <w:t>calibrar</w:t>
      </w:r>
      <w:r w:rsidRPr="007A23AF">
        <w:rPr>
          <w:rFonts w:cs="Arial"/>
          <w:lang w:val="es-ES"/>
        </w:rPr>
        <w:t xml:space="preserve"> mejor el trabajo real necesario para tramitar las seis categorías de documentos, teniendo en cuenta que algunos de esos documentos</w:t>
      </w:r>
      <w:r>
        <w:rPr>
          <w:rFonts w:cs="Arial"/>
          <w:lang w:val="es-ES"/>
        </w:rPr>
        <w:t xml:space="preserve"> implican una mayor carga de trabajo  </w:t>
      </w:r>
      <w:r w:rsidRPr="007A23AF">
        <w:rPr>
          <w:rFonts w:cs="Arial"/>
          <w:lang w:val="es-ES"/>
        </w:rPr>
        <w:t>otros</w:t>
      </w:r>
      <w:r w:rsidRPr="00760842">
        <w:rPr>
          <w:rStyle w:val="FootnoteReference"/>
          <w:rFonts w:cs="Arial"/>
          <w:lang w:val="es-ES"/>
        </w:rPr>
        <w:footnoteReference w:id="34"/>
      </w:r>
      <w:r>
        <w:rPr>
          <w:rFonts w:cs="Arial"/>
          <w:lang w:val="es-ES"/>
        </w:rPr>
        <w:t>.</w:t>
      </w:r>
    </w:p>
    <w:p w:rsidR="0023753C" w:rsidRDefault="0023753C" w:rsidP="00DC1333">
      <w:pPr>
        <w:pStyle w:val="ListParagraph"/>
        <w:ind w:left="1134" w:hanging="567"/>
        <w:jc w:val="both"/>
        <w:rPr>
          <w:rFonts w:cs="Arial"/>
          <w:lang w:val="es-ES"/>
        </w:rPr>
      </w:pPr>
    </w:p>
    <w:p w:rsidR="0023753C" w:rsidRDefault="0023753C" w:rsidP="0023753C">
      <w:pPr>
        <w:pStyle w:val="ListParagraph"/>
        <w:numPr>
          <w:ilvl w:val="0"/>
          <w:numId w:val="31"/>
        </w:numPr>
        <w:spacing w:after="200"/>
        <w:ind w:left="1134" w:hanging="567"/>
        <w:contextualSpacing/>
        <w:jc w:val="both"/>
        <w:rPr>
          <w:rFonts w:cs="Arial"/>
          <w:lang w:val="es-ES"/>
        </w:rPr>
      </w:pPr>
      <w:r w:rsidRPr="007A23AF">
        <w:rPr>
          <w:rFonts w:cs="Arial"/>
          <w:lang w:val="es-ES"/>
        </w:rPr>
        <w:t xml:space="preserve">Se ha redefinido el primer costo unitario para incluir solo los nuevos registros internacionales  y </w:t>
      </w:r>
      <w:r>
        <w:rPr>
          <w:rFonts w:cs="Arial"/>
          <w:lang w:val="es-ES"/>
        </w:rPr>
        <w:t>las renovaciones</w:t>
      </w:r>
      <w:r w:rsidRPr="007A23AF">
        <w:rPr>
          <w:rFonts w:cs="Arial"/>
          <w:lang w:val="es-ES"/>
        </w:rPr>
        <w:t xml:space="preserve"> (el costo unitario en el Presupuesto por Programas de 2014/2015 también incluía las designaciones posteriores).  Se decidió retirar las designaciones posteriores del cálculo del costo unitario con el fin de dar más relevancia a los productos esenciales del Sistema de Madrid, a saber, los registros internacionales y sus </w:t>
      </w:r>
      <w:r w:rsidRPr="007A23AF">
        <w:rPr>
          <w:rFonts w:cs="Arial"/>
          <w:lang w:val="es-ES"/>
        </w:rPr>
        <w:lastRenderedPageBreak/>
        <w:t xml:space="preserve">renovaciones.  Todas las demás transacciones del Sistema de Madrid  (designaciones posteriores, cambios, </w:t>
      </w:r>
      <w:r>
        <w:rPr>
          <w:rFonts w:cs="Arial"/>
          <w:lang w:val="es-ES"/>
        </w:rPr>
        <w:t>d</w:t>
      </w:r>
      <w:r w:rsidRPr="007A23AF">
        <w:rPr>
          <w:rFonts w:cs="Arial"/>
          <w:lang w:val="es-ES"/>
        </w:rPr>
        <w:t>ecisiones y correcciones) se pueden considerar secundarios frente a esas dos transacciones esenciales.</w:t>
      </w:r>
      <w:r>
        <w:rPr>
          <w:rFonts w:cs="Arial"/>
          <w:lang w:val="es-ES"/>
        </w:rPr>
        <w:t xml:space="preserve">  </w:t>
      </w:r>
      <w:r w:rsidRPr="007A23AF">
        <w:rPr>
          <w:rFonts w:cs="Arial"/>
          <w:lang w:val="es-ES"/>
        </w:rPr>
        <w:t>Además</w:t>
      </w:r>
      <w:r>
        <w:rPr>
          <w:rFonts w:cs="Arial"/>
          <w:lang w:val="es-ES"/>
        </w:rPr>
        <w:t>,</w:t>
      </w:r>
      <w:r w:rsidRPr="007A23AF">
        <w:rPr>
          <w:rFonts w:cs="Arial"/>
          <w:lang w:val="es-ES"/>
        </w:rPr>
        <w:t xml:space="preserve"> es difícil justificar la inclusión de una de estas transacciones secundarias como un componente del</w:t>
      </w:r>
      <w:r>
        <w:rPr>
          <w:rFonts w:cs="Arial"/>
          <w:lang w:val="es-ES"/>
        </w:rPr>
        <w:t xml:space="preserve"> primer</w:t>
      </w:r>
      <w:r w:rsidRPr="007A23AF">
        <w:rPr>
          <w:rFonts w:cs="Arial"/>
          <w:lang w:val="es-ES"/>
        </w:rPr>
        <w:t xml:space="preserve"> </w:t>
      </w:r>
      <w:r>
        <w:rPr>
          <w:rFonts w:cs="Arial"/>
          <w:lang w:val="es-ES"/>
        </w:rPr>
        <w:t xml:space="preserve">tipo de </w:t>
      </w:r>
      <w:r w:rsidRPr="007A23AF">
        <w:rPr>
          <w:rFonts w:cs="Arial"/>
          <w:lang w:val="es-ES"/>
        </w:rPr>
        <w:t>costo</w:t>
      </w:r>
      <w:r>
        <w:rPr>
          <w:rFonts w:cs="Arial"/>
          <w:lang w:val="es-ES"/>
        </w:rPr>
        <w:t xml:space="preserve"> unitario</w:t>
      </w:r>
      <w:r w:rsidRPr="007A23AF">
        <w:rPr>
          <w:rFonts w:cs="Arial"/>
          <w:lang w:val="es-ES"/>
        </w:rPr>
        <w:t>, al tiempo que se excluyen l</w:t>
      </w:r>
      <w:r>
        <w:rPr>
          <w:rFonts w:cs="Arial"/>
          <w:lang w:val="es-ES"/>
        </w:rPr>
        <w:t>o</w:t>
      </w:r>
      <w:r w:rsidRPr="007A23AF">
        <w:rPr>
          <w:rFonts w:cs="Arial"/>
          <w:lang w:val="es-ES"/>
        </w:rPr>
        <w:t>s otr</w:t>
      </w:r>
      <w:r>
        <w:rPr>
          <w:rFonts w:cs="Arial"/>
          <w:lang w:val="es-ES"/>
        </w:rPr>
        <w:t>o</w:t>
      </w:r>
      <w:r w:rsidRPr="007A23AF">
        <w:rPr>
          <w:rFonts w:cs="Arial"/>
          <w:lang w:val="es-ES"/>
        </w:rPr>
        <w:t>s.</w:t>
      </w:r>
    </w:p>
    <w:p w:rsidR="0023753C" w:rsidRDefault="0023753C" w:rsidP="00DC1333">
      <w:pPr>
        <w:pStyle w:val="ListParagraph"/>
        <w:ind w:left="1134" w:hanging="567"/>
        <w:rPr>
          <w:rFonts w:cs="Arial"/>
          <w:lang w:val="es-ES"/>
        </w:rPr>
      </w:pPr>
    </w:p>
    <w:p w:rsidR="0023753C" w:rsidRPr="004F6355" w:rsidRDefault="0023753C" w:rsidP="0023753C">
      <w:pPr>
        <w:pStyle w:val="ListParagraph"/>
        <w:numPr>
          <w:ilvl w:val="0"/>
          <w:numId w:val="31"/>
        </w:numPr>
        <w:ind w:left="1134" w:hanging="567"/>
        <w:contextualSpacing/>
        <w:jc w:val="both"/>
        <w:rPr>
          <w:rFonts w:cs="Arial"/>
          <w:lang w:val="es-ES"/>
        </w:rPr>
      </w:pPr>
      <w:r>
        <w:rPr>
          <w:rFonts w:cs="Arial"/>
          <w:lang w:val="es-ES"/>
        </w:rPr>
        <w:t>El segundo</w:t>
      </w:r>
      <w:r w:rsidRPr="004F6355">
        <w:rPr>
          <w:rFonts w:cs="Arial"/>
          <w:lang w:val="es-ES"/>
        </w:rPr>
        <w:t xml:space="preserve"> </w:t>
      </w:r>
      <w:r>
        <w:rPr>
          <w:rFonts w:cs="Arial"/>
          <w:lang w:val="es-ES"/>
        </w:rPr>
        <w:t xml:space="preserve">tipo de </w:t>
      </w:r>
      <w:r w:rsidRPr="004F6355">
        <w:rPr>
          <w:rFonts w:cs="Arial"/>
          <w:lang w:val="es-ES"/>
        </w:rPr>
        <w:t xml:space="preserve">costo </w:t>
      </w:r>
      <w:r>
        <w:rPr>
          <w:rFonts w:cs="Arial"/>
          <w:lang w:val="es-ES"/>
        </w:rPr>
        <w:t xml:space="preserve">unitario </w:t>
      </w:r>
      <w:r w:rsidRPr="004F6355">
        <w:rPr>
          <w:rFonts w:cs="Arial"/>
          <w:lang w:val="es-ES"/>
        </w:rPr>
        <w:t>se basa estrictamente en el número de documentos inscritos en el Registro, independientemente de los</w:t>
      </w:r>
      <w:r>
        <w:rPr>
          <w:rFonts w:cs="Arial"/>
          <w:lang w:val="es-ES"/>
        </w:rPr>
        <w:t xml:space="preserve"> diversos niveles de recursos necesarios para tramitarlos</w:t>
      </w:r>
      <w:r w:rsidRPr="004F6355">
        <w:rPr>
          <w:rFonts w:cs="Arial"/>
          <w:lang w:val="es-ES"/>
        </w:rPr>
        <w:t>.</w:t>
      </w:r>
    </w:p>
    <w:p w:rsidR="0023753C" w:rsidRPr="004F6355" w:rsidRDefault="0023753C" w:rsidP="00DC1333">
      <w:pPr>
        <w:jc w:val="both"/>
        <w:rPr>
          <w:sz w:val="20"/>
        </w:rPr>
      </w:pPr>
    </w:p>
    <w:p w:rsidR="0023753C" w:rsidRDefault="0023753C" w:rsidP="0023753C">
      <w:pPr>
        <w:pStyle w:val="ListParagraph"/>
        <w:numPr>
          <w:ilvl w:val="0"/>
          <w:numId w:val="35"/>
        </w:numPr>
        <w:tabs>
          <w:tab w:val="left" w:pos="567"/>
        </w:tabs>
        <w:ind w:left="0" w:firstLine="0"/>
        <w:contextualSpacing/>
        <w:jc w:val="both"/>
        <w:rPr>
          <w:rFonts w:cs="Arial"/>
          <w:lang w:val="es-ES"/>
        </w:rPr>
      </w:pPr>
      <w:r w:rsidRPr="007A23AF">
        <w:rPr>
          <w:rFonts w:cs="Arial"/>
          <w:lang w:val="es-ES"/>
        </w:rPr>
        <w:t>A efectos de comparación, en los gráficos que figuran a continuación se muestra la evolución de dos tipos de costos unitarios de 2008 a 2014</w:t>
      </w:r>
      <w:r>
        <w:rPr>
          <w:rFonts w:cs="Arial"/>
          <w:lang w:val="es-ES"/>
        </w:rPr>
        <w:t>, utilizando la m</w:t>
      </w:r>
      <w:r w:rsidRPr="007A23AF">
        <w:rPr>
          <w:rFonts w:cs="Arial"/>
          <w:lang w:val="es-ES"/>
        </w:rPr>
        <w:t>etodología antigua</w:t>
      </w:r>
      <w:r>
        <w:rPr>
          <w:rFonts w:cs="Arial"/>
          <w:lang w:val="es-ES"/>
        </w:rPr>
        <w:t>, y</w:t>
      </w:r>
      <w:r w:rsidRPr="007A23AF">
        <w:rPr>
          <w:rFonts w:cs="Arial"/>
          <w:lang w:val="es-ES"/>
        </w:rPr>
        <w:t xml:space="preserve"> de 2012 a 201</w:t>
      </w:r>
      <w:r>
        <w:rPr>
          <w:rFonts w:cs="Arial"/>
          <w:lang w:val="es-ES"/>
        </w:rPr>
        <w:t>5, utilizando la m</w:t>
      </w:r>
      <w:r w:rsidRPr="007A23AF">
        <w:rPr>
          <w:rFonts w:cs="Arial"/>
          <w:lang w:val="es-ES"/>
        </w:rPr>
        <w:t>etodología nueva, con inclusión de un desglose de la contribución de los costos directos e indirectos.</w:t>
      </w:r>
    </w:p>
    <w:p w:rsidR="0023753C" w:rsidRDefault="0023753C" w:rsidP="00DC1333">
      <w:pPr>
        <w:pStyle w:val="ListParagraph"/>
        <w:tabs>
          <w:tab w:val="left" w:pos="567"/>
        </w:tabs>
        <w:ind w:left="0"/>
        <w:jc w:val="both"/>
        <w:rPr>
          <w:rFonts w:cs="Arial"/>
          <w:lang w:val="es-ES"/>
        </w:rPr>
      </w:pPr>
    </w:p>
    <w:p w:rsidR="0023753C" w:rsidRPr="00E43F8B" w:rsidRDefault="0023753C" w:rsidP="00DC1333">
      <w:pPr>
        <w:pStyle w:val="ListParagraph"/>
        <w:keepNext/>
        <w:keepLines/>
        <w:tabs>
          <w:tab w:val="left" w:pos="1701"/>
        </w:tabs>
        <w:ind w:left="567"/>
        <w:jc w:val="both"/>
        <w:rPr>
          <w:rFonts w:cs="Arial"/>
          <w:i/>
          <w:lang w:val="es-ES"/>
        </w:rPr>
      </w:pPr>
      <w:r w:rsidRPr="00E43F8B">
        <w:rPr>
          <w:rFonts w:cs="Arial"/>
          <w:i/>
          <w:lang w:val="es-ES"/>
        </w:rPr>
        <w:t>Costo unitario por registro internacional nuevo o renovado</w:t>
      </w:r>
    </w:p>
    <w:p w:rsidR="0023753C" w:rsidRPr="00E43F8B" w:rsidRDefault="0023753C" w:rsidP="00DC1333">
      <w:pPr>
        <w:jc w:val="both"/>
        <w:rPr>
          <w:sz w:val="20"/>
        </w:rPr>
      </w:pPr>
    </w:p>
    <w:p w:rsidR="0023753C" w:rsidRDefault="0023753C" w:rsidP="0023753C">
      <w:pPr>
        <w:pStyle w:val="ListParagraph"/>
        <w:numPr>
          <w:ilvl w:val="0"/>
          <w:numId w:val="35"/>
        </w:numPr>
        <w:tabs>
          <w:tab w:val="left" w:pos="567"/>
        </w:tabs>
        <w:ind w:left="0" w:firstLine="0"/>
        <w:contextualSpacing/>
        <w:jc w:val="both"/>
        <w:rPr>
          <w:rFonts w:cs="Arial"/>
          <w:lang w:val="es-ES"/>
        </w:rPr>
      </w:pPr>
      <w:r w:rsidRPr="007A23AF">
        <w:rPr>
          <w:rFonts w:cs="Arial"/>
          <w:lang w:val="es-ES"/>
        </w:rPr>
        <w:t>Los registros internacionales</w:t>
      </w:r>
      <w:r>
        <w:rPr>
          <w:rFonts w:cs="Arial"/>
          <w:lang w:val="es-ES"/>
        </w:rPr>
        <w:t xml:space="preserve"> nuevos</w:t>
      </w:r>
      <w:r w:rsidRPr="007A23AF">
        <w:rPr>
          <w:rFonts w:cs="Arial"/>
          <w:lang w:val="es-ES"/>
        </w:rPr>
        <w:t xml:space="preserve"> consisten en solicitudes que se registran en un año dado y los registros internacionales renovados son los registros existentes que se renuevan en un año dado.  En conjunto, estos dos tipos de transacciones constituyen la actividad central de la Oficina Internacional.</w:t>
      </w:r>
    </w:p>
    <w:p w:rsidR="0023753C" w:rsidRDefault="0023753C" w:rsidP="00DC1333">
      <w:pPr>
        <w:jc w:val="both"/>
        <w:rPr>
          <w:sz w:val="20"/>
        </w:rPr>
      </w:pPr>
    </w:p>
    <w:p w:rsidR="0023753C" w:rsidRDefault="0023753C" w:rsidP="0023753C">
      <w:pPr>
        <w:pStyle w:val="ListParagraph"/>
        <w:numPr>
          <w:ilvl w:val="0"/>
          <w:numId w:val="35"/>
        </w:numPr>
        <w:tabs>
          <w:tab w:val="left" w:pos="567"/>
        </w:tabs>
        <w:ind w:left="0" w:firstLine="0"/>
        <w:contextualSpacing/>
        <w:jc w:val="both"/>
        <w:rPr>
          <w:rFonts w:cs="Arial"/>
          <w:lang w:val="es-ES"/>
        </w:rPr>
      </w:pPr>
      <w:r w:rsidRPr="007A23AF">
        <w:rPr>
          <w:rFonts w:cs="Arial"/>
          <w:lang w:val="es-ES"/>
        </w:rPr>
        <w:t>En vista de que la tramitación de estos dos tipos de transacciones no exige la misma cantidad de recursos, cada uno se pondera de forma diferente</w:t>
      </w:r>
      <w:r w:rsidRPr="007A23AF">
        <w:rPr>
          <w:rFonts w:cs="Arial"/>
          <w:vertAlign w:val="superscript"/>
          <w:lang w:val="es-ES"/>
        </w:rPr>
        <w:footnoteReference w:id="35"/>
      </w:r>
      <w:r w:rsidRPr="007A23AF">
        <w:rPr>
          <w:rFonts w:cs="Arial"/>
          <w:lang w:val="es-ES"/>
        </w:rPr>
        <w:t xml:space="preserve">.  </w:t>
      </w:r>
      <w:r>
        <w:rPr>
          <w:rFonts w:cs="Arial"/>
          <w:lang w:val="es-ES"/>
        </w:rPr>
        <w:t xml:space="preserve">El </w:t>
      </w:r>
      <w:r w:rsidRPr="007A23AF">
        <w:rPr>
          <w:rFonts w:cs="Arial"/>
          <w:lang w:val="es-ES"/>
        </w:rPr>
        <w:t>costo</w:t>
      </w:r>
      <w:r>
        <w:rPr>
          <w:rFonts w:cs="Arial"/>
          <w:lang w:val="es-ES"/>
        </w:rPr>
        <w:t xml:space="preserve"> unitario</w:t>
      </w:r>
      <w:r w:rsidRPr="007A23AF">
        <w:rPr>
          <w:rFonts w:cs="Arial"/>
          <w:lang w:val="es-ES"/>
        </w:rPr>
        <w:t xml:space="preserve"> se calcula dividien</w:t>
      </w:r>
      <w:r>
        <w:rPr>
          <w:rFonts w:cs="Arial"/>
          <w:lang w:val="es-ES"/>
        </w:rPr>
        <w:t>do el costo total de producción</w:t>
      </w:r>
      <w:r w:rsidRPr="007A23AF">
        <w:rPr>
          <w:rFonts w:cs="Arial"/>
          <w:lang w:val="es-ES"/>
        </w:rPr>
        <w:t xml:space="preserve"> por el número de </w:t>
      </w:r>
      <w:r>
        <w:rPr>
          <w:rFonts w:cs="Arial"/>
          <w:lang w:val="es-ES"/>
        </w:rPr>
        <w:t>r</w:t>
      </w:r>
      <w:r w:rsidRPr="007A23AF">
        <w:rPr>
          <w:rFonts w:cs="Arial"/>
          <w:lang w:val="es-ES"/>
        </w:rPr>
        <w:t>egistros internacionales</w:t>
      </w:r>
      <w:r>
        <w:rPr>
          <w:rFonts w:cs="Arial"/>
          <w:lang w:val="es-ES"/>
        </w:rPr>
        <w:t xml:space="preserve"> nuevos o renovados</w:t>
      </w:r>
      <w:r w:rsidRPr="007A23AF">
        <w:rPr>
          <w:rFonts w:cs="Arial"/>
          <w:lang w:val="es-ES"/>
        </w:rPr>
        <w:t>.</w:t>
      </w:r>
    </w:p>
    <w:p w:rsidR="0023753C" w:rsidRPr="007A23AF" w:rsidRDefault="0023753C" w:rsidP="00DC133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1"/>
        <w:gridCol w:w="4550"/>
      </w:tblGrid>
      <w:tr w:rsidR="0023753C" w:rsidRPr="00760842" w:rsidTr="00DC1333">
        <w:trPr>
          <w:cantSplit/>
        </w:trPr>
        <w:tc>
          <w:tcPr>
            <w:tcW w:w="4788" w:type="dxa"/>
          </w:tcPr>
          <w:p w:rsidR="0023753C" w:rsidRPr="00760842" w:rsidRDefault="0023753C" w:rsidP="00DC1333">
            <w:pPr>
              <w:jc w:val="center"/>
            </w:pPr>
            <w:r>
              <w:t>Metodología antigua</w:t>
            </w:r>
          </w:p>
        </w:tc>
        <w:tc>
          <w:tcPr>
            <w:tcW w:w="4788" w:type="dxa"/>
          </w:tcPr>
          <w:p w:rsidR="0023753C" w:rsidRPr="00760842" w:rsidRDefault="0023753C" w:rsidP="00DC1333">
            <w:pPr>
              <w:jc w:val="center"/>
            </w:pPr>
            <w:r>
              <w:t>Metodología nueva</w:t>
            </w:r>
          </w:p>
        </w:tc>
      </w:tr>
      <w:tr w:rsidR="0023753C" w:rsidRPr="00760842" w:rsidTr="00DC1333">
        <w:trPr>
          <w:cantSplit/>
        </w:trPr>
        <w:tc>
          <w:tcPr>
            <w:tcW w:w="4788" w:type="dxa"/>
          </w:tcPr>
          <w:p w:rsidR="0023753C" w:rsidRDefault="0023753C" w:rsidP="00DC1333">
            <w:pPr>
              <w:jc w:val="center"/>
              <w:rPr>
                <w:noProof/>
              </w:rPr>
            </w:pPr>
          </w:p>
          <w:p w:rsidR="0023753C" w:rsidRPr="00760842" w:rsidRDefault="0023753C" w:rsidP="00DC1333">
            <w:pPr>
              <w:jc w:val="center"/>
            </w:pPr>
            <w:r>
              <w:rPr>
                <w:noProof/>
                <w:lang w:val="en-US" w:eastAsia="en-US"/>
              </w:rPr>
              <w:drawing>
                <wp:inline distT="0" distB="0" distL="0" distR="0" wp14:anchorId="4E4DCE34" wp14:editId="19EC8CB7">
                  <wp:extent cx="3061253" cy="2266121"/>
                  <wp:effectExtent l="0" t="0" r="6350" b="127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3062711" cy="2267200"/>
                          </a:xfrm>
                          <a:prstGeom prst="rect">
                            <a:avLst/>
                          </a:prstGeom>
                          <a:noFill/>
                          <a:ln>
                            <a:noFill/>
                          </a:ln>
                        </pic:spPr>
                      </pic:pic>
                    </a:graphicData>
                  </a:graphic>
                </wp:inline>
              </w:drawing>
            </w:r>
          </w:p>
        </w:tc>
        <w:tc>
          <w:tcPr>
            <w:tcW w:w="4788" w:type="dxa"/>
          </w:tcPr>
          <w:p w:rsidR="0023753C" w:rsidRDefault="0023753C" w:rsidP="00DC1333">
            <w:pPr>
              <w:jc w:val="center"/>
            </w:pPr>
          </w:p>
          <w:p w:rsidR="0023753C" w:rsidRPr="00760842" w:rsidRDefault="0023753C" w:rsidP="00DC1333">
            <w:pPr>
              <w:jc w:val="center"/>
            </w:pPr>
            <w:r>
              <w:rPr>
                <w:noProof/>
                <w:lang w:val="en-US" w:eastAsia="en-US"/>
              </w:rPr>
              <w:drawing>
                <wp:inline distT="0" distB="0" distL="0" distR="0" wp14:anchorId="22DF0A92" wp14:editId="61A53E75">
                  <wp:extent cx="2767054" cy="2266121"/>
                  <wp:effectExtent l="0" t="0" r="0" b="127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768345" cy="2267178"/>
                          </a:xfrm>
                          <a:prstGeom prst="rect">
                            <a:avLst/>
                          </a:prstGeom>
                          <a:noFill/>
                          <a:ln>
                            <a:noFill/>
                          </a:ln>
                        </pic:spPr>
                      </pic:pic>
                    </a:graphicData>
                  </a:graphic>
                </wp:inline>
              </w:drawing>
            </w:r>
          </w:p>
        </w:tc>
      </w:tr>
    </w:tbl>
    <w:p w:rsidR="0023753C" w:rsidRDefault="0023753C" w:rsidP="00DC1333"/>
    <w:p w:rsidR="0023753C" w:rsidRDefault="0023753C" w:rsidP="0023753C">
      <w:pPr>
        <w:pStyle w:val="ListParagraph"/>
        <w:numPr>
          <w:ilvl w:val="0"/>
          <w:numId w:val="33"/>
        </w:numPr>
        <w:contextualSpacing/>
        <w:jc w:val="both"/>
        <w:rPr>
          <w:rFonts w:cs="Arial"/>
          <w:lang w:val="es-ES"/>
        </w:rPr>
      </w:pPr>
      <w:r w:rsidRPr="006645C1">
        <w:rPr>
          <w:rFonts w:cs="Arial"/>
          <w:lang w:val="es-ES"/>
        </w:rPr>
        <w:t>El costo medio de la tramitación de un registro internacional nuevo o renovado ascendi</w:t>
      </w:r>
      <w:r>
        <w:rPr>
          <w:rFonts w:cs="Arial"/>
          <w:lang w:val="es-ES"/>
        </w:rPr>
        <w:t xml:space="preserve">ó a </w:t>
      </w:r>
      <w:r w:rsidRPr="006645C1">
        <w:rPr>
          <w:rFonts w:cs="Arial"/>
          <w:lang w:val="es-ES"/>
        </w:rPr>
        <w:t xml:space="preserve">743 </w:t>
      </w:r>
      <w:r>
        <w:rPr>
          <w:rFonts w:cs="Arial"/>
          <w:lang w:val="es-ES"/>
        </w:rPr>
        <w:t xml:space="preserve">francos suizos en </w:t>
      </w:r>
      <w:r w:rsidRPr="006645C1">
        <w:rPr>
          <w:rFonts w:cs="Arial"/>
          <w:lang w:val="es-ES"/>
        </w:rPr>
        <w:t xml:space="preserve">2015.  </w:t>
      </w:r>
      <w:r w:rsidRPr="00A273AA">
        <w:rPr>
          <w:rFonts w:cs="Arial"/>
          <w:lang w:val="es-ES"/>
        </w:rPr>
        <w:t xml:space="preserve">Esto representa una disminución del 11% con respecto a 2014.  </w:t>
      </w:r>
      <w:r w:rsidRPr="004712BD">
        <w:rPr>
          <w:rFonts w:cs="Arial"/>
          <w:lang w:val="es-ES"/>
        </w:rPr>
        <w:t xml:space="preserve">El costo unitario por registro internacional nuevo o renovado en el bienio 2014/15 disminuyó en </w:t>
      </w:r>
      <w:r>
        <w:rPr>
          <w:rFonts w:cs="Arial"/>
          <w:lang w:val="es-ES"/>
        </w:rPr>
        <w:t>un </w:t>
      </w:r>
      <w:r w:rsidRPr="004712BD">
        <w:rPr>
          <w:rFonts w:cs="Arial"/>
          <w:lang w:val="es-ES"/>
        </w:rPr>
        <w:t>1% con respecto al bienio 2012/2013.</w:t>
      </w:r>
    </w:p>
    <w:p w:rsidR="0023753C" w:rsidRDefault="0023753C" w:rsidP="00DC1333">
      <w:pPr>
        <w:keepNext/>
        <w:keepLines/>
        <w:jc w:val="center"/>
        <w:rPr>
          <w:sz w:val="20"/>
        </w:rPr>
      </w:pPr>
    </w:p>
    <w:p w:rsidR="0023753C" w:rsidRDefault="0023753C" w:rsidP="00DC1333">
      <w:pPr>
        <w:pStyle w:val="ListParagraph"/>
        <w:keepNext/>
        <w:keepLines/>
        <w:tabs>
          <w:tab w:val="left" w:pos="1701"/>
        </w:tabs>
        <w:ind w:left="567"/>
        <w:jc w:val="both"/>
        <w:rPr>
          <w:rFonts w:cs="Arial"/>
          <w:i/>
          <w:lang w:val="es-ES"/>
        </w:rPr>
      </w:pPr>
      <w:r w:rsidRPr="007A23AF">
        <w:rPr>
          <w:rFonts w:cs="Arial"/>
          <w:i/>
          <w:lang w:val="es-ES"/>
        </w:rPr>
        <w:t>Costo unitario por documento inscrito en el Registro</w:t>
      </w:r>
    </w:p>
    <w:p w:rsidR="0023753C" w:rsidRDefault="0023753C" w:rsidP="00DC1333">
      <w:pPr>
        <w:keepNext/>
        <w:keepLines/>
        <w:jc w:val="both"/>
        <w:rPr>
          <w:sz w:val="20"/>
        </w:rPr>
      </w:pPr>
    </w:p>
    <w:p w:rsidR="0023753C" w:rsidRDefault="0023753C" w:rsidP="0023753C">
      <w:pPr>
        <w:pStyle w:val="ListParagraph"/>
        <w:keepNext/>
        <w:keepLines/>
        <w:numPr>
          <w:ilvl w:val="0"/>
          <w:numId w:val="35"/>
        </w:numPr>
        <w:tabs>
          <w:tab w:val="left" w:pos="567"/>
        </w:tabs>
        <w:ind w:left="0" w:firstLine="0"/>
        <w:contextualSpacing/>
        <w:jc w:val="both"/>
        <w:rPr>
          <w:rFonts w:cs="Arial"/>
          <w:lang w:val="es-ES"/>
        </w:rPr>
      </w:pPr>
      <w:r w:rsidRPr="007A23AF">
        <w:rPr>
          <w:rFonts w:cs="Arial"/>
          <w:lang w:val="es-ES"/>
        </w:rPr>
        <w:t xml:space="preserve">Los documentos inscritos en el Registro corresponden al volumen total de trabajo (véase </w:t>
      </w:r>
      <w:r>
        <w:rPr>
          <w:rFonts w:cs="Arial"/>
          <w:lang w:val="es-ES"/>
        </w:rPr>
        <w:t>“V</w:t>
      </w:r>
      <w:r w:rsidRPr="007A23AF">
        <w:rPr>
          <w:rFonts w:cs="Arial"/>
          <w:lang w:val="es-ES"/>
        </w:rPr>
        <w:t xml:space="preserve">olumen total de trabajo” </w:t>
      </w:r>
      <w:r>
        <w:rPr>
          <w:rFonts w:cs="Arial"/>
          <w:lang w:val="es-ES"/>
        </w:rPr>
        <w:t xml:space="preserve">más </w:t>
      </w:r>
      <w:r w:rsidRPr="007A23AF">
        <w:rPr>
          <w:rFonts w:cs="Arial"/>
          <w:lang w:val="es-ES"/>
        </w:rPr>
        <w:t>arriba).</w:t>
      </w:r>
    </w:p>
    <w:p w:rsidR="0023753C" w:rsidRPr="007A23AF" w:rsidRDefault="0023753C" w:rsidP="00DC1333">
      <w:pPr>
        <w:pStyle w:val="ListParagraph"/>
        <w:keepNext/>
        <w:keepLines/>
        <w:tabs>
          <w:tab w:val="left" w:pos="567"/>
        </w:tabs>
        <w:ind w:left="0"/>
        <w:jc w:val="both"/>
        <w:rPr>
          <w:rFonts w:cs="Arial"/>
          <w:lang w:val="es-ES"/>
        </w:rPr>
      </w:pPr>
      <w:r w:rsidRPr="007A23AF">
        <w:rPr>
          <w:rFonts w:cs="Arial"/>
          <w:lang w:val="es-ES"/>
        </w:rPr>
        <w:t xml:space="preserve"> </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4536"/>
      </w:tblGrid>
      <w:tr w:rsidR="0023753C" w:rsidRPr="00760842" w:rsidTr="00DC1333">
        <w:trPr>
          <w:cantSplit/>
          <w:trHeight w:val="273"/>
        </w:trPr>
        <w:tc>
          <w:tcPr>
            <w:tcW w:w="4786" w:type="dxa"/>
          </w:tcPr>
          <w:p w:rsidR="0023753C" w:rsidRPr="00760842" w:rsidRDefault="0023753C" w:rsidP="00DC1333">
            <w:pPr>
              <w:keepNext/>
              <w:keepLines/>
              <w:jc w:val="center"/>
            </w:pPr>
            <w:r>
              <w:t>Metodología antigua</w:t>
            </w:r>
          </w:p>
        </w:tc>
        <w:tc>
          <w:tcPr>
            <w:tcW w:w="4536" w:type="dxa"/>
          </w:tcPr>
          <w:p w:rsidR="0023753C" w:rsidRPr="00760842" w:rsidRDefault="0023753C" w:rsidP="00DC1333">
            <w:pPr>
              <w:keepNext/>
              <w:keepLines/>
              <w:jc w:val="center"/>
            </w:pPr>
            <w:r>
              <w:t>Metodología nueva</w:t>
            </w:r>
          </w:p>
        </w:tc>
      </w:tr>
      <w:tr w:rsidR="0023753C" w:rsidRPr="00760842" w:rsidTr="00DC1333">
        <w:trPr>
          <w:cantSplit/>
          <w:trHeight w:val="3013"/>
        </w:trPr>
        <w:tc>
          <w:tcPr>
            <w:tcW w:w="4786" w:type="dxa"/>
          </w:tcPr>
          <w:p w:rsidR="0023753C" w:rsidRPr="00760842" w:rsidRDefault="0023753C" w:rsidP="00DC1333">
            <w:pPr>
              <w:keepNext/>
              <w:keepLines/>
              <w:jc w:val="center"/>
            </w:pPr>
            <w:r>
              <w:rPr>
                <w:noProof/>
                <w:lang w:val="en-US" w:eastAsia="en-US"/>
              </w:rPr>
              <w:drawing>
                <wp:inline distT="0" distB="0" distL="0" distR="0" wp14:anchorId="1B59E9EB" wp14:editId="636FA6EC">
                  <wp:extent cx="2897186" cy="2066306"/>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897505" cy="2066534"/>
                          </a:xfrm>
                          <a:prstGeom prst="rect">
                            <a:avLst/>
                          </a:prstGeom>
                          <a:noFill/>
                          <a:ln>
                            <a:noFill/>
                          </a:ln>
                        </pic:spPr>
                      </pic:pic>
                    </a:graphicData>
                  </a:graphic>
                </wp:inline>
              </w:drawing>
            </w:r>
          </w:p>
        </w:tc>
        <w:tc>
          <w:tcPr>
            <w:tcW w:w="4536" w:type="dxa"/>
          </w:tcPr>
          <w:p w:rsidR="0023753C" w:rsidRPr="00760842" w:rsidRDefault="0023753C" w:rsidP="00DC1333">
            <w:pPr>
              <w:keepNext/>
              <w:keepLines/>
              <w:jc w:val="center"/>
            </w:pPr>
            <w:r>
              <w:rPr>
                <w:noProof/>
                <w:lang w:val="en-US" w:eastAsia="en-US"/>
              </w:rPr>
              <w:drawing>
                <wp:inline distT="0" distB="0" distL="0" distR="0" wp14:anchorId="4D63A1AC" wp14:editId="023E1995">
                  <wp:extent cx="2910177" cy="2210462"/>
                  <wp:effectExtent l="0" t="0" r="508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910977" cy="2211070"/>
                          </a:xfrm>
                          <a:prstGeom prst="rect">
                            <a:avLst/>
                          </a:prstGeom>
                          <a:noFill/>
                          <a:ln>
                            <a:noFill/>
                          </a:ln>
                        </pic:spPr>
                      </pic:pic>
                    </a:graphicData>
                  </a:graphic>
                </wp:inline>
              </w:drawing>
            </w:r>
          </w:p>
        </w:tc>
      </w:tr>
    </w:tbl>
    <w:p w:rsidR="0023753C" w:rsidRDefault="0023753C" w:rsidP="00DC1333">
      <w:pPr>
        <w:keepNext/>
        <w:keepLines/>
        <w:jc w:val="center"/>
      </w:pPr>
    </w:p>
    <w:p w:rsidR="0023753C" w:rsidRDefault="0023753C" w:rsidP="0023753C">
      <w:pPr>
        <w:pStyle w:val="ListParagraph"/>
        <w:keepNext/>
        <w:keepLines/>
        <w:numPr>
          <w:ilvl w:val="0"/>
          <w:numId w:val="33"/>
        </w:numPr>
        <w:contextualSpacing/>
        <w:jc w:val="both"/>
        <w:rPr>
          <w:rFonts w:cs="Arial"/>
          <w:lang w:val="es-ES"/>
        </w:rPr>
      </w:pPr>
      <w:r w:rsidRPr="004712BD">
        <w:rPr>
          <w:rFonts w:cs="Arial"/>
          <w:lang w:val="es-ES"/>
        </w:rPr>
        <w:t>El costo medio de la inscripci</w:t>
      </w:r>
      <w:r>
        <w:rPr>
          <w:rFonts w:cs="Arial"/>
          <w:lang w:val="es-ES"/>
        </w:rPr>
        <w:t>ón de un documento en e</w:t>
      </w:r>
      <w:r w:rsidRPr="004712BD">
        <w:rPr>
          <w:rFonts w:cs="Arial"/>
          <w:lang w:val="es-ES"/>
        </w:rPr>
        <w:t>l Registro aumentó l</w:t>
      </w:r>
      <w:r>
        <w:rPr>
          <w:rFonts w:cs="Arial"/>
          <w:lang w:val="es-ES"/>
        </w:rPr>
        <w:t xml:space="preserve">igeramente de </w:t>
      </w:r>
      <w:r w:rsidRPr="004712BD">
        <w:rPr>
          <w:rFonts w:cs="Arial"/>
          <w:lang w:val="es-ES"/>
        </w:rPr>
        <w:t xml:space="preserve">320 </w:t>
      </w:r>
      <w:r>
        <w:rPr>
          <w:rFonts w:cs="Arial"/>
          <w:lang w:val="es-ES"/>
        </w:rPr>
        <w:t xml:space="preserve">francos suizos en </w:t>
      </w:r>
      <w:r w:rsidRPr="004712BD">
        <w:rPr>
          <w:rFonts w:cs="Arial"/>
          <w:lang w:val="es-ES"/>
        </w:rPr>
        <w:t xml:space="preserve">2012 </w:t>
      </w:r>
      <w:r>
        <w:rPr>
          <w:rFonts w:cs="Arial"/>
          <w:lang w:val="es-ES"/>
        </w:rPr>
        <w:t>a</w:t>
      </w:r>
      <w:r w:rsidRPr="004712BD">
        <w:rPr>
          <w:rFonts w:cs="Arial"/>
          <w:lang w:val="es-ES"/>
        </w:rPr>
        <w:t xml:space="preserve"> 323 </w:t>
      </w:r>
      <w:r>
        <w:rPr>
          <w:rFonts w:cs="Arial"/>
          <w:lang w:val="es-ES"/>
        </w:rPr>
        <w:t xml:space="preserve">francos suizos en </w:t>
      </w:r>
      <w:r w:rsidRPr="004712BD">
        <w:rPr>
          <w:rFonts w:cs="Arial"/>
          <w:lang w:val="es-ES"/>
        </w:rPr>
        <w:t>2015.  El costo unitario por documento inscrito en el Registro en el bienio 2014/15 aument</w:t>
      </w:r>
      <w:r>
        <w:rPr>
          <w:rFonts w:cs="Arial"/>
          <w:lang w:val="es-ES"/>
        </w:rPr>
        <w:t xml:space="preserve">ó en un 1% con respecto al bienio </w:t>
      </w:r>
      <w:r w:rsidRPr="004712BD">
        <w:rPr>
          <w:rFonts w:cs="Arial"/>
          <w:lang w:val="es-ES"/>
        </w:rPr>
        <w:t>2012/13</w:t>
      </w:r>
      <w:r>
        <w:rPr>
          <w:rFonts w:cs="Arial"/>
          <w:lang w:val="es-ES"/>
        </w:rPr>
        <w:t>.</w:t>
      </w:r>
    </w:p>
    <w:p w:rsidR="0023753C" w:rsidRDefault="0023753C" w:rsidP="00DC1333">
      <w:pPr>
        <w:pStyle w:val="ListParagraph"/>
        <w:ind w:left="1417"/>
        <w:jc w:val="both"/>
        <w:rPr>
          <w:rFonts w:cs="Arial"/>
          <w:lang w:val="es-ES"/>
        </w:rPr>
      </w:pPr>
    </w:p>
    <w:p w:rsidR="0023753C" w:rsidRDefault="0023753C" w:rsidP="00DC1333">
      <w:pPr>
        <w:jc w:val="both"/>
        <w:rPr>
          <w:sz w:val="20"/>
        </w:rPr>
      </w:pPr>
    </w:p>
    <w:p w:rsidR="0023753C" w:rsidRDefault="0023753C" w:rsidP="0023753C">
      <w:pPr>
        <w:pStyle w:val="ListParagraph"/>
        <w:numPr>
          <w:ilvl w:val="0"/>
          <w:numId w:val="29"/>
        </w:numPr>
        <w:ind w:left="567" w:hanging="567"/>
        <w:contextualSpacing/>
        <w:jc w:val="both"/>
        <w:rPr>
          <w:rFonts w:cs="Arial"/>
          <w:b/>
          <w:lang w:val="es-ES"/>
        </w:rPr>
      </w:pPr>
      <w:r w:rsidRPr="00760842">
        <w:rPr>
          <w:rFonts w:cs="Arial"/>
          <w:b/>
          <w:lang w:val="es-ES"/>
        </w:rPr>
        <w:t>Productivi</w:t>
      </w:r>
      <w:r>
        <w:rPr>
          <w:rFonts w:cs="Arial"/>
          <w:b/>
          <w:lang w:val="es-ES"/>
        </w:rPr>
        <w:t xml:space="preserve">dad del </w:t>
      </w:r>
      <w:r w:rsidRPr="00760842">
        <w:rPr>
          <w:rFonts w:cs="Arial"/>
          <w:b/>
          <w:lang w:val="es-ES"/>
        </w:rPr>
        <w:t>exam</w:t>
      </w:r>
      <w:r>
        <w:rPr>
          <w:rFonts w:cs="Arial"/>
          <w:b/>
          <w:lang w:val="es-ES"/>
        </w:rPr>
        <w:t>e</w:t>
      </w:r>
      <w:r w:rsidRPr="00760842">
        <w:rPr>
          <w:rFonts w:cs="Arial"/>
          <w:b/>
          <w:lang w:val="es-ES"/>
        </w:rPr>
        <w:t>n</w:t>
      </w:r>
    </w:p>
    <w:p w:rsidR="0023753C" w:rsidRDefault="0023753C" w:rsidP="00DC1333">
      <w:pPr>
        <w:jc w:val="both"/>
        <w:rPr>
          <w:sz w:val="20"/>
        </w:rPr>
      </w:pPr>
    </w:p>
    <w:p w:rsidR="0023753C" w:rsidRDefault="0023753C" w:rsidP="0023753C">
      <w:pPr>
        <w:pStyle w:val="ListParagraph"/>
        <w:numPr>
          <w:ilvl w:val="0"/>
          <w:numId w:val="35"/>
        </w:numPr>
        <w:tabs>
          <w:tab w:val="left" w:pos="567"/>
        </w:tabs>
        <w:ind w:left="0" w:firstLine="0"/>
        <w:contextualSpacing/>
        <w:jc w:val="both"/>
        <w:rPr>
          <w:rFonts w:cs="Arial"/>
          <w:lang w:val="es-ES"/>
        </w:rPr>
      </w:pPr>
      <w:r w:rsidRPr="007A23AF">
        <w:rPr>
          <w:rFonts w:cs="Arial"/>
          <w:lang w:val="es-ES"/>
        </w:rPr>
        <w:t xml:space="preserve">La productividad del </w:t>
      </w:r>
      <w:r>
        <w:rPr>
          <w:rFonts w:cs="Arial"/>
          <w:lang w:val="es-ES"/>
        </w:rPr>
        <w:t xml:space="preserve">proceso de </w:t>
      </w:r>
      <w:r w:rsidRPr="007A23AF">
        <w:rPr>
          <w:rFonts w:cs="Arial"/>
          <w:lang w:val="es-ES"/>
        </w:rPr>
        <w:t xml:space="preserve">examen se puede definir como el número de registros internacionales nuevos o renovados </w:t>
      </w:r>
      <w:r>
        <w:rPr>
          <w:rFonts w:cs="Arial"/>
          <w:lang w:val="es-ES"/>
        </w:rPr>
        <w:t>t</w:t>
      </w:r>
      <w:r w:rsidRPr="007A23AF">
        <w:rPr>
          <w:rFonts w:cs="Arial"/>
          <w:lang w:val="es-ES"/>
        </w:rPr>
        <w:t>ramitados por los examinadores, dividido por el número de empleados que participaron en el examen.  En</w:t>
      </w:r>
      <w:r>
        <w:rPr>
          <w:rFonts w:cs="Arial"/>
          <w:lang w:val="es-ES"/>
        </w:rPr>
        <w:t xml:space="preserve">tre los </w:t>
      </w:r>
      <w:r w:rsidRPr="007A23AF">
        <w:rPr>
          <w:rFonts w:cs="Arial"/>
          <w:lang w:val="es-ES"/>
        </w:rPr>
        <w:t>empleados</w:t>
      </w:r>
      <w:r>
        <w:rPr>
          <w:rFonts w:cs="Arial"/>
          <w:lang w:val="es-ES"/>
        </w:rPr>
        <w:t xml:space="preserve">, se incluya a </w:t>
      </w:r>
      <w:r w:rsidRPr="007A23AF">
        <w:rPr>
          <w:rFonts w:cs="Arial"/>
          <w:lang w:val="es-ES"/>
        </w:rPr>
        <w:t xml:space="preserve">los becarios, los pasantes y el personal externo. </w:t>
      </w:r>
    </w:p>
    <w:p w:rsidR="0023753C" w:rsidRDefault="0023753C" w:rsidP="00DC1333">
      <w:pPr>
        <w:jc w:val="both"/>
        <w:rPr>
          <w:noProof/>
        </w:rPr>
      </w:pPr>
    </w:p>
    <w:p w:rsidR="0023753C" w:rsidRDefault="0023753C" w:rsidP="00DC1333">
      <w:pPr>
        <w:jc w:val="center"/>
      </w:pPr>
      <w:r w:rsidRPr="0071157B">
        <w:rPr>
          <w:noProof/>
          <w:lang w:val="en-US" w:eastAsia="en-US"/>
        </w:rPr>
        <w:drawing>
          <wp:inline distT="0" distB="0" distL="0" distR="0" wp14:anchorId="2368114B" wp14:editId="6A6C2B82">
            <wp:extent cx="5940425" cy="2869588"/>
            <wp:effectExtent l="0" t="0" r="3175" b="698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940425" cy="2869588"/>
                    </a:xfrm>
                    <a:prstGeom prst="rect">
                      <a:avLst/>
                    </a:prstGeom>
                    <a:noFill/>
                    <a:ln>
                      <a:noFill/>
                    </a:ln>
                  </pic:spPr>
                </pic:pic>
              </a:graphicData>
            </a:graphic>
          </wp:inline>
        </w:drawing>
      </w:r>
    </w:p>
    <w:p w:rsidR="0023753C" w:rsidRDefault="0023753C" w:rsidP="0023753C">
      <w:pPr>
        <w:pStyle w:val="ListParagraph"/>
        <w:numPr>
          <w:ilvl w:val="0"/>
          <w:numId w:val="33"/>
        </w:numPr>
        <w:ind w:left="1134" w:hanging="567"/>
        <w:contextualSpacing/>
        <w:jc w:val="both"/>
        <w:rPr>
          <w:rFonts w:cs="Arial"/>
          <w:lang w:val="es-ES"/>
        </w:rPr>
      </w:pPr>
      <w:r w:rsidRPr="004712BD">
        <w:rPr>
          <w:rFonts w:cs="Arial"/>
          <w:lang w:val="es-ES"/>
        </w:rPr>
        <w:t>La productividad del proceso de examen aumentó en un 17% en relaci</w:t>
      </w:r>
      <w:r>
        <w:rPr>
          <w:rFonts w:cs="Arial"/>
          <w:lang w:val="es-ES"/>
        </w:rPr>
        <w:t xml:space="preserve">ón con el nivel observado en </w:t>
      </w:r>
      <w:r w:rsidRPr="004712BD">
        <w:rPr>
          <w:rFonts w:cs="Arial"/>
          <w:lang w:val="es-ES"/>
        </w:rPr>
        <w:t xml:space="preserve">2014.  </w:t>
      </w:r>
      <w:r w:rsidRPr="004A25F6">
        <w:rPr>
          <w:rFonts w:cs="Arial"/>
          <w:lang w:val="es-ES"/>
        </w:rPr>
        <w:t xml:space="preserve">El nivel </w:t>
      </w:r>
      <w:r>
        <w:rPr>
          <w:rFonts w:cs="Arial"/>
          <w:lang w:val="es-ES"/>
        </w:rPr>
        <w:t xml:space="preserve">de </w:t>
      </w:r>
      <w:r w:rsidRPr="004A25F6">
        <w:rPr>
          <w:rFonts w:cs="Arial"/>
          <w:lang w:val="es-ES"/>
        </w:rPr>
        <w:t>1.039 de registros internacionales nuevos y renovados por empleado</w:t>
      </w:r>
      <w:r>
        <w:rPr>
          <w:rFonts w:cs="Arial"/>
          <w:lang w:val="es-ES"/>
        </w:rPr>
        <w:t>, alcanzado en 2015,</w:t>
      </w:r>
      <w:r w:rsidRPr="004A25F6">
        <w:rPr>
          <w:rFonts w:cs="Arial"/>
          <w:lang w:val="es-ES"/>
        </w:rPr>
        <w:t xml:space="preserve"> fue el m</w:t>
      </w:r>
      <w:r>
        <w:rPr>
          <w:rFonts w:cs="Arial"/>
          <w:lang w:val="es-ES"/>
        </w:rPr>
        <w:t xml:space="preserve">ás alto del periodo entre </w:t>
      </w:r>
      <w:r w:rsidRPr="004A25F6">
        <w:rPr>
          <w:rFonts w:cs="Arial"/>
          <w:lang w:val="es-ES"/>
        </w:rPr>
        <w:t xml:space="preserve">2008 </w:t>
      </w:r>
      <w:r>
        <w:rPr>
          <w:rFonts w:cs="Arial"/>
          <w:lang w:val="es-ES"/>
        </w:rPr>
        <w:t>y</w:t>
      </w:r>
      <w:r w:rsidRPr="004A25F6">
        <w:rPr>
          <w:rFonts w:cs="Arial"/>
          <w:lang w:val="es-ES"/>
        </w:rPr>
        <w:t xml:space="preserve"> 2015. </w:t>
      </w:r>
    </w:p>
    <w:p w:rsidR="0023753C" w:rsidRDefault="0023753C" w:rsidP="00DC1333">
      <w:pPr>
        <w:pStyle w:val="ListParagraph"/>
        <w:jc w:val="both"/>
        <w:rPr>
          <w:rFonts w:cs="Arial"/>
          <w:lang w:val="es-ES"/>
        </w:rPr>
      </w:pPr>
    </w:p>
    <w:p w:rsidR="0023753C" w:rsidRDefault="0023753C" w:rsidP="0023753C">
      <w:pPr>
        <w:pStyle w:val="ListParagraph"/>
        <w:keepNext/>
        <w:keepLines/>
        <w:numPr>
          <w:ilvl w:val="0"/>
          <w:numId w:val="29"/>
        </w:numPr>
        <w:ind w:left="567" w:hanging="567"/>
        <w:contextualSpacing/>
        <w:jc w:val="both"/>
        <w:rPr>
          <w:rFonts w:cs="Arial"/>
          <w:b/>
          <w:lang w:val="es-ES"/>
        </w:rPr>
      </w:pPr>
      <w:r w:rsidRPr="00760842">
        <w:rPr>
          <w:rFonts w:cs="Arial"/>
          <w:b/>
          <w:lang w:val="es-ES"/>
        </w:rPr>
        <w:lastRenderedPageBreak/>
        <w:t>Person</w:t>
      </w:r>
      <w:r>
        <w:rPr>
          <w:rFonts w:cs="Arial"/>
          <w:b/>
          <w:lang w:val="es-ES"/>
        </w:rPr>
        <w:t>a</w:t>
      </w:r>
      <w:r w:rsidRPr="00760842">
        <w:rPr>
          <w:rFonts w:cs="Arial"/>
          <w:b/>
          <w:lang w:val="es-ES"/>
        </w:rPr>
        <w:t>l</w:t>
      </w:r>
    </w:p>
    <w:p w:rsidR="0023753C" w:rsidRDefault="0023753C" w:rsidP="00DC1333">
      <w:pPr>
        <w:keepNext/>
        <w:keepLines/>
        <w:jc w:val="center"/>
        <w:rPr>
          <w:sz w:val="20"/>
        </w:rPr>
      </w:pPr>
      <w:r w:rsidRPr="0071157B">
        <w:rPr>
          <w:noProof/>
          <w:lang w:val="en-US" w:eastAsia="en-US"/>
        </w:rPr>
        <w:drawing>
          <wp:inline distT="0" distB="0" distL="0" distR="0" wp14:anchorId="52CE1316" wp14:editId="46BF0C4E">
            <wp:extent cx="5479845" cy="2628000"/>
            <wp:effectExtent l="0" t="0" r="6985" b="127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479845" cy="2628000"/>
                    </a:xfrm>
                    <a:prstGeom prst="rect">
                      <a:avLst/>
                    </a:prstGeom>
                    <a:noFill/>
                    <a:ln>
                      <a:noFill/>
                    </a:ln>
                  </pic:spPr>
                </pic:pic>
              </a:graphicData>
            </a:graphic>
          </wp:inline>
        </w:drawing>
      </w:r>
    </w:p>
    <w:p w:rsidR="0023753C" w:rsidRDefault="0023753C" w:rsidP="00DC1333">
      <w:pPr>
        <w:keepNext/>
        <w:keepLines/>
        <w:rPr>
          <w:sz w:val="16"/>
        </w:rPr>
      </w:pPr>
      <w:r w:rsidRPr="004A25F6">
        <w:rPr>
          <w:sz w:val="16"/>
        </w:rPr>
        <w:t>Nota:  La posibilidad de diferenciar a los empleados del Registro de Lisboa fue factible únicamente al inicio del bienio 2014/15</w:t>
      </w:r>
      <w:r>
        <w:rPr>
          <w:sz w:val="16"/>
        </w:rPr>
        <w:t xml:space="preserve">.  </w:t>
      </w:r>
      <w:r w:rsidRPr="004A25F6">
        <w:rPr>
          <w:sz w:val="16"/>
        </w:rPr>
        <w:t xml:space="preserve">Para los años </w:t>
      </w:r>
      <w:r>
        <w:rPr>
          <w:sz w:val="16"/>
        </w:rPr>
        <w:t xml:space="preserve">previos </w:t>
      </w:r>
      <w:r w:rsidRPr="004A25F6">
        <w:rPr>
          <w:sz w:val="16"/>
        </w:rPr>
        <w:t xml:space="preserve">a 2014, los empleados del Sistema de Lisboa se incluyen en </w:t>
      </w:r>
      <w:r>
        <w:rPr>
          <w:sz w:val="16"/>
        </w:rPr>
        <w:t>el número total de empleados del Sistema de Madrid</w:t>
      </w:r>
      <w:r w:rsidRPr="004A25F6">
        <w:rPr>
          <w:sz w:val="16"/>
        </w:rPr>
        <w:t>.</w:t>
      </w:r>
    </w:p>
    <w:p w:rsidR="0023753C" w:rsidRDefault="0023753C" w:rsidP="00DC1333">
      <w:pPr>
        <w:keepNext/>
        <w:keepLines/>
        <w:jc w:val="both"/>
      </w:pPr>
    </w:p>
    <w:p w:rsidR="0023753C" w:rsidRDefault="0023753C" w:rsidP="0023753C">
      <w:pPr>
        <w:pStyle w:val="ListParagraph"/>
        <w:numPr>
          <w:ilvl w:val="0"/>
          <w:numId w:val="33"/>
        </w:numPr>
        <w:spacing w:after="120"/>
        <w:ind w:left="993" w:hanging="426"/>
        <w:jc w:val="both"/>
        <w:rPr>
          <w:rFonts w:cs="Arial"/>
          <w:lang w:val="es-ES"/>
        </w:rPr>
      </w:pPr>
      <w:r w:rsidRPr="004A25F6">
        <w:rPr>
          <w:rFonts w:cs="Arial"/>
          <w:lang w:val="es-ES"/>
        </w:rPr>
        <w:t>En 2015, el número de empleados apenas varió con respecto a 2014, mientras que el n</w:t>
      </w:r>
      <w:r>
        <w:rPr>
          <w:rFonts w:cs="Arial"/>
          <w:lang w:val="es-ES"/>
        </w:rPr>
        <w:t xml:space="preserve">úmero de recursos flexibles se multiplicó por dos, pasando de ocho en </w:t>
      </w:r>
      <w:r w:rsidRPr="004A25F6">
        <w:rPr>
          <w:rFonts w:cs="Arial"/>
          <w:lang w:val="es-ES"/>
        </w:rPr>
        <w:t xml:space="preserve">2014 </w:t>
      </w:r>
      <w:r>
        <w:rPr>
          <w:rFonts w:cs="Arial"/>
          <w:lang w:val="es-ES"/>
        </w:rPr>
        <w:t>a</w:t>
      </w:r>
      <w:r w:rsidRPr="004A25F6">
        <w:rPr>
          <w:rFonts w:cs="Arial"/>
          <w:lang w:val="es-ES"/>
        </w:rPr>
        <w:t xml:space="preserve"> 16 </w:t>
      </w:r>
      <w:r>
        <w:rPr>
          <w:rFonts w:cs="Arial"/>
          <w:lang w:val="es-ES"/>
        </w:rPr>
        <w:t>e</w:t>
      </w:r>
      <w:r w:rsidRPr="004A25F6">
        <w:rPr>
          <w:rFonts w:cs="Arial"/>
          <w:lang w:val="es-ES"/>
        </w:rPr>
        <w:t>n 2015.</w:t>
      </w:r>
    </w:p>
    <w:p w:rsidR="0023753C" w:rsidRDefault="0023753C" w:rsidP="0023753C">
      <w:pPr>
        <w:pStyle w:val="ListParagraph"/>
        <w:numPr>
          <w:ilvl w:val="0"/>
          <w:numId w:val="33"/>
        </w:numPr>
        <w:spacing w:after="120"/>
        <w:ind w:left="993" w:hanging="426"/>
        <w:jc w:val="both"/>
        <w:rPr>
          <w:rFonts w:cs="Arial"/>
          <w:lang w:val="es-ES"/>
        </w:rPr>
      </w:pPr>
      <w:r w:rsidRPr="00A273AA">
        <w:rPr>
          <w:rFonts w:cs="Arial"/>
          <w:lang w:val="es-ES"/>
        </w:rPr>
        <w:t xml:space="preserve">Los trabajadores contratados a través de agencias que no trabajan en </w:t>
      </w:r>
      <w:r>
        <w:rPr>
          <w:rFonts w:cs="Arial"/>
          <w:lang w:val="es-ES"/>
        </w:rPr>
        <w:t>los locales de la OMPI no se incluyen en este indicador</w:t>
      </w:r>
      <w:r w:rsidRPr="00A273AA">
        <w:rPr>
          <w:rFonts w:cs="Arial"/>
          <w:lang w:val="es-ES"/>
        </w:rPr>
        <w:t>.</w:t>
      </w:r>
    </w:p>
    <w:p w:rsidR="0023753C" w:rsidRDefault="0023753C" w:rsidP="00DC1333">
      <w:pPr>
        <w:pStyle w:val="ListParagraph"/>
        <w:ind w:left="992"/>
        <w:jc w:val="both"/>
        <w:rPr>
          <w:rFonts w:cs="Arial"/>
          <w:sz w:val="16"/>
          <w:lang w:val="es-ES"/>
        </w:rPr>
      </w:pPr>
    </w:p>
    <w:p w:rsidR="0023753C" w:rsidRDefault="0023753C" w:rsidP="0023753C">
      <w:pPr>
        <w:pStyle w:val="ListParagraph"/>
        <w:numPr>
          <w:ilvl w:val="0"/>
          <w:numId w:val="29"/>
        </w:numPr>
        <w:ind w:left="567" w:hanging="567"/>
        <w:contextualSpacing/>
        <w:jc w:val="both"/>
        <w:rPr>
          <w:rFonts w:cs="Arial"/>
          <w:b/>
          <w:lang w:val="es-ES"/>
        </w:rPr>
      </w:pPr>
      <w:r>
        <w:rPr>
          <w:rFonts w:cs="Arial"/>
          <w:b/>
          <w:lang w:val="es-ES"/>
        </w:rPr>
        <w:t>Tiempo de tramitación</w:t>
      </w:r>
    </w:p>
    <w:p w:rsidR="0023753C" w:rsidRDefault="0023753C" w:rsidP="00DC1333">
      <w:pPr>
        <w:pStyle w:val="ListParagraph"/>
        <w:ind w:left="567" w:hanging="567"/>
        <w:jc w:val="both"/>
        <w:rPr>
          <w:rFonts w:cs="Arial"/>
          <w:lang w:val="es-ES"/>
        </w:rPr>
      </w:pPr>
    </w:p>
    <w:p w:rsidR="0023753C" w:rsidRPr="007A23AF" w:rsidRDefault="0023753C" w:rsidP="0023753C">
      <w:pPr>
        <w:pStyle w:val="ListParagraph"/>
        <w:numPr>
          <w:ilvl w:val="0"/>
          <w:numId w:val="35"/>
        </w:numPr>
        <w:tabs>
          <w:tab w:val="left" w:pos="567"/>
        </w:tabs>
        <w:ind w:left="0" w:firstLine="0"/>
        <w:contextualSpacing/>
        <w:jc w:val="both"/>
        <w:rPr>
          <w:rFonts w:cs="Arial"/>
          <w:lang w:val="es-ES"/>
        </w:rPr>
      </w:pPr>
      <w:r w:rsidRPr="007A23AF">
        <w:rPr>
          <w:rFonts w:cs="Arial"/>
          <w:lang w:val="es-ES"/>
        </w:rPr>
        <w:t xml:space="preserve">A continuación se muestra el tiempo medio de tramitación </w:t>
      </w:r>
      <w:r>
        <w:rPr>
          <w:rFonts w:cs="Arial"/>
          <w:lang w:val="es-ES"/>
        </w:rPr>
        <w:t xml:space="preserve">de </w:t>
      </w:r>
      <w:r w:rsidRPr="007A23AF">
        <w:rPr>
          <w:rFonts w:cs="Arial"/>
          <w:lang w:val="es-ES"/>
        </w:rPr>
        <w:t xml:space="preserve">las seis transacciones </w:t>
      </w:r>
      <w:r>
        <w:rPr>
          <w:rFonts w:cs="Arial"/>
          <w:lang w:val="es-ES"/>
        </w:rPr>
        <w:t xml:space="preserve">que </w:t>
      </w:r>
      <w:r w:rsidRPr="007A23AF">
        <w:rPr>
          <w:rFonts w:cs="Arial"/>
          <w:lang w:val="es-ES"/>
        </w:rPr>
        <w:t>realiza la Oficina Internacional.  E</w:t>
      </w:r>
      <w:r>
        <w:rPr>
          <w:rFonts w:cs="Arial"/>
          <w:lang w:val="es-ES"/>
        </w:rPr>
        <w:t xml:space="preserve">l tiempo de tramitación </w:t>
      </w:r>
      <w:r w:rsidRPr="007A23AF">
        <w:rPr>
          <w:rFonts w:cs="Arial"/>
          <w:lang w:val="es-ES"/>
        </w:rPr>
        <w:t xml:space="preserve">se calcula desde la fecha en que se recibe el documento hasta la fecha en que se inscribe.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756"/>
      </w:tblGrid>
      <w:tr w:rsidR="0023753C" w:rsidRPr="00760842" w:rsidTr="00DC1333">
        <w:trPr>
          <w:trHeight w:val="3298"/>
          <w:jc w:val="center"/>
        </w:trPr>
        <w:tc>
          <w:tcPr>
            <w:tcW w:w="4560" w:type="dxa"/>
          </w:tcPr>
          <w:p w:rsidR="0023753C" w:rsidRDefault="0023753C" w:rsidP="00DC1333">
            <w:pPr>
              <w:jc w:val="both"/>
            </w:pPr>
          </w:p>
          <w:p w:rsidR="0023753C" w:rsidRPr="00760842" w:rsidRDefault="0023753C" w:rsidP="00DC1333">
            <w:pPr>
              <w:jc w:val="both"/>
            </w:pPr>
            <w:r>
              <w:rPr>
                <w:noProof/>
                <w:lang w:val="en-US" w:eastAsia="en-US"/>
              </w:rPr>
              <w:drawing>
                <wp:inline distT="0" distB="0" distL="0" distR="0" wp14:anchorId="2A47F9F5" wp14:editId="264CFBE1">
                  <wp:extent cx="3116912" cy="2449002"/>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3118592" cy="2450322"/>
                          </a:xfrm>
                          <a:prstGeom prst="rect">
                            <a:avLst/>
                          </a:prstGeom>
                          <a:noFill/>
                          <a:ln>
                            <a:noFill/>
                          </a:ln>
                        </pic:spPr>
                      </pic:pic>
                    </a:graphicData>
                  </a:graphic>
                </wp:inline>
              </w:drawing>
            </w:r>
          </w:p>
        </w:tc>
        <w:tc>
          <w:tcPr>
            <w:tcW w:w="4591" w:type="dxa"/>
          </w:tcPr>
          <w:p w:rsidR="0023753C" w:rsidRDefault="0023753C" w:rsidP="00DC1333">
            <w:pPr>
              <w:jc w:val="both"/>
            </w:pPr>
          </w:p>
          <w:p w:rsidR="0023753C" w:rsidRPr="00760842" w:rsidRDefault="0023753C" w:rsidP="00DC1333">
            <w:pPr>
              <w:jc w:val="both"/>
            </w:pPr>
            <w:r>
              <w:rPr>
                <w:noProof/>
                <w:lang w:val="en-US" w:eastAsia="en-US"/>
              </w:rPr>
              <w:drawing>
                <wp:inline distT="0" distB="0" distL="0" distR="0" wp14:anchorId="7267B257" wp14:editId="0F319803">
                  <wp:extent cx="3077155" cy="2393343"/>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3076650" cy="2392950"/>
                          </a:xfrm>
                          <a:prstGeom prst="rect">
                            <a:avLst/>
                          </a:prstGeom>
                          <a:noFill/>
                          <a:ln>
                            <a:noFill/>
                          </a:ln>
                        </pic:spPr>
                      </pic:pic>
                    </a:graphicData>
                  </a:graphic>
                </wp:inline>
              </w:drawing>
            </w:r>
          </w:p>
        </w:tc>
      </w:tr>
      <w:tr w:rsidR="0023753C" w:rsidRPr="00760842" w:rsidTr="00DC1333">
        <w:trPr>
          <w:trHeight w:val="3418"/>
          <w:jc w:val="center"/>
        </w:trPr>
        <w:tc>
          <w:tcPr>
            <w:tcW w:w="4560" w:type="dxa"/>
          </w:tcPr>
          <w:p w:rsidR="0023753C" w:rsidRPr="00760842" w:rsidRDefault="0023753C" w:rsidP="00DC1333">
            <w:pPr>
              <w:jc w:val="both"/>
            </w:pPr>
            <w:r>
              <w:rPr>
                <w:noProof/>
                <w:lang w:val="en-US" w:eastAsia="en-US"/>
              </w:rPr>
              <w:lastRenderedPageBreak/>
              <w:drawing>
                <wp:inline distT="0" distB="0" distL="0" distR="0" wp14:anchorId="7CA16DD9" wp14:editId="580017F7">
                  <wp:extent cx="2926080" cy="2337684"/>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930400" cy="2341135"/>
                          </a:xfrm>
                          <a:prstGeom prst="rect">
                            <a:avLst/>
                          </a:prstGeom>
                          <a:noFill/>
                          <a:ln>
                            <a:noFill/>
                          </a:ln>
                        </pic:spPr>
                      </pic:pic>
                    </a:graphicData>
                  </a:graphic>
                </wp:inline>
              </w:drawing>
            </w:r>
          </w:p>
        </w:tc>
        <w:tc>
          <w:tcPr>
            <w:tcW w:w="4591" w:type="dxa"/>
          </w:tcPr>
          <w:p w:rsidR="0023753C" w:rsidRPr="00760842" w:rsidRDefault="0023753C" w:rsidP="00DC1333">
            <w:pPr>
              <w:jc w:val="both"/>
              <w:rPr>
                <w:color w:val="FF0000"/>
              </w:rPr>
            </w:pPr>
            <w:r>
              <w:rPr>
                <w:noProof/>
                <w:color w:val="FF0000"/>
                <w:lang w:val="en-US" w:eastAsia="en-US"/>
              </w:rPr>
              <w:drawing>
                <wp:inline distT="0" distB="0" distL="0" distR="0" wp14:anchorId="16A43B6B" wp14:editId="358845CC">
                  <wp:extent cx="3045349" cy="2409245"/>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3049845" cy="2412802"/>
                          </a:xfrm>
                          <a:prstGeom prst="rect">
                            <a:avLst/>
                          </a:prstGeom>
                          <a:noFill/>
                          <a:ln>
                            <a:noFill/>
                          </a:ln>
                        </pic:spPr>
                      </pic:pic>
                    </a:graphicData>
                  </a:graphic>
                </wp:inline>
              </w:drawing>
            </w:r>
          </w:p>
        </w:tc>
      </w:tr>
      <w:tr w:rsidR="0023753C" w:rsidRPr="00760842" w:rsidTr="00DC1333">
        <w:trPr>
          <w:trHeight w:val="3194"/>
          <w:jc w:val="center"/>
        </w:trPr>
        <w:tc>
          <w:tcPr>
            <w:tcW w:w="4560" w:type="dxa"/>
          </w:tcPr>
          <w:p w:rsidR="0023753C" w:rsidRPr="00760842" w:rsidRDefault="0023753C" w:rsidP="00DC1333">
            <w:pPr>
              <w:jc w:val="both"/>
            </w:pPr>
            <w:r>
              <w:rPr>
                <w:noProof/>
                <w:lang w:val="en-US" w:eastAsia="en-US"/>
              </w:rPr>
              <w:drawing>
                <wp:inline distT="0" distB="0" distL="0" distR="0" wp14:anchorId="47EA795A" wp14:editId="093E4E29">
                  <wp:extent cx="3061253" cy="2401294"/>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3065773" cy="2404839"/>
                          </a:xfrm>
                          <a:prstGeom prst="rect">
                            <a:avLst/>
                          </a:prstGeom>
                          <a:noFill/>
                          <a:ln>
                            <a:noFill/>
                          </a:ln>
                        </pic:spPr>
                      </pic:pic>
                    </a:graphicData>
                  </a:graphic>
                </wp:inline>
              </w:drawing>
            </w:r>
          </w:p>
        </w:tc>
        <w:tc>
          <w:tcPr>
            <w:tcW w:w="4591" w:type="dxa"/>
          </w:tcPr>
          <w:p w:rsidR="0023753C" w:rsidRPr="00760842" w:rsidRDefault="0023753C" w:rsidP="00DC1333">
            <w:pPr>
              <w:jc w:val="both"/>
            </w:pPr>
            <w:r>
              <w:rPr>
                <w:noProof/>
                <w:lang w:val="en-US" w:eastAsia="en-US"/>
              </w:rPr>
              <w:drawing>
                <wp:inline distT="0" distB="0" distL="0" distR="0" wp14:anchorId="364933EA" wp14:editId="31597A9D">
                  <wp:extent cx="2934031" cy="231383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2938363" cy="2317246"/>
                          </a:xfrm>
                          <a:prstGeom prst="rect">
                            <a:avLst/>
                          </a:prstGeom>
                          <a:noFill/>
                          <a:ln>
                            <a:noFill/>
                          </a:ln>
                        </pic:spPr>
                      </pic:pic>
                    </a:graphicData>
                  </a:graphic>
                </wp:inline>
              </w:drawing>
            </w:r>
          </w:p>
        </w:tc>
      </w:tr>
    </w:tbl>
    <w:p w:rsidR="0023753C" w:rsidRDefault="0023753C" w:rsidP="00DC1333">
      <w:pPr>
        <w:jc w:val="both"/>
      </w:pPr>
    </w:p>
    <w:p w:rsidR="0023753C" w:rsidRDefault="0023753C" w:rsidP="0023753C">
      <w:pPr>
        <w:pStyle w:val="ListParagraph"/>
        <w:numPr>
          <w:ilvl w:val="0"/>
          <w:numId w:val="34"/>
        </w:numPr>
        <w:spacing w:after="240"/>
        <w:ind w:left="992" w:hanging="425"/>
        <w:jc w:val="both"/>
        <w:rPr>
          <w:rFonts w:cs="Arial"/>
          <w:lang w:val="es-ES"/>
        </w:rPr>
      </w:pPr>
      <w:r w:rsidRPr="00A273AA">
        <w:rPr>
          <w:rFonts w:cs="Arial"/>
          <w:lang w:val="es-ES"/>
        </w:rPr>
        <w:t>El tiempo medio de tramitación en 2015 disminuyó frente al de 2014 en el caso de las seis transacciones a cargo de la Oficina Internacional.  Las disminuciones más importantes en el tiempo medio de tramitación se</w:t>
      </w:r>
      <w:r>
        <w:rPr>
          <w:rFonts w:cs="Arial"/>
          <w:lang w:val="es-ES"/>
        </w:rPr>
        <w:t xml:space="preserve"> observaron respecto de las correcciones, los cambios y las designaciones posteriores</w:t>
      </w:r>
      <w:r w:rsidRPr="00A273AA">
        <w:rPr>
          <w:rFonts w:cs="Arial"/>
          <w:lang w:val="es-ES"/>
        </w:rPr>
        <w:t>.</w:t>
      </w:r>
    </w:p>
    <w:p w:rsidR="0023753C" w:rsidRDefault="0023753C" w:rsidP="0023753C">
      <w:pPr>
        <w:pStyle w:val="ListParagraph"/>
        <w:numPr>
          <w:ilvl w:val="0"/>
          <w:numId w:val="29"/>
        </w:numPr>
        <w:ind w:left="567" w:hanging="567"/>
        <w:contextualSpacing/>
        <w:jc w:val="both"/>
        <w:rPr>
          <w:rFonts w:cs="Arial"/>
          <w:b/>
          <w:lang w:val="es-ES"/>
        </w:rPr>
      </w:pPr>
      <w:r>
        <w:rPr>
          <w:rFonts w:cs="Arial"/>
          <w:b/>
          <w:lang w:val="es-ES"/>
        </w:rPr>
        <w:t>Calidad del examen</w:t>
      </w:r>
    </w:p>
    <w:p w:rsidR="0023753C" w:rsidRDefault="0023753C" w:rsidP="00DC1333">
      <w:pPr>
        <w:jc w:val="both"/>
        <w:rPr>
          <w:sz w:val="20"/>
        </w:rPr>
      </w:pPr>
    </w:p>
    <w:p w:rsidR="0023753C" w:rsidRPr="00F30FE1" w:rsidRDefault="0023753C" w:rsidP="0023753C">
      <w:pPr>
        <w:pStyle w:val="ListParagraph"/>
        <w:numPr>
          <w:ilvl w:val="0"/>
          <w:numId w:val="35"/>
        </w:numPr>
        <w:tabs>
          <w:tab w:val="left" w:pos="567"/>
        </w:tabs>
        <w:ind w:left="0" w:firstLine="0"/>
        <w:contextualSpacing/>
        <w:jc w:val="both"/>
        <w:rPr>
          <w:rFonts w:cs="Arial"/>
          <w:lang w:val="es-ES"/>
        </w:rPr>
      </w:pPr>
      <w:r w:rsidRPr="00F30FE1">
        <w:rPr>
          <w:rFonts w:cs="Arial"/>
          <w:lang w:val="es-ES"/>
        </w:rPr>
        <w:t xml:space="preserve">Los indicadores principales sobre la calidad global del examen de </w:t>
      </w:r>
      <w:r>
        <w:rPr>
          <w:rFonts w:cs="Arial"/>
          <w:lang w:val="es-ES"/>
        </w:rPr>
        <w:t xml:space="preserve">solicitudes de </w:t>
      </w:r>
      <w:r w:rsidRPr="00F30FE1">
        <w:rPr>
          <w:rFonts w:cs="Arial"/>
          <w:lang w:val="es-ES"/>
        </w:rPr>
        <w:t>marca</w:t>
      </w:r>
      <w:r>
        <w:rPr>
          <w:rFonts w:cs="Arial"/>
          <w:lang w:val="es-ES"/>
        </w:rPr>
        <w:t>,</w:t>
      </w:r>
      <w:r w:rsidRPr="00F30FE1">
        <w:rPr>
          <w:rFonts w:cs="Arial"/>
          <w:lang w:val="es-ES"/>
        </w:rPr>
        <w:t xml:space="preserve"> elaborados por la Oficina Internacional </w:t>
      </w:r>
      <w:r>
        <w:rPr>
          <w:rFonts w:cs="Arial"/>
          <w:lang w:val="es-ES"/>
        </w:rPr>
        <w:t xml:space="preserve">y </w:t>
      </w:r>
      <w:r w:rsidRPr="00F30FE1">
        <w:rPr>
          <w:rFonts w:cs="Arial"/>
          <w:lang w:val="es-ES"/>
        </w:rPr>
        <w:t>que se presentan a continuación, son el resultado del control de calidad realizado tras la aplicaci</w:t>
      </w:r>
      <w:r>
        <w:rPr>
          <w:rFonts w:cs="Arial"/>
          <w:lang w:val="es-ES"/>
        </w:rPr>
        <w:t xml:space="preserve">ón del Marco de Gestión de la Calidad del Registro de Madrid en 2015, de conformidad con la orientación de la certificación </w:t>
      </w:r>
      <w:r w:rsidRPr="00F30FE1">
        <w:rPr>
          <w:rFonts w:cs="Arial"/>
          <w:lang w:val="es-ES"/>
        </w:rPr>
        <w:t>ISO 9001:2008</w:t>
      </w:r>
      <w:r w:rsidRPr="00760842">
        <w:rPr>
          <w:rStyle w:val="FootnoteReference"/>
          <w:rFonts w:cs="Arial"/>
          <w:lang w:val="es-ES"/>
        </w:rPr>
        <w:footnoteReference w:id="36"/>
      </w:r>
      <w:r>
        <w:rPr>
          <w:rFonts w:cs="Arial"/>
          <w:lang w:val="es-ES"/>
        </w:rPr>
        <w:t>.</w:t>
      </w:r>
    </w:p>
    <w:p w:rsidR="0023753C" w:rsidRPr="00F30FE1" w:rsidRDefault="0023753C" w:rsidP="00DC1333">
      <w:pPr>
        <w:pStyle w:val="ListParagraph"/>
        <w:tabs>
          <w:tab w:val="left" w:pos="567"/>
        </w:tabs>
        <w:ind w:left="0"/>
        <w:jc w:val="both"/>
        <w:rPr>
          <w:rFonts w:cs="Arial"/>
          <w:lang w:val="es-ES"/>
        </w:rPr>
      </w:pPr>
    </w:p>
    <w:p w:rsidR="0023753C" w:rsidRPr="009D4E80" w:rsidRDefault="0023753C" w:rsidP="0023753C">
      <w:pPr>
        <w:pStyle w:val="ListParagraph"/>
        <w:numPr>
          <w:ilvl w:val="0"/>
          <w:numId w:val="35"/>
        </w:numPr>
        <w:tabs>
          <w:tab w:val="left" w:pos="567"/>
        </w:tabs>
        <w:ind w:left="0" w:firstLine="0"/>
        <w:contextualSpacing/>
        <w:jc w:val="both"/>
        <w:rPr>
          <w:rFonts w:cs="Arial"/>
          <w:lang w:val="es-ES"/>
        </w:rPr>
      </w:pPr>
      <w:r w:rsidRPr="009D4E80">
        <w:rPr>
          <w:rFonts w:cs="Arial"/>
          <w:lang w:val="es-ES"/>
        </w:rPr>
        <w:t xml:space="preserve">Existen dos fuentes de información sobre la calidad de la labor </w:t>
      </w:r>
      <w:r>
        <w:rPr>
          <w:rFonts w:cs="Arial"/>
          <w:lang w:val="es-ES"/>
        </w:rPr>
        <w:t>de examen</w:t>
      </w:r>
      <w:r w:rsidRPr="009D4E80">
        <w:rPr>
          <w:rFonts w:cs="Arial"/>
          <w:lang w:val="es-ES"/>
        </w:rPr>
        <w:t xml:space="preserve"> realizada por la Oficina Internaciona</w:t>
      </w:r>
      <w:r>
        <w:rPr>
          <w:rFonts w:cs="Arial"/>
          <w:lang w:val="es-ES"/>
        </w:rPr>
        <w:t>l</w:t>
      </w:r>
      <w:r w:rsidRPr="009D4E80">
        <w:rPr>
          <w:rFonts w:cs="Arial"/>
          <w:lang w:val="es-ES"/>
        </w:rPr>
        <w:t>:</w:t>
      </w:r>
    </w:p>
    <w:p w:rsidR="0023753C" w:rsidRPr="009D4E80" w:rsidRDefault="0023753C" w:rsidP="00DC1333">
      <w:pPr>
        <w:pStyle w:val="ListParagraph"/>
        <w:rPr>
          <w:rFonts w:cs="Arial"/>
          <w:lang w:val="es-ES"/>
        </w:rPr>
      </w:pPr>
    </w:p>
    <w:p w:rsidR="0023753C" w:rsidRDefault="0023753C" w:rsidP="0023753C">
      <w:pPr>
        <w:pStyle w:val="ListParagraph"/>
        <w:numPr>
          <w:ilvl w:val="1"/>
          <w:numId w:val="35"/>
        </w:numPr>
        <w:tabs>
          <w:tab w:val="left" w:pos="567"/>
          <w:tab w:val="left" w:pos="1134"/>
        </w:tabs>
        <w:ind w:left="567" w:firstLine="0"/>
        <w:contextualSpacing/>
        <w:jc w:val="both"/>
        <w:rPr>
          <w:rFonts w:cs="Arial"/>
          <w:lang w:val="es-ES"/>
        </w:rPr>
      </w:pPr>
      <w:r w:rsidRPr="009D4E80">
        <w:rPr>
          <w:rFonts w:cs="Arial"/>
          <w:lang w:val="es-ES"/>
        </w:rPr>
        <w:t>Los resultados de la revisi</w:t>
      </w:r>
      <w:r>
        <w:rPr>
          <w:rFonts w:cs="Arial"/>
          <w:lang w:val="es-ES"/>
        </w:rPr>
        <w:t>ó</w:t>
      </w:r>
      <w:r w:rsidRPr="009D4E80">
        <w:rPr>
          <w:rFonts w:cs="Arial"/>
          <w:lang w:val="es-ES"/>
        </w:rPr>
        <w:t>n interna de</w:t>
      </w:r>
      <w:r>
        <w:rPr>
          <w:rFonts w:cs="Arial"/>
          <w:lang w:val="es-ES"/>
        </w:rPr>
        <w:t xml:space="preserve"> </w:t>
      </w:r>
      <w:r w:rsidRPr="009D4E80">
        <w:rPr>
          <w:rFonts w:cs="Arial"/>
          <w:lang w:val="es-ES"/>
        </w:rPr>
        <w:t>l</w:t>
      </w:r>
      <w:r>
        <w:rPr>
          <w:rFonts w:cs="Arial"/>
          <w:lang w:val="es-ES"/>
        </w:rPr>
        <w:t>as muestras de las transacciones que conforman el examen;  y</w:t>
      </w:r>
    </w:p>
    <w:p w:rsidR="0023753C" w:rsidRPr="009D4E80" w:rsidRDefault="0023753C" w:rsidP="0023753C">
      <w:pPr>
        <w:pStyle w:val="ListParagraph"/>
        <w:numPr>
          <w:ilvl w:val="1"/>
          <w:numId w:val="35"/>
        </w:numPr>
        <w:tabs>
          <w:tab w:val="left" w:pos="567"/>
          <w:tab w:val="left" w:pos="1134"/>
        </w:tabs>
        <w:ind w:left="567" w:firstLine="0"/>
        <w:contextualSpacing/>
        <w:jc w:val="both"/>
        <w:rPr>
          <w:rFonts w:cs="Arial"/>
          <w:lang w:val="es-ES"/>
        </w:rPr>
      </w:pPr>
      <w:r w:rsidRPr="009D4E80">
        <w:rPr>
          <w:rFonts w:cs="Arial"/>
          <w:lang w:val="es-ES"/>
        </w:rPr>
        <w:t xml:space="preserve">Los errores cometidos por la Oficina Internacional, y confirmados como tales, tras la recepción de </w:t>
      </w:r>
      <w:r>
        <w:rPr>
          <w:rFonts w:cs="Arial"/>
          <w:lang w:val="es-ES"/>
        </w:rPr>
        <w:t>peticiones</w:t>
      </w:r>
      <w:r w:rsidRPr="009D4E80">
        <w:rPr>
          <w:rFonts w:cs="Arial"/>
          <w:lang w:val="es-ES"/>
        </w:rPr>
        <w:t xml:space="preserve"> de corrección de conformidad con la Regla 28 del Reglamento Común.</w:t>
      </w:r>
    </w:p>
    <w:p w:rsidR="0023753C" w:rsidRPr="009D4E80" w:rsidRDefault="0023753C" w:rsidP="00DC1333">
      <w:pPr>
        <w:pStyle w:val="ListParagraph"/>
        <w:tabs>
          <w:tab w:val="left" w:pos="1134"/>
        </w:tabs>
        <w:ind w:left="567"/>
        <w:rPr>
          <w:rFonts w:cs="Arial"/>
          <w:lang w:val="es-ES"/>
        </w:rPr>
      </w:pPr>
    </w:p>
    <w:p w:rsidR="0023753C" w:rsidRDefault="0023753C" w:rsidP="00DC1333">
      <w:pPr>
        <w:pStyle w:val="ListParagraph"/>
        <w:keepNext/>
        <w:tabs>
          <w:tab w:val="left" w:pos="567"/>
        </w:tabs>
        <w:ind w:left="567"/>
        <w:jc w:val="both"/>
        <w:rPr>
          <w:rFonts w:cs="Arial"/>
          <w:i/>
          <w:lang w:val="es-ES"/>
        </w:rPr>
      </w:pPr>
      <w:r w:rsidRPr="00807F91">
        <w:rPr>
          <w:rFonts w:cs="Arial"/>
          <w:i/>
          <w:lang w:val="es-ES"/>
        </w:rPr>
        <w:lastRenderedPageBreak/>
        <w:t xml:space="preserve">Revisión de las muestras </w:t>
      </w:r>
      <w:r w:rsidRPr="00712734">
        <w:rPr>
          <w:rFonts w:cs="Arial"/>
          <w:i/>
          <w:lang w:val="es-ES"/>
        </w:rPr>
        <w:t>de las transacciones que conforman el examen</w:t>
      </w:r>
    </w:p>
    <w:p w:rsidR="0023753C" w:rsidRDefault="0023753C" w:rsidP="00DC1333">
      <w:pPr>
        <w:keepNext/>
        <w:tabs>
          <w:tab w:val="left" w:pos="567"/>
        </w:tabs>
        <w:jc w:val="both"/>
        <w:rPr>
          <w:sz w:val="20"/>
        </w:rPr>
      </w:pPr>
    </w:p>
    <w:p w:rsidR="0023753C" w:rsidRDefault="0023753C" w:rsidP="0023753C">
      <w:pPr>
        <w:pStyle w:val="ListParagraph"/>
        <w:keepNext/>
        <w:numPr>
          <w:ilvl w:val="0"/>
          <w:numId w:val="35"/>
        </w:numPr>
        <w:tabs>
          <w:tab w:val="left" w:pos="567"/>
        </w:tabs>
        <w:ind w:left="0" w:firstLine="0"/>
        <w:contextualSpacing/>
        <w:jc w:val="both"/>
        <w:rPr>
          <w:rFonts w:cs="Arial"/>
          <w:lang w:val="es-ES"/>
        </w:rPr>
      </w:pPr>
      <w:r w:rsidRPr="006726F5">
        <w:rPr>
          <w:rFonts w:cs="Arial"/>
          <w:lang w:val="es-ES"/>
        </w:rPr>
        <w:t xml:space="preserve">Se establece un nivel de calidad aceptable para cada </w:t>
      </w:r>
      <w:r>
        <w:rPr>
          <w:rFonts w:cs="Arial"/>
          <w:lang w:val="es-ES"/>
        </w:rPr>
        <w:t xml:space="preserve">transacción, siendo este el </w:t>
      </w:r>
      <w:r w:rsidRPr="006726F5">
        <w:rPr>
          <w:rFonts w:cs="Arial"/>
          <w:lang w:val="es-ES"/>
        </w:rPr>
        <w:t xml:space="preserve">criterio </w:t>
      </w:r>
      <w:r>
        <w:rPr>
          <w:rFonts w:cs="Arial"/>
          <w:lang w:val="es-ES"/>
        </w:rPr>
        <w:t>fijado para calibrar</w:t>
      </w:r>
      <w:r w:rsidRPr="006726F5">
        <w:rPr>
          <w:rFonts w:cs="Arial"/>
          <w:lang w:val="es-ES"/>
        </w:rPr>
        <w:t xml:space="preserve"> la calidad del examen de </w:t>
      </w:r>
      <w:r>
        <w:rPr>
          <w:rFonts w:cs="Arial"/>
          <w:lang w:val="es-ES"/>
        </w:rPr>
        <w:t xml:space="preserve">las solicitudes de </w:t>
      </w:r>
      <w:r w:rsidRPr="006726F5">
        <w:rPr>
          <w:rFonts w:cs="Arial"/>
          <w:lang w:val="es-ES"/>
        </w:rPr>
        <w:t>marcas.</w:t>
      </w:r>
    </w:p>
    <w:p w:rsidR="0023753C" w:rsidRPr="00503E8F" w:rsidRDefault="0023753C" w:rsidP="00DC1333">
      <w:pPr>
        <w:keepNext/>
        <w:tabs>
          <w:tab w:val="left" w:pos="567"/>
        </w:tabs>
        <w:jc w:val="both"/>
        <w:rPr>
          <w:sz w:val="20"/>
        </w:rPr>
      </w:pPr>
    </w:p>
    <w:p w:rsidR="0023753C" w:rsidRDefault="0023753C" w:rsidP="00DC1333">
      <w:pPr>
        <w:tabs>
          <w:tab w:val="left" w:pos="567"/>
        </w:tabs>
        <w:ind w:left="360"/>
        <w:jc w:val="center"/>
        <w:rPr>
          <w:sz w:val="20"/>
        </w:rPr>
      </w:pPr>
      <w:r>
        <w:rPr>
          <w:noProof/>
          <w:lang w:val="en-US" w:eastAsia="en-US"/>
        </w:rPr>
        <w:drawing>
          <wp:inline distT="0" distB="0" distL="0" distR="0" wp14:anchorId="50C1B45F" wp14:editId="32318A76">
            <wp:extent cx="5511368" cy="3532582"/>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5514117" cy="3534344"/>
                    </a:xfrm>
                    <a:prstGeom prst="rect">
                      <a:avLst/>
                    </a:prstGeom>
                    <a:noFill/>
                    <a:ln>
                      <a:noFill/>
                    </a:ln>
                  </pic:spPr>
                </pic:pic>
              </a:graphicData>
            </a:graphic>
          </wp:inline>
        </w:drawing>
      </w:r>
    </w:p>
    <w:p w:rsidR="0023753C" w:rsidRDefault="0023753C" w:rsidP="00DC1333">
      <w:pPr>
        <w:tabs>
          <w:tab w:val="left" w:pos="567"/>
        </w:tabs>
        <w:ind w:left="360"/>
        <w:jc w:val="both"/>
        <w:rPr>
          <w:sz w:val="20"/>
        </w:rPr>
      </w:pPr>
    </w:p>
    <w:p w:rsidR="0023753C" w:rsidRPr="006726F5" w:rsidRDefault="0023753C" w:rsidP="0023753C">
      <w:pPr>
        <w:pStyle w:val="ListParagraph"/>
        <w:numPr>
          <w:ilvl w:val="0"/>
          <w:numId w:val="37"/>
        </w:numPr>
        <w:tabs>
          <w:tab w:val="left" w:pos="567"/>
        </w:tabs>
        <w:contextualSpacing/>
        <w:jc w:val="both"/>
        <w:rPr>
          <w:rFonts w:cs="Arial"/>
          <w:lang w:val="es-ES"/>
        </w:rPr>
      </w:pPr>
      <w:r>
        <w:rPr>
          <w:rFonts w:cs="Arial"/>
          <w:lang w:val="es-ES"/>
        </w:rPr>
        <w:t>El nivel global de calidad obtenido</w:t>
      </w:r>
      <w:r w:rsidRPr="00807F91">
        <w:rPr>
          <w:rFonts w:cs="Arial"/>
          <w:lang w:val="es-ES"/>
        </w:rPr>
        <w:t xml:space="preserve"> </w:t>
      </w:r>
      <w:r w:rsidRPr="006726F5">
        <w:rPr>
          <w:rFonts w:cs="Arial"/>
          <w:lang w:val="es-ES"/>
        </w:rPr>
        <w:t xml:space="preserve">en 2015 </w:t>
      </w:r>
      <w:r>
        <w:rPr>
          <w:rFonts w:cs="Arial"/>
          <w:lang w:val="es-ES"/>
        </w:rPr>
        <w:t>superó en un punto porcentual el nivel de calidad aceptable</w:t>
      </w:r>
      <w:r w:rsidRPr="006726F5">
        <w:rPr>
          <w:rFonts w:cs="Arial"/>
          <w:lang w:val="es-ES"/>
        </w:rPr>
        <w:t>.</w:t>
      </w:r>
    </w:p>
    <w:p w:rsidR="0023753C" w:rsidRDefault="0023753C" w:rsidP="00DC1333">
      <w:pPr>
        <w:tabs>
          <w:tab w:val="left" w:pos="567"/>
        </w:tabs>
        <w:jc w:val="both"/>
        <w:rPr>
          <w:sz w:val="20"/>
        </w:rPr>
      </w:pPr>
    </w:p>
    <w:p w:rsidR="0023753C" w:rsidRPr="006726F5" w:rsidRDefault="0023753C" w:rsidP="00DC1333">
      <w:pPr>
        <w:tabs>
          <w:tab w:val="left" w:pos="567"/>
        </w:tabs>
        <w:jc w:val="both"/>
        <w:rPr>
          <w:sz w:val="20"/>
        </w:rPr>
      </w:pPr>
    </w:p>
    <w:p w:rsidR="0023753C" w:rsidRDefault="0023753C" w:rsidP="00DC1333">
      <w:pPr>
        <w:tabs>
          <w:tab w:val="left" w:pos="567"/>
        </w:tabs>
        <w:ind w:left="360"/>
        <w:jc w:val="center"/>
        <w:rPr>
          <w:sz w:val="20"/>
        </w:rPr>
      </w:pPr>
      <w:r>
        <w:rPr>
          <w:noProof/>
          <w:lang w:val="en-US" w:eastAsia="en-US"/>
        </w:rPr>
        <w:drawing>
          <wp:inline distT="0" distB="0" distL="0" distR="0" wp14:anchorId="3199A490" wp14:editId="6E4AFE07">
            <wp:extent cx="5578043" cy="3575318"/>
            <wp:effectExtent l="0" t="0" r="3810" b="635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5580825" cy="3577101"/>
                    </a:xfrm>
                    <a:prstGeom prst="rect">
                      <a:avLst/>
                    </a:prstGeom>
                    <a:noFill/>
                    <a:ln>
                      <a:noFill/>
                    </a:ln>
                  </pic:spPr>
                </pic:pic>
              </a:graphicData>
            </a:graphic>
          </wp:inline>
        </w:drawing>
      </w:r>
    </w:p>
    <w:p w:rsidR="0023753C" w:rsidRDefault="0023753C" w:rsidP="00DC1333">
      <w:pPr>
        <w:tabs>
          <w:tab w:val="left" w:pos="567"/>
        </w:tabs>
        <w:ind w:left="360"/>
        <w:jc w:val="both"/>
        <w:rPr>
          <w:sz w:val="20"/>
        </w:rPr>
      </w:pPr>
    </w:p>
    <w:p w:rsidR="0023753C" w:rsidRPr="00B85AEC" w:rsidRDefault="0023753C" w:rsidP="0023753C">
      <w:pPr>
        <w:pStyle w:val="ListParagraph"/>
        <w:numPr>
          <w:ilvl w:val="0"/>
          <w:numId w:val="37"/>
        </w:numPr>
        <w:tabs>
          <w:tab w:val="left" w:pos="567"/>
        </w:tabs>
        <w:contextualSpacing/>
        <w:jc w:val="both"/>
        <w:rPr>
          <w:rFonts w:cs="Arial"/>
          <w:lang w:val="es-ES"/>
        </w:rPr>
      </w:pPr>
      <w:r>
        <w:rPr>
          <w:rFonts w:cs="Arial"/>
          <w:lang w:val="es-ES"/>
        </w:rPr>
        <w:lastRenderedPageBreak/>
        <w:t>El nivel global de calidad</w:t>
      </w:r>
      <w:r w:rsidRPr="00B85AEC">
        <w:rPr>
          <w:rFonts w:cs="Arial"/>
          <w:lang w:val="es-ES"/>
        </w:rPr>
        <w:t xml:space="preserve"> </w:t>
      </w:r>
      <w:r>
        <w:rPr>
          <w:rFonts w:cs="Arial"/>
          <w:lang w:val="es-ES"/>
        </w:rPr>
        <w:t xml:space="preserve">coincidió con el que se había prefijado para 2015.  </w:t>
      </w:r>
      <w:r w:rsidRPr="00B85AEC">
        <w:rPr>
          <w:rFonts w:cs="Arial"/>
          <w:lang w:val="es-ES"/>
        </w:rPr>
        <w:t>Sin embargo, hubo un problema importante a propós</w:t>
      </w:r>
      <w:r>
        <w:rPr>
          <w:rFonts w:cs="Arial"/>
          <w:lang w:val="es-ES"/>
        </w:rPr>
        <w:t>ito de la inscripción incorrecta de los datos de los solicitantes y de los representantes o mandatarios</w:t>
      </w:r>
      <w:r w:rsidRPr="00B85AEC">
        <w:rPr>
          <w:rFonts w:cs="Arial"/>
          <w:lang w:val="es-ES"/>
        </w:rPr>
        <w:t>.</w:t>
      </w:r>
    </w:p>
    <w:p w:rsidR="0023753C" w:rsidRPr="00B85AEC" w:rsidRDefault="0023753C" w:rsidP="00DC1333">
      <w:pPr>
        <w:tabs>
          <w:tab w:val="left" w:pos="567"/>
        </w:tabs>
        <w:jc w:val="both"/>
        <w:rPr>
          <w:sz w:val="20"/>
        </w:rPr>
      </w:pPr>
    </w:p>
    <w:p w:rsidR="0023753C" w:rsidRDefault="0023753C" w:rsidP="00DC1333">
      <w:pPr>
        <w:tabs>
          <w:tab w:val="left" w:pos="567"/>
        </w:tabs>
        <w:jc w:val="center"/>
        <w:rPr>
          <w:sz w:val="20"/>
        </w:rPr>
      </w:pPr>
      <w:r>
        <w:rPr>
          <w:noProof/>
          <w:lang w:val="en-US" w:eastAsia="en-US"/>
        </w:rPr>
        <w:drawing>
          <wp:inline distT="0" distB="0" distL="0" distR="0" wp14:anchorId="4E004AF4" wp14:editId="7C484894">
            <wp:extent cx="5343525" cy="3419560"/>
            <wp:effectExtent l="0" t="0" r="0" b="9525"/>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5345232" cy="3420653"/>
                    </a:xfrm>
                    <a:prstGeom prst="rect">
                      <a:avLst/>
                    </a:prstGeom>
                    <a:noFill/>
                    <a:ln>
                      <a:noFill/>
                    </a:ln>
                  </pic:spPr>
                </pic:pic>
              </a:graphicData>
            </a:graphic>
          </wp:inline>
        </w:drawing>
      </w:r>
    </w:p>
    <w:p w:rsidR="0023753C" w:rsidRDefault="0023753C" w:rsidP="00DC1333">
      <w:pPr>
        <w:tabs>
          <w:tab w:val="left" w:pos="567"/>
        </w:tabs>
        <w:jc w:val="both"/>
        <w:rPr>
          <w:sz w:val="20"/>
        </w:rPr>
      </w:pPr>
    </w:p>
    <w:p w:rsidR="0023753C" w:rsidRPr="00B85AEC" w:rsidRDefault="0023753C" w:rsidP="0023753C">
      <w:pPr>
        <w:pStyle w:val="ListParagraph"/>
        <w:numPr>
          <w:ilvl w:val="0"/>
          <w:numId w:val="37"/>
        </w:numPr>
        <w:tabs>
          <w:tab w:val="left" w:pos="567"/>
        </w:tabs>
        <w:contextualSpacing/>
        <w:jc w:val="both"/>
        <w:rPr>
          <w:rFonts w:cs="Arial"/>
          <w:lang w:val="es-ES"/>
        </w:rPr>
      </w:pPr>
      <w:r w:rsidRPr="00B85AEC">
        <w:rPr>
          <w:rFonts w:cs="Arial"/>
          <w:lang w:val="es-ES"/>
        </w:rPr>
        <w:t>En 2015</w:t>
      </w:r>
      <w:r>
        <w:rPr>
          <w:rFonts w:cs="Arial"/>
          <w:lang w:val="es-ES"/>
        </w:rPr>
        <w:t>, el nivel global de calidad obtenido</w:t>
      </w:r>
      <w:r w:rsidRPr="00807F91">
        <w:rPr>
          <w:rFonts w:cs="Arial"/>
          <w:lang w:val="es-ES"/>
        </w:rPr>
        <w:t xml:space="preserve"> </w:t>
      </w:r>
      <w:r w:rsidRPr="00B85AEC">
        <w:rPr>
          <w:rFonts w:cs="Arial"/>
          <w:lang w:val="es-ES"/>
        </w:rPr>
        <w:t xml:space="preserve">en </w:t>
      </w:r>
      <w:r>
        <w:rPr>
          <w:rFonts w:cs="Arial"/>
          <w:lang w:val="es-ES"/>
        </w:rPr>
        <w:t>el tratamiento</w:t>
      </w:r>
      <w:r w:rsidRPr="00B85AEC">
        <w:rPr>
          <w:rFonts w:cs="Arial"/>
          <w:lang w:val="es-ES"/>
        </w:rPr>
        <w:t xml:space="preserve"> de las decisiones </w:t>
      </w:r>
      <w:r>
        <w:rPr>
          <w:rFonts w:cs="Arial"/>
          <w:lang w:val="es-ES"/>
        </w:rPr>
        <w:t xml:space="preserve">superó </w:t>
      </w:r>
      <w:r w:rsidRPr="00B85AEC">
        <w:rPr>
          <w:rFonts w:cs="Arial"/>
          <w:lang w:val="es-ES"/>
        </w:rPr>
        <w:t>en dos puntos porcentuales el objetivo fijado.</w:t>
      </w:r>
    </w:p>
    <w:p w:rsidR="0023753C" w:rsidRPr="00B85AEC" w:rsidRDefault="0023753C" w:rsidP="00DC1333">
      <w:pPr>
        <w:tabs>
          <w:tab w:val="left" w:pos="567"/>
        </w:tabs>
        <w:jc w:val="both"/>
        <w:rPr>
          <w:sz w:val="20"/>
        </w:rPr>
      </w:pPr>
    </w:p>
    <w:p w:rsidR="0023753C" w:rsidRDefault="0023753C" w:rsidP="00DC1333">
      <w:pPr>
        <w:tabs>
          <w:tab w:val="left" w:pos="567"/>
        </w:tabs>
        <w:jc w:val="center"/>
        <w:rPr>
          <w:sz w:val="20"/>
        </w:rPr>
      </w:pPr>
      <w:r>
        <w:rPr>
          <w:noProof/>
          <w:lang w:val="en-US" w:eastAsia="en-US"/>
        </w:rPr>
        <w:drawing>
          <wp:inline distT="0" distB="0" distL="0" distR="0" wp14:anchorId="7C156314" wp14:editId="5B86E622">
            <wp:extent cx="5510023" cy="3532517"/>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5514603" cy="3535453"/>
                    </a:xfrm>
                    <a:prstGeom prst="rect">
                      <a:avLst/>
                    </a:prstGeom>
                    <a:noFill/>
                    <a:ln>
                      <a:noFill/>
                    </a:ln>
                  </pic:spPr>
                </pic:pic>
              </a:graphicData>
            </a:graphic>
          </wp:inline>
        </w:drawing>
      </w:r>
    </w:p>
    <w:p w:rsidR="0023753C" w:rsidRDefault="0023753C" w:rsidP="00DC1333">
      <w:pPr>
        <w:tabs>
          <w:tab w:val="left" w:pos="567"/>
        </w:tabs>
        <w:jc w:val="center"/>
        <w:rPr>
          <w:sz w:val="20"/>
        </w:rPr>
      </w:pPr>
    </w:p>
    <w:p w:rsidR="0023753C" w:rsidRPr="00687A4E" w:rsidRDefault="0023753C" w:rsidP="0023753C">
      <w:pPr>
        <w:pStyle w:val="ListParagraph"/>
        <w:numPr>
          <w:ilvl w:val="0"/>
          <w:numId w:val="37"/>
        </w:numPr>
        <w:tabs>
          <w:tab w:val="left" w:pos="567"/>
        </w:tabs>
        <w:contextualSpacing/>
        <w:jc w:val="both"/>
        <w:rPr>
          <w:rFonts w:cs="Arial"/>
          <w:lang w:val="es-ES"/>
        </w:rPr>
      </w:pPr>
      <w:r>
        <w:rPr>
          <w:rFonts w:cs="Arial"/>
          <w:lang w:val="es-ES"/>
        </w:rPr>
        <w:t>El nivel global de calidad obtenido</w:t>
      </w:r>
      <w:r w:rsidRPr="00807F91">
        <w:rPr>
          <w:rFonts w:cs="Arial"/>
          <w:lang w:val="es-ES"/>
        </w:rPr>
        <w:t xml:space="preserve"> </w:t>
      </w:r>
      <w:r>
        <w:rPr>
          <w:rFonts w:cs="Arial"/>
          <w:lang w:val="es-ES"/>
        </w:rPr>
        <w:t>coincidió con el que se había prefijado, es decir, alcanzó el </w:t>
      </w:r>
      <w:r w:rsidRPr="00B85AEC">
        <w:rPr>
          <w:rFonts w:cs="Arial"/>
          <w:lang w:val="es-ES"/>
        </w:rPr>
        <w:t>95</w:t>
      </w:r>
      <w:r>
        <w:rPr>
          <w:rFonts w:cs="Arial"/>
          <w:lang w:val="es-ES"/>
        </w:rPr>
        <w:t>%</w:t>
      </w:r>
      <w:r w:rsidRPr="00B85AEC">
        <w:rPr>
          <w:rFonts w:cs="Arial"/>
          <w:lang w:val="es-ES"/>
        </w:rPr>
        <w:t xml:space="preserve">.  </w:t>
      </w:r>
      <w:r w:rsidRPr="00687A4E">
        <w:rPr>
          <w:rFonts w:cs="Arial"/>
          <w:lang w:val="es-ES"/>
        </w:rPr>
        <w:t>Sin embargo, se observ</w:t>
      </w:r>
      <w:r>
        <w:rPr>
          <w:rFonts w:cs="Arial"/>
          <w:lang w:val="es-ES"/>
        </w:rPr>
        <w:t xml:space="preserve">ó </w:t>
      </w:r>
      <w:r w:rsidRPr="00687A4E">
        <w:rPr>
          <w:rFonts w:cs="Arial"/>
          <w:lang w:val="es-ES"/>
        </w:rPr>
        <w:t>el mismo problema que en el caso de</w:t>
      </w:r>
      <w:r>
        <w:rPr>
          <w:rFonts w:cs="Arial"/>
          <w:lang w:val="es-ES"/>
        </w:rPr>
        <w:t xml:space="preserve">l </w:t>
      </w:r>
      <w:r w:rsidRPr="00687A4E">
        <w:rPr>
          <w:rFonts w:cs="Arial"/>
          <w:lang w:val="es-ES"/>
        </w:rPr>
        <w:t>ex</w:t>
      </w:r>
      <w:r>
        <w:rPr>
          <w:rFonts w:cs="Arial"/>
          <w:lang w:val="es-ES"/>
        </w:rPr>
        <w:t>amen de forma</w:t>
      </w:r>
      <w:r w:rsidRPr="00687A4E">
        <w:rPr>
          <w:rFonts w:cs="Arial"/>
          <w:lang w:val="es-ES"/>
        </w:rPr>
        <w:t>.</w:t>
      </w:r>
    </w:p>
    <w:p w:rsidR="0023753C" w:rsidRPr="00F03797" w:rsidRDefault="0023753C" w:rsidP="00DC1333">
      <w:pPr>
        <w:tabs>
          <w:tab w:val="left" w:pos="567"/>
        </w:tabs>
        <w:jc w:val="both"/>
        <w:rPr>
          <w:sz w:val="20"/>
        </w:rPr>
      </w:pPr>
    </w:p>
    <w:p w:rsidR="0023753C" w:rsidRDefault="0023753C" w:rsidP="00DC1333">
      <w:pPr>
        <w:jc w:val="center"/>
        <w:rPr>
          <w:sz w:val="20"/>
        </w:rPr>
      </w:pPr>
      <w:r>
        <w:rPr>
          <w:noProof/>
          <w:lang w:val="en-US" w:eastAsia="en-US"/>
        </w:rPr>
        <w:lastRenderedPageBreak/>
        <w:drawing>
          <wp:inline distT="0" distB="0" distL="0" distR="0" wp14:anchorId="61378788" wp14:editId="2A575CCD">
            <wp:extent cx="5372100" cy="3447569"/>
            <wp:effectExtent l="0" t="0" r="0" b="635"/>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5373816" cy="3448670"/>
                    </a:xfrm>
                    <a:prstGeom prst="rect">
                      <a:avLst/>
                    </a:prstGeom>
                    <a:noFill/>
                    <a:ln>
                      <a:noFill/>
                    </a:ln>
                  </pic:spPr>
                </pic:pic>
              </a:graphicData>
            </a:graphic>
          </wp:inline>
        </w:drawing>
      </w:r>
    </w:p>
    <w:p w:rsidR="0023753C" w:rsidRDefault="0023753C" w:rsidP="00DC1333">
      <w:pPr>
        <w:jc w:val="center"/>
        <w:rPr>
          <w:sz w:val="20"/>
        </w:rPr>
      </w:pPr>
    </w:p>
    <w:p w:rsidR="0023753C" w:rsidRPr="00687A4E" w:rsidRDefault="0023753C" w:rsidP="0023753C">
      <w:pPr>
        <w:pStyle w:val="ListParagraph"/>
        <w:numPr>
          <w:ilvl w:val="0"/>
          <w:numId w:val="36"/>
        </w:numPr>
        <w:spacing w:after="200"/>
        <w:contextualSpacing/>
        <w:rPr>
          <w:rFonts w:cs="Arial"/>
          <w:lang w:val="es-ES"/>
        </w:rPr>
      </w:pPr>
      <w:r>
        <w:rPr>
          <w:rFonts w:cs="Arial"/>
          <w:lang w:val="es-ES"/>
        </w:rPr>
        <w:t>El nivel global de calidad obtenido</w:t>
      </w:r>
      <w:r w:rsidRPr="00807F91">
        <w:rPr>
          <w:rFonts w:cs="Arial"/>
          <w:lang w:val="es-ES"/>
        </w:rPr>
        <w:t xml:space="preserve"> </w:t>
      </w:r>
      <w:r w:rsidRPr="00687A4E">
        <w:rPr>
          <w:rFonts w:cs="Arial"/>
          <w:lang w:val="es-ES"/>
        </w:rPr>
        <w:t xml:space="preserve">en la </w:t>
      </w:r>
      <w:r>
        <w:rPr>
          <w:rFonts w:cs="Arial"/>
          <w:lang w:val="es-ES"/>
        </w:rPr>
        <w:t>tramitación de las renovaciones se situó en 2015 en tres</w:t>
      </w:r>
      <w:r w:rsidRPr="00687A4E">
        <w:rPr>
          <w:rFonts w:cs="Arial"/>
          <w:lang w:val="es-ES"/>
        </w:rPr>
        <w:t xml:space="preserve"> puntos</w:t>
      </w:r>
      <w:r>
        <w:rPr>
          <w:rFonts w:cs="Arial"/>
          <w:lang w:val="es-ES"/>
        </w:rPr>
        <w:t xml:space="preserve"> porcentuales por debajo del objetivo</w:t>
      </w:r>
      <w:r w:rsidRPr="00687A4E">
        <w:rPr>
          <w:rFonts w:cs="Arial"/>
          <w:lang w:val="es-ES"/>
        </w:rPr>
        <w:t xml:space="preserve">.  El problema principal </w:t>
      </w:r>
      <w:r>
        <w:rPr>
          <w:rFonts w:cs="Arial"/>
          <w:lang w:val="es-ES"/>
        </w:rPr>
        <w:t xml:space="preserve">reside en </w:t>
      </w:r>
      <w:r w:rsidRPr="00687A4E">
        <w:rPr>
          <w:rFonts w:cs="Arial"/>
          <w:lang w:val="es-ES"/>
        </w:rPr>
        <w:t>el cálculo de las tasas, debido a</w:t>
      </w:r>
      <w:r>
        <w:rPr>
          <w:rFonts w:cs="Arial"/>
          <w:lang w:val="es-ES"/>
        </w:rPr>
        <w:t xml:space="preserve"> la inscripción incorrecta</w:t>
      </w:r>
      <w:r w:rsidRPr="00687A4E">
        <w:rPr>
          <w:rFonts w:cs="Arial"/>
          <w:lang w:val="es-ES"/>
        </w:rPr>
        <w:t xml:space="preserve"> del número de clases de </w:t>
      </w:r>
      <w:r>
        <w:rPr>
          <w:rFonts w:cs="Arial"/>
          <w:lang w:val="es-ES"/>
        </w:rPr>
        <w:t>productos</w:t>
      </w:r>
      <w:r w:rsidRPr="00687A4E">
        <w:rPr>
          <w:rFonts w:cs="Arial"/>
          <w:lang w:val="es-ES"/>
        </w:rPr>
        <w:t xml:space="preserve"> y servicios.</w:t>
      </w:r>
    </w:p>
    <w:p w:rsidR="0023753C" w:rsidRPr="00916DE1" w:rsidRDefault="0023753C" w:rsidP="00DC1333">
      <w:pPr>
        <w:ind w:left="720"/>
        <w:rPr>
          <w:sz w:val="20"/>
        </w:rPr>
      </w:pPr>
      <w:r w:rsidRPr="00760842">
        <w:rPr>
          <w:i/>
          <w:sz w:val="20"/>
        </w:rPr>
        <w:t>Error</w:t>
      </w:r>
      <w:r>
        <w:rPr>
          <w:i/>
          <w:sz w:val="20"/>
        </w:rPr>
        <w:t>e</w:t>
      </w:r>
      <w:r w:rsidRPr="00760842">
        <w:rPr>
          <w:i/>
          <w:sz w:val="20"/>
        </w:rPr>
        <w:t xml:space="preserve">s </w:t>
      </w:r>
      <w:r>
        <w:rPr>
          <w:i/>
          <w:sz w:val="20"/>
        </w:rPr>
        <w:t>cometidos por la Oficina Internacional</w:t>
      </w:r>
      <w:r w:rsidRPr="00E7186C">
        <w:rPr>
          <w:noProof/>
        </w:rPr>
        <w:t xml:space="preserve"> </w:t>
      </w:r>
      <w:r>
        <w:rPr>
          <w:noProof/>
          <w:lang w:val="en-US" w:eastAsia="en-US"/>
        </w:rPr>
        <w:drawing>
          <wp:inline distT="0" distB="0" distL="0" distR="0" wp14:anchorId="748FE9A1" wp14:editId="5002B86D">
            <wp:extent cx="5210175" cy="3817388"/>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5209354" cy="3816786"/>
                    </a:xfrm>
                    <a:prstGeom prst="rect">
                      <a:avLst/>
                    </a:prstGeom>
                    <a:noFill/>
                    <a:ln>
                      <a:noFill/>
                    </a:ln>
                  </pic:spPr>
                </pic:pic>
              </a:graphicData>
            </a:graphic>
          </wp:inline>
        </w:drawing>
      </w:r>
    </w:p>
    <w:p w:rsidR="0023753C" w:rsidRDefault="0023753C" w:rsidP="00DC1333">
      <w:pPr>
        <w:jc w:val="center"/>
        <w:rPr>
          <w:sz w:val="20"/>
        </w:rPr>
      </w:pPr>
    </w:p>
    <w:p w:rsidR="0023753C" w:rsidRDefault="0023753C" w:rsidP="00DC1333">
      <w:pPr>
        <w:jc w:val="center"/>
        <w:rPr>
          <w:sz w:val="20"/>
        </w:rPr>
      </w:pPr>
    </w:p>
    <w:p w:rsidR="0023753C" w:rsidRPr="00687A4E" w:rsidRDefault="0023753C" w:rsidP="0023753C">
      <w:pPr>
        <w:pStyle w:val="ListParagraph"/>
        <w:numPr>
          <w:ilvl w:val="0"/>
          <w:numId w:val="38"/>
        </w:numPr>
        <w:ind w:left="714" w:hanging="357"/>
        <w:contextualSpacing/>
        <w:rPr>
          <w:rFonts w:cs="Arial"/>
          <w:lang w:val="es-ES"/>
        </w:rPr>
      </w:pPr>
      <w:r w:rsidRPr="00687A4E">
        <w:rPr>
          <w:rFonts w:cs="Arial"/>
          <w:lang w:val="es-ES"/>
        </w:rPr>
        <w:t>La clasificación errónea representó casi un tercio de todos los errores cometidos en relaci</w:t>
      </w:r>
      <w:r>
        <w:rPr>
          <w:rFonts w:cs="Arial"/>
          <w:lang w:val="es-ES"/>
        </w:rPr>
        <w:t xml:space="preserve">ón con las clasificaciones en </w:t>
      </w:r>
      <w:r w:rsidRPr="00687A4E">
        <w:rPr>
          <w:rFonts w:cs="Arial"/>
          <w:lang w:val="es-ES"/>
        </w:rPr>
        <w:t>2015.</w:t>
      </w:r>
    </w:p>
    <w:p w:rsidR="0023753C" w:rsidRPr="00687A4E" w:rsidRDefault="0023753C" w:rsidP="00DC1333">
      <w:pPr>
        <w:jc w:val="center"/>
        <w:rPr>
          <w:sz w:val="20"/>
        </w:rPr>
      </w:pPr>
    </w:p>
    <w:p w:rsidR="0023753C" w:rsidRDefault="0023753C" w:rsidP="00DC1333">
      <w:pPr>
        <w:jc w:val="center"/>
        <w:rPr>
          <w:sz w:val="20"/>
        </w:rPr>
      </w:pPr>
      <w:r>
        <w:rPr>
          <w:noProof/>
          <w:lang w:val="en-US" w:eastAsia="en-US"/>
        </w:rPr>
        <w:lastRenderedPageBreak/>
        <w:drawing>
          <wp:inline distT="0" distB="0" distL="0" distR="0" wp14:anchorId="136A1FDE" wp14:editId="69553B32">
            <wp:extent cx="5345278" cy="3892453"/>
            <wp:effectExtent l="0" t="0" r="8255" b="0"/>
            <wp:docPr id="1024" name="Picture 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5349886" cy="3895809"/>
                    </a:xfrm>
                    <a:prstGeom prst="rect">
                      <a:avLst/>
                    </a:prstGeom>
                    <a:noFill/>
                    <a:ln>
                      <a:noFill/>
                    </a:ln>
                  </pic:spPr>
                </pic:pic>
              </a:graphicData>
            </a:graphic>
          </wp:inline>
        </w:drawing>
      </w:r>
    </w:p>
    <w:p w:rsidR="0023753C" w:rsidRDefault="0023753C" w:rsidP="00DC1333">
      <w:pPr>
        <w:jc w:val="center"/>
        <w:rPr>
          <w:sz w:val="20"/>
        </w:rPr>
      </w:pPr>
    </w:p>
    <w:p w:rsidR="0023753C" w:rsidRPr="00687A4E" w:rsidRDefault="0023753C" w:rsidP="0023753C">
      <w:pPr>
        <w:pStyle w:val="ListParagraph"/>
        <w:numPr>
          <w:ilvl w:val="0"/>
          <w:numId w:val="38"/>
        </w:numPr>
        <w:contextualSpacing/>
        <w:rPr>
          <w:rFonts w:cs="Arial"/>
          <w:lang w:val="es-ES"/>
        </w:rPr>
      </w:pPr>
      <w:r w:rsidRPr="00687A4E">
        <w:rPr>
          <w:rFonts w:cs="Arial"/>
          <w:lang w:val="es-ES"/>
        </w:rPr>
        <w:t>En 2015, la mayoría de las correc</w:t>
      </w:r>
      <w:r>
        <w:rPr>
          <w:rFonts w:cs="Arial"/>
          <w:lang w:val="es-ES"/>
        </w:rPr>
        <w:t>c</w:t>
      </w:r>
      <w:r w:rsidRPr="00687A4E">
        <w:rPr>
          <w:rFonts w:cs="Arial"/>
          <w:lang w:val="es-ES"/>
        </w:rPr>
        <w:t xml:space="preserve">iones en </w:t>
      </w:r>
      <w:r>
        <w:rPr>
          <w:rFonts w:cs="Arial"/>
          <w:lang w:val="es-ES"/>
        </w:rPr>
        <w:t>e</w:t>
      </w:r>
      <w:r w:rsidRPr="00687A4E">
        <w:rPr>
          <w:rFonts w:cs="Arial"/>
          <w:lang w:val="es-ES"/>
        </w:rPr>
        <w:t>l ex</w:t>
      </w:r>
      <w:r>
        <w:rPr>
          <w:rFonts w:cs="Arial"/>
          <w:lang w:val="es-ES"/>
        </w:rPr>
        <w:t>amen</w:t>
      </w:r>
      <w:r w:rsidRPr="00687A4E">
        <w:rPr>
          <w:rFonts w:cs="Arial"/>
          <w:lang w:val="es-ES"/>
        </w:rPr>
        <w:t xml:space="preserve"> de forma se debió a errores en la introducción de los datos de los </w:t>
      </w:r>
      <w:r>
        <w:rPr>
          <w:rFonts w:cs="Arial"/>
          <w:lang w:val="es-ES"/>
        </w:rPr>
        <w:t xml:space="preserve">solicitantes </w:t>
      </w:r>
      <w:r w:rsidRPr="00687A4E">
        <w:rPr>
          <w:rFonts w:cs="Arial"/>
          <w:lang w:val="es-ES"/>
        </w:rPr>
        <w:t>(45</w:t>
      </w:r>
      <w:r>
        <w:rPr>
          <w:rFonts w:cs="Arial"/>
          <w:lang w:val="es-ES"/>
        </w:rPr>
        <w:t>,</w:t>
      </w:r>
      <w:r w:rsidRPr="00687A4E">
        <w:rPr>
          <w:rFonts w:cs="Arial"/>
          <w:lang w:val="es-ES"/>
        </w:rPr>
        <w:t>3</w:t>
      </w:r>
      <w:r>
        <w:rPr>
          <w:rFonts w:cs="Arial"/>
          <w:lang w:val="es-ES"/>
        </w:rPr>
        <w:t>%</w:t>
      </w:r>
      <w:r w:rsidRPr="00687A4E">
        <w:rPr>
          <w:rFonts w:cs="Arial"/>
          <w:lang w:val="es-ES"/>
        </w:rPr>
        <w:t xml:space="preserve">) </w:t>
      </w:r>
      <w:r>
        <w:rPr>
          <w:rFonts w:cs="Arial"/>
          <w:lang w:val="es-ES"/>
        </w:rPr>
        <w:t>y de los representantes o mandatarios </w:t>
      </w:r>
      <w:r w:rsidRPr="00687A4E">
        <w:rPr>
          <w:rFonts w:cs="Arial"/>
          <w:lang w:val="es-ES"/>
        </w:rPr>
        <w:t>(8</w:t>
      </w:r>
      <w:r>
        <w:rPr>
          <w:rFonts w:cs="Arial"/>
          <w:lang w:val="es-ES"/>
        </w:rPr>
        <w:t>,</w:t>
      </w:r>
      <w:r w:rsidRPr="00687A4E">
        <w:rPr>
          <w:rFonts w:cs="Arial"/>
          <w:lang w:val="es-ES"/>
        </w:rPr>
        <w:t>3</w:t>
      </w:r>
      <w:r>
        <w:rPr>
          <w:rFonts w:cs="Arial"/>
          <w:lang w:val="es-ES"/>
        </w:rPr>
        <w:t>%</w:t>
      </w:r>
      <w:r w:rsidRPr="00687A4E">
        <w:rPr>
          <w:rFonts w:cs="Arial"/>
          <w:lang w:val="es-ES"/>
        </w:rPr>
        <w:t>).</w:t>
      </w:r>
    </w:p>
    <w:p w:rsidR="0023753C" w:rsidRPr="00687A4E" w:rsidRDefault="0023753C" w:rsidP="00DC1333">
      <w:pPr>
        <w:pStyle w:val="ListParagraph"/>
        <w:rPr>
          <w:rFonts w:cs="Arial"/>
          <w:lang w:val="es-ES"/>
        </w:rPr>
      </w:pPr>
    </w:p>
    <w:p w:rsidR="0023753C" w:rsidRDefault="0023753C" w:rsidP="00DC1333">
      <w:pPr>
        <w:jc w:val="center"/>
        <w:rPr>
          <w:sz w:val="20"/>
        </w:rPr>
      </w:pPr>
      <w:r>
        <w:rPr>
          <w:noProof/>
          <w:lang w:val="en-US" w:eastAsia="en-US"/>
        </w:rPr>
        <w:drawing>
          <wp:inline distT="0" distB="0" distL="0" distR="0" wp14:anchorId="05CCEC2C" wp14:editId="218D02E4">
            <wp:extent cx="4991100" cy="4132985"/>
            <wp:effectExtent l="0" t="0" r="0" b="1270"/>
            <wp:docPr id="1025" name="Pictur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4987325" cy="4129859"/>
                    </a:xfrm>
                    <a:prstGeom prst="rect">
                      <a:avLst/>
                    </a:prstGeom>
                    <a:noFill/>
                    <a:ln>
                      <a:noFill/>
                    </a:ln>
                  </pic:spPr>
                </pic:pic>
              </a:graphicData>
            </a:graphic>
          </wp:inline>
        </w:drawing>
      </w:r>
    </w:p>
    <w:p w:rsidR="0023753C" w:rsidRDefault="0023753C" w:rsidP="00DC1333">
      <w:pPr>
        <w:jc w:val="center"/>
        <w:rPr>
          <w:sz w:val="20"/>
        </w:rPr>
      </w:pPr>
    </w:p>
    <w:p w:rsidR="0023753C" w:rsidRPr="00687A4E" w:rsidRDefault="0023753C" w:rsidP="0023753C">
      <w:pPr>
        <w:pStyle w:val="ListParagraph"/>
        <w:numPr>
          <w:ilvl w:val="0"/>
          <w:numId w:val="38"/>
        </w:numPr>
        <w:contextualSpacing/>
        <w:rPr>
          <w:rFonts w:cs="Arial"/>
          <w:lang w:val="es-ES"/>
        </w:rPr>
      </w:pPr>
      <w:r w:rsidRPr="00687A4E">
        <w:rPr>
          <w:rFonts w:cs="Arial"/>
          <w:lang w:val="es-ES"/>
        </w:rPr>
        <w:lastRenderedPageBreak/>
        <w:t>Aproximadamente el 83% de todas las correcciones relacionadas con los cambios en 2015 afectan a cuatro tr</w:t>
      </w:r>
      <w:r>
        <w:rPr>
          <w:rFonts w:cs="Arial"/>
          <w:lang w:val="es-ES"/>
        </w:rPr>
        <w:t>ansacciones</w:t>
      </w:r>
      <w:r w:rsidRPr="00687A4E">
        <w:rPr>
          <w:rFonts w:cs="Arial"/>
          <w:lang w:val="es-ES"/>
        </w:rPr>
        <w:t>, a saber, las designaciones posterior</w:t>
      </w:r>
      <w:r>
        <w:rPr>
          <w:rFonts w:cs="Arial"/>
          <w:lang w:val="es-ES"/>
        </w:rPr>
        <w:t>e</w:t>
      </w:r>
      <w:r w:rsidRPr="00687A4E">
        <w:rPr>
          <w:rFonts w:cs="Arial"/>
          <w:lang w:val="es-ES"/>
        </w:rPr>
        <w:t>s (24</w:t>
      </w:r>
      <w:r>
        <w:rPr>
          <w:rFonts w:cs="Arial"/>
          <w:lang w:val="es-ES"/>
        </w:rPr>
        <w:t>,</w:t>
      </w:r>
      <w:r w:rsidRPr="00687A4E">
        <w:rPr>
          <w:rFonts w:cs="Arial"/>
          <w:lang w:val="es-ES"/>
        </w:rPr>
        <w:t>8</w:t>
      </w:r>
      <w:r>
        <w:rPr>
          <w:rFonts w:cs="Arial"/>
          <w:lang w:val="es-ES"/>
        </w:rPr>
        <w:t>%</w:t>
      </w:r>
      <w:r w:rsidRPr="00687A4E">
        <w:rPr>
          <w:rFonts w:cs="Arial"/>
          <w:lang w:val="es-ES"/>
        </w:rPr>
        <w:t xml:space="preserve">), </w:t>
      </w:r>
      <w:r>
        <w:rPr>
          <w:rFonts w:cs="Arial"/>
          <w:lang w:val="es-ES"/>
        </w:rPr>
        <w:t xml:space="preserve">los cambios en la titularidad </w:t>
      </w:r>
      <w:r w:rsidRPr="00687A4E">
        <w:rPr>
          <w:rFonts w:cs="Arial"/>
          <w:lang w:val="es-ES"/>
        </w:rPr>
        <w:t>(21</w:t>
      </w:r>
      <w:r>
        <w:rPr>
          <w:rFonts w:cs="Arial"/>
          <w:lang w:val="es-ES"/>
        </w:rPr>
        <w:t>,</w:t>
      </w:r>
      <w:r w:rsidRPr="00687A4E">
        <w:rPr>
          <w:rFonts w:cs="Arial"/>
          <w:lang w:val="es-ES"/>
        </w:rPr>
        <w:t>7</w:t>
      </w:r>
      <w:r>
        <w:rPr>
          <w:rFonts w:cs="Arial"/>
          <w:lang w:val="es-ES"/>
        </w:rPr>
        <w:t>%</w:t>
      </w:r>
      <w:r w:rsidRPr="00687A4E">
        <w:rPr>
          <w:rFonts w:cs="Arial"/>
          <w:lang w:val="es-ES"/>
        </w:rPr>
        <w:t xml:space="preserve">), </w:t>
      </w:r>
      <w:r>
        <w:rPr>
          <w:rFonts w:cs="Arial"/>
          <w:lang w:val="es-ES"/>
        </w:rPr>
        <w:t xml:space="preserve">los cambios en el nombre o la dirección del titular </w:t>
      </w:r>
      <w:r w:rsidRPr="00687A4E">
        <w:rPr>
          <w:rFonts w:cs="Arial"/>
          <w:lang w:val="es-ES"/>
        </w:rPr>
        <w:t>(19</w:t>
      </w:r>
      <w:r>
        <w:rPr>
          <w:rFonts w:cs="Arial"/>
          <w:lang w:val="es-ES"/>
        </w:rPr>
        <w:t>,</w:t>
      </w:r>
      <w:r w:rsidRPr="00687A4E">
        <w:rPr>
          <w:rFonts w:cs="Arial"/>
          <w:lang w:val="es-ES"/>
        </w:rPr>
        <w:t>3</w:t>
      </w:r>
      <w:r>
        <w:rPr>
          <w:rFonts w:cs="Arial"/>
          <w:lang w:val="es-ES"/>
        </w:rPr>
        <w:t>%</w:t>
      </w:r>
      <w:r w:rsidRPr="00687A4E">
        <w:rPr>
          <w:rFonts w:cs="Arial"/>
          <w:lang w:val="es-ES"/>
        </w:rPr>
        <w:t xml:space="preserve">) </w:t>
      </w:r>
      <w:r>
        <w:rPr>
          <w:rFonts w:cs="Arial"/>
          <w:lang w:val="es-ES"/>
        </w:rPr>
        <w:t>y las limitaciones</w:t>
      </w:r>
      <w:r w:rsidRPr="00687A4E">
        <w:rPr>
          <w:rFonts w:cs="Arial"/>
          <w:lang w:val="es-ES"/>
        </w:rPr>
        <w:t xml:space="preserve"> (16</w:t>
      </w:r>
      <w:r>
        <w:rPr>
          <w:rFonts w:cs="Arial"/>
          <w:lang w:val="es-ES"/>
        </w:rPr>
        <w:t>,</w:t>
      </w:r>
      <w:r w:rsidRPr="00687A4E">
        <w:rPr>
          <w:rFonts w:cs="Arial"/>
          <w:lang w:val="es-ES"/>
        </w:rPr>
        <w:t>9</w:t>
      </w:r>
      <w:r>
        <w:rPr>
          <w:rFonts w:cs="Arial"/>
          <w:lang w:val="es-ES"/>
        </w:rPr>
        <w:t>%</w:t>
      </w:r>
      <w:r w:rsidRPr="00687A4E">
        <w:rPr>
          <w:rFonts w:cs="Arial"/>
          <w:lang w:val="es-ES"/>
        </w:rPr>
        <w:t>).</w:t>
      </w:r>
    </w:p>
    <w:p w:rsidR="0023753C" w:rsidRPr="00687A4E" w:rsidRDefault="0023753C" w:rsidP="00DC1333">
      <w:pPr>
        <w:jc w:val="center"/>
        <w:rPr>
          <w:sz w:val="20"/>
        </w:rPr>
      </w:pPr>
    </w:p>
    <w:p w:rsidR="0023753C" w:rsidRDefault="0023753C" w:rsidP="00DC1333">
      <w:pPr>
        <w:jc w:val="center"/>
        <w:rPr>
          <w:sz w:val="20"/>
        </w:rPr>
      </w:pPr>
      <w:r w:rsidRPr="000B5979">
        <w:rPr>
          <w:noProof/>
          <w:lang w:val="en-US" w:eastAsia="en-US"/>
        </w:rPr>
        <w:drawing>
          <wp:inline distT="0" distB="0" distL="0" distR="0" wp14:anchorId="39B4B36E" wp14:editId="64544B31">
            <wp:extent cx="4815462" cy="3564000"/>
            <wp:effectExtent l="0" t="0" r="4445" b="0"/>
            <wp:docPr id="1026" name="Pictur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4815462" cy="3564000"/>
                    </a:xfrm>
                    <a:prstGeom prst="rect">
                      <a:avLst/>
                    </a:prstGeom>
                    <a:noFill/>
                    <a:ln>
                      <a:noFill/>
                    </a:ln>
                  </pic:spPr>
                </pic:pic>
              </a:graphicData>
            </a:graphic>
          </wp:inline>
        </w:drawing>
      </w:r>
    </w:p>
    <w:p w:rsidR="0023753C" w:rsidRDefault="0023753C" w:rsidP="00DC1333">
      <w:pPr>
        <w:jc w:val="center"/>
        <w:rPr>
          <w:sz w:val="20"/>
        </w:rPr>
      </w:pPr>
    </w:p>
    <w:p w:rsidR="0023753C" w:rsidRPr="00572CB5" w:rsidRDefault="0023753C" w:rsidP="0023753C">
      <w:pPr>
        <w:pStyle w:val="ListParagraph"/>
        <w:numPr>
          <w:ilvl w:val="0"/>
          <w:numId w:val="38"/>
        </w:numPr>
        <w:contextualSpacing/>
        <w:rPr>
          <w:rFonts w:cs="Arial"/>
          <w:lang w:val="es-ES"/>
        </w:rPr>
      </w:pPr>
      <w:r w:rsidRPr="00572CB5">
        <w:rPr>
          <w:rFonts w:cs="Arial"/>
          <w:lang w:val="es-ES"/>
        </w:rPr>
        <w:t xml:space="preserve">El cálculo incorrecto de </w:t>
      </w:r>
      <w:r>
        <w:rPr>
          <w:rFonts w:cs="Arial"/>
          <w:lang w:val="es-ES"/>
        </w:rPr>
        <w:t xml:space="preserve">las </w:t>
      </w:r>
      <w:r w:rsidRPr="00572CB5">
        <w:rPr>
          <w:rFonts w:cs="Arial"/>
          <w:lang w:val="es-ES"/>
        </w:rPr>
        <w:t xml:space="preserve">tasas (33,8%) y los errores en </w:t>
      </w:r>
      <w:r>
        <w:rPr>
          <w:rFonts w:cs="Arial"/>
          <w:lang w:val="es-ES"/>
        </w:rPr>
        <w:t>la inscripción</w:t>
      </w:r>
      <w:r w:rsidRPr="00572CB5">
        <w:rPr>
          <w:rFonts w:cs="Arial"/>
          <w:lang w:val="es-ES"/>
        </w:rPr>
        <w:t xml:space="preserve"> de las designaciones (32,5%) </w:t>
      </w:r>
      <w:r>
        <w:rPr>
          <w:rFonts w:cs="Arial"/>
          <w:lang w:val="es-ES"/>
        </w:rPr>
        <w:t>representaron,</w:t>
      </w:r>
      <w:r w:rsidRPr="00572CB5">
        <w:rPr>
          <w:rFonts w:cs="Arial"/>
          <w:lang w:val="es-ES"/>
        </w:rPr>
        <w:t xml:space="preserve"> de manera conjunta, </w:t>
      </w:r>
      <w:r>
        <w:rPr>
          <w:rFonts w:cs="Arial"/>
          <w:lang w:val="es-ES"/>
        </w:rPr>
        <w:t xml:space="preserve">dos terceras partes de las correcciones realizadas en relación con las renovaciones en </w:t>
      </w:r>
      <w:r w:rsidRPr="00572CB5">
        <w:rPr>
          <w:rFonts w:cs="Arial"/>
          <w:lang w:val="es-ES"/>
        </w:rPr>
        <w:t>2015.</w:t>
      </w:r>
    </w:p>
    <w:p w:rsidR="0023753C" w:rsidRPr="00572CB5" w:rsidRDefault="0023753C" w:rsidP="00DC1333">
      <w:pPr>
        <w:pStyle w:val="ListParagraph"/>
        <w:rPr>
          <w:rFonts w:cs="Arial"/>
          <w:lang w:val="es-ES"/>
        </w:rPr>
      </w:pPr>
    </w:p>
    <w:p w:rsidR="0023753C" w:rsidRPr="00572CB5" w:rsidRDefault="0023753C" w:rsidP="00DC1333">
      <w:pPr>
        <w:pStyle w:val="ListParagraph"/>
        <w:rPr>
          <w:rFonts w:cs="Arial"/>
          <w:lang w:val="es-ES"/>
        </w:rPr>
      </w:pPr>
    </w:p>
    <w:p w:rsidR="0023753C" w:rsidRPr="00572CB5" w:rsidRDefault="006E48FE" w:rsidP="006E48FE">
      <w:pPr>
        <w:pStyle w:val="ListParagraph"/>
        <w:jc w:val="right"/>
        <w:rPr>
          <w:rFonts w:cs="Arial"/>
          <w:lang w:val="es-ES"/>
        </w:rPr>
      </w:pPr>
      <w:r>
        <w:rPr>
          <w:rFonts w:cs="Arial"/>
          <w:lang w:val="es-ES"/>
        </w:rPr>
        <w:t>[Fin del Anexo]</w:t>
      </w:r>
    </w:p>
    <w:p w:rsidR="0023753C" w:rsidRPr="00572CB5" w:rsidRDefault="0023753C" w:rsidP="00DC1333">
      <w:pPr>
        <w:pStyle w:val="ListParagraph"/>
        <w:rPr>
          <w:rFonts w:cs="Arial"/>
          <w:lang w:val="es-ES"/>
        </w:rPr>
      </w:pPr>
    </w:p>
    <w:p w:rsidR="0023753C" w:rsidRPr="00572CB5" w:rsidRDefault="0023753C" w:rsidP="00DC1333">
      <w:pPr>
        <w:pStyle w:val="ListParagraph"/>
        <w:rPr>
          <w:rFonts w:cs="Arial"/>
          <w:lang w:val="es-ES"/>
        </w:rPr>
      </w:pPr>
    </w:p>
    <w:p w:rsidR="0023753C" w:rsidRPr="00572CB5" w:rsidRDefault="0023753C" w:rsidP="00DC1333">
      <w:pPr>
        <w:pStyle w:val="ListParagraph"/>
        <w:rPr>
          <w:rFonts w:cs="Arial"/>
          <w:lang w:val="es-ES"/>
        </w:rPr>
      </w:pPr>
    </w:p>
    <w:p w:rsidR="00212829" w:rsidRDefault="00212829">
      <w:r>
        <w:br w:type="page"/>
      </w:r>
    </w:p>
    <w:p w:rsidR="002640BF" w:rsidRPr="00B5757D" w:rsidRDefault="002640BF" w:rsidP="00DC1333">
      <w:pPr>
        <w:pStyle w:val="Heading2"/>
        <w:keepNext w:val="0"/>
        <w:widowControl w:val="0"/>
        <w:ind w:left="2410" w:hanging="2410"/>
        <w:rPr>
          <w:b/>
        </w:rPr>
      </w:pPr>
      <w:bookmarkStart w:id="84" w:name="_Toc455159079"/>
      <w:r w:rsidRPr="00B5757D">
        <w:rPr>
          <w:b/>
        </w:rPr>
        <w:lastRenderedPageBreak/>
        <w:t>PROGRAMA 31</w:t>
      </w:r>
      <w:r w:rsidRPr="00B5757D">
        <w:rPr>
          <w:b/>
        </w:rPr>
        <w:tab/>
        <w:t>SISTEMA DE LA HAYA</w:t>
      </w:r>
      <w:bookmarkEnd w:id="84"/>
    </w:p>
    <w:p w:rsidR="002640BF" w:rsidRPr="00B5757D" w:rsidRDefault="002640BF" w:rsidP="00DC1333">
      <w:pPr>
        <w:widowControl w:val="0"/>
      </w:pPr>
    </w:p>
    <w:p w:rsidR="002640BF" w:rsidRPr="00B5757D" w:rsidRDefault="002640BF" w:rsidP="00DC1333">
      <w:pPr>
        <w:widowControl w:val="0"/>
        <w:tabs>
          <w:tab w:val="left" w:pos="2410"/>
        </w:tabs>
        <w:rPr>
          <w:b/>
          <w:sz w:val="20"/>
        </w:rPr>
      </w:pPr>
      <w:r w:rsidRPr="00B5757D">
        <w:rPr>
          <w:b/>
          <w:sz w:val="20"/>
        </w:rPr>
        <w:t>Directora de programa</w:t>
      </w:r>
      <w:r w:rsidRPr="00B5757D">
        <w:rPr>
          <w:b/>
          <w:sz w:val="20"/>
        </w:rPr>
        <w:tab/>
        <w:t>Sra. B. Wang</w:t>
      </w:r>
    </w:p>
    <w:p w:rsidR="002640BF" w:rsidRPr="00B5757D" w:rsidRDefault="002640BF" w:rsidP="00DC1333">
      <w:pPr>
        <w:widowControl w:val="0"/>
        <w:rPr>
          <w:sz w:val="20"/>
        </w:rPr>
      </w:pPr>
    </w:p>
    <w:p w:rsidR="002640BF" w:rsidRPr="00B5757D" w:rsidRDefault="002640BF" w:rsidP="00DC1333">
      <w:pPr>
        <w:widowControl w:val="0"/>
        <w:rPr>
          <w:sz w:val="20"/>
        </w:rPr>
      </w:pPr>
    </w:p>
    <w:p w:rsidR="002640BF" w:rsidRPr="00B5757D" w:rsidRDefault="008F7CBE" w:rsidP="00DC1333">
      <w:pPr>
        <w:widowControl w:val="0"/>
        <w:rPr>
          <w:bCs/>
          <w:szCs w:val="22"/>
        </w:rPr>
      </w:pPr>
      <w:r w:rsidRPr="008F7CBE">
        <w:rPr>
          <w:bCs/>
          <w:sz w:val="20"/>
          <w:szCs w:val="22"/>
        </w:rPr>
        <w:t>LOGROS ALCANZADOS EN EL BIENIO 2014/15</w:t>
      </w:r>
    </w:p>
    <w:p w:rsidR="002640BF" w:rsidRPr="00B5757D" w:rsidRDefault="002640BF" w:rsidP="00DC1333">
      <w:pPr>
        <w:widowControl w:val="0"/>
      </w:pPr>
    </w:p>
    <w:p w:rsidR="002640BF" w:rsidRPr="00B5757D" w:rsidRDefault="002640BF" w:rsidP="002640BF">
      <w:pPr>
        <w:pStyle w:val="ListParagraph"/>
        <w:widowControl w:val="0"/>
        <w:numPr>
          <w:ilvl w:val="0"/>
          <w:numId w:val="39"/>
        </w:numPr>
        <w:tabs>
          <w:tab w:val="left" w:pos="709"/>
        </w:tabs>
        <w:ind w:left="0" w:firstLine="0"/>
        <w:jc w:val="both"/>
        <w:rPr>
          <w:lang w:val="es-ES"/>
        </w:rPr>
      </w:pPr>
      <w:r w:rsidRPr="00B5757D">
        <w:rPr>
          <w:lang w:val="es-ES"/>
        </w:rPr>
        <w:t xml:space="preserve">El Sistema de La Haya experimentó un buen crecimiento durante el bienio 2014/15.  En 2014 la República de Corea pasó a ser parte en el Acta de Ginebra (1999) del Arreglo de La Haya relativo al registro internacional de dibujos y modelos industriales (denominado en lo sucesivo "el Acta de 1999"), y en 2015 hicieron lo propio los Estados Unidos de América, el Japón y Turkmenistán.  </w:t>
      </w:r>
      <w:r w:rsidRPr="00B5757D">
        <w:rPr>
          <w:color w:val="000000"/>
          <w:lang w:val="es-ES"/>
        </w:rPr>
        <w:t>Con estas adhesiones se alcanzaron las 50 Partes Contratantes en el Acta.  Aun cuando esta cifra sigue estando por debajo del objetivo, las adhesiones en particular de la República de Corea, los Estados Unidos de América y el Japón, que ocupan respectivamente los puestos tercero, cuarto y quinto entre las jurisdicciones en que más solicitudes de registro de dibujos y modelos industriales se presentan a nivel mundial, aumentaron notablemente el atractivo del Sistema de La Haya.  Por consiguiente, en 2015 las solicitudes internacionales aumentaron más de un 40%, cifra muy sup</w:t>
      </w:r>
      <w:r>
        <w:rPr>
          <w:color w:val="000000"/>
          <w:lang w:val="es-ES"/>
        </w:rPr>
        <w:t>erior al incremento previsto en </w:t>
      </w:r>
      <w:r w:rsidRPr="00B5757D">
        <w:rPr>
          <w:color w:val="000000"/>
          <w:lang w:val="es-ES"/>
        </w:rPr>
        <w:t>2014.</w:t>
      </w:r>
      <w:r w:rsidR="00DA11AF">
        <w:rPr>
          <w:color w:val="000000"/>
          <w:lang w:val="es-ES"/>
        </w:rPr>
        <w:t xml:space="preserve">  </w:t>
      </w:r>
      <w:r w:rsidRPr="00B5757D">
        <w:rPr>
          <w:color w:val="000000"/>
          <w:lang w:val="es-ES"/>
        </w:rPr>
        <w:t>También debido a esta ampliación, al término del bienio algunas otras posibles Partes Contratantes daban ya importantes muestras de interés por adherirse, incluidos países obligados por actas más antiguas.  En este sentido, a finales de 2015 solo</w:t>
      </w:r>
      <w:r w:rsidRPr="00B5757D">
        <w:rPr>
          <w:lang w:val="es-ES"/>
        </w:rPr>
        <w:t xml:space="preserve"> se necesitaban dos autorizaciones para el cese de la aplicación del Acta de 1934, y cuatro Partes Contratantes al margen de la Unión Europea (UE) y la Organización Africana de la Propiedad Intelectual (OAPI) continuaban obligadas exclusivamente por el Acta de 1960.</w:t>
      </w:r>
    </w:p>
    <w:p w:rsidR="002640BF" w:rsidRPr="00B5757D" w:rsidRDefault="002640BF" w:rsidP="00DC1333">
      <w:pPr>
        <w:pStyle w:val="ListParagraph"/>
        <w:widowControl w:val="0"/>
        <w:tabs>
          <w:tab w:val="left" w:pos="709"/>
        </w:tabs>
        <w:ind w:left="0"/>
        <w:jc w:val="both"/>
        <w:rPr>
          <w:lang w:val="es-ES"/>
        </w:rPr>
      </w:pPr>
    </w:p>
    <w:p w:rsidR="002640BF" w:rsidRPr="00B5757D" w:rsidRDefault="002640BF" w:rsidP="002640BF">
      <w:pPr>
        <w:pStyle w:val="ListParagraph"/>
        <w:widowControl w:val="0"/>
        <w:numPr>
          <w:ilvl w:val="0"/>
          <w:numId w:val="39"/>
        </w:numPr>
        <w:tabs>
          <w:tab w:val="left" w:pos="709"/>
        </w:tabs>
        <w:ind w:left="0" w:firstLine="0"/>
        <w:jc w:val="both"/>
        <w:rPr>
          <w:lang w:val="es-ES"/>
        </w:rPr>
      </w:pPr>
      <w:r w:rsidRPr="00B5757D">
        <w:rPr>
          <w:lang w:val="es-ES"/>
        </w:rPr>
        <w:t xml:space="preserve">Sin embargo, la incorporación de los países mencionados tuvo un costo, ya que conllevó la aplicación de algunas de las características más complejas del Sistema, como las relativas al requisito de una declaración jurada del creador o el pago en dos cuotas de una tasa individual, y además obligó a desarrollar nuevas características, por ejemplo las relacionadas con la noción de dibujos o modelos conexos.  Para hacer frente a todo ello se han efectuado una serie de actualizaciones y adiciones al sistema de examen, el sistema de presentación electrónica y los formularios, a fin de incorporar los nuevos requisitos con fluidez.  En lo que respecta a la información que se suministra a los usuarios, la completa renovación de la base de datos </w:t>
      </w:r>
      <w:proofErr w:type="spellStart"/>
      <w:r w:rsidRPr="00B5757D">
        <w:rPr>
          <w:lang w:val="es-ES"/>
        </w:rPr>
        <w:t>Hague</w:t>
      </w:r>
      <w:proofErr w:type="spellEnd"/>
      <w:r w:rsidRPr="00B5757D">
        <w:rPr>
          <w:lang w:val="es-ES"/>
        </w:rPr>
        <w:t xml:space="preserve"> Express y la integración de los datos de La Haya en la Base Mundial de Datos sobre Dibujos y Modelos Industriales aumentaron la calidad de información que se encuentra a disposición de los usuarios finales, las oficinas y los terceros.  La Guía de La Haya se ha convertido totalmente a un formato web para facilitar el acceso, con la posibilidad incluso de acceder directamente desde la interfaz de presentación electrónica de solicitudes.  A pesar del aumento repentino de solicitudes registrado en 2015 y la mayor complejidad, las operaciones del Sistema de La Haya absorbieron el crecimiento y consiguieron mantener un nivel de puntualidad acorde con la media de los cinco años anteriores.  Esto se tradujo en una disminución del 8% del costo unitario por dibujo o modelo industrial entre 2014 y 2015, y del 22% del costo unitario por documento durante el mismo período de tiempo.  Se han automatizado dos nuevos procesos, concretamente la recepción y tramitación por la Oficina de la República de Corea (KIPO) de las solicitudes presentadas indirectamente y el examen de las declaraciones de concesión de protección que envía la </w:t>
      </w:r>
      <w:r w:rsidRPr="00B5757D">
        <w:rPr>
          <w:rStyle w:val="preferred"/>
          <w:lang w:val="es-ES"/>
        </w:rPr>
        <w:t>Oficina de Armonización del Mercado Interior (OAMI) de la Unión Europea, con lo que ya son cuatro los procesos automatizados.</w:t>
      </w:r>
    </w:p>
    <w:p w:rsidR="002640BF" w:rsidRPr="00B5757D" w:rsidRDefault="002640BF" w:rsidP="00DC1333">
      <w:pPr>
        <w:widowControl w:val="0"/>
        <w:tabs>
          <w:tab w:val="left" w:pos="709"/>
        </w:tabs>
        <w:jc w:val="both"/>
      </w:pPr>
    </w:p>
    <w:p w:rsidR="002640BF" w:rsidRPr="00B5757D" w:rsidRDefault="002640BF" w:rsidP="002640BF">
      <w:pPr>
        <w:pStyle w:val="ListParagraph"/>
        <w:widowControl w:val="0"/>
        <w:numPr>
          <w:ilvl w:val="0"/>
          <w:numId w:val="39"/>
        </w:numPr>
        <w:tabs>
          <w:tab w:val="left" w:pos="709"/>
        </w:tabs>
        <w:ind w:left="0" w:firstLine="0"/>
        <w:jc w:val="both"/>
        <w:rPr>
          <w:lang w:val="es-ES"/>
        </w:rPr>
      </w:pPr>
      <w:r w:rsidRPr="00B5757D">
        <w:rPr>
          <w:color w:val="000000"/>
          <w:lang w:val="es-ES"/>
        </w:rPr>
        <w:t xml:space="preserve">En el bienio 2014/15 se lograron avances significativos en la mejora del marco jurídico del </w:t>
      </w:r>
      <w:r w:rsidRPr="00B5757D">
        <w:rPr>
          <w:lang w:val="es-ES"/>
        </w:rPr>
        <w:t xml:space="preserve">Sistema de La Haya.  </w:t>
      </w:r>
      <w:r w:rsidRPr="00B5757D">
        <w:rPr>
          <w:color w:val="000000"/>
          <w:lang w:val="es-ES"/>
        </w:rPr>
        <w:t xml:space="preserve">Cabe destacar que, tras la cuarta reunión del Grupo de Trabajo sobre el Desarrollo Jurídico del Sistema de La Haya para el Registro Internacional de Dibujos y Modelos Industriales, la Asamblea de la Unión de La Haya adoptó disposiciones que entraron en vigor el 1 de enero de 2015, y permitieron la introducción de un "mecanismo de información" a fin de garantizar la disponibilidad pública de la información relacionada con las modificaciones de dibujos y modelos industriales a los que se ha concedido protección mediante su registro internacional, tras haberse efectuado el trámite correspondiente en la oficina de una Parte Contratante designada. </w:t>
      </w:r>
      <w:r w:rsidRPr="00B5757D">
        <w:rPr>
          <w:lang w:val="es-ES"/>
        </w:rPr>
        <w:t xml:space="preserve"> </w:t>
      </w:r>
      <w:r w:rsidRPr="00B5757D">
        <w:rPr>
          <w:color w:val="000000"/>
          <w:lang w:val="es-ES"/>
        </w:rPr>
        <w:t xml:space="preserve">Además, se introdujeron modificaciones de las Instrucciones Administrativas para que los usuarios dispongan de mayor flexibilidad respecto de la divulgación de sus dibujos y modelos industriales, que entraron en vigor el 1 de julio de 2014. </w:t>
      </w:r>
      <w:r w:rsidRPr="00B5757D">
        <w:rPr>
          <w:lang w:val="es-ES"/>
        </w:rPr>
        <w:t xml:space="preserve"> </w:t>
      </w:r>
      <w:r w:rsidRPr="00B5757D">
        <w:rPr>
          <w:color w:val="000000"/>
          <w:lang w:val="es-ES"/>
        </w:rPr>
        <w:t xml:space="preserve">Estos dos hechos establecieron los cimientos necesarios para avanzar en la tan esperada expansión a jurisdicciones donde se llevan a </w:t>
      </w:r>
      <w:r w:rsidRPr="00B5757D">
        <w:rPr>
          <w:lang w:val="es-ES"/>
        </w:rPr>
        <w:t>cabo exámenes sustantivos</w:t>
      </w:r>
      <w:r w:rsidRPr="00B5757D">
        <w:rPr>
          <w:color w:val="000000"/>
          <w:lang w:val="es-ES"/>
        </w:rPr>
        <w:t>.</w:t>
      </w:r>
      <w:r w:rsidRPr="00B5757D">
        <w:rPr>
          <w:lang w:val="es-ES"/>
        </w:rPr>
        <w:t xml:space="preserve">  </w:t>
      </w:r>
      <w:r w:rsidRPr="00B5757D">
        <w:rPr>
          <w:color w:val="000000"/>
          <w:lang w:val="es-ES"/>
        </w:rPr>
        <w:t>Además de las modificaciones realizadas a la interfaz de presentación electrónica de solicitudes, se ha equipado el Sistema para hacer frente a las complejidades adicionales, lo que ha hecho posibles las adhesiones de los Estados Unidos de América, el Japón y la República de Corea.</w:t>
      </w:r>
    </w:p>
    <w:p w:rsidR="002640BF" w:rsidRPr="00B5757D" w:rsidRDefault="002640BF" w:rsidP="00DC1333">
      <w:pPr>
        <w:widowControl w:val="0"/>
        <w:tabs>
          <w:tab w:val="left" w:pos="709"/>
        </w:tabs>
        <w:jc w:val="both"/>
      </w:pPr>
    </w:p>
    <w:p w:rsidR="002640BF" w:rsidRPr="00B5757D" w:rsidRDefault="002640BF" w:rsidP="002640BF">
      <w:pPr>
        <w:pStyle w:val="ListParagraph"/>
        <w:keepNext/>
        <w:keepLines/>
        <w:widowControl w:val="0"/>
        <w:numPr>
          <w:ilvl w:val="0"/>
          <w:numId w:val="39"/>
        </w:numPr>
        <w:tabs>
          <w:tab w:val="left" w:pos="709"/>
        </w:tabs>
        <w:ind w:left="0" w:firstLine="0"/>
        <w:jc w:val="both"/>
        <w:rPr>
          <w:lang w:val="es-ES"/>
        </w:rPr>
      </w:pPr>
      <w:r w:rsidRPr="00B5757D">
        <w:rPr>
          <w:lang w:val="es-ES"/>
        </w:rPr>
        <w:lastRenderedPageBreak/>
        <w:t>Para el diseño, la planificación y la ejecución de las actividades del programa 31 se tomó como base y guía las recomendaciones pertinentes de la Agenda para el Desarrollo, en particular las recomendaciones 1 y 6.</w:t>
      </w:r>
    </w:p>
    <w:p w:rsidR="002640BF" w:rsidRPr="00B5757D" w:rsidRDefault="002640BF" w:rsidP="00DC1333">
      <w:pPr>
        <w:widowControl w:val="0"/>
        <w:rPr>
          <w:bCs/>
          <w:szCs w:val="22"/>
        </w:rPr>
      </w:pPr>
    </w:p>
    <w:p w:rsidR="002640BF" w:rsidRPr="00B5757D" w:rsidRDefault="002640BF" w:rsidP="00DC1333">
      <w:pPr>
        <w:widowControl w:val="0"/>
        <w:rPr>
          <w:bCs/>
          <w:szCs w:val="22"/>
        </w:rPr>
      </w:pPr>
    </w:p>
    <w:p w:rsidR="002640BF" w:rsidRPr="00B5757D" w:rsidRDefault="008F7CBE" w:rsidP="00DC1333">
      <w:pPr>
        <w:widowControl w:val="0"/>
        <w:rPr>
          <w:szCs w:val="22"/>
        </w:rPr>
      </w:pPr>
      <w:r w:rsidRPr="008F7CBE">
        <w:rPr>
          <w:sz w:val="20"/>
          <w:szCs w:val="22"/>
        </w:rPr>
        <w:t>DATOS SOBRE EL RENDIMIENTO</w:t>
      </w:r>
    </w:p>
    <w:p w:rsidR="002640BF" w:rsidRPr="00B5757D" w:rsidRDefault="002640BF" w:rsidP="00DC1333">
      <w:pPr>
        <w:widowControl w:val="0"/>
        <w:rPr>
          <w:bCs/>
          <w:szCs w:val="22"/>
        </w:rPr>
      </w:pPr>
    </w:p>
    <w:tbl>
      <w:tblPr>
        <w:tblW w:w="4877"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084"/>
        <w:gridCol w:w="9"/>
        <w:gridCol w:w="35"/>
        <w:gridCol w:w="2125"/>
        <w:gridCol w:w="90"/>
        <w:gridCol w:w="1540"/>
        <w:gridCol w:w="37"/>
        <w:gridCol w:w="32"/>
        <w:gridCol w:w="1987"/>
        <w:gridCol w:w="1397"/>
      </w:tblGrid>
      <w:tr w:rsidR="002640BF" w:rsidRPr="00B5757D" w:rsidTr="00DC1333">
        <w:trPr>
          <w:cantSplit/>
          <w:trHeight w:val="559"/>
        </w:trPr>
        <w:tc>
          <w:tcPr>
            <w:tcW w:w="5000" w:type="pct"/>
            <w:gridSpan w:val="10"/>
            <w:tcBorders>
              <w:top w:val="single" w:sz="4" w:space="0" w:color="auto"/>
              <w:bottom w:val="single" w:sz="4" w:space="0" w:color="auto"/>
            </w:tcBorders>
            <w:shd w:val="clear" w:color="auto" w:fill="C6D9F1" w:themeFill="text2" w:themeFillTint="33"/>
            <w:vAlign w:val="center"/>
          </w:tcPr>
          <w:p w:rsidR="002640BF" w:rsidRPr="00B5757D" w:rsidRDefault="002640BF" w:rsidP="00DC1333">
            <w:pPr>
              <w:widowControl w:val="0"/>
              <w:ind w:left="2019" w:hanging="2019"/>
              <w:rPr>
                <w:b/>
                <w:bCs/>
                <w:sz w:val="16"/>
                <w:szCs w:val="16"/>
              </w:rPr>
            </w:pPr>
            <w:r w:rsidRPr="00B5757D">
              <w:rPr>
                <w:b/>
                <w:bCs/>
                <w:color w:val="000000"/>
                <w:sz w:val="16"/>
                <w:szCs w:val="16"/>
              </w:rPr>
              <w:t>Resultados previstos</w:t>
            </w:r>
            <w:r w:rsidRPr="00B5757D">
              <w:rPr>
                <w:bCs/>
                <w:sz w:val="16"/>
                <w:szCs w:val="16"/>
              </w:rPr>
              <w:t>:</w:t>
            </w:r>
            <w:r w:rsidRPr="00B5757D">
              <w:rPr>
                <w:bCs/>
              </w:rPr>
              <w:t xml:space="preserve"> </w:t>
            </w:r>
            <w:r w:rsidRPr="00B5757D">
              <w:rPr>
                <w:bCs/>
              </w:rPr>
              <w:tab/>
            </w:r>
            <w:r w:rsidRPr="00B5757D">
              <w:rPr>
                <w:bCs/>
                <w:sz w:val="16"/>
                <w:szCs w:val="16"/>
              </w:rPr>
              <w:t xml:space="preserve">II.4 </w:t>
            </w:r>
            <w:r w:rsidRPr="00B5757D">
              <w:rPr>
                <w:sz w:val="16"/>
                <w:szCs w:val="16"/>
              </w:rPr>
              <w:t>Ampliación</w:t>
            </w:r>
            <w:r w:rsidRPr="00B5757D">
              <w:rPr>
                <w:bCs/>
                <w:sz w:val="16"/>
                <w:szCs w:val="16"/>
              </w:rPr>
              <w:t xml:space="preserve"> y mejora del uso del Sistema de La Haya por los países en desarrollo y los PMA, entre otros</w:t>
            </w:r>
          </w:p>
        </w:tc>
      </w:tr>
      <w:tr w:rsidR="002640BF" w:rsidRPr="00B5757D" w:rsidTr="00DC1333">
        <w:trPr>
          <w:cantSplit/>
        </w:trPr>
        <w:tc>
          <w:tcPr>
            <w:tcW w:w="1116" w:type="pct"/>
            <w:tcBorders>
              <w:top w:val="single" w:sz="4" w:space="0" w:color="auto"/>
            </w:tcBorders>
            <w:shd w:val="clear" w:color="auto" w:fill="auto"/>
            <w:vAlign w:val="center"/>
          </w:tcPr>
          <w:p w:rsidR="002640BF" w:rsidRPr="00B5757D" w:rsidRDefault="002640BF" w:rsidP="00DC1333">
            <w:pPr>
              <w:widowControl w:val="0"/>
              <w:rPr>
                <w:sz w:val="16"/>
                <w:szCs w:val="16"/>
              </w:rPr>
            </w:pPr>
            <w:r w:rsidRPr="00B5757D">
              <w:rPr>
                <w:b/>
                <w:sz w:val="16"/>
                <w:szCs w:val="16"/>
              </w:rPr>
              <w:t>Indicadores de rendimiento</w:t>
            </w:r>
          </w:p>
        </w:tc>
        <w:tc>
          <w:tcPr>
            <w:tcW w:w="1210" w:type="pct"/>
            <w:gridSpan w:val="4"/>
            <w:tcBorders>
              <w:top w:val="single" w:sz="4" w:space="0" w:color="auto"/>
            </w:tcBorders>
            <w:shd w:val="clear" w:color="auto" w:fill="auto"/>
            <w:vAlign w:val="center"/>
          </w:tcPr>
          <w:p w:rsidR="002640BF" w:rsidRPr="00B5757D" w:rsidRDefault="002640BF" w:rsidP="00DC1333">
            <w:pPr>
              <w:widowControl w:val="0"/>
              <w:rPr>
                <w:b/>
                <w:bCs/>
                <w:sz w:val="16"/>
                <w:szCs w:val="16"/>
              </w:rPr>
            </w:pPr>
            <w:r w:rsidRPr="00B5757D">
              <w:rPr>
                <w:b/>
                <w:bCs/>
                <w:sz w:val="16"/>
                <w:szCs w:val="16"/>
              </w:rPr>
              <w:t>Referencia</w:t>
            </w:r>
          </w:p>
        </w:tc>
        <w:tc>
          <w:tcPr>
            <w:tcW w:w="825" w:type="pct"/>
            <w:tcBorders>
              <w:top w:val="single" w:sz="4" w:space="0" w:color="auto"/>
            </w:tcBorders>
            <w:shd w:val="clear" w:color="auto" w:fill="auto"/>
            <w:tcMar>
              <w:top w:w="110" w:type="dxa"/>
            </w:tcMar>
            <w:vAlign w:val="center"/>
          </w:tcPr>
          <w:p w:rsidR="002640BF" w:rsidRPr="00B5757D" w:rsidRDefault="002640BF" w:rsidP="00DC1333">
            <w:pPr>
              <w:widowControl w:val="0"/>
              <w:rPr>
                <w:b/>
                <w:sz w:val="16"/>
                <w:szCs w:val="16"/>
              </w:rPr>
            </w:pPr>
            <w:r w:rsidRPr="00B5757D">
              <w:rPr>
                <w:b/>
                <w:sz w:val="16"/>
                <w:szCs w:val="16"/>
              </w:rPr>
              <w:t>Objetivos</w:t>
            </w:r>
          </w:p>
        </w:tc>
        <w:tc>
          <w:tcPr>
            <w:tcW w:w="1101" w:type="pct"/>
            <w:gridSpan w:val="3"/>
            <w:tcBorders>
              <w:top w:val="single" w:sz="4" w:space="0" w:color="auto"/>
            </w:tcBorders>
            <w:shd w:val="clear" w:color="auto" w:fill="FFFFFF"/>
            <w:tcMar>
              <w:top w:w="110" w:type="dxa"/>
            </w:tcMar>
            <w:vAlign w:val="center"/>
          </w:tcPr>
          <w:p w:rsidR="002640BF" w:rsidRPr="00B5757D" w:rsidRDefault="002640BF" w:rsidP="00DC1333">
            <w:pPr>
              <w:widowControl w:val="0"/>
              <w:rPr>
                <w:sz w:val="16"/>
                <w:szCs w:val="16"/>
              </w:rPr>
            </w:pPr>
            <w:r w:rsidRPr="00B5757D">
              <w:rPr>
                <w:b/>
                <w:sz w:val="16"/>
                <w:szCs w:val="16"/>
              </w:rPr>
              <w:t>Datos sobre el rendimiento</w:t>
            </w:r>
          </w:p>
        </w:tc>
        <w:tc>
          <w:tcPr>
            <w:tcW w:w="748" w:type="pct"/>
            <w:tcBorders>
              <w:top w:val="single" w:sz="4" w:space="0" w:color="auto"/>
              <w:bottom w:val="nil"/>
            </w:tcBorders>
            <w:shd w:val="clear" w:color="auto" w:fill="auto"/>
            <w:tcMar>
              <w:top w:w="110" w:type="dxa"/>
            </w:tcMar>
            <w:vAlign w:val="center"/>
          </w:tcPr>
          <w:p w:rsidR="002640BF" w:rsidRPr="00B5757D" w:rsidRDefault="002640BF" w:rsidP="00DC1333">
            <w:pPr>
              <w:widowControl w:val="0"/>
              <w:jc w:val="center"/>
              <w:rPr>
                <w:b/>
                <w:bCs/>
                <w:color w:val="808080"/>
                <w:sz w:val="16"/>
                <w:szCs w:val="16"/>
              </w:rPr>
            </w:pPr>
            <w:r w:rsidRPr="00B5757D">
              <w:rPr>
                <w:b/>
                <w:bCs/>
                <w:sz w:val="16"/>
                <w:szCs w:val="16"/>
              </w:rPr>
              <w:t>Clave de colores</w:t>
            </w:r>
          </w:p>
        </w:tc>
      </w:tr>
      <w:tr w:rsidR="002640BF" w:rsidRPr="00B5757D" w:rsidTr="00DC1333">
        <w:trPr>
          <w:cantSplit/>
          <w:trHeight w:val="1381"/>
        </w:trPr>
        <w:tc>
          <w:tcPr>
            <w:tcW w:w="1116" w:type="pct"/>
            <w:shd w:val="clear" w:color="auto" w:fill="auto"/>
          </w:tcPr>
          <w:p w:rsidR="002640BF" w:rsidRPr="00B5757D" w:rsidRDefault="002640BF" w:rsidP="00DC1333">
            <w:pPr>
              <w:widowControl w:val="0"/>
              <w:rPr>
                <w:sz w:val="16"/>
                <w:szCs w:val="16"/>
              </w:rPr>
            </w:pPr>
            <w:r w:rsidRPr="00B5757D">
              <w:rPr>
                <w:sz w:val="16"/>
                <w:szCs w:val="16"/>
              </w:rPr>
              <w:t>Número de miembros del Acta de Ginebra (1999)</w:t>
            </w:r>
          </w:p>
        </w:tc>
        <w:tc>
          <w:tcPr>
            <w:tcW w:w="1210" w:type="pct"/>
            <w:gridSpan w:val="4"/>
            <w:shd w:val="clear" w:color="auto" w:fill="auto"/>
          </w:tcPr>
          <w:p w:rsidR="002640BF" w:rsidRPr="00B5757D" w:rsidRDefault="002640BF" w:rsidP="00DC1333">
            <w:pPr>
              <w:rPr>
                <w:i/>
                <w:color w:val="002060"/>
                <w:sz w:val="16"/>
                <w:szCs w:val="16"/>
              </w:rPr>
            </w:pPr>
            <w:r w:rsidRPr="00B5757D">
              <w:rPr>
                <w:i/>
                <w:color w:val="002060"/>
                <w:sz w:val="16"/>
                <w:szCs w:val="16"/>
              </w:rPr>
              <w:t>Referencia actualizada a fines de 2013:  46 Partes Contratantes (fines de 2013)</w:t>
            </w:r>
          </w:p>
          <w:p w:rsidR="002640BF" w:rsidRPr="00B5757D" w:rsidRDefault="002640BF" w:rsidP="00DC1333">
            <w:pPr>
              <w:widowControl w:val="0"/>
              <w:rPr>
                <w:sz w:val="16"/>
                <w:szCs w:val="16"/>
              </w:rPr>
            </w:pPr>
          </w:p>
          <w:p w:rsidR="002640BF" w:rsidRPr="00B5757D" w:rsidRDefault="002640BF" w:rsidP="00DC1333">
            <w:pPr>
              <w:widowControl w:val="0"/>
              <w:rPr>
                <w:sz w:val="16"/>
                <w:szCs w:val="16"/>
              </w:rPr>
            </w:pPr>
            <w:r w:rsidRPr="00B5757D">
              <w:rPr>
                <w:i/>
                <w:sz w:val="16"/>
                <w:szCs w:val="16"/>
              </w:rPr>
              <w:t xml:space="preserve">Referencia original en el presupuesto de 2014/15:  </w:t>
            </w:r>
            <w:r w:rsidRPr="00B5757D">
              <w:rPr>
                <w:sz w:val="16"/>
                <w:szCs w:val="16"/>
              </w:rPr>
              <w:t>45 Partes Contratantes</w:t>
            </w:r>
          </w:p>
        </w:tc>
        <w:tc>
          <w:tcPr>
            <w:tcW w:w="825" w:type="pct"/>
            <w:shd w:val="clear" w:color="auto" w:fill="auto"/>
            <w:tcMar>
              <w:top w:w="110" w:type="dxa"/>
            </w:tcMar>
          </w:tcPr>
          <w:p w:rsidR="002640BF" w:rsidRPr="00B5757D" w:rsidRDefault="002640BF" w:rsidP="00DC1333">
            <w:pPr>
              <w:widowControl w:val="0"/>
              <w:rPr>
                <w:sz w:val="16"/>
                <w:szCs w:val="16"/>
              </w:rPr>
            </w:pPr>
            <w:r w:rsidRPr="00B5757D">
              <w:rPr>
                <w:sz w:val="16"/>
                <w:szCs w:val="16"/>
              </w:rPr>
              <w:t>58 Partes Contratantes</w:t>
            </w:r>
          </w:p>
        </w:tc>
        <w:tc>
          <w:tcPr>
            <w:tcW w:w="1101" w:type="pct"/>
            <w:gridSpan w:val="3"/>
            <w:shd w:val="clear" w:color="auto" w:fill="FFFFFF"/>
            <w:tcMar>
              <w:top w:w="110" w:type="dxa"/>
            </w:tcMar>
          </w:tcPr>
          <w:p w:rsidR="002640BF" w:rsidRPr="00B5757D" w:rsidRDefault="002640BF" w:rsidP="00DC1333">
            <w:pPr>
              <w:widowControl w:val="0"/>
              <w:rPr>
                <w:sz w:val="16"/>
                <w:szCs w:val="16"/>
              </w:rPr>
            </w:pPr>
            <w:r w:rsidRPr="00B5757D">
              <w:rPr>
                <w:sz w:val="16"/>
                <w:szCs w:val="16"/>
                <w:lang w:bidi="th-TH"/>
              </w:rPr>
              <w:t>50 Partes Contratantes del Acta de Ginebra (fines de 2015)</w:t>
            </w:r>
          </w:p>
        </w:tc>
        <w:tc>
          <w:tcPr>
            <w:tcW w:w="748" w:type="pct"/>
            <w:tcBorders>
              <w:top w:val="nil"/>
              <w:bottom w:val="nil"/>
            </w:tcBorders>
            <w:shd w:val="clear" w:color="auto" w:fill="auto"/>
            <w:tcMar>
              <w:top w:w="110" w:type="dxa"/>
            </w:tcMar>
          </w:tcPr>
          <w:p w:rsidR="002640BF" w:rsidRPr="00B5757D" w:rsidRDefault="002640BF" w:rsidP="00DC1333">
            <w:pPr>
              <w:widowControl w:val="0"/>
              <w:ind w:left="-108" w:right="-141"/>
              <w:jc w:val="center"/>
              <w:rPr>
                <w:b/>
                <w:bCs/>
                <w:color w:val="FF0000"/>
                <w:sz w:val="16"/>
                <w:szCs w:val="16"/>
              </w:rPr>
            </w:pPr>
            <w:r w:rsidRPr="00B5757D">
              <w:rPr>
                <w:b/>
                <w:bCs/>
                <w:color w:val="E26B0A"/>
                <w:sz w:val="16"/>
                <w:szCs w:val="16"/>
              </w:rPr>
              <w:t>Parcialmente logrado</w:t>
            </w:r>
          </w:p>
        </w:tc>
      </w:tr>
      <w:tr w:rsidR="002640BF" w:rsidRPr="00B5757D" w:rsidTr="00DC1333">
        <w:trPr>
          <w:cantSplit/>
        </w:trPr>
        <w:tc>
          <w:tcPr>
            <w:tcW w:w="1116" w:type="pct"/>
            <w:tcBorders>
              <w:bottom w:val="nil"/>
            </w:tcBorders>
            <w:shd w:val="clear" w:color="auto" w:fill="auto"/>
          </w:tcPr>
          <w:p w:rsidR="002640BF" w:rsidRPr="00B5757D" w:rsidRDefault="002640BF" w:rsidP="00DC1333">
            <w:pPr>
              <w:widowControl w:val="0"/>
              <w:rPr>
                <w:sz w:val="16"/>
                <w:szCs w:val="16"/>
              </w:rPr>
            </w:pPr>
            <w:r w:rsidRPr="00B5757D">
              <w:rPr>
                <w:sz w:val="16"/>
                <w:szCs w:val="16"/>
              </w:rPr>
              <w:t>Porcentaje de oficinas que proporcionan información sobre el Sistema de La Haya</w:t>
            </w:r>
          </w:p>
        </w:tc>
        <w:tc>
          <w:tcPr>
            <w:tcW w:w="1210" w:type="pct"/>
            <w:gridSpan w:val="4"/>
            <w:tcBorders>
              <w:bottom w:val="nil"/>
            </w:tcBorders>
            <w:shd w:val="clear" w:color="auto" w:fill="auto"/>
          </w:tcPr>
          <w:p w:rsidR="002640BF" w:rsidRPr="00B5757D" w:rsidRDefault="002640BF" w:rsidP="00DC1333">
            <w:pPr>
              <w:rPr>
                <w:i/>
                <w:color w:val="002060"/>
                <w:sz w:val="16"/>
                <w:szCs w:val="16"/>
              </w:rPr>
            </w:pPr>
            <w:r w:rsidRPr="00B5757D">
              <w:rPr>
                <w:i/>
                <w:color w:val="002060"/>
                <w:sz w:val="16"/>
                <w:szCs w:val="16"/>
              </w:rPr>
              <w:t>Referencia actualizada a fines de 2013:  42 oficinas nacionales o regionales proporcionaban información adecuada sobre el Sistema de La Haya.  Nueve oficinas no disponían de sitio web.</w:t>
            </w:r>
          </w:p>
          <w:p w:rsidR="002640BF" w:rsidRPr="00B5757D" w:rsidRDefault="002640BF" w:rsidP="00DC1333">
            <w:pPr>
              <w:widowControl w:val="0"/>
              <w:rPr>
                <w:i/>
                <w:sz w:val="16"/>
                <w:szCs w:val="16"/>
              </w:rPr>
            </w:pPr>
          </w:p>
          <w:p w:rsidR="002640BF" w:rsidRPr="00B5757D" w:rsidRDefault="002640BF" w:rsidP="00DC1333">
            <w:pPr>
              <w:widowControl w:val="0"/>
              <w:rPr>
                <w:i/>
                <w:sz w:val="16"/>
                <w:szCs w:val="16"/>
              </w:rPr>
            </w:pPr>
            <w:r w:rsidRPr="00B5757D">
              <w:rPr>
                <w:i/>
                <w:color w:val="000000"/>
                <w:sz w:val="16"/>
                <w:szCs w:val="16"/>
              </w:rPr>
              <w:t>Referencia original en el presupuesto de 2014/15</w:t>
            </w:r>
            <w:r w:rsidRPr="00B5757D">
              <w:rPr>
                <w:color w:val="000000"/>
                <w:sz w:val="16"/>
                <w:szCs w:val="16"/>
              </w:rPr>
              <w:t>:  Porcentaje de oficinas que proporcionan dicha información</w:t>
            </w:r>
          </w:p>
          <w:p w:rsidR="002640BF" w:rsidRPr="00B5757D" w:rsidRDefault="002640BF" w:rsidP="00DC1333">
            <w:pPr>
              <w:widowControl w:val="0"/>
              <w:rPr>
                <w:sz w:val="16"/>
                <w:szCs w:val="16"/>
              </w:rPr>
            </w:pPr>
          </w:p>
        </w:tc>
        <w:tc>
          <w:tcPr>
            <w:tcW w:w="825" w:type="pct"/>
            <w:tcBorders>
              <w:bottom w:val="nil"/>
            </w:tcBorders>
            <w:shd w:val="clear" w:color="auto" w:fill="auto"/>
            <w:tcMar>
              <w:top w:w="110" w:type="dxa"/>
            </w:tcMar>
          </w:tcPr>
          <w:p w:rsidR="002640BF" w:rsidRPr="00B5757D" w:rsidRDefault="002640BF" w:rsidP="00DC1333">
            <w:pPr>
              <w:widowControl w:val="0"/>
              <w:rPr>
                <w:color w:val="993300"/>
                <w:sz w:val="16"/>
                <w:szCs w:val="16"/>
                <w:lang w:bidi="th-TH"/>
              </w:rPr>
            </w:pPr>
            <w:r w:rsidRPr="00B5757D">
              <w:rPr>
                <w:sz w:val="16"/>
                <w:szCs w:val="16"/>
                <w:lang w:bidi="th-TH"/>
              </w:rPr>
              <w:t>Mayor porcentaje</w:t>
            </w:r>
            <w:r w:rsidRPr="00B5757D">
              <w:rPr>
                <w:color w:val="808080"/>
                <w:sz w:val="16"/>
                <w:szCs w:val="16"/>
                <w:lang w:bidi="th-TH"/>
              </w:rPr>
              <w:t>.</w:t>
            </w:r>
          </w:p>
        </w:tc>
        <w:tc>
          <w:tcPr>
            <w:tcW w:w="1101" w:type="pct"/>
            <w:gridSpan w:val="3"/>
            <w:tcBorders>
              <w:bottom w:val="nil"/>
            </w:tcBorders>
            <w:shd w:val="clear" w:color="auto" w:fill="FFFFFF"/>
            <w:tcMar>
              <w:top w:w="110" w:type="dxa"/>
            </w:tcMar>
          </w:tcPr>
          <w:p w:rsidR="002640BF" w:rsidRPr="00B5757D" w:rsidRDefault="002640BF" w:rsidP="00DC1333">
            <w:pPr>
              <w:widowControl w:val="0"/>
              <w:rPr>
                <w:i/>
                <w:sz w:val="16"/>
                <w:szCs w:val="16"/>
              </w:rPr>
            </w:pPr>
            <w:r w:rsidRPr="00B5757D">
              <w:rPr>
                <w:color w:val="000000"/>
                <w:sz w:val="16"/>
                <w:szCs w:val="16"/>
              </w:rPr>
              <w:t xml:space="preserve">47 oficinas nacionales o regionales proporcionaban información sobre el Sistema de La Haya a fines de 2015. </w:t>
            </w:r>
            <w:r w:rsidRPr="00B5757D">
              <w:rPr>
                <w:sz w:val="16"/>
                <w:szCs w:val="16"/>
              </w:rPr>
              <w:t> Diez oficinas no disponían de sitio web.</w:t>
            </w:r>
          </w:p>
        </w:tc>
        <w:tc>
          <w:tcPr>
            <w:tcW w:w="748" w:type="pct"/>
            <w:tcBorders>
              <w:top w:val="nil"/>
              <w:bottom w:val="nil"/>
            </w:tcBorders>
            <w:shd w:val="clear" w:color="auto" w:fill="auto"/>
            <w:tcMar>
              <w:top w:w="110" w:type="dxa"/>
            </w:tcMar>
          </w:tcPr>
          <w:p w:rsidR="002640BF" w:rsidRPr="00B5757D" w:rsidRDefault="002640BF" w:rsidP="00DC1333">
            <w:pPr>
              <w:widowControl w:val="0"/>
              <w:jc w:val="center"/>
              <w:rPr>
                <w:b/>
                <w:bCs/>
                <w:color w:val="FF0000"/>
                <w:sz w:val="16"/>
                <w:szCs w:val="16"/>
              </w:rPr>
            </w:pPr>
            <w:r w:rsidRPr="00B5757D">
              <w:rPr>
                <w:b/>
                <w:bCs/>
                <w:color w:val="00B050"/>
                <w:sz w:val="16"/>
                <w:szCs w:val="16"/>
              </w:rPr>
              <w:t>Plenamente logrado</w:t>
            </w:r>
          </w:p>
        </w:tc>
      </w:tr>
      <w:tr w:rsidR="002640BF" w:rsidRPr="00B5757D" w:rsidTr="00DC1333">
        <w:trPr>
          <w:cantSplit/>
        </w:trPr>
        <w:tc>
          <w:tcPr>
            <w:tcW w:w="1116" w:type="pct"/>
            <w:tcBorders>
              <w:top w:val="nil"/>
              <w:left w:val="single" w:sz="4" w:space="0" w:color="auto"/>
              <w:bottom w:val="single" w:sz="4" w:space="0" w:color="auto"/>
            </w:tcBorders>
            <w:shd w:val="clear" w:color="auto" w:fill="auto"/>
          </w:tcPr>
          <w:p w:rsidR="002640BF" w:rsidRPr="00B5757D" w:rsidRDefault="002640BF" w:rsidP="00DC1333">
            <w:pPr>
              <w:widowControl w:val="0"/>
              <w:rPr>
                <w:sz w:val="16"/>
                <w:szCs w:val="16"/>
              </w:rPr>
            </w:pPr>
            <w:r w:rsidRPr="00B5757D">
              <w:rPr>
                <w:sz w:val="16"/>
                <w:szCs w:val="16"/>
              </w:rPr>
              <w:t>Solicitudes de registro y renovaciones en virtud del Sistema de La Haya</w:t>
            </w:r>
          </w:p>
        </w:tc>
        <w:tc>
          <w:tcPr>
            <w:tcW w:w="1210" w:type="pct"/>
            <w:gridSpan w:val="4"/>
            <w:tcBorders>
              <w:top w:val="nil"/>
              <w:bottom w:val="single" w:sz="4" w:space="0" w:color="auto"/>
            </w:tcBorders>
            <w:shd w:val="clear" w:color="auto" w:fill="auto"/>
          </w:tcPr>
          <w:p w:rsidR="002640BF" w:rsidRPr="00B5757D" w:rsidRDefault="002640BF" w:rsidP="00DC1333">
            <w:pPr>
              <w:rPr>
                <w:i/>
                <w:color w:val="002060"/>
                <w:sz w:val="16"/>
                <w:szCs w:val="16"/>
              </w:rPr>
            </w:pPr>
            <w:r w:rsidRPr="00B5757D">
              <w:rPr>
                <w:i/>
                <w:color w:val="002060"/>
                <w:sz w:val="16"/>
                <w:szCs w:val="16"/>
              </w:rPr>
              <w:t>Referencia actualizada a fines de 2013:  2.990 solicitudes</w:t>
            </w:r>
          </w:p>
          <w:p w:rsidR="002640BF" w:rsidRPr="00B5757D" w:rsidRDefault="002640BF" w:rsidP="00DC1333">
            <w:pPr>
              <w:rPr>
                <w:i/>
                <w:color w:val="002060"/>
                <w:sz w:val="16"/>
                <w:szCs w:val="16"/>
              </w:rPr>
            </w:pPr>
            <w:r w:rsidRPr="00B5757D">
              <w:rPr>
                <w:i/>
                <w:color w:val="002060"/>
                <w:sz w:val="16"/>
                <w:szCs w:val="16"/>
              </w:rPr>
              <w:t xml:space="preserve">13.172 dibujos y modelos contenidos </w:t>
            </w:r>
          </w:p>
          <w:p w:rsidR="002640BF" w:rsidRPr="00B5757D" w:rsidRDefault="002640BF" w:rsidP="00DC1333">
            <w:pPr>
              <w:rPr>
                <w:i/>
                <w:color w:val="002060"/>
                <w:sz w:val="16"/>
                <w:szCs w:val="16"/>
              </w:rPr>
            </w:pPr>
            <w:r w:rsidRPr="00B5757D">
              <w:rPr>
                <w:i/>
                <w:color w:val="002060"/>
                <w:sz w:val="16"/>
                <w:szCs w:val="16"/>
              </w:rPr>
              <w:t>2.859 renovaciones</w:t>
            </w:r>
          </w:p>
          <w:p w:rsidR="002640BF" w:rsidRPr="00B5757D" w:rsidRDefault="002640BF" w:rsidP="00DC1333">
            <w:pPr>
              <w:rPr>
                <w:i/>
                <w:color w:val="002060"/>
                <w:sz w:val="16"/>
                <w:szCs w:val="16"/>
              </w:rPr>
            </w:pPr>
            <w:r w:rsidRPr="00B5757D">
              <w:rPr>
                <w:i/>
                <w:color w:val="002060"/>
                <w:sz w:val="16"/>
                <w:szCs w:val="16"/>
              </w:rPr>
              <w:t>(2013)</w:t>
            </w:r>
          </w:p>
          <w:p w:rsidR="002640BF" w:rsidRPr="00B5757D" w:rsidRDefault="002640BF" w:rsidP="00DC1333">
            <w:pPr>
              <w:widowControl w:val="0"/>
              <w:rPr>
                <w:i/>
                <w:sz w:val="16"/>
                <w:szCs w:val="16"/>
              </w:rPr>
            </w:pPr>
          </w:p>
          <w:p w:rsidR="002640BF" w:rsidRPr="00B5757D" w:rsidRDefault="002640BF" w:rsidP="00DC1333">
            <w:pPr>
              <w:widowControl w:val="0"/>
              <w:rPr>
                <w:i/>
                <w:sz w:val="16"/>
                <w:szCs w:val="16"/>
              </w:rPr>
            </w:pPr>
            <w:r w:rsidRPr="00B5757D">
              <w:rPr>
                <w:i/>
                <w:sz w:val="16"/>
                <w:szCs w:val="16"/>
              </w:rPr>
              <w:t>Referencia original en el presupuesto de 2014/15:  2.604 solicitudes</w:t>
            </w:r>
          </w:p>
          <w:p w:rsidR="002640BF" w:rsidRPr="00B5757D" w:rsidRDefault="002640BF" w:rsidP="00DC1333">
            <w:pPr>
              <w:widowControl w:val="0"/>
              <w:rPr>
                <w:i/>
                <w:sz w:val="16"/>
                <w:szCs w:val="16"/>
              </w:rPr>
            </w:pPr>
            <w:r w:rsidRPr="00B5757D">
              <w:rPr>
                <w:i/>
                <w:sz w:val="16"/>
                <w:szCs w:val="16"/>
              </w:rPr>
              <w:t>12.454</w:t>
            </w:r>
            <w:r w:rsidRPr="00B5757D">
              <w:rPr>
                <w:rStyle w:val="FootnoteReference"/>
                <w:i/>
                <w:sz w:val="16"/>
                <w:szCs w:val="16"/>
              </w:rPr>
              <w:footnoteReference w:id="37"/>
            </w:r>
            <w:r w:rsidRPr="00B5757D">
              <w:rPr>
                <w:i/>
                <w:sz w:val="16"/>
                <w:szCs w:val="16"/>
              </w:rPr>
              <w:t xml:space="preserve"> dibujos y modelos contenidos</w:t>
            </w:r>
          </w:p>
          <w:p w:rsidR="002640BF" w:rsidRPr="00B5757D" w:rsidRDefault="002640BF" w:rsidP="00DC1333">
            <w:pPr>
              <w:widowControl w:val="0"/>
              <w:rPr>
                <w:i/>
                <w:sz w:val="16"/>
                <w:szCs w:val="16"/>
              </w:rPr>
            </w:pPr>
            <w:r w:rsidRPr="00B5757D">
              <w:rPr>
                <w:i/>
                <w:sz w:val="16"/>
                <w:szCs w:val="16"/>
              </w:rPr>
              <w:t xml:space="preserve">3.120 renovaciones </w:t>
            </w:r>
          </w:p>
          <w:p w:rsidR="002640BF" w:rsidRPr="00B5757D" w:rsidRDefault="002640BF" w:rsidP="00DC1333">
            <w:pPr>
              <w:widowControl w:val="0"/>
              <w:rPr>
                <w:sz w:val="16"/>
                <w:szCs w:val="16"/>
              </w:rPr>
            </w:pPr>
            <w:r w:rsidRPr="00B5757D">
              <w:rPr>
                <w:i/>
                <w:sz w:val="16"/>
                <w:szCs w:val="16"/>
              </w:rPr>
              <w:t>(2012)</w:t>
            </w:r>
          </w:p>
        </w:tc>
        <w:tc>
          <w:tcPr>
            <w:tcW w:w="825" w:type="pct"/>
            <w:tcBorders>
              <w:top w:val="nil"/>
              <w:bottom w:val="single" w:sz="4" w:space="0" w:color="auto"/>
            </w:tcBorders>
            <w:shd w:val="clear" w:color="auto" w:fill="auto"/>
            <w:tcMar>
              <w:top w:w="110" w:type="dxa"/>
            </w:tcMar>
          </w:tcPr>
          <w:p w:rsidR="002640BF" w:rsidRPr="00B5757D" w:rsidRDefault="002640BF" w:rsidP="00DC1333">
            <w:pPr>
              <w:widowControl w:val="0"/>
              <w:rPr>
                <w:sz w:val="16"/>
                <w:szCs w:val="16"/>
              </w:rPr>
            </w:pPr>
            <w:r w:rsidRPr="00B5757D">
              <w:rPr>
                <w:sz w:val="16"/>
                <w:szCs w:val="16"/>
              </w:rPr>
              <w:t>2014:</w:t>
            </w:r>
            <w:r w:rsidRPr="00B5757D">
              <w:rPr>
                <w:rStyle w:val="FootnoteReference"/>
                <w:sz w:val="16"/>
                <w:szCs w:val="16"/>
              </w:rPr>
              <w:footnoteReference w:id="38"/>
            </w:r>
            <w:r w:rsidRPr="00B5757D">
              <w:rPr>
                <w:sz w:val="16"/>
                <w:szCs w:val="16"/>
              </w:rPr>
              <w:t xml:space="preserve">  </w:t>
            </w:r>
          </w:p>
          <w:p w:rsidR="002640BF" w:rsidRPr="00B5757D" w:rsidRDefault="002640BF" w:rsidP="00DC1333">
            <w:pPr>
              <w:widowControl w:val="0"/>
              <w:rPr>
                <w:sz w:val="16"/>
                <w:szCs w:val="16"/>
              </w:rPr>
            </w:pPr>
            <w:r w:rsidRPr="00B5757D">
              <w:rPr>
                <w:sz w:val="16"/>
                <w:szCs w:val="16"/>
              </w:rPr>
              <w:t xml:space="preserve">Solicitudes: </w:t>
            </w:r>
            <w:r>
              <w:rPr>
                <w:sz w:val="16"/>
                <w:szCs w:val="16"/>
              </w:rPr>
              <w:t xml:space="preserve"> a</w:t>
            </w:r>
            <w:r w:rsidRPr="00B5757D">
              <w:rPr>
                <w:sz w:val="16"/>
                <w:szCs w:val="16"/>
              </w:rPr>
              <w:t>umento del 33,9%</w:t>
            </w:r>
          </w:p>
          <w:p w:rsidR="002640BF" w:rsidRPr="00B5757D" w:rsidRDefault="002640BF" w:rsidP="00DC1333">
            <w:pPr>
              <w:widowControl w:val="0"/>
              <w:rPr>
                <w:sz w:val="16"/>
                <w:szCs w:val="16"/>
              </w:rPr>
            </w:pPr>
            <w:r w:rsidRPr="00B5757D">
              <w:rPr>
                <w:sz w:val="16"/>
                <w:szCs w:val="16"/>
              </w:rPr>
              <w:t xml:space="preserve">Dibujos y modelos contenidos: </w:t>
            </w:r>
            <w:r>
              <w:rPr>
                <w:sz w:val="16"/>
                <w:szCs w:val="16"/>
              </w:rPr>
              <w:t xml:space="preserve"> aumento del 33% Renovaciones:  d</w:t>
            </w:r>
            <w:r w:rsidRPr="00B5757D">
              <w:rPr>
                <w:sz w:val="16"/>
                <w:szCs w:val="16"/>
              </w:rPr>
              <w:t>isminución del 2,9%</w:t>
            </w:r>
          </w:p>
          <w:p w:rsidR="002640BF" w:rsidRPr="00B5757D" w:rsidRDefault="002640BF" w:rsidP="00DC1333">
            <w:pPr>
              <w:widowControl w:val="0"/>
              <w:rPr>
                <w:sz w:val="16"/>
                <w:szCs w:val="16"/>
              </w:rPr>
            </w:pPr>
          </w:p>
          <w:p w:rsidR="002640BF" w:rsidRPr="00B5757D" w:rsidRDefault="002640BF" w:rsidP="00DC1333">
            <w:pPr>
              <w:widowControl w:val="0"/>
              <w:rPr>
                <w:sz w:val="16"/>
                <w:szCs w:val="16"/>
              </w:rPr>
            </w:pPr>
            <w:r w:rsidRPr="00B5757D">
              <w:rPr>
                <w:sz w:val="16"/>
                <w:szCs w:val="16"/>
              </w:rPr>
              <w:t xml:space="preserve">2015:  </w:t>
            </w:r>
          </w:p>
          <w:p w:rsidR="002640BF" w:rsidRPr="00B5757D" w:rsidRDefault="002640BF" w:rsidP="00DC1333">
            <w:pPr>
              <w:widowControl w:val="0"/>
              <w:rPr>
                <w:sz w:val="16"/>
                <w:szCs w:val="16"/>
              </w:rPr>
            </w:pPr>
            <w:r>
              <w:rPr>
                <w:sz w:val="16"/>
                <w:szCs w:val="16"/>
              </w:rPr>
              <w:t>Solicitudes:  a</w:t>
            </w:r>
            <w:r w:rsidRPr="00B5757D">
              <w:rPr>
                <w:sz w:val="16"/>
                <w:szCs w:val="16"/>
              </w:rPr>
              <w:t>umento del 23,4%.  Dibujos y modelos contenidos:</w:t>
            </w:r>
            <w:r>
              <w:rPr>
                <w:sz w:val="16"/>
                <w:szCs w:val="16"/>
              </w:rPr>
              <w:t xml:space="preserve"> </w:t>
            </w:r>
            <w:r w:rsidRPr="00B5757D">
              <w:rPr>
                <w:sz w:val="16"/>
                <w:szCs w:val="16"/>
              </w:rPr>
              <w:t xml:space="preserve"> au</w:t>
            </w:r>
            <w:r>
              <w:rPr>
                <w:sz w:val="16"/>
                <w:szCs w:val="16"/>
              </w:rPr>
              <w:t xml:space="preserve">mento del 23,5% Renovaciones:  a </w:t>
            </w:r>
            <w:r w:rsidRPr="00B5757D">
              <w:rPr>
                <w:sz w:val="16"/>
                <w:szCs w:val="16"/>
              </w:rPr>
              <w:t>aumento del 5,5%</w:t>
            </w:r>
          </w:p>
        </w:tc>
        <w:tc>
          <w:tcPr>
            <w:tcW w:w="1101" w:type="pct"/>
            <w:gridSpan w:val="3"/>
            <w:tcBorders>
              <w:top w:val="nil"/>
              <w:bottom w:val="single" w:sz="4" w:space="0" w:color="auto"/>
            </w:tcBorders>
            <w:shd w:val="clear" w:color="auto" w:fill="FFFFFF"/>
            <w:tcMar>
              <w:top w:w="110" w:type="dxa"/>
            </w:tcMar>
          </w:tcPr>
          <w:p w:rsidR="002640BF" w:rsidRPr="00B5757D" w:rsidRDefault="002640BF" w:rsidP="00DC1333">
            <w:pPr>
              <w:widowControl w:val="0"/>
              <w:rPr>
                <w:sz w:val="16"/>
                <w:szCs w:val="16"/>
                <w:lang w:bidi="th-TH"/>
              </w:rPr>
            </w:pPr>
            <w:r w:rsidRPr="00B5757D">
              <w:rPr>
                <w:sz w:val="16"/>
                <w:szCs w:val="16"/>
                <w:lang w:bidi="th-TH"/>
              </w:rPr>
              <w:t>2014:</w:t>
            </w:r>
          </w:p>
          <w:p w:rsidR="002640BF" w:rsidRPr="00B5757D" w:rsidRDefault="002640BF" w:rsidP="00DC1333">
            <w:pPr>
              <w:widowControl w:val="0"/>
              <w:rPr>
                <w:sz w:val="16"/>
                <w:szCs w:val="16"/>
                <w:lang w:bidi="th-TH"/>
              </w:rPr>
            </w:pPr>
            <w:r w:rsidRPr="00B5757D">
              <w:rPr>
                <w:sz w:val="16"/>
                <w:szCs w:val="16"/>
                <w:lang w:bidi="th-TH"/>
              </w:rPr>
              <w:t xml:space="preserve">Solicitudes: </w:t>
            </w:r>
            <w:r>
              <w:rPr>
                <w:sz w:val="16"/>
                <w:szCs w:val="16"/>
                <w:lang w:bidi="th-TH"/>
              </w:rPr>
              <w:t xml:space="preserve"> d</w:t>
            </w:r>
            <w:r w:rsidRPr="00B5757D">
              <w:rPr>
                <w:sz w:val="16"/>
                <w:szCs w:val="16"/>
                <w:lang w:bidi="th-TH"/>
              </w:rPr>
              <w:t>isminución del 2,2% (2.924)</w:t>
            </w:r>
          </w:p>
          <w:p w:rsidR="002640BF" w:rsidRPr="00B5757D" w:rsidRDefault="002640BF" w:rsidP="00DC1333">
            <w:pPr>
              <w:widowControl w:val="0"/>
              <w:rPr>
                <w:sz w:val="16"/>
                <w:szCs w:val="16"/>
                <w:lang w:bidi="th-TH"/>
              </w:rPr>
            </w:pPr>
          </w:p>
          <w:p w:rsidR="002640BF" w:rsidRPr="00B5757D" w:rsidRDefault="002640BF" w:rsidP="00DC1333">
            <w:pPr>
              <w:widowControl w:val="0"/>
              <w:rPr>
                <w:sz w:val="16"/>
                <w:szCs w:val="16"/>
                <w:lang w:bidi="th-TH"/>
              </w:rPr>
            </w:pPr>
            <w:r w:rsidRPr="00B5757D">
              <w:rPr>
                <w:sz w:val="16"/>
                <w:szCs w:val="16"/>
                <w:lang w:bidi="th-TH"/>
              </w:rPr>
              <w:t>Dibujos y modelos contenidos:</w:t>
            </w:r>
            <w:r>
              <w:rPr>
                <w:sz w:val="16"/>
                <w:szCs w:val="16"/>
                <w:lang w:bidi="th-TH"/>
              </w:rPr>
              <w:t xml:space="preserve">  a</w:t>
            </w:r>
            <w:r w:rsidRPr="00B5757D">
              <w:rPr>
                <w:sz w:val="16"/>
                <w:szCs w:val="16"/>
                <w:lang w:bidi="th-TH"/>
              </w:rPr>
              <w:t>umento del 9,6% (14.441)</w:t>
            </w:r>
          </w:p>
          <w:p w:rsidR="002640BF" w:rsidRPr="00B5757D" w:rsidRDefault="002640BF" w:rsidP="00DC1333">
            <w:pPr>
              <w:widowControl w:val="0"/>
              <w:rPr>
                <w:sz w:val="16"/>
                <w:szCs w:val="16"/>
                <w:lang w:bidi="th-TH"/>
              </w:rPr>
            </w:pPr>
          </w:p>
          <w:p w:rsidR="002640BF" w:rsidRPr="00B5757D" w:rsidRDefault="002640BF" w:rsidP="00DC1333">
            <w:pPr>
              <w:widowControl w:val="0"/>
              <w:rPr>
                <w:sz w:val="16"/>
                <w:szCs w:val="16"/>
                <w:lang w:bidi="th-TH"/>
              </w:rPr>
            </w:pPr>
            <w:r>
              <w:rPr>
                <w:sz w:val="16"/>
                <w:szCs w:val="16"/>
                <w:lang w:bidi="th-TH"/>
              </w:rPr>
              <w:t>Renovaciones:  d</w:t>
            </w:r>
            <w:r w:rsidRPr="00B5757D">
              <w:rPr>
                <w:sz w:val="16"/>
                <w:szCs w:val="16"/>
                <w:lang w:bidi="th-TH"/>
              </w:rPr>
              <w:t>isminución del 5,5% (2.703)</w:t>
            </w:r>
          </w:p>
          <w:p w:rsidR="002640BF" w:rsidRPr="00B5757D" w:rsidRDefault="002640BF" w:rsidP="00DC1333">
            <w:pPr>
              <w:widowControl w:val="0"/>
              <w:rPr>
                <w:sz w:val="16"/>
                <w:szCs w:val="16"/>
                <w:lang w:bidi="th-TH"/>
              </w:rPr>
            </w:pPr>
          </w:p>
          <w:p w:rsidR="002640BF" w:rsidRPr="00B5757D" w:rsidRDefault="002640BF" w:rsidP="00DC1333">
            <w:pPr>
              <w:widowControl w:val="0"/>
              <w:rPr>
                <w:sz w:val="16"/>
                <w:szCs w:val="16"/>
                <w:lang w:bidi="th-TH"/>
              </w:rPr>
            </w:pPr>
            <w:r w:rsidRPr="00B5757D">
              <w:rPr>
                <w:sz w:val="16"/>
                <w:szCs w:val="16"/>
                <w:lang w:bidi="th-TH"/>
              </w:rPr>
              <w:t>2015:</w:t>
            </w:r>
            <w:r w:rsidRPr="00B5757D">
              <w:rPr>
                <w:rStyle w:val="FootnoteReference"/>
                <w:sz w:val="16"/>
                <w:szCs w:val="16"/>
                <w:lang w:bidi="th-TH"/>
              </w:rPr>
              <w:footnoteReference w:id="39"/>
            </w:r>
            <w:r w:rsidRPr="00B5757D">
              <w:rPr>
                <w:sz w:val="16"/>
                <w:szCs w:val="16"/>
                <w:lang w:bidi="th-TH"/>
              </w:rPr>
              <w:t xml:space="preserve">  </w:t>
            </w:r>
          </w:p>
          <w:p w:rsidR="002640BF" w:rsidRPr="00B5757D" w:rsidRDefault="002640BF" w:rsidP="00DC1333">
            <w:pPr>
              <w:widowControl w:val="0"/>
              <w:rPr>
                <w:sz w:val="16"/>
                <w:szCs w:val="16"/>
                <w:lang w:bidi="th-TH"/>
              </w:rPr>
            </w:pPr>
            <w:r>
              <w:rPr>
                <w:sz w:val="16"/>
                <w:szCs w:val="16"/>
                <w:lang w:bidi="th-TH"/>
              </w:rPr>
              <w:t>Solicitudes:  a</w:t>
            </w:r>
            <w:r w:rsidRPr="00B5757D">
              <w:rPr>
                <w:sz w:val="16"/>
                <w:szCs w:val="16"/>
                <w:lang w:bidi="th-TH"/>
              </w:rPr>
              <w:t>umento del 2,7% por encima del objetivo para 2014 (4.111)</w:t>
            </w:r>
          </w:p>
          <w:p w:rsidR="002640BF" w:rsidRPr="00B5757D" w:rsidRDefault="002640BF" w:rsidP="00DC1333">
            <w:pPr>
              <w:widowControl w:val="0"/>
              <w:rPr>
                <w:sz w:val="16"/>
                <w:szCs w:val="16"/>
                <w:lang w:bidi="th-TH"/>
              </w:rPr>
            </w:pPr>
          </w:p>
          <w:p w:rsidR="002640BF" w:rsidRPr="00B5757D" w:rsidRDefault="002640BF" w:rsidP="00DC1333">
            <w:pPr>
              <w:widowControl w:val="0"/>
              <w:rPr>
                <w:sz w:val="16"/>
                <w:szCs w:val="16"/>
                <w:lang w:bidi="th-TH"/>
              </w:rPr>
            </w:pPr>
            <w:r w:rsidRPr="00B5757D">
              <w:rPr>
                <w:sz w:val="16"/>
                <w:szCs w:val="16"/>
                <w:lang w:bidi="th-TH"/>
              </w:rPr>
              <w:t>Dibuj</w:t>
            </w:r>
            <w:r>
              <w:rPr>
                <w:sz w:val="16"/>
                <w:szCs w:val="16"/>
                <w:lang w:bidi="th-TH"/>
              </w:rPr>
              <w:t>os y modelos contenidos:  d</w:t>
            </w:r>
            <w:r w:rsidRPr="00B5757D">
              <w:rPr>
                <w:sz w:val="16"/>
                <w:szCs w:val="16"/>
                <w:lang w:bidi="th-TH"/>
              </w:rPr>
              <w:t>isminución del 6,2% por debajo del objetivo para 2014 (16.435)</w:t>
            </w:r>
          </w:p>
          <w:p w:rsidR="002640BF" w:rsidRPr="00B5757D" w:rsidRDefault="002640BF" w:rsidP="00DC1333">
            <w:pPr>
              <w:widowControl w:val="0"/>
              <w:rPr>
                <w:sz w:val="16"/>
                <w:szCs w:val="16"/>
                <w:lang w:bidi="th-TH"/>
              </w:rPr>
            </w:pPr>
          </w:p>
          <w:p w:rsidR="002640BF" w:rsidRDefault="002640BF" w:rsidP="00DC1333">
            <w:pPr>
              <w:widowControl w:val="0"/>
              <w:rPr>
                <w:sz w:val="16"/>
                <w:szCs w:val="16"/>
                <w:lang w:bidi="th-TH"/>
              </w:rPr>
            </w:pPr>
            <w:r w:rsidRPr="00B5757D">
              <w:rPr>
                <w:sz w:val="16"/>
                <w:szCs w:val="16"/>
                <w:lang w:bidi="th-TH"/>
              </w:rPr>
              <w:t xml:space="preserve">Renovaciones:  </w:t>
            </w:r>
            <w:r>
              <w:rPr>
                <w:sz w:val="16"/>
                <w:szCs w:val="16"/>
                <w:lang w:bidi="th-TH"/>
              </w:rPr>
              <w:t>a</w:t>
            </w:r>
            <w:r w:rsidRPr="00B5757D">
              <w:rPr>
                <w:sz w:val="16"/>
                <w:szCs w:val="16"/>
                <w:lang w:bidi="th-TH"/>
              </w:rPr>
              <w:t>umento del 8,57% por encima del objetivo para 2014 (3.194)</w:t>
            </w:r>
          </w:p>
          <w:p w:rsidR="002640BF" w:rsidRPr="00B5757D" w:rsidRDefault="002640BF" w:rsidP="00DC1333">
            <w:pPr>
              <w:widowControl w:val="0"/>
              <w:rPr>
                <w:sz w:val="16"/>
                <w:szCs w:val="16"/>
              </w:rPr>
            </w:pPr>
          </w:p>
        </w:tc>
        <w:tc>
          <w:tcPr>
            <w:tcW w:w="748" w:type="pct"/>
            <w:tcBorders>
              <w:top w:val="nil"/>
              <w:bottom w:val="single" w:sz="4" w:space="0" w:color="auto"/>
              <w:right w:val="single" w:sz="4" w:space="0" w:color="auto"/>
            </w:tcBorders>
            <w:shd w:val="clear" w:color="auto" w:fill="auto"/>
            <w:tcMar>
              <w:top w:w="110" w:type="dxa"/>
            </w:tcMar>
          </w:tcPr>
          <w:p w:rsidR="002640BF" w:rsidRPr="00B5757D" w:rsidRDefault="002640BF" w:rsidP="00DC1333">
            <w:pPr>
              <w:widowControl w:val="0"/>
              <w:jc w:val="center"/>
              <w:rPr>
                <w:b/>
                <w:bCs/>
                <w:color w:val="FF0000"/>
                <w:sz w:val="16"/>
                <w:szCs w:val="16"/>
              </w:rPr>
            </w:pPr>
            <w:r w:rsidRPr="00B5757D">
              <w:rPr>
                <w:b/>
                <w:bCs/>
                <w:color w:val="FF0000"/>
                <w:sz w:val="16"/>
                <w:szCs w:val="16"/>
              </w:rPr>
              <w:t>No logrado</w:t>
            </w:r>
          </w:p>
          <w:p w:rsidR="002640BF" w:rsidRPr="00B5757D" w:rsidRDefault="002640BF" w:rsidP="00DC1333">
            <w:pPr>
              <w:widowControl w:val="0"/>
              <w:jc w:val="center"/>
              <w:rPr>
                <w:b/>
                <w:bCs/>
                <w:color w:val="FF0000"/>
                <w:sz w:val="16"/>
                <w:szCs w:val="16"/>
              </w:rPr>
            </w:pPr>
          </w:p>
          <w:p w:rsidR="002640BF" w:rsidRPr="00B5757D" w:rsidRDefault="002640BF" w:rsidP="00DC1333">
            <w:pPr>
              <w:widowControl w:val="0"/>
              <w:jc w:val="center"/>
              <w:rPr>
                <w:b/>
                <w:bCs/>
                <w:color w:val="FF0000"/>
                <w:sz w:val="16"/>
                <w:szCs w:val="16"/>
              </w:rPr>
            </w:pPr>
          </w:p>
          <w:p w:rsidR="002640BF" w:rsidRPr="00B5757D" w:rsidRDefault="002640BF" w:rsidP="00DC1333">
            <w:pPr>
              <w:widowControl w:val="0"/>
              <w:jc w:val="center"/>
              <w:rPr>
                <w:b/>
                <w:bCs/>
                <w:color w:val="FF0000"/>
                <w:sz w:val="16"/>
                <w:szCs w:val="16"/>
              </w:rPr>
            </w:pPr>
          </w:p>
          <w:p w:rsidR="002640BF" w:rsidRPr="00B5757D" w:rsidRDefault="002640BF" w:rsidP="00DC1333">
            <w:pPr>
              <w:widowControl w:val="0"/>
              <w:jc w:val="center"/>
              <w:rPr>
                <w:b/>
                <w:bCs/>
                <w:color w:val="FF0000"/>
                <w:sz w:val="16"/>
                <w:szCs w:val="16"/>
              </w:rPr>
            </w:pPr>
          </w:p>
          <w:p w:rsidR="002640BF" w:rsidRPr="00B5757D" w:rsidRDefault="002640BF" w:rsidP="00DC1333">
            <w:pPr>
              <w:widowControl w:val="0"/>
              <w:jc w:val="center"/>
              <w:rPr>
                <w:b/>
                <w:bCs/>
                <w:color w:val="FF0000"/>
                <w:sz w:val="16"/>
                <w:szCs w:val="16"/>
              </w:rPr>
            </w:pPr>
            <w:r w:rsidRPr="00B5757D">
              <w:rPr>
                <w:b/>
                <w:bCs/>
                <w:color w:val="FF0000"/>
                <w:sz w:val="16"/>
                <w:szCs w:val="16"/>
              </w:rPr>
              <w:t>No logrado</w:t>
            </w:r>
          </w:p>
          <w:p w:rsidR="002640BF" w:rsidRPr="00B5757D" w:rsidRDefault="002640BF" w:rsidP="00DC1333">
            <w:pPr>
              <w:widowControl w:val="0"/>
              <w:jc w:val="center"/>
              <w:rPr>
                <w:b/>
                <w:bCs/>
                <w:color w:val="FF0000"/>
                <w:sz w:val="16"/>
                <w:szCs w:val="16"/>
              </w:rPr>
            </w:pPr>
          </w:p>
          <w:p w:rsidR="002640BF" w:rsidRPr="00B5757D" w:rsidRDefault="002640BF" w:rsidP="00DC1333">
            <w:pPr>
              <w:widowControl w:val="0"/>
              <w:jc w:val="center"/>
              <w:rPr>
                <w:b/>
                <w:bCs/>
                <w:color w:val="FF0000"/>
                <w:sz w:val="16"/>
                <w:szCs w:val="16"/>
              </w:rPr>
            </w:pPr>
          </w:p>
          <w:p w:rsidR="002640BF" w:rsidRPr="00B5757D" w:rsidRDefault="002640BF" w:rsidP="00DC1333">
            <w:pPr>
              <w:widowControl w:val="0"/>
              <w:jc w:val="center"/>
              <w:rPr>
                <w:b/>
                <w:bCs/>
                <w:color w:val="FF0000"/>
                <w:sz w:val="16"/>
                <w:szCs w:val="16"/>
              </w:rPr>
            </w:pPr>
          </w:p>
          <w:p w:rsidR="002640BF" w:rsidRPr="00B5757D" w:rsidRDefault="002640BF" w:rsidP="00DC1333">
            <w:pPr>
              <w:widowControl w:val="0"/>
              <w:jc w:val="center"/>
              <w:rPr>
                <w:b/>
                <w:bCs/>
                <w:color w:val="E36C0A" w:themeColor="accent6" w:themeShade="BF"/>
                <w:sz w:val="16"/>
                <w:szCs w:val="16"/>
              </w:rPr>
            </w:pPr>
            <w:r w:rsidRPr="00B5757D">
              <w:rPr>
                <w:b/>
                <w:bCs/>
                <w:color w:val="E36C0A" w:themeColor="accent6" w:themeShade="BF"/>
                <w:sz w:val="16"/>
                <w:szCs w:val="16"/>
              </w:rPr>
              <w:t>Parcialmente logrado</w:t>
            </w:r>
          </w:p>
          <w:p w:rsidR="002640BF" w:rsidRPr="00B5757D" w:rsidRDefault="002640BF" w:rsidP="00DC1333">
            <w:pPr>
              <w:widowControl w:val="0"/>
              <w:jc w:val="center"/>
              <w:rPr>
                <w:b/>
                <w:bCs/>
                <w:color w:val="E36C0A" w:themeColor="accent6" w:themeShade="BF"/>
                <w:sz w:val="16"/>
                <w:szCs w:val="16"/>
              </w:rPr>
            </w:pPr>
          </w:p>
          <w:p w:rsidR="002640BF" w:rsidRPr="00B5757D" w:rsidRDefault="002640BF" w:rsidP="00DC1333">
            <w:pPr>
              <w:widowControl w:val="0"/>
              <w:jc w:val="center"/>
              <w:rPr>
                <w:b/>
                <w:bCs/>
                <w:color w:val="E36C0A" w:themeColor="accent6" w:themeShade="BF"/>
                <w:sz w:val="16"/>
                <w:szCs w:val="16"/>
              </w:rPr>
            </w:pPr>
          </w:p>
          <w:p w:rsidR="002640BF" w:rsidRPr="00B5757D" w:rsidRDefault="002640BF" w:rsidP="00DC1333">
            <w:pPr>
              <w:widowControl w:val="0"/>
              <w:jc w:val="center"/>
              <w:rPr>
                <w:b/>
                <w:bCs/>
                <w:color w:val="FF0000"/>
                <w:sz w:val="16"/>
                <w:szCs w:val="16"/>
              </w:rPr>
            </w:pPr>
          </w:p>
          <w:p w:rsidR="002640BF" w:rsidRPr="00B5757D" w:rsidRDefault="002640BF" w:rsidP="00DC1333">
            <w:pPr>
              <w:widowControl w:val="0"/>
              <w:jc w:val="center"/>
              <w:rPr>
                <w:b/>
                <w:bCs/>
                <w:color w:val="FF0000"/>
                <w:sz w:val="16"/>
                <w:szCs w:val="16"/>
              </w:rPr>
            </w:pPr>
            <w:r w:rsidRPr="00B5757D">
              <w:rPr>
                <w:b/>
                <w:bCs/>
                <w:color w:val="FF0000"/>
                <w:sz w:val="16"/>
                <w:szCs w:val="16"/>
              </w:rPr>
              <w:t>No logrado</w:t>
            </w:r>
          </w:p>
          <w:p w:rsidR="002640BF" w:rsidRPr="00B5757D" w:rsidRDefault="002640BF" w:rsidP="00DC1333">
            <w:pPr>
              <w:widowControl w:val="0"/>
              <w:jc w:val="center"/>
              <w:rPr>
                <w:b/>
                <w:bCs/>
                <w:color w:val="FF0000"/>
                <w:sz w:val="16"/>
                <w:szCs w:val="16"/>
              </w:rPr>
            </w:pPr>
          </w:p>
          <w:p w:rsidR="002640BF" w:rsidRPr="00B5757D" w:rsidRDefault="002640BF" w:rsidP="00DC1333">
            <w:pPr>
              <w:widowControl w:val="0"/>
              <w:jc w:val="center"/>
              <w:rPr>
                <w:b/>
                <w:bCs/>
                <w:color w:val="FF0000"/>
                <w:sz w:val="16"/>
                <w:szCs w:val="16"/>
              </w:rPr>
            </w:pPr>
          </w:p>
          <w:p w:rsidR="002640BF" w:rsidRPr="00B5757D" w:rsidRDefault="002640BF" w:rsidP="00DC1333">
            <w:pPr>
              <w:widowControl w:val="0"/>
              <w:jc w:val="center"/>
              <w:rPr>
                <w:b/>
                <w:bCs/>
                <w:color w:val="FF0000"/>
                <w:sz w:val="16"/>
                <w:szCs w:val="16"/>
              </w:rPr>
            </w:pPr>
          </w:p>
          <w:p w:rsidR="002640BF" w:rsidRPr="00B5757D" w:rsidRDefault="002640BF" w:rsidP="00DC1333">
            <w:pPr>
              <w:widowControl w:val="0"/>
              <w:jc w:val="center"/>
              <w:rPr>
                <w:b/>
                <w:bCs/>
                <w:color w:val="FF0000"/>
                <w:sz w:val="16"/>
                <w:szCs w:val="16"/>
              </w:rPr>
            </w:pPr>
          </w:p>
          <w:p w:rsidR="002640BF" w:rsidRPr="00B5757D" w:rsidRDefault="002640BF" w:rsidP="00DC1333">
            <w:pPr>
              <w:widowControl w:val="0"/>
              <w:jc w:val="center"/>
              <w:rPr>
                <w:b/>
                <w:bCs/>
                <w:color w:val="FF0000"/>
                <w:sz w:val="16"/>
                <w:szCs w:val="16"/>
              </w:rPr>
            </w:pPr>
            <w:r w:rsidRPr="00B5757D">
              <w:rPr>
                <w:b/>
                <w:bCs/>
                <w:color w:val="FF0000"/>
                <w:sz w:val="16"/>
                <w:szCs w:val="16"/>
              </w:rPr>
              <w:t>No logrado</w:t>
            </w:r>
          </w:p>
          <w:p w:rsidR="002640BF" w:rsidRPr="00B5757D" w:rsidRDefault="002640BF" w:rsidP="00DC1333">
            <w:pPr>
              <w:widowControl w:val="0"/>
              <w:jc w:val="center"/>
              <w:rPr>
                <w:b/>
                <w:bCs/>
                <w:color w:val="FF0000"/>
                <w:sz w:val="16"/>
                <w:szCs w:val="16"/>
              </w:rPr>
            </w:pPr>
          </w:p>
          <w:p w:rsidR="002640BF" w:rsidRPr="00B5757D" w:rsidRDefault="002640BF" w:rsidP="00DC1333">
            <w:pPr>
              <w:widowControl w:val="0"/>
              <w:jc w:val="center"/>
              <w:rPr>
                <w:b/>
                <w:bCs/>
                <w:color w:val="FF0000"/>
                <w:sz w:val="16"/>
                <w:szCs w:val="16"/>
              </w:rPr>
            </w:pPr>
          </w:p>
          <w:p w:rsidR="002640BF" w:rsidRPr="00B5757D" w:rsidRDefault="002640BF" w:rsidP="00DC1333">
            <w:pPr>
              <w:widowControl w:val="0"/>
              <w:jc w:val="center"/>
              <w:rPr>
                <w:b/>
                <w:bCs/>
                <w:color w:val="FF0000"/>
                <w:sz w:val="16"/>
                <w:szCs w:val="16"/>
              </w:rPr>
            </w:pPr>
          </w:p>
          <w:p w:rsidR="002640BF" w:rsidRPr="00B5757D" w:rsidRDefault="002640BF" w:rsidP="00DC1333">
            <w:pPr>
              <w:widowControl w:val="0"/>
              <w:jc w:val="center"/>
              <w:rPr>
                <w:b/>
                <w:bCs/>
                <w:color w:val="FF0000"/>
                <w:sz w:val="16"/>
                <w:szCs w:val="16"/>
              </w:rPr>
            </w:pPr>
          </w:p>
          <w:p w:rsidR="002640BF" w:rsidRPr="00B5757D" w:rsidRDefault="002640BF" w:rsidP="00DC1333">
            <w:pPr>
              <w:widowControl w:val="0"/>
              <w:jc w:val="center"/>
              <w:rPr>
                <w:b/>
                <w:bCs/>
                <w:color w:val="FF0000"/>
                <w:sz w:val="16"/>
                <w:szCs w:val="16"/>
              </w:rPr>
            </w:pPr>
          </w:p>
          <w:p w:rsidR="002640BF" w:rsidRPr="00B5757D" w:rsidRDefault="002640BF" w:rsidP="00DC1333">
            <w:pPr>
              <w:widowControl w:val="0"/>
              <w:jc w:val="center"/>
              <w:rPr>
                <w:b/>
                <w:bCs/>
                <w:color w:val="FF0000"/>
                <w:sz w:val="16"/>
                <w:szCs w:val="16"/>
              </w:rPr>
            </w:pPr>
            <w:r w:rsidRPr="00B5757D">
              <w:rPr>
                <w:b/>
                <w:bCs/>
                <w:color w:val="00B050"/>
                <w:sz w:val="16"/>
                <w:szCs w:val="16"/>
              </w:rPr>
              <w:t>Plenamente logrado</w:t>
            </w:r>
          </w:p>
        </w:tc>
      </w:tr>
      <w:tr w:rsidR="002640BF" w:rsidRPr="00B5757D" w:rsidTr="00DC1333">
        <w:trPr>
          <w:cantSplit/>
        </w:trPr>
        <w:tc>
          <w:tcPr>
            <w:tcW w:w="5000" w:type="pct"/>
            <w:gridSpan w:val="10"/>
            <w:tcBorders>
              <w:top w:val="single" w:sz="4" w:space="0" w:color="auto"/>
              <w:bottom w:val="single" w:sz="4" w:space="0" w:color="auto"/>
            </w:tcBorders>
            <w:shd w:val="clear" w:color="auto" w:fill="C6D9F1" w:themeFill="text2" w:themeFillTint="33"/>
            <w:vAlign w:val="center"/>
          </w:tcPr>
          <w:p w:rsidR="002640BF" w:rsidRPr="00B5757D" w:rsidRDefault="002640BF" w:rsidP="00DC1333">
            <w:pPr>
              <w:keepNext/>
              <w:widowControl w:val="0"/>
              <w:spacing w:before="120" w:after="120"/>
              <w:ind w:left="2019" w:hanging="2019"/>
              <w:rPr>
                <w:b/>
                <w:bCs/>
                <w:sz w:val="16"/>
                <w:szCs w:val="16"/>
              </w:rPr>
            </w:pPr>
            <w:r w:rsidRPr="00B5757D">
              <w:rPr>
                <w:b/>
                <w:bCs/>
                <w:sz w:val="16"/>
                <w:szCs w:val="16"/>
              </w:rPr>
              <w:lastRenderedPageBreak/>
              <w:t>Resultado previsto</w:t>
            </w:r>
            <w:r w:rsidRPr="00B5757D">
              <w:rPr>
                <w:b/>
                <w:bCs/>
                <w:color w:val="808080"/>
                <w:sz w:val="16"/>
                <w:szCs w:val="16"/>
              </w:rPr>
              <w:t>:</w:t>
            </w:r>
            <w:r w:rsidRPr="00B5757D">
              <w:rPr>
                <w:b/>
                <w:bCs/>
                <w:color w:val="808080"/>
                <w:sz w:val="16"/>
                <w:szCs w:val="16"/>
              </w:rPr>
              <w:tab/>
            </w:r>
            <w:r w:rsidRPr="00B5757D">
              <w:rPr>
                <w:sz w:val="16"/>
                <w:szCs w:val="16"/>
              </w:rPr>
              <w:t>II.5 Mejora de la productividad y de la calidad de los servicios en las operaciones del Sistema de La Haya</w:t>
            </w:r>
          </w:p>
        </w:tc>
      </w:tr>
      <w:tr w:rsidR="002640BF" w:rsidRPr="00B5757D" w:rsidTr="00DC1333">
        <w:trPr>
          <w:cantSplit/>
        </w:trPr>
        <w:tc>
          <w:tcPr>
            <w:tcW w:w="1121" w:type="pct"/>
            <w:gridSpan w:val="2"/>
            <w:tcBorders>
              <w:top w:val="single" w:sz="4" w:space="0" w:color="auto"/>
            </w:tcBorders>
            <w:shd w:val="clear" w:color="auto" w:fill="auto"/>
            <w:vAlign w:val="center"/>
          </w:tcPr>
          <w:p w:rsidR="002640BF" w:rsidRPr="00B5757D" w:rsidRDefault="002640BF" w:rsidP="00DC1333">
            <w:pPr>
              <w:keepNext/>
              <w:widowControl w:val="0"/>
              <w:rPr>
                <w:sz w:val="16"/>
                <w:szCs w:val="16"/>
              </w:rPr>
            </w:pPr>
            <w:r w:rsidRPr="00B5757D">
              <w:rPr>
                <w:b/>
                <w:sz w:val="16"/>
                <w:szCs w:val="16"/>
              </w:rPr>
              <w:t>Indicadores de rendimiento</w:t>
            </w:r>
          </w:p>
        </w:tc>
        <w:tc>
          <w:tcPr>
            <w:tcW w:w="1205" w:type="pct"/>
            <w:gridSpan w:val="3"/>
            <w:tcBorders>
              <w:top w:val="single" w:sz="4" w:space="0" w:color="auto"/>
            </w:tcBorders>
            <w:shd w:val="clear" w:color="auto" w:fill="auto"/>
            <w:vAlign w:val="center"/>
          </w:tcPr>
          <w:p w:rsidR="002640BF" w:rsidRPr="00B5757D" w:rsidRDefault="002640BF" w:rsidP="00DC1333">
            <w:pPr>
              <w:keepNext/>
              <w:widowControl w:val="0"/>
              <w:rPr>
                <w:b/>
                <w:bCs/>
                <w:sz w:val="16"/>
                <w:szCs w:val="16"/>
              </w:rPr>
            </w:pPr>
            <w:r w:rsidRPr="00B5757D">
              <w:rPr>
                <w:b/>
                <w:bCs/>
                <w:sz w:val="16"/>
                <w:szCs w:val="16"/>
              </w:rPr>
              <w:t>Referencia</w:t>
            </w:r>
          </w:p>
        </w:tc>
        <w:tc>
          <w:tcPr>
            <w:tcW w:w="845" w:type="pct"/>
            <w:gridSpan w:val="2"/>
            <w:tcBorders>
              <w:top w:val="single" w:sz="4" w:space="0" w:color="auto"/>
            </w:tcBorders>
            <w:shd w:val="clear" w:color="auto" w:fill="auto"/>
            <w:tcMar>
              <w:top w:w="110" w:type="dxa"/>
            </w:tcMar>
            <w:vAlign w:val="center"/>
          </w:tcPr>
          <w:p w:rsidR="002640BF" w:rsidRPr="00B5757D" w:rsidRDefault="002640BF" w:rsidP="00DC1333">
            <w:pPr>
              <w:keepNext/>
              <w:widowControl w:val="0"/>
              <w:rPr>
                <w:b/>
                <w:sz w:val="16"/>
                <w:szCs w:val="16"/>
              </w:rPr>
            </w:pPr>
            <w:r w:rsidRPr="00B5757D">
              <w:rPr>
                <w:b/>
                <w:sz w:val="16"/>
                <w:szCs w:val="16"/>
              </w:rPr>
              <w:t>Objetivos</w:t>
            </w:r>
          </w:p>
        </w:tc>
        <w:tc>
          <w:tcPr>
            <w:tcW w:w="1081" w:type="pct"/>
            <w:gridSpan w:val="2"/>
            <w:tcBorders>
              <w:top w:val="single" w:sz="4" w:space="0" w:color="auto"/>
            </w:tcBorders>
            <w:shd w:val="clear" w:color="auto" w:fill="FFFFFF"/>
            <w:tcMar>
              <w:top w:w="110" w:type="dxa"/>
            </w:tcMar>
            <w:vAlign w:val="center"/>
          </w:tcPr>
          <w:p w:rsidR="002640BF" w:rsidRPr="00B5757D" w:rsidRDefault="002640BF" w:rsidP="00DC1333">
            <w:pPr>
              <w:keepNext/>
              <w:widowControl w:val="0"/>
              <w:rPr>
                <w:sz w:val="16"/>
                <w:szCs w:val="16"/>
              </w:rPr>
            </w:pPr>
            <w:r w:rsidRPr="00B5757D">
              <w:rPr>
                <w:b/>
                <w:sz w:val="16"/>
                <w:szCs w:val="16"/>
              </w:rPr>
              <w:t>Datos sobre el rendimiento</w:t>
            </w:r>
          </w:p>
        </w:tc>
        <w:tc>
          <w:tcPr>
            <w:tcW w:w="748" w:type="pct"/>
            <w:tcBorders>
              <w:top w:val="single" w:sz="4" w:space="0" w:color="auto"/>
            </w:tcBorders>
            <w:shd w:val="clear" w:color="auto" w:fill="auto"/>
            <w:tcMar>
              <w:top w:w="110" w:type="dxa"/>
            </w:tcMar>
            <w:vAlign w:val="center"/>
          </w:tcPr>
          <w:p w:rsidR="002640BF" w:rsidRPr="00B5757D" w:rsidRDefault="002640BF" w:rsidP="00DC1333">
            <w:pPr>
              <w:keepNext/>
              <w:widowControl w:val="0"/>
              <w:jc w:val="center"/>
              <w:rPr>
                <w:b/>
                <w:bCs/>
                <w:sz w:val="16"/>
                <w:szCs w:val="16"/>
              </w:rPr>
            </w:pPr>
            <w:r w:rsidRPr="00B5757D">
              <w:rPr>
                <w:b/>
                <w:bCs/>
                <w:sz w:val="16"/>
                <w:szCs w:val="16"/>
              </w:rPr>
              <w:t>Clave de colores</w:t>
            </w:r>
          </w:p>
        </w:tc>
      </w:tr>
      <w:tr w:rsidR="002640BF" w:rsidRPr="00B5757D" w:rsidTr="00DC1333">
        <w:trPr>
          <w:cantSplit/>
        </w:trPr>
        <w:tc>
          <w:tcPr>
            <w:tcW w:w="1121" w:type="pct"/>
            <w:gridSpan w:val="2"/>
            <w:tcBorders>
              <w:bottom w:val="nil"/>
            </w:tcBorders>
            <w:shd w:val="clear" w:color="auto" w:fill="auto"/>
          </w:tcPr>
          <w:p w:rsidR="002640BF" w:rsidRPr="00B5757D" w:rsidRDefault="002640BF" w:rsidP="00DC1333">
            <w:pPr>
              <w:widowControl w:val="0"/>
              <w:rPr>
                <w:sz w:val="16"/>
                <w:szCs w:val="16"/>
              </w:rPr>
            </w:pPr>
            <w:r w:rsidRPr="00B5757D">
              <w:rPr>
                <w:sz w:val="16"/>
                <w:szCs w:val="16"/>
              </w:rPr>
              <w:t>Predominio del Acta de Ginebra (1999) en el Sistema de La Haya</w:t>
            </w:r>
          </w:p>
        </w:tc>
        <w:tc>
          <w:tcPr>
            <w:tcW w:w="1205" w:type="pct"/>
            <w:gridSpan w:val="3"/>
            <w:tcBorders>
              <w:bottom w:val="nil"/>
            </w:tcBorders>
            <w:shd w:val="clear" w:color="auto" w:fill="auto"/>
          </w:tcPr>
          <w:p w:rsidR="002640BF" w:rsidRPr="00B5757D" w:rsidRDefault="002640BF" w:rsidP="00DC1333">
            <w:pPr>
              <w:rPr>
                <w:i/>
                <w:color w:val="002060"/>
                <w:sz w:val="16"/>
                <w:szCs w:val="16"/>
              </w:rPr>
            </w:pPr>
            <w:r w:rsidRPr="00B5757D">
              <w:rPr>
                <w:i/>
                <w:color w:val="002060"/>
                <w:sz w:val="16"/>
                <w:szCs w:val="16"/>
              </w:rPr>
              <w:t xml:space="preserve">Referencia actualizada a fines de 2013: </w:t>
            </w:r>
            <w:r>
              <w:rPr>
                <w:i/>
                <w:color w:val="002060"/>
                <w:sz w:val="16"/>
                <w:szCs w:val="16"/>
              </w:rPr>
              <w:t xml:space="preserve"> t</w:t>
            </w:r>
            <w:r w:rsidRPr="00B5757D">
              <w:rPr>
                <w:i/>
                <w:color w:val="002060"/>
                <w:sz w:val="16"/>
                <w:szCs w:val="16"/>
              </w:rPr>
              <w:t>odavía se necesitaban tres autorizaciones para el cese de la aplicación del Acta de 1934, y cuatro Partes Contratantes al margen de la UE y la OAPI continuaban obligadas por el Acta de 1960</w:t>
            </w:r>
          </w:p>
          <w:p w:rsidR="002640BF" w:rsidRPr="00B5757D" w:rsidRDefault="002640BF" w:rsidP="00DC1333">
            <w:pPr>
              <w:widowControl w:val="0"/>
              <w:rPr>
                <w:sz w:val="16"/>
                <w:szCs w:val="16"/>
              </w:rPr>
            </w:pPr>
          </w:p>
          <w:p w:rsidR="002640BF" w:rsidRPr="00B5757D" w:rsidRDefault="002640BF" w:rsidP="00DC1333">
            <w:pPr>
              <w:widowControl w:val="0"/>
              <w:rPr>
                <w:sz w:val="16"/>
                <w:szCs w:val="16"/>
              </w:rPr>
            </w:pPr>
          </w:p>
          <w:p w:rsidR="002640BF" w:rsidRPr="00B5757D" w:rsidRDefault="002640BF" w:rsidP="00DC1333">
            <w:pPr>
              <w:widowControl w:val="0"/>
              <w:rPr>
                <w:sz w:val="16"/>
                <w:szCs w:val="16"/>
              </w:rPr>
            </w:pPr>
            <w:r w:rsidRPr="00B5757D">
              <w:rPr>
                <w:i/>
                <w:sz w:val="16"/>
                <w:szCs w:val="16"/>
              </w:rPr>
              <w:t xml:space="preserve">Referencia original en el presupuesto de 2014/15: </w:t>
            </w:r>
            <w:r>
              <w:rPr>
                <w:i/>
                <w:sz w:val="16"/>
                <w:szCs w:val="16"/>
              </w:rPr>
              <w:t xml:space="preserve"> </w:t>
            </w:r>
            <w:r w:rsidRPr="00B5757D">
              <w:rPr>
                <w:sz w:val="16"/>
                <w:szCs w:val="16"/>
              </w:rPr>
              <w:t>15 miembros del Sistema de La Haya siguen sin estar obligados por el Acta de Ginebra (1999);  siguen pendientes las comunicaciones de consentimiento de 5 miembros para cesar la aplicación del Acta de 1934 (a fines de 2012).</w:t>
            </w:r>
            <w:r w:rsidRPr="00B5757D">
              <w:rPr>
                <w:sz w:val="16"/>
                <w:szCs w:val="16"/>
              </w:rPr>
              <w:br/>
            </w:r>
          </w:p>
        </w:tc>
        <w:tc>
          <w:tcPr>
            <w:tcW w:w="845" w:type="pct"/>
            <w:gridSpan w:val="2"/>
            <w:tcBorders>
              <w:bottom w:val="nil"/>
            </w:tcBorders>
            <w:shd w:val="clear" w:color="auto" w:fill="auto"/>
            <w:tcMar>
              <w:top w:w="110" w:type="dxa"/>
            </w:tcMar>
          </w:tcPr>
          <w:p w:rsidR="002640BF" w:rsidRPr="00B5757D" w:rsidRDefault="002640BF" w:rsidP="00DC1333">
            <w:pPr>
              <w:widowControl w:val="0"/>
              <w:rPr>
                <w:sz w:val="16"/>
                <w:szCs w:val="16"/>
                <w:lang w:bidi="th-TH"/>
              </w:rPr>
            </w:pPr>
            <w:r w:rsidRPr="00B5757D">
              <w:rPr>
                <w:sz w:val="16"/>
                <w:szCs w:val="16"/>
                <w:lang w:bidi="th-TH"/>
              </w:rPr>
              <w:t>Ningún país está obligado únicamente por el Acta de La Haya de 1960 fuera de la UE o la OAPI;  se han recibido las (cinco) comunicaciones de consentimiento restantes para cesar la aplicación del Acta de 1934</w:t>
            </w:r>
          </w:p>
        </w:tc>
        <w:tc>
          <w:tcPr>
            <w:tcW w:w="1081" w:type="pct"/>
            <w:gridSpan w:val="2"/>
            <w:tcBorders>
              <w:bottom w:val="nil"/>
            </w:tcBorders>
            <w:shd w:val="clear" w:color="auto" w:fill="FFFFFF"/>
            <w:tcMar>
              <w:top w:w="110" w:type="dxa"/>
            </w:tcMar>
          </w:tcPr>
          <w:p w:rsidR="002640BF" w:rsidRPr="00B5757D" w:rsidRDefault="002640BF" w:rsidP="00DC1333">
            <w:pPr>
              <w:widowControl w:val="0"/>
              <w:rPr>
                <w:sz w:val="16"/>
                <w:szCs w:val="16"/>
                <w:lang w:bidi="th-TH"/>
              </w:rPr>
            </w:pPr>
            <w:r w:rsidRPr="00B5757D">
              <w:rPr>
                <w:sz w:val="16"/>
                <w:szCs w:val="16"/>
                <w:lang w:bidi="th-TH"/>
              </w:rPr>
              <w:t>Se había recibido una autorización y todavía se necesitaban dos más para el cese de la aplicación del Acta de 1934, y cuatro Partes Contratantes al margen de la UE y la OAPI continuaban obligadas por el Acta de 1960.</w:t>
            </w:r>
          </w:p>
        </w:tc>
        <w:tc>
          <w:tcPr>
            <w:tcW w:w="748" w:type="pct"/>
            <w:tcBorders>
              <w:bottom w:val="nil"/>
            </w:tcBorders>
            <w:shd w:val="clear" w:color="auto" w:fill="auto"/>
            <w:tcMar>
              <w:top w:w="110" w:type="dxa"/>
            </w:tcMar>
          </w:tcPr>
          <w:p w:rsidR="002640BF" w:rsidRPr="00B5757D" w:rsidRDefault="002640BF" w:rsidP="00DC1333">
            <w:pPr>
              <w:widowControl w:val="0"/>
              <w:jc w:val="center"/>
              <w:rPr>
                <w:b/>
                <w:bCs/>
                <w:color w:val="FF0000"/>
                <w:sz w:val="16"/>
                <w:szCs w:val="16"/>
              </w:rPr>
            </w:pPr>
            <w:r w:rsidRPr="00B5757D">
              <w:rPr>
                <w:b/>
                <w:bCs/>
                <w:color w:val="FF0000"/>
                <w:sz w:val="16"/>
                <w:szCs w:val="16"/>
              </w:rPr>
              <w:t>No logrado</w:t>
            </w:r>
          </w:p>
        </w:tc>
      </w:tr>
      <w:tr w:rsidR="002640BF" w:rsidRPr="00B5757D" w:rsidTr="007D557F">
        <w:trPr>
          <w:cantSplit/>
        </w:trPr>
        <w:tc>
          <w:tcPr>
            <w:tcW w:w="1121" w:type="pct"/>
            <w:gridSpan w:val="2"/>
            <w:tcBorders>
              <w:top w:val="nil"/>
              <w:bottom w:val="nil"/>
            </w:tcBorders>
            <w:shd w:val="clear" w:color="auto" w:fill="auto"/>
          </w:tcPr>
          <w:p w:rsidR="002640BF" w:rsidRPr="00B5757D" w:rsidRDefault="002640BF" w:rsidP="00DC1333">
            <w:pPr>
              <w:keepNext/>
              <w:keepLines/>
              <w:widowControl w:val="0"/>
              <w:rPr>
                <w:sz w:val="16"/>
                <w:szCs w:val="16"/>
              </w:rPr>
            </w:pPr>
            <w:r w:rsidRPr="00B5757D">
              <w:rPr>
                <w:sz w:val="16"/>
                <w:szCs w:val="16"/>
              </w:rPr>
              <w:t>Avances en la mejora del marco jurídico</w:t>
            </w:r>
          </w:p>
        </w:tc>
        <w:tc>
          <w:tcPr>
            <w:tcW w:w="1205" w:type="pct"/>
            <w:gridSpan w:val="3"/>
            <w:tcBorders>
              <w:top w:val="nil"/>
              <w:bottom w:val="nil"/>
            </w:tcBorders>
            <w:shd w:val="clear" w:color="auto" w:fill="auto"/>
          </w:tcPr>
          <w:p w:rsidR="002640BF" w:rsidRPr="00B5757D" w:rsidRDefault="002640BF" w:rsidP="00DC1333">
            <w:pPr>
              <w:rPr>
                <w:i/>
                <w:color w:val="002060"/>
                <w:sz w:val="16"/>
                <w:szCs w:val="16"/>
              </w:rPr>
            </w:pPr>
            <w:r w:rsidRPr="00B5757D">
              <w:rPr>
                <w:i/>
                <w:sz w:val="16"/>
                <w:szCs w:val="16"/>
              </w:rPr>
              <w:t>Referencia original en el presupuesto de 2014/15:  Marco jurídico vigente</w:t>
            </w:r>
          </w:p>
        </w:tc>
        <w:tc>
          <w:tcPr>
            <w:tcW w:w="862" w:type="pct"/>
            <w:gridSpan w:val="3"/>
            <w:tcBorders>
              <w:top w:val="nil"/>
              <w:bottom w:val="nil"/>
            </w:tcBorders>
            <w:shd w:val="clear" w:color="auto" w:fill="auto"/>
            <w:tcMar>
              <w:top w:w="110" w:type="dxa"/>
            </w:tcMar>
          </w:tcPr>
          <w:p w:rsidR="002640BF" w:rsidRPr="00B5757D" w:rsidRDefault="002640BF" w:rsidP="00DC1333">
            <w:pPr>
              <w:widowControl w:val="0"/>
              <w:autoSpaceDE w:val="0"/>
              <w:autoSpaceDN w:val="0"/>
              <w:adjustRightInd w:val="0"/>
              <w:rPr>
                <w:sz w:val="16"/>
                <w:szCs w:val="16"/>
              </w:rPr>
            </w:pPr>
            <w:r w:rsidRPr="00B5757D">
              <w:rPr>
                <w:sz w:val="16"/>
                <w:szCs w:val="16"/>
              </w:rPr>
              <w:t>Modificaciones del Reglamento del Arreglo de La Haya y de las Instrucciones Administrativas, y nuevos mecanismos introducidos a raíz de las adhesiones de nuevas Partes Contratantes.</w:t>
            </w:r>
          </w:p>
        </w:tc>
        <w:tc>
          <w:tcPr>
            <w:tcW w:w="1064" w:type="pct"/>
            <w:tcBorders>
              <w:top w:val="nil"/>
              <w:bottom w:val="nil"/>
            </w:tcBorders>
            <w:shd w:val="clear" w:color="auto" w:fill="FFFFFF"/>
            <w:tcMar>
              <w:top w:w="110" w:type="dxa"/>
            </w:tcMar>
          </w:tcPr>
          <w:p w:rsidR="002640BF" w:rsidRPr="00B5757D" w:rsidRDefault="002640BF" w:rsidP="00DC1333">
            <w:pPr>
              <w:widowControl w:val="0"/>
              <w:rPr>
                <w:sz w:val="16"/>
                <w:szCs w:val="16"/>
              </w:rPr>
            </w:pPr>
            <w:r w:rsidRPr="00B5757D">
              <w:rPr>
                <w:sz w:val="16"/>
                <w:szCs w:val="16"/>
              </w:rPr>
              <w:t>Modificaciones del Reglamento Común, entre otras, la introducción de un “mecanismo de información”, que entraron en vigor el 1 de enero de 2015.  Modificaciones de las Instrucciones Administrativas, entre otras, suavizar en cierto grado algunos requisitos relativos a las reproducciones y las representaciones, que entraron en vigor el 1 de julio de 2014.</w:t>
            </w:r>
          </w:p>
          <w:p w:rsidR="002640BF" w:rsidRPr="00B5757D" w:rsidRDefault="002640BF" w:rsidP="00DC1333">
            <w:pPr>
              <w:widowControl w:val="0"/>
              <w:rPr>
                <w:sz w:val="16"/>
                <w:szCs w:val="16"/>
              </w:rPr>
            </w:pPr>
          </w:p>
        </w:tc>
        <w:tc>
          <w:tcPr>
            <w:tcW w:w="748" w:type="pct"/>
            <w:tcBorders>
              <w:top w:val="nil"/>
              <w:bottom w:val="nil"/>
            </w:tcBorders>
            <w:shd w:val="clear" w:color="auto" w:fill="auto"/>
            <w:tcMar>
              <w:top w:w="110" w:type="dxa"/>
            </w:tcMar>
          </w:tcPr>
          <w:p w:rsidR="002640BF" w:rsidRPr="00B5757D" w:rsidRDefault="002640BF" w:rsidP="00DC1333">
            <w:pPr>
              <w:widowControl w:val="0"/>
              <w:jc w:val="center"/>
              <w:rPr>
                <w:b/>
                <w:bCs/>
                <w:color w:val="808080"/>
                <w:sz w:val="16"/>
                <w:szCs w:val="16"/>
              </w:rPr>
            </w:pPr>
            <w:r w:rsidRPr="00B5757D">
              <w:rPr>
                <w:b/>
                <w:color w:val="00B050"/>
                <w:sz w:val="16"/>
                <w:szCs w:val="16"/>
              </w:rPr>
              <w:t>Plenamente logrado</w:t>
            </w:r>
          </w:p>
        </w:tc>
      </w:tr>
      <w:tr w:rsidR="002640BF" w:rsidRPr="00B5757D" w:rsidTr="007D557F">
        <w:trPr>
          <w:cantSplit/>
        </w:trPr>
        <w:tc>
          <w:tcPr>
            <w:tcW w:w="1121" w:type="pct"/>
            <w:gridSpan w:val="2"/>
            <w:tcBorders>
              <w:top w:val="nil"/>
              <w:bottom w:val="single" w:sz="4" w:space="0" w:color="auto"/>
            </w:tcBorders>
            <w:shd w:val="clear" w:color="auto" w:fill="auto"/>
          </w:tcPr>
          <w:p w:rsidR="002640BF" w:rsidRPr="00B5757D" w:rsidRDefault="002640BF" w:rsidP="00DC1333">
            <w:pPr>
              <w:widowControl w:val="0"/>
              <w:rPr>
                <w:sz w:val="16"/>
                <w:szCs w:val="16"/>
              </w:rPr>
            </w:pPr>
            <w:r w:rsidRPr="00B5757D">
              <w:rPr>
                <w:sz w:val="16"/>
                <w:szCs w:val="16"/>
              </w:rPr>
              <w:t>Flexibilidad de los datos inscritos en el Registro Internacional</w:t>
            </w:r>
          </w:p>
        </w:tc>
        <w:tc>
          <w:tcPr>
            <w:tcW w:w="1205" w:type="pct"/>
            <w:gridSpan w:val="3"/>
            <w:tcBorders>
              <w:top w:val="nil"/>
              <w:bottom w:val="single" w:sz="4" w:space="0" w:color="auto"/>
            </w:tcBorders>
            <w:shd w:val="clear" w:color="auto" w:fill="auto"/>
          </w:tcPr>
          <w:p w:rsidR="002640BF" w:rsidRPr="00B5757D" w:rsidRDefault="002640BF" w:rsidP="00DC1333">
            <w:pPr>
              <w:widowControl w:val="0"/>
              <w:rPr>
                <w:sz w:val="16"/>
                <w:szCs w:val="16"/>
              </w:rPr>
            </w:pPr>
            <w:r w:rsidRPr="00B5757D">
              <w:rPr>
                <w:i/>
                <w:sz w:val="16"/>
                <w:szCs w:val="16"/>
              </w:rPr>
              <w:t>Referencia original en el presupuesto de 2014/15:  Incapacidad de inscribir información detallada sobre los dibujos y modelos.</w:t>
            </w:r>
          </w:p>
        </w:tc>
        <w:tc>
          <w:tcPr>
            <w:tcW w:w="862" w:type="pct"/>
            <w:gridSpan w:val="3"/>
            <w:tcBorders>
              <w:top w:val="nil"/>
              <w:bottom w:val="single" w:sz="4" w:space="0" w:color="auto"/>
            </w:tcBorders>
            <w:shd w:val="clear" w:color="auto" w:fill="auto"/>
            <w:tcMar>
              <w:top w:w="110" w:type="dxa"/>
            </w:tcMar>
          </w:tcPr>
          <w:p w:rsidR="002640BF" w:rsidRPr="00B5757D" w:rsidRDefault="002640BF" w:rsidP="00DC1333">
            <w:pPr>
              <w:widowControl w:val="0"/>
              <w:rPr>
                <w:sz w:val="16"/>
                <w:szCs w:val="16"/>
              </w:rPr>
            </w:pPr>
            <w:r w:rsidRPr="00B5757D">
              <w:rPr>
                <w:sz w:val="16"/>
                <w:szCs w:val="16"/>
              </w:rPr>
              <w:t>Capacidad de inscribir información detallada sobre los dibujos y modelos.</w:t>
            </w:r>
          </w:p>
        </w:tc>
        <w:tc>
          <w:tcPr>
            <w:tcW w:w="1064" w:type="pct"/>
            <w:tcBorders>
              <w:top w:val="nil"/>
              <w:bottom w:val="single" w:sz="4" w:space="0" w:color="auto"/>
            </w:tcBorders>
            <w:shd w:val="clear" w:color="auto" w:fill="FFFFFF"/>
            <w:tcMar>
              <w:top w:w="110" w:type="dxa"/>
            </w:tcMar>
          </w:tcPr>
          <w:p w:rsidR="002640BF" w:rsidRPr="00B5757D" w:rsidRDefault="002640BF" w:rsidP="00DC1333">
            <w:pPr>
              <w:widowControl w:val="0"/>
              <w:rPr>
                <w:sz w:val="16"/>
                <w:szCs w:val="16"/>
              </w:rPr>
            </w:pPr>
            <w:r w:rsidRPr="00B5757D">
              <w:rPr>
                <w:sz w:val="16"/>
                <w:szCs w:val="16"/>
              </w:rPr>
              <w:t>Se ha avanzado en relación con las decisiones relativas a los dibujos y modelos, pero la aplicación estaba prevista para cuando se haya transformado el sistema principal de T.I., hecho que no se produjo durante el bienio:  DIRIS.</w:t>
            </w:r>
          </w:p>
        </w:tc>
        <w:tc>
          <w:tcPr>
            <w:tcW w:w="748" w:type="pct"/>
            <w:tcBorders>
              <w:top w:val="nil"/>
              <w:bottom w:val="single" w:sz="4" w:space="0" w:color="auto"/>
            </w:tcBorders>
            <w:shd w:val="clear" w:color="auto" w:fill="auto"/>
            <w:tcMar>
              <w:top w:w="110" w:type="dxa"/>
            </w:tcMar>
          </w:tcPr>
          <w:p w:rsidR="002640BF" w:rsidRPr="00B5757D" w:rsidRDefault="002640BF" w:rsidP="00DC1333">
            <w:pPr>
              <w:widowControl w:val="0"/>
              <w:jc w:val="center"/>
              <w:rPr>
                <w:b/>
                <w:bCs/>
                <w:color w:val="FF0000"/>
                <w:sz w:val="16"/>
                <w:szCs w:val="16"/>
              </w:rPr>
            </w:pPr>
            <w:r w:rsidRPr="00B5757D">
              <w:rPr>
                <w:rStyle w:val="Style5"/>
                <w:b/>
                <w:color w:val="FF0000"/>
                <w:sz w:val="16"/>
                <w:szCs w:val="16"/>
              </w:rPr>
              <w:t>No logrado</w:t>
            </w:r>
          </w:p>
        </w:tc>
      </w:tr>
      <w:tr w:rsidR="002640BF" w:rsidRPr="00B5757D" w:rsidTr="007D557F">
        <w:trPr>
          <w:cantSplit/>
        </w:trPr>
        <w:tc>
          <w:tcPr>
            <w:tcW w:w="1140" w:type="pct"/>
            <w:gridSpan w:val="3"/>
            <w:tcBorders>
              <w:top w:val="single" w:sz="4" w:space="0" w:color="auto"/>
              <w:bottom w:val="single" w:sz="4" w:space="0" w:color="auto"/>
            </w:tcBorders>
            <w:shd w:val="clear" w:color="auto" w:fill="auto"/>
          </w:tcPr>
          <w:p w:rsidR="002640BF" w:rsidRPr="00B5757D" w:rsidRDefault="002640BF" w:rsidP="00DC1333">
            <w:pPr>
              <w:widowControl w:val="0"/>
              <w:rPr>
                <w:sz w:val="16"/>
                <w:szCs w:val="16"/>
              </w:rPr>
            </w:pPr>
            <w:r w:rsidRPr="00B5757D">
              <w:rPr>
                <w:sz w:val="16"/>
                <w:szCs w:val="16"/>
              </w:rPr>
              <w:lastRenderedPageBreak/>
              <w:t>Número de procedimientos automatizados</w:t>
            </w:r>
          </w:p>
        </w:tc>
        <w:tc>
          <w:tcPr>
            <w:tcW w:w="1138" w:type="pct"/>
            <w:tcBorders>
              <w:top w:val="single" w:sz="4" w:space="0" w:color="auto"/>
              <w:bottom w:val="single" w:sz="4" w:space="0" w:color="auto"/>
            </w:tcBorders>
            <w:shd w:val="clear" w:color="auto" w:fill="auto"/>
          </w:tcPr>
          <w:p w:rsidR="002640BF" w:rsidRPr="00B5757D" w:rsidRDefault="002640BF" w:rsidP="00DC1333">
            <w:pPr>
              <w:rPr>
                <w:i/>
                <w:color w:val="002060"/>
                <w:sz w:val="16"/>
                <w:szCs w:val="16"/>
                <w:vertAlign w:val="superscript"/>
              </w:rPr>
            </w:pPr>
            <w:r w:rsidRPr="00B5757D">
              <w:rPr>
                <w:i/>
                <w:color w:val="002060"/>
                <w:sz w:val="16"/>
                <w:szCs w:val="16"/>
              </w:rPr>
              <w:t>Referencia a</w:t>
            </w:r>
            <w:r>
              <w:rPr>
                <w:i/>
                <w:color w:val="002060"/>
                <w:sz w:val="16"/>
                <w:szCs w:val="16"/>
              </w:rPr>
              <w:t>ctualizada a fines de 2013:  2</w:t>
            </w:r>
            <w:r w:rsidRPr="00B5757D">
              <w:rPr>
                <w:i/>
                <w:color w:val="002060"/>
                <w:sz w:val="16"/>
                <w:szCs w:val="16"/>
              </w:rPr>
              <w:t xml:space="preserve"> (presentación y renovación electrónicas)</w:t>
            </w:r>
            <w:r w:rsidRPr="00B5757D">
              <w:rPr>
                <w:i/>
                <w:color w:val="002060"/>
                <w:sz w:val="16"/>
                <w:szCs w:val="16"/>
                <w:vertAlign w:val="superscript"/>
              </w:rPr>
              <w:footnoteReference w:id="40"/>
            </w:r>
            <w:r w:rsidRPr="00B5757D">
              <w:rPr>
                <w:i/>
                <w:color w:val="002060"/>
                <w:sz w:val="16"/>
                <w:szCs w:val="16"/>
                <w:vertAlign w:val="superscript"/>
              </w:rPr>
              <w:t xml:space="preserve">  </w:t>
            </w:r>
          </w:p>
          <w:p w:rsidR="002640BF" w:rsidRPr="00B5757D" w:rsidRDefault="002640BF" w:rsidP="00DC1333">
            <w:pPr>
              <w:widowControl w:val="0"/>
              <w:rPr>
                <w:i/>
                <w:sz w:val="16"/>
                <w:szCs w:val="16"/>
              </w:rPr>
            </w:pPr>
          </w:p>
          <w:p w:rsidR="002640BF" w:rsidRPr="00B5757D" w:rsidRDefault="002640BF" w:rsidP="00DC1333">
            <w:pPr>
              <w:widowControl w:val="0"/>
              <w:rPr>
                <w:i/>
                <w:sz w:val="16"/>
                <w:szCs w:val="16"/>
              </w:rPr>
            </w:pPr>
            <w:r w:rsidRPr="00B5757D">
              <w:rPr>
                <w:i/>
                <w:sz w:val="16"/>
                <w:szCs w:val="16"/>
              </w:rPr>
              <w:t>Referencia original en el presupuesto de 2014/15:  2</w:t>
            </w:r>
          </w:p>
          <w:p w:rsidR="002640BF" w:rsidRPr="00B5757D" w:rsidRDefault="002640BF" w:rsidP="00DC1333">
            <w:pPr>
              <w:widowControl w:val="0"/>
              <w:rPr>
                <w:sz w:val="16"/>
                <w:szCs w:val="16"/>
              </w:rPr>
            </w:pPr>
          </w:p>
        </w:tc>
        <w:tc>
          <w:tcPr>
            <w:tcW w:w="910" w:type="pct"/>
            <w:gridSpan w:val="4"/>
            <w:tcBorders>
              <w:top w:val="single" w:sz="4" w:space="0" w:color="auto"/>
              <w:bottom w:val="single" w:sz="4" w:space="0" w:color="auto"/>
            </w:tcBorders>
            <w:shd w:val="clear" w:color="auto" w:fill="auto"/>
            <w:tcMar>
              <w:top w:w="110" w:type="dxa"/>
            </w:tcMar>
          </w:tcPr>
          <w:p w:rsidR="002640BF" w:rsidRPr="00B5757D" w:rsidRDefault="002640BF" w:rsidP="00DC1333">
            <w:pPr>
              <w:widowControl w:val="0"/>
              <w:autoSpaceDE w:val="0"/>
              <w:autoSpaceDN w:val="0"/>
              <w:adjustRightInd w:val="0"/>
              <w:rPr>
                <w:sz w:val="16"/>
                <w:szCs w:val="16"/>
              </w:rPr>
            </w:pPr>
            <w:r w:rsidRPr="00B5757D">
              <w:rPr>
                <w:sz w:val="16"/>
                <w:szCs w:val="16"/>
              </w:rPr>
              <w:t>4</w:t>
            </w:r>
          </w:p>
        </w:tc>
        <w:tc>
          <w:tcPr>
            <w:tcW w:w="1064" w:type="pct"/>
            <w:tcBorders>
              <w:top w:val="single" w:sz="4" w:space="0" w:color="auto"/>
              <w:bottom w:val="single" w:sz="4" w:space="0" w:color="auto"/>
            </w:tcBorders>
            <w:shd w:val="clear" w:color="auto" w:fill="FFFFFF"/>
            <w:tcMar>
              <w:top w:w="110" w:type="dxa"/>
            </w:tcMar>
          </w:tcPr>
          <w:p w:rsidR="002640BF" w:rsidRPr="00B5757D" w:rsidRDefault="002640BF" w:rsidP="00DC1333">
            <w:pPr>
              <w:widowControl w:val="0"/>
              <w:rPr>
                <w:sz w:val="16"/>
                <w:szCs w:val="16"/>
              </w:rPr>
            </w:pPr>
            <w:r w:rsidRPr="00B5757D">
              <w:rPr>
                <w:sz w:val="16"/>
                <w:szCs w:val="16"/>
              </w:rPr>
              <w:t xml:space="preserve">2 nuevos procesos automatizados en 2014/15 (declaración de concesión de protección de la OAMI en 2014 y recepción y tramitación por la KIPO de las solicitudes presentadas indirectamente) </w:t>
            </w:r>
          </w:p>
          <w:p w:rsidR="002640BF" w:rsidRDefault="002640BF" w:rsidP="00DC1333">
            <w:pPr>
              <w:widowControl w:val="0"/>
              <w:rPr>
                <w:sz w:val="16"/>
                <w:szCs w:val="16"/>
              </w:rPr>
            </w:pPr>
            <w:r w:rsidRPr="00B5757D">
              <w:rPr>
                <w:sz w:val="16"/>
                <w:szCs w:val="16"/>
              </w:rPr>
              <w:t>(4 en total)</w:t>
            </w:r>
          </w:p>
          <w:p w:rsidR="002640BF" w:rsidRPr="00B5757D" w:rsidRDefault="002640BF" w:rsidP="00DC1333">
            <w:pPr>
              <w:widowControl w:val="0"/>
              <w:rPr>
                <w:sz w:val="16"/>
                <w:szCs w:val="16"/>
              </w:rPr>
            </w:pPr>
          </w:p>
        </w:tc>
        <w:tc>
          <w:tcPr>
            <w:tcW w:w="748" w:type="pct"/>
            <w:tcBorders>
              <w:top w:val="single" w:sz="4" w:space="0" w:color="auto"/>
              <w:bottom w:val="single" w:sz="4" w:space="0" w:color="auto"/>
            </w:tcBorders>
            <w:shd w:val="clear" w:color="auto" w:fill="auto"/>
            <w:tcMar>
              <w:top w:w="110" w:type="dxa"/>
            </w:tcMar>
          </w:tcPr>
          <w:p w:rsidR="002640BF" w:rsidRPr="00B5757D" w:rsidRDefault="002640BF" w:rsidP="00DC1333">
            <w:pPr>
              <w:widowControl w:val="0"/>
              <w:jc w:val="center"/>
              <w:rPr>
                <w:b/>
                <w:bCs/>
                <w:color w:val="00B050"/>
                <w:sz w:val="16"/>
                <w:szCs w:val="16"/>
              </w:rPr>
            </w:pPr>
            <w:r w:rsidRPr="00B5757D">
              <w:rPr>
                <w:b/>
                <w:color w:val="00B050"/>
                <w:sz w:val="16"/>
                <w:szCs w:val="16"/>
              </w:rPr>
              <w:t>Plenamente logrado</w:t>
            </w:r>
          </w:p>
        </w:tc>
      </w:tr>
    </w:tbl>
    <w:p w:rsidR="002640BF" w:rsidRDefault="002640BF" w:rsidP="00DC1333">
      <w:pPr>
        <w:widowControl w:val="0"/>
        <w:rPr>
          <w:szCs w:val="22"/>
        </w:rPr>
      </w:pPr>
    </w:p>
    <w:p w:rsidR="008B0CA7" w:rsidRPr="00B5757D" w:rsidRDefault="008B0CA7" w:rsidP="00DC1333">
      <w:pPr>
        <w:widowControl w:val="0"/>
        <w:rPr>
          <w:szCs w:val="22"/>
        </w:rPr>
      </w:pPr>
    </w:p>
    <w:p w:rsidR="002640BF" w:rsidRPr="00B5757D" w:rsidRDefault="008F7CBE" w:rsidP="00DC1333">
      <w:pPr>
        <w:keepNext/>
        <w:keepLines/>
        <w:rPr>
          <w:color w:val="000000"/>
          <w:szCs w:val="22"/>
        </w:rPr>
      </w:pPr>
      <w:r w:rsidRPr="008F7CBE">
        <w:rPr>
          <w:sz w:val="20"/>
        </w:rPr>
        <w:t>INFORMACIÓN SOBRE LOS RIESGOS PLANTEADOS EN EL BIENIO</w:t>
      </w:r>
    </w:p>
    <w:p w:rsidR="002640BF" w:rsidRPr="00B5757D" w:rsidRDefault="002640BF" w:rsidP="00DC1333">
      <w:pPr>
        <w:keepNext/>
        <w:keepLines/>
      </w:pPr>
    </w:p>
    <w:tbl>
      <w:tblPr>
        <w:tblW w:w="9498"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310"/>
        <w:gridCol w:w="2310"/>
        <w:gridCol w:w="2468"/>
        <w:gridCol w:w="2410"/>
      </w:tblGrid>
      <w:tr w:rsidR="002640BF" w:rsidRPr="00B5757D" w:rsidTr="00DC1333">
        <w:trPr>
          <w:trHeight w:val="362"/>
        </w:trPr>
        <w:tc>
          <w:tcPr>
            <w:tcW w:w="2310" w:type="dxa"/>
            <w:tcBorders>
              <w:top w:val="single" w:sz="4" w:space="0" w:color="auto"/>
              <w:bottom w:val="single" w:sz="4" w:space="0" w:color="auto"/>
            </w:tcBorders>
            <w:shd w:val="clear" w:color="auto" w:fill="C6D9F1" w:themeFill="text2" w:themeFillTint="33"/>
            <w:tcMar>
              <w:top w:w="113" w:type="dxa"/>
              <w:bottom w:w="85" w:type="dxa"/>
            </w:tcMar>
            <w:vAlign w:val="center"/>
          </w:tcPr>
          <w:p w:rsidR="002640BF" w:rsidRPr="00B5757D" w:rsidRDefault="002640BF" w:rsidP="00DC1333">
            <w:pPr>
              <w:keepNext/>
              <w:autoSpaceDE w:val="0"/>
              <w:autoSpaceDN w:val="0"/>
              <w:adjustRightInd w:val="0"/>
              <w:ind w:right="-59"/>
              <w:jc w:val="center"/>
              <w:rPr>
                <w:b/>
                <w:bCs/>
                <w:iCs/>
                <w:sz w:val="18"/>
                <w:szCs w:val="18"/>
              </w:rPr>
            </w:pPr>
            <w:r w:rsidRPr="00B5757D">
              <w:rPr>
                <w:b/>
                <w:bCs/>
                <w:iCs/>
                <w:sz w:val="18"/>
                <w:szCs w:val="18"/>
              </w:rPr>
              <w:t>Riesgos en el logro de los resultados del programa</w:t>
            </w:r>
          </w:p>
        </w:tc>
        <w:tc>
          <w:tcPr>
            <w:tcW w:w="2310" w:type="dxa"/>
            <w:tcBorders>
              <w:top w:val="single" w:sz="4" w:space="0" w:color="auto"/>
              <w:bottom w:val="single" w:sz="4" w:space="0" w:color="auto"/>
            </w:tcBorders>
            <w:shd w:val="clear" w:color="auto" w:fill="C6D9F1" w:themeFill="text2" w:themeFillTint="33"/>
            <w:tcMar>
              <w:top w:w="113" w:type="dxa"/>
              <w:bottom w:w="85" w:type="dxa"/>
            </w:tcMar>
            <w:vAlign w:val="center"/>
          </w:tcPr>
          <w:p w:rsidR="002640BF" w:rsidRPr="00B5757D" w:rsidRDefault="002640BF" w:rsidP="00DC1333">
            <w:pPr>
              <w:autoSpaceDE w:val="0"/>
              <w:autoSpaceDN w:val="0"/>
              <w:adjustRightInd w:val="0"/>
              <w:ind w:right="-59"/>
              <w:jc w:val="center"/>
              <w:rPr>
                <w:b/>
                <w:bCs/>
                <w:iCs/>
                <w:sz w:val="18"/>
                <w:szCs w:val="18"/>
              </w:rPr>
            </w:pPr>
            <w:r w:rsidRPr="00B5757D">
              <w:rPr>
                <w:b/>
                <w:bCs/>
                <w:iCs/>
                <w:sz w:val="18"/>
                <w:szCs w:val="18"/>
              </w:rPr>
              <w:t>Planes de mitigación ejecutados o en ejecución</w:t>
            </w:r>
          </w:p>
        </w:tc>
        <w:tc>
          <w:tcPr>
            <w:tcW w:w="2468" w:type="dxa"/>
            <w:tcBorders>
              <w:top w:val="single" w:sz="4" w:space="0" w:color="auto"/>
              <w:bottom w:val="single" w:sz="4" w:space="0" w:color="auto"/>
            </w:tcBorders>
            <w:shd w:val="clear" w:color="auto" w:fill="C6D9F1" w:themeFill="text2" w:themeFillTint="33"/>
          </w:tcPr>
          <w:p w:rsidR="002640BF" w:rsidRPr="00B5757D" w:rsidRDefault="002640BF" w:rsidP="00DC1333">
            <w:pPr>
              <w:jc w:val="center"/>
              <w:rPr>
                <w:b/>
                <w:bCs/>
                <w:sz w:val="18"/>
                <w:szCs w:val="18"/>
              </w:rPr>
            </w:pPr>
            <w:r w:rsidRPr="00B5757D">
              <w:rPr>
                <w:b/>
                <w:bCs/>
                <w:iCs/>
                <w:sz w:val="18"/>
                <w:szCs w:val="18"/>
              </w:rPr>
              <w:t>Evolución de los riesgos y estrategias de mitigación durante el bienio</w:t>
            </w:r>
          </w:p>
        </w:tc>
        <w:tc>
          <w:tcPr>
            <w:tcW w:w="2410" w:type="dxa"/>
            <w:tcBorders>
              <w:top w:val="single" w:sz="4" w:space="0" w:color="auto"/>
              <w:bottom w:val="single" w:sz="4" w:space="0" w:color="auto"/>
            </w:tcBorders>
            <w:shd w:val="clear" w:color="auto" w:fill="C6D9F1" w:themeFill="text2" w:themeFillTint="33"/>
          </w:tcPr>
          <w:p w:rsidR="002640BF" w:rsidRPr="00B5757D" w:rsidRDefault="002640BF" w:rsidP="00DC1333">
            <w:pPr>
              <w:jc w:val="center"/>
              <w:rPr>
                <w:b/>
                <w:bCs/>
                <w:sz w:val="18"/>
                <w:szCs w:val="18"/>
              </w:rPr>
            </w:pPr>
            <w:r w:rsidRPr="00B5757D">
              <w:rPr>
                <w:b/>
                <w:bCs/>
                <w:sz w:val="18"/>
                <w:szCs w:val="18"/>
              </w:rPr>
              <w:t>Incidencia en el rendimiento del programa</w:t>
            </w:r>
          </w:p>
        </w:tc>
      </w:tr>
      <w:tr w:rsidR="002640BF" w:rsidRPr="00B5757D" w:rsidTr="00DC1333">
        <w:trPr>
          <w:trHeight w:val="1051"/>
        </w:trPr>
        <w:tc>
          <w:tcPr>
            <w:tcW w:w="2310" w:type="dxa"/>
            <w:tcBorders>
              <w:top w:val="single" w:sz="4" w:space="0" w:color="auto"/>
            </w:tcBorders>
            <w:shd w:val="clear" w:color="auto" w:fill="auto"/>
            <w:tcMar>
              <w:top w:w="113" w:type="dxa"/>
              <w:bottom w:w="85" w:type="dxa"/>
            </w:tcMar>
          </w:tcPr>
          <w:p w:rsidR="002640BF" w:rsidRPr="00B5757D" w:rsidRDefault="002640BF" w:rsidP="00DC1333">
            <w:pPr>
              <w:keepNext/>
              <w:rPr>
                <w:sz w:val="16"/>
                <w:szCs w:val="16"/>
              </w:rPr>
            </w:pPr>
            <w:r w:rsidRPr="00B5757D">
              <w:rPr>
                <w:sz w:val="16"/>
                <w:szCs w:val="16"/>
              </w:rPr>
              <w:t>Disminución del grado de satisfacción de los usuarios debido a las dificultades que plantea el aumento del número de solicitudes presentadas y de peticiones de información y a la creciente complejidad del Sistema como consecuencia de la ejecución de funciones relativas al examen de la novedad en determinadas oficinas designadas.</w:t>
            </w:r>
          </w:p>
        </w:tc>
        <w:tc>
          <w:tcPr>
            <w:tcW w:w="2310" w:type="dxa"/>
            <w:tcBorders>
              <w:top w:val="single" w:sz="4" w:space="0" w:color="auto"/>
            </w:tcBorders>
            <w:shd w:val="clear" w:color="auto" w:fill="auto"/>
            <w:tcMar>
              <w:top w:w="113" w:type="dxa"/>
              <w:bottom w:w="85" w:type="dxa"/>
            </w:tcMar>
          </w:tcPr>
          <w:p w:rsidR="002640BF" w:rsidRPr="00B5757D" w:rsidRDefault="002640BF" w:rsidP="00DC1333">
            <w:pPr>
              <w:autoSpaceDE w:val="0"/>
              <w:autoSpaceDN w:val="0"/>
              <w:adjustRightInd w:val="0"/>
              <w:ind w:right="-59"/>
              <w:rPr>
                <w:sz w:val="16"/>
                <w:szCs w:val="16"/>
              </w:rPr>
            </w:pPr>
            <w:r w:rsidRPr="00B5757D">
              <w:rPr>
                <w:sz w:val="16"/>
                <w:szCs w:val="16"/>
              </w:rPr>
              <w:t xml:space="preserve">Potenciación de la eficiencia y efectividad en todos los aspectos de la administración del Sistema; </w:t>
            </w:r>
            <w:r>
              <w:rPr>
                <w:sz w:val="16"/>
                <w:szCs w:val="16"/>
              </w:rPr>
              <w:t xml:space="preserve"> </w:t>
            </w:r>
            <w:r w:rsidRPr="00B5757D">
              <w:rPr>
                <w:sz w:val="16"/>
                <w:szCs w:val="16"/>
              </w:rPr>
              <w:t xml:space="preserve">fomento de las prácticas más extendidas y de la convergencia entre las oficinas concernidas; </w:t>
            </w:r>
            <w:r>
              <w:rPr>
                <w:sz w:val="16"/>
                <w:szCs w:val="16"/>
              </w:rPr>
              <w:t xml:space="preserve"> </w:t>
            </w:r>
            <w:r w:rsidRPr="00B5757D">
              <w:rPr>
                <w:sz w:val="16"/>
                <w:szCs w:val="16"/>
              </w:rPr>
              <w:t>adopción de soluciones de T.I. para asistir a los usuarios y examinadores de las oficinas y de la Oficina Internacional.</w:t>
            </w:r>
          </w:p>
        </w:tc>
        <w:tc>
          <w:tcPr>
            <w:tcW w:w="2468" w:type="dxa"/>
            <w:tcBorders>
              <w:top w:val="single" w:sz="4" w:space="0" w:color="auto"/>
            </w:tcBorders>
          </w:tcPr>
          <w:p w:rsidR="002640BF" w:rsidRPr="00B5757D" w:rsidRDefault="002640BF" w:rsidP="00DC1333">
            <w:pPr>
              <w:autoSpaceDE w:val="0"/>
              <w:autoSpaceDN w:val="0"/>
              <w:adjustRightInd w:val="0"/>
              <w:ind w:right="-59"/>
              <w:rPr>
                <w:sz w:val="16"/>
                <w:szCs w:val="16"/>
              </w:rPr>
            </w:pPr>
            <w:r w:rsidRPr="00B5757D">
              <w:rPr>
                <w:sz w:val="16"/>
                <w:szCs w:val="16"/>
              </w:rPr>
              <w:t>Este es un riesgo continuo para el programa</w:t>
            </w:r>
            <w:r>
              <w:rPr>
                <w:sz w:val="16"/>
                <w:szCs w:val="16"/>
              </w:rPr>
              <w:t>,</w:t>
            </w:r>
            <w:r w:rsidRPr="00B5757D">
              <w:rPr>
                <w:sz w:val="16"/>
                <w:szCs w:val="16"/>
              </w:rPr>
              <w:t xml:space="preserve"> y las estrategias de mitigación se han ido ampliando en el transcurso del bienio con herramientas electrónicas y material informativo que han permitido a la Oficina Internacional hacer frente al incremento del 40% de las solicitudes y han ayudado a limitar al mínimo el número de consultas y quejas de los usuarios debido al aumento de la complejidad del Sistema.</w:t>
            </w:r>
          </w:p>
        </w:tc>
        <w:tc>
          <w:tcPr>
            <w:tcW w:w="2410" w:type="dxa"/>
            <w:tcBorders>
              <w:top w:val="single" w:sz="4" w:space="0" w:color="auto"/>
            </w:tcBorders>
          </w:tcPr>
          <w:p w:rsidR="002640BF" w:rsidRPr="00B5757D" w:rsidRDefault="002640BF" w:rsidP="00DC1333">
            <w:pPr>
              <w:autoSpaceDE w:val="0"/>
              <w:autoSpaceDN w:val="0"/>
              <w:adjustRightInd w:val="0"/>
              <w:ind w:right="-59"/>
              <w:rPr>
                <w:sz w:val="16"/>
                <w:szCs w:val="16"/>
              </w:rPr>
            </w:pPr>
            <w:r w:rsidRPr="00B5757D">
              <w:rPr>
                <w:sz w:val="16"/>
                <w:szCs w:val="16"/>
              </w:rPr>
              <w:t>Ninguna, ya que el aumento de las solicitudes registrado entre 2014 y 2015 superó las expectativas, poniendo de manifiesto que se había mantenido el atractivo general del Sistema, y tampoco se vio afectada la satisfacción de los clientes.</w:t>
            </w:r>
          </w:p>
        </w:tc>
      </w:tr>
    </w:tbl>
    <w:p w:rsidR="002640BF" w:rsidRDefault="002640BF" w:rsidP="00DC1333">
      <w:pPr>
        <w:widowControl w:val="0"/>
        <w:rPr>
          <w:szCs w:val="22"/>
        </w:rPr>
      </w:pPr>
    </w:p>
    <w:p w:rsidR="002640BF" w:rsidRPr="00B5757D" w:rsidRDefault="002640BF" w:rsidP="00DC1333">
      <w:pPr>
        <w:widowControl w:val="0"/>
        <w:rPr>
          <w:szCs w:val="22"/>
        </w:rPr>
      </w:pPr>
    </w:p>
    <w:p w:rsidR="002640BF" w:rsidRPr="00B5757D" w:rsidRDefault="00403D2C" w:rsidP="00DC1333">
      <w:pPr>
        <w:widowControl w:val="0"/>
        <w:rPr>
          <w:b/>
          <w:sz w:val="18"/>
          <w:szCs w:val="18"/>
        </w:rPr>
      </w:pPr>
      <w:r w:rsidRPr="00403D2C">
        <w:rPr>
          <w:sz w:val="20"/>
          <w:szCs w:val="22"/>
        </w:rPr>
        <w:t>UTILIZACIÓN DE LOS RECURSOS</w:t>
      </w:r>
    </w:p>
    <w:p w:rsidR="002640BF" w:rsidRPr="00B5757D" w:rsidRDefault="002640BF" w:rsidP="00DC1333">
      <w:pPr>
        <w:widowControl w:val="0"/>
      </w:pPr>
    </w:p>
    <w:p w:rsidR="002640BF" w:rsidRPr="00B5757D" w:rsidRDefault="002640BF" w:rsidP="00DC1333">
      <w:pPr>
        <w:pStyle w:val="NormalWeb"/>
        <w:widowControl w:val="0"/>
        <w:spacing w:before="0" w:beforeAutospacing="0" w:after="0" w:afterAutospacing="0"/>
        <w:jc w:val="center"/>
        <w:rPr>
          <w:sz w:val="20"/>
          <w:szCs w:val="20"/>
          <w:lang w:val="es-ES"/>
        </w:rPr>
      </w:pPr>
      <w:r w:rsidRPr="00B5757D">
        <w:rPr>
          <w:sz w:val="20"/>
          <w:szCs w:val="20"/>
          <w:lang w:val="es-ES"/>
        </w:rPr>
        <w:t xml:space="preserve">Presupuesto y gastos reales (por resultado) </w:t>
      </w:r>
    </w:p>
    <w:p w:rsidR="002640BF" w:rsidRPr="00B5757D" w:rsidRDefault="002640BF" w:rsidP="00DC1333">
      <w:pPr>
        <w:pStyle w:val="NormalWeb"/>
        <w:widowControl w:val="0"/>
        <w:spacing w:before="0" w:beforeAutospacing="0" w:after="0" w:afterAutospacing="0"/>
        <w:jc w:val="center"/>
        <w:rPr>
          <w:i/>
          <w:iCs/>
          <w:sz w:val="20"/>
          <w:szCs w:val="20"/>
          <w:lang w:val="es-ES"/>
        </w:rPr>
      </w:pPr>
      <w:r w:rsidRPr="00B5757D">
        <w:rPr>
          <w:i/>
          <w:iCs/>
          <w:sz w:val="20"/>
          <w:szCs w:val="20"/>
          <w:lang w:val="es-ES"/>
        </w:rPr>
        <w:t>(en miles de francos suizos)</w:t>
      </w:r>
    </w:p>
    <w:p w:rsidR="002640BF" w:rsidRPr="00B5757D" w:rsidRDefault="002640BF" w:rsidP="00DC1333">
      <w:pPr>
        <w:widowControl w:val="0"/>
      </w:pPr>
    </w:p>
    <w:p w:rsidR="002640BF" w:rsidRPr="00B5757D" w:rsidRDefault="002640BF" w:rsidP="00DC1333">
      <w:pPr>
        <w:widowControl w:val="0"/>
        <w:jc w:val="center"/>
      </w:pPr>
      <w:bookmarkStart w:id="85" w:name="Bm31"/>
      <w:bookmarkStart w:id="86" w:name="Punto31"/>
      <w:r>
        <w:rPr>
          <w:noProof/>
          <w:lang w:val="en-US" w:eastAsia="en-US"/>
        </w:rPr>
        <w:drawing>
          <wp:inline distT="0" distB="0" distL="0" distR="0" wp14:anchorId="10D5748A" wp14:editId="67E48E86">
            <wp:extent cx="5676900" cy="1609725"/>
            <wp:effectExtent l="0" t="0" r="0" b="9525"/>
            <wp:docPr id="1027" name="Pictur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676900" cy="1609725"/>
                    </a:xfrm>
                    <a:prstGeom prst="rect">
                      <a:avLst/>
                    </a:prstGeom>
                    <a:noFill/>
                    <a:ln>
                      <a:noFill/>
                    </a:ln>
                  </pic:spPr>
                </pic:pic>
              </a:graphicData>
            </a:graphic>
          </wp:inline>
        </w:drawing>
      </w:r>
      <w:bookmarkEnd w:id="85"/>
      <w:bookmarkEnd w:id="86"/>
    </w:p>
    <w:p w:rsidR="002640BF" w:rsidRPr="00B5757D" w:rsidRDefault="002640BF" w:rsidP="00DC1333">
      <w:pPr>
        <w:rPr>
          <w:color w:val="000000"/>
        </w:rPr>
      </w:pPr>
    </w:p>
    <w:p w:rsidR="002640BF" w:rsidRPr="00B5757D" w:rsidRDefault="002640BF" w:rsidP="00DC1333">
      <w:pPr>
        <w:pStyle w:val="NormalWeb"/>
        <w:widowControl w:val="0"/>
        <w:spacing w:before="0" w:beforeAutospacing="0" w:after="0" w:afterAutospacing="0"/>
        <w:jc w:val="center"/>
        <w:rPr>
          <w:color w:val="000000"/>
          <w:sz w:val="20"/>
          <w:szCs w:val="20"/>
          <w:lang w:val="es-ES"/>
        </w:rPr>
      </w:pPr>
    </w:p>
    <w:p w:rsidR="002640BF" w:rsidRPr="00B5757D" w:rsidRDefault="002640BF" w:rsidP="008B0CA7">
      <w:pPr>
        <w:pStyle w:val="NormalWeb"/>
        <w:keepNext/>
        <w:widowControl w:val="0"/>
        <w:spacing w:before="0" w:beforeAutospacing="0" w:after="0" w:afterAutospacing="0"/>
        <w:jc w:val="center"/>
        <w:rPr>
          <w:sz w:val="20"/>
          <w:szCs w:val="20"/>
          <w:lang w:val="es-ES"/>
        </w:rPr>
      </w:pPr>
      <w:r w:rsidRPr="00B5757D">
        <w:rPr>
          <w:sz w:val="20"/>
          <w:szCs w:val="20"/>
          <w:lang w:val="es-ES"/>
        </w:rPr>
        <w:lastRenderedPageBreak/>
        <w:t xml:space="preserve">Presupuesto y gastos reales (de personal y no relativos a personal) </w:t>
      </w:r>
    </w:p>
    <w:p w:rsidR="002640BF" w:rsidRPr="00B5757D" w:rsidRDefault="002640BF" w:rsidP="008B0CA7">
      <w:pPr>
        <w:pStyle w:val="NormalWeb"/>
        <w:keepNext/>
        <w:widowControl w:val="0"/>
        <w:spacing w:before="0" w:beforeAutospacing="0" w:after="0" w:afterAutospacing="0"/>
        <w:jc w:val="center"/>
        <w:rPr>
          <w:i/>
          <w:iCs/>
          <w:sz w:val="20"/>
          <w:szCs w:val="20"/>
          <w:lang w:val="es-ES"/>
        </w:rPr>
      </w:pPr>
      <w:r w:rsidRPr="00B5757D">
        <w:rPr>
          <w:i/>
          <w:iCs/>
          <w:sz w:val="20"/>
          <w:szCs w:val="20"/>
          <w:lang w:val="es-ES"/>
        </w:rPr>
        <w:t>(en miles de francos suizos)</w:t>
      </w:r>
    </w:p>
    <w:p w:rsidR="002640BF" w:rsidRPr="00B5757D" w:rsidRDefault="002640BF" w:rsidP="008B0CA7">
      <w:pPr>
        <w:pStyle w:val="NormalWeb"/>
        <w:keepNext/>
        <w:widowControl w:val="0"/>
        <w:spacing w:before="0" w:beforeAutospacing="0" w:after="0" w:afterAutospacing="0"/>
        <w:jc w:val="center"/>
        <w:rPr>
          <w:color w:val="808080"/>
          <w:lang w:val="es-ES"/>
        </w:rPr>
      </w:pPr>
    </w:p>
    <w:p w:rsidR="002640BF" w:rsidRPr="00B5757D" w:rsidRDefault="002640BF" w:rsidP="008B0CA7">
      <w:pPr>
        <w:keepNext/>
        <w:widowControl w:val="0"/>
        <w:jc w:val="center"/>
      </w:pPr>
      <w:bookmarkStart w:id="87" w:name="Point31"/>
      <w:r>
        <w:rPr>
          <w:noProof/>
          <w:lang w:val="en-US" w:eastAsia="en-US"/>
        </w:rPr>
        <w:drawing>
          <wp:inline distT="0" distB="0" distL="0" distR="0" wp14:anchorId="463C93F4" wp14:editId="1D04D959">
            <wp:extent cx="5940425" cy="1059884"/>
            <wp:effectExtent l="0" t="0" r="3175" b="6985"/>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940425" cy="1059884"/>
                    </a:xfrm>
                    <a:prstGeom prst="rect">
                      <a:avLst/>
                    </a:prstGeom>
                    <a:noFill/>
                    <a:ln>
                      <a:noFill/>
                    </a:ln>
                  </pic:spPr>
                </pic:pic>
              </a:graphicData>
            </a:graphic>
          </wp:inline>
        </w:drawing>
      </w:r>
      <w:bookmarkEnd w:id="87"/>
    </w:p>
    <w:p w:rsidR="002640BF" w:rsidRDefault="002640BF" w:rsidP="00DC1333">
      <w:pPr>
        <w:widowControl w:val="0"/>
        <w:autoSpaceDE w:val="0"/>
        <w:autoSpaceDN w:val="0"/>
        <w:adjustRightInd w:val="0"/>
        <w:rPr>
          <w:sz w:val="20"/>
        </w:rPr>
      </w:pPr>
    </w:p>
    <w:p w:rsidR="002640BF" w:rsidRPr="00B5757D" w:rsidRDefault="002640BF" w:rsidP="00DC1333">
      <w:pPr>
        <w:widowControl w:val="0"/>
        <w:autoSpaceDE w:val="0"/>
        <w:autoSpaceDN w:val="0"/>
        <w:adjustRightInd w:val="0"/>
        <w:rPr>
          <w:sz w:val="20"/>
        </w:rPr>
      </w:pPr>
    </w:p>
    <w:p w:rsidR="002640BF" w:rsidRPr="00B5757D" w:rsidRDefault="00403D2C" w:rsidP="00DC1333">
      <w:pPr>
        <w:widowControl w:val="0"/>
        <w:rPr>
          <w:sz w:val="20"/>
          <w:u w:val="single"/>
        </w:rPr>
      </w:pPr>
      <w:r w:rsidRPr="00403D2C">
        <w:rPr>
          <w:sz w:val="20"/>
        </w:rPr>
        <w:t>A.</w:t>
      </w:r>
      <w:r w:rsidRPr="00403D2C">
        <w:rPr>
          <w:sz w:val="20"/>
        </w:rPr>
        <w:tab/>
      </w:r>
      <w:r w:rsidRPr="00403D2C">
        <w:rPr>
          <w:sz w:val="20"/>
          <w:u w:val="single"/>
        </w:rPr>
        <w:t>Presupuesto final de 2014/15 tras las transferencias</w:t>
      </w:r>
    </w:p>
    <w:p w:rsidR="002640BF" w:rsidRPr="00B5757D" w:rsidRDefault="002640BF" w:rsidP="00DC1333">
      <w:pPr>
        <w:pStyle w:val="ListParagraph"/>
        <w:widowControl w:val="0"/>
        <w:tabs>
          <w:tab w:val="left" w:pos="709"/>
        </w:tabs>
        <w:ind w:left="0"/>
        <w:jc w:val="both"/>
        <w:rPr>
          <w:lang w:val="es-ES"/>
        </w:rPr>
      </w:pPr>
    </w:p>
    <w:p w:rsidR="002640BF" w:rsidRPr="00B5757D" w:rsidRDefault="002640BF" w:rsidP="002640BF">
      <w:pPr>
        <w:pStyle w:val="ListParagraph"/>
        <w:widowControl w:val="0"/>
        <w:numPr>
          <w:ilvl w:val="0"/>
          <w:numId w:val="39"/>
        </w:numPr>
        <w:tabs>
          <w:tab w:val="left" w:pos="709"/>
        </w:tabs>
        <w:ind w:left="0" w:firstLine="0"/>
        <w:jc w:val="both"/>
        <w:rPr>
          <w:lang w:val="es-ES"/>
        </w:rPr>
      </w:pPr>
      <w:r w:rsidRPr="00B5757D">
        <w:rPr>
          <w:color w:val="000000"/>
          <w:lang w:val="es-ES"/>
        </w:rPr>
        <w:t>El presupuesto final de 2014/15 tras las transferencias refleja un incremento neto de los recursos de personal debido principalmente a:  i) la transferencia temporal al programa de un</w:t>
      </w:r>
      <w:r w:rsidRPr="00B5757D">
        <w:rPr>
          <w:color w:val="0000FF"/>
          <w:lang w:val="es-ES"/>
        </w:rPr>
        <w:t xml:space="preserve"> </w:t>
      </w:r>
      <w:r w:rsidRPr="00B5757D">
        <w:rPr>
          <w:lang w:val="es-ES"/>
        </w:rPr>
        <w:t xml:space="preserve">funcionario </w:t>
      </w:r>
      <w:r w:rsidRPr="00B5757D">
        <w:rPr>
          <w:color w:val="000000"/>
          <w:lang w:val="es-ES"/>
        </w:rPr>
        <w:t>del programa 10 (Cooperación con determinados países de Europa y Asia) para brindar mayor apoyo durante las reuniones del Grupo de Trabajo y las actividades de promoción, y</w:t>
      </w:r>
      <w:r w:rsidRPr="00B5757D">
        <w:rPr>
          <w:lang w:val="es-ES"/>
        </w:rPr>
        <w:t xml:space="preserve"> ii) la transferencia de más recursos de personal</w:t>
      </w:r>
      <w:r w:rsidRPr="00B5757D">
        <w:rPr>
          <w:color w:val="000000"/>
          <w:lang w:val="es-ES"/>
        </w:rPr>
        <w:t>, incluidos dos puestos temporales de los programas 9 y 19, para brindar apoyo en relación con el aumento de demandas de examen derivadas de las adhesiones de los Estados Unidos de América, el Japón y la República de Corea.  Esto se refleja en el resultado II.5 (Mejora de la productividad y de la calidad de los servicios en las operaciones del Sistema de La Haya).</w:t>
      </w:r>
    </w:p>
    <w:p w:rsidR="002640BF" w:rsidRPr="00B5757D" w:rsidRDefault="002640BF" w:rsidP="00DC1333">
      <w:pPr>
        <w:pStyle w:val="ListParagraph"/>
        <w:widowControl w:val="0"/>
        <w:tabs>
          <w:tab w:val="left" w:pos="709"/>
        </w:tabs>
        <w:ind w:left="0"/>
        <w:jc w:val="both"/>
        <w:rPr>
          <w:lang w:val="es-ES"/>
        </w:rPr>
      </w:pPr>
    </w:p>
    <w:p w:rsidR="002640BF" w:rsidRPr="00B5757D" w:rsidRDefault="002640BF" w:rsidP="002640BF">
      <w:pPr>
        <w:pStyle w:val="ListParagraph"/>
        <w:keepNext/>
        <w:keepLines/>
        <w:widowControl w:val="0"/>
        <w:numPr>
          <w:ilvl w:val="0"/>
          <w:numId w:val="39"/>
        </w:numPr>
        <w:tabs>
          <w:tab w:val="left" w:pos="709"/>
        </w:tabs>
        <w:ind w:left="0" w:firstLine="0"/>
        <w:jc w:val="both"/>
        <w:rPr>
          <w:lang w:val="es-ES"/>
        </w:rPr>
      </w:pPr>
      <w:r w:rsidRPr="00B5757D">
        <w:rPr>
          <w:color w:val="000000"/>
          <w:lang w:val="es-ES"/>
        </w:rPr>
        <w:t>La disminución neta de los recursos no relativos a personal en el marco del resultado II.4 (Ampliación</w:t>
      </w:r>
      <w:r w:rsidRPr="00B5757D">
        <w:rPr>
          <w:bCs/>
          <w:color w:val="000000"/>
          <w:lang w:val="es-ES"/>
        </w:rPr>
        <w:t xml:space="preserve"> y mejora del uso del Sistema de La Haya por los países en desarrollo y los PMA, entre otros</w:t>
      </w:r>
      <w:r w:rsidRPr="00B5757D">
        <w:rPr>
          <w:color w:val="000000"/>
          <w:lang w:val="es-ES"/>
        </w:rPr>
        <w:t>) se debe principalmente a:</w:t>
      </w:r>
      <w:r>
        <w:rPr>
          <w:color w:val="000000"/>
          <w:lang w:val="es-ES"/>
        </w:rPr>
        <w:t xml:space="preserve"> </w:t>
      </w:r>
      <w:r w:rsidRPr="00B5757D">
        <w:rPr>
          <w:color w:val="000000"/>
          <w:lang w:val="es-ES"/>
        </w:rPr>
        <w:t xml:space="preserve"> i) la transferencia de recursos no relativos a personal correspondientes a un pasante (al programa 23 (Gestión y desarrollo de los recursos humanos), que gestiona las pasantías) a fin de ayudar en el trabajo relativo a las nuevas adhesiones, y ii) la transferencia de fondos al programa 6 (</w:t>
      </w:r>
      <w:r w:rsidRPr="00B5757D">
        <w:rPr>
          <w:lang w:val="es-ES"/>
        </w:rPr>
        <w:t>Sistemas de Madrid y de Lisboa)</w:t>
      </w:r>
      <w:r w:rsidRPr="00B5757D">
        <w:rPr>
          <w:color w:val="000000"/>
          <w:lang w:val="es-ES"/>
        </w:rPr>
        <w:t xml:space="preserve"> para la labor en materia de T.I., así como para cubrir los costos del aumento de delegados en las Asambleas de las Uniones de Madrid, La Haya y Lisboa, como resultado del crecimiento de los Sistemas.</w:t>
      </w:r>
    </w:p>
    <w:p w:rsidR="002640BF" w:rsidRPr="00B5757D" w:rsidRDefault="002640BF" w:rsidP="00DC1333">
      <w:pPr>
        <w:widowControl w:val="0"/>
        <w:autoSpaceDE w:val="0"/>
        <w:autoSpaceDN w:val="0"/>
        <w:jc w:val="both"/>
        <w:rPr>
          <w:sz w:val="20"/>
          <w:lang w:eastAsia="ko-KR"/>
        </w:rPr>
      </w:pPr>
    </w:p>
    <w:p w:rsidR="002640BF" w:rsidRPr="00B5757D" w:rsidRDefault="00403D2C" w:rsidP="00DC1333">
      <w:pPr>
        <w:widowControl w:val="0"/>
        <w:jc w:val="both"/>
        <w:rPr>
          <w:sz w:val="20"/>
          <w:u w:val="single"/>
          <w:lang w:eastAsia="ko-KR"/>
        </w:rPr>
      </w:pPr>
      <w:r w:rsidRPr="00403D2C">
        <w:rPr>
          <w:sz w:val="20"/>
          <w:lang w:eastAsia="ko-KR"/>
        </w:rPr>
        <w:t>B.</w:t>
      </w:r>
      <w:r w:rsidRPr="00403D2C">
        <w:rPr>
          <w:sz w:val="20"/>
          <w:lang w:eastAsia="ko-KR"/>
        </w:rPr>
        <w:tab/>
      </w:r>
      <w:r w:rsidRPr="00403D2C">
        <w:rPr>
          <w:sz w:val="20"/>
          <w:u w:val="single"/>
          <w:lang w:eastAsia="ko-KR"/>
        </w:rPr>
        <w:t>Utilización del presupuesto en 2014/15</w:t>
      </w:r>
    </w:p>
    <w:p w:rsidR="002640BF" w:rsidRPr="00B5757D" w:rsidRDefault="002640BF" w:rsidP="00DC1333">
      <w:pPr>
        <w:widowControl w:val="0"/>
        <w:tabs>
          <w:tab w:val="left" w:pos="709"/>
        </w:tabs>
        <w:jc w:val="both"/>
        <w:rPr>
          <w:sz w:val="20"/>
          <w:u w:val="single"/>
          <w:lang w:eastAsia="ko-KR"/>
        </w:rPr>
      </w:pPr>
    </w:p>
    <w:p w:rsidR="002640BF" w:rsidRPr="00526BBA" w:rsidRDefault="002640BF" w:rsidP="002640BF">
      <w:pPr>
        <w:pStyle w:val="ListParagraph"/>
        <w:widowControl w:val="0"/>
        <w:numPr>
          <w:ilvl w:val="0"/>
          <w:numId w:val="39"/>
        </w:numPr>
        <w:tabs>
          <w:tab w:val="left" w:pos="709"/>
        </w:tabs>
        <w:ind w:left="0" w:firstLine="0"/>
        <w:jc w:val="both"/>
        <w:rPr>
          <w:lang w:val="es-ES"/>
        </w:rPr>
      </w:pPr>
      <w:r w:rsidRPr="00B5757D">
        <w:rPr>
          <w:lang w:val="es-ES" w:eastAsia="ko-KR"/>
        </w:rPr>
        <w:t>La utilización del presupuesto no relativo a personal correspondió al 81%</w:t>
      </w:r>
      <w:r w:rsidRPr="00B5757D">
        <w:rPr>
          <w:lang w:val="es-ES"/>
        </w:rPr>
        <w:t xml:space="preserve"> del presupuesto de 2014/15 tras las </w:t>
      </w:r>
      <w:r w:rsidRPr="00B5757D">
        <w:rPr>
          <w:color w:val="000000"/>
          <w:lang w:val="es-ES"/>
        </w:rPr>
        <w:t>transferencias</w:t>
      </w:r>
      <w:r w:rsidRPr="00B5757D">
        <w:rPr>
          <w:lang w:val="es-ES"/>
        </w:rPr>
        <w:t xml:space="preserve">.  </w:t>
      </w:r>
      <w:r w:rsidRPr="00B5757D">
        <w:rPr>
          <w:color w:val="000000"/>
          <w:lang w:val="es-ES"/>
        </w:rPr>
        <w:t xml:space="preserve">Esto se debió principalmente al retraso de la labor en materia de T.I. como consecuencia del aplazamiento de las adhesiones de determinadas Partes Contratantes, a tenor del resultado II.4 (Ampliación y mejora del uso del Sistema de La Haya </w:t>
      </w:r>
      <w:r w:rsidRPr="00B5757D">
        <w:rPr>
          <w:bCs/>
          <w:color w:val="000000"/>
          <w:lang w:val="es-ES"/>
        </w:rPr>
        <w:t>por los países en desarrollo y los PMA, entre otros</w:t>
      </w:r>
      <w:r w:rsidRPr="00B5757D">
        <w:rPr>
          <w:color w:val="000000"/>
          <w:lang w:val="es-ES"/>
        </w:rPr>
        <w:t>).</w:t>
      </w:r>
    </w:p>
    <w:p w:rsidR="002640BF" w:rsidRDefault="002640BF" w:rsidP="00DC1333">
      <w:pPr>
        <w:widowControl w:val="0"/>
        <w:tabs>
          <w:tab w:val="left" w:pos="709"/>
        </w:tabs>
        <w:jc w:val="both"/>
      </w:pPr>
    </w:p>
    <w:p w:rsidR="002640BF" w:rsidRPr="00526BBA" w:rsidRDefault="002640BF" w:rsidP="00DC1333">
      <w:pPr>
        <w:widowControl w:val="0"/>
        <w:tabs>
          <w:tab w:val="left" w:pos="709"/>
        </w:tabs>
        <w:jc w:val="both"/>
      </w:pPr>
    </w:p>
    <w:p w:rsidR="00F35363" w:rsidRDefault="00F35363">
      <w:r>
        <w:br w:type="page"/>
      </w:r>
    </w:p>
    <w:p w:rsidR="00264980" w:rsidRPr="00821C88" w:rsidRDefault="00264980" w:rsidP="00DC1333">
      <w:pPr>
        <w:pStyle w:val="StyleHeading3BoldNounderline"/>
        <w:rPr>
          <w:b/>
          <w:szCs w:val="22"/>
          <w:lang w:val="es-ES"/>
        </w:rPr>
      </w:pPr>
      <w:bookmarkStart w:id="88" w:name="_Toc422927412"/>
      <w:bookmarkStart w:id="89" w:name="_Toc455159080"/>
      <w:r w:rsidRPr="00821C88">
        <w:rPr>
          <w:b/>
          <w:szCs w:val="22"/>
          <w:lang w:val="es-ES"/>
        </w:rPr>
        <w:lastRenderedPageBreak/>
        <w:t>Programa 31, Anexo:  Indicadores de las operaciones del Sistema de La Haya</w:t>
      </w:r>
      <w:bookmarkEnd w:id="88"/>
      <w:bookmarkEnd w:id="89"/>
    </w:p>
    <w:p w:rsidR="00264980" w:rsidRPr="002B202E" w:rsidRDefault="00264980" w:rsidP="00DC1333">
      <w:pPr>
        <w:rPr>
          <w:sz w:val="20"/>
        </w:rPr>
      </w:pPr>
    </w:p>
    <w:p w:rsidR="00264980" w:rsidRPr="002B202E" w:rsidRDefault="00264980" w:rsidP="00DC1333">
      <w:pPr>
        <w:rPr>
          <w:sz w:val="20"/>
        </w:rPr>
      </w:pPr>
      <w:r w:rsidRPr="002B202E">
        <w:rPr>
          <w:sz w:val="20"/>
        </w:rPr>
        <w:t>INDICADORES DE RENDIMIENTO CON RESPECTO AL RESULTADO PREVISTO</w:t>
      </w:r>
    </w:p>
    <w:p w:rsidR="00264980" w:rsidRPr="002B202E" w:rsidRDefault="00264980" w:rsidP="00DC1333">
      <w:pPr>
        <w:rPr>
          <w:sz w:val="20"/>
        </w:rPr>
      </w:pPr>
      <w:r w:rsidRPr="002B202E">
        <w:rPr>
          <w:sz w:val="20"/>
        </w:rPr>
        <w:t>“MEJORA DE LA PRODUCTIVIDAD Y DE LA CALIDAD DE LOS SERVICIOS EN LAS OPERACIONES DEL SISTEMA DE LA HAYA”</w:t>
      </w:r>
    </w:p>
    <w:p w:rsidR="00264980" w:rsidRPr="002B202E" w:rsidRDefault="00264980" w:rsidP="00DC1333">
      <w:pPr>
        <w:rPr>
          <w:b/>
          <w:sz w:val="20"/>
        </w:rPr>
      </w:pPr>
    </w:p>
    <w:p w:rsidR="00264980" w:rsidRPr="002B202E" w:rsidRDefault="00264980" w:rsidP="00DC1333">
      <w:pPr>
        <w:rPr>
          <w:sz w:val="20"/>
        </w:rPr>
      </w:pPr>
    </w:p>
    <w:p w:rsidR="00264980" w:rsidRPr="002B202E" w:rsidRDefault="00264980" w:rsidP="00264980">
      <w:pPr>
        <w:pStyle w:val="ListParagraph"/>
        <w:numPr>
          <w:ilvl w:val="0"/>
          <w:numId w:val="47"/>
        </w:numPr>
        <w:tabs>
          <w:tab w:val="left" w:pos="0"/>
          <w:tab w:val="left" w:pos="567"/>
        </w:tabs>
        <w:ind w:left="0" w:firstLine="0"/>
        <w:contextualSpacing/>
        <w:jc w:val="both"/>
        <w:rPr>
          <w:rFonts w:cs="Arial"/>
          <w:lang w:val="es-ES"/>
        </w:rPr>
      </w:pPr>
      <w:r w:rsidRPr="002B202E">
        <w:rPr>
          <w:rFonts w:cs="Arial"/>
          <w:lang w:val="es-ES"/>
        </w:rPr>
        <w:t>Como referencia de los indicadores de rendimiento en lo que respecta al resultado previsto “Mejora de la productividad y de la calidad de los servicios en las operaciones del Sistema de La Haya”, es necesario considerar la evolución de los siguientes factores:</w:t>
      </w:r>
    </w:p>
    <w:p w:rsidR="00264980" w:rsidRPr="002B202E" w:rsidRDefault="00264980" w:rsidP="00DC1333">
      <w:pPr>
        <w:pStyle w:val="ListParagraph"/>
        <w:tabs>
          <w:tab w:val="left" w:pos="0"/>
          <w:tab w:val="left" w:pos="567"/>
        </w:tabs>
        <w:ind w:left="0"/>
        <w:jc w:val="both"/>
        <w:rPr>
          <w:rFonts w:cs="Arial"/>
          <w:lang w:val="es-ES"/>
        </w:rPr>
      </w:pPr>
    </w:p>
    <w:p w:rsidR="00264980" w:rsidRPr="002B202E" w:rsidRDefault="00264980" w:rsidP="00264980">
      <w:pPr>
        <w:numPr>
          <w:ilvl w:val="0"/>
          <w:numId w:val="30"/>
        </w:numPr>
        <w:tabs>
          <w:tab w:val="clear" w:pos="720"/>
        </w:tabs>
        <w:spacing w:after="120"/>
        <w:ind w:left="1134" w:hanging="567"/>
        <w:jc w:val="both"/>
        <w:rPr>
          <w:sz w:val="20"/>
        </w:rPr>
      </w:pPr>
      <w:r w:rsidRPr="002B202E">
        <w:rPr>
          <w:sz w:val="20"/>
        </w:rPr>
        <w:t>volúmenes de trabajo del Sistema de La Haya;</w:t>
      </w:r>
    </w:p>
    <w:p w:rsidR="00264980" w:rsidRPr="002B202E" w:rsidRDefault="00264980" w:rsidP="00264980">
      <w:pPr>
        <w:numPr>
          <w:ilvl w:val="0"/>
          <w:numId w:val="30"/>
        </w:numPr>
        <w:tabs>
          <w:tab w:val="clear" w:pos="720"/>
        </w:tabs>
        <w:spacing w:after="120"/>
        <w:ind w:left="1134" w:hanging="567"/>
        <w:jc w:val="both"/>
        <w:rPr>
          <w:sz w:val="20"/>
        </w:rPr>
      </w:pPr>
      <w:r w:rsidRPr="002B202E">
        <w:rPr>
          <w:sz w:val="20"/>
        </w:rPr>
        <w:t>composición de esos volúmenes;</w:t>
      </w:r>
    </w:p>
    <w:p w:rsidR="00264980" w:rsidRPr="002B202E" w:rsidRDefault="00264980" w:rsidP="00264980">
      <w:pPr>
        <w:numPr>
          <w:ilvl w:val="0"/>
          <w:numId w:val="30"/>
        </w:numPr>
        <w:tabs>
          <w:tab w:val="clear" w:pos="720"/>
        </w:tabs>
        <w:spacing w:after="120"/>
        <w:ind w:left="1134" w:hanging="567"/>
        <w:jc w:val="both"/>
        <w:rPr>
          <w:sz w:val="20"/>
        </w:rPr>
      </w:pPr>
      <w:r w:rsidRPr="002B202E">
        <w:rPr>
          <w:sz w:val="20"/>
        </w:rPr>
        <w:t>nivel de automatización, y</w:t>
      </w:r>
    </w:p>
    <w:p w:rsidR="00264980" w:rsidRPr="002B202E" w:rsidRDefault="00264980" w:rsidP="00264980">
      <w:pPr>
        <w:numPr>
          <w:ilvl w:val="0"/>
          <w:numId w:val="30"/>
        </w:numPr>
        <w:tabs>
          <w:tab w:val="clear" w:pos="720"/>
        </w:tabs>
        <w:ind w:left="1134" w:hanging="567"/>
        <w:jc w:val="both"/>
        <w:rPr>
          <w:sz w:val="20"/>
        </w:rPr>
      </w:pPr>
      <w:r w:rsidRPr="002B202E">
        <w:rPr>
          <w:sz w:val="20"/>
        </w:rPr>
        <w:t>recursos asignados para hacer frente al volumen de trabajo.</w:t>
      </w:r>
    </w:p>
    <w:p w:rsidR="00264980" w:rsidRPr="002B202E" w:rsidRDefault="00264980" w:rsidP="00DC1333">
      <w:pPr>
        <w:jc w:val="both"/>
        <w:rPr>
          <w:sz w:val="20"/>
        </w:rPr>
      </w:pPr>
    </w:p>
    <w:p w:rsidR="00264980" w:rsidRPr="002B202E" w:rsidRDefault="00264980" w:rsidP="00264980">
      <w:pPr>
        <w:pStyle w:val="ListParagraph"/>
        <w:numPr>
          <w:ilvl w:val="0"/>
          <w:numId w:val="47"/>
        </w:numPr>
        <w:tabs>
          <w:tab w:val="left" w:pos="0"/>
          <w:tab w:val="left" w:pos="567"/>
        </w:tabs>
        <w:ind w:left="0" w:firstLine="0"/>
        <w:contextualSpacing/>
        <w:jc w:val="both"/>
        <w:rPr>
          <w:rFonts w:cs="Arial"/>
          <w:lang w:val="es-ES"/>
        </w:rPr>
      </w:pPr>
      <w:r w:rsidRPr="002B202E">
        <w:rPr>
          <w:rFonts w:cs="Arial"/>
          <w:lang w:val="es-ES"/>
        </w:rPr>
        <w:t xml:space="preserve">La Oficina Internacional recibe principalmente cuatro tipos de documentos, a saber, solicitudes internacionales, renovaciones, cambios y decisiones.  Se presentan, </w:t>
      </w:r>
      <w:r w:rsidRPr="002B202E">
        <w:rPr>
          <w:rFonts w:cs="Arial"/>
          <w:i/>
          <w:lang w:val="es-ES"/>
        </w:rPr>
        <w:t>infra</w:t>
      </w:r>
      <w:r w:rsidRPr="002B202E">
        <w:rPr>
          <w:rFonts w:cs="Arial"/>
          <w:lang w:val="es-ES"/>
        </w:rPr>
        <w:t>, las tendencias más recientes para cada uno de esos documentos.  También se proporciona otra información sobre las solicitudes recibidas, por ejemplo, el número medio de dibujos o modelos correspondiente a cada una.  Por motivos técnicos, el indicador relativo a las irregularidades declaradas presenta datos basados en documentos tramitados más que recibidos.</w:t>
      </w:r>
    </w:p>
    <w:p w:rsidR="00264980" w:rsidRPr="002B202E" w:rsidRDefault="00264980" w:rsidP="00DC1333">
      <w:pPr>
        <w:pStyle w:val="ListParagraph"/>
        <w:tabs>
          <w:tab w:val="left" w:pos="0"/>
          <w:tab w:val="left" w:pos="567"/>
        </w:tabs>
        <w:ind w:left="0"/>
        <w:jc w:val="both"/>
        <w:rPr>
          <w:rFonts w:cs="Arial"/>
          <w:lang w:val="es-ES"/>
        </w:rPr>
      </w:pPr>
    </w:p>
    <w:p w:rsidR="00264980" w:rsidRPr="002B202E" w:rsidRDefault="00264980" w:rsidP="00DC1333">
      <w:pPr>
        <w:tabs>
          <w:tab w:val="left" w:pos="567"/>
        </w:tabs>
        <w:spacing w:before="120" w:after="240"/>
        <w:rPr>
          <w:b/>
          <w:sz w:val="20"/>
        </w:rPr>
      </w:pPr>
      <w:r w:rsidRPr="002B202E">
        <w:rPr>
          <w:b/>
          <w:sz w:val="20"/>
        </w:rPr>
        <w:t>I.</w:t>
      </w:r>
      <w:r w:rsidRPr="002B202E">
        <w:rPr>
          <w:b/>
          <w:sz w:val="20"/>
        </w:rPr>
        <w:tab/>
        <w:t>Documentos recibidos</w:t>
      </w:r>
    </w:p>
    <w:p w:rsidR="00264980" w:rsidRPr="002B202E" w:rsidRDefault="00264980" w:rsidP="00DC1333">
      <w:pPr>
        <w:spacing w:before="120" w:after="240"/>
        <w:rPr>
          <w:sz w:val="20"/>
          <w:u w:val="single"/>
        </w:rPr>
      </w:pPr>
      <w:r w:rsidRPr="002B202E">
        <w:rPr>
          <w:sz w:val="20"/>
          <w:u w:val="single"/>
        </w:rPr>
        <w:t>Solicitudes recibidas</w:t>
      </w:r>
    </w:p>
    <w:p w:rsidR="00264980" w:rsidRPr="002B202E" w:rsidRDefault="00264980" w:rsidP="00DC1333">
      <w:pPr>
        <w:spacing w:before="120" w:after="240"/>
        <w:jc w:val="center"/>
        <w:rPr>
          <w:sz w:val="20"/>
        </w:rPr>
      </w:pPr>
      <w:r w:rsidRPr="002B202E">
        <w:rPr>
          <w:noProof/>
          <w:sz w:val="20"/>
          <w:lang w:val="en-US" w:eastAsia="en-US"/>
        </w:rPr>
        <w:drawing>
          <wp:inline distT="0" distB="0" distL="0" distR="0" wp14:anchorId="5E12FFC6" wp14:editId="19EB43F8">
            <wp:extent cx="4667693" cy="2869098"/>
            <wp:effectExtent l="0" t="0" r="0" b="7620"/>
            <wp:docPr id="1028" name="Pictur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4680143" cy="2876751"/>
                    </a:xfrm>
                    <a:prstGeom prst="rect">
                      <a:avLst/>
                    </a:prstGeom>
                    <a:noFill/>
                    <a:ln>
                      <a:noFill/>
                    </a:ln>
                  </pic:spPr>
                </pic:pic>
              </a:graphicData>
            </a:graphic>
          </wp:inline>
        </w:drawing>
      </w:r>
    </w:p>
    <w:p w:rsidR="00264980" w:rsidRPr="002B202E" w:rsidRDefault="00264980" w:rsidP="00264980">
      <w:pPr>
        <w:pStyle w:val="ListParagraph"/>
        <w:numPr>
          <w:ilvl w:val="0"/>
          <w:numId w:val="40"/>
        </w:numPr>
        <w:spacing w:after="120"/>
        <w:ind w:left="992" w:hanging="425"/>
        <w:jc w:val="both"/>
        <w:rPr>
          <w:rFonts w:cs="Arial"/>
          <w:lang w:val="es-ES"/>
        </w:rPr>
      </w:pPr>
      <w:r w:rsidRPr="002B202E">
        <w:rPr>
          <w:rFonts w:cs="Arial"/>
          <w:lang w:val="es-ES"/>
        </w:rPr>
        <w:t>En 2015 la Oficina Internacional recibió 4.111 solicitudes internacionales, lo que representa un aumento del 41% con respecto a 2014.  Además de las solicitudes de la Unión Europea (+352 solicitudes), también contribuyeron a este aumento las procedentes de la República de Corea (+487 solicitudes), los Estados Unidos de América (+140 solicitudes) y el Japón (+128 solicitudes), países que se incorporaron al Sistema de La Haya durante el bienio 2014/15.  El número total de solicitudes recibidas durante el bienio fue 7.035, lo que supuso un 26 % más que en el bienio 2012/13 (5.594).</w:t>
      </w:r>
    </w:p>
    <w:p w:rsidR="00264980" w:rsidRPr="002B202E" w:rsidRDefault="00264980" w:rsidP="00264980">
      <w:pPr>
        <w:pStyle w:val="ListParagraph"/>
        <w:numPr>
          <w:ilvl w:val="0"/>
          <w:numId w:val="40"/>
        </w:numPr>
        <w:spacing w:after="200"/>
        <w:ind w:left="993" w:hanging="426"/>
        <w:contextualSpacing/>
        <w:jc w:val="both"/>
        <w:rPr>
          <w:rFonts w:cs="Arial"/>
          <w:lang w:val="es-ES"/>
        </w:rPr>
      </w:pPr>
      <w:r w:rsidRPr="002B202E">
        <w:rPr>
          <w:rFonts w:cs="Arial"/>
          <w:lang w:val="es-ES"/>
        </w:rPr>
        <w:t>En 2015 el 93% de las solicitudes se presentaron por medios electrónicos</w:t>
      </w:r>
      <w:r w:rsidR="00F71118">
        <w:rPr>
          <w:rFonts w:cs="Arial"/>
          <w:lang w:val="es-ES"/>
        </w:rPr>
        <w:t>, un 4% más que en </w:t>
      </w:r>
      <w:r w:rsidRPr="002B202E">
        <w:rPr>
          <w:rFonts w:cs="Arial"/>
          <w:lang w:val="es-ES"/>
        </w:rPr>
        <w:t>2014.  La proporción de presentación electrónica de solicitudes aumentó  14 puntos porcentuales entre 2011 y 2015, pasando del 79% en 2011 al 93% en 2015.</w:t>
      </w:r>
    </w:p>
    <w:p w:rsidR="00264980" w:rsidRPr="002B202E" w:rsidRDefault="00264980" w:rsidP="00DC1333">
      <w:pPr>
        <w:pStyle w:val="ListParagraph"/>
        <w:keepNext/>
        <w:keepLines/>
        <w:ind w:left="567"/>
        <w:rPr>
          <w:rFonts w:cs="Arial"/>
          <w:i/>
          <w:lang w:val="es-ES"/>
        </w:rPr>
      </w:pPr>
      <w:r w:rsidRPr="002B202E">
        <w:rPr>
          <w:rFonts w:cs="Arial"/>
          <w:i/>
          <w:lang w:val="es-ES"/>
        </w:rPr>
        <w:lastRenderedPageBreak/>
        <w:t>Número medio de dibujos o modelos por solicitud</w:t>
      </w:r>
    </w:p>
    <w:p w:rsidR="00264980" w:rsidRPr="002B202E" w:rsidRDefault="00264980" w:rsidP="00DC1333">
      <w:pPr>
        <w:keepNext/>
        <w:keepLines/>
        <w:spacing w:before="120" w:after="240"/>
        <w:jc w:val="center"/>
        <w:rPr>
          <w:sz w:val="20"/>
        </w:rPr>
      </w:pPr>
      <w:r w:rsidRPr="002B202E">
        <w:rPr>
          <w:noProof/>
          <w:sz w:val="20"/>
          <w:lang w:val="en-US" w:eastAsia="en-US"/>
        </w:rPr>
        <w:drawing>
          <wp:inline distT="0" distB="0" distL="0" distR="0" wp14:anchorId="719B504A" wp14:editId="6E6426DC">
            <wp:extent cx="4417621" cy="2755075"/>
            <wp:effectExtent l="0" t="0" r="2540" b="7620"/>
            <wp:docPr id="1029" name="Pictur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4418041" cy="2755337"/>
                    </a:xfrm>
                    <a:prstGeom prst="rect">
                      <a:avLst/>
                    </a:prstGeom>
                    <a:noFill/>
                    <a:ln>
                      <a:noFill/>
                    </a:ln>
                  </pic:spPr>
                </pic:pic>
              </a:graphicData>
            </a:graphic>
          </wp:inline>
        </w:drawing>
      </w:r>
    </w:p>
    <w:p w:rsidR="00264980" w:rsidRPr="002B202E" w:rsidRDefault="00264980" w:rsidP="00264980">
      <w:pPr>
        <w:pStyle w:val="ListParagraph"/>
        <w:numPr>
          <w:ilvl w:val="0"/>
          <w:numId w:val="41"/>
        </w:numPr>
        <w:spacing w:after="200"/>
        <w:ind w:left="993" w:hanging="426"/>
        <w:contextualSpacing/>
        <w:jc w:val="both"/>
        <w:rPr>
          <w:rFonts w:cs="Arial"/>
          <w:lang w:val="es-ES"/>
        </w:rPr>
      </w:pPr>
      <w:r w:rsidRPr="002B202E">
        <w:rPr>
          <w:rFonts w:cs="Arial"/>
          <w:lang w:val="es-ES"/>
        </w:rPr>
        <w:t>En 2015 cada solicitud contuvo una media de cuatro dibujos o modelos, lo que representa casi un dibujo o modelo menos que la media de 2014.  Entre  2011 y 2015 el número medio de dibujos o modelos por solicitud osciló entre cuatro y cinco.</w:t>
      </w:r>
    </w:p>
    <w:p w:rsidR="00264980" w:rsidRPr="002B202E" w:rsidRDefault="00264980" w:rsidP="00DC1333">
      <w:pPr>
        <w:pStyle w:val="ListParagraph"/>
        <w:ind w:left="567"/>
        <w:jc w:val="both"/>
        <w:rPr>
          <w:rFonts w:cs="Arial"/>
          <w:lang w:val="es-ES"/>
        </w:rPr>
      </w:pPr>
    </w:p>
    <w:p w:rsidR="00264980" w:rsidRPr="002B202E" w:rsidRDefault="00264980" w:rsidP="00DC1333">
      <w:pPr>
        <w:pStyle w:val="ListParagraph"/>
        <w:ind w:left="567"/>
        <w:jc w:val="both"/>
        <w:rPr>
          <w:rFonts w:cs="Arial"/>
          <w:lang w:val="es-ES"/>
        </w:rPr>
      </w:pPr>
    </w:p>
    <w:p w:rsidR="00264980" w:rsidRPr="002B202E" w:rsidRDefault="00264980" w:rsidP="00DC1333">
      <w:pPr>
        <w:pStyle w:val="ListParagraph"/>
        <w:keepNext/>
        <w:keepLines/>
        <w:ind w:left="567"/>
        <w:rPr>
          <w:rFonts w:cs="Arial"/>
          <w:i/>
          <w:lang w:val="es-ES"/>
        </w:rPr>
      </w:pPr>
      <w:r w:rsidRPr="002B202E">
        <w:rPr>
          <w:rFonts w:cs="Arial"/>
          <w:i/>
          <w:lang w:val="es-ES"/>
        </w:rPr>
        <w:t>Número medio de designaciones por solicitud</w:t>
      </w:r>
    </w:p>
    <w:p w:rsidR="00264980" w:rsidRPr="002B202E" w:rsidRDefault="00264980" w:rsidP="00DC1333">
      <w:pPr>
        <w:spacing w:before="120" w:after="240"/>
        <w:jc w:val="center"/>
        <w:rPr>
          <w:sz w:val="20"/>
        </w:rPr>
      </w:pPr>
      <w:r w:rsidRPr="002B202E">
        <w:rPr>
          <w:noProof/>
          <w:sz w:val="20"/>
          <w:lang w:val="en-US" w:eastAsia="en-US"/>
        </w:rPr>
        <w:drawing>
          <wp:inline distT="0" distB="0" distL="0" distR="0" wp14:anchorId="1333A90E" wp14:editId="3FE93D8D">
            <wp:extent cx="4275117" cy="2541319"/>
            <wp:effectExtent l="0" t="0" r="0" b="0"/>
            <wp:docPr id="1030" name="Pictur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4275490" cy="2541541"/>
                    </a:xfrm>
                    <a:prstGeom prst="rect">
                      <a:avLst/>
                    </a:prstGeom>
                    <a:noFill/>
                    <a:ln>
                      <a:noFill/>
                    </a:ln>
                  </pic:spPr>
                </pic:pic>
              </a:graphicData>
            </a:graphic>
          </wp:inline>
        </w:drawing>
      </w:r>
    </w:p>
    <w:p w:rsidR="00264980" w:rsidRPr="002B202E" w:rsidRDefault="00264980" w:rsidP="00264980">
      <w:pPr>
        <w:pStyle w:val="ListParagraph"/>
        <w:numPr>
          <w:ilvl w:val="0"/>
          <w:numId w:val="41"/>
        </w:numPr>
        <w:spacing w:after="200"/>
        <w:ind w:left="993" w:hanging="426"/>
        <w:contextualSpacing/>
        <w:jc w:val="both"/>
        <w:rPr>
          <w:rFonts w:cs="Arial"/>
          <w:lang w:val="es-ES"/>
        </w:rPr>
      </w:pPr>
      <w:r w:rsidRPr="002B202E">
        <w:rPr>
          <w:rFonts w:cs="Arial"/>
          <w:lang w:val="es-ES"/>
        </w:rPr>
        <w:t>En 2015 cada solicitud contuvo una media de 4,5 designaciones, frente a una media de casi 5 designaciones en 2014, lo que representa la cifra media más baja de designaciones por solicitud que se ha registrado desde 2011.</w:t>
      </w:r>
    </w:p>
    <w:p w:rsidR="00264980" w:rsidRPr="002B202E" w:rsidRDefault="00264980" w:rsidP="00DC1333">
      <w:pPr>
        <w:jc w:val="both"/>
        <w:rPr>
          <w:sz w:val="20"/>
        </w:rPr>
      </w:pPr>
    </w:p>
    <w:p w:rsidR="00264980" w:rsidRPr="002B202E" w:rsidRDefault="00264980" w:rsidP="00DC1333">
      <w:pPr>
        <w:pStyle w:val="ListParagraph"/>
        <w:keepNext/>
        <w:keepLines/>
        <w:spacing w:before="120" w:after="240"/>
        <w:ind w:left="567"/>
        <w:rPr>
          <w:rFonts w:cs="Arial"/>
          <w:i/>
          <w:lang w:val="es-ES"/>
        </w:rPr>
      </w:pPr>
      <w:r w:rsidRPr="002B202E">
        <w:rPr>
          <w:rFonts w:cs="Arial"/>
          <w:i/>
          <w:lang w:val="es-ES"/>
        </w:rPr>
        <w:lastRenderedPageBreak/>
        <w:t>Tendencia observada en las irregularidades en solicitudes</w:t>
      </w:r>
    </w:p>
    <w:p w:rsidR="00264980" w:rsidRPr="002B202E" w:rsidRDefault="00264980" w:rsidP="00264980">
      <w:pPr>
        <w:pStyle w:val="ListParagraph"/>
        <w:keepNext/>
        <w:keepLines/>
        <w:numPr>
          <w:ilvl w:val="0"/>
          <w:numId w:val="47"/>
        </w:numPr>
        <w:tabs>
          <w:tab w:val="left" w:pos="0"/>
          <w:tab w:val="left" w:pos="567"/>
        </w:tabs>
        <w:ind w:left="0" w:firstLine="0"/>
        <w:contextualSpacing/>
        <w:jc w:val="both"/>
        <w:rPr>
          <w:rFonts w:cs="Arial"/>
          <w:lang w:val="es-ES"/>
        </w:rPr>
      </w:pPr>
      <w:r w:rsidRPr="002B202E">
        <w:rPr>
          <w:rFonts w:cs="Arial"/>
          <w:lang w:val="es-ES"/>
        </w:rPr>
        <w:t xml:space="preserve">Las irregularidades en las solicitudes se agrupan en las 10 categorías indicadas </w:t>
      </w:r>
      <w:r w:rsidRPr="002B202E">
        <w:rPr>
          <w:rFonts w:cs="Arial"/>
          <w:i/>
          <w:lang w:val="es-ES"/>
        </w:rPr>
        <w:t>infra</w:t>
      </w:r>
      <w:r w:rsidRPr="002B202E">
        <w:rPr>
          <w:rFonts w:cs="Arial"/>
          <w:lang w:val="es-ES"/>
        </w:rPr>
        <w:t>.</w:t>
      </w:r>
    </w:p>
    <w:p w:rsidR="00264980" w:rsidRPr="002B202E" w:rsidRDefault="00264980" w:rsidP="00DC1333">
      <w:pPr>
        <w:keepNext/>
        <w:keepLines/>
        <w:spacing w:before="120" w:after="240"/>
        <w:jc w:val="center"/>
        <w:rPr>
          <w:sz w:val="20"/>
        </w:rPr>
      </w:pPr>
      <w:r w:rsidRPr="002B202E">
        <w:rPr>
          <w:noProof/>
          <w:sz w:val="20"/>
          <w:lang w:val="en-US" w:eastAsia="en-US"/>
        </w:rPr>
        <w:drawing>
          <wp:inline distT="0" distB="0" distL="0" distR="0" wp14:anchorId="71EB1E4A" wp14:editId="63F5F571">
            <wp:extent cx="5106389" cy="2811526"/>
            <wp:effectExtent l="0" t="0" r="0" b="8255"/>
            <wp:docPr id="1031" name="Pictur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5119407" cy="2818693"/>
                    </a:xfrm>
                    <a:prstGeom prst="rect">
                      <a:avLst/>
                    </a:prstGeom>
                    <a:noFill/>
                    <a:ln>
                      <a:noFill/>
                    </a:ln>
                  </pic:spPr>
                </pic:pic>
              </a:graphicData>
            </a:graphic>
          </wp:inline>
        </w:drawing>
      </w:r>
    </w:p>
    <w:p w:rsidR="00264980" w:rsidRPr="002B202E" w:rsidRDefault="00264980" w:rsidP="00264980">
      <w:pPr>
        <w:pStyle w:val="ListParagraph"/>
        <w:numPr>
          <w:ilvl w:val="0"/>
          <w:numId w:val="41"/>
        </w:numPr>
        <w:spacing w:after="120"/>
        <w:ind w:left="992" w:hanging="425"/>
        <w:jc w:val="both"/>
        <w:rPr>
          <w:rFonts w:cs="Arial"/>
          <w:lang w:val="es-ES"/>
        </w:rPr>
      </w:pPr>
      <w:r w:rsidRPr="002B202E">
        <w:rPr>
          <w:rFonts w:cs="Arial"/>
          <w:lang w:val="es-ES"/>
        </w:rPr>
        <w:t>En 2015 la Oficina Internacional encontró 2.118 irregularidades en solicitudes, lo que equivale a un aumento del 36% con respecto a 2014.</w:t>
      </w:r>
    </w:p>
    <w:p w:rsidR="00264980" w:rsidRPr="002B202E" w:rsidRDefault="00264980" w:rsidP="00264980">
      <w:pPr>
        <w:pStyle w:val="ListParagraph"/>
        <w:numPr>
          <w:ilvl w:val="0"/>
          <w:numId w:val="41"/>
        </w:numPr>
        <w:ind w:left="993" w:hanging="426"/>
        <w:contextualSpacing/>
        <w:jc w:val="both"/>
        <w:rPr>
          <w:rFonts w:cs="Arial"/>
          <w:lang w:val="es-ES"/>
        </w:rPr>
      </w:pPr>
      <w:r w:rsidRPr="002B202E">
        <w:rPr>
          <w:rFonts w:cs="Arial"/>
          <w:lang w:val="es-ES"/>
        </w:rPr>
        <w:t>Se registraron aumentos en todas las irregularidades excepto en la clasificación y el aplazamiento que, juntas, representan solo el 1,5% del total de las irregularidades en las solicitudes.  Las irregularidades que más aumentaron en 2015 fueron las reproducciones (+129 irregularidades), las indicaciones del producto (+ 105 irregularidades), los poderes (+99 irregularidades) y los pagos (+95 irregularidades).</w:t>
      </w:r>
    </w:p>
    <w:p w:rsidR="00264980" w:rsidRPr="002B202E" w:rsidRDefault="00264980" w:rsidP="00DC1333">
      <w:pPr>
        <w:rPr>
          <w:sz w:val="20"/>
        </w:rPr>
      </w:pPr>
    </w:p>
    <w:p w:rsidR="00264980" w:rsidRPr="002B202E" w:rsidRDefault="00264980" w:rsidP="00DC1333">
      <w:pPr>
        <w:spacing w:before="120"/>
        <w:rPr>
          <w:sz w:val="20"/>
        </w:rPr>
      </w:pPr>
      <w:r w:rsidRPr="002B202E">
        <w:rPr>
          <w:sz w:val="20"/>
        </w:rPr>
        <w:t>4.</w:t>
      </w:r>
      <w:r w:rsidRPr="002B202E">
        <w:rPr>
          <w:sz w:val="20"/>
        </w:rPr>
        <w:tab/>
        <w:t>A continuación se muestra la evolución del porcentaje de solicitudes que contenían irregularidades.</w:t>
      </w:r>
    </w:p>
    <w:p w:rsidR="00264980" w:rsidRPr="002B202E" w:rsidRDefault="00264980" w:rsidP="00DC1333">
      <w:pPr>
        <w:spacing w:before="120"/>
        <w:jc w:val="center"/>
        <w:rPr>
          <w:sz w:val="20"/>
        </w:rPr>
      </w:pPr>
      <w:r w:rsidRPr="002B202E">
        <w:rPr>
          <w:noProof/>
          <w:sz w:val="20"/>
          <w:lang w:val="en-US" w:eastAsia="en-US"/>
        </w:rPr>
        <w:drawing>
          <wp:inline distT="0" distB="0" distL="0" distR="0" wp14:anchorId="6DD5D3ED" wp14:editId="3F30302C">
            <wp:extent cx="4412771" cy="2701984"/>
            <wp:effectExtent l="0" t="0" r="6985" b="3175"/>
            <wp:docPr id="1032" name="Pictur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4417060" cy="2704610"/>
                    </a:xfrm>
                    <a:prstGeom prst="rect">
                      <a:avLst/>
                    </a:prstGeom>
                    <a:noFill/>
                    <a:ln>
                      <a:noFill/>
                    </a:ln>
                  </pic:spPr>
                </pic:pic>
              </a:graphicData>
            </a:graphic>
          </wp:inline>
        </w:drawing>
      </w:r>
    </w:p>
    <w:p w:rsidR="00264980" w:rsidRPr="002B202E" w:rsidRDefault="00264980" w:rsidP="00DC1333">
      <w:pPr>
        <w:spacing w:before="120"/>
        <w:jc w:val="center"/>
        <w:rPr>
          <w:sz w:val="20"/>
        </w:rPr>
      </w:pPr>
    </w:p>
    <w:p w:rsidR="00264980" w:rsidRPr="002B202E" w:rsidRDefault="00264980" w:rsidP="00DC1333">
      <w:pPr>
        <w:spacing w:before="120"/>
        <w:rPr>
          <w:sz w:val="20"/>
        </w:rPr>
      </w:pPr>
      <w:r w:rsidRPr="002B202E">
        <w:rPr>
          <w:sz w:val="20"/>
        </w:rPr>
        <w:t>En 2015 el 63% de las solicitudes registradas contenían al menos una irregularidad o fueron objeto de una observación sustantiva.  Esto representa un aumento del 3% en comparación con 2014.</w:t>
      </w:r>
    </w:p>
    <w:p w:rsidR="00264980" w:rsidRPr="002B202E" w:rsidRDefault="00264980" w:rsidP="00DC1333">
      <w:pPr>
        <w:spacing w:before="120"/>
        <w:rPr>
          <w:sz w:val="20"/>
        </w:rPr>
      </w:pPr>
    </w:p>
    <w:p w:rsidR="00264980" w:rsidRPr="002B202E" w:rsidRDefault="00264980" w:rsidP="00553C52">
      <w:pPr>
        <w:keepNext/>
        <w:spacing w:before="120"/>
        <w:rPr>
          <w:sz w:val="20"/>
          <w:u w:val="single"/>
        </w:rPr>
      </w:pPr>
      <w:r w:rsidRPr="002B202E">
        <w:rPr>
          <w:sz w:val="20"/>
          <w:u w:val="single"/>
        </w:rPr>
        <w:lastRenderedPageBreak/>
        <w:t>Renovaciones</w:t>
      </w:r>
    </w:p>
    <w:p w:rsidR="00264980" w:rsidRPr="002B202E" w:rsidRDefault="00264980" w:rsidP="00553C52">
      <w:pPr>
        <w:keepNext/>
        <w:spacing w:before="120" w:after="240"/>
        <w:jc w:val="center"/>
        <w:rPr>
          <w:sz w:val="20"/>
        </w:rPr>
      </w:pPr>
      <w:r w:rsidRPr="002B202E">
        <w:rPr>
          <w:noProof/>
          <w:sz w:val="20"/>
          <w:lang w:val="en-US" w:eastAsia="en-US"/>
        </w:rPr>
        <w:drawing>
          <wp:inline distT="0" distB="0" distL="0" distR="0" wp14:anchorId="36B4D23D" wp14:editId="51F24839">
            <wp:extent cx="4681846" cy="2956956"/>
            <wp:effectExtent l="0" t="0" r="5080" b="0"/>
            <wp:docPr id="1033" name="Pictur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4680451" cy="2956075"/>
                    </a:xfrm>
                    <a:prstGeom prst="rect">
                      <a:avLst/>
                    </a:prstGeom>
                    <a:noFill/>
                    <a:ln>
                      <a:noFill/>
                    </a:ln>
                  </pic:spPr>
                </pic:pic>
              </a:graphicData>
            </a:graphic>
          </wp:inline>
        </w:drawing>
      </w:r>
    </w:p>
    <w:p w:rsidR="00264980" w:rsidRPr="002B202E" w:rsidRDefault="00264980" w:rsidP="00264980">
      <w:pPr>
        <w:pStyle w:val="ListParagraph"/>
        <w:numPr>
          <w:ilvl w:val="0"/>
          <w:numId w:val="42"/>
        </w:numPr>
        <w:spacing w:after="120"/>
        <w:ind w:left="992" w:hanging="425"/>
        <w:jc w:val="both"/>
        <w:rPr>
          <w:rFonts w:cs="Arial"/>
          <w:lang w:val="es-ES"/>
        </w:rPr>
      </w:pPr>
      <w:r w:rsidRPr="002B202E">
        <w:rPr>
          <w:rFonts w:cs="Arial"/>
          <w:lang w:val="es-ES"/>
        </w:rPr>
        <w:t>En 2015 el número de renovaciones aumentó un 18% en relación con 2014, totalizando 3.194 renovaciones.</w:t>
      </w:r>
    </w:p>
    <w:p w:rsidR="00264980" w:rsidRPr="002B202E" w:rsidRDefault="00264980" w:rsidP="00264980">
      <w:pPr>
        <w:pStyle w:val="ListParagraph"/>
        <w:numPr>
          <w:ilvl w:val="0"/>
          <w:numId w:val="42"/>
        </w:numPr>
        <w:spacing w:after="200"/>
        <w:ind w:left="993" w:hanging="426"/>
        <w:contextualSpacing/>
        <w:jc w:val="both"/>
        <w:rPr>
          <w:rFonts w:cs="Arial"/>
          <w:lang w:val="es-ES"/>
        </w:rPr>
      </w:pPr>
      <w:r w:rsidRPr="002B202E">
        <w:rPr>
          <w:rFonts w:cs="Arial"/>
          <w:lang w:val="es-ES"/>
        </w:rPr>
        <w:t>Desde 2012 la mayoría de las renovaciones se han tramitado electrónicamente, es decir, el 73% del total de renovaciones en 2015, lo que en comparación con el 69%</w:t>
      </w:r>
      <w:r w:rsidRPr="002B202E">
        <w:rPr>
          <w:rStyle w:val="FootnoteReference"/>
          <w:rFonts w:cs="Arial"/>
          <w:lang w:val="es-ES"/>
        </w:rPr>
        <w:footnoteReference w:id="41"/>
      </w:r>
      <w:r w:rsidR="00A426DF">
        <w:rPr>
          <w:rFonts w:cs="Arial"/>
          <w:lang w:val="es-ES"/>
        </w:rPr>
        <w:t xml:space="preserve"> registrado en </w:t>
      </w:r>
      <w:r w:rsidRPr="002B202E">
        <w:rPr>
          <w:rFonts w:cs="Arial"/>
          <w:lang w:val="es-ES"/>
        </w:rPr>
        <w:t>2014 representa un aumento de 4 puntos porcentuales.</w:t>
      </w:r>
    </w:p>
    <w:p w:rsidR="00264980" w:rsidRPr="002B202E" w:rsidRDefault="00264980" w:rsidP="00DC1333">
      <w:pPr>
        <w:spacing w:before="120"/>
        <w:rPr>
          <w:sz w:val="20"/>
          <w:u w:val="single"/>
        </w:rPr>
      </w:pPr>
      <w:r w:rsidRPr="002B202E">
        <w:rPr>
          <w:sz w:val="20"/>
          <w:u w:val="single"/>
        </w:rPr>
        <w:t>Cambios</w:t>
      </w:r>
    </w:p>
    <w:p w:rsidR="00264980" w:rsidRPr="002B202E" w:rsidRDefault="00264980" w:rsidP="00DC1333">
      <w:pPr>
        <w:spacing w:before="120" w:after="240"/>
        <w:jc w:val="center"/>
        <w:rPr>
          <w:sz w:val="20"/>
        </w:rPr>
      </w:pPr>
      <w:r w:rsidRPr="002B202E">
        <w:rPr>
          <w:noProof/>
          <w:sz w:val="20"/>
          <w:lang w:val="en-US" w:eastAsia="en-US"/>
        </w:rPr>
        <w:drawing>
          <wp:inline distT="0" distB="0" distL="0" distR="0" wp14:anchorId="56C99948" wp14:editId="0F0A528D">
            <wp:extent cx="4690753" cy="3004457"/>
            <wp:effectExtent l="0" t="0" r="0" b="5715"/>
            <wp:docPr id="1034" name="Pictur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4697132" cy="3008543"/>
                    </a:xfrm>
                    <a:prstGeom prst="rect">
                      <a:avLst/>
                    </a:prstGeom>
                    <a:noFill/>
                    <a:ln>
                      <a:noFill/>
                    </a:ln>
                  </pic:spPr>
                </pic:pic>
              </a:graphicData>
            </a:graphic>
          </wp:inline>
        </w:drawing>
      </w:r>
    </w:p>
    <w:p w:rsidR="00264980" w:rsidRPr="002B202E" w:rsidRDefault="00264980" w:rsidP="00264980">
      <w:pPr>
        <w:pStyle w:val="ListParagraph"/>
        <w:numPr>
          <w:ilvl w:val="0"/>
          <w:numId w:val="42"/>
        </w:numPr>
        <w:ind w:left="992" w:hanging="425"/>
        <w:jc w:val="both"/>
        <w:rPr>
          <w:rFonts w:cs="Arial"/>
          <w:lang w:val="es-ES"/>
        </w:rPr>
      </w:pPr>
      <w:r w:rsidRPr="002B202E">
        <w:rPr>
          <w:rFonts w:cs="Arial"/>
          <w:lang w:val="es-ES"/>
        </w:rPr>
        <w:t>En 2015 los solicitantes pidieron 1.018 cambios en registros internacionales, lo que equivale a una disminución del 4% con respecto a 2014.</w:t>
      </w:r>
    </w:p>
    <w:p w:rsidR="00264980" w:rsidRPr="002B202E" w:rsidRDefault="00264980" w:rsidP="00DC1333">
      <w:pPr>
        <w:spacing w:before="120"/>
        <w:rPr>
          <w:sz w:val="20"/>
        </w:rPr>
      </w:pPr>
    </w:p>
    <w:p w:rsidR="00264980" w:rsidRPr="002B202E" w:rsidRDefault="00264980" w:rsidP="00DC1333">
      <w:pPr>
        <w:keepNext/>
        <w:spacing w:before="120"/>
        <w:rPr>
          <w:sz w:val="20"/>
          <w:u w:val="single"/>
        </w:rPr>
      </w:pPr>
      <w:r w:rsidRPr="002B202E">
        <w:rPr>
          <w:sz w:val="20"/>
          <w:u w:val="single"/>
        </w:rPr>
        <w:lastRenderedPageBreak/>
        <w:t>Decisiones</w:t>
      </w:r>
    </w:p>
    <w:p w:rsidR="00264980" w:rsidRPr="002B202E" w:rsidRDefault="00264980" w:rsidP="00DC1333">
      <w:pPr>
        <w:keepNext/>
        <w:spacing w:before="120" w:after="240"/>
        <w:jc w:val="center"/>
        <w:rPr>
          <w:sz w:val="20"/>
        </w:rPr>
      </w:pPr>
      <w:r w:rsidRPr="002B202E">
        <w:rPr>
          <w:noProof/>
          <w:sz w:val="20"/>
          <w:lang w:val="en-US" w:eastAsia="en-US"/>
        </w:rPr>
        <w:drawing>
          <wp:inline distT="0" distB="0" distL="0" distR="0" wp14:anchorId="1A0D9436" wp14:editId="15FB9CCF">
            <wp:extent cx="4251366" cy="2816359"/>
            <wp:effectExtent l="0" t="0" r="0" b="3175"/>
            <wp:docPr id="1035" name="Pictur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4254683" cy="2818557"/>
                    </a:xfrm>
                    <a:prstGeom prst="rect">
                      <a:avLst/>
                    </a:prstGeom>
                    <a:noFill/>
                    <a:ln>
                      <a:noFill/>
                    </a:ln>
                  </pic:spPr>
                </pic:pic>
              </a:graphicData>
            </a:graphic>
          </wp:inline>
        </w:drawing>
      </w:r>
    </w:p>
    <w:p w:rsidR="00264980" w:rsidRPr="002B202E" w:rsidRDefault="00264980" w:rsidP="00264980">
      <w:pPr>
        <w:pStyle w:val="ListParagraph"/>
        <w:keepNext/>
        <w:numPr>
          <w:ilvl w:val="0"/>
          <w:numId w:val="46"/>
        </w:numPr>
        <w:spacing w:after="120"/>
        <w:ind w:left="992" w:hanging="425"/>
        <w:rPr>
          <w:rFonts w:cs="Arial"/>
          <w:lang w:val="es-ES"/>
        </w:rPr>
      </w:pPr>
      <w:r w:rsidRPr="002B202E">
        <w:rPr>
          <w:rFonts w:cs="Arial"/>
          <w:lang w:val="es-ES"/>
        </w:rPr>
        <w:t>El número de decisiones recibidas en 2015 aumentó un 25% en comparación con 2014, pasando de 3.169 a 3.961 decisiones.</w:t>
      </w:r>
    </w:p>
    <w:p w:rsidR="00264980" w:rsidRPr="002B202E" w:rsidRDefault="00264980" w:rsidP="00264980">
      <w:pPr>
        <w:pStyle w:val="ListParagraph"/>
        <w:keepNext/>
        <w:numPr>
          <w:ilvl w:val="0"/>
          <w:numId w:val="46"/>
        </w:numPr>
        <w:spacing w:after="200"/>
        <w:ind w:left="993" w:hanging="426"/>
        <w:contextualSpacing/>
        <w:rPr>
          <w:rFonts w:cs="Arial"/>
          <w:lang w:val="es-ES"/>
        </w:rPr>
      </w:pPr>
      <w:r w:rsidRPr="002B202E">
        <w:rPr>
          <w:rFonts w:cs="Arial"/>
          <w:lang w:val="es-ES"/>
        </w:rPr>
        <w:t>Desde 2011 se han tramitado automáticamente entre el 68% y el 72% de las decisiones.</w:t>
      </w:r>
    </w:p>
    <w:p w:rsidR="00264980" w:rsidRPr="002B202E" w:rsidRDefault="00264980" w:rsidP="00DC1333">
      <w:pPr>
        <w:pStyle w:val="ListParagraph"/>
        <w:keepNext/>
        <w:rPr>
          <w:rFonts w:cs="Arial"/>
          <w:lang w:val="es-ES"/>
        </w:rPr>
      </w:pPr>
    </w:p>
    <w:p w:rsidR="00264980" w:rsidRPr="002B202E" w:rsidRDefault="00264980" w:rsidP="00DC1333">
      <w:pPr>
        <w:pStyle w:val="ListParagraph"/>
        <w:rPr>
          <w:rFonts w:cs="Arial"/>
          <w:lang w:val="es-ES"/>
        </w:rPr>
      </w:pPr>
    </w:p>
    <w:p w:rsidR="00264980" w:rsidRPr="002B202E" w:rsidRDefault="00264980" w:rsidP="00DC1333">
      <w:pPr>
        <w:tabs>
          <w:tab w:val="left" w:pos="567"/>
        </w:tabs>
        <w:rPr>
          <w:b/>
          <w:sz w:val="20"/>
        </w:rPr>
      </w:pPr>
      <w:r w:rsidRPr="002B202E">
        <w:rPr>
          <w:b/>
          <w:sz w:val="20"/>
        </w:rPr>
        <w:t>II.</w:t>
      </w:r>
      <w:r w:rsidRPr="002B202E">
        <w:rPr>
          <w:b/>
          <w:sz w:val="20"/>
        </w:rPr>
        <w:tab/>
        <w:t>Volumen total de trabajo</w:t>
      </w:r>
    </w:p>
    <w:p w:rsidR="00264980" w:rsidRPr="002B202E" w:rsidRDefault="00264980" w:rsidP="00DC1333">
      <w:pPr>
        <w:pStyle w:val="ListParagraph"/>
        <w:ind w:left="1080"/>
        <w:jc w:val="both"/>
        <w:rPr>
          <w:rFonts w:cs="Arial"/>
          <w:lang w:val="es-ES"/>
        </w:rPr>
      </w:pPr>
    </w:p>
    <w:p w:rsidR="00264980" w:rsidRPr="002B202E" w:rsidRDefault="00264980" w:rsidP="00264980">
      <w:pPr>
        <w:pStyle w:val="ListParagraph"/>
        <w:numPr>
          <w:ilvl w:val="0"/>
          <w:numId w:val="48"/>
        </w:numPr>
        <w:tabs>
          <w:tab w:val="left" w:pos="0"/>
          <w:tab w:val="left" w:pos="567"/>
        </w:tabs>
        <w:ind w:left="0" w:firstLine="0"/>
        <w:contextualSpacing/>
        <w:jc w:val="both"/>
        <w:rPr>
          <w:rFonts w:cs="Arial"/>
          <w:lang w:val="es-ES"/>
        </w:rPr>
      </w:pPr>
      <w:r w:rsidRPr="002B202E">
        <w:rPr>
          <w:rFonts w:cs="Arial"/>
          <w:lang w:val="es-ES"/>
        </w:rPr>
        <w:t>El volumen total de trabajo representa el número total ponderado de documentos recibidos en la Oficina Internacional.  Están incluidas las cuatro categorías de documentos (solicitudes, renovaciones, cambios y decisiones).</w:t>
      </w:r>
    </w:p>
    <w:p w:rsidR="00264980" w:rsidRPr="002B202E" w:rsidRDefault="00264980" w:rsidP="00DC1333">
      <w:pPr>
        <w:jc w:val="both"/>
        <w:rPr>
          <w:sz w:val="20"/>
        </w:rPr>
      </w:pPr>
    </w:p>
    <w:p w:rsidR="00264980" w:rsidRPr="002B202E" w:rsidRDefault="00264980" w:rsidP="00264980">
      <w:pPr>
        <w:pStyle w:val="ListParagraph"/>
        <w:numPr>
          <w:ilvl w:val="0"/>
          <w:numId w:val="48"/>
        </w:numPr>
        <w:tabs>
          <w:tab w:val="left" w:pos="0"/>
          <w:tab w:val="left" w:pos="567"/>
        </w:tabs>
        <w:ind w:left="0" w:firstLine="0"/>
        <w:contextualSpacing/>
        <w:jc w:val="both"/>
        <w:rPr>
          <w:rFonts w:cs="Arial"/>
          <w:lang w:val="es-ES"/>
        </w:rPr>
      </w:pPr>
      <w:r w:rsidRPr="002B202E">
        <w:rPr>
          <w:rFonts w:cs="Arial"/>
          <w:lang w:val="es-ES"/>
        </w:rPr>
        <w:t>Habida cuenta de que la cantidad de recursos necesarios para tramitar estos tipos de documentos es diferente, cada uno de ellos se pondera de forma distinta.  Conforme a la ponderación actual, en el tiempo necesario para tramitar una solicitud internacional un examinador puede tramitar ocho renovaciones, cuatro cambios y cuatro decisiones (una proporción del volumen de trabajo de 1:8:4:4).  En el bienio 2014/15 se produjo un aumento general de la complejidad de los exámenes de las solicitudes internacionales, motivado por el incremento a su vez del grado de complejidad de otros documentos, en especial las decisiones de las oficinas.  Aun así, la proporción del volumen de trabajo se mantuvo estable.</w:t>
      </w:r>
    </w:p>
    <w:p w:rsidR="00264980" w:rsidRPr="002B202E" w:rsidRDefault="00264980" w:rsidP="00DC1333">
      <w:pPr>
        <w:pStyle w:val="ListParagraph"/>
        <w:tabs>
          <w:tab w:val="left" w:pos="0"/>
          <w:tab w:val="left" w:pos="567"/>
        </w:tabs>
        <w:ind w:left="0"/>
        <w:contextualSpacing/>
        <w:jc w:val="both"/>
        <w:rPr>
          <w:rFonts w:cs="Arial"/>
          <w:lang w:val="es-ES"/>
        </w:rPr>
      </w:pPr>
    </w:p>
    <w:p w:rsidR="00264980" w:rsidRPr="002B202E" w:rsidRDefault="00264980" w:rsidP="00DC1333">
      <w:pPr>
        <w:jc w:val="center"/>
        <w:rPr>
          <w:sz w:val="20"/>
        </w:rPr>
      </w:pPr>
      <w:r w:rsidRPr="002B202E">
        <w:rPr>
          <w:noProof/>
          <w:sz w:val="20"/>
          <w:lang w:val="en-US" w:eastAsia="en-US"/>
        </w:rPr>
        <w:drawing>
          <wp:inline distT="0" distB="0" distL="0" distR="0" wp14:anchorId="70BB65B9" wp14:editId="603A50B5">
            <wp:extent cx="5702874" cy="2707338"/>
            <wp:effectExtent l="0" t="0" r="0" b="0"/>
            <wp:docPr id="1036" name="Pictur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5714341" cy="2712782"/>
                    </a:xfrm>
                    <a:prstGeom prst="rect">
                      <a:avLst/>
                    </a:prstGeom>
                    <a:noFill/>
                    <a:ln>
                      <a:noFill/>
                    </a:ln>
                  </pic:spPr>
                </pic:pic>
              </a:graphicData>
            </a:graphic>
          </wp:inline>
        </w:drawing>
      </w:r>
    </w:p>
    <w:p w:rsidR="00264980" w:rsidRPr="002B202E" w:rsidRDefault="00264980" w:rsidP="00DC1333">
      <w:pPr>
        <w:jc w:val="center"/>
        <w:rPr>
          <w:sz w:val="20"/>
        </w:rPr>
      </w:pPr>
    </w:p>
    <w:p w:rsidR="00264980" w:rsidRPr="002B202E" w:rsidRDefault="00264980" w:rsidP="00264980">
      <w:pPr>
        <w:pStyle w:val="ListParagraph"/>
        <w:numPr>
          <w:ilvl w:val="0"/>
          <w:numId w:val="43"/>
        </w:numPr>
        <w:spacing w:after="120"/>
        <w:ind w:left="992" w:hanging="425"/>
        <w:jc w:val="both"/>
        <w:rPr>
          <w:rFonts w:cs="Arial"/>
          <w:lang w:val="es-ES"/>
        </w:rPr>
      </w:pPr>
      <w:r w:rsidRPr="002B202E">
        <w:rPr>
          <w:rFonts w:cs="Arial"/>
          <w:lang w:val="es-ES"/>
        </w:rPr>
        <w:lastRenderedPageBreak/>
        <w:t>En 2015 el volumen total de trabajo aumentó un 35% en comparación con 2014.  El volumen total de trabajo durante el bienio aumentó un 22% en comparación con el bienio 2012/13.  Entre 2011 y 2015 el aumento en el volumen de trabajo se debió principalmente al incremento en el número de solicitudes recibidas.</w:t>
      </w:r>
    </w:p>
    <w:p w:rsidR="00264980" w:rsidRPr="002B202E" w:rsidRDefault="00264980" w:rsidP="00264980">
      <w:pPr>
        <w:pStyle w:val="ListParagraph"/>
        <w:numPr>
          <w:ilvl w:val="0"/>
          <w:numId w:val="43"/>
        </w:numPr>
        <w:spacing w:after="200"/>
        <w:ind w:left="993" w:hanging="426"/>
        <w:contextualSpacing/>
        <w:jc w:val="both"/>
        <w:rPr>
          <w:rFonts w:cs="Arial"/>
          <w:lang w:val="es-ES"/>
        </w:rPr>
      </w:pPr>
      <w:r w:rsidRPr="002B202E">
        <w:rPr>
          <w:rFonts w:cs="Arial"/>
          <w:lang w:val="es-ES"/>
        </w:rPr>
        <w:t>En 2015 las solicitudes por sí solas representaron el 79% del volumen total de trabajo, lo que supone un aumento del 3% con respecto a 2014.</w:t>
      </w:r>
    </w:p>
    <w:p w:rsidR="00264980" w:rsidRPr="002B202E" w:rsidRDefault="00264980" w:rsidP="00DC1333">
      <w:pPr>
        <w:rPr>
          <w:sz w:val="20"/>
        </w:rPr>
      </w:pPr>
    </w:p>
    <w:p w:rsidR="00264980" w:rsidRPr="002B202E" w:rsidRDefault="00264980" w:rsidP="00DC1333">
      <w:pPr>
        <w:tabs>
          <w:tab w:val="left" w:pos="567"/>
        </w:tabs>
        <w:rPr>
          <w:b/>
          <w:sz w:val="20"/>
        </w:rPr>
      </w:pPr>
      <w:r w:rsidRPr="002B202E">
        <w:rPr>
          <w:b/>
          <w:sz w:val="20"/>
        </w:rPr>
        <w:t>III.</w:t>
      </w:r>
      <w:r w:rsidRPr="002B202E">
        <w:rPr>
          <w:b/>
          <w:sz w:val="20"/>
        </w:rPr>
        <w:tab/>
        <w:t>Costo de tramitación</w:t>
      </w:r>
    </w:p>
    <w:p w:rsidR="00264980" w:rsidRPr="002B202E" w:rsidRDefault="00264980" w:rsidP="00DC1333">
      <w:pPr>
        <w:pStyle w:val="ListParagraph"/>
        <w:ind w:left="0"/>
        <w:rPr>
          <w:rFonts w:cs="Arial"/>
          <w:lang w:val="es-ES"/>
        </w:rPr>
      </w:pPr>
    </w:p>
    <w:p w:rsidR="00264980" w:rsidRPr="002B202E" w:rsidRDefault="00264980" w:rsidP="00DC1333">
      <w:pPr>
        <w:rPr>
          <w:sz w:val="20"/>
          <w:u w:val="single"/>
        </w:rPr>
      </w:pPr>
      <w:r w:rsidRPr="002B202E">
        <w:rPr>
          <w:sz w:val="20"/>
          <w:u w:val="single"/>
        </w:rPr>
        <w:t>Costo total de producción</w:t>
      </w:r>
    </w:p>
    <w:p w:rsidR="00264980" w:rsidRPr="002B202E" w:rsidRDefault="00264980" w:rsidP="00DC1333">
      <w:pPr>
        <w:pStyle w:val="ListParagraph"/>
        <w:ind w:left="0"/>
        <w:jc w:val="both"/>
        <w:rPr>
          <w:rFonts w:cs="Arial"/>
          <w:lang w:val="es-ES"/>
        </w:rPr>
      </w:pPr>
    </w:p>
    <w:p w:rsidR="00264980" w:rsidRPr="002B202E" w:rsidRDefault="00264980" w:rsidP="00264980">
      <w:pPr>
        <w:pStyle w:val="ListParagraph"/>
        <w:numPr>
          <w:ilvl w:val="0"/>
          <w:numId w:val="48"/>
        </w:numPr>
        <w:tabs>
          <w:tab w:val="left" w:pos="0"/>
          <w:tab w:val="left" w:pos="567"/>
        </w:tabs>
        <w:ind w:left="0" w:firstLine="0"/>
        <w:contextualSpacing/>
        <w:jc w:val="both"/>
        <w:rPr>
          <w:rFonts w:cs="Arial"/>
          <w:lang w:val="es-ES"/>
        </w:rPr>
      </w:pPr>
      <w:r w:rsidRPr="002B202E">
        <w:rPr>
          <w:rFonts w:cs="Arial"/>
          <w:lang w:val="es-ES"/>
        </w:rPr>
        <w:t>El costo total de producción comprende el gasto relacionado exclusivamente con el Sistema de La Haya y el gasto en concepto de actividades de apoyo al Sistema.</w:t>
      </w:r>
      <w:r w:rsidRPr="002B202E">
        <w:rPr>
          <w:rStyle w:val="FootnoteReference"/>
          <w:rFonts w:cs="Arial"/>
          <w:lang w:val="es-ES"/>
        </w:rPr>
        <w:footnoteReference w:id="42"/>
      </w:r>
      <w:r w:rsidRPr="002B202E">
        <w:rPr>
          <w:rFonts w:cs="Arial"/>
          <w:lang w:val="es-ES"/>
        </w:rPr>
        <w:t xml:space="preserve">  Los costos indirectos reflejan el gasto de las actividades de apoyo (por ejemplo, edificios y tecnología de la información).  Estos últimos se ponderan para tener en cuenta únicamente la proporción imputable al Sistema de La Haya.</w:t>
      </w:r>
    </w:p>
    <w:p w:rsidR="00264980" w:rsidRPr="002B202E" w:rsidRDefault="00264980" w:rsidP="00DC1333">
      <w:pPr>
        <w:pStyle w:val="ListParagraph"/>
        <w:tabs>
          <w:tab w:val="left" w:pos="0"/>
          <w:tab w:val="left" w:pos="567"/>
        </w:tabs>
        <w:ind w:left="0"/>
        <w:contextualSpacing/>
        <w:jc w:val="both"/>
        <w:rPr>
          <w:rFonts w:cs="Arial"/>
          <w:lang w:val="es-ES"/>
        </w:rPr>
      </w:pPr>
    </w:p>
    <w:p w:rsidR="00264980" w:rsidRPr="002B202E" w:rsidRDefault="00264980" w:rsidP="00264980">
      <w:pPr>
        <w:pStyle w:val="ListParagraph"/>
        <w:numPr>
          <w:ilvl w:val="0"/>
          <w:numId w:val="48"/>
        </w:numPr>
        <w:tabs>
          <w:tab w:val="left" w:pos="0"/>
          <w:tab w:val="left" w:pos="567"/>
        </w:tabs>
        <w:ind w:left="0" w:firstLine="0"/>
        <w:contextualSpacing/>
        <w:jc w:val="both"/>
        <w:rPr>
          <w:rFonts w:cs="Arial"/>
          <w:lang w:val="es-ES"/>
        </w:rPr>
      </w:pPr>
      <w:r w:rsidRPr="002B202E">
        <w:rPr>
          <w:rFonts w:cs="Arial"/>
          <w:lang w:val="es-ES"/>
        </w:rPr>
        <w:t>En el gasto relacionado exclusivamente con el Sistema de La Haya se incluye el relativo al programa 31 (Sistema de La Haya) y aproximadamente el 7% del gasto de la Oficina del Director General Adjunto encargado del Sector de Marcas y Dise</w:t>
      </w:r>
      <w:r w:rsidRPr="002B202E">
        <w:rPr>
          <w:rFonts w:ascii="Tahoma" w:hAnsi="Tahoma" w:cs="Tahoma"/>
          <w:lang w:val="es-ES"/>
        </w:rPr>
        <w:t>ñ</w:t>
      </w:r>
      <w:r w:rsidRPr="002B202E">
        <w:rPr>
          <w:rFonts w:cs="Arial"/>
          <w:lang w:val="es-ES"/>
        </w:rPr>
        <w:t>os (programa 6 – Sistemas de Madrid y de Lisboa).</w:t>
      </w:r>
      <w:r w:rsidRPr="002B202E">
        <w:rPr>
          <w:rStyle w:val="FootnoteReference"/>
          <w:rFonts w:cs="Arial"/>
          <w:lang w:val="es-ES"/>
        </w:rPr>
        <w:footnoteReference w:id="43"/>
      </w:r>
    </w:p>
    <w:p w:rsidR="00264980" w:rsidRPr="002B202E" w:rsidRDefault="00264980" w:rsidP="00DC1333">
      <w:pPr>
        <w:pStyle w:val="ListParagraph"/>
        <w:tabs>
          <w:tab w:val="left" w:pos="0"/>
          <w:tab w:val="left" w:pos="567"/>
        </w:tabs>
        <w:ind w:left="0"/>
        <w:contextualSpacing/>
        <w:jc w:val="both"/>
        <w:rPr>
          <w:rFonts w:cs="Arial"/>
          <w:lang w:val="es-ES"/>
        </w:rPr>
      </w:pPr>
    </w:p>
    <w:p w:rsidR="00264980" w:rsidRPr="002B202E" w:rsidRDefault="00264980" w:rsidP="00264980">
      <w:pPr>
        <w:pStyle w:val="ListParagraph"/>
        <w:numPr>
          <w:ilvl w:val="0"/>
          <w:numId w:val="48"/>
        </w:numPr>
        <w:tabs>
          <w:tab w:val="left" w:pos="0"/>
          <w:tab w:val="left" w:pos="567"/>
        </w:tabs>
        <w:ind w:left="0" w:firstLine="0"/>
        <w:contextualSpacing/>
        <w:jc w:val="both"/>
        <w:rPr>
          <w:rFonts w:cs="Arial"/>
          <w:lang w:val="es-ES"/>
        </w:rPr>
      </w:pPr>
      <w:r w:rsidRPr="002B202E">
        <w:rPr>
          <w:rFonts w:cs="Arial"/>
          <w:lang w:val="es-ES"/>
        </w:rPr>
        <w:t xml:space="preserve">El gasto en concepto de actividades de apoyo al Sistema de La Haya comprende el gasto derivado de los siguientes servicios generales:  servicio de conferencias y lingüísticos, construcción, gestión ejecutiva, finanzas y presupuesto, servicios generales de apoyo, gestión de los recursos humanos, supervisión interna, T.I. y seguridad y vigilancia.  Una pequeña parte de estos gastos (el costo del alojamiento del servidor en el </w:t>
      </w:r>
      <w:r w:rsidRPr="002B202E">
        <w:rPr>
          <w:rStyle w:val="preferred"/>
          <w:rFonts w:eastAsia="SimSun"/>
          <w:lang w:val="es-ES"/>
        </w:rPr>
        <w:t xml:space="preserve">Centro Internacional de Cálculo de las Naciones Unidas </w:t>
      </w:r>
      <w:r w:rsidRPr="002B202E">
        <w:rPr>
          <w:rFonts w:cs="Arial"/>
          <w:lang w:val="es-ES"/>
        </w:rPr>
        <w:t>y el porcentaje del costo de la Sección de Ingresos dentro del Departamento de Finanzas</w:t>
      </w:r>
      <w:r w:rsidRPr="002B202E">
        <w:rPr>
          <w:lang w:val="es-ES"/>
        </w:rPr>
        <w:t xml:space="preserve">) </w:t>
      </w:r>
      <w:r w:rsidRPr="002B202E">
        <w:rPr>
          <w:noProof/>
          <w:lang w:val="es-ES" w:eastAsia="es-ES"/>
        </w:rPr>
        <w:t>se atribuyen directamente al Sistema de La Haya, pero el resto de gastos que se pueden atribuir al Sistema se calculan en función de la dotación de personal (incluyendo el personal de plazo fijo, el personal temporal y los becarios).</w:t>
      </w:r>
    </w:p>
    <w:p w:rsidR="00264980" w:rsidRPr="002B202E" w:rsidRDefault="00264980" w:rsidP="00DC1333">
      <w:pPr>
        <w:pStyle w:val="ListParagraph"/>
        <w:tabs>
          <w:tab w:val="left" w:pos="-2127"/>
        </w:tabs>
        <w:ind w:left="0"/>
        <w:contextualSpacing/>
        <w:jc w:val="center"/>
        <w:rPr>
          <w:rFonts w:cs="Arial"/>
          <w:lang w:val="es-ES"/>
        </w:rPr>
      </w:pPr>
    </w:p>
    <w:p w:rsidR="00264980" w:rsidRPr="002B202E" w:rsidRDefault="00264980" w:rsidP="00DC1333">
      <w:pPr>
        <w:pStyle w:val="ListParagraph"/>
        <w:tabs>
          <w:tab w:val="left" w:pos="-2127"/>
        </w:tabs>
        <w:ind w:left="0"/>
        <w:contextualSpacing/>
        <w:jc w:val="center"/>
        <w:rPr>
          <w:rFonts w:cs="Arial"/>
          <w:lang w:val="es-ES"/>
        </w:rPr>
      </w:pPr>
      <w:r w:rsidRPr="002B202E">
        <w:rPr>
          <w:noProof/>
        </w:rPr>
        <w:drawing>
          <wp:inline distT="0" distB="0" distL="0" distR="0" wp14:anchorId="38371C2D" wp14:editId="3540BDD2">
            <wp:extent cx="5563400" cy="3146961"/>
            <wp:effectExtent l="0" t="0" r="0" b="0"/>
            <wp:docPr id="1037" name="Pictur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5572404" cy="3152054"/>
                    </a:xfrm>
                    <a:prstGeom prst="rect">
                      <a:avLst/>
                    </a:prstGeom>
                    <a:noFill/>
                    <a:ln>
                      <a:noFill/>
                    </a:ln>
                  </pic:spPr>
                </pic:pic>
              </a:graphicData>
            </a:graphic>
          </wp:inline>
        </w:drawing>
      </w:r>
    </w:p>
    <w:p w:rsidR="00264980" w:rsidRPr="002B202E" w:rsidRDefault="00264980" w:rsidP="00DC1333">
      <w:pPr>
        <w:pStyle w:val="ListParagraph"/>
        <w:tabs>
          <w:tab w:val="left" w:pos="-2127"/>
        </w:tabs>
        <w:ind w:left="0"/>
        <w:contextualSpacing/>
        <w:jc w:val="center"/>
        <w:rPr>
          <w:rFonts w:cs="Arial"/>
          <w:lang w:val="es-ES"/>
        </w:rPr>
      </w:pPr>
    </w:p>
    <w:p w:rsidR="00264980" w:rsidRPr="002B202E" w:rsidRDefault="00264980" w:rsidP="00264980">
      <w:pPr>
        <w:pStyle w:val="ListParagraph"/>
        <w:keepNext/>
        <w:keepLines/>
        <w:numPr>
          <w:ilvl w:val="0"/>
          <w:numId w:val="44"/>
        </w:numPr>
        <w:spacing w:after="120"/>
        <w:ind w:left="992" w:hanging="425"/>
        <w:jc w:val="both"/>
        <w:rPr>
          <w:rFonts w:cs="Arial"/>
          <w:lang w:val="es-ES"/>
        </w:rPr>
      </w:pPr>
      <w:r w:rsidRPr="002B202E">
        <w:rPr>
          <w:rFonts w:cs="Arial"/>
          <w:lang w:val="es-ES"/>
        </w:rPr>
        <w:lastRenderedPageBreak/>
        <w:t>El gasto total relacionado con la tramitación en el Sistema de La Haya se estima en</w:t>
      </w:r>
      <w:r w:rsidR="00EF106E">
        <w:rPr>
          <w:rFonts w:cs="Arial"/>
          <w:lang w:val="es-ES"/>
        </w:rPr>
        <w:t xml:space="preserve"> cerca de </w:t>
      </w:r>
      <w:r w:rsidRPr="002B202E">
        <w:rPr>
          <w:rFonts w:cs="Arial"/>
          <w:lang w:val="es-ES"/>
        </w:rPr>
        <w:t>6 millones de francos suizos en 2015.  Ello representa un aumento del 5% con respecto a 2014.  Los costos directos e indirectos aumentaron r</w:t>
      </w:r>
      <w:r w:rsidR="00EF106E">
        <w:rPr>
          <w:rFonts w:cs="Arial"/>
          <w:lang w:val="es-ES"/>
        </w:rPr>
        <w:t>espectivamente un 6% y un 3% en </w:t>
      </w:r>
      <w:r w:rsidRPr="002B202E">
        <w:rPr>
          <w:rFonts w:cs="Arial"/>
          <w:lang w:val="es-ES"/>
        </w:rPr>
        <w:t>2014.  Durante el bienio 2014/15 el costo total de producción aumentó un 3% en comparación con el bienio anterior.</w:t>
      </w:r>
    </w:p>
    <w:p w:rsidR="00264980" w:rsidRPr="002B202E" w:rsidRDefault="00264980" w:rsidP="00264980">
      <w:pPr>
        <w:pStyle w:val="ListParagraph"/>
        <w:numPr>
          <w:ilvl w:val="0"/>
          <w:numId w:val="44"/>
        </w:numPr>
        <w:spacing w:after="200"/>
        <w:ind w:left="993" w:hanging="426"/>
        <w:contextualSpacing/>
        <w:jc w:val="both"/>
        <w:rPr>
          <w:rFonts w:cs="Arial"/>
          <w:lang w:val="es-ES"/>
        </w:rPr>
      </w:pPr>
      <w:r w:rsidRPr="002B202E">
        <w:rPr>
          <w:rFonts w:cs="Arial"/>
          <w:lang w:val="es-ES"/>
        </w:rPr>
        <w:t>En 2015 correspondió a los costos directos el 61% del gasto total.</w:t>
      </w:r>
    </w:p>
    <w:p w:rsidR="00264980" w:rsidRPr="002B202E" w:rsidRDefault="00264980" w:rsidP="00DC1333">
      <w:pPr>
        <w:pStyle w:val="ListParagraph"/>
        <w:ind w:left="993" w:hanging="426"/>
        <w:rPr>
          <w:rFonts w:cs="Arial"/>
          <w:lang w:val="es-ES"/>
        </w:rPr>
      </w:pPr>
    </w:p>
    <w:p w:rsidR="00264980" w:rsidRPr="002B202E" w:rsidRDefault="00264980" w:rsidP="00DC1333">
      <w:pPr>
        <w:pStyle w:val="ListParagraph"/>
        <w:ind w:left="993" w:hanging="426"/>
        <w:rPr>
          <w:rFonts w:cs="Arial"/>
          <w:lang w:val="es-ES"/>
        </w:rPr>
      </w:pPr>
    </w:p>
    <w:p w:rsidR="00264980" w:rsidRPr="002B202E" w:rsidRDefault="00264980" w:rsidP="00DC1333">
      <w:pPr>
        <w:rPr>
          <w:sz w:val="20"/>
          <w:u w:val="single"/>
        </w:rPr>
      </w:pPr>
      <w:r w:rsidRPr="002B202E">
        <w:rPr>
          <w:sz w:val="20"/>
          <w:u w:val="single"/>
        </w:rPr>
        <w:t>Costo unitario</w:t>
      </w:r>
    </w:p>
    <w:p w:rsidR="00264980" w:rsidRPr="002B202E" w:rsidRDefault="00264980" w:rsidP="00DC1333">
      <w:pPr>
        <w:rPr>
          <w:sz w:val="20"/>
          <w:u w:val="single"/>
        </w:rPr>
      </w:pPr>
    </w:p>
    <w:p w:rsidR="00264980" w:rsidRPr="002B202E" w:rsidRDefault="00264980" w:rsidP="00264980">
      <w:pPr>
        <w:pStyle w:val="ListParagraph"/>
        <w:numPr>
          <w:ilvl w:val="0"/>
          <w:numId w:val="48"/>
        </w:numPr>
        <w:tabs>
          <w:tab w:val="left" w:pos="0"/>
          <w:tab w:val="left" w:pos="567"/>
        </w:tabs>
        <w:ind w:left="0" w:firstLine="0"/>
        <w:contextualSpacing/>
        <w:jc w:val="both"/>
        <w:rPr>
          <w:rFonts w:cs="Arial"/>
          <w:lang w:val="es-ES"/>
        </w:rPr>
      </w:pPr>
      <w:r w:rsidRPr="002B202E">
        <w:rPr>
          <w:rFonts w:cs="Arial"/>
          <w:lang w:val="es-ES"/>
        </w:rPr>
        <w:t>La eficiencia de la Oficina Internacional en cuanto a la tramitación de transacciones puede medirse por el costo unitario, definido como el costo medio de producción de una unidad de producto.</w:t>
      </w:r>
    </w:p>
    <w:p w:rsidR="00264980" w:rsidRPr="002B202E" w:rsidRDefault="00264980" w:rsidP="00DC1333">
      <w:pPr>
        <w:contextualSpacing/>
        <w:jc w:val="both"/>
        <w:rPr>
          <w:sz w:val="20"/>
        </w:rPr>
      </w:pPr>
    </w:p>
    <w:p w:rsidR="00264980" w:rsidRPr="002B202E" w:rsidRDefault="00264980" w:rsidP="00264980">
      <w:pPr>
        <w:pStyle w:val="ListParagraph"/>
        <w:numPr>
          <w:ilvl w:val="0"/>
          <w:numId w:val="48"/>
        </w:numPr>
        <w:tabs>
          <w:tab w:val="left" w:pos="0"/>
          <w:tab w:val="left" w:pos="567"/>
        </w:tabs>
        <w:ind w:left="0" w:firstLine="0"/>
        <w:contextualSpacing/>
        <w:jc w:val="both"/>
        <w:rPr>
          <w:rFonts w:cs="Arial"/>
          <w:lang w:val="es-ES"/>
        </w:rPr>
      </w:pPr>
      <w:r w:rsidRPr="002B202E">
        <w:rPr>
          <w:rFonts w:cs="Arial"/>
          <w:lang w:val="es-ES"/>
        </w:rPr>
        <w:t xml:space="preserve">Habida cuenta de que la Oficina Internacional crea registros a partir de nuevas solicitudes y mantiene los registros existentes, resulta pertinente contar con una unidad de producto que incluya un conjunto de transacciones.  Se presentan </w:t>
      </w:r>
      <w:r w:rsidRPr="002B202E">
        <w:rPr>
          <w:rFonts w:cs="Arial"/>
          <w:i/>
          <w:lang w:val="es-ES"/>
        </w:rPr>
        <w:t>infra</w:t>
      </w:r>
      <w:r w:rsidRPr="002B202E">
        <w:rPr>
          <w:rFonts w:cs="Arial"/>
          <w:lang w:val="es-ES"/>
        </w:rPr>
        <w:t xml:space="preserve"> dos indicadores de costo unitario, utilizando dos unidades de producto diferentes.</w:t>
      </w:r>
    </w:p>
    <w:p w:rsidR="00264980" w:rsidRPr="002B202E" w:rsidRDefault="00264980" w:rsidP="00DC1333">
      <w:pPr>
        <w:pStyle w:val="ListParagraph"/>
        <w:tabs>
          <w:tab w:val="left" w:pos="0"/>
          <w:tab w:val="left" w:pos="567"/>
        </w:tabs>
        <w:ind w:left="0"/>
        <w:jc w:val="both"/>
        <w:rPr>
          <w:rFonts w:cs="Arial"/>
          <w:lang w:val="es-ES"/>
        </w:rPr>
      </w:pPr>
    </w:p>
    <w:p w:rsidR="00264980" w:rsidRPr="002B202E" w:rsidRDefault="00264980" w:rsidP="00264980">
      <w:pPr>
        <w:pStyle w:val="ListParagraph"/>
        <w:numPr>
          <w:ilvl w:val="0"/>
          <w:numId w:val="48"/>
        </w:numPr>
        <w:tabs>
          <w:tab w:val="left" w:pos="0"/>
          <w:tab w:val="left" w:pos="567"/>
        </w:tabs>
        <w:ind w:left="0" w:firstLine="0"/>
        <w:contextualSpacing/>
        <w:jc w:val="both"/>
        <w:rPr>
          <w:rFonts w:cs="Arial"/>
          <w:lang w:val="es-ES"/>
        </w:rPr>
      </w:pPr>
      <w:r w:rsidRPr="002B202E">
        <w:rPr>
          <w:rFonts w:cs="Arial"/>
          <w:lang w:val="es-ES"/>
        </w:rPr>
        <w:t>En el marco de los esfuerzos de la Oficina Internacional por seguir refinando la metodología de cálculo de los costos unitarios, en el presupuesto por programas del bienio 2016/17 se ha revisado esa metodología para reflejar con mayor exactitud el costo de tramitación del volumen de trabajo correspondiente al Sistema de La Haya en la Oficina Internacional.</w:t>
      </w:r>
      <w:r w:rsidRPr="002B202E">
        <w:rPr>
          <w:rStyle w:val="FootnoteReference"/>
          <w:rFonts w:cs="Arial"/>
          <w:lang w:val="es-ES"/>
        </w:rPr>
        <w:footnoteReference w:id="44"/>
      </w:r>
    </w:p>
    <w:p w:rsidR="00264980" w:rsidRPr="002B202E" w:rsidRDefault="00264980" w:rsidP="00DC1333">
      <w:pPr>
        <w:pStyle w:val="ListParagraph"/>
        <w:tabs>
          <w:tab w:val="left" w:pos="0"/>
          <w:tab w:val="left" w:pos="567"/>
        </w:tabs>
        <w:ind w:left="0"/>
        <w:jc w:val="both"/>
        <w:rPr>
          <w:rFonts w:cs="Arial"/>
          <w:lang w:val="es-ES"/>
        </w:rPr>
      </w:pPr>
    </w:p>
    <w:p w:rsidR="00264980" w:rsidRPr="002B202E" w:rsidRDefault="00264980" w:rsidP="00DC1333">
      <w:pPr>
        <w:jc w:val="both"/>
        <w:rPr>
          <w:i/>
          <w:sz w:val="20"/>
        </w:rPr>
      </w:pPr>
      <w:r w:rsidRPr="002B202E">
        <w:rPr>
          <w:i/>
          <w:sz w:val="20"/>
        </w:rPr>
        <w:t>Costo unitario por dibujo o modelo nuevo/renovado</w:t>
      </w:r>
    </w:p>
    <w:p w:rsidR="00264980" w:rsidRPr="002B202E" w:rsidRDefault="00264980" w:rsidP="00DC1333">
      <w:pPr>
        <w:jc w:val="both"/>
        <w:rPr>
          <w:sz w:val="20"/>
        </w:rPr>
      </w:pPr>
    </w:p>
    <w:p w:rsidR="00264980" w:rsidRPr="002B202E" w:rsidRDefault="00264980" w:rsidP="00264980">
      <w:pPr>
        <w:pStyle w:val="ListParagraph"/>
        <w:numPr>
          <w:ilvl w:val="0"/>
          <w:numId w:val="48"/>
        </w:numPr>
        <w:tabs>
          <w:tab w:val="left" w:pos="0"/>
          <w:tab w:val="left" w:pos="567"/>
        </w:tabs>
        <w:ind w:left="0" w:firstLine="0"/>
        <w:contextualSpacing/>
        <w:jc w:val="both"/>
        <w:rPr>
          <w:rFonts w:cs="Arial"/>
          <w:lang w:val="es-ES"/>
        </w:rPr>
      </w:pPr>
      <w:r w:rsidRPr="002B202E">
        <w:rPr>
          <w:rFonts w:cs="Arial"/>
          <w:lang w:val="es-ES"/>
        </w:rPr>
        <w:t>Los dibujos o modelos nuevos son los que están contenidos en solicitudes internacionales que dan lugar a registros en un año determinado, y los dibujos o modelos renovados son los que ya existen en registros internacionales y son objeto de renovación en un año determinado.  Combinados, los dibujos o modelos contenidos en esos dos tipos de transacción reflejan las actividades principales de la Oficina Internacional en este contexto.</w:t>
      </w:r>
    </w:p>
    <w:p w:rsidR="00264980" w:rsidRPr="002B202E" w:rsidRDefault="00264980" w:rsidP="00DC1333">
      <w:pPr>
        <w:jc w:val="both"/>
        <w:rPr>
          <w:sz w:val="20"/>
        </w:rPr>
      </w:pPr>
    </w:p>
    <w:p w:rsidR="00264980" w:rsidRPr="002B202E" w:rsidRDefault="00264980" w:rsidP="00264980">
      <w:pPr>
        <w:pStyle w:val="ListParagraph"/>
        <w:numPr>
          <w:ilvl w:val="0"/>
          <w:numId w:val="48"/>
        </w:numPr>
        <w:tabs>
          <w:tab w:val="left" w:pos="0"/>
          <w:tab w:val="left" w:pos="567"/>
        </w:tabs>
        <w:ind w:left="0" w:firstLine="0"/>
        <w:contextualSpacing/>
        <w:jc w:val="both"/>
        <w:rPr>
          <w:rFonts w:cs="Arial"/>
          <w:lang w:val="es-ES"/>
        </w:rPr>
      </w:pPr>
      <w:r w:rsidRPr="002B202E">
        <w:rPr>
          <w:rFonts w:cs="Arial"/>
          <w:lang w:val="es-ES"/>
        </w:rPr>
        <w:t>Habida cuenta de que los recursos necesarios para tramitar los dibujos o modelos contenidos en esos dos tipos de documentos son diferentes, cada uno de ellos se pondera de forma distinta.</w:t>
      </w:r>
      <w:r w:rsidRPr="002B202E">
        <w:rPr>
          <w:rStyle w:val="FootnoteReference"/>
          <w:rFonts w:cs="Arial"/>
          <w:lang w:val="es-ES"/>
        </w:rPr>
        <w:footnoteReference w:id="45"/>
      </w:r>
      <w:r w:rsidRPr="002B202E">
        <w:rPr>
          <w:rFonts w:cs="Arial"/>
          <w:lang w:val="es-ES"/>
        </w:rPr>
        <w:t xml:space="preserve">  El costo unitario se calcula dividiendo el costo total de producción por el número de dibujos o modelos nuevos/renovados.</w:t>
      </w:r>
    </w:p>
    <w:p w:rsidR="00264980" w:rsidRPr="002B202E" w:rsidRDefault="00264980" w:rsidP="00DC1333">
      <w:pPr>
        <w:spacing w:before="120" w:after="120"/>
        <w:jc w:val="both"/>
        <w:rPr>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806"/>
      </w:tblGrid>
      <w:tr w:rsidR="00264980" w:rsidRPr="002B202E" w:rsidTr="00DC1333">
        <w:tc>
          <w:tcPr>
            <w:tcW w:w="4788" w:type="dxa"/>
          </w:tcPr>
          <w:p w:rsidR="00264980" w:rsidRPr="002B202E" w:rsidRDefault="00264980" w:rsidP="00DC1333">
            <w:pPr>
              <w:spacing w:after="200" w:line="276" w:lineRule="auto"/>
              <w:jc w:val="center"/>
              <w:rPr>
                <w:sz w:val="20"/>
              </w:rPr>
            </w:pPr>
            <w:r w:rsidRPr="002B202E">
              <w:rPr>
                <w:sz w:val="20"/>
              </w:rPr>
              <w:t>Método antiguo</w:t>
            </w:r>
          </w:p>
        </w:tc>
        <w:tc>
          <w:tcPr>
            <w:tcW w:w="4788" w:type="dxa"/>
          </w:tcPr>
          <w:p w:rsidR="00264980" w:rsidRPr="002B202E" w:rsidRDefault="00264980" w:rsidP="00DC1333">
            <w:pPr>
              <w:spacing w:after="200" w:line="276" w:lineRule="auto"/>
              <w:jc w:val="center"/>
              <w:rPr>
                <w:sz w:val="20"/>
              </w:rPr>
            </w:pPr>
            <w:r w:rsidRPr="002B202E">
              <w:rPr>
                <w:sz w:val="20"/>
              </w:rPr>
              <w:t>Método nuevo</w:t>
            </w:r>
          </w:p>
        </w:tc>
      </w:tr>
      <w:tr w:rsidR="00264980" w:rsidRPr="002B202E" w:rsidTr="00DC1333">
        <w:tc>
          <w:tcPr>
            <w:tcW w:w="4788" w:type="dxa"/>
          </w:tcPr>
          <w:p w:rsidR="00264980" w:rsidRPr="002B202E" w:rsidRDefault="00264980" w:rsidP="00DC1333">
            <w:pPr>
              <w:spacing w:after="200" w:line="276" w:lineRule="auto"/>
              <w:jc w:val="center"/>
              <w:rPr>
                <w:sz w:val="20"/>
              </w:rPr>
            </w:pPr>
            <w:r w:rsidRPr="002B202E">
              <w:rPr>
                <w:noProof/>
                <w:sz w:val="20"/>
                <w:lang w:val="en-US" w:eastAsia="en-US"/>
              </w:rPr>
              <w:drawing>
                <wp:inline distT="0" distB="0" distL="0" distR="0" wp14:anchorId="0FBEE21B" wp14:editId="28F4DDDB">
                  <wp:extent cx="2832100" cy="1846574"/>
                  <wp:effectExtent l="0" t="0" r="6350" b="1905"/>
                  <wp:docPr id="1038" name="Pictur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2836257" cy="1849284"/>
                          </a:xfrm>
                          <a:prstGeom prst="rect">
                            <a:avLst/>
                          </a:prstGeom>
                          <a:noFill/>
                          <a:ln>
                            <a:noFill/>
                          </a:ln>
                        </pic:spPr>
                      </pic:pic>
                    </a:graphicData>
                  </a:graphic>
                </wp:inline>
              </w:drawing>
            </w:r>
          </w:p>
        </w:tc>
        <w:tc>
          <w:tcPr>
            <w:tcW w:w="4788" w:type="dxa"/>
          </w:tcPr>
          <w:p w:rsidR="00264980" w:rsidRPr="002B202E" w:rsidRDefault="00264980" w:rsidP="00DC1333">
            <w:pPr>
              <w:spacing w:after="200" w:line="276" w:lineRule="auto"/>
              <w:jc w:val="center"/>
              <w:rPr>
                <w:sz w:val="20"/>
              </w:rPr>
            </w:pPr>
            <w:r w:rsidRPr="002B202E">
              <w:rPr>
                <w:noProof/>
                <w:sz w:val="20"/>
                <w:lang w:val="en-US" w:eastAsia="en-US"/>
              </w:rPr>
              <w:drawing>
                <wp:inline distT="0" distB="0" distL="0" distR="0" wp14:anchorId="54EFEF4D" wp14:editId="13BC4786">
                  <wp:extent cx="2909810" cy="1930018"/>
                  <wp:effectExtent l="0" t="0" r="5080" b="0"/>
                  <wp:docPr id="1039" name="Pictur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2913643" cy="1932560"/>
                          </a:xfrm>
                          <a:prstGeom prst="rect">
                            <a:avLst/>
                          </a:prstGeom>
                          <a:noFill/>
                          <a:ln>
                            <a:noFill/>
                          </a:ln>
                        </pic:spPr>
                      </pic:pic>
                    </a:graphicData>
                  </a:graphic>
                </wp:inline>
              </w:drawing>
            </w:r>
          </w:p>
        </w:tc>
      </w:tr>
    </w:tbl>
    <w:p w:rsidR="00264980" w:rsidRPr="002B202E" w:rsidRDefault="00264980" w:rsidP="00DC1333">
      <w:pPr>
        <w:pStyle w:val="ListParagraph"/>
        <w:spacing w:before="120" w:after="120"/>
        <w:ind w:left="1080"/>
        <w:jc w:val="center"/>
        <w:rPr>
          <w:rFonts w:cs="Arial"/>
          <w:lang w:val="es-ES"/>
        </w:rPr>
      </w:pPr>
    </w:p>
    <w:p w:rsidR="00264980" w:rsidRPr="002B202E" w:rsidRDefault="00264980" w:rsidP="00264980">
      <w:pPr>
        <w:pStyle w:val="ListParagraph"/>
        <w:numPr>
          <w:ilvl w:val="0"/>
          <w:numId w:val="45"/>
        </w:numPr>
        <w:ind w:left="993" w:hanging="426"/>
        <w:contextualSpacing/>
        <w:jc w:val="both"/>
        <w:rPr>
          <w:rFonts w:cs="Arial"/>
          <w:lang w:val="es-ES"/>
        </w:rPr>
      </w:pPr>
      <w:r w:rsidRPr="002B202E">
        <w:rPr>
          <w:rFonts w:cs="Arial"/>
          <w:lang w:val="es-ES"/>
        </w:rPr>
        <w:lastRenderedPageBreak/>
        <w:t>En 2015 el costo medio de tramitación de un dibujo o modelo nuevo/renovado fue de 337 francos suizos, es decir que se produjo una disminución del 8% con respecto a 2014.  Esa disminución se debió a un fuerte aumento del 14% en el número de dibujos o modelos nuevos/renovados que se tramitaron con una cantidad de recur</w:t>
      </w:r>
      <w:r w:rsidR="005E5FB4">
        <w:rPr>
          <w:rFonts w:cs="Arial"/>
          <w:lang w:val="es-ES"/>
        </w:rPr>
        <w:t>sos disponibles similar a la de </w:t>
      </w:r>
      <w:r w:rsidRPr="002B202E">
        <w:rPr>
          <w:rFonts w:cs="Arial"/>
          <w:lang w:val="es-ES"/>
        </w:rPr>
        <w:t>2014.</w:t>
      </w:r>
    </w:p>
    <w:p w:rsidR="00264980" w:rsidRPr="002B202E" w:rsidRDefault="00264980" w:rsidP="00DC1333">
      <w:pPr>
        <w:pStyle w:val="ListParagraph"/>
        <w:ind w:left="993"/>
        <w:contextualSpacing/>
        <w:jc w:val="both"/>
        <w:rPr>
          <w:rFonts w:cs="Arial"/>
          <w:lang w:val="es-ES"/>
        </w:rPr>
      </w:pPr>
    </w:p>
    <w:p w:rsidR="00264980" w:rsidRPr="002B202E" w:rsidRDefault="00264980" w:rsidP="00264980">
      <w:pPr>
        <w:pStyle w:val="ListParagraph"/>
        <w:numPr>
          <w:ilvl w:val="0"/>
          <w:numId w:val="45"/>
        </w:numPr>
        <w:ind w:left="993" w:hanging="426"/>
        <w:contextualSpacing/>
        <w:jc w:val="both"/>
        <w:rPr>
          <w:rFonts w:cs="Arial"/>
          <w:lang w:val="es-ES"/>
        </w:rPr>
      </w:pPr>
      <w:r w:rsidRPr="002B202E">
        <w:rPr>
          <w:rFonts w:cs="Arial"/>
          <w:lang w:val="es-ES"/>
        </w:rPr>
        <w:t>En el bienio 2014/15 el costo unitario medio de tramitación de un dibujo o modelo nuevo/renovado fue de 350 francos suizos, es decir que se produjo una disminución del 12% con respecto al bienio 2012/13, en que dicha cifra fue de 400 francos suizos.</w:t>
      </w:r>
    </w:p>
    <w:p w:rsidR="00264980" w:rsidRPr="002B202E" w:rsidRDefault="00264980" w:rsidP="00DC1333">
      <w:pPr>
        <w:jc w:val="center"/>
        <w:rPr>
          <w:sz w:val="20"/>
        </w:rPr>
      </w:pPr>
    </w:p>
    <w:p w:rsidR="00264980" w:rsidRPr="002B202E" w:rsidRDefault="00264980" w:rsidP="00DC1333">
      <w:pPr>
        <w:jc w:val="both"/>
        <w:rPr>
          <w:i/>
          <w:sz w:val="20"/>
        </w:rPr>
      </w:pPr>
      <w:r w:rsidRPr="002B202E">
        <w:rPr>
          <w:i/>
          <w:sz w:val="20"/>
        </w:rPr>
        <w:t>Costo unitario por documento inscrito en el Registro</w:t>
      </w:r>
    </w:p>
    <w:p w:rsidR="00264980" w:rsidRPr="002B202E" w:rsidRDefault="00264980" w:rsidP="00DC1333">
      <w:pPr>
        <w:jc w:val="both"/>
        <w:rPr>
          <w:sz w:val="20"/>
        </w:rPr>
      </w:pPr>
    </w:p>
    <w:p w:rsidR="00264980" w:rsidRPr="002B202E" w:rsidRDefault="00264980" w:rsidP="00264980">
      <w:pPr>
        <w:pStyle w:val="ListParagraph"/>
        <w:numPr>
          <w:ilvl w:val="0"/>
          <w:numId w:val="48"/>
        </w:numPr>
        <w:tabs>
          <w:tab w:val="left" w:pos="0"/>
          <w:tab w:val="left" w:pos="567"/>
        </w:tabs>
        <w:ind w:left="0" w:firstLine="0"/>
        <w:contextualSpacing/>
        <w:jc w:val="both"/>
        <w:rPr>
          <w:rFonts w:cs="Arial"/>
          <w:lang w:val="es-ES"/>
        </w:rPr>
      </w:pPr>
      <w:r w:rsidRPr="002B202E">
        <w:rPr>
          <w:rFonts w:cs="Arial"/>
          <w:lang w:val="es-ES"/>
        </w:rPr>
        <w:t xml:space="preserve">Los documentos inscritos en el Registro corresponden al volumen total de trabajo (véase “Volumen total de trabajo” </w:t>
      </w:r>
      <w:r w:rsidRPr="002B202E">
        <w:rPr>
          <w:rFonts w:cs="Arial"/>
          <w:i/>
          <w:lang w:val="es-ES"/>
        </w:rPr>
        <w:t>supra</w:t>
      </w:r>
      <w:r w:rsidRPr="002B202E">
        <w:rPr>
          <w:rFonts w:cs="Arial"/>
          <w:lang w:val="es-ES"/>
        </w:rPr>
        <w:t>).</w:t>
      </w:r>
    </w:p>
    <w:p w:rsidR="00264980" w:rsidRPr="002B202E" w:rsidRDefault="00264980" w:rsidP="00DC1333">
      <w:pPr>
        <w:jc w:val="both"/>
        <w:rPr>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5"/>
        <w:gridCol w:w="4586"/>
      </w:tblGrid>
      <w:tr w:rsidR="00264980" w:rsidRPr="002B202E" w:rsidTr="00DC1333">
        <w:tc>
          <w:tcPr>
            <w:tcW w:w="4788" w:type="dxa"/>
          </w:tcPr>
          <w:p w:rsidR="00264980" w:rsidRPr="002B202E" w:rsidRDefault="00264980" w:rsidP="00DC1333">
            <w:pPr>
              <w:spacing w:after="200" w:line="276" w:lineRule="auto"/>
              <w:jc w:val="center"/>
              <w:rPr>
                <w:sz w:val="20"/>
              </w:rPr>
            </w:pPr>
            <w:r w:rsidRPr="002B202E">
              <w:rPr>
                <w:sz w:val="20"/>
              </w:rPr>
              <w:t>Método antiguo</w:t>
            </w:r>
          </w:p>
        </w:tc>
        <w:tc>
          <w:tcPr>
            <w:tcW w:w="4788" w:type="dxa"/>
          </w:tcPr>
          <w:p w:rsidR="00264980" w:rsidRPr="002B202E" w:rsidRDefault="00264980" w:rsidP="00DC1333">
            <w:pPr>
              <w:spacing w:after="200" w:line="276" w:lineRule="auto"/>
              <w:jc w:val="center"/>
              <w:rPr>
                <w:sz w:val="20"/>
              </w:rPr>
            </w:pPr>
            <w:r w:rsidRPr="002B202E">
              <w:rPr>
                <w:sz w:val="20"/>
              </w:rPr>
              <w:t>Método nuevo</w:t>
            </w:r>
          </w:p>
        </w:tc>
      </w:tr>
      <w:tr w:rsidR="00264980" w:rsidRPr="002B202E" w:rsidTr="00DC1333">
        <w:tc>
          <w:tcPr>
            <w:tcW w:w="4788" w:type="dxa"/>
          </w:tcPr>
          <w:p w:rsidR="00264980" w:rsidRPr="002B202E" w:rsidRDefault="00264980" w:rsidP="00DC1333">
            <w:pPr>
              <w:spacing w:after="200" w:line="276" w:lineRule="auto"/>
              <w:jc w:val="center"/>
              <w:rPr>
                <w:sz w:val="20"/>
              </w:rPr>
            </w:pPr>
            <w:r w:rsidRPr="002B202E">
              <w:rPr>
                <w:noProof/>
                <w:sz w:val="20"/>
                <w:lang w:val="en-US" w:eastAsia="en-US"/>
              </w:rPr>
              <w:drawing>
                <wp:inline distT="0" distB="0" distL="0" distR="0" wp14:anchorId="39109E65" wp14:editId="4D9963CE">
                  <wp:extent cx="3083442" cy="1873232"/>
                  <wp:effectExtent l="0" t="0" r="3175" b="0"/>
                  <wp:docPr id="1040" name="Pictur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3091938" cy="1878393"/>
                          </a:xfrm>
                          <a:prstGeom prst="rect">
                            <a:avLst/>
                          </a:prstGeom>
                          <a:noFill/>
                          <a:ln>
                            <a:noFill/>
                          </a:ln>
                        </pic:spPr>
                      </pic:pic>
                    </a:graphicData>
                  </a:graphic>
                </wp:inline>
              </w:drawing>
            </w:r>
          </w:p>
        </w:tc>
        <w:tc>
          <w:tcPr>
            <w:tcW w:w="4788" w:type="dxa"/>
          </w:tcPr>
          <w:p w:rsidR="00264980" w:rsidRPr="002B202E" w:rsidRDefault="00264980" w:rsidP="00DC1333">
            <w:pPr>
              <w:spacing w:after="200" w:line="276" w:lineRule="auto"/>
              <w:jc w:val="center"/>
              <w:rPr>
                <w:sz w:val="20"/>
              </w:rPr>
            </w:pPr>
            <w:r w:rsidRPr="002B202E">
              <w:rPr>
                <w:noProof/>
                <w:sz w:val="20"/>
                <w:lang w:val="en-US" w:eastAsia="en-US"/>
              </w:rPr>
              <w:drawing>
                <wp:inline distT="0" distB="0" distL="0" distR="0" wp14:anchorId="1096AAE2" wp14:editId="7F2659CB">
                  <wp:extent cx="2828260" cy="1860182"/>
                  <wp:effectExtent l="0" t="0" r="0" b="6985"/>
                  <wp:docPr id="1041" name="Pictur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2846432" cy="1872134"/>
                          </a:xfrm>
                          <a:prstGeom prst="rect">
                            <a:avLst/>
                          </a:prstGeom>
                          <a:noFill/>
                          <a:ln>
                            <a:noFill/>
                          </a:ln>
                        </pic:spPr>
                      </pic:pic>
                    </a:graphicData>
                  </a:graphic>
                </wp:inline>
              </w:drawing>
            </w:r>
          </w:p>
        </w:tc>
      </w:tr>
    </w:tbl>
    <w:p w:rsidR="00264980" w:rsidRPr="002B202E" w:rsidRDefault="00264980" w:rsidP="00DC1333">
      <w:pPr>
        <w:jc w:val="center"/>
        <w:rPr>
          <w:sz w:val="20"/>
        </w:rPr>
      </w:pPr>
    </w:p>
    <w:p w:rsidR="00264980" w:rsidRPr="002B202E" w:rsidRDefault="00264980" w:rsidP="00264980">
      <w:pPr>
        <w:pStyle w:val="ListParagraph"/>
        <w:numPr>
          <w:ilvl w:val="0"/>
          <w:numId w:val="45"/>
        </w:numPr>
        <w:ind w:left="993" w:hanging="426"/>
        <w:contextualSpacing/>
        <w:jc w:val="both"/>
        <w:rPr>
          <w:rFonts w:cs="Arial"/>
          <w:lang w:val="es-ES"/>
        </w:rPr>
      </w:pPr>
      <w:r w:rsidRPr="002B202E">
        <w:rPr>
          <w:rFonts w:cs="Arial"/>
          <w:lang w:val="es-ES"/>
        </w:rPr>
        <w:t>El costo medio de la inscripción de un documento en el Registro disminuyó un 22%, pasando de 1.483 francos suizos en 2014 a 1.153 francos suizos en 2015.  Ello se debe al fuerte aumento del 35% en el volumen total de trabajo tramitado</w:t>
      </w:r>
      <w:r w:rsidR="00925CC6">
        <w:rPr>
          <w:rFonts w:cs="Arial"/>
          <w:lang w:val="es-ES"/>
        </w:rPr>
        <w:t xml:space="preserve"> con los mismos recursos que en </w:t>
      </w:r>
      <w:r w:rsidRPr="002B202E">
        <w:rPr>
          <w:rFonts w:cs="Arial"/>
          <w:lang w:val="es-ES"/>
        </w:rPr>
        <w:t>2014.</w:t>
      </w:r>
    </w:p>
    <w:p w:rsidR="00264980" w:rsidRPr="002B202E" w:rsidRDefault="00264980" w:rsidP="00DC1333">
      <w:pPr>
        <w:pStyle w:val="ListParagraph"/>
        <w:ind w:left="993"/>
        <w:contextualSpacing/>
        <w:jc w:val="both"/>
        <w:rPr>
          <w:rFonts w:cs="Arial"/>
          <w:lang w:val="es-ES"/>
        </w:rPr>
      </w:pPr>
    </w:p>
    <w:p w:rsidR="00264980" w:rsidRPr="002B202E" w:rsidRDefault="00264980" w:rsidP="00264980">
      <w:pPr>
        <w:pStyle w:val="ListParagraph"/>
        <w:numPr>
          <w:ilvl w:val="0"/>
          <w:numId w:val="45"/>
        </w:numPr>
        <w:ind w:left="993" w:hanging="426"/>
        <w:contextualSpacing/>
        <w:jc w:val="both"/>
        <w:rPr>
          <w:rFonts w:cs="Arial"/>
          <w:lang w:val="es-ES"/>
        </w:rPr>
      </w:pPr>
      <w:r w:rsidRPr="002B202E">
        <w:rPr>
          <w:rFonts w:cs="Arial"/>
          <w:lang w:val="es-ES"/>
        </w:rPr>
        <w:t>En el bienio 2014/15 el costo medio de la inscripción de un documento en el</w:t>
      </w:r>
      <w:r w:rsidR="00925CC6">
        <w:rPr>
          <w:rFonts w:cs="Arial"/>
          <w:lang w:val="es-ES"/>
        </w:rPr>
        <w:t xml:space="preserve"> Registro fue de </w:t>
      </w:r>
      <w:r w:rsidRPr="002B202E">
        <w:rPr>
          <w:rFonts w:cs="Arial"/>
          <w:lang w:val="es-ES"/>
        </w:rPr>
        <w:t>1.294 francos suizos, es decir que se produjo una disminución del 15% con respecto al bienio 2012/13, en que dicha cifra fue de 1.528 francos suizos.</w:t>
      </w:r>
    </w:p>
    <w:p w:rsidR="00264980" w:rsidRPr="002B202E" w:rsidRDefault="00264980" w:rsidP="00DC1333">
      <w:pPr>
        <w:pStyle w:val="ListParagraph"/>
        <w:ind w:left="0"/>
        <w:jc w:val="both"/>
        <w:rPr>
          <w:rFonts w:cs="Arial"/>
          <w:lang w:val="es-ES"/>
        </w:rPr>
      </w:pPr>
    </w:p>
    <w:p w:rsidR="00264980" w:rsidRPr="002B202E" w:rsidRDefault="00264980" w:rsidP="00DC1333">
      <w:pPr>
        <w:pStyle w:val="ListParagraph"/>
        <w:ind w:left="0"/>
        <w:rPr>
          <w:rFonts w:cs="Arial"/>
          <w:lang w:val="es-ES"/>
        </w:rPr>
      </w:pPr>
    </w:p>
    <w:p w:rsidR="00264980" w:rsidRPr="002B202E" w:rsidRDefault="00264980" w:rsidP="00DC1333">
      <w:pPr>
        <w:tabs>
          <w:tab w:val="left" w:pos="567"/>
        </w:tabs>
        <w:spacing w:before="120" w:after="240"/>
        <w:rPr>
          <w:b/>
          <w:sz w:val="20"/>
        </w:rPr>
      </w:pPr>
      <w:r w:rsidRPr="002B202E">
        <w:rPr>
          <w:b/>
          <w:sz w:val="20"/>
        </w:rPr>
        <w:t>III.</w:t>
      </w:r>
      <w:r w:rsidRPr="002B202E">
        <w:rPr>
          <w:b/>
          <w:sz w:val="20"/>
        </w:rPr>
        <w:tab/>
        <w:t>Tiempo necesario para tramitar las solicitudes internacionales</w:t>
      </w:r>
    </w:p>
    <w:p w:rsidR="00264980" w:rsidRPr="002B202E" w:rsidRDefault="00264980" w:rsidP="00264980">
      <w:pPr>
        <w:pStyle w:val="ListParagraph"/>
        <w:numPr>
          <w:ilvl w:val="0"/>
          <w:numId w:val="48"/>
        </w:numPr>
        <w:tabs>
          <w:tab w:val="left" w:pos="0"/>
          <w:tab w:val="left" w:pos="567"/>
        </w:tabs>
        <w:ind w:left="0" w:firstLine="0"/>
        <w:contextualSpacing/>
        <w:jc w:val="both"/>
        <w:rPr>
          <w:rFonts w:cs="Arial"/>
          <w:lang w:val="es-ES"/>
        </w:rPr>
      </w:pPr>
      <w:r w:rsidRPr="002B202E">
        <w:rPr>
          <w:rFonts w:cs="Arial"/>
          <w:lang w:val="es-ES"/>
        </w:rPr>
        <w:t>Este indicador refleja el tiempo que la Oficina Internacional necesita para tramitar las solicitudes regulares.  El tiempo necesario se calcula según el tiempo transcurrido entre la fecha de recepción de una solicitud y la fecha de su registro.</w:t>
      </w:r>
    </w:p>
    <w:p w:rsidR="00264980" w:rsidRPr="002B202E" w:rsidRDefault="00264980" w:rsidP="00DC1333">
      <w:pPr>
        <w:pStyle w:val="ListParagraph"/>
        <w:tabs>
          <w:tab w:val="left" w:pos="0"/>
          <w:tab w:val="left" w:pos="567"/>
        </w:tabs>
        <w:ind w:left="0"/>
        <w:contextualSpacing/>
        <w:jc w:val="both"/>
        <w:rPr>
          <w:rFonts w:cs="Arial"/>
          <w:lang w:val="es-ES"/>
        </w:rPr>
      </w:pPr>
    </w:p>
    <w:p w:rsidR="00264980" w:rsidRPr="002B202E" w:rsidRDefault="00264980" w:rsidP="00DC1333">
      <w:pPr>
        <w:spacing w:before="120" w:after="240"/>
        <w:jc w:val="center"/>
        <w:rPr>
          <w:sz w:val="20"/>
        </w:rPr>
      </w:pPr>
      <w:r w:rsidRPr="002B202E">
        <w:rPr>
          <w:noProof/>
          <w:sz w:val="20"/>
          <w:lang w:val="en-US" w:eastAsia="en-US"/>
        </w:rPr>
        <w:lastRenderedPageBreak/>
        <w:drawing>
          <wp:inline distT="0" distB="0" distL="0" distR="0" wp14:anchorId="7D4FBBB3" wp14:editId="76E0C513">
            <wp:extent cx="4684699" cy="2708774"/>
            <wp:effectExtent l="0" t="0" r="1905" b="0"/>
            <wp:docPr id="1042" name="Pictur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4689536" cy="2711571"/>
                    </a:xfrm>
                    <a:prstGeom prst="rect">
                      <a:avLst/>
                    </a:prstGeom>
                    <a:noFill/>
                    <a:ln>
                      <a:noFill/>
                    </a:ln>
                  </pic:spPr>
                </pic:pic>
              </a:graphicData>
            </a:graphic>
          </wp:inline>
        </w:drawing>
      </w:r>
    </w:p>
    <w:p w:rsidR="00264980" w:rsidRPr="002B202E" w:rsidRDefault="00264980" w:rsidP="00264980">
      <w:pPr>
        <w:pStyle w:val="ListParagraph"/>
        <w:numPr>
          <w:ilvl w:val="0"/>
          <w:numId w:val="45"/>
        </w:numPr>
        <w:spacing w:after="120"/>
        <w:ind w:left="992" w:hanging="425"/>
        <w:jc w:val="both"/>
        <w:rPr>
          <w:rFonts w:cs="Arial"/>
          <w:lang w:val="es-ES"/>
        </w:rPr>
      </w:pPr>
      <w:r w:rsidRPr="002B202E">
        <w:rPr>
          <w:rFonts w:cs="Arial"/>
          <w:lang w:val="es-ES"/>
        </w:rPr>
        <w:t>En 2015 la proporción de solicitudes regulares tramitadas en un lapso inferior a una semana disminuyó al 25% en comparación con el 45% registrado en 2014.</w:t>
      </w:r>
      <w:r w:rsidR="00925CC6">
        <w:rPr>
          <w:rFonts w:cs="Arial"/>
          <w:lang w:val="es-ES"/>
        </w:rPr>
        <w:t xml:space="preserve">  La proporción media entre </w:t>
      </w:r>
      <w:r w:rsidRPr="002B202E">
        <w:rPr>
          <w:rFonts w:cs="Arial"/>
          <w:lang w:val="es-ES"/>
        </w:rPr>
        <w:t>2011 y 2015 fue del 27%.</w:t>
      </w:r>
    </w:p>
    <w:p w:rsidR="00264980" w:rsidRPr="002B202E" w:rsidRDefault="00264980" w:rsidP="00264980">
      <w:pPr>
        <w:pStyle w:val="ListParagraph"/>
        <w:numPr>
          <w:ilvl w:val="0"/>
          <w:numId w:val="45"/>
        </w:numPr>
        <w:spacing w:after="120"/>
        <w:ind w:left="993" w:hanging="426"/>
        <w:jc w:val="both"/>
        <w:rPr>
          <w:rFonts w:cs="Arial"/>
          <w:lang w:val="es-ES"/>
        </w:rPr>
      </w:pPr>
      <w:r w:rsidRPr="002B202E">
        <w:rPr>
          <w:rFonts w:cs="Arial"/>
          <w:lang w:val="es-ES"/>
        </w:rPr>
        <w:t>En 2014 el 82%</w:t>
      </w:r>
      <w:r w:rsidRPr="002B202E">
        <w:rPr>
          <w:rStyle w:val="FootnoteReference"/>
          <w:rFonts w:cs="Arial"/>
          <w:lang w:val="es-ES"/>
        </w:rPr>
        <w:footnoteReference w:id="46"/>
      </w:r>
      <w:r w:rsidRPr="002B202E">
        <w:rPr>
          <w:rFonts w:cs="Arial"/>
          <w:lang w:val="es-ES"/>
        </w:rPr>
        <w:t xml:space="preserve"> de las solicitudes se tramitaron en un lapso de dos semanas a partir de su fecha de recepción en la Oficina Internacional.  En 2015 el 85% de las solicitudes se tramitaron en un lapso de tres semanas a partir de su fecha de recepción en la Oficina Internacional.</w:t>
      </w:r>
    </w:p>
    <w:p w:rsidR="00264980" w:rsidRPr="002B202E" w:rsidRDefault="00264980">
      <w:pPr>
        <w:rPr>
          <w:sz w:val="20"/>
        </w:rPr>
      </w:pPr>
    </w:p>
    <w:p w:rsidR="00264980" w:rsidRPr="002B202E" w:rsidRDefault="00264980">
      <w:pPr>
        <w:rPr>
          <w:sz w:val="20"/>
        </w:rPr>
      </w:pPr>
    </w:p>
    <w:p w:rsidR="00264980" w:rsidRPr="002B202E" w:rsidRDefault="00264980" w:rsidP="00DC1333">
      <w:pPr>
        <w:jc w:val="right"/>
        <w:rPr>
          <w:sz w:val="20"/>
        </w:rPr>
      </w:pPr>
      <w:r w:rsidRPr="002B202E">
        <w:rPr>
          <w:sz w:val="20"/>
        </w:rPr>
        <w:t>[Fin del Anexo]</w:t>
      </w:r>
    </w:p>
    <w:p w:rsidR="00391528" w:rsidRDefault="00391528">
      <w:pPr>
        <w:rPr>
          <w:sz w:val="20"/>
        </w:rPr>
      </w:pPr>
      <w:r>
        <w:rPr>
          <w:sz w:val="20"/>
        </w:rPr>
        <w:br w:type="page"/>
      </w:r>
    </w:p>
    <w:p w:rsidR="001836E6" w:rsidRPr="00526311" w:rsidRDefault="001836E6" w:rsidP="00DC1333">
      <w:pPr>
        <w:pStyle w:val="Heading2"/>
        <w:tabs>
          <w:tab w:val="left" w:pos="2410"/>
        </w:tabs>
        <w:rPr>
          <w:b/>
        </w:rPr>
      </w:pPr>
      <w:bookmarkStart w:id="90" w:name="_Toc422927413"/>
      <w:bookmarkStart w:id="91" w:name="_Toc455159081"/>
      <w:r w:rsidRPr="00526311">
        <w:rPr>
          <w:b/>
        </w:rPr>
        <w:lastRenderedPageBreak/>
        <w:t>PROGRAMA 7</w:t>
      </w:r>
      <w:r w:rsidRPr="00526311">
        <w:rPr>
          <w:b/>
        </w:rPr>
        <w:tab/>
        <w:t>ARBITRAJE, MEDIACIÓN Y NOMBRES DE DOMINIO</w:t>
      </w:r>
      <w:bookmarkEnd w:id="90"/>
      <w:bookmarkEnd w:id="91"/>
    </w:p>
    <w:p w:rsidR="001836E6" w:rsidRPr="00526311" w:rsidRDefault="001836E6" w:rsidP="00DC1333">
      <w:pPr>
        <w:tabs>
          <w:tab w:val="left" w:pos="2552"/>
        </w:tabs>
        <w:rPr>
          <w:sz w:val="20"/>
        </w:rPr>
      </w:pPr>
    </w:p>
    <w:p w:rsidR="001836E6" w:rsidRPr="00526311" w:rsidRDefault="001836E6" w:rsidP="00DC1333">
      <w:pPr>
        <w:tabs>
          <w:tab w:val="left" w:pos="2410"/>
        </w:tabs>
        <w:rPr>
          <w:b/>
          <w:sz w:val="20"/>
        </w:rPr>
      </w:pPr>
      <w:r w:rsidRPr="00526311">
        <w:rPr>
          <w:b/>
          <w:sz w:val="20"/>
        </w:rPr>
        <w:t>Director de programa</w:t>
      </w:r>
      <w:r w:rsidRPr="00526311">
        <w:rPr>
          <w:sz w:val="20"/>
        </w:rPr>
        <w:tab/>
      </w:r>
      <w:r w:rsidRPr="00526311">
        <w:rPr>
          <w:b/>
          <w:sz w:val="20"/>
        </w:rPr>
        <w:t>Sr. J. Sandage</w:t>
      </w:r>
    </w:p>
    <w:p w:rsidR="001836E6" w:rsidRPr="00526311" w:rsidRDefault="001836E6" w:rsidP="00DC1333">
      <w:pPr>
        <w:rPr>
          <w:sz w:val="20"/>
        </w:rPr>
      </w:pPr>
    </w:p>
    <w:p w:rsidR="001836E6" w:rsidRPr="00526311" w:rsidRDefault="001836E6" w:rsidP="00DC1333">
      <w:pPr>
        <w:rPr>
          <w:sz w:val="20"/>
        </w:rPr>
      </w:pPr>
    </w:p>
    <w:p w:rsidR="001836E6" w:rsidRPr="00526311" w:rsidRDefault="008F7CBE" w:rsidP="00DC1333">
      <w:pPr>
        <w:rPr>
          <w:bCs/>
          <w:szCs w:val="22"/>
        </w:rPr>
      </w:pPr>
      <w:r w:rsidRPr="008F7CBE">
        <w:rPr>
          <w:bCs/>
          <w:sz w:val="20"/>
          <w:szCs w:val="22"/>
        </w:rPr>
        <w:t>LOGROS ALCANZADOS EN EL BIENIO 2014/15</w:t>
      </w:r>
    </w:p>
    <w:p w:rsidR="001836E6" w:rsidRPr="00526311" w:rsidRDefault="001836E6" w:rsidP="00DC1333">
      <w:pPr>
        <w:pStyle w:val="ListParagraph"/>
        <w:tabs>
          <w:tab w:val="left" w:pos="709"/>
        </w:tabs>
        <w:ind w:left="0"/>
        <w:jc w:val="both"/>
        <w:rPr>
          <w:rFonts w:cs="Arial"/>
          <w:lang w:val="es-ES"/>
        </w:rPr>
      </w:pPr>
    </w:p>
    <w:p w:rsidR="001836E6" w:rsidRPr="00526311" w:rsidRDefault="001836E6" w:rsidP="001836E6">
      <w:pPr>
        <w:pStyle w:val="ListParagraph"/>
        <w:numPr>
          <w:ilvl w:val="0"/>
          <w:numId w:val="49"/>
        </w:numPr>
        <w:tabs>
          <w:tab w:val="left" w:pos="709"/>
        </w:tabs>
        <w:ind w:left="0" w:firstLine="0"/>
        <w:jc w:val="both"/>
        <w:rPr>
          <w:rFonts w:cs="Arial"/>
          <w:lang w:val="es-ES"/>
        </w:rPr>
      </w:pPr>
      <w:r w:rsidRPr="00526311">
        <w:rPr>
          <w:rFonts w:cs="Arial"/>
          <w:lang w:val="es-ES"/>
        </w:rPr>
        <w:t>El Centro de Arbitraje y Mediación de la OMPI (“el Centro”) es reconocido como centro de recursos a nivel mundial que ofrece alternativas puntuales y eficaces en función de los costos a los procedimientos judiciales de controversias sobre P.I.</w:t>
      </w:r>
      <w:r>
        <w:rPr>
          <w:rFonts w:cs="Arial"/>
          <w:lang w:val="es-ES"/>
        </w:rPr>
        <w:t xml:space="preserve"> y nombres de dominios de Internet</w:t>
      </w:r>
      <w:r w:rsidRPr="00526311">
        <w:rPr>
          <w:rFonts w:cs="Arial"/>
          <w:lang w:val="es-ES"/>
        </w:rPr>
        <w:t xml:space="preserve">, presta asesoramiento en cuestiones jurídicas y de organización y se ocupa de administrar las demandas.  </w:t>
      </w:r>
      <w:r>
        <w:rPr>
          <w:rFonts w:cs="Arial"/>
          <w:lang w:val="es-ES"/>
        </w:rPr>
        <w:t>La solución eficaz de las controversias facilita la protección jurídica y la utilización productiva de la P.I. a nivel internacional</w:t>
      </w:r>
      <w:r w:rsidRPr="00526311">
        <w:rPr>
          <w:rFonts w:cs="Arial"/>
          <w:lang w:val="es-ES"/>
        </w:rPr>
        <w:t>.</w:t>
      </w:r>
    </w:p>
    <w:p w:rsidR="001836E6" w:rsidRPr="00526311" w:rsidRDefault="001836E6" w:rsidP="00DC1333"/>
    <w:p w:rsidR="001836E6" w:rsidRPr="00526311" w:rsidRDefault="001836E6" w:rsidP="001836E6">
      <w:pPr>
        <w:pStyle w:val="ListParagraph"/>
        <w:numPr>
          <w:ilvl w:val="0"/>
          <w:numId w:val="49"/>
        </w:numPr>
        <w:tabs>
          <w:tab w:val="left" w:pos="709"/>
        </w:tabs>
        <w:ind w:left="0" w:firstLine="0"/>
        <w:jc w:val="both"/>
        <w:rPr>
          <w:rFonts w:cs="Arial"/>
          <w:lang w:val="es-ES"/>
        </w:rPr>
      </w:pPr>
      <w:r w:rsidRPr="00526311">
        <w:rPr>
          <w:rFonts w:cs="Arial"/>
          <w:lang w:val="es-ES"/>
        </w:rPr>
        <w:t>El Centro gestionó de forma activa las demandas presentadas ante la OMPI utilizando una infraestructura actualizada de administración de los procedimientos, en particular el mecanismo de la OMPI para la gestión electrónica de las demandas (ECAF).  Tras varias consultas internacionales, el</w:t>
      </w:r>
      <w:r>
        <w:rPr>
          <w:rFonts w:cs="Arial"/>
          <w:lang w:val="es-ES"/>
        </w:rPr>
        <w:t xml:space="preserve"> Centro elaboró</w:t>
      </w:r>
      <w:r w:rsidRPr="00526311">
        <w:rPr>
          <w:rFonts w:cs="Arial"/>
          <w:lang w:val="es-ES"/>
        </w:rPr>
        <w:t xml:space="preserve"> la versión revisad</w:t>
      </w:r>
      <w:r>
        <w:rPr>
          <w:rFonts w:cs="Arial"/>
          <w:lang w:val="es-ES"/>
        </w:rPr>
        <w:t>a del Reglamento de Arbitraje,</w:t>
      </w:r>
      <w:r w:rsidRPr="00526311">
        <w:rPr>
          <w:rFonts w:cs="Arial"/>
          <w:lang w:val="es-ES"/>
        </w:rPr>
        <w:t xml:space="preserve"> Mediación </w:t>
      </w:r>
      <w:r>
        <w:rPr>
          <w:rFonts w:cs="Arial"/>
          <w:lang w:val="es-ES"/>
        </w:rPr>
        <w:t xml:space="preserve">y Decisión de Experto </w:t>
      </w:r>
      <w:r w:rsidRPr="00526311">
        <w:rPr>
          <w:rFonts w:cs="Arial"/>
          <w:lang w:val="es-ES"/>
        </w:rPr>
        <w:t>de la OMPI.</w:t>
      </w:r>
      <w:r w:rsidRPr="00526311">
        <w:rPr>
          <w:rStyle w:val="FootnoteReference"/>
          <w:rFonts w:cs="Arial"/>
          <w:lang w:val="es-ES"/>
        </w:rPr>
        <w:footnoteReference w:id="47"/>
      </w:r>
      <w:r>
        <w:rPr>
          <w:rFonts w:cs="Arial"/>
          <w:lang w:val="es-ES"/>
        </w:rPr>
        <w:t xml:space="preserve">  En este Reglamento </w:t>
      </w:r>
      <w:r w:rsidRPr="00526311">
        <w:rPr>
          <w:rFonts w:cs="Arial"/>
          <w:lang w:val="es-ES"/>
        </w:rPr>
        <w:t>se incorporaron novedades recientes en la solución extrajudicial de controversias, sentando unas bases más adecuadas para los procedimientos que permiten ahorrar tiempo y dinero.</w:t>
      </w:r>
      <w:r>
        <w:rPr>
          <w:rFonts w:cs="Arial"/>
          <w:lang w:val="es-ES"/>
        </w:rPr>
        <w:t xml:space="preserve">  En 2015 la OMPI creó y puso en funcionamiento un generador de cláusulas</w:t>
      </w:r>
      <w:r>
        <w:rPr>
          <w:rStyle w:val="FootnoteReference"/>
          <w:rFonts w:cs="Arial"/>
          <w:lang w:val="es-ES"/>
        </w:rPr>
        <w:footnoteReference w:id="48"/>
      </w:r>
      <w:r>
        <w:rPr>
          <w:rFonts w:cs="Arial"/>
          <w:lang w:val="es-ES"/>
        </w:rPr>
        <w:t xml:space="preserve"> basándose en su experiencia en la administración de los procedimientos.  Además, el Centro celebró actos de arbitraje y mediación a medida.</w:t>
      </w:r>
    </w:p>
    <w:p w:rsidR="001836E6" w:rsidRPr="00526311" w:rsidRDefault="001836E6" w:rsidP="00DC1333">
      <w:pPr>
        <w:pStyle w:val="ListParagraph"/>
        <w:tabs>
          <w:tab w:val="left" w:pos="709"/>
        </w:tabs>
        <w:ind w:left="0"/>
        <w:jc w:val="both"/>
        <w:rPr>
          <w:rFonts w:cs="Arial"/>
          <w:lang w:val="es-ES"/>
        </w:rPr>
      </w:pPr>
    </w:p>
    <w:p w:rsidR="001836E6" w:rsidRPr="00526311" w:rsidRDefault="001836E6" w:rsidP="001836E6">
      <w:pPr>
        <w:pStyle w:val="ListParagraph"/>
        <w:numPr>
          <w:ilvl w:val="0"/>
          <w:numId w:val="49"/>
        </w:numPr>
        <w:tabs>
          <w:tab w:val="left" w:pos="709"/>
        </w:tabs>
        <w:ind w:left="0" w:firstLine="0"/>
        <w:jc w:val="both"/>
        <w:rPr>
          <w:rFonts w:cs="Arial"/>
          <w:lang w:val="es-ES"/>
        </w:rPr>
      </w:pPr>
      <w:r w:rsidRPr="00526311">
        <w:rPr>
          <w:rFonts w:cs="Arial"/>
          <w:lang w:val="es-ES"/>
        </w:rPr>
        <w:t>Los tribunales nacionales y las autoridades en materia de competencia de algunas jurisdicciones han alentado a las partes involucradas en controversias relativas a normas técnicas que guardan relación con las patentes de telecomunicaciones en varias jurisdicciones</w:t>
      </w:r>
      <w:r>
        <w:rPr>
          <w:rFonts w:cs="Arial"/>
          <w:lang w:val="es-ES"/>
        </w:rPr>
        <w:t>,</w:t>
      </w:r>
      <w:r w:rsidRPr="00526311">
        <w:rPr>
          <w:rFonts w:cs="Arial"/>
          <w:lang w:val="es-ES"/>
        </w:rPr>
        <w:t xml:space="preserve"> a que resuelvan dichas controversias mediante </w:t>
      </w:r>
      <w:r>
        <w:rPr>
          <w:rFonts w:cs="Arial"/>
          <w:lang w:val="es-ES"/>
        </w:rPr>
        <w:t>la solución extrajudicial de controversias.</w:t>
      </w:r>
      <w:r w:rsidRPr="00526311">
        <w:rPr>
          <w:rFonts w:cs="Arial"/>
          <w:lang w:val="es-ES"/>
        </w:rPr>
        <w:t xml:space="preserve">  </w:t>
      </w:r>
      <w:r>
        <w:rPr>
          <w:rFonts w:cs="Arial"/>
          <w:lang w:val="es-ES"/>
        </w:rPr>
        <w:t xml:space="preserve">A raíz de la colaboración con varias organizaciones normativas, en especial el </w:t>
      </w:r>
      <w:r w:rsidRPr="00892070">
        <w:rPr>
          <w:rStyle w:val="preferred"/>
          <w:lang w:val="es-ES"/>
        </w:rPr>
        <w:t>Instituto Europeo de Normas de Telecomunicaciones</w:t>
      </w:r>
      <w:r w:rsidRPr="00526311">
        <w:rPr>
          <w:rFonts w:cs="Arial"/>
          <w:lang w:val="es-ES"/>
        </w:rPr>
        <w:t xml:space="preserve"> </w:t>
      </w:r>
      <w:r>
        <w:rPr>
          <w:rFonts w:cs="Arial"/>
          <w:lang w:val="es-ES"/>
        </w:rPr>
        <w:t xml:space="preserve">(ETSI) y el Instituto de Ingenieros Electricistas y Electrónicos, </w:t>
      </w:r>
      <w:r w:rsidRPr="00526311">
        <w:rPr>
          <w:rFonts w:cs="Arial"/>
          <w:lang w:val="es-ES"/>
        </w:rPr>
        <w:t xml:space="preserve">en </w:t>
      </w:r>
      <w:r>
        <w:rPr>
          <w:rFonts w:cs="Arial"/>
          <w:lang w:val="es-ES"/>
        </w:rPr>
        <w:t xml:space="preserve">el bienio </w:t>
      </w:r>
      <w:r w:rsidRPr="00526311">
        <w:rPr>
          <w:rFonts w:cs="Arial"/>
          <w:lang w:val="es-ES"/>
        </w:rPr>
        <w:t>2014</w:t>
      </w:r>
      <w:r>
        <w:rPr>
          <w:rFonts w:cs="Arial"/>
          <w:lang w:val="es-ES"/>
        </w:rPr>
        <w:t>/15</w:t>
      </w:r>
      <w:r w:rsidRPr="00526311">
        <w:rPr>
          <w:rFonts w:cs="Arial"/>
          <w:lang w:val="es-ES"/>
        </w:rPr>
        <w:t xml:space="preserve"> se produjo un aumento del número de consultas de las partes en relación con el uso de acuerdos tipo de la OMPI que sirven de referencia para controversias relativas a la aplicación de condiciones justas, razonables y no discriminatorias que se sometan conforme al Reglamento de Mediación y al Reglamento de Arbitraje de la OMPI</w:t>
      </w:r>
      <w:r>
        <w:rPr>
          <w:rFonts w:cs="Arial"/>
          <w:lang w:val="es-ES"/>
        </w:rPr>
        <w:t>.</w:t>
      </w:r>
    </w:p>
    <w:p w:rsidR="001836E6" w:rsidRPr="00526311" w:rsidRDefault="001836E6" w:rsidP="00DC1333"/>
    <w:p w:rsidR="001836E6" w:rsidRDefault="001836E6" w:rsidP="001836E6">
      <w:pPr>
        <w:pStyle w:val="ListParagraph"/>
        <w:numPr>
          <w:ilvl w:val="0"/>
          <w:numId w:val="49"/>
        </w:numPr>
        <w:tabs>
          <w:tab w:val="left" w:pos="709"/>
        </w:tabs>
        <w:ind w:left="0" w:firstLine="0"/>
        <w:jc w:val="both"/>
        <w:rPr>
          <w:rFonts w:cs="Arial"/>
          <w:lang w:val="es-ES"/>
        </w:rPr>
      </w:pPr>
      <w:r>
        <w:rPr>
          <w:rFonts w:cs="Arial"/>
          <w:lang w:val="es-ES"/>
        </w:rPr>
        <w:t>Durante el bienio se suscribieron</w:t>
      </w:r>
      <w:r w:rsidRPr="00526311">
        <w:rPr>
          <w:rFonts w:cs="Arial"/>
          <w:lang w:val="es-ES"/>
        </w:rPr>
        <w:t xml:space="preserve"> memorandos de entendimiento con la Dirección Nacional de Derecho de Autor de Colombia (DNDA), la Dirección General de Derechos de Propiedad Intelectual de Indonesia (DGIPR), el Instituto Mexicano de Propiedad Industrial (IMPI) y la Oficina de Propiedad Intelectual de Filipinas (IPOPHL), que se añaden a la lista existente de colaboraciones con Estados miembros.  Esas colaboraciones tienen que ver con el desarrollo de marcos facultativos de solución extrajudicial de controversias que proporcionan a las partes opciones flexibles y eficaces en función de los costos para resolver sus controversias ante dichas Oficinas en relación con solicitudes pendientes o derechos concedidos.</w:t>
      </w:r>
      <w:r>
        <w:rPr>
          <w:rFonts w:cs="Arial"/>
          <w:lang w:val="es-ES"/>
        </w:rPr>
        <w:t xml:space="preserve">  En 2015 l</w:t>
      </w:r>
      <w:r w:rsidRPr="00400C49">
        <w:rPr>
          <w:rFonts w:cs="Arial"/>
          <w:lang w:val="es-ES"/>
        </w:rPr>
        <w:t>a Oficina de Patentes y Marcas de los Estados Unidos (USPTO) incluyó al Centro de la OMPI en su lista de proveedores de servicios</w:t>
      </w:r>
      <w:r>
        <w:rPr>
          <w:rFonts w:cs="Arial"/>
          <w:lang w:val="es-ES"/>
        </w:rPr>
        <w:t xml:space="preserve"> </w:t>
      </w:r>
      <w:r w:rsidRPr="00400C49">
        <w:rPr>
          <w:rFonts w:cs="Arial"/>
          <w:lang w:val="es-ES"/>
        </w:rPr>
        <w:t>de solución extrajudicial de controversias</w:t>
      </w:r>
      <w:r>
        <w:rPr>
          <w:rFonts w:cs="Arial"/>
          <w:lang w:val="es-ES"/>
        </w:rPr>
        <w:t xml:space="preserve"> a los que se puede recurrir para solucionar este tipo de controversias.</w:t>
      </w:r>
    </w:p>
    <w:p w:rsidR="001836E6" w:rsidRPr="00C834FF" w:rsidRDefault="001836E6" w:rsidP="00DC1333">
      <w:pPr>
        <w:pStyle w:val="ListParagraph"/>
        <w:ind w:left="0"/>
        <w:rPr>
          <w:rFonts w:cs="Arial"/>
          <w:lang w:val="es-ES"/>
        </w:rPr>
      </w:pPr>
    </w:p>
    <w:p w:rsidR="001836E6" w:rsidRPr="00C834FF" w:rsidRDefault="001836E6" w:rsidP="001836E6">
      <w:pPr>
        <w:pStyle w:val="ListParagraph"/>
        <w:numPr>
          <w:ilvl w:val="0"/>
          <w:numId w:val="49"/>
        </w:numPr>
        <w:tabs>
          <w:tab w:val="left" w:pos="709"/>
        </w:tabs>
        <w:ind w:left="0" w:firstLine="0"/>
        <w:jc w:val="both"/>
        <w:rPr>
          <w:rFonts w:cs="Arial"/>
          <w:lang w:val="es-ES"/>
        </w:rPr>
      </w:pPr>
      <w:r>
        <w:rPr>
          <w:rFonts w:cs="Arial"/>
          <w:lang w:val="es-ES"/>
        </w:rPr>
        <w:t>El Centro estableció una colaboración con la Asociación Brasileña de Franquicias (ABF), la Asociación Española de Franquiciadores (AEF) y la Asociación Suiza de la Franquicia, y ayudó en el desarrollo de acuerdos modelo de I+D, con inclusión de cláusulas de solución extrajudicial de controversias del Ministerio de Economía y Tecnología de Alemania y la Oficina Española de Patentes y Marcas (OEPM).  El Centro de la OMPI ha creado asimismo un procedimiento de urgencia para la solución de controversias sobre P.I. que surjan en las ferias comerciales, que se utilizó por primera vez en el Salón Internacional del Automóvil de Ginebra de 2015.</w:t>
      </w:r>
    </w:p>
    <w:p w:rsidR="001836E6" w:rsidRPr="00526311" w:rsidRDefault="001836E6" w:rsidP="00DC1333"/>
    <w:p w:rsidR="001836E6" w:rsidRPr="00526311" w:rsidRDefault="001836E6" w:rsidP="001836E6">
      <w:pPr>
        <w:pStyle w:val="ListParagraph"/>
        <w:numPr>
          <w:ilvl w:val="0"/>
          <w:numId w:val="49"/>
        </w:numPr>
        <w:tabs>
          <w:tab w:val="left" w:pos="709"/>
        </w:tabs>
        <w:ind w:left="0" w:firstLine="0"/>
        <w:jc w:val="both"/>
        <w:rPr>
          <w:rFonts w:cs="Arial"/>
          <w:lang w:val="es-ES"/>
        </w:rPr>
      </w:pPr>
      <w:r w:rsidRPr="00526311">
        <w:rPr>
          <w:rFonts w:cs="Arial"/>
          <w:lang w:val="es-ES"/>
        </w:rPr>
        <w:t xml:space="preserve">El Centro siguió desempeñando una función de liderazgo en la elaboración de mecanismos de solución extrajudicial de controversias en relación con el uso no autorizado de la P.I. en Internet.  </w:t>
      </w:r>
      <w:r>
        <w:rPr>
          <w:rFonts w:cs="Arial"/>
          <w:lang w:val="es-ES"/>
        </w:rPr>
        <w:t xml:space="preserve">Esto permitió afrontar en particular la introducción, aún en curso, de </w:t>
      </w:r>
      <w:r w:rsidRPr="00526311">
        <w:rPr>
          <w:rFonts w:cs="Arial"/>
          <w:lang w:val="es-ES"/>
        </w:rPr>
        <w:t xml:space="preserve">hasta 1.400 nuevos dominios genéricos </w:t>
      </w:r>
      <w:r w:rsidRPr="00526311">
        <w:rPr>
          <w:rFonts w:cs="Arial"/>
          <w:lang w:val="es-ES"/>
        </w:rPr>
        <w:lastRenderedPageBreak/>
        <w:t>de nivel superior (</w:t>
      </w:r>
      <w:proofErr w:type="spellStart"/>
      <w:r w:rsidRPr="00526311">
        <w:rPr>
          <w:rFonts w:cs="Arial"/>
          <w:lang w:val="es-ES"/>
        </w:rPr>
        <w:t>gTLD</w:t>
      </w:r>
      <w:proofErr w:type="spellEnd"/>
      <w:r w:rsidRPr="00526311">
        <w:rPr>
          <w:rFonts w:cs="Arial"/>
          <w:lang w:val="es-ES"/>
        </w:rPr>
        <w:t>)</w:t>
      </w:r>
      <w:r>
        <w:rPr>
          <w:rFonts w:cs="Arial"/>
          <w:lang w:val="es-ES"/>
        </w:rPr>
        <w:t xml:space="preserve"> por la </w:t>
      </w:r>
      <w:r w:rsidRPr="00526311">
        <w:rPr>
          <w:rFonts w:cs="Arial"/>
          <w:lang w:val="es-ES"/>
        </w:rPr>
        <w:t>Corporación para la Asignación de Nombres y Números en Internet (ICANN)</w:t>
      </w:r>
      <w:r>
        <w:rPr>
          <w:rFonts w:cs="Arial"/>
          <w:lang w:val="es-ES"/>
        </w:rPr>
        <w:t>.  En 2014</w:t>
      </w:r>
      <w:r w:rsidRPr="00526311">
        <w:rPr>
          <w:rFonts w:cs="Arial"/>
          <w:lang w:val="es-ES"/>
        </w:rPr>
        <w:t xml:space="preserve"> el Centro aplicó el procedimiento de la ICANN de solución de controversias para la etapa posterior a la adjudicación, un mecanismo centrado en las marcas </w:t>
      </w:r>
      <w:r>
        <w:rPr>
          <w:rFonts w:cs="Arial"/>
          <w:lang w:val="es-ES"/>
        </w:rPr>
        <w:t>que se adoptó en 2013 a fin de</w:t>
      </w:r>
      <w:r w:rsidRPr="00526311">
        <w:rPr>
          <w:rFonts w:cs="Arial"/>
          <w:lang w:val="es-ES"/>
        </w:rPr>
        <w:t xml:space="preserve"> fomentar una actitud responsable por parte del administrador del registro una vez que el dominio de que se trate pase a estar operativo.</w:t>
      </w:r>
      <w:r>
        <w:rPr>
          <w:rFonts w:cs="Arial"/>
          <w:lang w:val="es-ES"/>
        </w:rPr>
        <w:t xml:space="preserve">  El Centro contribuyó además a las disposiciones relativas al bloqueo por el registrador presentes en la </w:t>
      </w:r>
      <w:r w:rsidRPr="00526311">
        <w:rPr>
          <w:rFonts w:cs="Arial"/>
          <w:lang w:val="es-ES"/>
        </w:rPr>
        <w:t>Política Uniforme de Solución de Controversias en materia de Nombres de Dominio (Política Uniforme)</w:t>
      </w:r>
      <w:r>
        <w:rPr>
          <w:rFonts w:cs="Arial"/>
          <w:lang w:val="es-ES"/>
        </w:rPr>
        <w:t>.</w:t>
      </w:r>
    </w:p>
    <w:p w:rsidR="001836E6" w:rsidRPr="00526311" w:rsidRDefault="001836E6" w:rsidP="00DC1333">
      <w:pPr>
        <w:pStyle w:val="ListParagraph"/>
        <w:tabs>
          <w:tab w:val="left" w:pos="709"/>
        </w:tabs>
        <w:ind w:left="0"/>
        <w:jc w:val="both"/>
        <w:rPr>
          <w:rFonts w:cs="Arial"/>
          <w:lang w:val="es-ES"/>
        </w:rPr>
      </w:pPr>
    </w:p>
    <w:p w:rsidR="001836E6" w:rsidRPr="00526311" w:rsidRDefault="001836E6" w:rsidP="001836E6">
      <w:pPr>
        <w:pStyle w:val="ListParagraph"/>
        <w:numPr>
          <w:ilvl w:val="0"/>
          <w:numId w:val="49"/>
        </w:numPr>
        <w:tabs>
          <w:tab w:val="left" w:pos="709"/>
        </w:tabs>
        <w:ind w:left="0" w:firstLine="0"/>
        <w:jc w:val="both"/>
        <w:rPr>
          <w:rFonts w:cs="Arial"/>
          <w:lang w:val="es-ES"/>
        </w:rPr>
      </w:pPr>
      <w:r w:rsidRPr="00526311">
        <w:rPr>
          <w:rFonts w:cs="Arial"/>
          <w:lang w:val="es-ES"/>
        </w:rPr>
        <w:t>En el año 2014 se celebró el 15º anive</w:t>
      </w:r>
      <w:r>
        <w:rPr>
          <w:rFonts w:cs="Arial"/>
          <w:lang w:val="es-ES"/>
        </w:rPr>
        <w:t>rsario de la Política Uniforme</w:t>
      </w:r>
      <w:r w:rsidRPr="00526311">
        <w:rPr>
          <w:rFonts w:cs="Arial"/>
          <w:lang w:val="es-ES"/>
        </w:rPr>
        <w:t xml:space="preserve"> elaborada por la OMPI.  Desde que el Centro administrara en 1999 el primer procedimiento con arreglo a la Política Uniforme, el total de demandas p</w:t>
      </w:r>
      <w:r>
        <w:rPr>
          <w:rFonts w:cs="Arial"/>
          <w:lang w:val="es-ES"/>
        </w:rPr>
        <w:t>resentadas ante la OMPI ha sobrepasado la cifra de 33</w:t>
      </w:r>
      <w:r w:rsidRPr="00526311">
        <w:rPr>
          <w:rFonts w:cs="Arial"/>
          <w:lang w:val="es-ES"/>
        </w:rPr>
        <w:t>.000,</w:t>
      </w:r>
      <w:r>
        <w:rPr>
          <w:rStyle w:val="FootnoteReference"/>
          <w:rFonts w:cs="Arial"/>
          <w:lang w:val="es-ES"/>
        </w:rPr>
        <w:footnoteReference w:id="49"/>
      </w:r>
      <w:r w:rsidRPr="00526311">
        <w:rPr>
          <w:rFonts w:cs="Arial"/>
          <w:lang w:val="es-ES"/>
        </w:rPr>
        <w:t xml:space="preserve"> que comprend</w:t>
      </w:r>
      <w:r>
        <w:rPr>
          <w:rFonts w:cs="Arial"/>
          <w:lang w:val="es-ES"/>
        </w:rPr>
        <w:t>e</w:t>
      </w:r>
      <w:r w:rsidRPr="00526311">
        <w:rPr>
          <w:rFonts w:cs="Arial"/>
          <w:lang w:val="es-ES"/>
        </w:rPr>
        <w:t xml:space="preserve">n </w:t>
      </w:r>
      <w:r>
        <w:rPr>
          <w:rFonts w:cs="Arial"/>
          <w:lang w:val="es-ES"/>
        </w:rPr>
        <w:t>más de 61</w:t>
      </w:r>
      <w:r w:rsidRPr="00526311">
        <w:rPr>
          <w:rFonts w:cs="Arial"/>
          <w:lang w:val="es-ES"/>
        </w:rPr>
        <w:t xml:space="preserve">.000 nombres de dominio.  </w:t>
      </w:r>
      <w:r>
        <w:rPr>
          <w:rFonts w:cs="Arial"/>
          <w:lang w:val="es-ES"/>
        </w:rPr>
        <w:t>En 2014</w:t>
      </w:r>
      <w:r w:rsidRPr="00526311">
        <w:rPr>
          <w:rFonts w:cs="Arial"/>
          <w:lang w:val="es-ES"/>
        </w:rPr>
        <w:t xml:space="preserve"> los </w:t>
      </w:r>
      <w:r>
        <w:rPr>
          <w:rFonts w:cs="Arial"/>
          <w:lang w:val="es-ES"/>
        </w:rPr>
        <w:t>titulares</w:t>
      </w:r>
      <w:r w:rsidRPr="00526311">
        <w:rPr>
          <w:rFonts w:cs="Arial"/>
          <w:lang w:val="es-ES"/>
        </w:rPr>
        <w:t xml:space="preserve"> de marcas presentaron ante la OMPI un </w:t>
      </w:r>
      <w:r>
        <w:rPr>
          <w:rFonts w:cs="Arial"/>
          <w:lang w:val="es-ES"/>
        </w:rPr>
        <w:t>1,9</w:t>
      </w:r>
      <w:r w:rsidRPr="00526311">
        <w:rPr>
          <w:rFonts w:cs="Arial"/>
          <w:lang w:val="es-ES"/>
        </w:rPr>
        <w:t>%</w:t>
      </w:r>
      <w:r>
        <w:rPr>
          <w:rFonts w:cs="Arial"/>
          <w:lang w:val="es-ES"/>
        </w:rPr>
        <w:t xml:space="preserve"> más de</w:t>
      </w:r>
      <w:r w:rsidRPr="00526311">
        <w:rPr>
          <w:rFonts w:cs="Arial"/>
          <w:lang w:val="es-ES"/>
        </w:rPr>
        <w:t xml:space="preserve"> demandas por </w:t>
      </w:r>
      <w:proofErr w:type="spellStart"/>
      <w:r w:rsidRPr="00526311">
        <w:rPr>
          <w:rFonts w:cs="Arial"/>
          <w:lang w:val="es-ES"/>
        </w:rPr>
        <w:t>ciberocupación</w:t>
      </w:r>
      <w:proofErr w:type="spellEnd"/>
      <w:r w:rsidRPr="00526311">
        <w:rPr>
          <w:rFonts w:cs="Arial"/>
          <w:lang w:val="es-ES"/>
        </w:rPr>
        <w:t xml:space="preserve"> </w:t>
      </w:r>
      <w:r>
        <w:rPr>
          <w:rFonts w:cs="Arial"/>
          <w:lang w:val="es-ES"/>
        </w:rPr>
        <w:t>relacionadas con supuestas infracciones de sus marcas que en 2013, y en 2015 se registró un nuevo aumento del 4,6% en comparación con 2014</w:t>
      </w:r>
      <w:r w:rsidRPr="00526311">
        <w:rPr>
          <w:rFonts w:cs="Arial"/>
          <w:lang w:val="es-ES"/>
        </w:rPr>
        <w:t xml:space="preserve">.  Entre ellas figuraban las primeras demandas presentadas en virtud de la Política Uniforme en relación con los registros efectuados en los nuevos </w:t>
      </w:r>
      <w:proofErr w:type="spellStart"/>
      <w:r w:rsidRPr="00526311">
        <w:rPr>
          <w:rFonts w:cs="Arial"/>
          <w:lang w:val="es-ES"/>
        </w:rPr>
        <w:t>gTLD</w:t>
      </w:r>
      <w:proofErr w:type="spellEnd"/>
      <w:r>
        <w:rPr>
          <w:rFonts w:cs="Arial"/>
          <w:lang w:val="es-ES"/>
        </w:rPr>
        <w:t>, que representaron el 6,8% de los nombres de dominio que fueron objeto de controversias en 2014/15</w:t>
      </w:r>
      <w:r w:rsidRPr="00526311">
        <w:rPr>
          <w:rFonts w:cs="Arial"/>
          <w:lang w:val="es-ES"/>
        </w:rPr>
        <w:t>.</w:t>
      </w:r>
    </w:p>
    <w:p w:rsidR="001836E6" w:rsidRPr="00526311" w:rsidRDefault="001836E6" w:rsidP="00DC1333"/>
    <w:p w:rsidR="001836E6" w:rsidRPr="00526311" w:rsidRDefault="001836E6" w:rsidP="001836E6">
      <w:pPr>
        <w:pStyle w:val="ListParagraph"/>
        <w:numPr>
          <w:ilvl w:val="0"/>
          <w:numId w:val="49"/>
        </w:numPr>
        <w:tabs>
          <w:tab w:val="left" w:pos="709"/>
        </w:tabs>
        <w:ind w:left="0" w:firstLine="0"/>
        <w:jc w:val="both"/>
        <w:rPr>
          <w:rFonts w:cs="Arial"/>
          <w:lang w:val="es-ES"/>
        </w:rPr>
      </w:pPr>
      <w:r>
        <w:rPr>
          <w:rFonts w:cs="Arial"/>
          <w:lang w:val="es-ES"/>
        </w:rPr>
        <w:t>Durante el bienio e</w:t>
      </w:r>
      <w:r w:rsidRPr="00526311">
        <w:rPr>
          <w:rFonts w:cs="Arial"/>
          <w:lang w:val="es-ES"/>
        </w:rPr>
        <w:t xml:space="preserve">l Centro </w:t>
      </w:r>
      <w:r>
        <w:rPr>
          <w:rFonts w:cs="Arial"/>
          <w:lang w:val="es-ES"/>
        </w:rPr>
        <w:t xml:space="preserve">intercambió mejores prácticas en materia de solución de controversias </w:t>
      </w:r>
      <w:r w:rsidRPr="00526311">
        <w:rPr>
          <w:rFonts w:cs="Arial"/>
          <w:lang w:val="es-ES"/>
        </w:rPr>
        <w:t>con los administradores de dominios de nivel superior correspondientes a códigos de países (</w:t>
      </w:r>
      <w:proofErr w:type="spellStart"/>
      <w:r w:rsidRPr="00526311">
        <w:rPr>
          <w:rFonts w:cs="Arial"/>
          <w:lang w:val="es-ES"/>
        </w:rPr>
        <w:t>ccTLD</w:t>
      </w:r>
      <w:proofErr w:type="spellEnd"/>
      <w:r w:rsidRPr="00526311">
        <w:rPr>
          <w:rFonts w:cs="Arial"/>
          <w:lang w:val="es-ES"/>
        </w:rPr>
        <w:t>) en diferentes regiones.  El Centro pasó a ser proveedor de servicios para los espacios de dominios .GQ (Guinea Ecuatorial)</w:t>
      </w:r>
      <w:r w:rsidRPr="00C231AB">
        <w:rPr>
          <w:rFonts w:cs="Arial"/>
          <w:lang w:val="es-ES"/>
        </w:rPr>
        <w:t xml:space="preserve"> </w:t>
      </w:r>
      <w:r w:rsidRPr="00526311">
        <w:rPr>
          <w:rFonts w:cs="Arial"/>
          <w:lang w:val="es-ES"/>
        </w:rPr>
        <w:t xml:space="preserve">y </w:t>
      </w:r>
      <w:r>
        <w:rPr>
          <w:rFonts w:cs="Arial"/>
          <w:lang w:val="es-ES"/>
        </w:rPr>
        <w:t>.</w:t>
      </w:r>
      <w:r w:rsidRPr="00526311">
        <w:rPr>
          <w:rFonts w:cs="Arial"/>
          <w:lang w:val="es-ES"/>
        </w:rPr>
        <w:t>VG (Islas Vírgenes (británicas))</w:t>
      </w:r>
      <w:r>
        <w:rPr>
          <w:rFonts w:cs="Arial"/>
          <w:lang w:val="es-ES"/>
        </w:rPr>
        <w:t>, con lo que se eleva a 71</w:t>
      </w:r>
      <w:r>
        <w:rPr>
          <w:rStyle w:val="FootnoteReference"/>
          <w:rFonts w:cs="Arial"/>
          <w:lang w:val="es-ES"/>
        </w:rPr>
        <w:footnoteReference w:id="50"/>
      </w:r>
      <w:r w:rsidRPr="00526311">
        <w:rPr>
          <w:rFonts w:cs="Arial"/>
          <w:lang w:val="es-ES"/>
        </w:rPr>
        <w:t xml:space="preserve"> el número de </w:t>
      </w:r>
      <w:proofErr w:type="spellStart"/>
      <w:r w:rsidRPr="00526311">
        <w:rPr>
          <w:rFonts w:cs="Arial"/>
          <w:lang w:val="es-ES"/>
        </w:rPr>
        <w:t>ccTLD</w:t>
      </w:r>
      <w:proofErr w:type="spellEnd"/>
      <w:r w:rsidRPr="00526311">
        <w:rPr>
          <w:rFonts w:cs="Arial"/>
          <w:lang w:val="es-ES"/>
        </w:rPr>
        <w:t xml:space="preserve"> </w:t>
      </w:r>
      <w:r>
        <w:rPr>
          <w:rFonts w:cs="Arial"/>
          <w:lang w:val="es-ES"/>
        </w:rPr>
        <w:t>a</w:t>
      </w:r>
      <w:r w:rsidRPr="00526311">
        <w:rPr>
          <w:rFonts w:cs="Arial"/>
          <w:lang w:val="es-ES"/>
        </w:rPr>
        <w:t xml:space="preserve"> los que la OMPI ofrece dichos servicios.</w:t>
      </w:r>
    </w:p>
    <w:p w:rsidR="001836E6" w:rsidRPr="00526311" w:rsidRDefault="001836E6" w:rsidP="00DC1333"/>
    <w:p w:rsidR="001836E6" w:rsidRPr="00526311" w:rsidRDefault="001836E6" w:rsidP="001836E6">
      <w:pPr>
        <w:pStyle w:val="ListParagraph"/>
        <w:numPr>
          <w:ilvl w:val="0"/>
          <w:numId w:val="49"/>
        </w:numPr>
        <w:tabs>
          <w:tab w:val="left" w:pos="709"/>
        </w:tabs>
        <w:ind w:left="0" w:firstLine="0"/>
        <w:jc w:val="both"/>
        <w:rPr>
          <w:rFonts w:cs="Arial"/>
          <w:lang w:val="es-ES"/>
        </w:rPr>
      </w:pPr>
      <w:r w:rsidRPr="00526311">
        <w:rPr>
          <w:rFonts w:cs="Arial"/>
          <w:lang w:val="es-ES"/>
        </w:rPr>
        <w:t>El diseño, la planificación y la ejecución de las actividades del Centro se basaron y se guiaron por las recomendaciones pertinentes de la Agenda para e</w:t>
      </w:r>
      <w:r>
        <w:rPr>
          <w:rFonts w:cs="Arial"/>
          <w:lang w:val="es-ES"/>
        </w:rPr>
        <w:t>l Desarrollo, en particular las recomendaciones </w:t>
      </w:r>
      <w:r w:rsidRPr="00526311">
        <w:rPr>
          <w:rFonts w:cs="Arial"/>
          <w:lang w:val="es-ES"/>
        </w:rPr>
        <w:t>1, 6 y 10.  A este respecto, el Centro organizó programas de a</w:t>
      </w:r>
      <w:r>
        <w:rPr>
          <w:rFonts w:cs="Arial"/>
          <w:lang w:val="es-ES"/>
        </w:rPr>
        <w:t xml:space="preserve">rbitraje y mediación diseñados </w:t>
      </w:r>
      <w:r w:rsidRPr="00526311">
        <w:rPr>
          <w:rFonts w:cs="Arial"/>
          <w:lang w:val="es-ES"/>
        </w:rPr>
        <w:t xml:space="preserve">específicamente para funcionarios y profesionales del ámbito de la P.I., brindó asistencia a las oficinas de P.I. para establecer marcos optativos de solución extrajudicial de controversias para casos de controversias pendientes, y también ayudó a los administradores de registros de </w:t>
      </w:r>
      <w:proofErr w:type="spellStart"/>
      <w:r w:rsidRPr="00526311">
        <w:rPr>
          <w:rFonts w:cs="Arial"/>
          <w:lang w:val="es-ES"/>
        </w:rPr>
        <w:t>ccTLD</w:t>
      </w:r>
      <w:proofErr w:type="spellEnd"/>
      <w:r w:rsidRPr="00526311">
        <w:rPr>
          <w:rFonts w:cs="Arial"/>
          <w:lang w:val="es-ES"/>
        </w:rPr>
        <w:t xml:space="preserve"> a establecer </w:t>
      </w:r>
      <w:r>
        <w:rPr>
          <w:rFonts w:cs="Arial"/>
          <w:lang w:val="es-ES"/>
        </w:rPr>
        <w:t xml:space="preserve">normas de registro y </w:t>
      </w:r>
      <w:r w:rsidRPr="00526311">
        <w:rPr>
          <w:rFonts w:cs="Arial"/>
          <w:lang w:val="es-ES"/>
        </w:rPr>
        <w:t xml:space="preserve">mecanismos más eficaces de solución de controversias, aplicables a los países en desarrollo y países con economías en transición. </w:t>
      </w:r>
    </w:p>
    <w:p w:rsidR="001836E6" w:rsidRDefault="001836E6" w:rsidP="00DC1333">
      <w:pPr>
        <w:tabs>
          <w:tab w:val="left" w:pos="709"/>
        </w:tabs>
        <w:jc w:val="both"/>
      </w:pPr>
    </w:p>
    <w:p w:rsidR="001836E6" w:rsidRPr="00526311" w:rsidRDefault="001836E6" w:rsidP="00DC1333">
      <w:pPr>
        <w:tabs>
          <w:tab w:val="left" w:pos="709"/>
        </w:tabs>
        <w:jc w:val="both"/>
      </w:pPr>
    </w:p>
    <w:p w:rsidR="001836E6" w:rsidRPr="00526311" w:rsidRDefault="008F7CBE" w:rsidP="001836E6">
      <w:pPr>
        <w:keepNext/>
        <w:jc w:val="both"/>
      </w:pPr>
      <w:r w:rsidRPr="008F7CBE">
        <w:rPr>
          <w:sz w:val="20"/>
        </w:rPr>
        <w:lastRenderedPageBreak/>
        <w:t>DATOS SOBRE EL RENDIMIENTO</w:t>
      </w:r>
    </w:p>
    <w:p w:rsidR="001836E6" w:rsidRPr="00526311" w:rsidRDefault="001836E6" w:rsidP="001836E6">
      <w:pPr>
        <w:keepNext/>
        <w:jc w:val="both"/>
      </w:pPr>
    </w:p>
    <w:tbl>
      <w:tblPr>
        <w:tblW w:w="4888"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34"/>
        <w:gridCol w:w="2264"/>
        <w:gridCol w:w="1703"/>
        <w:gridCol w:w="2122"/>
        <w:gridCol w:w="1134"/>
      </w:tblGrid>
      <w:tr w:rsidR="001836E6" w:rsidRPr="00526311" w:rsidTr="00DC1333">
        <w:trPr>
          <w:cantSplit/>
          <w:trHeight w:val="773"/>
        </w:trPr>
        <w:tc>
          <w:tcPr>
            <w:tcW w:w="4999" w:type="pct"/>
            <w:gridSpan w:val="5"/>
            <w:tcBorders>
              <w:top w:val="single" w:sz="4" w:space="0" w:color="auto"/>
              <w:bottom w:val="single" w:sz="4" w:space="0" w:color="auto"/>
            </w:tcBorders>
            <w:shd w:val="clear" w:color="auto" w:fill="C6D9F1" w:themeFill="text2" w:themeFillTint="33"/>
            <w:vAlign w:val="center"/>
          </w:tcPr>
          <w:p w:rsidR="001836E6" w:rsidRPr="00526311" w:rsidRDefault="001836E6" w:rsidP="001836E6">
            <w:pPr>
              <w:keepNext/>
              <w:ind w:left="2019" w:hanging="2019"/>
              <w:rPr>
                <w:b/>
                <w:bCs/>
                <w:sz w:val="16"/>
                <w:szCs w:val="16"/>
              </w:rPr>
            </w:pPr>
            <w:r w:rsidRPr="00526311">
              <w:rPr>
                <w:b/>
                <w:bCs/>
                <w:sz w:val="16"/>
                <w:szCs w:val="16"/>
              </w:rPr>
              <w:t>Resultado previsto:</w:t>
            </w:r>
            <w:r w:rsidRPr="00526311">
              <w:rPr>
                <w:bCs/>
                <w:sz w:val="16"/>
                <w:szCs w:val="16"/>
              </w:rPr>
              <w:tab/>
              <w:t>II.8 Las controversias nacionales e internacionales en materia de P.I. se evitan o resuelven cada vez con más frecuencia mediante procedimientos de mediación, arbitraje y demás métodos de solución extrajudicial de controversias</w:t>
            </w:r>
          </w:p>
        </w:tc>
      </w:tr>
      <w:tr w:rsidR="001836E6" w:rsidRPr="00526311" w:rsidTr="00DC1333">
        <w:trPr>
          <w:cantSplit/>
        </w:trPr>
        <w:tc>
          <w:tcPr>
            <w:tcW w:w="1140" w:type="pct"/>
            <w:tcBorders>
              <w:top w:val="single" w:sz="4" w:space="0" w:color="auto"/>
            </w:tcBorders>
            <w:shd w:val="clear" w:color="auto" w:fill="auto"/>
            <w:vAlign w:val="center"/>
          </w:tcPr>
          <w:p w:rsidR="001836E6" w:rsidRPr="00526311" w:rsidRDefault="001836E6" w:rsidP="001836E6">
            <w:pPr>
              <w:keepNext/>
              <w:rPr>
                <w:sz w:val="16"/>
                <w:szCs w:val="16"/>
              </w:rPr>
            </w:pPr>
            <w:r w:rsidRPr="00526311">
              <w:rPr>
                <w:b/>
                <w:sz w:val="16"/>
                <w:szCs w:val="16"/>
              </w:rPr>
              <w:t>Indicadores de rendimiento</w:t>
            </w:r>
          </w:p>
        </w:tc>
        <w:tc>
          <w:tcPr>
            <w:tcW w:w="1210" w:type="pct"/>
            <w:tcBorders>
              <w:top w:val="single" w:sz="4" w:space="0" w:color="auto"/>
            </w:tcBorders>
            <w:shd w:val="clear" w:color="auto" w:fill="auto"/>
            <w:vAlign w:val="center"/>
          </w:tcPr>
          <w:p w:rsidR="001836E6" w:rsidRPr="00526311" w:rsidRDefault="001836E6" w:rsidP="001836E6">
            <w:pPr>
              <w:keepNext/>
              <w:rPr>
                <w:b/>
                <w:bCs/>
                <w:sz w:val="16"/>
                <w:szCs w:val="16"/>
              </w:rPr>
            </w:pPr>
            <w:r w:rsidRPr="00526311">
              <w:rPr>
                <w:b/>
                <w:bCs/>
                <w:sz w:val="16"/>
                <w:szCs w:val="16"/>
              </w:rPr>
              <w:t>Referencia</w:t>
            </w:r>
          </w:p>
        </w:tc>
        <w:tc>
          <w:tcPr>
            <w:tcW w:w="910" w:type="pct"/>
            <w:tcBorders>
              <w:top w:val="single" w:sz="4" w:space="0" w:color="auto"/>
            </w:tcBorders>
            <w:shd w:val="clear" w:color="auto" w:fill="auto"/>
            <w:tcMar>
              <w:top w:w="110" w:type="dxa"/>
            </w:tcMar>
            <w:vAlign w:val="center"/>
          </w:tcPr>
          <w:p w:rsidR="001836E6" w:rsidRPr="00526311" w:rsidRDefault="001836E6" w:rsidP="001836E6">
            <w:pPr>
              <w:keepNext/>
              <w:rPr>
                <w:b/>
                <w:sz w:val="16"/>
                <w:szCs w:val="16"/>
              </w:rPr>
            </w:pPr>
            <w:r w:rsidRPr="00526311">
              <w:rPr>
                <w:b/>
                <w:sz w:val="16"/>
                <w:szCs w:val="16"/>
              </w:rPr>
              <w:t>Objetivos</w:t>
            </w:r>
          </w:p>
        </w:tc>
        <w:tc>
          <w:tcPr>
            <w:tcW w:w="1134" w:type="pct"/>
            <w:tcBorders>
              <w:top w:val="single" w:sz="4" w:space="0" w:color="auto"/>
            </w:tcBorders>
            <w:shd w:val="clear" w:color="auto" w:fill="auto"/>
            <w:tcMar>
              <w:top w:w="110" w:type="dxa"/>
            </w:tcMar>
            <w:vAlign w:val="center"/>
          </w:tcPr>
          <w:p w:rsidR="001836E6" w:rsidRPr="00526311" w:rsidRDefault="001836E6" w:rsidP="001836E6">
            <w:pPr>
              <w:keepNext/>
              <w:rPr>
                <w:sz w:val="16"/>
                <w:szCs w:val="16"/>
              </w:rPr>
            </w:pPr>
            <w:r w:rsidRPr="00526311">
              <w:rPr>
                <w:b/>
                <w:sz w:val="16"/>
                <w:szCs w:val="16"/>
              </w:rPr>
              <w:t>Datos sobre el rendimiento</w:t>
            </w:r>
          </w:p>
        </w:tc>
        <w:tc>
          <w:tcPr>
            <w:tcW w:w="605" w:type="pct"/>
            <w:tcBorders>
              <w:top w:val="single" w:sz="4" w:space="0" w:color="auto"/>
            </w:tcBorders>
            <w:shd w:val="clear" w:color="auto" w:fill="auto"/>
            <w:tcMar>
              <w:top w:w="110" w:type="dxa"/>
            </w:tcMar>
            <w:vAlign w:val="center"/>
          </w:tcPr>
          <w:p w:rsidR="001836E6" w:rsidRPr="00526311" w:rsidRDefault="001836E6" w:rsidP="001836E6">
            <w:pPr>
              <w:keepNext/>
              <w:keepLines/>
              <w:ind w:left="-112"/>
              <w:jc w:val="center"/>
              <w:rPr>
                <w:b/>
                <w:bCs/>
                <w:sz w:val="16"/>
                <w:szCs w:val="16"/>
              </w:rPr>
            </w:pPr>
            <w:r w:rsidRPr="00526311">
              <w:rPr>
                <w:b/>
                <w:bCs/>
                <w:sz w:val="16"/>
                <w:szCs w:val="16"/>
              </w:rPr>
              <w:t>Clave de colores</w:t>
            </w:r>
          </w:p>
        </w:tc>
      </w:tr>
      <w:tr w:rsidR="001836E6" w:rsidRPr="00526311" w:rsidTr="00DC1333">
        <w:trPr>
          <w:cantSplit/>
          <w:trHeight w:val="2148"/>
        </w:trPr>
        <w:tc>
          <w:tcPr>
            <w:tcW w:w="1140" w:type="pct"/>
            <w:shd w:val="clear" w:color="auto" w:fill="auto"/>
          </w:tcPr>
          <w:p w:rsidR="001836E6" w:rsidRPr="00526311" w:rsidRDefault="001836E6" w:rsidP="001836E6">
            <w:pPr>
              <w:keepNext/>
              <w:rPr>
                <w:sz w:val="16"/>
                <w:szCs w:val="16"/>
              </w:rPr>
            </w:pPr>
            <w:r w:rsidRPr="00526311">
              <w:rPr>
                <w:sz w:val="16"/>
                <w:szCs w:val="16"/>
              </w:rPr>
              <w:t>Cada vez más se considera la posibilidad de utilizar servicios extrajudiciales de solución de controversias en las transacciones sobre P.I., entre otras cosas, valiéndose de los procedimientos de la OMPI</w:t>
            </w:r>
          </w:p>
        </w:tc>
        <w:tc>
          <w:tcPr>
            <w:tcW w:w="1210" w:type="pct"/>
            <w:shd w:val="clear" w:color="auto" w:fill="auto"/>
          </w:tcPr>
          <w:p w:rsidR="001836E6" w:rsidRPr="00526311" w:rsidRDefault="001836E6" w:rsidP="001836E6">
            <w:pPr>
              <w:keepNext/>
              <w:rPr>
                <w:color w:val="002060"/>
                <w:sz w:val="16"/>
                <w:szCs w:val="16"/>
              </w:rPr>
            </w:pPr>
            <w:r w:rsidRPr="00526311">
              <w:rPr>
                <w:i/>
                <w:color w:val="002060"/>
                <w:sz w:val="16"/>
                <w:szCs w:val="16"/>
              </w:rPr>
              <w:t xml:space="preserve">Referencia actualizada a fines de 2013:  </w:t>
            </w:r>
            <w:r w:rsidRPr="00526311">
              <w:rPr>
                <w:color w:val="002060"/>
                <w:sz w:val="16"/>
                <w:szCs w:val="16"/>
              </w:rPr>
              <w:t xml:space="preserve">375 controversias y 95 buenos oficios (en total al final de 2013) </w:t>
            </w:r>
          </w:p>
          <w:p w:rsidR="001836E6" w:rsidRDefault="001836E6" w:rsidP="001836E6">
            <w:pPr>
              <w:keepNext/>
              <w:rPr>
                <w:color w:val="002060"/>
                <w:sz w:val="16"/>
                <w:szCs w:val="16"/>
              </w:rPr>
            </w:pPr>
          </w:p>
          <w:p w:rsidR="001836E6" w:rsidRDefault="001836E6" w:rsidP="001836E6">
            <w:pPr>
              <w:keepNext/>
              <w:rPr>
                <w:color w:val="002060"/>
                <w:sz w:val="16"/>
                <w:szCs w:val="16"/>
              </w:rPr>
            </w:pPr>
          </w:p>
          <w:p w:rsidR="001836E6" w:rsidRDefault="001836E6" w:rsidP="001836E6">
            <w:pPr>
              <w:keepNext/>
              <w:rPr>
                <w:color w:val="002060"/>
                <w:sz w:val="16"/>
                <w:szCs w:val="16"/>
              </w:rPr>
            </w:pPr>
            <w:r w:rsidRPr="00526311">
              <w:rPr>
                <w:color w:val="002060"/>
                <w:sz w:val="16"/>
                <w:szCs w:val="16"/>
              </w:rPr>
              <w:t>4.000 consultas recibidas (2012/13)</w:t>
            </w:r>
          </w:p>
          <w:p w:rsidR="001836E6" w:rsidRDefault="001836E6" w:rsidP="001836E6">
            <w:pPr>
              <w:keepNext/>
              <w:rPr>
                <w:color w:val="002060"/>
                <w:sz w:val="16"/>
                <w:szCs w:val="16"/>
              </w:rPr>
            </w:pPr>
          </w:p>
          <w:p w:rsidR="001836E6" w:rsidRDefault="001836E6" w:rsidP="001836E6">
            <w:pPr>
              <w:keepNext/>
              <w:rPr>
                <w:color w:val="002060"/>
                <w:sz w:val="16"/>
                <w:szCs w:val="16"/>
              </w:rPr>
            </w:pPr>
            <w:r w:rsidRPr="00526311">
              <w:rPr>
                <w:color w:val="002060"/>
                <w:sz w:val="16"/>
                <w:szCs w:val="16"/>
              </w:rPr>
              <w:t xml:space="preserve">3,5 millones de visitas al sitio web </w:t>
            </w:r>
            <w:r>
              <w:rPr>
                <w:color w:val="002060"/>
                <w:sz w:val="16"/>
                <w:szCs w:val="16"/>
              </w:rPr>
              <w:t>(2012/13)</w:t>
            </w:r>
          </w:p>
          <w:p w:rsidR="001836E6" w:rsidRPr="00526311" w:rsidRDefault="001836E6" w:rsidP="001836E6">
            <w:pPr>
              <w:keepNext/>
              <w:rPr>
                <w:color w:val="002060"/>
                <w:sz w:val="16"/>
                <w:szCs w:val="16"/>
              </w:rPr>
            </w:pPr>
          </w:p>
          <w:p w:rsidR="001836E6" w:rsidRDefault="001836E6" w:rsidP="001836E6">
            <w:pPr>
              <w:keepNext/>
              <w:rPr>
                <w:color w:val="002060"/>
                <w:sz w:val="16"/>
                <w:szCs w:val="16"/>
              </w:rPr>
            </w:pPr>
            <w:r w:rsidRPr="00526311">
              <w:rPr>
                <w:color w:val="002060"/>
                <w:sz w:val="16"/>
                <w:szCs w:val="16"/>
              </w:rPr>
              <w:t>408 participantes en actividades corrientes del Centro (2012/13)</w:t>
            </w:r>
          </w:p>
          <w:p w:rsidR="001836E6" w:rsidRDefault="001836E6" w:rsidP="001836E6">
            <w:pPr>
              <w:keepNext/>
              <w:rPr>
                <w:color w:val="002060"/>
                <w:sz w:val="16"/>
                <w:szCs w:val="16"/>
              </w:rPr>
            </w:pPr>
          </w:p>
          <w:p w:rsidR="001836E6" w:rsidRPr="00526311" w:rsidRDefault="001836E6" w:rsidP="001836E6">
            <w:pPr>
              <w:keepNext/>
              <w:rPr>
                <w:color w:val="002060"/>
                <w:sz w:val="16"/>
                <w:szCs w:val="16"/>
              </w:rPr>
            </w:pPr>
          </w:p>
          <w:p w:rsidR="001836E6" w:rsidRPr="00526311" w:rsidRDefault="001836E6" w:rsidP="001836E6">
            <w:pPr>
              <w:keepNext/>
              <w:rPr>
                <w:color w:val="002060"/>
                <w:sz w:val="16"/>
                <w:szCs w:val="16"/>
                <w:lang w:bidi="th-TH"/>
              </w:rPr>
            </w:pPr>
            <w:r w:rsidRPr="00526311">
              <w:rPr>
                <w:color w:val="002060"/>
                <w:sz w:val="16"/>
                <w:szCs w:val="16"/>
              </w:rPr>
              <w:t>4.000 participantes en reuniones externas del Centro (2012/13)</w:t>
            </w:r>
          </w:p>
          <w:p w:rsidR="001836E6" w:rsidRDefault="001836E6" w:rsidP="001836E6">
            <w:pPr>
              <w:keepNext/>
              <w:rPr>
                <w:i/>
                <w:sz w:val="16"/>
                <w:szCs w:val="16"/>
              </w:rPr>
            </w:pPr>
          </w:p>
          <w:p w:rsidR="001836E6" w:rsidRPr="00526311" w:rsidRDefault="001836E6" w:rsidP="001836E6">
            <w:pPr>
              <w:keepNext/>
              <w:rPr>
                <w:color w:val="002060"/>
                <w:sz w:val="16"/>
                <w:szCs w:val="16"/>
              </w:rPr>
            </w:pPr>
          </w:p>
          <w:p w:rsidR="001836E6" w:rsidRPr="00526311" w:rsidRDefault="001836E6" w:rsidP="001836E6">
            <w:pPr>
              <w:keepNext/>
              <w:rPr>
                <w:sz w:val="16"/>
                <w:szCs w:val="16"/>
              </w:rPr>
            </w:pPr>
          </w:p>
        </w:tc>
        <w:tc>
          <w:tcPr>
            <w:tcW w:w="910" w:type="pct"/>
            <w:shd w:val="clear" w:color="auto" w:fill="auto"/>
            <w:tcMar>
              <w:top w:w="110" w:type="dxa"/>
            </w:tcMar>
          </w:tcPr>
          <w:p w:rsidR="001836E6" w:rsidRPr="00526311" w:rsidRDefault="001836E6" w:rsidP="001836E6">
            <w:pPr>
              <w:keepNext/>
              <w:autoSpaceDE w:val="0"/>
              <w:autoSpaceDN w:val="0"/>
              <w:adjustRightInd w:val="0"/>
              <w:rPr>
                <w:sz w:val="16"/>
                <w:szCs w:val="16"/>
              </w:rPr>
            </w:pPr>
            <w:r w:rsidRPr="00526311">
              <w:rPr>
                <w:sz w:val="16"/>
                <w:szCs w:val="16"/>
              </w:rPr>
              <w:t xml:space="preserve">Otras 40 controversias y buenos oficios </w:t>
            </w:r>
          </w:p>
          <w:p w:rsidR="001836E6" w:rsidRPr="00526311" w:rsidRDefault="001836E6" w:rsidP="001836E6">
            <w:pPr>
              <w:keepNext/>
              <w:autoSpaceDE w:val="0"/>
              <w:autoSpaceDN w:val="0"/>
              <w:adjustRightInd w:val="0"/>
              <w:rPr>
                <w:sz w:val="16"/>
                <w:szCs w:val="16"/>
              </w:rPr>
            </w:pPr>
          </w:p>
          <w:p w:rsidR="001836E6" w:rsidRDefault="001836E6" w:rsidP="001836E6">
            <w:pPr>
              <w:keepNext/>
              <w:autoSpaceDE w:val="0"/>
              <w:autoSpaceDN w:val="0"/>
              <w:adjustRightInd w:val="0"/>
              <w:rPr>
                <w:sz w:val="16"/>
                <w:szCs w:val="16"/>
              </w:rPr>
            </w:pPr>
          </w:p>
          <w:p w:rsidR="001836E6" w:rsidRDefault="001836E6" w:rsidP="001836E6">
            <w:pPr>
              <w:keepNext/>
              <w:autoSpaceDE w:val="0"/>
              <w:autoSpaceDN w:val="0"/>
              <w:adjustRightInd w:val="0"/>
              <w:rPr>
                <w:sz w:val="16"/>
                <w:szCs w:val="16"/>
              </w:rPr>
            </w:pPr>
          </w:p>
          <w:p w:rsidR="001836E6" w:rsidRDefault="001836E6" w:rsidP="001836E6">
            <w:pPr>
              <w:keepNext/>
              <w:autoSpaceDE w:val="0"/>
              <w:autoSpaceDN w:val="0"/>
              <w:adjustRightInd w:val="0"/>
              <w:rPr>
                <w:sz w:val="16"/>
                <w:szCs w:val="16"/>
              </w:rPr>
            </w:pPr>
          </w:p>
          <w:p w:rsidR="001836E6" w:rsidRPr="00526311" w:rsidRDefault="001836E6" w:rsidP="001836E6">
            <w:pPr>
              <w:keepNext/>
              <w:autoSpaceDE w:val="0"/>
              <w:autoSpaceDN w:val="0"/>
              <w:adjustRightInd w:val="0"/>
              <w:rPr>
                <w:sz w:val="16"/>
                <w:szCs w:val="16"/>
              </w:rPr>
            </w:pPr>
            <w:r w:rsidRPr="00526311">
              <w:rPr>
                <w:sz w:val="16"/>
                <w:szCs w:val="16"/>
              </w:rPr>
              <w:t>Otras 4.000 consultas recibidas</w:t>
            </w:r>
          </w:p>
          <w:p w:rsidR="001836E6" w:rsidRPr="00526311" w:rsidRDefault="001836E6" w:rsidP="001836E6">
            <w:pPr>
              <w:keepNext/>
              <w:autoSpaceDE w:val="0"/>
              <w:autoSpaceDN w:val="0"/>
              <w:adjustRightInd w:val="0"/>
              <w:rPr>
                <w:sz w:val="16"/>
                <w:szCs w:val="16"/>
              </w:rPr>
            </w:pPr>
          </w:p>
          <w:p w:rsidR="001836E6" w:rsidRPr="00526311" w:rsidRDefault="001836E6" w:rsidP="001836E6">
            <w:pPr>
              <w:keepNext/>
              <w:autoSpaceDE w:val="0"/>
              <w:autoSpaceDN w:val="0"/>
              <w:adjustRightInd w:val="0"/>
              <w:rPr>
                <w:sz w:val="16"/>
                <w:szCs w:val="16"/>
              </w:rPr>
            </w:pPr>
            <w:r w:rsidRPr="00526311">
              <w:rPr>
                <w:sz w:val="16"/>
                <w:szCs w:val="16"/>
              </w:rPr>
              <w:t xml:space="preserve">Otros 3,5 millones de visitas </w:t>
            </w:r>
          </w:p>
          <w:p w:rsidR="001836E6" w:rsidRPr="00526311" w:rsidRDefault="001836E6" w:rsidP="001836E6">
            <w:pPr>
              <w:keepNext/>
              <w:autoSpaceDE w:val="0"/>
              <w:autoSpaceDN w:val="0"/>
              <w:adjustRightInd w:val="0"/>
              <w:rPr>
                <w:sz w:val="16"/>
                <w:szCs w:val="16"/>
              </w:rPr>
            </w:pPr>
          </w:p>
          <w:p w:rsidR="001836E6" w:rsidRPr="00526311" w:rsidRDefault="001836E6" w:rsidP="001836E6">
            <w:pPr>
              <w:keepNext/>
              <w:autoSpaceDE w:val="0"/>
              <w:autoSpaceDN w:val="0"/>
              <w:adjustRightInd w:val="0"/>
              <w:rPr>
                <w:sz w:val="16"/>
                <w:szCs w:val="16"/>
              </w:rPr>
            </w:pPr>
            <w:r w:rsidRPr="00526311">
              <w:rPr>
                <w:sz w:val="16"/>
                <w:szCs w:val="16"/>
              </w:rPr>
              <w:t>250 participantes en actividades corrientes del Centro</w:t>
            </w:r>
          </w:p>
          <w:p w:rsidR="001836E6" w:rsidRDefault="001836E6" w:rsidP="001836E6">
            <w:pPr>
              <w:keepNext/>
              <w:autoSpaceDE w:val="0"/>
              <w:autoSpaceDN w:val="0"/>
              <w:adjustRightInd w:val="0"/>
              <w:rPr>
                <w:sz w:val="16"/>
                <w:szCs w:val="16"/>
              </w:rPr>
            </w:pPr>
          </w:p>
          <w:p w:rsidR="001836E6" w:rsidRPr="00526311" w:rsidRDefault="001836E6" w:rsidP="001836E6">
            <w:pPr>
              <w:keepNext/>
              <w:autoSpaceDE w:val="0"/>
              <w:autoSpaceDN w:val="0"/>
              <w:adjustRightInd w:val="0"/>
              <w:rPr>
                <w:sz w:val="16"/>
                <w:szCs w:val="16"/>
              </w:rPr>
            </w:pPr>
          </w:p>
          <w:p w:rsidR="001836E6" w:rsidRPr="00526311" w:rsidRDefault="001836E6" w:rsidP="001836E6">
            <w:pPr>
              <w:keepNext/>
              <w:autoSpaceDE w:val="0"/>
              <w:autoSpaceDN w:val="0"/>
              <w:adjustRightInd w:val="0"/>
              <w:rPr>
                <w:sz w:val="16"/>
                <w:szCs w:val="16"/>
              </w:rPr>
            </w:pPr>
            <w:r w:rsidRPr="00526311">
              <w:rPr>
                <w:sz w:val="16"/>
                <w:szCs w:val="16"/>
              </w:rPr>
              <w:t>6.000 participantes en reuniones externas del Centro</w:t>
            </w:r>
          </w:p>
        </w:tc>
        <w:tc>
          <w:tcPr>
            <w:tcW w:w="1134" w:type="pct"/>
            <w:shd w:val="clear" w:color="auto" w:fill="auto"/>
            <w:tcMar>
              <w:top w:w="110" w:type="dxa"/>
            </w:tcMar>
          </w:tcPr>
          <w:p w:rsidR="001836E6" w:rsidRPr="00526311" w:rsidRDefault="001836E6" w:rsidP="001836E6">
            <w:pPr>
              <w:keepNext/>
              <w:rPr>
                <w:sz w:val="16"/>
                <w:szCs w:val="16"/>
                <w:lang w:bidi="th-TH"/>
              </w:rPr>
            </w:pPr>
            <w:r>
              <w:rPr>
                <w:sz w:val="16"/>
                <w:szCs w:val="16"/>
                <w:lang w:bidi="th-TH"/>
              </w:rPr>
              <w:t>Otras 15</w:t>
            </w:r>
            <w:r w:rsidR="005F1818">
              <w:rPr>
                <w:sz w:val="16"/>
                <w:szCs w:val="16"/>
                <w:lang w:bidi="th-TH"/>
              </w:rPr>
              <w:t>3</w:t>
            </w:r>
            <w:r>
              <w:rPr>
                <w:sz w:val="16"/>
                <w:szCs w:val="16"/>
                <w:lang w:bidi="th-TH"/>
              </w:rPr>
              <w:t xml:space="preserve"> controversias y </w:t>
            </w:r>
            <w:r w:rsidRPr="00526311">
              <w:rPr>
                <w:sz w:val="16"/>
                <w:szCs w:val="16"/>
                <w:lang w:bidi="th-TH"/>
              </w:rPr>
              <w:t>buenos of</w:t>
            </w:r>
            <w:r>
              <w:rPr>
                <w:sz w:val="16"/>
                <w:szCs w:val="16"/>
                <w:lang w:bidi="th-TH"/>
              </w:rPr>
              <w:t>icios en 2014/15</w:t>
            </w:r>
            <w:r w:rsidR="005F1818">
              <w:rPr>
                <w:sz w:val="16"/>
                <w:szCs w:val="16"/>
                <w:lang w:bidi="th-TH"/>
              </w:rPr>
              <w:br/>
            </w:r>
          </w:p>
          <w:p w:rsidR="001836E6" w:rsidRDefault="001836E6" w:rsidP="001836E6">
            <w:pPr>
              <w:keepNext/>
              <w:rPr>
                <w:sz w:val="16"/>
                <w:szCs w:val="16"/>
                <w:lang w:bidi="th-TH"/>
              </w:rPr>
            </w:pPr>
            <w:r>
              <w:rPr>
                <w:sz w:val="16"/>
                <w:szCs w:val="16"/>
                <w:lang w:bidi="th-TH"/>
              </w:rPr>
              <w:t>62</w:t>
            </w:r>
            <w:r w:rsidR="005F1818">
              <w:rPr>
                <w:sz w:val="16"/>
                <w:szCs w:val="16"/>
                <w:lang w:bidi="th-TH"/>
              </w:rPr>
              <w:t>3</w:t>
            </w:r>
            <w:r>
              <w:rPr>
                <w:sz w:val="16"/>
                <w:szCs w:val="16"/>
                <w:lang w:bidi="th-TH"/>
              </w:rPr>
              <w:t xml:space="preserve"> controversias y buenos oficios (en total a fin</w:t>
            </w:r>
            <w:r w:rsidR="005F1818">
              <w:rPr>
                <w:sz w:val="16"/>
                <w:szCs w:val="16"/>
                <w:lang w:bidi="th-TH"/>
              </w:rPr>
              <w:t>es</w:t>
            </w:r>
            <w:r>
              <w:rPr>
                <w:sz w:val="16"/>
                <w:szCs w:val="16"/>
                <w:lang w:bidi="th-TH"/>
              </w:rPr>
              <w:t xml:space="preserve"> de 2015)</w:t>
            </w:r>
          </w:p>
          <w:p w:rsidR="001836E6" w:rsidRPr="00526311" w:rsidRDefault="001836E6" w:rsidP="001836E6">
            <w:pPr>
              <w:keepNext/>
              <w:rPr>
                <w:sz w:val="16"/>
                <w:szCs w:val="16"/>
                <w:lang w:bidi="th-TH"/>
              </w:rPr>
            </w:pPr>
          </w:p>
          <w:p w:rsidR="001836E6" w:rsidRPr="00526311" w:rsidRDefault="001836E6" w:rsidP="001836E6">
            <w:pPr>
              <w:keepNext/>
              <w:rPr>
                <w:sz w:val="16"/>
                <w:szCs w:val="16"/>
                <w:lang w:bidi="th-TH"/>
              </w:rPr>
            </w:pPr>
            <w:r>
              <w:rPr>
                <w:sz w:val="16"/>
                <w:szCs w:val="16"/>
                <w:lang w:bidi="th-TH"/>
              </w:rPr>
              <w:t>Otras 7.</w:t>
            </w:r>
            <w:r w:rsidRPr="00526311">
              <w:rPr>
                <w:sz w:val="16"/>
                <w:szCs w:val="16"/>
                <w:lang w:bidi="th-TH"/>
              </w:rPr>
              <w:t>5</w:t>
            </w:r>
            <w:r>
              <w:rPr>
                <w:sz w:val="16"/>
                <w:szCs w:val="16"/>
                <w:lang w:bidi="th-TH"/>
              </w:rPr>
              <w:t>00</w:t>
            </w:r>
            <w:r w:rsidRPr="00526311">
              <w:rPr>
                <w:sz w:val="16"/>
                <w:szCs w:val="16"/>
                <w:lang w:bidi="th-TH"/>
              </w:rPr>
              <w:t xml:space="preserve"> consultas recibidas (2014</w:t>
            </w:r>
            <w:r>
              <w:rPr>
                <w:sz w:val="16"/>
                <w:szCs w:val="16"/>
                <w:lang w:bidi="th-TH"/>
              </w:rPr>
              <w:t>/15</w:t>
            </w:r>
            <w:r w:rsidRPr="00526311">
              <w:rPr>
                <w:sz w:val="16"/>
                <w:szCs w:val="16"/>
                <w:lang w:bidi="th-TH"/>
              </w:rPr>
              <w:t>)</w:t>
            </w:r>
          </w:p>
          <w:p w:rsidR="001836E6" w:rsidRPr="00526311" w:rsidRDefault="001836E6" w:rsidP="001836E6">
            <w:pPr>
              <w:keepNext/>
              <w:rPr>
                <w:sz w:val="16"/>
                <w:szCs w:val="16"/>
                <w:lang w:bidi="th-TH"/>
              </w:rPr>
            </w:pPr>
          </w:p>
          <w:p w:rsidR="001836E6" w:rsidRPr="00526311" w:rsidRDefault="001836E6" w:rsidP="001836E6">
            <w:pPr>
              <w:keepNext/>
              <w:rPr>
                <w:sz w:val="16"/>
                <w:szCs w:val="16"/>
                <w:lang w:bidi="th-TH"/>
              </w:rPr>
            </w:pPr>
          </w:p>
          <w:p w:rsidR="001836E6" w:rsidRPr="00526311" w:rsidRDefault="001836E6" w:rsidP="001836E6">
            <w:pPr>
              <w:keepNext/>
              <w:rPr>
                <w:sz w:val="16"/>
                <w:szCs w:val="16"/>
                <w:lang w:bidi="th-TH"/>
              </w:rPr>
            </w:pPr>
            <w:r>
              <w:rPr>
                <w:sz w:val="16"/>
                <w:szCs w:val="16"/>
                <w:lang w:bidi="th-TH"/>
              </w:rPr>
              <w:t>Otros 3,1</w:t>
            </w:r>
            <w:r w:rsidRPr="00526311">
              <w:rPr>
                <w:sz w:val="16"/>
                <w:szCs w:val="16"/>
                <w:lang w:bidi="th-TH"/>
              </w:rPr>
              <w:t xml:space="preserve"> millones de visitas (2014</w:t>
            </w:r>
            <w:r>
              <w:rPr>
                <w:sz w:val="16"/>
                <w:szCs w:val="16"/>
                <w:lang w:bidi="th-TH"/>
              </w:rPr>
              <w:t>/15</w:t>
            </w:r>
            <w:r w:rsidRPr="00526311">
              <w:rPr>
                <w:sz w:val="16"/>
                <w:szCs w:val="16"/>
                <w:lang w:bidi="th-TH"/>
              </w:rPr>
              <w:t>)</w:t>
            </w:r>
          </w:p>
          <w:p w:rsidR="001836E6" w:rsidRPr="00526311" w:rsidRDefault="001836E6" w:rsidP="001836E6">
            <w:pPr>
              <w:keepNext/>
              <w:rPr>
                <w:sz w:val="16"/>
                <w:szCs w:val="16"/>
                <w:lang w:bidi="th-TH"/>
              </w:rPr>
            </w:pPr>
          </w:p>
          <w:p w:rsidR="001836E6" w:rsidRPr="00526311" w:rsidRDefault="001836E6" w:rsidP="001836E6">
            <w:pPr>
              <w:keepNext/>
              <w:rPr>
                <w:sz w:val="16"/>
                <w:szCs w:val="16"/>
                <w:lang w:bidi="th-TH"/>
              </w:rPr>
            </w:pPr>
            <w:r>
              <w:rPr>
                <w:sz w:val="16"/>
                <w:szCs w:val="16"/>
                <w:lang w:bidi="th-TH"/>
              </w:rPr>
              <w:t>262</w:t>
            </w:r>
            <w:r w:rsidRPr="00526311">
              <w:rPr>
                <w:sz w:val="16"/>
                <w:szCs w:val="16"/>
                <w:lang w:bidi="th-TH"/>
              </w:rPr>
              <w:t xml:space="preserve"> participantes en actividades co</w:t>
            </w:r>
            <w:r>
              <w:rPr>
                <w:sz w:val="16"/>
                <w:szCs w:val="16"/>
                <w:lang w:bidi="th-TH"/>
              </w:rPr>
              <w:t xml:space="preserve">rrientes del Centro </w:t>
            </w:r>
            <w:r w:rsidRPr="00526311">
              <w:rPr>
                <w:sz w:val="16"/>
                <w:szCs w:val="16"/>
                <w:lang w:bidi="th-TH"/>
              </w:rPr>
              <w:t>(2014</w:t>
            </w:r>
            <w:r>
              <w:rPr>
                <w:sz w:val="16"/>
                <w:szCs w:val="16"/>
                <w:lang w:bidi="th-TH"/>
              </w:rPr>
              <w:t>/15</w:t>
            </w:r>
            <w:r w:rsidRPr="00526311">
              <w:rPr>
                <w:sz w:val="16"/>
                <w:szCs w:val="16"/>
                <w:lang w:bidi="th-TH"/>
              </w:rPr>
              <w:t>)</w:t>
            </w:r>
          </w:p>
          <w:p w:rsidR="001836E6" w:rsidRPr="00526311" w:rsidRDefault="001836E6" w:rsidP="001836E6">
            <w:pPr>
              <w:keepNext/>
              <w:rPr>
                <w:sz w:val="16"/>
                <w:szCs w:val="16"/>
                <w:lang w:bidi="th-TH"/>
              </w:rPr>
            </w:pPr>
          </w:p>
          <w:p w:rsidR="001836E6" w:rsidRPr="00526311" w:rsidRDefault="001836E6" w:rsidP="001836E6">
            <w:pPr>
              <w:keepNext/>
              <w:rPr>
                <w:sz w:val="16"/>
                <w:szCs w:val="16"/>
                <w:lang w:bidi="th-TH"/>
              </w:rPr>
            </w:pPr>
          </w:p>
          <w:p w:rsidR="001836E6" w:rsidRPr="00526311" w:rsidRDefault="001836E6" w:rsidP="001836E6">
            <w:pPr>
              <w:keepNext/>
              <w:rPr>
                <w:sz w:val="16"/>
                <w:szCs w:val="16"/>
              </w:rPr>
            </w:pPr>
            <w:r>
              <w:rPr>
                <w:sz w:val="16"/>
                <w:szCs w:val="16"/>
                <w:lang w:bidi="th-TH"/>
              </w:rPr>
              <w:t xml:space="preserve">9.670 participantes </w:t>
            </w:r>
            <w:r w:rsidRPr="00526311">
              <w:rPr>
                <w:sz w:val="16"/>
                <w:szCs w:val="16"/>
                <w:lang w:bidi="th-TH"/>
              </w:rPr>
              <w:t xml:space="preserve">en </w:t>
            </w:r>
            <w:r>
              <w:rPr>
                <w:sz w:val="16"/>
                <w:szCs w:val="16"/>
                <w:lang w:bidi="th-TH"/>
              </w:rPr>
              <w:t xml:space="preserve">reuniones externas del Centro </w:t>
            </w:r>
            <w:r w:rsidRPr="00526311">
              <w:rPr>
                <w:sz w:val="16"/>
                <w:szCs w:val="16"/>
                <w:lang w:bidi="th-TH"/>
              </w:rPr>
              <w:t>(2014</w:t>
            </w:r>
            <w:r>
              <w:rPr>
                <w:sz w:val="16"/>
                <w:szCs w:val="16"/>
                <w:lang w:bidi="th-TH"/>
              </w:rPr>
              <w:t>/15</w:t>
            </w:r>
            <w:r w:rsidRPr="00526311">
              <w:rPr>
                <w:sz w:val="16"/>
                <w:szCs w:val="16"/>
                <w:lang w:bidi="th-TH"/>
              </w:rPr>
              <w:t>)</w:t>
            </w:r>
          </w:p>
        </w:tc>
        <w:tc>
          <w:tcPr>
            <w:tcW w:w="605" w:type="pct"/>
            <w:shd w:val="clear" w:color="auto" w:fill="auto"/>
            <w:tcMar>
              <w:top w:w="110" w:type="dxa"/>
            </w:tcMar>
          </w:tcPr>
          <w:p w:rsidR="001836E6" w:rsidRDefault="001836E6" w:rsidP="001836E6">
            <w:pPr>
              <w:keepNext/>
              <w:keepLines/>
              <w:ind w:left="-112" w:right="-115"/>
              <w:jc w:val="center"/>
              <w:rPr>
                <w:b/>
                <w:bCs/>
                <w:color w:val="00B050"/>
                <w:sz w:val="16"/>
                <w:szCs w:val="16"/>
              </w:rPr>
            </w:pPr>
            <w:r>
              <w:rPr>
                <w:b/>
                <w:bCs/>
                <w:color w:val="00B050"/>
                <w:sz w:val="16"/>
                <w:szCs w:val="16"/>
              </w:rPr>
              <w:t>Plenamente logrado</w:t>
            </w:r>
          </w:p>
          <w:p w:rsidR="001836E6" w:rsidRDefault="001836E6" w:rsidP="001836E6">
            <w:pPr>
              <w:keepNext/>
              <w:keepLines/>
              <w:ind w:left="-112" w:right="-115"/>
              <w:jc w:val="center"/>
              <w:rPr>
                <w:b/>
                <w:bCs/>
                <w:color w:val="00B050"/>
                <w:sz w:val="16"/>
                <w:szCs w:val="16"/>
              </w:rPr>
            </w:pPr>
          </w:p>
          <w:p w:rsidR="001836E6" w:rsidRDefault="001836E6" w:rsidP="001836E6">
            <w:pPr>
              <w:keepNext/>
              <w:keepLines/>
              <w:ind w:left="-112" w:right="-115"/>
              <w:jc w:val="center"/>
              <w:rPr>
                <w:b/>
                <w:bCs/>
                <w:color w:val="00B050"/>
                <w:sz w:val="16"/>
                <w:szCs w:val="16"/>
              </w:rPr>
            </w:pPr>
          </w:p>
          <w:p w:rsidR="001836E6" w:rsidRDefault="001836E6" w:rsidP="001836E6">
            <w:pPr>
              <w:keepNext/>
              <w:keepLines/>
              <w:ind w:left="-112" w:right="-115"/>
              <w:jc w:val="center"/>
              <w:rPr>
                <w:b/>
                <w:bCs/>
                <w:color w:val="00B050"/>
                <w:sz w:val="16"/>
                <w:szCs w:val="16"/>
              </w:rPr>
            </w:pPr>
          </w:p>
          <w:p w:rsidR="001836E6" w:rsidRDefault="001836E6" w:rsidP="001836E6">
            <w:pPr>
              <w:keepNext/>
              <w:keepLines/>
              <w:ind w:left="-112" w:right="-115"/>
              <w:jc w:val="center"/>
              <w:rPr>
                <w:b/>
                <w:bCs/>
                <w:color w:val="00B050"/>
                <w:sz w:val="16"/>
                <w:szCs w:val="16"/>
              </w:rPr>
            </w:pPr>
          </w:p>
          <w:p w:rsidR="001836E6" w:rsidRDefault="001836E6" w:rsidP="001836E6">
            <w:pPr>
              <w:keepNext/>
              <w:keepLines/>
              <w:ind w:left="-112" w:right="-115"/>
              <w:jc w:val="center"/>
              <w:rPr>
                <w:b/>
                <w:bCs/>
                <w:color w:val="00B050"/>
                <w:sz w:val="16"/>
                <w:szCs w:val="16"/>
              </w:rPr>
            </w:pPr>
          </w:p>
          <w:p w:rsidR="001836E6" w:rsidRDefault="001836E6" w:rsidP="001836E6">
            <w:pPr>
              <w:keepNext/>
              <w:keepLines/>
              <w:ind w:left="-112" w:right="-115"/>
              <w:jc w:val="center"/>
              <w:rPr>
                <w:b/>
                <w:bCs/>
                <w:color w:val="00B050"/>
                <w:sz w:val="16"/>
                <w:szCs w:val="16"/>
              </w:rPr>
            </w:pPr>
            <w:r>
              <w:rPr>
                <w:b/>
                <w:bCs/>
                <w:color w:val="00B050"/>
                <w:sz w:val="16"/>
                <w:szCs w:val="16"/>
              </w:rPr>
              <w:t>Plenamente logrado</w:t>
            </w:r>
          </w:p>
          <w:p w:rsidR="001836E6" w:rsidRDefault="001836E6" w:rsidP="001836E6">
            <w:pPr>
              <w:keepNext/>
              <w:keepLines/>
              <w:ind w:left="-112" w:right="-115"/>
              <w:jc w:val="center"/>
              <w:rPr>
                <w:b/>
                <w:bCs/>
                <w:color w:val="00B050"/>
                <w:sz w:val="16"/>
                <w:szCs w:val="16"/>
              </w:rPr>
            </w:pPr>
          </w:p>
          <w:p w:rsidR="001836E6" w:rsidRDefault="001836E6" w:rsidP="001836E6">
            <w:pPr>
              <w:keepNext/>
              <w:keepLines/>
              <w:ind w:left="-112" w:right="-115"/>
              <w:jc w:val="center"/>
              <w:rPr>
                <w:b/>
                <w:bCs/>
                <w:color w:val="00B050"/>
                <w:sz w:val="16"/>
                <w:szCs w:val="16"/>
              </w:rPr>
            </w:pPr>
          </w:p>
          <w:p w:rsidR="001836E6" w:rsidRDefault="001836E6" w:rsidP="001836E6">
            <w:pPr>
              <w:keepNext/>
              <w:keepLines/>
              <w:ind w:left="-112" w:right="-115"/>
              <w:jc w:val="center"/>
              <w:rPr>
                <w:b/>
                <w:bCs/>
                <w:color w:val="00B050"/>
                <w:sz w:val="16"/>
                <w:szCs w:val="16"/>
              </w:rPr>
            </w:pPr>
            <w:r>
              <w:rPr>
                <w:b/>
                <w:bCs/>
                <w:color w:val="00B050"/>
                <w:sz w:val="16"/>
                <w:szCs w:val="16"/>
              </w:rPr>
              <w:t>Plenamente logrado</w:t>
            </w:r>
          </w:p>
          <w:p w:rsidR="001836E6" w:rsidRDefault="001836E6" w:rsidP="001836E6">
            <w:pPr>
              <w:keepNext/>
              <w:keepLines/>
              <w:ind w:left="-112" w:right="-115"/>
              <w:jc w:val="center"/>
              <w:rPr>
                <w:b/>
                <w:bCs/>
                <w:color w:val="00B050"/>
                <w:sz w:val="16"/>
                <w:szCs w:val="16"/>
              </w:rPr>
            </w:pPr>
          </w:p>
          <w:p w:rsidR="001836E6" w:rsidRDefault="001836E6" w:rsidP="001836E6">
            <w:pPr>
              <w:keepNext/>
              <w:keepLines/>
              <w:ind w:left="-112" w:right="-115"/>
              <w:jc w:val="center"/>
              <w:rPr>
                <w:b/>
                <w:bCs/>
                <w:color w:val="00B050"/>
                <w:sz w:val="16"/>
                <w:szCs w:val="16"/>
              </w:rPr>
            </w:pPr>
            <w:r>
              <w:rPr>
                <w:b/>
                <w:bCs/>
                <w:color w:val="00B050"/>
                <w:sz w:val="16"/>
                <w:szCs w:val="16"/>
              </w:rPr>
              <w:t>Plenamente logrado</w:t>
            </w:r>
          </w:p>
          <w:p w:rsidR="001836E6" w:rsidRDefault="001836E6" w:rsidP="001836E6">
            <w:pPr>
              <w:keepNext/>
              <w:keepLines/>
              <w:ind w:left="-112" w:right="-115"/>
              <w:jc w:val="center"/>
              <w:rPr>
                <w:b/>
                <w:bCs/>
                <w:color w:val="00B050"/>
                <w:sz w:val="16"/>
                <w:szCs w:val="16"/>
              </w:rPr>
            </w:pPr>
          </w:p>
          <w:p w:rsidR="001836E6" w:rsidRDefault="001836E6" w:rsidP="001836E6">
            <w:pPr>
              <w:keepNext/>
              <w:keepLines/>
              <w:ind w:left="-112" w:right="-115"/>
              <w:jc w:val="center"/>
              <w:rPr>
                <w:b/>
                <w:bCs/>
                <w:color w:val="00B050"/>
                <w:sz w:val="16"/>
                <w:szCs w:val="16"/>
              </w:rPr>
            </w:pPr>
          </w:p>
          <w:p w:rsidR="001836E6" w:rsidRDefault="001836E6" w:rsidP="001836E6">
            <w:pPr>
              <w:keepNext/>
              <w:keepLines/>
              <w:ind w:left="-112" w:right="-115"/>
              <w:jc w:val="center"/>
              <w:rPr>
                <w:b/>
                <w:bCs/>
                <w:color w:val="00B050"/>
                <w:sz w:val="16"/>
                <w:szCs w:val="16"/>
              </w:rPr>
            </w:pPr>
            <w:r>
              <w:rPr>
                <w:b/>
                <w:bCs/>
                <w:color w:val="00B050"/>
                <w:sz w:val="16"/>
                <w:szCs w:val="16"/>
              </w:rPr>
              <w:t>Plenamente logrado</w:t>
            </w:r>
          </w:p>
          <w:p w:rsidR="001836E6" w:rsidRPr="00526311" w:rsidRDefault="001836E6" w:rsidP="001836E6">
            <w:pPr>
              <w:keepNext/>
              <w:keepLines/>
              <w:ind w:left="-112" w:right="-115"/>
              <w:jc w:val="center"/>
              <w:rPr>
                <w:b/>
                <w:bCs/>
                <w:color w:val="00B050"/>
                <w:sz w:val="16"/>
                <w:szCs w:val="16"/>
              </w:rPr>
            </w:pPr>
          </w:p>
        </w:tc>
      </w:tr>
      <w:tr w:rsidR="001836E6" w:rsidRPr="00526311" w:rsidTr="00DC1333">
        <w:trPr>
          <w:cantSplit/>
        </w:trPr>
        <w:tc>
          <w:tcPr>
            <w:tcW w:w="1140" w:type="pct"/>
            <w:shd w:val="clear" w:color="auto" w:fill="auto"/>
          </w:tcPr>
          <w:p w:rsidR="001836E6" w:rsidRPr="00526311" w:rsidRDefault="001836E6" w:rsidP="00DC1333">
            <w:pPr>
              <w:rPr>
                <w:sz w:val="16"/>
                <w:szCs w:val="16"/>
              </w:rPr>
            </w:pPr>
          </w:p>
        </w:tc>
        <w:tc>
          <w:tcPr>
            <w:tcW w:w="1210" w:type="pct"/>
            <w:shd w:val="clear" w:color="auto" w:fill="auto"/>
          </w:tcPr>
          <w:p w:rsidR="001836E6" w:rsidRDefault="001836E6" w:rsidP="00DC1333">
            <w:pPr>
              <w:rPr>
                <w:i/>
                <w:sz w:val="16"/>
                <w:szCs w:val="16"/>
              </w:rPr>
            </w:pPr>
          </w:p>
          <w:p w:rsidR="001836E6" w:rsidRPr="00526311" w:rsidRDefault="001836E6" w:rsidP="00DC1333">
            <w:pPr>
              <w:rPr>
                <w:sz w:val="16"/>
                <w:szCs w:val="16"/>
              </w:rPr>
            </w:pPr>
            <w:r w:rsidRPr="00526311">
              <w:rPr>
                <w:i/>
                <w:sz w:val="16"/>
                <w:szCs w:val="16"/>
              </w:rPr>
              <w:t xml:space="preserve">Referencia original en el presupuesto de 2014/15:  </w:t>
            </w:r>
            <w:r w:rsidRPr="00526311">
              <w:rPr>
                <w:sz w:val="16"/>
                <w:szCs w:val="16"/>
              </w:rPr>
              <w:t xml:space="preserve">284 controversias y 79 buenos oficios (en total al final de 2012) </w:t>
            </w:r>
          </w:p>
          <w:p w:rsidR="001836E6" w:rsidRPr="00526311" w:rsidRDefault="001836E6" w:rsidP="00DC1333">
            <w:pPr>
              <w:rPr>
                <w:sz w:val="16"/>
                <w:szCs w:val="16"/>
              </w:rPr>
            </w:pPr>
            <w:r w:rsidRPr="00526311">
              <w:rPr>
                <w:sz w:val="16"/>
                <w:szCs w:val="16"/>
              </w:rPr>
              <w:t xml:space="preserve">4.000 consultas recibidas (2010/11) </w:t>
            </w:r>
          </w:p>
          <w:p w:rsidR="001836E6" w:rsidRPr="00526311" w:rsidRDefault="001836E6" w:rsidP="00DC1333">
            <w:pPr>
              <w:rPr>
                <w:sz w:val="16"/>
                <w:szCs w:val="16"/>
              </w:rPr>
            </w:pPr>
            <w:r w:rsidRPr="00526311">
              <w:rPr>
                <w:sz w:val="16"/>
                <w:szCs w:val="16"/>
              </w:rPr>
              <w:t xml:space="preserve">30 millones de visitas al sitio web (en total al final de 2012) </w:t>
            </w:r>
          </w:p>
          <w:p w:rsidR="001836E6" w:rsidRPr="00526311" w:rsidRDefault="001836E6" w:rsidP="00DC1333">
            <w:pPr>
              <w:rPr>
                <w:sz w:val="16"/>
                <w:szCs w:val="16"/>
              </w:rPr>
            </w:pPr>
            <w:r w:rsidRPr="00526311">
              <w:rPr>
                <w:sz w:val="16"/>
                <w:szCs w:val="16"/>
              </w:rPr>
              <w:t xml:space="preserve">276 participantes en actividades corrientes del Centro (2010/11); </w:t>
            </w:r>
          </w:p>
          <w:p w:rsidR="001836E6" w:rsidRPr="00526311" w:rsidRDefault="001836E6" w:rsidP="00DC1333">
            <w:pPr>
              <w:rPr>
                <w:sz w:val="16"/>
                <w:szCs w:val="16"/>
              </w:rPr>
            </w:pPr>
            <w:r w:rsidRPr="00526311">
              <w:rPr>
                <w:sz w:val="16"/>
                <w:szCs w:val="16"/>
              </w:rPr>
              <w:t>3.000 participantes en reuniones externas del Centro (2010/11).</w:t>
            </w:r>
          </w:p>
        </w:tc>
        <w:tc>
          <w:tcPr>
            <w:tcW w:w="910" w:type="pct"/>
            <w:shd w:val="clear" w:color="auto" w:fill="auto"/>
            <w:tcMar>
              <w:top w:w="110" w:type="dxa"/>
            </w:tcMar>
          </w:tcPr>
          <w:p w:rsidR="001836E6" w:rsidRPr="00526311" w:rsidRDefault="001836E6" w:rsidP="00DC1333">
            <w:pPr>
              <w:rPr>
                <w:i/>
                <w:sz w:val="16"/>
                <w:szCs w:val="16"/>
              </w:rPr>
            </w:pPr>
          </w:p>
        </w:tc>
        <w:tc>
          <w:tcPr>
            <w:tcW w:w="1134" w:type="pct"/>
            <w:shd w:val="clear" w:color="auto" w:fill="auto"/>
            <w:tcMar>
              <w:top w:w="110" w:type="dxa"/>
            </w:tcMar>
          </w:tcPr>
          <w:p w:rsidR="001836E6" w:rsidRPr="00526311" w:rsidRDefault="001836E6" w:rsidP="00DC1333">
            <w:pPr>
              <w:rPr>
                <w:sz w:val="16"/>
                <w:szCs w:val="16"/>
              </w:rPr>
            </w:pPr>
          </w:p>
        </w:tc>
        <w:tc>
          <w:tcPr>
            <w:tcW w:w="605" w:type="pct"/>
            <w:shd w:val="clear" w:color="auto" w:fill="auto"/>
            <w:tcMar>
              <w:top w:w="110" w:type="dxa"/>
            </w:tcMar>
          </w:tcPr>
          <w:p w:rsidR="001836E6" w:rsidRPr="00526311" w:rsidRDefault="001836E6" w:rsidP="00DC1333">
            <w:pPr>
              <w:keepNext/>
              <w:keepLines/>
              <w:ind w:left="-112" w:right="-115"/>
              <w:jc w:val="center"/>
              <w:rPr>
                <w:bCs/>
                <w:color w:val="808080"/>
                <w:sz w:val="16"/>
                <w:szCs w:val="16"/>
              </w:rPr>
            </w:pPr>
          </w:p>
        </w:tc>
      </w:tr>
      <w:tr w:rsidR="001836E6" w:rsidRPr="00526311" w:rsidTr="00DC1333">
        <w:trPr>
          <w:cantSplit/>
        </w:trPr>
        <w:tc>
          <w:tcPr>
            <w:tcW w:w="1140" w:type="pct"/>
            <w:tcBorders>
              <w:bottom w:val="single" w:sz="4" w:space="0" w:color="auto"/>
            </w:tcBorders>
            <w:shd w:val="clear" w:color="auto" w:fill="auto"/>
          </w:tcPr>
          <w:p w:rsidR="001836E6" w:rsidRPr="00526311" w:rsidRDefault="001836E6" w:rsidP="00DC1333">
            <w:pPr>
              <w:rPr>
                <w:sz w:val="16"/>
                <w:szCs w:val="16"/>
              </w:rPr>
            </w:pPr>
            <w:r w:rsidRPr="00526311">
              <w:rPr>
                <w:sz w:val="16"/>
                <w:szCs w:val="16"/>
              </w:rPr>
              <w:t>Políticas de solución extrajudicial de controversias a cuyo desarrollo y aplicación ha contribuido el Centro de Arbitraje y Mediación de la OMPI</w:t>
            </w:r>
          </w:p>
        </w:tc>
        <w:tc>
          <w:tcPr>
            <w:tcW w:w="1210" w:type="pct"/>
            <w:tcBorders>
              <w:bottom w:val="single" w:sz="4" w:space="0" w:color="auto"/>
            </w:tcBorders>
            <w:shd w:val="clear" w:color="auto" w:fill="auto"/>
          </w:tcPr>
          <w:p w:rsidR="001836E6" w:rsidRPr="00526311" w:rsidRDefault="001836E6" w:rsidP="00DC1333">
            <w:pPr>
              <w:rPr>
                <w:color w:val="002060"/>
                <w:sz w:val="16"/>
                <w:szCs w:val="16"/>
              </w:rPr>
            </w:pPr>
            <w:r w:rsidRPr="00526311">
              <w:rPr>
                <w:i/>
                <w:color w:val="002060"/>
                <w:sz w:val="16"/>
                <w:szCs w:val="16"/>
              </w:rPr>
              <w:t>Referencia actualizada a fines de 2013:</w:t>
            </w:r>
            <w:r w:rsidRPr="00526311">
              <w:rPr>
                <w:color w:val="002060"/>
                <w:sz w:val="16"/>
                <w:szCs w:val="16"/>
              </w:rPr>
              <w:t xml:space="preserve">  10 regímenes adoptados (AGICOA, EGEDA, ETSI, Film and Media, ICOM, INPI-BR, IPAG, IPOS(M), IPOS(ED), ITPGRFA</w:t>
            </w:r>
            <w:r>
              <w:rPr>
                <w:color w:val="002060"/>
                <w:sz w:val="16"/>
                <w:szCs w:val="16"/>
              </w:rPr>
              <w:t>, KCC, KOCCA</w:t>
            </w:r>
            <w:r w:rsidRPr="00526311">
              <w:rPr>
                <w:color w:val="002060"/>
                <w:sz w:val="16"/>
                <w:szCs w:val="16"/>
              </w:rPr>
              <w:t>) (en total al final de 2013)</w:t>
            </w:r>
            <w:r>
              <w:rPr>
                <w:rStyle w:val="FootnoteReference"/>
                <w:color w:val="002060"/>
                <w:sz w:val="16"/>
                <w:szCs w:val="16"/>
              </w:rPr>
              <w:footnoteReference w:id="51"/>
            </w:r>
          </w:p>
          <w:p w:rsidR="001836E6" w:rsidRPr="00526311" w:rsidRDefault="001836E6" w:rsidP="00DC1333">
            <w:pPr>
              <w:rPr>
                <w:sz w:val="8"/>
                <w:szCs w:val="8"/>
              </w:rPr>
            </w:pPr>
          </w:p>
          <w:p w:rsidR="001836E6" w:rsidRPr="00526311" w:rsidRDefault="001836E6" w:rsidP="00DC1333">
            <w:pPr>
              <w:rPr>
                <w:sz w:val="16"/>
                <w:szCs w:val="16"/>
              </w:rPr>
            </w:pPr>
            <w:r w:rsidRPr="00526311">
              <w:rPr>
                <w:sz w:val="16"/>
                <w:szCs w:val="16"/>
              </w:rPr>
              <w:t>Referencia original en el presupuesto de 2014/15:  6 regímenes adoptados (AGICOA, EGEDA, Film and Media, ICOM, IPOS, ITPGRFA) (en total al final de 2012)</w:t>
            </w:r>
            <w:r w:rsidRPr="00526311">
              <w:rPr>
                <w:sz w:val="16"/>
                <w:szCs w:val="16"/>
              </w:rPr>
              <w:br/>
            </w:r>
          </w:p>
        </w:tc>
        <w:tc>
          <w:tcPr>
            <w:tcW w:w="910" w:type="pct"/>
            <w:tcBorders>
              <w:bottom w:val="single" w:sz="4" w:space="0" w:color="auto"/>
            </w:tcBorders>
            <w:shd w:val="clear" w:color="auto" w:fill="auto"/>
            <w:tcMar>
              <w:top w:w="110" w:type="dxa"/>
            </w:tcMar>
          </w:tcPr>
          <w:p w:rsidR="001836E6" w:rsidRPr="00526311" w:rsidRDefault="001836E6" w:rsidP="00DC1333">
            <w:pPr>
              <w:rPr>
                <w:i/>
                <w:sz w:val="16"/>
                <w:szCs w:val="16"/>
              </w:rPr>
            </w:pPr>
            <w:r w:rsidRPr="00526311">
              <w:rPr>
                <w:sz w:val="16"/>
                <w:szCs w:val="16"/>
              </w:rPr>
              <w:t>De 1 a 3 regímenes especiales</w:t>
            </w:r>
          </w:p>
        </w:tc>
        <w:tc>
          <w:tcPr>
            <w:tcW w:w="1134" w:type="pct"/>
            <w:tcBorders>
              <w:bottom w:val="single" w:sz="4" w:space="0" w:color="auto"/>
            </w:tcBorders>
            <w:shd w:val="clear" w:color="auto" w:fill="auto"/>
            <w:tcMar>
              <w:top w:w="110" w:type="dxa"/>
            </w:tcMar>
          </w:tcPr>
          <w:p w:rsidR="001836E6" w:rsidRDefault="001836E6" w:rsidP="00DC1333">
            <w:pPr>
              <w:rPr>
                <w:sz w:val="16"/>
                <w:szCs w:val="16"/>
                <w:lang w:bidi="th-TH"/>
              </w:rPr>
            </w:pPr>
            <w:r>
              <w:rPr>
                <w:sz w:val="16"/>
                <w:szCs w:val="16"/>
                <w:lang w:bidi="th-TH"/>
              </w:rPr>
              <w:t>Otros 8 regímenes especiales en 2014/15</w:t>
            </w:r>
            <w:r w:rsidRPr="00526311">
              <w:rPr>
                <w:sz w:val="16"/>
                <w:szCs w:val="16"/>
                <w:lang w:bidi="th-TH"/>
              </w:rPr>
              <w:t xml:space="preserve"> (</w:t>
            </w:r>
            <w:r>
              <w:rPr>
                <w:sz w:val="16"/>
                <w:szCs w:val="16"/>
                <w:lang w:bidi="th-TH"/>
              </w:rPr>
              <w:t xml:space="preserve">ABF, </w:t>
            </w:r>
            <w:r w:rsidRPr="00526311">
              <w:rPr>
                <w:sz w:val="16"/>
                <w:szCs w:val="16"/>
                <w:lang w:bidi="th-TH"/>
              </w:rPr>
              <w:t xml:space="preserve">AEF, DGIPR, DNDA, </w:t>
            </w:r>
            <w:r>
              <w:rPr>
                <w:sz w:val="16"/>
                <w:szCs w:val="16"/>
                <w:lang w:bidi="th-TH"/>
              </w:rPr>
              <w:t xml:space="preserve">IEEE, </w:t>
            </w:r>
            <w:r w:rsidRPr="00526311">
              <w:rPr>
                <w:sz w:val="16"/>
                <w:szCs w:val="16"/>
                <w:lang w:bidi="th-TH"/>
              </w:rPr>
              <w:t>IMPI, IPOPHL</w:t>
            </w:r>
            <w:r>
              <w:rPr>
                <w:sz w:val="16"/>
                <w:szCs w:val="16"/>
                <w:lang w:bidi="th-TH"/>
              </w:rPr>
              <w:t>, SFA</w:t>
            </w:r>
            <w:r w:rsidRPr="00526311">
              <w:rPr>
                <w:sz w:val="16"/>
                <w:szCs w:val="16"/>
                <w:lang w:bidi="th-TH"/>
              </w:rPr>
              <w:t>)</w:t>
            </w:r>
          </w:p>
          <w:p w:rsidR="001836E6" w:rsidRPr="00526311" w:rsidRDefault="001836E6" w:rsidP="00DC1333">
            <w:pPr>
              <w:rPr>
                <w:sz w:val="16"/>
                <w:szCs w:val="16"/>
              </w:rPr>
            </w:pPr>
            <w:r>
              <w:rPr>
                <w:sz w:val="16"/>
                <w:szCs w:val="16"/>
                <w:lang w:bidi="th-TH"/>
              </w:rPr>
              <w:t>(20 en total a final de 2015)</w:t>
            </w:r>
          </w:p>
        </w:tc>
        <w:tc>
          <w:tcPr>
            <w:tcW w:w="605" w:type="pct"/>
            <w:tcBorders>
              <w:bottom w:val="single" w:sz="4" w:space="0" w:color="auto"/>
            </w:tcBorders>
            <w:shd w:val="clear" w:color="auto" w:fill="auto"/>
            <w:tcMar>
              <w:top w:w="110" w:type="dxa"/>
            </w:tcMar>
          </w:tcPr>
          <w:p w:rsidR="001836E6" w:rsidRPr="00526311" w:rsidRDefault="001836E6" w:rsidP="00DC1333">
            <w:pPr>
              <w:keepNext/>
              <w:keepLines/>
              <w:ind w:right="-115"/>
              <w:jc w:val="center"/>
              <w:rPr>
                <w:bCs/>
                <w:color w:val="808080"/>
                <w:sz w:val="16"/>
                <w:szCs w:val="16"/>
              </w:rPr>
            </w:pPr>
            <w:r>
              <w:rPr>
                <w:b/>
                <w:bCs/>
                <w:color w:val="00B050"/>
                <w:sz w:val="16"/>
                <w:szCs w:val="16"/>
              </w:rPr>
              <w:t>Plenamente logrado</w:t>
            </w:r>
          </w:p>
        </w:tc>
      </w:tr>
      <w:tr w:rsidR="001836E6" w:rsidRPr="00526311" w:rsidTr="00DC1333">
        <w:trPr>
          <w:cantSplit/>
          <w:trHeight w:val="399"/>
        </w:trPr>
        <w:tc>
          <w:tcPr>
            <w:tcW w:w="4999" w:type="pct"/>
            <w:gridSpan w:val="5"/>
            <w:tcBorders>
              <w:top w:val="single" w:sz="4" w:space="0" w:color="auto"/>
              <w:bottom w:val="single" w:sz="4" w:space="0" w:color="auto"/>
            </w:tcBorders>
            <w:shd w:val="clear" w:color="auto" w:fill="C6D9F1" w:themeFill="text2" w:themeFillTint="33"/>
            <w:vAlign w:val="center"/>
          </w:tcPr>
          <w:p w:rsidR="001836E6" w:rsidRPr="00526311" w:rsidRDefault="001836E6" w:rsidP="00DC1333">
            <w:pPr>
              <w:ind w:left="2019" w:hanging="2019"/>
              <w:rPr>
                <w:b/>
                <w:bCs/>
                <w:sz w:val="16"/>
                <w:szCs w:val="16"/>
              </w:rPr>
            </w:pPr>
            <w:r w:rsidRPr="00526311">
              <w:rPr>
                <w:b/>
                <w:bCs/>
                <w:sz w:val="16"/>
                <w:szCs w:val="16"/>
              </w:rPr>
              <w:lastRenderedPageBreak/>
              <w:t>Resultado previsto:</w:t>
            </w:r>
            <w:r w:rsidRPr="00526311">
              <w:rPr>
                <w:bCs/>
                <w:sz w:val="16"/>
                <w:szCs w:val="16"/>
              </w:rPr>
              <w:tab/>
              <w:t xml:space="preserve">II.9 Protección eficaz de la propiedad intelectual en los </w:t>
            </w:r>
            <w:proofErr w:type="spellStart"/>
            <w:r w:rsidRPr="00526311">
              <w:rPr>
                <w:bCs/>
                <w:sz w:val="16"/>
                <w:szCs w:val="16"/>
              </w:rPr>
              <w:t>gTLD</w:t>
            </w:r>
            <w:proofErr w:type="spellEnd"/>
            <w:r w:rsidRPr="00526311">
              <w:rPr>
                <w:bCs/>
                <w:sz w:val="16"/>
                <w:szCs w:val="16"/>
              </w:rPr>
              <w:t xml:space="preserve"> y los </w:t>
            </w:r>
            <w:proofErr w:type="spellStart"/>
            <w:r w:rsidRPr="00526311">
              <w:rPr>
                <w:bCs/>
                <w:sz w:val="16"/>
                <w:szCs w:val="16"/>
              </w:rPr>
              <w:t>ccTLD</w:t>
            </w:r>
            <w:proofErr w:type="spellEnd"/>
          </w:p>
        </w:tc>
      </w:tr>
      <w:tr w:rsidR="001836E6" w:rsidRPr="00526311" w:rsidTr="00DC1333">
        <w:trPr>
          <w:cantSplit/>
        </w:trPr>
        <w:tc>
          <w:tcPr>
            <w:tcW w:w="1140" w:type="pct"/>
            <w:tcBorders>
              <w:top w:val="single" w:sz="4" w:space="0" w:color="auto"/>
            </w:tcBorders>
            <w:shd w:val="clear" w:color="auto" w:fill="auto"/>
            <w:vAlign w:val="center"/>
          </w:tcPr>
          <w:p w:rsidR="001836E6" w:rsidRPr="00526311" w:rsidRDefault="001836E6" w:rsidP="00DC1333">
            <w:pPr>
              <w:rPr>
                <w:sz w:val="16"/>
                <w:szCs w:val="16"/>
              </w:rPr>
            </w:pPr>
            <w:r w:rsidRPr="00526311">
              <w:rPr>
                <w:b/>
                <w:sz w:val="16"/>
                <w:szCs w:val="16"/>
              </w:rPr>
              <w:t>Indicadores de rendimiento</w:t>
            </w:r>
          </w:p>
        </w:tc>
        <w:tc>
          <w:tcPr>
            <w:tcW w:w="1210" w:type="pct"/>
            <w:tcBorders>
              <w:top w:val="single" w:sz="4" w:space="0" w:color="auto"/>
            </w:tcBorders>
            <w:shd w:val="clear" w:color="auto" w:fill="auto"/>
            <w:vAlign w:val="center"/>
          </w:tcPr>
          <w:p w:rsidR="001836E6" w:rsidRPr="00526311" w:rsidRDefault="001836E6" w:rsidP="00DC1333">
            <w:pPr>
              <w:rPr>
                <w:b/>
                <w:bCs/>
                <w:sz w:val="16"/>
                <w:szCs w:val="16"/>
              </w:rPr>
            </w:pPr>
            <w:r w:rsidRPr="00526311">
              <w:rPr>
                <w:b/>
                <w:bCs/>
                <w:sz w:val="16"/>
                <w:szCs w:val="16"/>
              </w:rPr>
              <w:t>Referencia</w:t>
            </w:r>
          </w:p>
        </w:tc>
        <w:tc>
          <w:tcPr>
            <w:tcW w:w="910" w:type="pct"/>
            <w:tcBorders>
              <w:top w:val="single" w:sz="4" w:space="0" w:color="auto"/>
            </w:tcBorders>
            <w:shd w:val="clear" w:color="auto" w:fill="auto"/>
            <w:tcMar>
              <w:top w:w="110" w:type="dxa"/>
            </w:tcMar>
            <w:vAlign w:val="center"/>
          </w:tcPr>
          <w:p w:rsidR="001836E6" w:rsidRPr="00526311" w:rsidRDefault="001836E6" w:rsidP="00DC1333">
            <w:pPr>
              <w:rPr>
                <w:b/>
                <w:sz w:val="16"/>
                <w:szCs w:val="16"/>
              </w:rPr>
            </w:pPr>
            <w:r w:rsidRPr="00526311">
              <w:rPr>
                <w:b/>
                <w:sz w:val="16"/>
                <w:szCs w:val="16"/>
              </w:rPr>
              <w:t>Objetivos</w:t>
            </w:r>
          </w:p>
        </w:tc>
        <w:tc>
          <w:tcPr>
            <w:tcW w:w="1134" w:type="pct"/>
            <w:tcBorders>
              <w:top w:val="single" w:sz="4" w:space="0" w:color="auto"/>
            </w:tcBorders>
            <w:shd w:val="clear" w:color="auto" w:fill="auto"/>
            <w:tcMar>
              <w:top w:w="110" w:type="dxa"/>
            </w:tcMar>
            <w:vAlign w:val="center"/>
          </w:tcPr>
          <w:p w:rsidR="001836E6" w:rsidRPr="00526311" w:rsidRDefault="001836E6" w:rsidP="00DC1333">
            <w:pPr>
              <w:rPr>
                <w:sz w:val="16"/>
                <w:szCs w:val="16"/>
              </w:rPr>
            </w:pPr>
            <w:r w:rsidRPr="00526311">
              <w:rPr>
                <w:b/>
                <w:sz w:val="16"/>
                <w:szCs w:val="16"/>
              </w:rPr>
              <w:t>Datos sobre el rendimiento</w:t>
            </w:r>
          </w:p>
        </w:tc>
        <w:tc>
          <w:tcPr>
            <w:tcW w:w="605" w:type="pct"/>
            <w:tcBorders>
              <w:top w:val="single" w:sz="4" w:space="0" w:color="auto"/>
            </w:tcBorders>
            <w:shd w:val="clear" w:color="auto" w:fill="auto"/>
            <w:tcMar>
              <w:top w:w="110" w:type="dxa"/>
            </w:tcMar>
            <w:vAlign w:val="center"/>
          </w:tcPr>
          <w:p w:rsidR="001836E6" w:rsidRPr="00526311" w:rsidRDefault="001836E6" w:rsidP="00DC1333">
            <w:pPr>
              <w:ind w:left="-112"/>
              <w:jc w:val="center"/>
              <w:rPr>
                <w:b/>
                <w:bCs/>
                <w:sz w:val="16"/>
                <w:szCs w:val="16"/>
              </w:rPr>
            </w:pPr>
            <w:r w:rsidRPr="00526311">
              <w:rPr>
                <w:b/>
                <w:bCs/>
                <w:sz w:val="16"/>
                <w:szCs w:val="16"/>
              </w:rPr>
              <w:t>Clave de colores</w:t>
            </w:r>
          </w:p>
        </w:tc>
      </w:tr>
      <w:tr w:rsidR="001836E6" w:rsidRPr="00526311" w:rsidTr="00DC1333">
        <w:trPr>
          <w:cantSplit/>
        </w:trPr>
        <w:tc>
          <w:tcPr>
            <w:tcW w:w="1140" w:type="pct"/>
            <w:shd w:val="clear" w:color="auto" w:fill="auto"/>
          </w:tcPr>
          <w:p w:rsidR="001836E6" w:rsidRPr="00526311" w:rsidRDefault="001836E6" w:rsidP="00DC1333">
            <w:pPr>
              <w:rPr>
                <w:sz w:val="16"/>
                <w:szCs w:val="16"/>
                <w:lang w:bidi="th-TH"/>
              </w:rPr>
            </w:pPr>
            <w:r w:rsidRPr="00526311">
              <w:rPr>
                <w:sz w:val="16"/>
                <w:szCs w:val="16"/>
                <w:lang w:bidi="th-TH"/>
              </w:rPr>
              <w:t xml:space="preserve">Número de procedimientos relativos a los </w:t>
            </w:r>
            <w:proofErr w:type="spellStart"/>
            <w:r w:rsidRPr="00526311">
              <w:rPr>
                <w:sz w:val="16"/>
                <w:szCs w:val="16"/>
                <w:lang w:bidi="th-TH"/>
              </w:rPr>
              <w:t>gTLD</w:t>
            </w:r>
            <w:proofErr w:type="spellEnd"/>
            <w:r w:rsidRPr="00526311">
              <w:rPr>
                <w:sz w:val="16"/>
                <w:szCs w:val="16"/>
                <w:lang w:bidi="th-TH"/>
              </w:rPr>
              <w:t xml:space="preserve"> administrados en virtud de la Política Uniforme</w:t>
            </w:r>
          </w:p>
        </w:tc>
        <w:tc>
          <w:tcPr>
            <w:tcW w:w="1210" w:type="pct"/>
            <w:shd w:val="clear" w:color="auto" w:fill="auto"/>
          </w:tcPr>
          <w:p w:rsidR="001836E6" w:rsidRPr="00526311" w:rsidRDefault="001836E6" w:rsidP="00DC1333">
            <w:pPr>
              <w:rPr>
                <w:i/>
                <w:color w:val="002060"/>
                <w:sz w:val="16"/>
                <w:szCs w:val="16"/>
              </w:rPr>
            </w:pPr>
            <w:r w:rsidRPr="00526311">
              <w:rPr>
                <w:i/>
                <w:color w:val="002060"/>
                <w:sz w:val="16"/>
                <w:szCs w:val="16"/>
              </w:rPr>
              <w:t>Referencia actualizada a fines de 2013:</w:t>
            </w:r>
            <w:r w:rsidRPr="00526311">
              <w:rPr>
                <w:color w:val="002060"/>
                <w:sz w:val="16"/>
                <w:szCs w:val="16"/>
              </w:rPr>
              <w:t xml:space="preserve">  24.901 procedimientos relativos a los </w:t>
            </w:r>
            <w:proofErr w:type="spellStart"/>
            <w:r w:rsidRPr="00526311">
              <w:rPr>
                <w:color w:val="002060"/>
                <w:sz w:val="16"/>
                <w:szCs w:val="16"/>
              </w:rPr>
              <w:t>gTLD</w:t>
            </w:r>
            <w:proofErr w:type="spellEnd"/>
            <w:r w:rsidRPr="00526311">
              <w:rPr>
                <w:color w:val="002060"/>
                <w:sz w:val="16"/>
                <w:szCs w:val="16"/>
              </w:rPr>
              <w:t xml:space="preserve"> administrados por el Centro (en total al final de 2013) </w:t>
            </w:r>
          </w:p>
          <w:p w:rsidR="001836E6" w:rsidRPr="00526311" w:rsidRDefault="001836E6" w:rsidP="00DC1333">
            <w:pPr>
              <w:rPr>
                <w:i/>
                <w:sz w:val="8"/>
                <w:szCs w:val="8"/>
              </w:rPr>
            </w:pPr>
          </w:p>
          <w:p w:rsidR="001836E6" w:rsidRPr="00526311" w:rsidRDefault="001836E6" w:rsidP="00DC1333">
            <w:pPr>
              <w:rPr>
                <w:sz w:val="16"/>
                <w:szCs w:val="16"/>
              </w:rPr>
            </w:pPr>
            <w:r w:rsidRPr="00526311">
              <w:rPr>
                <w:i/>
                <w:sz w:val="16"/>
                <w:szCs w:val="16"/>
              </w:rPr>
              <w:t xml:space="preserve">Referencia original en el presupuesto de 2014/15:  </w:t>
            </w:r>
            <w:r w:rsidRPr="00526311">
              <w:rPr>
                <w:sz w:val="16"/>
                <w:szCs w:val="16"/>
              </w:rPr>
              <w:t xml:space="preserve">22.644 procedimientos relativos a los </w:t>
            </w:r>
            <w:proofErr w:type="spellStart"/>
            <w:r w:rsidRPr="00526311">
              <w:rPr>
                <w:sz w:val="16"/>
                <w:szCs w:val="16"/>
              </w:rPr>
              <w:t>gTLD</w:t>
            </w:r>
            <w:proofErr w:type="spellEnd"/>
            <w:r w:rsidRPr="00526311">
              <w:rPr>
                <w:sz w:val="16"/>
                <w:szCs w:val="16"/>
              </w:rPr>
              <w:t xml:space="preserve"> administrados por el Centro (en total al final de 2012)</w:t>
            </w:r>
          </w:p>
          <w:p w:rsidR="001836E6" w:rsidRPr="00526311" w:rsidRDefault="001836E6" w:rsidP="00DC1333">
            <w:pPr>
              <w:rPr>
                <w:sz w:val="16"/>
                <w:szCs w:val="16"/>
              </w:rPr>
            </w:pPr>
          </w:p>
        </w:tc>
        <w:tc>
          <w:tcPr>
            <w:tcW w:w="910" w:type="pct"/>
            <w:shd w:val="clear" w:color="auto" w:fill="auto"/>
            <w:tcMar>
              <w:top w:w="110" w:type="dxa"/>
            </w:tcMar>
          </w:tcPr>
          <w:p w:rsidR="001836E6" w:rsidRPr="00526311" w:rsidRDefault="001836E6" w:rsidP="00DC1333">
            <w:pPr>
              <w:autoSpaceDE w:val="0"/>
              <w:autoSpaceDN w:val="0"/>
              <w:adjustRightInd w:val="0"/>
              <w:rPr>
                <w:sz w:val="16"/>
                <w:szCs w:val="16"/>
              </w:rPr>
            </w:pPr>
            <w:r w:rsidRPr="00526311">
              <w:rPr>
                <w:sz w:val="16"/>
                <w:szCs w:val="16"/>
              </w:rPr>
              <w:t>Otros 3.000 procedimientos</w:t>
            </w:r>
          </w:p>
        </w:tc>
        <w:tc>
          <w:tcPr>
            <w:tcW w:w="1134" w:type="pct"/>
            <w:shd w:val="clear" w:color="auto" w:fill="auto"/>
            <w:tcMar>
              <w:top w:w="110" w:type="dxa"/>
            </w:tcMar>
          </w:tcPr>
          <w:p w:rsidR="001836E6" w:rsidRPr="00526311" w:rsidRDefault="001836E6" w:rsidP="00DC1333">
            <w:pPr>
              <w:rPr>
                <w:sz w:val="16"/>
                <w:szCs w:val="16"/>
                <w:lang w:bidi="th-TH"/>
              </w:rPr>
            </w:pPr>
            <w:r>
              <w:rPr>
                <w:sz w:val="16"/>
                <w:szCs w:val="16"/>
                <w:lang w:bidi="th-TH"/>
              </w:rPr>
              <w:t>Otros 4.666</w:t>
            </w:r>
            <w:r w:rsidRPr="00526311">
              <w:rPr>
                <w:sz w:val="16"/>
                <w:szCs w:val="16"/>
                <w:lang w:bidi="th-TH"/>
              </w:rPr>
              <w:t xml:space="preserve"> procedimie</w:t>
            </w:r>
            <w:r>
              <w:rPr>
                <w:sz w:val="16"/>
                <w:szCs w:val="16"/>
                <w:lang w:bidi="th-TH"/>
              </w:rPr>
              <w:t xml:space="preserve">ntos relacionados con los </w:t>
            </w:r>
            <w:proofErr w:type="spellStart"/>
            <w:r>
              <w:rPr>
                <w:sz w:val="16"/>
                <w:szCs w:val="16"/>
                <w:lang w:bidi="th-TH"/>
              </w:rPr>
              <w:t>gTLD</w:t>
            </w:r>
            <w:proofErr w:type="spellEnd"/>
            <w:r>
              <w:rPr>
                <w:sz w:val="16"/>
                <w:szCs w:val="16"/>
                <w:lang w:bidi="th-TH"/>
              </w:rPr>
              <w:t xml:space="preserve"> en 2014/15 (29.567</w:t>
            </w:r>
            <w:r w:rsidRPr="00526311">
              <w:rPr>
                <w:sz w:val="16"/>
                <w:szCs w:val="16"/>
                <w:lang w:bidi="th-TH"/>
              </w:rPr>
              <w:t xml:space="preserve"> procedimientos en total relacionados con los </w:t>
            </w:r>
            <w:proofErr w:type="spellStart"/>
            <w:r w:rsidRPr="00526311">
              <w:rPr>
                <w:sz w:val="16"/>
                <w:szCs w:val="16"/>
                <w:lang w:bidi="th-TH"/>
              </w:rPr>
              <w:t>gTLD</w:t>
            </w:r>
            <w:proofErr w:type="spellEnd"/>
            <w:r w:rsidRPr="00526311">
              <w:rPr>
                <w:sz w:val="16"/>
                <w:szCs w:val="16"/>
                <w:lang w:bidi="th-TH"/>
              </w:rPr>
              <w:t>)</w:t>
            </w:r>
          </w:p>
        </w:tc>
        <w:tc>
          <w:tcPr>
            <w:tcW w:w="605" w:type="pct"/>
            <w:shd w:val="clear" w:color="auto" w:fill="auto"/>
            <w:tcMar>
              <w:top w:w="110" w:type="dxa"/>
            </w:tcMar>
          </w:tcPr>
          <w:p w:rsidR="001836E6" w:rsidRPr="00526311" w:rsidRDefault="001836E6" w:rsidP="00DC1333">
            <w:pPr>
              <w:keepNext/>
              <w:keepLines/>
              <w:ind w:right="-115"/>
              <w:jc w:val="center"/>
              <w:rPr>
                <w:bCs/>
                <w:color w:val="00B050"/>
                <w:sz w:val="16"/>
                <w:szCs w:val="16"/>
              </w:rPr>
            </w:pPr>
            <w:r>
              <w:rPr>
                <w:b/>
                <w:bCs/>
                <w:color w:val="00B050"/>
                <w:sz w:val="16"/>
                <w:szCs w:val="16"/>
              </w:rPr>
              <w:t>Plenamente logrado</w:t>
            </w:r>
          </w:p>
        </w:tc>
      </w:tr>
      <w:tr w:rsidR="001836E6" w:rsidRPr="00526311" w:rsidTr="00DC1333">
        <w:trPr>
          <w:cantSplit/>
        </w:trPr>
        <w:tc>
          <w:tcPr>
            <w:tcW w:w="1140" w:type="pct"/>
            <w:shd w:val="clear" w:color="auto" w:fill="auto"/>
          </w:tcPr>
          <w:p w:rsidR="001836E6" w:rsidRPr="00526311" w:rsidRDefault="001836E6" w:rsidP="00DC1333">
            <w:pPr>
              <w:rPr>
                <w:sz w:val="16"/>
                <w:szCs w:val="16"/>
                <w:lang w:bidi="th-TH"/>
              </w:rPr>
            </w:pPr>
            <w:r w:rsidRPr="00526311">
              <w:rPr>
                <w:sz w:val="16"/>
                <w:szCs w:val="16"/>
                <w:lang w:bidi="th-TH"/>
              </w:rPr>
              <w:t xml:space="preserve">Número de procedimientos relativos a los </w:t>
            </w:r>
            <w:proofErr w:type="spellStart"/>
            <w:r w:rsidRPr="00526311">
              <w:rPr>
                <w:sz w:val="16"/>
                <w:szCs w:val="16"/>
                <w:lang w:bidi="th-TH"/>
              </w:rPr>
              <w:t>ccTLD</w:t>
            </w:r>
            <w:proofErr w:type="spellEnd"/>
            <w:r w:rsidRPr="00526311">
              <w:rPr>
                <w:sz w:val="16"/>
                <w:szCs w:val="16"/>
                <w:lang w:bidi="th-TH"/>
              </w:rPr>
              <w:t xml:space="preserve"> administrados en virtud de la Política Uniforme</w:t>
            </w:r>
          </w:p>
        </w:tc>
        <w:tc>
          <w:tcPr>
            <w:tcW w:w="1210" w:type="pct"/>
            <w:shd w:val="clear" w:color="auto" w:fill="auto"/>
          </w:tcPr>
          <w:p w:rsidR="001836E6" w:rsidRPr="00526311" w:rsidRDefault="001836E6" w:rsidP="00DC1333">
            <w:pPr>
              <w:rPr>
                <w:i/>
                <w:color w:val="002060"/>
                <w:sz w:val="16"/>
                <w:szCs w:val="16"/>
              </w:rPr>
            </w:pPr>
            <w:r w:rsidRPr="00526311">
              <w:rPr>
                <w:i/>
                <w:color w:val="002060"/>
                <w:sz w:val="16"/>
                <w:szCs w:val="16"/>
              </w:rPr>
              <w:t>Referencia actualizada a fines de 2013:</w:t>
            </w:r>
            <w:r>
              <w:rPr>
                <w:color w:val="002060"/>
                <w:sz w:val="16"/>
                <w:szCs w:val="16"/>
              </w:rPr>
              <w:t xml:space="preserve">  2.79</w:t>
            </w:r>
            <w:r w:rsidRPr="00526311">
              <w:rPr>
                <w:color w:val="002060"/>
                <w:sz w:val="16"/>
                <w:szCs w:val="16"/>
              </w:rPr>
              <w:t xml:space="preserve">8 procedimientos relativos a los </w:t>
            </w:r>
            <w:proofErr w:type="spellStart"/>
            <w:r w:rsidRPr="00526311">
              <w:rPr>
                <w:color w:val="002060"/>
                <w:sz w:val="16"/>
                <w:szCs w:val="16"/>
              </w:rPr>
              <w:t>ccTLD</w:t>
            </w:r>
            <w:proofErr w:type="spellEnd"/>
            <w:r w:rsidRPr="00526311">
              <w:rPr>
                <w:color w:val="002060"/>
                <w:sz w:val="16"/>
                <w:szCs w:val="16"/>
              </w:rPr>
              <w:t xml:space="preserve"> administrados por el Centro (en total al final de 2013)</w:t>
            </w:r>
            <w:r>
              <w:rPr>
                <w:rStyle w:val="FootnoteReference"/>
                <w:color w:val="002060"/>
                <w:sz w:val="16"/>
                <w:szCs w:val="16"/>
              </w:rPr>
              <w:footnoteReference w:id="52"/>
            </w:r>
          </w:p>
          <w:p w:rsidR="001836E6" w:rsidRPr="00526311" w:rsidRDefault="001836E6" w:rsidP="00DC1333">
            <w:pPr>
              <w:rPr>
                <w:i/>
                <w:sz w:val="8"/>
                <w:szCs w:val="8"/>
              </w:rPr>
            </w:pPr>
          </w:p>
          <w:p w:rsidR="001836E6" w:rsidRPr="00526311" w:rsidRDefault="001836E6" w:rsidP="00DC1333">
            <w:pPr>
              <w:rPr>
                <w:sz w:val="16"/>
                <w:szCs w:val="16"/>
              </w:rPr>
            </w:pPr>
            <w:r w:rsidRPr="00526311">
              <w:rPr>
                <w:i/>
                <w:sz w:val="16"/>
                <w:szCs w:val="16"/>
              </w:rPr>
              <w:t xml:space="preserve">Referencia original en el presupuesto de 2014/15:  </w:t>
            </w:r>
            <w:r w:rsidRPr="00526311">
              <w:rPr>
                <w:sz w:val="16"/>
                <w:szCs w:val="16"/>
              </w:rPr>
              <w:t xml:space="preserve">2.470 procedimientos relativos a los </w:t>
            </w:r>
            <w:proofErr w:type="spellStart"/>
            <w:r w:rsidRPr="00526311">
              <w:rPr>
                <w:sz w:val="16"/>
                <w:szCs w:val="16"/>
              </w:rPr>
              <w:t>ccTLD</w:t>
            </w:r>
            <w:proofErr w:type="spellEnd"/>
            <w:r w:rsidRPr="00526311">
              <w:rPr>
                <w:sz w:val="16"/>
                <w:szCs w:val="16"/>
              </w:rPr>
              <w:t xml:space="preserve"> administrados por el Centro (en total al final de 2012)</w:t>
            </w:r>
          </w:p>
          <w:p w:rsidR="001836E6" w:rsidRPr="00526311" w:rsidRDefault="001836E6" w:rsidP="00DC1333">
            <w:pPr>
              <w:rPr>
                <w:sz w:val="16"/>
                <w:szCs w:val="16"/>
              </w:rPr>
            </w:pPr>
          </w:p>
        </w:tc>
        <w:tc>
          <w:tcPr>
            <w:tcW w:w="910" w:type="pct"/>
            <w:shd w:val="clear" w:color="auto" w:fill="auto"/>
            <w:tcMar>
              <w:top w:w="110" w:type="dxa"/>
            </w:tcMar>
          </w:tcPr>
          <w:p w:rsidR="001836E6" w:rsidRPr="00526311" w:rsidRDefault="001836E6" w:rsidP="00DC1333">
            <w:pPr>
              <w:rPr>
                <w:sz w:val="16"/>
                <w:szCs w:val="16"/>
              </w:rPr>
            </w:pPr>
            <w:r w:rsidRPr="00526311">
              <w:rPr>
                <w:sz w:val="16"/>
                <w:szCs w:val="16"/>
              </w:rPr>
              <w:t>Otros 350 procedimientos</w:t>
            </w:r>
          </w:p>
        </w:tc>
        <w:tc>
          <w:tcPr>
            <w:tcW w:w="1134" w:type="pct"/>
            <w:shd w:val="clear" w:color="auto" w:fill="auto"/>
            <w:tcMar>
              <w:top w:w="110" w:type="dxa"/>
            </w:tcMar>
          </w:tcPr>
          <w:p w:rsidR="001836E6" w:rsidRPr="00526311" w:rsidRDefault="001836E6" w:rsidP="00DC1333">
            <w:pPr>
              <w:rPr>
                <w:sz w:val="16"/>
                <w:szCs w:val="16"/>
                <w:lang w:bidi="th-TH"/>
              </w:rPr>
            </w:pPr>
            <w:r>
              <w:rPr>
                <w:sz w:val="16"/>
                <w:szCs w:val="16"/>
                <w:lang w:bidi="th-TH"/>
              </w:rPr>
              <w:t>Otros 722</w:t>
            </w:r>
            <w:r w:rsidRPr="00526311">
              <w:rPr>
                <w:sz w:val="16"/>
                <w:szCs w:val="16"/>
                <w:lang w:bidi="th-TH"/>
              </w:rPr>
              <w:t xml:space="preserve"> procedimien</w:t>
            </w:r>
            <w:r>
              <w:rPr>
                <w:sz w:val="16"/>
                <w:szCs w:val="16"/>
                <w:lang w:bidi="th-TH"/>
              </w:rPr>
              <w:t xml:space="preserve">tos relacionados con los </w:t>
            </w:r>
            <w:proofErr w:type="spellStart"/>
            <w:r>
              <w:rPr>
                <w:sz w:val="16"/>
                <w:szCs w:val="16"/>
                <w:lang w:bidi="th-TH"/>
              </w:rPr>
              <w:t>ccTLD</w:t>
            </w:r>
            <w:proofErr w:type="spellEnd"/>
            <w:r>
              <w:rPr>
                <w:sz w:val="16"/>
                <w:szCs w:val="16"/>
                <w:lang w:bidi="th-TH"/>
              </w:rPr>
              <w:t xml:space="preserve"> en 2014/15</w:t>
            </w:r>
          </w:p>
          <w:p w:rsidR="001836E6" w:rsidRPr="00526311" w:rsidRDefault="001836E6" w:rsidP="00DC1333">
            <w:pPr>
              <w:rPr>
                <w:sz w:val="16"/>
                <w:szCs w:val="16"/>
                <w:lang w:bidi="th-TH"/>
              </w:rPr>
            </w:pPr>
            <w:r>
              <w:rPr>
                <w:sz w:val="16"/>
                <w:szCs w:val="16"/>
                <w:lang w:bidi="th-TH"/>
              </w:rPr>
              <w:t>(3.520 en total)</w:t>
            </w:r>
          </w:p>
        </w:tc>
        <w:tc>
          <w:tcPr>
            <w:tcW w:w="605" w:type="pct"/>
            <w:shd w:val="clear" w:color="auto" w:fill="auto"/>
          </w:tcPr>
          <w:p w:rsidR="001836E6" w:rsidRPr="00526311" w:rsidRDefault="001836E6" w:rsidP="00DC1333">
            <w:pPr>
              <w:keepNext/>
              <w:keepLines/>
              <w:ind w:right="-115"/>
              <w:jc w:val="center"/>
              <w:rPr>
                <w:b/>
                <w:bCs/>
                <w:color w:val="00B050"/>
                <w:sz w:val="16"/>
                <w:szCs w:val="16"/>
              </w:rPr>
            </w:pPr>
            <w:r>
              <w:rPr>
                <w:b/>
                <w:bCs/>
                <w:color w:val="00B050"/>
                <w:sz w:val="16"/>
                <w:szCs w:val="16"/>
              </w:rPr>
              <w:t>Plenamente logrado</w:t>
            </w:r>
          </w:p>
        </w:tc>
      </w:tr>
      <w:tr w:rsidR="001836E6" w:rsidRPr="00526311" w:rsidTr="00DC1333">
        <w:trPr>
          <w:cantSplit/>
        </w:trPr>
        <w:tc>
          <w:tcPr>
            <w:tcW w:w="1140" w:type="pct"/>
            <w:shd w:val="clear" w:color="auto" w:fill="auto"/>
          </w:tcPr>
          <w:p w:rsidR="001836E6" w:rsidRPr="00526311" w:rsidRDefault="001836E6" w:rsidP="00DC1333">
            <w:pPr>
              <w:rPr>
                <w:sz w:val="16"/>
                <w:szCs w:val="16"/>
                <w:lang w:bidi="th-TH"/>
              </w:rPr>
            </w:pPr>
            <w:r w:rsidRPr="00526311">
              <w:rPr>
                <w:sz w:val="16"/>
                <w:szCs w:val="16"/>
                <w:lang w:bidi="th-TH"/>
              </w:rPr>
              <w:t>Políticas de solución de controversias en el sistema de nombres de dominio a cuyo desarrollo y aplicación ha contribuido el Centro de Arbitraje y Mediación de la OMPI</w:t>
            </w:r>
          </w:p>
          <w:p w:rsidR="001836E6" w:rsidRPr="00526311" w:rsidRDefault="001836E6" w:rsidP="00DC1333">
            <w:pPr>
              <w:rPr>
                <w:sz w:val="16"/>
                <w:szCs w:val="16"/>
                <w:lang w:bidi="th-TH"/>
              </w:rPr>
            </w:pPr>
          </w:p>
          <w:p w:rsidR="001836E6" w:rsidRPr="00526311" w:rsidRDefault="001836E6" w:rsidP="00DC1333">
            <w:pPr>
              <w:rPr>
                <w:sz w:val="16"/>
                <w:szCs w:val="16"/>
                <w:lang w:bidi="th-TH"/>
              </w:rPr>
            </w:pPr>
          </w:p>
          <w:p w:rsidR="001836E6" w:rsidRPr="00526311" w:rsidRDefault="001836E6" w:rsidP="00DC1333">
            <w:pPr>
              <w:rPr>
                <w:sz w:val="16"/>
                <w:szCs w:val="16"/>
                <w:lang w:bidi="th-TH"/>
              </w:rPr>
            </w:pPr>
          </w:p>
          <w:p w:rsidR="001836E6" w:rsidRPr="00526311" w:rsidRDefault="001836E6" w:rsidP="00DC1333">
            <w:pPr>
              <w:rPr>
                <w:sz w:val="16"/>
                <w:szCs w:val="16"/>
                <w:lang w:bidi="th-TH"/>
              </w:rPr>
            </w:pPr>
          </w:p>
        </w:tc>
        <w:tc>
          <w:tcPr>
            <w:tcW w:w="1210" w:type="pct"/>
            <w:shd w:val="clear" w:color="auto" w:fill="auto"/>
          </w:tcPr>
          <w:p w:rsidR="001836E6" w:rsidRPr="00526311" w:rsidRDefault="001836E6" w:rsidP="00DC1333">
            <w:pPr>
              <w:rPr>
                <w:i/>
                <w:color w:val="002060"/>
                <w:sz w:val="16"/>
                <w:szCs w:val="16"/>
              </w:rPr>
            </w:pPr>
            <w:r w:rsidRPr="00526311">
              <w:rPr>
                <w:i/>
                <w:color w:val="002060"/>
                <w:sz w:val="16"/>
                <w:szCs w:val="16"/>
              </w:rPr>
              <w:t>Referencia actualizada a fines de 2013:</w:t>
            </w:r>
            <w:r w:rsidRPr="00526311">
              <w:rPr>
                <w:color w:val="002060"/>
                <w:sz w:val="16"/>
                <w:szCs w:val="16"/>
              </w:rPr>
              <w:t xml:space="preserve">  Política Uniforme, Política de solución de controversias para la etapa previa a la adjudicación (en total al final de 2013)</w:t>
            </w:r>
          </w:p>
          <w:p w:rsidR="001836E6" w:rsidRPr="00526311" w:rsidRDefault="001836E6" w:rsidP="00DC1333">
            <w:pPr>
              <w:rPr>
                <w:i/>
                <w:sz w:val="8"/>
                <w:szCs w:val="8"/>
              </w:rPr>
            </w:pPr>
          </w:p>
          <w:p w:rsidR="001836E6" w:rsidRPr="00526311" w:rsidRDefault="001836E6" w:rsidP="00DC1333">
            <w:pPr>
              <w:rPr>
                <w:sz w:val="16"/>
                <w:szCs w:val="16"/>
              </w:rPr>
            </w:pPr>
            <w:r w:rsidRPr="00526311">
              <w:rPr>
                <w:i/>
                <w:sz w:val="16"/>
                <w:szCs w:val="16"/>
              </w:rPr>
              <w:t xml:space="preserve">Referencia original en el presupuesto de 2014/15:  </w:t>
            </w:r>
            <w:r w:rsidRPr="00526311">
              <w:rPr>
                <w:sz w:val="16"/>
                <w:szCs w:val="16"/>
              </w:rPr>
              <w:t>Política Uniforme, Política de solución de</w:t>
            </w:r>
          </w:p>
          <w:p w:rsidR="001836E6" w:rsidRPr="00526311" w:rsidRDefault="001836E6" w:rsidP="00DC1333">
            <w:pPr>
              <w:rPr>
                <w:sz w:val="16"/>
                <w:szCs w:val="16"/>
              </w:rPr>
            </w:pPr>
            <w:r w:rsidRPr="00526311">
              <w:rPr>
                <w:sz w:val="16"/>
                <w:szCs w:val="16"/>
              </w:rPr>
              <w:t>controversias para la etapa</w:t>
            </w:r>
          </w:p>
          <w:p w:rsidR="001836E6" w:rsidRPr="00526311" w:rsidRDefault="001836E6" w:rsidP="00DC1333">
            <w:pPr>
              <w:rPr>
                <w:sz w:val="16"/>
                <w:szCs w:val="16"/>
              </w:rPr>
            </w:pPr>
            <w:r w:rsidRPr="00526311">
              <w:rPr>
                <w:sz w:val="16"/>
                <w:szCs w:val="16"/>
              </w:rPr>
              <w:t>previa a la adjudicación (en total al final de 2012)</w:t>
            </w:r>
          </w:p>
          <w:p w:rsidR="001836E6" w:rsidRPr="00526311" w:rsidRDefault="001836E6" w:rsidP="00DC1333">
            <w:pPr>
              <w:rPr>
                <w:sz w:val="16"/>
                <w:szCs w:val="16"/>
              </w:rPr>
            </w:pPr>
          </w:p>
        </w:tc>
        <w:tc>
          <w:tcPr>
            <w:tcW w:w="910" w:type="pct"/>
            <w:shd w:val="clear" w:color="auto" w:fill="auto"/>
            <w:tcMar>
              <w:top w:w="110" w:type="dxa"/>
            </w:tcMar>
          </w:tcPr>
          <w:p w:rsidR="001836E6" w:rsidRPr="00526311" w:rsidRDefault="001836E6" w:rsidP="00DC1333">
            <w:pPr>
              <w:rPr>
                <w:sz w:val="16"/>
                <w:szCs w:val="16"/>
              </w:rPr>
            </w:pPr>
            <w:r w:rsidRPr="00526311">
              <w:rPr>
                <w:sz w:val="16"/>
                <w:szCs w:val="16"/>
              </w:rPr>
              <w:t>Aplicación en el Sistema de Nombres de Dominio de las recomendaciones de la OMPI sobre políticas y procedimientos.</w:t>
            </w:r>
          </w:p>
          <w:p w:rsidR="001836E6" w:rsidRPr="00526311" w:rsidRDefault="001836E6" w:rsidP="00DC1333">
            <w:pPr>
              <w:rPr>
                <w:sz w:val="16"/>
                <w:szCs w:val="16"/>
              </w:rPr>
            </w:pPr>
          </w:p>
          <w:p w:rsidR="001836E6" w:rsidRPr="00526311" w:rsidRDefault="001836E6" w:rsidP="00DC1333">
            <w:pPr>
              <w:rPr>
                <w:sz w:val="16"/>
                <w:szCs w:val="16"/>
              </w:rPr>
            </w:pPr>
          </w:p>
          <w:p w:rsidR="001836E6" w:rsidRPr="00526311" w:rsidRDefault="001836E6" w:rsidP="00DC1333">
            <w:pPr>
              <w:rPr>
                <w:sz w:val="16"/>
                <w:szCs w:val="16"/>
              </w:rPr>
            </w:pPr>
          </w:p>
          <w:p w:rsidR="001836E6" w:rsidRPr="00526311" w:rsidRDefault="001836E6" w:rsidP="00DC1333">
            <w:pPr>
              <w:rPr>
                <w:sz w:val="16"/>
                <w:szCs w:val="16"/>
              </w:rPr>
            </w:pPr>
          </w:p>
          <w:p w:rsidR="001836E6" w:rsidRPr="00526311" w:rsidRDefault="001836E6" w:rsidP="00DC1333">
            <w:pPr>
              <w:rPr>
                <w:sz w:val="16"/>
                <w:szCs w:val="16"/>
              </w:rPr>
            </w:pPr>
          </w:p>
          <w:p w:rsidR="001836E6" w:rsidRPr="00526311" w:rsidRDefault="001836E6" w:rsidP="00DC1333">
            <w:pPr>
              <w:rPr>
                <w:sz w:val="16"/>
                <w:szCs w:val="16"/>
              </w:rPr>
            </w:pPr>
          </w:p>
        </w:tc>
        <w:tc>
          <w:tcPr>
            <w:tcW w:w="1134" w:type="pct"/>
            <w:shd w:val="clear" w:color="auto" w:fill="auto"/>
            <w:tcMar>
              <w:top w:w="110" w:type="dxa"/>
            </w:tcMar>
          </w:tcPr>
          <w:p w:rsidR="001836E6" w:rsidRDefault="001836E6" w:rsidP="00DC1333">
            <w:pPr>
              <w:rPr>
                <w:sz w:val="16"/>
                <w:szCs w:val="16"/>
                <w:lang w:bidi="th-TH"/>
              </w:rPr>
            </w:pPr>
            <w:r>
              <w:rPr>
                <w:sz w:val="16"/>
                <w:szCs w:val="16"/>
                <w:lang w:bidi="th-TH"/>
              </w:rPr>
              <w:t>Normas de la Política Uniforme actualizadas para las nuevas disposiciones relativas al bloqueo por el registrador (2015)</w:t>
            </w:r>
          </w:p>
          <w:p w:rsidR="001836E6" w:rsidRDefault="001836E6" w:rsidP="00DC1333">
            <w:pPr>
              <w:rPr>
                <w:sz w:val="16"/>
                <w:szCs w:val="16"/>
                <w:lang w:bidi="th-TH"/>
              </w:rPr>
            </w:pPr>
          </w:p>
          <w:p w:rsidR="001836E6" w:rsidRPr="00526311" w:rsidRDefault="001836E6" w:rsidP="00DC1333">
            <w:pPr>
              <w:rPr>
                <w:sz w:val="16"/>
                <w:szCs w:val="16"/>
                <w:lang w:bidi="th-TH"/>
              </w:rPr>
            </w:pPr>
            <w:r>
              <w:rPr>
                <w:sz w:val="16"/>
                <w:szCs w:val="16"/>
                <w:lang w:bidi="th-TH"/>
              </w:rPr>
              <w:t xml:space="preserve">Política Uniforme, </w:t>
            </w:r>
            <w:r w:rsidRPr="00526311">
              <w:rPr>
                <w:sz w:val="16"/>
                <w:szCs w:val="16"/>
                <w:lang w:bidi="th-TH"/>
              </w:rPr>
              <w:t>Política de la ICANN de solución de controversias para la eta</w:t>
            </w:r>
            <w:r>
              <w:rPr>
                <w:sz w:val="16"/>
                <w:szCs w:val="16"/>
                <w:lang w:bidi="th-TH"/>
              </w:rPr>
              <w:t xml:space="preserve">pa previa a la adjudicación, </w:t>
            </w:r>
            <w:r w:rsidRPr="00526311">
              <w:rPr>
                <w:sz w:val="16"/>
                <w:szCs w:val="16"/>
                <w:lang w:bidi="th-TH"/>
              </w:rPr>
              <w:t>procedimiento de la ICANN de solución de controversias para la etapa posterior a la adjudicación (en total al final de </w:t>
            </w:r>
            <w:r>
              <w:rPr>
                <w:sz w:val="16"/>
                <w:szCs w:val="16"/>
                <w:lang w:bidi="th-TH"/>
              </w:rPr>
              <w:t>2015</w:t>
            </w:r>
            <w:r w:rsidRPr="00526311">
              <w:rPr>
                <w:sz w:val="16"/>
                <w:szCs w:val="16"/>
                <w:lang w:bidi="th-TH"/>
              </w:rPr>
              <w:t>);  no se aplicarán nuev</w:t>
            </w:r>
            <w:r>
              <w:rPr>
                <w:sz w:val="16"/>
                <w:szCs w:val="16"/>
                <w:lang w:bidi="th-TH"/>
              </w:rPr>
              <w:t>as políticas o recomendaciones.</w:t>
            </w:r>
          </w:p>
        </w:tc>
        <w:tc>
          <w:tcPr>
            <w:tcW w:w="605" w:type="pct"/>
            <w:shd w:val="clear" w:color="auto" w:fill="auto"/>
            <w:tcMar>
              <w:top w:w="110" w:type="dxa"/>
            </w:tcMar>
          </w:tcPr>
          <w:p w:rsidR="001836E6" w:rsidRPr="00526311" w:rsidRDefault="001836E6" w:rsidP="00DC1333">
            <w:pPr>
              <w:keepNext/>
              <w:keepLines/>
              <w:ind w:right="-115"/>
              <w:jc w:val="center"/>
              <w:rPr>
                <w:b/>
                <w:bCs/>
                <w:color w:val="00B050"/>
                <w:sz w:val="16"/>
                <w:szCs w:val="16"/>
              </w:rPr>
            </w:pPr>
            <w:r>
              <w:rPr>
                <w:b/>
                <w:bCs/>
                <w:color w:val="00B050"/>
                <w:sz w:val="16"/>
                <w:szCs w:val="16"/>
              </w:rPr>
              <w:t>Plenamente logrado</w:t>
            </w:r>
          </w:p>
        </w:tc>
      </w:tr>
      <w:tr w:rsidR="001836E6" w:rsidRPr="00526311" w:rsidTr="00DC1333">
        <w:trPr>
          <w:cantSplit/>
        </w:trPr>
        <w:tc>
          <w:tcPr>
            <w:tcW w:w="1140" w:type="pct"/>
            <w:shd w:val="clear" w:color="auto" w:fill="auto"/>
          </w:tcPr>
          <w:p w:rsidR="001836E6" w:rsidRPr="00526311" w:rsidRDefault="001836E6" w:rsidP="00DC1333">
            <w:pPr>
              <w:rPr>
                <w:sz w:val="16"/>
                <w:szCs w:val="16"/>
              </w:rPr>
            </w:pPr>
            <w:r w:rsidRPr="00526311">
              <w:rPr>
                <w:sz w:val="16"/>
                <w:szCs w:val="16"/>
              </w:rPr>
              <w:t xml:space="preserve">Número de administradores de </w:t>
            </w:r>
            <w:proofErr w:type="spellStart"/>
            <w:r w:rsidRPr="00526311">
              <w:rPr>
                <w:sz w:val="16"/>
                <w:szCs w:val="16"/>
              </w:rPr>
              <w:t>ccTLD</w:t>
            </w:r>
            <w:proofErr w:type="spellEnd"/>
            <w:r w:rsidRPr="00526311">
              <w:rPr>
                <w:sz w:val="16"/>
                <w:szCs w:val="16"/>
              </w:rPr>
              <w:t xml:space="preserve"> que disponen de mecanismos de protección de P.I. concebidos o administrados por la OMPI de conformidad con las normas internacionales</w:t>
            </w:r>
          </w:p>
        </w:tc>
        <w:tc>
          <w:tcPr>
            <w:tcW w:w="1210" w:type="pct"/>
            <w:shd w:val="clear" w:color="auto" w:fill="auto"/>
          </w:tcPr>
          <w:p w:rsidR="001836E6" w:rsidRPr="00526311" w:rsidRDefault="001836E6" w:rsidP="00DC1333">
            <w:pPr>
              <w:rPr>
                <w:i/>
                <w:color w:val="002060"/>
                <w:sz w:val="16"/>
                <w:szCs w:val="16"/>
              </w:rPr>
            </w:pPr>
            <w:r w:rsidRPr="00526311">
              <w:rPr>
                <w:i/>
                <w:color w:val="002060"/>
                <w:sz w:val="16"/>
                <w:szCs w:val="16"/>
              </w:rPr>
              <w:t>Referencia actualizada a fines de 2013:</w:t>
            </w:r>
            <w:r w:rsidRPr="00526311">
              <w:rPr>
                <w:color w:val="002060"/>
                <w:sz w:val="16"/>
                <w:szCs w:val="16"/>
              </w:rPr>
              <w:t xml:space="preserve">  70 administradores de </w:t>
            </w:r>
            <w:proofErr w:type="spellStart"/>
            <w:r w:rsidRPr="00526311">
              <w:rPr>
                <w:color w:val="002060"/>
                <w:sz w:val="16"/>
                <w:szCs w:val="16"/>
              </w:rPr>
              <w:t>ccTLD</w:t>
            </w:r>
            <w:proofErr w:type="spellEnd"/>
            <w:r w:rsidRPr="00526311">
              <w:rPr>
                <w:color w:val="002060"/>
                <w:sz w:val="16"/>
                <w:szCs w:val="16"/>
              </w:rPr>
              <w:t xml:space="preserve"> (en total al final de 2013)</w:t>
            </w:r>
          </w:p>
          <w:p w:rsidR="001836E6" w:rsidRPr="00526311" w:rsidRDefault="001836E6" w:rsidP="00DC1333">
            <w:pPr>
              <w:rPr>
                <w:i/>
                <w:sz w:val="8"/>
                <w:szCs w:val="8"/>
              </w:rPr>
            </w:pPr>
          </w:p>
          <w:p w:rsidR="001836E6" w:rsidRPr="00526311" w:rsidRDefault="001836E6" w:rsidP="00DC1333">
            <w:pPr>
              <w:rPr>
                <w:i/>
                <w:color w:val="002060"/>
                <w:sz w:val="16"/>
                <w:szCs w:val="16"/>
              </w:rPr>
            </w:pPr>
            <w:r w:rsidRPr="00526311">
              <w:rPr>
                <w:i/>
                <w:sz w:val="16"/>
                <w:szCs w:val="16"/>
              </w:rPr>
              <w:t xml:space="preserve">Referencia original en el presupuesto de 2014/15:  </w:t>
            </w:r>
            <w:r w:rsidRPr="00526311">
              <w:rPr>
                <w:sz w:val="16"/>
                <w:szCs w:val="16"/>
              </w:rPr>
              <w:t xml:space="preserve">67 administradores de </w:t>
            </w:r>
            <w:proofErr w:type="spellStart"/>
            <w:r w:rsidRPr="00526311">
              <w:rPr>
                <w:sz w:val="16"/>
                <w:szCs w:val="16"/>
              </w:rPr>
              <w:t>ccTLD</w:t>
            </w:r>
            <w:proofErr w:type="spellEnd"/>
            <w:r w:rsidRPr="00526311">
              <w:rPr>
                <w:sz w:val="16"/>
                <w:szCs w:val="16"/>
              </w:rPr>
              <w:t xml:space="preserve"> (en total al final de 2012)</w:t>
            </w:r>
          </w:p>
        </w:tc>
        <w:tc>
          <w:tcPr>
            <w:tcW w:w="910" w:type="pct"/>
            <w:shd w:val="clear" w:color="auto" w:fill="auto"/>
            <w:tcMar>
              <w:top w:w="110" w:type="dxa"/>
            </w:tcMar>
          </w:tcPr>
          <w:p w:rsidR="001836E6" w:rsidRPr="00526311" w:rsidRDefault="001836E6" w:rsidP="00DC1333">
            <w:pPr>
              <w:rPr>
                <w:sz w:val="16"/>
                <w:szCs w:val="16"/>
              </w:rPr>
            </w:pPr>
            <w:r w:rsidRPr="00526311">
              <w:rPr>
                <w:sz w:val="16"/>
                <w:szCs w:val="16"/>
              </w:rPr>
              <w:t>Cuatro nuevos administradores.</w:t>
            </w:r>
          </w:p>
        </w:tc>
        <w:tc>
          <w:tcPr>
            <w:tcW w:w="1134" w:type="pct"/>
            <w:shd w:val="clear" w:color="auto" w:fill="auto"/>
            <w:tcMar>
              <w:top w:w="110" w:type="dxa"/>
            </w:tcMar>
          </w:tcPr>
          <w:p w:rsidR="001836E6" w:rsidRPr="00526311" w:rsidRDefault="001836E6" w:rsidP="00DC1333">
            <w:pPr>
              <w:rPr>
                <w:sz w:val="16"/>
                <w:szCs w:val="16"/>
                <w:lang w:bidi="th-TH"/>
              </w:rPr>
            </w:pPr>
            <w:r>
              <w:rPr>
                <w:sz w:val="16"/>
                <w:szCs w:val="16"/>
                <w:lang w:bidi="th-TH"/>
              </w:rPr>
              <w:t xml:space="preserve">Dos </w:t>
            </w:r>
            <w:r w:rsidRPr="00526311">
              <w:rPr>
                <w:sz w:val="16"/>
                <w:szCs w:val="16"/>
                <w:lang w:bidi="th-TH"/>
              </w:rPr>
              <w:t xml:space="preserve">nuevos administradores </w:t>
            </w:r>
            <w:r>
              <w:rPr>
                <w:sz w:val="16"/>
                <w:szCs w:val="16"/>
                <w:lang w:bidi="th-TH"/>
              </w:rPr>
              <w:t xml:space="preserve">en 2014/15 (.GC, .VG) (71 </w:t>
            </w:r>
            <w:r w:rsidRPr="00526311">
              <w:rPr>
                <w:sz w:val="16"/>
                <w:szCs w:val="16"/>
                <w:lang w:bidi="th-TH"/>
              </w:rPr>
              <w:t>en total</w:t>
            </w:r>
            <w:r>
              <w:rPr>
                <w:sz w:val="16"/>
                <w:szCs w:val="16"/>
                <w:lang w:bidi="th-TH"/>
              </w:rPr>
              <w:t xml:space="preserve"> tras una rescisión</w:t>
            </w:r>
            <w:r w:rsidRPr="00526311">
              <w:rPr>
                <w:sz w:val="16"/>
                <w:szCs w:val="16"/>
                <w:lang w:bidi="th-TH"/>
              </w:rPr>
              <w:t>).</w:t>
            </w:r>
          </w:p>
        </w:tc>
        <w:tc>
          <w:tcPr>
            <w:tcW w:w="606" w:type="pct"/>
            <w:shd w:val="clear" w:color="auto" w:fill="auto"/>
            <w:tcMar>
              <w:top w:w="110" w:type="dxa"/>
            </w:tcMar>
          </w:tcPr>
          <w:p w:rsidR="001836E6" w:rsidRPr="00526311" w:rsidRDefault="001836E6" w:rsidP="00DC1333">
            <w:pPr>
              <w:keepNext/>
              <w:keepLines/>
              <w:ind w:right="-115"/>
              <w:jc w:val="center"/>
              <w:rPr>
                <w:rStyle w:val="Style5"/>
                <w:b/>
                <w:color w:val="00B050"/>
                <w:sz w:val="16"/>
                <w:szCs w:val="16"/>
              </w:rPr>
            </w:pPr>
            <w:r>
              <w:rPr>
                <w:b/>
                <w:bCs/>
                <w:color w:val="D56509"/>
                <w:sz w:val="16"/>
                <w:szCs w:val="16"/>
              </w:rPr>
              <w:t>Parcialmente</w:t>
            </w:r>
            <w:r w:rsidRPr="00CE2943">
              <w:rPr>
                <w:b/>
                <w:bCs/>
                <w:color w:val="D56509"/>
                <w:sz w:val="16"/>
                <w:szCs w:val="16"/>
              </w:rPr>
              <w:t xml:space="preserve"> </w:t>
            </w:r>
            <w:r>
              <w:rPr>
                <w:b/>
                <w:bCs/>
                <w:color w:val="D56509"/>
                <w:sz w:val="16"/>
                <w:szCs w:val="16"/>
              </w:rPr>
              <w:t>logrado</w:t>
            </w:r>
          </w:p>
        </w:tc>
      </w:tr>
    </w:tbl>
    <w:p w:rsidR="001836E6" w:rsidRDefault="001836E6" w:rsidP="00DC1333">
      <w:pPr>
        <w:jc w:val="both"/>
      </w:pPr>
    </w:p>
    <w:p w:rsidR="001836E6" w:rsidRPr="00526311" w:rsidRDefault="001836E6" w:rsidP="00DC1333">
      <w:pPr>
        <w:jc w:val="both"/>
      </w:pPr>
    </w:p>
    <w:p w:rsidR="001836E6" w:rsidRPr="00F512DD" w:rsidRDefault="008F7CBE" w:rsidP="00242DDD">
      <w:pPr>
        <w:keepNext/>
        <w:spacing w:after="200" w:line="276" w:lineRule="auto"/>
        <w:rPr>
          <w:b/>
          <w:sz w:val="18"/>
        </w:rPr>
      </w:pPr>
      <w:r w:rsidRPr="008F7CBE">
        <w:rPr>
          <w:color w:val="000000"/>
          <w:sz w:val="20"/>
          <w:szCs w:val="22"/>
        </w:rPr>
        <w:lastRenderedPageBreak/>
        <w:t>INFORMACIÓN SOBRE LOS RIESGOS PLANTEADOS EN EL BIENIO</w:t>
      </w:r>
    </w:p>
    <w:tbl>
      <w:tblPr>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466"/>
        <w:gridCol w:w="2154"/>
        <w:gridCol w:w="2310"/>
        <w:gridCol w:w="2306"/>
      </w:tblGrid>
      <w:tr w:rsidR="001836E6" w:rsidRPr="00D10B62" w:rsidTr="00DC1333">
        <w:trPr>
          <w:trHeight w:val="479"/>
        </w:trPr>
        <w:tc>
          <w:tcPr>
            <w:tcW w:w="2466" w:type="dxa"/>
            <w:tcBorders>
              <w:top w:val="single" w:sz="4" w:space="0" w:color="auto"/>
              <w:bottom w:val="single" w:sz="4" w:space="0" w:color="auto"/>
            </w:tcBorders>
            <w:shd w:val="clear" w:color="auto" w:fill="C6D9F1" w:themeFill="text2" w:themeFillTint="33"/>
            <w:vAlign w:val="center"/>
          </w:tcPr>
          <w:p w:rsidR="001836E6" w:rsidRPr="00D10B62" w:rsidRDefault="001836E6" w:rsidP="00242DDD">
            <w:pPr>
              <w:keepNext/>
              <w:keepLines/>
              <w:jc w:val="center"/>
              <w:rPr>
                <w:b/>
                <w:bCs/>
                <w:iCs/>
                <w:sz w:val="18"/>
                <w:szCs w:val="18"/>
              </w:rPr>
            </w:pPr>
            <w:r w:rsidRPr="00D10B62">
              <w:rPr>
                <w:b/>
                <w:bCs/>
                <w:iCs/>
                <w:sz w:val="18"/>
                <w:szCs w:val="18"/>
              </w:rPr>
              <w:t>Riesgos en el logro de los resultados del programa</w:t>
            </w:r>
          </w:p>
        </w:tc>
        <w:tc>
          <w:tcPr>
            <w:tcW w:w="2154" w:type="dxa"/>
            <w:tcBorders>
              <w:top w:val="single" w:sz="4" w:space="0" w:color="auto"/>
              <w:bottom w:val="single" w:sz="4" w:space="0" w:color="auto"/>
            </w:tcBorders>
            <w:shd w:val="clear" w:color="auto" w:fill="C6D9F1" w:themeFill="text2" w:themeFillTint="33"/>
            <w:vAlign w:val="center"/>
          </w:tcPr>
          <w:p w:rsidR="001836E6" w:rsidRPr="00D10B62" w:rsidRDefault="001836E6" w:rsidP="00242DDD">
            <w:pPr>
              <w:keepNext/>
              <w:keepLines/>
              <w:jc w:val="center"/>
              <w:rPr>
                <w:b/>
                <w:bCs/>
                <w:iCs/>
                <w:sz w:val="18"/>
                <w:szCs w:val="18"/>
              </w:rPr>
            </w:pPr>
            <w:r w:rsidRPr="00D10B62">
              <w:rPr>
                <w:b/>
                <w:bCs/>
                <w:iCs/>
                <w:sz w:val="18"/>
                <w:szCs w:val="18"/>
              </w:rPr>
              <w:t>Planes de mitigación ejecutados o en ejecución</w:t>
            </w:r>
          </w:p>
        </w:tc>
        <w:tc>
          <w:tcPr>
            <w:tcW w:w="2310" w:type="dxa"/>
            <w:tcBorders>
              <w:top w:val="single" w:sz="4" w:space="0" w:color="auto"/>
              <w:bottom w:val="single" w:sz="4" w:space="0" w:color="auto"/>
            </w:tcBorders>
            <w:shd w:val="clear" w:color="auto" w:fill="C6D9F1" w:themeFill="text2" w:themeFillTint="33"/>
          </w:tcPr>
          <w:p w:rsidR="001836E6" w:rsidRPr="00D10B62" w:rsidRDefault="001836E6" w:rsidP="00242DDD">
            <w:pPr>
              <w:keepNext/>
              <w:keepLines/>
              <w:jc w:val="center"/>
              <w:rPr>
                <w:b/>
                <w:bCs/>
                <w:sz w:val="18"/>
                <w:szCs w:val="18"/>
              </w:rPr>
            </w:pPr>
            <w:r w:rsidRPr="00D10B62">
              <w:rPr>
                <w:b/>
                <w:bCs/>
                <w:iCs/>
                <w:sz w:val="18"/>
                <w:szCs w:val="18"/>
              </w:rPr>
              <w:t>Evolución de los riesgos y estrategias de mitigación durante el bienio</w:t>
            </w:r>
          </w:p>
        </w:tc>
        <w:tc>
          <w:tcPr>
            <w:tcW w:w="2306" w:type="dxa"/>
            <w:tcBorders>
              <w:top w:val="single" w:sz="4" w:space="0" w:color="auto"/>
              <w:bottom w:val="single" w:sz="4" w:space="0" w:color="auto"/>
            </w:tcBorders>
            <w:shd w:val="clear" w:color="auto" w:fill="C6D9F1" w:themeFill="text2" w:themeFillTint="33"/>
          </w:tcPr>
          <w:p w:rsidR="001836E6" w:rsidRPr="00D10B62" w:rsidRDefault="001836E6" w:rsidP="00242DDD">
            <w:pPr>
              <w:keepNext/>
              <w:keepLines/>
              <w:jc w:val="center"/>
              <w:rPr>
                <w:b/>
                <w:bCs/>
                <w:sz w:val="18"/>
                <w:szCs w:val="18"/>
              </w:rPr>
            </w:pPr>
            <w:r w:rsidRPr="00D10B62">
              <w:rPr>
                <w:b/>
                <w:bCs/>
                <w:sz w:val="18"/>
                <w:szCs w:val="18"/>
              </w:rPr>
              <w:t>Incidencia en el rendimiento del programa</w:t>
            </w:r>
          </w:p>
        </w:tc>
      </w:tr>
      <w:tr w:rsidR="001836E6" w:rsidRPr="002556E8" w:rsidTr="00DC1333">
        <w:trPr>
          <w:trHeight w:val="1564"/>
        </w:trPr>
        <w:tc>
          <w:tcPr>
            <w:tcW w:w="2466" w:type="dxa"/>
            <w:tcBorders>
              <w:top w:val="single" w:sz="4" w:space="0" w:color="auto"/>
            </w:tcBorders>
            <w:shd w:val="clear" w:color="auto" w:fill="auto"/>
            <w:tcMar>
              <w:top w:w="113" w:type="dxa"/>
              <w:bottom w:w="113" w:type="dxa"/>
            </w:tcMar>
          </w:tcPr>
          <w:p w:rsidR="001836E6" w:rsidRPr="00DA5E97" w:rsidRDefault="001836E6" w:rsidP="00242DDD">
            <w:pPr>
              <w:keepNext/>
              <w:keepLines/>
              <w:rPr>
                <w:sz w:val="16"/>
                <w:szCs w:val="16"/>
              </w:rPr>
            </w:pPr>
            <w:r w:rsidRPr="00DA5E97">
              <w:rPr>
                <w:rFonts w:cs="ArialMT"/>
                <w:iCs/>
                <w:sz w:val="16"/>
                <w:szCs w:val="16"/>
              </w:rPr>
              <w:t>Las variaciones en los recursos en comparación con otros proveedores de servicios de solución extrajudicial de controversias afectan al reconocimiento en el mercado de los servicios de arbitraje y mediación que ofrece la OMPI.</w:t>
            </w:r>
          </w:p>
        </w:tc>
        <w:tc>
          <w:tcPr>
            <w:tcW w:w="2154" w:type="dxa"/>
            <w:tcBorders>
              <w:top w:val="single" w:sz="4" w:space="0" w:color="auto"/>
            </w:tcBorders>
            <w:shd w:val="clear" w:color="auto" w:fill="auto"/>
            <w:tcMar>
              <w:top w:w="113" w:type="dxa"/>
              <w:bottom w:w="113" w:type="dxa"/>
            </w:tcMar>
          </w:tcPr>
          <w:p w:rsidR="001836E6" w:rsidRPr="00C1751A" w:rsidRDefault="001836E6" w:rsidP="00242DDD">
            <w:pPr>
              <w:keepNext/>
              <w:keepLines/>
              <w:autoSpaceDE w:val="0"/>
              <w:autoSpaceDN w:val="0"/>
              <w:adjustRightInd w:val="0"/>
              <w:ind w:right="-59"/>
              <w:rPr>
                <w:sz w:val="16"/>
                <w:szCs w:val="16"/>
              </w:rPr>
            </w:pPr>
            <w:r w:rsidRPr="00C1751A">
              <w:rPr>
                <w:iCs/>
                <w:sz w:val="16"/>
                <w:szCs w:val="16"/>
              </w:rPr>
              <w:t xml:space="preserve">La OMPI seguirá sirviéndose de la posición del Centro de Arbitraje y Mediación como principal especialista en la mediación, el arbitraje y otros procedimientos de solución extrajudicial de controversias en materia de P.I. estrechando la colaboración con otras instancias, por ejemplo, cooperando con más regularidad con asociaciones de P.I. y cuestiones conexas, maximizando la utilización del Centro en Singapur para fomentar la actividad regional e intensificando la colaboración con otras secciones de la OMPI.  </w:t>
            </w:r>
            <w:r>
              <w:rPr>
                <w:iCs/>
                <w:sz w:val="16"/>
                <w:szCs w:val="16"/>
              </w:rPr>
              <w:t>Además, el riesgo puede</w:t>
            </w:r>
            <w:r w:rsidRPr="00C1751A">
              <w:rPr>
                <w:iCs/>
                <w:sz w:val="16"/>
                <w:szCs w:val="16"/>
              </w:rPr>
              <w:t xml:space="preserve"> mitigarse fomentando la participación de los árbitros y mediadores de la OMPI en distintos foros y la investigación de nuevas prácticas y expectativas de los usuarios.</w:t>
            </w:r>
          </w:p>
        </w:tc>
        <w:tc>
          <w:tcPr>
            <w:tcW w:w="2310" w:type="dxa"/>
            <w:tcBorders>
              <w:top w:val="single" w:sz="4" w:space="0" w:color="auto"/>
            </w:tcBorders>
          </w:tcPr>
          <w:p w:rsidR="001836E6" w:rsidRPr="001566C5" w:rsidRDefault="001836E6" w:rsidP="00242DDD">
            <w:pPr>
              <w:keepNext/>
              <w:keepLines/>
              <w:autoSpaceDE w:val="0"/>
              <w:autoSpaceDN w:val="0"/>
              <w:adjustRightInd w:val="0"/>
              <w:ind w:right="-59"/>
              <w:rPr>
                <w:iCs/>
                <w:sz w:val="16"/>
                <w:szCs w:val="16"/>
              </w:rPr>
            </w:pPr>
            <w:r>
              <w:rPr>
                <w:iCs/>
                <w:sz w:val="16"/>
                <w:szCs w:val="16"/>
              </w:rPr>
              <w:t xml:space="preserve">La </w:t>
            </w:r>
            <w:r w:rsidRPr="0081795A">
              <w:rPr>
                <w:iCs/>
                <w:sz w:val="16"/>
                <w:szCs w:val="16"/>
              </w:rPr>
              <w:t>aparición de nuevos proveedores de servicios de solución extrajudicial de controversias a nivel internacional</w:t>
            </w:r>
            <w:r>
              <w:rPr>
                <w:iCs/>
                <w:sz w:val="16"/>
                <w:szCs w:val="16"/>
              </w:rPr>
              <w:t>,</w:t>
            </w:r>
            <w:r w:rsidRPr="0081795A">
              <w:rPr>
                <w:iCs/>
                <w:sz w:val="16"/>
                <w:szCs w:val="16"/>
              </w:rPr>
              <w:t xml:space="preserve"> </w:t>
            </w:r>
            <w:r>
              <w:rPr>
                <w:iCs/>
                <w:sz w:val="16"/>
                <w:szCs w:val="16"/>
              </w:rPr>
              <w:t xml:space="preserve">y más concretamente en el ámbito de la P.I., se ha sumado a las preocupaciones relacionadas con el reconocimiento en el mercado.  </w:t>
            </w:r>
            <w:r w:rsidRPr="007137F2">
              <w:rPr>
                <w:iCs/>
                <w:sz w:val="16"/>
                <w:szCs w:val="16"/>
              </w:rPr>
              <w:t>En 2014/15 la OMPI se centró activamente en sus planes de mitigación mediante una variedad de iniciativas judiciales y promoc</w:t>
            </w:r>
            <w:r>
              <w:rPr>
                <w:iCs/>
                <w:sz w:val="16"/>
                <w:szCs w:val="16"/>
              </w:rPr>
              <w:t>ionales, y también se valió de la presencia de las o</w:t>
            </w:r>
            <w:r w:rsidRPr="007137F2">
              <w:rPr>
                <w:iCs/>
                <w:sz w:val="16"/>
                <w:szCs w:val="16"/>
              </w:rPr>
              <w:t xml:space="preserve">ficinas de la OMPI </w:t>
            </w:r>
            <w:r>
              <w:rPr>
                <w:iCs/>
                <w:sz w:val="16"/>
                <w:szCs w:val="16"/>
              </w:rPr>
              <w:t>en el exterior en lo relativo a la solución extrajudicial de controversias en materia de P.I.</w:t>
            </w:r>
          </w:p>
        </w:tc>
        <w:tc>
          <w:tcPr>
            <w:tcW w:w="2306" w:type="dxa"/>
            <w:tcBorders>
              <w:top w:val="single" w:sz="4" w:space="0" w:color="auto"/>
            </w:tcBorders>
          </w:tcPr>
          <w:p w:rsidR="001836E6" w:rsidRPr="002556E8" w:rsidRDefault="001836E6" w:rsidP="00242DDD">
            <w:pPr>
              <w:keepNext/>
              <w:keepLines/>
              <w:autoSpaceDE w:val="0"/>
              <w:autoSpaceDN w:val="0"/>
              <w:adjustRightInd w:val="0"/>
              <w:ind w:right="-59"/>
              <w:rPr>
                <w:iCs/>
                <w:sz w:val="16"/>
                <w:szCs w:val="16"/>
              </w:rPr>
            </w:pPr>
            <w:r>
              <w:rPr>
                <w:iCs/>
                <w:sz w:val="16"/>
                <w:szCs w:val="16"/>
              </w:rPr>
              <w:t>Sigue</w:t>
            </w:r>
            <w:r w:rsidRPr="002556E8">
              <w:rPr>
                <w:iCs/>
                <w:sz w:val="16"/>
                <w:szCs w:val="16"/>
              </w:rPr>
              <w:t xml:space="preserve"> habiendo problemas para establecer nexos entre los ámbitos jurídicos de la P.I. y la soluci</w:t>
            </w:r>
            <w:r>
              <w:rPr>
                <w:iCs/>
                <w:sz w:val="16"/>
                <w:szCs w:val="16"/>
              </w:rPr>
              <w:t xml:space="preserve">ón extrajudicial de controversias, tanto en lo que respecta a las partes interesadas como a las prácticas en materia de litigios.  </w:t>
            </w:r>
            <w:r w:rsidRPr="002556E8">
              <w:rPr>
                <w:iCs/>
                <w:sz w:val="16"/>
                <w:szCs w:val="16"/>
              </w:rPr>
              <w:t>No obstante, las iniciativas y las medidas de mitigaci</w:t>
            </w:r>
            <w:r>
              <w:rPr>
                <w:iCs/>
                <w:sz w:val="16"/>
                <w:szCs w:val="16"/>
              </w:rPr>
              <w:t>ón que ha llevado a cabo</w:t>
            </w:r>
            <w:r w:rsidRPr="002556E8">
              <w:rPr>
                <w:iCs/>
                <w:sz w:val="16"/>
                <w:szCs w:val="16"/>
              </w:rPr>
              <w:t xml:space="preserve"> la OMPI </w:t>
            </w:r>
            <w:r>
              <w:rPr>
                <w:iCs/>
                <w:sz w:val="16"/>
                <w:szCs w:val="16"/>
              </w:rPr>
              <w:t>han contribuido a asegurar la consecución de los resultados previstos para el bienio</w:t>
            </w:r>
          </w:p>
        </w:tc>
      </w:tr>
      <w:tr w:rsidR="001836E6" w:rsidRPr="00A00A30" w:rsidTr="00DC1333">
        <w:trPr>
          <w:trHeight w:val="919"/>
        </w:trPr>
        <w:tc>
          <w:tcPr>
            <w:tcW w:w="2466" w:type="dxa"/>
            <w:shd w:val="clear" w:color="auto" w:fill="auto"/>
            <w:tcMar>
              <w:top w:w="113" w:type="dxa"/>
              <w:bottom w:w="113" w:type="dxa"/>
            </w:tcMar>
          </w:tcPr>
          <w:p w:rsidR="001836E6" w:rsidRPr="00C1751A" w:rsidRDefault="001836E6" w:rsidP="00DC1333">
            <w:pPr>
              <w:rPr>
                <w:rFonts w:cs="ArialMT"/>
                <w:iCs/>
                <w:sz w:val="16"/>
                <w:szCs w:val="16"/>
              </w:rPr>
            </w:pPr>
            <w:r w:rsidRPr="00C1751A">
              <w:rPr>
                <w:iCs/>
                <w:sz w:val="16"/>
                <w:szCs w:val="16"/>
              </w:rPr>
              <w:t xml:space="preserve">La fragmentación y competencia existentes en el sistema de nombres de dominio y los procesos de elaboración de políticas de la ICANN van en detrimento de la centralización normativa (incluida la Política Uniforme de Solución de Controversias en materia de Nombres de Dominio) y de la primacía del Centro; </w:t>
            </w:r>
            <w:r>
              <w:rPr>
                <w:iCs/>
                <w:sz w:val="16"/>
                <w:szCs w:val="16"/>
              </w:rPr>
              <w:t xml:space="preserve"> </w:t>
            </w:r>
            <w:r w:rsidRPr="00C1751A">
              <w:rPr>
                <w:iCs/>
                <w:sz w:val="16"/>
                <w:szCs w:val="16"/>
              </w:rPr>
              <w:t>la ampliación del sistema de nombres de dominio y el aumento de la utilización de servicios de solución extrajudicial de controversias en el ámbito de los nombres de dominio ponen en cuestión las funciones del Centro en materia de administraci</w:t>
            </w:r>
            <w:r>
              <w:rPr>
                <w:iCs/>
                <w:sz w:val="16"/>
                <w:szCs w:val="16"/>
              </w:rPr>
              <w:t>ón de procedimientos y formul</w:t>
            </w:r>
            <w:r w:rsidRPr="00C1751A">
              <w:rPr>
                <w:iCs/>
                <w:sz w:val="16"/>
                <w:szCs w:val="16"/>
              </w:rPr>
              <w:t>ación de políticas.</w:t>
            </w:r>
          </w:p>
        </w:tc>
        <w:tc>
          <w:tcPr>
            <w:tcW w:w="2154" w:type="dxa"/>
            <w:shd w:val="clear" w:color="auto" w:fill="auto"/>
            <w:tcMar>
              <w:top w:w="113" w:type="dxa"/>
              <w:bottom w:w="113" w:type="dxa"/>
            </w:tcMar>
          </w:tcPr>
          <w:p w:rsidR="001836E6" w:rsidRPr="0081795A" w:rsidRDefault="001836E6" w:rsidP="00DC1333">
            <w:pPr>
              <w:autoSpaceDE w:val="0"/>
              <w:autoSpaceDN w:val="0"/>
              <w:adjustRightInd w:val="0"/>
              <w:ind w:right="-59"/>
              <w:rPr>
                <w:iCs/>
                <w:sz w:val="16"/>
                <w:szCs w:val="16"/>
              </w:rPr>
            </w:pPr>
            <w:r w:rsidRPr="0081795A">
              <w:rPr>
                <w:iCs/>
                <w:sz w:val="16"/>
                <w:szCs w:val="16"/>
              </w:rPr>
              <w:t>Priorizar los recursos para la administración de procedimientos y la elaboración de políticas para encontrar un equilibrio entre “permanecer en el mercado” y aportar un valor específico de la OMPI.</w:t>
            </w:r>
          </w:p>
        </w:tc>
        <w:tc>
          <w:tcPr>
            <w:tcW w:w="2310" w:type="dxa"/>
          </w:tcPr>
          <w:p w:rsidR="001836E6" w:rsidRPr="00A00A30" w:rsidRDefault="001836E6" w:rsidP="00DC1333">
            <w:pPr>
              <w:autoSpaceDE w:val="0"/>
              <w:autoSpaceDN w:val="0"/>
              <w:adjustRightInd w:val="0"/>
              <w:ind w:right="-59"/>
              <w:rPr>
                <w:iCs/>
                <w:sz w:val="16"/>
                <w:szCs w:val="16"/>
              </w:rPr>
            </w:pPr>
            <w:r>
              <w:rPr>
                <w:iCs/>
                <w:sz w:val="16"/>
                <w:szCs w:val="16"/>
              </w:rPr>
              <w:t>Durante el bienio ha</w:t>
            </w:r>
            <w:r w:rsidRPr="005F2EAC">
              <w:rPr>
                <w:iCs/>
                <w:sz w:val="16"/>
                <w:szCs w:val="16"/>
              </w:rPr>
              <w:t xml:space="preserve"> aumentado tanto el riesgo como la probabilidad de que se produzca, ya que la acreditaci</w:t>
            </w:r>
            <w:r>
              <w:rPr>
                <w:iCs/>
                <w:sz w:val="16"/>
                <w:szCs w:val="16"/>
              </w:rPr>
              <w:t xml:space="preserve">ón de más </w:t>
            </w:r>
            <w:r w:rsidRPr="005F2EAC">
              <w:rPr>
                <w:iCs/>
                <w:sz w:val="16"/>
                <w:szCs w:val="16"/>
              </w:rPr>
              <w:t xml:space="preserve">proveedores de la Política Uniforme </w:t>
            </w:r>
            <w:r>
              <w:rPr>
                <w:iCs/>
                <w:sz w:val="16"/>
                <w:szCs w:val="16"/>
              </w:rPr>
              <w:t xml:space="preserve">y la ampliación del sistema de nombres de dominio que lleva a cabo la ICANN de forma continua inciden en la prestación centralizada de servicios de solución extrajudicial de controversias.  </w:t>
            </w:r>
            <w:r w:rsidRPr="000D5DED">
              <w:rPr>
                <w:iCs/>
                <w:sz w:val="16"/>
                <w:szCs w:val="16"/>
              </w:rPr>
              <w:t xml:space="preserve">La ICANN ha puesto en marcha asimismo </w:t>
            </w:r>
            <w:r>
              <w:rPr>
                <w:iCs/>
                <w:sz w:val="16"/>
                <w:szCs w:val="16"/>
              </w:rPr>
              <w:t>una revisión</w:t>
            </w:r>
            <w:r w:rsidRPr="000D5DED">
              <w:rPr>
                <w:iCs/>
                <w:sz w:val="16"/>
                <w:szCs w:val="16"/>
              </w:rPr>
              <w:t xml:space="preserve"> de los mecanismos </w:t>
            </w:r>
            <w:r>
              <w:rPr>
                <w:iCs/>
                <w:sz w:val="16"/>
                <w:szCs w:val="16"/>
              </w:rPr>
              <w:t>de protección de derechos del sistema de nombres de dominio, entre los que se encuentra la Política Uniforme.  La OMPI sigue de cerca estos procesos desde su posición de prestador de servicios de solución extrajudicial de controversias del sistema de nombres de dominio y se ha centrado activamente en su estrategia de mitigación, a lo que también han contribuido los retrasos en el proceso actual de revisión de la ICANN, así como el tiempo empleado por los nuevos operadores de dominios para considerar la posibilidad de introducir sus propios mecanismos de protección de derechos.</w:t>
            </w:r>
          </w:p>
        </w:tc>
        <w:tc>
          <w:tcPr>
            <w:tcW w:w="2306" w:type="dxa"/>
          </w:tcPr>
          <w:p w:rsidR="001836E6" w:rsidRPr="00A00A30" w:rsidRDefault="001836E6" w:rsidP="00DC1333">
            <w:pPr>
              <w:autoSpaceDE w:val="0"/>
              <w:autoSpaceDN w:val="0"/>
              <w:adjustRightInd w:val="0"/>
              <w:ind w:right="-59"/>
              <w:rPr>
                <w:iCs/>
                <w:sz w:val="16"/>
                <w:szCs w:val="16"/>
              </w:rPr>
            </w:pPr>
            <w:r w:rsidRPr="00A00A30">
              <w:rPr>
                <w:iCs/>
                <w:sz w:val="16"/>
                <w:szCs w:val="16"/>
              </w:rPr>
              <w:t>La evolución del r</w:t>
            </w:r>
            <w:r>
              <w:rPr>
                <w:iCs/>
                <w:sz w:val="16"/>
                <w:szCs w:val="16"/>
              </w:rPr>
              <w:t>ie</w:t>
            </w:r>
            <w:r w:rsidRPr="00A00A30">
              <w:rPr>
                <w:iCs/>
                <w:sz w:val="16"/>
                <w:szCs w:val="16"/>
              </w:rPr>
              <w:t>sgo no incidió de forma negativa en los resultados previstos para</w:t>
            </w:r>
            <w:r>
              <w:rPr>
                <w:iCs/>
                <w:sz w:val="16"/>
                <w:szCs w:val="16"/>
              </w:rPr>
              <w:t xml:space="preserve"> el bienio y, gracias a</w:t>
            </w:r>
            <w:r w:rsidRPr="00A00A30">
              <w:rPr>
                <w:iCs/>
                <w:sz w:val="16"/>
                <w:szCs w:val="16"/>
              </w:rPr>
              <w:t xml:space="preserve"> la estrategia de mitigaci</w:t>
            </w:r>
            <w:r>
              <w:rPr>
                <w:iCs/>
                <w:sz w:val="16"/>
                <w:szCs w:val="16"/>
              </w:rPr>
              <w:t xml:space="preserve">ón en ejecución, se recuperó el aumento de los casos </w:t>
            </w:r>
            <w:r w:rsidRPr="006C382B">
              <w:rPr>
                <w:iCs/>
                <w:sz w:val="16"/>
                <w:szCs w:val="16"/>
              </w:rPr>
              <w:t>sometidos a la Política Uniforme de la OMPI</w:t>
            </w:r>
            <w:r>
              <w:rPr>
                <w:iCs/>
                <w:sz w:val="16"/>
                <w:szCs w:val="16"/>
              </w:rPr>
              <w:t xml:space="preserve"> durante el bienio.</w:t>
            </w:r>
          </w:p>
        </w:tc>
      </w:tr>
    </w:tbl>
    <w:p w:rsidR="001836E6" w:rsidRDefault="001836E6" w:rsidP="00DC1333">
      <w:pPr>
        <w:rPr>
          <w:color w:val="000000"/>
          <w:szCs w:val="22"/>
        </w:rPr>
      </w:pPr>
    </w:p>
    <w:p w:rsidR="001836E6" w:rsidRPr="00A00A30" w:rsidRDefault="001836E6" w:rsidP="00DC1333">
      <w:pPr>
        <w:rPr>
          <w:color w:val="000000"/>
          <w:szCs w:val="22"/>
        </w:rPr>
      </w:pPr>
    </w:p>
    <w:p w:rsidR="001836E6" w:rsidRPr="00526311" w:rsidRDefault="00403D2C" w:rsidP="00DC1333">
      <w:pPr>
        <w:keepNext/>
        <w:keepLines/>
        <w:rPr>
          <w:b/>
          <w:sz w:val="18"/>
          <w:szCs w:val="18"/>
        </w:rPr>
      </w:pPr>
      <w:r w:rsidRPr="00403D2C">
        <w:rPr>
          <w:sz w:val="20"/>
          <w:szCs w:val="22"/>
        </w:rPr>
        <w:t>UTILIZACIÓN DE LOS RECURSOS</w:t>
      </w:r>
    </w:p>
    <w:p w:rsidR="001836E6" w:rsidRPr="00526311" w:rsidRDefault="001836E6" w:rsidP="00DC1333">
      <w:pPr>
        <w:keepNext/>
        <w:keepLines/>
      </w:pPr>
    </w:p>
    <w:p w:rsidR="001836E6" w:rsidRPr="00526311" w:rsidRDefault="001836E6" w:rsidP="00DC1333">
      <w:pPr>
        <w:pStyle w:val="NormalWeb"/>
        <w:keepNext/>
        <w:widowControl w:val="0"/>
        <w:spacing w:before="0" w:beforeAutospacing="0" w:after="0" w:afterAutospacing="0"/>
        <w:jc w:val="center"/>
        <w:rPr>
          <w:sz w:val="20"/>
          <w:szCs w:val="20"/>
          <w:lang w:val="es-ES"/>
        </w:rPr>
      </w:pPr>
      <w:r w:rsidRPr="00526311">
        <w:rPr>
          <w:sz w:val="20"/>
          <w:szCs w:val="20"/>
          <w:lang w:val="es-ES"/>
        </w:rPr>
        <w:t xml:space="preserve">Presupuesto y gastos reales (por resultado) </w:t>
      </w:r>
    </w:p>
    <w:p w:rsidR="001836E6" w:rsidRPr="00526311" w:rsidRDefault="001836E6" w:rsidP="00DC1333">
      <w:pPr>
        <w:pStyle w:val="NormalWeb"/>
        <w:keepNext/>
        <w:widowControl w:val="0"/>
        <w:spacing w:before="0" w:beforeAutospacing="0" w:after="0" w:afterAutospacing="0"/>
        <w:jc w:val="center"/>
        <w:rPr>
          <w:i/>
          <w:iCs/>
          <w:sz w:val="20"/>
          <w:szCs w:val="20"/>
          <w:lang w:val="es-ES"/>
        </w:rPr>
      </w:pPr>
      <w:r w:rsidRPr="00526311">
        <w:rPr>
          <w:i/>
          <w:iCs/>
          <w:sz w:val="20"/>
          <w:szCs w:val="20"/>
          <w:lang w:val="es-ES"/>
        </w:rPr>
        <w:t>(en miles de francos suizos)</w:t>
      </w:r>
    </w:p>
    <w:p w:rsidR="001836E6" w:rsidRPr="00526311" w:rsidRDefault="001836E6" w:rsidP="00DC1333">
      <w:pPr>
        <w:pStyle w:val="NormalWeb"/>
        <w:keepNext/>
        <w:widowControl w:val="0"/>
        <w:spacing w:before="0" w:beforeAutospacing="0" w:after="0" w:afterAutospacing="0"/>
        <w:jc w:val="center"/>
        <w:rPr>
          <w:sz w:val="20"/>
          <w:szCs w:val="20"/>
          <w:lang w:val="es-ES"/>
        </w:rPr>
      </w:pPr>
    </w:p>
    <w:p w:rsidR="001836E6" w:rsidRPr="00526311" w:rsidRDefault="001836E6" w:rsidP="00DC1333">
      <w:pPr>
        <w:widowControl w:val="0"/>
        <w:jc w:val="center"/>
      </w:pPr>
      <w:bookmarkStart w:id="92" w:name="Bm7"/>
      <w:bookmarkStart w:id="93" w:name="Punto7"/>
      <w:r>
        <w:rPr>
          <w:noProof/>
          <w:lang w:val="en-US" w:eastAsia="en-US"/>
        </w:rPr>
        <w:drawing>
          <wp:inline distT="0" distB="0" distL="0" distR="0" wp14:anchorId="27F55E45" wp14:editId="0B2E33FE">
            <wp:extent cx="5676900" cy="1800225"/>
            <wp:effectExtent l="0" t="0" r="0" b="9525"/>
            <wp:docPr id="1043" name="Pictur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5676900" cy="1800225"/>
                    </a:xfrm>
                    <a:prstGeom prst="rect">
                      <a:avLst/>
                    </a:prstGeom>
                    <a:noFill/>
                    <a:ln>
                      <a:noFill/>
                    </a:ln>
                  </pic:spPr>
                </pic:pic>
              </a:graphicData>
            </a:graphic>
          </wp:inline>
        </w:drawing>
      </w:r>
      <w:bookmarkEnd w:id="92"/>
      <w:bookmarkEnd w:id="93"/>
    </w:p>
    <w:p w:rsidR="001836E6" w:rsidRDefault="001836E6" w:rsidP="00DC1333">
      <w:pPr>
        <w:widowControl w:val="0"/>
      </w:pPr>
    </w:p>
    <w:p w:rsidR="003A075B" w:rsidRPr="00526311" w:rsidRDefault="003A075B" w:rsidP="00DC1333">
      <w:pPr>
        <w:widowControl w:val="0"/>
      </w:pPr>
    </w:p>
    <w:p w:rsidR="001836E6" w:rsidRPr="00526311" w:rsidRDefault="001836E6" w:rsidP="00DC1333">
      <w:pPr>
        <w:pStyle w:val="NormalWeb"/>
        <w:widowControl w:val="0"/>
        <w:spacing w:before="0" w:beforeAutospacing="0" w:after="0" w:afterAutospacing="0"/>
        <w:jc w:val="center"/>
        <w:rPr>
          <w:sz w:val="20"/>
          <w:szCs w:val="20"/>
          <w:lang w:val="es-ES"/>
        </w:rPr>
      </w:pPr>
      <w:r w:rsidRPr="00526311">
        <w:rPr>
          <w:sz w:val="20"/>
          <w:szCs w:val="20"/>
          <w:lang w:val="es-ES"/>
        </w:rPr>
        <w:t xml:space="preserve">Presupuesto y gastos reales (de personal y no relativos a personal) </w:t>
      </w:r>
    </w:p>
    <w:p w:rsidR="001836E6" w:rsidRPr="00526311" w:rsidRDefault="001836E6" w:rsidP="00DC1333">
      <w:pPr>
        <w:pStyle w:val="NormalWeb"/>
        <w:widowControl w:val="0"/>
        <w:spacing w:before="0" w:beforeAutospacing="0" w:after="0" w:afterAutospacing="0"/>
        <w:jc w:val="center"/>
        <w:rPr>
          <w:i/>
          <w:iCs/>
          <w:sz w:val="20"/>
          <w:szCs w:val="20"/>
          <w:lang w:val="es-ES"/>
        </w:rPr>
      </w:pPr>
      <w:r w:rsidRPr="00526311">
        <w:rPr>
          <w:i/>
          <w:iCs/>
          <w:sz w:val="20"/>
          <w:szCs w:val="20"/>
          <w:lang w:val="es-ES"/>
        </w:rPr>
        <w:t>(en miles de francos suizos)</w:t>
      </w:r>
    </w:p>
    <w:p w:rsidR="001836E6" w:rsidRPr="00526311" w:rsidRDefault="001836E6" w:rsidP="00DC1333">
      <w:pPr>
        <w:pStyle w:val="NormalWeb"/>
        <w:widowControl w:val="0"/>
        <w:spacing w:before="0" w:beforeAutospacing="0" w:after="0" w:afterAutospacing="0"/>
        <w:jc w:val="center"/>
        <w:rPr>
          <w:lang w:val="es-ES"/>
        </w:rPr>
      </w:pPr>
    </w:p>
    <w:p w:rsidR="001836E6" w:rsidRPr="00526311" w:rsidRDefault="001836E6" w:rsidP="00DC1333">
      <w:pPr>
        <w:widowControl w:val="0"/>
        <w:jc w:val="center"/>
      </w:pPr>
      <w:bookmarkStart w:id="94" w:name="Point7"/>
      <w:r>
        <w:rPr>
          <w:noProof/>
          <w:lang w:val="en-US" w:eastAsia="en-US"/>
        </w:rPr>
        <w:drawing>
          <wp:inline distT="0" distB="0" distL="0" distR="0" wp14:anchorId="068D5039" wp14:editId="764B4FFA">
            <wp:extent cx="5940425" cy="1073846"/>
            <wp:effectExtent l="0" t="0" r="3175" b="0"/>
            <wp:docPr id="1044" name="Pictur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940425" cy="1073846"/>
                    </a:xfrm>
                    <a:prstGeom prst="rect">
                      <a:avLst/>
                    </a:prstGeom>
                    <a:noFill/>
                    <a:ln>
                      <a:noFill/>
                    </a:ln>
                  </pic:spPr>
                </pic:pic>
              </a:graphicData>
            </a:graphic>
          </wp:inline>
        </w:drawing>
      </w:r>
      <w:bookmarkEnd w:id="94"/>
    </w:p>
    <w:p w:rsidR="001836E6" w:rsidRDefault="001836E6" w:rsidP="00DC1333">
      <w:pPr>
        <w:widowControl w:val="0"/>
        <w:autoSpaceDE w:val="0"/>
        <w:autoSpaceDN w:val="0"/>
        <w:adjustRightInd w:val="0"/>
        <w:rPr>
          <w:sz w:val="20"/>
        </w:rPr>
      </w:pPr>
    </w:p>
    <w:p w:rsidR="001836E6" w:rsidRPr="00526311" w:rsidRDefault="001836E6" w:rsidP="00DC1333">
      <w:pPr>
        <w:widowControl w:val="0"/>
        <w:autoSpaceDE w:val="0"/>
        <w:autoSpaceDN w:val="0"/>
        <w:adjustRightInd w:val="0"/>
        <w:rPr>
          <w:sz w:val="20"/>
        </w:rPr>
      </w:pPr>
    </w:p>
    <w:p w:rsidR="001836E6" w:rsidRPr="00526311" w:rsidRDefault="00403D2C" w:rsidP="00235CFE">
      <w:pPr>
        <w:widowControl w:val="0"/>
        <w:tabs>
          <w:tab w:val="left" w:pos="709"/>
        </w:tabs>
        <w:rPr>
          <w:sz w:val="20"/>
          <w:u w:val="single"/>
        </w:rPr>
      </w:pPr>
      <w:r w:rsidRPr="00403D2C">
        <w:rPr>
          <w:sz w:val="20"/>
        </w:rPr>
        <w:t>A.</w:t>
      </w:r>
      <w:r w:rsidRPr="00403D2C">
        <w:rPr>
          <w:sz w:val="20"/>
        </w:rPr>
        <w:tab/>
      </w:r>
      <w:r w:rsidRPr="00403D2C">
        <w:rPr>
          <w:sz w:val="20"/>
          <w:u w:val="single"/>
        </w:rPr>
        <w:t>Presupuesto final de 2014/15 tras las transferencias</w:t>
      </w:r>
    </w:p>
    <w:p w:rsidR="001836E6" w:rsidRPr="00526311" w:rsidRDefault="001836E6" w:rsidP="00DC1333">
      <w:pPr>
        <w:widowControl w:val="0"/>
        <w:rPr>
          <w:sz w:val="20"/>
          <w:u w:val="single"/>
        </w:rPr>
      </w:pPr>
    </w:p>
    <w:p w:rsidR="001836E6" w:rsidRPr="00526311" w:rsidRDefault="001836E6" w:rsidP="001836E6">
      <w:pPr>
        <w:pStyle w:val="ListParagraph"/>
        <w:widowControl w:val="0"/>
        <w:numPr>
          <w:ilvl w:val="0"/>
          <w:numId w:val="49"/>
        </w:numPr>
        <w:tabs>
          <w:tab w:val="left" w:pos="709"/>
        </w:tabs>
        <w:ind w:left="0" w:firstLine="0"/>
        <w:jc w:val="both"/>
        <w:rPr>
          <w:rFonts w:cs="Arial"/>
          <w:lang w:val="es-ES"/>
        </w:rPr>
      </w:pPr>
      <w:r w:rsidRPr="00526311">
        <w:rPr>
          <w:rFonts w:cs="Arial"/>
          <w:lang w:val="es-ES"/>
        </w:rPr>
        <w:t xml:space="preserve">El ajuste al alza reflejado </w:t>
      </w:r>
      <w:r>
        <w:rPr>
          <w:rFonts w:cs="Arial"/>
          <w:lang w:val="es-ES"/>
        </w:rPr>
        <w:t>en el resultado previsto II.8 (C</w:t>
      </w:r>
      <w:r w:rsidRPr="00526311">
        <w:rPr>
          <w:rFonts w:cs="Arial"/>
          <w:lang w:val="es-ES"/>
        </w:rPr>
        <w:t xml:space="preserve">ontroversias nacionales e internacionales en materia de P.I.) responde al cambio producido en los </w:t>
      </w:r>
      <w:r>
        <w:rPr>
          <w:rFonts w:cs="Arial"/>
          <w:lang w:val="es-ES"/>
        </w:rPr>
        <w:t xml:space="preserve">recursos de personal </w:t>
      </w:r>
      <w:r w:rsidRPr="00526311">
        <w:rPr>
          <w:rFonts w:cs="Arial"/>
          <w:lang w:val="es-ES"/>
        </w:rPr>
        <w:t>a fin de gestionar mejor la demanda de servicios de solución extrajudicial de controversias de la OMPI</w:t>
      </w:r>
      <w:r>
        <w:rPr>
          <w:rFonts w:cs="Arial"/>
          <w:lang w:val="es-ES"/>
        </w:rPr>
        <w:t>, sobre todo en respuesta a las solicitudes de los Estados miembros</w:t>
      </w:r>
      <w:r w:rsidRPr="00526311">
        <w:rPr>
          <w:rFonts w:cs="Arial"/>
          <w:lang w:val="es-ES"/>
        </w:rPr>
        <w:t>.</w:t>
      </w:r>
    </w:p>
    <w:p w:rsidR="001836E6" w:rsidRPr="00526311" w:rsidRDefault="001836E6" w:rsidP="00DC1333">
      <w:pPr>
        <w:pStyle w:val="ListParagraph"/>
        <w:widowControl w:val="0"/>
        <w:tabs>
          <w:tab w:val="left" w:pos="709"/>
        </w:tabs>
        <w:ind w:left="0"/>
        <w:jc w:val="both"/>
        <w:rPr>
          <w:rFonts w:cs="Arial"/>
          <w:lang w:val="es-ES"/>
        </w:rPr>
      </w:pPr>
    </w:p>
    <w:p w:rsidR="001836E6" w:rsidRPr="00526311" w:rsidRDefault="00403D2C" w:rsidP="00235CFE">
      <w:pPr>
        <w:widowControl w:val="0"/>
        <w:tabs>
          <w:tab w:val="left" w:pos="709"/>
        </w:tabs>
        <w:jc w:val="both"/>
        <w:rPr>
          <w:sz w:val="20"/>
          <w:u w:val="single"/>
          <w:lang w:eastAsia="ko-KR"/>
        </w:rPr>
      </w:pPr>
      <w:r w:rsidRPr="00403D2C">
        <w:rPr>
          <w:sz w:val="20"/>
          <w:lang w:eastAsia="ko-KR"/>
        </w:rPr>
        <w:t>B.</w:t>
      </w:r>
      <w:r w:rsidRPr="00403D2C">
        <w:rPr>
          <w:sz w:val="20"/>
          <w:lang w:eastAsia="ko-KR"/>
        </w:rPr>
        <w:tab/>
      </w:r>
      <w:r w:rsidRPr="00403D2C">
        <w:rPr>
          <w:sz w:val="20"/>
          <w:u w:val="single"/>
          <w:lang w:eastAsia="ko-KR"/>
        </w:rPr>
        <w:t>Utilización del presupuesto en 2014/15</w:t>
      </w:r>
    </w:p>
    <w:p w:rsidR="001836E6" w:rsidRPr="00526311" w:rsidRDefault="001836E6" w:rsidP="00DC1333">
      <w:pPr>
        <w:widowControl w:val="0"/>
        <w:jc w:val="both"/>
        <w:rPr>
          <w:sz w:val="20"/>
          <w:u w:val="single"/>
          <w:lang w:eastAsia="ko-KR"/>
        </w:rPr>
      </w:pPr>
    </w:p>
    <w:p w:rsidR="001836E6" w:rsidRDefault="001836E6" w:rsidP="001836E6">
      <w:pPr>
        <w:pStyle w:val="ListParagraph"/>
        <w:numPr>
          <w:ilvl w:val="0"/>
          <w:numId w:val="49"/>
        </w:numPr>
        <w:tabs>
          <w:tab w:val="left" w:pos="709"/>
        </w:tabs>
        <w:ind w:left="0" w:firstLine="0"/>
        <w:jc w:val="both"/>
        <w:rPr>
          <w:rFonts w:cs="Arial"/>
          <w:lang w:val="es-ES" w:eastAsia="ko-KR"/>
        </w:rPr>
      </w:pPr>
      <w:r w:rsidRPr="00526311">
        <w:rPr>
          <w:rFonts w:cs="Arial"/>
          <w:lang w:val="es-ES" w:eastAsia="ko-KR"/>
        </w:rPr>
        <w:t xml:space="preserve">La utilización del presupuesto </w:t>
      </w:r>
      <w:r>
        <w:rPr>
          <w:rFonts w:cs="Arial"/>
          <w:lang w:val="es-ES" w:eastAsia="ko-KR"/>
        </w:rPr>
        <w:t>durante el bienio alcanzó el 81%.  Esto se debe fundamentalmente a:  i) el ahorro de costos en el presupuesto ordinario para misiones del personal y viajes de terceros dentro d</w:t>
      </w:r>
      <w:r w:rsidRPr="00526311">
        <w:rPr>
          <w:rFonts w:cs="Arial"/>
          <w:lang w:val="es-ES"/>
        </w:rPr>
        <w:t xml:space="preserve">el </w:t>
      </w:r>
      <w:r>
        <w:rPr>
          <w:rFonts w:cs="Arial"/>
          <w:lang w:val="es-ES"/>
        </w:rPr>
        <w:t>resultado previsto II.8 (C</w:t>
      </w:r>
      <w:r w:rsidRPr="00526311">
        <w:rPr>
          <w:rFonts w:cs="Arial"/>
          <w:lang w:val="es-ES"/>
        </w:rPr>
        <w:t>ontroversias nacionales e internacionales en materia de P.I.)</w:t>
      </w:r>
      <w:r>
        <w:rPr>
          <w:rFonts w:cs="Arial"/>
          <w:lang w:val="es-ES"/>
        </w:rPr>
        <w:t>, gracias a la financiación adicional procedente de los fondos en fideicomiso de la República de Corea;  ii) puestos vacantes relacionados con la contratación en el marco del programa de becas durante el bienio, y iii) reducción de la necesidad de consultores y contratistas externos</w:t>
      </w:r>
      <w:r>
        <w:rPr>
          <w:rFonts w:cs="Arial"/>
          <w:lang w:val="es-ES" w:eastAsia="ko-KR"/>
        </w:rPr>
        <w:t xml:space="preserve"> debido a la restructuración de determinadas funciones de T.I</w:t>
      </w:r>
      <w:r w:rsidRPr="00526311">
        <w:rPr>
          <w:rFonts w:cs="Arial"/>
          <w:lang w:val="es-ES" w:eastAsia="ko-KR"/>
        </w:rPr>
        <w:t>.</w:t>
      </w:r>
    </w:p>
    <w:p w:rsidR="001836E6" w:rsidRDefault="001836E6" w:rsidP="00DC1333">
      <w:pPr>
        <w:tabs>
          <w:tab w:val="left" w:pos="709"/>
        </w:tabs>
        <w:jc w:val="both"/>
        <w:rPr>
          <w:lang w:eastAsia="ko-KR"/>
        </w:rPr>
      </w:pPr>
    </w:p>
    <w:p w:rsidR="001836E6" w:rsidRDefault="001836E6" w:rsidP="00DC1333">
      <w:pPr>
        <w:tabs>
          <w:tab w:val="left" w:pos="709"/>
        </w:tabs>
        <w:jc w:val="both"/>
        <w:rPr>
          <w:lang w:eastAsia="ko-KR"/>
        </w:rPr>
      </w:pPr>
    </w:p>
    <w:p w:rsidR="001836E6" w:rsidRPr="00D53689" w:rsidRDefault="001836E6" w:rsidP="00DC1333">
      <w:pPr>
        <w:tabs>
          <w:tab w:val="left" w:pos="709"/>
        </w:tabs>
        <w:jc w:val="both"/>
        <w:rPr>
          <w:lang w:eastAsia="ko-KR"/>
        </w:rPr>
      </w:pPr>
    </w:p>
    <w:p w:rsidR="00FA423E" w:rsidRPr="002B202E" w:rsidRDefault="00FA423E" w:rsidP="00FA423E">
      <w:pPr>
        <w:rPr>
          <w:sz w:val="20"/>
        </w:rPr>
      </w:pPr>
    </w:p>
    <w:p w:rsidR="00FA423E" w:rsidRDefault="00FA423E" w:rsidP="00FA423E">
      <w:r>
        <w:br w:type="page"/>
      </w:r>
    </w:p>
    <w:p w:rsidR="00FA423E" w:rsidRPr="00F171B5" w:rsidRDefault="00FA423E" w:rsidP="00FA423E">
      <w:pPr>
        <w:pStyle w:val="StyleHeading214ptAuto"/>
        <w:rPr>
          <w:rFonts w:ascii="Arial" w:hAnsi="Arial"/>
          <w:bCs w:val="0"/>
          <w:caps w:val="0"/>
          <w:sz w:val="20"/>
          <w:szCs w:val="20"/>
          <w:lang w:val="es-ES" w:eastAsia="en-US"/>
        </w:rPr>
      </w:pPr>
      <w:bookmarkStart w:id="95" w:name="_Toc455159082"/>
      <w:r w:rsidRPr="00F171B5">
        <w:rPr>
          <w:rFonts w:ascii="Arial" w:hAnsi="Arial"/>
          <w:bCs w:val="0"/>
          <w:caps w:val="0"/>
          <w:sz w:val="20"/>
          <w:szCs w:val="20"/>
          <w:lang w:val="es-ES_tradnl" w:eastAsia="en-US"/>
        </w:rPr>
        <w:lastRenderedPageBreak/>
        <w:t>META ESTRATÉGICA III</w:t>
      </w:r>
      <w:bookmarkEnd w:id="95"/>
    </w:p>
    <w:p w:rsidR="00FA423E" w:rsidRPr="00F171B5" w:rsidRDefault="00FA423E" w:rsidP="00FA423E">
      <w:pPr>
        <w:rPr>
          <w:sz w:val="20"/>
        </w:rPr>
      </w:pPr>
    </w:p>
    <w:p w:rsidR="00FA423E" w:rsidRPr="00F171B5" w:rsidRDefault="00FA423E" w:rsidP="00FA423E">
      <w:pPr>
        <w:jc w:val="center"/>
        <w:rPr>
          <w:sz w:val="20"/>
        </w:rPr>
      </w:pPr>
      <w:r w:rsidRPr="00F171B5">
        <w:rPr>
          <w:b/>
          <w:sz w:val="20"/>
          <w:lang w:val="es-ES_tradnl"/>
        </w:rPr>
        <w:t>FACILITAR EL USO DE LA P.I. EN ARAS DEL DESARROLLO</w:t>
      </w:r>
    </w:p>
    <w:p w:rsidR="00FA423E" w:rsidRPr="00F171B5" w:rsidRDefault="00FA423E" w:rsidP="00FA423E">
      <w:pPr>
        <w:jc w:val="center"/>
        <w:rPr>
          <w:sz w:val="20"/>
        </w:rPr>
      </w:pPr>
    </w:p>
    <w:p w:rsidR="00FA423E" w:rsidRPr="00F171B5" w:rsidRDefault="00FA423E" w:rsidP="00FA423E">
      <w:pPr>
        <w:jc w:val="center"/>
        <w:rPr>
          <w:b/>
          <w:sz w:val="20"/>
        </w:rPr>
      </w:pPr>
      <w:r w:rsidRPr="00F171B5">
        <w:rPr>
          <w:b/>
          <w:sz w:val="20"/>
        </w:rPr>
        <w:t xml:space="preserve">Cuadro sobre el rendimiento bienal </w:t>
      </w:r>
    </w:p>
    <w:p w:rsidR="00FA423E" w:rsidRPr="00F171B5" w:rsidRDefault="00FA423E" w:rsidP="00FA423E">
      <w:pPr>
        <w:jc w:val="center"/>
        <w:rPr>
          <w:b/>
          <w:sz w:val="20"/>
        </w:rPr>
      </w:pPr>
    </w:p>
    <w:p w:rsidR="00FA423E" w:rsidRPr="00F171B5" w:rsidRDefault="00FA423E" w:rsidP="00FA423E">
      <w:pPr>
        <w:autoSpaceDE w:val="0"/>
        <w:autoSpaceDN w:val="0"/>
        <w:adjustRightInd w:val="0"/>
        <w:jc w:val="both"/>
        <w:rPr>
          <w:sz w:val="20"/>
        </w:rPr>
      </w:pPr>
      <w:r w:rsidRPr="00F171B5">
        <w:rPr>
          <w:sz w:val="20"/>
          <w:lang w:val="es-ES_tradnl"/>
        </w:rPr>
        <w:t>En el siguiente cuadro se reseñan los avances realizados hacia la consecución de los resultados en el bienio 2014/15, medidos con arreglo a los indicadores de los programas que contribuyen al logro de esta meta estratégica.</w:t>
      </w:r>
      <w:r w:rsidRPr="00F171B5">
        <w:rPr>
          <w:sz w:val="20"/>
        </w:rPr>
        <w:t xml:space="preserve">  </w:t>
      </w:r>
    </w:p>
    <w:p w:rsidR="00FA423E" w:rsidRPr="00F171B5" w:rsidRDefault="00FA423E" w:rsidP="00FA423E">
      <w:pPr>
        <w:jc w:val="center"/>
        <w:rPr>
          <w:sz w:val="20"/>
        </w:rPr>
      </w:pPr>
      <w:r w:rsidRPr="00F171B5">
        <w:rPr>
          <w:noProof/>
          <w:sz w:val="20"/>
          <w:lang w:val="en-US" w:eastAsia="en-US"/>
        </w:rPr>
        <w:drawing>
          <wp:inline distT="0" distB="0" distL="0" distR="0" wp14:anchorId="510786B3" wp14:editId="28C76A44">
            <wp:extent cx="5940425" cy="2974271"/>
            <wp:effectExtent l="0" t="0" r="317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5940425" cy="2974271"/>
                    </a:xfrm>
                    <a:prstGeom prst="rect">
                      <a:avLst/>
                    </a:prstGeom>
                    <a:noFill/>
                    <a:ln>
                      <a:noFill/>
                    </a:ln>
                  </pic:spPr>
                </pic:pic>
              </a:graphicData>
            </a:graphic>
          </wp:inline>
        </w:drawing>
      </w:r>
    </w:p>
    <w:p w:rsidR="00FA423E" w:rsidRPr="00F171B5" w:rsidRDefault="00FA423E" w:rsidP="00FA423E">
      <w:pPr>
        <w:jc w:val="center"/>
        <w:rPr>
          <w:sz w:val="20"/>
        </w:rPr>
      </w:pPr>
    </w:p>
    <w:tbl>
      <w:tblPr>
        <w:tblW w:w="4941"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794"/>
        <w:gridCol w:w="4288"/>
        <w:gridCol w:w="1390"/>
        <w:gridCol w:w="986"/>
      </w:tblGrid>
      <w:tr w:rsidR="00FA423E" w:rsidRPr="0016774F" w:rsidTr="00DC1333">
        <w:trPr>
          <w:cantSplit/>
          <w:tblHeader/>
        </w:trPr>
        <w:tc>
          <w:tcPr>
            <w:tcW w:w="1477" w:type="pct"/>
            <w:tcBorders>
              <w:top w:val="single" w:sz="4" w:space="0" w:color="auto"/>
              <w:bottom w:val="single" w:sz="4" w:space="0" w:color="auto"/>
            </w:tcBorders>
            <w:shd w:val="clear" w:color="auto" w:fill="DAEEF3" w:themeFill="accent5" w:themeFillTint="33"/>
            <w:tcMar>
              <w:top w:w="113" w:type="dxa"/>
              <w:bottom w:w="57" w:type="dxa"/>
            </w:tcMar>
            <w:vAlign w:val="center"/>
          </w:tcPr>
          <w:p w:rsidR="00FA423E" w:rsidRPr="007E4934" w:rsidRDefault="00FA423E" w:rsidP="00DC1333">
            <w:pPr>
              <w:spacing w:after="120"/>
              <w:rPr>
                <w:b/>
                <w:bCs/>
                <w:sz w:val="18"/>
                <w:szCs w:val="18"/>
              </w:rPr>
            </w:pPr>
            <w:r w:rsidRPr="007E4934">
              <w:rPr>
                <w:b/>
                <w:bCs/>
                <w:sz w:val="18"/>
                <w:szCs w:val="18"/>
                <w:lang w:val="es-ES_tradnl"/>
              </w:rPr>
              <w:t>Resultados previstos</w:t>
            </w:r>
          </w:p>
        </w:tc>
        <w:tc>
          <w:tcPr>
            <w:tcW w:w="2267" w:type="pct"/>
            <w:tcBorders>
              <w:top w:val="single" w:sz="4" w:space="0" w:color="auto"/>
              <w:bottom w:val="single" w:sz="4" w:space="0" w:color="auto"/>
            </w:tcBorders>
            <w:shd w:val="clear" w:color="auto" w:fill="DAEEF3" w:themeFill="accent5" w:themeFillTint="33"/>
            <w:tcMar>
              <w:top w:w="113" w:type="dxa"/>
              <w:bottom w:w="57" w:type="dxa"/>
            </w:tcMar>
            <w:vAlign w:val="center"/>
          </w:tcPr>
          <w:p w:rsidR="00FA423E" w:rsidRPr="007E4934" w:rsidRDefault="00FA423E" w:rsidP="00DC1333">
            <w:pPr>
              <w:spacing w:after="120"/>
              <w:rPr>
                <w:b/>
                <w:bCs/>
                <w:sz w:val="18"/>
                <w:szCs w:val="18"/>
              </w:rPr>
            </w:pPr>
            <w:r w:rsidRPr="007E4934">
              <w:rPr>
                <w:b/>
                <w:bCs/>
                <w:sz w:val="18"/>
                <w:szCs w:val="18"/>
                <w:lang w:val="es-ES_tradnl"/>
              </w:rPr>
              <w:t>Indicadores de rendimiento</w:t>
            </w:r>
          </w:p>
        </w:tc>
        <w:tc>
          <w:tcPr>
            <w:tcW w:w="735" w:type="pct"/>
            <w:tcBorders>
              <w:top w:val="single" w:sz="4" w:space="0" w:color="auto"/>
              <w:bottom w:val="single" w:sz="4" w:space="0" w:color="auto"/>
            </w:tcBorders>
            <w:shd w:val="clear" w:color="auto" w:fill="DAEEF3" w:themeFill="accent5" w:themeFillTint="33"/>
            <w:tcMar>
              <w:top w:w="113" w:type="dxa"/>
              <w:bottom w:w="57" w:type="dxa"/>
            </w:tcMar>
            <w:vAlign w:val="center"/>
          </w:tcPr>
          <w:p w:rsidR="00FA423E" w:rsidRPr="007E4934" w:rsidRDefault="00FA423E" w:rsidP="00DC1333">
            <w:pPr>
              <w:spacing w:after="120"/>
              <w:ind w:left="47" w:right="-35"/>
              <w:jc w:val="center"/>
              <w:rPr>
                <w:b/>
                <w:bCs/>
                <w:sz w:val="18"/>
                <w:szCs w:val="18"/>
              </w:rPr>
            </w:pPr>
            <w:r w:rsidRPr="007E4934">
              <w:rPr>
                <w:b/>
                <w:bCs/>
                <w:sz w:val="18"/>
                <w:szCs w:val="18"/>
                <w:lang w:val="es-ES_tradnl"/>
              </w:rPr>
              <w:t>Programas responsables</w:t>
            </w:r>
          </w:p>
        </w:tc>
        <w:tc>
          <w:tcPr>
            <w:tcW w:w="521" w:type="pct"/>
            <w:tcBorders>
              <w:top w:val="single" w:sz="4" w:space="0" w:color="auto"/>
              <w:bottom w:val="single" w:sz="4" w:space="0" w:color="auto"/>
            </w:tcBorders>
            <w:shd w:val="clear" w:color="auto" w:fill="DAEEF3" w:themeFill="accent5" w:themeFillTint="33"/>
            <w:vAlign w:val="center"/>
          </w:tcPr>
          <w:p w:rsidR="00FA423E" w:rsidRPr="007E4934" w:rsidRDefault="00FA423E" w:rsidP="00DC1333">
            <w:pPr>
              <w:spacing w:after="120"/>
              <w:ind w:left="85"/>
              <w:jc w:val="center"/>
              <w:rPr>
                <w:b/>
                <w:bCs/>
                <w:sz w:val="18"/>
                <w:szCs w:val="18"/>
              </w:rPr>
            </w:pPr>
            <w:r w:rsidRPr="007E4934">
              <w:rPr>
                <w:b/>
                <w:bCs/>
                <w:sz w:val="18"/>
                <w:szCs w:val="18"/>
                <w:lang w:val="es-ES_tradnl"/>
              </w:rPr>
              <w:t>Clave de colores</w:t>
            </w:r>
          </w:p>
        </w:tc>
      </w:tr>
      <w:tr w:rsidR="00FA423E" w:rsidRPr="0016774F" w:rsidTr="00DC1333">
        <w:trPr>
          <w:cantSplit/>
        </w:trPr>
        <w:tc>
          <w:tcPr>
            <w:tcW w:w="1477" w:type="pct"/>
            <w:tcBorders>
              <w:top w:val="single" w:sz="4" w:space="0" w:color="auto"/>
            </w:tcBorders>
            <w:shd w:val="clear" w:color="auto" w:fill="auto"/>
            <w:tcMar>
              <w:top w:w="113" w:type="dxa"/>
              <w:bottom w:w="57" w:type="dxa"/>
            </w:tcMar>
          </w:tcPr>
          <w:p w:rsidR="00FA423E" w:rsidRPr="007E4934" w:rsidRDefault="00FA423E" w:rsidP="00DC1333">
            <w:pPr>
              <w:rPr>
                <w:sz w:val="16"/>
                <w:szCs w:val="16"/>
              </w:rPr>
            </w:pPr>
            <w:r w:rsidRPr="007E4934">
              <w:rPr>
                <w:sz w:val="15"/>
                <w:szCs w:val="15"/>
                <w:lang w:val="es-ES_tradnl"/>
              </w:rPr>
              <w:t>III.1 Estrategias y planes nacionales de innovación y de P.I. que estén en sintonía con los objetivos nacionales de desarrollo</w:t>
            </w:r>
            <w:r w:rsidRPr="007E4934">
              <w:rPr>
                <w:sz w:val="15"/>
                <w:szCs w:val="15"/>
              </w:rPr>
              <w:t xml:space="preserve"> </w:t>
            </w:r>
          </w:p>
        </w:tc>
        <w:tc>
          <w:tcPr>
            <w:tcW w:w="2267" w:type="pct"/>
            <w:tcBorders>
              <w:top w:val="single" w:sz="4" w:space="0" w:color="auto"/>
            </w:tcBorders>
            <w:shd w:val="clear" w:color="auto" w:fill="auto"/>
            <w:tcMar>
              <w:top w:w="113" w:type="dxa"/>
              <w:bottom w:w="57" w:type="dxa"/>
            </w:tcMar>
          </w:tcPr>
          <w:p w:rsidR="00FA423E" w:rsidRPr="007E4934" w:rsidRDefault="00FA423E" w:rsidP="00DC1333">
            <w:pPr>
              <w:rPr>
                <w:sz w:val="16"/>
                <w:szCs w:val="16"/>
              </w:rPr>
            </w:pPr>
            <w:r w:rsidRPr="007E4934">
              <w:rPr>
                <w:sz w:val="16"/>
                <w:szCs w:val="16"/>
                <w:lang w:val="es-ES_tradnl"/>
              </w:rPr>
              <w:t>Número de países que están en proceso de formular/adoptar estrategias o planes de desarrollo nacionales de P.I.</w:t>
            </w:r>
          </w:p>
        </w:tc>
        <w:tc>
          <w:tcPr>
            <w:tcW w:w="735" w:type="pct"/>
            <w:tcBorders>
              <w:top w:val="single" w:sz="4" w:space="0" w:color="auto"/>
            </w:tcBorders>
            <w:shd w:val="clear" w:color="auto" w:fill="FFFFFF"/>
            <w:tcMar>
              <w:top w:w="113" w:type="dxa"/>
              <w:bottom w:w="57" w:type="dxa"/>
            </w:tcMar>
          </w:tcPr>
          <w:p w:rsidR="00FA423E" w:rsidRPr="007E4934" w:rsidRDefault="00FA423E" w:rsidP="00DC1333">
            <w:pPr>
              <w:jc w:val="center"/>
              <w:rPr>
                <w:sz w:val="16"/>
                <w:szCs w:val="16"/>
                <w:lang w:bidi="th-TH"/>
              </w:rPr>
            </w:pPr>
            <w:r w:rsidRPr="007E4934">
              <w:rPr>
                <w:sz w:val="16"/>
                <w:szCs w:val="16"/>
                <w:lang w:val="es-ES_tradnl" w:bidi="th-TH"/>
              </w:rPr>
              <w:t>Programa 9</w:t>
            </w:r>
          </w:p>
        </w:tc>
        <w:tc>
          <w:tcPr>
            <w:tcW w:w="521" w:type="pct"/>
            <w:tcBorders>
              <w:top w:val="single" w:sz="4" w:space="0" w:color="auto"/>
            </w:tcBorders>
            <w:shd w:val="clear" w:color="auto" w:fill="FFFFFF"/>
          </w:tcPr>
          <w:p w:rsidR="00FA423E" w:rsidRPr="00CC3F44" w:rsidRDefault="00FA423E" w:rsidP="00DC1333">
            <w:pPr>
              <w:jc w:val="center"/>
            </w:pPr>
            <w:r w:rsidRPr="00CC3F44">
              <w:rPr>
                <w:color w:val="008000"/>
                <w:szCs w:val="22"/>
              </w:rPr>
              <w:sym w:font="Wingdings" w:char="F06C"/>
            </w:r>
            <w:r w:rsidRPr="00CC3F44">
              <w:rPr>
                <w:color w:val="FF0000"/>
                <w:szCs w:val="22"/>
              </w:rPr>
              <w:sym w:font="Wingdings" w:char="F06C"/>
            </w:r>
            <w:r w:rsidRPr="00CC3F44">
              <w:rPr>
                <w:color w:val="008000"/>
                <w:szCs w:val="22"/>
              </w:rPr>
              <w:sym w:font="Wingdings" w:char="F06C"/>
            </w:r>
            <w:r w:rsidRPr="00CC3F44">
              <w:rPr>
                <w:color w:val="008000"/>
                <w:szCs w:val="22"/>
              </w:rPr>
              <w:sym w:font="Wingdings" w:char="F06C"/>
            </w:r>
            <w:r w:rsidRPr="00CC3F44">
              <w:rPr>
                <w:color w:val="008000"/>
                <w:szCs w:val="22"/>
              </w:rPr>
              <w:sym w:font="Wingdings" w:char="F06C"/>
            </w:r>
          </w:p>
        </w:tc>
      </w:tr>
      <w:tr w:rsidR="00FA423E" w:rsidRPr="0016774F" w:rsidTr="00DC1333">
        <w:trPr>
          <w:cantSplit/>
          <w:trHeight w:val="589"/>
        </w:trPr>
        <w:tc>
          <w:tcPr>
            <w:tcW w:w="1477" w:type="pct"/>
            <w:shd w:val="clear" w:color="auto" w:fill="auto"/>
            <w:tcMar>
              <w:top w:w="113" w:type="dxa"/>
              <w:bottom w:w="57" w:type="dxa"/>
            </w:tcMar>
          </w:tcPr>
          <w:p w:rsidR="00FA423E" w:rsidRPr="007E4934" w:rsidRDefault="00FA423E" w:rsidP="00DC1333">
            <w:pPr>
              <w:rPr>
                <w:sz w:val="16"/>
                <w:szCs w:val="16"/>
              </w:rPr>
            </w:pPr>
          </w:p>
        </w:tc>
        <w:tc>
          <w:tcPr>
            <w:tcW w:w="2267" w:type="pct"/>
            <w:shd w:val="clear" w:color="auto" w:fill="auto"/>
            <w:tcMar>
              <w:top w:w="113" w:type="dxa"/>
              <w:bottom w:w="57" w:type="dxa"/>
            </w:tcMar>
          </w:tcPr>
          <w:p w:rsidR="00FA423E" w:rsidRPr="007E4934" w:rsidRDefault="00FA423E" w:rsidP="00DC1333">
            <w:pPr>
              <w:rPr>
                <w:sz w:val="16"/>
                <w:szCs w:val="16"/>
              </w:rPr>
            </w:pPr>
            <w:r w:rsidRPr="007E4934">
              <w:rPr>
                <w:sz w:val="16"/>
                <w:szCs w:val="16"/>
                <w:lang w:val="es-ES_tradnl"/>
              </w:rPr>
              <w:t>Número de países que han adoptado o aplicado estrategias o planes de desarrollo nacionales de P.I.</w:t>
            </w:r>
          </w:p>
        </w:tc>
        <w:tc>
          <w:tcPr>
            <w:tcW w:w="735" w:type="pct"/>
            <w:shd w:val="clear" w:color="auto" w:fill="FFFFFF"/>
            <w:tcMar>
              <w:top w:w="113" w:type="dxa"/>
              <w:bottom w:w="57" w:type="dxa"/>
            </w:tcMar>
          </w:tcPr>
          <w:p w:rsidR="00FA423E" w:rsidRPr="007E4934" w:rsidRDefault="00FA423E" w:rsidP="00DC1333">
            <w:pPr>
              <w:jc w:val="center"/>
              <w:rPr>
                <w:sz w:val="16"/>
                <w:szCs w:val="16"/>
                <w:lang w:bidi="th-TH"/>
              </w:rPr>
            </w:pPr>
            <w:r w:rsidRPr="007E4934">
              <w:rPr>
                <w:sz w:val="16"/>
                <w:szCs w:val="16"/>
                <w:lang w:val="es-ES_tradnl" w:bidi="th-TH"/>
              </w:rPr>
              <w:t>Programa 9</w:t>
            </w:r>
          </w:p>
        </w:tc>
        <w:tc>
          <w:tcPr>
            <w:tcW w:w="521" w:type="pct"/>
            <w:shd w:val="clear" w:color="auto" w:fill="FFFFFF"/>
          </w:tcPr>
          <w:p w:rsidR="00FA423E" w:rsidRPr="00CC3F44" w:rsidRDefault="00FA423E" w:rsidP="00DC1333">
            <w:pPr>
              <w:jc w:val="center"/>
              <w:rPr>
                <w:color w:val="FF0000"/>
                <w:szCs w:val="22"/>
              </w:rPr>
            </w:pPr>
            <w:r w:rsidRPr="00CC3F44">
              <w:rPr>
                <w:color w:val="008000"/>
                <w:szCs w:val="22"/>
              </w:rPr>
              <w:sym w:font="Wingdings" w:char="F06C"/>
            </w:r>
            <w:r w:rsidRPr="00CC3F44">
              <w:rPr>
                <w:color w:val="FF0000"/>
                <w:szCs w:val="22"/>
              </w:rPr>
              <w:sym w:font="Wingdings" w:char="F06C"/>
            </w:r>
            <w:r w:rsidRPr="00CC3F44">
              <w:rPr>
                <w:color w:val="008000"/>
                <w:szCs w:val="22"/>
              </w:rPr>
              <w:sym w:font="Wingdings" w:char="F06C"/>
            </w:r>
            <w:r w:rsidRPr="00CC3F44">
              <w:rPr>
                <w:color w:val="E26B0A"/>
                <w:szCs w:val="22"/>
              </w:rPr>
              <w:sym w:font="Wingdings" w:char="F06C"/>
            </w:r>
            <w:r w:rsidRPr="00CC3F44">
              <w:rPr>
                <w:color w:val="008000"/>
                <w:szCs w:val="22"/>
              </w:rPr>
              <w:sym w:font="Wingdings" w:char="F06C"/>
            </w:r>
          </w:p>
        </w:tc>
      </w:tr>
      <w:tr w:rsidR="00FA423E" w:rsidRPr="0016774F" w:rsidTr="00DC1333">
        <w:trPr>
          <w:cantSplit/>
          <w:trHeight w:val="274"/>
        </w:trPr>
        <w:tc>
          <w:tcPr>
            <w:tcW w:w="1477" w:type="pct"/>
            <w:shd w:val="clear" w:color="auto" w:fill="auto"/>
            <w:tcMar>
              <w:top w:w="113" w:type="dxa"/>
              <w:bottom w:w="57" w:type="dxa"/>
            </w:tcMar>
          </w:tcPr>
          <w:p w:rsidR="00FA423E" w:rsidRPr="007E4934" w:rsidRDefault="00FA423E" w:rsidP="00DC1333">
            <w:pPr>
              <w:rPr>
                <w:sz w:val="16"/>
                <w:szCs w:val="16"/>
              </w:rPr>
            </w:pPr>
          </w:p>
        </w:tc>
        <w:tc>
          <w:tcPr>
            <w:tcW w:w="2267" w:type="pct"/>
            <w:shd w:val="clear" w:color="auto" w:fill="auto"/>
            <w:tcMar>
              <w:top w:w="113" w:type="dxa"/>
              <w:bottom w:w="57" w:type="dxa"/>
            </w:tcMar>
          </w:tcPr>
          <w:p w:rsidR="00FA423E" w:rsidRPr="007E4934" w:rsidRDefault="00FA423E" w:rsidP="00DC1333">
            <w:pPr>
              <w:rPr>
                <w:sz w:val="16"/>
                <w:szCs w:val="16"/>
              </w:rPr>
            </w:pPr>
            <w:r w:rsidRPr="007E4934">
              <w:rPr>
                <w:sz w:val="16"/>
                <w:szCs w:val="16"/>
                <w:lang w:val="es-ES_tradnl"/>
              </w:rPr>
              <w:t>Número de universidades que han elaborado políticas de P.I.</w:t>
            </w:r>
          </w:p>
        </w:tc>
        <w:tc>
          <w:tcPr>
            <w:tcW w:w="735" w:type="pct"/>
            <w:shd w:val="clear" w:color="auto" w:fill="FFFFFF"/>
            <w:tcMar>
              <w:top w:w="113" w:type="dxa"/>
              <w:bottom w:w="57" w:type="dxa"/>
            </w:tcMar>
          </w:tcPr>
          <w:p w:rsidR="00FA423E" w:rsidRPr="007E4934" w:rsidRDefault="00FA423E" w:rsidP="00DC1333">
            <w:pPr>
              <w:jc w:val="center"/>
              <w:rPr>
                <w:sz w:val="16"/>
                <w:szCs w:val="16"/>
                <w:lang w:bidi="th-TH"/>
              </w:rPr>
            </w:pPr>
            <w:r w:rsidRPr="007E4934">
              <w:rPr>
                <w:sz w:val="16"/>
                <w:szCs w:val="16"/>
                <w:lang w:val="es-ES_tradnl" w:bidi="th-TH"/>
              </w:rPr>
              <w:t>Programa 10</w:t>
            </w:r>
          </w:p>
        </w:tc>
        <w:tc>
          <w:tcPr>
            <w:tcW w:w="521" w:type="pct"/>
            <w:shd w:val="clear" w:color="auto" w:fill="FFFFFF"/>
          </w:tcPr>
          <w:p w:rsidR="00FA423E" w:rsidRPr="00CC3F44" w:rsidRDefault="00FA423E" w:rsidP="00DC1333">
            <w:pPr>
              <w:jc w:val="center"/>
            </w:pPr>
            <w:r w:rsidRPr="00CC3F44">
              <w:rPr>
                <w:color w:val="008000"/>
                <w:szCs w:val="22"/>
              </w:rPr>
              <w:sym w:font="Wingdings" w:char="F06C"/>
            </w:r>
          </w:p>
        </w:tc>
      </w:tr>
      <w:tr w:rsidR="00FA423E" w:rsidRPr="0016774F" w:rsidTr="00DC1333">
        <w:trPr>
          <w:cantSplit/>
          <w:trHeight w:val="382"/>
        </w:trPr>
        <w:tc>
          <w:tcPr>
            <w:tcW w:w="1477" w:type="pct"/>
            <w:vMerge w:val="restart"/>
            <w:shd w:val="clear" w:color="auto" w:fill="auto"/>
            <w:tcMar>
              <w:top w:w="113" w:type="dxa"/>
              <w:bottom w:w="57" w:type="dxa"/>
            </w:tcMar>
          </w:tcPr>
          <w:p w:rsidR="00FA423E" w:rsidRPr="007E4934" w:rsidRDefault="00FA423E" w:rsidP="00DC1333">
            <w:pPr>
              <w:rPr>
                <w:sz w:val="16"/>
                <w:szCs w:val="16"/>
              </w:rPr>
            </w:pPr>
          </w:p>
        </w:tc>
        <w:tc>
          <w:tcPr>
            <w:tcW w:w="2267" w:type="pct"/>
            <w:shd w:val="clear" w:color="auto" w:fill="auto"/>
            <w:tcMar>
              <w:top w:w="113" w:type="dxa"/>
              <w:bottom w:w="57" w:type="dxa"/>
            </w:tcMar>
          </w:tcPr>
          <w:p w:rsidR="00FA423E" w:rsidRPr="007E4934" w:rsidRDefault="00FA423E" w:rsidP="00DC1333">
            <w:pPr>
              <w:rPr>
                <w:sz w:val="16"/>
                <w:szCs w:val="16"/>
              </w:rPr>
            </w:pPr>
            <w:r w:rsidRPr="007E4934">
              <w:rPr>
                <w:sz w:val="16"/>
                <w:szCs w:val="16"/>
                <w:lang w:val="es-ES_tradnl"/>
              </w:rPr>
              <w:t>Número de países que han elaborado estrategias/planes nacionales de P.I.</w:t>
            </w:r>
          </w:p>
        </w:tc>
        <w:tc>
          <w:tcPr>
            <w:tcW w:w="735" w:type="pct"/>
            <w:shd w:val="clear" w:color="auto" w:fill="FFFFFF"/>
            <w:tcMar>
              <w:top w:w="113" w:type="dxa"/>
              <w:bottom w:w="57" w:type="dxa"/>
            </w:tcMar>
          </w:tcPr>
          <w:p w:rsidR="00FA423E" w:rsidRPr="007E4934" w:rsidRDefault="00FA423E" w:rsidP="00DC1333">
            <w:pPr>
              <w:jc w:val="center"/>
              <w:rPr>
                <w:sz w:val="16"/>
                <w:szCs w:val="16"/>
                <w:lang w:bidi="th-TH"/>
              </w:rPr>
            </w:pPr>
            <w:r w:rsidRPr="007E4934">
              <w:rPr>
                <w:sz w:val="16"/>
                <w:szCs w:val="16"/>
                <w:lang w:val="es-ES_tradnl" w:bidi="th-TH"/>
              </w:rPr>
              <w:t>Programa 10</w:t>
            </w:r>
          </w:p>
          <w:p w:rsidR="00FA423E" w:rsidRPr="007E4934" w:rsidRDefault="00FA423E" w:rsidP="00DC1333">
            <w:pPr>
              <w:jc w:val="center"/>
              <w:rPr>
                <w:sz w:val="16"/>
                <w:szCs w:val="16"/>
                <w:lang w:bidi="th-TH"/>
              </w:rPr>
            </w:pPr>
          </w:p>
        </w:tc>
        <w:tc>
          <w:tcPr>
            <w:tcW w:w="521" w:type="pct"/>
            <w:shd w:val="clear" w:color="auto" w:fill="FFFFFF"/>
          </w:tcPr>
          <w:p w:rsidR="00FA423E" w:rsidRPr="00CC3F44" w:rsidRDefault="00FA423E" w:rsidP="00DC1333">
            <w:pPr>
              <w:jc w:val="center"/>
            </w:pPr>
            <w:r w:rsidRPr="00CC3F44">
              <w:rPr>
                <w:color w:val="008000"/>
                <w:szCs w:val="22"/>
              </w:rPr>
              <w:sym w:font="Wingdings" w:char="F06C"/>
            </w:r>
          </w:p>
        </w:tc>
      </w:tr>
      <w:tr w:rsidR="00FA423E" w:rsidRPr="0016774F" w:rsidTr="00DC1333">
        <w:trPr>
          <w:cantSplit/>
          <w:trHeight w:val="454"/>
        </w:trPr>
        <w:tc>
          <w:tcPr>
            <w:tcW w:w="1477" w:type="pct"/>
            <w:vMerge/>
            <w:shd w:val="clear" w:color="auto" w:fill="auto"/>
            <w:tcMar>
              <w:top w:w="113" w:type="dxa"/>
              <w:bottom w:w="57" w:type="dxa"/>
            </w:tcMar>
          </w:tcPr>
          <w:p w:rsidR="00FA423E" w:rsidRPr="007E4934" w:rsidRDefault="00FA423E" w:rsidP="00DC1333">
            <w:pPr>
              <w:rPr>
                <w:sz w:val="16"/>
                <w:szCs w:val="16"/>
              </w:rPr>
            </w:pPr>
          </w:p>
        </w:tc>
        <w:tc>
          <w:tcPr>
            <w:tcW w:w="2267" w:type="pct"/>
            <w:shd w:val="clear" w:color="auto" w:fill="auto"/>
            <w:tcMar>
              <w:top w:w="113" w:type="dxa"/>
              <w:bottom w:w="57" w:type="dxa"/>
            </w:tcMar>
          </w:tcPr>
          <w:p w:rsidR="00FA423E" w:rsidRPr="007E4934" w:rsidRDefault="00FA423E" w:rsidP="00DC1333">
            <w:pPr>
              <w:rPr>
                <w:sz w:val="16"/>
                <w:szCs w:val="16"/>
              </w:rPr>
            </w:pPr>
            <w:r w:rsidRPr="007E4934">
              <w:rPr>
                <w:sz w:val="16"/>
                <w:szCs w:val="16"/>
                <w:lang w:val="es-ES_tradnl"/>
              </w:rPr>
              <w:t>Número de países con políticas nacionales de innovación iniciadas, en curso o adoptadas</w:t>
            </w:r>
          </w:p>
        </w:tc>
        <w:tc>
          <w:tcPr>
            <w:tcW w:w="735" w:type="pct"/>
            <w:shd w:val="clear" w:color="auto" w:fill="FFFFFF"/>
            <w:tcMar>
              <w:top w:w="113" w:type="dxa"/>
              <w:bottom w:w="57" w:type="dxa"/>
            </w:tcMar>
          </w:tcPr>
          <w:p w:rsidR="00FA423E" w:rsidRPr="007E4934" w:rsidRDefault="00FA423E" w:rsidP="00DC1333">
            <w:pPr>
              <w:jc w:val="center"/>
              <w:rPr>
                <w:sz w:val="16"/>
                <w:szCs w:val="16"/>
                <w:lang w:bidi="th-TH"/>
              </w:rPr>
            </w:pPr>
            <w:r w:rsidRPr="007E4934">
              <w:rPr>
                <w:sz w:val="16"/>
                <w:szCs w:val="16"/>
                <w:lang w:val="es-ES_tradnl" w:bidi="th-TH"/>
              </w:rPr>
              <w:t>Programa 30</w:t>
            </w:r>
          </w:p>
        </w:tc>
        <w:tc>
          <w:tcPr>
            <w:tcW w:w="521" w:type="pct"/>
            <w:shd w:val="clear" w:color="auto" w:fill="FFFFFF"/>
          </w:tcPr>
          <w:p w:rsidR="00FA423E" w:rsidRPr="00CC3F44" w:rsidRDefault="00FA423E" w:rsidP="00DC1333">
            <w:pPr>
              <w:jc w:val="center"/>
              <w:rPr>
                <w:color w:val="A6A6A6" w:themeColor="background1" w:themeShade="A6"/>
                <w:szCs w:val="22"/>
              </w:rPr>
            </w:pPr>
            <w:r w:rsidRPr="00CC3F44">
              <w:rPr>
                <w:color w:val="008000"/>
                <w:szCs w:val="22"/>
              </w:rPr>
              <w:sym w:font="Wingdings" w:char="F06C"/>
            </w:r>
          </w:p>
        </w:tc>
      </w:tr>
      <w:tr w:rsidR="00FA423E" w:rsidRPr="0016774F" w:rsidTr="00DC1333">
        <w:trPr>
          <w:cantSplit/>
          <w:trHeight w:val="643"/>
        </w:trPr>
        <w:tc>
          <w:tcPr>
            <w:tcW w:w="1477" w:type="pct"/>
            <w:vMerge w:val="restart"/>
            <w:shd w:val="clear" w:color="auto" w:fill="auto"/>
            <w:tcMar>
              <w:top w:w="113" w:type="dxa"/>
              <w:bottom w:w="57" w:type="dxa"/>
            </w:tcMar>
          </w:tcPr>
          <w:p w:rsidR="00FA423E" w:rsidRPr="007E4934" w:rsidRDefault="00FA423E" w:rsidP="00DC1333">
            <w:pPr>
              <w:rPr>
                <w:sz w:val="16"/>
                <w:szCs w:val="16"/>
              </w:rPr>
            </w:pPr>
            <w:r w:rsidRPr="007E4934">
              <w:rPr>
                <w:sz w:val="16"/>
                <w:szCs w:val="16"/>
                <w:lang w:val="es-ES_tradnl"/>
              </w:rPr>
              <w:t>III.2 Aumento de las capacidades en recursos humanos para hacer frente a la gran diversidad de exigencias que supone la utilización eficaz de la P.I. para fomentar el desarrollo en los países en desarrollo, PMA y países con economías en transición</w:t>
            </w:r>
          </w:p>
        </w:tc>
        <w:tc>
          <w:tcPr>
            <w:tcW w:w="2267" w:type="pct"/>
            <w:shd w:val="clear" w:color="auto" w:fill="auto"/>
            <w:tcMar>
              <w:top w:w="113" w:type="dxa"/>
              <w:bottom w:w="57" w:type="dxa"/>
            </w:tcMar>
          </w:tcPr>
          <w:p w:rsidR="00FA423E" w:rsidRPr="007E4934" w:rsidRDefault="00FA423E" w:rsidP="00DC1333">
            <w:pPr>
              <w:rPr>
                <w:sz w:val="16"/>
                <w:szCs w:val="16"/>
              </w:rPr>
            </w:pPr>
            <w:r w:rsidRPr="007E4934">
              <w:rPr>
                <w:sz w:val="16"/>
                <w:szCs w:val="16"/>
                <w:lang w:val="es-ES_tradnl"/>
              </w:rPr>
              <w:t>Número de gobiernos y de OGC que han firmado acuerdos con la OMPI para elaborar una nueva norma de garantía de calidad en materia de transparencia, rendición de cuentas y gobernanza</w:t>
            </w:r>
          </w:p>
        </w:tc>
        <w:tc>
          <w:tcPr>
            <w:tcW w:w="735" w:type="pct"/>
            <w:shd w:val="clear" w:color="auto" w:fill="FFFFFF"/>
            <w:tcMar>
              <w:top w:w="113" w:type="dxa"/>
              <w:bottom w:w="57" w:type="dxa"/>
            </w:tcMar>
          </w:tcPr>
          <w:p w:rsidR="00FA423E" w:rsidRPr="007E4934" w:rsidRDefault="00FA423E" w:rsidP="00DC1333">
            <w:pPr>
              <w:jc w:val="center"/>
              <w:rPr>
                <w:sz w:val="16"/>
                <w:szCs w:val="16"/>
                <w:lang w:bidi="th-TH"/>
              </w:rPr>
            </w:pPr>
            <w:r w:rsidRPr="007E4934">
              <w:rPr>
                <w:sz w:val="16"/>
                <w:szCs w:val="16"/>
                <w:lang w:val="es-ES_tradnl" w:bidi="th-TH"/>
              </w:rPr>
              <w:t>Programa 3</w:t>
            </w:r>
          </w:p>
        </w:tc>
        <w:tc>
          <w:tcPr>
            <w:tcW w:w="521" w:type="pct"/>
            <w:shd w:val="clear" w:color="auto" w:fill="FFFFFF"/>
          </w:tcPr>
          <w:p w:rsidR="00FA423E" w:rsidRPr="00CC3F44" w:rsidRDefault="00FA423E" w:rsidP="00DC1333">
            <w:pPr>
              <w:jc w:val="center"/>
              <w:rPr>
                <w:color w:val="008000"/>
                <w:szCs w:val="22"/>
              </w:rPr>
            </w:pPr>
            <w:r w:rsidRPr="00CC3F44">
              <w:rPr>
                <w:color w:val="008000"/>
                <w:szCs w:val="22"/>
              </w:rPr>
              <w:sym w:font="Wingdings" w:char="F06C"/>
            </w:r>
          </w:p>
        </w:tc>
      </w:tr>
      <w:tr w:rsidR="00FA423E" w:rsidRPr="0016774F" w:rsidTr="00DC1333">
        <w:trPr>
          <w:cantSplit/>
          <w:trHeight w:val="634"/>
        </w:trPr>
        <w:tc>
          <w:tcPr>
            <w:tcW w:w="1477" w:type="pct"/>
            <w:vMerge/>
            <w:shd w:val="clear" w:color="auto" w:fill="auto"/>
            <w:tcMar>
              <w:top w:w="113" w:type="dxa"/>
              <w:bottom w:w="57" w:type="dxa"/>
            </w:tcMar>
          </w:tcPr>
          <w:p w:rsidR="00FA423E" w:rsidRPr="007E4934" w:rsidRDefault="00FA423E" w:rsidP="00DC1333">
            <w:pPr>
              <w:rPr>
                <w:sz w:val="16"/>
                <w:szCs w:val="16"/>
              </w:rPr>
            </w:pPr>
          </w:p>
        </w:tc>
        <w:tc>
          <w:tcPr>
            <w:tcW w:w="2267" w:type="pct"/>
            <w:shd w:val="clear" w:color="auto" w:fill="auto"/>
            <w:tcMar>
              <w:top w:w="113" w:type="dxa"/>
              <w:bottom w:w="57" w:type="dxa"/>
            </w:tcMar>
          </w:tcPr>
          <w:p w:rsidR="00FA423E" w:rsidRPr="007E4934" w:rsidRDefault="00FA423E" w:rsidP="00DC1333">
            <w:pPr>
              <w:rPr>
                <w:sz w:val="16"/>
                <w:szCs w:val="16"/>
              </w:rPr>
            </w:pPr>
            <w:r w:rsidRPr="007E4934">
              <w:rPr>
                <w:sz w:val="16"/>
                <w:szCs w:val="16"/>
                <w:lang w:val="es-ES_tradnl"/>
              </w:rPr>
              <w:t>Porcentaje de creadores satisfechos con la formación proporcionada sobre el uso de la información y los datos de derecho de autor para la gestión eficaz de sus derechos de autor</w:t>
            </w:r>
          </w:p>
        </w:tc>
        <w:tc>
          <w:tcPr>
            <w:tcW w:w="735" w:type="pct"/>
            <w:shd w:val="clear" w:color="auto" w:fill="FFFFFF"/>
            <w:tcMar>
              <w:top w:w="113" w:type="dxa"/>
              <w:bottom w:w="57" w:type="dxa"/>
            </w:tcMar>
          </w:tcPr>
          <w:p w:rsidR="00FA423E" w:rsidRPr="007E4934" w:rsidRDefault="00FA423E" w:rsidP="00DC1333">
            <w:pPr>
              <w:jc w:val="center"/>
              <w:rPr>
                <w:sz w:val="16"/>
                <w:szCs w:val="16"/>
                <w:lang w:bidi="th-TH"/>
              </w:rPr>
            </w:pPr>
            <w:r w:rsidRPr="007E4934">
              <w:rPr>
                <w:sz w:val="16"/>
                <w:szCs w:val="16"/>
                <w:lang w:val="es-ES_tradnl" w:bidi="th-TH"/>
              </w:rPr>
              <w:t>Programa 3</w:t>
            </w:r>
          </w:p>
        </w:tc>
        <w:tc>
          <w:tcPr>
            <w:tcW w:w="521" w:type="pct"/>
            <w:shd w:val="clear" w:color="auto" w:fill="FFFFFF"/>
          </w:tcPr>
          <w:p w:rsidR="00FA423E" w:rsidRPr="00CC3F44" w:rsidRDefault="00FA423E" w:rsidP="00DC1333">
            <w:pPr>
              <w:spacing w:before="40"/>
              <w:jc w:val="center"/>
            </w:pPr>
            <w:r w:rsidRPr="00CC3F44">
              <w:rPr>
                <w:color w:val="008000"/>
                <w:szCs w:val="22"/>
              </w:rPr>
              <w:sym w:font="Wingdings" w:char="F06C"/>
            </w:r>
          </w:p>
        </w:tc>
      </w:tr>
      <w:tr w:rsidR="00FA423E" w:rsidRPr="0016774F" w:rsidTr="00DC1333">
        <w:trPr>
          <w:cantSplit/>
          <w:trHeight w:val="540"/>
        </w:trPr>
        <w:tc>
          <w:tcPr>
            <w:tcW w:w="1477" w:type="pct"/>
            <w:shd w:val="clear" w:color="auto" w:fill="auto"/>
            <w:tcMar>
              <w:top w:w="113" w:type="dxa"/>
              <w:bottom w:w="57" w:type="dxa"/>
            </w:tcMar>
          </w:tcPr>
          <w:p w:rsidR="00FA423E" w:rsidRPr="007E4934" w:rsidRDefault="00FA423E" w:rsidP="00DC1333">
            <w:pPr>
              <w:rPr>
                <w:sz w:val="16"/>
                <w:szCs w:val="16"/>
              </w:rPr>
            </w:pPr>
          </w:p>
        </w:tc>
        <w:tc>
          <w:tcPr>
            <w:tcW w:w="2267" w:type="pct"/>
            <w:shd w:val="clear" w:color="auto" w:fill="auto"/>
            <w:tcMar>
              <w:top w:w="113" w:type="dxa"/>
              <w:bottom w:w="57" w:type="dxa"/>
            </w:tcMar>
          </w:tcPr>
          <w:p w:rsidR="00FA423E" w:rsidRPr="007E4934" w:rsidRDefault="00FA423E" w:rsidP="00DC1333">
            <w:pPr>
              <w:rPr>
                <w:sz w:val="16"/>
                <w:szCs w:val="16"/>
              </w:rPr>
            </w:pPr>
            <w:r w:rsidRPr="007E4934">
              <w:rPr>
                <w:sz w:val="16"/>
                <w:szCs w:val="16"/>
                <w:lang w:val="es-ES_tradnl"/>
              </w:rPr>
              <w:t>Porcentaje de participantes en reuniones y talleres de creación de capacidad sobre cuestiones de derecho de autor que expresaron satisfacción al respecto</w:t>
            </w:r>
          </w:p>
        </w:tc>
        <w:tc>
          <w:tcPr>
            <w:tcW w:w="735" w:type="pct"/>
            <w:shd w:val="clear" w:color="auto" w:fill="FFFFFF"/>
            <w:tcMar>
              <w:top w:w="113" w:type="dxa"/>
              <w:bottom w:w="57" w:type="dxa"/>
            </w:tcMar>
          </w:tcPr>
          <w:p w:rsidR="00FA423E" w:rsidRPr="007E4934" w:rsidRDefault="00FA423E" w:rsidP="00DC1333">
            <w:pPr>
              <w:jc w:val="center"/>
              <w:rPr>
                <w:sz w:val="16"/>
                <w:szCs w:val="16"/>
                <w:lang w:bidi="th-TH"/>
              </w:rPr>
            </w:pPr>
            <w:r w:rsidRPr="007E4934">
              <w:rPr>
                <w:sz w:val="16"/>
                <w:szCs w:val="16"/>
                <w:lang w:val="es-ES_tradnl" w:bidi="th-TH"/>
              </w:rPr>
              <w:t>Programa 3</w:t>
            </w:r>
          </w:p>
        </w:tc>
        <w:tc>
          <w:tcPr>
            <w:tcW w:w="521" w:type="pct"/>
            <w:shd w:val="clear" w:color="auto" w:fill="FFFFFF"/>
          </w:tcPr>
          <w:p w:rsidR="00FA423E" w:rsidRPr="00CC3F44" w:rsidRDefault="00FA423E" w:rsidP="00DC1333">
            <w:pPr>
              <w:spacing w:before="40"/>
              <w:jc w:val="center"/>
            </w:pPr>
            <w:r w:rsidRPr="00CC3F44">
              <w:rPr>
                <w:color w:val="008000"/>
                <w:szCs w:val="22"/>
              </w:rPr>
              <w:sym w:font="Wingdings" w:char="F06C"/>
            </w:r>
          </w:p>
        </w:tc>
      </w:tr>
      <w:tr w:rsidR="00FA423E" w:rsidRPr="0016774F" w:rsidTr="00DC1333">
        <w:trPr>
          <w:cantSplit/>
          <w:trHeight w:val="652"/>
        </w:trPr>
        <w:tc>
          <w:tcPr>
            <w:tcW w:w="1477" w:type="pct"/>
            <w:shd w:val="clear" w:color="auto" w:fill="auto"/>
            <w:tcMar>
              <w:top w:w="113" w:type="dxa"/>
              <w:bottom w:w="57" w:type="dxa"/>
            </w:tcMar>
          </w:tcPr>
          <w:p w:rsidR="00FA423E" w:rsidRPr="007E4934" w:rsidRDefault="00FA423E" w:rsidP="00DC1333">
            <w:pPr>
              <w:rPr>
                <w:sz w:val="16"/>
                <w:szCs w:val="16"/>
              </w:rPr>
            </w:pPr>
          </w:p>
        </w:tc>
        <w:tc>
          <w:tcPr>
            <w:tcW w:w="2267" w:type="pct"/>
            <w:shd w:val="clear" w:color="auto" w:fill="auto"/>
            <w:tcMar>
              <w:top w:w="113" w:type="dxa"/>
              <w:bottom w:w="57" w:type="dxa"/>
            </w:tcMar>
          </w:tcPr>
          <w:p w:rsidR="00FA423E" w:rsidRPr="007E4934" w:rsidRDefault="00FA423E" w:rsidP="00DC1333">
            <w:pPr>
              <w:ind w:right="-206"/>
              <w:rPr>
                <w:sz w:val="16"/>
                <w:szCs w:val="16"/>
              </w:rPr>
            </w:pPr>
            <w:r w:rsidRPr="007E4934">
              <w:rPr>
                <w:sz w:val="16"/>
                <w:szCs w:val="16"/>
                <w:lang w:val="es-ES_tradnl"/>
              </w:rPr>
              <w:t>Número de Estados miembros que toman iniciativas para mejorar el uso del sistema de derecho de autor a fin de explotar el potencial económico de sus obras y productos culturales</w:t>
            </w:r>
          </w:p>
        </w:tc>
        <w:tc>
          <w:tcPr>
            <w:tcW w:w="735" w:type="pct"/>
            <w:shd w:val="clear" w:color="auto" w:fill="FFFFFF"/>
            <w:tcMar>
              <w:top w:w="113" w:type="dxa"/>
              <w:bottom w:w="57" w:type="dxa"/>
            </w:tcMar>
          </w:tcPr>
          <w:p w:rsidR="00FA423E" w:rsidRPr="007E4934" w:rsidRDefault="00FA423E" w:rsidP="00DC1333">
            <w:pPr>
              <w:jc w:val="center"/>
              <w:rPr>
                <w:sz w:val="16"/>
                <w:szCs w:val="16"/>
                <w:lang w:bidi="th-TH"/>
              </w:rPr>
            </w:pPr>
            <w:r w:rsidRPr="007E4934">
              <w:rPr>
                <w:sz w:val="16"/>
                <w:szCs w:val="16"/>
                <w:lang w:val="es-ES_tradnl" w:bidi="th-TH"/>
              </w:rPr>
              <w:t>Programa 3</w:t>
            </w:r>
          </w:p>
        </w:tc>
        <w:tc>
          <w:tcPr>
            <w:tcW w:w="521" w:type="pct"/>
            <w:shd w:val="clear" w:color="auto" w:fill="FFFFFF"/>
          </w:tcPr>
          <w:p w:rsidR="00FA423E" w:rsidRPr="00CC3F44" w:rsidRDefault="00FA423E" w:rsidP="00DC1333">
            <w:pPr>
              <w:spacing w:before="40"/>
              <w:jc w:val="center"/>
            </w:pPr>
            <w:r w:rsidRPr="00CC3F44">
              <w:rPr>
                <w:color w:val="008000"/>
                <w:szCs w:val="22"/>
              </w:rPr>
              <w:sym w:font="Wingdings" w:char="F06C"/>
            </w:r>
          </w:p>
        </w:tc>
      </w:tr>
      <w:tr w:rsidR="00FA423E" w:rsidRPr="0016774F" w:rsidTr="00DC1333">
        <w:trPr>
          <w:cantSplit/>
          <w:trHeight w:val="800"/>
        </w:trPr>
        <w:tc>
          <w:tcPr>
            <w:tcW w:w="1477" w:type="pct"/>
            <w:shd w:val="clear" w:color="auto" w:fill="auto"/>
            <w:tcMar>
              <w:top w:w="113" w:type="dxa"/>
              <w:bottom w:w="57" w:type="dxa"/>
            </w:tcMar>
          </w:tcPr>
          <w:p w:rsidR="00FA423E" w:rsidRPr="007E4934" w:rsidRDefault="00FA423E" w:rsidP="00DC1333">
            <w:pPr>
              <w:rPr>
                <w:sz w:val="16"/>
                <w:szCs w:val="16"/>
              </w:rPr>
            </w:pPr>
          </w:p>
        </w:tc>
        <w:tc>
          <w:tcPr>
            <w:tcW w:w="2267" w:type="pct"/>
            <w:shd w:val="clear" w:color="auto" w:fill="auto"/>
            <w:tcMar>
              <w:top w:w="113" w:type="dxa"/>
              <w:bottom w:w="57" w:type="dxa"/>
            </w:tcMar>
          </w:tcPr>
          <w:p w:rsidR="00FA423E" w:rsidRPr="007E4934" w:rsidRDefault="00FA423E" w:rsidP="00DC1333">
            <w:pPr>
              <w:rPr>
                <w:sz w:val="16"/>
                <w:szCs w:val="16"/>
              </w:rPr>
            </w:pPr>
            <w:r w:rsidRPr="007E4934">
              <w:rPr>
                <w:sz w:val="16"/>
                <w:szCs w:val="16"/>
                <w:lang w:val="es-ES_tradnl"/>
              </w:rPr>
              <w:t>Porcentaje de participantes en actividades de la OMPI que afirman haber fomentado la capacidad de comprender y utilizar principios, sistemas y herramientas de P.I. para la protección de los CC.TT. y las ECT, y para la gestión de la relación existente entre la P.I. y los RR.GG.</w:t>
            </w:r>
          </w:p>
        </w:tc>
        <w:tc>
          <w:tcPr>
            <w:tcW w:w="735" w:type="pct"/>
            <w:shd w:val="clear" w:color="auto" w:fill="FFFFFF"/>
            <w:tcMar>
              <w:top w:w="113" w:type="dxa"/>
              <w:bottom w:w="57" w:type="dxa"/>
            </w:tcMar>
          </w:tcPr>
          <w:p w:rsidR="00FA423E" w:rsidRPr="007E4934" w:rsidRDefault="00FA423E" w:rsidP="00DC1333">
            <w:pPr>
              <w:jc w:val="center"/>
              <w:rPr>
                <w:sz w:val="16"/>
                <w:szCs w:val="16"/>
                <w:lang w:bidi="th-TH"/>
              </w:rPr>
            </w:pPr>
            <w:r w:rsidRPr="007E4934">
              <w:rPr>
                <w:sz w:val="16"/>
                <w:szCs w:val="16"/>
                <w:lang w:val="es-ES_tradnl" w:bidi="th-TH"/>
              </w:rPr>
              <w:t>Programa 4</w:t>
            </w:r>
          </w:p>
        </w:tc>
        <w:tc>
          <w:tcPr>
            <w:tcW w:w="521" w:type="pct"/>
            <w:shd w:val="clear" w:color="auto" w:fill="FFFFFF"/>
          </w:tcPr>
          <w:p w:rsidR="00FA423E" w:rsidRPr="00CC3F44" w:rsidRDefault="00FA423E" w:rsidP="00DC1333">
            <w:pPr>
              <w:spacing w:before="40"/>
              <w:jc w:val="center"/>
            </w:pPr>
            <w:r w:rsidRPr="00CC3F44">
              <w:rPr>
                <w:color w:val="008000"/>
                <w:szCs w:val="22"/>
              </w:rPr>
              <w:sym w:font="Wingdings" w:char="F06C"/>
            </w:r>
          </w:p>
        </w:tc>
      </w:tr>
      <w:tr w:rsidR="00FA423E" w:rsidRPr="0016774F" w:rsidTr="00DC1333">
        <w:trPr>
          <w:cantSplit/>
          <w:trHeight w:val="550"/>
        </w:trPr>
        <w:tc>
          <w:tcPr>
            <w:tcW w:w="1477" w:type="pct"/>
            <w:shd w:val="clear" w:color="auto" w:fill="auto"/>
            <w:tcMar>
              <w:top w:w="113" w:type="dxa"/>
              <w:bottom w:w="57" w:type="dxa"/>
            </w:tcMar>
          </w:tcPr>
          <w:p w:rsidR="00FA423E" w:rsidRPr="007E4934" w:rsidRDefault="00FA423E" w:rsidP="00DC1333">
            <w:pPr>
              <w:rPr>
                <w:sz w:val="16"/>
                <w:szCs w:val="16"/>
              </w:rPr>
            </w:pPr>
          </w:p>
        </w:tc>
        <w:tc>
          <w:tcPr>
            <w:tcW w:w="2267" w:type="pct"/>
            <w:shd w:val="clear" w:color="auto" w:fill="auto"/>
            <w:tcMar>
              <w:top w:w="113" w:type="dxa"/>
              <w:bottom w:w="57" w:type="dxa"/>
            </w:tcMar>
          </w:tcPr>
          <w:p w:rsidR="00FA423E" w:rsidRPr="007E4934" w:rsidRDefault="00FA423E" w:rsidP="00DC1333">
            <w:pPr>
              <w:rPr>
                <w:sz w:val="16"/>
                <w:szCs w:val="16"/>
              </w:rPr>
            </w:pPr>
            <w:r w:rsidRPr="007E4934">
              <w:rPr>
                <w:sz w:val="16"/>
                <w:szCs w:val="16"/>
                <w:lang w:val="es-ES_tradnl"/>
              </w:rPr>
              <w:t>Porcentaje de participantes en actividades de la OMPI que se muestran satisfechos del contenido y la organización de dichos actos.</w:t>
            </w:r>
          </w:p>
        </w:tc>
        <w:tc>
          <w:tcPr>
            <w:tcW w:w="735" w:type="pct"/>
            <w:shd w:val="clear" w:color="auto" w:fill="FFFFFF"/>
            <w:tcMar>
              <w:top w:w="113" w:type="dxa"/>
              <w:bottom w:w="57" w:type="dxa"/>
            </w:tcMar>
          </w:tcPr>
          <w:p w:rsidR="00FA423E" w:rsidRPr="007E4934" w:rsidRDefault="00FA423E" w:rsidP="00DC1333">
            <w:pPr>
              <w:jc w:val="center"/>
              <w:rPr>
                <w:sz w:val="16"/>
                <w:szCs w:val="16"/>
                <w:lang w:bidi="th-TH"/>
              </w:rPr>
            </w:pPr>
            <w:r w:rsidRPr="007E4934">
              <w:rPr>
                <w:sz w:val="16"/>
                <w:szCs w:val="16"/>
                <w:lang w:val="es-ES_tradnl" w:bidi="th-TH"/>
              </w:rPr>
              <w:t>Programa 9</w:t>
            </w:r>
          </w:p>
        </w:tc>
        <w:tc>
          <w:tcPr>
            <w:tcW w:w="521" w:type="pct"/>
            <w:shd w:val="clear" w:color="auto" w:fill="FFFFFF"/>
          </w:tcPr>
          <w:p w:rsidR="00FA423E" w:rsidRPr="00CC3F44" w:rsidRDefault="00FA423E" w:rsidP="00DC1333">
            <w:pPr>
              <w:jc w:val="center"/>
            </w:pPr>
            <w:r w:rsidRPr="00CC3F44">
              <w:rPr>
                <w:color w:val="008000"/>
                <w:szCs w:val="22"/>
              </w:rPr>
              <w:sym w:font="Wingdings" w:char="F06C"/>
            </w:r>
            <w:r w:rsidRPr="00CC3F44">
              <w:rPr>
                <w:color w:val="008000"/>
                <w:szCs w:val="22"/>
              </w:rPr>
              <w:sym w:font="Wingdings" w:char="F06C"/>
            </w:r>
            <w:r w:rsidRPr="00CC3F44">
              <w:rPr>
                <w:color w:val="008000"/>
                <w:szCs w:val="22"/>
              </w:rPr>
              <w:sym w:font="Wingdings" w:char="F06C"/>
            </w:r>
            <w:r w:rsidRPr="00CC3F44">
              <w:rPr>
                <w:color w:val="008000"/>
                <w:szCs w:val="22"/>
              </w:rPr>
              <w:sym w:font="Wingdings" w:char="F06C"/>
            </w:r>
            <w:r w:rsidRPr="00CC3F44">
              <w:rPr>
                <w:color w:val="008000"/>
                <w:szCs w:val="22"/>
              </w:rPr>
              <w:sym w:font="Wingdings" w:char="F06C"/>
            </w:r>
          </w:p>
        </w:tc>
      </w:tr>
      <w:tr w:rsidR="00FA423E" w:rsidRPr="0016774F" w:rsidTr="00DC1333">
        <w:trPr>
          <w:cantSplit/>
          <w:trHeight w:val="526"/>
        </w:trPr>
        <w:tc>
          <w:tcPr>
            <w:tcW w:w="1477" w:type="pct"/>
            <w:shd w:val="clear" w:color="auto" w:fill="auto"/>
            <w:tcMar>
              <w:top w:w="113" w:type="dxa"/>
              <w:bottom w:w="57" w:type="dxa"/>
            </w:tcMar>
          </w:tcPr>
          <w:p w:rsidR="00FA423E" w:rsidRPr="007E4934" w:rsidRDefault="00FA423E" w:rsidP="00DC1333">
            <w:pPr>
              <w:rPr>
                <w:sz w:val="16"/>
                <w:szCs w:val="16"/>
              </w:rPr>
            </w:pPr>
          </w:p>
        </w:tc>
        <w:tc>
          <w:tcPr>
            <w:tcW w:w="2267" w:type="pct"/>
            <w:shd w:val="clear" w:color="auto" w:fill="auto"/>
            <w:tcMar>
              <w:top w:w="113" w:type="dxa"/>
              <w:bottom w:w="57" w:type="dxa"/>
            </w:tcMar>
          </w:tcPr>
          <w:p w:rsidR="00FA423E" w:rsidRPr="007E4934" w:rsidRDefault="00FA423E" w:rsidP="00DC1333">
            <w:pPr>
              <w:rPr>
                <w:sz w:val="16"/>
                <w:szCs w:val="16"/>
              </w:rPr>
            </w:pPr>
            <w:r w:rsidRPr="007E4934">
              <w:rPr>
                <w:sz w:val="16"/>
                <w:szCs w:val="16"/>
                <w:lang w:val="es-ES_tradnl"/>
              </w:rPr>
              <w:t>Porcentaje de participantes en talleres de la OMPI que aplican las capacidades adquiridas en su labor/empresa</w:t>
            </w:r>
          </w:p>
        </w:tc>
        <w:tc>
          <w:tcPr>
            <w:tcW w:w="735" w:type="pct"/>
            <w:shd w:val="clear" w:color="auto" w:fill="FFFFFF"/>
            <w:tcMar>
              <w:top w:w="113" w:type="dxa"/>
              <w:bottom w:w="57" w:type="dxa"/>
            </w:tcMar>
          </w:tcPr>
          <w:p w:rsidR="00FA423E" w:rsidRPr="007E4934" w:rsidRDefault="00FA423E" w:rsidP="00DC1333">
            <w:pPr>
              <w:jc w:val="center"/>
              <w:rPr>
                <w:sz w:val="16"/>
                <w:szCs w:val="16"/>
                <w:lang w:bidi="th-TH"/>
              </w:rPr>
            </w:pPr>
            <w:r w:rsidRPr="007E4934">
              <w:rPr>
                <w:sz w:val="16"/>
                <w:szCs w:val="16"/>
                <w:lang w:val="es-ES_tradnl" w:bidi="th-TH"/>
              </w:rPr>
              <w:t>Programa 9</w:t>
            </w:r>
          </w:p>
        </w:tc>
        <w:tc>
          <w:tcPr>
            <w:tcW w:w="521" w:type="pct"/>
            <w:shd w:val="clear" w:color="auto" w:fill="FFFFFF"/>
          </w:tcPr>
          <w:p w:rsidR="00FA423E" w:rsidRPr="00CC3F44" w:rsidRDefault="00FA423E" w:rsidP="00DC1333">
            <w:pPr>
              <w:jc w:val="center"/>
            </w:pPr>
            <w:r w:rsidRPr="00CC3F44">
              <w:rPr>
                <w:color w:val="008000"/>
                <w:szCs w:val="22"/>
              </w:rPr>
              <w:sym w:font="Wingdings" w:char="F06C"/>
            </w:r>
            <w:r w:rsidRPr="00CC3F44">
              <w:rPr>
                <w:color w:val="A6A6A6" w:themeColor="background1" w:themeShade="A6"/>
                <w:szCs w:val="22"/>
              </w:rPr>
              <w:sym w:font="Wingdings" w:char="F06C"/>
            </w:r>
            <w:r w:rsidRPr="00CC3F44">
              <w:rPr>
                <w:color w:val="008000"/>
                <w:szCs w:val="22"/>
              </w:rPr>
              <w:sym w:font="Wingdings" w:char="F06C"/>
            </w:r>
            <w:r w:rsidRPr="00CC3F44">
              <w:rPr>
                <w:color w:val="008000"/>
                <w:szCs w:val="22"/>
              </w:rPr>
              <w:sym w:font="Wingdings" w:char="F06C"/>
            </w:r>
            <w:r w:rsidRPr="00CC3F44">
              <w:rPr>
                <w:color w:val="008000"/>
                <w:szCs w:val="22"/>
              </w:rPr>
              <w:sym w:font="Wingdings" w:char="F06C"/>
            </w:r>
          </w:p>
        </w:tc>
      </w:tr>
      <w:tr w:rsidR="00FA423E" w:rsidRPr="0016774F" w:rsidTr="00DC1333">
        <w:trPr>
          <w:cantSplit/>
          <w:trHeight w:val="526"/>
        </w:trPr>
        <w:tc>
          <w:tcPr>
            <w:tcW w:w="1477" w:type="pct"/>
            <w:shd w:val="clear" w:color="auto" w:fill="auto"/>
            <w:tcMar>
              <w:top w:w="113" w:type="dxa"/>
              <w:bottom w:w="57" w:type="dxa"/>
            </w:tcMar>
          </w:tcPr>
          <w:p w:rsidR="00FA423E" w:rsidRPr="007E4934" w:rsidRDefault="00FA423E" w:rsidP="00DC1333">
            <w:pPr>
              <w:rPr>
                <w:sz w:val="16"/>
                <w:szCs w:val="16"/>
              </w:rPr>
            </w:pPr>
          </w:p>
        </w:tc>
        <w:tc>
          <w:tcPr>
            <w:tcW w:w="2267" w:type="pct"/>
            <w:shd w:val="clear" w:color="auto" w:fill="auto"/>
            <w:tcMar>
              <w:top w:w="113" w:type="dxa"/>
              <w:bottom w:w="57" w:type="dxa"/>
            </w:tcMar>
          </w:tcPr>
          <w:p w:rsidR="00FA423E" w:rsidRPr="007E4934" w:rsidRDefault="00FA423E" w:rsidP="00DC1333">
            <w:pPr>
              <w:rPr>
                <w:sz w:val="16"/>
                <w:szCs w:val="16"/>
              </w:rPr>
            </w:pPr>
            <w:r w:rsidRPr="007E4934">
              <w:rPr>
                <w:sz w:val="16"/>
                <w:szCs w:val="16"/>
                <w:lang w:val="es-ES_tradnl"/>
              </w:rPr>
              <w:t>Porcentaje de expertos nacionales y regionales en P.I. utilizados como expertos en las actividades de la OMPI</w:t>
            </w:r>
          </w:p>
        </w:tc>
        <w:tc>
          <w:tcPr>
            <w:tcW w:w="735" w:type="pct"/>
            <w:shd w:val="clear" w:color="auto" w:fill="FFFFFF"/>
            <w:tcMar>
              <w:top w:w="113" w:type="dxa"/>
              <w:bottom w:w="57" w:type="dxa"/>
            </w:tcMar>
          </w:tcPr>
          <w:p w:rsidR="00FA423E" w:rsidRPr="007E4934" w:rsidRDefault="00FA423E" w:rsidP="00DC1333">
            <w:pPr>
              <w:jc w:val="center"/>
              <w:rPr>
                <w:sz w:val="16"/>
                <w:szCs w:val="16"/>
                <w:lang w:bidi="th-TH"/>
              </w:rPr>
            </w:pPr>
            <w:r w:rsidRPr="007E4934">
              <w:rPr>
                <w:sz w:val="16"/>
                <w:szCs w:val="16"/>
                <w:lang w:val="es-ES_tradnl" w:bidi="th-TH"/>
              </w:rPr>
              <w:t>Programa 9</w:t>
            </w:r>
          </w:p>
        </w:tc>
        <w:tc>
          <w:tcPr>
            <w:tcW w:w="521" w:type="pct"/>
            <w:shd w:val="clear" w:color="auto" w:fill="FFFFFF"/>
          </w:tcPr>
          <w:p w:rsidR="00FA423E" w:rsidRPr="00CC3F44" w:rsidRDefault="00FA423E" w:rsidP="00DC1333">
            <w:pPr>
              <w:jc w:val="center"/>
            </w:pPr>
            <w:r w:rsidRPr="00CC3F44">
              <w:rPr>
                <w:color w:val="008000"/>
                <w:szCs w:val="22"/>
              </w:rPr>
              <w:sym w:font="Wingdings" w:char="F06C"/>
            </w:r>
            <w:r w:rsidRPr="00CC3F44">
              <w:rPr>
                <w:color w:val="E26B0A"/>
                <w:szCs w:val="22"/>
              </w:rPr>
              <w:sym w:font="Wingdings" w:char="F06C"/>
            </w:r>
            <w:r w:rsidRPr="00CC3F44">
              <w:rPr>
                <w:color w:val="008000"/>
                <w:szCs w:val="22"/>
              </w:rPr>
              <w:sym w:font="Wingdings" w:char="F06C"/>
            </w:r>
            <w:r w:rsidRPr="00CC3F44">
              <w:rPr>
                <w:color w:val="008000"/>
                <w:szCs w:val="22"/>
              </w:rPr>
              <w:sym w:font="Wingdings" w:char="F06C"/>
            </w:r>
            <w:r w:rsidRPr="00CC3F44">
              <w:rPr>
                <w:color w:val="008000"/>
                <w:szCs w:val="22"/>
              </w:rPr>
              <w:sym w:font="Wingdings" w:char="F06C"/>
            </w:r>
          </w:p>
        </w:tc>
      </w:tr>
      <w:tr w:rsidR="00FA423E" w:rsidRPr="0016774F" w:rsidTr="00DC1333">
        <w:trPr>
          <w:cantSplit/>
          <w:trHeight w:val="547"/>
        </w:trPr>
        <w:tc>
          <w:tcPr>
            <w:tcW w:w="1477" w:type="pct"/>
            <w:shd w:val="clear" w:color="auto" w:fill="auto"/>
            <w:tcMar>
              <w:top w:w="113" w:type="dxa"/>
              <w:bottom w:w="57" w:type="dxa"/>
            </w:tcMar>
          </w:tcPr>
          <w:p w:rsidR="00FA423E" w:rsidRPr="007E4934" w:rsidRDefault="00FA423E" w:rsidP="00DC1333">
            <w:pPr>
              <w:rPr>
                <w:sz w:val="16"/>
                <w:szCs w:val="16"/>
              </w:rPr>
            </w:pPr>
          </w:p>
        </w:tc>
        <w:tc>
          <w:tcPr>
            <w:tcW w:w="2267" w:type="pct"/>
            <w:shd w:val="clear" w:color="auto" w:fill="auto"/>
            <w:tcMar>
              <w:top w:w="113" w:type="dxa"/>
              <w:bottom w:w="57" w:type="dxa"/>
            </w:tcMar>
          </w:tcPr>
          <w:p w:rsidR="00FA423E" w:rsidRPr="007E4934" w:rsidRDefault="00FA423E" w:rsidP="00DC1333">
            <w:pPr>
              <w:rPr>
                <w:sz w:val="16"/>
                <w:szCs w:val="16"/>
              </w:rPr>
            </w:pPr>
            <w:r w:rsidRPr="007E4934">
              <w:rPr>
                <w:sz w:val="16"/>
                <w:szCs w:val="16"/>
                <w:lang w:val="es-ES_tradnl"/>
              </w:rPr>
              <w:t>Número de países con economías en transición que han establecido programas o cursos anuales de formación en P.I. para los profesionales de la P.I.</w:t>
            </w:r>
            <w:r w:rsidRPr="007E4934">
              <w:rPr>
                <w:sz w:val="16"/>
                <w:szCs w:val="16"/>
              </w:rPr>
              <w:t xml:space="preserve"> </w:t>
            </w:r>
          </w:p>
        </w:tc>
        <w:tc>
          <w:tcPr>
            <w:tcW w:w="735" w:type="pct"/>
            <w:shd w:val="clear" w:color="auto" w:fill="FFFFFF"/>
            <w:tcMar>
              <w:top w:w="113" w:type="dxa"/>
              <w:bottom w:w="57" w:type="dxa"/>
            </w:tcMar>
          </w:tcPr>
          <w:p w:rsidR="00FA423E" w:rsidRPr="007E4934" w:rsidRDefault="00FA423E" w:rsidP="00DC1333">
            <w:pPr>
              <w:jc w:val="center"/>
              <w:rPr>
                <w:sz w:val="16"/>
                <w:szCs w:val="16"/>
                <w:lang w:bidi="th-TH"/>
              </w:rPr>
            </w:pPr>
            <w:r w:rsidRPr="007E4934">
              <w:rPr>
                <w:sz w:val="16"/>
                <w:szCs w:val="16"/>
                <w:lang w:val="es-ES_tradnl" w:bidi="th-TH"/>
              </w:rPr>
              <w:t>Programa 10</w:t>
            </w:r>
          </w:p>
        </w:tc>
        <w:tc>
          <w:tcPr>
            <w:tcW w:w="521" w:type="pct"/>
            <w:shd w:val="clear" w:color="auto" w:fill="FFFFFF"/>
          </w:tcPr>
          <w:p w:rsidR="00FA423E" w:rsidRPr="00CC3F44" w:rsidRDefault="00FA423E" w:rsidP="00DC1333">
            <w:pPr>
              <w:jc w:val="center"/>
            </w:pPr>
            <w:r w:rsidRPr="00CC3F44">
              <w:rPr>
                <w:color w:val="008000"/>
                <w:szCs w:val="22"/>
              </w:rPr>
              <w:sym w:font="Wingdings" w:char="F06C"/>
            </w:r>
          </w:p>
        </w:tc>
      </w:tr>
      <w:tr w:rsidR="00FA423E" w:rsidRPr="0016774F" w:rsidTr="00DC1333">
        <w:trPr>
          <w:cantSplit/>
          <w:trHeight w:val="226"/>
        </w:trPr>
        <w:tc>
          <w:tcPr>
            <w:tcW w:w="1477" w:type="pct"/>
            <w:shd w:val="clear" w:color="auto" w:fill="auto"/>
            <w:tcMar>
              <w:top w:w="113" w:type="dxa"/>
              <w:bottom w:w="57" w:type="dxa"/>
            </w:tcMar>
          </w:tcPr>
          <w:p w:rsidR="00FA423E" w:rsidRPr="007E4934" w:rsidRDefault="00FA423E" w:rsidP="00DC1333">
            <w:pPr>
              <w:rPr>
                <w:sz w:val="16"/>
                <w:szCs w:val="16"/>
              </w:rPr>
            </w:pPr>
          </w:p>
        </w:tc>
        <w:tc>
          <w:tcPr>
            <w:tcW w:w="2267" w:type="pct"/>
            <w:shd w:val="clear" w:color="auto" w:fill="auto"/>
            <w:tcMar>
              <w:top w:w="113" w:type="dxa"/>
              <w:bottom w:w="57" w:type="dxa"/>
            </w:tcMar>
          </w:tcPr>
          <w:p w:rsidR="00FA423E" w:rsidRPr="007E4934" w:rsidRDefault="00FA423E" w:rsidP="00DC1333">
            <w:pPr>
              <w:rPr>
                <w:sz w:val="16"/>
                <w:szCs w:val="16"/>
              </w:rPr>
            </w:pPr>
            <w:r w:rsidRPr="007E4934">
              <w:rPr>
                <w:sz w:val="16"/>
                <w:szCs w:val="16"/>
                <w:lang w:val="es-ES_tradnl"/>
              </w:rPr>
              <w:t>Porcentaje de profesionales de P.I. y funcionarios de oficinas de P.I. que han recibido formación y utilizan en su trabajo las nuevas aptitudes adquiridas</w:t>
            </w:r>
          </w:p>
        </w:tc>
        <w:tc>
          <w:tcPr>
            <w:tcW w:w="735" w:type="pct"/>
            <w:shd w:val="clear" w:color="auto" w:fill="FFFFFF"/>
            <w:tcMar>
              <w:top w:w="113" w:type="dxa"/>
              <w:bottom w:w="57" w:type="dxa"/>
            </w:tcMar>
          </w:tcPr>
          <w:p w:rsidR="00FA423E" w:rsidRPr="007E4934" w:rsidRDefault="00FA423E" w:rsidP="00DC1333">
            <w:pPr>
              <w:jc w:val="center"/>
              <w:rPr>
                <w:sz w:val="16"/>
                <w:szCs w:val="16"/>
                <w:lang w:bidi="th-TH"/>
              </w:rPr>
            </w:pPr>
            <w:r w:rsidRPr="007E4934">
              <w:rPr>
                <w:sz w:val="16"/>
                <w:szCs w:val="16"/>
                <w:lang w:val="es-ES_tradnl" w:bidi="th-TH"/>
              </w:rPr>
              <w:t>Programa 10</w:t>
            </w:r>
          </w:p>
        </w:tc>
        <w:tc>
          <w:tcPr>
            <w:tcW w:w="521" w:type="pct"/>
            <w:shd w:val="clear" w:color="auto" w:fill="FFFFFF"/>
          </w:tcPr>
          <w:p w:rsidR="00FA423E" w:rsidRPr="00CC3F44" w:rsidRDefault="00FA423E" w:rsidP="00DC1333">
            <w:pPr>
              <w:jc w:val="center"/>
            </w:pPr>
            <w:r w:rsidRPr="00CC3F44">
              <w:rPr>
                <w:color w:val="008000"/>
                <w:szCs w:val="22"/>
              </w:rPr>
              <w:sym w:font="Wingdings" w:char="F06C"/>
            </w:r>
          </w:p>
        </w:tc>
      </w:tr>
      <w:tr w:rsidR="00FA423E" w:rsidRPr="0016774F" w:rsidTr="00DC1333">
        <w:trPr>
          <w:cantSplit/>
          <w:trHeight w:val="800"/>
        </w:trPr>
        <w:tc>
          <w:tcPr>
            <w:tcW w:w="1477" w:type="pct"/>
            <w:shd w:val="clear" w:color="auto" w:fill="auto"/>
            <w:tcMar>
              <w:top w:w="113" w:type="dxa"/>
              <w:bottom w:w="57" w:type="dxa"/>
            </w:tcMar>
          </w:tcPr>
          <w:p w:rsidR="00FA423E" w:rsidRPr="007E4934" w:rsidRDefault="00FA423E" w:rsidP="00DC1333">
            <w:pPr>
              <w:rPr>
                <w:sz w:val="16"/>
                <w:szCs w:val="16"/>
              </w:rPr>
            </w:pPr>
          </w:p>
        </w:tc>
        <w:tc>
          <w:tcPr>
            <w:tcW w:w="2267" w:type="pct"/>
            <w:shd w:val="clear" w:color="auto" w:fill="auto"/>
            <w:tcMar>
              <w:top w:w="113" w:type="dxa"/>
              <w:bottom w:w="57" w:type="dxa"/>
            </w:tcMar>
          </w:tcPr>
          <w:p w:rsidR="00FA423E" w:rsidRPr="007E4934" w:rsidRDefault="00FA423E" w:rsidP="00DC1333">
            <w:pPr>
              <w:rPr>
                <w:sz w:val="16"/>
                <w:szCs w:val="16"/>
              </w:rPr>
            </w:pPr>
            <w:r w:rsidRPr="007E4934">
              <w:rPr>
                <w:sz w:val="16"/>
                <w:szCs w:val="16"/>
                <w:lang w:val="es-ES_tradnl"/>
              </w:rPr>
              <w:t>Cartera revisada de cursos de formación en P.I. para los países en desarrollo, PMA y países con economías en transición/ pertinencia del contenido de los cursos de formación para las necesidades de fortalecimiento de capacidades de los países en desarrollo, los PMA y los países con economías en transición</w:t>
            </w:r>
          </w:p>
        </w:tc>
        <w:tc>
          <w:tcPr>
            <w:tcW w:w="735" w:type="pct"/>
            <w:shd w:val="clear" w:color="auto" w:fill="FFFFFF"/>
            <w:tcMar>
              <w:top w:w="113" w:type="dxa"/>
              <w:bottom w:w="57" w:type="dxa"/>
            </w:tcMar>
          </w:tcPr>
          <w:p w:rsidR="00FA423E" w:rsidRPr="007E4934" w:rsidRDefault="00FA423E" w:rsidP="00DC1333">
            <w:pPr>
              <w:jc w:val="center"/>
              <w:rPr>
                <w:sz w:val="16"/>
                <w:szCs w:val="16"/>
                <w:lang w:bidi="th-TH"/>
              </w:rPr>
            </w:pPr>
            <w:r w:rsidRPr="007E4934">
              <w:rPr>
                <w:sz w:val="16"/>
                <w:szCs w:val="16"/>
                <w:lang w:val="es-ES_tradnl" w:bidi="th-TH"/>
              </w:rPr>
              <w:t>Programa 11</w:t>
            </w:r>
          </w:p>
        </w:tc>
        <w:tc>
          <w:tcPr>
            <w:tcW w:w="521" w:type="pct"/>
            <w:shd w:val="clear" w:color="auto" w:fill="FFFFFF"/>
          </w:tcPr>
          <w:p w:rsidR="00FA423E" w:rsidRPr="00CC3F44" w:rsidRDefault="00FA423E" w:rsidP="00DC1333">
            <w:pPr>
              <w:jc w:val="center"/>
            </w:pPr>
            <w:r w:rsidRPr="00CC3F44">
              <w:rPr>
                <w:color w:val="008000"/>
                <w:szCs w:val="22"/>
              </w:rPr>
              <w:sym w:font="Wingdings" w:char="F06C"/>
            </w:r>
          </w:p>
        </w:tc>
      </w:tr>
      <w:tr w:rsidR="00FA423E" w:rsidRPr="0016774F" w:rsidTr="00DC1333">
        <w:trPr>
          <w:cantSplit/>
          <w:trHeight w:val="800"/>
        </w:trPr>
        <w:tc>
          <w:tcPr>
            <w:tcW w:w="1477" w:type="pct"/>
            <w:shd w:val="clear" w:color="auto" w:fill="auto"/>
            <w:tcMar>
              <w:top w:w="113" w:type="dxa"/>
              <w:bottom w:w="57" w:type="dxa"/>
            </w:tcMar>
          </w:tcPr>
          <w:p w:rsidR="00FA423E" w:rsidRPr="007E4934" w:rsidRDefault="00FA423E" w:rsidP="00DC1333">
            <w:pPr>
              <w:rPr>
                <w:sz w:val="16"/>
                <w:szCs w:val="16"/>
              </w:rPr>
            </w:pPr>
          </w:p>
        </w:tc>
        <w:tc>
          <w:tcPr>
            <w:tcW w:w="2267" w:type="pct"/>
            <w:shd w:val="clear" w:color="auto" w:fill="auto"/>
            <w:tcMar>
              <w:top w:w="113" w:type="dxa"/>
              <w:bottom w:w="57" w:type="dxa"/>
            </w:tcMar>
          </w:tcPr>
          <w:p w:rsidR="00FA423E" w:rsidRPr="007E4934" w:rsidRDefault="00FA423E" w:rsidP="00DC1333">
            <w:pPr>
              <w:rPr>
                <w:sz w:val="16"/>
                <w:szCs w:val="16"/>
              </w:rPr>
            </w:pPr>
            <w:r w:rsidRPr="007E4934">
              <w:rPr>
                <w:sz w:val="16"/>
                <w:szCs w:val="16"/>
                <w:lang w:val="es-ES_tradnl"/>
              </w:rPr>
              <w:t>Acceso ampliado y plurilingüe a la enseñanza a distancia de diversos aspectos de la P.I. para los países en desarrollo, los PMA y los países con economías en transición / pertinencia del contenido de la cartera de cursos de enseñanza a distancia para las necesidades de fortalecimiento de capacidades de los países en desarrollo, los PMA y los países con economías en transición</w:t>
            </w:r>
          </w:p>
        </w:tc>
        <w:tc>
          <w:tcPr>
            <w:tcW w:w="735" w:type="pct"/>
            <w:shd w:val="clear" w:color="auto" w:fill="FFFFFF"/>
            <w:tcMar>
              <w:top w:w="113" w:type="dxa"/>
              <w:bottom w:w="57" w:type="dxa"/>
            </w:tcMar>
          </w:tcPr>
          <w:p w:rsidR="00FA423E" w:rsidRPr="007E4934" w:rsidRDefault="00FA423E" w:rsidP="00DC1333">
            <w:pPr>
              <w:jc w:val="center"/>
              <w:rPr>
                <w:sz w:val="16"/>
                <w:szCs w:val="16"/>
                <w:lang w:bidi="th-TH"/>
              </w:rPr>
            </w:pPr>
            <w:r w:rsidRPr="007E4934">
              <w:rPr>
                <w:sz w:val="16"/>
                <w:szCs w:val="16"/>
                <w:lang w:val="es-ES_tradnl" w:bidi="th-TH"/>
              </w:rPr>
              <w:t>Programa 11</w:t>
            </w:r>
          </w:p>
        </w:tc>
        <w:tc>
          <w:tcPr>
            <w:tcW w:w="521" w:type="pct"/>
            <w:shd w:val="clear" w:color="auto" w:fill="FFFFFF"/>
          </w:tcPr>
          <w:p w:rsidR="00FA423E" w:rsidRPr="00CC3F44" w:rsidRDefault="00FA423E" w:rsidP="00DC1333">
            <w:pPr>
              <w:jc w:val="center"/>
              <w:rPr>
                <w:color w:val="008000"/>
                <w:szCs w:val="22"/>
              </w:rPr>
            </w:pPr>
            <w:r w:rsidRPr="00CC3F44">
              <w:rPr>
                <w:color w:val="008000"/>
                <w:szCs w:val="22"/>
              </w:rPr>
              <w:sym w:font="Wingdings" w:char="F06C"/>
            </w:r>
          </w:p>
        </w:tc>
      </w:tr>
      <w:tr w:rsidR="00FA423E" w:rsidRPr="0016774F" w:rsidTr="00DC1333">
        <w:trPr>
          <w:cantSplit/>
          <w:trHeight w:val="800"/>
        </w:trPr>
        <w:tc>
          <w:tcPr>
            <w:tcW w:w="1477" w:type="pct"/>
            <w:shd w:val="clear" w:color="auto" w:fill="auto"/>
            <w:tcMar>
              <w:top w:w="113" w:type="dxa"/>
              <w:bottom w:w="57" w:type="dxa"/>
            </w:tcMar>
          </w:tcPr>
          <w:p w:rsidR="00FA423E" w:rsidRPr="007E4934" w:rsidRDefault="00FA423E" w:rsidP="00DC1333">
            <w:pPr>
              <w:rPr>
                <w:sz w:val="16"/>
                <w:szCs w:val="16"/>
              </w:rPr>
            </w:pPr>
          </w:p>
        </w:tc>
        <w:tc>
          <w:tcPr>
            <w:tcW w:w="2267" w:type="pct"/>
            <w:shd w:val="clear" w:color="auto" w:fill="auto"/>
            <w:tcMar>
              <w:top w:w="113" w:type="dxa"/>
              <w:bottom w:w="57" w:type="dxa"/>
            </w:tcMar>
          </w:tcPr>
          <w:p w:rsidR="00FA423E" w:rsidRPr="007E4934" w:rsidRDefault="00FA423E" w:rsidP="00DC1333">
            <w:pPr>
              <w:rPr>
                <w:sz w:val="16"/>
                <w:szCs w:val="16"/>
              </w:rPr>
            </w:pPr>
            <w:r w:rsidRPr="007E4934">
              <w:rPr>
                <w:sz w:val="16"/>
                <w:szCs w:val="16"/>
                <w:lang w:val="es-ES_tradnl"/>
              </w:rPr>
              <w:t>Fomento del acceso a los estudios superiores en P.I. para los países en desarrollo, los PMA y los países con economías en transición / número de universidades de países en desarrollo, PMA y países con economías en transición que ofrecen nuevos programas docentes de P.I.</w:t>
            </w:r>
          </w:p>
        </w:tc>
        <w:tc>
          <w:tcPr>
            <w:tcW w:w="735" w:type="pct"/>
            <w:shd w:val="clear" w:color="auto" w:fill="FFFFFF"/>
            <w:tcMar>
              <w:top w:w="113" w:type="dxa"/>
              <w:bottom w:w="57" w:type="dxa"/>
            </w:tcMar>
          </w:tcPr>
          <w:p w:rsidR="00FA423E" w:rsidRPr="007E4934" w:rsidRDefault="00FA423E" w:rsidP="00DC1333">
            <w:pPr>
              <w:jc w:val="center"/>
              <w:rPr>
                <w:sz w:val="16"/>
                <w:szCs w:val="16"/>
                <w:lang w:bidi="th-TH"/>
              </w:rPr>
            </w:pPr>
            <w:r w:rsidRPr="007E4934">
              <w:rPr>
                <w:sz w:val="16"/>
                <w:szCs w:val="16"/>
                <w:lang w:val="es-ES_tradnl" w:bidi="th-TH"/>
              </w:rPr>
              <w:t>Programa 11</w:t>
            </w:r>
          </w:p>
        </w:tc>
        <w:tc>
          <w:tcPr>
            <w:tcW w:w="521" w:type="pct"/>
            <w:shd w:val="clear" w:color="auto" w:fill="FFFFFF"/>
          </w:tcPr>
          <w:p w:rsidR="00FA423E" w:rsidRPr="00CC3F44" w:rsidRDefault="00FA423E" w:rsidP="00DC1333">
            <w:pPr>
              <w:jc w:val="center"/>
              <w:rPr>
                <w:color w:val="008000"/>
                <w:szCs w:val="22"/>
              </w:rPr>
            </w:pPr>
            <w:r w:rsidRPr="00CC3F44">
              <w:rPr>
                <w:color w:val="E26B0A"/>
                <w:szCs w:val="22"/>
              </w:rPr>
              <w:sym w:font="Wingdings" w:char="F06C"/>
            </w:r>
          </w:p>
        </w:tc>
      </w:tr>
      <w:tr w:rsidR="00FA423E" w:rsidRPr="0016774F" w:rsidTr="00DC1333">
        <w:trPr>
          <w:cantSplit/>
          <w:trHeight w:val="418"/>
        </w:trPr>
        <w:tc>
          <w:tcPr>
            <w:tcW w:w="1477" w:type="pct"/>
            <w:shd w:val="clear" w:color="auto" w:fill="auto"/>
            <w:tcMar>
              <w:top w:w="113" w:type="dxa"/>
              <w:bottom w:w="57" w:type="dxa"/>
            </w:tcMar>
          </w:tcPr>
          <w:p w:rsidR="00FA423E" w:rsidRPr="007E4934" w:rsidRDefault="00FA423E" w:rsidP="00DC1333">
            <w:pPr>
              <w:rPr>
                <w:sz w:val="16"/>
                <w:szCs w:val="16"/>
              </w:rPr>
            </w:pPr>
          </w:p>
        </w:tc>
        <w:tc>
          <w:tcPr>
            <w:tcW w:w="2267" w:type="pct"/>
            <w:shd w:val="clear" w:color="auto" w:fill="auto"/>
            <w:tcMar>
              <w:top w:w="113" w:type="dxa"/>
              <w:bottom w:w="57" w:type="dxa"/>
            </w:tcMar>
          </w:tcPr>
          <w:p w:rsidR="00FA423E" w:rsidRPr="007E4934" w:rsidRDefault="00FA423E" w:rsidP="00DC1333">
            <w:pPr>
              <w:rPr>
                <w:sz w:val="16"/>
                <w:szCs w:val="16"/>
              </w:rPr>
            </w:pPr>
            <w:r w:rsidRPr="007E4934">
              <w:rPr>
                <w:sz w:val="16"/>
                <w:szCs w:val="16"/>
                <w:lang w:val="es-ES_tradnl"/>
              </w:rPr>
              <w:t>Establecimiento progresivo de una red de expertos en P.I. en los países en desarrollo, PMA y países con economías en transición</w:t>
            </w:r>
          </w:p>
        </w:tc>
        <w:tc>
          <w:tcPr>
            <w:tcW w:w="735" w:type="pct"/>
            <w:shd w:val="clear" w:color="auto" w:fill="FFFFFF"/>
            <w:tcMar>
              <w:top w:w="113" w:type="dxa"/>
              <w:bottom w:w="57" w:type="dxa"/>
            </w:tcMar>
          </w:tcPr>
          <w:p w:rsidR="00FA423E" w:rsidRPr="007E4934" w:rsidRDefault="00FA423E" w:rsidP="00DC1333">
            <w:pPr>
              <w:jc w:val="center"/>
              <w:rPr>
                <w:sz w:val="16"/>
                <w:szCs w:val="16"/>
                <w:lang w:bidi="th-TH"/>
              </w:rPr>
            </w:pPr>
            <w:r w:rsidRPr="007E4934">
              <w:rPr>
                <w:sz w:val="16"/>
                <w:szCs w:val="16"/>
                <w:lang w:val="es-ES_tradnl" w:bidi="th-TH"/>
              </w:rPr>
              <w:t>Programa 11</w:t>
            </w:r>
          </w:p>
        </w:tc>
        <w:tc>
          <w:tcPr>
            <w:tcW w:w="521" w:type="pct"/>
            <w:shd w:val="clear" w:color="auto" w:fill="FFFFFF"/>
          </w:tcPr>
          <w:p w:rsidR="00FA423E" w:rsidRPr="00CC3F44" w:rsidRDefault="00FA423E" w:rsidP="00DC1333">
            <w:pPr>
              <w:jc w:val="center"/>
            </w:pPr>
            <w:r w:rsidRPr="00CC3F44">
              <w:rPr>
                <w:color w:val="008000"/>
                <w:szCs w:val="22"/>
              </w:rPr>
              <w:sym w:font="Wingdings" w:char="F06C"/>
            </w:r>
          </w:p>
        </w:tc>
      </w:tr>
      <w:tr w:rsidR="00FA423E" w:rsidRPr="0016774F" w:rsidTr="00DC1333">
        <w:trPr>
          <w:cantSplit/>
          <w:trHeight w:val="463"/>
        </w:trPr>
        <w:tc>
          <w:tcPr>
            <w:tcW w:w="1477" w:type="pct"/>
            <w:shd w:val="clear" w:color="auto" w:fill="auto"/>
            <w:tcMar>
              <w:top w:w="113" w:type="dxa"/>
              <w:bottom w:w="57" w:type="dxa"/>
            </w:tcMar>
          </w:tcPr>
          <w:p w:rsidR="00FA423E" w:rsidRPr="007E4934" w:rsidRDefault="00FA423E" w:rsidP="00DC1333">
            <w:pPr>
              <w:rPr>
                <w:sz w:val="16"/>
                <w:szCs w:val="16"/>
              </w:rPr>
            </w:pPr>
          </w:p>
        </w:tc>
        <w:tc>
          <w:tcPr>
            <w:tcW w:w="2267" w:type="pct"/>
            <w:shd w:val="clear" w:color="auto" w:fill="auto"/>
            <w:tcMar>
              <w:top w:w="113" w:type="dxa"/>
              <w:bottom w:w="57" w:type="dxa"/>
            </w:tcMar>
          </w:tcPr>
          <w:p w:rsidR="00FA423E" w:rsidRPr="007E4934" w:rsidRDefault="00FA423E" w:rsidP="00DC1333">
            <w:pPr>
              <w:rPr>
                <w:sz w:val="16"/>
                <w:szCs w:val="16"/>
              </w:rPr>
            </w:pPr>
            <w:r w:rsidRPr="007E4934">
              <w:rPr>
                <w:sz w:val="16"/>
                <w:szCs w:val="16"/>
                <w:lang w:val="es-ES_tradnl"/>
              </w:rPr>
              <w:t>Número de nuevas academias nacionales establecidas tras la finalización de la fase piloto</w:t>
            </w:r>
          </w:p>
        </w:tc>
        <w:tc>
          <w:tcPr>
            <w:tcW w:w="735" w:type="pct"/>
            <w:shd w:val="clear" w:color="auto" w:fill="FFFFFF"/>
            <w:tcMar>
              <w:top w:w="113" w:type="dxa"/>
              <w:bottom w:w="57" w:type="dxa"/>
            </w:tcMar>
          </w:tcPr>
          <w:p w:rsidR="00FA423E" w:rsidRPr="007E4934" w:rsidRDefault="00FA423E" w:rsidP="00DC1333">
            <w:pPr>
              <w:jc w:val="center"/>
              <w:rPr>
                <w:sz w:val="16"/>
                <w:szCs w:val="16"/>
                <w:lang w:bidi="th-TH"/>
              </w:rPr>
            </w:pPr>
            <w:r w:rsidRPr="007E4934">
              <w:rPr>
                <w:sz w:val="16"/>
                <w:szCs w:val="16"/>
                <w:lang w:val="es-ES_tradnl" w:bidi="th-TH"/>
              </w:rPr>
              <w:t>Programa 11</w:t>
            </w:r>
          </w:p>
        </w:tc>
        <w:tc>
          <w:tcPr>
            <w:tcW w:w="521" w:type="pct"/>
            <w:shd w:val="clear" w:color="auto" w:fill="FFFFFF"/>
          </w:tcPr>
          <w:p w:rsidR="00FA423E" w:rsidRPr="00CC3F44" w:rsidRDefault="00FA423E" w:rsidP="00DC1333">
            <w:pPr>
              <w:jc w:val="center"/>
            </w:pPr>
            <w:r w:rsidRPr="00CC3F44">
              <w:rPr>
                <w:color w:val="008000"/>
                <w:szCs w:val="22"/>
              </w:rPr>
              <w:sym w:font="Wingdings" w:char="F06C"/>
            </w:r>
          </w:p>
        </w:tc>
      </w:tr>
      <w:tr w:rsidR="00FA423E" w:rsidRPr="0016774F" w:rsidTr="00DC1333">
        <w:trPr>
          <w:cantSplit/>
          <w:trHeight w:val="634"/>
        </w:trPr>
        <w:tc>
          <w:tcPr>
            <w:tcW w:w="1477" w:type="pct"/>
            <w:shd w:val="clear" w:color="auto" w:fill="auto"/>
            <w:tcMar>
              <w:top w:w="113" w:type="dxa"/>
              <w:bottom w:w="57" w:type="dxa"/>
            </w:tcMar>
          </w:tcPr>
          <w:p w:rsidR="00FA423E" w:rsidRPr="007E4934" w:rsidRDefault="00FA423E" w:rsidP="00DC1333">
            <w:pPr>
              <w:rPr>
                <w:sz w:val="16"/>
                <w:szCs w:val="16"/>
              </w:rPr>
            </w:pPr>
          </w:p>
        </w:tc>
        <w:tc>
          <w:tcPr>
            <w:tcW w:w="2267" w:type="pct"/>
            <w:shd w:val="clear" w:color="auto" w:fill="auto"/>
            <w:tcMar>
              <w:top w:w="113" w:type="dxa"/>
              <w:bottom w:w="57" w:type="dxa"/>
            </w:tcMar>
          </w:tcPr>
          <w:p w:rsidR="00FA423E" w:rsidRPr="007E4934" w:rsidRDefault="00FA423E" w:rsidP="00DC1333">
            <w:pPr>
              <w:rPr>
                <w:sz w:val="16"/>
                <w:szCs w:val="16"/>
              </w:rPr>
            </w:pPr>
            <w:r w:rsidRPr="007E4934">
              <w:rPr>
                <w:sz w:val="16"/>
                <w:szCs w:val="16"/>
                <w:lang w:val="es-ES_tradnl"/>
              </w:rPr>
              <w:t>Porcentaje de participantes que han recibido formación y que están satisfechos de la utilidad y pertinencia de la formación recibida para su vida profesional</w:t>
            </w:r>
          </w:p>
        </w:tc>
        <w:tc>
          <w:tcPr>
            <w:tcW w:w="735" w:type="pct"/>
            <w:shd w:val="clear" w:color="auto" w:fill="FFFFFF"/>
            <w:tcMar>
              <w:top w:w="113" w:type="dxa"/>
              <w:bottom w:w="57" w:type="dxa"/>
            </w:tcMar>
          </w:tcPr>
          <w:p w:rsidR="00FA423E" w:rsidRPr="007E4934" w:rsidRDefault="00FA423E" w:rsidP="00DC1333">
            <w:pPr>
              <w:jc w:val="center"/>
              <w:rPr>
                <w:sz w:val="16"/>
                <w:szCs w:val="16"/>
                <w:lang w:bidi="th-TH"/>
              </w:rPr>
            </w:pPr>
            <w:r w:rsidRPr="007E4934">
              <w:rPr>
                <w:sz w:val="16"/>
                <w:szCs w:val="16"/>
                <w:lang w:val="es-ES_tradnl" w:bidi="th-TH"/>
              </w:rPr>
              <w:t>Programa 17</w:t>
            </w:r>
          </w:p>
        </w:tc>
        <w:tc>
          <w:tcPr>
            <w:tcW w:w="521" w:type="pct"/>
            <w:shd w:val="clear" w:color="auto" w:fill="FFFFFF"/>
          </w:tcPr>
          <w:p w:rsidR="00FA423E" w:rsidRPr="00CC3F44" w:rsidRDefault="00FA423E" w:rsidP="00DC1333">
            <w:pPr>
              <w:jc w:val="center"/>
            </w:pPr>
            <w:r w:rsidRPr="00CC3F44">
              <w:rPr>
                <w:color w:val="008000"/>
                <w:szCs w:val="22"/>
              </w:rPr>
              <w:sym w:font="Wingdings" w:char="F06C"/>
            </w:r>
          </w:p>
        </w:tc>
      </w:tr>
      <w:tr w:rsidR="00FA423E" w:rsidRPr="0016774F" w:rsidTr="00DC1333">
        <w:trPr>
          <w:cantSplit/>
          <w:trHeight w:val="724"/>
        </w:trPr>
        <w:tc>
          <w:tcPr>
            <w:tcW w:w="1477" w:type="pct"/>
            <w:shd w:val="clear" w:color="auto" w:fill="auto"/>
            <w:tcMar>
              <w:top w:w="113" w:type="dxa"/>
              <w:bottom w:w="57" w:type="dxa"/>
            </w:tcMar>
          </w:tcPr>
          <w:p w:rsidR="00FA423E" w:rsidRPr="007E4934" w:rsidRDefault="00FA423E" w:rsidP="00DC1333">
            <w:pPr>
              <w:rPr>
                <w:sz w:val="16"/>
                <w:szCs w:val="16"/>
              </w:rPr>
            </w:pPr>
          </w:p>
        </w:tc>
        <w:tc>
          <w:tcPr>
            <w:tcW w:w="2267" w:type="pct"/>
            <w:shd w:val="clear" w:color="auto" w:fill="auto"/>
            <w:tcMar>
              <w:top w:w="113" w:type="dxa"/>
              <w:bottom w:w="57" w:type="dxa"/>
            </w:tcMar>
          </w:tcPr>
          <w:p w:rsidR="00FA423E" w:rsidRPr="007E4934" w:rsidRDefault="00FA423E" w:rsidP="00DC1333">
            <w:pPr>
              <w:rPr>
                <w:sz w:val="16"/>
                <w:szCs w:val="16"/>
              </w:rPr>
            </w:pPr>
            <w:r w:rsidRPr="007E4934">
              <w:rPr>
                <w:sz w:val="16"/>
                <w:szCs w:val="16"/>
                <w:lang w:val="es-ES_tradnl"/>
              </w:rPr>
              <w:t>Porcentaje de destinatarios que han demostrado conocimientos básicos de un sistema equilibrado de P.I. tras las actividades de la OMPI</w:t>
            </w:r>
          </w:p>
        </w:tc>
        <w:tc>
          <w:tcPr>
            <w:tcW w:w="735" w:type="pct"/>
            <w:shd w:val="clear" w:color="auto" w:fill="FFFFFF"/>
            <w:tcMar>
              <w:top w:w="113" w:type="dxa"/>
              <w:bottom w:w="57" w:type="dxa"/>
            </w:tcMar>
          </w:tcPr>
          <w:p w:rsidR="00FA423E" w:rsidRPr="007E4934" w:rsidRDefault="00FA423E" w:rsidP="00DC1333">
            <w:pPr>
              <w:jc w:val="center"/>
              <w:rPr>
                <w:sz w:val="16"/>
                <w:szCs w:val="16"/>
                <w:lang w:bidi="th-TH"/>
              </w:rPr>
            </w:pPr>
            <w:r w:rsidRPr="007E4934">
              <w:rPr>
                <w:sz w:val="16"/>
                <w:szCs w:val="16"/>
                <w:lang w:val="es-ES_tradnl" w:bidi="th-TH"/>
              </w:rPr>
              <w:t>Programa 17</w:t>
            </w:r>
          </w:p>
        </w:tc>
        <w:tc>
          <w:tcPr>
            <w:tcW w:w="521" w:type="pct"/>
            <w:shd w:val="clear" w:color="auto" w:fill="FFFFFF"/>
          </w:tcPr>
          <w:p w:rsidR="00FA423E" w:rsidRPr="00CC3F44" w:rsidRDefault="00FA423E" w:rsidP="00DC1333">
            <w:pPr>
              <w:jc w:val="center"/>
            </w:pPr>
            <w:r w:rsidRPr="00CC3F44">
              <w:rPr>
                <w:color w:val="008000"/>
                <w:szCs w:val="22"/>
              </w:rPr>
              <w:sym w:font="Wingdings" w:char="F06C"/>
            </w:r>
          </w:p>
        </w:tc>
      </w:tr>
      <w:tr w:rsidR="00FA423E" w:rsidRPr="0016774F" w:rsidTr="00DC1333">
        <w:trPr>
          <w:cantSplit/>
          <w:trHeight w:val="382"/>
        </w:trPr>
        <w:tc>
          <w:tcPr>
            <w:tcW w:w="1477" w:type="pct"/>
            <w:shd w:val="clear" w:color="auto" w:fill="auto"/>
            <w:tcMar>
              <w:top w:w="113" w:type="dxa"/>
              <w:bottom w:w="57" w:type="dxa"/>
            </w:tcMar>
          </w:tcPr>
          <w:p w:rsidR="00FA423E" w:rsidRPr="007E4934" w:rsidRDefault="00FA423E" w:rsidP="00DC1333">
            <w:pPr>
              <w:rPr>
                <w:sz w:val="16"/>
                <w:szCs w:val="16"/>
              </w:rPr>
            </w:pPr>
          </w:p>
        </w:tc>
        <w:tc>
          <w:tcPr>
            <w:tcW w:w="2267" w:type="pct"/>
            <w:shd w:val="clear" w:color="auto" w:fill="auto"/>
            <w:tcMar>
              <w:top w:w="113" w:type="dxa"/>
              <w:bottom w:w="57" w:type="dxa"/>
            </w:tcMar>
          </w:tcPr>
          <w:p w:rsidR="00FA423E" w:rsidRPr="007E4934" w:rsidRDefault="00FA423E" w:rsidP="00DC1333">
            <w:pPr>
              <w:rPr>
                <w:sz w:val="16"/>
                <w:szCs w:val="16"/>
              </w:rPr>
            </w:pPr>
            <w:r w:rsidRPr="007E4934">
              <w:rPr>
                <w:sz w:val="16"/>
                <w:szCs w:val="16"/>
                <w:lang w:val="es-ES_tradnl"/>
              </w:rPr>
              <w:t>Número de países participantes en el programa de Premios de la OMPI</w:t>
            </w:r>
          </w:p>
        </w:tc>
        <w:tc>
          <w:tcPr>
            <w:tcW w:w="735" w:type="pct"/>
            <w:shd w:val="clear" w:color="auto" w:fill="FFFFFF"/>
            <w:tcMar>
              <w:top w:w="113" w:type="dxa"/>
              <w:bottom w:w="57" w:type="dxa"/>
            </w:tcMar>
          </w:tcPr>
          <w:p w:rsidR="00FA423E" w:rsidRPr="007E4934" w:rsidRDefault="00FA423E" w:rsidP="00DC1333">
            <w:pPr>
              <w:jc w:val="center"/>
              <w:rPr>
                <w:sz w:val="16"/>
                <w:szCs w:val="16"/>
                <w:lang w:bidi="th-TH"/>
              </w:rPr>
            </w:pPr>
            <w:r w:rsidRPr="007E4934">
              <w:rPr>
                <w:sz w:val="16"/>
                <w:szCs w:val="16"/>
                <w:lang w:val="es-ES_tradnl" w:bidi="th-TH"/>
              </w:rPr>
              <w:t>Programa 17</w:t>
            </w:r>
          </w:p>
        </w:tc>
        <w:tc>
          <w:tcPr>
            <w:tcW w:w="521" w:type="pct"/>
            <w:shd w:val="clear" w:color="auto" w:fill="FFFFFF"/>
          </w:tcPr>
          <w:p w:rsidR="00FA423E" w:rsidRPr="00CC3F44" w:rsidRDefault="00FA423E" w:rsidP="00DC1333">
            <w:pPr>
              <w:jc w:val="center"/>
            </w:pPr>
            <w:r w:rsidRPr="00CC3F44">
              <w:rPr>
                <w:color w:val="008000"/>
                <w:szCs w:val="22"/>
              </w:rPr>
              <w:sym w:font="Wingdings" w:char="F06C"/>
            </w:r>
          </w:p>
        </w:tc>
      </w:tr>
      <w:tr w:rsidR="00FA423E" w:rsidRPr="0016774F" w:rsidTr="00DC1333">
        <w:trPr>
          <w:cantSplit/>
          <w:trHeight w:val="454"/>
        </w:trPr>
        <w:tc>
          <w:tcPr>
            <w:tcW w:w="1477" w:type="pct"/>
            <w:shd w:val="clear" w:color="auto" w:fill="auto"/>
            <w:tcMar>
              <w:top w:w="113" w:type="dxa"/>
              <w:bottom w:w="57" w:type="dxa"/>
            </w:tcMar>
          </w:tcPr>
          <w:p w:rsidR="00FA423E" w:rsidRPr="007E4934" w:rsidRDefault="00FA423E" w:rsidP="00DC1333">
            <w:pPr>
              <w:rPr>
                <w:sz w:val="16"/>
                <w:szCs w:val="16"/>
              </w:rPr>
            </w:pPr>
          </w:p>
        </w:tc>
        <w:tc>
          <w:tcPr>
            <w:tcW w:w="2267" w:type="pct"/>
            <w:shd w:val="clear" w:color="auto" w:fill="auto"/>
            <w:tcMar>
              <w:top w:w="113" w:type="dxa"/>
              <w:bottom w:w="57" w:type="dxa"/>
            </w:tcMar>
          </w:tcPr>
          <w:p w:rsidR="00FA423E" w:rsidRPr="007E4934" w:rsidRDefault="00FA423E" w:rsidP="00DC1333">
            <w:pPr>
              <w:rPr>
                <w:sz w:val="16"/>
                <w:szCs w:val="16"/>
              </w:rPr>
            </w:pPr>
            <w:r w:rsidRPr="007E4934">
              <w:rPr>
                <w:sz w:val="16"/>
                <w:szCs w:val="16"/>
                <w:lang w:val="es-ES_tradnl"/>
              </w:rPr>
              <w:t>Número de acuerdos de acogida de científicos de países en desarrollo</w:t>
            </w:r>
          </w:p>
        </w:tc>
        <w:tc>
          <w:tcPr>
            <w:tcW w:w="735" w:type="pct"/>
            <w:shd w:val="clear" w:color="auto" w:fill="FFFFFF"/>
            <w:tcMar>
              <w:top w:w="113" w:type="dxa"/>
              <w:bottom w:w="57" w:type="dxa"/>
            </w:tcMar>
          </w:tcPr>
          <w:p w:rsidR="00FA423E" w:rsidRPr="007E4934" w:rsidRDefault="00FA423E" w:rsidP="00DC1333">
            <w:pPr>
              <w:jc w:val="center"/>
              <w:rPr>
                <w:sz w:val="16"/>
                <w:szCs w:val="16"/>
                <w:lang w:bidi="th-TH"/>
              </w:rPr>
            </w:pPr>
            <w:r w:rsidRPr="007E4934">
              <w:rPr>
                <w:sz w:val="16"/>
                <w:szCs w:val="16"/>
                <w:lang w:val="es-ES_tradnl" w:bidi="th-TH"/>
              </w:rPr>
              <w:t>Programa 18</w:t>
            </w:r>
          </w:p>
        </w:tc>
        <w:tc>
          <w:tcPr>
            <w:tcW w:w="521" w:type="pct"/>
            <w:shd w:val="clear" w:color="auto" w:fill="FFFFFF"/>
          </w:tcPr>
          <w:p w:rsidR="00FA423E" w:rsidRPr="00CC3F44" w:rsidRDefault="00FA423E" w:rsidP="00DC1333">
            <w:pPr>
              <w:jc w:val="center"/>
            </w:pPr>
            <w:r w:rsidRPr="00CC3F44">
              <w:rPr>
                <w:color w:val="FF0000"/>
                <w:szCs w:val="22"/>
              </w:rPr>
              <w:sym w:font="Wingdings" w:char="F06C"/>
            </w:r>
          </w:p>
        </w:tc>
      </w:tr>
      <w:tr w:rsidR="00FA423E" w:rsidRPr="0016774F" w:rsidTr="00DC1333">
        <w:trPr>
          <w:cantSplit/>
          <w:trHeight w:val="726"/>
        </w:trPr>
        <w:tc>
          <w:tcPr>
            <w:tcW w:w="1477" w:type="pct"/>
            <w:shd w:val="clear" w:color="auto" w:fill="auto"/>
            <w:tcMar>
              <w:top w:w="113" w:type="dxa"/>
              <w:bottom w:w="57" w:type="dxa"/>
            </w:tcMar>
          </w:tcPr>
          <w:p w:rsidR="00FA423E" w:rsidRPr="007E4934" w:rsidRDefault="00FA423E" w:rsidP="00DC1333">
            <w:pPr>
              <w:rPr>
                <w:sz w:val="16"/>
                <w:szCs w:val="16"/>
              </w:rPr>
            </w:pPr>
          </w:p>
        </w:tc>
        <w:tc>
          <w:tcPr>
            <w:tcW w:w="2267" w:type="pct"/>
            <w:shd w:val="clear" w:color="auto" w:fill="auto"/>
            <w:tcMar>
              <w:top w:w="113" w:type="dxa"/>
              <w:bottom w:w="57" w:type="dxa"/>
            </w:tcMar>
          </w:tcPr>
          <w:p w:rsidR="00FA423E" w:rsidRPr="007E4934" w:rsidRDefault="00FA423E" w:rsidP="00DC1333">
            <w:pPr>
              <w:rPr>
                <w:sz w:val="16"/>
                <w:szCs w:val="16"/>
              </w:rPr>
            </w:pPr>
            <w:r w:rsidRPr="007E4934">
              <w:rPr>
                <w:sz w:val="16"/>
                <w:szCs w:val="16"/>
                <w:lang w:val="es-ES_tradnl"/>
              </w:rPr>
              <w:t>Porcentaje de encargados de la adopción de políticas, funcionarios gubernamentales, profesionales de la P.I. y participantes en talleres con un mayor conocimiento de los OGC y la manera de usar eficazmente la P.I. al servicio del desarrollo</w:t>
            </w:r>
          </w:p>
        </w:tc>
        <w:tc>
          <w:tcPr>
            <w:tcW w:w="735" w:type="pct"/>
            <w:shd w:val="clear" w:color="auto" w:fill="FFFFFF"/>
            <w:tcMar>
              <w:top w:w="113" w:type="dxa"/>
              <w:bottom w:w="57" w:type="dxa"/>
            </w:tcMar>
          </w:tcPr>
          <w:p w:rsidR="00FA423E" w:rsidRPr="007E4934" w:rsidRDefault="00FA423E" w:rsidP="00DC1333">
            <w:pPr>
              <w:jc w:val="center"/>
              <w:rPr>
                <w:sz w:val="16"/>
                <w:szCs w:val="16"/>
                <w:lang w:bidi="th-TH"/>
              </w:rPr>
            </w:pPr>
            <w:r w:rsidRPr="007E4934">
              <w:rPr>
                <w:sz w:val="16"/>
                <w:szCs w:val="16"/>
                <w:lang w:val="es-ES_tradnl" w:bidi="th-TH"/>
              </w:rPr>
              <w:t>Programa 20</w:t>
            </w:r>
          </w:p>
          <w:p w:rsidR="00FA423E" w:rsidRPr="007E4934" w:rsidRDefault="00FA423E" w:rsidP="00DC1333">
            <w:pPr>
              <w:ind w:left="551"/>
              <w:jc w:val="center"/>
              <w:rPr>
                <w:sz w:val="16"/>
                <w:szCs w:val="16"/>
                <w:lang w:bidi="th-TH"/>
              </w:rPr>
            </w:pPr>
          </w:p>
          <w:p w:rsidR="00FA423E" w:rsidRPr="007E4934" w:rsidRDefault="00FA423E" w:rsidP="00DC1333">
            <w:pPr>
              <w:ind w:left="551"/>
              <w:jc w:val="center"/>
              <w:rPr>
                <w:sz w:val="16"/>
                <w:szCs w:val="16"/>
                <w:lang w:bidi="th-TH"/>
              </w:rPr>
            </w:pPr>
          </w:p>
          <w:p w:rsidR="00FA423E" w:rsidRPr="007E4934" w:rsidRDefault="00FA423E" w:rsidP="00DC1333">
            <w:pPr>
              <w:jc w:val="center"/>
              <w:rPr>
                <w:sz w:val="16"/>
                <w:szCs w:val="16"/>
                <w:lang w:bidi="th-TH"/>
              </w:rPr>
            </w:pPr>
          </w:p>
        </w:tc>
        <w:tc>
          <w:tcPr>
            <w:tcW w:w="521" w:type="pct"/>
            <w:shd w:val="clear" w:color="auto" w:fill="FFFFFF"/>
          </w:tcPr>
          <w:p w:rsidR="00FA423E" w:rsidRPr="00CC3F44" w:rsidRDefault="00FA423E" w:rsidP="00DC1333">
            <w:pPr>
              <w:jc w:val="center"/>
            </w:pPr>
            <w:r w:rsidRPr="00CC3F44">
              <w:rPr>
                <w:color w:val="008000"/>
                <w:szCs w:val="22"/>
              </w:rPr>
              <w:sym w:font="Wingdings" w:char="F06C"/>
            </w:r>
            <w:r w:rsidRPr="00CC3F44">
              <w:rPr>
                <w:color w:val="008000"/>
                <w:szCs w:val="22"/>
              </w:rPr>
              <w:sym w:font="Wingdings" w:char="F06C"/>
            </w:r>
            <w:r w:rsidRPr="00CC3F44">
              <w:rPr>
                <w:color w:val="008000"/>
                <w:szCs w:val="22"/>
              </w:rPr>
              <w:sym w:font="Wingdings" w:char="F06C"/>
            </w:r>
          </w:p>
        </w:tc>
      </w:tr>
      <w:tr w:rsidR="00FA423E" w:rsidRPr="0016774F" w:rsidTr="00DC1333">
        <w:trPr>
          <w:cantSplit/>
          <w:trHeight w:val="454"/>
        </w:trPr>
        <w:tc>
          <w:tcPr>
            <w:tcW w:w="1477" w:type="pct"/>
            <w:shd w:val="clear" w:color="auto" w:fill="auto"/>
            <w:tcMar>
              <w:top w:w="113" w:type="dxa"/>
              <w:bottom w:w="57" w:type="dxa"/>
            </w:tcMar>
          </w:tcPr>
          <w:p w:rsidR="00FA423E" w:rsidRPr="007E4934" w:rsidRDefault="00FA423E" w:rsidP="00DC1333">
            <w:pPr>
              <w:rPr>
                <w:sz w:val="16"/>
                <w:szCs w:val="16"/>
              </w:rPr>
            </w:pPr>
          </w:p>
        </w:tc>
        <w:tc>
          <w:tcPr>
            <w:tcW w:w="2267" w:type="pct"/>
            <w:shd w:val="clear" w:color="auto" w:fill="auto"/>
            <w:tcMar>
              <w:top w:w="113" w:type="dxa"/>
              <w:bottom w:w="57" w:type="dxa"/>
            </w:tcMar>
          </w:tcPr>
          <w:p w:rsidR="00FA423E" w:rsidRPr="007E4934" w:rsidRDefault="00FA423E" w:rsidP="00DC1333">
            <w:pPr>
              <w:rPr>
                <w:sz w:val="16"/>
                <w:szCs w:val="16"/>
              </w:rPr>
            </w:pPr>
            <w:r w:rsidRPr="007E4934">
              <w:rPr>
                <w:sz w:val="16"/>
                <w:szCs w:val="16"/>
                <w:lang w:val="es-ES_tradnl"/>
              </w:rPr>
              <w:t>Porcentaje de profesionales de la P.I. formados que utilizan en su trabajo las nuevas aptitudes adquiridas</w:t>
            </w:r>
          </w:p>
        </w:tc>
        <w:tc>
          <w:tcPr>
            <w:tcW w:w="735" w:type="pct"/>
            <w:shd w:val="clear" w:color="auto" w:fill="FFFFFF"/>
            <w:tcMar>
              <w:top w:w="113" w:type="dxa"/>
              <w:bottom w:w="57" w:type="dxa"/>
            </w:tcMar>
          </w:tcPr>
          <w:p w:rsidR="00FA423E" w:rsidRPr="007E4934" w:rsidRDefault="00FA423E" w:rsidP="00DC1333">
            <w:pPr>
              <w:jc w:val="center"/>
              <w:rPr>
                <w:sz w:val="16"/>
                <w:szCs w:val="16"/>
                <w:lang w:bidi="th-TH"/>
              </w:rPr>
            </w:pPr>
            <w:r w:rsidRPr="007E4934">
              <w:rPr>
                <w:sz w:val="16"/>
                <w:szCs w:val="16"/>
                <w:lang w:val="es-ES_tradnl" w:bidi="th-TH"/>
              </w:rPr>
              <w:t>Programa 30</w:t>
            </w:r>
          </w:p>
        </w:tc>
        <w:tc>
          <w:tcPr>
            <w:tcW w:w="521" w:type="pct"/>
            <w:shd w:val="clear" w:color="auto" w:fill="FFFFFF"/>
          </w:tcPr>
          <w:p w:rsidR="00FA423E" w:rsidRPr="00CC3F44" w:rsidRDefault="00FA423E" w:rsidP="00DC1333">
            <w:pPr>
              <w:jc w:val="center"/>
              <w:rPr>
                <w:color w:val="A6A6A6" w:themeColor="background1" w:themeShade="A6"/>
                <w:szCs w:val="22"/>
              </w:rPr>
            </w:pPr>
            <w:r w:rsidRPr="00CC3F44">
              <w:rPr>
                <w:color w:val="008000"/>
                <w:szCs w:val="22"/>
              </w:rPr>
              <w:sym w:font="Wingdings" w:char="F06C"/>
            </w:r>
          </w:p>
        </w:tc>
      </w:tr>
      <w:tr w:rsidR="00FA423E" w:rsidRPr="0016774F" w:rsidTr="00DC1333">
        <w:trPr>
          <w:cantSplit/>
          <w:trHeight w:val="539"/>
        </w:trPr>
        <w:tc>
          <w:tcPr>
            <w:tcW w:w="1477" w:type="pct"/>
            <w:vMerge w:val="restart"/>
            <w:shd w:val="clear" w:color="auto" w:fill="auto"/>
            <w:tcMar>
              <w:top w:w="113" w:type="dxa"/>
              <w:bottom w:w="57" w:type="dxa"/>
            </w:tcMar>
          </w:tcPr>
          <w:p w:rsidR="00FA423E" w:rsidRPr="007E4934" w:rsidRDefault="00FA423E" w:rsidP="00DC1333">
            <w:pPr>
              <w:rPr>
                <w:sz w:val="16"/>
                <w:szCs w:val="16"/>
              </w:rPr>
            </w:pPr>
            <w:r w:rsidRPr="007E4934">
              <w:rPr>
                <w:sz w:val="16"/>
                <w:szCs w:val="16"/>
                <w:lang w:val="es-ES_tradnl"/>
              </w:rPr>
              <w:t>III.3 Incorporación de las recomendaciones de la Agenda para el Desarrollo en la labor de la OMPI</w:t>
            </w:r>
          </w:p>
        </w:tc>
        <w:tc>
          <w:tcPr>
            <w:tcW w:w="2267" w:type="pct"/>
            <w:shd w:val="clear" w:color="auto" w:fill="auto"/>
            <w:tcMar>
              <w:top w:w="113" w:type="dxa"/>
              <w:bottom w:w="57" w:type="dxa"/>
            </w:tcMar>
          </w:tcPr>
          <w:p w:rsidR="00FA423E" w:rsidRPr="007E4934" w:rsidRDefault="00FA423E" w:rsidP="00DC1333">
            <w:pPr>
              <w:rPr>
                <w:sz w:val="16"/>
                <w:szCs w:val="16"/>
              </w:rPr>
            </w:pPr>
            <w:r w:rsidRPr="007E4934">
              <w:rPr>
                <w:sz w:val="16"/>
                <w:szCs w:val="16"/>
                <w:lang w:val="es-ES_tradnl"/>
              </w:rPr>
              <w:t>Número de recomendaciones de la A.D. que ha abordado el CDIP mediante proyectos, actividades y estudios</w:t>
            </w:r>
          </w:p>
          <w:p w:rsidR="00FA423E" w:rsidRPr="007E4934" w:rsidRDefault="00FA423E" w:rsidP="00DC1333">
            <w:pPr>
              <w:rPr>
                <w:sz w:val="16"/>
                <w:szCs w:val="16"/>
              </w:rPr>
            </w:pPr>
          </w:p>
        </w:tc>
        <w:tc>
          <w:tcPr>
            <w:tcW w:w="735" w:type="pct"/>
            <w:shd w:val="clear" w:color="auto" w:fill="FFFFFF"/>
            <w:tcMar>
              <w:top w:w="113" w:type="dxa"/>
              <w:bottom w:w="57" w:type="dxa"/>
            </w:tcMar>
          </w:tcPr>
          <w:p w:rsidR="00FA423E" w:rsidRPr="007E4934" w:rsidRDefault="00FA423E" w:rsidP="00DC1333">
            <w:pPr>
              <w:jc w:val="center"/>
              <w:rPr>
                <w:sz w:val="16"/>
                <w:szCs w:val="16"/>
                <w:lang w:bidi="th-TH"/>
              </w:rPr>
            </w:pPr>
            <w:r w:rsidRPr="007E4934">
              <w:rPr>
                <w:sz w:val="16"/>
                <w:szCs w:val="16"/>
                <w:lang w:val="es-ES_tradnl" w:bidi="th-TH"/>
              </w:rPr>
              <w:t>Programa 8</w:t>
            </w:r>
          </w:p>
        </w:tc>
        <w:tc>
          <w:tcPr>
            <w:tcW w:w="521" w:type="pct"/>
            <w:shd w:val="clear" w:color="auto" w:fill="FFFFFF"/>
          </w:tcPr>
          <w:p w:rsidR="00FA423E" w:rsidRPr="00CC3F44" w:rsidRDefault="00FA423E" w:rsidP="00DC1333">
            <w:pPr>
              <w:jc w:val="center"/>
            </w:pPr>
            <w:r w:rsidRPr="00CC3F44">
              <w:rPr>
                <w:color w:val="008000"/>
                <w:szCs w:val="22"/>
              </w:rPr>
              <w:sym w:font="Wingdings" w:char="F06C"/>
            </w:r>
          </w:p>
        </w:tc>
      </w:tr>
      <w:tr w:rsidR="00FA423E" w:rsidRPr="0016774F" w:rsidTr="00DC1333">
        <w:trPr>
          <w:cantSplit/>
          <w:trHeight w:val="538"/>
        </w:trPr>
        <w:tc>
          <w:tcPr>
            <w:tcW w:w="1477" w:type="pct"/>
            <w:vMerge/>
            <w:shd w:val="clear" w:color="auto" w:fill="auto"/>
            <w:tcMar>
              <w:top w:w="113" w:type="dxa"/>
              <w:bottom w:w="57" w:type="dxa"/>
            </w:tcMar>
          </w:tcPr>
          <w:p w:rsidR="00FA423E" w:rsidRPr="007E4934" w:rsidRDefault="00FA423E" w:rsidP="00DC1333">
            <w:pPr>
              <w:rPr>
                <w:sz w:val="16"/>
                <w:szCs w:val="16"/>
              </w:rPr>
            </w:pPr>
          </w:p>
        </w:tc>
        <w:tc>
          <w:tcPr>
            <w:tcW w:w="2267" w:type="pct"/>
            <w:shd w:val="clear" w:color="auto" w:fill="auto"/>
            <w:tcMar>
              <w:top w:w="113" w:type="dxa"/>
              <w:bottom w:w="57" w:type="dxa"/>
            </w:tcMar>
          </w:tcPr>
          <w:p w:rsidR="00FA423E" w:rsidRPr="007E4934" w:rsidRDefault="00FA423E" w:rsidP="00DC1333">
            <w:pPr>
              <w:rPr>
                <w:sz w:val="16"/>
                <w:szCs w:val="16"/>
              </w:rPr>
            </w:pPr>
            <w:r w:rsidRPr="007E4934">
              <w:rPr>
                <w:sz w:val="16"/>
                <w:szCs w:val="16"/>
                <w:lang w:val="es-ES_tradnl"/>
              </w:rPr>
              <w:t>Tasa de satisfacción de los Estados miembros con los resultados de los proyectos, actividades y estudios</w:t>
            </w:r>
            <w:r w:rsidRPr="007E4934">
              <w:rPr>
                <w:sz w:val="16"/>
                <w:szCs w:val="16"/>
              </w:rPr>
              <w:t xml:space="preserve">   </w:t>
            </w:r>
          </w:p>
          <w:p w:rsidR="00FA423E" w:rsidRPr="007E4934" w:rsidRDefault="00FA423E" w:rsidP="00DC1333">
            <w:pPr>
              <w:rPr>
                <w:sz w:val="16"/>
                <w:szCs w:val="16"/>
              </w:rPr>
            </w:pPr>
          </w:p>
        </w:tc>
        <w:tc>
          <w:tcPr>
            <w:tcW w:w="735" w:type="pct"/>
            <w:shd w:val="clear" w:color="auto" w:fill="FFFFFF"/>
            <w:tcMar>
              <w:top w:w="113" w:type="dxa"/>
              <w:bottom w:w="57" w:type="dxa"/>
            </w:tcMar>
          </w:tcPr>
          <w:p w:rsidR="00FA423E" w:rsidRPr="007E4934" w:rsidRDefault="00FA423E" w:rsidP="00DC1333">
            <w:pPr>
              <w:jc w:val="center"/>
              <w:rPr>
                <w:sz w:val="16"/>
                <w:szCs w:val="16"/>
                <w:lang w:bidi="th-TH"/>
              </w:rPr>
            </w:pPr>
            <w:r w:rsidRPr="007E4934">
              <w:rPr>
                <w:sz w:val="16"/>
                <w:szCs w:val="16"/>
                <w:lang w:val="es-ES_tradnl" w:bidi="th-TH"/>
              </w:rPr>
              <w:t>Programa 8</w:t>
            </w:r>
          </w:p>
          <w:p w:rsidR="00FA423E" w:rsidRPr="007E4934" w:rsidRDefault="00FA423E" w:rsidP="00DC1333">
            <w:pPr>
              <w:ind w:left="551"/>
              <w:jc w:val="center"/>
              <w:rPr>
                <w:sz w:val="16"/>
                <w:szCs w:val="16"/>
                <w:lang w:bidi="th-TH"/>
              </w:rPr>
            </w:pPr>
          </w:p>
        </w:tc>
        <w:tc>
          <w:tcPr>
            <w:tcW w:w="521" w:type="pct"/>
            <w:shd w:val="clear" w:color="auto" w:fill="FFFFFF"/>
          </w:tcPr>
          <w:p w:rsidR="00FA423E" w:rsidRPr="00CC3F44" w:rsidRDefault="00FA423E" w:rsidP="00DC1333">
            <w:pPr>
              <w:jc w:val="center"/>
              <w:rPr>
                <w:color w:val="A6A6A6" w:themeColor="background1" w:themeShade="A6"/>
                <w:szCs w:val="22"/>
              </w:rPr>
            </w:pPr>
            <w:r w:rsidRPr="00CC3F44">
              <w:rPr>
                <w:color w:val="008000"/>
                <w:szCs w:val="22"/>
              </w:rPr>
              <w:sym w:font="Wingdings" w:char="F06C"/>
            </w:r>
          </w:p>
        </w:tc>
      </w:tr>
      <w:tr w:rsidR="00FA423E" w:rsidRPr="0016774F" w:rsidTr="00DC1333">
        <w:trPr>
          <w:cantSplit/>
          <w:trHeight w:val="547"/>
        </w:trPr>
        <w:tc>
          <w:tcPr>
            <w:tcW w:w="1477" w:type="pct"/>
            <w:shd w:val="clear" w:color="auto" w:fill="auto"/>
            <w:tcMar>
              <w:top w:w="113" w:type="dxa"/>
              <w:bottom w:w="57" w:type="dxa"/>
            </w:tcMar>
          </w:tcPr>
          <w:p w:rsidR="00FA423E" w:rsidRPr="007E4934" w:rsidRDefault="00FA423E" w:rsidP="00DC1333">
            <w:pPr>
              <w:rPr>
                <w:sz w:val="16"/>
                <w:szCs w:val="16"/>
              </w:rPr>
            </w:pPr>
          </w:p>
        </w:tc>
        <w:tc>
          <w:tcPr>
            <w:tcW w:w="2267" w:type="pct"/>
            <w:shd w:val="clear" w:color="auto" w:fill="auto"/>
            <w:tcMar>
              <w:top w:w="113" w:type="dxa"/>
              <w:bottom w:w="57" w:type="dxa"/>
            </w:tcMar>
          </w:tcPr>
          <w:p w:rsidR="00FA423E" w:rsidRPr="007E4934" w:rsidRDefault="00FA423E" w:rsidP="00DC1333">
            <w:pPr>
              <w:rPr>
                <w:sz w:val="16"/>
                <w:szCs w:val="16"/>
              </w:rPr>
            </w:pPr>
            <w:r w:rsidRPr="007E4934">
              <w:rPr>
                <w:sz w:val="16"/>
                <w:szCs w:val="16"/>
                <w:lang w:val="es-ES_tradnl"/>
              </w:rPr>
              <w:t>Aplicación del mecanismo de coordinación aprobado por los Estados miembros</w:t>
            </w:r>
          </w:p>
        </w:tc>
        <w:tc>
          <w:tcPr>
            <w:tcW w:w="735" w:type="pct"/>
            <w:shd w:val="clear" w:color="auto" w:fill="FFFFFF"/>
            <w:tcMar>
              <w:top w:w="113" w:type="dxa"/>
              <w:bottom w:w="57" w:type="dxa"/>
            </w:tcMar>
          </w:tcPr>
          <w:p w:rsidR="00FA423E" w:rsidRPr="007E4934" w:rsidRDefault="00FA423E" w:rsidP="00DC1333">
            <w:pPr>
              <w:jc w:val="center"/>
              <w:rPr>
                <w:sz w:val="16"/>
                <w:szCs w:val="16"/>
                <w:lang w:bidi="th-TH"/>
              </w:rPr>
            </w:pPr>
            <w:r w:rsidRPr="007E4934">
              <w:rPr>
                <w:sz w:val="16"/>
                <w:szCs w:val="16"/>
                <w:lang w:val="es-ES_tradnl" w:bidi="th-TH"/>
              </w:rPr>
              <w:t>Programa 8</w:t>
            </w:r>
          </w:p>
        </w:tc>
        <w:tc>
          <w:tcPr>
            <w:tcW w:w="521" w:type="pct"/>
            <w:shd w:val="clear" w:color="auto" w:fill="FFFFFF"/>
          </w:tcPr>
          <w:p w:rsidR="00FA423E" w:rsidRPr="00CC3F44" w:rsidRDefault="00FA423E" w:rsidP="00DC1333">
            <w:pPr>
              <w:jc w:val="center"/>
            </w:pPr>
            <w:r w:rsidRPr="00CC3F44">
              <w:rPr>
                <w:color w:val="008000"/>
                <w:szCs w:val="22"/>
              </w:rPr>
              <w:sym w:font="Wingdings" w:char="F06C"/>
            </w:r>
          </w:p>
        </w:tc>
      </w:tr>
      <w:tr w:rsidR="00FA423E" w:rsidRPr="0016774F" w:rsidTr="00DC1333">
        <w:trPr>
          <w:cantSplit/>
          <w:trHeight w:val="547"/>
        </w:trPr>
        <w:tc>
          <w:tcPr>
            <w:tcW w:w="1477" w:type="pct"/>
            <w:shd w:val="clear" w:color="auto" w:fill="auto"/>
            <w:tcMar>
              <w:top w:w="113" w:type="dxa"/>
              <w:bottom w:w="57" w:type="dxa"/>
            </w:tcMar>
          </w:tcPr>
          <w:p w:rsidR="00FA423E" w:rsidRPr="007E4934" w:rsidRDefault="00FA423E" w:rsidP="00DC1333">
            <w:pPr>
              <w:rPr>
                <w:sz w:val="16"/>
                <w:szCs w:val="16"/>
              </w:rPr>
            </w:pPr>
          </w:p>
        </w:tc>
        <w:tc>
          <w:tcPr>
            <w:tcW w:w="2267" w:type="pct"/>
            <w:shd w:val="clear" w:color="auto" w:fill="auto"/>
            <w:tcMar>
              <w:top w:w="113" w:type="dxa"/>
              <w:bottom w:w="57" w:type="dxa"/>
            </w:tcMar>
          </w:tcPr>
          <w:p w:rsidR="00FA423E" w:rsidRPr="007E4934" w:rsidRDefault="00FA423E" w:rsidP="00DC1333">
            <w:pPr>
              <w:rPr>
                <w:sz w:val="16"/>
                <w:szCs w:val="16"/>
              </w:rPr>
            </w:pPr>
            <w:r w:rsidRPr="007E4934">
              <w:rPr>
                <w:sz w:val="16"/>
                <w:szCs w:val="16"/>
                <w:lang w:val="es-ES_tradnl"/>
              </w:rPr>
              <w:t>Número de programas que reflejan que las recomendaciones de la A.D. han sido incorporadas en la labor corriente de la OMPI</w:t>
            </w:r>
          </w:p>
        </w:tc>
        <w:tc>
          <w:tcPr>
            <w:tcW w:w="735" w:type="pct"/>
            <w:shd w:val="clear" w:color="auto" w:fill="FFFFFF"/>
            <w:tcMar>
              <w:top w:w="113" w:type="dxa"/>
              <w:bottom w:w="57" w:type="dxa"/>
            </w:tcMar>
          </w:tcPr>
          <w:p w:rsidR="00FA423E" w:rsidRPr="007E4934" w:rsidRDefault="00FA423E" w:rsidP="00DC1333">
            <w:pPr>
              <w:jc w:val="center"/>
              <w:rPr>
                <w:sz w:val="16"/>
                <w:szCs w:val="16"/>
                <w:lang w:bidi="th-TH"/>
              </w:rPr>
            </w:pPr>
            <w:r w:rsidRPr="007E4934">
              <w:rPr>
                <w:sz w:val="16"/>
                <w:szCs w:val="16"/>
                <w:lang w:val="es-ES_tradnl" w:bidi="th-TH"/>
              </w:rPr>
              <w:t>Programa 8</w:t>
            </w:r>
          </w:p>
        </w:tc>
        <w:tc>
          <w:tcPr>
            <w:tcW w:w="521" w:type="pct"/>
            <w:shd w:val="clear" w:color="auto" w:fill="FFFFFF"/>
          </w:tcPr>
          <w:p w:rsidR="00FA423E" w:rsidRPr="00CC3F44" w:rsidRDefault="00FA423E" w:rsidP="00DC1333">
            <w:pPr>
              <w:jc w:val="center"/>
            </w:pPr>
            <w:r w:rsidRPr="00CC3F44">
              <w:rPr>
                <w:color w:val="008000"/>
                <w:szCs w:val="22"/>
              </w:rPr>
              <w:sym w:font="Wingdings" w:char="F06C"/>
            </w:r>
          </w:p>
        </w:tc>
      </w:tr>
      <w:tr w:rsidR="00FA423E" w:rsidRPr="0016774F" w:rsidTr="00DC1333">
        <w:trPr>
          <w:cantSplit/>
          <w:trHeight w:val="547"/>
        </w:trPr>
        <w:tc>
          <w:tcPr>
            <w:tcW w:w="1477" w:type="pct"/>
            <w:shd w:val="clear" w:color="auto" w:fill="auto"/>
            <w:tcMar>
              <w:top w:w="113" w:type="dxa"/>
              <w:bottom w:w="57" w:type="dxa"/>
            </w:tcMar>
          </w:tcPr>
          <w:p w:rsidR="00FA423E" w:rsidRPr="007E4934" w:rsidRDefault="00FA423E" w:rsidP="00DC1333">
            <w:pPr>
              <w:rPr>
                <w:sz w:val="16"/>
                <w:szCs w:val="16"/>
              </w:rPr>
            </w:pPr>
          </w:p>
        </w:tc>
        <w:tc>
          <w:tcPr>
            <w:tcW w:w="2267" w:type="pct"/>
            <w:shd w:val="clear" w:color="auto" w:fill="auto"/>
            <w:tcMar>
              <w:top w:w="113" w:type="dxa"/>
              <w:bottom w:w="57" w:type="dxa"/>
            </w:tcMar>
          </w:tcPr>
          <w:p w:rsidR="00FA423E" w:rsidRPr="007E4934" w:rsidRDefault="00FA423E" w:rsidP="00DC1333">
            <w:pPr>
              <w:rPr>
                <w:sz w:val="16"/>
                <w:szCs w:val="16"/>
              </w:rPr>
            </w:pPr>
            <w:r w:rsidRPr="007E4934">
              <w:rPr>
                <w:sz w:val="16"/>
                <w:szCs w:val="16"/>
                <w:lang w:val="es-ES_tradnl"/>
              </w:rPr>
              <w:t>Número de proyectos de la A.D. y forma en la que han sido incorporados en la labor corriente de la OMPI (fijación de normas, asistencia técnica y prestación de servicios)</w:t>
            </w:r>
          </w:p>
        </w:tc>
        <w:tc>
          <w:tcPr>
            <w:tcW w:w="735" w:type="pct"/>
            <w:shd w:val="clear" w:color="auto" w:fill="FFFFFF"/>
            <w:tcMar>
              <w:top w:w="113" w:type="dxa"/>
              <w:bottom w:w="57" w:type="dxa"/>
            </w:tcMar>
          </w:tcPr>
          <w:p w:rsidR="00FA423E" w:rsidRPr="007E4934" w:rsidRDefault="00FA423E" w:rsidP="00DC1333">
            <w:pPr>
              <w:jc w:val="center"/>
              <w:rPr>
                <w:sz w:val="16"/>
                <w:szCs w:val="16"/>
                <w:lang w:bidi="th-TH"/>
              </w:rPr>
            </w:pPr>
            <w:r w:rsidRPr="007E4934">
              <w:rPr>
                <w:sz w:val="16"/>
                <w:szCs w:val="16"/>
                <w:lang w:val="es-ES_tradnl" w:bidi="th-TH"/>
              </w:rPr>
              <w:t>Programa 8</w:t>
            </w:r>
          </w:p>
        </w:tc>
        <w:tc>
          <w:tcPr>
            <w:tcW w:w="521" w:type="pct"/>
            <w:shd w:val="clear" w:color="auto" w:fill="FFFFFF"/>
          </w:tcPr>
          <w:p w:rsidR="00FA423E" w:rsidRPr="00CC3F44" w:rsidRDefault="00FA423E" w:rsidP="00DC1333">
            <w:pPr>
              <w:jc w:val="center"/>
            </w:pPr>
            <w:r w:rsidRPr="00CC3F44">
              <w:rPr>
                <w:color w:val="008000"/>
                <w:szCs w:val="22"/>
              </w:rPr>
              <w:sym w:font="Wingdings" w:char="F06C"/>
            </w:r>
          </w:p>
        </w:tc>
      </w:tr>
      <w:tr w:rsidR="00FA423E" w:rsidRPr="0016774F" w:rsidTr="00DC1333">
        <w:trPr>
          <w:cantSplit/>
          <w:trHeight w:val="464"/>
        </w:trPr>
        <w:tc>
          <w:tcPr>
            <w:tcW w:w="1477" w:type="pct"/>
            <w:vMerge w:val="restart"/>
            <w:shd w:val="clear" w:color="auto" w:fill="auto"/>
            <w:tcMar>
              <w:top w:w="113" w:type="dxa"/>
              <w:bottom w:w="57" w:type="dxa"/>
            </w:tcMar>
          </w:tcPr>
          <w:p w:rsidR="00FA423E" w:rsidRPr="007E4934" w:rsidRDefault="00FA423E" w:rsidP="00DC1333">
            <w:pPr>
              <w:rPr>
                <w:sz w:val="16"/>
                <w:szCs w:val="16"/>
              </w:rPr>
            </w:pPr>
          </w:p>
        </w:tc>
        <w:tc>
          <w:tcPr>
            <w:tcW w:w="2267" w:type="pct"/>
            <w:shd w:val="clear" w:color="auto" w:fill="auto"/>
            <w:tcMar>
              <w:top w:w="113" w:type="dxa"/>
              <w:bottom w:w="57" w:type="dxa"/>
            </w:tcMar>
          </w:tcPr>
          <w:p w:rsidR="00FA423E" w:rsidRPr="007E4934" w:rsidRDefault="00FA423E" w:rsidP="00DC1333">
            <w:pPr>
              <w:rPr>
                <w:sz w:val="16"/>
                <w:szCs w:val="16"/>
              </w:rPr>
            </w:pPr>
            <w:r w:rsidRPr="007E4934">
              <w:rPr>
                <w:sz w:val="16"/>
                <w:szCs w:val="16"/>
                <w:lang w:val="es-ES_tradnl"/>
              </w:rPr>
              <w:t>Sistema eficaz instalado para la planificación, el seguimiento y la evaluación de la aplicación de las recomendaciones de la A.D.</w:t>
            </w:r>
          </w:p>
          <w:p w:rsidR="00FA423E" w:rsidRPr="007E4934" w:rsidRDefault="00FA423E" w:rsidP="00DC1333">
            <w:pPr>
              <w:keepNext/>
              <w:keepLines/>
              <w:rPr>
                <w:sz w:val="16"/>
                <w:szCs w:val="16"/>
              </w:rPr>
            </w:pPr>
          </w:p>
        </w:tc>
        <w:tc>
          <w:tcPr>
            <w:tcW w:w="735" w:type="pct"/>
            <w:shd w:val="clear" w:color="auto" w:fill="FFFFFF"/>
            <w:tcMar>
              <w:top w:w="113" w:type="dxa"/>
              <w:bottom w:w="57" w:type="dxa"/>
            </w:tcMar>
          </w:tcPr>
          <w:p w:rsidR="00FA423E" w:rsidRPr="007E4934" w:rsidRDefault="00FA423E" w:rsidP="00DC1333">
            <w:pPr>
              <w:jc w:val="center"/>
              <w:rPr>
                <w:sz w:val="16"/>
                <w:szCs w:val="16"/>
                <w:lang w:bidi="th-TH"/>
              </w:rPr>
            </w:pPr>
            <w:r w:rsidRPr="007E4934">
              <w:rPr>
                <w:sz w:val="16"/>
                <w:szCs w:val="16"/>
                <w:lang w:val="es-ES_tradnl" w:bidi="th-TH"/>
              </w:rPr>
              <w:t>Programa 8</w:t>
            </w:r>
          </w:p>
        </w:tc>
        <w:tc>
          <w:tcPr>
            <w:tcW w:w="521" w:type="pct"/>
            <w:shd w:val="clear" w:color="auto" w:fill="FFFFFF"/>
          </w:tcPr>
          <w:p w:rsidR="00FA423E" w:rsidRPr="00CC3F44" w:rsidRDefault="00FA423E" w:rsidP="00DC1333">
            <w:pPr>
              <w:jc w:val="center"/>
            </w:pPr>
            <w:r w:rsidRPr="00CC3F44">
              <w:rPr>
                <w:color w:val="008000"/>
                <w:szCs w:val="22"/>
              </w:rPr>
              <w:sym w:font="Wingdings" w:char="F06C"/>
            </w:r>
          </w:p>
        </w:tc>
      </w:tr>
      <w:tr w:rsidR="00FA423E" w:rsidRPr="0016774F" w:rsidTr="00DC1333">
        <w:trPr>
          <w:cantSplit/>
          <w:trHeight w:val="463"/>
        </w:trPr>
        <w:tc>
          <w:tcPr>
            <w:tcW w:w="1477" w:type="pct"/>
            <w:vMerge/>
            <w:shd w:val="clear" w:color="auto" w:fill="auto"/>
            <w:tcMar>
              <w:top w:w="113" w:type="dxa"/>
              <w:bottom w:w="57" w:type="dxa"/>
            </w:tcMar>
          </w:tcPr>
          <w:p w:rsidR="00FA423E" w:rsidRPr="007E4934" w:rsidRDefault="00FA423E" w:rsidP="00DC1333">
            <w:pPr>
              <w:rPr>
                <w:sz w:val="16"/>
                <w:szCs w:val="16"/>
              </w:rPr>
            </w:pPr>
          </w:p>
        </w:tc>
        <w:tc>
          <w:tcPr>
            <w:tcW w:w="2267" w:type="pct"/>
            <w:shd w:val="clear" w:color="auto" w:fill="auto"/>
            <w:tcMar>
              <w:top w:w="113" w:type="dxa"/>
              <w:bottom w:w="57" w:type="dxa"/>
            </w:tcMar>
          </w:tcPr>
          <w:p w:rsidR="00FA423E" w:rsidRPr="007E4934" w:rsidRDefault="00FA423E" w:rsidP="00DC1333">
            <w:pPr>
              <w:rPr>
                <w:sz w:val="16"/>
                <w:szCs w:val="16"/>
              </w:rPr>
            </w:pPr>
            <w:r w:rsidRPr="007E4934">
              <w:rPr>
                <w:sz w:val="16"/>
                <w:szCs w:val="16"/>
                <w:lang w:val="es-ES_tradnl"/>
              </w:rPr>
              <w:t>Porcentaje de proyectos de la A.D. que han sido evaluados en forma independiente</w:t>
            </w:r>
          </w:p>
        </w:tc>
        <w:tc>
          <w:tcPr>
            <w:tcW w:w="735" w:type="pct"/>
            <w:shd w:val="clear" w:color="auto" w:fill="FFFFFF"/>
            <w:tcMar>
              <w:top w:w="113" w:type="dxa"/>
              <w:bottom w:w="57" w:type="dxa"/>
            </w:tcMar>
          </w:tcPr>
          <w:p w:rsidR="00FA423E" w:rsidRPr="007E4934" w:rsidRDefault="00FA423E" w:rsidP="00DC1333">
            <w:pPr>
              <w:jc w:val="center"/>
              <w:rPr>
                <w:sz w:val="16"/>
                <w:szCs w:val="16"/>
                <w:lang w:bidi="th-TH"/>
              </w:rPr>
            </w:pPr>
            <w:r w:rsidRPr="007E4934">
              <w:rPr>
                <w:sz w:val="16"/>
                <w:szCs w:val="16"/>
                <w:lang w:val="es-ES_tradnl" w:bidi="th-TH"/>
              </w:rPr>
              <w:t>Programa 8</w:t>
            </w:r>
          </w:p>
        </w:tc>
        <w:tc>
          <w:tcPr>
            <w:tcW w:w="521" w:type="pct"/>
            <w:shd w:val="clear" w:color="auto" w:fill="FFFFFF"/>
          </w:tcPr>
          <w:p w:rsidR="00FA423E" w:rsidRPr="00CC3F44" w:rsidRDefault="00FA423E" w:rsidP="00DC1333">
            <w:pPr>
              <w:jc w:val="center"/>
              <w:rPr>
                <w:color w:val="A6A6A6" w:themeColor="background1" w:themeShade="A6"/>
                <w:szCs w:val="22"/>
              </w:rPr>
            </w:pPr>
            <w:r w:rsidRPr="00CC3F44">
              <w:rPr>
                <w:color w:val="008000"/>
                <w:szCs w:val="22"/>
              </w:rPr>
              <w:sym w:font="Wingdings" w:char="F06C"/>
            </w:r>
          </w:p>
        </w:tc>
      </w:tr>
      <w:tr w:rsidR="00FA423E" w:rsidRPr="0016774F" w:rsidTr="00DC1333">
        <w:trPr>
          <w:cantSplit/>
          <w:trHeight w:val="463"/>
        </w:trPr>
        <w:tc>
          <w:tcPr>
            <w:tcW w:w="1477" w:type="pct"/>
            <w:shd w:val="clear" w:color="auto" w:fill="auto"/>
            <w:tcMar>
              <w:top w:w="113" w:type="dxa"/>
              <w:bottom w:w="57" w:type="dxa"/>
            </w:tcMar>
          </w:tcPr>
          <w:p w:rsidR="00FA423E" w:rsidRPr="007E4934" w:rsidRDefault="00FA423E" w:rsidP="00DC1333">
            <w:pPr>
              <w:keepNext/>
              <w:keepLines/>
              <w:tabs>
                <w:tab w:val="right" w:pos="2835"/>
              </w:tabs>
              <w:spacing w:after="60"/>
              <w:rPr>
                <w:sz w:val="15"/>
                <w:szCs w:val="15"/>
              </w:rPr>
            </w:pPr>
            <w:r w:rsidRPr="007E4934">
              <w:rPr>
                <w:sz w:val="15"/>
                <w:szCs w:val="15"/>
                <w:lang w:val="es-ES_tradnl"/>
              </w:rPr>
              <w:t>III.4 Fortalecimiento de los mecanismos y de los programas de cooperación conforme a las necesidades de los países en desarrollo y los PMA</w:t>
            </w:r>
          </w:p>
          <w:p w:rsidR="00FA423E" w:rsidRPr="007E4934" w:rsidRDefault="00FA423E" w:rsidP="00DC1333">
            <w:pPr>
              <w:keepNext/>
              <w:keepLines/>
              <w:rPr>
                <w:sz w:val="16"/>
                <w:szCs w:val="16"/>
              </w:rPr>
            </w:pPr>
          </w:p>
        </w:tc>
        <w:tc>
          <w:tcPr>
            <w:tcW w:w="2267" w:type="pct"/>
            <w:shd w:val="clear" w:color="auto" w:fill="auto"/>
            <w:tcMar>
              <w:top w:w="113" w:type="dxa"/>
              <w:bottom w:w="57" w:type="dxa"/>
            </w:tcMar>
          </w:tcPr>
          <w:p w:rsidR="00FA423E" w:rsidRPr="007E4934" w:rsidRDefault="00FA423E" w:rsidP="00DC1333">
            <w:pPr>
              <w:keepNext/>
              <w:keepLines/>
              <w:rPr>
                <w:sz w:val="16"/>
                <w:szCs w:val="16"/>
              </w:rPr>
            </w:pPr>
            <w:r w:rsidRPr="007E4934">
              <w:rPr>
                <w:sz w:val="16"/>
                <w:szCs w:val="16"/>
                <w:lang w:val="es-ES_tradnl"/>
              </w:rPr>
              <w:t>Número de mecanismos de cooperación, programas y asociaciones nuevos o consolidados a los que se presta apoyo para promover/fortalecer la cooperación subregional o regional en P.I.</w:t>
            </w:r>
          </w:p>
        </w:tc>
        <w:tc>
          <w:tcPr>
            <w:tcW w:w="735" w:type="pct"/>
            <w:shd w:val="clear" w:color="auto" w:fill="FFFFFF"/>
            <w:tcMar>
              <w:top w:w="113" w:type="dxa"/>
              <w:bottom w:w="57" w:type="dxa"/>
            </w:tcMar>
          </w:tcPr>
          <w:p w:rsidR="00FA423E" w:rsidRPr="007E4934" w:rsidRDefault="00FA423E" w:rsidP="00DC1333">
            <w:pPr>
              <w:jc w:val="center"/>
              <w:rPr>
                <w:sz w:val="16"/>
                <w:szCs w:val="16"/>
                <w:lang w:bidi="th-TH"/>
              </w:rPr>
            </w:pPr>
            <w:r w:rsidRPr="007E4934">
              <w:rPr>
                <w:sz w:val="16"/>
                <w:szCs w:val="16"/>
                <w:lang w:val="es-ES_tradnl" w:bidi="th-TH"/>
              </w:rPr>
              <w:t>Programa 9</w:t>
            </w:r>
          </w:p>
        </w:tc>
        <w:tc>
          <w:tcPr>
            <w:tcW w:w="521" w:type="pct"/>
            <w:shd w:val="clear" w:color="auto" w:fill="FFFFFF"/>
          </w:tcPr>
          <w:p w:rsidR="00FA423E" w:rsidRPr="00CC3F44" w:rsidRDefault="00FA423E" w:rsidP="00DC1333">
            <w:pPr>
              <w:jc w:val="center"/>
            </w:pPr>
            <w:r w:rsidRPr="00CC3F44">
              <w:rPr>
                <w:color w:val="008000"/>
                <w:szCs w:val="22"/>
              </w:rPr>
              <w:sym w:font="Wingdings" w:char="F06C"/>
            </w:r>
            <w:r w:rsidRPr="00CC3F44">
              <w:rPr>
                <w:color w:val="008000"/>
                <w:szCs w:val="22"/>
              </w:rPr>
              <w:sym w:font="Wingdings" w:char="F06C"/>
            </w:r>
            <w:r w:rsidRPr="00CC3F44">
              <w:rPr>
                <w:color w:val="FF0000"/>
                <w:szCs w:val="22"/>
              </w:rPr>
              <w:sym w:font="Wingdings" w:char="F06C"/>
            </w:r>
            <w:r w:rsidRPr="00CC3F44">
              <w:rPr>
                <w:color w:val="008000"/>
                <w:szCs w:val="22"/>
              </w:rPr>
              <w:sym w:font="Wingdings" w:char="F06C"/>
            </w:r>
            <w:r w:rsidRPr="00CC3F44">
              <w:rPr>
                <w:color w:val="008000"/>
                <w:szCs w:val="22"/>
              </w:rPr>
              <w:sym w:font="Wingdings" w:char="F06C"/>
            </w:r>
            <w:r w:rsidRPr="00CC3F44">
              <w:rPr>
                <w:color w:val="008000"/>
                <w:szCs w:val="22"/>
              </w:rPr>
              <w:sym w:font="Wingdings" w:char="F06C"/>
            </w:r>
          </w:p>
        </w:tc>
      </w:tr>
      <w:tr w:rsidR="00FA423E" w:rsidRPr="0016774F" w:rsidTr="00DC1333">
        <w:trPr>
          <w:cantSplit/>
          <w:trHeight w:val="463"/>
        </w:trPr>
        <w:tc>
          <w:tcPr>
            <w:tcW w:w="1477" w:type="pct"/>
            <w:shd w:val="clear" w:color="auto" w:fill="auto"/>
            <w:tcMar>
              <w:top w:w="113" w:type="dxa"/>
              <w:bottom w:w="57" w:type="dxa"/>
            </w:tcMar>
          </w:tcPr>
          <w:p w:rsidR="00FA423E" w:rsidRPr="007E4934" w:rsidRDefault="00FA423E" w:rsidP="00DC1333">
            <w:pPr>
              <w:rPr>
                <w:sz w:val="16"/>
                <w:szCs w:val="16"/>
              </w:rPr>
            </w:pPr>
          </w:p>
        </w:tc>
        <w:tc>
          <w:tcPr>
            <w:tcW w:w="2267" w:type="pct"/>
            <w:shd w:val="clear" w:color="auto" w:fill="auto"/>
            <w:tcMar>
              <w:top w:w="113" w:type="dxa"/>
              <w:bottom w:w="57" w:type="dxa"/>
            </w:tcMar>
          </w:tcPr>
          <w:p w:rsidR="00FA423E" w:rsidRPr="007E4934" w:rsidRDefault="00FA423E" w:rsidP="00DC1333">
            <w:pPr>
              <w:keepNext/>
              <w:keepLines/>
              <w:rPr>
                <w:sz w:val="16"/>
                <w:szCs w:val="16"/>
              </w:rPr>
            </w:pPr>
            <w:r w:rsidRPr="007E4934">
              <w:rPr>
                <w:sz w:val="16"/>
                <w:szCs w:val="16"/>
                <w:lang w:val="es-ES_tradnl"/>
              </w:rPr>
              <w:t>Número de asociaciones establecidas en las que la parte que ofrece asistencia procede de un país desarrollado</w:t>
            </w:r>
          </w:p>
        </w:tc>
        <w:tc>
          <w:tcPr>
            <w:tcW w:w="735" w:type="pct"/>
            <w:shd w:val="clear" w:color="auto" w:fill="FFFFFF"/>
            <w:tcMar>
              <w:top w:w="113" w:type="dxa"/>
              <w:bottom w:w="57" w:type="dxa"/>
            </w:tcMar>
          </w:tcPr>
          <w:p w:rsidR="00FA423E" w:rsidRPr="007E4934" w:rsidRDefault="00FA423E" w:rsidP="00DC1333">
            <w:pPr>
              <w:jc w:val="center"/>
              <w:rPr>
                <w:sz w:val="16"/>
                <w:szCs w:val="16"/>
                <w:lang w:bidi="th-TH"/>
              </w:rPr>
            </w:pPr>
            <w:r w:rsidRPr="007E4934">
              <w:rPr>
                <w:sz w:val="16"/>
                <w:szCs w:val="16"/>
                <w:lang w:val="es-ES_tradnl" w:bidi="th-TH"/>
              </w:rPr>
              <w:t>Programa 10</w:t>
            </w:r>
          </w:p>
        </w:tc>
        <w:tc>
          <w:tcPr>
            <w:tcW w:w="521" w:type="pct"/>
            <w:shd w:val="clear" w:color="auto" w:fill="FFFFFF"/>
          </w:tcPr>
          <w:p w:rsidR="00FA423E" w:rsidRPr="00CC3F44" w:rsidRDefault="00FA423E" w:rsidP="00DC1333">
            <w:pPr>
              <w:jc w:val="center"/>
            </w:pPr>
            <w:r w:rsidRPr="00CC3F44">
              <w:rPr>
                <w:color w:val="008000"/>
                <w:szCs w:val="22"/>
              </w:rPr>
              <w:sym w:font="Wingdings" w:char="F06C"/>
            </w:r>
            <w:r w:rsidRPr="00CC3F44">
              <w:rPr>
                <w:color w:val="FF0000"/>
                <w:szCs w:val="22"/>
              </w:rPr>
              <w:sym w:font="Wingdings" w:char="F06C"/>
            </w:r>
          </w:p>
        </w:tc>
      </w:tr>
      <w:tr w:rsidR="00FA423E" w:rsidRPr="0016774F" w:rsidTr="00DC1333">
        <w:trPr>
          <w:cantSplit/>
          <w:trHeight w:val="463"/>
        </w:trPr>
        <w:tc>
          <w:tcPr>
            <w:tcW w:w="1477" w:type="pct"/>
            <w:shd w:val="clear" w:color="auto" w:fill="auto"/>
            <w:tcMar>
              <w:top w:w="113" w:type="dxa"/>
              <w:bottom w:w="57" w:type="dxa"/>
            </w:tcMar>
          </w:tcPr>
          <w:p w:rsidR="00FA423E" w:rsidRPr="007E4934" w:rsidRDefault="00FA423E" w:rsidP="00DC1333">
            <w:pPr>
              <w:keepNext/>
              <w:keepLines/>
              <w:rPr>
                <w:sz w:val="16"/>
                <w:szCs w:val="16"/>
              </w:rPr>
            </w:pPr>
            <w:r w:rsidRPr="007E4934">
              <w:rPr>
                <w:sz w:val="16"/>
                <w:szCs w:val="16"/>
                <w:lang w:val="es-ES_tradnl"/>
              </w:rPr>
              <w:t>III.5 Mejor comprensión de la Agenda para el Desarrollo por los Estados miembros, las OIG, la sociedad civil y demás partes interesadas</w:t>
            </w:r>
          </w:p>
        </w:tc>
        <w:tc>
          <w:tcPr>
            <w:tcW w:w="2267" w:type="pct"/>
            <w:shd w:val="clear" w:color="auto" w:fill="auto"/>
            <w:tcMar>
              <w:top w:w="113" w:type="dxa"/>
              <w:bottom w:w="57" w:type="dxa"/>
            </w:tcMar>
          </w:tcPr>
          <w:p w:rsidR="00FA423E" w:rsidRPr="007E4934" w:rsidRDefault="00FA423E" w:rsidP="00DC1333">
            <w:pPr>
              <w:keepNext/>
              <w:keepLines/>
              <w:rPr>
                <w:sz w:val="16"/>
                <w:szCs w:val="16"/>
              </w:rPr>
            </w:pPr>
            <w:r w:rsidRPr="007E4934">
              <w:rPr>
                <w:sz w:val="16"/>
                <w:szCs w:val="16"/>
                <w:lang w:val="es-ES_tradnl"/>
              </w:rPr>
              <w:t>Número de países que piden asistencia técnica por conducto de proyectos de la A.D. y que manifiestan interés en actividades relacionadas con la A.D.</w:t>
            </w:r>
          </w:p>
        </w:tc>
        <w:tc>
          <w:tcPr>
            <w:tcW w:w="735" w:type="pct"/>
            <w:shd w:val="clear" w:color="auto" w:fill="FFFFFF"/>
            <w:tcMar>
              <w:top w:w="113" w:type="dxa"/>
              <w:bottom w:w="57" w:type="dxa"/>
            </w:tcMar>
          </w:tcPr>
          <w:p w:rsidR="00FA423E" w:rsidRPr="007E4934" w:rsidRDefault="00FA423E" w:rsidP="00DC1333">
            <w:pPr>
              <w:jc w:val="center"/>
              <w:rPr>
                <w:sz w:val="16"/>
                <w:szCs w:val="16"/>
                <w:lang w:bidi="th-TH"/>
              </w:rPr>
            </w:pPr>
            <w:r w:rsidRPr="007E4934">
              <w:rPr>
                <w:sz w:val="16"/>
                <w:szCs w:val="16"/>
                <w:lang w:val="es-ES_tradnl" w:bidi="th-TH"/>
              </w:rPr>
              <w:t>Programa 8</w:t>
            </w:r>
          </w:p>
        </w:tc>
        <w:tc>
          <w:tcPr>
            <w:tcW w:w="521" w:type="pct"/>
            <w:shd w:val="clear" w:color="auto" w:fill="FFFFFF"/>
          </w:tcPr>
          <w:p w:rsidR="00FA423E" w:rsidRPr="00CC3F44" w:rsidRDefault="00FA423E" w:rsidP="00DC1333">
            <w:pPr>
              <w:jc w:val="center"/>
            </w:pPr>
            <w:r w:rsidRPr="00CC3F44">
              <w:rPr>
                <w:color w:val="008000"/>
                <w:szCs w:val="22"/>
              </w:rPr>
              <w:sym w:font="Wingdings" w:char="F06C"/>
            </w:r>
          </w:p>
        </w:tc>
      </w:tr>
      <w:tr w:rsidR="00FA423E" w:rsidRPr="0016774F" w:rsidTr="00DC1333">
        <w:trPr>
          <w:cantSplit/>
          <w:trHeight w:val="463"/>
        </w:trPr>
        <w:tc>
          <w:tcPr>
            <w:tcW w:w="1477" w:type="pct"/>
            <w:shd w:val="clear" w:color="auto" w:fill="auto"/>
            <w:tcMar>
              <w:top w:w="113" w:type="dxa"/>
              <w:bottom w:w="57" w:type="dxa"/>
            </w:tcMar>
          </w:tcPr>
          <w:p w:rsidR="00FA423E" w:rsidRPr="007E4934" w:rsidRDefault="00FA423E" w:rsidP="00DC1333">
            <w:pPr>
              <w:rPr>
                <w:sz w:val="16"/>
                <w:szCs w:val="16"/>
              </w:rPr>
            </w:pPr>
          </w:p>
        </w:tc>
        <w:tc>
          <w:tcPr>
            <w:tcW w:w="2267" w:type="pct"/>
            <w:shd w:val="clear" w:color="auto" w:fill="auto"/>
            <w:tcMar>
              <w:top w:w="113" w:type="dxa"/>
              <w:bottom w:w="57" w:type="dxa"/>
            </w:tcMar>
          </w:tcPr>
          <w:p w:rsidR="00FA423E" w:rsidRPr="007E4934" w:rsidRDefault="00FA423E" w:rsidP="00DC1333">
            <w:pPr>
              <w:keepNext/>
              <w:keepLines/>
              <w:rPr>
                <w:sz w:val="16"/>
                <w:szCs w:val="16"/>
              </w:rPr>
            </w:pPr>
            <w:r w:rsidRPr="007E4934">
              <w:rPr>
                <w:sz w:val="16"/>
                <w:szCs w:val="16"/>
                <w:lang w:val="es-ES_tradnl"/>
              </w:rPr>
              <w:t>Porcentaje de participantes en reuniones de la OMPI (Estados miembros, OIG, sociedad civil y demás partes interesadas) satisfechos con la información recibida sobre las recomendaciones de la A.D.</w:t>
            </w:r>
          </w:p>
        </w:tc>
        <w:tc>
          <w:tcPr>
            <w:tcW w:w="735" w:type="pct"/>
            <w:shd w:val="clear" w:color="auto" w:fill="FFFFFF"/>
            <w:tcMar>
              <w:top w:w="113" w:type="dxa"/>
              <w:bottom w:w="57" w:type="dxa"/>
            </w:tcMar>
          </w:tcPr>
          <w:p w:rsidR="00FA423E" w:rsidRPr="007E4934" w:rsidRDefault="00FA423E" w:rsidP="00DC1333">
            <w:pPr>
              <w:jc w:val="center"/>
              <w:rPr>
                <w:sz w:val="16"/>
                <w:szCs w:val="16"/>
                <w:lang w:bidi="th-TH"/>
              </w:rPr>
            </w:pPr>
            <w:r w:rsidRPr="007E4934">
              <w:rPr>
                <w:sz w:val="16"/>
                <w:szCs w:val="16"/>
                <w:lang w:val="es-ES_tradnl" w:bidi="th-TH"/>
              </w:rPr>
              <w:t>Programa 8</w:t>
            </w:r>
          </w:p>
        </w:tc>
        <w:tc>
          <w:tcPr>
            <w:tcW w:w="521" w:type="pct"/>
            <w:shd w:val="clear" w:color="auto" w:fill="FFFFFF"/>
          </w:tcPr>
          <w:p w:rsidR="00FA423E" w:rsidRPr="00CC3F44" w:rsidRDefault="00FA423E" w:rsidP="00DC1333">
            <w:pPr>
              <w:jc w:val="center"/>
            </w:pPr>
            <w:r w:rsidRPr="00CC3F44">
              <w:rPr>
                <w:color w:val="008000"/>
                <w:szCs w:val="22"/>
              </w:rPr>
              <w:sym w:font="Wingdings" w:char="F06C"/>
            </w:r>
          </w:p>
        </w:tc>
      </w:tr>
      <w:tr w:rsidR="00FA423E" w:rsidRPr="0016774F" w:rsidTr="00DC1333">
        <w:trPr>
          <w:cantSplit/>
          <w:trHeight w:val="144"/>
        </w:trPr>
        <w:tc>
          <w:tcPr>
            <w:tcW w:w="1477" w:type="pct"/>
            <w:vMerge w:val="restart"/>
            <w:shd w:val="clear" w:color="auto" w:fill="auto"/>
            <w:tcMar>
              <w:top w:w="113" w:type="dxa"/>
              <w:bottom w:w="57" w:type="dxa"/>
            </w:tcMar>
          </w:tcPr>
          <w:p w:rsidR="00FA423E" w:rsidRPr="007E4934" w:rsidRDefault="00FA423E" w:rsidP="00DC1333">
            <w:pPr>
              <w:rPr>
                <w:sz w:val="16"/>
                <w:szCs w:val="16"/>
              </w:rPr>
            </w:pPr>
            <w:r w:rsidRPr="007E4934">
              <w:rPr>
                <w:sz w:val="16"/>
                <w:szCs w:val="16"/>
                <w:lang w:val="es-ES_tradnl"/>
              </w:rPr>
              <w:t>III.6 Mayor capacidad de las pymes para utilizar con éxito la P.I. con el fin de apoyar la innovación</w:t>
            </w:r>
          </w:p>
        </w:tc>
        <w:tc>
          <w:tcPr>
            <w:tcW w:w="2267" w:type="pct"/>
            <w:vMerge w:val="restart"/>
            <w:shd w:val="clear" w:color="auto" w:fill="auto"/>
            <w:tcMar>
              <w:top w:w="113" w:type="dxa"/>
              <w:bottom w:w="57" w:type="dxa"/>
            </w:tcMar>
          </w:tcPr>
          <w:p w:rsidR="00FA423E" w:rsidRPr="007E4934" w:rsidRDefault="00FA423E" w:rsidP="00DC1333">
            <w:pPr>
              <w:rPr>
                <w:sz w:val="16"/>
                <w:szCs w:val="16"/>
                <w:lang w:bidi="th-TH"/>
              </w:rPr>
            </w:pPr>
            <w:r w:rsidRPr="007E4934">
              <w:rPr>
                <w:sz w:val="16"/>
                <w:szCs w:val="16"/>
                <w:lang w:val="es-ES_tradnl" w:bidi="th-TH"/>
              </w:rPr>
              <w:t>Porcentaje de participantes en programas de formación destinados a instituciones de apoyo a las pymes que manifiestan satisfacción con el contenido y la organización de esos eventos</w:t>
            </w:r>
          </w:p>
        </w:tc>
        <w:tc>
          <w:tcPr>
            <w:tcW w:w="735" w:type="pct"/>
            <w:shd w:val="clear" w:color="auto" w:fill="FFFFFF"/>
            <w:tcMar>
              <w:top w:w="113" w:type="dxa"/>
              <w:bottom w:w="57" w:type="dxa"/>
            </w:tcMar>
          </w:tcPr>
          <w:p w:rsidR="00FA423E" w:rsidRPr="007E4934" w:rsidRDefault="00FA423E" w:rsidP="00DC1333">
            <w:pPr>
              <w:jc w:val="center"/>
              <w:rPr>
                <w:sz w:val="16"/>
                <w:szCs w:val="16"/>
                <w:lang w:bidi="th-TH"/>
              </w:rPr>
            </w:pPr>
            <w:r w:rsidRPr="007E4934">
              <w:rPr>
                <w:sz w:val="16"/>
                <w:szCs w:val="16"/>
                <w:lang w:val="es-ES_tradnl" w:bidi="th-TH"/>
              </w:rPr>
              <w:t>Programa 10</w:t>
            </w:r>
          </w:p>
        </w:tc>
        <w:tc>
          <w:tcPr>
            <w:tcW w:w="521" w:type="pct"/>
            <w:shd w:val="clear" w:color="auto" w:fill="FFFFFF"/>
          </w:tcPr>
          <w:p w:rsidR="00FA423E" w:rsidRPr="00CC3F44" w:rsidRDefault="00FA423E" w:rsidP="00DC1333">
            <w:pPr>
              <w:jc w:val="center"/>
              <w:rPr>
                <w:color w:val="A6A6A6" w:themeColor="background1" w:themeShade="A6"/>
                <w:szCs w:val="22"/>
              </w:rPr>
            </w:pPr>
            <w:r w:rsidRPr="00CC3F44">
              <w:rPr>
                <w:color w:val="008000"/>
                <w:szCs w:val="22"/>
              </w:rPr>
              <w:sym w:font="Wingdings" w:char="F06C"/>
            </w:r>
          </w:p>
        </w:tc>
      </w:tr>
      <w:tr w:rsidR="00FA423E" w:rsidRPr="0016774F" w:rsidTr="00DC1333">
        <w:trPr>
          <w:cantSplit/>
          <w:trHeight w:val="144"/>
        </w:trPr>
        <w:tc>
          <w:tcPr>
            <w:tcW w:w="1477" w:type="pct"/>
            <w:vMerge/>
            <w:shd w:val="clear" w:color="auto" w:fill="auto"/>
            <w:tcMar>
              <w:top w:w="113" w:type="dxa"/>
              <w:bottom w:w="57" w:type="dxa"/>
            </w:tcMar>
          </w:tcPr>
          <w:p w:rsidR="00FA423E" w:rsidRPr="007E4934" w:rsidRDefault="00FA423E" w:rsidP="00DC1333">
            <w:pPr>
              <w:rPr>
                <w:sz w:val="16"/>
                <w:szCs w:val="16"/>
              </w:rPr>
            </w:pPr>
          </w:p>
        </w:tc>
        <w:tc>
          <w:tcPr>
            <w:tcW w:w="2267" w:type="pct"/>
            <w:vMerge/>
            <w:shd w:val="clear" w:color="auto" w:fill="auto"/>
            <w:tcMar>
              <w:top w:w="113" w:type="dxa"/>
              <w:bottom w:w="57" w:type="dxa"/>
            </w:tcMar>
          </w:tcPr>
          <w:p w:rsidR="00FA423E" w:rsidRPr="007E4934" w:rsidRDefault="00FA423E" w:rsidP="00DC1333">
            <w:pPr>
              <w:rPr>
                <w:sz w:val="16"/>
                <w:szCs w:val="16"/>
              </w:rPr>
            </w:pPr>
          </w:p>
        </w:tc>
        <w:tc>
          <w:tcPr>
            <w:tcW w:w="735" w:type="pct"/>
            <w:shd w:val="clear" w:color="auto" w:fill="FFFFFF"/>
            <w:tcMar>
              <w:top w:w="113" w:type="dxa"/>
              <w:bottom w:w="57" w:type="dxa"/>
            </w:tcMar>
          </w:tcPr>
          <w:p w:rsidR="00FA423E" w:rsidRPr="007E4934" w:rsidRDefault="00FA423E" w:rsidP="00DC1333">
            <w:pPr>
              <w:jc w:val="center"/>
              <w:rPr>
                <w:sz w:val="16"/>
                <w:szCs w:val="16"/>
                <w:lang w:bidi="th-TH"/>
              </w:rPr>
            </w:pPr>
            <w:r w:rsidRPr="007E4934">
              <w:rPr>
                <w:sz w:val="16"/>
                <w:szCs w:val="16"/>
                <w:lang w:val="es-ES_tradnl" w:bidi="th-TH"/>
              </w:rPr>
              <w:t>Programa 30</w:t>
            </w:r>
          </w:p>
        </w:tc>
        <w:tc>
          <w:tcPr>
            <w:tcW w:w="521" w:type="pct"/>
            <w:shd w:val="clear" w:color="auto" w:fill="FFFFFF"/>
          </w:tcPr>
          <w:p w:rsidR="00FA423E" w:rsidRPr="00CC3F44" w:rsidRDefault="00FA423E" w:rsidP="00DC1333">
            <w:pPr>
              <w:jc w:val="center"/>
            </w:pPr>
            <w:r w:rsidRPr="00CC3F44">
              <w:rPr>
                <w:color w:val="008000"/>
                <w:szCs w:val="22"/>
              </w:rPr>
              <w:sym w:font="Wingdings" w:char="F06C"/>
            </w:r>
          </w:p>
        </w:tc>
      </w:tr>
      <w:tr w:rsidR="00FA423E" w:rsidRPr="0016774F" w:rsidTr="00DC1333">
        <w:trPr>
          <w:cantSplit/>
          <w:trHeight w:val="144"/>
        </w:trPr>
        <w:tc>
          <w:tcPr>
            <w:tcW w:w="1477" w:type="pct"/>
            <w:vMerge w:val="restart"/>
            <w:shd w:val="clear" w:color="auto" w:fill="auto"/>
            <w:tcMar>
              <w:top w:w="113" w:type="dxa"/>
              <w:bottom w:w="57" w:type="dxa"/>
            </w:tcMar>
          </w:tcPr>
          <w:p w:rsidR="00FA423E" w:rsidRPr="007E4934" w:rsidRDefault="00FA423E" w:rsidP="00DC1333">
            <w:pPr>
              <w:keepNext/>
              <w:keepLines/>
              <w:rPr>
                <w:sz w:val="16"/>
                <w:szCs w:val="16"/>
              </w:rPr>
            </w:pPr>
          </w:p>
        </w:tc>
        <w:tc>
          <w:tcPr>
            <w:tcW w:w="2267" w:type="pct"/>
            <w:vMerge w:val="restart"/>
            <w:shd w:val="clear" w:color="auto" w:fill="auto"/>
            <w:tcMar>
              <w:top w:w="113" w:type="dxa"/>
              <w:bottom w:w="57" w:type="dxa"/>
            </w:tcMar>
          </w:tcPr>
          <w:p w:rsidR="00FA423E" w:rsidRPr="007E4934" w:rsidRDefault="00FA423E" w:rsidP="00DC1333">
            <w:pPr>
              <w:keepNext/>
              <w:keepLines/>
              <w:rPr>
                <w:sz w:val="16"/>
                <w:szCs w:val="16"/>
              </w:rPr>
            </w:pPr>
            <w:r w:rsidRPr="007E4934">
              <w:rPr>
                <w:sz w:val="16"/>
                <w:szCs w:val="16"/>
                <w:lang w:val="es-ES_tradnl"/>
              </w:rPr>
              <w:t>Porcentaje de instituciones de apoyo a las pymes que han recibido formación, que a su vez brindan información, apoyo y servicios de consultoría/asesoramiento en gestión de activos de P.I.</w:t>
            </w:r>
          </w:p>
          <w:p w:rsidR="00FA423E" w:rsidRPr="007E4934" w:rsidRDefault="00FA423E" w:rsidP="00DC1333">
            <w:pPr>
              <w:keepNext/>
              <w:keepLines/>
              <w:rPr>
                <w:sz w:val="16"/>
                <w:szCs w:val="16"/>
              </w:rPr>
            </w:pPr>
          </w:p>
        </w:tc>
        <w:tc>
          <w:tcPr>
            <w:tcW w:w="735" w:type="pct"/>
            <w:shd w:val="clear" w:color="auto" w:fill="FFFFFF"/>
            <w:tcMar>
              <w:top w:w="113" w:type="dxa"/>
              <w:bottom w:w="57" w:type="dxa"/>
            </w:tcMar>
          </w:tcPr>
          <w:p w:rsidR="00FA423E" w:rsidRPr="007E4934" w:rsidRDefault="00FA423E" w:rsidP="00DC1333">
            <w:pPr>
              <w:jc w:val="center"/>
              <w:rPr>
                <w:sz w:val="16"/>
                <w:szCs w:val="16"/>
                <w:lang w:bidi="th-TH"/>
              </w:rPr>
            </w:pPr>
            <w:r w:rsidRPr="007E4934">
              <w:rPr>
                <w:sz w:val="16"/>
                <w:szCs w:val="16"/>
                <w:lang w:val="es-ES_tradnl" w:bidi="th-TH"/>
              </w:rPr>
              <w:t>Programa 10</w:t>
            </w:r>
          </w:p>
        </w:tc>
        <w:tc>
          <w:tcPr>
            <w:tcW w:w="521" w:type="pct"/>
            <w:shd w:val="clear" w:color="auto" w:fill="FFFFFF"/>
          </w:tcPr>
          <w:p w:rsidR="00FA423E" w:rsidRPr="00CC3F44" w:rsidRDefault="00FA423E" w:rsidP="00DC1333">
            <w:pPr>
              <w:keepNext/>
              <w:keepLines/>
              <w:jc w:val="center"/>
              <w:rPr>
                <w:color w:val="A6A6A6" w:themeColor="background1" w:themeShade="A6"/>
                <w:szCs w:val="22"/>
              </w:rPr>
            </w:pPr>
            <w:r w:rsidRPr="00CC3F44">
              <w:rPr>
                <w:color w:val="008000"/>
                <w:szCs w:val="22"/>
              </w:rPr>
              <w:sym w:font="Wingdings" w:char="F06C"/>
            </w:r>
          </w:p>
        </w:tc>
      </w:tr>
      <w:tr w:rsidR="00FA423E" w:rsidRPr="0016774F" w:rsidTr="00DC1333">
        <w:trPr>
          <w:cantSplit/>
          <w:trHeight w:val="144"/>
        </w:trPr>
        <w:tc>
          <w:tcPr>
            <w:tcW w:w="1477" w:type="pct"/>
            <w:vMerge/>
            <w:shd w:val="clear" w:color="auto" w:fill="auto"/>
            <w:tcMar>
              <w:top w:w="113" w:type="dxa"/>
              <w:bottom w:w="57" w:type="dxa"/>
            </w:tcMar>
          </w:tcPr>
          <w:p w:rsidR="00FA423E" w:rsidRPr="007E4934" w:rsidRDefault="00FA423E" w:rsidP="00DC1333">
            <w:pPr>
              <w:keepNext/>
              <w:keepLines/>
              <w:rPr>
                <w:sz w:val="16"/>
                <w:szCs w:val="16"/>
              </w:rPr>
            </w:pPr>
          </w:p>
        </w:tc>
        <w:tc>
          <w:tcPr>
            <w:tcW w:w="2267" w:type="pct"/>
            <w:vMerge/>
            <w:shd w:val="clear" w:color="auto" w:fill="auto"/>
            <w:tcMar>
              <w:top w:w="113" w:type="dxa"/>
              <w:bottom w:w="57" w:type="dxa"/>
            </w:tcMar>
          </w:tcPr>
          <w:p w:rsidR="00FA423E" w:rsidRPr="007E4934" w:rsidRDefault="00FA423E" w:rsidP="00DC1333">
            <w:pPr>
              <w:keepNext/>
              <w:keepLines/>
              <w:rPr>
                <w:sz w:val="16"/>
                <w:szCs w:val="16"/>
                <w:lang w:bidi="th-TH"/>
              </w:rPr>
            </w:pPr>
          </w:p>
        </w:tc>
        <w:tc>
          <w:tcPr>
            <w:tcW w:w="735" w:type="pct"/>
            <w:shd w:val="clear" w:color="auto" w:fill="FFFFFF"/>
            <w:tcMar>
              <w:top w:w="113" w:type="dxa"/>
              <w:bottom w:w="57" w:type="dxa"/>
            </w:tcMar>
          </w:tcPr>
          <w:p w:rsidR="00FA423E" w:rsidRPr="007E4934" w:rsidRDefault="00FA423E" w:rsidP="00DC1333">
            <w:pPr>
              <w:jc w:val="center"/>
              <w:rPr>
                <w:sz w:val="16"/>
                <w:szCs w:val="16"/>
                <w:lang w:bidi="th-TH"/>
              </w:rPr>
            </w:pPr>
            <w:r w:rsidRPr="007E4934">
              <w:rPr>
                <w:sz w:val="16"/>
                <w:szCs w:val="16"/>
                <w:lang w:val="es-ES_tradnl" w:bidi="th-TH"/>
              </w:rPr>
              <w:t>Programa 30</w:t>
            </w:r>
          </w:p>
        </w:tc>
        <w:tc>
          <w:tcPr>
            <w:tcW w:w="521" w:type="pct"/>
            <w:shd w:val="clear" w:color="auto" w:fill="FFFFFF"/>
          </w:tcPr>
          <w:p w:rsidR="00FA423E" w:rsidRPr="00CC3F44" w:rsidRDefault="00FA423E" w:rsidP="00DC1333">
            <w:pPr>
              <w:jc w:val="center"/>
            </w:pPr>
            <w:r w:rsidRPr="00CC3F44">
              <w:rPr>
                <w:color w:val="008000"/>
                <w:szCs w:val="22"/>
              </w:rPr>
              <w:sym w:font="Wingdings" w:char="F06C"/>
            </w:r>
          </w:p>
        </w:tc>
      </w:tr>
      <w:tr w:rsidR="00FA423E" w:rsidRPr="0016774F" w:rsidTr="00DC1333">
        <w:trPr>
          <w:cantSplit/>
          <w:trHeight w:val="144"/>
        </w:trPr>
        <w:tc>
          <w:tcPr>
            <w:tcW w:w="1477" w:type="pct"/>
            <w:vMerge w:val="restart"/>
            <w:shd w:val="clear" w:color="auto" w:fill="auto"/>
            <w:tcMar>
              <w:top w:w="113" w:type="dxa"/>
              <w:bottom w:w="57" w:type="dxa"/>
            </w:tcMar>
          </w:tcPr>
          <w:p w:rsidR="00FA423E" w:rsidRPr="007E4934" w:rsidRDefault="00FA423E" w:rsidP="00DC1333">
            <w:pPr>
              <w:keepNext/>
              <w:keepLines/>
              <w:rPr>
                <w:sz w:val="16"/>
                <w:szCs w:val="16"/>
              </w:rPr>
            </w:pPr>
          </w:p>
        </w:tc>
        <w:tc>
          <w:tcPr>
            <w:tcW w:w="2267" w:type="pct"/>
            <w:vMerge w:val="restart"/>
            <w:shd w:val="clear" w:color="auto" w:fill="auto"/>
            <w:tcMar>
              <w:top w:w="113" w:type="dxa"/>
              <w:bottom w:w="57" w:type="dxa"/>
            </w:tcMar>
          </w:tcPr>
          <w:p w:rsidR="00FA423E" w:rsidRPr="007E4934" w:rsidRDefault="00FA423E" w:rsidP="00DC1333">
            <w:pPr>
              <w:keepNext/>
              <w:keepLines/>
              <w:rPr>
                <w:sz w:val="16"/>
                <w:szCs w:val="16"/>
              </w:rPr>
            </w:pPr>
            <w:r w:rsidRPr="007E4934">
              <w:rPr>
                <w:sz w:val="16"/>
                <w:szCs w:val="16"/>
                <w:lang w:val="es-ES_tradnl"/>
              </w:rPr>
              <w:t>Número de países que han establecido programas de formación en P.I. destinados a las pymes</w:t>
            </w:r>
          </w:p>
          <w:p w:rsidR="00FA423E" w:rsidRPr="007E4934" w:rsidRDefault="00FA423E" w:rsidP="00DC1333">
            <w:pPr>
              <w:keepNext/>
              <w:keepLines/>
              <w:rPr>
                <w:sz w:val="16"/>
                <w:szCs w:val="16"/>
              </w:rPr>
            </w:pPr>
          </w:p>
        </w:tc>
        <w:tc>
          <w:tcPr>
            <w:tcW w:w="735" w:type="pct"/>
            <w:shd w:val="clear" w:color="auto" w:fill="FFFFFF"/>
            <w:tcMar>
              <w:top w:w="113" w:type="dxa"/>
              <w:bottom w:w="57" w:type="dxa"/>
            </w:tcMar>
          </w:tcPr>
          <w:p w:rsidR="00FA423E" w:rsidRPr="007E4934" w:rsidRDefault="00FA423E" w:rsidP="00DC1333">
            <w:pPr>
              <w:keepNext/>
              <w:keepLines/>
              <w:jc w:val="center"/>
              <w:rPr>
                <w:sz w:val="16"/>
                <w:szCs w:val="16"/>
                <w:lang w:bidi="th-TH"/>
              </w:rPr>
            </w:pPr>
            <w:r w:rsidRPr="007E4934">
              <w:rPr>
                <w:sz w:val="16"/>
                <w:szCs w:val="16"/>
                <w:lang w:val="es-ES_tradnl" w:bidi="th-TH"/>
              </w:rPr>
              <w:t>Programa 10</w:t>
            </w:r>
          </w:p>
        </w:tc>
        <w:tc>
          <w:tcPr>
            <w:tcW w:w="521" w:type="pct"/>
            <w:shd w:val="clear" w:color="auto" w:fill="FFFFFF"/>
          </w:tcPr>
          <w:p w:rsidR="00FA423E" w:rsidRPr="00CC3F44" w:rsidRDefault="00FA423E" w:rsidP="00DC1333">
            <w:pPr>
              <w:jc w:val="center"/>
              <w:rPr>
                <w:color w:val="A6A6A6" w:themeColor="background1" w:themeShade="A6"/>
                <w:szCs w:val="22"/>
              </w:rPr>
            </w:pPr>
            <w:r w:rsidRPr="00CC3F44">
              <w:rPr>
                <w:color w:val="A6A6A6" w:themeColor="background1" w:themeShade="A6"/>
                <w:szCs w:val="22"/>
              </w:rPr>
              <w:sym w:font="Wingdings" w:char="F06C"/>
            </w:r>
          </w:p>
        </w:tc>
      </w:tr>
      <w:tr w:rsidR="00FA423E" w:rsidRPr="0016774F" w:rsidTr="00DC1333">
        <w:trPr>
          <w:cantSplit/>
          <w:trHeight w:val="144"/>
        </w:trPr>
        <w:tc>
          <w:tcPr>
            <w:tcW w:w="1477" w:type="pct"/>
            <w:vMerge/>
            <w:shd w:val="clear" w:color="auto" w:fill="auto"/>
            <w:tcMar>
              <w:top w:w="113" w:type="dxa"/>
              <w:bottom w:w="57" w:type="dxa"/>
            </w:tcMar>
          </w:tcPr>
          <w:p w:rsidR="00FA423E" w:rsidRPr="007E4934" w:rsidRDefault="00FA423E" w:rsidP="00DC1333">
            <w:pPr>
              <w:keepNext/>
              <w:keepLines/>
              <w:rPr>
                <w:sz w:val="16"/>
                <w:szCs w:val="16"/>
              </w:rPr>
            </w:pPr>
          </w:p>
        </w:tc>
        <w:tc>
          <w:tcPr>
            <w:tcW w:w="2267" w:type="pct"/>
            <w:vMerge/>
            <w:shd w:val="clear" w:color="auto" w:fill="auto"/>
            <w:tcMar>
              <w:top w:w="113" w:type="dxa"/>
              <w:bottom w:w="57" w:type="dxa"/>
            </w:tcMar>
          </w:tcPr>
          <w:p w:rsidR="00FA423E" w:rsidRPr="007E4934" w:rsidRDefault="00FA423E" w:rsidP="00DC1333">
            <w:pPr>
              <w:keepNext/>
              <w:keepLines/>
              <w:rPr>
                <w:sz w:val="16"/>
                <w:szCs w:val="16"/>
              </w:rPr>
            </w:pPr>
          </w:p>
        </w:tc>
        <w:tc>
          <w:tcPr>
            <w:tcW w:w="735" w:type="pct"/>
            <w:shd w:val="clear" w:color="auto" w:fill="FFFFFF"/>
            <w:tcMar>
              <w:top w:w="113" w:type="dxa"/>
              <w:bottom w:w="57" w:type="dxa"/>
            </w:tcMar>
          </w:tcPr>
          <w:p w:rsidR="00FA423E" w:rsidRPr="007E4934" w:rsidRDefault="00FA423E" w:rsidP="00DC1333">
            <w:pPr>
              <w:jc w:val="center"/>
              <w:rPr>
                <w:sz w:val="16"/>
                <w:szCs w:val="16"/>
                <w:lang w:bidi="th-TH"/>
              </w:rPr>
            </w:pPr>
            <w:r w:rsidRPr="007E4934">
              <w:rPr>
                <w:sz w:val="16"/>
                <w:szCs w:val="16"/>
                <w:lang w:val="es-ES_tradnl" w:bidi="th-TH"/>
              </w:rPr>
              <w:t>Programa 30</w:t>
            </w:r>
          </w:p>
        </w:tc>
        <w:tc>
          <w:tcPr>
            <w:tcW w:w="521" w:type="pct"/>
            <w:shd w:val="clear" w:color="auto" w:fill="FFFFFF"/>
          </w:tcPr>
          <w:p w:rsidR="00FA423E" w:rsidRPr="00CC3F44" w:rsidRDefault="00FA423E" w:rsidP="00DC1333">
            <w:pPr>
              <w:jc w:val="center"/>
            </w:pPr>
            <w:r w:rsidRPr="00CC3F44">
              <w:rPr>
                <w:color w:val="A6A6A6" w:themeColor="background1" w:themeShade="A6"/>
                <w:szCs w:val="22"/>
              </w:rPr>
              <w:sym w:font="Wingdings" w:char="F06C"/>
            </w:r>
          </w:p>
        </w:tc>
      </w:tr>
      <w:tr w:rsidR="00FA423E" w:rsidRPr="0016774F" w:rsidTr="00DC1333">
        <w:trPr>
          <w:cantSplit/>
          <w:trHeight w:val="463"/>
        </w:trPr>
        <w:tc>
          <w:tcPr>
            <w:tcW w:w="1477" w:type="pct"/>
            <w:shd w:val="clear" w:color="auto" w:fill="auto"/>
            <w:tcMar>
              <w:top w:w="113" w:type="dxa"/>
              <w:bottom w:w="57" w:type="dxa"/>
            </w:tcMar>
          </w:tcPr>
          <w:p w:rsidR="00FA423E" w:rsidRPr="007E4934" w:rsidRDefault="00FA423E" w:rsidP="00DC1333">
            <w:pPr>
              <w:keepNext/>
              <w:keepLines/>
              <w:rPr>
                <w:sz w:val="16"/>
                <w:szCs w:val="16"/>
              </w:rPr>
            </w:pPr>
          </w:p>
        </w:tc>
        <w:tc>
          <w:tcPr>
            <w:tcW w:w="2267" w:type="pct"/>
            <w:shd w:val="clear" w:color="auto" w:fill="auto"/>
            <w:tcMar>
              <w:top w:w="113" w:type="dxa"/>
              <w:bottom w:w="57" w:type="dxa"/>
            </w:tcMar>
          </w:tcPr>
          <w:p w:rsidR="00FA423E" w:rsidRPr="007E4934" w:rsidRDefault="00FA423E" w:rsidP="00DC1333">
            <w:pPr>
              <w:keepNext/>
              <w:keepLines/>
              <w:rPr>
                <w:sz w:val="16"/>
                <w:szCs w:val="16"/>
              </w:rPr>
            </w:pPr>
            <w:r w:rsidRPr="007E4934">
              <w:rPr>
                <w:sz w:val="16"/>
                <w:szCs w:val="16"/>
                <w:lang w:val="es-ES_tradnl"/>
              </w:rPr>
              <w:t>Número de suscripciones al Boletín para las pymes</w:t>
            </w:r>
          </w:p>
        </w:tc>
        <w:tc>
          <w:tcPr>
            <w:tcW w:w="735" w:type="pct"/>
            <w:shd w:val="clear" w:color="auto" w:fill="FFFFFF"/>
            <w:tcMar>
              <w:top w:w="113" w:type="dxa"/>
              <w:bottom w:w="57" w:type="dxa"/>
            </w:tcMar>
          </w:tcPr>
          <w:p w:rsidR="00FA423E" w:rsidRPr="007E4934" w:rsidRDefault="00FA423E" w:rsidP="00DC1333">
            <w:pPr>
              <w:keepNext/>
              <w:keepLines/>
              <w:jc w:val="center"/>
              <w:rPr>
                <w:sz w:val="16"/>
                <w:szCs w:val="16"/>
                <w:lang w:bidi="th-TH"/>
              </w:rPr>
            </w:pPr>
            <w:r w:rsidRPr="007E4934">
              <w:rPr>
                <w:sz w:val="16"/>
                <w:szCs w:val="16"/>
                <w:lang w:val="es-ES_tradnl" w:bidi="th-TH"/>
              </w:rPr>
              <w:t>Programa 30</w:t>
            </w:r>
          </w:p>
        </w:tc>
        <w:tc>
          <w:tcPr>
            <w:tcW w:w="521" w:type="pct"/>
            <w:shd w:val="clear" w:color="auto" w:fill="FFFFFF"/>
          </w:tcPr>
          <w:p w:rsidR="00FA423E" w:rsidRPr="00CC3F44" w:rsidRDefault="00FA423E" w:rsidP="00DC1333">
            <w:pPr>
              <w:jc w:val="center"/>
            </w:pPr>
            <w:r w:rsidRPr="00CC3F44">
              <w:rPr>
                <w:color w:val="A6A6A6" w:themeColor="background1" w:themeShade="A6"/>
                <w:szCs w:val="22"/>
              </w:rPr>
              <w:sym w:font="Wingdings" w:char="F06C"/>
            </w:r>
          </w:p>
        </w:tc>
      </w:tr>
      <w:tr w:rsidR="00FA423E" w:rsidRPr="0016774F" w:rsidTr="00DC1333">
        <w:trPr>
          <w:cantSplit/>
          <w:trHeight w:val="463"/>
        </w:trPr>
        <w:tc>
          <w:tcPr>
            <w:tcW w:w="1477" w:type="pct"/>
            <w:shd w:val="clear" w:color="auto" w:fill="auto"/>
            <w:tcMar>
              <w:top w:w="113" w:type="dxa"/>
              <w:bottom w:w="57" w:type="dxa"/>
            </w:tcMar>
          </w:tcPr>
          <w:p w:rsidR="00FA423E" w:rsidRPr="007E4934" w:rsidRDefault="00FA423E" w:rsidP="00DC1333">
            <w:pPr>
              <w:rPr>
                <w:sz w:val="16"/>
                <w:szCs w:val="16"/>
              </w:rPr>
            </w:pPr>
          </w:p>
        </w:tc>
        <w:tc>
          <w:tcPr>
            <w:tcW w:w="2267" w:type="pct"/>
            <w:shd w:val="clear" w:color="auto" w:fill="auto"/>
            <w:tcMar>
              <w:top w:w="113" w:type="dxa"/>
              <w:bottom w:w="57" w:type="dxa"/>
            </w:tcMar>
          </w:tcPr>
          <w:p w:rsidR="00FA423E" w:rsidRPr="007E4934" w:rsidRDefault="00FA423E" w:rsidP="00DC1333">
            <w:pPr>
              <w:keepNext/>
              <w:keepLines/>
              <w:rPr>
                <w:sz w:val="16"/>
                <w:szCs w:val="16"/>
              </w:rPr>
            </w:pPr>
            <w:r w:rsidRPr="007E4934">
              <w:rPr>
                <w:sz w:val="16"/>
                <w:szCs w:val="16"/>
                <w:lang w:val="es-ES_tradnl" w:bidi="th-TH"/>
              </w:rPr>
              <w:t>Número de directrices y material sobre pymes descargado del sitio web</w:t>
            </w:r>
            <w:r w:rsidRPr="007E4934">
              <w:rPr>
                <w:sz w:val="16"/>
                <w:szCs w:val="16"/>
                <w:lang w:bidi="th-TH"/>
              </w:rPr>
              <w:t xml:space="preserve"> </w:t>
            </w:r>
          </w:p>
        </w:tc>
        <w:tc>
          <w:tcPr>
            <w:tcW w:w="735" w:type="pct"/>
            <w:shd w:val="clear" w:color="auto" w:fill="FFFFFF"/>
            <w:tcMar>
              <w:top w:w="113" w:type="dxa"/>
              <w:bottom w:w="57" w:type="dxa"/>
            </w:tcMar>
          </w:tcPr>
          <w:p w:rsidR="00FA423E" w:rsidRPr="007E4934" w:rsidRDefault="00FA423E" w:rsidP="00DC1333">
            <w:pPr>
              <w:jc w:val="center"/>
              <w:rPr>
                <w:sz w:val="16"/>
                <w:szCs w:val="16"/>
                <w:lang w:bidi="th-TH"/>
              </w:rPr>
            </w:pPr>
            <w:r w:rsidRPr="007E4934">
              <w:rPr>
                <w:sz w:val="16"/>
                <w:szCs w:val="16"/>
                <w:lang w:val="es-ES_tradnl" w:bidi="th-TH"/>
              </w:rPr>
              <w:t>Programa 30</w:t>
            </w:r>
          </w:p>
        </w:tc>
        <w:tc>
          <w:tcPr>
            <w:tcW w:w="521" w:type="pct"/>
            <w:shd w:val="clear" w:color="auto" w:fill="FFFFFF"/>
          </w:tcPr>
          <w:p w:rsidR="00FA423E" w:rsidRPr="00CC3F44" w:rsidRDefault="00FA423E" w:rsidP="00DC1333">
            <w:pPr>
              <w:jc w:val="center"/>
            </w:pPr>
            <w:r w:rsidRPr="00CC3F44">
              <w:rPr>
                <w:color w:val="A6A6A6" w:themeColor="background1" w:themeShade="A6"/>
                <w:szCs w:val="22"/>
              </w:rPr>
              <w:sym w:font="Wingdings" w:char="F06C"/>
            </w:r>
          </w:p>
        </w:tc>
      </w:tr>
      <w:tr w:rsidR="00FA423E" w:rsidRPr="0016774F" w:rsidTr="00DC1333">
        <w:trPr>
          <w:cantSplit/>
          <w:trHeight w:val="463"/>
        </w:trPr>
        <w:tc>
          <w:tcPr>
            <w:tcW w:w="1477" w:type="pct"/>
            <w:shd w:val="clear" w:color="auto" w:fill="auto"/>
            <w:tcMar>
              <w:top w:w="113" w:type="dxa"/>
              <w:bottom w:w="57" w:type="dxa"/>
            </w:tcMar>
          </w:tcPr>
          <w:p w:rsidR="00FA423E" w:rsidRPr="007E4934" w:rsidRDefault="00FA423E" w:rsidP="00DC1333">
            <w:pPr>
              <w:rPr>
                <w:sz w:val="16"/>
                <w:szCs w:val="16"/>
              </w:rPr>
            </w:pPr>
          </w:p>
        </w:tc>
        <w:tc>
          <w:tcPr>
            <w:tcW w:w="2267" w:type="pct"/>
            <w:shd w:val="clear" w:color="auto" w:fill="auto"/>
            <w:tcMar>
              <w:top w:w="113" w:type="dxa"/>
              <w:bottom w:w="57" w:type="dxa"/>
            </w:tcMar>
          </w:tcPr>
          <w:p w:rsidR="00FA423E" w:rsidRPr="007E4934" w:rsidRDefault="00FA423E" w:rsidP="00DC1333">
            <w:pPr>
              <w:keepNext/>
              <w:keepLines/>
              <w:rPr>
                <w:sz w:val="16"/>
                <w:szCs w:val="16"/>
              </w:rPr>
            </w:pPr>
            <w:r w:rsidRPr="007E4934">
              <w:rPr>
                <w:sz w:val="16"/>
                <w:szCs w:val="16"/>
                <w:lang w:val="es-ES_tradnl"/>
              </w:rPr>
              <w:t xml:space="preserve">Número de estudios de caso relacionados con las pymes que han sido consultados por intermedio de la base de datos </w:t>
            </w:r>
            <w:r w:rsidRPr="007E4934">
              <w:rPr>
                <w:i/>
                <w:sz w:val="16"/>
                <w:szCs w:val="16"/>
                <w:lang w:val="es-ES_tradnl"/>
              </w:rPr>
              <w:t xml:space="preserve">IP </w:t>
            </w:r>
            <w:proofErr w:type="spellStart"/>
            <w:r w:rsidRPr="007E4934">
              <w:rPr>
                <w:i/>
                <w:sz w:val="16"/>
                <w:szCs w:val="16"/>
                <w:lang w:val="es-ES_tradnl"/>
              </w:rPr>
              <w:t>Advantage</w:t>
            </w:r>
            <w:proofErr w:type="spellEnd"/>
            <w:r w:rsidRPr="007E4934">
              <w:rPr>
                <w:sz w:val="16"/>
                <w:szCs w:val="16"/>
                <w:lang w:val="es-ES_tradnl"/>
              </w:rPr>
              <w:t xml:space="preserve"> u otras bases de datos</w:t>
            </w:r>
          </w:p>
          <w:p w:rsidR="00FA423E" w:rsidRPr="007E4934" w:rsidRDefault="00FA423E" w:rsidP="00DC1333">
            <w:pPr>
              <w:keepNext/>
              <w:keepLines/>
              <w:rPr>
                <w:sz w:val="16"/>
                <w:szCs w:val="16"/>
                <w:lang w:bidi="th-TH"/>
              </w:rPr>
            </w:pPr>
          </w:p>
        </w:tc>
        <w:tc>
          <w:tcPr>
            <w:tcW w:w="735" w:type="pct"/>
            <w:shd w:val="clear" w:color="auto" w:fill="FFFFFF"/>
            <w:tcMar>
              <w:top w:w="113" w:type="dxa"/>
              <w:bottom w:w="57" w:type="dxa"/>
            </w:tcMar>
          </w:tcPr>
          <w:p w:rsidR="00FA423E" w:rsidRPr="007E4934" w:rsidRDefault="00FA423E" w:rsidP="00DC1333">
            <w:pPr>
              <w:jc w:val="center"/>
              <w:rPr>
                <w:sz w:val="16"/>
                <w:szCs w:val="16"/>
                <w:lang w:bidi="th-TH"/>
              </w:rPr>
            </w:pPr>
            <w:r w:rsidRPr="007E4934">
              <w:rPr>
                <w:sz w:val="16"/>
                <w:szCs w:val="16"/>
                <w:lang w:val="es-ES_tradnl" w:bidi="th-TH"/>
              </w:rPr>
              <w:t>Programa 30</w:t>
            </w:r>
          </w:p>
        </w:tc>
        <w:tc>
          <w:tcPr>
            <w:tcW w:w="521" w:type="pct"/>
            <w:shd w:val="clear" w:color="auto" w:fill="FFFFFF"/>
          </w:tcPr>
          <w:p w:rsidR="00FA423E" w:rsidRPr="00CC3F44" w:rsidRDefault="00FA423E" w:rsidP="00DC1333">
            <w:pPr>
              <w:jc w:val="center"/>
            </w:pPr>
            <w:r w:rsidRPr="00CC3F44">
              <w:rPr>
                <w:color w:val="A6A6A6" w:themeColor="background1" w:themeShade="A6"/>
                <w:szCs w:val="22"/>
              </w:rPr>
              <w:sym w:font="Wingdings" w:char="F06C"/>
            </w:r>
          </w:p>
        </w:tc>
      </w:tr>
    </w:tbl>
    <w:p w:rsidR="00FA423E" w:rsidRDefault="00FA423E" w:rsidP="00FA423E">
      <w:bookmarkStart w:id="96" w:name="_Toc422210495"/>
      <w:bookmarkStart w:id="97" w:name="_Toc367350587"/>
    </w:p>
    <w:p w:rsidR="003E6C4C" w:rsidRDefault="003E6C4C" w:rsidP="00FA423E"/>
    <w:p w:rsidR="003E6C4C" w:rsidRDefault="003E6C4C">
      <w:r>
        <w:br w:type="page"/>
      </w:r>
    </w:p>
    <w:p w:rsidR="0095318C" w:rsidRPr="00540D02" w:rsidRDefault="0095318C" w:rsidP="00DC1333">
      <w:pPr>
        <w:pStyle w:val="Heading2"/>
        <w:ind w:left="2410" w:hanging="2410"/>
        <w:jc w:val="both"/>
        <w:rPr>
          <w:b/>
          <w:szCs w:val="20"/>
        </w:rPr>
      </w:pPr>
      <w:bookmarkStart w:id="98" w:name="_Toc422927415"/>
      <w:bookmarkStart w:id="99" w:name="_Toc455159083"/>
      <w:r w:rsidRPr="00540D02">
        <w:rPr>
          <w:b/>
          <w:szCs w:val="20"/>
        </w:rPr>
        <w:lastRenderedPageBreak/>
        <w:t>PROGRAMA 8</w:t>
      </w:r>
      <w:r w:rsidRPr="00540D02">
        <w:rPr>
          <w:b/>
          <w:szCs w:val="20"/>
        </w:rPr>
        <w:tab/>
        <w:t>COORDINACIÓN DE LA AGENDA PARA EL DESARROLLO</w:t>
      </w:r>
      <w:bookmarkEnd w:id="98"/>
      <w:bookmarkEnd w:id="99"/>
    </w:p>
    <w:p w:rsidR="0095318C" w:rsidRPr="00540D02" w:rsidRDefault="0095318C" w:rsidP="00DC1333">
      <w:pPr>
        <w:tabs>
          <w:tab w:val="left" w:pos="1985"/>
        </w:tabs>
        <w:jc w:val="both"/>
        <w:rPr>
          <w:sz w:val="20"/>
        </w:rPr>
      </w:pPr>
    </w:p>
    <w:p w:rsidR="0095318C" w:rsidRPr="00540D02" w:rsidRDefault="0095318C" w:rsidP="00DC1333">
      <w:pPr>
        <w:tabs>
          <w:tab w:val="left" w:pos="2410"/>
        </w:tabs>
        <w:jc w:val="both"/>
        <w:rPr>
          <w:b/>
          <w:sz w:val="20"/>
        </w:rPr>
      </w:pPr>
      <w:r w:rsidRPr="00540D02">
        <w:rPr>
          <w:b/>
          <w:sz w:val="20"/>
        </w:rPr>
        <w:t>Director de programa</w:t>
      </w:r>
      <w:r w:rsidRPr="00540D02">
        <w:rPr>
          <w:b/>
          <w:sz w:val="20"/>
        </w:rPr>
        <w:tab/>
        <w:t>Sr. M. Matus</w:t>
      </w:r>
    </w:p>
    <w:p w:rsidR="0095318C" w:rsidRPr="00540D02" w:rsidRDefault="0095318C" w:rsidP="00DC1333">
      <w:pPr>
        <w:jc w:val="both"/>
        <w:rPr>
          <w:sz w:val="20"/>
        </w:rPr>
      </w:pPr>
    </w:p>
    <w:p w:rsidR="0095318C" w:rsidRPr="00540D02" w:rsidRDefault="0095318C" w:rsidP="00DC1333">
      <w:pPr>
        <w:jc w:val="both"/>
        <w:rPr>
          <w:sz w:val="20"/>
        </w:rPr>
      </w:pPr>
    </w:p>
    <w:p w:rsidR="0095318C" w:rsidRPr="00540D02" w:rsidRDefault="008F7CBE" w:rsidP="00DC1333">
      <w:pPr>
        <w:jc w:val="both"/>
        <w:rPr>
          <w:bCs/>
        </w:rPr>
      </w:pPr>
      <w:r w:rsidRPr="008F7CBE">
        <w:rPr>
          <w:bCs/>
          <w:sz w:val="20"/>
          <w:szCs w:val="22"/>
        </w:rPr>
        <w:t>LOGROS ALCANZADOS EN EL BIENIO 2014/15</w:t>
      </w:r>
    </w:p>
    <w:p w:rsidR="0095318C" w:rsidRPr="00540D02" w:rsidRDefault="0095318C" w:rsidP="00DC1333">
      <w:pPr>
        <w:jc w:val="both"/>
      </w:pPr>
    </w:p>
    <w:p w:rsidR="0095318C" w:rsidRPr="00540D02" w:rsidRDefault="0095318C" w:rsidP="0095318C">
      <w:pPr>
        <w:pStyle w:val="ListParagraph"/>
        <w:numPr>
          <w:ilvl w:val="0"/>
          <w:numId w:val="51"/>
        </w:numPr>
        <w:ind w:left="0" w:firstLine="0"/>
        <w:jc w:val="both"/>
        <w:rPr>
          <w:rFonts w:cs="Arial"/>
          <w:lang w:val="es-ES"/>
        </w:rPr>
      </w:pPr>
      <w:r w:rsidRPr="00540D02">
        <w:rPr>
          <w:rFonts w:cs="Arial"/>
          <w:lang w:val="es-ES"/>
        </w:rPr>
        <w:t>En el marco del programa 8, durante el bienio 2014/15 se siguió coordinando la aplicación de la Agenda de la OMPI para el Desarrollo (A.D.) facilitando la labor del Comité de Desarrollo y Propiedad Intelectual (CDIP) en sus sesiones decimotercera y decimocuarta, celebradas en 2014, y decimoquinta y decimosexta celebradas en 2015;  la aplicación de las recomendaciones de la A.D. mediante proyectos;  la incorporación de los principios de la A.D. a la labor de la Organización, y la realización de diversas actividades destinadas a ayudar a los Estados miembros a obtener beneficios de la aplicación de la A.D.</w:t>
      </w:r>
    </w:p>
    <w:p w:rsidR="0095318C" w:rsidRPr="00540D02" w:rsidRDefault="0095318C" w:rsidP="00DC1333">
      <w:pPr>
        <w:tabs>
          <w:tab w:val="left" w:pos="709"/>
        </w:tabs>
        <w:jc w:val="both"/>
      </w:pPr>
    </w:p>
    <w:p w:rsidR="0095318C" w:rsidRPr="00540D02" w:rsidRDefault="0095318C" w:rsidP="0095318C">
      <w:pPr>
        <w:pStyle w:val="ListParagraph"/>
        <w:numPr>
          <w:ilvl w:val="0"/>
          <w:numId w:val="51"/>
        </w:numPr>
        <w:ind w:left="0" w:firstLine="0"/>
        <w:jc w:val="both"/>
        <w:rPr>
          <w:rFonts w:cs="Arial"/>
          <w:lang w:val="es-ES"/>
        </w:rPr>
      </w:pPr>
      <w:r w:rsidRPr="00540D02">
        <w:rPr>
          <w:rFonts w:cs="Arial"/>
          <w:lang w:val="es-ES"/>
        </w:rPr>
        <w:t>Durante el bienio el CDIP examinó:  i) 2 informes anuales del Director General sobre la aplicación de la Agenda para el Desarrollo;  ii) 2 informes sobre la marcha de la labor relativa a las recomendaciones que deben aplicarse inmediatamente y de la ejecución de los proyectos de la A.D.;  iii) 11 informes de evaluación independiente y 1 informe de evaluación interna de proyectos, y iv) 1 documento sobre la Decisión de la Asamblea General de la OMPI sobre asuntos relativos al CDIP.  Además, el Comité aprobó:  i) propuestas para la ejecución de la segunda fase de dos proyectos finalizados y evaluados;  ii) 3 nuevas propuestas de proyectos, entra ellas una sobre P.I. y turismo presentada por Egipto, y iii) la realización de nuevas actividades relacionadas con la utilización del derecho de autor para promover el acceso a la información y al contenido creativo.  El Comité también examinó:  i) un documento remitido por la Asamblea General sobre la descripción de la contribución de los órganos pertinentes de la OMPI a la aplicación de las recomendaciones de la Agenda para el Desarrollo que les conciernen;  ii) un informe revisado sobre la medición de los Objetivos de Desarrollo del Milenio (ODM) en otras organizaciones de las Naciones Unidas y organismos especializados, así como la contribución de la OMPI a la aplicación de esos objetivos;  iii) un documento sobre la OMPI y la Agenda para el desarrollo después de 2015, y iv) el Informe sobre el Foro de la OMPI de expertos en transferencia de tecnología a escala internacional.  El Comité examinó asimismo el quinto documento sobre las flexibilidades en materia de patentes en el marco jurídico multilateral y su aplicación legislativa en los planos nacional y regional, así como un informe acerca de la actualización de la base de datos sobre flexibilidades.  Durante el bienio se siguió debatiendo en relación con el examen independiente sobre la asistencia técnica que presta la OMPI en el marco de la cooperación para el desarrollo y se produjo una respuesta actualizada de la Administración al informe de dicho examen independiente.  Por otra parte, el Comité examinó y aprobó el mandato relativo al examen independiente de la aplicación de las recomendaciones de la Agenda para el Desarrollo y tomó una decisión con respecto a la convocatoria de una conferencia internacional sobre propiedad intelectual y desarrollo.  Asimismo, en lo que respecta a estudios, el Comité examinó:  i) 8 estudios realizados en el marco del proyecto sobre propiedad intelectual y desarrollo socioeconómico;  ii) 6 estudios en el marco del proyecto sobre propiedad intelectual y transferencia de tecnología: desafíos comunes y búsqueda de soluciones;  iii) 2 estudios en el marco del Proyecto sobre los proyectos de colaboración abierta y los modelos de P.I.;  iv) 4 estudios en el marco del proyecto sobre propiedad intelectual y la economía informal;  v) 1 estudio en el marco del proyecto sobre el fortalecimiento y desarrollo del sector audiovisual en Burkina Faso y en determinados países de África, y vi) 3 estudios llevados a cabo en el marco del proyecto sobre la estructura de apoyo a la innovación y a la transferencia de tecnología para las instituciones nacionales.  El CDIP siguió beneficiándose de una creciente participación de OIG y ONG.  A finales de 2015, 59 observadores habían participado en los trabajos del Comité.</w:t>
      </w:r>
    </w:p>
    <w:p w:rsidR="0095318C" w:rsidRPr="00540D02" w:rsidRDefault="0095318C" w:rsidP="00DC1333">
      <w:pPr>
        <w:tabs>
          <w:tab w:val="left" w:pos="709"/>
        </w:tabs>
        <w:jc w:val="both"/>
      </w:pPr>
    </w:p>
    <w:p w:rsidR="0095318C" w:rsidRPr="00540D02" w:rsidRDefault="0095318C" w:rsidP="0095318C">
      <w:pPr>
        <w:pStyle w:val="ListParagraph"/>
        <w:numPr>
          <w:ilvl w:val="0"/>
          <w:numId w:val="51"/>
        </w:numPr>
        <w:ind w:left="0" w:firstLine="0"/>
        <w:jc w:val="both"/>
        <w:rPr>
          <w:rFonts w:cs="Arial"/>
          <w:lang w:val="es-ES"/>
        </w:rPr>
      </w:pPr>
      <w:r w:rsidRPr="00540D02">
        <w:rPr>
          <w:rFonts w:cs="Arial"/>
          <w:lang w:val="es-ES"/>
        </w:rPr>
        <w:t xml:space="preserve">Además de prestar apoyo al CDIP, durante el bienio 2014/15 en el marco del programa se inició la labor encaminada a convocar la Conferencia Internacional sobre P.I. y Desarrollo que se celebrará </w:t>
      </w:r>
      <w:r>
        <w:rPr>
          <w:rFonts w:cs="Arial"/>
          <w:lang w:val="es-ES"/>
        </w:rPr>
        <w:t>en </w:t>
      </w:r>
      <w:r w:rsidRPr="00540D02">
        <w:rPr>
          <w:rFonts w:cs="Arial"/>
          <w:lang w:val="es-ES"/>
        </w:rPr>
        <w:t>2016, se coordinó la labor relativa al examen independiente de la aplicación de las recomendaciones de la Agenda para el Desarrollo y se facilitó la aplicación en los Estados miembros de las actividades de la A.D.  En el marco del programa se mantuvieron también los esfuerzos para asegurar la aplicación efectiva de las 19 recomendaciones que deben aplicarse inmediatamente;  se siguió coordinando la supervisión, evaluación y presentación de informes sobre la ejecución de los proyectos aprobados por el CDIP, y se mantuvo la responsabilidad sobre la coordinación de la aplicación de las 45 recomendaciones de la Agenda de la OMPI para el Desarrollo.</w:t>
      </w:r>
    </w:p>
    <w:p w:rsidR="0095318C" w:rsidRPr="00540D02" w:rsidRDefault="0095318C" w:rsidP="00DC1333">
      <w:pPr>
        <w:autoSpaceDE w:val="0"/>
        <w:autoSpaceDN w:val="0"/>
        <w:adjustRightInd w:val="0"/>
        <w:jc w:val="both"/>
      </w:pPr>
    </w:p>
    <w:p w:rsidR="0095318C" w:rsidRPr="00540D02" w:rsidRDefault="0095318C" w:rsidP="00DC1333"/>
    <w:p w:rsidR="0095318C" w:rsidRPr="00540D02" w:rsidRDefault="008F7CBE" w:rsidP="00DC1333">
      <w:pPr>
        <w:keepNext/>
        <w:autoSpaceDE w:val="0"/>
        <w:autoSpaceDN w:val="0"/>
        <w:adjustRightInd w:val="0"/>
        <w:jc w:val="both"/>
      </w:pPr>
      <w:r w:rsidRPr="008F7CBE">
        <w:rPr>
          <w:sz w:val="20"/>
        </w:rPr>
        <w:lastRenderedPageBreak/>
        <w:t>DATOS SOBRE EL RENDIMIENTO</w:t>
      </w:r>
    </w:p>
    <w:p w:rsidR="0095318C" w:rsidRPr="00540D02" w:rsidRDefault="0095318C" w:rsidP="00DC1333">
      <w:pPr>
        <w:keepNext/>
        <w:jc w:val="both"/>
        <w:rPr>
          <w:bCs/>
        </w:rPr>
      </w:pPr>
    </w:p>
    <w:tbl>
      <w:tblPr>
        <w:tblW w:w="4958"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33"/>
        <w:gridCol w:w="2126"/>
        <w:gridCol w:w="1984"/>
        <w:gridCol w:w="1982"/>
        <w:gridCol w:w="140"/>
        <w:gridCol w:w="1126"/>
      </w:tblGrid>
      <w:tr w:rsidR="0095318C" w:rsidRPr="00540D02" w:rsidTr="00DC1333">
        <w:trPr>
          <w:cantSplit/>
        </w:trPr>
        <w:tc>
          <w:tcPr>
            <w:tcW w:w="5000" w:type="pct"/>
            <w:gridSpan w:val="6"/>
            <w:tcBorders>
              <w:top w:val="single" w:sz="4" w:space="0" w:color="auto"/>
              <w:bottom w:val="single" w:sz="4" w:space="0" w:color="auto"/>
            </w:tcBorders>
            <w:shd w:val="clear" w:color="auto" w:fill="C6D9F1" w:themeFill="text2" w:themeFillTint="33"/>
            <w:vAlign w:val="center"/>
          </w:tcPr>
          <w:p w:rsidR="0095318C" w:rsidRPr="00540D02" w:rsidRDefault="0095318C" w:rsidP="00DC1333">
            <w:pPr>
              <w:keepNext/>
              <w:keepLines/>
              <w:spacing w:before="120" w:after="120"/>
              <w:ind w:left="2019" w:hanging="2019"/>
              <w:jc w:val="both"/>
              <w:rPr>
                <w:b/>
                <w:bCs/>
                <w:sz w:val="16"/>
                <w:szCs w:val="16"/>
              </w:rPr>
            </w:pPr>
            <w:r w:rsidRPr="00540D02">
              <w:rPr>
                <w:b/>
                <w:bCs/>
                <w:sz w:val="16"/>
                <w:szCs w:val="16"/>
              </w:rPr>
              <w:t>Resultado previsto:</w:t>
            </w:r>
            <w:r w:rsidRPr="00540D02">
              <w:rPr>
                <w:b/>
                <w:bCs/>
                <w:sz w:val="16"/>
                <w:szCs w:val="16"/>
              </w:rPr>
              <w:tab/>
            </w:r>
            <w:r w:rsidRPr="00540D02">
              <w:rPr>
                <w:sz w:val="16"/>
                <w:szCs w:val="16"/>
                <w:lang w:bidi="th-TH"/>
              </w:rPr>
              <w:t>III.3 Incorporación de las recomendaciones de la Agenda para el Desarrollo en la labor de la OMPI</w:t>
            </w:r>
          </w:p>
        </w:tc>
      </w:tr>
      <w:tr w:rsidR="0095318C" w:rsidRPr="00540D02" w:rsidTr="00DC1333">
        <w:trPr>
          <w:cantSplit/>
        </w:trPr>
        <w:tc>
          <w:tcPr>
            <w:tcW w:w="1124" w:type="pct"/>
            <w:tcBorders>
              <w:top w:val="single" w:sz="4" w:space="0" w:color="auto"/>
              <w:left w:val="single" w:sz="4" w:space="0" w:color="auto"/>
              <w:bottom w:val="nil"/>
            </w:tcBorders>
            <w:shd w:val="clear" w:color="auto" w:fill="auto"/>
            <w:vAlign w:val="center"/>
          </w:tcPr>
          <w:p w:rsidR="0095318C" w:rsidRPr="00540D02" w:rsidRDefault="0095318C" w:rsidP="00DC1333">
            <w:pPr>
              <w:keepNext/>
              <w:rPr>
                <w:sz w:val="16"/>
                <w:szCs w:val="16"/>
              </w:rPr>
            </w:pPr>
            <w:r w:rsidRPr="00540D02">
              <w:rPr>
                <w:b/>
                <w:sz w:val="16"/>
                <w:szCs w:val="16"/>
              </w:rPr>
              <w:t>Indicadores de rendimiento</w:t>
            </w:r>
          </w:p>
        </w:tc>
        <w:tc>
          <w:tcPr>
            <w:tcW w:w="1120" w:type="pct"/>
            <w:tcBorders>
              <w:top w:val="single" w:sz="4" w:space="0" w:color="auto"/>
              <w:bottom w:val="nil"/>
            </w:tcBorders>
            <w:shd w:val="clear" w:color="auto" w:fill="auto"/>
            <w:vAlign w:val="center"/>
          </w:tcPr>
          <w:p w:rsidR="0095318C" w:rsidRPr="00540D02" w:rsidRDefault="0095318C" w:rsidP="00DC1333">
            <w:pPr>
              <w:keepNext/>
              <w:rPr>
                <w:b/>
                <w:bCs/>
                <w:sz w:val="16"/>
                <w:szCs w:val="16"/>
              </w:rPr>
            </w:pPr>
            <w:r w:rsidRPr="00540D02">
              <w:rPr>
                <w:b/>
                <w:bCs/>
                <w:sz w:val="16"/>
                <w:szCs w:val="16"/>
              </w:rPr>
              <w:t>Referencia</w:t>
            </w:r>
          </w:p>
        </w:tc>
        <w:tc>
          <w:tcPr>
            <w:tcW w:w="1045" w:type="pct"/>
            <w:tcBorders>
              <w:top w:val="single" w:sz="4" w:space="0" w:color="auto"/>
              <w:bottom w:val="nil"/>
            </w:tcBorders>
            <w:shd w:val="clear" w:color="auto" w:fill="auto"/>
            <w:tcMar>
              <w:top w:w="110" w:type="dxa"/>
            </w:tcMar>
            <w:vAlign w:val="center"/>
          </w:tcPr>
          <w:p w:rsidR="0095318C" w:rsidRPr="00540D02" w:rsidRDefault="0095318C" w:rsidP="00DC1333">
            <w:pPr>
              <w:keepNext/>
              <w:rPr>
                <w:b/>
                <w:sz w:val="16"/>
                <w:szCs w:val="16"/>
              </w:rPr>
            </w:pPr>
            <w:r w:rsidRPr="00540D02">
              <w:rPr>
                <w:b/>
                <w:sz w:val="16"/>
                <w:szCs w:val="16"/>
              </w:rPr>
              <w:t>Objetivos</w:t>
            </w:r>
          </w:p>
        </w:tc>
        <w:tc>
          <w:tcPr>
            <w:tcW w:w="1044" w:type="pct"/>
            <w:tcBorders>
              <w:top w:val="single" w:sz="4" w:space="0" w:color="auto"/>
              <w:bottom w:val="nil"/>
            </w:tcBorders>
            <w:shd w:val="clear" w:color="auto" w:fill="FFFFFF"/>
            <w:tcMar>
              <w:top w:w="110" w:type="dxa"/>
            </w:tcMar>
            <w:vAlign w:val="center"/>
          </w:tcPr>
          <w:p w:rsidR="0095318C" w:rsidRPr="00540D02" w:rsidRDefault="0095318C" w:rsidP="00DC1333">
            <w:pPr>
              <w:keepNext/>
              <w:rPr>
                <w:sz w:val="16"/>
                <w:szCs w:val="16"/>
              </w:rPr>
            </w:pPr>
            <w:r w:rsidRPr="00540D02">
              <w:rPr>
                <w:b/>
                <w:sz w:val="16"/>
                <w:szCs w:val="16"/>
              </w:rPr>
              <w:t>Datos sobre el rendimiento</w:t>
            </w:r>
          </w:p>
        </w:tc>
        <w:tc>
          <w:tcPr>
            <w:tcW w:w="667" w:type="pct"/>
            <w:gridSpan w:val="2"/>
            <w:tcBorders>
              <w:top w:val="single" w:sz="4" w:space="0" w:color="auto"/>
              <w:bottom w:val="nil"/>
              <w:right w:val="single" w:sz="4" w:space="0" w:color="auto"/>
            </w:tcBorders>
            <w:shd w:val="clear" w:color="auto" w:fill="auto"/>
            <w:tcMar>
              <w:top w:w="110" w:type="dxa"/>
            </w:tcMar>
            <w:vAlign w:val="center"/>
          </w:tcPr>
          <w:p w:rsidR="0095318C" w:rsidRPr="00540D02" w:rsidRDefault="0095318C" w:rsidP="00DC1333">
            <w:pPr>
              <w:keepNext/>
              <w:keepLines/>
              <w:rPr>
                <w:b/>
                <w:bCs/>
                <w:sz w:val="16"/>
                <w:szCs w:val="16"/>
              </w:rPr>
            </w:pPr>
            <w:r w:rsidRPr="00540D02">
              <w:rPr>
                <w:b/>
                <w:bCs/>
                <w:sz w:val="16"/>
                <w:szCs w:val="16"/>
              </w:rPr>
              <w:t>Clave de colores</w:t>
            </w:r>
          </w:p>
        </w:tc>
      </w:tr>
      <w:tr w:rsidR="0095318C" w:rsidRPr="00540D02" w:rsidTr="00DC1333">
        <w:trPr>
          <w:cantSplit/>
        </w:trPr>
        <w:tc>
          <w:tcPr>
            <w:tcW w:w="1124" w:type="pct"/>
            <w:tcBorders>
              <w:top w:val="nil"/>
              <w:left w:val="single" w:sz="4" w:space="0" w:color="auto"/>
              <w:bottom w:val="nil"/>
            </w:tcBorders>
            <w:shd w:val="clear" w:color="auto" w:fill="auto"/>
          </w:tcPr>
          <w:p w:rsidR="0095318C" w:rsidRPr="00540D02" w:rsidRDefault="0095318C" w:rsidP="00DC1333">
            <w:pPr>
              <w:rPr>
                <w:sz w:val="16"/>
                <w:szCs w:val="16"/>
                <w:lang w:bidi="th-TH"/>
              </w:rPr>
            </w:pPr>
            <w:r w:rsidRPr="00540D02">
              <w:rPr>
                <w:sz w:val="16"/>
                <w:szCs w:val="16"/>
                <w:lang w:bidi="th-TH"/>
              </w:rPr>
              <w:t>Número de recomendaciones de la A.D. de las que se ha ocupado el CDIP mediante proyectos, actividades y estudios</w:t>
            </w:r>
            <w:r w:rsidRPr="00540D02">
              <w:rPr>
                <w:color w:val="808080"/>
                <w:sz w:val="16"/>
                <w:szCs w:val="16"/>
                <w:lang w:bidi="th-TH"/>
              </w:rPr>
              <w:t>.</w:t>
            </w:r>
          </w:p>
        </w:tc>
        <w:tc>
          <w:tcPr>
            <w:tcW w:w="1120" w:type="pct"/>
            <w:tcBorders>
              <w:top w:val="nil"/>
              <w:bottom w:val="nil"/>
            </w:tcBorders>
            <w:shd w:val="clear" w:color="auto" w:fill="auto"/>
          </w:tcPr>
          <w:p w:rsidR="0095318C" w:rsidRPr="00540D02" w:rsidRDefault="0095318C" w:rsidP="00DC1333">
            <w:pPr>
              <w:rPr>
                <w:sz w:val="16"/>
                <w:szCs w:val="16"/>
                <w:lang w:bidi="th-TH"/>
              </w:rPr>
            </w:pPr>
            <w:r w:rsidRPr="00540D02">
              <w:rPr>
                <w:i/>
                <w:iCs/>
                <w:color w:val="002060"/>
                <w:sz w:val="16"/>
                <w:szCs w:val="16"/>
              </w:rPr>
              <w:t>Referencia actualizada a fines de 2013</w:t>
            </w:r>
            <w:r w:rsidRPr="00540D02">
              <w:rPr>
                <w:i/>
                <w:color w:val="002060"/>
                <w:sz w:val="16"/>
                <w:szCs w:val="16"/>
              </w:rPr>
              <w:t xml:space="preserve">:  </w:t>
            </w:r>
            <w:r w:rsidRPr="00540D02">
              <w:rPr>
                <w:sz w:val="16"/>
                <w:szCs w:val="16"/>
              </w:rPr>
              <w:t>45 recomendaciones</w:t>
            </w:r>
            <w:r w:rsidRPr="00540D02">
              <w:rPr>
                <w:sz w:val="16"/>
                <w:szCs w:val="16"/>
                <w:lang w:bidi="th-TH"/>
              </w:rPr>
              <w:t xml:space="preserve"> de la A.D.</w:t>
            </w:r>
          </w:p>
          <w:p w:rsidR="0095318C" w:rsidRPr="00540D02" w:rsidRDefault="0095318C" w:rsidP="00DC1333">
            <w:pPr>
              <w:rPr>
                <w:i/>
                <w:color w:val="002060"/>
                <w:sz w:val="16"/>
                <w:szCs w:val="16"/>
              </w:rPr>
            </w:pPr>
          </w:p>
          <w:p w:rsidR="0095318C" w:rsidRPr="00540D02" w:rsidRDefault="0095318C" w:rsidP="00DC1333">
            <w:pPr>
              <w:rPr>
                <w:sz w:val="16"/>
                <w:szCs w:val="16"/>
              </w:rPr>
            </w:pPr>
            <w:r w:rsidRPr="00540D02">
              <w:rPr>
                <w:i/>
                <w:iCs/>
                <w:sz w:val="16"/>
                <w:szCs w:val="16"/>
              </w:rPr>
              <w:t>Referencia original en el presupuesto de 2014/15</w:t>
            </w:r>
            <w:r w:rsidRPr="00540D02">
              <w:rPr>
                <w:i/>
                <w:sz w:val="16"/>
                <w:szCs w:val="16"/>
              </w:rPr>
              <w:t>:</w:t>
            </w:r>
            <w:r w:rsidRPr="00540D02">
              <w:rPr>
                <w:sz w:val="16"/>
                <w:szCs w:val="16"/>
              </w:rPr>
              <w:t xml:space="preserve"> El Comité se ocupó de 42 recomendaciones en diciembre de 2011</w:t>
            </w:r>
            <w:r w:rsidRPr="00540D02">
              <w:t xml:space="preserve"> </w:t>
            </w:r>
          </w:p>
        </w:tc>
        <w:tc>
          <w:tcPr>
            <w:tcW w:w="1045" w:type="pct"/>
            <w:tcBorders>
              <w:top w:val="nil"/>
              <w:bottom w:val="nil"/>
            </w:tcBorders>
            <w:shd w:val="clear" w:color="auto" w:fill="auto"/>
            <w:tcMar>
              <w:top w:w="110" w:type="dxa"/>
            </w:tcMar>
          </w:tcPr>
          <w:p w:rsidR="0095318C" w:rsidRPr="00540D02" w:rsidRDefault="0095318C" w:rsidP="00DC1333">
            <w:pPr>
              <w:rPr>
                <w:sz w:val="16"/>
                <w:szCs w:val="16"/>
                <w:lang w:bidi="th-TH"/>
              </w:rPr>
            </w:pPr>
            <w:r w:rsidRPr="00540D02">
              <w:rPr>
                <w:sz w:val="16"/>
                <w:szCs w:val="16"/>
                <w:lang w:bidi="th-TH"/>
              </w:rPr>
              <w:t>El CDIP debe ocuparse de 45 recomendaciones.</w:t>
            </w:r>
          </w:p>
          <w:p w:rsidR="0095318C" w:rsidRPr="00540D02" w:rsidRDefault="0095318C" w:rsidP="00DC1333">
            <w:pPr>
              <w:rPr>
                <w:sz w:val="16"/>
                <w:szCs w:val="16"/>
                <w:lang w:bidi="th-TH"/>
              </w:rPr>
            </w:pPr>
          </w:p>
          <w:p w:rsidR="0095318C" w:rsidRPr="00540D02" w:rsidRDefault="0095318C" w:rsidP="00DC1333">
            <w:pPr>
              <w:rPr>
                <w:sz w:val="16"/>
                <w:szCs w:val="16"/>
                <w:lang w:bidi="th-TH"/>
              </w:rPr>
            </w:pPr>
          </w:p>
          <w:p w:rsidR="0095318C" w:rsidRPr="00540D02" w:rsidRDefault="0095318C" w:rsidP="00DC1333">
            <w:pPr>
              <w:rPr>
                <w:sz w:val="16"/>
                <w:szCs w:val="16"/>
                <w:lang w:bidi="th-TH"/>
              </w:rPr>
            </w:pPr>
          </w:p>
        </w:tc>
        <w:tc>
          <w:tcPr>
            <w:tcW w:w="1044" w:type="pct"/>
            <w:tcBorders>
              <w:top w:val="nil"/>
              <w:bottom w:val="nil"/>
            </w:tcBorders>
            <w:shd w:val="clear" w:color="auto" w:fill="FFFFFF"/>
            <w:tcMar>
              <w:top w:w="110" w:type="dxa"/>
            </w:tcMar>
          </w:tcPr>
          <w:p w:rsidR="0095318C" w:rsidRPr="00540D02" w:rsidRDefault="0095318C" w:rsidP="00DC1333">
            <w:pPr>
              <w:rPr>
                <w:sz w:val="16"/>
                <w:szCs w:val="16"/>
                <w:lang w:bidi="th-TH"/>
              </w:rPr>
            </w:pPr>
            <w:r w:rsidRPr="00540D02">
              <w:rPr>
                <w:sz w:val="16"/>
                <w:szCs w:val="16"/>
                <w:lang w:bidi="th-TH"/>
              </w:rPr>
              <w:t>Se abordaron las 45 recomendaciones según consta en el Informe sobre la marcha de las actividades de la A.D. (documentos CDIP/14/2 y CDIP /16/2)</w:t>
            </w:r>
          </w:p>
        </w:tc>
        <w:tc>
          <w:tcPr>
            <w:tcW w:w="667" w:type="pct"/>
            <w:gridSpan w:val="2"/>
            <w:tcBorders>
              <w:top w:val="nil"/>
              <w:bottom w:val="nil"/>
              <w:right w:val="single" w:sz="4" w:space="0" w:color="auto"/>
            </w:tcBorders>
            <w:shd w:val="clear" w:color="auto" w:fill="auto"/>
            <w:tcMar>
              <w:top w:w="110" w:type="dxa"/>
            </w:tcMar>
          </w:tcPr>
          <w:p w:rsidR="0095318C" w:rsidRPr="00540D02" w:rsidRDefault="0095318C" w:rsidP="00DC1333">
            <w:pPr>
              <w:keepNext/>
              <w:keepLines/>
              <w:ind w:left="-107"/>
              <w:jc w:val="center"/>
              <w:rPr>
                <w:b/>
                <w:bCs/>
                <w:color w:val="00B050"/>
                <w:sz w:val="16"/>
                <w:szCs w:val="16"/>
              </w:rPr>
            </w:pPr>
            <w:r w:rsidRPr="00540D02">
              <w:rPr>
                <w:b/>
                <w:bCs/>
                <w:color w:val="00B050"/>
                <w:sz w:val="16"/>
                <w:szCs w:val="16"/>
              </w:rPr>
              <w:t>Plenamente logrado</w:t>
            </w:r>
          </w:p>
        </w:tc>
      </w:tr>
      <w:tr w:rsidR="0095318C" w:rsidRPr="00540D02" w:rsidTr="00DC1333">
        <w:trPr>
          <w:cantSplit/>
        </w:trPr>
        <w:tc>
          <w:tcPr>
            <w:tcW w:w="1124" w:type="pct"/>
            <w:tcBorders>
              <w:top w:val="nil"/>
              <w:left w:val="single" w:sz="4" w:space="0" w:color="auto"/>
              <w:bottom w:val="nil"/>
            </w:tcBorders>
            <w:shd w:val="clear" w:color="auto" w:fill="auto"/>
          </w:tcPr>
          <w:p w:rsidR="0095318C" w:rsidRPr="00540D02" w:rsidRDefault="0095318C" w:rsidP="00DC1333">
            <w:pPr>
              <w:rPr>
                <w:sz w:val="16"/>
                <w:szCs w:val="16"/>
                <w:highlight w:val="red"/>
                <w:lang w:bidi="th-TH"/>
              </w:rPr>
            </w:pPr>
            <w:r w:rsidRPr="00540D02">
              <w:rPr>
                <w:sz w:val="16"/>
                <w:szCs w:val="16"/>
                <w:lang w:bidi="th-TH"/>
              </w:rPr>
              <w:t>Tasa de satisfacción de los Estados miembros con los resultados de los proyectos, actividades y estudios.</w:t>
            </w:r>
          </w:p>
        </w:tc>
        <w:tc>
          <w:tcPr>
            <w:tcW w:w="1120" w:type="pct"/>
            <w:tcBorders>
              <w:top w:val="nil"/>
              <w:bottom w:val="nil"/>
            </w:tcBorders>
            <w:shd w:val="clear" w:color="auto" w:fill="auto"/>
          </w:tcPr>
          <w:p w:rsidR="0095318C" w:rsidRPr="00540D02" w:rsidRDefault="0095318C" w:rsidP="00DC1333">
            <w:pPr>
              <w:rPr>
                <w:sz w:val="16"/>
                <w:szCs w:val="16"/>
              </w:rPr>
            </w:pPr>
            <w:r w:rsidRPr="00540D02">
              <w:rPr>
                <w:sz w:val="16"/>
                <w:szCs w:val="16"/>
              </w:rPr>
              <w:t>80%</w:t>
            </w:r>
          </w:p>
          <w:p w:rsidR="0095318C" w:rsidRPr="00540D02" w:rsidRDefault="0095318C" w:rsidP="00DC1333">
            <w:pPr>
              <w:rPr>
                <w:i/>
                <w:color w:val="002060"/>
                <w:sz w:val="16"/>
                <w:szCs w:val="16"/>
              </w:rPr>
            </w:pPr>
          </w:p>
        </w:tc>
        <w:tc>
          <w:tcPr>
            <w:tcW w:w="1045" w:type="pct"/>
            <w:tcBorders>
              <w:top w:val="nil"/>
              <w:bottom w:val="nil"/>
            </w:tcBorders>
            <w:shd w:val="clear" w:color="auto" w:fill="auto"/>
            <w:tcMar>
              <w:top w:w="110" w:type="dxa"/>
            </w:tcMar>
          </w:tcPr>
          <w:p w:rsidR="0095318C" w:rsidRPr="00540D02" w:rsidRDefault="0095318C" w:rsidP="00DC1333">
            <w:pPr>
              <w:autoSpaceDE w:val="0"/>
              <w:autoSpaceDN w:val="0"/>
              <w:adjustRightInd w:val="0"/>
              <w:rPr>
                <w:sz w:val="16"/>
                <w:szCs w:val="16"/>
              </w:rPr>
            </w:pPr>
            <w:r w:rsidRPr="00540D02">
              <w:rPr>
                <w:sz w:val="16"/>
                <w:szCs w:val="16"/>
              </w:rPr>
              <w:t>80%</w:t>
            </w:r>
          </w:p>
        </w:tc>
        <w:tc>
          <w:tcPr>
            <w:tcW w:w="1044" w:type="pct"/>
            <w:tcBorders>
              <w:top w:val="nil"/>
              <w:bottom w:val="nil"/>
            </w:tcBorders>
            <w:shd w:val="clear" w:color="auto" w:fill="FFFFFF"/>
            <w:tcMar>
              <w:top w:w="110" w:type="dxa"/>
            </w:tcMar>
          </w:tcPr>
          <w:p w:rsidR="0095318C" w:rsidRPr="00540D02" w:rsidRDefault="0095318C" w:rsidP="00DC1333">
            <w:pPr>
              <w:ind w:right="33"/>
              <w:rPr>
                <w:sz w:val="16"/>
                <w:szCs w:val="16"/>
                <w:lang w:bidi="th-TH"/>
              </w:rPr>
            </w:pPr>
            <w:r w:rsidRPr="00540D02">
              <w:rPr>
                <w:sz w:val="16"/>
                <w:szCs w:val="16"/>
              </w:rPr>
              <w:t>De acuerdo con los debates mantenidos en el CDIP en relación con i) dos informes anuales presentados por el Director General sobre la aplicación de la Agenda para el Desarrollo;  ii) dos informes sobre la marcha de la labor relativa a las recomendaciones que deben aplicarse inmediatamente y los proyectos de la A.D., y iii) 11 informes de evaluación independiente y 1 informe de evaluación interna de proyectos, los Estados miembros se mostraron satisfechos con los resultados de los proyectos, las actividades y los estudios en el 83% de los casos.</w:t>
            </w:r>
          </w:p>
        </w:tc>
        <w:tc>
          <w:tcPr>
            <w:tcW w:w="667" w:type="pct"/>
            <w:gridSpan w:val="2"/>
            <w:tcBorders>
              <w:top w:val="nil"/>
              <w:bottom w:val="nil"/>
              <w:right w:val="single" w:sz="4" w:space="0" w:color="auto"/>
            </w:tcBorders>
            <w:shd w:val="clear" w:color="auto" w:fill="auto"/>
            <w:tcMar>
              <w:top w:w="110" w:type="dxa"/>
            </w:tcMar>
          </w:tcPr>
          <w:p w:rsidR="0095318C" w:rsidRPr="00540D02" w:rsidRDefault="0095318C" w:rsidP="00DC1333">
            <w:pPr>
              <w:keepNext/>
              <w:keepLines/>
              <w:ind w:left="-107"/>
              <w:jc w:val="center"/>
              <w:rPr>
                <w:b/>
                <w:bCs/>
                <w:color w:val="00B0F0"/>
                <w:sz w:val="16"/>
                <w:szCs w:val="16"/>
              </w:rPr>
            </w:pPr>
            <w:r w:rsidRPr="00540D02">
              <w:rPr>
                <w:b/>
                <w:bCs/>
                <w:color w:val="00B050"/>
                <w:sz w:val="16"/>
                <w:szCs w:val="16"/>
              </w:rPr>
              <w:t>Plenamente logrado</w:t>
            </w:r>
          </w:p>
        </w:tc>
      </w:tr>
      <w:tr w:rsidR="0095318C" w:rsidRPr="00540D02" w:rsidTr="00DC1333">
        <w:trPr>
          <w:cantSplit/>
        </w:trPr>
        <w:tc>
          <w:tcPr>
            <w:tcW w:w="1124" w:type="pct"/>
            <w:tcBorders>
              <w:top w:val="nil"/>
              <w:left w:val="single" w:sz="4" w:space="0" w:color="auto"/>
              <w:bottom w:val="single" w:sz="4" w:space="0" w:color="auto"/>
            </w:tcBorders>
            <w:shd w:val="clear" w:color="auto" w:fill="auto"/>
          </w:tcPr>
          <w:p w:rsidR="0095318C" w:rsidRPr="00540D02" w:rsidRDefault="0095318C" w:rsidP="00DC1333">
            <w:pPr>
              <w:rPr>
                <w:sz w:val="16"/>
                <w:szCs w:val="16"/>
                <w:lang w:bidi="th-TH"/>
              </w:rPr>
            </w:pPr>
            <w:r w:rsidRPr="00540D02">
              <w:rPr>
                <w:sz w:val="16"/>
                <w:szCs w:val="16"/>
                <w:lang w:bidi="th-TH"/>
              </w:rPr>
              <w:t>Aplicación del mecanismo de coordinación aprobado por los Estados miembros.</w:t>
            </w:r>
          </w:p>
        </w:tc>
        <w:tc>
          <w:tcPr>
            <w:tcW w:w="1120" w:type="pct"/>
            <w:tcBorders>
              <w:top w:val="nil"/>
              <w:bottom w:val="single" w:sz="4" w:space="0" w:color="auto"/>
            </w:tcBorders>
            <w:shd w:val="clear" w:color="auto" w:fill="auto"/>
          </w:tcPr>
          <w:p w:rsidR="0095318C" w:rsidRPr="00C9483A" w:rsidRDefault="0095318C" w:rsidP="00DC1333">
            <w:pPr>
              <w:rPr>
                <w:color w:val="002060"/>
                <w:sz w:val="16"/>
                <w:szCs w:val="16"/>
              </w:rPr>
            </w:pPr>
            <w:r w:rsidRPr="00C9483A">
              <w:rPr>
                <w:i/>
                <w:iCs/>
                <w:color w:val="002060"/>
                <w:sz w:val="16"/>
                <w:szCs w:val="16"/>
              </w:rPr>
              <w:t>Referencia actualizada a fines de 2013</w:t>
            </w:r>
            <w:r w:rsidRPr="00C9483A">
              <w:rPr>
                <w:i/>
                <w:color w:val="002060"/>
                <w:sz w:val="16"/>
                <w:szCs w:val="16"/>
              </w:rPr>
              <w:t xml:space="preserve">:  </w:t>
            </w:r>
            <w:r w:rsidRPr="00C9483A">
              <w:rPr>
                <w:color w:val="002060"/>
                <w:sz w:val="16"/>
                <w:szCs w:val="16"/>
              </w:rPr>
              <w:t xml:space="preserve">Dos informes anuales presentados a las Asambleas, con una descripción de la contribución de los órganos pertinentes de la OMPI a la aplicación de las recomendaciones de la Agenda para el Desarrollo que les conciernen, fueron examinados por el CDIP </w:t>
            </w:r>
            <w:r w:rsidRPr="00C9483A">
              <w:rPr>
                <w:color w:val="002060"/>
                <w:sz w:val="16"/>
                <w:szCs w:val="16"/>
                <w:lang w:bidi="th-TH"/>
              </w:rPr>
              <w:t>(</w:t>
            </w:r>
            <w:r w:rsidRPr="00C9483A">
              <w:rPr>
                <w:color w:val="002060"/>
                <w:sz w:val="16"/>
                <w:szCs w:val="16"/>
              </w:rPr>
              <w:t>WO/GA/41/12 y WO/GA/43/10).</w:t>
            </w:r>
            <w:r w:rsidRPr="00C9483A">
              <w:rPr>
                <w:rStyle w:val="FootnoteReference"/>
                <w:color w:val="002060"/>
                <w:sz w:val="16"/>
                <w:szCs w:val="16"/>
                <w:lang w:bidi="th-TH"/>
              </w:rPr>
              <w:footnoteReference w:id="53"/>
            </w:r>
          </w:p>
          <w:p w:rsidR="0095318C" w:rsidRPr="00540D02" w:rsidRDefault="0095318C" w:rsidP="00DC1333">
            <w:pPr>
              <w:rPr>
                <w:i/>
                <w:color w:val="002060"/>
                <w:sz w:val="16"/>
                <w:szCs w:val="16"/>
              </w:rPr>
            </w:pPr>
          </w:p>
          <w:p w:rsidR="0095318C" w:rsidRPr="00540D02" w:rsidRDefault="0095318C" w:rsidP="00DC1333">
            <w:pPr>
              <w:rPr>
                <w:sz w:val="16"/>
                <w:szCs w:val="16"/>
                <w:lang w:bidi="th-TH"/>
              </w:rPr>
            </w:pPr>
            <w:r w:rsidRPr="00540D02">
              <w:rPr>
                <w:i/>
                <w:iCs/>
                <w:sz w:val="16"/>
                <w:szCs w:val="16"/>
              </w:rPr>
              <w:t>Referencia original en el presupuesto de 2014/15</w:t>
            </w:r>
            <w:r w:rsidRPr="00540D02">
              <w:rPr>
                <w:i/>
                <w:sz w:val="16"/>
                <w:szCs w:val="16"/>
              </w:rPr>
              <w:t>:</w:t>
            </w:r>
            <w:r w:rsidRPr="00540D02">
              <w:rPr>
                <w:sz w:val="16"/>
                <w:szCs w:val="16"/>
              </w:rPr>
              <w:t xml:space="preserve">  Mecanismos de coordinación y modalidades de supervisión, evaluación y presentación de informes aprobados por el Comité en abril de 2010</w:t>
            </w:r>
          </w:p>
        </w:tc>
        <w:tc>
          <w:tcPr>
            <w:tcW w:w="1045" w:type="pct"/>
            <w:tcBorders>
              <w:top w:val="nil"/>
              <w:bottom w:val="single" w:sz="4" w:space="0" w:color="auto"/>
            </w:tcBorders>
            <w:shd w:val="clear" w:color="auto" w:fill="auto"/>
            <w:tcMar>
              <w:top w:w="110" w:type="dxa"/>
            </w:tcMar>
          </w:tcPr>
          <w:p w:rsidR="0095318C" w:rsidRPr="00540D02" w:rsidRDefault="0095318C" w:rsidP="00DC1333">
            <w:pPr>
              <w:autoSpaceDE w:val="0"/>
              <w:autoSpaceDN w:val="0"/>
              <w:adjustRightInd w:val="0"/>
              <w:rPr>
                <w:sz w:val="16"/>
                <w:szCs w:val="16"/>
              </w:rPr>
            </w:pPr>
            <w:r w:rsidRPr="00540D02">
              <w:rPr>
                <w:sz w:val="16"/>
                <w:szCs w:val="16"/>
              </w:rPr>
              <w:t>Mecanismos de coordinación aplicados conforme a la decisión de los Estados miembros.</w:t>
            </w:r>
          </w:p>
        </w:tc>
        <w:tc>
          <w:tcPr>
            <w:tcW w:w="1044" w:type="pct"/>
            <w:tcBorders>
              <w:top w:val="nil"/>
              <w:bottom w:val="single" w:sz="4" w:space="0" w:color="auto"/>
            </w:tcBorders>
            <w:shd w:val="clear" w:color="auto" w:fill="FFFFFF"/>
            <w:tcMar>
              <w:top w:w="110" w:type="dxa"/>
            </w:tcMar>
          </w:tcPr>
          <w:p w:rsidR="0095318C" w:rsidRPr="00540D02" w:rsidRDefault="0095318C" w:rsidP="00DC1333">
            <w:pPr>
              <w:ind w:right="33"/>
              <w:rPr>
                <w:sz w:val="16"/>
                <w:szCs w:val="16"/>
                <w:lang w:bidi="th-TH"/>
              </w:rPr>
            </w:pPr>
            <w:r w:rsidRPr="00540D02">
              <w:rPr>
                <w:sz w:val="16"/>
                <w:szCs w:val="16"/>
                <w:lang w:bidi="th-TH"/>
              </w:rPr>
              <w:t>Mecanismos de coordinación aplicados conforme a la decisión de los Estados miembros según consta en los informes del Director General sobre la aplicación de la Agenda para el Desarrollo (CDIP/15/2 y CDIP/17/2).</w:t>
            </w:r>
          </w:p>
        </w:tc>
        <w:tc>
          <w:tcPr>
            <w:tcW w:w="667" w:type="pct"/>
            <w:gridSpan w:val="2"/>
            <w:tcBorders>
              <w:top w:val="nil"/>
              <w:bottom w:val="single" w:sz="4" w:space="0" w:color="auto"/>
              <w:right w:val="single" w:sz="4" w:space="0" w:color="auto"/>
            </w:tcBorders>
            <w:shd w:val="clear" w:color="auto" w:fill="auto"/>
            <w:tcMar>
              <w:top w:w="110" w:type="dxa"/>
            </w:tcMar>
          </w:tcPr>
          <w:p w:rsidR="0095318C" w:rsidRPr="00540D02" w:rsidRDefault="0095318C" w:rsidP="00DC1333">
            <w:pPr>
              <w:keepNext/>
              <w:keepLines/>
              <w:ind w:left="-107"/>
              <w:jc w:val="center"/>
              <w:rPr>
                <w:bCs/>
                <w:color w:val="00B050"/>
                <w:sz w:val="16"/>
                <w:szCs w:val="16"/>
              </w:rPr>
            </w:pPr>
            <w:r w:rsidRPr="00540D02">
              <w:rPr>
                <w:b/>
                <w:bCs/>
                <w:color w:val="00B050"/>
                <w:sz w:val="16"/>
                <w:szCs w:val="16"/>
              </w:rPr>
              <w:t>Plenamente logrado</w:t>
            </w:r>
          </w:p>
        </w:tc>
      </w:tr>
      <w:tr w:rsidR="0095318C" w:rsidRPr="00540D02" w:rsidTr="00DC1333">
        <w:trPr>
          <w:cantSplit/>
        </w:trPr>
        <w:tc>
          <w:tcPr>
            <w:tcW w:w="1124" w:type="pct"/>
            <w:tcBorders>
              <w:top w:val="single" w:sz="4" w:space="0" w:color="auto"/>
              <w:left w:val="single" w:sz="4" w:space="0" w:color="auto"/>
              <w:bottom w:val="nil"/>
            </w:tcBorders>
            <w:shd w:val="clear" w:color="auto" w:fill="auto"/>
          </w:tcPr>
          <w:p w:rsidR="0095318C" w:rsidRPr="00540D02" w:rsidRDefault="0095318C" w:rsidP="00DC1333">
            <w:pPr>
              <w:rPr>
                <w:sz w:val="16"/>
                <w:szCs w:val="16"/>
                <w:lang w:bidi="th-TH"/>
              </w:rPr>
            </w:pPr>
            <w:r w:rsidRPr="00540D02">
              <w:rPr>
                <w:sz w:val="16"/>
                <w:szCs w:val="16"/>
                <w:lang w:bidi="th-TH"/>
              </w:rPr>
              <w:lastRenderedPageBreak/>
              <w:t>Número de programas que reflejan que las recomendaciones de la A.D. han sido incorporadas en la labor corriente de la OMPI.</w:t>
            </w:r>
          </w:p>
        </w:tc>
        <w:tc>
          <w:tcPr>
            <w:tcW w:w="1120" w:type="pct"/>
            <w:tcBorders>
              <w:top w:val="single" w:sz="4" w:space="0" w:color="auto"/>
              <w:bottom w:val="nil"/>
            </w:tcBorders>
            <w:shd w:val="clear" w:color="auto" w:fill="auto"/>
          </w:tcPr>
          <w:p w:rsidR="0095318C" w:rsidRPr="00540D02" w:rsidRDefault="0095318C" w:rsidP="00DC1333">
            <w:pPr>
              <w:rPr>
                <w:color w:val="002060"/>
                <w:sz w:val="16"/>
                <w:szCs w:val="16"/>
                <w:lang w:bidi="th-TH"/>
              </w:rPr>
            </w:pPr>
            <w:r w:rsidRPr="00540D02">
              <w:rPr>
                <w:i/>
                <w:iCs/>
                <w:color w:val="002060"/>
                <w:sz w:val="16"/>
                <w:szCs w:val="16"/>
              </w:rPr>
              <w:t>Referencia actualizada a fines de 2013</w:t>
            </w:r>
            <w:r w:rsidRPr="00540D02">
              <w:rPr>
                <w:i/>
                <w:color w:val="002060"/>
                <w:sz w:val="16"/>
                <w:szCs w:val="16"/>
              </w:rPr>
              <w:t xml:space="preserve">:  </w:t>
            </w:r>
            <w:r w:rsidRPr="00540D02">
              <w:rPr>
                <w:color w:val="002060"/>
                <w:sz w:val="16"/>
                <w:szCs w:val="16"/>
                <w:lang w:bidi="th-TH"/>
              </w:rPr>
              <w:t>23 programas incorporan actividades relacionadas con la A.D. (total o parcialmente)</w:t>
            </w:r>
          </w:p>
          <w:p w:rsidR="0095318C" w:rsidRPr="00540D02" w:rsidRDefault="0095318C" w:rsidP="00DC1333">
            <w:pPr>
              <w:rPr>
                <w:i/>
                <w:color w:val="002060"/>
                <w:sz w:val="16"/>
                <w:szCs w:val="16"/>
              </w:rPr>
            </w:pPr>
          </w:p>
          <w:p w:rsidR="0095318C" w:rsidRPr="00540D02" w:rsidRDefault="0095318C" w:rsidP="00DC1333">
            <w:pPr>
              <w:rPr>
                <w:i/>
                <w:iCs/>
                <w:sz w:val="16"/>
                <w:szCs w:val="16"/>
              </w:rPr>
            </w:pPr>
            <w:r w:rsidRPr="00540D02">
              <w:rPr>
                <w:i/>
                <w:iCs/>
                <w:sz w:val="16"/>
                <w:szCs w:val="16"/>
              </w:rPr>
              <w:t>Referencia original en el</w:t>
            </w:r>
            <w:r w:rsidRPr="00540D02">
              <w:rPr>
                <w:i/>
                <w:iCs/>
                <w:sz w:val="16"/>
                <w:szCs w:val="16"/>
              </w:rPr>
              <w:br/>
              <w:t>presupuesto de 2014/15</w:t>
            </w:r>
            <w:r w:rsidRPr="00540D02">
              <w:rPr>
                <w:i/>
                <w:sz w:val="16"/>
                <w:szCs w:val="16"/>
              </w:rPr>
              <w:t>:</w:t>
            </w:r>
            <w:r w:rsidRPr="00540D02">
              <w:rPr>
                <w:sz w:val="16"/>
                <w:szCs w:val="16"/>
              </w:rPr>
              <w:t xml:space="preserve">  por determinar</w:t>
            </w:r>
          </w:p>
          <w:p w:rsidR="0095318C" w:rsidRPr="00540D02" w:rsidRDefault="0095318C" w:rsidP="00DC1333">
            <w:pPr>
              <w:rPr>
                <w:sz w:val="16"/>
                <w:szCs w:val="16"/>
                <w:lang w:bidi="th-TH"/>
              </w:rPr>
            </w:pPr>
          </w:p>
        </w:tc>
        <w:tc>
          <w:tcPr>
            <w:tcW w:w="1045" w:type="pct"/>
            <w:tcBorders>
              <w:top w:val="single" w:sz="4" w:space="0" w:color="auto"/>
              <w:bottom w:val="nil"/>
            </w:tcBorders>
            <w:shd w:val="clear" w:color="auto" w:fill="auto"/>
            <w:tcMar>
              <w:top w:w="110" w:type="dxa"/>
            </w:tcMar>
          </w:tcPr>
          <w:p w:rsidR="0095318C" w:rsidRPr="00540D02" w:rsidRDefault="0095318C" w:rsidP="00DC1333">
            <w:pPr>
              <w:autoSpaceDE w:val="0"/>
              <w:autoSpaceDN w:val="0"/>
              <w:adjustRightInd w:val="0"/>
              <w:rPr>
                <w:sz w:val="16"/>
                <w:szCs w:val="16"/>
              </w:rPr>
            </w:pPr>
            <w:r w:rsidRPr="00540D02">
              <w:rPr>
                <w:sz w:val="16"/>
                <w:szCs w:val="16"/>
              </w:rPr>
              <w:t>20</w:t>
            </w:r>
          </w:p>
        </w:tc>
        <w:tc>
          <w:tcPr>
            <w:tcW w:w="1044" w:type="pct"/>
            <w:tcBorders>
              <w:top w:val="single" w:sz="4" w:space="0" w:color="auto"/>
              <w:bottom w:val="nil"/>
            </w:tcBorders>
            <w:shd w:val="clear" w:color="auto" w:fill="FFFFFF"/>
            <w:tcMar>
              <w:top w:w="110" w:type="dxa"/>
            </w:tcMar>
          </w:tcPr>
          <w:p w:rsidR="0095318C" w:rsidRPr="00540D02" w:rsidRDefault="0095318C" w:rsidP="00DC1333">
            <w:pPr>
              <w:ind w:right="33"/>
              <w:rPr>
                <w:sz w:val="16"/>
                <w:szCs w:val="16"/>
              </w:rPr>
            </w:pPr>
            <w:r w:rsidRPr="00540D02">
              <w:rPr>
                <w:sz w:val="16"/>
                <w:szCs w:val="16"/>
              </w:rPr>
              <w:t xml:space="preserve">23 programas del </w:t>
            </w:r>
            <w:r w:rsidRPr="00540D02">
              <w:rPr>
                <w:iCs/>
                <w:sz w:val="16"/>
                <w:szCs w:val="16"/>
              </w:rPr>
              <w:t>presupuesto de 2014/15</w:t>
            </w:r>
            <w:r w:rsidRPr="00540D02">
              <w:rPr>
                <w:sz w:val="16"/>
                <w:szCs w:val="16"/>
              </w:rPr>
              <w:t xml:space="preserve"> reflejan la incorporación de actividades de la A.D. a la labor de la OMPI</w:t>
            </w:r>
          </w:p>
        </w:tc>
        <w:tc>
          <w:tcPr>
            <w:tcW w:w="667" w:type="pct"/>
            <w:gridSpan w:val="2"/>
            <w:tcBorders>
              <w:top w:val="single" w:sz="4" w:space="0" w:color="auto"/>
              <w:bottom w:val="nil"/>
              <w:right w:val="single" w:sz="4" w:space="0" w:color="auto"/>
            </w:tcBorders>
            <w:shd w:val="clear" w:color="auto" w:fill="auto"/>
            <w:tcMar>
              <w:top w:w="110" w:type="dxa"/>
            </w:tcMar>
          </w:tcPr>
          <w:p w:rsidR="0095318C" w:rsidRPr="00540D02" w:rsidRDefault="0095318C" w:rsidP="00DC1333">
            <w:pPr>
              <w:keepNext/>
              <w:keepLines/>
              <w:ind w:left="-107"/>
              <w:jc w:val="center"/>
              <w:rPr>
                <w:bCs/>
                <w:color w:val="00B050"/>
                <w:sz w:val="16"/>
                <w:szCs w:val="16"/>
              </w:rPr>
            </w:pPr>
            <w:r w:rsidRPr="00540D02">
              <w:rPr>
                <w:b/>
                <w:bCs/>
                <w:color w:val="00B050"/>
                <w:sz w:val="16"/>
                <w:szCs w:val="16"/>
              </w:rPr>
              <w:t>Plenamente logrado</w:t>
            </w:r>
          </w:p>
        </w:tc>
      </w:tr>
      <w:tr w:rsidR="0095318C" w:rsidRPr="00540D02" w:rsidTr="00DC1333">
        <w:trPr>
          <w:cantSplit/>
        </w:trPr>
        <w:tc>
          <w:tcPr>
            <w:tcW w:w="1124" w:type="pct"/>
            <w:tcBorders>
              <w:top w:val="nil"/>
              <w:left w:val="single" w:sz="4" w:space="0" w:color="auto"/>
              <w:bottom w:val="nil"/>
            </w:tcBorders>
            <w:shd w:val="clear" w:color="auto" w:fill="auto"/>
          </w:tcPr>
          <w:p w:rsidR="0095318C" w:rsidRPr="00540D02" w:rsidRDefault="0095318C" w:rsidP="00DC1333">
            <w:pPr>
              <w:keepNext/>
              <w:keepLines/>
              <w:rPr>
                <w:sz w:val="16"/>
                <w:szCs w:val="16"/>
                <w:lang w:bidi="th-TH"/>
              </w:rPr>
            </w:pPr>
            <w:r w:rsidRPr="00540D02">
              <w:rPr>
                <w:sz w:val="16"/>
                <w:szCs w:val="16"/>
                <w:lang w:bidi="th-TH"/>
              </w:rPr>
              <w:t>Número de proyectos de la A.D. y forma en la que han sido incorporados a la labor corriente de la OMPI (fijación de normas, asistencia técnica y prestación de servicios)</w:t>
            </w:r>
          </w:p>
        </w:tc>
        <w:tc>
          <w:tcPr>
            <w:tcW w:w="1120" w:type="pct"/>
            <w:tcBorders>
              <w:top w:val="nil"/>
              <w:bottom w:val="nil"/>
            </w:tcBorders>
            <w:shd w:val="clear" w:color="auto" w:fill="auto"/>
          </w:tcPr>
          <w:p w:rsidR="0095318C" w:rsidRPr="00540D02" w:rsidRDefault="0095318C" w:rsidP="00DC1333">
            <w:pPr>
              <w:rPr>
                <w:color w:val="002060"/>
                <w:sz w:val="16"/>
                <w:szCs w:val="16"/>
                <w:lang w:bidi="th-TH"/>
              </w:rPr>
            </w:pPr>
            <w:r w:rsidRPr="00540D02">
              <w:rPr>
                <w:i/>
                <w:iCs/>
                <w:color w:val="002060"/>
                <w:sz w:val="16"/>
                <w:szCs w:val="16"/>
              </w:rPr>
              <w:t>Referencia actualizada a fines de 2013</w:t>
            </w:r>
            <w:r w:rsidRPr="00540D02">
              <w:rPr>
                <w:i/>
                <w:color w:val="002060"/>
                <w:sz w:val="16"/>
                <w:szCs w:val="16"/>
              </w:rPr>
              <w:t xml:space="preserve">:  </w:t>
            </w:r>
            <w:r w:rsidRPr="00540D02">
              <w:rPr>
                <w:color w:val="002060"/>
                <w:sz w:val="16"/>
                <w:szCs w:val="16"/>
                <w:lang w:bidi="th-TH"/>
              </w:rPr>
              <w:t>6 proyectos de la A.D. han sido incorporados a la labor corriente de la OMPI</w:t>
            </w:r>
          </w:p>
          <w:p w:rsidR="0095318C" w:rsidRPr="00540D02" w:rsidRDefault="0095318C" w:rsidP="00DC1333">
            <w:pPr>
              <w:rPr>
                <w:i/>
                <w:color w:val="002060"/>
                <w:sz w:val="16"/>
                <w:szCs w:val="16"/>
              </w:rPr>
            </w:pPr>
          </w:p>
          <w:p w:rsidR="0095318C" w:rsidRPr="00540D02" w:rsidRDefault="0095318C" w:rsidP="00DC1333">
            <w:pPr>
              <w:rPr>
                <w:i/>
                <w:color w:val="002060"/>
                <w:sz w:val="16"/>
                <w:szCs w:val="16"/>
              </w:rPr>
            </w:pPr>
            <w:r w:rsidRPr="00540D02">
              <w:rPr>
                <w:i/>
                <w:iCs/>
                <w:sz w:val="16"/>
                <w:szCs w:val="16"/>
              </w:rPr>
              <w:t>Referencia original en el</w:t>
            </w:r>
            <w:r w:rsidRPr="00540D02">
              <w:rPr>
                <w:i/>
                <w:iCs/>
                <w:sz w:val="16"/>
                <w:szCs w:val="16"/>
              </w:rPr>
              <w:br/>
              <w:t>presupuesto de 2014/15</w:t>
            </w:r>
            <w:r w:rsidRPr="00540D02">
              <w:rPr>
                <w:i/>
                <w:sz w:val="16"/>
                <w:szCs w:val="16"/>
              </w:rPr>
              <w:t>:</w:t>
            </w:r>
            <w:r w:rsidRPr="00540D02">
              <w:rPr>
                <w:sz w:val="16"/>
                <w:szCs w:val="16"/>
              </w:rPr>
              <w:t xml:space="preserve">  por determinar</w:t>
            </w:r>
          </w:p>
        </w:tc>
        <w:tc>
          <w:tcPr>
            <w:tcW w:w="1045" w:type="pct"/>
            <w:tcBorders>
              <w:top w:val="nil"/>
              <w:bottom w:val="nil"/>
            </w:tcBorders>
            <w:shd w:val="clear" w:color="auto" w:fill="auto"/>
            <w:tcMar>
              <w:top w:w="110" w:type="dxa"/>
            </w:tcMar>
          </w:tcPr>
          <w:p w:rsidR="0095318C" w:rsidRPr="00540D02" w:rsidRDefault="0095318C" w:rsidP="00DC1333">
            <w:pPr>
              <w:autoSpaceDE w:val="0"/>
              <w:autoSpaceDN w:val="0"/>
              <w:adjustRightInd w:val="0"/>
              <w:rPr>
                <w:sz w:val="16"/>
                <w:szCs w:val="16"/>
              </w:rPr>
            </w:pPr>
            <w:r w:rsidRPr="00540D02">
              <w:rPr>
                <w:sz w:val="16"/>
                <w:szCs w:val="16"/>
              </w:rPr>
              <w:t>12 en total</w:t>
            </w:r>
          </w:p>
        </w:tc>
        <w:tc>
          <w:tcPr>
            <w:tcW w:w="1044" w:type="pct"/>
            <w:tcBorders>
              <w:top w:val="nil"/>
              <w:bottom w:val="nil"/>
            </w:tcBorders>
            <w:shd w:val="clear" w:color="auto" w:fill="FFFFFF"/>
            <w:tcMar>
              <w:top w:w="110" w:type="dxa"/>
            </w:tcMar>
          </w:tcPr>
          <w:p w:rsidR="0095318C" w:rsidRPr="00540D02" w:rsidRDefault="0095318C" w:rsidP="00DC1333">
            <w:pPr>
              <w:rPr>
                <w:sz w:val="16"/>
                <w:szCs w:val="16"/>
              </w:rPr>
            </w:pPr>
            <w:r w:rsidRPr="00540D02">
              <w:rPr>
                <w:sz w:val="16"/>
                <w:szCs w:val="16"/>
              </w:rPr>
              <w:t>4 nuevos proyectos de la A.D. fueron incorporados a la labor en 2014/15 (10 en total):</w:t>
            </w:r>
          </w:p>
          <w:p w:rsidR="0095318C" w:rsidRPr="00540D02" w:rsidRDefault="0095318C" w:rsidP="0095318C">
            <w:pPr>
              <w:pStyle w:val="ListParagraph"/>
              <w:numPr>
                <w:ilvl w:val="0"/>
                <w:numId w:val="50"/>
              </w:numPr>
              <w:ind w:left="172" w:right="-107" w:hanging="172"/>
              <w:rPr>
                <w:rFonts w:cs="Arial"/>
                <w:sz w:val="16"/>
                <w:szCs w:val="16"/>
                <w:lang w:val="es-ES"/>
              </w:rPr>
            </w:pPr>
            <w:r w:rsidRPr="00540D02">
              <w:rPr>
                <w:rFonts w:cs="Arial"/>
                <w:sz w:val="16"/>
                <w:szCs w:val="16"/>
                <w:lang w:val="es-ES"/>
              </w:rPr>
              <w:t>Creación de academias nacionales, programa 11  (asistencia técnica)</w:t>
            </w:r>
          </w:p>
          <w:p w:rsidR="0095318C" w:rsidRPr="00540D02" w:rsidRDefault="0095318C" w:rsidP="0095318C">
            <w:pPr>
              <w:pStyle w:val="ListParagraph"/>
              <w:numPr>
                <w:ilvl w:val="0"/>
                <w:numId w:val="50"/>
              </w:numPr>
              <w:ind w:left="172" w:right="-107" w:hanging="172"/>
              <w:rPr>
                <w:rFonts w:cs="Arial"/>
                <w:sz w:val="16"/>
                <w:szCs w:val="16"/>
                <w:lang w:val="es-ES"/>
              </w:rPr>
            </w:pPr>
            <w:r w:rsidRPr="00540D02">
              <w:rPr>
                <w:rFonts w:cs="Arial"/>
                <w:sz w:val="16"/>
                <w:szCs w:val="16"/>
                <w:lang w:val="es-ES"/>
              </w:rPr>
              <w:t>Acceso a bases de datos especializadas y mantenimiento, programa 14  (asistencia técnica)</w:t>
            </w:r>
          </w:p>
          <w:p w:rsidR="0095318C" w:rsidRPr="00540D02" w:rsidRDefault="0095318C" w:rsidP="0095318C">
            <w:pPr>
              <w:pStyle w:val="ListParagraph"/>
              <w:numPr>
                <w:ilvl w:val="0"/>
                <w:numId w:val="50"/>
              </w:numPr>
              <w:ind w:left="172" w:right="-107" w:hanging="172"/>
              <w:rPr>
                <w:rFonts w:cs="Arial"/>
                <w:sz w:val="16"/>
                <w:szCs w:val="16"/>
                <w:lang w:val="es-ES"/>
              </w:rPr>
            </w:pPr>
            <w:r w:rsidRPr="00540D02">
              <w:rPr>
                <w:rFonts w:cs="Arial"/>
                <w:sz w:val="16"/>
                <w:szCs w:val="16"/>
                <w:lang w:val="es-ES"/>
              </w:rPr>
              <w:t>Creación de instrumentos de acceso a la información sobre patentes, programa 14 (acceso al conocimiento)</w:t>
            </w:r>
          </w:p>
          <w:p w:rsidR="0095318C" w:rsidRPr="00540D02" w:rsidRDefault="0095318C" w:rsidP="0095318C">
            <w:pPr>
              <w:pStyle w:val="ListParagraph"/>
              <w:numPr>
                <w:ilvl w:val="0"/>
                <w:numId w:val="50"/>
              </w:numPr>
              <w:ind w:left="172" w:right="-107" w:hanging="172"/>
              <w:rPr>
                <w:rFonts w:cs="Arial"/>
                <w:sz w:val="16"/>
                <w:szCs w:val="16"/>
                <w:lang w:val="es-ES"/>
              </w:rPr>
            </w:pPr>
            <w:r w:rsidRPr="00540D02">
              <w:rPr>
                <w:rFonts w:cs="Arial"/>
                <w:sz w:val="16"/>
                <w:szCs w:val="16"/>
                <w:lang w:val="es-ES"/>
              </w:rPr>
              <w:t>La P.I. y el fomento de las marcas de producto, programa 9  (asistencia técnica y fortalecimiento de capacidades)</w:t>
            </w:r>
          </w:p>
        </w:tc>
        <w:tc>
          <w:tcPr>
            <w:tcW w:w="667" w:type="pct"/>
            <w:gridSpan w:val="2"/>
            <w:tcBorders>
              <w:top w:val="nil"/>
              <w:bottom w:val="nil"/>
              <w:right w:val="single" w:sz="4" w:space="0" w:color="auto"/>
            </w:tcBorders>
            <w:shd w:val="clear" w:color="auto" w:fill="auto"/>
            <w:tcMar>
              <w:top w:w="110" w:type="dxa"/>
            </w:tcMar>
          </w:tcPr>
          <w:p w:rsidR="0095318C" w:rsidRPr="00540D02" w:rsidRDefault="0095318C" w:rsidP="00DC1333">
            <w:pPr>
              <w:keepNext/>
              <w:keepLines/>
              <w:jc w:val="center"/>
              <w:rPr>
                <w:bCs/>
                <w:color w:val="00B050"/>
                <w:sz w:val="16"/>
                <w:szCs w:val="16"/>
              </w:rPr>
            </w:pPr>
            <w:r w:rsidRPr="00540D02">
              <w:rPr>
                <w:b/>
                <w:bCs/>
                <w:color w:val="00B050"/>
                <w:sz w:val="16"/>
                <w:szCs w:val="16"/>
              </w:rPr>
              <w:t>Plenamente logrado</w:t>
            </w:r>
          </w:p>
        </w:tc>
      </w:tr>
      <w:tr w:rsidR="0095318C" w:rsidRPr="00540D02" w:rsidTr="00DC1333">
        <w:trPr>
          <w:cantSplit/>
        </w:trPr>
        <w:tc>
          <w:tcPr>
            <w:tcW w:w="1124" w:type="pct"/>
            <w:tcBorders>
              <w:top w:val="nil"/>
              <w:left w:val="single" w:sz="4" w:space="0" w:color="auto"/>
              <w:bottom w:val="nil"/>
            </w:tcBorders>
            <w:shd w:val="clear" w:color="auto" w:fill="auto"/>
          </w:tcPr>
          <w:p w:rsidR="0095318C" w:rsidRPr="00540D02" w:rsidRDefault="0095318C" w:rsidP="00DC1333">
            <w:pPr>
              <w:rPr>
                <w:sz w:val="16"/>
                <w:szCs w:val="16"/>
                <w:lang w:bidi="th-TH"/>
              </w:rPr>
            </w:pPr>
            <w:r w:rsidRPr="00540D02">
              <w:rPr>
                <w:sz w:val="16"/>
                <w:szCs w:val="16"/>
                <w:lang w:bidi="th-TH"/>
              </w:rPr>
              <w:t>Sistema eficaz instalado para la planificación, el seguimiento y la evaluación de la aplicación de las recomendaciones de la A.D.</w:t>
            </w:r>
          </w:p>
        </w:tc>
        <w:tc>
          <w:tcPr>
            <w:tcW w:w="1120" w:type="pct"/>
            <w:tcBorders>
              <w:top w:val="nil"/>
              <w:bottom w:val="nil"/>
            </w:tcBorders>
            <w:shd w:val="clear" w:color="auto" w:fill="auto"/>
          </w:tcPr>
          <w:p w:rsidR="0095318C" w:rsidRPr="00540D02" w:rsidRDefault="0095318C" w:rsidP="00DC1333">
            <w:pPr>
              <w:rPr>
                <w:color w:val="002060"/>
                <w:sz w:val="16"/>
                <w:szCs w:val="16"/>
              </w:rPr>
            </w:pPr>
            <w:r w:rsidRPr="00540D02">
              <w:rPr>
                <w:i/>
                <w:iCs/>
                <w:color w:val="002060"/>
                <w:sz w:val="16"/>
                <w:szCs w:val="16"/>
              </w:rPr>
              <w:t>Referencia actualizada a fines de 2013</w:t>
            </w:r>
            <w:r w:rsidRPr="00540D02">
              <w:rPr>
                <w:i/>
                <w:color w:val="002060"/>
                <w:sz w:val="16"/>
                <w:szCs w:val="16"/>
              </w:rPr>
              <w:t xml:space="preserve">:  </w:t>
            </w:r>
            <w:r w:rsidRPr="00540D02">
              <w:rPr>
                <w:color w:val="002060"/>
                <w:sz w:val="16"/>
                <w:szCs w:val="16"/>
              </w:rPr>
              <w:t>Sistema centralizado y eficaz para la planificación, el seguimiento y la evaluación de la aplicación de las recomendaciones de la A.D.</w:t>
            </w:r>
          </w:p>
          <w:p w:rsidR="0095318C" w:rsidRPr="00540D02" w:rsidRDefault="0095318C" w:rsidP="00DC1333">
            <w:pPr>
              <w:rPr>
                <w:i/>
                <w:color w:val="002060"/>
                <w:sz w:val="16"/>
                <w:szCs w:val="16"/>
              </w:rPr>
            </w:pPr>
          </w:p>
          <w:p w:rsidR="0095318C" w:rsidRPr="00540D02" w:rsidRDefault="0095318C" w:rsidP="00DC1333">
            <w:pPr>
              <w:rPr>
                <w:sz w:val="16"/>
                <w:szCs w:val="16"/>
              </w:rPr>
            </w:pPr>
            <w:r w:rsidRPr="00540D02">
              <w:rPr>
                <w:i/>
                <w:iCs/>
                <w:sz w:val="16"/>
                <w:szCs w:val="16"/>
              </w:rPr>
              <w:t>Referencia original en el presupuesto de 2014/15</w:t>
            </w:r>
            <w:r w:rsidRPr="00540D02">
              <w:rPr>
                <w:i/>
                <w:sz w:val="16"/>
                <w:szCs w:val="16"/>
              </w:rPr>
              <w:t>:</w:t>
            </w:r>
            <w:r w:rsidRPr="00540D02">
              <w:rPr>
                <w:sz w:val="16"/>
                <w:szCs w:val="16"/>
              </w:rPr>
              <w:t xml:space="preserve">  por determinar</w:t>
            </w:r>
          </w:p>
          <w:p w:rsidR="0095318C" w:rsidRPr="00540D02" w:rsidRDefault="0095318C" w:rsidP="00DC1333">
            <w:pPr>
              <w:rPr>
                <w:i/>
                <w:color w:val="002060"/>
                <w:sz w:val="16"/>
                <w:szCs w:val="16"/>
              </w:rPr>
            </w:pPr>
          </w:p>
        </w:tc>
        <w:tc>
          <w:tcPr>
            <w:tcW w:w="1045" w:type="pct"/>
            <w:tcBorders>
              <w:top w:val="nil"/>
              <w:bottom w:val="nil"/>
            </w:tcBorders>
            <w:shd w:val="clear" w:color="auto" w:fill="auto"/>
            <w:tcMar>
              <w:top w:w="110" w:type="dxa"/>
            </w:tcMar>
          </w:tcPr>
          <w:p w:rsidR="0095318C" w:rsidRPr="00540D02" w:rsidRDefault="0095318C" w:rsidP="00DC1333">
            <w:pPr>
              <w:autoSpaceDE w:val="0"/>
              <w:autoSpaceDN w:val="0"/>
              <w:adjustRightInd w:val="0"/>
              <w:rPr>
                <w:sz w:val="16"/>
                <w:szCs w:val="16"/>
              </w:rPr>
            </w:pPr>
            <w:r w:rsidRPr="00540D02">
              <w:rPr>
                <w:sz w:val="16"/>
                <w:szCs w:val="16"/>
              </w:rPr>
              <w:t>Todos los programas disponen de un sistema eficaz de planificación, seguimiento y evaluación de la aplicación de las recomendaciones de la A.D.</w:t>
            </w:r>
          </w:p>
        </w:tc>
        <w:tc>
          <w:tcPr>
            <w:tcW w:w="1044" w:type="pct"/>
            <w:tcBorders>
              <w:top w:val="nil"/>
              <w:bottom w:val="nil"/>
            </w:tcBorders>
            <w:shd w:val="clear" w:color="auto" w:fill="FFFFFF"/>
            <w:tcMar>
              <w:top w:w="110" w:type="dxa"/>
            </w:tcMar>
          </w:tcPr>
          <w:p w:rsidR="0095318C" w:rsidRPr="00540D02" w:rsidRDefault="0095318C" w:rsidP="00DC1333">
            <w:pPr>
              <w:rPr>
                <w:sz w:val="16"/>
                <w:szCs w:val="16"/>
              </w:rPr>
            </w:pPr>
            <w:r w:rsidRPr="00540D02">
              <w:rPr>
                <w:sz w:val="16"/>
                <w:szCs w:val="16"/>
              </w:rPr>
              <w:t>Todos los programas pertinentes disponen de un sistema eficaz para la planificación, el seguimiento y la evaluación de la aplicación de las recomendaciones de la A.D.</w:t>
            </w:r>
          </w:p>
        </w:tc>
        <w:tc>
          <w:tcPr>
            <w:tcW w:w="667" w:type="pct"/>
            <w:gridSpan w:val="2"/>
            <w:tcBorders>
              <w:top w:val="nil"/>
              <w:bottom w:val="nil"/>
              <w:right w:val="single" w:sz="4" w:space="0" w:color="auto"/>
            </w:tcBorders>
            <w:shd w:val="clear" w:color="auto" w:fill="auto"/>
            <w:tcMar>
              <w:top w:w="110" w:type="dxa"/>
            </w:tcMar>
          </w:tcPr>
          <w:p w:rsidR="0095318C" w:rsidRPr="00540D02" w:rsidRDefault="0095318C" w:rsidP="00DC1333">
            <w:pPr>
              <w:keepNext/>
              <w:keepLines/>
              <w:ind w:left="33"/>
              <w:jc w:val="center"/>
              <w:rPr>
                <w:bCs/>
                <w:color w:val="00B050"/>
                <w:sz w:val="16"/>
                <w:szCs w:val="16"/>
              </w:rPr>
            </w:pPr>
            <w:r w:rsidRPr="00540D02">
              <w:rPr>
                <w:b/>
                <w:bCs/>
                <w:color w:val="00B050"/>
                <w:sz w:val="16"/>
                <w:szCs w:val="16"/>
              </w:rPr>
              <w:t>Plenamente logrado</w:t>
            </w:r>
          </w:p>
        </w:tc>
      </w:tr>
      <w:tr w:rsidR="0095318C" w:rsidRPr="00540D02" w:rsidTr="00DC1333">
        <w:trPr>
          <w:cantSplit/>
        </w:trPr>
        <w:tc>
          <w:tcPr>
            <w:tcW w:w="1124" w:type="pct"/>
            <w:tcBorders>
              <w:top w:val="nil"/>
              <w:left w:val="single" w:sz="4" w:space="0" w:color="auto"/>
              <w:bottom w:val="single" w:sz="4" w:space="0" w:color="auto"/>
            </w:tcBorders>
            <w:shd w:val="clear" w:color="auto" w:fill="auto"/>
          </w:tcPr>
          <w:p w:rsidR="0095318C" w:rsidRPr="00540D02" w:rsidRDefault="0095318C" w:rsidP="00DC1333">
            <w:pPr>
              <w:rPr>
                <w:sz w:val="16"/>
                <w:szCs w:val="16"/>
                <w:highlight w:val="yellow"/>
                <w:lang w:bidi="th-TH"/>
              </w:rPr>
            </w:pPr>
            <w:r w:rsidRPr="00540D02">
              <w:rPr>
                <w:sz w:val="16"/>
                <w:szCs w:val="16"/>
                <w:lang w:bidi="th-TH"/>
              </w:rPr>
              <w:t>Porcentaje de proyectos de la A.D. que han sido evaluados en forma independiente.</w:t>
            </w:r>
          </w:p>
        </w:tc>
        <w:tc>
          <w:tcPr>
            <w:tcW w:w="1120" w:type="pct"/>
            <w:tcBorders>
              <w:top w:val="nil"/>
              <w:bottom w:val="single" w:sz="4" w:space="0" w:color="auto"/>
            </w:tcBorders>
            <w:shd w:val="clear" w:color="auto" w:fill="auto"/>
          </w:tcPr>
          <w:p w:rsidR="0095318C" w:rsidRPr="00540D02" w:rsidRDefault="0095318C" w:rsidP="00DC1333">
            <w:pPr>
              <w:rPr>
                <w:color w:val="002060"/>
                <w:sz w:val="16"/>
                <w:szCs w:val="16"/>
                <w:lang w:bidi="th-TH"/>
              </w:rPr>
            </w:pPr>
            <w:r w:rsidRPr="00540D02">
              <w:rPr>
                <w:i/>
                <w:iCs/>
                <w:color w:val="002060"/>
                <w:sz w:val="16"/>
                <w:szCs w:val="16"/>
              </w:rPr>
              <w:t>Referencia actualizada a fines de 2013</w:t>
            </w:r>
            <w:r w:rsidRPr="00540D02">
              <w:rPr>
                <w:i/>
                <w:color w:val="002060"/>
                <w:sz w:val="16"/>
                <w:szCs w:val="16"/>
              </w:rPr>
              <w:t>:</w:t>
            </w:r>
            <w:r w:rsidRPr="00540D02">
              <w:rPr>
                <w:i/>
                <w:sz w:val="16"/>
                <w:szCs w:val="16"/>
              </w:rPr>
              <w:t xml:space="preserve">  </w:t>
            </w:r>
            <w:r w:rsidRPr="00540D02">
              <w:rPr>
                <w:sz w:val="16"/>
                <w:szCs w:val="16"/>
              </w:rPr>
              <w:t>100%;  el CDIP examinó 14 informes de evaluación</w:t>
            </w:r>
            <w:r w:rsidRPr="00540D02">
              <w:rPr>
                <w:sz w:val="16"/>
                <w:szCs w:val="16"/>
                <w:lang w:bidi="th-TH"/>
              </w:rPr>
              <w:t xml:space="preserve"> (proyectos evaluados durante el bienio 2012/13).</w:t>
            </w:r>
          </w:p>
          <w:p w:rsidR="0095318C" w:rsidRPr="00540D02" w:rsidRDefault="0095318C" w:rsidP="00DC1333">
            <w:pPr>
              <w:rPr>
                <w:i/>
                <w:color w:val="002060"/>
                <w:sz w:val="16"/>
                <w:szCs w:val="16"/>
              </w:rPr>
            </w:pPr>
          </w:p>
          <w:p w:rsidR="0095318C" w:rsidRPr="00540D02" w:rsidRDefault="0095318C" w:rsidP="00DC1333">
            <w:pPr>
              <w:rPr>
                <w:sz w:val="16"/>
                <w:szCs w:val="16"/>
              </w:rPr>
            </w:pPr>
            <w:r w:rsidRPr="00540D02">
              <w:rPr>
                <w:i/>
                <w:iCs/>
                <w:sz w:val="16"/>
                <w:szCs w:val="16"/>
              </w:rPr>
              <w:t>Referencia original en el presupuesto de 2014/15</w:t>
            </w:r>
            <w:r w:rsidRPr="00540D02">
              <w:rPr>
                <w:i/>
                <w:sz w:val="16"/>
                <w:szCs w:val="16"/>
              </w:rPr>
              <w:t>:</w:t>
            </w:r>
            <w:r w:rsidRPr="00540D02">
              <w:rPr>
                <w:sz w:val="16"/>
                <w:szCs w:val="16"/>
              </w:rPr>
              <w:t xml:space="preserve">  100%</w:t>
            </w:r>
            <w:r w:rsidRPr="00540D02">
              <w:rPr>
                <w:sz w:val="16"/>
                <w:szCs w:val="16"/>
              </w:rPr>
              <w:br/>
            </w:r>
          </w:p>
        </w:tc>
        <w:tc>
          <w:tcPr>
            <w:tcW w:w="1045" w:type="pct"/>
            <w:tcBorders>
              <w:top w:val="nil"/>
              <w:bottom w:val="single" w:sz="4" w:space="0" w:color="auto"/>
            </w:tcBorders>
            <w:shd w:val="clear" w:color="auto" w:fill="auto"/>
            <w:tcMar>
              <w:top w:w="110" w:type="dxa"/>
            </w:tcMar>
          </w:tcPr>
          <w:p w:rsidR="0095318C" w:rsidRPr="00540D02" w:rsidRDefault="0095318C" w:rsidP="00DC1333">
            <w:pPr>
              <w:autoSpaceDE w:val="0"/>
              <w:autoSpaceDN w:val="0"/>
              <w:adjustRightInd w:val="0"/>
              <w:rPr>
                <w:sz w:val="16"/>
                <w:szCs w:val="16"/>
              </w:rPr>
            </w:pPr>
            <w:r w:rsidRPr="00540D02">
              <w:rPr>
                <w:sz w:val="16"/>
                <w:szCs w:val="16"/>
              </w:rPr>
              <w:t>100%</w:t>
            </w:r>
          </w:p>
        </w:tc>
        <w:tc>
          <w:tcPr>
            <w:tcW w:w="1044" w:type="pct"/>
            <w:tcBorders>
              <w:top w:val="nil"/>
              <w:bottom w:val="single" w:sz="4" w:space="0" w:color="auto"/>
            </w:tcBorders>
            <w:shd w:val="clear" w:color="auto" w:fill="FFFFFF"/>
            <w:tcMar>
              <w:top w:w="110" w:type="dxa"/>
            </w:tcMar>
          </w:tcPr>
          <w:p w:rsidR="0095318C" w:rsidRPr="00540D02" w:rsidRDefault="0095318C" w:rsidP="00DC1333">
            <w:pPr>
              <w:rPr>
                <w:sz w:val="16"/>
                <w:szCs w:val="16"/>
              </w:rPr>
            </w:pPr>
            <w:r w:rsidRPr="00540D02">
              <w:rPr>
                <w:sz w:val="16"/>
                <w:szCs w:val="16"/>
              </w:rPr>
              <w:t>100%: 11 proyectos terminados fueron evaluados en forma independiente y examinados por el CDIP en 2014/15:</w:t>
            </w:r>
          </w:p>
          <w:p w:rsidR="0095318C" w:rsidRPr="00540D02" w:rsidRDefault="0095318C" w:rsidP="0095318C">
            <w:pPr>
              <w:pStyle w:val="ListParagraph"/>
              <w:numPr>
                <w:ilvl w:val="0"/>
                <w:numId w:val="52"/>
              </w:numPr>
              <w:rPr>
                <w:rFonts w:cs="Arial"/>
                <w:sz w:val="16"/>
                <w:szCs w:val="16"/>
                <w:lang w:val="es-ES"/>
              </w:rPr>
            </w:pPr>
            <w:r w:rsidRPr="00540D02">
              <w:rPr>
                <w:rFonts w:cs="Arial"/>
                <w:sz w:val="16"/>
                <w:szCs w:val="16"/>
                <w:lang w:val="es-ES"/>
              </w:rPr>
              <w:t>8 en 2014</w:t>
            </w:r>
          </w:p>
          <w:p w:rsidR="0095318C" w:rsidRPr="00540D02" w:rsidRDefault="0095318C" w:rsidP="0095318C">
            <w:pPr>
              <w:pStyle w:val="ListParagraph"/>
              <w:numPr>
                <w:ilvl w:val="0"/>
                <w:numId w:val="52"/>
              </w:numPr>
              <w:rPr>
                <w:rFonts w:cs="Arial"/>
                <w:sz w:val="16"/>
                <w:szCs w:val="16"/>
                <w:lang w:val="es-ES"/>
              </w:rPr>
            </w:pPr>
            <w:r w:rsidRPr="00540D02">
              <w:rPr>
                <w:rFonts w:cs="Arial"/>
                <w:sz w:val="16"/>
                <w:szCs w:val="16"/>
                <w:lang w:val="es-ES"/>
              </w:rPr>
              <w:t>3 en 2015</w:t>
            </w:r>
          </w:p>
        </w:tc>
        <w:tc>
          <w:tcPr>
            <w:tcW w:w="667" w:type="pct"/>
            <w:gridSpan w:val="2"/>
            <w:tcBorders>
              <w:top w:val="nil"/>
              <w:bottom w:val="single" w:sz="4" w:space="0" w:color="auto"/>
              <w:right w:val="single" w:sz="4" w:space="0" w:color="auto"/>
            </w:tcBorders>
            <w:shd w:val="clear" w:color="auto" w:fill="auto"/>
            <w:tcMar>
              <w:top w:w="110" w:type="dxa"/>
            </w:tcMar>
          </w:tcPr>
          <w:p w:rsidR="0095318C" w:rsidRPr="00540D02" w:rsidRDefault="0095318C" w:rsidP="00DC1333">
            <w:pPr>
              <w:keepNext/>
              <w:keepLines/>
              <w:ind w:left="33"/>
              <w:jc w:val="center"/>
              <w:rPr>
                <w:b/>
                <w:bCs/>
                <w:color w:val="00B050"/>
                <w:sz w:val="16"/>
                <w:szCs w:val="16"/>
              </w:rPr>
            </w:pPr>
            <w:r w:rsidRPr="00540D02">
              <w:rPr>
                <w:b/>
                <w:bCs/>
                <w:color w:val="00B050"/>
                <w:sz w:val="16"/>
                <w:szCs w:val="16"/>
              </w:rPr>
              <w:t>Plenamente logrado</w:t>
            </w:r>
          </w:p>
        </w:tc>
      </w:tr>
      <w:tr w:rsidR="0095318C" w:rsidRPr="00540D02" w:rsidTr="00DC1333">
        <w:trPr>
          <w:cantSplit/>
        </w:trPr>
        <w:tc>
          <w:tcPr>
            <w:tcW w:w="5000" w:type="pct"/>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95318C" w:rsidRPr="00540D02" w:rsidRDefault="0095318C" w:rsidP="00DC1333">
            <w:pPr>
              <w:keepNext/>
              <w:spacing w:before="120" w:after="120"/>
              <w:ind w:left="2019" w:hanging="2019"/>
              <w:jc w:val="both"/>
              <w:rPr>
                <w:b/>
                <w:bCs/>
                <w:sz w:val="16"/>
                <w:szCs w:val="16"/>
              </w:rPr>
            </w:pPr>
            <w:r w:rsidRPr="00540D02">
              <w:rPr>
                <w:b/>
                <w:bCs/>
                <w:sz w:val="16"/>
                <w:szCs w:val="16"/>
              </w:rPr>
              <w:lastRenderedPageBreak/>
              <w:t>Resultado previsto:</w:t>
            </w:r>
            <w:r w:rsidRPr="00540D02">
              <w:rPr>
                <w:b/>
                <w:bCs/>
                <w:sz w:val="16"/>
                <w:szCs w:val="16"/>
              </w:rPr>
              <w:tab/>
            </w:r>
            <w:r w:rsidRPr="00540D02">
              <w:rPr>
                <w:sz w:val="16"/>
                <w:szCs w:val="16"/>
                <w:lang w:bidi="th-TH"/>
              </w:rPr>
              <w:t xml:space="preserve">III.5 Mejor comprensión de la Agenda para el Desarrollo por los Estados miembros, las OIG, la sociedad civil y demás partes interesadas </w:t>
            </w:r>
          </w:p>
        </w:tc>
      </w:tr>
      <w:tr w:rsidR="0095318C" w:rsidRPr="00540D02" w:rsidTr="00DC1333">
        <w:trPr>
          <w:cantSplit/>
        </w:trPr>
        <w:tc>
          <w:tcPr>
            <w:tcW w:w="1124" w:type="pct"/>
            <w:tcBorders>
              <w:top w:val="single" w:sz="4" w:space="0" w:color="auto"/>
              <w:left w:val="single" w:sz="4" w:space="0" w:color="auto"/>
              <w:bottom w:val="nil"/>
            </w:tcBorders>
            <w:shd w:val="clear" w:color="auto" w:fill="auto"/>
            <w:vAlign w:val="center"/>
          </w:tcPr>
          <w:p w:rsidR="0095318C" w:rsidRPr="00540D02" w:rsidRDefault="0095318C" w:rsidP="00DC1333">
            <w:pPr>
              <w:keepNext/>
              <w:spacing w:after="40"/>
              <w:rPr>
                <w:sz w:val="16"/>
                <w:szCs w:val="16"/>
              </w:rPr>
            </w:pPr>
            <w:r w:rsidRPr="00540D02">
              <w:rPr>
                <w:b/>
                <w:sz w:val="16"/>
                <w:szCs w:val="16"/>
              </w:rPr>
              <w:t>Indicadores de rendimiento</w:t>
            </w:r>
          </w:p>
        </w:tc>
        <w:tc>
          <w:tcPr>
            <w:tcW w:w="1120" w:type="pct"/>
            <w:tcBorders>
              <w:top w:val="single" w:sz="4" w:space="0" w:color="auto"/>
              <w:bottom w:val="nil"/>
            </w:tcBorders>
            <w:shd w:val="clear" w:color="auto" w:fill="auto"/>
            <w:vAlign w:val="center"/>
          </w:tcPr>
          <w:p w:rsidR="0095318C" w:rsidRPr="00540D02" w:rsidRDefault="0095318C" w:rsidP="00DC1333">
            <w:pPr>
              <w:keepNext/>
              <w:spacing w:after="40"/>
              <w:rPr>
                <w:b/>
                <w:bCs/>
                <w:sz w:val="16"/>
                <w:szCs w:val="16"/>
              </w:rPr>
            </w:pPr>
            <w:r w:rsidRPr="00540D02">
              <w:rPr>
                <w:b/>
                <w:bCs/>
                <w:sz w:val="16"/>
                <w:szCs w:val="16"/>
              </w:rPr>
              <w:t>Referencia</w:t>
            </w:r>
          </w:p>
        </w:tc>
        <w:tc>
          <w:tcPr>
            <w:tcW w:w="1045" w:type="pct"/>
            <w:tcBorders>
              <w:top w:val="single" w:sz="4" w:space="0" w:color="auto"/>
              <w:bottom w:val="nil"/>
            </w:tcBorders>
            <w:shd w:val="clear" w:color="auto" w:fill="auto"/>
            <w:tcMar>
              <w:top w:w="110" w:type="dxa"/>
            </w:tcMar>
            <w:vAlign w:val="center"/>
          </w:tcPr>
          <w:p w:rsidR="0095318C" w:rsidRPr="00540D02" w:rsidRDefault="0095318C" w:rsidP="00DC1333">
            <w:pPr>
              <w:keepNext/>
              <w:spacing w:after="40"/>
              <w:rPr>
                <w:b/>
                <w:sz w:val="16"/>
                <w:szCs w:val="16"/>
              </w:rPr>
            </w:pPr>
            <w:r w:rsidRPr="00540D02">
              <w:rPr>
                <w:b/>
                <w:sz w:val="16"/>
                <w:szCs w:val="16"/>
              </w:rPr>
              <w:t>Objetivos</w:t>
            </w:r>
          </w:p>
        </w:tc>
        <w:tc>
          <w:tcPr>
            <w:tcW w:w="1118" w:type="pct"/>
            <w:gridSpan w:val="2"/>
            <w:tcBorders>
              <w:top w:val="single" w:sz="4" w:space="0" w:color="auto"/>
              <w:bottom w:val="nil"/>
            </w:tcBorders>
            <w:shd w:val="clear" w:color="auto" w:fill="FFFFFF"/>
            <w:tcMar>
              <w:top w:w="110" w:type="dxa"/>
            </w:tcMar>
            <w:vAlign w:val="center"/>
          </w:tcPr>
          <w:p w:rsidR="0095318C" w:rsidRPr="00540D02" w:rsidRDefault="0095318C" w:rsidP="00DC1333">
            <w:pPr>
              <w:keepNext/>
              <w:spacing w:after="40"/>
              <w:rPr>
                <w:sz w:val="16"/>
                <w:szCs w:val="16"/>
              </w:rPr>
            </w:pPr>
            <w:r w:rsidRPr="00540D02">
              <w:rPr>
                <w:b/>
                <w:sz w:val="16"/>
                <w:szCs w:val="16"/>
              </w:rPr>
              <w:t>Datos sobre el rendimiento</w:t>
            </w:r>
          </w:p>
        </w:tc>
        <w:tc>
          <w:tcPr>
            <w:tcW w:w="593" w:type="pct"/>
            <w:tcBorders>
              <w:top w:val="single" w:sz="4" w:space="0" w:color="auto"/>
              <w:bottom w:val="nil"/>
              <w:right w:val="single" w:sz="4" w:space="0" w:color="auto"/>
            </w:tcBorders>
            <w:shd w:val="clear" w:color="auto" w:fill="auto"/>
            <w:tcMar>
              <w:top w:w="110" w:type="dxa"/>
            </w:tcMar>
            <w:vAlign w:val="center"/>
          </w:tcPr>
          <w:p w:rsidR="0095318C" w:rsidRPr="00540D02" w:rsidRDefault="0095318C" w:rsidP="00DC1333">
            <w:pPr>
              <w:keepNext/>
              <w:keepLines/>
              <w:spacing w:after="40"/>
              <w:jc w:val="center"/>
              <w:rPr>
                <w:b/>
                <w:bCs/>
                <w:sz w:val="16"/>
                <w:szCs w:val="16"/>
              </w:rPr>
            </w:pPr>
            <w:r w:rsidRPr="00540D02">
              <w:rPr>
                <w:b/>
                <w:bCs/>
                <w:sz w:val="16"/>
                <w:szCs w:val="16"/>
              </w:rPr>
              <w:t>Clave de colores</w:t>
            </w:r>
          </w:p>
        </w:tc>
      </w:tr>
      <w:tr w:rsidR="0095318C" w:rsidRPr="00540D02" w:rsidTr="00DC1333">
        <w:trPr>
          <w:cantSplit/>
        </w:trPr>
        <w:tc>
          <w:tcPr>
            <w:tcW w:w="1124" w:type="pct"/>
            <w:tcBorders>
              <w:top w:val="nil"/>
              <w:left w:val="single" w:sz="4" w:space="0" w:color="auto"/>
              <w:bottom w:val="nil"/>
            </w:tcBorders>
            <w:shd w:val="clear" w:color="auto" w:fill="FFFFFF"/>
          </w:tcPr>
          <w:p w:rsidR="0095318C" w:rsidRPr="00540D02" w:rsidRDefault="0095318C" w:rsidP="00DC1333">
            <w:pPr>
              <w:keepNext/>
              <w:rPr>
                <w:sz w:val="16"/>
                <w:szCs w:val="16"/>
                <w:lang w:bidi="th-TH"/>
              </w:rPr>
            </w:pPr>
            <w:r w:rsidRPr="00540D02">
              <w:rPr>
                <w:sz w:val="16"/>
                <w:szCs w:val="16"/>
                <w:lang w:bidi="th-TH"/>
              </w:rPr>
              <w:t>Número de países que piden asistencia técnica por conducto de proyectos de la A.D. y que manifiestan interés en actividades relacionadas con la A.D.</w:t>
            </w:r>
          </w:p>
        </w:tc>
        <w:tc>
          <w:tcPr>
            <w:tcW w:w="1120" w:type="pct"/>
            <w:tcBorders>
              <w:top w:val="nil"/>
              <w:bottom w:val="nil"/>
            </w:tcBorders>
            <w:shd w:val="clear" w:color="auto" w:fill="auto"/>
          </w:tcPr>
          <w:p w:rsidR="0095318C" w:rsidRPr="00540D02" w:rsidRDefault="0095318C" w:rsidP="00DC1333">
            <w:pPr>
              <w:keepNext/>
              <w:rPr>
                <w:sz w:val="16"/>
                <w:szCs w:val="16"/>
                <w:lang w:bidi="th-TH"/>
              </w:rPr>
            </w:pPr>
            <w:r w:rsidRPr="00540D02">
              <w:rPr>
                <w:i/>
                <w:color w:val="002060"/>
                <w:sz w:val="16"/>
                <w:szCs w:val="16"/>
                <w:lang w:bidi="th-TH"/>
              </w:rPr>
              <w:t>Referencia actualizada a fines de 2013</w:t>
            </w:r>
            <w:r w:rsidRPr="00540D02">
              <w:rPr>
                <w:i/>
                <w:sz w:val="16"/>
                <w:szCs w:val="16"/>
                <w:lang w:bidi="th-TH"/>
              </w:rPr>
              <w:t xml:space="preserve">:  </w:t>
            </w:r>
            <w:r w:rsidRPr="00540D02">
              <w:rPr>
                <w:sz w:val="16"/>
                <w:szCs w:val="16"/>
                <w:lang w:bidi="th-TH"/>
              </w:rPr>
              <w:t xml:space="preserve">Proyectos y actividades relacionados con la A.D. en </w:t>
            </w:r>
            <w:r w:rsidRPr="00540D02">
              <w:rPr>
                <w:color w:val="002060"/>
                <w:sz w:val="16"/>
                <w:szCs w:val="16"/>
                <w:lang w:bidi="th-TH"/>
              </w:rPr>
              <w:t>50 países</w:t>
            </w:r>
          </w:p>
          <w:p w:rsidR="0095318C" w:rsidRPr="00540D02" w:rsidRDefault="0095318C" w:rsidP="00DC1333">
            <w:pPr>
              <w:keepNext/>
              <w:rPr>
                <w:i/>
                <w:sz w:val="16"/>
                <w:szCs w:val="16"/>
              </w:rPr>
            </w:pPr>
          </w:p>
          <w:p w:rsidR="0095318C" w:rsidRPr="00540D02" w:rsidRDefault="0095318C" w:rsidP="00DC1333">
            <w:pPr>
              <w:keepNext/>
              <w:rPr>
                <w:sz w:val="16"/>
                <w:szCs w:val="16"/>
                <w:lang w:bidi="th-TH"/>
              </w:rPr>
            </w:pPr>
            <w:r w:rsidRPr="00540D02">
              <w:rPr>
                <w:i/>
                <w:iCs/>
                <w:sz w:val="16"/>
                <w:szCs w:val="16"/>
              </w:rPr>
              <w:t>Referencia original en el presupuesto de 2014/15</w:t>
            </w:r>
            <w:r w:rsidRPr="00540D02">
              <w:rPr>
                <w:i/>
                <w:sz w:val="16"/>
                <w:szCs w:val="16"/>
              </w:rPr>
              <w:t>:</w:t>
            </w:r>
            <w:r w:rsidRPr="00540D02">
              <w:rPr>
                <w:sz w:val="16"/>
                <w:szCs w:val="16"/>
              </w:rPr>
              <w:t xml:space="preserve">  Proyectos y actividades relacionados con la A.D. en 43 países (abril de 2013)</w:t>
            </w:r>
            <w:r w:rsidRPr="00540D02">
              <w:rPr>
                <w:sz w:val="16"/>
                <w:szCs w:val="16"/>
              </w:rPr>
              <w:br/>
            </w:r>
          </w:p>
        </w:tc>
        <w:tc>
          <w:tcPr>
            <w:tcW w:w="1045" w:type="pct"/>
            <w:tcBorders>
              <w:top w:val="nil"/>
              <w:bottom w:val="nil"/>
            </w:tcBorders>
            <w:shd w:val="clear" w:color="auto" w:fill="auto"/>
            <w:tcMar>
              <w:top w:w="110" w:type="dxa"/>
            </w:tcMar>
          </w:tcPr>
          <w:p w:rsidR="0095318C" w:rsidRPr="00540D02" w:rsidRDefault="0095318C" w:rsidP="00DC1333">
            <w:pPr>
              <w:keepNext/>
              <w:rPr>
                <w:sz w:val="16"/>
                <w:szCs w:val="16"/>
                <w:lang w:bidi="th-TH"/>
              </w:rPr>
            </w:pPr>
            <w:r w:rsidRPr="00540D02">
              <w:rPr>
                <w:sz w:val="16"/>
                <w:szCs w:val="16"/>
                <w:lang w:bidi="th-TH"/>
              </w:rPr>
              <w:t>Proyectos y actividades relacionados con la A. D. en 50 países.</w:t>
            </w:r>
          </w:p>
        </w:tc>
        <w:tc>
          <w:tcPr>
            <w:tcW w:w="1118" w:type="pct"/>
            <w:gridSpan w:val="2"/>
            <w:tcBorders>
              <w:top w:val="nil"/>
              <w:bottom w:val="nil"/>
            </w:tcBorders>
            <w:shd w:val="clear" w:color="auto" w:fill="FFFFFF"/>
            <w:tcMar>
              <w:top w:w="110" w:type="dxa"/>
            </w:tcMar>
          </w:tcPr>
          <w:p w:rsidR="0095318C" w:rsidRPr="00540D02" w:rsidRDefault="0095318C" w:rsidP="00DC1333">
            <w:pPr>
              <w:keepNext/>
              <w:rPr>
                <w:sz w:val="16"/>
                <w:szCs w:val="16"/>
                <w:lang w:bidi="th-TH"/>
              </w:rPr>
            </w:pPr>
            <w:r w:rsidRPr="00540D02">
              <w:rPr>
                <w:sz w:val="16"/>
                <w:szCs w:val="16"/>
                <w:lang w:bidi="th-TH"/>
              </w:rPr>
              <w:t>53 países en desarrollo participaron en proyectos de la A.D.</w:t>
            </w:r>
          </w:p>
        </w:tc>
        <w:tc>
          <w:tcPr>
            <w:tcW w:w="593" w:type="pct"/>
            <w:tcBorders>
              <w:top w:val="nil"/>
              <w:bottom w:val="nil"/>
              <w:right w:val="single" w:sz="4" w:space="0" w:color="auto"/>
            </w:tcBorders>
            <w:shd w:val="clear" w:color="auto" w:fill="auto"/>
            <w:tcMar>
              <w:top w:w="110" w:type="dxa"/>
            </w:tcMar>
          </w:tcPr>
          <w:p w:rsidR="0095318C" w:rsidRPr="00540D02" w:rsidRDefault="0095318C" w:rsidP="00DC1333">
            <w:pPr>
              <w:keepNext/>
              <w:keepLines/>
              <w:ind w:left="-107"/>
              <w:jc w:val="center"/>
              <w:rPr>
                <w:bCs/>
                <w:color w:val="808080"/>
                <w:sz w:val="16"/>
                <w:szCs w:val="16"/>
              </w:rPr>
            </w:pPr>
            <w:r w:rsidRPr="00540D02">
              <w:rPr>
                <w:b/>
                <w:bCs/>
                <w:color w:val="00B050"/>
                <w:sz w:val="16"/>
                <w:szCs w:val="16"/>
              </w:rPr>
              <w:t>Plenamente logrado</w:t>
            </w:r>
          </w:p>
        </w:tc>
      </w:tr>
      <w:tr w:rsidR="0095318C" w:rsidRPr="00540D02" w:rsidTr="00DC1333">
        <w:trPr>
          <w:cantSplit/>
        </w:trPr>
        <w:tc>
          <w:tcPr>
            <w:tcW w:w="1124" w:type="pct"/>
            <w:tcBorders>
              <w:top w:val="nil"/>
              <w:left w:val="single" w:sz="4" w:space="0" w:color="auto"/>
              <w:bottom w:val="single" w:sz="4" w:space="0" w:color="auto"/>
            </w:tcBorders>
            <w:shd w:val="clear" w:color="auto" w:fill="auto"/>
          </w:tcPr>
          <w:p w:rsidR="0095318C" w:rsidRPr="00540D02" w:rsidRDefault="0095318C" w:rsidP="00DC1333">
            <w:pPr>
              <w:rPr>
                <w:sz w:val="16"/>
                <w:szCs w:val="16"/>
                <w:lang w:bidi="th-TH"/>
              </w:rPr>
            </w:pPr>
            <w:r w:rsidRPr="00540D02">
              <w:rPr>
                <w:sz w:val="16"/>
                <w:szCs w:val="16"/>
                <w:lang w:bidi="th-TH"/>
              </w:rPr>
              <w:t>Porcentaje de participantes en reuniones de la OMPI (Estados miembros, OIG, sociedad civil y demás partes interesadas) satisfechos con la información recibida sobre las recomendaciones de la A.D.</w:t>
            </w:r>
            <w:r w:rsidRPr="00540D02">
              <w:rPr>
                <w:sz w:val="16"/>
                <w:szCs w:val="16"/>
                <w:lang w:bidi="th-TH"/>
              </w:rPr>
              <w:br/>
            </w:r>
          </w:p>
        </w:tc>
        <w:tc>
          <w:tcPr>
            <w:tcW w:w="1120" w:type="pct"/>
            <w:tcBorders>
              <w:top w:val="nil"/>
              <w:bottom w:val="single" w:sz="4" w:space="0" w:color="auto"/>
            </w:tcBorders>
            <w:shd w:val="clear" w:color="auto" w:fill="auto"/>
          </w:tcPr>
          <w:p w:rsidR="0095318C" w:rsidRPr="00540D02" w:rsidRDefault="0095318C" w:rsidP="00DC1333">
            <w:pPr>
              <w:rPr>
                <w:sz w:val="16"/>
                <w:szCs w:val="16"/>
                <w:lang w:bidi="th-TH"/>
              </w:rPr>
            </w:pPr>
            <w:r w:rsidRPr="00540D02">
              <w:rPr>
                <w:sz w:val="16"/>
                <w:szCs w:val="16"/>
              </w:rPr>
              <w:t xml:space="preserve"> </w:t>
            </w:r>
            <w:proofErr w:type="spellStart"/>
            <w:r w:rsidRPr="00540D02">
              <w:rPr>
                <w:sz w:val="16"/>
                <w:szCs w:val="16"/>
              </w:rPr>
              <w:t>n.d</w:t>
            </w:r>
            <w:proofErr w:type="spellEnd"/>
            <w:r w:rsidRPr="00540D02">
              <w:rPr>
                <w:sz w:val="16"/>
                <w:szCs w:val="16"/>
              </w:rPr>
              <w:t>.</w:t>
            </w:r>
          </w:p>
        </w:tc>
        <w:tc>
          <w:tcPr>
            <w:tcW w:w="1045" w:type="pct"/>
            <w:tcBorders>
              <w:top w:val="nil"/>
              <w:bottom w:val="single" w:sz="4" w:space="0" w:color="auto"/>
            </w:tcBorders>
            <w:shd w:val="clear" w:color="auto" w:fill="auto"/>
            <w:tcMar>
              <w:top w:w="110" w:type="dxa"/>
            </w:tcMar>
          </w:tcPr>
          <w:p w:rsidR="0095318C" w:rsidRPr="00540D02" w:rsidRDefault="0095318C" w:rsidP="00DC1333">
            <w:pPr>
              <w:rPr>
                <w:sz w:val="16"/>
                <w:szCs w:val="16"/>
                <w:lang w:bidi="th-TH"/>
              </w:rPr>
            </w:pPr>
            <w:r w:rsidRPr="00540D02">
              <w:rPr>
                <w:sz w:val="16"/>
                <w:szCs w:val="16"/>
                <w:lang w:bidi="th-TH"/>
              </w:rPr>
              <w:t>80%</w:t>
            </w:r>
          </w:p>
        </w:tc>
        <w:tc>
          <w:tcPr>
            <w:tcW w:w="1118" w:type="pct"/>
            <w:gridSpan w:val="2"/>
            <w:tcBorders>
              <w:top w:val="nil"/>
              <w:bottom w:val="single" w:sz="4" w:space="0" w:color="auto"/>
            </w:tcBorders>
            <w:shd w:val="clear" w:color="auto" w:fill="FFFFFF"/>
            <w:tcMar>
              <w:top w:w="110" w:type="dxa"/>
            </w:tcMar>
          </w:tcPr>
          <w:p w:rsidR="0095318C" w:rsidRPr="00540D02" w:rsidRDefault="0095318C" w:rsidP="00DC1333">
            <w:pPr>
              <w:rPr>
                <w:sz w:val="16"/>
                <w:szCs w:val="16"/>
                <w:lang w:bidi="th-TH"/>
              </w:rPr>
            </w:pPr>
            <w:r w:rsidRPr="00540D02">
              <w:rPr>
                <w:sz w:val="16"/>
                <w:szCs w:val="16"/>
              </w:rPr>
              <w:t>78,57%</w:t>
            </w:r>
          </w:p>
        </w:tc>
        <w:tc>
          <w:tcPr>
            <w:tcW w:w="593" w:type="pct"/>
            <w:tcBorders>
              <w:top w:val="nil"/>
              <w:bottom w:val="single" w:sz="4" w:space="0" w:color="auto"/>
              <w:right w:val="single" w:sz="4" w:space="0" w:color="auto"/>
            </w:tcBorders>
            <w:shd w:val="clear" w:color="auto" w:fill="auto"/>
          </w:tcPr>
          <w:p w:rsidR="0095318C" w:rsidRPr="00540D02" w:rsidRDefault="0095318C" w:rsidP="00DC1333">
            <w:pPr>
              <w:keepNext/>
              <w:keepLines/>
              <w:ind w:left="-107"/>
              <w:jc w:val="center"/>
              <w:rPr>
                <w:b/>
                <w:bCs/>
                <w:color w:val="808080"/>
                <w:sz w:val="16"/>
                <w:szCs w:val="16"/>
              </w:rPr>
            </w:pPr>
            <w:r w:rsidRPr="00540D02">
              <w:rPr>
                <w:b/>
                <w:bCs/>
                <w:color w:val="00B050"/>
                <w:sz w:val="16"/>
                <w:szCs w:val="16"/>
              </w:rPr>
              <w:t>Plenamente logrado</w:t>
            </w:r>
          </w:p>
        </w:tc>
      </w:tr>
    </w:tbl>
    <w:p w:rsidR="0095318C" w:rsidRDefault="0095318C" w:rsidP="00DC1333">
      <w:pPr>
        <w:jc w:val="both"/>
        <w:rPr>
          <w:color w:val="000000"/>
        </w:rPr>
      </w:pPr>
    </w:p>
    <w:p w:rsidR="0095318C" w:rsidRPr="00540D02" w:rsidRDefault="0095318C" w:rsidP="00DC1333">
      <w:pPr>
        <w:jc w:val="both"/>
        <w:rPr>
          <w:color w:val="000000"/>
        </w:rPr>
      </w:pPr>
    </w:p>
    <w:p w:rsidR="0095318C" w:rsidRPr="00540D02" w:rsidRDefault="008F7CBE" w:rsidP="00DC1333">
      <w:pPr>
        <w:keepNext/>
        <w:keepLines/>
        <w:rPr>
          <w:color w:val="000000"/>
          <w:szCs w:val="22"/>
        </w:rPr>
      </w:pPr>
      <w:r w:rsidRPr="008F7CBE">
        <w:rPr>
          <w:sz w:val="20"/>
        </w:rPr>
        <w:t>INFORMACIÓN SOBRE LOS RIESGOS PLANTEADOS EN EL BIENIO</w:t>
      </w:r>
    </w:p>
    <w:p w:rsidR="0095318C" w:rsidRPr="00540D02" w:rsidRDefault="0095318C" w:rsidP="00DC1333">
      <w:pPr>
        <w:keepNext/>
        <w:keepLines/>
        <w:rPr>
          <w:b/>
        </w:rPr>
      </w:pPr>
    </w:p>
    <w:tbl>
      <w:tblPr>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348"/>
        <w:gridCol w:w="2144"/>
        <w:gridCol w:w="2234"/>
        <w:gridCol w:w="147"/>
        <w:gridCol w:w="2590"/>
      </w:tblGrid>
      <w:tr w:rsidR="0095318C" w:rsidRPr="00540D02" w:rsidTr="00DC1333">
        <w:trPr>
          <w:trHeight w:val="564"/>
        </w:trPr>
        <w:tc>
          <w:tcPr>
            <w:tcW w:w="2420" w:type="dxa"/>
            <w:tcBorders>
              <w:top w:val="single" w:sz="4" w:space="0" w:color="auto"/>
              <w:bottom w:val="single" w:sz="4" w:space="0" w:color="auto"/>
            </w:tcBorders>
            <w:shd w:val="clear" w:color="auto" w:fill="C6D9F1" w:themeFill="text2" w:themeFillTint="33"/>
            <w:vAlign w:val="center"/>
          </w:tcPr>
          <w:p w:rsidR="0095318C" w:rsidRPr="00540D02" w:rsidRDefault="0095318C" w:rsidP="00DC1333">
            <w:pPr>
              <w:keepNext/>
              <w:keepLines/>
              <w:autoSpaceDE w:val="0"/>
              <w:autoSpaceDN w:val="0"/>
              <w:adjustRightInd w:val="0"/>
              <w:ind w:right="-59"/>
              <w:jc w:val="center"/>
              <w:rPr>
                <w:b/>
                <w:bCs/>
                <w:iCs/>
                <w:sz w:val="18"/>
                <w:szCs w:val="18"/>
              </w:rPr>
            </w:pPr>
            <w:r w:rsidRPr="00540D02">
              <w:rPr>
                <w:b/>
                <w:bCs/>
                <w:iCs/>
                <w:sz w:val="18"/>
                <w:szCs w:val="18"/>
              </w:rPr>
              <w:t>Riesgos en el logro de los resultados del programa</w:t>
            </w:r>
          </w:p>
        </w:tc>
        <w:tc>
          <w:tcPr>
            <w:tcW w:w="2200" w:type="dxa"/>
            <w:tcBorders>
              <w:top w:val="single" w:sz="4" w:space="0" w:color="auto"/>
              <w:bottom w:val="single" w:sz="4" w:space="0" w:color="auto"/>
            </w:tcBorders>
            <w:shd w:val="clear" w:color="auto" w:fill="C6D9F1" w:themeFill="text2" w:themeFillTint="33"/>
            <w:vAlign w:val="center"/>
          </w:tcPr>
          <w:p w:rsidR="0095318C" w:rsidRPr="00540D02" w:rsidRDefault="0095318C" w:rsidP="00DC1333">
            <w:pPr>
              <w:keepNext/>
              <w:keepLines/>
              <w:autoSpaceDE w:val="0"/>
              <w:autoSpaceDN w:val="0"/>
              <w:adjustRightInd w:val="0"/>
              <w:ind w:right="-59"/>
              <w:jc w:val="center"/>
              <w:rPr>
                <w:b/>
                <w:bCs/>
                <w:iCs/>
                <w:sz w:val="18"/>
                <w:szCs w:val="18"/>
              </w:rPr>
            </w:pPr>
            <w:r w:rsidRPr="00540D02">
              <w:rPr>
                <w:b/>
                <w:bCs/>
                <w:iCs/>
                <w:sz w:val="18"/>
                <w:szCs w:val="18"/>
              </w:rPr>
              <w:t>Planes de mitigación ejecutados o en ejecución</w:t>
            </w:r>
          </w:p>
        </w:tc>
        <w:tc>
          <w:tcPr>
            <w:tcW w:w="2468" w:type="dxa"/>
            <w:gridSpan w:val="2"/>
            <w:tcBorders>
              <w:top w:val="single" w:sz="4" w:space="0" w:color="auto"/>
              <w:bottom w:val="single" w:sz="4" w:space="0" w:color="auto"/>
            </w:tcBorders>
            <w:shd w:val="clear" w:color="auto" w:fill="C6D9F1" w:themeFill="text2" w:themeFillTint="33"/>
          </w:tcPr>
          <w:p w:rsidR="0095318C" w:rsidRPr="00540D02" w:rsidRDefault="0095318C" w:rsidP="00DC1333">
            <w:pPr>
              <w:keepNext/>
              <w:keepLines/>
              <w:jc w:val="center"/>
              <w:rPr>
                <w:b/>
                <w:bCs/>
                <w:sz w:val="18"/>
                <w:szCs w:val="18"/>
              </w:rPr>
            </w:pPr>
            <w:r w:rsidRPr="00540D02">
              <w:rPr>
                <w:b/>
                <w:bCs/>
                <w:iCs/>
                <w:sz w:val="18"/>
                <w:szCs w:val="18"/>
              </w:rPr>
              <w:t>Evolución de los riesgos y estrategias de mitigación durante el bienio</w:t>
            </w:r>
          </w:p>
        </w:tc>
        <w:tc>
          <w:tcPr>
            <w:tcW w:w="2694" w:type="dxa"/>
            <w:tcBorders>
              <w:top w:val="single" w:sz="4" w:space="0" w:color="auto"/>
              <w:bottom w:val="single" w:sz="4" w:space="0" w:color="auto"/>
            </w:tcBorders>
            <w:shd w:val="clear" w:color="auto" w:fill="C6D9F1" w:themeFill="text2" w:themeFillTint="33"/>
          </w:tcPr>
          <w:p w:rsidR="0095318C" w:rsidRPr="00540D02" w:rsidRDefault="0095318C" w:rsidP="00DC1333">
            <w:pPr>
              <w:keepNext/>
              <w:keepLines/>
              <w:jc w:val="center"/>
              <w:rPr>
                <w:b/>
                <w:bCs/>
                <w:sz w:val="18"/>
                <w:szCs w:val="18"/>
              </w:rPr>
            </w:pPr>
            <w:r w:rsidRPr="00540D02">
              <w:rPr>
                <w:b/>
                <w:bCs/>
                <w:sz w:val="18"/>
                <w:szCs w:val="18"/>
              </w:rPr>
              <w:t>Incidencia en el rendimiento del programa</w:t>
            </w:r>
          </w:p>
        </w:tc>
      </w:tr>
      <w:tr w:rsidR="0095318C" w:rsidRPr="00540D02" w:rsidTr="00DC1333">
        <w:trPr>
          <w:trHeight w:val="838"/>
        </w:trPr>
        <w:tc>
          <w:tcPr>
            <w:tcW w:w="2420" w:type="dxa"/>
            <w:tcBorders>
              <w:top w:val="single" w:sz="4" w:space="0" w:color="auto"/>
            </w:tcBorders>
            <w:shd w:val="clear" w:color="auto" w:fill="auto"/>
            <w:tcMar>
              <w:top w:w="113" w:type="dxa"/>
              <w:bottom w:w="85" w:type="dxa"/>
            </w:tcMar>
          </w:tcPr>
          <w:p w:rsidR="0095318C" w:rsidRPr="00540D02" w:rsidRDefault="0095318C" w:rsidP="00DC1333">
            <w:pPr>
              <w:keepNext/>
              <w:keepLines/>
              <w:autoSpaceDE w:val="0"/>
              <w:autoSpaceDN w:val="0"/>
              <w:adjustRightInd w:val="0"/>
              <w:ind w:right="-59"/>
              <w:rPr>
                <w:sz w:val="16"/>
                <w:szCs w:val="16"/>
              </w:rPr>
            </w:pPr>
            <w:r w:rsidRPr="00540D02">
              <w:rPr>
                <w:sz w:val="16"/>
                <w:szCs w:val="16"/>
              </w:rPr>
              <w:t>No llevar a cabo la supervisión sistemática de las recomendaciones de la A.D. y su aplicación podría tener como consecuencia la pérdida de oportunidades y que no se atribuyera suficiente atención a la experiencia adquirida.</w:t>
            </w:r>
          </w:p>
        </w:tc>
        <w:tc>
          <w:tcPr>
            <w:tcW w:w="2200" w:type="dxa"/>
            <w:tcBorders>
              <w:top w:val="single" w:sz="4" w:space="0" w:color="auto"/>
            </w:tcBorders>
            <w:shd w:val="clear" w:color="auto" w:fill="auto"/>
            <w:tcMar>
              <w:top w:w="113" w:type="dxa"/>
              <w:bottom w:w="85" w:type="dxa"/>
            </w:tcMar>
          </w:tcPr>
          <w:p w:rsidR="0095318C" w:rsidRPr="00540D02" w:rsidRDefault="0095318C" w:rsidP="00DC1333">
            <w:pPr>
              <w:keepNext/>
              <w:keepLines/>
              <w:autoSpaceDE w:val="0"/>
              <w:autoSpaceDN w:val="0"/>
              <w:adjustRightInd w:val="0"/>
              <w:ind w:right="-59"/>
              <w:rPr>
                <w:sz w:val="16"/>
                <w:szCs w:val="16"/>
              </w:rPr>
            </w:pPr>
            <w:r w:rsidRPr="00540D02">
              <w:rPr>
                <w:sz w:val="16"/>
                <w:szCs w:val="16"/>
              </w:rPr>
              <w:t>Fomentar y ejecutar con rigurosidad la supervisión de la aplicación de las recomendaciones de la A.D. por parte de la División de Coordinación de la A.D.</w:t>
            </w:r>
          </w:p>
        </w:tc>
        <w:tc>
          <w:tcPr>
            <w:tcW w:w="2310" w:type="dxa"/>
            <w:tcBorders>
              <w:top w:val="single" w:sz="4" w:space="0" w:color="auto"/>
            </w:tcBorders>
          </w:tcPr>
          <w:p w:rsidR="0095318C" w:rsidRPr="00540D02" w:rsidRDefault="0095318C" w:rsidP="00DC1333">
            <w:pPr>
              <w:keepNext/>
              <w:keepLines/>
              <w:autoSpaceDE w:val="0"/>
              <w:autoSpaceDN w:val="0"/>
              <w:adjustRightInd w:val="0"/>
              <w:ind w:right="-59"/>
              <w:rPr>
                <w:sz w:val="16"/>
                <w:szCs w:val="16"/>
              </w:rPr>
            </w:pPr>
            <w:r w:rsidRPr="00540D02">
              <w:rPr>
                <w:sz w:val="16"/>
                <w:szCs w:val="16"/>
              </w:rPr>
              <w:t>Las estrategias de mitigación se aplicaron completamente y permitieron garantizar que el riesgo no se materializara.</w:t>
            </w:r>
          </w:p>
        </w:tc>
        <w:tc>
          <w:tcPr>
            <w:tcW w:w="2852" w:type="dxa"/>
            <w:gridSpan w:val="2"/>
            <w:tcBorders>
              <w:top w:val="single" w:sz="4" w:space="0" w:color="auto"/>
            </w:tcBorders>
          </w:tcPr>
          <w:p w:rsidR="0095318C" w:rsidRPr="00540D02" w:rsidRDefault="0095318C" w:rsidP="00DC1333">
            <w:pPr>
              <w:keepNext/>
              <w:keepLines/>
              <w:autoSpaceDE w:val="0"/>
              <w:autoSpaceDN w:val="0"/>
              <w:adjustRightInd w:val="0"/>
              <w:ind w:right="-59"/>
              <w:rPr>
                <w:sz w:val="16"/>
                <w:szCs w:val="16"/>
              </w:rPr>
            </w:pPr>
            <w:r w:rsidRPr="00540D02">
              <w:rPr>
                <w:sz w:val="16"/>
                <w:szCs w:val="16"/>
              </w:rPr>
              <w:t>Este riesgo y su evolución no incidieron de forma sustancial en el rendimiento del programa en 2014/15.</w:t>
            </w:r>
          </w:p>
        </w:tc>
      </w:tr>
    </w:tbl>
    <w:p w:rsidR="0095318C" w:rsidRDefault="0095318C" w:rsidP="00DC1333">
      <w:pPr>
        <w:jc w:val="both"/>
      </w:pPr>
    </w:p>
    <w:p w:rsidR="0095318C" w:rsidRPr="00540D02" w:rsidRDefault="0095318C" w:rsidP="00DC1333">
      <w:pPr>
        <w:jc w:val="both"/>
      </w:pPr>
    </w:p>
    <w:p w:rsidR="0095318C" w:rsidRPr="00540D02" w:rsidRDefault="00403D2C" w:rsidP="00DC1333">
      <w:pPr>
        <w:rPr>
          <w:szCs w:val="22"/>
        </w:rPr>
      </w:pPr>
      <w:r w:rsidRPr="00403D2C">
        <w:rPr>
          <w:sz w:val="20"/>
          <w:szCs w:val="22"/>
        </w:rPr>
        <w:t>UTILIZACIÓN DE LOS RECURSOS</w:t>
      </w:r>
    </w:p>
    <w:p w:rsidR="0095318C" w:rsidRPr="00540D02" w:rsidRDefault="0095318C" w:rsidP="00DC1333">
      <w:pPr>
        <w:jc w:val="both"/>
      </w:pPr>
    </w:p>
    <w:p w:rsidR="0095318C" w:rsidRPr="00540D02" w:rsidRDefault="0095318C" w:rsidP="00DC1333">
      <w:pPr>
        <w:pStyle w:val="NormalWeb"/>
        <w:spacing w:before="0" w:beforeAutospacing="0" w:after="0" w:afterAutospacing="0"/>
        <w:jc w:val="center"/>
        <w:rPr>
          <w:sz w:val="20"/>
          <w:szCs w:val="20"/>
          <w:lang w:val="es-ES"/>
        </w:rPr>
      </w:pPr>
      <w:r w:rsidRPr="00540D02">
        <w:rPr>
          <w:sz w:val="20"/>
          <w:szCs w:val="20"/>
          <w:lang w:val="es-ES"/>
        </w:rPr>
        <w:t>Presupuesto y gastos reales (por resultado)</w:t>
      </w:r>
    </w:p>
    <w:p w:rsidR="0095318C" w:rsidRPr="00540D02" w:rsidRDefault="0095318C" w:rsidP="00DC1333">
      <w:pPr>
        <w:pStyle w:val="NormalWeb"/>
        <w:spacing w:before="0" w:beforeAutospacing="0" w:after="0" w:afterAutospacing="0"/>
        <w:jc w:val="center"/>
        <w:rPr>
          <w:i/>
          <w:iCs/>
          <w:sz w:val="20"/>
          <w:szCs w:val="20"/>
          <w:lang w:val="es-ES"/>
        </w:rPr>
      </w:pPr>
      <w:r w:rsidRPr="00540D02">
        <w:rPr>
          <w:i/>
          <w:iCs/>
          <w:sz w:val="20"/>
          <w:szCs w:val="20"/>
          <w:lang w:val="es-ES"/>
        </w:rPr>
        <w:t>(en miles de francos suizos)</w:t>
      </w:r>
    </w:p>
    <w:p w:rsidR="0095318C" w:rsidRPr="00540D02" w:rsidRDefault="0095318C" w:rsidP="00DC1333">
      <w:pPr>
        <w:pStyle w:val="NormalWeb"/>
        <w:spacing w:before="0" w:beforeAutospacing="0" w:after="0" w:afterAutospacing="0"/>
        <w:jc w:val="both"/>
        <w:rPr>
          <w:sz w:val="20"/>
          <w:szCs w:val="20"/>
          <w:lang w:val="es-ES"/>
        </w:rPr>
      </w:pPr>
    </w:p>
    <w:p w:rsidR="0095318C" w:rsidRPr="00540D02" w:rsidRDefault="0095318C" w:rsidP="00DC1333">
      <w:pPr>
        <w:jc w:val="center"/>
      </w:pPr>
      <w:bookmarkStart w:id="100" w:name="Bm8"/>
      <w:bookmarkStart w:id="101" w:name="Punto8"/>
      <w:r>
        <w:rPr>
          <w:noProof/>
          <w:lang w:val="en-US" w:eastAsia="en-US"/>
        </w:rPr>
        <w:drawing>
          <wp:inline distT="0" distB="0" distL="0" distR="0" wp14:anchorId="1D2128D9" wp14:editId="1C28D5E4">
            <wp:extent cx="5486400" cy="1619250"/>
            <wp:effectExtent l="0" t="0" r="0" b="0"/>
            <wp:docPr id="1046" name="Pictur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5486400" cy="1619250"/>
                    </a:xfrm>
                    <a:prstGeom prst="rect">
                      <a:avLst/>
                    </a:prstGeom>
                    <a:noFill/>
                    <a:ln>
                      <a:noFill/>
                    </a:ln>
                  </pic:spPr>
                </pic:pic>
              </a:graphicData>
            </a:graphic>
          </wp:inline>
        </w:drawing>
      </w:r>
      <w:bookmarkEnd w:id="100"/>
      <w:bookmarkEnd w:id="101"/>
    </w:p>
    <w:p w:rsidR="0095318C" w:rsidRPr="00540D02" w:rsidRDefault="0095318C" w:rsidP="00DC1333">
      <w:pPr>
        <w:jc w:val="both"/>
      </w:pPr>
    </w:p>
    <w:p w:rsidR="0095318C" w:rsidRPr="00540D02" w:rsidRDefault="0095318C" w:rsidP="00DC1333">
      <w:pPr>
        <w:jc w:val="both"/>
      </w:pPr>
    </w:p>
    <w:p w:rsidR="0095318C" w:rsidRPr="00540D02" w:rsidRDefault="0095318C" w:rsidP="00DC1333">
      <w:pPr>
        <w:pStyle w:val="NormalWeb"/>
        <w:keepNext/>
        <w:keepLines/>
        <w:spacing w:before="0" w:beforeAutospacing="0" w:after="0" w:afterAutospacing="0"/>
        <w:jc w:val="center"/>
        <w:rPr>
          <w:sz w:val="20"/>
          <w:szCs w:val="20"/>
          <w:lang w:val="es-ES"/>
        </w:rPr>
      </w:pPr>
      <w:r w:rsidRPr="00540D02">
        <w:rPr>
          <w:sz w:val="20"/>
          <w:szCs w:val="20"/>
          <w:lang w:val="es-ES"/>
        </w:rPr>
        <w:lastRenderedPageBreak/>
        <w:t>Presupuesto y gastos reales (de personal y no relativos a personal)</w:t>
      </w:r>
    </w:p>
    <w:p w:rsidR="0095318C" w:rsidRPr="00540D02" w:rsidRDefault="0095318C" w:rsidP="00DC1333">
      <w:pPr>
        <w:pStyle w:val="NormalWeb"/>
        <w:keepNext/>
        <w:keepLines/>
        <w:spacing w:before="0" w:beforeAutospacing="0" w:after="0" w:afterAutospacing="0"/>
        <w:jc w:val="center"/>
        <w:rPr>
          <w:i/>
          <w:iCs/>
          <w:sz w:val="20"/>
          <w:szCs w:val="20"/>
          <w:lang w:val="es-ES"/>
        </w:rPr>
      </w:pPr>
      <w:r w:rsidRPr="00540D02">
        <w:rPr>
          <w:i/>
          <w:iCs/>
          <w:sz w:val="20"/>
          <w:szCs w:val="20"/>
          <w:lang w:val="es-ES"/>
        </w:rPr>
        <w:t>(en miles de francos suizos)</w:t>
      </w:r>
    </w:p>
    <w:p w:rsidR="0095318C" w:rsidRPr="00540D02" w:rsidRDefault="0095318C" w:rsidP="00DC1333">
      <w:pPr>
        <w:pStyle w:val="NormalWeb"/>
        <w:keepNext/>
        <w:keepLines/>
        <w:spacing w:before="0" w:beforeAutospacing="0" w:after="0" w:afterAutospacing="0"/>
        <w:jc w:val="center"/>
        <w:rPr>
          <w:sz w:val="20"/>
          <w:szCs w:val="20"/>
          <w:lang w:val="es-ES"/>
        </w:rPr>
      </w:pPr>
    </w:p>
    <w:p w:rsidR="0095318C" w:rsidRPr="00540D02" w:rsidRDefault="0095318C" w:rsidP="00DC1333">
      <w:pPr>
        <w:jc w:val="center"/>
      </w:pPr>
      <w:bookmarkStart w:id="102" w:name="Point8"/>
      <w:r>
        <w:rPr>
          <w:noProof/>
          <w:lang w:val="en-US" w:eastAsia="en-US"/>
        </w:rPr>
        <w:drawing>
          <wp:inline distT="0" distB="0" distL="0" distR="0" wp14:anchorId="65A24320" wp14:editId="1CF5FE6A">
            <wp:extent cx="5940425" cy="1080827"/>
            <wp:effectExtent l="0" t="0" r="3175" b="5080"/>
            <wp:docPr id="1047" name="Pictur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5940425" cy="1080827"/>
                    </a:xfrm>
                    <a:prstGeom prst="rect">
                      <a:avLst/>
                    </a:prstGeom>
                    <a:noFill/>
                    <a:ln>
                      <a:noFill/>
                    </a:ln>
                  </pic:spPr>
                </pic:pic>
              </a:graphicData>
            </a:graphic>
          </wp:inline>
        </w:drawing>
      </w:r>
      <w:bookmarkEnd w:id="102"/>
    </w:p>
    <w:p w:rsidR="0095318C" w:rsidRDefault="0095318C" w:rsidP="00DC1333">
      <w:pPr>
        <w:widowControl w:val="0"/>
        <w:autoSpaceDE w:val="0"/>
        <w:autoSpaceDN w:val="0"/>
        <w:adjustRightInd w:val="0"/>
        <w:jc w:val="both"/>
        <w:rPr>
          <w:sz w:val="20"/>
        </w:rPr>
      </w:pPr>
    </w:p>
    <w:p w:rsidR="0095318C" w:rsidRPr="00540D02" w:rsidRDefault="0095318C" w:rsidP="00DC1333">
      <w:pPr>
        <w:widowControl w:val="0"/>
        <w:autoSpaceDE w:val="0"/>
        <w:autoSpaceDN w:val="0"/>
        <w:adjustRightInd w:val="0"/>
        <w:jc w:val="both"/>
        <w:rPr>
          <w:sz w:val="20"/>
        </w:rPr>
      </w:pPr>
    </w:p>
    <w:p w:rsidR="0095318C" w:rsidRPr="00540D02" w:rsidRDefault="00403D2C" w:rsidP="00DC1333">
      <w:pPr>
        <w:jc w:val="both"/>
        <w:rPr>
          <w:sz w:val="20"/>
          <w:u w:val="single"/>
        </w:rPr>
      </w:pPr>
      <w:r w:rsidRPr="00403D2C">
        <w:rPr>
          <w:sz w:val="20"/>
        </w:rPr>
        <w:t>A.</w:t>
      </w:r>
      <w:r w:rsidRPr="00403D2C">
        <w:rPr>
          <w:sz w:val="20"/>
        </w:rPr>
        <w:tab/>
      </w:r>
      <w:r w:rsidRPr="00403D2C">
        <w:rPr>
          <w:sz w:val="20"/>
          <w:u w:val="single"/>
        </w:rPr>
        <w:t>Presupuesto final de 2014/15 tras las transferencias</w:t>
      </w:r>
    </w:p>
    <w:p w:rsidR="0095318C" w:rsidRPr="00540D02" w:rsidRDefault="0095318C" w:rsidP="00DC1333">
      <w:pPr>
        <w:jc w:val="both"/>
        <w:rPr>
          <w:sz w:val="20"/>
          <w:u w:val="single"/>
        </w:rPr>
      </w:pPr>
    </w:p>
    <w:p w:rsidR="0095318C" w:rsidRPr="00540D02" w:rsidRDefault="0095318C" w:rsidP="0095318C">
      <w:pPr>
        <w:pStyle w:val="ListParagraph"/>
        <w:numPr>
          <w:ilvl w:val="0"/>
          <w:numId w:val="51"/>
        </w:numPr>
        <w:tabs>
          <w:tab w:val="left" w:pos="0"/>
        </w:tabs>
        <w:ind w:left="0" w:firstLine="0"/>
        <w:jc w:val="both"/>
        <w:rPr>
          <w:rFonts w:cs="Arial"/>
          <w:lang w:val="es-ES" w:eastAsia="ko-KR"/>
        </w:rPr>
      </w:pPr>
      <w:r w:rsidRPr="00540D02">
        <w:rPr>
          <w:rFonts w:cs="Arial"/>
          <w:lang w:val="es-ES" w:eastAsia="ko-KR"/>
        </w:rPr>
        <w:t>El descenso del presupuesto final de 2014/15 tras las transferencias se debió principalmente a la reasignación de recursos de personal (un puesto) a otros programas.</w:t>
      </w:r>
    </w:p>
    <w:p w:rsidR="0095318C" w:rsidRPr="00540D02" w:rsidRDefault="0095318C" w:rsidP="00DC1333">
      <w:pPr>
        <w:autoSpaceDE w:val="0"/>
        <w:autoSpaceDN w:val="0"/>
        <w:adjustRightInd w:val="0"/>
        <w:jc w:val="both"/>
        <w:rPr>
          <w:sz w:val="20"/>
          <w:lang w:eastAsia="ko-KR"/>
        </w:rPr>
      </w:pPr>
    </w:p>
    <w:p w:rsidR="0095318C" w:rsidRPr="00540D02" w:rsidRDefault="00403D2C" w:rsidP="00DC1333">
      <w:pPr>
        <w:jc w:val="both"/>
        <w:rPr>
          <w:sz w:val="20"/>
          <w:u w:val="single"/>
          <w:lang w:eastAsia="ko-KR"/>
        </w:rPr>
      </w:pPr>
      <w:r w:rsidRPr="00403D2C">
        <w:rPr>
          <w:sz w:val="20"/>
          <w:lang w:eastAsia="ko-KR"/>
        </w:rPr>
        <w:t>B.</w:t>
      </w:r>
      <w:r w:rsidRPr="00403D2C">
        <w:rPr>
          <w:sz w:val="20"/>
          <w:lang w:eastAsia="ko-KR"/>
        </w:rPr>
        <w:tab/>
      </w:r>
      <w:r w:rsidRPr="00403D2C">
        <w:rPr>
          <w:sz w:val="20"/>
          <w:u w:val="single"/>
          <w:lang w:eastAsia="ko-KR"/>
        </w:rPr>
        <w:t>Utilización del presupuesto en 2014/15</w:t>
      </w:r>
    </w:p>
    <w:p w:rsidR="0095318C" w:rsidRPr="00540D02" w:rsidRDefault="0095318C" w:rsidP="00DC1333">
      <w:pPr>
        <w:autoSpaceDE w:val="0"/>
        <w:autoSpaceDN w:val="0"/>
        <w:jc w:val="both"/>
        <w:rPr>
          <w:sz w:val="20"/>
        </w:rPr>
      </w:pPr>
    </w:p>
    <w:p w:rsidR="0095318C" w:rsidRPr="00540D02" w:rsidRDefault="0095318C" w:rsidP="0095318C">
      <w:pPr>
        <w:pStyle w:val="ListParagraph"/>
        <w:numPr>
          <w:ilvl w:val="0"/>
          <w:numId w:val="51"/>
        </w:numPr>
        <w:tabs>
          <w:tab w:val="left" w:pos="0"/>
        </w:tabs>
        <w:autoSpaceDE w:val="0"/>
        <w:autoSpaceDN w:val="0"/>
        <w:ind w:left="0" w:firstLine="0"/>
        <w:jc w:val="both"/>
        <w:rPr>
          <w:rFonts w:cs="Arial"/>
          <w:lang w:val="es-ES"/>
        </w:rPr>
      </w:pPr>
      <w:r w:rsidRPr="00540D02">
        <w:rPr>
          <w:rFonts w:cs="Arial"/>
          <w:lang w:val="es-ES"/>
        </w:rPr>
        <w:t>La reducción del gasto destinado a recursos de personal se debió a la existencia de una vacante en trámite de contratación.  La reducción del gasto destinado a recursos no relativos a personal se debió principalmente al retraso, con la conformidad de los estados miembros, del examen independiente de la aplicación de las recomendaciones de la Agenda para el Desarrollo.</w:t>
      </w:r>
    </w:p>
    <w:p w:rsidR="0095318C" w:rsidRDefault="0095318C"/>
    <w:p w:rsidR="0095318C" w:rsidRPr="00540D02" w:rsidRDefault="0095318C"/>
    <w:p w:rsidR="0095318C" w:rsidRDefault="0095318C">
      <w:pPr>
        <w:rPr>
          <w:iCs/>
          <w:caps/>
          <w:szCs w:val="28"/>
        </w:rPr>
      </w:pPr>
      <w:bookmarkStart w:id="103" w:name="_Toc422927416"/>
      <w:bookmarkStart w:id="104" w:name="_Toc392610038"/>
      <w:r>
        <w:rPr>
          <w:bCs/>
        </w:rPr>
        <w:br w:type="page"/>
      </w:r>
    </w:p>
    <w:p w:rsidR="0095318C" w:rsidRPr="0095318C" w:rsidRDefault="0095318C" w:rsidP="00DC1333">
      <w:pPr>
        <w:pStyle w:val="Heading2"/>
        <w:tabs>
          <w:tab w:val="left" w:pos="2410"/>
        </w:tabs>
        <w:ind w:left="2410" w:hanging="2410"/>
        <w:rPr>
          <w:b/>
          <w:bCs w:val="0"/>
          <w:caps w:val="0"/>
        </w:rPr>
      </w:pPr>
      <w:bookmarkStart w:id="105" w:name="_Toc455159084"/>
      <w:r w:rsidRPr="0095318C">
        <w:rPr>
          <w:b/>
          <w:bCs w:val="0"/>
        </w:rPr>
        <w:lastRenderedPageBreak/>
        <w:t>PROGRAMA 9</w:t>
      </w:r>
      <w:r w:rsidRPr="0095318C">
        <w:rPr>
          <w:b/>
          <w:bCs w:val="0"/>
        </w:rPr>
        <w:tab/>
        <w:t>PAÍSES AFRICANOS, ÁRABES, DE AMÉRICA LATINA Y EL CARIBE, DE ASIA Y EL PACÍFICO Y PAÍSES MENOS ADELANTADOS</w:t>
      </w:r>
      <w:bookmarkEnd w:id="103"/>
      <w:bookmarkEnd w:id="105"/>
    </w:p>
    <w:p w:rsidR="0095318C" w:rsidRPr="003C4694" w:rsidRDefault="0095318C" w:rsidP="00DC1333">
      <w:pPr>
        <w:tabs>
          <w:tab w:val="left" w:pos="1985"/>
          <w:tab w:val="left" w:pos="2268"/>
        </w:tabs>
        <w:ind w:left="2268" w:hanging="2268"/>
      </w:pPr>
    </w:p>
    <w:p w:rsidR="0095318C" w:rsidRPr="00013B5C" w:rsidRDefault="0095318C" w:rsidP="00DC1333">
      <w:pPr>
        <w:ind w:left="2410" w:hanging="2410"/>
        <w:rPr>
          <w:b/>
          <w:sz w:val="20"/>
        </w:rPr>
      </w:pPr>
      <w:r w:rsidRPr="00013B5C">
        <w:rPr>
          <w:b/>
          <w:sz w:val="20"/>
        </w:rPr>
        <w:t>Director de programa</w:t>
      </w:r>
      <w:r w:rsidRPr="00013B5C">
        <w:rPr>
          <w:b/>
          <w:sz w:val="20"/>
        </w:rPr>
        <w:tab/>
        <w:t>Sr. M. Matus</w:t>
      </w:r>
    </w:p>
    <w:p w:rsidR="0095318C" w:rsidRPr="003C4694" w:rsidRDefault="0095318C" w:rsidP="00DC1333"/>
    <w:p w:rsidR="0095318C" w:rsidRPr="003C4694" w:rsidRDefault="0095318C" w:rsidP="00DC1333"/>
    <w:bookmarkEnd w:id="104"/>
    <w:p w:rsidR="0095318C" w:rsidRPr="003C4694" w:rsidRDefault="008F7CBE" w:rsidP="00DC1333">
      <w:pPr>
        <w:rPr>
          <w:bCs/>
          <w:szCs w:val="22"/>
        </w:rPr>
      </w:pPr>
      <w:r w:rsidRPr="008F7CBE">
        <w:rPr>
          <w:bCs/>
          <w:sz w:val="20"/>
          <w:szCs w:val="22"/>
        </w:rPr>
        <w:t>LOGROS ALCANZADOS EN EL BIENIO 2014/15</w:t>
      </w:r>
    </w:p>
    <w:p w:rsidR="0095318C" w:rsidRPr="003C4694" w:rsidRDefault="0095318C" w:rsidP="00DC1333">
      <w:pPr>
        <w:pStyle w:val="ListParagraph"/>
        <w:ind w:left="0"/>
        <w:jc w:val="both"/>
        <w:rPr>
          <w:bCs/>
          <w:lang w:val="es-ES"/>
        </w:rPr>
      </w:pPr>
    </w:p>
    <w:p w:rsidR="0095318C" w:rsidRPr="003C4694" w:rsidRDefault="0095318C" w:rsidP="0095318C">
      <w:pPr>
        <w:pStyle w:val="ListParagraph"/>
        <w:numPr>
          <w:ilvl w:val="1"/>
          <w:numId w:val="53"/>
        </w:numPr>
        <w:contextualSpacing/>
        <w:jc w:val="both"/>
        <w:rPr>
          <w:rFonts w:eastAsia="SimSun"/>
          <w:lang w:val="es-ES" w:eastAsia="zh-CN"/>
        </w:rPr>
      </w:pPr>
      <w:r w:rsidRPr="003C4694">
        <w:rPr>
          <w:bCs/>
          <w:lang w:val="es-ES"/>
        </w:rPr>
        <w:t xml:space="preserve">La </w:t>
      </w:r>
      <w:r w:rsidRPr="00DE4F09">
        <w:rPr>
          <w:bCs/>
          <w:lang w:val="es-ES"/>
        </w:rPr>
        <w:t xml:space="preserve">prestación de asistencia técnica y apoyo del programa a </w:t>
      </w:r>
      <w:r>
        <w:rPr>
          <w:bCs/>
          <w:lang w:val="es-ES"/>
        </w:rPr>
        <w:t xml:space="preserve">los Estados miembros en atención a </w:t>
      </w:r>
      <w:r w:rsidRPr="00DE4F09">
        <w:rPr>
          <w:bCs/>
          <w:lang w:val="es-ES"/>
        </w:rPr>
        <w:t>sus necesidades en el bienio</w:t>
      </w:r>
      <w:r>
        <w:rPr>
          <w:bCs/>
          <w:lang w:val="es-ES"/>
        </w:rPr>
        <w:t xml:space="preserve"> se siguió basando en la meta estratégica III de la OMPI: facilitar el uso de la P.I. para contribuir al desarrollo</w:t>
      </w:r>
      <w:r w:rsidRPr="00DE4F09">
        <w:rPr>
          <w:bCs/>
          <w:lang w:val="es-ES"/>
        </w:rPr>
        <w:t>.</w:t>
      </w:r>
      <w:r w:rsidRPr="003C4694">
        <w:rPr>
          <w:bCs/>
          <w:lang w:val="es-ES"/>
        </w:rPr>
        <w:t xml:space="preserve">  </w:t>
      </w:r>
      <w:r w:rsidRPr="003C4694">
        <w:rPr>
          <w:rFonts w:eastAsia="SimSun"/>
          <w:bCs/>
          <w:lang w:val="es-ES" w:eastAsia="zh-CN"/>
        </w:rPr>
        <w:t>En el marco del programa 9, que hace las veces de interfaz principal entre los Estados miembros beneficiarios y los diversos programas de la OMPI, se siguió garantizando la prestación de asistencia técnica adecuada a cada país y basada en sus necesidades, coherente y bien coordinada.</w:t>
      </w:r>
      <w:r w:rsidRPr="003C4694">
        <w:rPr>
          <w:bCs/>
          <w:lang w:val="es-ES"/>
        </w:rPr>
        <w:t xml:space="preserve">  </w:t>
      </w:r>
      <w:r w:rsidRPr="003C4694">
        <w:rPr>
          <w:rFonts w:eastAsia="SimSun"/>
          <w:lang w:val="es-ES" w:eastAsia="zh-CN"/>
        </w:rPr>
        <w:t>En general, la configuración, planificación y aplicación de las actividades de cooperación técnica se basaron en las recomendaciones correspondientes de la A.D., en particular, las recomendaciones de la categoría A, relativas a las actividades de asistencia técnica y fortalecimiento de capacidades que presta la OMPI.  En sintonía también con las recomendaciones de la A.D., en 2014/15 siguió incorporándose a los diferentes programas especializados de la Organización la ejecuc</w:t>
      </w:r>
      <w:r>
        <w:rPr>
          <w:rFonts w:eastAsia="SimSun"/>
          <w:lang w:val="es-ES" w:eastAsia="zh-CN"/>
        </w:rPr>
        <w:t xml:space="preserve">ión de actividades </w:t>
      </w:r>
      <w:r w:rsidRPr="00DE4F09">
        <w:rPr>
          <w:rFonts w:eastAsia="SimSun"/>
          <w:lang w:val="es-ES" w:eastAsia="zh-CN"/>
        </w:rPr>
        <w:t>orientadas al desarrollo en los países en desarrollo y PMA a</w:t>
      </w:r>
      <w:r w:rsidRPr="003C4694">
        <w:rPr>
          <w:rFonts w:eastAsia="SimSun"/>
          <w:lang w:val="es-ES" w:eastAsia="zh-CN"/>
        </w:rPr>
        <w:t xml:space="preserve"> fin de seguir fortaleciendo la cooperación técnica de la OMPI.</w:t>
      </w:r>
    </w:p>
    <w:p w:rsidR="0095318C" w:rsidRPr="003C4694" w:rsidRDefault="0095318C" w:rsidP="00DC1333">
      <w:pPr>
        <w:pStyle w:val="ListParagraph"/>
        <w:ind w:left="0"/>
        <w:jc w:val="both"/>
        <w:rPr>
          <w:bCs/>
          <w:lang w:val="es-ES"/>
        </w:rPr>
      </w:pPr>
    </w:p>
    <w:p w:rsidR="0095318C" w:rsidRPr="003C4694" w:rsidRDefault="0095318C" w:rsidP="0095318C">
      <w:pPr>
        <w:pStyle w:val="ListParagraph"/>
        <w:numPr>
          <w:ilvl w:val="1"/>
          <w:numId w:val="53"/>
        </w:numPr>
        <w:contextualSpacing/>
        <w:jc w:val="both"/>
        <w:rPr>
          <w:bCs/>
          <w:lang w:val="es-ES"/>
        </w:rPr>
      </w:pPr>
      <w:r w:rsidRPr="003C4694">
        <w:rPr>
          <w:rFonts w:eastAsia="SimSun"/>
          <w:bCs/>
          <w:lang w:val="es-ES" w:eastAsia="zh-CN"/>
        </w:rPr>
        <w:t xml:space="preserve">La OMPI siguió prestando asistencia a los países en desarrollo y PMA en la elaboración, el desarrollo y la aplicación de estrategias nacionales de P.I. coherentes con sus planes generales de desarrollo y capaces de impulsar la innovación y la creatividad.  </w:t>
      </w:r>
      <w:r>
        <w:rPr>
          <w:rFonts w:eastAsia="SimSun"/>
          <w:bCs/>
          <w:lang w:val="es-ES" w:eastAsia="zh-CN"/>
        </w:rPr>
        <w:t>El proceso siguió orientándose hacia</w:t>
      </w:r>
      <w:r w:rsidRPr="003C4694">
        <w:rPr>
          <w:rFonts w:eastAsia="SimSun"/>
          <w:bCs/>
          <w:lang w:val="es-ES" w:eastAsia="zh-CN"/>
        </w:rPr>
        <w:t xml:space="preserve"> la aplicación de una metodología normalizada, pero flexible, y un repertorio de herramientas prácticas para la formulación de estrategias y planes nacionales de P.I., creadas en el marco del </w:t>
      </w:r>
      <w:r w:rsidRPr="00DE4F09">
        <w:rPr>
          <w:rFonts w:eastAsia="SimSun"/>
          <w:bCs/>
          <w:lang w:val="es-ES" w:eastAsia="zh-CN"/>
        </w:rPr>
        <w:t>proyecto de 2012</w:t>
      </w:r>
      <w:r w:rsidRPr="003C4694">
        <w:rPr>
          <w:rFonts w:eastAsia="SimSun"/>
          <w:bCs/>
          <w:lang w:val="es-ES" w:eastAsia="zh-CN"/>
        </w:rPr>
        <w:t xml:space="preserve"> de la A.D. sobre la mejora de la capacidad de las instituciones de P.I. de ámbito nacional, subregional y regional y de los respectivos usuarios.  Como resultado de ello, </w:t>
      </w:r>
      <w:r w:rsidRPr="00DE4F09">
        <w:rPr>
          <w:rFonts w:eastAsia="SimSun"/>
          <w:bCs/>
          <w:lang w:val="es-ES" w:eastAsia="zh-CN"/>
        </w:rPr>
        <w:t>15</w:t>
      </w:r>
      <w:r w:rsidRPr="003C4694">
        <w:rPr>
          <w:rFonts w:eastAsia="SimSun"/>
          <w:bCs/>
          <w:lang w:val="es-ES" w:eastAsia="zh-CN"/>
        </w:rPr>
        <w:t xml:space="preserve"> países (seis en África, cinco en Asia y el Pacífico y cuatro en América Latina y el Caribe) iniciaron a finales de 2014 el proceso de formulación de estrategias y planes de desarrollo nacionales de P.I., y 13 países (cuat</w:t>
      </w:r>
      <w:r>
        <w:rPr>
          <w:rFonts w:eastAsia="SimSun"/>
          <w:bCs/>
          <w:lang w:val="es-ES" w:eastAsia="zh-CN"/>
        </w:rPr>
        <w:t>ro en África, dos en la región á</w:t>
      </w:r>
      <w:r w:rsidRPr="003C4694">
        <w:rPr>
          <w:rFonts w:eastAsia="SimSun"/>
          <w:bCs/>
          <w:lang w:val="es-ES" w:eastAsia="zh-CN"/>
        </w:rPr>
        <w:t xml:space="preserve">rabe, tres en Asia y el Pacífico y cuatro en América Latina y el Caribe) estaban todavía </w:t>
      </w:r>
      <w:r w:rsidRPr="00DE4F09">
        <w:rPr>
          <w:rFonts w:eastAsia="SimSun"/>
          <w:bCs/>
          <w:lang w:val="es-ES" w:eastAsia="zh-CN"/>
        </w:rPr>
        <w:t>inmersos</w:t>
      </w:r>
      <w:r>
        <w:rPr>
          <w:rFonts w:eastAsia="SimSun"/>
          <w:bCs/>
          <w:lang w:val="es-ES" w:eastAsia="zh-CN"/>
        </w:rPr>
        <w:t xml:space="preserve"> </w:t>
      </w:r>
      <w:r w:rsidRPr="003C4694">
        <w:rPr>
          <w:rFonts w:eastAsia="SimSun"/>
          <w:bCs/>
          <w:lang w:val="es-ES" w:eastAsia="zh-CN"/>
        </w:rPr>
        <w:t>en el proceso de formulación o de adopción.  A fines del bienio 2014/15 se habían adoptado, o estaban en vías de aplicación, planes de desarrollo/estrategias nacionales en materia de P.I. en un total de 4</w:t>
      </w:r>
      <w:r w:rsidR="00124954">
        <w:rPr>
          <w:rFonts w:eastAsia="SimSun"/>
          <w:bCs/>
          <w:lang w:val="es-ES" w:eastAsia="zh-CN"/>
        </w:rPr>
        <w:t>4</w:t>
      </w:r>
      <w:r w:rsidRPr="003C4694">
        <w:rPr>
          <w:rFonts w:eastAsia="SimSun"/>
          <w:bCs/>
          <w:lang w:val="es-ES" w:eastAsia="zh-CN"/>
        </w:rPr>
        <w:t xml:space="preserve"> países (26 en África, dos en los países árabes, </w:t>
      </w:r>
      <w:r w:rsidR="00124954">
        <w:rPr>
          <w:rFonts w:eastAsia="SimSun"/>
          <w:bCs/>
          <w:lang w:val="es-ES" w:eastAsia="zh-CN"/>
        </w:rPr>
        <w:t>ocho</w:t>
      </w:r>
      <w:r w:rsidRPr="003C4694">
        <w:rPr>
          <w:rFonts w:eastAsia="SimSun"/>
          <w:bCs/>
          <w:lang w:val="es-ES" w:eastAsia="zh-CN"/>
        </w:rPr>
        <w:t xml:space="preserve"> en Asia y el Pacífico y ocho en América Latina y el Caribe), de los que 1</w:t>
      </w:r>
      <w:r w:rsidR="00124954">
        <w:rPr>
          <w:rFonts w:eastAsia="SimSun"/>
          <w:bCs/>
          <w:lang w:val="es-ES" w:eastAsia="zh-CN"/>
        </w:rPr>
        <w:t>9</w:t>
      </w:r>
      <w:r w:rsidRPr="003C4694">
        <w:rPr>
          <w:rFonts w:eastAsia="SimSun"/>
          <w:bCs/>
          <w:lang w:val="es-ES" w:eastAsia="zh-CN"/>
        </w:rPr>
        <w:t xml:space="preserve"> eran países menos adelantados.</w:t>
      </w:r>
      <w:r w:rsidRPr="003C4694">
        <w:rPr>
          <w:bCs/>
          <w:lang w:val="es-ES"/>
        </w:rPr>
        <w:t xml:space="preserve"> </w:t>
      </w:r>
    </w:p>
    <w:p w:rsidR="0095318C" w:rsidRPr="003C4694" w:rsidRDefault="0095318C" w:rsidP="00DC1333">
      <w:pPr>
        <w:pStyle w:val="ListParagraph"/>
        <w:ind w:left="0"/>
        <w:jc w:val="both"/>
        <w:rPr>
          <w:bCs/>
          <w:lang w:val="es-ES"/>
        </w:rPr>
      </w:pPr>
    </w:p>
    <w:p w:rsidR="0095318C" w:rsidRPr="003C4694" w:rsidRDefault="0095318C" w:rsidP="0095318C">
      <w:pPr>
        <w:pStyle w:val="ListParagraph"/>
        <w:numPr>
          <w:ilvl w:val="1"/>
          <w:numId w:val="53"/>
        </w:numPr>
        <w:contextualSpacing/>
        <w:jc w:val="both"/>
        <w:rPr>
          <w:lang w:val="es-ES"/>
        </w:rPr>
      </w:pPr>
      <w:r w:rsidRPr="003C4694">
        <w:rPr>
          <w:bCs/>
          <w:lang w:val="es-ES"/>
        </w:rPr>
        <w:t>Por primera vez, la OMPI participó activamente en la prestación de asistencia a un grupo regional para formular un marco global de P.I. en el plano regional.  En octubre de 2014, representantes de cada uno de los países de la Asociación de Naciones del Asia Sudoriental (ASEAN) participaron en un taller de intercambio de ideas en relación con la elaboración del plan estratégico sobre derechos de P.I. de la ASEAN para 2016-2025, de conformidad con la estrategia de la Co</w:t>
      </w:r>
      <w:r>
        <w:rPr>
          <w:bCs/>
          <w:lang w:val="es-ES"/>
        </w:rPr>
        <w:t xml:space="preserve">munidad Económica </w:t>
      </w:r>
      <w:r w:rsidRPr="003C4694">
        <w:rPr>
          <w:bCs/>
          <w:lang w:val="es-ES"/>
        </w:rPr>
        <w:t>de la ASEAN para 2016-2025.</w:t>
      </w:r>
    </w:p>
    <w:p w:rsidR="0095318C" w:rsidRPr="003C4694" w:rsidRDefault="0095318C" w:rsidP="00DC1333">
      <w:pPr>
        <w:contextualSpacing/>
        <w:jc w:val="both"/>
        <w:rPr>
          <w:bCs/>
        </w:rPr>
      </w:pPr>
    </w:p>
    <w:p w:rsidR="0095318C" w:rsidRPr="003C4694" w:rsidRDefault="0095318C" w:rsidP="0095318C">
      <w:pPr>
        <w:pStyle w:val="ListParagraph"/>
        <w:numPr>
          <w:ilvl w:val="1"/>
          <w:numId w:val="53"/>
        </w:numPr>
        <w:contextualSpacing/>
        <w:jc w:val="both"/>
        <w:rPr>
          <w:rFonts w:eastAsia="SimSun"/>
          <w:bCs/>
          <w:lang w:val="es-ES" w:eastAsia="zh-CN"/>
        </w:rPr>
      </w:pPr>
      <w:r w:rsidRPr="003C4694">
        <w:rPr>
          <w:rFonts w:eastAsia="SimSun"/>
          <w:bCs/>
          <w:lang w:val="es-ES" w:eastAsia="zh-CN"/>
        </w:rPr>
        <w:t xml:space="preserve">A lo largo del bienio siguió siendo prioritaria la tarea de mejorar las capacidades en el ámbito de los recursos humanos para hacer frente al amplio espectro de exigencias que supone la utilización eficaz </w:t>
      </w:r>
      <w:r w:rsidRPr="00DE4F09">
        <w:rPr>
          <w:rFonts w:eastAsia="SimSun"/>
          <w:bCs/>
          <w:lang w:val="es-ES" w:eastAsia="zh-CN"/>
        </w:rPr>
        <w:t>de la P.I. en aras del desarrollo y potenciar la innovación y la creatividad.  Se llevaron a cabo programas específicos</w:t>
      </w:r>
      <w:r w:rsidRPr="003C4694">
        <w:rPr>
          <w:rFonts w:eastAsia="SimSun"/>
          <w:bCs/>
          <w:lang w:val="es-ES" w:eastAsia="zh-CN"/>
        </w:rPr>
        <w:t xml:space="preserve"> en los planos nacional, subregional y regional, de fortalecimiento de capacidades y de desar</w:t>
      </w:r>
      <w:r>
        <w:rPr>
          <w:rFonts w:eastAsia="SimSun"/>
          <w:bCs/>
          <w:lang w:val="es-ES" w:eastAsia="zh-CN"/>
        </w:rPr>
        <w:t xml:space="preserve">rollo de aptitudes destinados a grupos concretos, </w:t>
      </w:r>
      <w:r w:rsidRPr="003C4694">
        <w:rPr>
          <w:rFonts w:eastAsia="SimSun"/>
          <w:bCs/>
          <w:lang w:val="es-ES" w:eastAsia="zh-CN"/>
        </w:rPr>
        <w:t>tales como funcionarios gubernamentales, responsables de la elaboración de políticas, profesionales de la P.I., funcionarios encargados de hacer cumplir la ley, investigadores y académicos, empresarios y miembros del sector industrial así como pymes.</w:t>
      </w:r>
    </w:p>
    <w:p w:rsidR="0095318C" w:rsidRPr="003C4694" w:rsidRDefault="0095318C" w:rsidP="00DC1333">
      <w:pPr>
        <w:contextualSpacing/>
        <w:jc w:val="both"/>
        <w:rPr>
          <w:bCs/>
        </w:rPr>
      </w:pPr>
    </w:p>
    <w:p w:rsidR="0095318C" w:rsidRPr="003C4694" w:rsidRDefault="0095318C" w:rsidP="0095318C">
      <w:pPr>
        <w:pStyle w:val="ListParagraph"/>
        <w:numPr>
          <w:ilvl w:val="1"/>
          <w:numId w:val="53"/>
        </w:numPr>
        <w:contextualSpacing/>
        <w:jc w:val="both"/>
        <w:rPr>
          <w:b/>
          <w:bCs/>
          <w:lang w:val="es-ES"/>
        </w:rPr>
      </w:pPr>
      <w:r w:rsidRPr="003C4694">
        <w:rPr>
          <w:rFonts w:eastAsia="SimSun"/>
          <w:bCs/>
          <w:lang w:val="es-ES" w:eastAsia="zh-CN"/>
        </w:rPr>
        <w:t xml:space="preserve">En 2014/15, la OMPI siguió reforzando su asistencia a las Oficinas de P.I. de los países en </w:t>
      </w:r>
      <w:r w:rsidRPr="00DE4F09">
        <w:rPr>
          <w:rFonts w:eastAsia="SimSun"/>
          <w:bCs/>
          <w:lang w:val="es-ES" w:eastAsia="zh-CN"/>
        </w:rPr>
        <w:t xml:space="preserve">desarrollo y PMA para que puedan ofrecer a los sectores interesados servicios de infraestructura técnica y modernización de la P.I. que sean </w:t>
      </w:r>
      <w:proofErr w:type="spellStart"/>
      <w:r w:rsidRPr="00DE4F09">
        <w:rPr>
          <w:rFonts w:eastAsia="SimSun"/>
          <w:bCs/>
          <w:lang w:val="es-ES" w:eastAsia="zh-CN"/>
        </w:rPr>
        <w:t>costoeficaces</w:t>
      </w:r>
      <w:proofErr w:type="spellEnd"/>
      <w:r w:rsidRPr="00DE4F09">
        <w:rPr>
          <w:rFonts w:eastAsia="SimSun"/>
          <w:bCs/>
          <w:lang w:val="es-ES" w:eastAsia="zh-CN"/>
        </w:rPr>
        <w:t xml:space="preserve"> y de calidad, creando así un entorno más favorable al uso eficaz de la información de P.I., en particular, por parte de las instituciones a cargo de la</w:t>
      </w:r>
      <w:r w:rsidRPr="003C4694">
        <w:rPr>
          <w:rFonts w:eastAsia="SimSun"/>
          <w:bCs/>
          <w:lang w:val="es-ES" w:eastAsia="zh-CN"/>
        </w:rPr>
        <w:t xml:space="preserve"> administración de derechos de P.I., el sistema nacional de innovación y el sector productivo.  </w:t>
      </w:r>
      <w:r>
        <w:rPr>
          <w:bCs/>
          <w:lang w:val="es-ES"/>
        </w:rPr>
        <w:t>A finales de </w:t>
      </w:r>
      <w:r w:rsidRPr="003C4694">
        <w:rPr>
          <w:bCs/>
          <w:lang w:val="es-ES"/>
        </w:rPr>
        <w:t>2015, alrededor de 70 oficinas utilizaban los sistemas de la OMPI de administración de la P.I. en diferentes regiones: 24 en África, 14 en la región árabe, 13 en Asia y el Pacífico, y 19 en América Latina y el Caribe (para obtener información más detallada, véase el programa 15)</w:t>
      </w:r>
      <w:r w:rsidRPr="003C4694">
        <w:rPr>
          <w:rFonts w:eastAsia="SimSun"/>
          <w:bCs/>
          <w:lang w:val="es-ES" w:eastAsia="zh-CN"/>
        </w:rPr>
        <w:t>.</w:t>
      </w:r>
    </w:p>
    <w:p w:rsidR="0095318C" w:rsidRPr="003C4694" w:rsidRDefault="0095318C" w:rsidP="0095318C">
      <w:pPr>
        <w:pStyle w:val="ListParagraph"/>
        <w:numPr>
          <w:ilvl w:val="1"/>
          <w:numId w:val="53"/>
        </w:numPr>
        <w:contextualSpacing/>
        <w:jc w:val="both"/>
        <w:rPr>
          <w:rFonts w:eastAsia="SimSun"/>
          <w:bCs/>
          <w:lang w:val="es-ES" w:eastAsia="zh-CN"/>
        </w:rPr>
      </w:pPr>
      <w:r w:rsidRPr="003C4694">
        <w:rPr>
          <w:rFonts w:eastAsia="SimSun"/>
          <w:bCs/>
          <w:lang w:val="es-ES" w:eastAsia="zh-CN"/>
        </w:rPr>
        <w:lastRenderedPageBreak/>
        <w:t xml:space="preserve">Una de las </w:t>
      </w:r>
      <w:r>
        <w:rPr>
          <w:rFonts w:eastAsia="SimSun"/>
          <w:bCs/>
          <w:lang w:val="es-ES" w:eastAsia="zh-CN"/>
        </w:rPr>
        <w:t xml:space="preserve">principales prioridades </w:t>
      </w:r>
      <w:r w:rsidRPr="003C4694">
        <w:rPr>
          <w:rFonts w:eastAsia="SimSun"/>
          <w:bCs/>
          <w:lang w:val="es-ES" w:eastAsia="zh-CN"/>
        </w:rPr>
        <w:t>siguió siendo facilitar el acceso a bases de datos de información mundial sobre tecnología.  A lo largo del bienio, se hizo mayor hincapié en consolidar los centros de apoyo a la tecnología y la innovación (CATI) con miras a lograr su sostenibilidad a largo plazo.  De los 49 CATI creados en las distintas regiones, a finales de 2015 se consideraban sostenibles unos 24</w:t>
      </w:r>
      <w:r>
        <w:rPr>
          <w:rFonts w:eastAsia="SimSun"/>
          <w:bCs/>
          <w:lang w:val="es-ES" w:eastAsia="zh-CN"/>
        </w:rPr>
        <w:t>:</w:t>
      </w:r>
      <w:r w:rsidRPr="003C4694">
        <w:rPr>
          <w:rFonts w:eastAsia="SimSun"/>
          <w:bCs/>
          <w:lang w:val="es-ES" w:eastAsia="zh-CN"/>
        </w:rPr>
        <w:t xml:space="preserve"> </w:t>
      </w:r>
      <w:r>
        <w:rPr>
          <w:rFonts w:eastAsia="SimSun"/>
          <w:bCs/>
          <w:lang w:val="es-ES" w:eastAsia="zh-CN"/>
        </w:rPr>
        <w:t xml:space="preserve"> </w:t>
      </w:r>
      <w:r w:rsidRPr="003C4694">
        <w:rPr>
          <w:rFonts w:eastAsia="SimSun"/>
          <w:bCs/>
          <w:lang w:val="es-ES" w:eastAsia="zh-CN"/>
        </w:rPr>
        <w:t>diez en África (ocho de ellos en PMA);  tres en la región árabe;  cuatro en Asia y el Pacífico (uno de ellos en un PMA), y siete en América Latina y el Caribe (para obtener información m</w:t>
      </w:r>
      <w:r w:rsidR="00DA28C1">
        <w:rPr>
          <w:rFonts w:eastAsia="SimSun"/>
          <w:bCs/>
          <w:lang w:val="es-ES" w:eastAsia="zh-CN"/>
        </w:rPr>
        <w:t>ás detallada, véase el programa </w:t>
      </w:r>
      <w:r w:rsidRPr="003C4694">
        <w:rPr>
          <w:rFonts w:eastAsia="SimSun"/>
          <w:bCs/>
          <w:lang w:val="es-ES" w:eastAsia="zh-CN"/>
        </w:rPr>
        <w:t>14).</w:t>
      </w:r>
    </w:p>
    <w:p w:rsidR="0095318C" w:rsidRPr="003C4694" w:rsidRDefault="0095318C" w:rsidP="00DC1333">
      <w:pPr>
        <w:tabs>
          <w:tab w:val="left" w:pos="709"/>
        </w:tabs>
        <w:jc w:val="both"/>
        <w:rPr>
          <w:bCs/>
        </w:rPr>
      </w:pPr>
    </w:p>
    <w:p w:rsidR="0095318C" w:rsidRPr="003C4694" w:rsidRDefault="0095318C" w:rsidP="0095318C">
      <w:pPr>
        <w:pStyle w:val="ListParagraph"/>
        <w:numPr>
          <w:ilvl w:val="1"/>
          <w:numId w:val="53"/>
        </w:numPr>
        <w:contextualSpacing/>
        <w:jc w:val="both"/>
        <w:rPr>
          <w:bCs/>
          <w:lang w:val="es-ES"/>
        </w:rPr>
      </w:pPr>
      <w:r w:rsidRPr="003C4694">
        <w:rPr>
          <w:bCs/>
          <w:lang w:val="es-ES"/>
        </w:rPr>
        <w:t>La OMPI también ha reforzado su cooperación con los PMA a fin de elaborar un marco de políticas públicas sobre innovación;  evaluar las aptitudes técnicas nec</w:t>
      </w:r>
      <w:r>
        <w:rPr>
          <w:bCs/>
          <w:lang w:val="es-ES"/>
        </w:rPr>
        <w:t xml:space="preserve">esarias;  facilitar el acceso a plataformas </w:t>
      </w:r>
      <w:r w:rsidRPr="003C4694">
        <w:rPr>
          <w:bCs/>
          <w:lang w:val="es-ES"/>
        </w:rPr>
        <w:t>de información científica y tecnológica</w:t>
      </w:r>
      <w:r>
        <w:rPr>
          <w:bCs/>
          <w:lang w:val="es-ES"/>
        </w:rPr>
        <w:t xml:space="preserve"> a nivel mundial</w:t>
      </w:r>
      <w:r w:rsidRPr="003C4694">
        <w:rPr>
          <w:bCs/>
          <w:lang w:val="es-ES"/>
        </w:rPr>
        <w:t xml:space="preserve">;  crear infraestructuras de apoyo a la innovación;  y apoyar los inventarios y el fortalecimiento de capacidades en relación con los conocimientos tradicionales.  Como parte de la fase II del proyecto de la A.D. sobre fortalecimiento de capacidades en el uso de información técnica y científica relativa a las tecnologías apropiadas para solucionar determinados problemas de desarrollo, se suscribieron memorandos de entendimiento con cuatro PMA (Etiopía, la República Unida de </w:t>
      </w:r>
      <w:proofErr w:type="spellStart"/>
      <w:r w:rsidRPr="003C4694">
        <w:rPr>
          <w:bCs/>
          <w:lang w:val="es-ES"/>
        </w:rPr>
        <w:t>Tanzanía</w:t>
      </w:r>
      <w:proofErr w:type="spellEnd"/>
      <w:r w:rsidRPr="003C4694">
        <w:rPr>
          <w:bCs/>
          <w:lang w:val="es-ES"/>
        </w:rPr>
        <w:t xml:space="preserve">, </w:t>
      </w:r>
      <w:proofErr w:type="spellStart"/>
      <w:r>
        <w:rPr>
          <w:bCs/>
          <w:lang w:val="es-ES"/>
        </w:rPr>
        <w:t>Rwanda</w:t>
      </w:r>
      <w:proofErr w:type="spellEnd"/>
      <w:r w:rsidRPr="003C4694">
        <w:rPr>
          <w:bCs/>
          <w:lang w:val="es-ES"/>
        </w:rPr>
        <w:t xml:space="preserve"> y Uganda) y, a finales de 2015, el proyecto había comenzado a aplicarse en tres de ellos (</w:t>
      </w:r>
      <w:r w:rsidRPr="003C4694">
        <w:rPr>
          <w:rFonts w:eastAsia="Calibri"/>
          <w:color w:val="000000"/>
          <w:szCs w:val="24"/>
          <w:lang w:val="es-ES"/>
        </w:rPr>
        <w:t xml:space="preserve">Etiopía, la República Unida de </w:t>
      </w:r>
      <w:proofErr w:type="spellStart"/>
      <w:r w:rsidRPr="003C4694">
        <w:rPr>
          <w:rFonts w:eastAsia="Calibri"/>
          <w:color w:val="000000"/>
          <w:szCs w:val="24"/>
          <w:lang w:val="es-ES"/>
        </w:rPr>
        <w:t>Tanzanía</w:t>
      </w:r>
      <w:proofErr w:type="spellEnd"/>
      <w:r w:rsidRPr="003C4694">
        <w:rPr>
          <w:rFonts w:eastAsia="Calibri"/>
          <w:color w:val="000000"/>
          <w:szCs w:val="24"/>
          <w:lang w:val="es-ES"/>
        </w:rPr>
        <w:t xml:space="preserve"> y </w:t>
      </w:r>
      <w:proofErr w:type="spellStart"/>
      <w:r w:rsidRPr="003C4694">
        <w:rPr>
          <w:rFonts w:eastAsia="Calibri"/>
          <w:color w:val="000000"/>
          <w:szCs w:val="24"/>
          <w:lang w:val="es-ES"/>
        </w:rPr>
        <w:t>Rwanda</w:t>
      </w:r>
      <w:proofErr w:type="spellEnd"/>
      <w:r w:rsidRPr="003C4694">
        <w:rPr>
          <w:rFonts w:eastAsia="Calibri"/>
          <w:color w:val="000000"/>
          <w:szCs w:val="24"/>
          <w:lang w:val="es-ES"/>
        </w:rPr>
        <w:t>)</w:t>
      </w:r>
      <w:r>
        <w:rPr>
          <w:bCs/>
          <w:lang w:val="es-ES"/>
        </w:rPr>
        <w:t>.</w:t>
      </w:r>
    </w:p>
    <w:p w:rsidR="0095318C" w:rsidRPr="003C4694" w:rsidRDefault="0095318C" w:rsidP="00DC1333">
      <w:pPr>
        <w:pStyle w:val="ListParagraph"/>
        <w:ind w:left="0"/>
        <w:jc w:val="both"/>
        <w:rPr>
          <w:bCs/>
          <w:lang w:val="es-ES"/>
        </w:rPr>
      </w:pPr>
    </w:p>
    <w:p w:rsidR="0095318C" w:rsidRPr="003C4694" w:rsidRDefault="0095318C" w:rsidP="0095318C">
      <w:pPr>
        <w:pStyle w:val="ListParagraph"/>
        <w:numPr>
          <w:ilvl w:val="1"/>
          <w:numId w:val="53"/>
        </w:numPr>
        <w:contextualSpacing/>
        <w:jc w:val="both"/>
        <w:rPr>
          <w:bCs/>
          <w:lang w:val="es-ES"/>
        </w:rPr>
      </w:pPr>
      <w:r w:rsidRPr="003C4694">
        <w:rPr>
          <w:bCs/>
          <w:lang w:val="es-ES"/>
        </w:rPr>
        <w:t xml:space="preserve">Asimismo, la OMPI colaboró estrechamente con la Oficina del Alto Representante para los Países Menos Adelantados, los Países en Desarrollo sin Litoral y los Pequeños Estados Insulares (UN-OHRLLS) en el contexto de la aplicación del Programa de Acción de Estambul.  En 2014, con ocasión de la </w:t>
      </w:r>
      <w:r>
        <w:rPr>
          <w:bCs/>
          <w:lang w:val="es-ES"/>
        </w:rPr>
        <w:t xml:space="preserve">Conferencia Ministerial celebrada en </w:t>
      </w:r>
      <w:proofErr w:type="spellStart"/>
      <w:r>
        <w:rPr>
          <w:bCs/>
          <w:lang w:val="es-ES"/>
        </w:rPr>
        <w:t>Benin</w:t>
      </w:r>
      <w:proofErr w:type="spellEnd"/>
      <w:r w:rsidRPr="003C4694">
        <w:rPr>
          <w:bCs/>
          <w:lang w:val="es-ES"/>
        </w:rPr>
        <w:t xml:space="preserve">, </w:t>
      </w:r>
      <w:r>
        <w:rPr>
          <w:bCs/>
          <w:lang w:val="es-ES"/>
        </w:rPr>
        <w:t xml:space="preserve">la OMPI llevó a la práctica un programa de alianzas para la cooperación interregional junto con la </w:t>
      </w:r>
      <w:r w:rsidRPr="0056597A">
        <w:rPr>
          <w:bCs/>
          <w:lang w:val="es-ES"/>
        </w:rPr>
        <w:t xml:space="preserve">Unión Internacional de Telecomunicaciones (UIT), el Fondo de las Naciones Unidas para el Desarrollo de la Capitalización (FNUDC) y la Organización de las Naciones Unidas para </w:t>
      </w:r>
      <w:r>
        <w:rPr>
          <w:bCs/>
          <w:lang w:val="es-ES"/>
        </w:rPr>
        <w:t>el Desarrollo Industrial (ONUDI</w:t>
      </w:r>
      <w:r w:rsidRPr="003C4694">
        <w:rPr>
          <w:bCs/>
          <w:lang w:val="es-ES"/>
        </w:rPr>
        <w:t xml:space="preserve">). </w:t>
      </w:r>
      <w:r>
        <w:rPr>
          <w:bCs/>
          <w:lang w:val="es-ES"/>
        </w:rPr>
        <w:t xml:space="preserve"> En 2015 se crearon dos nuevos foros de cooperación </w:t>
      </w:r>
      <w:r w:rsidRPr="00DE4F09">
        <w:rPr>
          <w:bCs/>
          <w:lang w:val="es-ES"/>
        </w:rPr>
        <w:t>entre organizaciones asociadas, uno con la Comisión Económica y Social de las Naciones Unidas para Asia y el Pacífico (CESPAP) y el otro la Comisión Económica de las Naciones Unidas para África</w:t>
      </w:r>
      <w:r w:rsidRPr="00BE4A34">
        <w:rPr>
          <w:bCs/>
          <w:lang w:val="es-ES"/>
        </w:rPr>
        <w:t xml:space="preserve"> (CEPA</w:t>
      </w:r>
      <w:r w:rsidRPr="003C4694">
        <w:rPr>
          <w:bCs/>
          <w:lang w:val="es-ES"/>
        </w:rPr>
        <w:t xml:space="preserve">).  </w:t>
      </w:r>
      <w:r>
        <w:rPr>
          <w:bCs/>
          <w:lang w:val="es-ES"/>
        </w:rPr>
        <w:t>La asociación con CESPAP condujo a una propuesta relativa a la firma de un memorando de entendimiento entre las dos organizaciones.  La atención se centró en la mejora de las capacidades y el fortalecimiento de instituciones de los PMA de África y Asia.</w:t>
      </w:r>
      <w:r w:rsidRPr="003C4694">
        <w:rPr>
          <w:bCs/>
          <w:lang w:val="es-ES"/>
        </w:rPr>
        <w:t xml:space="preserve"> </w:t>
      </w:r>
    </w:p>
    <w:p w:rsidR="0095318C" w:rsidRPr="003C4694" w:rsidRDefault="0095318C" w:rsidP="00DC1333">
      <w:pPr>
        <w:pStyle w:val="ListParagraph"/>
        <w:ind w:left="0"/>
        <w:rPr>
          <w:bCs/>
          <w:lang w:val="es-ES"/>
        </w:rPr>
      </w:pPr>
    </w:p>
    <w:p w:rsidR="0095318C" w:rsidRPr="00DE4F09" w:rsidRDefault="0095318C" w:rsidP="0095318C">
      <w:pPr>
        <w:pStyle w:val="ListParagraph"/>
        <w:numPr>
          <w:ilvl w:val="1"/>
          <w:numId w:val="53"/>
        </w:numPr>
        <w:contextualSpacing/>
        <w:jc w:val="both"/>
        <w:rPr>
          <w:bCs/>
          <w:lang w:val="es-ES"/>
        </w:rPr>
      </w:pPr>
      <w:r>
        <w:rPr>
          <w:rFonts w:cs="Arial"/>
          <w:lang w:val="es-ES"/>
        </w:rPr>
        <w:t xml:space="preserve">La OMPI, en colaboración con el Gobierno de Suecia (Oficina Sueca de Patentes y Registro) </w:t>
      </w:r>
      <w:r w:rsidRPr="00DE4F09">
        <w:rPr>
          <w:rFonts w:cs="Arial"/>
          <w:lang w:val="es-ES"/>
        </w:rPr>
        <w:t>prosiguió con su programa anual, iniciado en 2004, de formación internacional</w:t>
      </w:r>
      <w:r w:rsidRPr="00DE4F09">
        <w:rPr>
          <w:bCs/>
          <w:lang w:val="es-ES"/>
        </w:rPr>
        <w:t xml:space="preserve"> sobre la P.I. en la economía mundial destinado a orientar a los PMA sobre el uso de la P.I. al servicio del desarrollo.  Para</w:t>
      </w:r>
      <w:r>
        <w:rPr>
          <w:bCs/>
          <w:lang w:val="es-ES"/>
        </w:rPr>
        <w:t xml:space="preserve"> determinar la pertinencia, la eficacia, la eficiencia, la sostenibilidad y la incidencia del programa durante los últimos diez años, el Organismo Sueco de Cooperación para el Desarrollo Internacional (Sida) llevó a cabo una evaluación independiente</w:t>
      </w:r>
      <w:r w:rsidRPr="003C4694">
        <w:rPr>
          <w:rStyle w:val="FootnoteReference"/>
          <w:bCs/>
          <w:lang w:val="es-ES"/>
        </w:rPr>
        <w:footnoteReference w:id="54"/>
      </w:r>
      <w:r>
        <w:rPr>
          <w:bCs/>
          <w:lang w:val="es-ES"/>
        </w:rPr>
        <w:t xml:space="preserve"> sobre el desempeño del programa entre febrero de 2014 y febrero de 2015.  Sobre la base de los resultados, que en general </w:t>
      </w:r>
      <w:r w:rsidRPr="003C4694">
        <w:rPr>
          <w:bCs/>
          <w:lang w:val="es-ES"/>
        </w:rPr>
        <w:t>f</w:t>
      </w:r>
      <w:r>
        <w:rPr>
          <w:bCs/>
          <w:lang w:val="es-ES"/>
        </w:rPr>
        <w:t xml:space="preserve">ueron muy positivos, a partir de 2016 el </w:t>
      </w:r>
      <w:r w:rsidRPr="00DE4F09">
        <w:rPr>
          <w:bCs/>
          <w:lang w:val="es-ES"/>
        </w:rPr>
        <w:t>programa tendrá carácter bianual.</w:t>
      </w:r>
    </w:p>
    <w:p w:rsidR="0095318C" w:rsidRPr="003C4694" w:rsidRDefault="0095318C" w:rsidP="00DC1333">
      <w:pPr>
        <w:pStyle w:val="ListParagraph"/>
        <w:ind w:left="0"/>
        <w:contextualSpacing/>
        <w:jc w:val="both"/>
        <w:rPr>
          <w:bCs/>
          <w:lang w:val="es-ES"/>
        </w:rPr>
      </w:pPr>
    </w:p>
    <w:p w:rsidR="0095318C" w:rsidRDefault="0095318C" w:rsidP="0095318C">
      <w:pPr>
        <w:pStyle w:val="ListParagraph"/>
        <w:numPr>
          <w:ilvl w:val="1"/>
          <w:numId w:val="53"/>
        </w:numPr>
        <w:contextualSpacing/>
        <w:jc w:val="both"/>
        <w:rPr>
          <w:bCs/>
          <w:lang w:val="es-ES"/>
        </w:rPr>
      </w:pPr>
      <w:r w:rsidRPr="00F34A74">
        <w:rPr>
          <w:bCs/>
          <w:lang w:val="es-ES"/>
        </w:rPr>
        <w:t>Tras llevarse a cabo y ser evaluado en 2014, el proyecto relativo a la intensificación de la cooperación Sur-Sur en materia de propiedad intelectual (P.I.) y desarrollo entre los países en desarrollo y los PMA se amplió hasta junio de 2015.  Posteriormente se nombró un coordinador específico para ese proyecto dentro del Sector de Desarrollo.  En mayo de 2014 se puso en marcha oficialmente el sitio web Sur-Sur</w:t>
      </w:r>
      <w:r w:rsidRPr="00F34A74">
        <w:rPr>
          <w:rStyle w:val="FootnoteReference"/>
          <w:bCs/>
          <w:lang w:val="es-ES"/>
        </w:rPr>
        <w:footnoteReference w:id="55"/>
      </w:r>
      <w:r w:rsidRPr="00F34A74">
        <w:rPr>
          <w:bCs/>
          <w:lang w:val="es-ES"/>
        </w:rPr>
        <w:t xml:space="preserve">, especializado en actividades Sur-Sur, en el que figuraban plataformas de Internet Sur-Sur, una base de datos de asistencia técnica Sur-Sur (IP-TAD) y una lista de consultores que participan específicamente en actividades Sur-Sur (IP-ROC).  En particular, se realizó un análisis de los criterios, que definiría las actividades de cooperación Sur-Sur de la OMPI a la luz del </w:t>
      </w:r>
      <w:r>
        <w:rPr>
          <w:bCs/>
          <w:lang w:val="es-ES"/>
        </w:rPr>
        <w:t>mandato de la Organización</w:t>
      </w:r>
      <w:r w:rsidRPr="00F34A74">
        <w:rPr>
          <w:bCs/>
          <w:lang w:val="es-ES"/>
        </w:rPr>
        <w:t xml:space="preserve"> y del proyecto relativo a la intensificación de la cooperación Sur-Sur.  Como consecuencia de ello, se utilizó la base de datos de asistencia técnica Sur-Sur (IP-TAD) para llevar a cabo un esquema de las actividades desarrolladas durante el bienio 2014/15</w:t>
      </w:r>
      <w:r w:rsidRPr="00F34A74">
        <w:rPr>
          <w:vertAlign w:val="superscript"/>
          <w:lang w:val="es-ES"/>
        </w:rPr>
        <w:footnoteReference w:id="56"/>
      </w:r>
      <w:r w:rsidRPr="00F34A74">
        <w:rPr>
          <w:bCs/>
          <w:lang w:val="es-ES"/>
        </w:rPr>
        <w:t xml:space="preserve">.  </w:t>
      </w:r>
    </w:p>
    <w:p w:rsidR="0095318C" w:rsidRPr="00F34A74" w:rsidRDefault="0095318C" w:rsidP="00DC1333">
      <w:pPr>
        <w:pStyle w:val="ListParagraph"/>
        <w:ind w:left="0"/>
        <w:rPr>
          <w:bCs/>
          <w:lang w:val="es-ES"/>
        </w:rPr>
      </w:pPr>
    </w:p>
    <w:p w:rsidR="0095318C" w:rsidRPr="00F34A74" w:rsidRDefault="0095318C" w:rsidP="0095318C">
      <w:pPr>
        <w:pStyle w:val="ListParagraph"/>
        <w:numPr>
          <w:ilvl w:val="1"/>
          <w:numId w:val="53"/>
        </w:numPr>
        <w:contextualSpacing/>
        <w:jc w:val="both"/>
        <w:rPr>
          <w:bCs/>
          <w:lang w:val="es-ES"/>
        </w:rPr>
      </w:pPr>
      <w:r w:rsidRPr="00F34A74">
        <w:rPr>
          <w:bCs/>
          <w:lang w:val="es-ES"/>
        </w:rPr>
        <w:t>El programa continuó brindando apoyo a una serie de solicitudes de asistencia relativas a la protección y el desarrollo de marcas de productos con un origen específico</w:t>
      </w:r>
      <w:r w:rsidR="00124954">
        <w:rPr>
          <w:bCs/>
          <w:lang w:val="es-ES"/>
        </w:rPr>
        <w:t xml:space="preserve">, en particular mediante cursos de formación especializada e </w:t>
      </w:r>
      <w:r w:rsidRPr="00DE4F09">
        <w:rPr>
          <w:bCs/>
          <w:lang w:val="es-ES"/>
        </w:rPr>
        <w:t xml:space="preserve">iniciativas de diversas partes interesadas con asociados </w:t>
      </w:r>
      <w:r w:rsidRPr="00DE4F09">
        <w:rPr>
          <w:bCs/>
          <w:lang w:val="es-ES"/>
        </w:rPr>
        <w:lastRenderedPageBreak/>
        <w:t>internacionales y regionales, en particular de</w:t>
      </w:r>
      <w:r w:rsidRPr="00F34A74">
        <w:rPr>
          <w:bCs/>
          <w:lang w:val="es-ES"/>
        </w:rPr>
        <w:t xml:space="preserve"> la región del Caribe, Camboya y la República Unida de </w:t>
      </w:r>
      <w:proofErr w:type="spellStart"/>
      <w:r w:rsidRPr="00F34A74">
        <w:rPr>
          <w:bCs/>
          <w:lang w:val="es-ES"/>
        </w:rPr>
        <w:t>Tanzanía</w:t>
      </w:r>
      <w:proofErr w:type="spellEnd"/>
      <w:r w:rsidRPr="00F34A74">
        <w:rPr>
          <w:bCs/>
          <w:lang w:val="es-ES"/>
        </w:rPr>
        <w:t xml:space="preserve">, para </w:t>
      </w:r>
      <w:r w:rsidR="00124954">
        <w:rPr>
          <w:bCs/>
          <w:lang w:val="es-ES"/>
        </w:rPr>
        <w:t>potenciar la capacidad de l</w:t>
      </w:r>
      <w:r w:rsidRPr="00992AF7">
        <w:rPr>
          <w:bCs/>
          <w:lang w:val="es-ES"/>
        </w:rPr>
        <w:t xml:space="preserve">as partes interesadas.  </w:t>
      </w:r>
      <w:r w:rsidR="00124954">
        <w:rPr>
          <w:bCs/>
          <w:lang w:val="es-ES"/>
        </w:rPr>
        <w:t>Además, se publicó</w:t>
      </w:r>
      <w:r w:rsidRPr="00992AF7">
        <w:rPr>
          <w:bCs/>
          <w:lang w:val="es-ES"/>
        </w:rPr>
        <w:t xml:space="preserve"> un informe sobre </w:t>
      </w:r>
      <w:proofErr w:type="spellStart"/>
      <w:r w:rsidRPr="00992AF7">
        <w:rPr>
          <w:bCs/>
          <w:i/>
          <w:lang w:val="es-ES"/>
        </w:rPr>
        <w:t>The</w:t>
      </w:r>
      <w:proofErr w:type="spellEnd"/>
      <w:r w:rsidRPr="00992AF7">
        <w:rPr>
          <w:bCs/>
          <w:i/>
          <w:lang w:val="es-ES"/>
        </w:rPr>
        <w:t xml:space="preserve"> </w:t>
      </w:r>
      <w:proofErr w:type="spellStart"/>
      <w:r w:rsidRPr="00992AF7">
        <w:rPr>
          <w:bCs/>
          <w:i/>
          <w:lang w:val="es-ES"/>
        </w:rPr>
        <w:t>African</w:t>
      </w:r>
      <w:proofErr w:type="spellEnd"/>
      <w:r w:rsidRPr="00992AF7">
        <w:rPr>
          <w:bCs/>
          <w:i/>
          <w:lang w:val="es-ES"/>
        </w:rPr>
        <w:t xml:space="preserve"> </w:t>
      </w:r>
      <w:proofErr w:type="spellStart"/>
      <w:r w:rsidRPr="00992AF7">
        <w:rPr>
          <w:bCs/>
          <w:i/>
          <w:lang w:val="es-ES"/>
        </w:rPr>
        <w:t>Fashion</w:t>
      </w:r>
      <w:proofErr w:type="spellEnd"/>
      <w:r w:rsidRPr="00992AF7">
        <w:rPr>
          <w:bCs/>
          <w:i/>
          <w:lang w:val="es-ES"/>
        </w:rPr>
        <w:t xml:space="preserve"> </w:t>
      </w:r>
      <w:proofErr w:type="spellStart"/>
      <w:r w:rsidRPr="00992AF7">
        <w:rPr>
          <w:bCs/>
          <w:i/>
          <w:lang w:val="es-ES"/>
        </w:rPr>
        <w:t>Design</w:t>
      </w:r>
      <w:proofErr w:type="spellEnd"/>
      <w:r w:rsidRPr="00992AF7">
        <w:rPr>
          <w:bCs/>
          <w:i/>
          <w:lang w:val="es-ES"/>
        </w:rPr>
        <w:t xml:space="preserve"> </w:t>
      </w:r>
      <w:proofErr w:type="spellStart"/>
      <w:r w:rsidRPr="00992AF7">
        <w:rPr>
          <w:bCs/>
          <w:i/>
          <w:lang w:val="es-ES"/>
        </w:rPr>
        <w:t>Industry</w:t>
      </w:r>
      <w:proofErr w:type="spellEnd"/>
      <w:r w:rsidRPr="00992AF7">
        <w:rPr>
          <w:bCs/>
          <w:i/>
          <w:lang w:val="es-ES"/>
        </w:rPr>
        <w:t xml:space="preserve">:  </w:t>
      </w:r>
      <w:proofErr w:type="spellStart"/>
      <w:r w:rsidRPr="00992AF7">
        <w:rPr>
          <w:bCs/>
          <w:i/>
          <w:lang w:val="es-ES"/>
        </w:rPr>
        <w:t>Capturing</w:t>
      </w:r>
      <w:proofErr w:type="spellEnd"/>
      <w:r w:rsidRPr="00992AF7">
        <w:rPr>
          <w:bCs/>
          <w:i/>
          <w:lang w:val="es-ES"/>
        </w:rPr>
        <w:t xml:space="preserve"> </w:t>
      </w:r>
      <w:proofErr w:type="spellStart"/>
      <w:r w:rsidRPr="00992AF7">
        <w:rPr>
          <w:bCs/>
          <w:i/>
          <w:lang w:val="es-ES"/>
        </w:rPr>
        <w:t>Value</w:t>
      </w:r>
      <w:proofErr w:type="spellEnd"/>
      <w:r w:rsidRPr="00992AF7">
        <w:rPr>
          <w:bCs/>
          <w:i/>
          <w:lang w:val="es-ES"/>
        </w:rPr>
        <w:t xml:space="preserve"> </w:t>
      </w:r>
      <w:proofErr w:type="spellStart"/>
      <w:r w:rsidRPr="00992AF7">
        <w:rPr>
          <w:bCs/>
          <w:i/>
          <w:lang w:val="es-ES"/>
        </w:rPr>
        <w:t>through</w:t>
      </w:r>
      <w:proofErr w:type="spellEnd"/>
      <w:r w:rsidRPr="00992AF7">
        <w:rPr>
          <w:bCs/>
          <w:i/>
          <w:lang w:val="es-ES"/>
        </w:rPr>
        <w:t xml:space="preserve"> Intellectual Property</w:t>
      </w:r>
      <w:r w:rsidRPr="00992AF7">
        <w:rPr>
          <w:vertAlign w:val="superscript"/>
          <w:lang w:val="es-ES"/>
        </w:rPr>
        <w:footnoteReference w:id="57"/>
      </w:r>
      <w:r w:rsidRPr="00992AF7">
        <w:rPr>
          <w:bCs/>
          <w:lang w:val="es-ES"/>
        </w:rPr>
        <w:t xml:space="preserve">, </w:t>
      </w:r>
      <w:r>
        <w:rPr>
          <w:bCs/>
          <w:lang w:val="es-ES"/>
        </w:rPr>
        <w:t>realiz</w:t>
      </w:r>
      <w:r w:rsidR="00124954">
        <w:rPr>
          <w:bCs/>
          <w:lang w:val="es-ES"/>
        </w:rPr>
        <w:t>ado</w:t>
      </w:r>
      <w:r w:rsidRPr="00F34A74">
        <w:rPr>
          <w:bCs/>
          <w:lang w:val="es-ES"/>
        </w:rPr>
        <w:t xml:space="preserve"> en siete países de África (Camerún, Etiopía, Ghana, Nigeria, Senegal, Sudáfrica y </w:t>
      </w:r>
      <w:proofErr w:type="spellStart"/>
      <w:r w:rsidRPr="00F34A74">
        <w:rPr>
          <w:bCs/>
          <w:lang w:val="es-ES"/>
        </w:rPr>
        <w:t>Zimbabwe</w:t>
      </w:r>
      <w:proofErr w:type="spellEnd"/>
      <w:r w:rsidRPr="00F34A74">
        <w:rPr>
          <w:bCs/>
          <w:lang w:val="es-ES"/>
        </w:rPr>
        <w:t>)</w:t>
      </w:r>
      <w:r w:rsidR="00124954">
        <w:rPr>
          <w:bCs/>
          <w:lang w:val="es-ES"/>
        </w:rPr>
        <w:t>, que fue presentado</w:t>
      </w:r>
      <w:r w:rsidRPr="00F34A74">
        <w:rPr>
          <w:bCs/>
          <w:lang w:val="es-ES"/>
        </w:rPr>
        <w:t xml:space="preserve"> en la Conferencia Ministerial Africana de 2015: </w:t>
      </w:r>
      <w:r w:rsidR="00EB152E">
        <w:rPr>
          <w:bCs/>
          <w:lang w:val="es-ES"/>
        </w:rPr>
        <w:t xml:space="preserve"> </w:t>
      </w:r>
      <w:r w:rsidRPr="00F34A74">
        <w:rPr>
          <w:bCs/>
          <w:lang w:val="es-ES"/>
        </w:rPr>
        <w:t>La propiedad intel</w:t>
      </w:r>
      <w:r w:rsidR="00124954">
        <w:rPr>
          <w:bCs/>
          <w:lang w:val="es-ES"/>
        </w:rPr>
        <w:t>ectual para un África emergente, organizada en Dakar (Senegal) del 3 al 5 de noviembre de 2015 en colaboración con la Unión Africana, el Gobierno del Senegal y la Oficina Japonesa de Patentes con el apoyo del fondo fiduciario japonés.</w:t>
      </w:r>
    </w:p>
    <w:p w:rsidR="0095318C" w:rsidRPr="00A56530" w:rsidRDefault="0095318C" w:rsidP="00DC1333">
      <w:pPr>
        <w:pStyle w:val="ListParagraph"/>
        <w:ind w:left="0"/>
        <w:contextualSpacing/>
        <w:jc w:val="both"/>
        <w:rPr>
          <w:bCs/>
          <w:lang w:val="es-ES"/>
        </w:rPr>
      </w:pPr>
    </w:p>
    <w:p w:rsidR="0095318C" w:rsidRPr="00AD3DD2" w:rsidRDefault="0095318C" w:rsidP="0095318C">
      <w:pPr>
        <w:pStyle w:val="ListParagraph"/>
        <w:numPr>
          <w:ilvl w:val="1"/>
          <w:numId w:val="53"/>
        </w:numPr>
        <w:contextualSpacing/>
        <w:jc w:val="both"/>
        <w:rPr>
          <w:bCs/>
          <w:lang w:val="es-ES"/>
        </w:rPr>
      </w:pPr>
      <w:proofErr w:type="spellStart"/>
      <w:r w:rsidRPr="00992AF7">
        <w:rPr>
          <w:bCs/>
          <w:lang w:val="es-ES"/>
        </w:rPr>
        <w:t>En</w:t>
      </w:r>
      <w:r w:rsidR="00124954">
        <w:rPr>
          <w:bCs/>
          <w:lang w:val="es-ES"/>
        </w:rPr>
        <w:t>esa</w:t>
      </w:r>
      <w:proofErr w:type="spellEnd"/>
      <w:r w:rsidR="00124954">
        <w:rPr>
          <w:bCs/>
          <w:lang w:val="es-ES"/>
        </w:rPr>
        <w:t xml:space="preserve"> conferencia se adoptó la</w:t>
      </w:r>
      <w:r w:rsidRPr="00992AF7">
        <w:rPr>
          <w:bCs/>
          <w:lang w:val="es-ES"/>
        </w:rPr>
        <w:t xml:space="preserve"> </w:t>
      </w:r>
      <w:r w:rsidRPr="00992AF7">
        <w:rPr>
          <w:bCs/>
          <w:i/>
          <w:iCs/>
          <w:lang w:val="es-ES"/>
        </w:rPr>
        <w:t>Declaración de Dakar sobre la Propiedad Intelectual para África</w:t>
      </w:r>
      <w:r w:rsidRPr="00992AF7">
        <w:rPr>
          <w:bCs/>
          <w:lang w:val="es-ES"/>
        </w:rPr>
        <w:t>, adoptada en esa</w:t>
      </w:r>
      <w:r w:rsidRPr="00CD6588">
        <w:rPr>
          <w:bCs/>
          <w:lang w:val="es-ES"/>
        </w:rPr>
        <w:t xml:space="preserve"> conferencia, </w:t>
      </w:r>
      <w:r w:rsidR="00124954">
        <w:rPr>
          <w:bCs/>
          <w:lang w:val="es-ES"/>
        </w:rPr>
        <w:t xml:space="preserve">la cual </w:t>
      </w:r>
      <w:r w:rsidRPr="00CD6588">
        <w:rPr>
          <w:bCs/>
          <w:lang w:val="es-ES"/>
        </w:rPr>
        <w:t>brinda un marco de cooperaci</w:t>
      </w:r>
      <w:r>
        <w:rPr>
          <w:bCs/>
          <w:lang w:val="es-ES"/>
        </w:rPr>
        <w:t xml:space="preserve">ón entre la OMPI y la Unión Africana para llevar a cabo en el continente actividades relacionadas con la P.I.  </w:t>
      </w:r>
      <w:r w:rsidR="00124954">
        <w:rPr>
          <w:bCs/>
          <w:lang w:val="es-ES"/>
        </w:rPr>
        <w:t>Además, l</w:t>
      </w:r>
      <w:r w:rsidRPr="00AD3DD2">
        <w:rPr>
          <w:bCs/>
          <w:lang w:val="es-ES"/>
        </w:rPr>
        <w:t xml:space="preserve">as </w:t>
      </w:r>
      <w:r>
        <w:rPr>
          <w:bCs/>
          <w:lang w:val="es-ES"/>
        </w:rPr>
        <w:t xml:space="preserve">actividades de cooperación con las </w:t>
      </w:r>
      <w:r w:rsidRPr="00AD3DD2">
        <w:rPr>
          <w:bCs/>
          <w:lang w:val="es-ES"/>
        </w:rPr>
        <w:t xml:space="preserve">dos organizaciones regionales </w:t>
      </w:r>
      <w:r>
        <w:rPr>
          <w:bCs/>
          <w:lang w:val="es-ES"/>
        </w:rPr>
        <w:t xml:space="preserve">africanas </w:t>
      </w:r>
      <w:r w:rsidRPr="00AD3DD2">
        <w:rPr>
          <w:bCs/>
          <w:lang w:val="es-ES"/>
        </w:rPr>
        <w:t>de P.I.</w:t>
      </w:r>
      <w:r>
        <w:rPr>
          <w:bCs/>
          <w:lang w:val="es-ES"/>
        </w:rPr>
        <w:t xml:space="preserve"> (ARIPO</w:t>
      </w:r>
      <w:r w:rsidR="00124954">
        <w:rPr>
          <w:bCs/>
          <w:lang w:val="es-ES"/>
        </w:rPr>
        <w:t xml:space="preserve"> y OAPI</w:t>
      </w:r>
      <w:r>
        <w:rPr>
          <w:bCs/>
          <w:lang w:val="es-ES"/>
        </w:rPr>
        <w:t>)  continuaron fortaleciéndose.</w:t>
      </w:r>
    </w:p>
    <w:p w:rsidR="0095318C" w:rsidRPr="00AD3DD2" w:rsidRDefault="0095318C" w:rsidP="00DC1333">
      <w:pPr>
        <w:pStyle w:val="ListParagraph"/>
        <w:ind w:left="0"/>
        <w:contextualSpacing/>
        <w:jc w:val="both"/>
        <w:rPr>
          <w:bCs/>
          <w:lang w:val="es-ES"/>
        </w:rPr>
      </w:pPr>
    </w:p>
    <w:p w:rsidR="0095318C" w:rsidRPr="000B7890" w:rsidRDefault="0095318C" w:rsidP="0095318C">
      <w:pPr>
        <w:pStyle w:val="ListParagraph"/>
        <w:numPr>
          <w:ilvl w:val="1"/>
          <w:numId w:val="53"/>
        </w:numPr>
        <w:contextualSpacing/>
        <w:jc w:val="both"/>
        <w:rPr>
          <w:bCs/>
          <w:lang w:val="es-ES"/>
        </w:rPr>
      </w:pPr>
      <w:r w:rsidRPr="00992AF7">
        <w:rPr>
          <w:bCs/>
          <w:lang w:val="es-ES"/>
        </w:rPr>
        <w:t>En 2015, la OMPI organizó la Séptima Reunión Anual de Consulta de Directores de Oficinas de P.I. de Países Árabes y dos reuniones de alto nivel entre Directores de Oficinas de P.I. y jefes de</w:t>
      </w:r>
      <w:r>
        <w:rPr>
          <w:bCs/>
          <w:lang w:val="es-ES"/>
        </w:rPr>
        <w:t xml:space="preserve"> organismos de ciencia y tecnología de la región central de América Latina</w:t>
      </w:r>
      <w:r w:rsidRPr="00AD3DD2">
        <w:rPr>
          <w:bCs/>
          <w:lang w:val="es-ES"/>
        </w:rPr>
        <w:t xml:space="preserve">.  </w:t>
      </w:r>
      <w:r w:rsidRPr="00B229C3">
        <w:rPr>
          <w:bCs/>
          <w:lang w:val="es-ES"/>
        </w:rPr>
        <w:t xml:space="preserve">En Asia, la Conferencia de Directores de las Oficinas de P.I. (HIPOC) </w:t>
      </w:r>
      <w:r>
        <w:rPr>
          <w:bCs/>
          <w:lang w:val="es-ES"/>
        </w:rPr>
        <w:t>fue establecida como nueva plataforma de intercambio de ideas y experiencias</w:t>
      </w:r>
      <w:r w:rsidRPr="00B229C3">
        <w:rPr>
          <w:bCs/>
          <w:lang w:val="es-ES"/>
        </w:rPr>
        <w:t xml:space="preserve">.  </w:t>
      </w:r>
      <w:r w:rsidRPr="00374E2F">
        <w:rPr>
          <w:bCs/>
          <w:lang w:val="es-ES"/>
        </w:rPr>
        <w:t xml:space="preserve">La asociación con el Banco Interamericano de Desarrollo dio lugar a la creación de </w:t>
      </w:r>
      <w:r w:rsidRPr="00992AF7">
        <w:rPr>
          <w:bCs/>
          <w:lang w:val="es-ES"/>
        </w:rPr>
        <w:t xml:space="preserve">la plataforma Regional </w:t>
      </w:r>
      <w:proofErr w:type="spellStart"/>
      <w:r w:rsidRPr="00992AF7">
        <w:rPr>
          <w:bCs/>
          <w:lang w:val="es-ES"/>
        </w:rPr>
        <w:t>Entrepreneurial</w:t>
      </w:r>
      <w:proofErr w:type="spellEnd"/>
      <w:r w:rsidRPr="00992AF7">
        <w:rPr>
          <w:bCs/>
          <w:lang w:val="es-ES"/>
        </w:rPr>
        <w:t xml:space="preserve"> </w:t>
      </w:r>
      <w:proofErr w:type="spellStart"/>
      <w:r w:rsidRPr="00992AF7">
        <w:rPr>
          <w:bCs/>
          <w:lang w:val="es-ES"/>
        </w:rPr>
        <w:t>Asset</w:t>
      </w:r>
      <w:proofErr w:type="spellEnd"/>
      <w:r w:rsidRPr="00992AF7">
        <w:rPr>
          <w:bCs/>
          <w:lang w:val="es-ES"/>
        </w:rPr>
        <w:t xml:space="preserve"> </w:t>
      </w:r>
      <w:proofErr w:type="spellStart"/>
      <w:r w:rsidRPr="00992AF7">
        <w:rPr>
          <w:bCs/>
          <w:lang w:val="es-ES"/>
        </w:rPr>
        <w:t>Commercialization</w:t>
      </w:r>
      <w:proofErr w:type="spellEnd"/>
      <w:r w:rsidRPr="00992AF7">
        <w:rPr>
          <w:bCs/>
          <w:lang w:val="es-ES"/>
        </w:rPr>
        <w:t xml:space="preserve"> </w:t>
      </w:r>
      <w:proofErr w:type="spellStart"/>
      <w:r w:rsidRPr="00992AF7">
        <w:rPr>
          <w:bCs/>
          <w:lang w:val="es-ES"/>
        </w:rPr>
        <w:t>Hub</w:t>
      </w:r>
      <w:proofErr w:type="spellEnd"/>
      <w:r w:rsidRPr="00992AF7">
        <w:rPr>
          <w:bCs/>
          <w:lang w:val="es-ES"/>
        </w:rPr>
        <w:t xml:space="preserve"> – Proyecto REACH para la región</w:t>
      </w:r>
      <w:r>
        <w:rPr>
          <w:bCs/>
          <w:lang w:val="es-ES"/>
        </w:rPr>
        <w:t xml:space="preserve"> del Caribe</w:t>
      </w:r>
      <w:r w:rsidRPr="00374E2F">
        <w:rPr>
          <w:bCs/>
          <w:lang w:val="es-ES"/>
        </w:rPr>
        <w:t xml:space="preserve">.  </w:t>
      </w:r>
      <w:r w:rsidRPr="000B7890">
        <w:rPr>
          <w:bCs/>
          <w:lang w:val="es-ES"/>
        </w:rPr>
        <w:t>Ese proyecto tiene por fin facilitar la gestión eficaz de los activos intangibles mediante la creación de tres centros de apoyo en tres sectores de actividad concretos:  gestión tecnol</w:t>
      </w:r>
      <w:r>
        <w:rPr>
          <w:bCs/>
          <w:lang w:val="es-ES"/>
        </w:rPr>
        <w:t>ógica, industrias creativas y desarrollo de marcas de producto.</w:t>
      </w:r>
    </w:p>
    <w:p w:rsidR="0095318C" w:rsidRPr="000B7890" w:rsidRDefault="0095318C" w:rsidP="00DC1333">
      <w:pPr>
        <w:pStyle w:val="ListParagraph"/>
        <w:ind w:left="0"/>
        <w:rPr>
          <w:bCs/>
          <w:lang w:val="es-ES"/>
        </w:rPr>
      </w:pPr>
    </w:p>
    <w:p w:rsidR="0095318C" w:rsidRPr="00963C93" w:rsidRDefault="0095318C" w:rsidP="0095318C">
      <w:pPr>
        <w:pStyle w:val="ListParagraph"/>
        <w:numPr>
          <w:ilvl w:val="1"/>
          <w:numId w:val="53"/>
        </w:numPr>
        <w:jc w:val="both"/>
        <w:rPr>
          <w:bCs/>
          <w:lang w:val="es-ES"/>
        </w:rPr>
      </w:pPr>
      <w:r w:rsidRPr="00963C93">
        <w:rPr>
          <w:bCs/>
          <w:lang w:val="es-ES"/>
        </w:rPr>
        <w:t>En 2014</w:t>
      </w:r>
      <w:r>
        <w:rPr>
          <w:bCs/>
          <w:lang w:val="es-ES"/>
        </w:rPr>
        <w:t>/15</w:t>
      </w:r>
      <w:r w:rsidRPr="00963C93">
        <w:rPr>
          <w:bCs/>
          <w:lang w:val="es-ES"/>
        </w:rPr>
        <w:t xml:space="preserve">, en el marco del programa, se facilitó y coordinó, a escala interna, la adhesión de diversos países y grupos regionales a tratados y convenios administrados por la OMPI: dos </w:t>
      </w:r>
      <w:r>
        <w:rPr>
          <w:bCs/>
          <w:lang w:val="es-ES"/>
        </w:rPr>
        <w:t xml:space="preserve">en África (OAPI y </w:t>
      </w:r>
      <w:proofErr w:type="spellStart"/>
      <w:r>
        <w:rPr>
          <w:bCs/>
          <w:lang w:val="es-ES"/>
        </w:rPr>
        <w:t>Zimbabwe</w:t>
      </w:r>
      <w:proofErr w:type="spellEnd"/>
      <w:r>
        <w:rPr>
          <w:bCs/>
          <w:lang w:val="es-ES"/>
        </w:rPr>
        <w:t>) y tre</w:t>
      </w:r>
      <w:r w:rsidRPr="00963C93">
        <w:rPr>
          <w:bCs/>
          <w:lang w:val="es-ES"/>
        </w:rPr>
        <w:t>s en la región árabe (</w:t>
      </w:r>
      <w:r>
        <w:rPr>
          <w:bCs/>
          <w:lang w:val="es-ES"/>
        </w:rPr>
        <w:t xml:space="preserve">Argelia, </w:t>
      </w:r>
      <w:r w:rsidRPr="00963C93">
        <w:rPr>
          <w:bCs/>
          <w:lang w:val="es-ES"/>
        </w:rPr>
        <w:t>Kuwai</w:t>
      </w:r>
      <w:r>
        <w:rPr>
          <w:bCs/>
          <w:lang w:val="es-ES"/>
        </w:rPr>
        <w:t>t y los Emiratos Árabes Unidos)</w:t>
      </w:r>
      <w:r w:rsidRPr="00963C93">
        <w:rPr>
          <w:bCs/>
          <w:lang w:val="es-ES"/>
        </w:rPr>
        <w:t xml:space="preserve">. </w:t>
      </w:r>
    </w:p>
    <w:p w:rsidR="0095318C" w:rsidRPr="00963C93" w:rsidRDefault="0095318C" w:rsidP="00DC1333">
      <w:pPr>
        <w:pStyle w:val="ListParagraph"/>
        <w:ind w:left="0"/>
        <w:jc w:val="both"/>
        <w:rPr>
          <w:bCs/>
          <w:lang w:val="es-ES"/>
        </w:rPr>
      </w:pPr>
    </w:p>
    <w:p w:rsidR="0095318C" w:rsidRPr="003D23AF" w:rsidRDefault="0095318C" w:rsidP="0095318C">
      <w:pPr>
        <w:pStyle w:val="ListParagraph"/>
        <w:numPr>
          <w:ilvl w:val="1"/>
          <w:numId w:val="53"/>
        </w:numPr>
        <w:contextualSpacing/>
        <w:jc w:val="both"/>
        <w:rPr>
          <w:bCs/>
          <w:lang w:val="es-ES"/>
        </w:rPr>
      </w:pPr>
      <w:r w:rsidRPr="00963C93">
        <w:rPr>
          <w:rFonts w:eastAsia="SimSun"/>
          <w:bCs/>
          <w:lang w:val="es-ES" w:eastAsia="zh-CN"/>
        </w:rPr>
        <w:t xml:space="preserve">Se siguió coordinando y facilitando asistencia técnica a los países en desarrollo y los PMA en la formulación y la modernización de la legislación en el ámbito de la P.I., teniendo en cuenta los requisitos </w:t>
      </w:r>
      <w:r w:rsidRPr="003D23AF">
        <w:rPr>
          <w:rFonts w:eastAsia="SimSun"/>
          <w:bCs/>
          <w:lang w:val="es-ES" w:eastAsia="zh-CN"/>
        </w:rPr>
        <w:t>nacionales específicos y las flexibilidades internacionales.</w:t>
      </w:r>
    </w:p>
    <w:p w:rsidR="0095318C" w:rsidRPr="003D23AF" w:rsidRDefault="0095318C" w:rsidP="00DC1333">
      <w:pPr>
        <w:pStyle w:val="ListParagraph"/>
        <w:ind w:left="0"/>
        <w:contextualSpacing/>
        <w:jc w:val="both"/>
        <w:rPr>
          <w:bCs/>
          <w:lang w:val="es-ES"/>
        </w:rPr>
      </w:pPr>
    </w:p>
    <w:p w:rsidR="0095318C" w:rsidRDefault="0095318C" w:rsidP="0095318C">
      <w:pPr>
        <w:pStyle w:val="ListParagraph"/>
        <w:numPr>
          <w:ilvl w:val="1"/>
          <w:numId w:val="53"/>
        </w:numPr>
        <w:contextualSpacing/>
        <w:jc w:val="both"/>
        <w:rPr>
          <w:bCs/>
          <w:lang w:val="es-ES"/>
        </w:rPr>
      </w:pPr>
      <w:r w:rsidRPr="003D23AF">
        <w:rPr>
          <w:rFonts w:eastAsia="SimSun"/>
          <w:bCs/>
          <w:lang w:val="es-ES" w:eastAsia="zh-CN"/>
        </w:rPr>
        <w:t xml:space="preserve">Para que los Estados miembros puedan tomar decisiones mejor fundamentadas en los ámbitos prioritarios de la OMPI, en 2014 se publicó el </w:t>
      </w:r>
      <w:r w:rsidRPr="003D23AF">
        <w:rPr>
          <w:rFonts w:eastAsia="SimSun"/>
          <w:bCs/>
          <w:i/>
          <w:lang w:val="es-ES" w:eastAsia="zh-CN"/>
        </w:rPr>
        <w:t>Manual de la OMPI sobre prestación de asistencia técnica</w:t>
      </w:r>
      <w:r w:rsidRPr="003D23AF">
        <w:rPr>
          <w:rFonts w:eastAsia="SimSun"/>
          <w:bCs/>
          <w:lang w:val="es-ES" w:eastAsia="zh-CN"/>
        </w:rPr>
        <w:t xml:space="preserve"> (finalizado en 2013) en los seis idiomas oficiales de las NN.UU. y se puso a disposición en Internet</w:t>
      </w:r>
      <w:r w:rsidRPr="003D23AF">
        <w:rPr>
          <w:rStyle w:val="FootnoteReference"/>
          <w:rFonts w:eastAsia="SimSun"/>
          <w:bCs/>
          <w:lang w:val="es-ES" w:eastAsia="zh-CN"/>
        </w:rPr>
        <w:footnoteReference w:id="58"/>
      </w:r>
      <w:r w:rsidRPr="003D23AF">
        <w:rPr>
          <w:rFonts w:eastAsia="SimSun"/>
          <w:bCs/>
          <w:lang w:val="es-ES" w:eastAsia="zh-CN"/>
        </w:rPr>
        <w:t xml:space="preserve"> (para obtener información más detallada, véanse los programas 1, 2, 3 y 4).</w:t>
      </w:r>
      <w:r w:rsidRPr="003D23AF">
        <w:rPr>
          <w:bCs/>
          <w:lang w:val="es-ES"/>
        </w:rPr>
        <w:t xml:space="preserve"> </w:t>
      </w:r>
      <w:r>
        <w:rPr>
          <w:bCs/>
          <w:lang w:val="es-ES"/>
        </w:rPr>
        <w:t xml:space="preserve"> </w:t>
      </w:r>
      <w:r w:rsidRPr="003D23AF">
        <w:rPr>
          <w:bCs/>
          <w:lang w:val="es-ES"/>
        </w:rPr>
        <w:t xml:space="preserve">Asimismo, en 2014, los países de </w:t>
      </w:r>
      <w:r w:rsidRPr="00992AF7">
        <w:rPr>
          <w:bCs/>
          <w:lang w:val="es-ES"/>
        </w:rPr>
        <w:t xml:space="preserve">América Central y la República Dominicana </w:t>
      </w:r>
      <w:r>
        <w:rPr>
          <w:bCs/>
          <w:lang w:val="es-ES"/>
        </w:rPr>
        <w:t>adoptaron el Manual armonizado en materia de criterios de marcas</w:t>
      </w:r>
      <w:r w:rsidRPr="00992AF7">
        <w:rPr>
          <w:bCs/>
          <w:lang w:val="es-ES"/>
        </w:rPr>
        <w:t>,</w:t>
      </w:r>
      <w:r w:rsidRPr="00992AF7">
        <w:rPr>
          <w:bCs/>
          <w:i/>
          <w:lang w:val="es-ES"/>
        </w:rPr>
        <w:t xml:space="preserve"> </w:t>
      </w:r>
      <w:r w:rsidRPr="00992AF7">
        <w:rPr>
          <w:bCs/>
          <w:lang w:val="es-ES"/>
        </w:rPr>
        <w:t>un instrumento que contribuye a la calidad del trabajo y a la armonización de las prácticas</w:t>
      </w:r>
      <w:r w:rsidRPr="003D23AF">
        <w:rPr>
          <w:bCs/>
          <w:lang w:val="es-ES"/>
        </w:rPr>
        <w:t xml:space="preserve"> en las correspondientes Oficinas de P.I. de la </w:t>
      </w:r>
      <w:r>
        <w:rPr>
          <w:bCs/>
          <w:lang w:val="es-ES"/>
        </w:rPr>
        <w:t>regió</w:t>
      </w:r>
      <w:r w:rsidRPr="003D23AF">
        <w:rPr>
          <w:bCs/>
          <w:lang w:val="es-ES"/>
        </w:rPr>
        <w:t xml:space="preserve">n, así como el folleto </w:t>
      </w:r>
      <w:r w:rsidRPr="003D23AF">
        <w:rPr>
          <w:bCs/>
          <w:i/>
          <w:lang w:val="es-ES"/>
        </w:rPr>
        <w:t xml:space="preserve">WIPO Development Tools and </w:t>
      </w:r>
      <w:proofErr w:type="spellStart"/>
      <w:r w:rsidRPr="003D23AF">
        <w:rPr>
          <w:bCs/>
          <w:i/>
          <w:lang w:val="es-ES"/>
        </w:rPr>
        <w:t>Services</w:t>
      </w:r>
      <w:proofErr w:type="spellEnd"/>
      <w:r>
        <w:rPr>
          <w:bCs/>
          <w:lang w:val="es-ES"/>
        </w:rPr>
        <w:t xml:space="preserve">, publicado en 2007, que fue actualizado en 2015 y traducido al francés y el español.  </w:t>
      </w:r>
      <w:r w:rsidRPr="003D23AF">
        <w:rPr>
          <w:bCs/>
          <w:lang w:val="es-ES"/>
        </w:rPr>
        <w:t xml:space="preserve">Estos instrumentos permiten a los Estados miembros </w:t>
      </w:r>
      <w:r>
        <w:rPr>
          <w:bCs/>
          <w:lang w:val="es-ES"/>
        </w:rPr>
        <w:t>tomar decisiones mejor fundamentadas en los ámbitos prioritarios de la OMPI.</w:t>
      </w:r>
    </w:p>
    <w:p w:rsidR="0095318C" w:rsidRPr="00631CC4" w:rsidRDefault="0095318C" w:rsidP="00DC1333">
      <w:pPr>
        <w:pStyle w:val="ListParagraph"/>
        <w:ind w:left="0"/>
        <w:rPr>
          <w:bCs/>
          <w:lang w:val="es-ES"/>
        </w:rPr>
      </w:pPr>
    </w:p>
    <w:p w:rsidR="0095318C" w:rsidRPr="00631CC4" w:rsidRDefault="0095318C" w:rsidP="0095318C">
      <w:pPr>
        <w:pStyle w:val="ListParagraph"/>
        <w:numPr>
          <w:ilvl w:val="1"/>
          <w:numId w:val="53"/>
        </w:numPr>
        <w:contextualSpacing/>
        <w:jc w:val="both"/>
        <w:rPr>
          <w:bCs/>
          <w:lang w:val="es-ES"/>
        </w:rPr>
      </w:pPr>
      <w:r w:rsidRPr="00631CC4">
        <w:rPr>
          <w:bCs/>
          <w:lang w:val="es-ES"/>
        </w:rPr>
        <w:t>Se siguieron utilizando bases de datos especializadas para facilitar la prestación de asistencia técnica, concretamente, la base de datos sobre asistencia técnica en P.I. (IP-TAD) y la lista de consultores de P.I. (IP-ROC), incluidas las interfaces para almacenar información sobre la cooperación Sur-Sur, y la base de datos de vinculación para atender las necesidades de desarrollo en materia de P.I. (IP-DMD).  En 2014 también se puso en marcha la base de datos especializada relativa a las estrategias nacionales de P.I. (NIPS-D), creada en 2013 a fin de obtener datos de referencia que se puedan utilizar en procesos nacionales de formulación de estrategias en materia de P.I., según las necesidades del creciente número de países que utilizan la metodología de la OMPI para elaborar estrategias de P.I.  En el empeño por obtener el máximo rendimiento de estas bases de datos, a lo largo del bienio se llevó a cabo un intenso seguimiento de su utilización, y se recabaron comentarios de los usuarios para obtener ideas sobre cómo mejorar aún más los sistemas con miras a facilitar su utilización y a determinar enfoques más estratégicos para fomentar su uso en diferentes países.  No obstante, el número de países que utilizan IP-TAD e IP-ROC descendió tanto en 2014 (un 10% con respecto a 2013) como en</w:t>
      </w:r>
      <w:r>
        <w:rPr>
          <w:bCs/>
          <w:lang w:val="es-ES"/>
        </w:rPr>
        <w:t> </w:t>
      </w:r>
      <w:r w:rsidRPr="00631CC4">
        <w:rPr>
          <w:bCs/>
          <w:lang w:val="es-ES"/>
        </w:rPr>
        <w:t xml:space="preserve">2015 (se registró un descenso del 28% con respecto 2014);  a finales de 2015 siguen sin detectarse </w:t>
      </w:r>
      <w:r w:rsidRPr="00631CC4">
        <w:rPr>
          <w:bCs/>
          <w:lang w:val="es-ES"/>
        </w:rPr>
        <w:lastRenderedPageBreak/>
        <w:t>correspondencias en la base de datos IP-DMD;  y los resultados iniciales de la utilización de la base de datos NIPS-D mostraron que no estaba siendo utilizada de manera eficaz.</w:t>
      </w:r>
    </w:p>
    <w:p w:rsidR="0095318C" w:rsidRPr="00A21515" w:rsidRDefault="0095318C" w:rsidP="00DC1333">
      <w:pPr>
        <w:pStyle w:val="ListParagraph"/>
        <w:ind w:left="0"/>
        <w:contextualSpacing/>
        <w:jc w:val="both"/>
        <w:rPr>
          <w:bCs/>
          <w:lang w:val="es-ES"/>
        </w:rPr>
      </w:pPr>
    </w:p>
    <w:p w:rsidR="0095318C" w:rsidRPr="00A21515" w:rsidRDefault="0095318C" w:rsidP="00DC1333">
      <w:pPr>
        <w:rPr>
          <w:bCs/>
        </w:rPr>
      </w:pPr>
    </w:p>
    <w:p w:rsidR="0095318C" w:rsidRPr="00F61A82" w:rsidRDefault="008F7CBE" w:rsidP="00DC1333">
      <w:pPr>
        <w:jc w:val="both"/>
        <w:rPr>
          <w:szCs w:val="22"/>
        </w:rPr>
      </w:pPr>
      <w:r w:rsidRPr="008F7CBE">
        <w:rPr>
          <w:sz w:val="20"/>
          <w:szCs w:val="22"/>
        </w:rPr>
        <w:t>DATOS SOBRE EL RENDIMIENTO</w:t>
      </w:r>
    </w:p>
    <w:p w:rsidR="0095318C" w:rsidRPr="003C4694" w:rsidRDefault="0095318C" w:rsidP="00DC1333">
      <w:pPr>
        <w:rPr>
          <w:bCs/>
        </w:rPr>
      </w:pPr>
    </w:p>
    <w:tbl>
      <w:tblPr>
        <w:tblW w:w="949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82"/>
        <w:gridCol w:w="141"/>
        <w:gridCol w:w="1749"/>
        <w:gridCol w:w="238"/>
        <w:gridCol w:w="139"/>
        <w:gridCol w:w="1420"/>
        <w:gridCol w:w="142"/>
        <w:gridCol w:w="142"/>
        <w:gridCol w:w="2055"/>
        <w:gridCol w:w="72"/>
        <w:gridCol w:w="140"/>
        <w:gridCol w:w="1278"/>
      </w:tblGrid>
      <w:tr w:rsidR="0095318C" w:rsidRPr="003131FE" w:rsidTr="00DC1333">
        <w:tc>
          <w:tcPr>
            <w:tcW w:w="9498" w:type="dxa"/>
            <w:gridSpan w:val="12"/>
            <w:tcBorders>
              <w:top w:val="single" w:sz="4" w:space="0" w:color="auto"/>
              <w:bottom w:val="single" w:sz="4" w:space="0" w:color="auto"/>
            </w:tcBorders>
            <w:shd w:val="clear" w:color="auto" w:fill="C6D9F1" w:themeFill="text2" w:themeFillTint="33"/>
            <w:vAlign w:val="center"/>
          </w:tcPr>
          <w:p w:rsidR="0095318C" w:rsidRPr="00211D2A" w:rsidRDefault="0095318C" w:rsidP="00DC1333">
            <w:pPr>
              <w:keepNext/>
              <w:keepLines/>
              <w:spacing w:before="120" w:after="120"/>
              <w:ind w:left="2019" w:hanging="2019"/>
              <w:rPr>
                <w:b/>
                <w:bCs/>
                <w:sz w:val="16"/>
                <w:szCs w:val="16"/>
              </w:rPr>
            </w:pPr>
            <w:r>
              <w:rPr>
                <w:b/>
                <w:bCs/>
                <w:sz w:val="16"/>
                <w:szCs w:val="16"/>
              </w:rPr>
              <w:t>Resultado  previsto</w:t>
            </w:r>
            <w:r w:rsidRPr="00211D2A">
              <w:rPr>
                <w:b/>
                <w:bCs/>
                <w:sz w:val="16"/>
                <w:szCs w:val="16"/>
              </w:rPr>
              <w:t>:</w:t>
            </w:r>
            <w:r w:rsidRPr="00211D2A">
              <w:rPr>
                <w:b/>
                <w:bCs/>
                <w:sz w:val="16"/>
                <w:szCs w:val="16"/>
              </w:rPr>
              <w:tab/>
            </w:r>
            <w:r w:rsidRPr="00631CC4">
              <w:rPr>
                <w:sz w:val="16"/>
                <w:szCs w:val="16"/>
                <w:lang w:bidi="th-TH"/>
              </w:rPr>
              <w:t>I.2 Marcos de P.I</w:t>
            </w:r>
            <w:r w:rsidR="00FB31BE">
              <w:rPr>
                <w:sz w:val="16"/>
                <w:szCs w:val="16"/>
                <w:lang w:bidi="th-TH"/>
              </w:rPr>
              <w:t>.</w:t>
            </w:r>
            <w:r w:rsidRPr="00631CC4">
              <w:rPr>
                <w:sz w:val="16"/>
                <w:szCs w:val="16"/>
                <w:lang w:bidi="th-TH"/>
              </w:rPr>
              <w:t xml:space="preserve"> adaptados y equilibrados en el ámbito legislativo, reglamentario y de política</w:t>
            </w:r>
          </w:p>
        </w:tc>
      </w:tr>
      <w:tr w:rsidR="0095318C" w:rsidRPr="003C4694" w:rsidTr="00DC1333">
        <w:trPr>
          <w:trHeight w:val="366"/>
        </w:trPr>
        <w:tc>
          <w:tcPr>
            <w:tcW w:w="2123" w:type="dxa"/>
            <w:gridSpan w:val="2"/>
            <w:tcBorders>
              <w:top w:val="single" w:sz="4" w:space="0" w:color="auto"/>
            </w:tcBorders>
            <w:shd w:val="clear" w:color="auto" w:fill="auto"/>
            <w:vAlign w:val="center"/>
          </w:tcPr>
          <w:p w:rsidR="0095318C" w:rsidRPr="003C4694" w:rsidRDefault="0095318C" w:rsidP="00DC1333">
            <w:pPr>
              <w:spacing w:before="40" w:after="40"/>
              <w:rPr>
                <w:sz w:val="16"/>
                <w:szCs w:val="16"/>
              </w:rPr>
            </w:pPr>
            <w:r>
              <w:rPr>
                <w:b/>
                <w:bCs/>
                <w:sz w:val="16"/>
                <w:szCs w:val="16"/>
              </w:rPr>
              <w:t>I</w:t>
            </w:r>
            <w:r w:rsidRPr="004B265E">
              <w:rPr>
                <w:b/>
                <w:bCs/>
                <w:sz w:val="16"/>
                <w:szCs w:val="16"/>
              </w:rPr>
              <w:t>ndicadores de rendimiento</w:t>
            </w:r>
          </w:p>
        </w:tc>
        <w:tc>
          <w:tcPr>
            <w:tcW w:w="2126" w:type="dxa"/>
            <w:gridSpan w:val="3"/>
            <w:tcBorders>
              <w:top w:val="single" w:sz="4" w:space="0" w:color="auto"/>
            </w:tcBorders>
            <w:shd w:val="clear" w:color="auto" w:fill="auto"/>
            <w:vAlign w:val="center"/>
          </w:tcPr>
          <w:p w:rsidR="0095318C" w:rsidRPr="003C4694" w:rsidRDefault="0095318C" w:rsidP="00DC1333">
            <w:pPr>
              <w:spacing w:before="40" w:after="40"/>
              <w:rPr>
                <w:b/>
                <w:bCs/>
                <w:sz w:val="16"/>
                <w:szCs w:val="16"/>
              </w:rPr>
            </w:pPr>
            <w:r>
              <w:rPr>
                <w:b/>
                <w:bCs/>
                <w:sz w:val="16"/>
                <w:szCs w:val="16"/>
              </w:rPr>
              <w:t>Referencia</w:t>
            </w:r>
          </w:p>
        </w:tc>
        <w:tc>
          <w:tcPr>
            <w:tcW w:w="1562" w:type="dxa"/>
            <w:gridSpan w:val="2"/>
            <w:tcBorders>
              <w:top w:val="single" w:sz="4" w:space="0" w:color="auto"/>
            </w:tcBorders>
            <w:shd w:val="clear" w:color="auto" w:fill="auto"/>
            <w:tcMar>
              <w:top w:w="110" w:type="dxa"/>
            </w:tcMar>
            <w:vAlign w:val="center"/>
          </w:tcPr>
          <w:p w:rsidR="0095318C" w:rsidRPr="003C4694" w:rsidRDefault="0095318C" w:rsidP="00DC1333">
            <w:pPr>
              <w:spacing w:before="40" w:after="40"/>
              <w:rPr>
                <w:b/>
                <w:sz w:val="16"/>
                <w:szCs w:val="16"/>
              </w:rPr>
            </w:pPr>
            <w:r>
              <w:rPr>
                <w:b/>
                <w:sz w:val="16"/>
                <w:szCs w:val="16"/>
              </w:rPr>
              <w:t>Objetivo</w:t>
            </w:r>
            <w:r w:rsidRPr="003C4694">
              <w:rPr>
                <w:b/>
                <w:sz w:val="16"/>
                <w:szCs w:val="16"/>
              </w:rPr>
              <w:t>s</w:t>
            </w:r>
          </w:p>
        </w:tc>
        <w:tc>
          <w:tcPr>
            <w:tcW w:w="2409" w:type="dxa"/>
            <w:gridSpan w:val="4"/>
            <w:tcBorders>
              <w:top w:val="single" w:sz="4" w:space="0" w:color="auto"/>
            </w:tcBorders>
            <w:shd w:val="clear" w:color="auto" w:fill="FFFFFF"/>
            <w:tcMar>
              <w:top w:w="110" w:type="dxa"/>
            </w:tcMar>
            <w:vAlign w:val="center"/>
          </w:tcPr>
          <w:p w:rsidR="0095318C" w:rsidRPr="003C4694" w:rsidRDefault="0095318C" w:rsidP="00DC1333">
            <w:pPr>
              <w:spacing w:before="40" w:after="40"/>
              <w:rPr>
                <w:sz w:val="16"/>
                <w:szCs w:val="16"/>
              </w:rPr>
            </w:pPr>
            <w:r>
              <w:rPr>
                <w:b/>
                <w:bCs/>
                <w:sz w:val="16"/>
                <w:szCs w:val="16"/>
              </w:rPr>
              <w:t>Datos sobre el rendimiento</w:t>
            </w:r>
          </w:p>
        </w:tc>
        <w:tc>
          <w:tcPr>
            <w:tcW w:w="1278" w:type="dxa"/>
            <w:tcBorders>
              <w:top w:val="single" w:sz="4" w:space="0" w:color="auto"/>
            </w:tcBorders>
            <w:shd w:val="clear" w:color="auto" w:fill="auto"/>
            <w:tcMar>
              <w:top w:w="110" w:type="dxa"/>
            </w:tcMar>
            <w:vAlign w:val="center"/>
          </w:tcPr>
          <w:p w:rsidR="0095318C" w:rsidRPr="003C4694" w:rsidRDefault="0095318C" w:rsidP="00DC1333">
            <w:pPr>
              <w:keepNext/>
              <w:keepLines/>
              <w:spacing w:before="40" w:after="40"/>
              <w:jc w:val="center"/>
              <w:rPr>
                <w:b/>
                <w:bCs/>
                <w:sz w:val="16"/>
                <w:szCs w:val="16"/>
              </w:rPr>
            </w:pPr>
            <w:r>
              <w:rPr>
                <w:b/>
                <w:bCs/>
                <w:sz w:val="16"/>
                <w:szCs w:val="16"/>
              </w:rPr>
              <w:t>Clave de los colores</w:t>
            </w:r>
          </w:p>
        </w:tc>
      </w:tr>
      <w:tr w:rsidR="0095318C" w:rsidRPr="004B265E" w:rsidTr="00DC1333">
        <w:tc>
          <w:tcPr>
            <w:tcW w:w="2123" w:type="dxa"/>
            <w:gridSpan w:val="2"/>
            <w:shd w:val="clear" w:color="auto" w:fill="auto"/>
          </w:tcPr>
          <w:p w:rsidR="0095318C" w:rsidRPr="004B265E" w:rsidRDefault="0095318C" w:rsidP="00DC1333">
            <w:pPr>
              <w:rPr>
                <w:sz w:val="16"/>
                <w:szCs w:val="16"/>
              </w:rPr>
            </w:pPr>
            <w:r w:rsidRPr="004B265E">
              <w:rPr>
                <w:sz w:val="16"/>
                <w:szCs w:val="16"/>
                <w:lang w:bidi="th-TH"/>
              </w:rPr>
              <w:t>Número y porcentaje de Estados miembros satisfechos con la calidad del asesoramiento jurídico sobre patentes, modelos de utilidad, secretos comerciales y circuitos integrados</w:t>
            </w:r>
          </w:p>
        </w:tc>
        <w:tc>
          <w:tcPr>
            <w:tcW w:w="2126" w:type="dxa"/>
            <w:gridSpan w:val="3"/>
            <w:shd w:val="clear" w:color="auto" w:fill="auto"/>
          </w:tcPr>
          <w:p w:rsidR="0095318C" w:rsidRPr="004B265E" w:rsidRDefault="0095318C" w:rsidP="00DC1333">
            <w:pPr>
              <w:rPr>
                <w:sz w:val="16"/>
                <w:szCs w:val="16"/>
                <w:lang w:bidi="th-TH"/>
              </w:rPr>
            </w:pPr>
            <w:r w:rsidRPr="004B265E">
              <w:rPr>
                <w:i/>
                <w:sz w:val="16"/>
                <w:szCs w:val="16"/>
              </w:rPr>
              <w:t xml:space="preserve">Referencia actualizada a fines de 2013:  </w:t>
            </w:r>
            <w:r w:rsidRPr="004B265E">
              <w:rPr>
                <w:sz w:val="16"/>
                <w:szCs w:val="16"/>
                <w:lang w:bidi="th-TH"/>
              </w:rPr>
              <w:t>9 Estados miembro</w:t>
            </w:r>
            <w:r>
              <w:rPr>
                <w:sz w:val="16"/>
                <w:szCs w:val="16"/>
                <w:lang w:bidi="th-TH"/>
              </w:rPr>
              <w:t xml:space="preserve">s (90%), a partir de una encuesta realizada por la </w:t>
            </w:r>
            <w:r w:rsidRPr="004B265E">
              <w:rPr>
                <w:sz w:val="16"/>
                <w:szCs w:val="16"/>
                <w:lang w:bidi="th-TH"/>
              </w:rPr>
              <w:t>D</w:t>
            </w:r>
            <w:r>
              <w:rPr>
                <w:sz w:val="16"/>
                <w:szCs w:val="16"/>
                <w:lang w:bidi="th-TH"/>
              </w:rPr>
              <w:t>ASI</w:t>
            </w:r>
            <w:r w:rsidRPr="004B265E">
              <w:rPr>
                <w:sz w:val="16"/>
                <w:szCs w:val="16"/>
                <w:lang w:bidi="th-TH"/>
              </w:rPr>
              <w:t xml:space="preserve"> </w:t>
            </w:r>
            <w:r>
              <w:rPr>
                <w:sz w:val="16"/>
                <w:szCs w:val="16"/>
                <w:lang w:bidi="th-TH"/>
              </w:rPr>
              <w:t>e</w:t>
            </w:r>
            <w:r w:rsidRPr="004B265E">
              <w:rPr>
                <w:sz w:val="16"/>
                <w:szCs w:val="16"/>
                <w:lang w:bidi="th-TH"/>
              </w:rPr>
              <w:t>n 2013</w:t>
            </w:r>
          </w:p>
          <w:p w:rsidR="0095318C" w:rsidRPr="004B265E" w:rsidRDefault="0095318C" w:rsidP="00DC1333">
            <w:pPr>
              <w:rPr>
                <w:i/>
                <w:sz w:val="8"/>
                <w:szCs w:val="8"/>
                <w:lang w:bidi="th-TH"/>
              </w:rPr>
            </w:pPr>
          </w:p>
          <w:p w:rsidR="0095318C" w:rsidRPr="004B265E" w:rsidRDefault="0095318C" w:rsidP="00DC1333">
            <w:pPr>
              <w:rPr>
                <w:sz w:val="16"/>
                <w:szCs w:val="16"/>
                <w:lang w:bidi="th-TH"/>
              </w:rPr>
            </w:pPr>
            <w:r w:rsidRPr="004B265E">
              <w:rPr>
                <w:i/>
                <w:sz w:val="16"/>
                <w:szCs w:val="16"/>
                <w:lang w:bidi="th-TH"/>
              </w:rPr>
              <w:t>Referencia original en el presupuesto de</w:t>
            </w:r>
            <w:r>
              <w:rPr>
                <w:i/>
                <w:sz w:val="16"/>
                <w:szCs w:val="16"/>
                <w:lang w:bidi="th-TH"/>
              </w:rPr>
              <w:t xml:space="preserve"> </w:t>
            </w:r>
            <w:r w:rsidRPr="004B265E">
              <w:rPr>
                <w:i/>
                <w:sz w:val="16"/>
                <w:szCs w:val="16"/>
                <w:lang w:bidi="th-TH"/>
              </w:rPr>
              <w:t xml:space="preserve">2014/15:  </w:t>
            </w:r>
            <w:r>
              <w:rPr>
                <w:sz w:val="16"/>
                <w:szCs w:val="16"/>
                <w:lang w:bidi="th-TH"/>
              </w:rPr>
              <w:t>encuesta</w:t>
            </w:r>
            <w:r w:rsidRPr="004B265E">
              <w:rPr>
                <w:sz w:val="16"/>
                <w:szCs w:val="16"/>
                <w:lang w:bidi="th-TH"/>
              </w:rPr>
              <w:t>s 2012</w:t>
            </w:r>
          </w:p>
        </w:tc>
        <w:tc>
          <w:tcPr>
            <w:tcW w:w="1562" w:type="dxa"/>
            <w:gridSpan w:val="2"/>
            <w:shd w:val="clear" w:color="auto" w:fill="auto"/>
            <w:tcMar>
              <w:top w:w="110" w:type="dxa"/>
            </w:tcMar>
          </w:tcPr>
          <w:p w:rsidR="0095318C" w:rsidRPr="003C4694" w:rsidRDefault="0095318C" w:rsidP="00DC1333">
            <w:pPr>
              <w:rPr>
                <w:sz w:val="16"/>
                <w:szCs w:val="16"/>
                <w:lang w:bidi="th-TH"/>
              </w:rPr>
            </w:pPr>
            <w:r w:rsidRPr="003C4694">
              <w:rPr>
                <w:sz w:val="16"/>
                <w:szCs w:val="16"/>
                <w:lang w:bidi="th-TH"/>
              </w:rPr>
              <w:t>90%</w:t>
            </w:r>
          </w:p>
        </w:tc>
        <w:tc>
          <w:tcPr>
            <w:tcW w:w="2409" w:type="dxa"/>
            <w:gridSpan w:val="4"/>
            <w:shd w:val="clear" w:color="auto" w:fill="FFFFFF"/>
            <w:tcMar>
              <w:top w:w="110" w:type="dxa"/>
            </w:tcMar>
          </w:tcPr>
          <w:p w:rsidR="0095318C" w:rsidRPr="00017A5E" w:rsidRDefault="0095318C" w:rsidP="00DC1333">
            <w:pPr>
              <w:pStyle w:val="ListParagraph"/>
              <w:ind w:left="0"/>
              <w:rPr>
                <w:rFonts w:cs="Arial"/>
                <w:sz w:val="16"/>
                <w:szCs w:val="16"/>
                <w:lang w:val="es-ES"/>
              </w:rPr>
            </w:pPr>
          </w:p>
          <w:p w:rsidR="0095318C" w:rsidRPr="004B265E" w:rsidRDefault="0095318C" w:rsidP="00DC1333">
            <w:pPr>
              <w:pStyle w:val="ListParagraph"/>
              <w:ind w:left="0"/>
              <w:rPr>
                <w:rFonts w:cs="Arial"/>
                <w:sz w:val="16"/>
                <w:szCs w:val="16"/>
                <w:lang w:val="es-ES"/>
              </w:rPr>
            </w:pPr>
            <w:r>
              <w:rPr>
                <w:rFonts w:cs="Arial"/>
                <w:sz w:val="16"/>
                <w:szCs w:val="16"/>
                <w:lang w:val="es-ES" w:bidi="th-TH"/>
              </w:rPr>
              <w:t>En 2014/15, siete</w:t>
            </w:r>
            <w:r w:rsidRPr="004B265E">
              <w:rPr>
                <w:rFonts w:cs="Arial"/>
                <w:sz w:val="16"/>
                <w:szCs w:val="16"/>
                <w:lang w:val="es-ES" w:bidi="th-TH"/>
              </w:rPr>
              <w:t xml:space="preserve"> encuestados manifestaron de promedio un 94% de índice de satisf</w:t>
            </w:r>
            <w:r>
              <w:rPr>
                <w:rFonts w:cs="Arial"/>
                <w:sz w:val="16"/>
                <w:szCs w:val="16"/>
                <w:lang w:val="es-ES" w:bidi="th-TH"/>
              </w:rPr>
              <w:t>acción (África 3;  región árabe 1</w:t>
            </w:r>
            <w:r w:rsidRPr="004B265E">
              <w:rPr>
                <w:rFonts w:cs="Arial"/>
                <w:sz w:val="16"/>
                <w:szCs w:val="16"/>
                <w:lang w:val="es-ES" w:bidi="th-TH"/>
              </w:rPr>
              <w:t xml:space="preserve">; </w:t>
            </w:r>
            <w:r>
              <w:rPr>
                <w:rFonts w:cs="Arial"/>
                <w:sz w:val="16"/>
                <w:szCs w:val="16"/>
                <w:lang w:val="es-ES" w:bidi="th-TH"/>
              </w:rPr>
              <w:t xml:space="preserve"> </w:t>
            </w:r>
            <w:r w:rsidRPr="004B265E">
              <w:rPr>
                <w:rFonts w:cs="Arial"/>
                <w:sz w:val="16"/>
                <w:szCs w:val="16"/>
                <w:lang w:val="es-ES" w:bidi="th-TH"/>
              </w:rPr>
              <w:t>Asia y el Pacíf</w:t>
            </w:r>
            <w:r>
              <w:rPr>
                <w:rFonts w:cs="Arial"/>
                <w:sz w:val="16"/>
                <w:szCs w:val="16"/>
                <w:lang w:val="es-ES" w:bidi="th-TH"/>
              </w:rPr>
              <w:t xml:space="preserve">ico 2;  América Latina y el Caribe </w:t>
            </w:r>
            <w:r w:rsidRPr="004B265E">
              <w:rPr>
                <w:rFonts w:cs="Arial"/>
                <w:sz w:val="16"/>
                <w:szCs w:val="16"/>
                <w:lang w:val="es-ES" w:bidi="th-TH"/>
              </w:rPr>
              <w:t>1)</w:t>
            </w:r>
            <w:r w:rsidRPr="004B265E">
              <w:rPr>
                <w:rStyle w:val="FootnoteReference"/>
                <w:rFonts w:cs="Arial"/>
                <w:sz w:val="16"/>
                <w:szCs w:val="16"/>
                <w:lang w:val="es-ES" w:bidi="th-TH"/>
              </w:rPr>
              <w:t xml:space="preserve"> </w:t>
            </w:r>
            <w:r w:rsidRPr="003C4694">
              <w:rPr>
                <w:rStyle w:val="FootnoteReference"/>
                <w:rFonts w:cs="Arial"/>
                <w:sz w:val="16"/>
                <w:szCs w:val="16"/>
                <w:lang w:val="es-ES" w:bidi="th-TH"/>
              </w:rPr>
              <w:footnoteReference w:id="59"/>
            </w:r>
          </w:p>
        </w:tc>
        <w:tc>
          <w:tcPr>
            <w:tcW w:w="1278" w:type="dxa"/>
            <w:shd w:val="clear" w:color="auto" w:fill="auto"/>
            <w:tcMar>
              <w:top w:w="110" w:type="dxa"/>
            </w:tcMar>
          </w:tcPr>
          <w:p w:rsidR="0095318C" w:rsidRPr="004B265E" w:rsidRDefault="0095318C" w:rsidP="00DC1333">
            <w:pPr>
              <w:keepNext/>
              <w:keepLines/>
              <w:jc w:val="center"/>
              <w:rPr>
                <w:b/>
                <w:bCs/>
                <w:sz w:val="14"/>
                <w:szCs w:val="14"/>
              </w:rPr>
            </w:pPr>
            <w:r w:rsidRPr="004B265E">
              <w:rPr>
                <w:b/>
                <w:bCs/>
                <w:color w:val="00B050"/>
                <w:sz w:val="14"/>
                <w:szCs w:val="14"/>
              </w:rPr>
              <w:t>Plenamente logrado</w:t>
            </w:r>
          </w:p>
        </w:tc>
      </w:tr>
      <w:tr w:rsidR="0095318C" w:rsidRPr="003C4694" w:rsidTr="00DC1333">
        <w:tc>
          <w:tcPr>
            <w:tcW w:w="2123" w:type="dxa"/>
            <w:gridSpan w:val="2"/>
            <w:shd w:val="clear" w:color="auto" w:fill="auto"/>
          </w:tcPr>
          <w:p w:rsidR="0095318C" w:rsidRPr="0044627C" w:rsidRDefault="0095318C" w:rsidP="00DC1333">
            <w:pPr>
              <w:rPr>
                <w:sz w:val="16"/>
                <w:szCs w:val="16"/>
              </w:rPr>
            </w:pPr>
            <w:r w:rsidRPr="0044627C">
              <w:rPr>
                <w:sz w:val="16"/>
                <w:szCs w:val="16"/>
              </w:rPr>
              <w:t>Número y porcentaje de Estados miembros/organizaciones regionales que han formulado comentarios positivos sobre el asesoramiento legislativo proporcionado en la esfera de las marcas, los diseños industriales y las indicaciones geográficas</w:t>
            </w:r>
          </w:p>
        </w:tc>
        <w:tc>
          <w:tcPr>
            <w:tcW w:w="2126" w:type="dxa"/>
            <w:gridSpan w:val="3"/>
            <w:shd w:val="clear" w:color="auto" w:fill="auto"/>
          </w:tcPr>
          <w:p w:rsidR="0095318C" w:rsidRPr="0044627C" w:rsidRDefault="0095318C" w:rsidP="0095318C">
            <w:pPr>
              <w:ind w:leftChars="-6" w:left="1" w:hangingChars="9" w:hanging="14"/>
              <w:rPr>
                <w:sz w:val="16"/>
                <w:szCs w:val="16"/>
                <w:lang w:bidi="th-TH"/>
              </w:rPr>
            </w:pPr>
            <w:r w:rsidRPr="0044627C">
              <w:rPr>
                <w:i/>
                <w:sz w:val="16"/>
                <w:szCs w:val="16"/>
              </w:rPr>
              <w:t xml:space="preserve">Referencia actualizada a fines de 2013:  </w:t>
            </w:r>
            <w:r w:rsidRPr="0044627C">
              <w:rPr>
                <w:sz w:val="16"/>
                <w:szCs w:val="16"/>
              </w:rPr>
              <w:t xml:space="preserve">9 de 13 países formularon comentarios positivos. </w:t>
            </w:r>
            <w:r>
              <w:rPr>
                <w:sz w:val="16"/>
                <w:szCs w:val="16"/>
              </w:rPr>
              <w:t xml:space="preserve"> Cuatro países no respondieron</w:t>
            </w:r>
          </w:p>
          <w:p w:rsidR="0095318C" w:rsidRPr="0044627C" w:rsidRDefault="0095318C" w:rsidP="0095318C">
            <w:pPr>
              <w:ind w:leftChars="-6" w:left="1" w:hangingChars="9" w:hanging="14"/>
              <w:rPr>
                <w:i/>
                <w:sz w:val="16"/>
                <w:szCs w:val="16"/>
                <w:lang w:bidi="th-TH"/>
              </w:rPr>
            </w:pPr>
          </w:p>
          <w:p w:rsidR="0095318C" w:rsidRPr="0044627C" w:rsidRDefault="0095318C" w:rsidP="0095318C">
            <w:pPr>
              <w:ind w:leftChars="-6" w:left="1" w:hangingChars="9" w:hanging="14"/>
              <w:rPr>
                <w:sz w:val="16"/>
                <w:szCs w:val="16"/>
                <w:lang w:bidi="th-TH"/>
              </w:rPr>
            </w:pPr>
            <w:r w:rsidRPr="004B265E">
              <w:rPr>
                <w:i/>
                <w:sz w:val="16"/>
                <w:szCs w:val="16"/>
                <w:lang w:bidi="th-TH"/>
              </w:rPr>
              <w:t>Referencia original en el presupuesto de</w:t>
            </w:r>
            <w:r>
              <w:rPr>
                <w:i/>
                <w:sz w:val="16"/>
                <w:szCs w:val="16"/>
                <w:lang w:bidi="th-TH"/>
              </w:rPr>
              <w:t xml:space="preserve"> 2014/15:  </w:t>
            </w:r>
            <w:r w:rsidRPr="0044627C">
              <w:rPr>
                <w:iCs/>
                <w:sz w:val="16"/>
                <w:szCs w:val="16"/>
                <w:lang w:bidi="th-TH"/>
              </w:rPr>
              <w:t>tres</w:t>
            </w:r>
            <w:r>
              <w:rPr>
                <w:i/>
                <w:sz w:val="16"/>
                <w:szCs w:val="16"/>
                <w:lang w:bidi="th-TH"/>
              </w:rPr>
              <w:t xml:space="preserve"> </w:t>
            </w:r>
            <w:r w:rsidRPr="0044627C">
              <w:rPr>
                <w:sz w:val="16"/>
                <w:szCs w:val="16"/>
                <w:lang w:bidi="th-TH"/>
              </w:rPr>
              <w:t>Estados miembros/organizaciones regionales han formulado comentarios positivos sobre el asesoramiento legislativo recibido en 2012</w:t>
            </w:r>
          </w:p>
        </w:tc>
        <w:tc>
          <w:tcPr>
            <w:tcW w:w="1562" w:type="dxa"/>
            <w:gridSpan w:val="2"/>
            <w:shd w:val="clear" w:color="auto" w:fill="auto"/>
            <w:tcMar>
              <w:top w:w="110" w:type="dxa"/>
            </w:tcMar>
          </w:tcPr>
          <w:p w:rsidR="0095318C" w:rsidRPr="0044627C" w:rsidRDefault="0095318C" w:rsidP="00DC1333">
            <w:pPr>
              <w:autoSpaceDE w:val="0"/>
              <w:autoSpaceDN w:val="0"/>
              <w:adjustRightInd w:val="0"/>
              <w:rPr>
                <w:sz w:val="16"/>
                <w:szCs w:val="16"/>
              </w:rPr>
            </w:pPr>
            <w:r w:rsidRPr="0044627C">
              <w:rPr>
                <w:sz w:val="16"/>
                <w:szCs w:val="16"/>
              </w:rPr>
              <w:t>Comentarios positivos recibidos de 10 Estados miembros/ organizaciones</w:t>
            </w:r>
            <w:r>
              <w:rPr>
                <w:sz w:val="16"/>
                <w:szCs w:val="16"/>
              </w:rPr>
              <w:t xml:space="preserve"> regionales (desglose regional)</w:t>
            </w:r>
          </w:p>
        </w:tc>
        <w:tc>
          <w:tcPr>
            <w:tcW w:w="2409" w:type="dxa"/>
            <w:gridSpan w:val="4"/>
            <w:shd w:val="clear" w:color="auto" w:fill="FFFFFF"/>
            <w:tcMar>
              <w:top w:w="110" w:type="dxa"/>
            </w:tcMar>
          </w:tcPr>
          <w:p w:rsidR="0095318C" w:rsidRDefault="0095318C" w:rsidP="00DC1333">
            <w:pPr>
              <w:rPr>
                <w:sz w:val="16"/>
                <w:szCs w:val="16"/>
                <w:lang w:bidi="th-TH"/>
              </w:rPr>
            </w:pPr>
            <w:r w:rsidRPr="0044627C">
              <w:rPr>
                <w:sz w:val="16"/>
                <w:szCs w:val="16"/>
                <w:lang w:bidi="th-TH"/>
              </w:rPr>
              <w:t>Se prestó asesoramiento a 30 Estados miembros/Organizaciones regionales (África 8;</w:t>
            </w:r>
            <w:r>
              <w:rPr>
                <w:sz w:val="16"/>
                <w:szCs w:val="16"/>
                <w:lang w:bidi="th-TH"/>
              </w:rPr>
              <w:t xml:space="preserve"> </w:t>
            </w:r>
            <w:r w:rsidRPr="0044627C">
              <w:rPr>
                <w:sz w:val="16"/>
                <w:szCs w:val="16"/>
                <w:lang w:bidi="th-TH"/>
              </w:rPr>
              <w:t xml:space="preserve"> región árabe 6; </w:t>
            </w:r>
            <w:r>
              <w:rPr>
                <w:sz w:val="16"/>
                <w:szCs w:val="16"/>
                <w:lang w:bidi="th-TH"/>
              </w:rPr>
              <w:t xml:space="preserve"> Asia y el Pacífico 14;  </w:t>
            </w:r>
            <w:r w:rsidRPr="0044627C">
              <w:rPr>
                <w:sz w:val="16"/>
                <w:szCs w:val="16"/>
                <w:lang w:bidi="th-TH"/>
              </w:rPr>
              <w:t>América Latina y el Caribe 1)</w:t>
            </w:r>
          </w:p>
          <w:p w:rsidR="0095318C" w:rsidRPr="0044627C" w:rsidRDefault="0095318C" w:rsidP="00DC1333">
            <w:pPr>
              <w:rPr>
                <w:sz w:val="16"/>
                <w:szCs w:val="16"/>
                <w:lang w:bidi="th-TH"/>
              </w:rPr>
            </w:pPr>
          </w:p>
          <w:p w:rsidR="0095318C" w:rsidRPr="0044627C" w:rsidRDefault="0095318C" w:rsidP="00DC1333">
            <w:pPr>
              <w:rPr>
                <w:sz w:val="16"/>
                <w:szCs w:val="16"/>
              </w:rPr>
            </w:pPr>
            <w:r w:rsidRPr="0044627C">
              <w:rPr>
                <w:sz w:val="16"/>
                <w:szCs w:val="16"/>
                <w:lang w:bidi="th-TH"/>
              </w:rPr>
              <w:t>Se recibieron comentarios de siete encuestados, y todos ellos (100%) manifestaron estar satisfechos con el asesoramiento brindado</w:t>
            </w:r>
          </w:p>
        </w:tc>
        <w:tc>
          <w:tcPr>
            <w:tcW w:w="1278" w:type="dxa"/>
            <w:shd w:val="clear" w:color="auto" w:fill="auto"/>
            <w:tcMar>
              <w:top w:w="110" w:type="dxa"/>
            </w:tcMar>
          </w:tcPr>
          <w:p w:rsidR="0095318C" w:rsidRPr="003C4694" w:rsidRDefault="0095318C" w:rsidP="00DC1333">
            <w:pPr>
              <w:keepNext/>
              <w:keepLines/>
              <w:jc w:val="center"/>
              <w:rPr>
                <w:bCs/>
                <w:sz w:val="16"/>
                <w:szCs w:val="16"/>
              </w:rPr>
            </w:pPr>
            <w:r w:rsidRPr="004B265E">
              <w:rPr>
                <w:b/>
                <w:bCs/>
                <w:color w:val="00B050"/>
                <w:sz w:val="14"/>
                <w:szCs w:val="14"/>
              </w:rPr>
              <w:t>Plenamente logrado</w:t>
            </w:r>
          </w:p>
        </w:tc>
      </w:tr>
      <w:tr w:rsidR="0095318C" w:rsidRPr="003C4694" w:rsidTr="00DC1333">
        <w:tc>
          <w:tcPr>
            <w:tcW w:w="2123" w:type="dxa"/>
            <w:gridSpan w:val="2"/>
            <w:shd w:val="clear" w:color="auto" w:fill="auto"/>
          </w:tcPr>
          <w:p w:rsidR="0095318C" w:rsidRPr="00492290" w:rsidRDefault="0095318C" w:rsidP="00DC1333">
            <w:pPr>
              <w:rPr>
                <w:sz w:val="16"/>
                <w:szCs w:val="16"/>
              </w:rPr>
            </w:pPr>
            <w:r w:rsidRPr="00492290">
              <w:rPr>
                <w:sz w:val="16"/>
                <w:szCs w:val="16"/>
              </w:rPr>
              <w:t>Número y porcentaje de países que han presentado comentarios positivos sobre el aseso</w:t>
            </w:r>
            <w:r>
              <w:rPr>
                <w:sz w:val="16"/>
                <w:szCs w:val="16"/>
              </w:rPr>
              <w:t>ramiento legislativo de la OMPI</w:t>
            </w:r>
          </w:p>
        </w:tc>
        <w:tc>
          <w:tcPr>
            <w:tcW w:w="2126" w:type="dxa"/>
            <w:gridSpan w:val="3"/>
            <w:shd w:val="clear" w:color="auto" w:fill="auto"/>
          </w:tcPr>
          <w:p w:rsidR="0095318C" w:rsidRPr="008F34B1" w:rsidRDefault="0095318C" w:rsidP="00DC1333">
            <w:pPr>
              <w:ind w:left="1"/>
              <w:rPr>
                <w:sz w:val="16"/>
                <w:szCs w:val="16"/>
                <w:lang w:bidi="th-TH"/>
              </w:rPr>
            </w:pPr>
            <w:r w:rsidRPr="008F34B1">
              <w:rPr>
                <w:sz w:val="16"/>
                <w:szCs w:val="16"/>
                <w:lang w:bidi="th-TH"/>
              </w:rPr>
              <w:t>Todavía no se han recopilado los comentarios</w:t>
            </w:r>
          </w:p>
        </w:tc>
        <w:tc>
          <w:tcPr>
            <w:tcW w:w="1562" w:type="dxa"/>
            <w:gridSpan w:val="2"/>
            <w:shd w:val="clear" w:color="auto" w:fill="auto"/>
            <w:tcMar>
              <w:top w:w="110" w:type="dxa"/>
            </w:tcMar>
          </w:tcPr>
          <w:p w:rsidR="0095318C" w:rsidRPr="003C4694" w:rsidRDefault="0095318C" w:rsidP="00DC1333">
            <w:pPr>
              <w:autoSpaceDE w:val="0"/>
              <w:autoSpaceDN w:val="0"/>
              <w:adjustRightInd w:val="0"/>
              <w:rPr>
                <w:sz w:val="16"/>
                <w:szCs w:val="16"/>
              </w:rPr>
            </w:pPr>
            <w:r>
              <w:rPr>
                <w:sz w:val="16"/>
                <w:szCs w:val="16"/>
              </w:rPr>
              <w:t>15 países (desglose regional</w:t>
            </w:r>
            <w:r w:rsidRPr="003C4694">
              <w:rPr>
                <w:sz w:val="16"/>
                <w:szCs w:val="16"/>
              </w:rPr>
              <w:t>)</w:t>
            </w:r>
          </w:p>
        </w:tc>
        <w:tc>
          <w:tcPr>
            <w:tcW w:w="2409" w:type="dxa"/>
            <w:gridSpan w:val="4"/>
            <w:shd w:val="clear" w:color="auto" w:fill="FFFFFF"/>
            <w:tcMar>
              <w:top w:w="110" w:type="dxa"/>
            </w:tcMar>
          </w:tcPr>
          <w:p w:rsidR="0095318C" w:rsidRPr="00492290" w:rsidRDefault="0095318C" w:rsidP="00DC1333">
            <w:pPr>
              <w:rPr>
                <w:sz w:val="16"/>
                <w:szCs w:val="16"/>
                <w:lang w:bidi="th-TH"/>
              </w:rPr>
            </w:pPr>
            <w:r w:rsidRPr="00492290">
              <w:rPr>
                <w:sz w:val="16"/>
                <w:szCs w:val="16"/>
                <w:lang w:bidi="th-TH"/>
              </w:rPr>
              <w:t xml:space="preserve">23 países recibieron asesoramiento en </w:t>
            </w:r>
            <w:r>
              <w:rPr>
                <w:sz w:val="16"/>
                <w:szCs w:val="16"/>
                <w:lang w:bidi="th-TH"/>
              </w:rPr>
              <w:t>materia</w:t>
            </w:r>
            <w:r w:rsidRPr="00492290">
              <w:rPr>
                <w:sz w:val="16"/>
                <w:szCs w:val="16"/>
                <w:lang w:bidi="th-TH"/>
              </w:rPr>
              <w:t xml:space="preserve"> </w:t>
            </w:r>
            <w:r>
              <w:rPr>
                <w:sz w:val="16"/>
                <w:szCs w:val="16"/>
                <w:lang w:bidi="th-TH"/>
              </w:rPr>
              <w:t>legislativa</w:t>
            </w:r>
            <w:r w:rsidRPr="00492290">
              <w:rPr>
                <w:sz w:val="16"/>
                <w:szCs w:val="16"/>
                <w:lang w:bidi="th-TH"/>
              </w:rPr>
              <w:t xml:space="preserve"> </w:t>
            </w:r>
            <w:r>
              <w:rPr>
                <w:sz w:val="16"/>
                <w:szCs w:val="16"/>
                <w:lang w:bidi="th-TH"/>
              </w:rPr>
              <w:t>en 2014/15</w:t>
            </w:r>
            <w:r w:rsidRPr="00492290">
              <w:rPr>
                <w:sz w:val="16"/>
                <w:szCs w:val="16"/>
                <w:lang w:bidi="th-TH"/>
              </w:rPr>
              <w:t xml:space="preserve"> (África 9;  </w:t>
            </w:r>
            <w:r>
              <w:rPr>
                <w:sz w:val="16"/>
                <w:szCs w:val="16"/>
                <w:lang w:bidi="th-TH"/>
              </w:rPr>
              <w:t>regió</w:t>
            </w:r>
            <w:r w:rsidRPr="00492290">
              <w:rPr>
                <w:sz w:val="16"/>
                <w:szCs w:val="16"/>
                <w:lang w:bidi="th-TH"/>
              </w:rPr>
              <w:t>n árabe 3;  Asia y el Pacífico</w:t>
            </w:r>
            <w:r>
              <w:rPr>
                <w:sz w:val="16"/>
                <w:szCs w:val="16"/>
                <w:lang w:bidi="th-TH"/>
              </w:rPr>
              <w:t xml:space="preserve"> 5;  Amé</w:t>
            </w:r>
            <w:r w:rsidRPr="00492290">
              <w:rPr>
                <w:sz w:val="16"/>
                <w:szCs w:val="16"/>
                <w:lang w:bidi="th-TH"/>
              </w:rPr>
              <w:t xml:space="preserve">rica </w:t>
            </w:r>
            <w:r>
              <w:rPr>
                <w:sz w:val="16"/>
                <w:szCs w:val="16"/>
                <w:lang w:bidi="th-TH"/>
              </w:rPr>
              <w:t>Latina y el Caribe 6)</w:t>
            </w:r>
          </w:p>
          <w:p w:rsidR="0095318C" w:rsidRPr="00492290" w:rsidRDefault="0095318C" w:rsidP="00DC1333">
            <w:pPr>
              <w:rPr>
                <w:sz w:val="16"/>
                <w:szCs w:val="16"/>
                <w:lang w:bidi="th-TH"/>
              </w:rPr>
            </w:pPr>
          </w:p>
          <w:p w:rsidR="0095318C" w:rsidRPr="00492290" w:rsidRDefault="0095318C" w:rsidP="00DC1333">
            <w:pPr>
              <w:pStyle w:val="ListParagraph"/>
              <w:ind w:left="0"/>
              <w:rPr>
                <w:rFonts w:cs="Arial"/>
                <w:sz w:val="16"/>
                <w:szCs w:val="16"/>
                <w:lang w:val="es-ES" w:bidi="th-TH"/>
              </w:rPr>
            </w:pPr>
            <w:r w:rsidRPr="00492290">
              <w:rPr>
                <w:rFonts w:cs="Arial"/>
                <w:sz w:val="16"/>
                <w:szCs w:val="16"/>
                <w:lang w:val="es-ES" w:bidi="th-TH"/>
              </w:rPr>
              <w:t xml:space="preserve">100% de las respuestas válidas a las encuestas formularon comentarios positivos </w:t>
            </w:r>
            <w:r>
              <w:rPr>
                <w:rFonts w:cs="Arial"/>
                <w:sz w:val="16"/>
                <w:szCs w:val="16"/>
                <w:lang w:val="es-ES" w:bidi="th-TH"/>
              </w:rPr>
              <w:t xml:space="preserve">(5 o 6 en una escala de 1 a </w:t>
            </w:r>
            <w:r w:rsidRPr="00492290">
              <w:rPr>
                <w:rFonts w:cs="Arial"/>
                <w:sz w:val="16"/>
                <w:szCs w:val="16"/>
                <w:lang w:val="es-ES" w:bidi="th-TH"/>
              </w:rPr>
              <w:t xml:space="preserve">6) </w:t>
            </w:r>
            <w:r>
              <w:rPr>
                <w:rFonts w:cs="Arial"/>
                <w:sz w:val="16"/>
                <w:szCs w:val="16"/>
                <w:lang w:val="es-ES" w:bidi="th-TH"/>
              </w:rPr>
              <w:t xml:space="preserve">sobre el </w:t>
            </w:r>
            <w:r w:rsidRPr="00992AF7">
              <w:rPr>
                <w:rFonts w:cs="Arial"/>
                <w:sz w:val="16"/>
                <w:szCs w:val="16"/>
                <w:lang w:val="es-ES" w:bidi="th-TH"/>
              </w:rPr>
              <w:t>servicio de asesoramiento legislativo en materia de derecho de autor de la OMPI</w:t>
            </w:r>
          </w:p>
          <w:p w:rsidR="0095318C" w:rsidRPr="00492290" w:rsidRDefault="0095318C" w:rsidP="00DC1333">
            <w:pPr>
              <w:pStyle w:val="ListParagraph"/>
              <w:ind w:left="0"/>
              <w:rPr>
                <w:rFonts w:cs="Arial"/>
                <w:sz w:val="16"/>
                <w:szCs w:val="16"/>
                <w:lang w:val="es-ES"/>
              </w:rPr>
            </w:pPr>
          </w:p>
        </w:tc>
        <w:tc>
          <w:tcPr>
            <w:tcW w:w="1278" w:type="dxa"/>
            <w:shd w:val="clear" w:color="auto" w:fill="auto"/>
            <w:tcMar>
              <w:top w:w="110" w:type="dxa"/>
            </w:tcMar>
          </w:tcPr>
          <w:p w:rsidR="0095318C" w:rsidRPr="003C4694" w:rsidRDefault="0095318C" w:rsidP="00DC1333">
            <w:pPr>
              <w:keepNext/>
              <w:keepLines/>
              <w:jc w:val="center"/>
              <w:rPr>
                <w:bCs/>
                <w:sz w:val="16"/>
                <w:szCs w:val="16"/>
              </w:rPr>
            </w:pPr>
            <w:r w:rsidRPr="004B265E">
              <w:rPr>
                <w:b/>
                <w:bCs/>
                <w:color w:val="00B050"/>
                <w:sz w:val="14"/>
                <w:szCs w:val="14"/>
              </w:rPr>
              <w:t>Plenamente logrado</w:t>
            </w:r>
          </w:p>
        </w:tc>
      </w:tr>
      <w:tr w:rsidR="0095318C" w:rsidRPr="003131FE" w:rsidTr="00DC1333">
        <w:tc>
          <w:tcPr>
            <w:tcW w:w="9498" w:type="dxa"/>
            <w:gridSpan w:val="12"/>
            <w:tcBorders>
              <w:top w:val="single" w:sz="4" w:space="0" w:color="auto"/>
              <w:bottom w:val="single" w:sz="4" w:space="0" w:color="auto"/>
            </w:tcBorders>
            <w:shd w:val="clear" w:color="auto" w:fill="C6D9F1" w:themeFill="text2" w:themeFillTint="33"/>
            <w:vAlign w:val="center"/>
          </w:tcPr>
          <w:p w:rsidR="0095318C" w:rsidRPr="00451112" w:rsidRDefault="0095318C" w:rsidP="00DC1333">
            <w:pPr>
              <w:keepNext/>
              <w:keepLines/>
              <w:spacing w:before="120" w:after="120"/>
              <w:ind w:left="2019" w:hanging="2019"/>
              <w:rPr>
                <w:b/>
                <w:bCs/>
                <w:sz w:val="16"/>
                <w:szCs w:val="16"/>
              </w:rPr>
            </w:pPr>
            <w:r w:rsidRPr="00451112">
              <w:lastRenderedPageBreak/>
              <w:br w:type="page"/>
            </w:r>
            <w:r w:rsidRPr="00451112">
              <w:rPr>
                <w:b/>
                <w:bCs/>
                <w:sz w:val="16"/>
                <w:szCs w:val="16"/>
              </w:rPr>
              <w:t>Resultado previsto:</w:t>
            </w:r>
            <w:r w:rsidRPr="00451112">
              <w:rPr>
                <w:b/>
                <w:bCs/>
                <w:sz w:val="16"/>
                <w:szCs w:val="16"/>
              </w:rPr>
              <w:tab/>
            </w:r>
            <w:r w:rsidRPr="00451112">
              <w:rPr>
                <w:sz w:val="16"/>
                <w:szCs w:val="16"/>
                <w:lang w:bidi="th-TH"/>
              </w:rPr>
              <w:t>III.1 Estrategias y planes nacionales de innovación y de P.I. que estén en sintonía con los obj</w:t>
            </w:r>
            <w:r>
              <w:rPr>
                <w:sz w:val="16"/>
                <w:szCs w:val="16"/>
                <w:lang w:bidi="th-TH"/>
              </w:rPr>
              <w:t>etivos nacionales de desarrollo</w:t>
            </w:r>
          </w:p>
        </w:tc>
      </w:tr>
      <w:tr w:rsidR="0095318C" w:rsidRPr="003C4694" w:rsidTr="00DC1333">
        <w:tc>
          <w:tcPr>
            <w:tcW w:w="2123" w:type="dxa"/>
            <w:gridSpan w:val="2"/>
            <w:tcBorders>
              <w:top w:val="single" w:sz="4" w:space="0" w:color="auto"/>
            </w:tcBorders>
            <w:shd w:val="clear" w:color="auto" w:fill="auto"/>
            <w:vAlign w:val="center"/>
          </w:tcPr>
          <w:p w:rsidR="0095318C" w:rsidRPr="003C4694" w:rsidRDefault="0095318C" w:rsidP="00DC1333">
            <w:pPr>
              <w:keepNext/>
              <w:spacing w:after="40"/>
              <w:rPr>
                <w:sz w:val="16"/>
                <w:szCs w:val="16"/>
              </w:rPr>
            </w:pPr>
            <w:r>
              <w:rPr>
                <w:b/>
                <w:bCs/>
                <w:sz w:val="16"/>
                <w:szCs w:val="16"/>
              </w:rPr>
              <w:t>Indicadores de rendimiento</w:t>
            </w:r>
          </w:p>
        </w:tc>
        <w:tc>
          <w:tcPr>
            <w:tcW w:w="1987" w:type="dxa"/>
            <w:gridSpan w:val="2"/>
            <w:tcBorders>
              <w:top w:val="single" w:sz="4" w:space="0" w:color="auto"/>
            </w:tcBorders>
            <w:shd w:val="clear" w:color="auto" w:fill="auto"/>
            <w:vAlign w:val="center"/>
          </w:tcPr>
          <w:p w:rsidR="0095318C" w:rsidRPr="003C4694" w:rsidRDefault="0095318C" w:rsidP="00DC1333">
            <w:pPr>
              <w:keepNext/>
              <w:spacing w:after="40"/>
              <w:rPr>
                <w:b/>
                <w:bCs/>
                <w:sz w:val="16"/>
                <w:szCs w:val="16"/>
              </w:rPr>
            </w:pPr>
            <w:r>
              <w:rPr>
                <w:b/>
                <w:bCs/>
                <w:sz w:val="16"/>
                <w:szCs w:val="16"/>
              </w:rPr>
              <w:t>Referencia</w:t>
            </w:r>
          </w:p>
        </w:tc>
        <w:tc>
          <w:tcPr>
            <w:tcW w:w="1701" w:type="dxa"/>
            <w:gridSpan w:val="3"/>
            <w:tcBorders>
              <w:top w:val="single" w:sz="4" w:space="0" w:color="auto"/>
            </w:tcBorders>
            <w:shd w:val="clear" w:color="auto" w:fill="auto"/>
            <w:tcMar>
              <w:top w:w="110" w:type="dxa"/>
            </w:tcMar>
            <w:vAlign w:val="center"/>
          </w:tcPr>
          <w:p w:rsidR="0095318C" w:rsidRPr="003C4694" w:rsidRDefault="0095318C" w:rsidP="00DC1333">
            <w:pPr>
              <w:keepNext/>
              <w:spacing w:after="40"/>
              <w:rPr>
                <w:b/>
                <w:sz w:val="16"/>
                <w:szCs w:val="16"/>
              </w:rPr>
            </w:pPr>
            <w:r>
              <w:rPr>
                <w:b/>
                <w:sz w:val="16"/>
                <w:szCs w:val="16"/>
              </w:rPr>
              <w:t>Objetivo</w:t>
            </w:r>
            <w:r w:rsidRPr="003C4694">
              <w:rPr>
                <w:b/>
                <w:sz w:val="16"/>
                <w:szCs w:val="16"/>
              </w:rPr>
              <w:t>s</w:t>
            </w:r>
          </w:p>
        </w:tc>
        <w:tc>
          <w:tcPr>
            <w:tcW w:w="2269" w:type="dxa"/>
            <w:gridSpan w:val="3"/>
            <w:tcBorders>
              <w:top w:val="single" w:sz="4" w:space="0" w:color="auto"/>
            </w:tcBorders>
            <w:shd w:val="clear" w:color="auto" w:fill="FFFFFF"/>
            <w:tcMar>
              <w:top w:w="110" w:type="dxa"/>
            </w:tcMar>
            <w:vAlign w:val="center"/>
          </w:tcPr>
          <w:p w:rsidR="0095318C" w:rsidRPr="003C4694" w:rsidRDefault="0095318C" w:rsidP="00DC1333">
            <w:pPr>
              <w:keepNext/>
              <w:spacing w:after="40"/>
              <w:rPr>
                <w:sz w:val="16"/>
                <w:szCs w:val="16"/>
              </w:rPr>
            </w:pPr>
            <w:r>
              <w:rPr>
                <w:b/>
                <w:bCs/>
                <w:sz w:val="16"/>
                <w:szCs w:val="16"/>
              </w:rPr>
              <w:t>Datos sobre el rendimiento</w:t>
            </w:r>
          </w:p>
        </w:tc>
        <w:tc>
          <w:tcPr>
            <w:tcW w:w="1418" w:type="dxa"/>
            <w:gridSpan w:val="2"/>
            <w:tcBorders>
              <w:top w:val="single" w:sz="4" w:space="0" w:color="auto"/>
            </w:tcBorders>
            <w:shd w:val="clear" w:color="auto" w:fill="auto"/>
            <w:tcMar>
              <w:top w:w="110" w:type="dxa"/>
            </w:tcMar>
            <w:vAlign w:val="center"/>
          </w:tcPr>
          <w:p w:rsidR="0095318C" w:rsidRPr="003C4694" w:rsidRDefault="0095318C" w:rsidP="00DC1333">
            <w:pPr>
              <w:keepNext/>
              <w:keepLines/>
              <w:spacing w:after="40"/>
              <w:jc w:val="center"/>
              <w:rPr>
                <w:b/>
                <w:bCs/>
                <w:sz w:val="16"/>
                <w:szCs w:val="16"/>
              </w:rPr>
            </w:pPr>
            <w:r>
              <w:rPr>
                <w:b/>
                <w:bCs/>
                <w:sz w:val="16"/>
                <w:szCs w:val="16"/>
              </w:rPr>
              <w:t>Clave de los colores</w:t>
            </w:r>
          </w:p>
        </w:tc>
      </w:tr>
      <w:tr w:rsidR="0095318C" w:rsidRPr="004B265E" w:rsidTr="00DC1333">
        <w:tc>
          <w:tcPr>
            <w:tcW w:w="2123" w:type="dxa"/>
            <w:gridSpan w:val="2"/>
            <w:shd w:val="clear" w:color="auto" w:fill="FFFFFF"/>
          </w:tcPr>
          <w:p w:rsidR="0095318C" w:rsidRPr="00AD5551" w:rsidRDefault="0095318C" w:rsidP="00DC1333">
            <w:pPr>
              <w:keepNext/>
              <w:rPr>
                <w:sz w:val="16"/>
                <w:szCs w:val="16"/>
                <w:lang w:bidi="th-TH"/>
              </w:rPr>
            </w:pPr>
            <w:r w:rsidRPr="00AD5551">
              <w:rPr>
                <w:sz w:val="16"/>
                <w:szCs w:val="16"/>
                <w:lang w:bidi="th-TH"/>
              </w:rPr>
              <w:t>Número de países que están en proceso de formular/adoptar estrategias o planes de desarrollo nacionales de P.I.</w:t>
            </w:r>
          </w:p>
        </w:tc>
        <w:tc>
          <w:tcPr>
            <w:tcW w:w="1987" w:type="dxa"/>
            <w:gridSpan w:val="2"/>
            <w:shd w:val="clear" w:color="auto" w:fill="auto"/>
          </w:tcPr>
          <w:p w:rsidR="0095318C" w:rsidRPr="00992ABC" w:rsidRDefault="0095318C" w:rsidP="00DC1333">
            <w:pPr>
              <w:keepNext/>
              <w:rPr>
                <w:i/>
                <w:sz w:val="16"/>
                <w:szCs w:val="16"/>
              </w:rPr>
            </w:pPr>
            <w:r w:rsidRPr="00AD5551">
              <w:rPr>
                <w:i/>
                <w:sz w:val="16"/>
                <w:szCs w:val="16"/>
              </w:rPr>
              <w:t>R</w:t>
            </w:r>
            <w:r>
              <w:rPr>
                <w:i/>
                <w:sz w:val="16"/>
                <w:szCs w:val="16"/>
              </w:rPr>
              <w:t>eferencia actualizada a fines de</w:t>
            </w:r>
            <w:r w:rsidRPr="00AD5551">
              <w:rPr>
                <w:i/>
                <w:sz w:val="16"/>
                <w:szCs w:val="16"/>
              </w:rPr>
              <w:t xml:space="preserve"> </w:t>
            </w:r>
            <w:r>
              <w:rPr>
                <w:i/>
                <w:sz w:val="16"/>
                <w:szCs w:val="16"/>
              </w:rPr>
              <w:t xml:space="preserve">2013:  </w:t>
            </w:r>
            <w:r w:rsidRPr="00AD5551">
              <w:rPr>
                <w:sz w:val="16"/>
                <w:szCs w:val="16"/>
              </w:rPr>
              <w:t xml:space="preserve">África: </w:t>
            </w:r>
            <w:r>
              <w:rPr>
                <w:sz w:val="16"/>
                <w:szCs w:val="16"/>
              </w:rPr>
              <w:t xml:space="preserve"> </w:t>
            </w:r>
            <w:r w:rsidRPr="00AD5551">
              <w:rPr>
                <w:sz w:val="16"/>
                <w:szCs w:val="16"/>
              </w:rPr>
              <w:t>18 en total (</w:t>
            </w:r>
            <w:proofErr w:type="spellStart"/>
            <w:r w:rsidRPr="00AD5551">
              <w:rPr>
                <w:sz w:val="16"/>
                <w:szCs w:val="16"/>
              </w:rPr>
              <w:t>Botswana</w:t>
            </w:r>
            <w:proofErr w:type="spellEnd"/>
            <w:r w:rsidRPr="00AD5551">
              <w:rPr>
                <w:sz w:val="16"/>
                <w:szCs w:val="16"/>
              </w:rPr>
              <w:t xml:space="preserve">, Burundi, Camerún, República Centroafricana, Chad, </w:t>
            </w:r>
            <w:r w:rsidRPr="00CD36EC">
              <w:rPr>
                <w:sz w:val="16"/>
                <w:szCs w:val="16"/>
              </w:rPr>
              <w:t>Congo</w:t>
            </w:r>
            <w:r w:rsidRPr="00AD5551">
              <w:rPr>
                <w:sz w:val="16"/>
                <w:szCs w:val="16"/>
              </w:rPr>
              <w:t>, Guinea Ecuatorial, Etiopía</w:t>
            </w:r>
            <w:r w:rsidRPr="003C4694">
              <w:rPr>
                <w:rStyle w:val="FootnoteReference"/>
                <w:sz w:val="16"/>
                <w:szCs w:val="16"/>
              </w:rPr>
              <w:footnoteReference w:id="60"/>
            </w:r>
            <w:r w:rsidRPr="00AD5551">
              <w:rPr>
                <w:sz w:val="16"/>
                <w:szCs w:val="16"/>
              </w:rPr>
              <w:t xml:space="preserve">, Gambia, </w:t>
            </w:r>
            <w:proofErr w:type="spellStart"/>
            <w:r w:rsidRPr="00AD5551">
              <w:rPr>
                <w:sz w:val="16"/>
                <w:szCs w:val="16"/>
              </w:rPr>
              <w:t>Kenya</w:t>
            </w:r>
            <w:proofErr w:type="spellEnd"/>
            <w:r w:rsidRPr="00AD5551">
              <w:rPr>
                <w:sz w:val="16"/>
                <w:szCs w:val="16"/>
              </w:rPr>
              <w:t xml:space="preserve">, </w:t>
            </w:r>
            <w:proofErr w:type="spellStart"/>
            <w:r w:rsidRPr="00AD5551">
              <w:rPr>
                <w:sz w:val="16"/>
                <w:szCs w:val="16"/>
              </w:rPr>
              <w:t>Lesotho</w:t>
            </w:r>
            <w:proofErr w:type="spellEnd"/>
            <w:r w:rsidRPr="00AD5551">
              <w:rPr>
                <w:sz w:val="16"/>
                <w:szCs w:val="16"/>
              </w:rPr>
              <w:t xml:space="preserve">, Malawi, Malí, Mauricio, Seychelles, Sierra Leona, Togo, República Unida de </w:t>
            </w:r>
            <w:proofErr w:type="spellStart"/>
            <w:r w:rsidRPr="00AD5551">
              <w:rPr>
                <w:sz w:val="16"/>
                <w:szCs w:val="16"/>
              </w:rPr>
              <w:t>Tanzanía</w:t>
            </w:r>
            <w:proofErr w:type="spellEnd"/>
            <w:r w:rsidRPr="00AD5551">
              <w:rPr>
                <w:sz w:val="16"/>
                <w:szCs w:val="16"/>
              </w:rPr>
              <w:t>)</w:t>
            </w:r>
          </w:p>
          <w:p w:rsidR="0095318C" w:rsidRPr="00AD5551" w:rsidRDefault="0095318C" w:rsidP="00DC1333">
            <w:pPr>
              <w:keepNext/>
              <w:rPr>
                <w:sz w:val="16"/>
                <w:szCs w:val="16"/>
              </w:rPr>
            </w:pPr>
          </w:p>
          <w:p w:rsidR="0095318C" w:rsidRPr="008F34B1" w:rsidRDefault="0095318C" w:rsidP="00DC1333">
            <w:pPr>
              <w:keepNext/>
              <w:rPr>
                <w:sz w:val="16"/>
                <w:szCs w:val="16"/>
              </w:rPr>
            </w:pPr>
            <w:r>
              <w:rPr>
                <w:sz w:val="16"/>
                <w:szCs w:val="16"/>
              </w:rPr>
              <w:t>Región árabe:  6 en total</w:t>
            </w:r>
            <w:r w:rsidRPr="003C4694">
              <w:rPr>
                <w:rStyle w:val="FootnoteReference"/>
                <w:sz w:val="16"/>
                <w:szCs w:val="16"/>
              </w:rPr>
              <w:footnoteReference w:id="61"/>
            </w:r>
            <w:r w:rsidRPr="008F34B1">
              <w:rPr>
                <w:sz w:val="16"/>
                <w:szCs w:val="16"/>
              </w:rPr>
              <w:t xml:space="preserve"> (Argelia</w:t>
            </w:r>
            <w:r w:rsidRPr="003C4694">
              <w:rPr>
                <w:rStyle w:val="FootnoteReference"/>
                <w:sz w:val="16"/>
                <w:szCs w:val="16"/>
              </w:rPr>
              <w:footnoteReference w:id="62"/>
            </w:r>
            <w:r w:rsidRPr="008F34B1">
              <w:rPr>
                <w:sz w:val="16"/>
                <w:szCs w:val="16"/>
              </w:rPr>
              <w:t>, Omán, Qatar</w:t>
            </w:r>
            <w:r w:rsidRPr="003C4694">
              <w:rPr>
                <w:rStyle w:val="FootnoteReference"/>
                <w:sz w:val="16"/>
                <w:szCs w:val="16"/>
              </w:rPr>
              <w:footnoteReference w:id="63"/>
            </w:r>
            <w:r w:rsidRPr="008F34B1">
              <w:rPr>
                <w:sz w:val="16"/>
                <w:szCs w:val="16"/>
              </w:rPr>
              <w:t xml:space="preserve">, </w:t>
            </w:r>
            <w:r w:rsidRPr="00CD36EC">
              <w:rPr>
                <w:sz w:val="16"/>
                <w:szCs w:val="16"/>
              </w:rPr>
              <w:t>Sudán, Emiratos Árabes Unidos,</w:t>
            </w:r>
            <w:r w:rsidRPr="008F34B1">
              <w:rPr>
                <w:sz w:val="16"/>
                <w:szCs w:val="16"/>
              </w:rPr>
              <w:t xml:space="preserve"> Yemen)</w:t>
            </w:r>
          </w:p>
          <w:p w:rsidR="0095318C" w:rsidRPr="008F34B1" w:rsidRDefault="0095318C" w:rsidP="00DC1333">
            <w:pPr>
              <w:keepNext/>
              <w:rPr>
                <w:sz w:val="16"/>
                <w:szCs w:val="16"/>
              </w:rPr>
            </w:pPr>
          </w:p>
          <w:p w:rsidR="0095318C" w:rsidRDefault="0095318C" w:rsidP="00DC1333">
            <w:pPr>
              <w:keepNext/>
              <w:rPr>
                <w:sz w:val="16"/>
                <w:szCs w:val="16"/>
              </w:rPr>
            </w:pPr>
            <w:r w:rsidRPr="00B5108C">
              <w:rPr>
                <w:sz w:val="16"/>
                <w:szCs w:val="16"/>
              </w:rPr>
              <w:t xml:space="preserve">Asia y el Pacífico: </w:t>
            </w:r>
            <w:r>
              <w:rPr>
                <w:sz w:val="16"/>
                <w:szCs w:val="16"/>
              </w:rPr>
              <w:t xml:space="preserve"> </w:t>
            </w:r>
            <w:r w:rsidRPr="00B5108C">
              <w:rPr>
                <w:sz w:val="16"/>
                <w:szCs w:val="16"/>
              </w:rPr>
              <w:t xml:space="preserve">12 en total (Bangladesh, </w:t>
            </w:r>
            <w:proofErr w:type="spellStart"/>
            <w:r w:rsidRPr="00B5108C">
              <w:rPr>
                <w:sz w:val="16"/>
                <w:szCs w:val="16"/>
              </w:rPr>
              <w:t>Bhután</w:t>
            </w:r>
            <w:proofErr w:type="spellEnd"/>
            <w:r w:rsidRPr="00B5108C">
              <w:rPr>
                <w:sz w:val="16"/>
                <w:szCs w:val="16"/>
              </w:rPr>
              <w:t xml:space="preserve">, Camboya, </w:t>
            </w:r>
            <w:proofErr w:type="spellStart"/>
            <w:r w:rsidRPr="00B5108C">
              <w:rPr>
                <w:sz w:val="16"/>
                <w:szCs w:val="16"/>
              </w:rPr>
              <w:t>Fiji</w:t>
            </w:r>
            <w:proofErr w:type="spellEnd"/>
            <w:r w:rsidRPr="00B5108C">
              <w:rPr>
                <w:sz w:val="16"/>
                <w:szCs w:val="16"/>
              </w:rPr>
              <w:t xml:space="preserve">, Mongolia, </w:t>
            </w:r>
            <w:proofErr w:type="spellStart"/>
            <w:r w:rsidRPr="00B5108C">
              <w:rPr>
                <w:sz w:val="16"/>
                <w:szCs w:val="16"/>
              </w:rPr>
              <w:t>Papua</w:t>
            </w:r>
            <w:proofErr w:type="spellEnd"/>
            <w:r w:rsidRPr="00B5108C">
              <w:rPr>
                <w:sz w:val="16"/>
                <w:szCs w:val="16"/>
              </w:rPr>
              <w:t xml:space="preserve"> Nueva Guinea, Samoa, Islas Salomón, Sri Lanka, Tonga, Vanuatu, </w:t>
            </w:r>
            <w:proofErr w:type="spellStart"/>
            <w:r w:rsidRPr="00B5108C">
              <w:rPr>
                <w:sz w:val="16"/>
                <w:szCs w:val="16"/>
              </w:rPr>
              <w:t>Viet</w:t>
            </w:r>
            <w:proofErr w:type="spellEnd"/>
            <w:r w:rsidRPr="00B5108C">
              <w:rPr>
                <w:sz w:val="16"/>
                <w:szCs w:val="16"/>
              </w:rPr>
              <w:t xml:space="preserve"> </w:t>
            </w:r>
            <w:proofErr w:type="spellStart"/>
            <w:r w:rsidRPr="00B5108C">
              <w:rPr>
                <w:sz w:val="16"/>
                <w:szCs w:val="16"/>
              </w:rPr>
              <w:t>Nam</w:t>
            </w:r>
            <w:proofErr w:type="spellEnd"/>
            <w:r w:rsidRPr="00B5108C">
              <w:rPr>
                <w:sz w:val="16"/>
                <w:szCs w:val="16"/>
              </w:rPr>
              <w:t>)</w:t>
            </w:r>
          </w:p>
          <w:p w:rsidR="0095318C" w:rsidRPr="00B5108C" w:rsidRDefault="0095318C" w:rsidP="00DC1333">
            <w:pPr>
              <w:keepNext/>
              <w:rPr>
                <w:sz w:val="16"/>
                <w:szCs w:val="16"/>
              </w:rPr>
            </w:pPr>
          </w:p>
          <w:p w:rsidR="0095318C" w:rsidRPr="003C4694" w:rsidRDefault="0095318C" w:rsidP="00DC1333">
            <w:pPr>
              <w:keepNext/>
              <w:rPr>
                <w:sz w:val="16"/>
                <w:szCs w:val="16"/>
              </w:rPr>
            </w:pPr>
            <w:r w:rsidRPr="00B5108C">
              <w:rPr>
                <w:sz w:val="16"/>
                <w:szCs w:val="16"/>
              </w:rPr>
              <w:t xml:space="preserve">América Latina y el Caribe: </w:t>
            </w:r>
            <w:r>
              <w:rPr>
                <w:sz w:val="16"/>
                <w:szCs w:val="16"/>
              </w:rPr>
              <w:t xml:space="preserve"> 11 en total (</w:t>
            </w:r>
            <w:r w:rsidRPr="00B5108C">
              <w:rPr>
                <w:sz w:val="16"/>
                <w:szCs w:val="16"/>
              </w:rPr>
              <w:t>Barbados, Costa Rica, República Dominicana, Ecuador, El Salvador, Guatemala, Honduras, Nicaragua, Panamá, Sa</w:t>
            </w:r>
            <w:r>
              <w:rPr>
                <w:sz w:val="16"/>
                <w:szCs w:val="16"/>
              </w:rPr>
              <w:t>i</w:t>
            </w:r>
            <w:r w:rsidRPr="00B5108C">
              <w:rPr>
                <w:sz w:val="16"/>
                <w:szCs w:val="16"/>
              </w:rPr>
              <w:t xml:space="preserve">nt </w:t>
            </w:r>
            <w:proofErr w:type="spellStart"/>
            <w:r w:rsidRPr="00B5108C">
              <w:rPr>
                <w:sz w:val="16"/>
                <w:szCs w:val="16"/>
              </w:rPr>
              <w:t>K</w:t>
            </w:r>
            <w:r>
              <w:rPr>
                <w:sz w:val="16"/>
                <w:szCs w:val="16"/>
              </w:rPr>
              <w:t>itts</w:t>
            </w:r>
            <w:proofErr w:type="spellEnd"/>
            <w:r>
              <w:rPr>
                <w:sz w:val="16"/>
                <w:szCs w:val="16"/>
              </w:rPr>
              <w:t xml:space="preserve"> y </w:t>
            </w:r>
            <w:proofErr w:type="spellStart"/>
            <w:r>
              <w:rPr>
                <w:sz w:val="16"/>
                <w:szCs w:val="16"/>
              </w:rPr>
              <w:t>Nevis</w:t>
            </w:r>
            <w:proofErr w:type="spellEnd"/>
            <w:r>
              <w:rPr>
                <w:sz w:val="16"/>
                <w:szCs w:val="16"/>
              </w:rPr>
              <w:t xml:space="preserve">, Trinidad y </w:t>
            </w:r>
            <w:proofErr w:type="spellStart"/>
            <w:r>
              <w:rPr>
                <w:sz w:val="16"/>
                <w:szCs w:val="16"/>
              </w:rPr>
              <w:t>Tabago</w:t>
            </w:r>
            <w:proofErr w:type="spellEnd"/>
            <w:r w:rsidRPr="003C4694">
              <w:rPr>
                <w:sz w:val="16"/>
                <w:szCs w:val="16"/>
              </w:rPr>
              <w:t>)</w:t>
            </w:r>
          </w:p>
          <w:p w:rsidR="0095318C" w:rsidRPr="003C4694" w:rsidRDefault="0095318C" w:rsidP="00DC1333">
            <w:pPr>
              <w:keepNext/>
              <w:rPr>
                <w:sz w:val="16"/>
                <w:szCs w:val="16"/>
              </w:rPr>
            </w:pPr>
          </w:p>
          <w:p w:rsidR="0095318C" w:rsidRDefault="0095318C" w:rsidP="00DC1333">
            <w:pPr>
              <w:keepNext/>
              <w:rPr>
                <w:sz w:val="16"/>
                <w:szCs w:val="16"/>
              </w:rPr>
            </w:pPr>
            <w:r w:rsidRPr="00B5108C">
              <w:rPr>
                <w:sz w:val="16"/>
                <w:szCs w:val="16"/>
              </w:rPr>
              <w:t>19 PMA incluidos en el desglose regional precedente</w:t>
            </w:r>
          </w:p>
          <w:p w:rsidR="0095318C" w:rsidRPr="00B5108C" w:rsidRDefault="0095318C" w:rsidP="00DC1333">
            <w:pPr>
              <w:keepNext/>
              <w:rPr>
                <w:sz w:val="16"/>
                <w:szCs w:val="16"/>
              </w:rPr>
            </w:pPr>
          </w:p>
          <w:p w:rsidR="0095318C" w:rsidRPr="00017A5E" w:rsidRDefault="0095318C" w:rsidP="00DC1333">
            <w:pPr>
              <w:keepNext/>
              <w:rPr>
                <w:sz w:val="16"/>
                <w:szCs w:val="16"/>
                <w:lang w:bidi="th-TH"/>
              </w:rPr>
            </w:pPr>
            <w:r w:rsidRPr="00017A5E">
              <w:rPr>
                <w:i/>
                <w:sz w:val="16"/>
                <w:szCs w:val="16"/>
                <w:lang w:bidi="th-TH"/>
              </w:rPr>
              <w:t>Referencia original</w:t>
            </w:r>
          </w:p>
          <w:p w:rsidR="0095318C" w:rsidRPr="00017A5E" w:rsidRDefault="0095318C" w:rsidP="00DC1333">
            <w:pPr>
              <w:keepNext/>
              <w:rPr>
                <w:sz w:val="16"/>
                <w:szCs w:val="16"/>
                <w:lang w:bidi="th-TH"/>
              </w:rPr>
            </w:pPr>
            <w:proofErr w:type="spellStart"/>
            <w:r w:rsidRPr="00017A5E">
              <w:rPr>
                <w:i/>
                <w:sz w:val="16"/>
                <w:szCs w:val="16"/>
              </w:rPr>
              <w:t>Presup</w:t>
            </w:r>
            <w:proofErr w:type="spellEnd"/>
            <w:r w:rsidRPr="00017A5E">
              <w:rPr>
                <w:i/>
                <w:sz w:val="16"/>
                <w:szCs w:val="16"/>
              </w:rPr>
              <w:t xml:space="preserve">. por </w:t>
            </w:r>
            <w:proofErr w:type="spellStart"/>
            <w:r w:rsidRPr="00017A5E">
              <w:rPr>
                <w:i/>
                <w:sz w:val="16"/>
                <w:szCs w:val="16"/>
              </w:rPr>
              <w:t>prog</w:t>
            </w:r>
            <w:proofErr w:type="spellEnd"/>
            <w:r w:rsidRPr="00017A5E">
              <w:rPr>
                <w:i/>
                <w:sz w:val="16"/>
                <w:szCs w:val="16"/>
              </w:rPr>
              <w:t>. 2014/15:</w:t>
            </w:r>
          </w:p>
          <w:p w:rsidR="0095318C" w:rsidRPr="00B5108C" w:rsidRDefault="0095318C" w:rsidP="00DC1333">
            <w:pPr>
              <w:keepNext/>
              <w:rPr>
                <w:sz w:val="16"/>
                <w:szCs w:val="16"/>
                <w:lang w:bidi="th-TH"/>
              </w:rPr>
            </w:pPr>
            <w:r w:rsidRPr="00B5108C">
              <w:rPr>
                <w:sz w:val="16"/>
                <w:szCs w:val="16"/>
                <w:lang w:bidi="th-TH"/>
              </w:rPr>
              <w:t xml:space="preserve">África (12 en total) </w:t>
            </w:r>
          </w:p>
          <w:p w:rsidR="0095318C" w:rsidRPr="00B5108C" w:rsidRDefault="0095318C" w:rsidP="00DC1333">
            <w:pPr>
              <w:keepNext/>
              <w:rPr>
                <w:sz w:val="16"/>
                <w:szCs w:val="16"/>
                <w:lang w:bidi="th-TH"/>
              </w:rPr>
            </w:pPr>
          </w:p>
          <w:p w:rsidR="0095318C" w:rsidRPr="00B5108C" w:rsidRDefault="0095318C" w:rsidP="00DC1333">
            <w:pPr>
              <w:keepNext/>
              <w:rPr>
                <w:sz w:val="16"/>
                <w:szCs w:val="16"/>
                <w:lang w:bidi="th-TH"/>
              </w:rPr>
            </w:pPr>
            <w:r w:rsidRPr="00B5108C">
              <w:rPr>
                <w:sz w:val="16"/>
                <w:szCs w:val="16"/>
                <w:lang w:bidi="th-TH"/>
              </w:rPr>
              <w:t xml:space="preserve">Región de los países </w:t>
            </w:r>
            <w:r>
              <w:rPr>
                <w:sz w:val="16"/>
                <w:szCs w:val="16"/>
                <w:lang w:bidi="th-TH"/>
              </w:rPr>
              <w:t>á</w:t>
            </w:r>
            <w:r w:rsidRPr="00B5108C">
              <w:rPr>
                <w:sz w:val="16"/>
                <w:szCs w:val="16"/>
                <w:lang w:bidi="th-TH"/>
              </w:rPr>
              <w:t>rabes (4)</w:t>
            </w:r>
          </w:p>
          <w:p w:rsidR="0095318C" w:rsidRPr="00B5108C" w:rsidRDefault="0095318C" w:rsidP="00DC1333">
            <w:pPr>
              <w:keepNext/>
              <w:rPr>
                <w:sz w:val="16"/>
                <w:szCs w:val="16"/>
                <w:lang w:bidi="th-TH"/>
              </w:rPr>
            </w:pPr>
          </w:p>
          <w:p w:rsidR="0095318C" w:rsidRPr="00822FFB" w:rsidRDefault="0095318C" w:rsidP="00DC1333">
            <w:pPr>
              <w:keepNext/>
              <w:rPr>
                <w:sz w:val="16"/>
                <w:szCs w:val="16"/>
                <w:lang w:bidi="th-TH"/>
              </w:rPr>
            </w:pPr>
            <w:r w:rsidRPr="00822FFB">
              <w:rPr>
                <w:sz w:val="16"/>
                <w:szCs w:val="16"/>
                <w:lang w:bidi="th-TH"/>
              </w:rPr>
              <w:t>Asia y el Pacífico (8)</w:t>
            </w:r>
          </w:p>
          <w:p w:rsidR="0095318C" w:rsidRPr="00822FFB" w:rsidRDefault="0095318C" w:rsidP="00DC1333">
            <w:pPr>
              <w:keepNext/>
              <w:rPr>
                <w:sz w:val="16"/>
                <w:szCs w:val="16"/>
                <w:lang w:bidi="th-TH"/>
              </w:rPr>
            </w:pPr>
          </w:p>
          <w:p w:rsidR="0095318C" w:rsidRPr="00822FFB" w:rsidRDefault="0095318C" w:rsidP="00DC1333">
            <w:pPr>
              <w:keepNext/>
              <w:rPr>
                <w:sz w:val="16"/>
                <w:szCs w:val="16"/>
                <w:lang w:bidi="th-TH"/>
              </w:rPr>
            </w:pPr>
            <w:r w:rsidRPr="00822FFB">
              <w:rPr>
                <w:sz w:val="16"/>
                <w:szCs w:val="16"/>
                <w:lang w:bidi="th-TH"/>
              </w:rPr>
              <w:t>América Latina y el Caribe (9)</w:t>
            </w:r>
          </w:p>
          <w:p w:rsidR="0095318C" w:rsidRPr="00822FFB" w:rsidRDefault="0095318C" w:rsidP="00DC1333">
            <w:pPr>
              <w:keepNext/>
              <w:rPr>
                <w:sz w:val="16"/>
                <w:szCs w:val="16"/>
                <w:lang w:bidi="th-TH"/>
              </w:rPr>
            </w:pPr>
          </w:p>
          <w:p w:rsidR="0095318C" w:rsidRPr="00822FFB" w:rsidRDefault="0095318C" w:rsidP="00DC1333">
            <w:pPr>
              <w:keepNext/>
              <w:rPr>
                <w:sz w:val="16"/>
                <w:szCs w:val="16"/>
                <w:lang w:bidi="th-TH"/>
              </w:rPr>
            </w:pPr>
            <w:r w:rsidRPr="00822FFB">
              <w:rPr>
                <w:sz w:val="16"/>
                <w:szCs w:val="16"/>
                <w:lang w:bidi="th-TH"/>
              </w:rPr>
              <w:t xml:space="preserve">5 PMA incluidos en el desglose regional </w:t>
            </w:r>
            <w:r w:rsidRPr="00822FFB">
              <w:rPr>
                <w:sz w:val="16"/>
                <w:szCs w:val="16"/>
                <w:lang w:bidi="th-TH"/>
              </w:rPr>
              <w:lastRenderedPageBreak/>
              <w:t>precedente</w:t>
            </w:r>
          </w:p>
        </w:tc>
        <w:tc>
          <w:tcPr>
            <w:tcW w:w="1701" w:type="dxa"/>
            <w:gridSpan w:val="3"/>
            <w:shd w:val="clear" w:color="auto" w:fill="auto"/>
            <w:tcMar>
              <w:top w:w="110" w:type="dxa"/>
            </w:tcMar>
          </w:tcPr>
          <w:p w:rsidR="0095318C" w:rsidRPr="002873AA" w:rsidRDefault="0095318C" w:rsidP="00DC1333">
            <w:pPr>
              <w:keepNext/>
              <w:rPr>
                <w:sz w:val="16"/>
                <w:szCs w:val="16"/>
                <w:lang w:bidi="th-TH"/>
              </w:rPr>
            </w:pPr>
            <w:r w:rsidRPr="002873AA">
              <w:rPr>
                <w:sz w:val="16"/>
                <w:szCs w:val="16"/>
                <w:lang w:bidi="th-TH"/>
              </w:rPr>
              <w:lastRenderedPageBreak/>
              <w:t>África (18 en total)</w:t>
            </w:r>
          </w:p>
          <w:p w:rsidR="0095318C" w:rsidRPr="002873AA" w:rsidRDefault="0095318C" w:rsidP="00DC1333">
            <w:pPr>
              <w:keepNext/>
              <w:rPr>
                <w:sz w:val="16"/>
                <w:szCs w:val="16"/>
                <w:lang w:bidi="th-TH"/>
              </w:rPr>
            </w:pPr>
          </w:p>
          <w:p w:rsidR="0095318C" w:rsidRPr="002873AA" w:rsidRDefault="0095318C" w:rsidP="00DC1333">
            <w:pPr>
              <w:keepNext/>
              <w:rPr>
                <w:sz w:val="16"/>
                <w:szCs w:val="16"/>
                <w:lang w:bidi="th-TH"/>
              </w:rPr>
            </w:pPr>
            <w:r>
              <w:rPr>
                <w:sz w:val="16"/>
                <w:szCs w:val="16"/>
                <w:lang w:bidi="th-TH"/>
              </w:rPr>
              <w:t>Región árabe (siete en total</w:t>
            </w:r>
            <w:r w:rsidRPr="002873AA">
              <w:rPr>
                <w:sz w:val="16"/>
                <w:szCs w:val="16"/>
                <w:lang w:bidi="th-TH"/>
              </w:rPr>
              <w:t>)</w:t>
            </w:r>
          </w:p>
          <w:p w:rsidR="0095318C" w:rsidRPr="002873AA" w:rsidRDefault="0095318C" w:rsidP="00DC1333">
            <w:pPr>
              <w:keepNext/>
              <w:rPr>
                <w:sz w:val="16"/>
                <w:szCs w:val="16"/>
                <w:lang w:bidi="th-TH"/>
              </w:rPr>
            </w:pPr>
          </w:p>
          <w:p w:rsidR="0095318C" w:rsidRPr="002873AA" w:rsidRDefault="0095318C" w:rsidP="00DC1333">
            <w:pPr>
              <w:keepNext/>
              <w:rPr>
                <w:sz w:val="16"/>
                <w:szCs w:val="16"/>
                <w:lang w:bidi="th-TH"/>
              </w:rPr>
            </w:pPr>
            <w:r w:rsidRPr="002873AA">
              <w:rPr>
                <w:sz w:val="16"/>
                <w:szCs w:val="16"/>
                <w:lang w:bidi="th-TH"/>
              </w:rPr>
              <w:t>Asia y el Pacífico (13 en total)</w:t>
            </w:r>
          </w:p>
          <w:p w:rsidR="0095318C" w:rsidRPr="002873AA" w:rsidRDefault="0095318C" w:rsidP="00DC1333">
            <w:pPr>
              <w:keepNext/>
              <w:rPr>
                <w:sz w:val="16"/>
                <w:szCs w:val="16"/>
                <w:lang w:bidi="th-TH"/>
              </w:rPr>
            </w:pPr>
          </w:p>
          <w:p w:rsidR="0095318C" w:rsidRPr="002873AA" w:rsidRDefault="0095318C" w:rsidP="00DC1333">
            <w:pPr>
              <w:keepNext/>
              <w:rPr>
                <w:sz w:val="16"/>
                <w:szCs w:val="16"/>
                <w:lang w:bidi="th-TH"/>
              </w:rPr>
            </w:pPr>
            <w:r w:rsidRPr="002873AA">
              <w:rPr>
                <w:sz w:val="16"/>
                <w:szCs w:val="16"/>
                <w:lang w:bidi="th-TH"/>
              </w:rPr>
              <w:t>América Latina y el Caribe</w:t>
            </w:r>
            <w:r>
              <w:rPr>
                <w:sz w:val="16"/>
                <w:szCs w:val="16"/>
                <w:lang w:bidi="th-TH"/>
              </w:rPr>
              <w:t xml:space="preserve"> (13 en total</w:t>
            </w:r>
            <w:r w:rsidRPr="002873AA">
              <w:rPr>
                <w:sz w:val="16"/>
                <w:szCs w:val="16"/>
                <w:lang w:bidi="th-TH"/>
              </w:rPr>
              <w:t>)</w:t>
            </w:r>
          </w:p>
          <w:p w:rsidR="0095318C" w:rsidRPr="002873AA" w:rsidRDefault="0095318C" w:rsidP="00DC1333">
            <w:pPr>
              <w:keepNext/>
              <w:rPr>
                <w:sz w:val="16"/>
                <w:szCs w:val="16"/>
                <w:lang w:bidi="th-TH"/>
              </w:rPr>
            </w:pPr>
          </w:p>
          <w:p w:rsidR="0095318C" w:rsidRPr="008F34B1" w:rsidRDefault="0095318C" w:rsidP="00DC1333">
            <w:pPr>
              <w:keepNext/>
              <w:rPr>
                <w:sz w:val="16"/>
                <w:szCs w:val="16"/>
                <w:lang w:bidi="th-TH"/>
              </w:rPr>
            </w:pPr>
            <w:r w:rsidRPr="008F34B1">
              <w:rPr>
                <w:sz w:val="16"/>
                <w:szCs w:val="16"/>
                <w:lang w:bidi="th-TH"/>
              </w:rPr>
              <w:t>10 PMA incluidos en el desglose regional precedente</w:t>
            </w:r>
          </w:p>
          <w:p w:rsidR="0095318C" w:rsidRPr="008F34B1" w:rsidRDefault="0095318C" w:rsidP="00DC1333">
            <w:pPr>
              <w:keepNext/>
              <w:rPr>
                <w:sz w:val="16"/>
                <w:szCs w:val="16"/>
                <w:lang w:bidi="th-TH"/>
              </w:rPr>
            </w:pPr>
          </w:p>
          <w:p w:rsidR="0095318C" w:rsidRPr="008F34B1" w:rsidRDefault="0095318C" w:rsidP="00DC1333">
            <w:pPr>
              <w:keepNext/>
              <w:rPr>
                <w:sz w:val="16"/>
                <w:szCs w:val="16"/>
                <w:lang w:bidi="th-TH"/>
              </w:rPr>
            </w:pPr>
          </w:p>
        </w:tc>
        <w:tc>
          <w:tcPr>
            <w:tcW w:w="2269" w:type="dxa"/>
            <w:gridSpan w:val="3"/>
            <w:shd w:val="clear" w:color="auto" w:fill="FFFFFF"/>
            <w:tcMar>
              <w:top w:w="110" w:type="dxa"/>
            </w:tcMar>
          </w:tcPr>
          <w:p w:rsidR="0095318C" w:rsidRPr="00C77382" w:rsidRDefault="0095318C" w:rsidP="00DC1333">
            <w:pPr>
              <w:keepNext/>
              <w:rPr>
                <w:sz w:val="16"/>
                <w:szCs w:val="16"/>
              </w:rPr>
            </w:pPr>
            <w:r w:rsidRPr="00C77382">
              <w:rPr>
                <w:sz w:val="16"/>
                <w:szCs w:val="16"/>
              </w:rPr>
              <w:t xml:space="preserve">África (6 países adicionales):  </w:t>
            </w:r>
            <w:proofErr w:type="spellStart"/>
            <w:r>
              <w:rPr>
                <w:sz w:val="16"/>
                <w:szCs w:val="16"/>
              </w:rPr>
              <w:t>Benin</w:t>
            </w:r>
            <w:proofErr w:type="spellEnd"/>
            <w:r>
              <w:rPr>
                <w:sz w:val="16"/>
                <w:szCs w:val="16"/>
              </w:rPr>
              <w:t xml:space="preserve">, </w:t>
            </w:r>
            <w:r w:rsidRPr="00847037">
              <w:rPr>
                <w:sz w:val="16"/>
                <w:szCs w:val="16"/>
              </w:rPr>
              <w:t>República Democrática del Congo</w:t>
            </w:r>
            <w:r w:rsidRPr="003C4694">
              <w:rPr>
                <w:rStyle w:val="FootnoteReference"/>
                <w:sz w:val="16"/>
                <w:szCs w:val="16"/>
              </w:rPr>
              <w:footnoteReference w:id="64"/>
            </w:r>
            <w:r w:rsidRPr="00C77382">
              <w:rPr>
                <w:sz w:val="16"/>
                <w:szCs w:val="16"/>
              </w:rPr>
              <w:t xml:space="preserve">, Madagascar, Níger, </w:t>
            </w:r>
            <w:proofErr w:type="spellStart"/>
            <w:r w:rsidRPr="00C77382">
              <w:rPr>
                <w:sz w:val="16"/>
                <w:szCs w:val="16"/>
              </w:rPr>
              <w:t>Swazilandia</w:t>
            </w:r>
            <w:proofErr w:type="spellEnd"/>
            <w:r w:rsidRPr="00C77382">
              <w:rPr>
                <w:sz w:val="16"/>
                <w:szCs w:val="16"/>
              </w:rPr>
              <w:t xml:space="preserve">, Uganda.  </w:t>
            </w:r>
          </w:p>
          <w:p w:rsidR="0095318C" w:rsidRPr="00C77382" w:rsidRDefault="0095318C" w:rsidP="00DC1333">
            <w:pPr>
              <w:keepNext/>
              <w:rPr>
                <w:sz w:val="16"/>
                <w:szCs w:val="16"/>
                <w:lang w:bidi="th-TH"/>
              </w:rPr>
            </w:pPr>
            <w:r w:rsidRPr="00C77382">
              <w:rPr>
                <w:sz w:val="16"/>
                <w:szCs w:val="16"/>
                <w:lang w:bidi="th-TH"/>
              </w:rPr>
              <w:t>(24 en total)</w:t>
            </w:r>
          </w:p>
          <w:p w:rsidR="0095318C" w:rsidRPr="00C77382" w:rsidRDefault="0095318C" w:rsidP="00DC1333">
            <w:pPr>
              <w:keepNext/>
              <w:rPr>
                <w:sz w:val="16"/>
                <w:szCs w:val="16"/>
                <w:lang w:bidi="th-TH"/>
              </w:rPr>
            </w:pPr>
          </w:p>
          <w:p w:rsidR="0095318C" w:rsidRPr="002A0F2F" w:rsidRDefault="0095318C" w:rsidP="00DC1333">
            <w:pPr>
              <w:keepNext/>
              <w:rPr>
                <w:sz w:val="16"/>
                <w:szCs w:val="16"/>
                <w:lang w:bidi="th-TH"/>
              </w:rPr>
            </w:pPr>
            <w:r w:rsidRPr="002A0F2F">
              <w:rPr>
                <w:sz w:val="16"/>
                <w:szCs w:val="16"/>
                <w:lang w:bidi="th-TH"/>
              </w:rPr>
              <w:t xml:space="preserve">Región árabe (no hay países adicionales):  </w:t>
            </w:r>
          </w:p>
          <w:p w:rsidR="0095318C" w:rsidRPr="002A0F2F" w:rsidRDefault="0095318C" w:rsidP="0095318C">
            <w:pPr>
              <w:pStyle w:val="ListParagraph"/>
              <w:keepNext/>
              <w:numPr>
                <w:ilvl w:val="0"/>
                <w:numId w:val="55"/>
              </w:numPr>
              <w:rPr>
                <w:sz w:val="16"/>
                <w:szCs w:val="16"/>
                <w:lang w:val="es-ES" w:bidi="th-TH"/>
              </w:rPr>
            </w:pPr>
            <w:r w:rsidRPr="002A0F2F">
              <w:rPr>
                <w:sz w:val="16"/>
                <w:szCs w:val="16"/>
                <w:lang w:val="es-ES" w:bidi="th-TH"/>
              </w:rPr>
              <w:t>Emiratos Árabes Unidos (no hubo progresos adicionales);</w:t>
            </w:r>
          </w:p>
          <w:p w:rsidR="0095318C" w:rsidRPr="002A0F2F" w:rsidRDefault="0095318C" w:rsidP="0095318C">
            <w:pPr>
              <w:pStyle w:val="ListParagraph"/>
              <w:keepNext/>
              <w:numPr>
                <w:ilvl w:val="0"/>
                <w:numId w:val="55"/>
              </w:numPr>
              <w:rPr>
                <w:lang w:val="es-ES" w:bidi="th-TH"/>
              </w:rPr>
            </w:pPr>
            <w:r w:rsidRPr="002A0F2F">
              <w:rPr>
                <w:sz w:val="16"/>
                <w:szCs w:val="16"/>
                <w:lang w:val="es-ES" w:bidi="th-TH"/>
              </w:rPr>
              <w:t>Yemen (proceso aplazado debido a la situación política)</w:t>
            </w:r>
          </w:p>
          <w:p w:rsidR="0095318C" w:rsidRPr="00D2450F" w:rsidRDefault="0095318C" w:rsidP="00DC1333">
            <w:pPr>
              <w:keepNext/>
              <w:rPr>
                <w:sz w:val="16"/>
                <w:szCs w:val="16"/>
                <w:lang w:bidi="th-TH"/>
              </w:rPr>
            </w:pPr>
            <w:r w:rsidRPr="00D2450F">
              <w:rPr>
                <w:sz w:val="16"/>
                <w:szCs w:val="16"/>
                <w:lang w:bidi="th-TH"/>
              </w:rPr>
              <w:t>(6 en total)</w:t>
            </w:r>
          </w:p>
          <w:p w:rsidR="0095318C" w:rsidRPr="00D2450F" w:rsidRDefault="0095318C" w:rsidP="00DC1333">
            <w:pPr>
              <w:keepNext/>
              <w:rPr>
                <w:sz w:val="16"/>
                <w:szCs w:val="16"/>
                <w:lang w:bidi="th-TH"/>
              </w:rPr>
            </w:pPr>
          </w:p>
          <w:p w:rsidR="0095318C" w:rsidRPr="00D2450F" w:rsidRDefault="0095318C" w:rsidP="00DC1333">
            <w:pPr>
              <w:keepNext/>
              <w:rPr>
                <w:sz w:val="16"/>
                <w:szCs w:val="16"/>
                <w:lang w:bidi="th-TH"/>
              </w:rPr>
            </w:pPr>
            <w:r w:rsidRPr="00D2450F">
              <w:rPr>
                <w:sz w:val="16"/>
                <w:szCs w:val="16"/>
                <w:lang w:bidi="th-TH"/>
              </w:rPr>
              <w:t>Asia y el Pacífico (5 países adicionales):</w:t>
            </w:r>
            <w:r>
              <w:rPr>
                <w:sz w:val="16"/>
                <w:szCs w:val="16"/>
                <w:lang w:bidi="th-TH"/>
              </w:rPr>
              <w:t xml:space="preserve">  </w:t>
            </w:r>
            <w:r w:rsidRPr="00D2450F">
              <w:rPr>
                <w:sz w:val="16"/>
                <w:szCs w:val="16"/>
                <w:lang w:bidi="th-TH"/>
              </w:rPr>
              <w:t xml:space="preserve">Brunei Darussalam, Islas Cook, República Popular Democrática de Corea, Myanmar </w:t>
            </w:r>
          </w:p>
          <w:p w:rsidR="0095318C" w:rsidRPr="00D2450F" w:rsidRDefault="0095318C" w:rsidP="00DC1333">
            <w:pPr>
              <w:keepNext/>
              <w:rPr>
                <w:sz w:val="16"/>
                <w:szCs w:val="16"/>
                <w:lang w:bidi="th-TH"/>
              </w:rPr>
            </w:pPr>
            <w:r w:rsidRPr="00D2450F">
              <w:rPr>
                <w:sz w:val="16"/>
                <w:szCs w:val="16"/>
                <w:lang w:bidi="th-TH"/>
              </w:rPr>
              <w:t>(17 en total)</w:t>
            </w:r>
          </w:p>
          <w:p w:rsidR="0095318C" w:rsidRPr="00D2450F" w:rsidRDefault="0095318C" w:rsidP="00DC1333">
            <w:pPr>
              <w:keepNext/>
              <w:rPr>
                <w:sz w:val="16"/>
                <w:szCs w:val="16"/>
                <w:lang w:bidi="th-TH"/>
              </w:rPr>
            </w:pPr>
          </w:p>
          <w:p w:rsidR="0095318C" w:rsidRPr="00D2450F" w:rsidRDefault="0095318C" w:rsidP="00DC1333">
            <w:pPr>
              <w:keepNext/>
              <w:rPr>
                <w:sz w:val="16"/>
                <w:szCs w:val="16"/>
                <w:lang w:bidi="th-TH"/>
              </w:rPr>
            </w:pPr>
            <w:r w:rsidRPr="00D2450F">
              <w:rPr>
                <w:sz w:val="16"/>
                <w:szCs w:val="16"/>
                <w:lang w:bidi="th-TH"/>
              </w:rPr>
              <w:t xml:space="preserve">América Latina y </w:t>
            </w:r>
            <w:r>
              <w:rPr>
                <w:sz w:val="16"/>
                <w:szCs w:val="16"/>
                <w:lang w:bidi="th-TH"/>
              </w:rPr>
              <w:t>el Caribe (4 países adicionale</w:t>
            </w:r>
            <w:r w:rsidRPr="00D2450F">
              <w:rPr>
                <w:sz w:val="16"/>
                <w:szCs w:val="16"/>
                <w:lang w:bidi="th-TH"/>
              </w:rPr>
              <w:t>s</w:t>
            </w:r>
            <w:r>
              <w:rPr>
                <w:sz w:val="16"/>
                <w:szCs w:val="16"/>
                <w:lang w:bidi="th-TH"/>
              </w:rPr>
              <w:t>):  Chile, Granada, Paraguay y</w:t>
            </w:r>
            <w:r w:rsidRPr="00D2450F">
              <w:rPr>
                <w:sz w:val="16"/>
                <w:szCs w:val="16"/>
                <w:lang w:bidi="th-TH"/>
              </w:rPr>
              <w:t xml:space="preserve"> Perú </w:t>
            </w:r>
            <w:r>
              <w:rPr>
                <w:sz w:val="16"/>
                <w:szCs w:val="16"/>
                <w:lang w:bidi="th-TH"/>
              </w:rPr>
              <w:t>(15 en total</w:t>
            </w:r>
            <w:r w:rsidRPr="00D2450F">
              <w:rPr>
                <w:sz w:val="16"/>
                <w:szCs w:val="16"/>
                <w:lang w:bidi="th-TH"/>
              </w:rPr>
              <w:t>)</w:t>
            </w:r>
          </w:p>
          <w:p w:rsidR="0095318C" w:rsidRPr="00D2450F" w:rsidRDefault="0095318C" w:rsidP="00DC1333">
            <w:pPr>
              <w:keepNext/>
              <w:rPr>
                <w:sz w:val="16"/>
                <w:szCs w:val="16"/>
                <w:lang w:bidi="th-TH"/>
              </w:rPr>
            </w:pPr>
          </w:p>
          <w:p w:rsidR="0095318C" w:rsidRPr="00017A5E" w:rsidRDefault="0095318C" w:rsidP="00DC1333">
            <w:pPr>
              <w:keepNext/>
              <w:rPr>
                <w:sz w:val="16"/>
                <w:szCs w:val="16"/>
                <w:lang w:bidi="th-TH"/>
              </w:rPr>
            </w:pPr>
            <w:r w:rsidRPr="00017A5E">
              <w:rPr>
                <w:sz w:val="16"/>
                <w:szCs w:val="16"/>
                <w:lang w:bidi="th-TH"/>
              </w:rPr>
              <w:t>24 PMA incluidos en el anterior desglose regional en total</w:t>
            </w:r>
          </w:p>
          <w:p w:rsidR="0095318C" w:rsidRPr="00017A5E" w:rsidRDefault="0095318C" w:rsidP="00DC1333">
            <w:pPr>
              <w:keepNext/>
              <w:rPr>
                <w:sz w:val="16"/>
                <w:szCs w:val="16"/>
                <w:lang w:bidi="th-TH"/>
              </w:rPr>
            </w:pPr>
          </w:p>
        </w:tc>
        <w:tc>
          <w:tcPr>
            <w:tcW w:w="1418" w:type="dxa"/>
            <w:gridSpan w:val="2"/>
            <w:shd w:val="clear" w:color="auto" w:fill="auto"/>
            <w:tcMar>
              <w:top w:w="110" w:type="dxa"/>
            </w:tcMar>
          </w:tcPr>
          <w:p w:rsidR="0095318C" w:rsidRPr="00017A5E" w:rsidRDefault="0095318C" w:rsidP="00DC1333">
            <w:pPr>
              <w:keepNext/>
              <w:keepLines/>
              <w:jc w:val="center"/>
              <w:rPr>
                <w:bCs/>
                <w:sz w:val="16"/>
                <w:szCs w:val="16"/>
              </w:rPr>
            </w:pPr>
            <w:r w:rsidRPr="004B265E">
              <w:rPr>
                <w:b/>
                <w:bCs/>
                <w:color w:val="00B050"/>
                <w:sz w:val="14"/>
                <w:szCs w:val="14"/>
              </w:rPr>
              <w:t>Plenamente logrado</w:t>
            </w:r>
            <w:r w:rsidRPr="00017A5E">
              <w:rPr>
                <w:bCs/>
                <w:sz w:val="16"/>
                <w:szCs w:val="16"/>
              </w:rPr>
              <w:t xml:space="preserve"> </w:t>
            </w:r>
          </w:p>
          <w:p w:rsidR="0095318C" w:rsidRPr="00017A5E" w:rsidRDefault="0095318C" w:rsidP="00DC1333">
            <w:pPr>
              <w:keepNext/>
              <w:keepLines/>
              <w:jc w:val="center"/>
              <w:rPr>
                <w:bCs/>
                <w:sz w:val="16"/>
                <w:szCs w:val="16"/>
              </w:rPr>
            </w:pPr>
          </w:p>
          <w:p w:rsidR="0095318C" w:rsidRPr="00017A5E" w:rsidRDefault="0095318C" w:rsidP="00DC1333">
            <w:pPr>
              <w:keepNext/>
              <w:keepLines/>
              <w:jc w:val="center"/>
              <w:rPr>
                <w:bCs/>
                <w:sz w:val="16"/>
                <w:szCs w:val="16"/>
              </w:rPr>
            </w:pPr>
          </w:p>
          <w:p w:rsidR="0095318C" w:rsidRPr="00017A5E" w:rsidRDefault="0095318C" w:rsidP="00DC1333">
            <w:pPr>
              <w:keepNext/>
              <w:keepLines/>
              <w:jc w:val="center"/>
              <w:rPr>
                <w:b/>
                <w:bCs/>
                <w:color w:val="00B050"/>
                <w:sz w:val="16"/>
                <w:szCs w:val="16"/>
              </w:rPr>
            </w:pPr>
          </w:p>
          <w:p w:rsidR="0095318C" w:rsidRPr="00017A5E" w:rsidRDefault="0095318C" w:rsidP="00DC1333">
            <w:pPr>
              <w:keepNext/>
              <w:keepLines/>
              <w:jc w:val="center"/>
              <w:rPr>
                <w:b/>
                <w:bCs/>
                <w:color w:val="00B050"/>
                <w:sz w:val="16"/>
                <w:szCs w:val="16"/>
              </w:rPr>
            </w:pPr>
          </w:p>
          <w:p w:rsidR="0095318C" w:rsidRPr="00017A5E" w:rsidRDefault="0095318C" w:rsidP="00DC1333">
            <w:pPr>
              <w:keepNext/>
              <w:keepLines/>
              <w:jc w:val="center"/>
              <w:rPr>
                <w:b/>
                <w:bCs/>
                <w:color w:val="FF0000"/>
                <w:sz w:val="14"/>
                <w:szCs w:val="14"/>
              </w:rPr>
            </w:pPr>
            <w:r w:rsidRPr="00017A5E">
              <w:rPr>
                <w:b/>
                <w:bCs/>
                <w:color w:val="FF0000"/>
                <w:sz w:val="14"/>
                <w:szCs w:val="14"/>
              </w:rPr>
              <w:t>No logrado</w:t>
            </w:r>
          </w:p>
          <w:p w:rsidR="0095318C" w:rsidRPr="00017A5E" w:rsidRDefault="0095318C" w:rsidP="00DC1333">
            <w:pPr>
              <w:keepNext/>
              <w:keepLines/>
              <w:jc w:val="center"/>
              <w:rPr>
                <w:b/>
                <w:bCs/>
                <w:color w:val="00B050"/>
                <w:sz w:val="16"/>
                <w:szCs w:val="16"/>
              </w:rPr>
            </w:pPr>
          </w:p>
          <w:p w:rsidR="0095318C" w:rsidRPr="00017A5E" w:rsidRDefault="0095318C" w:rsidP="00DC1333">
            <w:pPr>
              <w:keepNext/>
              <w:keepLines/>
              <w:jc w:val="center"/>
              <w:rPr>
                <w:b/>
                <w:bCs/>
                <w:color w:val="00B050"/>
                <w:sz w:val="16"/>
                <w:szCs w:val="16"/>
              </w:rPr>
            </w:pPr>
          </w:p>
          <w:p w:rsidR="0095318C" w:rsidRPr="00017A5E" w:rsidRDefault="0095318C" w:rsidP="00DC1333">
            <w:pPr>
              <w:keepNext/>
              <w:keepLines/>
              <w:jc w:val="center"/>
              <w:rPr>
                <w:b/>
                <w:bCs/>
                <w:color w:val="00B050"/>
                <w:sz w:val="16"/>
                <w:szCs w:val="16"/>
              </w:rPr>
            </w:pPr>
          </w:p>
          <w:p w:rsidR="0095318C" w:rsidRPr="00017A5E" w:rsidRDefault="0095318C" w:rsidP="00DC1333">
            <w:pPr>
              <w:keepNext/>
              <w:keepLines/>
              <w:jc w:val="center"/>
              <w:rPr>
                <w:b/>
                <w:bCs/>
                <w:color w:val="00B050"/>
                <w:sz w:val="16"/>
                <w:szCs w:val="16"/>
              </w:rPr>
            </w:pPr>
          </w:p>
          <w:p w:rsidR="0095318C" w:rsidRPr="00017A5E" w:rsidRDefault="0095318C" w:rsidP="00DC1333">
            <w:pPr>
              <w:keepNext/>
              <w:keepLines/>
              <w:jc w:val="center"/>
              <w:rPr>
                <w:b/>
                <w:bCs/>
                <w:color w:val="00B050"/>
                <w:sz w:val="16"/>
                <w:szCs w:val="16"/>
              </w:rPr>
            </w:pPr>
          </w:p>
          <w:p w:rsidR="0095318C" w:rsidRPr="00017A5E" w:rsidRDefault="0095318C" w:rsidP="00DC1333">
            <w:pPr>
              <w:keepNext/>
              <w:keepLines/>
              <w:jc w:val="center"/>
              <w:rPr>
                <w:b/>
                <w:bCs/>
                <w:color w:val="00B050"/>
                <w:sz w:val="16"/>
                <w:szCs w:val="16"/>
              </w:rPr>
            </w:pPr>
          </w:p>
          <w:p w:rsidR="0095318C" w:rsidRPr="00017A5E" w:rsidRDefault="0095318C" w:rsidP="00DC1333">
            <w:pPr>
              <w:keepNext/>
              <w:keepLines/>
              <w:jc w:val="center"/>
              <w:rPr>
                <w:b/>
                <w:bCs/>
                <w:color w:val="00B050"/>
                <w:sz w:val="16"/>
                <w:szCs w:val="16"/>
              </w:rPr>
            </w:pPr>
          </w:p>
          <w:p w:rsidR="0095318C" w:rsidRPr="004B265E" w:rsidRDefault="0095318C" w:rsidP="00DC1333">
            <w:pPr>
              <w:keepNext/>
              <w:keepLines/>
              <w:jc w:val="center"/>
              <w:rPr>
                <w:b/>
                <w:bCs/>
                <w:color w:val="00B050"/>
                <w:sz w:val="16"/>
                <w:szCs w:val="16"/>
              </w:rPr>
            </w:pPr>
            <w:r w:rsidRPr="004B265E">
              <w:rPr>
                <w:b/>
                <w:bCs/>
                <w:color w:val="00B050"/>
                <w:sz w:val="14"/>
                <w:szCs w:val="14"/>
              </w:rPr>
              <w:t>Plenamente logrado</w:t>
            </w:r>
          </w:p>
          <w:p w:rsidR="0095318C" w:rsidRPr="004B265E" w:rsidRDefault="0095318C" w:rsidP="00DC1333">
            <w:pPr>
              <w:keepNext/>
              <w:keepLines/>
              <w:jc w:val="center"/>
              <w:rPr>
                <w:b/>
                <w:bCs/>
                <w:color w:val="00B050"/>
                <w:sz w:val="16"/>
                <w:szCs w:val="16"/>
              </w:rPr>
            </w:pPr>
          </w:p>
          <w:p w:rsidR="0095318C" w:rsidRPr="004B265E" w:rsidRDefault="0095318C" w:rsidP="00DC1333">
            <w:pPr>
              <w:keepNext/>
              <w:keepLines/>
              <w:jc w:val="center"/>
              <w:rPr>
                <w:bCs/>
                <w:sz w:val="16"/>
                <w:szCs w:val="16"/>
              </w:rPr>
            </w:pPr>
          </w:p>
          <w:p w:rsidR="0095318C" w:rsidRPr="004B265E" w:rsidRDefault="0095318C" w:rsidP="00DC1333">
            <w:pPr>
              <w:keepNext/>
              <w:keepLines/>
              <w:jc w:val="center"/>
              <w:rPr>
                <w:bCs/>
                <w:sz w:val="16"/>
                <w:szCs w:val="16"/>
              </w:rPr>
            </w:pPr>
          </w:p>
          <w:p w:rsidR="0095318C" w:rsidRPr="004B265E" w:rsidRDefault="0095318C" w:rsidP="00DC1333">
            <w:pPr>
              <w:keepNext/>
              <w:keepLines/>
              <w:rPr>
                <w:bCs/>
                <w:sz w:val="16"/>
                <w:szCs w:val="16"/>
              </w:rPr>
            </w:pPr>
          </w:p>
          <w:p w:rsidR="0095318C" w:rsidRPr="004B265E" w:rsidRDefault="0095318C" w:rsidP="00DC1333">
            <w:pPr>
              <w:keepNext/>
              <w:keepLines/>
              <w:jc w:val="center"/>
              <w:rPr>
                <w:bCs/>
                <w:sz w:val="16"/>
                <w:szCs w:val="16"/>
              </w:rPr>
            </w:pPr>
          </w:p>
          <w:p w:rsidR="0095318C" w:rsidRPr="004B265E" w:rsidRDefault="0095318C" w:rsidP="00DC1333">
            <w:pPr>
              <w:keepNext/>
              <w:keepLines/>
              <w:jc w:val="center"/>
              <w:rPr>
                <w:b/>
                <w:bCs/>
                <w:color w:val="00B050"/>
                <w:sz w:val="16"/>
                <w:szCs w:val="16"/>
              </w:rPr>
            </w:pPr>
          </w:p>
          <w:p w:rsidR="0095318C" w:rsidRPr="003C4694" w:rsidRDefault="0095318C" w:rsidP="00DC1333">
            <w:pPr>
              <w:keepNext/>
              <w:keepLines/>
              <w:jc w:val="center"/>
              <w:rPr>
                <w:bCs/>
                <w:sz w:val="16"/>
                <w:szCs w:val="16"/>
              </w:rPr>
            </w:pPr>
            <w:r w:rsidRPr="004B265E">
              <w:rPr>
                <w:b/>
                <w:bCs/>
                <w:color w:val="00B050"/>
                <w:sz w:val="14"/>
                <w:szCs w:val="14"/>
              </w:rPr>
              <w:t>Plenamente logrado</w:t>
            </w:r>
            <w:r w:rsidRPr="003C4694">
              <w:rPr>
                <w:bCs/>
                <w:sz w:val="16"/>
                <w:szCs w:val="16"/>
              </w:rPr>
              <w:t xml:space="preserve"> </w:t>
            </w:r>
          </w:p>
          <w:p w:rsidR="0095318C" w:rsidRPr="003C4694" w:rsidRDefault="0095318C" w:rsidP="00DC1333">
            <w:pPr>
              <w:keepNext/>
              <w:keepLines/>
              <w:jc w:val="center"/>
              <w:rPr>
                <w:bCs/>
                <w:sz w:val="16"/>
                <w:szCs w:val="16"/>
              </w:rPr>
            </w:pPr>
          </w:p>
          <w:p w:rsidR="0095318C" w:rsidRPr="003C4694" w:rsidRDefault="0095318C" w:rsidP="00DC1333">
            <w:pPr>
              <w:keepNext/>
              <w:keepLines/>
              <w:jc w:val="center"/>
              <w:rPr>
                <w:bCs/>
                <w:sz w:val="16"/>
                <w:szCs w:val="16"/>
              </w:rPr>
            </w:pPr>
          </w:p>
          <w:p w:rsidR="0095318C" w:rsidRPr="003C4694" w:rsidRDefault="0095318C" w:rsidP="00DC1333">
            <w:pPr>
              <w:keepNext/>
              <w:keepLines/>
              <w:jc w:val="center"/>
              <w:rPr>
                <w:bCs/>
                <w:sz w:val="16"/>
                <w:szCs w:val="16"/>
              </w:rPr>
            </w:pPr>
          </w:p>
          <w:p w:rsidR="0095318C" w:rsidRPr="003C4694" w:rsidRDefault="0095318C" w:rsidP="00DC1333">
            <w:pPr>
              <w:keepNext/>
              <w:keepLines/>
              <w:jc w:val="center"/>
              <w:rPr>
                <w:bCs/>
                <w:sz w:val="16"/>
                <w:szCs w:val="16"/>
              </w:rPr>
            </w:pPr>
            <w:r w:rsidRPr="004B265E">
              <w:rPr>
                <w:b/>
                <w:bCs/>
                <w:color w:val="00B050"/>
                <w:sz w:val="14"/>
                <w:szCs w:val="14"/>
              </w:rPr>
              <w:t>Plenamente logrado</w:t>
            </w:r>
            <w:r w:rsidRPr="003C4694">
              <w:rPr>
                <w:bCs/>
                <w:sz w:val="16"/>
                <w:szCs w:val="16"/>
              </w:rPr>
              <w:t xml:space="preserve"> </w:t>
            </w:r>
          </w:p>
        </w:tc>
      </w:tr>
      <w:tr w:rsidR="0095318C" w:rsidRPr="00D1141E" w:rsidTr="00DC1333">
        <w:tc>
          <w:tcPr>
            <w:tcW w:w="2123" w:type="dxa"/>
            <w:gridSpan w:val="2"/>
            <w:shd w:val="clear" w:color="auto" w:fill="auto"/>
          </w:tcPr>
          <w:p w:rsidR="0095318C" w:rsidRPr="00775AC6" w:rsidRDefault="0095318C" w:rsidP="00DC1333">
            <w:pPr>
              <w:rPr>
                <w:sz w:val="16"/>
                <w:szCs w:val="16"/>
                <w:lang w:bidi="th-TH"/>
              </w:rPr>
            </w:pPr>
            <w:r w:rsidRPr="00775AC6">
              <w:rPr>
                <w:sz w:val="16"/>
                <w:szCs w:val="16"/>
                <w:lang w:bidi="th-TH"/>
              </w:rPr>
              <w:lastRenderedPageBreak/>
              <w:t>Número de países que han adoptado o aplicado estrategias o planes de desarrollo nacionales de P.I.</w:t>
            </w:r>
          </w:p>
        </w:tc>
        <w:tc>
          <w:tcPr>
            <w:tcW w:w="1987" w:type="dxa"/>
            <w:gridSpan w:val="2"/>
            <w:shd w:val="clear" w:color="auto" w:fill="auto"/>
          </w:tcPr>
          <w:p w:rsidR="0095318C" w:rsidRPr="00775AC6" w:rsidRDefault="0095318C" w:rsidP="00DC1333">
            <w:pPr>
              <w:rPr>
                <w:sz w:val="16"/>
                <w:szCs w:val="16"/>
              </w:rPr>
            </w:pPr>
            <w:r w:rsidRPr="00775AC6">
              <w:rPr>
                <w:i/>
                <w:sz w:val="16"/>
                <w:szCs w:val="16"/>
              </w:rPr>
              <w:t>Referencia actualizada a fines de 2013:</w:t>
            </w:r>
            <w:r w:rsidRPr="00775AC6">
              <w:rPr>
                <w:sz w:val="16"/>
                <w:szCs w:val="16"/>
              </w:rPr>
              <w:t xml:space="preserve">  </w:t>
            </w:r>
          </w:p>
          <w:p w:rsidR="0095318C" w:rsidRPr="00775AC6" w:rsidRDefault="0095318C" w:rsidP="00DC1333">
            <w:pPr>
              <w:rPr>
                <w:sz w:val="16"/>
                <w:szCs w:val="16"/>
              </w:rPr>
            </w:pPr>
            <w:r w:rsidRPr="00775AC6">
              <w:rPr>
                <w:sz w:val="16"/>
                <w:szCs w:val="16"/>
              </w:rPr>
              <w:t>Á</w:t>
            </w:r>
            <w:r>
              <w:rPr>
                <w:sz w:val="16"/>
                <w:szCs w:val="16"/>
              </w:rPr>
              <w:t>frica (9 en total): Comora</w:t>
            </w:r>
            <w:r w:rsidRPr="00775AC6">
              <w:rPr>
                <w:sz w:val="16"/>
                <w:szCs w:val="16"/>
              </w:rPr>
              <w:t>s, Ghana,</w:t>
            </w:r>
            <w:r w:rsidRPr="00775AC6">
              <w:t xml:space="preserve"> </w:t>
            </w:r>
            <w:proofErr w:type="spellStart"/>
            <w:r>
              <w:rPr>
                <w:sz w:val="16"/>
                <w:szCs w:val="16"/>
              </w:rPr>
              <w:t>Kenya</w:t>
            </w:r>
            <w:proofErr w:type="spellEnd"/>
            <w:r>
              <w:rPr>
                <w:sz w:val="16"/>
                <w:szCs w:val="16"/>
              </w:rPr>
              <w:t>, Liberia, Mauricio</w:t>
            </w:r>
            <w:r w:rsidRPr="00775AC6">
              <w:rPr>
                <w:sz w:val="16"/>
                <w:szCs w:val="16"/>
              </w:rPr>
              <w:t>, Mozambique, Senegal, Seychelles, Zambia</w:t>
            </w:r>
          </w:p>
          <w:p w:rsidR="0095318C" w:rsidRPr="00775AC6" w:rsidRDefault="0095318C" w:rsidP="00DC1333">
            <w:pPr>
              <w:rPr>
                <w:sz w:val="16"/>
                <w:szCs w:val="16"/>
              </w:rPr>
            </w:pPr>
          </w:p>
          <w:p w:rsidR="0095318C" w:rsidRPr="00775AC6" w:rsidRDefault="0095318C" w:rsidP="00DC1333">
            <w:pPr>
              <w:rPr>
                <w:sz w:val="16"/>
                <w:szCs w:val="16"/>
              </w:rPr>
            </w:pPr>
            <w:r w:rsidRPr="00775AC6">
              <w:rPr>
                <w:sz w:val="16"/>
                <w:szCs w:val="16"/>
              </w:rPr>
              <w:t>Región árabe (2 en total):  Omán, Sudán</w:t>
            </w:r>
          </w:p>
          <w:p w:rsidR="0095318C" w:rsidRPr="00775AC6" w:rsidRDefault="0095318C" w:rsidP="00DC1333">
            <w:pPr>
              <w:rPr>
                <w:sz w:val="16"/>
                <w:szCs w:val="16"/>
              </w:rPr>
            </w:pPr>
          </w:p>
          <w:p w:rsidR="0095318C" w:rsidRPr="00775AC6" w:rsidRDefault="0095318C" w:rsidP="00DC1333">
            <w:pPr>
              <w:rPr>
                <w:sz w:val="16"/>
                <w:szCs w:val="16"/>
              </w:rPr>
            </w:pPr>
            <w:r w:rsidRPr="00775AC6">
              <w:rPr>
                <w:sz w:val="16"/>
                <w:szCs w:val="16"/>
              </w:rPr>
              <w:t>Asia y el Pacífico (3 en total</w:t>
            </w:r>
            <w:r w:rsidRPr="003C4694">
              <w:rPr>
                <w:rStyle w:val="FootnoteReference"/>
                <w:sz w:val="16"/>
                <w:szCs w:val="16"/>
              </w:rPr>
              <w:footnoteReference w:id="65"/>
            </w:r>
            <w:r w:rsidRPr="00775AC6">
              <w:rPr>
                <w:sz w:val="16"/>
                <w:szCs w:val="16"/>
              </w:rPr>
              <w:t xml:space="preserve">):  </w:t>
            </w:r>
            <w:r>
              <w:rPr>
                <w:sz w:val="16"/>
                <w:szCs w:val="16"/>
              </w:rPr>
              <w:t xml:space="preserve"> </w:t>
            </w:r>
            <w:proofErr w:type="spellStart"/>
            <w:r>
              <w:rPr>
                <w:sz w:val="16"/>
                <w:szCs w:val="16"/>
              </w:rPr>
              <w:t>Fiji</w:t>
            </w:r>
            <w:proofErr w:type="spellEnd"/>
            <w:r>
              <w:rPr>
                <w:sz w:val="16"/>
                <w:szCs w:val="16"/>
              </w:rPr>
              <w:t xml:space="preserve">, </w:t>
            </w:r>
            <w:proofErr w:type="spellStart"/>
            <w:r>
              <w:rPr>
                <w:sz w:val="16"/>
                <w:szCs w:val="16"/>
              </w:rPr>
              <w:t>Papua</w:t>
            </w:r>
            <w:proofErr w:type="spellEnd"/>
            <w:r>
              <w:rPr>
                <w:sz w:val="16"/>
                <w:szCs w:val="16"/>
              </w:rPr>
              <w:t xml:space="preserve"> Nueva</w:t>
            </w:r>
            <w:r w:rsidRPr="00775AC6">
              <w:rPr>
                <w:sz w:val="16"/>
                <w:szCs w:val="16"/>
              </w:rPr>
              <w:t xml:space="preserve"> Guinea, Samoa</w:t>
            </w:r>
          </w:p>
          <w:p w:rsidR="0095318C" w:rsidRPr="00775AC6" w:rsidRDefault="0095318C" w:rsidP="00DC1333">
            <w:pPr>
              <w:rPr>
                <w:sz w:val="16"/>
                <w:szCs w:val="16"/>
              </w:rPr>
            </w:pPr>
          </w:p>
          <w:p w:rsidR="0095318C" w:rsidRDefault="0095318C" w:rsidP="00DC1333">
            <w:pPr>
              <w:rPr>
                <w:sz w:val="16"/>
                <w:szCs w:val="16"/>
              </w:rPr>
            </w:pPr>
            <w:r w:rsidRPr="00FD4E4A">
              <w:rPr>
                <w:sz w:val="16"/>
                <w:szCs w:val="16"/>
              </w:rPr>
              <w:t>América Latina y el Caribe (3 en total): Costa Rica, República Dominicana, Honduras</w:t>
            </w:r>
          </w:p>
          <w:p w:rsidR="0095318C" w:rsidRPr="00FD4E4A" w:rsidRDefault="0095318C" w:rsidP="00DC1333">
            <w:pPr>
              <w:rPr>
                <w:sz w:val="16"/>
                <w:szCs w:val="16"/>
              </w:rPr>
            </w:pPr>
          </w:p>
          <w:p w:rsidR="0095318C" w:rsidRPr="00FD4E4A" w:rsidRDefault="0095318C" w:rsidP="00DC1333">
            <w:pPr>
              <w:rPr>
                <w:sz w:val="16"/>
                <w:szCs w:val="16"/>
              </w:rPr>
            </w:pPr>
            <w:r w:rsidRPr="00FD4E4A">
              <w:rPr>
                <w:sz w:val="16"/>
                <w:szCs w:val="16"/>
                <w:lang w:bidi="th-TH"/>
              </w:rPr>
              <w:t>7 PMA incluidos en el desglose regional precedente</w:t>
            </w:r>
          </w:p>
          <w:p w:rsidR="0095318C" w:rsidRPr="00FD4E4A" w:rsidRDefault="0095318C" w:rsidP="00DC1333">
            <w:pPr>
              <w:rPr>
                <w:sz w:val="16"/>
                <w:szCs w:val="16"/>
              </w:rPr>
            </w:pPr>
          </w:p>
          <w:p w:rsidR="0095318C" w:rsidRPr="00017A5E" w:rsidRDefault="0095318C" w:rsidP="00DC1333">
            <w:pPr>
              <w:rPr>
                <w:sz w:val="16"/>
                <w:szCs w:val="16"/>
                <w:lang w:bidi="th-TH"/>
              </w:rPr>
            </w:pPr>
            <w:r w:rsidRPr="00017A5E">
              <w:rPr>
                <w:i/>
                <w:sz w:val="16"/>
                <w:szCs w:val="16"/>
                <w:lang w:bidi="th-TH"/>
              </w:rPr>
              <w:t>Referencia original</w:t>
            </w:r>
          </w:p>
          <w:p w:rsidR="0095318C" w:rsidRPr="00FD4E4A" w:rsidRDefault="0095318C" w:rsidP="00DC1333">
            <w:pPr>
              <w:rPr>
                <w:sz w:val="16"/>
                <w:szCs w:val="16"/>
                <w:lang w:bidi="th-TH"/>
              </w:rPr>
            </w:pPr>
            <w:proofErr w:type="spellStart"/>
            <w:r w:rsidRPr="00017A5E">
              <w:rPr>
                <w:i/>
                <w:sz w:val="16"/>
                <w:szCs w:val="16"/>
              </w:rPr>
              <w:t>Presup</w:t>
            </w:r>
            <w:proofErr w:type="spellEnd"/>
            <w:r w:rsidRPr="00017A5E">
              <w:rPr>
                <w:i/>
                <w:sz w:val="16"/>
                <w:szCs w:val="16"/>
              </w:rPr>
              <w:t xml:space="preserve">. por </w:t>
            </w:r>
            <w:proofErr w:type="spellStart"/>
            <w:r w:rsidRPr="00017A5E">
              <w:rPr>
                <w:i/>
                <w:sz w:val="16"/>
                <w:szCs w:val="16"/>
              </w:rPr>
              <w:t>prog</w:t>
            </w:r>
            <w:proofErr w:type="spellEnd"/>
            <w:r w:rsidRPr="00017A5E">
              <w:rPr>
                <w:i/>
                <w:sz w:val="16"/>
                <w:szCs w:val="16"/>
              </w:rPr>
              <w:t xml:space="preserve">. </w:t>
            </w:r>
            <w:r w:rsidRPr="00FD4E4A">
              <w:rPr>
                <w:i/>
                <w:sz w:val="16"/>
                <w:szCs w:val="16"/>
              </w:rPr>
              <w:t>2014/15:</w:t>
            </w:r>
            <w:r w:rsidRPr="00FD4E4A">
              <w:rPr>
                <w:sz w:val="16"/>
                <w:szCs w:val="16"/>
                <w:lang w:bidi="th-TH"/>
              </w:rPr>
              <w:t xml:space="preserve">  África (4)</w:t>
            </w:r>
          </w:p>
          <w:p w:rsidR="0095318C" w:rsidRPr="00FD4E4A" w:rsidRDefault="0095318C" w:rsidP="00DC1333">
            <w:pPr>
              <w:rPr>
                <w:sz w:val="16"/>
                <w:szCs w:val="16"/>
                <w:lang w:bidi="th-TH"/>
              </w:rPr>
            </w:pPr>
          </w:p>
          <w:p w:rsidR="0095318C" w:rsidRPr="00FD4E4A" w:rsidRDefault="0095318C" w:rsidP="00DC1333">
            <w:pPr>
              <w:rPr>
                <w:sz w:val="16"/>
                <w:szCs w:val="16"/>
                <w:lang w:bidi="th-TH"/>
              </w:rPr>
            </w:pPr>
            <w:r w:rsidRPr="00FD4E4A">
              <w:rPr>
                <w:sz w:val="16"/>
                <w:szCs w:val="16"/>
                <w:lang w:bidi="th-TH"/>
              </w:rPr>
              <w:t>Región árabe (3)</w:t>
            </w:r>
          </w:p>
          <w:p w:rsidR="0095318C" w:rsidRPr="00FD4E4A" w:rsidRDefault="0095318C" w:rsidP="00DC1333">
            <w:pPr>
              <w:rPr>
                <w:sz w:val="16"/>
                <w:szCs w:val="16"/>
                <w:lang w:bidi="th-TH"/>
              </w:rPr>
            </w:pPr>
          </w:p>
          <w:p w:rsidR="0095318C" w:rsidRPr="00FD4E4A" w:rsidRDefault="0095318C" w:rsidP="00DC1333">
            <w:pPr>
              <w:rPr>
                <w:sz w:val="16"/>
                <w:szCs w:val="16"/>
                <w:lang w:bidi="th-TH"/>
              </w:rPr>
            </w:pPr>
            <w:r w:rsidRPr="00FD4E4A">
              <w:rPr>
                <w:sz w:val="16"/>
                <w:szCs w:val="16"/>
                <w:lang w:bidi="th-TH"/>
              </w:rPr>
              <w:t>Asia y el Pacífico (3)</w:t>
            </w:r>
          </w:p>
          <w:p w:rsidR="0095318C" w:rsidRPr="00FD4E4A" w:rsidRDefault="0095318C" w:rsidP="00DC1333">
            <w:pPr>
              <w:rPr>
                <w:sz w:val="16"/>
                <w:szCs w:val="16"/>
                <w:lang w:bidi="th-TH"/>
              </w:rPr>
            </w:pPr>
          </w:p>
          <w:p w:rsidR="0095318C" w:rsidRPr="00FD4E4A" w:rsidRDefault="0095318C" w:rsidP="00DC1333">
            <w:pPr>
              <w:rPr>
                <w:sz w:val="16"/>
                <w:szCs w:val="16"/>
                <w:lang w:bidi="th-TH"/>
              </w:rPr>
            </w:pPr>
            <w:r w:rsidRPr="00FD4E4A">
              <w:rPr>
                <w:sz w:val="16"/>
                <w:szCs w:val="16"/>
                <w:lang w:bidi="th-TH"/>
              </w:rPr>
              <w:t>América Latina y el Caribe (4)</w:t>
            </w:r>
          </w:p>
          <w:p w:rsidR="0095318C" w:rsidRPr="00FD4E4A" w:rsidRDefault="0095318C" w:rsidP="00DC1333">
            <w:pPr>
              <w:rPr>
                <w:sz w:val="16"/>
                <w:szCs w:val="16"/>
                <w:lang w:bidi="th-TH"/>
              </w:rPr>
            </w:pPr>
          </w:p>
          <w:p w:rsidR="0095318C" w:rsidRPr="00FD4E4A" w:rsidRDefault="0095318C" w:rsidP="00DC1333">
            <w:pPr>
              <w:rPr>
                <w:sz w:val="16"/>
                <w:szCs w:val="16"/>
                <w:lang w:bidi="th-TH"/>
              </w:rPr>
            </w:pPr>
            <w:r w:rsidRPr="00FD4E4A">
              <w:rPr>
                <w:sz w:val="16"/>
                <w:szCs w:val="16"/>
                <w:lang w:bidi="th-TH"/>
              </w:rPr>
              <w:t>5 PMA incluidos en el desglose regional precedente</w:t>
            </w:r>
          </w:p>
          <w:p w:rsidR="0095318C" w:rsidRPr="00FD4E4A" w:rsidRDefault="0095318C" w:rsidP="00DC1333">
            <w:pPr>
              <w:rPr>
                <w:sz w:val="16"/>
                <w:szCs w:val="16"/>
                <w:lang w:bidi="th-TH"/>
              </w:rPr>
            </w:pPr>
          </w:p>
        </w:tc>
        <w:tc>
          <w:tcPr>
            <w:tcW w:w="1701" w:type="dxa"/>
            <w:gridSpan w:val="3"/>
            <w:shd w:val="clear" w:color="auto" w:fill="auto"/>
            <w:tcMar>
              <w:top w:w="110" w:type="dxa"/>
            </w:tcMar>
          </w:tcPr>
          <w:p w:rsidR="0095318C" w:rsidRPr="00D1141E" w:rsidRDefault="0095318C" w:rsidP="00DC1333">
            <w:pPr>
              <w:rPr>
                <w:sz w:val="16"/>
                <w:szCs w:val="16"/>
                <w:lang w:bidi="th-TH"/>
              </w:rPr>
            </w:pPr>
            <w:r w:rsidRPr="00D1141E">
              <w:rPr>
                <w:sz w:val="16"/>
                <w:szCs w:val="16"/>
                <w:lang w:bidi="th-TH"/>
              </w:rPr>
              <w:t>África (6 en total)</w:t>
            </w:r>
          </w:p>
          <w:p w:rsidR="0095318C" w:rsidRPr="00D1141E" w:rsidRDefault="0095318C" w:rsidP="00DC1333">
            <w:pPr>
              <w:rPr>
                <w:sz w:val="16"/>
                <w:szCs w:val="16"/>
                <w:lang w:bidi="th-TH"/>
              </w:rPr>
            </w:pPr>
          </w:p>
          <w:p w:rsidR="0095318C" w:rsidRPr="00D1141E" w:rsidRDefault="0095318C" w:rsidP="00DC1333">
            <w:pPr>
              <w:rPr>
                <w:sz w:val="16"/>
                <w:szCs w:val="16"/>
                <w:lang w:bidi="th-TH"/>
              </w:rPr>
            </w:pPr>
            <w:r w:rsidRPr="00D1141E">
              <w:rPr>
                <w:sz w:val="16"/>
                <w:szCs w:val="16"/>
                <w:lang w:bidi="th-TH"/>
              </w:rPr>
              <w:t>Región árabe (6</w:t>
            </w:r>
            <w:r>
              <w:rPr>
                <w:sz w:val="16"/>
                <w:szCs w:val="16"/>
                <w:lang w:bidi="th-TH"/>
              </w:rPr>
              <w:t xml:space="preserve"> en total)</w:t>
            </w:r>
          </w:p>
          <w:p w:rsidR="0095318C" w:rsidRPr="00D1141E" w:rsidRDefault="0095318C" w:rsidP="00DC1333">
            <w:pPr>
              <w:rPr>
                <w:sz w:val="16"/>
                <w:szCs w:val="16"/>
                <w:lang w:bidi="th-TH"/>
              </w:rPr>
            </w:pPr>
          </w:p>
          <w:p w:rsidR="0095318C" w:rsidRPr="00D1141E" w:rsidRDefault="0095318C" w:rsidP="00DC1333">
            <w:pPr>
              <w:rPr>
                <w:sz w:val="16"/>
                <w:szCs w:val="16"/>
                <w:lang w:bidi="th-TH"/>
              </w:rPr>
            </w:pPr>
            <w:r w:rsidRPr="00D1141E">
              <w:rPr>
                <w:sz w:val="16"/>
                <w:szCs w:val="16"/>
                <w:lang w:bidi="th-TH"/>
              </w:rPr>
              <w:t>Asia y el Pacífico (7 en total)</w:t>
            </w:r>
          </w:p>
          <w:p w:rsidR="0095318C" w:rsidRPr="00D1141E" w:rsidRDefault="0095318C" w:rsidP="00DC1333">
            <w:pPr>
              <w:rPr>
                <w:sz w:val="16"/>
                <w:szCs w:val="16"/>
                <w:lang w:bidi="th-TH"/>
              </w:rPr>
            </w:pPr>
          </w:p>
          <w:p w:rsidR="0095318C" w:rsidRPr="00D1141E" w:rsidRDefault="0095318C" w:rsidP="00DC1333">
            <w:pPr>
              <w:rPr>
                <w:sz w:val="16"/>
                <w:szCs w:val="16"/>
                <w:lang w:bidi="th-TH"/>
              </w:rPr>
            </w:pPr>
          </w:p>
          <w:p w:rsidR="0095318C" w:rsidRPr="00D1141E" w:rsidRDefault="0095318C" w:rsidP="00DC1333">
            <w:pPr>
              <w:rPr>
                <w:sz w:val="16"/>
                <w:szCs w:val="16"/>
                <w:lang w:bidi="th-TH"/>
              </w:rPr>
            </w:pPr>
            <w:r w:rsidRPr="00D1141E">
              <w:rPr>
                <w:sz w:val="16"/>
                <w:szCs w:val="16"/>
                <w:lang w:bidi="th-TH"/>
              </w:rPr>
              <w:t>América Latina y el Caribe (12)</w:t>
            </w:r>
          </w:p>
          <w:p w:rsidR="0095318C" w:rsidRPr="00D1141E" w:rsidRDefault="0095318C" w:rsidP="00DC1333">
            <w:pPr>
              <w:rPr>
                <w:sz w:val="16"/>
                <w:szCs w:val="16"/>
                <w:lang w:bidi="th-TH"/>
              </w:rPr>
            </w:pPr>
          </w:p>
          <w:p w:rsidR="0095318C" w:rsidRPr="00D1141E" w:rsidRDefault="0095318C" w:rsidP="00DC1333">
            <w:pPr>
              <w:rPr>
                <w:sz w:val="16"/>
                <w:szCs w:val="16"/>
                <w:lang w:bidi="th-TH"/>
              </w:rPr>
            </w:pPr>
            <w:r w:rsidRPr="00D1141E">
              <w:rPr>
                <w:sz w:val="16"/>
                <w:szCs w:val="16"/>
                <w:lang w:bidi="th-TH"/>
              </w:rPr>
              <w:t>11 PMA incluidos en el desglose regional precedente</w:t>
            </w:r>
          </w:p>
          <w:p w:rsidR="0095318C" w:rsidRPr="00D1141E" w:rsidRDefault="0095318C" w:rsidP="00DC1333">
            <w:pPr>
              <w:rPr>
                <w:sz w:val="16"/>
                <w:szCs w:val="16"/>
                <w:lang w:bidi="th-TH"/>
              </w:rPr>
            </w:pPr>
          </w:p>
          <w:p w:rsidR="0095318C" w:rsidRPr="00D1141E" w:rsidRDefault="0095318C" w:rsidP="00DC1333">
            <w:pPr>
              <w:rPr>
                <w:sz w:val="16"/>
                <w:szCs w:val="16"/>
                <w:lang w:bidi="th-TH"/>
              </w:rPr>
            </w:pPr>
          </w:p>
        </w:tc>
        <w:tc>
          <w:tcPr>
            <w:tcW w:w="2269" w:type="dxa"/>
            <w:gridSpan w:val="3"/>
            <w:shd w:val="clear" w:color="auto" w:fill="FFFFFF"/>
            <w:tcMar>
              <w:top w:w="110" w:type="dxa"/>
            </w:tcMar>
          </w:tcPr>
          <w:p w:rsidR="0095318C" w:rsidRPr="00D1141E" w:rsidRDefault="0095318C" w:rsidP="00DC1333">
            <w:pPr>
              <w:rPr>
                <w:sz w:val="16"/>
                <w:szCs w:val="16"/>
                <w:lang w:bidi="th-TH"/>
              </w:rPr>
            </w:pPr>
            <w:r w:rsidRPr="00D1141E">
              <w:rPr>
                <w:sz w:val="16"/>
                <w:szCs w:val="16"/>
              </w:rPr>
              <w:t xml:space="preserve">África (17 países adicionales en 2014/15):  </w:t>
            </w:r>
            <w:proofErr w:type="spellStart"/>
            <w:r w:rsidRPr="00D1141E">
              <w:rPr>
                <w:sz w:val="16"/>
                <w:szCs w:val="16"/>
              </w:rPr>
              <w:t>Botswana</w:t>
            </w:r>
            <w:proofErr w:type="spellEnd"/>
            <w:r w:rsidRPr="00D1141E">
              <w:rPr>
                <w:sz w:val="16"/>
                <w:szCs w:val="16"/>
              </w:rPr>
              <w:t xml:space="preserve">, Burundi, Camerún, Chad, Congo, </w:t>
            </w:r>
            <w:proofErr w:type="spellStart"/>
            <w:r w:rsidRPr="00D1141E">
              <w:rPr>
                <w:sz w:val="16"/>
                <w:szCs w:val="16"/>
              </w:rPr>
              <w:t>Côte</w:t>
            </w:r>
            <w:proofErr w:type="spellEnd"/>
            <w:r w:rsidRPr="00D1141E">
              <w:rPr>
                <w:sz w:val="16"/>
                <w:szCs w:val="16"/>
              </w:rPr>
              <w:t xml:space="preserve"> </w:t>
            </w:r>
            <w:proofErr w:type="spellStart"/>
            <w:r w:rsidRPr="00D1141E">
              <w:rPr>
                <w:sz w:val="16"/>
                <w:szCs w:val="16"/>
              </w:rPr>
              <w:t>d’Ivoire</w:t>
            </w:r>
            <w:proofErr w:type="spellEnd"/>
            <w:r w:rsidRPr="00D1141E">
              <w:rPr>
                <w:sz w:val="16"/>
                <w:szCs w:val="16"/>
              </w:rPr>
              <w:t xml:space="preserve">, </w:t>
            </w:r>
            <w:r>
              <w:rPr>
                <w:sz w:val="16"/>
                <w:szCs w:val="16"/>
              </w:rPr>
              <w:t>República Democrática del</w:t>
            </w:r>
            <w:r w:rsidRPr="00D1141E">
              <w:rPr>
                <w:sz w:val="16"/>
                <w:szCs w:val="16"/>
              </w:rPr>
              <w:t xml:space="preserve"> Congo, </w:t>
            </w:r>
            <w:r>
              <w:rPr>
                <w:sz w:val="16"/>
                <w:szCs w:val="16"/>
              </w:rPr>
              <w:t>Etiopía,</w:t>
            </w:r>
            <w:r w:rsidRPr="00D1141E">
              <w:rPr>
                <w:sz w:val="16"/>
                <w:szCs w:val="16"/>
              </w:rPr>
              <w:t xml:space="preserve"> </w:t>
            </w:r>
            <w:proofErr w:type="spellStart"/>
            <w:r>
              <w:rPr>
                <w:sz w:val="16"/>
                <w:szCs w:val="16"/>
              </w:rPr>
              <w:t>Lesotho</w:t>
            </w:r>
            <w:proofErr w:type="spellEnd"/>
            <w:r>
              <w:rPr>
                <w:sz w:val="16"/>
                <w:szCs w:val="16"/>
              </w:rPr>
              <w:t>, Malawi, Malí</w:t>
            </w:r>
            <w:r w:rsidRPr="00D1141E">
              <w:rPr>
                <w:sz w:val="16"/>
                <w:szCs w:val="16"/>
              </w:rPr>
              <w:t xml:space="preserve">, </w:t>
            </w:r>
            <w:proofErr w:type="spellStart"/>
            <w:r w:rsidRPr="00D1141E">
              <w:rPr>
                <w:sz w:val="16"/>
                <w:szCs w:val="16"/>
              </w:rPr>
              <w:t>Rwanda</w:t>
            </w:r>
            <w:proofErr w:type="spellEnd"/>
            <w:r w:rsidRPr="00D1141E">
              <w:rPr>
                <w:sz w:val="16"/>
                <w:szCs w:val="16"/>
              </w:rPr>
              <w:t xml:space="preserve">, </w:t>
            </w:r>
            <w:r>
              <w:rPr>
                <w:sz w:val="16"/>
                <w:szCs w:val="16"/>
              </w:rPr>
              <w:t>Sao Tomé y</w:t>
            </w:r>
            <w:r w:rsidRPr="00D1141E">
              <w:rPr>
                <w:sz w:val="16"/>
                <w:szCs w:val="16"/>
              </w:rPr>
              <w:t xml:space="preserve"> P</w:t>
            </w:r>
            <w:r>
              <w:rPr>
                <w:sz w:val="16"/>
                <w:szCs w:val="16"/>
              </w:rPr>
              <w:t>rí</w:t>
            </w:r>
            <w:r w:rsidRPr="00D1141E">
              <w:rPr>
                <w:sz w:val="16"/>
                <w:szCs w:val="16"/>
              </w:rPr>
              <w:t xml:space="preserve">ncipe, </w:t>
            </w:r>
            <w:proofErr w:type="spellStart"/>
            <w:r w:rsidRPr="00D1141E">
              <w:rPr>
                <w:sz w:val="16"/>
                <w:szCs w:val="16"/>
              </w:rPr>
              <w:t>Swaziland</w:t>
            </w:r>
            <w:r>
              <w:rPr>
                <w:sz w:val="16"/>
                <w:szCs w:val="16"/>
              </w:rPr>
              <w:t>ia</w:t>
            </w:r>
            <w:proofErr w:type="spellEnd"/>
            <w:r w:rsidRPr="00D1141E">
              <w:rPr>
                <w:sz w:val="16"/>
                <w:szCs w:val="16"/>
              </w:rPr>
              <w:t>, Togo</w:t>
            </w:r>
            <w:r>
              <w:rPr>
                <w:sz w:val="16"/>
                <w:szCs w:val="16"/>
                <w:lang w:bidi="th-TH"/>
              </w:rPr>
              <w:t>, República Unida de</w:t>
            </w:r>
            <w:r>
              <w:rPr>
                <w:sz w:val="16"/>
                <w:szCs w:val="16"/>
              </w:rPr>
              <w:t xml:space="preserve"> </w:t>
            </w:r>
            <w:proofErr w:type="spellStart"/>
            <w:r>
              <w:rPr>
                <w:sz w:val="16"/>
                <w:szCs w:val="16"/>
              </w:rPr>
              <w:t>Tanzaní</w:t>
            </w:r>
            <w:r w:rsidRPr="00D1141E">
              <w:rPr>
                <w:sz w:val="16"/>
                <w:szCs w:val="16"/>
              </w:rPr>
              <w:t>a</w:t>
            </w:r>
            <w:proofErr w:type="spellEnd"/>
            <w:r w:rsidRPr="00D1141E">
              <w:rPr>
                <w:sz w:val="16"/>
                <w:szCs w:val="16"/>
              </w:rPr>
              <w:t xml:space="preserve">, </w:t>
            </w:r>
            <w:proofErr w:type="spellStart"/>
            <w:r w:rsidRPr="00D1141E">
              <w:rPr>
                <w:sz w:val="16"/>
                <w:szCs w:val="16"/>
              </w:rPr>
              <w:t>Zimbabwe</w:t>
            </w:r>
            <w:proofErr w:type="spellEnd"/>
          </w:p>
          <w:p w:rsidR="0095318C" w:rsidRPr="0003412F" w:rsidRDefault="0095318C" w:rsidP="00DC1333">
            <w:pPr>
              <w:rPr>
                <w:sz w:val="16"/>
                <w:szCs w:val="16"/>
              </w:rPr>
            </w:pPr>
            <w:r w:rsidRPr="0003412F">
              <w:rPr>
                <w:sz w:val="16"/>
                <w:szCs w:val="16"/>
              </w:rPr>
              <w:t xml:space="preserve">(26 en total) </w:t>
            </w:r>
          </w:p>
          <w:p w:rsidR="0095318C" w:rsidRPr="0003412F" w:rsidRDefault="0095318C" w:rsidP="00DC1333">
            <w:pPr>
              <w:rPr>
                <w:sz w:val="16"/>
                <w:szCs w:val="16"/>
              </w:rPr>
            </w:pPr>
          </w:p>
          <w:p w:rsidR="0095318C" w:rsidRPr="0003412F" w:rsidRDefault="0095318C" w:rsidP="00DC1333">
            <w:pPr>
              <w:rPr>
                <w:sz w:val="16"/>
                <w:szCs w:val="16"/>
                <w:lang w:bidi="th-TH"/>
              </w:rPr>
            </w:pPr>
            <w:r w:rsidRPr="0003412F">
              <w:rPr>
                <w:sz w:val="16"/>
                <w:szCs w:val="16"/>
                <w:lang w:bidi="th-TH"/>
              </w:rPr>
              <w:t>Región árabe (no hay países adicionales en 2014/15):</w:t>
            </w:r>
            <w:r>
              <w:rPr>
                <w:sz w:val="16"/>
                <w:szCs w:val="16"/>
                <w:lang w:bidi="th-TH"/>
              </w:rPr>
              <w:t xml:space="preserve">  </w:t>
            </w:r>
            <w:r w:rsidRPr="0003412F">
              <w:rPr>
                <w:sz w:val="16"/>
                <w:szCs w:val="16"/>
              </w:rPr>
              <w:t>(2 en total)</w:t>
            </w:r>
          </w:p>
          <w:p w:rsidR="0095318C" w:rsidRPr="0003412F" w:rsidRDefault="0095318C" w:rsidP="00DC1333">
            <w:pPr>
              <w:rPr>
                <w:sz w:val="16"/>
                <w:szCs w:val="16"/>
                <w:lang w:bidi="th-TH"/>
              </w:rPr>
            </w:pPr>
          </w:p>
          <w:p w:rsidR="0095318C" w:rsidRPr="003C4694" w:rsidRDefault="0095318C" w:rsidP="00DC1333">
            <w:pPr>
              <w:rPr>
                <w:sz w:val="16"/>
                <w:szCs w:val="16"/>
              </w:rPr>
            </w:pPr>
            <w:r w:rsidRPr="0003412F">
              <w:rPr>
                <w:sz w:val="16"/>
                <w:szCs w:val="16"/>
              </w:rPr>
              <w:t>Asia y el Pacífico (5 países adicionales en 2014/15)</w:t>
            </w:r>
            <w:r>
              <w:rPr>
                <w:sz w:val="16"/>
                <w:szCs w:val="16"/>
              </w:rPr>
              <w:t>:  Camboy</w:t>
            </w:r>
            <w:r w:rsidRPr="003C4694">
              <w:rPr>
                <w:sz w:val="16"/>
                <w:szCs w:val="16"/>
              </w:rPr>
              <w:t>a, Mongolia, Sri Lanka, Tonga, Vanuatu</w:t>
            </w:r>
          </w:p>
          <w:p w:rsidR="0095318C" w:rsidRPr="0003412F" w:rsidRDefault="0095318C" w:rsidP="00DC1333">
            <w:pPr>
              <w:rPr>
                <w:sz w:val="16"/>
                <w:szCs w:val="16"/>
                <w:lang w:bidi="th-TH"/>
              </w:rPr>
            </w:pPr>
            <w:r w:rsidRPr="0003412F">
              <w:rPr>
                <w:sz w:val="16"/>
                <w:szCs w:val="16"/>
                <w:lang w:bidi="th-TH"/>
              </w:rPr>
              <w:t>(8 en total)</w:t>
            </w:r>
          </w:p>
          <w:p w:rsidR="0095318C" w:rsidRPr="0003412F" w:rsidRDefault="0095318C" w:rsidP="00DC1333">
            <w:pPr>
              <w:rPr>
                <w:sz w:val="16"/>
                <w:szCs w:val="16"/>
                <w:lang w:bidi="th-TH"/>
              </w:rPr>
            </w:pPr>
          </w:p>
          <w:p w:rsidR="0095318C" w:rsidRDefault="0095318C" w:rsidP="00DC1333">
            <w:pPr>
              <w:rPr>
                <w:sz w:val="16"/>
                <w:szCs w:val="16"/>
                <w:lang w:bidi="th-TH"/>
              </w:rPr>
            </w:pPr>
            <w:r w:rsidRPr="0003412F">
              <w:rPr>
                <w:sz w:val="16"/>
                <w:szCs w:val="16"/>
                <w:lang w:bidi="th-TH"/>
              </w:rPr>
              <w:t>América Lat</w:t>
            </w:r>
            <w:r>
              <w:rPr>
                <w:sz w:val="16"/>
                <w:szCs w:val="16"/>
                <w:lang w:bidi="th-TH"/>
              </w:rPr>
              <w:t xml:space="preserve">ina y el Caribe (4 países adicionales en 2014/15):  </w:t>
            </w:r>
            <w:r w:rsidRPr="0003412F">
              <w:rPr>
                <w:sz w:val="16"/>
                <w:szCs w:val="16"/>
                <w:lang w:bidi="th-TH"/>
              </w:rPr>
              <w:t>Barb</w:t>
            </w:r>
            <w:r>
              <w:rPr>
                <w:sz w:val="16"/>
                <w:szCs w:val="16"/>
                <w:lang w:bidi="th-TH"/>
              </w:rPr>
              <w:t>ados, El Salvador, Guatemala y</w:t>
            </w:r>
            <w:r w:rsidRPr="0003412F">
              <w:rPr>
                <w:sz w:val="16"/>
                <w:szCs w:val="16"/>
                <w:lang w:bidi="th-TH"/>
              </w:rPr>
              <w:t xml:space="preserve"> Saint </w:t>
            </w:r>
            <w:proofErr w:type="spellStart"/>
            <w:r w:rsidRPr="0003412F">
              <w:rPr>
                <w:sz w:val="16"/>
                <w:szCs w:val="16"/>
                <w:lang w:bidi="th-TH"/>
              </w:rPr>
              <w:t>Kitts</w:t>
            </w:r>
            <w:proofErr w:type="spellEnd"/>
            <w:r w:rsidRPr="0003412F">
              <w:rPr>
                <w:sz w:val="16"/>
                <w:szCs w:val="16"/>
                <w:lang w:bidi="th-TH"/>
              </w:rPr>
              <w:t xml:space="preserve"> y </w:t>
            </w:r>
            <w:proofErr w:type="spellStart"/>
            <w:r w:rsidRPr="0003412F">
              <w:rPr>
                <w:sz w:val="16"/>
                <w:szCs w:val="16"/>
                <w:lang w:bidi="th-TH"/>
              </w:rPr>
              <w:t>Nevis</w:t>
            </w:r>
            <w:proofErr w:type="spellEnd"/>
            <w:r w:rsidRPr="0003412F">
              <w:rPr>
                <w:sz w:val="16"/>
                <w:szCs w:val="16"/>
                <w:lang w:bidi="th-TH"/>
              </w:rPr>
              <w:t xml:space="preserve"> </w:t>
            </w:r>
            <w:r w:rsidR="001F7360">
              <w:rPr>
                <w:sz w:val="16"/>
                <w:szCs w:val="16"/>
                <w:lang w:bidi="th-TH"/>
              </w:rPr>
              <w:t>(8 en total)</w:t>
            </w:r>
          </w:p>
          <w:p w:rsidR="0095318C" w:rsidRPr="0003412F" w:rsidRDefault="0095318C" w:rsidP="00DC1333">
            <w:pPr>
              <w:rPr>
                <w:sz w:val="16"/>
                <w:szCs w:val="16"/>
                <w:lang w:bidi="th-TH"/>
              </w:rPr>
            </w:pPr>
          </w:p>
          <w:p w:rsidR="0095318C" w:rsidRPr="0003412F" w:rsidRDefault="0095318C" w:rsidP="00DC1333">
            <w:pPr>
              <w:rPr>
                <w:sz w:val="16"/>
                <w:szCs w:val="16"/>
                <w:lang w:bidi="th-TH"/>
              </w:rPr>
            </w:pPr>
            <w:r w:rsidRPr="0003412F">
              <w:rPr>
                <w:sz w:val="16"/>
                <w:szCs w:val="16"/>
                <w:lang w:bidi="th-TH"/>
              </w:rPr>
              <w:t>19 PMA incluidos en el anterior desglose regional en total</w:t>
            </w:r>
          </w:p>
        </w:tc>
        <w:tc>
          <w:tcPr>
            <w:tcW w:w="1418" w:type="dxa"/>
            <w:gridSpan w:val="2"/>
            <w:shd w:val="clear" w:color="auto" w:fill="auto"/>
          </w:tcPr>
          <w:p w:rsidR="0095318C" w:rsidRPr="00017A5E" w:rsidRDefault="0095318C" w:rsidP="00DC1333">
            <w:pPr>
              <w:keepNext/>
              <w:keepLines/>
              <w:spacing w:after="120"/>
              <w:jc w:val="center"/>
              <w:rPr>
                <w:bCs/>
                <w:sz w:val="16"/>
                <w:szCs w:val="16"/>
              </w:rPr>
            </w:pPr>
            <w:r w:rsidRPr="004B265E">
              <w:rPr>
                <w:b/>
                <w:bCs/>
                <w:color w:val="00B050"/>
                <w:sz w:val="14"/>
                <w:szCs w:val="14"/>
              </w:rPr>
              <w:t>Plenamente logrado</w:t>
            </w:r>
            <w:r w:rsidRPr="00017A5E">
              <w:rPr>
                <w:bCs/>
                <w:sz w:val="16"/>
                <w:szCs w:val="16"/>
              </w:rPr>
              <w:t xml:space="preserve"> </w:t>
            </w:r>
          </w:p>
          <w:p w:rsidR="0095318C" w:rsidRPr="00017A5E" w:rsidRDefault="0095318C" w:rsidP="00DC1333">
            <w:pPr>
              <w:keepNext/>
              <w:keepLines/>
              <w:spacing w:after="120"/>
              <w:jc w:val="center"/>
              <w:rPr>
                <w:bCs/>
                <w:sz w:val="16"/>
                <w:szCs w:val="16"/>
              </w:rPr>
            </w:pPr>
          </w:p>
          <w:p w:rsidR="0095318C" w:rsidRPr="00017A5E" w:rsidRDefault="0095318C" w:rsidP="00DC1333">
            <w:pPr>
              <w:keepNext/>
              <w:keepLines/>
              <w:spacing w:after="120"/>
              <w:jc w:val="center"/>
              <w:rPr>
                <w:bCs/>
                <w:sz w:val="16"/>
                <w:szCs w:val="16"/>
              </w:rPr>
            </w:pPr>
          </w:p>
          <w:p w:rsidR="0095318C" w:rsidRPr="00017A5E" w:rsidRDefault="0095318C" w:rsidP="00DC1333">
            <w:pPr>
              <w:keepNext/>
              <w:keepLines/>
              <w:spacing w:after="120"/>
              <w:jc w:val="center"/>
              <w:rPr>
                <w:bCs/>
                <w:sz w:val="16"/>
                <w:szCs w:val="16"/>
              </w:rPr>
            </w:pPr>
          </w:p>
          <w:p w:rsidR="0095318C" w:rsidRPr="00017A5E" w:rsidRDefault="0095318C" w:rsidP="00DC1333">
            <w:pPr>
              <w:keepNext/>
              <w:keepLines/>
              <w:spacing w:after="120"/>
              <w:jc w:val="center"/>
              <w:rPr>
                <w:bCs/>
                <w:sz w:val="16"/>
                <w:szCs w:val="16"/>
              </w:rPr>
            </w:pPr>
          </w:p>
          <w:p w:rsidR="0095318C" w:rsidRPr="00017A5E" w:rsidRDefault="0095318C" w:rsidP="00DC1333">
            <w:pPr>
              <w:keepNext/>
              <w:keepLines/>
              <w:spacing w:after="120"/>
              <w:jc w:val="center"/>
              <w:rPr>
                <w:bCs/>
                <w:sz w:val="16"/>
                <w:szCs w:val="16"/>
              </w:rPr>
            </w:pPr>
          </w:p>
          <w:p w:rsidR="0095318C" w:rsidRPr="00017A5E" w:rsidRDefault="0095318C" w:rsidP="00DC1333">
            <w:pPr>
              <w:keepNext/>
              <w:keepLines/>
              <w:rPr>
                <w:bCs/>
                <w:sz w:val="16"/>
                <w:szCs w:val="16"/>
              </w:rPr>
            </w:pPr>
          </w:p>
          <w:p w:rsidR="0095318C" w:rsidRPr="00017A5E" w:rsidRDefault="0095318C" w:rsidP="00DC1333">
            <w:pPr>
              <w:keepNext/>
              <w:keepLines/>
              <w:spacing w:after="120"/>
              <w:jc w:val="center"/>
              <w:rPr>
                <w:b/>
                <w:bCs/>
                <w:color w:val="FF0000"/>
                <w:sz w:val="14"/>
                <w:szCs w:val="14"/>
              </w:rPr>
            </w:pPr>
          </w:p>
          <w:p w:rsidR="0095318C" w:rsidRPr="00017A5E" w:rsidRDefault="0095318C" w:rsidP="00DC1333">
            <w:pPr>
              <w:keepNext/>
              <w:keepLines/>
              <w:spacing w:after="120"/>
              <w:jc w:val="center"/>
              <w:rPr>
                <w:b/>
                <w:bCs/>
                <w:color w:val="FF0000"/>
                <w:sz w:val="14"/>
                <w:szCs w:val="14"/>
              </w:rPr>
            </w:pPr>
          </w:p>
          <w:p w:rsidR="0095318C" w:rsidRPr="00D1141E" w:rsidRDefault="0095318C" w:rsidP="00DC1333">
            <w:pPr>
              <w:keepNext/>
              <w:keepLines/>
              <w:spacing w:after="120"/>
              <w:jc w:val="center"/>
              <w:rPr>
                <w:bCs/>
                <w:sz w:val="14"/>
                <w:szCs w:val="14"/>
              </w:rPr>
            </w:pPr>
            <w:r w:rsidRPr="00D1141E">
              <w:rPr>
                <w:b/>
                <w:bCs/>
                <w:color w:val="FF0000"/>
                <w:sz w:val="14"/>
                <w:szCs w:val="14"/>
              </w:rPr>
              <w:t>No logrado</w:t>
            </w:r>
          </w:p>
          <w:p w:rsidR="0095318C" w:rsidRPr="00D1141E" w:rsidRDefault="0095318C" w:rsidP="001F7360">
            <w:pPr>
              <w:keepNext/>
              <w:keepLines/>
              <w:spacing w:after="120"/>
              <w:rPr>
                <w:bCs/>
                <w:sz w:val="16"/>
                <w:szCs w:val="16"/>
              </w:rPr>
            </w:pPr>
          </w:p>
          <w:p w:rsidR="0095318C" w:rsidRPr="00D1141E" w:rsidRDefault="0095318C" w:rsidP="00DC1333">
            <w:pPr>
              <w:keepNext/>
              <w:keepLines/>
              <w:spacing w:after="120"/>
              <w:jc w:val="center"/>
              <w:rPr>
                <w:bCs/>
                <w:sz w:val="16"/>
                <w:szCs w:val="16"/>
              </w:rPr>
            </w:pPr>
            <w:r w:rsidRPr="004B265E">
              <w:rPr>
                <w:b/>
                <w:bCs/>
                <w:color w:val="00B050"/>
                <w:sz w:val="14"/>
                <w:szCs w:val="14"/>
              </w:rPr>
              <w:t>Plenamente logrado</w:t>
            </w:r>
            <w:r w:rsidRPr="00D1141E">
              <w:rPr>
                <w:bCs/>
                <w:sz w:val="16"/>
                <w:szCs w:val="16"/>
              </w:rPr>
              <w:t xml:space="preserve"> </w:t>
            </w:r>
          </w:p>
          <w:p w:rsidR="0095318C" w:rsidRDefault="001F7360" w:rsidP="001F7360">
            <w:pPr>
              <w:keepNext/>
              <w:keepLines/>
              <w:spacing w:after="120"/>
              <w:rPr>
                <w:b/>
                <w:bCs/>
                <w:color w:val="F79646" w:themeColor="accent6"/>
                <w:sz w:val="14"/>
                <w:szCs w:val="14"/>
              </w:rPr>
            </w:pPr>
            <w:r>
              <w:rPr>
                <w:b/>
                <w:bCs/>
                <w:color w:val="F79646" w:themeColor="accent6"/>
                <w:sz w:val="14"/>
                <w:szCs w:val="14"/>
              </w:rPr>
              <w:br/>
            </w:r>
            <w:r>
              <w:rPr>
                <w:b/>
                <w:bCs/>
                <w:color w:val="F79646" w:themeColor="accent6"/>
                <w:sz w:val="14"/>
                <w:szCs w:val="14"/>
              </w:rPr>
              <w:br/>
            </w:r>
          </w:p>
          <w:p w:rsidR="0095318C" w:rsidRPr="0003412F" w:rsidRDefault="0095318C" w:rsidP="00DC1333">
            <w:pPr>
              <w:keepNext/>
              <w:keepLines/>
              <w:spacing w:after="120"/>
              <w:jc w:val="center"/>
              <w:rPr>
                <w:b/>
                <w:bCs/>
                <w:color w:val="F79646" w:themeColor="accent6"/>
                <w:sz w:val="14"/>
                <w:szCs w:val="14"/>
              </w:rPr>
            </w:pPr>
            <w:r w:rsidRPr="0003412F">
              <w:rPr>
                <w:b/>
                <w:bCs/>
                <w:color w:val="F79646" w:themeColor="accent6"/>
                <w:sz w:val="14"/>
                <w:szCs w:val="14"/>
              </w:rPr>
              <w:t>Parcialmente logrado</w:t>
            </w:r>
          </w:p>
          <w:p w:rsidR="0095318C" w:rsidRPr="003C4694" w:rsidRDefault="001F7360" w:rsidP="001F7360">
            <w:pPr>
              <w:keepNext/>
              <w:keepLines/>
              <w:spacing w:after="120"/>
              <w:jc w:val="center"/>
              <w:rPr>
                <w:bCs/>
                <w:sz w:val="16"/>
                <w:szCs w:val="16"/>
              </w:rPr>
            </w:pPr>
            <w:r>
              <w:rPr>
                <w:bCs/>
                <w:sz w:val="16"/>
                <w:szCs w:val="16"/>
              </w:rPr>
              <w:br/>
            </w:r>
            <w:r>
              <w:rPr>
                <w:bCs/>
                <w:sz w:val="16"/>
                <w:szCs w:val="16"/>
              </w:rPr>
              <w:br/>
            </w:r>
            <w:r>
              <w:rPr>
                <w:bCs/>
                <w:sz w:val="16"/>
                <w:szCs w:val="16"/>
              </w:rPr>
              <w:br/>
            </w:r>
            <w:r w:rsidRPr="004B265E">
              <w:rPr>
                <w:b/>
                <w:bCs/>
                <w:color w:val="00B050"/>
                <w:sz w:val="14"/>
                <w:szCs w:val="14"/>
              </w:rPr>
              <w:t>Plenamente logrado</w:t>
            </w:r>
          </w:p>
        </w:tc>
      </w:tr>
      <w:tr w:rsidR="0095318C" w:rsidRPr="003131FE" w:rsidTr="00DC1333">
        <w:tc>
          <w:tcPr>
            <w:tcW w:w="9498" w:type="dxa"/>
            <w:gridSpan w:val="12"/>
            <w:tcBorders>
              <w:top w:val="single" w:sz="4" w:space="0" w:color="auto"/>
              <w:bottom w:val="single" w:sz="4" w:space="0" w:color="auto"/>
            </w:tcBorders>
            <w:shd w:val="clear" w:color="auto" w:fill="C6D9F1" w:themeFill="text2" w:themeFillTint="33"/>
            <w:vAlign w:val="center"/>
          </w:tcPr>
          <w:p w:rsidR="0095318C" w:rsidRPr="00D0340B" w:rsidRDefault="0095318C" w:rsidP="00DC1333">
            <w:pPr>
              <w:keepNext/>
              <w:keepLines/>
              <w:spacing w:before="120" w:after="120"/>
              <w:ind w:left="2019" w:hanging="2019"/>
              <w:rPr>
                <w:b/>
                <w:bCs/>
                <w:sz w:val="16"/>
                <w:szCs w:val="16"/>
              </w:rPr>
            </w:pPr>
            <w:r w:rsidRPr="00D0340B">
              <w:rPr>
                <w:b/>
                <w:bCs/>
                <w:sz w:val="16"/>
                <w:szCs w:val="16"/>
              </w:rPr>
              <w:t>Resultado previsto:</w:t>
            </w:r>
            <w:r w:rsidRPr="00D0340B">
              <w:rPr>
                <w:b/>
                <w:bCs/>
                <w:sz w:val="16"/>
                <w:szCs w:val="16"/>
              </w:rPr>
              <w:tab/>
            </w:r>
            <w:r w:rsidRPr="00D0340B">
              <w:rPr>
                <w:sz w:val="16"/>
                <w:szCs w:val="16"/>
                <w:lang w:bidi="th-TH"/>
              </w:rPr>
              <w:t xml:space="preserve">III.2 Aumento de las capacidades en recursos humanos para hacer frente a la gran diversidad de exigencias </w:t>
            </w:r>
            <w:r>
              <w:rPr>
                <w:sz w:val="16"/>
                <w:szCs w:val="16"/>
                <w:lang w:bidi="th-TH"/>
              </w:rPr>
              <w:t>q</w:t>
            </w:r>
            <w:r w:rsidRPr="00D0340B">
              <w:rPr>
                <w:sz w:val="16"/>
                <w:szCs w:val="16"/>
                <w:lang w:bidi="th-TH"/>
              </w:rPr>
              <w:t>u</w:t>
            </w:r>
            <w:r>
              <w:rPr>
                <w:sz w:val="16"/>
                <w:szCs w:val="16"/>
                <w:lang w:bidi="th-TH"/>
              </w:rPr>
              <w:t>e</w:t>
            </w:r>
            <w:r w:rsidRPr="00D0340B">
              <w:rPr>
                <w:sz w:val="16"/>
                <w:szCs w:val="16"/>
                <w:lang w:bidi="th-TH"/>
              </w:rPr>
              <w:t xml:space="preserve"> supone la utilización eficaz de la P.I. para </w:t>
            </w:r>
            <w:r>
              <w:rPr>
                <w:sz w:val="16"/>
                <w:szCs w:val="16"/>
                <w:lang w:bidi="th-TH"/>
              </w:rPr>
              <w:t>fomenta</w:t>
            </w:r>
            <w:r w:rsidRPr="00D0340B">
              <w:rPr>
                <w:sz w:val="16"/>
                <w:szCs w:val="16"/>
                <w:lang w:bidi="th-TH"/>
              </w:rPr>
              <w:t>r el desarrollo en los países en desarrollo, PMA y países con economías en transición</w:t>
            </w:r>
          </w:p>
        </w:tc>
      </w:tr>
      <w:tr w:rsidR="0095318C" w:rsidRPr="003C4694" w:rsidTr="00DC1333">
        <w:tc>
          <w:tcPr>
            <w:tcW w:w="2123" w:type="dxa"/>
            <w:gridSpan w:val="2"/>
            <w:tcBorders>
              <w:top w:val="single" w:sz="4" w:space="0" w:color="auto"/>
            </w:tcBorders>
            <w:shd w:val="clear" w:color="auto" w:fill="auto"/>
            <w:vAlign w:val="center"/>
          </w:tcPr>
          <w:p w:rsidR="0095318C" w:rsidRPr="00D0340B" w:rsidRDefault="0095318C" w:rsidP="00DC1333">
            <w:pPr>
              <w:spacing w:after="40"/>
              <w:rPr>
                <w:sz w:val="16"/>
                <w:szCs w:val="16"/>
              </w:rPr>
            </w:pPr>
            <w:r>
              <w:rPr>
                <w:b/>
                <w:bCs/>
                <w:sz w:val="16"/>
                <w:szCs w:val="16"/>
              </w:rPr>
              <w:t>Indicadores de rendimiento</w:t>
            </w:r>
          </w:p>
        </w:tc>
        <w:tc>
          <w:tcPr>
            <w:tcW w:w="1987" w:type="dxa"/>
            <w:gridSpan w:val="2"/>
            <w:tcBorders>
              <w:top w:val="single" w:sz="4" w:space="0" w:color="auto"/>
            </w:tcBorders>
            <w:shd w:val="clear" w:color="auto" w:fill="auto"/>
            <w:vAlign w:val="center"/>
          </w:tcPr>
          <w:p w:rsidR="0095318C" w:rsidRPr="00D0340B" w:rsidRDefault="0095318C" w:rsidP="00DC1333">
            <w:pPr>
              <w:spacing w:after="40"/>
              <w:rPr>
                <w:b/>
                <w:bCs/>
                <w:sz w:val="16"/>
                <w:szCs w:val="16"/>
              </w:rPr>
            </w:pPr>
            <w:r>
              <w:rPr>
                <w:b/>
                <w:bCs/>
                <w:sz w:val="16"/>
                <w:szCs w:val="16"/>
              </w:rPr>
              <w:t>Referencia</w:t>
            </w:r>
          </w:p>
        </w:tc>
        <w:tc>
          <w:tcPr>
            <w:tcW w:w="1701" w:type="dxa"/>
            <w:gridSpan w:val="3"/>
            <w:tcBorders>
              <w:top w:val="single" w:sz="4" w:space="0" w:color="auto"/>
            </w:tcBorders>
            <w:shd w:val="clear" w:color="auto" w:fill="auto"/>
            <w:tcMar>
              <w:top w:w="110" w:type="dxa"/>
            </w:tcMar>
            <w:vAlign w:val="center"/>
          </w:tcPr>
          <w:p w:rsidR="0095318C" w:rsidRPr="00D0340B" w:rsidRDefault="0095318C" w:rsidP="00DC1333">
            <w:pPr>
              <w:spacing w:after="40"/>
              <w:rPr>
                <w:b/>
                <w:sz w:val="16"/>
                <w:szCs w:val="16"/>
              </w:rPr>
            </w:pPr>
            <w:r>
              <w:rPr>
                <w:b/>
                <w:sz w:val="16"/>
                <w:szCs w:val="16"/>
              </w:rPr>
              <w:t>Objetivo</w:t>
            </w:r>
            <w:r w:rsidRPr="003C4694">
              <w:rPr>
                <w:b/>
                <w:sz w:val="16"/>
                <w:szCs w:val="16"/>
              </w:rPr>
              <w:t>s</w:t>
            </w:r>
          </w:p>
        </w:tc>
        <w:tc>
          <w:tcPr>
            <w:tcW w:w="2269" w:type="dxa"/>
            <w:gridSpan w:val="3"/>
            <w:tcBorders>
              <w:top w:val="single" w:sz="4" w:space="0" w:color="auto"/>
            </w:tcBorders>
            <w:shd w:val="clear" w:color="auto" w:fill="FFFFFF"/>
            <w:tcMar>
              <w:top w:w="110" w:type="dxa"/>
            </w:tcMar>
            <w:vAlign w:val="center"/>
          </w:tcPr>
          <w:p w:rsidR="0095318C" w:rsidRPr="00D0340B" w:rsidRDefault="0095318C" w:rsidP="00DC1333">
            <w:pPr>
              <w:spacing w:after="40"/>
              <w:rPr>
                <w:sz w:val="16"/>
                <w:szCs w:val="16"/>
              </w:rPr>
            </w:pPr>
            <w:r>
              <w:rPr>
                <w:b/>
                <w:bCs/>
                <w:sz w:val="16"/>
                <w:szCs w:val="16"/>
              </w:rPr>
              <w:t>Datos sobre el rendimiento</w:t>
            </w:r>
          </w:p>
        </w:tc>
        <w:tc>
          <w:tcPr>
            <w:tcW w:w="1418" w:type="dxa"/>
            <w:gridSpan w:val="2"/>
            <w:tcBorders>
              <w:top w:val="single" w:sz="4" w:space="0" w:color="auto"/>
            </w:tcBorders>
            <w:shd w:val="clear" w:color="auto" w:fill="auto"/>
            <w:tcMar>
              <w:top w:w="110" w:type="dxa"/>
            </w:tcMar>
            <w:vAlign w:val="center"/>
          </w:tcPr>
          <w:p w:rsidR="0095318C" w:rsidRPr="00D0340B" w:rsidRDefault="0095318C" w:rsidP="00DC1333">
            <w:pPr>
              <w:keepNext/>
              <w:keepLines/>
              <w:spacing w:after="40"/>
              <w:jc w:val="center"/>
              <w:rPr>
                <w:b/>
                <w:bCs/>
                <w:sz w:val="16"/>
                <w:szCs w:val="16"/>
              </w:rPr>
            </w:pPr>
            <w:r>
              <w:rPr>
                <w:b/>
                <w:bCs/>
                <w:sz w:val="16"/>
                <w:szCs w:val="16"/>
              </w:rPr>
              <w:t>Clave de los colores</w:t>
            </w:r>
          </w:p>
        </w:tc>
      </w:tr>
      <w:tr w:rsidR="0095318C" w:rsidRPr="0044627C" w:rsidTr="00DC1333">
        <w:tc>
          <w:tcPr>
            <w:tcW w:w="2123" w:type="dxa"/>
            <w:gridSpan w:val="2"/>
            <w:shd w:val="clear" w:color="auto" w:fill="FFFFFF"/>
          </w:tcPr>
          <w:p w:rsidR="0095318C" w:rsidRPr="00017A5E" w:rsidRDefault="0095318C" w:rsidP="00DC1333">
            <w:pPr>
              <w:rPr>
                <w:sz w:val="16"/>
                <w:szCs w:val="16"/>
                <w:lang w:bidi="th-TH"/>
              </w:rPr>
            </w:pPr>
            <w:r w:rsidRPr="00017A5E">
              <w:rPr>
                <w:sz w:val="16"/>
                <w:szCs w:val="16"/>
                <w:lang w:bidi="th-TH"/>
              </w:rPr>
              <w:t>Porcentaje de participantes en actividades de la OMPI que se muestran satisfechos del contenido y la organización de dichos actos</w:t>
            </w:r>
          </w:p>
        </w:tc>
        <w:tc>
          <w:tcPr>
            <w:tcW w:w="1987" w:type="dxa"/>
            <w:gridSpan w:val="2"/>
            <w:shd w:val="clear" w:color="auto" w:fill="auto"/>
          </w:tcPr>
          <w:p w:rsidR="0095318C" w:rsidRPr="00530AAE" w:rsidRDefault="0095318C" w:rsidP="00DC1333">
            <w:pPr>
              <w:rPr>
                <w:i/>
                <w:sz w:val="16"/>
                <w:szCs w:val="16"/>
              </w:rPr>
            </w:pPr>
            <w:r w:rsidRPr="00530AAE">
              <w:rPr>
                <w:i/>
                <w:sz w:val="16"/>
                <w:szCs w:val="16"/>
              </w:rPr>
              <w:t xml:space="preserve">Referencia actualizada a fines de 2013: </w:t>
            </w:r>
          </w:p>
          <w:p w:rsidR="0095318C" w:rsidRPr="00530AAE" w:rsidRDefault="0095318C" w:rsidP="00DC1333">
            <w:pPr>
              <w:rPr>
                <w:sz w:val="16"/>
                <w:szCs w:val="16"/>
              </w:rPr>
            </w:pPr>
            <w:r w:rsidRPr="00530AAE">
              <w:rPr>
                <w:sz w:val="16"/>
                <w:szCs w:val="16"/>
              </w:rPr>
              <w:t>Asia y el Pacífico (65%);  PMA (60%)</w:t>
            </w:r>
          </w:p>
          <w:p w:rsidR="0095318C" w:rsidRPr="00530AAE" w:rsidRDefault="0095318C" w:rsidP="00DC1333">
            <w:pPr>
              <w:rPr>
                <w:i/>
                <w:sz w:val="16"/>
                <w:szCs w:val="16"/>
                <w:lang w:bidi="th-TH"/>
              </w:rPr>
            </w:pPr>
          </w:p>
          <w:p w:rsidR="0095318C" w:rsidRPr="00530AAE" w:rsidRDefault="0095318C" w:rsidP="00DC1333">
            <w:pPr>
              <w:rPr>
                <w:sz w:val="16"/>
                <w:szCs w:val="16"/>
                <w:lang w:bidi="th-TH"/>
              </w:rPr>
            </w:pPr>
            <w:r w:rsidRPr="00530AAE">
              <w:rPr>
                <w:i/>
                <w:sz w:val="16"/>
                <w:szCs w:val="16"/>
                <w:lang w:bidi="th-TH"/>
              </w:rPr>
              <w:t>Referencia original en el presupuesto 2014/15:</w:t>
            </w:r>
            <w:r>
              <w:rPr>
                <w:sz w:val="16"/>
                <w:szCs w:val="16"/>
                <w:lang w:bidi="th-TH"/>
              </w:rPr>
              <w:t xml:space="preserve">  </w:t>
            </w:r>
            <w:r w:rsidRPr="00992AF7">
              <w:rPr>
                <w:sz w:val="16"/>
                <w:szCs w:val="16"/>
                <w:lang w:bidi="th-TH"/>
              </w:rPr>
              <w:t>No se dispone de datos</w:t>
            </w:r>
          </w:p>
          <w:p w:rsidR="0095318C" w:rsidRPr="00530AAE" w:rsidRDefault="0095318C" w:rsidP="00DC1333">
            <w:pPr>
              <w:rPr>
                <w:sz w:val="16"/>
                <w:szCs w:val="16"/>
                <w:lang w:bidi="th-TH"/>
              </w:rPr>
            </w:pPr>
          </w:p>
        </w:tc>
        <w:tc>
          <w:tcPr>
            <w:tcW w:w="1701" w:type="dxa"/>
            <w:gridSpan w:val="3"/>
            <w:shd w:val="clear" w:color="auto" w:fill="auto"/>
            <w:tcMar>
              <w:top w:w="110" w:type="dxa"/>
            </w:tcMar>
          </w:tcPr>
          <w:p w:rsidR="0095318C" w:rsidRPr="00530AAE" w:rsidRDefault="0095318C" w:rsidP="00DC1333">
            <w:pPr>
              <w:rPr>
                <w:sz w:val="16"/>
                <w:szCs w:val="16"/>
                <w:lang w:bidi="th-TH"/>
              </w:rPr>
            </w:pPr>
            <w:r w:rsidRPr="00530AAE">
              <w:rPr>
                <w:sz w:val="16"/>
                <w:szCs w:val="16"/>
                <w:lang w:bidi="th-TH"/>
              </w:rPr>
              <w:t>África (70%)</w:t>
            </w:r>
          </w:p>
          <w:p w:rsidR="0095318C" w:rsidRPr="00530AAE" w:rsidRDefault="0095318C" w:rsidP="00DC1333">
            <w:pPr>
              <w:rPr>
                <w:sz w:val="16"/>
                <w:szCs w:val="16"/>
                <w:lang w:bidi="th-TH"/>
              </w:rPr>
            </w:pPr>
          </w:p>
          <w:p w:rsidR="0095318C" w:rsidRPr="00530AAE" w:rsidRDefault="0095318C" w:rsidP="00DC1333">
            <w:pPr>
              <w:rPr>
                <w:sz w:val="16"/>
                <w:szCs w:val="16"/>
                <w:lang w:bidi="th-TH"/>
              </w:rPr>
            </w:pPr>
          </w:p>
          <w:p w:rsidR="0095318C" w:rsidRPr="00530AAE" w:rsidRDefault="0095318C" w:rsidP="00DC1333">
            <w:pPr>
              <w:rPr>
                <w:sz w:val="16"/>
                <w:szCs w:val="16"/>
                <w:lang w:bidi="th-TH"/>
              </w:rPr>
            </w:pPr>
            <w:r w:rsidRPr="00530AAE">
              <w:rPr>
                <w:sz w:val="16"/>
                <w:szCs w:val="16"/>
                <w:lang w:bidi="th-TH"/>
              </w:rPr>
              <w:t>Región árabe (80%)</w:t>
            </w:r>
          </w:p>
          <w:p w:rsidR="0095318C" w:rsidRPr="00530AAE" w:rsidRDefault="0095318C" w:rsidP="00DC1333">
            <w:pPr>
              <w:rPr>
                <w:sz w:val="16"/>
                <w:szCs w:val="16"/>
                <w:lang w:bidi="th-TH"/>
              </w:rPr>
            </w:pPr>
          </w:p>
          <w:p w:rsidR="0095318C" w:rsidRPr="00530AAE" w:rsidRDefault="0095318C" w:rsidP="00DC1333">
            <w:pPr>
              <w:rPr>
                <w:sz w:val="16"/>
                <w:szCs w:val="16"/>
                <w:lang w:bidi="th-TH"/>
              </w:rPr>
            </w:pPr>
          </w:p>
          <w:p w:rsidR="0095318C" w:rsidRPr="00530AAE" w:rsidRDefault="0095318C" w:rsidP="00DC1333">
            <w:pPr>
              <w:rPr>
                <w:sz w:val="16"/>
                <w:szCs w:val="16"/>
                <w:lang w:bidi="th-TH"/>
              </w:rPr>
            </w:pPr>
            <w:r w:rsidRPr="00530AAE">
              <w:rPr>
                <w:sz w:val="16"/>
                <w:szCs w:val="16"/>
                <w:lang w:bidi="th-TH"/>
              </w:rPr>
              <w:t>Asia y el Pacífico (65%)</w:t>
            </w:r>
          </w:p>
          <w:p w:rsidR="0095318C" w:rsidRPr="00530AAE" w:rsidRDefault="0095318C" w:rsidP="00DC1333">
            <w:pPr>
              <w:rPr>
                <w:sz w:val="16"/>
                <w:szCs w:val="16"/>
                <w:lang w:bidi="th-TH"/>
              </w:rPr>
            </w:pPr>
          </w:p>
          <w:p w:rsidR="0095318C" w:rsidRPr="00530AAE" w:rsidRDefault="0095318C" w:rsidP="00DC1333">
            <w:pPr>
              <w:rPr>
                <w:sz w:val="16"/>
                <w:szCs w:val="16"/>
                <w:lang w:bidi="th-TH"/>
              </w:rPr>
            </w:pPr>
          </w:p>
          <w:p w:rsidR="0095318C" w:rsidRPr="00530AAE" w:rsidRDefault="0095318C" w:rsidP="00DC1333">
            <w:pPr>
              <w:rPr>
                <w:sz w:val="16"/>
                <w:szCs w:val="16"/>
                <w:lang w:bidi="th-TH"/>
              </w:rPr>
            </w:pPr>
            <w:r w:rsidRPr="00530AAE">
              <w:rPr>
                <w:sz w:val="16"/>
                <w:szCs w:val="16"/>
                <w:lang w:bidi="th-TH"/>
              </w:rPr>
              <w:t>América Latina y el Caribe (80%)</w:t>
            </w:r>
          </w:p>
          <w:p w:rsidR="0095318C" w:rsidRPr="00530AAE" w:rsidRDefault="0095318C" w:rsidP="00DC1333">
            <w:pPr>
              <w:rPr>
                <w:sz w:val="16"/>
                <w:szCs w:val="16"/>
                <w:lang w:bidi="th-TH"/>
              </w:rPr>
            </w:pPr>
          </w:p>
          <w:p w:rsidR="0095318C" w:rsidRPr="00530AAE" w:rsidRDefault="0095318C" w:rsidP="00DC1333">
            <w:pPr>
              <w:rPr>
                <w:sz w:val="16"/>
                <w:szCs w:val="16"/>
                <w:lang w:bidi="th-TH"/>
              </w:rPr>
            </w:pPr>
          </w:p>
          <w:p w:rsidR="0095318C" w:rsidRPr="003C4694" w:rsidRDefault="0095318C" w:rsidP="00DC1333">
            <w:pPr>
              <w:rPr>
                <w:sz w:val="16"/>
                <w:szCs w:val="16"/>
                <w:lang w:bidi="th-TH"/>
              </w:rPr>
            </w:pPr>
            <w:r>
              <w:rPr>
                <w:sz w:val="16"/>
                <w:szCs w:val="16"/>
                <w:lang w:bidi="th-TH"/>
              </w:rPr>
              <w:t>PMA</w:t>
            </w:r>
            <w:r w:rsidRPr="003C4694">
              <w:rPr>
                <w:sz w:val="16"/>
                <w:szCs w:val="16"/>
                <w:lang w:bidi="th-TH"/>
              </w:rPr>
              <w:t xml:space="preserve"> (80%)</w:t>
            </w:r>
          </w:p>
          <w:p w:rsidR="0095318C" w:rsidRPr="003C4694" w:rsidRDefault="0095318C" w:rsidP="00DC1333">
            <w:pPr>
              <w:rPr>
                <w:sz w:val="16"/>
                <w:szCs w:val="16"/>
                <w:lang w:bidi="th-TH"/>
              </w:rPr>
            </w:pPr>
          </w:p>
        </w:tc>
        <w:tc>
          <w:tcPr>
            <w:tcW w:w="2269" w:type="dxa"/>
            <w:gridSpan w:val="3"/>
            <w:shd w:val="clear" w:color="auto" w:fill="FFFFFF"/>
            <w:tcMar>
              <w:top w:w="110" w:type="dxa"/>
            </w:tcMar>
          </w:tcPr>
          <w:p w:rsidR="0095318C" w:rsidRPr="00530AAE" w:rsidRDefault="0095318C" w:rsidP="00DC1333">
            <w:pPr>
              <w:rPr>
                <w:sz w:val="16"/>
                <w:szCs w:val="16"/>
                <w:lang w:bidi="th-TH"/>
              </w:rPr>
            </w:pPr>
            <w:r w:rsidRPr="00530AAE">
              <w:rPr>
                <w:sz w:val="16"/>
                <w:szCs w:val="16"/>
                <w:lang w:bidi="th-TH"/>
              </w:rPr>
              <w:t>África (75%)</w:t>
            </w:r>
          </w:p>
          <w:p w:rsidR="0095318C" w:rsidRPr="00530AAE" w:rsidRDefault="0095318C" w:rsidP="00DC1333">
            <w:pPr>
              <w:rPr>
                <w:sz w:val="16"/>
                <w:szCs w:val="16"/>
                <w:lang w:bidi="th-TH"/>
              </w:rPr>
            </w:pPr>
          </w:p>
          <w:p w:rsidR="0095318C" w:rsidRPr="00530AAE" w:rsidRDefault="0095318C" w:rsidP="00DC1333">
            <w:pPr>
              <w:rPr>
                <w:sz w:val="16"/>
                <w:szCs w:val="16"/>
                <w:lang w:bidi="th-TH"/>
              </w:rPr>
            </w:pPr>
          </w:p>
          <w:p w:rsidR="0095318C" w:rsidRPr="00530AAE" w:rsidRDefault="0095318C" w:rsidP="00DC1333">
            <w:pPr>
              <w:rPr>
                <w:sz w:val="16"/>
                <w:szCs w:val="16"/>
                <w:lang w:bidi="th-TH"/>
              </w:rPr>
            </w:pPr>
            <w:r w:rsidRPr="00530AAE">
              <w:rPr>
                <w:sz w:val="16"/>
                <w:szCs w:val="16"/>
                <w:lang w:bidi="th-TH"/>
              </w:rPr>
              <w:t xml:space="preserve">Región árabe (90%) </w:t>
            </w:r>
          </w:p>
          <w:p w:rsidR="0095318C" w:rsidRPr="00530AAE" w:rsidRDefault="0095318C" w:rsidP="00DC1333">
            <w:pPr>
              <w:rPr>
                <w:sz w:val="16"/>
                <w:szCs w:val="16"/>
                <w:lang w:bidi="th-TH"/>
              </w:rPr>
            </w:pPr>
          </w:p>
          <w:p w:rsidR="0095318C" w:rsidRPr="00530AAE" w:rsidRDefault="0095318C" w:rsidP="00DC1333">
            <w:pPr>
              <w:rPr>
                <w:sz w:val="16"/>
                <w:szCs w:val="16"/>
                <w:lang w:bidi="th-TH"/>
              </w:rPr>
            </w:pPr>
          </w:p>
          <w:p w:rsidR="0095318C" w:rsidRPr="00530AAE" w:rsidRDefault="0095318C" w:rsidP="00DC1333">
            <w:pPr>
              <w:rPr>
                <w:sz w:val="16"/>
                <w:szCs w:val="16"/>
                <w:lang w:bidi="th-TH"/>
              </w:rPr>
            </w:pPr>
            <w:r w:rsidRPr="00530AAE">
              <w:rPr>
                <w:sz w:val="16"/>
                <w:szCs w:val="16"/>
                <w:lang w:bidi="th-TH"/>
              </w:rPr>
              <w:t>Asia y el Pacífico (95%)</w:t>
            </w:r>
          </w:p>
          <w:p w:rsidR="0095318C" w:rsidRPr="00530AAE" w:rsidRDefault="0095318C" w:rsidP="00DC1333">
            <w:pPr>
              <w:rPr>
                <w:sz w:val="16"/>
                <w:szCs w:val="16"/>
                <w:lang w:bidi="th-TH"/>
              </w:rPr>
            </w:pPr>
          </w:p>
          <w:p w:rsidR="0095318C" w:rsidRPr="00530AAE" w:rsidRDefault="0095318C" w:rsidP="00DC1333">
            <w:pPr>
              <w:rPr>
                <w:sz w:val="16"/>
                <w:szCs w:val="16"/>
                <w:lang w:bidi="th-TH"/>
              </w:rPr>
            </w:pPr>
          </w:p>
          <w:p w:rsidR="0095318C" w:rsidRPr="00530AAE" w:rsidRDefault="0095318C" w:rsidP="00DC1333">
            <w:pPr>
              <w:rPr>
                <w:sz w:val="16"/>
                <w:szCs w:val="16"/>
                <w:lang w:bidi="th-TH"/>
              </w:rPr>
            </w:pPr>
          </w:p>
          <w:p w:rsidR="0095318C" w:rsidRPr="00530AAE" w:rsidRDefault="0095318C" w:rsidP="00DC1333">
            <w:pPr>
              <w:rPr>
                <w:sz w:val="16"/>
                <w:szCs w:val="16"/>
                <w:lang w:bidi="th-TH"/>
              </w:rPr>
            </w:pPr>
            <w:r w:rsidRPr="00530AAE">
              <w:rPr>
                <w:sz w:val="16"/>
                <w:szCs w:val="16"/>
                <w:lang w:bidi="th-TH"/>
              </w:rPr>
              <w:t xml:space="preserve">América Latina y el Caribe (80%) </w:t>
            </w:r>
          </w:p>
          <w:p w:rsidR="0095318C" w:rsidRPr="00530AAE" w:rsidRDefault="0095318C" w:rsidP="00DC1333">
            <w:pPr>
              <w:rPr>
                <w:sz w:val="16"/>
                <w:szCs w:val="16"/>
                <w:lang w:bidi="th-TH"/>
              </w:rPr>
            </w:pPr>
          </w:p>
          <w:p w:rsidR="0095318C" w:rsidRPr="00530AAE" w:rsidRDefault="0095318C" w:rsidP="00DC1333">
            <w:pPr>
              <w:rPr>
                <w:sz w:val="16"/>
                <w:szCs w:val="16"/>
                <w:lang w:bidi="th-TH"/>
              </w:rPr>
            </w:pPr>
          </w:p>
          <w:p w:rsidR="0095318C" w:rsidRPr="003C4694" w:rsidRDefault="0095318C" w:rsidP="00DC1333">
            <w:pPr>
              <w:rPr>
                <w:sz w:val="16"/>
                <w:szCs w:val="16"/>
                <w:lang w:bidi="th-TH"/>
              </w:rPr>
            </w:pPr>
            <w:r>
              <w:rPr>
                <w:sz w:val="16"/>
                <w:szCs w:val="16"/>
                <w:lang w:bidi="th-TH"/>
              </w:rPr>
              <w:t>PMA</w:t>
            </w:r>
            <w:r w:rsidRPr="003C4694">
              <w:rPr>
                <w:sz w:val="16"/>
                <w:szCs w:val="16"/>
                <w:lang w:bidi="th-TH"/>
              </w:rPr>
              <w:t xml:space="preserve"> (85%) </w:t>
            </w:r>
          </w:p>
          <w:p w:rsidR="0095318C" w:rsidRPr="003C4694" w:rsidRDefault="0095318C" w:rsidP="00DC1333">
            <w:pPr>
              <w:rPr>
                <w:sz w:val="16"/>
                <w:szCs w:val="16"/>
                <w:lang w:bidi="th-TH"/>
              </w:rPr>
            </w:pPr>
          </w:p>
        </w:tc>
        <w:tc>
          <w:tcPr>
            <w:tcW w:w="1418" w:type="dxa"/>
            <w:gridSpan w:val="2"/>
            <w:shd w:val="clear" w:color="auto" w:fill="auto"/>
            <w:tcMar>
              <w:top w:w="110" w:type="dxa"/>
            </w:tcMar>
          </w:tcPr>
          <w:p w:rsidR="0095318C" w:rsidRPr="00017A5E" w:rsidRDefault="0095318C" w:rsidP="00DC1333">
            <w:pPr>
              <w:keepNext/>
              <w:keepLines/>
              <w:jc w:val="center"/>
              <w:rPr>
                <w:b/>
                <w:bCs/>
                <w:color w:val="00B050"/>
                <w:sz w:val="16"/>
                <w:szCs w:val="16"/>
              </w:rPr>
            </w:pPr>
            <w:r w:rsidRPr="004B265E">
              <w:rPr>
                <w:b/>
                <w:bCs/>
                <w:color w:val="00B050"/>
                <w:sz w:val="14"/>
                <w:szCs w:val="14"/>
              </w:rPr>
              <w:t>Plenamente logrado</w:t>
            </w:r>
          </w:p>
          <w:p w:rsidR="0095318C" w:rsidRDefault="0095318C" w:rsidP="00DC1333">
            <w:pPr>
              <w:keepNext/>
              <w:keepLines/>
              <w:jc w:val="center"/>
              <w:rPr>
                <w:b/>
                <w:bCs/>
                <w:color w:val="00B050"/>
                <w:sz w:val="14"/>
                <w:szCs w:val="14"/>
              </w:rPr>
            </w:pPr>
          </w:p>
          <w:p w:rsidR="0095318C" w:rsidRPr="0044627C" w:rsidRDefault="0095318C" w:rsidP="00DC1333">
            <w:pPr>
              <w:keepNext/>
              <w:keepLines/>
              <w:jc w:val="center"/>
              <w:rPr>
                <w:b/>
                <w:bCs/>
                <w:color w:val="00B050"/>
                <w:sz w:val="16"/>
                <w:szCs w:val="16"/>
              </w:rPr>
            </w:pPr>
            <w:r w:rsidRPr="004B265E">
              <w:rPr>
                <w:b/>
                <w:bCs/>
                <w:color w:val="00B050"/>
                <w:sz w:val="14"/>
                <w:szCs w:val="14"/>
              </w:rPr>
              <w:t>Plenamente logrado</w:t>
            </w:r>
          </w:p>
          <w:p w:rsidR="0095318C" w:rsidRDefault="0095318C" w:rsidP="00DC1333">
            <w:pPr>
              <w:keepNext/>
              <w:keepLines/>
              <w:jc w:val="center"/>
              <w:rPr>
                <w:b/>
                <w:bCs/>
                <w:color w:val="00B050"/>
                <w:sz w:val="14"/>
                <w:szCs w:val="14"/>
              </w:rPr>
            </w:pPr>
          </w:p>
          <w:p w:rsidR="0095318C" w:rsidRDefault="0095318C" w:rsidP="00DC1333">
            <w:pPr>
              <w:keepNext/>
              <w:keepLines/>
              <w:jc w:val="center"/>
              <w:rPr>
                <w:b/>
                <w:bCs/>
                <w:color w:val="00B050"/>
                <w:sz w:val="14"/>
                <w:szCs w:val="14"/>
              </w:rPr>
            </w:pPr>
          </w:p>
          <w:p w:rsidR="0095318C" w:rsidRPr="0044627C" w:rsidRDefault="0095318C" w:rsidP="00DC1333">
            <w:pPr>
              <w:keepNext/>
              <w:keepLines/>
              <w:jc w:val="center"/>
              <w:rPr>
                <w:b/>
                <w:bCs/>
                <w:color w:val="00B050"/>
                <w:sz w:val="16"/>
                <w:szCs w:val="16"/>
              </w:rPr>
            </w:pPr>
            <w:r w:rsidRPr="004B265E">
              <w:rPr>
                <w:b/>
                <w:bCs/>
                <w:color w:val="00B050"/>
                <w:sz w:val="14"/>
                <w:szCs w:val="14"/>
              </w:rPr>
              <w:t>Plenamente logrado</w:t>
            </w:r>
          </w:p>
          <w:p w:rsidR="0095318C" w:rsidRPr="0044627C" w:rsidRDefault="0095318C" w:rsidP="00DC1333">
            <w:pPr>
              <w:keepNext/>
              <w:keepLines/>
              <w:jc w:val="center"/>
              <w:rPr>
                <w:b/>
                <w:bCs/>
                <w:color w:val="00B050"/>
                <w:sz w:val="16"/>
                <w:szCs w:val="16"/>
              </w:rPr>
            </w:pPr>
          </w:p>
          <w:p w:rsidR="0095318C" w:rsidRDefault="0095318C" w:rsidP="00DC1333">
            <w:pPr>
              <w:keepNext/>
              <w:keepLines/>
              <w:jc w:val="center"/>
              <w:rPr>
                <w:b/>
                <w:bCs/>
                <w:color w:val="00B050"/>
                <w:sz w:val="14"/>
                <w:szCs w:val="14"/>
              </w:rPr>
            </w:pPr>
          </w:p>
          <w:p w:rsidR="0095318C" w:rsidRDefault="0095318C" w:rsidP="00DC1333">
            <w:pPr>
              <w:keepNext/>
              <w:keepLines/>
              <w:jc w:val="center"/>
              <w:rPr>
                <w:b/>
                <w:bCs/>
                <w:color w:val="00B050"/>
                <w:sz w:val="14"/>
                <w:szCs w:val="14"/>
              </w:rPr>
            </w:pPr>
          </w:p>
          <w:p w:rsidR="0095318C" w:rsidRPr="003C4694" w:rsidRDefault="0095318C" w:rsidP="00DC1333">
            <w:pPr>
              <w:keepNext/>
              <w:keepLines/>
              <w:jc w:val="center"/>
              <w:rPr>
                <w:b/>
                <w:bCs/>
                <w:color w:val="00B050"/>
                <w:sz w:val="16"/>
                <w:szCs w:val="16"/>
              </w:rPr>
            </w:pPr>
            <w:r w:rsidRPr="004B265E">
              <w:rPr>
                <w:b/>
                <w:bCs/>
                <w:color w:val="00B050"/>
                <w:sz w:val="14"/>
                <w:szCs w:val="14"/>
              </w:rPr>
              <w:t>Plenamente logrado</w:t>
            </w:r>
          </w:p>
          <w:p w:rsidR="0095318C" w:rsidRPr="003C4694" w:rsidRDefault="0095318C" w:rsidP="00DC1333">
            <w:pPr>
              <w:keepNext/>
              <w:keepLines/>
              <w:jc w:val="center"/>
              <w:rPr>
                <w:b/>
                <w:bCs/>
                <w:color w:val="00B050"/>
                <w:sz w:val="16"/>
                <w:szCs w:val="16"/>
              </w:rPr>
            </w:pPr>
          </w:p>
          <w:p w:rsidR="0095318C" w:rsidRPr="003C4694" w:rsidRDefault="0095318C" w:rsidP="00DC1333">
            <w:pPr>
              <w:keepNext/>
              <w:keepLines/>
              <w:jc w:val="center"/>
              <w:rPr>
                <w:b/>
                <w:bCs/>
                <w:sz w:val="16"/>
                <w:szCs w:val="16"/>
              </w:rPr>
            </w:pPr>
            <w:r w:rsidRPr="004B265E">
              <w:rPr>
                <w:b/>
                <w:bCs/>
                <w:color w:val="00B050"/>
                <w:sz w:val="14"/>
                <w:szCs w:val="14"/>
              </w:rPr>
              <w:t>Plenamente logrado</w:t>
            </w:r>
          </w:p>
        </w:tc>
      </w:tr>
      <w:tr w:rsidR="0095318C" w:rsidRPr="003C4694" w:rsidTr="00DC1333">
        <w:tc>
          <w:tcPr>
            <w:tcW w:w="1982" w:type="dxa"/>
            <w:shd w:val="clear" w:color="auto" w:fill="FFFFFF"/>
          </w:tcPr>
          <w:p w:rsidR="0095318C" w:rsidRPr="00530AAE" w:rsidRDefault="0095318C" w:rsidP="00DC1333">
            <w:pPr>
              <w:rPr>
                <w:sz w:val="16"/>
                <w:szCs w:val="16"/>
                <w:lang w:bidi="th-TH"/>
              </w:rPr>
            </w:pPr>
            <w:r w:rsidRPr="00530AAE">
              <w:rPr>
                <w:sz w:val="16"/>
                <w:szCs w:val="16"/>
                <w:lang w:bidi="th-TH"/>
              </w:rPr>
              <w:t>Porcentaje de participantes en talleres de la OMPI que aplican las capacidades adquiridas en su labor/empresa</w:t>
            </w:r>
          </w:p>
          <w:p w:rsidR="0095318C" w:rsidRPr="00530AAE" w:rsidRDefault="0095318C" w:rsidP="00DC1333">
            <w:pPr>
              <w:rPr>
                <w:sz w:val="16"/>
                <w:szCs w:val="16"/>
                <w:lang w:bidi="th-TH"/>
              </w:rPr>
            </w:pPr>
          </w:p>
          <w:p w:rsidR="0095318C" w:rsidRPr="00530AAE" w:rsidRDefault="0095318C" w:rsidP="00DC1333">
            <w:pPr>
              <w:rPr>
                <w:sz w:val="16"/>
                <w:szCs w:val="16"/>
                <w:lang w:bidi="th-TH"/>
              </w:rPr>
            </w:pPr>
          </w:p>
          <w:p w:rsidR="0095318C" w:rsidRPr="00530AAE" w:rsidRDefault="0095318C" w:rsidP="00DC1333">
            <w:pPr>
              <w:rPr>
                <w:sz w:val="16"/>
                <w:szCs w:val="16"/>
                <w:lang w:bidi="th-TH"/>
              </w:rPr>
            </w:pPr>
          </w:p>
          <w:p w:rsidR="0095318C" w:rsidRPr="00530AAE" w:rsidRDefault="0095318C" w:rsidP="00DC1333">
            <w:pPr>
              <w:rPr>
                <w:sz w:val="16"/>
                <w:szCs w:val="16"/>
                <w:lang w:bidi="th-TH"/>
              </w:rPr>
            </w:pPr>
          </w:p>
          <w:p w:rsidR="0095318C" w:rsidRPr="00530AAE" w:rsidRDefault="0095318C" w:rsidP="00DC1333">
            <w:pPr>
              <w:rPr>
                <w:sz w:val="16"/>
                <w:szCs w:val="16"/>
                <w:lang w:bidi="th-TH"/>
              </w:rPr>
            </w:pPr>
          </w:p>
          <w:p w:rsidR="0095318C" w:rsidRPr="00530AAE" w:rsidRDefault="0095318C" w:rsidP="00DC1333">
            <w:pPr>
              <w:rPr>
                <w:sz w:val="16"/>
                <w:szCs w:val="16"/>
                <w:lang w:bidi="th-TH"/>
              </w:rPr>
            </w:pPr>
          </w:p>
          <w:p w:rsidR="0095318C" w:rsidRPr="00530AAE" w:rsidRDefault="0095318C" w:rsidP="00DC1333">
            <w:pPr>
              <w:rPr>
                <w:sz w:val="16"/>
                <w:szCs w:val="16"/>
                <w:lang w:bidi="th-TH"/>
              </w:rPr>
            </w:pPr>
          </w:p>
          <w:p w:rsidR="0095318C" w:rsidRPr="00530AAE" w:rsidRDefault="0095318C" w:rsidP="00DC1333">
            <w:pPr>
              <w:rPr>
                <w:sz w:val="16"/>
                <w:szCs w:val="16"/>
                <w:lang w:bidi="th-TH"/>
              </w:rPr>
            </w:pPr>
          </w:p>
          <w:p w:rsidR="0095318C" w:rsidRPr="00530AAE" w:rsidRDefault="0095318C" w:rsidP="00DC1333">
            <w:pPr>
              <w:rPr>
                <w:sz w:val="16"/>
                <w:szCs w:val="16"/>
                <w:lang w:bidi="th-TH"/>
              </w:rPr>
            </w:pPr>
          </w:p>
          <w:p w:rsidR="0095318C" w:rsidRPr="00530AAE" w:rsidRDefault="0095318C" w:rsidP="00DC1333">
            <w:pPr>
              <w:rPr>
                <w:sz w:val="16"/>
                <w:szCs w:val="16"/>
                <w:lang w:bidi="th-TH"/>
              </w:rPr>
            </w:pPr>
          </w:p>
          <w:p w:rsidR="0095318C" w:rsidRPr="00530AAE" w:rsidRDefault="0095318C" w:rsidP="00DC1333">
            <w:pPr>
              <w:rPr>
                <w:sz w:val="16"/>
                <w:szCs w:val="16"/>
                <w:lang w:bidi="th-TH"/>
              </w:rPr>
            </w:pPr>
          </w:p>
          <w:p w:rsidR="0095318C" w:rsidRPr="00530AAE" w:rsidRDefault="0095318C" w:rsidP="00DC1333">
            <w:pPr>
              <w:rPr>
                <w:sz w:val="16"/>
                <w:szCs w:val="16"/>
                <w:lang w:bidi="th-TH"/>
              </w:rPr>
            </w:pPr>
          </w:p>
          <w:p w:rsidR="0095318C" w:rsidRPr="00530AAE" w:rsidRDefault="0095318C" w:rsidP="00DC1333">
            <w:pPr>
              <w:rPr>
                <w:sz w:val="16"/>
                <w:szCs w:val="16"/>
                <w:lang w:bidi="th-TH"/>
              </w:rPr>
            </w:pPr>
          </w:p>
          <w:p w:rsidR="0095318C" w:rsidRPr="00530AAE" w:rsidRDefault="0095318C" w:rsidP="00DC1333">
            <w:pPr>
              <w:rPr>
                <w:sz w:val="16"/>
                <w:szCs w:val="16"/>
                <w:lang w:bidi="th-TH"/>
              </w:rPr>
            </w:pPr>
          </w:p>
          <w:p w:rsidR="0095318C" w:rsidRPr="00530AAE" w:rsidRDefault="0095318C" w:rsidP="00DC1333">
            <w:pPr>
              <w:rPr>
                <w:sz w:val="16"/>
                <w:szCs w:val="16"/>
                <w:lang w:bidi="th-TH"/>
              </w:rPr>
            </w:pPr>
          </w:p>
        </w:tc>
        <w:tc>
          <w:tcPr>
            <w:tcW w:w="2128" w:type="dxa"/>
            <w:gridSpan w:val="3"/>
            <w:shd w:val="clear" w:color="auto" w:fill="auto"/>
          </w:tcPr>
          <w:p w:rsidR="0095318C" w:rsidRPr="00530AAE" w:rsidRDefault="0095318C" w:rsidP="00DC1333">
            <w:pPr>
              <w:rPr>
                <w:sz w:val="16"/>
                <w:szCs w:val="16"/>
              </w:rPr>
            </w:pPr>
            <w:r w:rsidRPr="00530AAE">
              <w:rPr>
                <w:i/>
                <w:sz w:val="16"/>
                <w:szCs w:val="16"/>
              </w:rPr>
              <w:lastRenderedPageBreak/>
              <w:t xml:space="preserve">Referencia actualizada a fines de 2013:  </w:t>
            </w:r>
            <w:r>
              <w:rPr>
                <w:sz w:val="16"/>
                <w:szCs w:val="16"/>
              </w:rPr>
              <w:t>África:  información no disponible</w:t>
            </w:r>
          </w:p>
          <w:p w:rsidR="0095318C" w:rsidRPr="00C974FE" w:rsidRDefault="0095318C" w:rsidP="00DC1333">
            <w:pPr>
              <w:rPr>
                <w:sz w:val="16"/>
                <w:szCs w:val="16"/>
              </w:rPr>
            </w:pPr>
            <w:r w:rsidRPr="00C974FE">
              <w:rPr>
                <w:sz w:val="16"/>
                <w:szCs w:val="16"/>
              </w:rPr>
              <w:t>Región árabe:  información no disponible</w:t>
            </w:r>
          </w:p>
          <w:p w:rsidR="0095318C" w:rsidRPr="00C974FE" w:rsidRDefault="0095318C" w:rsidP="00DC1333">
            <w:pPr>
              <w:rPr>
                <w:sz w:val="16"/>
                <w:szCs w:val="16"/>
              </w:rPr>
            </w:pPr>
            <w:r w:rsidRPr="00C974FE">
              <w:rPr>
                <w:sz w:val="16"/>
                <w:szCs w:val="16"/>
              </w:rPr>
              <w:t xml:space="preserve">Asia y el Pacífico:  65%;  </w:t>
            </w:r>
            <w:r w:rsidRPr="00C974FE">
              <w:rPr>
                <w:sz w:val="16"/>
                <w:szCs w:val="16"/>
              </w:rPr>
              <w:lastRenderedPageBreak/>
              <w:t xml:space="preserve">América Latina y el Caribe: </w:t>
            </w:r>
            <w:r>
              <w:rPr>
                <w:sz w:val="16"/>
                <w:szCs w:val="16"/>
              </w:rPr>
              <w:t xml:space="preserve"> información no disponi</w:t>
            </w:r>
            <w:r w:rsidRPr="00C974FE">
              <w:rPr>
                <w:sz w:val="16"/>
                <w:szCs w:val="16"/>
              </w:rPr>
              <w:t>ble;</w:t>
            </w:r>
          </w:p>
          <w:p w:rsidR="0095318C" w:rsidRPr="00C974FE" w:rsidRDefault="0095318C" w:rsidP="00DC1333">
            <w:pPr>
              <w:rPr>
                <w:sz w:val="16"/>
                <w:szCs w:val="16"/>
              </w:rPr>
            </w:pPr>
            <w:r w:rsidRPr="00C974FE">
              <w:rPr>
                <w:sz w:val="16"/>
                <w:szCs w:val="16"/>
              </w:rPr>
              <w:t>PMA:  información no disponible</w:t>
            </w:r>
          </w:p>
          <w:p w:rsidR="0095318C" w:rsidRPr="00C974FE" w:rsidRDefault="0095318C" w:rsidP="00DC1333">
            <w:pPr>
              <w:rPr>
                <w:i/>
                <w:sz w:val="16"/>
                <w:szCs w:val="16"/>
                <w:lang w:bidi="th-TH"/>
              </w:rPr>
            </w:pPr>
          </w:p>
          <w:p w:rsidR="0095318C" w:rsidRPr="00D83355" w:rsidRDefault="0095318C" w:rsidP="00DC1333">
            <w:pPr>
              <w:rPr>
                <w:sz w:val="16"/>
                <w:szCs w:val="16"/>
                <w:lang w:bidi="th-TH"/>
              </w:rPr>
            </w:pPr>
            <w:r w:rsidRPr="00804C04">
              <w:rPr>
                <w:i/>
                <w:sz w:val="16"/>
                <w:szCs w:val="16"/>
                <w:lang w:bidi="th-TH"/>
              </w:rPr>
              <w:t xml:space="preserve">Referencia original </w:t>
            </w:r>
            <w:proofErr w:type="spellStart"/>
            <w:r w:rsidRPr="00804C04">
              <w:rPr>
                <w:i/>
                <w:sz w:val="16"/>
                <w:szCs w:val="16"/>
                <w:lang w:bidi="th-TH"/>
              </w:rPr>
              <w:t>Presup</w:t>
            </w:r>
            <w:proofErr w:type="spellEnd"/>
            <w:r w:rsidRPr="00804C04">
              <w:rPr>
                <w:i/>
                <w:sz w:val="16"/>
                <w:szCs w:val="16"/>
                <w:lang w:bidi="th-TH"/>
              </w:rPr>
              <w:t xml:space="preserve">. por </w:t>
            </w:r>
            <w:proofErr w:type="spellStart"/>
            <w:r w:rsidRPr="00804C04">
              <w:rPr>
                <w:i/>
                <w:sz w:val="16"/>
                <w:szCs w:val="16"/>
                <w:lang w:bidi="th-TH"/>
              </w:rPr>
              <w:t>prog</w:t>
            </w:r>
            <w:proofErr w:type="spellEnd"/>
            <w:r w:rsidRPr="00804C04">
              <w:rPr>
                <w:i/>
                <w:sz w:val="16"/>
                <w:szCs w:val="16"/>
                <w:lang w:bidi="th-TH"/>
              </w:rPr>
              <w:t xml:space="preserve">. </w:t>
            </w:r>
            <w:r w:rsidRPr="00992AF7">
              <w:rPr>
                <w:i/>
                <w:sz w:val="16"/>
                <w:szCs w:val="16"/>
                <w:lang w:bidi="th-TH"/>
              </w:rPr>
              <w:t>2014/15:</w:t>
            </w:r>
            <w:r w:rsidRPr="00D83355">
              <w:rPr>
                <w:sz w:val="16"/>
                <w:szCs w:val="16"/>
                <w:lang w:bidi="th-TH"/>
              </w:rPr>
              <w:t xml:space="preserve">  África:  información no disponible;</w:t>
            </w:r>
          </w:p>
          <w:p w:rsidR="0095318C" w:rsidRPr="003C4694" w:rsidRDefault="0095318C" w:rsidP="00DC1333">
            <w:pPr>
              <w:rPr>
                <w:sz w:val="16"/>
                <w:szCs w:val="16"/>
                <w:lang w:bidi="th-TH"/>
              </w:rPr>
            </w:pPr>
            <w:r w:rsidRPr="00D83355">
              <w:rPr>
                <w:sz w:val="16"/>
                <w:szCs w:val="16"/>
                <w:lang w:bidi="th-TH"/>
              </w:rPr>
              <w:t>Región árabe:  información no disponi</w:t>
            </w:r>
            <w:r>
              <w:rPr>
                <w:sz w:val="16"/>
                <w:szCs w:val="16"/>
                <w:lang w:bidi="th-TH"/>
              </w:rPr>
              <w:t>ble;  Asia y el Pacífico (65%);  América Latina y el Caribe:  i</w:t>
            </w:r>
            <w:r w:rsidRPr="00D83355">
              <w:rPr>
                <w:sz w:val="16"/>
                <w:szCs w:val="16"/>
                <w:lang w:bidi="th-TH"/>
              </w:rPr>
              <w:t>nforma</w:t>
            </w:r>
            <w:r>
              <w:rPr>
                <w:sz w:val="16"/>
                <w:szCs w:val="16"/>
                <w:lang w:bidi="th-TH"/>
              </w:rPr>
              <w:t>ción no disponible;  PMA:  información no disponi</w:t>
            </w:r>
            <w:r w:rsidRPr="003C4694">
              <w:rPr>
                <w:sz w:val="16"/>
                <w:szCs w:val="16"/>
                <w:lang w:bidi="th-TH"/>
              </w:rPr>
              <w:t>ble</w:t>
            </w:r>
          </w:p>
          <w:p w:rsidR="0095318C" w:rsidRPr="003C4694" w:rsidRDefault="0095318C" w:rsidP="00DC1333">
            <w:pPr>
              <w:rPr>
                <w:i/>
                <w:sz w:val="16"/>
                <w:szCs w:val="16"/>
              </w:rPr>
            </w:pPr>
          </w:p>
        </w:tc>
        <w:tc>
          <w:tcPr>
            <w:tcW w:w="1701" w:type="dxa"/>
            <w:gridSpan w:val="3"/>
            <w:shd w:val="clear" w:color="auto" w:fill="auto"/>
            <w:tcMar>
              <w:top w:w="110" w:type="dxa"/>
            </w:tcMar>
          </w:tcPr>
          <w:p w:rsidR="0095318C" w:rsidRPr="00530AAE" w:rsidRDefault="0095318C" w:rsidP="00DC1333">
            <w:pPr>
              <w:rPr>
                <w:sz w:val="16"/>
                <w:szCs w:val="16"/>
                <w:lang w:bidi="th-TH"/>
              </w:rPr>
            </w:pPr>
            <w:r w:rsidRPr="00530AAE">
              <w:rPr>
                <w:sz w:val="16"/>
                <w:szCs w:val="16"/>
                <w:lang w:bidi="th-TH"/>
              </w:rPr>
              <w:lastRenderedPageBreak/>
              <w:t>África (70%)</w:t>
            </w:r>
          </w:p>
          <w:p w:rsidR="0095318C" w:rsidRPr="00530AAE" w:rsidRDefault="0095318C" w:rsidP="00DC1333">
            <w:pPr>
              <w:rPr>
                <w:sz w:val="16"/>
                <w:szCs w:val="16"/>
                <w:lang w:bidi="th-TH"/>
              </w:rPr>
            </w:pPr>
          </w:p>
          <w:p w:rsidR="0095318C" w:rsidRPr="00530AAE" w:rsidRDefault="0095318C" w:rsidP="00DC1333">
            <w:pPr>
              <w:rPr>
                <w:sz w:val="16"/>
                <w:szCs w:val="16"/>
                <w:lang w:bidi="th-TH"/>
              </w:rPr>
            </w:pPr>
          </w:p>
          <w:p w:rsidR="0095318C" w:rsidRPr="00530AAE" w:rsidRDefault="0095318C" w:rsidP="00DC1333">
            <w:pPr>
              <w:rPr>
                <w:sz w:val="16"/>
                <w:szCs w:val="16"/>
                <w:lang w:bidi="th-TH"/>
              </w:rPr>
            </w:pPr>
            <w:r w:rsidRPr="00530AAE">
              <w:rPr>
                <w:sz w:val="16"/>
                <w:szCs w:val="16"/>
                <w:lang w:bidi="th-TH"/>
              </w:rPr>
              <w:t>Región árabe (70%)</w:t>
            </w:r>
          </w:p>
          <w:p w:rsidR="0095318C" w:rsidRPr="00530AAE" w:rsidRDefault="0095318C" w:rsidP="00DC1333">
            <w:pPr>
              <w:rPr>
                <w:sz w:val="16"/>
                <w:szCs w:val="16"/>
                <w:lang w:bidi="th-TH"/>
              </w:rPr>
            </w:pPr>
          </w:p>
          <w:p w:rsidR="0095318C" w:rsidRPr="00530AAE" w:rsidRDefault="0095318C" w:rsidP="00DC1333">
            <w:pPr>
              <w:rPr>
                <w:sz w:val="16"/>
                <w:szCs w:val="16"/>
                <w:lang w:bidi="th-TH"/>
              </w:rPr>
            </w:pPr>
          </w:p>
          <w:p w:rsidR="0095318C" w:rsidRPr="00530AAE" w:rsidRDefault="0095318C" w:rsidP="00DC1333">
            <w:pPr>
              <w:rPr>
                <w:sz w:val="16"/>
                <w:szCs w:val="16"/>
                <w:lang w:bidi="th-TH"/>
              </w:rPr>
            </w:pPr>
            <w:r w:rsidRPr="00530AAE">
              <w:rPr>
                <w:sz w:val="16"/>
                <w:szCs w:val="16"/>
                <w:lang w:bidi="th-TH"/>
              </w:rPr>
              <w:lastRenderedPageBreak/>
              <w:t>Asia y el Pacífico (65%)</w:t>
            </w:r>
          </w:p>
          <w:p w:rsidR="0095318C" w:rsidRPr="00530AAE" w:rsidRDefault="0095318C" w:rsidP="00DC1333">
            <w:pPr>
              <w:rPr>
                <w:sz w:val="16"/>
                <w:szCs w:val="16"/>
                <w:lang w:bidi="th-TH"/>
              </w:rPr>
            </w:pPr>
          </w:p>
          <w:p w:rsidR="0095318C" w:rsidRPr="00530AAE" w:rsidRDefault="0095318C" w:rsidP="00DC1333">
            <w:pPr>
              <w:rPr>
                <w:sz w:val="16"/>
                <w:szCs w:val="16"/>
                <w:lang w:bidi="th-TH"/>
              </w:rPr>
            </w:pPr>
            <w:r w:rsidRPr="00530AAE">
              <w:rPr>
                <w:sz w:val="16"/>
                <w:szCs w:val="16"/>
                <w:lang w:bidi="th-TH"/>
              </w:rPr>
              <w:t>América Latina y el Caribe (30%)</w:t>
            </w:r>
          </w:p>
          <w:p w:rsidR="0095318C" w:rsidRPr="00530AAE" w:rsidRDefault="0095318C" w:rsidP="00DC1333">
            <w:pPr>
              <w:rPr>
                <w:sz w:val="16"/>
                <w:szCs w:val="16"/>
                <w:lang w:bidi="th-TH"/>
              </w:rPr>
            </w:pPr>
          </w:p>
          <w:p w:rsidR="0095318C" w:rsidRPr="00530AAE" w:rsidRDefault="0095318C" w:rsidP="00DC1333">
            <w:pPr>
              <w:rPr>
                <w:sz w:val="16"/>
                <w:szCs w:val="16"/>
                <w:lang w:bidi="th-TH"/>
              </w:rPr>
            </w:pPr>
          </w:p>
          <w:p w:rsidR="0095318C" w:rsidRPr="00530AAE" w:rsidRDefault="0095318C" w:rsidP="00DC1333">
            <w:pPr>
              <w:rPr>
                <w:sz w:val="16"/>
                <w:szCs w:val="16"/>
                <w:lang w:bidi="th-TH"/>
              </w:rPr>
            </w:pPr>
          </w:p>
          <w:p w:rsidR="0095318C" w:rsidRPr="003C4694" w:rsidRDefault="0095318C" w:rsidP="00DC1333">
            <w:pPr>
              <w:rPr>
                <w:sz w:val="16"/>
                <w:szCs w:val="16"/>
                <w:lang w:bidi="th-TH"/>
              </w:rPr>
            </w:pPr>
            <w:r>
              <w:rPr>
                <w:sz w:val="16"/>
                <w:szCs w:val="16"/>
                <w:lang w:bidi="th-TH"/>
              </w:rPr>
              <w:t>PMA</w:t>
            </w:r>
            <w:r w:rsidRPr="003C4694">
              <w:rPr>
                <w:sz w:val="16"/>
                <w:szCs w:val="16"/>
                <w:lang w:bidi="th-TH"/>
              </w:rPr>
              <w:t xml:space="preserve"> (80%)</w:t>
            </w:r>
          </w:p>
          <w:p w:rsidR="0095318C" w:rsidRPr="003C4694" w:rsidRDefault="0095318C" w:rsidP="00DC1333">
            <w:pPr>
              <w:rPr>
                <w:sz w:val="16"/>
                <w:szCs w:val="16"/>
                <w:lang w:bidi="th-TH"/>
              </w:rPr>
            </w:pPr>
          </w:p>
          <w:p w:rsidR="0095318C" w:rsidRPr="003C4694" w:rsidRDefault="0095318C" w:rsidP="00DC1333">
            <w:pPr>
              <w:rPr>
                <w:sz w:val="16"/>
                <w:szCs w:val="16"/>
                <w:lang w:bidi="th-TH"/>
              </w:rPr>
            </w:pPr>
          </w:p>
        </w:tc>
        <w:tc>
          <w:tcPr>
            <w:tcW w:w="2269" w:type="dxa"/>
            <w:gridSpan w:val="3"/>
            <w:shd w:val="clear" w:color="auto" w:fill="FFFFFF"/>
            <w:tcMar>
              <w:top w:w="110" w:type="dxa"/>
            </w:tcMar>
          </w:tcPr>
          <w:p w:rsidR="0095318C" w:rsidRPr="00530AAE" w:rsidRDefault="0095318C" w:rsidP="00DC1333">
            <w:pPr>
              <w:rPr>
                <w:sz w:val="16"/>
                <w:szCs w:val="16"/>
                <w:lang w:bidi="th-TH"/>
              </w:rPr>
            </w:pPr>
            <w:r w:rsidRPr="00530AAE">
              <w:rPr>
                <w:sz w:val="16"/>
                <w:szCs w:val="16"/>
                <w:lang w:bidi="th-TH"/>
              </w:rPr>
              <w:lastRenderedPageBreak/>
              <w:t xml:space="preserve">África (70%) </w:t>
            </w:r>
          </w:p>
          <w:p w:rsidR="0095318C" w:rsidRPr="00530AAE" w:rsidRDefault="0095318C" w:rsidP="00DC1333">
            <w:pPr>
              <w:rPr>
                <w:sz w:val="16"/>
                <w:szCs w:val="16"/>
                <w:lang w:bidi="th-TH"/>
              </w:rPr>
            </w:pPr>
          </w:p>
          <w:p w:rsidR="0095318C" w:rsidRPr="00530AAE" w:rsidRDefault="0095318C" w:rsidP="00DC1333">
            <w:pPr>
              <w:rPr>
                <w:sz w:val="16"/>
                <w:szCs w:val="16"/>
                <w:lang w:bidi="th-TH"/>
              </w:rPr>
            </w:pPr>
          </w:p>
          <w:p w:rsidR="0095318C" w:rsidRPr="00530AAE" w:rsidRDefault="0095318C" w:rsidP="00DC1333">
            <w:pPr>
              <w:rPr>
                <w:sz w:val="16"/>
                <w:szCs w:val="16"/>
                <w:lang w:bidi="th-TH"/>
              </w:rPr>
            </w:pPr>
            <w:r w:rsidRPr="00530AAE">
              <w:rPr>
                <w:sz w:val="16"/>
                <w:szCs w:val="16"/>
                <w:lang w:bidi="th-TH"/>
              </w:rPr>
              <w:t xml:space="preserve">Región árabe: </w:t>
            </w:r>
            <w:r>
              <w:rPr>
                <w:sz w:val="16"/>
                <w:szCs w:val="16"/>
                <w:lang w:bidi="th-TH"/>
              </w:rPr>
              <w:t xml:space="preserve"> no disponi</w:t>
            </w:r>
            <w:r w:rsidRPr="00530AAE">
              <w:rPr>
                <w:sz w:val="16"/>
                <w:szCs w:val="16"/>
                <w:lang w:bidi="th-TH"/>
              </w:rPr>
              <w:t>ble</w:t>
            </w:r>
            <w:r w:rsidRPr="003C4694">
              <w:rPr>
                <w:rStyle w:val="FootnoteReference"/>
                <w:b/>
                <w:bCs/>
                <w:sz w:val="16"/>
                <w:szCs w:val="16"/>
              </w:rPr>
              <w:footnoteReference w:id="66"/>
            </w:r>
          </w:p>
          <w:p w:rsidR="0095318C" w:rsidRPr="00530AAE" w:rsidRDefault="0095318C" w:rsidP="00DC1333">
            <w:pPr>
              <w:rPr>
                <w:sz w:val="16"/>
                <w:szCs w:val="16"/>
                <w:lang w:bidi="th-TH"/>
              </w:rPr>
            </w:pPr>
          </w:p>
          <w:p w:rsidR="0095318C" w:rsidRPr="00530AAE" w:rsidRDefault="0095318C" w:rsidP="00DC1333">
            <w:pPr>
              <w:rPr>
                <w:sz w:val="16"/>
                <w:szCs w:val="16"/>
                <w:lang w:bidi="th-TH"/>
              </w:rPr>
            </w:pPr>
          </w:p>
          <w:p w:rsidR="0095318C" w:rsidRPr="00530AAE" w:rsidRDefault="0095318C" w:rsidP="00DC1333">
            <w:pPr>
              <w:rPr>
                <w:sz w:val="16"/>
                <w:szCs w:val="16"/>
                <w:lang w:bidi="th-TH"/>
              </w:rPr>
            </w:pPr>
            <w:r w:rsidRPr="00530AAE">
              <w:rPr>
                <w:sz w:val="16"/>
                <w:szCs w:val="16"/>
                <w:lang w:bidi="th-TH"/>
              </w:rPr>
              <w:t>Asia y el Pacífico:   (91%)</w:t>
            </w:r>
          </w:p>
          <w:p w:rsidR="0095318C" w:rsidRPr="00530AAE" w:rsidRDefault="0095318C" w:rsidP="00DC1333">
            <w:pPr>
              <w:rPr>
                <w:sz w:val="16"/>
                <w:szCs w:val="16"/>
                <w:lang w:bidi="th-TH"/>
              </w:rPr>
            </w:pPr>
          </w:p>
          <w:p w:rsidR="0095318C" w:rsidRPr="00530AAE" w:rsidRDefault="0095318C" w:rsidP="00DC1333">
            <w:pPr>
              <w:rPr>
                <w:sz w:val="16"/>
                <w:szCs w:val="16"/>
                <w:lang w:bidi="th-TH"/>
              </w:rPr>
            </w:pPr>
            <w:r w:rsidRPr="00530AAE">
              <w:rPr>
                <w:sz w:val="16"/>
                <w:szCs w:val="16"/>
                <w:lang w:bidi="th-TH"/>
              </w:rPr>
              <w:t xml:space="preserve">América Latina y el Caribe (40%) </w:t>
            </w:r>
          </w:p>
          <w:p w:rsidR="0095318C" w:rsidRPr="00530AAE" w:rsidRDefault="0095318C" w:rsidP="00DC1333">
            <w:pPr>
              <w:rPr>
                <w:sz w:val="16"/>
                <w:szCs w:val="16"/>
                <w:lang w:bidi="th-TH"/>
              </w:rPr>
            </w:pPr>
          </w:p>
          <w:p w:rsidR="0095318C" w:rsidRPr="00530AAE" w:rsidRDefault="0095318C" w:rsidP="00DC1333">
            <w:pPr>
              <w:rPr>
                <w:sz w:val="16"/>
                <w:szCs w:val="16"/>
                <w:lang w:bidi="th-TH"/>
              </w:rPr>
            </w:pPr>
          </w:p>
          <w:p w:rsidR="0095318C" w:rsidRPr="00530AAE" w:rsidRDefault="0095318C" w:rsidP="00DC1333">
            <w:pPr>
              <w:rPr>
                <w:sz w:val="16"/>
                <w:szCs w:val="16"/>
                <w:lang w:bidi="th-TH"/>
              </w:rPr>
            </w:pPr>
          </w:p>
          <w:p w:rsidR="0095318C" w:rsidRPr="003C4694" w:rsidRDefault="0095318C" w:rsidP="00DC1333">
            <w:pPr>
              <w:rPr>
                <w:sz w:val="16"/>
                <w:szCs w:val="16"/>
                <w:lang w:bidi="th-TH"/>
              </w:rPr>
            </w:pPr>
            <w:r>
              <w:rPr>
                <w:sz w:val="16"/>
                <w:szCs w:val="16"/>
                <w:lang w:bidi="th-TH"/>
              </w:rPr>
              <w:t>PMA</w:t>
            </w:r>
            <w:r w:rsidRPr="003C4694">
              <w:rPr>
                <w:sz w:val="16"/>
                <w:szCs w:val="16"/>
                <w:lang w:bidi="th-TH"/>
              </w:rPr>
              <w:t xml:space="preserve"> (90%) </w:t>
            </w:r>
          </w:p>
        </w:tc>
        <w:tc>
          <w:tcPr>
            <w:tcW w:w="1418" w:type="dxa"/>
            <w:gridSpan w:val="2"/>
            <w:shd w:val="clear" w:color="auto" w:fill="auto"/>
            <w:tcMar>
              <w:top w:w="110" w:type="dxa"/>
            </w:tcMar>
          </w:tcPr>
          <w:p w:rsidR="0095318C" w:rsidRPr="00017A5E" w:rsidRDefault="0095318C" w:rsidP="00DC1333">
            <w:pPr>
              <w:keepNext/>
              <w:keepLines/>
              <w:jc w:val="center"/>
              <w:rPr>
                <w:b/>
                <w:bCs/>
                <w:color w:val="808080" w:themeColor="background1" w:themeShade="80"/>
                <w:sz w:val="16"/>
                <w:szCs w:val="16"/>
              </w:rPr>
            </w:pPr>
            <w:r w:rsidRPr="004B265E">
              <w:rPr>
                <w:b/>
                <w:bCs/>
                <w:color w:val="00B050"/>
                <w:sz w:val="14"/>
                <w:szCs w:val="14"/>
              </w:rPr>
              <w:lastRenderedPageBreak/>
              <w:t>Plenamente logrado</w:t>
            </w:r>
            <w:r w:rsidRPr="00017A5E">
              <w:rPr>
                <w:b/>
                <w:bCs/>
                <w:color w:val="808080" w:themeColor="background1" w:themeShade="80"/>
                <w:sz w:val="16"/>
                <w:szCs w:val="16"/>
              </w:rPr>
              <w:t xml:space="preserve"> </w:t>
            </w:r>
          </w:p>
          <w:p w:rsidR="0095318C" w:rsidRPr="00017A5E" w:rsidRDefault="0095318C" w:rsidP="00DC1333">
            <w:pPr>
              <w:keepNext/>
              <w:keepLines/>
              <w:jc w:val="center"/>
              <w:rPr>
                <w:b/>
                <w:bCs/>
                <w:color w:val="808080" w:themeColor="background1" w:themeShade="80"/>
                <w:sz w:val="16"/>
                <w:szCs w:val="16"/>
              </w:rPr>
            </w:pPr>
          </w:p>
          <w:p w:rsidR="0095318C" w:rsidRPr="00530AAE" w:rsidRDefault="0095318C" w:rsidP="00DC1333">
            <w:pPr>
              <w:keepNext/>
              <w:keepLines/>
              <w:jc w:val="center"/>
              <w:rPr>
                <w:b/>
                <w:bCs/>
                <w:sz w:val="14"/>
                <w:szCs w:val="14"/>
              </w:rPr>
            </w:pPr>
            <w:r w:rsidRPr="00530AAE">
              <w:rPr>
                <w:b/>
                <w:bCs/>
                <w:color w:val="808080" w:themeColor="background1" w:themeShade="80"/>
                <w:sz w:val="14"/>
                <w:szCs w:val="14"/>
              </w:rPr>
              <w:t>No mensurable</w:t>
            </w:r>
          </w:p>
          <w:p w:rsidR="0095318C" w:rsidRPr="00017A5E" w:rsidRDefault="0095318C" w:rsidP="00DC1333">
            <w:pPr>
              <w:keepNext/>
              <w:keepLines/>
              <w:jc w:val="center"/>
              <w:rPr>
                <w:b/>
                <w:bCs/>
                <w:sz w:val="16"/>
                <w:szCs w:val="16"/>
              </w:rPr>
            </w:pPr>
          </w:p>
          <w:p w:rsidR="0095318C" w:rsidRPr="00017A5E" w:rsidRDefault="0095318C" w:rsidP="00DC1333">
            <w:pPr>
              <w:keepNext/>
              <w:keepLines/>
              <w:jc w:val="center"/>
              <w:rPr>
                <w:b/>
                <w:bCs/>
                <w:color w:val="00B050"/>
                <w:sz w:val="16"/>
                <w:szCs w:val="16"/>
              </w:rPr>
            </w:pPr>
            <w:r w:rsidRPr="004B265E">
              <w:rPr>
                <w:b/>
                <w:bCs/>
                <w:color w:val="00B050"/>
                <w:sz w:val="14"/>
                <w:szCs w:val="14"/>
              </w:rPr>
              <w:t>Plenamente logrado</w:t>
            </w:r>
          </w:p>
          <w:p w:rsidR="0095318C" w:rsidRPr="00017A5E" w:rsidRDefault="0095318C" w:rsidP="00DC1333">
            <w:pPr>
              <w:keepNext/>
              <w:keepLines/>
              <w:jc w:val="center"/>
              <w:rPr>
                <w:b/>
                <w:bCs/>
                <w:color w:val="00B050"/>
                <w:sz w:val="16"/>
                <w:szCs w:val="16"/>
              </w:rPr>
            </w:pPr>
          </w:p>
          <w:p w:rsidR="0095318C" w:rsidRDefault="0095318C" w:rsidP="00DC1333">
            <w:pPr>
              <w:keepNext/>
              <w:keepLines/>
              <w:jc w:val="center"/>
              <w:rPr>
                <w:b/>
                <w:bCs/>
                <w:color w:val="00B050"/>
                <w:sz w:val="14"/>
                <w:szCs w:val="14"/>
              </w:rPr>
            </w:pPr>
          </w:p>
          <w:p w:rsidR="0095318C" w:rsidRDefault="0095318C" w:rsidP="00DC1333">
            <w:pPr>
              <w:keepNext/>
              <w:keepLines/>
              <w:jc w:val="center"/>
              <w:rPr>
                <w:b/>
                <w:bCs/>
                <w:color w:val="00B050"/>
                <w:sz w:val="14"/>
                <w:szCs w:val="14"/>
              </w:rPr>
            </w:pPr>
          </w:p>
          <w:p w:rsidR="0095318C" w:rsidRPr="003C4694" w:rsidRDefault="0095318C" w:rsidP="00DC1333">
            <w:pPr>
              <w:keepNext/>
              <w:keepLines/>
              <w:jc w:val="center"/>
              <w:rPr>
                <w:b/>
                <w:bCs/>
                <w:color w:val="00B050"/>
                <w:sz w:val="16"/>
                <w:szCs w:val="16"/>
              </w:rPr>
            </w:pPr>
            <w:r w:rsidRPr="004B265E">
              <w:rPr>
                <w:b/>
                <w:bCs/>
                <w:color w:val="00B050"/>
                <w:sz w:val="14"/>
                <w:szCs w:val="14"/>
              </w:rPr>
              <w:t>Plenamente logrado</w:t>
            </w:r>
            <w:r w:rsidRPr="003C4694">
              <w:rPr>
                <w:b/>
                <w:bCs/>
                <w:color w:val="00B050"/>
                <w:sz w:val="16"/>
                <w:szCs w:val="16"/>
              </w:rPr>
              <w:t xml:space="preserve"> </w:t>
            </w:r>
          </w:p>
          <w:p w:rsidR="0095318C" w:rsidRPr="003C4694" w:rsidRDefault="0095318C" w:rsidP="00DC1333">
            <w:pPr>
              <w:keepNext/>
              <w:keepLines/>
              <w:jc w:val="center"/>
              <w:rPr>
                <w:b/>
                <w:bCs/>
                <w:color w:val="00B050"/>
                <w:sz w:val="16"/>
                <w:szCs w:val="16"/>
              </w:rPr>
            </w:pPr>
          </w:p>
          <w:p w:rsidR="0095318C" w:rsidRDefault="0095318C" w:rsidP="00DC1333">
            <w:pPr>
              <w:keepNext/>
              <w:keepLines/>
              <w:jc w:val="center"/>
              <w:rPr>
                <w:b/>
                <w:bCs/>
                <w:color w:val="00B050"/>
                <w:sz w:val="14"/>
                <w:szCs w:val="14"/>
              </w:rPr>
            </w:pPr>
          </w:p>
          <w:p w:rsidR="0095318C" w:rsidRDefault="0095318C" w:rsidP="00DC1333">
            <w:pPr>
              <w:keepNext/>
              <w:keepLines/>
              <w:jc w:val="center"/>
              <w:rPr>
                <w:b/>
                <w:bCs/>
                <w:color w:val="00B050"/>
                <w:sz w:val="14"/>
                <w:szCs w:val="14"/>
              </w:rPr>
            </w:pPr>
          </w:p>
          <w:p w:rsidR="0095318C" w:rsidRPr="003C4694" w:rsidRDefault="0095318C" w:rsidP="00DC1333">
            <w:pPr>
              <w:keepNext/>
              <w:keepLines/>
              <w:jc w:val="center"/>
              <w:rPr>
                <w:b/>
                <w:bCs/>
                <w:sz w:val="16"/>
                <w:szCs w:val="16"/>
              </w:rPr>
            </w:pPr>
            <w:r w:rsidRPr="004B265E">
              <w:rPr>
                <w:b/>
                <w:bCs/>
                <w:color w:val="00B050"/>
                <w:sz w:val="14"/>
                <w:szCs w:val="14"/>
              </w:rPr>
              <w:t>Plenamente logrado</w:t>
            </w:r>
            <w:r w:rsidRPr="003C4694">
              <w:rPr>
                <w:b/>
                <w:bCs/>
                <w:sz w:val="16"/>
                <w:szCs w:val="16"/>
              </w:rPr>
              <w:t xml:space="preserve"> </w:t>
            </w:r>
          </w:p>
        </w:tc>
      </w:tr>
      <w:tr w:rsidR="0095318C" w:rsidRPr="0044627C" w:rsidTr="00DC1333">
        <w:tc>
          <w:tcPr>
            <w:tcW w:w="1982" w:type="dxa"/>
            <w:tcBorders>
              <w:bottom w:val="single" w:sz="4" w:space="0" w:color="auto"/>
            </w:tcBorders>
            <w:shd w:val="clear" w:color="auto" w:fill="FFFFFF"/>
          </w:tcPr>
          <w:p w:rsidR="0095318C" w:rsidRPr="00D83355" w:rsidRDefault="0095318C" w:rsidP="00DC1333">
            <w:pPr>
              <w:rPr>
                <w:sz w:val="16"/>
                <w:szCs w:val="16"/>
                <w:lang w:bidi="th-TH"/>
              </w:rPr>
            </w:pPr>
            <w:r w:rsidRPr="00D83355">
              <w:rPr>
                <w:sz w:val="16"/>
                <w:szCs w:val="16"/>
                <w:lang w:bidi="th-TH"/>
              </w:rPr>
              <w:lastRenderedPageBreak/>
              <w:t>Porcentaje de expertos nacionales y regionales en P.I. empleados como expertos en las actividades de la OMPI</w:t>
            </w:r>
          </w:p>
        </w:tc>
        <w:tc>
          <w:tcPr>
            <w:tcW w:w="2128" w:type="dxa"/>
            <w:gridSpan w:val="3"/>
            <w:tcBorders>
              <w:bottom w:val="single" w:sz="4" w:space="0" w:color="auto"/>
            </w:tcBorders>
            <w:shd w:val="clear" w:color="auto" w:fill="auto"/>
          </w:tcPr>
          <w:p w:rsidR="0095318C" w:rsidRPr="00212130" w:rsidRDefault="0095318C" w:rsidP="00DC1333">
            <w:pPr>
              <w:rPr>
                <w:i/>
                <w:sz w:val="16"/>
                <w:szCs w:val="16"/>
              </w:rPr>
            </w:pPr>
            <w:r w:rsidRPr="00212130">
              <w:rPr>
                <w:i/>
                <w:sz w:val="16"/>
                <w:szCs w:val="16"/>
              </w:rPr>
              <w:t xml:space="preserve">Referencia actualizada a fines de 2013:  </w:t>
            </w:r>
          </w:p>
          <w:p w:rsidR="0095318C" w:rsidRPr="00212130" w:rsidRDefault="0095318C" w:rsidP="00DC1333">
            <w:pPr>
              <w:rPr>
                <w:sz w:val="16"/>
                <w:szCs w:val="16"/>
              </w:rPr>
            </w:pPr>
            <w:r w:rsidRPr="00212130">
              <w:rPr>
                <w:sz w:val="16"/>
                <w:szCs w:val="16"/>
              </w:rPr>
              <w:t>África (70%)</w:t>
            </w:r>
          </w:p>
          <w:p w:rsidR="0095318C" w:rsidRPr="00212130" w:rsidRDefault="0095318C" w:rsidP="00DC1333">
            <w:pPr>
              <w:rPr>
                <w:sz w:val="16"/>
                <w:szCs w:val="16"/>
              </w:rPr>
            </w:pPr>
            <w:r w:rsidRPr="00212130">
              <w:rPr>
                <w:sz w:val="16"/>
                <w:szCs w:val="16"/>
              </w:rPr>
              <w:t>Región árabe (50%)</w:t>
            </w:r>
          </w:p>
          <w:p w:rsidR="0095318C" w:rsidRPr="00212130" w:rsidRDefault="0095318C" w:rsidP="00DC1333">
            <w:pPr>
              <w:rPr>
                <w:sz w:val="16"/>
                <w:szCs w:val="16"/>
                <w:lang w:bidi="th-TH"/>
              </w:rPr>
            </w:pPr>
            <w:r w:rsidRPr="00212130">
              <w:rPr>
                <w:sz w:val="16"/>
                <w:szCs w:val="16"/>
                <w:lang w:bidi="th-TH"/>
              </w:rPr>
              <w:t xml:space="preserve">Asia y el Pacífico:  </w:t>
            </w:r>
            <w:r>
              <w:rPr>
                <w:sz w:val="16"/>
                <w:szCs w:val="16"/>
                <w:lang w:bidi="th-TH"/>
              </w:rPr>
              <w:t>datos no disponi</w:t>
            </w:r>
            <w:r w:rsidRPr="00212130">
              <w:rPr>
                <w:sz w:val="16"/>
                <w:szCs w:val="16"/>
                <w:lang w:bidi="th-TH"/>
              </w:rPr>
              <w:t>ble</w:t>
            </w:r>
            <w:r>
              <w:rPr>
                <w:sz w:val="16"/>
                <w:szCs w:val="16"/>
                <w:lang w:bidi="th-TH"/>
              </w:rPr>
              <w:t>s</w:t>
            </w:r>
          </w:p>
          <w:p w:rsidR="0095318C" w:rsidRPr="00212130" w:rsidRDefault="0095318C" w:rsidP="00DC1333">
            <w:pPr>
              <w:rPr>
                <w:sz w:val="16"/>
                <w:szCs w:val="16"/>
                <w:lang w:bidi="th-TH"/>
              </w:rPr>
            </w:pPr>
            <w:r w:rsidRPr="00212130">
              <w:rPr>
                <w:sz w:val="16"/>
                <w:szCs w:val="16"/>
                <w:lang w:bidi="th-TH"/>
              </w:rPr>
              <w:t>América Latina y el Caribe (70%)</w:t>
            </w:r>
          </w:p>
          <w:p w:rsidR="0095318C" w:rsidRPr="006208AA" w:rsidRDefault="0095318C" w:rsidP="00DC1333">
            <w:pPr>
              <w:rPr>
                <w:sz w:val="16"/>
                <w:szCs w:val="16"/>
              </w:rPr>
            </w:pPr>
            <w:r w:rsidRPr="006208AA">
              <w:rPr>
                <w:sz w:val="16"/>
                <w:szCs w:val="16"/>
                <w:lang w:bidi="th-TH"/>
              </w:rPr>
              <w:t>PMA (60%)</w:t>
            </w:r>
          </w:p>
          <w:p w:rsidR="0095318C" w:rsidRPr="006208AA" w:rsidRDefault="0095318C" w:rsidP="00DC1333">
            <w:pPr>
              <w:rPr>
                <w:i/>
                <w:sz w:val="16"/>
                <w:szCs w:val="16"/>
              </w:rPr>
            </w:pPr>
          </w:p>
          <w:p w:rsidR="0095318C" w:rsidRPr="006208AA" w:rsidRDefault="0095318C" w:rsidP="00DC1333">
            <w:pPr>
              <w:rPr>
                <w:i/>
                <w:sz w:val="16"/>
                <w:szCs w:val="16"/>
                <w:lang w:bidi="th-TH"/>
              </w:rPr>
            </w:pPr>
            <w:r w:rsidRPr="006208AA">
              <w:rPr>
                <w:i/>
                <w:sz w:val="16"/>
                <w:szCs w:val="16"/>
                <w:lang w:bidi="th-TH"/>
              </w:rPr>
              <w:t>Referencia original</w:t>
            </w:r>
            <w:r>
              <w:rPr>
                <w:i/>
                <w:sz w:val="16"/>
                <w:szCs w:val="16"/>
                <w:lang w:bidi="th-TH"/>
              </w:rPr>
              <w:t xml:space="preserve"> en el presupuesto de 2014/15:  </w:t>
            </w:r>
            <w:r w:rsidRPr="006208AA">
              <w:rPr>
                <w:sz w:val="16"/>
                <w:szCs w:val="16"/>
                <w:lang w:bidi="th-TH"/>
              </w:rPr>
              <w:t>África (65%)</w:t>
            </w:r>
          </w:p>
          <w:p w:rsidR="0095318C" w:rsidRPr="006208AA" w:rsidRDefault="0095318C" w:rsidP="00DC1333">
            <w:pPr>
              <w:rPr>
                <w:sz w:val="16"/>
                <w:szCs w:val="16"/>
                <w:lang w:bidi="th-TH"/>
              </w:rPr>
            </w:pPr>
            <w:r w:rsidRPr="006208AA">
              <w:rPr>
                <w:sz w:val="16"/>
                <w:szCs w:val="16"/>
                <w:lang w:bidi="th-TH"/>
              </w:rPr>
              <w:t>Regi</w:t>
            </w:r>
            <w:r>
              <w:rPr>
                <w:sz w:val="16"/>
                <w:szCs w:val="16"/>
                <w:lang w:bidi="th-TH"/>
              </w:rPr>
              <w:t>ón á</w:t>
            </w:r>
            <w:r w:rsidRPr="006208AA">
              <w:rPr>
                <w:sz w:val="16"/>
                <w:szCs w:val="16"/>
                <w:lang w:bidi="th-TH"/>
              </w:rPr>
              <w:t>rabe (70%)</w:t>
            </w:r>
          </w:p>
          <w:p w:rsidR="0095318C" w:rsidRPr="006208AA" w:rsidRDefault="0095318C" w:rsidP="00DC1333">
            <w:pPr>
              <w:rPr>
                <w:sz w:val="16"/>
                <w:szCs w:val="16"/>
                <w:lang w:bidi="th-TH"/>
              </w:rPr>
            </w:pPr>
            <w:r w:rsidRPr="006208AA">
              <w:rPr>
                <w:sz w:val="16"/>
                <w:szCs w:val="16"/>
                <w:lang w:bidi="th-TH"/>
              </w:rPr>
              <w:t>Asia y el Pacífico:  datos no disponibles</w:t>
            </w:r>
          </w:p>
          <w:p w:rsidR="0095318C" w:rsidRPr="006208AA" w:rsidRDefault="0095318C" w:rsidP="00DC1333">
            <w:pPr>
              <w:rPr>
                <w:sz w:val="16"/>
                <w:szCs w:val="16"/>
                <w:lang w:bidi="th-TH"/>
              </w:rPr>
            </w:pPr>
            <w:r w:rsidRPr="006208AA">
              <w:rPr>
                <w:sz w:val="16"/>
                <w:szCs w:val="16"/>
                <w:lang w:bidi="th-TH"/>
              </w:rPr>
              <w:t>América Latina y el Caribe (70%)</w:t>
            </w:r>
          </w:p>
          <w:p w:rsidR="0095318C" w:rsidRPr="003C4694" w:rsidRDefault="0095318C" w:rsidP="00DC1333">
            <w:pPr>
              <w:rPr>
                <w:sz w:val="16"/>
                <w:szCs w:val="16"/>
                <w:lang w:bidi="th-TH"/>
              </w:rPr>
            </w:pPr>
            <w:r>
              <w:rPr>
                <w:sz w:val="16"/>
                <w:szCs w:val="16"/>
                <w:lang w:bidi="th-TH"/>
              </w:rPr>
              <w:t>PMA</w:t>
            </w:r>
            <w:r w:rsidRPr="003C4694">
              <w:rPr>
                <w:sz w:val="16"/>
                <w:szCs w:val="16"/>
                <w:lang w:bidi="th-TH"/>
              </w:rPr>
              <w:t xml:space="preserve"> (70%)</w:t>
            </w:r>
          </w:p>
          <w:p w:rsidR="0095318C" w:rsidRPr="003C4694" w:rsidRDefault="0095318C" w:rsidP="00DC1333">
            <w:pPr>
              <w:rPr>
                <w:i/>
                <w:sz w:val="16"/>
                <w:szCs w:val="16"/>
              </w:rPr>
            </w:pPr>
          </w:p>
        </w:tc>
        <w:tc>
          <w:tcPr>
            <w:tcW w:w="1701" w:type="dxa"/>
            <w:gridSpan w:val="3"/>
            <w:tcBorders>
              <w:bottom w:val="single" w:sz="4" w:space="0" w:color="auto"/>
            </w:tcBorders>
            <w:shd w:val="clear" w:color="auto" w:fill="auto"/>
            <w:tcMar>
              <w:top w:w="110" w:type="dxa"/>
            </w:tcMar>
          </w:tcPr>
          <w:p w:rsidR="0095318C" w:rsidRPr="00212130" w:rsidRDefault="0095318C" w:rsidP="00DC1333">
            <w:pPr>
              <w:rPr>
                <w:sz w:val="16"/>
                <w:szCs w:val="16"/>
                <w:lang w:bidi="th-TH"/>
              </w:rPr>
            </w:pPr>
            <w:r w:rsidRPr="00212130">
              <w:rPr>
                <w:sz w:val="16"/>
                <w:szCs w:val="16"/>
                <w:lang w:bidi="th-TH"/>
              </w:rPr>
              <w:t>África (75%)</w:t>
            </w:r>
          </w:p>
          <w:p w:rsidR="0095318C" w:rsidRPr="00212130" w:rsidRDefault="0095318C" w:rsidP="00DC1333">
            <w:pPr>
              <w:rPr>
                <w:sz w:val="16"/>
                <w:szCs w:val="16"/>
                <w:lang w:bidi="th-TH"/>
              </w:rPr>
            </w:pPr>
          </w:p>
          <w:p w:rsidR="0095318C" w:rsidRPr="00212130" w:rsidRDefault="0095318C" w:rsidP="00DC1333">
            <w:pPr>
              <w:rPr>
                <w:sz w:val="16"/>
                <w:szCs w:val="16"/>
                <w:lang w:bidi="th-TH"/>
              </w:rPr>
            </w:pPr>
            <w:r w:rsidRPr="00212130">
              <w:rPr>
                <w:sz w:val="16"/>
                <w:szCs w:val="16"/>
                <w:lang w:bidi="th-TH"/>
              </w:rPr>
              <w:t>Región árabe (80%)</w:t>
            </w:r>
          </w:p>
          <w:p w:rsidR="0095318C" w:rsidRPr="00212130" w:rsidRDefault="0095318C" w:rsidP="00DC1333">
            <w:pPr>
              <w:rPr>
                <w:sz w:val="16"/>
                <w:szCs w:val="16"/>
                <w:lang w:bidi="th-TH"/>
              </w:rPr>
            </w:pPr>
          </w:p>
          <w:p w:rsidR="0095318C" w:rsidRPr="00212130" w:rsidRDefault="0095318C" w:rsidP="00DC1333">
            <w:pPr>
              <w:rPr>
                <w:sz w:val="16"/>
                <w:szCs w:val="16"/>
                <w:lang w:bidi="th-TH"/>
              </w:rPr>
            </w:pPr>
          </w:p>
          <w:p w:rsidR="0095318C" w:rsidRPr="00212130" w:rsidRDefault="0095318C" w:rsidP="00DC1333">
            <w:pPr>
              <w:rPr>
                <w:sz w:val="16"/>
                <w:szCs w:val="16"/>
                <w:lang w:bidi="th-TH"/>
              </w:rPr>
            </w:pPr>
            <w:r w:rsidRPr="00212130">
              <w:rPr>
                <w:sz w:val="16"/>
                <w:szCs w:val="16"/>
                <w:lang w:bidi="th-TH"/>
              </w:rPr>
              <w:t>Asia y el Pacífico (55%)</w:t>
            </w:r>
          </w:p>
          <w:p w:rsidR="0095318C" w:rsidRPr="00212130" w:rsidRDefault="0095318C" w:rsidP="00DC1333">
            <w:pPr>
              <w:rPr>
                <w:sz w:val="16"/>
                <w:szCs w:val="16"/>
                <w:lang w:bidi="th-TH"/>
              </w:rPr>
            </w:pPr>
          </w:p>
          <w:p w:rsidR="0095318C" w:rsidRPr="00D83355" w:rsidRDefault="0095318C" w:rsidP="00DC1333">
            <w:pPr>
              <w:rPr>
                <w:sz w:val="16"/>
                <w:szCs w:val="16"/>
                <w:lang w:bidi="th-TH"/>
              </w:rPr>
            </w:pPr>
            <w:r w:rsidRPr="00D83355">
              <w:rPr>
                <w:sz w:val="16"/>
                <w:szCs w:val="16"/>
                <w:lang w:bidi="th-TH"/>
              </w:rPr>
              <w:t>América Latina y el Caribe (80%)</w:t>
            </w:r>
          </w:p>
          <w:p w:rsidR="0095318C" w:rsidRPr="00D83355" w:rsidRDefault="0095318C" w:rsidP="00DC1333">
            <w:pPr>
              <w:rPr>
                <w:sz w:val="16"/>
                <w:szCs w:val="16"/>
                <w:lang w:bidi="th-TH"/>
              </w:rPr>
            </w:pPr>
          </w:p>
          <w:p w:rsidR="0095318C" w:rsidRPr="003C4694" w:rsidRDefault="0095318C" w:rsidP="00DC1333">
            <w:pPr>
              <w:rPr>
                <w:sz w:val="16"/>
                <w:szCs w:val="16"/>
                <w:lang w:bidi="th-TH"/>
              </w:rPr>
            </w:pPr>
            <w:r>
              <w:rPr>
                <w:sz w:val="16"/>
                <w:szCs w:val="16"/>
                <w:lang w:bidi="th-TH"/>
              </w:rPr>
              <w:t>PMA</w:t>
            </w:r>
            <w:r w:rsidRPr="003C4694">
              <w:rPr>
                <w:sz w:val="16"/>
                <w:szCs w:val="16"/>
                <w:lang w:bidi="th-TH"/>
              </w:rPr>
              <w:t xml:space="preserve"> (80%)</w:t>
            </w:r>
          </w:p>
        </w:tc>
        <w:tc>
          <w:tcPr>
            <w:tcW w:w="2269" w:type="dxa"/>
            <w:gridSpan w:val="3"/>
            <w:tcBorders>
              <w:bottom w:val="single" w:sz="4" w:space="0" w:color="auto"/>
            </w:tcBorders>
            <w:shd w:val="clear" w:color="auto" w:fill="FFFFFF"/>
            <w:tcMar>
              <w:top w:w="110" w:type="dxa"/>
            </w:tcMar>
          </w:tcPr>
          <w:p w:rsidR="0095318C" w:rsidRPr="00631CC4" w:rsidRDefault="0095318C" w:rsidP="00DC1333">
            <w:pPr>
              <w:rPr>
                <w:sz w:val="16"/>
                <w:szCs w:val="16"/>
                <w:lang w:bidi="th-TH"/>
              </w:rPr>
            </w:pPr>
            <w:r w:rsidRPr="00631CC4">
              <w:rPr>
                <w:sz w:val="16"/>
                <w:szCs w:val="16"/>
                <w:lang w:bidi="th-TH"/>
              </w:rPr>
              <w:t>África (75%)</w:t>
            </w:r>
          </w:p>
          <w:p w:rsidR="0095318C" w:rsidRPr="00631CC4" w:rsidRDefault="0095318C" w:rsidP="00DC1333">
            <w:pPr>
              <w:rPr>
                <w:sz w:val="16"/>
                <w:szCs w:val="16"/>
                <w:lang w:bidi="th-TH"/>
              </w:rPr>
            </w:pPr>
          </w:p>
          <w:p w:rsidR="0095318C" w:rsidRPr="00631CC4" w:rsidRDefault="0095318C" w:rsidP="00DC1333">
            <w:pPr>
              <w:rPr>
                <w:sz w:val="16"/>
                <w:szCs w:val="16"/>
                <w:lang w:bidi="th-TH"/>
              </w:rPr>
            </w:pPr>
            <w:r w:rsidRPr="00631CC4">
              <w:rPr>
                <w:sz w:val="16"/>
                <w:szCs w:val="16"/>
                <w:lang w:bidi="th-TH"/>
              </w:rPr>
              <w:t xml:space="preserve">Región árabe (55%) </w:t>
            </w:r>
          </w:p>
          <w:p w:rsidR="0095318C" w:rsidRPr="00631CC4" w:rsidRDefault="0095318C" w:rsidP="00DC1333">
            <w:pPr>
              <w:rPr>
                <w:sz w:val="16"/>
                <w:szCs w:val="16"/>
                <w:lang w:bidi="th-TH"/>
              </w:rPr>
            </w:pPr>
          </w:p>
          <w:p w:rsidR="0095318C" w:rsidRPr="00631CC4" w:rsidRDefault="0095318C" w:rsidP="00DC1333">
            <w:pPr>
              <w:rPr>
                <w:sz w:val="16"/>
                <w:szCs w:val="16"/>
                <w:lang w:bidi="th-TH"/>
              </w:rPr>
            </w:pPr>
          </w:p>
          <w:p w:rsidR="0095318C" w:rsidRPr="00631CC4" w:rsidRDefault="0095318C" w:rsidP="00DC1333">
            <w:pPr>
              <w:rPr>
                <w:sz w:val="16"/>
                <w:szCs w:val="16"/>
                <w:lang w:bidi="th-TH"/>
              </w:rPr>
            </w:pPr>
            <w:r w:rsidRPr="00631CC4">
              <w:rPr>
                <w:sz w:val="16"/>
                <w:szCs w:val="16"/>
                <w:lang w:bidi="th-TH"/>
              </w:rPr>
              <w:t>Asia y el Pacífico (66%)</w:t>
            </w:r>
          </w:p>
          <w:p w:rsidR="0095318C" w:rsidRPr="00631CC4" w:rsidRDefault="0095318C" w:rsidP="00DC1333">
            <w:pPr>
              <w:rPr>
                <w:sz w:val="16"/>
                <w:szCs w:val="16"/>
                <w:lang w:bidi="th-TH"/>
              </w:rPr>
            </w:pPr>
          </w:p>
          <w:p w:rsidR="0095318C" w:rsidRPr="00631CC4" w:rsidRDefault="0095318C" w:rsidP="00DC1333">
            <w:pPr>
              <w:rPr>
                <w:sz w:val="16"/>
                <w:szCs w:val="16"/>
                <w:lang w:bidi="th-TH"/>
              </w:rPr>
            </w:pPr>
          </w:p>
          <w:p w:rsidR="0095318C" w:rsidRPr="00D83355" w:rsidRDefault="0095318C" w:rsidP="00DC1333">
            <w:pPr>
              <w:rPr>
                <w:sz w:val="16"/>
                <w:szCs w:val="16"/>
                <w:lang w:bidi="th-TH"/>
              </w:rPr>
            </w:pPr>
            <w:r w:rsidRPr="00D83355">
              <w:rPr>
                <w:sz w:val="16"/>
                <w:szCs w:val="16"/>
                <w:lang w:bidi="th-TH"/>
              </w:rPr>
              <w:t xml:space="preserve">América Latina y el Caribe (80%) </w:t>
            </w:r>
          </w:p>
          <w:p w:rsidR="0095318C" w:rsidRPr="00D83355" w:rsidRDefault="0095318C" w:rsidP="00DC1333">
            <w:pPr>
              <w:rPr>
                <w:sz w:val="16"/>
                <w:szCs w:val="16"/>
                <w:lang w:bidi="th-TH"/>
              </w:rPr>
            </w:pPr>
          </w:p>
          <w:p w:rsidR="0095318C" w:rsidRPr="003C4694" w:rsidRDefault="0095318C" w:rsidP="00DC1333">
            <w:pPr>
              <w:rPr>
                <w:sz w:val="16"/>
                <w:szCs w:val="16"/>
                <w:lang w:bidi="th-TH"/>
              </w:rPr>
            </w:pPr>
            <w:r>
              <w:rPr>
                <w:sz w:val="16"/>
                <w:szCs w:val="16"/>
                <w:lang w:bidi="th-TH"/>
              </w:rPr>
              <w:t>PMA</w:t>
            </w:r>
            <w:r w:rsidRPr="003C4694">
              <w:rPr>
                <w:sz w:val="16"/>
                <w:szCs w:val="16"/>
                <w:lang w:bidi="th-TH"/>
              </w:rPr>
              <w:t xml:space="preserve"> (85%) </w:t>
            </w:r>
          </w:p>
        </w:tc>
        <w:tc>
          <w:tcPr>
            <w:tcW w:w="1418" w:type="dxa"/>
            <w:gridSpan w:val="2"/>
            <w:tcBorders>
              <w:bottom w:val="single" w:sz="4" w:space="0" w:color="auto"/>
            </w:tcBorders>
            <w:shd w:val="clear" w:color="auto" w:fill="auto"/>
            <w:tcMar>
              <w:top w:w="110" w:type="dxa"/>
            </w:tcMar>
          </w:tcPr>
          <w:p w:rsidR="0095318C" w:rsidRPr="00017A5E" w:rsidRDefault="0095318C" w:rsidP="00DC1333">
            <w:pPr>
              <w:keepNext/>
              <w:keepLines/>
              <w:jc w:val="center"/>
              <w:rPr>
                <w:b/>
                <w:bCs/>
                <w:sz w:val="16"/>
                <w:szCs w:val="16"/>
              </w:rPr>
            </w:pPr>
            <w:r w:rsidRPr="004B265E">
              <w:rPr>
                <w:b/>
                <w:bCs/>
                <w:color w:val="00B050"/>
                <w:sz w:val="14"/>
                <w:szCs w:val="14"/>
              </w:rPr>
              <w:t>Plenamente logrado</w:t>
            </w:r>
            <w:r w:rsidRPr="00017A5E">
              <w:rPr>
                <w:b/>
                <w:bCs/>
                <w:sz w:val="16"/>
                <w:szCs w:val="16"/>
              </w:rPr>
              <w:t xml:space="preserve"> </w:t>
            </w:r>
          </w:p>
          <w:p w:rsidR="0095318C" w:rsidRDefault="0095318C" w:rsidP="00DC1333">
            <w:pPr>
              <w:keepNext/>
              <w:keepLines/>
              <w:jc w:val="center"/>
              <w:rPr>
                <w:b/>
                <w:bCs/>
                <w:color w:val="E36C0A" w:themeColor="accent6" w:themeShade="BF"/>
                <w:sz w:val="14"/>
                <w:szCs w:val="14"/>
              </w:rPr>
            </w:pPr>
          </w:p>
          <w:p w:rsidR="0095318C" w:rsidRPr="00D83355" w:rsidRDefault="0095318C" w:rsidP="00DC1333">
            <w:pPr>
              <w:keepNext/>
              <w:keepLines/>
              <w:jc w:val="center"/>
              <w:rPr>
                <w:b/>
                <w:bCs/>
                <w:sz w:val="14"/>
                <w:szCs w:val="14"/>
              </w:rPr>
            </w:pPr>
            <w:r w:rsidRPr="00D83355">
              <w:rPr>
                <w:b/>
                <w:bCs/>
                <w:color w:val="E36C0A" w:themeColor="accent6" w:themeShade="BF"/>
                <w:sz w:val="14"/>
                <w:szCs w:val="14"/>
              </w:rPr>
              <w:t>Parcialmente logrado</w:t>
            </w:r>
          </w:p>
          <w:p w:rsidR="0095318C" w:rsidRPr="00017A5E" w:rsidRDefault="0095318C" w:rsidP="00DC1333">
            <w:pPr>
              <w:keepNext/>
              <w:keepLines/>
              <w:jc w:val="center"/>
              <w:rPr>
                <w:b/>
                <w:bCs/>
                <w:sz w:val="16"/>
                <w:szCs w:val="16"/>
              </w:rPr>
            </w:pPr>
          </w:p>
          <w:p w:rsidR="0095318C" w:rsidRPr="0044627C" w:rsidRDefault="0095318C" w:rsidP="00DC1333">
            <w:pPr>
              <w:keepNext/>
              <w:keepLines/>
              <w:jc w:val="center"/>
              <w:rPr>
                <w:b/>
                <w:bCs/>
                <w:color w:val="00B050"/>
                <w:sz w:val="16"/>
                <w:szCs w:val="16"/>
              </w:rPr>
            </w:pPr>
            <w:r w:rsidRPr="004B265E">
              <w:rPr>
                <w:b/>
                <w:bCs/>
                <w:color w:val="00B050"/>
                <w:sz w:val="14"/>
                <w:szCs w:val="14"/>
              </w:rPr>
              <w:t>Plenamente logrado</w:t>
            </w:r>
          </w:p>
          <w:p w:rsidR="0095318C" w:rsidRPr="0044627C" w:rsidRDefault="0095318C" w:rsidP="00DC1333">
            <w:pPr>
              <w:keepNext/>
              <w:keepLines/>
              <w:rPr>
                <w:b/>
                <w:bCs/>
                <w:color w:val="00B050"/>
                <w:sz w:val="16"/>
                <w:szCs w:val="16"/>
              </w:rPr>
            </w:pPr>
          </w:p>
          <w:p w:rsidR="0095318C" w:rsidRPr="003C4694" w:rsidRDefault="0095318C" w:rsidP="00DC1333">
            <w:pPr>
              <w:keepNext/>
              <w:keepLines/>
              <w:jc w:val="center"/>
              <w:rPr>
                <w:b/>
                <w:bCs/>
                <w:color w:val="00B050"/>
                <w:sz w:val="16"/>
                <w:szCs w:val="16"/>
              </w:rPr>
            </w:pPr>
            <w:r w:rsidRPr="004B265E">
              <w:rPr>
                <w:b/>
                <w:bCs/>
                <w:color w:val="00B050"/>
                <w:sz w:val="14"/>
                <w:szCs w:val="14"/>
              </w:rPr>
              <w:t>Plenamente logrado</w:t>
            </w:r>
            <w:r w:rsidRPr="003C4694">
              <w:rPr>
                <w:b/>
                <w:bCs/>
                <w:color w:val="00B050"/>
                <w:sz w:val="16"/>
                <w:szCs w:val="16"/>
              </w:rPr>
              <w:t xml:space="preserve"> </w:t>
            </w:r>
          </w:p>
          <w:p w:rsidR="0095318C" w:rsidRPr="003C4694" w:rsidRDefault="0095318C" w:rsidP="00DC1333">
            <w:pPr>
              <w:keepNext/>
              <w:keepLines/>
              <w:jc w:val="center"/>
              <w:rPr>
                <w:b/>
                <w:bCs/>
                <w:color w:val="00B050"/>
                <w:sz w:val="16"/>
                <w:szCs w:val="16"/>
              </w:rPr>
            </w:pPr>
          </w:p>
          <w:p w:rsidR="0095318C" w:rsidRPr="003C4694" w:rsidRDefault="0095318C" w:rsidP="00DC1333">
            <w:pPr>
              <w:keepNext/>
              <w:keepLines/>
              <w:jc w:val="center"/>
              <w:rPr>
                <w:b/>
                <w:bCs/>
                <w:sz w:val="16"/>
                <w:szCs w:val="16"/>
              </w:rPr>
            </w:pPr>
            <w:r w:rsidRPr="004B265E">
              <w:rPr>
                <w:b/>
                <w:bCs/>
                <w:color w:val="00B050"/>
                <w:sz w:val="14"/>
                <w:szCs w:val="14"/>
              </w:rPr>
              <w:t>Plenamente logrado</w:t>
            </w:r>
            <w:r w:rsidRPr="003C4694">
              <w:rPr>
                <w:b/>
                <w:bCs/>
                <w:sz w:val="16"/>
                <w:szCs w:val="16"/>
              </w:rPr>
              <w:t xml:space="preserve"> </w:t>
            </w:r>
          </w:p>
        </w:tc>
      </w:tr>
      <w:tr w:rsidR="0095318C" w:rsidRPr="003131FE" w:rsidTr="00DC1333">
        <w:tc>
          <w:tcPr>
            <w:tcW w:w="9498" w:type="dxa"/>
            <w:gridSpan w:val="12"/>
            <w:tcBorders>
              <w:top w:val="single" w:sz="4" w:space="0" w:color="auto"/>
              <w:bottom w:val="single" w:sz="4" w:space="0" w:color="auto"/>
            </w:tcBorders>
            <w:shd w:val="clear" w:color="auto" w:fill="C6D9F1" w:themeFill="text2" w:themeFillTint="33"/>
            <w:vAlign w:val="center"/>
          </w:tcPr>
          <w:p w:rsidR="0095318C" w:rsidRPr="00D0340B" w:rsidRDefault="0095318C" w:rsidP="00DC1333">
            <w:pPr>
              <w:spacing w:before="120" w:after="120"/>
              <w:ind w:left="2019" w:hanging="2019"/>
              <w:rPr>
                <w:b/>
                <w:bCs/>
                <w:sz w:val="16"/>
                <w:szCs w:val="16"/>
              </w:rPr>
            </w:pPr>
            <w:r>
              <w:rPr>
                <w:b/>
                <w:bCs/>
                <w:sz w:val="16"/>
                <w:szCs w:val="16"/>
              </w:rPr>
              <w:t>Resultado previsto</w:t>
            </w:r>
            <w:r w:rsidRPr="00D0340B">
              <w:rPr>
                <w:b/>
                <w:bCs/>
                <w:sz w:val="16"/>
                <w:szCs w:val="16"/>
              </w:rPr>
              <w:t>:</w:t>
            </w:r>
            <w:r w:rsidRPr="00D0340B">
              <w:rPr>
                <w:b/>
                <w:bCs/>
                <w:sz w:val="16"/>
                <w:szCs w:val="16"/>
              </w:rPr>
              <w:tab/>
            </w:r>
            <w:r w:rsidRPr="00D0340B">
              <w:rPr>
                <w:bCs/>
                <w:sz w:val="16"/>
                <w:szCs w:val="16"/>
              </w:rPr>
              <w:t>III.4 Fortalecimiento de los mecanismos y de los programas de cooperaci</w:t>
            </w:r>
            <w:r>
              <w:rPr>
                <w:bCs/>
                <w:sz w:val="16"/>
                <w:szCs w:val="16"/>
              </w:rPr>
              <w:t>ón conforme a las necesidades de los países en desarrollo y los PMA</w:t>
            </w:r>
          </w:p>
        </w:tc>
      </w:tr>
      <w:tr w:rsidR="0095318C" w:rsidRPr="003C4694" w:rsidTr="00DC1333">
        <w:trPr>
          <w:trHeight w:val="369"/>
        </w:trPr>
        <w:tc>
          <w:tcPr>
            <w:tcW w:w="1982" w:type="dxa"/>
            <w:tcBorders>
              <w:top w:val="single" w:sz="4" w:space="0" w:color="auto"/>
              <w:left w:val="single" w:sz="4" w:space="0" w:color="auto"/>
              <w:bottom w:val="nil"/>
              <w:right w:val="nil"/>
            </w:tcBorders>
            <w:shd w:val="clear" w:color="auto" w:fill="auto"/>
            <w:vAlign w:val="center"/>
          </w:tcPr>
          <w:p w:rsidR="0095318C" w:rsidRDefault="0095318C" w:rsidP="00DC1333">
            <w:pPr>
              <w:spacing w:after="40"/>
              <w:rPr>
                <w:b/>
                <w:bCs/>
                <w:sz w:val="16"/>
                <w:szCs w:val="16"/>
              </w:rPr>
            </w:pPr>
          </w:p>
          <w:p w:rsidR="0095318C" w:rsidRPr="003C4694" w:rsidRDefault="0095318C" w:rsidP="00DC1333">
            <w:pPr>
              <w:spacing w:after="40"/>
              <w:rPr>
                <w:sz w:val="16"/>
                <w:szCs w:val="16"/>
              </w:rPr>
            </w:pPr>
            <w:r>
              <w:rPr>
                <w:b/>
                <w:bCs/>
                <w:sz w:val="16"/>
                <w:szCs w:val="16"/>
              </w:rPr>
              <w:t>Indicadores de rendimiento</w:t>
            </w:r>
          </w:p>
        </w:tc>
        <w:tc>
          <w:tcPr>
            <w:tcW w:w="2128" w:type="dxa"/>
            <w:gridSpan w:val="3"/>
            <w:tcBorders>
              <w:top w:val="single" w:sz="4" w:space="0" w:color="auto"/>
              <w:left w:val="nil"/>
              <w:bottom w:val="nil"/>
              <w:right w:val="nil"/>
            </w:tcBorders>
            <w:shd w:val="clear" w:color="auto" w:fill="auto"/>
            <w:vAlign w:val="center"/>
          </w:tcPr>
          <w:p w:rsidR="0095318C" w:rsidRPr="003C4694" w:rsidRDefault="0095318C" w:rsidP="00DC1333">
            <w:pPr>
              <w:spacing w:after="40"/>
              <w:rPr>
                <w:b/>
                <w:bCs/>
                <w:sz w:val="16"/>
                <w:szCs w:val="16"/>
              </w:rPr>
            </w:pPr>
            <w:r>
              <w:rPr>
                <w:b/>
                <w:bCs/>
                <w:sz w:val="16"/>
                <w:szCs w:val="16"/>
              </w:rPr>
              <w:t>Referencia</w:t>
            </w:r>
          </w:p>
        </w:tc>
        <w:tc>
          <w:tcPr>
            <w:tcW w:w="1843" w:type="dxa"/>
            <w:gridSpan w:val="4"/>
            <w:tcBorders>
              <w:top w:val="single" w:sz="4" w:space="0" w:color="auto"/>
              <w:left w:val="nil"/>
              <w:bottom w:val="nil"/>
              <w:right w:val="nil"/>
            </w:tcBorders>
            <w:shd w:val="clear" w:color="auto" w:fill="auto"/>
            <w:vAlign w:val="center"/>
          </w:tcPr>
          <w:p w:rsidR="0095318C" w:rsidRPr="003C4694" w:rsidRDefault="0095318C" w:rsidP="00DC1333">
            <w:pPr>
              <w:spacing w:after="40"/>
              <w:rPr>
                <w:b/>
                <w:sz w:val="16"/>
                <w:szCs w:val="16"/>
              </w:rPr>
            </w:pPr>
            <w:r>
              <w:rPr>
                <w:b/>
                <w:sz w:val="16"/>
                <w:szCs w:val="16"/>
              </w:rPr>
              <w:t>Objetivo</w:t>
            </w:r>
            <w:r w:rsidRPr="003C4694">
              <w:rPr>
                <w:b/>
                <w:sz w:val="16"/>
                <w:szCs w:val="16"/>
              </w:rPr>
              <w:t>s</w:t>
            </w:r>
          </w:p>
        </w:tc>
        <w:tc>
          <w:tcPr>
            <w:tcW w:w="2055" w:type="dxa"/>
            <w:tcBorders>
              <w:top w:val="single" w:sz="4" w:space="0" w:color="auto"/>
              <w:left w:val="nil"/>
              <w:bottom w:val="nil"/>
              <w:right w:val="nil"/>
            </w:tcBorders>
            <w:shd w:val="clear" w:color="auto" w:fill="auto"/>
            <w:vAlign w:val="center"/>
          </w:tcPr>
          <w:p w:rsidR="0095318C" w:rsidRPr="003C4694" w:rsidRDefault="0095318C" w:rsidP="00DC1333">
            <w:pPr>
              <w:spacing w:after="40"/>
              <w:rPr>
                <w:sz w:val="16"/>
                <w:szCs w:val="16"/>
              </w:rPr>
            </w:pPr>
            <w:r>
              <w:rPr>
                <w:b/>
                <w:bCs/>
                <w:sz w:val="16"/>
                <w:szCs w:val="16"/>
              </w:rPr>
              <w:t>Datos sobre el rendimiento</w:t>
            </w:r>
          </w:p>
        </w:tc>
        <w:tc>
          <w:tcPr>
            <w:tcW w:w="1490" w:type="dxa"/>
            <w:gridSpan w:val="3"/>
            <w:tcBorders>
              <w:top w:val="single" w:sz="4" w:space="0" w:color="auto"/>
              <w:left w:val="nil"/>
              <w:bottom w:val="nil"/>
              <w:right w:val="single" w:sz="4" w:space="0" w:color="auto"/>
            </w:tcBorders>
            <w:shd w:val="clear" w:color="auto" w:fill="auto"/>
            <w:vAlign w:val="center"/>
          </w:tcPr>
          <w:p w:rsidR="0095318C" w:rsidRPr="003C4694" w:rsidRDefault="0095318C" w:rsidP="00DC1333">
            <w:pPr>
              <w:spacing w:after="40"/>
              <w:jc w:val="center"/>
              <w:rPr>
                <w:b/>
                <w:bCs/>
                <w:sz w:val="16"/>
                <w:szCs w:val="16"/>
              </w:rPr>
            </w:pPr>
            <w:r>
              <w:rPr>
                <w:b/>
                <w:bCs/>
                <w:sz w:val="16"/>
                <w:szCs w:val="16"/>
              </w:rPr>
              <w:t>Clave de los colores</w:t>
            </w:r>
          </w:p>
        </w:tc>
      </w:tr>
      <w:tr w:rsidR="0095318C" w:rsidRPr="00A7052B" w:rsidTr="00DC1333">
        <w:tc>
          <w:tcPr>
            <w:tcW w:w="1982" w:type="dxa"/>
            <w:tcBorders>
              <w:top w:val="nil"/>
              <w:left w:val="single" w:sz="4" w:space="0" w:color="auto"/>
              <w:bottom w:val="single" w:sz="4" w:space="0" w:color="auto"/>
              <w:right w:val="nil"/>
            </w:tcBorders>
            <w:shd w:val="clear" w:color="auto" w:fill="FFFFFF"/>
          </w:tcPr>
          <w:p w:rsidR="0095318C" w:rsidRPr="008A0ABA" w:rsidRDefault="0095318C" w:rsidP="00DC1333">
            <w:pPr>
              <w:rPr>
                <w:sz w:val="16"/>
                <w:szCs w:val="16"/>
                <w:lang w:bidi="th-TH"/>
              </w:rPr>
            </w:pPr>
            <w:r w:rsidRPr="008A0ABA">
              <w:rPr>
                <w:sz w:val="16"/>
                <w:szCs w:val="16"/>
                <w:lang w:bidi="th-TH"/>
              </w:rPr>
              <w:t>Número de mecanismos de cooperación, programas y asociaciones nuevos o consolidados a los que se presta apoyo para promover/fortalecer la cooperación subregional o regional en P.I.</w:t>
            </w:r>
          </w:p>
        </w:tc>
        <w:tc>
          <w:tcPr>
            <w:tcW w:w="2128" w:type="dxa"/>
            <w:gridSpan w:val="3"/>
            <w:tcBorders>
              <w:top w:val="nil"/>
              <w:left w:val="nil"/>
              <w:bottom w:val="single" w:sz="4" w:space="0" w:color="auto"/>
              <w:right w:val="nil"/>
            </w:tcBorders>
            <w:shd w:val="clear" w:color="auto" w:fill="auto"/>
          </w:tcPr>
          <w:p w:rsidR="0095318C" w:rsidRPr="008A0ABA" w:rsidRDefault="0095318C" w:rsidP="00DC1333">
            <w:pPr>
              <w:rPr>
                <w:sz w:val="16"/>
                <w:szCs w:val="16"/>
                <w:lang w:bidi="th-TH"/>
              </w:rPr>
            </w:pPr>
            <w:r w:rsidRPr="008A0ABA">
              <w:rPr>
                <w:sz w:val="16"/>
                <w:szCs w:val="16"/>
                <w:lang w:bidi="th-TH"/>
              </w:rPr>
              <w:t>África (3)</w:t>
            </w:r>
          </w:p>
          <w:p w:rsidR="0095318C" w:rsidRPr="008A0ABA" w:rsidRDefault="0095318C" w:rsidP="00DC1333">
            <w:pPr>
              <w:rPr>
                <w:sz w:val="16"/>
                <w:szCs w:val="16"/>
                <w:lang w:bidi="th-TH"/>
              </w:rPr>
            </w:pPr>
            <w:r w:rsidRPr="008A0ABA">
              <w:rPr>
                <w:sz w:val="16"/>
                <w:szCs w:val="16"/>
                <w:lang w:bidi="th-TH"/>
              </w:rPr>
              <w:t>Región árabe (2)</w:t>
            </w:r>
          </w:p>
          <w:p w:rsidR="0095318C" w:rsidRPr="008A0ABA" w:rsidRDefault="0095318C" w:rsidP="00DC1333">
            <w:pPr>
              <w:rPr>
                <w:sz w:val="16"/>
                <w:szCs w:val="16"/>
                <w:lang w:bidi="th-TH"/>
              </w:rPr>
            </w:pPr>
            <w:r w:rsidRPr="008A0ABA">
              <w:rPr>
                <w:sz w:val="16"/>
                <w:szCs w:val="16"/>
                <w:lang w:bidi="th-TH"/>
              </w:rPr>
              <w:t>Asia y el Pacífico (4)</w:t>
            </w:r>
          </w:p>
          <w:p w:rsidR="0095318C" w:rsidRPr="008A0ABA" w:rsidRDefault="0095318C" w:rsidP="00DC1333">
            <w:pPr>
              <w:rPr>
                <w:sz w:val="16"/>
                <w:szCs w:val="16"/>
                <w:lang w:bidi="th-TH"/>
              </w:rPr>
            </w:pPr>
            <w:r w:rsidRPr="008A0ABA">
              <w:rPr>
                <w:sz w:val="16"/>
                <w:szCs w:val="16"/>
                <w:lang w:bidi="th-TH"/>
              </w:rPr>
              <w:t>América Latina y el Caribe (3)</w:t>
            </w:r>
          </w:p>
          <w:p w:rsidR="0095318C" w:rsidRPr="008A0ABA" w:rsidRDefault="0095318C" w:rsidP="00DC1333">
            <w:pPr>
              <w:rPr>
                <w:sz w:val="16"/>
                <w:szCs w:val="16"/>
                <w:lang w:bidi="th-TH"/>
              </w:rPr>
            </w:pPr>
            <w:r w:rsidRPr="008A0ABA">
              <w:rPr>
                <w:sz w:val="16"/>
                <w:szCs w:val="16"/>
                <w:lang w:bidi="th-TH"/>
              </w:rPr>
              <w:t>2 PMA incluidos en el desglose regional precedente</w:t>
            </w:r>
          </w:p>
          <w:p w:rsidR="0095318C" w:rsidRPr="008A0ABA" w:rsidRDefault="0095318C" w:rsidP="00DC1333">
            <w:pPr>
              <w:rPr>
                <w:sz w:val="16"/>
                <w:szCs w:val="16"/>
              </w:rPr>
            </w:pPr>
            <w:r w:rsidRPr="008A0ABA">
              <w:rPr>
                <w:sz w:val="16"/>
                <w:szCs w:val="16"/>
                <w:lang w:bidi="th-TH"/>
              </w:rPr>
              <w:t>Proyectos de tecnología adecuados en 3 PMA</w:t>
            </w:r>
          </w:p>
        </w:tc>
        <w:tc>
          <w:tcPr>
            <w:tcW w:w="1843" w:type="dxa"/>
            <w:gridSpan w:val="4"/>
            <w:tcBorders>
              <w:top w:val="nil"/>
              <w:left w:val="nil"/>
              <w:bottom w:val="single" w:sz="4" w:space="0" w:color="auto"/>
              <w:right w:val="nil"/>
            </w:tcBorders>
            <w:shd w:val="clear" w:color="auto" w:fill="auto"/>
            <w:tcMar>
              <w:top w:w="110" w:type="dxa"/>
            </w:tcMar>
          </w:tcPr>
          <w:p w:rsidR="0095318C" w:rsidRPr="008A0ABA" w:rsidRDefault="0095318C" w:rsidP="00DC1333">
            <w:pPr>
              <w:rPr>
                <w:sz w:val="16"/>
                <w:szCs w:val="16"/>
                <w:lang w:bidi="th-TH"/>
              </w:rPr>
            </w:pPr>
            <w:r w:rsidRPr="008A0ABA">
              <w:rPr>
                <w:sz w:val="16"/>
                <w:szCs w:val="16"/>
                <w:lang w:bidi="th-TH"/>
              </w:rPr>
              <w:t>África (2)</w:t>
            </w:r>
          </w:p>
          <w:p w:rsidR="0095318C" w:rsidRPr="008A0ABA" w:rsidRDefault="0095318C" w:rsidP="00DC1333">
            <w:pPr>
              <w:rPr>
                <w:sz w:val="16"/>
                <w:szCs w:val="16"/>
                <w:lang w:bidi="th-TH"/>
              </w:rPr>
            </w:pPr>
          </w:p>
          <w:p w:rsidR="0095318C" w:rsidRPr="008A0ABA" w:rsidRDefault="0095318C" w:rsidP="00DC1333">
            <w:pPr>
              <w:rPr>
                <w:sz w:val="16"/>
                <w:szCs w:val="16"/>
                <w:lang w:bidi="th-TH"/>
              </w:rPr>
            </w:pPr>
          </w:p>
          <w:p w:rsidR="0095318C" w:rsidRPr="008A0ABA" w:rsidRDefault="0095318C" w:rsidP="00DC1333">
            <w:pPr>
              <w:rPr>
                <w:sz w:val="16"/>
                <w:szCs w:val="16"/>
                <w:lang w:bidi="th-TH"/>
              </w:rPr>
            </w:pPr>
          </w:p>
          <w:p w:rsidR="0095318C" w:rsidRPr="008A0ABA" w:rsidRDefault="0095318C" w:rsidP="00DC1333">
            <w:pPr>
              <w:rPr>
                <w:sz w:val="16"/>
                <w:szCs w:val="16"/>
                <w:lang w:bidi="th-TH"/>
              </w:rPr>
            </w:pPr>
          </w:p>
          <w:p w:rsidR="0095318C" w:rsidRPr="008A0ABA" w:rsidRDefault="0095318C" w:rsidP="00DC1333">
            <w:pPr>
              <w:rPr>
                <w:sz w:val="16"/>
                <w:szCs w:val="16"/>
                <w:lang w:bidi="th-TH"/>
              </w:rPr>
            </w:pPr>
          </w:p>
          <w:p w:rsidR="0095318C" w:rsidRPr="008A0ABA" w:rsidRDefault="0095318C" w:rsidP="00DC1333">
            <w:pPr>
              <w:rPr>
                <w:sz w:val="16"/>
                <w:szCs w:val="16"/>
                <w:lang w:bidi="th-TH"/>
              </w:rPr>
            </w:pPr>
          </w:p>
          <w:p w:rsidR="0095318C" w:rsidRPr="008A0ABA" w:rsidRDefault="0095318C" w:rsidP="00DC1333">
            <w:pPr>
              <w:rPr>
                <w:sz w:val="16"/>
                <w:szCs w:val="16"/>
                <w:lang w:bidi="th-TH"/>
              </w:rPr>
            </w:pPr>
          </w:p>
          <w:p w:rsidR="0095318C" w:rsidRPr="008A0ABA" w:rsidRDefault="0095318C" w:rsidP="00DC1333">
            <w:pPr>
              <w:rPr>
                <w:sz w:val="16"/>
                <w:szCs w:val="16"/>
                <w:lang w:bidi="th-TH"/>
              </w:rPr>
            </w:pPr>
          </w:p>
          <w:p w:rsidR="0095318C" w:rsidRDefault="0095318C" w:rsidP="00DC1333">
            <w:pPr>
              <w:rPr>
                <w:sz w:val="16"/>
                <w:szCs w:val="16"/>
                <w:lang w:bidi="th-TH"/>
              </w:rPr>
            </w:pPr>
          </w:p>
          <w:p w:rsidR="0095318C" w:rsidRDefault="0095318C" w:rsidP="00DC1333">
            <w:pPr>
              <w:rPr>
                <w:sz w:val="16"/>
                <w:szCs w:val="16"/>
                <w:lang w:bidi="th-TH"/>
              </w:rPr>
            </w:pPr>
          </w:p>
          <w:p w:rsidR="0095318C" w:rsidRPr="008A0ABA" w:rsidRDefault="0095318C" w:rsidP="00DC1333">
            <w:pPr>
              <w:rPr>
                <w:sz w:val="16"/>
                <w:szCs w:val="16"/>
                <w:lang w:bidi="th-TH"/>
              </w:rPr>
            </w:pPr>
          </w:p>
          <w:p w:rsidR="0095318C" w:rsidRPr="008A0ABA" w:rsidRDefault="0095318C" w:rsidP="00DC1333">
            <w:pPr>
              <w:rPr>
                <w:sz w:val="16"/>
                <w:szCs w:val="16"/>
                <w:lang w:bidi="th-TH"/>
              </w:rPr>
            </w:pPr>
          </w:p>
          <w:p w:rsidR="0095318C" w:rsidRPr="008A0ABA" w:rsidRDefault="0095318C" w:rsidP="00DC1333">
            <w:pPr>
              <w:rPr>
                <w:sz w:val="16"/>
                <w:szCs w:val="16"/>
                <w:lang w:bidi="th-TH"/>
              </w:rPr>
            </w:pPr>
            <w:r w:rsidRPr="008A0ABA">
              <w:rPr>
                <w:sz w:val="16"/>
                <w:szCs w:val="16"/>
                <w:lang w:bidi="th-TH"/>
              </w:rPr>
              <w:t>Región árabe (1)</w:t>
            </w:r>
          </w:p>
          <w:p w:rsidR="0095318C" w:rsidRPr="008A0ABA" w:rsidRDefault="0095318C" w:rsidP="00DC1333">
            <w:pPr>
              <w:rPr>
                <w:sz w:val="16"/>
                <w:szCs w:val="16"/>
                <w:lang w:bidi="th-TH"/>
              </w:rPr>
            </w:pPr>
          </w:p>
          <w:p w:rsidR="0095318C" w:rsidRPr="008A0ABA" w:rsidRDefault="0095318C" w:rsidP="00DC1333">
            <w:pPr>
              <w:rPr>
                <w:sz w:val="16"/>
                <w:szCs w:val="16"/>
                <w:lang w:bidi="th-TH"/>
              </w:rPr>
            </w:pPr>
          </w:p>
          <w:p w:rsidR="0095318C" w:rsidRPr="008A0ABA" w:rsidRDefault="0095318C" w:rsidP="00DC1333">
            <w:pPr>
              <w:rPr>
                <w:sz w:val="16"/>
                <w:szCs w:val="16"/>
                <w:lang w:bidi="th-TH"/>
              </w:rPr>
            </w:pPr>
          </w:p>
          <w:p w:rsidR="0095318C" w:rsidRDefault="0095318C" w:rsidP="00DC1333">
            <w:pPr>
              <w:rPr>
                <w:sz w:val="16"/>
                <w:szCs w:val="16"/>
                <w:lang w:bidi="th-TH"/>
              </w:rPr>
            </w:pPr>
          </w:p>
          <w:p w:rsidR="0095318C" w:rsidRDefault="0095318C" w:rsidP="00DC1333">
            <w:pPr>
              <w:rPr>
                <w:sz w:val="16"/>
                <w:szCs w:val="16"/>
                <w:lang w:bidi="th-TH"/>
              </w:rPr>
            </w:pPr>
          </w:p>
          <w:p w:rsidR="0095318C" w:rsidRDefault="0095318C" w:rsidP="00DC1333">
            <w:pPr>
              <w:rPr>
                <w:sz w:val="16"/>
                <w:szCs w:val="16"/>
                <w:lang w:bidi="th-TH"/>
              </w:rPr>
            </w:pPr>
          </w:p>
          <w:p w:rsidR="0095318C" w:rsidRPr="008A0ABA" w:rsidRDefault="0095318C" w:rsidP="00DC1333">
            <w:pPr>
              <w:rPr>
                <w:sz w:val="16"/>
                <w:szCs w:val="16"/>
                <w:lang w:bidi="th-TH"/>
              </w:rPr>
            </w:pPr>
          </w:p>
          <w:p w:rsidR="0095318C" w:rsidRPr="008A0ABA" w:rsidRDefault="0095318C" w:rsidP="00DC1333">
            <w:pPr>
              <w:rPr>
                <w:sz w:val="16"/>
                <w:szCs w:val="16"/>
                <w:lang w:bidi="th-TH"/>
              </w:rPr>
            </w:pPr>
          </w:p>
          <w:p w:rsidR="0095318C" w:rsidRPr="008A0ABA" w:rsidRDefault="0095318C" w:rsidP="00DC1333">
            <w:pPr>
              <w:rPr>
                <w:sz w:val="16"/>
                <w:szCs w:val="16"/>
                <w:lang w:bidi="th-TH"/>
              </w:rPr>
            </w:pPr>
          </w:p>
        </w:tc>
        <w:tc>
          <w:tcPr>
            <w:tcW w:w="2055" w:type="dxa"/>
            <w:tcBorders>
              <w:top w:val="nil"/>
              <w:left w:val="nil"/>
              <w:bottom w:val="single" w:sz="4" w:space="0" w:color="auto"/>
              <w:right w:val="nil"/>
            </w:tcBorders>
            <w:shd w:val="clear" w:color="auto" w:fill="FFFFFF"/>
            <w:tcMar>
              <w:top w:w="110" w:type="dxa"/>
            </w:tcMar>
          </w:tcPr>
          <w:p w:rsidR="0095318C" w:rsidRPr="00992AF7" w:rsidRDefault="0095318C" w:rsidP="00DC1333">
            <w:pPr>
              <w:rPr>
                <w:sz w:val="16"/>
                <w:szCs w:val="16"/>
                <w:lang w:bidi="th-TH"/>
              </w:rPr>
            </w:pPr>
            <w:r w:rsidRPr="008A0ABA">
              <w:rPr>
                <w:sz w:val="16"/>
                <w:szCs w:val="16"/>
                <w:lang w:bidi="th-TH"/>
              </w:rPr>
              <w:t>África (2):</w:t>
            </w:r>
            <w:r>
              <w:rPr>
                <w:sz w:val="16"/>
                <w:szCs w:val="16"/>
                <w:lang w:bidi="th-TH"/>
              </w:rPr>
              <w:t xml:space="preserve"> </w:t>
            </w:r>
            <w:r w:rsidRPr="008A0ABA">
              <w:rPr>
                <w:sz w:val="16"/>
                <w:szCs w:val="16"/>
                <w:lang w:bidi="th-TH"/>
              </w:rPr>
              <w:t xml:space="preserve"> i) </w:t>
            </w:r>
            <w:r>
              <w:rPr>
                <w:sz w:val="16"/>
                <w:szCs w:val="16"/>
                <w:lang w:bidi="th-TH"/>
              </w:rPr>
              <w:t xml:space="preserve">en mayo de 2014 </w:t>
            </w:r>
            <w:r w:rsidRPr="008A0ABA">
              <w:rPr>
                <w:sz w:val="16"/>
                <w:szCs w:val="16"/>
                <w:lang w:bidi="th-TH"/>
              </w:rPr>
              <w:t xml:space="preserve">se firmó un memorando de entendimiento con la </w:t>
            </w:r>
            <w:proofErr w:type="spellStart"/>
            <w:r w:rsidRPr="008A0ABA">
              <w:rPr>
                <w:i/>
                <w:sz w:val="16"/>
                <w:szCs w:val="16"/>
                <w:lang w:bidi="th-TH"/>
              </w:rPr>
              <w:t>Organisation</w:t>
            </w:r>
            <w:proofErr w:type="spellEnd"/>
            <w:r w:rsidRPr="008A0ABA">
              <w:rPr>
                <w:i/>
                <w:sz w:val="16"/>
                <w:szCs w:val="16"/>
                <w:lang w:bidi="th-TH"/>
              </w:rPr>
              <w:t xml:space="preserve"> </w:t>
            </w:r>
            <w:proofErr w:type="spellStart"/>
            <w:r w:rsidRPr="008A0ABA">
              <w:rPr>
                <w:i/>
                <w:sz w:val="16"/>
                <w:szCs w:val="16"/>
                <w:lang w:bidi="th-TH"/>
              </w:rPr>
              <w:t>Internationale</w:t>
            </w:r>
            <w:proofErr w:type="spellEnd"/>
            <w:r w:rsidRPr="008A0ABA">
              <w:rPr>
                <w:i/>
                <w:sz w:val="16"/>
                <w:szCs w:val="16"/>
                <w:lang w:bidi="th-TH"/>
              </w:rPr>
              <w:t xml:space="preserve"> de la </w:t>
            </w:r>
            <w:proofErr w:type="spellStart"/>
            <w:r w:rsidRPr="008A0ABA">
              <w:rPr>
                <w:i/>
                <w:sz w:val="16"/>
                <w:szCs w:val="16"/>
                <w:lang w:bidi="th-TH"/>
              </w:rPr>
              <w:t>Francophonie</w:t>
            </w:r>
            <w:proofErr w:type="spellEnd"/>
            <w:r w:rsidRPr="008A0ABA">
              <w:rPr>
                <w:i/>
                <w:sz w:val="16"/>
                <w:szCs w:val="16"/>
                <w:lang w:bidi="th-TH"/>
              </w:rPr>
              <w:t xml:space="preserve"> </w:t>
            </w:r>
            <w:r>
              <w:rPr>
                <w:sz w:val="16"/>
                <w:szCs w:val="16"/>
                <w:lang w:bidi="th-TH"/>
              </w:rPr>
              <w:t xml:space="preserve">(OIF);  </w:t>
            </w:r>
            <w:r w:rsidRPr="008A0ABA">
              <w:rPr>
                <w:sz w:val="16"/>
                <w:szCs w:val="16"/>
                <w:lang w:bidi="th-TH"/>
              </w:rPr>
              <w:t xml:space="preserve">ii) </w:t>
            </w:r>
            <w:r>
              <w:rPr>
                <w:sz w:val="16"/>
                <w:szCs w:val="16"/>
                <w:lang w:bidi="th-TH"/>
              </w:rPr>
              <w:t>cooperación Unió</w:t>
            </w:r>
            <w:r w:rsidRPr="008A0ABA">
              <w:rPr>
                <w:sz w:val="16"/>
                <w:szCs w:val="16"/>
                <w:lang w:bidi="th-TH"/>
              </w:rPr>
              <w:t>n</w:t>
            </w:r>
            <w:r>
              <w:rPr>
                <w:sz w:val="16"/>
                <w:szCs w:val="16"/>
                <w:lang w:bidi="th-TH"/>
              </w:rPr>
              <w:t xml:space="preserve"> Africana /</w:t>
            </w:r>
            <w:r w:rsidRPr="008A0ABA">
              <w:rPr>
                <w:sz w:val="16"/>
                <w:szCs w:val="16"/>
                <w:lang w:bidi="th-TH"/>
              </w:rPr>
              <w:t>O</w:t>
            </w:r>
            <w:r>
              <w:rPr>
                <w:sz w:val="16"/>
                <w:szCs w:val="16"/>
                <w:lang w:bidi="th-TH"/>
              </w:rPr>
              <w:t>MPI en virtud de la</w:t>
            </w:r>
            <w:r w:rsidRPr="008A0ABA">
              <w:rPr>
                <w:sz w:val="16"/>
                <w:szCs w:val="16"/>
                <w:lang w:bidi="th-TH"/>
              </w:rPr>
              <w:t xml:space="preserve"> </w:t>
            </w:r>
            <w:r w:rsidRPr="008A0ABA">
              <w:rPr>
                <w:i/>
                <w:sz w:val="16"/>
                <w:szCs w:val="16"/>
                <w:lang w:bidi="th-TH"/>
              </w:rPr>
              <w:t>D</w:t>
            </w:r>
            <w:r>
              <w:rPr>
                <w:i/>
                <w:sz w:val="16"/>
                <w:szCs w:val="16"/>
                <w:lang w:bidi="th-TH"/>
              </w:rPr>
              <w:t xml:space="preserve">eclaración de Dakar sobre la Propiedad </w:t>
            </w:r>
            <w:r w:rsidRPr="00992AF7">
              <w:rPr>
                <w:i/>
                <w:sz w:val="16"/>
                <w:szCs w:val="16"/>
                <w:lang w:bidi="th-TH"/>
              </w:rPr>
              <w:t>Intelectual para África</w:t>
            </w:r>
            <w:r w:rsidRPr="00992AF7">
              <w:rPr>
                <w:rStyle w:val="FootnoteReference"/>
                <w:i/>
                <w:sz w:val="16"/>
                <w:szCs w:val="16"/>
                <w:lang w:bidi="th-TH"/>
              </w:rPr>
              <w:footnoteReference w:id="67"/>
            </w:r>
          </w:p>
          <w:p w:rsidR="0095318C" w:rsidRPr="00992AF7" w:rsidRDefault="0095318C" w:rsidP="00DC1333">
            <w:pPr>
              <w:rPr>
                <w:sz w:val="16"/>
                <w:szCs w:val="16"/>
                <w:lang w:bidi="th-TH"/>
              </w:rPr>
            </w:pPr>
          </w:p>
          <w:p w:rsidR="0095318C" w:rsidRPr="006561B2" w:rsidRDefault="0095318C" w:rsidP="00DC1333">
            <w:pPr>
              <w:rPr>
                <w:sz w:val="16"/>
                <w:szCs w:val="16"/>
                <w:lang w:bidi="th-TH"/>
              </w:rPr>
            </w:pPr>
            <w:r w:rsidRPr="00992AF7">
              <w:rPr>
                <w:sz w:val="16"/>
                <w:szCs w:val="16"/>
                <w:lang w:bidi="th-TH"/>
              </w:rPr>
              <w:t xml:space="preserve">Región árabe (1):  en octubre de 2015 se firmó un memorando de entendimiento con la </w:t>
            </w:r>
            <w:proofErr w:type="spellStart"/>
            <w:r w:rsidRPr="00992AF7">
              <w:rPr>
                <w:sz w:val="16"/>
                <w:szCs w:val="16"/>
                <w:lang w:bidi="th-TH"/>
              </w:rPr>
              <w:t>Emirates</w:t>
            </w:r>
            <w:proofErr w:type="spellEnd"/>
            <w:r w:rsidRPr="00992AF7">
              <w:rPr>
                <w:sz w:val="16"/>
                <w:szCs w:val="16"/>
                <w:lang w:bidi="th-TH"/>
              </w:rPr>
              <w:t xml:space="preserve"> Intellectual Property Association (EIPA) y los Emiratos Árabes Unidos</w:t>
            </w:r>
            <w:r w:rsidRPr="003C4694">
              <w:rPr>
                <w:rStyle w:val="FootnoteReference"/>
                <w:sz w:val="16"/>
                <w:szCs w:val="16"/>
                <w:lang w:bidi="th-TH"/>
              </w:rPr>
              <w:footnoteReference w:id="68"/>
            </w:r>
            <w:r w:rsidRPr="006561B2">
              <w:rPr>
                <w:sz w:val="16"/>
                <w:szCs w:val="16"/>
                <w:lang w:bidi="th-TH"/>
              </w:rPr>
              <w:t xml:space="preserve"> </w:t>
            </w:r>
          </w:p>
          <w:p w:rsidR="0095318C" w:rsidRPr="006561B2" w:rsidRDefault="0095318C" w:rsidP="00DC1333">
            <w:pPr>
              <w:rPr>
                <w:sz w:val="16"/>
                <w:szCs w:val="16"/>
                <w:lang w:bidi="th-TH"/>
              </w:rPr>
            </w:pPr>
          </w:p>
          <w:p w:rsidR="0095318C" w:rsidRPr="008268D1" w:rsidRDefault="0095318C" w:rsidP="00DC1333">
            <w:pPr>
              <w:rPr>
                <w:sz w:val="16"/>
                <w:szCs w:val="16"/>
                <w:lang w:bidi="th-TH"/>
              </w:rPr>
            </w:pPr>
          </w:p>
        </w:tc>
        <w:tc>
          <w:tcPr>
            <w:tcW w:w="1490" w:type="dxa"/>
            <w:gridSpan w:val="3"/>
            <w:tcBorders>
              <w:top w:val="nil"/>
              <w:left w:val="nil"/>
              <w:bottom w:val="single" w:sz="4" w:space="0" w:color="auto"/>
              <w:right w:val="single" w:sz="4" w:space="0" w:color="auto"/>
            </w:tcBorders>
            <w:shd w:val="clear" w:color="auto" w:fill="auto"/>
            <w:tcMar>
              <w:top w:w="110" w:type="dxa"/>
            </w:tcMar>
          </w:tcPr>
          <w:p w:rsidR="0095318C" w:rsidRPr="00017A5E" w:rsidRDefault="0095318C" w:rsidP="00DC1333">
            <w:pPr>
              <w:jc w:val="center"/>
              <w:rPr>
                <w:b/>
                <w:bCs/>
                <w:color w:val="00B050"/>
                <w:sz w:val="16"/>
                <w:szCs w:val="16"/>
              </w:rPr>
            </w:pPr>
            <w:r w:rsidRPr="004B265E">
              <w:rPr>
                <w:b/>
                <w:bCs/>
                <w:color w:val="00B050"/>
                <w:sz w:val="14"/>
                <w:szCs w:val="14"/>
              </w:rPr>
              <w:t>Plenamente logrado</w:t>
            </w:r>
            <w:r w:rsidRPr="00017A5E">
              <w:rPr>
                <w:b/>
                <w:bCs/>
                <w:color w:val="00B050"/>
                <w:sz w:val="16"/>
                <w:szCs w:val="16"/>
              </w:rPr>
              <w:t xml:space="preserve"> </w:t>
            </w:r>
          </w:p>
          <w:p w:rsidR="0095318C" w:rsidRPr="00017A5E" w:rsidRDefault="0095318C" w:rsidP="00DC1333">
            <w:pPr>
              <w:jc w:val="center"/>
              <w:rPr>
                <w:b/>
                <w:bCs/>
                <w:color w:val="00B050"/>
                <w:sz w:val="16"/>
                <w:szCs w:val="16"/>
              </w:rPr>
            </w:pPr>
          </w:p>
          <w:p w:rsidR="0095318C" w:rsidRPr="00017A5E" w:rsidRDefault="0095318C" w:rsidP="00DC1333">
            <w:pPr>
              <w:jc w:val="center"/>
              <w:rPr>
                <w:b/>
                <w:bCs/>
                <w:color w:val="00B050"/>
                <w:sz w:val="16"/>
                <w:szCs w:val="16"/>
              </w:rPr>
            </w:pPr>
          </w:p>
          <w:p w:rsidR="0095318C" w:rsidRPr="00017A5E" w:rsidRDefault="0095318C" w:rsidP="00DC1333">
            <w:pPr>
              <w:jc w:val="center"/>
              <w:rPr>
                <w:b/>
                <w:bCs/>
                <w:color w:val="00B050"/>
                <w:sz w:val="16"/>
                <w:szCs w:val="16"/>
              </w:rPr>
            </w:pPr>
          </w:p>
          <w:p w:rsidR="0095318C" w:rsidRPr="00017A5E" w:rsidRDefault="0095318C" w:rsidP="00DC1333">
            <w:pPr>
              <w:jc w:val="center"/>
              <w:rPr>
                <w:b/>
                <w:bCs/>
                <w:color w:val="00B050"/>
                <w:sz w:val="16"/>
                <w:szCs w:val="16"/>
              </w:rPr>
            </w:pPr>
          </w:p>
          <w:p w:rsidR="0095318C" w:rsidRPr="00017A5E" w:rsidRDefault="0095318C" w:rsidP="00DC1333">
            <w:pPr>
              <w:jc w:val="center"/>
              <w:rPr>
                <w:b/>
                <w:bCs/>
                <w:color w:val="00B050"/>
                <w:sz w:val="16"/>
                <w:szCs w:val="16"/>
              </w:rPr>
            </w:pPr>
          </w:p>
          <w:p w:rsidR="0095318C" w:rsidRPr="00017A5E" w:rsidRDefault="0095318C" w:rsidP="00DC1333">
            <w:pPr>
              <w:jc w:val="center"/>
              <w:rPr>
                <w:b/>
                <w:bCs/>
                <w:color w:val="00B050"/>
                <w:sz w:val="16"/>
                <w:szCs w:val="16"/>
              </w:rPr>
            </w:pPr>
          </w:p>
          <w:p w:rsidR="0095318C" w:rsidRPr="00017A5E" w:rsidRDefault="0095318C" w:rsidP="00DC1333">
            <w:pPr>
              <w:jc w:val="center"/>
              <w:rPr>
                <w:b/>
                <w:bCs/>
                <w:color w:val="00B050"/>
                <w:sz w:val="16"/>
                <w:szCs w:val="16"/>
              </w:rPr>
            </w:pPr>
          </w:p>
          <w:p w:rsidR="0095318C" w:rsidRPr="00017A5E" w:rsidRDefault="0095318C" w:rsidP="00DC1333">
            <w:pPr>
              <w:rPr>
                <w:b/>
                <w:bCs/>
                <w:color w:val="00B050"/>
                <w:sz w:val="16"/>
                <w:szCs w:val="16"/>
              </w:rPr>
            </w:pPr>
          </w:p>
          <w:p w:rsidR="0095318C" w:rsidRDefault="0095318C" w:rsidP="00DC1333">
            <w:pPr>
              <w:jc w:val="center"/>
              <w:rPr>
                <w:b/>
                <w:bCs/>
                <w:color w:val="00B050"/>
                <w:sz w:val="14"/>
                <w:szCs w:val="14"/>
              </w:rPr>
            </w:pPr>
          </w:p>
          <w:p w:rsidR="0095318C" w:rsidRDefault="0095318C" w:rsidP="00DC1333">
            <w:pPr>
              <w:jc w:val="center"/>
              <w:rPr>
                <w:b/>
                <w:bCs/>
                <w:color w:val="00B050"/>
                <w:sz w:val="14"/>
                <w:szCs w:val="14"/>
              </w:rPr>
            </w:pPr>
          </w:p>
          <w:p w:rsidR="0095318C" w:rsidRDefault="0095318C" w:rsidP="00DC1333">
            <w:pPr>
              <w:jc w:val="center"/>
              <w:rPr>
                <w:b/>
                <w:bCs/>
                <w:color w:val="00B050"/>
                <w:sz w:val="14"/>
                <w:szCs w:val="14"/>
              </w:rPr>
            </w:pPr>
          </w:p>
          <w:p w:rsidR="0095318C" w:rsidRDefault="0095318C" w:rsidP="00DC1333">
            <w:pPr>
              <w:jc w:val="center"/>
              <w:rPr>
                <w:b/>
                <w:bCs/>
                <w:color w:val="00B050"/>
                <w:sz w:val="14"/>
                <w:szCs w:val="14"/>
              </w:rPr>
            </w:pPr>
          </w:p>
          <w:p w:rsidR="0095318C" w:rsidRPr="00017A5E" w:rsidRDefault="0095318C" w:rsidP="00DC1333">
            <w:pPr>
              <w:jc w:val="center"/>
              <w:rPr>
                <w:b/>
                <w:bCs/>
                <w:sz w:val="16"/>
                <w:szCs w:val="16"/>
              </w:rPr>
            </w:pPr>
            <w:r w:rsidRPr="004B265E">
              <w:rPr>
                <w:b/>
                <w:bCs/>
                <w:color w:val="00B050"/>
                <w:sz w:val="14"/>
                <w:szCs w:val="14"/>
              </w:rPr>
              <w:t>Plenamente logrado</w:t>
            </w:r>
            <w:r w:rsidRPr="00017A5E">
              <w:rPr>
                <w:b/>
                <w:bCs/>
                <w:sz w:val="16"/>
                <w:szCs w:val="16"/>
              </w:rPr>
              <w:t xml:space="preserve"> </w:t>
            </w:r>
          </w:p>
          <w:p w:rsidR="0095318C" w:rsidRPr="00017A5E" w:rsidRDefault="0095318C" w:rsidP="00DC1333">
            <w:pPr>
              <w:jc w:val="center"/>
              <w:rPr>
                <w:b/>
                <w:bCs/>
                <w:sz w:val="16"/>
                <w:szCs w:val="16"/>
              </w:rPr>
            </w:pPr>
          </w:p>
          <w:p w:rsidR="0095318C" w:rsidRPr="00017A5E" w:rsidRDefault="0095318C" w:rsidP="00DC1333">
            <w:pPr>
              <w:jc w:val="center"/>
              <w:rPr>
                <w:b/>
                <w:bCs/>
                <w:sz w:val="16"/>
                <w:szCs w:val="16"/>
              </w:rPr>
            </w:pPr>
          </w:p>
          <w:p w:rsidR="0095318C" w:rsidRDefault="0095318C" w:rsidP="00DC1333">
            <w:pPr>
              <w:jc w:val="center"/>
              <w:rPr>
                <w:b/>
                <w:bCs/>
                <w:color w:val="E36C0A" w:themeColor="accent6" w:themeShade="BF"/>
                <w:sz w:val="16"/>
                <w:szCs w:val="16"/>
              </w:rPr>
            </w:pPr>
          </w:p>
          <w:p w:rsidR="0095318C" w:rsidRDefault="0095318C" w:rsidP="00DC1333">
            <w:pPr>
              <w:jc w:val="center"/>
              <w:rPr>
                <w:b/>
                <w:bCs/>
                <w:color w:val="E36C0A" w:themeColor="accent6" w:themeShade="BF"/>
                <w:sz w:val="16"/>
                <w:szCs w:val="16"/>
              </w:rPr>
            </w:pPr>
          </w:p>
          <w:p w:rsidR="0095318C" w:rsidRDefault="0095318C" w:rsidP="00DC1333">
            <w:pPr>
              <w:jc w:val="center"/>
              <w:rPr>
                <w:b/>
                <w:bCs/>
                <w:color w:val="E36C0A" w:themeColor="accent6" w:themeShade="BF"/>
                <w:sz w:val="16"/>
                <w:szCs w:val="16"/>
              </w:rPr>
            </w:pPr>
          </w:p>
          <w:p w:rsidR="0095318C" w:rsidRPr="00017A5E" w:rsidRDefault="0095318C" w:rsidP="00DC1333">
            <w:pPr>
              <w:jc w:val="center"/>
              <w:rPr>
                <w:b/>
                <w:bCs/>
                <w:color w:val="E36C0A" w:themeColor="accent6" w:themeShade="BF"/>
                <w:sz w:val="16"/>
                <w:szCs w:val="16"/>
              </w:rPr>
            </w:pPr>
          </w:p>
          <w:p w:rsidR="0095318C" w:rsidRPr="00017A5E" w:rsidRDefault="0095318C" w:rsidP="00DC1333">
            <w:pPr>
              <w:jc w:val="center"/>
              <w:rPr>
                <w:b/>
                <w:bCs/>
                <w:color w:val="E36C0A" w:themeColor="accent6" w:themeShade="BF"/>
                <w:sz w:val="16"/>
                <w:szCs w:val="16"/>
              </w:rPr>
            </w:pPr>
          </w:p>
          <w:p w:rsidR="0095318C" w:rsidRPr="00017A5E" w:rsidRDefault="0095318C" w:rsidP="00DC1333">
            <w:pPr>
              <w:jc w:val="center"/>
              <w:rPr>
                <w:b/>
                <w:bCs/>
                <w:sz w:val="16"/>
                <w:szCs w:val="16"/>
              </w:rPr>
            </w:pPr>
          </w:p>
        </w:tc>
      </w:tr>
      <w:tr w:rsidR="0095318C" w:rsidRPr="00A7052B" w:rsidTr="00DC1333">
        <w:tc>
          <w:tcPr>
            <w:tcW w:w="1982" w:type="dxa"/>
            <w:tcBorders>
              <w:top w:val="single" w:sz="4" w:space="0" w:color="auto"/>
              <w:left w:val="single" w:sz="4" w:space="0" w:color="auto"/>
              <w:bottom w:val="single" w:sz="4" w:space="0" w:color="auto"/>
              <w:right w:val="nil"/>
            </w:tcBorders>
            <w:shd w:val="clear" w:color="auto" w:fill="FFFFFF"/>
          </w:tcPr>
          <w:p w:rsidR="0095318C" w:rsidRPr="008A0ABA" w:rsidRDefault="0095318C" w:rsidP="00D34131">
            <w:pPr>
              <w:rPr>
                <w:sz w:val="16"/>
                <w:szCs w:val="16"/>
                <w:lang w:bidi="th-TH"/>
              </w:rPr>
            </w:pPr>
          </w:p>
        </w:tc>
        <w:tc>
          <w:tcPr>
            <w:tcW w:w="2128" w:type="dxa"/>
            <w:gridSpan w:val="3"/>
            <w:tcBorders>
              <w:top w:val="single" w:sz="4" w:space="0" w:color="auto"/>
              <w:left w:val="nil"/>
              <w:bottom w:val="single" w:sz="4" w:space="0" w:color="auto"/>
              <w:right w:val="nil"/>
            </w:tcBorders>
            <w:shd w:val="clear" w:color="auto" w:fill="auto"/>
          </w:tcPr>
          <w:p w:rsidR="0095318C" w:rsidRPr="008A0ABA" w:rsidRDefault="0095318C" w:rsidP="00D34131">
            <w:pPr>
              <w:rPr>
                <w:sz w:val="16"/>
                <w:szCs w:val="16"/>
                <w:lang w:bidi="th-TH"/>
              </w:rPr>
            </w:pPr>
          </w:p>
        </w:tc>
        <w:tc>
          <w:tcPr>
            <w:tcW w:w="1843" w:type="dxa"/>
            <w:gridSpan w:val="4"/>
            <w:tcBorders>
              <w:top w:val="single" w:sz="4" w:space="0" w:color="auto"/>
              <w:left w:val="nil"/>
              <w:bottom w:val="single" w:sz="4" w:space="0" w:color="auto"/>
              <w:right w:val="nil"/>
            </w:tcBorders>
            <w:shd w:val="clear" w:color="auto" w:fill="auto"/>
            <w:tcMar>
              <w:top w:w="110" w:type="dxa"/>
            </w:tcMar>
          </w:tcPr>
          <w:p w:rsidR="0095318C" w:rsidRPr="008A0ABA" w:rsidRDefault="0095318C" w:rsidP="00D34131">
            <w:pPr>
              <w:rPr>
                <w:sz w:val="16"/>
                <w:szCs w:val="16"/>
                <w:lang w:bidi="th-TH"/>
              </w:rPr>
            </w:pPr>
            <w:r w:rsidRPr="008A0ABA">
              <w:rPr>
                <w:sz w:val="16"/>
                <w:szCs w:val="16"/>
                <w:lang w:bidi="th-TH"/>
              </w:rPr>
              <w:t>Asia y el Pacífico (4)</w:t>
            </w:r>
          </w:p>
          <w:p w:rsidR="0095318C" w:rsidRPr="008A0ABA" w:rsidRDefault="0095318C" w:rsidP="00D34131">
            <w:pPr>
              <w:rPr>
                <w:sz w:val="16"/>
                <w:szCs w:val="16"/>
                <w:lang w:bidi="th-TH"/>
              </w:rPr>
            </w:pPr>
          </w:p>
          <w:p w:rsidR="0095318C" w:rsidRPr="008A0ABA" w:rsidRDefault="0095318C" w:rsidP="00D34131">
            <w:pPr>
              <w:rPr>
                <w:sz w:val="16"/>
                <w:szCs w:val="16"/>
                <w:lang w:bidi="th-TH"/>
              </w:rPr>
            </w:pPr>
          </w:p>
          <w:p w:rsidR="0095318C" w:rsidRDefault="0095318C" w:rsidP="00D34131">
            <w:pPr>
              <w:rPr>
                <w:sz w:val="16"/>
                <w:szCs w:val="16"/>
                <w:lang w:bidi="th-TH"/>
              </w:rPr>
            </w:pPr>
          </w:p>
          <w:p w:rsidR="0095318C" w:rsidRDefault="0095318C" w:rsidP="00D34131">
            <w:pPr>
              <w:rPr>
                <w:sz w:val="16"/>
                <w:szCs w:val="16"/>
                <w:lang w:bidi="th-TH"/>
              </w:rPr>
            </w:pPr>
          </w:p>
          <w:p w:rsidR="0095318C" w:rsidRPr="008A0ABA" w:rsidRDefault="0095318C" w:rsidP="00D34131">
            <w:pPr>
              <w:rPr>
                <w:sz w:val="16"/>
                <w:szCs w:val="16"/>
                <w:lang w:bidi="th-TH"/>
              </w:rPr>
            </w:pPr>
          </w:p>
          <w:p w:rsidR="0095318C" w:rsidRPr="008A0ABA" w:rsidRDefault="0095318C" w:rsidP="00D34131">
            <w:pPr>
              <w:rPr>
                <w:sz w:val="16"/>
                <w:szCs w:val="16"/>
                <w:lang w:bidi="th-TH"/>
              </w:rPr>
            </w:pPr>
          </w:p>
          <w:p w:rsidR="0095318C" w:rsidRPr="008A0ABA" w:rsidRDefault="0095318C" w:rsidP="00D34131">
            <w:pPr>
              <w:rPr>
                <w:sz w:val="16"/>
                <w:szCs w:val="16"/>
                <w:lang w:bidi="th-TH"/>
              </w:rPr>
            </w:pPr>
          </w:p>
          <w:p w:rsidR="0095318C" w:rsidRPr="008A0ABA" w:rsidRDefault="0095318C" w:rsidP="00D34131">
            <w:pPr>
              <w:rPr>
                <w:sz w:val="16"/>
                <w:szCs w:val="16"/>
                <w:lang w:bidi="th-TH"/>
              </w:rPr>
            </w:pPr>
            <w:r w:rsidRPr="008A0ABA">
              <w:rPr>
                <w:sz w:val="16"/>
                <w:szCs w:val="16"/>
                <w:lang w:bidi="th-TH"/>
              </w:rPr>
              <w:t>América Latina y el Caribe (7)</w:t>
            </w:r>
          </w:p>
          <w:p w:rsidR="0095318C" w:rsidRDefault="0095318C" w:rsidP="00D34131">
            <w:pPr>
              <w:rPr>
                <w:sz w:val="16"/>
                <w:szCs w:val="16"/>
                <w:lang w:bidi="th-TH"/>
              </w:rPr>
            </w:pPr>
          </w:p>
          <w:p w:rsidR="0095318C" w:rsidRPr="008A0ABA" w:rsidRDefault="0095318C" w:rsidP="00D34131">
            <w:pPr>
              <w:rPr>
                <w:sz w:val="16"/>
                <w:szCs w:val="16"/>
                <w:lang w:bidi="th-TH"/>
              </w:rPr>
            </w:pPr>
          </w:p>
          <w:p w:rsidR="0095318C" w:rsidRPr="00631CC4" w:rsidRDefault="0095318C" w:rsidP="00D34131">
            <w:pPr>
              <w:rPr>
                <w:sz w:val="16"/>
                <w:szCs w:val="16"/>
                <w:lang w:bidi="th-TH"/>
              </w:rPr>
            </w:pPr>
            <w:r w:rsidRPr="00631CC4">
              <w:rPr>
                <w:sz w:val="16"/>
                <w:szCs w:val="16"/>
                <w:lang w:bidi="th-TH"/>
              </w:rPr>
              <w:t>4 PMA incluidos en el desglose regional precedente</w:t>
            </w:r>
          </w:p>
          <w:p w:rsidR="0095318C" w:rsidRDefault="0095318C" w:rsidP="00D34131">
            <w:pPr>
              <w:rPr>
                <w:sz w:val="16"/>
                <w:szCs w:val="16"/>
                <w:lang w:bidi="th-TH"/>
              </w:rPr>
            </w:pPr>
          </w:p>
          <w:p w:rsidR="0095318C" w:rsidRPr="00631CC4" w:rsidRDefault="0095318C" w:rsidP="00D34131">
            <w:pPr>
              <w:rPr>
                <w:sz w:val="16"/>
                <w:szCs w:val="16"/>
                <w:lang w:bidi="th-TH"/>
              </w:rPr>
            </w:pPr>
          </w:p>
          <w:p w:rsidR="0095318C" w:rsidRPr="008A0ABA" w:rsidRDefault="0095318C" w:rsidP="00D34131">
            <w:pPr>
              <w:rPr>
                <w:sz w:val="16"/>
                <w:szCs w:val="16"/>
                <w:lang w:bidi="th-TH"/>
              </w:rPr>
            </w:pPr>
            <w:r w:rsidRPr="008A0ABA">
              <w:rPr>
                <w:sz w:val="16"/>
                <w:szCs w:val="16"/>
                <w:lang w:bidi="th-TH"/>
              </w:rPr>
              <w:t>Proyectos de tecnolog</w:t>
            </w:r>
            <w:r>
              <w:rPr>
                <w:sz w:val="16"/>
                <w:szCs w:val="16"/>
                <w:lang w:bidi="th-TH"/>
              </w:rPr>
              <w:t>ía adecuados en al menos 4 PMA</w:t>
            </w:r>
          </w:p>
          <w:p w:rsidR="0095318C" w:rsidRPr="008A0ABA" w:rsidRDefault="0095318C" w:rsidP="00D34131">
            <w:pPr>
              <w:rPr>
                <w:sz w:val="16"/>
                <w:szCs w:val="16"/>
                <w:lang w:bidi="th-TH"/>
              </w:rPr>
            </w:pPr>
          </w:p>
        </w:tc>
        <w:tc>
          <w:tcPr>
            <w:tcW w:w="2055" w:type="dxa"/>
            <w:tcBorders>
              <w:top w:val="single" w:sz="4" w:space="0" w:color="auto"/>
              <w:left w:val="nil"/>
              <w:bottom w:val="single" w:sz="4" w:space="0" w:color="auto"/>
              <w:right w:val="nil"/>
            </w:tcBorders>
            <w:shd w:val="clear" w:color="auto" w:fill="FFFFFF"/>
            <w:tcMar>
              <w:top w:w="110" w:type="dxa"/>
            </w:tcMar>
          </w:tcPr>
          <w:p w:rsidR="0095318C" w:rsidRPr="006561B2" w:rsidRDefault="0095318C" w:rsidP="00D34131">
            <w:pPr>
              <w:rPr>
                <w:sz w:val="16"/>
                <w:szCs w:val="16"/>
                <w:lang w:bidi="th-TH"/>
              </w:rPr>
            </w:pPr>
            <w:r w:rsidRPr="006561B2">
              <w:rPr>
                <w:sz w:val="16"/>
                <w:szCs w:val="16"/>
                <w:lang w:bidi="th-TH"/>
              </w:rPr>
              <w:t>Asia y el Pacífico (</w:t>
            </w:r>
            <w:r w:rsidR="001F7360">
              <w:rPr>
                <w:sz w:val="16"/>
                <w:szCs w:val="16"/>
                <w:lang w:bidi="th-TH"/>
              </w:rPr>
              <w:t>1</w:t>
            </w:r>
            <w:r w:rsidRPr="006561B2">
              <w:rPr>
                <w:sz w:val="16"/>
                <w:szCs w:val="16"/>
                <w:lang w:bidi="th-TH"/>
              </w:rPr>
              <w:t>):</w:t>
            </w:r>
            <w:r>
              <w:rPr>
                <w:sz w:val="16"/>
                <w:szCs w:val="16"/>
                <w:lang w:bidi="th-TH"/>
              </w:rPr>
              <w:t xml:space="preserve">  </w:t>
            </w:r>
            <w:r w:rsidRPr="006561B2">
              <w:rPr>
                <w:sz w:val="16"/>
                <w:szCs w:val="16"/>
              </w:rPr>
              <w:t>i) Asociación de Naciones del Asia Sudoriental (ASEAN)</w:t>
            </w:r>
            <w:r w:rsidR="001C1881" w:rsidRPr="00ED0448">
              <w:rPr>
                <w:rStyle w:val="FootnoteReference"/>
                <w:sz w:val="16"/>
                <w:szCs w:val="16"/>
              </w:rPr>
              <w:footnoteReference w:id="69"/>
            </w:r>
          </w:p>
          <w:p w:rsidR="0095318C" w:rsidRPr="006561B2" w:rsidRDefault="0095318C" w:rsidP="00D34131">
            <w:pPr>
              <w:rPr>
                <w:sz w:val="16"/>
                <w:szCs w:val="16"/>
                <w:lang w:bidi="th-TH"/>
              </w:rPr>
            </w:pPr>
          </w:p>
          <w:p w:rsidR="0095318C" w:rsidRDefault="0095318C" w:rsidP="00D34131">
            <w:pPr>
              <w:rPr>
                <w:sz w:val="16"/>
                <w:szCs w:val="16"/>
                <w:lang w:bidi="th-TH"/>
              </w:rPr>
            </w:pPr>
            <w:r w:rsidRPr="008268D1">
              <w:rPr>
                <w:sz w:val="16"/>
                <w:szCs w:val="16"/>
                <w:lang w:bidi="th-TH"/>
              </w:rPr>
              <w:t>América Latina y el Caribe:  6 proyectos en curso</w:t>
            </w:r>
            <w:r w:rsidRPr="003C4694">
              <w:rPr>
                <w:rStyle w:val="FootnoteReference"/>
                <w:sz w:val="16"/>
                <w:szCs w:val="16"/>
                <w:lang w:bidi="th-TH"/>
              </w:rPr>
              <w:footnoteReference w:id="70"/>
            </w:r>
          </w:p>
          <w:p w:rsidR="0095318C" w:rsidRPr="008268D1" w:rsidRDefault="0095318C" w:rsidP="00D34131">
            <w:pPr>
              <w:rPr>
                <w:sz w:val="16"/>
                <w:szCs w:val="16"/>
                <w:lang w:bidi="th-TH"/>
              </w:rPr>
            </w:pPr>
          </w:p>
          <w:p w:rsidR="0095318C" w:rsidRPr="008268D1" w:rsidRDefault="0095318C" w:rsidP="00D34131">
            <w:pPr>
              <w:rPr>
                <w:sz w:val="16"/>
                <w:szCs w:val="16"/>
                <w:lang w:bidi="th-TH"/>
              </w:rPr>
            </w:pPr>
            <w:r w:rsidRPr="008268D1">
              <w:rPr>
                <w:sz w:val="16"/>
                <w:szCs w:val="16"/>
                <w:lang w:bidi="th-TH"/>
              </w:rPr>
              <w:t xml:space="preserve">4 de las organizaciones que figuran en el desglose regional tienen miembros </w:t>
            </w:r>
            <w:r>
              <w:rPr>
                <w:sz w:val="16"/>
                <w:szCs w:val="16"/>
                <w:lang w:bidi="th-TH"/>
              </w:rPr>
              <w:t>PMA</w:t>
            </w:r>
          </w:p>
          <w:p w:rsidR="0095318C" w:rsidRPr="008268D1" w:rsidRDefault="0095318C" w:rsidP="00D34131">
            <w:pPr>
              <w:rPr>
                <w:sz w:val="16"/>
                <w:szCs w:val="16"/>
              </w:rPr>
            </w:pPr>
          </w:p>
          <w:p w:rsidR="0095318C" w:rsidRDefault="0095318C" w:rsidP="00D34131">
            <w:pPr>
              <w:rPr>
                <w:sz w:val="16"/>
                <w:szCs w:val="16"/>
              </w:rPr>
            </w:pPr>
            <w:r w:rsidRPr="008268D1">
              <w:rPr>
                <w:sz w:val="16"/>
                <w:szCs w:val="16"/>
              </w:rPr>
              <w:t xml:space="preserve">Como parte de la de la A.D. sobre fortalecimiento de capacidades en el uso de información técnica y científica relativa a las tecnologías apropiadas para solucionar determinados problemas de desarrollo, se </w:t>
            </w:r>
            <w:r>
              <w:rPr>
                <w:sz w:val="16"/>
                <w:szCs w:val="16"/>
              </w:rPr>
              <w:t>firmaron memorandos de entendimiento con cuatro PMA (Etiopí</w:t>
            </w:r>
            <w:r w:rsidRPr="008268D1">
              <w:rPr>
                <w:sz w:val="16"/>
                <w:szCs w:val="16"/>
              </w:rPr>
              <w:t xml:space="preserve">a, </w:t>
            </w:r>
            <w:proofErr w:type="spellStart"/>
            <w:r w:rsidRPr="008268D1">
              <w:rPr>
                <w:sz w:val="16"/>
                <w:szCs w:val="16"/>
              </w:rPr>
              <w:t>Rwanda</w:t>
            </w:r>
            <w:proofErr w:type="spellEnd"/>
            <w:r w:rsidRPr="008268D1">
              <w:rPr>
                <w:sz w:val="16"/>
                <w:szCs w:val="16"/>
              </w:rPr>
              <w:t>,</w:t>
            </w:r>
            <w:r>
              <w:rPr>
                <w:sz w:val="16"/>
                <w:szCs w:val="16"/>
              </w:rPr>
              <w:t xml:space="preserve"> República Unida de </w:t>
            </w:r>
            <w:proofErr w:type="spellStart"/>
            <w:r>
              <w:rPr>
                <w:sz w:val="16"/>
                <w:szCs w:val="16"/>
              </w:rPr>
              <w:t>Tanzanía</w:t>
            </w:r>
            <w:proofErr w:type="spellEnd"/>
            <w:r>
              <w:rPr>
                <w:sz w:val="16"/>
                <w:szCs w:val="16"/>
              </w:rPr>
              <w:t xml:space="preserve"> y</w:t>
            </w:r>
            <w:r w:rsidRPr="008268D1">
              <w:rPr>
                <w:sz w:val="16"/>
                <w:szCs w:val="16"/>
              </w:rPr>
              <w:t xml:space="preserve"> Uganda)</w:t>
            </w:r>
            <w:r>
              <w:rPr>
                <w:sz w:val="16"/>
                <w:szCs w:val="16"/>
              </w:rPr>
              <w:t xml:space="preserve"> y, a finales de 2015, el proyecto había comenzado a aplicarse en tres PMA (Etiopía</w:t>
            </w:r>
            <w:r w:rsidRPr="008268D1">
              <w:rPr>
                <w:sz w:val="16"/>
                <w:szCs w:val="16"/>
              </w:rPr>
              <w:t xml:space="preserve">, </w:t>
            </w:r>
            <w:proofErr w:type="spellStart"/>
            <w:r w:rsidRPr="008268D1">
              <w:rPr>
                <w:sz w:val="16"/>
                <w:szCs w:val="16"/>
              </w:rPr>
              <w:t>Rwanda</w:t>
            </w:r>
            <w:proofErr w:type="spellEnd"/>
            <w:r>
              <w:rPr>
                <w:sz w:val="16"/>
                <w:szCs w:val="16"/>
              </w:rPr>
              <w:t xml:space="preserve"> y República Unida de </w:t>
            </w:r>
            <w:proofErr w:type="spellStart"/>
            <w:r>
              <w:rPr>
                <w:sz w:val="16"/>
                <w:szCs w:val="16"/>
              </w:rPr>
              <w:t>Tanzaní</w:t>
            </w:r>
            <w:r w:rsidRPr="008268D1">
              <w:rPr>
                <w:sz w:val="16"/>
                <w:szCs w:val="16"/>
              </w:rPr>
              <w:t>a</w:t>
            </w:r>
            <w:proofErr w:type="spellEnd"/>
            <w:r w:rsidRPr="008268D1">
              <w:rPr>
                <w:sz w:val="16"/>
                <w:szCs w:val="16"/>
              </w:rPr>
              <w:t>)</w:t>
            </w:r>
          </w:p>
          <w:p w:rsidR="0095318C" w:rsidRPr="008A0ABA" w:rsidRDefault="0095318C" w:rsidP="00D34131">
            <w:pPr>
              <w:rPr>
                <w:sz w:val="16"/>
                <w:szCs w:val="16"/>
                <w:lang w:bidi="th-TH"/>
              </w:rPr>
            </w:pPr>
          </w:p>
        </w:tc>
        <w:tc>
          <w:tcPr>
            <w:tcW w:w="1490" w:type="dxa"/>
            <w:gridSpan w:val="3"/>
            <w:tcBorders>
              <w:top w:val="single" w:sz="4" w:space="0" w:color="auto"/>
              <w:left w:val="nil"/>
              <w:bottom w:val="single" w:sz="4" w:space="0" w:color="auto"/>
              <w:right w:val="single" w:sz="4" w:space="0" w:color="auto"/>
            </w:tcBorders>
            <w:shd w:val="clear" w:color="auto" w:fill="auto"/>
            <w:tcMar>
              <w:top w:w="110" w:type="dxa"/>
            </w:tcMar>
          </w:tcPr>
          <w:p w:rsidR="0095318C" w:rsidRPr="00017A5E" w:rsidRDefault="001F7360" w:rsidP="00D34131">
            <w:pPr>
              <w:jc w:val="center"/>
              <w:rPr>
                <w:b/>
                <w:bCs/>
                <w:color w:val="E36C0A" w:themeColor="accent6" w:themeShade="BF"/>
                <w:sz w:val="16"/>
                <w:szCs w:val="16"/>
              </w:rPr>
            </w:pPr>
            <w:r w:rsidRPr="00D1141E">
              <w:rPr>
                <w:b/>
                <w:bCs/>
                <w:color w:val="FF0000"/>
                <w:sz w:val="14"/>
                <w:szCs w:val="14"/>
              </w:rPr>
              <w:t>No logrado</w:t>
            </w:r>
          </w:p>
          <w:p w:rsidR="0095318C" w:rsidRDefault="0095318C" w:rsidP="00D34131">
            <w:pPr>
              <w:jc w:val="center"/>
              <w:rPr>
                <w:b/>
                <w:bCs/>
                <w:color w:val="00B050"/>
                <w:sz w:val="16"/>
                <w:szCs w:val="16"/>
              </w:rPr>
            </w:pPr>
          </w:p>
          <w:p w:rsidR="0095318C" w:rsidRPr="00017A5E" w:rsidRDefault="0095318C" w:rsidP="00D34131">
            <w:pPr>
              <w:jc w:val="center"/>
              <w:rPr>
                <w:b/>
                <w:bCs/>
                <w:color w:val="00B050"/>
                <w:sz w:val="16"/>
                <w:szCs w:val="16"/>
              </w:rPr>
            </w:pPr>
          </w:p>
          <w:p w:rsidR="0095318C" w:rsidRPr="00017A5E" w:rsidRDefault="0095318C" w:rsidP="00D34131">
            <w:pPr>
              <w:jc w:val="center"/>
              <w:rPr>
                <w:b/>
                <w:bCs/>
                <w:color w:val="00B050"/>
                <w:sz w:val="16"/>
                <w:szCs w:val="16"/>
              </w:rPr>
            </w:pPr>
          </w:p>
          <w:p w:rsidR="0095318C" w:rsidRPr="00017A5E" w:rsidRDefault="0095318C" w:rsidP="00D34131">
            <w:pPr>
              <w:jc w:val="center"/>
              <w:rPr>
                <w:b/>
                <w:bCs/>
                <w:color w:val="00B050"/>
                <w:sz w:val="16"/>
                <w:szCs w:val="16"/>
              </w:rPr>
            </w:pPr>
          </w:p>
          <w:p w:rsidR="0095318C" w:rsidRPr="00017A5E" w:rsidRDefault="0095318C" w:rsidP="00D34131">
            <w:pPr>
              <w:jc w:val="center"/>
              <w:rPr>
                <w:b/>
                <w:bCs/>
                <w:color w:val="00B050"/>
                <w:sz w:val="16"/>
                <w:szCs w:val="16"/>
              </w:rPr>
            </w:pPr>
            <w:r w:rsidRPr="004B265E">
              <w:rPr>
                <w:b/>
                <w:bCs/>
                <w:color w:val="00B050"/>
                <w:sz w:val="14"/>
                <w:szCs w:val="14"/>
              </w:rPr>
              <w:t>Plenamente logrado</w:t>
            </w:r>
            <w:r w:rsidRPr="00017A5E">
              <w:rPr>
                <w:b/>
                <w:bCs/>
                <w:color w:val="00B050"/>
                <w:sz w:val="16"/>
                <w:szCs w:val="16"/>
              </w:rPr>
              <w:t xml:space="preserve"> </w:t>
            </w:r>
          </w:p>
          <w:p w:rsidR="0095318C" w:rsidRDefault="001F7360" w:rsidP="00D34131">
            <w:pPr>
              <w:jc w:val="center"/>
              <w:rPr>
                <w:b/>
                <w:bCs/>
                <w:color w:val="00B050"/>
                <w:sz w:val="14"/>
                <w:szCs w:val="14"/>
              </w:rPr>
            </w:pPr>
            <w:r>
              <w:rPr>
                <w:b/>
                <w:bCs/>
                <w:color w:val="00B050"/>
                <w:sz w:val="14"/>
                <w:szCs w:val="14"/>
              </w:rPr>
              <w:br/>
            </w:r>
          </w:p>
          <w:p w:rsidR="0095318C" w:rsidRDefault="0095318C" w:rsidP="00D34131">
            <w:pPr>
              <w:jc w:val="center"/>
              <w:rPr>
                <w:b/>
                <w:bCs/>
                <w:color w:val="00B050"/>
                <w:sz w:val="14"/>
                <w:szCs w:val="14"/>
              </w:rPr>
            </w:pPr>
          </w:p>
          <w:p w:rsidR="0095318C" w:rsidRPr="00017A5E" w:rsidRDefault="0095318C" w:rsidP="00D34131">
            <w:pPr>
              <w:jc w:val="center"/>
              <w:rPr>
                <w:b/>
                <w:bCs/>
                <w:color w:val="00B050"/>
                <w:sz w:val="16"/>
                <w:szCs w:val="16"/>
              </w:rPr>
            </w:pPr>
            <w:r w:rsidRPr="004B265E">
              <w:rPr>
                <w:b/>
                <w:bCs/>
                <w:color w:val="00B050"/>
                <w:sz w:val="14"/>
                <w:szCs w:val="14"/>
              </w:rPr>
              <w:t>Plenamente logrado</w:t>
            </w:r>
            <w:r w:rsidRPr="00017A5E">
              <w:rPr>
                <w:b/>
                <w:bCs/>
                <w:color w:val="00B050"/>
                <w:sz w:val="16"/>
                <w:szCs w:val="16"/>
              </w:rPr>
              <w:t xml:space="preserve"> </w:t>
            </w:r>
          </w:p>
          <w:p w:rsidR="0095318C" w:rsidRPr="00017A5E" w:rsidRDefault="001F7360" w:rsidP="00D34131">
            <w:pPr>
              <w:jc w:val="center"/>
              <w:rPr>
                <w:b/>
                <w:bCs/>
                <w:color w:val="00B050"/>
                <w:sz w:val="16"/>
                <w:szCs w:val="16"/>
              </w:rPr>
            </w:pPr>
            <w:r>
              <w:rPr>
                <w:b/>
                <w:bCs/>
                <w:color w:val="00B050"/>
                <w:sz w:val="16"/>
                <w:szCs w:val="16"/>
              </w:rPr>
              <w:br/>
            </w:r>
          </w:p>
          <w:p w:rsidR="0095318C" w:rsidRPr="00017A5E" w:rsidRDefault="0095318C" w:rsidP="00D34131">
            <w:pPr>
              <w:jc w:val="center"/>
              <w:rPr>
                <w:b/>
                <w:bCs/>
                <w:color w:val="00B050"/>
                <w:sz w:val="16"/>
                <w:szCs w:val="16"/>
              </w:rPr>
            </w:pPr>
          </w:p>
          <w:p w:rsidR="0095318C" w:rsidRPr="004B265E" w:rsidRDefault="0095318C" w:rsidP="00D34131">
            <w:pPr>
              <w:jc w:val="center"/>
              <w:rPr>
                <w:b/>
                <w:bCs/>
                <w:color w:val="00B050"/>
                <w:sz w:val="14"/>
                <w:szCs w:val="14"/>
              </w:rPr>
            </w:pPr>
            <w:r w:rsidRPr="004B265E">
              <w:rPr>
                <w:b/>
                <w:bCs/>
                <w:color w:val="00B050"/>
                <w:sz w:val="14"/>
                <w:szCs w:val="14"/>
              </w:rPr>
              <w:t>Plenamente logrado</w:t>
            </w:r>
          </w:p>
        </w:tc>
      </w:tr>
      <w:tr w:rsidR="0095318C" w:rsidRPr="003131FE" w:rsidTr="00DC1333">
        <w:tc>
          <w:tcPr>
            <w:tcW w:w="9498" w:type="dxa"/>
            <w:gridSpan w:val="12"/>
            <w:tcBorders>
              <w:top w:val="single" w:sz="4" w:space="0" w:color="auto"/>
              <w:bottom w:val="single" w:sz="4" w:space="0" w:color="auto"/>
            </w:tcBorders>
            <w:shd w:val="clear" w:color="auto" w:fill="C6D9F1" w:themeFill="text2" w:themeFillTint="33"/>
          </w:tcPr>
          <w:p w:rsidR="0095318C" w:rsidRPr="00D0340B" w:rsidRDefault="0095318C" w:rsidP="00D34131">
            <w:pPr>
              <w:keepNext/>
              <w:keepLines/>
              <w:spacing w:before="120" w:after="120"/>
              <w:ind w:left="2019" w:hanging="2019"/>
              <w:rPr>
                <w:b/>
                <w:bCs/>
                <w:sz w:val="16"/>
                <w:szCs w:val="16"/>
              </w:rPr>
            </w:pPr>
            <w:r w:rsidRPr="00D0340B">
              <w:lastRenderedPageBreak/>
              <w:br w:type="page"/>
            </w:r>
            <w:r w:rsidRPr="00D0340B">
              <w:rPr>
                <w:b/>
                <w:bCs/>
                <w:sz w:val="16"/>
                <w:szCs w:val="16"/>
              </w:rPr>
              <w:t>Resultado previsto</w:t>
            </w:r>
            <w:r>
              <w:rPr>
                <w:b/>
                <w:bCs/>
                <w:sz w:val="16"/>
                <w:szCs w:val="16"/>
              </w:rPr>
              <w:t>:</w:t>
            </w:r>
            <w:r>
              <w:rPr>
                <w:b/>
                <w:bCs/>
                <w:sz w:val="16"/>
                <w:szCs w:val="16"/>
              </w:rPr>
              <w:tab/>
            </w:r>
            <w:r w:rsidRPr="00D0340B">
              <w:rPr>
                <w:bCs/>
                <w:sz w:val="16"/>
                <w:szCs w:val="16"/>
              </w:rPr>
              <w:t>IV.2 Mejora del acceso y uso de informaci</w:t>
            </w:r>
            <w:r>
              <w:rPr>
                <w:bCs/>
                <w:sz w:val="16"/>
                <w:szCs w:val="16"/>
              </w:rPr>
              <w:t>ón de P.I. por parte de instituciones de P.I. y el público para fomentar la innovación y la creatividad</w:t>
            </w:r>
          </w:p>
        </w:tc>
      </w:tr>
      <w:tr w:rsidR="0095318C" w:rsidRPr="003C4694" w:rsidTr="00DC1333">
        <w:trPr>
          <w:trHeight w:val="368"/>
        </w:trPr>
        <w:tc>
          <w:tcPr>
            <w:tcW w:w="2123" w:type="dxa"/>
            <w:gridSpan w:val="2"/>
            <w:tcBorders>
              <w:top w:val="single" w:sz="4" w:space="0" w:color="auto"/>
              <w:left w:val="single" w:sz="4" w:space="0" w:color="auto"/>
              <w:bottom w:val="nil"/>
              <w:right w:val="nil"/>
            </w:tcBorders>
            <w:shd w:val="clear" w:color="auto" w:fill="auto"/>
            <w:vAlign w:val="center"/>
          </w:tcPr>
          <w:p w:rsidR="0095318C" w:rsidRDefault="0095318C" w:rsidP="00D34131">
            <w:pPr>
              <w:keepNext/>
              <w:spacing w:after="40"/>
              <w:rPr>
                <w:b/>
                <w:bCs/>
                <w:sz w:val="16"/>
                <w:szCs w:val="16"/>
              </w:rPr>
            </w:pPr>
          </w:p>
          <w:p w:rsidR="0095318C" w:rsidRPr="003C4694" w:rsidRDefault="0095318C" w:rsidP="00D34131">
            <w:pPr>
              <w:keepNext/>
              <w:spacing w:after="40"/>
              <w:rPr>
                <w:sz w:val="16"/>
                <w:szCs w:val="16"/>
              </w:rPr>
            </w:pPr>
            <w:r>
              <w:rPr>
                <w:b/>
                <w:bCs/>
                <w:sz w:val="16"/>
                <w:szCs w:val="16"/>
              </w:rPr>
              <w:t>Indicadores de rendimiento</w:t>
            </w:r>
          </w:p>
        </w:tc>
        <w:tc>
          <w:tcPr>
            <w:tcW w:w="1987" w:type="dxa"/>
            <w:gridSpan w:val="2"/>
            <w:tcBorders>
              <w:top w:val="single" w:sz="4" w:space="0" w:color="auto"/>
              <w:left w:val="nil"/>
              <w:bottom w:val="nil"/>
              <w:right w:val="nil"/>
            </w:tcBorders>
            <w:shd w:val="clear" w:color="auto" w:fill="auto"/>
            <w:vAlign w:val="center"/>
          </w:tcPr>
          <w:p w:rsidR="0095318C" w:rsidRPr="003C4694" w:rsidRDefault="0095318C" w:rsidP="00D34131">
            <w:pPr>
              <w:keepNext/>
              <w:spacing w:after="40"/>
              <w:rPr>
                <w:b/>
                <w:bCs/>
                <w:sz w:val="16"/>
                <w:szCs w:val="16"/>
              </w:rPr>
            </w:pPr>
            <w:r>
              <w:rPr>
                <w:b/>
                <w:bCs/>
                <w:sz w:val="16"/>
                <w:szCs w:val="16"/>
              </w:rPr>
              <w:t>Referencia</w:t>
            </w:r>
          </w:p>
        </w:tc>
        <w:tc>
          <w:tcPr>
            <w:tcW w:w="1559" w:type="dxa"/>
            <w:gridSpan w:val="2"/>
            <w:tcBorders>
              <w:top w:val="single" w:sz="4" w:space="0" w:color="auto"/>
              <w:left w:val="nil"/>
              <w:bottom w:val="nil"/>
              <w:right w:val="nil"/>
            </w:tcBorders>
            <w:shd w:val="clear" w:color="auto" w:fill="auto"/>
            <w:vAlign w:val="center"/>
          </w:tcPr>
          <w:p w:rsidR="0095318C" w:rsidRPr="003C4694" w:rsidRDefault="0095318C" w:rsidP="00D34131">
            <w:pPr>
              <w:keepNext/>
              <w:spacing w:after="40"/>
              <w:rPr>
                <w:b/>
                <w:sz w:val="16"/>
                <w:szCs w:val="16"/>
              </w:rPr>
            </w:pPr>
            <w:r>
              <w:rPr>
                <w:b/>
                <w:sz w:val="16"/>
                <w:szCs w:val="16"/>
              </w:rPr>
              <w:t>Objetivo</w:t>
            </w:r>
            <w:r w:rsidRPr="003C4694">
              <w:rPr>
                <w:b/>
                <w:sz w:val="16"/>
                <w:szCs w:val="16"/>
              </w:rPr>
              <w:t>s</w:t>
            </w:r>
          </w:p>
        </w:tc>
        <w:tc>
          <w:tcPr>
            <w:tcW w:w="2551" w:type="dxa"/>
            <w:gridSpan w:val="5"/>
            <w:tcBorders>
              <w:top w:val="single" w:sz="4" w:space="0" w:color="auto"/>
              <w:left w:val="nil"/>
              <w:bottom w:val="nil"/>
              <w:right w:val="nil"/>
            </w:tcBorders>
            <w:shd w:val="clear" w:color="auto" w:fill="auto"/>
            <w:vAlign w:val="center"/>
          </w:tcPr>
          <w:p w:rsidR="0095318C" w:rsidRPr="003C4694" w:rsidRDefault="0095318C" w:rsidP="00D34131">
            <w:pPr>
              <w:keepNext/>
              <w:spacing w:after="40"/>
              <w:rPr>
                <w:sz w:val="16"/>
                <w:szCs w:val="16"/>
              </w:rPr>
            </w:pPr>
            <w:r>
              <w:rPr>
                <w:b/>
                <w:bCs/>
                <w:sz w:val="16"/>
                <w:szCs w:val="16"/>
              </w:rPr>
              <w:t>Datos sobre el rendimiento</w:t>
            </w:r>
          </w:p>
        </w:tc>
        <w:tc>
          <w:tcPr>
            <w:tcW w:w="1278" w:type="dxa"/>
            <w:tcBorders>
              <w:top w:val="single" w:sz="4" w:space="0" w:color="auto"/>
              <w:left w:val="nil"/>
              <w:bottom w:val="nil"/>
              <w:right w:val="single" w:sz="4" w:space="0" w:color="auto"/>
            </w:tcBorders>
            <w:shd w:val="clear" w:color="auto" w:fill="auto"/>
            <w:vAlign w:val="center"/>
          </w:tcPr>
          <w:p w:rsidR="0095318C" w:rsidRPr="003C4694" w:rsidRDefault="0095318C" w:rsidP="00D34131">
            <w:pPr>
              <w:keepNext/>
              <w:keepLines/>
              <w:spacing w:after="40"/>
              <w:jc w:val="center"/>
              <w:rPr>
                <w:b/>
                <w:bCs/>
                <w:sz w:val="16"/>
                <w:szCs w:val="16"/>
              </w:rPr>
            </w:pPr>
            <w:r>
              <w:rPr>
                <w:b/>
                <w:bCs/>
                <w:sz w:val="16"/>
                <w:szCs w:val="16"/>
              </w:rPr>
              <w:t>Clave sobre los colores</w:t>
            </w:r>
          </w:p>
        </w:tc>
      </w:tr>
      <w:tr w:rsidR="0095318C" w:rsidRPr="0044627C" w:rsidTr="00D34131">
        <w:tc>
          <w:tcPr>
            <w:tcW w:w="2123" w:type="dxa"/>
            <w:gridSpan w:val="2"/>
            <w:tcBorders>
              <w:top w:val="nil"/>
              <w:left w:val="single" w:sz="4" w:space="0" w:color="auto"/>
              <w:bottom w:val="nil"/>
              <w:right w:val="nil"/>
            </w:tcBorders>
            <w:shd w:val="clear" w:color="auto" w:fill="FFFFFF"/>
          </w:tcPr>
          <w:p w:rsidR="0095318C" w:rsidRPr="0023492D" w:rsidRDefault="0095318C" w:rsidP="00D34131">
            <w:pPr>
              <w:keepNext/>
              <w:rPr>
                <w:sz w:val="16"/>
                <w:szCs w:val="16"/>
                <w:lang w:bidi="th-TH"/>
              </w:rPr>
            </w:pPr>
            <w:r w:rsidRPr="0023492D">
              <w:rPr>
                <w:sz w:val="16"/>
                <w:szCs w:val="16"/>
                <w:lang w:bidi="th-TH"/>
              </w:rPr>
              <w:t>Número de redes nacionales sostenibles de CATI</w:t>
            </w:r>
          </w:p>
        </w:tc>
        <w:tc>
          <w:tcPr>
            <w:tcW w:w="1987" w:type="dxa"/>
            <w:gridSpan w:val="2"/>
            <w:tcBorders>
              <w:top w:val="nil"/>
              <w:left w:val="nil"/>
              <w:bottom w:val="nil"/>
              <w:right w:val="nil"/>
            </w:tcBorders>
            <w:shd w:val="clear" w:color="auto" w:fill="auto"/>
          </w:tcPr>
          <w:p w:rsidR="0095318C" w:rsidRPr="001955BD" w:rsidRDefault="0095318C" w:rsidP="00D34131">
            <w:pPr>
              <w:keepNext/>
              <w:rPr>
                <w:sz w:val="16"/>
                <w:szCs w:val="16"/>
              </w:rPr>
            </w:pPr>
            <w:r w:rsidRPr="001955BD">
              <w:rPr>
                <w:i/>
                <w:sz w:val="16"/>
                <w:szCs w:val="16"/>
              </w:rPr>
              <w:t xml:space="preserve">Referencia creada a fines de 2013:  </w:t>
            </w:r>
            <w:r w:rsidRPr="001955BD">
              <w:rPr>
                <w:sz w:val="16"/>
                <w:szCs w:val="16"/>
              </w:rPr>
              <w:t xml:space="preserve">14 redes sostenibles de CATI </w:t>
            </w:r>
            <w:r>
              <w:rPr>
                <w:sz w:val="16"/>
                <w:szCs w:val="16"/>
              </w:rPr>
              <w:t>(de 36 creadas)</w:t>
            </w:r>
          </w:p>
          <w:p w:rsidR="0095318C" w:rsidRPr="001955BD" w:rsidRDefault="0095318C" w:rsidP="00D34131">
            <w:pPr>
              <w:keepNext/>
              <w:rPr>
                <w:i/>
                <w:sz w:val="16"/>
                <w:szCs w:val="16"/>
              </w:rPr>
            </w:pPr>
          </w:p>
          <w:p w:rsidR="0095318C" w:rsidRPr="001955BD" w:rsidRDefault="0095318C" w:rsidP="00D34131">
            <w:pPr>
              <w:keepNext/>
              <w:rPr>
                <w:i/>
                <w:sz w:val="16"/>
                <w:szCs w:val="16"/>
                <w:lang w:bidi="th-TH"/>
              </w:rPr>
            </w:pPr>
            <w:r w:rsidRPr="001955BD">
              <w:rPr>
                <w:i/>
                <w:sz w:val="16"/>
                <w:szCs w:val="16"/>
                <w:lang w:bidi="th-TH"/>
              </w:rPr>
              <w:t xml:space="preserve">Referencia original en el presupuesto de 2014/15: </w:t>
            </w:r>
          </w:p>
          <w:p w:rsidR="0095318C" w:rsidRDefault="0095318C" w:rsidP="00D34131">
            <w:pPr>
              <w:keepNext/>
              <w:rPr>
                <w:sz w:val="16"/>
                <w:szCs w:val="16"/>
                <w:lang w:bidi="th-TH"/>
              </w:rPr>
            </w:pPr>
            <w:r w:rsidRPr="001955BD">
              <w:rPr>
                <w:i/>
                <w:sz w:val="16"/>
                <w:szCs w:val="16"/>
                <w:lang w:bidi="th-TH"/>
              </w:rPr>
              <w:t xml:space="preserve">14 redes nacionales de CATI:  </w:t>
            </w:r>
            <w:r w:rsidRPr="001955BD">
              <w:rPr>
                <w:sz w:val="16"/>
                <w:szCs w:val="16"/>
                <w:lang w:bidi="th-TH"/>
              </w:rPr>
              <w:t>Á</w:t>
            </w:r>
            <w:r>
              <w:rPr>
                <w:sz w:val="16"/>
                <w:szCs w:val="16"/>
                <w:lang w:bidi="th-TH"/>
              </w:rPr>
              <w:t>frica (6)</w:t>
            </w:r>
          </w:p>
          <w:p w:rsidR="0095318C" w:rsidRPr="001955BD" w:rsidRDefault="0095318C" w:rsidP="00D34131">
            <w:pPr>
              <w:keepNext/>
              <w:rPr>
                <w:i/>
                <w:sz w:val="16"/>
                <w:szCs w:val="16"/>
                <w:lang w:bidi="th-TH"/>
              </w:rPr>
            </w:pPr>
            <w:r>
              <w:rPr>
                <w:sz w:val="16"/>
                <w:szCs w:val="16"/>
                <w:lang w:bidi="th-TH"/>
              </w:rPr>
              <w:t>Región árabe</w:t>
            </w:r>
            <w:r w:rsidRPr="001955BD">
              <w:rPr>
                <w:sz w:val="16"/>
                <w:szCs w:val="16"/>
                <w:lang w:bidi="th-TH"/>
              </w:rPr>
              <w:t xml:space="preserve"> (2)</w:t>
            </w:r>
          </w:p>
          <w:p w:rsidR="0095318C" w:rsidRPr="001955BD" w:rsidRDefault="0095318C" w:rsidP="00D34131">
            <w:pPr>
              <w:keepNext/>
              <w:rPr>
                <w:sz w:val="16"/>
                <w:szCs w:val="16"/>
                <w:lang w:bidi="th-TH"/>
              </w:rPr>
            </w:pPr>
            <w:r w:rsidRPr="001955BD">
              <w:rPr>
                <w:sz w:val="16"/>
                <w:szCs w:val="16"/>
                <w:lang w:bidi="th-TH"/>
              </w:rPr>
              <w:t>Asia y el Pacífico (2)</w:t>
            </w:r>
          </w:p>
          <w:p w:rsidR="0095318C" w:rsidRPr="001955BD" w:rsidRDefault="0095318C" w:rsidP="00D34131">
            <w:pPr>
              <w:keepNext/>
              <w:rPr>
                <w:sz w:val="16"/>
                <w:szCs w:val="16"/>
                <w:lang w:bidi="th-TH"/>
              </w:rPr>
            </w:pPr>
            <w:r w:rsidRPr="001955BD">
              <w:rPr>
                <w:sz w:val="16"/>
                <w:szCs w:val="16"/>
                <w:lang w:bidi="th-TH"/>
              </w:rPr>
              <w:t>América Latina y el Caribe (4)</w:t>
            </w:r>
          </w:p>
          <w:p w:rsidR="0095318C" w:rsidRPr="001955BD" w:rsidRDefault="0095318C" w:rsidP="00D34131">
            <w:pPr>
              <w:keepNext/>
              <w:rPr>
                <w:sz w:val="16"/>
                <w:szCs w:val="16"/>
                <w:lang w:bidi="th-TH"/>
              </w:rPr>
            </w:pPr>
          </w:p>
          <w:p w:rsidR="0095318C" w:rsidRPr="001955BD" w:rsidRDefault="0095318C" w:rsidP="00D34131">
            <w:pPr>
              <w:keepNext/>
              <w:rPr>
                <w:sz w:val="16"/>
                <w:szCs w:val="16"/>
                <w:lang w:bidi="th-TH"/>
              </w:rPr>
            </w:pPr>
            <w:r w:rsidRPr="001955BD">
              <w:rPr>
                <w:sz w:val="16"/>
                <w:szCs w:val="16"/>
                <w:lang w:bidi="th-TH"/>
              </w:rPr>
              <w:t>6 PMA incluidos en el desglose nacional precedente</w:t>
            </w:r>
          </w:p>
          <w:p w:rsidR="0095318C" w:rsidRPr="001955BD" w:rsidRDefault="0095318C" w:rsidP="00D34131">
            <w:pPr>
              <w:keepNext/>
              <w:rPr>
                <w:i/>
                <w:sz w:val="16"/>
                <w:szCs w:val="16"/>
              </w:rPr>
            </w:pPr>
          </w:p>
        </w:tc>
        <w:tc>
          <w:tcPr>
            <w:tcW w:w="1559" w:type="dxa"/>
            <w:gridSpan w:val="2"/>
            <w:tcBorders>
              <w:top w:val="nil"/>
              <w:left w:val="nil"/>
              <w:bottom w:val="nil"/>
              <w:right w:val="nil"/>
            </w:tcBorders>
            <w:shd w:val="clear" w:color="auto" w:fill="auto"/>
            <w:tcMar>
              <w:top w:w="110" w:type="dxa"/>
            </w:tcMar>
          </w:tcPr>
          <w:p w:rsidR="0095318C" w:rsidRPr="001955BD" w:rsidRDefault="0095318C" w:rsidP="00D34131">
            <w:pPr>
              <w:keepNext/>
              <w:rPr>
                <w:sz w:val="16"/>
                <w:szCs w:val="16"/>
                <w:lang w:bidi="th-TH"/>
              </w:rPr>
            </w:pPr>
            <w:r w:rsidRPr="001955BD">
              <w:rPr>
                <w:sz w:val="16"/>
                <w:szCs w:val="16"/>
                <w:lang w:bidi="th-TH"/>
              </w:rPr>
              <w:t>23 redes nacionales de CATI (en total):</w:t>
            </w:r>
          </w:p>
          <w:p w:rsidR="0095318C" w:rsidRPr="001955BD" w:rsidRDefault="0095318C" w:rsidP="00D34131">
            <w:pPr>
              <w:keepNext/>
              <w:rPr>
                <w:sz w:val="16"/>
                <w:szCs w:val="16"/>
                <w:lang w:bidi="th-TH"/>
              </w:rPr>
            </w:pPr>
          </w:p>
          <w:p w:rsidR="0095318C" w:rsidRPr="001955BD" w:rsidRDefault="0095318C" w:rsidP="00D34131">
            <w:pPr>
              <w:keepNext/>
              <w:rPr>
                <w:sz w:val="16"/>
                <w:szCs w:val="16"/>
                <w:lang w:bidi="th-TH"/>
              </w:rPr>
            </w:pPr>
            <w:r w:rsidRPr="001955BD">
              <w:rPr>
                <w:sz w:val="16"/>
                <w:szCs w:val="16"/>
                <w:lang w:bidi="th-TH"/>
              </w:rPr>
              <w:t>África (10 países, de los cuales 8 son PMA)</w:t>
            </w:r>
          </w:p>
          <w:p w:rsidR="0095318C" w:rsidRPr="001955BD" w:rsidRDefault="0095318C" w:rsidP="00D34131">
            <w:pPr>
              <w:keepNext/>
              <w:rPr>
                <w:sz w:val="16"/>
                <w:szCs w:val="16"/>
                <w:lang w:bidi="th-TH"/>
              </w:rPr>
            </w:pPr>
          </w:p>
          <w:p w:rsidR="0095318C" w:rsidRPr="001955BD" w:rsidRDefault="0095318C" w:rsidP="00D34131">
            <w:pPr>
              <w:keepNext/>
              <w:rPr>
                <w:sz w:val="16"/>
                <w:szCs w:val="16"/>
                <w:lang w:bidi="th-TH"/>
              </w:rPr>
            </w:pPr>
            <w:r w:rsidRPr="001955BD">
              <w:rPr>
                <w:sz w:val="16"/>
                <w:szCs w:val="16"/>
                <w:lang w:bidi="th-TH"/>
              </w:rPr>
              <w:t xml:space="preserve">Región árabe (3) </w:t>
            </w:r>
          </w:p>
          <w:p w:rsidR="0095318C" w:rsidRPr="001955BD" w:rsidRDefault="0095318C" w:rsidP="00D34131">
            <w:pPr>
              <w:keepNext/>
              <w:rPr>
                <w:sz w:val="16"/>
                <w:szCs w:val="16"/>
                <w:lang w:bidi="th-TH"/>
              </w:rPr>
            </w:pPr>
          </w:p>
          <w:p w:rsidR="0095318C" w:rsidRPr="001955BD" w:rsidRDefault="0095318C" w:rsidP="00D34131">
            <w:pPr>
              <w:keepNext/>
              <w:rPr>
                <w:sz w:val="16"/>
                <w:szCs w:val="16"/>
                <w:lang w:bidi="th-TH"/>
              </w:rPr>
            </w:pPr>
          </w:p>
          <w:p w:rsidR="0095318C" w:rsidRPr="001955BD" w:rsidRDefault="0095318C" w:rsidP="00D34131">
            <w:pPr>
              <w:keepNext/>
              <w:rPr>
                <w:sz w:val="16"/>
                <w:szCs w:val="16"/>
                <w:lang w:bidi="th-TH"/>
              </w:rPr>
            </w:pPr>
            <w:r w:rsidRPr="001955BD">
              <w:rPr>
                <w:sz w:val="16"/>
                <w:szCs w:val="16"/>
                <w:lang w:bidi="th-TH"/>
              </w:rPr>
              <w:t>Asia y el Pacífico (4 países, de los cuales 2 son PMA)</w:t>
            </w:r>
          </w:p>
          <w:p w:rsidR="0095318C" w:rsidRPr="001955BD" w:rsidRDefault="0095318C" w:rsidP="00D34131">
            <w:pPr>
              <w:keepNext/>
              <w:rPr>
                <w:sz w:val="16"/>
                <w:szCs w:val="16"/>
                <w:lang w:bidi="th-TH"/>
              </w:rPr>
            </w:pPr>
          </w:p>
          <w:p w:rsidR="0095318C" w:rsidRPr="001955BD" w:rsidRDefault="0095318C" w:rsidP="00D34131">
            <w:pPr>
              <w:keepNext/>
              <w:rPr>
                <w:sz w:val="16"/>
                <w:szCs w:val="16"/>
                <w:lang w:bidi="th-TH"/>
              </w:rPr>
            </w:pPr>
            <w:r w:rsidRPr="001955BD">
              <w:rPr>
                <w:sz w:val="16"/>
                <w:szCs w:val="16"/>
                <w:lang w:bidi="th-TH"/>
              </w:rPr>
              <w:t>América Latina y el Caribe (6)</w:t>
            </w:r>
          </w:p>
          <w:p w:rsidR="0095318C" w:rsidRPr="001955BD" w:rsidRDefault="0095318C" w:rsidP="00D34131">
            <w:pPr>
              <w:keepNext/>
              <w:rPr>
                <w:sz w:val="16"/>
                <w:szCs w:val="16"/>
                <w:lang w:bidi="th-TH"/>
              </w:rPr>
            </w:pPr>
          </w:p>
          <w:p w:rsidR="0095318C" w:rsidRPr="001955BD" w:rsidRDefault="0095318C" w:rsidP="00D34131">
            <w:pPr>
              <w:keepNext/>
              <w:rPr>
                <w:sz w:val="16"/>
                <w:szCs w:val="16"/>
                <w:lang w:bidi="th-TH"/>
              </w:rPr>
            </w:pPr>
          </w:p>
        </w:tc>
        <w:tc>
          <w:tcPr>
            <w:tcW w:w="2551" w:type="dxa"/>
            <w:gridSpan w:val="5"/>
            <w:tcBorders>
              <w:top w:val="nil"/>
              <w:left w:val="nil"/>
              <w:bottom w:val="nil"/>
              <w:right w:val="nil"/>
            </w:tcBorders>
            <w:shd w:val="clear" w:color="auto" w:fill="FFFFFF"/>
            <w:tcMar>
              <w:top w:w="110" w:type="dxa"/>
            </w:tcMar>
          </w:tcPr>
          <w:p w:rsidR="0095318C" w:rsidRPr="001955BD" w:rsidRDefault="0095318C" w:rsidP="00D34131">
            <w:pPr>
              <w:keepNext/>
              <w:rPr>
                <w:sz w:val="16"/>
                <w:szCs w:val="16"/>
              </w:rPr>
            </w:pPr>
            <w:r w:rsidRPr="001955BD">
              <w:rPr>
                <w:sz w:val="16"/>
                <w:szCs w:val="16"/>
              </w:rPr>
              <w:t>24 redes nacionales sostenibles de 49 creadas oficialmente</w:t>
            </w:r>
            <w:r>
              <w:rPr>
                <w:sz w:val="16"/>
                <w:szCs w:val="16"/>
              </w:rPr>
              <w:t xml:space="preserve"> (en total</w:t>
            </w:r>
            <w:r w:rsidRPr="001955BD">
              <w:rPr>
                <w:sz w:val="16"/>
                <w:szCs w:val="16"/>
              </w:rPr>
              <w:t xml:space="preserve">):  </w:t>
            </w:r>
          </w:p>
          <w:p w:rsidR="0095318C" w:rsidRPr="001955BD" w:rsidRDefault="0095318C" w:rsidP="00D34131">
            <w:pPr>
              <w:keepNext/>
              <w:rPr>
                <w:sz w:val="16"/>
                <w:szCs w:val="16"/>
              </w:rPr>
            </w:pPr>
          </w:p>
          <w:p w:rsidR="0095318C" w:rsidRPr="001955BD" w:rsidRDefault="0095318C" w:rsidP="00D34131">
            <w:pPr>
              <w:keepNext/>
              <w:rPr>
                <w:sz w:val="16"/>
                <w:szCs w:val="16"/>
              </w:rPr>
            </w:pPr>
            <w:r w:rsidRPr="001955BD">
              <w:rPr>
                <w:sz w:val="16"/>
                <w:szCs w:val="16"/>
              </w:rPr>
              <w:t xml:space="preserve">África (10 países, de los cuales 8 son PMA)  </w:t>
            </w:r>
          </w:p>
          <w:p w:rsidR="0095318C" w:rsidRPr="001955BD" w:rsidRDefault="0095318C" w:rsidP="00D34131">
            <w:pPr>
              <w:keepNext/>
              <w:rPr>
                <w:sz w:val="16"/>
                <w:szCs w:val="16"/>
              </w:rPr>
            </w:pPr>
          </w:p>
          <w:p w:rsidR="0095318C" w:rsidRPr="001955BD" w:rsidRDefault="0095318C" w:rsidP="00D34131">
            <w:pPr>
              <w:keepNext/>
              <w:rPr>
                <w:sz w:val="16"/>
                <w:szCs w:val="16"/>
              </w:rPr>
            </w:pPr>
          </w:p>
          <w:p w:rsidR="0095318C" w:rsidRPr="001955BD" w:rsidRDefault="0095318C" w:rsidP="00D34131">
            <w:pPr>
              <w:keepNext/>
              <w:rPr>
                <w:sz w:val="16"/>
                <w:szCs w:val="16"/>
              </w:rPr>
            </w:pPr>
            <w:r w:rsidRPr="001955BD">
              <w:rPr>
                <w:sz w:val="16"/>
                <w:szCs w:val="16"/>
              </w:rPr>
              <w:t xml:space="preserve">Región árabe (3)  </w:t>
            </w:r>
          </w:p>
          <w:p w:rsidR="0095318C" w:rsidRPr="001955BD" w:rsidRDefault="0095318C" w:rsidP="00D34131">
            <w:pPr>
              <w:keepNext/>
              <w:rPr>
                <w:sz w:val="16"/>
                <w:szCs w:val="16"/>
              </w:rPr>
            </w:pPr>
          </w:p>
          <w:p w:rsidR="0095318C" w:rsidRPr="001955BD" w:rsidRDefault="0095318C" w:rsidP="00D34131">
            <w:pPr>
              <w:keepNext/>
              <w:rPr>
                <w:sz w:val="16"/>
                <w:szCs w:val="16"/>
              </w:rPr>
            </w:pPr>
          </w:p>
          <w:p w:rsidR="0095318C" w:rsidRPr="001955BD" w:rsidRDefault="0095318C" w:rsidP="00D34131">
            <w:pPr>
              <w:keepNext/>
              <w:rPr>
                <w:sz w:val="16"/>
                <w:szCs w:val="16"/>
              </w:rPr>
            </w:pPr>
            <w:r w:rsidRPr="001955BD">
              <w:rPr>
                <w:sz w:val="16"/>
                <w:szCs w:val="16"/>
              </w:rPr>
              <w:t>Asia y el Pacífico (4 países, entre los cuales hay un PMA)</w:t>
            </w:r>
          </w:p>
          <w:p w:rsidR="0095318C" w:rsidRPr="001955BD" w:rsidRDefault="0095318C" w:rsidP="00D34131">
            <w:pPr>
              <w:keepNext/>
              <w:rPr>
                <w:sz w:val="16"/>
                <w:szCs w:val="16"/>
              </w:rPr>
            </w:pPr>
          </w:p>
          <w:p w:rsidR="0095318C" w:rsidRPr="001955BD" w:rsidRDefault="0095318C" w:rsidP="00D34131">
            <w:pPr>
              <w:keepNext/>
              <w:rPr>
                <w:sz w:val="16"/>
                <w:szCs w:val="16"/>
              </w:rPr>
            </w:pPr>
          </w:p>
          <w:p w:rsidR="0095318C" w:rsidRPr="001955BD" w:rsidRDefault="0095318C" w:rsidP="00D34131">
            <w:pPr>
              <w:keepNext/>
              <w:rPr>
                <w:sz w:val="16"/>
                <w:szCs w:val="16"/>
                <w:lang w:bidi="th-TH"/>
              </w:rPr>
            </w:pPr>
            <w:r w:rsidRPr="001955BD">
              <w:rPr>
                <w:sz w:val="16"/>
                <w:szCs w:val="16"/>
                <w:lang w:bidi="th-TH"/>
              </w:rPr>
              <w:t xml:space="preserve">América Latina y el Caribe (7) </w:t>
            </w:r>
          </w:p>
          <w:p w:rsidR="0095318C" w:rsidRPr="001955BD" w:rsidRDefault="0095318C" w:rsidP="00D34131">
            <w:pPr>
              <w:keepNext/>
              <w:rPr>
                <w:sz w:val="16"/>
                <w:szCs w:val="16"/>
                <w:lang w:bidi="th-TH"/>
              </w:rPr>
            </w:pPr>
          </w:p>
          <w:p w:rsidR="0095318C" w:rsidRPr="001955BD" w:rsidRDefault="0095318C" w:rsidP="00D34131">
            <w:pPr>
              <w:keepNext/>
              <w:rPr>
                <w:sz w:val="16"/>
                <w:szCs w:val="16"/>
                <w:lang w:bidi="th-TH"/>
              </w:rPr>
            </w:pPr>
            <w:r w:rsidRPr="001955BD">
              <w:rPr>
                <w:sz w:val="16"/>
                <w:szCs w:val="16"/>
                <w:lang w:bidi="th-TH"/>
              </w:rPr>
              <w:t>9 PMA incluidos en el desglose nacional precedente</w:t>
            </w:r>
            <w:r w:rsidRPr="001955BD" w:rsidDel="00626749">
              <w:rPr>
                <w:sz w:val="16"/>
                <w:szCs w:val="16"/>
                <w:lang w:bidi="th-TH"/>
              </w:rPr>
              <w:t xml:space="preserve"> </w:t>
            </w:r>
          </w:p>
        </w:tc>
        <w:tc>
          <w:tcPr>
            <w:tcW w:w="1278" w:type="dxa"/>
            <w:tcBorders>
              <w:top w:val="nil"/>
              <w:left w:val="nil"/>
              <w:bottom w:val="nil"/>
              <w:right w:val="single" w:sz="4" w:space="0" w:color="auto"/>
            </w:tcBorders>
            <w:shd w:val="clear" w:color="auto" w:fill="auto"/>
            <w:tcMar>
              <w:top w:w="110" w:type="dxa"/>
            </w:tcMar>
          </w:tcPr>
          <w:p w:rsidR="0095318C" w:rsidRPr="0044627C" w:rsidRDefault="0095318C" w:rsidP="00D34131">
            <w:pPr>
              <w:keepNext/>
              <w:keepLines/>
              <w:jc w:val="center"/>
              <w:rPr>
                <w:b/>
                <w:bCs/>
                <w:color w:val="00B050"/>
                <w:sz w:val="16"/>
                <w:szCs w:val="16"/>
              </w:rPr>
            </w:pPr>
            <w:r w:rsidRPr="004B265E">
              <w:rPr>
                <w:b/>
                <w:bCs/>
                <w:color w:val="00B050"/>
                <w:sz w:val="14"/>
                <w:szCs w:val="14"/>
              </w:rPr>
              <w:t>Plenamente logrado</w:t>
            </w:r>
            <w:r w:rsidRPr="0044627C">
              <w:rPr>
                <w:b/>
                <w:bCs/>
                <w:color w:val="00B050"/>
                <w:sz w:val="16"/>
                <w:szCs w:val="16"/>
              </w:rPr>
              <w:t xml:space="preserve"> </w:t>
            </w:r>
          </w:p>
          <w:p w:rsidR="0095318C" w:rsidRPr="0044627C" w:rsidRDefault="0095318C" w:rsidP="00D34131">
            <w:pPr>
              <w:keepNext/>
              <w:keepLines/>
              <w:jc w:val="center"/>
              <w:rPr>
                <w:b/>
                <w:bCs/>
                <w:color w:val="00B050"/>
                <w:sz w:val="16"/>
                <w:szCs w:val="16"/>
              </w:rPr>
            </w:pPr>
          </w:p>
          <w:p w:rsidR="0095318C" w:rsidRDefault="0095318C" w:rsidP="00D34131">
            <w:pPr>
              <w:keepNext/>
              <w:keepLines/>
              <w:jc w:val="center"/>
              <w:rPr>
                <w:b/>
                <w:bCs/>
                <w:color w:val="00B050"/>
                <w:sz w:val="14"/>
                <w:szCs w:val="14"/>
              </w:rPr>
            </w:pPr>
          </w:p>
          <w:p w:rsidR="0095318C" w:rsidRPr="0044627C" w:rsidRDefault="0095318C" w:rsidP="00D34131">
            <w:pPr>
              <w:keepNext/>
              <w:keepLines/>
              <w:jc w:val="center"/>
              <w:rPr>
                <w:b/>
                <w:bCs/>
                <w:color w:val="00B050"/>
                <w:sz w:val="16"/>
                <w:szCs w:val="16"/>
              </w:rPr>
            </w:pPr>
            <w:r w:rsidRPr="004B265E">
              <w:rPr>
                <w:b/>
                <w:bCs/>
                <w:color w:val="00B050"/>
                <w:sz w:val="14"/>
                <w:szCs w:val="14"/>
              </w:rPr>
              <w:t>Plenamente logrado</w:t>
            </w:r>
            <w:r w:rsidRPr="0044627C">
              <w:rPr>
                <w:b/>
                <w:bCs/>
                <w:color w:val="00B050"/>
                <w:sz w:val="16"/>
                <w:szCs w:val="16"/>
              </w:rPr>
              <w:t xml:space="preserve"> </w:t>
            </w:r>
          </w:p>
          <w:p w:rsidR="0095318C" w:rsidRDefault="0095318C" w:rsidP="00D34131">
            <w:pPr>
              <w:keepNext/>
              <w:keepLines/>
              <w:jc w:val="center"/>
              <w:rPr>
                <w:b/>
                <w:bCs/>
                <w:color w:val="00B050"/>
                <w:sz w:val="14"/>
                <w:szCs w:val="14"/>
              </w:rPr>
            </w:pPr>
          </w:p>
          <w:p w:rsidR="0095318C" w:rsidRPr="0044627C" w:rsidRDefault="0095318C" w:rsidP="00D34131">
            <w:pPr>
              <w:keepNext/>
              <w:keepLines/>
              <w:jc w:val="center"/>
              <w:rPr>
                <w:b/>
                <w:bCs/>
                <w:color w:val="00B050"/>
                <w:sz w:val="16"/>
                <w:szCs w:val="16"/>
              </w:rPr>
            </w:pPr>
            <w:r w:rsidRPr="004B265E">
              <w:rPr>
                <w:b/>
                <w:bCs/>
                <w:color w:val="00B050"/>
                <w:sz w:val="14"/>
                <w:szCs w:val="14"/>
              </w:rPr>
              <w:t>Plenamente logrado</w:t>
            </w:r>
            <w:r w:rsidRPr="0044627C">
              <w:rPr>
                <w:b/>
                <w:bCs/>
                <w:color w:val="00B050"/>
                <w:sz w:val="16"/>
                <w:szCs w:val="16"/>
              </w:rPr>
              <w:t xml:space="preserve"> </w:t>
            </w:r>
          </w:p>
          <w:p w:rsidR="0095318C" w:rsidRDefault="0095318C" w:rsidP="00D34131">
            <w:pPr>
              <w:keepNext/>
              <w:keepLines/>
              <w:jc w:val="center"/>
              <w:rPr>
                <w:b/>
                <w:bCs/>
                <w:color w:val="00B050"/>
                <w:sz w:val="14"/>
                <w:szCs w:val="14"/>
              </w:rPr>
            </w:pPr>
          </w:p>
          <w:p w:rsidR="0095318C" w:rsidRDefault="0095318C" w:rsidP="00D34131">
            <w:pPr>
              <w:keepNext/>
              <w:keepLines/>
              <w:jc w:val="center"/>
              <w:rPr>
                <w:b/>
                <w:bCs/>
                <w:color w:val="00B050"/>
                <w:sz w:val="14"/>
                <w:szCs w:val="14"/>
              </w:rPr>
            </w:pPr>
          </w:p>
          <w:p w:rsidR="0095318C" w:rsidRPr="003C4694" w:rsidRDefault="0095318C" w:rsidP="00D34131">
            <w:pPr>
              <w:keepNext/>
              <w:keepLines/>
              <w:jc w:val="center"/>
              <w:rPr>
                <w:b/>
                <w:bCs/>
                <w:sz w:val="16"/>
                <w:szCs w:val="16"/>
              </w:rPr>
            </w:pPr>
            <w:r w:rsidRPr="004B265E">
              <w:rPr>
                <w:b/>
                <w:bCs/>
                <w:color w:val="00B050"/>
                <w:sz w:val="14"/>
                <w:szCs w:val="14"/>
              </w:rPr>
              <w:t>Plenamente logrado</w:t>
            </w:r>
            <w:r w:rsidRPr="003C4694">
              <w:rPr>
                <w:b/>
                <w:bCs/>
                <w:sz w:val="16"/>
                <w:szCs w:val="16"/>
              </w:rPr>
              <w:t xml:space="preserve"> </w:t>
            </w:r>
          </w:p>
          <w:p w:rsidR="0095318C" w:rsidRPr="003C4694" w:rsidRDefault="0095318C" w:rsidP="00D34131">
            <w:pPr>
              <w:keepNext/>
              <w:keepLines/>
              <w:jc w:val="center"/>
              <w:rPr>
                <w:b/>
                <w:bCs/>
                <w:sz w:val="16"/>
                <w:szCs w:val="16"/>
              </w:rPr>
            </w:pPr>
          </w:p>
          <w:p w:rsidR="0095318C" w:rsidRDefault="0095318C" w:rsidP="00D34131">
            <w:pPr>
              <w:keepNext/>
              <w:keepLines/>
              <w:jc w:val="center"/>
              <w:rPr>
                <w:b/>
                <w:bCs/>
                <w:color w:val="00B050"/>
                <w:sz w:val="14"/>
                <w:szCs w:val="14"/>
              </w:rPr>
            </w:pPr>
          </w:p>
          <w:p w:rsidR="0095318C" w:rsidRPr="003C4694" w:rsidRDefault="0095318C" w:rsidP="00D34131">
            <w:pPr>
              <w:keepNext/>
              <w:keepLines/>
              <w:jc w:val="center"/>
              <w:rPr>
                <w:b/>
                <w:bCs/>
                <w:sz w:val="16"/>
                <w:szCs w:val="16"/>
              </w:rPr>
            </w:pPr>
            <w:r w:rsidRPr="004B265E">
              <w:rPr>
                <w:b/>
                <w:bCs/>
                <w:color w:val="00B050"/>
                <w:sz w:val="14"/>
                <w:szCs w:val="14"/>
              </w:rPr>
              <w:t>Plenamente logrado</w:t>
            </w:r>
            <w:r w:rsidRPr="003C4694">
              <w:rPr>
                <w:b/>
                <w:bCs/>
                <w:sz w:val="16"/>
                <w:szCs w:val="16"/>
              </w:rPr>
              <w:t xml:space="preserve"> </w:t>
            </w:r>
          </w:p>
          <w:p w:rsidR="0095318C" w:rsidRPr="003C4694" w:rsidRDefault="0095318C" w:rsidP="00D34131">
            <w:pPr>
              <w:keepNext/>
              <w:keepLines/>
              <w:jc w:val="center"/>
              <w:rPr>
                <w:b/>
                <w:bCs/>
                <w:sz w:val="16"/>
                <w:szCs w:val="16"/>
              </w:rPr>
            </w:pPr>
          </w:p>
        </w:tc>
      </w:tr>
      <w:tr w:rsidR="0095318C" w:rsidRPr="00C10E3B" w:rsidTr="00D34131">
        <w:trPr>
          <w:trHeight w:val="1780"/>
        </w:trPr>
        <w:tc>
          <w:tcPr>
            <w:tcW w:w="2123" w:type="dxa"/>
            <w:gridSpan w:val="2"/>
            <w:tcBorders>
              <w:top w:val="nil"/>
              <w:left w:val="single" w:sz="4" w:space="0" w:color="auto"/>
              <w:bottom w:val="nil"/>
            </w:tcBorders>
            <w:shd w:val="clear" w:color="auto" w:fill="FFFFFF"/>
          </w:tcPr>
          <w:p w:rsidR="0095318C" w:rsidRPr="00C10E3B" w:rsidRDefault="0095318C" w:rsidP="00D34131">
            <w:pPr>
              <w:keepNext/>
              <w:rPr>
                <w:sz w:val="16"/>
                <w:szCs w:val="16"/>
                <w:lang w:bidi="th-TH"/>
              </w:rPr>
            </w:pPr>
            <w:r w:rsidRPr="00C10E3B">
              <w:rPr>
                <w:sz w:val="16"/>
                <w:szCs w:val="16"/>
                <w:lang w:bidi="th-TH"/>
              </w:rPr>
              <w:t>Promedio de usuarios que utilizan los servicios de los CATI por trimestre y por país</w:t>
            </w:r>
          </w:p>
        </w:tc>
        <w:tc>
          <w:tcPr>
            <w:tcW w:w="1987" w:type="dxa"/>
            <w:gridSpan w:val="2"/>
            <w:tcBorders>
              <w:top w:val="nil"/>
              <w:bottom w:val="nil"/>
            </w:tcBorders>
            <w:shd w:val="clear" w:color="auto" w:fill="auto"/>
          </w:tcPr>
          <w:p w:rsidR="0095318C" w:rsidRPr="00C10E3B" w:rsidRDefault="0095318C" w:rsidP="00D34131">
            <w:pPr>
              <w:keepNext/>
              <w:rPr>
                <w:sz w:val="16"/>
                <w:szCs w:val="16"/>
              </w:rPr>
            </w:pPr>
            <w:r w:rsidRPr="00C10E3B">
              <w:rPr>
                <w:i/>
                <w:sz w:val="16"/>
                <w:szCs w:val="16"/>
              </w:rPr>
              <w:t xml:space="preserve">Referencia actualizada a fines de 2013:  </w:t>
            </w:r>
            <w:r>
              <w:rPr>
                <w:i/>
                <w:sz w:val="16"/>
                <w:szCs w:val="16"/>
              </w:rPr>
              <w:t xml:space="preserve">entre </w:t>
            </w:r>
            <w:r w:rsidRPr="00C10E3B">
              <w:rPr>
                <w:sz w:val="16"/>
                <w:szCs w:val="16"/>
              </w:rPr>
              <w:t xml:space="preserve">532 (min.) </w:t>
            </w:r>
            <w:r>
              <w:rPr>
                <w:sz w:val="16"/>
                <w:szCs w:val="16"/>
              </w:rPr>
              <w:t>y</w:t>
            </w:r>
            <w:r w:rsidRPr="00C10E3B">
              <w:rPr>
                <w:sz w:val="16"/>
                <w:szCs w:val="16"/>
              </w:rPr>
              <w:t xml:space="preserve"> 1</w:t>
            </w:r>
            <w:r>
              <w:rPr>
                <w:sz w:val="16"/>
                <w:szCs w:val="16"/>
              </w:rPr>
              <w:t>.370 (má</w:t>
            </w:r>
            <w:r w:rsidRPr="00C10E3B">
              <w:rPr>
                <w:sz w:val="16"/>
                <w:szCs w:val="16"/>
              </w:rPr>
              <w:t>x.).</w:t>
            </w:r>
            <w:r>
              <w:rPr>
                <w:sz w:val="16"/>
                <w:szCs w:val="16"/>
              </w:rPr>
              <w:t xml:space="preserve"> usuarios atendidos al día por los CATI en 2013.</w:t>
            </w:r>
          </w:p>
          <w:p w:rsidR="0095318C" w:rsidRPr="00C10E3B" w:rsidRDefault="0095318C" w:rsidP="00D34131">
            <w:pPr>
              <w:keepNext/>
              <w:rPr>
                <w:i/>
                <w:sz w:val="16"/>
                <w:szCs w:val="16"/>
              </w:rPr>
            </w:pPr>
          </w:p>
          <w:p w:rsidR="0095318C" w:rsidRPr="00C10E3B" w:rsidRDefault="0095318C" w:rsidP="00D34131">
            <w:pPr>
              <w:keepNext/>
              <w:rPr>
                <w:i/>
                <w:sz w:val="16"/>
                <w:szCs w:val="16"/>
                <w:lang w:bidi="th-TH"/>
              </w:rPr>
            </w:pPr>
            <w:r>
              <w:rPr>
                <w:i/>
                <w:sz w:val="16"/>
                <w:szCs w:val="16"/>
                <w:lang w:bidi="th-TH"/>
              </w:rPr>
              <w:t xml:space="preserve">Referencia original en el presupuesto de 2014/15:  entre </w:t>
            </w:r>
            <w:r>
              <w:rPr>
                <w:sz w:val="16"/>
                <w:szCs w:val="16"/>
                <w:lang w:bidi="th-TH"/>
              </w:rPr>
              <w:t>200 (min.) y 630 (má</w:t>
            </w:r>
            <w:r w:rsidRPr="00C10E3B">
              <w:rPr>
                <w:sz w:val="16"/>
                <w:szCs w:val="16"/>
                <w:lang w:bidi="th-TH"/>
              </w:rPr>
              <w:t>x</w:t>
            </w:r>
            <w:r>
              <w:rPr>
                <w:sz w:val="16"/>
                <w:szCs w:val="16"/>
                <w:lang w:bidi="th-TH"/>
              </w:rPr>
              <w:t>.</w:t>
            </w:r>
            <w:r w:rsidRPr="00C10E3B">
              <w:rPr>
                <w:sz w:val="16"/>
                <w:szCs w:val="16"/>
                <w:lang w:bidi="th-TH"/>
              </w:rPr>
              <w:t>)</w:t>
            </w:r>
          </w:p>
          <w:p w:rsidR="0095318C" w:rsidRPr="00C10E3B" w:rsidRDefault="0095318C" w:rsidP="00D34131">
            <w:pPr>
              <w:keepNext/>
              <w:rPr>
                <w:i/>
                <w:sz w:val="16"/>
                <w:szCs w:val="16"/>
              </w:rPr>
            </w:pPr>
          </w:p>
        </w:tc>
        <w:tc>
          <w:tcPr>
            <w:tcW w:w="1559" w:type="dxa"/>
            <w:gridSpan w:val="2"/>
            <w:tcBorders>
              <w:top w:val="nil"/>
              <w:bottom w:val="nil"/>
            </w:tcBorders>
            <w:shd w:val="clear" w:color="auto" w:fill="auto"/>
            <w:tcMar>
              <w:top w:w="110" w:type="dxa"/>
            </w:tcMar>
          </w:tcPr>
          <w:p w:rsidR="0095318C" w:rsidRPr="00C10E3B" w:rsidRDefault="0095318C" w:rsidP="00D34131">
            <w:pPr>
              <w:keepNext/>
              <w:rPr>
                <w:sz w:val="16"/>
                <w:szCs w:val="16"/>
                <w:lang w:bidi="th-TH"/>
              </w:rPr>
            </w:pPr>
            <w:r w:rsidRPr="00C10E3B">
              <w:rPr>
                <w:sz w:val="16"/>
                <w:szCs w:val="16"/>
                <w:lang w:bidi="th-TH"/>
              </w:rPr>
              <w:t>300 (min.) – 750 (máx.)</w:t>
            </w:r>
          </w:p>
        </w:tc>
        <w:tc>
          <w:tcPr>
            <w:tcW w:w="2551" w:type="dxa"/>
            <w:gridSpan w:val="5"/>
            <w:tcBorders>
              <w:top w:val="nil"/>
              <w:bottom w:val="nil"/>
            </w:tcBorders>
            <w:shd w:val="clear" w:color="auto" w:fill="FFFFFF"/>
            <w:tcMar>
              <w:top w:w="110" w:type="dxa"/>
            </w:tcMar>
          </w:tcPr>
          <w:p w:rsidR="0095318C" w:rsidRPr="00C10E3B" w:rsidRDefault="0095318C" w:rsidP="00D34131">
            <w:pPr>
              <w:keepNext/>
              <w:rPr>
                <w:sz w:val="16"/>
                <w:szCs w:val="16"/>
                <w:lang w:bidi="th-TH"/>
              </w:rPr>
            </w:pPr>
            <w:r w:rsidRPr="00C10E3B">
              <w:rPr>
                <w:sz w:val="16"/>
                <w:szCs w:val="16"/>
              </w:rPr>
              <w:t>874 (min.) – 2.631 (máx.)</w:t>
            </w:r>
          </w:p>
        </w:tc>
        <w:tc>
          <w:tcPr>
            <w:tcW w:w="1278" w:type="dxa"/>
            <w:tcBorders>
              <w:top w:val="nil"/>
              <w:bottom w:val="nil"/>
              <w:right w:val="single" w:sz="4" w:space="0" w:color="auto"/>
            </w:tcBorders>
            <w:shd w:val="clear" w:color="auto" w:fill="auto"/>
            <w:tcMar>
              <w:top w:w="110" w:type="dxa"/>
            </w:tcMar>
          </w:tcPr>
          <w:p w:rsidR="0095318C" w:rsidRPr="00C10E3B" w:rsidRDefault="0095318C" w:rsidP="00D34131">
            <w:pPr>
              <w:keepNext/>
              <w:keepLines/>
              <w:jc w:val="center"/>
              <w:rPr>
                <w:b/>
                <w:bCs/>
                <w:sz w:val="16"/>
                <w:szCs w:val="16"/>
              </w:rPr>
            </w:pPr>
            <w:r w:rsidRPr="00C10E3B">
              <w:rPr>
                <w:b/>
                <w:bCs/>
                <w:color w:val="00B050"/>
                <w:sz w:val="14"/>
                <w:szCs w:val="14"/>
              </w:rPr>
              <w:t>Plenamente logrado</w:t>
            </w:r>
          </w:p>
        </w:tc>
      </w:tr>
      <w:tr w:rsidR="0095318C" w:rsidRPr="003C4694" w:rsidTr="00DC1333">
        <w:tc>
          <w:tcPr>
            <w:tcW w:w="2123" w:type="dxa"/>
            <w:gridSpan w:val="2"/>
            <w:tcBorders>
              <w:top w:val="nil"/>
              <w:left w:val="single" w:sz="4" w:space="0" w:color="auto"/>
              <w:bottom w:val="single" w:sz="4" w:space="0" w:color="auto"/>
            </w:tcBorders>
            <w:shd w:val="clear" w:color="auto" w:fill="FFFFFF"/>
          </w:tcPr>
          <w:p w:rsidR="0095318C" w:rsidRPr="00C10E3B" w:rsidRDefault="0095318C" w:rsidP="00DC1333">
            <w:pPr>
              <w:keepNext/>
              <w:rPr>
                <w:sz w:val="16"/>
                <w:szCs w:val="16"/>
                <w:lang w:bidi="th-TH"/>
              </w:rPr>
            </w:pPr>
            <w:r w:rsidRPr="00C10E3B">
              <w:rPr>
                <w:sz w:val="16"/>
                <w:szCs w:val="16"/>
                <w:lang w:bidi="th-TH"/>
              </w:rPr>
              <w:t>Número de países que utilizan la base de datos de asistencia técnica en P.I. (IP-TAD) y la lista de consultores (IP_ROC)</w:t>
            </w:r>
          </w:p>
        </w:tc>
        <w:tc>
          <w:tcPr>
            <w:tcW w:w="1987" w:type="dxa"/>
            <w:gridSpan w:val="2"/>
            <w:tcBorders>
              <w:top w:val="nil"/>
              <w:bottom w:val="single" w:sz="4" w:space="0" w:color="auto"/>
            </w:tcBorders>
            <w:shd w:val="clear" w:color="auto" w:fill="auto"/>
          </w:tcPr>
          <w:p w:rsidR="0095318C" w:rsidRPr="00C10E3B" w:rsidRDefault="0095318C" w:rsidP="00DC1333">
            <w:pPr>
              <w:keepNext/>
              <w:rPr>
                <w:i/>
                <w:sz w:val="16"/>
                <w:szCs w:val="16"/>
              </w:rPr>
            </w:pPr>
            <w:r w:rsidRPr="00C10E3B">
              <w:rPr>
                <w:i/>
                <w:sz w:val="16"/>
                <w:szCs w:val="16"/>
              </w:rPr>
              <w:t>Referencia actualizada a fines de</w:t>
            </w:r>
            <w:r>
              <w:rPr>
                <w:i/>
                <w:sz w:val="16"/>
                <w:szCs w:val="16"/>
              </w:rPr>
              <w:t xml:space="preserve"> 2013:  </w:t>
            </w:r>
            <w:r w:rsidRPr="00C10E3B">
              <w:rPr>
                <w:sz w:val="16"/>
                <w:szCs w:val="16"/>
              </w:rPr>
              <w:t xml:space="preserve">IP-TAD:  43 países </w:t>
            </w:r>
          </w:p>
          <w:p w:rsidR="0095318C" w:rsidRPr="00C10E3B" w:rsidRDefault="0095318C" w:rsidP="00DC1333">
            <w:pPr>
              <w:keepNext/>
              <w:rPr>
                <w:sz w:val="16"/>
                <w:szCs w:val="16"/>
              </w:rPr>
            </w:pPr>
            <w:r w:rsidRPr="00C10E3B">
              <w:rPr>
                <w:sz w:val="16"/>
                <w:szCs w:val="16"/>
              </w:rPr>
              <w:t>IP-ROC: 8 países (en 2013)</w:t>
            </w:r>
          </w:p>
          <w:p w:rsidR="0095318C" w:rsidRPr="00C10E3B" w:rsidRDefault="0095318C" w:rsidP="00DC1333">
            <w:pPr>
              <w:keepNext/>
              <w:rPr>
                <w:i/>
                <w:sz w:val="16"/>
                <w:szCs w:val="16"/>
              </w:rPr>
            </w:pPr>
          </w:p>
          <w:p w:rsidR="0095318C" w:rsidRPr="00C10E3B" w:rsidRDefault="0095318C" w:rsidP="00DC1333">
            <w:pPr>
              <w:keepNext/>
              <w:rPr>
                <w:i/>
                <w:sz w:val="16"/>
                <w:szCs w:val="16"/>
                <w:lang w:bidi="th-TH"/>
              </w:rPr>
            </w:pPr>
            <w:r w:rsidRPr="00C10E3B">
              <w:rPr>
                <w:i/>
                <w:sz w:val="16"/>
                <w:szCs w:val="16"/>
                <w:lang w:bidi="th-TH"/>
              </w:rPr>
              <w:t>Referencia original en el presupuesto de</w:t>
            </w:r>
            <w:r>
              <w:rPr>
                <w:i/>
                <w:sz w:val="16"/>
                <w:szCs w:val="16"/>
                <w:lang w:bidi="th-TH"/>
              </w:rPr>
              <w:t xml:space="preserve"> 2014/15:  </w:t>
            </w:r>
            <w:r>
              <w:rPr>
                <w:sz w:val="16"/>
                <w:szCs w:val="16"/>
                <w:lang w:bidi="th-TH"/>
              </w:rPr>
              <w:t xml:space="preserve">60 (a fecha de 1 de marzo de </w:t>
            </w:r>
            <w:r w:rsidRPr="00C10E3B">
              <w:rPr>
                <w:sz w:val="16"/>
                <w:szCs w:val="16"/>
                <w:lang w:bidi="th-TH"/>
              </w:rPr>
              <w:t>2013)</w:t>
            </w:r>
          </w:p>
          <w:p w:rsidR="0095318C" w:rsidRPr="00C10E3B" w:rsidRDefault="0095318C" w:rsidP="00DC1333">
            <w:pPr>
              <w:keepNext/>
              <w:rPr>
                <w:i/>
                <w:sz w:val="16"/>
                <w:szCs w:val="16"/>
              </w:rPr>
            </w:pPr>
          </w:p>
        </w:tc>
        <w:tc>
          <w:tcPr>
            <w:tcW w:w="1559" w:type="dxa"/>
            <w:gridSpan w:val="2"/>
            <w:tcBorders>
              <w:top w:val="nil"/>
              <w:bottom w:val="single" w:sz="4" w:space="0" w:color="auto"/>
            </w:tcBorders>
            <w:shd w:val="clear" w:color="auto" w:fill="auto"/>
            <w:tcMar>
              <w:top w:w="110" w:type="dxa"/>
            </w:tcMar>
          </w:tcPr>
          <w:p w:rsidR="0095318C" w:rsidRPr="003C4694" w:rsidRDefault="0095318C" w:rsidP="00DC1333">
            <w:pPr>
              <w:keepNext/>
              <w:rPr>
                <w:sz w:val="16"/>
                <w:szCs w:val="16"/>
                <w:lang w:bidi="th-TH"/>
              </w:rPr>
            </w:pPr>
            <w:r w:rsidRPr="00631CC4">
              <w:rPr>
                <w:sz w:val="16"/>
                <w:szCs w:val="16"/>
                <w:lang w:bidi="th-TH"/>
              </w:rPr>
              <w:t>70</w:t>
            </w:r>
          </w:p>
        </w:tc>
        <w:tc>
          <w:tcPr>
            <w:tcW w:w="2551" w:type="dxa"/>
            <w:gridSpan w:val="5"/>
            <w:tcBorders>
              <w:top w:val="nil"/>
              <w:bottom w:val="single" w:sz="4" w:space="0" w:color="auto"/>
            </w:tcBorders>
            <w:shd w:val="clear" w:color="auto" w:fill="FFFFFF"/>
            <w:tcMar>
              <w:top w:w="110" w:type="dxa"/>
            </w:tcMar>
          </w:tcPr>
          <w:p w:rsidR="0095318C" w:rsidRPr="00C10E3B" w:rsidRDefault="0095318C" w:rsidP="00DC1333">
            <w:pPr>
              <w:keepNext/>
              <w:rPr>
                <w:sz w:val="16"/>
                <w:szCs w:val="16"/>
                <w:lang w:bidi="th-TH"/>
              </w:rPr>
            </w:pPr>
            <w:r w:rsidRPr="00C10E3B">
              <w:rPr>
                <w:sz w:val="16"/>
                <w:szCs w:val="16"/>
                <w:lang w:bidi="th-TH"/>
              </w:rPr>
              <w:t>2014:  46 países</w:t>
            </w:r>
          </w:p>
          <w:p w:rsidR="0095318C" w:rsidRPr="00C10E3B" w:rsidRDefault="0095318C" w:rsidP="00DC1333">
            <w:pPr>
              <w:keepNext/>
              <w:rPr>
                <w:sz w:val="16"/>
                <w:szCs w:val="16"/>
                <w:lang w:bidi="th-TH"/>
              </w:rPr>
            </w:pPr>
            <w:r w:rsidRPr="00C10E3B">
              <w:rPr>
                <w:sz w:val="16"/>
                <w:szCs w:val="16"/>
                <w:lang w:bidi="th-TH"/>
              </w:rPr>
              <w:t>IP-TAD:  37 países</w:t>
            </w:r>
          </w:p>
          <w:p w:rsidR="0095318C" w:rsidRPr="00C10E3B" w:rsidRDefault="0095318C" w:rsidP="00DC1333">
            <w:pPr>
              <w:keepNext/>
              <w:rPr>
                <w:sz w:val="16"/>
                <w:szCs w:val="16"/>
                <w:lang w:bidi="th-TH"/>
              </w:rPr>
            </w:pPr>
            <w:r w:rsidRPr="00C10E3B">
              <w:rPr>
                <w:sz w:val="16"/>
                <w:szCs w:val="16"/>
                <w:lang w:bidi="th-TH"/>
              </w:rPr>
              <w:t>IP-ROC: 9 países</w:t>
            </w:r>
            <w:r w:rsidRPr="00C10E3B" w:rsidDel="007D1787">
              <w:rPr>
                <w:sz w:val="16"/>
                <w:szCs w:val="16"/>
                <w:lang w:bidi="th-TH"/>
              </w:rPr>
              <w:t xml:space="preserve"> </w:t>
            </w:r>
          </w:p>
          <w:p w:rsidR="0095318C" w:rsidRPr="00C10E3B" w:rsidRDefault="0095318C" w:rsidP="00DC1333">
            <w:pPr>
              <w:keepNext/>
              <w:rPr>
                <w:sz w:val="16"/>
                <w:szCs w:val="16"/>
                <w:lang w:bidi="th-TH"/>
              </w:rPr>
            </w:pPr>
            <w:r w:rsidRPr="00C10E3B">
              <w:rPr>
                <w:sz w:val="16"/>
                <w:szCs w:val="16"/>
                <w:lang w:bidi="th-TH"/>
              </w:rPr>
              <w:t xml:space="preserve">(-10% </w:t>
            </w:r>
            <w:r>
              <w:rPr>
                <w:sz w:val="16"/>
                <w:szCs w:val="16"/>
                <w:lang w:bidi="th-TH"/>
              </w:rPr>
              <w:t>con respecto a</w:t>
            </w:r>
            <w:r w:rsidRPr="00C10E3B">
              <w:rPr>
                <w:sz w:val="16"/>
                <w:szCs w:val="16"/>
                <w:lang w:bidi="th-TH"/>
              </w:rPr>
              <w:t xml:space="preserve"> 2013)</w:t>
            </w:r>
          </w:p>
          <w:p w:rsidR="0095318C" w:rsidRPr="00C10E3B" w:rsidRDefault="0095318C" w:rsidP="00DC1333">
            <w:pPr>
              <w:keepNext/>
              <w:rPr>
                <w:sz w:val="16"/>
                <w:szCs w:val="16"/>
                <w:lang w:bidi="th-TH"/>
              </w:rPr>
            </w:pPr>
          </w:p>
          <w:p w:rsidR="0095318C" w:rsidRPr="00C10E3B" w:rsidRDefault="0095318C" w:rsidP="00DC1333">
            <w:pPr>
              <w:keepNext/>
              <w:rPr>
                <w:sz w:val="16"/>
                <w:szCs w:val="16"/>
                <w:lang w:bidi="th-TH"/>
              </w:rPr>
            </w:pPr>
            <w:r w:rsidRPr="00C10E3B">
              <w:rPr>
                <w:sz w:val="16"/>
                <w:szCs w:val="16"/>
                <w:lang w:bidi="th-TH"/>
              </w:rPr>
              <w:t>2</w:t>
            </w:r>
            <w:r>
              <w:rPr>
                <w:sz w:val="16"/>
                <w:szCs w:val="16"/>
                <w:lang w:bidi="th-TH"/>
              </w:rPr>
              <w:t xml:space="preserve">015:  </w:t>
            </w:r>
            <w:r w:rsidRPr="00C10E3B">
              <w:rPr>
                <w:sz w:val="16"/>
                <w:szCs w:val="16"/>
                <w:lang w:bidi="th-TH"/>
              </w:rPr>
              <w:t>33 países</w:t>
            </w:r>
          </w:p>
          <w:p w:rsidR="0095318C" w:rsidRPr="00C10E3B" w:rsidRDefault="0095318C" w:rsidP="00DC1333">
            <w:pPr>
              <w:keepNext/>
              <w:rPr>
                <w:sz w:val="16"/>
                <w:szCs w:val="16"/>
                <w:lang w:bidi="th-TH"/>
              </w:rPr>
            </w:pPr>
            <w:r w:rsidRPr="00C10E3B">
              <w:rPr>
                <w:sz w:val="16"/>
                <w:szCs w:val="16"/>
                <w:lang w:bidi="th-TH"/>
              </w:rPr>
              <w:t xml:space="preserve">IP-TAD: </w:t>
            </w:r>
            <w:r>
              <w:rPr>
                <w:sz w:val="16"/>
                <w:szCs w:val="16"/>
                <w:lang w:bidi="th-TH"/>
              </w:rPr>
              <w:t xml:space="preserve"> </w:t>
            </w:r>
            <w:r w:rsidRPr="00C10E3B">
              <w:rPr>
                <w:sz w:val="16"/>
                <w:szCs w:val="16"/>
                <w:lang w:bidi="th-TH"/>
              </w:rPr>
              <w:t>29 países</w:t>
            </w:r>
          </w:p>
          <w:p w:rsidR="0095318C" w:rsidRPr="00C10E3B" w:rsidRDefault="0095318C" w:rsidP="00DC1333">
            <w:pPr>
              <w:keepNext/>
              <w:rPr>
                <w:sz w:val="16"/>
                <w:szCs w:val="16"/>
                <w:lang w:bidi="th-TH"/>
              </w:rPr>
            </w:pPr>
            <w:r w:rsidRPr="00C10E3B">
              <w:rPr>
                <w:sz w:val="16"/>
                <w:szCs w:val="16"/>
                <w:lang w:bidi="th-TH"/>
              </w:rPr>
              <w:t>IP-ROC: 4 países</w:t>
            </w:r>
          </w:p>
          <w:p w:rsidR="0095318C" w:rsidRPr="00C10E3B" w:rsidRDefault="0095318C" w:rsidP="00DC1333">
            <w:pPr>
              <w:keepNext/>
              <w:rPr>
                <w:sz w:val="16"/>
                <w:szCs w:val="16"/>
                <w:lang w:bidi="th-TH"/>
              </w:rPr>
            </w:pPr>
            <w:r w:rsidRPr="00C10E3B">
              <w:rPr>
                <w:sz w:val="16"/>
                <w:szCs w:val="16"/>
                <w:lang w:bidi="th-TH"/>
              </w:rPr>
              <w:t xml:space="preserve">(-28% </w:t>
            </w:r>
            <w:r>
              <w:rPr>
                <w:sz w:val="16"/>
                <w:szCs w:val="16"/>
                <w:lang w:bidi="th-TH"/>
              </w:rPr>
              <w:t>con respecto a</w:t>
            </w:r>
            <w:r w:rsidRPr="00C10E3B">
              <w:rPr>
                <w:sz w:val="16"/>
                <w:szCs w:val="16"/>
                <w:lang w:bidi="th-TH"/>
              </w:rPr>
              <w:t xml:space="preserve"> 2014)</w:t>
            </w:r>
          </w:p>
        </w:tc>
        <w:tc>
          <w:tcPr>
            <w:tcW w:w="1278" w:type="dxa"/>
            <w:tcBorders>
              <w:top w:val="nil"/>
              <w:bottom w:val="single" w:sz="4" w:space="0" w:color="auto"/>
              <w:right w:val="single" w:sz="4" w:space="0" w:color="auto"/>
            </w:tcBorders>
            <w:shd w:val="clear" w:color="auto" w:fill="auto"/>
            <w:tcMar>
              <w:top w:w="110" w:type="dxa"/>
            </w:tcMar>
          </w:tcPr>
          <w:p w:rsidR="0095318C" w:rsidRPr="005342C1" w:rsidRDefault="0095318C" w:rsidP="00DC1333">
            <w:pPr>
              <w:keepNext/>
              <w:keepLines/>
              <w:jc w:val="center"/>
              <w:rPr>
                <w:b/>
                <w:bCs/>
                <w:sz w:val="14"/>
                <w:szCs w:val="14"/>
              </w:rPr>
            </w:pPr>
            <w:r w:rsidRPr="005342C1">
              <w:rPr>
                <w:b/>
                <w:bCs/>
                <w:color w:val="FF0000"/>
                <w:sz w:val="14"/>
                <w:szCs w:val="14"/>
              </w:rPr>
              <w:t>No logrado</w:t>
            </w:r>
          </w:p>
        </w:tc>
      </w:tr>
      <w:tr w:rsidR="0095318C" w:rsidRPr="003131FE" w:rsidTr="00DC1333">
        <w:tc>
          <w:tcPr>
            <w:tcW w:w="9498" w:type="dxa"/>
            <w:gridSpan w:val="12"/>
            <w:tcBorders>
              <w:top w:val="single" w:sz="4" w:space="0" w:color="auto"/>
              <w:left w:val="single" w:sz="4" w:space="0" w:color="auto"/>
              <w:bottom w:val="single" w:sz="4" w:space="0" w:color="auto"/>
              <w:right w:val="single" w:sz="4" w:space="0" w:color="auto"/>
            </w:tcBorders>
            <w:shd w:val="clear" w:color="auto" w:fill="C6D9F1" w:themeFill="text2" w:themeFillTint="33"/>
          </w:tcPr>
          <w:p w:rsidR="0095318C" w:rsidRPr="00170721" w:rsidRDefault="0095318C" w:rsidP="00DC1333">
            <w:pPr>
              <w:keepNext/>
              <w:keepLines/>
              <w:spacing w:before="120" w:after="120"/>
              <w:ind w:left="2019" w:hanging="2019"/>
              <w:rPr>
                <w:b/>
                <w:bCs/>
                <w:sz w:val="16"/>
                <w:szCs w:val="16"/>
              </w:rPr>
            </w:pPr>
            <w:r w:rsidRPr="00170721">
              <w:rPr>
                <w:b/>
                <w:bCs/>
                <w:sz w:val="16"/>
                <w:szCs w:val="16"/>
              </w:rPr>
              <w:t>Resultado previsto</w:t>
            </w:r>
            <w:r>
              <w:rPr>
                <w:b/>
                <w:bCs/>
                <w:sz w:val="16"/>
                <w:szCs w:val="16"/>
              </w:rPr>
              <w:t>:</w:t>
            </w:r>
            <w:r>
              <w:rPr>
                <w:b/>
                <w:bCs/>
                <w:sz w:val="16"/>
                <w:szCs w:val="16"/>
              </w:rPr>
              <w:tab/>
            </w:r>
            <w:r w:rsidRPr="00170721">
              <w:rPr>
                <w:bCs/>
                <w:sz w:val="16"/>
                <w:szCs w:val="16"/>
              </w:rPr>
              <w:t xml:space="preserve">IV.4  Mejora en la infraestructura técnica y de conocimientos de las Oficinas y demás instituciones de P.I. que les permita </w:t>
            </w:r>
            <w:r>
              <w:rPr>
                <w:bCs/>
                <w:sz w:val="16"/>
                <w:szCs w:val="16"/>
              </w:rPr>
              <w:t>prestar</w:t>
            </w:r>
            <w:r w:rsidRPr="00170721">
              <w:rPr>
                <w:bCs/>
                <w:sz w:val="16"/>
                <w:szCs w:val="16"/>
              </w:rPr>
              <w:t xml:space="preserve"> mejores servicios (más económicos, más rápidos y de </w:t>
            </w:r>
            <w:r>
              <w:rPr>
                <w:bCs/>
                <w:sz w:val="16"/>
                <w:szCs w:val="16"/>
              </w:rPr>
              <w:t>me</w:t>
            </w:r>
            <w:r w:rsidRPr="00170721">
              <w:rPr>
                <w:bCs/>
                <w:sz w:val="16"/>
                <w:szCs w:val="16"/>
              </w:rPr>
              <w:t>jor calidad) a sus partes interesadas</w:t>
            </w:r>
          </w:p>
        </w:tc>
      </w:tr>
      <w:tr w:rsidR="0095318C" w:rsidRPr="001333DE" w:rsidTr="00DC1333">
        <w:trPr>
          <w:trHeight w:val="291"/>
        </w:trPr>
        <w:tc>
          <w:tcPr>
            <w:tcW w:w="2123" w:type="dxa"/>
            <w:gridSpan w:val="2"/>
            <w:tcBorders>
              <w:top w:val="single" w:sz="4" w:space="0" w:color="auto"/>
              <w:left w:val="single" w:sz="4" w:space="0" w:color="auto"/>
              <w:bottom w:val="nil"/>
              <w:right w:val="nil"/>
            </w:tcBorders>
            <w:shd w:val="clear" w:color="auto" w:fill="FFFFFF"/>
            <w:vAlign w:val="center"/>
          </w:tcPr>
          <w:p w:rsidR="0095318C" w:rsidRPr="001333DE" w:rsidRDefault="0095318C" w:rsidP="00DC1333">
            <w:pPr>
              <w:rPr>
                <w:sz w:val="16"/>
                <w:szCs w:val="16"/>
                <w:lang w:bidi="th-TH"/>
              </w:rPr>
            </w:pPr>
            <w:r>
              <w:rPr>
                <w:b/>
                <w:bCs/>
                <w:sz w:val="16"/>
                <w:szCs w:val="16"/>
              </w:rPr>
              <w:t>Indicadores de rendimiento</w:t>
            </w:r>
          </w:p>
        </w:tc>
        <w:tc>
          <w:tcPr>
            <w:tcW w:w="1749" w:type="dxa"/>
            <w:tcBorders>
              <w:top w:val="single" w:sz="4" w:space="0" w:color="auto"/>
              <w:left w:val="nil"/>
              <w:bottom w:val="nil"/>
              <w:right w:val="nil"/>
            </w:tcBorders>
            <w:shd w:val="clear" w:color="auto" w:fill="auto"/>
            <w:vAlign w:val="center"/>
          </w:tcPr>
          <w:p w:rsidR="0095318C" w:rsidRPr="001333DE" w:rsidRDefault="0095318C" w:rsidP="00DC1333">
            <w:pPr>
              <w:rPr>
                <w:i/>
                <w:sz w:val="16"/>
                <w:szCs w:val="16"/>
              </w:rPr>
            </w:pPr>
            <w:r>
              <w:rPr>
                <w:b/>
                <w:bCs/>
                <w:sz w:val="16"/>
                <w:szCs w:val="16"/>
              </w:rPr>
              <w:t>Referencia</w:t>
            </w:r>
          </w:p>
        </w:tc>
        <w:tc>
          <w:tcPr>
            <w:tcW w:w="1797" w:type="dxa"/>
            <w:gridSpan w:val="3"/>
            <w:tcBorders>
              <w:top w:val="single" w:sz="4" w:space="0" w:color="auto"/>
              <w:left w:val="nil"/>
              <w:bottom w:val="nil"/>
              <w:right w:val="nil"/>
            </w:tcBorders>
            <w:shd w:val="clear" w:color="auto" w:fill="auto"/>
            <w:tcMar>
              <w:top w:w="110" w:type="dxa"/>
            </w:tcMar>
            <w:vAlign w:val="center"/>
          </w:tcPr>
          <w:p w:rsidR="0095318C" w:rsidRPr="001333DE" w:rsidRDefault="0095318C" w:rsidP="00DC1333">
            <w:pPr>
              <w:rPr>
                <w:sz w:val="16"/>
                <w:szCs w:val="16"/>
                <w:lang w:bidi="th-TH"/>
              </w:rPr>
            </w:pPr>
            <w:r>
              <w:rPr>
                <w:b/>
                <w:sz w:val="16"/>
                <w:szCs w:val="16"/>
              </w:rPr>
              <w:t>Objetivo</w:t>
            </w:r>
            <w:r w:rsidRPr="003C4694">
              <w:rPr>
                <w:b/>
                <w:sz w:val="16"/>
                <w:szCs w:val="16"/>
              </w:rPr>
              <w:t>s</w:t>
            </w:r>
          </w:p>
        </w:tc>
        <w:tc>
          <w:tcPr>
            <w:tcW w:w="2551" w:type="dxa"/>
            <w:gridSpan w:val="5"/>
            <w:tcBorders>
              <w:top w:val="single" w:sz="4" w:space="0" w:color="auto"/>
              <w:left w:val="nil"/>
              <w:bottom w:val="nil"/>
              <w:right w:val="nil"/>
            </w:tcBorders>
            <w:shd w:val="clear" w:color="auto" w:fill="FFFFFF"/>
            <w:tcMar>
              <w:top w:w="110" w:type="dxa"/>
            </w:tcMar>
            <w:vAlign w:val="center"/>
          </w:tcPr>
          <w:p w:rsidR="0095318C" w:rsidRPr="001333DE" w:rsidRDefault="0095318C" w:rsidP="00DC1333">
            <w:pPr>
              <w:rPr>
                <w:sz w:val="16"/>
                <w:szCs w:val="16"/>
                <w:lang w:bidi="th-TH"/>
              </w:rPr>
            </w:pPr>
            <w:r>
              <w:rPr>
                <w:b/>
                <w:bCs/>
                <w:sz w:val="16"/>
                <w:szCs w:val="16"/>
              </w:rPr>
              <w:t>Datos sobre el rendimiento</w:t>
            </w:r>
          </w:p>
        </w:tc>
        <w:tc>
          <w:tcPr>
            <w:tcW w:w="1278" w:type="dxa"/>
            <w:tcBorders>
              <w:top w:val="single" w:sz="4" w:space="0" w:color="auto"/>
              <w:left w:val="nil"/>
              <w:bottom w:val="nil"/>
              <w:right w:val="single" w:sz="4" w:space="0" w:color="auto"/>
            </w:tcBorders>
            <w:shd w:val="clear" w:color="auto" w:fill="auto"/>
            <w:tcMar>
              <w:top w:w="110" w:type="dxa"/>
            </w:tcMar>
            <w:vAlign w:val="center"/>
          </w:tcPr>
          <w:p w:rsidR="0095318C" w:rsidRPr="001333DE" w:rsidRDefault="0095318C" w:rsidP="00DC1333">
            <w:pPr>
              <w:keepNext/>
              <w:keepLines/>
              <w:jc w:val="center"/>
              <w:rPr>
                <w:b/>
                <w:bCs/>
                <w:sz w:val="16"/>
                <w:szCs w:val="16"/>
              </w:rPr>
            </w:pPr>
            <w:r>
              <w:rPr>
                <w:b/>
                <w:bCs/>
                <w:sz w:val="16"/>
                <w:szCs w:val="16"/>
              </w:rPr>
              <w:t>Clave sobre los colores</w:t>
            </w:r>
          </w:p>
        </w:tc>
      </w:tr>
      <w:tr w:rsidR="0095318C" w:rsidRPr="003C4694" w:rsidTr="00DC1333">
        <w:tc>
          <w:tcPr>
            <w:tcW w:w="2123" w:type="dxa"/>
            <w:gridSpan w:val="2"/>
            <w:tcBorders>
              <w:top w:val="nil"/>
              <w:left w:val="single" w:sz="4" w:space="0" w:color="auto"/>
              <w:bottom w:val="single" w:sz="4" w:space="0" w:color="auto"/>
              <w:right w:val="nil"/>
            </w:tcBorders>
            <w:shd w:val="clear" w:color="auto" w:fill="FFFFFF"/>
          </w:tcPr>
          <w:p w:rsidR="0095318C" w:rsidRPr="00C10E3B" w:rsidRDefault="0095318C" w:rsidP="00DC1333">
            <w:pPr>
              <w:rPr>
                <w:sz w:val="16"/>
                <w:szCs w:val="16"/>
                <w:lang w:bidi="th-TH"/>
              </w:rPr>
            </w:pPr>
            <w:r w:rsidRPr="00C10E3B">
              <w:rPr>
                <w:sz w:val="16"/>
                <w:szCs w:val="16"/>
                <w:lang w:bidi="th-TH"/>
              </w:rPr>
              <w:t>Media del nivel de los servicios prestados por las Oficinas de P.I. que reciben asistencia (en una escala del 1 al 5)</w:t>
            </w:r>
          </w:p>
        </w:tc>
        <w:tc>
          <w:tcPr>
            <w:tcW w:w="1749" w:type="dxa"/>
            <w:tcBorders>
              <w:top w:val="nil"/>
              <w:left w:val="nil"/>
              <w:bottom w:val="single" w:sz="4" w:space="0" w:color="auto"/>
              <w:right w:val="nil"/>
            </w:tcBorders>
            <w:shd w:val="clear" w:color="auto" w:fill="auto"/>
          </w:tcPr>
          <w:p w:rsidR="0095318C" w:rsidRPr="00DA5950" w:rsidRDefault="0095318C" w:rsidP="00DC1333">
            <w:pPr>
              <w:rPr>
                <w:sz w:val="16"/>
                <w:szCs w:val="16"/>
              </w:rPr>
            </w:pPr>
            <w:r w:rsidRPr="00DA5950">
              <w:rPr>
                <w:i/>
                <w:sz w:val="16"/>
                <w:szCs w:val="16"/>
              </w:rPr>
              <w:t>Referencia actualizada a fines de 2013:</w:t>
            </w:r>
            <w:r w:rsidRPr="00DA5950">
              <w:rPr>
                <w:sz w:val="16"/>
                <w:szCs w:val="16"/>
              </w:rPr>
              <w:t xml:space="preserve">  </w:t>
            </w:r>
            <w:r w:rsidRPr="00992AF7">
              <w:rPr>
                <w:sz w:val="16"/>
                <w:szCs w:val="16"/>
              </w:rPr>
              <w:t>2,8</w:t>
            </w:r>
          </w:p>
          <w:p w:rsidR="0095318C" w:rsidRPr="00DA5950" w:rsidRDefault="0095318C" w:rsidP="00DC1333">
            <w:pPr>
              <w:rPr>
                <w:i/>
                <w:sz w:val="16"/>
                <w:szCs w:val="16"/>
              </w:rPr>
            </w:pPr>
          </w:p>
          <w:p w:rsidR="0095318C" w:rsidRPr="00DA5950" w:rsidRDefault="0095318C" w:rsidP="00DC1333">
            <w:pPr>
              <w:rPr>
                <w:sz w:val="16"/>
                <w:szCs w:val="16"/>
              </w:rPr>
            </w:pPr>
            <w:r w:rsidRPr="00DA5950">
              <w:rPr>
                <w:i/>
                <w:sz w:val="16"/>
                <w:szCs w:val="16"/>
                <w:lang w:bidi="th-TH"/>
              </w:rPr>
              <w:t xml:space="preserve">Referencia original </w:t>
            </w:r>
            <w:proofErr w:type="spellStart"/>
            <w:r w:rsidRPr="00DA5950">
              <w:rPr>
                <w:i/>
                <w:sz w:val="16"/>
                <w:szCs w:val="16"/>
                <w:lang w:bidi="th-TH"/>
              </w:rPr>
              <w:t>Presup</w:t>
            </w:r>
            <w:proofErr w:type="spellEnd"/>
            <w:r w:rsidRPr="00DA5950">
              <w:rPr>
                <w:i/>
                <w:sz w:val="16"/>
                <w:szCs w:val="16"/>
                <w:lang w:bidi="th-TH"/>
              </w:rPr>
              <w:t xml:space="preserve">. </w:t>
            </w:r>
            <w:r>
              <w:rPr>
                <w:i/>
                <w:sz w:val="16"/>
                <w:szCs w:val="16"/>
                <w:lang w:bidi="th-TH"/>
              </w:rPr>
              <w:t xml:space="preserve">por </w:t>
            </w:r>
            <w:proofErr w:type="spellStart"/>
            <w:r>
              <w:rPr>
                <w:i/>
                <w:sz w:val="16"/>
                <w:szCs w:val="16"/>
                <w:lang w:bidi="th-TH"/>
              </w:rPr>
              <w:t>prog</w:t>
            </w:r>
            <w:proofErr w:type="spellEnd"/>
            <w:r>
              <w:rPr>
                <w:i/>
                <w:sz w:val="16"/>
                <w:szCs w:val="16"/>
                <w:lang w:bidi="th-TH"/>
              </w:rPr>
              <w:t>.</w:t>
            </w:r>
            <w:r w:rsidRPr="00DA5950">
              <w:rPr>
                <w:i/>
                <w:sz w:val="16"/>
                <w:szCs w:val="16"/>
                <w:lang w:bidi="th-TH"/>
              </w:rPr>
              <w:t xml:space="preserve"> 2014/15:</w:t>
            </w:r>
            <w:r>
              <w:rPr>
                <w:sz w:val="16"/>
                <w:szCs w:val="16"/>
                <w:lang w:bidi="th-TH"/>
              </w:rPr>
              <w:t xml:space="preserve">  por determinar</w:t>
            </w:r>
          </w:p>
        </w:tc>
        <w:tc>
          <w:tcPr>
            <w:tcW w:w="1797" w:type="dxa"/>
            <w:gridSpan w:val="3"/>
            <w:tcBorders>
              <w:top w:val="nil"/>
              <w:left w:val="nil"/>
              <w:bottom w:val="single" w:sz="4" w:space="0" w:color="auto"/>
              <w:right w:val="nil"/>
            </w:tcBorders>
            <w:shd w:val="clear" w:color="auto" w:fill="auto"/>
            <w:tcMar>
              <w:top w:w="110" w:type="dxa"/>
            </w:tcMar>
          </w:tcPr>
          <w:p w:rsidR="0095318C" w:rsidRPr="00DA5950" w:rsidRDefault="0095318C" w:rsidP="00DC1333">
            <w:pPr>
              <w:pStyle w:val="Default"/>
              <w:rPr>
                <w:rFonts w:eastAsia="Times New Roman"/>
                <w:color w:val="auto"/>
                <w:sz w:val="16"/>
                <w:szCs w:val="16"/>
                <w:lang w:val="es-ES" w:eastAsia="en-US"/>
              </w:rPr>
            </w:pPr>
            <w:r w:rsidRPr="00DA5950">
              <w:rPr>
                <w:rFonts w:eastAsia="Times New Roman"/>
                <w:i/>
                <w:color w:val="auto"/>
                <w:sz w:val="16"/>
                <w:szCs w:val="16"/>
                <w:lang w:val="es-ES" w:eastAsia="en-US"/>
              </w:rPr>
              <w:t xml:space="preserve">Objetivo definido:  </w:t>
            </w:r>
            <w:r w:rsidRPr="00DA5950">
              <w:rPr>
                <w:rFonts w:eastAsia="Times New Roman"/>
                <w:color w:val="auto"/>
                <w:sz w:val="16"/>
                <w:szCs w:val="16"/>
                <w:lang w:val="es-ES" w:eastAsia="en-US"/>
              </w:rPr>
              <w:t>3</w:t>
            </w:r>
          </w:p>
          <w:p w:rsidR="0095318C" w:rsidRPr="00DA5950" w:rsidRDefault="0095318C" w:rsidP="00DC1333">
            <w:pPr>
              <w:pStyle w:val="Default"/>
              <w:rPr>
                <w:rFonts w:eastAsia="Times New Roman"/>
                <w:color w:val="auto"/>
                <w:sz w:val="16"/>
                <w:szCs w:val="16"/>
                <w:lang w:val="es-ES" w:eastAsia="en-US"/>
              </w:rPr>
            </w:pPr>
          </w:p>
          <w:p w:rsidR="0095318C" w:rsidRPr="00DA5950" w:rsidRDefault="0095318C" w:rsidP="00DC1333">
            <w:pPr>
              <w:rPr>
                <w:sz w:val="16"/>
                <w:szCs w:val="16"/>
                <w:lang w:bidi="th-TH"/>
              </w:rPr>
            </w:pPr>
            <w:r>
              <w:rPr>
                <w:i/>
                <w:sz w:val="16"/>
                <w:szCs w:val="16"/>
              </w:rPr>
              <w:t>Objetivo original en el presupuesto</w:t>
            </w:r>
            <w:r w:rsidRPr="00DA5950">
              <w:rPr>
                <w:i/>
                <w:sz w:val="16"/>
                <w:szCs w:val="16"/>
              </w:rPr>
              <w:t xml:space="preserve"> 2014/15: </w:t>
            </w:r>
            <w:r>
              <w:rPr>
                <w:i/>
                <w:sz w:val="16"/>
                <w:szCs w:val="16"/>
              </w:rPr>
              <w:t xml:space="preserve"> </w:t>
            </w:r>
            <w:r w:rsidRPr="00DA5950">
              <w:rPr>
                <w:iCs/>
                <w:sz w:val="16"/>
                <w:szCs w:val="16"/>
              </w:rPr>
              <w:t>por determinar</w:t>
            </w:r>
          </w:p>
        </w:tc>
        <w:tc>
          <w:tcPr>
            <w:tcW w:w="2551" w:type="dxa"/>
            <w:gridSpan w:val="5"/>
            <w:tcBorders>
              <w:top w:val="nil"/>
              <w:left w:val="nil"/>
              <w:bottom w:val="single" w:sz="4" w:space="0" w:color="auto"/>
              <w:right w:val="nil"/>
            </w:tcBorders>
            <w:shd w:val="clear" w:color="auto" w:fill="FFFFFF"/>
            <w:tcMar>
              <w:top w:w="110" w:type="dxa"/>
            </w:tcMar>
          </w:tcPr>
          <w:p w:rsidR="0095318C" w:rsidRPr="00DA5950" w:rsidRDefault="0095318C">
            <w:pPr>
              <w:spacing w:line="276" w:lineRule="auto"/>
              <w:rPr>
                <w:color w:val="000000" w:themeColor="text1"/>
                <w:sz w:val="16"/>
                <w:szCs w:val="16"/>
              </w:rPr>
            </w:pPr>
            <w:r>
              <w:rPr>
                <w:color w:val="000000" w:themeColor="text1"/>
                <w:sz w:val="16"/>
                <w:szCs w:val="16"/>
              </w:rPr>
              <w:t>Promedio general:  2,</w:t>
            </w:r>
            <w:r w:rsidRPr="00DA5950">
              <w:rPr>
                <w:color w:val="000000" w:themeColor="text1"/>
                <w:sz w:val="16"/>
                <w:szCs w:val="16"/>
              </w:rPr>
              <w:t>9</w:t>
            </w:r>
          </w:p>
          <w:p w:rsidR="0095318C" w:rsidRPr="00DA5950" w:rsidRDefault="0095318C" w:rsidP="0095318C">
            <w:pPr>
              <w:pStyle w:val="ListParagraph"/>
              <w:numPr>
                <w:ilvl w:val="0"/>
                <w:numId w:val="54"/>
              </w:numPr>
              <w:spacing w:line="276" w:lineRule="auto"/>
              <w:rPr>
                <w:color w:val="000000" w:themeColor="text1"/>
                <w:sz w:val="16"/>
                <w:szCs w:val="16"/>
              </w:rPr>
            </w:pPr>
            <w:proofErr w:type="spellStart"/>
            <w:r>
              <w:rPr>
                <w:color w:val="000000" w:themeColor="text1"/>
                <w:sz w:val="16"/>
                <w:szCs w:val="16"/>
              </w:rPr>
              <w:t>África</w:t>
            </w:r>
            <w:proofErr w:type="spellEnd"/>
            <w:r>
              <w:rPr>
                <w:color w:val="000000" w:themeColor="text1"/>
                <w:sz w:val="16"/>
                <w:szCs w:val="16"/>
              </w:rPr>
              <w:t>:  2,</w:t>
            </w:r>
            <w:r w:rsidRPr="00DA5950">
              <w:rPr>
                <w:color w:val="000000" w:themeColor="text1"/>
                <w:sz w:val="16"/>
                <w:szCs w:val="16"/>
              </w:rPr>
              <w:t>9</w:t>
            </w:r>
          </w:p>
          <w:p w:rsidR="0095318C" w:rsidRPr="00DA5950" w:rsidRDefault="0095318C" w:rsidP="0095318C">
            <w:pPr>
              <w:pStyle w:val="ListParagraph"/>
              <w:numPr>
                <w:ilvl w:val="0"/>
                <w:numId w:val="54"/>
              </w:numPr>
              <w:spacing w:line="276" w:lineRule="auto"/>
              <w:rPr>
                <w:color w:val="000000" w:themeColor="text1"/>
                <w:sz w:val="16"/>
                <w:szCs w:val="16"/>
              </w:rPr>
            </w:pPr>
            <w:proofErr w:type="spellStart"/>
            <w:r>
              <w:rPr>
                <w:color w:val="000000" w:themeColor="text1"/>
                <w:sz w:val="16"/>
                <w:szCs w:val="16"/>
              </w:rPr>
              <w:t>Región</w:t>
            </w:r>
            <w:proofErr w:type="spellEnd"/>
            <w:r>
              <w:rPr>
                <w:color w:val="000000" w:themeColor="text1"/>
                <w:sz w:val="16"/>
                <w:szCs w:val="16"/>
              </w:rPr>
              <w:t xml:space="preserve"> </w:t>
            </w:r>
            <w:proofErr w:type="spellStart"/>
            <w:r>
              <w:rPr>
                <w:color w:val="000000" w:themeColor="text1"/>
                <w:sz w:val="16"/>
                <w:szCs w:val="16"/>
              </w:rPr>
              <w:t>árabe</w:t>
            </w:r>
            <w:proofErr w:type="spellEnd"/>
            <w:r>
              <w:rPr>
                <w:color w:val="000000" w:themeColor="text1"/>
                <w:sz w:val="16"/>
                <w:szCs w:val="16"/>
              </w:rPr>
              <w:t>:  2,</w:t>
            </w:r>
            <w:r w:rsidRPr="00DA5950">
              <w:rPr>
                <w:color w:val="000000" w:themeColor="text1"/>
                <w:sz w:val="16"/>
                <w:szCs w:val="16"/>
              </w:rPr>
              <w:t>8</w:t>
            </w:r>
          </w:p>
          <w:p w:rsidR="0095318C" w:rsidRPr="003C4694" w:rsidRDefault="0095318C" w:rsidP="0095318C">
            <w:pPr>
              <w:pStyle w:val="ListParagraph"/>
              <w:numPr>
                <w:ilvl w:val="0"/>
                <w:numId w:val="54"/>
              </w:numPr>
              <w:spacing w:line="276" w:lineRule="auto"/>
              <w:rPr>
                <w:color w:val="000000" w:themeColor="text1"/>
                <w:sz w:val="16"/>
                <w:szCs w:val="16"/>
                <w:lang w:val="es-ES"/>
              </w:rPr>
            </w:pPr>
            <w:r>
              <w:rPr>
                <w:color w:val="000000" w:themeColor="text1"/>
                <w:sz w:val="16"/>
                <w:szCs w:val="16"/>
              </w:rPr>
              <w:t xml:space="preserve">Asia y el </w:t>
            </w:r>
            <w:proofErr w:type="spellStart"/>
            <w:r>
              <w:rPr>
                <w:color w:val="000000" w:themeColor="text1"/>
                <w:sz w:val="16"/>
                <w:szCs w:val="16"/>
              </w:rPr>
              <w:t>Pacífico</w:t>
            </w:r>
            <w:proofErr w:type="spellEnd"/>
            <w:r w:rsidRPr="00DA5950">
              <w:rPr>
                <w:color w:val="000000" w:themeColor="text1"/>
                <w:sz w:val="16"/>
                <w:szCs w:val="16"/>
              </w:rPr>
              <w:t xml:space="preserve">:  </w:t>
            </w:r>
            <w:r>
              <w:rPr>
                <w:color w:val="000000" w:themeColor="text1"/>
                <w:sz w:val="16"/>
                <w:szCs w:val="16"/>
                <w:lang w:val="es-ES"/>
              </w:rPr>
              <w:t>2,</w:t>
            </w:r>
            <w:r w:rsidRPr="003C4694">
              <w:rPr>
                <w:color w:val="000000" w:themeColor="text1"/>
                <w:sz w:val="16"/>
                <w:szCs w:val="16"/>
                <w:lang w:val="es-ES"/>
              </w:rPr>
              <w:t>7</w:t>
            </w:r>
          </w:p>
          <w:p w:rsidR="0095318C" w:rsidRPr="00DA5950" w:rsidRDefault="0095318C" w:rsidP="0095318C">
            <w:pPr>
              <w:pStyle w:val="ListParagraph"/>
              <w:numPr>
                <w:ilvl w:val="0"/>
                <w:numId w:val="54"/>
              </w:numPr>
              <w:spacing w:line="276" w:lineRule="auto"/>
              <w:rPr>
                <w:color w:val="000000" w:themeColor="text1"/>
                <w:sz w:val="16"/>
                <w:szCs w:val="16"/>
                <w:lang w:val="es-ES"/>
              </w:rPr>
            </w:pPr>
            <w:r w:rsidRPr="00DA5950">
              <w:rPr>
                <w:color w:val="000000" w:themeColor="text1"/>
                <w:sz w:val="16"/>
                <w:szCs w:val="16"/>
                <w:lang w:val="es-ES"/>
              </w:rPr>
              <w:t>América Latina y el Caribe:  3</w:t>
            </w:r>
          </w:p>
          <w:p w:rsidR="0095318C" w:rsidRPr="00DA5950" w:rsidRDefault="0095318C" w:rsidP="00DC1333">
            <w:pPr>
              <w:rPr>
                <w:sz w:val="16"/>
                <w:szCs w:val="16"/>
                <w:lang w:bidi="th-TH"/>
              </w:rPr>
            </w:pPr>
          </w:p>
        </w:tc>
        <w:tc>
          <w:tcPr>
            <w:tcW w:w="1278" w:type="dxa"/>
            <w:tcBorders>
              <w:top w:val="nil"/>
              <w:left w:val="nil"/>
              <w:bottom w:val="single" w:sz="4" w:space="0" w:color="auto"/>
              <w:right w:val="single" w:sz="4" w:space="0" w:color="auto"/>
            </w:tcBorders>
            <w:shd w:val="clear" w:color="auto" w:fill="auto"/>
            <w:tcMar>
              <w:top w:w="110" w:type="dxa"/>
            </w:tcMar>
          </w:tcPr>
          <w:p w:rsidR="0095318C" w:rsidRPr="003C4694" w:rsidRDefault="0095318C" w:rsidP="00DC1333">
            <w:pPr>
              <w:keepNext/>
              <w:keepLines/>
              <w:jc w:val="center"/>
              <w:rPr>
                <w:b/>
                <w:bCs/>
                <w:sz w:val="16"/>
                <w:szCs w:val="16"/>
              </w:rPr>
            </w:pPr>
            <w:r w:rsidRPr="004B265E">
              <w:rPr>
                <w:b/>
                <w:bCs/>
                <w:color w:val="00B050"/>
                <w:sz w:val="14"/>
                <w:szCs w:val="14"/>
              </w:rPr>
              <w:t>Plenamente logrado</w:t>
            </w:r>
          </w:p>
        </w:tc>
      </w:tr>
    </w:tbl>
    <w:p w:rsidR="0095318C" w:rsidRDefault="0095318C" w:rsidP="00DC1333"/>
    <w:p w:rsidR="0095318C" w:rsidRDefault="0095318C" w:rsidP="00DC1333"/>
    <w:p w:rsidR="0095318C" w:rsidRPr="003C4694" w:rsidRDefault="008F7CBE" w:rsidP="00377FD8">
      <w:pPr>
        <w:keepNext/>
      </w:pPr>
      <w:r w:rsidRPr="008F7CBE">
        <w:rPr>
          <w:color w:val="000000"/>
          <w:sz w:val="20"/>
          <w:szCs w:val="22"/>
        </w:rPr>
        <w:lastRenderedPageBreak/>
        <w:t>INFORMACIÓN SOBRE LOS RIESGOS PLANTEADOS EN EL BIENIO</w:t>
      </w:r>
    </w:p>
    <w:p w:rsidR="0095318C" w:rsidRPr="003C4694" w:rsidRDefault="0095318C" w:rsidP="00377FD8">
      <w:pPr>
        <w:keepNext/>
        <w:rPr>
          <w:b/>
        </w:rPr>
      </w:pPr>
    </w:p>
    <w:tbl>
      <w:tblPr>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420"/>
        <w:gridCol w:w="2200"/>
        <w:gridCol w:w="2310"/>
        <w:gridCol w:w="2306"/>
      </w:tblGrid>
      <w:tr w:rsidR="0095318C" w:rsidRPr="003131FE" w:rsidTr="00DC1333">
        <w:trPr>
          <w:trHeight w:val="900"/>
        </w:trPr>
        <w:tc>
          <w:tcPr>
            <w:tcW w:w="2420" w:type="dxa"/>
            <w:tcBorders>
              <w:top w:val="single" w:sz="4" w:space="0" w:color="auto"/>
              <w:bottom w:val="single" w:sz="4" w:space="0" w:color="auto"/>
            </w:tcBorders>
            <w:shd w:val="clear" w:color="auto" w:fill="C6D9F1" w:themeFill="text2" w:themeFillTint="33"/>
            <w:vAlign w:val="center"/>
          </w:tcPr>
          <w:p w:rsidR="0095318C" w:rsidRPr="00D1141E" w:rsidRDefault="0095318C" w:rsidP="00377FD8">
            <w:pPr>
              <w:keepNext/>
              <w:autoSpaceDE w:val="0"/>
              <w:autoSpaceDN w:val="0"/>
              <w:adjustRightInd w:val="0"/>
              <w:ind w:right="-59"/>
              <w:jc w:val="center"/>
              <w:rPr>
                <w:b/>
                <w:sz w:val="18"/>
                <w:szCs w:val="18"/>
              </w:rPr>
            </w:pPr>
            <w:r w:rsidRPr="00D1141E">
              <w:rPr>
                <w:b/>
                <w:sz w:val="18"/>
                <w:szCs w:val="18"/>
              </w:rPr>
              <w:t>Riesgo</w:t>
            </w:r>
            <w:r>
              <w:rPr>
                <w:b/>
                <w:sz w:val="18"/>
                <w:szCs w:val="18"/>
              </w:rPr>
              <w:t>s</w:t>
            </w:r>
            <w:r w:rsidRPr="00D1141E">
              <w:rPr>
                <w:b/>
                <w:sz w:val="18"/>
                <w:szCs w:val="18"/>
              </w:rPr>
              <w:t xml:space="preserve"> en el logro de los resultados del programa</w:t>
            </w:r>
          </w:p>
        </w:tc>
        <w:tc>
          <w:tcPr>
            <w:tcW w:w="2200" w:type="dxa"/>
            <w:tcBorders>
              <w:top w:val="single" w:sz="4" w:space="0" w:color="auto"/>
              <w:bottom w:val="single" w:sz="4" w:space="0" w:color="auto"/>
            </w:tcBorders>
            <w:shd w:val="clear" w:color="auto" w:fill="C6D9F1" w:themeFill="text2" w:themeFillTint="33"/>
            <w:vAlign w:val="center"/>
          </w:tcPr>
          <w:p w:rsidR="0095318C" w:rsidRPr="00D1141E" w:rsidRDefault="0095318C" w:rsidP="00377FD8">
            <w:pPr>
              <w:keepNext/>
              <w:autoSpaceDE w:val="0"/>
              <w:autoSpaceDN w:val="0"/>
              <w:adjustRightInd w:val="0"/>
              <w:ind w:right="-59"/>
              <w:jc w:val="center"/>
              <w:rPr>
                <w:b/>
                <w:sz w:val="18"/>
                <w:szCs w:val="18"/>
              </w:rPr>
            </w:pPr>
            <w:r w:rsidRPr="00D1141E">
              <w:rPr>
                <w:b/>
                <w:sz w:val="18"/>
                <w:szCs w:val="18"/>
              </w:rPr>
              <w:t>Planes de mitigación ejecutados o en ejecución</w:t>
            </w:r>
          </w:p>
        </w:tc>
        <w:tc>
          <w:tcPr>
            <w:tcW w:w="2310" w:type="dxa"/>
            <w:tcBorders>
              <w:top w:val="single" w:sz="4" w:space="0" w:color="auto"/>
              <w:bottom w:val="single" w:sz="4" w:space="0" w:color="auto"/>
            </w:tcBorders>
            <w:shd w:val="clear" w:color="auto" w:fill="C6D9F1" w:themeFill="text2" w:themeFillTint="33"/>
            <w:vAlign w:val="center"/>
          </w:tcPr>
          <w:p w:rsidR="0095318C" w:rsidRPr="00D1141E" w:rsidRDefault="0095318C" w:rsidP="00377FD8">
            <w:pPr>
              <w:keepNext/>
              <w:jc w:val="center"/>
              <w:rPr>
                <w:b/>
                <w:bCs/>
                <w:sz w:val="18"/>
                <w:szCs w:val="18"/>
              </w:rPr>
            </w:pPr>
            <w:r>
              <w:rPr>
                <w:b/>
                <w:bCs/>
                <w:sz w:val="18"/>
                <w:szCs w:val="18"/>
              </w:rPr>
              <w:t>Evolución de los riesgos</w:t>
            </w:r>
            <w:r w:rsidRPr="00D1141E">
              <w:rPr>
                <w:b/>
                <w:bCs/>
                <w:sz w:val="18"/>
                <w:szCs w:val="18"/>
              </w:rPr>
              <w:t xml:space="preserve"> y estrategias </w:t>
            </w:r>
            <w:r>
              <w:rPr>
                <w:b/>
                <w:bCs/>
                <w:sz w:val="18"/>
                <w:szCs w:val="18"/>
              </w:rPr>
              <w:t>de</w:t>
            </w:r>
            <w:r w:rsidRPr="00D1141E">
              <w:rPr>
                <w:b/>
                <w:bCs/>
                <w:sz w:val="18"/>
                <w:szCs w:val="18"/>
              </w:rPr>
              <w:t xml:space="preserve"> mitigaci</w:t>
            </w:r>
            <w:r>
              <w:rPr>
                <w:b/>
                <w:bCs/>
                <w:sz w:val="18"/>
                <w:szCs w:val="18"/>
              </w:rPr>
              <w:t>ón durante el bienio</w:t>
            </w:r>
          </w:p>
        </w:tc>
        <w:tc>
          <w:tcPr>
            <w:tcW w:w="2306" w:type="dxa"/>
            <w:tcBorders>
              <w:top w:val="single" w:sz="4" w:space="0" w:color="auto"/>
              <w:bottom w:val="single" w:sz="4" w:space="0" w:color="auto"/>
            </w:tcBorders>
            <w:shd w:val="clear" w:color="auto" w:fill="C6D9F1" w:themeFill="text2" w:themeFillTint="33"/>
            <w:vAlign w:val="center"/>
          </w:tcPr>
          <w:p w:rsidR="0095318C" w:rsidRPr="005342C1" w:rsidRDefault="0095318C" w:rsidP="00377FD8">
            <w:pPr>
              <w:keepNext/>
              <w:jc w:val="center"/>
              <w:rPr>
                <w:b/>
                <w:bCs/>
                <w:sz w:val="18"/>
                <w:szCs w:val="18"/>
              </w:rPr>
            </w:pPr>
            <w:r>
              <w:rPr>
                <w:b/>
                <w:bCs/>
                <w:sz w:val="18"/>
                <w:szCs w:val="18"/>
              </w:rPr>
              <w:t>Incidencia</w:t>
            </w:r>
            <w:r w:rsidRPr="005342C1">
              <w:rPr>
                <w:b/>
                <w:bCs/>
                <w:sz w:val="18"/>
                <w:szCs w:val="18"/>
              </w:rPr>
              <w:t xml:space="preserve"> </w:t>
            </w:r>
            <w:r>
              <w:rPr>
                <w:b/>
                <w:bCs/>
                <w:sz w:val="18"/>
                <w:szCs w:val="18"/>
              </w:rPr>
              <w:t xml:space="preserve">en </w:t>
            </w:r>
            <w:r w:rsidRPr="005342C1">
              <w:rPr>
                <w:b/>
                <w:bCs/>
                <w:sz w:val="18"/>
                <w:szCs w:val="18"/>
              </w:rPr>
              <w:t>el rendimiento del programa</w:t>
            </w:r>
          </w:p>
        </w:tc>
      </w:tr>
      <w:tr w:rsidR="0095318C" w:rsidRPr="003131FE" w:rsidTr="00DC1333">
        <w:trPr>
          <w:trHeight w:val="1456"/>
        </w:trPr>
        <w:tc>
          <w:tcPr>
            <w:tcW w:w="2420" w:type="dxa"/>
            <w:tcBorders>
              <w:top w:val="single" w:sz="4" w:space="0" w:color="auto"/>
            </w:tcBorders>
            <w:shd w:val="clear" w:color="auto" w:fill="auto"/>
            <w:tcMar>
              <w:top w:w="113" w:type="dxa"/>
              <w:bottom w:w="85" w:type="dxa"/>
            </w:tcMar>
          </w:tcPr>
          <w:p w:rsidR="0095318C" w:rsidRPr="005342C1" w:rsidRDefault="0095318C" w:rsidP="00377FD8">
            <w:pPr>
              <w:keepNext/>
              <w:autoSpaceDE w:val="0"/>
              <w:autoSpaceDN w:val="0"/>
              <w:adjustRightInd w:val="0"/>
              <w:ind w:right="-59"/>
              <w:rPr>
                <w:sz w:val="16"/>
                <w:szCs w:val="16"/>
              </w:rPr>
            </w:pPr>
            <w:r w:rsidRPr="005342C1">
              <w:rPr>
                <w:sz w:val="16"/>
                <w:szCs w:val="16"/>
              </w:rPr>
              <w:t xml:space="preserve">Riesgo de inestabilidad política en los Estados miembros expuestos </w:t>
            </w:r>
            <w:r w:rsidRPr="00992AF7">
              <w:rPr>
                <w:sz w:val="16"/>
                <w:szCs w:val="16"/>
              </w:rPr>
              <w:t>a un alto riesgo de seguridad, que puede ocasionar la cancelación</w:t>
            </w:r>
            <w:r w:rsidRPr="005342C1">
              <w:rPr>
                <w:sz w:val="16"/>
                <w:szCs w:val="16"/>
              </w:rPr>
              <w:t xml:space="preserve"> de algunas actividades o retrasos en la prestación de asistencia técnica, obstaculizando la plena consecución de los resultados previstos en el programa 9</w:t>
            </w:r>
          </w:p>
        </w:tc>
        <w:tc>
          <w:tcPr>
            <w:tcW w:w="2200" w:type="dxa"/>
            <w:tcBorders>
              <w:top w:val="single" w:sz="4" w:space="0" w:color="auto"/>
            </w:tcBorders>
            <w:shd w:val="clear" w:color="auto" w:fill="auto"/>
            <w:tcMar>
              <w:top w:w="113" w:type="dxa"/>
              <w:bottom w:w="85" w:type="dxa"/>
            </w:tcMar>
          </w:tcPr>
          <w:p w:rsidR="0095318C" w:rsidRDefault="0095318C" w:rsidP="00377FD8">
            <w:pPr>
              <w:keepNext/>
              <w:autoSpaceDE w:val="0"/>
              <w:autoSpaceDN w:val="0"/>
              <w:adjustRightInd w:val="0"/>
              <w:ind w:right="-59"/>
              <w:rPr>
                <w:sz w:val="16"/>
                <w:szCs w:val="16"/>
              </w:rPr>
            </w:pPr>
            <w:r w:rsidRPr="005342C1">
              <w:rPr>
                <w:sz w:val="16"/>
                <w:szCs w:val="16"/>
              </w:rPr>
              <w:t>i) Ejecución de una adecuada evaluación de riesgos y formulación de los planes y las actividades anuales del país teni</w:t>
            </w:r>
            <w:r>
              <w:rPr>
                <w:sz w:val="16"/>
                <w:szCs w:val="16"/>
              </w:rPr>
              <w:t>endo en cuenta dicha evaluación</w:t>
            </w:r>
          </w:p>
          <w:p w:rsidR="0095318C" w:rsidRPr="005342C1" w:rsidRDefault="0095318C" w:rsidP="00377FD8">
            <w:pPr>
              <w:keepNext/>
              <w:autoSpaceDE w:val="0"/>
              <w:autoSpaceDN w:val="0"/>
              <w:adjustRightInd w:val="0"/>
              <w:ind w:right="-59"/>
              <w:rPr>
                <w:sz w:val="16"/>
                <w:szCs w:val="16"/>
              </w:rPr>
            </w:pPr>
            <w:r w:rsidRPr="005342C1">
              <w:rPr>
                <w:sz w:val="16"/>
                <w:szCs w:val="16"/>
              </w:rPr>
              <w:br/>
              <w:t>ii) Continua supervisión, junto con la oficina de P.I. y las partes interesadas, a fin de elaborar planes alternativos</w:t>
            </w:r>
          </w:p>
        </w:tc>
        <w:tc>
          <w:tcPr>
            <w:tcW w:w="2310" w:type="dxa"/>
            <w:tcBorders>
              <w:top w:val="single" w:sz="4" w:space="0" w:color="auto"/>
            </w:tcBorders>
          </w:tcPr>
          <w:p w:rsidR="0095318C" w:rsidRPr="00631CC4" w:rsidRDefault="0095318C" w:rsidP="00377FD8">
            <w:pPr>
              <w:keepNext/>
              <w:autoSpaceDE w:val="0"/>
              <w:autoSpaceDN w:val="0"/>
              <w:adjustRightInd w:val="0"/>
              <w:ind w:right="-59"/>
              <w:rPr>
                <w:sz w:val="16"/>
                <w:szCs w:val="16"/>
                <w:highlight w:val="green"/>
              </w:rPr>
            </w:pPr>
            <w:r w:rsidRPr="00DA5950">
              <w:rPr>
                <w:sz w:val="16"/>
                <w:szCs w:val="16"/>
              </w:rPr>
              <w:t>El riesgo se materializó a causa de situaciones nacionales delicadas y continuos cambios estructurales en las instituciones de P.</w:t>
            </w:r>
            <w:r>
              <w:rPr>
                <w:sz w:val="16"/>
                <w:szCs w:val="16"/>
              </w:rPr>
              <w:t xml:space="preserve">I. de ciertos países árabes.  </w:t>
            </w:r>
            <w:r w:rsidRPr="008A6FCA">
              <w:rPr>
                <w:sz w:val="16"/>
                <w:szCs w:val="16"/>
              </w:rPr>
              <w:t xml:space="preserve">Hasta cierto punto, las </w:t>
            </w:r>
            <w:r w:rsidRPr="00992AF7">
              <w:rPr>
                <w:sz w:val="16"/>
                <w:szCs w:val="16"/>
              </w:rPr>
              <w:t>medidas de mitigación de riesgos</w:t>
            </w:r>
            <w:r w:rsidRPr="008A6FCA">
              <w:rPr>
                <w:sz w:val="16"/>
                <w:szCs w:val="16"/>
              </w:rPr>
              <w:t xml:space="preserve"> consiguieron brindar opciones alternativas para la prestaci</w:t>
            </w:r>
            <w:r>
              <w:rPr>
                <w:sz w:val="16"/>
                <w:szCs w:val="16"/>
              </w:rPr>
              <w:t>ón de as</w:t>
            </w:r>
            <w:r w:rsidRPr="008A6FCA">
              <w:rPr>
                <w:sz w:val="16"/>
                <w:szCs w:val="16"/>
              </w:rPr>
              <w:t>i</w:t>
            </w:r>
            <w:r>
              <w:rPr>
                <w:sz w:val="16"/>
                <w:szCs w:val="16"/>
              </w:rPr>
              <w:t>s</w:t>
            </w:r>
            <w:r w:rsidRPr="008A6FCA">
              <w:rPr>
                <w:sz w:val="16"/>
                <w:szCs w:val="16"/>
              </w:rPr>
              <w:t>tencia t</w:t>
            </w:r>
            <w:r>
              <w:rPr>
                <w:sz w:val="16"/>
                <w:szCs w:val="16"/>
              </w:rPr>
              <w:t>écnica en consulta con las autoridades pertinentes.</w:t>
            </w:r>
            <w:r w:rsidRPr="008A6FCA">
              <w:rPr>
                <w:sz w:val="16"/>
                <w:szCs w:val="16"/>
              </w:rPr>
              <w:t xml:space="preserve"> </w:t>
            </w:r>
          </w:p>
        </w:tc>
        <w:tc>
          <w:tcPr>
            <w:tcW w:w="2306" w:type="dxa"/>
            <w:tcBorders>
              <w:top w:val="single" w:sz="4" w:space="0" w:color="auto"/>
            </w:tcBorders>
          </w:tcPr>
          <w:p w:rsidR="0095318C" w:rsidRPr="00DB2A62" w:rsidRDefault="0095318C" w:rsidP="00377FD8">
            <w:pPr>
              <w:keepNext/>
              <w:autoSpaceDE w:val="0"/>
              <w:autoSpaceDN w:val="0"/>
              <w:adjustRightInd w:val="0"/>
              <w:ind w:right="-59"/>
              <w:rPr>
                <w:sz w:val="16"/>
                <w:szCs w:val="16"/>
                <w:highlight w:val="green"/>
              </w:rPr>
            </w:pPr>
            <w:r w:rsidRPr="00DB2A62">
              <w:rPr>
                <w:sz w:val="16"/>
                <w:szCs w:val="16"/>
              </w:rPr>
              <w:t xml:space="preserve">Las medidas de mitigación no lograron abordar </w:t>
            </w:r>
            <w:r>
              <w:rPr>
                <w:sz w:val="16"/>
                <w:szCs w:val="16"/>
              </w:rPr>
              <w:t xml:space="preserve">plenamente la incidencia </w:t>
            </w:r>
            <w:r w:rsidRPr="00DB2A62">
              <w:rPr>
                <w:sz w:val="16"/>
                <w:szCs w:val="16"/>
              </w:rPr>
              <w:t xml:space="preserve">del riesgo, lo que dio lugar a que ciertos objetivos no se lograran o solo se lograran en parte, y al aplazamiento y/o la </w:t>
            </w:r>
            <w:r w:rsidRPr="00992AF7">
              <w:rPr>
                <w:sz w:val="16"/>
                <w:szCs w:val="16"/>
              </w:rPr>
              <w:t>modificación del diseño</w:t>
            </w:r>
            <w:r w:rsidRPr="00DB2A62">
              <w:rPr>
                <w:sz w:val="16"/>
                <w:szCs w:val="16"/>
              </w:rPr>
              <w:t xml:space="preserve"> de</w:t>
            </w:r>
            <w:r>
              <w:rPr>
                <w:sz w:val="16"/>
                <w:szCs w:val="16"/>
              </w:rPr>
              <w:t xml:space="preserve"> las iniciativas destinadas a prestar asistencia técnica</w:t>
            </w:r>
          </w:p>
        </w:tc>
      </w:tr>
      <w:tr w:rsidR="0095318C" w:rsidRPr="003131FE" w:rsidTr="00DC1333">
        <w:trPr>
          <w:trHeight w:val="1508"/>
        </w:trPr>
        <w:tc>
          <w:tcPr>
            <w:tcW w:w="2420" w:type="dxa"/>
            <w:shd w:val="clear" w:color="auto" w:fill="auto"/>
            <w:tcMar>
              <w:top w:w="113" w:type="dxa"/>
              <w:bottom w:w="85" w:type="dxa"/>
            </w:tcMar>
          </w:tcPr>
          <w:p w:rsidR="0095318C" w:rsidRPr="005342C1" w:rsidRDefault="0095318C" w:rsidP="00DC1333">
            <w:pPr>
              <w:keepNext/>
              <w:keepLines/>
              <w:autoSpaceDE w:val="0"/>
              <w:autoSpaceDN w:val="0"/>
              <w:adjustRightInd w:val="0"/>
              <w:ind w:right="-59"/>
              <w:rPr>
                <w:sz w:val="16"/>
                <w:szCs w:val="16"/>
              </w:rPr>
            </w:pPr>
            <w:r w:rsidRPr="005342C1">
              <w:rPr>
                <w:sz w:val="16"/>
                <w:szCs w:val="16"/>
              </w:rPr>
              <w:t>Cambios políticos que podrían producir cambios en las políticas de P.I. de los países y los gobiernos o los altos directivos de las oficinas de P.I., lo que, a su vez, podría dar lugar a la revisión de los planes de trabajo de los países afectados y reducir o retrasar la prestación de servicios, incidiendo negativamente en la consecuc</w:t>
            </w:r>
            <w:r>
              <w:rPr>
                <w:sz w:val="16"/>
                <w:szCs w:val="16"/>
              </w:rPr>
              <w:t>ión de los resultados previstos</w:t>
            </w:r>
          </w:p>
        </w:tc>
        <w:tc>
          <w:tcPr>
            <w:tcW w:w="2200" w:type="dxa"/>
            <w:shd w:val="clear" w:color="auto" w:fill="auto"/>
            <w:tcMar>
              <w:top w:w="113" w:type="dxa"/>
              <w:bottom w:w="85" w:type="dxa"/>
            </w:tcMar>
          </w:tcPr>
          <w:p w:rsidR="0095318C" w:rsidRDefault="0095318C" w:rsidP="00DC1333">
            <w:pPr>
              <w:keepNext/>
              <w:keepLines/>
              <w:autoSpaceDE w:val="0"/>
              <w:autoSpaceDN w:val="0"/>
              <w:adjustRightInd w:val="0"/>
              <w:ind w:right="-59"/>
              <w:rPr>
                <w:sz w:val="16"/>
                <w:szCs w:val="16"/>
              </w:rPr>
            </w:pPr>
            <w:r w:rsidRPr="005342C1">
              <w:rPr>
                <w:sz w:val="16"/>
                <w:szCs w:val="16"/>
              </w:rPr>
              <w:t>i) Mantenimiento de la flexibilidad para efectuar ajustes ocasionales en los planes de trabajo de lo</w:t>
            </w:r>
            <w:r>
              <w:rPr>
                <w:sz w:val="16"/>
                <w:szCs w:val="16"/>
              </w:rPr>
              <w:t>s distintos países</w:t>
            </w:r>
          </w:p>
          <w:p w:rsidR="0095318C" w:rsidRPr="005342C1" w:rsidRDefault="0095318C" w:rsidP="00DC1333">
            <w:pPr>
              <w:keepNext/>
              <w:keepLines/>
              <w:autoSpaceDE w:val="0"/>
              <w:autoSpaceDN w:val="0"/>
              <w:adjustRightInd w:val="0"/>
              <w:ind w:right="-59"/>
              <w:rPr>
                <w:sz w:val="16"/>
                <w:szCs w:val="16"/>
              </w:rPr>
            </w:pPr>
            <w:r w:rsidRPr="005342C1">
              <w:rPr>
                <w:sz w:val="16"/>
                <w:szCs w:val="16"/>
              </w:rPr>
              <w:br/>
              <w:t>ii) Fomento y facilitación del consenso en estrategias de P.I. y planes de trabajo nacionales</w:t>
            </w:r>
          </w:p>
        </w:tc>
        <w:tc>
          <w:tcPr>
            <w:tcW w:w="2310" w:type="dxa"/>
          </w:tcPr>
          <w:p w:rsidR="0095318C" w:rsidRPr="008A6FCA" w:rsidRDefault="0095318C" w:rsidP="00DC1333">
            <w:pPr>
              <w:keepNext/>
              <w:keepLines/>
              <w:autoSpaceDE w:val="0"/>
              <w:autoSpaceDN w:val="0"/>
              <w:adjustRightInd w:val="0"/>
              <w:ind w:right="-59"/>
              <w:rPr>
                <w:sz w:val="16"/>
                <w:szCs w:val="16"/>
                <w:highlight w:val="green"/>
              </w:rPr>
            </w:pPr>
            <w:r w:rsidRPr="008A6FCA">
              <w:rPr>
                <w:sz w:val="16"/>
                <w:szCs w:val="16"/>
              </w:rPr>
              <w:t xml:space="preserve">El riesgo se </w:t>
            </w:r>
            <w:r>
              <w:rPr>
                <w:sz w:val="16"/>
                <w:szCs w:val="16"/>
              </w:rPr>
              <w:t>materializó</w:t>
            </w:r>
            <w:r w:rsidRPr="008A6FCA">
              <w:rPr>
                <w:sz w:val="16"/>
                <w:szCs w:val="16"/>
              </w:rPr>
              <w:t xml:space="preserve"> en ciertos países.  Las medidas para mitigarlo</w:t>
            </w:r>
            <w:r>
              <w:rPr>
                <w:sz w:val="16"/>
                <w:szCs w:val="16"/>
              </w:rPr>
              <w:t xml:space="preserve"> abordaron ampliamente la incidencia</w:t>
            </w:r>
            <w:r w:rsidRPr="008A6FCA">
              <w:rPr>
                <w:sz w:val="16"/>
                <w:szCs w:val="16"/>
              </w:rPr>
              <w:t xml:space="preserve"> </w:t>
            </w:r>
            <w:r>
              <w:rPr>
                <w:sz w:val="16"/>
                <w:szCs w:val="16"/>
              </w:rPr>
              <w:t>negativa</w:t>
            </w:r>
            <w:r w:rsidRPr="008A6FCA">
              <w:rPr>
                <w:sz w:val="16"/>
                <w:szCs w:val="16"/>
              </w:rPr>
              <w:t xml:space="preserve"> sobr</w:t>
            </w:r>
            <w:r>
              <w:rPr>
                <w:sz w:val="16"/>
                <w:szCs w:val="16"/>
              </w:rPr>
              <w:t>e esa flexibilidad y el aumento d</w:t>
            </w:r>
            <w:r w:rsidRPr="008A6FCA">
              <w:rPr>
                <w:sz w:val="16"/>
                <w:szCs w:val="16"/>
              </w:rPr>
              <w:t>el di</w:t>
            </w:r>
            <w:r>
              <w:rPr>
                <w:sz w:val="16"/>
                <w:szCs w:val="16"/>
              </w:rPr>
              <w:t>álogo con los funcionarios recién nombrados facilitó los ajustes necesarios en estrategias de P.I. y planes de trabajo nacionales.</w:t>
            </w:r>
          </w:p>
        </w:tc>
        <w:tc>
          <w:tcPr>
            <w:tcW w:w="2306" w:type="dxa"/>
          </w:tcPr>
          <w:p w:rsidR="0095318C" w:rsidRPr="008A6FCA" w:rsidRDefault="0095318C" w:rsidP="00DC1333">
            <w:pPr>
              <w:keepNext/>
              <w:keepLines/>
              <w:autoSpaceDE w:val="0"/>
              <w:autoSpaceDN w:val="0"/>
              <w:adjustRightInd w:val="0"/>
              <w:ind w:right="-59"/>
              <w:rPr>
                <w:sz w:val="16"/>
                <w:szCs w:val="16"/>
                <w:highlight w:val="green"/>
              </w:rPr>
            </w:pPr>
            <w:r w:rsidRPr="008A6FCA">
              <w:rPr>
                <w:sz w:val="16"/>
                <w:szCs w:val="16"/>
              </w:rPr>
              <w:t>Las medidas de mitigación</w:t>
            </w:r>
            <w:r>
              <w:rPr>
                <w:sz w:val="16"/>
                <w:szCs w:val="16"/>
              </w:rPr>
              <w:t xml:space="preserve"> abordaron ampliamente la incidencia</w:t>
            </w:r>
            <w:r w:rsidRPr="008A6FCA">
              <w:rPr>
                <w:sz w:val="16"/>
                <w:szCs w:val="16"/>
              </w:rPr>
              <w:t xml:space="preserve"> so</w:t>
            </w:r>
            <w:r>
              <w:rPr>
                <w:sz w:val="16"/>
                <w:szCs w:val="16"/>
              </w:rPr>
              <w:t>bre el rendimiento del programa</w:t>
            </w:r>
          </w:p>
        </w:tc>
      </w:tr>
    </w:tbl>
    <w:p w:rsidR="0095318C" w:rsidRPr="008A6FCA" w:rsidRDefault="0095318C" w:rsidP="00DC1333">
      <w:pPr>
        <w:rPr>
          <w:szCs w:val="22"/>
        </w:rPr>
      </w:pPr>
    </w:p>
    <w:p w:rsidR="0095318C" w:rsidRPr="00A57B46" w:rsidRDefault="00403D2C" w:rsidP="005A3359">
      <w:pPr>
        <w:keepNext/>
        <w:rPr>
          <w:b/>
          <w:szCs w:val="22"/>
        </w:rPr>
      </w:pPr>
      <w:r w:rsidRPr="00403D2C">
        <w:rPr>
          <w:sz w:val="20"/>
          <w:szCs w:val="22"/>
        </w:rPr>
        <w:lastRenderedPageBreak/>
        <w:t>UTILIZACIÓN DE LOS RECURSOS</w:t>
      </w:r>
    </w:p>
    <w:p w:rsidR="0095318C" w:rsidRPr="00017A5E" w:rsidRDefault="0095318C" w:rsidP="005A3359">
      <w:pPr>
        <w:keepNext/>
      </w:pPr>
    </w:p>
    <w:p w:rsidR="0095318C" w:rsidRPr="00170721" w:rsidRDefault="0095318C" w:rsidP="005A3359">
      <w:pPr>
        <w:pStyle w:val="NormalWeb"/>
        <w:keepNext/>
        <w:spacing w:before="0" w:beforeAutospacing="0" w:after="0" w:afterAutospacing="0"/>
        <w:jc w:val="center"/>
        <w:rPr>
          <w:sz w:val="20"/>
          <w:szCs w:val="20"/>
          <w:lang w:val="es-ES"/>
        </w:rPr>
      </w:pPr>
      <w:r w:rsidRPr="00170721">
        <w:rPr>
          <w:sz w:val="20"/>
          <w:szCs w:val="20"/>
          <w:lang w:val="es-ES"/>
        </w:rPr>
        <w:t>Presupuesto y gasto</w:t>
      </w:r>
      <w:r>
        <w:rPr>
          <w:sz w:val="20"/>
          <w:szCs w:val="20"/>
          <w:lang w:val="es-ES"/>
        </w:rPr>
        <w:t>s</w:t>
      </w:r>
      <w:r w:rsidRPr="00170721">
        <w:rPr>
          <w:sz w:val="20"/>
          <w:szCs w:val="20"/>
          <w:lang w:val="es-ES"/>
        </w:rPr>
        <w:t xml:space="preserve"> reales (por resultado) </w:t>
      </w:r>
    </w:p>
    <w:p w:rsidR="0095318C" w:rsidRPr="00170721" w:rsidRDefault="0095318C" w:rsidP="005A3359">
      <w:pPr>
        <w:pStyle w:val="NormalWeb"/>
        <w:keepNext/>
        <w:spacing w:before="0" w:beforeAutospacing="0" w:after="0" w:afterAutospacing="0"/>
        <w:jc w:val="center"/>
        <w:rPr>
          <w:i/>
          <w:iCs/>
          <w:sz w:val="20"/>
          <w:szCs w:val="20"/>
          <w:lang w:val="es-ES"/>
        </w:rPr>
      </w:pPr>
      <w:r w:rsidRPr="00170721">
        <w:rPr>
          <w:i/>
          <w:iCs/>
          <w:sz w:val="20"/>
          <w:szCs w:val="20"/>
          <w:lang w:val="es-ES"/>
        </w:rPr>
        <w:t>(en miles de francos suizos)</w:t>
      </w:r>
    </w:p>
    <w:p w:rsidR="0095318C" w:rsidRPr="00170721" w:rsidRDefault="0095318C" w:rsidP="005A3359">
      <w:pPr>
        <w:keepNext/>
        <w:jc w:val="center"/>
        <w:rPr>
          <w:bCs/>
        </w:rPr>
      </w:pPr>
    </w:p>
    <w:p w:rsidR="0095318C" w:rsidRDefault="0095318C" w:rsidP="005A3359">
      <w:pPr>
        <w:keepNext/>
        <w:jc w:val="center"/>
        <w:rPr>
          <w:bCs/>
        </w:rPr>
      </w:pPr>
      <w:r>
        <w:rPr>
          <w:bCs/>
          <w:noProof/>
          <w:lang w:val="en-US" w:eastAsia="en-US"/>
        </w:rPr>
        <w:drawing>
          <wp:inline distT="0" distB="0" distL="0" distR="0" wp14:anchorId="242DEF8B" wp14:editId="114B6278">
            <wp:extent cx="5032075" cy="4313207"/>
            <wp:effectExtent l="0" t="0" r="0" b="0"/>
            <wp:docPr id="1048" name="Pictur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032149" cy="4313271"/>
                    </a:xfrm>
                    <a:prstGeom prst="rect">
                      <a:avLst/>
                    </a:prstGeom>
                    <a:noFill/>
                    <a:ln>
                      <a:noFill/>
                    </a:ln>
                  </pic:spPr>
                </pic:pic>
              </a:graphicData>
            </a:graphic>
          </wp:inline>
        </w:drawing>
      </w:r>
    </w:p>
    <w:p w:rsidR="0095318C" w:rsidRPr="003C4694" w:rsidRDefault="0095318C" w:rsidP="00DC1333"/>
    <w:p w:rsidR="0095318C" w:rsidRPr="003C4694" w:rsidRDefault="0095318C" w:rsidP="00DC1333">
      <w:pPr>
        <w:pStyle w:val="NormalWeb"/>
        <w:keepNext/>
        <w:keepLines/>
        <w:spacing w:before="0" w:beforeAutospacing="0" w:after="0" w:afterAutospacing="0"/>
        <w:jc w:val="center"/>
        <w:rPr>
          <w:sz w:val="20"/>
          <w:szCs w:val="20"/>
          <w:lang w:val="es-ES"/>
        </w:rPr>
      </w:pPr>
    </w:p>
    <w:p w:rsidR="0095318C" w:rsidRPr="00EC4263" w:rsidRDefault="0095318C" w:rsidP="00DC1333">
      <w:pPr>
        <w:pStyle w:val="NormalWeb"/>
        <w:keepNext/>
        <w:keepLines/>
        <w:spacing w:before="0" w:beforeAutospacing="0" w:after="0" w:afterAutospacing="0"/>
        <w:jc w:val="center"/>
        <w:rPr>
          <w:sz w:val="20"/>
          <w:szCs w:val="20"/>
          <w:lang w:val="es-ES"/>
        </w:rPr>
      </w:pPr>
      <w:r w:rsidRPr="00EC4263">
        <w:rPr>
          <w:sz w:val="20"/>
          <w:szCs w:val="20"/>
          <w:lang w:val="es-ES"/>
        </w:rPr>
        <w:t xml:space="preserve">Presupuesto y gastos reales (de personal y no relativos al personal) </w:t>
      </w:r>
    </w:p>
    <w:p w:rsidR="0095318C" w:rsidRDefault="0095318C" w:rsidP="00DC1333">
      <w:pPr>
        <w:pStyle w:val="NormalWeb"/>
        <w:keepNext/>
        <w:keepLines/>
        <w:spacing w:before="0" w:beforeAutospacing="0" w:after="0" w:afterAutospacing="0"/>
        <w:jc w:val="center"/>
        <w:rPr>
          <w:i/>
          <w:iCs/>
          <w:sz w:val="20"/>
          <w:szCs w:val="20"/>
          <w:lang w:val="es-ES"/>
        </w:rPr>
      </w:pPr>
      <w:r w:rsidRPr="00EC4263">
        <w:rPr>
          <w:i/>
          <w:iCs/>
          <w:sz w:val="20"/>
          <w:szCs w:val="20"/>
          <w:lang w:val="es-ES"/>
        </w:rPr>
        <w:t>(en miles de francos suizos)</w:t>
      </w:r>
    </w:p>
    <w:p w:rsidR="0095318C" w:rsidRDefault="0095318C" w:rsidP="00DC1333">
      <w:pPr>
        <w:pStyle w:val="NormalWeb"/>
        <w:keepNext/>
        <w:keepLines/>
        <w:spacing w:before="0" w:beforeAutospacing="0" w:after="0" w:afterAutospacing="0"/>
        <w:jc w:val="center"/>
        <w:rPr>
          <w:i/>
          <w:iCs/>
          <w:sz w:val="20"/>
          <w:szCs w:val="20"/>
          <w:lang w:val="es-ES"/>
        </w:rPr>
      </w:pPr>
    </w:p>
    <w:p w:rsidR="0095318C" w:rsidRPr="00EC4263" w:rsidRDefault="0095318C" w:rsidP="00DC1333">
      <w:pPr>
        <w:pStyle w:val="NormalWeb"/>
        <w:keepNext/>
        <w:keepLines/>
        <w:spacing w:before="0" w:beforeAutospacing="0" w:after="0" w:afterAutospacing="0"/>
        <w:jc w:val="center"/>
        <w:rPr>
          <w:i/>
          <w:iCs/>
          <w:sz w:val="20"/>
          <w:szCs w:val="20"/>
          <w:lang w:val="es-ES"/>
        </w:rPr>
      </w:pPr>
      <w:r>
        <w:rPr>
          <w:i/>
          <w:iCs/>
          <w:noProof/>
          <w:sz w:val="20"/>
          <w:szCs w:val="20"/>
        </w:rPr>
        <w:drawing>
          <wp:inline distT="0" distB="0" distL="0" distR="0" wp14:anchorId="140D4733" wp14:editId="5C712C71">
            <wp:extent cx="5175849" cy="1052423"/>
            <wp:effectExtent l="0" t="0" r="6350" b="0"/>
            <wp:docPr id="1049" name="Pictur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5196042" cy="1056529"/>
                    </a:xfrm>
                    <a:prstGeom prst="rect">
                      <a:avLst/>
                    </a:prstGeom>
                    <a:noFill/>
                    <a:ln>
                      <a:noFill/>
                    </a:ln>
                  </pic:spPr>
                </pic:pic>
              </a:graphicData>
            </a:graphic>
          </wp:inline>
        </w:drawing>
      </w:r>
    </w:p>
    <w:p w:rsidR="0095318C" w:rsidRPr="005A3359" w:rsidRDefault="0095318C" w:rsidP="00DC1333">
      <w:pPr>
        <w:keepNext/>
        <w:keepLines/>
        <w:rPr>
          <w:bCs/>
          <w:sz w:val="20"/>
        </w:rPr>
      </w:pPr>
    </w:p>
    <w:p w:rsidR="0095318C" w:rsidRPr="005A3359" w:rsidRDefault="0095318C" w:rsidP="00DC1333">
      <w:pPr>
        <w:widowControl w:val="0"/>
        <w:autoSpaceDE w:val="0"/>
        <w:autoSpaceDN w:val="0"/>
        <w:adjustRightInd w:val="0"/>
        <w:rPr>
          <w:sz w:val="20"/>
        </w:rPr>
      </w:pPr>
    </w:p>
    <w:p w:rsidR="0095318C" w:rsidRPr="005A3359" w:rsidRDefault="00403D2C" w:rsidP="00DC1333">
      <w:pPr>
        <w:jc w:val="both"/>
        <w:rPr>
          <w:sz w:val="20"/>
        </w:rPr>
      </w:pPr>
      <w:r w:rsidRPr="00403D2C">
        <w:rPr>
          <w:sz w:val="20"/>
        </w:rPr>
        <w:t>A.</w:t>
      </w:r>
      <w:r w:rsidRPr="00403D2C">
        <w:rPr>
          <w:sz w:val="20"/>
        </w:rPr>
        <w:tab/>
      </w:r>
      <w:r w:rsidRPr="00403D2C">
        <w:rPr>
          <w:sz w:val="20"/>
          <w:u w:val="single"/>
        </w:rPr>
        <w:t>Presupuesto final de 2014/15 tras las transferencias</w:t>
      </w:r>
      <w:r w:rsidR="0095318C" w:rsidRPr="005A3359">
        <w:rPr>
          <w:sz w:val="20"/>
          <w:u w:val="single"/>
        </w:rPr>
        <w:t xml:space="preserve"> </w:t>
      </w:r>
    </w:p>
    <w:p w:rsidR="0095318C" w:rsidRPr="005A3359" w:rsidRDefault="0095318C" w:rsidP="00DC1333">
      <w:pPr>
        <w:jc w:val="both"/>
        <w:rPr>
          <w:sz w:val="20"/>
        </w:rPr>
      </w:pPr>
    </w:p>
    <w:p w:rsidR="0095318C" w:rsidRPr="005A3359" w:rsidRDefault="0095318C" w:rsidP="0095318C">
      <w:pPr>
        <w:pStyle w:val="ListParagraph"/>
        <w:numPr>
          <w:ilvl w:val="1"/>
          <w:numId w:val="53"/>
        </w:numPr>
        <w:contextualSpacing/>
        <w:jc w:val="both"/>
        <w:rPr>
          <w:rFonts w:eastAsia="SimSun"/>
          <w:bCs/>
          <w:lang w:val="es-ES" w:eastAsia="zh-CN"/>
        </w:rPr>
      </w:pPr>
      <w:r w:rsidRPr="005A3359">
        <w:rPr>
          <w:rFonts w:eastAsia="SimSun"/>
          <w:bCs/>
          <w:lang w:val="es-ES" w:eastAsia="zh-CN"/>
        </w:rPr>
        <w:t>El trasvase de recursos entre varios resultados previstos es señal de la importancia mayor que se ha atribuido a facilitar y coordinar las siguientes actividades: i) actividades de asesoramiento legislativo de la OMPI en la esfera de las patentes, las marcas, los diseños industriales y el derecho de autor (resultado previsto I.2, Asesoramiento en el ámbito legislativo);  ii) actividades de la OMPI relativas al acceso y el uso de la información de P.I. mediante un mayor número de redes nacionales sostenibles de CATI (resultado previsto IV.2), y iii) esfuerzos para prestar asistencia a oficinas de P.I. y otras instituciones de P.I. para desarrollar su infraestructura técnica y de conocimientos (resultado previsto IV.4, Mejora en la infraestructura técnica y de conocimientos).</w:t>
      </w:r>
    </w:p>
    <w:p w:rsidR="0095318C" w:rsidRPr="005A3359" w:rsidRDefault="0095318C" w:rsidP="00DC1333">
      <w:pPr>
        <w:jc w:val="both"/>
        <w:rPr>
          <w:sz w:val="20"/>
        </w:rPr>
      </w:pPr>
    </w:p>
    <w:p w:rsidR="0095318C" w:rsidRPr="005A3359" w:rsidRDefault="00403D2C" w:rsidP="005A3359">
      <w:pPr>
        <w:keepNext/>
        <w:jc w:val="both"/>
        <w:rPr>
          <w:sz w:val="20"/>
          <w:u w:val="single"/>
        </w:rPr>
      </w:pPr>
      <w:r w:rsidRPr="00403D2C">
        <w:rPr>
          <w:sz w:val="20"/>
        </w:rPr>
        <w:lastRenderedPageBreak/>
        <w:t>B.</w:t>
      </w:r>
      <w:r w:rsidRPr="00403D2C">
        <w:rPr>
          <w:sz w:val="20"/>
        </w:rPr>
        <w:tab/>
      </w:r>
      <w:r w:rsidRPr="00403D2C">
        <w:rPr>
          <w:sz w:val="20"/>
          <w:u w:val="single"/>
        </w:rPr>
        <w:t>Utilización del presupuesto en 2014/15</w:t>
      </w:r>
    </w:p>
    <w:p w:rsidR="0095318C" w:rsidRPr="005A3359" w:rsidRDefault="0095318C" w:rsidP="005A3359">
      <w:pPr>
        <w:keepNext/>
        <w:jc w:val="both"/>
        <w:rPr>
          <w:sz w:val="20"/>
          <w:u w:val="single"/>
        </w:rPr>
      </w:pPr>
    </w:p>
    <w:p w:rsidR="0095318C" w:rsidRPr="005A3359" w:rsidRDefault="0095318C" w:rsidP="005A3359">
      <w:pPr>
        <w:pStyle w:val="ListParagraph"/>
        <w:keepNext/>
        <w:numPr>
          <w:ilvl w:val="1"/>
          <w:numId w:val="53"/>
        </w:numPr>
        <w:contextualSpacing/>
        <w:jc w:val="both"/>
        <w:rPr>
          <w:rFonts w:eastAsia="SimSun"/>
          <w:bCs/>
          <w:lang w:val="es-ES" w:eastAsia="zh-CN"/>
        </w:rPr>
      </w:pPr>
      <w:r w:rsidRPr="005A3359">
        <w:rPr>
          <w:rFonts w:eastAsia="SimSun"/>
          <w:bCs/>
          <w:lang w:val="es-ES" w:eastAsia="zh-CN"/>
        </w:rPr>
        <w:t xml:space="preserve">El índice de utilización de recursos no relativos a personal, menor del que se había previsto, refleja principalmente el aplazamiento o cancelación de algunos eventos/actividades a instancias de determinados Estados miembros o en cumplimiento de las directrices de las Naciones Unidas sobre seguridad.  Los riesgos para la salud y las restricciones en los viajes que conllevan debido a la crisis causada por el virus </w:t>
      </w:r>
      <w:proofErr w:type="spellStart"/>
      <w:r w:rsidRPr="005A3359">
        <w:rPr>
          <w:rFonts w:eastAsia="SimSun"/>
          <w:bCs/>
          <w:lang w:val="es-ES" w:eastAsia="zh-CN"/>
        </w:rPr>
        <w:t>Ébola</w:t>
      </w:r>
      <w:proofErr w:type="spellEnd"/>
      <w:r w:rsidRPr="005A3359">
        <w:rPr>
          <w:rFonts w:eastAsia="SimSun"/>
          <w:bCs/>
          <w:lang w:val="es-ES" w:eastAsia="zh-CN"/>
        </w:rPr>
        <w:t xml:space="preserve"> obligaron a cancelar algunas de las actividades previstas. Además, la disminución de los viajes y los costos relacionados con ellos se lograron a través de la celebración de un creciente número de actividades en grupo o consecutivamente.</w:t>
      </w:r>
    </w:p>
    <w:p w:rsidR="0095318C" w:rsidRPr="005A3359" w:rsidRDefault="0095318C" w:rsidP="00DC1333">
      <w:pPr>
        <w:contextualSpacing/>
        <w:jc w:val="both"/>
        <w:rPr>
          <w:bCs/>
          <w:sz w:val="20"/>
        </w:rPr>
      </w:pPr>
    </w:p>
    <w:p w:rsidR="0095318C" w:rsidRPr="00DD6EE8" w:rsidRDefault="0095318C" w:rsidP="00DC1333">
      <w:pPr>
        <w:contextualSpacing/>
        <w:jc w:val="both"/>
        <w:rPr>
          <w:bCs/>
        </w:rPr>
      </w:pPr>
    </w:p>
    <w:p w:rsidR="0095318C" w:rsidRDefault="0095318C">
      <w:pPr>
        <w:rPr>
          <w:bCs/>
          <w:iCs/>
          <w:caps/>
          <w:szCs w:val="28"/>
        </w:rPr>
      </w:pPr>
      <w:bookmarkStart w:id="106" w:name="_Toc422210492"/>
      <w:r>
        <w:br w:type="page"/>
      </w:r>
    </w:p>
    <w:p w:rsidR="0095318C" w:rsidRPr="0095318C" w:rsidRDefault="0095318C" w:rsidP="00DC1333">
      <w:pPr>
        <w:pStyle w:val="Heading2"/>
        <w:ind w:left="2410" w:hanging="2410"/>
        <w:rPr>
          <w:b/>
          <w:caps w:val="0"/>
        </w:rPr>
      </w:pPr>
      <w:bookmarkStart w:id="107" w:name="_Toc455159085"/>
      <w:r w:rsidRPr="0095318C">
        <w:rPr>
          <w:b/>
          <w:caps w:val="0"/>
        </w:rPr>
        <w:lastRenderedPageBreak/>
        <w:t>PROGRAMA 10</w:t>
      </w:r>
      <w:r w:rsidRPr="0095318C">
        <w:rPr>
          <w:b/>
          <w:caps w:val="0"/>
        </w:rPr>
        <w:tab/>
        <w:t>COOPERACIÓN CON DETERMINADOS PAÍSES DE EUROPA Y ASIA</w:t>
      </w:r>
      <w:bookmarkEnd w:id="106"/>
      <w:bookmarkEnd w:id="107"/>
    </w:p>
    <w:p w:rsidR="0095318C" w:rsidRPr="00335B1C" w:rsidRDefault="0095318C" w:rsidP="00DC1333"/>
    <w:p w:rsidR="0095318C" w:rsidRPr="00013B5C" w:rsidRDefault="0095318C" w:rsidP="00DC1333">
      <w:pPr>
        <w:tabs>
          <w:tab w:val="left" w:pos="1985"/>
          <w:tab w:val="left" w:pos="2410"/>
        </w:tabs>
        <w:rPr>
          <w:sz w:val="20"/>
        </w:rPr>
      </w:pPr>
      <w:r w:rsidRPr="00013B5C">
        <w:rPr>
          <w:b/>
          <w:sz w:val="20"/>
        </w:rPr>
        <w:t>Director de programa</w:t>
      </w:r>
      <w:r w:rsidRPr="00013B5C">
        <w:rPr>
          <w:b/>
          <w:sz w:val="20"/>
        </w:rPr>
        <w:tab/>
        <w:t>Director General</w:t>
      </w:r>
    </w:p>
    <w:p w:rsidR="0095318C" w:rsidRPr="00335B1C" w:rsidRDefault="0095318C" w:rsidP="00DC1333">
      <w:pPr>
        <w:jc w:val="both"/>
      </w:pPr>
    </w:p>
    <w:p w:rsidR="0095318C" w:rsidRPr="00335B1C" w:rsidRDefault="0095318C" w:rsidP="00DC1333">
      <w:pPr>
        <w:jc w:val="both"/>
      </w:pPr>
    </w:p>
    <w:p w:rsidR="0095318C" w:rsidRPr="00267E8F" w:rsidRDefault="008F7CBE" w:rsidP="00DC1333">
      <w:pPr>
        <w:rPr>
          <w:bCs/>
          <w:szCs w:val="22"/>
        </w:rPr>
      </w:pPr>
      <w:r w:rsidRPr="008F7CBE">
        <w:rPr>
          <w:bCs/>
          <w:sz w:val="20"/>
          <w:szCs w:val="22"/>
        </w:rPr>
        <w:t>LOGROS ALCANZADOS EN EL BIENIO 2014/15</w:t>
      </w:r>
    </w:p>
    <w:p w:rsidR="0095318C" w:rsidRPr="00335B1C" w:rsidRDefault="0095318C" w:rsidP="00DC1333">
      <w:pPr>
        <w:rPr>
          <w:bCs/>
        </w:rPr>
      </w:pPr>
    </w:p>
    <w:p w:rsidR="0095318C" w:rsidRPr="003832F1" w:rsidRDefault="0095318C" w:rsidP="004C50F9">
      <w:pPr>
        <w:pStyle w:val="ListParagraph"/>
        <w:numPr>
          <w:ilvl w:val="0"/>
          <w:numId w:val="56"/>
        </w:numPr>
        <w:tabs>
          <w:tab w:val="left" w:pos="709"/>
        </w:tabs>
        <w:spacing w:after="200"/>
        <w:ind w:left="0" w:firstLine="0"/>
        <w:jc w:val="both"/>
        <w:rPr>
          <w:rFonts w:cs="Arial"/>
          <w:lang w:val="es-ES"/>
        </w:rPr>
      </w:pPr>
      <w:r w:rsidRPr="00843A0A">
        <w:rPr>
          <w:rFonts w:cs="Arial"/>
          <w:lang w:val="es-ES"/>
        </w:rPr>
        <w:t xml:space="preserve">En el bienio 2014/15, en el marco del programa 10 se siguió </w:t>
      </w:r>
      <w:r w:rsidRPr="002915BC">
        <w:rPr>
          <w:rFonts w:cs="Arial"/>
          <w:lang w:val="es-ES"/>
        </w:rPr>
        <w:t>impulsando</w:t>
      </w:r>
      <w:r w:rsidRPr="00843A0A">
        <w:rPr>
          <w:rFonts w:cs="Arial"/>
          <w:lang w:val="es-ES"/>
        </w:rPr>
        <w:t xml:space="preserve"> y</w:t>
      </w:r>
      <w:r>
        <w:rPr>
          <w:rFonts w:cs="Arial"/>
          <w:lang w:val="es-ES"/>
        </w:rPr>
        <w:t>,</w:t>
      </w:r>
      <w:r w:rsidRPr="00843A0A">
        <w:rPr>
          <w:rFonts w:cs="Arial"/>
          <w:lang w:val="es-ES"/>
        </w:rPr>
        <w:t xml:space="preserve"> en colaboración con todos los sectores pertinentes, coordinando la</w:t>
      </w:r>
      <w:r w:rsidR="002E3193">
        <w:rPr>
          <w:rFonts w:cs="Arial"/>
          <w:lang w:val="es-ES"/>
        </w:rPr>
        <w:t xml:space="preserve"> ejecución</w:t>
      </w:r>
      <w:r>
        <w:rPr>
          <w:rFonts w:cs="Arial"/>
          <w:lang w:val="es-ES"/>
        </w:rPr>
        <w:t xml:space="preserve"> de las actividades de cooperación</w:t>
      </w:r>
      <w:r w:rsidR="002E3193">
        <w:rPr>
          <w:rFonts w:cs="Arial"/>
          <w:lang w:val="es-ES"/>
        </w:rPr>
        <w:t>, a largo plazo y orientadas a la obtención de resultados,</w:t>
      </w:r>
      <w:r>
        <w:rPr>
          <w:rFonts w:cs="Arial"/>
          <w:lang w:val="es-ES"/>
        </w:rPr>
        <w:t xml:space="preserve"> con los países con economías en transición</w:t>
      </w:r>
      <w:r w:rsidRPr="00843A0A">
        <w:rPr>
          <w:rFonts w:cs="Arial"/>
          <w:lang w:val="es-ES"/>
        </w:rPr>
        <w:t xml:space="preserve">.  </w:t>
      </w:r>
      <w:r w:rsidRPr="003832F1">
        <w:rPr>
          <w:rFonts w:cs="Arial"/>
          <w:lang w:val="es-ES"/>
        </w:rPr>
        <w:t>A tal fin, los trabajos en el bienio se centraron en un enfoque de planificación</w:t>
      </w:r>
      <w:r>
        <w:rPr>
          <w:rFonts w:cs="Arial"/>
          <w:lang w:val="es-ES"/>
        </w:rPr>
        <w:t xml:space="preserve"> plurianual encaminado a fomentar el uso del s</w:t>
      </w:r>
      <w:r w:rsidRPr="003832F1">
        <w:rPr>
          <w:rFonts w:cs="Arial"/>
          <w:lang w:val="es-ES"/>
        </w:rPr>
        <w:t>istema de P.I. para estimular la innovaci</w:t>
      </w:r>
      <w:r>
        <w:rPr>
          <w:rFonts w:cs="Arial"/>
          <w:lang w:val="es-ES"/>
        </w:rPr>
        <w:t>ón y la creatividad en aras del desarrollo económico, social y cultural.</w:t>
      </w:r>
    </w:p>
    <w:p w:rsidR="0095318C" w:rsidRPr="00692675" w:rsidRDefault="0095318C" w:rsidP="004C50F9">
      <w:pPr>
        <w:pStyle w:val="ListParagraph"/>
        <w:numPr>
          <w:ilvl w:val="0"/>
          <w:numId w:val="56"/>
        </w:numPr>
        <w:tabs>
          <w:tab w:val="left" w:pos="709"/>
        </w:tabs>
        <w:spacing w:after="200"/>
        <w:ind w:left="0" w:firstLine="0"/>
        <w:jc w:val="both"/>
        <w:rPr>
          <w:rFonts w:cs="Arial"/>
          <w:lang w:val="es-ES"/>
        </w:rPr>
      </w:pPr>
      <w:r>
        <w:rPr>
          <w:lang w:val="es-ES"/>
        </w:rPr>
        <w:t>Durante el bienio</w:t>
      </w:r>
      <w:r w:rsidRPr="00526311">
        <w:rPr>
          <w:lang w:val="es-ES"/>
        </w:rPr>
        <w:t>, siguió siendo prioritario fomentar la importancia de elaborar y aplicar estrategias nacionales exhaustivas y de largo plazo, así como prestar asistencia a ese respecto, para satisfacer las necesidades de los Estados miembros</w:t>
      </w:r>
      <w:r>
        <w:rPr>
          <w:rFonts w:cs="Arial"/>
          <w:lang w:val="es-ES"/>
        </w:rPr>
        <w:t>.</w:t>
      </w:r>
      <w:r w:rsidRPr="003832F1">
        <w:rPr>
          <w:rFonts w:cs="Arial"/>
          <w:lang w:val="es-ES"/>
        </w:rPr>
        <w:t xml:space="preserve">  Seis países (Bulgaria, Eslovenia, </w:t>
      </w:r>
      <w:r w:rsidRPr="003832F1">
        <w:rPr>
          <w:lang w:val="es-ES"/>
        </w:rPr>
        <w:t>Tayikistán</w:t>
      </w:r>
      <w:r w:rsidRPr="003832F1">
        <w:rPr>
          <w:rFonts w:cs="Arial"/>
          <w:lang w:val="es-ES"/>
        </w:rPr>
        <w:t xml:space="preserve">, Turquía, </w:t>
      </w:r>
      <w:r w:rsidRPr="003832F1">
        <w:rPr>
          <w:lang w:val="es-ES"/>
        </w:rPr>
        <w:t>Turkmenistán y Ucrania</w:t>
      </w:r>
      <w:r w:rsidRPr="003832F1">
        <w:rPr>
          <w:rFonts w:cs="Arial"/>
          <w:lang w:val="es-ES"/>
        </w:rPr>
        <w:t xml:space="preserve">) </w:t>
      </w:r>
      <w:r w:rsidRPr="00526311">
        <w:rPr>
          <w:lang w:val="es-ES"/>
        </w:rPr>
        <w:t xml:space="preserve">adoptaron estrategias nacionales de P.I. y cuatro países </w:t>
      </w:r>
      <w:r w:rsidRPr="003832F1">
        <w:rPr>
          <w:rFonts w:cs="Arial"/>
          <w:lang w:val="es-ES"/>
        </w:rPr>
        <w:t xml:space="preserve">(Albania, </w:t>
      </w:r>
      <w:r w:rsidRPr="00692675">
        <w:rPr>
          <w:rFonts w:cs="Arial"/>
          <w:lang w:val="es-ES"/>
        </w:rPr>
        <w:t>Georgia</w:t>
      </w:r>
      <w:r w:rsidRPr="003832F1">
        <w:rPr>
          <w:rFonts w:cs="Arial"/>
          <w:lang w:val="es-ES"/>
        </w:rPr>
        <w:t xml:space="preserve">, </w:t>
      </w:r>
      <w:r>
        <w:rPr>
          <w:rFonts w:cs="Arial"/>
          <w:lang w:val="es-ES"/>
        </w:rPr>
        <w:t>Letonia</w:t>
      </w:r>
      <w:r w:rsidRPr="003832F1">
        <w:rPr>
          <w:rFonts w:cs="Arial"/>
          <w:lang w:val="es-ES"/>
        </w:rPr>
        <w:t xml:space="preserve"> </w:t>
      </w:r>
      <w:r>
        <w:rPr>
          <w:rFonts w:cs="Arial"/>
          <w:lang w:val="es-ES"/>
        </w:rPr>
        <w:t>y</w:t>
      </w:r>
      <w:r w:rsidRPr="003832F1">
        <w:rPr>
          <w:rFonts w:cs="Arial"/>
          <w:lang w:val="es-ES"/>
        </w:rPr>
        <w:t xml:space="preserve"> </w:t>
      </w:r>
      <w:r>
        <w:rPr>
          <w:rFonts w:cs="Arial"/>
          <w:lang w:val="es-ES"/>
        </w:rPr>
        <w:t>Polonia</w:t>
      </w:r>
      <w:r w:rsidRPr="003832F1">
        <w:rPr>
          <w:rFonts w:cs="Arial"/>
          <w:lang w:val="es-ES"/>
        </w:rPr>
        <w:t xml:space="preserve">) </w:t>
      </w:r>
      <w:r w:rsidRPr="00526311">
        <w:rPr>
          <w:lang w:val="es-ES"/>
        </w:rPr>
        <w:t xml:space="preserve">comenzaron a elaborar una </w:t>
      </w:r>
      <w:r>
        <w:rPr>
          <w:lang w:val="es-ES"/>
        </w:rPr>
        <w:t>nueva estrategia</w:t>
      </w:r>
      <w:r w:rsidRPr="003832F1">
        <w:rPr>
          <w:rFonts w:cs="Arial"/>
          <w:lang w:val="es-ES"/>
        </w:rPr>
        <w:t xml:space="preserve">.  </w:t>
      </w:r>
      <w:r w:rsidRPr="00526311">
        <w:rPr>
          <w:lang w:val="es-ES"/>
        </w:rPr>
        <w:t xml:space="preserve">Por otra parte, en </w:t>
      </w:r>
      <w:r>
        <w:rPr>
          <w:lang w:val="es-ES"/>
        </w:rPr>
        <w:t>este bienio</w:t>
      </w:r>
      <w:r w:rsidRPr="00526311">
        <w:rPr>
          <w:lang w:val="es-ES"/>
        </w:rPr>
        <w:t xml:space="preserve"> se llevaron a cabo estudios posteriores a la ejecución de proyectos en tres países (</w:t>
      </w:r>
      <w:proofErr w:type="spellStart"/>
      <w:r w:rsidRPr="00526311">
        <w:rPr>
          <w:lang w:val="es-ES"/>
        </w:rPr>
        <w:t>Belarús</w:t>
      </w:r>
      <w:proofErr w:type="spellEnd"/>
      <w:r w:rsidRPr="00526311">
        <w:rPr>
          <w:lang w:val="es-ES"/>
        </w:rPr>
        <w:t xml:space="preserve">, República de </w:t>
      </w:r>
      <w:proofErr w:type="spellStart"/>
      <w:r w:rsidRPr="00526311">
        <w:rPr>
          <w:lang w:val="es-ES"/>
        </w:rPr>
        <w:t>Moldova</w:t>
      </w:r>
      <w:proofErr w:type="spellEnd"/>
      <w:r w:rsidRPr="00526311">
        <w:rPr>
          <w:lang w:val="es-ES"/>
        </w:rPr>
        <w:t xml:space="preserve"> y Serbia) a fin de evaluar los resultados de la aplicación de estrategias de P.I.</w:t>
      </w:r>
      <w:r>
        <w:rPr>
          <w:lang w:val="es-ES"/>
        </w:rPr>
        <w:t xml:space="preserve"> ya finalizadas,</w:t>
      </w:r>
      <w:r w:rsidRPr="00526311">
        <w:rPr>
          <w:lang w:val="es-ES"/>
        </w:rPr>
        <w:t xml:space="preserve"> y de determinar las experiencias </w:t>
      </w:r>
      <w:r>
        <w:rPr>
          <w:color w:val="000000"/>
          <w:lang w:val="es-ES"/>
        </w:rPr>
        <w:t>adquiridas</w:t>
      </w:r>
      <w:r>
        <w:rPr>
          <w:rFonts w:cs="Arial"/>
          <w:lang w:val="es-ES"/>
        </w:rPr>
        <w:t>.</w:t>
      </w:r>
    </w:p>
    <w:p w:rsidR="0095318C" w:rsidRPr="006D26AA" w:rsidRDefault="0095318C" w:rsidP="004C50F9">
      <w:pPr>
        <w:pStyle w:val="ListParagraph"/>
        <w:numPr>
          <w:ilvl w:val="0"/>
          <w:numId w:val="56"/>
        </w:numPr>
        <w:tabs>
          <w:tab w:val="left" w:pos="709"/>
        </w:tabs>
        <w:spacing w:after="200"/>
        <w:ind w:left="0" w:firstLine="0"/>
        <w:jc w:val="both"/>
        <w:rPr>
          <w:rFonts w:cs="Arial"/>
          <w:lang w:val="es-ES"/>
        </w:rPr>
      </w:pPr>
      <w:r w:rsidRPr="00526311">
        <w:rPr>
          <w:lang w:val="es-ES"/>
        </w:rPr>
        <w:t>Conforme a los planes de cooperación y las estrategias nacionales de P.I., y tras recibir asistencia de la OMPI que incluía actividades de promoción</w:t>
      </w:r>
      <w:r w:rsidRPr="006D26AA">
        <w:rPr>
          <w:rFonts w:cs="Arial"/>
          <w:lang w:val="es-ES"/>
        </w:rPr>
        <w:t xml:space="preserve">, </w:t>
      </w:r>
      <w:r>
        <w:rPr>
          <w:rFonts w:cs="Arial"/>
          <w:lang w:val="es-ES"/>
        </w:rPr>
        <w:t>nueve países</w:t>
      </w:r>
      <w:r w:rsidRPr="006D26AA">
        <w:rPr>
          <w:rFonts w:cs="Arial"/>
          <w:lang w:val="es-ES"/>
        </w:rPr>
        <w:t xml:space="preserve"> (</w:t>
      </w:r>
      <w:r w:rsidRPr="00526311">
        <w:rPr>
          <w:lang w:val="es-ES"/>
        </w:rPr>
        <w:t>Kazajstán</w:t>
      </w:r>
      <w:r w:rsidRPr="006D26AA">
        <w:rPr>
          <w:rFonts w:cs="Arial"/>
          <w:lang w:val="es-ES"/>
        </w:rPr>
        <w:t xml:space="preserve">, </w:t>
      </w:r>
      <w:r>
        <w:rPr>
          <w:rFonts w:cs="Arial"/>
          <w:lang w:val="es-ES"/>
        </w:rPr>
        <w:t>Kirguistán</w:t>
      </w:r>
      <w:r w:rsidRPr="006D26AA">
        <w:rPr>
          <w:rFonts w:cs="Arial"/>
          <w:lang w:val="es-ES"/>
        </w:rPr>
        <w:t xml:space="preserve">, </w:t>
      </w:r>
      <w:r>
        <w:rPr>
          <w:rFonts w:cs="Arial"/>
          <w:lang w:val="es-ES"/>
        </w:rPr>
        <w:t>Letonia</w:t>
      </w:r>
      <w:r w:rsidRPr="006D26AA">
        <w:rPr>
          <w:rFonts w:cs="Arial"/>
          <w:lang w:val="es-ES"/>
        </w:rPr>
        <w:t xml:space="preserve">, </w:t>
      </w:r>
      <w:r>
        <w:rPr>
          <w:rFonts w:cs="Arial"/>
          <w:lang w:val="es-ES"/>
        </w:rPr>
        <w:t>Lituania</w:t>
      </w:r>
      <w:r w:rsidRPr="006D26AA">
        <w:rPr>
          <w:rFonts w:cs="Arial"/>
          <w:lang w:val="es-ES"/>
        </w:rPr>
        <w:t xml:space="preserve">, Montenegro, </w:t>
      </w:r>
      <w:r w:rsidRPr="00526311">
        <w:rPr>
          <w:lang w:val="es-ES"/>
        </w:rPr>
        <w:t xml:space="preserve">República de </w:t>
      </w:r>
      <w:proofErr w:type="spellStart"/>
      <w:r w:rsidRPr="00526311">
        <w:rPr>
          <w:lang w:val="es-ES"/>
        </w:rPr>
        <w:t>Moldova</w:t>
      </w:r>
      <w:proofErr w:type="spellEnd"/>
      <w:r w:rsidRPr="006D26AA">
        <w:rPr>
          <w:rFonts w:cs="Arial"/>
          <w:lang w:val="es-ES"/>
        </w:rPr>
        <w:t>, la</w:t>
      </w:r>
      <w:r>
        <w:rPr>
          <w:rFonts w:cs="Arial"/>
          <w:lang w:val="es-ES"/>
        </w:rPr>
        <w:t xml:space="preserve"> Federación de Rusia</w:t>
      </w:r>
      <w:r w:rsidRPr="006D26AA">
        <w:rPr>
          <w:rFonts w:cs="Arial"/>
          <w:lang w:val="es-ES"/>
        </w:rPr>
        <w:t xml:space="preserve">, </w:t>
      </w:r>
      <w:r w:rsidRPr="00526311">
        <w:rPr>
          <w:lang w:val="es-ES"/>
        </w:rPr>
        <w:t>Tayikistán</w:t>
      </w:r>
      <w:r w:rsidRPr="006D26AA">
        <w:rPr>
          <w:rFonts w:cs="Arial"/>
          <w:lang w:val="es-ES"/>
        </w:rPr>
        <w:t xml:space="preserve"> </w:t>
      </w:r>
      <w:r>
        <w:rPr>
          <w:rFonts w:cs="Arial"/>
          <w:lang w:val="es-ES"/>
        </w:rPr>
        <w:t>y</w:t>
      </w:r>
      <w:r w:rsidRPr="006D26AA">
        <w:rPr>
          <w:rFonts w:cs="Arial"/>
          <w:lang w:val="es-ES"/>
        </w:rPr>
        <w:t xml:space="preserve"> </w:t>
      </w:r>
      <w:r>
        <w:rPr>
          <w:rFonts w:cs="Arial"/>
          <w:lang w:val="es-ES"/>
        </w:rPr>
        <w:t>Turkmenistán</w:t>
      </w:r>
      <w:r w:rsidRPr="006D26AA">
        <w:rPr>
          <w:rFonts w:cs="Arial"/>
          <w:lang w:val="es-ES"/>
        </w:rPr>
        <w:t xml:space="preserve">) </w:t>
      </w:r>
      <w:r w:rsidRPr="00526311">
        <w:rPr>
          <w:lang w:val="es-ES"/>
        </w:rPr>
        <w:t>enmendaron sus leyes nacionales de P.I</w:t>
      </w:r>
      <w:r>
        <w:rPr>
          <w:lang w:val="es-ES"/>
        </w:rPr>
        <w:t>.</w:t>
      </w:r>
      <w:r w:rsidRPr="006D26AA">
        <w:rPr>
          <w:rFonts w:cs="Arial"/>
          <w:lang w:val="es-ES"/>
        </w:rPr>
        <w:t xml:space="preserve"> </w:t>
      </w:r>
      <w:r>
        <w:rPr>
          <w:rFonts w:cs="Arial"/>
          <w:lang w:val="es-ES"/>
        </w:rPr>
        <w:t>y/o se adhirieron a tratados administrados por la OMPI.</w:t>
      </w:r>
    </w:p>
    <w:p w:rsidR="0095318C" w:rsidRPr="007A734E" w:rsidRDefault="0095318C" w:rsidP="004C50F9">
      <w:pPr>
        <w:pStyle w:val="ListParagraph"/>
        <w:numPr>
          <w:ilvl w:val="0"/>
          <w:numId w:val="56"/>
        </w:numPr>
        <w:tabs>
          <w:tab w:val="left" w:pos="709"/>
        </w:tabs>
        <w:spacing w:after="200"/>
        <w:ind w:left="0" w:firstLine="0"/>
        <w:jc w:val="both"/>
        <w:rPr>
          <w:rFonts w:cs="Arial"/>
          <w:lang w:val="es-ES"/>
        </w:rPr>
      </w:pPr>
      <w:r w:rsidRPr="00526311">
        <w:rPr>
          <w:lang w:val="es-ES"/>
        </w:rPr>
        <w:t>En apoyo a la elaboración de políticas de P.I. en las universidades</w:t>
      </w:r>
      <w:r w:rsidRPr="008C5A33">
        <w:rPr>
          <w:rFonts w:cs="Arial"/>
          <w:lang w:val="es-ES"/>
        </w:rPr>
        <w:t xml:space="preserve">, </w:t>
      </w:r>
      <w:r>
        <w:rPr>
          <w:lang w:val="es-ES"/>
        </w:rPr>
        <w:t>se llevaron a cabo proyect</w:t>
      </w:r>
      <w:r w:rsidR="002E3193">
        <w:rPr>
          <w:lang w:val="es-ES"/>
        </w:rPr>
        <w:t>os y actividades a es</w:t>
      </w:r>
      <w:r>
        <w:rPr>
          <w:lang w:val="es-ES"/>
        </w:rPr>
        <w:t xml:space="preserve">e respecto </w:t>
      </w:r>
      <w:r>
        <w:rPr>
          <w:rFonts w:cs="Arial"/>
          <w:lang w:val="es-ES"/>
        </w:rPr>
        <w:t xml:space="preserve">en Estonia, Lituania, Polonia, la Federación de Rusia, Eslovaquia y </w:t>
      </w:r>
      <w:r>
        <w:rPr>
          <w:lang w:val="es-ES"/>
        </w:rPr>
        <w:t>Uzbekistán</w:t>
      </w:r>
      <w:r w:rsidRPr="008C5A33">
        <w:rPr>
          <w:lang w:val="es-ES"/>
        </w:rPr>
        <w:t xml:space="preserve">.  </w:t>
      </w:r>
      <w:r w:rsidRPr="002E58CF">
        <w:rPr>
          <w:lang w:val="es-ES"/>
        </w:rPr>
        <w:t>Con la asistencia de la OMPI</w:t>
      </w:r>
      <w:r>
        <w:rPr>
          <w:lang w:val="es-ES"/>
        </w:rPr>
        <w:t>,</w:t>
      </w:r>
      <w:r w:rsidRPr="00526311">
        <w:rPr>
          <w:lang w:val="es-ES"/>
        </w:rPr>
        <w:t xml:space="preserve"> una universidad de la Federación de Rusia y otra de Uzbekistán elaboraron políticas de P.I.</w:t>
      </w:r>
      <w:r>
        <w:rPr>
          <w:lang w:val="es-ES"/>
        </w:rPr>
        <w:t xml:space="preserve"> en 2014.</w:t>
      </w:r>
      <w:r w:rsidRPr="00526311">
        <w:rPr>
          <w:lang w:val="es-ES"/>
        </w:rPr>
        <w:t xml:space="preserve">  Por otra parte, el 1 de octubre de 2014 Polonia adoptó una Ley de enseñanza superior por la cual se obliga</w:t>
      </w:r>
      <w:r>
        <w:rPr>
          <w:lang w:val="es-ES"/>
        </w:rPr>
        <w:t>ba</w:t>
      </w:r>
      <w:r w:rsidRPr="00526311">
        <w:rPr>
          <w:lang w:val="es-ES"/>
        </w:rPr>
        <w:t xml:space="preserve"> a </w:t>
      </w:r>
      <w:r>
        <w:rPr>
          <w:lang w:val="es-ES"/>
        </w:rPr>
        <w:t xml:space="preserve">todas </w:t>
      </w:r>
      <w:r w:rsidRPr="00526311">
        <w:rPr>
          <w:lang w:val="es-ES"/>
        </w:rPr>
        <w:t xml:space="preserve">las instituciones de enseñanza superior </w:t>
      </w:r>
      <w:r w:rsidRPr="002E58CF">
        <w:rPr>
          <w:rFonts w:cs="Arial"/>
          <w:lang w:val="es-ES"/>
        </w:rPr>
        <w:t xml:space="preserve">(132 </w:t>
      </w:r>
      <w:r>
        <w:rPr>
          <w:rFonts w:cs="Arial"/>
          <w:lang w:val="es-ES"/>
        </w:rPr>
        <w:t>públicas</w:t>
      </w:r>
      <w:r w:rsidRPr="002E58CF">
        <w:rPr>
          <w:rFonts w:cs="Arial"/>
          <w:lang w:val="es-ES"/>
        </w:rPr>
        <w:t xml:space="preserve"> </w:t>
      </w:r>
      <w:r>
        <w:rPr>
          <w:rFonts w:cs="Arial"/>
          <w:lang w:val="es-ES"/>
        </w:rPr>
        <w:t>y</w:t>
      </w:r>
      <w:r w:rsidRPr="002E58CF">
        <w:rPr>
          <w:rFonts w:cs="Arial"/>
          <w:lang w:val="es-ES"/>
        </w:rPr>
        <w:t xml:space="preserve"> 302 </w:t>
      </w:r>
      <w:r>
        <w:rPr>
          <w:rFonts w:cs="Arial"/>
          <w:lang w:val="es-ES"/>
        </w:rPr>
        <w:t>privadas</w:t>
      </w:r>
      <w:r w:rsidRPr="002E58CF">
        <w:rPr>
          <w:rFonts w:cs="Arial"/>
          <w:lang w:val="es-ES"/>
        </w:rPr>
        <w:t xml:space="preserve">) </w:t>
      </w:r>
      <w:r w:rsidRPr="00526311">
        <w:rPr>
          <w:lang w:val="es-ES"/>
        </w:rPr>
        <w:t xml:space="preserve">a poner en marcha una política actualizada de P.I. a </w:t>
      </w:r>
      <w:r>
        <w:rPr>
          <w:lang w:val="es-ES"/>
        </w:rPr>
        <w:t>partir del 31 de marzo del 2015</w:t>
      </w:r>
      <w:r w:rsidRPr="002E58CF">
        <w:rPr>
          <w:rFonts w:cs="Arial"/>
          <w:lang w:val="es-ES"/>
        </w:rPr>
        <w:t xml:space="preserve">.  </w:t>
      </w:r>
      <w:r w:rsidRPr="007A734E">
        <w:rPr>
          <w:rFonts w:cs="Arial"/>
          <w:lang w:val="es-ES"/>
        </w:rPr>
        <w:t xml:space="preserve">A finales del bienio, 434 </w:t>
      </w:r>
      <w:r w:rsidRPr="00900D01">
        <w:rPr>
          <w:rFonts w:cs="Arial"/>
          <w:lang w:val="es-ES"/>
        </w:rPr>
        <w:t>universidades/instituciones</w:t>
      </w:r>
      <w:r>
        <w:rPr>
          <w:rFonts w:cs="Arial"/>
          <w:lang w:val="es-ES"/>
        </w:rPr>
        <w:t xml:space="preserve"> de enseñanza superior</w:t>
      </w:r>
      <w:r w:rsidRPr="007A734E">
        <w:rPr>
          <w:rFonts w:cs="Arial"/>
          <w:lang w:val="es-ES"/>
        </w:rPr>
        <w:t xml:space="preserve"> de Polonia </w:t>
      </w:r>
      <w:r w:rsidRPr="00526311">
        <w:rPr>
          <w:lang w:val="es-ES"/>
        </w:rPr>
        <w:t>ya habían elaborado políticas de P.I.</w:t>
      </w:r>
    </w:p>
    <w:p w:rsidR="0095318C" w:rsidRPr="003B1966" w:rsidRDefault="0095318C" w:rsidP="004C50F9">
      <w:pPr>
        <w:pStyle w:val="ListParagraph"/>
        <w:numPr>
          <w:ilvl w:val="0"/>
          <w:numId w:val="56"/>
        </w:numPr>
        <w:tabs>
          <w:tab w:val="left" w:pos="709"/>
        </w:tabs>
        <w:spacing w:after="200"/>
        <w:ind w:left="0" w:firstLine="0"/>
        <w:jc w:val="both"/>
        <w:rPr>
          <w:rFonts w:cs="Arial"/>
          <w:lang w:val="es-ES"/>
        </w:rPr>
      </w:pPr>
      <w:r w:rsidRPr="003B1966">
        <w:rPr>
          <w:lang w:val="es-ES"/>
        </w:rPr>
        <w:t>En el marco del programa</w:t>
      </w:r>
      <w:r>
        <w:rPr>
          <w:lang w:val="es-ES"/>
        </w:rPr>
        <w:t>,</w:t>
      </w:r>
      <w:r w:rsidRPr="003B1966">
        <w:rPr>
          <w:lang w:val="es-ES"/>
        </w:rPr>
        <w:t xml:space="preserve"> se siguió dando apoyo a los países </w:t>
      </w:r>
      <w:r w:rsidRPr="00526311">
        <w:rPr>
          <w:lang w:val="es-ES"/>
        </w:rPr>
        <w:t>para fortalecer las capacidades nacionales de recursos humanos y fomentar la sensibilización y la base de conocimientos en aras de una utilización eficaz de la P.I.</w:t>
      </w:r>
      <w:r>
        <w:rPr>
          <w:lang w:val="es-ES"/>
        </w:rPr>
        <w:t xml:space="preserve"> en favor del desarrollo económico, social y cultural.</w:t>
      </w:r>
      <w:r w:rsidRPr="003B1966">
        <w:rPr>
          <w:rFonts w:cs="Arial"/>
          <w:lang w:val="es-ES"/>
        </w:rPr>
        <w:t xml:space="preserve">  En el bienio 2014/15</w:t>
      </w:r>
      <w:r>
        <w:rPr>
          <w:rFonts w:cs="Arial"/>
          <w:lang w:val="es-ES"/>
        </w:rPr>
        <w:t>,</w:t>
      </w:r>
      <w:r w:rsidRPr="003B1966">
        <w:rPr>
          <w:lang w:val="es-ES"/>
        </w:rPr>
        <w:t xml:space="preserve"> más de </w:t>
      </w:r>
      <w:r>
        <w:rPr>
          <w:rFonts w:cs="Arial"/>
          <w:lang w:val="es-ES"/>
        </w:rPr>
        <w:t>6.</w:t>
      </w:r>
      <w:r w:rsidRPr="003B1966">
        <w:rPr>
          <w:rFonts w:cs="Arial"/>
          <w:lang w:val="es-ES"/>
        </w:rPr>
        <w:t xml:space="preserve">000 </w:t>
      </w:r>
      <w:r w:rsidRPr="00526311">
        <w:rPr>
          <w:lang w:val="es-ES"/>
        </w:rPr>
        <w:t>especialistas y expertos</w:t>
      </w:r>
      <w:r>
        <w:rPr>
          <w:lang w:val="es-ES"/>
        </w:rPr>
        <w:t xml:space="preserve"> provenientes, entre otros, de las oficinas nacionales de P.I. y otras agencias gubernamentales, pymes, universidades e instituciones públicas de investigación recibieron formación</w:t>
      </w:r>
      <w:r w:rsidRPr="00526311">
        <w:rPr>
          <w:lang w:val="es-ES"/>
        </w:rPr>
        <w:t xml:space="preserve"> </w:t>
      </w:r>
      <w:r>
        <w:rPr>
          <w:lang w:val="es-ES"/>
        </w:rPr>
        <w:t>en</w:t>
      </w:r>
      <w:r w:rsidRPr="00526311">
        <w:rPr>
          <w:lang w:val="es-ES"/>
        </w:rPr>
        <w:t xml:space="preserve"> P.I. </w:t>
      </w:r>
      <w:r>
        <w:rPr>
          <w:lang w:val="es-ES"/>
        </w:rPr>
        <w:t xml:space="preserve">a través de programas </w:t>
      </w:r>
      <w:r w:rsidRPr="00526311">
        <w:rPr>
          <w:lang w:val="es-ES"/>
        </w:rPr>
        <w:t>específicos, por ejemplo, sobre transferencia de tecnología, pymes, observancia, derecho de autor, enseñanza de P.I. y servicios de la OMPI.</w:t>
      </w:r>
      <w:r w:rsidRPr="003B1966">
        <w:rPr>
          <w:rFonts w:cs="Arial"/>
          <w:lang w:val="es-ES"/>
        </w:rPr>
        <w:t xml:space="preserve">  </w:t>
      </w:r>
      <w:r w:rsidRPr="003B1966">
        <w:rPr>
          <w:lang w:val="es-ES"/>
        </w:rPr>
        <w:t>Los participantes en estas actividades presentaron comentarios positivos;</w:t>
      </w:r>
      <w:r w:rsidRPr="003B1966">
        <w:rPr>
          <w:rFonts w:cs="Arial"/>
          <w:lang w:val="es-ES"/>
        </w:rPr>
        <w:t xml:space="preserve"> así, el </w:t>
      </w:r>
      <w:r w:rsidRPr="008C7EED">
        <w:rPr>
          <w:rFonts w:cs="Arial"/>
          <w:lang w:val="es-ES"/>
        </w:rPr>
        <w:t>95,8</w:t>
      </w:r>
      <w:r w:rsidRPr="003B1966">
        <w:rPr>
          <w:rFonts w:cs="Arial"/>
          <w:lang w:val="es-ES"/>
        </w:rPr>
        <w:t xml:space="preserve">% </w:t>
      </w:r>
      <w:r>
        <w:rPr>
          <w:rFonts w:cs="Arial"/>
          <w:lang w:val="es-ES"/>
        </w:rPr>
        <w:t>de los encuestados se mostró satisfecho con las actividades programadas</w:t>
      </w:r>
      <w:r w:rsidRPr="003B1966">
        <w:rPr>
          <w:rFonts w:cs="Arial"/>
          <w:lang w:val="es-ES"/>
        </w:rPr>
        <w:t xml:space="preserve"> </w:t>
      </w:r>
      <w:r>
        <w:rPr>
          <w:rFonts w:cs="Arial"/>
          <w:lang w:val="es-ES"/>
        </w:rPr>
        <w:t>y el 82,</w:t>
      </w:r>
      <w:r w:rsidRPr="003B1966">
        <w:rPr>
          <w:rFonts w:cs="Arial"/>
          <w:lang w:val="es-ES"/>
        </w:rPr>
        <w:t>7</w:t>
      </w:r>
      <w:r>
        <w:rPr>
          <w:rFonts w:cs="Arial"/>
          <w:lang w:val="es-ES"/>
        </w:rPr>
        <w:t>% señaló que la formación contribuyó a mejorar las competencias que aplican en su trabajo cotidiano.</w:t>
      </w:r>
    </w:p>
    <w:p w:rsidR="0095318C" w:rsidRPr="00660C1F" w:rsidRDefault="0095318C" w:rsidP="004C50F9">
      <w:pPr>
        <w:pStyle w:val="ListParagraph"/>
        <w:numPr>
          <w:ilvl w:val="0"/>
          <w:numId w:val="56"/>
        </w:numPr>
        <w:tabs>
          <w:tab w:val="left" w:pos="709"/>
        </w:tabs>
        <w:spacing w:after="200"/>
        <w:ind w:left="0" w:firstLine="0"/>
        <w:jc w:val="both"/>
        <w:rPr>
          <w:rFonts w:cs="Arial"/>
          <w:lang w:val="es-ES"/>
        </w:rPr>
      </w:pPr>
      <w:r w:rsidRPr="00660C1F">
        <w:rPr>
          <w:rFonts w:cs="Arial"/>
          <w:lang w:val="es-ES"/>
        </w:rPr>
        <w:t xml:space="preserve">Se </w:t>
      </w:r>
      <w:r w:rsidRPr="00526311">
        <w:rPr>
          <w:lang w:val="es-ES"/>
        </w:rPr>
        <w:t>organizaron cursos de verano en Croacia y la Federación de Rusia</w:t>
      </w:r>
      <w:r>
        <w:rPr>
          <w:lang w:val="es-ES"/>
        </w:rPr>
        <w:t xml:space="preserve"> durante el bienio 2014/2015</w:t>
      </w:r>
      <w:r>
        <w:rPr>
          <w:rFonts w:cs="Arial"/>
          <w:lang w:val="es-ES"/>
        </w:rPr>
        <w:t>.</w:t>
      </w:r>
    </w:p>
    <w:p w:rsidR="0095318C" w:rsidRPr="00262E44" w:rsidRDefault="0095318C" w:rsidP="004C50F9">
      <w:pPr>
        <w:pStyle w:val="ListParagraph"/>
        <w:numPr>
          <w:ilvl w:val="0"/>
          <w:numId w:val="56"/>
        </w:numPr>
        <w:tabs>
          <w:tab w:val="left" w:pos="709"/>
        </w:tabs>
        <w:spacing w:after="200"/>
        <w:ind w:left="0" w:firstLine="0"/>
        <w:jc w:val="both"/>
        <w:rPr>
          <w:rFonts w:cs="Arial"/>
          <w:lang w:val="es-ES"/>
        </w:rPr>
      </w:pPr>
      <w:r w:rsidRPr="00761186">
        <w:rPr>
          <w:rFonts w:cs="Arial"/>
          <w:lang w:val="es-ES"/>
        </w:rPr>
        <w:t>Durante este bienio, se continuó incrementando los esfuerzos p</w:t>
      </w:r>
      <w:r w:rsidR="008F7A06">
        <w:rPr>
          <w:rFonts w:cs="Arial"/>
          <w:lang w:val="es-ES"/>
        </w:rPr>
        <w:t>o</w:t>
      </w:r>
      <w:r w:rsidRPr="00761186">
        <w:rPr>
          <w:rFonts w:cs="Arial"/>
          <w:lang w:val="es-ES"/>
        </w:rPr>
        <w:t xml:space="preserve">r integrar la P.I. en los planes de estudio de los países </w:t>
      </w:r>
      <w:r>
        <w:rPr>
          <w:rFonts w:cs="Arial"/>
          <w:lang w:val="es-ES"/>
        </w:rPr>
        <w:t>con economías en</w:t>
      </w:r>
      <w:r w:rsidRPr="00761186">
        <w:rPr>
          <w:rFonts w:cs="Arial"/>
          <w:lang w:val="es-ES"/>
        </w:rPr>
        <w:t xml:space="preserve"> transición y definir programas y/o cursos anuales de formación en P.I. para los profesionales de la P.I.  </w:t>
      </w:r>
      <w:r w:rsidRPr="00262E44">
        <w:rPr>
          <w:rFonts w:cs="Arial"/>
          <w:lang w:val="es-ES"/>
        </w:rPr>
        <w:t xml:space="preserve">En concreto, se ofreció apoyo al Gobierno de Rumania para la introducción de un curso opcional </w:t>
      </w:r>
      <w:r>
        <w:rPr>
          <w:rFonts w:cs="Arial"/>
          <w:lang w:val="es-ES"/>
        </w:rPr>
        <w:t>sobre</w:t>
      </w:r>
      <w:r w:rsidRPr="00262E44">
        <w:rPr>
          <w:rFonts w:cs="Arial"/>
          <w:lang w:val="es-ES"/>
        </w:rPr>
        <w:t xml:space="preserve"> P.I. en todas las escuelas secundarias del país: el </w:t>
      </w:r>
      <w:proofErr w:type="spellStart"/>
      <w:r w:rsidRPr="00535E38">
        <w:rPr>
          <w:rFonts w:cs="Arial"/>
          <w:i/>
          <w:lang w:val="es-ES"/>
        </w:rPr>
        <w:t>School</w:t>
      </w:r>
      <w:proofErr w:type="spellEnd"/>
      <w:r w:rsidRPr="00535E38">
        <w:rPr>
          <w:rFonts w:cs="Arial"/>
          <w:i/>
          <w:lang w:val="es-ES"/>
        </w:rPr>
        <w:t xml:space="preserve"> </w:t>
      </w:r>
      <w:proofErr w:type="spellStart"/>
      <w:r w:rsidRPr="00535E38">
        <w:rPr>
          <w:rFonts w:cs="Arial"/>
          <w:i/>
          <w:lang w:val="es-ES"/>
        </w:rPr>
        <w:t>Program</w:t>
      </w:r>
      <w:proofErr w:type="spellEnd"/>
      <w:r w:rsidRPr="00535E38">
        <w:rPr>
          <w:rFonts w:cs="Arial"/>
          <w:i/>
          <w:lang w:val="es-ES"/>
        </w:rPr>
        <w:t xml:space="preserve"> </w:t>
      </w:r>
      <w:proofErr w:type="spellStart"/>
      <w:r w:rsidRPr="00535E38">
        <w:rPr>
          <w:rFonts w:cs="Arial"/>
          <w:i/>
          <w:lang w:val="es-ES"/>
        </w:rPr>
        <w:t>for</w:t>
      </w:r>
      <w:proofErr w:type="spellEnd"/>
      <w:r w:rsidRPr="00535E38">
        <w:rPr>
          <w:rFonts w:cs="Arial"/>
          <w:i/>
          <w:lang w:val="es-ES"/>
        </w:rPr>
        <w:t xml:space="preserve"> </w:t>
      </w:r>
      <w:proofErr w:type="spellStart"/>
      <w:r w:rsidRPr="00535E38">
        <w:rPr>
          <w:rFonts w:cs="Arial"/>
          <w:i/>
          <w:lang w:val="es-ES"/>
        </w:rPr>
        <w:t>the</w:t>
      </w:r>
      <w:proofErr w:type="spellEnd"/>
      <w:r w:rsidRPr="00535E38">
        <w:rPr>
          <w:rFonts w:cs="Arial"/>
          <w:i/>
          <w:lang w:val="es-ES"/>
        </w:rPr>
        <w:t xml:space="preserve"> </w:t>
      </w:r>
      <w:proofErr w:type="spellStart"/>
      <w:r w:rsidRPr="00535E38">
        <w:rPr>
          <w:rFonts w:cs="Arial"/>
          <w:i/>
          <w:lang w:val="es-ES"/>
        </w:rPr>
        <w:t>Optional</w:t>
      </w:r>
      <w:proofErr w:type="spellEnd"/>
      <w:r w:rsidRPr="00535E38">
        <w:rPr>
          <w:rFonts w:cs="Arial"/>
          <w:i/>
          <w:lang w:val="es-ES"/>
        </w:rPr>
        <w:t xml:space="preserve"> </w:t>
      </w:r>
      <w:proofErr w:type="spellStart"/>
      <w:r w:rsidRPr="00535E38">
        <w:rPr>
          <w:rFonts w:cs="Arial"/>
          <w:i/>
          <w:lang w:val="es-ES"/>
        </w:rPr>
        <w:t>Course</w:t>
      </w:r>
      <w:proofErr w:type="spellEnd"/>
      <w:r w:rsidRPr="00535E38">
        <w:rPr>
          <w:rFonts w:cs="Arial"/>
          <w:i/>
          <w:lang w:val="es-ES"/>
        </w:rPr>
        <w:t xml:space="preserve"> </w:t>
      </w:r>
      <w:proofErr w:type="spellStart"/>
      <w:r w:rsidRPr="00535E38">
        <w:rPr>
          <w:rFonts w:cs="Arial"/>
          <w:i/>
          <w:lang w:val="es-ES"/>
        </w:rPr>
        <w:t>Education</w:t>
      </w:r>
      <w:proofErr w:type="spellEnd"/>
      <w:r w:rsidRPr="00535E38">
        <w:rPr>
          <w:rFonts w:cs="Arial"/>
          <w:i/>
          <w:lang w:val="es-ES"/>
        </w:rPr>
        <w:t xml:space="preserve"> </w:t>
      </w:r>
      <w:proofErr w:type="spellStart"/>
      <w:r w:rsidRPr="00535E38">
        <w:rPr>
          <w:rFonts w:cs="Arial"/>
          <w:i/>
          <w:lang w:val="es-ES"/>
        </w:rPr>
        <w:t>for</w:t>
      </w:r>
      <w:proofErr w:type="spellEnd"/>
      <w:r w:rsidRPr="00535E38">
        <w:rPr>
          <w:rFonts w:cs="Arial"/>
          <w:i/>
          <w:lang w:val="es-ES"/>
        </w:rPr>
        <w:t xml:space="preserve"> Intellectual Property </w:t>
      </w:r>
      <w:proofErr w:type="spellStart"/>
      <w:r w:rsidRPr="00535E38">
        <w:rPr>
          <w:rFonts w:cs="Arial"/>
          <w:i/>
          <w:lang w:val="es-ES"/>
        </w:rPr>
        <w:t>Rights</w:t>
      </w:r>
      <w:proofErr w:type="spellEnd"/>
      <w:r w:rsidRPr="00535E38">
        <w:rPr>
          <w:rFonts w:cs="Arial"/>
          <w:i/>
          <w:lang w:val="es-ES"/>
        </w:rPr>
        <w:t xml:space="preserve"> (</w:t>
      </w:r>
      <w:proofErr w:type="spellStart"/>
      <w:r w:rsidRPr="00535E38">
        <w:rPr>
          <w:rFonts w:cs="Arial"/>
          <w:i/>
          <w:lang w:val="es-ES"/>
        </w:rPr>
        <w:t>Curriculum</w:t>
      </w:r>
      <w:proofErr w:type="spellEnd"/>
      <w:r w:rsidRPr="00535E38">
        <w:rPr>
          <w:rFonts w:cs="Arial"/>
          <w:i/>
          <w:lang w:val="es-ES"/>
        </w:rPr>
        <w:t xml:space="preserve"> at </w:t>
      </w:r>
      <w:proofErr w:type="spellStart"/>
      <w:r w:rsidRPr="00535E38">
        <w:rPr>
          <w:rFonts w:cs="Arial"/>
          <w:i/>
          <w:lang w:val="es-ES"/>
        </w:rPr>
        <w:t>the</w:t>
      </w:r>
      <w:proofErr w:type="spellEnd"/>
      <w:r w:rsidRPr="00535E38">
        <w:rPr>
          <w:rFonts w:cs="Arial"/>
          <w:i/>
          <w:lang w:val="es-ES"/>
        </w:rPr>
        <w:t xml:space="preserve"> High-</w:t>
      </w:r>
      <w:proofErr w:type="spellStart"/>
      <w:r w:rsidRPr="00535E38">
        <w:rPr>
          <w:rFonts w:cs="Arial"/>
          <w:i/>
          <w:lang w:val="es-ES"/>
        </w:rPr>
        <w:t>school</w:t>
      </w:r>
      <w:proofErr w:type="spellEnd"/>
      <w:r w:rsidRPr="00535E38">
        <w:rPr>
          <w:rFonts w:cs="Arial"/>
          <w:i/>
          <w:lang w:val="es-ES"/>
        </w:rPr>
        <w:t xml:space="preserve"> </w:t>
      </w:r>
      <w:proofErr w:type="spellStart"/>
      <w:r w:rsidRPr="00535E38">
        <w:rPr>
          <w:rFonts w:cs="Arial"/>
          <w:i/>
          <w:lang w:val="es-ES"/>
        </w:rPr>
        <w:t>Decision</w:t>
      </w:r>
      <w:proofErr w:type="spellEnd"/>
      <w:r w:rsidRPr="00535E38">
        <w:rPr>
          <w:rFonts w:cs="Arial"/>
          <w:i/>
          <w:lang w:val="es-ES"/>
        </w:rPr>
        <w:t>)</w:t>
      </w:r>
      <w:r w:rsidRPr="00535E38">
        <w:rPr>
          <w:rFonts w:cs="Arial"/>
          <w:lang w:val="es-ES"/>
        </w:rPr>
        <w:t>,</w:t>
      </w:r>
      <w:r w:rsidRPr="00262E44">
        <w:rPr>
          <w:rFonts w:cs="Arial"/>
          <w:lang w:val="es-ES"/>
        </w:rPr>
        <w:t xml:space="preserve"> aprobado e introducido oficialmente en los plan</w:t>
      </w:r>
      <w:r>
        <w:rPr>
          <w:rFonts w:cs="Arial"/>
          <w:lang w:val="es-ES"/>
        </w:rPr>
        <w:t>es de estudio el 27 de marzo de </w:t>
      </w:r>
      <w:r w:rsidRPr="00262E44">
        <w:rPr>
          <w:rFonts w:cs="Arial"/>
          <w:lang w:val="es-ES"/>
        </w:rPr>
        <w:t>2015.</w:t>
      </w:r>
    </w:p>
    <w:p w:rsidR="0095318C" w:rsidRPr="00660C1F" w:rsidRDefault="0095318C" w:rsidP="004C50F9">
      <w:pPr>
        <w:pStyle w:val="ListParagraph"/>
        <w:numPr>
          <w:ilvl w:val="0"/>
          <w:numId w:val="56"/>
        </w:numPr>
        <w:tabs>
          <w:tab w:val="left" w:pos="709"/>
        </w:tabs>
        <w:spacing w:after="200"/>
        <w:ind w:left="0" w:firstLine="0"/>
        <w:jc w:val="both"/>
        <w:rPr>
          <w:rFonts w:cs="Arial"/>
          <w:lang w:val="es-ES"/>
        </w:rPr>
      </w:pPr>
      <w:r w:rsidRPr="00526311">
        <w:rPr>
          <w:rFonts w:cs="Arial"/>
          <w:lang w:val="es-ES"/>
        </w:rPr>
        <w:lastRenderedPageBreak/>
        <w:t xml:space="preserve">Se continuó fortaleciendo las medidas para mejorar la coordinación, el fomento y la prestación de los servicios de la OMPI a fin de impulsar su utilización en los países </w:t>
      </w:r>
      <w:r>
        <w:rPr>
          <w:rFonts w:cs="Arial"/>
          <w:lang w:val="es-ES"/>
        </w:rPr>
        <w:t>con economías en</w:t>
      </w:r>
      <w:r w:rsidRPr="00526311">
        <w:rPr>
          <w:rFonts w:cs="Arial"/>
          <w:lang w:val="es-ES"/>
        </w:rPr>
        <w:t xml:space="preserve"> transición y los países desarrollados</w:t>
      </w:r>
      <w:r>
        <w:rPr>
          <w:rFonts w:cs="Arial"/>
          <w:lang w:val="es-ES"/>
        </w:rPr>
        <w:t>.</w:t>
      </w:r>
    </w:p>
    <w:p w:rsidR="0095318C" w:rsidRPr="00544A05" w:rsidRDefault="0095318C" w:rsidP="004C50F9">
      <w:pPr>
        <w:pStyle w:val="ListParagraph"/>
        <w:numPr>
          <w:ilvl w:val="0"/>
          <w:numId w:val="56"/>
        </w:numPr>
        <w:tabs>
          <w:tab w:val="left" w:pos="709"/>
        </w:tabs>
        <w:spacing w:after="200"/>
        <w:ind w:left="0" w:firstLine="0"/>
        <w:jc w:val="both"/>
        <w:rPr>
          <w:rFonts w:cs="Arial"/>
          <w:lang w:val="es-ES"/>
        </w:rPr>
      </w:pPr>
      <w:r w:rsidRPr="00660C1F">
        <w:rPr>
          <w:rFonts w:cs="Arial"/>
          <w:lang w:val="es-ES"/>
        </w:rPr>
        <w:t>En 2014/15, unos 3</w:t>
      </w:r>
      <w:r>
        <w:rPr>
          <w:rFonts w:cs="Arial"/>
          <w:lang w:val="es-ES"/>
        </w:rPr>
        <w:t>.</w:t>
      </w:r>
      <w:r w:rsidRPr="00660C1F">
        <w:rPr>
          <w:rFonts w:cs="Arial"/>
          <w:lang w:val="es-ES"/>
        </w:rPr>
        <w:t xml:space="preserve">000 profesionales de 18 países (Australia, Austria, Bélgica, Finlandia, Francia, Alemania, Irlanda, Israel, Italia, Japón, Luxemburgo, </w:t>
      </w:r>
      <w:r>
        <w:rPr>
          <w:rFonts w:cs="Arial"/>
          <w:lang w:val="es-ES"/>
        </w:rPr>
        <w:t>Países Bajos</w:t>
      </w:r>
      <w:r w:rsidRPr="00660C1F">
        <w:rPr>
          <w:rFonts w:cs="Arial"/>
          <w:lang w:val="es-ES"/>
        </w:rPr>
        <w:t xml:space="preserve">, </w:t>
      </w:r>
      <w:r>
        <w:rPr>
          <w:rFonts w:cs="Arial"/>
          <w:lang w:val="es-ES"/>
        </w:rPr>
        <w:t>Nueva Zelandia</w:t>
      </w:r>
      <w:r w:rsidRPr="00660C1F">
        <w:rPr>
          <w:rFonts w:cs="Arial"/>
          <w:lang w:val="es-ES"/>
        </w:rPr>
        <w:t xml:space="preserve">, Portugal, España, </w:t>
      </w:r>
      <w:r>
        <w:rPr>
          <w:rFonts w:cs="Arial"/>
          <w:lang w:val="es-ES"/>
        </w:rPr>
        <w:t>Suecia</w:t>
      </w:r>
      <w:r w:rsidRPr="00660C1F">
        <w:rPr>
          <w:rFonts w:cs="Arial"/>
          <w:lang w:val="es-ES"/>
        </w:rPr>
        <w:t xml:space="preserve">, </w:t>
      </w:r>
      <w:r w:rsidRPr="00262E44">
        <w:rPr>
          <w:rFonts w:cs="Arial"/>
          <w:lang w:val="es-ES"/>
        </w:rPr>
        <w:t xml:space="preserve">Reino Unido </w:t>
      </w:r>
      <w:r>
        <w:rPr>
          <w:rFonts w:cs="Arial"/>
          <w:lang w:val="es-ES"/>
        </w:rPr>
        <w:t>y Estados Unidos de América</w:t>
      </w:r>
      <w:r w:rsidRPr="00660C1F">
        <w:rPr>
          <w:rFonts w:cs="Arial"/>
          <w:lang w:val="es-ES"/>
        </w:rPr>
        <w:t xml:space="preserve">) </w:t>
      </w:r>
      <w:r w:rsidRPr="00526311">
        <w:rPr>
          <w:rFonts w:cs="Arial"/>
          <w:lang w:val="es-ES"/>
        </w:rPr>
        <w:t>participaron en</w:t>
      </w:r>
      <w:r w:rsidRPr="00660C1F">
        <w:rPr>
          <w:rFonts w:cs="Arial"/>
          <w:lang w:val="es-ES"/>
        </w:rPr>
        <w:t xml:space="preserve"> 36 </w:t>
      </w:r>
      <w:r w:rsidRPr="00526311">
        <w:rPr>
          <w:rFonts w:cs="Arial"/>
          <w:lang w:val="es-ES"/>
        </w:rPr>
        <w:t>seminarios itinerantes sobre los servicios y las iniciativas de la OMPI</w:t>
      </w:r>
      <w:r w:rsidRPr="00660C1F">
        <w:rPr>
          <w:rFonts w:cs="Arial"/>
          <w:lang w:val="es-ES"/>
        </w:rPr>
        <w:t xml:space="preserve">.  </w:t>
      </w:r>
      <w:r w:rsidRPr="006367FA">
        <w:rPr>
          <w:rFonts w:cs="Arial"/>
          <w:lang w:val="es-ES"/>
        </w:rPr>
        <w:t xml:space="preserve">Los </w:t>
      </w:r>
      <w:r>
        <w:rPr>
          <w:rFonts w:cs="Arial"/>
          <w:lang w:val="es-ES"/>
        </w:rPr>
        <w:t>participantes en estos seminarios presentaron comentarios positivos</w:t>
      </w:r>
      <w:r w:rsidRPr="006367FA">
        <w:rPr>
          <w:rFonts w:cs="Arial"/>
          <w:lang w:val="es-ES"/>
        </w:rPr>
        <w:t xml:space="preserve">; así, </w:t>
      </w:r>
      <w:r w:rsidRPr="000F1A1F">
        <w:rPr>
          <w:rFonts w:cs="Arial"/>
          <w:lang w:val="es-ES"/>
        </w:rPr>
        <w:t>más del 90</w:t>
      </w:r>
      <w:r w:rsidRPr="006367FA">
        <w:rPr>
          <w:rFonts w:cs="Arial"/>
          <w:lang w:val="es-ES"/>
        </w:rPr>
        <w:t>% de los encuestados estuvo de acuerdo o muy de acuerdo en que los seminarios fueron de utilidad para su labor profesional y más del 80% estuvo de acuerdo o muy de acuerdo en que gr</w:t>
      </w:r>
      <w:r>
        <w:rPr>
          <w:rFonts w:cs="Arial"/>
          <w:lang w:val="es-ES"/>
        </w:rPr>
        <w:t>acias a los seminarios es muy probable que utilicen o recomienden</w:t>
      </w:r>
      <w:r w:rsidR="008F7A06">
        <w:rPr>
          <w:rFonts w:cs="Arial"/>
          <w:lang w:val="es-ES"/>
        </w:rPr>
        <w:t xml:space="preserve"> en el futuro</w:t>
      </w:r>
      <w:r>
        <w:rPr>
          <w:rFonts w:cs="Arial"/>
          <w:lang w:val="es-ES"/>
        </w:rPr>
        <w:t xml:space="preserve"> la utilización de los servicios de P.I. </w:t>
      </w:r>
      <w:r w:rsidR="008F7A06">
        <w:rPr>
          <w:rFonts w:cs="Arial"/>
          <w:lang w:val="es-ES"/>
        </w:rPr>
        <w:t>que ofrece la OMPI</w:t>
      </w:r>
      <w:r w:rsidRPr="006367FA">
        <w:rPr>
          <w:rFonts w:cs="Arial"/>
          <w:lang w:val="es-ES"/>
        </w:rPr>
        <w:t xml:space="preserve">.  </w:t>
      </w:r>
      <w:r w:rsidRPr="00544A05">
        <w:rPr>
          <w:rFonts w:cs="Arial"/>
          <w:lang w:val="es-ES"/>
        </w:rPr>
        <w:t xml:space="preserve">Asimismo, el 98% de los encuestados estuvieron de acuerdo o muy de acuerdo en que la formación había mejorado su conocimiento sobre los servicios de la OMPI, y </w:t>
      </w:r>
      <w:r w:rsidRPr="000F1A1F">
        <w:rPr>
          <w:rFonts w:cs="Arial"/>
          <w:lang w:val="es-ES"/>
        </w:rPr>
        <w:t>un 35%</w:t>
      </w:r>
      <w:r w:rsidRPr="00544A05">
        <w:rPr>
          <w:rFonts w:cs="Arial"/>
          <w:lang w:val="es-ES"/>
        </w:rPr>
        <w:t xml:space="preserve"> estuvo de acuerdo o muy de acuerdo en</w:t>
      </w:r>
      <w:r>
        <w:rPr>
          <w:rFonts w:cs="Arial"/>
          <w:lang w:val="es-ES"/>
        </w:rPr>
        <w:t xml:space="preserve"> que</w:t>
      </w:r>
      <w:r w:rsidRPr="00544A05">
        <w:rPr>
          <w:rFonts w:cs="Arial"/>
          <w:lang w:val="es-ES"/>
        </w:rPr>
        <w:t xml:space="preserve"> la utilizaci</w:t>
      </w:r>
      <w:r>
        <w:rPr>
          <w:rFonts w:cs="Arial"/>
          <w:lang w:val="es-ES"/>
        </w:rPr>
        <w:t>ón por parte de su organización de los servicios de la OMPI había aumentado después de asistir al seminario.</w:t>
      </w:r>
    </w:p>
    <w:p w:rsidR="0095318C" w:rsidRPr="00660C1F" w:rsidRDefault="0095318C" w:rsidP="004C50F9">
      <w:pPr>
        <w:pStyle w:val="ListParagraph"/>
        <w:numPr>
          <w:ilvl w:val="0"/>
          <w:numId w:val="56"/>
        </w:numPr>
        <w:tabs>
          <w:tab w:val="left" w:pos="709"/>
        </w:tabs>
        <w:ind w:left="0" w:firstLine="0"/>
        <w:jc w:val="both"/>
        <w:rPr>
          <w:rFonts w:cs="Arial"/>
          <w:lang w:val="es-ES"/>
        </w:rPr>
      </w:pPr>
      <w:r w:rsidRPr="00526311">
        <w:rPr>
          <w:rFonts w:cs="Arial"/>
          <w:lang w:val="es-ES"/>
        </w:rPr>
        <w:t>S</w:t>
      </w:r>
      <w:r w:rsidR="008F7A06">
        <w:rPr>
          <w:rFonts w:cs="Arial"/>
          <w:lang w:val="es-ES"/>
        </w:rPr>
        <w:t>e incrementaron los esfuerzos po</w:t>
      </w:r>
      <w:r w:rsidRPr="00526311">
        <w:rPr>
          <w:rFonts w:cs="Arial"/>
          <w:lang w:val="es-ES"/>
        </w:rPr>
        <w:t xml:space="preserve">r estrechar los vínculos institucionales y fomentar alianzas con los sectores interesados de los países </w:t>
      </w:r>
      <w:r>
        <w:rPr>
          <w:rFonts w:cs="Arial"/>
          <w:lang w:val="es-ES"/>
        </w:rPr>
        <w:t xml:space="preserve">con economías </w:t>
      </w:r>
      <w:r w:rsidRPr="00526311">
        <w:rPr>
          <w:rFonts w:cs="Arial"/>
          <w:lang w:val="es-ES"/>
        </w:rPr>
        <w:t>en transición y los países desarrollados, lo que incluye organizaciones regionales, oficinas de P.I., ONG y asociaciones comerciales en representación de los usuarios de los servicios de la OMPI.  A tal fin, en el marco del programa se acogió la visita de varias partes interesadas de los países en cuestión y se facilitó la organización de sesiones de información sobre diversas cuestiones de interés</w:t>
      </w:r>
      <w:r>
        <w:rPr>
          <w:rFonts w:cs="Arial"/>
          <w:lang w:val="es-ES"/>
        </w:rPr>
        <w:t xml:space="preserve">. </w:t>
      </w:r>
      <w:r w:rsidRPr="00660C1F">
        <w:rPr>
          <w:rFonts w:cs="Arial"/>
          <w:lang w:val="es-ES"/>
        </w:rPr>
        <w:t xml:space="preserve"> </w:t>
      </w:r>
      <w:r w:rsidRPr="00526311">
        <w:rPr>
          <w:rFonts w:cs="Arial"/>
          <w:lang w:val="es-ES"/>
        </w:rPr>
        <w:t>Se organizaron varias misiones exploratorias con el fin de evaluar mejor las necesidades y peticiones de los países, y</w:t>
      </w:r>
      <w:r>
        <w:rPr>
          <w:rFonts w:cs="Arial"/>
          <w:lang w:val="es-ES"/>
        </w:rPr>
        <w:t xml:space="preserve"> se firmaron cinco</w:t>
      </w:r>
      <w:r w:rsidRPr="00526311">
        <w:rPr>
          <w:rFonts w:cs="Arial"/>
          <w:lang w:val="es-ES"/>
        </w:rPr>
        <w:t xml:space="preserve"> nuevos memorandos de entendimiento en 2014</w:t>
      </w:r>
      <w:r>
        <w:rPr>
          <w:rFonts w:cs="Arial"/>
          <w:lang w:val="es-ES"/>
        </w:rPr>
        <w:t>/15</w:t>
      </w:r>
      <w:r w:rsidRPr="00526311">
        <w:rPr>
          <w:rFonts w:cs="Arial"/>
          <w:lang w:val="es-ES"/>
        </w:rPr>
        <w:t xml:space="preserve"> con partes interesadas de Dinamarca,</w:t>
      </w:r>
      <w:r>
        <w:rPr>
          <w:rFonts w:cs="Arial"/>
          <w:lang w:val="es-ES"/>
        </w:rPr>
        <w:t xml:space="preserve"> Francia, </w:t>
      </w:r>
      <w:r w:rsidRPr="00526311">
        <w:rPr>
          <w:rFonts w:cs="Arial"/>
          <w:lang w:val="es-ES"/>
        </w:rPr>
        <w:t>Alemania</w:t>
      </w:r>
      <w:r>
        <w:rPr>
          <w:rFonts w:cs="Arial"/>
          <w:lang w:val="es-ES"/>
        </w:rPr>
        <w:t>,</w:t>
      </w:r>
      <w:r w:rsidRPr="00526311">
        <w:rPr>
          <w:rFonts w:cs="Arial"/>
          <w:lang w:val="es-ES"/>
        </w:rPr>
        <w:t xml:space="preserve"> Israel </w:t>
      </w:r>
      <w:r>
        <w:rPr>
          <w:rFonts w:cs="Arial"/>
          <w:lang w:val="es-ES"/>
        </w:rPr>
        <w:t>y España</w:t>
      </w:r>
      <w:r w:rsidRPr="00526311">
        <w:rPr>
          <w:rFonts w:cs="Arial"/>
          <w:lang w:val="es-ES"/>
        </w:rPr>
        <w:t>.</w:t>
      </w:r>
    </w:p>
    <w:p w:rsidR="0095318C" w:rsidRPr="00660C1F" w:rsidRDefault="0095318C" w:rsidP="004C50F9">
      <w:pPr>
        <w:pStyle w:val="ListParagraph"/>
        <w:tabs>
          <w:tab w:val="left" w:pos="709"/>
        </w:tabs>
        <w:ind w:left="0"/>
        <w:jc w:val="both"/>
        <w:rPr>
          <w:rFonts w:cs="Arial"/>
          <w:lang w:val="es-ES"/>
        </w:rPr>
      </w:pPr>
    </w:p>
    <w:p w:rsidR="0095318C" w:rsidRPr="00E55910" w:rsidRDefault="0095318C" w:rsidP="004C50F9">
      <w:pPr>
        <w:pStyle w:val="ListParagraph"/>
        <w:numPr>
          <w:ilvl w:val="0"/>
          <w:numId w:val="56"/>
        </w:numPr>
        <w:tabs>
          <w:tab w:val="left" w:pos="709"/>
        </w:tabs>
        <w:ind w:left="0" w:firstLine="0"/>
        <w:jc w:val="both"/>
        <w:rPr>
          <w:rFonts w:cs="Arial"/>
          <w:lang w:val="es-ES"/>
        </w:rPr>
      </w:pPr>
      <w:r w:rsidRPr="00526311">
        <w:rPr>
          <w:lang w:val="es-ES"/>
        </w:rPr>
        <w:t xml:space="preserve">A fin de integrar las perspectivas de género en la labor del programa, en </w:t>
      </w:r>
      <w:r>
        <w:rPr>
          <w:lang w:val="es-ES"/>
        </w:rPr>
        <w:t>este bienio</w:t>
      </w:r>
      <w:r w:rsidRPr="00526311">
        <w:rPr>
          <w:lang w:val="es-ES"/>
        </w:rPr>
        <w:t xml:space="preserve"> se mantuvo la excelente cooperación establecida con la asociación </w:t>
      </w:r>
      <w:proofErr w:type="spellStart"/>
      <w:r w:rsidRPr="00526311">
        <w:rPr>
          <w:i/>
          <w:lang w:val="es-ES"/>
        </w:rPr>
        <w:t>World</w:t>
      </w:r>
      <w:proofErr w:type="spellEnd"/>
      <w:r w:rsidRPr="00526311">
        <w:rPr>
          <w:i/>
          <w:lang w:val="es-ES"/>
        </w:rPr>
        <w:t xml:space="preserve"> </w:t>
      </w:r>
      <w:proofErr w:type="spellStart"/>
      <w:r w:rsidRPr="00526311">
        <w:rPr>
          <w:i/>
          <w:lang w:val="es-ES"/>
        </w:rPr>
        <w:t>Women</w:t>
      </w:r>
      <w:proofErr w:type="spellEnd"/>
      <w:r w:rsidRPr="00526311">
        <w:rPr>
          <w:i/>
          <w:lang w:val="es-ES"/>
        </w:rPr>
        <w:t xml:space="preserve"> </w:t>
      </w:r>
      <w:proofErr w:type="spellStart"/>
      <w:r w:rsidRPr="00526311">
        <w:rPr>
          <w:i/>
          <w:lang w:val="es-ES"/>
        </w:rPr>
        <w:t>Inventors</w:t>
      </w:r>
      <w:proofErr w:type="spellEnd"/>
      <w:r w:rsidRPr="00526311">
        <w:rPr>
          <w:i/>
          <w:lang w:val="es-ES"/>
        </w:rPr>
        <w:t xml:space="preserve"> and </w:t>
      </w:r>
      <w:proofErr w:type="spellStart"/>
      <w:r w:rsidRPr="00526311">
        <w:rPr>
          <w:i/>
          <w:lang w:val="es-ES"/>
        </w:rPr>
        <w:t>Entrepreneurs</w:t>
      </w:r>
      <w:proofErr w:type="spellEnd"/>
      <w:r w:rsidRPr="00526311">
        <w:rPr>
          <w:i/>
          <w:lang w:val="es-ES"/>
        </w:rPr>
        <w:t xml:space="preserve"> Association</w:t>
      </w:r>
      <w:r w:rsidRPr="00526311">
        <w:rPr>
          <w:lang w:val="es-ES"/>
        </w:rPr>
        <w:t xml:space="preserve"> (WWIEA), lo que dio lugar a la coorganización del </w:t>
      </w:r>
      <w:r w:rsidRPr="00526311">
        <w:rPr>
          <w:i/>
          <w:lang w:val="es-ES"/>
        </w:rPr>
        <w:t xml:space="preserve">International </w:t>
      </w:r>
      <w:proofErr w:type="spellStart"/>
      <w:r w:rsidRPr="00526311">
        <w:rPr>
          <w:i/>
          <w:lang w:val="es-ES"/>
        </w:rPr>
        <w:t>Educational</w:t>
      </w:r>
      <w:proofErr w:type="spellEnd"/>
      <w:r w:rsidRPr="00526311">
        <w:rPr>
          <w:i/>
          <w:lang w:val="es-ES"/>
        </w:rPr>
        <w:t xml:space="preserve"> </w:t>
      </w:r>
      <w:proofErr w:type="spellStart"/>
      <w:r w:rsidRPr="00526311">
        <w:rPr>
          <w:i/>
          <w:lang w:val="es-ES"/>
        </w:rPr>
        <w:t>Program</w:t>
      </w:r>
      <w:proofErr w:type="spellEnd"/>
      <w:r w:rsidRPr="00526311">
        <w:rPr>
          <w:i/>
          <w:lang w:val="es-ES"/>
        </w:rPr>
        <w:t xml:space="preserve"> </w:t>
      </w:r>
      <w:proofErr w:type="spellStart"/>
      <w:r w:rsidRPr="00526311">
        <w:rPr>
          <w:i/>
          <w:lang w:val="es-ES"/>
        </w:rPr>
        <w:t>on</w:t>
      </w:r>
      <w:proofErr w:type="spellEnd"/>
      <w:r w:rsidRPr="00526311">
        <w:rPr>
          <w:i/>
          <w:lang w:val="es-ES"/>
        </w:rPr>
        <w:t xml:space="preserve"> Idea, </w:t>
      </w:r>
      <w:proofErr w:type="spellStart"/>
      <w:r w:rsidRPr="00526311">
        <w:rPr>
          <w:i/>
          <w:lang w:val="es-ES"/>
        </w:rPr>
        <w:t>Invention</w:t>
      </w:r>
      <w:proofErr w:type="spellEnd"/>
      <w:r w:rsidRPr="00526311">
        <w:rPr>
          <w:i/>
          <w:lang w:val="es-ES"/>
        </w:rPr>
        <w:t xml:space="preserve">, </w:t>
      </w:r>
      <w:proofErr w:type="spellStart"/>
      <w:r w:rsidRPr="00526311">
        <w:rPr>
          <w:i/>
          <w:lang w:val="es-ES"/>
        </w:rPr>
        <w:t>Innovation</w:t>
      </w:r>
      <w:proofErr w:type="spellEnd"/>
      <w:r w:rsidRPr="00526311">
        <w:rPr>
          <w:i/>
          <w:lang w:val="es-ES"/>
        </w:rPr>
        <w:t xml:space="preserve"> and Intellectual Property – </w:t>
      </w:r>
      <w:proofErr w:type="spellStart"/>
      <w:r w:rsidRPr="00526311">
        <w:rPr>
          <w:i/>
          <w:lang w:val="es-ES"/>
        </w:rPr>
        <w:t>Seed</w:t>
      </w:r>
      <w:proofErr w:type="spellEnd"/>
      <w:r w:rsidRPr="00526311">
        <w:rPr>
          <w:i/>
          <w:lang w:val="es-ES"/>
        </w:rPr>
        <w:t xml:space="preserve"> Project 2014</w:t>
      </w:r>
      <w:r w:rsidRPr="00526311">
        <w:rPr>
          <w:lang w:val="es-ES"/>
        </w:rPr>
        <w:t>, un eficaz programa de formación destinado a las mujeres de Asia Central, que tuvo lugar en noviembre.</w:t>
      </w:r>
      <w:r w:rsidRPr="00262E44">
        <w:rPr>
          <w:rFonts w:cs="Arial"/>
          <w:lang w:val="es-ES"/>
        </w:rPr>
        <w:t xml:space="preserve">  Además, se </w:t>
      </w:r>
      <w:r>
        <w:rPr>
          <w:rFonts w:cs="Arial"/>
          <w:lang w:val="es-ES"/>
        </w:rPr>
        <w:t>co</w:t>
      </w:r>
      <w:r w:rsidRPr="00262E44">
        <w:rPr>
          <w:rFonts w:cs="Arial"/>
          <w:lang w:val="es-ES"/>
        </w:rPr>
        <w:t xml:space="preserve">organizaron varios programas internacionales de formación </w:t>
      </w:r>
      <w:r>
        <w:rPr>
          <w:rFonts w:cs="Arial"/>
          <w:lang w:val="es-ES"/>
        </w:rPr>
        <w:t xml:space="preserve">destinados a las mujeres de </w:t>
      </w:r>
      <w:r w:rsidRPr="00262E44">
        <w:rPr>
          <w:rFonts w:cs="Arial"/>
          <w:lang w:val="es-ES"/>
        </w:rPr>
        <w:t xml:space="preserve">Armenia, </w:t>
      </w:r>
      <w:r w:rsidRPr="006C7B27">
        <w:rPr>
          <w:lang w:val="es-ES"/>
        </w:rPr>
        <w:t>Azerbaiyán</w:t>
      </w:r>
      <w:r>
        <w:rPr>
          <w:rFonts w:cs="Arial"/>
          <w:lang w:val="es-ES"/>
        </w:rPr>
        <w:t xml:space="preserve">, </w:t>
      </w:r>
      <w:proofErr w:type="spellStart"/>
      <w:r>
        <w:rPr>
          <w:rFonts w:cs="Arial"/>
          <w:lang w:val="es-ES"/>
        </w:rPr>
        <w:t>Belarús</w:t>
      </w:r>
      <w:proofErr w:type="spellEnd"/>
      <w:r>
        <w:rPr>
          <w:rFonts w:cs="Arial"/>
          <w:lang w:val="es-ES"/>
        </w:rPr>
        <w:t>, Croac</w:t>
      </w:r>
      <w:r w:rsidRPr="00262E44">
        <w:rPr>
          <w:rFonts w:cs="Arial"/>
          <w:lang w:val="es-ES"/>
        </w:rPr>
        <w:t xml:space="preserve">ia, Georgia, </w:t>
      </w:r>
      <w:r w:rsidRPr="006C7B27">
        <w:rPr>
          <w:lang w:val="es-ES"/>
        </w:rPr>
        <w:t>Kazajstán</w:t>
      </w:r>
      <w:r w:rsidRPr="00262E44">
        <w:rPr>
          <w:rFonts w:cs="Arial"/>
          <w:lang w:val="es-ES"/>
        </w:rPr>
        <w:t xml:space="preserve">, </w:t>
      </w:r>
      <w:r>
        <w:rPr>
          <w:rFonts w:cs="Arial"/>
          <w:lang w:val="es-ES"/>
        </w:rPr>
        <w:t xml:space="preserve">la República de </w:t>
      </w:r>
      <w:proofErr w:type="spellStart"/>
      <w:r>
        <w:rPr>
          <w:rFonts w:cs="Arial"/>
          <w:lang w:val="es-ES"/>
        </w:rPr>
        <w:t>Moldova</w:t>
      </w:r>
      <w:proofErr w:type="spellEnd"/>
      <w:r w:rsidRPr="00262E44">
        <w:rPr>
          <w:rFonts w:cs="Arial"/>
          <w:lang w:val="es-ES"/>
        </w:rPr>
        <w:t xml:space="preserve">, </w:t>
      </w:r>
      <w:r>
        <w:rPr>
          <w:rFonts w:cs="Arial"/>
          <w:lang w:val="es-ES"/>
        </w:rPr>
        <w:t>la Federación de Rusia</w:t>
      </w:r>
      <w:r w:rsidRPr="00262E44">
        <w:rPr>
          <w:rFonts w:cs="Arial"/>
          <w:lang w:val="es-ES"/>
        </w:rPr>
        <w:t xml:space="preserve">, Serbia, </w:t>
      </w:r>
      <w:r>
        <w:rPr>
          <w:rFonts w:cs="Arial"/>
          <w:lang w:val="es-ES"/>
        </w:rPr>
        <w:t>y Ucrania</w:t>
      </w:r>
      <w:r w:rsidRPr="00262E44">
        <w:rPr>
          <w:rFonts w:cs="Arial"/>
          <w:lang w:val="es-ES"/>
        </w:rPr>
        <w:t xml:space="preserve">.  </w:t>
      </w:r>
      <w:r w:rsidRPr="005F6B0B">
        <w:rPr>
          <w:rFonts w:cs="Arial"/>
          <w:lang w:val="es-ES"/>
        </w:rPr>
        <w:t xml:space="preserve">El objetivo de estos programas fue </w:t>
      </w:r>
      <w:r>
        <w:rPr>
          <w:rFonts w:cs="Arial"/>
          <w:lang w:val="es-ES"/>
        </w:rPr>
        <w:t>ampliar</w:t>
      </w:r>
      <w:r w:rsidRPr="005F6B0B">
        <w:rPr>
          <w:rFonts w:cs="Arial"/>
          <w:lang w:val="es-ES"/>
        </w:rPr>
        <w:t xml:space="preserve"> los conocimientos</w:t>
      </w:r>
      <w:r>
        <w:rPr>
          <w:rFonts w:cs="Arial"/>
          <w:lang w:val="es-ES"/>
        </w:rPr>
        <w:t xml:space="preserve"> de la</w:t>
      </w:r>
      <w:r w:rsidRPr="005F6B0B">
        <w:rPr>
          <w:rFonts w:cs="Arial"/>
          <w:lang w:val="es-ES"/>
        </w:rPr>
        <w:t xml:space="preserve">s participantes en cuestiones como la creatividad, innovación, protección de invenciones y gestión de los derechos de P.I., así como </w:t>
      </w:r>
      <w:r>
        <w:rPr>
          <w:rFonts w:cs="Arial"/>
          <w:lang w:val="es-ES"/>
        </w:rPr>
        <w:t>dotar a las participantes</w:t>
      </w:r>
      <w:r w:rsidRPr="005F6B0B">
        <w:rPr>
          <w:rFonts w:cs="Arial"/>
          <w:lang w:val="es-ES"/>
        </w:rPr>
        <w:t xml:space="preserve"> </w:t>
      </w:r>
      <w:r>
        <w:rPr>
          <w:rFonts w:cs="Arial"/>
          <w:lang w:val="es-ES"/>
        </w:rPr>
        <w:t xml:space="preserve">de </w:t>
      </w:r>
      <w:r w:rsidRPr="005F6B0B">
        <w:rPr>
          <w:rFonts w:cs="Arial"/>
          <w:lang w:val="es-ES"/>
        </w:rPr>
        <w:t xml:space="preserve">métodos de </w:t>
      </w:r>
      <w:r>
        <w:rPr>
          <w:rFonts w:cs="Arial"/>
          <w:lang w:val="es-ES"/>
        </w:rPr>
        <w:t>enseñanza válidos para divulgar sus conocimientos y habilidades en el ámbito nacional</w:t>
      </w:r>
      <w:r w:rsidRPr="000E1AEC">
        <w:rPr>
          <w:rFonts w:cs="Arial"/>
          <w:lang w:val="es-ES"/>
        </w:rPr>
        <w:t xml:space="preserve">.  </w:t>
      </w:r>
      <w:r w:rsidRPr="00E55910">
        <w:rPr>
          <w:rFonts w:cs="Arial"/>
          <w:lang w:val="es-ES"/>
        </w:rPr>
        <w:t>Asimismo, en marzo de 2014 y 2015, se celebraron con éxito la séptima y octava conferencia internacional sobre la innovación y la creatividad de las mujeres, que reunieron en total a unos 300 participantes de más de 20 países, en Varsovia (Polonia).</w:t>
      </w:r>
    </w:p>
    <w:p w:rsidR="0095318C" w:rsidRPr="00E55910" w:rsidRDefault="0095318C" w:rsidP="00DC1333">
      <w:pPr>
        <w:pStyle w:val="ListParagraph"/>
        <w:tabs>
          <w:tab w:val="left" w:pos="709"/>
        </w:tabs>
        <w:ind w:left="0"/>
        <w:jc w:val="both"/>
        <w:rPr>
          <w:rFonts w:cs="Arial"/>
          <w:lang w:val="es-ES"/>
        </w:rPr>
      </w:pPr>
    </w:p>
    <w:p w:rsidR="0095318C" w:rsidRPr="000C438F" w:rsidRDefault="0095318C" w:rsidP="008F7A06">
      <w:pPr>
        <w:pStyle w:val="ListParagraph"/>
        <w:numPr>
          <w:ilvl w:val="0"/>
          <w:numId w:val="56"/>
        </w:numPr>
        <w:tabs>
          <w:tab w:val="left" w:pos="709"/>
        </w:tabs>
        <w:ind w:left="0" w:firstLine="0"/>
        <w:jc w:val="both"/>
        <w:rPr>
          <w:bCs/>
          <w:sz w:val="22"/>
          <w:szCs w:val="22"/>
          <w:lang w:val="es-ES"/>
        </w:rPr>
      </w:pPr>
      <w:r w:rsidRPr="007B0B0F">
        <w:rPr>
          <w:lang w:val="es-ES"/>
        </w:rPr>
        <w:t>El programa 10 siguió desempeñando un papel fundamental en la aplicación de la Agenda de la OMPI para el Desarrollo en la cooperación con determinados países de Europa y Asia.</w:t>
      </w:r>
      <w:r w:rsidR="008F7A06">
        <w:rPr>
          <w:lang w:val="es-ES"/>
        </w:rPr>
        <w:t xml:space="preserve"> </w:t>
      </w:r>
      <w:r w:rsidRPr="007B0B0F">
        <w:rPr>
          <w:lang w:val="es-ES"/>
        </w:rPr>
        <w:t xml:space="preserve"> Concretamente, con respecto a las recomendaciones 1, 6, 12</w:t>
      </w:r>
      <w:r w:rsidR="008F7A06">
        <w:rPr>
          <w:lang w:val="es-ES"/>
        </w:rPr>
        <w:t>, 13</w:t>
      </w:r>
      <w:r w:rsidRPr="007B0B0F">
        <w:rPr>
          <w:lang w:val="es-ES"/>
        </w:rPr>
        <w:t xml:space="preserve"> y 14 de la Agenda para el Desarrollo, esto es, las relacionadas con las actividades de la OMPI en materia de asistencia técnica y fortalecimiento de capacidad, que siguieron </w:t>
      </w:r>
      <w:r>
        <w:rPr>
          <w:lang w:val="es-ES"/>
        </w:rPr>
        <w:t>guiando</w:t>
      </w:r>
      <w:r w:rsidRPr="007B0B0F">
        <w:rPr>
          <w:lang w:val="es-ES"/>
        </w:rPr>
        <w:t xml:space="preserve"> </w:t>
      </w:r>
      <w:r>
        <w:rPr>
          <w:lang w:val="es-ES"/>
        </w:rPr>
        <w:t>la labor del programa 10.</w:t>
      </w:r>
    </w:p>
    <w:p w:rsidR="0095318C" w:rsidRDefault="0095318C" w:rsidP="00DC1333">
      <w:pPr>
        <w:pStyle w:val="ListParagraph"/>
        <w:tabs>
          <w:tab w:val="left" w:pos="709"/>
        </w:tabs>
        <w:ind w:left="0"/>
        <w:jc w:val="both"/>
        <w:rPr>
          <w:rFonts w:cs="Arial"/>
          <w:lang w:val="es-ES"/>
        </w:rPr>
      </w:pPr>
    </w:p>
    <w:p w:rsidR="0095318C" w:rsidRPr="000C438F" w:rsidRDefault="0095318C" w:rsidP="00DC1333">
      <w:pPr>
        <w:pStyle w:val="ListParagraph"/>
        <w:tabs>
          <w:tab w:val="left" w:pos="709"/>
        </w:tabs>
        <w:ind w:left="0"/>
        <w:jc w:val="both"/>
        <w:rPr>
          <w:rFonts w:cs="Arial"/>
          <w:lang w:val="es-ES"/>
        </w:rPr>
      </w:pPr>
    </w:p>
    <w:p w:rsidR="0095318C" w:rsidRPr="00FE358A" w:rsidRDefault="008F7CBE" w:rsidP="00DC1333">
      <w:pPr>
        <w:keepNext/>
        <w:rPr>
          <w:szCs w:val="22"/>
        </w:rPr>
      </w:pPr>
      <w:r w:rsidRPr="008F7CBE">
        <w:rPr>
          <w:sz w:val="20"/>
          <w:szCs w:val="22"/>
        </w:rPr>
        <w:lastRenderedPageBreak/>
        <w:t>DATOS SOBRE EL RENDIMIENTO</w:t>
      </w:r>
    </w:p>
    <w:p w:rsidR="0095318C" w:rsidRDefault="0095318C" w:rsidP="00DC1333">
      <w:pPr>
        <w:keepNext/>
        <w:rPr>
          <w:b/>
        </w:rPr>
      </w:pPr>
    </w:p>
    <w:tbl>
      <w:tblPr>
        <w:tblW w:w="974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37"/>
        <w:gridCol w:w="2420"/>
        <w:gridCol w:w="1570"/>
        <w:gridCol w:w="2411"/>
        <w:gridCol w:w="12"/>
        <w:gridCol w:w="1197"/>
      </w:tblGrid>
      <w:tr w:rsidR="0095318C" w:rsidRPr="00267E8F" w:rsidTr="00DC1333">
        <w:trPr>
          <w:cantSplit/>
          <w:trHeight w:val="441"/>
        </w:trPr>
        <w:tc>
          <w:tcPr>
            <w:tcW w:w="9747" w:type="dxa"/>
            <w:gridSpan w:val="6"/>
            <w:tcBorders>
              <w:top w:val="single" w:sz="4" w:space="0" w:color="auto"/>
              <w:bottom w:val="single" w:sz="4" w:space="0" w:color="auto"/>
            </w:tcBorders>
            <w:shd w:val="clear" w:color="auto" w:fill="C6D9F1" w:themeFill="text2" w:themeFillTint="33"/>
            <w:vAlign w:val="center"/>
          </w:tcPr>
          <w:p w:rsidR="0095318C" w:rsidRPr="006451DF" w:rsidRDefault="0095318C" w:rsidP="00DC1333">
            <w:pPr>
              <w:keepNext/>
              <w:keepLines/>
              <w:ind w:left="1985" w:hanging="1985"/>
              <w:rPr>
                <w:b/>
                <w:bCs/>
                <w:sz w:val="16"/>
                <w:szCs w:val="16"/>
              </w:rPr>
            </w:pPr>
            <w:r w:rsidRPr="006451DF">
              <w:rPr>
                <w:b/>
                <w:bCs/>
                <w:sz w:val="16"/>
                <w:szCs w:val="16"/>
              </w:rPr>
              <w:t>Resultado previsto:</w:t>
            </w:r>
            <w:r w:rsidRPr="006451DF">
              <w:rPr>
                <w:b/>
                <w:bCs/>
                <w:sz w:val="16"/>
                <w:szCs w:val="16"/>
              </w:rPr>
              <w:tab/>
            </w:r>
            <w:r w:rsidRPr="006451DF">
              <w:rPr>
                <w:sz w:val="16"/>
                <w:szCs w:val="16"/>
                <w:lang w:bidi="th-TH"/>
              </w:rPr>
              <w:t xml:space="preserve">I.2 </w:t>
            </w:r>
            <w:r w:rsidRPr="006451DF">
              <w:rPr>
                <w:sz w:val="16"/>
                <w:szCs w:val="16"/>
              </w:rPr>
              <w:t>Marcos de P.I. adaptados y equilibrados en el ámbito legislativo, reglamentario y de política</w:t>
            </w:r>
          </w:p>
        </w:tc>
      </w:tr>
      <w:tr w:rsidR="0095318C" w:rsidRPr="001656CD" w:rsidTr="00DC1333">
        <w:trPr>
          <w:cantSplit/>
        </w:trPr>
        <w:tc>
          <w:tcPr>
            <w:tcW w:w="2137" w:type="dxa"/>
            <w:tcBorders>
              <w:top w:val="single" w:sz="4" w:space="0" w:color="auto"/>
            </w:tcBorders>
            <w:shd w:val="clear" w:color="auto" w:fill="auto"/>
            <w:vAlign w:val="center"/>
          </w:tcPr>
          <w:p w:rsidR="0095318C" w:rsidRPr="001656CD" w:rsidRDefault="0095318C" w:rsidP="00DC1333">
            <w:pPr>
              <w:keepNext/>
              <w:rPr>
                <w:sz w:val="16"/>
                <w:szCs w:val="16"/>
              </w:rPr>
            </w:pPr>
            <w:r>
              <w:rPr>
                <w:b/>
                <w:bCs/>
                <w:sz w:val="16"/>
                <w:szCs w:val="16"/>
              </w:rPr>
              <w:t>Indicadores de rendimiento</w:t>
            </w:r>
          </w:p>
        </w:tc>
        <w:tc>
          <w:tcPr>
            <w:tcW w:w="2420" w:type="dxa"/>
            <w:tcBorders>
              <w:top w:val="single" w:sz="4" w:space="0" w:color="auto"/>
            </w:tcBorders>
            <w:shd w:val="clear" w:color="auto" w:fill="auto"/>
            <w:vAlign w:val="center"/>
          </w:tcPr>
          <w:p w:rsidR="0095318C" w:rsidRPr="001656CD" w:rsidRDefault="0095318C" w:rsidP="00DC1333">
            <w:pPr>
              <w:keepNext/>
              <w:rPr>
                <w:b/>
                <w:bCs/>
                <w:sz w:val="16"/>
                <w:szCs w:val="16"/>
              </w:rPr>
            </w:pPr>
            <w:r>
              <w:rPr>
                <w:b/>
                <w:bCs/>
                <w:sz w:val="16"/>
                <w:szCs w:val="16"/>
              </w:rPr>
              <w:t>Referencia</w:t>
            </w:r>
          </w:p>
        </w:tc>
        <w:tc>
          <w:tcPr>
            <w:tcW w:w="1570" w:type="dxa"/>
            <w:tcBorders>
              <w:top w:val="single" w:sz="4" w:space="0" w:color="auto"/>
            </w:tcBorders>
            <w:shd w:val="clear" w:color="auto" w:fill="auto"/>
            <w:tcMar>
              <w:top w:w="110" w:type="dxa"/>
            </w:tcMar>
            <w:vAlign w:val="center"/>
          </w:tcPr>
          <w:p w:rsidR="0095318C" w:rsidRPr="00083772" w:rsidRDefault="0095318C" w:rsidP="00DC1333">
            <w:pPr>
              <w:keepNext/>
              <w:rPr>
                <w:b/>
                <w:sz w:val="16"/>
                <w:szCs w:val="16"/>
              </w:rPr>
            </w:pPr>
            <w:r>
              <w:rPr>
                <w:b/>
                <w:sz w:val="16"/>
                <w:szCs w:val="16"/>
              </w:rPr>
              <w:t>Objetivos</w:t>
            </w:r>
          </w:p>
        </w:tc>
        <w:tc>
          <w:tcPr>
            <w:tcW w:w="2423" w:type="dxa"/>
            <w:gridSpan w:val="2"/>
            <w:tcBorders>
              <w:top w:val="single" w:sz="4" w:space="0" w:color="auto"/>
            </w:tcBorders>
            <w:shd w:val="clear" w:color="auto" w:fill="FFFFFF"/>
            <w:tcMar>
              <w:top w:w="110" w:type="dxa"/>
            </w:tcMar>
            <w:vAlign w:val="center"/>
          </w:tcPr>
          <w:p w:rsidR="0095318C" w:rsidRPr="001656CD" w:rsidRDefault="0095318C" w:rsidP="00DC1333">
            <w:pPr>
              <w:keepNext/>
              <w:rPr>
                <w:sz w:val="16"/>
                <w:szCs w:val="16"/>
              </w:rPr>
            </w:pPr>
            <w:r w:rsidRPr="001656CD">
              <w:rPr>
                <w:b/>
                <w:bCs/>
                <w:sz w:val="16"/>
                <w:szCs w:val="16"/>
              </w:rPr>
              <w:t>Datos sobre el rendimiento</w:t>
            </w:r>
          </w:p>
        </w:tc>
        <w:tc>
          <w:tcPr>
            <w:tcW w:w="1197" w:type="dxa"/>
            <w:tcBorders>
              <w:top w:val="single" w:sz="4" w:space="0" w:color="auto"/>
            </w:tcBorders>
            <w:shd w:val="clear" w:color="auto" w:fill="auto"/>
            <w:tcMar>
              <w:top w:w="110" w:type="dxa"/>
            </w:tcMar>
            <w:vAlign w:val="center"/>
          </w:tcPr>
          <w:p w:rsidR="0095318C" w:rsidRPr="00083772" w:rsidRDefault="0095318C" w:rsidP="00DC1333">
            <w:pPr>
              <w:keepNext/>
              <w:keepLines/>
              <w:jc w:val="center"/>
              <w:rPr>
                <w:b/>
                <w:bCs/>
                <w:sz w:val="16"/>
                <w:szCs w:val="16"/>
              </w:rPr>
            </w:pPr>
            <w:r>
              <w:rPr>
                <w:b/>
                <w:bCs/>
                <w:sz w:val="16"/>
                <w:szCs w:val="16"/>
              </w:rPr>
              <w:t>C</w:t>
            </w:r>
            <w:r w:rsidRPr="001656CD">
              <w:rPr>
                <w:b/>
                <w:bCs/>
                <w:sz w:val="16"/>
                <w:szCs w:val="16"/>
              </w:rPr>
              <w:t>lave de los colores</w:t>
            </w:r>
          </w:p>
        </w:tc>
      </w:tr>
      <w:tr w:rsidR="0095318C" w:rsidRPr="001656CD" w:rsidTr="00DC1333">
        <w:trPr>
          <w:cantSplit/>
        </w:trPr>
        <w:tc>
          <w:tcPr>
            <w:tcW w:w="2137" w:type="dxa"/>
            <w:tcBorders>
              <w:bottom w:val="single" w:sz="4" w:space="0" w:color="auto"/>
            </w:tcBorders>
            <w:shd w:val="clear" w:color="auto" w:fill="auto"/>
          </w:tcPr>
          <w:p w:rsidR="0095318C" w:rsidRPr="006451DF" w:rsidRDefault="0095318C" w:rsidP="00DC1333">
            <w:pPr>
              <w:keepNext/>
              <w:rPr>
                <w:sz w:val="16"/>
                <w:szCs w:val="16"/>
                <w:lang w:bidi="th-TH"/>
              </w:rPr>
            </w:pPr>
            <w:r w:rsidRPr="006451DF">
              <w:rPr>
                <w:sz w:val="16"/>
                <w:szCs w:val="16"/>
              </w:rPr>
              <w:t>Número de países que han actualizado s</w:t>
            </w:r>
            <w:r>
              <w:rPr>
                <w:sz w:val="16"/>
                <w:szCs w:val="16"/>
              </w:rPr>
              <w:t>u legislación o sus reglamentos.</w:t>
            </w:r>
          </w:p>
        </w:tc>
        <w:tc>
          <w:tcPr>
            <w:tcW w:w="2420" w:type="dxa"/>
            <w:tcBorders>
              <w:bottom w:val="single" w:sz="4" w:space="0" w:color="auto"/>
            </w:tcBorders>
            <w:shd w:val="clear" w:color="auto" w:fill="auto"/>
          </w:tcPr>
          <w:p w:rsidR="0095318C" w:rsidRPr="006451DF" w:rsidRDefault="0095318C" w:rsidP="00DC1333">
            <w:pPr>
              <w:keepNext/>
              <w:rPr>
                <w:color w:val="002060"/>
                <w:sz w:val="16"/>
                <w:szCs w:val="16"/>
              </w:rPr>
            </w:pPr>
            <w:r w:rsidRPr="006451DF">
              <w:rPr>
                <w:i/>
                <w:color w:val="002060"/>
                <w:sz w:val="16"/>
                <w:szCs w:val="16"/>
              </w:rPr>
              <w:t xml:space="preserve">Referencia actualizada a fines de 2013: </w:t>
            </w:r>
            <w:r>
              <w:rPr>
                <w:i/>
                <w:color w:val="002060"/>
                <w:sz w:val="16"/>
                <w:szCs w:val="16"/>
              </w:rPr>
              <w:t xml:space="preserve"> </w:t>
            </w:r>
            <w:r w:rsidRPr="006451DF">
              <w:rPr>
                <w:color w:val="002060"/>
                <w:sz w:val="16"/>
                <w:szCs w:val="16"/>
              </w:rPr>
              <w:t xml:space="preserve">18 en total: Albania, Armenia, </w:t>
            </w:r>
            <w:proofErr w:type="spellStart"/>
            <w:r w:rsidRPr="006451DF">
              <w:rPr>
                <w:color w:val="002060"/>
                <w:sz w:val="16"/>
                <w:szCs w:val="16"/>
              </w:rPr>
              <w:t>Belarús</w:t>
            </w:r>
            <w:proofErr w:type="spellEnd"/>
            <w:r w:rsidRPr="006451DF">
              <w:rPr>
                <w:color w:val="002060"/>
                <w:sz w:val="16"/>
                <w:szCs w:val="16"/>
              </w:rPr>
              <w:t>, Bosnia y Herzegovina, Polonia, Rumania, Eslovenia y Tayikistán actualizaron su legislación nacional de P.I. en 2012/13.</w:t>
            </w:r>
          </w:p>
          <w:p w:rsidR="0095318C" w:rsidRPr="006451DF" w:rsidRDefault="0095318C" w:rsidP="00DC1333">
            <w:pPr>
              <w:keepNext/>
              <w:rPr>
                <w:color w:val="002060"/>
                <w:sz w:val="16"/>
                <w:szCs w:val="16"/>
              </w:rPr>
            </w:pPr>
          </w:p>
          <w:p w:rsidR="0095318C" w:rsidRPr="006451DF" w:rsidRDefault="0095318C" w:rsidP="00DC1333">
            <w:pPr>
              <w:keepNext/>
              <w:rPr>
                <w:color w:val="002060"/>
                <w:sz w:val="16"/>
                <w:szCs w:val="16"/>
              </w:rPr>
            </w:pPr>
            <w:r w:rsidRPr="006451DF">
              <w:rPr>
                <w:color w:val="002060"/>
                <w:sz w:val="16"/>
                <w:szCs w:val="16"/>
              </w:rPr>
              <w:t>Kazajstán y la Federación de Rusia han iniciado el proceso para modificar su legislación.</w:t>
            </w:r>
          </w:p>
          <w:p w:rsidR="0095318C" w:rsidRPr="006451DF" w:rsidRDefault="0095318C" w:rsidP="00DC1333">
            <w:pPr>
              <w:keepNext/>
              <w:rPr>
                <w:i/>
                <w:sz w:val="8"/>
                <w:szCs w:val="8"/>
              </w:rPr>
            </w:pPr>
          </w:p>
          <w:p w:rsidR="0095318C" w:rsidRPr="006451DF" w:rsidRDefault="0095318C" w:rsidP="00DC1333">
            <w:pPr>
              <w:keepNext/>
              <w:rPr>
                <w:sz w:val="16"/>
                <w:szCs w:val="16"/>
              </w:rPr>
            </w:pPr>
            <w:r w:rsidRPr="006451DF">
              <w:rPr>
                <w:i/>
                <w:sz w:val="16"/>
                <w:szCs w:val="16"/>
              </w:rPr>
              <w:t xml:space="preserve">Referencia original en el presupuesto de 2014/15: </w:t>
            </w:r>
            <w:r w:rsidR="008F7A06">
              <w:rPr>
                <w:sz w:val="16"/>
                <w:szCs w:val="16"/>
              </w:rPr>
              <w:t>18 a finales de 2013</w:t>
            </w:r>
          </w:p>
          <w:p w:rsidR="0095318C" w:rsidRPr="006451DF" w:rsidRDefault="0095318C" w:rsidP="00DC1333">
            <w:pPr>
              <w:keepNext/>
              <w:rPr>
                <w:sz w:val="16"/>
                <w:szCs w:val="16"/>
              </w:rPr>
            </w:pPr>
          </w:p>
        </w:tc>
        <w:tc>
          <w:tcPr>
            <w:tcW w:w="1570" w:type="dxa"/>
            <w:tcBorders>
              <w:bottom w:val="single" w:sz="4" w:space="0" w:color="auto"/>
            </w:tcBorders>
            <w:shd w:val="clear" w:color="auto" w:fill="auto"/>
            <w:tcMar>
              <w:top w:w="110" w:type="dxa"/>
            </w:tcMar>
          </w:tcPr>
          <w:p w:rsidR="0095318C" w:rsidRPr="00083772" w:rsidRDefault="008F7A06" w:rsidP="00DC1333">
            <w:pPr>
              <w:keepNext/>
              <w:rPr>
                <w:sz w:val="16"/>
                <w:szCs w:val="16"/>
              </w:rPr>
            </w:pPr>
            <w:r>
              <w:rPr>
                <w:sz w:val="16"/>
                <w:szCs w:val="16"/>
              </w:rPr>
              <w:t>4 países adicionales</w:t>
            </w:r>
          </w:p>
        </w:tc>
        <w:tc>
          <w:tcPr>
            <w:tcW w:w="2423" w:type="dxa"/>
            <w:gridSpan w:val="2"/>
            <w:tcBorders>
              <w:bottom w:val="single" w:sz="4" w:space="0" w:color="auto"/>
            </w:tcBorders>
            <w:shd w:val="clear" w:color="auto" w:fill="FFFFFF"/>
            <w:tcMar>
              <w:top w:w="110" w:type="dxa"/>
            </w:tcMar>
          </w:tcPr>
          <w:p w:rsidR="0095318C" w:rsidRPr="006451DF" w:rsidRDefault="0095318C" w:rsidP="00DC1333">
            <w:pPr>
              <w:keepNext/>
              <w:rPr>
                <w:sz w:val="16"/>
                <w:szCs w:val="16"/>
              </w:rPr>
            </w:pPr>
            <w:r w:rsidRPr="006451DF">
              <w:rPr>
                <w:sz w:val="16"/>
                <w:szCs w:val="16"/>
              </w:rPr>
              <w:t xml:space="preserve">9 (Kazajstán, Kirguistán, Letonia, Lituania, Montenegro, República de </w:t>
            </w:r>
            <w:proofErr w:type="spellStart"/>
            <w:r w:rsidRPr="006451DF">
              <w:rPr>
                <w:sz w:val="16"/>
                <w:szCs w:val="16"/>
              </w:rPr>
              <w:t>Moldova</w:t>
            </w:r>
            <w:proofErr w:type="spellEnd"/>
            <w:r w:rsidRPr="006451DF">
              <w:rPr>
                <w:sz w:val="16"/>
                <w:szCs w:val="16"/>
              </w:rPr>
              <w:t>, Federación de Rusia, Tayikistán, Turkmenistán)</w:t>
            </w:r>
            <w:r>
              <w:rPr>
                <w:sz w:val="16"/>
                <w:szCs w:val="16"/>
              </w:rPr>
              <w:t>.</w:t>
            </w:r>
          </w:p>
        </w:tc>
        <w:tc>
          <w:tcPr>
            <w:tcW w:w="1197" w:type="dxa"/>
            <w:tcBorders>
              <w:bottom w:val="single" w:sz="4" w:space="0" w:color="auto"/>
            </w:tcBorders>
            <w:shd w:val="clear" w:color="auto" w:fill="auto"/>
            <w:tcMar>
              <w:top w:w="110" w:type="dxa"/>
            </w:tcMar>
          </w:tcPr>
          <w:p w:rsidR="0095318C" w:rsidRPr="00C5428C" w:rsidRDefault="0095318C" w:rsidP="00DC1333">
            <w:pPr>
              <w:keepNext/>
              <w:keepLines/>
              <w:jc w:val="center"/>
              <w:rPr>
                <w:b/>
                <w:bCs/>
                <w:color w:val="00B050"/>
                <w:sz w:val="16"/>
                <w:szCs w:val="16"/>
              </w:rPr>
            </w:pPr>
            <w:r>
              <w:rPr>
                <w:b/>
                <w:bCs/>
                <w:color w:val="00B050"/>
                <w:sz w:val="16"/>
                <w:szCs w:val="16"/>
              </w:rPr>
              <w:t>Plenamente logrado</w:t>
            </w:r>
          </w:p>
        </w:tc>
      </w:tr>
      <w:tr w:rsidR="0095318C" w:rsidRPr="00267E8F" w:rsidTr="00DC1333">
        <w:trPr>
          <w:cantSplit/>
          <w:trHeight w:val="369"/>
        </w:trPr>
        <w:tc>
          <w:tcPr>
            <w:tcW w:w="9747" w:type="dxa"/>
            <w:gridSpan w:val="6"/>
            <w:tcBorders>
              <w:top w:val="single" w:sz="4" w:space="0" w:color="auto"/>
              <w:bottom w:val="single" w:sz="4" w:space="0" w:color="auto"/>
            </w:tcBorders>
            <w:shd w:val="clear" w:color="auto" w:fill="C6D9F1" w:themeFill="text2" w:themeFillTint="33"/>
            <w:vAlign w:val="center"/>
          </w:tcPr>
          <w:p w:rsidR="0095318C" w:rsidRPr="005C1235" w:rsidRDefault="0095318C" w:rsidP="00DC1333">
            <w:pPr>
              <w:keepNext/>
              <w:keepLines/>
              <w:ind w:left="1985" w:hanging="1985"/>
              <w:rPr>
                <w:b/>
                <w:bCs/>
                <w:sz w:val="16"/>
                <w:szCs w:val="16"/>
              </w:rPr>
            </w:pPr>
            <w:r w:rsidRPr="005C1235">
              <w:rPr>
                <w:b/>
                <w:bCs/>
                <w:sz w:val="16"/>
                <w:szCs w:val="16"/>
              </w:rPr>
              <w:t>Resultado previsto:</w:t>
            </w:r>
            <w:r w:rsidRPr="005C1235">
              <w:rPr>
                <w:b/>
                <w:bCs/>
                <w:sz w:val="16"/>
                <w:szCs w:val="16"/>
              </w:rPr>
              <w:tab/>
            </w:r>
            <w:r w:rsidRPr="005C1235">
              <w:rPr>
                <w:sz w:val="16"/>
                <w:szCs w:val="16"/>
                <w:lang w:bidi="th-TH"/>
              </w:rPr>
              <w:t xml:space="preserve">II.1 </w:t>
            </w:r>
            <w:r w:rsidRPr="007C38D0">
              <w:rPr>
                <w:sz w:val="16"/>
                <w:szCs w:val="16"/>
              </w:rPr>
              <w:t>Fomento del uso</w:t>
            </w:r>
            <w:r w:rsidRPr="005C1235">
              <w:rPr>
                <w:sz w:val="16"/>
                <w:szCs w:val="16"/>
              </w:rPr>
              <w:t xml:space="preserve"> de la vía del PCT para la presentación de solicitudes internacionales de patente</w:t>
            </w:r>
          </w:p>
        </w:tc>
      </w:tr>
      <w:tr w:rsidR="0095318C" w:rsidRPr="001656CD" w:rsidTr="00DC1333">
        <w:trPr>
          <w:cantSplit/>
        </w:trPr>
        <w:tc>
          <w:tcPr>
            <w:tcW w:w="2137" w:type="dxa"/>
            <w:tcBorders>
              <w:top w:val="single" w:sz="4" w:space="0" w:color="auto"/>
            </w:tcBorders>
            <w:shd w:val="clear" w:color="auto" w:fill="auto"/>
            <w:vAlign w:val="center"/>
          </w:tcPr>
          <w:p w:rsidR="0095318C" w:rsidRPr="001656CD" w:rsidRDefault="0095318C" w:rsidP="00DC1333">
            <w:pPr>
              <w:rPr>
                <w:sz w:val="16"/>
                <w:szCs w:val="16"/>
              </w:rPr>
            </w:pPr>
            <w:r>
              <w:rPr>
                <w:b/>
                <w:bCs/>
                <w:sz w:val="16"/>
                <w:szCs w:val="16"/>
              </w:rPr>
              <w:t>Indicadores de rendimiento</w:t>
            </w:r>
          </w:p>
        </w:tc>
        <w:tc>
          <w:tcPr>
            <w:tcW w:w="2420" w:type="dxa"/>
            <w:tcBorders>
              <w:top w:val="single" w:sz="4" w:space="0" w:color="auto"/>
            </w:tcBorders>
            <w:shd w:val="clear" w:color="auto" w:fill="auto"/>
            <w:vAlign w:val="center"/>
          </w:tcPr>
          <w:p w:rsidR="0095318C" w:rsidRPr="001656CD" w:rsidRDefault="0095318C" w:rsidP="00DC1333">
            <w:pPr>
              <w:rPr>
                <w:b/>
                <w:bCs/>
                <w:sz w:val="16"/>
                <w:szCs w:val="16"/>
              </w:rPr>
            </w:pPr>
            <w:r>
              <w:rPr>
                <w:b/>
                <w:bCs/>
                <w:sz w:val="16"/>
                <w:szCs w:val="16"/>
              </w:rPr>
              <w:t>Referencia</w:t>
            </w:r>
          </w:p>
        </w:tc>
        <w:tc>
          <w:tcPr>
            <w:tcW w:w="1570" w:type="dxa"/>
            <w:tcBorders>
              <w:top w:val="single" w:sz="4" w:space="0" w:color="auto"/>
            </w:tcBorders>
            <w:shd w:val="clear" w:color="auto" w:fill="auto"/>
            <w:tcMar>
              <w:top w:w="110" w:type="dxa"/>
            </w:tcMar>
            <w:vAlign w:val="center"/>
          </w:tcPr>
          <w:p w:rsidR="0095318C" w:rsidRPr="00083772" w:rsidRDefault="0095318C" w:rsidP="00DC1333">
            <w:pPr>
              <w:rPr>
                <w:b/>
                <w:sz w:val="16"/>
                <w:szCs w:val="16"/>
              </w:rPr>
            </w:pPr>
            <w:r>
              <w:rPr>
                <w:b/>
                <w:sz w:val="16"/>
                <w:szCs w:val="16"/>
              </w:rPr>
              <w:t>Objetivos</w:t>
            </w:r>
          </w:p>
        </w:tc>
        <w:tc>
          <w:tcPr>
            <w:tcW w:w="2423" w:type="dxa"/>
            <w:gridSpan w:val="2"/>
            <w:tcBorders>
              <w:top w:val="single" w:sz="4" w:space="0" w:color="auto"/>
            </w:tcBorders>
            <w:shd w:val="clear" w:color="auto" w:fill="FFFFFF"/>
            <w:tcMar>
              <w:top w:w="110" w:type="dxa"/>
            </w:tcMar>
            <w:vAlign w:val="center"/>
          </w:tcPr>
          <w:p w:rsidR="0095318C" w:rsidRPr="001656CD" w:rsidRDefault="0095318C" w:rsidP="00DC1333">
            <w:pPr>
              <w:rPr>
                <w:sz w:val="16"/>
                <w:szCs w:val="16"/>
              </w:rPr>
            </w:pPr>
            <w:r w:rsidRPr="001656CD">
              <w:rPr>
                <w:b/>
                <w:bCs/>
                <w:sz w:val="16"/>
                <w:szCs w:val="16"/>
              </w:rPr>
              <w:t>Datos sobre el rendimiento</w:t>
            </w:r>
          </w:p>
        </w:tc>
        <w:tc>
          <w:tcPr>
            <w:tcW w:w="1197" w:type="dxa"/>
            <w:tcBorders>
              <w:top w:val="single" w:sz="4" w:space="0" w:color="auto"/>
            </w:tcBorders>
            <w:shd w:val="clear" w:color="auto" w:fill="auto"/>
            <w:tcMar>
              <w:top w:w="110" w:type="dxa"/>
            </w:tcMar>
            <w:vAlign w:val="center"/>
          </w:tcPr>
          <w:p w:rsidR="0095318C" w:rsidRPr="00083772" w:rsidRDefault="0095318C" w:rsidP="00DC1333">
            <w:pPr>
              <w:keepNext/>
              <w:keepLines/>
              <w:jc w:val="center"/>
              <w:rPr>
                <w:b/>
                <w:bCs/>
                <w:sz w:val="16"/>
                <w:szCs w:val="16"/>
              </w:rPr>
            </w:pPr>
            <w:r>
              <w:rPr>
                <w:b/>
                <w:bCs/>
                <w:sz w:val="16"/>
                <w:szCs w:val="16"/>
              </w:rPr>
              <w:t>C</w:t>
            </w:r>
            <w:r w:rsidRPr="001656CD">
              <w:rPr>
                <w:b/>
                <w:bCs/>
                <w:sz w:val="16"/>
                <w:szCs w:val="16"/>
              </w:rPr>
              <w:t>lave de los colores</w:t>
            </w:r>
          </w:p>
        </w:tc>
      </w:tr>
      <w:tr w:rsidR="0095318C" w:rsidRPr="001656CD" w:rsidTr="00DC1333">
        <w:trPr>
          <w:cantSplit/>
        </w:trPr>
        <w:tc>
          <w:tcPr>
            <w:tcW w:w="2137" w:type="dxa"/>
            <w:tcBorders>
              <w:bottom w:val="single" w:sz="4" w:space="0" w:color="auto"/>
            </w:tcBorders>
            <w:shd w:val="clear" w:color="auto" w:fill="auto"/>
          </w:tcPr>
          <w:p w:rsidR="0095318C" w:rsidRPr="005C1235" w:rsidRDefault="0095318C" w:rsidP="00DC1333">
            <w:pPr>
              <w:rPr>
                <w:sz w:val="16"/>
                <w:szCs w:val="16"/>
              </w:rPr>
            </w:pPr>
            <w:r w:rsidRPr="005C1235">
              <w:rPr>
                <w:sz w:val="16"/>
                <w:szCs w:val="16"/>
              </w:rPr>
              <w:t>Número de solicitudes PCT procedentes de países con economías en transición y países desarrollados.</w:t>
            </w:r>
          </w:p>
        </w:tc>
        <w:tc>
          <w:tcPr>
            <w:tcW w:w="2420" w:type="dxa"/>
            <w:tcBorders>
              <w:bottom w:val="single" w:sz="4" w:space="0" w:color="auto"/>
            </w:tcBorders>
            <w:shd w:val="clear" w:color="auto" w:fill="auto"/>
          </w:tcPr>
          <w:p w:rsidR="0095318C" w:rsidRPr="00A30FA0" w:rsidRDefault="0095318C" w:rsidP="00DC1333">
            <w:pPr>
              <w:rPr>
                <w:i/>
                <w:color w:val="002060"/>
                <w:sz w:val="16"/>
                <w:szCs w:val="16"/>
              </w:rPr>
            </w:pPr>
            <w:r w:rsidRPr="00A30FA0">
              <w:rPr>
                <w:i/>
                <w:color w:val="002060"/>
                <w:sz w:val="16"/>
                <w:szCs w:val="16"/>
              </w:rPr>
              <w:t xml:space="preserve">Referencia actualizada a fines de 2013: </w:t>
            </w:r>
          </w:p>
          <w:p w:rsidR="0095318C" w:rsidRPr="00BD70D1" w:rsidRDefault="0095318C" w:rsidP="00DC1333">
            <w:pPr>
              <w:rPr>
                <w:color w:val="002060"/>
                <w:sz w:val="16"/>
                <w:szCs w:val="16"/>
              </w:rPr>
            </w:pPr>
            <w:r w:rsidRPr="00BD70D1">
              <w:rPr>
                <w:color w:val="002060"/>
                <w:sz w:val="16"/>
                <w:szCs w:val="16"/>
              </w:rPr>
              <w:t xml:space="preserve">166.517 (2013) </w:t>
            </w:r>
          </w:p>
          <w:p w:rsidR="0095318C" w:rsidRPr="00BD70D1" w:rsidRDefault="0095318C" w:rsidP="00DC1333">
            <w:pPr>
              <w:rPr>
                <w:color w:val="002060"/>
                <w:sz w:val="16"/>
                <w:szCs w:val="16"/>
              </w:rPr>
            </w:pPr>
            <w:r w:rsidRPr="00BD70D1">
              <w:rPr>
                <w:color w:val="002060"/>
                <w:sz w:val="16"/>
                <w:szCs w:val="16"/>
              </w:rPr>
              <w:t xml:space="preserve">160.309 (2012) </w:t>
            </w:r>
          </w:p>
          <w:p w:rsidR="0095318C" w:rsidRPr="00BD70D1" w:rsidRDefault="0095318C" w:rsidP="00DC1333">
            <w:pPr>
              <w:pStyle w:val="ListParagraph"/>
              <w:ind w:left="360"/>
              <w:rPr>
                <w:rFonts w:cs="Arial"/>
                <w:i/>
                <w:sz w:val="8"/>
                <w:szCs w:val="8"/>
                <w:lang w:val="es-ES"/>
              </w:rPr>
            </w:pPr>
          </w:p>
          <w:p w:rsidR="0095318C" w:rsidRDefault="0095318C" w:rsidP="00DC1333">
            <w:pPr>
              <w:rPr>
                <w:sz w:val="16"/>
                <w:szCs w:val="16"/>
              </w:rPr>
            </w:pPr>
            <w:r w:rsidRPr="00A30FA0">
              <w:rPr>
                <w:i/>
                <w:sz w:val="16"/>
                <w:szCs w:val="16"/>
              </w:rPr>
              <w:t>Referencia original</w:t>
            </w:r>
            <w:r w:rsidR="001F7360">
              <w:rPr>
                <w:i/>
                <w:sz w:val="16"/>
                <w:szCs w:val="16"/>
              </w:rPr>
              <w:t xml:space="preserve"> en el presupuesto de</w:t>
            </w:r>
            <w:r w:rsidRPr="00A30FA0">
              <w:rPr>
                <w:i/>
                <w:sz w:val="16"/>
                <w:szCs w:val="16"/>
              </w:rPr>
              <w:t xml:space="preserve"> </w:t>
            </w:r>
            <w:r w:rsidRPr="00083772">
              <w:rPr>
                <w:i/>
                <w:sz w:val="16"/>
                <w:szCs w:val="16"/>
              </w:rPr>
              <w:t xml:space="preserve">2014/15: </w:t>
            </w:r>
            <w:r w:rsidRPr="008F7A06">
              <w:rPr>
                <w:sz w:val="16"/>
                <w:szCs w:val="16"/>
              </w:rPr>
              <w:t>Por determin</w:t>
            </w:r>
            <w:r w:rsidR="001F7360" w:rsidRPr="008F7A06">
              <w:rPr>
                <w:sz w:val="16"/>
                <w:szCs w:val="16"/>
              </w:rPr>
              <w:t>a</w:t>
            </w:r>
            <w:r w:rsidR="008F7A06">
              <w:rPr>
                <w:sz w:val="16"/>
                <w:szCs w:val="16"/>
              </w:rPr>
              <w:t>r</w:t>
            </w:r>
          </w:p>
          <w:p w:rsidR="0095318C" w:rsidRPr="001656CD" w:rsidRDefault="0095318C" w:rsidP="00DC1333">
            <w:pPr>
              <w:rPr>
                <w:sz w:val="16"/>
                <w:szCs w:val="16"/>
                <w:lang w:bidi="th-TH"/>
              </w:rPr>
            </w:pPr>
          </w:p>
        </w:tc>
        <w:tc>
          <w:tcPr>
            <w:tcW w:w="1570" w:type="dxa"/>
            <w:tcBorders>
              <w:bottom w:val="single" w:sz="4" w:space="0" w:color="auto"/>
            </w:tcBorders>
            <w:shd w:val="clear" w:color="auto" w:fill="auto"/>
            <w:tcMar>
              <w:top w:w="110" w:type="dxa"/>
            </w:tcMar>
          </w:tcPr>
          <w:p w:rsidR="0095318C" w:rsidRPr="00083772" w:rsidRDefault="0095318C" w:rsidP="00DC1333">
            <w:pPr>
              <w:rPr>
                <w:sz w:val="16"/>
                <w:szCs w:val="16"/>
              </w:rPr>
            </w:pPr>
            <w:r>
              <w:rPr>
                <w:sz w:val="16"/>
                <w:szCs w:val="16"/>
              </w:rPr>
              <w:t>Aumento del 2%</w:t>
            </w:r>
          </w:p>
        </w:tc>
        <w:tc>
          <w:tcPr>
            <w:tcW w:w="2423" w:type="dxa"/>
            <w:gridSpan w:val="2"/>
            <w:tcBorders>
              <w:bottom w:val="single" w:sz="4" w:space="0" w:color="auto"/>
            </w:tcBorders>
            <w:shd w:val="clear" w:color="auto" w:fill="FFFFFF"/>
            <w:tcMar>
              <w:top w:w="110" w:type="dxa"/>
            </w:tcMar>
          </w:tcPr>
          <w:p w:rsidR="0095318C" w:rsidRPr="00D34FB8" w:rsidRDefault="0095318C" w:rsidP="00DC1333">
            <w:pPr>
              <w:rPr>
                <w:sz w:val="16"/>
                <w:szCs w:val="16"/>
              </w:rPr>
            </w:pPr>
            <w:r>
              <w:rPr>
                <w:sz w:val="16"/>
                <w:szCs w:val="16"/>
              </w:rPr>
              <w:t>170.</w:t>
            </w:r>
            <w:r w:rsidRPr="00D34FB8">
              <w:rPr>
                <w:sz w:val="16"/>
                <w:szCs w:val="16"/>
              </w:rPr>
              <w:t>177 (2014)</w:t>
            </w:r>
          </w:p>
          <w:p w:rsidR="0095318C" w:rsidRPr="00D34FB8" w:rsidRDefault="0095318C" w:rsidP="00DC1333">
            <w:pPr>
              <w:rPr>
                <w:sz w:val="16"/>
                <w:szCs w:val="16"/>
              </w:rPr>
            </w:pPr>
            <w:r>
              <w:rPr>
                <w:sz w:val="16"/>
                <w:szCs w:val="16"/>
              </w:rPr>
              <w:t>168.</w:t>
            </w:r>
            <w:r w:rsidRPr="00D34FB8">
              <w:rPr>
                <w:sz w:val="16"/>
                <w:szCs w:val="16"/>
              </w:rPr>
              <w:t>207 (2015)</w:t>
            </w:r>
          </w:p>
          <w:p w:rsidR="0095318C" w:rsidRPr="00303855" w:rsidRDefault="0095318C" w:rsidP="00DC1333">
            <w:pPr>
              <w:rPr>
                <w:b/>
                <w:sz w:val="16"/>
                <w:szCs w:val="16"/>
              </w:rPr>
            </w:pPr>
            <w:r>
              <w:rPr>
                <w:sz w:val="16"/>
                <w:szCs w:val="16"/>
              </w:rPr>
              <w:t>+3,</w:t>
            </w:r>
            <w:r w:rsidRPr="00D34FB8">
              <w:rPr>
                <w:sz w:val="16"/>
                <w:szCs w:val="16"/>
              </w:rPr>
              <w:t>5%</w:t>
            </w:r>
          </w:p>
        </w:tc>
        <w:tc>
          <w:tcPr>
            <w:tcW w:w="1197" w:type="dxa"/>
            <w:tcBorders>
              <w:bottom w:val="single" w:sz="4" w:space="0" w:color="auto"/>
            </w:tcBorders>
            <w:shd w:val="clear" w:color="auto" w:fill="auto"/>
            <w:tcMar>
              <w:top w:w="110" w:type="dxa"/>
            </w:tcMar>
          </w:tcPr>
          <w:p w:rsidR="0095318C" w:rsidRPr="00D34FB8" w:rsidRDefault="0095318C" w:rsidP="00DC1333">
            <w:pPr>
              <w:keepNext/>
              <w:keepLines/>
              <w:jc w:val="center"/>
              <w:rPr>
                <w:b/>
                <w:bCs/>
                <w:color w:val="808080"/>
                <w:sz w:val="16"/>
                <w:szCs w:val="16"/>
              </w:rPr>
            </w:pPr>
            <w:r>
              <w:rPr>
                <w:b/>
                <w:bCs/>
                <w:color w:val="00B050"/>
                <w:sz w:val="16"/>
                <w:szCs w:val="16"/>
              </w:rPr>
              <w:t>Plenamente logrado</w:t>
            </w:r>
          </w:p>
        </w:tc>
      </w:tr>
      <w:tr w:rsidR="0095318C" w:rsidRPr="00267E8F" w:rsidTr="00DC1333">
        <w:trPr>
          <w:cantSplit/>
          <w:trHeight w:val="544"/>
        </w:trPr>
        <w:tc>
          <w:tcPr>
            <w:tcW w:w="9747" w:type="dxa"/>
            <w:gridSpan w:val="6"/>
            <w:tcBorders>
              <w:top w:val="single" w:sz="4" w:space="0" w:color="auto"/>
              <w:bottom w:val="single" w:sz="4" w:space="0" w:color="auto"/>
            </w:tcBorders>
            <w:shd w:val="clear" w:color="auto" w:fill="C6D9F1" w:themeFill="text2" w:themeFillTint="33"/>
            <w:vAlign w:val="center"/>
          </w:tcPr>
          <w:p w:rsidR="0095318C" w:rsidRPr="005C1235" w:rsidRDefault="0095318C" w:rsidP="00DC1333">
            <w:pPr>
              <w:keepNext/>
              <w:keepLines/>
              <w:ind w:left="1985" w:hanging="1985"/>
              <w:rPr>
                <w:b/>
                <w:bCs/>
                <w:sz w:val="16"/>
                <w:szCs w:val="16"/>
              </w:rPr>
            </w:pPr>
            <w:r>
              <w:rPr>
                <w:b/>
                <w:bCs/>
                <w:sz w:val="16"/>
                <w:szCs w:val="16"/>
              </w:rPr>
              <w:t>Resultado previsto</w:t>
            </w:r>
            <w:r w:rsidRPr="005C1235">
              <w:rPr>
                <w:b/>
                <w:bCs/>
                <w:sz w:val="16"/>
                <w:szCs w:val="16"/>
              </w:rPr>
              <w:t>:</w:t>
            </w:r>
            <w:r w:rsidRPr="005C1235">
              <w:rPr>
                <w:b/>
                <w:bCs/>
                <w:sz w:val="16"/>
                <w:szCs w:val="16"/>
              </w:rPr>
              <w:tab/>
            </w:r>
            <w:r w:rsidRPr="005C1235">
              <w:rPr>
                <w:sz w:val="16"/>
                <w:szCs w:val="16"/>
                <w:lang w:bidi="th-TH"/>
              </w:rPr>
              <w:t xml:space="preserve">II.4 </w:t>
            </w:r>
            <w:r w:rsidRPr="005C1235">
              <w:rPr>
                <w:sz w:val="16"/>
                <w:szCs w:val="16"/>
              </w:rPr>
              <w:t>Ampliación y mejora del uso del Sistema de La Haya por los países en desarrollo y los PMA, entre otros</w:t>
            </w:r>
          </w:p>
        </w:tc>
      </w:tr>
      <w:tr w:rsidR="0095318C" w:rsidRPr="00BC6547" w:rsidTr="00DC1333">
        <w:trPr>
          <w:cantSplit/>
        </w:trPr>
        <w:tc>
          <w:tcPr>
            <w:tcW w:w="2137" w:type="dxa"/>
            <w:tcBorders>
              <w:top w:val="single" w:sz="4" w:space="0" w:color="auto"/>
            </w:tcBorders>
            <w:shd w:val="clear" w:color="auto" w:fill="auto"/>
            <w:vAlign w:val="center"/>
          </w:tcPr>
          <w:p w:rsidR="0095318C" w:rsidRPr="00BC6547" w:rsidRDefault="0095318C" w:rsidP="00DC1333">
            <w:pPr>
              <w:keepNext/>
              <w:keepLines/>
              <w:rPr>
                <w:sz w:val="16"/>
                <w:szCs w:val="16"/>
              </w:rPr>
            </w:pPr>
            <w:r>
              <w:rPr>
                <w:b/>
                <w:bCs/>
                <w:sz w:val="16"/>
                <w:szCs w:val="16"/>
              </w:rPr>
              <w:t>Indicadores de rendimiento</w:t>
            </w:r>
          </w:p>
        </w:tc>
        <w:tc>
          <w:tcPr>
            <w:tcW w:w="2420" w:type="dxa"/>
            <w:tcBorders>
              <w:top w:val="single" w:sz="4" w:space="0" w:color="auto"/>
            </w:tcBorders>
            <w:shd w:val="clear" w:color="auto" w:fill="auto"/>
            <w:vAlign w:val="center"/>
          </w:tcPr>
          <w:p w:rsidR="0095318C" w:rsidRPr="00BC6547" w:rsidRDefault="0095318C" w:rsidP="00DC1333">
            <w:pPr>
              <w:keepNext/>
              <w:keepLines/>
              <w:rPr>
                <w:b/>
                <w:bCs/>
                <w:sz w:val="16"/>
                <w:szCs w:val="16"/>
              </w:rPr>
            </w:pPr>
            <w:r>
              <w:rPr>
                <w:b/>
                <w:bCs/>
                <w:sz w:val="16"/>
                <w:szCs w:val="16"/>
              </w:rPr>
              <w:t>Referencia</w:t>
            </w:r>
          </w:p>
        </w:tc>
        <w:tc>
          <w:tcPr>
            <w:tcW w:w="1570" w:type="dxa"/>
            <w:tcBorders>
              <w:top w:val="single" w:sz="4" w:space="0" w:color="auto"/>
            </w:tcBorders>
            <w:shd w:val="clear" w:color="auto" w:fill="auto"/>
            <w:tcMar>
              <w:top w:w="110" w:type="dxa"/>
            </w:tcMar>
            <w:vAlign w:val="center"/>
          </w:tcPr>
          <w:p w:rsidR="0095318C" w:rsidRPr="00BC6547" w:rsidRDefault="0095318C" w:rsidP="00DC1333">
            <w:pPr>
              <w:keepNext/>
              <w:keepLines/>
              <w:rPr>
                <w:b/>
                <w:sz w:val="16"/>
                <w:szCs w:val="16"/>
              </w:rPr>
            </w:pPr>
            <w:r>
              <w:rPr>
                <w:b/>
                <w:sz w:val="16"/>
                <w:szCs w:val="16"/>
              </w:rPr>
              <w:t>Objetivos</w:t>
            </w:r>
          </w:p>
        </w:tc>
        <w:tc>
          <w:tcPr>
            <w:tcW w:w="2423" w:type="dxa"/>
            <w:gridSpan w:val="2"/>
            <w:tcBorders>
              <w:top w:val="single" w:sz="4" w:space="0" w:color="auto"/>
            </w:tcBorders>
            <w:shd w:val="clear" w:color="auto" w:fill="FFFFFF"/>
            <w:tcMar>
              <w:top w:w="110" w:type="dxa"/>
            </w:tcMar>
            <w:vAlign w:val="center"/>
          </w:tcPr>
          <w:p w:rsidR="0095318C" w:rsidRPr="00BC6547" w:rsidRDefault="0095318C" w:rsidP="00DC1333">
            <w:pPr>
              <w:keepNext/>
              <w:keepLines/>
              <w:rPr>
                <w:sz w:val="16"/>
                <w:szCs w:val="16"/>
              </w:rPr>
            </w:pPr>
            <w:r w:rsidRPr="00BC6547">
              <w:rPr>
                <w:b/>
                <w:bCs/>
                <w:sz w:val="16"/>
                <w:szCs w:val="16"/>
              </w:rPr>
              <w:t>Datos sobre el rendimiento</w:t>
            </w:r>
          </w:p>
        </w:tc>
        <w:tc>
          <w:tcPr>
            <w:tcW w:w="1197" w:type="dxa"/>
            <w:tcBorders>
              <w:top w:val="single" w:sz="4" w:space="0" w:color="auto"/>
            </w:tcBorders>
            <w:shd w:val="clear" w:color="auto" w:fill="auto"/>
            <w:tcMar>
              <w:top w:w="110" w:type="dxa"/>
            </w:tcMar>
            <w:vAlign w:val="center"/>
          </w:tcPr>
          <w:p w:rsidR="0095318C" w:rsidRPr="00CD26D6" w:rsidRDefault="0095318C" w:rsidP="00DC1333">
            <w:pPr>
              <w:keepNext/>
              <w:keepLines/>
              <w:jc w:val="center"/>
              <w:rPr>
                <w:b/>
                <w:bCs/>
                <w:sz w:val="16"/>
                <w:szCs w:val="16"/>
              </w:rPr>
            </w:pPr>
            <w:r w:rsidRPr="001656CD">
              <w:rPr>
                <w:b/>
                <w:bCs/>
                <w:sz w:val="16"/>
                <w:szCs w:val="16"/>
              </w:rPr>
              <w:t>Clave de los colores</w:t>
            </w:r>
          </w:p>
        </w:tc>
      </w:tr>
      <w:tr w:rsidR="0095318C" w:rsidRPr="001656CD" w:rsidTr="00DC1333">
        <w:trPr>
          <w:cantSplit/>
        </w:trPr>
        <w:tc>
          <w:tcPr>
            <w:tcW w:w="2137" w:type="dxa"/>
            <w:tcBorders>
              <w:bottom w:val="single" w:sz="4" w:space="0" w:color="auto"/>
            </w:tcBorders>
            <w:shd w:val="clear" w:color="auto" w:fill="auto"/>
          </w:tcPr>
          <w:p w:rsidR="0095318C" w:rsidRPr="005C1235" w:rsidRDefault="0095318C" w:rsidP="00DC1333">
            <w:pPr>
              <w:rPr>
                <w:sz w:val="16"/>
                <w:szCs w:val="16"/>
                <w:lang w:bidi="th-TH"/>
              </w:rPr>
            </w:pPr>
            <w:r w:rsidRPr="005C1235">
              <w:rPr>
                <w:sz w:val="16"/>
                <w:szCs w:val="16"/>
              </w:rPr>
              <w:t>Número de solicitudes del Sistema de La Haya procedentes de países con economías en transición y países desarrollados</w:t>
            </w:r>
            <w:r>
              <w:rPr>
                <w:sz w:val="16"/>
                <w:szCs w:val="16"/>
              </w:rPr>
              <w:t>.</w:t>
            </w:r>
          </w:p>
        </w:tc>
        <w:tc>
          <w:tcPr>
            <w:tcW w:w="2420" w:type="dxa"/>
            <w:tcBorders>
              <w:bottom w:val="single" w:sz="4" w:space="0" w:color="auto"/>
            </w:tcBorders>
            <w:shd w:val="clear" w:color="auto" w:fill="auto"/>
          </w:tcPr>
          <w:p w:rsidR="0095318C" w:rsidRPr="00A30FA0" w:rsidRDefault="0095318C" w:rsidP="00DC1333">
            <w:pPr>
              <w:rPr>
                <w:i/>
                <w:color w:val="002060"/>
                <w:sz w:val="16"/>
                <w:szCs w:val="16"/>
              </w:rPr>
            </w:pPr>
            <w:r w:rsidRPr="00A30FA0">
              <w:rPr>
                <w:i/>
                <w:color w:val="002060"/>
                <w:sz w:val="16"/>
                <w:szCs w:val="16"/>
              </w:rPr>
              <w:t xml:space="preserve">Referencia actualizada a fines de 2013:  </w:t>
            </w:r>
          </w:p>
          <w:p w:rsidR="0095318C" w:rsidRPr="00BD70D1" w:rsidRDefault="0095318C" w:rsidP="00DC1333">
            <w:pPr>
              <w:rPr>
                <w:color w:val="002060"/>
                <w:sz w:val="16"/>
                <w:szCs w:val="16"/>
              </w:rPr>
            </w:pPr>
            <w:r w:rsidRPr="00BD70D1">
              <w:rPr>
                <w:color w:val="002060"/>
                <w:sz w:val="16"/>
                <w:szCs w:val="16"/>
              </w:rPr>
              <w:t>2.927 (2013)</w:t>
            </w:r>
          </w:p>
          <w:p w:rsidR="0095318C" w:rsidRPr="00BD70D1" w:rsidRDefault="0095318C" w:rsidP="00DC1333">
            <w:pPr>
              <w:rPr>
                <w:color w:val="002060"/>
                <w:sz w:val="16"/>
                <w:szCs w:val="16"/>
              </w:rPr>
            </w:pPr>
            <w:r w:rsidRPr="00BD70D1">
              <w:rPr>
                <w:color w:val="002060"/>
                <w:sz w:val="16"/>
                <w:szCs w:val="16"/>
              </w:rPr>
              <w:t>2.553 (2012)</w:t>
            </w:r>
          </w:p>
          <w:p w:rsidR="0095318C" w:rsidRPr="00BD70D1" w:rsidRDefault="0095318C" w:rsidP="00DC1333">
            <w:pPr>
              <w:rPr>
                <w:color w:val="002060"/>
                <w:sz w:val="16"/>
                <w:szCs w:val="16"/>
              </w:rPr>
            </w:pPr>
          </w:p>
          <w:p w:rsidR="0095318C" w:rsidRPr="00BD70D1" w:rsidRDefault="0095318C" w:rsidP="00DC1333">
            <w:pPr>
              <w:rPr>
                <w:i/>
                <w:sz w:val="8"/>
                <w:szCs w:val="8"/>
              </w:rPr>
            </w:pPr>
          </w:p>
          <w:p w:rsidR="0095318C" w:rsidRDefault="0095318C" w:rsidP="00DC1333">
            <w:pPr>
              <w:rPr>
                <w:sz w:val="16"/>
                <w:szCs w:val="16"/>
                <w:lang w:bidi="th-TH"/>
              </w:rPr>
            </w:pPr>
            <w:r w:rsidRPr="00A30FA0">
              <w:rPr>
                <w:i/>
                <w:sz w:val="16"/>
                <w:szCs w:val="16"/>
              </w:rPr>
              <w:t xml:space="preserve">Referencia original </w:t>
            </w:r>
            <w:r w:rsidR="00A556A6">
              <w:rPr>
                <w:i/>
                <w:sz w:val="16"/>
                <w:szCs w:val="16"/>
              </w:rPr>
              <w:t>en el presupuesto de</w:t>
            </w:r>
            <w:r w:rsidR="00A556A6" w:rsidRPr="00A30FA0">
              <w:rPr>
                <w:i/>
                <w:sz w:val="16"/>
                <w:szCs w:val="16"/>
              </w:rPr>
              <w:t xml:space="preserve"> </w:t>
            </w:r>
            <w:r w:rsidR="00A556A6" w:rsidRPr="00083772">
              <w:rPr>
                <w:i/>
                <w:sz w:val="16"/>
                <w:szCs w:val="16"/>
              </w:rPr>
              <w:t>2014/15</w:t>
            </w:r>
            <w:r w:rsidRPr="00083772">
              <w:rPr>
                <w:i/>
                <w:sz w:val="16"/>
                <w:szCs w:val="16"/>
              </w:rPr>
              <w:t xml:space="preserve">: </w:t>
            </w:r>
            <w:r w:rsidR="008F7A06">
              <w:rPr>
                <w:sz w:val="16"/>
                <w:szCs w:val="16"/>
              </w:rPr>
              <w:t>Por determinar</w:t>
            </w:r>
          </w:p>
          <w:p w:rsidR="0095318C" w:rsidRPr="00083772" w:rsidRDefault="0095318C" w:rsidP="00DC1333">
            <w:pPr>
              <w:rPr>
                <w:sz w:val="16"/>
                <w:szCs w:val="16"/>
                <w:lang w:bidi="th-TH"/>
              </w:rPr>
            </w:pPr>
          </w:p>
        </w:tc>
        <w:tc>
          <w:tcPr>
            <w:tcW w:w="1570" w:type="dxa"/>
            <w:tcBorders>
              <w:bottom w:val="single" w:sz="4" w:space="0" w:color="auto"/>
            </w:tcBorders>
            <w:shd w:val="clear" w:color="auto" w:fill="auto"/>
            <w:tcMar>
              <w:top w:w="110" w:type="dxa"/>
            </w:tcMar>
          </w:tcPr>
          <w:p w:rsidR="0095318C" w:rsidRPr="00083772" w:rsidRDefault="0095318C" w:rsidP="00DC1333">
            <w:pPr>
              <w:rPr>
                <w:sz w:val="16"/>
                <w:szCs w:val="16"/>
                <w:lang w:bidi="th-TH"/>
              </w:rPr>
            </w:pPr>
            <w:r>
              <w:rPr>
                <w:sz w:val="16"/>
                <w:szCs w:val="16"/>
              </w:rPr>
              <w:t>Aumento del 2%</w:t>
            </w:r>
          </w:p>
        </w:tc>
        <w:tc>
          <w:tcPr>
            <w:tcW w:w="2423" w:type="dxa"/>
            <w:gridSpan w:val="2"/>
            <w:tcBorders>
              <w:bottom w:val="single" w:sz="4" w:space="0" w:color="auto"/>
            </w:tcBorders>
            <w:shd w:val="clear" w:color="auto" w:fill="FFFFFF"/>
            <w:tcMar>
              <w:top w:w="110" w:type="dxa"/>
            </w:tcMar>
          </w:tcPr>
          <w:p w:rsidR="0095318C" w:rsidRPr="00D34FB8" w:rsidRDefault="0095318C" w:rsidP="00DC1333">
            <w:pPr>
              <w:rPr>
                <w:sz w:val="16"/>
                <w:szCs w:val="16"/>
              </w:rPr>
            </w:pPr>
            <w:r>
              <w:rPr>
                <w:sz w:val="16"/>
                <w:szCs w:val="16"/>
              </w:rPr>
              <w:t>2.</w:t>
            </w:r>
            <w:r w:rsidRPr="00D34FB8">
              <w:rPr>
                <w:sz w:val="16"/>
                <w:szCs w:val="16"/>
              </w:rPr>
              <w:t>776 (2014)</w:t>
            </w:r>
          </w:p>
          <w:p w:rsidR="0095318C" w:rsidRDefault="0095318C" w:rsidP="00DC1333">
            <w:pPr>
              <w:rPr>
                <w:sz w:val="16"/>
                <w:szCs w:val="16"/>
              </w:rPr>
            </w:pPr>
            <w:r>
              <w:rPr>
                <w:sz w:val="16"/>
                <w:szCs w:val="16"/>
              </w:rPr>
              <w:t>3.</w:t>
            </w:r>
            <w:r w:rsidRPr="00D34FB8">
              <w:rPr>
                <w:sz w:val="16"/>
                <w:szCs w:val="16"/>
              </w:rPr>
              <w:t>448 (2015)</w:t>
            </w:r>
          </w:p>
          <w:p w:rsidR="0095318C" w:rsidRPr="00303855" w:rsidRDefault="0095318C" w:rsidP="00DC1333">
            <w:pPr>
              <w:rPr>
                <w:b/>
                <w:sz w:val="16"/>
                <w:szCs w:val="16"/>
              </w:rPr>
            </w:pPr>
            <w:r>
              <w:rPr>
                <w:sz w:val="16"/>
                <w:szCs w:val="16"/>
              </w:rPr>
              <w:t>+13,6%</w:t>
            </w:r>
          </w:p>
        </w:tc>
        <w:tc>
          <w:tcPr>
            <w:tcW w:w="1197" w:type="dxa"/>
            <w:tcBorders>
              <w:bottom w:val="single" w:sz="4" w:space="0" w:color="auto"/>
            </w:tcBorders>
            <w:shd w:val="clear" w:color="auto" w:fill="auto"/>
            <w:tcMar>
              <w:top w:w="110" w:type="dxa"/>
            </w:tcMar>
          </w:tcPr>
          <w:p w:rsidR="0095318C" w:rsidRPr="00303855" w:rsidRDefault="0095318C" w:rsidP="00DC1333">
            <w:pPr>
              <w:keepNext/>
              <w:keepLines/>
              <w:jc w:val="center"/>
              <w:rPr>
                <w:b/>
                <w:bCs/>
                <w:color w:val="00B050"/>
                <w:sz w:val="16"/>
                <w:szCs w:val="16"/>
              </w:rPr>
            </w:pPr>
            <w:r>
              <w:rPr>
                <w:b/>
                <w:bCs/>
                <w:color w:val="00B050"/>
                <w:sz w:val="16"/>
                <w:szCs w:val="16"/>
              </w:rPr>
              <w:t>Plenamente logrado</w:t>
            </w:r>
          </w:p>
        </w:tc>
      </w:tr>
      <w:tr w:rsidR="0095318C" w:rsidRPr="00267E8F" w:rsidTr="00DC1333">
        <w:trPr>
          <w:cantSplit/>
          <w:trHeight w:val="471"/>
        </w:trPr>
        <w:tc>
          <w:tcPr>
            <w:tcW w:w="9747" w:type="dxa"/>
            <w:gridSpan w:val="6"/>
            <w:tcBorders>
              <w:top w:val="single" w:sz="4" w:space="0" w:color="auto"/>
              <w:bottom w:val="single" w:sz="4" w:space="0" w:color="auto"/>
            </w:tcBorders>
            <w:shd w:val="clear" w:color="auto" w:fill="C6D9F1" w:themeFill="text2" w:themeFillTint="33"/>
            <w:vAlign w:val="center"/>
          </w:tcPr>
          <w:p w:rsidR="0095318C" w:rsidRPr="005C1235" w:rsidRDefault="0095318C" w:rsidP="00DC1333">
            <w:pPr>
              <w:keepNext/>
              <w:keepLines/>
              <w:ind w:left="1985" w:hanging="1985"/>
              <w:rPr>
                <w:b/>
                <w:bCs/>
                <w:sz w:val="16"/>
                <w:szCs w:val="16"/>
              </w:rPr>
            </w:pPr>
            <w:r>
              <w:rPr>
                <w:b/>
                <w:bCs/>
                <w:sz w:val="16"/>
                <w:szCs w:val="16"/>
              </w:rPr>
              <w:t>Resultado previsto</w:t>
            </w:r>
            <w:r w:rsidRPr="005C1235">
              <w:rPr>
                <w:b/>
                <w:bCs/>
                <w:sz w:val="16"/>
                <w:szCs w:val="16"/>
              </w:rPr>
              <w:t>:</w:t>
            </w:r>
            <w:r w:rsidRPr="005C1235">
              <w:rPr>
                <w:b/>
                <w:bCs/>
                <w:sz w:val="16"/>
                <w:szCs w:val="16"/>
              </w:rPr>
              <w:tab/>
            </w:r>
            <w:r w:rsidRPr="005C1235">
              <w:rPr>
                <w:color w:val="000000"/>
                <w:sz w:val="16"/>
                <w:szCs w:val="16"/>
                <w:lang w:bidi="th-TH"/>
              </w:rPr>
              <w:t>II.</w:t>
            </w:r>
            <w:r w:rsidRPr="005C1235">
              <w:rPr>
                <w:color w:val="000000"/>
                <w:sz w:val="16"/>
                <w:szCs w:val="16"/>
              </w:rPr>
              <w:t xml:space="preserve"> 6 Mayor y más eficaz utilización de los Sistemas de Madrid y de Lisboa</w:t>
            </w:r>
            <w:r>
              <w:rPr>
                <w:color w:val="000000"/>
                <w:sz w:val="16"/>
                <w:szCs w:val="16"/>
              </w:rPr>
              <w:t xml:space="preserve"> por los países en desarrollo y </w:t>
            </w:r>
            <w:r w:rsidRPr="005C1235">
              <w:rPr>
                <w:color w:val="000000"/>
                <w:sz w:val="16"/>
                <w:szCs w:val="16"/>
              </w:rPr>
              <w:t>los PMA, entre otros</w:t>
            </w:r>
          </w:p>
        </w:tc>
      </w:tr>
      <w:tr w:rsidR="0095318C" w:rsidRPr="00BC6547" w:rsidTr="00DC1333">
        <w:trPr>
          <w:cantSplit/>
        </w:trPr>
        <w:tc>
          <w:tcPr>
            <w:tcW w:w="2137" w:type="dxa"/>
            <w:tcBorders>
              <w:top w:val="single" w:sz="4" w:space="0" w:color="auto"/>
            </w:tcBorders>
            <w:shd w:val="clear" w:color="auto" w:fill="auto"/>
            <w:vAlign w:val="center"/>
          </w:tcPr>
          <w:p w:rsidR="0095318C" w:rsidRPr="00BC6547" w:rsidRDefault="0095318C" w:rsidP="00DC1333">
            <w:pPr>
              <w:rPr>
                <w:sz w:val="16"/>
                <w:szCs w:val="16"/>
              </w:rPr>
            </w:pPr>
            <w:r>
              <w:rPr>
                <w:b/>
                <w:bCs/>
                <w:sz w:val="16"/>
                <w:szCs w:val="16"/>
              </w:rPr>
              <w:t>Indicadores de rendimiento</w:t>
            </w:r>
          </w:p>
        </w:tc>
        <w:tc>
          <w:tcPr>
            <w:tcW w:w="2420" w:type="dxa"/>
            <w:tcBorders>
              <w:top w:val="single" w:sz="4" w:space="0" w:color="auto"/>
            </w:tcBorders>
            <w:shd w:val="clear" w:color="auto" w:fill="auto"/>
            <w:vAlign w:val="center"/>
          </w:tcPr>
          <w:p w:rsidR="0095318C" w:rsidRPr="00BC6547" w:rsidRDefault="0095318C" w:rsidP="00DC1333">
            <w:pPr>
              <w:rPr>
                <w:b/>
                <w:bCs/>
                <w:sz w:val="16"/>
                <w:szCs w:val="16"/>
              </w:rPr>
            </w:pPr>
            <w:r>
              <w:rPr>
                <w:b/>
                <w:bCs/>
                <w:sz w:val="16"/>
                <w:szCs w:val="16"/>
              </w:rPr>
              <w:t>Referencia</w:t>
            </w:r>
          </w:p>
        </w:tc>
        <w:tc>
          <w:tcPr>
            <w:tcW w:w="1570" w:type="dxa"/>
            <w:tcBorders>
              <w:top w:val="single" w:sz="4" w:space="0" w:color="auto"/>
            </w:tcBorders>
            <w:shd w:val="clear" w:color="auto" w:fill="auto"/>
            <w:tcMar>
              <w:top w:w="110" w:type="dxa"/>
            </w:tcMar>
            <w:vAlign w:val="center"/>
          </w:tcPr>
          <w:p w:rsidR="0095318C" w:rsidRPr="00CD26D6" w:rsidRDefault="0095318C" w:rsidP="00DC1333">
            <w:pPr>
              <w:rPr>
                <w:b/>
                <w:sz w:val="16"/>
                <w:szCs w:val="16"/>
              </w:rPr>
            </w:pPr>
            <w:r>
              <w:rPr>
                <w:b/>
                <w:sz w:val="16"/>
                <w:szCs w:val="16"/>
              </w:rPr>
              <w:t>Objetivos</w:t>
            </w:r>
          </w:p>
        </w:tc>
        <w:tc>
          <w:tcPr>
            <w:tcW w:w="2423" w:type="dxa"/>
            <w:gridSpan w:val="2"/>
            <w:tcBorders>
              <w:top w:val="single" w:sz="4" w:space="0" w:color="auto"/>
            </w:tcBorders>
            <w:shd w:val="clear" w:color="auto" w:fill="FFFFFF"/>
            <w:tcMar>
              <w:top w:w="110" w:type="dxa"/>
            </w:tcMar>
            <w:vAlign w:val="center"/>
          </w:tcPr>
          <w:p w:rsidR="0095318C" w:rsidRPr="00BC6547" w:rsidRDefault="0095318C" w:rsidP="00DC1333">
            <w:pPr>
              <w:rPr>
                <w:sz w:val="16"/>
                <w:szCs w:val="16"/>
              </w:rPr>
            </w:pPr>
            <w:r w:rsidRPr="00BC6547">
              <w:rPr>
                <w:b/>
                <w:bCs/>
                <w:sz w:val="16"/>
                <w:szCs w:val="16"/>
              </w:rPr>
              <w:t>Datos sobre el rendimiento</w:t>
            </w:r>
          </w:p>
        </w:tc>
        <w:tc>
          <w:tcPr>
            <w:tcW w:w="1197" w:type="dxa"/>
            <w:tcBorders>
              <w:top w:val="single" w:sz="4" w:space="0" w:color="auto"/>
            </w:tcBorders>
            <w:shd w:val="clear" w:color="auto" w:fill="auto"/>
            <w:tcMar>
              <w:top w:w="110" w:type="dxa"/>
            </w:tcMar>
            <w:vAlign w:val="center"/>
          </w:tcPr>
          <w:p w:rsidR="0095318C" w:rsidRPr="00CD26D6" w:rsidRDefault="0095318C" w:rsidP="00DC1333">
            <w:pPr>
              <w:keepNext/>
              <w:keepLines/>
              <w:jc w:val="center"/>
              <w:rPr>
                <w:b/>
                <w:bCs/>
                <w:sz w:val="16"/>
                <w:szCs w:val="16"/>
              </w:rPr>
            </w:pPr>
            <w:r>
              <w:rPr>
                <w:b/>
                <w:bCs/>
                <w:sz w:val="16"/>
                <w:szCs w:val="16"/>
              </w:rPr>
              <w:t>C</w:t>
            </w:r>
            <w:r w:rsidRPr="001656CD">
              <w:rPr>
                <w:b/>
                <w:bCs/>
                <w:sz w:val="16"/>
                <w:szCs w:val="16"/>
              </w:rPr>
              <w:t>lave de los colores</w:t>
            </w:r>
          </w:p>
        </w:tc>
      </w:tr>
      <w:tr w:rsidR="0095318C" w:rsidRPr="001656CD" w:rsidTr="00DC1333">
        <w:trPr>
          <w:cantSplit/>
        </w:trPr>
        <w:tc>
          <w:tcPr>
            <w:tcW w:w="2137" w:type="dxa"/>
            <w:shd w:val="clear" w:color="auto" w:fill="auto"/>
          </w:tcPr>
          <w:p w:rsidR="0095318C" w:rsidRPr="005C1235" w:rsidRDefault="0095318C" w:rsidP="00DC1333">
            <w:pPr>
              <w:rPr>
                <w:sz w:val="16"/>
                <w:szCs w:val="16"/>
                <w:lang w:bidi="th-TH"/>
              </w:rPr>
            </w:pPr>
            <w:r w:rsidRPr="005C1235">
              <w:rPr>
                <w:sz w:val="16"/>
                <w:szCs w:val="16"/>
              </w:rPr>
              <w:t>Número de solicitudes de los Sistemas de Madrid y de Lisboa procedentes de países con economías en transición y países desarrollados</w:t>
            </w:r>
            <w:r>
              <w:rPr>
                <w:sz w:val="16"/>
                <w:szCs w:val="16"/>
              </w:rPr>
              <w:t>.</w:t>
            </w:r>
          </w:p>
        </w:tc>
        <w:tc>
          <w:tcPr>
            <w:tcW w:w="2420" w:type="dxa"/>
            <w:shd w:val="clear" w:color="auto" w:fill="auto"/>
          </w:tcPr>
          <w:p w:rsidR="0095318C" w:rsidRPr="00A30FA0" w:rsidRDefault="0095318C" w:rsidP="00DC1333">
            <w:pPr>
              <w:rPr>
                <w:i/>
                <w:color w:val="002060"/>
                <w:sz w:val="16"/>
                <w:szCs w:val="16"/>
              </w:rPr>
            </w:pPr>
            <w:r w:rsidRPr="00A30FA0">
              <w:rPr>
                <w:i/>
                <w:color w:val="002060"/>
                <w:sz w:val="16"/>
                <w:szCs w:val="16"/>
              </w:rPr>
              <w:t xml:space="preserve">Referencia actualizada a fines de 2013:  </w:t>
            </w:r>
          </w:p>
          <w:p w:rsidR="0095318C" w:rsidRPr="00A30FA0" w:rsidRDefault="0095318C" w:rsidP="00DC1333">
            <w:pPr>
              <w:rPr>
                <w:color w:val="002060"/>
                <w:sz w:val="16"/>
                <w:szCs w:val="16"/>
              </w:rPr>
            </w:pPr>
            <w:r w:rsidRPr="00A30FA0">
              <w:rPr>
                <w:color w:val="002060"/>
                <w:sz w:val="16"/>
                <w:szCs w:val="16"/>
              </w:rPr>
              <w:t>Madrid</w:t>
            </w:r>
          </w:p>
          <w:p w:rsidR="0095318C" w:rsidRPr="00A30FA0" w:rsidRDefault="0095318C" w:rsidP="00DC1333">
            <w:pPr>
              <w:rPr>
                <w:color w:val="002060"/>
                <w:sz w:val="16"/>
                <w:szCs w:val="16"/>
              </w:rPr>
            </w:pPr>
            <w:r w:rsidRPr="00A30FA0">
              <w:rPr>
                <w:color w:val="002060"/>
                <w:sz w:val="16"/>
                <w:szCs w:val="16"/>
              </w:rPr>
              <w:t>43.149 (2013)</w:t>
            </w:r>
          </w:p>
          <w:p w:rsidR="0095318C" w:rsidRPr="00A30FA0" w:rsidRDefault="0095318C" w:rsidP="00DC1333">
            <w:pPr>
              <w:rPr>
                <w:color w:val="002060"/>
                <w:sz w:val="16"/>
                <w:szCs w:val="16"/>
              </w:rPr>
            </w:pPr>
            <w:r w:rsidRPr="00A30FA0">
              <w:rPr>
                <w:color w:val="002060"/>
                <w:sz w:val="16"/>
                <w:szCs w:val="16"/>
              </w:rPr>
              <w:t>40.640 (2012)</w:t>
            </w:r>
          </w:p>
          <w:p w:rsidR="0095318C" w:rsidRPr="00A30FA0" w:rsidRDefault="0095318C" w:rsidP="00DC1333">
            <w:pPr>
              <w:rPr>
                <w:color w:val="002060"/>
                <w:sz w:val="16"/>
                <w:szCs w:val="16"/>
              </w:rPr>
            </w:pPr>
          </w:p>
          <w:p w:rsidR="0095318C" w:rsidRPr="00A30FA0" w:rsidRDefault="0095318C" w:rsidP="00DC1333">
            <w:pPr>
              <w:rPr>
                <w:color w:val="002060"/>
                <w:sz w:val="16"/>
                <w:szCs w:val="16"/>
              </w:rPr>
            </w:pPr>
            <w:r w:rsidRPr="00A30FA0">
              <w:rPr>
                <w:color w:val="002060"/>
                <w:sz w:val="16"/>
                <w:szCs w:val="16"/>
              </w:rPr>
              <w:t>Lisboa:</w:t>
            </w:r>
          </w:p>
          <w:p w:rsidR="0095318C" w:rsidRPr="00A30FA0" w:rsidRDefault="0095318C" w:rsidP="00DC1333">
            <w:pPr>
              <w:rPr>
                <w:color w:val="002060"/>
                <w:sz w:val="16"/>
                <w:szCs w:val="16"/>
              </w:rPr>
            </w:pPr>
            <w:r w:rsidRPr="00A30FA0">
              <w:rPr>
                <w:color w:val="002060"/>
                <w:sz w:val="16"/>
                <w:szCs w:val="16"/>
              </w:rPr>
              <w:t xml:space="preserve">749 de 816 registros en vigor. </w:t>
            </w:r>
          </w:p>
          <w:p w:rsidR="0095318C" w:rsidRPr="00A30FA0" w:rsidRDefault="0095318C" w:rsidP="00DC1333">
            <w:pPr>
              <w:rPr>
                <w:i/>
                <w:sz w:val="8"/>
                <w:szCs w:val="8"/>
              </w:rPr>
            </w:pPr>
          </w:p>
          <w:p w:rsidR="0095318C" w:rsidRPr="00083772" w:rsidRDefault="0095318C" w:rsidP="00DC1333">
            <w:pPr>
              <w:rPr>
                <w:sz w:val="16"/>
                <w:szCs w:val="16"/>
                <w:lang w:bidi="th-TH"/>
              </w:rPr>
            </w:pPr>
            <w:r w:rsidRPr="00A30FA0">
              <w:rPr>
                <w:i/>
                <w:sz w:val="16"/>
                <w:szCs w:val="16"/>
              </w:rPr>
              <w:t>Referencia original</w:t>
            </w:r>
            <w:r w:rsidR="00A556A6">
              <w:rPr>
                <w:i/>
                <w:sz w:val="16"/>
                <w:szCs w:val="16"/>
              </w:rPr>
              <w:t xml:space="preserve"> en el presupuesto de</w:t>
            </w:r>
            <w:r w:rsidR="00A556A6" w:rsidRPr="00A30FA0">
              <w:rPr>
                <w:i/>
                <w:sz w:val="16"/>
                <w:szCs w:val="16"/>
              </w:rPr>
              <w:t xml:space="preserve"> </w:t>
            </w:r>
            <w:r w:rsidR="00A556A6" w:rsidRPr="00083772">
              <w:rPr>
                <w:i/>
                <w:sz w:val="16"/>
                <w:szCs w:val="16"/>
              </w:rPr>
              <w:t>2014/15</w:t>
            </w:r>
            <w:r w:rsidRPr="00083772">
              <w:rPr>
                <w:i/>
                <w:sz w:val="16"/>
                <w:szCs w:val="16"/>
              </w:rPr>
              <w:t xml:space="preserve">: </w:t>
            </w:r>
            <w:r w:rsidRPr="008F7A06">
              <w:rPr>
                <w:sz w:val="16"/>
                <w:szCs w:val="16"/>
              </w:rPr>
              <w:t xml:space="preserve">Por </w:t>
            </w:r>
            <w:r w:rsidR="00A556A6" w:rsidRPr="008F7A06">
              <w:rPr>
                <w:sz w:val="16"/>
                <w:szCs w:val="16"/>
              </w:rPr>
              <w:t>determina</w:t>
            </w:r>
            <w:r w:rsidR="008F7A06">
              <w:rPr>
                <w:sz w:val="16"/>
                <w:szCs w:val="16"/>
              </w:rPr>
              <w:t>r</w:t>
            </w:r>
          </w:p>
        </w:tc>
        <w:tc>
          <w:tcPr>
            <w:tcW w:w="1570" w:type="dxa"/>
            <w:shd w:val="clear" w:color="auto" w:fill="auto"/>
            <w:tcMar>
              <w:top w:w="110" w:type="dxa"/>
            </w:tcMar>
          </w:tcPr>
          <w:p w:rsidR="0095318C" w:rsidRPr="00083772" w:rsidRDefault="0095318C" w:rsidP="00DC1333">
            <w:pPr>
              <w:rPr>
                <w:sz w:val="16"/>
                <w:szCs w:val="16"/>
              </w:rPr>
            </w:pPr>
            <w:r>
              <w:rPr>
                <w:sz w:val="16"/>
                <w:szCs w:val="16"/>
              </w:rPr>
              <w:t>Aumento del 2%</w:t>
            </w:r>
          </w:p>
        </w:tc>
        <w:tc>
          <w:tcPr>
            <w:tcW w:w="2423" w:type="dxa"/>
            <w:gridSpan w:val="2"/>
            <w:shd w:val="clear" w:color="auto" w:fill="FFFFFF"/>
            <w:tcMar>
              <w:top w:w="110" w:type="dxa"/>
            </w:tcMar>
          </w:tcPr>
          <w:p w:rsidR="0095318C" w:rsidRPr="00A30FA0" w:rsidRDefault="0095318C" w:rsidP="00DC1333">
            <w:pPr>
              <w:rPr>
                <w:sz w:val="16"/>
                <w:szCs w:val="16"/>
              </w:rPr>
            </w:pPr>
            <w:r w:rsidRPr="00A30FA0">
              <w:rPr>
                <w:sz w:val="16"/>
                <w:szCs w:val="16"/>
              </w:rPr>
              <w:t>43.748 (2014)</w:t>
            </w:r>
          </w:p>
          <w:p w:rsidR="0095318C" w:rsidRPr="00A30FA0" w:rsidRDefault="0095318C" w:rsidP="00DC1333">
            <w:pPr>
              <w:rPr>
                <w:sz w:val="16"/>
                <w:szCs w:val="16"/>
              </w:rPr>
            </w:pPr>
            <w:r w:rsidRPr="00A30FA0">
              <w:rPr>
                <w:sz w:val="16"/>
                <w:szCs w:val="16"/>
              </w:rPr>
              <w:t>44.570 (2015)</w:t>
            </w:r>
          </w:p>
          <w:p w:rsidR="0095318C" w:rsidRPr="00A30FA0" w:rsidRDefault="0095318C" w:rsidP="00DC1333">
            <w:pPr>
              <w:rPr>
                <w:sz w:val="16"/>
                <w:szCs w:val="16"/>
              </w:rPr>
            </w:pPr>
            <w:r w:rsidRPr="00A30FA0">
              <w:rPr>
                <w:sz w:val="16"/>
                <w:szCs w:val="16"/>
              </w:rPr>
              <w:t>+5,4%</w:t>
            </w:r>
          </w:p>
          <w:p w:rsidR="0095318C" w:rsidRPr="00A30FA0" w:rsidRDefault="0095318C" w:rsidP="00DC1333">
            <w:pPr>
              <w:rPr>
                <w:sz w:val="16"/>
                <w:szCs w:val="16"/>
              </w:rPr>
            </w:pPr>
          </w:p>
          <w:p w:rsidR="0095318C" w:rsidRPr="00A30FA0" w:rsidRDefault="0095318C" w:rsidP="00DC1333">
            <w:pPr>
              <w:rPr>
                <w:sz w:val="16"/>
                <w:szCs w:val="16"/>
              </w:rPr>
            </w:pPr>
          </w:p>
          <w:p w:rsidR="0095318C" w:rsidRPr="00A30FA0" w:rsidRDefault="0095318C" w:rsidP="00DC1333">
            <w:pPr>
              <w:rPr>
                <w:sz w:val="16"/>
                <w:szCs w:val="16"/>
              </w:rPr>
            </w:pPr>
          </w:p>
          <w:p w:rsidR="0095318C" w:rsidRPr="00A30FA0" w:rsidRDefault="0095318C" w:rsidP="00DC1333">
            <w:pPr>
              <w:rPr>
                <w:sz w:val="16"/>
                <w:szCs w:val="16"/>
              </w:rPr>
            </w:pPr>
            <w:r w:rsidRPr="00A30FA0">
              <w:rPr>
                <w:sz w:val="16"/>
                <w:szCs w:val="16"/>
              </w:rPr>
              <w:t>Lisboa:</w:t>
            </w:r>
          </w:p>
          <w:p w:rsidR="0095318C" w:rsidRPr="00336AA6" w:rsidRDefault="0095318C" w:rsidP="00DC1333">
            <w:pPr>
              <w:rPr>
                <w:sz w:val="16"/>
                <w:szCs w:val="16"/>
              </w:rPr>
            </w:pPr>
            <w:r w:rsidRPr="00336AA6">
              <w:rPr>
                <w:sz w:val="16"/>
                <w:szCs w:val="16"/>
              </w:rPr>
              <w:t>836 de 931 registros en vigor procedentes de países con economías en transición y países desarrollados.</w:t>
            </w:r>
          </w:p>
          <w:p w:rsidR="0095318C" w:rsidRPr="00336AA6" w:rsidRDefault="0095318C" w:rsidP="00DC1333">
            <w:pPr>
              <w:rPr>
                <w:sz w:val="16"/>
                <w:szCs w:val="16"/>
              </w:rPr>
            </w:pPr>
            <w:r w:rsidRPr="00336AA6">
              <w:rPr>
                <w:sz w:val="16"/>
                <w:szCs w:val="16"/>
              </w:rPr>
              <w:t>+11</w:t>
            </w:r>
            <w:r>
              <w:rPr>
                <w:sz w:val="16"/>
                <w:szCs w:val="16"/>
              </w:rPr>
              <w:t>,</w:t>
            </w:r>
            <w:r w:rsidRPr="00336AA6">
              <w:rPr>
                <w:sz w:val="16"/>
                <w:szCs w:val="16"/>
              </w:rPr>
              <w:t>6%</w:t>
            </w:r>
          </w:p>
          <w:p w:rsidR="0095318C" w:rsidRPr="00336AA6" w:rsidRDefault="0095318C" w:rsidP="00DC1333">
            <w:pPr>
              <w:rPr>
                <w:sz w:val="16"/>
                <w:szCs w:val="16"/>
              </w:rPr>
            </w:pPr>
          </w:p>
        </w:tc>
        <w:tc>
          <w:tcPr>
            <w:tcW w:w="1197" w:type="dxa"/>
            <w:shd w:val="clear" w:color="auto" w:fill="auto"/>
            <w:tcMar>
              <w:top w:w="110" w:type="dxa"/>
            </w:tcMar>
          </w:tcPr>
          <w:p w:rsidR="0095318C" w:rsidRDefault="0095318C" w:rsidP="00DC1333">
            <w:pPr>
              <w:keepNext/>
              <w:keepLines/>
              <w:jc w:val="center"/>
              <w:rPr>
                <w:bCs/>
                <w:color w:val="808080"/>
                <w:sz w:val="16"/>
                <w:szCs w:val="16"/>
              </w:rPr>
            </w:pPr>
            <w:r>
              <w:rPr>
                <w:b/>
                <w:bCs/>
                <w:color w:val="00B050"/>
                <w:sz w:val="16"/>
                <w:szCs w:val="16"/>
              </w:rPr>
              <w:t>Plenamente logrado</w:t>
            </w:r>
            <w:r>
              <w:rPr>
                <w:bCs/>
                <w:color w:val="808080"/>
                <w:sz w:val="16"/>
                <w:szCs w:val="16"/>
              </w:rPr>
              <w:t xml:space="preserve"> </w:t>
            </w:r>
          </w:p>
          <w:p w:rsidR="0095318C" w:rsidRDefault="0095318C" w:rsidP="00DC1333">
            <w:pPr>
              <w:keepNext/>
              <w:keepLines/>
              <w:jc w:val="center"/>
              <w:rPr>
                <w:bCs/>
                <w:color w:val="808080"/>
                <w:sz w:val="16"/>
                <w:szCs w:val="16"/>
              </w:rPr>
            </w:pPr>
          </w:p>
          <w:p w:rsidR="0095318C" w:rsidRDefault="0095318C" w:rsidP="00DC1333">
            <w:pPr>
              <w:keepNext/>
              <w:keepLines/>
              <w:jc w:val="center"/>
              <w:rPr>
                <w:bCs/>
                <w:color w:val="808080"/>
                <w:sz w:val="16"/>
                <w:szCs w:val="16"/>
              </w:rPr>
            </w:pPr>
          </w:p>
          <w:p w:rsidR="0095318C" w:rsidRDefault="0095318C" w:rsidP="00DC1333">
            <w:pPr>
              <w:keepNext/>
              <w:keepLines/>
              <w:jc w:val="center"/>
              <w:rPr>
                <w:b/>
                <w:bCs/>
                <w:color w:val="00B050"/>
                <w:sz w:val="16"/>
                <w:szCs w:val="16"/>
              </w:rPr>
            </w:pPr>
          </w:p>
          <w:p w:rsidR="0095318C" w:rsidRPr="001656CD" w:rsidRDefault="0095318C" w:rsidP="00DC1333">
            <w:pPr>
              <w:keepNext/>
              <w:keepLines/>
              <w:jc w:val="center"/>
              <w:rPr>
                <w:bCs/>
                <w:color w:val="808080"/>
                <w:sz w:val="16"/>
                <w:szCs w:val="16"/>
              </w:rPr>
            </w:pPr>
            <w:r>
              <w:rPr>
                <w:b/>
                <w:bCs/>
                <w:color w:val="00B050"/>
                <w:sz w:val="16"/>
                <w:szCs w:val="16"/>
              </w:rPr>
              <w:t>Plenamente logrado</w:t>
            </w:r>
          </w:p>
        </w:tc>
      </w:tr>
      <w:tr w:rsidR="0095318C" w:rsidRPr="00267E8F" w:rsidTr="00DC1333">
        <w:trPr>
          <w:cantSplit/>
          <w:trHeight w:val="683"/>
        </w:trPr>
        <w:tc>
          <w:tcPr>
            <w:tcW w:w="9747" w:type="dxa"/>
            <w:gridSpan w:val="6"/>
            <w:tcBorders>
              <w:top w:val="single" w:sz="4" w:space="0" w:color="auto"/>
              <w:bottom w:val="single" w:sz="4" w:space="0" w:color="auto"/>
            </w:tcBorders>
            <w:shd w:val="clear" w:color="auto" w:fill="C6D9F1" w:themeFill="text2" w:themeFillTint="33"/>
            <w:vAlign w:val="center"/>
          </w:tcPr>
          <w:p w:rsidR="0095318C" w:rsidRPr="00F978AA" w:rsidRDefault="0095318C" w:rsidP="00DC1333">
            <w:pPr>
              <w:keepNext/>
              <w:keepLines/>
              <w:ind w:left="1985" w:hanging="1985"/>
              <w:rPr>
                <w:b/>
                <w:bCs/>
                <w:sz w:val="16"/>
                <w:szCs w:val="16"/>
              </w:rPr>
            </w:pPr>
            <w:r>
              <w:rPr>
                <w:b/>
                <w:bCs/>
                <w:sz w:val="16"/>
                <w:szCs w:val="16"/>
              </w:rPr>
              <w:lastRenderedPageBreak/>
              <w:t>Resultado previsto</w:t>
            </w:r>
            <w:r w:rsidRPr="00F978AA">
              <w:rPr>
                <w:b/>
                <w:bCs/>
                <w:sz w:val="16"/>
                <w:szCs w:val="16"/>
              </w:rPr>
              <w:t>:</w:t>
            </w:r>
            <w:r w:rsidRPr="00F978AA">
              <w:rPr>
                <w:b/>
                <w:bCs/>
                <w:sz w:val="16"/>
                <w:szCs w:val="16"/>
              </w:rPr>
              <w:tab/>
            </w:r>
            <w:r w:rsidRPr="00F978AA">
              <w:rPr>
                <w:sz w:val="16"/>
                <w:szCs w:val="16"/>
                <w:lang w:bidi="th-TH"/>
              </w:rPr>
              <w:t xml:space="preserve">II.8 </w:t>
            </w:r>
            <w:r w:rsidRPr="00F978AA">
              <w:rPr>
                <w:sz w:val="16"/>
                <w:szCs w:val="16"/>
              </w:rPr>
              <w:t>Las controversias nacionales e internacionales en materia de P.I. se evitan o resuelven cada vez con más frecuencia mediante procedimientos de mediación, arbitraje y demás métodos de solución extrajudicial de controversias</w:t>
            </w:r>
          </w:p>
        </w:tc>
      </w:tr>
      <w:tr w:rsidR="0095318C" w:rsidRPr="00BC6547" w:rsidTr="00DC1333">
        <w:trPr>
          <w:cantSplit/>
        </w:trPr>
        <w:tc>
          <w:tcPr>
            <w:tcW w:w="2137" w:type="dxa"/>
            <w:tcBorders>
              <w:top w:val="single" w:sz="4" w:space="0" w:color="auto"/>
            </w:tcBorders>
            <w:shd w:val="clear" w:color="auto" w:fill="auto"/>
            <w:vAlign w:val="center"/>
          </w:tcPr>
          <w:p w:rsidR="0095318C" w:rsidRPr="00BC6547" w:rsidRDefault="0095318C" w:rsidP="00DC1333">
            <w:pPr>
              <w:keepNext/>
              <w:keepLines/>
              <w:rPr>
                <w:sz w:val="16"/>
                <w:szCs w:val="16"/>
              </w:rPr>
            </w:pPr>
            <w:r>
              <w:rPr>
                <w:b/>
                <w:bCs/>
                <w:sz w:val="16"/>
                <w:szCs w:val="16"/>
              </w:rPr>
              <w:t>Indicadores de rendimiento</w:t>
            </w:r>
          </w:p>
        </w:tc>
        <w:tc>
          <w:tcPr>
            <w:tcW w:w="2420" w:type="dxa"/>
            <w:tcBorders>
              <w:top w:val="single" w:sz="4" w:space="0" w:color="auto"/>
            </w:tcBorders>
            <w:shd w:val="clear" w:color="auto" w:fill="auto"/>
            <w:vAlign w:val="center"/>
          </w:tcPr>
          <w:p w:rsidR="0095318C" w:rsidRPr="00BC6547" w:rsidRDefault="0095318C" w:rsidP="00DC1333">
            <w:pPr>
              <w:keepNext/>
              <w:keepLines/>
              <w:rPr>
                <w:b/>
                <w:bCs/>
                <w:sz w:val="16"/>
                <w:szCs w:val="16"/>
              </w:rPr>
            </w:pPr>
            <w:r>
              <w:rPr>
                <w:b/>
                <w:bCs/>
                <w:sz w:val="16"/>
                <w:szCs w:val="16"/>
              </w:rPr>
              <w:t>Referencia</w:t>
            </w:r>
          </w:p>
        </w:tc>
        <w:tc>
          <w:tcPr>
            <w:tcW w:w="1570" w:type="dxa"/>
            <w:tcBorders>
              <w:top w:val="single" w:sz="4" w:space="0" w:color="auto"/>
            </w:tcBorders>
            <w:shd w:val="clear" w:color="auto" w:fill="auto"/>
            <w:tcMar>
              <w:top w:w="110" w:type="dxa"/>
            </w:tcMar>
            <w:vAlign w:val="center"/>
          </w:tcPr>
          <w:p w:rsidR="0095318C" w:rsidRPr="00BC6547" w:rsidRDefault="0095318C" w:rsidP="00DC1333">
            <w:pPr>
              <w:keepNext/>
              <w:keepLines/>
              <w:rPr>
                <w:b/>
                <w:sz w:val="16"/>
                <w:szCs w:val="16"/>
              </w:rPr>
            </w:pPr>
            <w:r>
              <w:rPr>
                <w:b/>
                <w:sz w:val="16"/>
                <w:szCs w:val="16"/>
              </w:rPr>
              <w:t>Objetivos</w:t>
            </w:r>
          </w:p>
        </w:tc>
        <w:tc>
          <w:tcPr>
            <w:tcW w:w="2423" w:type="dxa"/>
            <w:gridSpan w:val="2"/>
            <w:tcBorders>
              <w:top w:val="single" w:sz="4" w:space="0" w:color="auto"/>
            </w:tcBorders>
            <w:shd w:val="clear" w:color="auto" w:fill="FFFFFF"/>
            <w:tcMar>
              <w:top w:w="110" w:type="dxa"/>
            </w:tcMar>
            <w:vAlign w:val="center"/>
          </w:tcPr>
          <w:p w:rsidR="0095318C" w:rsidRPr="00BC6547" w:rsidRDefault="0095318C" w:rsidP="00DC1333">
            <w:pPr>
              <w:keepNext/>
              <w:keepLines/>
              <w:rPr>
                <w:sz w:val="16"/>
                <w:szCs w:val="16"/>
              </w:rPr>
            </w:pPr>
            <w:r w:rsidRPr="001656CD">
              <w:rPr>
                <w:b/>
                <w:bCs/>
                <w:sz w:val="16"/>
                <w:szCs w:val="16"/>
              </w:rPr>
              <w:t>Datos sobre el rendimiento</w:t>
            </w:r>
          </w:p>
        </w:tc>
        <w:tc>
          <w:tcPr>
            <w:tcW w:w="1197" w:type="dxa"/>
            <w:tcBorders>
              <w:top w:val="single" w:sz="4" w:space="0" w:color="auto"/>
            </w:tcBorders>
            <w:shd w:val="clear" w:color="auto" w:fill="auto"/>
            <w:tcMar>
              <w:top w:w="110" w:type="dxa"/>
            </w:tcMar>
            <w:vAlign w:val="center"/>
          </w:tcPr>
          <w:p w:rsidR="0095318C" w:rsidRPr="00CD26D6" w:rsidRDefault="0095318C" w:rsidP="00DC1333">
            <w:pPr>
              <w:keepNext/>
              <w:keepLines/>
              <w:jc w:val="center"/>
              <w:rPr>
                <w:b/>
                <w:bCs/>
                <w:sz w:val="16"/>
                <w:szCs w:val="16"/>
              </w:rPr>
            </w:pPr>
            <w:r>
              <w:rPr>
                <w:b/>
                <w:bCs/>
                <w:sz w:val="16"/>
                <w:szCs w:val="16"/>
              </w:rPr>
              <w:t>C</w:t>
            </w:r>
            <w:r w:rsidRPr="001656CD">
              <w:rPr>
                <w:b/>
                <w:bCs/>
                <w:sz w:val="16"/>
                <w:szCs w:val="16"/>
              </w:rPr>
              <w:t>lave de los colores</w:t>
            </w:r>
          </w:p>
        </w:tc>
      </w:tr>
      <w:tr w:rsidR="0095318C" w:rsidRPr="001656CD" w:rsidTr="00DC1333">
        <w:trPr>
          <w:cantSplit/>
        </w:trPr>
        <w:tc>
          <w:tcPr>
            <w:tcW w:w="2137" w:type="dxa"/>
            <w:tcBorders>
              <w:bottom w:val="single" w:sz="4" w:space="0" w:color="auto"/>
            </w:tcBorders>
            <w:shd w:val="clear" w:color="auto" w:fill="auto"/>
          </w:tcPr>
          <w:p w:rsidR="0095318C" w:rsidRPr="005C1235" w:rsidRDefault="0095318C" w:rsidP="00DC1333">
            <w:pPr>
              <w:rPr>
                <w:sz w:val="16"/>
                <w:szCs w:val="16"/>
                <w:lang w:bidi="th-TH"/>
              </w:rPr>
            </w:pPr>
            <w:r w:rsidRPr="005C1235">
              <w:rPr>
                <w:sz w:val="16"/>
                <w:szCs w:val="16"/>
              </w:rPr>
              <w:t>Número de usuarios de países con economías en transición y países desarrollados que utilizan los servicios del Centro de Arbitraje y Mediación.</w:t>
            </w:r>
          </w:p>
        </w:tc>
        <w:tc>
          <w:tcPr>
            <w:tcW w:w="2420" w:type="dxa"/>
            <w:tcBorders>
              <w:bottom w:val="single" w:sz="4" w:space="0" w:color="auto"/>
            </w:tcBorders>
            <w:shd w:val="clear" w:color="auto" w:fill="auto"/>
          </w:tcPr>
          <w:p w:rsidR="0095318C" w:rsidRPr="003C2712" w:rsidRDefault="0095318C" w:rsidP="00DC1333">
            <w:pPr>
              <w:rPr>
                <w:color w:val="002060"/>
                <w:sz w:val="16"/>
                <w:szCs w:val="16"/>
                <w:lang w:bidi="th-TH"/>
              </w:rPr>
            </w:pPr>
            <w:r w:rsidRPr="003C2712">
              <w:rPr>
                <w:i/>
                <w:color w:val="002060"/>
                <w:sz w:val="16"/>
                <w:szCs w:val="16"/>
              </w:rPr>
              <w:t xml:space="preserve">Referencia actualizada a fines de 2013: </w:t>
            </w:r>
            <w:r>
              <w:rPr>
                <w:i/>
                <w:color w:val="002060"/>
                <w:sz w:val="16"/>
                <w:szCs w:val="16"/>
              </w:rPr>
              <w:t xml:space="preserve"> </w:t>
            </w:r>
            <w:r w:rsidRPr="003C2712">
              <w:rPr>
                <w:color w:val="002060"/>
                <w:sz w:val="16"/>
                <w:szCs w:val="16"/>
              </w:rPr>
              <w:t>359 controversias y 51 buenos oficios en relación con partes de países con economías en transición y desarrollados (en total al final de 2013).</w:t>
            </w:r>
            <w:r w:rsidRPr="003C2712">
              <w:rPr>
                <w:i/>
                <w:color w:val="002060"/>
                <w:sz w:val="16"/>
                <w:szCs w:val="16"/>
              </w:rPr>
              <w:t xml:space="preserve"> </w:t>
            </w:r>
          </w:p>
          <w:p w:rsidR="0095318C" w:rsidRPr="003C2712" w:rsidRDefault="0095318C" w:rsidP="00DC1333">
            <w:pPr>
              <w:rPr>
                <w:i/>
                <w:color w:val="002060"/>
                <w:sz w:val="8"/>
                <w:szCs w:val="8"/>
              </w:rPr>
            </w:pPr>
          </w:p>
          <w:p w:rsidR="0095318C" w:rsidRPr="009D6119" w:rsidRDefault="0095318C" w:rsidP="00A556A6">
            <w:pPr>
              <w:rPr>
                <w:color w:val="000000"/>
                <w:sz w:val="16"/>
                <w:szCs w:val="16"/>
                <w:lang w:bidi="th-TH"/>
              </w:rPr>
            </w:pPr>
            <w:r w:rsidRPr="00A30FA0">
              <w:rPr>
                <w:i/>
                <w:sz w:val="16"/>
                <w:szCs w:val="16"/>
              </w:rPr>
              <w:t>Referencia original</w:t>
            </w:r>
            <w:r w:rsidR="00A556A6">
              <w:rPr>
                <w:i/>
                <w:sz w:val="16"/>
                <w:szCs w:val="16"/>
              </w:rPr>
              <w:t xml:space="preserve"> en el presupuesto de</w:t>
            </w:r>
            <w:r w:rsidR="00A556A6" w:rsidRPr="00A30FA0">
              <w:rPr>
                <w:i/>
                <w:sz w:val="16"/>
                <w:szCs w:val="16"/>
              </w:rPr>
              <w:t xml:space="preserve"> </w:t>
            </w:r>
            <w:r w:rsidR="00A556A6" w:rsidRPr="00083772">
              <w:rPr>
                <w:i/>
                <w:sz w:val="16"/>
                <w:szCs w:val="16"/>
              </w:rPr>
              <w:t>2014/15</w:t>
            </w:r>
            <w:r w:rsidRPr="001656CD">
              <w:rPr>
                <w:i/>
                <w:sz w:val="16"/>
                <w:szCs w:val="16"/>
              </w:rPr>
              <w:t xml:space="preserve">: </w:t>
            </w:r>
            <w:r w:rsidRPr="008F7A06">
              <w:rPr>
                <w:sz w:val="16"/>
                <w:szCs w:val="16"/>
              </w:rPr>
              <w:t>Por determinar</w:t>
            </w:r>
          </w:p>
        </w:tc>
        <w:tc>
          <w:tcPr>
            <w:tcW w:w="1570" w:type="dxa"/>
            <w:tcBorders>
              <w:bottom w:val="single" w:sz="4" w:space="0" w:color="auto"/>
            </w:tcBorders>
            <w:shd w:val="clear" w:color="auto" w:fill="auto"/>
            <w:tcMar>
              <w:top w:w="110" w:type="dxa"/>
            </w:tcMar>
          </w:tcPr>
          <w:p w:rsidR="0095318C" w:rsidRPr="00486A19" w:rsidRDefault="00A556A6" w:rsidP="00DC1333">
            <w:pPr>
              <w:rPr>
                <w:sz w:val="16"/>
                <w:szCs w:val="16"/>
                <w:lang w:bidi="th-TH"/>
              </w:rPr>
            </w:pPr>
            <w:r>
              <w:rPr>
                <w:sz w:val="16"/>
                <w:szCs w:val="16"/>
              </w:rPr>
              <w:t>Aumento del 2%</w:t>
            </w:r>
          </w:p>
        </w:tc>
        <w:tc>
          <w:tcPr>
            <w:tcW w:w="2423" w:type="dxa"/>
            <w:gridSpan w:val="2"/>
            <w:tcBorders>
              <w:bottom w:val="single" w:sz="4" w:space="0" w:color="auto"/>
            </w:tcBorders>
            <w:shd w:val="clear" w:color="auto" w:fill="FFFFFF"/>
            <w:tcMar>
              <w:top w:w="110" w:type="dxa"/>
            </w:tcMar>
          </w:tcPr>
          <w:p w:rsidR="0095318C" w:rsidRPr="003C2712" w:rsidRDefault="0095318C" w:rsidP="00DC1333">
            <w:pPr>
              <w:rPr>
                <w:sz w:val="16"/>
                <w:szCs w:val="16"/>
                <w:lang w:bidi="th-TH"/>
              </w:rPr>
            </w:pPr>
            <w:r w:rsidRPr="003C2712">
              <w:rPr>
                <w:sz w:val="16"/>
                <w:szCs w:val="16"/>
                <w:lang w:bidi="th-TH"/>
              </w:rPr>
              <w:t>En 2014/15,</w:t>
            </w:r>
            <w:r w:rsidRPr="003C2712">
              <w:rPr>
                <w:sz w:val="16"/>
                <w:szCs w:val="16"/>
              </w:rPr>
              <w:t xml:space="preserve"> 102 controversias y mediaciones adicionales que incumben a partes de países en transición y desarrollados</w:t>
            </w:r>
            <w:r>
              <w:rPr>
                <w:sz w:val="16"/>
                <w:szCs w:val="16"/>
              </w:rPr>
              <w:t>.</w:t>
            </w:r>
          </w:p>
          <w:p w:rsidR="0095318C" w:rsidRPr="00A30FA0" w:rsidRDefault="0095318C" w:rsidP="00DC1333">
            <w:pPr>
              <w:rPr>
                <w:sz w:val="16"/>
                <w:szCs w:val="16"/>
                <w:lang w:bidi="th-TH"/>
              </w:rPr>
            </w:pPr>
            <w:r w:rsidRPr="00A30FA0">
              <w:rPr>
                <w:sz w:val="16"/>
                <w:szCs w:val="16"/>
                <w:lang w:bidi="th-TH"/>
              </w:rPr>
              <w:t>+24,8%</w:t>
            </w:r>
          </w:p>
          <w:p w:rsidR="0095318C" w:rsidRPr="00A30FA0" w:rsidRDefault="0095318C" w:rsidP="00DC1333">
            <w:pPr>
              <w:rPr>
                <w:sz w:val="16"/>
                <w:szCs w:val="16"/>
                <w:lang w:bidi="th-TH"/>
              </w:rPr>
            </w:pPr>
          </w:p>
          <w:p w:rsidR="0095318C" w:rsidRPr="00E402FC" w:rsidRDefault="0095318C" w:rsidP="00DC1333">
            <w:pPr>
              <w:rPr>
                <w:sz w:val="16"/>
                <w:szCs w:val="16"/>
              </w:rPr>
            </w:pPr>
            <w:r w:rsidRPr="00E402FC">
              <w:rPr>
                <w:sz w:val="16"/>
                <w:szCs w:val="16"/>
              </w:rPr>
              <w:t>461 controversias y Buenos oficios en relación con partes de países en transición y desarrollados (en total a final de 2015).</w:t>
            </w:r>
          </w:p>
          <w:p w:rsidR="0095318C" w:rsidRPr="00E402FC" w:rsidRDefault="0095318C" w:rsidP="00DC1333">
            <w:pPr>
              <w:rPr>
                <w:sz w:val="16"/>
                <w:szCs w:val="16"/>
              </w:rPr>
            </w:pPr>
          </w:p>
          <w:p w:rsidR="0095318C" w:rsidRPr="00E402FC" w:rsidRDefault="0095318C" w:rsidP="00DC1333">
            <w:pPr>
              <w:rPr>
                <w:sz w:val="16"/>
                <w:szCs w:val="16"/>
                <w:lang w:bidi="th-TH"/>
              </w:rPr>
            </w:pPr>
          </w:p>
        </w:tc>
        <w:tc>
          <w:tcPr>
            <w:tcW w:w="1197" w:type="dxa"/>
            <w:tcBorders>
              <w:bottom w:val="single" w:sz="4" w:space="0" w:color="auto"/>
            </w:tcBorders>
            <w:shd w:val="clear" w:color="auto" w:fill="auto"/>
            <w:tcMar>
              <w:top w:w="110" w:type="dxa"/>
            </w:tcMar>
          </w:tcPr>
          <w:p w:rsidR="0095318C" w:rsidRPr="001656CD" w:rsidRDefault="0095318C" w:rsidP="00DC1333">
            <w:pPr>
              <w:keepNext/>
              <w:keepLines/>
              <w:jc w:val="center"/>
              <w:rPr>
                <w:bCs/>
                <w:color w:val="808080"/>
                <w:sz w:val="16"/>
                <w:szCs w:val="16"/>
              </w:rPr>
            </w:pPr>
            <w:r>
              <w:rPr>
                <w:b/>
                <w:bCs/>
                <w:color w:val="00B050"/>
                <w:sz w:val="16"/>
                <w:szCs w:val="16"/>
              </w:rPr>
              <w:t>Plenamente logrado</w:t>
            </w:r>
          </w:p>
        </w:tc>
      </w:tr>
      <w:tr w:rsidR="0095318C" w:rsidRPr="00267E8F" w:rsidTr="00DC1333">
        <w:trPr>
          <w:cantSplit/>
          <w:trHeight w:val="550"/>
        </w:trPr>
        <w:tc>
          <w:tcPr>
            <w:tcW w:w="9747" w:type="dxa"/>
            <w:gridSpan w:val="6"/>
            <w:tcBorders>
              <w:top w:val="single" w:sz="4" w:space="0" w:color="auto"/>
              <w:bottom w:val="single" w:sz="4" w:space="0" w:color="auto"/>
            </w:tcBorders>
            <w:shd w:val="clear" w:color="auto" w:fill="C6D9F1" w:themeFill="text2" w:themeFillTint="33"/>
            <w:vAlign w:val="center"/>
          </w:tcPr>
          <w:p w:rsidR="0095318C" w:rsidRPr="003C2712" w:rsidRDefault="0095318C" w:rsidP="00DC1333">
            <w:pPr>
              <w:keepNext/>
              <w:keepLines/>
              <w:ind w:left="1985" w:hanging="1985"/>
              <w:rPr>
                <w:b/>
                <w:bCs/>
                <w:sz w:val="16"/>
                <w:szCs w:val="16"/>
              </w:rPr>
            </w:pPr>
            <w:r w:rsidRPr="003C2712">
              <w:rPr>
                <w:b/>
                <w:bCs/>
                <w:sz w:val="16"/>
                <w:szCs w:val="16"/>
              </w:rPr>
              <w:t>Resultado previsto:</w:t>
            </w:r>
            <w:r w:rsidRPr="003C2712">
              <w:rPr>
                <w:b/>
                <w:bCs/>
                <w:sz w:val="16"/>
                <w:szCs w:val="16"/>
              </w:rPr>
              <w:tab/>
            </w:r>
            <w:r w:rsidRPr="003C2712">
              <w:rPr>
                <w:sz w:val="16"/>
                <w:szCs w:val="16"/>
                <w:lang w:bidi="th-TH"/>
              </w:rPr>
              <w:t xml:space="preserve">III.1 </w:t>
            </w:r>
            <w:r w:rsidRPr="003C2712">
              <w:rPr>
                <w:sz w:val="16"/>
                <w:szCs w:val="16"/>
              </w:rPr>
              <w:t>Estrategias y planes nacionales de innovación y de P.I. que estén en sintonía con los objetivos nacionales de desarrollo</w:t>
            </w:r>
          </w:p>
        </w:tc>
      </w:tr>
      <w:tr w:rsidR="0095318C" w:rsidRPr="001656CD" w:rsidTr="00DC1333">
        <w:trPr>
          <w:cantSplit/>
          <w:trHeight w:val="274"/>
        </w:trPr>
        <w:tc>
          <w:tcPr>
            <w:tcW w:w="2137" w:type="dxa"/>
            <w:tcBorders>
              <w:top w:val="single" w:sz="4" w:space="0" w:color="auto"/>
              <w:left w:val="single" w:sz="4" w:space="0" w:color="auto"/>
              <w:bottom w:val="nil"/>
              <w:right w:val="nil"/>
            </w:tcBorders>
            <w:shd w:val="clear" w:color="auto" w:fill="auto"/>
            <w:vAlign w:val="center"/>
          </w:tcPr>
          <w:p w:rsidR="0095318C" w:rsidRPr="00BC6547" w:rsidRDefault="0095318C" w:rsidP="00DC1333">
            <w:pPr>
              <w:keepNext/>
              <w:keepLines/>
              <w:rPr>
                <w:sz w:val="16"/>
                <w:szCs w:val="16"/>
              </w:rPr>
            </w:pPr>
            <w:r>
              <w:rPr>
                <w:b/>
                <w:bCs/>
                <w:sz w:val="16"/>
                <w:szCs w:val="16"/>
              </w:rPr>
              <w:t>Indicadores de rendimiento</w:t>
            </w:r>
          </w:p>
        </w:tc>
        <w:tc>
          <w:tcPr>
            <w:tcW w:w="2420" w:type="dxa"/>
            <w:tcBorders>
              <w:top w:val="single" w:sz="4" w:space="0" w:color="auto"/>
              <w:left w:val="nil"/>
              <w:bottom w:val="nil"/>
              <w:right w:val="nil"/>
            </w:tcBorders>
            <w:shd w:val="clear" w:color="auto" w:fill="auto"/>
            <w:vAlign w:val="center"/>
          </w:tcPr>
          <w:p w:rsidR="0095318C" w:rsidRPr="00BC6547" w:rsidRDefault="0095318C" w:rsidP="00DC1333">
            <w:pPr>
              <w:keepNext/>
              <w:keepLines/>
              <w:rPr>
                <w:b/>
                <w:bCs/>
                <w:sz w:val="16"/>
                <w:szCs w:val="16"/>
              </w:rPr>
            </w:pPr>
            <w:r>
              <w:rPr>
                <w:b/>
                <w:bCs/>
                <w:sz w:val="16"/>
                <w:szCs w:val="16"/>
              </w:rPr>
              <w:t>Referencia</w:t>
            </w:r>
          </w:p>
        </w:tc>
        <w:tc>
          <w:tcPr>
            <w:tcW w:w="1570" w:type="dxa"/>
            <w:tcBorders>
              <w:top w:val="single" w:sz="4" w:space="0" w:color="auto"/>
              <w:left w:val="nil"/>
              <w:bottom w:val="nil"/>
              <w:right w:val="nil"/>
            </w:tcBorders>
            <w:shd w:val="clear" w:color="auto" w:fill="auto"/>
            <w:vAlign w:val="center"/>
          </w:tcPr>
          <w:p w:rsidR="0095318C" w:rsidRPr="00BC6547" w:rsidRDefault="0095318C" w:rsidP="00DC1333">
            <w:pPr>
              <w:keepNext/>
              <w:keepLines/>
              <w:rPr>
                <w:b/>
                <w:sz w:val="16"/>
                <w:szCs w:val="16"/>
              </w:rPr>
            </w:pPr>
            <w:r>
              <w:rPr>
                <w:b/>
                <w:sz w:val="16"/>
                <w:szCs w:val="16"/>
              </w:rPr>
              <w:t>Objetivos</w:t>
            </w:r>
          </w:p>
        </w:tc>
        <w:tc>
          <w:tcPr>
            <w:tcW w:w="2423" w:type="dxa"/>
            <w:gridSpan w:val="2"/>
            <w:tcBorders>
              <w:top w:val="single" w:sz="4" w:space="0" w:color="auto"/>
              <w:left w:val="nil"/>
              <w:bottom w:val="nil"/>
              <w:right w:val="nil"/>
            </w:tcBorders>
            <w:shd w:val="clear" w:color="auto" w:fill="auto"/>
            <w:vAlign w:val="center"/>
          </w:tcPr>
          <w:p w:rsidR="0095318C" w:rsidRPr="00BC6547" w:rsidRDefault="0095318C" w:rsidP="00DC1333">
            <w:pPr>
              <w:keepNext/>
              <w:keepLines/>
              <w:rPr>
                <w:sz w:val="16"/>
                <w:szCs w:val="16"/>
              </w:rPr>
            </w:pPr>
            <w:r w:rsidRPr="001656CD">
              <w:rPr>
                <w:b/>
                <w:bCs/>
                <w:sz w:val="16"/>
                <w:szCs w:val="16"/>
              </w:rPr>
              <w:t>Datos sobre el rendimiento</w:t>
            </w:r>
          </w:p>
        </w:tc>
        <w:tc>
          <w:tcPr>
            <w:tcW w:w="1197" w:type="dxa"/>
            <w:tcBorders>
              <w:top w:val="single" w:sz="4" w:space="0" w:color="auto"/>
              <w:left w:val="nil"/>
              <w:bottom w:val="nil"/>
              <w:right w:val="single" w:sz="4" w:space="0" w:color="auto"/>
            </w:tcBorders>
            <w:shd w:val="clear" w:color="auto" w:fill="auto"/>
            <w:vAlign w:val="center"/>
          </w:tcPr>
          <w:p w:rsidR="0095318C" w:rsidRPr="00CD26D6" w:rsidRDefault="0095318C" w:rsidP="00447371">
            <w:pPr>
              <w:keepNext/>
              <w:keepLines/>
              <w:spacing w:before="120"/>
              <w:jc w:val="center"/>
              <w:rPr>
                <w:b/>
                <w:bCs/>
                <w:sz w:val="16"/>
                <w:szCs w:val="16"/>
              </w:rPr>
            </w:pPr>
            <w:r>
              <w:rPr>
                <w:b/>
                <w:bCs/>
                <w:sz w:val="16"/>
                <w:szCs w:val="16"/>
              </w:rPr>
              <w:t>C</w:t>
            </w:r>
            <w:r w:rsidRPr="001656CD">
              <w:rPr>
                <w:b/>
                <w:bCs/>
                <w:sz w:val="16"/>
                <w:szCs w:val="16"/>
              </w:rPr>
              <w:t>lave de los colores</w:t>
            </w:r>
          </w:p>
        </w:tc>
      </w:tr>
      <w:tr w:rsidR="0095318C" w:rsidRPr="001656CD" w:rsidTr="00DC1333">
        <w:trPr>
          <w:cantSplit/>
        </w:trPr>
        <w:tc>
          <w:tcPr>
            <w:tcW w:w="2137" w:type="dxa"/>
            <w:tcBorders>
              <w:top w:val="nil"/>
              <w:left w:val="single" w:sz="4" w:space="0" w:color="auto"/>
              <w:bottom w:val="nil"/>
              <w:right w:val="nil"/>
            </w:tcBorders>
            <w:shd w:val="clear" w:color="auto" w:fill="auto"/>
          </w:tcPr>
          <w:p w:rsidR="0095318C" w:rsidRPr="00A30FA0" w:rsidRDefault="0095318C" w:rsidP="00DC1333">
            <w:pPr>
              <w:rPr>
                <w:sz w:val="16"/>
                <w:szCs w:val="16"/>
                <w:lang w:bidi="th-TH"/>
              </w:rPr>
            </w:pPr>
            <w:r w:rsidRPr="00A30FA0">
              <w:rPr>
                <w:sz w:val="16"/>
                <w:szCs w:val="16"/>
              </w:rPr>
              <w:t>Número de universidades que han elaborado políticas de P.I.</w:t>
            </w:r>
          </w:p>
        </w:tc>
        <w:tc>
          <w:tcPr>
            <w:tcW w:w="2420" w:type="dxa"/>
            <w:tcBorders>
              <w:top w:val="nil"/>
              <w:left w:val="nil"/>
              <w:bottom w:val="nil"/>
              <w:right w:val="nil"/>
            </w:tcBorders>
            <w:shd w:val="clear" w:color="auto" w:fill="auto"/>
          </w:tcPr>
          <w:p w:rsidR="0095318C" w:rsidRPr="001656CD" w:rsidRDefault="00A556A6" w:rsidP="00DC1333">
            <w:pPr>
              <w:rPr>
                <w:i/>
                <w:color w:val="002060"/>
                <w:sz w:val="16"/>
                <w:szCs w:val="16"/>
              </w:rPr>
            </w:pPr>
            <w:r>
              <w:rPr>
                <w:sz w:val="16"/>
                <w:szCs w:val="16"/>
              </w:rPr>
              <w:t>Por determinar</w:t>
            </w:r>
          </w:p>
        </w:tc>
        <w:tc>
          <w:tcPr>
            <w:tcW w:w="1570" w:type="dxa"/>
            <w:tcBorders>
              <w:top w:val="nil"/>
              <w:left w:val="nil"/>
              <w:bottom w:val="nil"/>
              <w:right w:val="nil"/>
            </w:tcBorders>
            <w:shd w:val="clear" w:color="auto" w:fill="auto"/>
            <w:tcMar>
              <w:top w:w="110" w:type="dxa"/>
            </w:tcMar>
          </w:tcPr>
          <w:p w:rsidR="0095318C" w:rsidRPr="008E6313" w:rsidRDefault="0095318C" w:rsidP="00DC1333">
            <w:pPr>
              <w:rPr>
                <w:sz w:val="16"/>
                <w:szCs w:val="16"/>
                <w:lang w:bidi="th-TH"/>
              </w:rPr>
            </w:pPr>
            <w:r w:rsidRPr="008012E3">
              <w:rPr>
                <w:sz w:val="16"/>
                <w:szCs w:val="16"/>
              </w:rPr>
              <w:t>Otras 30 universidades</w:t>
            </w:r>
          </w:p>
        </w:tc>
        <w:tc>
          <w:tcPr>
            <w:tcW w:w="2423" w:type="dxa"/>
            <w:gridSpan w:val="2"/>
            <w:tcBorders>
              <w:top w:val="nil"/>
              <w:left w:val="nil"/>
              <w:bottom w:val="nil"/>
              <w:right w:val="nil"/>
            </w:tcBorders>
            <w:shd w:val="clear" w:color="auto" w:fill="FFFFFF"/>
            <w:tcMar>
              <w:top w:w="110" w:type="dxa"/>
            </w:tcMar>
          </w:tcPr>
          <w:p w:rsidR="0095318C" w:rsidRDefault="0095318C" w:rsidP="00DC1333">
            <w:pPr>
              <w:rPr>
                <w:sz w:val="16"/>
                <w:szCs w:val="16"/>
              </w:rPr>
            </w:pPr>
            <w:r w:rsidRPr="003C2712">
              <w:rPr>
                <w:sz w:val="16"/>
                <w:szCs w:val="16"/>
              </w:rPr>
              <w:t>436 (Polonia 434; Federación de Rusia 1; Uzbekistán 1)</w:t>
            </w:r>
            <w:r>
              <w:rPr>
                <w:sz w:val="16"/>
                <w:szCs w:val="16"/>
              </w:rPr>
              <w:t>.</w:t>
            </w:r>
          </w:p>
          <w:p w:rsidR="0095318C" w:rsidRPr="003C2712" w:rsidRDefault="0095318C" w:rsidP="00DC1333">
            <w:pPr>
              <w:rPr>
                <w:sz w:val="16"/>
                <w:szCs w:val="16"/>
              </w:rPr>
            </w:pPr>
          </w:p>
          <w:p w:rsidR="0095318C" w:rsidRPr="003C2712" w:rsidRDefault="0095318C" w:rsidP="00DC1333">
            <w:pPr>
              <w:rPr>
                <w:sz w:val="16"/>
                <w:szCs w:val="16"/>
              </w:rPr>
            </w:pPr>
            <w:r w:rsidRPr="00065488">
              <w:rPr>
                <w:sz w:val="16"/>
                <w:szCs w:val="16"/>
              </w:rPr>
              <w:t>El 1 de octubre de 2014 Polonia adoptó una Ley de enseñanza superior por la cual se obliga a las instituciones de enseñanza superior a poner en marcha una política actualizada de P.I. a partir del 31 de marzo de 2015</w:t>
            </w:r>
            <w:r>
              <w:rPr>
                <w:sz w:val="16"/>
                <w:szCs w:val="16"/>
              </w:rPr>
              <w:t>.</w:t>
            </w:r>
          </w:p>
          <w:p w:rsidR="0095318C" w:rsidRPr="007C38D0" w:rsidRDefault="0095318C" w:rsidP="00DC1333">
            <w:pPr>
              <w:rPr>
                <w:sz w:val="16"/>
                <w:szCs w:val="16"/>
              </w:rPr>
            </w:pPr>
          </w:p>
          <w:p w:rsidR="0095318C" w:rsidRPr="00A30FA0" w:rsidRDefault="0095318C" w:rsidP="00DC1333">
            <w:pPr>
              <w:rPr>
                <w:sz w:val="16"/>
                <w:szCs w:val="16"/>
              </w:rPr>
            </w:pPr>
            <w:r w:rsidRPr="00A30FA0">
              <w:rPr>
                <w:sz w:val="16"/>
                <w:szCs w:val="16"/>
              </w:rPr>
              <w:t xml:space="preserve">Distintas universidades de Estonia, Lituania y Eslovaquia estaban elaborando políticas de P.I. en </w:t>
            </w:r>
            <w:r w:rsidRPr="00A30FA0">
              <w:rPr>
                <w:sz w:val="16"/>
                <w:szCs w:val="16"/>
                <w:lang w:bidi="th-TH"/>
              </w:rPr>
              <w:t>2014/15.</w:t>
            </w:r>
          </w:p>
          <w:p w:rsidR="0095318C" w:rsidRPr="00A30FA0" w:rsidRDefault="0095318C" w:rsidP="00DC1333">
            <w:pPr>
              <w:rPr>
                <w:sz w:val="16"/>
                <w:szCs w:val="16"/>
                <w:lang w:bidi="th-TH"/>
              </w:rPr>
            </w:pPr>
          </w:p>
        </w:tc>
        <w:tc>
          <w:tcPr>
            <w:tcW w:w="1197" w:type="dxa"/>
            <w:tcBorders>
              <w:top w:val="nil"/>
              <w:left w:val="nil"/>
              <w:bottom w:val="nil"/>
              <w:right w:val="single" w:sz="4" w:space="0" w:color="auto"/>
            </w:tcBorders>
            <w:shd w:val="clear" w:color="auto" w:fill="auto"/>
            <w:tcMar>
              <w:top w:w="110" w:type="dxa"/>
            </w:tcMar>
          </w:tcPr>
          <w:p w:rsidR="0095318C" w:rsidRPr="00C5428C" w:rsidRDefault="0095318C" w:rsidP="00DC1333">
            <w:pPr>
              <w:keepNext/>
              <w:keepLines/>
              <w:jc w:val="center"/>
              <w:rPr>
                <w:b/>
                <w:bCs/>
                <w:color w:val="00B050"/>
                <w:sz w:val="16"/>
                <w:szCs w:val="16"/>
              </w:rPr>
            </w:pPr>
            <w:r>
              <w:rPr>
                <w:b/>
                <w:bCs/>
                <w:color w:val="00B050"/>
                <w:sz w:val="16"/>
                <w:szCs w:val="16"/>
              </w:rPr>
              <w:t>Plenamente logrado</w:t>
            </w:r>
          </w:p>
        </w:tc>
      </w:tr>
      <w:tr w:rsidR="0095318C" w:rsidRPr="001656CD" w:rsidTr="00DC1333">
        <w:trPr>
          <w:cantSplit/>
        </w:trPr>
        <w:tc>
          <w:tcPr>
            <w:tcW w:w="2137" w:type="dxa"/>
            <w:tcBorders>
              <w:top w:val="nil"/>
              <w:left w:val="single" w:sz="4" w:space="0" w:color="auto"/>
              <w:bottom w:val="single" w:sz="4" w:space="0" w:color="auto"/>
            </w:tcBorders>
            <w:shd w:val="clear" w:color="auto" w:fill="auto"/>
          </w:tcPr>
          <w:p w:rsidR="0095318C" w:rsidRPr="00A30FA0" w:rsidRDefault="0095318C" w:rsidP="00DC1333">
            <w:pPr>
              <w:rPr>
                <w:sz w:val="16"/>
                <w:szCs w:val="16"/>
                <w:lang w:bidi="th-TH"/>
              </w:rPr>
            </w:pPr>
            <w:r w:rsidRPr="00A30FA0">
              <w:rPr>
                <w:sz w:val="16"/>
                <w:szCs w:val="16"/>
              </w:rPr>
              <w:t>Número de países que han elaborado estrategias/planes nacionales de P.I.</w:t>
            </w:r>
          </w:p>
        </w:tc>
        <w:tc>
          <w:tcPr>
            <w:tcW w:w="2420" w:type="dxa"/>
            <w:tcBorders>
              <w:top w:val="nil"/>
              <w:bottom w:val="single" w:sz="4" w:space="0" w:color="auto"/>
            </w:tcBorders>
            <w:shd w:val="clear" w:color="auto" w:fill="auto"/>
          </w:tcPr>
          <w:p w:rsidR="0095318C" w:rsidRPr="003C2712" w:rsidRDefault="0095318C" w:rsidP="00DC1333">
            <w:pPr>
              <w:rPr>
                <w:i/>
                <w:color w:val="002060"/>
                <w:sz w:val="16"/>
                <w:szCs w:val="16"/>
              </w:rPr>
            </w:pPr>
            <w:r w:rsidRPr="003C2712">
              <w:rPr>
                <w:sz w:val="16"/>
                <w:szCs w:val="16"/>
              </w:rPr>
              <w:t>14 (en total al final d</w:t>
            </w:r>
            <w:r w:rsidR="00A556A6">
              <w:rPr>
                <w:sz w:val="16"/>
                <w:szCs w:val="16"/>
              </w:rPr>
              <w:t>e 2013)</w:t>
            </w:r>
          </w:p>
        </w:tc>
        <w:tc>
          <w:tcPr>
            <w:tcW w:w="1570" w:type="dxa"/>
            <w:tcBorders>
              <w:top w:val="nil"/>
              <w:bottom w:val="single" w:sz="4" w:space="0" w:color="auto"/>
            </w:tcBorders>
            <w:shd w:val="clear" w:color="auto" w:fill="auto"/>
            <w:tcMar>
              <w:top w:w="110" w:type="dxa"/>
            </w:tcMar>
          </w:tcPr>
          <w:p w:rsidR="0095318C" w:rsidRPr="008012E3" w:rsidRDefault="00A556A6" w:rsidP="00DC1333">
            <w:pPr>
              <w:rPr>
                <w:sz w:val="16"/>
                <w:szCs w:val="16"/>
                <w:lang w:bidi="th-TH"/>
              </w:rPr>
            </w:pPr>
            <w:r>
              <w:rPr>
                <w:sz w:val="16"/>
                <w:szCs w:val="16"/>
              </w:rPr>
              <w:t>6 países adicionales</w:t>
            </w:r>
          </w:p>
        </w:tc>
        <w:tc>
          <w:tcPr>
            <w:tcW w:w="2423" w:type="dxa"/>
            <w:gridSpan w:val="2"/>
            <w:tcBorders>
              <w:top w:val="nil"/>
              <w:bottom w:val="single" w:sz="4" w:space="0" w:color="auto"/>
            </w:tcBorders>
            <w:shd w:val="clear" w:color="auto" w:fill="FFFFFF"/>
            <w:tcMar>
              <w:top w:w="110" w:type="dxa"/>
            </w:tcMar>
          </w:tcPr>
          <w:p w:rsidR="0095318C" w:rsidRPr="003C2712" w:rsidRDefault="0095318C" w:rsidP="00DC1333">
            <w:pPr>
              <w:rPr>
                <w:sz w:val="16"/>
                <w:szCs w:val="16"/>
                <w:lang w:bidi="th-TH"/>
              </w:rPr>
            </w:pPr>
            <w:r w:rsidRPr="003C2712">
              <w:rPr>
                <w:sz w:val="16"/>
                <w:szCs w:val="16"/>
              </w:rPr>
              <w:t xml:space="preserve">6 </w:t>
            </w:r>
            <w:r>
              <w:rPr>
                <w:sz w:val="16"/>
                <w:szCs w:val="16"/>
              </w:rPr>
              <w:t xml:space="preserve">países </w:t>
            </w:r>
            <w:r w:rsidRPr="003C2712">
              <w:rPr>
                <w:sz w:val="16"/>
                <w:szCs w:val="16"/>
              </w:rPr>
              <w:t>(Bulgaria, Eslovenia, Tayikistán, Turquía, Turkmenistán, Ucrania)</w:t>
            </w:r>
          </w:p>
          <w:p w:rsidR="0095318C" w:rsidRPr="003C2712" w:rsidRDefault="0095318C" w:rsidP="00DC1333">
            <w:pPr>
              <w:rPr>
                <w:sz w:val="16"/>
                <w:szCs w:val="16"/>
                <w:lang w:bidi="th-TH"/>
              </w:rPr>
            </w:pPr>
          </w:p>
          <w:p w:rsidR="0095318C" w:rsidRDefault="0095318C" w:rsidP="00DC1333">
            <w:pPr>
              <w:rPr>
                <w:sz w:val="16"/>
                <w:szCs w:val="16"/>
                <w:lang w:bidi="th-TH"/>
              </w:rPr>
            </w:pPr>
            <w:r w:rsidRPr="00E402FC">
              <w:rPr>
                <w:sz w:val="16"/>
                <w:szCs w:val="16"/>
                <w:lang w:bidi="th-TH"/>
              </w:rPr>
              <w:t>4 países (Albania, Georgia, Polonia</w:t>
            </w:r>
            <w:r w:rsidR="00A556A6">
              <w:rPr>
                <w:sz w:val="16"/>
                <w:szCs w:val="16"/>
                <w:lang w:bidi="th-TH"/>
              </w:rPr>
              <w:t xml:space="preserve">, Letonia) </w:t>
            </w:r>
            <w:r w:rsidR="008F7A06">
              <w:rPr>
                <w:sz w:val="16"/>
                <w:szCs w:val="16"/>
                <w:lang w:bidi="th-TH"/>
              </w:rPr>
              <w:t>comenzaron a elaborar estrategias nacionales de P.I.</w:t>
            </w:r>
          </w:p>
          <w:p w:rsidR="0095318C" w:rsidRPr="00E402FC" w:rsidRDefault="0095318C" w:rsidP="00DC1333">
            <w:pPr>
              <w:rPr>
                <w:sz w:val="16"/>
                <w:szCs w:val="16"/>
                <w:lang w:bidi="th-TH"/>
              </w:rPr>
            </w:pPr>
          </w:p>
        </w:tc>
        <w:tc>
          <w:tcPr>
            <w:tcW w:w="1197" w:type="dxa"/>
            <w:tcBorders>
              <w:top w:val="nil"/>
              <w:bottom w:val="single" w:sz="4" w:space="0" w:color="auto"/>
              <w:right w:val="single" w:sz="4" w:space="0" w:color="auto"/>
            </w:tcBorders>
            <w:shd w:val="clear" w:color="auto" w:fill="auto"/>
            <w:tcMar>
              <w:top w:w="110" w:type="dxa"/>
            </w:tcMar>
          </w:tcPr>
          <w:p w:rsidR="0095318C" w:rsidRPr="00C5428C" w:rsidRDefault="0095318C" w:rsidP="00DC1333">
            <w:pPr>
              <w:keepNext/>
              <w:keepLines/>
              <w:jc w:val="center"/>
              <w:rPr>
                <w:b/>
                <w:bCs/>
                <w:color w:val="00B050"/>
                <w:sz w:val="16"/>
                <w:szCs w:val="16"/>
              </w:rPr>
            </w:pPr>
            <w:r>
              <w:rPr>
                <w:b/>
                <w:bCs/>
                <w:color w:val="00B050"/>
                <w:sz w:val="16"/>
                <w:szCs w:val="16"/>
              </w:rPr>
              <w:t>Plenamente logrado</w:t>
            </w:r>
          </w:p>
        </w:tc>
      </w:tr>
      <w:tr w:rsidR="0095318C" w:rsidRPr="00267E8F" w:rsidTr="00DC1333">
        <w:trPr>
          <w:cantSplit/>
          <w:trHeight w:val="746"/>
        </w:trPr>
        <w:tc>
          <w:tcPr>
            <w:tcW w:w="9747" w:type="dxa"/>
            <w:gridSpan w:val="6"/>
            <w:tcBorders>
              <w:top w:val="single" w:sz="4" w:space="0" w:color="auto"/>
              <w:bottom w:val="single" w:sz="4" w:space="0" w:color="auto"/>
            </w:tcBorders>
            <w:shd w:val="clear" w:color="auto" w:fill="C6D9F1" w:themeFill="text2" w:themeFillTint="33"/>
            <w:vAlign w:val="center"/>
          </w:tcPr>
          <w:p w:rsidR="0095318C" w:rsidRPr="00BB781D" w:rsidRDefault="0095318C" w:rsidP="00DC1333">
            <w:pPr>
              <w:keepNext/>
              <w:keepLines/>
              <w:ind w:left="1985" w:hanging="1985"/>
              <w:rPr>
                <w:b/>
                <w:bCs/>
                <w:sz w:val="16"/>
                <w:szCs w:val="16"/>
              </w:rPr>
            </w:pPr>
            <w:r>
              <w:rPr>
                <w:b/>
                <w:bCs/>
                <w:sz w:val="16"/>
                <w:szCs w:val="16"/>
              </w:rPr>
              <w:t>Resultado previsto</w:t>
            </w:r>
            <w:r w:rsidRPr="00BB781D">
              <w:rPr>
                <w:b/>
                <w:bCs/>
                <w:sz w:val="16"/>
                <w:szCs w:val="16"/>
              </w:rPr>
              <w:t>:</w:t>
            </w:r>
            <w:r w:rsidRPr="00BB781D">
              <w:rPr>
                <w:b/>
                <w:bCs/>
                <w:sz w:val="16"/>
                <w:szCs w:val="16"/>
              </w:rPr>
              <w:tab/>
            </w:r>
            <w:r w:rsidRPr="00BB781D">
              <w:rPr>
                <w:sz w:val="16"/>
                <w:szCs w:val="16"/>
                <w:lang w:bidi="th-TH"/>
              </w:rPr>
              <w:t xml:space="preserve">III.2 </w:t>
            </w:r>
            <w:r w:rsidRPr="00BB781D">
              <w:rPr>
                <w:sz w:val="16"/>
                <w:szCs w:val="16"/>
              </w:rPr>
              <w:t>Aumento de las capacidades en recursos humanos para hacer frente a la gran diversidad de exigencias que supone la utilización eficaz de la P.I. para fomentar el desarrollo en los países en desarrollo, PMA y países con economías en transición</w:t>
            </w:r>
          </w:p>
        </w:tc>
      </w:tr>
      <w:tr w:rsidR="0095318C" w:rsidRPr="001656CD" w:rsidTr="00DC1333">
        <w:trPr>
          <w:cantSplit/>
          <w:trHeight w:val="281"/>
        </w:trPr>
        <w:tc>
          <w:tcPr>
            <w:tcW w:w="2137" w:type="dxa"/>
            <w:tcBorders>
              <w:top w:val="single" w:sz="4" w:space="0" w:color="auto"/>
              <w:left w:val="single" w:sz="4" w:space="0" w:color="auto"/>
              <w:bottom w:val="nil"/>
              <w:right w:val="nil"/>
            </w:tcBorders>
            <w:shd w:val="clear" w:color="auto" w:fill="auto"/>
            <w:vAlign w:val="center"/>
          </w:tcPr>
          <w:p w:rsidR="0095318C" w:rsidRPr="00BC6547" w:rsidRDefault="0095318C" w:rsidP="00DC1333">
            <w:pPr>
              <w:keepNext/>
              <w:keepLines/>
              <w:rPr>
                <w:sz w:val="16"/>
                <w:szCs w:val="16"/>
              </w:rPr>
            </w:pPr>
            <w:r>
              <w:rPr>
                <w:b/>
                <w:bCs/>
                <w:sz w:val="16"/>
                <w:szCs w:val="16"/>
              </w:rPr>
              <w:t>Indicadores de rendimiento</w:t>
            </w:r>
          </w:p>
        </w:tc>
        <w:tc>
          <w:tcPr>
            <w:tcW w:w="2420" w:type="dxa"/>
            <w:tcBorders>
              <w:top w:val="single" w:sz="4" w:space="0" w:color="auto"/>
              <w:left w:val="nil"/>
              <w:bottom w:val="nil"/>
              <w:right w:val="nil"/>
            </w:tcBorders>
            <w:shd w:val="clear" w:color="auto" w:fill="auto"/>
            <w:vAlign w:val="center"/>
          </w:tcPr>
          <w:p w:rsidR="0095318C" w:rsidRPr="00BC6547" w:rsidRDefault="0095318C" w:rsidP="00DC1333">
            <w:pPr>
              <w:keepNext/>
              <w:keepLines/>
              <w:rPr>
                <w:b/>
                <w:bCs/>
                <w:sz w:val="16"/>
                <w:szCs w:val="16"/>
              </w:rPr>
            </w:pPr>
            <w:r>
              <w:rPr>
                <w:b/>
                <w:bCs/>
                <w:sz w:val="16"/>
                <w:szCs w:val="16"/>
              </w:rPr>
              <w:t>Referencia</w:t>
            </w:r>
          </w:p>
        </w:tc>
        <w:tc>
          <w:tcPr>
            <w:tcW w:w="1570" w:type="dxa"/>
            <w:tcBorders>
              <w:top w:val="single" w:sz="4" w:space="0" w:color="auto"/>
              <w:left w:val="nil"/>
              <w:bottom w:val="nil"/>
              <w:right w:val="nil"/>
            </w:tcBorders>
            <w:shd w:val="clear" w:color="auto" w:fill="auto"/>
            <w:vAlign w:val="center"/>
          </w:tcPr>
          <w:p w:rsidR="0095318C" w:rsidRPr="00BC6547" w:rsidRDefault="0095318C" w:rsidP="00DC1333">
            <w:pPr>
              <w:keepNext/>
              <w:keepLines/>
              <w:rPr>
                <w:b/>
                <w:sz w:val="16"/>
                <w:szCs w:val="16"/>
              </w:rPr>
            </w:pPr>
            <w:r>
              <w:rPr>
                <w:b/>
                <w:sz w:val="16"/>
                <w:szCs w:val="16"/>
              </w:rPr>
              <w:t>Objetivos</w:t>
            </w:r>
          </w:p>
        </w:tc>
        <w:tc>
          <w:tcPr>
            <w:tcW w:w="2423" w:type="dxa"/>
            <w:gridSpan w:val="2"/>
            <w:tcBorders>
              <w:top w:val="single" w:sz="4" w:space="0" w:color="auto"/>
              <w:left w:val="nil"/>
              <w:bottom w:val="nil"/>
              <w:right w:val="nil"/>
            </w:tcBorders>
            <w:shd w:val="clear" w:color="auto" w:fill="auto"/>
            <w:vAlign w:val="center"/>
          </w:tcPr>
          <w:p w:rsidR="0095318C" w:rsidRPr="00BC6547" w:rsidRDefault="0095318C" w:rsidP="00DC1333">
            <w:pPr>
              <w:keepNext/>
              <w:keepLines/>
              <w:rPr>
                <w:sz w:val="16"/>
                <w:szCs w:val="16"/>
              </w:rPr>
            </w:pPr>
            <w:r w:rsidRPr="001656CD">
              <w:rPr>
                <w:b/>
                <w:bCs/>
                <w:sz w:val="16"/>
                <w:szCs w:val="16"/>
              </w:rPr>
              <w:t>Datos sobre el rendimiento</w:t>
            </w:r>
          </w:p>
        </w:tc>
        <w:tc>
          <w:tcPr>
            <w:tcW w:w="1197" w:type="dxa"/>
            <w:tcBorders>
              <w:top w:val="single" w:sz="4" w:space="0" w:color="auto"/>
              <w:left w:val="nil"/>
              <w:bottom w:val="nil"/>
              <w:right w:val="single" w:sz="4" w:space="0" w:color="auto"/>
            </w:tcBorders>
            <w:shd w:val="clear" w:color="auto" w:fill="auto"/>
            <w:vAlign w:val="center"/>
          </w:tcPr>
          <w:p w:rsidR="0095318C" w:rsidRPr="00CD26D6" w:rsidRDefault="0095318C" w:rsidP="00447371">
            <w:pPr>
              <w:keepNext/>
              <w:keepLines/>
              <w:spacing w:before="120"/>
              <w:jc w:val="center"/>
              <w:rPr>
                <w:b/>
                <w:bCs/>
                <w:sz w:val="16"/>
                <w:szCs w:val="16"/>
              </w:rPr>
            </w:pPr>
            <w:r>
              <w:rPr>
                <w:b/>
                <w:bCs/>
                <w:sz w:val="16"/>
                <w:szCs w:val="16"/>
              </w:rPr>
              <w:t>C</w:t>
            </w:r>
            <w:r w:rsidRPr="001656CD">
              <w:rPr>
                <w:b/>
                <w:bCs/>
                <w:sz w:val="16"/>
                <w:szCs w:val="16"/>
              </w:rPr>
              <w:t>lave de los colores</w:t>
            </w:r>
          </w:p>
        </w:tc>
      </w:tr>
      <w:tr w:rsidR="0095318C" w:rsidRPr="001656CD" w:rsidTr="00DC1333">
        <w:trPr>
          <w:cantSplit/>
        </w:trPr>
        <w:tc>
          <w:tcPr>
            <w:tcW w:w="2137" w:type="dxa"/>
            <w:tcBorders>
              <w:top w:val="nil"/>
              <w:left w:val="single" w:sz="4" w:space="0" w:color="auto"/>
              <w:bottom w:val="single" w:sz="4" w:space="0" w:color="auto"/>
              <w:right w:val="nil"/>
            </w:tcBorders>
            <w:shd w:val="clear" w:color="auto" w:fill="auto"/>
          </w:tcPr>
          <w:p w:rsidR="0095318C" w:rsidRPr="005C1235" w:rsidRDefault="0095318C" w:rsidP="00DC1333">
            <w:pPr>
              <w:rPr>
                <w:sz w:val="16"/>
                <w:szCs w:val="16"/>
                <w:lang w:bidi="th-TH"/>
              </w:rPr>
            </w:pPr>
            <w:r w:rsidRPr="005C1235">
              <w:rPr>
                <w:sz w:val="16"/>
                <w:szCs w:val="16"/>
              </w:rPr>
              <w:t>Número de países con economías en transición que han establecido programas o cursos anuales de formación en P.I. para los profesionales de la P.I.</w:t>
            </w:r>
          </w:p>
        </w:tc>
        <w:tc>
          <w:tcPr>
            <w:tcW w:w="2420" w:type="dxa"/>
            <w:tcBorders>
              <w:top w:val="nil"/>
              <w:left w:val="nil"/>
              <w:bottom w:val="single" w:sz="4" w:space="0" w:color="auto"/>
              <w:right w:val="nil"/>
            </w:tcBorders>
            <w:shd w:val="clear" w:color="auto" w:fill="auto"/>
          </w:tcPr>
          <w:p w:rsidR="0095318C" w:rsidRPr="001656CD" w:rsidRDefault="00A556A6" w:rsidP="00DC1333">
            <w:pPr>
              <w:rPr>
                <w:i/>
                <w:color w:val="002060"/>
                <w:sz w:val="16"/>
                <w:szCs w:val="16"/>
              </w:rPr>
            </w:pPr>
            <w:r>
              <w:rPr>
                <w:sz w:val="16"/>
                <w:szCs w:val="16"/>
              </w:rPr>
              <w:t>Por determinar</w:t>
            </w:r>
          </w:p>
        </w:tc>
        <w:tc>
          <w:tcPr>
            <w:tcW w:w="1570" w:type="dxa"/>
            <w:tcBorders>
              <w:top w:val="nil"/>
              <w:left w:val="nil"/>
              <w:bottom w:val="single" w:sz="4" w:space="0" w:color="auto"/>
              <w:right w:val="nil"/>
            </w:tcBorders>
            <w:shd w:val="clear" w:color="auto" w:fill="auto"/>
            <w:tcMar>
              <w:top w:w="110" w:type="dxa"/>
            </w:tcMar>
          </w:tcPr>
          <w:p w:rsidR="0095318C" w:rsidRDefault="0095318C" w:rsidP="00DC1333">
            <w:pPr>
              <w:rPr>
                <w:sz w:val="16"/>
                <w:szCs w:val="16"/>
                <w:lang w:bidi="th-TH"/>
              </w:rPr>
            </w:pPr>
            <w:r>
              <w:rPr>
                <w:sz w:val="16"/>
                <w:szCs w:val="16"/>
                <w:lang w:bidi="th-TH"/>
              </w:rPr>
              <w:t>10</w:t>
            </w:r>
          </w:p>
          <w:p w:rsidR="0095318C" w:rsidRPr="00F01083" w:rsidRDefault="0095318C" w:rsidP="00DC1333">
            <w:pPr>
              <w:rPr>
                <w:sz w:val="16"/>
                <w:szCs w:val="16"/>
                <w:lang w:bidi="th-TH"/>
              </w:rPr>
            </w:pPr>
          </w:p>
        </w:tc>
        <w:tc>
          <w:tcPr>
            <w:tcW w:w="2423" w:type="dxa"/>
            <w:gridSpan w:val="2"/>
            <w:tcBorders>
              <w:top w:val="nil"/>
              <w:left w:val="nil"/>
              <w:bottom w:val="single" w:sz="4" w:space="0" w:color="auto"/>
              <w:right w:val="nil"/>
            </w:tcBorders>
            <w:shd w:val="clear" w:color="auto" w:fill="FFFFFF"/>
            <w:tcMar>
              <w:top w:w="110" w:type="dxa"/>
            </w:tcMar>
          </w:tcPr>
          <w:p w:rsidR="0095318C" w:rsidRPr="00A30FA0" w:rsidRDefault="0095318C" w:rsidP="00DC1333">
            <w:pPr>
              <w:rPr>
                <w:sz w:val="16"/>
                <w:szCs w:val="16"/>
              </w:rPr>
            </w:pPr>
            <w:r w:rsidRPr="00A30FA0">
              <w:rPr>
                <w:sz w:val="16"/>
                <w:szCs w:val="16"/>
              </w:rPr>
              <w:t>9 (Bulgaria, Croacia, República Checa, Georgia, Kazajstán, Polonia</w:t>
            </w:r>
            <w:r w:rsidR="00447371">
              <w:rPr>
                <w:sz w:val="16"/>
                <w:szCs w:val="16"/>
              </w:rPr>
              <w:t>, Rumania, Eslovaquia, Turquía)</w:t>
            </w:r>
          </w:p>
          <w:p w:rsidR="0095318C" w:rsidRPr="00A30FA0" w:rsidRDefault="0095318C" w:rsidP="00DC1333">
            <w:pPr>
              <w:rPr>
                <w:sz w:val="16"/>
                <w:szCs w:val="16"/>
                <w:lang w:bidi="th-TH"/>
              </w:rPr>
            </w:pPr>
          </w:p>
          <w:p w:rsidR="0095318C" w:rsidRPr="0095318C" w:rsidRDefault="0095318C" w:rsidP="00DC1333">
            <w:pPr>
              <w:rPr>
                <w:sz w:val="16"/>
                <w:szCs w:val="16"/>
                <w:lang w:val="en-US" w:bidi="th-TH"/>
              </w:rPr>
            </w:pPr>
            <w:r w:rsidRPr="0095318C">
              <w:rPr>
                <w:sz w:val="16"/>
                <w:szCs w:val="16"/>
                <w:lang w:val="en-US" w:bidi="th-TH"/>
              </w:rPr>
              <w:t xml:space="preserve">El 27 de </w:t>
            </w:r>
            <w:proofErr w:type="spellStart"/>
            <w:r w:rsidRPr="0095318C">
              <w:rPr>
                <w:sz w:val="16"/>
                <w:szCs w:val="16"/>
                <w:lang w:val="en-US" w:bidi="th-TH"/>
              </w:rPr>
              <w:t>marzo</w:t>
            </w:r>
            <w:proofErr w:type="spellEnd"/>
            <w:r w:rsidRPr="0095318C">
              <w:rPr>
                <w:sz w:val="16"/>
                <w:szCs w:val="16"/>
                <w:lang w:val="en-US" w:bidi="th-TH"/>
              </w:rPr>
              <w:t xml:space="preserve"> de 2015, el </w:t>
            </w:r>
            <w:proofErr w:type="spellStart"/>
            <w:r w:rsidRPr="0095318C">
              <w:rPr>
                <w:sz w:val="16"/>
                <w:szCs w:val="16"/>
                <w:lang w:val="en-US" w:bidi="th-TH"/>
              </w:rPr>
              <w:t>Gobierno</w:t>
            </w:r>
            <w:proofErr w:type="spellEnd"/>
            <w:r w:rsidRPr="0095318C">
              <w:rPr>
                <w:sz w:val="16"/>
                <w:szCs w:val="16"/>
                <w:lang w:val="en-US" w:bidi="th-TH"/>
              </w:rPr>
              <w:t xml:space="preserve"> de Rumania </w:t>
            </w:r>
            <w:proofErr w:type="spellStart"/>
            <w:r w:rsidRPr="0095318C">
              <w:rPr>
                <w:sz w:val="16"/>
                <w:szCs w:val="16"/>
                <w:lang w:val="en-US" w:bidi="th-TH"/>
              </w:rPr>
              <w:t>aprobó</w:t>
            </w:r>
            <w:proofErr w:type="spellEnd"/>
            <w:r w:rsidRPr="0095318C">
              <w:rPr>
                <w:sz w:val="16"/>
                <w:szCs w:val="16"/>
                <w:lang w:val="en-US" w:bidi="th-TH"/>
              </w:rPr>
              <w:t xml:space="preserve"> el </w:t>
            </w:r>
            <w:r w:rsidRPr="0095318C">
              <w:rPr>
                <w:i/>
                <w:sz w:val="16"/>
                <w:szCs w:val="16"/>
                <w:lang w:val="en-US" w:bidi="th-TH"/>
              </w:rPr>
              <w:t>School Program for the Optional Course Education for Intellectual Property Rights (Curriculum at the High-school Decision).</w:t>
            </w:r>
          </w:p>
          <w:p w:rsidR="0095318C" w:rsidRPr="0095318C" w:rsidRDefault="0095318C" w:rsidP="00DC1333">
            <w:pPr>
              <w:rPr>
                <w:sz w:val="16"/>
                <w:szCs w:val="16"/>
                <w:lang w:val="en-US" w:bidi="th-TH"/>
              </w:rPr>
            </w:pPr>
          </w:p>
        </w:tc>
        <w:tc>
          <w:tcPr>
            <w:tcW w:w="1197" w:type="dxa"/>
            <w:tcBorders>
              <w:top w:val="nil"/>
              <w:left w:val="nil"/>
              <w:bottom w:val="single" w:sz="4" w:space="0" w:color="auto"/>
              <w:right w:val="single" w:sz="4" w:space="0" w:color="auto"/>
            </w:tcBorders>
            <w:shd w:val="clear" w:color="auto" w:fill="auto"/>
            <w:tcMar>
              <w:top w:w="110" w:type="dxa"/>
            </w:tcMar>
          </w:tcPr>
          <w:p w:rsidR="0095318C" w:rsidRPr="00C5428C" w:rsidRDefault="0095318C" w:rsidP="00DC1333">
            <w:pPr>
              <w:keepNext/>
              <w:keepLines/>
              <w:jc w:val="center"/>
              <w:rPr>
                <w:b/>
                <w:bCs/>
                <w:color w:val="00B050"/>
                <w:sz w:val="16"/>
                <w:szCs w:val="16"/>
              </w:rPr>
            </w:pPr>
            <w:r>
              <w:rPr>
                <w:b/>
                <w:bCs/>
                <w:color w:val="00B050"/>
                <w:sz w:val="16"/>
                <w:szCs w:val="16"/>
              </w:rPr>
              <w:t>Plenamente logrado</w:t>
            </w:r>
          </w:p>
        </w:tc>
      </w:tr>
      <w:tr w:rsidR="0095318C" w:rsidRPr="001656CD" w:rsidTr="00DC1333">
        <w:trPr>
          <w:cantSplit/>
        </w:trPr>
        <w:tc>
          <w:tcPr>
            <w:tcW w:w="2137" w:type="dxa"/>
            <w:tcBorders>
              <w:top w:val="single" w:sz="4" w:space="0" w:color="auto"/>
              <w:left w:val="single" w:sz="4" w:space="0" w:color="auto"/>
              <w:bottom w:val="single" w:sz="4" w:space="0" w:color="auto"/>
            </w:tcBorders>
            <w:shd w:val="clear" w:color="auto" w:fill="auto"/>
          </w:tcPr>
          <w:p w:rsidR="0095318C" w:rsidRDefault="0095318C" w:rsidP="00DC1333">
            <w:pPr>
              <w:rPr>
                <w:sz w:val="16"/>
                <w:szCs w:val="16"/>
              </w:rPr>
            </w:pPr>
            <w:r w:rsidRPr="005C1235">
              <w:rPr>
                <w:sz w:val="16"/>
                <w:szCs w:val="16"/>
              </w:rPr>
              <w:lastRenderedPageBreak/>
              <w:t xml:space="preserve">Porcentaje de profesionales de P.I. y funcionarios de oficinas de P.I. que </w:t>
            </w:r>
            <w:r>
              <w:rPr>
                <w:sz w:val="16"/>
                <w:szCs w:val="16"/>
              </w:rPr>
              <w:t xml:space="preserve">han recibido formación y </w:t>
            </w:r>
            <w:r w:rsidRPr="005C1235">
              <w:rPr>
                <w:sz w:val="16"/>
                <w:szCs w:val="16"/>
              </w:rPr>
              <w:t>utilizan en su trabajo las nuevas aptitudes adquiridas.</w:t>
            </w:r>
          </w:p>
          <w:p w:rsidR="0095318C" w:rsidRPr="005C1235" w:rsidRDefault="0095318C" w:rsidP="00DC1333">
            <w:pPr>
              <w:rPr>
                <w:sz w:val="16"/>
                <w:szCs w:val="16"/>
                <w:lang w:bidi="th-TH"/>
              </w:rPr>
            </w:pPr>
          </w:p>
        </w:tc>
        <w:tc>
          <w:tcPr>
            <w:tcW w:w="2420" w:type="dxa"/>
            <w:tcBorders>
              <w:top w:val="single" w:sz="4" w:space="0" w:color="auto"/>
              <w:bottom w:val="single" w:sz="4" w:space="0" w:color="auto"/>
            </w:tcBorders>
            <w:shd w:val="clear" w:color="auto" w:fill="auto"/>
          </w:tcPr>
          <w:p w:rsidR="0095318C" w:rsidRPr="00BB781D" w:rsidRDefault="0095318C" w:rsidP="00DC1333">
            <w:pPr>
              <w:rPr>
                <w:color w:val="002060"/>
                <w:sz w:val="16"/>
                <w:szCs w:val="16"/>
                <w:lang w:bidi="th-TH"/>
              </w:rPr>
            </w:pPr>
            <w:r w:rsidRPr="00BB781D">
              <w:rPr>
                <w:i/>
                <w:color w:val="002060"/>
                <w:sz w:val="16"/>
                <w:szCs w:val="16"/>
              </w:rPr>
              <w:t xml:space="preserve">Referencia actualizada a fines de 2013: </w:t>
            </w:r>
            <w:r w:rsidRPr="00BB781D">
              <w:rPr>
                <w:color w:val="002060"/>
                <w:sz w:val="16"/>
                <w:szCs w:val="16"/>
              </w:rPr>
              <w:t>el 69% de funcionarios de oficinas de P.I. han recibido formación y utilizan en su trabajo las nuevas aptitudes adquiridas.</w:t>
            </w:r>
          </w:p>
          <w:p w:rsidR="0095318C" w:rsidRPr="00BB781D" w:rsidRDefault="0095318C" w:rsidP="00DC1333">
            <w:pPr>
              <w:rPr>
                <w:i/>
                <w:color w:val="002060"/>
                <w:sz w:val="8"/>
                <w:szCs w:val="8"/>
              </w:rPr>
            </w:pPr>
          </w:p>
          <w:p w:rsidR="0095318C" w:rsidRDefault="0095318C" w:rsidP="00DC1333">
            <w:pPr>
              <w:rPr>
                <w:sz w:val="16"/>
                <w:szCs w:val="16"/>
              </w:rPr>
            </w:pPr>
            <w:r w:rsidRPr="00BB781D">
              <w:rPr>
                <w:i/>
                <w:sz w:val="16"/>
                <w:szCs w:val="16"/>
              </w:rPr>
              <w:t>Referencia original en el presupuesto de 2014/15:</w:t>
            </w:r>
            <w:r w:rsidR="00447371">
              <w:rPr>
                <w:sz w:val="16"/>
                <w:szCs w:val="16"/>
              </w:rPr>
              <w:t xml:space="preserve"> 40%</w:t>
            </w:r>
          </w:p>
          <w:p w:rsidR="0095318C" w:rsidRPr="00BB781D" w:rsidRDefault="0095318C" w:rsidP="00DC1333">
            <w:pPr>
              <w:rPr>
                <w:i/>
                <w:color w:val="002060"/>
                <w:sz w:val="16"/>
                <w:szCs w:val="16"/>
              </w:rPr>
            </w:pPr>
          </w:p>
        </w:tc>
        <w:tc>
          <w:tcPr>
            <w:tcW w:w="1570" w:type="dxa"/>
            <w:tcBorders>
              <w:top w:val="single" w:sz="4" w:space="0" w:color="auto"/>
              <w:bottom w:val="single" w:sz="4" w:space="0" w:color="auto"/>
            </w:tcBorders>
            <w:shd w:val="clear" w:color="auto" w:fill="auto"/>
            <w:tcMar>
              <w:top w:w="110" w:type="dxa"/>
            </w:tcMar>
          </w:tcPr>
          <w:p w:rsidR="0095318C" w:rsidRPr="00F01083" w:rsidRDefault="0095318C" w:rsidP="00DC1333">
            <w:pPr>
              <w:rPr>
                <w:sz w:val="16"/>
                <w:szCs w:val="16"/>
                <w:lang w:bidi="th-TH"/>
              </w:rPr>
            </w:pPr>
            <w:r w:rsidRPr="00F01083">
              <w:rPr>
                <w:sz w:val="16"/>
                <w:szCs w:val="16"/>
                <w:lang w:bidi="th-TH"/>
              </w:rPr>
              <w:t>50%</w:t>
            </w:r>
          </w:p>
        </w:tc>
        <w:tc>
          <w:tcPr>
            <w:tcW w:w="2423" w:type="dxa"/>
            <w:gridSpan w:val="2"/>
            <w:tcBorders>
              <w:top w:val="single" w:sz="4" w:space="0" w:color="auto"/>
              <w:bottom w:val="single" w:sz="4" w:space="0" w:color="auto"/>
            </w:tcBorders>
            <w:shd w:val="clear" w:color="auto" w:fill="FFFFFF"/>
            <w:tcMar>
              <w:top w:w="110" w:type="dxa"/>
            </w:tcMar>
          </w:tcPr>
          <w:p w:rsidR="0095318C" w:rsidRPr="00BB781D" w:rsidRDefault="0095318C" w:rsidP="00DC1333">
            <w:pPr>
              <w:rPr>
                <w:sz w:val="16"/>
                <w:szCs w:val="16"/>
                <w:lang w:bidi="th-TH"/>
              </w:rPr>
            </w:pPr>
            <w:r w:rsidRPr="00BB781D">
              <w:rPr>
                <w:sz w:val="16"/>
                <w:szCs w:val="16"/>
                <w:lang w:bidi="th-TH"/>
              </w:rPr>
              <w:t xml:space="preserve">En 2014/15, </w:t>
            </w:r>
            <w:r>
              <w:rPr>
                <w:sz w:val="16"/>
                <w:szCs w:val="16"/>
              </w:rPr>
              <w:t>el 82,</w:t>
            </w:r>
            <w:r w:rsidRPr="00BB781D">
              <w:rPr>
                <w:sz w:val="16"/>
                <w:szCs w:val="16"/>
              </w:rPr>
              <w:t>7% de funcionarios de oficinas de P.I. han recibido formación y utilizan en su trabajo las nuevas aptitudes adquiridas.</w:t>
            </w:r>
          </w:p>
        </w:tc>
        <w:tc>
          <w:tcPr>
            <w:tcW w:w="1197" w:type="dxa"/>
            <w:tcBorders>
              <w:top w:val="single" w:sz="4" w:space="0" w:color="auto"/>
              <w:bottom w:val="single" w:sz="4" w:space="0" w:color="auto"/>
              <w:right w:val="single" w:sz="4" w:space="0" w:color="auto"/>
            </w:tcBorders>
            <w:shd w:val="clear" w:color="auto" w:fill="auto"/>
            <w:tcMar>
              <w:top w:w="110" w:type="dxa"/>
            </w:tcMar>
          </w:tcPr>
          <w:p w:rsidR="0095318C" w:rsidRPr="00C5428C" w:rsidRDefault="0095318C" w:rsidP="00DC1333">
            <w:pPr>
              <w:keepNext/>
              <w:keepLines/>
              <w:jc w:val="center"/>
              <w:rPr>
                <w:b/>
                <w:bCs/>
                <w:color w:val="00B050"/>
                <w:sz w:val="16"/>
                <w:szCs w:val="16"/>
              </w:rPr>
            </w:pPr>
            <w:r>
              <w:rPr>
                <w:b/>
                <w:bCs/>
                <w:color w:val="00B050"/>
                <w:sz w:val="16"/>
                <w:szCs w:val="16"/>
              </w:rPr>
              <w:t>Plenamente logrado</w:t>
            </w:r>
          </w:p>
        </w:tc>
      </w:tr>
      <w:tr w:rsidR="0095318C" w:rsidRPr="00267E8F" w:rsidTr="00DC1333">
        <w:trPr>
          <w:cantSplit/>
          <w:trHeight w:val="626"/>
        </w:trPr>
        <w:tc>
          <w:tcPr>
            <w:tcW w:w="9747" w:type="dxa"/>
            <w:gridSpan w:val="6"/>
            <w:tcBorders>
              <w:top w:val="single" w:sz="4" w:space="0" w:color="auto"/>
              <w:bottom w:val="single" w:sz="4" w:space="0" w:color="auto"/>
            </w:tcBorders>
            <w:shd w:val="clear" w:color="auto" w:fill="C6D9F1" w:themeFill="text2" w:themeFillTint="33"/>
            <w:vAlign w:val="center"/>
          </w:tcPr>
          <w:p w:rsidR="0095318C" w:rsidRPr="00B02627" w:rsidRDefault="0095318C" w:rsidP="00DC1333">
            <w:pPr>
              <w:keepNext/>
              <w:keepLines/>
              <w:ind w:left="1985" w:hanging="1985"/>
              <w:rPr>
                <w:b/>
                <w:bCs/>
                <w:sz w:val="16"/>
                <w:szCs w:val="16"/>
              </w:rPr>
            </w:pPr>
            <w:r w:rsidRPr="00B02627">
              <w:rPr>
                <w:b/>
                <w:bCs/>
                <w:sz w:val="16"/>
                <w:szCs w:val="16"/>
              </w:rPr>
              <w:t>Resultado previsto:</w:t>
            </w:r>
            <w:r w:rsidRPr="00B02627">
              <w:rPr>
                <w:b/>
                <w:bCs/>
                <w:sz w:val="16"/>
                <w:szCs w:val="16"/>
              </w:rPr>
              <w:tab/>
            </w:r>
            <w:r w:rsidRPr="00B02627">
              <w:rPr>
                <w:sz w:val="16"/>
                <w:szCs w:val="16"/>
                <w:lang w:bidi="th-TH"/>
              </w:rPr>
              <w:t xml:space="preserve">III.4 </w:t>
            </w:r>
            <w:r w:rsidRPr="00B02627">
              <w:rPr>
                <w:sz w:val="16"/>
                <w:szCs w:val="16"/>
              </w:rPr>
              <w:t>Fortalecimiento de los mecanismos y de los programas de cooperación conforme a las necesidades de los países en desarrollo y los PMA</w:t>
            </w:r>
          </w:p>
        </w:tc>
      </w:tr>
      <w:tr w:rsidR="0095318C" w:rsidRPr="001656CD" w:rsidTr="00DC1333">
        <w:trPr>
          <w:cantSplit/>
          <w:trHeight w:val="371"/>
        </w:trPr>
        <w:tc>
          <w:tcPr>
            <w:tcW w:w="2137" w:type="dxa"/>
            <w:tcBorders>
              <w:top w:val="single" w:sz="4" w:space="0" w:color="auto"/>
              <w:left w:val="single" w:sz="4" w:space="0" w:color="auto"/>
              <w:bottom w:val="nil"/>
              <w:right w:val="nil"/>
            </w:tcBorders>
            <w:shd w:val="clear" w:color="auto" w:fill="auto"/>
            <w:vAlign w:val="center"/>
          </w:tcPr>
          <w:p w:rsidR="0095318C" w:rsidRPr="00BC6547" w:rsidRDefault="0095318C" w:rsidP="00DC1333">
            <w:pPr>
              <w:keepNext/>
              <w:keepLines/>
              <w:rPr>
                <w:sz w:val="16"/>
                <w:szCs w:val="16"/>
              </w:rPr>
            </w:pPr>
            <w:r>
              <w:rPr>
                <w:b/>
                <w:bCs/>
                <w:sz w:val="16"/>
                <w:szCs w:val="16"/>
              </w:rPr>
              <w:t>Indicadores de rendimiento</w:t>
            </w:r>
          </w:p>
        </w:tc>
        <w:tc>
          <w:tcPr>
            <w:tcW w:w="2420" w:type="dxa"/>
            <w:tcBorders>
              <w:top w:val="single" w:sz="4" w:space="0" w:color="auto"/>
              <w:left w:val="nil"/>
              <w:bottom w:val="nil"/>
              <w:right w:val="nil"/>
            </w:tcBorders>
            <w:shd w:val="clear" w:color="auto" w:fill="auto"/>
            <w:vAlign w:val="center"/>
          </w:tcPr>
          <w:p w:rsidR="0095318C" w:rsidRPr="00BC6547" w:rsidRDefault="0095318C" w:rsidP="00DC1333">
            <w:pPr>
              <w:keepNext/>
              <w:keepLines/>
              <w:rPr>
                <w:b/>
                <w:bCs/>
                <w:sz w:val="16"/>
                <w:szCs w:val="16"/>
              </w:rPr>
            </w:pPr>
            <w:r>
              <w:rPr>
                <w:b/>
                <w:bCs/>
                <w:sz w:val="16"/>
                <w:szCs w:val="16"/>
              </w:rPr>
              <w:t>Referencia</w:t>
            </w:r>
          </w:p>
        </w:tc>
        <w:tc>
          <w:tcPr>
            <w:tcW w:w="1570" w:type="dxa"/>
            <w:tcBorders>
              <w:top w:val="single" w:sz="4" w:space="0" w:color="auto"/>
              <w:left w:val="nil"/>
              <w:bottom w:val="nil"/>
              <w:right w:val="nil"/>
            </w:tcBorders>
            <w:shd w:val="clear" w:color="auto" w:fill="auto"/>
            <w:vAlign w:val="center"/>
          </w:tcPr>
          <w:p w:rsidR="0095318C" w:rsidRPr="00BC6547" w:rsidRDefault="0095318C" w:rsidP="00DC1333">
            <w:pPr>
              <w:keepNext/>
              <w:keepLines/>
              <w:rPr>
                <w:b/>
                <w:sz w:val="16"/>
                <w:szCs w:val="16"/>
              </w:rPr>
            </w:pPr>
            <w:r>
              <w:rPr>
                <w:b/>
                <w:sz w:val="16"/>
                <w:szCs w:val="16"/>
              </w:rPr>
              <w:t>Objetivos</w:t>
            </w:r>
          </w:p>
        </w:tc>
        <w:tc>
          <w:tcPr>
            <w:tcW w:w="2423" w:type="dxa"/>
            <w:gridSpan w:val="2"/>
            <w:tcBorders>
              <w:top w:val="single" w:sz="4" w:space="0" w:color="auto"/>
              <w:left w:val="nil"/>
              <w:bottom w:val="nil"/>
              <w:right w:val="nil"/>
            </w:tcBorders>
            <w:shd w:val="clear" w:color="auto" w:fill="auto"/>
            <w:vAlign w:val="center"/>
          </w:tcPr>
          <w:p w:rsidR="0095318C" w:rsidRPr="00BC6547" w:rsidRDefault="0095318C" w:rsidP="00DC1333">
            <w:pPr>
              <w:keepNext/>
              <w:keepLines/>
              <w:rPr>
                <w:sz w:val="16"/>
                <w:szCs w:val="16"/>
              </w:rPr>
            </w:pPr>
            <w:r w:rsidRPr="001656CD">
              <w:rPr>
                <w:b/>
                <w:bCs/>
                <w:sz w:val="16"/>
                <w:szCs w:val="16"/>
              </w:rPr>
              <w:t>Datos sobre el rendimiento</w:t>
            </w:r>
          </w:p>
        </w:tc>
        <w:tc>
          <w:tcPr>
            <w:tcW w:w="1197" w:type="dxa"/>
            <w:tcBorders>
              <w:top w:val="single" w:sz="4" w:space="0" w:color="auto"/>
              <w:left w:val="nil"/>
              <w:bottom w:val="nil"/>
              <w:right w:val="single" w:sz="4" w:space="0" w:color="auto"/>
            </w:tcBorders>
            <w:shd w:val="clear" w:color="auto" w:fill="auto"/>
            <w:vAlign w:val="center"/>
          </w:tcPr>
          <w:p w:rsidR="0095318C" w:rsidRPr="00CD26D6" w:rsidRDefault="00447371" w:rsidP="00447371">
            <w:pPr>
              <w:keepNext/>
              <w:keepLines/>
              <w:spacing w:before="120"/>
              <w:jc w:val="center"/>
              <w:rPr>
                <w:b/>
                <w:bCs/>
                <w:sz w:val="16"/>
                <w:szCs w:val="16"/>
              </w:rPr>
            </w:pPr>
            <w:r w:rsidRPr="001656CD">
              <w:rPr>
                <w:b/>
                <w:bCs/>
                <w:sz w:val="16"/>
                <w:szCs w:val="16"/>
              </w:rPr>
              <w:t xml:space="preserve">Clave </w:t>
            </w:r>
            <w:r w:rsidR="0095318C" w:rsidRPr="001656CD">
              <w:rPr>
                <w:b/>
                <w:bCs/>
                <w:sz w:val="16"/>
                <w:szCs w:val="16"/>
              </w:rPr>
              <w:t>de los colores</w:t>
            </w:r>
          </w:p>
        </w:tc>
      </w:tr>
      <w:tr w:rsidR="0095318C" w:rsidRPr="001656CD" w:rsidTr="00DC1333">
        <w:trPr>
          <w:cantSplit/>
          <w:trHeight w:val="1852"/>
        </w:trPr>
        <w:tc>
          <w:tcPr>
            <w:tcW w:w="2137" w:type="dxa"/>
            <w:tcBorders>
              <w:top w:val="nil"/>
              <w:left w:val="single" w:sz="4" w:space="0" w:color="auto"/>
              <w:bottom w:val="single" w:sz="4" w:space="0" w:color="auto"/>
              <w:right w:val="nil"/>
            </w:tcBorders>
            <w:shd w:val="clear" w:color="auto" w:fill="auto"/>
          </w:tcPr>
          <w:p w:rsidR="0095318C" w:rsidRPr="00B02627" w:rsidRDefault="0095318C" w:rsidP="00DC1333">
            <w:pPr>
              <w:tabs>
                <w:tab w:val="left" w:pos="347"/>
              </w:tabs>
              <w:rPr>
                <w:sz w:val="16"/>
                <w:szCs w:val="16"/>
                <w:lang w:bidi="th-TH"/>
              </w:rPr>
            </w:pPr>
            <w:r w:rsidRPr="00B02627">
              <w:rPr>
                <w:sz w:val="16"/>
                <w:szCs w:val="16"/>
              </w:rPr>
              <w:t>Número de asociaciones establecidas en las que la parte que ofrece asistencia procede de un país desarrollado.</w:t>
            </w:r>
          </w:p>
        </w:tc>
        <w:tc>
          <w:tcPr>
            <w:tcW w:w="2420" w:type="dxa"/>
            <w:tcBorders>
              <w:top w:val="nil"/>
              <w:left w:val="nil"/>
              <w:bottom w:val="single" w:sz="4" w:space="0" w:color="auto"/>
              <w:right w:val="nil"/>
            </w:tcBorders>
            <w:shd w:val="clear" w:color="auto" w:fill="auto"/>
          </w:tcPr>
          <w:p w:rsidR="0095318C" w:rsidRPr="001656CD" w:rsidRDefault="00447371" w:rsidP="00447371">
            <w:pPr>
              <w:rPr>
                <w:i/>
                <w:color w:val="002060"/>
                <w:sz w:val="16"/>
                <w:szCs w:val="16"/>
              </w:rPr>
            </w:pPr>
            <w:r>
              <w:rPr>
                <w:sz w:val="16"/>
                <w:szCs w:val="16"/>
              </w:rPr>
              <w:t>Por determinar</w:t>
            </w:r>
          </w:p>
        </w:tc>
        <w:tc>
          <w:tcPr>
            <w:tcW w:w="1570" w:type="dxa"/>
            <w:tcBorders>
              <w:top w:val="nil"/>
              <w:left w:val="nil"/>
              <w:bottom w:val="single" w:sz="4" w:space="0" w:color="auto"/>
              <w:right w:val="nil"/>
            </w:tcBorders>
            <w:shd w:val="clear" w:color="auto" w:fill="auto"/>
            <w:tcMar>
              <w:top w:w="110" w:type="dxa"/>
            </w:tcMar>
          </w:tcPr>
          <w:p w:rsidR="0095318C" w:rsidRPr="00B02627" w:rsidRDefault="0095318C" w:rsidP="00DC1333">
            <w:pPr>
              <w:rPr>
                <w:sz w:val="16"/>
                <w:szCs w:val="16"/>
                <w:lang w:bidi="th-TH"/>
              </w:rPr>
            </w:pPr>
            <w:r w:rsidRPr="00B02627">
              <w:rPr>
                <w:sz w:val="16"/>
                <w:szCs w:val="16"/>
              </w:rPr>
              <w:t>Otros 4 memorandos de entendimiento; otras 10 correspondencias en la Base de datos de vinculación.</w:t>
            </w:r>
          </w:p>
          <w:p w:rsidR="0095318C" w:rsidRPr="00B02627" w:rsidRDefault="0095318C" w:rsidP="00DC1333">
            <w:pPr>
              <w:rPr>
                <w:sz w:val="16"/>
                <w:szCs w:val="16"/>
                <w:lang w:bidi="th-TH"/>
              </w:rPr>
            </w:pPr>
          </w:p>
        </w:tc>
        <w:tc>
          <w:tcPr>
            <w:tcW w:w="2423" w:type="dxa"/>
            <w:gridSpan w:val="2"/>
            <w:tcBorders>
              <w:top w:val="nil"/>
              <w:left w:val="nil"/>
              <w:bottom w:val="single" w:sz="4" w:space="0" w:color="auto"/>
              <w:right w:val="nil"/>
            </w:tcBorders>
            <w:shd w:val="clear" w:color="auto" w:fill="FFFFFF"/>
            <w:tcMar>
              <w:top w:w="110" w:type="dxa"/>
            </w:tcMar>
          </w:tcPr>
          <w:p w:rsidR="0095318C" w:rsidRPr="00B02627" w:rsidRDefault="0095318C" w:rsidP="00DC1333">
            <w:pPr>
              <w:rPr>
                <w:sz w:val="16"/>
                <w:szCs w:val="16"/>
                <w:lang w:bidi="th-TH"/>
              </w:rPr>
            </w:pPr>
            <w:r w:rsidRPr="00B02627">
              <w:rPr>
                <w:sz w:val="16"/>
                <w:szCs w:val="16"/>
              </w:rPr>
              <w:t xml:space="preserve">5 nuevos memorandos de entendimiento (Alemania, Dinamarca, </w:t>
            </w:r>
            <w:r>
              <w:rPr>
                <w:sz w:val="16"/>
                <w:szCs w:val="16"/>
              </w:rPr>
              <w:t>Israel</w:t>
            </w:r>
            <w:r w:rsidRPr="00B02627">
              <w:rPr>
                <w:sz w:val="16"/>
                <w:szCs w:val="16"/>
              </w:rPr>
              <w:t xml:space="preserve">, </w:t>
            </w:r>
            <w:r>
              <w:rPr>
                <w:sz w:val="16"/>
                <w:szCs w:val="16"/>
              </w:rPr>
              <w:t>España</w:t>
            </w:r>
            <w:r w:rsidRPr="00B02627">
              <w:rPr>
                <w:sz w:val="16"/>
                <w:szCs w:val="16"/>
              </w:rPr>
              <w:t>)</w:t>
            </w:r>
          </w:p>
          <w:p w:rsidR="0095318C" w:rsidRPr="00B02627" w:rsidRDefault="0095318C" w:rsidP="00DC1333">
            <w:pPr>
              <w:rPr>
                <w:sz w:val="16"/>
                <w:szCs w:val="16"/>
                <w:lang w:bidi="th-TH"/>
              </w:rPr>
            </w:pPr>
          </w:p>
          <w:p w:rsidR="0095318C" w:rsidRPr="00873365" w:rsidRDefault="00447371" w:rsidP="00DC1333">
            <w:pPr>
              <w:rPr>
                <w:sz w:val="16"/>
                <w:szCs w:val="16"/>
                <w:lang w:bidi="th-TH"/>
              </w:rPr>
            </w:pPr>
            <w:r>
              <w:rPr>
                <w:sz w:val="16"/>
                <w:szCs w:val="16"/>
                <w:lang w:bidi="th-TH"/>
              </w:rPr>
              <w:t>Se está ejecutando</w:t>
            </w:r>
            <w:r w:rsidR="0095318C" w:rsidRPr="00873365">
              <w:rPr>
                <w:sz w:val="16"/>
                <w:szCs w:val="16"/>
                <w:lang w:bidi="th-TH"/>
              </w:rPr>
              <w:t xml:space="preserve"> un plan de divulgación </w:t>
            </w:r>
            <w:r>
              <w:rPr>
                <w:sz w:val="16"/>
                <w:szCs w:val="16"/>
                <w:lang w:bidi="th-TH"/>
              </w:rPr>
              <w:t xml:space="preserve">específica </w:t>
            </w:r>
            <w:r w:rsidR="0095318C" w:rsidRPr="00873365">
              <w:rPr>
                <w:sz w:val="16"/>
                <w:szCs w:val="16"/>
                <w:lang w:bidi="th-TH"/>
              </w:rPr>
              <w:t xml:space="preserve">para impulsar </w:t>
            </w:r>
            <w:r>
              <w:rPr>
                <w:sz w:val="16"/>
                <w:szCs w:val="16"/>
                <w:lang w:bidi="th-TH"/>
              </w:rPr>
              <w:t>la carga de datos</w:t>
            </w:r>
            <w:r w:rsidR="0095318C" w:rsidRPr="00873365">
              <w:rPr>
                <w:sz w:val="16"/>
                <w:szCs w:val="16"/>
                <w:lang w:bidi="th-TH"/>
              </w:rPr>
              <w:t xml:space="preserve"> y favorecer las correspondencias; sin embargo, a finales del bienio, no se han visto aún los resultados.</w:t>
            </w:r>
          </w:p>
          <w:p w:rsidR="0095318C" w:rsidRPr="00873365" w:rsidRDefault="0095318C" w:rsidP="00DC1333">
            <w:pPr>
              <w:rPr>
                <w:sz w:val="16"/>
                <w:szCs w:val="16"/>
                <w:lang w:bidi="th-TH"/>
              </w:rPr>
            </w:pPr>
          </w:p>
        </w:tc>
        <w:tc>
          <w:tcPr>
            <w:tcW w:w="1197" w:type="dxa"/>
            <w:tcBorders>
              <w:top w:val="nil"/>
              <w:left w:val="nil"/>
              <w:bottom w:val="single" w:sz="4" w:space="0" w:color="auto"/>
              <w:right w:val="single" w:sz="4" w:space="0" w:color="auto"/>
            </w:tcBorders>
            <w:shd w:val="clear" w:color="auto" w:fill="auto"/>
            <w:tcMar>
              <w:top w:w="110" w:type="dxa"/>
            </w:tcMar>
          </w:tcPr>
          <w:p w:rsidR="0095318C" w:rsidRDefault="0095318C" w:rsidP="00DC1333">
            <w:pPr>
              <w:keepNext/>
              <w:keepLines/>
              <w:jc w:val="center"/>
              <w:rPr>
                <w:b/>
                <w:bCs/>
                <w:color w:val="00B050"/>
                <w:sz w:val="16"/>
                <w:szCs w:val="16"/>
              </w:rPr>
            </w:pPr>
            <w:r>
              <w:rPr>
                <w:b/>
                <w:bCs/>
                <w:color w:val="00B050"/>
                <w:sz w:val="16"/>
                <w:szCs w:val="16"/>
              </w:rPr>
              <w:t xml:space="preserve">Plenamente logrado </w:t>
            </w:r>
          </w:p>
          <w:p w:rsidR="0095318C" w:rsidRDefault="0095318C" w:rsidP="00DC1333">
            <w:pPr>
              <w:keepNext/>
              <w:keepLines/>
              <w:jc w:val="center"/>
              <w:rPr>
                <w:b/>
                <w:bCs/>
                <w:color w:val="00B050"/>
                <w:sz w:val="16"/>
                <w:szCs w:val="16"/>
              </w:rPr>
            </w:pPr>
          </w:p>
          <w:p w:rsidR="0095318C" w:rsidRDefault="0095318C" w:rsidP="00DC1333">
            <w:pPr>
              <w:keepNext/>
              <w:keepLines/>
              <w:rPr>
                <w:b/>
                <w:bCs/>
                <w:color w:val="00B050"/>
                <w:sz w:val="16"/>
                <w:szCs w:val="16"/>
              </w:rPr>
            </w:pPr>
          </w:p>
          <w:p w:rsidR="0095318C" w:rsidRPr="00830D0A" w:rsidRDefault="0095318C" w:rsidP="00DC1333">
            <w:pPr>
              <w:keepNext/>
              <w:keepLines/>
              <w:jc w:val="center"/>
              <w:rPr>
                <w:b/>
                <w:bCs/>
                <w:color w:val="FF0000"/>
                <w:sz w:val="16"/>
                <w:szCs w:val="16"/>
              </w:rPr>
            </w:pPr>
            <w:r>
              <w:rPr>
                <w:b/>
                <w:bCs/>
                <w:color w:val="FF0000"/>
                <w:sz w:val="16"/>
                <w:szCs w:val="16"/>
              </w:rPr>
              <w:t>No logrado</w:t>
            </w:r>
          </w:p>
          <w:p w:rsidR="0095318C" w:rsidRPr="00C5428C" w:rsidRDefault="0095318C" w:rsidP="00DC1333">
            <w:pPr>
              <w:keepNext/>
              <w:keepLines/>
              <w:jc w:val="center"/>
              <w:rPr>
                <w:b/>
                <w:bCs/>
                <w:color w:val="00B050"/>
                <w:sz w:val="16"/>
                <w:szCs w:val="16"/>
              </w:rPr>
            </w:pPr>
          </w:p>
        </w:tc>
      </w:tr>
      <w:tr w:rsidR="0095318C" w:rsidRPr="00267E8F" w:rsidTr="00DC1333">
        <w:trPr>
          <w:cantSplit/>
          <w:trHeight w:val="451"/>
        </w:trPr>
        <w:tc>
          <w:tcPr>
            <w:tcW w:w="9747" w:type="dxa"/>
            <w:gridSpan w:val="6"/>
            <w:tcBorders>
              <w:top w:val="single" w:sz="4" w:space="0" w:color="auto"/>
              <w:bottom w:val="single" w:sz="4" w:space="0" w:color="auto"/>
            </w:tcBorders>
            <w:shd w:val="clear" w:color="auto" w:fill="C6D9F1" w:themeFill="text2" w:themeFillTint="33"/>
            <w:vAlign w:val="center"/>
          </w:tcPr>
          <w:p w:rsidR="0095318C" w:rsidRPr="00B02627" w:rsidRDefault="0095318C" w:rsidP="00DC1333">
            <w:pPr>
              <w:keepNext/>
              <w:keepLines/>
              <w:ind w:left="1985" w:hanging="1985"/>
              <w:rPr>
                <w:b/>
                <w:bCs/>
                <w:sz w:val="16"/>
                <w:szCs w:val="16"/>
              </w:rPr>
            </w:pPr>
            <w:r>
              <w:rPr>
                <w:b/>
                <w:bCs/>
                <w:sz w:val="16"/>
                <w:szCs w:val="16"/>
              </w:rPr>
              <w:t>Resultado previsto</w:t>
            </w:r>
            <w:r w:rsidRPr="00B02627">
              <w:rPr>
                <w:b/>
                <w:bCs/>
                <w:sz w:val="16"/>
                <w:szCs w:val="16"/>
              </w:rPr>
              <w:t>:</w:t>
            </w:r>
            <w:r w:rsidRPr="00B02627">
              <w:rPr>
                <w:b/>
                <w:bCs/>
                <w:sz w:val="16"/>
                <w:szCs w:val="16"/>
              </w:rPr>
              <w:tab/>
            </w:r>
            <w:r w:rsidRPr="00B02627">
              <w:rPr>
                <w:sz w:val="16"/>
                <w:szCs w:val="16"/>
                <w:lang w:bidi="th-TH"/>
              </w:rPr>
              <w:t xml:space="preserve">III.6 </w:t>
            </w:r>
            <w:r w:rsidRPr="00B02627">
              <w:rPr>
                <w:sz w:val="16"/>
                <w:szCs w:val="16"/>
              </w:rPr>
              <w:t>Mayor capacidad de las pymes para utilizar con éxito la P.I. con el fin de apoyar la innovación</w:t>
            </w:r>
          </w:p>
        </w:tc>
      </w:tr>
      <w:tr w:rsidR="0095318C" w:rsidRPr="001656CD" w:rsidTr="00DC1333">
        <w:trPr>
          <w:cantSplit/>
          <w:trHeight w:val="274"/>
        </w:trPr>
        <w:tc>
          <w:tcPr>
            <w:tcW w:w="2137" w:type="dxa"/>
            <w:tcBorders>
              <w:top w:val="single" w:sz="4" w:space="0" w:color="auto"/>
              <w:left w:val="single" w:sz="4" w:space="0" w:color="auto"/>
              <w:bottom w:val="nil"/>
              <w:right w:val="nil"/>
            </w:tcBorders>
            <w:shd w:val="clear" w:color="auto" w:fill="auto"/>
            <w:vAlign w:val="center"/>
          </w:tcPr>
          <w:p w:rsidR="0095318C" w:rsidRPr="00BC6547" w:rsidRDefault="0095318C" w:rsidP="00447371">
            <w:pPr>
              <w:keepNext/>
              <w:keepLines/>
              <w:spacing w:before="120"/>
              <w:rPr>
                <w:sz w:val="16"/>
                <w:szCs w:val="16"/>
              </w:rPr>
            </w:pPr>
            <w:r>
              <w:rPr>
                <w:b/>
                <w:bCs/>
                <w:sz w:val="16"/>
                <w:szCs w:val="16"/>
              </w:rPr>
              <w:t>Indicadores de rendimiento</w:t>
            </w:r>
          </w:p>
        </w:tc>
        <w:tc>
          <w:tcPr>
            <w:tcW w:w="2420" w:type="dxa"/>
            <w:tcBorders>
              <w:top w:val="single" w:sz="4" w:space="0" w:color="auto"/>
              <w:left w:val="nil"/>
              <w:bottom w:val="nil"/>
              <w:right w:val="nil"/>
            </w:tcBorders>
            <w:shd w:val="clear" w:color="auto" w:fill="auto"/>
            <w:vAlign w:val="center"/>
          </w:tcPr>
          <w:p w:rsidR="0095318C" w:rsidRPr="00BC6547" w:rsidRDefault="0095318C" w:rsidP="00DC1333">
            <w:pPr>
              <w:keepNext/>
              <w:keepLines/>
              <w:rPr>
                <w:b/>
                <w:bCs/>
                <w:sz w:val="16"/>
                <w:szCs w:val="16"/>
              </w:rPr>
            </w:pPr>
            <w:r>
              <w:rPr>
                <w:b/>
                <w:bCs/>
                <w:sz w:val="16"/>
                <w:szCs w:val="16"/>
              </w:rPr>
              <w:t>Referencia</w:t>
            </w:r>
          </w:p>
        </w:tc>
        <w:tc>
          <w:tcPr>
            <w:tcW w:w="1570" w:type="dxa"/>
            <w:tcBorders>
              <w:top w:val="single" w:sz="4" w:space="0" w:color="auto"/>
              <w:left w:val="nil"/>
              <w:bottom w:val="nil"/>
              <w:right w:val="nil"/>
            </w:tcBorders>
            <w:shd w:val="clear" w:color="auto" w:fill="auto"/>
            <w:vAlign w:val="center"/>
          </w:tcPr>
          <w:p w:rsidR="0095318C" w:rsidRPr="00BC6547" w:rsidRDefault="0095318C" w:rsidP="00DC1333">
            <w:pPr>
              <w:keepNext/>
              <w:keepLines/>
              <w:rPr>
                <w:b/>
                <w:sz w:val="16"/>
                <w:szCs w:val="16"/>
              </w:rPr>
            </w:pPr>
            <w:r>
              <w:rPr>
                <w:b/>
                <w:sz w:val="16"/>
                <w:szCs w:val="16"/>
              </w:rPr>
              <w:t>Objetivos</w:t>
            </w:r>
          </w:p>
        </w:tc>
        <w:tc>
          <w:tcPr>
            <w:tcW w:w="2423" w:type="dxa"/>
            <w:gridSpan w:val="2"/>
            <w:tcBorders>
              <w:top w:val="single" w:sz="4" w:space="0" w:color="auto"/>
              <w:left w:val="nil"/>
              <w:bottom w:val="nil"/>
              <w:right w:val="nil"/>
            </w:tcBorders>
            <w:shd w:val="clear" w:color="auto" w:fill="auto"/>
            <w:vAlign w:val="center"/>
          </w:tcPr>
          <w:p w:rsidR="0095318C" w:rsidRPr="00BC6547" w:rsidRDefault="0095318C" w:rsidP="00DC1333">
            <w:pPr>
              <w:keepNext/>
              <w:keepLines/>
              <w:rPr>
                <w:sz w:val="16"/>
                <w:szCs w:val="16"/>
              </w:rPr>
            </w:pPr>
            <w:r w:rsidRPr="001656CD">
              <w:rPr>
                <w:b/>
                <w:bCs/>
                <w:sz w:val="16"/>
                <w:szCs w:val="16"/>
              </w:rPr>
              <w:t>Datos sobre el rendimiento</w:t>
            </w:r>
          </w:p>
        </w:tc>
        <w:tc>
          <w:tcPr>
            <w:tcW w:w="1197" w:type="dxa"/>
            <w:tcBorders>
              <w:top w:val="single" w:sz="4" w:space="0" w:color="auto"/>
              <w:left w:val="nil"/>
              <w:bottom w:val="nil"/>
              <w:right w:val="single" w:sz="4" w:space="0" w:color="auto"/>
            </w:tcBorders>
            <w:shd w:val="clear" w:color="auto" w:fill="auto"/>
            <w:vAlign w:val="center"/>
          </w:tcPr>
          <w:p w:rsidR="0095318C" w:rsidRPr="00CD26D6" w:rsidRDefault="00447371" w:rsidP="00447371">
            <w:pPr>
              <w:keepNext/>
              <w:keepLines/>
              <w:spacing w:before="120"/>
              <w:jc w:val="center"/>
              <w:rPr>
                <w:b/>
                <w:bCs/>
                <w:sz w:val="16"/>
                <w:szCs w:val="16"/>
              </w:rPr>
            </w:pPr>
            <w:r w:rsidRPr="001656CD">
              <w:rPr>
                <w:b/>
                <w:bCs/>
                <w:sz w:val="16"/>
                <w:szCs w:val="16"/>
              </w:rPr>
              <w:t xml:space="preserve">Clave </w:t>
            </w:r>
            <w:r w:rsidR="0095318C" w:rsidRPr="001656CD">
              <w:rPr>
                <w:b/>
                <w:bCs/>
                <w:sz w:val="16"/>
                <w:szCs w:val="16"/>
              </w:rPr>
              <w:t>de los colores</w:t>
            </w:r>
          </w:p>
        </w:tc>
      </w:tr>
      <w:tr w:rsidR="0095318C" w:rsidRPr="001656CD" w:rsidTr="00DC1333">
        <w:trPr>
          <w:cantSplit/>
          <w:trHeight w:val="673"/>
        </w:trPr>
        <w:tc>
          <w:tcPr>
            <w:tcW w:w="2137" w:type="dxa"/>
            <w:tcBorders>
              <w:top w:val="nil"/>
              <w:left w:val="single" w:sz="4" w:space="0" w:color="auto"/>
              <w:bottom w:val="nil"/>
              <w:right w:val="nil"/>
            </w:tcBorders>
            <w:shd w:val="clear" w:color="auto" w:fill="auto"/>
          </w:tcPr>
          <w:p w:rsidR="0095318C" w:rsidRPr="009C7FE8" w:rsidRDefault="0095318C" w:rsidP="00DC1333">
            <w:pPr>
              <w:tabs>
                <w:tab w:val="left" w:pos="347"/>
              </w:tabs>
              <w:rPr>
                <w:sz w:val="16"/>
                <w:szCs w:val="16"/>
                <w:lang w:bidi="th-TH"/>
              </w:rPr>
            </w:pPr>
            <w:r w:rsidRPr="009C7FE8">
              <w:rPr>
                <w:sz w:val="16"/>
                <w:szCs w:val="16"/>
              </w:rPr>
              <w:t>Porcentaje de participantes en los programas de formación destinados a las instituciones de apoyo a las pymes que están satisfechos con el contenido y la organización de las reuniones de formación</w:t>
            </w:r>
            <w:r>
              <w:rPr>
                <w:sz w:val="16"/>
                <w:szCs w:val="16"/>
              </w:rPr>
              <w:t>.</w:t>
            </w:r>
          </w:p>
        </w:tc>
        <w:tc>
          <w:tcPr>
            <w:tcW w:w="2420" w:type="dxa"/>
            <w:tcBorders>
              <w:top w:val="nil"/>
              <w:left w:val="nil"/>
              <w:bottom w:val="nil"/>
              <w:right w:val="nil"/>
            </w:tcBorders>
            <w:shd w:val="clear" w:color="auto" w:fill="auto"/>
          </w:tcPr>
          <w:p w:rsidR="0095318C" w:rsidRPr="001656CD" w:rsidRDefault="00447371" w:rsidP="00447371">
            <w:pPr>
              <w:rPr>
                <w:i/>
                <w:color w:val="002060"/>
                <w:sz w:val="16"/>
                <w:szCs w:val="16"/>
              </w:rPr>
            </w:pPr>
            <w:r>
              <w:rPr>
                <w:sz w:val="16"/>
                <w:szCs w:val="16"/>
              </w:rPr>
              <w:t>Por determinar</w:t>
            </w:r>
          </w:p>
        </w:tc>
        <w:tc>
          <w:tcPr>
            <w:tcW w:w="1570" w:type="dxa"/>
            <w:tcBorders>
              <w:top w:val="nil"/>
              <w:left w:val="nil"/>
              <w:bottom w:val="nil"/>
              <w:right w:val="nil"/>
            </w:tcBorders>
            <w:shd w:val="clear" w:color="auto" w:fill="auto"/>
            <w:tcMar>
              <w:top w:w="110" w:type="dxa"/>
            </w:tcMar>
          </w:tcPr>
          <w:p w:rsidR="0095318C" w:rsidRPr="000C6DCA" w:rsidRDefault="0095318C" w:rsidP="00DC1333">
            <w:pPr>
              <w:rPr>
                <w:color w:val="002060"/>
                <w:sz w:val="16"/>
                <w:szCs w:val="16"/>
                <w:lang w:bidi="th-TH"/>
              </w:rPr>
            </w:pPr>
            <w:r w:rsidRPr="000C6DCA">
              <w:rPr>
                <w:i/>
                <w:color w:val="002060"/>
                <w:sz w:val="16"/>
                <w:szCs w:val="16"/>
              </w:rPr>
              <w:t xml:space="preserve">Objetivo definido: </w:t>
            </w:r>
            <w:r w:rsidRPr="000C6DCA">
              <w:rPr>
                <w:color w:val="002060"/>
                <w:sz w:val="16"/>
                <w:szCs w:val="16"/>
              </w:rPr>
              <w:t>75%</w:t>
            </w:r>
          </w:p>
          <w:p w:rsidR="0095318C" w:rsidRPr="000C6DCA" w:rsidRDefault="0095318C" w:rsidP="00DC1333">
            <w:pPr>
              <w:rPr>
                <w:i/>
                <w:color w:val="002060"/>
                <w:sz w:val="8"/>
                <w:szCs w:val="8"/>
              </w:rPr>
            </w:pPr>
          </w:p>
          <w:p w:rsidR="0095318C" w:rsidRPr="000C6DCA" w:rsidRDefault="0095318C" w:rsidP="00DC1333">
            <w:pPr>
              <w:rPr>
                <w:sz w:val="16"/>
                <w:szCs w:val="16"/>
                <w:lang w:bidi="th-TH"/>
              </w:rPr>
            </w:pPr>
            <w:r w:rsidRPr="000C6DCA">
              <w:rPr>
                <w:i/>
                <w:sz w:val="16"/>
                <w:szCs w:val="16"/>
              </w:rPr>
              <w:t>Objetivo original en el presupuesto de 2014/15:</w:t>
            </w:r>
            <w:r w:rsidR="00447371">
              <w:rPr>
                <w:sz w:val="16"/>
                <w:szCs w:val="16"/>
              </w:rPr>
              <w:t xml:space="preserve"> por determinar</w:t>
            </w:r>
          </w:p>
        </w:tc>
        <w:tc>
          <w:tcPr>
            <w:tcW w:w="2423" w:type="dxa"/>
            <w:gridSpan w:val="2"/>
            <w:tcBorders>
              <w:top w:val="nil"/>
              <w:left w:val="nil"/>
              <w:bottom w:val="nil"/>
              <w:right w:val="nil"/>
            </w:tcBorders>
            <w:shd w:val="clear" w:color="auto" w:fill="FFFFFF"/>
            <w:tcMar>
              <w:top w:w="110" w:type="dxa"/>
            </w:tcMar>
          </w:tcPr>
          <w:p w:rsidR="0095318C" w:rsidRPr="002D2494" w:rsidRDefault="0095318C" w:rsidP="00DC1333">
            <w:pPr>
              <w:rPr>
                <w:sz w:val="16"/>
                <w:szCs w:val="16"/>
                <w:lang w:bidi="th-TH"/>
              </w:rPr>
            </w:pPr>
            <w:r>
              <w:rPr>
                <w:sz w:val="16"/>
                <w:szCs w:val="16"/>
                <w:lang w:bidi="th-TH"/>
              </w:rPr>
              <w:t xml:space="preserve">97,2% </w:t>
            </w:r>
          </w:p>
        </w:tc>
        <w:tc>
          <w:tcPr>
            <w:tcW w:w="1197" w:type="dxa"/>
            <w:tcBorders>
              <w:top w:val="nil"/>
              <w:left w:val="nil"/>
              <w:bottom w:val="nil"/>
              <w:right w:val="single" w:sz="4" w:space="0" w:color="auto"/>
            </w:tcBorders>
            <w:shd w:val="clear" w:color="auto" w:fill="auto"/>
            <w:tcMar>
              <w:top w:w="110" w:type="dxa"/>
            </w:tcMar>
          </w:tcPr>
          <w:p w:rsidR="0095318C" w:rsidRPr="00C5428C" w:rsidRDefault="0095318C" w:rsidP="00DC1333">
            <w:pPr>
              <w:keepNext/>
              <w:keepLines/>
              <w:jc w:val="center"/>
              <w:rPr>
                <w:b/>
                <w:bCs/>
                <w:color w:val="00B050"/>
                <w:sz w:val="16"/>
                <w:szCs w:val="16"/>
              </w:rPr>
            </w:pPr>
            <w:r>
              <w:rPr>
                <w:b/>
                <w:bCs/>
                <w:color w:val="00B050"/>
                <w:sz w:val="16"/>
                <w:szCs w:val="16"/>
              </w:rPr>
              <w:t>Plenamente logrado</w:t>
            </w:r>
          </w:p>
        </w:tc>
      </w:tr>
      <w:tr w:rsidR="0095318C" w:rsidRPr="001656CD" w:rsidTr="00DC1333">
        <w:trPr>
          <w:cantSplit/>
          <w:trHeight w:val="700"/>
        </w:trPr>
        <w:tc>
          <w:tcPr>
            <w:tcW w:w="2137" w:type="dxa"/>
            <w:tcBorders>
              <w:top w:val="nil"/>
              <w:left w:val="single" w:sz="4" w:space="0" w:color="auto"/>
              <w:bottom w:val="nil"/>
            </w:tcBorders>
            <w:shd w:val="clear" w:color="auto" w:fill="auto"/>
          </w:tcPr>
          <w:p w:rsidR="0095318C" w:rsidRPr="009C7FE8" w:rsidRDefault="0095318C" w:rsidP="00DC1333">
            <w:pPr>
              <w:tabs>
                <w:tab w:val="left" w:pos="347"/>
              </w:tabs>
              <w:rPr>
                <w:sz w:val="16"/>
                <w:szCs w:val="16"/>
                <w:lang w:bidi="th-TH"/>
              </w:rPr>
            </w:pPr>
            <w:r w:rsidRPr="009C7FE8">
              <w:rPr>
                <w:sz w:val="16"/>
                <w:szCs w:val="16"/>
              </w:rPr>
              <w:t>Porcentaje de instituciones de apoyo a las pymes que han recibido formación, que a su vez brindan información, apoyo y servicios de consultoría/asesoramiento en gestión de activos de P.I.</w:t>
            </w:r>
          </w:p>
        </w:tc>
        <w:tc>
          <w:tcPr>
            <w:tcW w:w="2420" w:type="dxa"/>
            <w:tcBorders>
              <w:top w:val="nil"/>
              <w:bottom w:val="nil"/>
            </w:tcBorders>
            <w:shd w:val="clear" w:color="auto" w:fill="auto"/>
          </w:tcPr>
          <w:p w:rsidR="0095318C" w:rsidRPr="001656CD" w:rsidRDefault="00447371" w:rsidP="00DC1333">
            <w:pPr>
              <w:rPr>
                <w:i/>
                <w:color w:val="002060"/>
                <w:sz w:val="16"/>
                <w:szCs w:val="16"/>
              </w:rPr>
            </w:pPr>
            <w:r>
              <w:rPr>
                <w:sz w:val="16"/>
                <w:szCs w:val="16"/>
              </w:rPr>
              <w:t>Por determinar</w:t>
            </w:r>
          </w:p>
        </w:tc>
        <w:tc>
          <w:tcPr>
            <w:tcW w:w="1570" w:type="dxa"/>
            <w:tcBorders>
              <w:top w:val="nil"/>
              <w:bottom w:val="nil"/>
            </w:tcBorders>
            <w:shd w:val="clear" w:color="auto" w:fill="auto"/>
            <w:tcMar>
              <w:top w:w="110" w:type="dxa"/>
            </w:tcMar>
          </w:tcPr>
          <w:p w:rsidR="0095318C" w:rsidRPr="000C6DCA" w:rsidRDefault="0095318C" w:rsidP="00DC1333">
            <w:pPr>
              <w:rPr>
                <w:color w:val="002060"/>
                <w:sz w:val="16"/>
                <w:szCs w:val="16"/>
                <w:lang w:bidi="th-TH"/>
              </w:rPr>
            </w:pPr>
            <w:r w:rsidRPr="000C6DCA">
              <w:rPr>
                <w:i/>
                <w:color w:val="002060"/>
                <w:sz w:val="16"/>
                <w:szCs w:val="16"/>
              </w:rPr>
              <w:t xml:space="preserve">Objetivo definido: </w:t>
            </w:r>
            <w:r w:rsidRPr="000C6DCA">
              <w:rPr>
                <w:sz w:val="16"/>
                <w:szCs w:val="16"/>
              </w:rPr>
              <w:t>90% (18 instituciones de apoyo).</w:t>
            </w:r>
          </w:p>
          <w:p w:rsidR="0095318C" w:rsidRPr="000C6DCA" w:rsidRDefault="0095318C" w:rsidP="00DC1333">
            <w:pPr>
              <w:rPr>
                <w:i/>
                <w:color w:val="002060"/>
                <w:sz w:val="8"/>
                <w:szCs w:val="8"/>
              </w:rPr>
            </w:pPr>
          </w:p>
          <w:p w:rsidR="0095318C" w:rsidRPr="000C6DCA" w:rsidRDefault="0095318C" w:rsidP="00447371">
            <w:pPr>
              <w:rPr>
                <w:sz w:val="16"/>
                <w:szCs w:val="16"/>
                <w:lang w:bidi="th-TH"/>
              </w:rPr>
            </w:pPr>
            <w:r w:rsidRPr="000C6DCA">
              <w:rPr>
                <w:i/>
                <w:sz w:val="16"/>
                <w:szCs w:val="16"/>
              </w:rPr>
              <w:t xml:space="preserve">Objetivo original en el </w:t>
            </w:r>
            <w:proofErr w:type="spellStart"/>
            <w:r w:rsidRPr="000C6DCA">
              <w:rPr>
                <w:i/>
                <w:sz w:val="16"/>
                <w:szCs w:val="16"/>
              </w:rPr>
              <w:t>presup</w:t>
            </w:r>
            <w:proofErr w:type="spellEnd"/>
            <w:r w:rsidRPr="000C6DCA">
              <w:rPr>
                <w:i/>
                <w:sz w:val="16"/>
                <w:szCs w:val="16"/>
              </w:rPr>
              <w:t>. de 2014/15:</w:t>
            </w:r>
            <w:r w:rsidRPr="000C6DCA">
              <w:rPr>
                <w:sz w:val="16"/>
                <w:szCs w:val="16"/>
              </w:rPr>
              <w:t xml:space="preserve"> </w:t>
            </w:r>
            <w:r>
              <w:rPr>
                <w:sz w:val="16"/>
                <w:szCs w:val="16"/>
              </w:rPr>
              <w:t xml:space="preserve"> </w:t>
            </w:r>
            <w:r w:rsidRPr="000C6DCA">
              <w:rPr>
                <w:sz w:val="16"/>
                <w:szCs w:val="16"/>
              </w:rPr>
              <w:t>por determinar</w:t>
            </w:r>
          </w:p>
        </w:tc>
        <w:tc>
          <w:tcPr>
            <w:tcW w:w="2423" w:type="dxa"/>
            <w:gridSpan w:val="2"/>
            <w:tcBorders>
              <w:top w:val="nil"/>
              <w:bottom w:val="nil"/>
            </w:tcBorders>
            <w:shd w:val="clear" w:color="auto" w:fill="FFFFFF"/>
            <w:tcMar>
              <w:top w:w="110" w:type="dxa"/>
            </w:tcMar>
          </w:tcPr>
          <w:p w:rsidR="0095318C" w:rsidRPr="00D95C1C" w:rsidRDefault="0095318C" w:rsidP="0095318C">
            <w:pPr>
              <w:pStyle w:val="ListParagraph"/>
              <w:numPr>
                <w:ilvl w:val="0"/>
                <w:numId w:val="57"/>
              </w:numPr>
              <w:rPr>
                <w:rFonts w:cs="Arial"/>
                <w:sz w:val="16"/>
                <w:szCs w:val="16"/>
                <w:lang w:bidi="th-TH"/>
              </w:rPr>
            </w:pPr>
            <w:r w:rsidRPr="00D95C1C">
              <w:rPr>
                <w:rFonts w:cs="Arial"/>
                <w:sz w:val="16"/>
                <w:szCs w:val="16"/>
                <w:lang w:bidi="th-TH"/>
              </w:rPr>
              <w:t>90% (2014)</w:t>
            </w:r>
          </w:p>
          <w:p w:rsidR="0095318C" w:rsidRPr="00D95C1C" w:rsidRDefault="0095318C" w:rsidP="0095318C">
            <w:pPr>
              <w:pStyle w:val="ListParagraph"/>
              <w:numPr>
                <w:ilvl w:val="0"/>
                <w:numId w:val="57"/>
              </w:numPr>
              <w:rPr>
                <w:rFonts w:cs="Arial"/>
                <w:b/>
                <w:sz w:val="16"/>
                <w:szCs w:val="16"/>
                <w:lang w:bidi="th-TH"/>
              </w:rPr>
            </w:pPr>
            <w:r>
              <w:rPr>
                <w:rFonts w:cs="Arial"/>
                <w:sz w:val="16"/>
                <w:szCs w:val="16"/>
                <w:lang w:bidi="th-TH"/>
              </w:rPr>
              <w:t>100</w:t>
            </w:r>
            <w:r w:rsidRPr="00FD284A">
              <w:rPr>
                <w:rFonts w:cs="Arial"/>
                <w:sz w:val="16"/>
                <w:szCs w:val="16"/>
                <w:lang w:bidi="th-TH"/>
              </w:rPr>
              <w:t>% (2015)</w:t>
            </w:r>
          </w:p>
        </w:tc>
        <w:tc>
          <w:tcPr>
            <w:tcW w:w="1197" w:type="dxa"/>
            <w:tcBorders>
              <w:top w:val="nil"/>
              <w:bottom w:val="nil"/>
              <w:right w:val="single" w:sz="4" w:space="0" w:color="auto"/>
            </w:tcBorders>
            <w:shd w:val="clear" w:color="auto" w:fill="auto"/>
            <w:tcMar>
              <w:top w:w="110" w:type="dxa"/>
            </w:tcMar>
          </w:tcPr>
          <w:p w:rsidR="0095318C" w:rsidRPr="00C5428C" w:rsidRDefault="0095318C" w:rsidP="00DC1333">
            <w:pPr>
              <w:keepNext/>
              <w:keepLines/>
              <w:jc w:val="center"/>
              <w:rPr>
                <w:b/>
                <w:bCs/>
                <w:color w:val="00B050"/>
                <w:sz w:val="16"/>
                <w:szCs w:val="16"/>
              </w:rPr>
            </w:pPr>
            <w:r>
              <w:rPr>
                <w:b/>
                <w:bCs/>
                <w:color w:val="00B050"/>
                <w:sz w:val="16"/>
                <w:szCs w:val="16"/>
              </w:rPr>
              <w:t>Plenamente logrado</w:t>
            </w:r>
          </w:p>
        </w:tc>
      </w:tr>
      <w:tr w:rsidR="0095318C" w:rsidRPr="001656CD" w:rsidTr="00DC1333">
        <w:trPr>
          <w:cantSplit/>
        </w:trPr>
        <w:tc>
          <w:tcPr>
            <w:tcW w:w="2137" w:type="dxa"/>
            <w:tcBorders>
              <w:top w:val="nil"/>
              <w:left w:val="single" w:sz="4" w:space="0" w:color="auto"/>
              <w:bottom w:val="single" w:sz="4" w:space="0" w:color="auto"/>
            </w:tcBorders>
            <w:shd w:val="clear" w:color="auto" w:fill="auto"/>
          </w:tcPr>
          <w:p w:rsidR="0095318C" w:rsidRPr="009C7FE8" w:rsidRDefault="0095318C" w:rsidP="00DC1333">
            <w:pPr>
              <w:tabs>
                <w:tab w:val="left" w:pos="347"/>
              </w:tabs>
              <w:rPr>
                <w:sz w:val="16"/>
                <w:szCs w:val="16"/>
                <w:lang w:bidi="th-TH"/>
              </w:rPr>
            </w:pPr>
            <w:r w:rsidRPr="009C7FE8">
              <w:rPr>
                <w:sz w:val="16"/>
                <w:szCs w:val="16"/>
              </w:rPr>
              <w:t>Número de países que han establecido programas de formación en P.I. destinados a las pymes</w:t>
            </w:r>
          </w:p>
          <w:p w:rsidR="0095318C" w:rsidRPr="009C7FE8" w:rsidRDefault="0095318C" w:rsidP="00DC1333">
            <w:pPr>
              <w:tabs>
                <w:tab w:val="left" w:pos="347"/>
              </w:tabs>
              <w:rPr>
                <w:sz w:val="16"/>
                <w:szCs w:val="16"/>
                <w:lang w:bidi="th-TH"/>
              </w:rPr>
            </w:pPr>
          </w:p>
        </w:tc>
        <w:tc>
          <w:tcPr>
            <w:tcW w:w="2420" w:type="dxa"/>
            <w:tcBorders>
              <w:top w:val="nil"/>
              <w:bottom w:val="single" w:sz="4" w:space="0" w:color="auto"/>
            </w:tcBorders>
            <w:shd w:val="clear" w:color="auto" w:fill="auto"/>
          </w:tcPr>
          <w:p w:rsidR="0095318C" w:rsidRPr="001656CD" w:rsidRDefault="00447371" w:rsidP="00DC1333">
            <w:pPr>
              <w:rPr>
                <w:i/>
                <w:color w:val="002060"/>
                <w:sz w:val="16"/>
                <w:szCs w:val="16"/>
              </w:rPr>
            </w:pPr>
            <w:r>
              <w:rPr>
                <w:sz w:val="16"/>
                <w:szCs w:val="16"/>
              </w:rPr>
              <w:t>Por determinar</w:t>
            </w:r>
          </w:p>
        </w:tc>
        <w:tc>
          <w:tcPr>
            <w:tcW w:w="1570" w:type="dxa"/>
            <w:tcBorders>
              <w:top w:val="nil"/>
              <w:bottom w:val="single" w:sz="4" w:space="0" w:color="auto"/>
            </w:tcBorders>
            <w:shd w:val="clear" w:color="auto" w:fill="auto"/>
            <w:tcMar>
              <w:top w:w="110" w:type="dxa"/>
            </w:tcMar>
          </w:tcPr>
          <w:p w:rsidR="0095318C" w:rsidRPr="003E0A9C" w:rsidRDefault="00447371" w:rsidP="00DC1333">
            <w:pPr>
              <w:rPr>
                <w:sz w:val="16"/>
                <w:szCs w:val="16"/>
                <w:lang w:bidi="th-TH"/>
              </w:rPr>
            </w:pPr>
            <w:r>
              <w:rPr>
                <w:sz w:val="16"/>
                <w:szCs w:val="16"/>
              </w:rPr>
              <w:t>Por determinar</w:t>
            </w:r>
          </w:p>
        </w:tc>
        <w:tc>
          <w:tcPr>
            <w:tcW w:w="2423" w:type="dxa"/>
            <w:gridSpan w:val="2"/>
            <w:tcBorders>
              <w:top w:val="nil"/>
              <w:bottom w:val="single" w:sz="4" w:space="0" w:color="auto"/>
            </w:tcBorders>
            <w:shd w:val="clear" w:color="auto" w:fill="FFFFFF"/>
            <w:tcMar>
              <w:top w:w="110" w:type="dxa"/>
            </w:tcMar>
          </w:tcPr>
          <w:p w:rsidR="0095318C" w:rsidRPr="003E0A9C" w:rsidRDefault="0095318C" w:rsidP="00DC1333">
            <w:pPr>
              <w:rPr>
                <w:sz w:val="16"/>
                <w:szCs w:val="16"/>
                <w:lang w:bidi="th-TH"/>
              </w:rPr>
            </w:pPr>
            <w:r>
              <w:rPr>
                <w:sz w:val="16"/>
                <w:szCs w:val="16"/>
              </w:rPr>
              <w:t xml:space="preserve">4 (Armenia, </w:t>
            </w:r>
            <w:proofErr w:type="spellStart"/>
            <w:r>
              <w:rPr>
                <w:sz w:val="16"/>
                <w:szCs w:val="16"/>
              </w:rPr>
              <w:t>Belarús</w:t>
            </w:r>
            <w:proofErr w:type="spellEnd"/>
            <w:r>
              <w:rPr>
                <w:sz w:val="16"/>
                <w:szCs w:val="16"/>
              </w:rPr>
              <w:t>, Georgia, Kazajstán).</w:t>
            </w:r>
          </w:p>
        </w:tc>
        <w:tc>
          <w:tcPr>
            <w:tcW w:w="1197" w:type="dxa"/>
            <w:tcBorders>
              <w:top w:val="nil"/>
              <w:bottom w:val="single" w:sz="4" w:space="0" w:color="auto"/>
              <w:right w:val="single" w:sz="4" w:space="0" w:color="auto"/>
            </w:tcBorders>
            <w:shd w:val="clear" w:color="auto" w:fill="auto"/>
            <w:tcMar>
              <w:top w:w="110" w:type="dxa"/>
            </w:tcMar>
          </w:tcPr>
          <w:p w:rsidR="0095318C" w:rsidRPr="00447371" w:rsidRDefault="0095318C" w:rsidP="00DC1333">
            <w:pPr>
              <w:keepNext/>
              <w:keepLines/>
              <w:jc w:val="center"/>
              <w:rPr>
                <w:b/>
                <w:bCs/>
                <w:color w:val="00B050"/>
                <w:sz w:val="16"/>
                <w:szCs w:val="16"/>
              </w:rPr>
            </w:pPr>
            <w:r w:rsidRPr="00447371">
              <w:rPr>
                <w:b/>
                <w:bCs/>
                <w:color w:val="A6A6A6" w:themeColor="background1" w:themeShade="A6"/>
                <w:sz w:val="16"/>
                <w:szCs w:val="16"/>
              </w:rPr>
              <w:t>No mensurable</w:t>
            </w:r>
          </w:p>
        </w:tc>
      </w:tr>
      <w:tr w:rsidR="0095318C" w:rsidRPr="00267E8F" w:rsidTr="00DC1333">
        <w:trPr>
          <w:cantSplit/>
          <w:trHeight w:val="502"/>
        </w:trPr>
        <w:tc>
          <w:tcPr>
            <w:tcW w:w="9747" w:type="dxa"/>
            <w:gridSpan w:val="6"/>
            <w:tcBorders>
              <w:top w:val="single" w:sz="4" w:space="0" w:color="auto"/>
              <w:bottom w:val="single" w:sz="4" w:space="0" w:color="auto"/>
            </w:tcBorders>
            <w:shd w:val="clear" w:color="auto" w:fill="C6D9F1" w:themeFill="text2" w:themeFillTint="33"/>
            <w:vAlign w:val="center"/>
          </w:tcPr>
          <w:p w:rsidR="0095318C" w:rsidRPr="00824A11" w:rsidRDefault="0095318C" w:rsidP="00DC1333">
            <w:pPr>
              <w:keepNext/>
              <w:keepLines/>
              <w:ind w:left="1985" w:hanging="1985"/>
              <w:rPr>
                <w:b/>
                <w:bCs/>
                <w:sz w:val="16"/>
                <w:szCs w:val="16"/>
              </w:rPr>
            </w:pPr>
            <w:r w:rsidRPr="00824A11">
              <w:lastRenderedPageBreak/>
              <w:br w:type="page"/>
            </w:r>
            <w:r w:rsidRPr="00824A11">
              <w:rPr>
                <w:b/>
                <w:bCs/>
                <w:sz w:val="16"/>
                <w:szCs w:val="16"/>
              </w:rPr>
              <w:t>Resultado previsto:</w:t>
            </w:r>
            <w:r w:rsidRPr="00824A11">
              <w:rPr>
                <w:b/>
                <w:bCs/>
                <w:sz w:val="16"/>
                <w:szCs w:val="16"/>
              </w:rPr>
              <w:tab/>
            </w:r>
            <w:r w:rsidRPr="00824A11">
              <w:rPr>
                <w:sz w:val="16"/>
                <w:szCs w:val="16"/>
                <w:lang w:bidi="th-TH"/>
              </w:rPr>
              <w:t xml:space="preserve">IV.2 </w:t>
            </w:r>
            <w:r w:rsidRPr="00824A11">
              <w:rPr>
                <w:sz w:val="16"/>
                <w:szCs w:val="16"/>
              </w:rPr>
              <w:t>Mejora del acceso y uso de información de P.I. por parte de instituciones de P.I. y el público para fomentar la innovación y la creatividad</w:t>
            </w:r>
          </w:p>
        </w:tc>
      </w:tr>
      <w:tr w:rsidR="0095318C" w:rsidRPr="001656CD" w:rsidTr="00DC1333">
        <w:trPr>
          <w:cantSplit/>
          <w:trHeight w:val="319"/>
        </w:trPr>
        <w:tc>
          <w:tcPr>
            <w:tcW w:w="2137" w:type="dxa"/>
            <w:tcBorders>
              <w:top w:val="single" w:sz="4" w:space="0" w:color="auto"/>
              <w:left w:val="single" w:sz="4" w:space="0" w:color="auto"/>
              <w:bottom w:val="nil"/>
              <w:right w:val="nil"/>
            </w:tcBorders>
            <w:shd w:val="clear" w:color="auto" w:fill="auto"/>
            <w:vAlign w:val="center"/>
          </w:tcPr>
          <w:p w:rsidR="0095318C" w:rsidRPr="00BC6547" w:rsidRDefault="0095318C" w:rsidP="00DC1333">
            <w:pPr>
              <w:keepNext/>
              <w:keepLines/>
              <w:rPr>
                <w:sz w:val="16"/>
                <w:szCs w:val="16"/>
              </w:rPr>
            </w:pPr>
            <w:r>
              <w:rPr>
                <w:b/>
                <w:bCs/>
                <w:sz w:val="16"/>
                <w:szCs w:val="16"/>
              </w:rPr>
              <w:t>Indicadores de rendimiento</w:t>
            </w:r>
          </w:p>
        </w:tc>
        <w:tc>
          <w:tcPr>
            <w:tcW w:w="2420" w:type="dxa"/>
            <w:tcBorders>
              <w:top w:val="single" w:sz="4" w:space="0" w:color="auto"/>
              <w:left w:val="nil"/>
              <w:bottom w:val="nil"/>
              <w:right w:val="nil"/>
            </w:tcBorders>
            <w:shd w:val="clear" w:color="auto" w:fill="auto"/>
            <w:vAlign w:val="center"/>
          </w:tcPr>
          <w:p w:rsidR="0095318C" w:rsidRPr="00BC6547" w:rsidRDefault="0095318C" w:rsidP="00DC1333">
            <w:pPr>
              <w:keepNext/>
              <w:keepLines/>
              <w:rPr>
                <w:b/>
                <w:bCs/>
                <w:sz w:val="16"/>
                <w:szCs w:val="16"/>
              </w:rPr>
            </w:pPr>
            <w:r>
              <w:rPr>
                <w:b/>
                <w:bCs/>
                <w:sz w:val="16"/>
                <w:szCs w:val="16"/>
              </w:rPr>
              <w:t>Referencia</w:t>
            </w:r>
          </w:p>
        </w:tc>
        <w:tc>
          <w:tcPr>
            <w:tcW w:w="1570" w:type="dxa"/>
            <w:tcBorders>
              <w:top w:val="single" w:sz="4" w:space="0" w:color="auto"/>
              <w:left w:val="nil"/>
              <w:bottom w:val="nil"/>
              <w:right w:val="nil"/>
            </w:tcBorders>
            <w:shd w:val="clear" w:color="auto" w:fill="auto"/>
            <w:vAlign w:val="center"/>
          </w:tcPr>
          <w:p w:rsidR="0095318C" w:rsidRPr="00BC6547" w:rsidRDefault="0095318C" w:rsidP="00DC1333">
            <w:pPr>
              <w:keepNext/>
              <w:keepLines/>
              <w:rPr>
                <w:b/>
                <w:sz w:val="16"/>
                <w:szCs w:val="16"/>
              </w:rPr>
            </w:pPr>
            <w:r>
              <w:rPr>
                <w:b/>
                <w:sz w:val="16"/>
                <w:szCs w:val="16"/>
              </w:rPr>
              <w:t>Objetivos</w:t>
            </w:r>
          </w:p>
        </w:tc>
        <w:tc>
          <w:tcPr>
            <w:tcW w:w="2411" w:type="dxa"/>
            <w:tcBorders>
              <w:top w:val="single" w:sz="4" w:space="0" w:color="auto"/>
              <w:left w:val="nil"/>
              <w:bottom w:val="nil"/>
              <w:right w:val="nil"/>
            </w:tcBorders>
            <w:shd w:val="clear" w:color="auto" w:fill="auto"/>
            <w:vAlign w:val="center"/>
          </w:tcPr>
          <w:p w:rsidR="0095318C" w:rsidRPr="00BC6547" w:rsidRDefault="0095318C" w:rsidP="00DC1333">
            <w:pPr>
              <w:keepNext/>
              <w:keepLines/>
              <w:rPr>
                <w:sz w:val="16"/>
                <w:szCs w:val="16"/>
              </w:rPr>
            </w:pPr>
            <w:r w:rsidRPr="001656CD">
              <w:rPr>
                <w:b/>
                <w:bCs/>
                <w:sz w:val="16"/>
                <w:szCs w:val="16"/>
              </w:rPr>
              <w:t>Datos sobre el rendimiento</w:t>
            </w:r>
          </w:p>
        </w:tc>
        <w:tc>
          <w:tcPr>
            <w:tcW w:w="1209" w:type="dxa"/>
            <w:gridSpan w:val="2"/>
            <w:tcBorders>
              <w:top w:val="single" w:sz="4" w:space="0" w:color="auto"/>
              <w:left w:val="nil"/>
              <w:bottom w:val="nil"/>
              <w:right w:val="single" w:sz="4" w:space="0" w:color="auto"/>
            </w:tcBorders>
            <w:shd w:val="clear" w:color="auto" w:fill="auto"/>
            <w:vAlign w:val="center"/>
          </w:tcPr>
          <w:p w:rsidR="0095318C" w:rsidRPr="00CD26D6" w:rsidRDefault="00447371" w:rsidP="00447371">
            <w:pPr>
              <w:keepNext/>
              <w:keepLines/>
              <w:spacing w:before="120"/>
              <w:jc w:val="center"/>
              <w:rPr>
                <w:b/>
                <w:bCs/>
                <w:sz w:val="16"/>
                <w:szCs w:val="16"/>
              </w:rPr>
            </w:pPr>
            <w:r>
              <w:rPr>
                <w:b/>
                <w:bCs/>
                <w:sz w:val="16"/>
                <w:szCs w:val="16"/>
              </w:rPr>
              <w:t>C</w:t>
            </w:r>
            <w:r w:rsidR="0095318C" w:rsidRPr="001656CD">
              <w:rPr>
                <w:b/>
                <w:bCs/>
                <w:sz w:val="16"/>
                <w:szCs w:val="16"/>
              </w:rPr>
              <w:t>lave de los colores</w:t>
            </w:r>
          </w:p>
        </w:tc>
      </w:tr>
      <w:tr w:rsidR="0095318C" w:rsidRPr="001656CD" w:rsidTr="00DC1333">
        <w:trPr>
          <w:cantSplit/>
        </w:trPr>
        <w:tc>
          <w:tcPr>
            <w:tcW w:w="2137" w:type="dxa"/>
            <w:tcBorders>
              <w:top w:val="nil"/>
              <w:left w:val="single" w:sz="4" w:space="0" w:color="auto"/>
              <w:bottom w:val="nil"/>
              <w:right w:val="nil"/>
            </w:tcBorders>
            <w:shd w:val="clear" w:color="auto" w:fill="auto"/>
          </w:tcPr>
          <w:p w:rsidR="0095318C" w:rsidRPr="00026237" w:rsidRDefault="0095318C" w:rsidP="00DC1333">
            <w:pPr>
              <w:tabs>
                <w:tab w:val="left" w:pos="347"/>
              </w:tabs>
              <w:rPr>
                <w:sz w:val="16"/>
                <w:szCs w:val="16"/>
                <w:lang w:bidi="th-TH"/>
              </w:rPr>
            </w:pPr>
            <w:r w:rsidRPr="00026237">
              <w:rPr>
                <w:sz w:val="16"/>
                <w:szCs w:val="16"/>
              </w:rPr>
              <w:t>Número de OTT o de centros de información establecidos</w:t>
            </w:r>
            <w:r>
              <w:rPr>
                <w:sz w:val="16"/>
                <w:szCs w:val="16"/>
              </w:rPr>
              <w:t>.</w:t>
            </w:r>
          </w:p>
        </w:tc>
        <w:tc>
          <w:tcPr>
            <w:tcW w:w="2420" w:type="dxa"/>
            <w:tcBorders>
              <w:top w:val="nil"/>
              <w:left w:val="nil"/>
              <w:bottom w:val="nil"/>
              <w:right w:val="nil"/>
            </w:tcBorders>
            <w:shd w:val="clear" w:color="auto" w:fill="auto"/>
          </w:tcPr>
          <w:p w:rsidR="0095318C" w:rsidRPr="00026237" w:rsidRDefault="0095318C" w:rsidP="00DC1333">
            <w:pPr>
              <w:rPr>
                <w:color w:val="002060"/>
                <w:sz w:val="16"/>
                <w:szCs w:val="16"/>
                <w:lang w:bidi="th-TH"/>
              </w:rPr>
            </w:pPr>
            <w:r w:rsidRPr="00026237">
              <w:rPr>
                <w:i/>
                <w:color w:val="002060"/>
                <w:sz w:val="16"/>
                <w:szCs w:val="16"/>
              </w:rPr>
              <w:t xml:space="preserve">Referencia actualizada a fines de 2013: </w:t>
            </w:r>
            <w:r w:rsidRPr="00026237">
              <w:rPr>
                <w:color w:val="002060"/>
                <w:sz w:val="16"/>
                <w:szCs w:val="16"/>
              </w:rPr>
              <w:t xml:space="preserve">Dos universidades/instituciones de Georgia recibieron asistencia directa en el desarrollo de su ecosistema de transferencia de conocimientos, política e infraestructura en determinados países de Europa y Asia: Universidad Estatal </w:t>
            </w:r>
            <w:proofErr w:type="spellStart"/>
            <w:r w:rsidRPr="00026237">
              <w:rPr>
                <w:color w:val="002060"/>
                <w:sz w:val="16"/>
                <w:szCs w:val="16"/>
              </w:rPr>
              <w:t>Ivane</w:t>
            </w:r>
            <w:proofErr w:type="spellEnd"/>
            <w:r w:rsidRPr="00026237">
              <w:rPr>
                <w:color w:val="002060"/>
                <w:sz w:val="16"/>
                <w:szCs w:val="16"/>
              </w:rPr>
              <w:t xml:space="preserve"> </w:t>
            </w:r>
            <w:proofErr w:type="spellStart"/>
            <w:r w:rsidRPr="00026237">
              <w:rPr>
                <w:color w:val="002060"/>
                <w:sz w:val="16"/>
                <w:szCs w:val="16"/>
              </w:rPr>
              <w:t>Javakhishvili</w:t>
            </w:r>
            <w:proofErr w:type="spellEnd"/>
            <w:r w:rsidRPr="00026237">
              <w:rPr>
                <w:color w:val="002060"/>
                <w:sz w:val="16"/>
                <w:szCs w:val="16"/>
              </w:rPr>
              <w:t xml:space="preserve"> de </w:t>
            </w:r>
            <w:proofErr w:type="spellStart"/>
            <w:r w:rsidRPr="00026237">
              <w:rPr>
                <w:color w:val="002060"/>
                <w:sz w:val="16"/>
                <w:szCs w:val="16"/>
              </w:rPr>
              <w:t>Tbilisi</w:t>
            </w:r>
            <w:proofErr w:type="spellEnd"/>
            <w:r w:rsidRPr="00026237">
              <w:rPr>
                <w:color w:val="002060"/>
                <w:sz w:val="16"/>
                <w:szCs w:val="16"/>
              </w:rPr>
              <w:t xml:space="preserve"> y Centro de Transferencia de Tecnología de Georgia, con la posterior elaboración de un plan de acción.</w:t>
            </w:r>
          </w:p>
          <w:p w:rsidR="0095318C" w:rsidRPr="00026237" w:rsidRDefault="0095318C" w:rsidP="00DC1333">
            <w:pPr>
              <w:rPr>
                <w:i/>
                <w:color w:val="002060"/>
                <w:sz w:val="8"/>
                <w:szCs w:val="8"/>
              </w:rPr>
            </w:pPr>
          </w:p>
          <w:p w:rsidR="0095318C" w:rsidRPr="00026237" w:rsidRDefault="0095318C" w:rsidP="00DC1333">
            <w:pPr>
              <w:rPr>
                <w:i/>
                <w:color w:val="002060"/>
                <w:sz w:val="16"/>
                <w:szCs w:val="16"/>
              </w:rPr>
            </w:pPr>
            <w:r w:rsidRPr="00026237">
              <w:rPr>
                <w:i/>
                <w:sz w:val="16"/>
                <w:szCs w:val="16"/>
              </w:rPr>
              <w:t>Referencia original en el presupuesto de 2014/15:</w:t>
            </w:r>
            <w:r w:rsidRPr="00026237">
              <w:rPr>
                <w:sz w:val="16"/>
                <w:szCs w:val="16"/>
              </w:rPr>
              <w:t xml:space="preserve"> por determinar.</w:t>
            </w:r>
          </w:p>
        </w:tc>
        <w:tc>
          <w:tcPr>
            <w:tcW w:w="1570" w:type="dxa"/>
            <w:tcBorders>
              <w:top w:val="nil"/>
              <w:left w:val="nil"/>
              <w:bottom w:val="nil"/>
              <w:right w:val="nil"/>
            </w:tcBorders>
            <w:shd w:val="clear" w:color="auto" w:fill="auto"/>
            <w:tcMar>
              <w:top w:w="110" w:type="dxa"/>
            </w:tcMar>
          </w:tcPr>
          <w:p w:rsidR="0095318C" w:rsidRPr="00026237" w:rsidRDefault="0095318C" w:rsidP="00DC1333">
            <w:pPr>
              <w:rPr>
                <w:sz w:val="16"/>
                <w:szCs w:val="16"/>
                <w:lang w:bidi="th-TH"/>
              </w:rPr>
            </w:pPr>
            <w:r w:rsidRPr="00026237">
              <w:rPr>
                <w:sz w:val="16"/>
                <w:szCs w:val="16"/>
              </w:rPr>
              <w:t>6 OTT adicionales/</w:t>
            </w:r>
            <w:proofErr w:type="spellStart"/>
            <w:r w:rsidRPr="00026237">
              <w:rPr>
                <w:sz w:val="16"/>
                <w:szCs w:val="16"/>
              </w:rPr>
              <w:t>cen-tros</w:t>
            </w:r>
            <w:proofErr w:type="spellEnd"/>
            <w:r w:rsidRPr="00026237">
              <w:rPr>
                <w:sz w:val="16"/>
                <w:szCs w:val="16"/>
              </w:rPr>
              <w:t xml:space="preserve"> de información en materia de P.I.</w:t>
            </w:r>
          </w:p>
        </w:tc>
        <w:tc>
          <w:tcPr>
            <w:tcW w:w="2411" w:type="dxa"/>
            <w:tcBorders>
              <w:top w:val="nil"/>
              <w:left w:val="nil"/>
              <w:bottom w:val="nil"/>
              <w:right w:val="nil"/>
            </w:tcBorders>
            <w:shd w:val="clear" w:color="auto" w:fill="FFFFFF"/>
            <w:tcMar>
              <w:top w:w="110" w:type="dxa"/>
            </w:tcMar>
          </w:tcPr>
          <w:p w:rsidR="0095318C" w:rsidRPr="00026237" w:rsidRDefault="0095318C" w:rsidP="00DC1333">
            <w:pPr>
              <w:rPr>
                <w:sz w:val="16"/>
                <w:szCs w:val="16"/>
                <w:lang w:bidi="th-TH"/>
              </w:rPr>
            </w:pPr>
            <w:r w:rsidRPr="002F5D2F">
              <w:rPr>
                <w:sz w:val="16"/>
                <w:szCs w:val="16"/>
              </w:rPr>
              <w:t>51 nuevos CATI creados en la Federación de Rusia.</w:t>
            </w:r>
          </w:p>
        </w:tc>
        <w:tc>
          <w:tcPr>
            <w:tcW w:w="1209" w:type="dxa"/>
            <w:gridSpan w:val="2"/>
            <w:tcBorders>
              <w:top w:val="nil"/>
              <w:left w:val="nil"/>
              <w:bottom w:val="nil"/>
              <w:right w:val="single" w:sz="4" w:space="0" w:color="auto"/>
            </w:tcBorders>
            <w:shd w:val="clear" w:color="auto" w:fill="auto"/>
            <w:tcMar>
              <w:top w:w="110" w:type="dxa"/>
            </w:tcMar>
          </w:tcPr>
          <w:p w:rsidR="0095318C" w:rsidRPr="00C5428C" w:rsidRDefault="0095318C" w:rsidP="00DC1333">
            <w:pPr>
              <w:keepNext/>
              <w:keepLines/>
              <w:jc w:val="center"/>
              <w:rPr>
                <w:b/>
                <w:bCs/>
                <w:color w:val="00B050"/>
                <w:sz w:val="16"/>
                <w:szCs w:val="16"/>
              </w:rPr>
            </w:pPr>
            <w:r>
              <w:rPr>
                <w:b/>
                <w:bCs/>
                <w:color w:val="00B050"/>
                <w:sz w:val="16"/>
                <w:szCs w:val="16"/>
              </w:rPr>
              <w:t>Plenamente logrado</w:t>
            </w:r>
          </w:p>
        </w:tc>
      </w:tr>
      <w:tr w:rsidR="0095318C" w:rsidRPr="001656CD" w:rsidTr="00DC1333">
        <w:trPr>
          <w:cantSplit/>
        </w:trPr>
        <w:tc>
          <w:tcPr>
            <w:tcW w:w="2137" w:type="dxa"/>
            <w:tcBorders>
              <w:top w:val="nil"/>
              <w:left w:val="single" w:sz="4" w:space="0" w:color="auto"/>
              <w:bottom w:val="nil"/>
            </w:tcBorders>
            <w:shd w:val="clear" w:color="auto" w:fill="auto"/>
          </w:tcPr>
          <w:p w:rsidR="0095318C" w:rsidRPr="00843BC7" w:rsidRDefault="0095318C" w:rsidP="00DC1333">
            <w:pPr>
              <w:tabs>
                <w:tab w:val="left" w:pos="347"/>
              </w:tabs>
              <w:rPr>
                <w:sz w:val="16"/>
                <w:szCs w:val="16"/>
                <w:lang w:bidi="th-TH"/>
              </w:rPr>
            </w:pPr>
            <w:r w:rsidRPr="00843BC7">
              <w:rPr>
                <w:sz w:val="16"/>
                <w:szCs w:val="16"/>
              </w:rPr>
              <w:t>Número de redes nacionales sostenibles de CATI.</w:t>
            </w:r>
          </w:p>
        </w:tc>
        <w:tc>
          <w:tcPr>
            <w:tcW w:w="2420" w:type="dxa"/>
            <w:tcBorders>
              <w:top w:val="nil"/>
              <w:bottom w:val="nil"/>
            </w:tcBorders>
            <w:shd w:val="clear" w:color="auto" w:fill="auto"/>
          </w:tcPr>
          <w:p w:rsidR="0095318C" w:rsidRPr="00843BC7" w:rsidRDefault="0095318C" w:rsidP="00DC1333">
            <w:pPr>
              <w:rPr>
                <w:color w:val="002060"/>
                <w:sz w:val="16"/>
                <w:szCs w:val="16"/>
                <w:lang w:bidi="th-TH"/>
              </w:rPr>
            </w:pPr>
            <w:r w:rsidRPr="00843BC7">
              <w:rPr>
                <w:i/>
                <w:color w:val="002060"/>
                <w:sz w:val="16"/>
                <w:szCs w:val="16"/>
              </w:rPr>
              <w:t xml:space="preserve">Referencia actualizada a fines de 2013: </w:t>
            </w:r>
            <w:r>
              <w:rPr>
                <w:i/>
                <w:color w:val="002060"/>
                <w:sz w:val="16"/>
                <w:szCs w:val="16"/>
              </w:rPr>
              <w:t xml:space="preserve"> </w:t>
            </w:r>
            <w:r w:rsidRPr="00843BC7">
              <w:rPr>
                <w:color w:val="002060"/>
                <w:sz w:val="16"/>
                <w:szCs w:val="16"/>
              </w:rPr>
              <w:t>1 red de CATI sostenible (de 3 creadas)</w:t>
            </w:r>
            <w:r>
              <w:rPr>
                <w:color w:val="002060"/>
                <w:sz w:val="16"/>
                <w:szCs w:val="16"/>
              </w:rPr>
              <w:t>.</w:t>
            </w:r>
          </w:p>
          <w:p w:rsidR="0095318C" w:rsidRPr="00843BC7" w:rsidRDefault="0095318C" w:rsidP="00DC1333">
            <w:pPr>
              <w:rPr>
                <w:i/>
                <w:color w:val="002060"/>
                <w:sz w:val="8"/>
                <w:szCs w:val="8"/>
              </w:rPr>
            </w:pPr>
          </w:p>
          <w:p w:rsidR="0095318C" w:rsidRPr="00843BC7" w:rsidRDefault="0095318C" w:rsidP="00DC1333">
            <w:pPr>
              <w:rPr>
                <w:sz w:val="16"/>
                <w:szCs w:val="16"/>
              </w:rPr>
            </w:pPr>
            <w:r w:rsidRPr="00843BC7">
              <w:rPr>
                <w:i/>
                <w:sz w:val="16"/>
                <w:szCs w:val="16"/>
              </w:rPr>
              <w:t>Referencia original en el presupuesto de 2014/15:</w:t>
            </w:r>
            <w:r w:rsidRPr="00843BC7">
              <w:rPr>
                <w:sz w:val="16"/>
                <w:szCs w:val="16"/>
              </w:rPr>
              <w:t xml:space="preserve"> 1 red nacional de CATI: (en total al final del primer trimestre de 2013:</w:t>
            </w:r>
          </w:p>
          <w:p w:rsidR="0095318C" w:rsidRPr="00843BC7" w:rsidRDefault="0095318C" w:rsidP="00DC1333">
            <w:pPr>
              <w:rPr>
                <w:i/>
                <w:color w:val="002060"/>
                <w:sz w:val="16"/>
                <w:szCs w:val="16"/>
              </w:rPr>
            </w:pPr>
            <w:r w:rsidRPr="00843BC7">
              <w:rPr>
                <w:sz w:val="16"/>
                <w:szCs w:val="16"/>
              </w:rPr>
              <w:t>Determinados países de Europa y Asia: 1</w:t>
            </w:r>
            <w:r>
              <w:rPr>
                <w:sz w:val="16"/>
                <w:szCs w:val="16"/>
              </w:rPr>
              <w:t>.</w:t>
            </w:r>
          </w:p>
        </w:tc>
        <w:tc>
          <w:tcPr>
            <w:tcW w:w="1570" w:type="dxa"/>
            <w:tcBorders>
              <w:top w:val="nil"/>
              <w:bottom w:val="nil"/>
            </w:tcBorders>
            <w:shd w:val="clear" w:color="auto" w:fill="auto"/>
            <w:tcMar>
              <w:top w:w="110" w:type="dxa"/>
            </w:tcMar>
          </w:tcPr>
          <w:p w:rsidR="0095318C" w:rsidRPr="0001287F" w:rsidRDefault="0095318C" w:rsidP="00DC1333">
            <w:pPr>
              <w:rPr>
                <w:sz w:val="16"/>
                <w:szCs w:val="16"/>
                <w:lang w:bidi="th-TH"/>
              </w:rPr>
            </w:pPr>
            <w:r w:rsidRPr="0001287F">
              <w:rPr>
                <w:sz w:val="16"/>
                <w:szCs w:val="16"/>
              </w:rPr>
              <w:t>2 redes nacionales de CATI (en total):</w:t>
            </w:r>
          </w:p>
          <w:p w:rsidR="0095318C" w:rsidRPr="0001287F" w:rsidRDefault="0095318C" w:rsidP="00DC1333">
            <w:pPr>
              <w:rPr>
                <w:sz w:val="16"/>
                <w:szCs w:val="16"/>
                <w:lang w:bidi="th-TH"/>
              </w:rPr>
            </w:pPr>
            <w:r>
              <w:rPr>
                <w:sz w:val="16"/>
                <w:szCs w:val="16"/>
              </w:rPr>
              <w:t>d</w:t>
            </w:r>
            <w:r w:rsidRPr="0001287F">
              <w:rPr>
                <w:sz w:val="16"/>
                <w:szCs w:val="16"/>
              </w:rPr>
              <w:t>eterm</w:t>
            </w:r>
            <w:r>
              <w:rPr>
                <w:sz w:val="16"/>
                <w:szCs w:val="16"/>
              </w:rPr>
              <w:t>inados países de Europa y Asia (</w:t>
            </w:r>
            <w:r w:rsidRPr="0001287F">
              <w:rPr>
                <w:sz w:val="16"/>
                <w:szCs w:val="16"/>
              </w:rPr>
              <w:t>2</w:t>
            </w:r>
            <w:r>
              <w:rPr>
                <w:sz w:val="16"/>
                <w:szCs w:val="16"/>
              </w:rPr>
              <w:t>).</w:t>
            </w:r>
          </w:p>
        </w:tc>
        <w:tc>
          <w:tcPr>
            <w:tcW w:w="2411" w:type="dxa"/>
            <w:tcBorders>
              <w:top w:val="nil"/>
              <w:bottom w:val="nil"/>
            </w:tcBorders>
            <w:shd w:val="clear" w:color="auto" w:fill="FFFFFF"/>
            <w:tcMar>
              <w:top w:w="110" w:type="dxa"/>
            </w:tcMar>
          </w:tcPr>
          <w:p w:rsidR="0095318C" w:rsidRPr="0001287F" w:rsidRDefault="0095318C" w:rsidP="00DC1333">
            <w:pPr>
              <w:rPr>
                <w:b/>
                <w:color w:val="00B050"/>
                <w:sz w:val="16"/>
                <w:szCs w:val="16"/>
                <w:lang w:bidi="th-TH"/>
              </w:rPr>
            </w:pPr>
            <w:r w:rsidRPr="0001287F">
              <w:rPr>
                <w:sz w:val="16"/>
                <w:szCs w:val="16"/>
              </w:rPr>
              <w:t xml:space="preserve">Determinados países de Europa y Asia: </w:t>
            </w:r>
            <w:r>
              <w:rPr>
                <w:sz w:val="16"/>
                <w:szCs w:val="16"/>
              </w:rPr>
              <w:t xml:space="preserve"> </w:t>
            </w:r>
            <w:r w:rsidRPr="0001287F">
              <w:rPr>
                <w:sz w:val="16"/>
                <w:szCs w:val="16"/>
              </w:rPr>
              <w:t>1</w:t>
            </w:r>
            <w:r>
              <w:rPr>
                <w:sz w:val="16"/>
                <w:szCs w:val="16"/>
              </w:rPr>
              <w:t>.</w:t>
            </w:r>
          </w:p>
        </w:tc>
        <w:tc>
          <w:tcPr>
            <w:tcW w:w="1209" w:type="dxa"/>
            <w:gridSpan w:val="2"/>
            <w:tcBorders>
              <w:top w:val="nil"/>
              <w:bottom w:val="nil"/>
              <w:right w:val="single" w:sz="4" w:space="0" w:color="auto"/>
            </w:tcBorders>
            <w:shd w:val="clear" w:color="auto" w:fill="auto"/>
            <w:tcMar>
              <w:top w:w="110" w:type="dxa"/>
            </w:tcMar>
          </w:tcPr>
          <w:p w:rsidR="0095318C" w:rsidRPr="0023121A" w:rsidRDefault="0095318C" w:rsidP="00DC1333">
            <w:pPr>
              <w:keepNext/>
              <w:keepLines/>
              <w:jc w:val="center"/>
              <w:outlineLvl w:val="7"/>
              <w:rPr>
                <w:b/>
                <w:bCs/>
                <w:color w:val="E36C0A" w:themeColor="accent6" w:themeShade="BF"/>
                <w:sz w:val="16"/>
                <w:szCs w:val="16"/>
              </w:rPr>
            </w:pPr>
            <w:proofErr w:type="spellStart"/>
            <w:r>
              <w:rPr>
                <w:b/>
                <w:bCs/>
                <w:color w:val="E36C0A" w:themeColor="accent6" w:themeShade="BF"/>
                <w:sz w:val="16"/>
                <w:szCs w:val="16"/>
              </w:rPr>
              <w:t>Parcialmen</w:t>
            </w:r>
            <w:proofErr w:type="spellEnd"/>
            <w:r>
              <w:rPr>
                <w:b/>
                <w:bCs/>
                <w:color w:val="E36C0A" w:themeColor="accent6" w:themeShade="BF"/>
                <w:sz w:val="16"/>
                <w:szCs w:val="16"/>
              </w:rPr>
              <w:t>-te logrado</w:t>
            </w:r>
          </w:p>
        </w:tc>
      </w:tr>
      <w:tr w:rsidR="0095318C" w:rsidRPr="001656CD" w:rsidTr="00DC1333">
        <w:trPr>
          <w:cantSplit/>
        </w:trPr>
        <w:tc>
          <w:tcPr>
            <w:tcW w:w="2137" w:type="dxa"/>
            <w:tcBorders>
              <w:top w:val="nil"/>
              <w:left w:val="single" w:sz="4" w:space="0" w:color="auto"/>
              <w:bottom w:val="single" w:sz="4" w:space="0" w:color="auto"/>
            </w:tcBorders>
            <w:shd w:val="clear" w:color="auto" w:fill="auto"/>
          </w:tcPr>
          <w:p w:rsidR="0095318C" w:rsidRPr="0001287F" w:rsidRDefault="0095318C" w:rsidP="00DC1333">
            <w:pPr>
              <w:tabs>
                <w:tab w:val="left" w:pos="347"/>
              </w:tabs>
              <w:rPr>
                <w:sz w:val="16"/>
                <w:szCs w:val="16"/>
                <w:lang w:bidi="th-TH"/>
              </w:rPr>
            </w:pPr>
            <w:r w:rsidRPr="0001287F">
              <w:rPr>
                <w:sz w:val="16"/>
                <w:szCs w:val="16"/>
              </w:rPr>
              <w:t>Promedio de usuarios que utilizan los servicios de los CATI por trimestre y por país</w:t>
            </w:r>
            <w:r>
              <w:rPr>
                <w:sz w:val="16"/>
                <w:szCs w:val="16"/>
              </w:rPr>
              <w:t>.</w:t>
            </w:r>
          </w:p>
        </w:tc>
        <w:tc>
          <w:tcPr>
            <w:tcW w:w="2420" w:type="dxa"/>
            <w:tcBorders>
              <w:top w:val="nil"/>
              <w:bottom w:val="single" w:sz="4" w:space="0" w:color="auto"/>
            </w:tcBorders>
            <w:shd w:val="clear" w:color="auto" w:fill="auto"/>
          </w:tcPr>
          <w:p w:rsidR="0095318C" w:rsidRPr="0001287F" w:rsidRDefault="0095318C" w:rsidP="00DC1333">
            <w:pPr>
              <w:rPr>
                <w:color w:val="002060"/>
                <w:sz w:val="16"/>
                <w:szCs w:val="16"/>
                <w:lang w:bidi="th-TH"/>
              </w:rPr>
            </w:pPr>
            <w:r w:rsidRPr="0001287F">
              <w:rPr>
                <w:i/>
                <w:color w:val="002060"/>
                <w:sz w:val="16"/>
                <w:szCs w:val="16"/>
              </w:rPr>
              <w:t xml:space="preserve">Referencia actualizada a fines de 2013: </w:t>
            </w:r>
            <w:r>
              <w:rPr>
                <w:i/>
                <w:color w:val="002060"/>
                <w:sz w:val="16"/>
                <w:szCs w:val="16"/>
              </w:rPr>
              <w:t xml:space="preserve"> </w:t>
            </w:r>
            <w:r w:rsidRPr="0001287F">
              <w:rPr>
                <w:color w:val="002060"/>
                <w:sz w:val="16"/>
                <w:szCs w:val="16"/>
              </w:rPr>
              <w:t>532 (min.) a 1</w:t>
            </w:r>
            <w:r>
              <w:rPr>
                <w:color w:val="002060"/>
                <w:sz w:val="16"/>
                <w:szCs w:val="16"/>
              </w:rPr>
              <w:t>.</w:t>
            </w:r>
            <w:r w:rsidRPr="0001287F">
              <w:rPr>
                <w:color w:val="002060"/>
                <w:sz w:val="16"/>
                <w:szCs w:val="16"/>
              </w:rPr>
              <w:t>370 (máx.) promedio del número de usuarios atendidos por los CATI al día en 2013.</w:t>
            </w:r>
          </w:p>
          <w:p w:rsidR="0095318C" w:rsidRPr="0001287F" w:rsidRDefault="0095318C" w:rsidP="00DC1333">
            <w:pPr>
              <w:rPr>
                <w:i/>
                <w:color w:val="002060"/>
                <w:sz w:val="8"/>
                <w:szCs w:val="8"/>
              </w:rPr>
            </w:pPr>
          </w:p>
          <w:p w:rsidR="0095318C" w:rsidRPr="0001287F" w:rsidRDefault="0095318C" w:rsidP="00DC1333">
            <w:pPr>
              <w:rPr>
                <w:sz w:val="16"/>
                <w:szCs w:val="16"/>
              </w:rPr>
            </w:pPr>
            <w:r w:rsidRPr="0001287F">
              <w:rPr>
                <w:i/>
                <w:sz w:val="16"/>
                <w:szCs w:val="16"/>
              </w:rPr>
              <w:t>Referencia original en el presupuesto de 2014/15:</w:t>
            </w:r>
            <w:r w:rsidRPr="0001287F">
              <w:rPr>
                <w:sz w:val="16"/>
                <w:szCs w:val="16"/>
              </w:rPr>
              <w:t xml:space="preserve"> </w:t>
            </w:r>
            <w:r>
              <w:rPr>
                <w:sz w:val="16"/>
                <w:szCs w:val="16"/>
              </w:rPr>
              <w:t xml:space="preserve"> </w:t>
            </w:r>
            <w:r w:rsidRPr="0001287F">
              <w:rPr>
                <w:sz w:val="16"/>
                <w:szCs w:val="16"/>
              </w:rPr>
              <w:t>200 (min.) – 630 (máx.)</w:t>
            </w:r>
            <w:r>
              <w:rPr>
                <w:sz w:val="16"/>
                <w:szCs w:val="16"/>
              </w:rPr>
              <w:t>.</w:t>
            </w:r>
          </w:p>
          <w:p w:rsidR="0095318C" w:rsidRPr="0001287F" w:rsidRDefault="0095318C" w:rsidP="00DC1333">
            <w:pPr>
              <w:rPr>
                <w:i/>
                <w:color w:val="002060"/>
                <w:sz w:val="16"/>
                <w:szCs w:val="16"/>
              </w:rPr>
            </w:pPr>
          </w:p>
        </w:tc>
        <w:tc>
          <w:tcPr>
            <w:tcW w:w="1570" w:type="dxa"/>
            <w:tcBorders>
              <w:top w:val="nil"/>
              <w:bottom w:val="single" w:sz="4" w:space="0" w:color="auto"/>
            </w:tcBorders>
            <w:shd w:val="clear" w:color="auto" w:fill="auto"/>
            <w:tcMar>
              <w:top w:w="110" w:type="dxa"/>
            </w:tcMar>
          </w:tcPr>
          <w:p w:rsidR="0095318C" w:rsidRPr="00F14ABB" w:rsidRDefault="0095318C" w:rsidP="00DC1333">
            <w:pPr>
              <w:rPr>
                <w:sz w:val="16"/>
                <w:szCs w:val="16"/>
                <w:lang w:bidi="th-TH"/>
              </w:rPr>
            </w:pPr>
            <w:r w:rsidRPr="0099235C">
              <w:rPr>
                <w:sz w:val="16"/>
                <w:szCs w:val="16"/>
              </w:rPr>
              <w:t>Entre 300 (min.) y 750 (máx.).</w:t>
            </w:r>
          </w:p>
        </w:tc>
        <w:tc>
          <w:tcPr>
            <w:tcW w:w="2411" w:type="dxa"/>
            <w:tcBorders>
              <w:top w:val="nil"/>
              <w:bottom w:val="single" w:sz="4" w:space="0" w:color="auto"/>
            </w:tcBorders>
            <w:shd w:val="clear" w:color="auto" w:fill="FFFFFF"/>
            <w:tcMar>
              <w:top w:w="110" w:type="dxa"/>
            </w:tcMar>
          </w:tcPr>
          <w:p w:rsidR="0095318C" w:rsidRPr="00303855" w:rsidRDefault="0095318C" w:rsidP="00DC1333">
            <w:pPr>
              <w:rPr>
                <w:b/>
                <w:color w:val="00B050"/>
                <w:sz w:val="16"/>
                <w:szCs w:val="16"/>
                <w:lang w:bidi="th-TH"/>
              </w:rPr>
            </w:pPr>
            <w:r>
              <w:rPr>
                <w:sz w:val="16"/>
                <w:szCs w:val="16"/>
              </w:rPr>
              <w:t>874 (mín.) –2.631 (máx.).</w:t>
            </w:r>
          </w:p>
        </w:tc>
        <w:tc>
          <w:tcPr>
            <w:tcW w:w="1209" w:type="dxa"/>
            <w:gridSpan w:val="2"/>
            <w:tcBorders>
              <w:top w:val="nil"/>
              <w:bottom w:val="single" w:sz="4" w:space="0" w:color="auto"/>
              <w:right w:val="single" w:sz="4" w:space="0" w:color="auto"/>
            </w:tcBorders>
            <w:shd w:val="clear" w:color="auto" w:fill="auto"/>
            <w:tcMar>
              <w:top w:w="110" w:type="dxa"/>
            </w:tcMar>
          </w:tcPr>
          <w:p w:rsidR="0095318C" w:rsidRPr="002A4544" w:rsidRDefault="0095318C" w:rsidP="00DC1333">
            <w:pPr>
              <w:keepNext/>
              <w:keepLines/>
              <w:jc w:val="center"/>
              <w:rPr>
                <w:b/>
                <w:bCs/>
                <w:color w:val="00B050"/>
                <w:sz w:val="16"/>
                <w:szCs w:val="16"/>
              </w:rPr>
            </w:pPr>
            <w:r>
              <w:rPr>
                <w:b/>
                <w:bCs/>
                <w:color w:val="00B050"/>
                <w:sz w:val="16"/>
                <w:szCs w:val="16"/>
              </w:rPr>
              <w:t>Plenamente logrado</w:t>
            </w:r>
          </w:p>
        </w:tc>
      </w:tr>
      <w:tr w:rsidR="0095318C" w:rsidRPr="00267E8F" w:rsidTr="00DC1333">
        <w:trPr>
          <w:cantSplit/>
          <w:trHeight w:val="667"/>
        </w:trPr>
        <w:tc>
          <w:tcPr>
            <w:tcW w:w="9747" w:type="dxa"/>
            <w:gridSpan w:val="6"/>
            <w:tcBorders>
              <w:top w:val="single" w:sz="4" w:space="0" w:color="auto"/>
              <w:bottom w:val="single" w:sz="4" w:space="0" w:color="auto"/>
            </w:tcBorders>
            <w:shd w:val="clear" w:color="auto" w:fill="C6D9F1" w:themeFill="text2" w:themeFillTint="33"/>
            <w:vAlign w:val="center"/>
          </w:tcPr>
          <w:p w:rsidR="0095318C" w:rsidRPr="002A51F5" w:rsidRDefault="0095318C" w:rsidP="00DC1333">
            <w:pPr>
              <w:keepNext/>
              <w:keepLines/>
              <w:ind w:left="1985" w:hanging="1985"/>
              <w:rPr>
                <w:b/>
                <w:bCs/>
                <w:sz w:val="16"/>
                <w:szCs w:val="16"/>
              </w:rPr>
            </w:pPr>
            <w:r w:rsidRPr="002A51F5">
              <w:rPr>
                <w:b/>
                <w:bCs/>
                <w:sz w:val="16"/>
                <w:szCs w:val="16"/>
              </w:rPr>
              <w:t>Resultado previsto:</w:t>
            </w:r>
            <w:r w:rsidRPr="002A51F5">
              <w:rPr>
                <w:b/>
                <w:bCs/>
                <w:sz w:val="16"/>
                <w:szCs w:val="16"/>
              </w:rPr>
              <w:tab/>
            </w:r>
            <w:r w:rsidRPr="002A51F5">
              <w:rPr>
                <w:sz w:val="16"/>
                <w:szCs w:val="16"/>
              </w:rPr>
              <w:t>IV.4 Mejora en la infraestructura téc</w:t>
            </w:r>
            <w:r>
              <w:rPr>
                <w:sz w:val="16"/>
                <w:szCs w:val="16"/>
              </w:rPr>
              <w:t>nica y de conocimientos de las O</w:t>
            </w:r>
            <w:r w:rsidRPr="002A51F5">
              <w:rPr>
                <w:sz w:val="16"/>
                <w:szCs w:val="16"/>
              </w:rPr>
              <w:t>ficinas y demás instituciones de P.I. que les permita prestar mejores servicios (más económicos, más rápidos y de mejor calidad) a sus partes interesadas</w:t>
            </w:r>
          </w:p>
        </w:tc>
      </w:tr>
      <w:tr w:rsidR="0095318C" w:rsidRPr="00250D44" w:rsidTr="00DC1333">
        <w:trPr>
          <w:cantSplit/>
          <w:trHeight w:val="382"/>
        </w:trPr>
        <w:tc>
          <w:tcPr>
            <w:tcW w:w="2137" w:type="dxa"/>
            <w:tcBorders>
              <w:top w:val="single" w:sz="4" w:space="0" w:color="auto"/>
              <w:left w:val="single" w:sz="4" w:space="0" w:color="auto"/>
              <w:bottom w:val="nil"/>
              <w:right w:val="nil"/>
            </w:tcBorders>
            <w:shd w:val="clear" w:color="auto" w:fill="auto"/>
            <w:vAlign w:val="center"/>
          </w:tcPr>
          <w:p w:rsidR="0095318C" w:rsidRPr="00250D44" w:rsidRDefault="0095318C" w:rsidP="00DC1333">
            <w:pPr>
              <w:keepNext/>
              <w:keepLines/>
              <w:rPr>
                <w:sz w:val="16"/>
                <w:szCs w:val="16"/>
              </w:rPr>
            </w:pPr>
            <w:r w:rsidRPr="00250D44">
              <w:rPr>
                <w:b/>
                <w:bCs/>
                <w:sz w:val="16"/>
                <w:szCs w:val="16"/>
              </w:rPr>
              <w:t>Indicadores de rendimiento</w:t>
            </w:r>
          </w:p>
        </w:tc>
        <w:tc>
          <w:tcPr>
            <w:tcW w:w="2420" w:type="dxa"/>
            <w:tcBorders>
              <w:top w:val="single" w:sz="4" w:space="0" w:color="auto"/>
              <w:left w:val="nil"/>
              <w:bottom w:val="nil"/>
              <w:right w:val="nil"/>
            </w:tcBorders>
            <w:shd w:val="clear" w:color="auto" w:fill="auto"/>
            <w:vAlign w:val="center"/>
          </w:tcPr>
          <w:p w:rsidR="0095318C" w:rsidRPr="00250D44" w:rsidRDefault="0095318C" w:rsidP="00DC1333">
            <w:pPr>
              <w:keepNext/>
              <w:keepLines/>
              <w:rPr>
                <w:b/>
                <w:bCs/>
                <w:sz w:val="16"/>
                <w:szCs w:val="16"/>
              </w:rPr>
            </w:pPr>
            <w:r w:rsidRPr="00250D44">
              <w:rPr>
                <w:b/>
                <w:bCs/>
                <w:sz w:val="16"/>
                <w:szCs w:val="16"/>
              </w:rPr>
              <w:t>Referencia</w:t>
            </w:r>
          </w:p>
        </w:tc>
        <w:tc>
          <w:tcPr>
            <w:tcW w:w="1570" w:type="dxa"/>
            <w:tcBorders>
              <w:top w:val="single" w:sz="4" w:space="0" w:color="auto"/>
              <w:left w:val="nil"/>
              <w:bottom w:val="nil"/>
              <w:right w:val="nil"/>
            </w:tcBorders>
            <w:shd w:val="clear" w:color="auto" w:fill="auto"/>
            <w:vAlign w:val="center"/>
          </w:tcPr>
          <w:p w:rsidR="0095318C" w:rsidRPr="00250D44" w:rsidRDefault="0095318C" w:rsidP="00DC1333">
            <w:pPr>
              <w:keepNext/>
              <w:keepLines/>
              <w:rPr>
                <w:b/>
                <w:sz w:val="16"/>
                <w:szCs w:val="16"/>
              </w:rPr>
            </w:pPr>
            <w:r w:rsidRPr="00250D44">
              <w:rPr>
                <w:b/>
                <w:sz w:val="16"/>
                <w:szCs w:val="16"/>
              </w:rPr>
              <w:t>Objetivos</w:t>
            </w:r>
          </w:p>
        </w:tc>
        <w:tc>
          <w:tcPr>
            <w:tcW w:w="2411" w:type="dxa"/>
            <w:tcBorders>
              <w:top w:val="single" w:sz="4" w:space="0" w:color="auto"/>
              <w:left w:val="nil"/>
              <w:bottom w:val="nil"/>
              <w:right w:val="nil"/>
            </w:tcBorders>
            <w:shd w:val="clear" w:color="auto" w:fill="auto"/>
            <w:vAlign w:val="center"/>
          </w:tcPr>
          <w:p w:rsidR="0095318C" w:rsidRPr="00250D44" w:rsidRDefault="0095318C" w:rsidP="00DC1333">
            <w:pPr>
              <w:keepNext/>
              <w:keepLines/>
              <w:rPr>
                <w:sz w:val="16"/>
                <w:szCs w:val="16"/>
              </w:rPr>
            </w:pPr>
            <w:r w:rsidRPr="00250D44">
              <w:rPr>
                <w:b/>
                <w:bCs/>
                <w:sz w:val="16"/>
                <w:szCs w:val="16"/>
              </w:rPr>
              <w:t>Datos sobre el rendimiento</w:t>
            </w:r>
          </w:p>
        </w:tc>
        <w:tc>
          <w:tcPr>
            <w:tcW w:w="1209" w:type="dxa"/>
            <w:gridSpan w:val="2"/>
            <w:tcBorders>
              <w:top w:val="single" w:sz="4" w:space="0" w:color="auto"/>
              <w:left w:val="nil"/>
              <w:bottom w:val="nil"/>
              <w:right w:val="single" w:sz="4" w:space="0" w:color="auto"/>
            </w:tcBorders>
            <w:shd w:val="clear" w:color="auto" w:fill="auto"/>
            <w:vAlign w:val="center"/>
          </w:tcPr>
          <w:p w:rsidR="0095318C" w:rsidRPr="00250D44" w:rsidRDefault="0095318C" w:rsidP="00447371">
            <w:pPr>
              <w:keepNext/>
              <w:keepLines/>
              <w:spacing w:before="120"/>
              <w:jc w:val="center"/>
              <w:rPr>
                <w:b/>
                <w:bCs/>
                <w:sz w:val="16"/>
                <w:szCs w:val="16"/>
              </w:rPr>
            </w:pPr>
            <w:r w:rsidRPr="00250D44">
              <w:rPr>
                <w:b/>
                <w:bCs/>
                <w:sz w:val="16"/>
                <w:szCs w:val="16"/>
              </w:rPr>
              <w:t xml:space="preserve">Clave </w:t>
            </w:r>
            <w:r w:rsidR="00447371">
              <w:rPr>
                <w:b/>
                <w:bCs/>
                <w:sz w:val="16"/>
                <w:szCs w:val="16"/>
              </w:rPr>
              <w:t>d</w:t>
            </w:r>
            <w:r w:rsidRPr="00250D44">
              <w:rPr>
                <w:b/>
                <w:bCs/>
                <w:sz w:val="16"/>
                <w:szCs w:val="16"/>
              </w:rPr>
              <w:t>e los colores</w:t>
            </w:r>
          </w:p>
        </w:tc>
      </w:tr>
      <w:tr w:rsidR="0095318C" w:rsidRPr="001656CD" w:rsidTr="00DC1333">
        <w:trPr>
          <w:cantSplit/>
        </w:trPr>
        <w:tc>
          <w:tcPr>
            <w:tcW w:w="2137" w:type="dxa"/>
            <w:tcBorders>
              <w:top w:val="nil"/>
              <w:left w:val="single" w:sz="4" w:space="0" w:color="auto"/>
              <w:bottom w:val="single" w:sz="4" w:space="0" w:color="auto"/>
              <w:right w:val="nil"/>
            </w:tcBorders>
            <w:shd w:val="clear" w:color="auto" w:fill="auto"/>
          </w:tcPr>
          <w:p w:rsidR="0095318C" w:rsidRPr="002A51F5" w:rsidRDefault="0095318C" w:rsidP="00DC1333">
            <w:pPr>
              <w:tabs>
                <w:tab w:val="left" w:pos="347"/>
              </w:tabs>
              <w:rPr>
                <w:sz w:val="16"/>
                <w:szCs w:val="16"/>
                <w:lang w:bidi="th-TH"/>
              </w:rPr>
            </w:pPr>
            <w:r w:rsidRPr="002A51F5">
              <w:rPr>
                <w:sz w:val="16"/>
                <w:szCs w:val="16"/>
              </w:rPr>
              <w:t>Media del nivel de l</w:t>
            </w:r>
            <w:r>
              <w:rPr>
                <w:sz w:val="16"/>
                <w:szCs w:val="16"/>
              </w:rPr>
              <w:t>os servicios prestados por las o</w:t>
            </w:r>
            <w:r w:rsidRPr="002A51F5">
              <w:rPr>
                <w:sz w:val="16"/>
                <w:szCs w:val="16"/>
              </w:rPr>
              <w:t>ficinas de P.I. que reciben asistencia (en una escala del 1 al 5).</w:t>
            </w:r>
          </w:p>
        </w:tc>
        <w:tc>
          <w:tcPr>
            <w:tcW w:w="2420" w:type="dxa"/>
            <w:tcBorders>
              <w:top w:val="nil"/>
              <w:left w:val="nil"/>
              <w:bottom w:val="single" w:sz="4" w:space="0" w:color="auto"/>
              <w:right w:val="nil"/>
            </w:tcBorders>
            <w:shd w:val="clear" w:color="auto" w:fill="auto"/>
          </w:tcPr>
          <w:p w:rsidR="0095318C" w:rsidRPr="00C00D8D" w:rsidRDefault="0095318C" w:rsidP="00DC1333">
            <w:pPr>
              <w:rPr>
                <w:color w:val="002060"/>
                <w:sz w:val="16"/>
                <w:szCs w:val="16"/>
                <w:lang w:bidi="th-TH"/>
              </w:rPr>
            </w:pPr>
            <w:r w:rsidRPr="00C00D8D">
              <w:rPr>
                <w:i/>
                <w:color w:val="002060"/>
                <w:sz w:val="16"/>
                <w:szCs w:val="16"/>
              </w:rPr>
              <w:t xml:space="preserve">Referencia actualizada a fines de 2013: </w:t>
            </w:r>
            <w:r>
              <w:rPr>
                <w:i/>
                <w:color w:val="002060"/>
                <w:sz w:val="16"/>
                <w:szCs w:val="16"/>
              </w:rPr>
              <w:t xml:space="preserve"> </w:t>
            </w:r>
            <w:r w:rsidRPr="00447371">
              <w:rPr>
                <w:color w:val="002060"/>
                <w:sz w:val="16"/>
                <w:szCs w:val="16"/>
              </w:rPr>
              <w:t>3</w:t>
            </w:r>
          </w:p>
          <w:p w:rsidR="0095318C" w:rsidRPr="00C00D8D" w:rsidRDefault="0095318C" w:rsidP="00DC1333">
            <w:pPr>
              <w:rPr>
                <w:i/>
                <w:color w:val="002060"/>
                <w:sz w:val="8"/>
                <w:szCs w:val="8"/>
              </w:rPr>
            </w:pPr>
          </w:p>
          <w:p w:rsidR="0095318C" w:rsidRPr="002A51F5" w:rsidRDefault="0095318C" w:rsidP="00DC1333">
            <w:pPr>
              <w:rPr>
                <w:i/>
                <w:color w:val="002060"/>
                <w:sz w:val="16"/>
                <w:szCs w:val="16"/>
              </w:rPr>
            </w:pPr>
            <w:r w:rsidRPr="002A51F5">
              <w:rPr>
                <w:i/>
                <w:sz w:val="16"/>
                <w:szCs w:val="16"/>
              </w:rPr>
              <w:t>Referencia original en el presupuesto de 2014/15:</w:t>
            </w:r>
            <w:r w:rsidRPr="002A51F5">
              <w:rPr>
                <w:sz w:val="16"/>
                <w:szCs w:val="16"/>
              </w:rPr>
              <w:t xml:space="preserve"> </w:t>
            </w:r>
            <w:r>
              <w:rPr>
                <w:sz w:val="16"/>
                <w:szCs w:val="16"/>
              </w:rPr>
              <w:t xml:space="preserve"> </w:t>
            </w:r>
            <w:r w:rsidR="00447371">
              <w:rPr>
                <w:sz w:val="16"/>
                <w:szCs w:val="16"/>
              </w:rPr>
              <w:t>por determinar</w:t>
            </w:r>
          </w:p>
        </w:tc>
        <w:tc>
          <w:tcPr>
            <w:tcW w:w="1570" w:type="dxa"/>
            <w:tcBorders>
              <w:top w:val="nil"/>
              <w:left w:val="nil"/>
              <w:bottom w:val="single" w:sz="4" w:space="0" w:color="auto"/>
              <w:right w:val="nil"/>
            </w:tcBorders>
            <w:shd w:val="clear" w:color="auto" w:fill="auto"/>
            <w:tcMar>
              <w:top w:w="110" w:type="dxa"/>
            </w:tcMar>
          </w:tcPr>
          <w:p w:rsidR="0095318C" w:rsidRPr="002A51F5" w:rsidRDefault="0095318C" w:rsidP="00DC1333">
            <w:pPr>
              <w:pStyle w:val="Default"/>
              <w:rPr>
                <w:rFonts w:eastAsia="Times New Roman"/>
                <w:i/>
                <w:color w:val="002060"/>
                <w:sz w:val="16"/>
                <w:szCs w:val="16"/>
                <w:lang w:val="es-ES" w:eastAsia="en-US"/>
              </w:rPr>
            </w:pPr>
            <w:r w:rsidRPr="002A51F5">
              <w:rPr>
                <w:rFonts w:eastAsia="Times New Roman"/>
                <w:i/>
                <w:color w:val="002060"/>
                <w:sz w:val="16"/>
                <w:szCs w:val="16"/>
                <w:lang w:val="es-ES"/>
              </w:rPr>
              <w:t xml:space="preserve">Objetivo definido: </w:t>
            </w:r>
            <w:r w:rsidRPr="002A51F5">
              <w:rPr>
                <w:rFonts w:eastAsia="Times New Roman"/>
                <w:color w:val="002060"/>
                <w:sz w:val="16"/>
                <w:szCs w:val="16"/>
                <w:lang w:val="es-ES"/>
              </w:rPr>
              <w:t>3.</w:t>
            </w:r>
          </w:p>
          <w:p w:rsidR="0095318C" w:rsidRPr="002A51F5" w:rsidRDefault="0095318C" w:rsidP="00DC1333">
            <w:pPr>
              <w:rPr>
                <w:i/>
                <w:color w:val="002060"/>
                <w:sz w:val="8"/>
                <w:szCs w:val="8"/>
              </w:rPr>
            </w:pPr>
          </w:p>
          <w:p w:rsidR="0095318C" w:rsidRPr="002A51F5" w:rsidRDefault="0095318C" w:rsidP="00DC1333">
            <w:pPr>
              <w:rPr>
                <w:sz w:val="16"/>
                <w:szCs w:val="16"/>
              </w:rPr>
            </w:pPr>
            <w:r w:rsidRPr="002A51F5">
              <w:rPr>
                <w:i/>
                <w:sz w:val="16"/>
                <w:szCs w:val="16"/>
              </w:rPr>
              <w:t>Objetivo original en el presupuesto de 2014/15:</w:t>
            </w:r>
            <w:r w:rsidR="00447371">
              <w:rPr>
                <w:sz w:val="16"/>
                <w:szCs w:val="16"/>
              </w:rPr>
              <w:t xml:space="preserve"> por determinar</w:t>
            </w:r>
          </w:p>
          <w:p w:rsidR="0095318C" w:rsidRPr="002A51F5" w:rsidRDefault="0095318C" w:rsidP="00DC1333">
            <w:pPr>
              <w:rPr>
                <w:sz w:val="16"/>
                <w:szCs w:val="16"/>
                <w:lang w:bidi="th-TH"/>
              </w:rPr>
            </w:pPr>
          </w:p>
        </w:tc>
        <w:tc>
          <w:tcPr>
            <w:tcW w:w="2411" w:type="dxa"/>
            <w:tcBorders>
              <w:top w:val="nil"/>
              <w:left w:val="nil"/>
              <w:bottom w:val="single" w:sz="4" w:space="0" w:color="auto"/>
              <w:right w:val="nil"/>
            </w:tcBorders>
            <w:shd w:val="clear" w:color="auto" w:fill="FFFFFF"/>
            <w:tcMar>
              <w:top w:w="110" w:type="dxa"/>
            </w:tcMar>
          </w:tcPr>
          <w:p w:rsidR="0095318C" w:rsidRPr="002D525D" w:rsidRDefault="0095318C" w:rsidP="00DC1333">
            <w:pPr>
              <w:rPr>
                <w:color w:val="000000" w:themeColor="text1"/>
                <w:sz w:val="16"/>
                <w:szCs w:val="16"/>
              </w:rPr>
            </w:pPr>
            <w:r w:rsidRPr="002D525D">
              <w:rPr>
                <w:color w:val="000000" w:themeColor="text1"/>
                <w:sz w:val="16"/>
                <w:szCs w:val="16"/>
              </w:rPr>
              <w:t>Determinados países de Europa y Asia</w:t>
            </w:r>
            <w:r>
              <w:rPr>
                <w:color w:val="000000" w:themeColor="text1"/>
                <w:sz w:val="16"/>
                <w:szCs w:val="16"/>
              </w:rPr>
              <w:t>:  3,</w:t>
            </w:r>
            <w:r w:rsidRPr="002D525D">
              <w:rPr>
                <w:color w:val="000000" w:themeColor="text1"/>
                <w:sz w:val="16"/>
                <w:szCs w:val="16"/>
              </w:rPr>
              <w:t>3</w:t>
            </w:r>
            <w:r>
              <w:rPr>
                <w:color w:val="000000" w:themeColor="text1"/>
                <w:sz w:val="16"/>
                <w:szCs w:val="16"/>
              </w:rPr>
              <w:t>.</w:t>
            </w:r>
          </w:p>
          <w:p w:rsidR="0095318C" w:rsidRPr="002D525D" w:rsidRDefault="0095318C" w:rsidP="00DC1333">
            <w:pPr>
              <w:rPr>
                <w:b/>
                <w:sz w:val="16"/>
                <w:szCs w:val="16"/>
                <w:lang w:bidi="th-TH"/>
              </w:rPr>
            </w:pPr>
          </w:p>
        </w:tc>
        <w:tc>
          <w:tcPr>
            <w:tcW w:w="1209" w:type="dxa"/>
            <w:gridSpan w:val="2"/>
            <w:tcBorders>
              <w:top w:val="nil"/>
              <w:left w:val="nil"/>
              <w:bottom w:val="single" w:sz="4" w:space="0" w:color="auto"/>
              <w:right w:val="single" w:sz="4" w:space="0" w:color="auto"/>
            </w:tcBorders>
            <w:shd w:val="clear" w:color="auto" w:fill="auto"/>
            <w:tcMar>
              <w:top w:w="110" w:type="dxa"/>
            </w:tcMar>
          </w:tcPr>
          <w:p w:rsidR="0095318C" w:rsidRPr="002A4544" w:rsidRDefault="0095318C" w:rsidP="00DC1333">
            <w:pPr>
              <w:keepNext/>
              <w:keepLines/>
              <w:jc w:val="center"/>
              <w:rPr>
                <w:b/>
                <w:bCs/>
                <w:color w:val="00B050"/>
                <w:sz w:val="16"/>
                <w:szCs w:val="16"/>
              </w:rPr>
            </w:pPr>
            <w:r>
              <w:rPr>
                <w:b/>
                <w:bCs/>
                <w:color w:val="00B050"/>
                <w:sz w:val="16"/>
                <w:szCs w:val="16"/>
              </w:rPr>
              <w:t>Plenamente logrado</w:t>
            </w:r>
          </w:p>
        </w:tc>
      </w:tr>
    </w:tbl>
    <w:p w:rsidR="0095318C" w:rsidRDefault="0095318C" w:rsidP="00DC1333">
      <w:pPr>
        <w:rPr>
          <w:color w:val="000000"/>
          <w:szCs w:val="22"/>
        </w:rPr>
      </w:pPr>
    </w:p>
    <w:p w:rsidR="0095318C" w:rsidRDefault="0095318C" w:rsidP="00DC1333">
      <w:pPr>
        <w:rPr>
          <w:color w:val="000000"/>
          <w:szCs w:val="22"/>
        </w:rPr>
      </w:pPr>
    </w:p>
    <w:p w:rsidR="0095318C" w:rsidRPr="00BA5D8D" w:rsidRDefault="008F7CBE" w:rsidP="00DC1333">
      <w:pPr>
        <w:keepNext/>
        <w:rPr>
          <w:color w:val="000000"/>
          <w:szCs w:val="22"/>
        </w:rPr>
      </w:pPr>
      <w:r w:rsidRPr="008F7CBE">
        <w:rPr>
          <w:color w:val="000000"/>
          <w:sz w:val="20"/>
          <w:szCs w:val="22"/>
        </w:rPr>
        <w:lastRenderedPageBreak/>
        <w:t>INFORMACIÓN SOBRE LOS RIESGOS PLANTEADOS EN EL BIENIO</w:t>
      </w:r>
    </w:p>
    <w:p w:rsidR="0095318C" w:rsidRPr="00BA5D8D" w:rsidRDefault="0095318C" w:rsidP="00DC1333">
      <w:pPr>
        <w:keepNext/>
        <w:keepLines/>
        <w:rPr>
          <w:color w:val="000000"/>
          <w:szCs w:val="22"/>
        </w:rPr>
      </w:pPr>
    </w:p>
    <w:tbl>
      <w:tblPr>
        <w:tblW w:w="9669" w:type="dxa"/>
        <w:tblInd w:w="108" w:type="dxa"/>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2420"/>
        <w:gridCol w:w="2200"/>
        <w:gridCol w:w="2310"/>
        <w:gridCol w:w="2739"/>
      </w:tblGrid>
      <w:tr w:rsidR="0095318C" w:rsidRPr="00267E8F" w:rsidTr="00DC1333">
        <w:trPr>
          <w:cantSplit/>
          <w:trHeight w:val="440"/>
        </w:trPr>
        <w:tc>
          <w:tcPr>
            <w:tcW w:w="2420" w:type="dxa"/>
            <w:shd w:val="clear" w:color="auto" w:fill="C6D9F1" w:themeFill="text2" w:themeFillTint="33"/>
            <w:tcMar>
              <w:top w:w="113" w:type="dxa"/>
            </w:tcMar>
            <w:vAlign w:val="center"/>
          </w:tcPr>
          <w:p w:rsidR="0095318C" w:rsidRPr="002D525D" w:rsidRDefault="0095318C" w:rsidP="00DC1333">
            <w:pPr>
              <w:keepNext/>
              <w:keepLines/>
              <w:autoSpaceDE w:val="0"/>
              <w:autoSpaceDN w:val="0"/>
              <w:adjustRightInd w:val="0"/>
              <w:ind w:right="-59"/>
              <w:jc w:val="center"/>
              <w:rPr>
                <w:b/>
                <w:bCs/>
                <w:iCs/>
                <w:sz w:val="18"/>
                <w:szCs w:val="18"/>
              </w:rPr>
            </w:pPr>
            <w:r w:rsidRPr="002D525D">
              <w:rPr>
                <w:b/>
                <w:bCs/>
                <w:iCs/>
                <w:sz w:val="18"/>
                <w:szCs w:val="18"/>
              </w:rPr>
              <w:t>Riesgos en el logro de los resultados del programa</w:t>
            </w:r>
          </w:p>
        </w:tc>
        <w:tc>
          <w:tcPr>
            <w:tcW w:w="2200" w:type="dxa"/>
            <w:shd w:val="clear" w:color="auto" w:fill="C6D9F1" w:themeFill="text2" w:themeFillTint="33"/>
            <w:tcMar>
              <w:top w:w="113" w:type="dxa"/>
            </w:tcMar>
            <w:vAlign w:val="center"/>
          </w:tcPr>
          <w:p w:rsidR="0095318C" w:rsidRPr="002D525D" w:rsidRDefault="0095318C" w:rsidP="00DC1333">
            <w:pPr>
              <w:keepNext/>
              <w:keepLines/>
              <w:autoSpaceDE w:val="0"/>
              <w:autoSpaceDN w:val="0"/>
              <w:adjustRightInd w:val="0"/>
              <w:ind w:right="-59"/>
              <w:jc w:val="center"/>
              <w:rPr>
                <w:b/>
                <w:bCs/>
                <w:iCs/>
                <w:sz w:val="18"/>
                <w:szCs w:val="18"/>
              </w:rPr>
            </w:pPr>
            <w:r w:rsidRPr="002D525D">
              <w:rPr>
                <w:b/>
                <w:bCs/>
                <w:iCs/>
                <w:sz w:val="18"/>
                <w:szCs w:val="18"/>
              </w:rPr>
              <w:t xml:space="preserve">Planes de mitigación ejecutados o en ejecución </w:t>
            </w:r>
          </w:p>
        </w:tc>
        <w:tc>
          <w:tcPr>
            <w:tcW w:w="2310" w:type="dxa"/>
            <w:shd w:val="clear" w:color="auto" w:fill="C6D9F1" w:themeFill="text2" w:themeFillTint="33"/>
          </w:tcPr>
          <w:p w:rsidR="0095318C" w:rsidRPr="00BA5D8D" w:rsidRDefault="0095318C" w:rsidP="00DC1333">
            <w:pPr>
              <w:keepNext/>
              <w:jc w:val="center"/>
              <w:rPr>
                <w:b/>
                <w:bCs/>
                <w:sz w:val="18"/>
                <w:szCs w:val="18"/>
                <w:highlight w:val="yellow"/>
              </w:rPr>
            </w:pPr>
            <w:r w:rsidRPr="00140207">
              <w:rPr>
                <w:b/>
                <w:bCs/>
                <w:sz w:val="18"/>
                <w:szCs w:val="18"/>
              </w:rPr>
              <w:t>Evolución de los riesgos y estrategias de mitigación durante el bienio</w:t>
            </w:r>
          </w:p>
        </w:tc>
        <w:tc>
          <w:tcPr>
            <w:tcW w:w="2739" w:type="dxa"/>
            <w:shd w:val="clear" w:color="auto" w:fill="C6D9F1" w:themeFill="text2" w:themeFillTint="33"/>
          </w:tcPr>
          <w:p w:rsidR="0095318C" w:rsidRPr="00140207" w:rsidRDefault="0095318C" w:rsidP="00DC1333">
            <w:pPr>
              <w:keepNext/>
              <w:jc w:val="center"/>
              <w:rPr>
                <w:b/>
                <w:bCs/>
                <w:sz w:val="18"/>
                <w:szCs w:val="18"/>
                <w:highlight w:val="yellow"/>
              </w:rPr>
            </w:pPr>
            <w:r w:rsidRPr="006F07A8">
              <w:rPr>
                <w:b/>
                <w:bCs/>
                <w:sz w:val="18"/>
                <w:szCs w:val="18"/>
              </w:rPr>
              <w:t>Repercusiones en el rendimiento del programa</w:t>
            </w:r>
          </w:p>
        </w:tc>
      </w:tr>
      <w:tr w:rsidR="0095318C" w:rsidRPr="00267E8F" w:rsidTr="00DC1333">
        <w:trPr>
          <w:cantSplit/>
          <w:trHeight w:val="785"/>
        </w:trPr>
        <w:tc>
          <w:tcPr>
            <w:tcW w:w="2420" w:type="dxa"/>
            <w:shd w:val="clear" w:color="auto" w:fill="auto"/>
            <w:tcMar>
              <w:top w:w="113" w:type="dxa"/>
            </w:tcMar>
          </w:tcPr>
          <w:p w:rsidR="0095318C" w:rsidRPr="002D525D" w:rsidRDefault="0095318C" w:rsidP="00DC1333">
            <w:pPr>
              <w:keepNext/>
              <w:keepLines/>
              <w:autoSpaceDE w:val="0"/>
              <w:autoSpaceDN w:val="0"/>
              <w:adjustRightInd w:val="0"/>
              <w:ind w:right="-59"/>
              <w:rPr>
                <w:sz w:val="16"/>
                <w:szCs w:val="16"/>
              </w:rPr>
            </w:pPr>
            <w:r w:rsidRPr="002D525D">
              <w:rPr>
                <w:sz w:val="16"/>
                <w:szCs w:val="16"/>
              </w:rPr>
              <w:t>Los cambios económicos y políticos podrían obstaculizar o ralentizar la aplicación de estrategias nacionales en materia de P.I.</w:t>
            </w:r>
          </w:p>
        </w:tc>
        <w:tc>
          <w:tcPr>
            <w:tcW w:w="2200" w:type="dxa"/>
            <w:shd w:val="clear" w:color="auto" w:fill="auto"/>
            <w:tcMar>
              <w:top w:w="113" w:type="dxa"/>
            </w:tcMar>
          </w:tcPr>
          <w:p w:rsidR="0095318C" w:rsidRPr="003C527B" w:rsidRDefault="0095318C" w:rsidP="00DC1333">
            <w:pPr>
              <w:keepNext/>
              <w:keepLines/>
              <w:autoSpaceDE w:val="0"/>
              <w:autoSpaceDN w:val="0"/>
              <w:adjustRightInd w:val="0"/>
              <w:ind w:right="-59"/>
              <w:rPr>
                <w:sz w:val="16"/>
                <w:szCs w:val="16"/>
              </w:rPr>
            </w:pPr>
            <w:r w:rsidRPr="002D525D">
              <w:rPr>
                <w:sz w:val="16"/>
                <w:szCs w:val="16"/>
              </w:rPr>
              <w:t xml:space="preserve">Mantenimiento de relaciones con todas las partes interesadas en los países y planificación anticipada en todos los niveles.  </w:t>
            </w:r>
            <w:r w:rsidRPr="003C527B">
              <w:rPr>
                <w:sz w:val="16"/>
                <w:szCs w:val="16"/>
              </w:rPr>
              <w:t xml:space="preserve">Los planes de cooperación ofrecerán flexibilidad. </w:t>
            </w:r>
          </w:p>
        </w:tc>
        <w:tc>
          <w:tcPr>
            <w:tcW w:w="2310" w:type="dxa"/>
          </w:tcPr>
          <w:p w:rsidR="0095318C" w:rsidRPr="00140207" w:rsidRDefault="0095318C" w:rsidP="00DC1333">
            <w:pPr>
              <w:rPr>
                <w:sz w:val="16"/>
                <w:szCs w:val="16"/>
              </w:rPr>
            </w:pPr>
            <w:r w:rsidRPr="006B6A49">
              <w:rPr>
                <w:sz w:val="16"/>
                <w:szCs w:val="16"/>
              </w:rPr>
              <w:t xml:space="preserve">Se trata de un riesgo permanente y </w:t>
            </w:r>
            <w:r>
              <w:rPr>
                <w:sz w:val="16"/>
                <w:szCs w:val="16"/>
              </w:rPr>
              <w:t>afectó</w:t>
            </w:r>
            <w:r w:rsidRPr="006B6A49">
              <w:rPr>
                <w:sz w:val="16"/>
                <w:szCs w:val="16"/>
              </w:rPr>
              <w:t xml:space="preserve"> a la planificación de determinadas actividades. </w:t>
            </w:r>
            <w:r w:rsidRPr="00140207">
              <w:rPr>
                <w:sz w:val="16"/>
                <w:szCs w:val="16"/>
              </w:rPr>
              <w:t xml:space="preserve">Sin embargo, se mantuvo una estrecha cooperación con las partes interesadas relevantes </w:t>
            </w:r>
            <w:r>
              <w:rPr>
                <w:sz w:val="16"/>
                <w:szCs w:val="16"/>
              </w:rPr>
              <w:t>conforme al</w:t>
            </w:r>
            <w:r w:rsidRPr="00140207">
              <w:rPr>
                <w:sz w:val="16"/>
                <w:szCs w:val="16"/>
              </w:rPr>
              <w:t xml:space="preserve"> plan de mitigación de riesgos. Además, la flexibilidad con la que se elaboraron y ejecutaron los planes de cooperación y la rigurosidad con la que se supervisó la situación ayudaron a reducir los efectos adversos.</w:t>
            </w:r>
          </w:p>
          <w:p w:rsidR="0095318C" w:rsidRPr="00140207" w:rsidRDefault="0095318C" w:rsidP="00DC1333">
            <w:pPr>
              <w:rPr>
                <w:sz w:val="16"/>
                <w:szCs w:val="16"/>
                <w:highlight w:val="yellow"/>
              </w:rPr>
            </w:pPr>
          </w:p>
        </w:tc>
        <w:tc>
          <w:tcPr>
            <w:tcW w:w="2739" w:type="dxa"/>
          </w:tcPr>
          <w:p w:rsidR="0095318C" w:rsidRPr="006F07A8" w:rsidRDefault="0095318C" w:rsidP="00DC1333">
            <w:pPr>
              <w:autoSpaceDE w:val="0"/>
              <w:autoSpaceDN w:val="0"/>
              <w:adjustRightInd w:val="0"/>
              <w:ind w:right="-59"/>
              <w:rPr>
                <w:sz w:val="16"/>
                <w:szCs w:val="16"/>
                <w:highlight w:val="yellow"/>
              </w:rPr>
            </w:pPr>
            <w:r w:rsidRPr="006F07A8">
              <w:rPr>
                <w:sz w:val="16"/>
                <w:szCs w:val="16"/>
              </w:rPr>
              <w:t xml:space="preserve">Este riesgo y su evolución no </w:t>
            </w:r>
            <w:r>
              <w:rPr>
                <w:sz w:val="16"/>
                <w:szCs w:val="16"/>
              </w:rPr>
              <w:t>tuvieron</w:t>
            </w:r>
            <w:r w:rsidRPr="006F07A8">
              <w:rPr>
                <w:sz w:val="16"/>
                <w:szCs w:val="16"/>
              </w:rPr>
              <w:t xml:space="preserve"> una repercusión concreta </w:t>
            </w:r>
            <w:r>
              <w:rPr>
                <w:sz w:val="16"/>
                <w:szCs w:val="16"/>
              </w:rPr>
              <w:t>sobre</w:t>
            </w:r>
            <w:r w:rsidRPr="006F07A8">
              <w:rPr>
                <w:sz w:val="16"/>
                <w:szCs w:val="16"/>
              </w:rPr>
              <w:t xml:space="preserve"> el rendimiento del programa en 2014/2015 gracias a la efectividad de las acciones de mitigación efectuadas.</w:t>
            </w:r>
          </w:p>
        </w:tc>
      </w:tr>
    </w:tbl>
    <w:p w:rsidR="0095318C" w:rsidRPr="006F07A8" w:rsidRDefault="0095318C" w:rsidP="00DC1333">
      <w:pPr>
        <w:rPr>
          <w:color w:val="000000"/>
          <w:szCs w:val="22"/>
        </w:rPr>
      </w:pPr>
    </w:p>
    <w:p w:rsidR="0095318C" w:rsidRPr="006F07A8" w:rsidRDefault="0095318C" w:rsidP="00DC1333">
      <w:pPr>
        <w:rPr>
          <w:color w:val="000000"/>
          <w:szCs w:val="22"/>
        </w:rPr>
      </w:pPr>
    </w:p>
    <w:p w:rsidR="0095318C" w:rsidRPr="00FE358A" w:rsidRDefault="00403D2C" w:rsidP="00DC1333">
      <w:pPr>
        <w:keepNext/>
        <w:rPr>
          <w:b/>
          <w:szCs w:val="22"/>
        </w:rPr>
      </w:pPr>
      <w:r w:rsidRPr="00403D2C">
        <w:rPr>
          <w:color w:val="000000"/>
          <w:sz w:val="20"/>
          <w:szCs w:val="22"/>
        </w:rPr>
        <w:lastRenderedPageBreak/>
        <w:t>UTILIZACIÓN DE LOS RECURSOS</w:t>
      </w:r>
    </w:p>
    <w:p w:rsidR="0095318C" w:rsidRPr="002D525D" w:rsidRDefault="0095318C" w:rsidP="00DC1333">
      <w:pPr>
        <w:pStyle w:val="NormalWeb"/>
        <w:keepNext/>
        <w:spacing w:before="0" w:beforeAutospacing="0" w:after="0" w:afterAutospacing="0"/>
        <w:jc w:val="center"/>
        <w:rPr>
          <w:color w:val="000000"/>
          <w:sz w:val="20"/>
          <w:szCs w:val="20"/>
          <w:lang w:val="es-ES"/>
        </w:rPr>
      </w:pPr>
    </w:p>
    <w:p w:rsidR="0095318C" w:rsidRPr="002D525D" w:rsidRDefault="0095318C" w:rsidP="00DC1333">
      <w:pPr>
        <w:pStyle w:val="NormalWeb"/>
        <w:keepNext/>
        <w:spacing w:before="0" w:beforeAutospacing="0" w:after="0" w:afterAutospacing="0"/>
        <w:jc w:val="center"/>
        <w:rPr>
          <w:sz w:val="20"/>
          <w:szCs w:val="20"/>
          <w:lang w:val="es-ES"/>
        </w:rPr>
      </w:pPr>
      <w:r w:rsidRPr="002D525D">
        <w:rPr>
          <w:color w:val="000000"/>
          <w:sz w:val="20"/>
          <w:szCs w:val="20"/>
          <w:lang w:val="es-ES"/>
        </w:rPr>
        <w:t xml:space="preserve">Presupuesto y gastos reales (por resultado) </w:t>
      </w:r>
    </w:p>
    <w:p w:rsidR="0095318C" w:rsidRPr="002D525D" w:rsidRDefault="0095318C" w:rsidP="00DC1333">
      <w:pPr>
        <w:pStyle w:val="NormalWeb"/>
        <w:keepNext/>
        <w:spacing w:before="0" w:beforeAutospacing="0" w:after="0" w:afterAutospacing="0"/>
        <w:jc w:val="center"/>
        <w:rPr>
          <w:i/>
          <w:iCs/>
          <w:color w:val="000000"/>
          <w:sz w:val="20"/>
          <w:szCs w:val="20"/>
          <w:lang w:val="es-ES"/>
        </w:rPr>
      </w:pPr>
      <w:r w:rsidRPr="002D525D">
        <w:rPr>
          <w:i/>
          <w:iCs/>
          <w:color w:val="000000"/>
          <w:sz w:val="20"/>
          <w:szCs w:val="20"/>
          <w:lang w:val="es-ES"/>
        </w:rPr>
        <w:t>(en miles de francos suizos)</w:t>
      </w:r>
    </w:p>
    <w:p w:rsidR="0095318C" w:rsidRPr="002D525D" w:rsidRDefault="0095318C" w:rsidP="00DC1333">
      <w:pPr>
        <w:pStyle w:val="NormalWeb"/>
        <w:keepNext/>
        <w:spacing w:before="0" w:beforeAutospacing="0" w:after="0" w:afterAutospacing="0"/>
        <w:jc w:val="center"/>
        <w:rPr>
          <w:i/>
          <w:iCs/>
          <w:color w:val="000000"/>
          <w:sz w:val="20"/>
          <w:szCs w:val="20"/>
          <w:lang w:val="es-ES"/>
        </w:rPr>
      </w:pPr>
    </w:p>
    <w:p w:rsidR="0095318C" w:rsidRDefault="0095318C" w:rsidP="00DC1333">
      <w:pPr>
        <w:keepNext/>
        <w:jc w:val="center"/>
      </w:pPr>
      <w:bookmarkStart w:id="108" w:name="Bm10"/>
      <w:bookmarkStart w:id="109" w:name="Punto10"/>
      <w:r>
        <w:rPr>
          <w:noProof/>
          <w:lang w:val="en-US" w:eastAsia="en-US"/>
        </w:rPr>
        <w:drawing>
          <wp:inline distT="0" distB="0" distL="0" distR="0" wp14:anchorId="7CC2DEBD" wp14:editId="5AE7E3E2">
            <wp:extent cx="5403720" cy="6156251"/>
            <wp:effectExtent l="0" t="0" r="6985" b="0"/>
            <wp:docPr id="1050" name="Pictur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5406127" cy="6158994"/>
                    </a:xfrm>
                    <a:prstGeom prst="rect">
                      <a:avLst/>
                    </a:prstGeom>
                    <a:noFill/>
                    <a:ln>
                      <a:noFill/>
                    </a:ln>
                  </pic:spPr>
                </pic:pic>
              </a:graphicData>
            </a:graphic>
          </wp:inline>
        </w:drawing>
      </w:r>
      <w:bookmarkEnd w:id="108"/>
      <w:bookmarkEnd w:id="109"/>
    </w:p>
    <w:p w:rsidR="0095318C" w:rsidRDefault="0095318C" w:rsidP="00DC1333">
      <w:pPr>
        <w:pStyle w:val="NormalWeb"/>
        <w:keepNext/>
        <w:spacing w:before="0" w:beforeAutospacing="0" w:after="0" w:afterAutospacing="0"/>
        <w:jc w:val="center"/>
        <w:rPr>
          <w:color w:val="000000"/>
          <w:sz w:val="20"/>
          <w:szCs w:val="20"/>
        </w:rPr>
      </w:pPr>
    </w:p>
    <w:p w:rsidR="0095318C" w:rsidRDefault="0095318C" w:rsidP="00DC1333">
      <w:pPr>
        <w:pStyle w:val="NormalWeb"/>
        <w:spacing w:before="0" w:beforeAutospacing="0" w:after="0" w:afterAutospacing="0"/>
        <w:jc w:val="center"/>
        <w:rPr>
          <w:color w:val="000000"/>
          <w:sz w:val="20"/>
          <w:szCs w:val="20"/>
        </w:rPr>
      </w:pPr>
    </w:p>
    <w:p w:rsidR="0095318C" w:rsidRPr="002D525D" w:rsidRDefault="0095318C" w:rsidP="00DC1333">
      <w:pPr>
        <w:pStyle w:val="NormalWeb"/>
        <w:keepNext/>
        <w:keepLines/>
        <w:spacing w:before="0" w:beforeAutospacing="0" w:after="0" w:afterAutospacing="0"/>
        <w:jc w:val="center"/>
        <w:rPr>
          <w:sz w:val="20"/>
          <w:szCs w:val="20"/>
          <w:lang w:val="es-ES"/>
        </w:rPr>
      </w:pPr>
      <w:r w:rsidRPr="002D525D">
        <w:rPr>
          <w:color w:val="000000"/>
          <w:sz w:val="20"/>
          <w:szCs w:val="20"/>
          <w:lang w:val="es-ES"/>
        </w:rPr>
        <w:t xml:space="preserve">Presupuesto y gastos reales (de personal y no relativos a personal) </w:t>
      </w:r>
    </w:p>
    <w:p w:rsidR="0095318C" w:rsidRPr="002D525D" w:rsidRDefault="0095318C" w:rsidP="00DC1333">
      <w:pPr>
        <w:pStyle w:val="NormalWeb"/>
        <w:keepNext/>
        <w:keepLines/>
        <w:spacing w:before="0" w:beforeAutospacing="0" w:after="0" w:afterAutospacing="0"/>
        <w:jc w:val="center"/>
        <w:rPr>
          <w:i/>
          <w:iCs/>
          <w:color w:val="000000"/>
          <w:sz w:val="20"/>
          <w:szCs w:val="20"/>
          <w:lang w:val="es-ES"/>
        </w:rPr>
      </w:pPr>
      <w:r w:rsidRPr="002D525D">
        <w:rPr>
          <w:i/>
          <w:iCs/>
          <w:color w:val="000000"/>
          <w:sz w:val="20"/>
          <w:szCs w:val="20"/>
          <w:lang w:val="es-ES"/>
        </w:rPr>
        <w:t>(en miles de francos suizos)</w:t>
      </w:r>
    </w:p>
    <w:p w:rsidR="0095318C" w:rsidRPr="002D525D" w:rsidRDefault="0095318C" w:rsidP="00DC1333">
      <w:pPr>
        <w:pStyle w:val="NormalWeb"/>
        <w:keepNext/>
        <w:keepLines/>
        <w:spacing w:before="0" w:beforeAutospacing="0" w:after="0" w:afterAutospacing="0"/>
        <w:jc w:val="center"/>
        <w:rPr>
          <w:lang w:val="es-ES"/>
        </w:rPr>
      </w:pPr>
    </w:p>
    <w:p w:rsidR="0095318C" w:rsidRDefault="0095318C" w:rsidP="00DC1333">
      <w:pPr>
        <w:widowControl w:val="0"/>
        <w:autoSpaceDE w:val="0"/>
        <w:autoSpaceDN w:val="0"/>
        <w:adjustRightInd w:val="0"/>
        <w:jc w:val="center"/>
      </w:pPr>
      <w:bookmarkStart w:id="110" w:name="Point10"/>
      <w:r>
        <w:rPr>
          <w:noProof/>
          <w:lang w:val="en-US" w:eastAsia="en-US"/>
        </w:rPr>
        <w:drawing>
          <wp:inline distT="0" distB="0" distL="0" distR="0" wp14:anchorId="0D1E2C3F" wp14:editId="599429E1">
            <wp:extent cx="5654510" cy="1015516"/>
            <wp:effectExtent l="0" t="0" r="3810" b="0"/>
            <wp:docPr id="1051" name="Picture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5673708" cy="1018964"/>
                    </a:xfrm>
                    <a:prstGeom prst="rect">
                      <a:avLst/>
                    </a:prstGeom>
                    <a:noFill/>
                    <a:ln>
                      <a:noFill/>
                    </a:ln>
                  </pic:spPr>
                </pic:pic>
              </a:graphicData>
            </a:graphic>
          </wp:inline>
        </w:drawing>
      </w:r>
      <w:bookmarkEnd w:id="110"/>
    </w:p>
    <w:p w:rsidR="0095318C" w:rsidRDefault="0095318C" w:rsidP="00DC1333">
      <w:pPr>
        <w:widowControl w:val="0"/>
        <w:autoSpaceDE w:val="0"/>
        <w:autoSpaceDN w:val="0"/>
        <w:adjustRightInd w:val="0"/>
        <w:jc w:val="center"/>
      </w:pPr>
    </w:p>
    <w:p w:rsidR="0095318C" w:rsidRPr="008F4A6D" w:rsidRDefault="0095318C" w:rsidP="00DC1333">
      <w:pPr>
        <w:widowControl w:val="0"/>
        <w:autoSpaceDE w:val="0"/>
        <w:autoSpaceDN w:val="0"/>
        <w:adjustRightInd w:val="0"/>
        <w:jc w:val="center"/>
      </w:pPr>
    </w:p>
    <w:p w:rsidR="0095318C" w:rsidRPr="004C50F9" w:rsidRDefault="00403D2C" w:rsidP="004C50F9">
      <w:pPr>
        <w:keepNext/>
        <w:tabs>
          <w:tab w:val="left" w:pos="709"/>
        </w:tabs>
        <w:rPr>
          <w:sz w:val="20"/>
          <w:u w:val="single"/>
        </w:rPr>
      </w:pPr>
      <w:r w:rsidRPr="00403D2C">
        <w:rPr>
          <w:sz w:val="20"/>
        </w:rPr>
        <w:lastRenderedPageBreak/>
        <w:t>A.</w:t>
      </w:r>
      <w:r w:rsidRPr="00403D2C">
        <w:rPr>
          <w:sz w:val="20"/>
        </w:rPr>
        <w:tab/>
      </w:r>
      <w:r w:rsidRPr="00403D2C">
        <w:rPr>
          <w:sz w:val="20"/>
          <w:u w:val="single"/>
        </w:rPr>
        <w:t>Presupuesto final de 2014/15 tras las transferencias</w:t>
      </w:r>
    </w:p>
    <w:p w:rsidR="0095318C" w:rsidRPr="004C50F9" w:rsidRDefault="0095318C" w:rsidP="004C50F9">
      <w:pPr>
        <w:keepNext/>
        <w:tabs>
          <w:tab w:val="left" w:pos="709"/>
        </w:tabs>
        <w:rPr>
          <w:sz w:val="20"/>
          <w:u w:val="single"/>
        </w:rPr>
      </w:pPr>
    </w:p>
    <w:p w:rsidR="0095318C" w:rsidRPr="004C50F9" w:rsidRDefault="0095318C" w:rsidP="004C50F9">
      <w:pPr>
        <w:pStyle w:val="ListParagraph"/>
        <w:keepNext/>
        <w:numPr>
          <w:ilvl w:val="0"/>
          <w:numId w:val="56"/>
        </w:numPr>
        <w:tabs>
          <w:tab w:val="left" w:pos="709"/>
        </w:tabs>
        <w:ind w:left="0" w:firstLine="0"/>
        <w:jc w:val="both"/>
        <w:rPr>
          <w:rFonts w:cs="Arial"/>
          <w:lang w:val="es-ES"/>
        </w:rPr>
      </w:pPr>
      <w:r w:rsidRPr="004C50F9">
        <w:rPr>
          <w:rFonts w:cs="Arial"/>
          <w:lang w:val="es-ES" w:eastAsia="ko-KR"/>
        </w:rPr>
        <w:t>Los ajustes efectuados respecto de los distintos resultados en el presupuesto final de 2014/15 tras las transferencias son consecuencia de la metodología nueva y más precisa para la consignación de los recursos de personal tras las mejoras introducidas en el sistema de planificación de la gestión del rendimiento institucional con respecto a los ejercicios de planificación anual del trabajo.</w:t>
      </w:r>
    </w:p>
    <w:p w:rsidR="0095318C" w:rsidRPr="004C50F9" w:rsidRDefault="0095318C" w:rsidP="004C50F9">
      <w:pPr>
        <w:pStyle w:val="ListParagraph"/>
        <w:tabs>
          <w:tab w:val="left" w:pos="709"/>
        </w:tabs>
        <w:ind w:left="0"/>
        <w:jc w:val="both"/>
        <w:rPr>
          <w:rFonts w:cs="Arial"/>
          <w:lang w:val="es-ES"/>
        </w:rPr>
      </w:pPr>
    </w:p>
    <w:p w:rsidR="0095318C" w:rsidRPr="004C50F9" w:rsidRDefault="0095318C" w:rsidP="004C50F9">
      <w:pPr>
        <w:pStyle w:val="ListParagraph"/>
        <w:numPr>
          <w:ilvl w:val="0"/>
          <w:numId w:val="56"/>
        </w:numPr>
        <w:tabs>
          <w:tab w:val="left" w:pos="709"/>
        </w:tabs>
        <w:ind w:left="0" w:firstLine="0"/>
        <w:jc w:val="both"/>
        <w:rPr>
          <w:rFonts w:cs="Arial"/>
          <w:lang w:val="es-ES"/>
        </w:rPr>
      </w:pPr>
      <w:r w:rsidRPr="004C50F9">
        <w:rPr>
          <w:rFonts w:cs="Arial"/>
          <w:lang w:val="es-ES"/>
        </w:rPr>
        <w:t xml:space="preserve">La disminución neta de los recursos de personal observada </w:t>
      </w:r>
      <w:r w:rsidRPr="004C50F9">
        <w:rPr>
          <w:rFonts w:cs="Arial"/>
          <w:lang w:val="es-ES" w:eastAsia="ko-KR"/>
        </w:rPr>
        <w:t>en el presupuesto final de 2014/15 tras las transferencias, se debe fundamentalmente a la reubicación temporal de una persona en el marco del programa 31 (Sistema de La Haya), para asistir</w:t>
      </w:r>
      <w:r w:rsidRPr="004C50F9">
        <w:rPr>
          <w:rFonts w:cs="Arial"/>
          <w:lang w:val="es-ES"/>
        </w:rPr>
        <w:t xml:space="preserve"> con las nuevas adhesiones.</w:t>
      </w:r>
    </w:p>
    <w:p w:rsidR="0095318C" w:rsidRPr="004C50F9" w:rsidRDefault="0095318C" w:rsidP="004C50F9">
      <w:pPr>
        <w:pStyle w:val="ListParagraph"/>
        <w:tabs>
          <w:tab w:val="left" w:pos="709"/>
        </w:tabs>
        <w:ind w:left="0"/>
        <w:jc w:val="both"/>
        <w:rPr>
          <w:rFonts w:cs="Arial"/>
          <w:lang w:val="es-ES"/>
        </w:rPr>
      </w:pPr>
    </w:p>
    <w:p w:rsidR="0095318C" w:rsidRPr="004C50F9" w:rsidRDefault="00403D2C" w:rsidP="004C50F9">
      <w:pPr>
        <w:tabs>
          <w:tab w:val="left" w:pos="709"/>
        </w:tabs>
        <w:jc w:val="both"/>
        <w:rPr>
          <w:sz w:val="20"/>
          <w:u w:val="single"/>
          <w:lang w:eastAsia="ko-KR"/>
        </w:rPr>
      </w:pPr>
      <w:r w:rsidRPr="00403D2C">
        <w:rPr>
          <w:sz w:val="20"/>
          <w:lang w:eastAsia="ko-KR"/>
        </w:rPr>
        <w:t>B.</w:t>
      </w:r>
      <w:r w:rsidRPr="00403D2C">
        <w:rPr>
          <w:sz w:val="20"/>
          <w:lang w:eastAsia="ko-KR"/>
        </w:rPr>
        <w:tab/>
      </w:r>
      <w:r w:rsidRPr="00403D2C">
        <w:rPr>
          <w:sz w:val="20"/>
          <w:u w:val="single"/>
          <w:lang w:eastAsia="ko-KR"/>
        </w:rPr>
        <w:t xml:space="preserve">Utilización del presupuesto en </w:t>
      </w:r>
      <w:r w:rsidRPr="00403D2C">
        <w:rPr>
          <w:sz w:val="20"/>
          <w:u w:val="single"/>
        </w:rPr>
        <w:t>2014/15</w:t>
      </w:r>
    </w:p>
    <w:p w:rsidR="0095318C" w:rsidRPr="004C50F9" w:rsidRDefault="0095318C" w:rsidP="004C50F9">
      <w:pPr>
        <w:pStyle w:val="ListParagraph"/>
        <w:tabs>
          <w:tab w:val="left" w:pos="709"/>
        </w:tabs>
        <w:ind w:left="0"/>
        <w:jc w:val="both"/>
        <w:rPr>
          <w:rFonts w:cs="Arial"/>
          <w:lang w:val="es-ES"/>
        </w:rPr>
      </w:pPr>
    </w:p>
    <w:p w:rsidR="0095318C" w:rsidRPr="007F7E51" w:rsidRDefault="0095318C" w:rsidP="004C50F9">
      <w:pPr>
        <w:pStyle w:val="ListParagraph"/>
        <w:numPr>
          <w:ilvl w:val="0"/>
          <w:numId w:val="56"/>
        </w:numPr>
        <w:tabs>
          <w:tab w:val="left" w:pos="709"/>
        </w:tabs>
        <w:ind w:left="0" w:firstLine="0"/>
        <w:jc w:val="both"/>
        <w:rPr>
          <w:rFonts w:cs="Arial"/>
          <w:lang w:val="es-ES"/>
        </w:rPr>
      </w:pPr>
      <w:r w:rsidRPr="003E2662">
        <w:rPr>
          <w:rFonts w:cs="Arial"/>
          <w:lang w:val="es-ES"/>
        </w:rPr>
        <w:t xml:space="preserve">En general, la utilización del presupuesto </w:t>
      </w:r>
      <w:r>
        <w:rPr>
          <w:rFonts w:cs="Arial"/>
          <w:lang w:val="es-ES"/>
        </w:rPr>
        <w:t>se ha mantenido</w:t>
      </w:r>
      <w:r w:rsidRPr="003E2662">
        <w:rPr>
          <w:rFonts w:cs="Arial"/>
          <w:lang w:val="es-ES"/>
        </w:rPr>
        <w:t xml:space="preserve"> dentro </w:t>
      </w:r>
      <w:r>
        <w:rPr>
          <w:rFonts w:cs="Arial"/>
          <w:lang w:val="es-ES"/>
        </w:rPr>
        <w:t>de los límites</w:t>
      </w:r>
      <w:r w:rsidRPr="003E2662">
        <w:rPr>
          <w:rFonts w:cs="Arial"/>
          <w:lang w:val="es-ES"/>
        </w:rPr>
        <w:t xml:space="preserve"> previsto</w:t>
      </w:r>
      <w:r>
        <w:rPr>
          <w:rFonts w:cs="Arial"/>
          <w:lang w:val="es-ES"/>
        </w:rPr>
        <w:t>s para el bienio</w:t>
      </w:r>
      <w:r w:rsidRPr="00D17117">
        <w:rPr>
          <w:rFonts w:cs="Arial"/>
          <w:lang w:val="es-ES"/>
        </w:rPr>
        <w:t xml:space="preserve">.  </w:t>
      </w:r>
      <w:r w:rsidRPr="00526311">
        <w:rPr>
          <w:lang w:val="es-ES"/>
        </w:rPr>
        <w:t>La ligera infrautilización de los recursos no relativos a personal se debe principalmente a la</w:t>
      </w:r>
      <w:r>
        <w:rPr>
          <w:lang w:val="es-ES"/>
        </w:rPr>
        <w:t>s medidas de eficacia en función de los costos aplicadas en las misiones del personal y eventos.</w:t>
      </w:r>
    </w:p>
    <w:p w:rsidR="0095318C" w:rsidRDefault="0095318C" w:rsidP="004C50F9">
      <w:pPr>
        <w:tabs>
          <w:tab w:val="left" w:pos="709"/>
        </w:tabs>
        <w:jc w:val="both"/>
      </w:pPr>
    </w:p>
    <w:p w:rsidR="0095318C" w:rsidRDefault="0095318C" w:rsidP="00DC1333">
      <w:pPr>
        <w:jc w:val="both"/>
      </w:pPr>
    </w:p>
    <w:p w:rsidR="0095318C" w:rsidRPr="007F7E51" w:rsidRDefault="0095318C" w:rsidP="00DC1333">
      <w:pPr>
        <w:jc w:val="both"/>
      </w:pPr>
    </w:p>
    <w:p w:rsidR="0095318C" w:rsidRDefault="0095318C">
      <w:pPr>
        <w:rPr>
          <w:bCs/>
          <w:iCs/>
          <w:caps/>
        </w:rPr>
      </w:pPr>
      <w:bookmarkStart w:id="111" w:name="_Toc422210493"/>
      <w:r>
        <w:br w:type="page"/>
      </w:r>
    </w:p>
    <w:p w:rsidR="0095318C" w:rsidRPr="0095318C" w:rsidRDefault="0095318C" w:rsidP="00DC1333">
      <w:pPr>
        <w:pStyle w:val="Heading2"/>
        <w:ind w:left="2410" w:hanging="2410"/>
        <w:rPr>
          <w:b/>
          <w:szCs w:val="20"/>
        </w:rPr>
      </w:pPr>
      <w:bookmarkStart w:id="112" w:name="_Toc455159086"/>
      <w:r w:rsidRPr="0095318C">
        <w:rPr>
          <w:b/>
          <w:szCs w:val="20"/>
        </w:rPr>
        <w:lastRenderedPageBreak/>
        <w:t>PROGRAMA 11</w:t>
      </w:r>
      <w:r w:rsidRPr="0095318C">
        <w:rPr>
          <w:b/>
          <w:szCs w:val="20"/>
        </w:rPr>
        <w:tab/>
      </w:r>
      <w:bookmarkEnd w:id="111"/>
      <w:r w:rsidRPr="0095318C">
        <w:rPr>
          <w:b/>
          <w:szCs w:val="20"/>
        </w:rPr>
        <w:t>ACADEMIA DE LA OMPI</w:t>
      </w:r>
      <w:bookmarkEnd w:id="112"/>
    </w:p>
    <w:p w:rsidR="0095318C" w:rsidRPr="008A6189" w:rsidRDefault="0095318C" w:rsidP="00DC1333">
      <w:pPr>
        <w:ind w:left="1985" w:hanging="1985"/>
      </w:pPr>
    </w:p>
    <w:p w:rsidR="0095318C" w:rsidRPr="00013B5C" w:rsidRDefault="0095318C" w:rsidP="00DC1333">
      <w:pPr>
        <w:ind w:left="2410" w:hanging="2410"/>
        <w:rPr>
          <w:b/>
          <w:sz w:val="20"/>
        </w:rPr>
      </w:pPr>
      <w:r w:rsidRPr="00013B5C">
        <w:rPr>
          <w:b/>
          <w:sz w:val="20"/>
        </w:rPr>
        <w:t>Director del Programa</w:t>
      </w:r>
      <w:r w:rsidRPr="00013B5C">
        <w:rPr>
          <w:b/>
          <w:sz w:val="20"/>
        </w:rPr>
        <w:tab/>
        <w:t>Sr. M. Matus</w:t>
      </w:r>
    </w:p>
    <w:p w:rsidR="0095318C" w:rsidRPr="008A6189" w:rsidRDefault="0095318C" w:rsidP="00DC1333"/>
    <w:p w:rsidR="0095318C" w:rsidRPr="008A6189" w:rsidRDefault="0095318C" w:rsidP="00DC1333">
      <w:pPr>
        <w:rPr>
          <w:bCs/>
        </w:rPr>
      </w:pPr>
    </w:p>
    <w:p w:rsidR="0095318C" w:rsidRPr="008A6189" w:rsidRDefault="008F7CBE" w:rsidP="00DC1333">
      <w:pPr>
        <w:rPr>
          <w:bCs/>
          <w:szCs w:val="22"/>
        </w:rPr>
      </w:pPr>
      <w:r w:rsidRPr="008F7CBE">
        <w:rPr>
          <w:bCs/>
          <w:sz w:val="20"/>
          <w:szCs w:val="22"/>
        </w:rPr>
        <w:t>LOGROS ALCANZADOS EN EL BIENIO 2014/15</w:t>
      </w:r>
    </w:p>
    <w:p w:rsidR="0095318C" w:rsidRPr="008A6189" w:rsidRDefault="0095318C" w:rsidP="00DC1333">
      <w:pPr>
        <w:spacing w:line="276" w:lineRule="auto"/>
        <w:rPr>
          <w:rFonts w:eastAsiaTheme="minorHAnsi"/>
        </w:rPr>
      </w:pPr>
    </w:p>
    <w:p w:rsidR="0095318C" w:rsidRPr="008A6189" w:rsidRDefault="0095318C" w:rsidP="0095318C">
      <w:pPr>
        <w:pStyle w:val="ListParagraph"/>
        <w:numPr>
          <w:ilvl w:val="0"/>
          <w:numId w:val="59"/>
        </w:numPr>
        <w:tabs>
          <w:tab w:val="left" w:pos="709"/>
        </w:tabs>
        <w:autoSpaceDE w:val="0"/>
        <w:autoSpaceDN w:val="0"/>
        <w:adjustRightInd w:val="0"/>
        <w:ind w:left="0" w:firstLine="0"/>
        <w:jc w:val="both"/>
        <w:rPr>
          <w:rFonts w:eastAsiaTheme="minorHAnsi" w:cs="Arial"/>
          <w:color w:val="000000"/>
          <w:lang w:val="es-ES_tradnl"/>
        </w:rPr>
      </w:pPr>
      <w:r w:rsidRPr="008A6189">
        <w:rPr>
          <w:rFonts w:eastAsiaTheme="minorHAnsi" w:cs="Arial"/>
          <w:color w:val="000000"/>
          <w:lang w:val="es-ES_tradnl"/>
        </w:rPr>
        <w:t>En el bienio 2014/15, la Academia de la OMPI dio inicio a un proceso de reforma con miras a volver a posicionarse como la principal entidad de la Organización en materia de formación y fortalecimiento de capacidades en P.I. para funcionarios gubernamentales y otras partes interesadas.  Durante el proceso, la Academia se esforzó por mantener la cantidad, calidad y frecuencia de los programas de formación propuestos regularmente para cumplir con las obligaciones ya asumidas con los asociados, responder a nuevas peticiones urgentes de formación por parte de los Estados miembros y otros sectores interesados y preservar la continuidad de la formación impartida.  A lo largo del bienio, más de 80.000 personas se beneficiaron de los programas y actividades de la Academia.</w:t>
      </w:r>
    </w:p>
    <w:p w:rsidR="0095318C" w:rsidRPr="008A6189" w:rsidRDefault="0095318C" w:rsidP="00DC1333">
      <w:pPr>
        <w:autoSpaceDE w:val="0"/>
        <w:autoSpaceDN w:val="0"/>
        <w:adjustRightInd w:val="0"/>
        <w:spacing w:line="240" w:lineRule="exact"/>
        <w:contextualSpacing/>
        <w:jc w:val="both"/>
        <w:rPr>
          <w:rFonts w:eastAsiaTheme="minorHAnsi"/>
          <w:color w:val="000000"/>
        </w:rPr>
      </w:pPr>
    </w:p>
    <w:p w:rsidR="0095318C" w:rsidRPr="008A6189" w:rsidRDefault="0095318C" w:rsidP="0095318C">
      <w:pPr>
        <w:pStyle w:val="ListParagraph"/>
        <w:numPr>
          <w:ilvl w:val="0"/>
          <w:numId w:val="59"/>
        </w:numPr>
        <w:tabs>
          <w:tab w:val="left" w:pos="709"/>
        </w:tabs>
        <w:autoSpaceDE w:val="0"/>
        <w:autoSpaceDN w:val="0"/>
        <w:adjustRightInd w:val="0"/>
        <w:ind w:left="0" w:firstLine="0"/>
        <w:jc w:val="both"/>
        <w:rPr>
          <w:rFonts w:eastAsiaTheme="minorHAnsi" w:cs="Arial"/>
          <w:color w:val="000000"/>
          <w:lang w:val="es-ES_tradnl"/>
        </w:rPr>
      </w:pPr>
      <w:r w:rsidRPr="008A6189">
        <w:rPr>
          <w:rFonts w:eastAsiaTheme="minorHAnsi" w:cs="Arial"/>
          <w:color w:val="000000"/>
          <w:lang w:val="es-ES_tradnl"/>
        </w:rPr>
        <w:t>En el bienio 2014/15, el diseño, la planificación y la ejecución de las actividades del Programa 11 siguieron basándose en las recomendaciones pertinentes de la Agenda para el Desarrollo.  Los programas de la Academia se orientaron al desarrollo y atendieron las exigencias de las partes interesadas (recomendación 1) y procuraron presentar la P.I. a diferentes niveles académicos en vistas a generar un mayor nivel de sensibilización pública hacia la P.I.  (recomendación 3).</w:t>
      </w:r>
    </w:p>
    <w:p w:rsidR="0095318C" w:rsidRPr="008A6189" w:rsidRDefault="0095318C" w:rsidP="00DC1333">
      <w:pPr>
        <w:pStyle w:val="ListParagraph"/>
        <w:tabs>
          <w:tab w:val="left" w:pos="709"/>
        </w:tabs>
        <w:autoSpaceDE w:val="0"/>
        <w:autoSpaceDN w:val="0"/>
        <w:adjustRightInd w:val="0"/>
        <w:ind w:left="0"/>
        <w:jc w:val="both"/>
        <w:rPr>
          <w:rFonts w:eastAsiaTheme="minorHAnsi" w:cs="Arial"/>
          <w:color w:val="000000"/>
          <w:lang w:val="es-ES"/>
        </w:rPr>
      </w:pPr>
    </w:p>
    <w:p w:rsidR="0095318C" w:rsidRPr="008A6189" w:rsidRDefault="0095318C" w:rsidP="0095318C">
      <w:pPr>
        <w:pStyle w:val="ListParagraph"/>
        <w:numPr>
          <w:ilvl w:val="0"/>
          <w:numId w:val="59"/>
        </w:numPr>
        <w:tabs>
          <w:tab w:val="left" w:pos="709"/>
        </w:tabs>
        <w:autoSpaceDE w:val="0"/>
        <w:autoSpaceDN w:val="0"/>
        <w:adjustRightInd w:val="0"/>
        <w:ind w:left="0" w:firstLine="0"/>
        <w:jc w:val="both"/>
        <w:rPr>
          <w:rFonts w:eastAsiaTheme="minorHAnsi" w:cs="Arial"/>
          <w:color w:val="000000"/>
          <w:lang w:val="es-ES_tradnl"/>
        </w:rPr>
      </w:pPr>
      <w:r w:rsidRPr="008A6189">
        <w:rPr>
          <w:rFonts w:eastAsiaTheme="minorHAnsi" w:cs="Arial"/>
          <w:color w:val="000000"/>
          <w:lang w:val="es-ES_tradnl"/>
        </w:rPr>
        <w:t>Con respecto al Programa de perfeccionamiento profesional, en el período 2014/15 la Academia organizó 35 cursos de formación junto con 22 instituciones asociadas en Alemania, Argelia, Austria, Brasil, Camerún, Canadá, Costa Rica, España, Finlandia, Francia, Indonesia, Israel, Malasia, Marruecos, Noruega, Paraguay, Perú, Reino Unido y Suiza, así como con la OMC y el CEIPI de Estrasburgo (Francia).  En los cursos se abarcaron, entre otros, los siguientes temas</w:t>
      </w:r>
      <w:proofErr w:type="gramStart"/>
      <w:r w:rsidRPr="008A6189">
        <w:rPr>
          <w:rFonts w:eastAsiaTheme="minorHAnsi" w:cs="Arial"/>
          <w:color w:val="000000"/>
          <w:lang w:val="es-ES_tradnl"/>
        </w:rPr>
        <w:t>:  patentes</w:t>
      </w:r>
      <w:proofErr w:type="gramEnd"/>
      <w:r w:rsidRPr="008A6189">
        <w:rPr>
          <w:rFonts w:eastAsiaTheme="minorHAnsi" w:cs="Arial"/>
          <w:color w:val="000000"/>
          <w:lang w:val="es-ES_tradnl"/>
        </w:rPr>
        <w:t>, marcas, derecho de autor y derechos conexos, gestión colectiva del derecho de autor y los derechos conexos, P.I. para los encargados de la adopción de políticas, así como transferencia de tecnología y licencias.  Desde 2012 y a solicitud de los Estados miembros, se han realizado esfuerzos dirigidos a ofrecer formación en temas más específicos, como el examen de patentes en el sector de la biotecnología y en el farmacéutico.</w:t>
      </w:r>
    </w:p>
    <w:p w:rsidR="0095318C" w:rsidRPr="008A6189" w:rsidRDefault="0095318C" w:rsidP="00DC1333">
      <w:pPr>
        <w:pStyle w:val="ListParagraph"/>
        <w:tabs>
          <w:tab w:val="left" w:pos="709"/>
        </w:tabs>
        <w:autoSpaceDE w:val="0"/>
        <w:autoSpaceDN w:val="0"/>
        <w:adjustRightInd w:val="0"/>
        <w:ind w:left="0"/>
        <w:jc w:val="both"/>
        <w:rPr>
          <w:rFonts w:eastAsiaTheme="minorHAnsi" w:cs="Arial"/>
          <w:color w:val="000000"/>
          <w:lang w:val="es-ES"/>
        </w:rPr>
      </w:pPr>
    </w:p>
    <w:p w:rsidR="0095318C" w:rsidRPr="008A6189" w:rsidRDefault="0095318C" w:rsidP="0095318C">
      <w:pPr>
        <w:pStyle w:val="ListParagraph"/>
        <w:numPr>
          <w:ilvl w:val="0"/>
          <w:numId w:val="59"/>
        </w:numPr>
        <w:autoSpaceDE w:val="0"/>
        <w:autoSpaceDN w:val="0"/>
        <w:adjustRightInd w:val="0"/>
        <w:ind w:left="0" w:firstLine="0"/>
        <w:jc w:val="both"/>
        <w:rPr>
          <w:rFonts w:eastAsiaTheme="minorHAnsi" w:cs="Arial"/>
          <w:color w:val="000000"/>
          <w:lang w:val="es-ES_tradnl"/>
        </w:rPr>
      </w:pPr>
      <w:r w:rsidRPr="008A6189">
        <w:rPr>
          <w:rFonts w:eastAsiaTheme="minorHAnsi" w:cs="Arial"/>
          <w:color w:val="000000"/>
          <w:lang w:val="es-ES_tradnl"/>
        </w:rPr>
        <w:t>Un total de 462</w:t>
      </w:r>
      <w:r w:rsidRPr="008A6189">
        <w:rPr>
          <w:rStyle w:val="FootnoteReference"/>
          <w:rFonts w:eastAsiaTheme="minorHAnsi" w:cs="Arial"/>
          <w:color w:val="000000"/>
          <w:lang w:val="es-ES_tradnl"/>
        </w:rPr>
        <w:footnoteReference w:id="71"/>
      </w:r>
      <w:r w:rsidRPr="008A6189">
        <w:rPr>
          <w:rFonts w:eastAsiaTheme="minorHAnsi" w:cs="Arial"/>
          <w:color w:val="000000"/>
          <w:lang w:val="es-ES_tradnl"/>
        </w:rPr>
        <w:t xml:space="preserve"> funcionarios gubernamentales procedentes de países en desarrollo, PMA y países con economías en transición se beneficiaron de estas actividades, de los cuales un 52% fueron mujeres y un 48% hombres.</w:t>
      </w:r>
    </w:p>
    <w:p w:rsidR="0095318C" w:rsidRPr="008A6189" w:rsidRDefault="0095318C" w:rsidP="00DC1333">
      <w:pPr>
        <w:pStyle w:val="ListParagraph"/>
        <w:autoSpaceDE w:val="0"/>
        <w:autoSpaceDN w:val="0"/>
        <w:adjustRightInd w:val="0"/>
        <w:ind w:left="0"/>
        <w:jc w:val="both"/>
        <w:rPr>
          <w:rFonts w:eastAsiaTheme="minorHAnsi" w:cs="Arial"/>
          <w:color w:val="000000"/>
          <w:lang w:val="es-ES"/>
        </w:rPr>
      </w:pPr>
    </w:p>
    <w:tbl>
      <w:tblPr>
        <w:tblStyle w:val="TableGrid"/>
        <w:tblW w:w="95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6"/>
        <w:gridCol w:w="4364"/>
      </w:tblGrid>
      <w:tr w:rsidR="0095318C" w:rsidRPr="008A6189" w:rsidTr="00DC1333">
        <w:tc>
          <w:tcPr>
            <w:tcW w:w="4968" w:type="dxa"/>
          </w:tcPr>
          <w:p w:rsidR="0095318C" w:rsidRPr="008A6189" w:rsidRDefault="0095318C" w:rsidP="00DC1333">
            <w:pPr>
              <w:pStyle w:val="ListParagraph"/>
              <w:tabs>
                <w:tab w:val="left" w:pos="709"/>
              </w:tabs>
              <w:autoSpaceDE w:val="0"/>
              <w:autoSpaceDN w:val="0"/>
              <w:adjustRightInd w:val="0"/>
              <w:ind w:left="0"/>
              <w:jc w:val="center"/>
              <w:rPr>
                <w:rFonts w:eastAsiaTheme="minorHAnsi" w:cs="Arial"/>
                <w:i/>
                <w:color w:val="000000"/>
                <w:sz w:val="18"/>
                <w:szCs w:val="18"/>
                <w:lang w:val="es-ES_tradnl"/>
              </w:rPr>
            </w:pPr>
            <w:r w:rsidRPr="008A6189">
              <w:rPr>
                <w:rFonts w:eastAsiaTheme="minorHAnsi" w:cs="Arial"/>
                <w:i/>
                <w:color w:val="000000"/>
                <w:sz w:val="18"/>
                <w:szCs w:val="18"/>
                <w:lang w:val="es-ES_tradnl"/>
              </w:rPr>
              <w:t>Distribución geográfica de los participantes en el Programa de perfeccionamiento profesional (2012/2015)</w:t>
            </w:r>
          </w:p>
          <w:p w:rsidR="0095318C" w:rsidRPr="008A6189" w:rsidRDefault="0095318C" w:rsidP="00DC1333">
            <w:pPr>
              <w:pStyle w:val="ListParagraph"/>
              <w:tabs>
                <w:tab w:val="left" w:pos="709"/>
              </w:tabs>
              <w:autoSpaceDE w:val="0"/>
              <w:autoSpaceDN w:val="0"/>
              <w:adjustRightInd w:val="0"/>
              <w:ind w:left="0"/>
              <w:jc w:val="center"/>
              <w:rPr>
                <w:rFonts w:eastAsiaTheme="minorHAnsi" w:cs="Arial"/>
                <w:i/>
                <w:color w:val="000000"/>
                <w:sz w:val="18"/>
                <w:szCs w:val="18"/>
                <w:lang w:val="es-ES_tradnl"/>
              </w:rPr>
            </w:pPr>
          </w:p>
          <w:p w:rsidR="0095318C" w:rsidRPr="008A6189" w:rsidRDefault="0095318C" w:rsidP="00DC1333">
            <w:pPr>
              <w:pStyle w:val="ListParagraph"/>
              <w:tabs>
                <w:tab w:val="left" w:pos="709"/>
              </w:tabs>
              <w:autoSpaceDE w:val="0"/>
              <w:autoSpaceDN w:val="0"/>
              <w:adjustRightInd w:val="0"/>
              <w:ind w:left="0"/>
              <w:jc w:val="center"/>
              <w:rPr>
                <w:rFonts w:eastAsiaTheme="minorHAnsi" w:cs="Arial"/>
                <w:i/>
                <w:color w:val="000000"/>
                <w:sz w:val="18"/>
                <w:szCs w:val="18"/>
                <w:lang w:val="es-ES_tradnl"/>
              </w:rPr>
            </w:pPr>
          </w:p>
          <w:p w:rsidR="0095318C" w:rsidRPr="008A6189" w:rsidRDefault="0095318C" w:rsidP="00DC1333">
            <w:pPr>
              <w:pStyle w:val="ListParagraph"/>
              <w:tabs>
                <w:tab w:val="left" w:pos="709"/>
              </w:tabs>
              <w:autoSpaceDE w:val="0"/>
              <w:autoSpaceDN w:val="0"/>
              <w:adjustRightInd w:val="0"/>
              <w:ind w:left="0"/>
              <w:jc w:val="center"/>
              <w:rPr>
                <w:rFonts w:eastAsiaTheme="minorHAnsi" w:cs="Arial"/>
                <w:color w:val="000000"/>
              </w:rPr>
            </w:pPr>
            <w:r w:rsidRPr="008A6189">
              <w:rPr>
                <w:rFonts w:eastAsiaTheme="minorHAnsi" w:cs="Arial"/>
                <w:noProof/>
                <w:color w:val="000000"/>
              </w:rPr>
              <w:drawing>
                <wp:inline distT="0" distB="0" distL="0" distR="0" wp14:anchorId="24177109" wp14:editId="32582702">
                  <wp:extent cx="3177536" cy="1860550"/>
                  <wp:effectExtent l="0" t="0" r="4445" b="6350"/>
                  <wp:docPr id="1052" name="Picture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3183633" cy="1864120"/>
                          </a:xfrm>
                          <a:prstGeom prst="rect">
                            <a:avLst/>
                          </a:prstGeom>
                          <a:noFill/>
                          <a:ln>
                            <a:noFill/>
                          </a:ln>
                        </pic:spPr>
                      </pic:pic>
                    </a:graphicData>
                  </a:graphic>
                </wp:inline>
              </w:drawing>
            </w:r>
          </w:p>
        </w:tc>
        <w:tc>
          <w:tcPr>
            <w:tcW w:w="4622" w:type="dxa"/>
          </w:tcPr>
          <w:p w:rsidR="0095318C" w:rsidRPr="008A6189" w:rsidRDefault="0095318C" w:rsidP="00DC1333">
            <w:pPr>
              <w:pStyle w:val="ListParagraph"/>
              <w:tabs>
                <w:tab w:val="left" w:pos="709"/>
              </w:tabs>
              <w:autoSpaceDE w:val="0"/>
              <w:autoSpaceDN w:val="0"/>
              <w:adjustRightInd w:val="0"/>
              <w:ind w:left="0"/>
              <w:jc w:val="center"/>
              <w:rPr>
                <w:rFonts w:eastAsiaTheme="minorHAnsi" w:cs="Arial"/>
                <w:i/>
                <w:color w:val="000000"/>
                <w:sz w:val="18"/>
                <w:szCs w:val="18"/>
                <w:lang w:val="es-ES_tradnl"/>
              </w:rPr>
            </w:pPr>
            <w:r w:rsidRPr="008A6189">
              <w:rPr>
                <w:rFonts w:eastAsiaTheme="minorHAnsi" w:cs="Arial"/>
                <w:i/>
                <w:color w:val="000000"/>
                <w:sz w:val="18"/>
                <w:szCs w:val="18"/>
                <w:lang w:val="es-ES_tradnl"/>
              </w:rPr>
              <w:t>Distribución por género de los participantes en el Programa de perfeccionamiento profesional (2014/15)</w:t>
            </w:r>
          </w:p>
          <w:p w:rsidR="0095318C" w:rsidRPr="008A6189" w:rsidRDefault="0095318C" w:rsidP="00DC1333">
            <w:pPr>
              <w:pStyle w:val="ListParagraph"/>
              <w:tabs>
                <w:tab w:val="left" w:pos="709"/>
              </w:tabs>
              <w:autoSpaceDE w:val="0"/>
              <w:autoSpaceDN w:val="0"/>
              <w:adjustRightInd w:val="0"/>
              <w:ind w:left="0"/>
              <w:rPr>
                <w:rFonts w:eastAsiaTheme="minorHAnsi" w:cs="Arial"/>
                <w:color w:val="000000"/>
              </w:rPr>
            </w:pPr>
            <w:r w:rsidRPr="008A6189">
              <w:rPr>
                <w:rFonts w:eastAsiaTheme="minorHAnsi" w:cs="Arial"/>
                <w:noProof/>
                <w:color w:val="000000"/>
              </w:rPr>
              <w:drawing>
                <wp:inline distT="0" distB="0" distL="0" distR="0" wp14:anchorId="7ADD4F2A" wp14:editId="1732FD7D">
                  <wp:extent cx="2514600" cy="2229388"/>
                  <wp:effectExtent l="0" t="0" r="0" b="0"/>
                  <wp:docPr id="1053"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2520981" cy="2235045"/>
                          </a:xfrm>
                          <a:prstGeom prst="rect">
                            <a:avLst/>
                          </a:prstGeom>
                          <a:noFill/>
                        </pic:spPr>
                      </pic:pic>
                    </a:graphicData>
                  </a:graphic>
                </wp:inline>
              </w:drawing>
            </w:r>
          </w:p>
        </w:tc>
      </w:tr>
    </w:tbl>
    <w:p w:rsidR="0095318C" w:rsidRPr="008A6189" w:rsidRDefault="0095318C" w:rsidP="00DC1333">
      <w:pPr>
        <w:pStyle w:val="ListParagraph"/>
        <w:tabs>
          <w:tab w:val="left" w:pos="709"/>
        </w:tabs>
        <w:autoSpaceDE w:val="0"/>
        <w:autoSpaceDN w:val="0"/>
        <w:adjustRightInd w:val="0"/>
        <w:ind w:left="0"/>
        <w:jc w:val="both"/>
        <w:rPr>
          <w:rFonts w:eastAsiaTheme="minorHAnsi" w:cs="Arial"/>
          <w:color w:val="000000"/>
        </w:rPr>
      </w:pPr>
    </w:p>
    <w:p w:rsidR="0095318C" w:rsidRPr="008A6189" w:rsidRDefault="0095318C" w:rsidP="00436644">
      <w:pPr>
        <w:pStyle w:val="ListParagraph"/>
        <w:numPr>
          <w:ilvl w:val="0"/>
          <w:numId w:val="59"/>
        </w:numPr>
        <w:tabs>
          <w:tab w:val="left" w:pos="0"/>
          <w:tab w:val="left" w:pos="709"/>
        </w:tabs>
        <w:autoSpaceDE w:val="0"/>
        <w:autoSpaceDN w:val="0"/>
        <w:adjustRightInd w:val="0"/>
        <w:ind w:left="0" w:firstLine="0"/>
        <w:jc w:val="both"/>
        <w:rPr>
          <w:rFonts w:eastAsiaTheme="minorHAnsi" w:cs="Arial"/>
          <w:color w:val="000000"/>
          <w:lang w:val="es-ES_tradnl"/>
        </w:rPr>
      </w:pPr>
      <w:r w:rsidRPr="008A6189">
        <w:rPr>
          <w:rFonts w:eastAsiaTheme="minorHAnsi" w:cs="Arial"/>
          <w:color w:val="000000"/>
          <w:lang w:val="es-ES_tradnl"/>
        </w:rPr>
        <w:t xml:space="preserve">En 2015, la Academia de la OMPI realizó una encuesta para evaluar las necesidades en materia de formación.  Se recibieron un total de 329 respuestas de entidades públicas y privadas, así como de </w:t>
      </w:r>
      <w:r w:rsidRPr="008A6189">
        <w:rPr>
          <w:rFonts w:eastAsiaTheme="minorHAnsi" w:cs="Arial"/>
          <w:color w:val="000000"/>
          <w:lang w:val="es-ES_tradnl"/>
        </w:rPr>
        <w:lastRenderedPageBreak/>
        <w:t>otras partes interesadas, procedentes de 100 Estados miembros.  Uno de los hallazgos más significativos reveló que un 74,8% de los encuestados consideraba que no existían estructuras capaces de ofrecer formación en materia de P.I. en sus respectivos países, motivo por el cual confiaban en la OMPI para la organización e impartición de programas profesionales de formación y de mejora de las capacidades en el ámbito de la P.I.  Teniendo esto en cuenta, la Academia desempeña un papel cada vez más y más importante para identificar y responder a las necesidades y solicitudes de formación de los Estados miembros.</w:t>
      </w:r>
    </w:p>
    <w:p w:rsidR="0095318C" w:rsidRPr="008A6189" w:rsidRDefault="0095318C" w:rsidP="00436644">
      <w:pPr>
        <w:tabs>
          <w:tab w:val="left" w:pos="709"/>
        </w:tabs>
        <w:rPr>
          <w:rFonts w:eastAsiaTheme="minorHAnsi"/>
          <w:color w:val="000000"/>
        </w:rPr>
      </w:pPr>
    </w:p>
    <w:p w:rsidR="0095318C" w:rsidRPr="008A6189" w:rsidRDefault="0095318C" w:rsidP="00436644">
      <w:pPr>
        <w:pStyle w:val="ListParagraph"/>
        <w:numPr>
          <w:ilvl w:val="0"/>
          <w:numId w:val="59"/>
        </w:numPr>
        <w:tabs>
          <w:tab w:val="left" w:pos="0"/>
          <w:tab w:val="left" w:pos="709"/>
        </w:tabs>
        <w:autoSpaceDE w:val="0"/>
        <w:autoSpaceDN w:val="0"/>
        <w:adjustRightInd w:val="0"/>
        <w:ind w:left="0" w:firstLine="0"/>
        <w:jc w:val="both"/>
        <w:rPr>
          <w:rFonts w:eastAsiaTheme="minorHAnsi" w:cs="Arial"/>
          <w:color w:val="000000"/>
          <w:lang w:val="es-ES"/>
        </w:rPr>
      </w:pPr>
      <w:r w:rsidRPr="008A6189">
        <w:rPr>
          <w:rFonts w:eastAsiaTheme="minorHAnsi" w:cs="Arial"/>
          <w:color w:val="000000"/>
          <w:lang w:val="es-ES"/>
        </w:rPr>
        <w:t>Con el fin de reflejar las necesidades y prioridades de los Estados miembros y tomando como base los resultados de dicha encuesta, se procedió a revisar el catálogo de cursos y se incluyeron los siguientes nuevos temas</w:t>
      </w:r>
      <w:proofErr w:type="gramStart"/>
      <w:r w:rsidRPr="008A6189">
        <w:rPr>
          <w:rFonts w:eastAsiaTheme="minorHAnsi" w:cs="Arial"/>
          <w:color w:val="000000"/>
          <w:lang w:val="es-ES"/>
        </w:rPr>
        <w:t>:  gestión</w:t>
      </w:r>
      <w:proofErr w:type="gramEnd"/>
      <w:r w:rsidRPr="008A6189">
        <w:rPr>
          <w:rFonts w:eastAsiaTheme="minorHAnsi" w:cs="Arial"/>
          <w:color w:val="000000"/>
          <w:lang w:val="es-ES"/>
        </w:rPr>
        <w:t xml:space="preserve"> de oficinas de P.I., gestión y comercialización de la P.I., desarrollo de marcas y P.I. y transferencia de tecnología y licencias.  Además, se incorporaron dos nuevos cursos, uno para los PMA y otro para los países del Caribe.</w:t>
      </w:r>
    </w:p>
    <w:p w:rsidR="0095318C" w:rsidRPr="008A6189" w:rsidRDefault="0095318C" w:rsidP="00DC1333">
      <w:pPr>
        <w:pStyle w:val="ListParagraph"/>
        <w:tabs>
          <w:tab w:val="left" w:pos="709"/>
        </w:tabs>
        <w:autoSpaceDE w:val="0"/>
        <w:autoSpaceDN w:val="0"/>
        <w:adjustRightInd w:val="0"/>
        <w:ind w:left="0"/>
        <w:jc w:val="both"/>
        <w:rPr>
          <w:rFonts w:eastAsiaTheme="minorHAnsi" w:cs="Arial"/>
          <w:color w:val="000000"/>
          <w:lang w:val="es-ES"/>
        </w:rPr>
      </w:pPr>
    </w:p>
    <w:p w:rsidR="0095318C" w:rsidRPr="008A6189" w:rsidRDefault="0095318C" w:rsidP="0095318C">
      <w:pPr>
        <w:pStyle w:val="ListParagraph"/>
        <w:numPr>
          <w:ilvl w:val="0"/>
          <w:numId w:val="59"/>
        </w:numPr>
        <w:tabs>
          <w:tab w:val="left" w:pos="709"/>
        </w:tabs>
        <w:autoSpaceDE w:val="0"/>
        <w:autoSpaceDN w:val="0"/>
        <w:adjustRightInd w:val="0"/>
        <w:ind w:left="0" w:firstLine="0"/>
        <w:jc w:val="both"/>
        <w:rPr>
          <w:rFonts w:eastAsiaTheme="minorHAnsi" w:cs="Arial"/>
          <w:color w:val="000000"/>
          <w:lang w:val="es-ES"/>
        </w:rPr>
      </w:pPr>
      <w:r w:rsidRPr="008A6189">
        <w:rPr>
          <w:rFonts w:eastAsiaTheme="minorHAnsi" w:cs="Arial"/>
          <w:color w:val="000000"/>
          <w:lang w:val="es-ES"/>
        </w:rPr>
        <w:t>Como parte del proceso de reforma y según consta en el catálogo de cursos, la realización de un número determinado de cursos de enseñanza a distancia de nivel avanzado será a partir de ahora un requisito previo necesario para participar en todos los cursos especializados del Programa de perfeccionamiento profesional por primera vez.</w:t>
      </w:r>
    </w:p>
    <w:p w:rsidR="0095318C" w:rsidRPr="008A6189" w:rsidRDefault="0095318C" w:rsidP="00DC1333">
      <w:pPr>
        <w:pStyle w:val="ListParagraph"/>
        <w:tabs>
          <w:tab w:val="left" w:pos="709"/>
        </w:tabs>
        <w:autoSpaceDE w:val="0"/>
        <w:autoSpaceDN w:val="0"/>
        <w:adjustRightInd w:val="0"/>
        <w:ind w:left="0"/>
        <w:jc w:val="both"/>
        <w:rPr>
          <w:rFonts w:eastAsiaTheme="minorHAnsi" w:cs="Arial"/>
          <w:color w:val="000000"/>
          <w:lang w:val="es-ES"/>
        </w:rPr>
      </w:pPr>
    </w:p>
    <w:p w:rsidR="0095318C" w:rsidRPr="008A6189" w:rsidRDefault="0095318C" w:rsidP="0095318C">
      <w:pPr>
        <w:pStyle w:val="ListParagraph"/>
        <w:numPr>
          <w:ilvl w:val="0"/>
          <w:numId w:val="59"/>
        </w:numPr>
        <w:tabs>
          <w:tab w:val="left" w:pos="709"/>
        </w:tabs>
        <w:autoSpaceDE w:val="0"/>
        <w:autoSpaceDN w:val="0"/>
        <w:adjustRightInd w:val="0"/>
        <w:ind w:left="0" w:firstLine="0"/>
        <w:jc w:val="both"/>
        <w:rPr>
          <w:rFonts w:eastAsiaTheme="minorHAnsi" w:cs="Arial"/>
          <w:color w:val="000000"/>
          <w:lang w:val="es-ES"/>
        </w:rPr>
      </w:pPr>
      <w:r w:rsidRPr="008A6189">
        <w:rPr>
          <w:rFonts w:eastAsiaTheme="minorHAnsi" w:cs="Arial"/>
          <w:color w:val="000000"/>
          <w:lang w:val="es-ES"/>
        </w:rPr>
        <w:t>El Programa de enseñanza a distancia siguió atrayendo a participantes de un amplio grupo de partes interesadas.  En 2014/15, 78.551 participantes de 193 países (67.809 para cursos generales y 10.742 para cursos de nivel avanzado), un 3,6% menos que en el período 2012-13, se beneficiaron de la plataforma de la OMPI de enseñanza a distancia (</w:t>
      </w:r>
      <w:proofErr w:type="spellStart"/>
      <w:r w:rsidRPr="008A6189">
        <w:rPr>
          <w:rFonts w:eastAsiaTheme="minorHAnsi" w:cs="Arial"/>
          <w:color w:val="000000"/>
          <w:lang w:val="es-ES"/>
        </w:rPr>
        <w:t>WeLC</w:t>
      </w:r>
      <w:proofErr w:type="spellEnd"/>
      <w:r w:rsidRPr="008A6189">
        <w:rPr>
          <w:rFonts w:eastAsiaTheme="minorHAnsi" w:cs="Arial"/>
          <w:color w:val="000000"/>
          <w:lang w:val="es-ES"/>
        </w:rPr>
        <w:t>).  El 60% de los participantes realizó cursos de propiedad industrial sobre patentes, marcas, propiedad industrial e indicaciones geográficas;  un 25% siguió cursos relacionados con áreas multidisciplinares de la P.I. como la gestión de la P.I. y conocimientos tradicionales.  Finalmente, un 15% realizó cursos sobre derecho de autor.  El 92% de los cursos ofrecidos durante el período 2014-2015</w:t>
      </w:r>
      <w:r w:rsidRPr="008A6189">
        <w:rPr>
          <w:rStyle w:val="FootnoteReference"/>
          <w:rFonts w:eastAsiaTheme="minorHAnsi" w:cs="Arial"/>
          <w:color w:val="000000"/>
        </w:rPr>
        <w:footnoteReference w:id="72"/>
      </w:r>
      <w:r w:rsidRPr="008A6189">
        <w:rPr>
          <w:rFonts w:eastAsiaTheme="minorHAnsi" w:cs="Arial"/>
          <w:color w:val="000000"/>
          <w:lang w:val="es-ES"/>
        </w:rPr>
        <w:t xml:space="preserve"> estaban disponibles en los seis idiomas de las NN.UU. y en portugués.  El 50% de los beneficiarios de los cursos fueron mujeres.  Cabe destacar que la demanda de cursos de nivel avanzado por parte de oficinas de P.I., otros órganos gubernamentales, academias nacionales y CATI creció un 138%,</w:t>
      </w:r>
      <w:r w:rsidRPr="008A6189">
        <w:rPr>
          <w:rFonts w:eastAsiaTheme="minorHAnsi" w:cs="Arial"/>
          <w:color w:val="000000"/>
          <w:vertAlign w:val="superscript"/>
        </w:rPr>
        <w:footnoteReference w:id="73"/>
      </w:r>
      <w:r w:rsidRPr="008A6189">
        <w:rPr>
          <w:rFonts w:eastAsiaTheme="minorHAnsi" w:cs="Arial"/>
          <w:color w:val="000000"/>
          <w:vertAlign w:val="superscript"/>
          <w:lang w:val="es-ES"/>
        </w:rPr>
        <w:t xml:space="preserve"> </w:t>
      </w:r>
      <w:r w:rsidRPr="008A6189">
        <w:rPr>
          <w:rFonts w:eastAsiaTheme="minorHAnsi" w:cs="Arial"/>
          <w:color w:val="000000"/>
          <w:lang w:val="es-ES"/>
        </w:rPr>
        <w:t xml:space="preserve"> hasta alcanzar un máximo histórico de 6.926 (2.907 en el anterior bienio).  En el cuadro inferior se muestra la distribución geográfica de los participantes en todos los programas de enseñanza a distancia de 2012 a 2015.</w:t>
      </w:r>
    </w:p>
    <w:p w:rsidR="0095318C" w:rsidRPr="008A6189" w:rsidRDefault="0095318C" w:rsidP="00DC1333">
      <w:pPr>
        <w:pStyle w:val="ListParagraph"/>
        <w:tabs>
          <w:tab w:val="left" w:pos="709"/>
        </w:tabs>
        <w:autoSpaceDE w:val="0"/>
        <w:autoSpaceDN w:val="0"/>
        <w:adjustRightInd w:val="0"/>
        <w:ind w:left="0"/>
        <w:jc w:val="both"/>
        <w:rPr>
          <w:rFonts w:eastAsiaTheme="minorHAnsi" w:cs="Arial"/>
          <w:color w:val="000000"/>
          <w:sz w:val="16"/>
          <w:szCs w:val="16"/>
          <w:lang w:val="es-ES"/>
        </w:rPr>
      </w:pPr>
    </w:p>
    <w:p w:rsidR="0095318C" w:rsidRPr="008A6189" w:rsidRDefault="0095318C" w:rsidP="00DC1333">
      <w:pPr>
        <w:pStyle w:val="ListParagraph"/>
        <w:spacing w:line="240" w:lineRule="atLeast"/>
        <w:ind w:left="0"/>
        <w:contextualSpacing/>
        <w:jc w:val="center"/>
        <w:rPr>
          <w:rFonts w:eastAsiaTheme="minorHAnsi" w:cs="Arial"/>
          <w:i/>
          <w:sz w:val="16"/>
          <w:szCs w:val="16"/>
          <w:lang w:val="es-ES"/>
        </w:rPr>
      </w:pPr>
      <w:r w:rsidRPr="008A6189">
        <w:rPr>
          <w:rFonts w:eastAsiaTheme="minorHAnsi" w:cs="Arial"/>
          <w:i/>
          <w:sz w:val="16"/>
          <w:szCs w:val="16"/>
          <w:lang w:val="es-ES"/>
        </w:rPr>
        <w:t>Distribución geográfica de los participantes en todos los programas de enseñanza a distancia, 2012/2015</w:t>
      </w:r>
      <w:r w:rsidRPr="008A6189">
        <w:rPr>
          <w:rFonts w:eastAsiaTheme="minorHAnsi" w:cs="Arial"/>
          <w:i/>
          <w:sz w:val="16"/>
          <w:szCs w:val="16"/>
          <w:vertAlign w:val="superscript"/>
        </w:rPr>
        <w:footnoteReference w:id="74"/>
      </w:r>
    </w:p>
    <w:p w:rsidR="0095318C" w:rsidRPr="008A6189" w:rsidRDefault="0095318C" w:rsidP="00DC1333">
      <w:pPr>
        <w:pStyle w:val="ListParagraph"/>
        <w:spacing w:line="240" w:lineRule="atLeast"/>
        <w:ind w:left="0"/>
        <w:contextualSpacing/>
        <w:jc w:val="center"/>
        <w:rPr>
          <w:rFonts w:eastAsiaTheme="minorHAnsi" w:cs="Arial"/>
          <w:i/>
        </w:rPr>
      </w:pPr>
      <w:r w:rsidRPr="008A6189">
        <w:rPr>
          <w:rFonts w:eastAsiaTheme="minorHAnsi" w:cs="Arial"/>
          <w:i/>
          <w:noProof/>
        </w:rPr>
        <w:drawing>
          <wp:inline distT="0" distB="0" distL="0" distR="0" wp14:anchorId="1A336839" wp14:editId="413214F2">
            <wp:extent cx="4693853" cy="2581275"/>
            <wp:effectExtent l="0" t="0" r="0" b="0"/>
            <wp:docPr id="105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4787907" cy="2632998"/>
                    </a:xfrm>
                    <a:prstGeom prst="rect">
                      <a:avLst/>
                    </a:prstGeom>
                    <a:noFill/>
                  </pic:spPr>
                </pic:pic>
              </a:graphicData>
            </a:graphic>
          </wp:inline>
        </w:drawing>
      </w:r>
    </w:p>
    <w:p w:rsidR="0095318C" w:rsidRPr="008A6189" w:rsidRDefault="0095318C" w:rsidP="00436644">
      <w:pPr>
        <w:pStyle w:val="ListParagraph"/>
        <w:numPr>
          <w:ilvl w:val="0"/>
          <w:numId w:val="59"/>
        </w:numPr>
        <w:tabs>
          <w:tab w:val="left" w:pos="0"/>
          <w:tab w:val="left" w:pos="709"/>
        </w:tabs>
        <w:autoSpaceDE w:val="0"/>
        <w:autoSpaceDN w:val="0"/>
        <w:adjustRightInd w:val="0"/>
        <w:ind w:left="0" w:firstLine="0"/>
        <w:jc w:val="both"/>
        <w:rPr>
          <w:rFonts w:eastAsiaTheme="minorHAnsi" w:cs="Arial"/>
          <w:color w:val="000000"/>
          <w:lang w:val="es-ES"/>
        </w:rPr>
      </w:pPr>
      <w:r w:rsidRPr="008A6189">
        <w:rPr>
          <w:rFonts w:eastAsiaTheme="minorHAnsi" w:cs="Arial"/>
          <w:color w:val="000000"/>
          <w:lang w:val="es-ES"/>
        </w:rPr>
        <w:t>Además, se iniciaron dos procesos de adaptación con las oficinas de P.I. de Camboya y Vietnam, aumentando el número de idiomas de los cursos generales, que pasaron de 13</w:t>
      </w:r>
      <w:r w:rsidRPr="008A6189">
        <w:rPr>
          <w:rStyle w:val="FootnoteReference"/>
          <w:rFonts w:eastAsiaTheme="minorHAnsi" w:cs="Arial"/>
          <w:color w:val="000000"/>
        </w:rPr>
        <w:footnoteReference w:id="75"/>
      </w:r>
      <w:r w:rsidRPr="008A6189">
        <w:rPr>
          <w:rFonts w:eastAsiaTheme="minorHAnsi" w:cs="Arial"/>
          <w:color w:val="000000"/>
          <w:lang w:val="es-ES"/>
        </w:rPr>
        <w:t xml:space="preserve">, en 2013, a 15 </w:t>
      </w:r>
      <w:r w:rsidRPr="008A6189">
        <w:rPr>
          <w:rFonts w:eastAsiaTheme="minorHAnsi" w:cs="Arial"/>
          <w:color w:val="000000"/>
          <w:lang w:val="es-ES"/>
        </w:rPr>
        <w:lastRenderedPageBreak/>
        <w:t>en 2014/15 (</w:t>
      </w:r>
      <w:r w:rsidRPr="008A6189">
        <w:rPr>
          <w:lang w:val="es-ES"/>
        </w:rPr>
        <w:t>español, alemán, árabe, camboyano, chino, coreano, croata, francés, inglés, japonés, portugués, ruso, tailandés, ucraniano y vietnamita).  Dos nuevos cursos piloto de enseñanza a distancia se inauguraron en 2014</w:t>
      </w:r>
      <w:proofErr w:type="gramStart"/>
      <w:r w:rsidRPr="008A6189">
        <w:rPr>
          <w:lang w:val="es-ES"/>
        </w:rPr>
        <w:t xml:space="preserve">:  </w:t>
      </w:r>
      <w:r w:rsidRPr="008A6189">
        <w:rPr>
          <w:rFonts w:eastAsiaTheme="minorHAnsi" w:cs="Arial"/>
          <w:color w:val="000000"/>
          <w:lang w:val="es-ES"/>
        </w:rPr>
        <w:t>i</w:t>
      </w:r>
      <w:proofErr w:type="gramEnd"/>
      <w:r w:rsidRPr="008A6189">
        <w:rPr>
          <w:rFonts w:eastAsiaTheme="minorHAnsi" w:cs="Arial"/>
          <w:color w:val="000000"/>
          <w:lang w:val="es-ES"/>
        </w:rPr>
        <w:t xml:space="preserve">) </w:t>
      </w:r>
      <w:r w:rsidRPr="008A6189">
        <w:rPr>
          <w:rFonts w:eastAsiaTheme="minorHAnsi" w:cs="Arial"/>
          <w:i/>
          <w:color w:val="000000"/>
          <w:lang w:val="es-ES"/>
        </w:rPr>
        <w:t xml:space="preserve">Propiedad intelectual, conocimientos tradicionales y expresiones culturales tradicionales (DL-203) </w:t>
      </w:r>
      <w:r w:rsidRPr="008A6189">
        <w:rPr>
          <w:rFonts w:eastAsiaTheme="minorHAnsi" w:cs="Arial"/>
          <w:color w:val="000000"/>
          <w:lang w:val="es-ES"/>
        </w:rPr>
        <w:t xml:space="preserve">y ii) </w:t>
      </w:r>
      <w:r w:rsidRPr="008A6189">
        <w:rPr>
          <w:rFonts w:eastAsiaTheme="minorHAnsi" w:cs="Arial"/>
          <w:i/>
          <w:color w:val="000000"/>
          <w:lang w:val="es-ES"/>
        </w:rPr>
        <w:t>Gestión colectiva del derecho de autor y los derechos conexos (DL-501)</w:t>
      </w:r>
      <w:r w:rsidRPr="008A6189">
        <w:rPr>
          <w:rFonts w:eastAsiaTheme="minorHAnsi" w:cs="Arial"/>
          <w:color w:val="000000"/>
          <w:lang w:val="es-ES"/>
        </w:rPr>
        <w:t>.  La elaboración del curso de enseñanza a distancia sobre P.I. y acceso a las tecnologías médicas continuó en 2015 y en 2016/17 se prevé realizar la prueba piloto.  Del mismo modo, se empezaron a desarrollar nuevos módulos, que incluyen</w:t>
      </w:r>
      <w:proofErr w:type="gramStart"/>
      <w:r w:rsidRPr="008A6189">
        <w:rPr>
          <w:rFonts w:eastAsiaTheme="minorHAnsi" w:cs="Arial"/>
          <w:color w:val="000000"/>
          <w:lang w:val="es-ES"/>
        </w:rPr>
        <w:t>:  i</w:t>
      </w:r>
      <w:proofErr w:type="gramEnd"/>
      <w:r w:rsidRPr="008A6189">
        <w:rPr>
          <w:rFonts w:eastAsiaTheme="minorHAnsi" w:cs="Arial"/>
          <w:color w:val="000000"/>
          <w:lang w:val="es-ES"/>
        </w:rPr>
        <w:t xml:space="preserve">) </w:t>
      </w:r>
      <w:r w:rsidRPr="008A6189">
        <w:rPr>
          <w:rFonts w:eastAsiaTheme="minorHAnsi" w:cs="Arial"/>
          <w:i/>
          <w:color w:val="000000"/>
          <w:lang w:val="es-ES"/>
        </w:rPr>
        <w:t>Concesión de licencias de derecho de autor, incluyendo las de código abierto</w:t>
      </w:r>
      <w:r w:rsidRPr="008A6189">
        <w:rPr>
          <w:rFonts w:eastAsiaTheme="minorHAnsi" w:cs="Arial"/>
          <w:color w:val="000000"/>
          <w:lang w:val="es-ES"/>
        </w:rPr>
        <w:t xml:space="preserve"> y ii) </w:t>
      </w:r>
      <w:r w:rsidRPr="008A6189">
        <w:rPr>
          <w:rFonts w:eastAsiaTheme="minorHAnsi" w:cs="Arial"/>
          <w:i/>
          <w:color w:val="000000"/>
          <w:lang w:val="es-ES"/>
        </w:rPr>
        <w:t>Gestión del derecho de autor en la industria cinematográfica en África</w:t>
      </w:r>
      <w:r w:rsidRPr="008A6189">
        <w:rPr>
          <w:rFonts w:eastAsiaTheme="minorHAnsi" w:cs="Arial"/>
          <w:color w:val="000000"/>
          <w:lang w:val="es-ES"/>
        </w:rPr>
        <w:t xml:space="preserve">.  Se organizaron también cursos de formación en P.I. a medida en colaboración con oficinas de P.I. y universidades asociadas de Argentina, Bulgaria, Brasil, Camboya, China, Croacia, Egipto, Jordania, la República de Corea, México, la Federación de Rusia, Túnez, Turquía, Uruguay, Vietnam, Zambia, </w:t>
      </w:r>
      <w:proofErr w:type="spellStart"/>
      <w:r w:rsidRPr="008A6189">
        <w:rPr>
          <w:rFonts w:eastAsiaTheme="minorHAnsi" w:cs="Arial"/>
          <w:color w:val="000000"/>
          <w:lang w:val="es-ES"/>
        </w:rPr>
        <w:t>Zimbabwe</w:t>
      </w:r>
      <w:proofErr w:type="spellEnd"/>
      <w:r w:rsidRPr="008A6189">
        <w:rPr>
          <w:rFonts w:eastAsiaTheme="minorHAnsi" w:cs="Arial"/>
          <w:color w:val="000000"/>
          <w:lang w:val="es-ES"/>
        </w:rPr>
        <w:t>, la Organización Regional Africana de la Propiedad Intelectual (ARIPO) y la Organización Africana de la Propiedad Intelectual (OAPI).  Otras mejoras introducidas en el Programa de enseñanza a distancia en el período 2014/15 fueron:  i) la continua aplicación de las recomendaciones de la Agenda para el Desarrollo a través de la inclusión de módulos de formación sobre flexibilidades y dominio público en los cursos de nivel avanzado y ii) la aplicación de un enfoque más sistemático en el proceso anual de revisión de cursos, con una minuciosa revisión iniciada en el período 2014/15 (fase 1) y cuyos resultados serán aplicados en cursos específicos durante el período 2016/17 (fase 2).</w:t>
      </w:r>
    </w:p>
    <w:p w:rsidR="0095318C" w:rsidRPr="008A6189" w:rsidRDefault="0095318C" w:rsidP="00DC1333">
      <w:pPr>
        <w:rPr>
          <w:szCs w:val="22"/>
        </w:rPr>
      </w:pPr>
    </w:p>
    <w:p w:rsidR="0095318C" w:rsidRPr="008A6189" w:rsidRDefault="0095318C" w:rsidP="0095318C">
      <w:pPr>
        <w:pStyle w:val="ListParagraph"/>
        <w:numPr>
          <w:ilvl w:val="0"/>
          <w:numId w:val="59"/>
        </w:numPr>
        <w:tabs>
          <w:tab w:val="left" w:pos="709"/>
        </w:tabs>
        <w:autoSpaceDE w:val="0"/>
        <w:autoSpaceDN w:val="0"/>
        <w:adjustRightInd w:val="0"/>
        <w:ind w:left="0" w:firstLine="0"/>
        <w:jc w:val="both"/>
        <w:rPr>
          <w:rFonts w:eastAsiaTheme="minorHAnsi" w:cs="Arial"/>
          <w:color w:val="000000"/>
          <w:lang w:val="es-ES"/>
        </w:rPr>
      </w:pPr>
      <w:r w:rsidRPr="008A6189">
        <w:rPr>
          <w:rFonts w:eastAsiaTheme="minorHAnsi" w:cs="Arial"/>
          <w:color w:val="000000"/>
          <w:lang w:val="es-ES"/>
        </w:rPr>
        <w:t>El Programa de instituciones académicas de la OMPI siguió ofreciendo cursos de máster conjuntos en derecho de P.I. a los nacionales de países en desarrollo y países con economías en transición, en cooperación con distintas universidades y con la asistencia financiera del Gobierno de Japón y del Gobierno de la República de Corea en relación con cuatro programas.  En el bienio 2014/15, un total de 340 estudiantes se graduaron en el marco de los siete programas de máster conjuntos en derecho de P.I., de quienes 178, procedentes de 75 países, recibieron beca.  Durante el mismo período, 364</w:t>
      </w:r>
      <w:r w:rsidRPr="008A6189">
        <w:rPr>
          <w:rFonts w:eastAsiaTheme="minorHAnsi"/>
          <w:color w:val="000000"/>
          <w:vertAlign w:val="superscript"/>
        </w:rPr>
        <w:footnoteReference w:id="76"/>
      </w:r>
      <w:r w:rsidRPr="008A6189">
        <w:rPr>
          <w:rFonts w:eastAsiaTheme="minorHAnsi" w:cs="Arial"/>
          <w:color w:val="000000"/>
          <w:lang w:val="es-ES"/>
        </w:rPr>
        <w:t xml:space="preserve"> nuevos estudiantes empezaron alguno de los programas</w:t>
      </w:r>
      <w:r w:rsidRPr="001039BC">
        <w:rPr>
          <w:rFonts w:eastAsiaTheme="minorHAnsi"/>
          <w:color w:val="000000"/>
          <w:vertAlign w:val="superscript"/>
        </w:rPr>
        <w:footnoteReference w:id="77"/>
      </w:r>
      <w:r w:rsidRPr="008A6189">
        <w:rPr>
          <w:rFonts w:eastAsiaTheme="minorHAnsi" w:cs="Arial"/>
          <w:color w:val="000000"/>
          <w:lang w:val="es-ES"/>
        </w:rPr>
        <w:t>.  La media de aprobados para el año académico 2014/15 fue del 85%.</w:t>
      </w:r>
    </w:p>
    <w:p w:rsidR="0095318C" w:rsidRPr="008A6189" w:rsidRDefault="0095318C" w:rsidP="00DC1333">
      <w:pPr>
        <w:pStyle w:val="ListParagraph"/>
        <w:tabs>
          <w:tab w:val="left" w:pos="709"/>
        </w:tabs>
        <w:autoSpaceDE w:val="0"/>
        <w:autoSpaceDN w:val="0"/>
        <w:adjustRightInd w:val="0"/>
        <w:ind w:left="0"/>
        <w:jc w:val="both"/>
        <w:rPr>
          <w:rFonts w:eastAsiaTheme="minorHAnsi" w:cs="Arial"/>
          <w:color w:val="000000"/>
          <w:lang w:val="es-ES"/>
        </w:rPr>
      </w:pPr>
    </w:p>
    <w:p w:rsidR="0095318C" w:rsidRPr="008A6189" w:rsidRDefault="0095318C" w:rsidP="0095318C">
      <w:pPr>
        <w:pStyle w:val="ListParagraph"/>
        <w:numPr>
          <w:ilvl w:val="0"/>
          <w:numId w:val="59"/>
        </w:numPr>
        <w:tabs>
          <w:tab w:val="left" w:pos="709"/>
        </w:tabs>
        <w:autoSpaceDE w:val="0"/>
        <w:autoSpaceDN w:val="0"/>
        <w:adjustRightInd w:val="0"/>
        <w:ind w:left="0" w:firstLine="0"/>
        <w:jc w:val="both"/>
        <w:rPr>
          <w:rFonts w:eastAsiaTheme="minorHAnsi" w:cs="Arial"/>
          <w:color w:val="000000"/>
          <w:lang w:val="es-ES"/>
        </w:rPr>
      </w:pPr>
      <w:r w:rsidRPr="008A6189">
        <w:rPr>
          <w:rFonts w:eastAsiaTheme="minorHAnsi" w:cs="Arial"/>
          <w:color w:val="000000"/>
          <w:lang w:val="es-ES"/>
        </w:rPr>
        <w:t xml:space="preserve">Los programas de máster fueron ofrecidos de manera conjunta por la Academia de la OMPI e instituciones y universidades asociadas:  i) </w:t>
      </w:r>
      <w:r w:rsidRPr="008A6189">
        <w:rPr>
          <w:rFonts w:cs="Arial"/>
          <w:lang w:val="es-ES"/>
        </w:rPr>
        <w:t xml:space="preserve">la </w:t>
      </w:r>
      <w:proofErr w:type="spellStart"/>
      <w:r w:rsidRPr="008A6189">
        <w:rPr>
          <w:rFonts w:cs="Arial"/>
          <w:i/>
          <w:lang w:val="es-ES"/>
        </w:rPr>
        <w:t>Africa</w:t>
      </w:r>
      <w:proofErr w:type="spellEnd"/>
      <w:r w:rsidRPr="008A6189">
        <w:rPr>
          <w:rFonts w:cs="Arial"/>
          <w:i/>
          <w:lang w:val="es-ES"/>
        </w:rPr>
        <w:t xml:space="preserve"> </w:t>
      </w:r>
      <w:proofErr w:type="spellStart"/>
      <w:r w:rsidRPr="008A6189">
        <w:rPr>
          <w:rFonts w:cs="Arial"/>
          <w:i/>
          <w:lang w:val="es-ES"/>
        </w:rPr>
        <w:t>University</w:t>
      </w:r>
      <w:proofErr w:type="spellEnd"/>
      <w:r w:rsidRPr="008A6189">
        <w:rPr>
          <w:rFonts w:cs="Arial"/>
          <w:lang w:val="es-ES"/>
        </w:rPr>
        <w:t xml:space="preserve"> (AU) y la Organización Regional Africana de la Propiedad</w:t>
      </w:r>
      <w:r w:rsidR="00A556A6">
        <w:rPr>
          <w:rFonts w:cs="Arial"/>
          <w:lang w:val="es-ES"/>
        </w:rPr>
        <w:t xml:space="preserve"> Intelectual (ARIPO) (</w:t>
      </w:r>
      <w:proofErr w:type="spellStart"/>
      <w:r w:rsidR="00A556A6">
        <w:rPr>
          <w:rFonts w:cs="Arial"/>
          <w:lang w:val="es-ES"/>
        </w:rPr>
        <w:t>Zimbabwe</w:t>
      </w:r>
      <w:proofErr w:type="spellEnd"/>
      <w:r w:rsidR="00A556A6">
        <w:rPr>
          <w:rFonts w:cs="Arial"/>
          <w:lang w:val="es-ES"/>
        </w:rPr>
        <w:t xml:space="preserve">); </w:t>
      </w:r>
      <w:r w:rsidRPr="008A6189">
        <w:rPr>
          <w:rFonts w:cs="Arial"/>
          <w:lang w:val="es-ES"/>
        </w:rPr>
        <w:t xml:space="preserve"> </w:t>
      </w:r>
      <w:r w:rsidR="00A556A6">
        <w:rPr>
          <w:rFonts w:cs="Arial"/>
          <w:lang w:val="es-ES"/>
        </w:rPr>
        <w:t>i</w:t>
      </w:r>
      <w:r w:rsidRPr="008A6189">
        <w:rPr>
          <w:rFonts w:cs="Arial"/>
          <w:lang w:val="es-ES"/>
        </w:rPr>
        <w:t xml:space="preserve">i) la Universidad Austral y el Instituto Nacional de Propiedad Industrial (INPI) (Argentina), iii) la </w:t>
      </w:r>
      <w:r w:rsidRPr="008A6189">
        <w:rPr>
          <w:rFonts w:cs="Arial"/>
          <w:i/>
          <w:lang w:val="es-ES"/>
        </w:rPr>
        <w:t xml:space="preserve">Queensland </w:t>
      </w:r>
      <w:proofErr w:type="spellStart"/>
      <w:r w:rsidRPr="008A6189">
        <w:rPr>
          <w:rFonts w:cs="Arial"/>
          <w:i/>
          <w:lang w:val="es-ES"/>
        </w:rPr>
        <w:t>University</w:t>
      </w:r>
      <w:proofErr w:type="spellEnd"/>
      <w:r w:rsidRPr="008A6189">
        <w:rPr>
          <w:rFonts w:cs="Arial"/>
          <w:i/>
          <w:lang w:val="es-ES"/>
        </w:rPr>
        <w:t xml:space="preserve"> of </w:t>
      </w:r>
      <w:proofErr w:type="spellStart"/>
      <w:r w:rsidRPr="008A6189">
        <w:rPr>
          <w:rFonts w:cs="Arial"/>
          <w:i/>
          <w:lang w:val="es-ES"/>
        </w:rPr>
        <w:t>Technology</w:t>
      </w:r>
      <w:proofErr w:type="spellEnd"/>
      <w:r w:rsidRPr="008A6189">
        <w:rPr>
          <w:rFonts w:cs="Arial"/>
          <w:i/>
          <w:lang w:val="es-ES"/>
        </w:rPr>
        <w:t xml:space="preserve"> </w:t>
      </w:r>
      <w:r w:rsidR="00A556A6">
        <w:rPr>
          <w:rFonts w:cs="Arial"/>
          <w:lang w:val="es-ES"/>
        </w:rPr>
        <w:t xml:space="preserve">(QUT) (Australia); </w:t>
      </w:r>
      <w:r w:rsidRPr="008A6189">
        <w:rPr>
          <w:rFonts w:cs="Arial"/>
          <w:lang w:val="es-ES"/>
        </w:rPr>
        <w:t xml:space="preserve"> iv)</w:t>
      </w:r>
      <w:r w:rsidR="00A556A6">
        <w:rPr>
          <w:rFonts w:cs="Arial"/>
          <w:lang w:val="es-ES"/>
        </w:rPr>
        <w:t> </w:t>
      </w:r>
      <w:r w:rsidRPr="008A6189">
        <w:rPr>
          <w:rFonts w:cs="Arial"/>
          <w:lang w:val="es-ES"/>
        </w:rPr>
        <w:t>la Universidad Nacional de Seúl (SNU) y la Oficina Surcoreana de la Propiedad intelectual (KIPO) (República de Corea)</w:t>
      </w:r>
      <w:r w:rsidR="00A556A6">
        <w:rPr>
          <w:rFonts w:cs="Arial"/>
          <w:lang w:val="es-ES"/>
        </w:rPr>
        <w:t xml:space="preserve">; </w:t>
      </w:r>
      <w:r w:rsidRPr="008A6189">
        <w:rPr>
          <w:rFonts w:cs="Arial"/>
          <w:lang w:val="es-ES"/>
        </w:rPr>
        <w:t xml:space="preserve"> v) la Universidad de Turín y el Centro Internacional de Formación de la Organización Internacion</w:t>
      </w:r>
      <w:r w:rsidR="00A556A6">
        <w:rPr>
          <w:rFonts w:cs="Arial"/>
          <w:lang w:val="es-ES"/>
        </w:rPr>
        <w:t xml:space="preserve">al del Trabajo (OIT) (Italia);  </w:t>
      </w:r>
      <w:r w:rsidRPr="008A6189">
        <w:rPr>
          <w:rFonts w:cs="Arial"/>
          <w:lang w:val="es-ES"/>
        </w:rPr>
        <w:t xml:space="preserve">vi) la Universidad de Yaundé II y la Organización Africana de la Propiedad </w:t>
      </w:r>
      <w:r w:rsidR="00A556A6">
        <w:rPr>
          <w:rFonts w:cs="Arial"/>
          <w:lang w:val="es-ES"/>
        </w:rPr>
        <w:t xml:space="preserve">Intelectual (OAPI) (Camerún);  y </w:t>
      </w:r>
      <w:r w:rsidRPr="008A6189">
        <w:rPr>
          <w:rFonts w:cs="Arial"/>
          <w:lang w:val="es-ES"/>
        </w:rPr>
        <w:t>vii) la Universidad de Haifa (Israel).</w:t>
      </w:r>
    </w:p>
    <w:p w:rsidR="0095318C" w:rsidRPr="008A6189" w:rsidRDefault="0095318C" w:rsidP="00DC1333">
      <w:pPr>
        <w:pStyle w:val="ListParagraph"/>
        <w:tabs>
          <w:tab w:val="left" w:pos="709"/>
        </w:tabs>
        <w:autoSpaceDE w:val="0"/>
        <w:autoSpaceDN w:val="0"/>
        <w:adjustRightInd w:val="0"/>
        <w:ind w:left="0"/>
        <w:jc w:val="both"/>
        <w:rPr>
          <w:rFonts w:eastAsiaTheme="minorHAnsi" w:cs="Arial"/>
          <w:color w:val="000000"/>
          <w:lang w:val="es-ES"/>
        </w:rPr>
      </w:pPr>
    </w:p>
    <w:p w:rsidR="0095318C" w:rsidRPr="008A6189" w:rsidRDefault="0095318C" w:rsidP="00DC1333">
      <w:pPr>
        <w:pStyle w:val="ListParagraph"/>
        <w:tabs>
          <w:tab w:val="left" w:pos="142"/>
          <w:tab w:val="left" w:pos="4962"/>
        </w:tabs>
        <w:autoSpaceDE w:val="0"/>
        <w:autoSpaceDN w:val="0"/>
        <w:adjustRightInd w:val="0"/>
        <w:ind w:left="0"/>
        <w:jc w:val="both"/>
        <w:rPr>
          <w:rFonts w:eastAsiaTheme="minorHAnsi" w:cs="Arial"/>
          <w:i/>
          <w:color w:val="000000"/>
          <w:sz w:val="14"/>
          <w:szCs w:val="14"/>
          <w:lang w:val="es-ES"/>
        </w:rPr>
      </w:pPr>
      <w:r w:rsidRPr="008A6189">
        <w:rPr>
          <w:rFonts w:eastAsiaTheme="minorHAnsi" w:cs="Arial"/>
          <w:i/>
          <w:color w:val="000000"/>
          <w:sz w:val="14"/>
          <w:szCs w:val="14"/>
          <w:lang w:val="es-ES"/>
        </w:rPr>
        <w:tab/>
        <w:t>Participantes en programas de máster conjuntos en 2014/15 (por género)</w:t>
      </w:r>
      <w:r w:rsidRPr="008A6189">
        <w:rPr>
          <w:rFonts w:eastAsiaTheme="minorHAnsi" w:cs="Arial"/>
          <w:i/>
          <w:color w:val="000000"/>
          <w:sz w:val="14"/>
          <w:szCs w:val="14"/>
          <w:lang w:val="es-ES"/>
        </w:rPr>
        <w:tab/>
        <w:t>Total de nuevos estudiantes y graduados por programa en 2014/15</w:t>
      </w:r>
    </w:p>
    <w:p w:rsidR="0095318C" w:rsidRPr="008A6189" w:rsidRDefault="0095318C" w:rsidP="00DC1333">
      <w:pPr>
        <w:spacing w:after="200" w:line="240" w:lineRule="atLeast"/>
        <w:contextualSpacing/>
        <w:rPr>
          <w:rFonts w:eastAsiaTheme="minorHAnsi"/>
        </w:rPr>
      </w:pPr>
      <w:r w:rsidRPr="008A6189">
        <w:rPr>
          <w:rFonts w:eastAsiaTheme="minorHAnsi"/>
          <w:noProof/>
          <w:lang w:val="en-US" w:eastAsia="en-US"/>
        </w:rPr>
        <w:drawing>
          <wp:inline distT="0" distB="0" distL="0" distR="0" wp14:anchorId="395A5145" wp14:editId="58EC973C">
            <wp:extent cx="5941060" cy="1683398"/>
            <wp:effectExtent l="0" t="0" r="2540" b="0"/>
            <wp:docPr id="1055" name="Picture 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5941060" cy="1683398"/>
                    </a:xfrm>
                    <a:prstGeom prst="rect">
                      <a:avLst/>
                    </a:prstGeom>
                    <a:noFill/>
                    <a:ln>
                      <a:noFill/>
                    </a:ln>
                  </pic:spPr>
                </pic:pic>
              </a:graphicData>
            </a:graphic>
          </wp:inline>
        </w:drawing>
      </w:r>
    </w:p>
    <w:p w:rsidR="0095318C" w:rsidRPr="008A6189" w:rsidRDefault="0095318C" w:rsidP="00436644">
      <w:pPr>
        <w:pStyle w:val="ListParagraph"/>
        <w:numPr>
          <w:ilvl w:val="0"/>
          <w:numId w:val="59"/>
        </w:numPr>
        <w:tabs>
          <w:tab w:val="left" w:pos="709"/>
        </w:tabs>
        <w:spacing w:after="200" w:line="240" w:lineRule="atLeast"/>
        <w:ind w:left="0" w:firstLine="0"/>
        <w:contextualSpacing/>
        <w:jc w:val="both"/>
        <w:rPr>
          <w:rFonts w:eastAsiaTheme="minorHAnsi"/>
          <w:lang w:val="es-ES"/>
        </w:rPr>
      </w:pPr>
      <w:r w:rsidRPr="008A6189">
        <w:rPr>
          <w:rFonts w:eastAsiaTheme="minorHAnsi"/>
          <w:lang w:val="es-ES"/>
        </w:rPr>
        <w:t>En 2014 y 2015 se organizaron dos Coloquios para profesores de P.I. en colaboración con la OMC y en beneficio de 53 profesores de P.I.</w:t>
      </w:r>
      <w:proofErr w:type="gramStart"/>
      <w:r w:rsidRPr="008A6189">
        <w:rPr>
          <w:rFonts w:eastAsiaTheme="minorHAnsi"/>
          <w:lang w:val="es-ES"/>
        </w:rPr>
        <w:t>:  (</w:t>
      </w:r>
      <w:proofErr w:type="gramEnd"/>
      <w:r w:rsidRPr="008A6189">
        <w:rPr>
          <w:rFonts w:eastAsiaTheme="minorHAnsi"/>
          <w:lang w:val="es-ES"/>
        </w:rPr>
        <w:t>27 en 2014</w:t>
      </w:r>
      <w:r w:rsidRPr="008A6189">
        <w:rPr>
          <w:rStyle w:val="FootnoteReference"/>
          <w:rFonts w:eastAsiaTheme="minorHAnsi" w:cs="Arial"/>
          <w:color w:val="000000"/>
        </w:rPr>
        <w:footnoteReference w:id="78"/>
      </w:r>
      <w:r w:rsidRPr="008A6189">
        <w:rPr>
          <w:rFonts w:eastAsiaTheme="minorHAnsi"/>
          <w:lang w:val="es-ES"/>
        </w:rPr>
        <w:t xml:space="preserve"> y 26 en 2015).  Los Coloquios siguieron </w:t>
      </w:r>
      <w:r w:rsidRPr="008A6189">
        <w:rPr>
          <w:rFonts w:eastAsiaTheme="minorHAnsi"/>
          <w:lang w:val="es-ES"/>
        </w:rPr>
        <w:lastRenderedPageBreak/>
        <w:t>constituyendo un foro de diálogo y debate sobre los últimos avances en ámbitos clave de la P.I. y sobre asuntos docentes y pedagógicos.  Los doce documentos de investigación más destacados de los expertos que participaron en el Coloquio de 2014 (representando a África, Asia, Europa Oriental y América Latina) fueron publicados en 2015.  Nueve personas recibieron becas de la OMPI para participar en la Reunión anual de la Asociación Internacional para el Progreso de la Enseñanza y de la Investigación de la Propiedad Intelectual (ATRIP).</w:t>
      </w:r>
    </w:p>
    <w:p w:rsidR="0095318C" w:rsidRPr="008A6189" w:rsidRDefault="0095318C" w:rsidP="00DC1333">
      <w:pPr>
        <w:pStyle w:val="ListParagraph"/>
        <w:tabs>
          <w:tab w:val="left" w:pos="709"/>
        </w:tabs>
        <w:autoSpaceDE w:val="0"/>
        <w:autoSpaceDN w:val="0"/>
        <w:adjustRightInd w:val="0"/>
        <w:ind w:left="0"/>
        <w:jc w:val="both"/>
        <w:rPr>
          <w:rFonts w:eastAsiaTheme="minorHAnsi" w:cs="Arial"/>
          <w:color w:val="000000"/>
          <w:lang w:val="es-ES"/>
        </w:rPr>
      </w:pPr>
    </w:p>
    <w:p w:rsidR="0095318C" w:rsidRPr="008A6189" w:rsidRDefault="0095318C" w:rsidP="0095318C">
      <w:pPr>
        <w:pStyle w:val="ListParagraph"/>
        <w:numPr>
          <w:ilvl w:val="0"/>
          <w:numId w:val="59"/>
        </w:numPr>
        <w:tabs>
          <w:tab w:val="left" w:pos="709"/>
        </w:tabs>
        <w:autoSpaceDE w:val="0"/>
        <w:autoSpaceDN w:val="0"/>
        <w:adjustRightInd w:val="0"/>
        <w:ind w:left="0" w:firstLine="0"/>
        <w:jc w:val="both"/>
        <w:rPr>
          <w:rFonts w:eastAsiaTheme="minorHAnsi" w:cs="Arial"/>
          <w:color w:val="000000"/>
          <w:lang w:val="es-ES_tradnl"/>
        </w:rPr>
      </w:pPr>
      <w:r w:rsidRPr="008A6189">
        <w:rPr>
          <w:rFonts w:eastAsiaTheme="minorHAnsi" w:cs="Arial"/>
          <w:color w:val="000000"/>
          <w:lang w:val="es-ES_tradnl"/>
        </w:rPr>
        <w:t>Con respaldo de</w:t>
      </w:r>
      <w:r w:rsidRPr="008A6189">
        <w:rPr>
          <w:rFonts w:eastAsiaTheme="minorHAnsi" w:cs="Arial"/>
          <w:color w:val="000000"/>
          <w:lang w:val="es-ES"/>
        </w:rPr>
        <w:t xml:space="preserve"> la OMPI, se empezaron a ofrecer los siguientes nuevos programas de enseñanza de la P.I. en el período 2014/15</w:t>
      </w:r>
      <w:proofErr w:type="gramStart"/>
      <w:r w:rsidRPr="008A6189">
        <w:rPr>
          <w:rFonts w:eastAsiaTheme="minorHAnsi" w:cs="Arial"/>
          <w:color w:val="000000"/>
          <w:lang w:val="es-ES"/>
        </w:rPr>
        <w:t>:  i</w:t>
      </w:r>
      <w:proofErr w:type="gramEnd"/>
      <w:r w:rsidRPr="008A6189">
        <w:rPr>
          <w:rFonts w:eastAsiaTheme="minorHAnsi" w:cs="Arial"/>
          <w:color w:val="000000"/>
          <w:lang w:val="es-ES"/>
        </w:rPr>
        <w:t xml:space="preserve">) el programa de gestión de la P.I. del </w:t>
      </w:r>
      <w:r w:rsidRPr="008A6189">
        <w:rPr>
          <w:rFonts w:eastAsiaTheme="minorHAnsi" w:cs="Arial"/>
          <w:i/>
          <w:color w:val="000000"/>
          <w:lang w:val="es-ES"/>
        </w:rPr>
        <w:t xml:space="preserve">Bangladesh </w:t>
      </w:r>
      <w:proofErr w:type="spellStart"/>
      <w:r w:rsidRPr="008A6189">
        <w:rPr>
          <w:rFonts w:eastAsiaTheme="minorHAnsi" w:cs="Arial"/>
          <w:i/>
          <w:color w:val="000000"/>
          <w:lang w:val="es-ES"/>
        </w:rPr>
        <w:t>Institute</w:t>
      </w:r>
      <w:proofErr w:type="spellEnd"/>
      <w:r w:rsidRPr="008A6189">
        <w:rPr>
          <w:rFonts w:eastAsiaTheme="minorHAnsi" w:cs="Arial"/>
          <w:i/>
          <w:color w:val="000000"/>
          <w:lang w:val="es-ES"/>
        </w:rPr>
        <w:t xml:space="preserve"> of Management </w:t>
      </w:r>
      <w:r w:rsidRPr="008A6189">
        <w:rPr>
          <w:rFonts w:eastAsiaTheme="minorHAnsi" w:cs="Arial"/>
          <w:color w:val="000000"/>
          <w:lang w:val="es-ES"/>
        </w:rPr>
        <w:t xml:space="preserve">y ii) dos nuevos cursos sobre P.I. en la </w:t>
      </w:r>
      <w:proofErr w:type="spellStart"/>
      <w:r w:rsidRPr="008A6189">
        <w:rPr>
          <w:rFonts w:eastAsiaTheme="minorHAnsi" w:cs="Arial"/>
          <w:i/>
          <w:color w:val="000000"/>
          <w:lang w:val="es-ES"/>
        </w:rPr>
        <w:t>Africa</w:t>
      </w:r>
      <w:proofErr w:type="spellEnd"/>
      <w:r w:rsidRPr="008A6189">
        <w:rPr>
          <w:rFonts w:eastAsiaTheme="minorHAnsi" w:cs="Arial"/>
          <w:i/>
          <w:color w:val="000000"/>
          <w:lang w:val="es-ES"/>
        </w:rPr>
        <w:t xml:space="preserve"> </w:t>
      </w:r>
      <w:proofErr w:type="spellStart"/>
      <w:r w:rsidRPr="008A6189">
        <w:rPr>
          <w:rFonts w:eastAsiaTheme="minorHAnsi" w:cs="Arial"/>
          <w:i/>
          <w:color w:val="000000"/>
          <w:lang w:val="es-ES"/>
        </w:rPr>
        <w:t>University</w:t>
      </w:r>
      <w:proofErr w:type="spellEnd"/>
      <w:r w:rsidRPr="008A6189">
        <w:rPr>
          <w:rFonts w:eastAsiaTheme="minorHAnsi" w:cs="Arial"/>
          <w:color w:val="000000"/>
          <w:lang w:val="es-ES"/>
        </w:rPr>
        <w:t xml:space="preserve">.  El apoyo brindado en el bienio 2014-15 redundará en la impartición de nuevos cursos sobre P.I. en 2016:  i) la </w:t>
      </w:r>
      <w:proofErr w:type="spellStart"/>
      <w:r w:rsidRPr="008A6189">
        <w:rPr>
          <w:rFonts w:eastAsiaTheme="minorHAnsi" w:cs="Arial"/>
          <w:i/>
          <w:color w:val="000000"/>
          <w:lang w:val="es-ES"/>
        </w:rPr>
        <w:t>University</w:t>
      </w:r>
      <w:proofErr w:type="spellEnd"/>
      <w:r w:rsidRPr="008A6189">
        <w:rPr>
          <w:rFonts w:eastAsiaTheme="minorHAnsi" w:cs="Arial"/>
          <w:i/>
          <w:color w:val="000000"/>
          <w:lang w:val="es-ES"/>
        </w:rPr>
        <w:t xml:space="preserve"> of West </w:t>
      </w:r>
      <w:proofErr w:type="spellStart"/>
      <w:r w:rsidRPr="008A6189">
        <w:rPr>
          <w:rFonts w:eastAsiaTheme="minorHAnsi" w:cs="Arial"/>
          <w:i/>
          <w:color w:val="000000"/>
          <w:lang w:val="es-ES"/>
        </w:rPr>
        <w:t>Indies</w:t>
      </w:r>
      <w:proofErr w:type="spellEnd"/>
      <w:r w:rsidRPr="008A6189">
        <w:rPr>
          <w:rFonts w:eastAsiaTheme="minorHAnsi" w:cs="Arial"/>
          <w:color w:val="000000"/>
          <w:lang w:val="es-ES"/>
        </w:rPr>
        <w:t xml:space="preserve">, Mona Campus (Jamaica), completó el desarrollo de un nuevo </w:t>
      </w:r>
      <w:r w:rsidRPr="008A6189">
        <w:rPr>
          <w:rFonts w:eastAsiaTheme="minorHAnsi" w:cs="Arial"/>
          <w:color w:val="000000"/>
          <w:lang w:val="es-ES_tradnl"/>
        </w:rPr>
        <w:t xml:space="preserve">máster en propiedad intelectual e industrias creativas y culturales que se empezará a impartir en 2016, ii) la Universidad de </w:t>
      </w:r>
      <w:proofErr w:type="spellStart"/>
      <w:r w:rsidRPr="008A6189">
        <w:rPr>
          <w:rFonts w:eastAsiaTheme="minorHAnsi" w:cs="Arial"/>
          <w:color w:val="000000"/>
          <w:lang w:val="es-ES_tradnl"/>
        </w:rPr>
        <w:t>Botswana</w:t>
      </w:r>
      <w:proofErr w:type="spellEnd"/>
      <w:r w:rsidRPr="008A6189">
        <w:rPr>
          <w:rFonts w:eastAsiaTheme="minorHAnsi" w:cs="Arial"/>
          <w:color w:val="000000"/>
          <w:lang w:val="es-ES_tradnl"/>
        </w:rPr>
        <w:t xml:space="preserve"> finalizó el desarrollo de un nuevo curso de derecho de P.I. en el campo de la investigación que se empezará a impartir en 2016 e introdujo mejoras en los cursos I y II de derecho de P.I.  Además, cinco universidades introdujeron mejoras en sus programas de enseñanza de la P.I. existentes:  i) la Universidad de Buenos Aires (Argentina), ii) la Universidad Central de Venezuela, iii) la Universidad de Alicante (España), iv) la </w:t>
      </w:r>
      <w:proofErr w:type="spellStart"/>
      <w:r w:rsidRPr="008A6189">
        <w:rPr>
          <w:rFonts w:eastAsiaTheme="minorHAnsi" w:cs="Arial"/>
          <w:i/>
          <w:color w:val="000000"/>
          <w:lang w:val="es-ES_tradnl"/>
        </w:rPr>
        <w:t>Universitas</w:t>
      </w:r>
      <w:proofErr w:type="spellEnd"/>
      <w:r w:rsidRPr="008A6189">
        <w:rPr>
          <w:rFonts w:eastAsiaTheme="minorHAnsi" w:cs="Arial"/>
          <w:i/>
          <w:color w:val="000000"/>
          <w:lang w:val="es-ES_tradnl"/>
        </w:rPr>
        <w:t xml:space="preserve"> </w:t>
      </w:r>
      <w:proofErr w:type="spellStart"/>
      <w:r w:rsidRPr="008A6189">
        <w:rPr>
          <w:rFonts w:eastAsiaTheme="minorHAnsi" w:cs="Arial"/>
          <w:i/>
          <w:color w:val="000000"/>
          <w:lang w:val="es-ES_tradnl"/>
        </w:rPr>
        <w:t>Padjadjaran</w:t>
      </w:r>
      <w:proofErr w:type="spellEnd"/>
      <w:r w:rsidRPr="008A6189">
        <w:rPr>
          <w:rFonts w:eastAsiaTheme="minorHAnsi" w:cs="Arial"/>
          <w:color w:val="000000"/>
          <w:lang w:val="es-ES_tradnl"/>
        </w:rPr>
        <w:t xml:space="preserve"> (Indonesia) y v) la Universidad de Indonesia.  Además, se impartieron 13 seminarios sobre P.I. para 309 estudiantes de grado, funcionarios gubernamentales y representantes parlamentarios en la sede de la OMPI.  Por último, se organizaron dos simposios nacionales sobre educación e investigación en materia de P.I.  (</w:t>
      </w:r>
      <w:proofErr w:type="spellStart"/>
      <w:r w:rsidRPr="008A6189">
        <w:rPr>
          <w:rFonts w:eastAsiaTheme="minorHAnsi" w:cs="Arial"/>
          <w:color w:val="000000"/>
          <w:lang w:val="es-ES_tradnl"/>
        </w:rPr>
        <w:t>Botswana</w:t>
      </w:r>
      <w:proofErr w:type="spellEnd"/>
      <w:r w:rsidRPr="008A6189">
        <w:rPr>
          <w:rFonts w:eastAsiaTheme="minorHAnsi" w:cs="Arial"/>
          <w:color w:val="000000"/>
          <w:lang w:val="es-ES_tradnl"/>
        </w:rPr>
        <w:t xml:space="preserve"> y China) y una mesa redonda subregional sobre enseñanza, investigación y formación en materia de P.I. para la región del Caribe, en colaboración con los gobiernos anfitriones.  En el período 2014/15, la Academia recibió nuevas peticiones de asociación, que examinó en sintonía con la nueva política elaborada a ese respecto.</w:t>
      </w:r>
    </w:p>
    <w:p w:rsidR="0095318C" w:rsidRPr="008A6189" w:rsidRDefault="0095318C" w:rsidP="00DC1333">
      <w:pPr>
        <w:pStyle w:val="ListParagraph"/>
        <w:tabs>
          <w:tab w:val="left" w:pos="709"/>
        </w:tabs>
        <w:autoSpaceDE w:val="0"/>
        <w:autoSpaceDN w:val="0"/>
        <w:adjustRightInd w:val="0"/>
        <w:ind w:left="0"/>
        <w:jc w:val="both"/>
        <w:rPr>
          <w:rFonts w:eastAsiaTheme="minorHAnsi"/>
          <w:color w:val="000000"/>
          <w:lang w:val="es-ES"/>
        </w:rPr>
      </w:pPr>
    </w:p>
    <w:p w:rsidR="0095318C" w:rsidRPr="008A6189" w:rsidRDefault="0095318C" w:rsidP="0095318C">
      <w:pPr>
        <w:pStyle w:val="ListParagraph"/>
        <w:numPr>
          <w:ilvl w:val="0"/>
          <w:numId w:val="59"/>
        </w:numPr>
        <w:tabs>
          <w:tab w:val="left" w:pos="709"/>
        </w:tabs>
        <w:autoSpaceDE w:val="0"/>
        <w:autoSpaceDN w:val="0"/>
        <w:adjustRightInd w:val="0"/>
        <w:ind w:left="0" w:firstLine="0"/>
        <w:jc w:val="both"/>
        <w:rPr>
          <w:rFonts w:eastAsiaTheme="minorHAnsi" w:cs="Arial"/>
          <w:lang w:val="es-ES"/>
        </w:rPr>
      </w:pPr>
      <w:r w:rsidRPr="008A6189">
        <w:rPr>
          <w:rFonts w:eastAsiaTheme="minorHAnsi" w:cs="Arial"/>
          <w:color w:val="000000"/>
          <w:lang w:val="es-ES_tradnl"/>
        </w:rPr>
        <w:t>En 2014/15, la Academia organizó 19 sesiones del Programa de cursos de verano de la OMPI en tres idiomas (español, inglés y ruso), en cooperación con 12 instituciones nacionales de Chile, China, Croacia, Estados Unidos, la Federación de Rusia, India, Jamaica, México, la República de Corea, Singapur, Sudáfrica y Suiza.  Un total de 689 participantes procedentes de ochenta países asistieron a los cursos de verano;  la mayor parte de ellos procedía de América Latina y el Caribe (300 participantes, es decir, el 43%), seguidos de los participantes de países de Asia y el Pacífico (190, es decir, el 28%).  Un 20% procedía de Europa y un 9% de África.  De los 689 participantes en 2014/15, 369, el 57%, fueron mujeres y 299, el 43%, hombres.  El Gobierno de Japón concedió 20 becas a participantes en las sesiones de Sudáfrica, mientras que el Gobierno de la República de Corea concedió 16 para participar en las sesiones de la República de Corea</w:t>
      </w:r>
      <w:r w:rsidRPr="008A6189">
        <w:rPr>
          <w:rFonts w:eastAsiaTheme="minorHAnsi" w:cs="Arial"/>
          <w:lang w:val="es-ES"/>
        </w:rPr>
        <w:t>.  Las sesiones del Programa de cursos de verano siguieron realizándose por rotación, tomando en consideración el equilibrio geográfico.</w:t>
      </w:r>
    </w:p>
    <w:p w:rsidR="0095318C" w:rsidRPr="008A6189" w:rsidRDefault="0095318C" w:rsidP="00DC1333">
      <w:pPr>
        <w:pStyle w:val="Caption"/>
        <w:keepNext/>
        <w:jc w:val="center"/>
        <w:rPr>
          <w:b w:val="0"/>
          <w:i/>
          <w:sz w:val="20"/>
        </w:rPr>
      </w:pPr>
    </w:p>
    <w:p w:rsidR="0095318C" w:rsidRPr="008A6189" w:rsidRDefault="0095318C" w:rsidP="00DC1333">
      <w:pPr>
        <w:pStyle w:val="Caption"/>
        <w:keepNext/>
        <w:jc w:val="center"/>
        <w:rPr>
          <w:b w:val="0"/>
          <w:i/>
          <w:sz w:val="20"/>
        </w:rPr>
      </w:pPr>
      <w:r w:rsidRPr="008A6189">
        <w:rPr>
          <w:b w:val="0"/>
          <w:i/>
          <w:sz w:val="20"/>
        </w:rPr>
        <w:t>Participantes en el Programa de cursos de verano de la OMPI en 2014 y 2015 (por género)</w:t>
      </w:r>
    </w:p>
    <w:p w:rsidR="0095318C" w:rsidRPr="008A6189" w:rsidRDefault="0095318C" w:rsidP="00DC1333">
      <w:pPr>
        <w:spacing w:after="200" w:line="240" w:lineRule="atLeast"/>
        <w:contextualSpacing/>
        <w:jc w:val="center"/>
        <w:rPr>
          <w:rFonts w:eastAsiaTheme="minorHAnsi"/>
        </w:rPr>
      </w:pPr>
      <w:r w:rsidRPr="008A6189">
        <w:rPr>
          <w:rFonts w:eastAsiaTheme="minorHAnsi"/>
          <w:noProof/>
          <w:lang w:val="en-US" w:eastAsia="en-US"/>
        </w:rPr>
        <w:drawing>
          <wp:inline distT="0" distB="0" distL="0" distR="0" wp14:anchorId="0772CA78" wp14:editId="59CDFFC3">
            <wp:extent cx="4743450" cy="2912529"/>
            <wp:effectExtent l="0" t="0" r="0" b="2540"/>
            <wp:docPr id="9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4743450" cy="2912529"/>
                    </a:xfrm>
                    <a:prstGeom prst="rect">
                      <a:avLst/>
                    </a:prstGeom>
                    <a:noFill/>
                  </pic:spPr>
                </pic:pic>
              </a:graphicData>
            </a:graphic>
          </wp:inline>
        </w:drawing>
      </w:r>
    </w:p>
    <w:p w:rsidR="0095318C" w:rsidRPr="008A6189" w:rsidRDefault="0095318C" w:rsidP="00DC1333">
      <w:pPr>
        <w:spacing w:after="200" w:line="240" w:lineRule="atLeast"/>
        <w:contextualSpacing/>
        <w:jc w:val="both"/>
        <w:rPr>
          <w:rFonts w:eastAsiaTheme="minorHAnsi"/>
        </w:rPr>
      </w:pPr>
    </w:p>
    <w:p w:rsidR="0095318C" w:rsidRPr="008A6189" w:rsidRDefault="0095318C" w:rsidP="0095318C">
      <w:pPr>
        <w:pStyle w:val="ListParagraph"/>
        <w:numPr>
          <w:ilvl w:val="0"/>
          <w:numId w:val="59"/>
        </w:numPr>
        <w:tabs>
          <w:tab w:val="left" w:pos="709"/>
        </w:tabs>
        <w:autoSpaceDE w:val="0"/>
        <w:autoSpaceDN w:val="0"/>
        <w:adjustRightInd w:val="0"/>
        <w:ind w:left="0" w:firstLine="0"/>
        <w:jc w:val="both"/>
        <w:rPr>
          <w:rFonts w:eastAsiaTheme="minorHAnsi" w:cs="Arial"/>
          <w:color w:val="000000"/>
          <w:lang w:val="es-ES"/>
        </w:rPr>
      </w:pPr>
      <w:r w:rsidRPr="008A6189">
        <w:rPr>
          <w:rFonts w:eastAsiaTheme="minorHAnsi" w:cs="Arial"/>
          <w:color w:val="000000"/>
          <w:lang w:val="es-ES"/>
        </w:rPr>
        <w:t xml:space="preserve">En 2014, el proyecto sobre establecimiento de academias nacionales de P.I. se incorporó a los programas ordinarios de la Academia de la OMPI tras la presentación y aprobación de un informe </w:t>
      </w:r>
      <w:r w:rsidRPr="008A6189">
        <w:rPr>
          <w:rFonts w:eastAsiaTheme="minorHAnsi" w:cs="Arial"/>
          <w:color w:val="000000"/>
          <w:lang w:val="es-ES"/>
        </w:rPr>
        <w:lastRenderedPageBreak/>
        <w:t>externo independiente de evaluación del mismo en la decimocuarta sesión del CDIP.  La cooperación continuó a lo largo del bienio con la apertura de seis nuevas academias nacionales durante la fase de proyecto del CDIP (Colombia, Egipto, Etiopía, República Dominicana, Perú y Túnez).  Se firmaron nuevos acuerdos con los gobiernos de Azerbaiyán, Camboya, Costa Rica, Ecuador, El Salvador, Georgia y Turquía para el establecimiento de academias nacionales de P.I.  Durante 2014/15, se recibieron nuevas peticiones de asistencia para la creación de academias nacionales de P.I. por parte de los Estados miembros, a las que se dará curso en el período 2016/17.</w:t>
      </w:r>
    </w:p>
    <w:p w:rsidR="0095318C" w:rsidRPr="008A6189" w:rsidRDefault="0095318C" w:rsidP="00DC1333">
      <w:pPr>
        <w:tabs>
          <w:tab w:val="left" w:pos="709"/>
        </w:tabs>
        <w:autoSpaceDE w:val="0"/>
        <w:autoSpaceDN w:val="0"/>
        <w:adjustRightInd w:val="0"/>
        <w:jc w:val="both"/>
        <w:rPr>
          <w:rFonts w:eastAsiaTheme="minorHAnsi"/>
          <w:color w:val="000000"/>
        </w:rPr>
      </w:pPr>
    </w:p>
    <w:p w:rsidR="0095318C" w:rsidRPr="008A6189" w:rsidRDefault="0095318C" w:rsidP="00DC1333">
      <w:pPr>
        <w:tabs>
          <w:tab w:val="left" w:pos="709"/>
        </w:tabs>
        <w:autoSpaceDE w:val="0"/>
        <w:autoSpaceDN w:val="0"/>
        <w:adjustRightInd w:val="0"/>
        <w:jc w:val="both"/>
        <w:rPr>
          <w:rFonts w:eastAsiaTheme="minorHAnsi"/>
          <w:color w:val="000000"/>
        </w:rPr>
      </w:pPr>
    </w:p>
    <w:p w:rsidR="0095318C" w:rsidRPr="008A6189" w:rsidRDefault="008F7CBE" w:rsidP="00DC1333">
      <w:pPr>
        <w:spacing w:after="200" w:line="240" w:lineRule="atLeast"/>
        <w:contextualSpacing/>
        <w:jc w:val="both"/>
        <w:rPr>
          <w:szCs w:val="22"/>
        </w:rPr>
      </w:pPr>
      <w:r w:rsidRPr="008F7CBE">
        <w:rPr>
          <w:sz w:val="20"/>
          <w:szCs w:val="22"/>
        </w:rPr>
        <w:t>DATOS SOBRE EL RENDIMIENTO</w:t>
      </w:r>
    </w:p>
    <w:p w:rsidR="0095318C" w:rsidRPr="008A6189" w:rsidRDefault="0095318C" w:rsidP="00DC1333">
      <w:pPr>
        <w:autoSpaceDE w:val="0"/>
        <w:autoSpaceDN w:val="0"/>
        <w:adjustRightInd w:val="0"/>
        <w:rPr>
          <w:rFonts w:eastAsiaTheme="minorHAnsi"/>
          <w:color w:val="000000"/>
          <w:sz w:val="18"/>
        </w:rPr>
      </w:pPr>
    </w:p>
    <w:tbl>
      <w:tblPr>
        <w:tblW w:w="4962" w:type="pct"/>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81"/>
        <w:gridCol w:w="2694"/>
        <w:gridCol w:w="1417"/>
        <w:gridCol w:w="2128"/>
        <w:gridCol w:w="1278"/>
      </w:tblGrid>
      <w:tr w:rsidR="0095318C" w:rsidRPr="002779F3" w:rsidTr="00DC1333">
        <w:tc>
          <w:tcPr>
            <w:tcW w:w="5000" w:type="pct"/>
            <w:gridSpan w:val="5"/>
            <w:tcBorders>
              <w:top w:val="single" w:sz="4" w:space="0" w:color="auto"/>
              <w:bottom w:val="single" w:sz="4" w:space="0" w:color="auto"/>
            </w:tcBorders>
            <w:shd w:val="clear" w:color="auto" w:fill="C6D9F1" w:themeFill="text2" w:themeFillTint="33"/>
          </w:tcPr>
          <w:p w:rsidR="0095318C" w:rsidRPr="008A6189" w:rsidRDefault="0095318C" w:rsidP="00DC1333">
            <w:pPr>
              <w:spacing w:before="120" w:after="120"/>
              <w:ind w:left="2019" w:hanging="2019"/>
              <w:jc w:val="both"/>
              <w:rPr>
                <w:sz w:val="16"/>
                <w:szCs w:val="16"/>
                <w:lang w:val="es-ES_tradnl"/>
              </w:rPr>
            </w:pPr>
            <w:r w:rsidRPr="008A6189">
              <w:rPr>
                <w:b/>
                <w:bCs/>
                <w:sz w:val="16"/>
                <w:szCs w:val="16"/>
                <w:lang w:val="es-ES_tradnl"/>
              </w:rPr>
              <w:t>Resultado previsto:</w:t>
            </w:r>
            <w:r w:rsidRPr="008A6189">
              <w:rPr>
                <w:b/>
                <w:bCs/>
                <w:sz w:val="16"/>
                <w:szCs w:val="16"/>
                <w:lang w:val="es-ES_tradnl"/>
              </w:rPr>
              <w:tab/>
            </w:r>
            <w:r w:rsidRPr="008A6189">
              <w:rPr>
                <w:sz w:val="16"/>
                <w:szCs w:val="16"/>
                <w:lang w:val="es-ES_tradnl"/>
              </w:rPr>
              <w:t>III.2 Aumento de las capacidades en recursos humanos para hacer frente a la gran diversidad de   exigencias que supone la utilización eficaz de la P.I. para fomentar el desarrollo en los países en desarrollo, PMA y países con economías en transición</w:t>
            </w:r>
          </w:p>
        </w:tc>
      </w:tr>
      <w:tr w:rsidR="0095318C" w:rsidRPr="008A6189" w:rsidTr="00DC1333">
        <w:tc>
          <w:tcPr>
            <w:tcW w:w="1043" w:type="pct"/>
            <w:tcBorders>
              <w:top w:val="single" w:sz="4" w:space="0" w:color="auto"/>
              <w:bottom w:val="nil"/>
            </w:tcBorders>
            <w:shd w:val="clear" w:color="auto" w:fill="auto"/>
          </w:tcPr>
          <w:p w:rsidR="0095318C" w:rsidRPr="008A6189" w:rsidRDefault="0095318C" w:rsidP="00DC1333">
            <w:pPr>
              <w:rPr>
                <w:sz w:val="16"/>
                <w:szCs w:val="16"/>
                <w:lang w:val="es-ES_tradnl"/>
              </w:rPr>
            </w:pPr>
            <w:r w:rsidRPr="008A6189">
              <w:rPr>
                <w:b/>
                <w:sz w:val="16"/>
                <w:szCs w:val="16"/>
                <w:lang w:val="es-ES_tradnl"/>
              </w:rPr>
              <w:t>Indicadores de rendimiento</w:t>
            </w:r>
          </w:p>
        </w:tc>
        <w:tc>
          <w:tcPr>
            <w:tcW w:w="1418" w:type="pct"/>
            <w:tcBorders>
              <w:top w:val="single" w:sz="4" w:space="0" w:color="auto"/>
              <w:bottom w:val="nil"/>
            </w:tcBorders>
            <w:shd w:val="clear" w:color="auto" w:fill="auto"/>
          </w:tcPr>
          <w:p w:rsidR="0095318C" w:rsidRPr="008A6189" w:rsidRDefault="0095318C" w:rsidP="00DC1333">
            <w:pPr>
              <w:rPr>
                <w:sz w:val="16"/>
                <w:szCs w:val="16"/>
                <w:lang w:val="es-ES_tradnl"/>
              </w:rPr>
            </w:pPr>
            <w:r w:rsidRPr="008A6189">
              <w:rPr>
                <w:b/>
                <w:sz w:val="16"/>
                <w:szCs w:val="16"/>
                <w:lang w:val="es-ES_tradnl"/>
              </w:rPr>
              <w:t>Referencia</w:t>
            </w:r>
          </w:p>
        </w:tc>
        <w:tc>
          <w:tcPr>
            <w:tcW w:w="746" w:type="pct"/>
            <w:tcBorders>
              <w:top w:val="single" w:sz="4" w:space="0" w:color="auto"/>
              <w:bottom w:val="nil"/>
            </w:tcBorders>
            <w:shd w:val="clear" w:color="auto" w:fill="auto"/>
            <w:tcMar>
              <w:top w:w="110" w:type="dxa"/>
            </w:tcMar>
          </w:tcPr>
          <w:p w:rsidR="0095318C" w:rsidRPr="008A6189" w:rsidRDefault="0095318C" w:rsidP="00DC1333">
            <w:pPr>
              <w:autoSpaceDE w:val="0"/>
              <w:autoSpaceDN w:val="0"/>
              <w:adjustRightInd w:val="0"/>
              <w:rPr>
                <w:sz w:val="16"/>
                <w:szCs w:val="16"/>
                <w:lang w:val="es-ES_tradnl"/>
              </w:rPr>
            </w:pPr>
            <w:r w:rsidRPr="008A6189">
              <w:rPr>
                <w:b/>
                <w:sz w:val="16"/>
                <w:szCs w:val="16"/>
                <w:lang w:val="es-ES_tradnl"/>
              </w:rPr>
              <w:t>Objetivos</w:t>
            </w:r>
          </w:p>
        </w:tc>
        <w:tc>
          <w:tcPr>
            <w:tcW w:w="1120" w:type="pct"/>
            <w:tcBorders>
              <w:top w:val="single" w:sz="4" w:space="0" w:color="auto"/>
              <w:bottom w:val="nil"/>
            </w:tcBorders>
            <w:shd w:val="clear" w:color="auto" w:fill="FFFFFF"/>
            <w:tcMar>
              <w:top w:w="110" w:type="dxa"/>
            </w:tcMar>
          </w:tcPr>
          <w:p w:rsidR="0095318C" w:rsidRPr="008A6189" w:rsidRDefault="0095318C" w:rsidP="00DC1333">
            <w:pPr>
              <w:rPr>
                <w:color w:val="00B0F0"/>
                <w:sz w:val="16"/>
                <w:szCs w:val="16"/>
                <w:lang w:val="es-ES_tradnl"/>
              </w:rPr>
            </w:pPr>
            <w:r w:rsidRPr="008A6189">
              <w:rPr>
                <w:b/>
                <w:sz w:val="16"/>
                <w:szCs w:val="16"/>
                <w:lang w:val="es-ES_tradnl"/>
              </w:rPr>
              <w:t>Datos sobre el rendimiento</w:t>
            </w:r>
          </w:p>
        </w:tc>
        <w:tc>
          <w:tcPr>
            <w:tcW w:w="672" w:type="pct"/>
            <w:tcBorders>
              <w:top w:val="single" w:sz="4" w:space="0" w:color="auto"/>
              <w:bottom w:val="nil"/>
            </w:tcBorders>
            <w:shd w:val="clear" w:color="auto" w:fill="auto"/>
            <w:tcMar>
              <w:top w:w="110" w:type="dxa"/>
            </w:tcMar>
          </w:tcPr>
          <w:p w:rsidR="0095318C" w:rsidRPr="008A6189" w:rsidRDefault="0095318C" w:rsidP="00DC1333">
            <w:pPr>
              <w:jc w:val="center"/>
              <w:rPr>
                <w:b/>
                <w:bCs/>
                <w:color w:val="00B0F0"/>
                <w:sz w:val="16"/>
                <w:szCs w:val="16"/>
                <w:lang w:val="es-ES_tradnl"/>
              </w:rPr>
            </w:pPr>
            <w:r w:rsidRPr="008A6189">
              <w:rPr>
                <w:b/>
                <w:sz w:val="16"/>
                <w:szCs w:val="16"/>
                <w:lang w:val="es-ES_tradnl"/>
              </w:rPr>
              <w:t>Clave de colores</w:t>
            </w:r>
          </w:p>
        </w:tc>
      </w:tr>
      <w:tr w:rsidR="0095318C" w:rsidRPr="008A6189" w:rsidTr="00DC1333">
        <w:trPr>
          <w:trHeight w:val="1754"/>
        </w:trPr>
        <w:tc>
          <w:tcPr>
            <w:tcW w:w="1043" w:type="pct"/>
            <w:tcBorders>
              <w:top w:val="nil"/>
              <w:bottom w:val="single" w:sz="4" w:space="0" w:color="auto"/>
            </w:tcBorders>
            <w:shd w:val="clear" w:color="auto" w:fill="auto"/>
          </w:tcPr>
          <w:p w:rsidR="0095318C" w:rsidRPr="008A6189" w:rsidRDefault="0095318C" w:rsidP="00DC1333">
            <w:pPr>
              <w:rPr>
                <w:sz w:val="16"/>
                <w:szCs w:val="16"/>
                <w:lang w:val="es-ES_tradnl"/>
              </w:rPr>
            </w:pPr>
            <w:r w:rsidRPr="008A6189">
              <w:rPr>
                <w:sz w:val="16"/>
                <w:szCs w:val="16"/>
                <w:lang w:val="es-ES_tradnl"/>
              </w:rPr>
              <w:t>Cartera revisada de cursos de formación en P.I. para los países en desarrollo, PMA y países con economías en transición/ Pertinencia del contenido de los cursos de formación para las necesidades de fortalecimiento de capacidades de los países en desarrollo, los PMA y los países con economías en transición</w:t>
            </w:r>
          </w:p>
        </w:tc>
        <w:tc>
          <w:tcPr>
            <w:tcW w:w="1418" w:type="pct"/>
            <w:tcBorders>
              <w:top w:val="nil"/>
              <w:bottom w:val="single" w:sz="4" w:space="0" w:color="auto"/>
            </w:tcBorders>
            <w:shd w:val="clear" w:color="auto" w:fill="auto"/>
          </w:tcPr>
          <w:p w:rsidR="0095318C" w:rsidRPr="008A6189" w:rsidRDefault="0095318C" w:rsidP="00DC1333">
            <w:pPr>
              <w:rPr>
                <w:sz w:val="16"/>
                <w:szCs w:val="16"/>
                <w:lang w:val="es-ES_tradnl"/>
              </w:rPr>
            </w:pPr>
            <w:r w:rsidRPr="008A6189">
              <w:rPr>
                <w:sz w:val="16"/>
                <w:szCs w:val="16"/>
                <w:lang w:val="es-ES_tradnl"/>
              </w:rPr>
              <w:t>No se ha revisado la cartera de manera global desde la creación de la Academia</w:t>
            </w:r>
          </w:p>
        </w:tc>
        <w:tc>
          <w:tcPr>
            <w:tcW w:w="746" w:type="pct"/>
            <w:tcBorders>
              <w:top w:val="nil"/>
              <w:bottom w:val="single" w:sz="4" w:space="0" w:color="auto"/>
            </w:tcBorders>
            <w:shd w:val="clear" w:color="auto" w:fill="auto"/>
            <w:tcMar>
              <w:top w:w="110" w:type="dxa"/>
            </w:tcMar>
          </w:tcPr>
          <w:p w:rsidR="0095318C" w:rsidRPr="008A6189" w:rsidRDefault="0095318C" w:rsidP="00DC1333">
            <w:pPr>
              <w:autoSpaceDE w:val="0"/>
              <w:autoSpaceDN w:val="0"/>
              <w:adjustRightInd w:val="0"/>
              <w:rPr>
                <w:sz w:val="16"/>
                <w:szCs w:val="16"/>
                <w:lang w:val="es-ES_tradnl"/>
              </w:rPr>
            </w:pPr>
            <w:r w:rsidRPr="008A6189">
              <w:rPr>
                <w:sz w:val="16"/>
                <w:szCs w:val="16"/>
                <w:lang w:val="es-ES_tradnl"/>
              </w:rPr>
              <w:t>Cartera revisada disponible a fines del bienio</w:t>
            </w:r>
          </w:p>
        </w:tc>
        <w:tc>
          <w:tcPr>
            <w:tcW w:w="1120" w:type="pct"/>
            <w:tcBorders>
              <w:top w:val="nil"/>
              <w:bottom w:val="single" w:sz="4" w:space="0" w:color="auto"/>
            </w:tcBorders>
            <w:shd w:val="clear" w:color="auto" w:fill="FFFFFF"/>
            <w:tcMar>
              <w:top w:w="110" w:type="dxa"/>
            </w:tcMar>
          </w:tcPr>
          <w:p w:rsidR="0095318C" w:rsidRPr="008A6189" w:rsidRDefault="0095318C" w:rsidP="00DC1333">
            <w:pPr>
              <w:rPr>
                <w:sz w:val="16"/>
                <w:szCs w:val="16"/>
                <w:lang w:val="es-ES_tradnl"/>
              </w:rPr>
            </w:pPr>
            <w:r w:rsidRPr="008A6189">
              <w:rPr>
                <w:sz w:val="16"/>
                <w:szCs w:val="16"/>
                <w:lang w:val="es-ES_tradnl"/>
              </w:rPr>
              <w:t>La revisión de la cartera de cursos de formación se complete en 2015.  La cartera de cursos de formación se revisó en base a los resultados de la encuesta de necesidades de formación realizada en 2015.</w:t>
            </w:r>
          </w:p>
          <w:p w:rsidR="0095318C" w:rsidRPr="008A6189" w:rsidRDefault="0095318C" w:rsidP="00DC1333">
            <w:pPr>
              <w:rPr>
                <w:sz w:val="16"/>
                <w:szCs w:val="16"/>
                <w:lang w:val="es-ES_tradnl"/>
              </w:rPr>
            </w:pPr>
          </w:p>
        </w:tc>
        <w:tc>
          <w:tcPr>
            <w:tcW w:w="672" w:type="pct"/>
            <w:tcBorders>
              <w:top w:val="nil"/>
              <w:bottom w:val="single" w:sz="4" w:space="0" w:color="auto"/>
            </w:tcBorders>
            <w:shd w:val="clear" w:color="auto" w:fill="auto"/>
            <w:tcMar>
              <w:top w:w="110" w:type="dxa"/>
            </w:tcMar>
          </w:tcPr>
          <w:p w:rsidR="0095318C" w:rsidRPr="008A6189" w:rsidRDefault="0095318C" w:rsidP="00DC1333">
            <w:pPr>
              <w:jc w:val="center"/>
              <w:rPr>
                <w:b/>
                <w:bCs/>
                <w:sz w:val="16"/>
                <w:szCs w:val="16"/>
                <w:lang w:val="es-ES_tradnl"/>
              </w:rPr>
            </w:pPr>
            <w:r w:rsidRPr="008A6189">
              <w:rPr>
                <w:b/>
                <w:bCs/>
                <w:color w:val="00B050"/>
                <w:sz w:val="16"/>
                <w:szCs w:val="16"/>
                <w:lang w:val="es-ES_tradnl"/>
              </w:rPr>
              <w:t>Plenamente logrado</w:t>
            </w:r>
          </w:p>
        </w:tc>
      </w:tr>
      <w:tr w:rsidR="0095318C" w:rsidRPr="008A6189" w:rsidTr="00DC1333">
        <w:trPr>
          <w:trHeight w:val="3909"/>
        </w:trPr>
        <w:tc>
          <w:tcPr>
            <w:tcW w:w="1043" w:type="pct"/>
            <w:tcBorders>
              <w:top w:val="single" w:sz="4" w:space="0" w:color="auto"/>
              <w:left w:val="single" w:sz="4" w:space="0" w:color="auto"/>
              <w:bottom w:val="nil"/>
            </w:tcBorders>
            <w:shd w:val="clear" w:color="auto" w:fill="auto"/>
          </w:tcPr>
          <w:p w:rsidR="0095318C" w:rsidRPr="008A6189" w:rsidRDefault="0095318C" w:rsidP="00DC1333">
            <w:pPr>
              <w:rPr>
                <w:sz w:val="16"/>
                <w:szCs w:val="16"/>
                <w:lang w:val="es-ES_tradnl"/>
              </w:rPr>
            </w:pPr>
            <w:r w:rsidRPr="008A6189">
              <w:rPr>
                <w:sz w:val="16"/>
                <w:szCs w:val="16"/>
                <w:lang w:val="es-ES_tradnl"/>
              </w:rPr>
              <w:t>Acceso ampliado y plurilingüe a la enseñanza a distancia de diversos aspectos de la P.I. para los países en desarrollo, los PMA y los países con economías en transición / Pertinencia del contenido de la cartera de cursos de enseñanza a distancia para las necesidades de fortalecimiento de capacidades de los países en desarrollo, los PMA y los países con economías en transición</w:t>
            </w:r>
          </w:p>
          <w:p w:rsidR="0095318C" w:rsidRPr="008A6189" w:rsidRDefault="0095318C" w:rsidP="00DC1333">
            <w:pPr>
              <w:rPr>
                <w:sz w:val="16"/>
                <w:szCs w:val="16"/>
                <w:lang w:val="es-ES_tradnl"/>
              </w:rPr>
            </w:pPr>
          </w:p>
          <w:p w:rsidR="0095318C" w:rsidRPr="008A6189" w:rsidRDefault="0095318C" w:rsidP="00DC1333">
            <w:pPr>
              <w:rPr>
                <w:sz w:val="16"/>
                <w:szCs w:val="16"/>
                <w:lang w:val="es-ES_tradnl"/>
              </w:rPr>
            </w:pPr>
          </w:p>
          <w:p w:rsidR="0095318C" w:rsidRPr="008A6189" w:rsidRDefault="0095318C" w:rsidP="00DC1333">
            <w:pPr>
              <w:rPr>
                <w:sz w:val="16"/>
                <w:szCs w:val="16"/>
                <w:lang w:val="es-ES_tradnl"/>
              </w:rPr>
            </w:pPr>
          </w:p>
          <w:p w:rsidR="0095318C" w:rsidRPr="008A6189" w:rsidRDefault="0095318C" w:rsidP="00DC1333">
            <w:pPr>
              <w:rPr>
                <w:sz w:val="16"/>
                <w:szCs w:val="16"/>
                <w:lang w:val="es-ES_tradnl"/>
              </w:rPr>
            </w:pPr>
          </w:p>
          <w:p w:rsidR="0095318C" w:rsidRPr="008A6189" w:rsidRDefault="0095318C" w:rsidP="00DC1333">
            <w:pPr>
              <w:rPr>
                <w:sz w:val="16"/>
                <w:szCs w:val="16"/>
                <w:lang w:val="es-ES_tradnl"/>
              </w:rPr>
            </w:pPr>
          </w:p>
          <w:p w:rsidR="0095318C" w:rsidRPr="008A6189" w:rsidRDefault="0095318C" w:rsidP="00DC1333">
            <w:pPr>
              <w:rPr>
                <w:sz w:val="16"/>
                <w:szCs w:val="16"/>
                <w:lang w:val="es-ES_tradnl"/>
              </w:rPr>
            </w:pPr>
          </w:p>
          <w:p w:rsidR="0095318C" w:rsidRPr="008A6189" w:rsidRDefault="0095318C" w:rsidP="00DC1333">
            <w:pPr>
              <w:rPr>
                <w:sz w:val="16"/>
                <w:szCs w:val="16"/>
                <w:lang w:val="es-ES_tradnl"/>
              </w:rPr>
            </w:pPr>
          </w:p>
          <w:p w:rsidR="0095318C" w:rsidRPr="008A6189" w:rsidRDefault="0095318C" w:rsidP="00DC1333">
            <w:pPr>
              <w:rPr>
                <w:sz w:val="16"/>
                <w:szCs w:val="16"/>
                <w:lang w:val="es-ES_tradnl"/>
              </w:rPr>
            </w:pPr>
          </w:p>
          <w:p w:rsidR="0095318C" w:rsidRPr="008A6189" w:rsidRDefault="0095318C" w:rsidP="00DC1333">
            <w:pPr>
              <w:rPr>
                <w:sz w:val="16"/>
                <w:szCs w:val="16"/>
                <w:lang w:val="es-ES_tradnl"/>
              </w:rPr>
            </w:pPr>
          </w:p>
          <w:p w:rsidR="0095318C" w:rsidRPr="008A6189" w:rsidRDefault="0095318C" w:rsidP="00DC1333">
            <w:pPr>
              <w:rPr>
                <w:sz w:val="16"/>
                <w:szCs w:val="16"/>
                <w:lang w:val="es-ES_tradnl"/>
              </w:rPr>
            </w:pPr>
          </w:p>
          <w:p w:rsidR="0095318C" w:rsidRPr="008A6189" w:rsidRDefault="0095318C" w:rsidP="00DC1333">
            <w:pPr>
              <w:rPr>
                <w:sz w:val="16"/>
                <w:szCs w:val="16"/>
                <w:lang w:val="es-ES_tradnl"/>
              </w:rPr>
            </w:pPr>
          </w:p>
          <w:p w:rsidR="0095318C" w:rsidRPr="008A6189" w:rsidRDefault="0095318C" w:rsidP="00DC1333">
            <w:pPr>
              <w:rPr>
                <w:sz w:val="16"/>
                <w:szCs w:val="16"/>
                <w:lang w:val="es-ES_tradnl"/>
              </w:rPr>
            </w:pPr>
          </w:p>
          <w:p w:rsidR="0095318C" w:rsidRPr="008A6189" w:rsidRDefault="0095318C" w:rsidP="00DC1333">
            <w:pPr>
              <w:rPr>
                <w:sz w:val="16"/>
                <w:szCs w:val="16"/>
                <w:lang w:val="es-ES_tradnl"/>
              </w:rPr>
            </w:pPr>
          </w:p>
        </w:tc>
        <w:tc>
          <w:tcPr>
            <w:tcW w:w="1418" w:type="pct"/>
            <w:tcBorders>
              <w:top w:val="single" w:sz="4" w:space="0" w:color="auto"/>
              <w:bottom w:val="nil"/>
            </w:tcBorders>
            <w:shd w:val="clear" w:color="auto" w:fill="auto"/>
          </w:tcPr>
          <w:p w:rsidR="0095318C" w:rsidRPr="008A6189" w:rsidRDefault="0095318C" w:rsidP="00DC1333">
            <w:pPr>
              <w:rPr>
                <w:i/>
                <w:color w:val="002060"/>
                <w:sz w:val="16"/>
                <w:szCs w:val="16"/>
                <w:lang w:val="es-ES_tradnl"/>
              </w:rPr>
            </w:pPr>
            <w:r w:rsidRPr="008A6189">
              <w:rPr>
                <w:i/>
                <w:color w:val="002060"/>
                <w:sz w:val="16"/>
                <w:szCs w:val="16"/>
                <w:lang w:val="es-ES_tradnl"/>
              </w:rPr>
              <w:t xml:space="preserve">Referencia actualizada a fines de 2013:  </w:t>
            </w:r>
          </w:p>
          <w:p w:rsidR="0095318C" w:rsidRPr="008A6189" w:rsidRDefault="0095318C" w:rsidP="00DC1333">
            <w:pPr>
              <w:rPr>
                <w:color w:val="002060"/>
                <w:sz w:val="16"/>
                <w:szCs w:val="16"/>
                <w:lang w:val="es-ES_tradnl"/>
              </w:rPr>
            </w:pPr>
            <w:r w:rsidRPr="008A6189">
              <w:rPr>
                <w:color w:val="002060"/>
                <w:sz w:val="16"/>
                <w:szCs w:val="16"/>
                <w:lang w:val="es-ES_tradnl"/>
              </w:rPr>
              <w:t>En 2013:</w:t>
            </w:r>
          </w:p>
          <w:p w:rsidR="0095318C" w:rsidRPr="008A6189" w:rsidRDefault="0095318C" w:rsidP="0095318C">
            <w:pPr>
              <w:pStyle w:val="ListParagraph"/>
              <w:numPr>
                <w:ilvl w:val="0"/>
                <w:numId w:val="58"/>
              </w:numPr>
              <w:ind w:left="175" w:hanging="175"/>
              <w:rPr>
                <w:rFonts w:cs="Arial"/>
                <w:color w:val="002060"/>
                <w:sz w:val="16"/>
                <w:szCs w:val="16"/>
                <w:lang w:val="es-ES_tradnl"/>
              </w:rPr>
            </w:pPr>
            <w:r w:rsidRPr="008A6189">
              <w:rPr>
                <w:rFonts w:cs="Arial"/>
                <w:color w:val="002060"/>
                <w:sz w:val="16"/>
                <w:szCs w:val="16"/>
                <w:lang w:val="es-ES_tradnl"/>
              </w:rPr>
              <w:t>5 cursos de enseñanza a distancia disponibles en los 6 idiomas de las NN.UU. y en portugués;</w:t>
            </w:r>
          </w:p>
          <w:p w:rsidR="0095318C" w:rsidRPr="008A6189" w:rsidRDefault="0095318C" w:rsidP="0095318C">
            <w:pPr>
              <w:pStyle w:val="ListParagraph"/>
              <w:numPr>
                <w:ilvl w:val="0"/>
                <w:numId w:val="58"/>
              </w:numPr>
              <w:ind w:left="175" w:hanging="175"/>
              <w:rPr>
                <w:rFonts w:cs="Arial"/>
                <w:color w:val="002060"/>
                <w:sz w:val="16"/>
                <w:szCs w:val="16"/>
                <w:lang w:val="es-ES_tradnl"/>
              </w:rPr>
            </w:pPr>
            <w:r w:rsidRPr="008A6189">
              <w:rPr>
                <w:rFonts w:cs="Arial"/>
                <w:color w:val="002060"/>
                <w:sz w:val="16"/>
                <w:szCs w:val="16"/>
                <w:lang w:val="es-ES_tradnl"/>
              </w:rPr>
              <w:t>2 cursos de enseñanza a distancia disponibles en 5 idiomas de las NN.UU. y en portugués;</w:t>
            </w:r>
          </w:p>
          <w:p w:rsidR="0095318C" w:rsidRPr="008A6189" w:rsidRDefault="0095318C" w:rsidP="0095318C">
            <w:pPr>
              <w:pStyle w:val="ListParagraph"/>
              <w:numPr>
                <w:ilvl w:val="0"/>
                <w:numId w:val="58"/>
              </w:numPr>
              <w:ind w:left="175" w:hanging="175"/>
              <w:rPr>
                <w:rFonts w:cs="Arial"/>
                <w:color w:val="002060"/>
                <w:sz w:val="16"/>
                <w:szCs w:val="16"/>
                <w:lang w:val="es-ES_tradnl"/>
              </w:rPr>
            </w:pPr>
            <w:r w:rsidRPr="008A6189">
              <w:rPr>
                <w:rFonts w:cs="Arial"/>
                <w:color w:val="002060"/>
                <w:sz w:val="16"/>
                <w:szCs w:val="16"/>
                <w:lang w:val="es-ES_tradnl"/>
              </w:rPr>
              <w:t xml:space="preserve">1 curso disponible en 4 idiomas de las NN.UU. y en portugués;  </w:t>
            </w:r>
          </w:p>
          <w:p w:rsidR="0095318C" w:rsidRPr="008A6189" w:rsidRDefault="0095318C" w:rsidP="0095318C">
            <w:pPr>
              <w:pStyle w:val="ListParagraph"/>
              <w:numPr>
                <w:ilvl w:val="0"/>
                <w:numId w:val="58"/>
              </w:numPr>
              <w:ind w:left="175" w:hanging="175"/>
              <w:rPr>
                <w:rFonts w:cs="Arial"/>
                <w:color w:val="002060"/>
                <w:sz w:val="16"/>
                <w:szCs w:val="16"/>
                <w:lang w:val="es-ES_tradnl"/>
              </w:rPr>
            </w:pPr>
            <w:r w:rsidRPr="008A6189">
              <w:rPr>
                <w:rFonts w:cs="Arial"/>
                <w:color w:val="002060"/>
                <w:sz w:val="16"/>
                <w:szCs w:val="16"/>
                <w:lang w:val="es-ES_tradnl"/>
              </w:rPr>
              <w:t>4 cursos de enseñanza a distancia disponibles únicamente en inglés</w:t>
            </w:r>
          </w:p>
          <w:p w:rsidR="0095318C" w:rsidRPr="008A6189" w:rsidRDefault="0095318C" w:rsidP="00DC1333">
            <w:pPr>
              <w:rPr>
                <w:sz w:val="16"/>
                <w:szCs w:val="16"/>
                <w:lang w:val="es-ES_tradnl" w:bidi="th-TH"/>
              </w:rPr>
            </w:pPr>
          </w:p>
          <w:p w:rsidR="0095318C" w:rsidRPr="008A6189" w:rsidRDefault="0095318C" w:rsidP="00DC1333">
            <w:pPr>
              <w:rPr>
                <w:sz w:val="16"/>
                <w:szCs w:val="16"/>
                <w:lang w:val="es-ES_tradnl" w:bidi="th-TH"/>
              </w:rPr>
            </w:pPr>
            <w:r w:rsidRPr="008A6189">
              <w:rPr>
                <w:sz w:val="16"/>
                <w:szCs w:val="16"/>
                <w:lang w:val="es-ES_tradnl" w:bidi="th-TH"/>
              </w:rPr>
              <w:t>El 70% de los participantes e</w:t>
            </w:r>
            <w:r w:rsidRPr="008A6189">
              <w:rPr>
                <w:sz w:val="16"/>
                <w:szCs w:val="16"/>
                <w:lang w:val="es-ES_tradnl"/>
              </w:rPr>
              <w:t xml:space="preserve">n los cursos de nivel avanzado indicó que su rendimiento </w:t>
            </w:r>
            <w:r w:rsidRPr="008A6189">
              <w:rPr>
                <w:sz w:val="16"/>
                <w:szCs w:val="16"/>
                <w:lang w:val="es-ES_tradnl" w:bidi="th-TH"/>
              </w:rPr>
              <w:t>profesional y/o académico mejoró como consecuencia de la participación en el curso de enseñanza a distancia.</w:t>
            </w:r>
          </w:p>
          <w:p w:rsidR="0095318C" w:rsidRPr="008A6189" w:rsidRDefault="0095318C" w:rsidP="00DC1333">
            <w:pPr>
              <w:rPr>
                <w:i/>
                <w:color w:val="002060"/>
                <w:sz w:val="16"/>
                <w:szCs w:val="16"/>
                <w:lang w:val="es-ES_tradnl"/>
              </w:rPr>
            </w:pPr>
            <w:r w:rsidRPr="008A6189">
              <w:rPr>
                <w:i/>
                <w:sz w:val="16"/>
                <w:szCs w:val="16"/>
                <w:lang w:val="es-ES_tradnl" w:bidi="th-TH"/>
              </w:rPr>
              <w:t xml:space="preserve">Referencia original en el presupuesto de 2014-15:  </w:t>
            </w:r>
            <w:r w:rsidRPr="008A6189">
              <w:rPr>
                <w:sz w:val="16"/>
                <w:szCs w:val="16"/>
                <w:lang w:val="es-ES_tradnl"/>
              </w:rPr>
              <w:t>No todos los cursos están disponibles en todos los idiomas;  el personal de la Academia es el único encargado de revisar el contenido de los cursos de manera ocasional</w:t>
            </w:r>
          </w:p>
        </w:tc>
        <w:tc>
          <w:tcPr>
            <w:tcW w:w="746" w:type="pct"/>
            <w:tcBorders>
              <w:top w:val="single" w:sz="4" w:space="0" w:color="auto"/>
              <w:bottom w:val="nil"/>
            </w:tcBorders>
            <w:shd w:val="clear" w:color="auto" w:fill="auto"/>
            <w:tcMar>
              <w:top w:w="110" w:type="dxa"/>
            </w:tcMar>
          </w:tcPr>
          <w:p w:rsidR="0095318C" w:rsidRPr="008A6189" w:rsidRDefault="0095318C" w:rsidP="00DC1333">
            <w:pPr>
              <w:autoSpaceDE w:val="0"/>
              <w:autoSpaceDN w:val="0"/>
              <w:adjustRightInd w:val="0"/>
              <w:rPr>
                <w:sz w:val="16"/>
                <w:szCs w:val="16"/>
                <w:lang w:val="es-ES_tradnl"/>
              </w:rPr>
            </w:pPr>
            <w:r w:rsidRPr="008A6189">
              <w:rPr>
                <w:sz w:val="16"/>
                <w:szCs w:val="16"/>
                <w:lang w:val="es-ES_tradnl"/>
              </w:rPr>
              <w:t>Todos los cursos disponibles en los idiomas de NN.UU.</w:t>
            </w:r>
          </w:p>
        </w:tc>
        <w:tc>
          <w:tcPr>
            <w:tcW w:w="1120" w:type="pct"/>
            <w:tcBorders>
              <w:top w:val="single" w:sz="4" w:space="0" w:color="auto"/>
              <w:bottom w:val="nil"/>
            </w:tcBorders>
            <w:shd w:val="clear" w:color="auto" w:fill="FFFFFF"/>
            <w:tcMar>
              <w:top w:w="110" w:type="dxa"/>
            </w:tcMar>
          </w:tcPr>
          <w:p w:rsidR="0095318C" w:rsidRPr="008A6189" w:rsidRDefault="0095318C" w:rsidP="00DC1333">
            <w:pPr>
              <w:rPr>
                <w:sz w:val="16"/>
                <w:szCs w:val="16"/>
                <w:lang w:val="es-ES_tradnl" w:bidi="th-TH"/>
              </w:rPr>
            </w:pPr>
            <w:r w:rsidRPr="008A6189">
              <w:rPr>
                <w:sz w:val="16"/>
                <w:szCs w:val="16"/>
                <w:lang w:val="es-ES_tradnl" w:bidi="th-TH"/>
              </w:rPr>
              <w:t>En 2014-15:</w:t>
            </w:r>
          </w:p>
          <w:p w:rsidR="0095318C" w:rsidRPr="008A6189" w:rsidRDefault="0095318C" w:rsidP="00DC1333">
            <w:pPr>
              <w:rPr>
                <w:sz w:val="16"/>
                <w:szCs w:val="16"/>
                <w:lang w:val="es-ES_tradnl" w:bidi="th-TH"/>
              </w:rPr>
            </w:pPr>
          </w:p>
          <w:p w:rsidR="0095318C" w:rsidRPr="008A6189" w:rsidRDefault="0095318C" w:rsidP="0095318C">
            <w:pPr>
              <w:pStyle w:val="ListParagraph"/>
              <w:numPr>
                <w:ilvl w:val="0"/>
                <w:numId w:val="65"/>
              </w:numPr>
              <w:ind w:left="176" w:hanging="176"/>
              <w:rPr>
                <w:rFonts w:cs="Arial"/>
                <w:sz w:val="16"/>
                <w:szCs w:val="16"/>
                <w:lang w:val="es-ES_tradnl" w:bidi="th-TH"/>
              </w:rPr>
            </w:pPr>
            <w:r w:rsidRPr="008A6189">
              <w:rPr>
                <w:rFonts w:cs="Arial"/>
                <w:sz w:val="16"/>
                <w:szCs w:val="16"/>
                <w:lang w:val="es-ES_tradnl" w:bidi="th-TH"/>
              </w:rPr>
              <w:t>11 cursos de enseñanza a distancia disponibles en los 6 idiomas de las NN.UU. y en portugués,</w:t>
            </w:r>
          </w:p>
          <w:p w:rsidR="0095318C" w:rsidRPr="008A6189" w:rsidRDefault="0095318C" w:rsidP="00DC1333">
            <w:pPr>
              <w:ind w:left="111" w:hanging="111"/>
              <w:rPr>
                <w:sz w:val="16"/>
                <w:szCs w:val="16"/>
                <w:lang w:val="es-ES_tradnl" w:bidi="th-TH"/>
              </w:rPr>
            </w:pPr>
          </w:p>
          <w:p w:rsidR="0095318C" w:rsidRPr="008A6189" w:rsidRDefault="0095318C" w:rsidP="00DC1333">
            <w:pPr>
              <w:ind w:left="111" w:hanging="111"/>
              <w:rPr>
                <w:sz w:val="16"/>
                <w:szCs w:val="16"/>
                <w:lang w:val="es-ES_tradnl" w:bidi="th-TH"/>
              </w:rPr>
            </w:pPr>
          </w:p>
          <w:p w:rsidR="0095318C" w:rsidRPr="008A6189" w:rsidRDefault="0095318C" w:rsidP="00DC1333">
            <w:pPr>
              <w:ind w:left="111" w:hanging="111"/>
              <w:rPr>
                <w:sz w:val="16"/>
                <w:szCs w:val="16"/>
                <w:lang w:val="es-ES_tradnl" w:bidi="th-TH"/>
              </w:rPr>
            </w:pPr>
          </w:p>
          <w:p w:rsidR="0095318C" w:rsidRPr="008A6189" w:rsidRDefault="0095318C" w:rsidP="0095318C">
            <w:pPr>
              <w:pStyle w:val="ListParagraph"/>
              <w:numPr>
                <w:ilvl w:val="0"/>
                <w:numId w:val="60"/>
              </w:numPr>
              <w:ind w:left="111" w:hanging="111"/>
              <w:rPr>
                <w:rFonts w:cs="Arial"/>
                <w:sz w:val="16"/>
                <w:szCs w:val="16"/>
                <w:lang w:val="es-ES_tradnl" w:bidi="th-TH"/>
              </w:rPr>
            </w:pPr>
            <w:r w:rsidRPr="008A6189">
              <w:rPr>
                <w:rFonts w:cs="Arial"/>
                <w:sz w:val="16"/>
                <w:szCs w:val="16"/>
                <w:lang w:val="es-ES_tradnl" w:bidi="th-TH"/>
              </w:rPr>
              <w:t>1 curso disponible en 3 idiomas de las NN.UU</w:t>
            </w:r>
            <w:r w:rsidRPr="008A6189">
              <w:rPr>
                <w:rStyle w:val="FootnoteReference"/>
                <w:rFonts w:cs="Arial"/>
                <w:sz w:val="16"/>
                <w:szCs w:val="16"/>
                <w:lang w:val="es-ES_tradnl" w:bidi="th-TH"/>
              </w:rPr>
              <w:t xml:space="preserve"> </w:t>
            </w:r>
            <w:r w:rsidRPr="008A6189">
              <w:rPr>
                <w:rStyle w:val="FootnoteReference"/>
                <w:rFonts w:cs="Arial"/>
                <w:sz w:val="16"/>
                <w:szCs w:val="16"/>
                <w:lang w:val="es-ES_tradnl" w:bidi="th-TH"/>
              </w:rPr>
              <w:footnoteReference w:id="79"/>
            </w:r>
          </w:p>
          <w:p w:rsidR="0095318C" w:rsidRPr="008A6189" w:rsidRDefault="0095318C" w:rsidP="00DC1333">
            <w:pPr>
              <w:rPr>
                <w:sz w:val="16"/>
                <w:szCs w:val="16"/>
                <w:lang w:val="es-ES_tradnl" w:bidi="th-TH"/>
              </w:rPr>
            </w:pPr>
          </w:p>
          <w:p w:rsidR="0095318C" w:rsidRPr="008A6189" w:rsidRDefault="0095318C" w:rsidP="00DC1333">
            <w:pPr>
              <w:rPr>
                <w:sz w:val="16"/>
                <w:szCs w:val="16"/>
                <w:lang w:val="es-ES_tradnl" w:bidi="th-TH"/>
              </w:rPr>
            </w:pPr>
          </w:p>
          <w:p w:rsidR="0095318C" w:rsidRPr="008A6189" w:rsidRDefault="0095318C" w:rsidP="00DC1333">
            <w:pPr>
              <w:rPr>
                <w:sz w:val="16"/>
                <w:szCs w:val="16"/>
                <w:lang w:val="es-ES_tradnl" w:bidi="th-TH"/>
              </w:rPr>
            </w:pPr>
          </w:p>
          <w:p w:rsidR="0095318C" w:rsidRPr="008A6189" w:rsidRDefault="0095318C" w:rsidP="00DC1333">
            <w:pPr>
              <w:rPr>
                <w:sz w:val="16"/>
                <w:szCs w:val="16"/>
                <w:lang w:val="es-ES_tradnl" w:bidi="th-TH"/>
              </w:rPr>
            </w:pPr>
            <w:r w:rsidRPr="008A6189">
              <w:rPr>
                <w:sz w:val="16"/>
                <w:szCs w:val="16"/>
                <w:lang w:val="es-ES_tradnl" w:bidi="th-TH"/>
              </w:rPr>
              <w:t>El 79% de los participantes en los cursos de nivel avanzado indicó que su rendimiento profesional y/o académico mejoró como consecuencia de la participación en el curso de enseñanza a distancia.</w:t>
            </w:r>
          </w:p>
          <w:p w:rsidR="0095318C" w:rsidRPr="008A6189" w:rsidRDefault="0095318C" w:rsidP="0095318C">
            <w:pPr>
              <w:pStyle w:val="ListParagraph"/>
              <w:numPr>
                <w:ilvl w:val="0"/>
                <w:numId w:val="62"/>
              </w:numPr>
              <w:rPr>
                <w:rFonts w:cs="Arial"/>
                <w:sz w:val="16"/>
                <w:szCs w:val="16"/>
                <w:lang w:val="es-ES_tradnl" w:bidi="th-TH"/>
              </w:rPr>
            </w:pPr>
            <w:r w:rsidRPr="008A6189">
              <w:rPr>
                <w:rFonts w:cs="Arial"/>
                <w:sz w:val="16"/>
                <w:szCs w:val="16"/>
                <w:lang w:val="es-ES_tradnl" w:bidi="th-TH"/>
              </w:rPr>
              <w:t>78% (2014)</w:t>
            </w:r>
          </w:p>
          <w:p w:rsidR="0095318C" w:rsidRPr="008A6189" w:rsidRDefault="0095318C" w:rsidP="0095318C">
            <w:pPr>
              <w:pStyle w:val="ListParagraph"/>
              <w:numPr>
                <w:ilvl w:val="0"/>
                <w:numId w:val="62"/>
              </w:numPr>
              <w:rPr>
                <w:rFonts w:cs="Arial"/>
                <w:sz w:val="16"/>
                <w:szCs w:val="16"/>
                <w:lang w:val="es-ES_tradnl" w:bidi="th-TH"/>
              </w:rPr>
            </w:pPr>
            <w:r w:rsidRPr="008A6189">
              <w:rPr>
                <w:rFonts w:cs="Arial"/>
                <w:sz w:val="16"/>
                <w:szCs w:val="16"/>
                <w:lang w:val="es-ES_tradnl" w:bidi="th-TH"/>
              </w:rPr>
              <w:t>81% (2015)</w:t>
            </w:r>
          </w:p>
        </w:tc>
        <w:tc>
          <w:tcPr>
            <w:tcW w:w="672" w:type="pct"/>
            <w:tcBorders>
              <w:top w:val="single" w:sz="4" w:space="0" w:color="auto"/>
              <w:bottom w:val="nil"/>
              <w:right w:val="single" w:sz="4" w:space="0" w:color="auto"/>
            </w:tcBorders>
            <w:shd w:val="clear" w:color="auto" w:fill="auto"/>
            <w:tcMar>
              <w:top w:w="110" w:type="dxa"/>
            </w:tcMar>
          </w:tcPr>
          <w:p w:rsidR="0095318C" w:rsidRPr="008A6189" w:rsidRDefault="0095318C" w:rsidP="00DC1333">
            <w:pPr>
              <w:jc w:val="center"/>
              <w:rPr>
                <w:b/>
                <w:bCs/>
                <w:color w:val="00B050"/>
                <w:sz w:val="16"/>
                <w:szCs w:val="16"/>
                <w:lang w:val="es-ES_tradnl"/>
              </w:rPr>
            </w:pPr>
            <w:r w:rsidRPr="008A6189">
              <w:rPr>
                <w:b/>
                <w:bCs/>
                <w:color w:val="00B050"/>
                <w:sz w:val="16"/>
                <w:szCs w:val="16"/>
                <w:lang w:val="es-ES_tradnl"/>
              </w:rPr>
              <w:t xml:space="preserve">Plenamente logrado </w:t>
            </w:r>
          </w:p>
          <w:p w:rsidR="0095318C" w:rsidRPr="008A6189" w:rsidRDefault="0095318C" w:rsidP="00DC1333">
            <w:pPr>
              <w:jc w:val="center"/>
              <w:rPr>
                <w:b/>
                <w:bCs/>
                <w:color w:val="00B050"/>
                <w:sz w:val="16"/>
                <w:szCs w:val="16"/>
              </w:rPr>
            </w:pPr>
          </w:p>
          <w:p w:rsidR="0095318C" w:rsidRPr="008A6189" w:rsidRDefault="0095318C" w:rsidP="00DC1333">
            <w:pPr>
              <w:jc w:val="center"/>
              <w:rPr>
                <w:b/>
                <w:bCs/>
                <w:color w:val="00B050"/>
                <w:sz w:val="16"/>
                <w:szCs w:val="16"/>
              </w:rPr>
            </w:pPr>
          </w:p>
          <w:p w:rsidR="0095318C" w:rsidRPr="008A6189" w:rsidRDefault="0095318C" w:rsidP="00DC1333">
            <w:pPr>
              <w:jc w:val="center"/>
              <w:rPr>
                <w:b/>
                <w:bCs/>
                <w:color w:val="00B050"/>
                <w:sz w:val="16"/>
                <w:szCs w:val="16"/>
              </w:rPr>
            </w:pPr>
          </w:p>
          <w:p w:rsidR="0095318C" w:rsidRPr="008A6189" w:rsidRDefault="0095318C" w:rsidP="00DC1333">
            <w:pPr>
              <w:jc w:val="center"/>
              <w:rPr>
                <w:b/>
                <w:bCs/>
                <w:color w:val="00B050"/>
                <w:sz w:val="16"/>
                <w:szCs w:val="16"/>
              </w:rPr>
            </w:pPr>
          </w:p>
          <w:p w:rsidR="0095318C" w:rsidRPr="008A6189" w:rsidRDefault="0095318C" w:rsidP="00DC1333">
            <w:pPr>
              <w:jc w:val="center"/>
              <w:rPr>
                <w:b/>
                <w:bCs/>
                <w:color w:val="00B050"/>
                <w:sz w:val="16"/>
                <w:szCs w:val="16"/>
              </w:rPr>
            </w:pPr>
          </w:p>
          <w:p w:rsidR="0095318C" w:rsidRPr="008A6189" w:rsidRDefault="0095318C" w:rsidP="00DC1333">
            <w:pPr>
              <w:jc w:val="center"/>
              <w:rPr>
                <w:b/>
                <w:bCs/>
                <w:color w:val="00B050"/>
                <w:sz w:val="16"/>
                <w:szCs w:val="16"/>
              </w:rPr>
            </w:pPr>
          </w:p>
          <w:p w:rsidR="0095318C" w:rsidRPr="008A6189" w:rsidRDefault="0095318C" w:rsidP="00DC1333">
            <w:pPr>
              <w:jc w:val="center"/>
              <w:rPr>
                <w:b/>
                <w:bCs/>
                <w:color w:val="00B050"/>
                <w:sz w:val="16"/>
                <w:szCs w:val="16"/>
              </w:rPr>
            </w:pPr>
          </w:p>
          <w:p w:rsidR="0095318C" w:rsidRPr="008A6189" w:rsidRDefault="0095318C" w:rsidP="00DC1333">
            <w:pPr>
              <w:jc w:val="center"/>
              <w:rPr>
                <w:b/>
                <w:bCs/>
                <w:color w:val="00B050"/>
                <w:sz w:val="16"/>
                <w:szCs w:val="16"/>
              </w:rPr>
            </w:pPr>
          </w:p>
          <w:p w:rsidR="0095318C" w:rsidRPr="008A6189" w:rsidRDefault="0095318C" w:rsidP="00DC1333">
            <w:pPr>
              <w:jc w:val="center"/>
              <w:rPr>
                <w:b/>
                <w:bCs/>
                <w:color w:val="00B050"/>
                <w:sz w:val="16"/>
                <w:szCs w:val="16"/>
              </w:rPr>
            </w:pPr>
          </w:p>
          <w:p w:rsidR="0095318C" w:rsidRPr="008A6189" w:rsidRDefault="0095318C" w:rsidP="00DC1333">
            <w:pPr>
              <w:jc w:val="center"/>
              <w:rPr>
                <w:b/>
                <w:bCs/>
                <w:color w:val="00B050"/>
                <w:sz w:val="16"/>
                <w:szCs w:val="16"/>
              </w:rPr>
            </w:pPr>
          </w:p>
          <w:p w:rsidR="0095318C" w:rsidRPr="008A6189" w:rsidRDefault="0095318C" w:rsidP="00DC1333">
            <w:pPr>
              <w:jc w:val="center"/>
              <w:rPr>
                <w:b/>
                <w:bCs/>
                <w:color w:val="00B050"/>
                <w:sz w:val="16"/>
                <w:szCs w:val="16"/>
              </w:rPr>
            </w:pPr>
          </w:p>
        </w:tc>
      </w:tr>
      <w:tr w:rsidR="0095318C" w:rsidRPr="008A6189" w:rsidTr="00DC1333">
        <w:tc>
          <w:tcPr>
            <w:tcW w:w="1043" w:type="pct"/>
            <w:tcBorders>
              <w:top w:val="nil"/>
              <w:left w:val="single" w:sz="4" w:space="0" w:color="auto"/>
              <w:bottom w:val="single" w:sz="4" w:space="0" w:color="auto"/>
            </w:tcBorders>
            <w:shd w:val="clear" w:color="auto" w:fill="auto"/>
          </w:tcPr>
          <w:p w:rsidR="0095318C" w:rsidRPr="008A6189" w:rsidRDefault="0095318C" w:rsidP="00DC1333">
            <w:pPr>
              <w:rPr>
                <w:sz w:val="16"/>
                <w:szCs w:val="16"/>
                <w:lang w:val="es-ES_tradnl"/>
              </w:rPr>
            </w:pPr>
            <w:r w:rsidRPr="008A6189">
              <w:rPr>
                <w:sz w:val="16"/>
                <w:szCs w:val="16"/>
                <w:lang w:val="es-ES_tradnl"/>
              </w:rPr>
              <w:t xml:space="preserve">Fomento del acceso a los estudios superiores </w:t>
            </w:r>
            <w:r w:rsidRPr="008A6189">
              <w:rPr>
                <w:sz w:val="16"/>
                <w:szCs w:val="16"/>
                <w:lang w:val="es-ES_tradnl"/>
              </w:rPr>
              <w:lastRenderedPageBreak/>
              <w:t>en P.I. para los países en desarrollo, los PMA y los países con economías en transición / número de universidades de países en desarrollo, PMA y países con economías en transición que ofrecen nuevos programas docentes de P.I.</w:t>
            </w:r>
          </w:p>
        </w:tc>
        <w:tc>
          <w:tcPr>
            <w:tcW w:w="1418" w:type="pct"/>
            <w:tcBorders>
              <w:top w:val="nil"/>
              <w:bottom w:val="single" w:sz="4" w:space="0" w:color="auto"/>
            </w:tcBorders>
            <w:shd w:val="clear" w:color="auto" w:fill="auto"/>
          </w:tcPr>
          <w:p w:rsidR="0095318C" w:rsidRPr="008A6189" w:rsidRDefault="0095318C" w:rsidP="00DC1333">
            <w:pPr>
              <w:rPr>
                <w:i/>
                <w:color w:val="002060"/>
                <w:sz w:val="16"/>
                <w:szCs w:val="16"/>
                <w:lang w:val="es-ES_tradnl"/>
              </w:rPr>
            </w:pPr>
            <w:r w:rsidRPr="008A6189">
              <w:rPr>
                <w:sz w:val="16"/>
                <w:szCs w:val="16"/>
                <w:lang w:val="es-ES_tradnl"/>
              </w:rPr>
              <w:lastRenderedPageBreak/>
              <w:t xml:space="preserve">La enseñanza universitaria de la P.I. está disponible únicamente en </w:t>
            </w:r>
            <w:r w:rsidRPr="008A6189">
              <w:rPr>
                <w:sz w:val="16"/>
                <w:szCs w:val="16"/>
                <w:lang w:val="es-ES_tradnl"/>
              </w:rPr>
              <w:lastRenderedPageBreak/>
              <w:t>un número limitado de países en desarrollo, PMA y países con economías en transición;  la OMPI ofrece un programa conjunto de máster en P.I. con siete universidades, dos de ellas en África y una en América Latina</w:t>
            </w:r>
          </w:p>
        </w:tc>
        <w:tc>
          <w:tcPr>
            <w:tcW w:w="746" w:type="pct"/>
            <w:tcBorders>
              <w:top w:val="nil"/>
              <w:bottom w:val="single" w:sz="4" w:space="0" w:color="auto"/>
            </w:tcBorders>
            <w:shd w:val="clear" w:color="auto" w:fill="auto"/>
            <w:tcMar>
              <w:top w:w="110" w:type="dxa"/>
            </w:tcMar>
          </w:tcPr>
          <w:p w:rsidR="0095318C" w:rsidRPr="008A6189" w:rsidRDefault="0095318C" w:rsidP="00DC1333">
            <w:pPr>
              <w:autoSpaceDE w:val="0"/>
              <w:autoSpaceDN w:val="0"/>
              <w:adjustRightInd w:val="0"/>
              <w:rPr>
                <w:sz w:val="16"/>
                <w:szCs w:val="16"/>
                <w:lang w:val="es-ES_tradnl"/>
              </w:rPr>
            </w:pPr>
            <w:r w:rsidRPr="008A6189">
              <w:rPr>
                <w:sz w:val="16"/>
                <w:szCs w:val="16"/>
                <w:lang w:val="es-ES_tradnl"/>
              </w:rPr>
              <w:lastRenderedPageBreak/>
              <w:t xml:space="preserve">Al final del bienio habrá </w:t>
            </w:r>
            <w:r w:rsidRPr="008A6189">
              <w:rPr>
                <w:sz w:val="16"/>
                <w:szCs w:val="16"/>
                <w:lang w:val="es-ES_tradnl"/>
              </w:rPr>
              <w:lastRenderedPageBreak/>
              <w:t>cinco universidades de países en desarrollo, PMA y países con economías en transición que ofrezcan nuevos programas docentes en P.I.</w:t>
            </w:r>
          </w:p>
        </w:tc>
        <w:tc>
          <w:tcPr>
            <w:tcW w:w="1120" w:type="pct"/>
            <w:tcBorders>
              <w:top w:val="nil"/>
              <w:bottom w:val="single" w:sz="4" w:space="0" w:color="auto"/>
            </w:tcBorders>
            <w:shd w:val="clear" w:color="auto" w:fill="FFFFFF"/>
            <w:tcMar>
              <w:top w:w="110" w:type="dxa"/>
            </w:tcMar>
          </w:tcPr>
          <w:p w:rsidR="0095318C" w:rsidRPr="008A6189" w:rsidRDefault="0095318C" w:rsidP="00DC1333">
            <w:pPr>
              <w:rPr>
                <w:sz w:val="16"/>
                <w:szCs w:val="16"/>
                <w:lang w:val="es-ES_tradnl" w:bidi="th-TH"/>
              </w:rPr>
            </w:pPr>
            <w:r w:rsidRPr="008A6189">
              <w:rPr>
                <w:sz w:val="16"/>
                <w:szCs w:val="16"/>
                <w:lang w:val="es-ES_tradnl" w:bidi="th-TH"/>
              </w:rPr>
              <w:lastRenderedPageBreak/>
              <w:t xml:space="preserve">A finales de 2015, se ofrecían tres nuevos </w:t>
            </w:r>
            <w:r w:rsidRPr="008A6189">
              <w:rPr>
                <w:sz w:val="16"/>
                <w:szCs w:val="16"/>
                <w:lang w:val="es-ES_tradnl" w:bidi="th-TH"/>
              </w:rPr>
              <w:lastRenderedPageBreak/>
              <w:t xml:space="preserve">programas de enseñanza de la P.I.:  uno en el </w:t>
            </w:r>
            <w:r w:rsidRPr="008A6189">
              <w:rPr>
                <w:i/>
                <w:sz w:val="16"/>
                <w:szCs w:val="16"/>
                <w:lang w:val="es-ES_tradnl" w:bidi="th-TH"/>
              </w:rPr>
              <w:t xml:space="preserve">Bangladesh </w:t>
            </w:r>
            <w:proofErr w:type="spellStart"/>
            <w:r w:rsidRPr="008A6189">
              <w:rPr>
                <w:i/>
                <w:sz w:val="16"/>
                <w:szCs w:val="16"/>
                <w:lang w:val="es-ES_tradnl" w:bidi="th-TH"/>
              </w:rPr>
              <w:t>Institute</w:t>
            </w:r>
            <w:proofErr w:type="spellEnd"/>
            <w:r w:rsidRPr="008A6189">
              <w:rPr>
                <w:i/>
                <w:sz w:val="16"/>
                <w:szCs w:val="16"/>
                <w:lang w:val="es-ES_tradnl" w:bidi="th-TH"/>
              </w:rPr>
              <w:t xml:space="preserve"> of Management</w:t>
            </w:r>
            <w:r w:rsidRPr="008A6189">
              <w:rPr>
                <w:sz w:val="16"/>
                <w:szCs w:val="16"/>
                <w:lang w:val="es-ES_tradnl" w:bidi="th-TH"/>
              </w:rPr>
              <w:t xml:space="preserve"> y dos en la Universidad de África</w:t>
            </w:r>
          </w:p>
          <w:p w:rsidR="0095318C" w:rsidRPr="008A6189" w:rsidRDefault="0095318C" w:rsidP="00DC1333">
            <w:pPr>
              <w:rPr>
                <w:sz w:val="16"/>
                <w:szCs w:val="16"/>
                <w:lang w:val="es-ES_tradnl" w:bidi="th-TH"/>
              </w:rPr>
            </w:pPr>
          </w:p>
          <w:p w:rsidR="0095318C" w:rsidRPr="008A6189" w:rsidRDefault="0095318C" w:rsidP="00DC1333">
            <w:pPr>
              <w:rPr>
                <w:sz w:val="14"/>
                <w:szCs w:val="16"/>
                <w:lang w:val="es-ES_tradnl"/>
              </w:rPr>
            </w:pPr>
            <w:r w:rsidRPr="008A6189">
              <w:rPr>
                <w:sz w:val="16"/>
                <w:szCs w:val="16"/>
                <w:lang w:val="es-ES_tradnl" w:bidi="th-TH"/>
              </w:rPr>
              <w:t>Además, cinco universidades introdujeron mejoras en programas de enseñanza de la P.I.:</w:t>
            </w:r>
          </w:p>
          <w:p w:rsidR="0095318C" w:rsidRPr="008A6189" w:rsidRDefault="0095318C" w:rsidP="0095318C">
            <w:pPr>
              <w:pStyle w:val="ListParagraph"/>
              <w:numPr>
                <w:ilvl w:val="0"/>
                <w:numId w:val="64"/>
              </w:numPr>
              <w:rPr>
                <w:rFonts w:cs="Arial"/>
                <w:sz w:val="16"/>
                <w:szCs w:val="16"/>
                <w:lang w:val="es-ES_tradnl"/>
              </w:rPr>
            </w:pPr>
            <w:r w:rsidRPr="008A6189">
              <w:rPr>
                <w:rFonts w:cs="Arial"/>
                <w:sz w:val="16"/>
                <w:szCs w:val="16"/>
                <w:lang w:val="es-ES_tradnl"/>
              </w:rPr>
              <w:t>Universidad de Buenos Aires, en Argentina</w:t>
            </w:r>
          </w:p>
          <w:p w:rsidR="0095318C" w:rsidRPr="008A6189" w:rsidRDefault="0095318C" w:rsidP="0095318C">
            <w:pPr>
              <w:pStyle w:val="ListParagraph"/>
              <w:numPr>
                <w:ilvl w:val="0"/>
                <w:numId w:val="64"/>
              </w:numPr>
              <w:rPr>
                <w:rFonts w:cs="Arial"/>
                <w:sz w:val="16"/>
                <w:szCs w:val="16"/>
                <w:lang w:val="es-ES_tradnl"/>
              </w:rPr>
            </w:pPr>
            <w:r w:rsidRPr="008A6189">
              <w:rPr>
                <w:rFonts w:cs="Arial"/>
                <w:sz w:val="16"/>
                <w:szCs w:val="16"/>
                <w:lang w:val="es-ES_tradnl"/>
              </w:rPr>
              <w:t>Universidad Central de Venezuela</w:t>
            </w:r>
          </w:p>
          <w:p w:rsidR="0095318C" w:rsidRPr="008A6189" w:rsidRDefault="0095318C" w:rsidP="0095318C">
            <w:pPr>
              <w:pStyle w:val="ListParagraph"/>
              <w:numPr>
                <w:ilvl w:val="0"/>
                <w:numId w:val="64"/>
              </w:numPr>
              <w:rPr>
                <w:rFonts w:cs="Arial"/>
                <w:sz w:val="16"/>
                <w:szCs w:val="16"/>
                <w:lang w:val="es-ES_tradnl"/>
              </w:rPr>
            </w:pPr>
            <w:r w:rsidRPr="008A6189">
              <w:rPr>
                <w:rFonts w:cs="Arial"/>
                <w:sz w:val="16"/>
                <w:szCs w:val="16"/>
                <w:lang w:val="es-ES_tradnl"/>
              </w:rPr>
              <w:t>Universidad de Alicante, en España</w:t>
            </w:r>
          </w:p>
          <w:p w:rsidR="0095318C" w:rsidRPr="008A6189" w:rsidRDefault="0095318C" w:rsidP="0095318C">
            <w:pPr>
              <w:pStyle w:val="ListParagraph"/>
              <w:numPr>
                <w:ilvl w:val="0"/>
                <w:numId w:val="64"/>
              </w:numPr>
              <w:rPr>
                <w:rFonts w:cs="Arial"/>
                <w:sz w:val="16"/>
                <w:szCs w:val="16"/>
                <w:lang w:val="es-ES_tradnl"/>
              </w:rPr>
            </w:pPr>
            <w:r w:rsidRPr="008A6189">
              <w:rPr>
                <w:rFonts w:cs="Arial"/>
                <w:sz w:val="16"/>
                <w:szCs w:val="16"/>
                <w:lang w:val="es-ES_tradnl"/>
              </w:rPr>
              <w:t>2 universidades en Indonesia (</w:t>
            </w:r>
            <w:proofErr w:type="spellStart"/>
            <w:r w:rsidRPr="008A6189">
              <w:rPr>
                <w:rFonts w:cs="Arial"/>
                <w:i/>
                <w:sz w:val="16"/>
                <w:szCs w:val="16"/>
                <w:lang w:val="es-ES_tradnl"/>
              </w:rPr>
              <w:t>Universitas</w:t>
            </w:r>
            <w:proofErr w:type="spellEnd"/>
            <w:r w:rsidRPr="008A6189">
              <w:rPr>
                <w:rFonts w:cs="Arial"/>
                <w:i/>
                <w:sz w:val="16"/>
                <w:szCs w:val="16"/>
                <w:lang w:val="es-ES_tradnl"/>
              </w:rPr>
              <w:t xml:space="preserve"> </w:t>
            </w:r>
            <w:proofErr w:type="spellStart"/>
            <w:r w:rsidRPr="008A6189">
              <w:rPr>
                <w:rFonts w:cs="Arial"/>
                <w:i/>
                <w:sz w:val="16"/>
                <w:szCs w:val="16"/>
                <w:lang w:val="es-ES_tradnl"/>
              </w:rPr>
              <w:t>Padjadjaran</w:t>
            </w:r>
            <w:proofErr w:type="spellEnd"/>
            <w:r w:rsidRPr="008A6189">
              <w:rPr>
                <w:rFonts w:cs="Arial"/>
                <w:sz w:val="16"/>
                <w:szCs w:val="16"/>
                <w:lang w:val="es-ES_tradnl"/>
              </w:rPr>
              <w:t xml:space="preserve"> y la Universidad de Indonesia)</w:t>
            </w:r>
          </w:p>
          <w:p w:rsidR="0095318C" w:rsidRPr="008A6189" w:rsidRDefault="0095318C" w:rsidP="00DC1333">
            <w:pPr>
              <w:pStyle w:val="ListParagraph"/>
              <w:ind w:left="360"/>
              <w:rPr>
                <w:rFonts w:cs="Arial"/>
                <w:sz w:val="14"/>
                <w:szCs w:val="16"/>
                <w:lang w:val="es-ES_tradnl" w:bidi="th-TH"/>
              </w:rPr>
            </w:pPr>
          </w:p>
          <w:p w:rsidR="0095318C" w:rsidRPr="008A6189" w:rsidRDefault="0095318C" w:rsidP="00DC1333">
            <w:pPr>
              <w:rPr>
                <w:sz w:val="16"/>
                <w:szCs w:val="16"/>
                <w:lang w:val="es-ES_tradnl" w:bidi="th-TH"/>
              </w:rPr>
            </w:pPr>
            <w:r w:rsidRPr="008A6189">
              <w:rPr>
                <w:sz w:val="16"/>
                <w:szCs w:val="16"/>
                <w:lang w:val="es-ES_tradnl" w:bidi="th-TH"/>
              </w:rPr>
              <w:t>Dos universidad</w:t>
            </w:r>
            <w:r w:rsidR="00A85E4D">
              <w:rPr>
                <w:sz w:val="16"/>
                <w:szCs w:val="16"/>
                <w:lang w:val="es-ES_tradnl" w:bidi="th-TH"/>
              </w:rPr>
              <w:t>es</w:t>
            </w:r>
            <w:r w:rsidRPr="008A6189">
              <w:rPr>
                <w:sz w:val="16"/>
                <w:szCs w:val="16"/>
                <w:lang w:val="es-ES_tradnl" w:bidi="th-TH"/>
              </w:rPr>
              <w:t xml:space="preserve"> avanzaron o completaron el desarrollo de nuevos cursos programas de cara a 2016:</w:t>
            </w:r>
          </w:p>
          <w:p w:rsidR="0095318C" w:rsidRPr="008A6189" w:rsidRDefault="0095318C" w:rsidP="0095318C">
            <w:pPr>
              <w:pStyle w:val="ListParagraph"/>
              <w:numPr>
                <w:ilvl w:val="0"/>
                <w:numId w:val="63"/>
              </w:numPr>
              <w:rPr>
                <w:rFonts w:cs="Arial"/>
                <w:sz w:val="16"/>
                <w:szCs w:val="16"/>
                <w:lang w:val="es-ES_tradnl"/>
              </w:rPr>
            </w:pPr>
            <w:proofErr w:type="spellStart"/>
            <w:r w:rsidRPr="008A6189">
              <w:rPr>
                <w:rFonts w:cs="Arial"/>
                <w:i/>
                <w:sz w:val="16"/>
                <w:szCs w:val="16"/>
                <w:lang w:val="es-ES_tradnl" w:bidi="th-TH"/>
              </w:rPr>
              <w:t>University</w:t>
            </w:r>
            <w:proofErr w:type="spellEnd"/>
            <w:r w:rsidRPr="008A6189">
              <w:rPr>
                <w:rFonts w:cs="Arial"/>
                <w:i/>
                <w:sz w:val="16"/>
                <w:szCs w:val="16"/>
                <w:lang w:val="es-ES_tradnl" w:bidi="th-TH"/>
              </w:rPr>
              <w:t xml:space="preserve"> of West </w:t>
            </w:r>
            <w:proofErr w:type="spellStart"/>
            <w:r w:rsidRPr="008A6189">
              <w:rPr>
                <w:rFonts w:cs="Arial"/>
                <w:i/>
                <w:sz w:val="16"/>
                <w:szCs w:val="16"/>
                <w:lang w:val="es-ES_tradnl" w:bidi="th-TH"/>
              </w:rPr>
              <w:t>Indies</w:t>
            </w:r>
            <w:proofErr w:type="spellEnd"/>
            <w:r w:rsidRPr="008A6189">
              <w:rPr>
                <w:rFonts w:cs="Arial"/>
                <w:sz w:val="16"/>
                <w:szCs w:val="16"/>
                <w:lang w:val="es-ES_tradnl" w:bidi="th-TH"/>
              </w:rPr>
              <w:t>, Mona Campus, en Jamaica (nuevo máster en propiedad intelectual e industrias creativas y culturales)</w:t>
            </w:r>
          </w:p>
        </w:tc>
        <w:tc>
          <w:tcPr>
            <w:tcW w:w="672" w:type="pct"/>
            <w:tcBorders>
              <w:top w:val="nil"/>
              <w:bottom w:val="single" w:sz="4" w:space="0" w:color="auto"/>
              <w:right w:val="single" w:sz="4" w:space="0" w:color="auto"/>
            </w:tcBorders>
            <w:shd w:val="clear" w:color="auto" w:fill="auto"/>
            <w:tcMar>
              <w:top w:w="110" w:type="dxa"/>
            </w:tcMar>
          </w:tcPr>
          <w:p w:rsidR="0095318C" w:rsidRPr="008A6189" w:rsidRDefault="0095318C" w:rsidP="00DC1333">
            <w:pPr>
              <w:jc w:val="center"/>
              <w:rPr>
                <w:b/>
                <w:bCs/>
                <w:color w:val="00B050"/>
                <w:sz w:val="16"/>
                <w:szCs w:val="16"/>
              </w:rPr>
            </w:pPr>
            <w:r w:rsidRPr="008A6189">
              <w:rPr>
                <w:b/>
                <w:bCs/>
                <w:color w:val="F79646" w:themeColor="accent6"/>
                <w:sz w:val="16"/>
                <w:szCs w:val="16"/>
              </w:rPr>
              <w:lastRenderedPageBreak/>
              <w:t>Parcialmente logrado</w:t>
            </w:r>
            <w:r w:rsidRPr="008A6189">
              <w:rPr>
                <w:b/>
                <w:color w:val="F79646" w:themeColor="accent6"/>
                <w:sz w:val="16"/>
              </w:rPr>
              <w:t xml:space="preserve"> </w:t>
            </w:r>
            <w:r w:rsidRPr="008A6189">
              <w:rPr>
                <w:b/>
                <w:bCs/>
                <w:color w:val="F79646" w:themeColor="accent6"/>
                <w:sz w:val="16"/>
                <w:szCs w:val="16"/>
              </w:rPr>
              <w:t xml:space="preserve"> </w:t>
            </w:r>
          </w:p>
        </w:tc>
      </w:tr>
      <w:tr w:rsidR="0095318C" w:rsidRPr="002779F3" w:rsidTr="00DC1333">
        <w:tc>
          <w:tcPr>
            <w:tcW w:w="1043" w:type="pct"/>
            <w:tcBorders>
              <w:top w:val="single" w:sz="4" w:space="0" w:color="auto"/>
              <w:left w:val="single" w:sz="4" w:space="0" w:color="auto"/>
              <w:bottom w:val="nil"/>
            </w:tcBorders>
            <w:shd w:val="clear" w:color="auto" w:fill="auto"/>
          </w:tcPr>
          <w:p w:rsidR="0095318C" w:rsidRPr="008A6189" w:rsidRDefault="0095318C" w:rsidP="00DC1333">
            <w:pPr>
              <w:rPr>
                <w:sz w:val="16"/>
                <w:szCs w:val="16"/>
                <w:lang w:val="es-ES_tradnl"/>
              </w:rPr>
            </w:pPr>
          </w:p>
        </w:tc>
        <w:tc>
          <w:tcPr>
            <w:tcW w:w="1418" w:type="pct"/>
            <w:tcBorders>
              <w:top w:val="single" w:sz="4" w:space="0" w:color="auto"/>
              <w:bottom w:val="nil"/>
            </w:tcBorders>
            <w:shd w:val="clear" w:color="auto" w:fill="auto"/>
          </w:tcPr>
          <w:p w:rsidR="0095318C" w:rsidRPr="008A6189" w:rsidRDefault="0095318C" w:rsidP="00DC1333">
            <w:pPr>
              <w:rPr>
                <w:i/>
                <w:color w:val="002060"/>
                <w:sz w:val="16"/>
                <w:szCs w:val="16"/>
                <w:lang w:val="es-ES_tradnl"/>
              </w:rPr>
            </w:pPr>
          </w:p>
        </w:tc>
        <w:tc>
          <w:tcPr>
            <w:tcW w:w="746" w:type="pct"/>
            <w:tcBorders>
              <w:top w:val="single" w:sz="4" w:space="0" w:color="auto"/>
              <w:bottom w:val="nil"/>
            </w:tcBorders>
            <w:shd w:val="clear" w:color="auto" w:fill="auto"/>
            <w:tcMar>
              <w:top w:w="110" w:type="dxa"/>
            </w:tcMar>
          </w:tcPr>
          <w:p w:rsidR="0095318C" w:rsidRPr="008A6189" w:rsidRDefault="0095318C" w:rsidP="00DC1333">
            <w:pPr>
              <w:autoSpaceDE w:val="0"/>
              <w:autoSpaceDN w:val="0"/>
              <w:adjustRightInd w:val="0"/>
              <w:rPr>
                <w:sz w:val="16"/>
                <w:szCs w:val="16"/>
                <w:lang w:val="es-ES_tradnl"/>
              </w:rPr>
            </w:pPr>
          </w:p>
        </w:tc>
        <w:tc>
          <w:tcPr>
            <w:tcW w:w="1120" w:type="pct"/>
            <w:tcBorders>
              <w:top w:val="single" w:sz="4" w:space="0" w:color="auto"/>
              <w:bottom w:val="nil"/>
            </w:tcBorders>
            <w:shd w:val="clear" w:color="auto" w:fill="FFFFFF"/>
            <w:tcMar>
              <w:top w:w="110" w:type="dxa"/>
            </w:tcMar>
          </w:tcPr>
          <w:p w:rsidR="0095318C" w:rsidRPr="008A6189" w:rsidRDefault="0095318C" w:rsidP="0095318C">
            <w:pPr>
              <w:pStyle w:val="ListParagraph"/>
              <w:numPr>
                <w:ilvl w:val="0"/>
                <w:numId w:val="64"/>
              </w:numPr>
              <w:rPr>
                <w:rFonts w:cs="Arial"/>
                <w:sz w:val="16"/>
                <w:szCs w:val="16"/>
                <w:lang w:val="es-ES_tradnl" w:bidi="th-TH"/>
              </w:rPr>
            </w:pPr>
            <w:r w:rsidRPr="008A6189">
              <w:rPr>
                <w:rFonts w:cs="Arial"/>
                <w:sz w:val="16"/>
                <w:szCs w:val="16"/>
                <w:lang w:val="es-ES_tradnl" w:bidi="th-TH"/>
              </w:rPr>
              <w:t xml:space="preserve">Universidad de </w:t>
            </w:r>
            <w:proofErr w:type="spellStart"/>
            <w:r w:rsidRPr="008A6189">
              <w:rPr>
                <w:rFonts w:cs="Arial"/>
                <w:sz w:val="16"/>
                <w:szCs w:val="16"/>
                <w:lang w:val="es-ES_tradnl" w:bidi="th-TH"/>
              </w:rPr>
              <w:t>Botswana</w:t>
            </w:r>
            <w:proofErr w:type="spellEnd"/>
            <w:r w:rsidRPr="008A6189">
              <w:rPr>
                <w:rFonts w:cs="Arial"/>
                <w:sz w:val="16"/>
                <w:szCs w:val="16"/>
                <w:lang w:val="es-ES_tradnl" w:bidi="th-TH"/>
              </w:rPr>
              <w:t xml:space="preserve">, en </w:t>
            </w:r>
            <w:proofErr w:type="spellStart"/>
            <w:r w:rsidRPr="008A6189">
              <w:rPr>
                <w:rFonts w:cs="Arial"/>
                <w:sz w:val="16"/>
                <w:szCs w:val="16"/>
                <w:lang w:val="es-ES_tradnl" w:bidi="th-TH"/>
              </w:rPr>
              <w:t>Botswana</w:t>
            </w:r>
            <w:proofErr w:type="spellEnd"/>
            <w:r w:rsidRPr="008A6189">
              <w:rPr>
                <w:rFonts w:cs="Arial"/>
                <w:sz w:val="16"/>
                <w:szCs w:val="16"/>
                <w:lang w:val="es-ES_tradnl" w:bidi="th-TH"/>
              </w:rPr>
              <w:t xml:space="preserve"> (nuevo curso de derecho de P.I. en el campo de la investigación, mejoras en los cursos I y II de derecho de P.I.)</w:t>
            </w:r>
          </w:p>
          <w:p w:rsidR="0095318C" w:rsidRPr="008A6189" w:rsidRDefault="0095318C" w:rsidP="00DC1333">
            <w:pPr>
              <w:pStyle w:val="ListParagraph"/>
              <w:ind w:left="360"/>
              <w:rPr>
                <w:rFonts w:cs="Arial"/>
                <w:sz w:val="16"/>
                <w:szCs w:val="16"/>
                <w:lang w:val="es-ES_tradnl" w:bidi="th-TH"/>
              </w:rPr>
            </w:pPr>
          </w:p>
        </w:tc>
        <w:tc>
          <w:tcPr>
            <w:tcW w:w="672" w:type="pct"/>
            <w:tcBorders>
              <w:top w:val="single" w:sz="4" w:space="0" w:color="auto"/>
              <w:bottom w:val="nil"/>
              <w:right w:val="single" w:sz="4" w:space="0" w:color="auto"/>
            </w:tcBorders>
            <w:shd w:val="clear" w:color="auto" w:fill="auto"/>
            <w:tcMar>
              <w:top w:w="110" w:type="dxa"/>
            </w:tcMar>
          </w:tcPr>
          <w:p w:rsidR="0095318C" w:rsidRPr="008A6189" w:rsidRDefault="0095318C" w:rsidP="00DC1333">
            <w:pPr>
              <w:jc w:val="center"/>
              <w:rPr>
                <w:b/>
                <w:bCs/>
                <w:color w:val="00B050"/>
                <w:sz w:val="16"/>
                <w:szCs w:val="16"/>
                <w:lang w:val="es-ES_tradnl"/>
              </w:rPr>
            </w:pPr>
          </w:p>
        </w:tc>
      </w:tr>
      <w:tr w:rsidR="0095318C" w:rsidRPr="008A6189" w:rsidTr="00DC1333">
        <w:tc>
          <w:tcPr>
            <w:tcW w:w="1043" w:type="pct"/>
            <w:tcBorders>
              <w:top w:val="nil"/>
              <w:left w:val="single" w:sz="4" w:space="0" w:color="auto"/>
              <w:bottom w:val="nil"/>
            </w:tcBorders>
            <w:shd w:val="clear" w:color="auto" w:fill="auto"/>
          </w:tcPr>
          <w:p w:rsidR="0095318C" w:rsidRPr="008A6189" w:rsidRDefault="0095318C" w:rsidP="00DC1333">
            <w:pPr>
              <w:rPr>
                <w:sz w:val="16"/>
                <w:szCs w:val="16"/>
                <w:lang w:val="es-ES_tradnl"/>
              </w:rPr>
            </w:pPr>
            <w:r w:rsidRPr="008A6189">
              <w:rPr>
                <w:sz w:val="16"/>
                <w:szCs w:val="16"/>
                <w:lang w:val="es-ES_tradnl"/>
              </w:rPr>
              <w:t>Establecimiento progresivo de una red de expertos en P.I. en los países en desarrollo, PMA y países con economías en transición</w:t>
            </w:r>
          </w:p>
        </w:tc>
        <w:tc>
          <w:tcPr>
            <w:tcW w:w="1418" w:type="pct"/>
            <w:tcBorders>
              <w:top w:val="nil"/>
              <w:bottom w:val="nil"/>
            </w:tcBorders>
            <w:shd w:val="clear" w:color="auto" w:fill="auto"/>
          </w:tcPr>
          <w:p w:rsidR="0095318C" w:rsidRPr="008A6189" w:rsidRDefault="0095318C" w:rsidP="00DC1333">
            <w:pPr>
              <w:rPr>
                <w:sz w:val="16"/>
                <w:szCs w:val="16"/>
                <w:lang w:val="es-ES_tradnl"/>
              </w:rPr>
            </w:pPr>
            <w:r w:rsidRPr="008A6189">
              <w:rPr>
                <w:i/>
                <w:color w:val="002060"/>
                <w:sz w:val="16"/>
                <w:szCs w:val="16"/>
                <w:lang w:val="es-ES_tradnl"/>
              </w:rPr>
              <w:t>Referencia actualizada a fines de 2013:  326 académicos procedentes de países en desarrollo, PMA y países con economías en transición miembros de la ATRIP</w:t>
            </w:r>
          </w:p>
          <w:p w:rsidR="0095318C" w:rsidRPr="008A6189" w:rsidRDefault="0095318C" w:rsidP="00DC1333">
            <w:pPr>
              <w:rPr>
                <w:i/>
                <w:color w:val="002060"/>
                <w:sz w:val="16"/>
                <w:szCs w:val="16"/>
                <w:lang w:val="es-ES_tradnl"/>
              </w:rPr>
            </w:pPr>
            <w:r w:rsidRPr="008A6189">
              <w:rPr>
                <w:i/>
                <w:sz w:val="16"/>
                <w:szCs w:val="16"/>
                <w:lang w:val="es-ES_tradnl"/>
              </w:rPr>
              <w:t>Referencia original en el presupuesto de 2014-15:</w:t>
            </w:r>
            <w:r w:rsidRPr="008A6189">
              <w:rPr>
                <w:sz w:val="16"/>
                <w:szCs w:val="16"/>
                <w:lang w:val="es-ES_tradnl"/>
              </w:rPr>
              <w:t xml:space="preserve">  Número de académicos de países en desarrollo, PMA y países con economías en transición miembros de la ATRIP</w:t>
            </w:r>
          </w:p>
        </w:tc>
        <w:tc>
          <w:tcPr>
            <w:tcW w:w="746" w:type="pct"/>
            <w:tcBorders>
              <w:top w:val="nil"/>
              <w:bottom w:val="nil"/>
            </w:tcBorders>
            <w:shd w:val="clear" w:color="auto" w:fill="auto"/>
            <w:tcMar>
              <w:top w:w="110" w:type="dxa"/>
            </w:tcMar>
          </w:tcPr>
          <w:p w:rsidR="0095318C" w:rsidRPr="008A6189" w:rsidRDefault="0095318C" w:rsidP="00DC1333">
            <w:pPr>
              <w:autoSpaceDE w:val="0"/>
              <w:autoSpaceDN w:val="0"/>
              <w:adjustRightInd w:val="0"/>
              <w:rPr>
                <w:sz w:val="16"/>
                <w:szCs w:val="16"/>
                <w:lang w:val="es-ES_tradnl"/>
              </w:rPr>
            </w:pPr>
            <w:r w:rsidRPr="008A6189">
              <w:rPr>
                <w:sz w:val="16"/>
                <w:szCs w:val="16"/>
                <w:lang w:val="es-ES_tradnl"/>
              </w:rPr>
              <w:t>Aumento del 15% en relación con la referencia</w:t>
            </w:r>
          </w:p>
        </w:tc>
        <w:tc>
          <w:tcPr>
            <w:tcW w:w="1120" w:type="pct"/>
            <w:tcBorders>
              <w:top w:val="nil"/>
              <w:bottom w:val="nil"/>
            </w:tcBorders>
            <w:shd w:val="clear" w:color="auto" w:fill="FFFFFF"/>
            <w:tcMar>
              <w:top w:w="110" w:type="dxa"/>
            </w:tcMar>
          </w:tcPr>
          <w:p w:rsidR="0095318C" w:rsidRPr="008A6189" w:rsidRDefault="0095318C" w:rsidP="00DC1333">
            <w:pPr>
              <w:rPr>
                <w:sz w:val="16"/>
                <w:szCs w:val="16"/>
                <w:lang w:val="es-ES_tradnl" w:bidi="th-TH"/>
              </w:rPr>
            </w:pPr>
            <w:r w:rsidRPr="008A6189">
              <w:rPr>
                <w:sz w:val="16"/>
                <w:szCs w:val="16"/>
                <w:lang w:val="es-ES_tradnl" w:bidi="th-TH"/>
              </w:rPr>
              <w:t>397 académicos de países en desarrollo, PMA y países con economías en transición son miembros, según lo informado por la ATRIP (+22% respecto al período 2012-13)</w:t>
            </w:r>
          </w:p>
        </w:tc>
        <w:tc>
          <w:tcPr>
            <w:tcW w:w="672" w:type="pct"/>
            <w:tcBorders>
              <w:top w:val="nil"/>
              <w:bottom w:val="nil"/>
              <w:right w:val="single" w:sz="4" w:space="0" w:color="auto"/>
            </w:tcBorders>
            <w:shd w:val="clear" w:color="auto" w:fill="auto"/>
            <w:tcMar>
              <w:top w:w="110" w:type="dxa"/>
            </w:tcMar>
          </w:tcPr>
          <w:p w:rsidR="0095318C" w:rsidRPr="008A6189" w:rsidRDefault="0095318C" w:rsidP="00DC1333">
            <w:pPr>
              <w:jc w:val="center"/>
              <w:rPr>
                <w:b/>
                <w:bCs/>
                <w:color w:val="00B050"/>
                <w:sz w:val="16"/>
                <w:szCs w:val="16"/>
                <w:lang w:val="es-ES_tradnl"/>
              </w:rPr>
            </w:pPr>
            <w:r w:rsidRPr="008A6189">
              <w:rPr>
                <w:b/>
                <w:bCs/>
                <w:color w:val="00B050"/>
                <w:sz w:val="16"/>
                <w:szCs w:val="16"/>
                <w:lang w:val="es-ES_tradnl"/>
              </w:rPr>
              <w:t xml:space="preserve">Plenamente logrado </w:t>
            </w:r>
          </w:p>
          <w:p w:rsidR="0095318C" w:rsidRPr="008A6189" w:rsidRDefault="0095318C" w:rsidP="00DC1333">
            <w:pPr>
              <w:jc w:val="center"/>
              <w:rPr>
                <w:b/>
                <w:bCs/>
                <w:color w:val="00B050"/>
                <w:sz w:val="16"/>
                <w:szCs w:val="16"/>
                <w:lang w:val="es-ES_tradnl"/>
              </w:rPr>
            </w:pPr>
          </w:p>
        </w:tc>
      </w:tr>
      <w:tr w:rsidR="0095318C" w:rsidRPr="008A6189" w:rsidTr="00DC1333">
        <w:tc>
          <w:tcPr>
            <w:tcW w:w="1043" w:type="pct"/>
            <w:tcBorders>
              <w:top w:val="nil"/>
              <w:left w:val="single" w:sz="4" w:space="0" w:color="auto"/>
              <w:bottom w:val="single" w:sz="4" w:space="0" w:color="auto"/>
            </w:tcBorders>
            <w:shd w:val="clear" w:color="auto" w:fill="auto"/>
          </w:tcPr>
          <w:p w:rsidR="0095318C" w:rsidRPr="008A6189" w:rsidRDefault="0095318C" w:rsidP="00DC1333">
            <w:pPr>
              <w:rPr>
                <w:sz w:val="16"/>
                <w:szCs w:val="16"/>
                <w:lang w:val="es-ES_tradnl"/>
              </w:rPr>
            </w:pPr>
            <w:r w:rsidRPr="008A6189">
              <w:rPr>
                <w:sz w:val="16"/>
                <w:szCs w:val="16"/>
                <w:lang w:val="es-ES_tradnl"/>
              </w:rPr>
              <w:t>Número de nuevas academias nacionales establecidas tras la finalización de la fase piloto</w:t>
            </w:r>
          </w:p>
          <w:p w:rsidR="0095318C" w:rsidRPr="008A6189" w:rsidRDefault="0095318C" w:rsidP="00DC1333">
            <w:pPr>
              <w:rPr>
                <w:sz w:val="16"/>
                <w:szCs w:val="16"/>
                <w:lang w:val="es-ES_tradnl"/>
              </w:rPr>
            </w:pPr>
          </w:p>
        </w:tc>
        <w:tc>
          <w:tcPr>
            <w:tcW w:w="1418" w:type="pct"/>
            <w:tcBorders>
              <w:top w:val="nil"/>
              <w:bottom w:val="single" w:sz="4" w:space="0" w:color="auto"/>
            </w:tcBorders>
            <w:shd w:val="clear" w:color="auto" w:fill="auto"/>
          </w:tcPr>
          <w:p w:rsidR="0095318C" w:rsidRPr="008A6189" w:rsidRDefault="0095318C" w:rsidP="00DC1333">
            <w:pPr>
              <w:rPr>
                <w:sz w:val="16"/>
                <w:szCs w:val="16"/>
                <w:lang w:val="es-ES_tradnl" w:bidi="th-TH"/>
              </w:rPr>
            </w:pPr>
            <w:r w:rsidRPr="008A6189">
              <w:rPr>
                <w:i/>
                <w:color w:val="002060"/>
                <w:sz w:val="16"/>
                <w:szCs w:val="16"/>
                <w:lang w:val="es-ES_tradnl"/>
              </w:rPr>
              <w:t xml:space="preserve">Referencia actualizada a fines de 2013:  </w:t>
            </w:r>
            <w:r w:rsidRPr="008A6189">
              <w:rPr>
                <w:color w:val="002060"/>
                <w:sz w:val="16"/>
                <w:szCs w:val="16"/>
                <w:lang w:val="es-ES_tradnl" w:bidi="th-TH"/>
              </w:rPr>
              <w:t>La fase II de la fase piloto del proyecto no se había completado a finales de 2013</w:t>
            </w:r>
          </w:p>
          <w:p w:rsidR="0095318C" w:rsidRPr="008A6189" w:rsidRDefault="0095318C" w:rsidP="00DC1333">
            <w:pPr>
              <w:rPr>
                <w:sz w:val="16"/>
                <w:szCs w:val="16"/>
                <w:lang w:val="es-ES_tradnl" w:bidi="th-TH"/>
              </w:rPr>
            </w:pPr>
          </w:p>
          <w:p w:rsidR="0095318C" w:rsidRPr="008A6189" w:rsidRDefault="0095318C" w:rsidP="00DC1333">
            <w:pPr>
              <w:rPr>
                <w:color w:val="002060"/>
                <w:sz w:val="16"/>
                <w:szCs w:val="16"/>
                <w:lang w:val="es-ES_tradnl"/>
              </w:rPr>
            </w:pPr>
          </w:p>
          <w:p w:rsidR="0095318C" w:rsidRPr="008A6189" w:rsidRDefault="0095318C" w:rsidP="00DC1333">
            <w:pPr>
              <w:rPr>
                <w:i/>
                <w:color w:val="002060"/>
                <w:sz w:val="16"/>
                <w:szCs w:val="16"/>
                <w:lang w:val="es-ES_tradnl"/>
              </w:rPr>
            </w:pPr>
            <w:r w:rsidRPr="008A6189">
              <w:rPr>
                <w:i/>
                <w:sz w:val="16"/>
                <w:szCs w:val="16"/>
                <w:lang w:val="es-ES_tradnl"/>
              </w:rPr>
              <w:t xml:space="preserve">Referencia original en el presupuesto de 2014-15:  </w:t>
            </w:r>
            <w:r w:rsidRPr="008A6189">
              <w:rPr>
                <w:sz w:val="16"/>
                <w:szCs w:val="16"/>
                <w:lang w:val="es-ES_tradnl"/>
              </w:rPr>
              <w:t>0</w:t>
            </w:r>
          </w:p>
        </w:tc>
        <w:tc>
          <w:tcPr>
            <w:tcW w:w="746" w:type="pct"/>
            <w:tcBorders>
              <w:top w:val="nil"/>
              <w:bottom w:val="single" w:sz="4" w:space="0" w:color="auto"/>
            </w:tcBorders>
            <w:shd w:val="clear" w:color="auto" w:fill="auto"/>
            <w:tcMar>
              <w:top w:w="110" w:type="dxa"/>
            </w:tcMar>
          </w:tcPr>
          <w:p w:rsidR="0095318C" w:rsidRPr="008A6189" w:rsidRDefault="0095318C" w:rsidP="00DC1333">
            <w:pPr>
              <w:autoSpaceDE w:val="0"/>
              <w:autoSpaceDN w:val="0"/>
              <w:adjustRightInd w:val="0"/>
              <w:rPr>
                <w:sz w:val="16"/>
                <w:szCs w:val="16"/>
                <w:lang w:val="es-ES_tradnl"/>
              </w:rPr>
            </w:pPr>
            <w:r w:rsidRPr="008A6189">
              <w:rPr>
                <w:sz w:val="16"/>
                <w:szCs w:val="16"/>
                <w:lang w:val="es-ES_tradnl"/>
              </w:rPr>
              <w:t>4</w:t>
            </w:r>
          </w:p>
          <w:p w:rsidR="0095318C" w:rsidRPr="008A6189" w:rsidRDefault="0095318C" w:rsidP="00DC1333">
            <w:pPr>
              <w:autoSpaceDE w:val="0"/>
              <w:autoSpaceDN w:val="0"/>
              <w:adjustRightInd w:val="0"/>
              <w:rPr>
                <w:sz w:val="16"/>
                <w:szCs w:val="16"/>
                <w:lang w:val="es-ES_tradnl"/>
              </w:rPr>
            </w:pPr>
          </w:p>
        </w:tc>
        <w:tc>
          <w:tcPr>
            <w:tcW w:w="1120" w:type="pct"/>
            <w:tcBorders>
              <w:top w:val="nil"/>
              <w:bottom w:val="single" w:sz="4" w:space="0" w:color="auto"/>
            </w:tcBorders>
            <w:shd w:val="clear" w:color="auto" w:fill="FFFFFF"/>
            <w:tcMar>
              <w:top w:w="110" w:type="dxa"/>
            </w:tcMar>
          </w:tcPr>
          <w:p w:rsidR="0095318C" w:rsidRPr="008A6189" w:rsidRDefault="0095318C" w:rsidP="00DC1333">
            <w:pPr>
              <w:rPr>
                <w:sz w:val="16"/>
                <w:szCs w:val="16"/>
                <w:lang w:val="es-ES_tradnl" w:bidi="th-TH"/>
              </w:rPr>
            </w:pPr>
            <w:r w:rsidRPr="008A6189">
              <w:rPr>
                <w:sz w:val="16"/>
                <w:szCs w:val="16"/>
                <w:lang w:val="es-ES_tradnl" w:bidi="th-TH"/>
              </w:rPr>
              <w:t>Se firmaron siete nuevos acuerdos</w:t>
            </w:r>
            <w:r w:rsidRPr="008A6189">
              <w:rPr>
                <w:lang w:val="es-ES_tradnl"/>
              </w:rPr>
              <w:t xml:space="preserve"> (</w:t>
            </w:r>
            <w:r w:rsidRPr="008A6189">
              <w:rPr>
                <w:sz w:val="16"/>
                <w:szCs w:val="16"/>
                <w:lang w:val="es-ES_tradnl" w:bidi="th-TH"/>
              </w:rPr>
              <w:t>Azerbaiyán, Camboya, Costa Rica, Ecuador, El Salvador, Georgia y Turquía)</w:t>
            </w:r>
          </w:p>
        </w:tc>
        <w:tc>
          <w:tcPr>
            <w:tcW w:w="672" w:type="pct"/>
            <w:tcBorders>
              <w:top w:val="nil"/>
              <w:bottom w:val="single" w:sz="4" w:space="0" w:color="auto"/>
              <w:right w:val="single" w:sz="4" w:space="0" w:color="auto"/>
            </w:tcBorders>
            <w:shd w:val="clear" w:color="auto" w:fill="auto"/>
            <w:tcMar>
              <w:top w:w="110" w:type="dxa"/>
            </w:tcMar>
          </w:tcPr>
          <w:p w:rsidR="0095318C" w:rsidRPr="008A6189" w:rsidRDefault="0095318C" w:rsidP="00DC1333">
            <w:pPr>
              <w:jc w:val="center"/>
              <w:rPr>
                <w:b/>
                <w:bCs/>
                <w:color w:val="00B050"/>
                <w:sz w:val="16"/>
                <w:szCs w:val="16"/>
                <w:lang w:val="es-ES_tradnl"/>
              </w:rPr>
            </w:pPr>
            <w:r w:rsidRPr="008A6189">
              <w:rPr>
                <w:b/>
                <w:bCs/>
                <w:color w:val="00B050"/>
                <w:sz w:val="16"/>
                <w:szCs w:val="16"/>
                <w:lang w:val="es-ES_tradnl"/>
              </w:rPr>
              <w:t xml:space="preserve">Plenamente logrado </w:t>
            </w:r>
          </w:p>
          <w:p w:rsidR="0095318C" w:rsidRPr="008A6189" w:rsidRDefault="0095318C" w:rsidP="00DC1333">
            <w:pPr>
              <w:jc w:val="center"/>
              <w:rPr>
                <w:b/>
                <w:bCs/>
                <w:sz w:val="16"/>
                <w:szCs w:val="16"/>
                <w:lang w:val="es-ES_tradnl"/>
              </w:rPr>
            </w:pPr>
          </w:p>
        </w:tc>
      </w:tr>
    </w:tbl>
    <w:p w:rsidR="0095318C" w:rsidRPr="008A6189" w:rsidRDefault="0095318C" w:rsidP="00DC1333">
      <w:pPr>
        <w:rPr>
          <w:color w:val="000000"/>
          <w:szCs w:val="22"/>
        </w:rPr>
      </w:pPr>
    </w:p>
    <w:p w:rsidR="0095318C" w:rsidRPr="008A6189" w:rsidRDefault="0095318C" w:rsidP="00DC1333">
      <w:pPr>
        <w:rPr>
          <w:color w:val="000000"/>
          <w:szCs w:val="22"/>
        </w:rPr>
      </w:pPr>
    </w:p>
    <w:p w:rsidR="00121C2F" w:rsidRDefault="00121C2F">
      <w:pPr>
        <w:rPr>
          <w:color w:val="000000"/>
          <w:sz w:val="20"/>
          <w:szCs w:val="22"/>
        </w:rPr>
      </w:pPr>
      <w:r>
        <w:rPr>
          <w:color w:val="000000"/>
          <w:sz w:val="20"/>
          <w:szCs w:val="22"/>
        </w:rPr>
        <w:br w:type="page"/>
      </w:r>
    </w:p>
    <w:p w:rsidR="0095318C" w:rsidRPr="008A6189" w:rsidRDefault="008F7CBE" w:rsidP="00DC1333">
      <w:pPr>
        <w:rPr>
          <w:color w:val="000000"/>
          <w:szCs w:val="22"/>
        </w:rPr>
      </w:pPr>
      <w:r w:rsidRPr="008F7CBE">
        <w:rPr>
          <w:color w:val="000000"/>
          <w:sz w:val="20"/>
          <w:szCs w:val="22"/>
        </w:rPr>
        <w:t>INFORMACIÓN SOBRE LOS RIESGOS PLANTEADOS EN EL BIENIO</w:t>
      </w:r>
    </w:p>
    <w:p w:rsidR="0095318C" w:rsidRPr="008A6189" w:rsidRDefault="0095318C" w:rsidP="00DC1333">
      <w:pPr>
        <w:rPr>
          <w:sz w:val="18"/>
        </w:rPr>
      </w:pPr>
    </w:p>
    <w:tbl>
      <w:tblPr>
        <w:tblW w:w="9356"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420"/>
        <w:gridCol w:w="2200"/>
        <w:gridCol w:w="2310"/>
        <w:gridCol w:w="2426"/>
      </w:tblGrid>
      <w:tr w:rsidR="0095318C" w:rsidRPr="002779F3" w:rsidTr="00DC1333">
        <w:trPr>
          <w:trHeight w:val="755"/>
        </w:trPr>
        <w:tc>
          <w:tcPr>
            <w:tcW w:w="2420" w:type="dxa"/>
            <w:tcBorders>
              <w:top w:val="single" w:sz="4" w:space="0" w:color="auto"/>
              <w:bottom w:val="single" w:sz="4" w:space="0" w:color="auto"/>
            </w:tcBorders>
            <w:shd w:val="clear" w:color="auto" w:fill="C6D9F1" w:themeFill="text2" w:themeFillTint="33"/>
            <w:tcMar>
              <w:top w:w="113" w:type="dxa"/>
              <w:bottom w:w="113" w:type="dxa"/>
            </w:tcMar>
            <w:vAlign w:val="center"/>
          </w:tcPr>
          <w:p w:rsidR="0095318C" w:rsidRPr="008A6189" w:rsidRDefault="0095318C" w:rsidP="00DC1333">
            <w:pPr>
              <w:keepNext/>
              <w:keepLines/>
              <w:autoSpaceDE w:val="0"/>
              <w:autoSpaceDN w:val="0"/>
              <w:adjustRightInd w:val="0"/>
              <w:ind w:right="-59"/>
              <w:jc w:val="center"/>
              <w:rPr>
                <w:b/>
                <w:iCs/>
                <w:sz w:val="18"/>
                <w:szCs w:val="18"/>
              </w:rPr>
            </w:pPr>
            <w:r w:rsidRPr="008A6189">
              <w:rPr>
                <w:b/>
                <w:bCs/>
                <w:sz w:val="18"/>
                <w:szCs w:val="18"/>
              </w:rPr>
              <w:lastRenderedPageBreak/>
              <w:t>Riesgos en el logro de los resultados del programa</w:t>
            </w:r>
          </w:p>
        </w:tc>
        <w:tc>
          <w:tcPr>
            <w:tcW w:w="2200" w:type="dxa"/>
            <w:tcBorders>
              <w:top w:val="single" w:sz="4" w:space="0" w:color="auto"/>
              <w:bottom w:val="single" w:sz="4" w:space="0" w:color="auto"/>
            </w:tcBorders>
            <w:shd w:val="clear" w:color="auto" w:fill="C6D9F1" w:themeFill="text2" w:themeFillTint="33"/>
            <w:tcMar>
              <w:top w:w="113" w:type="dxa"/>
              <w:bottom w:w="113" w:type="dxa"/>
            </w:tcMar>
            <w:vAlign w:val="center"/>
          </w:tcPr>
          <w:p w:rsidR="0095318C" w:rsidRPr="008A6189" w:rsidRDefault="0095318C" w:rsidP="00DC1333">
            <w:pPr>
              <w:keepNext/>
              <w:keepLines/>
              <w:autoSpaceDE w:val="0"/>
              <w:autoSpaceDN w:val="0"/>
              <w:adjustRightInd w:val="0"/>
              <w:ind w:right="-59"/>
              <w:jc w:val="center"/>
              <w:rPr>
                <w:b/>
                <w:iCs/>
                <w:sz w:val="18"/>
                <w:szCs w:val="18"/>
              </w:rPr>
            </w:pPr>
            <w:r w:rsidRPr="008A6189">
              <w:rPr>
                <w:b/>
                <w:bCs/>
                <w:sz w:val="18"/>
                <w:szCs w:val="18"/>
              </w:rPr>
              <w:t>Planes de mitigación ejecutados o en ejecución</w:t>
            </w:r>
          </w:p>
        </w:tc>
        <w:tc>
          <w:tcPr>
            <w:tcW w:w="2310" w:type="dxa"/>
            <w:tcBorders>
              <w:top w:val="single" w:sz="4" w:space="0" w:color="auto"/>
              <w:bottom w:val="single" w:sz="4" w:space="0" w:color="auto"/>
            </w:tcBorders>
            <w:shd w:val="clear" w:color="auto" w:fill="C6D9F1" w:themeFill="text2" w:themeFillTint="33"/>
            <w:vAlign w:val="center"/>
          </w:tcPr>
          <w:p w:rsidR="0095318C" w:rsidRPr="008A6189" w:rsidRDefault="0095318C" w:rsidP="00DC1333">
            <w:pPr>
              <w:jc w:val="center"/>
              <w:rPr>
                <w:b/>
                <w:bCs/>
                <w:sz w:val="18"/>
                <w:szCs w:val="18"/>
              </w:rPr>
            </w:pPr>
            <w:r w:rsidRPr="008A6189">
              <w:rPr>
                <w:b/>
                <w:bCs/>
                <w:sz w:val="18"/>
                <w:szCs w:val="18"/>
              </w:rPr>
              <w:t>Evolución de los riesgos y estrategias de mitigación durante el bienio</w:t>
            </w:r>
          </w:p>
        </w:tc>
        <w:tc>
          <w:tcPr>
            <w:tcW w:w="2426" w:type="dxa"/>
            <w:tcBorders>
              <w:top w:val="single" w:sz="4" w:space="0" w:color="auto"/>
              <w:bottom w:val="single" w:sz="4" w:space="0" w:color="auto"/>
            </w:tcBorders>
            <w:shd w:val="clear" w:color="auto" w:fill="C6D9F1" w:themeFill="text2" w:themeFillTint="33"/>
            <w:vAlign w:val="center"/>
          </w:tcPr>
          <w:p w:rsidR="0095318C" w:rsidRPr="008A6189" w:rsidRDefault="0095318C" w:rsidP="00DC1333">
            <w:pPr>
              <w:jc w:val="center"/>
              <w:rPr>
                <w:b/>
                <w:bCs/>
                <w:sz w:val="18"/>
                <w:szCs w:val="18"/>
              </w:rPr>
            </w:pPr>
            <w:r w:rsidRPr="008A6189">
              <w:rPr>
                <w:b/>
                <w:bCs/>
                <w:sz w:val="18"/>
                <w:szCs w:val="18"/>
              </w:rPr>
              <w:t>Incidencia en el rendimiento del programa</w:t>
            </w:r>
          </w:p>
        </w:tc>
      </w:tr>
      <w:tr w:rsidR="0095318C" w:rsidRPr="002779F3" w:rsidTr="00DC1333">
        <w:trPr>
          <w:trHeight w:val="1197"/>
        </w:trPr>
        <w:tc>
          <w:tcPr>
            <w:tcW w:w="2420" w:type="dxa"/>
            <w:tcBorders>
              <w:top w:val="single" w:sz="4" w:space="0" w:color="auto"/>
            </w:tcBorders>
            <w:shd w:val="clear" w:color="auto" w:fill="auto"/>
            <w:tcMar>
              <w:top w:w="113" w:type="dxa"/>
              <w:bottom w:w="113" w:type="dxa"/>
            </w:tcMar>
          </w:tcPr>
          <w:p w:rsidR="0095318C" w:rsidRPr="008A6189" w:rsidRDefault="0095318C" w:rsidP="00DC1333">
            <w:pPr>
              <w:keepNext/>
              <w:keepLines/>
              <w:tabs>
                <w:tab w:val="left" w:pos="1170"/>
              </w:tabs>
              <w:rPr>
                <w:sz w:val="16"/>
                <w:szCs w:val="16"/>
              </w:rPr>
            </w:pPr>
            <w:r w:rsidRPr="008A6189">
              <w:rPr>
                <w:sz w:val="16"/>
                <w:szCs w:val="16"/>
              </w:rPr>
              <w:t>En un entorno cambiante en materia de tecnología y P.I., las expectativas y las preferencias de los usuarios también evolucionan rápidamente.  La interfaz, los gráficos y la plataforma tecnológica de los cursos de enseñanza a distancia pueden quedarse anticuados, en cuyo caso los contenidos sobre P.I. de los diferentes programas de enseñanza de la Academia podrían quedar además desconectados de las novedades y los retos globales emergentes.</w:t>
            </w:r>
          </w:p>
          <w:p w:rsidR="0095318C" w:rsidRPr="008A6189" w:rsidRDefault="0095318C" w:rsidP="00DC1333">
            <w:pPr>
              <w:keepNext/>
              <w:keepLines/>
              <w:tabs>
                <w:tab w:val="left" w:pos="1170"/>
              </w:tabs>
              <w:rPr>
                <w:sz w:val="16"/>
                <w:szCs w:val="16"/>
              </w:rPr>
            </w:pPr>
          </w:p>
        </w:tc>
        <w:tc>
          <w:tcPr>
            <w:tcW w:w="2200" w:type="dxa"/>
            <w:tcBorders>
              <w:top w:val="single" w:sz="4" w:space="0" w:color="auto"/>
            </w:tcBorders>
            <w:shd w:val="clear" w:color="auto" w:fill="auto"/>
            <w:tcMar>
              <w:top w:w="113" w:type="dxa"/>
              <w:bottom w:w="113" w:type="dxa"/>
            </w:tcMar>
          </w:tcPr>
          <w:p w:rsidR="0095318C" w:rsidRPr="008A6189" w:rsidRDefault="0095318C" w:rsidP="00DC1333">
            <w:pPr>
              <w:keepNext/>
              <w:keepLines/>
              <w:autoSpaceDE w:val="0"/>
              <w:autoSpaceDN w:val="0"/>
              <w:adjustRightInd w:val="0"/>
              <w:ind w:right="-59"/>
              <w:rPr>
                <w:sz w:val="16"/>
                <w:szCs w:val="16"/>
              </w:rPr>
            </w:pPr>
            <w:r w:rsidRPr="008A6189">
              <w:rPr>
                <w:sz w:val="16"/>
                <w:szCs w:val="16"/>
              </w:rPr>
              <w:t>Se continuarán recopilando los comentarios de tutores y estudiantes de cursos de enseñanza a distancia y, previo examen sustantivo por parte de expertos en P.I., se procederá a actualizar las plataformas y el contenido sobre P.I.</w:t>
            </w:r>
          </w:p>
          <w:p w:rsidR="0095318C" w:rsidRPr="008A6189" w:rsidRDefault="0095318C" w:rsidP="00DC1333">
            <w:pPr>
              <w:keepNext/>
              <w:keepLines/>
              <w:autoSpaceDE w:val="0"/>
              <w:autoSpaceDN w:val="0"/>
              <w:adjustRightInd w:val="0"/>
              <w:ind w:right="-59"/>
              <w:rPr>
                <w:sz w:val="16"/>
                <w:szCs w:val="16"/>
              </w:rPr>
            </w:pPr>
          </w:p>
          <w:p w:rsidR="0095318C" w:rsidRPr="008A6189" w:rsidRDefault="0095318C" w:rsidP="00DC1333">
            <w:pPr>
              <w:keepNext/>
              <w:keepLines/>
              <w:autoSpaceDE w:val="0"/>
              <w:autoSpaceDN w:val="0"/>
              <w:adjustRightInd w:val="0"/>
              <w:ind w:right="-59"/>
              <w:rPr>
                <w:sz w:val="16"/>
                <w:szCs w:val="16"/>
              </w:rPr>
            </w:pPr>
          </w:p>
          <w:p w:rsidR="0095318C" w:rsidRPr="008A6189" w:rsidRDefault="0095318C" w:rsidP="00DC1333">
            <w:pPr>
              <w:keepNext/>
              <w:keepLines/>
              <w:autoSpaceDE w:val="0"/>
              <w:autoSpaceDN w:val="0"/>
              <w:adjustRightInd w:val="0"/>
              <w:ind w:right="-59"/>
              <w:rPr>
                <w:sz w:val="16"/>
                <w:szCs w:val="16"/>
              </w:rPr>
            </w:pPr>
          </w:p>
        </w:tc>
        <w:tc>
          <w:tcPr>
            <w:tcW w:w="2310" w:type="dxa"/>
            <w:tcBorders>
              <w:top w:val="single" w:sz="4" w:space="0" w:color="auto"/>
            </w:tcBorders>
          </w:tcPr>
          <w:p w:rsidR="0095318C" w:rsidRPr="008A6189" w:rsidRDefault="0095318C" w:rsidP="00DC1333">
            <w:pPr>
              <w:keepNext/>
              <w:keepLines/>
              <w:autoSpaceDE w:val="0"/>
              <w:autoSpaceDN w:val="0"/>
              <w:adjustRightInd w:val="0"/>
              <w:ind w:right="-59"/>
              <w:rPr>
                <w:sz w:val="16"/>
                <w:szCs w:val="16"/>
              </w:rPr>
            </w:pPr>
            <w:r w:rsidRPr="008A6189">
              <w:rPr>
                <w:sz w:val="16"/>
                <w:szCs w:val="16"/>
              </w:rPr>
              <w:t>La plataforma de la OMPI de enseñanza a distancia (</w:t>
            </w:r>
            <w:proofErr w:type="spellStart"/>
            <w:r w:rsidRPr="008A6189">
              <w:rPr>
                <w:sz w:val="16"/>
                <w:szCs w:val="16"/>
              </w:rPr>
              <w:t>WeLC</w:t>
            </w:r>
            <w:proofErr w:type="spellEnd"/>
            <w:r w:rsidRPr="008A6189">
              <w:rPr>
                <w:sz w:val="16"/>
                <w:szCs w:val="16"/>
              </w:rPr>
              <w:t>) fue actualizada en 2015.</w:t>
            </w:r>
          </w:p>
          <w:p w:rsidR="0095318C" w:rsidRPr="008A6189" w:rsidRDefault="0095318C" w:rsidP="00DC1333">
            <w:pPr>
              <w:keepNext/>
              <w:keepLines/>
              <w:autoSpaceDE w:val="0"/>
              <w:autoSpaceDN w:val="0"/>
              <w:adjustRightInd w:val="0"/>
              <w:ind w:right="-59"/>
              <w:rPr>
                <w:sz w:val="16"/>
                <w:szCs w:val="16"/>
              </w:rPr>
            </w:pPr>
          </w:p>
          <w:p w:rsidR="0095318C" w:rsidRPr="008A6189" w:rsidRDefault="0095318C" w:rsidP="00DC1333">
            <w:pPr>
              <w:keepNext/>
              <w:keepLines/>
              <w:autoSpaceDE w:val="0"/>
              <w:autoSpaceDN w:val="0"/>
              <w:adjustRightInd w:val="0"/>
              <w:ind w:right="-59"/>
              <w:rPr>
                <w:sz w:val="16"/>
                <w:szCs w:val="16"/>
              </w:rPr>
            </w:pPr>
            <w:r w:rsidRPr="008A6189">
              <w:rPr>
                <w:sz w:val="16"/>
                <w:szCs w:val="16"/>
              </w:rPr>
              <w:t>Se aplicará un enfoque más sistemático a los cursos de enseñanza a distancia en el proceso anual de revisión de cursos, con el objetivo de que éstos se mantengan vigentes y actualizados.</w:t>
            </w:r>
          </w:p>
          <w:p w:rsidR="0095318C" w:rsidRPr="008A6189" w:rsidRDefault="0095318C" w:rsidP="00DC1333">
            <w:pPr>
              <w:keepNext/>
              <w:keepLines/>
              <w:autoSpaceDE w:val="0"/>
              <w:autoSpaceDN w:val="0"/>
              <w:adjustRightInd w:val="0"/>
              <w:ind w:right="-59"/>
              <w:rPr>
                <w:sz w:val="16"/>
                <w:szCs w:val="16"/>
              </w:rPr>
            </w:pPr>
          </w:p>
          <w:p w:rsidR="0095318C" w:rsidRPr="008A6189" w:rsidRDefault="0095318C" w:rsidP="00DC1333">
            <w:pPr>
              <w:keepNext/>
              <w:keepLines/>
              <w:autoSpaceDE w:val="0"/>
              <w:autoSpaceDN w:val="0"/>
              <w:adjustRightInd w:val="0"/>
              <w:ind w:right="-59"/>
              <w:rPr>
                <w:sz w:val="16"/>
                <w:szCs w:val="16"/>
              </w:rPr>
            </w:pPr>
          </w:p>
        </w:tc>
        <w:tc>
          <w:tcPr>
            <w:tcW w:w="2426" w:type="dxa"/>
            <w:tcBorders>
              <w:top w:val="single" w:sz="4" w:space="0" w:color="auto"/>
            </w:tcBorders>
          </w:tcPr>
          <w:p w:rsidR="0095318C" w:rsidRPr="008A6189" w:rsidRDefault="0095318C" w:rsidP="00DC1333">
            <w:pPr>
              <w:autoSpaceDE w:val="0"/>
              <w:autoSpaceDN w:val="0"/>
              <w:adjustRightInd w:val="0"/>
              <w:ind w:right="-59"/>
              <w:rPr>
                <w:sz w:val="16"/>
                <w:szCs w:val="16"/>
              </w:rPr>
            </w:pPr>
            <w:r w:rsidRPr="008A6189">
              <w:rPr>
                <w:sz w:val="16"/>
                <w:szCs w:val="16"/>
              </w:rPr>
              <w:t>Este riesgo y su evolución no tuvieron un impacto significativo en el rendimiento del Programa en 2014-15.</w:t>
            </w:r>
          </w:p>
          <w:p w:rsidR="0095318C" w:rsidRPr="008A6189" w:rsidRDefault="0095318C" w:rsidP="00DC1333">
            <w:pPr>
              <w:autoSpaceDE w:val="0"/>
              <w:autoSpaceDN w:val="0"/>
              <w:adjustRightInd w:val="0"/>
              <w:ind w:right="-59"/>
              <w:rPr>
                <w:sz w:val="16"/>
                <w:szCs w:val="16"/>
              </w:rPr>
            </w:pPr>
          </w:p>
          <w:p w:rsidR="0095318C" w:rsidRPr="008A6189" w:rsidRDefault="0095318C" w:rsidP="00DC1333">
            <w:pPr>
              <w:autoSpaceDE w:val="0"/>
              <w:autoSpaceDN w:val="0"/>
              <w:adjustRightInd w:val="0"/>
              <w:ind w:right="-59"/>
              <w:rPr>
                <w:sz w:val="16"/>
                <w:szCs w:val="16"/>
              </w:rPr>
            </w:pPr>
          </w:p>
        </w:tc>
      </w:tr>
    </w:tbl>
    <w:p w:rsidR="0095318C" w:rsidRPr="008A6189" w:rsidRDefault="0095318C" w:rsidP="00DC1333">
      <w:pPr>
        <w:rPr>
          <w:color w:val="000000"/>
        </w:rPr>
      </w:pPr>
    </w:p>
    <w:p w:rsidR="0095318C" w:rsidRPr="008A6189" w:rsidRDefault="0095318C" w:rsidP="00DC1333">
      <w:pPr>
        <w:rPr>
          <w:color w:val="000000"/>
        </w:rPr>
      </w:pPr>
    </w:p>
    <w:p w:rsidR="0095318C" w:rsidRPr="008A6189" w:rsidRDefault="00403D2C" w:rsidP="00DC1333">
      <w:pPr>
        <w:keepNext/>
        <w:rPr>
          <w:b/>
          <w:szCs w:val="22"/>
        </w:rPr>
      </w:pPr>
      <w:r w:rsidRPr="00403D2C">
        <w:rPr>
          <w:color w:val="000000"/>
          <w:sz w:val="20"/>
          <w:szCs w:val="22"/>
        </w:rPr>
        <w:t>UTILIZACIÓN DE LOS RECURSOS</w:t>
      </w:r>
    </w:p>
    <w:p w:rsidR="0095318C" w:rsidRPr="008A6189" w:rsidRDefault="0095318C" w:rsidP="00DC1333">
      <w:pPr>
        <w:keepNext/>
      </w:pPr>
    </w:p>
    <w:p w:rsidR="0095318C" w:rsidRPr="008A6189" w:rsidRDefault="0095318C" w:rsidP="00DC1333">
      <w:pPr>
        <w:pStyle w:val="NormalWeb"/>
        <w:keepNext/>
        <w:spacing w:before="0" w:beforeAutospacing="0" w:after="0" w:afterAutospacing="0"/>
        <w:jc w:val="center"/>
        <w:rPr>
          <w:sz w:val="20"/>
          <w:szCs w:val="20"/>
          <w:lang w:val="es-ES"/>
        </w:rPr>
      </w:pPr>
      <w:r w:rsidRPr="008A6189">
        <w:rPr>
          <w:color w:val="000000"/>
          <w:sz w:val="20"/>
          <w:szCs w:val="20"/>
          <w:lang w:val="es-ES"/>
        </w:rPr>
        <w:t>Presupuesto y gastos reales (por resultado)</w:t>
      </w:r>
    </w:p>
    <w:p w:rsidR="0095318C" w:rsidRPr="008A6189" w:rsidRDefault="0095318C" w:rsidP="00DC1333">
      <w:pPr>
        <w:pStyle w:val="NormalWeb"/>
        <w:keepNext/>
        <w:spacing w:before="0" w:beforeAutospacing="0" w:after="0" w:afterAutospacing="0"/>
        <w:jc w:val="center"/>
        <w:rPr>
          <w:i/>
          <w:iCs/>
          <w:color w:val="000000"/>
          <w:sz w:val="20"/>
          <w:szCs w:val="20"/>
          <w:lang w:val="es-ES"/>
        </w:rPr>
      </w:pPr>
      <w:r w:rsidRPr="008A6189">
        <w:rPr>
          <w:i/>
          <w:iCs/>
          <w:color w:val="000000"/>
          <w:sz w:val="20"/>
          <w:szCs w:val="20"/>
          <w:lang w:val="es-ES"/>
        </w:rPr>
        <w:t>(</w:t>
      </w:r>
      <w:proofErr w:type="gramStart"/>
      <w:r w:rsidRPr="008A6189">
        <w:rPr>
          <w:i/>
          <w:iCs/>
          <w:color w:val="000000"/>
          <w:sz w:val="20"/>
          <w:szCs w:val="20"/>
          <w:lang w:val="es-ES"/>
        </w:rPr>
        <w:t>en</w:t>
      </w:r>
      <w:proofErr w:type="gramEnd"/>
      <w:r w:rsidRPr="008A6189">
        <w:rPr>
          <w:i/>
          <w:iCs/>
          <w:color w:val="000000"/>
          <w:sz w:val="20"/>
          <w:szCs w:val="20"/>
          <w:lang w:val="es-ES"/>
        </w:rPr>
        <w:t xml:space="preserve"> miles de francos suizos)</w:t>
      </w:r>
    </w:p>
    <w:p w:rsidR="0095318C" w:rsidRPr="008A6189" w:rsidRDefault="0095318C" w:rsidP="00DC1333">
      <w:pPr>
        <w:pStyle w:val="NormalWeb"/>
        <w:keepNext/>
        <w:spacing w:before="0" w:beforeAutospacing="0" w:after="0" w:afterAutospacing="0"/>
        <w:jc w:val="center"/>
        <w:rPr>
          <w:sz w:val="20"/>
          <w:szCs w:val="20"/>
          <w:lang w:val="es-ES"/>
        </w:rPr>
      </w:pPr>
    </w:p>
    <w:p w:rsidR="0095318C" w:rsidRPr="008A6189" w:rsidRDefault="0095318C" w:rsidP="00DC1333">
      <w:pPr>
        <w:pStyle w:val="NormalWeb"/>
        <w:keepNext/>
        <w:spacing w:before="0" w:beforeAutospacing="0" w:after="0" w:afterAutospacing="0"/>
        <w:jc w:val="center"/>
        <w:rPr>
          <w:sz w:val="20"/>
          <w:szCs w:val="20"/>
          <w:lang w:val="es-ES"/>
        </w:rPr>
      </w:pPr>
      <w:r w:rsidRPr="008A6189">
        <w:rPr>
          <w:noProof/>
          <w:sz w:val="20"/>
          <w:szCs w:val="20"/>
        </w:rPr>
        <w:drawing>
          <wp:inline distT="0" distB="0" distL="0" distR="0" wp14:anchorId="4ED9AF16" wp14:editId="101EB144">
            <wp:extent cx="5394086" cy="1414130"/>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5428052" cy="1423035"/>
                    </a:xfrm>
                    <a:prstGeom prst="rect">
                      <a:avLst/>
                    </a:prstGeom>
                    <a:noFill/>
                    <a:ln>
                      <a:noFill/>
                    </a:ln>
                  </pic:spPr>
                </pic:pic>
              </a:graphicData>
            </a:graphic>
          </wp:inline>
        </w:drawing>
      </w:r>
    </w:p>
    <w:p w:rsidR="0095318C" w:rsidRPr="008A6189" w:rsidRDefault="0095318C" w:rsidP="00DC1333">
      <w:pPr>
        <w:pStyle w:val="NormalWeb"/>
        <w:keepNext/>
        <w:keepLines/>
        <w:spacing w:before="0" w:beforeAutospacing="0" w:after="0" w:afterAutospacing="0"/>
        <w:jc w:val="center"/>
        <w:rPr>
          <w:color w:val="000000"/>
          <w:sz w:val="22"/>
          <w:szCs w:val="22"/>
          <w:lang w:val="es-ES"/>
        </w:rPr>
      </w:pPr>
    </w:p>
    <w:p w:rsidR="0095318C" w:rsidRPr="008A6189" w:rsidRDefault="0095318C" w:rsidP="00DC1333">
      <w:pPr>
        <w:pStyle w:val="NormalWeb"/>
        <w:keepNext/>
        <w:keepLines/>
        <w:spacing w:before="0" w:beforeAutospacing="0" w:after="0" w:afterAutospacing="0"/>
        <w:jc w:val="center"/>
        <w:rPr>
          <w:color w:val="000000"/>
          <w:sz w:val="22"/>
          <w:szCs w:val="22"/>
          <w:lang w:val="es-ES"/>
        </w:rPr>
      </w:pPr>
    </w:p>
    <w:p w:rsidR="0095318C" w:rsidRPr="008A6189" w:rsidRDefault="0095318C" w:rsidP="00DC1333">
      <w:pPr>
        <w:pStyle w:val="NormalWeb"/>
        <w:keepNext/>
        <w:keepLines/>
        <w:spacing w:before="0" w:beforeAutospacing="0" w:after="0" w:afterAutospacing="0"/>
        <w:jc w:val="center"/>
        <w:rPr>
          <w:sz w:val="20"/>
          <w:szCs w:val="20"/>
          <w:lang w:val="es-ES"/>
        </w:rPr>
      </w:pPr>
      <w:r w:rsidRPr="008A6189">
        <w:rPr>
          <w:color w:val="000000"/>
          <w:sz w:val="20"/>
          <w:szCs w:val="20"/>
          <w:lang w:val="es-ES"/>
        </w:rPr>
        <w:t>Presupuesto y gastos reale</w:t>
      </w:r>
      <w:r>
        <w:rPr>
          <w:color w:val="000000"/>
          <w:sz w:val="20"/>
          <w:szCs w:val="20"/>
          <w:lang w:val="es-ES"/>
        </w:rPr>
        <w:t>s (de personal y no relativos a</w:t>
      </w:r>
      <w:r w:rsidRPr="008A6189">
        <w:rPr>
          <w:color w:val="000000"/>
          <w:sz w:val="20"/>
          <w:szCs w:val="20"/>
          <w:lang w:val="es-ES"/>
        </w:rPr>
        <w:t xml:space="preserve"> personal)</w:t>
      </w:r>
    </w:p>
    <w:p w:rsidR="0095318C" w:rsidRPr="008A6189" w:rsidRDefault="0095318C" w:rsidP="00DC1333">
      <w:pPr>
        <w:pStyle w:val="NormalWeb"/>
        <w:keepNext/>
        <w:keepLines/>
        <w:spacing w:before="0" w:beforeAutospacing="0" w:after="0" w:afterAutospacing="0"/>
        <w:jc w:val="center"/>
        <w:rPr>
          <w:i/>
          <w:iCs/>
          <w:color w:val="000000"/>
          <w:sz w:val="20"/>
          <w:szCs w:val="20"/>
          <w:lang w:val="es-ES"/>
        </w:rPr>
      </w:pPr>
      <w:r w:rsidRPr="008A6189">
        <w:rPr>
          <w:i/>
          <w:iCs/>
          <w:color w:val="000000"/>
          <w:sz w:val="20"/>
          <w:szCs w:val="20"/>
          <w:lang w:val="es-ES"/>
        </w:rPr>
        <w:t>(</w:t>
      </w:r>
      <w:proofErr w:type="gramStart"/>
      <w:r w:rsidRPr="008A6189">
        <w:rPr>
          <w:i/>
          <w:iCs/>
          <w:color w:val="000000"/>
          <w:sz w:val="20"/>
          <w:szCs w:val="20"/>
          <w:lang w:val="es-ES"/>
        </w:rPr>
        <w:t>en</w:t>
      </w:r>
      <w:proofErr w:type="gramEnd"/>
      <w:r w:rsidRPr="008A6189">
        <w:rPr>
          <w:i/>
          <w:iCs/>
          <w:color w:val="000000"/>
          <w:sz w:val="20"/>
          <w:szCs w:val="20"/>
          <w:lang w:val="es-ES"/>
        </w:rPr>
        <w:t xml:space="preserve"> miles de francos suizos)</w:t>
      </w:r>
    </w:p>
    <w:p w:rsidR="0095318C" w:rsidRPr="008A6189" w:rsidRDefault="0095318C" w:rsidP="00DC1333">
      <w:pPr>
        <w:pStyle w:val="NormalWeb"/>
        <w:keepNext/>
        <w:keepLines/>
        <w:spacing w:before="0" w:beforeAutospacing="0" w:after="0" w:afterAutospacing="0"/>
        <w:jc w:val="center"/>
        <w:rPr>
          <w:lang w:val="es-ES"/>
        </w:rPr>
      </w:pPr>
    </w:p>
    <w:p w:rsidR="0095318C" w:rsidRPr="008A6189" w:rsidRDefault="0095318C" w:rsidP="00DC1333">
      <w:pPr>
        <w:pStyle w:val="NormalWeb"/>
        <w:keepNext/>
        <w:keepLines/>
        <w:spacing w:before="0" w:beforeAutospacing="0" w:after="0" w:afterAutospacing="0"/>
        <w:jc w:val="center"/>
        <w:rPr>
          <w:lang w:val="es-ES"/>
        </w:rPr>
      </w:pPr>
      <w:r w:rsidRPr="008A6189">
        <w:rPr>
          <w:noProof/>
        </w:rPr>
        <w:drawing>
          <wp:inline distT="0" distB="0" distL="0" distR="0" wp14:anchorId="0483421E" wp14:editId="3A8C2628">
            <wp:extent cx="5313854" cy="1031359"/>
            <wp:effectExtent l="0" t="0" r="127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5345850" cy="1037569"/>
                    </a:xfrm>
                    <a:prstGeom prst="rect">
                      <a:avLst/>
                    </a:prstGeom>
                    <a:noFill/>
                    <a:ln>
                      <a:noFill/>
                    </a:ln>
                  </pic:spPr>
                </pic:pic>
              </a:graphicData>
            </a:graphic>
          </wp:inline>
        </w:drawing>
      </w:r>
    </w:p>
    <w:p w:rsidR="0095318C" w:rsidRPr="008A6189" w:rsidRDefault="0095318C" w:rsidP="00DC1333">
      <w:pPr>
        <w:pStyle w:val="NormalWeb"/>
        <w:keepNext/>
        <w:keepLines/>
        <w:spacing w:before="0" w:beforeAutospacing="0" w:after="0" w:afterAutospacing="0"/>
        <w:jc w:val="center"/>
        <w:rPr>
          <w:lang w:val="es-ES"/>
        </w:rPr>
      </w:pPr>
    </w:p>
    <w:p w:rsidR="0095318C" w:rsidRPr="008A6189" w:rsidRDefault="0095318C" w:rsidP="00DC1333">
      <w:pPr>
        <w:widowControl w:val="0"/>
        <w:autoSpaceDE w:val="0"/>
        <w:autoSpaceDN w:val="0"/>
        <w:adjustRightInd w:val="0"/>
        <w:rPr>
          <w:szCs w:val="22"/>
        </w:rPr>
      </w:pPr>
    </w:p>
    <w:p w:rsidR="0095318C" w:rsidRPr="008A6189" w:rsidRDefault="00403D2C" w:rsidP="0095318C">
      <w:pPr>
        <w:pStyle w:val="ListParagraph"/>
        <w:numPr>
          <w:ilvl w:val="0"/>
          <w:numId w:val="61"/>
        </w:numPr>
        <w:ind w:left="709" w:hanging="709"/>
        <w:jc w:val="both"/>
        <w:rPr>
          <w:lang w:val="es-ES"/>
        </w:rPr>
      </w:pPr>
      <w:r w:rsidRPr="00403D2C">
        <w:rPr>
          <w:rFonts w:cs="Arial"/>
          <w:u w:val="single"/>
          <w:lang w:val="es-ES"/>
        </w:rPr>
        <w:t>Presupuesto final de 2014/15 tras las transferencias</w:t>
      </w:r>
    </w:p>
    <w:p w:rsidR="0095318C" w:rsidRPr="008A6189" w:rsidRDefault="0095318C" w:rsidP="00DC1333">
      <w:pPr>
        <w:jc w:val="both"/>
      </w:pPr>
    </w:p>
    <w:p w:rsidR="0095318C" w:rsidRPr="008A6189" w:rsidRDefault="0095318C" w:rsidP="0095318C">
      <w:pPr>
        <w:pStyle w:val="ListParagraph"/>
        <w:numPr>
          <w:ilvl w:val="0"/>
          <w:numId w:val="59"/>
        </w:numPr>
        <w:tabs>
          <w:tab w:val="left" w:pos="709"/>
        </w:tabs>
        <w:autoSpaceDE w:val="0"/>
        <w:autoSpaceDN w:val="0"/>
        <w:adjustRightInd w:val="0"/>
        <w:ind w:left="0" w:firstLine="0"/>
        <w:jc w:val="both"/>
        <w:rPr>
          <w:rFonts w:eastAsiaTheme="minorHAnsi" w:cs="Arial"/>
          <w:color w:val="000000"/>
          <w:lang w:val="es-ES"/>
        </w:rPr>
      </w:pPr>
      <w:r w:rsidRPr="008A6189">
        <w:rPr>
          <w:rFonts w:eastAsiaTheme="minorHAnsi" w:cs="Arial"/>
          <w:color w:val="000000"/>
          <w:lang w:val="es-ES"/>
        </w:rPr>
        <w:t>Los recursos disponibles para el Programa se mantuvieron estables durante el bienio.  La redistribución de los recursos de personal del Programa para hacer frente a las necesidades relacionadas con las plataformas de la OMPI y las aplicaciones de TI en el Sector de Desarrollo (Programas 8, 9 y 11), quedó compensada por la redistribución de gastos de personal hacia el Programa tras el proceso de transición en la gestión de la Academia a finales de 2014.</w:t>
      </w:r>
    </w:p>
    <w:p w:rsidR="0095318C" w:rsidRPr="008A6189" w:rsidRDefault="0095318C" w:rsidP="00DC1333">
      <w:pPr>
        <w:jc w:val="both"/>
      </w:pPr>
    </w:p>
    <w:p w:rsidR="0095318C" w:rsidRPr="008A6189" w:rsidRDefault="00403D2C" w:rsidP="009538CB">
      <w:pPr>
        <w:pStyle w:val="ListParagraph"/>
        <w:keepNext/>
        <w:numPr>
          <w:ilvl w:val="0"/>
          <w:numId w:val="61"/>
        </w:numPr>
        <w:ind w:left="709" w:hanging="709"/>
        <w:jc w:val="both"/>
        <w:rPr>
          <w:u w:val="single"/>
          <w:lang w:val="es-ES_tradnl"/>
        </w:rPr>
      </w:pPr>
      <w:r w:rsidRPr="00403D2C">
        <w:rPr>
          <w:rFonts w:eastAsia="SimSun" w:cs="Arial"/>
          <w:u w:val="single"/>
          <w:lang w:val="es-ES" w:eastAsia="ko-KR"/>
        </w:rPr>
        <w:t>Utilización del presupuesto en 2014/15</w:t>
      </w:r>
    </w:p>
    <w:p w:rsidR="0095318C" w:rsidRPr="008A6189" w:rsidRDefault="0095318C" w:rsidP="009538CB">
      <w:pPr>
        <w:keepNext/>
        <w:jc w:val="both"/>
        <w:rPr>
          <w:u w:val="single"/>
        </w:rPr>
      </w:pPr>
    </w:p>
    <w:p w:rsidR="0095318C" w:rsidRPr="008A6189" w:rsidRDefault="0095318C" w:rsidP="0095318C">
      <w:pPr>
        <w:pStyle w:val="ListParagraph"/>
        <w:numPr>
          <w:ilvl w:val="0"/>
          <w:numId w:val="59"/>
        </w:numPr>
        <w:tabs>
          <w:tab w:val="left" w:pos="709"/>
        </w:tabs>
        <w:autoSpaceDE w:val="0"/>
        <w:autoSpaceDN w:val="0"/>
        <w:adjustRightInd w:val="0"/>
        <w:ind w:left="0" w:firstLine="0"/>
        <w:jc w:val="both"/>
        <w:rPr>
          <w:rFonts w:eastAsiaTheme="minorHAnsi" w:cs="Arial"/>
          <w:color w:val="000000"/>
          <w:lang w:val="es-ES"/>
        </w:rPr>
      </w:pPr>
      <w:r w:rsidRPr="008A6189">
        <w:rPr>
          <w:rFonts w:eastAsiaTheme="minorHAnsi" w:cs="Arial"/>
          <w:color w:val="000000"/>
          <w:lang w:val="es-ES"/>
        </w:rPr>
        <w:lastRenderedPageBreak/>
        <w:t>La utilización del presupuesto se ha mantenido dentro de los límites establecidos durante el bienio.</w:t>
      </w:r>
    </w:p>
    <w:p w:rsidR="0095318C" w:rsidRDefault="0095318C" w:rsidP="00DC1333">
      <w:pPr>
        <w:tabs>
          <w:tab w:val="left" w:pos="709"/>
        </w:tabs>
        <w:autoSpaceDE w:val="0"/>
        <w:autoSpaceDN w:val="0"/>
        <w:adjustRightInd w:val="0"/>
        <w:jc w:val="both"/>
        <w:rPr>
          <w:rFonts w:eastAsiaTheme="minorHAnsi"/>
          <w:color w:val="000000"/>
        </w:rPr>
      </w:pPr>
    </w:p>
    <w:p w:rsidR="0095318C" w:rsidRPr="0097412C" w:rsidRDefault="0095318C" w:rsidP="00DC1333">
      <w:pPr>
        <w:tabs>
          <w:tab w:val="left" w:pos="709"/>
        </w:tabs>
        <w:autoSpaceDE w:val="0"/>
        <w:autoSpaceDN w:val="0"/>
        <w:adjustRightInd w:val="0"/>
        <w:jc w:val="both"/>
        <w:rPr>
          <w:rFonts w:eastAsiaTheme="minorHAnsi"/>
          <w:color w:val="000000"/>
        </w:rPr>
      </w:pPr>
    </w:p>
    <w:p w:rsidR="004224C0" w:rsidRDefault="004224C0">
      <w:r>
        <w:br w:type="page"/>
      </w:r>
    </w:p>
    <w:p w:rsidR="008A591C" w:rsidRPr="008A591C" w:rsidRDefault="008A591C" w:rsidP="00DC1333">
      <w:pPr>
        <w:pStyle w:val="Heading2"/>
        <w:ind w:left="2410" w:hanging="2410"/>
        <w:rPr>
          <w:b/>
          <w:szCs w:val="20"/>
        </w:rPr>
      </w:pPr>
      <w:bookmarkStart w:id="113" w:name="_Toc422210494"/>
      <w:bookmarkStart w:id="114" w:name="_Toc455159087"/>
      <w:r w:rsidRPr="008A591C">
        <w:rPr>
          <w:b/>
          <w:szCs w:val="20"/>
        </w:rPr>
        <w:lastRenderedPageBreak/>
        <w:t>PROGRAMA 30</w:t>
      </w:r>
      <w:r w:rsidRPr="008A591C">
        <w:rPr>
          <w:b/>
          <w:szCs w:val="20"/>
        </w:rPr>
        <w:tab/>
      </w:r>
      <w:bookmarkEnd w:id="113"/>
      <w:r w:rsidRPr="008A591C">
        <w:rPr>
          <w:b/>
          <w:szCs w:val="20"/>
        </w:rPr>
        <w:t>LAS PEQUEÑAS Y MEDIANAS EMPRESAS (PYMES) Y LA INNOVACIÓN</w:t>
      </w:r>
      <w:bookmarkEnd w:id="114"/>
    </w:p>
    <w:p w:rsidR="008A591C" w:rsidRPr="00980C61" w:rsidRDefault="008A591C" w:rsidP="00DC1333">
      <w:pPr>
        <w:ind w:left="1985" w:hanging="1985"/>
      </w:pPr>
    </w:p>
    <w:p w:rsidR="008A591C" w:rsidRPr="00013B5C" w:rsidRDefault="008A591C" w:rsidP="00DC1333">
      <w:pPr>
        <w:tabs>
          <w:tab w:val="left" w:pos="2410"/>
        </w:tabs>
        <w:rPr>
          <w:b/>
          <w:sz w:val="20"/>
        </w:rPr>
      </w:pPr>
      <w:r w:rsidRPr="00013B5C">
        <w:rPr>
          <w:b/>
          <w:sz w:val="20"/>
        </w:rPr>
        <w:t>Director de programa</w:t>
      </w:r>
      <w:r w:rsidRPr="00013B5C">
        <w:rPr>
          <w:b/>
          <w:sz w:val="20"/>
        </w:rPr>
        <w:tab/>
      </w:r>
      <w:r w:rsidR="00391B20" w:rsidRPr="00013B5C">
        <w:rPr>
          <w:b/>
          <w:sz w:val="20"/>
        </w:rPr>
        <w:t>Director General</w:t>
      </w:r>
    </w:p>
    <w:p w:rsidR="008A591C" w:rsidRPr="00980C61" w:rsidRDefault="008A591C" w:rsidP="00DC1333"/>
    <w:p w:rsidR="008A591C" w:rsidRPr="00980C61" w:rsidRDefault="008A591C" w:rsidP="00DC1333">
      <w:pPr>
        <w:tabs>
          <w:tab w:val="left" w:pos="720"/>
        </w:tabs>
      </w:pPr>
    </w:p>
    <w:p w:rsidR="008A591C" w:rsidRPr="00FE22B8" w:rsidRDefault="008F7CBE" w:rsidP="00DC1333">
      <w:pPr>
        <w:rPr>
          <w:bCs/>
          <w:sz w:val="20"/>
        </w:rPr>
      </w:pPr>
      <w:r w:rsidRPr="00FE22B8">
        <w:rPr>
          <w:bCs/>
          <w:sz w:val="20"/>
        </w:rPr>
        <w:t>LOGROS ALCANZADOS EN EL BIENIO 2014/15</w:t>
      </w:r>
    </w:p>
    <w:p w:rsidR="008A591C" w:rsidRPr="00FE22B8" w:rsidRDefault="008A591C" w:rsidP="00DC1333">
      <w:pPr>
        <w:rPr>
          <w:sz w:val="20"/>
        </w:rPr>
      </w:pPr>
    </w:p>
    <w:p w:rsidR="008A591C" w:rsidRPr="00FE22B8" w:rsidRDefault="008A591C" w:rsidP="00DC1333">
      <w:pPr>
        <w:autoSpaceDE w:val="0"/>
        <w:autoSpaceDN w:val="0"/>
        <w:adjustRightInd w:val="0"/>
        <w:rPr>
          <w:color w:val="000000"/>
          <w:sz w:val="20"/>
        </w:rPr>
      </w:pPr>
      <w:r w:rsidRPr="00FE22B8">
        <w:rPr>
          <w:color w:val="000000"/>
          <w:sz w:val="20"/>
        </w:rPr>
        <w:t>PEQUEÑAS Y MEDIANAS EMPRESAS (PYMES)</w:t>
      </w:r>
    </w:p>
    <w:p w:rsidR="008A591C" w:rsidRPr="00FE22B8" w:rsidRDefault="008A591C" w:rsidP="00DC1333">
      <w:pPr>
        <w:autoSpaceDE w:val="0"/>
        <w:autoSpaceDN w:val="0"/>
        <w:adjustRightInd w:val="0"/>
        <w:rPr>
          <w:color w:val="000000"/>
          <w:sz w:val="20"/>
        </w:rPr>
      </w:pPr>
    </w:p>
    <w:p w:rsidR="008A591C" w:rsidRDefault="008A591C" w:rsidP="00C74007">
      <w:pPr>
        <w:pStyle w:val="ListParagraph"/>
        <w:numPr>
          <w:ilvl w:val="0"/>
          <w:numId w:val="67"/>
        </w:numPr>
        <w:tabs>
          <w:tab w:val="left" w:pos="709"/>
        </w:tabs>
        <w:autoSpaceDE w:val="0"/>
        <w:autoSpaceDN w:val="0"/>
        <w:adjustRightInd w:val="0"/>
        <w:ind w:left="0" w:firstLine="0"/>
        <w:jc w:val="both"/>
        <w:rPr>
          <w:rFonts w:cs="Arial"/>
          <w:color w:val="000000"/>
          <w:lang w:val="es-ES"/>
        </w:rPr>
      </w:pPr>
      <w:r w:rsidRPr="00FE22B8">
        <w:rPr>
          <w:rFonts w:cs="Arial"/>
          <w:color w:val="000000"/>
          <w:lang w:val="es-ES"/>
        </w:rPr>
        <w:t>Se siguió colaborando con las oficinas nacionales y regionales de P.I. y otras instituciones para</w:t>
      </w:r>
      <w:r w:rsidRPr="00980C61">
        <w:rPr>
          <w:rFonts w:cs="Arial"/>
          <w:color w:val="000000"/>
          <w:lang w:val="es-ES"/>
        </w:rPr>
        <w:t xml:space="preserve"> ayudar a los empresarios y a las pymes a utilizar el sistema de P.I., principalmente mediante</w:t>
      </w:r>
      <w:proofErr w:type="gramStart"/>
      <w:r w:rsidRPr="00980C61">
        <w:rPr>
          <w:rFonts w:cs="Arial"/>
          <w:color w:val="000000"/>
          <w:lang w:val="es-ES"/>
        </w:rPr>
        <w:t>:  a</w:t>
      </w:r>
      <w:proofErr w:type="gramEnd"/>
      <w:r w:rsidRPr="00980C61">
        <w:rPr>
          <w:rFonts w:cs="Arial"/>
          <w:color w:val="000000"/>
          <w:lang w:val="es-ES"/>
        </w:rPr>
        <w:t>) la adaptación o traducción al contexto local de los contenidos relacionados con la P.</w:t>
      </w:r>
      <w:r>
        <w:rPr>
          <w:rFonts w:cs="Arial"/>
          <w:color w:val="000000"/>
          <w:lang w:val="es-ES"/>
        </w:rPr>
        <w:t xml:space="preserve">I. dirigidos a las empresas </w:t>
      </w:r>
      <w:r w:rsidRPr="00980C61">
        <w:rPr>
          <w:rFonts w:cs="Arial"/>
          <w:color w:val="000000"/>
          <w:lang w:val="es-ES"/>
        </w:rPr>
        <w:t>y b) programas de formación de formadores.  Con respecto a estos últimos, se organizaron 33 programas relativos a la gestión eficaz de los activos de P.I. por parte de las pymes, de los que se beneficiaron más de 700 participantes.  El objetivo de estos programas era crear una masa crítica de formadores en países concretos con los conocimientos, las habilidades y la experiencia que se precisan para prestar asistencia básica a las pymes en relación con la gestión de activos de P.I.  El programa también contribuyó a promover el empoderamiento de la mujer en el ámb</w:t>
      </w:r>
      <w:r w:rsidR="00D62430">
        <w:rPr>
          <w:rFonts w:cs="Arial"/>
          <w:color w:val="000000"/>
          <w:lang w:val="es-ES"/>
        </w:rPr>
        <w:t>ito de la P.I.  Con ese fin, en </w:t>
      </w:r>
      <w:r w:rsidRPr="00980C61">
        <w:rPr>
          <w:rFonts w:cs="Arial"/>
          <w:color w:val="000000"/>
          <w:lang w:val="es-ES"/>
        </w:rPr>
        <w:t>2014/15 la OMPI, la Oficina Surcoreana de Propiedad Intelectual (KIPO) y la Asociación Surcoreana de Inventoras (KWIA) organizaron dos talleres internacionales para mujeres inventoras y empresarias, de los que se beneficiaron 236 mujeres inventoras y empresarias procedentes de 25 países.</w:t>
      </w:r>
    </w:p>
    <w:p w:rsidR="008A591C" w:rsidRDefault="008A591C" w:rsidP="00C74007">
      <w:pPr>
        <w:pStyle w:val="ListParagraph"/>
        <w:tabs>
          <w:tab w:val="left" w:pos="709"/>
        </w:tabs>
        <w:autoSpaceDE w:val="0"/>
        <w:autoSpaceDN w:val="0"/>
        <w:adjustRightInd w:val="0"/>
        <w:ind w:left="0"/>
        <w:jc w:val="both"/>
        <w:rPr>
          <w:rFonts w:cs="Arial"/>
          <w:color w:val="000000"/>
          <w:lang w:val="es-ES"/>
        </w:rPr>
      </w:pPr>
    </w:p>
    <w:p w:rsidR="008A591C" w:rsidRDefault="008A591C" w:rsidP="00C74007">
      <w:pPr>
        <w:pStyle w:val="ListParagraph"/>
        <w:numPr>
          <w:ilvl w:val="0"/>
          <w:numId w:val="67"/>
        </w:numPr>
        <w:tabs>
          <w:tab w:val="left" w:pos="709"/>
        </w:tabs>
        <w:autoSpaceDE w:val="0"/>
        <w:autoSpaceDN w:val="0"/>
        <w:adjustRightInd w:val="0"/>
        <w:ind w:left="0" w:firstLine="0"/>
        <w:jc w:val="both"/>
        <w:rPr>
          <w:rFonts w:cs="Arial"/>
          <w:color w:val="000000"/>
          <w:lang w:val="es-ES"/>
        </w:rPr>
      </w:pPr>
      <w:proofErr w:type="spellStart"/>
      <w:r w:rsidRPr="00A40792">
        <w:rPr>
          <w:rFonts w:eastAsia="SimSun" w:cs="Arial"/>
          <w:lang w:eastAsia="zh-CN"/>
        </w:rPr>
        <w:t>En</w:t>
      </w:r>
      <w:proofErr w:type="spellEnd"/>
      <w:r w:rsidRPr="00A40792">
        <w:rPr>
          <w:rFonts w:eastAsia="SimSun" w:cs="Arial"/>
          <w:lang w:eastAsia="zh-CN"/>
        </w:rPr>
        <w:t xml:space="preserve"> 2014/15, se </w:t>
      </w:r>
      <w:proofErr w:type="spellStart"/>
      <w:r w:rsidRPr="00A40792">
        <w:rPr>
          <w:rFonts w:eastAsia="SimSun" w:cs="Arial"/>
          <w:lang w:eastAsia="zh-CN"/>
        </w:rPr>
        <w:t>finalizó</w:t>
      </w:r>
      <w:proofErr w:type="spellEnd"/>
      <w:r w:rsidRPr="00A40792">
        <w:rPr>
          <w:rFonts w:eastAsia="SimSun" w:cs="Arial"/>
          <w:lang w:eastAsia="zh-CN"/>
        </w:rPr>
        <w:t xml:space="preserve"> </w:t>
      </w:r>
      <w:proofErr w:type="gramStart"/>
      <w:r w:rsidRPr="00A40792">
        <w:rPr>
          <w:rFonts w:eastAsia="SimSun" w:cs="Arial"/>
          <w:lang w:eastAsia="zh-CN"/>
        </w:rPr>
        <w:t>un</w:t>
      </w:r>
      <w:proofErr w:type="gramEnd"/>
      <w:r w:rsidRPr="00A40792">
        <w:rPr>
          <w:rFonts w:eastAsia="SimSun" w:cs="Arial"/>
          <w:lang w:eastAsia="zh-CN"/>
        </w:rPr>
        <w:t xml:space="preserve"> </w:t>
      </w:r>
      <w:proofErr w:type="spellStart"/>
      <w:r w:rsidRPr="00A40792">
        <w:rPr>
          <w:rFonts w:eastAsia="SimSun" w:cs="Arial"/>
          <w:lang w:eastAsia="zh-CN"/>
        </w:rPr>
        <w:t>nuevo</w:t>
      </w:r>
      <w:proofErr w:type="spellEnd"/>
      <w:r w:rsidRPr="00A40792">
        <w:rPr>
          <w:rFonts w:eastAsia="SimSun" w:cs="Arial"/>
          <w:lang w:eastAsia="zh-CN"/>
        </w:rPr>
        <w:t xml:space="preserve"> </w:t>
      </w:r>
      <w:proofErr w:type="spellStart"/>
      <w:r w:rsidRPr="00A40792">
        <w:rPr>
          <w:rFonts w:eastAsia="SimSun" w:cs="Arial"/>
          <w:lang w:eastAsia="zh-CN"/>
        </w:rPr>
        <w:t>libro</w:t>
      </w:r>
      <w:proofErr w:type="spellEnd"/>
      <w:r w:rsidRPr="00A40792">
        <w:rPr>
          <w:rFonts w:eastAsia="SimSun" w:cs="Arial"/>
          <w:lang w:eastAsia="zh-CN"/>
        </w:rPr>
        <w:t xml:space="preserve"> </w:t>
      </w:r>
      <w:proofErr w:type="spellStart"/>
      <w:r w:rsidRPr="00A40792">
        <w:rPr>
          <w:rFonts w:eastAsia="SimSun" w:cs="Arial"/>
          <w:lang w:eastAsia="zh-CN"/>
        </w:rPr>
        <w:t>titulado</w:t>
      </w:r>
      <w:proofErr w:type="spellEnd"/>
      <w:r w:rsidRPr="00A40792">
        <w:rPr>
          <w:rFonts w:eastAsia="SimSun" w:cs="Arial"/>
          <w:lang w:eastAsia="zh-CN"/>
        </w:rPr>
        <w:t xml:space="preserve">:  </w:t>
      </w:r>
      <w:r w:rsidRPr="00A40792">
        <w:rPr>
          <w:rFonts w:eastAsia="SimSun" w:cs="Arial"/>
          <w:i/>
          <w:lang w:eastAsia="zh-CN"/>
        </w:rPr>
        <w:t>In Confidence - An Introduction to Trade Secrets for Small and Medium-sized Enterprises</w:t>
      </w:r>
      <w:r w:rsidRPr="00A40792">
        <w:rPr>
          <w:rFonts w:eastAsia="SimSun" w:cs="Arial"/>
          <w:lang w:eastAsia="zh-CN"/>
        </w:rPr>
        <w:t xml:space="preserve">. </w:t>
      </w:r>
      <w:r w:rsidRPr="007704A8">
        <w:rPr>
          <w:rFonts w:eastAsia="SimSun" w:cs="Arial"/>
          <w:lang w:val="es-ES" w:eastAsia="zh-CN"/>
        </w:rPr>
        <w:t>La OMPI también contribuyó al proyecto inicial de un libro sobre el aprovechamiento de la propiedad intelectual como activo empresarial estratégico</w:t>
      </w:r>
      <w:r w:rsidRPr="007704A8">
        <w:rPr>
          <w:rFonts w:eastAsia="SimSun" w:cs="Arial"/>
          <w:i/>
          <w:lang w:val="es-ES" w:eastAsia="zh-CN"/>
        </w:rPr>
        <w:t xml:space="preserve"> </w:t>
      </w:r>
      <w:r w:rsidRPr="007704A8">
        <w:rPr>
          <w:rFonts w:eastAsia="SimSun" w:cs="Arial"/>
          <w:lang w:val="es-ES" w:eastAsia="zh-CN"/>
        </w:rPr>
        <w:t>(gestión estratégica de la P.I.).</w:t>
      </w:r>
      <w:r w:rsidRPr="00980C61">
        <w:rPr>
          <w:rFonts w:eastAsia="SimSun" w:cs="Arial"/>
          <w:sz w:val="22"/>
          <w:vertAlign w:val="superscript"/>
          <w:lang w:val="es-ES" w:eastAsia="zh-CN"/>
        </w:rPr>
        <w:footnoteReference w:id="80"/>
      </w:r>
    </w:p>
    <w:p w:rsidR="008A591C" w:rsidRPr="00794B90" w:rsidRDefault="008A591C" w:rsidP="00C74007">
      <w:pPr>
        <w:pStyle w:val="ListParagraph"/>
        <w:tabs>
          <w:tab w:val="left" w:pos="709"/>
        </w:tabs>
        <w:rPr>
          <w:rFonts w:cs="Arial"/>
          <w:color w:val="000000"/>
          <w:lang w:val="es-ES"/>
        </w:rPr>
      </w:pPr>
    </w:p>
    <w:p w:rsidR="008A591C" w:rsidRPr="00980C61" w:rsidRDefault="008A591C" w:rsidP="00C74007">
      <w:pPr>
        <w:pStyle w:val="ListParagraph"/>
        <w:numPr>
          <w:ilvl w:val="0"/>
          <w:numId w:val="67"/>
        </w:numPr>
        <w:tabs>
          <w:tab w:val="left" w:pos="709"/>
        </w:tabs>
        <w:autoSpaceDE w:val="0"/>
        <w:autoSpaceDN w:val="0"/>
        <w:adjustRightInd w:val="0"/>
        <w:ind w:left="0" w:firstLine="0"/>
        <w:jc w:val="both"/>
        <w:rPr>
          <w:rFonts w:cs="Arial"/>
          <w:color w:val="000000"/>
          <w:lang w:val="es-ES"/>
        </w:rPr>
      </w:pPr>
      <w:r>
        <w:rPr>
          <w:rFonts w:cs="Arial"/>
          <w:color w:val="000000"/>
          <w:lang w:val="es-ES"/>
        </w:rPr>
        <w:t xml:space="preserve">Un total de </w:t>
      </w:r>
      <w:r w:rsidRPr="00980C61">
        <w:rPr>
          <w:rFonts w:cs="Arial"/>
          <w:color w:val="000000"/>
          <w:lang w:val="es-ES"/>
        </w:rPr>
        <w:t>1</w:t>
      </w:r>
      <w:r>
        <w:rPr>
          <w:rFonts w:cs="Arial"/>
          <w:color w:val="000000"/>
          <w:lang w:val="es-ES"/>
        </w:rPr>
        <w:t>.</w:t>
      </w:r>
      <w:r w:rsidRPr="00980C61">
        <w:rPr>
          <w:rFonts w:cs="Arial"/>
          <w:color w:val="000000"/>
          <w:lang w:val="es-ES"/>
        </w:rPr>
        <w:t>350 personas (709 en 2014 y 641 en 2015)</w:t>
      </w:r>
      <w:r>
        <w:rPr>
          <w:rFonts w:cs="Arial"/>
          <w:color w:val="000000"/>
          <w:lang w:val="es-ES"/>
        </w:rPr>
        <w:t xml:space="preserve"> participó en</w:t>
      </w:r>
      <w:r w:rsidRPr="00980C61">
        <w:rPr>
          <w:rFonts w:cs="Arial"/>
          <w:color w:val="000000"/>
          <w:lang w:val="es-ES"/>
        </w:rPr>
        <w:t xml:space="preserve"> dos cursos internacionales sobre la gestión de activos de P.I. para el éxito de las empresas basados en IP PANORAMA</w:t>
      </w:r>
      <w:r w:rsidRPr="00980C61">
        <w:rPr>
          <w:rFonts w:cs="Arial"/>
          <w:color w:val="000000"/>
          <w:vertAlign w:val="superscript"/>
          <w:lang w:val="es-ES"/>
        </w:rPr>
        <w:t xml:space="preserve"> </w:t>
      </w:r>
      <w:r w:rsidRPr="00980C61">
        <w:rPr>
          <w:rFonts w:cs="Arial"/>
          <w:color w:val="000000"/>
          <w:lang w:val="es-ES"/>
        </w:rPr>
        <w:t xml:space="preserve">(en inglés), impartidos por Internet y con entrega de certificado, y 70 personas participaron posteriormente en un programa sobre la gestión de activos de P.I., impartido </w:t>
      </w:r>
      <w:r w:rsidRPr="00794B90">
        <w:rPr>
          <w:rFonts w:cs="Arial"/>
          <w:i/>
          <w:color w:val="000000"/>
          <w:lang w:val="es-ES"/>
        </w:rPr>
        <w:t>in situ</w:t>
      </w:r>
      <w:r w:rsidRPr="00980C61">
        <w:rPr>
          <w:rFonts w:cs="Arial"/>
          <w:color w:val="000000"/>
          <w:lang w:val="es-ES"/>
        </w:rPr>
        <w:t xml:space="preserve"> en Seúl (República de Corea), que fue preparado por la OMPI </w:t>
      </w:r>
      <w:r>
        <w:rPr>
          <w:rFonts w:cs="Arial"/>
          <w:color w:val="000000"/>
          <w:lang w:val="es-ES"/>
        </w:rPr>
        <w:t>y ofrecido</w:t>
      </w:r>
      <w:r w:rsidRPr="00980C61">
        <w:rPr>
          <w:rFonts w:cs="Arial"/>
          <w:color w:val="000000"/>
          <w:lang w:val="es-ES"/>
        </w:rPr>
        <w:t xml:space="preserve"> en coordinación con la KIPO, la Asociación Surcoreana de Promoción de las Invenciones (KIPA) y el Instituto Especializado de Ciencia y Tecnología de Corea (KAIST).  Se efectuaron los preparativos para poner a punto las versiones en español, árabe, francés y ruso del curso internacional en el bienio 2016/17.</w:t>
      </w:r>
    </w:p>
    <w:p w:rsidR="008A591C" w:rsidRPr="00980C61" w:rsidRDefault="008A591C" w:rsidP="00C74007">
      <w:pPr>
        <w:tabs>
          <w:tab w:val="left" w:pos="709"/>
        </w:tabs>
        <w:autoSpaceDE w:val="0"/>
        <w:autoSpaceDN w:val="0"/>
        <w:adjustRightInd w:val="0"/>
        <w:jc w:val="both"/>
        <w:rPr>
          <w:color w:val="000000"/>
        </w:rPr>
      </w:pPr>
    </w:p>
    <w:p w:rsidR="008A591C" w:rsidRPr="00980C61" w:rsidRDefault="008A591C" w:rsidP="00C74007">
      <w:pPr>
        <w:pStyle w:val="ListParagraph"/>
        <w:numPr>
          <w:ilvl w:val="0"/>
          <w:numId w:val="67"/>
        </w:numPr>
        <w:tabs>
          <w:tab w:val="left" w:pos="709"/>
        </w:tabs>
        <w:autoSpaceDE w:val="0"/>
        <w:autoSpaceDN w:val="0"/>
        <w:adjustRightInd w:val="0"/>
        <w:ind w:left="0" w:firstLine="0"/>
        <w:jc w:val="both"/>
        <w:rPr>
          <w:rFonts w:cs="Arial"/>
          <w:color w:val="000000"/>
          <w:lang w:val="es-ES"/>
        </w:rPr>
      </w:pPr>
      <w:r w:rsidRPr="00980C61">
        <w:rPr>
          <w:rFonts w:cs="Arial"/>
          <w:bCs/>
          <w:color w:val="000000"/>
          <w:lang w:val="es-ES"/>
        </w:rPr>
        <w:t>Prosiguieron los esfuerzos por comunicarse directamente con las pymes a través del sitio</w:t>
      </w:r>
      <w:r w:rsidRPr="00980C61">
        <w:rPr>
          <w:rFonts w:cs="Arial"/>
          <w:color w:val="000000"/>
          <w:lang w:val="es-ES"/>
        </w:rPr>
        <w:t xml:space="preserve"> web para pymes en los seis idiomas oficiales de las Naciones Unidas y el </w:t>
      </w:r>
      <w:r w:rsidR="00D62430">
        <w:rPr>
          <w:rFonts w:cs="Arial"/>
          <w:color w:val="000000"/>
          <w:lang w:val="es-ES"/>
        </w:rPr>
        <w:t>boletín mensual de noticias. En </w:t>
      </w:r>
      <w:r w:rsidRPr="00980C61">
        <w:rPr>
          <w:rFonts w:cs="Arial"/>
          <w:color w:val="000000"/>
          <w:lang w:val="es-ES"/>
        </w:rPr>
        <w:t xml:space="preserve">2015, a fin de lograr disponer de una base de usuarios más </w:t>
      </w:r>
      <w:r>
        <w:rPr>
          <w:rFonts w:cs="Arial"/>
          <w:color w:val="000000"/>
          <w:lang w:val="es-ES"/>
        </w:rPr>
        <w:t>selectiva</w:t>
      </w:r>
      <w:r w:rsidRPr="00980C61">
        <w:rPr>
          <w:rFonts w:cs="Arial"/>
          <w:color w:val="000000"/>
          <w:lang w:val="es-ES"/>
        </w:rPr>
        <w:t xml:space="preserve"> para el boletín, se modificaron los criterios de suscri</w:t>
      </w:r>
      <w:r>
        <w:rPr>
          <w:rFonts w:cs="Arial"/>
          <w:color w:val="000000"/>
          <w:lang w:val="es-ES"/>
        </w:rPr>
        <w:t>pción</w:t>
      </w:r>
      <w:r w:rsidRPr="00980C61">
        <w:rPr>
          <w:rFonts w:cs="Arial"/>
          <w:color w:val="000000"/>
          <w:lang w:val="es-ES"/>
        </w:rPr>
        <w:t xml:space="preserve"> y se exigió a los suscriptores que volvieran a suscribirse.  En consecuencia, se retiró de la lista a un gran número de suscriptores inactivos, dando como resultado una base de usuarios más pequeña pero más </w:t>
      </w:r>
      <w:r>
        <w:rPr>
          <w:rFonts w:cs="Arial"/>
          <w:color w:val="000000"/>
          <w:lang w:val="es-ES"/>
        </w:rPr>
        <w:t>específica</w:t>
      </w:r>
      <w:r w:rsidRPr="00980C61">
        <w:rPr>
          <w:rFonts w:cs="Arial"/>
          <w:color w:val="000000"/>
          <w:lang w:val="es-ES"/>
        </w:rPr>
        <w:t>.  Se elaboraron cinco nuevos estudios monográficos de la P.I. y las pymes sobre los temas siguientes</w:t>
      </w:r>
      <w:proofErr w:type="gramStart"/>
      <w:r w:rsidRPr="00980C61">
        <w:rPr>
          <w:rFonts w:cs="Arial"/>
          <w:color w:val="000000"/>
          <w:lang w:val="es-ES"/>
        </w:rPr>
        <w:t>:  i</w:t>
      </w:r>
      <w:proofErr w:type="gramEnd"/>
      <w:r w:rsidRPr="00980C61">
        <w:rPr>
          <w:rFonts w:cs="Arial"/>
          <w:color w:val="000000"/>
          <w:lang w:val="es-ES"/>
        </w:rPr>
        <w:t xml:space="preserve">) Ezequiel </w:t>
      </w:r>
      <w:proofErr w:type="spellStart"/>
      <w:r w:rsidRPr="00980C61">
        <w:rPr>
          <w:rFonts w:cs="Arial"/>
          <w:color w:val="000000"/>
          <w:lang w:val="es-ES"/>
        </w:rPr>
        <w:t>Farca</w:t>
      </w:r>
      <w:proofErr w:type="spellEnd"/>
      <w:r w:rsidRPr="00980C61">
        <w:rPr>
          <w:rFonts w:cs="Arial"/>
          <w:color w:val="000000"/>
          <w:lang w:val="es-ES"/>
        </w:rPr>
        <w:t xml:space="preserve"> (México);  ii) </w:t>
      </w:r>
      <w:proofErr w:type="spellStart"/>
      <w:r w:rsidRPr="00980C61">
        <w:rPr>
          <w:rFonts w:cs="Arial"/>
          <w:i/>
          <w:color w:val="000000"/>
          <w:lang w:val="es-ES"/>
        </w:rPr>
        <w:t>Haldiram</w:t>
      </w:r>
      <w:proofErr w:type="spellEnd"/>
      <w:r w:rsidRPr="00980C61">
        <w:rPr>
          <w:rFonts w:cs="Arial"/>
          <w:i/>
          <w:color w:val="000000"/>
          <w:lang w:val="es-ES"/>
        </w:rPr>
        <w:t xml:space="preserve"> </w:t>
      </w:r>
      <w:r w:rsidRPr="00980C61">
        <w:rPr>
          <w:rFonts w:cs="Arial"/>
          <w:color w:val="000000"/>
          <w:lang w:val="es-ES"/>
        </w:rPr>
        <w:t xml:space="preserve">(India);  iii) </w:t>
      </w:r>
      <w:proofErr w:type="spellStart"/>
      <w:r w:rsidRPr="00980C61">
        <w:rPr>
          <w:rFonts w:cs="Arial"/>
          <w:i/>
          <w:color w:val="000000"/>
          <w:lang w:val="es-ES"/>
        </w:rPr>
        <w:t>Wondereight</w:t>
      </w:r>
      <w:proofErr w:type="spellEnd"/>
      <w:r w:rsidRPr="00980C61">
        <w:rPr>
          <w:rFonts w:cs="Arial"/>
          <w:color w:val="000000"/>
          <w:lang w:val="es-ES"/>
        </w:rPr>
        <w:t xml:space="preserve"> (Líbano);  iv) Desarrollar programas informáticos asequibles para la pequeña empresa</w:t>
      </w:r>
      <w:r w:rsidRPr="00980C61">
        <w:rPr>
          <w:rFonts w:cs="Arial"/>
          <w:i/>
          <w:color w:val="000000"/>
          <w:lang w:val="es-ES"/>
        </w:rPr>
        <w:t>:  HSCO LLP</w:t>
      </w:r>
      <w:r w:rsidRPr="00980C61">
        <w:rPr>
          <w:rFonts w:cs="Arial"/>
          <w:color w:val="000000"/>
          <w:lang w:val="es-ES"/>
        </w:rPr>
        <w:t xml:space="preserve"> (Reino Unido/Jordania)</w:t>
      </w:r>
      <w:r w:rsidR="002E6163">
        <w:rPr>
          <w:rFonts w:cs="Arial"/>
          <w:color w:val="000000"/>
          <w:lang w:val="es-ES"/>
        </w:rPr>
        <w:t xml:space="preserve">; </w:t>
      </w:r>
      <w:r w:rsidRPr="00980C61">
        <w:rPr>
          <w:rFonts w:cs="Arial"/>
          <w:color w:val="000000"/>
          <w:lang w:val="es-ES"/>
        </w:rPr>
        <w:t xml:space="preserve"> y v) Para que la energía fluya con seguridad:  </w:t>
      </w:r>
      <w:proofErr w:type="spellStart"/>
      <w:r w:rsidRPr="00980C61">
        <w:rPr>
          <w:rFonts w:cs="Arial"/>
          <w:i/>
          <w:color w:val="000000"/>
          <w:lang w:val="es-ES"/>
        </w:rPr>
        <w:t>PipeWay</w:t>
      </w:r>
      <w:proofErr w:type="spellEnd"/>
      <w:r w:rsidRPr="00980C61">
        <w:rPr>
          <w:rFonts w:cs="Arial"/>
          <w:i/>
          <w:color w:val="000000"/>
          <w:lang w:val="es-ES"/>
        </w:rPr>
        <w:t xml:space="preserve"> </w:t>
      </w:r>
      <w:proofErr w:type="spellStart"/>
      <w:r w:rsidRPr="00980C61">
        <w:rPr>
          <w:rFonts w:cs="Arial"/>
          <w:i/>
          <w:color w:val="000000"/>
          <w:lang w:val="es-ES"/>
        </w:rPr>
        <w:t>Engenharia</w:t>
      </w:r>
      <w:proofErr w:type="spellEnd"/>
      <w:r>
        <w:rPr>
          <w:rFonts w:cs="Arial"/>
          <w:color w:val="000000"/>
          <w:lang w:val="es-ES"/>
        </w:rPr>
        <w:t xml:space="preserve"> (Brasil), y estos dos </w:t>
      </w:r>
      <w:r w:rsidRPr="00980C61">
        <w:rPr>
          <w:rFonts w:cs="Arial"/>
          <w:color w:val="000000"/>
          <w:lang w:val="es-ES"/>
        </w:rPr>
        <w:t xml:space="preserve">últimos </w:t>
      </w:r>
      <w:r>
        <w:rPr>
          <w:rFonts w:cs="Arial"/>
          <w:color w:val="000000"/>
          <w:lang w:val="es-ES"/>
        </w:rPr>
        <w:t xml:space="preserve">estudios </w:t>
      </w:r>
      <w:r w:rsidRPr="00980C61">
        <w:rPr>
          <w:rFonts w:cs="Arial"/>
          <w:color w:val="000000"/>
          <w:lang w:val="es-ES"/>
        </w:rPr>
        <w:t xml:space="preserve">fueron publicados en IP </w:t>
      </w:r>
      <w:proofErr w:type="spellStart"/>
      <w:r w:rsidRPr="00980C61">
        <w:rPr>
          <w:rFonts w:cs="Arial"/>
          <w:color w:val="000000"/>
          <w:lang w:val="es-ES"/>
        </w:rPr>
        <w:t>Advantage</w:t>
      </w:r>
      <w:proofErr w:type="spellEnd"/>
      <w:r w:rsidRPr="00980C61">
        <w:rPr>
          <w:rFonts w:cs="Arial"/>
          <w:color w:val="000000"/>
          <w:lang w:val="es-ES"/>
        </w:rPr>
        <w:t>.</w:t>
      </w:r>
    </w:p>
    <w:p w:rsidR="008A591C" w:rsidRPr="00980C61" w:rsidRDefault="008A591C" w:rsidP="00C74007">
      <w:pPr>
        <w:pStyle w:val="ListParagraph"/>
        <w:tabs>
          <w:tab w:val="left" w:pos="709"/>
        </w:tabs>
        <w:autoSpaceDE w:val="0"/>
        <w:autoSpaceDN w:val="0"/>
        <w:adjustRightInd w:val="0"/>
        <w:ind w:left="0"/>
        <w:jc w:val="both"/>
        <w:rPr>
          <w:rFonts w:cs="Arial"/>
          <w:color w:val="000000"/>
          <w:lang w:val="es-ES"/>
        </w:rPr>
      </w:pPr>
    </w:p>
    <w:p w:rsidR="008A591C" w:rsidRPr="00980C61" w:rsidRDefault="008A591C" w:rsidP="00C74007">
      <w:pPr>
        <w:pStyle w:val="ListParagraph"/>
        <w:numPr>
          <w:ilvl w:val="0"/>
          <w:numId w:val="67"/>
        </w:numPr>
        <w:tabs>
          <w:tab w:val="left" w:pos="709"/>
        </w:tabs>
        <w:autoSpaceDE w:val="0"/>
        <w:autoSpaceDN w:val="0"/>
        <w:adjustRightInd w:val="0"/>
        <w:ind w:left="0" w:firstLine="0"/>
        <w:jc w:val="both"/>
        <w:rPr>
          <w:rFonts w:cs="Arial"/>
          <w:color w:val="000000"/>
          <w:lang w:val="es-ES"/>
        </w:rPr>
      </w:pPr>
      <w:r w:rsidRPr="00980C61">
        <w:rPr>
          <w:rFonts w:cs="Arial"/>
          <w:color w:val="000000"/>
          <w:lang w:val="es-ES"/>
        </w:rPr>
        <w:t>En el marco del programa y con arreglo a las recomendaciones 1, 4, 10 y 11 de la A.D., se organizaron 40 seminarios, talleres o programas de formación de formadores sobre la gestión de la P.I. para las pymes en 30 países, principalmente países en desarrollo y PMA de África, la región árabe, Asia y el Pacífico, y América Latina y el Caribe, y países en transición, o se participó en ellos.  Estos programas, que corrieron a cargo de 29 expertos y oradores de países en desarrollo (13), países en transición (4) y países desarrollados (12), beneficiaron a más de 2</w:t>
      </w:r>
      <w:r>
        <w:rPr>
          <w:rFonts w:cs="Arial"/>
          <w:color w:val="000000"/>
          <w:lang w:val="es-ES"/>
        </w:rPr>
        <w:t>.</w:t>
      </w:r>
      <w:r w:rsidRPr="00980C61">
        <w:rPr>
          <w:rFonts w:cs="Arial"/>
          <w:color w:val="000000"/>
          <w:lang w:val="es-ES"/>
        </w:rPr>
        <w:t xml:space="preserve">000 representantes de pymes y de instituciones de apoyo a las pymes de 93 países, de los que 21 eran PMA, 56 países en desarrollo y 16 países con economías en transición.  Asumiendo un mayor protagonismo, las oficinas de P.I. o las cámaras de comercio de los Estados miembros interesados participaron activamente en la etapa de </w:t>
      </w:r>
      <w:r w:rsidRPr="00980C61">
        <w:rPr>
          <w:rFonts w:cs="Arial"/>
          <w:color w:val="000000"/>
          <w:lang w:val="es-ES"/>
        </w:rPr>
        <w:lastRenderedPageBreak/>
        <w:t>planificación e hicieron contribuciones sustanciales al desarrollo y ejecución de los programas, en particular en lo tocante a la selección de los oradores y los temas del programa.  Por otra parte, en el marco del programa de formación de formadores se celebró una mesa redonda en torno a la cuestión de la sensibilización y la utilización de la P.I. por la pymes, en la que se determinaron las dificultades a que se enfrentaban las pymes y las instituciones de apoyo a las pymes</w:t>
      </w:r>
      <w:r>
        <w:rPr>
          <w:rFonts w:cs="Arial"/>
          <w:color w:val="000000"/>
          <w:lang w:val="es-ES"/>
        </w:rPr>
        <w:t xml:space="preserve"> en el ámbito local</w:t>
      </w:r>
      <w:r w:rsidRPr="00980C61">
        <w:rPr>
          <w:rFonts w:cs="Arial"/>
          <w:color w:val="000000"/>
          <w:lang w:val="es-ES"/>
        </w:rPr>
        <w:t>, y se propuso una hoja de ruta para superar esas dificultades, con arreglo a la recomendación 4.</w:t>
      </w:r>
    </w:p>
    <w:p w:rsidR="008A591C" w:rsidRPr="00980C61" w:rsidRDefault="008A591C" w:rsidP="00C74007">
      <w:pPr>
        <w:tabs>
          <w:tab w:val="left" w:pos="709"/>
        </w:tabs>
        <w:autoSpaceDE w:val="0"/>
        <w:autoSpaceDN w:val="0"/>
        <w:adjustRightInd w:val="0"/>
        <w:jc w:val="both"/>
        <w:rPr>
          <w:caps/>
        </w:rPr>
      </w:pPr>
    </w:p>
    <w:p w:rsidR="008A591C" w:rsidRPr="00D25674" w:rsidRDefault="008A591C" w:rsidP="00C74007">
      <w:pPr>
        <w:tabs>
          <w:tab w:val="left" w:pos="709"/>
        </w:tabs>
        <w:autoSpaceDE w:val="0"/>
        <w:autoSpaceDN w:val="0"/>
        <w:adjustRightInd w:val="0"/>
        <w:jc w:val="both"/>
        <w:rPr>
          <w:caps/>
          <w:sz w:val="20"/>
        </w:rPr>
      </w:pPr>
      <w:r w:rsidRPr="00D25674">
        <w:rPr>
          <w:caps/>
          <w:sz w:val="20"/>
        </w:rPr>
        <w:t>POLÍTICA DE INNOVACIÓN</w:t>
      </w:r>
    </w:p>
    <w:p w:rsidR="008A591C" w:rsidRPr="00980C61" w:rsidRDefault="008A591C" w:rsidP="00C74007">
      <w:pPr>
        <w:tabs>
          <w:tab w:val="left" w:pos="709"/>
        </w:tabs>
        <w:autoSpaceDE w:val="0"/>
        <w:autoSpaceDN w:val="0"/>
        <w:adjustRightInd w:val="0"/>
        <w:jc w:val="both"/>
        <w:rPr>
          <w:caps/>
        </w:rPr>
      </w:pPr>
    </w:p>
    <w:p w:rsidR="008A591C" w:rsidRPr="00980C61" w:rsidRDefault="008A591C" w:rsidP="00C74007">
      <w:pPr>
        <w:pStyle w:val="ListParagraph"/>
        <w:numPr>
          <w:ilvl w:val="0"/>
          <w:numId w:val="67"/>
        </w:numPr>
        <w:tabs>
          <w:tab w:val="left" w:pos="709"/>
        </w:tabs>
        <w:autoSpaceDE w:val="0"/>
        <w:autoSpaceDN w:val="0"/>
        <w:adjustRightInd w:val="0"/>
        <w:ind w:left="0" w:firstLine="0"/>
        <w:jc w:val="both"/>
        <w:rPr>
          <w:rFonts w:cs="Arial"/>
          <w:color w:val="000000"/>
          <w:lang w:val="es-ES"/>
        </w:rPr>
      </w:pPr>
      <w:r w:rsidRPr="00980C61">
        <w:rPr>
          <w:rFonts w:cs="Arial"/>
          <w:color w:val="000000"/>
          <w:lang w:val="es-ES"/>
        </w:rPr>
        <w:t xml:space="preserve">A lo largo del bienio, prosiguió la labor de determinación de los ámbitos de interacción entre la política de innovación y la P.I.  Una vez finalizada la ejecución del proyecto piloto sobre la integración de la P.I. en la formulación de la política de innovación en Serbia durante el bienio anterior, se dio inicio a los proyectos nacionales en el Camerún, Jamaica, </w:t>
      </w:r>
      <w:proofErr w:type="spellStart"/>
      <w:r w:rsidRPr="00980C61">
        <w:rPr>
          <w:rFonts w:cs="Arial"/>
          <w:color w:val="000000"/>
          <w:lang w:val="es-ES"/>
        </w:rPr>
        <w:t>Rwanda</w:t>
      </w:r>
      <w:proofErr w:type="spellEnd"/>
      <w:r w:rsidRPr="00980C61">
        <w:rPr>
          <w:rFonts w:cs="Arial"/>
          <w:color w:val="000000"/>
          <w:lang w:val="es-ES"/>
        </w:rPr>
        <w:t xml:space="preserve">, Sri Lanka y Trinidad y </w:t>
      </w:r>
      <w:proofErr w:type="spellStart"/>
      <w:r w:rsidRPr="00980C61">
        <w:rPr>
          <w:rFonts w:cs="Arial"/>
          <w:color w:val="000000"/>
          <w:lang w:val="es-ES"/>
        </w:rPr>
        <w:t>Tabago</w:t>
      </w:r>
      <w:proofErr w:type="spellEnd"/>
      <w:r w:rsidRPr="00980C61">
        <w:rPr>
          <w:rFonts w:cs="Arial"/>
          <w:color w:val="000000"/>
          <w:lang w:val="es-ES"/>
        </w:rPr>
        <w:t>.  El objetivo de estos proyectos era hacer un balance general del sistema de innovación en los países seleccionados</w:t>
      </w:r>
      <w:r>
        <w:rPr>
          <w:rFonts w:cs="Arial"/>
          <w:color w:val="000000"/>
          <w:lang w:val="es-ES"/>
        </w:rPr>
        <w:t xml:space="preserve"> y determinar </w:t>
      </w:r>
      <w:r w:rsidRPr="00980C61">
        <w:rPr>
          <w:rFonts w:cs="Arial"/>
          <w:color w:val="000000"/>
          <w:lang w:val="es-ES"/>
        </w:rPr>
        <w:t>los principales actores, su participación en el sistema de innovación, su nivel de conocimientos y confianza en el sistema de P.I., así como las insuficiencias y necesidades del sistema de innovación desde la perspectiva de la P.I.  Esta labor tenía por fin recabar más información para la elaboración de estrategias nacionales de P.I. más eficaces y contribuir a la prestación por la OMPI de servicios de apoyo más apropiados, mejor concebidos y adaptados a las necesidades.  Uno de los resultados positivos de estos proyectos fue la colaboración que se consiguió entablar en torno a un proyecto más grande</w:t>
      </w:r>
      <w:r w:rsidRPr="00F91D94">
        <w:rPr>
          <w:rFonts w:cs="Arial"/>
          <w:color w:val="000000"/>
          <w:lang w:val="es-ES"/>
        </w:rPr>
        <w:t xml:space="preserve"> </w:t>
      </w:r>
      <w:r w:rsidRPr="00980C61">
        <w:rPr>
          <w:rFonts w:cs="Arial"/>
          <w:color w:val="000000"/>
          <w:lang w:val="es-ES"/>
        </w:rPr>
        <w:t>en el Caribe, financiado por la Unión Europea</w:t>
      </w:r>
      <w:r>
        <w:rPr>
          <w:rFonts w:cs="Arial"/>
          <w:color w:val="000000"/>
          <w:lang w:val="es-ES"/>
        </w:rPr>
        <w:t>,</w:t>
      </w:r>
      <w:r w:rsidRPr="00980C61">
        <w:rPr>
          <w:rFonts w:cs="Arial"/>
          <w:color w:val="000000"/>
          <w:lang w:val="es-ES"/>
        </w:rPr>
        <w:t xml:space="preserve"> que llevaba por título IPICA</w:t>
      </w:r>
      <w:proofErr w:type="gramStart"/>
      <w:r w:rsidRPr="00980C61">
        <w:rPr>
          <w:rFonts w:cs="Arial"/>
          <w:color w:val="000000"/>
          <w:lang w:val="es-ES"/>
        </w:rPr>
        <w:t>:  Potenciación</w:t>
      </w:r>
      <w:proofErr w:type="gramEnd"/>
      <w:r w:rsidRPr="00980C61">
        <w:rPr>
          <w:rFonts w:cs="Arial"/>
          <w:color w:val="000000"/>
          <w:lang w:val="es-ES"/>
        </w:rPr>
        <w:t xml:space="preserve"> de la transferencia de conocimientos en el Caribe mediante regímenes eficaces de derechos de P.I. y de transferencia de conocimientos, coordinado por la Universidad de Alicante.  Además, el Gobierno de Sri Lanka emprendió un proyecto sobre la gestión eficaz de los resultados de la investigación en las universidades tras las recomendaciones formuladas en el informe mencionado anteriormente.</w:t>
      </w:r>
    </w:p>
    <w:p w:rsidR="008A591C" w:rsidRPr="00980C61" w:rsidRDefault="008A591C" w:rsidP="00C74007">
      <w:pPr>
        <w:pStyle w:val="ListParagraph"/>
        <w:tabs>
          <w:tab w:val="left" w:pos="709"/>
        </w:tabs>
        <w:autoSpaceDE w:val="0"/>
        <w:autoSpaceDN w:val="0"/>
        <w:adjustRightInd w:val="0"/>
        <w:ind w:left="0"/>
        <w:jc w:val="both"/>
        <w:rPr>
          <w:rFonts w:cs="Arial"/>
          <w:color w:val="000000"/>
          <w:lang w:val="es-ES"/>
        </w:rPr>
      </w:pPr>
    </w:p>
    <w:p w:rsidR="008A591C" w:rsidRPr="00980C61" w:rsidRDefault="008A591C" w:rsidP="00C74007">
      <w:pPr>
        <w:pStyle w:val="ListParagraph"/>
        <w:numPr>
          <w:ilvl w:val="0"/>
          <w:numId w:val="67"/>
        </w:numPr>
        <w:tabs>
          <w:tab w:val="left" w:pos="709"/>
        </w:tabs>
        <w:autoSpaceDE w:val="0"/>
        <w:autoSpaceDN w:val="0"/>
        <w:adjustRightInd w:val="0"/>
        <w:ind w:left="0" w:firstLine="0"/>
        <w:jc w:val="both"/>
        <w:rPr>
          <w:rFonts w:cs="Arial"/>
          <w:color w:val="000000"/>
          <w:lang w:val="es-ES"/>
        </w:rPr>
      </w:pPr>
      <w:r w:rsidRPr="00980C61">
        <w:rPr>
          <w:rFonts w:cs="Arial"/>
          <w:color w:val="000000"/>
          <w:lang w:val="es-ES"/>
        </w:rPr>
        <w:t xml:space="preserve">A fin de seguir desarrollando la labor de integración de la P.I. en la formulación de políticas de innovación, se llevó a cabo un examen de la bibliografía relativa a la interacción de la P.I. en la formulación de políticas de innovación con la asistencia del Manchester </w:t>
      </w:r>
      <w:proofErr w:type="spellStart"/>
      <w:r w:rsidRPr="00980C61">
        <w:rPr>
          <w:rFonts w:cs="Arial"/>
          <w:color w:val="000000"/>
          <w:lang w:val="es-ES"/>
        </w:rPr>
        <w:t>Institute</w:t>
      </w:r>
      <w:proofErr w:type="spellEnd"/>
      <w:r w:rsidRPr="00980C61">
        <w:rPr>
          <w:rFonts w:cs="Arial"/>
          <w:color w:val="000000"/>
          <w:lang w:val="es-ES"/>
        </w:rPr>
        <w:t xml:space="preserve"> of </w:t>
      </w:r>
      <w:proofErr w:type="spellStart"/>
      <w:r w:rsidRPr="00980C61">
        <w:rPr>
          <w:rFonts w:cs="Arial"/>
          <w:color w:val="000000"/>
          <w:lang w:val="es-ES"/>
        </w:rPr>
        <w:t>Innovation</w:t>
      </w:r>
      <w:proofErr w:type="spellEnd"/>
      <w:r w:rsidRPr="00980C61">
        <w:rPr>
          <w:rFonts w:cs="Arial"/>
          <w:color w:val="000000"/>
          <w:lang w:val="es-ES"/>
        </w:rPr>
        <w:t xml:space="preserve"> </w:t>
      </w:r>
      <w:proofErr w:type="spellStart"/>
      <w:r w:rsidRPr="00980C61">
        <w:rPr>
          <w:rFonts w:cs="Arial"/>
          <w:color w:val="000000"/>
          <w:lang w:val="es-ES"/>
        </w:rPr>
        <w:t>Research</w:t>
      </w:r>
      <w:proofErr w:type="spellEnd"/>
      <w:r w:rsidRPr="00980C61">
        <w:rPr>
          <w:rFonts w:cs="Arial"/>
          <w:color w:val="000000"/>
          <w:lang w:val="es-ES"/>
        </w:rPr>
        <w:t xml:space="preserve">.  En el examen se describían las ideas, los debates y las discusiones existentes en las obras publicadas acerca de la </w:t>
      </w:r>
      <w:r>
        <w:rPr>
          <w:rFonts w:cs="Arial"/>
          <w:color w:val="000000"/>
          <w:lang w:val="es-ES"/>
        </w:rPr>
        <w:t>confluencia</w:t>
      </w:r>
      <w:r w:rsidRPr="00980C61">
        <w:rPr>
          <w:rFonts w:cs="Arial"/>
          <w:color w:val="000000"/>
          <w:lang w:val="es-ES"/>
        </w:rPr>
        <w:t xml:space="preserve"> de la P.I. y la formulación de políticas de innovación. </w:t>
      </w:r>
    </w:p>
    <w:p w:rsidR="008A591C" w:rsidRPr="00980C61" w:rsidRDefault="008A591C" w:rsidP="00C74007">
      <w:pPr>
        <w:pStyle w:val="ListParagraph"/>
        <w:tabs>
          <w:tab w:val="left" w:pos="709"/>
        </w:tabs>
        <w:autoSpaceDE w:val="0"/>
        <w:autoSpaceDN w:val="0"/>
        <w:adjustRightInd w:val="0"/>
        <w:ind w:left="0"/>
        <w:jc w:val="both"/>
        <w:rPr>
          <w:rFonts w:cs="Arial"/>
          <w:color w:val="000000"/>
          <w:lang w:val="es-ES"/>
        </w:rPr>
      </w:pPr>
    </w:p>
    <w:p w:rsidR="008A591C" w:rsidRPr="00980C61" w:rsidRDefault="008A591C" w:rsidP="00C74007">
      <w:pPr>
        <w:pStyle w:val="ListParagraph"/>
        <w:tabs>
          <w:tab w:val="left" w:pos="709"/>
        </w:tabs>
        <w:autoSpaceDE w:val="0"/>
        <w:autoSpaceDN w:val="0"/>
        <w:adjustRightInd w:val="0"/>
        <w:ind w:left="0"/>
        <w:jc w:val="both"/>
        <w:rPr>
          <w:rFonts w:cs="Arial"/>
          <w:color w:val="000000"/>
          <w:lang w:val="es-ES"/>
        </w:rPr>
      </w:pPr>
      <w:r w:rsidRPr="00980C61">
        <w:rPr>
          <w:rFonts w:cs="Arial"/>
          <w:color w:val="000000"/>
          <w:lang w:val="es-ES"/>
        </w:rPr>
        <w:t>ESTRUCTURAS DE INNOVACIÓN</w:t>
      </w:r>
    </w:p>
    <w:p w:rsidR="008A591C" w:rsidRPr="00980C61" w:rsidRDefault="008A591C" w:rsidP="00C74007">
      <w:pPr>
        <w:pStyle w:val="ListParagraph"/>
        <w:tabs>
          <w:tab w:val="left" w:pos="709"/>
        </w:tabs>
        <w:autoSpaceDE w:val="0"/>
        <w:autoSpaceDN w:val="0"/>
        <w:adjustRightInd w:val="0"/>
        <w:ind w:left="0"/>
        <w:jc w:val="both"/>
        <w:rPr>
          <w:rFonts w:cs="Arial"/>
          <w:color w:val="000000"/>
          <w:lang w:val="es-ES"/>
        </w:rPr>
      </w:pPr>
    </w:p>
    <w:p w:rsidR="008A591C" w:rsidRDefault="008A591C" w:rsidP="00C74007">
      <w:pPr>
        <w:pStyle w:val="ListParagraph"/>
        <w:numPr>
          <w:ilvl w:val="0"/>
          <w:numId w:val="67"/>
        </w:numPr>
        <w:tabs>
          <w:tab w:val="left" w:pos="709"/>
        </w:tabs>
        <w:autoSpaceDE w:val="0"/>
        <w:autoSpaceDN w:val="0"/>
        <w:adjustRightInd w:val="0"/>
        <w:ind w:left="0" w:firstLine="0"/>
        <w:jc w:val="both"/>
        <w:rPr>
          <w:rFonts w:cs="Arial"/>
          <w:color w:val="000000"/>
          <w:lang w:val="es-ES"/>
        </w:rPr>
      </w:pPr>
      <w:r w:rsidRPr="00980C61">
        <w:rPr>
          <w:rFonts w:cs="Arial"/>
          <w:color w:val="000000"/>
          <w:lang w:val="es-ES"/>
        </w:rPr>
        <w:t xml:space="preserve">Merced a los proyectos de comercialización de la P.I. a medida, los programas de fortalecimiento de capacidades y los servicios de asesoramiento prestados a los Estados miembros de la OMPI, el programa también posibilitó el establecimiento de una infraestructura jurídica e institucional adecuada y la formación de capital humano </w:t>
      </w:r>
      <w:r>
        <w:rPr>
          <w:rFonts w:cs="Arial"/>
          <w:color w:val="000000"/>
          <w:lang w:val="es-ES"/>
        </w:rPr>
        <w:t>especializado en la promoción de</w:t>
      </w:r>
      <w:r w:rsidRPr="00980C61">
        <w:rPr>
          <w:rFonts w:cs="Arial"/>
          <w:color w:val="000000"/>
          <w:lang w:val="es-ES"/>
        </w:rPr>
        <w:t xml:space="preserve"> la creatividad y la gestión estratégica de los derechos de P.I. respecto de los conocimientos y los resultados de la investigación desde las etapas iniciales hasta su llegada a los mercados de tecnología, mediante la utilización del sistema de P.I, y de herramientas y procesos de comercialización.  Gracias a los métodos de formación personalizada, se formó a unos 2.200 profesionales (funcionarios gubernamentales, administradores de tecnología, científicos y agentes de patentes) a través de actividades </w:t>
      </w:r>
      <w:r w:rsidRPr="00980C61">
        <w:rPr>
          <w:rFonts w:cs="Arial"/>
          <w:i/>
          <w:color w:val="000000"/>
          <w:lang w:val="es-ES"/>
        </w:rPr>
        <w:t>in situ</w:t>
      </w:r>
      <w:r>
        <w:rPr>
          <w:rFonts w:cs="Arial"/>
          <w:color w:val="000000"/>
          <w:lang w:val="es-ES"/>
        </w:rPr>
        <w:t xml:space="preserve">, </w:t>
      </w:r>
      <w:r w:rsidRPr="00980C61">
        <w:rPr>
          <w:rFonts w:cs="Arial"/>
          <w:color w:val="000000"/>
          <w:lang w:val="es-ES"/>
        </w:rPr>
        <w:t>y otros 100 interesados del sector de la innovación, incluidas mujeres emprendedoras de África, recibieron formación a través de más de 123 módulos de formación práctica a distancia y videoconferencias.</w:t>
      </w:r>
    </w:p>
    <w:p w:rsidR="008A591C" w:rsidRDefault="008A591C" w:rsidP="00C74007">
      <w:pPr>
        <w:pStyle w:val="ListParagraph"/>
        <w:tabs>
          <w:tab w:val="left" w:pos="709"/>
        </w:tabs>
        <w:autoSpaceDE w:val="0"/>
        <w:autoSpaceDN w:val="0"/>
        <w:adjustRightInd w:val="0"/>
        <w:ind w:left="0"/>
        <w:jc w:val="both"/>
        <w:rPr>
          <w:rFonts w:cs="Arial"/>
          <w:color w:val="000000"/>
          <w:lang w:val="es-ES"/>
        </w:rPr>
      </w:pPr>
    </w:p>
    <w:p w:rsidR="008A591C" w:rsidRPr="003A4A49" w:rsidRDefault="008A591C" w:rsidP="00C74007">
      <w:pPr>
        <w:pStyle w:val="ListParagraph"/>
        <w:numPr>
          <w:ilvl w:val="0"/>
          <w:numId w:val="67"/>
        </w:numPr>
        <w:tabs>
          <w:tab w:val="left" w:pos="709"/>
        </w:tabs>
        <w:autoSpaceDE w:val="0"/>
        <w:autoSpaceDN w:val="0"/>
        <w:adjustRightInd w:val="0"/>
        <w:ind w:left="0" w:firstLine="0"/>
        <w:jc w:val="both"/>
        <w:rPr>
          <w:rFonts w:cs="Arial"/>
          <w:color w:val="000000"/>
          <w:lang w:val="es-ES"/>
        </w:rPr>
      </w:pPr>
      <w:r w:rsidRPr="003A4A49">
        <w:rPr>
          <w:rFonts w:cs="Arial"/>
          <w:color w:val="000000"/>
          <w:lang w:val="es-ES"/>
        </w:rPr>
        <w:t xml:space="preserve">En 2014 se revisó el proyecto de creación de oficinas de transferencia de tecnología (OTT) en la región árabe con el fin de ampliar su alcance geográfico en atención a las peticiones de los Estados miembros.  En ese contexto, la ejecución del plan de acción para Túnez se centró en la infraestructura jurídica e institucional de las instituciones beneficiarias en Túnez.  Se siguió avanzando en el proceso de consolidación de cuatro OTT en Túnez con el fin de que funcionaran de manera independiente y duradera.  </w:t>
      </w:r>
      <w:r>
        <w:rPr>
          <w:rFonts w:cs="Arial"/>
          <w:color w:val="000000"/>
          <w:lang w:val="es-ES"/>
        </w:rPr>
        <w:t xml:space="preserve">A tal efecto, se terminó de elaborar varias </w:t>
      </w:r>
      <w:r w:rsidRPr="003A4A49">
        <w:rPr>
          <w:rFonts w:cs="Arial"/>
          <w:color w:val="000000"/>
          <w:lang w:val="es-ES"/>
        </w:rPr>
        <w:t>políticas institucionales de P.I.</w:t>
      </w:r>
      <w:r>
        <w:rPr>
          <w:rFonts w:cs="Arial"/>
          <w:color w:val="000000"/>
          <w:lang w:val="es-ES"/>
        </w:rPr>
        <w:t xml:space="preserve"> para el</w:t>
      </w:r>
      <w:r w:rsidRPr="003A4A49">
        <w:rPr>
          <w:rFonts w:cs="Arial"/>
          <w:color w:val="000000"/>
          <w:lang w:val="es-ES"/>
        </w:rPr>
        <w:t xml:space="preserve"> </w:t>
      </w:r>
      <w:r w:rsidRPr="003A4A49">
        <w:rPr>
          <w:rFonts w:cs="Arial"/>
          <w:i/>
          <w:color w:val="000000"/>
          <w:lang w:val="es-ES"/>
        </w:rPr>
        <w:t xml:space="preserve">Centre </w:t>
      </w:r>
      <w:proofErr w:type="spellStart"/>
      <w:r w:rsidRPr="003A4A49">
        <w:rPr>
          <w:rFonts w:cs="Arial"/>
          <w:i/>
          <w:color w:val="000000"/>
          <w:lang w:val="es-ES"/>
        </w:rPr>
        <w:t>Technique</w:t>
      </w:r>
      <w:proofErr w:type="spellEnd"/>
      <w:r w:rsidRPr="003A4A49">
        <w:rPr>
          <w:rFonts w:cs="Arial"/>
          <w:i/>
          <w:color w:val="000000"/>
          <w:lang w:val="es-ES"/>
        </w:rPr>
        <w:t xml:space="preserve"> de la </w:t>
      </w:r>
      <w:proofErr w:type="spellStart"/>
      <w:r w:rsidRPr="003A4A49">
        <w:rPr>
          <w:rFonts w:cs="Arial"/>
          <w:i/>
          <w:color w:val="000000"/>
          <w:lang w:val="es-ES"/>
        </w:rPr>
        <w:t>Chimie</w:t>
      </w:r>
      <w:proofErr w:type="spellEnd"/>
      <w:r w:rsidRPr="003A4A49">
        <w:rPr>
          <w:rFonts w:cs="Arial"/>
          <w:color w:val="000000"/>
          <w:lang w:val="es-ES"/>
        </w:rPr>
        <w:t xml:space="preserve"> (CTC)</w:t>
      </w:r>
      <w:r>
        <w:rPr>
          <w:rFonts w:cs="Arial"/>
          <w:color w:val="000000"/>
          <w:lang w:val="es-ES"/>
        </w:rPr>
        <w:t>, el p</w:t>
      </w:r>
      <w:r w:rsidRPr="003A4A49">
        <w:rPr>
          <w:rFonts w:cs="Arial"/>
          <w:color w:val="000000"/>
          <w:lang w:val="es-ES"/>
        </w:rPr>
        <w:t xml:space="preserve">arque tecnológico El </w:t>
      </w:r>
      <w:proofErr w:type="spellStart"/>
      <w:r w:rsidRPr="003A4A49">
        <w:rPr>
          <w:rFonts w:cs="Arial"/>
          <w:color w:val="000000"/>
          <w:lang w:val="es-ES"/>
        </w:rPr>
        <w:t>Ghazala</w:t>
      </w:r>
      <w:proofErr w:type="spellEnd"/>
      <w:r w:rsidRPr="003A4A49">
        <w:rPr>
          <w:rFonts w:cs="Arial"/>
          <w:color w:val="000000"/>
          <w:lang w:val="es-ES"/>
        </w:rPr>
        <w:t xml:space="preserve">, </w:t>
      </w:r>
      <w:r>
        <w:rPr>
          <w:rFonts w:cs="Arial"/>
          <w:color w:val="000000"/>
          <w:lang w:val="es-ES"/>
        </w:rPr>
        <w:t xml:space="preserve">el </w:t>
      </w:r>
      <w:r w:rsidRPr="003A4A49">
        <w:rPr>
          <w:rFonts w:cs="Arial"/>
          <w:color w:val="000000"/>
          <w:lang w:val="es-ES"/>
        </w:rPr>
        <w:t xml:space="preserve">centro técnico de envasado </w:t>
      </w:r>
      <w:proofErr w:type="spellStart"/>
      <w:r>
        <w:rPr>
          <w:rFonts w:cs="Arial"/>
          <w:color w:val="000000"/>
          <w:lang w:val="es-ES"/>
        </w:rPr>
        <w:t>Packtec</w:t>
      </w:r>
      <w:proofErr w:type="spellEnd"/>
      <w:r>
        <w:rPr>
          <w:rFonts w:cs="Arial"/>
          <w:color w:val="000000"/>
          <w:lang w:val="es-ES"/>
        </w:rPr>
        <w:t xml:space="preserve"> y el p</w:t>
      </w:r>
      <w:r w:rsidRPr="003A4A49">
        <w:rPr>
          <w:rFonts w:cs="Arial"/>
          <w:color w:val="000000"/>
          <w:lang w:val="es-ES"/>
        </w:rPr>
        <w:t xml:space="preserve">arque tecnológico de Sidi </w:t>
      </w:r>
      <w:proofErr w:type="spellStart"/>
      <w:r w:rsidRPr="003A4A49">
        <w:rPr>
          <w:rFonts w:cs="Arial"/>
          <w:color w:val="000000"/>
          <w:lang w:val="es-ES"/>
        </w:rPr>
        <w:t>Thabet</w:t>
      </w:r>
      <w:proofErr w:type="spellEnd"/>
      <w:r w:rsidRPr="003A4A49">
        <w:rPr>
          <w:rFonts w:cs="Arial"/>
          <w:color w:val="000000"/>
          <w:lang w:val="es-ES"/>
        </w:rPr>
        <w:t xml:space="preserve"> (TST)</w:t>
      </w:r>
      <w:r>
        <w:rPr>
          <w:rFonts w:cs="Arial"/>
          <w:color w:val="000000"/>
          <w:lang w:val="es-ES"/>
        </w:rPr>
        <w:t>.</w:t>
      </w:r>
    </w:p>
    <w:p w:rsidR="008A591C" w:rsidRDefault="008A591C" w:rsidP="00C74007">
      <w:pPr>
        <w:pStyle w:val="ListParagraph"/>
        <w:tabs>
          <w:tab w:val="left" w:pos="709"/>
        </w:tabs>
        <w:autoSpaceDE w:val="0"/>
        <w:autoSpaceDN w:val="0"/>
        <w:adjustRightInd w:val="0"/>
        <w:ind w:left="0"/>
        <w:jc w:val="both"/>
        <w:rPr>
          <w:rFonts w:cs="Arial"/>
          <w:color w:val="000000"/>
          <w:lang w:val="es-ES"/>
        </w:rPr>
      </w:pPr>
    </w:p>
    <w:p w:rsidR="008A591C" w:rsidRPr="00F91D94" w:rsidRDefault="008A591C" w:rsidP="00C74007">
      <w:pPr>
        <w:pStyle w:val="ListParagraph"/>
        <w:numPr>
          <w:ilvl w:val="0"/>
          <w:numId w:val="67"/>
        </w:numPr>
        <w:tabs>
          <w:tab w:val="left" w:pos="709"/>
        </w:tabs>
        <w:autoSpaceDE w:val="0"/>
        <w:autoSpaceDN w:val="0"/>
        <w:adjustRightInd w:val="0"/>
        <w:ind w:left="0" w:firstLine="0"/>
        <w:jc w:val="both"/>
        <w:rPr>
          <w:rFonts w:cs="Arial"/>
          <w:color w:val="000000"/>
          <w:lang w:val="es-ES"/>
        </w:rPr>
      </w:pPr>
      <w:r w:rsidRPr="00F91D94">
        <w:rPr>
          <w:rFonts w:cs="Arial"/>
          <w:color w:val="000000"/>
          <w:lang w:val="es-ES"/>
        </w:rPr>
        <w:t>En colaboración con asociados internos y externos se organizaron unos 42 programas de formación, que se desglosan de la manera siguiente</w:t>
      </w:r>
      <w:proofErr w:type="gramStart"/>
      <w:r w:rsidRPr="00F91D94">
        <w:rPr>
          <w:rFonts w:cs="Arial"/>
          <w:color w:val="000000"/>
          <w:lang w:val="es-ES"/>
        </w:rPr>
        <w:t>:  11</w:t>
      </w:r>
      <w:proofErr w:type="gramEnd"/>
      <w:r w:rsidRPr="00F91D94">
        <w:rPr>
          <w:rFonts w:cs="Arial"/>
          <w:color w:val="000000"/>
          <w:lang w:val="es-ES"/>
        </w:rPr>
        <w:t xml:space="preserve"> programas sobre redacción de solicitudes de patentes, 16 sobre la gestión de los derechos de P.I. para las universidades e instituciones de I+D, 12 cursos de formación sobre la negociación de licencias de tecnología y tres cursos de formación en mercadotecnia y valoración de la P.I.  En 2014/15 se introdujeron nuevos temas</w:t>
      </w:r>
      <w:proofErr w:type="gramStart"/>
      <w:r w:rsidRPr="00F91D94">
        <w:rPr>
          <w:rFonts w:cs="Arial"/>
          <w:color w:val="000000"/>
          <w:lang w:val="es-ES"/>
        </w:rPr>
        <w:t>:  i</w:t>
      </w:r>
      <w:proofErr w:type="gramEnd"/>
      <w:r w:rsidRPr="00F91D94">
        <w:rPr>
          <w:rFonts w:cs="Arial"/>
          <w:color w:val="000000"/>
          <w:lang w:val="es-ES"/>
        </w:rPr>
        <w:t xml:space="preserve">) la protección de la P.I.;  (ii) </w:t>
      </w:r>
      <w:r>
        <w:rPr>
          <w:rFonts w:cs="Arial"/>
          <w:color w:val="000000"/>
          <w:lang w:val="es-ES"/>
        </w:rPr>
        <w:t xml:space="preserve">las </w:t>
      </w:r>
      <w:r w:rsidRPr="00F91D94">
        <w:rPr>
          <w:rFonts w:cs="Arial"/>
          <w:color w:val="000000"/>
          <w:lang w:val="es-ES"/>
        </w:rPr>
        <w:t xml:space="preserve">estrategias de comercialización de los resultados de la investigación para universidades e </w:t>
      </w:r>
      <w:r w:rsidRPr="00F91D94">
        <w:rPr>
          <w:rFonts w:cs="Arial"/>
          <w:color w:val="000000"/>
          <w:lang w:val="es-ES"/>
        </w:rPr>
        <w:lastRenderedPageBreak/>
        <w:t xml:space="preserve">I+D y la interpretación de documentos de patente para la judicatura;  y iii) </w:t>
      </w:r>
      <w:r>
        <w:rPr>
          <w:rFonts w:cs="Arial"/>
          <w:color w:val="000000"/>
          <w:lang w:val="es-ES"/>
        </w:rPr>
        <w:t xml:space="preserve">la </w:t>
      </w:r>
      <w:r w:rsidRPr="00F91D94">
        <w:rPr>
          <w:rFonts w:cs="Arial"/>
          <w:color w:val="000000"/>
          <w:lang w:val="es-ES"/>
        </w:rPr>
        <w:t>mercadotecnia de la P.I. para las universidades.</w:t>
      </w:r>
    </w:p>
    <w:p w:rsidR="008A591C" w:rsidRPr="00980C61" w:rsidRDefault="008A591C" w:rsidP="00C74007">
      <w:pPr>
        <w:pStyle w:val="ListParagraph"/>
        <w:tabs>
          <w:tab w:val="left" w:pos="709"/>
        </w:tabs>
        <w:autoSpaceDE w:val="0"/>
        <w:autoSpaceDN w:val="0"/>
        <w:adjustRightInd w:val="0"/>
        <w:ind w:left="0"/>
        <w:jc w:val="both"/>
        <w:rPr>
          <w:rFonts w:cs="Arial"/>
          <w:color w:val="000000"/>
          <w:lang w:val="es-ES"/>
        </w:rPr>
      </w:pPr>
    </w:p>
    <w:p w:rsidR="008A591C" w:rsidRPr="00980C61" w:rsidRDefault="008A591C" w:rsidP="00C74007">
      <w:pPr>
        <w:pStyle w:val="ListParagraph"/>
        <w:numPr>
          <w:ilvl w:val="0"/>
          <w:numId w:val="67"/>
        </w:numPr>
        <w:tabs>
          <w:tab w:val="left" w:pos="709"/>
        </w:tabs>
        <w:autoSpaceDE w:val="0"/>
        <w:autoSpaceDN w:val="0"/>
        <w:adjustRightInd w:val="0"/>
        <w:ind w:left="0" w:firstLine="0"/>
        <w:jc w:val="both"/>
        <w:rPr>
          <w:rFonts w:cs="Arial"/>
          <w:color w:val="000000"/>
          <w:lang w:val="es-ES"/>
        </w:rPr>
      </w:pPr>
      <w:r w:rsidRPr="00980C61">
        <w:rPr>
          <w:rFonts w:cs="Arial"/>
          <w:color w:val="000000"/>
          <w:lang w:val="es-ES"/>
        </w:rPr>
        <w:t>En 2014/15, se revisó el programa de la Iniciativa Universitaria a fin de que siguiera siendo pertinente teniendo en cuenta los cambios en las necesidades de las universidades e instituciones de I+D en los Estados miembros de la OMPI, en particular en los países en desarrollo y países desarrollados.  Se aplicó consecuentemente un nuevo enfoque de doble alcance:  i) alentar a los Estados miembros a establecer un marco regulatorio claro a nivel nacional acerca de la titularidad de los derechos de P.I. creados en las universidades o las instituciones públicas de investigac</w:t>
      </w:r>
      <w:r>
        <w:rPr>
          <w:rFonts w:cs="Arial"/>
          <w:color w:val="000000"/>
          <w:lang w:val="es-ES"/>
        </w:rPr>
        <w:t xml:space="preserve">ión;  y ii) prestar </w:t>
      </w:r>
      <w:r w:rsidRPr="00980C61">
        <w:rPr>
          <w:rFonts w:cs="Arial"/>
          <w:color w:val="000000"/>
          <w:lang w:val="es-ES"/>
        </w:rPr>
        <w:t xml:space="preserve">asistencia a los Estados miembros a la hora de elaborar políticas institucionales de P.I. y servicios de apoyo en ese ámbito, que equilibren de manera adecuada la protección de la P.I. y el acceso a los conocimientos.  En 2015, se puso en marcha un proyecto en </w:t>
      </w:r>
      <w:proofErr w:type="spellStart"/>
      <w:r w:rsidRPr="00980C61">
        <w:rPr>
          <w:rFonts w:cs="Arial"/>
          <w:color w:val="000000"/>
          <w:lang w:val="es-ES"/>
        </w:rPr>
        <w:t>Bostwana</w:t>
      </w:r>
      <w:proofErr w:type="spellEnd"/>
      <w:r w:rsidRPr="00980C61">
        <w:rPr>
          <w:rFonts w:cs="Arial"/>
          <w:color w:val="000000"/>
          <w:lang w:val="es-ES"/>
        </w:rPr>
        <w:t>, destinado a crear un modelo nacional de política institucional de P.I. con el fin de facilitar los esfuerzos de las universidades y las instituciones públicas de investigación para elaborar sus políticas internas.</w:t>
      </w:r>
    </w:p>
    <w:p w:rsidR="008A591C" w:rsidRPr="00980C61" w:rsidRDefault="008A591C" w:rsidP="00C74007">
      <w:pPr>
        <w:pStyle w:val="ListParagraph"/>
        <w:tabs>
          <w:tab w:val="left" w:pos="709"/>
        </w:tabs>
        <w:autoSpaceDE w:val="0"/>
        <w:autoSpaceDN w:val="0"/>
        <w:adjustRightInd w:val="0"/>
        <w:ind w:left="0"/>
        <w:jc w:val="both"/>
        <w:rPr>
          <w:rFonts w:cs="Arial"/>
          <w:color w:val="000000"/>
          <w:lang w:val="es-ES"/>
        </w:rPr>
      </w:pPr>
    </w:p>
    <w:p w:rsidR="008A591C" w:rsidRPr="00980C61" w:rsidRDefault="008A591C" w:rsidP="00C74007">
      <w:pPr>
        <w:pStyle w:val="ListParagraph"/>
        <w:numPr>
          <w:ilvl w:val="0"/>
          <w:numId w:val="67"/>
        </w:numPr>
        <w:tabs>
          <w:tab w:val="left" w:pos="709"/>
        </w:tabs>
        <w:autoSpaceDE w:val="0"/>
        <w:autoSpaceDN w:val="0"/>
        <w:adjustRightInd w:val="0"/>
        <w:ind w:left="0" w:firstLine="0"/>
        <w:jc w:val="both"/>
        <w:rPr>
          <w:rFonts w:cs="Arial"/>
          <w:lang w:val="es-ES"/>
        </w:rPr>
      </w:pPr>
      <w:r w:rsidRPr="00980C61">
        <w:rPr>
          <w:rFonts w:cs="Arial"/>
          <w:lang w:val="es-ES"/>
        </w:rPr>
        <w:t>Con arreglo a las recomendaciones 19, 25, 26 y 28 de la A.D. y en el marco del proyecto de propiedad intelectual y transferencia de tecnología</w:t>
      </w:r>
      <w:proofErr w:type="gramStart"/>
      <w:r w:rsidRPr="00980C61">
        <w:rPr>
          <w:rFonts w:cs="Arial"/>
          <w:lang w:val="es-ES"/>
        </w:rPr>
        <w:t>:  desafíos</w:t>
      </w:r>
      <w:proofErr w:type="gramEnd"/>
      <w:r w:rsidRPr="00980C61">
        <w:rPr>
          <w:rFonts w:cs="Arial"/>
          <w:lang w:val="es-ES"/>
        </w:rPr>
        <w:t xml:space="preserve"> comunes y búsqueda de soluciones, expertos internacionales </w:t>
      </w:r>
      <w:r>
        <w:rPr>
          <w:rFonts w:cs="Arial"/>
          <w:lang w:val="es-ES"/>
        </w:rPr>
        <w:t xml:space="preserve">examinaron </w:t>
      </w:r>
      <w:r w:rsidRPr="00980C61">
        <w:rPr>
          <w:rFonts w:cs="Arial"/>
          <w:lang w:val="es-ES"/>
        </w:rPr>
        <w:t xml:space="preserve">los seis estudios sobre distintas facetas de la transferencia de tecnología, </w:t>
      </w:r>
      <w:r>
        <w:rPr>
          <w:rFonts w:cs="Arial"/>
          <w:lang w:val="es-ES"/>
        </w:rPr>
        <w:t xml:space="preserve">que </w:t>
      </w:r>
      <w:r w:rsidRPr="00980C61">
        <w:rPr>
          <w:rFonts w:cs="Arial"/>
          <w:lang w:val="es-ES"/>
        </w:rPr>
        <w:t>fueron presentados al CDIP en su decimocuarta sesión</w:t>
      </w:r>
      <w:r>
        <w:rPr>
          <w:rFonts w:cs="Arial"/>
          <w:lang w:val="es-ES"/>
        </w:rPr>
        <w:t>,</w:t>
      </w:r>
      <w:r w:rsidRPr="00980C61">
        <w:rPr>
          <w:rFonts w:cs="Arial"/>
          <w:lang w:val="es-ES"/>
        </w:rPr>
        <w:t xml:space="preserve"> en noviembre de 2014.  Una vez finalizados los estudios, se elaboró un documento conceptual sobre la búsqueda de soluciones, tal como se había previsto en el documento de proyecto aprobado, que se  examinó en el foro internacional de expertos de alto nivel, celebrado en Ginebra del 16 al 18 de febrero de 2015.  En la decimoquinta sesión del Comité se presentó un informe sobre el foro de expertos de la OMPI acerca de la transferencia de tecnología y se examinó junto con el informe de evaluación del proyecto en la decimosexta sesión del CDIP.</w:t>
      </w:r>
    </w:p>
    <w:p w:rsidR="008A591C" w:rsidRPr="00980C61" w:rsidRDefault="008A591C" w:rsidP="00C74007">
      <w:pPr>
        <w:pStyle w:val="ListParagraph"/>
        <w:tabs>
          <w:tab w:val="left" w:pos="709"/>
        </w:tabs>
        <w:autoSpaceDE w:val="0"/>
        <w:autoSpaceDN w:val="0"/>
        <w:adjustRightInd w:val="0"/>
        <w:ind w:left="0"/>
        <w:jc w:val="both"/>
        <w:rPr>
          <w:rFonts w:cs="Arial"/>
          <w:lang w:val="es-ES"/>
        </w:rPr>
      </w:pPr>
    </w:p>
    <w:p w:rsidR="008A591C" w:rsidRPr="00980C61" w:rsidRDefault="008A591C" w:rsidP="00C74007">
      <w:pPr>
        <w:pStyle w:val="ListParagraph"/>
        <w:numPr>
          <w:ilvl w:val="0"/>
          <w:numId w:val="67"/>
        </w:numPr>
        <w:tabs>
          <w:tab w:val="left" w:pos="709"/>
        </w:tabs>
        <w:autoSpaceDE w:val="0"/>
        <w:autoSpaceDN w:val="0"/>
        <w:adjustRightInd w:val="0"/>
        <w:ind w:left="0" w:firstLine="0"/>
        <w:jc w:val="both"/>
        <w:rPr>
          <w:rFonts w:cs="Arial"/>
          <w:lang w:val="es-ES"/>
        </w:rPr>
      </w:pPr>
      <w:r w:rsidRPr="00980C61">
        <w:rPr>
          <w:rFonts w:cs="Arial"/>
          <w:lang w:val="es-ES"/>
        </w:rPr>
        <w:t xml:space="preserve">En relación con la recomendación 36 de la A.D. y en el marco del proyecto sobre los proyectos de colaboración abierta y modelos de P.I., se celebró una reunión de expertos en enero de 2014 en la sede de la OMPI, que </w:t>
      </w:r>
      <w:r>
        <w:rPr>
          <w:rFonts w:cs="Arial"/>
          <w:lang w:val="es-ES"/>
        </w:rPr>
        <w:t xml:space="preserve">adoptó la forma de </w:t>
      </w:r>
      <w:r w:rsidRPr="00980C61">
        <w:rPr>
          <w:rFonts w:cs="Arial"/>
          <w:lang w:val="es-ES"/>
        </w:rPr>
        <w:t>“Conferencia de la OMPI sobre la innovación compartida</w:t>
      </w:r>
      <w:proofErr w:type="gramStart"/>
      <w:r w:rsidRPr="00980C61">
        <w:rPr>
          <w:rFonts w:cs="Arial"/>
          <w:lang w:val="es-ES"/>
        </w:rPr>
        <w:t>:  Proyectos</w:t>
      </w:r>
      <w:proofErr w:type="gramEnd"/>
      <w:r w:rsidRPr="00980C61">
        <w:rPr>
          <w:rFonts w:cs="Arial"/>
          <w:lang w:val="es-ES"/>
        </w:rPr>
        <w:t xml:space="preserve"> de colaboración y futuro del conocimiento”.  Por otra parte, se terminaron dos estudios, a saber, el estudio de evaluación detallado y el estudio sobre los flujos mundiales de conocimiento, que debían incorporarse en la plataforma interactiva programada, y se presentaron en la decimocuarta sesión del CDIP.  En la decimoquinta sesión del Comité se examinó un informe de evaluación del proyecto.</w:t>
      </w:r>
    </w:p>
    <w:p w:rsidR="008A591C" w:rsidRPr="00980C61" w:rsidRDefault="008A591C" w:rsidP="00C74007">
      <w:pPr>
        <w:pStyle w:val="ListParagraph"/>
        <w:tabs>
          <w:tab w:val="left" w:pos="709"/>
        </w:tabs>
        <w:ind w:left="0"/>
        <w:rPr>
          <w:rFonts w:cs="Arial"/>
          <w:lang w:val="es-ES"/>
        </w:rPr>
      </w:pPr>
    </w:p>
    <w:p w:rsidR="008A591C" w:rsidRPr="00980C61" w:rsidRDefault="008A591C" w:rsidP="00DC1333">
      <w:pPr>
        <w:pStyle w:val="ListParagraph"/>
        <w:autoSpaceDE w:val="0"/>
        <w:autoSpaceDN w:val="0"/>
        <w:adjustRightInd w:val="0"/>
        <w:ind w:left="0"/>
        <w:jc w:val="both"/>
        <w:rPr>
          <w:rFonts w:cs="Arial"/>
          <w:lang w:val="es-ES"/>
        </w:rPr>
      </w:pPr>
    </w:p>
    <w:p w:rsidR="008A591C" w:rsidRPr="00980C61" w:rsidRDefault="008F7CBE" w:rsidP="00DC1333">
      <w:pPr>
        <w:tabs>
          <w:tab w:val="left" w:pos="720"/>
        </w:tabs>
      </w:pPr>
      <w:r w:rsidRPr="008F7CBE">
        <w:rPr>
          <w:sz w:val="20"/>
        </w:rPr>
        <w:t>DATOS SOBRE EL RENDIMIENTO</w:t>
      </w:r>
    </w:p>
    <w:p w:rsidR="008A591C" w:rsidRPr="00980C61" w:rsidRDefault="008A591C" w:rsidP="00DC1333">
      <w:pPr>
        <w:tabs>
          <w:tab w:val="left" w:pos="720"/>
        </w:tabs>
      </w:pPr>
    </w:p>
    <w:tbl>
      <w:tblPr>
        <w:tblW w:w="4962"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7"/>
        <w:gridCol w:w="1700"/>
        <w:gridCol w:w="1419"/>
        <w:gridCol w:w="3260"/>
        <w:gridCol w:w="992"/>
      </w:tblGrid>
      <w:tr w:rsidR="008A591C" w:rsidRPr="002661F5" w:rsidTr="00DC1333">
        <w:trPr>
          <w:cantSplit/>
        </w:trPr>
        <w:tc>
          <w:tcPr>
            <w:tcW w:w="5000" w:type="pct"/>
            <w:gridSpan w:val="5"/>
            <w:tcBorders>
              <w:top w:val="single" w:sz="4" w:space="0" w:color="auto"/>
              <w:bottom w:val="single" w:sz="4" w:space="0" w:color="auto"/>
            </w:tcBorders>
            <w:shd w:val="clear" w:color="auto" w:fill="C6D9F1" w:themeFill="text2" w:themeFillTint="33"/>
            <w:vAlign w:val="center"/>
          </w:tcPr>
          <w:p w:rsidR="008A591C" w:rsidRPr="00980C61" w:rsidRDefault="008A591C" w:rsidP="00DC1333">
            <w:pPr>
              <w:keepNext/>
              <w:keepLines/>
              <w:spacing w:before="120" w:after="120"/>
              <w:ind w:left="2019" w:hanging="2019"/>
              <w:rPr>
                <w:b/>
                <w:bCs/>
                <w:sz w:val="16"/>
                <w:szCs w:val="16"/>
              </w:rPr>
            </w:pPr>
            <w:r w:rsidRPr="00980C61">
              <w:rPr>
                <w:b/>
                <w:bCs/>
                <w:sz w:val="16"/>
                <w:szCs w:val="16"/>
              </w:rPr>
              <w:t>Resultado previsto</w:t>
            </w:r>
            <w:r>
              <w:rPr>
                <w:b/>
                <w:bCs/>
                <w:sz w:val="16"/>
                <w:szCs w:val="16"/>
              </w:rPr>
              <w:t>:</w:t>
            </w:r>
            <w:r>
              <w:rPr>
                <w:b/>
                <w:bCs/>
                <w:sz w:val="16"/>
                <w:szCs w:val="16"/>
              </w:rPr>
              <w:tab/>
            </w:r>
            <w:r w:rsidRPr="00980C61">
              <w:rPr>
                <w:sz w:val="16"/>
                <w:szCs w:val="16"/>
                <w:lang w:bidi="th-TH"/>
              </w:rPr>
              <w:t>III.1 Estrategias y planes na</w:t>
            </w:r>
            <w:r>
              <w:rPr>
                <w:sz w:val="16"/>
                <w:szCs w:val="16"/>
                <w:lang w:bidi="th-TH"/>
              </w:rPr>
              <w:t>cionales de innovación y de P.I</w:t>
            </w:r>
            <w:r w:rsidRPr="00980C61">
              <w:rPr>
                <w:sz w:val="16"/>
                <w:szCs w:val="16"/>
                <w:lang w:bidi="th-TH"/>
              </w:rPr>
              <w:t>.</w:t>
            </w:r>
            <w:r>
              <w:rPr>
                <w:sz w:val="16"/>
                <w:szCs w:val="16"/>
                <w:lang w:bidi="th-TH"/>
              </w:rPr>
              <w:t xml:space="preserve"> </w:t>
            </w:r>
            <w:r w:rsidRPr="00980C61">
              <w:rPr>
                <w:sz w:val="16"/>
                <w:szCs w:val="16"/>
                <w:lang w:bidi="th-TH"/>
              </w:rPr>
              <w:t>que estén en sintonía con los objetivos nacionales de desarrollo</w:t>
            </w:r>
          </w:p>
        </w:tc>
      </w:tr>
      <w:tr w:rsidR="008A591C" w:rsidRPr="002661F5" w:rsidTr="00DC1333">
        <w:trPr>
          <w:cantSplit/>
        </w:trPr>
        <w:tc>
          <w:tcPr>
            <w:tcW w:w="1120" w:type="pct"/>
            <w:tcBorders>
              <w:top w:val="single" w:sz="4" w:space="0" w:color="auto"/>
            </w:tcBorders>
            <w:vAlign w:val="center"/>
          </w:tcPr>
          <w:p w:rsidR="008A591C" w:rsidRPr="00980C61" w:rsidRDefault="008A591C" w:rsidP="00DC1333">
            <w:pPr>
              <w:rPr>
                <w:sz w:val="16"/>
                <w:szCs w:val="16"/>
              </w:rPr>
            </w:pPr>
            <w:r w:rsidRPr="00980C61">
              <w:rPr>
                <w:b/>
                <w:sz w:val="16"/>
                <w:szCs w:val="16"/>
              </w:rPr>
              <w:t>Indicadores de rendimiento</w:t>
            </w:r>
          </w:p>
        </w:tc>
        <w:tc>
          <w:tcPr>
            <w:tcW w:w="895" w:type="pct"/>
            <w:tcBorders>
              <w:top w:val="single" w:sz="4" w:space="0" w:color="auto"/>
            </w:tcBorders>
            <w:shd w:val="clear" w:color="auto" w:fill="auto"/>
            <w:vAlign w:val="center"/>
          </w:tcPr>
          <w:p w:rsidR="008A591C" w:rsidRPr="00980C61" w:rsidRDefault="008A591C" w:rsidP="00DC1333">
            <w:pPr>
              <w:rPr>
                <w:b/>
                <w:bCs/>
                <w:sz w:val="16"/>
                <w:szCs w:val="16"/>
              </w:rPr>
            </w:pPr>
            <w:r w:rsidRPr="00980C61">
              <w:rPr>
                <w:b/>
                <w:bCs/>
                <w:sz w:val="16"/>
                <w:szCs w:val="16"/>
              </w:rPr>
              <w:t>Referencia</w:t>
            </w:r>
          </w:p>
        </w:tc>
        <w:tc>
          <w:tcPr>
            <w:tcW w:w="747" w:type="pct"/>
            <w:tcBorders>
              <w:top w:val="single" w:sz="4" w:space="0" w:color="auto"/>
            </w:tcBorders>
            <w:tcMar>
              <w:top w:w="110" w:type="dxa"/>
            </w:tcMar>
            <w:vAlign w:val="center"/>
          </w:tcPr>
          <w:p w:rsidR="008A591C" w:rsidRPr="00980C61" w:rsidRDefault="008A591C" w:rsidP="00DC1333">
            <w:pPr>
              <w:rPr>
                <w:b/>
                <w:sz w:val="16"/>
                <w:szCs w:val="16"/>
              </w:rPr>
            </w:pPr>
            <w:r w:rsidRPr="00980C61">
              <w:rPr>
                <w:b/>
                <w:sz w:val="16"/>
                <w:szCs w:val="16"/>
              </w:rPr>
              <w:t>Objetivos</w:t>
            </w:r>
          </w:p>
        </w:tc>
        <w:tc>
          <w:tcPr>
            <w:tcW w:w="1716" w:type="pct"/>
            <w:tcBorders>
              <w:top w:val="single" w:sz="4" w:space="0" w:color="auto"/>
            </w:tcBorders>
            <w:shd w:val="clear" w:color="auto" w:fill="FFFFFF"/>
            <w:tcMar>
              <w:top w:w="110" w:type="dxa"/>
            </w:tcMar>
            <w:vAlign w:val="center"/>
          </w:tcPr>
          <w:p w:rsidR="008A591C" w:rsidRPr="00980C61" w:rsidRDefault="008A591C" w:rsidP="00DC1333">
            <w:pPr>
              <w:rPr>
                <w:sz w:val="16"/>
                <w:szCs w:val="16"/>
              </w:rPr>
            </w:pPr>
            <w:r w:rsidRPr="00980C61">
              <w:rPr>
                <w:b/>
                <w:sz w:val="16"/>
                <w:szCs w:val="16"/>
              </w:rPr>
              <w:t>Datos sobre el rendimiento</w:t>
            </w:r>
          </w:p>
        </w:tc>
        <w:tc>
          <w:tcPr>
            <w:tcW w:w="522" w:type="pct"/>
            <w:tcBorders>
              <w:top w:val="single" w:sz="4" w:space="0" w:color="auto"/>
            </w:tcBorders>
            <w:tcMar>
              <w:top w:w="110" w:type="dxa"/>
            </w:tcMar>
            <w:vAlign w:val="center"/>
          </w:tcPr>
          <w:p w:rsidR="008A591C" w:rsidRPr="00980C61" w:rsidRDefault="008A591C" w:rsidP="00DC1333">
            <w:pPr>
              <w:keepNext/>
              <w:keepLines/>
              <w:jc w:val="center"/>
              <w:rPr>
                <w:b/>
                <w:bCs/>
                <w:sz w:val="16"/>
                <w:szCs w:val="16"/>
              </w:rPr>
            </w:pPr>
            <w:r w:rsidRPr="00980C61">
              <w:rPr>
                <w:b/>
                <w:bCs/>
                <w:sz w:val="16"/>
                <w:szCs w:val="16"/>
              </w:rPr>
              <w:t>Clave de colores</w:t>
            </w:r>
          </w:p>
        </w:tc>
      </w:tr>
      <w:tr w:rsidR="008A591C" w:rsidRPr="00980C61" w:rsidTr="00DC1333">
        <w:trPr>
          <w:cantSplit/>
        </w:trPr>
        <w:tc>
          <w:tcPr>
            <w:tcW w:w="1120" w:type="pct"/>
            <w:tcBorders>
              <w:bottom w:val="single" w:sz="4" w:space="0" w:color="auto"/>
            </w:tcBorders>
          </w:tcPr>
          <w:p w:rsidR="008A591C" w:rsidRPr="00980C61" w:rsidRDefault="008A591C" w:rsidP="00DC1333">
            <w:pPr>
              <w:rPr>
                <w:sz w:val="16"/>
                <w:szCs w:val="16"/>
              </w:rPr>
            </w:pPr>
            <w:r w:rsidRPr="00980C61">
              <w:rPr>
                <w:sz w:val="16"/>
                <w:szCs w:val="16"/>
                <w:lang w:bidi="th-TH"/>
              </w:rPr>
              <w:t>Número de países con políticas nacionales de innovación iniciadas, en curso o adoptadas</w:t>
            </w:r>
          </w:p>
        </w:tc>
        <w:tc>
          <w:tcPr>
            <w:tcW w:w="895" w:type="pct"/>
            <w:tcBorders>
              <w:bottom w:val="single" w:sz="4" w:space="0" w:color="auto"/>
            </w:tcBorders>
            <w:shd w:val="clear" w:color="auto" w:fill="auto"/>
          </w:tcPr>
          <w:p w:rsidR="008A591C" w:rsidRPr="00980C61" w:rsidRDefault="008A591C" w:rsidP="00DC1333">
            <w:pPr>
              <w:rPr>
                <w:color w:val="002060"/>
                <w:sz w:val="16"/>
                <w:szCs w:val="16"/>
              </w:rPr>
            </w:pPr>
            <w:r w:rsidRPr="00980C61">
              <w:rPr>
                <w:i/>
                <w:color w:val="002060"/>
                <w:sz w:val="16"/>
                <w:szCs w:val="16"/>
              </w:rPr>
              <w:t>Referencia actualizada a fines de 2013</w:t>
            </w:r>
            <w:proofErr w:type="gramStart"/>
            <w:r w:rsidRPr="00980C61">
              <w:rPr>
                <w:i/>
                <w:color w:val="002060"/>
                <w:sz w:val="16"/>
                <w:szCs w:val="16"/>
              </w:rPr>
              <w:t xml:space="preserve">:  </w:t>
            </w:r>
            <w:r w:rsidRPr="00980C61">
              <w:rPr>
                <w:color w:val="002060"/>
                <w:sz w:val="16"/>
                <w:szCs w:val="16"/>
              </w:rPr>
              <w:t>1</w:t>
            </w:r>
            <w:proofErr w:type="gramEnd"/>
            <w:r w:rsidRPr="00980C61">
              <w:rPr>
                <w:color w:val="002060"/>
                <w:sz w:val="16"/>
                <w:szCs w:val="16"/>
              </w:rPr>
              <w:t xml:space="preserve"> país.</w:t>
            </w:r>
          </w:p>
          <w:p w:rsidR="008A591C" w:rsidRPr="00980C61" w:rsidRDefault="008A591C" w:rsidP="00DC1333">
            <w:pPr>
              <w:rPr>
                <w:color w:val="002060"/>
                <w:sz w:val="16"/>
                <w:szCs w:val="16"/>
              </w:rPr>
            </w:pPr>
          </w:p>
          <w:p w:rsidR="008A591C" w:rsidRPr="00980C61" w:rsidRDefault="008A591C" w:rsidP="00DC1333">
            <w:pPr>
              <w:rPr>
                <w:sz w:val="16"/>
                <w:szCs w:val="16"/>
                <w:lang w:bidi="th-TH"/>
              </w:rPr>
            </w:pPr>
            <w:r w:rsidRPr="00980C61">
              <w:rPr>
                <w:i/>
                <w:sz w:val="16"/>
                <w:szCs w:val="16"/>
              </w:rPr>
              <w:t>Referencia original en el presupuesto de 2014/15:  por determinar</w:t>
            </w:r>
            <w:r w:rsidRPr="00980C61">
              <w:rPr>
                <w:i/>
                <w:sz w:val="16"/>
                <w:szCs w:val="16"/>
              </w:rPr>
              <w:br/>
            </w:r>
          </w:p>
        </w:tc>
        <w:tc>
          <w:tcPr>
            <w:tcW w:w="747" w:type="pct"/>
            <w:tcBorders>
              <w:bottom w:val="single" w:sz="4" w:space="0" w:color="auto"/>
            </w:tcBorders>
            <w:tcMar>
              <w:top w:w="110" w:type="dxa"/>
            </w:tcMar>
          </w:tcPr>
          <w:p w:rsidR="008A591C" w:rsidRPr="00980C61" w:rsidRDefault="008A591C" w:rsidP="00DC1333">
            <w:pPr>
              <w:rPr>
                <w:sz w:val="16"/>
                <w:szCs w:val="16"/>
                <w:lang w:bidi="th-TH"/>
              </w:rPr>
            </w:pPr>
            <w:r w:rsidRPr="00980C61">
              <w:rPr>
                <w:sz w:val="16"/>
                <w:szCs w:val="16"/>
                <w:lang w:bidi="th-TH"/>
              </w:rPr>
              <w:t>5 países</w:t>
            </w:r>
          </w:p>
        </w:tc>
        <w:tc>
          <w:tcPr>
            <w:tcW w:w="1716" w:type="pct"/>
            <w:tcBorders>
              <w:bottom w:val="single" w:sz="4" w:space="0" w:color="auto"/>
            </w:tcBorders>
            <w:shd w:val="clear" w:color="auto" w:fill="FFFFFF"/>
            <w:tcMar>
              <w:top w:w="110" w:type="dxa"/>
            </w:tcMar>
          </w:tcPr>
          <w:p w:rsidR="008A591C" w:rsidRPr="00980C61" w:rsidRDefault="008A591C" w:rsidP="00DC1333">
            <w:pPr>
              <w:rPr>
                <w:sz w:val="16"/>
                <w:szCs w:val="16"/>
              </w:rPr>
            </w:pPr>
            <w:r w:rsidRPr="00980C61">
              <w:rPr>
                <w:sz w:val="16"/>
                <w:szCs w:val="16"/>
              </w:rPr>
              <w:t>Se iniciaron políticas nacionales de innovación en cinco países:  C</w:t>
            </w:r>
            <w:r>
              <w:rPr>
                <w:sz w:val="16"/>
                <w:szCs w:val="16"/>
              </w:rPr>
              <w:t xml:space="preserve">amerún, Jamaica, </w:t>
            </w:r>
            <w:proofErr w:type="spellStart"/>
            <w:r>
              <w:rPr>
                <w:sz w:val="16"/>
                <w:szCs w:val="16"/>
              </w:rPr>
              <w:t>Rwanda</w:t>
            </w:r>
            <w:proofErr w:type="spellEnd"/>
            <w:r>
              <w:rPr>
                <w:sz w:val="16"/>
                <w:szCs w:val="16"/>
              </w:rPr>
              <w:t>, Serbia</w:t>
            </w:r>
            <w:r w:rsidRPr="00980C61">
              <w:rPr>
                <w:sz w:val="16"/>
                <w:szCs w:val="16"/>
              </w:rPr>
              <w:t xml:space="preserve">, Sri Lanka y Trinidad y </w:t>
            </w:r>
            <w:proofErr w:type="spellStart"/>
            <w:r w:rsidRPr="00980C61">
              <w:rPr>
                <w:sz w:val="16"/>
                <w:szCs w:val="16"/>
              </w:rPr>
              <w:t>Tabago</w:t>
            </w:r>
            <w:proofErr w:type="spellEnd"/>
          </w:p>
        </w:tc>
        <w:tc>
          <w:tcPr>
            <w:tcW w:w="522" w:type="pct"/>
            <w:tcBorders>
              <w:bottom w:val="single" w:sz="4" w:space="0" w:color="auto"/>
            </w:tcBorders>
            <w:tcMar>
              <w:top w:w="110" w:type="dxa"/>
            </w:tcMar>
          </w:tcPr>
          <w:p w:rsidR="008A591C" w:rsidRPr="00980C61" w:rsidRDefault="008A591C" w:rsidP="002E6163">
            <w:pPr>
              <w:keepNext/>
              <w:keepLines/>
              <w:ind w:left="-109"/>
              <w:jc w:val="center"/>
              <w:rPr>
                <w:rFonts w:asciiTheme="minorHAnsi" w:hAnsiTheme="minorHAnsi"/>
                <w:b/>
                <w:bCs/>
                <w:color w:val="00B050"/>
                <w:sz w:val="16"/>
                <w:szCs w:val="16"/>
              </w:rPr>
            </w:pPr>
            <w:r w:rsidRPr="00980C61">
              <w:rPr>
                <w:rFonts w:asciiTheme="minorHAnsi" w:hAnsiTheme="minorHAnsi"/>
                <w:b/>
                <w:bCs/>
                <w:color w:val="00B050"/>
                <w:sz w:val="16"/>
                <w:szCs w:val="16"/>
              </w:rPr>
              <w:t>Plenamente logrado</w:t>
            </w:r>
          </w:p>
          <w:p w:rsidR="008A591C" w:rsidRPr="00980C61" w:rsidRDefault="008A591C" w:rsidP="00DC1333">
            <w:pPr>
              <w:keepNext/>
              <w:keepLines/>
              <w:jc w:val="center"/>
              <w:rPr>
                <w:b/>
                <w:bCs/>
                <w:color w:val="808080"/>
                <w:sz w:val="16"/>
                <w:szCs w:val="16"/>
              </w:rPr>
            </w:pPr>
          </w:p>
        </w:tc>
      </w:tr>
      <w:tr w:rsidR="008A591C" w:rsidRPr="002661F5" w:rsidTr="00DC1333">
        <w:trPr>
          <w:cantSplit/>
        </w:trPr>
        <w:tc>
          <w:tcPr>
            <w:tcW w:w="5000" w:type="pct"/>
            <w:gridSpan w:val="5"/>
            <w:tcBorders>
              <w:top w:val="single" w:sz="4" w:space="0" w:color="auto"/>
              <w:bottom w:val="single" w:sz="4" w:space="0" w:color="auto"/>
            </w:tcBorders>
            <w:shd w:val="clear" w:color="auto" w:fill="C6D9F1" w:themeFill="text2" w:themeFillTint="33"/>
            <w:vAlign w:val="center"/>
          </w:tcPr>
          <w:p w:rsidR="008A591C" w:rsidRPr="00980C61" w:rsidRDefault="008A591C" w:rsidP="00DC1333">
            <w:pPr>
              <w:keepNext/>
              <w:keepLines/>
              <w:spacing w:before="120" w:after="120"/>
              <w:ind w:left="2019" w:hanging="2019"/>
              <w:rPr>
                <w:b/>
                <w:bCs/>
                <w:sz w:val="16"/>
                <w:szCs w:val="16"/>
              </w:rPr>
            </w:pPr>
            <w:r w:rsidRPr="00980C61">
              <w:rPr>
                <w:b/>
                <w:bCs/>
                <w:sz w:val="16"/>
                <w:szCs w:val="16"/>
              </w:rPr>
              <w:lastRenderedPageBreak/>
              <w:t>Resultado previsto</w:t>
            </w:r>
            <w:r>
              <w:rPr>
                <w:b/>
                <w:bCs/>
                <w:sz w:val="16"/>
                <w:szCs w:val="16"/>
              </w:rPr>
              <w:t>:</w:t>
            </w:r>
            <w:r>
              <w:rPr>
                <w:b/>
                <w:bCs/>
                <w:sz w:val="16"/>
                <w:szCs w:val="16"/>
              </w:rPr>
              <w:tab/>
            </w:r>
            <w:r w:rsidRPr="00980C61">
              <w:rPr>
                <w:sz w:val="16"/>
                <w:szCs w:val="16"/>
                <w:lang w:bidi="th-TH"/>
              </w:rPr>
              <w:t>III.2 Mejora de las capacidades en el ámbito de los recursos humanos para hacer frente al amplio espectro de exigencias que supone la utilización eficaz de la P.I. en aras del desarrollo en los países en desarrollo, PMA y países con economías en transición</w:t>
            </w:r>
          </w:p>
        </w:tc>
      </w:tr>
      <w:tr w:rsidR="008A591C" w:rsidRPr="002661F5" w:rsidTr="00DC1333">
        <w:trPr>
          <w:cantSplit/>
        </w:trPr>
        <w:tc>
          <w:tcPr>
            <w:tcW w:w="1120" w:type="pct"/>
            <w:tcBorders>
              <w:top w:val="single" w:sz="4" w:space="0" w:color="auto"/>
            </w:tcBorders>
            <w:vAlign w:val="center"/>
          </w:tcPr>
          <w:p w:rsidR="008A591C" w:rsidRPr="00980C61" w:rsidRDefault="008A591C" w:rsidP="00DC1333">
            <w:pPr>
              <w:keepNext/>
              <w:rPr>
                <w:sz w:val="16"/>
                <w:szCs w:val="16"/>
              </w:rPr>
            </w:pPr>
            <w:r w:rsidRPr="00980C61">
              <w:rPr>
                <w:b/>
                <w:sz w:val="16"/>
                <w:szCs w:val="16"/>
              </w:rPr>
              <w:t>Indicadores de rendimiento</w:t>
            </w:r>
          </w:p>
        </w:tc>
        <w:tc>
          <w:tcPr>
            <w:tcW w:w="895" w:type="pct"/>
            <w:tcBorders>
              <w:top w:val="single" w:sz="4" w:space="0" w:color="auto"/>
            </w:tcBorders>
            <w:shd w:val="clear" w:color="auto" w:fill="auto"/>
            <w:vAlign w:val="center"/>
          </w:tcPr>
          <w:p w:rsidR="008A591C" w:rsidRPr="00980C61" w:rsidRDefault="008A591C" w:rsidP="00DC1333">
            <w:pPr>
              <w:keepNext/>
              <w:rPr>
                <w:b/>
                <w:bCs/>
                <w:sz w:val="16"/>
                <w:szCs w:val="16"/>
              </w:rPr>
            </w:pPr>
            <w:r w:rsidRPr="00980C61">
              <w:rPr>
                <w:b/>
                <w:bCs/>
                <w:sz w:val="16"/>
                <w:szCs w:val="16"/>
              </w:rPr>
              <w:t>Referencia</w:t>
            </w:r>
          </w:p>
        </w:tc>
        <w:tc>
          <w:tcPr>
            <w:tcW w:w="747" w:type="pct"/>
            <w:tcBorders>
              <w:top w:val="single" w:sz="4" w:space="0" w:color="auto"/>
            </w:tcBorders>
            <w:tcMar>
              <w:top w:w="110" w:type="dxa"/>
            </w:tcMar>
            <w:vAlign w:val="center"/>
          </w:tcPr>
          <w:p w:rsidR="008A591C" w:rsidRPr="00980C61" w:rsidRDefault="008A591C" w:rsidP="00DC1333">
            <w:pPr>
              <w:keepNext/>
              <w:rPr>
                <w:b/>
                <w:sz w:val="16"/>
                <w:szCs w:val="16"/>
              </w:rPr>
            </w:pPr>
            <w:r w:rsidRPr="00980C61">
              <w:rPr>
                <w:b/>
                <w:sz w:val="16"/>
                <w:szCs w:val="16"/>
              </w:rPr>
              <w:t>Objetivos</w:t>
            </w:r>
          </w:p>
        </w:tc>
        <w:tc>
          <w:tcPr>
            <w:tcW w:w="1716" w:type="pct"/>
            <w:tcBorders>
              <w:top w:val="single" w:sz="4" w:space="0" w:color="auto"/>
            </w:tcBorders>
            <w:shd w:val="clear" w:color="auto" w:fill="FFFFFF"/>
            <w:tcMar>
              <w:top w:w="110" w:type="dxa"/>
            </w:tcMar>
            <w:vAlign w:val="center"/>
          </w:tcPr>
          <w:p w:rsidR="008A591C" w:rsidRPr="00980C61" w:rsidRDefault="008A591C" w:rsidP="00DC1333">
            <w:pPr>
              <w:keepNext/>
              <w:rPr>
                <w:sz w:val="16"/>
                <w:szCs w:val="16"/>
              </w:rPr>
            </w:pPr>
            <w:r w:rsidRPr="00980C61">
              <w:rPr>
                <w:b/>
                <w:sz w:val="16"/>
                <w:szCs w:val="16"/>
              </w:rPr>
              <w:t>Datos sobre el rendimiento</w:t>
            </w:r>
          </w:p>
        </w:tc>
        <w:tc>
          <w:tcPr>
            <w:tcW w:w="522" w:type="pct"/>
            <w:tcBorders>
              <w:top w:val="single" w:sz="4" w:space="0" w:color="auto"/>
            </w:tcBorders>
            <w:tcMar>
              <w:top w:w="110" w:type="dxa"/>
            </w:tcMar>
            <w:vAlign w:val="center"/>
          </w:tcPr>
          <w:p w:rsidR="008A591C" w:rsidRPr="00980C61" w:rsidRDefault="008A591C" w:rsidP="00DC1333">
            <w:pPr>
              <w:keepNext/>
              <w:keepLines/>
              <w:jc w:val="center"/>
              <w:rPr>
                <w:b/>
                <w:bCs/>
                <w:sz w:val="16"/>
                <w:szCs w:val="16"/>
              </w:rPr>
            </w:pPr>
            <w:r w:rsidRPr="00980C61">
              <w:rPr>
                <w:b/>
                <w:bCs/>
                <w:sz w:val="16"/>
                <w:szCs w:val="16"/>
              </w:rPr>
              <w:t>Clave de colores</w:t>
            </w:r>
          </w:p>
        </w:tc>
      </w:tr>
      <w:tr w:rsidR="008A591C" w:rsidRPr="00980C61" w:rsidTr="00DC1333">
        <w:trPr>
          <w:cantSplit/>
        </w:trPr>
        <w:tc>
          <w:tcPr>
            <w:tcW w:w="1120" w:type="pct"/>
            <w:tcBorders>
              <w:bottom w:val="single" w:sz="4" w:space="0" w:color="auto"/>
            </w:tcBorders>
          </w:tcPr>
          <w:p w:rsidR="008A591C" w:rsidRPr="00980C61" w:rsidRDefault="008A591C" w:rsidP="00DC1333">
            <w:pPr>
              <w:keepNext/>
              <w:rPr>
                <w:sz w:val="16"/>
                <w:szCs w:val="16"/>
                <w:lang w:bidi="th-TH"/>
              </w:rPr>
            </w:pPr>
            <w:r w:rsidRPr="00980C61">
              <w:rPr>
                <w:sz w:val="16"/>
                <w:szCs w:val="16"/>
                <w:lang w:bidi="th-TH"/>
              </w:rPr>
              <w:t>Porcentaje de funcionarios de oficinas de P.I. formados que utilizan en su trabajo las nuevas aptitudes adquiridas</w:t>
            </w:r>
          </w:p>
        </w:tc>
        <w:tc>
          <w:tcPr>
            <w:tcW w:w="895" w:type="pct"/>
            <w:tcBorders>
              <w:bottom w:val="single" w:sz="4" w:space="0" w:color="auto"/>
            </w:tcBorders>
            <w:shd w:val="clear" w:color="auto" w:fill="auto"/>
          </w:tcPr>
          <w:p w:rsidR="008A591C" w:rsidRPr="00980C61" w:rsidRDefault="008A591C" w:rsidP="00DC1333">
            <w:pPr>
              <w:keepNext/>
              <w:rPr>
                <w:i/>
                <w:color w:val="002060"/>
                <w:sz w:val="16"/>
                <w:szCs w:val="16"/>
              </w:rPr>
            </w:pPr>
            <w:r w:rsidRPr="00980C61">
              <w:rPr>
                <w:i/>
                <w:color w:val="002060"/>
                <w:sz w:val="16"/>
                <w:szCs w:val="16"/>
              </w:rPr>
              <w:t>Referencia actualizada a fines de 2013</w:t>
            </w:r>
            <w:proofErr w:type="gramStart"/>
            <w:r w:rsidRPr="00980C61">
              <w:rPr>
                <w:i/>
                <w:color w:val="002060"/>
                <w:sz w:val="16"/>
                <w:szCs w:val="16"/>
              </w:rPr>
              <w:t xml:space="preserve">:  </w:t>
            </w:r>
            <w:proofErr w:type="spellStart"/>
            <w:r w:rsidRPr="00980C61">
              <w:rPr>
                <w:i/>
                <w:color w:val="002060"/>
                <w:sz w:val="16"/>
                <w:szCs w:val="16"/>
              </w:rPr>
              <w:t>n.d</w:t>
            </w:r>
            <w:proofErr w:type="spellEnd"/>
            <w:proofErr w:type="gramEnd"/>
            <w:r w:rsidRPr="00980C61">
              <w:rPr>
                <w:i/>
                <w:color w:val="002060"/>
                <w:sz w:val="16"/>
                <w:szCs w:val="16"/>
              </w:rPr>
              <w:t>.</w:t>
            </w:r>
          </w:p>
          <w:p w:rsidR="008A591C" w:rsidRPr="00980C61" w:rsidRDefault="008A591C" w:rsidP="00DC1333">
            <w:pPr>
              <w:keepNext/>
              <w:rPr>
                <w:color w:val="002060"/>
                <w:sz w:val="16"/>
                <w:szCs w:val="16"/>
              </w:rPr>
            </w:pPr>
          </w:p>
          <w:p w:rsidR="008A591C" w:rsidRPr="00980C61" w:rsidRDefault="008A591C" w:rsidP="00DC1333">
            <w:pPr>
              <w:keepNext/>
              <w:rPr>
                <w:sz w:val="16"/>
                <w:szCs w:val="16"/>
                <w:lang w:bidi="th-TH"/>
              </w:rPr>
            </w:pPr>
            <w:r w:rsidRPr="00980C61">
              <w:rPr>
                <w:i/>
                <w:sz w:val="16"/>
                <w:szCs w:val="16"/>
              </w:rPr>
              <w:t xml:space="preserve">Referencia original en el presupuesto de 2014/15):  </w:t>
            </w:r>
            <w:r w:rsidRPr="00980C61">
              <w:rPr>
                <w:sz w:val="16"/>
                <w:szCs w:val="16"/>
              </w:rPr>
              <w:t>por determinar</w:t>
            </w:r>
            <w:r w:rsidRPr="00980C61">
              <w:rPr>
                <w:sz w:val="16"/>
                <w:szCs w:val="16"/>
              </w:rPr>
              <w:br/>
            </w:r>
          </w:p>
        </w:tc>
        <w:tc>
          <w:tcPr>
            <w:tcW w:w="747" w:type="pct"/>
            <w:tcBorders>
              <w:bottom w:val="single" w:sz="4" w:space="0" w:color="auto"/>
            </w:tcBorders>
            <w:tcMar>
              <w:top w:w="110" w:type="dxa"/>
            </w:tcMar>
          </w:tcPr>
          <w:p w:rsidR="008A591C" w:rsidRPr="00980C61" w:rsidRDefault="008A591C" w:rsidP="00DC1333">
            <w:pPr>
              <w:keepNext/>
              <w:autoSpaceDE w:val="0"/>
              <w:autoSpaceDN w:val="0"/>
              <w:adjustRightInd w:val="0"/>
              <w:rPr>
                <w:sz w:val="16"/>
                <w:szCs w:val="16"/>
              </w:rPr>
            </w:pPr>
            <w:r w:rsidRPr="00980C61">
              <w:rPr>
                <w:sz w:val="16"/>
                <w:szCs w:val="16"/>
              </w:rPr>
              <w:t>50%</w:t>
            </w:r>
          </w:p>
        </w:tc>
        <w:tc>
          <w:tcPr>
            <w:tcW w:w="1716" w:type="pct"/>
            <w:tcBorders>
              <w:bottom w:val="single" w:sz="4" w:space="0" w:color="auto"/>
            </w:tcBorders>
            <w:shd w:val="clear" w:color="auto" w:fill="FFFFFF"/>
            <w:tcMar>
              <w:top w:w="110" w:type="dxa"/>
            </w:tcMar>
          </w:tcPr>
          <w:p w:rsidR="008A591C" w:rsidRPr="00980C61" w:rsidRDefault="008A591C" w:rsidP="00DC1333">
            <w:pPr>
              <w:keepNext/>
              <w:rPr>
                <w:sz w:val="16"/>
                <w:szCs w:val="16"/>
              </w:rPr>
            </w:pPr>
            <w:r w:rsidRPr="00980C61">
              <w:rPr>
                <w:sz w:val="16"/>
                <w:szCs w:val="16"/>
                <w:lang w:bidi="th-TH"/>
              </w:rPr>
              <w:t xml:space="preserve">77% </w:t>
            </w:r>
          </w:p>
        </w:tc>
        <w:tc>
          <w:tcPr>
            <w:tcW w:w="522" w:type="pct"/>
            <w:tcBorders>
              <w:bottom w:val="single" w:sz="4" w:space="0" w:color="auto"/>
            </w:tcBorders>
            <w:tcMar>
              <w:top w:w="110" w:type="dxa"/>
            </w:tcMar>
          </w:tcPr>
          <w:p w:rsidR="008A591C" w:rsidRPr="00980C61" w:rsidRDefault="008A591C" w:rsidP="002E6163">
            <w:pPr>
              <w:keepNext/>
              <w:keepLines/>
              <w:ind w:left="-109"/>
              <w:jc w:val="center"/>
              <w:rPr>
                <w:rFonts w:asciiTheme="minorHAnsi" w:hAnsiTheme="minorHAnsi"/>
                <w:b/>
                <w:bCs/>
                <w:color w:val="00B050"/>
                <w:sz w:val="16"/>
                <w:szCs w:val="16"/>
              </w:rPr>
            </w:pPr>
            <w:r w:rsidRPr="00980C61">
              <w:rPr>
                <w:rFonts w:asciiTheme="minorHAnsi" w:hAnsiTheme="minorHAnsi"/>
                <w:b/>
                <w:bCs/>
                <w:color w:val="00B050"/>
                <w:sz w:val="16"/>
                <w:szCs w:val="16"/>
              </w:rPr>
              <w:t>Plenamente logrado</w:t>
            </w:r>
          </w:p>
          <w:p w:rsidR="008A591C" w:rsidRPr="00980C61" w:rsidRDefault="008A591C" w:rsidP="00DC1333">
            <w:pPr>
              <w:keepNext/>
              <w:keepLines/>
              <w:jc w:val="center"/>
              <w:rPr>
                <w:rFonts w:asciiTheme="minorHAnsi" w:hAnsiTheme="minorHAnsi"/>
                <w:b/>
                <w:sz w:val="16"/>
                <w:szCs w:val="16"/>
              </w:rPr>
            </w:pPr>
          </w:p>
        </w:tc>
      </w:tr>
      <w:tr w:rsidR="008A591C" w:rsidRPr="002661F5" w:rsidTr="00DC1333">
        <w:trPr>
          <w:cantSplit/>
        </w:trPr>
        <w:tc>
          <w:tcPr>
            <w:tcW w:w="5000" w:type="pct"/>
            <w:gridSpan w:val="5"/>
            <w:tcBorders>
              <w:top w:val="single" w:sz="4" w:space="0" w:color="auto"/>
              <w:bottom w:val="single" w:sz="4" w:space="0" w:color="auto"/>
            </w:tcBorders>
            <w:shd w:val="clear" w:color="auto" w:fill="C6D9F1" w:themeFill="text2" w:themeFillTint="33"/>
            <w:vAlign w:val="center"/>
          </w:tcPr>
          <w:p w:rsidR="008A591C" w:rsidRPr="00980C61" w:rsidRDefault="008A591C" w:rsidP="00DC1333">
            <w:pPr>
              <w:keepNext/>
              <w:keepLines/>
              <w:spacing w:before="120" w:after="120"/>
              <w:ind w:left="2019" w:hanging="2019"/>
              <w:rPr>
                <w:b/>
                <w:bCs/>
                <w:sz w:val="16"/>
                <w:szCs w:val="16"/>
              </w:rPr>
            </w:pPr>
            <w:r w:rsidRPr="00980C61">
              <w:rPr>
                <w:b/>
                <w:bCs/>
                <w:sz w:val="16"/>
                <w:szCs w:val="16"/>
              </w:rPr>
              <w:t>Resultado previsto</w:t>
            </w:r>
            <w:r>
              <w:rPr>
                <w:b/>
                <w:bCs/>
                <w:sz w:val="16"/>
                <w:szCs w:val="16"/>
              </w:rPr>
              <w:t>:</w:t>
            </w:r>
            <w:r>
              <w:rPr>
                <w:b/>
                <w:bCs/>
                <w:sz w:val="16"/>
                <w:szCs w:val="16"/>
              </w:rPr>
              <w:tab/>
            </w:r>
            <w:r w:rsidRPr="00980C61">
              <w:rPr>
                <w:sz w:val="16"/>
                <w:szCs w:val="16"/>
                <w:lang w:bidi="th-TH"/>
              </w:rPr>
              <w:t>III.6 Mejor capacidad de las pymes para utilizar con éxito la P.I. con el fin de apoyar la innovación</w:t>
            </w:r>
          </w:p>
        </w:tc>
      </w:tr>
      <w:tr w:rsidR="008A591C" w:rsidRPr="002661F5" w:rsidTr="00DC1333">
        <w:trPr>
          <w:cantSplit/>
        </w:trPr>
        <w:tc>
          <w:tcPr>
            <w:tcW w:w="1120" w:type="pct"/>
            <w:tcBorders>
              <w:top w:val="single" w:sz="4" w:space="0" w:color="auto"/>
            </w:tcBorders>
            <w:vAlign w:val="center"/>
          </w:tcPr>
          <w:p w:rsidR="008A591C" w:rsidRPr="00980C61" w:rsidRDefault="008A591C" w:rsidP="00DC1333">
            <w:pPr>
              <w:rPr>
                <w:sz w:val="16"/>
                <w:szCs w:val="16"/>
              </w:rPr>
            </w:pPr>
            <w:r w:rsidRPr="00980C61">
              <w:rPr>
                <w:b/>
                <w:sz w:val="16"/>
                <w:szCs w:val="16"/>
              </w:rPr>
              <w:t>Indicadores de rendimiento</w:t>
            </w:r>
          </w:p>
        </w:tc>
        <w:tc>
          <w:tcPr>
            <w:tcW w:w="895" w:type="pct"/>
            <w:tcBorders>
              <w:top w:val="single" w:sz="4" w:space="0" w:color="auto"/>
            </w:tcBorders>
            <w:shd w:val="clear" w:color="auto" w:fill="auto"/>
            <w:vAlign w:val="center"/>
          </w:tcPr>
          <w:p w:rsidR="008A591C" w:rsidRPr="00980C61" w:rsidRDefault="008A591C" w:rsidP="00DC1333">
            <w:pPr>
              <w:rPr>
                <w:b/>
                <w:bCs/>
                <w:sz w:val="16"/>
                <w:szCs w:val="16"/>
              </w:rPr>
            </w:pPr>
            <w:r w:rsidRPr="00980C61">
              <w:rPr>
                <w:b/>
                <w:bCs/>
                <w:sz w:val="16"/>
                <w:szCs w:val="16"/>
              </w:rPr>
              <w:t>Referencia</w:t>
            </w:r>
          </w:p>
        </w:tc>
        <w:tc>
          <w:tcPr>
            <w:tcW w:w="747" w:type="pct"/>
            <w:tcBorders>
              <w:top w:val="single" w:sz="4" w:space="0" w:color="auto"/>
            </w:tcBorders>
            <w:tcMar>
              <w:top w:w="110" w:type="dxa"/>
            </w:tcMar>
            <w:vAlign w:val="center"/>
          </w:tcPr>
          <w:p w:rsidR="008A591C" w:rsidRPr="00980C61" w:rsidRDefault="008A591C" w:rsidP="00DC1333">
            <w:pPr>
              <w:rPr>
                <w:b/>
                <w:sz w:val="16"/>
                <w:szCs w:val="16"/>
              </w:rPr>
            </w:pPr>
            <w:r w:rsidRPr="00980C61">
              <w:rPr>
                <w:b/>
                <w:sz w:val="16"/>
                <w:szCs w:val="16"/>
              </w:rPr>
              <w:t>Objetivos</w:t>
            </w:r>
          </w:p>
        </w:tc>
        <w:tc>
          <w:tcPr>
            <w:tcW w:w="1716" w:type="pct"/>
            <w:tcBorders>
              <w:top w:val="single" w:sz="4" w:space="0" w:color="auto"/>
            </w:tcBorders>
            <w:shd w:val="clear" w:color="auto" w:fill="FFFFFF"/>
            <w:tcMar>
              <w:top w:w="110" w:type="dxa"/>
            </w:tcMar>
            <w:vAlign w:val="center"/>
          </w:tcPr>
          <w:p w:rsidR="008A591C" w:rsidRPr="00980C61" w:rsidRDefault="008A591C" w:rsidP="00DC1333">
            <w:pPr>
              <w:rPr>
                <w:sz w:val="16"/>
                <w:szCs w:val="16"/>
              </w:rPr>
            </w:pPr>
            <w:r w:rsidRPr="00980C61">
              <w:rPr>
                <w:b/>
                <w:sz w:val="16"/>
                <w:szCs w:val="16"/>
              </w:rPr>
              <w:t>Datos sobre el rendimiento</w:t>
            </w:r>
          </w:p>
        </w:tc>
        <w:tc>
          <w:tcPr>
            <w:tcW w:w="522" w:type="pct"/>
            <w:tcBorders>
              <w:top w:val="single" w:sz="4" w:space="0" w:color="auto"/>
            </w:tcBorders>
            <w:tcMar>
              <w:top w:w="110" w:type="dxa"/>
            </w:tcMar>
            <w:vAlign w:val="center"/>
          </w:tcPr>
          <w:p w:rsidR="008A591C" w:rsidRPr="00980C61" w:rsidRDefault="008A591C" w:rsidP="00DC1333">
            <w:pPr>
              <w:keepNext/>
              <w:keepLines/>
              <w:jc w:val="center"/>
              <w:rPr>
                <w:b/>
                <w:bCs/>
                <w:sz w:val="16"/>
                <w:szCs w:val="16"/>
              </w:rPr>
            </w:pPr>
            <w:r w:rsidRPr="00980C61">
              <w:rPr>
                <w:b/>
                <w:bCs/>
                <w:sz w:val="16"/>
                <w:szCs w:val="16"/>
              </w:rPr>
              <w:t>Clave de colores</w:t>
            </w:r>
          </w:p>
        </w:tc>
      </w:tr>
      <w:tr w:rsidR="008A591C" w:rsidRPr="00980C61" w:rsidTr="00DC1333">
        <w:trPr>
          <w:cantSplit/>
          <w:trHeight w:val="1393"/>
        </w:trPr>
        <w:tc>
          <w:tcPr>
            <w:tcW w:w="1120" w:type="pct"/>
            <w:tcBorders>
              <w:bottom w:val="nil"/>
            </w:tcBorders>
          </w:tcPr>
          <w:p w:rsidR="008A591C" w:rsidRPr="00980C61" w:rsidRDefault="008A591C" w:rsidP="00DC1333">
            <w:pPr>
              <w:rPr>
                <w:sz w:val="16"/>
                <w:szCs w:val="16"/>
                <w:lang w:bidi="th-TH"/>
              </w:rPr>
            </w:pPr>
            <w:r w:rsidRPr="00980C61">
              <w:rPr>
                <w:sz w:val="16"/>
                <w:szCs w:val="16"/>
                <w:lang w:bidi="th-TH"/>
              </w:rPr>
              <w:t>Número de suscripciones al Boletín para las pymes</w:t>
            </w:r>
          </w:p>
        </w:tc>
        <w:tc>
          <w:tcPr>
            <w:tcW w:w="895" w:type="pct"/>
            <w:tcBorders>
              <w:bottom w:val="nil"/>
            </w:tcBorders>
            <w:shd w:val="clear" w:color="auto" w:fill="auto"/>
          </w:tcPr>
          <w:p w:rsidR="008A591C" w:rsidRPr="00980C61" w:rsidRDefault="008A591C" w:rsidP="00DC1333">
            <w:pPr>
              <w:keepNext/>
              <w:keepLines/>
              <w:rPr>
                <w:color w:val="002060"/>
                <w:sz w:val="16"/>
                <w:szCs w:val="16"/>
              </w:rPr>
            </w:pPr>
            <w:r w:rsidRPr="00980C61">
              <w:rPr>
                <w:i/>
                <w:color w:val="002060"/>
                <w:sz w:val="16"/>
                <w:szCs w:val="16"/>
              </w:rPr>
              <w:t xml:space="preserve">Referencia actualizada a fines de 2013:  </w:t>
            </w:r>
            <w:r w:rsidRPr="00980C61">
              <w:rPr>
                <w:color w:val="002060"/>
                <w:sz w:val="16"/>
                <w:szCs w:val="16"/>
              </w:rPr>
              <w:t>41.101</w:t>
            </w:r>
          </w:p>
          <w:p w:rsidR="008A591C" w:rsidRPr="00980C61" w:rsidRDefault="008A591C" w:rsidP="00DC1333">
            <w:pPr>
              <w:keepNext/>
              <w:keepLines/>
              <w:rPr>
                <w:i/>
                <w:sz w:val="8"/>
                <w:szCs w:val="8"/>
              </w:rPr>
            </w:pPr>
          </w:p>
          <w:p w:rsidR="008A591C" w:rsidRPr="00980C61" w:rsidRDefault="008A591C" w:rsidP="00DC1333">
            <w:pPr>
              <w:rPr>
                <w:sz w:val="16"/>
                <w:szCs w:val="16"/>
                <w:lang w:bidi="th-TH"/>
              </w:rPr>
            </w:pPr>
            <w:r w:rsidRPr="00980C61">
              <w:rPr>
                <w:i/>
                <w:sz w:val="16"/>
                <w:szCs w:val="16"/>
                <w:lang w:bidi="th-TH"/>
              </w:rPr>
              <w:t>Referencia origin</w:t>
            </w:r>
            <w:r>
              <w:rPr>
                <w:i/>
                <w:sz w:val="16"/>
                <w:szCs w:val="16"/>
                <w:lang w:bidi="th-TH"/>
              </w:rPr>
              <w:t>al en el presupuesto de 2014/15</w:t>
            </w:r>
            <w:r w:rsidRPr="00980C61">
              <w:rPr>
                <w:i/>
                <w:sz w:val="16"/>
                <w:szCs w:val="16"/>
                <w:lang w:bidi="th-TH"/>
              </w:rPr>
              <w:t xml:space="preserve">:  </w:t>
            </w:r>
            <w:r w:rsidRPr="00980C61">
              <w:rPr>
                <w:sz w:val="16"/>
                <w:szCs w:val="16"/>
                <w:lang w:bidi="th-TH"/>
              </w:rPr>
              <w:t>por determinar</w:t>
            </w:r>
          </w:p>
        </w:tc>
        <w:tc>
          <w:tcPr>
            <w:tcW w:w="747" w:type="pct"/>
            <w:tcBorders>
              <w:bottom w:val="nil"/>
            </w:tcBorders>
            <w:tcMar>
              <w:top w:w="110" w:type="dxa"/>
            </w:tcMar>
          </w:tcPr>
          <w:p w:rsidR="008A591C" w:rsidRPr="00980C61" w:rsidRDefault="008A591C" w:rsidP="00DC1333">
            <w:pPr>
              <w:keepNext/>
              <w:keepLines/>
              <w:rPr>
                <w:color w:val="002060"/>
                <w:sz w:val="16"/>
                <w:szCs w:val="16"/>
              </w:rPr>
            </w:pPr>
            <w:r w:rsidRPr="00980C61">
              <w:rPr>
                <w:color w:val="002060"/>
                <w:sz w:val="16"/>
                <w:szCs w:val="16"/>
              </w:rPr>
              <w:t>Objetivo definido:  40.000</w:t>
            </w:r>
          </w:p>
          <w:p w:rsidR="008A591C" w:rsidRPr="00980C61" w:rsidRDefault="008A591C" w:rsidP="00DC1333">
            <w:pPr>
              <w:keepNext/>
              <w:keepLines/>
              <w:rPr>
                <w:sz w:val="16"/>
                <w:szCs w:val="16"/>
              </w:rPr>
            </w:pPr>
          </w:p>
          <w:p w:rsidR="008A591C" w:rsidRPr="00980C61" w:rsidRDefault="008A591C" w:rsidP="00DC1333">
            <w:pPr>
              <w:keepNext/>
              <w:keepLines/>
              <w:rPr>
                <w:sz w:val="16"/>
                <w:szCs w:val="16"/>
              </w:rPr>
            </w:pPr>
            <w:r w:rsidRPr="00980C61">
              <w:rPr>
                <w:sz w:val="16"/>
                <w:szCs w:val="16"/>
              </w:rPr>
              <w:t>Objetivo original en el presupuesto por programas de 2014/15:  por determinar</w:t>
            </w:r>
          </w:p>
          <w:p w:rsidR="008A591C" w:rsidRPr="00980C61" w:rsidRDefault="008A591C" w:rsidP="00DC1333">
            <w:pPr>
              <w:keepNext/>
              <w:keepLines/>
              <w:rPr>
                <w:sz w:val="16"/>
                <w:szCs w:val="16"/>
              </w:rPr>
            </w:pPr>
          </w:p>
          <w:p w:rsidR="008A591C" w:rsidRPr="00980C61" w:rsidRDefault="008A591C" w:rsidP="00DC1333">
            <w:pPr>
              <w:rPr>
                <w:sz w:val="16"/>
                <w:szCs w:val="16"/>
                <w:lang w:bidi="th-TH"/>
              </w:rPr>
            </w:pPr>
          </w:p>
        </w:tc>
        <w:tc>
          <w:tcPr>
            <w:tcW w:w="1716" w:type="pct"/>
            <w:tcBorders>
              <w:bottom w:val="nil"/>
            </w:tcBorders>
            <w:shd w:val="clear" w:color="auto" w:fill="FFFFFF"/>
            <w:tcMar>
              <w:top w:w="110" w:type="dxa"/>
            </w:tcMar>
          </w:tcPr>
          <w:p w:rsidR="008A591C" w:rsidRPr="00980C61" w:rsidRDefault="008A591C" w:rsidP="00DC1333">
            <w:pPr>
              <w:jc w:val="both"/>
              <w:rPr>
                <w:sz w:val="16"/>
                <w:szCs w:val="16"/>
                <w:lang w:bidi="th-TH"/>
              </w:rPr>
            </w:pPr>
            <w:r w:rsidRPr="00980C61">
              <w:rPr>
                <w:sz w:val="16"/>
                <w:szCs w:val="16"/>
                <w:lang w:bidi="th-TH"/>
              </w:rPr>
              <w:t xml:space="preserve">Se registraron 40.510 suscripciones al Boletín para las pymes en 2014 </w:t>
            </w:r>
          </w:p>
          <w:p w:rsidR="008A591C" w:rsidRPr="00980C61" w:rsidRDefault="008A591C" w:rsidP="00DC1333">
            <w:pPr>
              <w:jc w:val="both"/>
              <w:rPr>
                <w:sz w:val="16"/>
                <w:szCs w:val="16"/>
                <w:lang w:bidi="th-TH"/>
              </w:rPr>
            </w:pPr>
          </w:p>
          <w:p w:rsidR="008A591C" w:rsidRPr="00980C61" w:rsidRDefault="008A591C" w:rsidP="00DC1333">
            <w:pPr>
              <w:jc w:val="both"/>
              <w:rPr>
                <w:sz w:val="16"/>
                <w:szCs w:val="16"/>
                <w:lang w:bidi="th-TH"/>
              </w:rPr>
            </w:pPr>
            <w:r w:rsidRPr="00980C61">
              <w:rPr>
                <w:sz w:val="16"/>
                <w:szCs w:val="16"/>
                <w:lang w:bidi="th-TH"/>
              </w:rPr>
              <w:t>Se registraron 6.657 suscripciones al Boletín para las pymes en 2015</w:t>
            </w:r>
          </w:p>
          <w:p w:rsidR="008A591C" w:rsidRPr="00980C61" w:rsidRDefault="008A591C" w:rsidP="00DC1333">
            <w:pPr>
              <w:jc w:val="both"/>
              <w:rPr>
                <w:sz w:val="16"/>
                <w:szCs w:val="16"/>
                <w:lang w:bidi="th-TH"/>
              </w:rPr>
            </w:pPr>
          </w:p>
          <w:p w:rsidR="008A591C" w:rsidRPr="00980C61" w:rsidRDefault="008A591C" w:rsidP="00DC1333">
            <w:pPr>
              <w:jc w:val="both"/>
              <w:rPr>
                <w:sz w:val="16"/>
                <w:szCs w:val="16"/>
                <w:lang w:bidi="th-TH"/>
              </w:rPr>
            </w:pPr>
          </w:p>
          <w:p w:rsidR="008A591C" w:rsidRPr="00980C61" w:rsidRDefault="008A591C" w:rsidP="00DC1333">
            <w:pPr>
              <w:jc w:val="both"/>
              <w:rPr>
                <w:sz w:val="16"/>
                <w:szCs w:val="16"/>
                <w:lang w:bidi="th-TH"/>
              </w:rPr>
            </w:pPr>
            <w:r w:rsidRPr="00980C61">
              <w:rPr>
                <w:sz w:val="16"/>
                <w:szCs w:val="16"/>
                <w:lang w:bidi="th-TH"/>
              </w:rPr>
              <w:t>Véase el párrafo 30.4 para más información.</w:t>
            </w:r>
          </w:p>
        </w:tc>
        <w:tc>
          <w:tcPr>
            <w:tcW w:w="522" w:type="pct"/>
            <w:tcBorders>
              <w:bottom w:val="nil"/>
            </w:tcBorders>
            <w:tcMar>
              <w:top w:w="110" w:type="dxa"/>
            </w:tcMar>
          </w:tcPr>
          <w:p w:rsidR="008A591C" w:rsidRPr="00980C61" w:rsidRDefault="008A591C" w:rsidP="00DC1333">
            <w:pPr>
              <w:pStyle w:val="Default"/>
              <w:jc w:val="center"/>
              <w:rPr>
                <w:bCs/>
                <w:color w:val="808080"/>
                <w:sz w:val="16"/>
                <w:szCs w:val="16"/>
                <w:lang w:val="es-ES"/>
              </w:rPr>
            </w:pPr>
            <w:r w:rsidRPr="00980C61">
              <w:rPr>
                <w:b/>
                <w:bCs/>
                <w:color w:val="808080"/>
                <w:sz w:val="13"/>
                <w:szCs w:val="13"/>
                <w:lang w:val="es-ES"/>
              </w:rPr>
              <w:t>No mensurable</w:t>
            </w:r>
          </w:p>
        </w:tc>
      </w:tr>
      <w:tr w:rsidR="008A591C" w:rsidRPr="00980C61" w:rsidTr="00DC1333">
        <w:trPr>
          <w:cantSplit/>
        </w:trPr>
        <w:tc>
          <w:tcPr>
            <w:tcW w:w="1120" w:type="pct"/>
            <w:tcBorders>
              <w:top w:val="nil"/>
              <w:bottom w:val="nil"/>
            </w:tcBorders>
          </w:tcPr>
          <w:p w:rsidR="008A591C" w:rsidRPr="00980C61" w:rsidRDefault="008A591C" w:rsidP="00DC1333">
            <w:pPr>
              <w:rPr>
                <w:sz w:val="16"/>
                <w:szCs w:val="16"/>
                <w:lang w:bidi="th-TH"/>
              </w:rPr>
            </w:pPr>
            <w:r w:rsidRPr="00980C61">
              <w:rPr>
                <w:sz w:val="16"/>
                <w:szCs w:val="16"/>
                <w:lang w:bidi="th-TH"/>
              </w:rPr>
              <w:t xml:space="preserve">Número de directrices y material sobre pymes descargado del sitio web. </w:t>
            </w:r>
          </w:p>
        </w:tc>
        <w:tc>
          <w:tcPr>
            <w:tcW w:w="895" w:type="pct"/>
            <w:tcBorders>
              <w:top w:val="nil"/>
              <w:bottom w:val="nil"/>
            </w:tcBorders>
            <w:shd w:val="clear" w:color="auto" w:fill="auto"/>
          </w:tcPr>
          <w:p w:rsidR="008A591C" w:rsidRPr="00980C61" w:rsidRDefault="008A591C" w:rsidP="00DC1333">
            <w:pPr>
              <w:keepNext/>
              <w:keepLines/>
              <w:outlineLvl w:val="7"/>
              <w:rPr>
                <w:i/>
                <w:color w:val="002060"/>
                <w:sz w:val="16"/>
                <w:szCs w:val="16"/>
              </w:rPr>
            </w:pPr>
            <w:r w:rsidRPr="00980C61">
              <w:rPr>
                <w:i/>
                <w:color w:val="002060"/>
                <w:sz w:val="16"/>
                <w:szCs w:val="16"/>
              </w:rPr>
              <w:t xml:space="preserve">Referencia actualizada a fines de 2013: </w:t>
            </w:r>
          </w:p>
          <w:p w:rsidR="008A591C" w:rsidRPr="00980C61" w:rsidRDefault="008A591C" w:rsidP="00DC1333">
            <w:pPr>
              <w:keepNext/>
              <w:keepLines/>
              <w:rPr>
                <w:color w:val="002060"/>
                <w:sz w:val="16"/>
                <w:szCs w:val="16"/>
              </w:rPr>
            </w:pPr>
            <w:r w:rsidRPr="00980C61">
              <w:rPr>
                <w:color w:val="002060"/>
                <w:sz w:val="16"/>
                <w:szCs w:val="16"/>
              </w:rPr>
              <w:t>número de descargas:  77.617 (2013)</w:t>
            </w:r>
          </w:p>
          <w:p w:rsidR="008A591C" w:rsidRPr="00980C61" w:rsidRDefault="008A591C" w:rsidP="00DC1333">
            <w:pPr>
              <w:keepNext/>
              <w:keepLines/>
              <w:rPr>
                <w:color w:val="002060"/>
                <w:sz w:val="16"/>
                <w:szCs w:val="16"/>
              </w:rPr>
            </w:pPr>
          </w:p>
          <w:p w:rsidR="008A591C" w:rsidRPr="00980C61" w:rsidRDefault="008A591C" w:rsidP="00DC1333">
            <w:pPr>
              <w:keepNext/>
              <w:keepLines/>
              <w:rPr>
                <w:i/>
                <w:color w:val="002060"/>
                <w:sz w:val="16"/>
                <w:szCs w:val="16"/>
              </w:rPr>
            </w:pPr>
            <w:r w:rsidRPr="00980C61">
              <w:rPr>
                <w:color w:val="002060"/>
                <w:sz w:val="16"/>
                <w:szCs w:val="16"/>
              </w:rPr>
              <w:t>Número de visitas a la página web:  1.210.803 (2013)</w:t>
            </w:r>
          </w:p>
          <w:p w:rsidR="008A591C" w:rsidRPr="00980C61" w:rsidRDefault="008A591C" w:rsidP="00DC1333">
            <w:pPr>
              <w:keepNext/>
              <w:keepLines/>
              <w:rPr>
                <w:i/>
                <w:sz w:val="8"/>
                <w:szCs w:val="8"/>
              </w:rPr>
            </w:pPr>
          </w:p>
          <w:p w:rsidR="008A591C" w:rsidRPr="00980C61" w:rsidRDefault="008A591C" w:rsidP="00DC1333">
            <w:pPr>
              <w:keepNext/>
              <w:keepLines/>
              <w:rPr>
                <w:sz w:val="16"/>
                <w:szCs w:val="16"/>
                <w:lang w:bidi="th-TH"/>
              </w:rPr>
            </w:pPr>
            <w:r w:rsidRPr="00980C61">
              <w:rPr>
                <w:i/>
                <w:sz w:val="16"/>
                <w:szCs w:val="16"/>
                <w:lang w:bidi="th-TH"/>
              </w:rPr>
              <w:t xml:space="preserve">Referencia original en el presupuesto de 2014/15:  </w:t>
            </w:r>
            <w:r w:rsidRPr="00980C61">
              <w:rPr>
                <w:sz w:val="16"/>
                <w:szCs w:val="16"/>
                <w:lang w:bidi="th-TH"/>
              </w:rPr>
              <w:t xml:space="preserve">por determinar </w:t>
            </w:r>
          </w:p>
          <w:p w:rsidR="008A591C" w:rsidRPr="00980C61" w:rsidRDefault="008A591C" w:rsidP="00DC1333">
            <w:pPr>
              <w:rPr>
                <w:sz w:val="16"/>
                <w:szCs w:val="16"/>
                <w:lang w:bidi="th-TH"/>
              </w:rPr>
            </w:pPr>
          </w:p>
        </w:tc>
        <w:tc>
          <w:tcPr>
            <w:tcW w:w="747" w:type="pct"/>
            <w:tcBorders>
              <w:top w:val="nil"/>
              <w:bottom w:val="nil"/>
            </w:tcBorders>
            <w:tcMar>
              <w:top w:w="110" w:type="dxa"/>
            </w:tcMar>
          </w:tcPr>
          <w:p w:rsidR="008A591C" w:rsidRPr="00980C61" w:rsidRDefault="008A591C" w:rsidP="00DC1333">
            <w:pPr>
              <w:keepNext/>
              <w:keepLines/>
              <w:rPr>
                <w:sz w:val="16"/>
                <w:szCs w:val="16"/>
              </w:rPr>
            </w:pPr>
            <w:r w:rsidRPr="00980C61">
              <w:rPr>
                <w:sz w:val="16"/>
                <w:szCs w:val="16"/>
              </w:rPr>
              <w:t>Por determinar.</w:t>
            </w:r>
          </w:p>
          <w:p w:rsidR="008A591C" w:rsidRPr="00980C61" w:rsidRDefault="008A591C" w:rsidP="00DC1333">
            <w:pPr>
              <w:keepNext/>
              <w:keepLines/>
              <w:rPr>
                <w:sz w:val="16"/>
                <w:szCs w:val="16"/>
              </w:rPr>
            </w:pPr>
          </w:p>
          <w:p w:rsidR="008A591C" w:rsidRPr="00980C61" w:rsidRDefault="008A591C" w:rsidP="00DC1333">
            <w:pPr>
              <w:rPr>
                <w:sz w:val="16"/>
                <w:szCs w:val="16"/>
                <w:lang w:bidi="th-TH"/>
              </w:rPr>
            </w:pPr>
          </w:p>
        </w:tc>
        <w:tc>
          <w:tcPr>
            <w:tcW w:w="1716" w:type="pct"/>
            <w:tcBorders>
              <w:top w:val="nil"/>
              <w:bottom w:val="nil"/>
            </w:tcBorders>
            <w:shd w:val="clear" w:color="auto" w:fill="FFFFFF"/>
            <w:tcMar>
              <w:top w:w="110" w:type="dxa"/>
            </w:tcMar>
          </w:tcPr>
          <w:p w:rsidR="008A591C" w:rsidRPr="00980C61" w:rsidRDefault="008A591C" w:rsidP="00DC1333">
            <w:pPr>
              <w:rPr>
                <w:sz w:val="16"/>
                <w:szCs w:val="16"/>
                <w:lang w:bidi="th-TH"/>
              </w:rPr>
            </w:pPr>
            <w:r w:rsidRPr="00980C61">
              <w:rPr>
                <w:sz w:val="16"/>
                <w:szCs w:val="16"/>
                <w:lang w:bidi="th-TH"/>
              </w:rPr>
              <w:t>2014:</w:t>
            </w:r>
          </w:p>
          <w:p w:rsidR="008A591C" w:rsidRPr="00980C61" w:rsidRDefault="008A591C" w:rsidP="00DC1333">
            <w:pPr>
              <w:rPr>
                <w:sz w:val="16"/>
                <w:szCs w:val="16"/>
                <w:lang w:bidi="th-TH"/>
              </w:rPr>
            </w:pPr>
            <w:r w:rsidRPr="00980C61">
              <w:rPr>
                <w:sz w:val="16"/>
                <w:szCs w:val="16"/>
                <w:lang w:bidi="th-TH"/>
              </w:rPr>
              <w:t>Número de descargas:  70.559 (-9% en comparación con 2013)</w:t>
            </w:r>
          </w:p>
          <w:p w:rsidR="008A591C" w:rsidRPr="00980C61" w:rsidRDefault="008A591C" w:rsidP="00DC1333">
            <w:pPr>
              <w:rPr>
                <w:sz w:val="16"/>
                <w:szCs w:val="16"/>
                <w:lang w:bidi="th-TH"/>
              </w:rPr>
            </w:pPr>
            <w:r w:rsidRPr="00980C61">
              <w:rPr>
                <w:sz w:val="16"/>
                <w:szCs w:val="16"/>
                <w:lang w:bidi="th-TH"/>
              </w:rPr>
              <w:t>Número de visitas a la página web de las pymes:  821.150  (-32% en comparación con 2013)</w:t>
            </w:r>
          </w:p>
          <w:p w:rsidR="008A591C" w:rsidRPr="00980C61" w:rsidRDefault="008A591C" w:rsidP="00DC1333">
            <w:pPr>
              <w:rPr>
                <w:sz w:val="16"/>
                <w:szCs w:val="16"/>
                <w:lang w:bidi="th-TH"/>
              </w:rPr>
            </w:pPr>
          </w:p>
          <w:p w:rsidR="008A591C" w:rsidRPr="00980C61" w:rsidRDefault="008A591C" w:rsidP="00DC1333">
            <w:pPr>
              <w:rPr>
                <w:sz w:val="16"/>
                <w:szCs w:val="16"/>
                <w:lang w:bidi="th-TH"/>
              </w:rPr>
            </w:pPr>
            <w:r w:rsidRPr="00980C61">
              <w:rPr>
                <w:sz w:val="16"/>
                <w:szCs w:val="16"/>
                <w:lang w:bidi="th-TH"/>
              </w:rPr>
              <w:t>2015:</w:t>
            </w:r>
          </w:p>
          <w:p w:rsidR="008A591C" w:rsidRPr="00980C61" w:rsidRDefault="008A591C" w:rsidP="00DC1333">
            <w:pPr>
              <w:rPr>
                <w:sz w:val="16"/>
                <w:szCs w:val="16"/>
                <w:lang w:bidi="th-TH"/>
              </w:rPr>
            </w:pPr>
            <w:r w:rsidRPr="00980C61">
              <w:rPr>
                <w:sz w:val="16"/>
                <w:szCs w:val="16"/>
                <w:lang w:bidi="th-TH"/>
              </w:rPr>
              <w:t>Número de descargas: 71.867 (+2% en comparación con 2014)</w:t>
            </w:r>
          </w:p>
          <w:p w:rsidR="008A591C" w:rsidRPr="00980C61" w:rsidRDefault="008A591C" w:rsidP="00DC1333">
            <w:pPr>
              <w:rPr>
                <w:sz w:val="16"/>
                <w:szCs w:val="16"/>
                <w:lang w:bidi="th-TH"/>
              </w:rPr>
            </w:pPr>
            <w:r w:rsidRPr="00980C61">
              <w:rPr>
                <w:sz w:val="16"/>
                <w:szCs w:val="16"/>
                <w:lang w:bidi="th-TH"/>
              </w:rPr>
              <w:t>Número de visitas a la página web de las pymes:  960.196 (+17%  en comparación con 2014)</w:t>
            </w:r>
          </w:p>
          <w:p w:rsidR="008A591C" w:rsidRPr="00980C61" w:rsidRDefault="008A591C" w:rsidP="00DC1333">
            <w:pPr>
              <w:rPr>
                <w:sz w:val="16"/>
                <w:szCs w:val="16"/>
                <w:lang w:bidi="th-TH"/>
              </w:rPr>
            </w:pPr>
          </w:p>
        </w:tc>
        <w:tc>
          <w:tcPr>
            <w:tcW w:w="522" w:type="pct"/>
            <w:tcBorders>
              <w:top w:val="nil"/>
              <w:bottom w:val="nil"/>
            </w:tcBorders>
            <w:tcMar>
              <w:top w:w="110" w:type="dxa"/>
            </w:tcMar>
          </w:tcPr>
          <w:p w:rsidR="008A591C" w:rsidRPr="00980C61" w:rsidRDefault="008A591C" w:rsidP="00DC1333">
            <w:pPr>
              <w:keepNext/>
              <w:keepLines/>
              <w:jc w:val="center"/>
              <w:rPr>
                <w:b/>
                <w:bCs/>
                <w:color w:val="808080"/>
                <w:sz w:val="14"/>
                <w:szCs w:val="16"/>
              </w:rPr>
            </w:pPr>
            <w:r w:rsidRPr="00980C61">
              <w:rPr>
                <w:rFonts w:eastAsiaTheme="minorHAnsi"/>
                <w:b/>
                <w:bCs/>
                <w:color w:val="808080"/>
                <w:sz w:val="13"/>
                <w:szCs w:val="13"/>
              </w:rPr>
              <w:t xml:space="preserve">No mensurable </w:t>
            </w:r>
          </w:p>
        </w:tc>
      </w:tr>
      <w:tr w:rsidR="008A591C" w:rsidRPr="00980C61" w:rsidTr="00DC1333">
        <w:trPr>
          <w:cantSplit/>
        </w:trPr>
        <w:tc>
          <w:tcPr>
            <w:tcW w:w="1120" w:type="pct"/>
            <w:tcBorders>
              <w:top w:val="nil"/>
              <w:bottom w:val="nil"/>
            </w:tcBorders>
          </w:tcPr>
          <w:p w:rsidR="008A591C" w:rsidRPr="00980C61" w:rsidRDefault="008A591C" w:rsidP="00DC1333">
            <w:pPr>
              <w:rPr>
                <w:sz w:val="16"/>
                <w:szCs w:val="16"/>
                <w:lang w:bidi="th-TH"/>
              </w:rPr>
            </w:pPr>
            <w:r w:rsidRPr="00980C61">
              <w:rPr>
                <w:sz w:val="16"/>
                <w:szCs w:val="16"/>
                <w:lang w:bidi="th-TH"/>
              </w:rPr>
              <w:t xml:space="preserve">Número de estudios de caso relacionados con las pymes que han sido consultados por intermedio de la base de datos IP </w:t>
            </w:r>
            <w:proofErr w:type="spellStart"/>
            <w:r w:rsidRPr="00980C61">
              <w:rPr>
                <w:sz w:val="16"/>
                <w:szCs w:val="16"/>
                <w:lang w:bidi="th-TH"/>
              </w:rPr>
              <w:t>Advantage</w:t>
            </w:r>
            <w:proofErr w:type="spellEnd"/>
            <w:r w:rsidRPr="00980C61">
              <w:rPr>
                <w:sz w:val="16"/>
                <w:szCs w:val="16"/>
                <w:lang w:bidi="th-TH"/>
              </w:rPr>
              <w:t xml:space="preserve"> u otras bases de datos.</w:t>
            </w:r>
          </w:p>
        </w:tc>
        <w:tc>
          <w:tcPr>
            <w:tcW w:w="895" w:type="pct"/>
            <w:tcBorders>
              <w:top w:val="nil"/>
              <w:bottom w:val="nil"/>
            </w:tcBorders>
            <w:shd w:val="clear" w:color="auto" w:fill="auto"/>
          </w:tcPr>
          <w:p w:rsidR="008A591C" w:rsidRPr="00980C61" w:rsidRDefault="008A591C" w:rsidP="00DC1333">
            <w:pPr>
              <w:rPr>
                <w:i/>
                <w:color w:val="002060"/>
                <w:sz w:val="16"/>
                <w:szCs w:val="16"/>
              </w:rPr>
            </w:pPr>
            <w:r w:rsidRPr="00980C61">
              <w:rPr>
                <w:sz w:val="16"/>
                <w:szCs w:val="16"/>
              </w:rPr>
              <w:t>Por determinar</w:t>
            </w:r>
            <w:r w:rsidRPr="00980C61">
              <w:rPr>
                <w:i/>
                <w:sz w:val="16"/>
                <w:szCs w:val="16"/>
              </w:rPr>
              <w:t>.</w:t>
            </w:r>
          </w:p>
        </w:tc>
        <w:tc>
          <w:tcPr>
            <w:tcW w:w="747" w:type="pct"/>
            <w:tcBorders>
              <w:top w:val="nil"/>
              <w:bottom w:val="nil"/>
            </w:tcBorders>
            <w:tcMar>
              <w:top w:w="110" w:type="dxa"/>
            </w:tcMar>
          </w:tcPr>
          <w:p w:rsidR="008A591C" w:rsidRPr="00980C61" w:rsidRDefault="008A591C" w:rsidP="00DC1333">
            <w:pPr>
              <w:rPr>
                <w:sz w:val="16"/>
                <w:szCs w:val="16"/>
              </w:rPr>
            </w:pPr>
            <w:r w:rsidRPr="00980C61">
              <w:rPr>
                <w:sz w:val="16"/>
                <w:szCs w:val="16"/>
              </w:rPr>
              <w:t>Por determinar.</w:t>
            </w:r>
          </w:p>
          <w:p w:rsidR="008A591C" w:rsidRPr="00980C61" w:rsidRDefault="008A591C" w:rsidP="00DC1333">
            <w:pPr>
              <w:rPr>
                <w:sz w:val="16"/>
                <w:szCs w:val="16"/>
              </w:rPr>
            </w:pPr>
          </w:p>
          <w:p w:rsidR="008A591C" w:rsidRPr="00980C61" w:rsidRDefault="008A591C" w:rsidP="00DC1333">
            <w:pPr>
              <w:rPr>
                <w:sz w:val="16"/>
                <w:szCs w:val="16"/>
              </w:rPr>
            </w:pPr>
          </w:p>
        </w:tc>
        <w:tc>
          <w:tcPr>
            <w:tcW w:w="1716" w:type="pct"/>
            <w:tcBorders>
              <w:top w:val="nil"/>
              <w:bottom w:val="nil"/>
            </w:tcBorders>
            <w:shd w:val="clear" w:color="auto" w:fill="FFFFFF"/>
            <w:tcMar>
              <w:top w:w="110" w:type="dxa"/>
            </w:tcMar>
          </w:tcPr>
          <w:p w:rsidR="008A591C" w:rsidRPr="00980C61" w:rsidRDefault="008A591C" w:rsidP="00DC1333">
            <w:pPr>
              <w:pStyle w:val="Default"/>
              <w:rPr>
                <w:sz w:val="16"/>
                <w:szCs w:val="16"/>
                <w:lang w:val="es-ES"/>
              </w:rPr>
            </w:pPr>
            <w:r w:rsidRPr="00980C61">
              <w:rPr>
                <w:sz w:val="16"/>
                <w:szCs w:val="16"/>
                <w:lang w:val="es-ES"/>
              </w:rPr>
              <w:t xml:space="preserve">En el bienio, se publicaron 19 nuevos estudios de caso relacionados con las pymes en la base de datos IP </w:t>
            </w:r>
            <w:proofErr w:type="spellStart"/>
            <w:r w:rsidRPr="00980C61">
              <w:rPr>
                <w:sz w:val="16"/>
                <w:szCs w:val="16"/>
                <w:lang w:val="es-ES"/>
              </w:rPr>
              <w:t>Advantage</w:t>
            </w:r>
            <w:proofErr w:type="spellEnd"/>
            <w:r w:rsidRPr="00980C61">
              <w:rPr>
                <w:sz w:val="16"/>
                <w:szCs w:val="16"/>
                <w:lang w:val="es-ES"/>
              </w:rPr>
              <w:t xml:space="preserve">, elevando así el número total de </w:t>
            </w:r>
            <w:r w:rsidRPr="00980C61">
              <w:rPr>
                <w:sz w:val="16"/>
                <w:szCs w:val="16"/>
                <w:lang w:val="es-ES" w:bidi="th-TH"/>
              </w:rPr>
              <w:t>estudios de caso relacionados con las pymes a </w:t>
            </w:r>
            <w:r w:rsidRPr="00980C61">
              <w:rPr>
                <w:sz w:val="16"/>
                <w:szCs w:val="16"/>
                <w:lang w:val="es-ES"/>
              </w:rPr>
              <w:t xml:space="preserve">206.  Se registraron 199.700 visitas a la base de datos IP </w:t>
            </w:r>
            <w:proofErr w:type="spellStart"/>
            <w:r w:rsidRPr="00980C61">
              <w:rPr>
                <w:sz w:val="16"/>
                <w:szCs w:val="16"/>
                <w:lang w:val="es-ES"/>
              </w:rPr>
              <w:t>Advantage</w:t>
            </w:r>
            <w:proofErr w:type="spellEnd"/>
            <w:r w:rsidRPr="00980C61">
              <w:rPr>
                <w:sz w:val="16"/>
                <w:szCs w:val="16"/>
                <w:lang w:val="es-ES"/>
              </w:rPr>
              <w:t xml:space="preserve"> en 2014/15;  sin embargo, no es posible determinar el número de veces que se consultaron los estudios de caso relacionados con las pymes.</w:t>
            </w:r>
          </w:p>
        </w:tc>
        <w:tc>
          <w:tcPr>
            <w:tcW w:w="522" w:type="pct"/>
            <w:tcBorders>
              <w:top w:val="nil"/>
              <w:bottom w:val="nil"/>
            </w:tcBorders>
            <w:tcMar>
              <w:top w:w="110" w:type="dxa"/>
            </w:tcMar>
          </w:tcPr>
          <w:p w:rsidR="008A591C" w:rsidRPr="00980C61" w:rsidRDefault="008A591C" w:rsidP="00DC1333">
            <w:pPr>
              <w:keepNext/>
              <w:keepLines/>
              <w:jc w:val="center"/>
              <w:rPr>
                <w:rStyle w:val="Style5"/>
                <w:b/>
                <w:color w:val="808080"/>
                <w:sz w:val="14"/>
                <w:szCs w:val="16"/>
              </w:rPr>
            </w:pPr>
            <w:r w:rsidRPr="00980C61">
              <w:rPr>
                <w:rFonts w:eastAsiaTheme="minorHAnsi"/>
                <w:b/>
                <w:bCs/>
                <w:color w:val="808080"/>
                <w:sz w:val="13"/>
                <w:szCs w:val="13"/>
              </w:rPr>
              <w:t xml:space="preserve">No mensurable </w:t>
            </w:r>
          </w:p>
        </w:tc>
      </w:tr>
      <w:tr w:rsidR="008A591C" w:rsidRPr="00980C61" w:rsidTr="00DC1333">
        <w:trPr>
          <w:cantSplit/>
        </w:trPr>
        <w:tc>
          <w:tcPr>
            <w:tcW w:w="1120" w:type="pct"/>
            <w:tcBorders>
              <w:top w:val="nil"/>
              <w:bottom w:val="single" w:sz="4" w:space="0" w:color="auto"/>
            </w:tcBorders>
          </w:tcPr>
          <w:p w:rsidR="008A591C" w:rsidRPr="00980C61" w:rsidRDefault="008A591C" w:rsidP="00DC1333">
            <w:pPr>
              <w:rPr>
                <w:sz w:val="16"/>
                <w:szCs w:val="16"/>
                <w:lang w:bidi="th-TH"/>
              </w:rPr>
            </w:pPr>
            <w:r w:rsidRPr="00980C61">
              <w:rPr>
                <w:sz w:val="16"/>
                <w:szCs w:val="16"/>
                <w:lang w:bidi="th-TH"/>
              </w:rPr>
              <w:t>Porcentaje de participantes en los programas de formación destinados a las instituciones de apoyo a las pymes que están satisfechos con el contenido y la organización de las reuniones de formación</w:t>
            </w:r>
          </w:p>
        </w:tc>
        <w:tc>
          <w:tcPr>
            <w:tcW w:w="895" w:type="pct"/>
            <w:tcBorders>
              <w:top w:val="nil"/>
              <w:bottom w:val="single" w:sz="4" w:space="0" w:color="auto"/>
            </w:tcBorders>
            <w:shd w:val="clear" w:color="auto" w:fill="auto"/>
          </w:tcPr>
          <w:p w:rsidR="008A591C" w:rsidRPr="00980C61" w:rsidRDefault="008A591C" w:rsidP="00DC1333">
            <w:pPr>
              <w:rPr>
                <w:color w:val="002060"/>
                <w:sz w:val="16"/>
                <w:szCs w:val="16"/>
              </w:rPr>
            </w:pPr>
            <w:r w:rsidRPr="00980C61">
              <w:rPr>
                <w:i/>
                <w:color w:val="002060"/>
                <w:sz w:val="16"/>
                <w:szCs w:val="16"/>
              </w:rPr>
              <w:t xml:space="preserve">Referencia actualizada a fines de 2013:  </w:t>
            </w:r>
            <w:r w:rsidRPr="00980C61">
              <w:rPr>
                <w:color w:val="002060"/>
                <w:sz w:val="16"/>
                <w:szCs w:val="16"/>
              </w:rPr>
              <w:t>90%</w:t>
            </w:r>
          </w:p>
          <w:p w:rsidR="008A591C" w:rsidRPr="00980C61" w:rsidRDefault="008A591C" w:rsidP="00DC1333">
            <w:pPr>
              <w:rPr>
                <w:i/>
                <w:sz w:val="16"/>
                <w:szCs w:val="16"/>
              </w:rPr>
            </w:pPr>
          </w:p>
          <w:p w:rsidR="008A591C" w:rsidRPr="00980C61" w:rsidRDefault="008A591C" w:rsidP="00DC1333">
            <w:pPr>
              <w:rPr>
                <w:i/>
                <w:color w:val="002060"/>
                <w:sz w:val="16"/>
                <w:szCs w:val="16"/>
              </w:rPr>
            </w:pPr>
            <w:r w:rsidRPr="00980C61">
              <w:rPr>
                <w:i/>
                <w:sz w:val="16"/>
                <w:szCs w:val="16"/>
              </w:rPr>
              <w:t xml:space="preserve">Referencia original en el presupuesto de 2014/15:  </w:t>
            </w:r>
            <w:r w:rsidRPr="00980C61">
              <w:rPr>
                <w:sz w:val="16"/>
                <w:szCs w:val="16"/>
              </w:rPr>
              <w:t>por determinar</w:t>
            </w:r>
          </w:p>
        </w:tc>
        <w:tc>
          <w:tcPr>
            <w:tcW w:w="747" w:type="pct"/>
            <w:tcBorders>
              <w:top w:val="nil"/>
              <w:bottom w:val="single" w:sz="4" w:space="0" w:color="auto"/>
            </w:tcBorders>
            <w:tcMar>
              <w:top w:w="110" w:type="dxa"/>
            </w:tcMar>
          </w:tcPr>
          <w:p w:rsidR="008A591C" w:rsidRPr="00980C61" w:rsidRDefault="008A591C" w:rsidP="00DC1333">
            <w:pPr>
              <w:rPr>
                <w:sz w:val="16"/>
                <w:szCs w:val="16"/>
              </w:rPr>
            </w:pPr>
            <w:r w:rsidRPr="00980C61">
              <w:rPr>
                <w:sz w:val="16"/>
                <w:szCs w:val="16"/>
              </w:rPr>
              <w:t>Por determinar.</w:t>
            </w:r>
          </w:p>
          <w:p w:rsidR="008A591C" w:rsidRPr="00980C61" w:rsidRDefault="008A591C" w:rsidP="00DC1333">
            <w:pPr>
              <w:rPr>
                <w:sz w:val="16"/>
                <w:szCs w:val="16"/>
              </w:rPr>
            </w:pPr>
          </w:p>
          <w:p w:rsidR="008A591C" w:rsidRPr="00980C61" w:rsidRDefault="008A591C" w:rsidP="00DC1333">
            <w:pPr>
              <w:rPr>
                <w:sz w:val="16"/>
                <w:szCs w:val="16"/>
              </w:rPr>
            </w:pPr>
          </w:p>
        </w:tc>
        <w:tc>
          <w:tcPr>
            <w:tcW w:w="1716" w:type="pct"/>
            <w:tcBorders>
              <w:top w:val="nil"/>
              <w:bottom w:val="single" w:sz="4" w:space="0" w:color="auto"/>
            </w:tcBorders>
            <w:shd w:val="clear" w:color="auto" w:fill="FFFFFF"/>
            <w:tcMar>
              <w:top w:w="110" w:type="dxa"/>
            </w:tcMar>
          </w:tcPr>
          <w:p w:rsidR="008A591C" w:rsidRPr="00980C61" w:rsidRDefault="008A591C" w:rsidP="00DC1333">
            <w:pPr>
              <w:rPr>
                <w:sz w:val="16"/>
                <w:szCs w:val="16"/>
              </w:rPr>
            </w:pPr>
            <w:r w:rsidRPr="00980C61">
              <w:rPr>
                <w:sz w:val="16"/>
                <w:szCs w:val="16"/>
              </w:rPr>
              <w:t>El 100% de los participantes se declararon satisfechos (46% muy satisfechos, 54% satisfechos) con el contenido y la organización de esos programas de formación.</w:t>
            </w:r>
          </w:p>
        </w:tc>
        <w:tc>
          <w:tcPr>
            <w:tcW w:w="522" w:type="pct"/>
            <w:tcBorders>
              <w:top w:val="nil"/>
              <w:bottom w:val="single" w:sz="4" w:space="0" w:color="auto"/>
            </w:tcBorders>
            <w:tcMar>
              <w:top w:w="110" w:type="dxa"/>
            </w:tcMar>
          </w:tcPr>
          <w:p w:rsidR="008A591C" w:rsidRPr="00980C61" w:rsidRDefault="008A591C" w:rsidP="002E6163">
            <w:pPr>
              <w:keepNext/>
              <w:keepLines/>
              <w:ind w:left="-109"/>
              <w:jc w:val="center"/>
              <w:rPr>
                <w:rFonts w:asciiTheme="minorHAnsi" w:hAnsiTheme="minorHAnsi"/>
                <w:b/>
                <w:bCs/>
                <w:color w:val="00B050"/>
                <w:sz w:val="16"/>
                <w:szCs w:val="16"/>
              </w:rPr>
            </w:pPr>
            <w:r w:rsidRPr="00980C61">
              <w:rPr>
                <w:rFonts w:asciiTheme="minorHAnsi" w:hAnsiTheme="minorHAnsi"/>
                <w:b/>
                <w:bCs/>
                <w:color w:val="00B050"/>
                <w:sz w:val="16"/>
                <w:szCs w:val="16"/>
              </w:rPr>
              <w:t>Plenamente logrado</w:t>
            </w:r>
          </w:p>
          <w:p w:rsidR="008A591C" w:rsidRPr="00980C61" w:rsidRDefault="008A591C" w:rsidP="00DC1333">
            <w:pPr>
              <w:keepNext/>
              <w:keepLines/>
              <w:jc w:val="center"/>
              <w:rPr>
                <w:rStyle w:val="Style5"/>
                <w:b/>
                <w:color w:val="808080"/>
                <w:sz w:val="16"/>
                <w:szCs w:val="16"/>
              </w:rPr>
            </w:pPr>
          </w:p>
        </w:tc>
      </w:tr>
      <w:tr w:rsidR="008A591C" w:rsidRPr="00980C61" w:rsidTr="00DC1333">
        <w:trPr>
          <w:cantSplit/>
        </w:trPr>
        <w:tc>
          <w:tcPr>
            <w:tcW w:w="1120" w:type="pct"/>
            <w:tcBorders>
              <w:top w:val="single" w:sz="4" w:space="0" w:color="auto"/>
              <w:bottom w:val="nil"/>
            </w:tcBorders>
            <w:vAlign w:val="center"/>
          </w:tcPr>
          <w:p w:rsidR="008A591C" w:rsidRPr="00980C61" w:rsidRDefault="008A591C" w:rsidP="00DC1333">
            <w:pPr>
              <w:keepNext/>
              <w:keepLines/>
              <w:rPr>
                <w:sz w:val="16"/>
                <w:szCs w:val="16"/>
              </w:rPr>
            </w:pPr>
            <w:r w:rsidRPr="00980C61">
              <w:rPr>
                <w:b/>
                <w:sz w:val="16"/>
                <w:szCs w:val="16"/>
              </w:rPr>
              <w:lastRenderedPageBreak/>
              <w:t>Indicadores de rendimiento</w:t>
            </w:r>
          </w:p>
        </w:tc>
        <w:tc>
          <w:tcPr>
            <w:tcW w:w="895" w:type="pct"/>
            <w:tcBorders>
              <w:top w:val="single" w:sz="4" w:space="0" w:color="auto"/>
              <w:bottom w:val="nil"/>
            </w:tcBorders>
            <w:shd w:val="clear" w:color="auto" w:fill="auto"/>
            <w:vAlign w:val="center"/>
          </w:tcPr>
          <w:p w:rsidR="008A591C" w:rsidRPr="00980C61" w:rsidRDefault="008A591C" w:rsidP="00DC1333">
            <w:pPr>
              <w:keepNext/>
              <w:keepLines/>
              <w:rPr>
                <w:b/>
                <w:bCs/>
                <w:sz w:val="16"/>
                <w:szCs w:val="16"/>
              </w:rPr>
            </w:pPr>
            <w:r w:rsidRPr="00980C61">
              <w:rPr>
                <w:b/>
                <w:bCs/>
                <w:sz w:val="16"/>
                <w:szCs w:val="16"/>
              </w:rPr>
              <w:t>Referencia</w:t>
            </w:r>
          </w:p>
        </w:tc>
        <w:tc>
          <w:tcPr>
            <w:tcW w:w="747" w:type="pct"/>
            <w:tcBorders>
              <w:top w:val="single" w:sz="4" w:space="0" w:color="auto"/>
              <w:bottom w:val="nil"/>
            </w:tcBorders>
            <w:tcMar>
              <w:top w:w="110" w:type="dxa"/>
            </w:tcMar>
            <w:vAlign w:val="center"/>
          </w:tcPr>
          <w:p w:rsidR="008A591C" w:rsidRPr="00980C61" w:rsidRDefault="008A591C" w:rsidP="00DC1333">
            <w:pPr>
              <w:keepNext/>
              <w:keepLines/>
              <w:rPr>
                <w:b/>
                <w:sz w:val="16"/>
                <w:szCs w:val="16"/>
              </w:rPr>
            </w:pPr>
            <w:r w:rsidRPr="00980C61">
              <w:rPr>
                <w:b/>
                <w:sz w:val="16"/>
                <w:szCs w:val="16"/>
              </w:rPr>
              <w:t>Objetivos</w:t>
            </w:r>
          </w:p>
        </w:tc>
        <w:tc>
          <w:tcPr>
            <w:tcW w:w="1716" w:type="pct"/>
            <w:tcBorders>
              <w:top w:val="single" w:sz="4" w:space="0" w:color="auto"/>
              <w:bottom w:val="nil"/>
            </w:tcBorders>
            <w:shd w:val="clear" w:color="auto" w:fill="FFFFFF"/>
            <w:tcMar>
              <w:top w:w="110" w:type="dxa"/>
            </w:tcMar>
            <w:vAlign w:val="center"/>
          </w:tcPr>
          <w:p w:rsidR="008A591C" w:rsidRPr="00980C61" w:rsidRDefault="008A591C" w:rsidP="00DC1333">
            <w:pPr>
              <w:keepNext/>
              <w:keepLines/>
              <w:rPr>
                <w:sz w:val="16"/>
                <w:szCs w:val="16"/>
              </w:rPr>
            </w:pPr>
            <w:r w:rsidRPr="00980C61">
              <w:rPr>
                <w:b/>
                <w:sz w:val="16"/>
                <w:szCs w:val="16"/>
              </w:rPr>
              <w:t>Datos sobre el rendimiento</w:t>
            </w:r>
          </w:p>
        </w:tc>
        <w:tc>
          <w:tcPr>
            <w:tcW w:w="522" w:type="pct"/>
            <w:tcBorders>
              <w:top w:val="single" w:sz="4" w:space="0" w:color="auto"/>
              <w:bottom w:val="nil"/>
            </w:tcBorders>
            <w:tcMar>
              <w:top w:w="110" w:type="dxa"/>
            </w:tcMar>
            <w:vAlign w:val="center"/>
          </w:tcPr>
          <w:p w:rsidR="008A591C" w:rsidRPr="00980C61" w:rsidRDefault="008A591C" w:rsidP="00DC1333">
            <w:pPr>
              <w:keepNext/>
              <w:keepLines/>
              <w:jc w:val="center"/>
              <w:rPr>
                <w:b/>
                <w:bCs/>
                <w:sz w:val="16"/>
                <w:szCs w:val="16"/>
              </w:rPr>
            </w:pPr>
            <w:r w:rsidRPr="00980C61">
              <w:rPr>
                <w:b/>
                <w:bCs/>
                <w:sz w:val="16"/>
                <w:szCs w:val="16"/>
              </w:rPr>
              <w:t>Clave de colores</w:t>
            </w:r>
          </w:p>
        </w:tc>
      </w:tr>
      <w:tr w:rsidR="008A591C" w:rsidRPr="00980C61" w:rsidTr="00DC1333">
        <w:trPr>
          <w:cantSplit/>
          <w:trHeight w:val="2464"/>
        </w:trPr>
        <w:tc>
          <w:tcPr>
            <w:tcW w:w="1120" w:type="pct"/>
            <w:tcBorders>
              <w:top w:val="nil"/>
              <w:bottom w:val="nil"/>
            </w:tcBorders>
          </w:tcPr>
          <w:p w:rsidR="008A591C" w:rsidRPr="00980C61" w:rsidRDefault="008A591C" w:rsidP="00DC1333">
            <w:pPr>
              <w:keepNext/>
              <w:keepLines/>
              <w:rPr>
                <w:sz w:val="16"/>
                <w:szCs w:val="16"/>
                <w:lang w:bidi="th-TH"/>
              </w:rPr>
            </w:pPr>
            <w:r w:rsidRPr="00980C61">
              <w:rPr>
                <w:sz w:val="16"/>
                <w:szCs w:val="16"/>
                <w:lang w:bidi="th-TH"/>
              </w:rPr>
              <w:t>Porcentaje de instituciones de apoyo a las pymes que han recibido formación, que a su vez brindan información, apoyo y servicios de consultoría/asesoramiento en gestión de activos de P.I.</w:t>
            </w:r>
          </w:p>
        </w:tc>
        <w:tc>
          <w:tcPr>
            <w:tcW w:w="895" w:type="pct"/>
            <w:tcBorders>
              <w:top w:val="nil"/>
              <w:bottom w:val="nil"/>
            </w:tcBorders>
            <w:shd w:val="clear" w:color="auto" w:fill="auto"/>
          </w:tcPr>
          <w:p w:rsidR="008A591C" w:rsidRPr="00980C61" w:rsidRDefault="008A591C" w:rsidP="00DC1333">
            <w:pPr>
              <w:rPr>
                <w:sz w:val="16"/>
                <w:szCs w:val="16"/>
              </w:rPr>
            </w:pPr>
            <w:r w:rsidRPr="00980C61">
              <w:rPr>
                <w:i/>
                <w:color w:val="002060"/>
                <w:sz w:val="16"/>
                <w:szCs w:val="16"/>
              </w:rPr>
              <w:t>Referencia actualizada a fines de 2013</w:t>
            </w:r>
            <w:proofErr w:type="gramStart"/>
            <w:r w:rsidRPr="00980C61">
              <w:rPr>
                <w:i/>
                <w:color w:val="002060"/>
                <w:sz w:val="16"/>
                <w:szCs w:val="16"/>
              </w:rPr>
              <w:t xml:space="preserve">: </w:t>
            </w:r>
            <w:r w:rsidRPr="00980C61">
              <w:rPr>
                <w:i/>
                <w:sz w:val="16"/>
                <w:szCs w:val="16"/>
              </w:rPr>
              <w:t xml:space="preserve"> </w:t>
            </w:r>
            <w:r w:rsidRPr="00980C61">
              <w:rPr>
                <w:sz w:val="16"/>
                <w:szCs w:val="16"/>
              </w:rPr>
              <w:t>El</w:t>
            </w:r>
            <w:proofErr w:type="gramEnd"/>
            <w:r w:rsidRPr="00980C61">
              <w:rPr>
                <w:sz w:val="16"/>
                <w:szCs w:val="16"/>
              </w:rPr>
              <w:t> 100% de las 15 instituciones de apoyo a las pymes que recibieron asistencia brindan información, apoyo y servicios de consultoría / asesoramiento en gestión de activos de P.I.</w:t>
            </w:r>
          </w:p>
          <w:p w:rsidR="008A591C" w:rsidRPr="00980C61" w:rsidRDefault="008A591C" w:rsidP="00DC1333">
            <w:pPr>
              <w:rPr>
                <w:i/>
                <w:sz w:val="16"/>
                <w:szCs w:val="16"/>
              </w:rPr>
            </w:pPr>
          </w:p>
          <w:p w:rsidR="008A591C" w:rsidRPr="00980C61" w:rsidRDefault="008A591C" w:rsidP="00DC1333">
            <w:pPr>
              <w:keepNext/>
              <w:keepLines/>
              <w:rPr>
                <w:i/>
                <w:color w:val="002060"/>
                <w:sz w:val="16"/>
                <w:szCs w:val="16"/>
              </w:rPr>
            </w:pPr>
            <w:r w:rsidRPr="00980C61">
              <w:rPr>
                <w:i/>
                <w:sz w:val="16"/>
                <w:szCs w:val="16"/>
              </w:rPr>
              <w:t>Referencia original en el presupuesto de 2014/15</w:t>
            </w:r>
            <w:proofErr w:type="gramStart"/>
            <w:r w:rsidRPr="00980C61">
              <w:rPr>
                <w:i/>
                <w:sz w:val="16"/>
                <w:szCs w:val="16"/>
              </w:rPr>
              <w:t>:</w:t>
            </w:r>
            <w:r w:rsidRPr="00980C61">
              <w:rPr>
                <w:sz w:val="16"/>
                <w:szCs w:val="16"/>
              </w:rPr>
              <w:t xml:space="preserve">  por</w:t>
            </w:r>
            <w:proofErr w:type="gramEnd"/>
            <w:r w:rsidRPr="00980C61">
              <w:rPr>
                <w:sz w:val="16"/>
                <w:szCs w:val="16"/>
              </w:rPr>
              <w:t xml:space="preserve"> determinar.</w:t>
            </w:r>
          </w:p>
        </w:tc>
        <w:tc>
          <w:tcPr>
            <w:tcW w:w="747" w:type="pct"/>
            <w:tcBorders>
              <w:top w:val="nil"/>
              <w:bottom w:val="nil"/>
            </w:tcBorders>
            <w:tcMar>
              <w:top w:w="110" w:type="dxa"/>
            </w:tcMar>
          </w:tcPr>
          <w:p w:rsidR="008A591C" w:rsidRPr="00980C61" w:rsidRDefault="008A591C" w:rsidP="00DC1333">
            <w:pPr>
              <w:outlineLvl w:val="7"/>
              <w:rPr>
                <w:color w:val="002060"/>
                <w:sz w:val="16"/>
                <w:szCs w:val="16"/>
              </w:rPr>
            </w:pPr>
            <w:r w:rsidRPr="00980C61">
              <w:rPr>
                <w:color w:val="002060"/>
                <w:sz w:val="16"/>
                <w:szCs w:val="16"/>
              </w:rPr>
              <w:t>Objetivo definido:  80%</w:t>
            </w:r>
          </w:p>
          <w:p w:rsidR="008A591C" w:rsidRPr="00980C61" w:rsidRDefault="008A591C" w:rsidP="00DC1333">
            <w:pPr>
              <w:rPr>
                <w:sz w:val="16"/>
                <w:szCs w:val="16"/>
              </w:rPr>
            </w:pPr>
          </w:p>
          <w:p w:rsidR="008A591C" w:rsidRPr="00980C61" w:rsidRDefault="008A591C" w:rsidP="00DC1333">
            <w:pPr>
              <w:keepNext/>
              <w:keepLines/>
              <w:rPr>
                <w:sz w:val="16"/>
                <w:szCs w:val="16"/>
              </w:rPr>
            </w:pPr>
            <w:r w:rsidRPr="00980C61">
              <w:rPr>
                <w:sz w:val="16"/>
                <w:szCs w:val="16"/>
              </w:rPr>
              <w:t>Objetivo original en el presupuesto por programas de 2014/15:  por determinar</w:t>
            </w:r>
          </w:p>
        </w:tc>
        <w:tc>
          <w:tcPr>
            <w:tcW w:w="1716" w:type="pct"/>
            <w:tcBorders>
              <w:top w:val="nil"/>
              <w:bottom w:val="nil"/>
            </w:tcBorders>
            <w:shd w:val="clear" w:color="auto" w:fill="FFFFFF"/>
            <w:tcMar>
              <w:top w:w="110" w:type="dxa"/>
            </w:tcMar>
          </w:tcPr>
          <w:p w:rsidR="008A591C" w:rsidRPr="00980C61" w:rsidRDefault="008A591C" w:rsidP="00DC1333">
            <w:pPr>
              <w:rPr>
                <w:sz w:val="16"/>
                <w:szCs w:val="16"/>
              </w:rPr>
            </w:pPr>
            <w:r w:rsidRPr="00980C61">
              <w:rPr>
                <w:sz w:val="16"/>
                <w:szCs w:val="16"/>
              </w:rPr>
              <w:t>El 100%  (muy  a menudo (48%), a menudo (32%),  a veces (20%)) de las instituciones de apoyo a las pymes que recibieron formación brindaron información, apoyo y servicios de consultoría/asesoramiento en gestión de activos de P.I.</w:t>
            </w:r>
          </w:p>
          <w:p w:rsidR="008A591C" w:rsidRPr="00980C61" w:rsidRDefault="008A591C" w:rsidP="00DC1333">
            <w:pPr>
              <w:pStyle w:val="ListParagraph"/>
              <w:keepNext/>
              <w:keepLines/>
              <w:ind w:left="360"/>
              <w:rPr>
                <w:rFonts w:cs="Arial"/>
                <w:sz w:val="16"/>
                <w:szCs w:val="16"/>
                <w:lang w:val="es-ES"/>
              </w:rPr>
            </w:pPr>
          </w:p>
        </w:tc>
        <w:tc>
          <w:tcPr>
            <w:tcW w:w="522" w:type="pct"/>
            <w:tcBorders>
              <w:top w:val="nil"/>
              <w:bottom w:val="nil"/>
            </w:tcBorders>
            <w:tcMar>
              <w:top w:w="110" w:type="dxa"/>
            </w:tcMar>
          </w:tcPr>
          <w:p w:rsidR="008A591C" w:rsidRPr="00980C61" w:rsidRDefault="008A591C" w:rsidP="002E6163">
            <w:pPr>
              <w:keepNext/>
              <w:keepLines/>
              <w:ind w:left="-109"/>
              <w:jc w:val="center"/>
              <w:rPr>
                <w:rFonts w:asciiTheme="minorHAnsi" w:hAnsiTheme="minorHAnsi"/>
                <w:b/>
                <w:bCs/>
                <w:color w:val="00B050"/>
                <w:sz w:val="16"/>
                <w:szCs w:val="16"/>
              </w:rPr>
            </w:pPr>
            <w:r w:rsidRPr="00980C61">
              <w:rPr>
                <w:rFonts w:asciiTheme="minorHAnsi" w:hAnsiTheme="minorHAnsi"/>
                <w:b/>
                <w:bCs/>
                <w:color w:val="00B050"/>
                <w:sz w:val="16"/>
                <w:szCs w:val="16"/>
              </w:rPr>
              <w:t>Plenamente logrado</w:t>
            </w:r>
          </w:p>
          <w:p w:rsidR="008A591C" w:rsidRPr="00980C61" w:rsidRDefault="008A591C" w:rsidP="00DC1333">
            <w:pPr>
              <w:keepNext/>
              <w:keepLines/>
              <w:jc w:val="center"/>
              <w:rPr>
                <w:rStyle w:val="Style5"/>
                <w:b/>
                <w:color w:val="00B050"/>
                <w:sz w:val="16"/>
                <w:szCs w:val="16"/>
              </w:rPr>
            </w:pPr>
          </w:p>
        </w:tc>
      </w:tr>
      <w:tr w:rsidR="008A591C" w:rsidRPr="00980C61" w:rsidTr="00DC1333">
        <w:trPr>
          <w:cantSplit/>
        </w:trPr>
        <w:tc>
          <w:tcPr>
            <w:tcW w:w="1120" w:type="pct"/>
            <w:tcBorders>
              <w:top w:val="nil"/>
              <w:bottom w:val="single" w:sz="4" w:space="0" w:color="auto"/>
            </w:tcBorders>
          </w:tcPr>
          <w:p w:rsidR="008A591C" w:rsidRPr="00980C61" w:rsidRDefault="008A591C" w:rsidP="00DC1333">
            <w:pPr>
              <w:rPr>
                <w:sz w:val="16"/>
                <w:szCs w:val="16"/>
                <w:lang w:bidi="th-TH"/>
              </w:rPr>
            </w:pPr>
            <w:r w:rsidRPr="00980C61">
              <w:rPr>
                <w:sz w:val="16"/>
                <w:szCs w:val="16"/>
                <w:lang w:bidi="th-TH"/>
              </w:rPr>
              <w:t>Número de países que han establecido programas de formación en P.I. destinados a las pymes</w:t>
            </w:r>
          </w:p>
        </w:tc>
        <w:tc>
          <w:tcPr>
            <w:tcW w:w="895" w:type="pct"/>
            <w:tcBorders>
              <w:top w:val="nil"/>
              <w:bottom w:val="single" w:sz="4" w:space="0" w:color="auto"/>
            </w:tcBorders>
            <w:shd w:val="clear" w:color="auto" w:fill="auto"/>
          </w:tcPr>
          <w:p w:rsidR="008A591C" w:rsidRPr="00980C61" w:rsidRDefault="008A591C" w:rsidP="00DC1333">
            <w:pPr>
              <w:rPr>
                <w:i/>
                <w:color w:val="002060"/>
                <w:sz w:val="16"/>
                <w:szCs w:val="16"/>
              </w:rPr>
            </w:pPr>
            <w:r w:rsidRPr="00980C61">
              <w:rPr>
                <w:sz w:val="16"/>
                <w:szCs w:val="16"/>
              </w:rPr>
              <w:t>Por determinar</w:t>
            </w:r>
          </w:p>
        </w:tc>
        <w:tc>
          <w:tcPr>
            <w:tcW w:w="747" w:type="pct"/>
            <w:tcBorders>
              <w:top w:val="nil"/>
              <w:bottom w:val="single" w:sz="4" w:space="0" w:color="auto"/>
            </w:tcBorders>
            <w:tcMar>
              <w:top w:w="110" w:type="dxa"/>
            </w:tcMar>
          </w:tcPr>
          <w:p w:rsidR="008A591C" w:rsidRPr="00980C61" w:rsidRDefault="008A591C" w:rsidP="00DC1333">
            <w:pPr>
              <w:rPr>
                <w:sz w:val="16"/>
                <w:szCs w:val="16"/>
              </w:rPr>
            </w:pPr>
            <w:r w:rsidRPr="00980C61">
              <w:rPr>
                <w:sz w:val="16"/>
                <w:szCs w:val="16"/>
              </w:rPr>
              <w:t>Por determinar</w:t>
            </w:r>
          </w:p>
        </w:tc>
        <w:tc>
          <w:tcPr>
            <w:tcW w:w="1716" w:type="pct"/>
            <w:tcBorders>
              <w:top w:val="nil"/>
              <w:bottom w:val="single" w:sz="4" w:space="0" w:color="auto"/>
            </w:tcBorders>
            <w:shd w:val="clear" w:color="auto" w:fill="FFFFFF"/>
            <w:tcMar>
              <w:top w:w="110" w:type="dxa"/>
            </w:tcMar>
          </w:tcPr>
          <w:p w:rsidR="008A591C" w:rsidRPr="00980C61" w:rsidRDefault="008A591C" w:rsidP="00DC1333">
            <w:pPr>
              <w:rPr>
                <w:sz w:val="16"/>
                <w:szCs w:val="16"/>
              </w:rPr>
            </w:pPr>
            <w:r w:rsidRPr="00980C61">
              <w:rPr>
                <w:sz w:val="16"/>
                <w:szCs w:val="16"/>
              </w:rPr>
              <w:t>Los siguientes 18 países/organizaciones regionales notificaron haber establecido programas de formación en P.I. destinados a las pymes</w:t>
            </w:r>
            <w:proofErr w:type="gramStart"/>
            <w:r w:rsidRPr="00980C61">
              <w:rPr>
                <w:sz w:val="16"/>
                <w:szCs w:val="16"/>
              </w:rPr>
              <w:t>:  Arabia</w:t>
            </w:r>
            <w:proofErr w:type="gramEnd"/>
            <w:r w:rsidRPr="00980C61">
              <w:rPr>
                <w:sz w:val="16"/>
                <w:szCs w:val="16"/>
              </w:rPr>
              <w:t xml:space="preserve"> Saudita, ARIPO, Armenia, Argentina, </w:t>
            </w:r>
            <w:proofErr w:type="spellStart"/>
            <w:r w:rsidRPr="00980C61">
              <w:rPr>
                <w:sz w:val="16"/>
                <w:szCs w:val="16"/>
              </w:rPr>
              <w:t>Belarús</w:t>
            </w:r>
            <w:proofErr w:type="spellEnd"/>
            <w:r w:rsidRPr="00980C61">
              <w:rPr>
                <w:sz w:val="16"/>
                <w:szCs w:val="16"/>
              </w:rPr>
              <w:t xml:space="preserve">, Colombia, Emiratos Árabes Unidos, Georgia, Irán (República Islámica del), Jordania, Kazajstán, Líbano, Omán, </w:t>
            </w:r>
            <w:proofErr w:type="spellStart"/>
            <w:r w:rsidRPr="00980C61">
              <w:rPr>
                <w:sz w:val="16"/>
                <w:szCs w:val="16"/>
              </w:rPr>
              <w:t>Papua</w:t>
            </w:r>
            <w:proofErr w:type="spellEnd"/>
            <w:r w:rsidRPr="00980C61">
              <w:rPr>
                <w:sz w:val="16"/>
                <w:szCs w:val="16"/>
              </w:rPr>
              <w:t xml:space="preserve"> Nueva Guinea, República Democrática Popular Lao, República Unida de </w:t>
            </w:r>
            <w:proofErr w:type="spellStart"/>
            <w:r w:rsidRPr="00980C61">
              <w:rPr>
                <w:sz w:val="16"/>
                <w:szCs w:val="16"/>
              </w:rPr>
              <w:t>Tanzanía</w:t>
            </w:r>
            <w:proofErr w:type="spellEnd"/>
            <w:r w:rsidRPr="00980C61">
              <w:rPr>
                <w:sz w:val="16"/>
                <w:szCs w:val="16"/>
              </w:rPr>
              <w:t xml:space="preserve">, Trinidad y </w:t>
            </w:r>
            <w:proofErr w:type="spellStart"/>
            <w:r w:rsidRPr="00980C61">
              <w:rPr>
                <w:sz w:val="16"/>
                <w:szCs w:val="16"/>
              </w:rPr>
              <w:t>Tabago</w:t>
            </w:r>
            <w:proofErr w:type="spellEnd"/>
            <w:r w:rsidRPr="00980C61">
              <w:rPr>
                <w:sz w:val="16"/>
                <w:szCs w:val="16"/>
              </w:rPr>
              <w:t xml:space="preserve">  y Uganda.</w:t>
            </w:r>
            <w:r w:rsidRPr="00980C61">
              <w:rPr>
                <w:sz w:val="16"/>
                <w:szCs w:val="16"/>
              </w:rPr>
              <w:br/>
            </w:r>
          </w:p>
        </w:tc>
        <w:tc>
          <w:tcPr>
            <w:tcW w:w="522" w:type="pct"/>
            <w:tcBorders>
              <w:top w:val="nil"/>
              <w:bottom w:val="single" w:sz="4" w:space="0" w:color="auto"/>
            </w:tcBorders>
            <w:tcMar>
              <w:top w:w="110" w:type="dxa"/>
            </w:tcMar>
          </w:tcPr>
          <w:p w:rsidR="008A591C" w:rsidRPr="00980C61" w:rsidRDefault="008A591C" w:rsidP="00DC1333">
            <w:pPr>
              <w:keepNext/>
              <w:keepLines/>
              <w:jc w:val="center"/>
              <w:rPr>
                <w:rStyle w:val="Style5"/>
                <w:b/>
                <w:color w:val="00B050"/>
                <w:sz w:val="16"/>
                <w:szCs w:val="16"/>
              </w:rPr>
            </w:pPr>
            <w:r w:rsidRPr="00980C61">
              <w:rPr>
                <w:rFonts w:eastAsiaTheme="minorHAnsi"/>
                <w:b/>
                <w:bCs/>
                <w:color w:val="808080"/>
                <w:sz w:val="13"/>
                <w:szCs w:val="13"/>
              </w:rPr>
              <w:t xml:space="preserve">No mensurable </w:t>
            </w:r>
          </w:p>
        </w:tc>
      </w:tr>
      <w:tr w:rsidR="008A591C" w:rsidRPr="002661F5" w:rsidTr="00DC1333">
        <w:trPr>
          <w:cantSplit/>
        </w:trPr>
        <w:tc>
          <w:tcPr>
            <w:tcW w:w="5000" w:type="pct"/>
            <w:gridSpan w:val="5"/>
            <w:tcBorders>
              <w:top w:val="single" w:sz="4" w:space="0" w:color="auto"/>
              <w:bottom w:val="single" w:sz="4" w:space="0" w:color="auto"/>
            </w:tcBorders>
            <w:shd w:val="clear" w:color="auto" w:fill="C6D9F1" w:themeFill="text2" w:themeFillTint="33"/>
            <w:vAlign w:val="center"/>
          </w:tcPr>
          <w:p w:rsidR="008A591C" w:rsidRPr="00980C61" w:rsidRDefault="008A591C" w:rsidP="00DC1333">
            <w:pPr>
              <w:keepNext/>
              <w:keepLines/>
              <w:spacing w:before="120" w:after="120"/>
              <w:ind w:left="2019" w:hanging="2019"/>
              <w:rPr>
                <w:b/>
                <w:bCs/>
                <w:sz w:val="16"/>
                <w:szCs w:val="16"/>
              </w:rPr>
            </w:pPr>
            <w:r w:rsidRPr="00980C61">
              <w:rPr>
                <w:b/>
                <w:bCs/>
                <w:sz w:val="16"/>
                <w:szCs w:val="16"/>
              </w:rPr>
              <w:t>Resultado previsto:</w:t>
            </w:r>
            <w:r>
              <w:rPr>
                <w:b/>
                <w:bCs/>
                <w:sz w:val="16"/>
                <w:szCs w:val="16"/>
              </w:rPr>
              <w:tab/>
            </w:r>
            <w:r w:rsidRPr="00980C61">
              <w:rPr>
                <w:sz w:val="16"/>
                <w:szCs w:val="16"/>
                <w:lang w:bidi="th-TH"/>
              </w:rPr>
              <w:t>IV.2 Mejora del acceso a la información sobre P.I. y de su utilización por las instituciones de P.I. y el público para fomentar la innovación y la creatividad</w:t>
            </w:r>
          </w:p>
        </w:tc>
      </w:tr>
      <w:tr w:rsidR="008A591C" w:rsidRPr="002661F5" w:rsidTr="00DC1333">
        <w:trPr>
          <w:cantSplit/>
        </w:trPr>
        <w:tc>
          <w:tcPr>
            <w:tcW w:w="1120" w:type="pct"/>
            <w:tcBorders>
              <w:top w:val="single" w:sz="4" w:space="0" w:color="auto"/>
            </w:tcBorders>
            <w:vAlign w:val="center"/>
          </w:tcPr>
          <w:p w:rsidR="008A591C" w:rsidRPr="00980C61" w:rsidRDefault="008A591C" w:rsidP="00DC1333">
            <w:pPr>
              <w:rPr>
                <w:sz w:val="16"/>
                <w:szCs w:val="16"/>
              </w:rPr>
            </w:pPr>
            <w:r w:rsidRPr="00980C61">
              <w:rPr>
                <w:b/>
                <w:sz w:val="16"/>
                <w:szCs w:val="16"/>
              </w:rPr>
              <w:t>Indicadores de rendimiento</w:t>
            </w:r>
          </w:p>
        </w:tc>
        <w:tc>
          <w:tcPr>
            <w:tcW w:w="895" w:type="pct"/>
            <w:tcBorders>
              <w:top w:val="single" w:sz="4" w:space="0" w:color="auto"/>
            </w:tcBorders>
            <w:shd w:val="clear" w:color="auto" w:fill="auto"/>
            <w:vAlign w:val="center"/>
          </w:tcPr>
          <w:p w:rsidR="008A591C" w:rsidRPr="00980C61" w:rsidRDefault="008A591C" w:rsidP="00DC1333">
            <w:pPr>
              <w:rPr>
                <w:b/>
                <w:bCs/>
                <w:sz w:val="16"/>
                <w:szCs w:val="16"/>
              </w:rPr>
            </w:pPr>
            <w:r w:rsidRPr="00980C61">
              <w:rPr>
                <w:b/>
                <w:bCs/>
                <w:sz w:val="16"/>
                <w:szCs w:val="16"/>
              </w:rPr>
              <w:t>Referencia</w:t>
            </w:r>
          </w:p>
        </w:tc>
        <w:tc>
          <w:tcPr>
            <w:tcW w:w="747" w:type="pct"/>
            <w:tcBorders>
              <w:top w:val="single" w:sz="4" w:space="0" w:color="auto"/>
            </w:tcBorders>
            <w:tcMar>
              <w:top w:w="110" w:type="dxa"/>
            </w:tcMar>
            <w:vAlign w:val="center"/>
          </w:tcPr>
          <w:p w:rsidR="008A591C" w:rsidRPr="00980C61" w:rsidRDefault="008A591C" w:rsidP="00DC1333">
            <w:pPr>
              <w:rPr>
                <w:b/>
                <w:sz w:val="16"/>
                <w:szCs w:val="16"/>
              </w:rPr>
            </w:pPr>
            <w:r w:rsidRPr="00980C61">
              <w:rPr>
                <w:b/>
                <w:sz w:val="16"/>
                <w:szCs w:val="16"/>
              </w:rPr>
              <w:t>Objetivos</w:t>
            </w:r>
          </w:p>
        </w:tc>
        <w:tc>
          <w:tcPr>
            <w:tcW w:w="1716" w:type="pct"/>
            <w:tcBorders>
              <w:top w:val="single" w:sz="4" w:space="0" w:color="auto"/>
            </w:tcBorders>
            <w:shd w:val="clear" w:color="auto" w:fill="FFFFFF"/>
            <w:tcMar>
              <w:top w:w="110" w:type="dxa"/>
            </w:tcMar>
            <w:vAlign w:val="center"/>
          </w:tcPr>
          <w:p w:rsidR="008A591C" w:rsidRPr="00980C61" w:rsidRDefault="008A591C" w:rsidP="00DC1333">
            <w:pPr>
              <w:rPr>
                <w:sz w:val="16"/>
                <w:szCs w:val="16"/>
              </w:rPr>
            </w:pPr>
            <w:r w:rsidRPr="00980C61">
              <w:rPr>
                <w:b/>
                <w:sz w:val="16"/>
                <w:szCs w:val="16"/>
              </w:rPr>
              <w:t>Datos sobre el rendimiento</w:t>
            </w:r>
          </w:p>
        </w:tc>
        <w:tc>
          <w:tcPr>
            <w:tcW w:w="522" w:type="pct"/>
            <w:tcBorders>
              <w:top w:val="single" w:sz="4" w:space="0" w:color="auto"/>
            </w:tcBorders>
            <w:tcMar>
              <w:top w:w="110" w:type="dxa"/>
            </w:tcMar>
            <w:vAlign w:val="center"/>
          </w:tcPr>
          <w:p w:rsidR="008A591C" w:rsidRPr="00980C61" w:rsidRDefault="008A591C" w:rsidP="00DC1333">
            <w:pPr>
              <w:keepNext/>
              <w:keepLines/>
              <w:jc w:val="center"/>
              <w:rPr>
                <w:b/>
                <w:bCs/>
                <w:sz w:val="16"/>
                <w:szCs w:val="16"/>
              </w:rPr>
            </w:pPr>
            <w:r w:rsidRPr="00980C61">
              <w:rPr>
                <w:b/>
                <w:bCs/>
                <w:sz w:val="16"/>
                <w:szCs w:val="16"/>
              </w:rPr>
              <w:t>Clave de colores</w:t>
            </w:r>
          </w:p>
        </w:tc>
      </w:tr>
      <w:tr w:rsidR="008A591C" w:rsidRPr="00980C61" w:rsidTr="00DC1333">
        <w:trPr>
          <w:trHeight w:val="520"/>
        </w:trPr>
        <w:tc>
          <w:tcPr>
            <w:tcW w:w="1120" w:type="pct"/>
          </w:tcPr>
          <w:p w:rsidR="008A591C" w:rsidRPr="00980C61" w:rsidRDefault="008A591C" w:rsidP="00DC1333">
            <w:pPr>
              <w:rPr>
                <w:sz w:val="16"/>
                <w:szCs w:val="16"/>
                <w:lang w:bidi="th-TH"/>
              </w:rPr>
            </w:pPr>
            <w:r w:rsidRPr="00980C61">
              <w:rPr>
                <w:sz w:val="16"/>
                <w:szCs w:val="16"/>
                <w:lang w:bidi="th-TH"/>
              </w:rPr>
              <w:t>Número de OTT sostenibles establecidas y/o consolidadas en las universidades o las instituciones de I+D</w:t>
            </w:r>
          </w:p>
        </w:tc>
        <w:tc>
          <w:tcPr>
            <w:tcW w:w="895" w:type="pct"/>
            <w:shd w:val="clear" w:color="auto" w:fill="auto"/>
          </w:tcPr>
          <w:p w:rsidR="008A591C" w:rsidRPr="00980C61" w:rsidRDefault="008A591C" w:rsidP="00DC1333">
            <w:pPr>
              <w:rPr>
                <w:sz w:val="16"/>
                <w:szCs w:val="16"/>
                <w:lang w:bidi="th-TH"/>
              </w:rPr>
            </w:pPr>
            <w:r w:rsidRPr="00980C61">
              <w:rPr>
                <w:sz w:val="16"/>
                <w:szCs w:val="16"/>
                <w:lang w:bidi="th-TH"/>
              </w:rPr>
              <w:t>Por determinar</w:t>
            </w:r>
          </w:p>
        </w:tc>
        <w:tc>
          <w:tcPr>
            <w:tcW w:w="747" w:type="pct"/>
            <w:tcMar>
              <w:top w:w="110" w:type="dxa"/>
            </w:tcMar>
          </w:tcPr>
          <w:p w:rsidR="008A591C" w:rsidRPr="00980C61" w:rsidRDefault="008A591C" w:rsidP="00DC1333">
            <w:pPr>
              <w:rPr>
                <w:sz w:val="16"/>
                <w:szCs w:val="16"/>
                <w:lang w:bidi="th-TH"/>
              </w:rPr>
            </w:pPr>
            <w:r w:rsidRPr="00980C61">
              <w:rPr>
                <w:sz w:val="16"/>
                <w:szCs w:val="16"/>
              </w:rPr>
              <w:t>Establecimiento de cinco OTT en la región árabe</w:t>
            </w:r>
          </w:p>
        </w:tc>
        <w:tc>
          <w:tcPr>
            <w:tcW w:w="1716" w:type="pct"/>
            <w:shd w:val="clear" w:color="auto" w:fill="FFFFFF"/>
            <w:tcMar>
              <w:top w:w="110" w:type="dxa"/>
            </w:tcMar>
          </w:tcPr>
          <w:p w:rsidR="008A591C" w:rsidRPr="00980C61" w:rsidRDefault="008A591C" w:rsidP="00DC1333">
            <w:pPr>
              <w:rPr>
                <w:sz w:val="16"/>
                <w:szCs w:val="16"/>
                <w:lang w:bidi="th-TH"/>
              </w:rPr>
            </w:pPr>
            <w:r w:rsidRPr="00980C61">
              <w:rPr>
                <w:sz w:val="16"/>
                <w:szCs w:val="16"/>
                <w:lang w:bidi="th-TH"/>
              </w:rPr>
              <w:t>En 2014/15, se amplió el alcance geográfico del proyecto de OTT para la región árabe, en atención a las peticiones de los Estados miembros.  Se siguió avanzando en el proceso de consolidación de cuatro OTT en Túnez con miras a lograr su independencia operativa y sostenibilidad, mediante la elaboración de políticas institucionales de P.I. entre otros medios:</w:t>
            </w:r>
          </w:p>
          <w:p w:rsidR="008A591C" w:rsidRPr="00A40792" w:rsidRDefault="008A591C" w:rsidP="008A591C">
            <w:pPr>
              <w:numPr>
                <w:ilvl w:val="0"/>
                <w:numId w:val="68"/>
              </w:numPr>
              <w:rPr>
                <w:i/>
                <w:sz w:val="16"/>
                <w:szCs w:val="16"/>
                <w:lang w:val="fr-FR" w:bidi="th-TH"/>
              </w:rPr>
            </w:pPr>
            <w:r w:rsidRPr="00A40792">
              <w:rPr>
                <w:i/>
                <w:sz w:val="16"/>
                <w:szCs w:val="16"/>
                <w:lang w:val="fr-FR" w:bidi="th-TH"/>
              </w:rPr>
              <w:t>Centre Technique de la Chimie (CTC)</w:t>
            </w:r>
          </w:p>
          <w:p w:rsidR="008A591C" w:rsidRPr="00980C61" w:rsidRDefault="008A591C" w:rsidP="008A591C">
            <w:pPr>
              <w:numPr>
                <w:ilvl w:val="0"/>
                <w:numId w:val="68"/>
              </w:numPr>
              <w:rPr>
                <w:i/>
                <w:sz w:val="16"/>
                <w:szCs w:val="16"/>
                <w:lang w:bidi="th-TH"/>
              </w:rPr>
            </w:pPr>
            <w:r w:rsidRPr="00980C61">
              <w:rPr>
                <w:sz w:val="16"/>
                <w:szCs w:val="16"/>
                <w:lang w:bidi="th-TH"/>
              </w:rPr>
              <w:t xml:space="preserve">Parque tecnológico El </w:t>
            </w:r>
            <w:proofErr w:type="spellStart"/>
            <w:r w:rsidRPr="00980C61">
              <w:rPr>
                <w:sz w:val="16"/>
                <w:szCs w:val="16"/>
                <w:lang w:bidi="th-TH"/>
              </w:rPr>
              <w:t>Ghazala</w:t>
            </w:r>
            <w:proofErr w:type="spellEnd"/>
          </w:p>
          <w:p w:rsidR="008A591C" w:rsidRPr="00980C61" w:rsidRDefault="008A591C" w:rsidP="008A591C">
            <w:pPr>
              <w:numPr>
                <w:ilvl w:val="0"/>
                <w:numId w:val="68"/>
              </w:numPr>
              <w:rPr>
                <w:sz w:val="16"/>
                <w:szCs w:val="16"/>
                <w:lang w:bidi="th-TH"/>
              </w:rPr>
            </w:pPr>
            <w:proofErr w:type="spellStart"/>
            <w:r w:rsidRPr="00980C61">
              <w:rPr>
                <w:sz w:val="16"/>
                <w:szCs w:val="16"/>
                <w:lang w:bidi="th-TH"/>
              </w:rPr>
              <w:t>Packtec</w:t>
            </w:r>
            <w:proofErr w:type="spellEnd"/>
            <w:r w:rsidRPr="00980C61">
              <w:rPr>
                <w:sz w:val="16"/>
                <w:szCs w:val="16"/>
                <w:lang w:bidi="th-TH"/>
              </w:rPr>
              <w:t>, centro técnico de envasado</w:t>
            </w:r>
          </w:p>
          <w:p w:rsidR="008A591C" w:rsidRPr="00980C61" w:rsidRDefault="008A591C" w:rsidP="008A591C">
            <w:pPr>
              <w:numPr>
                <w:ilvl w:val="0"/>
                <w:numId w:val="68"/>
              </w:numPr>
              <w:rPr>
                <w:sz w:val="16"/>
                <w:szCs w:val="16"/>
                <w:lang w:bidi="th-TH"/>
              </w:rPr>
            </w:pPr>
            <w:r w:rsidRPr="00980C61">
              <w:rPr>
                <w:sz w:val="16"/>
                <w:szCs w:val="16"/>
                <w:lang w:bidi="th-TH"/>
              </w:rPr>
              <w:t xml:space="preserve">Parque tecnológico de Sidi </w:t>
            </w:r>
            <w:proofErr w:type="spellStart"/>
            <w:r w:rsidRPr="00980C61">
              <w:rPr>
                <w:sz w:val="16"/>
                <w:szCs w:val="16"/>
                <w:lang w:bidi="th-TH"/>
              </w:rPr>
              <w:t>Thabet</w:t>
            </w:r>
            <w:proofErr w:type="spellEnd"/>
            <w:r w:rsidRPr="00980C61">
              <w:rPr>
                <w:sz w:val="16"/>
                <w:szCs w:val="16"/>
                <w:lang w:bidi="th-TH"/>
              </w:rPr>
              <w:t xml:space="preserve"> (TST)</w:t>
            </w:r>
          </w:p>
          <w:p w:rsidR="008A591C" w:rsidRPr="00980C61" w:rsidRDefault="008A591C" w:rsidP="00DC1333">
            <w:pPr>
              <w:ind w:left="360"/>
              <w:rPr>
                <w:sz w:val="16"/>
                <w:szCs w:val="16"/>
                <w:lang w:bidi="th-TH"/>
              </w:rPr>
            </w:pPr>
          </w:p>
          <w:p w:rsidR="008A591C" w:rsidRPr="00980C61" w:rsidRDefault="008A591C" w:rsidP="00DC1333">
            <w:pPr>
              <w:rPr>
                <w:sz w:val="16"/>
                <w:szCs w:val="16"/>
                <w:lang w:bidi="th-TH"/>
              </w:rPr>
            </w:pPr>
            <w:r w:rsidRPr="00980C61">
              <w:rPr>
                <w:sz w:val="16"/>
                <w:szCs w:val="16"/>
                <w:lang w:bidi="th-TH"/>
              </w:rPr>
              <w:t>Según las respuestas de la encuesta, las siguientes universidades de Filipinas notificaron en 2014 que la formación y el asesoramiento de la OMPI les habían resultado “útiles” o “sumamente útiles” para reforzar su OTT:</w:t>
            </w:r>
          </w:p>
          <w:p w:rsidR="008A591C" w:rsidRPr="008A591C" w:rsidRDefault="008A591C" w:rsidP="00DC1333">
            <w:pPr>
              <w:rPr>
                <w:sz w:val="16"/>
                <w:szCs w:val="16"/>
                <w:lang w:val="en-US" w:bidi="th-TH"/>
              </w:rPr>
            </w:pPr>
            <w:proofErr w:type="spellStart"/>
            <w:r w:rsidRPr="008A591C">
              <w:rPr>
                <w:sz w:val="16"/>
                <w:szCs w:val="16"/>
                <w:lang w:val="en-US" w:bidi="th-TH"/>
              </w:rPr>
              <w:t>i</w:t>
            </w:r>
            <w:proofErr w:type="spellEnd"/>
            <w:r w:rsidRPr="008A591C">
              <w:rPr>
                <w:sz w:val="16"/>
                <w:szCs w:val="16"/>
                <w:lang w:val="en-US" w:bidi="th-TH"/>
              </w:rPr>
              <w:t xml:space="preserve">) Universidad </w:t>
            </w:r>
            <w:proofErr w:type="spellStart"/>
            <w:r w:rsidRPr="008A591C">
              <w:rPr>
                <w:sz w:val="16"/>
                <w:szCs w:val="16"/>
                <w:lang w:val="en-US" w:bidi="th-TH"/>
              </w:rPr>
              <w:t>Politécnica</w:t>
            </w:r>
            <w:proofErr w:type="spellEnd"/>
            <w:r w:rsidRPr="008A591C">
              <w:rPr>
                <w:sz w:val="16"/>
                <w:szCs w:val="16"/>
                <w:lang w:val="en-US" w:bidi="th-TH"/>
              </w:rPr>
              <w:t xml:space="preserve"> de Filipinas;  ii) </w:t>
            </w:r>
            <w:proofErr w:type="spellStart"/>
            <w:r w:rsidRPr="008A591C">
              <w:rPr>
                <w:sz w:val="16"/>
                <w:szCs w:val="16"/>
                <w:lang w:val="en-US" w:bidi="th-TH"/>
              </w:rPr>
              <w:t>Oficina</w:t>
            </w:r>
            <w:proofErr w:type="spellEnd"/>
            <w:r w:rsidRPr="008A591C">
              <w:rPr>
                <w:sz w:val="16"/>
                <w:szCs w:val="16"/>
                <w:lang w:val="en-US" w:bidi="th-TH"/>
              </w:rPr>
              <w:t xml:space="preserve"> de </w:t>
            </w:r>
            <w:proofErr w:type="spellStart"/>
            <w:r w:rsidRPr="008A591C">
              <w:rPr>
                <w:sz w:val="16"/>
                <w:szCs w:val="16"/>
                <w:lang w:val="en-US" w:bidi="th-TH"/>
              </w:rPr>
              <w:t>Investigación</w:t>
            </w:r>
            <w:proofErr w:type="spellEnd"/>
            <w:r w:rsidRPr="008A591C">
              <w:rPr>
                <w:sz w:val="16"/>
                <w:szCs w:val="16"/>
                <w:lang w:val="en-US" w:bidi="th-TH"/>
              </w:rPr>
              <w:t xml:space="preserve"> de la </w:t>
            </w:r>
            <w:r w:rsidRPr="008A591C">
              <w:rPr>
                <w:i/>
                <w:sz w:val="16"/>
                <w:szCs w:val="16"/>
                <w:lang w:val="en-US" w:bidi="th-TH"/>
              </w:rPr>
              <w:t>Samar State University; iii) State University of Western Philippines</w:t>
            </w:r>
            <w:r w:rsidRPr="008A591C">
              <w:rPr>
                <w:sz w:val="16"/>
                <w:szCs w:val="16"/>
                <w:lang w:val="en-US" w:bidi="th-TH"/>
              </w:rPr>
              <w:t xml:space="preserve">, </w:t>
            </w:r>
            <w:proofErr w:type="spellStart"/>
            <w:r w:rsidRPr="008A591C">
              <w:rPr>
                <w:sz w:val="16"/>
                <w:szCs w:val="16"/>
                <w:lang w:val="en-US" w:bidi="th-TH"/>
              </w:rPr>
              <w:t>Facultad</w:t>
            </w:r>
            <w:proofErr w:type="spellEnd"/>
            <w:r w:rsidRPr="008A591C">
              <w:rPr>
                <w:sz w:val="16"/>
                <w:szCs w:val="16"/>
                <w:lang w:val="en-US" w:bidi="th-TH"/>
              </w:rPr>
              <w:t xml:space="preserve"> de </w:t>
            </w:r>
            <w:proofErr w:type="spellStart"/>
            <w:r w:rsidRPr="008A591C">
              <w:rPr>
                <w:sz w:val="16"/>
                <w:szCs w:val="16"/>
                <w:lang w:val="en-US" w:bidi="th-TH"/>
              </w:rPr>
              <w:t>Ingeniería</w:t>
            </w:r>
            <w:proofErr w:type="spellEnd"/>
            <w:r w:rsidRPr="008A591C">
              <w:rPr>
                <w:sz w:val="16"/>
                <w:szCs w:val="16"/>
                <w:lang w:val="en-US" w:bidi="th-TH"/>
              </w:rPr>
              <w:t xml:space="preserve">;  iv) </w:t>
            </w:r>
            <w:r w:rsidRPr="008A591C">
              <w:rPr>
                <w:i/>
                <w:sz w:val="16"/>
                <w:szCs w:val="16"/>
                <w:lang w:val="en-US" w:bidi="th-TH"/>
              </w:rPr>
              <w:t>University of the Philippines</w:t>
            </w:r>
            <w:r w:rsidRPr="008A591C">
              <w:rPr>
                <w:sz w:val="16"/>
                <w:szCs w:val="16"/>
                <w:lang w:val="en-US" w:bidi="th-TH"/>
              </w:rPr>
              <w:t xml:space="preserve">;  v) </w:t>
            </w:r>
            <w:r w:rsidRPr="008A591C">
              <w:rPr>
                <w:i/>
                <w:sz w:val="16"/>
                <w:szCs w:val="16"/>
                <w:lang w:val="en-US" w:bidi="th-TH"/>
              </w:rPr>
              <w:t>University of Santo Tomas</w:t>
            </w:r>
            <w:r w:rsidRPr="008A591C">
              <w:rPr>
                <w:sz w:val="16"/>
                <w:szCs w:val="16"/>
                <w:lang w:val="en-US" w:bidi="th-TH"/>
              </w:rPr>
              <w:t xml:space="preserve">;  vi) </w:t>
            </w:r>
            <w:r w:rsidRPr="008A591C">
              <w:rPr>
                <w:i/>
                <w:sz w:val="16"/>
                <w:szCs w:val="16"/>
                <w:lang w:val="en-US" w:bidi="th-TH"/>
              </w:rPr>
              <w:t>University of Southeastern Philippines</w:t>
            </w:r>
          </w:p>
        </w:tc>
        <w:tc>
          <w:tcPr>
            <w:tcW w:w="522" w:type="pct"/>
            <w:tcMar>
              <w:top w:w="110" w:type="dxa"/>
            </w:tcMar>
          </w:tcPr>
          <w:p w:rsidR="008A591C" w:rsidRPr="00980C61" w:rsidRDefault="008A591C" w:rsidP="00DC1333">
            <w:pPr>
              <w:keepNext/>
              <w:keepLines/>
              <w:jc w:val="center"/>
              <w:rPr>
                <w:b/>
                <w:bCs/>
                <w:color w:val="808080"/>
                <w:sz w:val="16"/>
                <w:szCs w:val="16"/>
              </w:rPr>
            </w:pPr>
            <w:r w:rsidRPr="00980C61">
              <w:rPr>
                <w:b/>
                <w:bCs/>
                <w:color w:val="FF0000"/>
                <w:sz w:val="16"/>
                <w:szCs w:val="16"/>
              </w:rPr>
              <w:t>No logrado</w:t>
            </w:r>
          </w:p>
        </w:tc>
      </w:tr>
      <w:tr w:rsidR="008A591C" w:rsidRPr="00980C61" w:rsidTr="00DC1333">
        <w:trPr>
          <w:cantSplit/>
        </w:trPr>
        <w:tc>
          <w:tcPr>
            <w:tcW w:w="1120" w:type="pct"/>
          </w:tcPr>
          <w:p w:rsidR="008A591C" w:rsidRPr="00980C61" w:rsidRDefault="008A591C" w:rsidP="00DC1333">
            <w:pPr>
              <w:rPr>
                <w:sz w:val="16"/>
                <w:szCs w:val="16"/>
                <w:lang w:bidi="th-TH"/>
              </w:rPr>
            </w:pPr>
            <w:r w:rsidRPr="00980C61">
              <w:rPr>
                <w:sz w:val="16"/>
                <w:szCs w:val="16"/>
                <w:lang w:bidi="th-TH"/>
              </w:rPr>
              <w:lastRenderedPageBreak/>
              <w:t>Número de universidades y/o institutos de investigación que han establecido políticas de P.I.</w:t>
            </w:r>
          </w:p>
        </w:tc>
        <w:tc>
          <w:tcPr>
            <w:tcW w:w="895" w:type="pct"/>
            <w:shd w:val="clear" w:color="auto" w:fill="auto"/>
          </w:tcPr>
          <w:p w:rsidR="008A591C" w:rsidRPr="00980C61" w:rsidRDefault="008A591C" w:rsidP="00DC1333">
            <w:pPr>
              <w:rPr>
                <w:sz w:val="16"/>
                <w:szCs w:val="16"/>
                <w:lang w:bidi="th-TH"/>
              </w:rPr>
            </w:pPr>
            <w:r w:rsidRPr="00980C61">
              <w:rPr>
                <w:sz w:val="16"/>
                <w:szCs w:val="16"/>
                <w:lang w:bidi="th-TH"/>
              </w:rPr>
              <w:t>Por determinar</w:t>
            </w:r>
          </w:p>
        </w:tc>
        <w:tc>
          <w:tcPr>
            <w:tcW w:w="747" w:type="pct"/>
            <w:tcMar>
              <w:top w:w="110" w:type="dxa"/>
            </w:tcMar>
          </w:tcPr>
          <w:p w:rsidR="008A591C" w:rsidRPr="00980C61" w:rsidRDefault="008A591C" w:rsidP="00DC1333">
            <w:pPr>
              <w:rPr>
                <w:sz w:val="16"/>
                <w:szCs w:val="16"/>
                <w:lang w:bidi="th-TH"/>
              </w:rPr>
            </w:pPr>
            <w:r w:rsidRPr="00980C61">
              <w:rPr>
                <w:sz w:val="16"/>
                <w:szCs w:val="16"/>
                <w:lang w:bidi="th-TH"/>
              </w:rPr>
              <w:t>Otras 20 universidades</w:t>
            </w:r>
          </w:p>
        </w:tc>
        <w:tc>
          <w:tcPr>
            <w:tcW w:w="1716" w:type="pct"/>
            <w:shd w:val="clear" w:color="auto" w:fill="FFFFFF"/>
            <w:tcMar>
              <w:top w:w="110" w:type="dxa"/>
            </w:tcMar>
          </w:tcPr>
          <w:p w:rsidR="008A591C" w:rsidRPr="00980C61" w:rsidRDefault="008A591C" w:rsidP="00DC1333">
            <w:pPr>
              <w:rPr>
                <w:sz w:val="16"/>
                <w:szCs w:val="16"/>
              </w:rPr>
            </w:pPr>
            <w:r w:rsidRPr="00980C61">
              <w:rPr>
                <w:sz w:val="16"/>
                <w:szCs w:val="16"/>
              </w:rPr>
              <w:t>Se establecieron políticas de P.I. en 436 universidades:</w:t>
            </w:r>
          </w:p>
          <w:p w:rsidR="008A591C" w:rsidRPr="00980C61" w:rsidRDefault="008A591C" w:rsidP="008A591C">
            <w:pPr>
              <w:pStyle w:val="ListParagraph"/>
              <w:numPr>
                <w:ilvl w:val="0"/>
                <w:numId w:val="70"/>
              </w:numPr>
              <w:rPr>
                <w:rFonts w:cs="Arial"/>
                <w:sz w:val="16"/>
                <w:szCs w:val="16"/>
                <w:lang w:val="es-ES"/>
              </w:rPr>
            </w:pPr>
            <w:r w:rsidRPr="00980C61">
              <w:rPr>
                <w:rFonts w:cs="Arial"/>
                <w:sz w:val="16"/>
                <w:szCs w:val="16"/>
                <w:lang w:val="es-ES"/>
              </w:rPr>
              <w:t>Polonia (434) (como consecuencia de una modificación de la ley en octubre de 2014);</w:t>
            </w:r>
          </w:p>
          <w:p w:rsidR="008A591C" w:rsidRPr="00980C61" w:rsidRDefault="008A591C" w:rsidP="008A591C">
            <w:pPr>
              <w:pStyle w:val="ListParagraph"/>
              <w:numPr>
                <w:ilvl w:val="0"/>
                <w:numId w:val="70"/>
              </w:numPr>
              <w:rPr>
                <w:rFonts w:cs="Arial"/>
                <w:sz w:val="16"/>
                <w:szCs w:val="16"/>
                <w:lang w:val="es-ES"/>
              </w:rPr>
            </w:pPr>
            <w:r w:rsidRPr="00980C61">
              <w:rPr>
                <w:rFonts w:cs="Arial"/>
                <w:sz w:val="16"/>
                <w:szCs w:val="16"/>
                <w:lang w:val="es-ES"/>
              </w:rPr>
              <w:t>Federación de Rusia (1) y</w:t>
            </w:r>
          </w:p>
          <w:p w:rsidR="008A591C" w:rsidRDefault="008A591C" w:rsidP="008A591C">
            <w:pPr>
              <w:pStyle w:val="ListParagraph"/>
              <w:numPr>
                <w:ilvl w:val="0"/>
                <w:numId w:val="66"/>
              </w:numPr>
              <w:rPr>
                <w:rFonts w:cs="Arial"/>
                <w:sz w:val="16"/>
                <w:szCs w:val="16"/>
                <w:lang w:val="es-ES"/>
              </w:rPr>
            </w:pPr>
            <w:r w:rsidRPr="00980C61">
              <w:rPr>
                <w:rFonts w:cs="Arial"/>
                <w:sz w:val="16"/>
                <w:szCs w:val="16"/>
                <w:lang w:val="es-ES"/>
              </w:rPr>
              <w:t>Uzbekistán (1)</w:t>
            </w:r>
            <w:r w:rsidRPr="00980C61">
              <w:rPr>
                <w:rStyle w:val="FootnoteReference"/>
                <w:rFonts w:cs="Arial"/>
                <w:sz w:val="16"/>
                <w:szCs w:val="16"/>
                <w:lang w:val="es-ES"/>
              </w:rPr>
              <w:footnoteReference w:id="81"/>
            </w:r>
          </w:p>
          <w:p w:rsidR="00D62430" w:rsidRPr="00980C61" w:rsidRDefault="00D62430" w:rsidP="00D62430">
            <w:pPr>
              <w:pStyle w:val="ListParagraph"/>
              <w:ind w:left="360"/>
              <w:rPr>
                <w:rFonts w:cs="Arial"/>
                <w:sz w:val="16"/>
                <w:szCs w:val="16"/>
                <w:lang w:val="es-ES"/>
              </w:rPr>
            </w:pPr>
          </w:p>
        </w:tc>
        <w:tc>
          <w:tcPr>
            <w:tcW w:w="522" w:type="pct"/>
            <w:tcMar>
              <w:top w:w="110" w:type="dxa"/>
            </w:tcMar>
          </w:tcPr>
          <w:p w:rsidR="008A591C" w:rsidRPr="00980C61" w:rsidRDefault="008A591C" w:rsidP="002E6163">
            <w:pPr>
              <w:keepNext/>
              <w:keepLines/>
              <w:ind w:left="-109"/>
              <w:jc w:val="center"/>
              <w:rPr>
                <w:rFonts w:asciiTheme="minorHAnsi" w:hAnsiTheme="minorHAnsi"/>
                <w:b/>
                <w:bCs/>
                <w:color w:val="808080"/>
                <w:sz w:val="16"/>
                <w:szCs w:val="16"/>
              </w:rPr>
            </w:pPr>
            <w:r w:rsidRPr="00980C61">
              <w:rPr>
                <w:rFonts w:asciiTheme="minorHAnsi" w:hAnsiTheme="minorHAnsi"/>
                <w:b/>
                <w:bCs/>
                <w:color w:val="00B050"/>
                <w:sz w:val="16"/>
                <w:szCs w:val="16"/>
              </w:rPr>
              <w:t>Plenamente logrado</w:t>
            </w:r>
          </w:p>
        </w:tc>
      </w:tr>
    </w:tbl>
    <w:p w:rsidR="008A591C" w:rsidRPr="00980C61" w:rsidRDefault="008A591C" w:rsidP="00DC1333">
      <w:pPr>
        <w:rPr>
          <w:color w:val="000000"/>
          <w:szCs w:val="22"/>
        </w:rPr>
      </w:pPr>
    </w:p>
    <w:p w:rsidR="008A591C" w:rsidRPr="00980C61" w:rsidRDefault="008A591C" w:rsidP="00DC1333">
      <w:pPr>
        <w:rPr>
          <w:color w:val="000000"/>
          <w:szCs w:val="22"/>
        </w:rPr>
      </w:pPr>
    </w:p>
    <w:p w:rsidR="008A591C" w:rsidRPr="00980C61" w:rsidRDefault="008F7CBE" w:rsidP="00DC1333">
      <w:pPr>
        <w:keepNext/>
        <w:keepLines/>
        <w:rPr>
          <w:color w:val="000000"/>
          <w:szCs w:val="22"/>
        </w:rPr>
      </w:pPr>
      <w:r w:rsidRPr="008F7CBE">
        <w:rPr>
          <w:color w:val="000000"/>
          <w:sz w:val="20"/>
          <w:szCs w:val="22"/>
        </w:rPr>
        <w:t>INFORMACIÓN SOBRE LOS RIESGOS PLANTEADOS EN EL BIENIO</w:t>
      </w:r>
    </w:p>
    <w:p w:rsidR="008A591C" w:rsidRPr="00980C61" w:rsidRDefault="008A591C" w:rsidP="00DC1333">
      <w:pPr>
        <w:keepNext/>
        <w:keepLines/>
      </w:pPr>
    </w:p>
    <w:tbl>
      <w:tblPr>
        <w:tblW w:w="4995" w:type="pct"/>
        <w:tblInd w:w="108" w:type="dxa"/>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2368"/>
        <w:gridCol w:w="2366"/>
        <w:gridCol w:w="2366"/>
        <w:gridCol w:w="2364"/>
      </w:tblGrid>
      <w:tr w:rsidR="008A591C" w:rsidRPr="002661F5" w:rsidTr="00DC1333">
        <w:trPr>
          <w:trHeight w:val="738"/>
        </w:trPr>
        <w:tc>
          <w:tcPr>
            <w:tcW w:w="1251" w:type="pct"/>
            <w:tcBorders>
              <w:top w:val="single" w:sz="8" w:space="0" w:color="auto"/>
              <w:bottom w:val="single" w:sz="8" w:space="0" w:color="auto"/>
            </w:tcBorders>
            <w:shd w:val="clear" w:color="auto" w:fill="C6D9F1" w:themeFill="text2" w:themeFillTint="33"/>
            <w:tcMar>
              <w:top w:w="0" w:type="dxa"/>
              <w:left w:w="108" w:type="dxa"/>
              <w:bottom w:w="0" w:type="dxa"/>
              <w:right w:w="108" w:type="dxa"/>
            </w:tcMar>
            <w:vAlign w:val="center"/>
            <w:hideMark/>
          </w:tcPr>
          <w:p w:rsidR="008A591C" w:rsidRPr="00980C61" w:rsidRDefault="008A591C" w:rsidP="00DC1333">
            <w:pPr>
              <w:keepNext/>
              <w:keepLines/>
              <w:jc w:val="center"/>
              <w:rPr>
                <w:b/>
                <w:sz w:val="18"/>
                <w:szCs w:val="18"/>
              </w:rPr>
            </w:pPr>
            <w:r w:rsidRPr="00980C61">
              <w:rPr>
                <w:b/>
                <w:iCs/>
                <w:sz w:val="18"/>
                <w:szCs w:val="18"/>
              </w:rPr>
              <w:t>Riesgos en el logro de los resultados del programa</w:t>
            </w:r>
          </w:p>
        </w:tc>
        <w:tc>
          <w:tcPr>
            <w:tcW w:w="1250" w:type="pct"/>
            <w:tcBorders>
              <w:top w:val="single" w:sz="8" w:space="0" w:color="auto"/>
              <w:bottom w:val="single" w:sz="8" w:space="0" w:color="auto"/>
            </w:tcBorders>
            <w:shd w:val="clear" w:color="auto" w:fill="C6D9F1" w:themeFill="text2" w:themeFillTint="33"/>
            <w:tcMar>
              <w:top w:w="0" w:type="dxa"/>
              <w:left w:w="108" w:type="dxa"/>
              <w:bottom w:w="0" w:type="dxa"/>
              <w:right w:w="108" w:type="dxa"/>
            </w:tcMar>
            <w:vAlign w:val="center"/>
            <w:hideMark/>
          </w:tcPr>
          <w:p w:rsidR="008A591C" w:rsidRPr="00980C61" w:rsidRDefault="008A591C" w:rsidP="00DC1333">
            <w:pPr>
              <w:keepNext/>
              <w:keepLines/>
              <w:jc w:val="center"/>
              <w:rPr>
                <w:b/>
                <w:sz w:val="18"/>
                <w:szCs w:val="18"/>
              </w:rPr>
            </w:pPr>
            <w:r w:rsidRPr="00980C61">
              <w:rPr>
                <w:b/>
                <w:iCs/>
                <w:sz w:val="18"/>
                <w:szCs w:val="18"/>
              </w:rPr>
              <w:t>Planes de mitigación ejecutados o en ejecución</w:t>
            </w:r>
          </w:p>
        </w:tc>
        <w:tc>
          <w:tcPr>
            <w:tcW w:w="1250" w:type="pct"/>
            <w:tcBorders>
              <w:top w:val="single" w:sz="8" w:space="0" w:color="auto"/>
              <w:bottom w:val="single" w:sz="8" w:space="0" w:color="auto"/>
            </w:tcBorders>
            <w:shd w:val="clear" w:color="auto" w:fill="C6D9F1" w:themeFill="text2" w:themeFillTint="33"/>
            <w:vAlign w:val="center"/>
          </w:tcPr>
          <w:p w:rsidR="008A591C" w:rsidRPr="00980C61" w:rsidRDefault="008A591C" w:rsidP="00DC1333">
            <w:pPr>
              <w:keepNext/>
              <w:keepLines/>
              <w:jc w:val="center"/>
              <w:rPr>
                <w:b/>
                <w:bCs/>
                <w:sz w:val="18"/>
                <w:szCs w:val="18"/>
              </w:rPr>
            </w:pPr>
            <w:r w:rsidRPr="00980C61">
              <w:rPr>
                <w:b/>
                <w:bCs/>
                <w:sz w:val="18"/>
                <w:szCs w:val="18"/>
              </w:rPr>
              <w:t>Evolución de los riesgos y estrategias de mitigación durante el bienio</w:t>
            </w:r>
          </w:p>
        </w:tc>
        <w:tc>
          <w:tcPr>
            <w:tcW w:w="1249" w:type="pct"/>
            <w:tcBorders>
              <w:top w:val="single" w:sz="8" w:space="0" w:color="auto"/>
              <w:bottom w:val="single" w:sz="8" w:space="0" w:color="auto"/>
            </w:tcBorders>
            <w:shd w:val="clear" w:color="auto" w:fill="C6D9F1" w:themeFill="text2" w:themeFillTint="33"/>
            <w:vAlign w:val="center"/>
          </w:tcPr>
          <w:p w:rsidR="008A591C" w:rsidRPr="00980C61" w:rsidRDefault="008A591C" w:rsidP="00DC1333">
            <w:pPr>
              <w:keepNext/>
              <w:keepLines/>
              <w:jc w:val="center"/>
              <w:rPr>
                <w:b/>
                <w:bCs/>
                <w:sz w:val="18"/>
                <w:szCs w:val="18"/>
              </w:rPr>
            </w:pPr>
            <w:r w:rsidRPr="00980C61">
              <w:rPr>
                <w:b/>
                <w:bCs/>
                <w:sz w:val="18"/>
                <w:szCs w:val="18"/>
              </w:rPr>
              <w:t>Incidencia en el rendimiento del programa</w:t>
            </w:r>
          </w:p>
        </w:tc>
      </w:tr>
      <w:tr w:rsidR="008A591C" w:rsidRPr="002661F5" w:rsidTr="00DC1333">
        <w:trPr>
          <w:trHeight w:val="900"/>
        </w:trPr>
        <w:tc>
          <w:tcPr>
            <w:tcW w:w="1251" w:type="pct"/>
            <w:tcBorders>
              <w:top w:val="single" w:sz="8" w:space="0" w:color="auto"/>
            </w:tcBorders>
            <w:shd w:val="clear" w:color="auto" w:fill="auto"/>
            <w:tcMar>
              <w:top w:w="57" w:type="dxa"/>
              <w:left w:w="108" w:type="dxa"/>
              <w:bottom w:w="0" w:type="dxa"/>
              <w:right w:w="108" w:type="dxa"/>
            </w:tcMar>
          </w:tcPr>
          <w:p w:rsidR="008A591C" w:rsidRPr="000707E2" w:rsidRDefault="008A591C" w:rsidP="00DC1333">
            <w:pPr>
              <w:keepNext/>
              <w:keepLines/>
              <w:rPr>
                <w:rFonts w:eastAsia="Calibri"/>
                <w:sz w:val="16"/>
                <w:szCs w:val="16"/>
                <w:highlight w:val="yellow"/>
              </w:rPr>
            </w:pPr>
            <w:r w:rsidRPr="008A77DA">
              <w:rPr>
                <w:sz w:val="16"/>
                <w:szCs w:val="16"/>
              </w:rPr>
              <w:t>En tanto que riesgo a largo plazo, las necesidades de apoyo a las pymes en las regiones emergentes y en desarrollo pueden cambiar en función de que vayan madurando los sistemas nacionales de P.I.</w:t>
            </w:r>
            <w:r>
              <w:rPr>
                <w:sz w:val="16"/>
                <w:szCs w:val="16"/>
              </w:rPr>
              <w:t xml:space="preserve">  </w:t>
            </w:r>
            <w:r w:rsidRPr="008A77DA">
              <w:rPr>
                <w:sz w:val="16"/>
                <w:szCs w:val="16"/>
              </w:rPr>
              <w:t>Si no se adapta la creación de contenido a ese cambio, poco provecho sacarán los beneficiarios de las actividades de fortalecimiento de capacidades.</w:t>
            </w:r>
            <w:r w:rsidRPr="008A77DA">
              <w:rPr>
                <w:rFonts w:eastAsia="Calibri"/>
                <w:sz w:val="16"/>
                <w:szCs w:val="16"/>
                <w:highlight w:val="yellow"/>
              </w:rPr>
              <w:t xml:space="preserve"> </w:t>
            </w:r>
          </w:p>
        </w:tc>
        <w:tc>
          <w:tcPr>
            <w:tcW w:w="1250" w:type="pct"/>
            <w:tcBorders>
              <w:top w:val="single" w:sz="8" w:space="0" w:color="auto"/>
            </w:tcBorders>
            <w:shd w:val="clear" w:color="auto" w:fill="auto"/>
            <w:tcMar>
              <w:top w:w="57" w:type="dxa"/>
              <w:left w:w="108" w:type="dxa"/>
              <w:bottom w:w="0" w:type="dxa"/>
              <w:right w:w="108" w:type="dxa"/>
            </w:tcMar>
          </w:tcPr>
          <w:p w:rsidR="008A591C" w:rsidRPr="000D01C5" w:rsidRDefault="008A591C" w:rsidP="00DC1333">
            <w:pPr>
              <w:keepNext/>
              <w:keepLines/>
              <w:rPr>
                <w:rFonts w:eastAsia="Calibri"/>
                <w:sz w:val="16"/>
                <w:szCs w:val="16"/>
              </w:rPr>
            </w:pPr>
            <w:r w:rsidRPr="000D01C5">
              <w:rPr>
                <w:sz w:val="16"/>
                <w:szCs w:val="16"/>
              </w:rPr>
              <w:t>Estrecha colaboración con los programas 9 y 10, especialmente, que conocen las características específicas de sus regiones, a fin de que el contenido que se elabore siga siendo pertinente para las necesidades regionales concretas.</w:t>
            </w:r>
          </w:p>
        </w:tc>
        <w:tc>
          <w:tcPr>
            <w:tcW w:w="1250" w:type="pct"/>
            <w:tcBorders>
              <w:top w:val="single" w:sz="8" w:space="0" w:color="auto"/>
            </w:tcBorders>
            <w:tcMar>
              <w:top w:w="57" w:type="dxa"/>
            </w:tcMar>
          </w:tcPr>
          <w:p w:rsidR="008A591C" w:rsidRPr="000D01C5" w:rsidRDefault="008A591C" w:rsidP="00DC1333">
            <w:pPr>
              <w:keepNext/>
              <w:keepLines/>
              <w:rPr>
                <w:sz w:val="16"/>
                <w:szCs w:val="16"/>
              </w:rPr>
            </w:pPr>
            <w:r w:rsidRPr="000D01C5">
              <w:rPr>
                <w:sz w:val="16"/>
                <w:szCs w:val="16"/>
              </w:rPr>
              <w:t>El fomento de la cooperación interna, especialmente con los programas 9 y 10, y la cooperación externa con los Estados miembros y otras organizaciones internacionales ha contribuido a que el contenido se adapte a los destinatarios y sea pertinentes para las necesidades de los sectores interesados.</w:t>
            </w:r>
          </w:p>
        </w:tc>
        <w:tc>
          <w:tcPr>
            <w:tcW w:w="1249" w:type="pct"/>
            <w:tcBorders>
              <w:top w:val="single" w:sz="8" w:space="0" w:color="auto"/>
            </w:tcBorders>
            <w:tcMar>
              <w:top w:w="57" w:type="dxa"/>
            </w:tcMar>
          </w:tcPr>
          <w:p w:rsidR="008A591C" w:rsidRPr="000707E2" w:rsidRDefault="008A591C" w:rsidP="00DC1333">
            <w:pPr>
              <w:keepNext/>
              <w:keepLines/>
              <w:rPr>
                <w:sz w:val="16"/>
                <w:szCs w:val="16"/>
                <w:highlight w:val="yellow"/>
              </w:rPr>
            </w:pPr>
            <w:r>
              <w:rPr>
                <w:sz w:val="16"/>
                <w:szCs w:val="16"/>
              </w:rPr>
              <w:t xml:space="preserve">No hubo </w:t>
            </w:r>
            <w:r w:rsidRPr="008A77DA">
              <w:rPr>
                <w:sz w:val="16"/>
                <w:szCs w:val="16"/>
              </w:rPr>
              <w:t>una incidencia sustancial</w:t>
            </w:r>
            <w:r>
              <w:rPr>
                <w:sz w:val="16"/>
                <w:szCs w:val="16"/>
              </w:rPr>
              <w:t xml:space="preserve"> en el rendimiento del programa.</w:t>
            </w:r>
          </w:p>
        </w:tc>
      </w:tr>
      <w:tr w:rsidR="008A591C" w:rsidRPr="002661F5" w:rsidTr="00DC1333">
        <w:trPr>
          <w:trHeight w:val="900"/>
        </w:trPr>
        <w:tc>
          <w:tcPr>
            <w:tcW w:w="1251" w:type="pct"/>
            <w:tcMar>
              <w:top w:w="57" w:type="dxa"/>
              <w:left w:w="108" w:type="dxa"/>
              <w:bottom w:w="0" w:type="dxa"/>
              <w:right w:w="108" w:type="dxa"/>
            </w:tcMar>
          </w:tcPr>
          <w:p w:rsidR="008A591C" w:rsidRPr="000707E2" w:rsidRDefault="008A591C" w:rsidP="00DC1333">
            <w:pPr>
              <w:keepNext/>
              <w:keepLines/>
              <w:rPr>
                <w:rFonts w:eastAsia="Calibri"/>
                <w:sz w:val="16"/>
                <w:szCs w:val="16"/>
                <w:highlight w:val="yellow"/>
              </w:rPr>
            </w:pPr>
            <w:r w:rsidRPr="008A77DA">
              <w:rPr>
                <w:sz w:val="16"/>
                <w:szCs w:val="16"/>
              </w:rPr>
              <w:t>Las pymes de algunos países podrán seguir en total desconocimiento de las ventajas que supone la utilización del sistema de P.I., perdiendo así toda posibilidad de mejorar su competitividad y de generar mayores ingresos.</w:t>
            </w:r>
          </w:p>
        </w:tc>
        <w:tc>
          <w:tcPr>
            <w:tcW w:w="1250" w:type="pct"/>
            <w:tcMar>
              <w:top w:w="57" w:type="dxa"/>
              <w:left w:w="108" w:type="dxa"/>
              <w:bottom w:w="0" w:type="dxa"/>
              <w:right w:w="108" w:type="dxa"/>
            </w:tcMar>
          </w:tcPr>
          <w:p w:rsidR="008A591C" w:rsidRDefault="008A591C" w:rsidP="00DC1333">
            <w:pPr>
              <w:keepNext/>
              <w:keepLines/>
              <w:rPr>
                <w:sz w:val="16"/>
                <w:szCs w:val="16"/>
                <w:highlight w:val="yellow"/>
              </w:rPr>
            </w:pPr>
            <w:r w:rsidRPr="000D01C5">
              <w:rPr>
                <w:sz w:val="16"/>
                <w:szCs w:val="16"/>
              </w:rPr>
              <w:t xml:space="preserve">Trabajar en dos líneas paralelas, por un lado, haciendo hincapié en sensibilizar a las pymes en torno a las ventajas que la utilización del sistema de P.I. supone para obtener mayores beneficios económicos, gracias a una elevada competitividad, y, por otro, </w:t>
            </w:r>
            <w:r>
              <w:rPr>
                <w:sz w:val="16"/>
                <w:szCs w:val="16"/>
              </w:rPr>
              <w:t>alentando</w:t>
            </w:r>
            <w:r w:rsidRPr="000D01C5">
              <w:rPr>
                <w:sz w:val="16"/>
                <w:szCs w:val="16"/>
              </w:rPr>
              <w:t xml:space="preserve"> a los gobiernos nacionales a crear estructuras de apoyo a las pymes o mejorar las ya existentes.</w:t>
            </w:r>
          </w:p>
          <w:p w:rsidR="008A591C" w:rsidRPr="000707E2" w:rsidRDefault="008A591C" w:rsidP="00DC1333">
            <w:pPr>
              <w:keepNext/>
              <w:keepLines/>
              <w:rPr>
                <w:rFonts w:eastAsia="Calibri"/>
                <w:sz w:val="16"/>
                <w:szCs w:val="16"/>
                <w:highlight w:val="yellow"/>
              </w:rPr>
            </w:pPr>
          </w:p>
        </w:tc>
        <w:tc>
          <w:tcPr>
            <w:tcW w:w="1250" w:type="pct"/>
            <w:tcMar>
              <w:top w:w="57" w:type="dxa"/>
            </w:tcMar>
          </w:tcPr>
          <w:p w:rsidR="008A591C" w:rsidRPr="000707E2" w:rsidRDefault="008A591C" w:rsidP="00DC1333">
            <w:pPr>
              <w:keepNext/>
              <w:keepLines/>
              <w:rPr>
                <w:sz w:val="16"/>
                <w:szCs w:val="16"/>
                <w:highlight w:val="yellow"/>
              </w:rPr>
            </w:pPr>
            <w:r w:rsidRPr="000D01C5">
              <w:rPr>
                <w:sz w:val="16"/>
                <w:szCs w:val="16"/>
              </w:rPr>
              <w:t>Este riesgo es constante. La labor de mitigación ha dado lugar a que se fomente el interés y la participación de los gobiernos locales en el establecimiento de programas de formación y actividades de sensibilización acerca de la P.I. para las pymes.</w:t>
            </w:r>
          </w:p>
        </w:tc>
        <w:tc>
          <w:tcPr>
            <w:tcW w:w="1249" w:type="pct"/>
            <w:tcMar>
              <w:top w:w="57" w:type="dxa"/>
            </w:tcMar>
          </w:tcPr>
          <w:p w:rsidR="008A591C" w:rsidRPr="000707E2" w:rsidRDefault="008A591C" w:rsidP="00DC1333">
            <w:pPr>
              <w:keepNext/>
              <w:keepLines/>
              <w:rPr>
                <w:sz w:val="16"/>
                <w:szCs w:val="16"/>
                <w:highlight w:val="yellow"/>
              </w:rPr>
            </w:pPr>
            <w:r w:rsidRPr="008A77DA">
              <w:rPr>
                <w:sz w:val="16"/>
                <w:szCs w:val="16"/>
              </w:rPr>
              <w:t>No hubo una incidencia sustancial en el rendimiento del programa.</w:t>
            </w:r>
          </w:p>
        </w:tc>
      </w:tr>
    </w:tbl>
    <w:p w:rsidR="008A591C" w:rsidRPr="00980C61" w:rsidRDefault="008A591C" w:rsidP="00DC1333">
      <w:pPr>
        <w:rPr>
          <w:color w:val="000000"/>
          <w:sz w:val="18"/>
        </w:rPr>
      </w:pPr>
    </w:p>
    <w:p w:rsidR="008A591C" w:rsidRPr="00980C61" w:rsidRDefault="008A591C" w:rsidP="00DC1333">
      <w:pPr>
        <w:rPr>
          <w:color w:val="000000"/>
          <w:sz w:val="18"/>
        </w:rPr>
      </w:pPr>
    </w:p>
    <w:p w:rsidR="008A591C" w:rsidRPr="00980C61" w:rsidRDefault="00403D2C" w:rsidP="00D62430">
      <w:pPr>
        <w:keepNext/>
        <w:rPr>
          <w:b/>
          <w:color w:val="000000"/>
        </w:rPr>
      </w:pPr>
      <w:r w:rsidRPr="00403D2C">
        <w:rPr>
          <w:color w:val="000000"/>
          <w:sz w:val="20"/>
        </w:rPr>
        <w:lastRenderedPageBreak/>
        <w:t>UTILIZACIÓN DE LOS RECURSOS</w:t>
      </w:r>
    </w:p>
    <w:p w:rsidR="008A591C" w:rsidRPr="00980C61" w:rsidRDefault="008A591C" w:rsidP="00D62430">
      <w:pPr>
        <w:keepNext/>
        <w:rPr>
          <w:sz w:val="16"/>
        </w:rPr>
      </w:pPr>
    </w:p>
    <w:p w:rsidR="008A591C" w:rsidRPr="00980C61" w:rsidRDefault="008A591C" w:rsidP="00D62430">
      <w:pPr>
        <w:pStyle w:val="NormalWeb"/>
        <w:keepNext/>
        <w:spacing w:before="0" w:beforeAutospacing="0" w:after="0" w:afterAutospacing="0"/>
        <w:ind w:left="360"/>
        <w:jc w:val="center"/>
        <w:rPr>
          <w:sz w:val="20"/>
          <w:szCs w:val="20"/>
          <w:lang w:val="es-ES"/>
        </w:rPr>
      </w:pPr>
      <w:r w:rsidRPr="00980C61">
        <w:rPr>
          <w:sz w:val="20"/>
          <w:szCs w:val="20"/>
          <w:lang w:val="es-ES"/>
        </w:rPr>
        <w:t>Presupuesto y gastos reales (por resultado)</w:t>
      </w:r>
    </w:p>
    <w:p w:rsidR="008A591C" w:rsidRPr="00980C61" w:rsidRDefault="008A591C" w:rsidP="00D62430">
      <w:pPr>
        <w:pStyle w:val="NormalWeb"/>
        <w:keepNext/>
        <w:spacing w:before="0" w:beforeAutospacing="0" w:after="0" w:afterAutospacing="0"/>
        <w:ind w:left="360"/>
        <w:jc w:val="center"/>
        <w:rPr>
          <w:i/>
          <w:iCs/>
          <w:sz w:val="20"/>
          <w:szCs w:val="20"/>
          <w:lang w:val="es-ES"/>
        </w:rPr>
      </w:pPr>
      <w:r w:rsidRPr="00980C61">
        <w:rPr>
          <w:i/>
          <w:iCs/>
          <w:sz w:val="20"/>
          <w:szCs w:val="20"/>
          <w:lang w:val="es-ES"/>
        </w:rPr>
        <w:t>(</w:t>
      </w:r>
      <w:proofErr w:type="gramStart"/>
      <w:r w:rsidRPr="00980C61">
        <w:rPr>
          <w:i/>
          <w:iCs/>
          <w:sz w:val="20"/>
          <w:szCs w:val="20"/>
          <w:lang w:val="es-ES"/>
        </w:rPr>
        <w:t>en</w:t>
      </w:r>
      <w:proofErr w:type="gramEnd"/>
      <w:r w:rsidRPr="00980C61">
        <w:rPr>
          <w:i/>
          <w:iCs/>
          <w:sz w:val="20"/>
          <w:szCs w:val="20"/>
          <w:lang w:val="es-ES"/>
        </w:rPr>
        <w:t xml:space="preserve"> miles de francos suizos)</w:t>
      </w:r>
    </w:p>
    <w:p w:rsidR="008A591C" w:rsidRPr="00980C61" w:rsidRDefault="008A591C" w:rsidP="00D62430">
      <w:pPr>
        <w:pStyle w:val="NormalWeb"/>
        <w:keepNext/>
        <w:spacing w:before="0" w:beforeAutospacing="0" w:after="0" w:afterAutospacing="0"/>
        <w:jc w:val="center"/>
        <w:rPr>
          <w:sz w:val="16"/>
          <w:szCs w:val="20"/>
          <w:lang w:val="es-ES"/>
        </w:rPr>
      </w:pPr>
    </w:p>
    <w:p w:rsidR="008A591C" w:rsidRPr="00980C61" w:rsidRDefault="008A591C" w:rsidP="00D62430">
      <w:pPr>
        <w:keepNext/>
        <w:jc w:val="center"/>
      </w:pPr>
      <w:r>
        <w:rPr>
          <w:noProof/>
          <w:lang w:val="en-US" w:eastAsia="en-US"/>
        </w:rPr>
        <w:drawing>
          <wp:inline distT="0" distB="0" distL="0" distR="0" wp14:anchorId="2DA09B48" wp14:editId="0571EF54">
            <wp:extent cx="5321339" cy="2961672"/>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5326754" cy="2964686"/>
                    </a:xfrm>
                    <a:prstGeom prst="rect">
                      <a:avLst/>
                    </a:prstGeom>
                    <a:noFill/>
                    <a:ln>
                      <a:noFill/>
                    </a:ln>
                  </pic:spPr>
                </pic:pic>
              </a:graphicData>
            </a:graphic>
          </wp:inline>
        </w:drawing>
      </w:r>
    </w:p>
    <w:p w:rsidR="008A591C" w:rsidRPr="00C759D0" w:rsidRDefault="008A591C" w:rsidP="00DC1333">
      <w:pPr>
        <w:jc w:val="center"/>
        <w:rPr>
          <w:sz w:val="20"/>
        </w:rPr>
      </w:pPr>
    </w:p>
    <w:p w:rsidR="008A591C" w:rsidRPr="00C759D0" w:rsidRDefault="008A591C" w:rsidP="00DC1333">
      <w:pPr>
        <w:jc w:val="center"/>
        <w:rPr>
          <w:sz w:val="20"/>
        </w:rPr>
      </w:pPr>
    </w:p>
    <w:p w:rsidR="008A591C" w:rsidRPr="00C759D0" w:rsidRDefault="008A591C" w:rsidP="00DC1333">
      <w:pPr>
        <w:jc w:val="center"/>
        <w:rPr>
          <w:sz w:val="20"/>
        </w:rPr>
      </w:pPr>
      <w:r w:rsidRPr="00C759D0">
        <w:rPr>
          <w:sz w:val="20"/>
        </w:rPr>
        <w:t>Presupuesto y gastos reales (de personal y no relativos a personal)</w:t>
      </w:r>
    </w:p>
    <w:p w:rsidR="008A591C" w:rsidRPr="00C759D0" w:rsidRDefault="008A591C" w:rsidP="00DC1333">
      <w:pPr>
        <w:jc w:val="center"/>
        <w:rPr>
          <w:i/>
          <w:sz w:val="20"/>
        </w:rPr>
      </w:pPr>
      <w:r w:rsidRPr="00C759D0">
        <w:rPr>
          <w:i/>
          <w:sz w:val="20"/>
        </w:rPr>
        <w:t>(</w:t>
      </w:r>
      <w:proofErr w:type="gramStart"/>
      <w:r w:rsidRPr="00C759D0">
        <w:rPr>
          <w:i/>
          <w:sz w:val="20"/>
        </w:rPr>
        <w:t>en</w:t>
      </w:r>
      <w:proofErr w:type="gramEnd"/>
      <w:r w:rsidRPr="00C759D0">
        <w:rPr>
          <w:i/>
          <w:sz w:val="20"/>
        </w:rPr>
        <w:t xml:space="preserve"> miles de francos suizos)</w:t>
      </w:r>
    </w:p>
    <w:p w:rsidR="008A591C" w:rsidRPr="00980C61" w:rsidRDefault="008A591C" w:rsidP="00DC1333">
      <w:pPr>
        <w:pStyle w:val="NormalWeb"/>
        <w:keepNext/>
        <w:keepLines/>
        <w:spacing w:before="0" w:beforeAutospacing="0" w:after="0" w:afterAutospacing="0"/>
        <w:jc w:val="center"/>
        <w:rPr>
          <w:lang w:val="es-ES"/>
        </w:rPr>
      </w:pPr>
    </w:p>
    <w:p w:rsidR="008A591C" w:rsidRPr="00980C61" w:rsidRDefault="008A591C" w:rsidP="00DC1333">
      <w:pPr>
        <w:widowControl w:val="0"/>
        <w:autoSpaceDE w:val="0"/>
        <w:autoSpaceDN w:val="0"/>
        <w:adjustRightInd w:val="0"/>
        <w:jc w:val="center"/>
      </w:pPr>
      <w:r>
        <w:rPr>
          <w:noProof/>
          <w:lang w:val="en-US" w:eastAsia="en-US"/>
        </w:rPr>
        <w:drawing>
          <wp:inline distT="0" distB="0" distL="0" distR="0" wp14:anchorId="7EF718A4" wp14:editId="68795572">
            <wp:extent cx="5667154" cy="1054220"/>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5666668" cy="1054130"/>
                    </a:xfrm>
                    <a:prstGeom prst="rect">
                      <a:avLst/>
                    </a:prstGeom>
                    <a:noFill/>
                    <a:ln>
                      <a:noFill/>
                    </a:ln>
                  </pic:spPr>
                </pic:pic>
              </a:graphicData>
            </a:graphic>
          </wp:inline>
        </w:drawing>
      </w:r>
    </w:p>
    <w:p w:rsidR="008A591C" w:rsidRPr="00980C61" w:rsidRDefault="008A591C" w:rsidP="00DC1333"/>
    <w:p w:rsidR="008A591C" w:rsidRPr="00980C61" w:rsidRDefault="008A591C" w:rsidP="00DC1333"/>
    <w:p w:rsidR="008A591C" w:rsidRPr="00980C61" w:rsidRDefault="00403D2C" w:rsidP="00E34ABF">
      <w:pPr>
        <w:numPr>
          <w:ilvl w:val="0"/>
          <w:numId w:val="69"/>
        </w:numPr>
        <w:tabs>
          <w:tab w:val="left" w:pos="709"/>
        </w:tabs>
        <w:ind w:left="0" w:firstLine="0"/>
        <w:rPr>
          <w:u w:val="single"/>
        </w:rPr>
      </w:pPr>
      <w:r w:rsidRPr="00403D2C">
        <w:rPr>
          <w:sz w:val="20"/>
          <w:u w:val="single"/>
        </w:rPr>
        <w:t>Presupuesto final de 2014/15 tras las transferencias</w:t>
      </w:r>
    </w:p>
    <w:p w:rsidR="008A591C" w:rsidRPr="00980C61" w:rsidRDefault="008A591C" w:rsidP="00E34ABF">
      <w:pPr>
        <w:tabs>
          <w:tab w:val="left" w:pos="709"/>
        </w:tabs>
        <w:rPr>
          <w:u w:val="single"/>
        </w:rPr>
      </w:pPr>
    </w:p>
    <w:p w:rsidR="008A591C" w:rsidRPr="000707E2" w:rsidRDefault="008A591C" w:rsidP="00E34ABF">
      <w:pPr>
        <w:pStyle w:val="ListParagraph"/>
        <w:numPr>
          <w:ilvl w:val="0"/>
          <w:numId w:val="67"/>
        </w:numPr>
        <w:tabs>
          <w:tab w:val="left" w:pos="709"/>
        </w:tabs>
        <w:autoSpaceDE w:val="0"/>
        <w:autoSpaceDN w:val="0"/>
        <w:adjustRightInd w:val="0"/>
        <w:ind w:left="0" w:firstLine="0"/>
        <w:jc w:val="both"/>
        <w:rPr>
          <w:rFonts w:cs="Arial"/>
          <w:lang w:val="es-ES"/>
        </w:rPr>
      </w:pPr>
      <w:r w:rsidRPr="000707E2">
        <w:rPr>
          <w:rFonts w:cs="Arial"/>
          <w:lang w:val="es-ES"/>
        </w:rPr>
        <w:t>La disminución de los recursos de personal observada en el presupuesto final de 2014/15 tras las transferencias con respecto al presupuesto aprobado de 2014/15 se debe a los siguientes factores:  i) el traspaso al programa 5 (Sistema del PCT)</w:t>
      </w:r>
      <w:r>
        <w:rPr>
          <w:rFonts w:cs="Arial"/>
          <w:lang w:val="es-ES"/>
        </w:rPr>
        <w:t xml:space="preserve"> </w:t>
      </w:r>
      <w:r w:rsidRPr="000707E2">
        <w:rPr>
          <w:rFonts w:cs="Arial"/>
          <w:lang w:val="es-ES"/>
        </w:rPr>
        <w:t xml:space="preserve">de las responsabilidades relativas a la ejecución del proyecto de la A.D. sobre los modelos de colaboración abierta y la transferencia de tecnología y ii) el retraso en la determinación de las aptitudes y competencias idóneas para apoyar las actividades del programa con objeto de compensar la trasferencia de un </w:t>
      </w:r>
      <w:r>
        <w:rPr>
          <w:rFonts w:cs="Arial"/>
          <w:lang w:val="es-ES"/>
        </w:rPr>
        <w:t>miembro del personal</w:t>
      </w:r>
      <w:r w:rsidRPr="000707E2">
        <w:rPr>
          <w:rFonts w:cs="Arial"/>
          <w:lang w:val="es-ES"/>
        </w:rPr>
        <w:t xml:space="preserve"> a otro programa.</w:t>
      </w:r>
    </w:p>
    <w:p w:rsidR="008A591C" w:rsidRPr="00980C61" w:rsidRDefault="008A591C" w:rsidP="00E34ABF">
      <w:pPr>
        <w:pStyle w:val="ListParagraph"/>
        <w:tabs>
          <w:tab w:val="left" w:pos="709"/>
        </w:tabs>
        <w:ind w:left="0"/>
        <w:jc w:val="both"/>
        <w:rPr>
          <w:rFonts w:eastAsia="Arial" w:cs="Arial"/>
          <w:lang w:val="es-ES"/>
        </w:rPr>
      </w:pPr>
    </w:p>
    <w:p w:rsidR="008A591C" w:rsidRPr="000707E2" w:rsidRDefault="008A591C" w:rsidP="00E34ABF">
      <w:pPr>
        <w:pStyle w:val="ListParagraph"/>
        <w:numPr>
          <w:ilvl w:val="0"/>
          <w:numId w:val="67"/>
        </w:numPr>
        <w:tabs>
          <w:tab w:val="left" w:pos="709"/>
        </w:tabs>
        <w:autoSpaceDE w:val="0"/>
        <w:autoSpaceDN w:val="0"/>
        <w:adjustRightInd w:val="0"/>
        <w:ind w:left="0" w:firstLine="0"/>
        <w:jc w:val="both"/>
        <w:rPr>
          <w:rFonts w:cs="Arial"/>
          <w:lang w:val="es-ES"/>
        </w:rPr>
      </w:pPr>
      <w:r w:rsidRPr="000707E2">
        <w:rPr>
          <w:rFonts w:cs="Arial"/>
          <w:lang w:val="es-ES"/>
        </w:rPr>
        <w:t>El descenso neto que se aprecia en los recursos no relativos a personal refleja principalmente</w:t>
      </w:r>
      <w:proofErr w:type="gramStart"/>
      <w:r w:rsidRPr="000707E2">
        <w:rPr>
          <w:rFonts w:cs="Arial"/>
          <w:lang w:val="es-ES"/>
        </w:rPr>
        <w:t>:  i</w:t>
      </w:r>
      <w:proofErr w:type="gramEnd"/>
      <w:r w:rsidRPr="000707E2">
        <w:rPr>
          <w:rFonts w:cs="Arial"/>
          <w:lang w:val="es-ES"/>
        </w:rPr>
        <w:t xml:space="preserve">)  el ajuste a la baja resultante principalmente del traspaso al programa 1 de la responsabilidad relativa a la formación sobre la redacción de solicitudes de patente, y ii) la transferencia (al programa 23, que administra centralmente </w:t>
      </w:r>
      <w:r>
        <w:rPr>
          <w:rFonts w:cs="Arial"/>
          <w:lang w:val="es-ES"/>
        </w:rPr>
        <w:t xml:space="preserve">las pasantías) </w:t>
      </w:r>
      <w:r w:rsidRPr="000707E2">
        <w:rPr>
          <w:rFonts w:cs="Arial"/>
          <w:lang w:val="es-ES"/>
        </w:rPr>
        <w:t xml:space="preserve">de recursos no relativos a personal </w:t>
      </w:r>
      <w:r>
        <w:rPr>
          <w:rFonts w:cs="Arial"/>
          <w:lang w:val="es-ES"/>
        </w:rPr>
        <w:t xml:space="preserve"> </w:t>
      </w:r>
      <w:r w:rsidRPr="000707E2">
        <w:rPr>
          <w:rFonts w:cs="Arial"/>
          <w:lang w:val="es-ES"/>
        </w:rPr>
        <w:t>para una pasantía</w:t>
      </w:r>
      <w:r>
        <w:rPr>
          <w:rFonts w:cs="Arial"/>
          <w:lang w:val="es-ES"/>
        </w:rPr>
        <w:t>.</w:t>
      </w:r>
    </w:p>
    <w:p w:rsidR="008A591C" w:rsidRPr="00980C61" w:rsidRDefault="008A591C" w:rsidP="00E34ABF">
      <w:pPr>
        <w:pStyle w:val="ListParagraph"/>
        <w:tabs>
          <w:tab w:val="left" w:pos="709"/>
        </w:tabs>
        <w:ind w:left="0"/>
        <w:jc w:val="both"/>
        <w:rPr>
          <w:rFonts w:cs="Arial"/>
          <w:lang w:val="es-ES" w:eastAsia="ko-KR"/>
        </w:rPr>
      </w:pPr>
    </w:p>
    <w:p w:rsidR="008A591C" w:rsidRPr="00980C61" w:rsidRDefault="008A591C" w:rsidP="00E34ABF">
      <w:pPr>
        <w:pStyle w:val="ListParagraph"/>
        <w:numPr>
          <w:ilvl w:val="0"/>
          <w:numId w:val="67"/>
        </w:numPr>
        <w:tabs>
          <w:tab w:val="left" w:pos="709"/>
        </w:tabs>
        <w:autoSpaceDE w:val="0"/>
        <w:autoSpaceDN w:val="0"/>
        <w:adjustRightInd w:val="0"/>
        <w:ind w:left="0" w:firstLine="0"/>
        <w:jc w:val="both"/>
        <w:rPr>
          <w:rFonts w:cs="Arial"/>
          <w:lang w:val="es-ES"/>
        </w:rPr>
      </w:pPr>
      <w:r>
        <w:rPr>
          <w:rFonts w:cs="Arial"/>
          <w:lang w:val="es-ES"/>
        </w:rPr>
        <w:t>En general, los ajustes en los resultados previstos en el presupuesto final de 2014/15 tras las transferencias reflejan la nueva y más exacta metodología de asignación de recursos de personal resultante de las mejoras efectuadas en el sistema de PRI para la planificación de la labor anual de 2014 y 2015, así como la reorganización interna del programa.</w:t>
      </w:r>
    </w:p>
    <w:p w:rsidR="008A591C" w:rsidRPr="00980C61" w:rsidRDefault="008A591C" w:rsidP="00E34ABF">
      <w:pPr>
        <w:tabs>
          <w:tab w:val="left" w:pos="709"/>
        </w:tabs>
        <w:autoSpaceDE w:val="0"/>
        <w:autoSpaceDN w:val="0"/>
        <w:jc w:val="both"/>
        <w:rPr>
          <w:lang w:eastAsia="ko-KR"/>
        </w:rPr>
      </w:pPr>
    </w:p>
    <w:p w:rsidR="008A591C" w:rsidRPr="00980C61" w:rsidRDefault="00403D2C" w:rsidP="00E34ABF">
      <w:pPr>
        <w:keepNext/>
        <w:tabs>
          <w:tab w:val="left" w:pos="709"/>
        </w:tabs>
        <w:jc w:val="both"/>
        <w:rPr>
          <w:u w:val="single"/>
          <w:lang w:eastAsia="ko-KR"/>
        </w:rPr>
      </w:pPr>
      <w:r w:rsidRPr="00403D2C">
        <w:rPr>
          <w:sz w:val="20"/>
          <w:lang w:eastAsia="ko-KR"/>
        </w:rPr>
        <w:lastRenderedPageBreak/>
        <w:t>B.</w:t>
      </w:r>
      <w:r w:rsidRPr="00403D2C">
        <w:rPr>
          <w:sz w:val="20"/>
          <w:lang w:eastAsia="ko-KR"/>
        </w:rPr>
        <w:tab/>
      </w:r>
      <w:r w:rsidRPr="00403D2C">
        <w:rPr>
          <w:sz w:val="20"/>
          <w:u w:val="single"/>
          <w:lang w:eastAsia="ko-KR"/>
        </w:rPr>
        <w:t>Utilización del presupuesto en 2014/15</w:t>
      </w:r>
    </w:p>
    <w:p w:rsidR="008A591C" w:rsidRPr="00980C61" w:rsidRDefault="008A591C" w:rsidP="00E34ABF">
      <w:pPr>
        <w:keepNext/>
        <w:tabs>
          <w:tab w:val="left" w:pos="709"/>
        </w:tabs>
      </w:pPr>
    </w:p>
    <w:p w:rsidR="008A591C" w:rsidRPr="00DB324D" w:rsidRDefault="008A591C" w:rsidP="00E34ABF">
      <w:pPr>
        <w:pStyle w:val="ListParagraph"/>
        <w:keepNext/>
        <w:numPr>
          <w:ilvl w:val="0"/>
          <w:numId w:val="67"/>
        </w:numPr>
        <w:tabs>
          <w:tab w:val="left" w:pos="709"/>
        </w:tabs>
        <w:autoSpaceDE w:val="0"/>
        <w:autoSpaceDN w:val="0"/>
        <w:adjustRightInd w:val="0"/>
        <w:ind w:left="0" w:firstLine="0"/>
        <w:jc w:val="both"/>
        <w:rPr>
          <w:rFonts w:cs="Arial"/>
          <w:lang w:val="es-ES"/>
        </w:rPr>
      </w:pPr>
      <w:r w:rsidRPr="00DB324D">
        <w:rPr>
          <w:rFonts w:cs="Arial"/>
          <w:lang w:val="es-ES"/>
        </w:rPr>
        <w:t>La ligera infrautilización de los recursos no relativos a personal se debió fundamentalmente a:  i) el ritmo de ejecución de las actividades más lento de lo previsto en relación con los resultados III.6 (Mayor capacidad de las pymes) y IV.2 (Mejora del acceso y uso de información de P.I. por parte de instituciones de P.I. y el público para fomentar la innovación y la creatividad), y ii) el aplazamiento o suspensión de algunas actividades a petición de las instituciones coorganizadoras o los Estados miembros en el marco de los resultados III.1 (Estrategias y planes nacionales de innovación y de P.I.). III.6 (Mejor capacidad de las pymes) y IV.2 (Mejora del acceso a la información sobre P.I. y de su utilización).</w:t>
      </w:r>
    </w:p>
    <w:p w:rsidR="008A591C" w:rsidRDefault="008A591C"/>
    <w:p w:rsidR="008A591C" w:rsidRDefault="008A591C"/>
    <w:p w:rsidR="008A591C" w:rsidRPr="00980C61" w:rsidRDefault="008A591C"/>
    <w:p w:rsidR="003E6C4C" w:rsidRDefault="003E6C4C" w:rsidP="00FA423E"/>
    <w:p w:rsidR="00FA423E" w:rsidRPr="0095318C" w:rsidRDefault="00FA423E" w:rsidP="00FA423E">
      <w:pPr>
        <w:rPr>
          <w:b/>
          <w:bCs/>
          <w:iCs/>
          <w:caps/>
          <w:lang w:eastAsia="da-DK"/>
        </w:rPr>
      </w:pPr>
      <w:r>
        <w:br w:type="page"/>
      </w:r>
    </w:p>
    <w:p w:rsidR="00FA423E" w:rsidRPr="00F171B5" w:rsidRDefault="00FA423E" w:rsidP="00FA423E">
      <w:pPr>
        <w:pStyle w:val="StyleHeading214ptAuto"/>
        <w:rPr>
          <w:rFonts w:ascii="Arial" w:hAnsi="Arial" w:cs="Arial"/>
          <w:sz w:val="20"/>
          <w:szCs w:val="20"/>
          <w:lang w:val="es-ES"/>
        </w:rPr>
      </w:pPr>
      <w:bookmarkStart w:id="115" w:name="_Toc455159088"/>
      <w:bookmarkEnd w:id="96"/>
      <w:r w:rsidRPr="00F171B5">
        <w:rPr>
          <w:rFonts w:ascii="Arial" w:hAnsi="Arial" w:cs="Arial"/>
          <w:sz w:val="20"/>
          <w:szCs w:val="20"/>
          <w:lang w:val="es-ES_tradnl"/>
        </w:rPr>
        <w:lastRenderedPageBreak/>
        <w:t>META ESTRATÉGICA IV</w:t>
      </w:r>
      <w:bookmarkEnd w:id="115"/>
      <w:r w:rsidRPr="00F171B5">
        <w:rPr>
          <w:rFonts w:ascii="Arial" w:hAnsi="Arial" w:cs="Arial"/>
          <w:sz w:val="20"/>
          <w:szCs w:val="20"/>
          <w:lang w:val="es-ES"/>
        </w:rPr>
        <w:t xml:space="preserve"> </w:t>
      </w:r>
    </w:p>
    <w:p w:rsidR="00FA423E" w:rsidRPr="00F171B5" w:rsidRDefault="00FA423E" w:rsidP="00FA423E">
      <w:pPr>
        <w:jc w:val="center"/>
        <w:rPr>
          <w:sz w:val="20"/>
        </w:rPr>
      </w:pPr>
    </w:p>
    <w:bookmarkEnd w:id="97"/>
    <w:p w:rsidR="00FA423E" w:rsidRPr="00F171B5" w:rsidRDefault="00FA423E" w:rsidP="00FA423E">
      <w:pPr>
        <w:jc w:val="center"/>
        <w:rPr>
          <w:sz w:val="20"/>
        </w:rPr>
      </w:pPr>
      <w:r w:rsidRPr="00F171B5">
        <w:rPr>
          <w:b/>
          <w:sz w:val="20"/>
          <w:lang w:val="es-ES_tradnl"/>
        </w:rPr>
        <w:t>COORDINACIÓN Y DESARROLLO DE LA INFRAESTRUCTURA MUNDIAL DE P.I.</w:t>
      </w:r>
    </w:p>
    <w:p w:rsidR="00FA423E" w:rsidRPr="00F171B5" w:rsidRDefault="00FA423E" w:rsidP="00FA423E">
      <w:pPr>
        <w:jc w:val="center"/>
        <w:rPr>
          <w:sz w:val="20"/>
        </w:rPr>
      </w:pPr>
    </w:p>
    <w:p w:rsidR="00FA423E" w:rsidRPr="00F171B5" w:rsidRDefault="00FA423E" w:rsidP="00FA423E">
      <w:pPr>
        <w:jc w:val="center"/>
        <w:rPr>
          <w:b/>
          <w:sz w:val="20"/>
        </w:rPr>
      </w:pPr>
      <w:r w:rsidRPr="00F171B5">
        <w:rPr>
          <w:b/>
          <w:sz w:val="20"/>
        </w:rPr>
        <w:t xml:space="preserve">Cuadro sobre el rendimiento bienal </w:t>
      </w:r>
    </w:p>
    <w:p w:rsidR="00FA423E" w:rsidRPr="00F171B5" w:rsidRDefault="00FA423E" w:rsidP="00FA423E">
      <w:pPr>
        <w:jc w:val="center"/>
        <w:rPr>
          <w:b/>
          <w:sz w:val="20"/>
        </w:rPr>
      </w:pPr>
    </w:p>
    <w:p w:rsidR="00FA423E" w:rsidRPr="00F171B5" w:rsidRDefault="00FA423E" w:rsidP="00FA423E">
      <w:pPr>
        <w:autoSpaceDE w:val="0"/>
        <w:autoSpaceDN w:val="0"/>
        <w:adjustRightInd w:val="0"/>
        <w:jc w:val="both"/>
        <w:rPr>
          <w:sz w:val="20"/>
        </w:rPr>
      </w:pPr>
      <w:r w:rsidRPr="00F171B5">
        <w:rPr>
          <w:sz w:val="20"/>
          <w:lang w:val="es-ES_tradnl"/>
        </w:rPr>
        <w:t>En el siguiente cuadro se reseñan los avances realizados hacia la consecución de los resultados en el bienio 2014/15, medidos con arreglo a los indicadores de los programas que contribuyen al logro de esta meta estratégica.</w:t>
      </w:r>
      <w:r w:rsidRPr="00F171B5">
        <w:rPr>
          <w:sz w:val="20"/>
        </w:rPr>
        <w:t xml:space="preserve">  </w:t>
      </w:r>
    </w:p>
    <w:p w:rsidR="00FA423E" w:rsidRPr="00F171B5" w:rsidRDefault="00FA423E" w:rsidP="00FA423E">
      <w:pPr>
        <w:jc w:val="center"/>
        <w:rPr>
          <w:sz w:val="20"/>
        </w:rPr>
      </w:pPr>
      <w:r w:rsidRPr="00F171B5">
        <w:rPr>
          <w:noProof/>
          <w:sz w:val="20"/>
          <w:lang w:val="en-US" w:eastAsia="en-US"/>
        </w:rPr>
        <w:drawing>
          <wp:inline distT="0" distB="0" distL="0" distR="0" wp14:anchorId="11CFD8A6" wp14:editId="6DB710CC">
            <wp:extent cx="5940425" cy="3261644"/>
            <wp:effectExtent l="0" t="0" r="317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5940425" cy="3261644"/>
                    </a:xfrm>
                    <a:prstGeom prst="rect">
                      <a:avLst/>
                    </a:prstGeom>
                    <a:noFill/>
                    <a:ln>
                      <a:noFill/>
                    </a:ln>
                  </pic:spPr>
                </pic:pic>
              </a:graphicData>
            </a:graphic>
          </wp:inline>
        </w:drawing>
      </w:r>
    </w:p>
    <w:p w:rsidR="00FA423E" w:rsidRPr="00F171B5" w:rsidRDefault="00FA423E" w:rsidP="00FA423E">
      <w:pPr>
        <w:rPr>
          <w:sz w:val="20"/>
        </w:rPr>
      </w:pPr>
    </w:p>
    <w:tbl>
      <w:tblPr>
        <w:tblW w:w="4942"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789"/>
        <w:gridCol w:w="4078"/>
        <w:gridCol w:w="1651"/>
        <w:gridCol w:w="942"/>
      </w:tblGrid>
      <w:tr w:rsidR="00FA423E" w:rsidRPr="00AF5E7C" w:rsidTr="00DC1333">
        <w:trPr>
          <w:cantSplit/>
          <w:trHeight w:val="401"/>
          <w:tblHeader/>
        </w:trPr>
        <w:tc>
          <w:tcPr>
            <w:tcW w:w="1482" w:type="pct"/>
            <w:tcBorders>
              <w:top w:val="single" w:sz="4" w:space="0" w:color="auto"/>
              <w:bottom w:val="single" w:sz="4" w:space="0" w:color="auto"/>
            </w:tcBorders>
            <w:shd w:val="clear" w:color="auto" w:fill="DAEEF3" w:themeFill="accent5" w:themeFillTint="33"/>
            <w:tcMar>
              <w:top w:w="113" w:type="dxa"/>
              <w:bottom w:w="85" w:type="dxa"/>
            </w:tcMar>
            <w:vAlign w:val="center"/>
          </w:tcPr>
          <w:p w:rsidR="00FA423E" w:rsidRPr="007E4934" w:rsidRDefault="00FA423E" w:rsidP="00DC1333">
            <w:pPr>
              <w:spacing w:after="120"/>
              <w:rPr>
                <w:b/>
                <w:bCs/>
                <w:sz w:val="18"/>
                <w:szCs w:val="18"/>
              </w:rPr>
            </w:pPr>
            <w:r w:rsidRPr="007E4934">
              <w:rPr>
                <w:b/>
                <w:bCs/>
                <w:sz w:val="18"/>
                <w:szCs w:val="18"/>
                <w:lang w:val="es-ES_tradnl"/>
              </w:rPr>
              <w:t>Resultados previstos</w:t>
            </w:r>
          </w:p>
        </w:tc>
        <w:tc>
          <w:tcPr>
            <w:tcW w:w="2163" w:type="pct"/>
            <w:tcBorders>
              <w:top w:val="single" w:sz="4" w:space="0" w:color="auto"/>
              <w:bottom w:val="single" w:sz="4" w:space="0" w:color="auto"/>
            </w:tcBorders>
            <w:shd w:val="clear" w:color="auto" w:fill="DAEEF3" w:themeFill="accent5" w:themeFillTint="33"/>
            <w:tcMar>
              <w:top w:w="113" w:type="dxa"/>
              <w:bottom w:w="85" w:type="dxa"/>
            </w:tcMar>
            <w:vAlign w:val="center"/>
          </w:tcPr>
          <w:p w:rsidR="00FA423E" w:rsidRPr="007E4934" w:rsidRDefault="00FA423E" w:rsidP="00DC1333">
            <w:pPr>
              <w:spacing w:after="120"/>
              <w:rPr>
                <w:b/>
                <w:sz w:val="18"/>
                <w:szCs w:val="18"/>
              </w:rPr>
            </w:pPr>
            <w:r w:rsidRPr="007E4934">
              <w:rPr>
                <w:b/>
                <w:sz w:val="18"/>
                <w:szCs w:val="18"/>
                <w:lang w:val="es-ES_tradnl"/>
              </w:rPr>
              <w:t>Indicadores de rendimiento</w:t>
            </w:r>
          </w:p>
        </w:tc>
        <w:tc>
          <w:tcPr>
            <w:tcW w:w="880" w:type="pct"/>
            <w:tcBorders>
              <w:top w:val="single" w:sz="4" w:space="0" w:color="auto"/>
              <w:bottom w:val="single" w:sz="4" w:space="0" w:color="auto"/>
            </w:tcBorders>
            <w:shd w:val="clear" w:color="auto" w:fill="DAEEF3" w:themeFill="accent5" w:themeFillTint="33"/>
            <w:tcMar>
              <w:top w:w="113" w:type="dxa"/>
              <w:bottom w:w="85" w:type="dxa"/>
            </w:tcMar>
            <w:vAlign w:val="center"/>
          </w:tcPr>
          <w:p w:rsidR="00FA423E" w:rsidRPr="007E4934" w:rsidRDefault="00FA423E" w:rsidP="00DC1333">
            <w:pPr>
              <w:spacing w:after="120"/>
              <w:ind w:left="85"/>
              <w:jc w:val="center"/>
              <w:rPr>
                <w:sz w:val="18"/>
                <w:szCs w:val="18"/>
              </w:rPr>
            </w:pPr>
            <w:r w:rsidRPr="007E4934">
              <w:rPr>
                <w:b/>
                <w:sz w:val="18"/>
                <w:szCs w:val="18"/>
                <w:lang w:val="es-ES_tradnl"/>
              </w:rPr>
              <w:t>Programas responsables</w:t>
            </w:r>
          </w:p>
        </w:tc>
        <w:tc>
          <w:tcPr>
            <w:tcW w:w="475" w:type="pct"/>
            <w:tcBorders>
              <w:top w:val="single" w:sz="4" w:space="0" w:color="auto"/>
              <w:bottom w:val="single" w:sz="4" w:space="0" w:color="auto"/>
            </w:tcBorders>
            <w:shd w:val="clear" w:color="auto" w:fill="DAEEF3" w:themeFill="accent5" w:themeFillTint="33"/>
          </w:tcPr>
          <w:p w:rsidR="00FA423E" w:rsidRPr="00923CBC" w:rsidRDefault="00FA423E" w:rsidP="00DC1333">
            <w:pPr>
              <w:spacing w:after="120"/>
              <w:ind w:left="85"/>
              <w:jc w:val="center"/>
              <w:rPr>
                <w:b/>
                <w:bCs/>
                <w:sz w:val="18"/>
                <w:szCs w:val="18"/>
              </w:rPr>
            </w:pPr>
            <w:r w:rsidRPr="007E4934">
              <w:rPr>
                <w:b/>
                <w:bCs/>
                <w:sz w:val="18"/>
                <w:szCs w:val="18"/>
                <w:lang w:val="es-ES_tradnl"/>
              </w:rPr>
              <w:t>Clave de colores</w:t>
            </w:r>
          </w:p>
        </w:tc>
      </w:tr>
      <w:tr w:rsidR="00FA423E" w:rsidRPr="00AF5E7C" w:rsidTr="00DC1333">
        <w:trPr>
          <w:cantSplit/>
          <w:trHeight w:val="363"/>
        </w:trPr>
        <w:tc>
          <w:tcPr>
            <w:tcW w:w="1482" w:type="pct"/>
            <w:vMerge w:val="restart"/>
            <w:tcBorders>
              <w:top w:val="single" w:sz="4" w:space="0" w:color="auto"/>
            </w:tcBorders>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IV.1 Sistema actualizado y aceptado mundialmente de clasificaciones internacionales y normas técnicas de la OMPI para facilitar el acceso, el uso y la difusión de información de P.I. entre las partes interesadas de todo el mundo</w:t>
            </w:r>
          </w:p>
        </w:tc>
        <w:tc>
          <w:tcPr>
            <w:tcW w:w="2163" w:type="pct"/>
            <w:tcBorders>
              <w:top w:val="single" w:sz="4" w:space="0" w:color="auto"/>
            </w:tcBorders>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Número de modificaciones y ficheros de información introducidos en la Clasificación de Niza</w:t>
            </w:r>
            <w:r w:rsidRPr="007E4934">
              <w:rPr>
                <w:sz w:val="16"/>
                <w:szCs w:val="16"/>
              </w:rPr>
              <w:t xml:space="preserve"> </w:t>
            </w:r>
          </w:p>
        </w:tc>
        <w:tc>
          <w:tcPr>
            <w:tcW w:w="880" w:type="pct"/>
            <w:tcBorders>
              <w:top w:val="single" w:sz="4" w:space="0" w:color="auto"/>
            </w:tcBorders>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12</w:t>
            </w:r>
          </w:p>
        </w:tc>
        <w:tc>
          <w:tcPr>
            <w:tcW w:w="475" w:type="pct"/>
            <w:tcBorders>
              <w:top w:val="single" w:sz="4" w:space="0" w:color="auto"/>
            </w:tcBorders>
            <w:shd w:val="clear" w:color="auto" w:fill="FFFFFF"/>
          </w:tcPr>
          <w:p w:rsidR="00FA423E" w:rsidRPr="00CC3F44" w:rsidRDefault="00FA423E" w:rsidP="00DC1333">
            <w:pPr>
              <w:jc w:val="center"/>
            </w:pPr>
            <w:r w:rsidRPr="00CC3F44">
              <w:rPr>
                <w:color w:val="008000"/>
                <w:szCs w:val="22"/>
              </w:rPr>
              <w:sym w:font="Wingdings" w:char="F06C"/>
            </w:r>
            <w:r w:rsidRPr="00CC3F44">
              <w:rPr>
                <w:color w:val="008000"/>
                <w:szCs w:val="22"/>
              </w:rPr>
              <w:sym w:font="Wingdings" w:char="F06C"/>
            </w:r>
            <w:r w:rsidRPr="00CC3F44">
              <w:rPr>
                <w:color w:val="008000"/>
                <w:szCs w:val="22"/>
              </w:rPr>
              <w:sym w:font="Wingdings" w:char="F06C"/>
            </w:r>
          </w:p>
        </w:tc>
      </w:tr>
      <w:tr w:rsidR="00FA423E" w:rsidRPr="00AF5E7C" w:rsidTr="00DC1333">
        <w:trPr>
          <w:cantSplit/>
          <w:trHeight w:val="463"/>
        </w:trPr>
        <w:tc>
          <w:tcPr>
            <w:tcW w:w="1482" w:type="pct"/>
            <w:vMerge/>
            <w:shd w:val="clear" w:color="auto" w:fill="auto"/>
            <w:tcMar>
              <w:top w:w="113" w:type="dxa"/>
              <w:bottom w:w="85" w:type="dxa"/>
            </w:tcMar>
          </w:tcPr>
          <w:p w:rsidR="00FA423E" w:rsidRPr="007E4934" w:rsidRDefault="00FA423E" w:rsidP="00DC1333">
            <w:pPr>
              <w:rPr>
                <w:sz w:val="16"/>
                <w:szCs w:val="16"/>
              </w:rPr>
            </w:pPr>
          </w:p>
        </w:tc>
        <w:tc>
          <w:tcPr>
            <w:tcW w:w="2163" w:type="pc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Número de nuevas subdivisiones introducidas anualmente en la CIP</w:t>
            </w:r>
          </w:p>
        </w:tc>
        <w:tc>
          <w:tcPr>
            <w:tcW w:w="880"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12</w:t>
            </w:r>
          </w:p>
        </w:tc>
        <w:tc>
          <w:tcPr>
            <w:tcW w:w="475" w:type="pct"/>
            <w:shd w:val="clear" w:color="auto" w:fill="FFFFFF"/>
          </w:tcPr>
          <w:p w:rsidR="00FA423E" w:rsidRPr="00CC3F44" w:rsidRDefault="00FA423E" w:rsidP="00DC1333">
            <w:pPr>
              <w:jc w:val="center"/>
              <w:rPr>
                <w:color w:val="A6A6A6" w:themeColor="background1" w:themeShade="A6"/>
                <w:szCs w:val="22"/>
              </w:rPr>
            </w:pPr>
            <w:r w:rsidRPr="00CC3F44">
              <w:rPr>
                <w:color w:val="E26B0A"/>
                <w:szCs w:val="22"/>
              </w:rPr>
              <w:sym w:font="Wingdings" w:char="F06C"/>
            </w:r>
            <w:r w:rsidRPr="00CC3F44">
              <w:rPr>
                <w:color w:val="008000"/>
                <w:szCs w:val="22"/>
              </w:rPr>
              <w:sym w:font="Wingdings" w:char="F06C"/>
            </w:r>
          </w:p>
        </w:tc>
      </w:tr>
      <w:tr w:rsidR="00FA423E" w:rsidRPr="00AF5E7C" w:rsidTr="00DC1333">
        <w:trPr>
          <w:cantSplit/>
          <w:trHeight w:val="319"/>
        </w:trPr>
        <w:tc>
          <w:tcPr>
            <w:tcW w:w="1482" w:type="pct"/>
            <w:shd w:val="clear" w:color="auto" w:fill="auto"/>
            <w:tcMar>
              <w:top w:w="113" w:type="dxa"/>
              <w:bottom w:w="85" w:type="dxa"/>
            </w:tcMar>
          </w:tcPr>
          <w:p w:rsidR="00FA423E" w:rsidRPr="007E4934" w:rsidRDefault="00FA423E" w:rsidP="00DC1333">
            <w:pPr>
              <w:rPr>
                <w:sz w:val="16"/>
                <w:szCs w:val="16"/>
              </w:rPr>
            </w:pPr>
          </w:p>
        </w:tc>
        <w:tc>
          <w:tcPr>
            <w:tcW w:w="2163" w:type="pc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Número de normas técnicas modificadas y nuevas normas técnicas adoptadas</w:t>
            </w:r>
          </w:p>
        </w:tc>
        <w:tc>
          <w:tcPr>
            <w:tcW w:w="880" w:type="pct"/>
            <w:shd w:val="clear" w:color="auto" w:fill="FFFFFF"/>
            <w:tcMar>
              <w:top w:w="113" w:type="dxa"/>
              <w:bottom w:w="85" w:type="dxa"/>
            </w:tcMar>
          </w:tcPr>
          <w:p w:rsidR="00FA423E" w:rsidRPr="007E4934" w:rsidRDefault="00FA423E" w:rsidP="00DC1333">
            <w:pPr>
              <w:jc w:val="center"/>
              <w:rPr>
                <w:sz w:val="16"/>
                <w:szCs w:val="16"/>
              </w:rPr>
            </w:pPr>
            <w:r w:rsidRPr="007E4934">
              <w:rPr>
                <w:sz w:val="16"/>
                <w:szCs w:val="16"/>
                <w:lang w:val="es-ES_tradnl"/>
              </w:rPr>
              <w:t>Programa 12</w:t>
            </w:r>
          </w:p>
        </w:tc>
        <w:tc>
          <w:tcPr>
            <w:tcW w:w="475" w:type="pct"/>
            <w:shd w:val="clear" w:color="auto" w:fill="FFFFFF"/>
          </w:tcPr>
          <w:p w:rsidR="00FA423E" w:rsidRPr="00CC3F44" w:rsidRDefault="00FA423E" w:rsidP="00DC1333">
            <w:pPr>
              <w:jc w:val="center"/>
            </w:pPr>
            <w:r w:rsidRPr="00CC3F44">
              <w:rPr>
                <w:color w:val="E26B0A"/>
                <w:szCs w:val="22"/>
              </w:rPr>
              <w:sym w:font="Wingdings" w:char="F06C"/>
            </w:r>
          </w:p>
        </w:tc>
      </w:tr>
      <w:tr w:rsidR="00FA423E" w:rsidRPr="00AF5E7C" w:rsidTr="00DC1333">
        <w:trPr>
          <w:cantSplit/>
          <w:trHeight w:val="616"/>
        </w:trPr>
        <w:tc>
          <w:tcPr>
            <w:tcW w:w="1482" w:type="pct"/>
            <w:shd w:val="clear" w:color="auto" w:fill="auto"/>
            <w:tcMar>
              <w:top w:w="113" w:type="dxa"/>
              <w:bottom w:w="85" w:type="dxa"/>
            </w:tcMar>
          </w:tcPr>
          <w:p w:rsidR="00FA423E" w:rsidRPr="007E4934" w:rsidRDefault="00FA423E" w:rsidP="00DC1333">
            <w:pPr>
              <w:rPr>
                <w:sz w:val="16"/>
                <w:szCs w:val="16"/>
              </w:rPr>
            </w:pPr>
          </w:p>
        </w:tc>
        <w:tc>
          <w:tcPr>
            <w:tcW w:w="2163" w:type="pc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Número de usuarios que acceden a las publicaciones en Internet de las clasificaciones y normas internacionales, especialmente de países en desarrollo</w:t>
            </w:r>
          </w:p>
        </w:tc>
        <w:tc>
          <w:tcPr>
            <w:tcW w:w="880" w:type="pct"/>
            <w:shd w:val="clear" w:color="auto" w:fill="FFFFFF"/>
            <w:tcMar>
              <w:top w:w="113" w:type="dxa"/>
              <w:bottom w:w="85" w:type="dxa"/>
            </w:tcMar>
          </w:tcPr>
          <w:p w:rsidR="00FA423E" w:rsidRPr="007E4934" w:rsidRDefault="00FA423E" w:rsidP="00DC1333">
            <w:pPr>
              <w:jc w:val="center"/>
              <w:rPr>
                <w:sz w:val="16"/>
                <w:szCs w:val="16"/>
              </w:rPr>
            </w:pPr>
            <w:r w:rsidRPr="007E4934">
              <w:rPr>
                <w:sz w:val="16"/>
                <w:szCs w:val="16"/>
                <w:lang w:val="es-ES_tradnl"/>
              </w:rPr>
              <w:t>Programa 12</w:t>
            </w:r>
          </w:p>
        </w:tc>
        <w:tc>
          <w:tcPr>
            <w:tcW w:w="475" w:type="pct"/>
            <w:shd w:val="clear" w:color="auto" w:fill="FFFFFF"/>
          </w:tcPr>
          <w:p w:rsidR="00FA423E" w:rsidRDefault="00FA423E" w:rsidP="00DC1333">
            <w:pPr>
              <w:jc w:val="center"/>
              <w:rPr>
                <w:color w:val="A6A6A6" w:themeColor="background1" w:themeShade="A6"/>
                <w:szCs w:val="22"/>
              </w:rPr>
            </w:pPr>
            <w:r w:rsidRPr="00CC3F44">
              <w:rPr>
                <w:color w:val="FF0000"/>
                <w:szCs w:val="22"/>
              </w:rPr>
              <w:sym w:font="Wingdings" w:char="F06C"/>
            </w:r>
            <w:r w:rsidRPr="00CC3F44">
              <w:rPr>
                <w:color w:val="008000"/>
                <w:szCs w:val="22"/>
              </w:rPr>
              <w:sym w:font="Wingdings" w:char="F06C"/>
            </w:r>
            <w:r w:rsidRPr="00CC3F44">
              <w:rPr>
                <w:color w:val="E26B0A"/>
                <w:szCs w:val="22"/>
              </w:rPr>
              <w:sym w:font="Wingdings" w:char="F06C"/>
            </w:r>
            <w:r w:rsidRPr="00CC3F44">
              <w:rPr>
                <w:color w:val="008000"/>
                <w:szCs w:val="22"/>
              </w:rPr>
              <w:sym w:font="Wingdings" w:char="F06C"/>
            </w:r>
          </w:p>
          <w:p w:rsidR="00FA423E" w:rsidRPr="00CC3F44" w:rsidRDefault="00FA423E" w:rsidP="00DC1333">
            <w:pPr>
              <w:jc w:val="center"/>
            </w:pPr>
            <w:r w:rsidRPr="00CC3F44">
              <w:rPr>
                <w:color w:val="008000"/>
                <w:szCs w:val="22"/>
              </w:rPr>
              <w:sym w:font="Wingdings" w:char="F06C"/>
            </w:r>
            <w:r w:rsidRPr="00CC3F44">
              <w:rPr>
                <w:color w:val="008000"/>
                <w:szCs w:val="22"/>
              </w:rPr>
              <w:sym w:font="Wingdings" w:char="F06C"/>
            </w:r>
            <w:r w:rsidRPr="00CC3F44">
              <w:rPr>
                <w:color w:val="FF0000"/>
                <w:szCs w:val="22"/>
              </w:rPr>
              <w:sym w:font="Wingdings" w:char="F06C"/>
            </w:r>
          </w:p>
        </w:tc>
      </w:tr>
      <w:tr w:rsidR="00FA423E" w:rsidRPr="00AF5E7C" w:rsidTr="00DC1333">
        <w:trPr>
          <w:cantSplit/>
          <w:trHeight w:val="607"/>
        </w:trPr>
        <w:tc>
          <w:tcPr>
            <w:tcW w:w="1482" w:type="pct"/>
            <w:vMerge w:val="restar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IV.2 Mejora del acceso y uso de información de P.I. por parte de instituciones de P.I. y el público para fomentar la innovación y la creatividad</w:t>
            </w:r>
          </w:p>
        </w:tc>
        <w:tc>
          <w:tcPr>
            <w:tcW w:w="2163" w:type="pc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Número de intermediarios de confianza y titulares de derechos que se han adherido a la red de sistemas TIGAR, incluidos los procedentes de países en desarrollo y PMA</w:t>
            </w:r>
          </w:p>
        </w:tc>
        <w:tc>
          <w:tcPr>
            <w:tcW w:w="880"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3</w:t>
            </w:r>
          </w:p>
        </w:tc>
        <w:tc>
          <w:tcPr>
            <w:tcW w:w="475" w:type="pct"/>
            <w:shd w:val="clear" w:color="auto" w:fill="FFFFFF"/>
          </w:tcPr>
          <w:p w:rsidR="00FA423E" w:rsidRPr="00CC3F44" w:rsidRDefault="00FA423E" w:rsidP="00DC1333">
            <w:pPr>
              <w:jc w:val="center"/>
            </w:pPr>
            <w:r w:rsidRPr="00CC3F44">
              <w:rPr>
                <w:szCs w:val="22"/>
              </w:rPr>
              <w:sym w:font="Wingdings" w:char="F06C"/>
            </w:r>
          </w:p>
        </w:tc>
      </w:tr>
      <w:tr w:rsidR="00FA423E" w:rsidRPr="00AF5E7C" w:rsidTr="00DC1333">
        <w:trPr>
          <w:cantSplit/>
          <w:trHeight w:val="616"/>
        </w:trPr>
        <w:tc>
          <w:tcPr>
            <w:tcW w:w="1482" w:type="pct"/>
            <w:vMerge/>
            <w:shd w:val="clear" w:color="auto" w:fill="auto"/>
            <w:tcMar>
              <w:top w:w="113" w:type="dxa"/>
              <w:bottom w:w="85" w:type="dxa"/>
            </w:tcMar>
          </w:tcPr>
          <w:p w:rsidR="00FA423E" w:rsidRPr="007E4934" w:rsidRDefault="00FA423E" w:rsidP="00DC1333">
            <w:pPr>
              <w:rPr>
                <w:sz w:val="16"/>
                <w:szCs w:val="16"/>
              </w:rPr>
            </w:pPr>
          </w:p>
        </w:tc>
        <w:tc>
          <w:tcPr>
            <w:tcW w:w="2163" w:type="pc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Número de obras protegidas por derecho de autor distribuidas entre intermediarios de confianza y puestas a disposición de las personas con discapacidad visual a escala internacional por medio de la red de sistemas TIGAR</w:t>
            </w:r>
          </w:p>
        </w:tc>
        <w:tc>
          <w:tcPr>
            <w:tcW w:w="880"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3</w:t>
            </w:r>
          </w:p>
        </w:tc>
        <w:tc>
          <w:tcPr>
            <w:tcW w:w="475" w:type="pct"/>
            <w:shd w:val="clear" w:color="auto" w:fill="FFFFFF"/>
          </w:tcPr>
          <w:p w:rsidR="00FA423E" w:rsidRPr="00CC3F44" w:rsidRDefault="00FA423E" w:rsidP="00DC1333">
            <w:pPr>
              <w:spacing w:before="40"/>
              <w:jc w:val="center"/>
            </w:pPr>
            <w:r w:rsidRPr="00CC3F44">
              <w:rPr>
                <w:color w:val="008000"/>
                <w:szCs w:val="22"/>
              </w:rPr>
              <w:sym w:font="Wingdings" w:char="F06C"/>
            </w:r>
          </w:p>
        </w:tc>
      </w:tr>
      <w:tr w:rsidR="00FA423E" w:rsidRPr="00AF5E7C" w:rsidTr="00DC1333">
        <w:trPr>
          <w:cantSplit/>
          <w:trHeight w:val="436"/>
        </w:trPr>
        <w:tc>
          <w:tcPr>
            <w:tcW w:w="1482" w:type="pct"/>
            <w:shd w:val="clear" w:color="auto" w:fill="auto"/>
            <w:tcMar>
              <w:top w:w="113" w:type="dxa"/>
              <w:bottom w:w="85" w:type="dxa"/>
            </w:tcMar>
          </w:tcPr>
          <w:p w:rsidR="00FA423E" w:rsidRPr="007E4934" w:rsidRDefault="00FA423E" w:rsidP="00DC1333">
            <w:pPr>
              <w:rPr>
                <w:sz w:val="16"/>
                <w:szCs w:val="16"/>
              </w:rPr>
            </w:pPr>
          </w:p>
        </w:tc>
        <w:tc>
          <w:tcPr>
            <w:tcW w:w="2163" w:type="pc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Porcentaje de personas satisfechas con el apoyo al fortalecimiento de capacidades en infraestructura de derecho de autor</w:t>
            </w:r>
          </w:p>
        </w:tc>
        <w:tc>
          <w:tcPr>
            <w:tcW w:w="880"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3</w:t>
            </w:r>
          </w:p>
        </w:tc>
        <w:tc>
          <w:tcPr>
            <w:tcW w:w="475" w:type="pct"/>
            <w:shd w:val="clear" w:color="auto" w:fill="FFFFFF"/>
          </w:tcPr>
          <w:p w:rsidR="00FA423E" w:rsidRPr="00CC3F44" w:rsidRDefault="00FA423E" w:rsidP="00DC1333">
            <w:pPr>
              <w:spacing w:before="40"/>
              <w:jc w:val="center"/>
            </w:pPr>
            <w:r w:rsidRPr="00CC3F44">
              <w:rPr>
                <w:color w:val="008000"/>
                <w:szCs w:val="22"/>
              </w:rPr>
              <w:sym w:font="Wingdings" w:char="F06C"/>
            </w:r>
          </w:p>
        </w:tc>
      </w:tr>
      <w:tr w:rsidR="00FA423E" w:rsidRPr="00AF5E7C" w:rsidTr="00DC1333">
        <w:trPr>
          <w:cantSplit/>
          <w:trHeight w:val="154"/>
        </w:trPr>
        <w:tc>
          <w:tcPr>
            <w:tcW w:w="1482" w:type="pct"/>
            <w:shd w:val="clear" w:color="auto" w:fill="auto"/>
            <w:tcMar>
              <w:top w:w="113" w:type="dxa"/>
              <w:bottom w:w="85" w:type="dxa"/>
            </w:tcMar>
          </w:tcPr>
          <w:p w:rsidR="00FA423E" w:rsidRPr="007E4934" w:rsidRDefault="00FA423E" w:rsidP="00DC1333">
            <w:pPr>
              <w:rPr>
                <w:sz w:val="16"/>
                <w:szCs w:val="16"/>
              </w:rPr>
            </w:pPr>
          </w:p>
        </w:tc>
        <w:tc>
          <w:tcPr>
            <w:tcW w:w="2163" w:type="pc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Número de instituciones que utilizan el sistema GDA</w:t>
            </w:r>
          </w:p>
        </w:tc>
        <w:tc>
          <w:tcPr>
            <w:tcW w:w="880"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3</w:t>
            </w:r>
          </w:p>
        </w:tc>
        <w:tc>
          <w:tcPr>
            <w:tcW w:w="475" w:type="pct"/>
            <w:shd w:val="clear" w:color="auto" w:fill="FFFFFF"/>
          </w:tcPr>
          <w:p w:rsidR="00FA423E" w:rsidRPr="00CC3F44" w:rsidRDefault="00FA423E" w:rsidP="00DC1333">
            <w:pPr>
              <w:jc w:val="center"/>
            </w:pPr>
            <w:r w:rsidRPr="00CC3F44">
              <w:rPr>
                <w:szCs w:val="22"/>
              </w:rPr>
              <w:sym w:font="Wingdings" w:char="F06C"/>
            </w:r>
          </w:p>
        </w:tc>
      </w:tr>
      <w:tr w:rsidR="00FA423E" w:rsidRPr="00AF5E7C" w:rsidTr="00DC1333">
        <w:trPr>
          <w:cantSplit/>
          <w:trHeight w:val="496"/>
        </w:trPr>
        <w:tc>
          <w:tcPr>
            <w:tcW w:w="1482" w:type="pct"/>
            <w:shd w:val="clear" w:color="auto" w:fill="auto"/>
            <w:tcMar>
              <w:top w:w="113" w:type="dxa"/>
              <w:bottom w:w="85" w:type="dxa"/>
            </w:tcMar>
          </w:tcPr>
          <w:p w:rsidR="00FA423E" w:rsidRPr="007E4934" w:rsidRDefault="00FA423E" w:rsidP="00DC1333">
            <w:pPr>
              <w:rPr>
                <w:sz w:val="16"/>
                <w:szCs w:val="16"/>
              </w:rPr>
            </w:pPr>
          </w:p>
        </w:tc>
        <w:tc>
          <w:tcPr>
            <w:tcW w:w="2163" w:type="pc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Uso de la base de datos de la OMPI sobre gestión colectiva de los derechos</w:t>
            </w:r>
          </w:p>
        </w:tc>
        <w:tc>
          <w:tcPr>
            <w:tcW w:w="880"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3</w:t>
            </w:r>
          </w:p>
        </w:tc>
        <w:tc>
          <w:tcPr>
            <w:tcW w:w="475" w:type="pct"/>
            <w:shd w:val="clear" w:color="auto" w:fill="FFFFFF"/>
          </w:tcPr>
          <w:p w:rsidR="00FA423E" w:rsidRPr="00CC3F44" w:rsidRDefault="00FA423E" w:rsidP="00DC1333">
            <w:pPr>
              <w:spacing w:before="40"/>
              <w:jc w:val="center"/>
            </w:pPr>
            <w:r w:rsidRPr="00CC3F44">
              <w:rPr>
                <w:color w:val="008000"/>
                <w:szCs w:val="22"/>
              </w:rPr>
              <w:sym w:font="Wingdings" w:char="F06C"/>
            </w:r>
          </w:p>
        </w:tc>
      </w:tr>
      <w:tr w:rsidR="00FA423E" w:rsidRPr="00AF5E7C" w:rsidTr="00DC1333">
        <w:trPr>
          <w:cantSplit/>
          <w:trHeight w:val="868"/>
        </w:trPr>
        <w:tc>
          <w:tcPr>
            <w:tcW w:w="1482" w:type="pct"/>
            <w:shd w:val="clear" w:color="auto" w:fill="auto"/>
            <w:tcMar>
              <w:top w:w="113" w:type="dxa"/>
              <w:bottom w:w="85" w:type="dxa"/>
            </w:tcMar>
          </w:tcPr>
          <w:p w:rsidR="00FA423E" w:rsidRPr="007E4934" w:rsidRDefault="00FA423E" w:rsidP="00DC1333">
            <w:pPr>
              <w:rPr>
                <w:sz w:val="16"/>
                <w:szCs w:val="16"/>
              </w:rPr>
            </w:pPr>
          </w:p>
        </w:tc>
        <w:tc>
          <w:tcPr>
            <w:tcW w:w="2163" w:type="pc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Número de instrumentos jurídicos, directrices, declaraciones de principios distintas de tratados acordados o suscritos por las partes interesadas en ámbitos como los de la P.I. y el deporte y el derecho de autor en el entorno digital</w:t>
            </w:r>
          </w:p>
        </w:tc>
        <w:tc>
          <w:tcPr>
            <w:tcW w:w="880"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3</w:t>
            </w:r>
          </w:p>
        </w:tc>
        <w:tc>
          <w:tcPr>
            <w:tcW w:w="475" w:type="pct"/>
            <w:shd w:val="clear" w:color="auto" w:fill="FFFFFF"/>
          </w:tcPr>
          <w:p w:rsidR="00FA423E" w:rsidRPr="00CC3F44" w:rsidRDefault="00FA423E" w:rsidP="00DC1333">
            <w:pPr>
              <w:spacing w:before="40"/>
              <w:jc w:val="center"/>
            </w:pPr>
            <w:r w:rsidRPr="00CC3F44">
              <w:rPr>
                <w:color w:val="008000"/>
                <w:szCs w:val="22"/>
              </w:rPr>
              <w:sym w:font="Wingdings" w:char="F06C"/>
            </w:r>
          </w:p>
        </w:tc>
      </w:tr>
      <w:tr w:rsidR="00FA423E" w:rsidRPr="00AF5E7C" w:rsidTr="00DC1333">
        <w:trPr>
          <w:cantSplit/>
          <w:trHeight w:val="144"/>
        </w:trPr>
        <w:tc>
          <w:tcPr>
            <w:tcW w:w="1482" w:type="pct"/>
            <w:vMerge w:val="restart"/>
            <w:shd w:val="clear" w:color="auto" w:fill="auto"/>
            <w:tcMar>
              <w:top w:w="113" w:type="dxa"/>
              <w:bottom w:w="85" w:type="dxa"/>
            </w:tcMar>
          </w:tcPr>
          <w:p w:rsidR="00FA423E" w:rsidRPr="007E4934" w:rsidRDefault="00FA423E" w:rsidP="00DC1333">
            <w:pPr>
              <w:rPr>
                <w:sz w:val="16"/>
                <w:szCs w:val="16"/>
              </w:rPr>
            </w:pPr>
          </w:p>
        </w:tc>
        <w:tc>
          <w:tcPr>
            <w:tcW w:w="2163" w:type="pct"/>
            <w:vMerge w:val="restar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Promedio de usuarios que utilizan los servicios de los CATI por trimestre y por país</w:t>
            </w:r>
          </w:p>
          <w:p w:rsidR="00FA423E" w:rsidRPr="007E4934" w:rsidRDefault="00FA423E" w:rsidP="00DC1333">
            <w:pPr>
              <w:rPr>
                <w:sz w:val="16"/>
                <w:szCs w:val="16"/>
              </w:rPr>
            </w:pPr>
          </w:p>
          <w:p w:rsidR="00FA423E" w:rsidRPr="007E4934" w:rsidRDefault="00FA423E" w:rsidP="00DC1333">
            <w:pPr>
              <w:rPr>
                <w:sz w:val="16"/>
                <w:szCs w:val="16"/>
              </w:rPr>
            </w:pPr>
          </w:p>
        </w:tc>
        <w:tc>
          <w:tcPr>
            <w:tcW w:w="880"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9</w:t>
            </w:r>
          </w:p>
        </w:tc>
        <w:tc>
          <w:tcPr>
            <w:tcW w:w="475" w:type="pct"/>
            <w:shd w:val="clear" w:color="auto" w:fill="FFFFFF"/>
          </w:tcPr>
          <w:p w:rsidR="00FA423E" w:rsidRPr="00CC3F44" w:rsidRDefault="00FA423E" w:rsidP="00DC1333">
            <w:pPr>
              <w:spacing w:before="40"/>
              <w:jc w:val="center"/>
              <w:rPr>
                <w:color w:val="008000"/>
                <w:szCs w:val="22"/>
              </w:rPr>
            </w:pPr>
            <w:r w:rsidRPr="00CC3F44">
              <w:rPr>
                <w:color w:val="008000"/>
                <w:szCs w:val="22"/>
              </w:rPr>
              <w:sym w:font="Wingdings" w:char="F06C"/>
            </w:r>
          </w:p>
        </w:tc>
      </w:tr>
      <w:tr w:rsidR="00FA423E" w:rsidRPr="00AF5E7C" w:rsidTr="00DC1333">
        <w:trPr>
          <w:cantSplit/>
          <w:trHeight w:val="144"/>
        </w:trPr>
        <w:tc>
          <w:tcPr>
            <w:tcW w:w="1482" w:type="pct"/>
            <w:vMerge/>
            <w:shd w:val="clear" w:color="auto" w:fill="auto"/>
            <w:tcMar>
              <w:top w:w="113" w:type="dxa"/>
              <w:bottom w:w="85" w:type="dxa"/>
            </w:tcMar>
          </w:tcPr>
          <w:p w:rsidR="00FA423E" w:rsidRPr="007E4934" w:rsidRDefault="00FA423E" w:rsidP="00DC1333">
            <w:pPr>
              <w:rPr>
                <w:sz w:val="16"/>
                <w:szCs w:val="16"/>
              </w:rPr>
            </w:pPr>
          </w:p>
        </w:tc>
        <w:tc>
          <w:tcPr>
            <w:tcW w:w="2163" w:type="pct"/>
            <w:vMerge/>
            <w:shd w:val="clear" w:color="auto" w:fill="auto"/>
            <w:tcMar>
              <w:top w:w="113" w:type="dxa"/>
              <w:bottom w:w="85" w:type="dxa"/>
            </w:tcMar>
          </w:tcPr>
          <w:p w:rsidR="00FA423E" w:rsidRPr="007E4934" w:rsidRDefault="00FA423E" w:rsidP="00DC1333">
            <w:pPr>
              <w:rPr>
                <w:sz w:val="16"/>
                <w:szCs w:val="16"/>
              </w:rPr>
            </w:pPr>
          </w:p>
        </w:tc>
        <w:tc>
          <w:tcPr>
            <w:tcW w:w="880"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10</w:t>
            </w:r>
          </w:p>
        </w:tc>
        <w:tc>
          <w:tcPr>
            <w:tcW w:w="475" w:type="pct"/>
            <w:shd w:val="clear" w:color="auto" w:fill="FFFFFF"/>
          </w:tcPr>
          <w:p w:rsidR="00FA423E" w:rsidRPr="00CC3F44" w:rsidRDefault="00FA423E" w:rsidP="00DC1333">
            <w:pPr>
              <w:spacing w:before="40"/>
              <w:jc w:val="center"/>
              <w:rPr>
                <w:color w:val="008000"/>
                <w:szCs w:val="22"/>
              </w:rPr>
            </w:pPr>
            <w:r w:rsidRPr="00CC3F44">
              <w:rPr>
                <w:color w:val="008000"/>
                <w:szCs w:val="22"/>
              </w:rPr>
              <w:sym w:font="Wingdings" w:char="F06C"/>
            </w:r>
          </w:p>
        </w:tc>
      </w:tr>
      <w:tr w:rsidR="00FA423E" w:rsidRPr="00AF5E7C" w:rsidTr="00DC1333">
        <w:trPr>
          <w:cantSplit/>
          <w:trHeight w:val="144"/>
        </w:trPr>
        <w:tc>
          <w:tcPr>
            <w:tcW w:w="1482" w:type="pct"/>
            <w:vMerge/>
            <w:shd w:val="clear" w:color="auto" w:fill="auto"/>
            <w:tcMar>
              <w:top w:w="113" w:type="dxa"/>
              <w:bottom w:w="85" w:type="dxa"/>
            </w:tcMar>
          </w:tcPr>
          <w:p w:rsidR="00FA423E" w:rsidRPr="007E4934" w:rsidRDefault="00FA423E" w:rsidP="00DC1333">
            <w:pPr>
              <w:rPr>
                <w:sz w:val="16"/>
                <w:szCs w:val="16"/>
              </w:rPr>
            </w:pPr>
          </w:p>
        </w:tc>
        <w:tc>
          <w:tcPr>
            <w:tcW w:w="2163" w:type="pct"/>
            <w:vMerge/>
            <w:shd w:val="clear" w:color="auto" w:fill="auto"/>
            <w:tcMar>
              <w:top w:w="113" w:type="dxa"/>
              <w:bottom w:w="85" w:type="dxa"/>
            </w:tcMar>
          </w:tcPr>
          <w:p w:rsidR="00FA423E" w:rsidRPr="007E4934" w:rsidRDefault="00FA423E" w:rsidP="00DC1333">
            <w:pPr>
              <w:rPr>
                <w:sz w:val="16"/>
                <w:szCs w:val="16"/>
              </w:rPr>
            </w:pPr>
          </w:p>
        </w:tc>
        <w:tc>
          <w:tcPr>
            <w:tcW w:w="880"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14</w:t>
            </w:r>
          </w:p>
        </w:tc>
        <w:tc>
          <w:tcPr>
            <w:tcW w:w="475" w:type="pct"/>
            <w:shd w:val="clear" w:color="auto" w:fill="FFFFFF"/>
          </w:tcPr>
          <w:p w:rsidR="00FA423E" w:rsidRPr="00CC3F44" w:rsidRDefault="00FA423E" w:rsidP="00DC1333">
            <w:pPr>
              <w:spacing w:before="40"/>
              <w:jc w:val="center"/>
              <w:rPr>
                <w:color w:val="008000"/>
                <w:szCs w:val="22"/>
              </w:rPr>
            </w:pPr>
            <w:r w:rsidRPr="00CC3F44">
              <w:rPr>
                <w:color w:val="008000"/>
                <w:szCs w:val="22"/>
              </w:rPr>
              <w:sym w:font="Wingdings" w:char="F06C"/>
            </w:r>
          </w:p>
        </w:tc>
      </w:tr>
      <w:tr w:rsidR="00FA423E" w:rsidRPr="00AF5E7C" w:rsidTr="00DC1333">
        <w:trPr>
          <w:cantSplit/>
          <w:trHeight w:val="144"/>
        </w:trPr>
        <w:tc>
          <w:tcPr>
            <w:tcW w:w="1482" w:type="pct"/>
            <w:vMerge w:val="restart"/>
            <w:shd w:val="clear" w:color="auto" w:fill="auto"/>
            <w:tcMar>
              <w:top w:w="113" w:type="dxa"/>
              <w:bottom w:w="85" w:type="dxa"/>
            </w:tcMar>
          </w:tcPr>
          <w:p w:rsidR="00FA423E" w:rsidRPr="007E4934" w:rsidRDefault="00FA423E" w:rsidP="00DC1333">
            <w:pPr>
              <w:rPr>
                <w:sz w:val="16"/>
                <w:szCs w:val="16"/>
              </w:rPr>
            </w:pPr>
          </w:p>
        </w:tc>
        <w:tc>
          <w:tcPr>
            <w:tcW w:w="2163" w:type="pct"/>
            <w:vMerge w:val="restar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Número de redes nacionales sostenibles de CATI</w:t>
            </w:r>
          </w:p>
        </w:tc>
        <w:tc>
          <w:tcPr>
            <w:tcW w:w="880"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9</w:t>
            </w:r>
          </w:p>
          <w:p w:rsidR="00FA423E" w:rsidRPr="007E4934" w:rsidRDefault="00FA423E" w:rsidP="00DC1333">
            <w:pPr>
              <w:rPr>
                <w:sz w:val="16"/>
                <w:szCs w:val="16"/>
                <w:lang w:bidi="th-TH"/>
              </w:rPr>
            </w:pPr>
          </w:p>
        </w:tc>
        <w:tc>
          <w:tcPr>
            <w:tcW w:w="475" w:type="pct"/>
            <w:shd w:val="clear" w:color="auto" w:fill="FFFFFF"/>
          </w:tcPr>
          <w:p w:rsidR="00FA423E" w:rsidRDefault="00FA423E" w:rsidP="00DC1333">
            <w:pPr>
              <w:spacing w:before="40"/>
              <w:jc w:val="center"/>
              <w:rPr>
                <w:color w:val="008000"/>
                <w:szCs w:val="22"/>
              </w:rPr>
            </w:pPr>
            <w:r w:rsidRPr="00CC3F44">
              <w:rPr>
                <w:color w:val="008000"/>
                <w:szCs w:val="22"/>
              </w:rPr>
              <w:sym w:font="Wingdings" w:char="F06C"/>
            </w:r>
            <w:r w:rsidRPr="00CC3F44">
              <w:rPr>
                <w:color w:val="008000"/>
                <w:szCs w:val="22"/>
              </w:rPr>
              <w:sym w:font="Wingdings" w:char="F06C"/>
            </w:r>
            <w:r w:rsidRPr="00CC3F44">
              <w:rPr>
                <w:color w:val="008000"/>
                <w:szCs w:val="22"/>
              </w:rPr>
              <w:sym w:font="Wingdings" w:char="F06C"/>
            </w:r>
            <w:r w:rsidRPr="00CC3F44">
              <w:rPr>
                <w:color w:val="008000"/>
                <w:szCs w:val="22"/>
              </w:rPr>
              <w:sym w:font="Wingdings" w:char="F06C"/>
            </w:r>
          </w:p>
          <w:p w:rsidR="00FA423E" w:rsidRPr="00CC3F44" w:rsidRDefault="00FA423E" w:rsidP="00DC1333">
            <w:pPr>
              <w:spacing w:before="40"/>
              <w:jc w:val="center"/>
              <w:rPr>
                <w:color w:val="008000"/>
                <w:szCs w:val="22"/>
              </w:rPr>
            </w:pPr>
            <w:r w:rsidRPr="00CC3F44">
              <w:rPr>
                <w:color w:val="008000"/>
                <w:szCs w:val="22"/>
              </w:rPr>
              <w:sym w:font="Wingdings" w:char="F06C"/>
            </w:r>
          </w:p>
        </w:tc>
      </w:tr>
      <w:tr w:rsidR="00FA423E" w:rsidRPr="00AF5E7C" w:rsidTr="00DC1333">
        <w:trPr>
          <w:cantSplit/>
          <w:trHeight w:val="144"/>
        </w:trPr>
        <w:tc>
          <w:tcPr>
            <w:tcW w:w="1482" w:type="pct"/>
            <w:vMerge/>
            <w:shd w:val="clear" w:color="auto" w:fill="auto"/>
            <w:tcMar>
              <w:top w:w="113" w:type="dxa"/>
              <w:bottom w:w="85" w:type="dxa"/>
            </w:tcMar>
          </w:tcPr>
          <w:p w:rsidR="00FA423E" w:rsidRPr="007E4934" w:rsidRDefault="00FA423E" w:rsidP="00DC1333">
            <w:pPr>
              <w:rPr>
                <w:sz w:val="16"/>
                <w:szCs w:val="16"/>
              </w:rPr>
            </w:pPr>
          </w:p>
        </w:tc>
        <w:tc>
          <w:tcPr>
            <w:tcW w:w="2163" w:type="pct"/>
            <w:vMerge/>
            <w:shd w:val="clear" w:color="auto" w:fill="auto"/>
            <w:tcMar>
              <w:top w:w="113" w:type="dxa"/>
              <w:bottom w:w="85" w:type="dxa"/>
            </w:tcMar>
          </w:tcPr>
          <w:p w:rsidR="00FA423E" w:rsidRPr="007E4934" w:rsidRDefault="00FA423E" w:rsidP="00DC1333">
            <w:pPr>
              <w:rPr>
                <w:sz w:val="16"/>
                <w:szCs w:val="16"/>
              </w:rPr>
            </w:pPr>
          </w:p>
        </w:tc>
        <w:tc>
          <w:tcPr>
            <w:tcW w:w="880"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10</w:t>
            </w:r>
          </w:p>
          <w:p w:rsidR="00FA423E" w:rsidRPr="007E4934" w:rsidRDefault="00FA423E" w:rsidP="00DC1333">
            <w:pPr>
              <w:jc w:val="center"/>
              <w:rPr>
                <w:sz w:val="16"/>
                <w:szCs w:val="16"/>
                <w:lang w:bidi="th-TH"/>
              </w:rPr>
            </w:pPr>
          </w:p>
        </w:tc>
        <w:tc>
          <w:tcPr>
            <w:tcW w:w="475" w:type="pct"/>
            <w:shd w:val="clear" w:color="auto" w:fill="FFFFFF"/>
          </w:tcPr>
          <w:p w:rsidR="00FA423E" w:rsidRPr="00CC3F44" w:rsidRDefault="00FA423E" w:rsidP="00DC1333">
            <w:pPr>
              <w:spacing w:before="40"/>
              <w:jc w:val="center"/>
              <w:rPr>
                <w:color w:val="008000"/>
                <w:szCs w:val="22"/>
              </w:rPr>
            </w:pPr>
            <w:r w:rsidRPr="00CC3F44">
              <w:rPr>
                <w:color w:val="E26B0A"/>
                <w:szCs w:val="22"/>
              </w:rPr>
              <w:sym w:font="Wingdings" w:char="F06C"/>
            </w:r>
          </w:p>
        </w:tc>
      </w:tr>
      <w:tr w:rsidR="00FA423E" w:rsidRPr="00AF5E7C" w:rsidTr="00DC1333">
        <w:trPr>
          <w:cantSplit/>
          <w:trHeight w:val="144"/>
        </w:trPr>
        <w:tc>
          <w:tcPr>
            <w:tcW w:w="1482" w:type="pct"/>
            <w:vMerge/>
            <w:shd w:val="clear" w:color="auto" w:fill="auto"/>
            <w:tcMar>
              <w:top w:w="113" w:type="dxa"/>
              <w:bottom w:w="85" w:type="dxa"/>
            </w:tcMar>
          </w:tcPr>
          <w:p w:rsidR="00FA423E" w:rsidRPr="007E4934" w:rsidRDefault="00FA423E" w:rsidP="00DC1333">
            <w:pPr>
              <w:rPr>
                <w:sz w:val="16"/>
                <w:szCs w:val="16"/>
              </w:rPr>
            </w:pPr>
          </w:p>
        </w:tc>
        <w:tc>
          <w:tcPr>
            <w:tcW w:w="2163" w:type="pct"/>
            <w:vMerge/>
            <w:shd w:val="clear" w:color="auto" w:fill="auto"/>
            <w:tcMar>
              <w:top w:w="113" w:type="dxa"/>
              <w:bottom w:w="85" w:type="dxa"/>
            </w:tcMar>
          </w:tcPr>
          <w:p w:rsidR="00FA423E" w:rsidRPr="007E4934" w:rsidRDefault="00FA423E" w:rsidP="00DC1333">
            <w:pPr>
              <w:rPr>
                <w:sz w:val="16"/>
                <w:szCs w:val="16"/>
              </w:rPr>
            </w:pPr>
          </w:p>
        </w:tc>
        <w:tc>
          <w:tcPr>
            <w:tcW w:w="880"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14</w:t>
            </w:r>
          </w:p>
        </w:tc>
        <w:tc>
          <w:tcPr>
            <w:tcW w:w="475" w:type="pct"/>
            <w:shd w:val="clear" w:color="auto" w:fill="FFFFFF"/>
          </w:tcPr>
          <w:p w:rsidR="00FA423E" w:rsidRPr="00CC3F44" w:rsidRDefault="00FA423E" w:rsidP="00DC1333">
            <w:pPr>
              <w:spacing w:before="40"/>
              <w:jc w:val="center"/>
              <w:rPr>
                <w:color w:val="008000"/>
                <w:szCs w:val="22"/>
              </w:rPr>
            </w:pPr>
            <w:r w:rsidRPr="00CC3F44">
              <w:rPr>
                <w:color w:val="008000"/>
                <w:szCs w:val="22"/>
              </w:rPr>
              <w:sym w:font="Wingdings" w:char="F06C"/>
            </w:r>
          </w:p>
        </w:tc>
      </w:tr>
      <w:tr w:rsidR="00FA423E" w:rsidRPr="00AF5E7C" w:rsidTr="00DC1333">
        <w:trPr>
          <w:cantSplit/>
          <w:trHeight w:val="679"/>
        </w:trPr>
        <w:tc>
          <w:tcPr>
            <w:tcW w:w="1482" w:type="pct"/>
            <w:shd w:val="clear" w:color="auto" w:fill="auto"/>
            <w:tcMar>
              <w:top w:w="113" w:type="dxa"/>
              <w:bottom w:w="85" w:type="dxa"/>
            </w:tcMar>
          </w:tcPr>
          <w:p w:rsidR="00FA423E" w:rsidRPr="007E4934" w:rsidRDefault="00FA423E" w:rsidP="00DC1333">
            <w:pPr>
              <w:rPr>
                <w:sz w:val="16"/>
                <w:szCs w:val="16"/>
              </w:rPr>
            </w:pPr>
          </w:p>
        </w:tc>
        <w:tc>
          <w:tcPr>
            <w:tcW w:w="2163" w:type="pc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Número de países que utilizan la base de datos de asistencia técnica en P.I. (IP-TAD) y la lista de consultores (IP_ROC)</w:t>
            </w:r>
          </w:p>
        </w:tc>
        <w:tc>
          <w:tcPr>
            <w:tcW w:w="880"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9</w:t>
            </w:r>
          </w:p>
        </w:tc>
        <w:tc>
          <w:tcPr>
            <w:tcW w:w="475" w:type="pct"/>
            <w:shd w:val="clear" w:color="auto" w:fill="FFFFFF"/>
          </w:tcPr>
          <w:p w:rsidR="00FA423E" w:rsidRPr="00CC3F44" w:rsidRDefault="00FA423E" w:rsidP="00DC1333">
            <w:pPr>
              <w:jc w:val="center"/>
            </w:pPr>
            <w:r w:rsidRPr="00CC3F44">
              <w:rPr>
                <w:color w:val="FF0000"/>
                <w:szCs w:val="22"/>
              </w:rPr>
              <w:sym w:font="Wingdings" w:char="F06C"/>
            </w:r>
          </w:p>
        </w:tc>
      </w:tr>
      <w:tr w:rsidR="00FA423E" w:rsidRPr="00AF5E7C" w:rsidTr="00DC1333">
        <w:trPr>
          <w:cantSplit/>
          <w:trHeight w:val="323"/>
        </w:trPr>
        <w:tc>
          <w:tcPr>
            <w:tcW w:w="1482" w:type="pct"/>
            <w:shd w:val="clear" w:color="auto" w:fill="auto"/>
            <w:tcMar>
              <w:top w:w="113" w:type="dxa"/>
              <w:bottom w:w="85" w:type="dxa"/>
            </w:tcMar>
          </w:tcPr>
          <w:p w:rsidR="00FA423E" w:rsidRPr="007E4934" w:rsidRDefault="00FA423E" w:rsidP="00DC1333">
            <w:pPr>
              <w:rPr>
                <w:sz w:val="16"/>
                <w:szCs w:val="16"/>
              </w:rPr>
            </w:pPr>
          </w:p>
        </w:tc>
        <w:tc>
          <w:tcPr>
            <w:tcW w:w="2163" w:type="pc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Número de OTT o de centros de información establecidos</w:t>
            </w:r>
          </w:p>
        </w:tc>
        <w:tc>
          <w:tcPr>
            <w:tcW w:w="880"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10</w:t>
            </w:r>
          </w:p>
        </w:tc>
        <w:tc>
          <w:tcPr>
            <w:tcW w:w="475" w:type="pct"/>
            <w:shd w:val="clear" w:color="auto" w:fill="FFFFFF"/>
          </w:tcPr>
          <w:p w:rsidR="00FA423E" w:rsidRPr="00CC3F44" w:rsidRDefault="00FA423E" w:rsidP="00DC1333">
            <w:pPr>
              <w:spacing w:before="40"/>
              <w:jc w:val="center"/>
            </w:pPr>
            <w:r w:rsidRPr="00CC3F44">
              <w:rPr>
                <w:color w:val="008000"/>
                <w:szCs w:val="22"/>
              </w:rPr>
              <w:sym w:font="Wingdings" w:char="F06C"/>
            </w:r>
          </w:p>
        </w:tc>
      </w:tr>
      <w:tr w:rsidR="00FA423E" w:rsidRPr="00AF5E7C" w:rsidTr="00DC1333">
        <w:trPr>
          <w:cantSplit/>
          <w:trHeight w:val="454"/>
        </w:trPr>
        <w:tc>
          <w:tcPr>
            <w:tcW w:w="1482" w:type="pct"/>
            <w:shd w:val="clear" w:color="auto" w:fill="auto"/>
            <w:tcMar>
              <w:top w:w="113" w:type="dxa"/>
              <w:bottom w:w="85" w:type="dxa"/>
            </w:tcMar>
          </w:tcPr>
          <w:p w:rsidR="00FA423E" w:rsidRPr="007E4934" w:rsidRDefault="00FA423E" w:rsidP="00DC1333">
            <w:pPr>
              <w:rPr>
                <w:sz w:val="16"/>
                <w:szCs w:val="16"/>
              </w:rPr>
            </w:pPr>
          </w:p>
        </w:tc>
        <w:tc>
          <w:tcPr>
            <w:tcW w:w="2163" w:type="pc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Número de usuarios por trimestre en todos los sistemas (PATENTSCOPE/Base Mundial de Datos sobre Marcas)</w:t>
            </w:r>
          </w:p>
        </w:tc>
        <w:tc>
          <w:tcPr>
            <w:tcW w:w="880"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13</w:t>
            </w:r>
          </w:p>
        </w:tc>
        <w:tc>
          <w:tcPr>
            <w:tcW w:w="475" w:type="pct"/>
            <w:shd w:val="clear" w:color="auto" w:fill="FFFFFF"/>
          </w:tcPr>
          <w:p w:rsidR="00FA423E" w:rsidRPr="00CC3F44" w:rsidRDefault="00FA423E" w:rsidP="00DC1333">
            <w:pPr>
              <w:jc w:val="center"/>
              <w:rPr>
                <w:color w:val="008000"/>
                <w:szCs w:val="22"/>
              </w:rPr>
            </w:pPr>
            <w:r w:rsidRPr="00CC3F44">
              <w:rPr>
                <w:color w:val="E26B0A"/>
                <w:szCs w:val="22"/>
              </w:rPr>
              <w:sym w:font="Wingdings" w:char="F06C"/>
            </w:r>
            <w:r w:rsidRPr="00CC3F44">
              <w:rPr>
                <w:color w:val="008000"/>
                <w:szCs w:val="22"/>
              </w:rPr>
              <w:sym w:font="Wingdings" w:char="F06C"/>
            </w:r>
            <w:r w:rsidRPr="00CC3F44">
              <w:rPr>
                <w:color w:val="A6A6A6" w:themeColor="background1" w:themeShade="A6"/>
                <w:szCs w:val="22"/>
              </w:rPr>
              <w:sym w:font="Wingdings" w:char="F06C"/>
            </w:r>
          </w:p>
        </w:tc>
      </w:tr>
      <w:tr w:rsidR="00FA423E" w:rsidRPr="00AF5E7C" w:rsidTr="00DC1333">
        <w:trPr>
          <w:cantSplit/>
          <w:trHeight w:val="399"/>
        </w:trPr>
        <w:tc>
          <w:tcPr>
            <w:tcW w:w="1482" w:type="pct"/>
            <w:shd w:val="clear" w:color="auto" w:fill="auto"/>
            <w:tcMar>
              <w:top w:w="113" w:type="dxa"/>
              <w:bottom w:w="85" w:type="dxa"/>
            </w:tcMar>
          </w:tcPr>
          <w:p w:rsidR="00FA423E" w:rsidRPr="007E4934" w:rsidRDefault="00FA423E" w:rsidP="00DC1333">
            <w:pPr>
              <w:rPr>
                <w:sz w:val="16"/>
                <w:szCs w:val="16"/>
              </w:rPr>
            </w:pPr>
          </w:p>
        </w:tc>
        <w:tc>
          <w:tcPr>
            <w:tcW w:w="2163" w:type="pc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Número de idiomas en los que se pueden efectuar búsquedas plurilingües</w:t>
            </w:r>
          </w:p>
        </w:tc>
        <w:tc>
          <w:tcPr>
            <w:tcW w:w="880"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13</w:t>
            </w:r>
          </w:p>
        </w:tc>
        <w:tc>
          <w:tcPr>
            <w:tcW w:w="475" w:type="pct"/>
            <w:shd w:val="clear" w:color="auto" w:fill="FFFFFF"/>
          </w:tcPr>
          <w:p w:rsidR="00FA423E" w:rsidRPr="00CC3F44" w:rsidRDefault="00FA423E" w:rsidP="00DC1333">
            <w:pPr>
              <w:jc w:val="center"/>
            </w:pPr>
            <w:r w:rsidRPr="00CC3F44">
              <w:rPr>
                <w:color w:val="008000"/>
                <w:szCs w:val="22"/>
              </w:rPr>
              <w:sym w:font="Wingdings" w:char="F06C"/>
            </w:r>
          </w:p>
        </w:tc>
      </w:tr>
      <w:tr w:rsidR="00FA423E" w:rsidRPr="00AF5E7C" w:rsidTr="00DC1333">
        <w:trPr>
          <w:cantSplit/>
          <w:trHeight w:val="472"/>
        </w:trPr>
        <w:tc>
          <w:tcPr>
            <w:tcW w:w="1482" w:type="pct"/>
            <w:shd w:val="clear" w:color="auto" w:fill="auto"/>
            <w:tcMar>
              <w:top w:w="113" w:type="dxa"/>
              <w:bottom w:w="85" w:type="dxa"/>
            </w:tcMar>
          </w:tcPr>
          <w:p w:rsidR="00FA423E" w:rsidRPr="007E4934" w:rsidRDefault="00FA423E" w:rsidP="00DC1333">
            <w:pPr>
              <w:rPr>
                <w:sz w:val="16"/>
                <w:szCs w:val="16"/>
              </w:rPr>
            </w:pPr>
          </w:p>
        </w:tc>
        <w:tc>
          <w:tcPr>
            <w:tcW w:w="2163" w:type="pc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Número de pares de idiomas disponibles para la traducción automática de títulos y resúmenes</w:t>
            </w:r>
          </w:p>
        </w:tc>
        <w:tc>
          <w:tcPr>
            <w:tcW w:w="880"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13</w:t>
            </w:r>
          </w:p>
        </w:tc>
        <w:tc>
          <w:tcPr>
            <w:tcW w:w="475" w:type="pct"/>
            <w:shd w:val="clear" w:color="auto" w:fill="FFFFFF"/>
          </w:tcPr>
          <w:p w:rsidR="00FA423E" w:rsidRPr="00CC3F44" w:rsidRDefault="00FA423E" w:rsidP="00DC1333">
            <w:pPr>
              <w:jc w:val="center"/>
            </w:pPr>
            <w:r w:rsidRPr="00CC3F44">
              <w:rPr>
                <w:color w:val="008000"/>
                <w:szCs w:val="22"/>
              </w:rPr>
              <w:sym w:font="Wingdings" w:char="F06C"/>
            </w:r>
          </w:p>
        </w:tc>
      </w:tr>
      <w:tr w:rsidR="00FA423E" w:rsidRPr="00AF5E7C" w:rsidTr="00DC1333">
        <w:trPr>
          <w:cantSplit/>
          <w:trHeight w:val="328"/>
        </w:trPr>
        <w:tc>
          <w:tcPr>
            <w:tcW w:w="1482" w:type="pct"/>
            <w:shd w:val="clear" w:color="auto" w:fill="auto"/>
            <w:tcMar>
              <w:top w:w="113" w:type="dxa"/>
              <w:bottom w:w="85" w:type="dxa"/>
            </w:tcMar>
          </w:tcPr>
          <w:p w:rsidR="00FA423E" w:rsidRPr="007E4934" w:rsidRDefault="00FA423E" w:rsidP="00DC1333">
            <w:pPr>
              <w:rPr>
                <w:sz w:val="16"/>
                <w:szCs w:val="16"/>
              </w:rPr>
            </w:pPr>
          </w:p>
        </w:tc>
        <w:tc>
          <w:tcPr>
            <w:tcW w:w="2163" w:type="pc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Número de usuarios inscritos en ARDI y ASPI que utilizan dichos instrumentos</w:t>
            </w:r>
          </w:p>
        </w:tc>
        <w:tc>
          <w:tcPr>
            <w:tcW w:w="880"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14</w:t>
            </w:r>
          </w:p>
        </w:tc>
        <w:tc>
          <w:tcPr>
            <w:tcW w:w="475" w:type="pct"/>
            <w:shd w:val="clear" w:color="auto" w:fill="FFFFFF"/>
          </w:tcPr>
          <w:p w:rsidR="00FA423E" w:rsidRPr="00CC3F44" w:rsidRDefault="00FA423E" w:rsidP="00DC1333">
            <w:pPr>
              <w:jc w:val="center"/>
            </w:pPr>
            <w:r w:rsidRPr="00CC3F44">
              <w:rPr>
                <w:color w:val="008000"/>
                <w:szCs w:val="22"/>
              </w:rPr>
              <w:sym w:font="Wingdings" w:char="F06C"/>
            </w:r>
          </w:p>
        </w:tc>
      </w:tr>
      <w:tr w:rsidR="00FA423E" w:rsidRPr="00AF5E7C" w:rsidTr="00DC1333">
        <w:trPr>
          <w:cantSplit/>
          <w:trHeight w:val="616"/>
        </w:trPr>
        <w:tc>
          <w:tcPr>
            <w:tcW w:w="1482" w:type="pct"/>
            <w:shd w:val="clear" w:color="auto" w:fill="auto"/>
            <w:tcMar>
              <w:top w:w="113" w:type="dxa"/>
              <w:bottom w:w="85" w:type="dxa"/>
            </w:tcMar>
          </w:tcPr>
          <w:p w:rsidR="00FA423E" w:rsidRPr="007E4934" w:rsidRDefault="00FA423E" w:rsidP="00DC1333">
            <w:pPr>
              <w:rPr>
                <w:sz w:val="16"/>
                <w:szCs w:val="16"/>
              </w:rPr>
            </w:pPr>
          </w:p>
        </w:tc>
        <w:tc>
          <w:tcPr>
            <w:tcW w:w="2163" w:type="pc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Porcentaje de usuarios satisfechos con la prestación de servicios de información sobre patentes con valor añadido (WPIS, cooperación internacional en el examen, familias de patentes  y servicio de consulta sobre la situación jurídica)</w:t>
            </w:r>
          </w:p>
        </w:tc>
        <w:tc>
          <w:tcPr>
            <w:tcW w:w="880"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14</w:t>
            </w:r>
          </w:p>
        </w:tc>
        <w:tc>
          <w:tcPr>
            <w:tcW w:w="475" w:type="pct"/>
            <w:shd w:val="clear" w:color="auto" w:fill="FFFFFF"/>
          </w:tcPr>
          <w:p w:rsidR="00FA423E" w:rsidRPr="00CC3F44" w:rsidRDefault="00FA423E" w:rsidP="00DC1333">
            <w:pPr>
              <w:jc w:val="center"/>
            </w:pPr>
            <w:r w:rsidRPr="00CC3F44">
              <w:rPr>
                <w:szCs w:val="22"/>
              </w:rPr>
              <w:sym w:font="Wingdings" w:char="F06C"/>
            </w:r>
          </w:p>
        </w:tc>
      </w:tr>
      <w:tr w:rsidR="00FA423E" w:rsidRPr="00AF5E7C" w:rsidTr="00DC1333">
        <w:trPr>
          <w:cantSplit/>
          <w:trHeight w:val="163"/>
        </w:trPr>
        <w:tc>
          <w:tcPr>
            <w:tcW w:w="1482" w:type="pct"/>
            <w:shd w:val="clear" w:color="auto" w:fill="auto"/>
            <w:tcMar>
              <w:top w:w="113" w:type="dxa"/>
              <w:bottom w:w="85" w:type="dxa"/>
            </w:tcMar>
          </w:tcPr>
          <w:p w:rsidR="00FA423E" w:rsidRPr="007E4934" w:rsidRDefault="00FA423E" w:rsidP="00DC1333">
            <w:pPr>
              <w:rPr>
                <w:sz w:val="16"/>
                <w:szCs w:val="16"/>
              </w:rPr>
            </w:pPr>
          </w:p>
        </w:tc>
        <w:tc>
          <w:tcPr>
            <w:tcW w:w="2163" w:type="pc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 xml:space="preserve">Porcentaje de usuarios satisfechos con los informes sobre la actividad de </w:t>
            </w:r>
            <w:proofErr w:type="spellStart"/>
            <w:r w:rsidRPr="007E4934">
              <w:rPr>
                <w:sz w:val="16"/>
                <w:szCs w:val="16"/>
                <w:lang w:val="es-ES_tradnl"/>
              </w:rPr>
              <w:t>patentamiento</w:t>
            </w:r>
            <w:proofErr w:type="spellEnd"/>
          </w:p>
        </w:tc>
        <w:tc>
          <w:tcPr>
            <w:tcW w:w="880"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14</w:t>
            </w:r>
          </w:p>
        </w:tc>
        <w:tc>
          <w:tcPr>
            <w:tcW w:w="475" w:type="pct"/>
            <w:shd w:val="clear" w:color="auto" w:fill="FFFFFF"/>
          </w:tcPr>
          <w:p w:rsidR="00FA423E" w:rsidRPr="00CC3F44" w:rsidRDefault="00FA423E" w:rsidP="00DC1333">
            <w:pPr>
              <w:jc w:val="center"/>
            </w:pPr>
            <w:r w:rsidRPr="00CC3F44">
              <w:rPr>
                <w:color w:val="A6A6A6" w:themeColor="background1" w:themeShade="A6"/>
                <w:szCs w:val="22"/>
              </w:rPr>
              <w:sym w:font="Wingdings" w:char="F06C"/>
            </w:r>
          </w:p>
        </w:tc>
      </w:tr>
      <w:tr w:rsidR="00FA423E" w:rsidRPr="00AF5E7C" w:rsidTr="00DC1333">
        <w:trPr>
          <w:cantSplit/>
          <w:trHeight w:val="445"/>
        </w:trPr>
        <w:tc>
          <w:tcPr>
            <w:tcW w:w="1482" w:type="pct"/>
            <w:shd w:val="clear" w:color="auto" w:fill="auto"/>
            <w:tcMar>
              <w:top w:w="113" w:type="dxa"/>
              <w:bottom w:w="85" w:type="dxa"/>
            </w:tcMar>
          </w:tcPr>
          <w:p w:rsidR="00FA423E" w:rsidRPr="007E4934" w:rsidRDefault="00FA423E" w:rsidP="00DC1333">
            <w:pPr>
              <w:rPr>
                <w:sz w:val="16"/>
                <w:szCs w:val="16"/>
              </w:rPr>
            </w:pPr>
          </w:p>
        </w:tc>
        <w:tc>
          <w:tcPr>
            <w:tcW w:w="2163" w:type="pc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 xml:space="preserve">Número de países que han verificado los datos e incluido medicamentos esenciales nacionales en </w:t>
            </w:r>
            <w:r w:rsidRPr="007E4934">
              <w:rPr>
                <w:i/>
                <w:sz w:val="16"/>
                <w:szCs w:val="16"/>
                <w:lang w:val="es-ES_tradnl"/>
              </w:rPr>
              <w:t xml:space="preserve">WIPO </w:t>
            </w:r>
            <w:proofErr w:type="spellStart"/>
            <w:r w:rsidRPr="007E4934">
              <w:rPr>
                <w:i/>
                <w:sz w:val="16"/>
                <w:szCs w:val="16"/>
                <w:lang w:val="es-ES_tradnl"/>
              </w:rPr>
              <w:t>Essential</w:t>
            </w:r>
            <w:proofErr w:type="spellEnd"/>
          </w:p>
        </w:tc>
        <w:tc>
          <w:tcPr>
            <w:tcW w:w="880"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18</w:t>
            </w:r>
          </w:p>
        </w:tc>
        <w:tc>
          <w:tcPr>
            <w:tcW w:w="475" w:type="pct"/>
            <w:shd w:val="clear" w:color="auto" w:fill="FFFFFF"/>
          </w:tcPr>
          <w:p w:rsidR="00FA423E" w:rsidRPr="00CC3F44" w:rsidRDefault="00FA423E" w:rsidP="00DC1333">
            <w:pPr>
              <w:jc w:val="center"/>
            </w:pPr>
            <w:r w:rsidRPr="00CC3F44">
              <w:rPr>
                <w:szCs w:val="22"/>
              </w:rPr>
              <w:sym w:font="Wingdings" w:char="F06C"/>
            </w:r>
          </w:p>
        </w:tc>
      </w:tr>
      <w:tr w:rsidR="00FA423E" w:rsidRPr="00AF5E7C" w:rsidTr="00DC1333">
        <w:trPr>
          <w:cantSplit/>
          <w:trHeight w:val="517"/>
        </w:trPr>
        <w:tc>
          <w:tcPr>
            <w:tcW w:w="1482" w:type="pct"/>
            <w:shd w:val="clear" w:color="auto" w:fill="auto"/>
            <w:tcMar>
              <w:top w:w="113" w:type="dxa"/>
              <w:bottom w:w="85" w:type="dxa"/>
            </w:tcMar>
          </w:tcPr>
          <w:p w:rsidR="00FA423E" w:rsidRPr="007E4934" w:rsidRDefault="00FA423E" w:rsidP="00DC1333">
            <w:pPr>
              <w:keepNext/>
              <w:keepLines/>
              <w:rPr>
                <w:sz w:val="16"/>
                <w:szCs w:val="16"/>
              </w:rPr>
            </w:pPr>
          </w:p>
        </w:tc>
        <w:tc>
          <w:tcPr>
            <w:tcW w:w="2163" w:type="pct"/>
            <w:shd w:val="clear" w:color="auto" w:fill="auto"/>
            <w:tcMar>
              <w:top w:w="113" w:type="dxa"/>
              <w:bottom w:w="85" w:type="dxa"/>
            </w:tcMar>
          </w:tcPr>
          <w:p w:rsidR="00FA423E" w:rsidRPr="007E4934" w:rsidRDefault="00FA423E" w:rsidP="00DC1333">
            <w:pPr>
              <w:keepNext/>
              <w:keepLines/>
              <w:rPr>
                <w:sz w:val="16"/>
                <w:szCs w:val="16"/>
              </w:rPr>
            </w:pPr>
            <w:r w:rsidRPr="007E4934">
              <w:rPr>
                <w:sz w:val="16"/>
                <w:szCs w:val="16"/>
                <w:lang w:val="es-ES_tradnl"/>
              </w:rPr>
              <w:t>Número de usuarios de las bases de datos mundiales de la OMPI: PATENTSCOPE y Base Mundial de Datos sobre Marcas</w:t>
            </w:r>
          </w:p>
        </w:tc>
        <w:tc>
          <w:tcPr>
            <w:tcW w:w="880" w:type="pct"/>
            <w:shd w:val="clear" w:color="auto" w:fill="FFFFFF"/>
            <w:tcMar>
              <w:top w:w="113" w:type="dxa"/>
              <w:bottom w:w="85" w:type="dxa"/>
            </w:tcMar>
          </w:tcPr>
          <w:p w:rsidR="00FA423E" w:rsidRPr="007E4934" w:rsidRDefault="00FA423E" w:rsidP="00DC1333">
            <w:pPr>
              <w:keepNext/>
              <w:keepLines/>
              <w:jc w:val="center"/>
              <w:rPr>
                <w:sz w:val="16"/>
                <w:szCs w:val="16"/>
                <w:lang w:bidi="th-TH"/>
              </w:rPr>
            </w:pPr>
            <w:r w:rsidRPr="007E4934">
              <w:rPr>
                <w:sz w:val="16"/>
                <w:szCs w:val="16"/>
                <w:lang w:val="es-ES_tradnl" w:bidi="th-TH"/>
              </w:rPr>
              <w:t>Programa 20</w:t>
            </w:r>
          </w:p>
        </w:tc>
        <w:tc>
          <w:tcPr>
            <w:tcW w:w="475" w:type="pct"/>
            <w:shd w:val="clear" w:color="auto" w:fill="FFFFFF"/>
          </w:tcPr>
          <w:p w:rsidR="00FA423E" w:rsidRDefault="00FA423E" w:rsidP="00DC1333">
            <w:pPr>
              <w:keepNext/>
              <w:keepLines/>
              <w:jc w:val="center"/>
              <w:rPr>
                <w:color w:val="A6A6A6" w:themeColor="background1" w:themeShade="A6"/>
                <w:szCs w:val="22"/>
              </w:rPr>
            </w:pPr>
            <w:r w:rsidRPr="00CC3F44">
              <w:rPr>
                <w:color w:val="008000"/>
                <w:szCs w:val="22"/>
              </w:rPr>
              <w:sym w:font="Wingdings" w:char="F06C"/>
            </w:r>
            <w:r w:rsidRPr="00CC3F44">
              <w:rPr>
                <w:color w:val="FF0000"/>
                <w:szCs w:val="22"/>
              </w:rPr>
              <w:sym w:font="Wingdings" w:char="F06C"/>
            </w:r>
            <w:r w:rsidRPr="00CC3F44">
              <w:rPr>
                <w:color w:val="008000"/>
                <w:szCs w:val="22"/>
              </w:rPr>
              <w:sym w:font="Wingdings" w:char="F06C"/>
            </w:r>
          </w:p>
          <w:p w:rsidR="00FA423E" w:rsidRPr="00CC3F44" w:rsidRDefault="00FA423E" w:rsidP="00DC1333">
            <w:pPr>
              <w:keepNext/>
              <w:keepLines/>
              <w:jc w:val="center"/>
            </w:pPr>
            <w:r w:rsidRPr="00CC3F44">
              <w:rPr>
                <w:color w:val="008000"/>
                <w:szCs w:val="22"/>
              </w:rPr>
              <w:sym w:font="Wingdings" w:char="F06C"/>
            </w:r>
            <w:r w:rsidRPr="00CC3F44">
              <w:rPr>
                <w:color w:val="008000"/>
                <w:szCs w:val="22"/>
              </w:rPr>
              <w:sym w:font="Wingdings" w:char="F06C"/>
            </w:r>
            <w:r w:rsidRPr="00CC3F44">
              <w:rPr>
                <w:color w:val="008000"/>
                <w:szCs w:val="22"/>
              </w:rPr>
              <w:sym w:font="Wingdings" w:char="F06C"/>
            </w:r>
          </w:p>
        </w:tc>
      </w:tr>
      <w:tr w:rsidR="00FA423E" w:rsidRPr="00AF5E7C" w:rsidTr="00DC1333">
        <w:trPr>
          <w:cantSplit/>
          <w:trHeight w:val="337"/>
        </w:trPr>
        <w:tc>
          <w:tcPr>
            <w:tcW w:w="1482" w:type="pct"/>
            <w:vMerge w:val="restart"/>
            <w:shd w:val="clear" w:color="auto" w:fill="auto"/>
            <w:tcMar>
              <w:top w:w="113" w:type="dxa"/>
              <w:bottom w:w="85" w:type="dxa"/>
            </w:tcMar>
          </w:tcPr>
          <w:p w:rsidR="00FA423E" w:rsidRPr="007E4934" w:rsidRDefault="00FA423E" w:rsidP="00DC1333">
            <w:pPr>
              <w:keepNext/>
              <w:keepLines/>
              <w:rPr>
                <w:sz w:val="16"/>
                <w:szCs w:val="16"/>
              </w:rPr>
            </w:pPr>
          </w:p>
        </w:tc>
        <w:tc>
          <w:tcPr>
            <w:tcW w:w="2163" w:type="pct"/>
            <w:shd w:val="clear" w:color="auto" w:fill="auto"/>
            <w:tcMar>
              <w:top w:w="113" w:type="dxa"/>
              <w:bottom w:w="85" w:type="dxa"/>
            </w:tcMar>
          </w:tcPr>
          <w:p w:rsidR="00FA423E" w:rsidRPr="007E4934" w:rsidRDefault="00FA423E" w:rsidP="00DC1333">
            <w:pPr>
              <w:keepNext/>
              <w:keepLines/>
              <w:rPr>
                <w:sz w:val="16"/>
                <w:szCs w:val="16"/>
              </w:rPr>
            </w:pPr>
            <w:r w:rsidRPr="007E4934">
              <w:rPr>
                <w:sz w:val="16"/>
                <w:szCs w:val="16"/>
                <w:lang w:val="es-ES_tradnl"/>
              </w:rPr>
              <w:t xml:space="preserve">Aumento del número de usuarios de WIPO </w:t>
            </w:r>
            <w:proofErr w:type="spellStart"/>
            <w:r w:rsidRPr="007E4934">
              <w:rPr>
                <w:sz w:val="16"/>
                <w:szCs w:val="16"/>
                <w:lang w:val="es-ES_tradnl"/>
              </w:rPr>
              <w:t>Lex</w:t>
            </w:r>
            <w:proofErr w:type="spellEnd"/>
            <w:r w:rsidRPr="007E4934">
              <w:rPr>
                <w:sz w:val="16"/>
                <w:szCs w:val="16"/>
              </w:rPr>
              <w:t xml:space="preserve"> </w:t>
            </w:r>
          </w:p>
        </w:tc>
        <w:tc>
          <w:tcPr>
            <w:tcW w:w="880" w:type="pct"/>
            <w:shd w:val="clear" w:color="auto" w:fill="FFFFFF"/>
            <w:tcMar>
              <w:top w:w="113" w:type="dxa"/>
              <w:bottom w:w="85" w:type="dxa"/>
            </w:tcMar>
          </w:tcPr>
          <w:p w:rsidR="00FA423E" w:rsidRPr="007E4934" w:rsidRDefault="00FA423E" w:rsidP="00DC1333">
            <w:pPr>
              <w:keepNext/>
              <w:keepLines/>
              <w:jc w:val="center"/>
              <w:rPr>
                <w:sz w:val="16"/>
                <w:szCs w:val="16"/>
                <w:lang w:bidi="th-TH"/>
              </w:rPr>
            </w:pPr>
            <w:r w:rsidRPr="007E4934">
              <w:rPr>
                <w:sz w:val="16"/>
                <w:szCs w:val="16"/>
                <w:lang w:val="es-ES_tradnl" w:bidi="th-TH"/>
              </w:rPr>
              <w:t>Programa 21</w:t>
            </w:r>
          </w:p>
        </w:tc>
        <w:tc>
          <w:tcPr>
            <w:tcW w:w="475" w:type="pct"/>
            <w:shd w:val="clear" w:color="auto" w:fill="FFFFFF"/>
          </w:tcPr>
          <w:p w:rsidR="00FA423E" w:rsidRPr="00CC3F44" w:rsidRDefault="00FA423E" w:rsidP="00DC1333">
            <w:pPr>
              <w:keepNext/>
              <w:keepLines/>
              <w:jc w:val="center"/>
            </w:pPr>
            <w:r w:rsidRPr="00CC3F44">
              <w:rPr>
                <w:color w:val="008000"/>
                <w:szCs w:val="22"/>
              </w:rPr>
              <w:sym w:font="Wingdings" w:char="F06C"/>
            </w:r>
          </w:p>
        </w:tc>
      </w:tr>
      <w:tr w:rsidR="00FA423E" w:rsidRPr="00AF5E7C" w:rsidTr="00DC1333">
        <w:trPr>
          <w:cantSplit/>
          <w:trHeight w:val="346"/>
        </w:trPr>
        <w:tc>
          <w:tcPr>
            <w:tcW w:w="1482" w:type="pct"/>
            <w:vMerge/>
            <w:shd w:val="clear" w:color="auto" w:fill="auto"/>
            <w:tcMar>
              <w:top w:w="113" w:type="dxa"/>
              <w:bottom w:w="85" w:type="dxa"/>
            </w:tcMar>
          </w:tcPr>
          <w:p w:rsidR="00FA423E" w:rsidRPr="007E4934" w:rsidRDefault="00FA423E" w:rsidP="00DC1333">
            <w:pPr>
              <w:rPr>
                <w:sz w:val="16"/>
                <w:szCs w:val="16"/>
              </w:rPr>
            </w:pPr>
          </w:p>
        </w:tc>
        <w:tc>
          <w:tcPr>
            <w:tcW w:w="2163" w:type="pc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Número de OTT sostenibles establecidas y/o consolidadas en las universidades o las instituciones de I+D</w:t>
            </w:r>
          </w:p>
        </w:tc>
        <w:tc>
          <w:tcPr>
            <w:tcW w:w="880"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30</w:t>
            </w:r>
          </w:p>
          <w:p w:rsidR="00FA423E" w:rsidRPr="007E4934" w:rsidRDefault="00FA423E" w:rsidP="00DC1333">
            <w:pPr>
              <w:ind w:left="660"/>
              <w:jc w:val="center"/>
              <w:rPr>
                <w:sz w:val="16"/>
                <w:szCs w:val="16"/>
                <w:lang w:bidi="th-TH"/>
              </w:rPr>
            </w:pPr>
          </w:p>
        </w:tc>
        <w:tc>
          <w:tcPr>
            <w:tcW w:w="475" w:type="pct"/>
            <w:shd w:val="clear" w:color="auto" w:fill="FFFFFF"/>
          </w:tcPr>
          <w:p w:rsidR="00FA423E" w:rsidRPr="00CC3F44" w:rsidRDefault="00FA423E" w:rsidP="00DC1333">
            <w:pPr>
              <w:jc w:val="center"/>
              <w:rPr>
                <w:color w:val="A6A6A6" w:themeColor="background1" w:themeShade="A6"/>
                <w:szCs w:val="22"/>
              </w:rPr>
            </w:pPr>
            <w:r w:rsidRPr="00CC3F44">
              <w:rPr>
                <w:color w:val="FF0000"/>
                <w:szCs w:val="22"/>
              </w:rPr>
              <w:sym w:font="Wingdings" w:char="F06C"/>
            </w:r>
          </w:p>
        </w:tc>
      </w:tr>
      <w:tr w:rsidR="00FA423E" w:rsidRPr="00AF5E7C" w:rsidTr="00DC1333">
        <w:trPr>
          <w:cantSplit/>
          <w:trHeight w:val="409"/>
        </w:trPr>
        <w:tc>
          <w:tcPr>
            <w:tcW w:w="1482" w:type="pct"/>
            <w:vMerge/>
            <w:shd w:val="clear" w:color="auto" w:fill="auto"/>
            <w:tcMar>
              <w:top w:w="113" w:type="dxa"/>
              <w:bottom w:w="85" w:type="dxa"/>
            </w:tcMar>
          </w:tcPr>
          <w:p w:rsidR="00FA423E" w:rsidRPr="007E4934" w:rsidRDefault="00FA423E" w:rsidP="00DC1333">
            <w:pPr>
              <w:rPr>
                <w:sz w:val="16"/>
                <w:szCs w:val="16"/>
              </w:rPr>
            </w:pPr>
          </w:p>
        </w:tc>
        <w:tc>
          <w:tcPr>
            <w:tcW w:w="2163" w:type="pc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Número de universidades y/o institutos de investigación que han establecido políticas de P.I.</w:t>
            </w:r>
          </w:p>
        </w:tc>
        <w:tc>
          <w:tcPr>
            <w:tcW w:w="880"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30</w:t>
            </w:r>
          </w:p>
        </w:tc>
        <w:tc>
          <w:tcPr>
            <w:tcW w:w="475" w:type="pct"/>
            <w:shd w:val="clear" w:color="auto" w:fill="FFFFFF"/>
          </w:tcPr>
          <w:p w:rsidR="00FA423E" w:rsidRPr="00CC3F44" w:rsidRDefault="00FA423E" w:rsidP="00DC1333">
            <w:pPr>
              <w:jc w:val="center"/>
              <w:rPr>
                <w:color w:val="A6A6A6" w:themeColor="background1" w:themeShade="A6"/>
                <w:szCs w:val="22"/>
              </w:rPr>
            </w:pPr>
            <w:r w:rsidRPr="00CC3F44">
              <w:rPr>
                <w:color w:val="008000"/>
                <w:szCs w:val="22"/>
              </w:rPr>
              <w:sym w:font="Wingdings" w:char="F06C"/>
            </w:r>
          </w:p>
        </w:tc>
      </w:tr>
      <w:tr w:rsidR="00FA423E" w:rsidRPr="00AF5E7C" w:rsidTr="00DC1333">
        <w:trPr>
          <w:cantSplit/>
          <w:trHeight w:val="256"/>
        </w:trPr>
        <w:tc>
          <w:tcPr>
            <w:tcW w:w="1482" w:type="pct"/>
            <w:vMerge w:val="restart"/>
            <w:shd w:val="clear" w:color="auto" w:fill="auto"/>
            <w:tcMar>
              <w:top w:w="113" w:type="dxa"/>
              <w:bottom w:w="85" w:type="dxa"/>
            </w:tcMar>
          </w:tcPr>
          <w:p w:rsidR="00FA423E" w:rsidRPr="007E4934" w:rsidRDefault="00FA423E" w:rsidP="00DC1333">
            <w:pPr>
              <w:keepNext/>
              <w:rPr>
                <w:sz w:val="16"/>
                <w:szCs w:val="16"/>
              </w:rPr>
            </w:pPr>
            <w:r w:rsidRPr="007E4934">
              <w:rPr>
                <w:sz w:val="16"/>
                <w:szCs w:val="16"/>
                <w:lang w:val="es-ES_tradnl"/>
              </w:rPr>
              <w:t>IV.3 Amplia cobertura geográfica en cuanto al contenido y al uso de las bases de datos mundiales de la OMPI en materia de P.I.</w:t>
            </w:r>
          </w:p>
        </w:tc>
        <w:tc>
          <w:tcPr>
            <w:tcW w:w="2163" w:type="pct"/>
            <w:shd w:val="clear" w:color="auto" w:fill="auto"/>
            <w:tcMar>
              <w:top w:w="113" w:type="dxa"/>
              <w:bottom w:w="85" w:type="dxa"/>
            </w:tcMar>
          </w:tcPr>
          <w:p w:rsidR="00FA423E" w:rsidRPr="007E4934" w:rsidRDefault="00FA423E" w:rsidP="00DC1333">
            <w:pPr>
              <w:keepNext/>
              <w:rPr>
                <w:sz w:val="16"/>
                <w:szCs w:val="16"/>
              </w:rPr>
            </w:pPr>
            <w:r w:rsidRPr="007E4934">
              <w:rPr>
                <w:sz w:val="16"/>
                <w:szCs w:val="16"/>
                <w:lang w:val="es-ES_tradnl"/>
              </w:rPr>
              <w:t>Número de registros contenidos en PATENSCOPE</w:t>
            </w:r>
            <w:r w:rsidRPr="007E4934">
              <w:rPr>
                <w:sz w:val="16"/>
                <w:szCs w:val="16"/>
              </w:rPr>
              <w:t xml:space="preserve"> </w:t>
            </w:r>
          </w:p>
        </w:tc>
        <w:tc>
          <w:tcPr>
            <w:tcW w:w="880" w:type="pct"/>
            <w:shd w:val="clear" w:color="auto" w:fill="FFFFFF"/>
            <w:tcMar>
              <w:top w:w="113" w:type="dxa"/>
              <w:bottom w:w="85" w:type="dxa"/>
            </w:tcMar>
          </w:tcPr>
          <w:p w:rsidR="00FA423E" w:rsidRPr="007E4934" w:rsidRDefault="00FA423E" w:rsidP="00DC1333">
            <w:pPr>
              <w:keepNext/>
              <w:jc w:val="center"/>
              <w:rPr>
                <w:sz w:val="16"/>
                <w:szCs w:val="16"/>
                <w:lang w:bidi="th-TH"/>
              </w:rPr>
            </w:pPr>
            <w:r w:rsidRPr="007E4934">
              <w:rPr>
                <w:sz w:val="16"/>
                <w:szCs w:val="16"/>
                <w:lang w:val="es-ES_tradnl" w:bidi="th-TH"/>
              </w:rPr>
              <w:t>Programa 13</w:t>
            </w:r>
          </w:p>
        </w:tc>
        <w:tc>
          <w:tcPr>
            <w:tcW w:w="475" w:type="pct"/>
            <w:shd w:val="clear" w:color="auto" w:fill="FFFFFF"/>
          </w:tcPr>
          <w:p w:rsidR="00FA423E" w:rsidRPr="00CC3F44" w:rsidRDefault="00FA423E" w:rsidP="00DC1333">
            <w:pPr>
              <w:keepNext/>
              <w:jc w:val="center"/>
            </w:pPr>
            <w:r w:rsidRPr="00CC3F44">
              <w:rPr>
                <w:color w:val="008000"/>
                <w:szCs w:val="22"/>
              </w:rPr>
              <w:sym w:font="Wingdings" w:char="F06C"/>
            </w:r>
          </w:p>
        </w:tc>
      </w:tr>
      <w:tr w:rsidR="00FA423E" w:rsidRPr="00AF5E7C" w:rsidTr="00DC1333">
        <w:trPr>
          <w:cantSplit/>
          <w:trHeight w:val="337"/>
        </w:trPr>
        <w:tc>
          <w:tcPr>
            <w:tcW w:w="1482" w:type="pct"/>
            <w:vMerge/>
            <w:shd w:val="clear" w:color="auto" w:fill="auto"/>
            <w:tcMar>
              <w:top w:w="113" w:type="dxa"/>
              <w:bottom w:w="85" w:type="dxa"/>
            </w:tcMar>
          </w:tcPr>
          <w:p w:rsidR="00FA423E" w:rsidRPr="007E4934" w:rsidRDefault="00FA423E" w:rsidP="00DC1333">
            <w:pPr>
              <w:rPr>
                <w:sz w:val="16"/>
                <w:szCs w:val="16"/>
              </w:rPr>
            </w:pPr>
          </w:p>
        </w:tc>
        <w:tc>
          <w:tcPr>
            <w:tcW w:w="2163" w:type="pc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Número de registros que figuran en la Base Mundial de Datos sobre Marcas</w:t>
            </w:r>
          </w:p>
        </w:tc>
        <w:tc>
          <w:tcPr>
            <w:tcW w:w="880"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13</w:t>
            </w:r>
          </w:p>
        </w:tc>
        <w:tc>
          <w:tcPr>
            <w:tcW w:w="475" w:type="pct"/>
            <w:shd w:val="clear" w:color="auto" w:fill="FFFFFF"/>
          </w:tcPr>
          <w:p w:rsidR="00FA423E" w:rsidRPr="00CC3F44" w:rsidRDefault="00FA423E" w:rsidP="00DC1333">
            <w:pPr>
              <w:jc w:val="center"/>
              <w:rPr>
                <w:color w:val="A6A6A6" w:themeColor="background1" w:themeShade="A6"/>
                <w:szCs w:val="22"/>
              </w:rPr>
            </w:pPr>
            <w:r w:rsidRPr="00CC3F44">
              <w:rPr>
                <w:color w:val="008000"/>
                <w:szCs w:val="22"/>
              </w:rPr>
              <w:sym w:font="Wingdings" w:char="F06C"/>
            </w:r>
          </w:p>
        </w:tc>
      </w:tr>
      <w:tr w:rsidR="00FA423E" w:rsidRPr="00AF5E7C" w:rsidTr="00DC1333">
        <w:trPr>
          <w:cantSplit/>
          <w:trHeight w:val="370"/>
        </w:trPr>
        <w:tc>
          <w:tcPr>
            <w:tcW w:w="1482" w:type="pct"/>
            <w:shd w:val="clear" w:color="auto" w:fill="auto"/>
            <w:tcMar>
              <w:top w:w="113" w:type="dxa"/>
              <w:bottom w:w="85" w:type="dxa"/>
            </w:tcMar>
          </w:tcPr>
          <w:p w:rsidR="00FA423E" w:rsidRPr="007E4934" w:rsidRDefault="00FA423E" w:rsidP="00DC1333">
            <w:pPr>
              <w:rPr>
                <w:sz w:val="16"/>
                <w:szCs w:val="16"/>
              </w:rPr>
            </w:pPr>
          </w:p>
        </w:tc>
        <w:tc>
          <w:tcPr>
            <w:tcW w:w="2163" w:type="pc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Número de colecciones nacionales en PATENTSCOPE</w:t>
            </w:r>
          </w:p>
        </w:tc>
        <w:tc>
          <w:tcPr>
            <w:tcW w:w="880"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13</w:t>
            </w:r>
          </w:p>
        </w:tc>
        <w:tc>
          <w:tcPr>
            <w:tcW w:w="475" w:type="pct"/>
            <w:shd w:val="clear" w:color="auto" w:fill="FFFFFF"/>
          </w:tcPr>
          <w:p w:rsidR="00FA423E" w:rsidRPr="00CC3F44" w:rsidRDefault="00FA423E" w:rsidP="00DC1333">
            <w:pPr>
              <w:jc w:val="center"/>
            </w:pPr>
            <w:r w:rsidRPr="00CC3F44">
              <w:rPr>
                <w:color w:val="008000"/>
                <w:szCs w:val="22"/>
              </w:rPr>
              <w:sym w:font="Wingdings" w:char="F06C"/>
            </w:r>
          </w:p>
        </w:tc>
      </w:tr>
      <w:tr w:rsidR="00FA423E" w:rsidRPr="00AF5E7C" w:rsidTr="00DC1333">
        <w:trPr>
          <w:cantSplit/>
          <w:trHeight w:val="445"/>
        </w:trPr>
        <w:tc>
          <w:tcPr>
            <w:tcW w:w="1482" w:type="pct"/>
            <w:shd w:val="clear" w:color="auto" w:fill="auto"/>
            <w:tcMar>
              <w:top w:w="113" w:type="dxa"/>
              <w:bottom w:w="85" w:type="dxa"/>
            </w:tcMar>
          </w:tcPr>
          <w:p w:rsidR="00FA423E" w:rsidRPr="007E4934" w:rsidRDefault="00FA423E" w:rsidP="00DC1333">
            <w:pPr>
              <w:rPr>
                <w:sz w:val="16"/>
                <w:szCs w:val="16"/>
              </w:rPr>
            </w:pPr>
          </w:p>
        </w:tc>
        <w:tc>
          <w:tcPr>
            <w:tcW w:w="2163" w:type="pc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Número de colecciones nacionales en la Base Mundial de Datos sobre Marcas</w:t>
            </w:r>
          </w:p>
        </w:tc>
        <w:tc>
          <w:tcPr>
            <w:tcW w:w="880"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13</w:t>
            </w:r>
          </w:p>
        </w:tc>
        <w:tc>
          <w:tcPr>
            <w:tcW w:w="475" w:type="pct"/>
            <w:shd w:val="clear" w:color="auto" w:fill="FFFFFF"/>
          </w:tcPr>
          <w:p w:rsidR="00FA423E" w:rsidRPr="00CC3F44" w:rsidRDefault="00FA423E" w:rsidP="00DC1333">
            <w:pPr>
              <w:jc w:val="center"/>
            </w:pPr>
            <w:r w:rsidRPr="00CC3F44">
              <w:rPr>
                <w:color w:val="008000"/>
                <w:szCs w:val="22"/>
              </w:rPr>
              <w:sym w:font="Wingdings" w:char="F06C"/>
            </w:r>
          </w:p>
        </w:tc>
      </w:tr>
      <w:tr w:rsidR="00FA423E" w:rsidRPr="00AF5E7C" w:rsidTr="00DC1333">
        <w:trPr>
          <w:cantSplit/>
          <w:trHeight w:val="436"/>
        </w:trPr>
        <w:tc>
          <w:tcPr>
            <w:tcW w:w="1482" w:type="pct"/>
            <w:vMerge w:val="restar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IV.4 Mejora en la infraestructura técnica y de conocimientos de las Oficinas y demás instituciones de P.I. que les permita prestar mejores servicios (más económicos, más rápidos y de mejor calidad) a sus partes interesadas</w:t>
            </w:r>
          </w:p>
        </w:tc>
        <w:tc>
          <w:tcPr>
            <w:tcW w:w="2163" w:type="pc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Número de gobiernos y OGC que firman acuerdos con la OMPI para reestructurar WIPOCOS</w:t>
            </w:r>
          </w:p>
        </w:tc>
        <w:tc>
          <w:tcPr>
            <w:tcW w:w="880"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3</w:t>
            </w:r>
          </w:p>
        </w:tc>
        <w:tc>
          <w:tcPr>
            <w:tcW w:w="475" w:type="pct"/>
            <w:shd w:val="clear" w:color="auto" w:fill="FFFFFF"/>
          </w:tcPr>
          <w:p w:rsidR="00FA423E" w:rsidRPr="00CC3F44" w:rsidRDefault="00FA423E" w:rsidP="00DC1333">
            <w:pPr>
              <w:spacing w:before="40"/>
              <w:jc w:val="center"/>
            </w:pPr>
            <w:r w:rsidRPr="00CC3F44">
              <w:rPr>
                <w:color w:val="008000"/>
                <w:szCs w:val="22"/>
              </w:rPr>
              <w:sym w:font="Wingdings" w:char="F06C"/>
            </w:r>
          </w:p>
        </w:tc>
      </w:tr>
      <w:tr w:rsidR="00FA423E" w:rsidRPr="00AF5E7C" w:rsidTr="00DC1333">
        <w:trPr>
          <w:cantSplit/>
          <w:trHeight w:val="144"/>
        </w:trPr>
        <w:tc>
          <w:tcPr>
            <w:tcW w:w="1482" w:type="pct"/>
            <w:vMerge/>
            <w:shd w:val="clear" w:color="auto" w:fill="auto"/>
            <w:tcMar>
              <w:top w:w="113" w:type="dxa"/>
              <w:bottom w:w="85" w:type="dxa"/>
            </w:tcMar>
          </w:tcPr>
          <w:p w:rsidR="00FA423E" w:rsidRPr="007E4934" w:rsidRDefault="00FA423E" w:rsidP="00DC1333">
            <w:pPr>
              <w:rPr>
                <w:sz w:val="16"/>
                <w:szCs w:val="16"/>
              </w:rPr>
            </w:pPr>
          </w:p>
        </w:tc>
        <w:tc>
          <w:tcPr>
            <w:tcW w:w="2163" w:type="pct"/>
            <w:vMerge w:val="restar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Número de OGC de países en desarrollo y PMA que participan en las redes regionales y mundiales facilitadas por la OMPI</w:t>
            </w:r>
          </w:p>
        </w:tc>
        <w:tc>
          <w:tcPr>
            <w:tcW w:w="880"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3</w:t>
            </w:r>
          </w:p>
        </w:tc>
        <w:tc>
          <w:tcPr>
            <w:tcW w:w="475" w:type="pct"/>
            <w:shd w:val="clear" w:color="auto" w:fill="FFFFFF"/>
          </w:tcPr>
          <w:p w:rsidR="00FA423E" w:rsidRPr="00CC3F44" w:rsidRDefault="00FA423E" w:rsidP="00DC1333">
            <w:pPr>
              <w:spacing w:before="40"/>
              <w:jc w:val="center"/>
              <w:rPr>
                <w:color w:val="008000"/>
                <w:szCs w:val="22"/>
              </w:rPr>
            </w:pPr>
            <w:r w:rsidRPr="00CC3F44">
              <w:rPr>
                <w:color w:val="008000"/>
                <w:szCs w:val="22"/>
              </w:rPr>
              <w:sym w:font="Wingdings" w:char="F06C"/>
            </w:r>
          </w:p>
        </w:tc>
      </w:tr>
      <w:tr w:rsidR="00FA423E" w:rsidRPr="00AF5E7C" w:rsidTr="00DC1333">
        <w:trPr>
          <w:cantSplit/>
          <w:trHeight w:val="144"/>
        </w:trPr>
        <w:tc>
          <w:tcPr>
            <w:tcW w:w="1482" w:type="pct"/>
            <w:vMerge/>
            <w:shd w:val="clear" w:color="auto" w:fill="auto"/>
            <w:tcMar>
              <w:top w:w="113" w:type="dxa"/>
              <w:bottom w:w="85" w:type="dxa"/>
            </w:tcMar>
          </w:tcPr>
          <w:p w:rsidR="00FA423E" w:rsidRPr="007E4934" w:rsidRDefault="00FA423E" w:rsidP="00DC1333">
            <w:pPr>
              <w:rPr>
                <w:sz w:val="16"/>
                <w:szCs w:val="16"/>
              </w:rPr>
            </w:pPr>
          </w:p>
        </w:tc>
        <w:tc>
          <w:tcPr>
            <w:tcW w:w="2163" w:type="pct"/>
            <w:vMerge/>
            <w:shd w:val="clear" w:color="auto" w:fill="auto"/>
            <w:tcMar>
              <w:top w:w="113" w:type="dxa"/>
              <w:bottom w:w="85" w:type="dxa"/>
            </w:tcMar>
          </w:tcPr>
          <w:p w:rsidR="00FA423E" w:rsidRPr="007E4934" w:rsidRDefault="00FA423E" w:rsidP="00DC1333">
            <w:pPr>
              <w:rPr>
                <w:sz w:val="16"/>
                <w:szCs w:val="16"/>
              </w:rPr>
            </w:pPr>
          </w:p>
        </w:tc>
        <w:tc>
          <w:tcPr>
            <w:tcW w:w="880"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15</w:t>
            </w:r>
          </w:p>
        </w:tc>
        <w:tc>
          <w:tcPr>
            <w:tcW w:w="475" w:type="pct"/>
            <w:shd w:val="clear" w:color="auto" w:fill="FFFFFF"/>
          </w:tcPr>
          <w:p w:rsidR="00FA423E" w:rsidRPr="00CC3F44" w:rsidRDefault="00FA423E" w:rsidP="00DC1333">
            <w:pPr>
              <w:jc w:val="center"/>
              <w:rPr>
                <w:color w:val="008000"/>
                <w:szCs w:val="22"/>
              </w:rPr>
            </w:pPr>
            <w:r w:rsidRPr="00CC3F44">
              <w:rPr>
                <w:color w:val="FF0000"/>
                <w:szCs w:val="22"/>
              </w:rPr>
              <w:sym w:font="Wingdings" w:char="F06C"/>
            </w:r>
          </w:p>
        </w:tc>
      </w:tr>
      <w:tr w:rsidR="00FA423E" w:rsidRPr="00AF5E7C" w:rsidTr="00DC1333">
        <w:trPr>
          <w:cantSplit/>
          <w:trHeight w:val="598"/>
        </w:trPr>
        <w:tc>
          <w:tcPr>
            <w:tcW w:w="1482" w:type="pct"/>
            <w:shd w:val="clear" w:color="auto" w:fill="auto"/>
            <w:tcMar>
              <w:top w:w="113" w:type="dxa"/>
              <w:bottom w:w="85" w:type="dxa"/>
            </w:tcMar>
          </w:tcPr>
          <w:p w:rsidR="00FA423E" w:rsidRPr="007E4934" w:rsidRDefault="00FA423E" w:rsidP="00DC1333">
            <w:pPr>
              <w:rPr>
                <w:sz w:val="16"/>
                <w:szCs w:val="16"/>
              </w:rPr>
            </w:pPr>
          </w:p>
        </w:tc>
        <w:tc>
          <w:tcPr>
            <w:tcW w:w="2163" w:type="pc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Porcentaje de gobiernos que informan favorablemente acerca de la eficacia y la gobernanza de las oficinas de derecho de autor y otras instituciones en el país</w:t>
            </w:r>
          </w:p>
        </w:tc>
        <w:tc>
          <w:tcPr>
            <w:tcW w:w="880"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3</w:t>
            </w:r>
          </w:p>
        </w:tc>
        <w:tc>
          <w:tcPr>
            <w:tcW w:w="475" w:type="pct"/>
            <w:shd w:val="clear" w:color="auto" w:fill="FFFFFF"/>
          </w:tcPr>
          <w:p w:rsidR="00FA423E" w:rsidRPr="00CC3F44" w:rsidRDefault="00FA423E" w:rsidP="00DC1333">
            <w:pPr>
              <w:spacing w:before="40"/>
              <w:jc w:val="center"/>
              <w:rPr>
                <w:color w:val="008000"/>
                <w:szCs w:val="22"/>
              </w:rPr>
            </w:pPr>
            <w:r w:rsidRPr="00CC3F44">
              <w:rPr>
                <w:color w:val="008000"/>
                <w:szCs w:val="22"/>
              </w:rPr>
              <w:sym w:font="Wingdings" w:char="F06C"/>
            </w:r>
          </w:p>
        </w:tc>
      </w:tr>
      <w:tr w:rsidR="00FA423E" w:rsidRPr="00AF5E7C" w:rsidTr="00DC1333">
        <w:trPr>
          <w:cantSplit/>
          <w:trHeight w:val="363"/>
        </w:trPr>
        <w:tc>
          <w:tcPr>
            <w:tcW w:w="1482" w:type="pct"/>
            <w:shd w:val="clear" w:color="auto" w:fill="auto"/>
            <w:tcMar>
              <w:top w:w="113" w:type="dxa"/>
              <w:bottom w:w="85" w:type="dxa"/>
            </w:tcMar>
          </w:tcPr>
          <w:p w:rsidR="00FA423E" w:rsidRPr="007E4934" w:rsidRDefault="00FA423E" w:rsidP="00DC1333">
            <w:pPr>
              <w:rPr>
                <w:sz w:val="16"/>
                <w:szCs w:val="16"/>
              </w:rPr>
            </w:pPr>
          </w:p>
        </w:tc>
        <w:tc>
          <w:tcPr>
            <w:tcW w:w="2163" w:type="pc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Número de oficinas que utilizan las plataformas de infraestructura de la OMPI</w:t>
            </w:r>
          </w:p>
        </w:tc>
        <w:tc>
          <w:tcPr>
            <w:tcW w:w="880"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15</w:t>
            </w:r>
          </w:p>
        </w:tc>
        <w:tc>
          <w:tcPr>
            <w:tcW w:w="475" w:type="pct"/>
            <w:shd w:val="clear" w:color="auto" w:fill="FFFFFF"/>
          </w:tcPr>
          <w:p w:rsidR="00FA423E" w:rsidRPr="00CC3F44" w:rsidRDefault="00FA423E" w:rsidP="00DC1333">
            <w:pPr>
              <w:spacing w:before="40"/>
              <w:jc w:val="center"/>
              <w:rPr>
                <w:color w:val="008000"/>
                <w:szCs w:val="22"/>
              </w:rPr>
            </w:pPr>
            <w:r w:rsidRPr="00CC3F44">
              <w:rPr>
                <w:color w:val="008000"/>
                <w:szCs w:val="22"/>
              </w:rPr>
              <w:sym w:font="Wingdings" w:char="F06C"/>
            </w:r>
          </w:p>
        </w:tc>
      </w:tr>
      <w:tr w:rsidR="00FA423E" w:rsidRPr="00AF5E7C" w:rsidTr="00DC1333">
        <w:trPr>
          <w:cantSplit/>
          <w:trHeight w:val="256"/>
        </w:trPr>
        <w:tc>
          <w:tcPr>
            <w:tcW w:w="1482" w:type="pct"/>
            <w:vMerge w:val="restart"/>
            <w:shd w:val="clear" w:color="auto" w:fill="auto"/>
            <w:tcMar>
              <w:top w:w="113" w:type="dxa"/>
              <w:bottom w:w="85" w:type="dxa"/>
            </w:tcMar>
          </w:tcPr>
          <w:p w:rsidR="00FA423E" w:rsidRPr="007E4934" w:rsidRDefault="00FA423E" w:rsidP="00DC1333">
            <w:pPr>
              <w:rPr>
                <w:sz w:val="16"/>
                <w:szCs w:val="16"/>
              </w:rPr>
            </w:pPr>
          </w:p>
        </w:tc>
        <w:tc>
          <w:tcPr>
            <w:tcW w:w="2163" w:type="pct"/>
            <w:vMerge w:val="restar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Media del nivel de los servicios prestados por las Oficinas de P.I. que reciben asistencia (en una escala del 1 al 5)</w:t>
            </w:r>
          </w:p>
        </w:tc>
        <w:tc>
          <w:tcPr>
            <w:tcW w:w="880"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9</w:t>
            </w:r>
          </w:p>
        </w:tc>
        <w:tc>
          <w:tcPr>
            <w:tcW w:w="475" w:type="pct"/>
            <w:shd w:val="clear" w:color="auto" w:fill="FFFFFF"/>
          </w:tcPr>
          <w:p w:rsidR="00FA423E" w:rsidRPr="00CC3F44" w:rsidRDefault="00FA423E" w:rsidP="00DC1333">
            <w:pPr>
              <w:jc w:val="center"/>
              <w:rPr>
                <w:color w:val="A6A6A6" w:themeColor="background1" w:themeShade="A6"/>
                <w:szCs w:val="22"/>
              </w:rPr>
            </w:pPr>
            <w:r w:rsidRPr="00CC3F44">
              <w:rPr>
                <w:color w:val="008000"/>
                <w:szCs w:val="22"/>
              </w:rPr>
              <w:sym w:font="Wingdings" w:char="F06C"/>
            </w:r>
          </w:p>
        </w:tc>
      </w:tr>
      <w:tr w:rsidR="00FA423E" w:rsidRPr="00AF5E7C" w:rsidTr="00DC1333">
        <w:trPr>
          <w:cantSplit/>
          <w:trHeight w:val="254"/>
        </w:trPr>
        <w:tc>
          <w:tcPr>
            <w:tcW w:w="1482" w:type="pct"/>
            <w:vMerge/>
            <w:shd w:val="clear" w:color="auto" w:fill="auto"/>
            <w:tcMar>
              <w:top w:w="113" w:type="dxa"/>
              <w:bottom w:w="85" w:type="dxa"/>
            </w:tcMar>
          </w:tcPr>
          <w:p w:rsidR="00FA423E" w:rsidRPr="007E4934" w:rsidRDefault="00FA423E" w:rsidP="00DC1333">
            <w:pPr>
              <w:rPr>
                <w:sz w:val="16"/>
                <w:szCs w:val="16"/>
              </w:rPr>
            </w:pPr>
          </w:p>
        </w:tc>
        <w:tc>
          <w:tcPr>
            <w:tcW w:w="2163" w:type="pct"/>
            <w:vMerge/>
            <w:shd w:val="clear" w:color="auto" w:fill="auto"/>
            <w:tcMar>
              <w:top w:w="113" w:type="dxa"/>
              <w:bottom w:w="85" w:type="dxa"/>
            </w:tcMar>
          </w:tcPr>
          <w:p w:rsidR="00FA423E" w:rsidRPr="007E4934" w:rsidRDefault="00FA423E" w:rsidP="00DC1333">
            <w:pPr>
              <w:rPr>
                <w:sz w:val="16"/>
                <w:szCs w:val="16"/>
              </w:rPr>
            </w:pPr>
          </w:p>
        </w:tc>
        <w:tc>
          <w:tcPr>
            <w:tcW w:w="880"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10</w:t>
            </w:r>
          </w:p>
        </w:tc>
        <w:tc>
          <w:tcPr>
            <w:tcW w:w="475" w:type="pct"/>
            <w:shd w:val="clear" w:color="auto" w:fill="FFFFFF"/>
          </w:tcPr>
          <w:p w:rsidR="00FA423E" w:rsidRPr="00CC3F44" w:rsidRDefault="00FA423E" w:rsidP="00DC1333">
            <w:pPr>
              <w:spacing w:before="40"/>
              <w:jc w:val="center"/>
              <w:rPr>
                <w:color w:val="008000"/>
                <w:szCs w:val="22"/>
              </w:rPr>
            </w:pPr>
            <w:r w:rsidRPr="00CC3F44">
              <w:rPr>
                <w:color w:val="008000"/>
                <w:szCs w:val="22"/>
              </w:rPr>
              <w:sym w:font="Wingdings" w:char="F06C"/>
            </w:r>
          </w:p>
        </w:tc>
      </w:tr>
      <w:tr w:rsidR="00FA423E" w:rsidRPr="00AF5E7C" w:rsidTr="00DC1333">
        <w:trPr>
          <w:cantSplit/>
          <w:trHeight w:val="254"/>
        </w:trPr>
        <w:tc>
          <w:tcPr>
            <w:tcW w:w="1482" w:type="pct"/>
            <w:vMerge/>
            <w:shd w:val="clear" w:color="auto" w:fill="auto"/>
            <w:tcMar>
              <w:top w:w="113" w:type="dxa"/>
              <w:bottom w:w="85" w:type="dxa"/>
            </w:tcMar>
          </w:tcPr>
          <w:p w:rsidR="00FA423E" w:rsidRPr="007E4934" w:rsidRDefault="00FA423E" w:rsidP="00DC1333">
            <w:pPr>
              <w:rPr>
                <w:sz w:val="16"/>
                <w:szCs w:val="16"/>
              </w:rPr>
            </w:pPr>
          </w:p>
        </w:tc>
        <w:tc>
          <w:tcPr>
            <w:tcW w:w="2163" w:type="pct"/>
            <w:vMerge/>
            <w:shd w:val="clear" w:color="auto" w:fill="auto"/>
            <w:tcMar>
              <w:top w:w="113" w:type="dxa"/>
              <w:bottom w:w="85" w:type="dxa"/>
            </w:tcMar>
          </w:tcPr>
          <w:p w:rsidR="00FA423E" w:rsidRPr="007E4934" w:rsidRDefault="00FA423E" w:rsidP="00DC1333">
            <w:pPr>
              <w:rPr>
                <w:sz w:val="16"/>
                <w:szCs w:val="16"/>
              </w:rPr>
            </w:pPr>
          </w:p>
        </w:tc>
        <w:tc>
          <w:tcPr>
            <w:tcW w:w="880"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15</w:t>
            </w:r>
          </w:p>
        </w:tc>
        <w:tc>
          <w:tcPr>
            <w:tcW w:w="475" w:type="pct"/>
            <w:shd w:val="clear" w:color="auto" w:fill="FFFFFF"/>
          </w:tcPr>
          <w:p w:rsidR="00FA423E" w:rsidRPr="00CC3F44" w:rsidRDefault="00FA423E" w:rsidP="00DC1333">
            <w:pPr>
              <w:jc w:val="center"/>
              <w:rPr>
                <w:color w:val="A6A6A6" w:themeColor="background1" w:themeShade="A6"/>
                <w:szCs w:val="22"/>
              </w:rPr>
            </w:pPr>
            <w:r w:rsidRPr="00CC3F44">
              <w:rPr>
                <w:color w:val="008000"/>
                <w:szCs w:val="22"/>
              </w:rPr>
              <w:sym w:font="Wingdings" w:char="F06C"/>
            </w:r>
          </w:p>
        </w:tc>
      </w:tr>
    </w:tbl>
    <w:p w:rsidR="00FA423E" w:rsidRDefault="00FA423E" w:rsidP="00FA423E"/>
    <w:p w:rsidR="00FA423E" w:rsidRDefault="00FA423E" w:rsidP="00FA423E"/>
    <w:p w:rsidR="00FA423E" w:rsidRDefault="00FA423E" w:rsidP="00FA423E"/>
    <w:p w:rsidR="00FA423E" w:rsidRDefault="00FA423E" w:rsidP="00FA423E"/>
    <w:p w:rsidR="00FA423E" w:rsidRDefault="00FA423E" w:rsidP="00FA423E"/>
    <w:p w:rsidR="00FA423E" w:rsidRDefault="00FA423E" w:rsidP="00FA423E"/>
    <w:p w:rsidR="00FA423E" w:rsidRDefault="00FA423E" w:rsidP="00FA423E"/>
    <w:p w:rsidR="00FA423E" w:rsidRDefault="00FA423E" w:rsidP="00FA423E"/>
    <w:p w:rsidR="00FA423E" w:rsidRDefault="00FA423E" w:rsidP="00FA423E"/>
    <w:p w:rsidR="003327C4" w:rsidRDefault="003327C4">
      <w:r>
        <w:br w:type="page"/>
      </w:r>
    </w:p>
    <w:p w:rsidR="00FA2BC6" w:rsidRPr="00AB07C6" w:rsidRDefault="00FA2BC6" w:rsidP="00DC1333">
      <w:pPr>
        <w:pStyle w:val="Heading2"/>
        <w:ind w:left="2410" w:hanging="2410"/>
        <w:jc w:val="both"/>
        <w:rPr>
          <w:b/>
        </w:rPr>
      </w:pPr>
      <w:bookmarkStart w:id="116" w:name="_Toc422927421"/>
      <w:bookmarkStart w:id="117" w:name="_Toc455159089"/>
      <w:r w:rsidRPr="00AB07C6">
        <w:rPr>
          <w:b/>
        </w:rPr>
        <w:lastRenderedPageBreak/>
        <w:t>PROGRAMA 12</w:t>
      </w:r>
      <w:r w:rsidRPr="00AB07C6">
        <w:rPr>
          <w:b/>
        </w:rPr>
        <w:tab/>
        <w:t>CLASIFICACIONES INTERNACIONALES Y NORMAS TÉCNICAS DE LA OMPI</w:t>
      </w:r>
      <w:bookmarkEnd w:id="116"/>
      <w:bookmarkEnd w:id="117"/>
    </w:p>
    <w:p w:rsidR="00FA2BC6" w:rsidRPr="00AB07C6" w:rsidRDefault="00FA2BC6" w:rsidP="00DC1333">
      <w:pPr>
        <w:jc w:val="both"/>
        <w:rPr>
          <w:sz w:val="20"/>
        </w:rPr>
      </w:pPr>
    </w:p>
    <w:p w:rsidR="00FA2BC6" w:rsidRPr="00AB07C6" w:rsidRDefault="00FA2BC6" w:rsidP="00DC1333">
      <w:pPr>
        <w:tabs>
          <w:tab w:val="left" w:pos="2410"/>
        </w:tabs>
        <w:jc w:val="both"/>
        <w:rPr>
          <w:b/>
          <w:sz w:val="20"/>
        </w:rPr>
      </w:pPr>
      <w:r w:rsidRPr="00AB07C6">
        <w:rPr>
          <w:b/>
          <w:sz w:val="20"/>
        </w:rPr>
        <w:t>Director de programa</w:t>
      </w:r>
      <w:r w:rsidRPr="00AB07C6">
        <w:rPr>
          <w:b/>
          <w:sz w:val="20"/>
        </w:rPr>
        <w:tab/>
        <w:t>Sr. Y. Takagi</w:t>
      </w:r>
    </w:p>
    <w:p w:rsidR="00FA2BC6" w:rsidRPr="00AB07C6" w:rsidRDefault="00FA2BC6" w:rsidP="00DC1333">
      <w:pPr>
        <w:jc w:val="both"/>
        <w:rPr>
          <w:sz w:val="20"/>
        </w:rPr>
      </w:pPr>
    </w:p>
    <w:p w:rsidR="00FA2BC6" w:rsidRPr="00AB07C6" w:rsidRDefault="00FA2BC6" w:rsidP="00DC1333">
      <w:pPr>
        <w:jc w:val="both"/>
        <w:rPr>
          <w:sz w:val="20"/>
        </w:rPr>
      </w:pPr>
    </w:p>
    <w:p w:rsidR="00FA2BC6" w:rsidRPr="00AB07C6" w:rsidRDefault="008F7CBE" w:rsidP="00DC1333">
      <w:pPr>
        <w:jc w:val="both"/>
        <w:rPr>
          <w:bCs/>
        </w:rPr>
      </w:pPr>
      <w:r w:rsidRPr="008F7CBE">
        <w:rPr>
          <w:bCs/>
          <w:sz w:val="20"/>
          <w:szCs w:val="22"/>
        </w:rPr>
        <w:t>LOGROS ALCANZADOS EN EL BIENIO 2014/15</w:t>
      </w:r>
    </w:p>
    <w:p w:rsidR="00FA2BC6" w:rsidRPr="00AB07C6" w:rsidRDefault="00FA2BC6" w:rsidP="00DC1333">
      <w:pPr>
        <w:jc w:val="both"/>
        <w:rPr>
          <w:sz w:val="20"/>
        </w:rPr>
      </w:pPr>
    </w:p>
    <w:p w:rsidR="00FA2BC6" w:rsidRPr="00AB07C6" w:rsidRDefault="00FA2BC6" w:rsidP="00FA2BC6">
      <w:pPr>
        <w:pStyle w:val="ListParagraph"/>
        <w:numPr>
          <w:ilvl w:val="0"/>
          <w:numId w:val="71"/>
        </w:numPr>
        <w:tabs>
          <w:tab w:val="left" w:pos="709"/>
        </w:tabs>
        <w:ind w:left="0" w:firstLine="0"/>
        <w:jc w:val="both"/>
        <w:rPr>
          <w:b/>
          <w:lang w:val="es-ES"/>
        </w:rPr>
      </w:pPr>
      <w:r w:rsidRPr="00AB07C6">
        <w:rPr>
          <w:rFonts w:cs="Arial"/>
          <w:lang w:val="es-ES"/>
        </w:rPr>
        <w:t>A pesar de que los avances en 2014 fueron desiguales, en 2015 se produjo una mejora notable de la situación en lo que respecta a las clasificaciones internacionales y las normas técnicas de la OMPI;  en algunos casos se superaron las expectativas</w:t>
      </w:r>
      <w:r>
        <w:rPr>
          <w:rFonts w:cs="Arial"/>
          <w:lang w:val="es-ES"/>
        </w:rPr>
        <w:t>, y en otros</w:t>
      </w:r>
      <w:r w:rsidRPr="00AB07C6">
        <w:rPr>
          <w:rFonts w:cs="Arial"/>
          <w:lang w:val="es-ES"/>
        </w:rPr>
        <w:t xml:space="preserve"> se acusaron retrasos.</w:t>
      </w:r>
    </w:p>
    <w:p w:rsidR="00FA2BC6" w:rsidRPr="00AB07C6" w:rsidRDefault="00FA2BC6" w:rsidP="00DC1333">
      <w:pPr>
        <w:tabs>
          <w:tab w:val="left" w:pos="709"/>
        </w:tabs>
        <w:jc w:val="both"/>
        <w:rPr>
          <w:b/>
          <w:sz w:val="20"/>
        </w:rPr>
      </w:pPr>
    </w:p>
    <w:p w:rsidR="00FA2BC6" w:rsidRPr="00AB07C6" w:rsidRDefault="00FA2BC6" w:rsidP="00FA2BC6">
      <w:pPr>
        <w:pStyle w:val="ListParagraph"/>
        <w:numPr>
          <w:ilvl w:val="0"/>
          <w:numId w:val="71"/>
        </w:numPr>
        <w:tabs>
          <w:tab w:val="left" w:pos="709"/>
        </w:tabs>
        <w:ind w:left="0" w:firstLine="0"/>
        <w:jc w:val="both"/>
        <w:rPr>
          <w:rFonts w:cs="Arial"/>
          <w:lang w:val="es-ES"/>
        </w:rPr>
      </w:pPr>
      <w:r w:rsidRPr="00AB07C6">
        <w:rPr>
          <w:rFonts w:cs="Arial"/>
          <w:lang w:val="es-ES"/>
        </w:rPr>
        <w:t xml:space="preserve">En lo que respecta a la Clasificación de Niza, en el bienio se introdujeron 1.480 modificaciones y </w:t>
      </w:r>
      <w:r w:rsidR="002E6163">
        <w:rPr>
          <w:rFonts w:cs="Arial"/>
          <w:lang w:val="es-ES"/>
        </w:rPr>
        <w:t>25</w:t>
      </w:r>
      <w:r w:rsidRPr="00AB07C6">
        <w:rPr>
          <w:rFonts w:cs="Arial"/>
          <w:lang w:val="es-ES"/>
        </w:rPr>
        <w:t xml:space="preserve"> nuevos ficheros de información.  El número de modificaciones aumentó en un 94% con respecto al bienio 2012/13.  Además, la versión oficial en español de la</w:t>
      </w:r>
      <w:r w:rsidRPr="00AB07C6">
        <w:rPr>
          <w:bCs/>
          <w:lang w:val="es-ES"/>
        </w:rPr>
        <w:t xml:space="preserve"> décima edición de la Clasificación de Niza (NCL10-2016)</w:t>
      </w:r>
      <w:r w:rsidRPr="00AB07C6">
        <w:rPr>
          <w:rFonts w:cs="Arial"/>
          <w:lang w:val="es-ES"/>
        </w:rPr>
        <w:t xml:space="preserve"> pasó a estar a disposición en el mismo formato que las publicaciones originales en francés e inglés</w:t>
      </w:r>
      <w:r w:rsidRPr="00AB07C6">
        <w:rPr>
          <w:bCs/>
          <w:lang w:val="es-ES"/>
        </w:rPr>
        <w:t>.  Del mismo modo, también se pusieron a disposición en el nuevo formato las ediciones anteriores (de la primera a la novena).</w:t>
      </w:r>
    </w:p>
    <w:p w:rsidR="00FA2BC6" w:rsidRPr="00AB07C6" w:rsidRDefault="00FA2BC6" w:rsidP="00DC1333">
      <w:pPr>
        <w:tabs>
          <w:tab w:val="left" w:pos="709"/>
        </w:tabs>
        <w:jc w:val="both"/>
        <w:rPr>
          <w:sz w:val="20"/>
        </w:rPr>
      </w:pPr>
    </w:p>
    <w:p w:rsidR="00FA2BC6" w:rsidRPr="00AB07C6" w:rsidRDefault="00FA2BC6" w:rsidP="00FA2BC6">
      <w:pPr>
        <w:pStyle w:val="ListParagraph"/>
        <w:numPr>
          <w:ilvl w:val="0"/>
          <w:numId w:val="71"/>
        </w:numPr>
        <w:tabs>
          <w:tab w:val="left" w:pos="709"/>
        </w:tabs>
        <w:ind w:left="0" w:firstLine="0"/>
        <w:jc w:val="both"/>
        <w:rPr>
          <w:lang w:val="es-ES"/>
        </w:rPr>
      </w:pPr>
      <w:r w:rsidRPr="00AB07C6">
        <w:rPr>
          <w:lang w:val="es-ES"/>
        </w:rPr>
        <w:t>En cuanto a la Clasificación Internacional de Patentes (CIP), en abril de 2014 empezó a utilizarse una plataforma de publicación modificada para facilitar el uso del sistema y que incluye una nueva herramienta de búsqueda y la función “</w:t>
      </w:r>
      <w:proofErr w:type="spellStart"/>
      <w:r w:rsidRPr="00AB07C6">
        <w:rPr>
          <w:lang w:val="es-ES"/>
        </w:rPr>
        <w:t>Parallel</w:t>
      </w:r>
      <w:proofErr w:type="spellEnd"/>
      <w:r w:rsidRPr="00AB07C6">
        <w:rPr>
          <w:lang w:val="es-ES"/>
        </w:rPr>
        <w:t xml:space="preserve"> </w:t>
      </w:r>
      <w:proofErr w:type="spellStart"/>
      <w:r w:rsidRPr="00AB07C6">
        <w:rPr>
          <w:lang w:val="es-ES"/>
        </w:rPr>
        <w:t>Viewer</w:t>
      </w:r>
      <w:proofErr w:type="spellEnd"/>
      <w:r w:rsidRPr="00AB07C6">
        <w:rPr>
          <w:lang w:val="es-ES"/>
        </w:rPr>
        <w:t xml:space="preserve">”.  En razón del aumento de nuevos proyectos de revisión procedentes de las Oficinas de la cooperación </w:t>
      </w:r>
      <w:proofErr w:type="spellStart"/>
      <w:r w:rsidRPr="00AB07C6">
        <w:rPr>
          <w:lang w:val="es-ES"/>
        </w:rPr>
        <w:t>Pentalateral</w:t>
      </w:r>
      <w:proofErr w:type="spellEnd"/>
      <w:r w:rsidRPr="00AB07C6">
        <w:rPr>
          <w:lang w:val="es-ES"/>
        </w:rPr>
        <w:t xml:space="preserve"> y la comunidad de la CIP, en 2015 se introdujeron 1.031 nuevas subdivisiones, cifra que excede el objetivo anual en un 28% y que, con respecto a 2014, supone una recuperación que permite la consecución del objetivo.</w:t>
      </w:r>
    </w:p>
    <w:p w:rsidR="00FA2BC6" w:rsidRPr="00AB07C6" w:rsidRDefault="00FA2BC6" w:rsidP="00DC1333">
      <w:pPr>
        <w:tabs>
          <w:tab w:val="left" w:pos="709"/>
        </w:tabs>
        <w:jc w:val="both"/>
        <w:rPr>
          <w:sz w:val="20"/>
        </w:rPr>
      </w:pPr>
    </w:p>
    <w:p w:rsidR="00FA2BC6" w:rsidRPr="00AB07C6" w:rsidRDefault="00FA2BC6" w:rsidP="00FA2BC6">
      <w:pPr>
        <w:pStyle w:val="ListParagraph"/>
        <w:numPr>
          <w:ilvl w:val="0"/>
          <w:numId w:val="71"/>
        </w:numPr>
        <w:tabs>
          <w:tab w:val="left" w:pos="709"/>
        </w:tabs>
        <w:ind w:left="0" w:firstLine="0"/>
        <w:jc w:val="both"/>
        <w:rPr>
          <w:bCs/>
          <w:lang w:val="es-ES"/>
        </w:rPr>
      </w:pPr>
      <w:r w:rsidRPr="00AB07C6">
        <w:rPr>
          <w:bCs/>
          <w:lang w:val="es-ES"/>
        </w:rPr>
        <w:t xml:space="preserve">En su cuarta sesión, el </w:t>
      </w:r>
      <w:r w:rsidRPr="00AB07C6">
        <w:rPr>
          <w:lang w:val="es-ES"/>
        </w:rPr>
        <w:t>Comité</w:t>
      </w:r>
      <w:r w:rsidRPr="00AB07C6">
        <w:rPr>
          <w:bCs/>
          <w:lang w:val="es-ES"/>
        </w:rPr>
        <w:t xml:space="preserve"> de Normas Técnicas de la OMPI (CWS) no logró aprobar su orden del día, lo que se tradujo en la imposibilidad de oficializar decisiones tomadas informalmente.  A pesar de ese contratiempo, en 2014 pudo aprobarse una nueva norma técnica y pudo revisarse otra de manera oficiosa.  Esta parálisis se mantuvo en 2015 y provocó que no se aprobara formalmente ninguna norma técnica.  Aun así, los Grupos de Tareas, que son grupos de expertos propuestos por los miembros y los observadores del CWS para hacer frente a tareas concretas, prosiguieron su labor informal.  Está previsto que se aprueben varias normas técnicas cu</w:t>
      </w:r>
      <w:r w:rsidR="001F364D">
        <w:rPr>
          <w:bCs/>
          <w:lang w:val="es-ES"/>
        </w:rPr>
        <w:t>ando el CWS reanude su labor en </w:t>
      </w:r>
      <w:r w:rsidRPr="00AB07C6">
        <w:rPr>
          <w:bCs/>
          <w:lang w:val="es-ES"/>
        </w:rPr>
        <w:t>2016.</w:t>
      </w:r>
    </w:p>
    <w:p w:rsidR="00FA2BC6" w:rsidRPr="00AB07C6" w:rsidRDefault="00FA2BC6" w:rsidP="00DC1333">
      <w:pPr>
        <w:tabs>
          <w:tab w:val="left" w:pos="709"/>
        </w:tabs>
        <w:jc w:val="both"/>
        <w:rPr>
          <w:bCs/>
          <w:sz w:val="20"/>
        </w:rPr>
      </w:pPr>
    </w:p>
    <w:p w:rsidR="00FA2BC6" w:rsidRPr="00AB07C6" w:rsidRDefault="00FA2BC6" w:rsidP="00FA2BC6">
      <w:pPr>
        <w:pStyle w:val="ListParagraph"/>
        <w:numPr>
          <w:ilvl w:val="0"/>
          <w:numId w:val="71"/>
        </w:numPr>
        <w:tabs>
          <w:tab w:val="left" w:pos="709"/>
        </w:tabs>
        <w:ind w:left="0" w:firstLine="0"/>
        <w:jc w:val="both"/>
        <w:rPr>
          <w:bCs/>
          <w:lang w:val="es-ES"/>
        </w:rPr>
      </w:pPr>
      <w:r w:rsidRPr="00AB07C6">
        <w:rPr>
          <w:bCs/>
          <w:lang w:val="es-ES"/>
        </w:rPr>
        <w:t xml:space="preserve">El uso de herramientas de Internet para acceder a las publicaciones de clasificaciones y de normas técnicas aumentó de forma estable, registrándose un número considerablemente mayor de visitas de las ediciones de la CIP (aumento del 107% con respecto a 2013), debido a la inclusión de clasificaciones revisadas y de nuevas herramientas.  El número de visitas a la edición de la Clasificación de Niza, la página principal de la Clasificación de </w:t>
      </w:r>
      <w:proofErr w:type="spellStart"/>
      <w:r w:rsidRPr="00AB07C6">
        <w:rPr>
          <w:bCs/>
          <w:lang w:val="es-ES"/>
        </w:rPr>
        <w:t>Locarno</w:t>
      </w:r>
      <w:proofErr w:type="spellEnd"/>
      <w:r w:rsidRPr="00AB07C6">
        <w:rPr>
          <w:bCs/>
          <w:lang w:val="es-ES"/>
        </w:rPr>
        <w:t xml:space="preserve"> y la de la Clasificación de Viena aumentó también en un 14%, un 39,1% y un 7,4% respectivamente.  El acceso a la página principal de la Clasificación de Niza se mantuvo estable, pero en el caso de la página principal de la CIP se produjo una disminución del 6,6%.  Las visitas al manual de normas técnicas de la OMPI también disminuyeron un 26,7% en comparación con 2013, posiblemente debido a los problemas institucionales en el CWS.  En general, los resultados registrados durante el segundo año del bienio fueron mejores que los del primero.</w:t>
      </w:r>
    </w:p>
    <w:p w:rsidR="00FA2BC6" w:rsidRPr="00AB07C6" w:rsidRDefault="00FA2BC6" w:rsidP="00DC1333">
      <w:pPr>
        <w:tabs>
          <w:tab w:val="left" w:pos="709"/>
        </w:tabs>
        <w:jc w:val="both"/>
        <w:rPr>
          <w:bCs/>
          <w:sz w:val="20"/>
        </w:rPr>
      </w:pPr>
    </w:p>
    <w:p w:rsidR="00FA2BC6" w:rsidRPr="00AB07C6" w:rsidRDefault="00FA2BC6" w:rsidP="00FA2BC6">
      <w:pPr>
        <w:pStyle w:val="ListParagraph"/>
        <w:numPr>
          <w:ilvl w:val="0"/>
          <w:numId w:val="71"/>
        </w:numPr>
        <w:tabs>
          <w:tab w:val="left" w:pos="709"/>
        </w:tabs>
        <w:ind w:left="0" w:firstLine="0"/>
        <w:jc w:val="both"/>
        <w:rPr>
          <w:bCs/>
          <w:lang w:val="es-ES"/>
        </w:rPr>
      </w:pPr>
      <w:r w:rsidRPr="00AB07C6">
        <w:rPr>
          <w:rFonts w:eastAsia="MS Mincho"/>
          <w:lang w:val="es-ES" w:eastAsia="ja-JP" w:bidi="th-TH"/>
        </w:rPr>
        <w:t xml:space="preserve">Las actividades del programa 12 siguieron respaldando la aplicación de las recomendaciones 8, 30 y 31 de la A.D. al facilitar el acceso de los países en desarrollo a información sobre patentes a disposición del público.  Por este motivo, contribuyeron también a la labor que se realiza en aras de la transferencia de tecnología.  Entre 2014 y 2015 se produjeron aumentos considerables del porcentaje de visitas de países en desarrollo a las páginas principales de la CIP (9,1%), la Clasificación de Niza (36%), la edición de la clasificación de Niza (11,7%) y el </w:t>
      </w:r>
      <w:r w:rsidRPr="00AB07C6">
        <w:rPr>
          <w:bCs/>
          <w:lang w:val="es-ES"/>
        </w:rPr>
        <w:t xml:space="preserve">manual de normas técnicas de la OMPI (15,7%), mientras que los porcentajes disminuyeron en las páginas principales de la Clasificación de </w:t>
      </w:r>
      <w:proofErr w:type="spellStart"/>
      <w:r w:rsidRPr="00AB07C6">
        <w:rPr>
          <w:bCs/>
          <w:lang w:val="es-ES"/>
        </w:rPr>
        <w:t>Locarno</w:t>
      </w:r>
      <w:proofErr w:type="spellEnd"/>
      <w:r w:rsidRPr="00AB07C6">
        <w:rPr>
          <w:bCs/>
          <w:lang w:val="es-ES"/>
        </w:rPr>
        <w:t xml:space="preserve"> (12,8%) y Viena (31,1%).</w:t>
      </w:r>
    </w:p>
    <w:p w:rsidR="00FA2BC6" w:rsidRPr="00244ADB" w:rsidRDefault="00FA2BC6" w:rsidP="00DC1333">
      <w:pPr>
        <w:jc w:val="both"/>
        <w:rPr>
          <w:bCs/>
          <w:sz w:val="20"/>
        </w:rPr>
      </w:pPr>
    </w:p>
    <w:p w:rsidR="00FA2BC6" w:rsidRPr="00244ADB" w:rsidRDefault="00FA2BC6" w:rsidP="00DC1333">
      <w:pPr>
        <w:jc w:val="both"/>
        <w:rPr>
          <w:bCs/>
          <w:sz w:val="20"/>
        </w:rPr>
      </w:pPr>
    </w:p>
    <w:p w:rsidR="00FA2BC6" w:rsidRPr="00AB07C6" w:rsidRDefault="008F7CBE" w:rsidP="00DC1333">
      <w:pPr>
        <w:keepNext/>
        <w:jc w:val="both"/>
        <w:rPr>
          <w:szCs w:val="22"/>
        </w:rPr>
      </w:pPr>
      <w:r w:rsidRPr="008F7CBE">
        <w:rPr>
          <w:sz w:val="20"/>
          <w:szCs w:val="22"/>
        </w:rPr>
        <w:lastRenderedPageBreak/>
        <w:t>DATOS SOBRE EL RENDIMIENTO</w:t>
      </w:r>
    </w:p>
    <w:p w:rsidR="00FA2BC6" w:rsidRPr="00AB07C6" w:rsidRDefault="00FA2BC6" w:rsidP="00DC1333">
      <w:pPr>
        <w:keepNext/>
        <w:rPr>
          <w:bCs/>
          <w:sz w:val="16"/>
          <w:szCs w:val="16"/>
        </w:rPr>
      </w:pPr>
    </w:p>
    <w:tbl>
      <w:tblPr>
        <w:tblW w:w="5000"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50"/>
        <w:gridCol w:w="2251"/>
        <w:gridCol w:w="281"/>
        <w:gridCol w:w="1405"/>
        <w:gridCol w:w="2111"/>
        <w:gridCol w:w="1273"/>
      </w:tblGrid>
      <w:tr w:rsidR="00FA2BC6" w:rsidRPr="00AB07C6" w:rsidTr="00DC1333">
        <w:trPr>
          <w:trHeight w:val="763"/>
        </w:trPr>
        <w:tc>
          <w:tcPr>
            <w:tcW w:w="5000" w:type="pct"/>
            <w:gridSpan w:val="6"/>
            <w:tcBorders>
              <w:top w:val="single" w:sz="4" w:space="0" w:color="auto"/>
              <w:bottom w:val="single" w:sz="4" w:space="0" w:color="auto"/>
            </w:tcBorders>
            <w:shd w:val="clear" w:color="auto" w:fill="C6D9F1" w:themeFill="text2" w:themeFillTint="33"/>
            <w:vAlign w:val="center"/>
          </w:tcPr>
          <w:p w:rsidR="00FA2BC6" w:rsidRPr="00AB07C6" w:rsidRDefault="00FA2BC6" w:rsidP="00DC1333">
            <w:pPr>
              <w:keepNext/>
              <w:keepLines/>
              <w:spacing w:before="120" w:after="120"/>
              <w:ind w:left="2019" w:hanging="2019"/>
              <w:rPr>
                <w:b/>
                <w:bCs/>
                <w:sz w:val="16"/>
                <w:szCs w:val="16"/>
              </w:rPr>
            </w:pPr>
            <w:r w:rsidRPr="00AB07C6">
              <w:rPr>
                <w:b/>
                <w:bCs/>
                <w:sz w:val="16"/>
                <w:szCs w:val="16"/>
              </w:rPr>
              <w:t>Resultado previsto:</w:t>
            </w:r>
            <w:r w:rsidRPr="00AB07C6">
              <w:rPr>
                <w:b/>
                <w:bCs/>
                <w:sz w:val="16"/>
                <w:szCs w:val="16"/>
              </w:rPr>
              <w:tab/>
            </w:r>
            <w:r w:rsidRPr="00AB07C6">
              <w:rPr>
                <w:sz w:val="16"/>
                <w:szCs w:val="16"/>
              </w:rPr>
              <w:t>IV.1 Sistema actualizado y aceptado mundialmente de clasificaciones internacionales y normas técnicas de la OMPI para facilitar el acceso, el uso y la difusión de información de P.I. entre las partes interesadas de todo el mundo</w:t>
            </w:r>
          </w:p>
        </w:tc>
      </w:tr>
      <w:tr w:rsidR="00FA2BC6" w:rsidRPr="00AB07C6" w:rsidTr="00DC1333">
        <w:tc>
          <w:tcPr>
            <w:tcW w:w="1175" w:type="pct"/>
            <w:tcBorders>
              <w:top w:val="single" w:sz="4" w:space="0" w:color="auto"/>
            </w:tcBorders>
            <w:shd w:val="clear" w:color="auto" w:fill="auto"/>
            <w:vAlign w:val="center"/>
          </w:tcPr>
          <w:p w:rsidR="00FA2BC6" w:rsidRPr="00AB07C6" w:rsidRDefault="00FA2BC6" w:rsidP="00DC1333">
            <w:pPr>
              <w:keepNext/>
              <w:rPr>
                <w:sz w:val="16"/>
                <w:szCs w:val="16"/>
              </w:rPr>
            </w:pPr>
            <w:r w:rsidRPr="00AB07C6">
              <w:rPr>
                <w:b/>
                <w:i/>
                <w:sz w:val="16"/>
                <w:szCs w:val="16"/>
              </w:rPr>
              <w:t>Indicadores de rendimiento</w:t>
            </w:r>
          </w:p>
        </w:tc>
        <w:tc>
          <w:tcPr>
            <w:tcW w:w="1323" w:type="pct"/>
            <w:gridSpan w:val="2"/>
            <w:tcBorders>
              <w:top w:val="single" w:sz="4" w:space="0" w:color="auto"/>
            </w:tcBorders>
            <w:shd w:val="clear" w:color="auto" w:fill="auto"/>
            <w:vAlign w:val="center"/>
          </w:tcPr>
          <w:p w:rsidR="00FA2BC6" w:rsidRPr="00AB07C6" w:rsidRDefault="00FA2BC6" w:rsidP="00DC1333">
            <w:pPr>
              <w:keepNext/>
              <w:rPr>
                <w:b/>
                <w:bCs/>
                <w:sz w:val="16"/>
                <w:szCs w:val="16"/>
              </w:rPr>
            </w:pPr>
            <w:r w:rsidRPr="00AB07C6">
              <w:rPr>
                <w:b/>
                <w:bCs/>
                <w:sz w:val="16"/>
                <w:szCs w:val="16"/>
              </w:rPr>
              <w:t>Referencia</w:t>
            </w:r>
          </w:p>
        </w:tc>
        <w:tc>
          <w:tcPr>
            <w:tcW w:w="732" w:type="pct"/>
            <w:tcBorders>
              <w:top w:val="single" w:sz="4" w:space="0" w:color="auto"/>
            </w:tcBorders>
            <w:shd w:val="clear" w:color="auto" w:fill="auto"/>
            <w:tcMar>
              <w:top w:w="110" w:type="dxa"/>
            </w:tcMar>
            <w:vAlign w:val="center"/>
          </w:tcPr>
          <w:p w:rsidR="00FA2BC6" w:rsidRPr="00AB07C6" w:rsidRDefault="00FA2BC6" w:rsidP="00DC1333">
            <w:pPr>
              <w:keepNext/>
              <w:rPr>
                <w:b/>
                <w:sz w:val="16"/>
                <w:szCs w:val="16"/>
              </w:rPr>
            </w:pPr>
            <w:r w:rsidRPr="00AB07C6">
              <w:rPr>
                <w:b/>
                <w:sz w:val="16"/>
                <w:szCs w:val="16"/>
              </w:rPr>
              <w:t>Objetivos</w:t>
            </w:r>
          </w:p>
        </w:tc>
        <w:tc>
          <w:tcPr>
            <w:tcW w:w="1103" w:type="pct"/>
            <w:tcBorders>
              <w:top w:val="single" w:sz="4" w:space="0" w:color="auto"/>
            </w:tcBorders>
            <w:shd w:val="clear" w:color="auto" w:fill="FFFFFF"/>
            <w:tcMar>
              <w:top w:w="110" w:type="dxa"/>
            </w:tcMar>
            <w:vAlign w:val="center"/>
          </w:tcPr>
          <w:p w:rsidR="00FA2BC6" w:rsidRPr="00AB07C6" w:rsidRDefault="00FA2BC6" w:rsidP="00DC1333">
            <w:pPr>
              <w:keepNext/>
              <w:rPr>
                <w:sz w:val="16"/>
                <w:szCs w:val="16"/>
              </w:rPr>
            </w:pPr>
            <w:r w:rsidRPr="00AB07C6">
              <w:rPr>
                <w:b/>
                <w:sz w:val="16"/>
                <w:szCs w:val="16"/>
              </w:rPr>
              <w:t>Datos sobre el rendimiento</w:t>
            </w:r>
          </w:p>
        </w:tc>
        <w:tc>
          <w:tcPr>
            <w:tcW w:w="667" w:type="pct"/>
            <w:tcBorders>
              <w:top w:val="single" w:sz="4" w:space="0" w:color="auto"/>
              <w:bottom w:val="single" w:sz="4" w:space="0" w:color="auto"/>
            </w:tcBorders>
            <w:shd w:val="clear" w:color="auto" w:fill="auto"/>
            <w:tcMar>
              <w:top w:w="110" w:type="dxa"/>
            </w:tcMar>
            <w:vAlign w:val="center"/>
          </w:tcPr>
          <w:p w:rsidR="00FA2BC6" w:rsidRPr="00AB07C6" w:rsidRDefault="00FA2BC6" w:rsidP="00DC1333">
            <w:pPr>
              <w:keepNext/>
              <w:keepLines/>
              <w:ind w:left="-107"/>
              <w:jc w:val="center"/>
              <w:rPr>
                <w:b/>
                <w:bCs/>
                <w:sz w:val="16"/>
                <w:szCs w:val="16"/>
              </w:rPr>
            </w:pPr>
            <w:r w:rsidRPr="00AB07C6">
              <w:rPr>
                <w:b/>
                <w:bCs/>
                <w:sz w:val="16"/>
                <w:szCs w:val="16"/>
              </w:rPr>
              <w:t>Clave de colores</w:t>
            </w:r>
          </w:p>
        </w:tc>
      </w:tr>
      <w:tr w:rsidR="00FA2BC6" w:rsidRPr="00AB07C6" w:rsidTr="00DC1333">
        <w:tc>
          <w:tcPr>
            <w:tcW w:w="1175" w:type="pct"/>
            <w:shd w:val="clear" w:color="auto" w:fill="auto"/>
          </w:tcPr>
          <w:p w:rsidR="00FA2BC6" w:rsidRPr="00AB07C6" w:rsidRDefault="00FA2BC6" w:rsidP="00DC1333">
            <w:pPr>
              <w:keepNext/>
              <w:rPr>
                <w:sz w:val="16"/>
                <w:szCs w:val="16"/>
              </w:rPr>
            </w:pPr>
            <w:r w:rsidRPr="00AB07C6">
              <w:rPr>
                <w:sz w:val="16"/>
                <w:szCs w:val="16"/>
              </w:rPr>
              <w:t>Número de modificaciones y ficheros de información introducidos en la Clasificación de Niza</w:t>
            </w:r>
          </w:p>
        </w:tc>
        <w:tc>
          <w:tcPr>
            <w:tcW w:w="1323" w:type="pct"/>
            <w:gridSpan w:val="2"/>
            <w:shd w:val="clear" w:color="auto" w:fill="auto"/>
          </w:tcPr>
          <w:p w:rsidR="00FA2BC6" w:rsidRPr="00AB07C6" w:rsidRDefault="00FA2BC6" w:rsidP="00DC1333">
            <w:pPr>
              <w:keepNext/>
              <w:rPr>
                <w:color w:val="002060"/>
                <w:sz w:val="16"/>
                <w:szCs w:val="16"/>
                <w:lang w:bidi="th-TH"/>
              </w:rPr>
            </w:pPr>
            <w:r w:rsidRPr="00AB07C6">
              <w:rPr>
                <w:i/>
                <w:color w:val="002060"/>
                <w:sz w:val="16"/>
                <w:szCs w:val="16"/>
              </w:rPr>
              <w:t xml:space="preserve">Referencia actualizada a fines de 2013:  </w:t>
            </w:r>
          </w:p>
          <w:p w:rsidR="00FA2BC6" w:rsidRPr="00AB07C6" w:rsidRDefault="00FA2BC6" w:rsidP="00DC1333">
            <w:pPr>
              <w:keepNext/>
              <w:rPr>
                <w:color w:val="002060"/>
                <w:sz w:val="16"/>
                <w:szCs w:val="16"/>
                <w:lang w:bidi="th-TH"/>
              </w:rPr>
            </w:pPr>
            <w:r w:rsidRPr="00AB07C6">
              <w:rPr>
                <w:color w:val="002060"/>
                <w:sz w:val="16"/>
                <w:szCs w:val="16"/>
                <w:lang w:bidi="th-TH"/>
              </w:rPr>
              <w:t>423 modificaciones en 2013</w:t>
            </w:r>
            <w:r w:rsidRPr="00AB07C6">
              <w:rPr>
                <w:rStyle w:val="FootnoteReference"/>
                <w:color w:val="002060"/>
                <w:sz w:val="16"/>
                <w:szCs w:val="16"/>
                <w:lang w:bidi="th-TH"/>
              </w:rPr>
              <w:footnoteReference w:id="82"/>
            </w:r>
          </w:p>
          <w:p w:rsidR="00FA2BC6" w:rsidRPr="00AB07C6" w:rsidRDefault="00FA2BC6" w:rsidP="00DC1333">
            <w:pPr>
              <w:keepNext/>
              <w:rPr>
                <w:color w:val="002060"/>
                <w:sz w:val="16"/>
                <w:szCs w:val="16"/>
                <w:lang w:bidi="th-TH"/>
              </w:rPr>
            </w:pPr>
            <w:r w:rsidRPr="00AB07C6">
              <w:rPr>
                <w:color w:val="002060"/>
                <w:sz w:val="16"/>
                <w:szCs w:val="16"/>
                <w:lang w:bidi="th-TH"/>
              </w:rPr>
              <w:t>339 modificaciones en 2012</w:t>
            </w:r>
          </w:p>
          <w:p w:rsidR="00FA2BC6" w:rsidRPr="00AB07C6" w:rsidRDefault="00FA2BC6" w:rsidP="00DC1333">
            <w:pPr>
              <w:keepNext/>
              <w:rPr>
                <w:color w:val="002060"/>
                <w:sz w:val="12"/>
                <w:szCs w:val="12"/>
                <w:lang w:bidi="th-TH"/>
              </w:rPr>
            </w:pPr>
          </w:p>
          <w:p w:rsidR="00FA2BC6" w:rsidRPr="00AB07C6" w:rsidRDefault="00FA2BC6" w:rsidP="00DC1333">
            <w:pPr>
              <w:keepNext/>
              <w:rPr>
                <w:i/>
                <w:color w:val="002060"/>
                <w:sz w:val="16"/>
                <w:szCs w:val="16"/>
              </w:rPr>
            </w:pPr>
            <w:r w:rsidRPr="00AB07C6">
              <w:rPr>
                <w:color w:val="002060"/>
                <w:sz w:val="16"/>
                <w:szCs w:val="16"/>
                <w:lang w:bidi="th-TH"/>
              </w:rPr>
              <w:t>9 ficheros de información revisados y 17 nuevos ficheros de información introducidos</w:t>
            </w:r>
          </w:p>
          <w:p w:rsidR="00FA2BC6" w:rsidRPr="00AB07C6" w:rsidRDefault="00FA2BC6" w:rsidP="00DC1333">
            <w:pPr>
              <w:keepNext/>
              <w:rPr>
                <w:i/>
                <w:sz w:val="8"/>
                <w:szCs w:val="8"/>
              </w:rPr>
            </w:pPr>
          </w:p>
          <w:p w:rsidR="00FA2BC6" w:rsidRPr="00AB07C6" w:rsidRDefault="00FA2BC6" w:rsidP="00DC1333">
            <w:pPr>
              <w:keepNext/>
              <w:rPr>
                <w:sz w:val="16"/>
                <w:szCs w:val="16"/>
              </w:rPr>
            </w:pPr>
            <w:r w:rsidRPr="00AB07C6">
              <w:rPr>
                <w:i/>
                <w:sz w:val="16"/>
                <w:szCs w:val="16"/>
              </w:rPr>
              <w:t>Referencia original en el presupuesto de 2014/15</w:t>
            </w:r>
            <w:proofErr w:type="gramStart"/>
            <w:r w:rsidRPr="00AB07C6">
              <w:rPr>
                <w:i/>
                <w:sz w:val="16"/>
                <w:szCs w:val="16"/>
              </w:rPr>
              <w:t xml:space="preserve">: </w:t>
            </w:r>
            <w:r w:rsidRPr="00AB07C6">
              <w:rPr>
                <w:sz w:val="16"/>
                <w:szCs w:val="16"/>
              </w:rPr>
              <w:t xml:space="preserve"> N</w:t>
            </w:r>
            <w:proofErr w:type="gramEnd"/>
            <w:r w:rsidRPr="00AB07C6">
              <w:rPr>
                <w:sz w:val="16"/>
                <w:szCs w:val="16"/>
              </w:rPr>
              <w:t>º de modificaciones y de ficheros de información introducidos en 2013.</w:t>
            </w:r>
          </w:p>
        </w:tc>
        <w:tc>
          <w:tcPr>
            <w:tcW w:w="732" w:type="pct"/>
            <w:shd w:val="clear" w:color="auto" w:fill="auto"/>
            <w:tcMar>
              <w:top w:w="110" w:type="dxa"/>
            </w:tcMar>
          </w:tcPr>
          <w:p w:rsidR="00FA2BC6" w:rsidRPr="00AB07C6" w:rsidRDefault="00FA2BC6" w:rsidP="00DC1333">
            <w:pPr>
              <w:keepNext/>
              <w:rPr>
                <w:sz w:val="16"/>
                <w:szCs w:val="16"/>
                <w:lang w:bidi="th-TH"/>
              </w:rPr>
            </w:pPr>
            <w:r w:rsidRPr="00AB07C6">
              <w:rPr>
                <w:sz w:val="16"/>
                <w:szCs w:val="16"/>
                <w:lang w:bidi="th-TH"/>
              </w:rPr>
              <w:t>Aumento en comparación con la referencia</w:t>
            </w:r>
          </w:p>
        </w:tc>
        <w:tc>
          <w:tcPr>
            <w:tcW w:w="1103" w:type="pct"/>
            <w:shd w:val="clear" w:color="auto" w:fill="FFFFFF"/>
            <w:tcMar>
              <w:top w:w="110" w:type="dxa"/>
            </w:tcMar>
          </w:tcPr>
          <w:p w:rsidR="00FA2BC6" w:rsidRPr="00AB07C6" w:rsidRDefault="00FA2BC6" w:rsidP="00DC1333">
            <w:pPr>
              <w:keepNext/>
              <w:rPr>
                <w:sz w:val="16"/>
                <w:szCs w:val="16"/>
              </w:rPr>
            </w:pPr>
            <w:r w:rsidRPr="00AB07C6">
              <w:rPr>
                <w:sz w:val="16"/>
                <w:szCs w:val="16"/>
              </w:rPr>
              <w:t xml:space="preserve">1.480 modificaciones en el bienio:  </w:t>
            </w:r>
          </w:p>
          <w:p w:rsidR="00FA2BC6" w:rsidRPr="00AB07C6" w:rsidRDefault="00FA2BC6" w:rsidP="00DC1333">
            <w:pPr>
              <w:keepNext/>
              <w:rPr>
                <w:sz w:val="16"/>
                <w:szCs w:val="16"/>
              </w:rPr>
            </w:pPr>
            <w:r w:rsidRPr="00AB07C6">
              <w:rPr>
                <w:sz w:val="16"/>
                <w:szCs w:val="16"/>
              </w:rPr>
              <w:t>560 modificaciones en 2014</w:t>
            </w:r>
            <w:r w:rsidRPr="00AB07C6">
              <w:rPr>
                <w:rStyle w:val="FootnoteReference"/>
                <w:sz w:val="16"/>
                <w:szCs w:val="16"/>
              </w:rPr>
              <w:footnoteReference w:id="83"/>
            </w:r>
          </w:p>
          <w:p w:rsidR="00FA2BC6" w:rsidRPr="00AB07C6" w:rsidRDefault="00FA2BC6" w:rsidP="00FA2BC6">
            <w:pPr>
              <w:pStyle w:val="Default"/>
              <w:keepNext/>
              <w:keepLines/>
              <w:numPr>
                <w:ilvl w:val="0"/>
                <w:numId w:val="72"/>
              </w:numPr>
              <w:rPr>
                <w:sz w:val="16"/>
                <w:szCs w:val="16"/>
                <w:lang w:val="es-ES"/>
              </w:rPr>
            </w:pPr>
            <w:r w:rsidRPr="00AB07C6">
              <w:rPr>
                <w:sz w:val="16"/>
                <w:szCs w:val="16"/>
                <w:lang w:val="es-ES"/>
              </w:rPr>
              <w:t>274 en inglés</w:t>
            </w:r>
          </w:p>
          <w:p w:rsidR="00FA2BC6" w:rsidRPr="00AB07C6" w:rsidRDefault="00FA2BC6" w:rsidP="00FA2BC6">
            <w:pPr>
              <w:pStyle w:val="Default"/>
              <w:keepNext/>
              <w:keepLines/>
              <w:numPr>
                <w:ilvl w:val="0"/>
                <w:numId w:val="72"/>
              </w:numPr>
              <w:rPr>
                <w:sz w:val="16"/>
                <w:szCs w:val="16"/>
                <w:lang w:val="es-ES"/>
              </w:rPr>
            </w:pPr>
            <w:r w:rsidRPr="00AB07C6">
              <w:rPr>
                <w:sz w:val="16"/>
                <w:szCs w:val="16"/>
                <w:lang w:val="es-ES"/>
              </w:rPr>
              <w:t>286 en francés</w:t>
            </w:r>
          </w:p>
          <w:p w:rsidR="00FA2BC6" w:rsidRPr="00AB07C6" w:rsidRDefault="00FA2BC6" w:rsidP="00DC1333">
            <w:pPr>
              <w:keepNext/>
              <w:rPr>
                <w:sz w:val="16"/>
                <w:szCs w:val="16"/>
              </w:rPr>
            </w:pPr>
          </w:p>
          <w:p w:rsidR="00FA2BC6" w:rsidRPr="00AB07C6" w:rsidRDefault="00FA2BC6" w:rsidP="00DC1333">
            <w:pPr>
              <w:keepNext/>
              <w:rPr>
                <w:sz w:val="16"/>
                <w:szCs w:val="16"/>
              </w:rPr>
            </w:pPr>
            <w:r w:rsidRPr="00AB07C6">
              <w:rPr>
                <w:sz w:val="16"/>
                <w:szCs w:val="16"/>
              </w:rPr>
              <w:t>920 modificaciones en 2015</w:t>
            </w:r>
          </w:p>
          <w:p w:rsidR="00FA2BC6" w:rsidRPr="00AB07C6" w:rsidRDefault="00FA2BC6" w:rsidP="00FA2BC6">
            <w:pPr>
              <w:pStyle w:val="Default"/>
              <w:keepNext/>
              <w:keepLines/>
              <w:numPr>
                <w:ilvl w:val="0"/>
                <w:numId w:val="72"/>
              </w:numPr>
              <w:rPr>
                <w:sz w:val="16"/>
                <w:szCs w:val="16"/>
                <w:lang w:val="es-ES"/>
              </w:rPr>
            </w:pPr>
            <w:r w:rsidRPr="00AB07C6">
              <w:rPr>
                <w:sz w:val="16"/>
                <w:szCs w:val="16"/>
                <w:lang w:val="es-ES"/>
              </w:rPr>
              <w:t>496 en inglés</w:t>
            </w:r>
          </w:p>
          <w:p w:rsidR="00FA2BC6" w:rsidRPr="00AB07C6" w:rsidRDefault="00FA2BC6" w:rsidP="00FA2BC6">
            <w:pPr>
              <w:pStyle w:val="Default"/>
              <w:keepNext/>
              <w:keepLines/>
              <w:numPr>
                <w:ilvl w:val="0"/>
                <w:numId w:val="72"/>
              </w:numPr>
              <w:rPr>
                <w:sz w:val="16"/>
                <w:szCs w:val="16"/>
                <w:lang w:val="es-ES"/>
              </w:rPr>
            </w:pPr>
            <w:r w:rsidRPr="00AB07C6">
              <w:rPr>
                <w:sz w:val="16"/>
                <w:szCs w:val="16"/>
                <w:lang w:val="es-ES"/>
              </w:rPr>
              <w:t>424 en francés</w:t>
            </w:r>
          </w:p>
          <w:p w:rsidR="00FA2BC6" w:rsidRPr="00AB07C6" w:rsidRDefault="00FA2BC6" w:rsidP="00DC1333">
            <w:pPr>
              <w:keepNext/>
              <w:rPr>
                <w:sz w:val="16"/>
                <w:szCs w:val="16"/>
              </w:rPr>
            </w:pPr>
          </w:p>
          <w:p w:rsidR="00FA2BC6" w:rsidRPr="00AB07C6" w:rsidRDefault="00FA2BC6" w:rsidP="00DC1333">
            <w:pPr>
              <w:keepNext/>
              <w:rPr>
                <w:sz w:val="16"/>
                <w:szCs w:val="16"/>
              </w:rPr>
            </w:pPr>
            <w:r w:rsidRPr="00AB07C6">
              <w:rPr>
                <w:sz w:val="16"/>
                <w:szCs w:val="16"/>
              </w:rPr>
              <w:t>43 ficheros de información revisados</w:t>
            </w:r>
          </w:p>
          <w:p w:rsidR="00FA2BC6" w:rsidRPr="00AB07C6" w:rsidRDefault="00FA2BC6" w:rsidP="00FA2BC6">
            <w:pPr>
              <w:pStyle w:val="Default"/>
              <w:keepNext/>
              <w:keepLines/>
              <w:numPr>
                <w:ilvl w:val="0"/>
                <w:numId w:val="72"/>
              </w:numPr>
              <w:rPr>
                <w:sz w:val="16"/>
                <w:szCs w:val="16"/>
                <w:lang w:val="es-ES"/>
              </w:rPr>
            </w:pPr>
            <w:r w:rsidRPr="00AB07C6">
              <w:rPr>
                <w:sz w:val="16"/>
                <w:szCs w:val="16"/>
                <w:lang w:val="es-ES"/>
              </w:rPr>
              <w:t>39 (2014)</w:t>
            </w:r>
          </w:p>
          <w:p w:rsidR="00FA2BC6" w:rsidRPr="00AB07C6" w:rsidRDefault="00FA2BC6" w:rsidP="00FA2BC6">
            <w:pPr>
              <w:pStyle w:val="Default"/>
              <w:keepNext/>
              <w:keepLines/>
              <w:numPr>
                <w:ilvl w:val="0"/>
                <w:numId w:val="72"/>
              </w:numPr>
              <w:rPr>
                <w:sz w:val="16"/>
                <w:szCs w:val="16"/>
                <w:lang w:val="es-ES"/>
              </w:rPr>
            </w:pPr>
            <w:r w:rsidRPr="00AB07C6">
              <w:rPr>
                <w:sz w:val="16"/>
                <w:szCs w:val="16"/>
                <w:lang w:val="es-ES"/>
              </w:rPr>
              <w:t>4 (2015)</w:t>
            </w:r>
          </w:p>
          <w:p w:rsidR="00FA2BC6" w:rsidRPr="00AB07C6" w:rsidRDefault="00FA2BC6" w:rsidP="00DC1333">
            <w:pPr>
              <w:keepNext/>
              <w:rPr>
                <w:sz w:val="16"/>
                <w:szCs w:val="16"/>
              </w:rPr>
            </w:pPr>
          </w:p>
          <w:p w:rsidR="00FA2BC6" w:rsidRPr="00AB07C6" w:rsidRDefault="00FA2BC6" w:rsidP="00DC1333">
            <w:pPr>
              <w:keepNext/>
              <w:rPr>
                <w:sz w:val="16"/>
                <w:szCs w:val="16"/>
              </w:rPr>
            </w:pPr>
            <w:r w:rsidRPr="00AB07C6">
              <w:rPr>
                <w:sz w:val="16"/>
                <w:szCs w:val="16"/>
              </w:rPr>
              <w:t>25 nuevos ficheros de información introducidos</w:t>
            </w:r>
          </w:p>
          <w:p w:rsidR="00FA2BC6" w:rsidRPr="00AB07C6" w:rsidRDefault="00FA2BC6" w:rsidP="00FA2BC6">
            <w:pPr>
              <w:pStyle w:val="Default"/>
              <w:keepNext/>
              <w:keepLines/>
              <w:numPr>
                <w:ilvl w:val="0"/>
                <w:numId w:val="72"/>
              </w:numPr>
              <w:rPr>
                <w:sz w:val="16"/>
                <w:szCs w:val="16"/>
                <w:lang w:val="es-ES"/>
              </w:rPr>
            </w:pPr>
            <w:r w:rsidRPr="00AB07C6">
              <w:rPr>
                <w:sz w:val="16"/>
                <w:szCs w:val="16"/>
                <w:lang w:val="es-ES"/>
              </w:rPr>
              <w:t>20 (2014)</w:t>
            </w:r>
          </w:p>
          <w:p w:rsidR="00FA2BC6" w:rsidRPr="00AB07C6" w:rsidRDefault="00FA2BC6" w:rsidP="00FA2BC6">
            <w:pPr>
              <w:pStyle w:val="Default"/>
              <w:keepNext/>
              <w:keepLines/>
              <w:numPr>
                <w:ilvl w:val="0"/>
                <w:numId w:val="72"/>
              </w:numPr>
              <w:rPr>
                <w:sz w:val="16"/>
                <w:szCs w:val="16"/>
                <w:lang w:val="es-ES"/>
              </w:rPr>
            </w:pPr>
            <w:r w:rsidRPr="00AB07C6">
              <w:rPr>
                <w:sz w:val="16"/>
                <w:szCs w:val="16"/>
                <w:lang w:val="es-ES"/>
              </w:rPr>
              <w:t>5 (2015)</w:t>
            </w:r>
          </w:p>
        </w:tc>
        <w:tc>
          <w:tcPr>
            <w:tcW w:w="667" w:type="pct"/>
            <w:tcBorders>
              <w:top w:val="single" w:sz="4" w:space="0" w:color="auto"/>
              <w:bottom w:val="nil"/>
            </w:tcBorders>
            <w:shd w:val="clear" w:color="auto" w:fill="auto"/>
            <w:tcMar>
              <w:top w:w="110" w:type="dxa"/>
            </w:tcMar>
          </w:tcPr>
          <w:p w:rsidR="00FA2BC6" w:rsidRPr="00AB07C6" w:rsidRDefault="00FA2BC6" w:rsidP="00DC1333">
            <w:pPr>
              <w:keepNext/>
              <w:keepLines/>
              <w:ind w:left="-107" w:right="-107"/>
              <w:jc w:val="center"/>
              <w:rPr>
                <w:b/>
                <w:bCs/>
                <w:color w:val="00B050"/>
                <w:sz w:val="16"/>
                <w:szCs w:val="16"/>
              </w:rPr>
            </w:pPr>
            <w:r w:rsidRPr="00AB07C6">
              <w:rPr>
                <w:b/>
                <w:bCs/>
                <w:color w:val="00B050"/>
                <w:sz w:val="16"/>
                <w:szCs w:val="16"/>
              </w:rPr>
              <w:t>Plenamente logrado</w:t>
            </w:r>
          </w:p>
          <w:p w:rsidR="00FA2BC6" w:rsidRPr="00AB07C6" w:rsidRDefault="00FA2BC6" w:rsidP="00DC1333">
            <w:pPr>
              <w:keepNext/>
              <w:keepLines/>
              <w:ind w:left="-107" w:right="-107"/>
              <w:jc w:val="center"/>
              <w:rPr>
                <w:b/>
                <w:bCs/>
                <w:color w:val="00B050"/>
                <w:sz w:val="16"/>
                <w:szCs w:val="16"/>
              </w:rPr>
            </w:pPr>
          </w:p>
          <w:p w:rsidR="00FA2BC6" w:rsidRPr="00AB07C6" w:rsidRDefault="00FA2BC6" w:rsidP="00DC1333">
            <w:pPr>
              <w:keepNext/>
              <w:keepLines/>
              <w:ind w:left="-107" w:right="-107"/>
              <w:jc w:val="center"/>
              <w:rPr>
                <w:b/>
                <w:bCs/>
                <w:color w:val="00B050"/>
                <w:sz w:val="16"/>
                <w:szCs w:val="16"/>
              </w:rPr>
            </w:pPr>
          </w:p>
          <w:p w:rsidR="00FA2BC6" w:rsidRPr="00AB07C6" w:rsidRDefault="00FA2BC6" w:rsidP="00DC1333">
            <w:pPr>
              <w:keepNext/>
              <w:keepLines/>
              <w:ind w:left="-107" w:right="-107"/>
              <w:jc w:val="center"/>
              <w:rPr>
                <w:b/>
                <w:bCs/>
                <w:color w:val="00B050"/>
                <w:sz w:val="16"/>
                <w:szCs w:val="16"/>
              </w:rPr>
            </w:pPr>
          </w:p>
          <w:p w:rsidR="00FA2BC6" w:rsidRPr="00AB07C6" w:rsidRDefault="00FA2BC6" w:rsidP="00DC1333">
            <w:pPr>
              <w:keepNext/>
              <w:keepLines/>
              <w:ind w:left="-107" w:right="-107"/>
              <w:jc w:val="center"/>
              <w:rPr>
                <w:b/>
                <w:bCs/>
                <w:color w:val="00B050"/>
                <w:sz w:val="16"/>
                <w:szCs w:val="16"/>
              </w:rPr>
            </w:pPr>
          </w:p>
          <w:p w:rsidR="00FA2BC6" w:rsidRPr="00AB07C6" w:rsidRDefault="00FA2BC6" w:rsidP="00DC1333">
            <w:pPr>
              <w:keepNext/>
              <w:keepLines/>
              <w:ind w:left="-107" w:right="-107"/>
              <w:jc w:val="center"/>
              <w:rPr>
                <w:b/>
                <w:bCs/>
                <w:color w:val="00B050"/>
                <w:sz w:val="16"/>
                <w:szCs w:val="16"/>
              </w:rPr>
            </w:pPr>
          </w:p>
          <w:p w:rsidR="00FA2BC6" w:rsidRPr="00AB07C6" w:rsidRDefault="00FA2BC6" w:rsidP="00DC1333">
            <w:pPr>
              <w:keepNext/>
              <w:keepLines/>
              <w:ind w:left="-107" w:right="-107"/>
              <w:jc w:val="center"/>
              <w:rPr>
                <w:b/>
                <w:bCs/>
                <w:color w:val="00B050"/>
                <w:sz w:val="16"/>
                <w:szCs w:val="16"/>
              </w:rPr>
            </w:pPr>
          </w:p>
          <w:p w:rsidR="00FA2BC6" w:rsidRPr="00AB07C6" w:rsidRDefault="00FA2BC6" w:rsidP="00DC1333">
            <w:pPr>
              <w:keepNext/>
              <w:keepLines/>
              <w:ind w:left="-107" w:right="-107"/>
              <w:jc w:val="center"/>
              <w:rPr>
                <w:b/>
                <w:bCs/>
                <w:color w:val="00B050"/>
                <w:sz w:val="16"/>
                <w:szCs w:val="16"/>
              </w:rPr>
            </w:pPr>
          </w:p>
          <w:p w:rsidR="00FA2BC6" w:rsidRPr="00AB07C6" w:rsidRDefault="00FA2BC6" w:rsidP="00DC1333">
            <w:pPr>
              <w:keepNext/>
              <w:keepLines/>
              <w:ind w:left="-107" w:right="-107"/>
              <w:jc w:val="center"/>
              <w:rPr>
                <w:b/>
                <w:bCs/>
                <w:color w:val="00B050"/>
                <w:sz w:val="16"/>
                <w:szCs w:val="16"/>
              </w:rPr>
            </w:pPr>
          </w:p>
          <w:p w:rsidR="00FA2BC6" w:rsidRPr="00AB07C6" w:rsidRDefault="00FA2BC6" w:rsidP="00DC1333">
            <w:pPr>
              <w:keepNext/>
              <w:keepLines/>
              <w:ind w:left="-107" w:right="-107"/>
              <w:jc w:val="center"/>
              <w:rPr>
                <w:b/>
                <w:bCs/>
                <w:color w:val="00B050"/>
                <w:sz w:val="16"/>
                <w:szCs w:val="16"/>
              </w:rPr>
            </w:pPr>
          </w:p>
          <w:p w:rsidR="00FA2BC6" w:rsidRPr="00AB07C6" w:rsidRDefault="00FA2BC6" w:rsidP="00DC1333">
            <w:pPr>
              <w:keepNext/>
              <w:keepLines/>
              <w:ind w:left="-107" w:right="-107"/>
              <w:jc w:val="center"/>
              <w:rPr>
                <w:b/>
                <w:bCs/>
                <w:color w:val="00B050"/>
                <w:sz w:val="16"/>
                <w:szCs w:val="16"/>
              </w:rPr>
            </w:pPr>
          </w:p>
          <w:p w:rsidR="00FA2BC6" w:rsidRPr="00AB07C6" w:rsidRDefault="00FA2BC6" w:rsidP="00DC1333">
            <w:pPr>
              <w:keepNext/>
              <w:keepLines/>
              <w:ind w:left="-107" w:right="-107"/>
              <w:jc w:val="center"/>
              <w:rPr>
                <w:b/>
                <w:bCs/>
                <w:color w:val="00B050"/>
                <w:sz w:val="16"/>
                <w:szCs w:val="16"/>
              </w:rPr>
            </w:pPr>
            <w:r w:rsidRPr="00AB07C6">
              <w:rPr>
                <w:b/>
                <w:bCs/>
                <w:color w:val="00B050"/>
                <w:sz w:val="16"/>
                <w:szCs w:val="16"/>
              </w:rPr>
              <w:t>Plenamente logrado</w:t>
            </w:r>
          </w:p>
          <w:p w:rsidR="00FA2BC6" w:rsidRPr="00AB07C6" w:rsidRDefault="00FA2BC6" w:rsidP="00DC1333">
            <w:pPr>
              <w:keepNext/>
              <w:keepLines/>
              <w:ind w:left="-107" w:right="-107"/>
              <w:jc w:val="center"/>
              <w:rPr>
                <w:b/>
                <w:bCs/>
                <w:color w:val="00B050"/>
                <w:sz w:val="16"/>
                <w:szCs w:val="16"/>
              </w:rPr>
            </w:pPr>
          </w:p>
          <w:p w:rsidR="00FA2BC6" w:rsidRPr="00AB07C6" w:rsidRDefault="00FA2BC6" w:rsidP="00DC1333">
            <w:pPr>
              <w:keepNext/>
              <w:keepLines/>
              <w:ind w:left="-107" w:right="-107"/>
              <w:jc w:val="center"/>
              <w:rPr>
                <w:b/>
                <w:bCs/>
                <w:color w:val="00B050"/>
                <w:sz w:val="16"/>
                <w:szCs w:val="16"/>
              </w:rPr>
            </w:pPr>
          </w:p>
          <w:p w:rsidR="00FA2BC6" w:rsidRPr="00AB07C6" w:rsidRDefault="00FA2BC6" w:rsidP="00DC1333">
            <w:pPr>
              <w:keepNext/>
              <w:keepLines/>
              <w:ind w:left="-107" w:right="-107"/>
              <w:jc w:val="center"/>
              <w:rPr>
                <w:b/>
                <w:bCs/>
                <w:color w:val="00B050"/>
                <w:sz w:val="16"/>
                <w:szCs w:val="16"/>
              </w:rPr>
            </w:pPr>
          </w:p>
          <w:p w:rsidR="00FA2BC6" w:rsidRPr="00AB07C6" w:rsidRDefault="00FA2BC6" w:rsidP="00DC1333">
            <w:pPr>
              <w:keepNext/>
              <w:keepLines/>
              <w:ind w:left="-107" w:right="-107"/>
              <w:jc w:val="center"/>
              <w:rPr>
                <w:b/>
                <w:bCs/>
                <w:color w:val="00B050"/>
                <w:sz w:val="16"/>
                <w:szCs w:val="16"/>
              </w:rPr>
            </w:pPr>
            <w:r w:rsidRPr="00AB07C6">
              <w:rPr>
                <w:b/>
                <w:bCs/>
                <w:color w:val="00B050"/>
                <w:sz w:val="16"/>
                <w:szCs w:val="16"/>
              </w:rPr>
              <w:t>Plenamente logrado</w:t>
            </w:r>
          </w:p>
        </w:tc>
      </w:tr>
      <w:tr w:rsidR="00FA2BC6" w:rsidRPr="00AB07C6" w:rsidTr="00DC1333">
        <w:tc>
          <w:tcPr>
            <w:tcW w:w="1175" w:type="pct"/>
            <w:shd w:val="clear" w:color="auto" w:fill="auto"/>
            <w:vAlign w:val="center"/>
          </w:tcPr>
          <w:p w:rsidR="00FA2BC6" w:rsidRPr="00AB07C6" w:rsidRDefault="00FA2BC6" w:rsidP="00DC1333">
            <w:pPr>
              <w:rPr>
                <w:sz w:val="16"/>
                <w:szCs w:val="16"/>
              </w:rPr>
            </w:pPr>
            <w:r w:rsidRPr="00AB07C6">
              <w:rPr>
                <w:b/>
                <w:sz w:val="16"/>
                <w:szCs w:val="16"/>
              </w:rPr>
              <w:t>Indicadores de rendimiento</w:t>
            </w:r>
          </w:p>
        </w:tc>
        <w:tc>
          <w:tcPr>
            <w:tcW w:w="1176" w:type="pct"/>
            <w:shd w:val="clear" w:color="auto" w:fill="auto"/>
            <w:vAlign w:val="center"/>
          </w:tcPr>
          <w:p w:rsidR="00FA2BC6" w:rsidRPr="00AB07C6" w:rsidRDefault="00FA2BC6" w:rsidP="00DC1333">
            <w:pPr>
              <w:rPr>
                <w:b/>
                <w:bCs/>
                <w:sz w:val="16"/>
                <w:szCs w:val="16"/>
              </w:rPr>
            </w:pPr>
            <w:r w:rsidRPr="00AB07C6">
              <w:rPr>
                <w:b/>
                <w:bCs/>
                <w:sz w:val="16"/>
                <w:szCs w:val="16"/>
              </w:rPr>
              <w:t>Referencia</w:t>
            </w:r>
          </w:p>
        </w:tc>
        <w:tc>
          <w:tcPr>
            <w:tcW w:w="881" w:type="pct"/>
            <w:gridSpan w:val="2"/>
            <w:shd w:val="clear" w:color="auto" w:fill="auto"/>
            <w:tcMar>
              <w:top w:w="110" w:type="dxa"/>
            </w:tcMar>
            <w:vAlign w:val="center"/>
          </w:tcPr>
          <w:p w:rsidR="00FA2BC6" w:rsidRPr="00AB07C6" w:rsidRDefault="00FA2BC6" w:rsidP="00DC1333">
            <w:pPr>
              <w:rPr>
                <w:b/>
                <w:sz w:val="16"/>
                <w:szCs w:val="16"/>
              </w:rPr>
            </w:pPr>
            <w:r w:rsidRPr="00AB07C6">
              <w:rPr>
                <w:b/>
                <w:sz w:val="16"/>
                <w:szCs w:val="16"/>
              </w:rPr>
              <w:t>Objetivos</w:t>
            </w:r>
          </w:p>
        </w:tc>
        <w:tc>
          <w:tcPr>
            <w:tcW w:w="1103" w:type="pct"/>
            <w:shd w:val="clear" w:color="auto" w:fill="FFFFFF"/>
            <w:tcMar>
              <w:top w:w="110" w:type="dxa"/>
            </w:tcMar>
            <w:vAlign w:val="center"/>
          </w:tcPr>
          <w:p w:rsidR="00FA2BC6" w:rsidRPr="00AB07C6" w:rsidRDefault="00FA2BC6" w:rsidP="00DC1333">
            <w:pPr>
              <w:rPr>
                <w:sz w:val="16"/>
                <w:szCs w:val="16"/>
              </w:rPr>
            </w:pPr>
            <w:r w:rsidRPr="00AB07C6">
              <w:rPr>
                <w:b/>
                <w:sz w:val="16"/>
                <w:szCs w:val="16"/>
              </w:rPr>
              <w:t>Datos sobre el rendimiento</w:t>
            </w:r>
          </w:p>
        </w:tc>
        <w:tc>
          <w:tcPr>
            <w:tcW w:w="665" w:type="pct"/>
            <w:tcBorders>
              <w:top w:val="nil"/>
            </w:tcBorders>
            <w:shd w:val="clear" w:color="auto" w:fill="auto"/>
            <w:tcMar>
              <w:top w:w="110" w:type="dxa"/>
            </w:tcMar>
            <w:vAlign w:val="center"/>
          </w:tcPr>
          <w:p w:rsidR="00FA2BC6" w:rsidRPr="00AB07C6" w:rsidRDefault="00FA2BC6" w:rsidP="00DC1333">
            <w:pPr>
              <w:keepNext/>
              <w:keepLines/>
              <w:ind w:left="-107"/>
              <w:jc w:val="center"/>
              <w:rPr>
                <w:b/>
                <w:bCs/>
                <w:sz w:val="16"/>
                <w:szCs w:val="16"/>
              </w:rPr>
            </w:pPr>
            <w:r w:rsidRPr="00AB07C6">
              <w:rPr>
                <w:b/>
                <w:bCs/>
                <w:sz w:val="16"/>
                <w:szCs w:val="16"/>
              </w:rPr>
              <w:t>Clave de colores</w:t>
            </w:r>
          </w:p>
        </w:tc>
      </w:tr>
      <w:tr w:rsidR="00FA2BC6" w:rsidRPr="00AB07C6" w:rsidTr="00DC1333">
        <w:tc>
          <w:tcPr>
            <w:tcW w:w="1175" w:type="pct"/>
            <w:shd w:val="clear" w:color="auto" w:fill="auto"/>
          </w:tcPr>
          <w:p w:rsidR="00FA2BC6" w:rsidRPr="00AB07C6" w:rsidRDefault="00FA2BC6" w:rsidP="00DC1333">
            <w:pPr>
              <w:rPr>
                <w:sz w:val="16"/>
                <w:szCs w:val="16"/>
              </w:rPr>
            </w:pPr>
            <w:r>
              <w:rPr>
                <w:sz w:val="16"/>
                <w:szCs w:val="16"/>
              </w:rPr>
              <w:t>Nº</w:t>
            </w:r>
            <w:r w:rsidRPr="00AB07C6">
              <w:rPr>
                <w:sz w:val="16"/>
                <w:szCs w:val="16"/>
              </w:rPr>
              <w:t xml:space="preserve"> de nuevas subdivisiones introducidas anualmente en la CIP</w:t>
            </w:r>
          </w:p>
        </w:tc>
        <w:tc>
          <w:tcPr>
            <w:tcW w:w="1176" w:type="pct"/>
            <w:shd w:val="clear" w:color="auto" w:fill="auto"/>
          </w:tcPr>
          <w:p w:rsidR="00FA2BC6" w:rsidRPr="00AB07C6" w:rsidRDefault="00FA2BC6" w:rsidP="00DC1333">
            <w:pPr>
              <w:rPr>
                <w:color w:val="002060"/>
                <w:sz w:val="16"/>
                <w:szCs w:val="16"/>
              </w:rPr>
            </w:pPr>
            <w:r w:rsidRPr="00AB07C6">
              <w:rPr>
                <w:i/>
                <w:color w:val="002060"/>
                <w:sz w:val="16"/>
                <w:szCs w:val="16"/>
              </w:rPr>
              <w:t xml:space="preserve">Referencia actualizada a fines de 2013:  </w:t>
            </w:r>
            <w:r w:rsidRPr="00AB07C6">
              <w:rPr>
                <w:color w:val="002060"/>
                <w:sz w:val="16"/>
                <w:szCs w:val="16"/>
              </w:rPr>
              <w:t>617</w:t>
            </w:r>
          </w:p>
          <w:p w:rsidR="00FA2BC6" w:rsidRPr="00AB07C6" w:rsidRDefault="00FA2BC6" w:rsidP="00DC1333">
            <w:pPr>
              <w:rPr>
                <w:i/>
                <w:sz w:val="8"/>
                <w:szCs w:val="8"/>
              </w:rPr>
            </w:pPr>
          </w:p>
          <w:p w:rsidR="00FA2BC6" w:rsidRPr="00AB07C6" w:rsidRDefault="00FA2BC6" w:rsidP="00DC1333">
            <w:pPr>
              <w:rPr>
                <w:i/>
                <w:color w:val="002060"/>
                <w:sz w:val="16"/>
                <w:szCs w:val="16"/>
              </w:rPr>
            </w:pPr>
            <w:r w:rsidRPr="00AB07C6">
              <w:rPr>
                <w:i/>
                <w:sz w:val="16"/>
                <w:szCs w:val="16"/>
              </w:rPr>
              <w:t>Referencia original en el presupuesto de 2014/15:</w:t>
            </w:r>
            <w:r w:rsidRPr="00AB07C6">
              <w:rPr>
                <w:sz w:val="16"/>
                <w:szCs w:val="16"/>
              </w:rPr>
              <w:t xml:space="preserve">  500 nuevos grupos, promedio 2009-13</w:t>
            </w:r>
          </w:p>
        </w:tc>
        <w:tc>
          <w:tcPr>
            <w:tcW w:w="881" w:type="pct"/>
            <w:gridSpan w:val="2"/>
            <w:shd w:val="clear" w:color="auto" w:fill="auto"/>
            <w:tcMar>
              <w:top w:w="110" w:type="dxa"/>
            </w:tcMar>
          </w:tcPr>
          <w:p w:rsidR="00FA2BC6" w:rsidRPr="00AB07C6" w:rsidRDefault="00FA2BC6" w:rsidP="00DC1333">
            <w:pPr>
              <w:rPr>
                <w:sz w:val="16"/>
                <w:szCs w:val="16"/>
              </w:rPr>
            </w:pPr>
            <w:r w:rsidRPr="00AB07C6">
              <w:rPr>
                <w:sz w:val="16"/>
                <w:szCs w:val="16"/>
              </w:rPr>
              <w:t>800 nuevos grupos por año</w:t>
            </w:r>
          </w:p>
        </w:tc>
        <w:tc>
          <w:tcPr>
            <w:tcW w:w="1103" w:type="pct"/>
            <w:shd w:val="clear" w:color="auto" w:fill="FFFFFF"/>
            <w:tcMar>
              <w:top w:w="110" w:type="dxa"/>
            </w:tcMar>
          </w:tcPr>
          <w:p w:rsidR="00FA2BC6" w:rsidRPr="00AB07C6" w:rsidRDefault="00FA2BC6" w:rsidP="00DC1333">
            <w:pPr>
              <w:rPr>
                <w:color w:val="000000"/>
                <w:sz w:val="16"/>
                <w:szCs w:val="16"/>
              </w:rPr>
            </w:pPr>
            <w:r w:rsidRPr="00AB07C6">
              <w:rPr>
                <w:color w:val="000000"/>
                <w:sz w:val="16"/>
                <w:szCs w:val="16"/>
              </w:rPr>
              <w:t>2014:  Introducción de 337 nuevos grupos en la versión 2015.01 de la CIP</w:t>
            </w:r>
          </w:p>
          <w:p w:rsidR="00FA2BC6" w:rsidRPr="00AB07C6" w:rsidRDefault="00FA2BC6" w:rsidP="00DC1333">
            <w:pPr>
              <w:rPr>
                <w:color w:val="000000"/>
                <w:sz w:val="6"/>
                <w:szCs w:val="6"/>
              </w:rPr>
            </w:pPr>
          </w:p>
          <w:p w:rsidR="00FA2BC6" w:rsidRPr="00AB07C6" w:rsidRDefault="00FA2BC6" w:rsidP="00DC1333">
            <w:pPr>
              <w:rPr>
                <w:sz w:val="8"/>
                <w:szCs w:val="8"/>
                <w:lang w:bidi="th-TH"/>
              </w:rPr>
            </w:pPr>
            <w:r w:rsidRPr="00AB07C6">
              <w:rPr>
                <w:color w:val="000000"/>
                <w:sz w:val="16"/>
                <w:szCs w:val="16"/>
              </w:rPr>
              <w:t>2015:  Introducción de 1.031 nuevos grupos en la versión 2016.01 de la CIP</w:t>
            </w:r>
          </w:p>
        </w:tc>
        <w:tc>
          <w:tcPr>
            <w:tcW w:w="665" w:type="pct"/>
            <w:shd w:val="clear" w:color="auto" w:fill="auto"/>
            <w:tcMar>
              <w:top w:w="110" w:type="dxa"/>
            </w:tcMar>
          </w:tcPr>
          <w:p w:rsidR="00FA2BC6" w:rsidRPr="00AB07C6" w:rsidRDefault="00FA2BC6" w:rsidP="00DC1333">
            <w:pPr>
              <w:keepNext/>
              <w:keepLines/>
              <w:ind w:left="-107" w:right="-107"/>
              <w:jc w:val="center"/>
              <w:rPr>
                <w:b/>
                <w:bCs/>
                <w:color w:val="E36C0A" w:themeColor="accent6" w:themeShade="BF"/>
                <w:sz w:val="16"/>
                <w:szCs w:val="16"/>
              </w:rPr>
            </w:pPr>
            <w:r w:rsidRPr="00AB07C6">
              <w:rPr>
                <w:b/>
                <w:bCs/>
                <w:color w:val="E36C0A" w:themeColor="accent6" w:themeShade="BF"/>
                <w:sz w:val="16"/>
                <w:szCs w:val="16"/>
              </w:rPr>
              <w:t>Parcialmente logrado</w:t>
            </w:r>
          </w:p>
          <w:p w:rsidR="00FA2BC6" w:rsidRPr="00AB07C6" w:rsidRDefault="00FA2BC6" w:rsidP="00DC1333">
            <w:pPr>
              <w:keepNext/>
              <w:keepLines/>
              <w:ind w:left="-107" w:right="-107"/>
              <w:jc w:val="center"/>
              <w:rPr>
                <w:b/>
                <w:bCs/>
                <w:color w:val="E36C0A" w:themeColor="accent6" w:themeShade="BF"/>
                <w:sz w:val="16"/>
                <w:szCs w:val="16"/>
              </w:rPr>
            </w:pPr>
          </w:p>
          <w:p w:rsidR="00FA2BC6" w:rsidRPr="00AB07C6" w:rsidRDefault="00FA2BC6" w:rsidP="00DC1333">
            <w:pPr>
              <w:keepNext/>
              <w:keepLines/>
              <w:ind w:left="-107" w:right="-107"/>
              <w:jc w:val="center"/>
              <w:rPr>
                <w:b/>
                <w:bCs/>
                <w:color w:val="E36C0A" w:themeColor="accent6" w:themeShade="BF"/>
                <w:sz w:val="16"/>
                <w:szCs w:val="16"/>
              </w:rPr>
            </w:pPr>
          </w:p>
          <w:p w:rsidR="00FA2BC6" w:rsidRPr="00AB07C6" w:rsidRDefault="00FA2BC6" w:rsidP="00DC1333">
            <w:pPr>
              <w:keepNext/>
              <w:keepLines/>
              <w:ind w:left="-107" w:right="-107"/>
              <w:jc w:val="center"/>
              <w:rPr>
                <w:b/>
                <w:bCs/>
                <w:color w:val="FF0000"/>
                <w:sz w:val="16"/>
                <w:szCs w:val="16"/>
              </w:rPr>
            </w:pPr>
            <w:r w:rsidRPr="00AB07C6">
              <w:rPr>
                <w:b/>
                <w:bCs/>
                <w:color w:val="00B050"/>
                <w:sz w:val="16"/>
                <w:szCs w:val="16"/>
              </w:rPr>
              <w:t>Plenamente logrado</w:t>
            </w:r>
          </w:p>
        </w:tc>
      </w:tr>
      <w:tr w:rsidR="00FA2BC6" w:rsidRPr="00AB07C6" w:rsidTr="00DC1333">
        <w:tc>
          <w:tcPr>
            <w:tcW w:w="1175" w:type="pct"/>
            <w:shd w:val="clear" w:color="auto" w:fill="auto"/>
          </w:tcPr>
          <w:p w:rsidR="00FA2BC6" w:rsidRPr="00AB07C6" w:rsidRDefault="00FA2BC6" w:rsidP="00DC1333">
            <w:pPr>
              <w:rPr>
                <w:sz w:val="16"/>
                <w:szCs w:val="16"/>
              </w:rPr>
            </w:pPr>
            <w:r w:rsidRPr="00AB07C6">
              <w:rPr>
                <w:sz w:val="16"/>
                <w:szCs w:val="16"/>
              </w:rPr>
              <w:t>Número de normas técnicas modificadas y nuevas normas técnicas adoptadas</w:t>
            </w:r>
          </w:p>
        </w:tc>
        <w:tc>
          <w:tcPr>
            <w:tcW w:w="1176" w:type="pct"/>
            <w:shd w:val="clear" w:color="auto" w:fill="auto"/>
          </w:tcPr>
          <w:p w:rsidR="00FA2BC6" w:rsidRPr="00AB07C6" w:rsidRDefault="00FA2BC6" w:rsidP="00DC1333">
            <w:pPr>
              <w:pStyle w:val="CommentText"/>
              <w:rPr>
                <w:color w:val="002060"/>
              </w:rPr>
            </w:pPr>
            <w:r w:rsidRPr="00AB07C6">
              <w:rPr>
                <w:i/>
                <w:color w:val="002060"/>
                <w:sz w:val="16"/>
                <w:szCs w:val="16"/>
              </w:rPr>
              <w:t xml:space="preserve">Referencia actualizada a fines de 2013:  </w:t>
            </w:r>
          </w:p>
          <w:p w:rsidR="00FA2BC6" w:rsidRPr="00AB07C6" w:rsidRDefault="00FA2BC6" w:rsidP="00DC1333">
            <w:pPr>
              <w:pStyle w:val="CommentText"/>
              <w:rPr>
                <w:i/>
                <w:color w:val="000000"/>
                <w:sz w:val="16"/>
                <w:szCs w:val="16"/>
              </w:rPr>
            </w:pPr>
            <w:r w:rsidRPr="00AB07C6">
              <w:rPr>
                <w:i/>
                <w:color w:val="000000"/>
                <w:sz w:val="16"/>
                <w:szCs w:val="16"/>
              </w:rPr>
              <w:t>Se adoptó una norma nueva y se modificaron dos en 2012.   En 2013 se modificaron una norma técnica y el glosario.</w:t>
            </w:r>
          </w:p>
          <w:p w:rsidR="00FA2BC6" w:rsidRPr="00AB07C6" w:rsidRDefault="00FA2BC6" w:rsidP="00DC1333">
            <w:pPr>
              <w:rPr>
                <w:i/>
                <w:sz w:val="16"/>
                <w:szCs w:val="16"/>
              </w:rPr>
            </w:pPr>
          </w:p>
          <w:p w:rsidR="00FA2BC6" w:rsidRPr="00AB07C6" w:rsidRDefault="00FA2BC6" w:rsidP="00DC1333">
            <w:pPr>
              <w:rPr>
                <w:i/>
                <w:color w:val="002060"/>
                <w:sz w:val="16"/>
                <w:szCs w:val="16"/>
              </w:rPr>
            </w:pPr>
            <w:r w:rsidRPr="00AB07C6">
              <w:rPr>
                <w:i/>
                <w:sz w:val="16"/>
                <w:szCs w:val="16"/>
              </w:rPr>
              <w:t>Referencia original en el presupuesto de 2014/15:</w:t>
            </w:r>
            <w:r w:rsidRPr="00AB07C6">
              <w:rPr>
                <w:sz w:val="16"/>
                <w:szCs w:val="16"/>
              </w:rPr>
              <w:t xml:space="preserve"> </w:t>
            </w:r>
            <w:r>
              <w:rPr>
                <w:sz w:val="16"/>
                <w:szCs w:val="16"/>
              </w:rPr>
              <w:t xml:space="preserve"> </w:t>
            </w:r>
            <w:r w:rsidRPr="00AB07C6">
              <w:rPr>
                <w:sz w:val="16"/>
                <w:szCs w:val="16"/>
              </w:rPr>
              <w:t>promedio 2012/13 (por determinar)</w:t>
            </w:r>
          </w:p>
        </w:tc>
        <w:tc>
          <w:tcPr>
            <w:tcW w:w="881" w:type="pct"/>
            <w:gridSpan w:val="2"/>
            <w:shd w:val="clear" w:color="auto" w:fill="auto"/>
            <w:tcMar>
              <w:top w:w="110" w:type="dxa"/>
            </w:tcMar>
          </w:tcPr>
          <w:p w:rsidR="00FA2BC6" w:rsidRPr="00AB07C6" w:rsidRDefault="00FA2BC6" w:rsidP="00DC1333">
            <w:pPr>
              <w:rPr>
                <w:sz w:val="16"/>
                <w:szCs w:val="16"/>
              </w:rPr>
            </w:pPr>
            <w:r w:rsidRPr="00AB07C6">
              <w:rPr>
                <w:sz w:val="16"/>
                <w:szCs w:val="16"/>
              </w:rPr>
              <w:t>Aumento en comparación con la referencia</w:t>
            </w:r>
          </w:p>
        </w:tc>
        <w:tc>
          <w:tcPr>
            <w:tcW w:w="1103" w:type="pct"/>
            <w:shd w:val="clear" w:color="auto" w:fill="FFFFFF"/>
            <w:tcMar>
              <w:top w:w="110" w:type="dxa"/>
            </w:tcMar>
          </w:tcPr>
          <w:p w:rsidR="00FA2BC6" w:rsidRPr="00AB07C6" w:rsidRDefault="00FA2BC6" w:rsidP="00DC1333">
            <w:pPr>
              <w:rPr>
                <w:color w:val="000000"/>
                <w:sz w:val="16"/>
                <w:szCs w:val="16"/>
              </w:rPr>
            </w:pPr>
            <w:r w:rsidRPr="00AB07C6">
              <w:rPr>
                <w:color w:val="000000"/>
                <w:sz w:val="16"/>
                <w:szCs w:val="16"/>
              </w:rPr>
              <w:t xml:space="preserve">Se adoptó una nueva norma técnica </w:t>
            </w:r>
            <w:r w:rsidR="002E6163">
              <w:rPr>
                <w:color w:val="000000"/>
                <w:sz w:val="16"/>
                <w:szCs w:val="16"/>
              </w:rPr>
              <w:t xml:space="preserve">de manera informal </w:t>
            </w:r>
            <w:r w:rsidRPr="00AB07C6">
              <w:rPr>
                <w:color w:val="000000"/>
                <w:sz w:val="16"/>
                <w:szCs w:val="16"/>
              </w:rPr>
              <w:t>y se revisó una (2014)</w:t>
            </w:r>
          </w:p>
          <w:p w:rsidR="00FA2BC6" w:rsidRPr="00AB07C6" w:rsidRDefault="00FA2BC6" w:rsidP="00DC1333">
            <w:pPr>
              <w:rPr>
                <w:color w:val="000000"/>
                <w:sz w:val="16"/>
                <w:szCs w:val="16"/>
              </w:rPr>
            </w:pPr>
          </w:p>
          <w:p w:rsidR="00FA2BC6" w:rsidRPr="00AB07C6" w:rsidRDefault="00FA2BC6" w:rsidP="00DC1333">
            <w:pPr>
              <w:rPr>
                <w:color w:val="000000"/>
                <w:sz w:val="16"/>
                <w:szCs w:val="16"/>
              </w:rPr>
            </w:pPr>
          </w:p>
          <w:p w:rsidR="00FA2BC6" w:rsidRPr="00AB07C6" w:rsidRDefault="00FA2BC6" w:rsidP="00DC1333">
            <w:pPr>
              <w:rPr>
                <w:color w:val="000000"/>
                <w:sz w:val="16"/>
                <w:szCs w:val="16"/>
              </w:rPr>
            </w:pPr>
          </w:p>
          <w:p w:rsidR="00FA2BC6" w:rsidRPr="00AB07C6" w:rsidRDefault="00FA2BC6" w:rsidP="00DC1333">
            <w:pPr>
              <w:rPr>
                <w:color w:val="000000"/>
                <w:sz w:val="16"/>
                <w:szCs w:val="16"/>
              </w:rPr>
            </w:pPr>
          </w:p>
          <w:p w:rsidR="00FA2BC6" w:rsidRPr="00AB07C6" w:rsidRDefault="00FA2BC6" w:rsidP="00DC1333">
            <w:pPr>
              <w:rPr>
                <w:sz w:val="8"/>
                <w:szCs w:val="8"/>
                <w:lang w:bidi="th-TH"/>
              </w:rPr>
            </w:pPr>
            <w:r w:rsidRPr="00AB07C6">
              <w:rPr>
                <w:color w:val="000000"/>
                <w:sz w:val="16"/>
                <w:szCs w:val="16"/>
              </w:rPr>
              <w:t>No se adoptó ninguna nueva norma técnica de manera formal.  Se revisaron dos normas técnicas (2015)</w:t>
            </w:r>
          </w:p>
        </w:tc>
        <w:tc>
          <w:tcPr>
            <w:tcW w:w="665" w:type="pct"/>
            <w:shd w:val="clear" w:color="auto" w:fill="auto"/>
            <w:tcMar>
              <w:top w:w="110" w:type="dxa"/>
            </w:tcMar>
          </w:tcPr>
          <w:p w:rsidR="00FA2BC6" w:rsidRPr="00AB07C6" w:rsidRDefault="00FA2BC6" w:rsidP="00DC1333">
            <w:pPr>
              <w:keepNext/>
              <w:keepLines/>
              <w:ind w:left="-107" w:right="-107"/>
              <w:jc w:val="center"/>
              <w:rPr>
                <w:b/>
                <w:bCs/>
                <w:color w:val="FF0000"/>
                <w:sz w:val="16"/>
                <w:szCs w:val="16"/>
              </w:rPr>
            </w:pPr>
            <w:r w:rsidRPr="00AB07C6">
              <w:rPr>
                <w:b/>
                <w:bCs/>
                <w:color w:val="E36C0A" w:themeColor="accent6" w:themeShade="BF"/>
                <w:sz w:val="16"/>
                <w:szCs w:val="16"/>
              </w:rPr>
              <w:t>Parcialmente logrado</w:t>
            </w:r>
          </w:p>
        </w:tc>
      </w:tr>
      <w:tr w:rsidR="00FA2BC6" w:rsidRPr="00AB07C6" w:rsidTr="00DC1333">
        <w:tc>
          <w:tcPr>
            <w:tcW w:w="1175" w:type="pct"/>
            <w:shd w:val="clear" w:color="auto" w:fill="auto"/>
          </w:tcPr>
          <w:p w:rsidR="00FA2BC6" w:rsidRPr="00AB07C6" w:rsidRDefault="00FA2BC6" w:rsidP="00DC1333">
            <w:pPr>
              <w:rPr>
                <w:sz w:val="16"/>
                <w:szCs w:val="16"/>
              </w:rPr>
            </w:pPr>
            <w:r w:rsidRPr="00AB07C6">
              <w:rPr>
                <w:sz w:val="16"/>
                <w:szCs w:val="16"/>
              </w:rPr>
              <w:t>Número de usuarios que tienen acceso a las publicaciones de clasificaciones internacionales y normas técnicas, especialmente de países en desarrollo</w:t>
            </w:r>
          </w:p>
        </w:tc>
        <w:tc>
          <w:tcPr>
            <w:tcW w:w="1176" w:type="pct"/>
            <w:shd w:val="clear" w:color="auto" w:fill="auto"/>
          </w:tcPr>
          <w:p w:rsidR="00FA2BC6" w:rsidRPr="00AB07C6" w:rsidRDefault="00FA2BC6" w:rsidP="00DC1333">
            <w:pPr>
              <w:rPr>
                <w:i/>
                <w:color w:val="002060"/>
                <w:sz w:val="16"/>
                <w:szCs w:val="16"/>
              </w:rPr>
            </w:pPr>
            <w:r w:rsidRPr="00AB07C6">
              <w:rPr>
                <w:i/>
                <w:color w:val="002060"/>
                <w:sz w:val="16"/>
                <w:szCs w:val="16"/>
              </w:rPr>
              <w:t xml:space="preserve">Referencia actualizada a fines de 2013:  </w:t>
            </w:r>
          </w:p>
          <w:p w:rsidR="00FA2BC6" w:rsidRPr="00AB07C6" w:rsidRDefault="00FA2BC6" w:rsidP="00DC1333">
            <w:pPr>
              <w:spacing w:after="120"/>
              <w:rPr>
                <w:color w:val="002060"/>
                <w:sz w:val="16"/>
                <w:szCs w:val="16"/>
              </w:rPr>
            </w:pPr>
            <w:r w:rsidRPr="00AB07C6">
              <w:rPr>
                <w:color w:val="002060"/>
                <w:sz w:val="16"/>
                <w:szCs w:val="16"/>
              </w:rPr>
              <w:t>Pág. principal CIP:  387.093</w:t>
            </w:r>
            <w:r w:rsidRPr="00AB07C6">
              <w:rPr>
                <w:color w:val="002060"/>
                <w:sz w:val="16"/>
                <w:szCs w:val="16"/>
              </w:rPr>
              <w:br/>
            </w:r>
            <w:r w:rsidRPr="00AB07C6">
              <w:rPr>
                <w:color w:val="002060"/>
                <w:sz w:val="16"/>
                <w:szCs w:val="16"/>
              </w:rPr>
              <w:br/>
              <w:t xml:space="preserve">Edición de la CIP: </w:t>
            </w:r>
            <w:r>
              <w:rPr>
                <w:color w:val="002060"/>
                <w:sz w:val="16"/>
                <w:szCs w:val="16"/>
              </w:rPr>
              <w:t xml:space="preserve"> </w:t>
            </w:r>
            <w:r w:rsidRPr="00AB07C6">
              <w:rPr>
                <w:color w:val="002060"/>
                <w:sz w:val="16"/>
                <w:szCs w:val="16"/>
              </w:rPr>
              <w:t>670.032 (extrapolación de los datos de enero-marzo de 2013 y reajustada por el mismo método de medición usado respecto de los datos de 2014)</w:t>
            </w:r>
          </w:p>
          <w:p w:rsidR="00FA2BC6" w:rsidRPr="00AB07C6" w:rsidRDefault="00FA2BC6" w:rsidP="00DC1333">
            <w:pPr>
              <w:spacing w:after="120"/>
              <w:rPr>
                <w:color w:val="002060"/>
                <w:sz w:val="16"/>
                <w:szCs w:val="16"/>
              </w:rPr>
            </w:pPr>
            <w:r w:rsidRPr="00AB07C6">
              <w:rPr>
                <w:color w:val="002060"/>
                <w:sz w:val="16"/>
                <w:szCs w:val="16"/>
              </w:rPr>
              <w:t>Pág. principal Niza:  533.846</w:t>
            </w:r>
          </w:p>
          <w:p w:rsidR="00FA2BC6" w:rsidRPr="00AB07C6" w:rsidRDefault="00FA2BC6" w:rsidP="00DC1333">
            <w:pPr>
              <w:spacing w:after="120"/>
              <w:rPr>
                <w:color w:val="002060"/>
                <w:sz w:val="16"/>
                <w:szCs w:val="16"/>
              </w:rPr>
            </w:pPr>
            <w:r w:rsidRPr="00AB07C6">
              <w:rPr>
                <w:color w:val="002060"/>
                <w:sz w:val="16"/>
                <w:szCs w:val="16"/>
              </w:rPr>
              <w:t xml:space="preserve">Edición de la Clasificación </w:t>
            </w:r>
            <w:r w:rsidRPr="00AB07C6">
              <w:rPr>
                <w:color w:val="002060"/>
                <w:sz w:val="16"/>
                <w:szCs w:val="16"/>
              </w:rPr>
              <w:lastRenderedPageBreak/>
              <w:t>de Niza:  2.386.409</w:t>
            </w:r>
          </w:p>
          <w:p w:rsidR="00FA2BC6" w:rsidRPr="00AB07C6" w:rsidRDefault="00FA2BC6" w:rsidP="00DC1333">
            <w:pPr>
              <w:spacing w:after="120"/>
              <w:rPr>
                <w:color w:val="002060"/>
                <w:sz w:val="16"/>
                <w:szCs w:val="16"/>
              </w:rPr>
            </w:pPr>
            <w:r w:rsidRPr="00AB07C6">
              <w:rPr>
                <w:color w:val="002060"/>
                <w:sz w:val="16"/>
                <w:szCs w:val="16"/>
              </w:rPr>
              <w:t xml:space="preserve">Página principal </w:t>
            </w:r>
            <w:proofErr w:type="spellStart"/>
            <w:r w:rsidRPr="00AB07C6">
              <w:rPr>
                <w:color w:val="002060"/>
                <w:sz w:val="16"/>
                <w:szCs w:val="16"/>
              </w:rPr>
              <w:t>Locarno</w:t>
            </w:r>
            <w:proofErr w:type="spellEnd"/>
            <w:r w:rsidRPr="00AB07C6">
              <w:rPr>
                <w:color w:val="002060"/>
                <w:sz w:val="16"/>
                <w:szCs w:val="16"/>
              </w:rPr>
              <w:t>:  36.727</w:t>
            </w:r>
          </w:p>
          <w:p w:rsidR="00FA2BC6" w:rsidRPr="00AB07C6" w:rsidRDefault="00FA2BC6" w:rsidP="00DC1333">
            <w:pPr>
              <w:spacing w:after="120"/>
              <w:rPr>
                <w:color w:val="002060"/>
                <w:sz w:val="16"/>
                <w:szCs w:val="16"/>
              </w:rPr>
            </w:pPr>
            <w:r w:rsidRPr="00AB07C6">
              <w:rPr>
                <w:color w:val="002060"/>
                <w:sz w:val="16"/>
                <w:szCs w:val="16"/>
              </w:rPr>
              <w:t>Página principal Viena:  32.416</w:t>
            </w:r>
          </w:p>
          <w:p w:rsidR="00FA2BC6" w:rsidRPr="00AB07C6" w:rsidRDefault="00FA2BC6" w:rsidP="00DC1333">
            <w:pPr>
              <w:spacing w:after="120"/>
              <w:rPr>
                <w:color w:val="002060"/>
                <w:sz w:val="16"/>
                <w:szCs w:val="16"/>
              </w:rPr>
            </w:pPr>
            <w:r w:rsidRPr="00AB07C6">
              <w:rPr>
                <w:color w:val="002060"/>
                <w:sz w:val="16"/>
                <w:szCs w:val="16"/>
              </w:rPr>
              <w:t>Edición CIP:  79.005</w:t>
            </w:r>
            <w:r w:rsidRPr="00AB07C6" w:rsidDel="00430708">
              <w:rPr>
                <w:color w:val="002060"/>
                <w:sz w:val="16"/>
                <w:szCs w:val="16"/>
              </w:rPr>
              <w:t xml:space="preserve"> </w:t>
            </w:r>
            <w:r w:rsidRPr="00AB07C6">
              <w:rPr>
                <w:color w:val="002060"/>
                <w:sz w:val="16"/>
                <w:szCs w:val="16"/>
              </w:rPr>
              <w:t>(datos de enero-mayo 2013)</w:t>
            </w:r>
          </w:p>
          <w:p w:rsidR="00FA2BC6" w:rsidRPr="00AB07C6" w:rsidRDefault="00FA2BC6" w:rsidP="00DC1333">
            <w:pPr>
              <w:spacing w:after="120"/>
              <w:rPr>
                <w:color w:val="002060"/>
                <w:sz w:val="16"/>
                <w:szCs w:val="16"/>
              </w:rPr>
            </w:pPr>
            <w:r w:rsidRPr="00AB07C6">
              <w:rPr>
                <w:color w:val="002060"/>
                <w:sz w:val="16"/>
                <w:szCs w:val="16"/>
              </w:rPr>
              <w:t>Manual de normas técnicas de la OMPI):  94.463</w:t>
            </w:r>
          </w:p>
          <w:p w:rsidR="00FA2BC6" w:rsidRPr="00AB07C6" w:rsidRDefault="00FA2BC6" w:rsidP="00DC1333">
            <w:pPr>
              <w:rPr>
                <w:i/>
                <w:color w:val="002060"/>
                <w:sz w:val="16"/>
                <w:szCs w:val="16"/>
              </w:rPr>
            </w:pPr>
            <w:r w:rsidRPr="00AB07C6">
              <w:rPr>
                <w:i/>
                <w:sz w:val="16"/>
                <w:szCs w:val="16"/>
              </w:rPr>
              <w:t>Referencia original en el presupuesto de 2014/15:</w:t>
            </w:r>
            <w:r w:rsidRPr="00AB07C6">
              <w:rPr>
                <w:sz w:val="16"/>
                <w:szCs w:val="16"/>
              </w:rPr>
              <w:t xml:space="preserve">  Por determinar a fines de 2013</w:t>
            </w:r>
          </w:p>
        </w:tc>
        <w:tc>
          <w:tcPr>
            <w:tcW w:w="881" w:type="pct"/>
            <w:gridSpan w:val="2"/>
            <w:shd w:val="clear" w:color="auto" w:fill="auto"/>
            <w:tcMar>
              <w:top w:w="110" w:type="dxa"/>
            </w:tcMar>
          </w:tcPr>
          <w:p w:rsidR="00FA2BC6" w:rsidRPr="00AB07C6" w:rsidRDefault="00FA2BC6" w:rsidP="00DC1333">
            <w:pPr>
              <w:rPr>
                <w:sz w:val="16"/>
                <w:szCs w:val="16"/>
              </w:rPr>
            </w:pPr>
            <w:r w:rsidRPr="00AB07C6">
              <w:rPr>
                <w:sz w:val="16"/>
                <w:szCs w:val="16"/>
              </w:rPr>
              <w:lastRenderedPageBreak/>
              <w:t>5% de aumento en comparación con la referencia.</w:t>
            </w:r>
          </w:p>
        </w:tc>
        <w:tc>
          <w:tcPr>
            <w:tcW w:w="1103" w:type="pct"/>
            <w:shd w:val="clear" w:color="auto" w:fill="FFFFFF"/>
            <w:tcMar>
              <w:top w:w="110" w:type="dxa"/>
            </w:tcMar>
          </w:tcPr>
          <w:p w:rsidR="00FA2BC6" w:rsidRPr="00AB07C6" w:rsidRDefault="00FA2BC6" w:rsidP="00DC1333">
            <w:pPr>
              <w:spacing w:after="120"/>
              <w:rPr>
                <w:color w:val="000000"/>
                <w:sz w:val="16"/>
                <w:szCs w:val="16"/>
              </w:rPr>
            </w:pPr>
            <w:r w:rsidRPr="00AB07C6">
              <w:rPr>
                <w:sz w:val="16"/>
                <w:szCs w:val="16"/>
                <w:lang w:bidi="th-TH"/>
              </w:rPr>
              <w:t xml:space="preserve">Pág. principal </w:t>
            </w:r>
            <w:r w:rsidRPr="00AB07C6">
              <w:rPr>
                <w:color w:val="000000"/>
                <w:sz w:val="16"/>
                <w:szCs w:val="16"/>
              </w:rPr>
              <w:t>CIP</w:t>
            </w:r>
            <w:proofErr w:type="gramStart"/>
            <w:r w:rsidRPr="00AB07C6">
              <w:rPr>
                <w:color w:val="000000"/>
                <w:sz w:val="16"/>
                <w:szCs w:val="16"/>
              </w:rPr>
              <w:t>:  361.378</w:t>
            </w:r>
            <w:proofErr w:type="gramEnd"/>
            <w:r w:rsidRPr="00AB07C6">
              <w:rPr>
                <w:color w:val="000000"/>
                <w:sz w:val="16"/>
                <w:szCs w:val="16"/>
              </w:rPr>
              <w:t xml:space="preserve"> (disminución del 6,6%) (48,1% de visitas de países en desarrollo)</w:t>
            </w:r>
            <w:r w:rsidRPr="00AB07C6">
              <w:rPr>
                <w:color w:val="000000"/>
                <w:sz w:val="16"/>
                <w:szCs w:val="16"/>
              </w:rPr>
              <w:br/>
            </w:r>
            <w:r w:rsidRPr="00AB07C6">
              <w:rPr>
                <w:color w:val="000000"/>
                <w:sz w:val="16"/>
                <w:szCs w:val="16"/>
              </w:rPr>
              <w:br/>
              <w:t>Edición de la CIP</w:t>
            </w:r>
            <w:proofErr w:type="gramStart"/>
            <w:r w:rsidRPr="00AB07C6">
              <w:rPr>
                <w:color w:val="000000"/>
                <w:sz w:val="16"/>
                <w:szCs w:val="16"/>
              </w:rPr>
              <w:t>:  1.389.644</w:t>
            </w:r>
            <w:proofErr w:type="gramEnd"/>
            <w:r w:rsidRPr="00AB07C6">
              <w:rPr>
                <w:color w:val="000000"/>
                <w:sz w:val="16"/>
                <w:szCs w:val="16"/>
              </w:rPr>
              <w:t xml:space="preserve"> (aumento del 107,4%) (36,3% de visitas de países en desarrollo)</w:t>
            </w:r>
          </w:p>
          <w:p w:rsidR="00FA2BC6" w:rsidRPr="00AB07C6" w:rsidRDefault="00FA2BC6" w:rsidP="00DC1333">
            <w:pPr>
              <w:spacing w:after="120"/>
              <w:rPr>
                <w:color w:val="000000"/>
                <w:sz w:val="16"/>
                <w:szCs w:val="16"/>
              </w:rPr>
            </w:pPr>
            <w:r w:rsidRPr="00AB07C6">
              <w:rPr>
                <w:sz w:val="16"/>
                <w:szCs w:val="16"/>
                <w:lang w:bidi="th-TH"/>
              </w:rPr>
              <w:t>Pág. principal Niza</w:t>
            </w:r>
            <w:r w:rsidRPr="00AB07C6">
              <w:rPr>
                <w:color w:val="000000"/>
                <w:sz w:val="16"/>
                <w:szCs w:val="16"/>
              </w:rPr>
              <w:t>:  532.493 (estable) (47,8% de visitas de países en desarrollo)</w:t>
            </w:r>
          </w:p>
          <w:p w:rsidR="00FA2BC6" w:rsidRPr="00AB07C6" w:rsidRDefault="00FA2BC6" w:rsidP="00DC1333">
            <w:pPr>
              <w:spacing w:after="120"/>
              <w:rPr>
                <w:color w:val="000000"/>
                <w:sz w:val="16"/>
                <w:szCs w:val="16"/>
              </w:rPr>
            </w:pPr>
            <w:r w:rsidRPr="00AB07C6">
              <w:rPr>
                <w:color w:val="000000"/>
                <w:sz w:val="16"/>
                <w:szCs w:val="16"/>
              </w:rPr>
              <w:t>Edición de la Clasificación de Niza</w:t>
            </w:r>
            <w:proofErr w:type="gramStart"/>
            <w:r w:rsidRPr="00AB07C6">
              <w:rPr>
                <w:color w:val="000000"/>
                <w:sz w:val="16"/>
                <w:szCs w:val="16"/>
              </w:rPr>
              <w:t>:  2.721.537</w:t>
            </w:r>
            <w:proofErr w:type="gramEnd"/>
            <w:r w:rsidRPr="00AB07C6">
              <w:rPr>
                <w:color w:val="000000"/>
                <w:sz w:val="16"/>
                <w:szCs w:val="16"/>
              </w:rPr>
              <w:t xml:space="preserve"> </w:t>
            </w:r>
            <w:r w:rsidRPr="00AB07C6">
              <w:rPr>
                <w:color w:val="000000"/>
                <w:sz w:val="16"/>
                <w:szCs w:val="16"/>
              </w:rPr>
              <w:lastRenderedPageBreak/>
              <w:t>(aumento del 14%) (49,1% de visitas de países en desarrollo</w:t>
            </w:r>
          </w:p>
          <w:p w:rsidR="00FA2BC6" w:rsidRPr="00AB07C6" w:rsidRDefault="00FA2BC6" w:rsidP="00DC1333">
            <w:pPr>
              <w:spacing w:after="120"/>
              <w:rPr>
                <w:color w:val="000000"/>
                <w:sz w:val="16"/>
                <w:szCs w:val="16"/>
              </w:rPr>
            </w:pPr>
            <w:r w:rsidRPr="00AB07C6">
              <w:rPr>
                <w:color w:val="000000"/>
                <w:sz w:val="16"/>
                <w:szCs w:val="16"/>
              </w:rPr>
              <w:t xml:space="preserve">Página principal </w:t>
            </w:r>
            <w:proofErr w:type="spellStart"/>
            <w:r w:rsidRPr="00AB07C6">
              <w:rPr>
                <w:color w:val="000000"/>
                <w:sz w:val="16"/>
                <w:szCs w:val="16"/>
              </w:rPr>
              <w:t>Locarno</w:t>
            </w:r>
            <w:proofErr w:type="spellEnd"/>
            <w:proofErr w:type="gramStart"/>
            <w:r w:rsidRPr="00AB07C6">
              <w:rPr>
                <w:color w:val="000000"/>
                <w:sz w:val="16"/>
                <w:szCs w:val="16"/>
              </w:rPr>
              <w:t>:  51.075</w:t>
            </w:r>
            <w:proofErr w:type="gramEnd"/>
            <w:r w:rsidRPr="00AB07C6">
              <w:rPr>
                <w:color w:val="000000"/>
                <w:sz w:val="16"/>
                <w:szCs w:val="16"/>
              </w:rPr>
              <w:t xml:space="preserve"> (aumento del 39,1%) (33,5% de visitas de países en desarrollo)</w:t>
            </w:r>
          </w:p>
          <w:p w:rsidR="00FA2BC6" w:rsidRPr="00AB07C6" w:rsidRDefault="00FA2BC6" w:rsidP="00DC1333">
            <w:pPr>
              <w:spacing w:after="120"/>
              <w:rPr>
                <w:color w:val="000000"/>
                <w:sz w:val="16"/>
                <w:szCs w:val="16"/>
              </w:rPr>
            </w:pPr>
            <w:r w:rsidRPr="00AB07C6">
              <w:rPr>
                <w:color w:val="000000"/>
                <w:sz w:val="16"/>
                <w:szCs w:val="16"/>
              </w:rPr>
              <w:t>Página principal Viena</w:t>
            </w:r>
            <w:proofErr w:type="gramStart"/>
            <w:r w:rsidRPr="00AB07C6">
              <w:rPr>
                <w:color w:val="000000"/>
                <w:sz w:val="16"/>
                <w:szCs w:val="16"/>
              </w:rPr>
              <w:t>:  34.830</w:t>
            </w:r>
            <w:proofErr w:type="gramEnd"/>
            <w:r w:rsidRPr="00AB07C6">
              <w:rPr>
                <w:color w:val="000000"/>
                <w:sz w:val="16"/>
                <w:szCs w:val="16"/>
              </w:rPr>
              <w:t xml:space="preserve"> (aumento del 7,4%) (38,8% de visitas de países en desarrollo)</w:t>
            </w:r>
          </w:p>
          <w:p w:rsidR="00FA2BC6" w:rsidRPr="00AB07C6" w:rsidRDefault="00FA2BC6" w:rsidP="00DC1333">
            <w:pPr>
              <w:spacing w:after="120"/>
              <w:rPr>
                <w:sz w:val="8"/>
                <w:szCs w:val="8"/>
                <w:lang w:bidi="th-TH"/>
              </w:rPr>
            </w:pPr>
            <w:r w:rsidRPr="00AB07C6">
              <w:rPr>
                <w:color w:val="000000"/>
                <w:sz w:val="16"/>
                <w:szCs w:val="16"/>
              </w:rPr>
              <w:t>Normas técnicas de la OMPI (manual)</w:t>
            </w:r>
            <w:proofErr w:type="gramStart"/>
            <w:r w:rsidRPr="00AB07C6">
              <w:rPr>
                <w:color w:val="000000"/>
                <w:sz w:val="16"/>
                <w:szCs w:val="16"/>
              </w:rPr>
              <w:t>:  69.288</w:t>
            </w:r>
            <w:proofErr w:type="gramEnd"/>
            <w:r w:rsidRPr="00AB07C6">
              <w:rPr>
                <w:color w:val="000000"/>
                <w:sz w:val="16"/>
                <w:szCs w:val="16"/>
              </w:rPr>
              <w:t xml:space="preserve"> (disminución del 26,7%) (33,6% de visitas de países en desarrollo)</w:t>
            </w:r>
          </w:p>
        </w:tc>
        <w:tc>
          <w:tcPr>
            <w:tcW w:w="665" w:type="pct"/>
            <w:shd w:val="clear" w:color="auto" w:fill="auto"/>
            <w:tcMar>
              <w:top w:w="110" w:type="dxa"/>
            </w:tcMar>
          </w:tcPr>
          <w:p w:rsidR="00FA2BC6" w:rsidRPr="00AB07C6" w:rsidRDefault="00FA2BC6" w:rsidP="00DC1333">
            <w:pPr>
              <w:keepNext/>
              <w:keepLines/>
              <w:ind w:left="-107" w:right="-107"/>
              <w:jc w:val="center"/>
              <w:rPr>
                <w:b/>
                <w:bCs/>
                <w:color w:val="00B050"/>
                <w:sz w:val="16"/>
                <w:szCs w:val="16"/>
              </w:rPr>
            </w:pPr>
            <w:r w:rsidRPr="00AB07C6">
              <w:rPr>
                <w:b/>
                <w:bCs/>
                <w:color w:val="FF0000"/>
                <w:sz w:val="16"/>
                <w:szCs w:val="16"/>
              </w:rPr>
              <w:lastRenderedPageBreak/>
              <w:t>No logrado</w:t>
            </w:r>
          </w:p>
          <w:p w:rsidR="00FA2BC6" w:rsidRPr="00AB07C6" w:rsidRDefault="00FA2BC6" w:rsidP="00DC1333">
            <w:pPr>
              <w:keepNext/>
              <w:keepLines/>
              <w:jc w:val="center"/>
              <w:rPr>
                <w:b/>
                <w:bCs/>
                <w:color w:val="808080"/>
                <w:sz w:val="16"/>
                <w:szCs w:val="16"/>
              </w:rPr>
            </w:pPr>
          </w:p>
          <w:p w:rsidR="00FA2BC6" w:rsidRPr="00AB07C6" w:rsidRDefault="00FA2BC6" w:rsidP="00DC1333">
            <w:pPr>
              <w:keepNext/>
              <w:keepLines/>
              <w:jc w:val="center"/>
              <w:rPr>
                <w:b/>
                <w:bCs/>
                <w:color w:val="808080"/>
                <w:sz w:val="16"/>
                <w:szCs w:val="16"/>
              </w:rPr>
            </w:pPr>
          </w:p>
          <w:p w:rsidR="00FA2BC6" w:rsidRPr="00AB07C6" w:rsidRDefault="00FA2BC6" w:rsidP="00DC1333">
            <w:pPr>
              <w:keepNext/>
              <w:keepLines/>
              <w:jc w:val="center"/>
              <w:rPr>
                <w:b/>
                <w:bCs/>
                <w:color w:val="808080"/>
                <w:sz w:val="16"/>
                <w:szCs w:val="16"/>
              </w:rPr>
            </w:pPr>
          </w:p>
          <w:p w:rsidR="00FA2BC6" w:rsidRPr="00AB07C6" w:rsidRDefault="00FA2BC6" w:rsidP="00DC1333">
            <w:pPr>
              <w:keepNext/>
              <w:keepLines/>
              <w:jc w:val="center"/>
              <w:rPr>
                <w:b/>
                <w:bCs/>
                <w:color w:val="808080"/>
                <w:sz w:val="16"/>
                <w:szCs w:val="16"/>
              </w:rPr>
            </w:pPr>
          </w:p>
          <w:p w:rsidR="00FA2BC6" w:rsidRPr="00AB07C6" w:rsidRDefault="00FA2BC6" w:rsidP="00DC1333">
            <w:pPr>
              <w:keepNext/>
              <w:keepLines/>
              <w:jc w:val="center"/>
              <w:rPr>
                <w:b/>
                <w:bCs/>
                <w:color w:val="808080"/>
                <w:sz w:val="16"/>
                <w:szCs w:val="16"/>
              </w:rPr>
            </w:pPr>
            <w:r w:rsidRPr="00AB07C6">
              <w:rPr>
                <w:b/>
                <w:bCs/>
                <w:color w:val="00B050"/>
                <w:sz w:val="16"/>
                <w:szCs w:val="16"/>
              </w:rPr>
              <w:t>Plenamente logrado</w:t>
            </w:r>
          </w:p>
          <w:p w:rsidR="00FA2BC6" w:rsidRPr="00AB07C6" w:rsidRDefault="00FA2BC6" w:rsidP="00DC1333">
            <w:pPr>
              <w:keepNext/>
              <w:keepLines/>
              <w:jc w:val="center"/>
              <w:rPr>
                <w:b/>
                <w:bCs/>
                <w:color w:val="808080"/>
                <w:sz w:val="16"/>
                <w:szCs w:val="16"/>
              </w:rPr>
            </w:pPr>
          </w:p>
          <w:p w:rsidR="00FA2BC6" w:rsidRPr="00AB07C6" w:rsidRDefault="00FA2BC6" w:rsidP="00DC1333">
            <w:pPr>
              <w:keepNext/>
              <w:keepLines/>
              <w:jc w:val="center"/>
              <w:rPr>
                <w:b/>
                <w:bCs/>
                <w:color w:val="808080"/>
                <w:sz w:val="16"/>
                <w:szCs w:val="16"/>
              </w:rPr>
            </w:pPr>
          </w:p>
          <w:p w:rsidR="00FA2BC6" w:rsidRPr="00AB07C6" w:rsidRDefault="00FA2BC6" w:rsidP="00DC1333">
            <w:pPr>
              <w:keepNext/>
              <w:keepLines/>
              <w:jc w:val="center"/>
              <w:rPr>
                <w:b/>
                <w:bCs/>
                <w:color w:val="808080"/>
                <w:sz w:val="16"/>
                <w:szCs w:val="16"/>
              </w:rPr>
            </w:pPr>
          </w:p>
          <w:p w:rsidR="00FA2BC6" w:rsidRPr="00AB07C6" w:rsidRDefault="00FA2BC6" w:rsidP="00DC1333">
            <w:pPr>
              <w:keepNext/>
              <w:keepLines/>
              <w:jc w:val="center"/>
              <w:rPr>
                <w:b/>
                <w:bCs/>
                <w:color w:val="808080"/>
                <w:sz w:val="16"/>
                <w:szCs w:val="16"/>
              </w:rPr>
            </w:pPr>
          </w:p>
          <w:p w:rsidR="00FA2BC6" w:rsidRPr="00AB07C6" w:rsidRDefault="00FA2BC6" w:rsidP="00DC1333">
            <w:pPr>
              <w:keepNext/>
              <w:keepLines/>
              <w:jc w:val="center"/>
              <w:rPr>
                <w:b/>
                <w:bCs/>
                <w:color w:val="808080"/>
                <w:sz w:val="16"/>
                <w:szCs w:val="16"/>
              </w:rPr>
            </w:pPr>
          </w:p>
          <w:p w:rsidR="00FA2BC6" w:rsidRPr="00AB07C6" w:rsidRDefault="00FA2BC6" w:rsidP="00DC1333">
            <w:pPr>
              <w:keepNext/>
              <w:keepLines/>
              <w:ind w:left="-107" w:right="-107"/>
              <w:jc w:val="center"/>
              <w:rPr>
                <w:b/>
                <w:bCs/>
                <w:color w:val="FF0000"/>
                <w:sz w:val="16"/>
                <w:szCs w:val="16"/>
              </w:rPr>
            </w:pPr>
            <w:r w:rsidRPr="00AB07C6">
              <w:rPr>
                <w:b/>
                <w:bCs/>
                <w:color w:val="E36C0A" w:themeColor="accent6" w:themeShade="BF"/>
                <w:sz w:val="16"/>
                <w:szCs w:val="16"/>
              </w:rPr>
              <w:t>Parcialmente logrado</w:t>
            </w:r>
          </w:p>
          <w:p w:rsidR="00FA2BC6" w:rsidRPr="00AB07C6" w:rsidRDefault="00FA2BC6" w:rsidP="00DC1333">
            <w:pPr>
              <w:keepNext/>
              <w:keepLines/>
              <w:jc w:val="center"/>
              <w:rPr>
                <w:b/>
                <w:bCs/>
                <w:color w:val="808080"/>
                <w:sz w:val="16"/>
                <w:szCs w:val="16"/>
              </w:rPr>
            </w:pPr>
          </w:p>
          <w:p w:rsidR="00FA2BC6" w:rsidRPr="00AB07C6" w:rsidRDefault="00FA2BC6" w:rsidP="00DC1333">
            <w:pPr>
              <w:keepNext/>
              <w:keepLines/>
              <w:jc w:val="center"/>
              <w:rPr>
                <w:b/>
                <w:bCs/>
                <w:color w:val="808080"/>
                <w:sz w:val="16"/>
                <w:szCs w:val="16"/>
              </w:rPr>
            </w:pPr>
          </w:p>
          <w:p w:rsidR="00FA2BC6" w:rsidRPr="00AB07C6" w:rsidRDefault="00FA2BC6" w:rsidP="00DC1333">
            <w:pPr>
              <w:keepNext/>
              <w:keepLines/>
              <w:jc w:val="center"/>
              <w:rPr>
                <w:b/>
                <w:bCs/>
                <w:color w:val="808080"/>
                <w:sz w:val="16"/>
                <w:szCs w:val="16"/>
              </w:rPr>
            </w:pPr>
          </w:p>
          <w:p w:rsidR="00FA2BC6" w:rsidRPr="00AB07C6" w:rsidRDefault="00FA2BC6" w:rsidP="00DC1333">
            <w:pPr>
              <w:keepNext/>
              <w:keepLines/>
              <w:ind w:left="-107" w:right="-107"/>
              <w:jc w:val="center"/>
              <w:rPr>
                <w:b/>
                <w:bCs/>
                <w:color w:val="00B050"/>
                <w:sz w:val="16"/>
                <w:szCs w:val="16"/>
              </w:rPr>
            </w:pPr>
            <w:r w:rsidRPr="00AB07C6">
              <w:rPr>
                <w:b/>
                <w:bCs/>
                <w:color w:val="00B050"/>
                <w:sz w:val="16"/>
                <w:szCs w:val="16"/>
              </w:rPr>
              <w:t>Plenamente logrado</w:t>
            </w:r>
          </w:p>
          <w:p w:rsidR="00FA2BC6" w:rsidRPr="00AB07C6" w:rsidRDefault="00FA2BC6" w:rsidP="00DC1333">
            <w:pPr>
              <w:keepNext/>
              <w:keepLines/>
              <w:jc w:val="center"/>
              <w:rPr>
                <w:b/>
                <w:bCs/>
                <w:color w:val="00B050"/>
                <w:sz w:val="16"/>
                <w:szCs w:val="16"/>
              </w:rPr>
            </w:pPr>
          </w:p>
          <w:p w:rsidR="00FA2BC6" w:rsidRPr="00AB07C6" w:rsidRDefault="00FA2BC6" w:rsidP="00DC1333">
            <w:pPr>
              <w:keepNext/>
              <w:keepLines/>
              <w:jc w:val="center"/>
              <w:rPr>
                <w:b/>
                <w:bCs/>
                <w:color w:val="00B050"/>
                <w:sz w:val="16"/>
                <w:szCs w:val="16"/>
              </w:rPr>
            </w:pPr>
          </w:p>
          <w:p w:rsidR="00FA2BC6" w:rsidRPr="00AB07C6" w:rsidRDefault="00FA2BC6" w:rsidP="00DC1333">
            <w:pPr>
              <w:keepNext/>
              <w:keepLines/>
              <w:jc w:val="center"/>
              <w:rPr>
                <w:b/>
                <w:bCs/>
                <w:color w:val="00B050"/>
                <w:sz w:val="16"/>
                <w:szCs w:val="16"/>
              </w:rPr>
            </w:pPr>
          </w:p>
          <w:p w:rsidR="00FA2BC6" w:rsidRPr="00AB07C6" w:rsidRDefault="00FA2BC6" w:rsidP="00DC1333">
            <w:pPr>
              <w:keepNext/>
              <w:keepLines/>
              <w:ind w:left="-107" w:right="-107"/>
              <w:jc w:val="center"/>
              <w:rPr>
                <w:b/>
                <w:bCs/>
                <w:color w:val="00B050"/>
                <w:sz w:val="16"/>
                <w:szCs w:val="16"/>
              </w:rPr>
            </w:pPr>
            <w:r w:rsidRPr="00AB07C6">
              <w:rPr>
                <w:b/>
                <w:bCs/>
                <w:color w:val="00B050"/>
                <w:sz w:val="16"/>
                <w:szCs w:val="16"/>
              </w:rPr>
              <w:t>Plenamente logrado</w:t>
            </w:r>
          </w:p>
          <w:p w:rsidR="00FA2BC6" w:rsidRPr="00AB07C6" w:rsidRDefault="00FA2BC6" w:rsidP="00DC1333">
            <w:pPr>
              <w:keepNext/>
              <w:keepLines/>
              <w:spacing w:after="120"/>
              <w:jc w:val="center"/>
              <w:rPr>
                <w:b/>
                <w:bCs/>
                <w:color w:val="808080"/>
                <w:sz w:val="16"/>
                <w:szCs w:val="16"/>
              </w:rPr>
            </w:pPr>
          </w:p>
          <w:p w:rsidR="00FA2BC6" w:rsidRPr="00AB07C6" w:rsidRDefault="00FA2BC6" w:rsidP="00DC1333">
            <w:pPr>
              <w:keepNext/>
              <w:keepLines/>
              <w:spacing w:after="120"/>
              <w:rPr>
                <w:b/>
                <w:bCs/>
                <w:color w:val="808080"/>
                <w:sz w:val="16"/>
                <w:szCs w:val="16"/>
              </w:rPr>
            </w:pPr>
          </w:p>
          <w:p w:rsidR="00FA2BC6" w:rsidRPr="00AB07C6" w:rsidRDefault="00FA2BC6" w:rsidP="00DC1333">
            <w:pPr>
              <w:keepNext/>
              <w:keepLines/>
              <w:ind w:left="-107" w:right="-107"/>
              <w:jc w:val="center"/>
              <w:rPr>
                <w:b/>
                <w:bCs/>
                <w:color w:val="FF0000"/>
                <w:sz w:val="16"/>
                <w:szCs w:val="16"/>
              </w:rPr>
            </w:pPr>
            <w:r w:rsidRPr="00AB07C6">
              <w:rPr>
                <w:b/>
                <w:bCs/>
                <w:color w:val="00B050"/>
                <w:sz w:val="16"/>
                <w:szCs w:val="16"/>
              </w:rPr>
              <w:t>Plenamente logrado</w:t>
            </w:r>
          </w:p>
          <w:p w:rsidR="00FA2BC6" w:rsidRPr="00AB07C6" w:rsidRDefault="00FA2BC6" w:rsidP="00DC1333">
            <w:pPr>
              <w:keepNext/>
              <w:keepLines/>
              <w:spacing w:after="120"/>
              <w:jc w:val="center"/>
              <w:rPr>
                <w:bCs/>
                <w:color w:val="808080"/>
                <w:sz w:val="16"/>
                <w:szCs w:val="16"/>
              </w:rPr>
            </w:pPr>
            <w:r w:rsidRPr="00AB07C6">
              <w:rPr>
                <w:bCs/>
                <w:color w:val="808080"/>
                <w:sz w:val="16"/>
                <w:szCs w:val="16"/>
              </w:rPr>
              <w:br/>
            </w:r>
            <w:r w:rsidRPr="00AB07C6">
              <w:rPr>
                <w:bCs/>
                <w:color w:val="808080"/>
                <w:sz w:val="16"/>
                <w:szCs w:val="16"/>
              </w:rPr>
              <w:br/>
            </w:r>
          </w:p>
          <w:p w:rsidR="00FA2BC6" w:rsidRPr="00AB07C6" w:rsidRDefault="00FA2BC6" w:rsidP="00DC1333">
            <w:pPr>
              <w:keepNext/>
              <w:keepLines/>
              <w:ind w:left="-107" w:right="-107"/>
              <w:jc w:val="center"/>
              <w:rPr>
                <w:b/>
                <w:bCs/>
                <w:color w:val="FF0000"/>
                <w:sz w:val="16"/>
                <w:szCs w:val="16"/>
              </w:rPr>
            </w:pPr>
            <w:r w:rsidRPr="00AB07C6">
              <w:rPr>
                <w:b/>
                <w:bCs/>
                <w:color w:val="FF0000"/>
                <w:sz w:val="16"/>
                <w:szCs w:val="16"/>
              </w:rPr>
              <w:t>No logrado</w:t>
            </w:r>
          </w:p>
          <w:p w:rsidR="00FA2BC6" w:rsidRPr="00AB07C6" w:rsidRDefault="00FA2BC6" w:rsidP="00DC1333">
            <w:pPr>
              <w:keepNext/>
              <w:keepLines/>
              <w:spacing w:after="120"/>
              <w:jc w:val="center"/>
              <w:rPr>
                <w:bCs/>
                <w:color w:val="808080"/>
                <w:sz w:val="16"/>
                <w:szCs w:val="16"/>
              </w:rPr>
            </w:pPr>
          </w:p>
        </w:tc>
      </w:tr>
    </w:tbl>
    <w:p w:rsidR="00FA2BC6" w:rsidRDefault="00FA2BC6" w:rsidP="00DC1333">
      <w:pPr>
        <w:jc w:val="both"/>
        <w:rPr>
          <w:color w:val="000000"/>
          <w:szCs w:val="22"/>
        </w:rPr>
      </w:pPr>
    </w:p>
    <w:p w:rsidR="00FA2BC6" w:rsidRPr="00AB07C6" w:rsidRDefault="00FA2BC6" w:rsidP="00DC1333">
      <w:pPr>
        <w:jc w:val="both"/>
        <w:rPr>
          <w:color w:val="000000"/>
          <w:szCs w:val="22"/>
        </w:rPr>
      </w:pPr>
    </w:p>
    <w:p w:rsidR="00FA2BC6" w:rsidRPr="00AB07C6" w:rsidRDefault="008F7CBE" w:rsidP="00DC1333">
      <w:pPr>
        <w:keepNext/>
        <w:keepLines/>
        <w:rPr>
          <w:color w:val="000000"/>
          <w:szCs w:val="22"/>
        </w:rPr>
      </w:pPr>
      <w:r w:rsidRPr="008F7CBE">
        <w:rPr>
          <w:sz w:val="20"/>
        </w:rPr>
        <w:t>INFORMACIÓN SOBRE LOS RIESGOS PLANTEADOS EN EL BIENIO</w:t>
      </w:r>
    </w:p>
    <w:p w:rsidR="00FA2BC6" w:rsidRPr="00AB07C6" w:rsidRDefault="00FA2BC6" w:rsidP="00DC1333">
      <w:pPr>
        <w:keepNext/>
        <w:keepLines/>
        <w:rPr>
          <w:rFonts w:cs="Times New Roman"/>
          <w:sz w:val="18"/>
          <w:szCs w:val="24"/>
        </w:rPr>
      </w:pPr>
    </w:p>
    <w:tbl>
      <w:tblPr>
        <w:tblW w:w="0" w:type="auto"/>
        <w:jc w:val="center"/>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420"/>
        <w:gridCol w:w="2200"/>
        <w:gridCol w:w="2310"/>
        <w:gridCol w:w="2306"/>
      </w:tblGrid>
      <w:tr w:rsidR="00FA2BC6" w:rsidRPr="00AB07C6" w:rsidTr="00836C51">
        <w:trPr>
          <w:trHeight w:val="1106"/>
          <w:jc w:val="center"/>
        </w:trPr>
        <w:tc>
          <w:tcPr>
            <w:tcW w:w="2420" w:type="dxa"/>
            <w:tcBorders>
              <w:top w:val="single" w:sz="4" w:space="0" w:color="auto"/>
              <w:left w:val="single" w:sz="4" w:space="0" w:color="auto"/>
              <w:bottom w:val="single" w:sz="4" w:space="0" w:color="auto"/>
              <w:right w:val="nil"/>
            </w:tcBorders>
            <w:shd w:val="clear" w:color="auto" w:fill="C6D9F1" w:themeFill="text2" w:themeFillTint="33"/>
            <w:vAlign w:val="center"/>
            <w:hideMark/>
          </w:tcPr>
          <w:p w:rsidR="00FA2BC6" w:rsidRPr="00AB07C6" w:rsidRDefault="00FA2BC6" w:rsidP="00836C51">
            <w:pPr>
              <w:keepNext/>
              <w:keepLines/>
              <w:autoSpaceDE w:val="0"/>
              <w:autoSpaceDN w:val="0"/>
              <w:adjustRightInd w:val="0"/>
              <w:spacing w:line="276" w:lineRule="auto"/>
              <w:ind w:right="-59"/>
              <w:jc w:val="center"/>
              <w:rPr>
                <w:rFonts w:eastAsia="Times New Roman" w:cs="Times New Roman"/>
                <w:b/>
                <w:bCs/>
                <w:iCs/>
                <w:sz w:val="18"/>
                <w:szCs w:val="18"/>
                <w:lang w:eastAsia="en-US"/>
              </w:rPr>
            </w:pPr>
            <w:r w:rsidRPr="00AB07C6">
              <w:rPr>
                <w:b/>
                <w:bCs/>
                <w:iCs/>
                <w:sz w:val="18"/>
                <w:szCs w:val="18"/>
              </w:rPr>
              <w:t>Riesgos en el logro de los resultados del programa</w:t>
            </w:r>
          </w:p>
        </w:tc>
        <w:tc>
          <w:tcPr>
            <w:tcW w:w="2200" w:type="dxa"/>
            <w:tcBorders>
              <w:top w:val="single" w:sz="4" w:space="0" w:color="auto"/>
              <w:left w:val="nil"/>
              <w:bottom w:val="single" w:sz="4" w:space="0" w:color="auto"/>
              <w:right w:val="nil"/>
            </w:tcBorders>
            <w:shd w:val="clear" w:color="auto" w:fill="C6D9F1" w:themeFill="text2" w:themeFillTint="33"/>
            <w:vAlign w:val="center"/>
            <w:hideMark/>
          </w:tcPr>
          <w:p w:rsidR="00FA2BC6" w:rsidRPr="00AB07C6" w:rsidRDefault="00FA2BC6" w:rsidP="00836C51">
            <w:pPr>
              <w:keepNext/>
              <w:keepLines/>
              <w:autoSpaceDE w:val="0"/>
              <w:autoSpaceDN w:val="0"/>
              <w:adjustRightInd w:val="0"/>
              <w:spacing w:line="276" w:lineRule="auto"/>
              <w:ind w:right="-59"/>
              <w:jc w:val="center"/>
              <w:rPr>
                <w:rFonts w:eastAsia="Times New Roman" w:cs="Times New Roman"/>
                <w:b/>
                <w:bCs/>
                <w:iCs/>
                <w:sz w:val="18"/>
                <w:szCs w:val="18"/>
                <w:lang w:eastAsia="en-US"/>
              </w:rPr>
            </w:pPr>
            <w:r w:rsidRPr="00AB07C6">
              <w:rPr>
                <w:b/>
                <w:bCs/>
                <w:iCs/>
                <w:sz w:val="18"/>
                <w:szCs w:val="18"/>
              </w:rPr>
              <w:t>Planes de mitigación ejecutados o en ejecución</w:t>
            </w:r>
          </w:p>
        </w:tc>
        <w:tc>
          <w:tcPr>
            <w:tcW w:w="2310" w:type="dxa"/>
            <w:tcBorders>
              <w:top w:val="single" w:sz="4" w:space="0" w:color="auto"/>
              <w:left w:val="nil"/>
              <w:bottom w:val="single" w:sz="4" w:space="0" w:color="auto"/>
              <w:right w:val="nil"/>
            </w:tcBorders>
            <w:shd w:val="clear" w:color="auto" w:fill="C6D9F1" w:themeFill="text2" w:themeFillTint="33"/>
            <w:vAlign w:val="center"/>
            <w:hideMark/>
          </w:tcPr>
          <w:p w:rsidR="00FA2BC6" w:rsidRPr="00AB07C6" w:rsidRDefault="00FA2BC6" w:rsidP="00836C51">
            <w:pPr>
              <w:spacing w:line="276" w:lineRule="auto"/>
              <w:jc w:val="center"/>
              <w:rPr>
                <w:rFonts w:eastAsia="Times New Roman" w:cs="Times New Roman"/>
                <w:b/>
                <w:bCs/>
                <w:sz w:val="18"/>
                <w:szCs w:val="18"/>
                <w:lang w:eastAsia="en-US"/>
              </w:rPr>
            </w:pPr>
            <w:r w:rsidRPr="00AB07C6">
              <w:rPr>
                <w:b/>
                <w:bCs/>
                <w:iCs/>
                <w:sz w:val="18"/>
                <w:szCs w:val="18"/>
              </w:rPr>
              <w:t>Evolución de los riesgos y estrategias de mitigación durante el bienio</w:t>
            </w:r>
          </w:p>
        </w:tc>
        <w:tc>
          <w:tcPr>
            <w:tcW w:w="2306"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rsidR="00FA2BC6" w:rsidRPr="00AB07C6" w:rsidRDefault="00FA2BC6" w:rsidP="00836C51">
            <w:pPr>
              <w:spacing w:line="276" w:lineRule="auto"/>
              <w:jc w:val="center"/>
              <w:rPr>
                <w:rFonts w:eastAsia="Times New Roman" w:cs="Times New Roman"/>
                <w:b/>
                <w:bCs/>
                <w:sz w:val="18"/>
                <w:szCs w:val="18"/>
                <w:lang w:eastAsia="en-US"/>
              </w:rPr>
            </w:pPr>
            <w:r w:rsidRPr="00AB07C6">
              <w:rPr>
                <w:b/>
                <w:bCs/>
                <w:sz w:val="18"/>
                <w:szCs w:val="18"/>
              </w:rPr>
              <w:t>Incidencia en el rendimiento del programa</w:t>
            </w:r>
          </w:p>
        </w:tc>
      </w:tr>
      <w:tr w:rsidR="00FA2BC6" w:rsidRPr="00AB07C6" w:rsidTr="00DC1333">
        <w:trPr>
          <w:trHeight w:val="799"/>
          <w:jc w:val="center"/>
        </w:trPr>
        <w:tc>
          <w:tcPr>
            <w:tcW w:w="2420" w:type="dxa"/>
            <w:tcBorders>
              <w:top w:val="single" w:sz="4" w:space="0" w:color="auto"/>
              <w:left w:val="single" w:sz="4" w:space="0" w:color="auto"/>
              <w:bottom w:val="single" w:sz="4" w:space="0" w:color="auto"/>
              <w:right w:val="nil"/>
            </w:tcBorders>
            <w:tcMar>
              <w:top w:w="113" w:type="dxa"/>
              <w:left w:w="108" w:type="dxa"/>
              <w:bottom w:w="0" w:type="dxa"/>
              <w:right w:w="108" w:type="dxa"/>
            </w:tcMar>
            <w:hideMark/>
          </w:tcPr>
          <w:p w:rsidR="00FA2BC6" w:rsidRPr="00AB07C6" w:rsidRDefault="00FA2BC6">
            <w:pPr>
              <w:autoSpaceDE w:val="0"/>
              <w:autoSpaceDN w:val="0"/>
              <w:adjustRightInd w:val="0"/>
              <w:spacing w:line="276" w:lineRule="auto"/>
              <w:ind w:right="-59"/>
              <w:rPr>
                <w:rFonts w:eastAsia="Times New Roman" w:cs="Times New Roman"/>
                <w:sz w:val="16"/>
                <w:szCs w:val="16"/>
                <w:lang w:eastAsia="en-US"/>
              </w:rPr>
            </w:pPr>
            <w:r w:rsidRPr="00AB07C6">
              <w:rPr>
                <w:rFonts w:eastAsia="Arial Unicode MS"/>
                <w:color w:val="000000"/>
                <w:sz w:val="16"/>
                <w:szCs w:val="16"/>
              </w:rPr>
              <w:t>Las diferencias entre los grupos de países traen aparejada una limitación del desarrollo técnico de las normas técnicas y clasificaciones.</w:t>
            </w:r>
          </w:p>
        </w:tc>
        <w:tc>
          <w:tcPr>
            <w:tcW w:w="2200" w:type="dxa"/>
            <w:tcBorders>
              <w:top w:val="single" w:sz="4" w:space="0" w:color="auto"/>
              <w:left w:val="nil"/>
              <w:bottom w:val="single" w:sz="4" w:space="0" w:color="auto"/>
              <w:right w:val="nil"/>
            </w:tcBorders>
            <w:tcMar>
              <w:top w:w="113" w:type="dxa"/>
              <w:left w:w="108" w:type="dxa"/>
              <w:bottom w:w="0" w:type="dxa"/>
              <w:right w:w="108" w:type="dxa"/>
            </w:tcMar>
            <w:hideMark/>
          </w:tcPr>
          <w:p w:rsidR="00FA2BC6" w:rsidRPr="00AB07C6" w:rsidRDefault="00FA2BC6" w:rsidP="00DC1333">
            <w:pPr>
              <w:autoSpaceDE w:val="0"/>
              <w:autoSpaceDN w:val="0"/>
              <w:adjustRightInd w:val="0"/>
              <w:spacing w:line="276" w:lineRule="auto"/>
              <w:ind w:right="-59"/>
              <w:rPr>
                <w:rFonts w:eastAsia="Arial Unicode MS"/>
                <w:color w:val="000000"/>
                <w:sz w:val="16"/>
                <w:szCs w:val="16"/>
              </w:rPr>
            </w:pPr>
            <w:r w:rsidRPr="00AB07C6">
              <w:rPr>
                <w:rFonts w:eastAsia="Arial Unicode MS"/>
                <w:color w:val="000000"/>
                <w:sz w:val="16"/>
                <w:szCs w:val="16"/>
              </w:rPr>
              <w:t>Examen y solución de las cuestiones al margen de los comités.  Fortalecimiento de los debates técnicos en el seno de estos.  Supervisión de la aplicación de los planes a largo plazo.</w:t>
            </w:r>
          </w:p>
        </w:tc>
        <w:tc>
          <w:tcPr>
            <w:tcW w:w="2310" w:type="dxa"/>
            <w:tcBorders>
              <w:top w:val="single" w:sz="4" w:space="0" w:color="auto"/>
              <w:left w:val="nil"/>
              <w:bottom w:val="single" w:sz="4" w:space="0" w:color="auto"/>
              <w:right w:val="nil"/>
            </w:tcBorders>
            <w:hideMark/>
          </w:tcPr>
          <w:p w:rsidR="00FA2BC6" w:rsidRPr="00AB07C6" w:rsidRDefault="00FA2BC6" w:rsidP="00DC1333">
            <w:pPr>
              <w:autoSpaceDE w:val="0"/>
              <w:autoSpaceDN w:val="0"/>
              <w:adjustRightInd w:val="0"/>
              <w:spacing w:line="276" w:lineRule="auto"/>
              <w:ind w:right="-59"/>
              <w:rPr>
                <w:rFonts w:eastAsia="Arial Unicode MS" w:cs="Times New Roman"/>
                <w:color w:val="000000"/>
                <w:sz w:val="16"/>
                <w:szCs w:val="16"/>
                <w:lang w:eastAsia="en-US"/>
              </w:rPr>
            </w:pPr>
            <w:r w:rsidRPr="00AB07C6">
              <w:rPr>
                <w:rFonts w:eastAsia="Arial Unicode MS"/>
                <w:color w:val="000000"/>
                <w:sz w:val="16"/>
                <w:szCs w:val="16"/>
              </w:rPr>
              <w:t>Se mantuvo el problema relativo a la sesión del CWS a pesar de que se celebraron varias reuniones informales en 2014 y 2015.</w:t>
            </w:r>
          </w:p>
        </w:tc>
        <w:tc>
          <w:tcPr>
            <w:tcW w:w="2306" w:type="dxa"/>
            <w:tcBorders>
              <w:top w:val="single" w:sz="4" w:space="0" w:color="auto"/>
              <w:left w:val="nil"/>
              <w:bottom w:val="single" w:sz="4" w:space="0" w:color="auto"/>
              <w:right w:val="single" w:sz="4" w:space="0" w:color="auto"/>
            </w:tcBorders>
            <w:hideMark/>
          </w:tcPr>
          <w:p w:rsidR="00FA2BC6" w:rsidRPr="00AB07C6" w:rsidRDefault="00FA2BC6" w:rsidP="00DC1333">
            <w:pPr>
              <w:autoSpaceDE w:val="0"/>
              <w:autoSpaceDN w:val="0"/>
              <w:adjustRightInd w:val="0"/>
              <w:spacing w:line="276" w:lineRule="auto"/>
              <w:ind w:right="-59"/>
              <w:rPr>
                <w:rFonts w:eastAsia="Arial Unicode MS" w:cs="Times New Roman"/>
                <w:color w:val="000000"/>
                <w:sz w:val="16"/>
                <w:szCs w:val="16"/>
                <w:lang w:eastAsia="en-US"/>
              </w:rPr>
            </w:pPr>
            <w:r w:rsidRPr="00AB07C6">
              <w:rPr>
                <w:rFonts w:eastAsia="Arial Unicode MS"/>
                <w:color w:val="000000"/>
                <w:sz w:val="16"/>
                <w:szCs w:val="16"/>
              </w:rPr>
              <w:t>El CWS no pudo formalizar la adopción de varias normas técnicas nuevas.  .Sin embargo, la labor informal prosiguió y está previsto que en 2016 se adopten varias normas técnicas.</w:t>
            </w:r>
          </w:p>
        </w:tc>
      </w:tr>
    </w:tbl>
    <w:p w:rsidR="00FA2BC6" w:rsidRPr="00AB07C6" w:rsidRDefault="00FA2BC6" w:rsidP="00DC1333">
      <w:pPr>
        <w:jc w:val="both"/>
        <w:rPr>
          <w:color w:val="000000"/>
          <w:szCs w:val="22"/>
        </w:rPr>
      </w:pPr>
    </w:p>
    <w:p w:rsidR="00FA2BC6" w:rsidRPr="00AB07C6" w:rsidRDefault="00FA2BC6" w:rsidP="00DC1333">
      <w:pPr>
        <w:rPr>
          <w:color w:val="000000"/>
          <w:szCs w:val="22"/>
        </w:rPr>
      </w:pPr>
    </w:p>
    <w:p w:rsidR="00FA2BC6" w:rsidRPr="00AB07C6" w:rsidRDefault="00403D2C" w:rsidP="00DC1333">
      <w:pPr>
        <w:jc w:val="both"/>
        <w:rPr>
          <w:b/>
          <w:sz w:val="18"/>
          <w:szCs w:val="18"/>
        </w:rPr>
      </w:pPr>
      <w:r w:rsidRPr="00403D2C">
        <w:rPr>
          <w:sz w:val="20"/>
          <w:szCs w:val="22"/>
        </w:rPr>
        <w:t>UTILIZACIÓN DE LOS RECURSOS</w:t>
      </w:r>
    </w:p>
    <w:p w:rsidR="00FA2BC6" w:rsidRPr="00AB07C6" w:rsidRDefault="00FA2BC6" w:rsidP="00DC1333">
      <w:pPr>
        <w:jc w:val="both"/>
      </w:pPr>
    </w:p>
    <w:p w:rsidR="00FA2BC6" w:rsidRPr="00AB07C6" w:rsidRDefault="00FA2BC6" w:rsidP="00DC1333">
      <w:pPr>
        <w:pStyle w:val="NormalWeb"/>
        <w:spacing w:before="0" w:beforeAutospacing="0" w:after="0" w:afterAutospacing="0"/>
        <w:jc w:val="center"/>
        <w:rPr>
          <w:sz w:val="20"/>
          <w:szCs w:val="20"/>
          <w:lang w:val="es-ES"/>
        </w:rPr>
      </w:pPr>
      <w:r w:rsidRPr="00AB07C6">
        <w:rPr>
          <w:sz w:val="20"/>
          <w:szCs w:val="20"/>
          <w:lang w:val="es-ES"/>
        </w:rPr>
        <w:t>Presupuesto y gastos reales (por resultado)</w:t>
      </w:r>
    </w:p>
    <w:p w:rsidR="00FA2BC6" w:rsidRPr="00AB07C6" w:rsidRDefault="00FA2BC6" w:rsidP="00DC1333">
      <w:pPr>
        <w:pStyle w:val="NormalWeb"/>
        <w:spacing w:before="0" w:beforeAutospacing="0" w:after="0" w:afterAutospacing="0"/>
        <w:jc w:val="center"/>
        <w:rPr>
          <w:i/>
          <w:iCs/>
          <w:sz w:val="20"/>
          <w:szCs w:val="20"/>
          <w:lang w:val="es-ES"/>
        </w:rPr>
      </w:pPr>
      <w:r w:rsidRPr="00AB07C6">
        <w:rPr>
          <w:i/>
          <w:iCs/>
          <w:sz w:val="20"/>
          <w:szCs w:val="20"/>
          <w:lang w:val="es-ES"/>
        </w:rPr>
        <w:t>(</w:t>
      </w:r>
      <w:proofErr w:type="gramStart"/>
      <w:r w:rsidRPr="00AB07C6">
        <w:rPr>
          <w:i/>
          <w:iCs/>
          <w:sz w:val="20"/>
          <w:szCs w:val="20"/>
          <w:lang w:val="es-ES"/>
        </w:rPr>
        <w:t>en</w:t>
      </w:r>
      <w:proofErr w:type="gramEnd"/>
      <w:r w:rsidRPr="00AB07C6">
        <w:rPr>
          <w:i/>
          <w:iCs/>
          <w:sz w:val="20"/>
          <w:szCs w:val="20"/>
          <w:lang w:val="es-ES"/>
        </w:rPr>
        <w:t xml:space="preserve"> miles de francos suizos)</w:t>
      </w:r>
    </w:p>
    <w:p w:rsidR="00FA2BC6" w:rsidRPr="00AB07C6" w:rsidRDefault="00FA2BC6" w:rsidP="00DC1333">
      <w:pPr>
        <w:pStyle w:val="NormalWeb"/>
        <w:spacing w:before="0" w:beforeAutospacing="0" w:after="0" w:afterAutospacing="0"/>
        <w:jc w:val="both"/>
        <w:rPr>
          <w:sz w:val="20"/>
          <w:szCs w:val="20"/>
          <w:lang w:val="es-ES"/>
        </w:rPr>
      </w:pPr>
    </w:p>
    <w:p w:rsidR="00FA2BC6" w:rsidRPr="00AB07C6" w:rsidRDefault="00FA2BC6" w:rsidP="00DC1333">
      <w:pPr>
        <w:jc w:val="center"/>
      </w:pPr>
      <w:bookmarkStart w:id="118" w:name="Bm12"/>
      <w:bookmarkStart w:id="119" w:name="Punto12"/>
      <w:r>
        <w:rPr>
          <w:noProof/>
          <w:lang w:val="en-US" w:eastAsia="en-US"/>
        </w:rPr>
        <w:drawing>
          <wp:inline distT="0" distB="0" distL="0" distR="0" wp14:anchorId="78F86FA1" wp14:editId="6DDF7915">
            <wp:extent cx="5676900" cy="1457325"/>
            <wp:effectExtent l="0" t="0" r="0" b="9525"/>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5676900" cy="1457325"/>
                    </a:xfrm>
                    <a:prstGeom prst="rect">
                      <a:avLst/>
                    </a:prstGeom>
                    <a:noFill/>
                    <a:ln>
                      <a:noFill/>
                    </a:ln>
                  </pic:spPr>
                </pic:pic>
              </a:graphicData>
            </a:graphic>
          </wp:inline>
        </w:drawing>
      </w:r>
      <w:bookmarkEnd w:id="118"/>
      <w:bookmarkEnd w:id="119"/>
    </w:p>
    <w:p w:rsidR="00FA2BC6" w:rsidRPr="00AB07C6" w:rsidRDefault="00FA2BC6" w:rsidP="00DC1333">
      <w:pPr>
        <w:jc w:val="both"/>
      </w:pPr>
    </w:p>
    <w:p w:rsidR="00FA2BC6" w:rsidRPr="00AB07C6" w:rsidRDefault="00FA2BC6" w:rsidP="00DC1333">
      <w:pPr>
        <w:pStyle w:val="NormalWeb"/>
        <w:keepNext/>
        <w:keepLines/>
        <w:spacing w:before="0" w:beforeAutospacing="0" w:after="0" w:afterAutospacing="0"/>
        <w:jc w:val="center"/>
        <w:rPr>
          <w:sz w:val="20"/>
          <w:szCs w:val="20"/>
          <w:lang w:val="es-ES"/>
        </w:rPr>
      </w:pPr>
      <w:r w:rsidRPr="00AB07C6">
        <w:rPr>
          <w:sz w:val="20"/>
          <w:szCs w:val="20"/>
          <w:lang w:val="es-ES"/>
        </w:rPr>
        <w:t>Presupuesto y gastos reales (de personal y no relativos a personal)</w:t>
      </w:r>
    </w:p>
    <w:p w:rsidR="00FA2BC6" w:rsidRPr="00AB07C6" w:rsidRDefault="00FA2BC6" w:rsidP="00DC1333">
      <w:pPr>
        <w:pStyle w:val="NormalWeb"/>
        <w:keepNext/>
        <w:keepLines/>
        <w:spacing w:before="0" w:beforeAutospacing="0" w:after="0" w:afterAutospacing="0"/>
        <w:jc w:val="center"/>
        <w:rPr>
          <w:i/>
          <w:iCs/>
          <w:sz w:val="20"/>
          <w:szCs w:val="20"/>
          <w:lang w:val="es-ES"/>
        </w:rPr>
      </w:pPr>
      <w:r w:rsidRPr="00AB07C6">
        <w:rPr>
          <w:i/>
          <w:iCs/>
          <w:sz w:val="20"/>
          <w:szCs w:val="20"/>
          <w:lang w:val="es-ES"/>
        </w:rPr>
        <w:t>(</w:t>
      </w:r>
      <w:proofErr w:type="gramStart"/>
      <w:r w:rsidRPr="00AB07C6">
        <w:rPr>
          <w:i/>
          <w:iCs/>
          <w:sz w:val="20"/>
          <w:szCs w:val="20"/>
          <w:lang w:val="es-ES"/>
        </w:rPr>
        <w:t>en</w:t>
      </w:r>
      <w:proofErr w:type="gramEnd"/>
      <w:r w:rsidRPr="00AB07C6">
        <w:rPr>
          <w:i/>
          <w:iCs/>
          <w:sz w:val="20"/>
          <w:szCs w:val="20"/>
          <w:lang w:val="es-ES"/>
        </w:rPr>
        <w:t xml:space="preserve"> miles de francos suizos)</w:t>
      </w:r>
    </w:p>
    <w:p w:rsidR="00FA2BC6" w:rsidRPr="00AB07C6" w:rsidRDefault="00FA2BC6" w:rsidP="00DC1333">
      <w:pPr>
        <w:pStyle w:val="NormalWeb"/>
        <w:keepNext/>
        <w:keepLines/>
        <w:spacing w:before="0" w:beforeAutospacing="0" w:after="0" w:afterAutospacing="0"/>
        <w:jc w:val="both"/>
        <w:rPr>
          <w:lang w:val="es-ES"/>
        </w:rPr>
      </w:pPr>
    </w:p>
    <w:p w:rsidR="00FA2BC6" w:rsidRPr="00AB07C6" w:rsidRDefault="00FA2BC6" w:rsidP="00DC1333">
      <w:pPr>
        <w:jc w:val="center"/>
      </w:pPr>
      <w:bookmarkStart w:id="120" w:name="Point12"/>
      <w:r>
        <w:rPr>
          <w:noProof/>
          <w:lang w:val="en-US" w:eastAsia="en-US"/>
        </w:rPr>
        <w:drawing>
          <wp:inline distT="0" distB="0" distL="0" distR="0" wp14:anchorId="313515BD" wp14:editId="5C8FB7EB">
            <wp:extent cx="5940425" cy="1045921"/>
            <wp:effectExtent l="0" t="0" r="3175" b="1905"/>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5940425" cy="1045921"/>
                    </a:xfrm>
                    <a:prstGeom prst="rect">
                      <a:avLst/>
                    </a:prstGeom>
                    <a:noFill/>
                    <a:ln>
                      <a:noFill/>
                    </a:ln>
                  </pic:spPr>
                </pic:pic>
              </a:graphicData>
            </a:graphic>
          </wp:inline>
        </w:drawing>
      </w:r>
      <w:bookmarkEnd w:id="120"/>
    </w:p>
    <w:p w:rsidR="00FA2BC6" w:rsidRDefault="00FA2BC6" w:rsidP="00DC1333">
      <w:pPr>
        <w:widowControl w:val="0"/>
        <w:autoSpaceDE w:val="0"/>
        <w:autoSpaceDN w:val="0"/>
        <w:adjustRightInd w:val="0"/>
        <w:jc w:val="both"/>
        <w:rPr>
          <w:sz w:val="20"/>
        </w:rPr>
      </w:pPr>
    </w:p>
    <w:p w:rsidR="00FA2BC6" w:rsidRPr="00AB07C6" w:rsidRDefault="00403D2C" w:rsidP="0068591B">
      <w:pPr>
        <w:tabs>
          <w:tab w:val="left" w:pos="709"/>
        </w:tabs>
        <w:jc w:val="both"/>
        <w:rPr>
          <w:sz w:val="20"/>
          <w:u w:val="single"/>
        </w:rPr>
      </w:pPr>
      <w:r w:rsidRPr="00403D2C">
        <w:rPr>
          <w:sz w:val="20"/>
        </w:rPr>
        <w:lastRenderedPageBreak/>
        <w:t>A.</w:t>
      </w:r>
      <w:r w:rsidRPr="00403D2C">
        <w:rPr>
          <w:sz w:val="20"/>
        </w:rPr>
        <w:tab/>
      </w:r>
      <w:r w:rsidRPr="00403D2C">
        <w:rPr>
          <w:sz w:val="20"/>
          <w:u w:val="single"/>
        </w:rPr>
        <w:t>Presupuesto final de 2014/15 tras las transferencias</w:t>
      </w:r>
    </w:p>
    <w:p w:rsidR="00FA2BC6" w:rsidRPr="00AB07C6" w:rsidRDefault="00FA2BC6" w:rsidP="00DC1333">
      <w:pPr>
        <w:jc w:val="both"/>
        <w:rPr>
          <w:sz w:val="20"/>
          <w:u w:val="single"/>
        </w:rPr>
      </w:pPr>
    </w:p>
    <w:p w:rsidR="00FA2BC6" w:rsidRPr="00AB07C6" w:rsidRDefault="00FA2BC6" w:rsidP="00FA2BC6">
      <w:pPr>
        <w:pStyle w:val="ListParagraph"/>
        <w:numPr>
          <w:ilvl w:val="0"/>
          <w:numId w:val="71"/>
        </w:numPr>
        <w:tabs>
          <w:tab w:val="left" w:pos="709"/>
        </w:tabs>
        <w:ind w:left="0" w:firstLine="0"/>
        <w:jc w:val="both"/>
        <w:rPr>
          <w:lang w:val="es-ES"/>
        </w:rPr>
      </w:pPr>
      <w:r w:rsidRPr="00AB07C6">
        <w:rPr>
          <w:lang w:val="es-ES"/>
        </w:rPr>
        <w:t>La leve disminución del presupuesto final de 2014/15 tras las transferencias (recursos de personal) refleja el resultado neto de la reclasificación de puestos.</w:t>
      </w:r>
    </w:p>
    <w:p w:rsidR="00FA2BC6" w:rsidRPr="00AB07C6" w:rsidRDefault="00FA2BC6" w:rsidP="00DC1333">
      <w:pPr>
        <w:pStyle w:val="ListParagraph"/>
        <w:tabs>
          <w:tab w:val="left" w:pos="709"/>
        </w:tabs>
        <w:ind w:left="0"/>
        <w:jc w:val="both"/>
        <w:rPr>
          <w:lang w:val="es-ES"/>
        </w:rPr>
      </w:pPr>
    </w:p>
    <w:p w:rsidR="00FA2BC6" w:rsidRPr="00AB07C6" w:rsidRDefault="00FA2BC6" w:rsidP="00FA2BC6">
      <w:pPr>
        <w:pStyle w:val="ListParagraph"/>
        <w:numPr>
          <w:ilvl w:val="0"/>
          <w:numId w:val="71"/>
        </w:numPr>
        <w:tabs>
          <w:tab w:val="left" w:pos="709"/>
        </w:tabs>
        <w:ind w:left="0" w:firstLine="0"/>
        <w:jc w:val="both"/>
        <w:rPr>
          <w:lang w:val="es-ES"/>
        </w:rPr>
      </w:pPr>
      <w:r w:rsidRPr="00AB07C6">
        <w:rPr>
          <w:lang w:val="es-ES"/>
        </w:rPr>
        <w:t xml:space="preserve">El aumento de los recursos no relativos a personal se debe fundamentalmente a que los costos del desarrollo y alojamiento del </w:t>
      </w:r>
      <w:r w:rsidRPr="00AB07C6">
        <w:rPr>
          <w:i/>
          <w:lang w:val="es-ES"/>
        </w:rPr>
        <w:t xml:space="preserve">software </w:t>
      </w:r>
      <w:r w:rsidRPr="00AB07C6">
        <w:rPr>
          <w:lang w:val="es-ES"/>
        </w:rPr>
        <w:t>de reclasificación de la CIP han sido superiores a lo previsto y al aumento de los gastos de interpretación de los actos organizados en relación con la administración de la Unión de la CIP.</w:t>
      </w:r>
    </w:p>
    <w:p w:rsidR="00FA2BC6" w:rsidRPr="00AB07C6" w:rsidRDefault="00FA2BC6" w:rsidP="00DC1333">
      <w:pPr>
        <w:autoSpaceDE w:val="0"/>
        <w:autoSpaceDN w:val="0"/>
        <w:jc w:val="both"/>
        <w:rPr>
          <w:sz w:val="20"/>
          <w:lang w:eastAsia="ko-KR"/>
        </w:rPr>
      </w:pPr>
    </w:p>
    <w:p w:rsidR="00FA2BC6" w:rsidRPr="00AB07C6" w:rsidRDefault="00403D2C" w:rsidP="0068591B">
      <w:pPr>
        <w:tabs>
          <w:tab w:val="left" w:pos="709"/>
        </w:tabs>
        <w:jc w:val="both"/>
        <w:rPr>
          <w:sz w:val="20"/>
          <w:u w:val="single"/>
          <w:lang w:eastAsia="ko-KR"/>
        </w:rPr>
      </w:pPr>
      <w:r w:rsidRPr="00403D2C">
        <w:rPr>
          <w:sz w:val="20"/>
          <w:lang w:eastAsia="ko-KR"/>
        </w:rPr>
        <w:t>B.</w:t>
      </w:r>
      <w:r w:rsidRPr="00403D2C">
        <w:rPr>
          <w:sz w:val="20"/>
          <w:lang w:eastAsia="ko-KR"/>
        </w:rPr>
        <w:tab/>
      </w:r>
      <w:r w:rsidRPr="00403D2C">
        <w:rPr>
          <w:sz w:val="20"/>
          <w:u w:val="single"/>
          <w:lang w:eastAsia="ko-KR"/>
        </w:rPr>
        <w:t>Utilización del presupuesto en 2014/15</w:t>
      </w:r>
    </w:p>
    <w:p w:rsidR="00FA2BC6" w:rsidRPr="00AB07C6" w:rsidRDefault="00FA2BC6" w:rsidP="00DC1333">
      <w:pPr>
        <w:tabs>
          <w:tab w:val="left" w:pos="709"/>
        </w:tabs>
        <w:jc w:val="both"/>
        <w:rPr>
          <w:sz w:val="20"/>
          <w:u w:val="single"/>
          <w:lang w:eastAsia="ko-KR"/>
        </w:rPr>
      </w:pPr>
    </w:p>
    <w:p w:rsidR="00FA2BC6" w:rsidRPr="00AB07C6" w:rsidRDefault="00FA2BC6" w:rsidP="00FA2BC6">
      <w:pPr>
        <w:pStyle w:val="ListParagraph"/>
        <w:numPr>
          <w:ilvl w:val="0"/>
          <w:numId w:val="71"/>
        </w:numPr>
        <w:tabs>
          <w:tab w:val="left" w:pos="709"/>
        </w:tabs>
        <w:ind w:left="0" w:firstLine="0"/>
        <w:jc w:val="both"/>
        <w:rPr>
          <w:rFonts w:ascii="Calibri" w:hAnsi="Calibri"/>
          <w:lang w:val="es-ES"/>
        </w:rPr>
      </w:pPr>
      <w:r w:rsidRPr="00AB07C6">
        <w:rPr>
          <w:lang w:val="es-ES" w:eastAsia="zh-CN"/>
        </w:rPr>
        <w:t xml:space="preserve">La utilización del presupuesto se ha mantenido dentro de los límites establecidos </w:t>
      </w:r>
      <w:r w:rsidRPr="00AB07C6">
        <w:rPr>
          <w:lang w:val="es-ES"/>
        </w:rPr>
        <w:t>para el bienio</w:t>
      </w:r>
      <w:r w:rsidRPr="00AB07C6">
        <w:rPr>
          <w:rFonts w:cs="Arial"/>
          <w:lang w:val="es-ES" w:eastAsia="ko-KR"/>
        </w:rPr>
        <w:t>.</w:t>
      </w:r>
    </w:p>
    <w:p w:rsidR="00FA2BC6" w:rsidRDefault="00FA2BC6"/>
    <w:p w:rsidR="00FA2BC6" w:rsidRDefault="00FA2BC6"/>
    <w:p w:rsidR="00FA2BC6" w:rsidRPr="00AB07C6" w:rsidRDefault="00FA2BC6"/>
    <w:p w:rsidR="00FA2BC6" w:rsidRDefault="00FA2BC6">
      <w:pPr>
        <w:rPr>
          <w:b/>
          <w:bCs/>
          <w:iCs/>
          <w:caps/>
          <w:szCs w:val="28"/>
        </w:rPr>
      </w:pPr>
      <w:bookmarkStart w:id="121" w:name="_Toc422927422"/>
      <w:r>
        <w:rPr>
          <w:b/>
        </w:rPr>
        <w:br w:type="page"/>
      </w:r>
    </w:p>
    <w:p w:rsidR="00FA2BC6" w:rsidRPr="00053E42" w:rsidRDefault="00FA2BC6" w:rsidP="00DC1333">
      <w:pPr>
        <w:pStyle w:val="Heading2"/>
        <w:tabs>
          <w:tab w:val="left" w:pos="2410"/>
        </w:tabs>
        <w:rPr>
          <w:b/>
        </w:rPr>
      </w:pPr>
      <w:bookmarkStart w:id="122" w:name="_Toc455159090"/>
      <w:r w:rsidRPr="00053E42">
        <w:rPr>
          <w:b/>
        </w:rPr>
        <w:lastRenderedPageBreak/>
        <w:t>PROGRAMA 13</w:t>
      </w:r>
      <w:r w:rsidRPr="00053E42">
        <w:rPr>
          <w:b/>
        </w:rPr>
        <w:tab/>
        <w:t>BASES MUNDIALES DE DATOS</w:t>
      </w:r>
      <w:bookmarkEnd w:id="121"/>
      <w:bookmarkEnd w:id="122"/>
    </w:p>
    <w:p w:rsidR="00FA2BC6" w:rsidRPr="00053E42" w:rsidRDefault="00FA2BC6" w:rsidP="00DC1333">
      <w:pPr>
        <w:rPr>
          <w:sz w:val="20"/>
        </w:rPr>
      </w:pPr>
    </w:p>
    <w:p w:rsidR="00FA2BC6" w:rsidRPr="00053E42" w:rsidRDefault="00FA2BC6" w:rsidP="00DC1333">
      <w:pPr>
        <w:tabs>
          <w:tab w:val="left" w:pos="2410"/>
        </w:tabs>
        <w:rPr>
          <w:sz w:val="20"/>
        </w:rPr>
      </w:pPr>
      <w:r w:rsidRPr="00053E42">
        <w:rPr>
          <w:b/>
          <w:sz w:val="20"/>
        </w:rPr>
        <w:t>Director de programa</w:t>
      </w:r>
      <w:r w:rsidRPr="00053E42">
        <w:rPr>
          <w:sz w:val="20"/>
        </w:rPr>
        <w:tab/>
      </w:r>
      <w:r w:rsidRPr="00053E42">
        <w:rPr>
          <w:b/>
          <w:sz w:val="20"/>
        </w:rPr>
        <w:t>Sr. Y. Takagi</w:t>
      </w:r>
    </w:p>
    <w:p w:rsidR="00FA2BC6" w:rsidRPr="00053E42" w:rsidRDefault="00FA2BC6" w:rsidP="00DC1333">
      <w:pPr>
        <w:rPr>
          <w:sz w:val="20"/>
        </w:rPr>
      </w:pPr>
    </w:p>
    <w:p w:rsidR="00FA2BC6" w:rsidRPr="00053E42" w:rsidRDefault="00FA2BC6" w:rsidP="00DC1333">
      <w:pPr>
        <w:rPr>
          <w:sz w:val="20"/>
        </w:rPr>
      </w:pPr>
    </w:p>
    <w:p w:rsidR="00FA2BC6" w:rsidRPr="00053E42" w:rsidRDefault="008F7CBE" w:rsidP="00DC1333">
      <w:pPr>
        <w:rPr>
          <w:bCs/>
        </w:rPr>
      </w:pPr>
      <w:r w:rsidRPr="008F7CBE">
        <w:rPr>
          <w:bCs/>
          <w:sz w:val="20"/>
          <w:szCs w:val="22"/>
        </w:rPr>
        <w:t>LOGROS ALCANZADOS EN EL BIENIO 2014/15</w:t>
      </w:r>
    </w:p>
    <w:p w:rsidR="00FA2BC6" w:rsidRPr="00053E42" w:rsidRDefault="00FA2BC6" w:rsidP="00DC1333">
      <w:pPr>
        <w:jc w:val="both"/>
      </w:pPr>
    </w:p>
    <w:p w:rsidR="00FA2BC6" w:rsidRPr="00053E42" w:rsidRDefault="00FA2BC6" w:rsidP="00FA2BC6">
      <w:pPr>
        <w:pStyle w:val="ListParagraph"/>
        <w:numPr>
          <w:ilvl w:val="0"/>
          <w:numId w:val="73"/>
        </w:numPr>
        <w:tabs>
          <w:tab w:val="left" w:pos="709"/>
        </w:tabs>
        <w:ind w:left="0" w:firstLine="0"/>
        <w:jc w:val="both"/>
        <w:rPr>
          <w:lang w:val="es-ES"/>
        </w:rPr>
      </w:pPr>
      <w:r w:rsidRPr="00053E42">
        <w:rPr>
          <w:lang w:val="es-ES"/>
        </w:rPr>
        <w:t>En el bienio 2014/15 se siguió forta</w:t>
      </w:r>
      <w:r>
        <w:rPr>
          <w:lang w:val="es-ES"/>
        </w:rPr>
        <w:t>leciendo el sistema PATENTSCOPE</w:t>
      </w:r>
      <w:r w:rsidRPr="00053E42">
        <w:rPr>
          <w:lang w:val="es-ES"/>
        </w:rPr>
        <w:t xml:space="preserve"> y se prestó atención sobre todo a la mejora del acceso al sistema en las regiones que experimentaban retrasos en las conexiones.  También se consiguieron mejoras demostrables en relación con los usuarios de Asia.  Se incorporaron otros dos idiomas (el danés y el polaco) al sistema de búsqueda plurilingüe </w:t>
      </w:r>
      <w:r w:rsidRPr="00053E42">
        <w:rPr>
          <w:i/>
          <w:lang w:val="es-ES"/>
        </w:rPr>
        <w:t xml:space="preserve">Cross Lingual </w:t>
      </w:r>
      <w:proofErr w:type="spellStart"/>
      <w:r w:rsidRPr="00053E42">
        <w:rPr>
          <w:i/>
          <w:lang w:val="es-ES"/>
        </w:rPr>
        <w:t>Information</w:t>
      </w:r>
      <w:proofErr w:type="spellEnd"/>
      <w:r w:rsidRPr="00053E42">
        <w:rPr>
          <w:i/>
          <w:lang w:val="es-ES"/>
        </w:rPr>
        <w:t xml:space="preserve"> </w:t>
      </w:r>
      <w:proofErr w:type="spellStart"/>
      <w:r w:rsidRPr="00053E42">
        <w:rPr>
          <w:i/>
          <w:lang w:val="es-ES"/>
        </w:rPr>
        <w:t>Retrieval</w:t>
      </w:r>
      <w:proofErr w:type="spellEnd"/>
      <w:r w:rsidRPr="00053E42">
        <w:rPr>
          <w:lang w:val="es-ES"/>
        </w:rPr>
        <w:t xml:space="preserve"> (CLIR) que permite recuperar datos en varios idiomas, con lo que la lista de idiomas existentes se amplía a 14 antes de que finalice el bienio.  Se amplió WIPO </w:t>
      </w:r>
      <w:proofErr w:type="spellStart"/>
      <w:r w:rsidRPr="00053E42">
        <w:rPr>
          <w:lang w:val="es-ES"/>
        </w:rPr>
        <w:t>Translate</w:t>
      </w:r>
      <w:proofErr w:type="spellEnd"/>
      <w:r w:rsidRPr="00053E42">
        <w:rPr>
          <w:lang w:val="es-ES"/>
        </w:rPr>
        <w:t>,</w:t>
      </w:r>
      <w:r w:rsidRPr="00053E42">
        <w:rPr>
          <w:rStyle w:val="FootnoteReference"/>
          <w:lang w:val="es-ES"/>
        </w:rPr>
        <w:footnoteReference w:id="84"/>
      </w:r>
      <w:r w:rsidRPr="00053E42">
        <w:rPr>
          <w:lang w:val="es-ES"/>
        </w:rPr>
        <w:t xml:space="preserve"> un sistema de traducción asistida por computadora creado en la Organización, para dar cabida antes de que finalice el bienio a otros tres pares de idiomas que ofrecen dificultades, el inglés y el coreano, el inglés y el ruso,</w:t>
      </w:r>
      <w:r w:rsidR="002E6163">
        <w:rPr>
          <w:lang w:val="es-ES"/>
        </w:rPr>
        <w:t xml:space="preserve"> y el inglés y el español,</w:t>
      </w:r>
      <w:r w:rsidRPr="00053E42">
        <w:rPr>
          <w:lang w:val="es-ES"/>
        </w:rPr>
        <w:t xml:space="preserve"> con lo que se eleva a siete el número total de pares de idiomas disponibles</w:t>
      </w:r>
      <w:r w:rsidR="002E6163">
        <w:rPr>
          <w:lang w:val="es-ES"/>
        </w:rPr>
        <w:t>, amén de haber ampliado la cobertura en inglés y chino para abarcar ahora las descripciones y las reivindicaciones</w:t>
      </w:r>
      <w:r w:rsidRPr="00053E42">
        <w:rPr>
          <w:lang w:val="es-ES"/>
        </w:rPr>
        <w:t xml:space="preserve">.  Durante el bienio se produjo asimismo la introducción de la traducción de descripciones y reivindicaciones completas de patentes en el par de idiomas inglés-chino.  En 2014/15 también se avanzó en la labor de investigación relativa a otras funciones de traducción automática.  WIPO </w:t>
      </w:r>
      <w:proofErr w:type="spellStart"/>
      <w:r w:rsidRPr="00053E42">
        <w:rPr>
          <w:lang w:val="es-ES"/>
        </w:rPr>
        <w:t>Translate</w:t>
      </w:r>
      <w:proofErr w:type="spellEnd"/>
      <w:r w:rsidRPr="00053E42">
        <w:rPr>
          <w:lang w:val="es-ES"/>
        </w:rPr>
        <w:t xml:space="preserve"> se siguió aplicando en otras organizaciones de las Naciones Unidas, obteniendo excelentes críticas de los expertos y consiguiendo sistemáticamente mejores resultados que otras herramientas de traducción automática como Google </w:t>
      </w:r>
      <w:proofErr w:type="spellStart"/>
      <w:r w:rsidRPr="00053E42">
        <w:rPr>
          <w:lang w:val="es-ES"/>
        </w:rPr>
        <w:t>Translate</w:t>
      </w:r>
      <w:proofErr w:type="spellEnd"/>
      <w:r w:rsidRPr="00053E42">
        <w:rPr>
          <w:lang w:val="es-ES"/>
        </w:rPr>
        <w:t>.</w:t>
      </w:r>
    </w:p>
    <w:p w:rsidR="00FA2BC6" w:rsidRPr="00053E42" w:rsidRDefault="00FA2BC6" w:rsidP="00DC1333">
      <w:pPr>
        <w:tabs>
          <w:tab w:val="left" w:pos="709"/>
        </w:tabs>
        <w:jc w:val="both"/>
      </w:pPr>
    </w:p>
    <w:p w:rsidR="00FA2BC6" w:rsidRPr="00053E42" w:rsidRDefault="00FA2BC6" w:rsidP="00FA2BC6">
      <w:pPr>
        <w:pStyle w:val="ListParagraph"/>
        <w:numPr>
          <w:ilvl w:val="0"/>
          <w:numId w:val="73"/>
        </w:numPr>
        <w:tabs>
          <w:tab w:val="left" w:pos="709"/>
        </w:tabs>
        <w:ind w:left="0" w:firstLine="0"/>
        <w:jc w:val="both"/>
        <w:rPr>
          <w:lang w:val="es-ES"/>
        </w:rPr>
      </w:pPr>
      <w:r w:rsidRPr="00053E42">
        <w:rPr>
          <w:lang w:val="es-ES"/>
        </w:rPr>
        <w:t>Durante el bienio se produjo un aumento considerable de la cobertura de datos y el nivel de utilización de las bases de datos de la OMPI en materia de P.I.  Entre los hechos acaecidos cabe destacar la puesta en funcionamiento en enero de 2015 de un nuevo servicio, la Base Mundial de Datos sobre Dibujos y Modelos Industriales.  A finales de 2015, solo un año después de haberse puesto en marcha, esta Base de Datos había alcanzado ya la impresionante cantidad de 14.000 visitantes únicos por trimestre.  Además, el número de colecciones nacionales y regionales (indicadas como “Otros” en el gráfico que figura a continuación) había llegado a cinco, con más de 1,5 millones de documentos de dibujos y modelos industriales.</w:t>
      </w:r>
    </w:p>
    <w:p w:rsidR="00FA2BC6" w:rsidRPr="00053E42" w:rsidRDefault="00FA2BC6" w:rsidP="00DC1333">
      <w:pPr>
        <w:jc w:val="both"/>
        <w:rPr>
          <w:sz w:val="20"/>
        </w:rPr>
      </w:pPr>
    </w:p>
    <w:p w:rsidR="00FA2BC6" w:rsidRPr="002E6163" w:rsidRDefault="00FA2BC6" w:rsidP="00DC1333">
      <w:pPr>
        <w:autoSpaceDE w:val="0"/>
        <w:autoSpaceDN w:val="0"/>
        <w:adjustRightInd w:val="0"/>
        <w:jc w:val="center"/>
        <w:rPr>
          <w:bCs/>
          <w:sz w:val="20"/>
        </w:rPr>
      </w:pPr>
      <w:r w:rsidRPr="002E6163">
        <w:rPr>
          <w:bCs/>
          <w:sz w:val="20"/>
        </w:rPr>
        <w:t xml:space="preserve">Número de registros en </w:t>
      </w:r>
      <w:r w:rsidRPr="002E6163">
        <w:rPr>
          <w:sz w:val="20"/>
        </w:rPr>
        <w:t>la Base Mundial de Datos sobre Dibujos y Modelos Industriales</w:t>
      </w:r>
      <w:r w:rsidRPr="002E6163">
        <w:rPr>
          <w:bCs/>
          <w:sz w:val="20"/>
        </w:rPr>
        <w:t xml:space="preserve"> en 2015</w:t>
      </w:r>
    </w:p>
    <w:p w:rsidR="00FA2BC6" w:rsidRPr="00053E42" w:rsidRDefault="00FA2BC6" w:rsidP="00DC1333">
      <w:pPr>
        <w:jc w:val="both"/>
        <w:rPr>
          <w:sz w:val="20"/>
        </w:rPr>
      </w:pPr>
    </w:p>
    <w:p w:rsidR="00FA2BC6" w:rsidRPr="00053E42" w:rsidRDefault="00FA2BC6" w:rsidP="00DC1333">
      <w:pPr>
        <w:pStyle w:val="ListParagraph"/>
        <w:tabs>
          <w:tab w:val="left" w:pos="709"/>
        </w:tabs>
        <w:ind w:left="0"/>
        <w:jc w:val="center"/>
        <w:rPr>
          <w:rFonts w:eastAsia="MS Mincho"/>
          <w:lang w:val="es-ES" w:eastAsia="ja-JP" w:bidi="th-TH"/>
        </w:rPr>
      </w:pPr>
      <w:r w:rsidRPr="00572028">
        <w:rPr>
          <w:rFonts w:eastAsia="MS Mincho"/>
          <w:noProof/>
        </w:rPr>
        <w:drawing>
          <wp:inline distT="0" distB="0" distL="0" distR="0" wp14:anchorId="108F9E6C" wp14:editId="70BD45DC">
            <wp:extent cx="4338084" cy="2843599"/>
            <wp:effectExtent l="0" t="0" r="5715"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4340864" cy="2845421"/>
                    </a:xfrm>
                    <a:prstGeom prst="rect">
                      <a:avLst/>
                    </a:prstGeom>
                    <a:noFill/>
                    <a:ln>
                      <a:noFill/>
                    </a:ln>
                  </pic:spPr>
                </pic:pic>
              </a:graphicData>
            </a:graphic>
          </wp:inline>
        </w:drawing>
      </w:r>
    </w:p>
    <w:p w:rsidR="00FA2BC6" w:rsidRPr="00053E42" w:rsidRDefault="00FA2BC6" w:rsidP="00DC1333">
      <w:pPr>
        <w:jc w:val="both"/>
        <w:rPr>
          <w:bCs/>
          <w:sz w:val="20"/>
        </w:rPr>
      </w:pPr>
    </w:p>
    <w:p w:rsidR="00FA2BC6" w:rsidRPr="00053E42" w:rsidRDefault="00FA2BC6" w:rsidP="00FA2BC6">
      <w:pPr>
        <w:pStyle w:val="ListParagraph"/>
        <w:numPr>
          <w:ilvl w:val="0"/>
          <w:numId w:val="73"/>
        </w:numPr>
        <w:tabs>
          <w:tab w:val="left" w:pos="709"/>
        </w:tabs>
        <w:ind w:left="0" w:firstLine="0"/>
        <w:jc w:val="both"/>
        <w:rPr>
          <w:bCs/>
          <w:lang w:val="es-ES"/>
        </w:rPr>
      </w:pPr>
      <w:r w:rsidRPr="00053E42">
        <w:rPr>
          <w:bCs/>
          <w:lang w:val="es-ES"/>
        </w:rPr>
        <w:t xml:space="preserve">Gracias a la introducción de una potente función de búsqueda de imágenes similares, la primera de este tipo que se utiliza en un sistema público de búsqueda de P.I., en el bienio 2014/15 el uso de la </w:t>
      </w:r>
      <w:r w:rsidRPr="00053E42">
        <w:rPr>
          <w:bCs/>
          <w:lang w:val="es-ES"/>
        </w:rPr>
        <w:lastRenderedPageBreak/>
        <w:t xml:space="preserve">Base Mundial de Datos sobre Marcas superó las expectativas, al cuadruplicarse el número de visitantes únicos por trimestre, superando los 80.000 en comparación con los 23.000 </w:t>
      </w:r>
      <w:r w:rsidR="0099649E">
        <w:rPr>
          <w:bCs/>
          <w:lang w:val="es-ES"/>
        </w:rPr>
        <w:t>contabilizados al finalizar </w:t>
      </w:r>
      <w:r w:rsidRPr="00053E42">
        <w:rPr>
          <w:bCs/>
          <w:lang w:val="es-ES"/>
        </w:rPr>
        <w:t>2013.  El número de colecciones nacionales (indicadas como “Otros” en el gráfico que figura a continuación) fue más del doble, pasando de 12 al finalizar 2013 a 26 al término de 2015.  Asimismo, el número total de registros contenidos en el sistema también fue más del doble durante el bienio, y pasó de 12 millones a más de 24 millones.</w:t>
      </w:r>
    </w:p>
    <w:p w:rsidR="00FA2BC6" w:rsidRPr="00053E42" w:rsidRDefault="00FA2BC6" w:rsidP="00DC1333">
      <w:pPr>
        <w:pStyle w:val="Style1"/>
        <w:keepNext/>
        <w:keepLines/>
        <w:numPr>
          <w:ilvl w:val="0"/>
          <w:numId w:val="0"/>
        </w:numPr>
        <w:ind w:left="720"/>
        <w:jc w:val="center"/>
        <w:rPr>
          <w:sz w:val="22"/>
          <w:szCs w:val="22"/>
          <w:lang w:val="es-ES"/>
        </w:rPr>
      </w:pPr>
    </w:p>
    <w:p w:rsidR="00FA2BC6" w:rsidRPr="00053E42" w:rsidRDefault="00FA2BC6" w:rsidP="00DC1333">
      <w:pPr>
        <w:pStyle w:val="Style1"/>
        <w:keepNext/>
        <w:keepLines/>
        <w:numPr>
          <w:ilvl w:val="0"/>
          <w:numId w:val="0"/>
        </w:numPr>
        <w:ind w:left="720"/>
        <w:jc w:val="center"/>
        <w:rPr>
          <w:szCs w:val="20"/>
          <w:lang w:val="es-ES"/>
        </w:rPr>
      </w:pPr>
      <w:r w:rsidRPr="00053E42">
        <w:rPr>
          <w:szCs w:val="20"/>
          <w:lang w:val="es-ES"/>
        </w:rPr>
        <w:t>Número de registros en la Base Mundial de Datos sobre Marcas en 2014/15</w:t>
      </w:r>
    </w:p>
    <w:p w:rsidR="00FA2BC6" w:rsidRPr="00053E42" w:rsidRDefault="00FA2BC6" w:rsidP="00DC1333">
      <w:pPr>
        <w:keepNext/>
        <w:keepLines/>
        <w:rPr>
          <w:bCs/>
          <w:sz w:val="20"/>
        </w:rPr>
      </w:pPr>
    </w:p>
    <w:p w:rsidR="00FA2BC6" w:rsidRPr="00053E42" w:rsidRDefault="00FA2BC6" w:rsidP="00DC1333">
      <w:pPr>
        <w:pStyle w:val="ListParagraph"/>
        <w:keepNext/>
        <w:keepLines/>
        <w:tabs>
          <w:tab w:val="left" w:pos="709"/>
        </w:tabs>
        <w:ind w:left="0"/>
        <w:jc w:val="center"/>
        <w:rPr>
          <w:rFonts w:eastAsia="MS Mincho"/>
          <w:b/>
          <w:lang w:val="es-ES" w:eastAsia="ja-JP" w:bidi="th-TH"/>
        </w:rPr>
      </w:pPr>
      <w:r w:rsidRPr="00BB0899">
        <w:rPr>
          <w:rFonts w:eastAsia="MS Mincho"/>
          <w:noProof/>
        </w:rPr>
        <w:drawing>
          <wp:inline distT="0" distB="0" distL="0" distR="0" wp14:anchorId="282E04B5" wp14:editId="087749EE">
            <wp:extent cx="4989278" cy="2647507"/>
            <wp:effectExtent l="0" t="0" r="1905" b="635"/>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4997182" cy="2651701"/>
                    </a:xfrm>
                    <a:prstGeom prst="rect">
                      <a:avLst/>
                    </a:prstGeom>
                    <a:noFill/>
                    <a:ln>
                      <a:noFill/>
                    </a:ln>
                  </pic:spPr>
                </pic:pic>
              </a:graphicData>
            </a:graphic>
          </wp:inline>
        </w:drawing>
      </w:r>
    </w:p>
    <w:p w:rsidR="00FA2BC6" w:rsidRPr="00053E42" w:rsidRDefault="00FA2BC6" w:rsidP="00DC1333">
      <w:pPr>
        <w:keepNext/>
        <w:keepLines/>
        <w:rPr>
          <w:bCs/>
          <w:sz w:val="20"/>
        </w:rPr>
      </w:pPr>
    </w:p>
    <w:p w:rsidR="00FA2BC6" w:rsidRPr="00053E42" w:rsidRDefault="00FA2BC6" w:rsidP="00FA2BC6">
      <w:pPr>
        <w:pStyle w:val="ListParagraph"/>
        <w:numPr>
          <w:ilvl w:val="0"/>
          <w:numId w:val="73"/>
        </w:numPr>
        <w:tabs>
          <w:tab w:val="left" w:pos="709"/>
        </w:tabs>
        <w:ind w:left="0" w:firstLine="0"/>
        <w:jc w:val="both"/>
        <w:rPr>
          <w:bCs/>
          <w:lang w:val="es-ES"/>
        </w:rPr>
      </w:pPr>
      <w:r w:rsidRPr="00053E42">
        <w:rPr>
          <w:bCs/>
          <w:lang w:val="es-ES"/>
        </w:rPr>
        <w:t>El servicio PATENTSCOPE siguió mostrando un índice elevado de utilización</w:t>
      </w:r>
      <w:r>
        <w:rPr>
          <w:bCs/>
          <w:lang w:val="es-ES"/>
        </w:rPr>
        <w:t>,</w:t>
      </w:r>
      <w:r w:rsidR="001F3376">
        <w:rPr>
          <w:bCs/>
          <w:lang w:val="es-ES"/>
        </w:rPr>
        <w:t xml:space="preserve"> con una media de </w:t>
      </w:r>
      <w:r w:rsidRPr="00053E42">
        <w:rPr>
          <w:bCs/>
          <w:lang w:val="es-ES"/>
        </w:rPr>
        <w:t>500.000 visitas únicas diarias a la página.  El número de visitantes únicos se mantuvo estable</w:t>
      </w:r>
      <w:r>
        <w:rPr>
          <w:bCs/>
          <w:lang w:val="es-ES"/>
        </w:rPr>
        <w:t>,</w:t>
      </w:r>
      <w:r w:rsidRPr="00053E42">
        <w:rPr>
          <w:bCs/>
          <w:lang w:val="es-ES"/>
        </w:rPr>
        <w:t xml:space="preserve"> con más de 221.000 visitantes únicos por trimestre al final del bienio, lo que pone de manifiesto que los niveles de servicio del motor de búsqueda PATENTSCOPE han alcanzado el desarrollo necesario para llegar a un punto de rendimiento decreciente.  Se produjo también un aumento del 19% en el número de colecciones contenidas en PATENTSCOPE con respecto a 2103, </w:t>
      </w:r>
      <w:r w:rsidRPr="00053E42">
        <w:rPr>
          <w:lang w:val="es-ES"/>
        </w:rPr>
        <w:t>con lo que se eleva a 43 el número total de colecciones nacionales y regionales (indicadas como “Otros” en el gráfico que figura a continuación), en comparación con las 36 de finales de 2013, y el número total de registros contenidos en ellas supera los 50 millones, en comparación con los 34 millones registrados a finales de 2013, lo que representa un aumento del 47%.</w:t>
      </w:r>
    </w:p>
    <w:p w:rsidR="00FA2BC6" w:rsidRPr="00053E42" w:rsidRDefault="00FA2BC6" w:rsidP="00DC1333">
      <w:pPr>
        <w:pStyle w:val="ListParagraph"/>
        <w:tabs>
          <w:tab w:val="left" w:pos="709"/>
        </w:tabs>
        <w:ind w:left="0"/>
        <w:jc w:val="both"/>
        <w:rPr>
          <w:bCs/>
          <w:lang w:val="es-ES"/>
        </w:rPr>
      </w:pPr>
    </w:p>
    <w:p w:rsidR="00FA2BC6" w:rsidRPr="00C269FE" w:rsidRDefault="00FA2BC6" w:rsidP="00DC1333">
      <w:pPr>
        <w:pStyle w:val="ListParagraph"/>
        <w:tabs>
          <w:tab w:val="left" w:pos="709"/>
        </w:tabs>
        <w:ind w:left="0"/>
        <w:jc w:val="center"/>
        <w:rPr>
          <w:bCs/>
          <w:lang w:val="es-ES"/>
        </w:rPr>
      </w:pPr>
      <w:r w:rsidRPr="00C269FE">
        <w:rPr>
          <w:bCs/>
          <w:lang w:val="es-ES"/>
        </w:rPr>
        <w:t>Número de registros en PATENTSCOPE en 2014/15</w:t>
      </w:r>
    </w:p>
    <w:p w:rsidR="00FA2BC6" w:rsidRPr="00053E42" w:rsidRDefault="00FA2BC6" w:rsidP="00DC1333">
      <w:pPr>
        <w:pStyle w:val="ListParagraph"/>
        <w:tabs>
          <w:tab w:val="left" w:pos="709"/>
        </w:tabs>
        <w:ind w:left="0"/>
        <w:jc w:val="both"/>
        <w:rPr>
          <w:bCs/>
          <w:lang w:val="es-ES"/>
        </w:rPr>
      </w:pPr>
    </w:p>
    <w:p w:rsidR="00FA2BC6" w:rsidRPr="00053E42" w:rsidRDefault="00FA2BC6" w:rsidP="00DC1333">
      <w:pPr>
        <w:pStyle w:val="ListParagraph"/>
        <w:tabs>
          <w:tab w:val="left" w:pos="709"/>
        </w:tabs>
        <w:ind w:left="0"/>
        <w:jc w:val="center"/>
        <w:rPr>
          <w:rFonts w:eastAsia="MS Mincho"/>
          <w:lang w:val="es-ES" w:eastAsia="ja-JP" w:bidi="th-TH"/>
        </w:rPr>
      </w:pPr>
      <w:r w:rsidRPr="00F74686">
        <w:rPr>
          <w:rFonts w:eastAsia="MS Mincho"/>
          <w:noProof/>
        </w:rPr>
        <w:drawing>
          <wp:inline distT="0" distB="0" distL="0" distR="0" wp14:anchorId="635BEF73" wp14:editId="58FDED43">
            <wp:extent cx="4886840" cy="2721935"/>
            <wp:effectExtent l="0" t="0" r="0" b="254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4889867" cy="2723621"/>
                    </a:xfrm>
                    <a:prstGeom prst="rect">
                      <a:avLst/>
                    </a:prstGeom>
                    <a:noFill/>
                    <a:ln>
                      <a:noFill/>
                    </a:ln>
                  </pic:spPr>
                </pic:pic>
              </a:graphicData>
            </a:graphic>
          </wp:inline>
        </w:drawing>
      </w:r>
    </w:p>
    <w:p w:rsidR="00FA2BC6" w:rsidRPr="00053E42" w:rsidRDefault="00FA2BC6" w:rsidP="00DC1333">
      <w:pPr>
        <w:pStyle w:val="ListParagraph"/>
        <w:tabs>
          <w:tab w:val="left" w:pos="709"/>
        </w:tabs>
        <w:ind w:left="0"/>
        <w:jc w:val="both"/>
        <w:rPr>
          <w:bCs/>
          <w:lang w:val="es-ES"/>
        </w:rPr>
      </w:pPr>
    </w:p>
    <w:p w:rsidR="00FA2BC6" w:rsidRPr="00053E42" w:rsidRDefault="00FA2BC6" w:rsidP="00FA2BC6">
      <w:pPr>
        <w:pStyle w:val="ListParagraph"/>
        <w:numPr>
          <w:ilvl w:val="0"/>
          <w:numId w:val="73"/>
        </w:numPr>
        <w:tabs>
          <w:tab w:val="left" w:pos="709"/>
        </w:tabs>
        <w:ind w:left="0" w:firstLine="0"/>
        <w:jc w:val="both"/>
        <w:rPr>
          <w:bCs/>
          <w:lang w:val="es-ES"/>
        </w:rPr>
      </w:pPr>
      <w:r w:rsidRPr="00053E42">
        <w:rPr>
          <w:bCs/>
          <w:lang w:val="es-ES"/>
        </w:rPr>
        <w:lastRenderedPageBreak/>
        <w:t>El programa 13 siguió contribuyendo a las recomendaciones 24 y 31 de la Agenda para el Desarrollo, colmando la brecha digital y facilitando un mayor acceso a la información publicada sobre P.I. mediante el constante aumento de los datos sobre P.I. disponibles para consulta y la ampliación de las funciones de apoyo a otros idiomas.</w:t>
      </w:r>
    </w:p>
    <w:p w:rsidR="00FA2BC6" w:rsidRPr="00053E42" w:rsidRDefault="00FA2BC6" w:rsidP="00DC1333">
      <w:pPr>
        <w:rPr>
          <w:bCs/>
          <w:sz w:val="20"/>
        </w:rPr>
      </w:pPr>
    </w:p>
    <w:p w:rsidR="00FA2BC6" w:rsidRPr="00053E42" w:rsidRDefault="00FA2BC6" w:rsidP="00DC1333">
      <w:pPr>
        <w:rPr>
          <w:bCs/>
          <w:sz w:val="20"/>
        </w:rPr>
      </w:pPr>
    </w:p>
    <w:p w:rsidR="00FA2BC6" w:rsidRPr="00053E42" w:rsidRDefault="008F7CBE" w:rsidP="00DC1333">
      <w:pPr>
        <w:keepNext/>
        <w:rPr>
          <w:szCs w:val="22"/>
        </w:rPr>
      </w:pPr>
      <w:r w:rsidRPr="008F7CBE">
        <w:rPr>
          <w:sz w:val="20"/>
          <w:szCs w:val="22"/>
        </w:rPr>
        <w:t>DATOS SOBRE EL RENDIMIENTO</w:t>
      </w:r>
    </w:p>
    <w:p w:rsidR="00FA2BC6" w:rsidRPr="00053E42" w:rsidRDefault="00FA2BC6" w:rsidP="00DC1333">
      <w:pPr>
        <w:keepNext/>
        <w:rPr>
          <w:bCs/>
          <w:szCs w:val="22"/>
        </w:rPr>
      </w:pPr>
    </w:p>
    <w:tbl>
      <w:tblPr>
        <w:tblW w:w="5000"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49"/>
        <w:gridCol w:w="2393"/>
        <w:gridCol w:w="1407"/>
        <w:gridCol w:w="2249"/>
        <w:gridCol w:w="142"/>
        <w:gridCol w:w="1131"/>
      </w:tblGrid>
      <w:tr w:rsidR="00FA2BC6" w:rsidRPr="00053E42" w:rsidTr="00DC1333">
        <w:trPr>
          <w:cantSplit/>
        </w:trPr>
        <w:tc>
          <w:tcPr>
            <w:tcW w:w="5000" w:type="pct"/>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FA2BC6" w:rsidRPr="00053E42" w:rsidRDefault="00FA2BC6" w:rsidP="00DC1333">
            <w:pPr>
              <w:keepNext/>
              <w:keepLines/>
              <w:spacing w:before="120" w:after="120"/>
              <w:ind w:left="2019" w:hanging="2019"/>
              <w:rPr>
                <w:b/>
                <w:bCs/>
                <w:sz w:val="16"/>
                <w:szCs w:val="16"/>
              </w:rPr>
            </w:pPr>
            <w:r w:rsidRPr="00053E42">
              <w:rPr>
                <w:b/>
                <w:bCs/>
                <w:sz w:val="16"/>
                <w:szCs w:val="16"/>
              </w:rPr>
              <w:t>Resultado previsto:</w:t>
            </w:r>
            <w:r w:rsidRPr="00053E42">
              <w:rPr>
                <w:b/>
                <w:bCs/>
                <w:sz w:val="16"/>
                <w:szCs w:val="16"/>
              </w:rPr>
              <w:tab/>
            </w:r>
            <w:r w:rsidRPr="00053E42">
              <w:rPr>
                <w:bCs/>
                <w:sz w:val="16"/>
                <w:szCs w:val="16"/>
              </w:rPr>
              <w:t>IV.2 Mejora del acceso y uso de información de P.I. por parte de instituciones de P.I. y el público para fomentar la innovación y la creatividad</w:t>
            </w:r>
          </w:p>
        </w:tc>
      </w:tr>
      <w:tr w:rsidR="00FA2BC6" w:rsidRPr="00053E42" w:rsidTr="00DC1333">
        <w:trPr>
          <w:cantSplit/>
        </w:trPr>
        <w:tc>
          <w:tcPr>
            <w:tcW w:w="1175" w:type="pct"/>
            <w:tcBorders>
              <w:top w:val="single" w:sz="4" w:space="0" w:color="auto"/>
              <w:left w:val="single" w:sz="4" w:space="0" w:color="auto"/>
              <w:bottom w:val="nil"/>
            </w:tcBorders>
            <w:shd w:val="clear" w:color="auto" w:fill="auto"/>
            <w:vAlign w:val="center"/>
          </w:tcPr>
          <w:p w:rsidR="00FA2BC6" w:rsidRPr="00053E42" w:rsidRDefault="00FA2BC6" w:rsidP="00DC1333">
            <w:pPr>
              <w:keepNext/>
              <w:rPr>
                <w:sz w:val="16"/>
                <w:szCs w:val="16"/>
              </w:rPr>
            </w:pPr>
            <w:r w:rsidRPr="00053E42">
              <w:rPr>
                <w:b/>
                <w:sz w:val="16"/>
                <w:szCs w:val="16"/>
              </w:rPr>
              <w:t>Indicadores de rendimiento</w:t>
            </w:r>
          </w:p>
        </w:tc>
        <w:tc>
          <w:tcPr>
            <w:tcW w:w="1250" w:type="pct"/>
            <w:tcBorders>
              <w:top w:val="single" w:sz="4" w:space="0" w:color="auto"/>
              <w:bottom w:val="nil"/>
            </w:tcBorders>
            <w:shd w:val="clear" w:color="auto" w:fill="auto"/>
            <w:vAlign w:val="center"/>
          </w:tcPr>
          <w:p w:rsidR="00FA2BC6" w:rsidRPr="00053E42" w:rsidRDefault="00FA2BC6" w:rsidP="00DC1333">
            <w:pPr>
              <w:keepNext/>
              <w:rPr>
                <w:b/>
                <w:bCs/>
                <w:sz w:val="16"/>
                <w:szCs w:val="16"/>
              </w:rPr>
            </w:pPr>
            <w:r w:rsidRPr="00053E42">
              <w:rPr>
                <w:b/>
                <w:bCs/>
                <w:sz w:val="16"/>
                <w:szCs w:val="16"/>
              </w:rPr>
              <w:t>Referencia</w:t>
            </w:r>
          </w:p>
        </w:tc>
        <w:tc>
          <w:tcPr>
            <w:tcW w:w="735" w:type="pct"/>
            <w:tcBorders>
              <w:top w:val="single" w:sz="4" w:space="0" w:color="auto"/>
              <w:bottom w:val="nil"/>
            </w:tcBorders>
            <w:shd w:val="clear" w:color="auto" w:fill="auto"/>
            <w:tcMar>
              <w:top w:w="110" w:type="dxa"/>
            </w:tcMar>
            <w:vAlign w:val="center"/>
          </w:tcPr>
          <w:p w:rsidR="00FA2BC6" w:rsidRPr="00053E42" w:rsidRDefault="00FA2BC6" w:rsidP="00DC1333">
            <w:pPr>
              <w:keepNext/>
              <w:rPr>
                <w:b/>
                <w:sz w:val="16"/>
                <w:szCs w:val="16"/>
              </w:rPr>
            </w:pPr>
            <w:r w:rsidRPr="00053E42">
              <w:rPr>
                <w:b/>
                <w:sz w:val="16"/>
                <w:szCs w:val="16"/>
              </w:rPr>
              <w:t>Objetivos</w:t>
            </w:r>
          </w:p>
        </w:tc>
        <w:tc>
          <w:tcPr>
            <w:tcW w:w="1175" w:type="pct"/>
            <w:tcBorders>
              <w:top w:val="single" w:sz="4" w:space="0" w:color="auto"/>
              <w:bottom w:val="nil"/>
            </w:tcBorders>
            <w:shd w:val="clear" w:color="auto" w:fill="FFFFFF"/>
            <w:tcMar>
              <w:top w:w="110" w:type="dxa"/>
            </w:tcMar>
            <w:vAlign w:val="center"/>
          </w:tcPr>
          <w:p w:rsidR="00FA2BC6" w:rsidRPr="00053E42" w:rsidRDefault="00FA2BC6" w:rsidP="00DC1333">
            <w:pPr>
              <w:keepNext/>
              <w:rPr>
                <w:sz w:val="16"/>
                <w:szCs w:val="16"/>
              </w:rPr>
            </w:pPr>
            <w:r w:rsidRPr="00053E42">
              <w:rPr>
                <w:b/>
                <w:sz w:val="16"/>
                <w:szCs w:val="16"/>
              </w:rPr>
              <w:t>Datos sobre el rendimiento</w:t>
            </w:r>
          </w:p>
        </w:tc>
        <w:tc>
          <w:tcPr>
            <w:tcW w:w="665" w:type="pct"/>
            <w:gridSpan w:val="2"/>
            <w:tcBorders>
              <w:top w:val="single" w:sz="4" w:space="0" w:color="auto"/>
              <w:bottom w:val="nil"/>
              <w:right w:val="single" w:sz="4" w:space="0" w:color="auto"/>
            </w:tcBorders>
            <w:shd w:val="clear" w:color="auto" w:fill="auto"/>
            <w:tcMar>
              <w:top w:w="110" w:type="dxa"/>
            </w:tcMar>
            <w:vAlign w:val="center"/>
          </w:tcPr>
          <w:p w:rsidR="00FA2BC6" w:rsidRPr="00053E42" w:rsidRDefault="00FA2BC6" w:rsidP="00DC1333">
            <w:pPr>
              <w:keepNext/>
              <w:keepLines/>
              <w:ind w:left="-110"/>
              <w:jc w:val="center"/>
              <w:rPr>
                <w:b/>
                <w:bCs/>
                <w:sz w:val="16"/>
                <w:szCs w:val="16"/>
              </w:rPr>
            </w:pPr>
            <w:r w:rsidRPr="00053E42">
              <w:rPr>
                <w:b/>
                <w:bCs/>
                <w:sz w:val="16"/>
                <w:szCs w:val="16"/>
              </w:rPr>
              <w:t>Clave de colores</w:t>
            </w:r>
          </w:p>
        </w:tc>
      </w:tr>
      <w:tr w:rsidR="00FA2BC6" w:rsidRPr="00053E42" w:rsidTr="00DC1333">
        <w:trPr>
          <w:cantSplit/>
        </w:trPr>
        <w:tc>
          <w:tcPr>
            <w:tcW w:w="1175" w:type="pct"/>
            <w:tcBorders>
              <w:top w:val="nil"/>
              <w:left w:val="single" w:sz="4" w:space="0" w:color="auto"/>
              <w:bottom w:val="nil"/>
            </w:tcBorders>
            <w:shd w:val="clear" w:color="auto" w:fill="auto"/>
          </w:tcPr>
          <w:p w:rsidR="00FA2BC6" w:rsidRPr="00053E42" w:rsidRDefault="00FA2BC6" w:rsidP="00DC1333">
            <w:pPr>
              <w:keepNext/>
              <w:rPr>
                <w:sz w:val="16"/>
                <w:szCs w:val="16"/>
              </w:rPr>
            </w:pPr>
            <w:r w:rsidRPr="00053E42">
              <w:rPr>
                <w:sz w:val="16"/>
                <w:szCs w:val="16"/>
              </w:rPr>
              <w:t>Número de usuarios por trimestre en todos los sistemas (PATENTSCOPE/Base Mundial de Datos sobre Marcas)</w:t>
            </w:r>
            <w:r w:rsidRPr="00053E42">
              <w:rPr>
                <w:rStyle w:val="FootnoteReference"/>
                <w:sz w:val="16"/>
                <w:szCs w:val="16"/>
              </w:rPr>
              <w:footnoteReference w:id="85"/>
            </w:r>
          </w:p>
        </w:tc>
        <w:tc>
          <w:tcPr>
            <w:tcW w:w="1250" w:type="pct"/>
            <w:tcBorders>
              <w:top w:val="nil"/>
              <w:bottom w:val="nil"/>
            </w:tcBorders>
            <w:shd w:val="clear" w:color="auto" w:fill="auto"/>
          </w:tcPr>
          <w:p w:rsidR="00FA2BC6" w:rsidRPr="00053E42" w:rsidRDefault="00FA2BC6" w:rsidP="00DC1333">
            <w:pPr>
              <w:keepNext/>
              <w:rPr>
                <w:color w:val="002060"/>
                <w:sz w:val="16"/>
                <w:szCs w:val="16"/>
              </w:rPr>
            </w:pPr>
            <w:r w:rsidRPr="00053E42">
              <w:rPr>
                <w:i/>
                <w:color w:val="002060"/>
                <w:sz w:val="16"/>
                <w:szCs w:val="16"/>
              </w:rPr>
              <w:t xml:space="preserve">Referencia actualizada a fines de 2013: </w:t>
            </w:r>
            <w:r w:rsidRPr="00053E42">
              <w:rPr>
                <w:i/>
                <w:color w:val="002060"/>
                <w:sz w:val="16"/>
                <w:szCs w:val="16"/>
              </w:rPr>
              <w:br/>
            </w:r>
            <w:r w:rsidRPr="00053E42">
              <w:rPr>
                <w:color w:val="002060"/>
                <w:sz w:val="16"/>
                <w:szCs w:val="16"/>
              </w:rPr>
              <w:t>PATENTSCOPE 237.446 Base Mundial de Datos sobre Marcas 23.000</w:t>
            </w:r>
            <w:r w:rsidRPr="00053E42">
              <w:rPr>
                <w:i/>
                <w:color w:val="002060"/>
                <w:sz w:val="16"/>
                <w:szCs w:val="16"/>
              </w:rPr>
              <w:br/>
            </w:r>
          </w:p>
          <w:p w:rsidR="00FA2BC6" w:rsidRPr="00053E42" w:rsidRDefault="00FA2BC6" w:rsidP="00DC1333">
            <w:pPr>
              <w:keepNext/>
              <w:rPr>
                <w:sz w:val="16"/>
                <w:szCs w:val="16"/>
              </w:rPr>
            </w:pPr>
            <w:r w:rsidRPr="00053E42">
              <w:rPr>
                <w:i/>
                <w:sz w:val="16"/>
                <w:szCs w:val="16"/>
                <w:lang w:bidi="th-TH"/>
              </w:rPr>
              <w:t>Referencia original en el presupuesto de 2014/15</w:t>
            </w:r>
            <w:r w:rsidRPr="00053E42">
              <w:rPr>
                <w:i/>
                <w:sz w:val="16"/>
                <w:szCs w:val="16"/>
              </w:rPr>
              <w:t xml:space="preserve">: </w:t>
            </w:r>
            <w:r w:rsidRPr="00053E42">
              <w:rPr>
                <w:i/>
                <w:sz w:val="16"/>
                <w:szCs w:val="16"/>
              </w:rPr>
              <w:br/>
            </w:r>
            <w:r w:rsidRPr="00053E42">
              <w:rPr>
                <w:sz w:val="16"/>
                <w:szCs w:val="16"/>
              </w:rPr>
              <w:t>PATENTSCOPE 566.782 Base Mundial de Datos sobre Marcas 13.339 visitantes únicos (4</w:t>
            </w:r>
            <w:r w:rsidRPr="00053E42">
              <w:rPr>
                <w:sz w:val="16"/>
                <w:szCs w:val="16"/>
                <w:vertAlign w:val="superscript"/>
              </w:rPr>
              <w:t>º</w:t>
            </w:r>
            <w:r w:rsidRPr="00053E42">
              <w:rPr>
                <w:sz w:val="16"/>
                <w:szCs w:val="16"/>
              </w:rPr>
              <w:t xml:space="preserve"> trimestre 2012)</w:t>
            </w:r>
          </w:p>
          <w:p w:rsidR="00FA2BC6" w:rsidRPr="00053E42" w:rsidRDefault="00FA2BC6" w:rsidP="00DC1333">
            <w:pPr>
              <w:keepNext/>
              <w:rPr>
                <w:sz w:val="16"/>
                <w:szCs w:val="16"/>
              </w:rPr>
            </w:pPr>
          </w:p>
        </w:tc>
        <w:tc>
          <w:tcPr>
            <w:tcW w:w="735" w:type="pct"/>
            <w:tcBorders>
              <w:top w:val="nil"/>
              <w:bottom w:val="nil"/>
            </w:tcBorders>
            <w:shd w:val="clear" w:color="auto" w:fill="auto"/>
            <w:tcMar>
              <w:top w:w="110" w:type="dxa"/>
            </w:tcMar>
          </w:tcPr>
          <w:p w:rsidR="00FA2BC6" w:rsidRPr="00053E42" w:rsidRDefault="00FA2BC6" w:rsidP="00DC1333">
            <w:pPr>
              <w:keepNext/>
              <w:rPr>
                <w:sz w:val="16"/>
                <w:szCs w:val="16"/>
              </w:rPr>
            </w:pPr>
            <w:r w:rsidRPr="00053E42">
              <w:rPr>
                <w:sz w:val="14"/>
                <w:szCs w:val="14"/>
              </w:rPr>
              <w:t>PATENTSCOPE</w:t>
            </w:r>
            <w:r w:rsidRPr="00053E42">
              <w:rPr>
                <w:sz w:val="16"/>
                <w:szCs w:val="16"/>
              </w:rPr>
              <w:t xml:space="preserve">: </w:t>
            </w:r>
            <w:r>
              <w:rPr>
                <w:sz w:val="16"/>
                <w:szCs w:val="16"/>
              </w:rPr>
              <w:t xml:space="preserve"> </w:t>
            </w:r>
            <w:r w:rsidRPr="00053E42">
              <w:rPr>
                <w:sz w:val="16"/>
                <w:szCs w:val="16"/>
              </w:rPr>
              <w:t>650.000</w:t>
            </w:r>
          </w:p>
          <w:p w:rsidR="00FA2BC6" w:rsidRPr="00053E42" w:rsidRDefault="00FA2BC6" w:rsidP="00DC1333">
            <w:pPr>
              <w:keepNext/>
              <w:rPr>
                <w:sz w:val="16"/>
                <w:szCs w:val="16"/>
              </w:rPr>
            </w:pPr>
          </w:p>
          <w:p w:rsidR="00FA2BC6" w:rsidRPr="00053E42" w:rsidRDefault="00FA2BC6" w:rsidP="00DC1333">
            <w:pPr>
              <w:keepNext/>
              <w:rPr>
                <w:sz w:val="16"/>
                <w:szCs w:val="16"/>
              </w:rPr>
            </w:pPr>
          </w:p>
          <w:p w:rsidR="00FA2BC6" w:rsidRPr="00053E42" w:rsidRDefault="00FA2BC6" w:rsidP="00DC1333">
            <w:pPr>
              <w:keepNext/>
              <w:rPr>
                <w:sz w:val="16"/>
                <w:szCs w:val="16"/>
              </w:rPr>
            </w:pPr>
            <w:r w:rsidRPr="00053E42">
              <w:rPr>
                <w:sz w:val="16"/>
                <w:szCs w:val="16"/>
              </w:rPr>
              <w:t xml:space="preserve">Base Mundial de Datos sobre Marcas: </w:t>
            </w:r>
            <w:r>
              <w:rPr>
                <w:sz w:val="16"/>
                <w:szCs w:val="16"/>
              </w:rPr>
              <w:t xml:space="preserve"> </w:t>
            </w:r>
            <w:r w:rsidRPr="00053E42">
              <w:rPr>
                <w:sz w:val="16"/>
                <w:szCs w:val="16"/>
              </w:rPr>
              <w:t>20.000 usuarios distintos por trimestre</w:t>
            </w:r>
            <w:r w:rsidRPr="00053E42">
              <w:rPr>
                <w:rStyle w:val="FootnoteReference"/>
                <w:sz w:val="16"/>
                <w:szCs w:val="16"/>
              </w:rPr>
              <w:footnoteReference w:id="86"/>
            </w:r>
          </w:p>
        </w:tc>
        <w:tc>
          <w:tcPr>
            <w:tcW w:w="1175" w:type="pct"/>
            <w:tcBorders>
              <w:top w:val="nil"/>
              <w:bottom w:val="nil"/>
            </w:tcBorders>
            <w:shd w:val="clear" w:color="auto" w:fill="FFFFFF"/>
            <w:tcMar>
              <w:top w:w="110" w:type="dxa"/>
            </w:tcMar>
          </w:tcPr>
          <w:p w:rsidR="00FA2BC6" w:rsidRPr="00053E42" w:rsidRDefault="00FA2BC6" w:rsidP="00DC1333">
            <w:pPr>
              <w:keepNext/>
              <w:rPr>
                <w:sz w:val="16"/>
                <w:szCs w:val="16"/>
              </w:rPr>
            </w:pPr>
            <w:r w:rsidRPr="00053E42">
              <w:rPr>
                <w:sz w:val="16"/>
                <w:szCs w:val="16"/>
              </w:rPr>
              <w:t>PATENTSCOPE:  245.769 (2014)</w:t>
            </w:r>
          </w:p>
          <w:p w:rsidR="00FA2BC6" w:rsidRPr="00053E42" w:rsidRDefault="00FA2BC6" w:rsidP="00DC1333">
            <w:pPr>
              <w:keepNext/>
              <w:rPr>
                <w:sz w:val="16"/>
                <w:szCs w:val="16"/>
              </w:rPr>
            </w:pPr>
            <w:r w:rsidRPr="00053E42">
              <w:rPr>
                <w:sz w:val="16"/>
                <w:szCs w:val="16"/>
              </w:rPr>
              <w:t>221.981 (2015)</w:t>
            </w:r>
          </w:p>
          <w:p w:rsidR="00FA2BC6" w:rsidRPr="00053E42" w:rsidRDefault="00FA2BC6" w:rsidP="00DC1333">
            <w:pPr>
              <w:keepNext/>
              <w:rPr>
                <w:sz w:val="16"/>
                <w:szCs w:val="16"/>
              </w:rPr>
            </w:pPr>
          </w:p>
          <w:p w:rsidR="00FA2BC6" w:rsidRPr="00053E42" w:rsidRDefault="00FA2BC6" w:rsidP="00DC1333">
            <w:pPr>
              <w:keepNext/>
              <w:rPr>
                <w:sz w:val="16"/>
                <w:szCs w:val="16"/>
              </w:rPr>
            </w:pPr>
            <w:r w:rsidRPr="00053E42">
              <w:rPr>
                <w:sz w:val="16"/>
                <w:szCs w:val="16"/>
              </w:rPr>
              <w:t xml:space="preserve">Base Mundial de Datos sobre Marcas:  </w:t>
            </w:r>
          </w:p>
          <w:p w:rsidR="00FA2BC6" w:rsidRPr="00053E42" w:rsidRDefault="00FA2BC6" w:rsidP="00DC1333">
            <w:pPr>
              <w:keepNext/>
              <w:rPr>
                <w:sz w:val="16"/>
                <w:szCs w:val="16"/>
              </w:rPr>
            </w:pPr>
            <w:r w:rsidRPr="00053E42">
              <w:rPr>
                <w:sz w:val="16"/>
                <w:szCs w:val="16"/>
              </w:rPr>
              <w:t>49.977 (2014)</w:t>
            </w:r>
          </w:p>
          <w:p w:rsidR="00FA2BC6" w:rsidRPr="00053E42" w:rsidRDefault="00FA2BC6" w:rsidP="00DC1333">
            <w:pPr>
              <w:keepNext/>
              <w:rPr>
                <w:sz w:val="16"/>
                <w:szCs w:val="16"/>
              </w:rPr>
            </w:pPr>
            <w:r w:rsidRPr="00053E42">
              <w:rPr>
                <w:sz w:val="16"/>
                <w:szCs w:val="16"/>
              </w:rPr>
              <w:t>80.490 (2015)</w:t>
            </w:r>
          </w:p>
          <w:p w:rsidR="00FA2BC6" w:rsidRPr="00053E42" w:rsidRDefault="00FA2BC6" w:rsidP="00DC1333">
            <w:pPr>
              <w:keepNext/>
              <w:rPr>
                <w:sz w:val="16"/>
                <w:szCs w:val="16"/>
              </w:rPr>
            </w:pPr>
          </w:p>
          <w:p w:rsidR="00FA2BC6" w:rsidRPr="00053E42" w:rsidRDefault="00FA2BC6" w:rsidP="00DC1333">
            <w:pPr>
              <w:keepNext/>
              <w:rPr>
                <w:sz w:val="16"/>
                <w:szCs w:val="16"/>
              </w:rPr>
            </w:pPr>
            <w:r w:rsidRPr="00053E42">
              <w:rPr>
                <w:sz w:val="16"/>
                <w:szCs w:val="16"/>
              </w:rPr>
              <w:t xml:space="preserve">Base Mundial de Datos sobre Dibujos y Modelos Industriales:  </w:t>
            </w:r>
          </w:p>
          <w:p w:rsidR="00FA2BC6" w:rsidRPr="00053E42" w:rsidRDefault="00FA2BC6" w:rsidP="00DC1333">
            <w:pPr>
              <w:keepNext/>
              <w:rPr>
                <w:sz w:val="16"/>
                <w:szCs w:val="16"/>
              </w:rPr>
            </w:pPr>
            <w:r w:rsidRPr="00053E42">
              <w:rPr>
                <w:sz w:val="16"/>
                <w:szCs w:val="16"/>
              </w:rPr>
              <w:t>13.490 (2015)</w:t>
            </w:r>
          </w:p>
        </w:tc>
        <w:tc>
          <w:tcPr>
            <w:tcW w:w="665" w:type="pct"/>
            <w:gridSpan w:val="2"/>
            <w:tcBorders>
              <w:top w:val="nil"/>
              <w:bottom w:val="nil"/>
              <w:right w:val="single" w:sz="4" w:space="0" w:color="auto"/>
            </w:tcBorders>
            <w:shd w:val="clear" w:color="auto" w:fill="auto"/>
            <w:tcMar>
              <w:top w:w="110" w:type="dxa"/>
            </w:tcMar>
          </w:tcPr>
          <w:p w:rsidR="00FA2BC6" w:rsidRPr="00053E42" w:rsidRDefault="00FA2BC6" w:rsidP="00DC1333">
            <w:pPr>
              <w:keepNext/>
              <w:keepLines/>
              <w:ind w:left="-110"/>
              <w:jc w:val="center"/>
              <w:rPr>
                <w:rStyle w:val="Style5"/>
                <w:b/>
                <w:color w:val="00B050"/>
                <w:sz w:val="16"/>
                <w:szCs w:val="16"/>
              </w:rPr>
            </w:pPr>
            <w:r w:rsidRPr="00053E42">
              <w:rPr>
                <w:b/>
                <w:bCs/>
                <w:color w:val="E36C0A" w:themeColor="accent6" w:themeShade="BF"/>
                <w:sz w:val="16"/>
                <w:szCs w:val="16"/>
              </w:rPr>
              <w:t>Parcialmente logrado</w:t>
            </w:r>
          </w:p>
          <w:p w:rsidR="00FA2BC6" w:rsidRPr="00053E42" w:rsidRDefault="00FA2BC6" w:rsidP="00DC1333">
            <w:pPr>
              <w:keepNext/>
              <w:keepLines/>
              <w:jc w:val="center"/>
              <w:rPr>
                <w:rStyle w:val="Style5"/>
                <w:b/>
                <w:color w:val="00B050"/>
                <w:sz w:val="16"/>
                <w:szCs w:val="16"/>
              </w:rPr>
            </w:pPr>
          </w:p>
          <w:p w:rsidR="00FA2BC6" w:rsidRPr="00053E42" w:rsidRDefault="00FA2BC6" w:rsidP="00DC1333">
            <w:pPr>
              <w:keepNext/>
              <w:keepLines/>
              <w:jc w:val="center"/>
              <w:rPr>
                <w:rStyle w:val="Style5"/>
                <w:b/>
                <w:color w:val="00B050"/>
                <w:sz w:val="16"/>
                <w:szCs w:val="16"/>
              </w:rPr>
            </w:pPr>
          </w:p>
          <w:p w:rsidR="00FA2BC6" w:rsidRPr="00053E42" w:rsidRDefault="00FA2BC6" w:rsidP="00DC1333">
            <w:pPr>
              <w:keepNext/>
              <w:keepLines/>
              <w:ind w:left="-110"/>
              <w:jc w:val="center"/>
              <w:rPr>
                <w:b/>
                <w:bCs/>
                <w:color w:val="00B050"/>
                <w:sz w:val="16"/>
                <w:szCs w:val="16"/>
              </w:rPr>
            </w:pPr>
            <w:r w:rsidRPr="00053E42">
              <w:rPr>
                <w:b/>
                <w:bCs/>
                <w:color w:val="00B050"/>
                <w:sz w:val="16"/>
                <w:szCs w:val="16"/>
              </w:rPr>
              <w:t>Plenamente logrado</w:t>
            </w:r>
          </w:p>
          <w:p w:rsidR="00FA2BC6" w:rsidRPr="00053E42" w:rsidRDefault="00FA2BC6" w:rsidP="00DC1333">
            <w:pPr>
              <w:keepNext/>
              <w:keepLines/>
              <w:ind w:left="-110"/>
              <w:jc w:val="center"/>
              <w:rPr>
                <w:b/>
                <w:bCs/>
                <w:color w:val="00B050"/>
                <w:sz w:val="16"/>
                <w:szCs w:val="16"/>
              </w:rPr>
            </w:pPr>
          </w:p>
          <w:p w:rsidR="00FA2BC6" w:rsidRPr="00053E42" w:rsidRDefault="00FA2BC6" w:rsidP="00DC1333">
            <w:pPr>
              <w:keepNext/>
              <w:keepLines/>
              <w:ind w:left="-110"/>
              <w:jc w:val="center"/>
              <w:rPr>
                <w:b/>
                <w:bCs/>
                <w:color w:val="00B050"/>
                <w:sz w:val="16"/>
                <w:szCs w:val="16"/>
              </w:rPr>
            </w:pPr>
          </w:p>
          <w:p w:rsidR="00FA2BC6" w:rsidRPr="00053E42" w:rsidRDefault="00FA2BC6" w:rsidP="00DC1333">
            <w:pPr>
              <w:keepNext/>
              <w:keepLines/>
              <w:ind w:left="-110"/>
              <w:jc w:val="center"/>
              <w:rPr>
                <w:b/>
                <w:bCs/>
                <w:color w:val="00B050"/>
                <w:sz w:val="16"/>
                <w:szCs w:val="16"/>
              </w:rPr>
            </w:pPr>
          </w:p>
          <w:p w:rsidR="00FA2BC6" w:rsidRPr="00053E42" w:rsidRDefault="00FA2BC6" w:rsidP="00DC1333">
            <w:pPr>
              <w:keepNext/>
              <w:keepLines/>
              <w:ind w:left="-110"/>
              <w:jc w:val="center"/>
              <w:rPr>
                <w:b/>
                <w:bCs/>
                <w:color w:val="00B050"/>
                <w:sz w:val="16"/>
                <w:szCs w:val="16"/>
              </w:rPr>
            </w:pPr>
            <w:r w:rsidRPr="00053E42">
              <w:rPr>
                <w:rStyle w:val="Style5"/>
                <w:b/>
                <w:color w:val="808080"/>
                <w:sz w:val="16"/>
                <w:szCs w:val="16"/>
              </w:rPr>
              <w:t>No mensurable</w:t>
            </w:r>
          </w:p>
        </w:tc>
      </w:tr>
      <w:tr w:rsidR="00FA2BC6" w:rsidRPr="00053E42" w:rsidTr="00DC1333">
        <w:trPr>
          <w:cantSplit/>
        </w:trPr>
        <w:tc>
          <w:tcPr>
            <w:tcW w:w="1175" w:type="pct"/>
            <w:tcBorders>
              <w:top w:val="nil"/>
              <w:left w:val="single" w:sz="4" w:space="0" w:color="auto"/>
              <w:bottom w:val="nil"/>
            </w:tcBorders>
            <w:shd w:val="clear" w:color="auto" w:fill="FFFFFF"/>
          </w:tcPr>
          <w:p w:rsidR="00FA2BC6" w:rsidRPr="00053E42" w:rsidRDefault="00FA2BC6" w:rsidP="00DC1333">
            <w:pPr>
              <w:rPr>
                <w:sz w:val="16"/>
                <w:szCs w:val="16"/>
                <w:lang w:bidi="th-TH"/>
              </w:rPr>
            </w:pPr>
            <w:r w:rsidRPr="00053E42">
              <w:rPr>
                <w:sz w:val="16"/>
                <w:szCs w:val="16"/>
                <w:lang w:bidi="th-TH"/>
              </w:rPr>
              <w:t>Número de idiomas en los que se pueden efectuar búsquedas plurilingües.</w:t>
            </w:r>
          </w:p>
        </w:tc>
        <w:tc>
          <w:tcPr>
            <w:tcW w:w="1250" w:type="pct"/>
            <w:tcBorders>
              <w:top w:val="nil"/>
              <w:bottom w:val="nil"/>
            </w:tcBorders>
            <w:shd w:val="clear" w:color="auto" w:fill="auto"/>
          </w:tcPr>
          <w:p w:rsidR="00FA2BC6" w:rsidRPr="00053E42" w:rsidRDefault="00FA2BC6" w:rsidP="00DC1333">
            <w:pPr>
              <w:autoSpaceDE w:val="0"/>
              <w:autoSpaceDN w:val="0"/>
              <w:adjustRightInd w:val="0"/>
              <w:rPr>
                <w:i/>
                <w:color w:val="002060"/>
                <w:sz w:val="16"/>
                <w:szCs w:val="16"/>
              </w:rPr>
            </w:pPr>
            <w:r w:rsidRPr="00053E42">
              <w:rPr>
                <w:i/>
                <w:color w:val="002060"/>
                <w:sz w:val="16"/>
                <w:szCs w:val="16"/>
              </w:rPr>
              <w:t xml:space="preserve">Referencia actualizada a fines de 2013:  </w:t>
            </w:r>
            <w:r w:rsidRPr="00053E42">
              <w:rPr>
                <w:color w:val="002060"/>
                <w:sz w:val="16"/>
                <w:szCs w:val="16"/>
              </w:rPr>
              <w:t>12</w:t>
            </w:r>
          </w:p>
          <w:p w:rsidR="00FA2BC6" w:rsidRPr="00053E42" w:rsidRDefault="00FA2BC6" w:rsidP="00DC1333">
            <w:pPr>
              <w:autoSpaceDE w:val="0"/>
              <w:autoSpaceDN w:val="0"/>
              <w:adjustRightInd w:val="0"/>
              <w:rPr>
                <w:i/>
                <w:color w:val="002060"/>
                <w:sz w:val="16"/>
                <w:szCs w:val="16"/>
              </w:rPr>
            </w:pPr>
          </w:p>
          <w:p w:rsidR="00FA2BC6" w:rsidRPr="00053E42" w:rsidRDefault="00FA2BC6" w:rsidP="00DC1333">
            <w:pPr>
              <w:autoSpaceDE w:val="0"/>
              <w:autoSpaceDN w:val="0"/>
              <w:adjustRightInd w:val="0"/>
              <w:rPr>
                <w:sz w:val="16"/>
                <w:szCs w:val="16"/>
              </w:rPr>
            </w:pPr>
            <w:r w:rsidRPr="00053E42">
              <w:rPr>
                <w:i/>
                <w:sz w:val="16"/>
                <w:szCs w:val="16"/>
                <w:lang w:bidi="th-TH"/>
              </w:rPr>
              <w:t xml:space="preserve">Referencia original en el presupuesto de </w:t>
            </w:r>
            <w:r w:rsidRPr="00053E42">
              <w:rPr>
                <w:i/>
                <w:sz w:val="16"/>
                <w:szCs w:val="16"/>
              </w:rPr>
              <w:t xml:space="preserve">2014/15: </w:t>
            </w:r>
            <w:r>
              <w:rPr>
                <w:i/>
                <w:sz w:val="16"/>
                <w:szCs w:val="16"/>
              </w:rPr>
              <w:t xml:space="preserve"> </w:t>
            </w:r>
            <w:r w:rsidRPr="00053E42">
              <w:rPr>
                <w:sz w:val="16"/>
                <w:szCs w:val="16"/>
              </w:rPr>
              <w:t>12 (feb. 2013)</w:t>
            </w:r>
          </w:p>
        </w:tc>
        <w:tc>
          <w:tcPr>
            <w:tcW w:w="735" w:type="pct"/>
            <w:tcBorders>
              <w:top w:val="nil"/>
              <w:bottom w:val="nil"/>
            </w:tcBorders>
            <w:shd w:val="clear" w:color="auto" w:fill="auto"/>
            <w:tcMar>
              <w:top w:w="110" w:type="dxa"/>
            </w:tcMar>
          </w:tcPr>
          <w:p w:rsidR="00FA2BC6" w:rsidRPr="00053E42" w:rsidRDefault="00FA2BC6" w:rsidP="00DC1333">
            <w:pPr>
              <w:rPr>
                <w:sz w:val="16"/>
                <w:szCs w:val="16"/>
                <w:lang w:bidi="th-TH"/>
              </w:rPr>
            </w:pPr>
            <w:r w:rsidRPr="00053E42">
              <w:rPr>
                <w:sz w:val="16"/>
                <w:szCs w:val="16"/>
              </w:rPr>
              <w:t>13</w:t>
            </w:r>
          </w:p>
        </w:tc>
        <w:tc>
          <w:tcPr>
            <w:tcW w:w="1175" w:type="pct"/>
            <w:tcBorders>
              <w:top w:val="nil"/>
              <w:bottom w:val="nil"/>
            </w:tcBorders>
            <w:shd w:val="clear" w:color="auto" w:fill="FFFFFF"/>
            <w:tcMar>
              <w:top w:w="110" w:type="dxa"/>
            </w:tcMar>
          </w:tcPr>
          <w:p w:rsidR="00FA2BC6" w:rsidRPr="00053E42" w:rsidRDefault="00FA2BC6" w:rsidP="00DC1333">
            <w:pPr>
              <w:rPr>
                <w:sz w:val="16"/>
                <w:szCs w:val="16"/>
                <w:lang w:bidi="th-TH"/>
              </w:rPr>
            </w:pPr>
            <w:r w:rsidRPr="00053E42">
              <w:rPr>
                <w:sz w:val="16"/>
                <w:szCs w:val="16"/>
                <w:lang w:bidi="th-TH"/>
              </w:rPr>
              <w:t xml:space="preserve">En 2014/15 se incorporaron otros dos idiomas (el danés y el polaco) al sistema de búsqueda plurilingüe </w:t>
            </w:r>
            <w:r w:rsidRPr="00053E42">
              <w:rPr>
                <w:i/>
                <w:sz w:val="16"/>
                <w:szCs w:val="16"/>
                <w:lang w:bidi="th-TH"/>
              </w:rPr>
              <w:t xml:space="preserve">Cross Lingual </w:t>
            </w:r>
            <w:proofErr w:type="spellStart"/>
            <w:r w:rsidRPr="00053E42">
              <w:rPr>
                <w:i/>
                <w:sz w:val="16"/>
                <w:szCs w:val="16"/>
                <w:lang w:bidi="th-TH"/>
              </w:rPr>
              <w:t>Information</w:t>
            </w:r>
            <w:proofErr w:type="spellEnd"/>
            <w:r w:rsidRPr="00053E42">
              <w:rPr>
                <w:i/>
                <w:sz w:val="16"/>
                <w:szCs w:val="16"/>
                <w:lang w:bidi="th-TH"/>
              </w:rPr>
              <w:t xml:space="preserve"> </w:t>
            </w:r>
            <w:proofErr w:type="spellStart"/>
            <w:r w:rsidRPr="00053E42">
              <w:rPr>
                <w:i/>
                <w:sz w:val="16"/>
                <w:szCs w:val="16"/>
                <w:lang w:bidi="th-TH"/>
              </w:rPr>
              <w:t>Retrieval</w:t>
            </w:r>
            <w:proofErr w:type="spellEnd"/>
            <w:r w:rsidRPr="00053E42">
              <w:rPr>
                <w:sz w:val="16"/>
                <w:szCs w:val="16"/>
                <w:lang w:bidi="th-TH"/>
              </w:rPr>
              <w:t xml:space="preserve"> (CLIR) que permite recuperar datos en varios idiomas, con lo que la lista de idiomas existentes se amplía a 14.</w:t>
            </w:r>
          </w:p>
          <w:p w:rsidR="00FA2BC6" w:rsidRPr="00053E42" w:rsidRDefault="00FA2BC6" w:rsidP="00DC1333">
            <w:pPr>
              <w:rPr>
                <w:sz w:val="16"/>
                <w:szCs w:val="16"/>
                <w:lang w:bidi="th-TH"/>
              </w:rPr>
            </w:pPr>
          </w:p>
        </w:tc>
        <w:tc>
          <w:tcPr>
            <w:tcW w:w="665" w:type="pct"/>
            <w:gridSpan w:val="2"/>
            <w:tcBorders>
              <w:top w:val="nil"/>
              <w:bottom w:val="nil"/>
              <w:right w:val="single" w:sz="4" w:space="0" w:color="auto"/>
            </w:tcBorders>
            <w:shd w:val="clear" w:color="auto" w:fill="auto"/>
            <w:tcMar>
              <w:top w:w="110" w:type="dxa"/>
            </w:tcMar>
          </w:tcPr>
          <w:p w:rsidR="00FA2BC6" w:rsidRPr="00053E42" w:rsidRDefault="00FA2BC6" w:rsidP="00DC1333">
            <w:pPr>
              <w:keepNext/>
              <w:keepLines/>
              <w:ind w:left="-110"/>
              <w:jc w:val="center"/>
              <w:rPr>
                <w:rStyle w:val="Style5"/>
                <w:b/>
                <w:color w:val="00B050"/>
                <w:sz w:val="16"/>
              </w:rPr>
            </w:pPr>
            <w:r w:rsidRPr="00053E42">
              <w:rPr>
                <w:b/>
                <w:bCs/>
                <w:color w:val="00B050"/>
                <w:sz w:val="16"/>
                <w:szCs w:val="16"/>
              </w:rPr>
              <w:t>Plenamente logrado</w:t>
            </w:r>
          </w:p>
        </w:tc>
      </w:tr>
      <w:tr w:rsidR="00FA2BC6" w:rsidRPr="00053E42" w:rsidTr="00DC1333">
        <w:trPr>
          <w:cantSplit/>
        </w:trPr>
        <w:tc>
          <w:tcPr>
            <w:tcW w:w="1175" w:type="pct"/>
            <w:tcBorders>
              <w:top w:val="nil"/>
              <w:left w:val="single" w:sz="4" w:space="0" w:color="auto"/>
              <w:bottom w:val="single" w:sz="4" w:space="0" w:color="auto"/>
            </w:tcBorders>
            <w:shd w:val="clear" w:color="auto" w:fill="FFFFFF"/>
          </w:tcPr>
          <w:p w:rsidR="00FA2BC6" w:rsidRPr="00053E42" w:rsidRDefault="00FA2BC6" w:rsidP="00DC1333">
            <w:pPr>
              <w:rPr>
                <w:sz w:val="16"/>
                <w:szCs w:val="16"/>
              </w:rPr>
            </w:pPr>
            <w:r w:rsidRPr="00053E42">
              <w:rPr>
                <w:sz w:val="16"/>
                <w:szCs w:val="16"/>
              </w:rPr>
              <w:t>Número de pares de idiomas disponibles para la traducción automática de títulos y resúmenes.</w:t>
            </w:r>
          </w:p>
        </w:tc>
        <w:tc>
          <w:tcPr>
            <w:tcW w:w="1250" w:type="pct"/>
            <w:tcBorders>
              <w:top w:val="nil"/>
              <w:bottom w:val="single" w:sz="4" w:space="0" w:color="auto"/>
            </w:tcBorders>
            <w:shd w:val="clear" w:color="auto" w:fill="auto"/>
          </w:tcPr>
          <w:p w:rsidR="00FA2BC6" w:rsidRPr="00053E42" w:rsidRDefault="00FA2BC6" w:rsidP="00DC1333">
            <w:pPr>
              <w:rPr>
                <w:color w:val="002060"/>
                <w:sz w:val="16"/>
                <w:szCs w:val="16"/>
              </w:rPr>
            </w:pPr>
            <w:r w:rsidRPr="00053E42">
              <w:rPr>
                <w:i/>
                <w:color w:val="002060"/>
                <w:sz w:val="16"/>
                <w:szCs w:val="16"/>
              </w:rPr>
              <w:t>Referencia actualizada a fines de 2013:</w:t>
            </w:r>
            <w:r>
              <w:rPr>
                <w:i/>
                <w:color w:val="002060"/>
                <w:sz w:val="16"/>
                <w:szCs w:val="16"/>
              </w:rPr>
              <w:t xml:space="preserve"> </w:t>
            </w:r>
            <w:r w:rsidRPr="00053E42">
              <w:rPr>
                <w:i/>
                <w:color w:val="002060"/>
                <w:sz w:val="16"/>
                <w:szCs w:val="16"/>
              </w:rPr>
              <w:t xml:space="preserve"> </w:t>
            </w:r>
            <w:r w:rsidRPr="00053E42">
              <w:rPr>
                <w:color w:val="002060"/>
                <w:sz w:val="16"/>
                <w:szCs w:val="16"/>
              </w:rPr>
              <w:t>4 (en total)</w:t>
            </w:r>
          </w:p>
          <w:p w:rsidR="00FA2BC6" w:rsidRPr="00053E42" w:rsidRDefault="00FA2BC6" w:rsidP="00DC1333">
            <w:pPr>
              <w:rPr>
                <w:color w:val="002060"/>
                <w:sz w:val="16"/>
                <w:szCs w:val="16"/>
              </w:rPr>
            </w:pPr>
          </w:p>
          <w:p w:rsidR="00FA2BC6" w:rsidRPr="00053E42" w:rsidRDefault="00FA2BC6" w:rsidP="00DC1333">
            <w:pPr>
              <w:rPr>
                <w:i/>
                <w:sz w:val="16"/>
                <w:szCs w:val="16"/>
              </w:rPr>
            </w:pPr>
            <w:r w:rsidRPr="00053E42">
              <w:rPr>
                <w:i/>
                <w:sz w:val="16"/>
                <w:szCs w:val="16"/>
                <w:lang w:bidi="th-TH"/>
              </w:rPr>
              <w:t xml:space="preserve">Referencia original en el presupuesto de </w:t>
            </w:r>
            <w:r w:rsidRPr="00053E42">
              <w:rPr>
                <w:i/>
                <w:sz w:val="16"/>
                <w:szCs w:val="16"/>
              </w:rPr>
              <w:t xml:space="preserve">2014/15: </w:t>
            </w:r>
            <w:r>
              <w:rPr>
                <w:i/>
                <w:sz w:val="16"/>
                <w:szCs w:val="16"/>
              </w:rPr>
              <w:t xml:space="preserve"> </w:t>
            </w:r>
            <w:r w:rsidRPr="00053E42">
              <w:rPr>
                <w:sz w:val="16"/>
                <w:szCs w:val="16"/>
              </w:rPr>
              <w:t>2 (feb. 2013)</w:t>
            </w:r>
            <w:r w:rsidRPr="00053E42">
              <w:rPr>
                <w:sz w:val="16"/>
                <w:szCs w:val="16"/>
              </w:rPr>
              <w:br/>
            </w:r>
          </w:p>
        </w:tc>
        <w:tc>
          <w:tcPr>
            <w:tcW w:w="735" w:type="pct"/>
            <w:tcBorders>
              <w:top w:val="nil"/>
              <w:bottom w:val="single" w:sz="4" w:space="0" w:color="auto"/>
            </w:tcBorders>
            <w:shd w:val="clear" w:color="auto" w:fill="auto"/>
            <w:tcMar>
              <w:top w:w="110" w:type="dxa"/>
            </w:tcMar>
          </w:tcPr>
          <w:p w:rsidR="00FA2BC6" w:rsidRPr="00053E42" w:rsidRDefault="00FA2BC6" w:rsidP="00DC1333">
            <w:pPr>
              <w:rPr>
                <w:sz w:val="16"/>
                <w:szCs w:val="16"/>
              </w:rPr>
            </w:pPr>
            <w:r w:rsidRPr="00053E42">
              <w:rPr>
                <w:sz w:val="16"/>
                <w:szCs w:val="16"/>
              </w:rPr>
              <w:t>5</w:t>
            </w:r>
          </w:p>
        </w:tc>
        <w:tc>
          <w:tcPr>
            <w:tcW w:w="1175" w:type="pct"/>
            <w:tcBorders>
              <w:top w:val="nil"/>
              <w:bottom w:val="single" w:sz="4" w:space="0" w:color="auto"/>
            </w:tcBorders>
            <w:shd w:val="clear" w:color="auto" w:fill="FFFFFF"/>
            <w:tcMar>
              <w:top w:w="110" w:type="dxa"/>
            </w:tcMar>
          </w:tcPr>
          <w:p w:rsidR="00FA2BC6" w:rsidRPr="00053E42" w:rsidRDefault="00FA2BC6" w:rsidP="00DC1333">
            <w:pPr>
              <w:rPr>
                <w:sz w:val="16"/>
                <w:szCs w:val="16"/>
                <w:lang w:bidi="th-TH"/>
              </w:rPr>
            </w:pPr>
            <w:r w:rsidRPr="00053E42">
              <w:rPr>
                <w:sz w:val="16"/>
                <w:szCs w:val="16"/>
                <w:lang w:bidi="th-TH"/>
              </w:rPr>
              <w:t>3 pares de idiomas más (inglés-coreano, inglés-ruso</w:t>
            </w:r>
            <w:r w:rsidR="002E6163">
              <w:rPr>
                <w:sz w:val="16"/>
                <w:szCs w:val="16"/>
                <w:lang w:bidi="th-TH"/>
              </w:rPr>
              <w:t>, inglés-español</w:t>
            </w:r>
            <w:r w:rsidRPr="00053E42">
              <w:rPr>
                <w:sz w:val="16"/>
                <w:szCs w:val="16"/>
                <w:lang w:bidi="th-TH"/>
              </w:rPr>
              <w:t>) en 2014/15</w:t>
            </w:r>
          </w:p>
          <w:p w:rsidR="00FA2BC6" w:rsidRPr="00053E42" w:rsidRDefault="00FA2BC6" w:rsidP="00F00024">
            <w:pPr>
              <w:rPr>
                <w:sz w:val="16"/>
                <w:szCs w:val="16"/>
                <w:lang w:bidi="th-TH"/>
              </w:rPr>
            </w:pPr>
            <w:r w:rsidRPr="00053E42">
              <w:rPr>
                <w:sz w:val="16"/>
                <w:szCs w:val="16"/>
                <w:lang w:bidi="th-TH"/>
              </w:rPr>
              <w:t>7 (total).</w:t>
            </w:r>
            <w:r w:rsidR="002E6163">
              <w:rPr>
                <w:sz w:val="16"/>
                <w:szCs w:val="16"/>
                <w:lang w:bidi="th-TH"/>
              </w:rPr>
              <w:br/>
            </w:r>
            <w:r w:rsidR="002E6163">
              <w:rPr>
                <w:sz w:val="16"/>
                <w:szCs w:val="16"/>
                <w:lang w:bidi="th-TH"/>
              </w:rPr>
              <w:br/>
              <w:t xml:space="preserve">Se ha ampliado la cobertura del par inglés-chino </w:t>
            </w:r>
            <w:r w:rsidR="00F00024">
              <w:rPr>
                <w:sz w:val="16"/>
                <w:szCs w:val="16"/>
                <w:lang w:bidi="th-TH"/>
              </w:rPr>
              <w:t>para</w:t>
            </w:r>
            <w:r w:rsidR="002E6163">
              <w:rPr>
                <w:sz w:val="16"/>
                <w:szCs w:val="16"/>
                <w:lang w:bidi="th-TH"/>
              </w:rPr>
              <w:t xml:space="preserve"> abarca</w:t>
            </w:r>
            <w:r w:rsidR="00F00024">
              <w:rPr>
                <w:sz w:val="16"/>
                <w:szCs w:val="16"/>
                <w:lang w:bidi="th-TH"/>
              </w:rPr>
              <w:t>r</w:t>
            </w:r>
            <w:r w:rsidR="002E6163">
              <w:rPr>
                <w:sz w:val="16"/>
                <w:szCs w:val="16"/>
                <w:lang w:bidi="th-TH"/>
              </w:rPr>
              <w:t xml:space="preserve"> las descripciones y reivindicaciones.</w:t>
            </w:r>
          </w:p>
        </w:tc>
        <w:tc>
          <w:tcPr>
            <w:tcW w:w="665" w:type="pct"/>
            <w:gridSpan w:val="2"/>
            <w:tcBorders>
              <w:top w:val="nil"/>
              <w:bottom w:val="single" w:sz="4" w:space="0" w:color="auto"/>
              <w:right w:val="single" w:sz="4" w:space="0" w:color="auto"/>
            </w:tcBorders>
            <w:shd w:val="clear" w:color="auto" w:fill="auto"/>
            <w:tcMar>
              <w:top w:w="110" w:type="dxa"/>
            </w:tcMar>
          </w:tcPr>
          <w:p w:rsidR="00FA2BC6" w:rsidRPr="00053E42" w:rsidRDefault="00FA2BC6" w:rsidP="00DC1333">
            <w:pPr>
              <w:keepNext/>
              <w:keepLines/>
              <w:ind w:left="-110"/>
              <w:jc w:val="center"/>
              <w:rPr>
                <w:rStyle w:val="Style5"/>
                <w:b/>
                <w:color w:val="00B050"/>
                <w:sz w:val="16"/>
                <w:szCs w:val="16"/>
              </w:rPr>
            </w:pPr>
            <w:r w:rsidRPr="00053E42">
              <w:rPr>
                <w:b/>
                <w:bCs/>
                <w:color w:val="00B050"/>
                <w:sz w:val="16"/>
                <w:szCs w:val="16"/>
              </w:rPr>
              <w:t>Plenamente logrado</w:t>
            </w:r>
          </w:p>
        </w:tc>
      </w:tr>
      <w:tr w:rsidR="00FA2BC6" w:rsidRPr="00053E42" w:rsidTr="00DC1333">
        <w:trPr>
          <w:cantSplit/>
        </w:trPr>
        <w:tc>
          <w:tcPr>
            <w:tcW w:w="5000" w:type="pct"/>
            <w:gridSpan w:val="6"/>
            <w:tcBorders>
              <w:top w:val="single" w:sz="4" w:space="0" w:color="auto"/>
              <w:left w:val="single" w:sz="4" w:space="0" w:color="auto"/>
              <w:bottom w:val="nil"/>
              <w:right w:val="single" w:sz="4" w:space="0" w:color="auto"/>
            </w:tcBorders>
            <w:shd w:val="clear" w:color="auto" w:fill="C6D9F1" w:themeFill="text2" w:themeFillTint="33"/>
            <w:vAlign w:val="center"/>
          </w:tcPr>
          <w:p w:rsidR="00FA2BC6" w:rsidRPr="00053E42" w:rsidRDefault="00FA2BC6" w:rsidP="00DC1333">
            <w:pPr>
              <w:spacing w:before="120" w:after="120"/>
              <w:ind w:left="2019" w:hanging="2019"/>
              <w:rPr>
                <w:b/>
                <w:bCs/>
                <w:sz w:val="16"/>
                <w:szCs w:val="16"/>
              </w:rPr>
            </w:pPr>
            <w:r w:rsidRPr="00053E42">
              <w:rPr>
                <w:b/>
                <w:bCs/>
                <w:sz w:val="16"/>
                <w:szCs w:val="16"/>
              </w:rPr>
              <w:t>Resultado previsto:</w:t>
            </w:r>
            <w:r w:rsidRPr="00053E42">
              <w:rPr>
                <w:b/>
                <w:bCs/>
                <w:sz w:val="16"/>
                <w:szCs w:val="16"/>
              </w:rPr>
              <w:tab/>
            </w:r>
            <w:r w:rsidRPr="00053E42">
              <w:rPr>
                <w:bCs/>
                <w:sz w:val="16"/>
                <w:szCs w:val="16"/>
              </w:rPr>
              <w:t>IV.3 Amplia cobertura geográfica en cuanto al contenido y al uso de las bases de datos mundiales de la OMPI en materia de P.I.</w:t>
            </w:r>
          </w:p>
        </w:tc>
      </w:tr>
      <w:tr w:rsidR="00FA2BC6" w:rsidRPr="00053E42" w:rsidTr="00DC1333">
        <w:trPr>
          <w:cantSplit/>
        </w:trPr>
        <w:tc>
          <w:tcPr>
            <w:tcW w:w="1175" w:type="pct"/>
            <w:tcBorders>
              <w:top w:val="single" w:sz="4" w:space="0" w:color="auto"/>
              <w:left w:val="single" w:sz="4" w:space="0" w:color="auto"/>
              <w:bottom w:val="nil"/>
            </w:tcBorders>
            <w:shd w:val="clear" w:color="auto" w:fill="auto"/>
            <w:vAlign w:val="center"/>
          </w:tcPr>
          <w:p w:rsidR="00FA2BC6" w:rsidRPr="00053E42" w:rsidRDefault="00FA2BC6" w:rsidP="00DC1333">
            <w:pPr>
              <w:rPr>
                <w:sz w:val="16"/>
                <w:szCs w:val="16"/>
              </w:rPr>
            </w:pPr>
            <w:r w:rsidRPr="00053E42">
              <w:rPr>
                <w:b/>
                <w:sz w:val="16"/>
                <w:szCs w:val="16"/>
              </w:rPr>
              <w:t>Indicadores de rendimiento</w:t>
            </w:r>
          </w:p>
        </w:tc>
        <w:tc>
          <w:tcPr>
            <w:tcW w:w="1250" w:type="pct"/>
            <w:tcBorders>
              <w:top w:val="single" w:sz="4" w:space="0" w:color="auto"/>
              <w:bottom w:val="nil"/>
            </w:tcBorders>
            <w:shd w:val="clear" w:color="auto" w:fill="auto"/>
            <w:vAlign w:val="center"/>
          </w:tcPr>
          <w:p w:rsidR="00FA2BC6" w:rsidRPr="00053E42" w:rsidRDefault="00FA2BC6" w:rsidP="00DC1333">
            <w:pPr>
              <w:rPr>
                <w:b/>
                <w:bCs/>
                <w:sz w:val="16"/>
                <w:szCs w:val="16"/>
              </w:rPr>
            </w:pPr>
            <w:r w:rsidRPr="00053E42">
              <w:rPr>
                <w:b/>
                <w:bCs/>
                <w:sz w:val="16"/>
                <w:szCs w:val="16"/>
              </w:rPr>
              <w:t>Referencia</w:t>
            </w:r>
          </w:p>
        </w:tc>
        <w:tc>
          <w:tcPr>
            <w:tcW w:w="735" w:type="pct"/>
            <w:tcBorders>
              <w:top w:val="single" w:sz="4" w:space="0" w:color="auto"/>
              <w:bottom w:val="nil"/>
            </w:tcBorders>
            <w:shd w:val="clear" w:color="auto" w:fill="auto"/>
            <w:tcMar>
              <w:top w:w="110" w:type="dxa"/>
            </w:tcMar>
            <w:vAlign w:val="center"/>
          </w:tcPr>
          <w:p w:rsidR="00FA2BC6" w:rsidRPr="00053E42" w:rsidRDefault="00FA2BC6" w:rsidP="00DC1333">
            <w:pPr>
              <w:rPr>
                <w:b/>
                <w:sz w:val="16"/>
                <w:szCs w:val="16"/>
              </w:rPr>
            </w:pPr>
            <w:r w:rsidRPr="00053E42">
              <w:rPr>
                <w:b/>
                <w:sz w:val="16"/>
                <w:szCs w:val="16"/>
              </w:rPr>
              <w:t>Objetivos</w:t>
            </w:r>
          </w:p>
        </w:tc>
        <w:tc>
          <w:tcPr>
            <w:tcW w:w="1249" w:type="pct"/>
            <w:gridSpan w:val="2"/>
            <w:tcBorders>
              <w:top w:val="single" w:sz="4" w:space="0" w:color="auto"/>
              <w:bottom w:val="nil"/>
            </w:tcBorders>
            <w:shd w:val="clear" w:color="auto" w:fill="FFFFFF"/>
            <w:tcMar>
              <w:top w:w="110" w:type="dxa"/>
            </w:tcMar>
            <w:vAlign w:val="center"/>
          </w:tcPr>
          <w:p w:rsidR="00FA2BC6" w:rsidRPr="00053E42" w:rsidRDefault="00FA2BC6" w:rsidP="00DC1333">
            <w:pPr>
              <w:rPr>
                <w:sz w:val="16"/>
                <w:szCs w:val="16"/>
              </w:rPr>
            </w:pPr>
            <w:r w:rsidRPr="00053E42">
              <w:rPr>
                <w:b/>
                <w:sz w:val="16"/>
                <w:szCs w:val="16"/>
              </w:rPr>
              <w:t>Datos sobre el rendimiento</w:t>
            </w:r>
          </w:p>
        </w:tc>
        <w:tc>
          <w:tcPr>
            <w:tcW w:w="591" w:type="pct"/>
            <w:tcBorders>
              <w:top w:val="single" w:sz="4" w:space="0" w:color="auto"/>
              <w:bottom w:val="nil"/>
              <w:right w:val="single" w:sz="4" w:space="0" w:color="auto"/>
            </w:tcBorders>
            <w:shd w:val="clear" w:color="auto" w:fill="auto"/>
            <w:tcMar>
              <w:top w:w="110" w:type="dxa"/>
            </w:tcMar>
            <w:vAlign w:val="center"/>
          </w:tcPr>
          <w:p w:rsidR="00FA2BC6" w:rsidRPr="00053E42" w:rsidRDefault="00FA2BC6" w:rsidP="00DC1333">
            <w:pPr>
              <w:ind w:left="-110"/>
              <w:jc w:val="center"/>
              <w:rPr>
                <w:b/>
                <w:bCs/>
                <w:sz w:val="16"/>
                <w:szCs w:val="16"/>
              </w:rPr>
            </w:pPr>
            <w:r w:rsidRPr="00053E42">
              <w:rPr>
                <w:b/>
                <w:bCs/>
                <w:sz w:val="16"/>
                <w:szCs w:val="16"/>
              </w:rPr>
              <w:t>Clave de colores</w:t>
            </w:r>
          </w:p>
        </w:tc>
      </w:tr>
      <w:tr w:rsidR="00FA2BC6" w:rsidRPr="00053E42" w:rsidTr="008D3934">
        <w:trPr>
          <w:cantSplit/>
        </w:trPr>
        <w:tc>
          <w:tcPr>
            <w:tcW w:w="1175" w:type="pct"/>
            <w:tcBorders>
              <w:top w:val="nil"/>
              <w:left w:val="single" w:sz="4" w:space="0" w:color="auto"/>
              <w:bottom w:val="nil"/>
            </w:tcBorders>
            <w:shd w:val="clear" w:color="auto" w:fill="auto"/>
          </w:tcPr>
          <w:p w:rsidR="00FA2BC6" w:rsidRPr="00053E42" w:rsidRDefault="00FA2BC6" w:rsidP="00DC1333">
            <w:pPr>
              <w:rPr>
                <w:sz w:val="16"/>
                <w:szCs w:val="16"/>
              </w:rPr>
            </w:pPr>
            <w:r w:rsidRPr="00053E42">
              <w:rPr>
                <w:sz w:val="16"/>
                <w:szCs w:val="16"/>
              </w:rPr>
              <w:t>Número de registros contenidos en PATENSCOPE.</w:t>
            </w:r>
          </w:p>
        </w:tc>
        <w:tc>
          <w:tcPr>
            <w:tcW w:w="1250" w:type="pct"/>
            <w:tcBorders>
              <w:top w:val="nil"/>
              <w:bottom w:val="nil"/>
            </w:tcBorders>
            <w:shd w:val="clear" w:color="auto" w:fill="auto"/>
          </w:tcPr>
          <w:p w:rsidR="00FA2BC6" w:rsidRPr="00053E42" w:rsidRDefault="00FA2BC6" w:rsidP="00DC1333">
            <w:pPr>
              <w:rPr>
                <w:color w:val="002060"/>
                <w:sz w:val="16"/>
                <w:szCs w:val="16"/>
              </w:rPr>
            </w:pPr>
            <w:r w:rsidRPr="00053E42">
              <w:rPr>
                <w:i/>
                <w:color w:val="002060"/>
                <w:sz w:val="16"/>
                <w:szCs w:val="16"/>
              </w:rPr>
              <w:t xml:space="preserve">Referencia actualizada a fines de 2013:  </w:t>
            </w:r>
            <w:r w:rsidRPr="00053E42">
              <w:rPr>
                <w:color w:val="002060"/>
                <w:sz w:val="16"/>
                <w:szCs w:val="16"/>
              </w:rPr>
              <w:t>34.000.000</w:t>
            </w:r>
          </w:p>
          <w:p w:rsidR="00FA2BC6" w:rsidRPr="00053E42" w:rsidRDefault="00FA2BC6" w:rsidP="00DC1333">
            <w:pPr>
              <w:rPr>
                <w:i/>
                <w:sz w:val="8"/>
                <w:szCs w:val="8"/>
                <w:lang w:bidi="th-TH"/>
              </w:rPr>
            </w:pPr>
          </w:p>
          <w:p w:rsidR="00FA2BC6" w:rsidRPr="00053E42" w:rsidRDefault="00FA2BC6" w:rsidP="00DC1333">
            <w:pPr>
              <w:rPr>
                <w:sz w:val="16"/>
                <w:szCs w:val="16"/>
              </w:rPr>
            </w:pPr>
            <w:r w:rsidRPr="00053E42">
              <w:rPr>
                <w:i/>
                <w:sz w:val="16"/>
                <w:szCs w:val="16"/>
                <w:lang w:bidi="th-TH"/>
              </w:rPr>
              <w:t xml:space="preserve">Referencia original en el presupuesto de </w:t>
            </w:r>
            <w:r w:rsidRPr="00053E42">
              <w:rPr>
                <w:i/>
                <w:sz w:val="16"/>
                <w:szCs w:val="16"/>
              </w:rPr>
              <w:t xml:space="preserve">2014/15:  </w:t>
            </w:r>
            <w:r w:rsidRPr="00053E42">
              <w:rPr>
                <w:sz w:val="16"/>
                <w:szCs w:val="16"/>
              </w:rPr>
              <w:t>18.733.406 (feb. 2013)</w:t>
            </w:r>
          </w:p>
          <w:p w:rsidR="00FA2BC6" w:rsidRPr="00053E42" w:rsidRDefault="00FA2BC6" w:rsidP="00DC1333">
            <w:pPr>
              <w:rPr>
                <w:sz w:val="16"/>
                <w:szCs w:val="16"/>
              </w:rPr>
            </w:pPr>
          </w:p>
        </w:tc>
        <w:tc>
          <w:tcPr>
            <w:tcW w:w="735" w:type="pct"/>
            <w:tcBorders>
              <w:top w:val="nil"/>
              <w:bottom w:val="nil"/>
            </w:tcBorders>
            <w:shd w:val="clear" w:color="auto" w:fill="auto"/>
            <w:tcMar>
              <w:top w:w="110" w:type="dxa"/>
            </w:tcMar>
          </w:tcPr>
          <w:p w:rsidR="00FA2BC6" w:rsidRPr="00053E42" w:rsidRDefault="00FA2BC6" w:rsidP="00DC1333">
            <w:pPr>
              <w:rPr>
                <w:sz w:val="16"/>
                <w:szCs w:val="16"/>
                <w:lang w:bidi="th-TH"/>
              </w:rPr>
            </w:pPr>
            <w:r w:rsidRPr="00053E42">
              <w:rPr>
                <w:sz w:val="16"/>
                <w:szCs w:val="16"/>
                <w:lang w:bidi="th-TH"/>
              </w:rPr>
              <w:t>40.000.000</w:t>
            </w:r>
          </w:p>
        </w:tc>
        <w:tc>
          <w:tcPr>
            <w:tcW w:w="1175" w:type="pct"/>
            <w:tcBorders>
              <w:top w:val="nil"/>
              <w:bottom w:val="nil"/>
            </w:tcBorders>
            <w:shd w:val="clear" w:color="auto" w:fill="FFFFFF"/>
            <w:tcMar>
              <w:top w:w="110" w:type="dxa"/>
            </w:tcMar>
          </w:tcPr>
          <w:p w:rsidR="00FA2BC6" w:rsidRPr="00053E42" w:rsidRDefault="00FA2BC6" w:rsidP="00DC1333">
            <w:pPr>
              <w:rPr>
                <w:sz w:val="16"/>
                <w:szCs w:val="16"/>
              </w:rPr>
            </w:pPr>
            <w:r w:rsidRPr="00053E42">
              <w:rPr>
                <w:sz w:val="16"/>
                <w:szCs w:val="16"/>
              </w:rPr>
              <w:t>50.000.000 (total)</w:t>
            </w:r>
          </w:p>
        </w:tc>
        <w:tc>
          <w:tcPr>
            <w:tcW w:w="665" w:type="pct"/>
            <w:gridSpan w:val="2"/>
            <w:tcBorders>
              <w:top w:val="nil"/>
              <w:bottom w:val="nil"/>
              <w:right w:val="single" w:sz="4" w:space="0" w:color="auto"/>
            </w:tcBorders>
            <w:shd w:val="clear" w:color="auto" w:fill="auto"/>
            <w:tcMar>
              <w:top w:w="110" w:type="dxa"/>
            </w:tcMar>
          </w:tcPr>
          <w:p w:rsidR="00FA2BC6" w:rsidRPr="00053E42" w:rsidRDefault="00FA2BC6" w:rsidP="00DC1333">
            <w:pPr>
              <w:ind w:left="-110"/>
              <w:jc w:val="center"/>
              <w:rPr>
                <w:b/>
                <w:bCs/>
                <w:color w:val="00B050"/>
                <w:sz w:val="16"/>
                <w:szCs w:val="16"/>
              </w:rPr>
            </w:pPr>
            <w:r w:rsidRPr="00053E42">
              <w:rPr>
                <w:b/>
                <w:bCs/>
                <w:color w:val="00B050"/>
                <w:sz w:val="16"/>
                <w:szCs w:val="16"/>
              </w:rPr>
              <w:t>Plenamente logrado</w:t>
            </w:r>
          </w:p>
        </w:tc>
      </w:tr>
      <w:tr w:rsidR="00FA2BC6" w:rsidRPr="00053E42" w:rsidTr="008D3934">
        <w:trPr>
          <w:cantSplit/>
        </w:trPr>
        <w:tc>
          <w:tcPr>
            <w:tcW w:w="1175" w:type="pct"/>
            <w:tcBorders>
              <w:top w:val="nil"/>
              <w:left w:val="single" w:sz="4" w:space="0" w:color="auto"/>
              <w:bottom w:val="single" w:sz="4" w:space="0" w:color="auto"/>
            </w:tcBorders>
            <w:shd w:val="clear" w:color="auto" w:fill="auto"/>
          </w:tcPr>
          <w:p w:rsidR="00FA2BC6" w:rsidRPr="00053E42" w:rsidRDefault="00FA2BC6" w:rsidP="00DC1333">
            <w:pPr>
              <w:rPr>
                <w:sz w:val="16"/>
                <w:szCs w:val="16"/>
              </w:rPr>
            </w:pPr>
            <w:r w:rsidRPr="00053E42">
              <w:rPr>
                <w:sz w:val="16"/>
                <w:szCs w:val="16"/>
              </w:rPr>
              <w:t>Número de registros que figuran en la Base Mundial de Datos sobre Marcas.</w:t>
            </w:r>
          </w:p>
        </w:tc>
        <w:tc>
          <w:tcPr>
            <w:tcW w:w="1250" w:type="pct"/>
            <w:tcBorders>
              <w:top w:val="nil"/>
              <w:bottom w:val="single" w:sz="4" w:space="0" w:color="auto"/>
            </w:tcBorders>
            <w:shd w:val="clear" w:color="auto" w:fill="auto"/>
          </w:tcPr>
          <w:p w:rsidR="00FA2BC6" w:rsidRPr="00053E42" w:rsidRDefault="00FA2BC6" w:rsidP="00DC1333">
            <w:pPr>
              <w:rPr>
                <w:i/>
                <w:color w:val="002060"/>
                <w:sz w:val="16"/>
                <w:szCs w:val="16"/>
              </w:rPr>
            </w:pPr>
            <w:r w:rsidRPr="00053E42">
              <w:rPr>
                <w:i/>
                <w:color w:val="002060"/>
                <w:sz w:val="16"/>
                <w:szCs w:val="16"/>
              </w:rPr>
              <w:t>Referencia actualizada a fines de 2013:  12.000.000</w:t>
            </w:r>
          </w:p>
          <w:p w:rsidR="00FA2BC6" w:rsidRPr="00053E42" w:rsidRDefault="00FA2BC6" w:rsidP="00DC1333">
            <w:pPr>
              <w:rPr>
                <w:i/>
                <w:sz w:val="8"/>
                <w:szCs w:val="8"/>
                <w:lang w:bidi="th-TH"/>
              </w:rPr>
            </w:pPr>
          </w:p>
          <w:p w:rsidR="00FA2BC6" w:rsidRPr="00053E42" w:rsidRDefault="00FA2BC6" w:rsidP="00DC1333">
            <w:pPr>
              <w:rPr>
                <w:sz w:val="16"/>
                <w:szCs w:val="16"/>
              </w:rPr>
            </w:pPr>
            <w:r w:rsidRPr="00053E42">
              <w:rPr>
                <w:i/>
                <w:sz w:val="16"/>
                <w:szCs w:val="16"/>
                <w:lang w:bidi="th-TH"/>
              </w:rPr>
              <w:t xml:space="preserve">Referencia original en el presupuesto de </w:t>
            </w:r>
            <w:r w:rsidRPr="00053E42">
              <w:rPr>
                <w:i/>
                <w:sz w:val="16"/>
                <w:szCs w:val="16"/>
              </w:rPr>
              <w:t xml:space="preserve">2014/15:  </w:t>
            </w:r>
            <w:r w:rsidRPr="00053E42">
              <w:rPr>
                <w:sz w:val="16"/>
                <w:szCs w:val="16"/>
              </w:rPr>
              <w:t>10.928.326 (feb. 2013)</w:t>
            </w:r>
          </w:p>
          <w:p w:rsidR="00FA2BC6" w:rsidRPr="00053E42" w:rsidRDefault="00FA2BC6" w:rsidP="00DC1333">
            <w:pPr>
              <w:rPr>
                <w:sz w:val="16"/>
                <w:szCs w:val="16"/>
                <w:lang w:bidi="th-TH"/>
              </w:rPr>
            </w:pPr>
          </w:p>
        </w:tc>
        <w:tc>
          <w:tcPr>
            <w:tcW w:w="735" w:type="pct"/>
            <w:tcBorders>
              <w:top w:val="nil"/>
              <w:bottom w:val="single" w:sz="4" w:space="0" w:color="auto"/>
            </w:tcBorders>
            <w:shd w:val="clear" w:color="auto" w:fill="auto"/>
            <w:tcMar>
              <w:top w:w="110" w:type="dxa"/>
            </w:tcMar>
          </w:tcPr>
          <w:p w:rsidR="00FA2BC6" w:rsidRPr="00053E42" w:rsidRDefault="00FA2BC6" w:rsidP="00DC1333">
            <w:pPr>
              <w:autoSpaceDE w:val="0"/>
              <w:autoSpaceDN w:val="0"/>
              <w:adjustRightInd w:val="0"/>
              <w:rPr>
                <w:sz w:val="16"/>
                <w:szCs w:val="16"/>
              </w:rPr>
            </w:pPr>
          </w:p>
          <w:p w:rsidR="00FA2BC6" w:rsidRPr="00053E42" w:rsidRDefault="00FA2BC6" w:rsidP="00DC1333">
            <w:pPr>
              <w:autoSpaceDE w:val="0"/>
              <w:autoSpaceDN w:val="0"/>
              <w:adjustRightInd w:val="0"/>
              <w:rPr>
                <w:sz w:val="16"/>
                <w:szCs w:val="16"/>
              </w:rPr>
            </w:pPr>
            <w:r w:rsidRPr="00053E42">
              <w:rPr>
                <w:sz w:val="16"/>
                <w:szCs w:val="16"/>
              </w:rPr>
              <w:t>20.000.000</w:t>
            </w:r>
          </w:p>
        </w:tc>
        <w:tc>
          <w:tcPr>
            <w:tcW w:w="1175" w:type="pct"/>
            <w:tcBorders>
              <w:top w:val="nil"/>
              <w:bottom w:val="single" w:sz="4" w:space="0" w:color="auto"/>
            </w:tcBorders>
            <w:shd w:val="clear" w:color="auto" w:fill="FFFFFF"/>
            <w:tcMar>
              <w:top w:w="110" w:type="dxa"/>
            </w:tcMar>
          </w:tcPr>
          <w:p w:rsidR="00FA2BC6" w:rsidRPr="00053E42" w:rsidRDefault="00FA2BC6" w:rsidP="00DC1333">
            <w:pPr>
              <w:rPr>
                <w:sz w:val="16"/>
                <w:szCs w:val="16"/>
                <w:lang w:bidi="th-TH"/>
              </w:rPr>
            </w:pPr>
          </w:p>
          <w:p w:rsidR="00FA2BC6" w:rsidRPr="00053E42" w:rsidRDefault="00FA2BC6" w:rsidP="00DC1333">
            <w:pPr>
              <w:rPr>
                <w:sz w:val="16"/>
                <w:szCs w:val="16"/>
              </w:rPr>
            </w:pPr>
            <w:r w:rsidRPr="00053E42">
              <w:rPr>
                <w:sz w:val="16"/>
                <w:szCs w:val="16"/>
                <w:lang w:bidi="th-TH"/>
              </w:rPr>
              <w:t>24.500.000 (total)</w:t>
            </w:r>
          </w:p>
        </w:tc>
        <w:tc>
          <w:tcPr>
            <w:tcW w:w="665" w:type="pct"/>
            <w:gridSpan w:val="2"/>
            <w:tcBorders>
              <w:top w:val="nil"/>
              <w:bottom w:val="single" w:sz="4" w:space="0" w:color="auto"/>
              <w:right w:val="single" w:sz="4" w:space="0" w:color="auto"/>
            </w:tcBorders>
            <w:shd w:val="clear" w:color="auto" w:fill="auto"/>
            <w:tcMar>
              <w:top w:w="110" w:type="dxa"/>
            </w:tcMar>
          </w:tcPr>
          <w:p w:rsidR="00FA2BC6" w:rsidRPr="00053E42" w:rsidRDefault="00FA2BC6" w:rsidP="00DC1333">
            <w:pPr>
              <w:ind w:left="-110"/>
              <w:jc w:val="center"/>
              <w:rPr>
                <w:bCs/>
                <w:color w:val="00B050"/>
                <w:sz w:val="16"/>
                <w:szCs w:val="16"/>
              </w:rPr>
            </w:pPr>
            <w:r w:rsidRPr="00053E42">
              <w:rPr>
                <w:b/>
                <w:bCs/>
                <w:color w:val="00B050"/>
                <w:sz w:val="16"/>
                <w:szCs w:val="16"/>
              </w:rPr>
              <w:t>Plenamente logrado</w:t>
            </w:r>
          </w:p>
        </w:tc>
      </w:tr>
      <w:tr w:rsidR="00FA2BC6" w:rsidRPr="00053E42" w:rsidTr="008D3934">
        <w:trPr>
          <w:cantSplit/>
        </w:trPr>
        <w:tc>
          <w:tcPr>
            <w:tcW w:w="1175" w:type="pct"/>
            <w:tcBorders>
              <w:top w:val="single" w:sz="4" w:space="0" w:color="auto"/>
              <w:left w:val="single" w:sz="4" w:space="0" w:color="auto"/>
              <w:bottom w:val="nil"/>
            </w:tcBorders>
            <w:shd w:val="clear" w:color="auto" w:fill="auto"/>
          </w:tcPr>
          <w:p w:rsidR="00FA2BC6" w:rsidRPr="00053E42" w:rsidRDefault="00FA2BC6" w:rsidP="00DC1333">
            <w:pPr>
              <w:rPr>
                <w:sz w:val="16"/>
                <w:szCs w:val="16"/>
              </w:rPr>
            </w:pPr>
            <w:r w:rsidRPr="00053E42">
              <w:rPr>
                <w:sz w:val="16"/>
                <w:szCs w:val="16"/>
              </w:rPr>
              <w:lastRenderedPageBreak/>
              <w:t>Número de colecciones nacionales y regionales en PATENTSCOPE.</w:t>
            </w:r>
          </w:p>
        </w:tc>
        <w:tc>
          <w:tcPr>
            <w:tcW w:w="1250" w:type="pct"/>
            <w:tcBorders>
              <w:top w:val="single" w:sz="4" w:space="0" w:color="auto"/>
              <w:bottom w:val="nil"/>
            </w:tcBorders>
            <w:shd w:val="clear" w:color="auto" w:fill="auto"/>
          </w:tcPr>
          <w:p w:rsidR="00FA2BC6" w:rsidRPr="00053E42" w:rsidRDefault="00FA2BC6" w:rsidP="00DC1333">
            <w:pPr>
              <w:rPr>
                <w:i/>
                <w:color w:val="002060"/>
                <w:sz w:val="16"/>
                <w:szCs w:val="16"/>
              </w:rPr>
            </w:pPr>
            <w:r w:rsidRPr="00053E42">
              <w:rPr>
                <w:i/>
                <w:color w:val="002060"/>
                <w:sz w:val="16"/>
                <w:szCs w:val="16"/>
              </w:rPr>
              <w:t>Referencia actualizada a fines de 2013:</w:t>
            </w:r>
            <w:r w:rsidRPr="00053E42">
              <w:rPr>
                <w:color w:val="002060"/>
                <w:sz w:val="16"/>
                <w:szCs w:val="16"/>
                <w:lang w:bidi="th-TH"/>
              </w:rPr>
              <w:t xml:space="preserve">  36 (total)</w:t>
            </w:r>
          </w:p>
          <w:p w:rsidR="00FA2BC6" w:rsidRPr="00053E42" w:rsidRDefault="00FA2BC6" w:rsidP="00DC1333">
            <w:pPr>
              <w:rPr>
                <w:i/>
                <w:sz w:val="8"/>
                <w:szCs w:val="8"/>
                <w:lang w:bidi="th-TH"/>
              </w:rPr>
            </w:pPr>
          </w:p>
          <w:p w:rsidR="00FA2BC6" w:rsidRPr="00053E42" w:rsidRDefault="00FA2BC6" w:rsidP="00DC1333">
            <w:pPr>
              <w:rPr>
                <w:sz w:val="16"/>
                <w:szCs w:val="16"/>
              </w:rPr>
            </w:pPr>
            <w:r w:rsidRPr="00053E42">
              <w:rPr>
                <w:i/>
                <w:sz w:val="16"/>
                <w:szCs w:val="16"/>
                <w:lang w:bidi="th-TH"/>
              </w:rPr>
              <w:t xml:space="preserve">Referencia original </w:t>
            </w:r>
            <w:r w:rsidRPr="00053E42">
              <w:rPr>
                <w:i/>
                <w:sz w:val="16"/>
                <w:szCs w:val="16"/>
              </w:rPr>
              <w:t xml:space="preserve">en el presupuesto de 2014/15: </w:t>
            </w:r>
            <w:r w:rsidRPr="00053E42">
              <w:rPr>
                <w:sz w:val="16"/>
                <w:szCs w:val="16"/>
              </w:rPr>
              <w:t>27 (feb. 2013)</w:t>
            </w:r>
          </w:p>
          <w:p w:rsidR="00FA2BC6" w:rsidRPr="00053E42" w:rsidRDefault="00FA2BC6" w:rsidP="00DC1333">
            <w:pPr>
              <w:ind w:left="1" w:hanging="1"/>
              <w:rPr>
                <w:sz w:val="16"/>
                <w:szCs w:val="16"/>
              </w:rPr>
            </w:pPr>
          </w:p>
        </w:tc>
        <w:tc>
          <w:tcPr>
            <w:tcW w:w="735" w:type="pct"/>
            <w:tcBorders>
              <w:top w:val="single" w:sz="4" w:space="0" w:color="auto"/>
              <w:bottom w:val="nil"/>
            </w:tcBorders>
            <w:shd w:val="clear" w:color="auto" w:fill="auto"/>
            <w:tcMar>
              <w:top w:w="110" w:type="dxa"/>
            </w:tcMar>
          </w:tcPr>
          <w:p w:rsidR="00FA2BC6" w:rsidRPr="00053E42" w:rsidRDefault="00FA2BC6" w:rsidP="00DC1333">
            <w:pPr>
              <w:rPr>
                <w:sz w:val="16"/>
                <w:szCs w:val="16"/>
                <w:lang w:bidi="th-TH"/>
              </w:rPr>
            </w:pPr>
            <w:r w:rsidRPr="00053E42">
              <w:rPr>
                <w:sz w:val="16"/>
                <w:szCs w:val="16"/>
              </w:rPr>
              <w:t>35</w:t>
            </w:r>
          </w:p>
        </w:tc>
        <w:tc>
          <w:tcPr>
            <w:tcW w:w="1175" w:type="pct"/>
            <w:tcBorders>
              <w:top w:val="single" w:sz="4" w:space="0" w:color="auto"/>
              <w:bottom w:val="nil"/>
            </w:tcBorders>
            <w:shd w:val="clear" w:color="auto" w:fill="FFFFFF"/>
            <w:tcMar>
              <w:top w:w="110" w:type="dxa"/>
            </w:tcMar>
          </w:tcPr>
          <w:p w:rsidR="00FA2BC6" w:rsidRPr="00053E42" w:rsidRDefault="00FA2BC6" w:rsidP="00DC1333">
            <w:pPr>
              <w:rPr>
                <w:sz w:val="16"/>
                <w:szCs w:val="16"/>
              </w:rPr>
            </w:pPr>
            <w:r w:rsidRPr="00053E42">
              <w:rPr>
                <w:sz w:val="16"/>
                <w:szCs w:val="16"/>
                <w:lang w:bidi="th-TH"/>
              </w:rPr>
              <w:t>43 (total)</w:t>
            </w:r>
          </w:p>
        </w:tc>
        <w:tc>
          <w:tcPr>
            <w:tcW w:w="665" w:type="pct"/>
            <w:gridSpan w:val="2"/>
            <w:tcBorders>
              <w:top w:val="single" w:sz="4" w:space="0" w:color="auto"/>
              <w:bottom w:val="nil"/>
              <w:right w:val="single" w:sz="4" w:space="0" w:color="auto"/>
            </w:tcBorders>
            <w:shd w:val="clear" w:color="auto" w:fill="auto"/>
            <w:tcMar>
              <w:top w:w="110" w:type="dxa"/>
            </w:tcMar>
          </w:tcPr>
          <w:p w:rsidR="00FA2BC6" w:rsidRPr="00053E42" w:rsidRDefault="00FA2BC6" w:rsidP="00DC1333">
            <w:pPr>
              <w:ind w:left="-110"/>
              <w:jc w:val="center"/>
              <w:rPr>
                <w:rStyle w:val="Style5"/>
                <w:b/>
                <w:color w:val="00B050"/>
                <w:sz w:val="16"/>
              </w:rPr>
            </w:pPr>
            <w:r w:rsidRPr="00053E42">
              <w:rPr>
                <w:b/>
                <w:bCs/>
                <w:color w:val="00B050"/>
                <w:sz w:val="16"/>
                <w:szCs w:val="16"/>
              </w:rPr>
              <w:t>Plenamente logrado</w:t>
            </w:r>
          </w:p>
        </w:tc>
      </w:tr>
      <w:tr w:rsidR="00FA2BC6" w:rsidRPr="00053E42" w:rsidTr="00DC1333">
        <w:trPr>
          <w:cantSplit/>
        </w:trPr>
        <w:tc>
          <w:tcPr>
            <w:tcW w:w="1175" w:type="pct"/>
            <w:tcBorders>
              <w:top w:val="nil"/>
              <w:left w:val="single" w:sz="4" w:space="0" w:color="auto"/>
              <w:bottom w:val="single" w:sz="4" w:space="0" w:color="auto"/>
            </w:tcBorders>
            <w:shd w:val="clear" w:color="auto" w:fill="auto"/>
          </w:tcPr>
          <w:p w:rsidR="00FA2BC6" w:rsidRPr="00053E42" w:rsidRDefault="00FA2BC6" w:rsidP="00DC1333">
            <w:pPr>
              <w:rPr>
                <w:sz w:val="16"/>
                <w:szCs w:val="16"/>
              </w:rPr>
            </w:pPr>
            <w:r w:rsidRPr="00053E42">
              <w:rPr>
                <w:sz w:val="16"/>
                <w:szCs w:val="16"/>
              </w:rPr>
              <w:t>Número de colecciones nacionales y regionales en la Base Mundial de Datos sobre Marcas.</w:t>
            </w:r>
          </w:p>
        </w:tc>
        <w:tc>
          <w:tcPr>
            <w:tcW w:w="1250" w:type="pct"/>
            <w:tcBorders>
              <w:top w:val="nil"/>
              <w:bottom w:val="single" w:sz="4" w:space="0" w:color="auto"/>
            </w:tcBorders>
            <w:shd w:val="clear" w:color="auto" w:fill="auto"/>
          </w:tcPr>
          <w:p w:rsidR="00FA2BC6" w:rsidRPr="00053E42" w:rsidRDefault="00FA2BC6" w:rsidP="00DC1333">
            <w:pPr>
              <w:rPr>
                <w:i/>
                <w:color w:val="002060"/>
                <w:sz w:val="16"/>
                <w:szCs w:val="16"/>
              </w:rPr>
            </w:pPr>
            <w:r w:rsidRPr="00053E42">
              <w:rPr>
                <w:i/>
                <w:color w:val="002060"/>
                <w:sz w:val="16"/>
                <w:szCs w:val="16"/>
              </w:rPr>
              <w:t>Referencia actualizada a fines de 2013:  12</w:t>
            </w:r>
          </w:p>
          <w:p w:rsidR="00FA2BC6" w:rsidRPr="00053E42" w:rsidRDefault="00FA2BC6" w:rsidP="00DC1333">
            <w:pPr>
              <w:rPr>
                <w:i/>
                <w:sz w:val="8"/>
                <w:szCs w:val="8"/>
                <w:lang w:bidi="th-TH"/>
              </w:rPr>
            </w:pPr>
          </w:p>
          <w:p w:rsidR="00FA2BC6" w:rsidRPr="00053E42" w:rsidRDefault="00FA2BC6" w:rsidP="00DC1333">
            <w:pPr>
              <w:rPr>
                <w:i/>
                <w:sz w:val="16"/>
                <w:szCs w:val="16"/>
              </w:rPr>
            </w:pPr>
            <w:r w:rsidRPr="00053E42">
              <w:rPr>
                <w:i/>
                <w:sz w:val="16"/>
                <w:szCs w:val="16"/>
                <w:lang w:bidi="th-TH"/>
              </w:rPr>
              <w:t xml:space="preserve">Referencia original en el presupuesto de </w:t>
            </w:r>
            <w:r w:rsidRPr="00053E42">
              <w:rPr>
                <w:i/>
                <w:sz w:val="16"/>
                <w:szCs w:val="16"/>
              </w:rPr>
              <w:t>2014/15:  9 (feb. 2013)</w:t>
            </w:r>
            <w:r w:rsidRPr="00053E42">
              <w:rPr>
                <w:i/>
                <w:sz w:val="16"/>
                <w:szCs w:val="16"/>
              </w:rPr>
              <w:br/>
            </w:r>
          </w:p>
        </w:tc>
        <w:tc>
          <w:tcPr>
            <w:tcW w:w="735" w:type="pct"/>
            <w:tcBorders>
              <w:top w:val="nil"/>
              <w:bottom w:val="single" w:sz="4" w:space="0" w:color="auto"/>
            </w:tcBorders>
            <w:shd w:val="clear" w:color="auto" w:fill="auto"/>
            <w:tcMar>
              <w:top w:w="110" w:type="dxa"/>
            </w:tcMar>
          </w:tcPr>
          <w:p w:rsidR="00FA2BC6" w:rsidRPr="00053E42" w:rsidRDefault="00FA2BC6" w:rsidP="00DC1333">
            <w:pPr>
              <w:rPr>
                <w:sz w:val="16"/>
                <w:szCs w:val="16"/>
              </w:rPr>
            </w:pPr>
            <w:r w:rsidRPr="00053E42">
              <w:rPr>
                <w:sz w:val="16"/>
                <w:szCs w:val="16"/>
              </w:rPr>
              <w:t>18</w:t>
            </w:r>
          </w:p>
        </w:tc>
        <w:tc>
          <w:tcPr>
            <w:tcW w:w="1175" w:type="pct"/>
            <w:tcBorders>
              <w:top w:val="nil"/>
              <w:bottom w:val="single" w:sz="4" w:space="0" w:color="auto"/>
            </w:tcBorders>
            <w:shd w:val="clear" w:color="auto" w:fill="FFFFFF"/>
            <w:tcMar>
              <w:top w:w="110" w:type="dxa"/>
            </w:tcMar>
          </w:tcPr>
          <w:p w:rsidR="00FA2BC6" w:rsidRPr="00053E42" w:rsidRDefault="00FA2BC6" w:rsidP="00DC1333">
            <w:pPr>
              <w:rPr>
                <w:sz w:val="16"/>
                <w:szCs w:val="16"/>
                <w:lang w:bidi="th-TH"/>
              </w:rPr>
            </w:pPr>
            <w:r w:rsidRPr="00053E42">
              <w:rPr>
                <w:sz w:val="16"/>
                <w:szCs w:val="16"/>
                <w:lang w:bidi="th-TH"/>
              </w:rPr>
              <w:t>26 (total)</w:t>
            </w:r>
          </w:p>
        </w:tc>
        <w:tc>
          <w:tcPr>
            <w:tcW w:w="665" w:type="pct"/>
            <w:gridSpan w:val="2"/>
            <w:tcBorders>
              <w:top w:val="nil"/>
              <w:bottom w:val="single" w:sz="4" w:space="0" w:color="auto"/>
              <w:right w:val="single" w:sz="4" w:space="0" w:color="auto"/>
            </w:tcBorders>
            <w:shd w:val="clear" w:color="auto" w:fill="auto"/>
            <w:tcMar>
              <w:top w:w="110" w:type="dxa"/>
            </w:tcMar>
          </w:tcPr>
          <w:p w:rsidR="00FA2BC6" w:rsidRPr="00053E42" w:rsidRDefault="00FA2BC6" w:rsidP="00DC1333">
            <w:pPr>
              <w:ind w:left="-110"/>
              <w:jc w:val="center"/>
              <w:rPr>
                <w:rStyle w:val="Style5"/>
                <w:b/>
                <w:color w:val="00B050"/>
                <w:sz w:val="16"/>
              </w:rPr>
            </w:pPr>
            <w:r w:rsidRPr="00053E42">
              <w:rPr>
                <w:b/>
                <w:bCs/>
                <w:color w:val="00B050"/>
                <w:sz w:val="16"/>
                <w:szCs w:val="16"/>
              </w:rPr>
              <w:t>Plenamente logrado</w:t>
            </w:r>
          </w:p>
        </w:tc>
      </w:tr>
    </w:tbl>
    <w:p w:rsidR="00FA2BC6" w:rsidRDefault="00FA2BC6" w:rsidP="00DC1333">
      <w:pPr>
        <w:rPr>
          <w:bCs/>
          <w:szCs w:val="22"/>
        </w:rPr>
      </w:pPr>
    </w:p>
    <w:p w:rsidR="004662B3" w:rsidRPr="00053E42" w:rsidRDefault="004662B3" w:rsidP="00DC1333">
      <w:pPr>
        <w:rPr>
          <w:bCs/>
          <w:szCs w:val="22"/>
        </w:rPr>
      </w:pPr>
    </w:p>
    <w:p w:rsidR="00FA2BC6" w:rsidRPr="00053E42" w:rsidRDefault="008F7CBE" w:rsidP="00DC1333">
      <w:pPr>
        <w:keepNext/>
        <w:keepLines/>
        <w:rPr>
          <w:color w:val="000000"/>
          <w:szCs w:val="22"/>
        </w:rPr>
      </w:pPr>
      <w:r w:rsidRPr="008F7CBE">
        <w:rPr>
          <w:sz w:val="20"/>
        </w:rPr>
        <w:t>INFORMACIÓN SOBRE LOS RIESGOS PLANTEADOS EN EL BIENIO</w:t>
      </w:r>
    </w:p>
    <w:p w:rsidR="00FA2BC6" w:rsidRPr="00053E42" w:rsidRDefault="00FA2BC6" w:rsidP="00DC1333">
      <w:pPr>
        <w:keepNext/>
        <w:keepLines/>
      </w:pPr>
    </w:p>
    <w:tbl>
      <w:tblPr>
        <w:tblW w:w="0" w:type="auto"/>
        <w:jc w:val="center"/>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420"/>
        <w:gridCol w:w="2200"/>
        <w:gridCol w:w="2473"/>
        <w:gridCol w:w="2321"/>
      </w:tblGrid>
      <w:tr w:rsidR="00FA2BC6" w:rsidRPr="00053E42" w:rsidTr="00DC1333">
        <w:trPr>
          <w:trHeight w:val="638"/>
          <w:jc w:val="center"/>
        </w:trPr>
        <w:tc>
          <w:tcPr>
            <w:tcW w:w="2420" w:type="dxa"/>
            <w:tcBorders>
              <w:top w:val="single" w:sz="4" w:space="0" w:color="auto"/>
              <w:bottom w:val="single" w:sz="4" w:space="0" w:color="auto"/>
            </w:tcBorders>
            <w:shd w:val="clear" w:color="auto" w:fill="C6D9F1" w:themeFill="text2" w:themeFillTint="33"/>
            <w:vAlign w:val="center"/>
          </w:tcPr>
          <w:p w:rsidR="00FA2BC6" w:rsidRPr="00053E42" w:rsidRDefault="00FA2BC6" w:rsidP="00DC1333">
            <w:pPr>
              <w:keepNext/>
              <w:keepLines/>
              <w:autoSpaceDE w:val="0"/>
              <w:autoSpaceDN w:val="0"/>
              <w:adjustRightInd w:val="0"/>
              <w:ind w:right="-59"/>
              <w:jc w:val="center"/>
              <w:rPr>
                <w:b/>
                <w:bCs/>
                <w:iCs/>
                <w:sz w:val="18"/>
                <w:szCs w:val="18"/>
              </w:rPr>
            </w:pPr>
            <w:r w:rsidRPr="00053E42">
              <w:rPr>
                <w:b/>
                <w:bCs/>
                <w:iCs/>
                <w:sz w:val="18"/>
                <w:szCs w:val="18"/>
              </w:rPr>
              <w:t>Riesgos en el logro de los resultados del programa</w:t>
            </w:r>
          </w:p>
        </w:tc>
        <w:tc>
          <w:tcPr>
            <w:tcW w:w="2200" w:type="dxa"/>
            <w:tcBorders>
              <w:top w:val="single" w:sz="4" w:space="0" w:color="auto"/>
              <w:bottom w:val="single" w:sz="4" w:space="0" w:color="auto"/>
            </w:tcBorders>
            <w:shd w:val="clear" w:color="auto" w:fill="C6D9F1" w:themeFill="text2" w:themeFillTint="33"/>
            <w:vAlign w:val="center"/>
          </w:tcPr>
          <w:p w:rsidR="00FA2BC6" w:rsidRPr="00053E42" w:rsidRDefault="00FA2BC6" w:rsidP="00DC1333">
            <w:pPr>
              <w:keepNext/>
              <w:keepLines/>
              <w:autoSpaceDE w:val="0"/>
              <w:autoSpaceDN w:val="0"/>
              <w:adjustRightInd w:val="0"/>
              <w:ind w:right="-59"/>
              <w:jc w:val="center"/>
              <w:rPr>
                <w:b/>
                <w:bCs/>
                <w:iCs/>
                <w:sz w:val="18"/>
                <w:szCs w:val="18"/>
              </w:rPr>
            </w:pPr>
            <w:r w:rsidRPr="00053E42">
              <w:rPr>
                <w:b/>
                <w:bCs/>
                <w:iCs/>
                <w:sz w:val="18"/>
                <w:szCs w:val="18"/>
              </w:rPr>
              <w:t>Planes de mitigación ejecutados o en ejecución</w:t>
            </w:r>
          </w:p>
        </w:tc>
        <w:tc>
          <w:tcPr>
            <w:tcW w:w="2473" w:type="dxa"/>
            <w:tcBorders>
              <w:top w:val="single" w:sz="4" w:space="0" w:color="auto"/>
              <w:bottom w:val="single" w:sz="4" w:space="0" w:color="auto"/>
            </w:tcBorders>
            <w:shd w:val="clear" w:color="auto" w:fill="C6D9F1" w:themeFill="text2" w:themeFillTint="33"/>
          </w:tcPr>
          <w:p w:rsidR="00FA2BC6" w:rsidRPr="00053E42" w:rsidRDefault="00FA2BC6" w:rsidP="00DC1333">
            <w:pPr>
              <w:keepNext/>
              <w:keepLines/>
              <w:jc w:val="center"/>
              <w:rPr>
                <w:b/>
                <w:bCs/>
                <w:sz w:val="18"/>
                <w:szCs w:val="18"/>
              </w:rPr>
            </w:pPr>
            <w:r w:rsidRPr="00053E42">
              <w:rPr>
                <w:b/>
                <w:bCs/>
                <w:iCs/>
                <w:sz w:val="18"/>
                <w:szCs w:val="18"/>
              </w:rPr>
              <w:t>Evolución de los riesgos y estrategias de mitigación durante el bienio</w:t>
            </w:r>
          </w:p>
        </w:tc>
        <w:tc>
          <w:tcPr>
            <w:tcW w:w="2321" w:type="dxa"/>
            <w:tcBorders>
              <w:top w:val="single" w:sz="4" w:space="0" w:color="auto"/>
              <w:bottom w:val="single" w:sz="4" w:space="0" w:color="auto"/>
            </w:tcBorders>
            <w:shd w:val="clear" w:color="auto" w:fill="C6D9F1" w:themeFill="text2" w:themeFillTint="33"/>
          </w:tcPr>
          <w:p w:rsidR="00FA2BC6" w:rsidRPr="00053E42" w:rsidRDefault="00FA2BC6" w:rsidP="00DC1333">
            <w:pPr>
              <w:keepNext/>
              <w:keepLines/>
              <w:jc w:val="center"/>
              <w:rPr>
                <w:b/>
                <w:bCs/>
                <w:sz w:val="18"/>
                <w:szCs w:val="18"/>
              </w:rPr>
            </w:pPr>
            <w:r w:rsidRPr="00053E42">
              <w:rPr>
                <w:b/>
                <w:bCs/>
                <w:sz w:val="18"/>
                <w:szCs w:val="18"/>
              </w:rPr>
              <w:t>Incidencia en el rendimiento del programa</w:t>
            </w:r>
          </w:p>
        </w:tc>
      </w:tr>
      <w:tr w:rsidR="00FA2BC6" w:rsidRPr="00053E42" w:rsidTr="00DC1333">
        <w:trPr>
          <w:trHeight w:val="1779"/>
          <w:jc w:val="center"/>
        </w:trPr>
        <w:tc>
          <w:tcPr>
            <w:tcW w:w="2420" w:type="dxa"/>
            <w:tcBorders>
              <w:top w:val="single" w:sz="4" w:space="0" w:color="auto"/>
            </w:tcBorders>
            <w:shd w:val="clear" w:color="auto" w:fill="auto"/>
            <w:tcMar>
              <w:top w:w="113" w:type="dxa"/>
              <w:bottom w:w="113" w:type="dxa"/>
            </w:tcMar>
          </w:tcPr>
          <w:p w:rsidR="00FA2BC6" w:rsidRPr="00053E42" w:rsidRDefault="00FA2BC6" w:rsidP="00DC1333">
            <w:pPr>
              <w:keepNext/>
              <w:keepLines/>
              <w:rPr>
                <w:sz w:val="16"/>
                <w:szCs w:val="16"/>
              </w:rPr>
            </w:pPr>
            <w:r w:rsidRPr="00053E42">
              <w:rPr>
                <w:sz w:val="16"/>
                <w:szCs w:val="16"/>
              </w:rPr>
              <w:t>La imposibilidad temporal o permanente de acceder a las bases de datos mundiales a consecuencia de trastornos en el servicio de Internet o fallos técnicos en la sede de la OMPI en Ginebra.</w:t>
            </w:r>
          </w:p>
          <w:p w:rsidR="00FA2BC6" w:rsidRPr="00053E42" w:rsidRDefault="00FA2BC6" w:rsidP="00DC1333">
            <w:pPr>
              <w:keepNext/>
              <w:keepLines/>
              <w:autoSpaceDE w:val="0"/>
              <w:autoSpaceDN w:val="0"/>
              <w:adjustRightInd w:val="0"/>
              <w:ind w:right="-59"/>
              <w:rPr>
                <w:sz w:val="16"/>
                <w:szCs w:val="16"/>
              </w:rPr>
            </w:pPr>
          </w:p>
        </w:tc>
        <w:tc>
          <w:tcPr>
            <w:tcW w:w="2200" w:type="dxa"/>
            <w:tcBorders>
              <w:top w:val="single" w:sz="4" w:space="0" w:color="auto"/>
            </w:tcBorders>
            <w:shd w:val="clear" w:color="auto" w:fill="auto"/>
            <w:tcMar>
              <w:top w:w="113" w:type="dxa"/>
              <w:bottom w:w="113" w:type="dxa"/>
            </w:tcMar>
          </w:tcPr>
          <w:p w:rsidR="00FA2BC6" w:rsidRPr="00053E42" w:rsidRDefault="00FA2BC6" w:rsidP="00DC1333">
            <w:pPr>
              <w:keepNext/>
              <w:keepLines/>
              <w:rPr>
                <w:sz w:val="16"/>
                <w:szCs w:val="16"/>
              </w:rPr>
            </w:pPr>
            <w:r w:rsidRPr="00053E42">
              <w:rPr>
                <w:sz w:val="16"/>
                <w:szCs w:val="16"/>
              </w:rPr>
              <w:t>La búsqueda de posibles ubicaciones para el alojamiento de datos en las que se creen duplicados de los datos que permitan su recuperación en caso de desastres y su consulta con arreglo a criterios geográficos.  Una indagación sobre la posibilidad de disponer de un sitio espejo para mantener el acceso a los datos durante perturbaciones puntuales de las actividades.</w:t>
            </w:r>
          </w:p>
        </w:tc>
        <w:tc>
          <w:tcPr>
            <w:tcW w:w="2473" w:type="dxa"/>
            <w:tcBorders>
              <w:top w:val="single" w:sz="4" w:space="0" w:color="auto"/>
            </w:tcBorders>
          </w:tcPr>
          <w:p w:rsidR="00FA2BC6" w:rsidRPr="00053E42" w:rsidRDefault="00FA2BC6" w:rsidP="00DC1333">
            <w:pPr>
              <w:keepNext/>
              <w:keepLines/>
              <w:rPr>
                <w:sz w:val="16"/>
                <w:szCs w:val="16"/>
              </w:rPr>
            </w:pPr>
            <w:r w:rsidRPr="00053E42">
              <w:rPr>
                <w:sz w:val="16"/>
                <w:szCs w:val="16"/>
              </w:rPr>
              <w:t>La consulta con arreglo a criterios geográficos del sistema PATENTSCOPE se abordó durante el bienio mediante un sistema espejo en Asia, que ofrece la seguridad de un duplicado remoto y mejor conexión para la región de Asia, con lo que se reduce el riesgo.</w:t>
            </w:r>
          </w:p>
        </w:tc>
        <w:tc>
          <w:tcPr>
            <w:tcW w:w="2321" w:type="dxa"/>
            <w:tcBorders>
              <w:top w:val="single" w:sz="4" w:space="0" w:color="auto"/>
            </w:tcBorders>
          </w:tcPr>
          <w:p w:rsidR="00FA2BC6" w:rsidRPr="00053E42" w:rsidRDefault="00FA2BC6" w:rsidP="00DC1333">
            <w:pPr>
              <w:autoSpaceDE w:val="0"/>
              <w:autoSpaceDN w:val="0"/>
              <w:adjustRightInd w:val="0"/>
              <w:ind w:right="-59"/>
              <w:rPr>
                <w:sz w:val="16"/>
                <w:szCs w:val="16"/>
              </w:rPr>
            </w:pPr>
            <w:r w:rsidRPr="00053E42">
              <w:rPr>
                <w:sz w:val="16"/>
                <w:szCs w:val="16"/>
              </w:rPr>
              <w:t>Este riesgo y su evolución no incidieron sustancialmente en el rendimiento del programa en 2014/15.</w:t>
            </w:r>
          </w:p>
          <w:p w:rsidR="00FA2BC6" w:rsidRPr="00053E42" w:rsidRDefault="00FA2BC6" w:rsidP="00DC1333">
            <w:pPr>
              <w:keepNext/>
              <w:keepLines/>
              <w:rPr>
                <w:sz w:val="16"/>
                <w:szCs w:val="16"/>
              </w:rPr>
            </w:pPr>
          </w:p>
        </w:tc>
      </w:tr>
    </w:tbl>
    <w:p w:rsidR="00FA2BC6" w:rsidRDefault="00FA2BC6" w:rsidP="00DC1333">
      <w:pPr>
        <w:rPr>
          <w:color w:val="000000"/>
          <w:szCs w:val="22"/>
        </w:rPr>
      </w:pPr>
    </w:p>
    <w:p w:rsidR="00FA2BC6" w:rsidRPr="00053E42" w:rsidRDefault="00FA2BC6" w:rsidP="00DC1333">
      <w:pPr>
        <w:rPr>
          <w:color w:val="000000"/>
          <w:szCs w:val="22"/>
        </w:rPr>
      </w:pPr>
    </w:p>
    <w:p w:rsidR="00FA2BC6" w:rsidRPr="00053E42" w:rsidRDefault="00403D2C" w:rsidP="00DC1333">
      <w:pPr>
        <w:rPr>
          <w:b/>
          <w:sz w:val="18"/>
          <w:szCs w:val="18"/>
        </w:rPr>
      </w:pPr>
      <w:r w:rsidRPr="00403D2C">
        <w:rPr>
          <w:sz w:val="20"/>
          <w:szCs w:val="22"/>
        </w:rPr>
        <w:t>UTILIZACIÓN DE LOS RECURSOS</w:t>
      </w:r>
    </w:p>
    <w:p w:rsidR="00FA2BC6" w:rsidRPr="00053E42" w:rsidRDefault="00FA2BC6" w:rsidP="00DC1333"/>
    <w:p w:rsidR="00FA2BC6" w:rsidRPr="00053E42" w:rsidRDefault="00FA2BC6" w:rsidP="00DC1333">
      <w:pPr>
        <w:pStyle w:val="NormalWeb"/>
        <w:spacing w:before="0" w:beforeAutospacing="0" w:after="0" w:afterAutospacing="0"/>
        <w:jc w:val="center"/>
        <w:rPr>
          <w:sz w:val="20"/>
          <w:szCs w:val="20"/>
          <w:lang w:val="es-ES"/>
        </w:rPr>
      </w:pPr>
      <w:r w:rsidRPr="00053E42">
        <w:rPr>
          <w:sz w:val="20"/>
          <w:szCs w:val="20"/>
          <w:lang w:val="es-ES"/>
        </w:rPr>
        <w:t xml:space="preserve">Presupuesto y gastos reales (por resultado) </w:t>
      </w:r>
    </w:p>
    <w:p w:rsidR="00FA2BC6" w:rsidRPr="00053E42" w:rsidRDefault="00FA2BC6" w:rsidP="00DC1333">
      <w:pPr>
        <w:pStyle w:val="NormalWeb"/>
        <w:spacing w:before="0" w:beforeAutospacing="0" w:after="0" w:afterAutospacing="0"/>
        <w:jc w:val="center"/>
        <w:rPr>
          <w:i/>
          <w:iCs/>
          <w:sz w:val="20"/>
          <w:szCs w:val="20"/>
          <w:lang w:val="es-ES"/>
        </w:rPr>
      </w:pPr>
      <w:r w:rsidRPr="00053E42">
        <w:rPr>
          <w:i/>
          <w:iCs/>
          <w:sz w:val="20"/>
          <w:szCs w:val="20"/>
          <w:lang w:val="es-ES"/>
        </w:rPr>
        <w:t>(</w:t>
      </w:r>
      <w:proofErr w:type="gramStart"/>
      <w:r w:rsidRPr="00053E42">
        <w:rPr>
          <w:i/>
          <w:iCs/>
          <w:sz w:val="20"/>
          <w:szCs w:val="20"/>
          <w:lang w:val="es-ES"/>
        </w:rPr>
        <w:t>en</w:t>
      </w:r>
      <w:proofErr w:type="gramEnd"/>
      <w:r w:rsidRPr="00053E42">
        <w:rPr>
          <w:i/>
          <w:iCs/>
          <w:sz w:val="20"/>
          <w:szCs w:val="20"/>
          <w:lang w:val="es-ES"/>
        </w:rPr>
        <w:t xml:space="preserve"> miles de francos suizos)</w:t>
      </w:r>
    </w:p>
    <w:p w:rsidR="00FA2BC6" w:rsidRPr="00053E42" w:rsidRDefault="00FA2BC6" w:rsidP="00DC1333">
      <w:pPr>
        <w:pStyle w:val="NormalWeb"/>
        <w:spacing w:before="0" w:beforeAutospacing="0" w:after="0" w:afterAutospacing="0"/>
        <w:jc w:val="center"/>
        <w:rPr>
          <w:sz w:val="20"/>
          <w:szCs w:val="20"/>
          <w:lang w:val="es-ES"/>
        </w:rPr>
      </w:pPr>
    </w:p>
    <w:p w:rsidR="00FA2BC6" w:rsidRPr="00053E42" w:rsidRDefault="00FA2BC6" w:rsidP="00DC1333">
      <w:pPr>
        <w:jc w:val="center"/>
      </w:pPr>
      <w:bookmarkStart w:id="123" w:name="Bm13"/>
      <w:bookmarkStart w:id="124" w:name="Punto13"/>
      <w:r>
        <w:rPr>
          <w:noProof/>
          <w:lang w:val="en-US" w:eastAsia="en-US"/>
        </w:rPr>
        <w:drawing>
          <wp:inline distT="0" distB="0" distL="0" distR="0" wp14:anchorId="2083FF0E" wp14:editId="02DC7C27">
            <wp:extent cx="5676900" cy="1809750"/>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5676900" cy="1809750"/>
                    </a:xfrm>
                    <a:prstGeom prst="rect">
                      <a:avLst/>
                    </a:prstGeom>
                    <a:noFill/>
                    <a:ln>
                      <a:noFill/>
                    </a:ln>
                  </pic:spPr>
                </pic:pic>
              </a:graphicData>
            </a:graphic>
          </wp:inline>
        </w:drawing>
      </w:r>
      <w:bookmarkEnd w:id="123"/>
      <w:bookmarkEnd w:id="124"/>
    </w:p>
    <w:p w:rsidR="00FA2BC6" w:rsidRPr="00053E42" w:rsidRDefault="00FA2BC6" w:rsidP="00DC1333"/>
    <w:p w:rsidR="00FA2BC6" w:rsidRPr="00053E42" w:rsidRDefault="00FA2BC6" w:rsidP="00DC1333"/>
    <w:p w:rsidR="00FA2BC6" w:rsidRPr="00053E42" w:rsidRDefault="00FA2BC6" w:rsidP="004662B3">
      <w:pPr>
        <w:pStyle w:val="NormalWeb"/>
        <w:keepNext/>
        <w:spacing w:before="0" w:beforeAutospacing="0" w:after="0" w:afterAutospacing="0"/>
        <w:jc w:val="center"/>
        <w:rPr>
          <w:sz w:val="20"/>
          <w:szCs w:val="20"/>
          <w:lang w:val="es-ES"/>
        </w:rPr>
      </w:pPr>
      <w:r w:rsidRPr="00053E42">
        <w:rPr>
          <w:sz w:val="20"/>
          <w:szCs w:val="20"/>
          <w:lang w:val="es-ES"/>
        </w:rPr>
        <w:lastRenderedPageBreak/>
        <w:t xml:space="preserve">Presupuesto y gastos reales (de personal y no relativos a personal) </w:t>
      </w:r>
    </w:p>
    <w:p w:rsidR="00FA2BC6" w:rsidRPr="00053E42" w:rsidRDefault="00FA2BC6" w:rsidP="004662B3">
      <w:pPr>
        <w:pStyle w:val="NormalWeb"/>
        <w:keepNext/>
        <w:spacing w:before="0" w:beforeAutospacing="0" w:after="0" w:afterAutospacing="0"/>
        <w:jc w:val="center"/>
        <w:rPr>
          <w:i/>
          <w:iCs/>
          <w:sz w:val="20"/>
          <w:szCs w:val="20"/>
          <w:lang w:val="es-ES"/>
        </w:rPr>
      </w:pPr>
      <w:r w:rsidRPr="00053E42">
        <w:rPr>
          <w:i/>
          <w:iCs/>
          <w:sz w:val="20"/>
          <w:szCs w:val="20"/>
          <w:lang w:val="es-ES"/>
        </w:rPr>
        <w:t>(</w:t>
      </w:r>
      <w:proofErr w:type="gramStart"/>
      <w:r w:rsidRPr="00053E42">
        <w:rPr>
          <w:i/>
          <w:iCs/>
          <w:sz w:val="20"/>
          <w:szCs w:val="20"/>
          <w:lang w:val="es-ES"/>
        </w:rPr>
        <w:t>en</w:t>
      </w:r>
      <w:proofErr w:type="gramEnd"/>
      <w:r w:rsidRPr="00053E42">
        <w:rPr>
          <w:i/>
          <w:iCs/>
          <w:sz w:val="20"/>
          <w:szCs w:val="20"/>
          <w:lang w:val="es-ES"/>
        </w:rPr>
        <w:t xml:space="preserve"> miles de francos suizos)</w:t>
      </w:r>
    </w:p>
    <w:p w:rsidR="00FA2BC6" w:rsidRPr="00053E42" w:rsidRDefault="00FA2BC6" w:rsidP="004662B3">
      <w:pPr>
        <w:pStyle w:val="NormalWeb"/>
        <w:keepNext/>
        <w:spacing w:before="0" w:beforeAutospacing="0" w:after="0" w:afterAutospacing="0"/>
        <w:jc w:val="center"/>
        <w:rPr>
          <w:lang w:val="es-ES"/>
        </w:rPr>
      </w:pPr>
    </w:p>
    <w:p w:rsidR="00FA2BC6" w:rsidRPr="00053E42" w:rsidRDefault="00FA2BC6" w:rsidP="004662B3">
      <w:pPr>
        <w:keepNext/>
        <w:jc w:val="center"/>
      </w:pPr>
      <w:bookmarkStart w:id="125" w:name="Point13"/>
      <w:r>
        <w:rPr>
          <w:noProof/>
          <w:lang w:val="en-US" w:eastAsia="en-US"/>
        </w:rPr>
        <w:drawing>
          <wp:inline distT="0" distB="0" distL="0" distR="0" wp14:anchorId="5F93A342" wp14:editId="3DEAF292">
            <wp:extent cx="5940425" cy="1038940"/>
            <wp:effectExtent l="0" t="0" r="3175" b="889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5940425" cy="1038940"/>
                    </a:xfrm>
                    <a:prstGeom prst="rect">
                      <a:avLst/>
                    </a:prstGeom>
                    <a:noFill/>
                    <a:ln>
                      <a:noFill/>
                    </a:ln>
                  </pic:spPr>
                </pic:pic>
              </a:graphicData>
            </a:graphic>
          </wp:inline>
        </w:drawing>
      </w:r>
      <w:bookmarkEnd w:id="125"/>
    </w:p>
    <w:p w:rsidR="00FA2BC6" w:rsidRDefault="00FA2BC6" w:rsidP="004662B3">
      <w:pPr>
        <w:keepNext/>
        <w:autoSpaceDE w:val="0"/>
        <w:autoSpaceDN w:val="0"/>
        <w:adjustRightInd w:val="0"/>
        <w:rPr>
          <w:sz w:val="20"/>
        </w:rPr>
      </w:pPr>
    </w:p>
    <w:p w:rsidR="00FA2BC6" w:rsidRPr="00053E42" w:rsidRDefault="00FA2BC6" w:rsidP="004662B3">
      <w:pPr>
        <w:keepNext/>
        <w:autoSpaceDE w:val="0"/>
        <w:autoSpaceDN w:val="0"/>
        <w:adjustRightInd w:val="0"/>
        <w:rPr>
          <w:sz w:val="20"/>
        </w:rPr>
      </w:pPr>
    </w:p>
    <w:p w:rsidR="00FA2BC6" w:rsidRPr="00053E42" w:rsidRDefault="00403D2C" w:rsidP="004662B3">
      <w:pPr>
        <w:keepNext/>
        <w:rPr>
          <w:sz w:val="20"/>
          <w:u w:val="single"/>
        </w:rPr>
      </w:pPr>
      <w:r w:rsidRPr="00403D2C">
        <w:rPr>
          <w:sz w:val="20"/>
        </w:rPr>
        <w:t>A.</w:t>
      </w:r>
      <w:r w:rsidRPr="00403D2C">
        <w:rPr>
          <w:sz w:val="20"/>
        </w:rPr>
        <w:tab/>
      </w:r>
      <w:r w:rsidRPr="00403D2C">
        <w:rPr>
          <w:sz w:val="20"/>
          <w:u w:val="single"/>
        </w:rPr>
        <w:t>Presupuesto final de 2014/15 tras las transferencias</w:t>
      </w:r>
    </w:p>
    <w:p w:rsidR="00FA2BC6" w:rsidRPr="00053E42" w:rsidRDefault="00FA2BC6" w:rsidP="00DC1333">
      <w:pPr>
        <w:rPr>
          <w:sz w:val="20"/>
          <w:u w:val="single"/>
        </w:rPr>
      </w:pPr>
    </w:p>
    <w:p w:rsidR="00FA2BC6" w:rsidRPr="00053E42" w:rsidRDefault="00FA2BC6" w:rsidP="00FA2BC6">
      <w:pPr>
        <w:pStyle w:val="ListParagraph"/>
        <w:numPr>
          <w:ilvl w:val="0"/>
          <w:numId w:val="73"/>
        </w:numPr>
        <w:tabs>
          <w:tab w:val="left" w:pos="709"/>
        </w:tabs>
        <w:ind w:left="0" w:firstLine="0"/>
        <w:jc w:val="both"/>
        <w:rPr>
          <w:rFonts w:cs="Arial"/>
          <w:lang w:val="es-ES"/>
        </w:rPr>
      </w:pPr>
      <w:r w:rsidRPr="00053E42">
        <w:rPr>
          <w:rFonts w:cs="Arial"/>
          <w:lang w:val="es-ES"/>
        </w:rPr>
        <w:t>El aumento del presupuesto final de 2014/15 tras las transferencias (recursos de personal) refleja la reclasificación de un puesto y la redistribución en el programa de recursos adicionales relativos a personal para la promoción de las bases de datos mundiales.  Este aumento queda reflejado también en el resultado previsto IV.2 (Mejora del acceso y uso de información de P.I. por parte de instituciones de P.I. y el público para fomentar la innovación y la creatividad).  Además, el aumento registrado en este resultado previsto se debió a la redistribución de recursos de personal en el marco del programa para la elaboración del motor de búsqueda de la base de datos.</w:t>
      </w:r>
    </w:p>
    <w:p w:rsidR="00FA2BC6" w:rsidRPr="00053E42" w:rsidRDefault="00FA2BC6" w:rsidP="00DC1333">
      <w:pPr>
        <w:rPr>
          <w:sz w:val="20"/>
        </w:rPr>
      </w:pPr>
    </w:p>
    <w:p w:rsidR="00FA2BC6" w:rsidRPr="00053E42" w:rsidRDefault="00FA2BC6" w:rsidP="00FA2BC6">
      <w:pPr>
        <w:pStyle w:val="ListParagraph"/>
        <w:numPr>
          <w:ilvl w:val="0"/>
          <w:numId w:val="73"/>
        </w:numPr>
        <w:tabs>
          <w:tab w:val="left" w:pos="709"/>
        </w:tabs>
        <w:ind w:left="0" w:firstLine="0"/>
        <w:jc w:val="both"/>
        <w:rPr>
          <w:rFonts w:cs="Arial"/>
          <w:lang w:val="es-ES"/>
        </w:rPr>
      </w:pPr>
      <w:r w:rsidRPr="00053E42">
        <w:rPr>
          <w:rFonts w:cs="Arial"/>
          <w:lang w:val="es-ES"/>
        </w:rPr>
        <w:t>En los recursos no relativos a personal se ha producido un ajuste al alza motivado fundamentalmente por los costos adicionales derivados de subcontratar la carga de colecciones nacionales a un proveedor externo de servicios y el aumento de los costos de alojamiento del servidor.</w:t>
      </w:r>
    </w:p>
    <w:p w:rsidR="00FA2BC6" w:rsidRPr="00053E42" w:rsidRDefault="00FA2BC6" w:rsidP="00DC1333">
      <w:pPr>
        <w:autoSpaceDE w:val="0"/>
        <w:autoSpaceDN w:val="0"/>
        <w:jc w:val="both"/>
        <w:rPr>
          <w:sz w:val="20"/>
          <w:lang w:eastAsia="ko-KR"/>
        </w:rPr>
      </w:pPr>
    </w:p>
    <w:p w:rsidR="00FA2BC6" w:rsidRPr="00053E42" w:rsidRDefault="00403D2C" w:rsidP="00DC1333">
      <w:pPr>
        <w:jc w:val="both"/>
        <w:rPr>
          <w:sz w:val="20"/>
          <w:u w:val="single"/>
          <w:lang w:eastAsia="ko-KR"/>
        </w:rPr>
      </w:pPr>
      <w:r w:rsidRPr="00403D2C">
        <w:rPr>
          <w:sz w:val="20"/>
          <w:lang w:eastAsia="ko-KR"/>
        </w:rPr>
        <w:t>B.</w:t>
      </w:r>
      <w:r w:rsidRPr="00403D2C">
        <w:rPr>
          <w:sz w:val="20"/>
          <w:lang w:eastAsia="ko-KR"/>
        </w:rPr>
        <w:tab/>
      </w:r>
      <w:r w:rsidRPr="00403D2C">
        <w:rPr>
          <w:sz w:val="20"/>
          <w:u w:val="single"/>
          <w:lang w:eastAsia="ko-KR"/>
        </w:rPr>
        <w:t>Utilización del presupuesto en 2014/15</w:t>
      </w:r>
    </w:p>
    <w:p w:rsidR="00FA2BC6" w:rsidRPr="00053E42" w:rsidRDefault="00FA2BC6" w:rsidP="00DC1333">
      <w:pPr>
        <w:tabs>
          <w:tab w:val="left" w:pos="709"/>
        </w:tabs>
        <w:jc w:val="both"/>
        <w:rPr>
          <w:sz w:val="20"/>
          <w:u w:val="single"/>
          <w:lang w:eastAsia="ko-KR"/>
        </w:rPr>
      </w:pPr>
    </w:p>
    <w:p w:rsidR="00FA2BC6" w:rsidRDefault="00FA2BC6" w:rsidP="00FA2BC6">
      <w:pPr>
        <w:pStyle w:val="ListParagraph"/>
        <w:numPr>
          <w:ilvl w:val="0"/>
          <w:numId w:val="73"/>
        </w:numPr>
        <w:tabs>
          <w:tab w:val="left" w:pos="709"/>
        </w:tabs>
        <w:ind w:left="0" w:firstLine="0"/>
        <w:jc w:val="both"/>
        <w:rPr>
          <w:rFonts w:cs="Arial"/>
          <w:lang w:val="es-ES" w:eastAsia="ko-KR"/>
        </w:rPr>
      </w:pPr>
      <w:r w:rsidRPr="00053E42">
        <w:rPr>
          <w:rFonts w:cs="Arial"/>
          <w:lang w:val="es-ES" w:eastAsia="ko-KR"/>
        </w:rPr>
        <w:t>La utilización del presupuesto se ha mantenido dentro de los límites establecidos para el bienio.</w:t>
      </w:r>
    </w:p>
    <w:p w:rsidR="00FA2BC6" w:rsidRDefault="00FA2BC6" w:rsidP="00DC1333">
      <w:pPr>
        <w:tabs>
          <w:tab w:val="left" w:pos="709"/>
        </w:tabs>
        <w:jc w:val="both"/>
        <w:rPr>
          <w:lang w:eastAsia="ko-KR"/>
        </w:rPr>
      </w:pPr>
    </w:p>
    <w:p w:rsidR="00FA2BC6" w:rsidRDefault="00FA2BC6" w:rsidP="00DC1333">
      <w:pPr>
        <w:tabs>
          <w:tab w:val="left" w:pos="709"/>
        </w:tabs>
        <w:jc w:val="both"/>
        <w:rPr>
          <w:lang w:eastAsia="ko-KR"/>
        </w:rPr>
      </w:pPr>
    </w:p>
    <w:p w:rsidR="00FA2BC6" w:rsidRDefault="00FA2BC6">
      <w:pPr>
        <w:rPr>
          <w:lang w:eastAsia="ko-KR"/>
        </w:rPr>
      </w:pPr>
      <w:r>
        <w:rPr>
          <w:lang w:eastAsia="ko-KR"/>
        </w:rPr>
        <w:br w:type="page"/>
      </w:r>
    </w:p>
    <w:p w:rsidR="00D22903" w:rsidRPr="009E6485" w:rsidRDefault="00D22903" w:rsidP="00D22903">
      <w:pPr>
        <w:pStyle w:val="Heading2"/>
        <w:tabs>
          <w:tab w:val="left" w:pos="2268"/>
        </w:tabs>
        <w:ind w:left="2268" w:hanging="2268"/>
        <w:jc w:val="both"/>
        <w:rPr>
          <w:b/>
          <w:szCs w:val="22"/>
        </w:rPr>
      </w:pPr>
      <w:bookmarkStart w:id="126" w:name="_Toc422927423"/>
      <w:bookmarkStart w:id="127" w:name="_Toc455159091"/>
      <w:bookmarkStart w:id="128" w:name="_Toc422927424"/>
      <w:r w:rsidRPr="009E6485">
        <w:rPr>
          <w:b/>
          <w:szCs w:val="22"/>
        </w:rPr>
        <w:lastRenderedPageBreak/>
        <w:t>PROGRAMA 14</w:t>
      </w:r>
      <w:r w:rsidRPr="009E6485">
        <w:rPr>
          <w:b/>
          <w:szCs w:val="22"/>
        </w:rPr>
        <w:tab/>
        <w:t>SERVICIOS DE ACCESO A LA INFORMACIÓN Y A LOS CONOCIMIENTOS</w:t>
      </w:r>
      <w:bookmarkEnd w:id="126"/>
      <w:bookmarkEnd w:id="127"/>
    </w:p>
    <w:p w:rsidR="00D22903" w:rsidRPr="009E6485" w:rsidRDefault="00D22903" w:rsidP="00D22903">
      <w:pPr>
        <w:jc w:val="both"/>
        <w:rPr>
          <w:sz w:val="20"/>
        </w:rPr>
      </w:pPr>
    </w:p>
    <w:p w:rsidR="00D22903" w:rsidRPr="009E6485" w:rsidRDefault="00D22903" w:rsidP="00D22903">
      <w:pPr>
        <w:tabs>
          <w:tab w:val="left" w:pos="1985"/>
        </w:tabs>
        <w:jc w:val="both"/>
        <w:rPr>
          <w:b/>
          <w:sz w:val="20"/>
        </w:rPr>
      </w:pPr>
      <w:r w:rsidRPr="009E6485">
        <w:rPr>
          <w:b/>
          <w:sz w:val="20"/>
        </w:rPr>
        <w:t>Director de programa</w:t>
      </w:r>
      <w:r w:rsidRPr="009E6485">
        <w:rPr>
          <w:b/>
          <w:sz w:val="20"/>
        </w:rPr>
        <w:tab/>
        <w:t>Sr. Y. Takagi</w:t>
      </w:r>
    </w:p>
    <w:p w:rsidR="00D22903" w:rsidRPr="009E6485" w:rsidRDefault="00D22903" w:rsidP="00D22903">
      <w:pPr>
        <w:jc w:val="both"/>
        <w:rPr>
          <w:sz w:val="20"/>
        </w:rPr>
      </w:pPr>
    </w:p>
    <w:p w:rsidR="00D22903" w:rsidRPr="009E6485" w:rsidRDefault="00D22903" w:rsidP="00D22903">
      <w:pPr>
        <w:jc w:val="both"/>
        <w:rPr>
          <w:sz w:val="20"/>
        </w:rPr>
      </w:pPr>
    </w:p>
    <w:p w:rsidR="00D22903" w:rsidRPr="00952700" w:rsidRDefault="00D22903" w:rsidP="00D22903">
      <w:pPr>
        <w:jc w:val="both"/>
        <w:rPr>
          <w:bCs/>
          <w:sz w:val="20"/>
        </w:rPr>
      </w:pPr>
      <w:r w:rsidRPr="00952700">
        <w:rPr>
          <w:bCs/>
          <w:sz w:val="20"/>
        </w:rPr>
        <w:t>LOGROS ALCANZADOS EN EL BIENIO 2014/15</w:t>
      </w:r>
    </w:p>
    <w:p w:rsidR="00D22903" w:rsidRPr="009E6485" w:rsidRDefault="00D22903" w:rsidP="00D22903">
      <w:pPr>
        <w:jc w:val="both"/>
        <w:rPr>
          <w:bCs/>
          <w:szCs w:val="22"/>
        </w:rPr>
      </w:pPr>
      <w:bookmarkStart w:id="129" w:name="OLE_LINK3"/>
      <w:bookmarkStart w:id="130" w:name="OLE_LINK4"/>
    </w:p>
    <w:p w:rsidR="00D22903" w:rsidRPr="009E6485" w:rsidRDefault="00D22903" w:rsidP="00D22903">
      <w:pPr>
        <w:pStyle w:val="ListParagraph"/>
        <w:numPr>
          <w:ilvl w:val="0"/>
          <w:numId w:val="75"/>
        </w:numPr>
        <w:tabs>
          <w:tab w:val="left" w:pos="0"/>
          <w:tab w:val="left" w:pos="709"/>
        </w:tabs>
        <w:ind w:left="0" w:firstLine="0"/>
        <w:jc w:val="both"/>
        <w:rPr>
          <w:rFonts w:cs="Arial"/>
          <w:bCs/>
          <w:lang w:val="es-ES"/>
        </w:rPr>
      </w:pPr>
      <w:r w:rsidRPr="009E6485">
        <w:rPr>
          <w:rFonts w:cs="Arial"/>
          <w:bCs/>
          <w:lang w:val="es-ES"/>
        </w:rPr>
        <w:t>Durante el bienio 2014/15 el número total de Estados miembros que habían establecido oficialmente redes de Centros de Apoyo a la Tecnología y la Innovación (</w:t>
      </w:r>
      <w:r>
        <w:rPr>
          <w:rFonts w:cs="Arial"/>
          <w:bCs/>
          <w:lang w:val="es-ES"/>
        </w:rPr>
        <w:t>CATI) en sus países ascendió a </w:t>
      </w:r>
      <w:r w:rsidRPr="009E6485">
        <w:rPr>
          <w:rFonts w:cs="Arial"/>
          <w:bCs/>
          <w:lang w:val="es-ES"/>
        </w:rPr>
        <w:t>50</w:t>
      </w:r>
      <w:r>
        <w:rPr>
          <w:rFonts w:cs="Arial"/>
          <w:bCs/>
          <w:lang w:val="es-ES"/>
        </w:rPr>
        <w:t>, habiéndose establecido 11 redes nuevas, lo que representa un aumento del 28% en relación con el bienio 2012/13</w:t>
      </w:r>
      <w:r w:rsidRPr="009E6485">
        <w:rPr>
          <w:rFonts w:cs="Arial"/>
          <w:bCs/>
          <w:lang w:val="es-ES"/>
        </w:rPr>
        <w:t>.  Las actividades del programa siguieron centrándose en la consolidación de la sostenibilidad a largo plazo de las redes y, a finales de 2015, se determinó que 25 redes de CATI eran sostenibles.  Además, en 2015 se establecieron asimismo oficialmente dos redes subregionales de CATI</w:t>
      </w:r>
      <w:proofErr w:type="gramStart"/>
      <w:r w:rsidRPr="009E6485">
        <w:rPr>
          <w:rFonts w:cs="Arial"/>
          <w:bCs/>
          <w:lang w:val="es-ES"/>
        </w:rPr>
        <w:t>:  la</w:t>
      </w:r>
      <w:proofErr w:type="gramEnd"/>
      <w:r w:rsidRPr="009E6485">
        <w:rPr>
          <w:rFonts w:cs="Arial"/>
          <w:bCs/>
          <w:lang w:val="es-ES"/>
        </w:rPr>
        <w:t xml:space="preserve"> red de CATI de la ASEAN para los Estados miembros de dicha Asociación y la red CATI CARD para los países de América Central y la República Dominicana.  A finales de 2015 en la Guía de CATI</w:t>
      </w:r>
      <w:r w:rsidRPr="009E6485">
        <w:rPr>
          <w:rStyle w:val="FootnoteReference"/>
          <w:rFonts w:cs="Arial"/>
          <w:bCs/>
          <w:lang w:val="es-ES"/>
        </w:rPr>
        <w:footnoteReference w:id="87"/>
      </w:r>
      <w:r w:rsidRPr="009E6485">
        <w:rPr>
          <w:rFonts w:cs="Arial"/>
          <w:bCs/>
          <w:lang w:val="es-ES"/>
        </w:rPr>
        <w:t xml:space="preserve"> figuraban 331 de esos centros.</w:t>
      </w:r>
    </w:p>
    <w:p w:rsidR="00D22903" w:rsidRPr="009E6485" w:rsidRDefault="00D22903" w:rsidP="00D22903">
      <w:pPr>
        <w:pStyle w:val="ListParagraph"/>
        <w:tabs>
          <w:tab w:val="left" w:pos="0"/>
          <w:tab w:val="left" w:pos="709"/>
        </w:tabs>
        <w:ind w:left="0"/>
        <w:jc w:val="both"/>
        <w:rPr>
          <w:rFonts w:cs="Arial"/>
          <w:bCs/>
          <w:lang w:val="es-ES"/>
        </w:rPr>
      </w:pPr>
    </w:p>
    <w:p w:rsidR="00D22903" w:rsidRPr="009E6485" w:rsidRDefault="00D22903" w:rsidP="00D22903">
      <w:pPr>
        <w:pStyle w:val="ListParagraph"/>
        <w:numPr>
          <w:ilvl w:val="0"/>
          <w:numId w:val="75"/>
        </w:numPr>
        <w:tabs>
          <w:tab w:val="left" w:pos="0"/>
          <w:tab w:val="left" w:pos="709"/>
        </w:tabs>
        <w:ind w:left="0" w:firstLine="0"/>
        <w:jc w:val="both"/>
        <w:rPr>
          <w:rFonts w:cs="Arial"/>
          <w:bCs/>
          <w:lang w:val="es-ES"/>
        </w:rPr>
      </w:pPr>
      <w:r w:rsidRPr="009E6485">
        <w:rPr>
          <w:rFonts w:cs="Arial"/>
          <w:lang w:val="es-ES"/>
        </w:rPr>
        <w:t xml:space="preserve">Durante el bienio se reforzó el programa estructurado de creación de capacidad a escala local que engloba actividades </w:t>
      </w:r>
      <w:r w:rsidRPr="009E6485">
        <w:rPr>
          <w:rFonts w:cs="Arial"/>
          <w:i/>
          <w:lang w:val="es-ES"/>
        </w:rPr>
        <w:t>in situ</w:t>
      </w:r>
      <w:r w:rsidRPr="009E6485">
        <w:rPr>
          <w:rFonts w:cs="Arial"/>
          <w:lang w:val="es-ES"/>
        </w:rPr>
        <w:t xml:space="preserve"> de formación y sensibilización, sesiones adicionales de formación de formadores y de planificación de proyectos que se había puesto en marcha en 2013.  Se organizaron 11 reuniones regionales o subregionales en colaboración con 14 organizaciones, y se llevaron a cabo 50 talleres nacionales de planificación y formación docente destinados a fomentar el intercambio de experiencias y de mejores prácticas entre los países a escala regional</w:t>
      </w:r>
      <w:bookmarkEnd w:id="129"/>
      <w:bookmarkEnd w:id="130"/>
      <w:r w:rsidRPr="009E6485">
        <w:rPr>
          <w:rFonts w:cs="Arial"/>
          <w:lang w:val="es-ES"/>
        </w:rPr>
        <w:t>.</w:t>
      </w:r>
    </w:p>
    <w:p w:rsidR="00D22903" w:rsidRPr="009E6485" w:rsidRDefault="00D22903" w:rsidP="00D22903">
      <w:pPr>
        <w:tabs>
          <w:tab w:val="left" w:pos="0"/>
          <w:tab w:val="left" w:pos="709"/>
        </w:tabs>
        <w:jc w:val="both"/>
      </w:pPr>
    </w:p>
    <w:p w:rsidR="00D22903" w:rsidRPr="009E6485" w:rsidRDefault="00D22903" w:rsidP="00D22903">
      <w:pPr>
        <w:pStyle w:val="ListParagraph"/>
        <w:numPr>
          <w:ilvl w:val="0"/>
          <w:numId w:val="75"/>
        </w:numPr>
        <w:tabs>
          <w:tab w:val="left" w:pos="0"/>
          <w:tab w:val="left" w:pos="709"/>
        </w:tabs>
        <w:ind w:left="0" w:firstLine="0"/>
        <w:jc w:val="both"/>
        <w:rPr>
          <w:rFonts w:cs="Arial"/>
          <w:bCs/>
          <w:lang w:val="es-ES"/>
        </w:rPr>
      </w:pPr>
      <w:r w:rsidRPr="009E6485">
        <w:rPr>
          <w:rFonts w:cs="Arial"/>
          <w:lang w:val="es-ES"/>
        </w:rPr>
        <w:t xml:space="preserve">La plataforma de gestión de conocimientos </w:t>
      </w:r>
      <w:proofErr w:type="spellStart"/>
      <w:r w:rsidRPr="009E6485">
        <w:rPr>
          <w:rFonts w:cs="Arial"/>
          <w:lang w:val="es-ES"/>
        </w:rPr>
        <w:t>eTISC</w:t>
      </w:r>
      <w:proofErr w:type="spellEnd"/>
      <w:r w:rsidRPr="009E6485">
        <w:rPr>
          <w:rStyle w:val="FootnoteReference"/>
          <w:rFonts w:cs="Arial"/>
          <w:lang w:val="es-ES"/>
        </w:rPr>
        <w:footnoteReference w:id="88"/>
      </w:r>
      <w:r w:rsidRPr="009E6485">
        <w:rPr>
          <w:rFonts w:cs="Arial"/>
          <w:lang w:val="es-ES"/>
        </w:rPr>
        <w:t xml:space="preserve"> siguió experimentando un crecimiento notable</w:t>
      </w:r>
      <w:proofErr w:type="gramStart"/>
      <w:r w:rsidRPr="009E6485">
        <w:rPr>
          <w:rFonts w:cs="Arial"/>
          <w:lang w:val="es-ES"/>
        </w:rPr>
        <w:t>:  a</w:t>
      </w:r>
      <w:proofErr w:type="gramEnd"/>
      <w:r w:rsidRPr="009E6485">
        <w:rPr>
          <w:rFonts w:cs="Arial"/>
          <w:lang w:val="es-ES"/>
        </w:rPr>
        <w:t xml:space="preserve"> finales de 2015 prácticamente se había duplicado el número de miembros</w:t>
      </w:r>
      <w:r w:rsidR="006B439D">
        <w:rPr>
          <w:rFonts w:cs="Arial"/>
          <w:lang w:val="es-ES"/>
        </w:rPr>
        <w:t>, llegando a ser casi </w:t>
      </w:r>
      <w:r w:rsidRPr="009E6485">
        <w:rPr>
          <w:rFonts w:cs="Arial"/>
          <w:lang w:val="es-ES"/>
        </w:rPr>
        <w:t>1.500 procedentes de más de 115 países, en comparación con los 700 miembros registrados en el bienio anterior.  Durante el bienio 2014/15 se incorporaron</w:t>
      </w:r>
      <w:r w:rsidRPr="009E6485">
        <w:rPr>
          <w:rFonts w:cs="Arial"/>
          <w:szCs w:val="24"/>
          <w:lang w:val="es-ES"/>
        </w:rPr>
        <w:t xml:space="preserve"> </w:t>
      </w:r>
      <w:r w:rsidRPr="009E6485">
        <w:rPr>
          <w:rFonts w:cs="Arial"/>
          <w:lang w:val="es-ES"/>
        </w:rPr>
        <w:t>a la plataforma 16 nuevos seminarios web de formación y se organizaron 10 sesiones de preguntas y respuestas en directo con expertos en ayuda a la innovación.  Siguió habiendo mucha demanda en relación con la guía electrónica interactiva sobre el uso y la explotación de la información contenida en patentes, disponible en CD-ROM y en línea en inglés</w:t>
      </w:r>
      <w:r w:rsidRPr="009E6485">
        <w:rPr>
          <w:vertAlign w:val="superscript"/>
          <w:lang w:val="es-ES"/>
        </w:rPr>
        <w:footnoteReference w:id="89"/>
      </w:r>
      <w:r w:rsidRPr="009E6485">
        <w:rPr>
          <w:rFonts w:cs="Arial"/>
          <w:lang w:val="es-ES"/>
        </w:rPr>
        <w:t xml:space="preserve"> y en francés</w:t>
      </w:r>
      <w:r w:rsidRPr="009E6485">
        <w:rPr>
          <w:rStyle w:val="FootnoteReference"/>
          <w:rFonts w:cs="Arial"/>
          <w:lang w:val="es-ES"/>
        </w:rPr>
        <w:footnoteReference w:id="90"/>
      </w:r>
      <w:r w:rsidRPr="009E6485">
        <w:rPr>
          <w:rFonts w:cs="Arial"/>
          <w:lang w:val="es-ES"/>
        </w:rPr>
        <w:t>.  A finales de 2015 se ultimó la elaboración de la versión en español.</w:t>
      </w:r>
    </w:p>
    <w:p w:rsidR="00D22903" w:rsidRPr="009E6485" w:rsidRDefault="00D22903" w:rsidP="00D22903">
      <w:pPr>
        <w:tabs>
          <w:tab w:val="left" w:pos="0"/>
          <w:tab w:val="left" w:pos="709"/>
        </w:tabs>
        <w:jc w:val="both"/>
      </w:pPr>
    </w:p>
    <w:p w:rsidR="00D22903" w:rsidRPr="009E6485" w:rsidRDefault="00D22903" w:rsidP="00D22903">
      <w:pPr>
        <w:pStyle w:val="ListParagraph"/>
        <w:numPr>
          <w:ilvl w:val="0"/>
          <w:numId w:val="75"/>
        </w:numPr>
        <w:tabs>
          <w:tab w:val="left" w:pos="0"/>
          <w:tab w:val="left" w:pos="709"/>
        </w:tabs>
        <w:ind w:left="0" w:firstLine="0"/>
        <w:jc w:val="both"/>
        <w:rPr>
          <w:rFonts w:cs="Arial"/>
          <w:bCs/>
          <w:lang w:val="es-ES"/>
        </w:rPr>
      </w:pPr>
      <w:r w:rsidRPr="009E6485">
        <w:rPr>
          <w:rFonts w:cs="Arial"/>
          <w:bCs/>
          <w:lang w:val="es-ES"/>
        </w:rPr>
        <w:t>En 2015 se puso en marcha el Programa de Asistencia a Inventores (PAI), una iniciativa de colaboración conjunta entre la OMPI y el Foro Económico Mundial, cuya finalidad es reforzar la innovación nacional brindando asistencia jurídica para la presentación de solicitudes de patentes a innovadores y pequeñas empresas de carácter local que no cuenten con suficientes recursos financieros, mediante el comienzo de dos proyectos piloto en Colombia y Marruecos.  En este contexto, se ha puesto a disposición en Internet una guía electrónica interactiva sobre patentes y servicios de asesoramiento jurídico gratuito.</w:t>
      </w:r>
    </w:p>
    <w:p w:rsidR="00D22903" w:rsidRPr="009E6485" w:rsidRDefault="00D22903" w:rsidP="00E16464">
      <w:pPr>
        <w:pStyle w:val="ListParagraph"/>
        <w:ind w:left="0"/>
        <w:rPr>
          <w:rFonts w:cs="Arial"/>
          <w:bCs/>
          <w:lang w:val="es-ES"/>
        </w:rPr>
      </w:pPr>
    </w:p>
    <w:p w:rsidR="00D22903" w:rsidRPr="009E6485" w:rsidRDefault="00D22903" w:rsidP="00D22903">
      <w:pPr>
        <w:pStyle w:val="ListParagraph"/>
        <w:numPr>
          <w:ilvl w:val="0"/>
          <w:numId w:val="75"/>
        </w:numPr>
        <w:tabs>
          <w:tab w:val="left" w:pos="0"/>
          <w:tab w:val="left" w:pos="709"/>
        </w:tabs>
        <w:ind w:left="0" w:firstLine="0"/>
        <w:jc w:val="both"/>
        <w:rPr>
          <w:rFonts w:cs="Arial"/>
          <w:bCs/>
          <w:lang w:val="es-ES"/>
        </w:rPr>
      </w:pPr>
      <w:r w:rsidRPr="009E6485">
        <w:rPr>
          <w:rFonts w:cs="Arial"/>
          <w:bCs/>
          <w:lang w:val="es-ES"/>
        </w:rPr>
        <w:t>Siguió aumentando el volumen de contenido accesible de las publicaciones científicas y técnicas en el Programa de acceso a la investigación para el desarrollo y la innovación (</w:t>
      </w:r>
      <w:r w:rsidRPr="009E6485">
        <w:rPr>
          <w:rFonts w:cs="Arial"/>
          <w:lang w:val="es-ES"/>
        </w:rPr>
        <w:t>ARDI) y en sus programas Research4Life</w:t>
      </w:r>
      <w:r w:rsidRPr="009E6485">
        <w:rPr>
          <w:rFonts w:cs="Arial"/>
          <w:szCs w:val="24"/>
          <w:lang w:val="es-ES"/>
        </w:rPr>
        <w:t xml:space="preserve"> realizados </w:t>
      </w:r>
      <w:r w:rsidRPr="009E6485">
        <w:rPr>
          <w:rFonts w:cs="Arial"/>
          <w:lang w:val="es-ES"/>
        </w:rPr>
        <w:t>con asociados, que comprende 21.243</w:t>
      </w:r>
      <w:r w:rsidR="006B439D">
        <w:rPr>
          <w:rFonts w:cs="Arial"/>
          <w:lang w:val="es-ES"/>
        </w:rPr>
        <w:t xml:space="preserve"> publicaciones periódicas, </w:t>
      </w:r>
      <w:r w:rsidRPr="009E6485">
        <w:rPr>
          <w:rFonts w:cs="Arial"/>
          <w:lang w:val="es-ES"/>
        </w:rPr>
        <w:t xml:space="preserve">48.988 libros electrónicos y 169 obras de referencia y bases de datos.  En el transcurso del bienio 2014/15 se triplicó el número de usuarios activos del programa ARDI, que pasaron a ser 623, frente a los </w:t>
      </w:r>
      <w:r w:rsidRPr="009E6485">
        <w:rPr>
          <w:rFonts w:cs="Arial"/>
          <w:bCs/>
          <w:lang w:val="es-ES"/>
        </w:rPr>
        <w:t xml:space="preserve">207 del bienio anterior.  El número de usuarios inscritos activos del Programa de acceso a la información especializada sobre patentes </w:t>
      </w:r>
      <w:r w:rsidRPr="009E6485">
        <w:rPr>
          <w:rFonts w:cs="Arial"/>
          <w:lang w:val="es-ES"/>
        </w:rPr>
        <w:t>(ASPI), que da acceso a bases de datos comerciales especializada en patentes, fue más del doble durante el bienio 2014/15, alcanzando un total de 42 usuarios institucionales activos, es decir, un aumento del 110% con respecto a 2013.</w:t>
      </w:r>
    </w:p>
    <w:p w:rsidR="00D22903" w:rsidRPr="009E6485" w:rsidRDefault="00D22903" w:rsidP="00D22903">
      <w:pPr>
        <w:tabs>
          <w:tab w:val="left" w:pos="0"/>
          <w:tab w:val="left" w:pos="709"/>
        </w:tabs>
        <w:jc w:val="both"/>
      </w:pPr>
    </w:p>
    <w:p w:rsidR="00D22903" w:rsidRPr="009E6485" w:rsidRDefault="00D22903" w:rsidP="00D22903">
      <w:pPr>
        <w:pStyle w:val="ListParagraph"/>
        <w:numPr>
          <w:ilvl w:val="0"/>
          <w:numId w:val="75"/>
        </w:numPr>
        <w:tabs>
          <w:tab w:val="left" w:pos="0"/>
          <w:tab w:val="left" w:pos="709"/>
        </w:tabs>
        <w:ind w:left="0" w:firstLine="0"/>
        <w:jc w:val="both"/>
        <w:rPr>
          <w:rFonts w:cs="Arial"/>
          <w:lang w:val="es-ES"/>
        </w:rPr>
      </w:pPr>
      <w:r w:rsidRPr="009E6485">
        <w:rPr>
          <w:rFonts w:cs="Arial"/>
          <w:lang w:val="es-ES"/>
        </w:rPr>
        <w:t xml:space="preserve">Durante el bienio 2014/15, la OMPI publicó los cuatro informes de análisis de la actividad de </w:t>
      </w:r>
      <w:proofErr w:type="spellStart"/>
      <w:r w:rsidRPr="009E6485">
        <w:rPr>
          <w:rFonts w:cs="Arial"/>
          <w:lang w:val="es-ES"/>
        </w:rPr>
        <w:t>patentamiento</w:t>
      </w:r>
      <w:proofErr w:type="spellEnd"/>
      <w:r w:rsidRPr="009E6485">
        <w:rPr>
          <w:rFonts w:cs="Arial"/>
          <w:lang w:val="es-ES"/>
        </w:rPr>
        <w:t xml:space="preserve"> (PLR) siguientes:  i) recursos genéticos animales, la primera evaluación cualitativa a gran escala de la información de patente relativa a los recursos genéticos animales, elaborado en colaboración con la Organización de las Naciones Unidas para la Agricultura y la Alimentación (FAO) y </w:t>
      </w:r>
      <w:r w:rsidRPr="009E6485">
        <w:rPr>
          <w:rFonts w:cs="Arial"/>
          <w:lang w:val="es-ES"/>
        </w:rPr>
        <w:lastRenderedPageBreak/>
        <w:t xml:space="preserve">con una importante contribución del programa 4;  ii) dispositivos de asistencia para personas con discapacidad visual y auditiva, elaborado en colaboración con la Organización Mundial de la Salud (OMS), que incluye también la primera publicación de la OMPI en un formato que mejora la accesibilidad;  iii) tecnologías relacionadas con el aceite de palma, elaborado en colaboración con la </w:t>
      </w:r>
      <w:r w:rsidRPr="009E6485">
        <w:rPr>
          <w:rFonts w:cs="Arial"/>
          <w:bCs/>
          <w:lang w:val="es-ES"/>
        </w:rPr>
        <w:t>Oficina de Propiedad Intelectual de Malasia (</w:t>
      </w:r>
      <w:proofErr w:type="spellStart"/>
      <w:r w:rsidRPr="009E6485">
        <w:rPr>
          <w:rFonts w:cs="Arial"/>
          <w:bCs/>
          <w:lang w:val="es-ES"/>
        </w:rPr>
        <w:t>MyIPO</w:t>
      </w:r>
      <w:proofErr w:type="spellEnd"/>
      <w:r w:rsidRPr="009E6485">
        <w:rPr>
          <w:rFonts w:cs="Arial"/>
          <w:bCs/>
          <w:lang w:val="es-ES"/>
        </w:rPr>
        <w:t>) y el Consejo de Aceite de Palma de Malasia (MPOB)</w:t>
      </w:r>
      <w:r w:rsidRPr="009E6485">
        <w:rPr>
          <w:rFonts w:cs="Arial"/>
          <w:lang w:val="es-ES"/>
        </w:rPr>
        <w:t>, y iv) una versión actualizada del informe PLR sobre determinadas enfermedades desatendidas.</w:t>
      </w:r>
    </w:p>
    <w:p w:rsidR="00D22903" w:rsidRPr="009E6485" w:rsidRDefault="00D22903" w:rsidP="00D22903">
      <w:pPr>
        <w:tabs>
          <w:tab w:val="left" w:pos="0"/>
          <w:tab w:val="left" w:pos="709"/>
        </w:tabs>
        <w:jc w:val="both"/>
      </w:pPr>
    </w:p>
    <w:p w:rsidR="00D22903" w:rsidRPr="009E6485" w:rsidRDefault="00D22903" w:rsidP="00D22903">
      <w:pPr>
        <w:pStyle w:val="ListParagraph"/>
        <w:numPr>
          <w:ilvl w:val="0"/>
          <w:numId w:val="75"/>
        </w:numPr>
        <w:tabs>
          <w:tab w:val="left" w:pos="0"/>
          <w:tab w:val="left" w:pos="709"/>
        </w:tabs>
        <w:ind w:left="0" w:firstLine="0"/>
        <w:jc w:val="both"/>
        <w:rPr>
          <w:rFonts w:cs="Arial"/>
          <w:lang w:val="es-ES"/>
        </w:rPr>
      </w:pPr>
      <w:r w:rsidRPr="009E6485">
        <w:rPr>
          <w:rFonts w:cs="Arial"/>
          <w:lang w:val="es-ES"/>
        </w:rPr>
        <w:t xml:space="preserve">Durante el bienio se logró mantener el enorme interés que han suscitado los informes PLR, en especial los que atañen a las tecnologías del agua y el reciclaje de residuos electrónicos, llegando a alcanzarse 23.634 visitas específicas al sitio web de los informes PLR;  97.172 descargas de la versión PDF de los informes PLR, y 8.189 descargas de infografías.  Se tradujo el sitio web de los informes PLR al español y al francés y se incorporaron al sitio 57 nuevos informes PLR elaborados por diversas organizaciones de los sectores público y privado, con inclusión de publicaciones en ocho idiomas distintos del inglés.  Por otra parte, en agosto de 2015 se publicaron las directrices para elaborar los informes PLR, que habían sido redactadas con un experto externo en 2013 </w:t>
      </w:r>
      <w:r w:rsidR="00C510BD">
        <w:rPr>
          <w:rFonts w:cs="Arial"/>
          <w:lang w:val="es-ES"/>
        </w:rPr>
        <w:t>y se habían finalizado en </w:t>
      </w:r>
      <w:r w:rsidRPr="009E6485">
        <w:rPr>
          <w:rFonts w:cs="Arial"/>
          <w:lang w:val="es-ES"/>
        </w:rPr>
        <w:t>2014.  Asimismo, se empezó a trabajar en un manual en el que se analizan las distintas herramientas gratuitas y de código abierto disponibles, al objeto de que los datos y análisis sobre patentes sean más accesibles para las personas sin conocimientos técnicos.  El manual se redactó en un lenguaje inteligible para las personas que no son programadores, incluso con instrucciones detalladas paso a paso, para hacer frente al problema que plantean los conocimientos de programación que normalmente se necesitan para utilizar las herramientas de código abierto.  Se han puesto a disposición avances no publicados de los capítulos del manual en una plataforma de código abierto</w:t>
      </w:r>
      <w:r w:rsidRPr="009E6485">
        <w:rPr>
          <w:rStyle w:val="FootnoteReference"/>
          <w:rFonts w:cs="Arial"/>
          <w:lang w:val="es-ES"/>
        </w:rPr>
        <w:footnoteReference w:id="91"/>
      </w:r>
      <w:r w:rsidRPr="009E6485">
        <w:rPr>
          <w:rFonts w:cs="Arial"/>
          <w:lang w:val="es-ES"/>
        </w:rPr>
        <w:t xml:space="preserve"> y la versión definitiva se publicará cuando esté terminada en el sitio web sobre actividad de </w:t>
      </w:r>
      <w:proofErr w:type="spellStart"/>
      <w:r w:rsidRPr="009E6485">
        <w:rPr>
          <w:rFonts w:cs="Arial"/>
          <w:lang w:val="es-ES"/>
        </w:rPr>
        <w:t>patentamiento</w:t>
      </w:r>
      <w:proofErr w:type="spellEnd"/>
      <w:r w:rsidRPr="009E6485">
        <w:rPr>
          <w:rFonts w:cs="Arial"/>
          <w:lang w:val="es-ES"/>
        </w:rPr>
        <w:t>.</w:t>
      </w:r>
    </w:p>
    <w:p w:rsidR="00D22903" w:rsidRPr="009E6485" w:rsidRDefault="00D22903" w:rsidP="00D22903">
      <w:pPr>
        <w:tabs>
          <w:tab w:val="left" w:pos="0"/>
          <w:tab w:val="left" w:pos="709"/>
        </w:tabs>
        <w:jc w:val="both"/>
      </w:pPr>
    </w:p>
    <w:p w:rsidR="00D22903" w:rsidRPr="009E6485" w:rsidRDefault="00D22903" w:rsidP="00D22903">
      <w:pPr>
        <w:pStyle w:val="ListParagraph"/>
        <w:numPr>
          <w:ilvl w:val="0"/>
          <w:numId w:val="75"/>
        </w:numPr>
        <w:tabs>
          <w:tab w:val="left" w:pos="0"/>
          <w:tab w:val="left" w:pos="709"/>
        </w:tabs>
        <w:ind w:left="0" w:firstLine="0"/>
        <w:jc w:val="both"/>
        <w:rPr>
          <w:rFonts w:cs="Arial"/>
          <w:lang w:val="es-ES"/>
        </w:rPr>
      </w:pPr>
      <w:r w:rsidRPr="009E6485">
        <w:rPr>
          <w:rFonts w:cs="Arial"/>
          <w:lang w:val="es-ES"/>
        </w:rPr>
        <w:t>El diseño, la planificación y el desarrollo de actividades en el marco del programa 14 se basaron en las recomendaciones pertinentes de la Agenda para el Desarrollo, en concreto las recomendaciones 1, 8, 19, 30 y 31.</w:t>
      </w:r>
    </w:p>
    <w:p w:rsidR="00D22903" w:rsidRPr="00C510BD" w:rsidRDefault="00D22903" w:rsidP="00D22903">
      <w:pPr>
        <w:jc w:val="both"/>
        <w:rPr>
          <w:sz w:val="20"/>
        </w:rPr>
      </w:pPr>
    </w:p>
    <w:p w:rsidR="00D22903" w:rsidRPr="00C510BD" w:rsidRDefault="00D22903" w:rsidP="00D22903">
      <w:pPr>
        <w:jc w:val="both"/>
        <w:rPr>
          <w:sz w:val="20"/>
        </w:rPr>
      </w:pPr>
    </w:p>
    <w:p w:rsidR="00D22903" w:rsidRPr="00C510BD" w:rsidRDefault="00D22903" w:rsidP="00D22903">
      <w:pPr>
        <w:ind w:left="2268" w:hanging="2268"/>
        <w:rPr>
          <w:sz w:val="20"/>
        </w:rPr>
      </w:pPr>
      <w:r w:rsidRPr="00C510BD">
        <w:rPr>
          <w:sz w:val="20"/>
        </w:rPr>
        <w:t>DATOS SOBRE EL RENDIMIENTO</w:t>
      </w:r>
    </w:p>
    <w:p w:rsidR="00D22903" w:rsidRPr="00C510BD" w:rsidRDefault="00D22903" w:rsidP="00D22903">
      <w:pPr>
        <w:jc w:val="both"/>
        <w:rPr>
          <w:sz w:val="20"/>
        </w:rPr>
      </w:pPr>
    </w:p>
    <w:tbl>
      <w:tblPr>
        <w:tblW w:w="4963"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11"/>
        <w:gridCol w:w="19"/>
        <w:gridCol w:w="2377"/>
        <w:gridCol w:w="34"/>
        <w:gridCol w:w="1512"/>
        <w:gridCol w:w="48"/>
        <w:gridCol w:w="2200"/>
        <w:gridCol w:w="65"/>
        <w:gridCol w:w="1134"/>
      </w:tblGrid>
      <w:tr w:rsidR="00D22903" w:rsidRPr="009E6485" w:rsidTr="00044DA1">
        <w:trPr>
          <w:cantSplit/>
        </w:trPr>
        <w:tc>
          <w:tcPr>
            <w:tcW w:w="5000" w:type="pct"/>
            <w:gridSpan w:val="9"/>
            <w:tcBorders>
              <w:top w:val="single" w:sz="4" w:space="0" w:color="auto"/>
              <w:bottom w:val="single" w:sz="4" w:space="0" w:color="auto"/>
            </w:tcBorders>
            <w:shd w:val="clear" w:color="auto" w:fill="C6D9F1" w:themeFill="text2" w:themeFillTint="33"/>
            <w:vAlign w:val="center"/>
          </w:tcPr>
          <w:p w:rsidR="00D22903" w:rsidRPr="009E6485" w:rsidRDefault="00D22903" w:rsidP="00DC1333">
            <w:pPr>
              <w:keepNext/>
              <w:keepLines/>
              <w:tabs>
                <w:tab w:val="left" w:pos="2019"/>
              </w:tabs>
              <w:spacing w:before="120" w:after="120"/>
              <w:ind w:left="2019" w:hanging="2019"/>
              <w:rPr>
                <w:b/>
                <w:bCs/>
                <w:sz w:val="16"/>
                <w:szCs w:val="16"/>
              </w:rPr>
            </w:pPr>
            <w:r w:rsidRPr="009E6485">
              <w:rPr>
                <w:b/>
                <w:bCs/>
                <w:sz w:val="16"/>
                <w:szCs w:val="16"/>
              </w:rPr>
              <w:t>Resultado previsto:</w:t>
            </w:r>
            <w:r w:rsidRPr="009E6485">
              <w:rPr>
                <w:b/>
                <w:bCs/>
                <w:sz w:val="16"/>
                <w:szCs w:val="16"/>
              </w:rPr>
              <w:tab/>
            </w:r>
            <w:r w:rsidRPr="009E6485">
              <w:rPr>
                <w:bCs/>
                <w:sz w:val="16"/>
                <w:szCs w:val="16"/>
              </w:rPr>
              <w:t xml:space="preserve">IV.2 </w:t>
            </w:r>
            <w:r w:rsidRPr="009E6485">
              <w:rPr>
                <w:sz w:val="16"/>
                <w:szCs w:val="16"/>
              </w:rPr>
              <w:t xml:space="preserve">Mejora del acceso y uso de información de P.I. por parte de instituciones de P.I. y el público para fomentar la innovación y la creatividad </w:t>
            </w:r>
          </w:p>
        </w:tc>
      </w:tr>
      <w:tr w:rsidR="00D22903" w:rsidRPr="009E6485" w:rsidTr="00044DA1">
        <w:trPr>
          <w:cantSplit/>
        </w:trPr>
        <w:tc>
          <w:tcPr>
            <w:tcW w:w="1121" w:type="pct"/>
            <w:gridSpan w:val="2"/>
            <w:tcBorders>
              <w:top w:val="single" w:sz="4" w:space="0" w:color="auto"/>
            </w:tcBorders>
            <w:shd w:val="clear" w:color="auto" w:fill="auto"/>
            <w:vAlign w:val="center"/>
          </w:tcPr>
          <w:p w:rsidR="00D22903" w:rsidRPr="009E6485" w:rsidRDefault="00D22903" w:rsidP="00DC1333">
            <w:pPr>
              <w:rPr>
                <w:sz w:val="16"/>
                <w:szCs w:val="16"/>
              </w:rPr>
            </w:pPr>
            <w:r w:rsidRPr="009E6485">
              <w:rPr>
                <w:b/>
                <w:sz w:val="16"/>
                <w:szCs w:val="16"/>
              </w:rPr>
              <w:t>Indicadores de rendimiento</w:t>
            </w:r>
          </w:p>
        </w:tc>
        <w:tc>
          <w:tcPr>
            <w:tcW w:w="1269" w:type="pct"/>
            <w:gridSpan w:val="2"/>
            <w:tcBorders>
              <w:top w:val="single" w:sz="4" w:space="0" w:color="auto"/>
            </w:tcBorders>
            <w:shd w:val="clear" w:color="auto" w:fill="auto"/>
            <w:vAlign w:val="center"/>
          </w:tcPr>
          <w:p w:rsidR="00D22903" w:rsidRPr="009E6485" w:rsidRDefault="00D22903" w:rsidP="00DC1333">
            <w:pPr>
              <w:rPr>
                <w:b/>
                <w:bCs/>
                <w:sz w:val="16"/>
                <w:szCs w:val="16"/>
              </w:rPr>
            </w:pPr>
            <w:r w:rsidRPr="009E6485">
              <w:rPr>
                <w:b/>
                <w:bCs/>
                <w:sz w:val="16"/>
                <w:szCs w:val="16"/>
              </w:rPr>
              <w:t>Referencia</w:t>
            </w:r>
          </w:p>
        </w:tc>
        <w:tc>
          <w:tcPr>
            <w:tcW w:w="821" w:type="pct"/>
            <w:gridSpan w:val="2"/>
            <w:tcBorders>
              <w:top w:val="single" w:sz="4" w:space="0" w:color="auto"/>
            </w:tcBorders>
            <w:shd w:val="clear" w:color="auto" w:fill="auto"/>
            <w:tcMar>
              <w:top w:w="110" w:type="dxa"/>
            </w:tcMar>
            <w:vAlign w:val="center"/>
          </w:tcPr>
          <w:p w:rsidR="00D22903" w:rsidRPr="009E6485" w:rsidRDefault="00D22903" w:rsidP="00DC1333">
            <w:pPr>
              <w:rPr>
                <w:b/>
                <w:sz w:val="16"/>
                <w:szCs w:val="16"/>
              </w:rPr>
            </w:pPr>
            <w:r w:rsidRPr="009E6485">
              <w:rPr>
                <w:b/>
                <w:sz w:val="16"/>
                <w:szCs w:val="16"/>
              </w:rPr>
              <w:t>Objetivos</w:t>
            </w:r>
          </w:p>
        </w:tc>
        <w:tc>
          <w:tcPr>
            <w:tcW w:w="1192" w:type="pct"/>
            <w:gridSpan w:val="2"/>
            <w:tcBorders>
              <w:top w:val="single" w:sz="4" w:space="0" w:color="auto"/>
            </w:tcBorders>
            <w:shd w:val="clear" w:color="auto" w:fill="FFFFFF"/>
            <w:tcMar>
              <w:top w:w="110" w:type="dxa"/>
            </w:tcMar>
            <w:vAlign w:val="center"/>
          </w:tcPr>
          <w:p w:rsidR="00D22903" w:rsidRPr="009E6485" w:rsidRDefault="00D22903" w:rsidP="00DC1333">
            <w:pPr>
              <w:rPr>
                <w:sz w:val="16"/>
                <w:szCs w:val="16"/>
              </w:rPr>
            </w:pPr>
            <w:r w:rsidRPr="009E6485">
              <w:rPr>
                <w:b/>
                <w:sz w:val="16"/>
                <w:szCs w:val="16"/>
              </w:rPr>
              <w:t>Datos sobre el rendimiento</w:t>
            </w:r>
          </w:p>
        </w:tc>
        <w:tc>
          <w:tcPr>
            <w:tcW w:w="596" w:type="pct"/>
            <w:tcBorders>
              <w:top w:val="single" w:sz="4" w:space="0" w:color="auto"/>
            </w:tcBorders>
            <w:shd w:val="clear" w:color="auto" w:fill="auto"/>
            <w:tcMar>
              <w:top w:w="110" w:type="dxa"/>
            </w:tcMar>
            <w:vAlign w:val="center"/>
          </w:tcPr>
          <w:p w:rsidR="00D22903" w:rsidRPr="009E6485" w:rsidRDefault="00D22903" w:rsidP="00DC1333">
            <w:pPr>
              <w:keepNext/>
              <w:keepLines/>
              <w:ind w:left="-111" w:right="-107"/>
              <w:jc w:val="center"/>
              <w:rPr>
                <w:b/>
                <w:bCs/>
                <w:sz w:val="16"/>
                <w:szCs w:val="16"/>
              </w:rPr>
            </w:pPr>
            <w:r w:rsidRPr="009E6485">
              <w:rPr>
                <w:b/>
                <w:bCs/>
                <w:sz w:val="16"/>
                <w:szCs w:val="16"/>
              </w:rPr>
              <w:t>Clave de colores</w:t>
            </w:r>
          </w:p>
        </w:tc>
      </w:tr>
      <w:tr w:rsidR="00D22903" w:rsidRPr="009E6485" w:rsidTr="00044DA1">
        <w:trPr>
          <w:cantSplit/>
        </w:trPr>
        <w:tc>
          <w:tcPr>
            <w:tcW w:w="1121" w:type="pct"/>
            <w:gridSpan w:val="2"/>
            <w:shd w:val="clear" w:color="auto" w:fill="auto"/>
          </w:tcPr>
          <w:p w:rsidR="00D22903" w:rsidRPr="009E6485" w:rsidRDefault="00D22903" w:rsidP="00DC1333">
            <w:pPr>
              <w:rPr>
                <w:sz w:val="16"/>
                <w:szCs w:val="16"/>
              </w:rPr>
            </w:pPr>
            <w:r w:rsidRPr="009E6485">
              <w:rPr>
                <w:sz w:val="16"/>
                <w:szCs w:val="16"/>
              </w:rPr>
              <w:t>Número de redes nacionales sostenibles de CATI.</w:t>
            </w:r>
          </w:p>
        </w:tc>
        <w:tc>
          <w:tcPr>
            <w:tcW w:w="1269" w:type="pct"/>
            <w:gridSpan w:val="2"/>
            <w:shd w:val="clear" w:color="auto" w:fill="auto"/>
          </w:tcPr>
          <w:p w:rsidR="00D22903" w:rsidRPr="009E6485" w:rsidRDefault="00D22903" w:rsidP="00DC1333">
            <w:pPr>
              <w:rPr>
                <w:color w:val="002060"/>
                <w:sz w:val="16"/>
                <w:szCs w:val="16"/>
                <w:lang w:bidi="th-TH"/>
              </w:rPr>
            </w:pPr>
            <w:r w:rsidRPr="009E6485">
              <w:rPr>
                <w:i/>
                <w:color w:val="002060"/>
                <w:sz w:val="16"/>
                <w:szCs w:val="16"/>
              </w:rPr>
              <w:t xml:space="preserve">Referencia actualizada a fines de 2013: </w:t>
            </w:r>
            <w:r w:rsidRPr="009E6485">
              <w:rPr>
                <w:i/>
                <w:sz w:val="16"/>
                <w:szCs w:val="16"/>
              </w:rPr>
              <w:t xml:space="preserve"> </w:t>
            </w:r>
            <w:r w:rsidRPr="009E6485">
              <w:rPr>
                <w:color w:val="002060"/>
                <w:sz w:val="16"/>
                <w:szCs w:val="16"/>
              </w:rPr>
              <w:t xml:space="preserve">15 redes sostenibles de CATI (de las 39 ya establecidas) </w:t>
            </w:r>
            <w:r w:rsidRPr="009E6485">
              <w:rPr>
                <w:color w:val="002060"/>
                <w:sz w:val="16"/>
                <w:szCs w:val="16"/>
              </w:rPr>
              <w:br/>
            </w:r>
          </w:p>
          <w:p w:rsidR="00D22903" w:rsidRPr="009E6485" w:rsidRDefault="00D22903" w:rsidP="00DC1333">
            <w:pPr>
              <w:rPr>
                <w:color w:val="002060"/>
                <w:sz w:val="8"/>
                <w:szCs w:val="8"/>
                <w:lang w:bidi="th-TH"/>
              </w:rPr>
            </w:pPr>
          </w:p>
          <w:p w:rsidR="00D22903" w:rsidRDefault="00D22903" w:rsidP="00DC1333">
            <w:pPr>
              <w:rPr>
                <w:sz w:val="16"/>
                <w:szCs w:val="16"/>
              </w:rPr>
            </w:pPr>
            <w:r w:rsidRPr="009E6485">
              <w:rPr>
                <w:i/>
                <w:sz w:val="16"/>
                <w:szCs w:val="16"/>
                <w:lang w:bidi="th-TH"/>
              </w:rPr>
              <w:t xml:space="preserve">Referencia original en el </w:t>
            </w:r>
            <w:r w:rsidRPr="009E6485">
              <w:rPr>
                <w:i/>
                <w:sz w:val="16"/>
                <w:szCs w:val="16"/>
              </w:rPr>
              <w:t xml:space="preserve">presupuesto de 2014/15: </w:t>
            </w:r>
            <w:r w:rsidRPr="009E6485">
              <w:rPr>
                <w:sz w:val="16"/>
                <w:szCs w:val="16"/>
              </w:rPr>
              <w:t xml:space="preserve">15 redes nacionales de CATI (en total, al final del primer trimestre de 2013):  África: 6;  </w:t>
            </w:r>
          </w:p>
          <w:p w:rsidR="00D22903" w:rsidRPr="009E6485" w:rsidRDefault="00D22903" w:rsidP="00DC1333">
            <w:pPr>
              <w:rPr>
                <w:sz w:val="16"/>
                <w:szCs w:val="16"/>
              </w:rPr>
            </w:pPr>
            <w:r w:rsidRPr="009E6485">
              <w:rPr>
                <w:sz w:val="16"/>
                <w:szCs w:val="16"/>
              </w:rPr>
              <w:t xml:space="preserve">América Latina y el Caribe: 4;  </w:t>
            </w:r>
          </w:p>
          <w:p w:rsidR="00D22903" w:rsidRDefault="00D22903" w:rsidP="00DC1333">
            <w:pPr>
              <w:rPr>
                <w:sz w:val="16"/>
                <w:szCs w:val="16"/>
              </w:rPr>
            </w:pPr>
            <w:r w:rsidRPr="009E6485">
              <w:rPr>
                <w:sz w:val="16"/>
                <w:szCs w:val="16"/>
              </w:rPr>
              <w:t xml:space="preserve">Asia y el Pacífico: 2;  </w:t>
            </w:r>
          </w:p>
          <w:p w:rsidR="00D22903" w:rsidRPr="009E6485" w:rsidRDefault="00D22903" w:rsidP="00DC1333">
            <w:pPr>
              <w:rPr>
                <w:sz w:val="16"/>
                <w:szCs w:val="16"/>
              </w:rPr>
            </w:pPr>
            <w:r w:rsidRPr="009E6485">
              <w:rPr>
                <w:sz w:val="16"/>
                <w:szCs w:val="16"/>
              </w:rPr>
              <w:t>determinados países de Europa y Asia: 1</w:t>
            </w:r>
          </w:p>
          <w:p w:rsidR="00D22903" w:rsidRPr="009E6485" w:rsidRDefault="00D22903" w:rsidP="00DC1333">
            <w:pPr>
              <w:rPr>
                <w:sz w:val="16"/>
                <w:szCs w:val="16"/>
              </w:rPr>
            </w:pPr>
            <w:r w:rsidRPr="009E6485">
              <w:rPr>
                <w:sz w:val="16"/>
                <w:szCs w:val="16"/>
              </w:rPr>
              <w:t xml:space="preserve">región de los países árabes:  2 </w:t>
            </w:r>
          </w:p>
          <w:p w:rsidR="00D22903" w:rsidRPr="009E6485" w:rsidRDefault="00D22903" w:rsidP="00DC1333">
            <w:pPr>
              <w:rPr>
                <w:sz w:val="16"/>
                <w:szCs w:val="16"/>
              </w:rPr>
            </w:pPr>
          </w:p>
        </w:tc>
        <w:tc>
          <w:tcPr>
            <w:tcW w:w="821" w:type="pct"/>
            <w:gridSpan w:val="2"/>
            <w:shd w:val="clear" w:color="auto" w:fill="auto"/>
            <w:tcMar>
              <w:top w:w="110" w:type="dxa"/>
            </w:tcMar>
          </w:tcPr>
          <w:p w:rsidR="00D22903" w:rsidRPr="009E6485" w:rsidRDefault="00D22903" w:rsidP="00DC1333">
            <w:pPr>
              <w:rPr>
                <w:sz w:val="16"/>
                <w:szCs w:val="16"/>
              </w:rPr>
            </w:pPr>
            <w:r w:rsidRPr="009E6485">
              <w:rPr>
                <w:sz w:val="16"/>
                <w:szCs w:val="16"/>
              </w:rPr>
              <w:t xml:space="preserve">25 redes nacionales de CATI (en total): África: 10 (de los que 8 son </w:t>
            </w:r>
            <w:r>
              <w:rPr>
                <w:sz w:val="16"/>
                <w:szCs w:val="16"/>
              </w:rPr>
              <w:t xml:space="preserve">en </w:t>
            </w:r>
            <w:r w:rsidRPr="009E6485">
              <w:rPr>
                <w:sz w:val="16"/>
                <w:szCs w:val="16"/>
              </w:rPr>
              <w:t xml:space="preserve">PMA);  </w:t>
            </w:r>
          </w:p>
          <w:p w:rsidR="00D22903" w:rsidRPr="009E6485" w:rsidRDefault="00D22903" w:rsidP="00DC1333">
            <w:pPr>
              <w:rPr>
                <w:sz w:val="16"/>
                <w:szCs w:val="16"/>
              </w:rPr>
            </w:pPr>
            <w:r w:rsidRPr="009E6485">
              <w:rPr>
                <w:sz w:val="16"/>
                <w:szCs w:val="16"/>
              </w:rPr>
              <w:t xml:space="preserve">América Latina y el Caribe: 6;  </w:t>
            </w:r>
          </w:p>
          <w:p w:rsidR="00D22903" w:rsidRPr="009E6485" w:rsidRDefault="00D22903" w:rsidP="00DC1333">
            <w:pPr>
              <w:rPr>
                <w:sz w:val="16"/>
                <w:szCs w:val="16"/>
              </w:rPr>
            </w:pPr>
            <w:r w:rsidRPr="009E6485">
              <w:rPr>
                <w:sz w:val="16"/>
                <w:szCs w:val="16"/>
              </w:rPr>
              <w:t xml:space="preserve">Asia y el Pacífico: 4 (de los que 2 son </w:t>
            </w:r>
            <w:r>
              <w:rPr>
                <w:sz w:val="16"/>
                <w:szCs w:val="16"/>
              </w:rPr>
              <w:t xml:space="preserve">en </w:t>
            </w:r>
            <w:r w:rsidRPr="009E6485">
              <w:rPr>
                <w:sz w:val="16"/>
                <w:szCs w:val="16"/>
              </w:rPr>
              <w:t xml:space="preserve">PMA); </w:t>
            </w:r>
          </w:p>
          <w:p w:rsidR="00D22903" w:rsidRPr="00ED016A" w:rsidRDefault="00D22903" w:rsidP="00DC1333">
            <w:pPr>
              <w:rPr>
                <w:sz w:val="16"/>
                <w:szCs w:val="16"/>
              </w:rPr>
            </w:pPr>
            <w:r w:rsidRPr="00ED016A">
              <w:rPr>
                <w:sz w:val="16"/>
                <w:szCs w:val="16"/>
              </w:rPr>
              <w:t>determinados países de Europa y Asia: 2</w:t>
            </w:r>
          </w:p>
          <w:p w:rsidR="00D22903" w:rsidRPr="009E6485" w:rsidRDefault="00D22903" w:rsidP="00DC1333">
            <w:pPr>
              <w:rPr>
                <w:sz w:val="16"/>
                <w:szCs w:val="16"/>
              </w:rPr>
            </w:pPr>
            <w:r w:rsidRPr="009E6485">
              <w:rPr>
                <w:sz w:val="16"/>
                <w:szCs w:val="16"/>
              </w:rPr>
              <w:t xml:space="preserve">región de los países árabes: 3,  </w:t>
            </w:r>
          </w:p>
          <w:p w:rsidR="00D22903" w:rsidRPr="009E6485" w:rsidRDefault="00D22903" w:rsidP="00DC1333">
            <w:pPr>
              <w:rPr>
                <w:i/>
                <w:sz w:val="16"/>
                <w:szCs w:val="16"/>
              </w:rPr>
            </w:pPr>
          </w:p>
        </w:tc>
        <w:tc>
          <w:tcPr>
            <w:tcW w:w="1192" w:type="pct"/>
            <w:gridSpan w:val="2"/>
            <w:shd w:val="clear" w:color="auto" w:fill="FFFFFF"/>
            <w:tcMar>
              <w:top w:w="110" w:type="dxa"/>
            </w:tcMar>
          </w:tcPr>
          <w:p w:rsidR="00D22903" w:rsidRPr="009E6485" w:rsidRDefault="00D22903" w:rsidP="00DC1333">
            <w:pPr>
              <w:rPr>
                <w:sz w:val="16"/>
                <w:szCs w:val="16"/>
              </w:rPr>
            </w:pPr>
            <w:r w:rsidRPr="009E6485">
              <w:rPr>
                <w:sz w:val="16"/>
                <w:szCs w:val="16"/>
              </w:rPr>
              <w:t>25 redes nacionales sostenibles de las 50 establecidas oficialmente (en total):  África:  10 (de las que 8 son en PMA);</w:t>
            </w:r>
          </w:p>
          <w:p w:rsidR="00D22903" w:rsidRPr="009E6485" w:rsidRDefault="00D22903" w:rsidP="00DC1333">
            <w:pPr>
              <w:rPr>
                <w:sz w:val="16"/>
                <w:szCs w:val="16"/>
              </w:rPr>
            </w:pPr>
            <w:r w:rsidRPr="009E6485">
              <w:rPr>
                <w:sz w:val="16"/>
                <w:szCs w:val="16"/>
              </w:rPr>
              <w:t>América Latina y el Caribe:  7;</w:t>
            </w:r>
          </w:p>
          <w:p w:rsidR="00D22903" w:rsidRPr="009E6485" w:rsidRDefault="00D22903" w:rsidP="00DC1333">
            <w:pPr>
              <w:rPr>
                <w:sz w:val="16"/>
                <w:szCs w:val="16"/>
              </w:rPr>
            </w:pPr>
            <w:r w:rsidRPr="009E6485">
              <w:rPr>
                <w:sz w:val="16"/>
                <w:szCs w:val="16"/>
              </w:rPr>
              <w:t>Asia y el Pacífico:  4 (de las que 1 es en un PMA);</w:t>
            </w:r>
          </w:p>
          <w:p w:rsidR="00D22903" w:rsidRPr="009E6485" w:rsidRDefault="00D22903" w:rsidP="00DC1333">
            <w:pPr>
              <w:rPr>
                <w:sz w:val="16"/>
                <w:szCs w:val="16"/>
              </w:rPr>
            </w:pPr>
            <w:r w:rsidRPr="009E6485">
              <w:rPr>
                <w:sz w:val="16"/>
                <w:szCs w:val="16"/>
              </w:rPr>
              <w:t>determinados países de Europa y Asia:  1;</w:t>
            </w:r>
          </w:p>
          <w:p w:rsidR="00D22903" w:rsidRPr="009E6485" w:rsidRDefault="00D22903" w:rsidP="00DC1333">
            <w:pPr>
              <w:rPr>
                <w:sz w:val="16"/>
                <w:szCs w:val="16"/>
              </w:rPr>
            </w:pPr>
            <w:r w:rsidRPr="009E6485">
              <w:rPr>
                <w:sz w:val="16"/>
                <w:szCs w:val="16"/>
              </w:rPr>
              <w:t>países árabes:  3</w:t>
            </w:r>
          </w:p>
        </w:tc>
        <w:tc>
          <w:tcPr>
            <w:tcW w:w="596" w:type="pct"/>
            <w:shd w:val="clear" w:color="auto" w:fill="auto"/>
            <w:tcMar>
              <w:top w:w="110" w:type="dxa"/>
            </w:tcMar>
          </w:tcPr>
          <w:p w:rsidR="00D22903" w:rsidRPr="009E6485" w:rsidRDefault="00D22903" w:rsidP="00DC1333">
            <w:pPr>
              <w:keepNext/>
              <w:keepLines/>
              <w:ind w:left="-111" w:right="-108"/>
              <w:jc w:val="center"/>
              <w:rPr>
                <w:b/>
                <w:bCs/>
                <w:color w:val="008000"/>
                <w:sz w:val="16"/>
                <w:szCs w:val="16"/>
              </w:rPr>
            </w:pPr>
            <w:r w:rsidRPr="009E6485">
              <w:rPr>
                <w:b/>
                <w:bCs/>
                <w:color w:val="00B050"/>
                <w:sz w:val="16"/>
                <w:szCs w:val="16"/>
              </w:rPr>
              <w:t>Plenamente logrado</w:t>
            </w:r>
          </w:p>
        </w:tc>
      </w:tr>
      <w:tr w:rsidR="00D22903" w:rsidRPr="009E6485" w:rsidTr="00044DA1">
        <w:trPr>
          <w:cantSplit/>
        </w:trPr>
        <w:tc>
          <w:tcPr>
            <w:tcW w:w="1121" w:type="pct"/>
            <w:gridSpan w:val="2"/>
            <w:shd w:val="clear" w:color="auto" w:fill="auto"/>
          </w:tcPr>
          <w:p w:rsidR="00D22903" w:rsidRPr="009E6485" w:rsidRDefault="00D22903" w:rsidP="00DC1333">
            <w:pPr>
              <w:rPr>
                <w:sz w:val="16"/>
                <w:szCs w:val="16"/>
              </w:rPr>
            </w:pPr>
            <w:r w:rsidRPr="009E6485">
              <w:rPr>
                <w:sz w:val="16"/>
                <w:szCs w:val="16"/>
              </w:rPr>
              <w:t>Promedio de usuarios que utilizan los servicios de los CATI por trimestre y por país.</w:t>
            </w:r>
          </w:p>
        </w:tc>
        <w:tc>
          <w:tcPr>
            <w:tcW w:w="1269" w:type="pct"/>
            <w:gridSpan w:val="2"/>
            <w:shd w:val="clear" w:color="auto" w:fill="auto"/>
          </w:tcPr>
          <w:p w:rsidR="00D22903" w:rsidRPr="009E6485" w:rsidRDefault="00D22903" w:rsidP="00DC1333">
            <w:pPr>
              <w:rPr>
                <w:color w:val="002060"/>
                <w:sz w:val="16"/>
                <w:szCs w:val="16"/>
                <w:lang w:bidi="th-TH"/>
              </w:rPr>
            </w:pPr>
            <w:r w:rsidRPr="009E6485">
              <w:rPr>
                <w:i/>
                <w:color w:val="002060"/>
                <w:sz w:val="16"/>
                <w:szCs w:val="16"/>
              </w:rPr>
              <w:t>Referencia actualizada a fines de 2013:</w:t>
            </w:r>
            <w:r w:rsidRPr="009E6485">
              <w:t xml:space="preserve"> </w:t>
            </w:r>
            <w:r w:rsidRPr="009E6485">
              <w:rPr>
                <w:color w:val="002060"/>
                <w:sz w:val="16"/>
                <w:szCs w:val="16"/>
              </w:rPr>
              <w:t>Entre 532 y 1.370 usuarios diarios en promedio atendidos por los CATI en 2013</w:t>
            </w:r>
            <w:r w:rsidRPr="009E6485">
              <w:rPr>
                <w:color w:val="002060"/>
                <w:sz w:val="16"/>
                <w:szCs w:val="16"/>
              </w:rPr>
              <w:br/>
            </w:r>
          </w:p>
          <w:p w:rsidR="00D22903" w:rsidRPr="009E6485" w:rsidRDefault="00D22903" w:rsidP="00DC1333">
            <w:pPr>
              <w:rPr>
                <w:i/>
                <w:sz w:val="16"/>
                <w:szCs w:val="16"/>
                <w:lang w:bidi="th-TH"/>
              </w:rPr>
            </w:pPr>
            <w:r w:rsidRPr="009E6485">
              <w:rPr>
                <w:i/>
                <w:sz w:val="16"/>
                <w:szCs w:val="16"/>
                <w:lang w:bidi="th-TH"/>
              </w:rPr>
              <w:t>Referencia original en el</w:t>
            </w:r>
          </w:p>
          <w:p w:rsidR="00D22903" w:rsidRPr="009E6485" w:rsidRDefault="00D22903" w:rsidP="00DC1333">
            <w:pPr>
              <w:rPr>
                <w:sz w:val="16"/>
                <w:szCs w:val="16"/>
              </w:rPr>
            </w:pPr>
            <w:r w:rsidRPr="009E6485">
              <w:rPr>
                <w:i/>
                <w:sz w:val="16"/>
                <w:szCs w:val="16"/>
                <w:lang w:bidi="th-TH"/>
              </w:rPr>
              <w:t>presupuesto de 2014/15</w:t>
            </w:r>
            <w:r w:rsidRPr="009E6485">
              <w:rPr>
                <w:i/>
                <w:color w:val="008000"/>
                <w:sz w:val="16"/>
                <w:szCs w:val="16"/>
              </w:rPr>
              <w:t xml:space="preserve">: </w:t>
            </w:r>
            <w:r w:rsidRPr="009E6485">
              <w:rPr>
                <w:sz w:val="16"/>
                <w:szCs w:val="16"/>
              </w:rPr>
              <w:t>Entre 200 y 630</w:t>
            </w:r>
          </w:p>
          <w:p w:rsidR="00D22903" w:rsidRPr="009E6485" w:rsidRDefault="00D22903" w:rsidP="00DC1333">
            <w:pPr>
              <w:rPr>
                <w:sz w:val="16"/>
                <w:szCs w:val="16"/>
              </w:rPr>
            </w:pPr>
          </w:p>
        </w:tc>
        <w:tc>
          <w:tcPr>
            <w:tcW w:w="821" w:type="pct"/>
            <w:gridSpan w:val="2"/>
            <w:shd w:val="clear" w:color="auto" w:fill="auto"/>
            <w:tcMar>
              <w:top w:w="110" w:type="dxa"/>
            </w:tcMar>
          </w:tcPr>
          <w:p w:rsidR="00D22903" w:rsidRPr="009E6485" w:rsidRDefault="00D22903" w:rsidP="00DC1333">
            <w:pPr>
              <w:rPr>
                <w:sz w:val="16"/>
                <w:szCs w:val="16"/>
              </w:rPr>
            </w:pPr>
            <w:r w:rsidRPr="009E6485">
              <w:rPr>
                <w:sz w:val="16"/>
                <w:szCs w:val="16"/>
              </w:rPr>
              <w:t>Entre 300 y 750</w:t>
            </w:r>
          </w:p>
        </w:tc>
        <w:tc>
          <w:tcPr>
            <w:tcW w:w="1192" w:type="pct"/>
            <w:gridSpan w:val="2"/>
            <w:shd w:val="clear" w:color="auto" w:fill="FFFFFF"/>
            <w:tcMar>
              <w:top w:w="110" w:type="dxa"/>
            </w:tcMar>
          </w:tcPr>
          <w:p w:rsidR="00D22903" w:rsidRPr="009E6485" w:rsidRDefault="00D22903" w:rsidP="00DC1333">
            <w:pPr>
              <w:rPr>
                <w:sz w:val="16"/>
                <w:szCs w:val="16"/>
              </w:rPr>
            </w:pPr>
            <w:r w:rsidRPr="009E6485">
              <w:rPr>
                <w:sz w:val="16"/>
                <w:szCs w:val="16"/>
                <w:lang w:bidi="th-TH"/>
              </w:rPr>
              <w:t>Entre 874 y 2.631</w:t>
            </w:r>
          </w:p>
        </w:tc>
        <w:tc>
          <w:tcPr>
            <w:tcW w:w="596" w:type="pct"/>
            <w:shd w:val="clear" w:color="auto" w:fill="auto"/>
            <w:tcMar>
              <w:top w:w="110" w:type="dxa"/>
            </w:tcMar>
          </w:tcPr>
          <w:p w:rsidR="00D22903" w:rsidRPr="009E6485" w:rsidRDefault="00D22903" w:rsidP="00DC1333">
            <w:pPr>
              <w:keepNext/>
              <w:keepLines/>
              <w:ind w:left="-112"/>
              <w:jc w:val="center"/>
              <w:rPr>
                <w:b/>
                <w:bCs/>
                <w:color w:val="008000"/>
                <w:sz w:val="16"/>
                <w:szCs w:val="16"/>
              </w:rPr>
            </w:pPr>
            <w:r w:rsidRPr="009E6485">
              <w:rPr>
                <w:b/>
                <w:bCs/>
                <w:color w:val="00B050"/>
                <w:sz w:val="16"/>
                <w:szCs w:val="16"/>
              </w:rPr>
              <w:t>Plenamente logrado</w:t>
            </w:r>
          </w:p>
        </w:tc>
      </w:tr>
      <w:tr w:rsidR="00D22903" w:rsidRPr="009E6485" w:rsidTr="00044DA1">
        <w:trPr>
          <w:cantSplit/>
        </w:trPr>
        <w:tc>
          <w:tcPr>
            <w:tcW w:w="1121" w:type="pct"/>
            <w:gridSpan w:val="2"/>
            <w:shd w:val="clear" w:color="auto" w:fill="auto"/>
          </w:tcPr>
          <w:p w:rsidR="00D22903" w:rsidRPr="009E6485" w:rsidRDefault="00D22903" w:rsidP="00DC1333">
            <w:pPr>
              <w:rPr>
                <w:sz w:val="16"/>
                <w:szCs w:val="16"/>
              </w:rPr>
            </w:pPr>
            <w:r w:rsidRPr="009E6485">
              <w:rPr>
                <w:sz w:val="16"/>
                <w:szCs w:val="16"/>
              </w:rPr>
              <w:lastRenderedPageBreak/>
              <w:t>Número de usuarios inscritos en ARDI y ASPI que utilizan dichos instrumentos.</w:t>
            </w:r>
          </w:p>
        </w:tc>
        <w:tc>
          <w:tcPr>
            <w:tcW w:w="1269" w:type="pct"/>
            <w:gridSpan w:val="2"/>
            <w:shd w:val="clear" w:color="auto" w:fill="auto"/>
          </w:tcPr>
          <w:p w:rsidR="00D22903" w:rsidRPr="009E6485" w:rsidRDefault="00D22903" w:rsidP="00DC1333">
            <w:pPr>
              <w:rPr>
                <w:color w:val="002060"/>
                <w:sz w:val="16"/>
                <w:szCs w:val="16"/>
              </w:rPr>
            </w:pPr>
            <w:r w:rsidRPr="009E6485">
              <w:rPr>
                <w:i/>
                <w:color w:val="002060"/>
                <w:sz w:val="16"/>
                <w:szCs w:val="16"/>
              </w:rPr>
              <w:t>Referencia actualizada a fines de 2013:</w:t>
            </w:r>
            <w:r w:rsidRPr="009E6485">
              <w:rPr>
                <w:color w:val="008000"/>
                <w:sz w:val="16"/>
                <w:szCs w:val="16"/>
              </w:rPr>
              <w:t xml:space="preserve">  </w:t>
            </w:r>
            <w:r w:rsidRPr="009E6485">
              <w:rPr>
                <w:color w:val="002060"/>
                <w:sz w:val="16"/>
                <w:szCs w:val="16"/>
              </w:rPr>
              <w:t>ARDI (207 usuarios activos)</w:t>
            </w:r>
          </w:p>
          <w:p w:rsidR="00D22903" w:rsidRPr="009E6485" w:rsidRDefault="00D22903" w:rsidP="00DC1333">
            <w:pPr>
              <w:rPr>
                <w:color w:val="002060"/>
                <w:sz w:val="16"/>
                <w:szCs w:val="16"/>
              </w:rPr>
            </w:pPr>
            <w:r w:rsidRPr="009E6485">
              <w:rPr>
                <w:color w:val="002060"/>
                <w:sz w:val="16"/>
                <w:szCs w:val="16"/>
              </w:rPr>
              <w:t>ASPI (20 usuarios activos)</w:t>
            </w:r>
          </w:p>
          <w:p w:rsidR="00D22903" w:rsidRPr="009E6485" w:rsidRDefault="00D22903" w:rsidP="00DC1333">
            <w:pPr>
              <w:rPr>
                <w:color w:val="002060"/>
                <w:sz w:val="16"/>
                <w:szCs w:val="16"/>
              </w:rPr>
            </w:pPr>
          </w:p>
          <w:p w:rsidR="00D22903" w:rsidRPr="009E6485" w:rsidRDefault="00D22903" w:rsidP="00DC1333">
            <w:pPr>
              <w:rPr>
                <w:i/>
                <w:sz w:val="16"/>
                <w:szCs w:val="16"/>
                <w:lang w:bidi="th-TH"/>
              </w:rPr>
            </w:pPr>
            <w:r w:rsidRPr="009E6485">
              <w:rPr>
                <w:i/>
                <w:sz w:val="16"/>
                <w:szCs w:val="16"/>
                <w:lang w:bidi="th-TH"/>
              </w:rPr>
              <w:t>Referencia original en el</w:t>
            </w:r>
          </w:p>
          <w:p w:rsidR="00D22903" w:rsidRPr="009E6485" w:rsidRDefault="00D22903" w:rsidP="00DC1333">
            <w:pPr>
              <w:rPr>
                <w:i/>
                <w:sz w:val="16"/>
                <w:szCs w:val="16"/>
                <w:lang w:bidi="th-TH"/>
              </w:rPr>
            </w:pPr>
            <w:r w:rsidRPr="009E6485">
              <w:rPr>
                <w:i/>
                <w:sz w:val="16"/>
                <w:szCs w:val="16"/>
                <w:lang w:bidi="th-TH"/>
              </w:rPr>
              <w:t xml:space="preserve">presupuesto de 2014/15: </w:t>
            </w:r>
          </w:p>
          <w:p w:rsidR="00D22903" w:rsidRPr="009E6485" w:rsidRDefault="00D22903" w:rsidP="00DC1333">
            <w:pPr>
              <w:rPr>
                <w:sz w:val="16"/>
                <w:szCs w:val="16"/>
              </w:rPr>
            </w:pPr>
            <w:r w:rsidRPr="009E6485">
              <w:rPr>
                <w:sz w:val="16"/>
                <w:szCs w:val="16"/>
              </w:rPr>
              <w:t>ARDI:  50</w:t>
            </w:r>
          </w:p>
          <w:p w:rsidR="00D22903" w:rsidRPr="009E6485" w:rsidRDefault="00D22903" w:rsidP="00DC1333">
            <w:pPr>
              <w:rPr>
                <w:sz w:val="16"/>
                <w:szCs w:val="16"/>
              </w:rPr>
            </w:pPr>
            <w:r w:rsidRPr="009E6485">
              <w:rPr>
                <w:sz w:val="16"/>
                <w:szCs w:val="16"/>
              </w:rPr>
              <w:t>ASPI:  20</w:t>
            </w:r>
          </w:p>
          <w:p w:rsidR="00D22903" w:rsidRPr="009E6485" w:rsidRDefault="00D22903" w:rsidP="00DC1333">
            <w:pPr>
              <w:rPr>
                <w:sz w:val="16"/>
                <w:szCs w:val="16"/>
              </w:rPr>
            </w:pPr>
          </w:p>
        </w:tc>
        <w:tc>
          <w:tcPr>
            <w:tcW w:w="821" w:type="pct"/>
            <w:gridSpan w:val="2"/>
            <w:shd w:val="clear" w:color="auto" w:fill="auto"/>
            <w:tcMar>
              <w:top w:w="110" w:type="dxa"/>
            </w:tcMar>
          </w:tcPr>
          <w:p w:rsidR="00D22903" w:rsidRPr="009E6485" w:rsidRDefault="00D22903" w:rsidP="00DC1333">
            <w:pPr>
              <w:rPr>
                <w:sz w:val="16"/>
                <w:szCs w:val="16"/>
              </w:rPr>
            </w:pPr>
            <w:r w:rsidRPr="009E6485">
              <w:rPr>
                <w:sz w:val="16"/>
                <w:szCs w:val="16"/>
              </w:rPr>
              <w:t>ARDI:  300</w:t>
            </w:r>
          </w:p>
          <w:p w:rsidR="00D22903" w:rsidRPr="009E6485" w:rsidRDefault="00D22903" w:rsidP="00DC1333">
            <w:pPr>
              <w:rPr>
                <w:sz w:val="16"/>
                <w:szCs w:val="16"/>
              </w:rPr>
            </w:pPr>
            <w:r w:rsidRPr="009E6485">
              <w:rPr>
                <w:sz w:val="16"/>
                <w:szCs w:val="16"/>
              </w:rPr>
              <w:t>ASPI:  30</w:t>
            </w:r>
          </w:p>
        </w:tc>
        <w:tc>
          <w:tcPr>
            <w:tcW w:w="1192" w:type="pct"/>
            <w:gridSpan w:val="2"/>
            <w:shd w:val="clear" w:color="auto" w:fill="FFFFFF"/>
            <w:tcMar>
              <w:top w:w="110" w:type="dxa"/>
            </w:tcMar>
          </w:tcPr>
          <w:p w:rsidR="00D22903" w:rsidRPr="009E6485" w:rsidRDefault="00D22903" w:rsidP="00DC1333">
            <w:pPr>
              <w:rPr>
                <w:sz w:val="16"/>
                <w:szCs w:val="16"/>
              </w:rPr>
            </w:pPr>
            <w:r w:rsidRPr="009E6485">
              <w:rPr>
                <w:sz w:val="16"/>
                <w:szCs w:val="16"/>
              </w:rPr>
              <w:t>ARDI:  623</w:t>
            </w:r>
          </w:p>
          <w:p w:rsidR="00D22903" w:rsidRPr="009E6485" w:rsidRDefault="00D22903" w:rsidP="00DC1333">
            <w:pPr>
              <w:rPr>
                <w:lang w:bidi="th-TH"/>
              </w:rPr>
            </w:pPr>
            <w:r w:rsidRPr="009E6485">
              <w:rPr>
                <w:sz w:val="16"/>
                <w:szCs w:val="16"/>
              </w:rPr>
              <w:t>ASPI:  42</w:t>
            </w:r>
          </w:p>
        </w:tc>
        <w:tc>
          <w:tcPr>
            <w:tcW w:w="596" w:type="pct"/>
            <w:shd w:val="clear" w:color="auto" w:fill="auto"/>
            <w:tcMar>
              <w:top w:w="110" w:type="dxa"/>
            </w:tcMar>
          </w:tcPr>
          <w:p w:rsidR="00D22903" w:rsidRPr="009E6485" w:rsidRDefault="00D22903" w:rsidP="00DC1333">
            <w:pPr>
              <w:keepNext/>
              <w:keepLines/>
              <w:ind w:right="-108"/>
              <w:jc w:val="center"/>
              <w:rPr>
                <w:b/>
                <w:bCs/>
                <w:color w:val="008000"/>
                <w:sz w:val="16"/>
                <w:szCs w:val="16"/>
              </w:rPr>
            </w:pPr>
            <w:r w:rsidRPr="009E6485">
              <w:rPr>
                <w:b/>
                <w:bCs/>
                <w:color w:val="00B050"/>
                <w:sz w:val="16"/>
                <w:szCs w:val="16"/>
              </w:rPr>
              <w:t>Plenamente logrado</w:t>
            </w:r>
          </w:p>
          <w:p w:rsidR="00D22903" w:rsidRPr="009E6485" w:rsidRDefault="00D22903" w:rsidP="00DC1333">
            <w:pPr>
              <w:keepNext/>
              <w:keepLines/>
              <w:jc w:val="center"/>
              <w:rPr>
                <w:bCs/>
                <w:color w:val="008000"/>
                <w:sz w:val="16"/>
                <w:szCs w:val="16"/>
              </w:rPr>
            </w:pPr>
          </w:p>
          <w:p w:rsidR="00D22903" w:rsidRPr="009E6485" w:rsidRDefault="00D22903" w:rsidP="00DC1333">
            <w:pPr>
              <w:keepNext/>
              <w:keepLines/>
              <w:jc w:val="center"/>
              <w:rPr>
                <w:bCs/>
                <w:color w:val="008000"/>
                <w:sz w:val="16"/>
                <w:szCs w:val="16"/>
              </w:rPr>
            </w:pPr>
          </w:p>
          <w:p w:rsidR="00D22903" w:rsidRPr="009E6485" w:rsidRDefault="00D22903" w:rsidP="00DC1333">
            <w:pPr>
              <w:keepNext/>
              <w:keepLines/>
              <w:jc w:val="center"/>
              <w:rPr>
                <w:bCs/>
                <w:color w:val="008000"/>
                <w:sz w:val="16"/>
                <w:szCs w:val="16"/>
              </w:rPr>
            </w:pPr>
          </w:p>
          <w:p w:rsidR="00D22903" w:rsidRPr="009E6485" w:rsidRDefault="00D22903" w:rsidP="00DC1333">
            <w:pPr>
              <w:keepNext/>
              <w:keepLines/>
              <w:jc w:val="center"/>
              <w:rPr>
                <w:bCs/>
                <w:color w:val="008000"/>
                <w:sz w:val="16"/>
                <w:szCs w:val="16"/>
              </w:rPr>
            </w:pPr>
          </w:p>
        </w:tc>
      </w:tr>
      <w:tr w:rsidR="00D22903" w:rsidRPr="009E6485" w:rsidTr="00044DA1">
        <w:trPr>
          <w:cantSplit/>
        </w:trPr>
        <w:tc>
          <w:tcPr>
            <w:tcW w:w="1111" w:type="pct"/>
            <w:shd w:val="clear" w:color="auto" w:fill="auto"/>
          </w:tcPr>
          <w:p w:rsidR="00D22903" w:rsidRPr="009E6485" w:rsidRDefault="00D22903" w:rsidP="00DC1333">
            <w:pPr>
              <w:rPr>
                <w:sz w:val="16"/>
                <w:szCs w:val="16"/>
              </w:rPr>
            </w:pPr>
            <w:r w:rsidRPr="009E6485">
              <w:rPr>
                <w:sz w:val="16"/>
                <w:szCs w:val="16"/>
              </w:rPr>
              <w:t>Porcentaje de usuarios satisfechos con la prestación de servicios de información sobre patentes con valor añadido (WPIS, cooperación internacional en el examen, familias de patentes y servicio de consulta sobre la situación jurídica).</w:t>
            </w:r>
          </w:p>
        </w:tc>
        <w:tc>
          <w:tcPr>
            <w:tcW w:w="1261" w:type="pct"/>
            <w:gridSpan w:val="2"/>
            <w:shd w:val="clear" w:color="auto" w:fill="auto"/>
          </w:tcPr>
          <w:p w:rsidR="00D22903" w:rsidRPr="009E6485" w:rsidRDefault="00D22903" w:rsidP="00DC1333">
            <w:pPr>
              <w:rPr>
                <w:color w:val="002060"/>
                <w:sz w:val="16"/>
                <w:szCs w:val="16"/>
              </w:rPr>
            </w:pPr>
            <w:r w:rsidRPr="009E6485">
              <w:rPr>
                <w:i/>
                <w:color w:val="002060"/>
                <w:sz w:val="16"/>
                <w:szCs w:val="16"/>
              </w:rPr>
              <w:t>Referencia actualizada a fines de 2013:</w:t>
            </w:r>
            <w:r w:rsidRPr="009E6485">
              <w:t xml:space="preserve"> </w:t>
            </w:r>
            <w:r w:rsidRPr="009E6485">
              <w:rPr>
                <w:color w:val="002060"/>
                <w:sz w:val="16"/>
                <w:szCs w:val="16"/>
              </w:rPr>
              <w:t>No se llevaron a cabo encuestas relativas al servicio de cooperación internacional en el examen y a los servicios de la OMPI de información sobre patentes.  Se está negociando con las oficinas donantes cómo evaluar y recuperar los comentarios de usuarios sobre la labor realizada</w:t>
            </w:r>
          </w:p>
          <w:p w:rsidR="00D22903" w:rsidRPr="009E6485" w:rsidRDefault="00D22903" w:rsidP="00DC1333">
            <w:pPr>
              <w:rPr>
                <w:color w:val="002060"/>
                <w:sz w:val="16"/>
                <w:szCs w:val="16"/>
              </w:rPr>
            </w:pPr>
          </w:p>
          <w:p w:rsidR="00D22903" w:rsidRPr="009E6485" w:rsidRDefault="00D22903" w:rsidP="00DC1333">
            <w:pPr>
              <w:rPr>
                <w:i/>
                <w:sz w:val="16"/>
                <w:szCs w:val="16"/>
                <w:lang w:bidi="th-TH"/>
              </w:rPr>
            </w:pPr>
            <w:r w:rsidRPr="009E6485">
              <w:rPr>
                <w:i/>
                <w:sz w:val="16"/>
                <w:szCs w:val="16"/>
                <w:lang w:bidi="th-TH"/>
              </w:rPr>
              <w:t>Referencia original en el</w:t>
            </w:r>
          </w:p>
          <w:p w:rsidR="00D22903" w:rsidRPr="009E6485" w:rsidRDefault="00D22903" w:rsidP="00DC1333">
            <w:pPr>
              <w:rPr>
                <w:sz w:val="16"/>
                <w:szCs w:val="16"/>
              </w:rPr>
            </w:pPr>
            <w:proofErr w:type="gramStart"/>
            <w:r w:rsidRPr="009E6485">
              <w:rPr>
                <w:i/>
                <w:sz w:val="16"/>
                <w:szCs w:val="16"/>
                <w:lang w:bidi="th-TH"/>
              </w:rPr>
              <w:t>presupuesto</w:t>
            </w:r>
            <w:proofErr w:type="gramEnd"/>
            <w:r w:rsidRPr="009E6485">
              <w:rPr>
                <w:i/>
                <w:sz w:val="16"/>
                <w:szCs w:val="16"/>
                <w:lang w:bidi="th-TH"/>
              </w:rPr>
              <w:t xml:space="preserve"> de 2014/15</w:t>
            </w:r>
            <w:r w:rsidRPr="009E6485">
              <w:rPr>
                <w:i/>
                <w:sz w:val="16"/>
                <w:szCs w:val="16"/>
              </w:rPr>
              <w:t xml:space="preserve">: </w:t>
            </w:r>
            <w:r>
              <w:rPr>
                <w:sz w:val="16"/>
                <w:szCs w:val="16"/>
              </w:rPr>
              <w:t xml:space="preserve">No </w:t>
            </w:r>
            <w:r w:rsidRPr="009E6485">
              <w:rPr>
                <w:sz w:val="16"/>
                <w:szCs w:val="16"/>
              </w:rPr>
              <w:t>disponible.</w:t>
            </w:r>
            <w:r w:rsidRPr="009E6485">
              <w:rPr>
                <w:sz w:val="16"/>
                <w:szCs w:val="16"/>
              </w:rPr>
              <w:br/>
            </w:r>
          </w:p>
        </w:tc>
        <w:tc>
          <w:tcPr>
            <w:tcW w:w="814" w:type="pct"/>
            <w:gridSpan w:val="2"/>
            <w:shd w:val="clear" w:color="auto" w:fill="auto"/>
            <w:tcMar>
              <w:top w:w="110" w:type="dxa"/>
            </w:tcMar>
          </w:tcPr>
          <w:p w:rsidR="00D22903" w:rsidRPr="009E6485" w:rsidRDefault="00D22903" w:rsidP="00DC1333">
            <w:pPr>
              <w:rPr>
                <w:i/>
                <w:sz w:val="16"/>
                <w:szCs w:val="16"/>
              </w:rPr>
            </w:pPr>
            <w:r w:rsidRPr="009E6485">
              <w:rPr>
                <w:sz w:val="16"/>
                <w:szCs w:val="16"/>
              </w:rPr>
              <w:t>75%</w:t>
            </w:r>
          </w:p>
        </w:tc>
        <w:tc>
          <w:tcPr>
            <w:tcW w:w="1183" w:type="pct"/>
            <w:gridSpan w:val="2"/>
            <w:shd w:val="clear" w:color="auto" w:fill="FFFFFF"/>
            <w:tcMar>
              <w:top w:w="110" w:type="dxa"/>
            </w:tcMar>
          </w:tcPr>
          <w:p w:rsidR="00D22903" w:rsidRPr="009E6485" w:rsidRDefault="00D22903" w:rsidP="00DC1333">
            <w:pPr>
              <w:rPr>
                <w:sz w:val="16"/>
                <w:szCs w:val="16"/>
              </w:rPr>
            </w:pPr>
            <w:r w:rsidRPr="009E6485">
              <w:rPr>
                <w:sz w:val="16"/>
                <w:szCs w:val="16"/>
              </w:rPr>
              <w:t>Este indicador se interrumpió debido a la reorganización de los servicios de información sobre patentes.</w:t>
            </w:r>
          </w:p>
        </w:tc>
        <w:tc>
          <w:tcPr>
            <w:tcW w:w="631" w:type="pct"/>
            <w:gridSpan w:val="2"/>
            <w:shd w:val="clear" w:color="auto" w:fill="auto"/>
            <w:tcMar>
              <w:top w:w="110" w:type="dxa"/>
            </w:tcMar>
          </w:tcPr>
          <w:p w:rsidR="00D22903" w:rsidRPr="00044DA1" w:rsidRDefault="00044DA1" w:rsidP="00044DA1">
            <w:pPr>
              <w:keepNext/>
              <w:keepLines/>
              <w:ind w:right="-108"/>
              <w:jc w:val="center"/>
              <w:rPr>
                <w:b/>
                <w:bCs/>
                <w:color w:val="0070C0"/>
                <w:sz w:val="14"/>
                <w:szCs w:val="14"/>
              </w:rPr>
            </w:pPr>
            <w:r w:rsidRPr="00044DA1">
              <w:rPr>
                <w:b/>
                <w:sz w:val="14"/>
                <w:szCs w:val="14"/>
              </w:rPr>
              <w:t>Discontinuado</w:t>
            </w:r>
          </w:p>
        </w:tc>
      </w:tr>
      <w:tr w:rsidR="00D22903" w:rsidRPr="009E6485" w:rsidTr="00044DA1">
        <w:trPr>
          <w:cantSplit/>
        </w:trPr>
        <w:tc>
          <w:tcPr>
            <w:tcW w:w="1111" w:type="pct"/>
            <w:shd w:val="clear" w:color="auto" w:fill="auto"/>
          </w:tcPr>
          <w:p w:rsidR="00D22903" w:rsidRPr="009E6485" w:rsidRDefault="00D22903" w:rsidP="00DC1333">
            <w:pPr>
              <w:rPr>
                <w:sz w:val="16"/>
                <w:szCs w:val="16"/>
              </w:rPr>
            </w:pPr>
            <w:r w:rsidRPr="009E6485">
              <w:rPr>
                <w:sz w:val="16"/>
                <w:szCs w:val="16"/>
              </w:rPr>
              <w:t xml:space="preserve">Porcentaje de usuarios satisfechos con los informes sobre la actividad de </w:t>
            </w:r>
            <w:proofErr w:type="spellStart"/>
            <w:r w:rsidRPr="009E6485">
              <w:rPr>
                <w:sz w:val="16"/>
                <w:szCs w:val="16"/>
              </w:rPr>
              <w:t>patentamiento</w:t>
            </w:r>
            <w:proofErr w:type="spellEnd"/>
            <w:r w:rsidRPr="009E6485">
              <w:rPr>
                <w:color w:val="008000"/>
                <w:sz w:val="16"/>
                <w:szCs w:val="16"/>
              </w:rPr>
              <w:t>.</w:t>
            </w:r>
          </w:p>
        </w:tc>
        <w:tc>
          <w:tcPr>
            <w:tcW w:w="1261" w:type="pct"/>
            <w:gridSpan w:val="2"/>
            <w:shd w:val="clear" w:color="auto" w:fill="auto"/>
          </w:tcPr>
          <w:p w:rsidR="00D22903" w:rsidRPr="009E6485" w:rsidRDefault="00D22903" w:rsidP="00DC1333">
            <w:pPr>
              <w:rPr>
                <w:color w:val="002060"/>
                <w:sz w:val="16"/>
                <w:szCs w:val="16"/>
              </w:rPr>
            </w:pPr>
            <w:r w:rsidRPr="009E6485">
              <w:rPr>
                <w:i/>
                <w:color w:val="002060"/>
                <w:sz w:val="16"/>
                <w:szCs w:val="16"/>
              </w:rPr>
              <w:t>Referencia actualizada a fines de 2013</w:t>
            </w:r>
            <w:proofErr w:type="gramStart"/>
            <w:r w:rsidRPr="009E6485">
              <w:rPr>
                <w:color w:val="002060"/>
                <w:sz w:val="16"/>
                <w:szCs w:val="16"/>
              </w:rPr>
              <w:t>:  En</w:t>
            </w:r>
            <w:proofErr w:type="gramEnd"/>
            <w:r w:rsidRPr="009E6485">
              <w:rPr>
                <w:color w:val="002060"/>
                <w:sz w:val="16"/>
                <w:szCs w:val="16"/>
              </w:rPr>
              <w:t xml:space="preserve"> marzo de 2014 se realizó una encuesta de satisfacción sobre los informes PLR. </w:t>
            </w:r>
            <w:r>
              <w:rPr>
                <w:color w:val="002060"/>
                <w:sz w:val="16"/>
                <w:szCs w:val="16"/>
              </w:rPr>
              <w:t xml:space="preserve"> </w:t>
            </w:r>
            <w:r w:rsidRPr="009E6485">
              <w:rPr>
                <w:color w:val="002060"/>
                <w:sz w:val="16"/>
                <w:szCs w:val="16"/>
              </w:rPr>
              <w:t>Se recibieron 39 respuestas (3 usuarios de primer nivel; 36 usuarios de segundo nivel).  Los resultados indican que aproximadamente el 70% de los usuarios estaban satisfechos con la calidad de los informes</w:t>
            </w:r>
          </w:p>
          <w:p w:rsidR="00D22903" w:rsidRPr="009E6485" w:rsidRDefault="00D22903" w:rsidP="00DC1333">
            <w:pPr>
              <w:rPr>
                <w:color w:val="002060"/>
                <w:sz w:val="16"/>
                <w:szCs w:val="16"/>
              </w:rPr>
            </w:pPr>
          </w:p>
          <w:p w:rsidR="00D22903" w:rsidRPr="009E6485" w:rsidRDefault="00D22903" w:rsidP="00DC1333">
            <w:pPr>
              <w:rPr>
                <w:i/>
                <w:color w:val="002060"/>
                <w:sz w:val="16"/>
                <w:szCs w:val="16"/>
              </w:rPr>
            </w:pPr>
            <w:r w:rsidRPr="009E6485">
              <w:rPr>
                <w:i/>
                <w:color w:val="000000"/>
                <w:sz w:val="16"/>
                <w:szCs w:val="16"/>
                <w:lang w:bidi="th-TH"/>
              </w:rPr>
              <w:t>Referencia original en el presupuesto de 2014/15</w:t>
            </w:r>
            <w:proofErr w:type="gramStart"/>
            <w:r w:rsidRPr="009E6485">
              <w:rPr>
                <w:i/>
                <w:sz w:val="16"/>
                <w:szCs w:val="16"/>
              </w:rPr>
              <w:t>:</w:t>
            </w:r>
            <w:r w:rsidRPr="009E6485">
              <w:t xml:space="preserve">  </w:t>
            </w:r>
            <w:r>
              <w:rPr>
                <w:sz w:val="16"/>
                <w:szCs w:val="16"/>
              </w:rPr>
              <w:t>No</w:t>
            </w:r>
            <w:proofErr w:type="gramEnd"/>
            <w:r>
              <w:rPr>
                <w:sz w:val="16"/>
                <w:szCs w:val="16"/>
              </w:rPr>
              <w:t xml:space="preserve"> </w:t>
            </w:r>
            <w:r w:rsidRPr="009E6485">
              <w:rPr>
                <w:sz w:val="16"/>
                <w:szCs w:val="16"/>
              </w:rPr>
              <w:t>disponible.</w:t>
            </w:r>
          </w:p>
        </w:tc>
        <w:tc>
          <w:tcPr>
            <w:tcW w:w="814" w:type="pct"/>
            <w:gridSpan w:val="2"/>
            <w:shd w:val="clear" w:color="auto" w:fill="auto"/>
            <w:tcMar>
              <w:top w:w="110" w:type="dxa"/>
            </w:tcMar>
          </w:tcPr>
          <w:p w:rsidR="00D22903" w:rsidRPr="009E6485" w:rsidRDefault="00D22903" w:rsidP="00DC1333">
            <w:pPr>
              <w:rPr>
                <w:sz w:val="16"/>
                <w:szCs w:val="16"/>
              </w:rPr>
            </w:pPr>
            <w:r w:rsidRPr="009E6485">
              <w:rPr>
                <w:sz w:val="16"/>
                <w:szCs w:val="16"/>
              </w:rPr>
              <w:t>75%</w:t>
            </w:r>
          </w:p>
        </w:tc>
        <w:tc>
          <w:tcPr>
            <w:tcW w:w="1183" w:type="pct"/>
            <w:gridSpan w:val="2"/>
            <w:shd w:val="clear" w:color="auto" w:fill="FFFFFF"/>
            <w:tcMar>
              <w:top w:w="110" w:type="dxa"/>
            </w:tcMar>
          </w:tcPr>
          <w:p w:rsidR="00D22903" w:rsidRPr="009E6485" w:rsidRDefault="00D22903" w:rsidP="00DC1333">
            <w:pPr>
              <w:rPr>
                <w:sz w:val="16"/>
                <w:szCs w:val="16"/>
              </w:rPr>
            </w:pPr>
            <w:r w:rsidRPr="009E6485">
              <w:rPr>
                <w:sz w:val="16"/>
                <w:szCs w:val="16"/>
              </w:rPr>
              <w:t>En 2015 no se llevó a cabo ninguna encuesta comparable de seguimiento de la satisfacción.</w:t>
            </w:r>
          </w:p>
        </w:tc>
        <w:tc>
          <w:tcPr>
            <w:tcW w:w="631" w:type="pct"/>
            <w:gridSpan w:val="2"/>
            <w:shd w:val="clear" w:color="auto" w:fill="auto"/>
            <w:tcMar>
              <w:top w:w="110" w:type="dxa"/>
            </w:tcMar>
          </w:tcPr>
          <w:p w:rsidR="00D22903" w:rsidRPr="009E6485" w:rsidRDefault="00D22903" w:rsidP="00DC1333">
            <w:pPr>
              <w:keepNext/>
              <w:keepLines/>
              <w:jc w:val="center"/>
              <w:rPr>
                <w:bCs/>
                <w:color w:val="0070C0"/>
                <w:sz w:val="16"/>
                <w:szCs w:val="16"/>
              </w:rPr>
            </w:pPr>
            <w:r w:rsidRPr="009E6485">
              <w:rPr>
                <w:b/>
                <w:bCs/>
                <w:color w:val="808080"/>
                <w:sz w:val="16"/>
                <w:szCs w:val="16"/>
              </w:rPr>
              <w:t>No mensurable</w:t>
            </w:r>
          </w:p>
        </w:tc>
      </w:tr>
    </w:tbl>
    <w:p w:rsidR="00D22903" w:rsidRPr="001F740E" w:rsidRDefault="00D22903" w:rsidP="00D22903">
      <w:pPr>
        <w:jc w:val="both"/>
        <w:rPr>
          <w:sz w:val="20"/>
        </w:rPr>
      </w:pPr>
    </w:p>
    <w:p w:rsidR="001F740E" w:rsidRPr="001F740E" w:rsidRDefault="001F740E" w:rsidP="00D22903">
      <w:pPr>
        <w:jc w:val="both"/>
        <w:rPr>
          <w:sz w:val="20"/>
        </w:rPr>
      </w:pPr>
    </w:p>
    <w:p w:rsidR="00D22903" w:rsidRPr="001F740E" w:rsidRDefault="00D22903" w:rsidP="00D22903">
      <w:pPr>
        <w:rPr>
          <w:color w:val="000000"/>
          <w:sz w:val="20"/>
        </w:rPr>
      </w:pPr>
      <w:r w:rsidRPr="001F740E">
        <w:rPr>
          <w:color w:val="000000"/>
          <w:sz w:val="20"/>
        </w:rPr>
        <w:t>INFORMACIÓN SOBRE LOS RIESGOS PLANTEADOS EN EL BIENIO</w:t>
      </w:r>
    </w:p>
    <w:p w:rsidR="00D22903" w:rsidRPr="001F740E" w:rsidRDefault="00D22903" w:rsidP="00D22903">
      <w:pPr>
        <w:rPr>
          <w:sz w:val="20"/>
        </w:rPr>
      </w:pPr>
    </w:p>
    <w:tbl>
      <w:tblPr>
        <w:tblW w:w="9639"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268"/>
        <w:gridCol w:w="2835"/>
        <w:gridCol w:w="2552"/>
        <w:gridCol w:w="1984"/>
      </w:tblGrid>
      <w:tr w:rsidR="00D22903" w:rsidRPr="009E6485" w:rsidTr="00871CBF">
        <w:trPr>
          <w:trHeight w:val="380"/>
          <w:tblHeader/>
        </w:trPr>
        <w:tc>
          <w:tcPr>
            <w:tcW w:w="2268" w:type="dxa"/>
            <w:tcBorders>
              <w:top w:val="single" w:sz="4" w:space="0" w:color="auto"/>
              <w:bottom w:val="single" w:sz="4" w:space="0" w:color="auto"/>
            </w:tcBorders>
            <w:shd w:val="clear" w:color="auto" w:fill="C6D9F1" w:themeFill="text2" w:themeFillTint="33"/>
            <w:tcMar>
              <w:top w:w="113" w:type="dxa"/>
              <w:bottom w:w="113" w:type="dxa"/>
            </w:tcMar>
            <w:vAlign w:val="center"/>
          </w:tcPr>
          <w:p w:rsidR="00D22903" w:rsidRPr="009E6485" w:rsidRDefault="00D22903" w:rsidP="00DC1333">
            <w:pPr>
              <w:keepNext/>
              <w:keepLines/>
              <w:autoSpaceDE w:val="0"/>
              <w:autoSpaceDN w:val="0"/>
              <w:adjustRightInd w:val="0"/>
              <w:ind w:right="-59"/>
              <w:jc w:val="center"/>
              <w:rPr>
                <w:b/>
                <w:bCs/>
                <w:sz w:val="18"/>
                <w:szCs w:val="18"/>
              </w:rPr>
            </w:pPr>
            <w:r w:rsidRPr="009E6485">
              <w:rPr>
                <w:b/>
                <w:bCs/>
                <w:iCs/>
                <w:sz w:val="18"/>
                <w:szCs w:val="18"/>
              </w:rPr>
              <w:t>Riesgos en el logro de los resultados del programa</w:t>
            </w:r>
          </w:p>
        </w:tc>
        <w:tc>
          <w:tcPr>
            <w:tcW w:w="2835" w:type="dxa"/>
            <w:tcBorders>
              <w:top w:val="single" w:sz="4" w:space="0" w:color="auto"/>
              <w:bottom w:val="single" w:sz="4" w:space="0" w:color="auto"/>
            </w:tcBorders>
            <w:shd w:val="clear" w:color="auto" w:fill="C6D9F1" w:themeFill="text2" w:themeFillTint="33"/>
            <w:tcMar>
              <w:top w:w="113" w:type="dxa"/>
              <w:bottom w:w="113" w:type="dxa"/>
            </w:tcMar>
            <w:vAlign w:val="center"/>
          </w:tcPr>
          <w:p w:rsidR="00D22903" w:rsidRPr="009E6485" w:rsidRDefault="00D22903" w:rsidP="00DC1333">
            <w:pPr>
              <w:keepNext/>
              <w:keepLines/>
              <w:autoSpaceDE w:val="0"/>
              <w:autoSpaceDN w:val="0"/>
              <w:adjustRightInd w:val="0"/>
              <w:ind w:right="-59"/>
              <w:jc w:val="center"/>
              <w:rPr>
                <w:b/>
                <w:bCs/>
                <w:sz w:val="18"/>
                <w:szCs w:val="18"/>
              </w:rPr>
            </w:pPr>
            <w:r w:rsidRPr="009E6485">
              <w:rPr>
                <w:b/>
                <w:bCs/>
                <w:iCs/>
                <w:sz w:val="18"/>
                <w:szCs w:val="18"/>
              </w:rPr>
              <w:t>Planes de mitigación ejecutados o en ejecución</w:t>
            </w:r>
          </w:p>
        </w:tc>
        <w:tc>
          <w:tcPr>
            <w:tcW w:w="2552" w:type="dxa"/>
            <w:tcBorders>
              <w:top w:val="single" w:sz="4" w:space="0" w:color="auto"/>
              <w:bottom w:val="single" w:sz="4" w:space="0" w:color="auto"/>
            </w:tcBorders>
            <w:shd w:val="clear" w:color="auto" w:fill="C6D9F1" w:themeFill="text2" w:themeFillTint="33"/>
          </w:tcPr>
          <w:p w:rsidR="00D22903" w:rsidRPr="009E6485" w:rsidRDefault="00D22903" w:rsidP="00DC1333">
            <w:pPr>
              <w:keepNext/>
              <w:keepLines/>
              <w:jc w:val="center"/>
              <w:rPr>
                <w:b/>
                <w:bCs/>
                <w:sz w:val="18"/>
                <w:szCs w:val="18"/>
              </w:rPr>
            </w:pPr>
            <w:r w:rsidRPr="009E6485">
              <w:rPr>
                <w:b/>
                <w:bCs/>
                <w:iCs/>
                <w:sz w:val="18"/>
                <w:szCs w:val="18"/>
              </w:rPr>
              <w:t>Evolución de los riesgos y estrategias de mitigación durante el bienio</w:t>
            </w:r>
          </w:p>
        </w:tc>
        <w:tc>
          <w:tcPr>
            <w:tcW w:w="1984" w:type="dxa"/>
            <w:tcBorders>
              <w:top w:val="single" w:sz="4" w:space="0" w:color="auto"/>
              <w:bottom w:val="single" w:sz="4" w:space="0" w:color="auto"/>
            </w:tcBorders>
            <w:shd w:val="clear" w:color="auto" w:fill="C6D9F1" w:themeFill="text2" w:themeFillTint="33"/>
          </w:tcPr>
          <w:p w:rsidR="00D22903" w:rsidRPr="009E6485" w:rsidRDefault="00D22903" w:rsidP="00DC1333">
            <w:pPr>
              <w:keepNext/>
              <w:keepLines/>
              <w:jc w:val="center"/>
              <w:rPr>
                <w:b/>
                <w:bCs/>
                <w:sz w:val="18"/>
                <w:szCs w:val="18"/>
              </w:rPr>
            </w:pPr>
            <w:r w:rsidRPr="009E6485">
              <w:rPr>
                <w:b/>
                <w:bCs/>
                <w:sz w:val="18"/>
                <w:szCs w:val="18"/>
              </w:rPr>
              <w:t>Incidencia en el rendimiento del programa</w:t>
            </w:r>
          </w:p>
        </w:tc>
      </w:tr>
      <w:tr w:rsidR="00D22903" w:rsidRPr="009E6485" w:rsidTr="00871CBF">
        <w:trPr>
          <w:trHeight w:val="785"/>
        </w:trPr>
        <w:tc>
          <w:tcPr>
            <w:tcW w:w="2268" w:type="dxa"/>
            <w:tcBorders>
              <w:top w:val="single" w:sz="4" w:space="0" w:color="auto"/>
            </w:tcBorders>
            <w:shd w:val="clear" w:color="auto" w:fill="auto"/>
            <w:tcMar>
              <w:top w:w="113" w:type="dxa"/>
              <w:bottom w:w="113" w:type="dxa"/>
            </w:tcMar>
          </w:tcPr>
          <w:p w:rsidR="00D22903" w:rsidRPr="009E6485" w:rsidRDefault="00D22903" w:rsidP="00DC1333">
            <w:pPr>
              <w:rPr>
                <w:sz w:val="16"/>
                <w:szCs w:val="16"/>
              </w:rPr>
            </w:pPr>
            <w:r w:rsidRPr="009E6485">
              <w:rPr>
                <w:sz w:val="16"/>
                <w:szCs w:val="16"/>
              </w:rPr>
              <w:t>La incapacidad para mantener y continuar apoyando el funcionamiento autónomo de la red de CATI.  Esta incapacidad podría tener como consecuencia el cierre de ciertas redes de CATI, lo que privaría de acceso a servicios de información sobre tecnología a ciertos inversores, pymes y otras partes interesadas pertinentes</w:t>
            </w:r>
          </w:p>
        </w:tc>
        <w:tc>
          <w:tcPr>
            <w:tcW w:w="2835" w:type="dxa"/>
            <w:tcBorders>
              <w:top w:val="single" w:sz="4" w:space="0" w:color="auto"/>
            </w:tcBorders>
            <w:shd w:val="clear" w:color="auto" w:fill="auto"/>
            <w:tcMar>
              <w:top w:w="113" w:type="dxa"/>
              <w:bottom w:w="113" w:type="dxa"/>
            </w:tcMar>
          </w:tcPr>
          <w:p w:rsidR="00D22903" w:rsidRPr="009E6485" w:rsidRDefault="00D22903" w:rsidP="00DC1333">
            <w:pPr>
              <w:autoSpaceDE w:val="0"/>
              <w:autoSpaceDN w:val="0"/>
              <w:adjustRightInd w:val="0"/>
              <w:ind w:right="-59"/>
              <w:rPr>
                <w:sz w:val="16"/>
                <w:szCs w:val="16"/>
              </w:rPr>
            </w:pPr>
            <w:r w:rsidRPr="009E6485">
              <w:rPr>
                <w:sz w:val="16"/>
                <w:szCs w:val="16"/>
              </w:rPr>
              <w:t>Una mayor colaboración con los países en los que se han establecido CATI en lo relativo a la planificación y ejecución del proyecto de CATI</w:t>
            </w:r>
          </w:p>
          <w:p w:rsidR="00D22903" w:rsidRPr="009E6485" w:rsidRDefault="00D22903" w:rsidP="00DC1333">
            <w:pPr>
              <w:autoSpaceDE w:val="0"/>
              <w:autoSpaceDN w:val="0"/>
              <w:adjustRightInd w:val="0"/>
              <w:ind w:right="-59"/>
              <w:rPr>
                <w:sz w:val="16"/>
                <w:szCs w:val="16"/>
              </w:rPr>
            </w:pPr>
          </w:p>
        </w:tc>
        <w:tc>
          <w:tcPr>
            <w:tcW w:w="2552" w:type="dxa"/>
            <w:tcBorders>
              <w:top w:val="single" w:sz="4" w:space="0" w:color="auto"/>
            </w:tcBorders>
          </w:tcPr>
          <w:p w:rsidR="00D22903" w:rsidRPr="009E6485" w:rsidRDefault="00D22903" w:rsidP="00DC1333">
            <w:pPr>
              <w:autoSpaceDE w:val="0"/>
              <w:autoSpaceDN w:val="0"/>
              <w:adjustRightInd w:val="0"/>
              <w:ind w:right="-59"/>
              <w:rPr>
                <w:sz w:val="16"/>
                <w:szCs w:val="16"/>
              </w:rPr>
            </w:pPr>
            <w:r w:rsidRPr="009E6485">
              <w:rPr>
                <w:sz w:val="16"/>
                <w:szCs w:val="16"/>
              </w:rPr>
              <w:t>Los centros nacionales de coordinación y las instituciones anfitrionas desempeñaron una función cada vez más activa en la planificación y ejecución del proyecto de CATI, en lugar de confiar exclusivamente en el apoyo de la OMPI.</w:t>
            </w:r>
          </w:p>
        </w:tc>
        <w:tc>
          <w:tcPr>
            <w:tcW w:w="1984" w:type="dxa"/>
            <w:tcBorders>
              <w:top w:val="single" w:sz="4" w:space="0" w:color="auto"/>
            </w:tcBorders>
          </w:tcPr>
          <w:p w:rsidR="00D22903" w:rsidRPr="009E6485" w:rsidRDefault="00D22903" w:rsidP="00DC1333">
            <w:pPr>
              <w:autoSpaceDE w:val="0"/>
              <w:autoSpaceDN w:val="0"/>
              <w:adjustRightInd w:val="0"/>
              <w:ind w:right="-59"/>
              <w:rPr>
                <w:sz w:val="16"/>
                <w:szCs w:val="16"/>
              </w:rPr>
            </w:pPr>
            <w:r w:rsidRPr="009E6485">
              <w:rPr>
                <w:sz w:val="16"/>
                <w:szCs w:val="16"/>
                <w:lang w:eastAsia="en-GB"/>
              </w:rPr>
              <w:t>La estrategia de mitigación contribuyó a mejorar la coordinación con los países anfitriones, los centros nacionales de coordinación y las instituciones anfitrionas, aumentando así la sostenibilidad.</w:t>
            </w:r>
          </w:p>
        </w:tc>
      </w:tr>
      <w:tr w:rsidR="00D22903" w:rsidRPr="009E6485" w:rsidTr="00871CBF">
        <w:trPr>
          <w:trHeight w:val="781"/>
        </w:trPr>
        <w:tc>
          <w:tcPr>
            <w:tcW w:w="2268" w:type="dxa"/>
            <w:shd w:val="clear" w:color="auto" w:fill="auto"/>
            <w:tcMar>
              <w:top w:w="113" w:type="dxa"/>
              <w:bottom w:w="113" w:type="dxa"/>
            </w:tcMar>
          </w:tcPr>
          <w:p w:rsidR="00D22903" w:rsidRPr="009E6485" w:rsidRDefault="00D22903" w:rsidP="00DC1333">
            <w:pPr>
              <w:rPr>
                <w:sz w:val="16"/>
                <w:szCs w:val="16"/>
              </w:rPr>
            </w:pPr>
            <w:r w:rsidRPr="009E6485">
              <w:rPr>
                <w:sz w:val="16"/>
                <w:szCs w:val="16"/>
              </w:rPr>
              <w:t xml:space="preserve">La falta de utilización de los informes publicados sobre la actividad de </w:t>
            </w:r>
            <w:proofErr w:type="spellStart"/>
            <w:r w:rsidRPr="009E6485">
              <w:rPr>
                <w:sz w:val="16"/>
                <w:szCs w:val="16"/>
              </w:rPr>
              <w:t>patentamiento</w:t>
            </w:r>
            <w:proofErr w:type="spellEnd"/>
            <w:r w:rsidRPr="009E6485">
              <w:rPr>
                <w:sz w:val="16"/>
                <w:szCs w:val="16"/>
              </w:rPr>
              <w:t xml:space="preserve"> por el público al que están dirigidos (inventores, </w:t>
            </w:r>
            <w:r w:rsidRPr="009E6485">
              <w:rPr>
                <w:sz w:val="16"/>
                <w:szCs w:val="16"/>
              </w:rPr>
              <w:lastRenderedPageBreak/>
              <w:t>investigadores, el sector de la P.I., los círculos académicos y los encargados de la formulación de políticas y de la toma de decisiones en la esfera de la I+D).</w:t>
            </w:r>
          </w:p>
        </w:tc>
        <w:tc>
          <w:tcPr>
            <w:tcW w:w="2835" w:type="dxa"/>
            <w:shd w:val="clear" w:color="auto" w:fill="auto"/>
            <w:tcMar>
              <w:top w:w="113" w:type="dxa"/>
              <w:bottom w:w="113" w:type="dxa"/>
            </w:tcMar>
          </w:tcPr>
          <w:p w:rsidR="00D22903" w:rsidRPr="009E6485" w:rsidRDefault="00D22903" w:rsidP="00DC1333">
            <w:pPr>
              <w:autoSpaceDE w:val="0"/>
              <w:autoSpaceDN w:val="0"/>
              <w:adjustRightInd w:val="0"/>
              <w:ind w:right="-59"/>
              <w:rPr>
                <w:sz w:val="16"/>
                <w:szCs w:val="16"/>
              </w:rPr>
            </w:pPr>
            <w:r w:rsidRPr="009E6485">
              <w:rPr>
                <w:sz w:val="16"/>
                <w:szCs w:val="16"/>
              </w:rPr>
              <w:lastRenderedPageBreak/>
              <w:t xml:space="preserve">Una elección cuidadosa de los temas de los informes sobre la actividad de </w:t>
            </w:r>
            <w:proofErr w:type="spellStart"/>
            <w:r w:rsidRPr="009E6485">
              <w:rPr>
                <w:sz w:val="16"/>
                <w:szCs w:val="16"/>
              </w:rPr>
              <w:t>patentamiento</w:t>
            </w:r>
            <w:proofErr w:type="spellEnd"/>
            <w:r w:rsidRPr="009E6485">
              <w:rPr>
                <w:sz w:val="16"/>
                <w:szCs w:val="16"/>
              </w:rPr>
              <w:t xml:space="preserve"> y mejora de su difusión, así como una mejor coordinación con las partes </w:t>
            </w:r>
            <w:r w:rsidRPr="009E6485">
              <w:rPr>
                <w:sz w:val="16"/>
                <w:szCs w:val="16"/>
              </w:rPr>
              <w:lastRenderedPageBreak/>
              <w:t>interesadas a las que van dirigidos</w:t>
            </w:r>
          </w:p>
          <w:p w:rsidR="00D22903" w:rsidRPr="009E6485" w:rsidRDefault="00D22903" w:rsidP="00DC1333">
            <w:pPr>
              <w:autoSpaceDE w:val="0"/>
              <w:autoSpaceDN w:val="0"/>
              <w:adjustRightInd w:val="0"/>
              <w:ind w:right="-59"/>
              <w:rPr>
                <w:sz w:val="16"/>
                <w:szCs w:val="16"/>
              </w:rPr>
            </w:pPr>
          </w:p>
        </w:tc>
        <w:tc>
          <w:tcPr>
            <w:tcW w:w="2552" w:type="dxa"/>
          </w:tcPr>
          <w:p w:rsidR="00D22903" w:rsidRPr="009E6485" w:rsidRDefault="00D22903" w:rsidP="00DC1333">
            <w:pPr>
              <w:autoSpaceDE w:val="0"/>
              <w:autoSpaceDN w:val="0"/>
              <w:adjustRightInd w:val="0"/>
              <w:ind w:right="-59"/>
              <w:rPr>
                <w:sz w:val="16"/>
                <w:szCs w:val="16"/>
              </w:rPr>
            </w:pPr>
            <w:r w:rsidRPr="009E6485">
              <w:rPr>
                <w:sz w:val="16"/>
                <w:szCs w:val="16"/>
                <w:lang w:eastAsia="en-GB"/>
              </w:rPr>
              <w:lastRenderedPageBreak/>
              <w:t xml:space="preserve">El riesgo no se materializó, ya que, gracias a las estrategias específicas de mitigación, se consiguió reducir la probabilidad de que se produjera.  La mejora </w:t>
            </w:r>
            <w:r w:rsidRPr="009E6485">
              <w:rPr>
                <w:sz w:val="16"/>
                <w:szCs w:val="16"/>
                <w:lang w:eastAsia="en-GB"/>
              </w:rPr>
              <w:lastRenderedPageBreak/>
              <w:t xml:space="preserve">de las estrategias de difusión a través de las redes sociales, así como reuniones específicas </w:t>
            </w:r>
            <w:r>
              <w:rPr>
                <w:sz w:val="16"/>
                <w:szCs w:val="16"/>
                <w:lang w:eastAsia="en-GB"/>
              </w:rPr>
              <w:t>con</w:t>
            </w:r>
            <w:r w:rsidRPr="009E6485">
              <w:rPr>
                <w:sz w:val="16"/>
                <w:szCs w:val="16"/>
                <w:lang w:eastAsia="en-GB"/>
              </w:rPr>
              <w:t xml:space="preserve"> e</w:t>
            </w:r>
            <w:r>
              <w:rPr>
                <w:sz w:val="16"/>
                <w:szCs w:val="16"/>
                <w:lang w:eastAsia="en-GB"/>
              </w:rPr>
              <w:t>l público destinatario, permitieron</w:t>
            </w:r>
            <w:r w:rsidRPr="009E6485">
              <w:rPr>
                <w:sz w:val="16"/>
                <w:szCs w:val="16"/>
                <w:lang w:eastAsia="en-GB"/>
              </w:rPr>
              <w:t xml:space="preserve"> llegar a un público que normalmente no estaría al corriente de la labor que lleva a cabo la OMPI, con lo que aumentó el número de beneficiarios del informe</w:t>
            </w:r>
            <w:r>
              <w:rPr>
                <w:sz w:val="16"/>
                <w:szCs w:val="16"/>
                <w:lang w:eastAsia="en-GB"/>
              </w:rPr>
              <w:t>.</w:t>
            </w:r>
          </w:p>
        </w:tc>
        <w:tc>
          <w:tcPr>
            <w:tcW w:w="1984" w:type="dxa"/>
          </w:tcPr>
          <w:p w:rsidR="00D22903" w:rsidRPr="009E6485" w:rsidRDefault="00D22903" w:rsidP="00DC1333">
            <w:pPr>
              <w:autoSpaceDE w:val="0"/>
              <w:autoSpaceDN w:val="0"/>
              <w:adjustRightInd w:val="0"/>
              <w:ind w:right="-59"/>
              <w:rPr>
                <w:sz w:val="16"/>
                <w:szCs w:val="16"/>
              </w:rPr>
            </w:pPr>
            <w:r w:rsidRPr="009E6485">
              <w:rPr>
                <w:sz w:val="16"/>
                <w:szCs w:val="16"/>
                <w:lang w:eastAsia="en-GB"/>
              </w:rPr>
              <w:lastRenderedPageBreak/>
              <w:t xml:space="preserve">Las estrategias de mitigación contribuyeron a aumentar la sensibilización del público en relación con </w:t>
            </w:r>
            <w:r w:rsidRPr="009E6485">
              <w:rPr>
                <w:sz w:val="16"/>
                <w:szCs w:val="16"/>
                <w:lang w:eastAsia="en-GB"/>
              </w:rPr>
              <w:lastRenderedPageBreak/>
              <w:t>los informes PLR, el acceso a estos y su utilización.</w:t>
            </w:r>
          </w:p>
        </w:tc>
      </w:tr>
      <w:tr w:rsidR="00D22903" w:rsidRPr="009E6485" w:rsidTr="00871CBF">
        <w:trPr>
          <w:trHeight w:val="339"/>
        </w:trPr>
        <w:tc>
          <w:tcPr>
            <w:tcW w:w="2268" w:type="dxa"/>
            <w:shd w:val="clear" w:color="auto" w:fill="auto"/>
            <w:tcMar>
              <w:top w:w="113" w:type="dxa"/>
              <w:bottom w:w="113" w:type="dxa"/>
            </w:tcMar>
          </w:tcPr>
          <w:p w:rsidR="00D22903" w:rsidRPr="009E6485" w:rsidRDefault="00D22903" w:rsidP="00DC1333">
            <w:pPr>
              <w:rPr>
                <w:sz w:val="16"/>
                <w:szCs w:val="16"/>
              </w:rPr>
            </w:pPr>
            <w:r w:rsidRPr="009E6485">
              <w:rPr>
                <w:sz w:val="16"/>
                <w:szCs w:val="16"/>
              </w:rPr>
              <w:lastRenderedPageBreak/>
              <w:t>En la prestación de servicios de información sobre patentes puede producirse un desajuste entre la oferta y la demanda, sobre todo entre la calidad y la cantidad esperadas y efectivas de esos servicios, así como la rapidez con que se prestan cuando los recursos disponibles son escasos, y habida cuenta de que la participación de las oficinas que proporcionan esos servicios es voluntaria y gratuita.</w:t>
            </w:r>
          </w:p>
        </w:tc>
        <w:tc>
          <w:tcPr>
            <w:tcW w:w="2835" w:type="dxa"/>
            <w:shd w:val="clear" w:color="auto" w:fill="auto"/>
            <w:tcMar>
              <w:top w:w="113" w:type="dxa"/>
              <w:bottom w:w="113" w:type="dxa"/>
            </w:tcMar>
          </w:tcPr>
          <w:p w:rsidR="00D22903" w:rsidRPr="009E6485" w:rsidRDefault="00D22903" w:rsidP="00DC1333">
            <w:pPr>
              <w:autoSpaceDE w:val="0"/>
              <w:autoSpaceDN w:val="0"/>
              <w:adjustRightInd w:val="0"/>
              <w:ind w:right="-59"/>
              <w:rPr>
                <w:sz w:val="16"/>
                <w:szCs w:val="16"/>
              </w:rPr>
            </w:pPr>
            <w:r w:rsidRPr="009E6485">
              <w:rPr>
                <w:sz w:val="16"/>
                <w:szCs w:val="16"/>
              </w:rPr>
              <w:t xml:space="preserve">La OMPI mitigará los riesgos por medio de la supervisión de la puntualidad y la calidad de los servicios prestados por las oficinas participantes, la colaboración en la preparación de informes sobre análisis de la actividad de </w:t>
            </w:r>
            <w:proofErr w:type="spellStart"/>
            <w:r w:rsidRPr="009E6485">
              <w:rPr>
                <w:sz w:val="16"/>
                <w:szCs w:val="16"/>
              </w:rPr>
              <w:t>patentamiento</w:t>
            </w:r>
            <w:proofErr w:type="spellEnd"/>
            <w:r w:rsidRPr="009E6485">
              <w:rPr>
                <w:sz w:val="16"/>
                <w:szCs w:val="16"/>
              </w:rPr>
              <w:t xml:space="preserve"> con instituciones asociadas externas que han expresado un interés especial y han demostrado unas necesidades particulares, la petición y evaluación de comentarios de los usuarios de los servicios, el establecimiento de prioridades respecto de las peticiones en caso de que se reciba un volumen excesivo, y la promoción de los servicios si esa demanda fuera escasa.</w:t>
            </w:r>
          </w:p>
        </w:tc>
        <w:tc>
          <w:tcPr>
            <w:tcW w:w="2552" w:type="dxa"/>
          </w:tcPr>
          <w:p w:rsidR="00D22903" w:rsidRPr="009E6485" w:rsidRDefault="00D22903" w:rsidP="00DC1333">
            <w:pPr>
              <w:autoSpaceDE w:val="0"/>
              <w:autoSpaceDN w:val="0"/>
              <w:adjustRightInd w:val="0"/>
              <w:ind w:right="-59"/>
              <w:rPr>
                <w:sz w:val="16"/>
                <w:szCs w:val="16"/>
              </w:rPr>
            </w:pPr>
            <w:r w:rsidRPr="009E6485">
              <w:rPr>
                <w:sz w:val="16"/>
                <w:szCs w:val="16"/>
                <w:lang w:eastAsia="en-GB"/>
              </w:rPr>
              <w:t>El riesgo no se materializó gracias a las medidas de mitigación puestas en práctica por el programa.</w:t>
            </w:r>
          </w:p>
        </w:tc>
        <w:tc>
          <w:tcPr>
            <w:tcW w:w="1984" w:type="dxa"/>
          </w:tcPr>
          <w:p w:rsidR="00D22903" w:rsidRPr="009E6485" w:rsidRDefault="00D22903" w:rsidP="00DC1333">
            <w:pPr>
              <w:autoSpaceDE w:val="0"/>
              <w:autoSpaceDN w:val="0"/>
              <w:adjustRightInd w:val="0"/>
              <w:ind w:right="-59"/>
              <w:rPr>
                <w:sz w:val="16"/>
                <w:szCs w:val="16"/>
              </w:rPr>
            </w:pPr>
            <w:r w:rsidRPr="009E6485">
              <w:rPr>
                <w:sz w:val="16"/>
                <w:szCs w:val="16"/>
              </w:rPr>
              <w:t>No hubo incidencia sustancial alguna en el rendimiento del programa.</w:t>
            </w:r>
          </w:p>
        </w:tc>
      </w:tr>
    </w:tbl>
    <w:p w:rsidR="00D22903" w:rsidRPr="00871CBF" w:rsidRDefault="00D22903" w:rsidP="00D22903">
      <w:pPr>
        <w:rPr>
          <w:color w:val="000000"/>
          <w:sz w:val="20"/>
        </w:rPr>
      </w:pPr>
    </w:p>
    <w:p w:rsidR="00871CBF" w:rsidRPr="00871CBF" w:rsidRDefault="00871CBF" w:rsidP="00D22903">
      <w:pPr>
        <w:rPr>
          <w:color w:val="000000"/>
          <w:sz w:val="20"/>
        </w:rPr>
      </w:pPr>
    </w:p>
    <w:p w:rsidR="00D22903" w:rsidRPr="00871CBF" w:rsidRDefault="00D22903" w:rsidP="00D22903">
      <w:pPr>
        <w:jc w:val="both"/>
        <w:rPr>
          <w:b/>
          <w:sz w:val="20"/>
        </w:rPr>
      </w:pPr>
      <w:r w:rsidRPr="00871CBF">
        <w:rPr>
          <w:sz w:val="20"/>
        </w:rPr>
        <w:t>UTILIZACIÓN DE LOS RECURSOS</w:t>
      </w:r>
    </w:p>
    <w:p w:rsidR="00D22903" w:rsidRPr="00871CBF" w:rsidRDefault="00D22903" w:rsidP="00D22903">
      <w:pPr>
        <w:jc w:val="both"/>
        <w:rPr>
          <w:sz w:val="20"/>
        </w:rPr>
      </w:pPr>
    </w:p>
    <w:p w:rsidR="00D22903" w:rsidRPr="00871CBF" w:rsidRDefault="00D22903" w:rsidP="00D22903">
      <w:pPr>
        <w:pStyle w:val="NormalWeb"/>
        <w:spacing w:before="0" w:beforeAutospacing="0" w:after="0" w:afterAutospacing="0"/>
        <w:jc w:val="center"/>
        <w:rPr>
          <w:sz w:val="20"/>
          <w:szCs w:val="20"/>
          <w:lang w:val="es-ES"/>
        </w:rPr>
      </w:pPr>
      <w:r w:rsidRPr="00871CBF">
        <w:rPr>
          <w:sz w:val="20"/>
          <w:szCs w:val="20"/>
          <w:lang w:val="es-ES"/>
        </w:rPr>
        <w:t>Presupuesto y gastos reales (por resultado)</w:t>
      </w:r>
    </w:p>
    <w:p w:rsidR="00D22903" w:rsidRPr="00871CBF" w:rsidRDefault="00D22903" w:rsidP="00D22903">
      <w:pPr>
        <w:pStyle w:val="NormalWeb"/>
        <w:spacing w:before="0" w:beforeAutospacing="0" w:after="0" w:afterAutospacing="0"/>
        <w:jc w:val="center"/>
        <w:rPr>
          <w:i/>
          <w:iCs/>
          <w:sz w:val="20"/>
          <w:szCs w:val="20"/>
          <w:lang w:val="es-ES"/>
        </w:rPr>
      </w:pPr>
      <w:r w:rsidRPr="00871CBF">
        <w:rPr>
          <w:i/>
          <w:iCs/>
          <w:sz w:val="20"/>
          <w:szCs w:val="20"/>
          <w:lang w:val="es-ES"/>
        </w:rPr>
        <w:t>(</w:t>
      </w:r>
      <w:proofErr w:type="gramStart"/>
      <w:r w:rsidRPr="00871CBF">
        <w:rPr>
          <w:i/>
          <w:iCs/>
          <w:sz w:val="20"/>
          <w:szCs w:val="20"/>
          <w:lang w:val="es-ES"/>
        </w:rPr>
        <w:t>en</w:t>
      </w:r>
      <w:proofErr w:type="gramEnd"/>
      <w:r w:rsidRPr="00871CBF">
        <w:rPr>
          <w:i/>
          <w:iCs/>
          <w:sz w:val="20"/>
          <w:szCs w:val="20"/>
          <w:lang w:val="es-ES"/>
        </w:rPr>
        <w:t xml:space="preserve"> miles de francos suizos)</w:t>
      </w:r>
    </w:p>
    <w:p w:rsidR="00D22903" w:rsidRPr="00871CBF" w:rsidRDefault="00D22903" w:rsidP="00D22903">
      <w:pPr>
        <w:jc w:val="both"/>
        <w:rPr>
          <w:sz w:val="20"/>
        </w:rPr>
      </w:pPr>
    </w:p>
    <w:p w:rsidR="00D22903" w:rsidRPr="009E6485" w:rsidRDefault="00BE5A79" w:rsidP="00D22903">
      <w:pPr>
        <w:jc w:val="center"/>
      </w:pPr>
      <w:r>
        <w:rPr>
          <w:noProof/>
          <w:lang w:val="en-US" w:eastAsia="en-US"/>
        </w:rPr>
        <w:drawing>
          <wp:inline distT="0" distB="0" distL="0" distR="0" wp14:anchorId="7968A27A" wp14:editId="3E2E218D">
            <wp:extent cx="5676900" cy="1362075"/>
            <wp:effectExtent l="0" t="0" r="0" b="9525"/>
            <wp:docPr id="823" name="Picture 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5676900" cy="1362075"/>
                    </a:xfrm>
                    <a:prstGeom prst="rect">
                      <a:avLst/>
                    </a:prstGeom>
                    <a:noFill/>
                    <a:ln>
                      <a:noFill/>
                    </a:ln>
                  </pic:spPr>
                </pic:pic>
              </a:graphicData>
            </a:graphic>
          </wp:inline>
        </w:drawing>
      </w:r>
    </w:p>
    <w:p w:rsidR="00D22903" w:rsidRPr="009E6485" w:rsidRDefault="00D22903" w:rsidP="00D22903">
      <w:pPr>
        <w:jc w:val="both"/>
      </w:pPr>
    </w:p>
    <w:p w:rsidR="00D22903" w:rsidRPr="009E6485" w:rsidRDefault="00D22903" w:rsidP="00D22903">
      <w:pPr>
        <w:pStyle w:val="NormalWeb"/>
        <w:keepLines/>
        <w:spacing w:before="0" w:beforeAutospacing="0" w:after="0" w:afterAutospacing="0"/>
        <w:jc w:val="center"/>
        <w:rPr>
          <w:sz w:val="20"/>
          <w:szCs w:val="20"/>
          <w:lang w:val="es-ES"/>
        </w:rPr>
      </w:pPr>
      <w:r w:rsidRPr="009E6485">
        <w:rPr>
          <w:sz w:val="20"/>
          <w:szCs w:val="20"/>
          <w:lang w:val="es-ES"/>
        </w:rPr>
        <w:t>Presupuesto y gastos reales (de personal y no relativos a personal)</w:t>
      </w:r>
    </w:p>
    <w:p w:rsidR="00D22903" w:rsidRPr="009E6485" w:rsidRDefault="00D22903" w:rsidP="00D22903">
      <w:pPr>
        <w:pStyle w:val="NormalWeb"/>
        <w:keepLines/>
        <w:spacing w:before="0" w:beforeAutospacing="0" w:after="0" w:afterAutospacing="0"/>
        <w:jc w:val="center"/>
        <w:rPr>
          <w:i/>
          <w:iCs/>
          <w:sz w:val="20"/>
          <w:szCs w:val="20"/>
          <w:lang w:val="es-ES"/>
        </w:rPr>
      </w:pPr>
      <w:r w:rsidRPr="009E6485">
        <w:rPr>
          <w:i/>
          <w:iCs/>
          <w:sz w:val="20"/>
          <w:szCs w:val="20"/>
          <w:lang w:val="es-ES"/>
        </w:rPr>
        <w:t>(</w:t>
      </w:r>
      <w:proofErr w:type="gramStart"/>
      <w:r w:rsidRPr="009E6485">
        <w:rPr>
          <w:i/>
          <w:iCs/>
          <w:sz w:val="20"/>
          <w:szCs w:val="20"/>
          <w:lang w:val="es-ES"/>
        </w:rPr>
        <w:t>en</w:t>
      </w:r>
      <w:proofErr w:type="gramEnd"/>
      <w:r w:rsidRPr="009E6485">
        <w:rPr>
          <w:i/>
          <w:iCs/>
          <w:sz w:val="20"/>
          <w:szCs w:val="20"/>
          <w:lang w:val="es-ES"/>
        </w:rPr>
        <w:t xml:space="preserve"> miles de francos suizos)</w:t>
      </w:r>
    </w:p>
    <w:p w:rsidR="00D22903" w:rsidRPr="009E6485" w:rsidRDefault="00D22903" w:rsidP="00D22903">
      <w:pPr>
        <w:pStyle w:val="NormalWeb"/>
        <w:keepLines/>
        <w:spacing w:before="0" w:beforeAutospacing="0" w:after="0" w:afterAutospacing="0"/>
        <w:jc w:val="both"/>
        <w:rPr>
          <w:sz w:val="20"/>
          <w:szCs w:val="20"/>
          <w:lang w:val="es-ES"/>
        </w:rPr>
      </w:pPr>
    </w:p>
    <w:p w:rsidR="00D22903" w:rsidRPr="009E6485" w:rsidRDefault="00BE5A79" w:rsidP="00D22903">
      <w:pPr>
        <w:jc w:val="center"/>
      </w:pPr>
      <w:bookmarkStart w:id="131" w:name="Punto14"/>
      <w:r>
        <w:rPr>
          <w:noProof/>
          <w:lang w:val="en-US" w:eastAsia="en-US"/>
        </w:rPr>
        <w:drawing>
          <wp:inline distT="0" distB="0" distL="0" distR="0" wp14:anchorId="0AC9E209" wp14:editId="7DF13581">
            <wp:extent cx="5743575" cy="1011575"/>
            <wp:effectExtent l="0" t="0" r="0" b="0"/>
            <wp:docPr id="824" name="Picture 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5740507" cy="1011035"/>
                    </a:xfrm>
                    <a:prstGeom prst="rect">
                      <a:avLst/>
                    </a:prstGeom>
                    <a:noFill/>
                    <a:ln>
                      <a:noFill/>
                    </a:ln>
                  </pic:spPr>
                </pic:pic>
              </a:graphicData>
            </a:graphic>
          </wp:inline>
        </w:drawing>
      </w:r>
      <w:bookmarkEnd w:id="131"/>
    </w:p>
    <w:p w:rsidR="00D22903" w:rsidRPr="009E6485" w:rsidRDefault="00D22903" w:rsidP="00D22903">
      <w:pPr>
        <w:widowControl w:val="0"/>
        <w:autoSpaceDE w:val="0"/>
        <w:autoSpaceDN w:val="0"/>
        <w:adjustRightInd w:val="0"/>
        <w:jc w:val="both"/>
        <w:rPr>
          <w:sz w:val="20"/>
        </w:rPr>
      </w:pPr>
    </w:p>
    <w:p w:rsidR="00D22903" w:rsidRPr="009E6485" w:rsidRDefault="00D22903" w:rsidP="000B53F0">
      <w:pPr>
        <w:keepNext/>
        <w:keepLines/>
        <w:tabs>
          <w:tab w:val="left" w:pos="709"/>
        </w:tabs>
        <w:jc w:val="both"/>
        <w:rPr>
          <w:sz w:val="20"/>
          <w:u w:val="single"/>
        </w:rPr>
      </w:pPr>
      <w:r w:rsidRPr="009E6485">
        <w:rPr>
          <w:sz w:val="20"/>
        </w:rPr>
        <w:lastRenderedPageBreak/>
        <w:t>A.</w:t>
      </w:r>
      <w:r w:rsidRPr="009E6485">
        <w:rPr>
          <w:sz w:val="20"/>
        </w:rPr>
        <w:tab/>
      </w:r>
      <w:r w:rsidRPr="009E6485">
        <w:rPr>
          <w:sz w:val="20"/>
          <w:u w:val="single"/>
        </w:rPr>
        <w:t>Presupuesto final de 2014/15 tras las transferencias</w:t>
      </w:r>
    </w:p>
    <w:p w:rsidR="00D22903" w:rsidRPr="009E6485" w:rsidRDefault="00D22903" w:rsidP="000B53F0">
      <w:pPr>
        <w:keepNext/>
        <w:keepLines/>
        <w:jc w:val="both"/>
        <w:rPr>
          <w:sz w:val="20"/>
          <w:u w:val="single"/>
        </w:rPr>
      </w:pPr>
    </w:p>
    <w:p w:rsidR="00D22903" w:rsidRPr="009E6485" w:rsidRDefault="00D22903" w:rsidP="000B53F0">
      <w:pPr>
        <w:pStyle w:val="ListParagraph"/>
        <w:keepNext/>
        <w:keepLines/>
        <w:numPr>
          <w:ilvl w:val="0"/>
          <w:numId w:val="75"/>
        </w:numPr>
        <w:tabs>
          <w:tab w:val="left" w:pos="0"/>
          <w:tab w:val="left" w:pos="709"/>
        </w:tabs>
        <w:ind w:left="0" w:firstLine="0"/>
        <w:jc w:val="both"/>
        <w:rPr>
          <w:rFonts w:cs="Arial"/>
          <w:lang w:val="es-ES"/>
        </w:rPr>
      </w:pPr>
      <w:r w:rsidRPr="009E6485">
        <w:rPr>
          <w:rFonts w:cs="Arial"/>
          <w:lang w:val="es-ES"/>
        </w:rPr>
        <w:t>La disminución general que se observa en el presupuesto final de 2014/15 tras las transferencias (recursos de personal) se debe fundamentalmente a dos circunstancias, a saber, la regularización de las funciones continuas y la reasignación de puestos para apoyar la labor de la Oficina de la OMPI en China (programa 20) y la relativa a Pymes y Capacidad Empresarial (programa 30).</w:t>
      </w:r>
    </w:p>
    <w:p w:rsidR="00D22903" w:rsidRPr="009E6485" w:rsidRDefault="00D22903" w:rsidP="000B53F0">
      <w:pPr>
        <w:keepNext/>
        <w:keepLines/>
        <w:autoSpaceDE w:val="0"/>
        <w:autoSpaceDN w:val="0"/>
        <w:jc w:val="both"/>
        <w:rPr>
          <w:sz w:val="20"/>
          <w:lang w:eastAsia="ko-KR"/>
        </w:rPr>
      </w:pPr>
    </w:p>
    <w:p w:rsidR="00D22903" w:rsidRPr="009E6485" w:rsidRDefault="00D22903" w:rsidP="000B53F0">
      <w:pPr>
        <w:pStyle w:val="ListParagraph"/>
        <w:keepNext/>
        <w:keepLines/>
        <w:numPr>
          <w:ilvl w:val="0"/>
          <w:numId w:val="75"/>
        </w:numPr>
        <w:tabs>
          <w:tab w:val="left" w:pos="0"/>
          <w:tab w:val="left" w:pos="709"/>
        </w:tabs>
        <w:ind w:left="0" w:firstLine="0"/>
        <w:jc w:val="both"/>
        <w:rPr>
          <w:rFonts w:cs="Arial"/>
          <w:lang w:val="es-ES"/>
        </w:rPr>
      </w:pPr>
      <w:r w:rsidRPr="009E6485">
        <w:rPr>
          <w:rFonts w:cs="Arial"/>
          <w:lang w:val="es-ES"/>
        </w:rPr>
        <w:t>La disminución de los recursos no relativos a personal es un reflejo fundamentalmente de la transferencia de recursos al programa 13 (Bases Mundiales de Datos) para incorporar a PATENTSCOPE funciones de búsqueda de productos químicos</w:t>
      </w:r>
      <w:r>
        <w:rPr>
          <w:rFonts w:cs="Arial"/>
          <w:lang w:val="es-ES"/>
        </w:rPr>
        <w:t>,</w:t>
      </w:r>
      <w:r w:rsidRPr="009E6485">
        <w:rPr>
          <w:rFonts w:cs="Arial"/>
          <w:lang w:val="es-ES"/>
        </w:rPr>
        <w:t xml:space="preserve"> y al programa 12 (Clasificaciones y Normas Técnicas) para financiar costos superiores a los previstos para el desarrollo y alojamiento de </w:t>
      </w:r>
      <w:r w:rsidRPr="009E6485">
        <w:rPr>
          <w:rFonts w:cs="Arial"/>
          <w:i/>
          <w:lang w:val="es-ES"/>
        </w:rPr>
        <w:t>software</w:t>
      </w:r>
      <w:r w:rsidRPr="009E6485">
        <w:rPr>
          <w:rFonts w:cs="Arial"/>
          <w:lang w:val="es-ES"/>
        </w:rPr>
        <w:t xml:space="preserve"> de reclasificación de la CIP.</w:t>
      </w:r>
    </w:p>
    <w:p w:rsidR="00D22903" w:rsidRPr="009E6485" w:rsidRDefault="00D22903" w:rsidP="00D22903">
      <w:pPr>
        <w:autoSpaceDE w:val="0"/>
        <w:autoSpaceDN w:val="0"/>
        <w:jc w:val="both"/>
        <w:rPr>
          <w:sz w:val="20"/>
          <w:lang w:eastAsia="ko-KR"/>
        </w:rPr>
      </w:pPr>
    </w:p>
    <w:p w:rsidR="00D22903" w:rsidRPr="009E6485" w:rsidRDefault="00D22903" w:rsidP="005A3674">
      <w:pPr>
        <w:keepNext/>
        <w:keepLines/>
        <w:tabs>
          <w:tab w:val="left" w:pos="709"/>
        </w:tabs>
        <w:jc w:val="both"/>
        <w:rPr>
          <w:sz w:val="20"/>
          <w:u w:val="single"/>
          <w:lang w:eastAsia="ko-KR"/>
        </w:rPr>
      </w:pPr>
      <w:r w:rsidRPr="009E6485">
        <w:rPr>
          <w:sz w:val="20"/>
          <w:lang w:eastAsia="ko-KR"/>
        </w:rPr>
        <w:t>B.</w:t>
      </w:r>
      <w:r w:rsidRPr="009E6485">
        <w:rPr>
          <w:sz w:val="20"/>
          <w:lang w:eastAsia="ko-KR"/>
        </w:rPr>
        <w:tab/>
      </w:r>
      <w:r w:rsidRPr="009E6485">
        <w:rPr>
          <w:sz w:val="20"/>
          <w:u w:val="single"/>
          <w:lang w:eastAsia="ko-KR"/>
        </w:rPr>
        <w:t>Utilización del presupuesto en 2014/15</w:t>
      </w:r>
    </w:p>
    <w:p w:rsidR="00D22903" w:rsidRPr="009E6485" w:rsidRDefault="00D22903" w:rsidP="00D22903">
      <w:pPr>
        <w:keepNext/>
        <w:keepLines/>
        <w:jc w:val="both"/>
        <w:rPr>
          <w:sz w:val="20"/>
          <w:u w:val="single"/>
          <w:lang w:eastAsia="ko-KR"/>
        </w:rPr>
      </w:pPr>
    </w:p>
    <w:p w:rsidR="00D22903" w:rsidRPr="00BF5A44" w:rsidRDefault="00D22903" w:rsidP="00D22903">
      <w:pPr>
        <w:pStyle w:val="ListParagraph"/>
        <w:numPr>
          <w:ilvl w:val="0"/>
          <w:numId w:val="75"/>
        </w:numPr>
        <w:tabs>
          <w:tab w:val="left" w:pos="0"/>
          <w:tab w:val="left" w:pos="709"/>
        </w:tabs>
        <w:ind w:left="0" w:firstLine="0"/>
        <w:jc w:val="both"/>
        <w:rPr>
          <w:lang w:val="es-ES"/>
        </w:rPr>
      </w:pPr>
      <w:r w:rsidRPr="009E6485">
        <w:rPr>
          <w:rFonts w:cs="Arial"/>
          <w:lang w:val="es-ES"/>
        </w:rPr>
        <w:t>La utilización del presupuesto se mantuvo dentro de los límites establecidos para el bienio.</w:t>
      </w:r>
    </w:p>
    <w:p w:rsidR="00BF5A44" w:rsidRPr="009E6485" w:rsidRDefault="00BF5A44" w:rsidP="00BF5A44">
      <w:pPr>
        <w:pStyle w:val="ListParagraph"/>
        <w:tabs>
          <w:tab w:val="left" w:pos="0"/>
          <w:tab w:val="left" w:pos="709"/>
        </w:tabs>
        <w:ind w:left="0"/>
        <w:jc w:val="both"/>
        <w:rPr>
          <w:lang w:val="es-ES"/>
        </w:rPr>
      </w:pPr>
    </w:p>
    <w:p w:rsidR="00FA2BC6" w:rsidRPr="00D22903" w:rsidRDefault="00FA2BC6">
      <w:pPr>
        <w:rPr>
          <w:b/>
          <w:bCs/>
          <w:iCs/>
          <w:caps/>
          <w:szCs w:val="22"/>
        </w:rPr>
      </w:pPr>
      <w:r w:rsidRPr="00D22903">
        <w:rPr>
          <w:b/>
          <w:szCs w:val="22"/>
        </w:rPr>
        <w:br w:type="page"/>
      </w:r>
    </w:p>
    <w:p w:rsidR="00FA2BC6" w:rsidRPr="00526311" w:rsidRDefault="00FA2BC6" w:rsidP="00DC1333">
      <w:pPr>
        <w:pStyle w:val="Heading2"/>
        <w:ind w:left="2410" w:hanging="2410"/>
        <w:jc w:val="both"/>
        <w:rPr>
          <w:b/>
          <w:szCs w:val="22"/>
        </w:rPr>
      </w:pPr>
      <w:bookmarkStart w:id="132" w:name="_Toc455159092"/>
      <w:r w:rsidRPr="00526311">
        <w:rPr>
          <w:b/>
          <w:szCs w:val="22"/>
        </w:rPr>
        <w:lastRenderedPageBreak/>
        <w:t>PROGRAMA 15</w:t>
      </w:r>
      <w:r w:rsidRPr="00526311">
        <w:rPr>
          <w:b/>
          <w:szCs w:val="22"/>
        </w:rPr>
        <w:tab/>
        <w:t>SOLUCIONES OPERATIVAS PARA LAS OFICINAS DE P.I.</w:t>
      </w:r>
      <w:bookmarkEnd w:id="128"/>
      <w:bookmarkEnd w:id="132"/>
    </w:p>
    <w:p w:rsidR="00FA2BC6" w:rsidRPr="00526311" w:rsidRDefault="00FA2BC6" w:rsidP="00DC1333">
      <w:pPr>
        <w:jc w:val="both"/>
        <w:rPr>
          <w:sz w:val="20"/>
        </w:rPr>
      </w:pPr>
    </w:p>
    <w:p w:rsidR="00FA2BC6" w:rsidRPr="00526311" w:rsidRDefault="00FA2BC6" w:rsidP="00DC1333">
      <w:pPr>
        <w:tabs>
          <w:tab w:val="left" w:pos="2410"/>
        </w:tabs>
        <w:jc w:val="both"/>
        <w:rPr>
          <w:b/>
          <w:sz w:val="20"/>
        </w:rPr>
      </w:pPr>
      <w:r w:rsidRPr="00526311">
        <w:rPr>
          <w:b/>
          <w:sz w:val="20"/>
        </w:rPr>
        <w:t>Director de programa</w:t>
      </w:r>
      <w:r w:rsidRPr="00526311">
        <w:rPr>
          <w:b/>
          <w:sz w:val="20"/>
        </w:rPr>
        <w:tab/>
        <w:t>Sr. Y.</w:t>
      </w:r>
      <w:r w:rsidRPr="00526311">
        <w:rPr>
          <w:sz w:val="20"/>
        </w:rPr>
        <w:t xml:space="preserve"> </w:t>
      </w:r>
      <w:r w:rsidRPr="00526311">
        <w:rPr>
          <w:b/>
          <w:sz w:val="20"/>
        </w:rPr>
        <w:t>Takagi</w:t>
      </w:r>
    </w:p>
    <w:p w:rsidR="00FA2BC6" w:rsidRPr="00526311" w:rsidRDefault="00FA2BC6" w:rsidP="00DC1333">
      <w:pPr>
        <w:jc w:val="both"/>
        <w:rPr>
          <w:sz w:val="20"/>
        </w:rPr>
      </w:pPr>
    </w:p>
    <w:p w:rsidR="00FA2BC6" w:rsidRPr="00526311" w:rsidRDefault="00FA2BC6" w:rsidP="00DC1333">
      <w:pPr>
        <w:jc w:val="both"/>
        <w:rPr>
          <w:sz w:val="20"/>
        </w:rPr>
      </w:pPr>
    </w:p>
    <w:p w:rsidR="00FA2BC6" w:rsidRPr="00526311" w:rsidRDefault="008F7CBE" w:rsidP="00DC1333">
      <w:pPr>
        <w:jc w:val="both"/>
        <w:rPr>
          <w:bCs/>
          <w:szCs w:val="22"/>
        </w:rPr>
      </w:pPr>
      <w:r w:rsidRPr="008F7CBE">
        <w:rPr>
          <w:bCs/>
          <w:sz w:val="20"/>
          <w:szCs w:val="22"/>
        </w:rPr>
        <w:t>LOGROS ALCANZADOS EN EL BIENIO 2014/15</w:t>
      </w:r>
    </w:p>
    <w:p w:rsidR="00FA2BC6" w:rsidRPr="00526311" w:rsidRDefault="00FA2BC6" w:rsidP="00DC1333">
      <w:pPr>
        <w:jc w:val="both"/>
      </w:pPr>
    </w:p>
    <w:p w:rsidR="00FA2BC6" w:rsidRPr="00526311" w:rsidRDefault="00FA2BC6" w:rsidP="00FA2BC6">
      <w:pPr>
        <w:pStyle w:val="ListParagraph"/>
        <w:numPr>
          <w:ilvl w:val="0"/>
          <w:numId w:val="74"/>
        </w:numPr>
        <w:tabs>
          <w:tab w:val="left" w:pos="709"/>
        </w:tabs>
        <w:ind w:left="0" w:firstLine="0"/>
        <w:jc w:val="both"/>
        <w:rPr>
          <w:rFonts w:cs="Arial"/>
          <w:lang w:val="es-ES"/>
        </w:rPr>
      </w:pPr>
      <w:r w:rsidRPr="00526311">
        <w:rPr>
          <w:rFonts w:cs="Arial"/>
          <w:lang w:val="es-ES"/>
        </w:rPr>
        <w:t>A lo largo de</w:t>
      </w:r>
      <w:r>
        <w:rPr>
          <w:rFonts w:cs="Arial"/>
          <w:lang w:val="es-ES"/>
        </w:rPr>
        <w:t>l</w:t>
      </w:r>
      <w:r w:rsidRPr="00526311">
        <w:rPr>
          <w:rFonts w:cs="Arial"/>
          <w:lang w:val="es-ES"/>
        </w:rPr>
        <w:t xml:space="preserve"> </w:t>
      </w:r>
      <w:r>
        <w:rPr>
          <w:rFonts w:cs="Arial"/>
          <w:lang w:val="es-ES"/>
        </w:rPr>
        <w:t xml:space="preserve">bienio </w:t>
      </w:r>
      <w:r w:rsidRPr="00526311">
        <w:rPr>
          <w:rFonts w:cs="Arial"/>
          <w:lang w:val="es-ES"/>
        </w:rPr>
        <w:t>2014</w:t>
      </w:r>
      <w:r>
        <w:rPr>
          <w:rFonts w:cs="Arial"/>
          <w:lang w:val="es-ES"/>
        </w:rPr>
        <w:t>/15</w:t>
      </w:r>
      <w:r w:rsidRPr="00526311">
        <w:rPr>
          <w:rFonts w:cs="Arial"/>
          <w:lang w:val="es-ES"/>
        </w:rPr>
        <w:t xml:space="preserve"> s</w:t>
      </w:r>
      <w:r>
        <w:rPr>
          <w:rFonts w:cs="Arial"/>
          <w:lang w:val="es-ES"/>
        </w:rPr>
        <w:t>e produjo un aument</w:t>
      </w:r>
      <w:r w:rsidRPr="00526311">
        <w:rPr>
          <w:rFonts w:cs="Arial"/>
          <w:lang w:val="es-ES"/>
        </w:rPr>
        <w:t xml:space="preserve">o </w:t>
      </w:r>
      <w:r>
        <w:rPr>
          <w:rFonts w:cs="Arial"/>
          <w:lang w:val="es-ES"/>
        </w:rPr>
        <w:t xml:space="preserve">de </w:t>
      </w:r>
      <w:r w:rsidRPr="00526311">
        <w:rPr>
          <w:rFonts w:cs="Arial"/>
          <w:lang w:val="es-ES"/>
        </w:rPr>
        <w:t>la demanda de asistencia técnica por parte de las Oficinas de P.I., tanto en lo que respecta al número de oficinas que pid</w:t>
      </w:r>
      <w:r>
        <w:rPr>
          <w:rFonts w:cs="Arial"/>
          <w:lang w:val="es-ES"/>
        </w:rPr>
        <w:t>i</w:t>
      </w:r>
      <w:r w:rsidRPr="00526311">
        <w:rPr>
          <w:rFonts w:cs="Arial"/>
          <w:lang w:val="es-ES"/>
        </w:rPr>
        <w:t>e</w:t>
      </w:r>
      <w:r>
        <w:rPr>
          <w:rFonts w:cs="Arial"/>
          <w:lang w:val="es-ES"/>
        </w:rPr>
        <w:t>ro</w:t>
      </w:r>
      <w:r w:rsidRPr="00526311">
        <w:rPr>
          <w:rFonts w:cs="Arial"/>
          <w:lang w:val="es-ES"/>
        </w:rPr>
        <w:t>n asistencia técnica como al tipo de asistencia solicitada, en particular, en lo tocante a la gestión electrónica de documentos, la presentación de solicitudes por Internet y la publicación en Internet.</w:t>
      </w:r>
    </w:p>
    <w:p w:rsidR="00FA2BC6" w:rsidRPr="00526311" w:rsidRDefault="00FA2BC6" w:rsidP="00DC1333">
      <w:pPr>
        <w:tabs>
          <w:tab w:val="left" w:pos="709"/>
        </w:tabs>
        <w:jc w:val="both"/>
      </w:pPr>
    </w:p>
    <w:p w:rsidR="00FA2BC6" w:rsidRPr="00526311" w:rsidRDefault="00FA2BC6" w:rsidP="00FA2BC6">
      <w:pPr>
        <w:pStyle w:val="ListParagraph"/>
        <w:numPr>
          <w:ilvl w:val="0"/>
          <w:numId w:val="74"/>
        </w:numPr>
        <w:tabs>
          <w:tab w:val="left" w:pos="709"/>
        </w:tabs>
        <w:ind w:left="0" w:firstLine="0"/>
        <w:jc w:val="both"/>
        <w:rPr>
          <w:rFonts w:cs="Arial"/>
          <w:lang w:val="es-ES"/>
        </w:rPr>
      </w:pPr>
      <w:r>
        <w:rPr>
          <w:rFonts w:cs="Arial"/>
          <w:lang w:val="es-ES"/>
        </w:rPr>
        <w:t>Para dar respuesta a la demanda</w:t>
      </w:r>
      <w:r w:rsidRPr="00526311">
        <w:rPr>
          <w:rFonts w:cs="Arial"/>
          <w:lang w:val="es-ES"/>
        </w:rPr>
        <w:t xml:space="preserve"> la Oficina Internacional siguió elaborando instrumentos para dar apoyo a los procesos operacionales de las Oficinas de P.I., en particular, el Sistema de Automatización de la Propiedad Industrial (IPAS)</w:t>
      </w:r>
      <w:r>
        <w:rPr>
          <w:rFonts w:cs="Arial"/>
          <w:lang w:val="es-ES"/>
        </w:rPr>
        <w:t xml:space="preserve"> y los módulos de apoyo.</w:t>
      </w:r>
      <w:r w:rsidRPr="00526311">
        <w:rPr>
          <w:rFonts w:cs="Arial"/>
          <w:lang w:val="es-ES"/>
        </w:rPr>
        <w:t xml:space="preserve">  Entre las principales funciones </w:t>
      </w:r>
      <w:r>
        <w:rPr>
          <w:rFonts w:cs="Arial"/>
          <w:lang w:val="es-ES"/>
        </w:rPr>
        <w:t>empleadas durante el bienio</w:t>
      </w:r>
      <w:r w:rsidRPr="00526311">
        <w:rPr>
          <w:rFonts w:cs="Arial"/>
          <w:lang w:val="es-ES"/>
        </w:rPr>
        <w:t xml:space="preserve"> cabe citar un apoyo más sólido a la gestión electrónica de documentos y apoyo a las opera</w:t>
      </w:r>
      <w:r>
        <w:rPr>
          <w:rFonts w:cs="Arial"/>
          <w:lang w:val="es-ES"/>
        </w:rPr>
        <w:t>ciones bilingües, en particular</w:t>
      </w:r>
      <w:r w:rsidRPr="00526311">
        <w:rPr>
          <w:rFonts w:cs="Arial"/>
          <w:lang w:val="es-ES"/>
        </w:rPr>
        <w:t xml:space="preserve"> para las oficinas que trabajan en el idioma árabe.</w:t>
      </w:r>
    </w:p>
    <w:p w:rsidR="00FA2BC6" w:rsidRPr="00526311" w:rsidRDefault="00FA2BC6" w:rsidP="00DC1333">
      <w:pPr>
        <w:tabs>
          <w:tab w:val="left" w:pos="709"/>
        </w:tabs>
        <w:jc w:val="both"/>
      </w:pPr>
    </w:p>
    <w:p w:rsidR="00FA2BC6" w:rsidRPr="00526311" w:rsidRDefault="00FA2BC6" w:rsidP="00FA2BC6">
      <w:pPr>
        <w:pStyle w:val="ListParagraph"/>
        <w:numPr>
          <w:ilvl w:val="0"/>
          <w:numId w:val="74"/>
        </w:numPr>
        <w:tabs>
          <w:tab w:val="left" w:pos="709"/>
        </w:tabs>
        <w:ind w:left="0" w:firstLine="0"/>
        <w:jc w:val="both"/>
        <w:rPr>
          <w:rFonts w:cs="Arial"/>
          <w:lang w:val="es-ES"/>
        </w:rPr>
      </w:pPr>
      <w:r w:rsidRPr="00526311">
        <w:rPr>
          <w:rFonts w:cs="Arial"/>
          <w:lang w:val="es-ES"/>
        </w:rPr>
        <w:t xml:space="preserve">Se </w:t>
      </w:r>
      <w:r>
        <w:rPr>
          <w:rFonts w:cs="Arial"/>
          <w:lang w:val="es-ES"/>
        </w:rPr>
        <w:t>desarrollaron</w:t>
      </w:r>
      <w:r w:rsidRPr="00526311">
        <w:rPr>
          <w:rFonts w:cs="Arial"/>
          <w:lang w:val="es-ES"/>
        </w:rPr>
        <w:t xml:space="preserve"> do</w:t>
      </w:r>
      <w:r>
        <w:rPr>
          <w:rFonts w:cs="Arial"/>
          <w:lang w:val="es-ES"/>
        </w:rPr>
        <w:t>s nuevos módulos que se</w:t>
      </w:r>
      <w:r w:rsidRPr="00526311">
        <w:rPr>
          <w:rFonts w:cs="Arial"/>
          <w:lang w:val="es-ES"/>
        </w:rPr>
        <w:t xml:space="preserve"> p</w:t>
      </w:r>
      <w:r>
        <w:rPr>
          <w:rFonts w:cs="Arial"/>
          <w:lang w:val="es-ES"/>
        </w:rPr>
        <w:t>usieron a prueba en diversas o</w:t>
      </w:r>
      <w:r w:rsidRPr="00526311">
        <w:rPr>
          <w:rFonts w:cs="Arial"/>
          <w:lang w:val="es-ES"/>
        </w:rPr>
        <w:t>ficinas de P.I.:</w:t>
      </w:r>
    </w:p>
    <w:p w:rsidR="00FA2BC6" w:rsidRPr="00526311" w:rsidRDefault="00FA2BC6" w:rsidP="00DC1333">
      <w:pPr>
        <w:jc w:val="both"/>
      </w:pPr>
    </w:p>
    <w:p w:rsidR="00FA2BC6" w:rsidRPr="00526311" w:rsidRDefault="00FA2BC6" w:rsidP="00FA2BC6">
      <w:pPr>
        <w:pStyle w:val="ListParagraph"/>
        <w:numPr>
          <w:ilvl w:val="0"/>
          <w:numId w:val="4"/>
        </w:numPr>
        <w:ind w:left="1134" w:hanging="425"/>
        <w:jc w:val="both"/>
        <w:rPr>
          <w:rFonts w:cs="Arial"/>
          <w:lang w:val="es-ES"/>
        </w:rPr>
      </w:pPr>
      <w:r w:rsidRPr="00526311">
        <w:rPr>
          <w:rFonts w:cs="Arial"/>
          <w:i/>
          <w:lang w:val="es-ES"/>
        </w:rPr>
        <w:t xml:space="preserve">WIPO </w:t>
      </w:r>
      <w:proofErr w:type="spellStart"/>
      <w:r w:rsidRPr="00526311">
        <w:rPr>
          <w:rFonts w:cs="Arial"/>
          <w:i/>
          <w:lang w:val="es-ES"/>
        </w:rPr>
        <w:t>Publish</w:t>
      </w:r>
      <w:proofErr w:type="spellEnd"/>
      <w:r w:rsidRPr="00526311">
        <w:rPr>
          <w:rFonts w:cs="Arial"/>
          <w:lang w:val="es-ES"/>
        </w:rPr>
        <w:t xml:space="preserve"> fue diseñado para satisfacer las necesidades de las oficinas en lo que respecta a la publicación en Internet de datos de P.I., documentos, información sobre la situación jurídica y los expedientes, así como las necesidades de intercambio de datos (lo que incluye el intercambio de datos de las bases mundiales de datos de la OMPI). </w:t>
      </w:r>
      <w:r>
        <w:rPr>
          <w:rFonts w:cs="Arial"/>
          <w:lang w:val="es-ES"/>
        </w:rPr>
        <w:t xml:space="preserve"> Se puso en práctica en más de diez oficinas para utilización interna y en muchas otras para difundir información sobre la P.I.</w:t>
      </w:r>
    </w:p>
    <w:p w:rsidR="00FA2BC6" w:rsidRPr="00526311" w:rsidRDefault="00FA2BC6" w:rsidP="00DC1333">
      <w:pPr>
        <w:jc w:val="both"/>
      </w:pPr>
    </w:p>
    <w:p w:rsidR="00FA2BC6" w:rsidRPr="00526311" w:rsidRDefault="00FA2BC6" w:rsidP="00FA2BC6">
      <w:pPr>
        <w:pStyle w:val="ListParagraph"/>
        <w:numPr>
          <w:ilvl w:val="0"/>
          <w:numId w:val="4"/>
        </w:numPr>
        <w:ind w:left="1134" w:hanging="425"/>
        <w:jc w:val="both"/>
        <w:rPr>
          <w:rFonts w:cs="Arial"/>
          <w:lang w:val="es-ES"/>
        </w:rPr>
      </w:pPr>
      <w:r w:rsidRPr="00526311">
        <w:rPr>
          <w:rFonts w:cs="Arial"/>
          <w:i/>
          <w:lang w:val="es-ES"/>
        </w:rPr>
        <w:t>WIPO File</w:t>
      </w:r>
      <w:r w:rsidRPr="00526311">
        <w:rPr>
          <w:rFonts w:cs="Arial"/>
          <w:lang w:val="es-ES"/>
        </w:rPr>
        <w:t xml:space="preserve"> fue diseñado para facilitar una solución electrónica de presentación de solicitudes a las oficinas pequeñas y medianas, sin olvidar la flexibilidad para permitir una amplia adaptación a las condiciones locales (por ejemplo, a los sistemas de pago locales).</w:t>
      </w:r>
      <w:r>
        <w:rPr>
          <w:rFonts w:cs="Arial"/>
          <w:lang w:val="es-ES"/>
        </w:rPr>
        <w:t xml:space="preserve">  Se puso a prueba con éxito en una oficina de P.I., que lo está utilizando para la presentación de solicitudes por Internet.</w:t>
      </w:r>
    </w:p>
    <w:p w:rsidR="00FA2BC6" w:rsidRPr="00526311" w:rsidRDefault="00FA2BC6" w:rsidP="00DC1333">
      <w:pPr>
        <w:jc w:val="both"/>
      </w:pPr>
    </w:p>
    <w:p w:rsidR="00FA2BC6" w:rsidRPr="00526311" w:rsidRDefault="00FA2BC6" w:rsidP="00FA2BC6">
      <w:pPr>
        <w:pStyle w:val="ListParagraph"/>
        <w:numPr>
          <w:ilvl w:val="0"/>
          <w:numId w:val="74"/>
        </w:numPr>
        <w:tabs>
          <w:tab w:val="left" w:pos="709"/>
        </w:tabs>
        <w:ind w:left="0" w:firstLine="0"/>
        <w:jc w:val="both"/>
        <w:rPr>
          <w:rFonts w:cs="Arial"/>
          <w:lang w:val="es-ES"/>
        </w:rPr>
      </w:pPr>
      <w:r>
        <w:rPr>
          <w:rFonts w:cs="Arial"/>
          <w:lang w:val="es-ES"/>
        </w:rPr>
        <w:t>Durante el</w:t>
      </w:r>
      <w:r w:rsidRPr="00526311">
        <w:rPr>
          <w:rFonts w:cs="Arial"/>
          <w:lang w:val="es-ES"/>
        </w:rPr>
        <w:t xml:space="preserve"> </w:t>
      </w:r>
      <w:r>
        <w:rPr>
          <w:rFonts w:cs="Arial"/>
          <w:lang w:val="es-ES"/>
        </w:rPr>
        <w:t>bienio se aplicó,</w:t>
      </w:r>
      <w:r w:rsidRPr="00526311">
        <w:rPr>
          <w:rFonts w:cs="Arial"/>
          <w:lang w:val="es-ES"/>
        </w:rPr>
        <w:t xml:space="preserve"> en el marco del programa, una nueva estrategia</w:t>
      </w:r>
      <w:r>
        <w:rPr>
          <w:rFonts w:cs="Arial"/>
          <w:lang w:val="es-ES"/>
        </w:rPr>
        <w:t xml:space="preserve"> </w:t>
      </w:r>
      <w:r w:rsidRPr="00526311">
        <w:rPr>
          <w:rFonts w:cs="Arial"/>
          <w:lang w:val="es-ES"/>
        </w:rPr>
        <w:t xml:space="preserve">para fomentar los niveles de apoyo, la transferencia de </w:t>
      </w:r>
      <w:r>
        <w:rPr>
          <w:rFonts w:cs="Arial"/>
          <w:lang w:val="es-ES"/>
        </w:rPr>
        <w:t>conocimientos</w:t>
      </w:r>
      <w:r w:rsidRPr="00526311">
        <w:rPr>
          <w:rFonts w:cs="Arial"/>
          <w:lang w:val="es-ES"/>
        </w:rPr>
        <w:t xml:space="preserve"> y la formación.  Como parte de la estrategia se aplicó un nuevo modelo de apoyo, que presenta un servicio de asistencia para el IPAS (“</w:t>
      </w:r>
      <w:r w:rsidRPr="00526311">
        <w:rPr>
          <w:rFonts w:cs="Arial"/>
          <w:i/>
          <w:lang w:val="es-ES"/>
        </w:rPr>
        <w:t>IPAS Helpdesk</w:t>
      </w:r>
      <w:r w:rsidRPr="00526311">
        <w:rPr>
          <w:rFonts w:cs="Arial"/>
          <w:lang w:val="es-ES"/>
        </w:rPr>
        <w:t xml:space="preserve">”) </w:t>
      </w:r>
      <w:r>
        <w:rPr>
          <w:rFonts w:cs="Arial"/>
          <w:lang w:val="es-ES"/>
        </w:rPr>
        <w:t>dotado de recursos específicos para prestar apoyo a las oficinas de P.I. siguiendo los procedimientos estándar de la industria</w:t>
      </w:r>
      <w:r w:rsidRPr="00526311">
        <w:rPr>
          <w:rFonts w:cs="Arial"/>
          <w:lang w:val="es-ES"/>
        </w:rPr>
        <w:t xml:space="preserve">.  </w:t>
      </w:r>
      <w:r>
        <w:rPr>
          <w:rFonts w:cs="Arial"/>
          <w:lang w:val="es-ES"/>
        </w:rPr>
        <w:t>Se celebraron</w:t>
      </w:r>
      <w:r w:rsidRPr="00526311">
        <w:rPr>
          <w:rFonts w:cs="Arial"/>
          <w:lang w:val="es-ES"/>
        </w:rPr>
        <w:t xml:space="preserve"> </w:t>
      </w:r>
      <w:r>
        <w:rPr>
          <w:rFonts w:cs="Arial"/>
          <w:lang w:val="es-ES"/>
        </w:rPr>
        <w:t>ocho talleres de formación técnica en todas las regiones, al objeto de transferir conocimientos al personal de las oficinas de P.I. con la finalidad de mejorar su autonomía.  Igualmente, como parte de la nueva estrategia de apoyo, se recurrió a una pequeña cantidad de expertos formados de las oficinas de P.I. para prestar apoyo a otras oficinas de la misma región, aumentando así la cooperación y el apoyo entre las oficinas y potenciando aún más la autonomía de estas mediante el fortalecimiento de capacidades de los expertos.</w:t>
      </w:r>
    </w:p>
    <w:p w:rsidR="00FA2BC6" w:rsidRPr="00526311" w:rsidRDefault="00FA2BC6" w:rsidP="00DC1333">
      <w:pPr>
        <w:tabs>
          <w:tab w:val="left" w:pos="709"/>
        </w:tabs>
        <w:jc w:val="both"/>
      </w:pPr>
    </w:p>
    <w:p w:rsidR="00FA2BC6" w:rsidRPr="00526311" w:rsidRDefault="00FA2BC6" w:rsidP="00FA2BC6">
      <w:pPr>
        <w:pStyle w:val="ListParagraph"/>
        <w:numPr>
          <w:ilvl w:val="0"/>
          <w:numId w:val="74"/>
        </w:numPr>
        <w:tabs>
          <w:tab w:val="left" w:pos="709"/>
        </w:tabs>
        <w:ind w:left="0" w:firstLine="0"/>
        <w:jc w:val="both"/>
        <w:rPr>
          <w:rFonts w:cs="Arial"/>
          <w:lang w:val="es-ES"/>
        </w:rPr>
      </w:pPr>
      <w:r w:rsidRPr="00526311">
        <w:rPr>
          <w:rFonts w:cs="Arial"/>
          <w:lang w:val="es-ES"/>
        </w:rPr>
        <w:t xml:space="preserve">Con la ayuda del Gobierno del Japón mediante </w:t>
      </w:r>
      <w:r>
        <w:rPr>
          <w:rFonts w:cs="Arial"/>
          <w:lang w:val="es-ES"/>
        </w:rPr>
        <w:t>los fondos en fideicomiso</w:t>
      </w:r>
      <w:r w:rsidRPr="00526311">
        <w:rPr>
          <w:rFonts w:cs="Arial"/>
          <w:lang w:val="es-ES"/>
        </w:rPr>
        <w:t xml:space="preserve">, en el marco del programa se impulsaron proyectos de digitalización en las Oficinas de P.I., </w:t>
      </w:r>
      <w:r>
        <w:rPr>
          <w:rFonts w:cs="Arial"/>
          <w:lang w:val="es-ES"/>
        </w:rPr>
        <w:t xml:space="preserve">entre ellos algunos en ejecución, </w:t>
      </w:r>
      <w:r w:rsidRPr="00526311">
        <w:rPr>
          <w:rFonts w:cs="Arial"/>
          <w:lang w:val="es-ES"/>
        </w:rPr>
        <w:t xml:space="preserve">en particular en África (ARIPO, Etiopía, </w:t>
      </w:r>
      <w:proofErr w:type="spellStart"/>
      <w:r>
        <w:rPr>
          <w:rFonts w:cs="Arial"/>
          <w:lang w:val="es-ES"/>
        </w:rPr>
        <w:t>Kenya</w:t>
      </w:r>
      <w:proofErr w:type="spellEnd"/>
      <w:r>
        <w:rPr>
          <w:rFonts w:cs="Arial"/>
          <w:lang w:val="es-ES"/>
        </w:rPr>
        <w:t xml:space="preserve">, </w:t>
      </w:r>
      <w:r w:rsidRPr="00526311">
        <w:rPr>
          <w:rFonts w:cs="Arial"/>
          <w:lang w:val="es-ES"/>
        </w:rPr>
        <w:t>Nigeria, OAPI</w:t>
      </w:r>
      <w:r>
        <w:rPr>
          <w:rFonts w:cs="Arial"/>
          <w:lang w:val="es-ES"/>
        </w:rPr>
        <w:t xml:space="preserve">, </w:t>
      </w:r>
      <w:proofErr w:type="spellStart"/>
      <w:r>
        <w:rPr>
          <w:rFonts w:cs="Arial"/>
          <w:lang w:val="es-ES"/>
        </w:rPr>
        <w:t>Zimbabwe</w:t>
      </w:r>
      <w:proofErr w:type="spellEnd"/>
      <w:r w:rsidRPr="00526311">
        <w:rPr>
          <w:rFonts w:cs="Arial"/>
          <w:lang w:val="es-ES"/>
        </w:rPr>
        <w:t>) y Asia y el Pacífico (Brunei Darussalam, Camboya</w:t>
      </w:r>
      <w:r>
        <w:rPr>
          <w:rFonts w:cs="Arial"/>
          <w:lang w:val="es-ES"/>
        </w:rPr>
        <w:t xml:space="preserve">, </w:t>
      </w:r>
      <w:r w:rsidRPr="00A0474A">
        <w:rPr>
          <w:rFonts w:cs="Arial"/>
          <w:bCs/>
          <w:lang w:val="es-ES"/>
        </w:rPr>
        <w:t>República Democrática Popular Lao</w:t>
      </w:r>
      <w:r w:rsidRPr="00526311">
        <w:rPr>
          <w:rFonts w:cs="Arial"/>
          <w:lang w:val="es-ES"/>
        </w:rPr>
        <w:t xml:space="preserve">).  </w:t>
      </w:r>
      <w:r>
        <w:rPr>
          <w:rFonts w:cs="Arial"/>
          <w:lang w:val="es-ES"/>
        </w:rPr>
        <w:t xml:space="preserve">Tanto en 2014 como en 2015 se organizaron talleres </w:t>
      </w:r>
      <w:r w:rsidRPr="00526311">
        <w:rPr>
          <w:rFonts w:cs="Arial"/>
          <w:lang w:val="es-ES"/>
        </w:rPr>
        <w:t xml:space="preserve">sobre requisitos técnicos para facilitar el programa de Cooperación para el Examen de Patentes de la ASEAN (ASPEC) y el portal de P.I. de la ASEAN.  </w:t>
      </w:r>
      <w:r>
        <w:rPr>
          <w:rFonts w:cs="Arial"/>
          <w:lang w:val="es-ES"/>
        </w:rPr>
        <w:t xml:space="preserve">Se logró avanzar de forma importante en la incorporación de nuevas oficinas proveedoras a </w:t>
      </w:r>
      <w:r w:rsidRPr="00526311">
        <w:rPr>
          <w:rFonts w:cs="Arial"/>
          <w:i/>
          <w:lang w:val="es-ES"/>
        </w:rPr>
        <w:t>WIPO CASE</w:t>
      </w:r>
      <w:r>
        <w:rPr>
          <w:rFonts w:cs="Arial"/>
          <w:lang w:val="es-ES"/>
        </w:rPr>
        <w:t xml:space="preserve"> con la finalidad de que al final del bienio hubiera diez oficinas proveedoras, entre ellas la Oficina Internacional (información del expediente del PCT) </w:t>
      </w:r>
      <w:r w:rsidRPr="007F7575">
        <w:rPr>
          <w:rFonts w:cs="Arial"/>
          <w:lang w:val="es-ES"/>
        </w:rPr>
        <w:t>y</w:t>
      </w:r>
      <w:r>
        <w:rPr>
          <w:rFonts w:cs="Arial"/>
          <w:lang w:val="es-ES"/>
        </w:rPr>
        <w:t xml:space="preserve"> las cuatro oficinas de patentes más importantes.</w:t>
      </w:r>
    </w:p>
    <w:p w:rsidR="00FA2BC6" w:rsidRPr="00526311" w:rsidRDefault="00FA2BC6" w:rsidP="00DC1333">
      <w:pPr>
        <w:jc w:val="both"/>
      </w:pPr>
    </w:p>
    <w:p w:rsidR="00FA2BC6" w:rsidRPr="00526311" w:rsidRDefault="00FA2BC6" w:rsidP="00FA2BC6">
      <w:pPr>
        <w:pStyle w:val="ListParagraph"/>
        <w:numPr>
          <w:ilvl w:val="0"/>
          <w:numId w:val="74"/>
        </w:numPr>
        <w:tabs>
          <w:tab w:val="left" w:pos="709"/>
        </w:tabs>
        <w:ind w:left="0" w:firstLine="0"/>
        <w:jc w:val="both"/>
        <w:rPr>
          <w:rFonts w:cs="Arial"/>
          <w:lang w:val="es-ES"/>
        </w:rPr>
      </w:pPr>
      <w:r w:rsidRPr="00526311">
        <w:rPr>
          <w:rFonts w:cs="Arial"/>
          <w:lang w:val="es-ES"/>
        </w:rPr>
        <w:t>En 2014 se puso en marcha el proyecto “Conexión de Derecho de Autor de la OMPI” (WCC) (que ha sustituido al proyecto WIPOCOS)</w:t>
      </w:r>
      <w:r>
        <w:rPr>
          <w:rFonts w:cs="Arial"/>
          <w:lang w:val="es-ES"/>
        </w:rPr>
        <w:t>,</w:t>
      </w:r>
      <w:r w:rsidRPr="00526311">
        <w:rPr>
          <w:rFonts w:cs="Arial"/>
          <w:lang w:val="es-ES"/>
        </w:rPr>
        <w:t xml:space="preserve"> a fin de disponer de un sistema interconectado para la gestión de los derechos de autor y derechos conexos.  </w:t>
      </w:r>
      <w:r>
        <w:rPr>
          <w:rFonts w:cs="Arial"/>
          <w:lang w:val="es-ES"/>
        </w:rPr>
        <w:t>U</w:t>
      </w:r>
      <w:r w:rsidRPr="00526311">
        <w:rPr>
          <w:rFonts w:cs="Arial"/>
          <w:lang w:val="es-ES"/>
        </w:rPr>
        <w:t xml:space="preserve">n grupo de expertos para el funcionamiento de la WCC constituido por representantes de organizaciones de gestión colectiva y otros </w:t>
      </w:r>
      <w:r>
        <w:rPr>
          <w:rFonts w:cs="Arial"/>
          <w:lang w:val="es-ES"/>
        </w:rPr>
        <w:t>a</w:t>
      </w:r>
      <w:r w:rsidRPr="00526311">
        <w:rPr>
          <w:rFonts w:cs="Arial"/>
          <w:lang w:val="es-ES"/>
        </w:rPr>
        <w:t>soci</w:t>
      </w:r>
      <w:r>
        <w:rPr>
          <w:rFonts w:cs="Arial"/>
          <w:lang w:val="es-ES"/>
        </w:rPr>
        <w:t>ad</w:t>
      </w:r>
      <w:r w:rsidRPr="00526311">
        <w:rPr>
          <w:rFonts w:cs="Arial"/>
          <w:lang w:val="es-ES"/>
        </w:rPr>
        <w:t>os (representantes de organizaciones internac</w:t>
      </w:r>
      <w:r>
        <w:rPr>
          <w:rFonts w:cs="Arial"/>
          <w:lang w:val="es-ES"/>
        </w:rPr>
        <w:t xml:space="preserve">ionales y empresas interesadas) que se prestaron </w:t>
      </w:r>
      <w:r w:rsidRPr="00526311">
        <w:rPr>
          <w:rFonts w:cs="Arial"/>
          <w:lang w:val="es-ES"/>
        </w:rPr>
        <w:t xml:space="preserve">voluntariamente, </w:t>
      </w:r>
      <w:r>
        <w:rPr>
          <w:rFonts w:cs="Arial"/>
          <w:lang w:val="es-ES"/>
        </w:rPr>
        <w:t>se encargó de</w:t>
      </w:r>
      <w:r w:rsidRPr="00526311">
        <w:rPr>
          <w:rFonts w:cs="Arial"/>
          <w:lang w:val="es-ES"/>
        </w:rPr>
        <w:t xml:space="preserve"> definir las necesidades operativas del sistema.  A finales de 2014 se contrató a un contratista </w:t>
      </w:r>
      <w:r w:rsidRPr="00526311">
        <w:rPr>
          <w:rFonts w:cs="Arial"/>
          <w:lang w:val="es-ES"/>
        </w:rPr>
        <w:lastRenderedPageBreak/>
        <w:t xml:space="preserve">externo y </w:t>
      </w:r>
      <w:r>
        <w:rPr>
          <w:rFonts w:cs="Arial"/>
          <w:lang w:val="es-ES"/>
        </w:rPr>
        <w:t>a mediados de 2015</w:t>
      </w:r>
      <w:r w:rsidRPr="00526311">
        <w:rPr>
          <w:rFonts w:cs="Arial"/>
          <w:lang w:val="es-ES"/>
        </w:rPr>
        <w:t xml:space="preserve"> </w:t>
      </w:r>
      <w:r>
        <w:rPr>
          <w:rFonts w:cs="Arial"/>
          <w:lang w:val="es-ES"/>
        </w:rPr>
        <w:t xml:space="preserve">se obtuvo </w:t>
      </w:r>
      <w:r w:rsidRPr="00526311">
        <w:rPr>
          <w:rFonts w:cs="Arial"/>
          <w:lang w:val="es-ES"/>
        </w:rPr>
        <w:t>una prueba de concepto técnica.  E</w:t>
      </w:r>
      <w:r>
        <w:rPr>
          <w:rFonts w:cs="Arial"/>
          <w:lang w:val="es-ES"/>
        </w:rPr>
        <w:t>l sistema se encontraba en su fase final de desarrollo a finales del bienio 2014/15 y se empezará a poner</w:t>
      </w:r>
      <w:r w:rsidRPr="00526311">
        <w:rPr>
          <w:rFonts w:cs="Arial"/>
          <w:lang w:val="es-ES"/>
        </w:rPr>
        <w:t xml:space="preserve"> en </w:t>
      </w:r>
      <w:r>
        <w:rPr>
          <w:rFonts w:cs="Arial"/>
          <w:lang w:val="es-ES"/>
        </w:rPr>
        <w:t>funcionamiento a partir de</w:t>
      </w:r>
      <w:r w:rsidRPr="00526311">
        <w:rPr>
          <w:rFonts w:cs="Arial"/>
          <w:lang w:val="es-ES"/>
        </w:rPr>
        <w:t xml:space="preserve"> 2016</w:t>
      </w:r>
      <w:r>
        <w:rPr>
          <w:rFonts w:cs="Arial"/>
          <w:lang w:val="es-ES"/>
        </w:rPr>
        <w:t xml:space="preserve"> </w:t>
      </w:r>
      <w:r w:rsidRPr="00526311">
        <w:rPr>
          <w:rFonts w:cs="Arial"/>
          <w:lang w:val="es-ES"/>
        </w:rPr>
        <w:t xml:space="preserve">en </w:t>
      </w:r>
      <w:r>
        <w:rPr>
          <w:rFonts w:cs="Arial"/>
          <w:lang w:val="es-ES"/>
        </w:rPr>
        <w:t xml:space="preserve">las organizaciones de gestión colectiva de </w:t>
      </w:r>
      <w:r w:rsidRPr="00526311">
        <w:rPr>
          <w:rFonts w:cs="Arial"/>
          <w:lang w:val="es-ES"/>
        </w:rPr>
        <w:t>los países en desarrollo y PMA.</w:t>
      </w:r>
    </w:p>
    <w:p w:rsidR="00FA2BC6" w:rsidRPr="00526311" w:rsidRDefault="00FA2BC6" w:rsidP="00DC1333">
      <w:pPr>
        <w:jc w:val="both"/>
      </w:pPr>
    </w:p>
    <w:p w:rsidR="00FA2BC6" w:rsidRPr="00EC7EEB" w:rsidRDefault="00FA2BC6" w:rsidP="00DC1333">
      <w:pPr>
        <w:keepNext/>
        <w:keepLines/>
        <w:rPr>
          <w:b/>
          <w:sz w:val="20"/>
        </w:rPr>
      </w:pPr>
      <w:r w:rsidRPr="00EC7EEB">
        <w:rPr>
          <w:b/>
          <w:sz w:val="20"/>
        </w:rPr>
        <w:t>Sistemas informáticos de las Oficinas de P.I.</w:t>
      </w:r>
    </w:p>
    <w:p w:rsidR="00FA2BC6" w:rsidRPr="00526311" w:rsidRDefault="00FA2BC6" w:rsidP="00DC1333">
      <w:pPr>
        <w:keepNext/>
        <w:keepLines/>
        <w:jc w:val="both"/>
        <w:rPr>
          <w:sz w:val="20"/>
        </w:rPr>
      </w:pPr>
    </w:p>
    <w:p w:rsidR="00FA2BC6" w:rsidRPr="00526311" w:rsidRDefault="00FA2BC6" w:rsidP="00FA2BC6">
      <w:pPr>
        <w:pStyle w:val="ListParagraph"/>
        <w:keepNext/>
        <w:keepLines/>
        <w:numPr>
          <w:ilvl w:val="0"/>
          <w:numId w:val="74"/>
        </w:numPr>
        <w:tabs>
          <w:tab w:val="left" w:pos="709"/>
        </w:tabs>
        <w:ind w:left="0" w:firstLine="0"/>
        <w:jc w:val="both"/>
        <w:rPr>
          <w:rFonts w:cs="Arial"/>
          <w:lang w:val="es-ES"/>
        </w:rPr>
      </w:pPr>
      <w:r w:rsidRPr="00526311">
        <w:rPr>
          <w:rFonts w:cs="Arial"/>
          <w:lang w:val="es-ES"/>
        </w:rPr>
        <w:t xml:space="preserve">En el siguiente gráfico se ofrece un panorama general del incremento constante en el uso de los sistemas de la OMPI para las Oficinas de P.I. en los últimos </w:t>
      </w:r>
      <w:r>
        <w:rPr>
          <w:rFonts w:cs="Arial"/>
          <w:lang w:val="es-ES"/>
        </w:rPr>
        <w:t>seis</w:t>
      </w:r>
      <w:r w:rsidRPr="00526311">
        <w:rPr>
          <w:rFonts w:cs="Arial"/>
          <w:lang w:val="es-ES"/>
        </w:rPr>
        <w:t xml:space="preserve"> años.  A finales de 201</w:t>
      </w:r>
      <w:r>
        <w:rPr>
          <w:rFonts w:cs="Arial"/>
          <w:lang w:val="es-ES"/>
        </w:rPr>
        <w:t>5</w:t>
      </w:r>
      <w:r w:rsidRPr="00526311">
        <w:rPr>
          <w:rFonts w:cs="Arial"/>
          <w:lang w:val="es-ES"/>
        </w:rPr>
        <w:t xml:space="preserve"> unas </w:t>
      </w:r>
      <w:r>
        <w:rPr>
          <w:rFonts w:cs="Arial"/>
          <w:lang w:val="es-ES"/>
        </w:rPr>
        <w:t>77</w:t>
      </w:r>
      <w:r w:rsidRPr="00526311">
        <w:rPr>
          <w:rFonts w:cs="Arial"/>
          <w:lang w:val="es-ES"/>
        </w:rPr>
        <w:t xml:space="preserve"> Oficinas de P.I. estaban utilizando los sistemas de la OMPI para las Oficinas de P.I. (que comprenden el sistema IPAS, el Sistema de Gestión de la Propiedad Industrial de la OMPI en Árabe (AIPMS), el EDMS, </w:t>
      </w:r>
      <w:proofErr w:type="spellStart"/>
      <w:r w:rsidRPr="00526311">
        <w:rPr>
          <w:rFonts w:cs="Arial"/>
          <w:lang w:val="es-ES"/>
        </w:rPr>
        <w:t>WIPOScan</w:t>
      </w:r>
      <w:proofErr w:type="spellEnd"/>
      <w:r w:rsidRPr="00526311">
        <w:rPr>
          <w:rFonts w:cs="Arial"/>
          <w:lang w:val="es-ES"/>
        </w:rPr>
        <w:t xml:space="preserve"> y el módulo Madrid de la OMPI).</w:t>
      </w:r>
      <w:r>
        <w:rPr>
          <w:rStyle w:val="FootnoteReference"/>
          <w:rFonts w:cs="Arial"/>
          <w:lang w:val="es-ES"/>
        </w:rPr>
        <w:footnoteReference w:id="92"/>
      </w:r>
    </w:p>
    <w:p w:rsidR="00FA2BC6" w:rsidRPr="00526311" w:rsidRDefault="00FA2BC6" w:rsidP="00DC1333">
      <w:pPr>
        <w:keepNext/>
        <w:keepLines/>
        <w:jc w:val="both"/>
      </w:pPr>
    </w:p>
    <w:p w:rsidR="00FA2BC6" w:rsidRPr="00526311" w:rsidRDefault="00FA2BC6" w:rsidP="00EF5483">
      <w:pPr>
        <w:autoSpaceDE w:val="0"/>
        <w:autoSpaceDN w:val="0"/>
        <w:adjustRightInd w:val="0"/>
        <w:jc w:val="center"/>
        <w:rPr>
          <w:sz w:val="20"/>
        </w:rPr>
      </w:pPr>
      <w:r w:rsidRPr="00652A54">
        <w:rPr>
          <w:noProof/>
          <w:lang w:val="en-US" w:eastAsia="en-US"/>
        </w:rPr>
        <w:drawing>
          <wp:inline distT="0" distB="0" distL="0" distR="0" wp14:anchorId="299E8595" wp14:editId="41777860">
            <wp:extent cx="5230869" cy="3476846"/>
            <wp:effectExtent l="0" t="0" r="8255"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5235899" cy="3480189"/>
                    </a:xfrm>
                    <a:prstGeom prst="rect">
                      <a:avLst/>
                    </a:prstGeom>
                    <a:noFill/>
                    <a:ln>
                      <a:noFill/>
                    </a:ln>
                  </pic:spPr>
                </pic:pic>
              </a:graphicData>
            </a:graphic>
          </wp:inline>
        </w:drawing>
      </w:r>
    </w:p>
    <w:p w:rsidR="00FA2BC6" w:rsidRDefault="00FA2BC6" w:rsidP="00DC1333">
      <w:pPr>
        <w:keepNext/>
        <w:keepLines/>
        <w:rPr>
          <w:sz w:val="20"/>
        </w:rPr>
      </w:pPr>
    </w:p>
    <w:p w:rsidR="00FA2BC6" w:rsidRDefault="00FA2BC6" w:rsidP="00DC1333">
      <w:pPr>
        <w:keepNext/>
        <w:keepLines/>
        <w:rPr>
          <w:sz w:val="20"/>
        </w:rPr>
      </w:pPr>
    </w:p>
    <w:p w:rsidR="00FA2BC6" w:rsidRPr="00A717BE" w:rsidRDefault="00FA2BC6" w:rsidP="00DC1333">
      <w:pPr>
        <w:keepNext/>
        <w:keepLines/>
        <w:rPr>
          <w:b/>
          <w:sz w:val="20"/>
        </w:rPr>
      </w:pPr>
      <w:r w:rsidRPr="00A717BE">
        <w:rPr>
          <w:b/>
          <w:sz w:val="20"/>
        </w:rPr>
        <w:t>Plataformas de intercambio de recursos</w:t>
      </w:r>
    </w:p>
    <w:p w:rsidR="00FA2BC6" w:rsidRPr="00526311" w:rsidRDefault="00FA2BC6" w:rsidP="00DC1333">
      <w:pPr>
        <w:jc w:val="both"/>
        <w:rPr>
          <w:sz w:val="20"/>
        </w:rPr>
      </w:pPr>
    </w:p>
    <w:tbl>
      <w:tblPr>
        <w:tblW w:w="0" w:type="auto"/>
        <w:tblLook w:val="01E0" w:firstRow="1" w:lastRow="1" w:firstColumn="1" w:lastColumn="1" w:noHBand="0" w:noVBand="0"/>
      </w:tblPr>
      <w:tblGrid>
        <w:gridCol w:w="1951"/>
        <w:gridCol w:w="7371"/>
      </w:tblGrid>
      <w:tr w:rsidR="00FA2BC6" w:rsidRPr="00526311" w:rsidTr="00DC1333">
        <w:tc>
          <w:tcPr>
            <w:tcW w:w="1951" w:type="dxa"/>
            <w:shd w:val="clear" w:color="auto" w:fill="auto"/>
          </w:tcPr>
          <w:p w:rsidR="00FA2BC6" w:rsidRPr="00526311" w:rsidRDefault="00FA2BC6" w:rsidP="00DC1333">
            <w:pPr>
              <w:tabs>
                <w:tab w:val="center" w:pos="4320"/>
                <w:tab w:val="right" w:pos="8640"/>
              </w:tabs>
              <w:jc w:val="both"/>
              <w:rPr>
                <w:i/>
                <w:sz w:val="20"/>
              </w:rPr>
            </w:pPr>
            <w:r w:rsidRPr="00526311">
              <w:rPr>
                <w:i/>
                <w:sz w:val="20"/>
              </w:rPr>
              <w:t xml:space="preserve">WIPO DAS </w:t>
            </w:r>
          </w:p>
        </w:tc>
        <w:tc>
          <w:tcPr>
            <w:tcW w:w="7371" w:type="dxa"/>
            <w:shd w:val="clear" w:color="auto" w:fill="auto"/>
          </w:tcPr>
          <w:p w:rsidR="00FA2BC6" w:rsidRPr="00526311" w:rsidRDefault="00FA2BC6" w:rsidP="00DC1333">
            <w:pPr>
              <w:shd w:val="clear" w:color="auto" w:fill="FFFFFF"/>
              <w:jc w:val="both"/>
              <w:rPr>
                <w:sz w:val="20"/>
              </w:rPr>
            </w:pPr>
            <w:r w:rsidRPr="00526311">
              <w:rPr>
                <w:sz w:val="20"/>
              </w:rPr>
              <w:t xml:space="preserve">Sobre la base de un proceso de especificación y examen realizado con las Oficinas participantes, se publicó una nueva versión del portal del servicio de acceso digital (DAS) que fortalece el marco revisado de DAS 2.0.  </w:t>
            </w:r>
            <w:r>
              <w:rPr>
                <w:sz w:val="20"/>
              </w:rPr>
              <w:t>El número de o</w:t>
            </w:r>
            <w:r w:rsidRPr="00526311">
              <w:rPr>
                <w:sz w:val="20"/>
              </w:rPr>
              <w:t xml:space="preserve">ficinas participantes </w:t>
            </w:r>
            <w:r>
              <w:rPr>
                <w:sz w:val="20"/>
              </w:rPr>
              <w:t>se mantuvo</w:t>
            </w:r>
            <w:r w:rsidRPr="00526311">
              <w:rPr>
                <w:sz w:val="20"/>
              </w:rPr>
              <w:t xml:space="preserve"> en 11.</w:t>
            </w:r>
          </w:p>
          <w:p w:rsidR="00FA2BC6" w:rsidRPr="00526311" w:rsidRDefault="00FA2BC6" w:rsidP="00DC1333">
            <w:pPr>
              <w:tabs>
                <w:tab w:val="center" w:pos="4320"/>
                <w:tab w:val="right" w:pos="8640"/>
              </w:tabs>
              <w:jc w:val="both"/>
              <w:rPr>
                <w:sz w:val="20"/>
              </w:rPr>
            </w:pPr>
          </w:p>
        </w:tc>
      </w:tr>
      <w:tr w:rsidR="00FA2BC6" w:rsidRPr="00526311" w:rsidTr="00DC1333">
        <w:tc>
          <w:tcPr>
            <w:tcW w:w="1951" w:type="dxa"/>
            <w:shd w:val="clear" w:color="auto" w:fill="auto"/>
          </w:tcPr>
          <w:p w:rsidR="00FA2BC6" w:rsidRPr="00526311" w:rsidRDefault="00FA2BC6" w:rsidP="00DC1333">
            <w:pPr>
              <w:tabs>
                <w:tab w:val="center" w:pos="4320"/>
                <w:tab w:val="right" w:pos="8640"/>
              </w:tabs>
              <w:jc w:val="both"/>
              <w:rPr>
                <w:i/>
                <w:sz w:val="20"/>
              </w:rPr>
            </w:pPr>
            <w:r w:rsidRPr="00526311">
              <w:rPr>
                <w:i/>
                <w:sz w:val="20"/>
              </w:rPr>
              <w:t>WIPO CASE</w:t>
            </w:r>
          </w:p>
        </w:tc>
        <w:tc>
          <w:tcPr>
            <w:tcW w:w="7371" w:type="dxa"/>
            <w:shd w:val="clear" w:color="auto" w:fill="auto"/>
          </w:tcPr>
          <w:p w:rsidR="00FA2BC6" w:rsidRPr="00526311" w:rsidRDefault="00FA2BC6" w:rsidP="00DC1333">
            <w:pPr>
              <w:tabs>
                <w:tab w:val="center" w:pos="4320"/>
                <w:tab w:val="right" w:pos="8640"/>
              </w:tabs>
              <w:jc w:val="both"/>
              <w:rPr>
                <w:sz w:val="20"/>
              </w:rPr>
            </w:pPr>
            <w:r w:rsidRPr="00526311">
              <w:rPr>
                <w:sz w:val="20"/>
              </w:rPr>
              <w:t xml:space="preserve">En abril de 2014, el acceso centralizado a documentos de búsqueda y examen de la OMPI (CASE) se vinculó con la plataforma </w:t>
            </w:r>
            <w:proofErr w:type="spellStart"/>
            <w:r w:rsidRPr="00526311">
              <w:rPr>
                <w:i/>
                <w:sz w:val="20"/>
              </w:rPr>
              <w:t>One</w:t>
            </w:r>
            <w:proofErr w:type="spellEnd"/>
            <w:r w:rsidRPr="00526311">
              <w:rPr>
                <w:i/>
                <w:sz w:val="20"/>
              </w:rPr>
              <w:t xml:space="preserve"> Portal Dossier</w:t>
            </w:r>
            <w:r w:rsidRPr="00526311">
              <w:rPr>
                <w:sz w:val="20"/>
              </w:rPr>
              <w:t xml:space="preserve"> de la Cooperación </w:t>
            </w:r>
            <w:proofErr w:type="spellStart"/>
            <w:r w:rsidRPr="00526311">
              <w:rPr>
                <w:sz w:val="20"/>
              </w:rPr>
              <w:t>Pentalateral</w:t>
            </w:r>
            <w:proofErr w:type="spellEnd"/>
            <w:r w:rsidRPr="00526311">
              <w:rPr>
                <w:sz w:val="20"/>
              </w:rPr>
              <w:t xml:space="preserve"> (IP5), que permite el intercambio recíproco de información sobre expedientes entre el sistema CASE y las Oficinas de la Cooperación </w:t>
            </w:r>
            <w:proofErr w:type="spellStart"/>
            <w:r w:rsidRPr="00526311">
              <w:rPr>
                <w:sz w:val="20"/>
              </w:rPr>
              <w:t>Pentalateral</w:t>
            </w:r>
            <w:proofErr w:type="spellEnd"/>
            <w:r w:rsidRPr="00526311">
              <w:rPr>
                <w:sz w:val="20"/>
              </w:rPr>
              <w:t xml:space="preserve">.  </w:t>
            </w:r>
            <w:r>
              <w:rPr>
                <w:sz w:val="20"/>
              </w:rPr>
              <w:t>Durante el bienio se inscribieron varias oficinas nuevas</w:t>
            </w:r>
            <w:r w:rsidRPr="00526311">
              <w:rPr>
                <w:sz w:val="20"/>
              </w:rPr>
              <w:t xml:space="preserve"> para utilizar </w:t>
            </w:r>
            <w:r w:rsidRPr="00526311">
              <w:rPr>
                <w:i/>
                <w:sz w:val="20"/>
              </w:rPr>
              <w:t>WIPO CASE</w:t>
            </w:r>
            <w:r w:rsidRPr="00526311">
              <w:rPr>
                <w:sz w:val="20"/>
              </w:rPr>
              <w:t>, lo que eleva el número total de oficinas p</w:t>
            </w:r>
            <w:r>
              <w:rPr>
                <w:sz w:val="20"/>
              </w:rPr>
              <w:t>articipantes en el proyecto a 21, de las que 10 se han mostrado de acuerdo con proporcionar la información contenida en sus expedientes a otras.</w:t>
            </w:r>
          </w:p>
        </w:tc>
      </w:tr>
    </w:tbl>
    <w:p w:rsidR="00FA2BC6" w:rsidRPr="00526311" w:rsidRDefault="00FA2BC6" w:rsidP="00DC1333">
      <w:pPr>
        <w:jc w:val="both"/>
        <w:rPr>
          <w:bCs/>
          <w:sz w:val="20"/>
        </w:rPr>
      </w:pPr>
    </w:p>
    <w:p w:rsidR="00FA2BC6" w:rsidRPr="00526311" w:rsidRDefault="00FA2BC6" w:rsidP="00FA2BC6">
      <w:pPr>
        <w:pStyle w:val="ListParagraph"/>
        <w:numPr>
          <w:ilvl w:val="0"/>
          <w:numId w:val="74"/>
        </w:numPr>
        <w:tabs>
          <w:tab w:val="left" w:pos="709"/>
        </w:tabs>
        <w:ind w:left="0" w:firstLine="0"/>
        <w:jc w:val="both"/>
        <w:rPr>
          <w:rFonts w:cs="Arial"/>
          <w:bCs/>
          <w:lang w:val="es-ES"/>
        </w:rPr>
      </w:pPr>
      <w:r w:rsidRPr="00526311">
        <w:rPr>
          <w:rFonts w:cs="Arial"/>
          <w:bCs/>
          <w:lang w:val="es-ES"/>
        </w:rPr>
        <w:t>En el diseño, la planificación y el desarrollo de las actividades emprendidas por el programa 15 se tuvieron en cuenta las recomendaciones pertinentes de la Agenda para el Desarrollo, en particular las recomendaciones 1, 2 y 10.</w:t>
      </w:r>
    </w:p>
    <w:p w:rsidR="00FA2BC6" w:rsidRPr="00526311" w:rsidRDefault="00FA2BC6" w:rsidP="00DC1333">
      <w:pPr>
        <w:tabs>
          <w:tab w:val="left" w:pos="709"/>
        </w:tabs>
        <w:jc w:val="both"/>
        <w:rPr>
          <w:bCs/>
          <w:sz w:val="20"/>
        </w:rPr>
      </w:pPr>
    </w:p>
    <w:p w:rsidR="00FA2BC6" w:rsidRPr="00526311" w:rsidRDefault="008F7CBE" w:rsidP="00DC1333">
      <w:pPr>
        <w:keepNext/>
        <w:rPr>
          <w:szCs w:val="22"/>
        </w:rPr>
      </w:pPr>
      <w:r w:rsidRPr="008F7CBE">
        <w:rPr>
          <w:sz w:val="20"/>
          <w:szCs w:val="22"/>
        </w:rPr>
        <w:lastRenderedPageBreak/>
        <w:t>DATOS SOBRE EL RENDIMIENTO</w:t>
      </w:r>
    </w:p>
    <w:p w:rsidR="00FA2BC6" w:rsidRPr="00526311" w:rsidRDefault="00FA2BC6" w:rsidP="00DC1333">
      <w:pPr>
        <w:keepNext/>
        <w:tabs>
          <w:tab w:val="left" w:pos="709"/>
        </w:tabs>
        <w:jc w:val="both"/>
        <w:rPr>
          <w:bCs/>
        </w:rPr>
      </w:pPr>
    </w:p>
    <w:tbl>
      <w:tblPr>
        <w:tblW w:w="4958"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67"/>
        <w:gridCol w:w="2409"/>
        <w:gridCol w:w="1276"/>
        <w:gridCol w:w="2411"/>
        <w:gridCol w:w="1128"/>
      </w:tblGrid>
      <w:tr w:rsidR="00FA2BC6" w:rsidRPr="00526311" w:rsidTr="00DC1333">
        <w:tc>
          <w:tcPr>
            <w:tcW w:w="5000" w:type="pct"/>
            <w:gridSpan w:val="5"/>
            <w:tcBorders>
              <w:top w:val="single" w:sz="4" w:space="0" w:color="auto"/>
              <w:bottom w:val="single" w:sz="4" w:space="0" w:color="auto"/>
            </w:tcBorders>
            <w:shd w:val="clear" w:color="auto" w:fill="C6D9F1" w:themeFill="text2" w:themeFillTint="33"/>
            <w:vAlign w:val="center"/>
          </w:tcPr>
          <w:p w:rsidR="00FA2BC6" w:rsidRPr="00526311" w:rsidRDefault="00FA2BC6" w:rsidP="00DC1333">
            <w:pPr>
              <w:keepNext/>
              <w:keepLines/>
              <w:spacing w:before="120" w:after="120"/>
              <w:ind w:left="2019" w:hanging="2019"/>
              <w:rPr>
                <w:b/>
                <w:bCs/>
                <w:sz w:val="16"/>
                <w:szCs w:val="16"/>
              </w:rPr>
            </w:pPr>
            <w:r w:rsidRPr="00526311">
              <w:rPr>
                <w:b/>
                <w:bCs/>
                <w:sz w:val="16"/>
                <w:szCs w:val="16"/>
              </w:rPr>
              <w:t>Resultado previsto:</w:t>
            </w:r>
            <w:r w:rsidRPr="00526311">
              <w:rPr>
                <w:b/>
                <w:bCs/>
                <w:sz w:val="16"/>
                <w:szCs w:val="16"/>
              </w:rPr>
              <w:tab/>
            </w:r>
            <w:r w:rsidRPr="00526311">
              <w:rPr>
                <w:sz w:val="16"/>
                <w:szCs w:val="16"/>
              </w:rPr>
              <w:t>IV.4 Mejora en la infraestructura técnica y de conocimientos de las Oficinas y demás instituciones de P.I. que les permita prestar mejores servicios (más económicos, más rápidos y de mejor calidad) a sus partes interesadas</w:t>
            </w:r>
          </w:p>
        </w:tc>
      </w:tr>
      <w:tr w:rsidR="00FA2BC6" w:rsidRPr="00526311" w:rsidTr="00DC1333">
        <w:tc>
          <w:tcPr>
            <w:tcW w:w="1195" w:type="pct"/>
            <w:tcBorders>
              <w:top w:val="single" w:sz="4" w:space="0" w:color="auto"/>
            </w:tcBorders>
            <w:shd w:val="clear" w:color="auto" w:fill="auto"/>
            <w:vAlign w:val="center"/>
          </w:tcPr>
          <w:p w:rsidR="00FA2BC6" w:rsidRPr="00526311" w:rsidRDefault="00FA2BC6" w:rsidP="00DC1333">
            <w:pPr>
              <w:keepNext/>
              <w:spacing w:after="40"/>
              <w:rPr>
                <w:sz w:val="16"/>
                <w:szCs w:val="16"/>
              </w:rPr>
            </w:pPr>
            <w:r w:rsidRPr="00526311">
              <w:rPr>
                <w:b/>
                <w:sz w:val="16"/>
                <w:szCs w:val="16"/>
              </w:rPr>
              <w:t>Indicadores de rendimiento</w:t>
            </w:r>
          </w:p>
        </w:tc>
        <w:tc>
          <w:tcPr>
            <w:tcW w:w="1269" w:type="pct"/>
            <w:tcBorders>
              <w:top w:val="single" w:sz="4" w:space="0" w:color="auto"/>
            </w:tcBorders>
            <w:shd w:val="clear" w:color="auto" w:fill="auto"/>
            <w:vAlign w:val="center"/>
          </w:tcPr>
          <w:p w:rsidR="00FA2BC6" w:rsidRPr="00526311" w:rsidRDefault="00FA2BC6" w:rsidP="00DC1333">
            <w:pPr>
              <w:keepNext/>
              <w:spacing w:after="40"/>
              <w:rPr>
                <w:b/>
                <w:bCs/>
                <w:sz w:val="16"/>
                <w:szCs w:val="16"/>
              </w:rPr>
            </w:pPr>
            <w:r w:rsidRPr="00526311">
              <w:rPr>
                <w:b/>
                <w:bCs/>
                <w:sz w:val="16"/>
                <w:szCs w:val="16"/>
              </w:rPr>
              <w:t>Referencia</w:t>
            </w:r>
          </w:p>
        </w:tc>
        <w:tc>
          <w:tcPr>
            <w:tcW w:w="672" w:type="pct"/>
            <w:tcBorders>
              <w:top w:val="single" w:sz="4" w:space="0" w:color="auto"/>
            </w:tcBorders>
            <w:shd w:val="clear" w:color="auto" w:fill="auto"/>
            <w:tcMar>
              <w:top w:w="110" w:type="dxa"/>
            </w:tcMar>
            <w:vAlign w:val="center"/>
          </w:tcPr>
          <w:p w:rsidR="00FA2BC6" w:rsidRPr="00526311" w:rsidRDefault="00FA2BC6" w:rsidP="00DC1333">
            <w:pPr>
              <w:keepNext/>
              <w:spacing w:after="40"/>
              <w:rPr>
                <w:b/>
                <w:sz w:val="16"/>
                <w:szCs w:val="16"/>
              </w:rPr>
            </w:pPr>
            <w:r w:rsidRPr="00526311">
              <w:rPr>
                <w:b/>
                <w:sz w:val="16"/>
                <w:szCs w:val="16"/>
              </w:rPr>
              <w:t>Objetivos</w:t>
            </w:r>
          </w:p>
        </w:tc>
        <w:tc>
          <w:tcPr>
            <w:tcW w:w="1270" w:type="pct"/>
            <w:tcBorders>
              <w:top w:val="single" w:sz="4" w:space="0" w:color="auto"/>
            </w:tcBorders>
            <w:shd w:val="clear" w:color="auto" w:fill="FFFFFF"/>
            <w:tcMar>
              <w:top w:w="110" w:type="dxa"/>
            </w:tcMar>
            <w:vAlign w:val="center"/>
          </w:tcPr>
          <w:p w:rsidR="00FA2BC6" w:rsidRPr="00526311" w:rsidRDefault="00FA2BC6" w:rsidP="00DC1333">
            <w:pPr>
              <w:keepNext/>
              <w:spacing w:after="40"/>
              <w:rPr>
                <w:sz w:val="16"/>
                <w:szCs w:val="16"/>
              </w:rPr>
            </w:pPr>
            <w:r w:rsidRPr="00526311">
              <w:rPr>
                <w:b/>
                <w:sz w:val="16"/>
                <w:szCs w:val="16"/>
              </w:rPr>
              <w:t>Datos sobre el rendimiento</w:t>
            </w:r>
          </w:p>
        </w:tc>
        <w:tc>
          <w:tcPr>
            <w:tcW w:w="594" w:type="pct"/>
            <w:tcBorders>
              <w:top w:val="single" w:sz="4" w:space="0" w:color="auto"/>
            </w:tcBorders>
            <w:shd w:val="clear" w:color="auto" w:fill="auto"/>
            <w:tcMar>
              <w:top w:w="110" w:type="dxa"/>
            </w:tcMar>
            <w:vAlign w:val="center"/>
          </w:tcPr>
          <w:p w:rsidR="00FA2BC6" w:rsidRPr="00526311" w:rsidRDefault="00FA2BC6" w:rsidP="00DC1333">
            <w:pPr>
              <w:keepNext/>
              <w:keepLines/>
              <w:spacing w:after="40"/>
              <w:jc w:val="center"/>
              <w:rPr>
                <w:b/>
                <w:bCs/>
                <w:sz w:val="16"/>
                <w:szCs w:val="16"/>
              </w:rPr>
            </w:pPr>
            <w:r w:rsidRPr="00526311">
              <w:rPr>
                <w:b/>
                <w:bCs/>
                <w:sz w:val="16"/>
                <w:szCs w:val="16"/>
              </w:rPr>
              <w:t>Clave de colores</w:t>
            </w:r>
          </w:p>
        </w:tc>
      </w:tr>
      <w:tr w:rsidR="00FA2BC6" w:rsidRPr="00526311" w:rsidTr="00DC1333">
        <w:tc>
          <w:tcPr>
            <w:tcW w:w="1195" w:type="pct"/>
            <w:shd w:val="clear" w:color="auto" w:fill="auto"/>
          </w:tcPr>
          <w:p w:rsidR="00FA2BC6" w:rsidRPr="00526311" w:rsidRDefault="00FA2BC6" w:rsidP="00DC1333">
            <w:pPr>
              <w:rPr>
                <w:sz w:val="16"/>
                <w:szCs w:val="16"/>
              </w:rPr>
            </w:pPr>
            <w:r w:rsidRPr="00526311">
              <w:rPr>
                <w:sz w:val="16"/>
                <w:szCs w:val="16"/>
              </w:rPr>
              <w:t>Número de oficinas que utilizan las plataformas de infraestructura de la OMPI.</w:t>
            </w:r>
          </w:p>
        </w:tc>
        <w:tc>
          <w:tcPr>
            <w:tcW w:w="1269" w:type="pct"/>
            <w:shd w:val="clear" w:color="auto" w:fill="auto"/>
          </w:tcPr>
          <w:p w:rsidR="00FA2BC6" w:rsidRPr="00526311" w:rsidRDefault="00FA2BC6" w:rsidP="00DC1333">
            <w:pPr>
              <w:rPr>
                <w:i/>
                <w:color w:val="002060"/>
                <w:sz w:val="16"/>
                <w:szCs w:val="16"/>
              </w:rPr>
            </w:pPr>
            <w:r w:rsidRPr="00526311">
              <w:rPr>
                <w:i/>
                <w:color w:val="002060"/>
                <w:sz w:val="16"/>
                <w:szCs w:val="16"/>
              </w:rPr>
              <w:t xml:space="preserve">Referencia actualizada a fines de 2013:  </w:t>
            </w:r>
          </w:p>
          <w:p w:rsidR="00FA2BC6" w:rsidRPr="00526311" w:rsidRDefault="00FA2BC6" w:rsidP="00DC1333">
            <w:pPr>
              <w:spacing w:after="120"/>
              <w:rPr>
                <w:color w:val="002060"/>
                <w:sz w:val="16"/>
                <w:szCs w:val="16"/>
              </w:rPr>
            </w:pPr>
            <w:r>
              <w:rPr>
                <w:color w:val="002060"/>
                <w:sz w:val="16"/>
                <w:szCs w:val="16"/>
              </w:rPr>
              <w:t>Asia y el Pacífico (5</w:t>
            </w:r>
            <w:r w:rsidRPr="00526311">
              <w:rPr>
                <w:color w:val="002060"/>
                <w:sz w:val="16"/>
                <w:szCs w:val="16"/>
              </w:rPr>
              <w:t xml:space="preserve">): China, Mongolia, </w:t>
            </w:r>
            <w:r>
              <w:rPr>
                <w:color w:val="002060"/>
                <w:sz w:val="16"/>
                <w:szCs w:val="16"/>
              </w:rPr>
              <w:t>República de Corea,</w:t>
            </w:r>
            <w:r>
              <w:rPr>
                <w:rStyle w:val="FootnoteReference"/>
                <w:color w:val="002060"/>
                <w:sz w:val="16"/>
                <w:szCs w:val="16"/>
              </w:rPr>
              <w:footnoteReference w:id="93"/>
            </w:r>
            <w:r>
              <w:rPr>
                <w:color w:val="002060"/>
                <w:sz w:val="16"/>
                <w:szCs w:val="16"/>
              </w:rPr>
              <w:t xml:space="preserve"> </w:t>
            </w:r>
            <w:r w:rsidRPr="00526311">
              <w:rPr>
                <w:color w:val="002060"/>
                <w:sz w:val="16"/>
                <w:szCs w:val="16"/>
              </w:rPr>
              <w:t xml:space="preserve">Singapur, </w:t>
            </w:r>
            <w:proofErr w:type="spellStart"/>
            <w:r w:rsidRPr="00526311">
              <w:rPr>
                <w:color w:val="002060"/>
                <w:sz w:val="16"/>
                <w:szCs w:val="16"/>
              </w:rPr>
              <w:t>Viet</w:t>
            </w:r>
            <w:proofErr w:type="spellEnd"/>
            <w:r w:rsidRPr="00526311">
              <w:rPr>
                <w:color w:val="002060"/>
                <w:sz w:val="16"/>
                <w:szCs w:val="16"/>
              </w:rPr>
              <w:t xml:space="preserve"> </w:t>
            </w:r>
            <w:proofErr w:type="spellStart"/>
            <w:r w:rsidRPr="00526311">
              <w:rPr>
                <w:color w:val="002060"/>
                <w:sz w:val="16"/>
                <w:szCs w:val="16"/>
              </w:rPr>
              <w:t>Nam</w:t>
            </w:r>
            <w:proofErr w:type="spellEnd"/>
          </w:p>
          <w:p w:rsidR="00FA2BC6" w:rsidRPr="00526311" w:rsidRDefault="00FA2BC6" w:rsidP="00DC1333">
            <w:pPr>
              <w:rPr>
                <w:color w:val="002060"/>
                <w:sz w:val="16"/>
                <w:szCs w:val="16"/>
              </w:rPr>
            </w:pPr>
            <w:r>
              <w:rPr>
                <w:color w:val="002060"/>
                <w:sz w:val="16"/>
                <w:szCs w:val="16"/>
              </w:rPr>
              <w:t>Otras (11</w:t>
            </w:r>
            <w:r w:rsidRPr="00526311">
              <w:rPr>
                <w:color w:val="002060"/>
                <w:sz w:val="16"/>
                <w:szCs w:val="16"/>
              </w:rPr>
              <w:t xml:space="preserve">): </w:t>
            </w:r>
            <w:r>
              <w:rPr>
                <w:color w:val="002060"/>
                <w:sz w:val="16"/>
                <w:szCs w:val="16"/>
              </w:rPr>
              <w:t xml:space="preserve"> </w:t>
            </w:r>
            <w:r w:rsidRPr="00526311">
              <w:rPr>
                <w:color w:val="002060"/>
                <w:sz w:val="16"/>
                <w:szCs w:val="16"/>
              </w:rPr>
              <w:t>Australia, Canadá, Dinamarca, España, Estados Unidos de América, Finlandia, Israel, Japón, Nueva Zelandia,</w:t>
            </w:r>
            <w:r>
              <w:rPr>
                <w:color w:val="002060"/>
                <w:sz w:val="16"/>
                <w:szCs w:val="16"/>
              </w:rPr>
              <w:t xml:space="preserve"> Reino Unido, Suecia (16 en total</w:t>
            </w:r>
            <w:r w:rsidRPr="00526311">
              <w:rPr>
                <w:color w:val="002060"/>
                <w:sz w:val="16"/>
                <w:szCs w:val="16"/>
              </w:rPr>
              <w:t>)</w:t>
            </w:r>
          </w:p>
          <w:p w:rsidR="00FA2BC6" w:rsidRPr="00526311" w:rsidRDefault="00FA2BC6" w:rsidP="00DC1333">
            <w:pPr>
              <w:rPr>
                <w:i/>
                <w:sz w:val="8"/>
                <w:szCs w:val="8"/>
              </w:rPr>
            </w:pPr>
          </w:p>
          <w:p w:rsidR="00FA2BC6" w:rsidRPr="00526311" w:rsidRDefault="00FA2BC6" w:rsidP="00DC1333">
            <w:pPr>
              <w:rPr>
                <w:sz w:val="16"/>
                <w:szCs w:val="16"/>
              </w:rPr>
            </w:pPr>
            <w:r w:rsidRPr="00526311">
              <w:rPr>
                <w:i/>
                <w:sz w:val="16"/>
                <w:szCs w:val="16"/>
              </w:rPr>
              <w:t>Referencia original en el presupuesto de 2014/15:</w:t>
            </w:r>
            <w:r w:rsidRPr="00526311">
              <w:rPr>
                <w:sz w:val="16"/>
                <w:szCs w:val="16"/>
              </w:rPr>
              <w:t xml:space="preserve">  </w:t>
            </w:r>
            <w:r>
              <w:rPr>
                <w:sz w:val="16"/>
                <w:szCs w:val="16"/>
              </w:rPr>
              <w:t>América del Norte</w:t>
            </w:r>
            <w:r w:rsidRPr="00526311">
              <w:rPr>
                <w:sz w:val="16"/>
                <w:szCs w:val="16"/>
              </w:rPr>
              <w:t xml:space="preserve">2  </w:t>
            </w:r>
          </w:p>
          <w:p w:rsidR="00FA2BC6" w:rsidRPr="00526311" w:rsidRDefault="00FA2BC6" w:rsidP="00DC1333">
            <w:pPr>
              <w:rPr>
                <w:sz w:val="16"/>
                <w:szCs w:val="16"/>
              </w:rPr>
            </w:pPr>
            <w:r w:rsidRPr="00526311">
              <w:rPr>
                <w:sz w:val="16"/>
                <w:szCs w:val="16"/>
              </w:rPr>
              <w:t xml:space="preserve">Europa Occidental - 7  </w:t>
            </w:r>
          </w:p>
          <w:p w:rsidR="00FA2BC6" w:rsidRPr="00526311" w:rsidRDefault="00FA2BC6" w:rsidP="00DC1333">
            <w:pPr>
              <w:rPr>
                <w:sz w:val="16"/>
                <w:szCs w:val="16"/>
              </w:rPr>
            </w:pPr>
            <w:r w:rsidRPr="00526311">
              <w:rPr>
                <w:sz w:val="16"/>
                <w:szCs w:val="16"/>
              </w:rPr>
              <w:t xml:space="preserve">Asia y el Pacífico - 6 </w:t>
            </w:r>
          </w:p>
        </w:tc>
        <w:tc>
          <w:tcPr>
            <w:tcW w:w="672" w:type="pct"/>
            <w:shd w:val="clear" w:color="auto" w:fill="auto"/>
            <w:tcMar>
              <w:top w:w="110" w:type="dxa"/>
            </w:tcMar>
          </w:tcPr>
          <w:p w:rsidR="00FA2BC6" w:rsidRPr="00526311" w:rsidRDefault="00FA2BC6" w:rsidP="00DC1333">
            <w:pPr>
              <w:rPr>
                <w:color w:val="000000" w:themeColor="text1"/>
                <w:sz w:val="16"/>
                <w:szCs w:val="16"/>
              </w:rPr>
            </w:pPr>
            <w:r w:rsidRPr="00526311">
              <w:rPr>
                <w:sz w:val="16"/>
                <w:szCs w:val="16"/>
              </w:rPr>
              <w:t>25 (desglose por región)</w:t>
            </w:r>
          </w:p>
        </w:tc>
        <w:tc>
          <w:tcPr>
            <w:tcW w:w="1270" w:type="pct"/>
            <w:shd w:val="clear" w:color="auto" w:fill="FFFFFF"/>
            <w:tcMar>
              <w:top w:w="110" w:type="dxa"/>
            </w:tcMar>
          </w:tcPr>
          <w:p w:rsidR="00FA2BC6" w:rsidRDefault="00FA2BC6" w:rsidP="00DC1333">
            <w:pPr>
              <w:rPr>
                <w:color w:val="000000" w:themeColor="text1"/>
                <w:sz w:val="16"/>
                <w:szCs w:val="16"/>
                <w:lang w:bidi="th-TH"/>
              </w:rPr>
            </w:pPr>
            <w:r>
              <w:rPr>
                <w:color w:val="000000" w:themeColor="text1"/>
                <w:sz w:val="16"/>
                <w:szCs w:val="16"/>
                <w:lang w:bidi="th-TH"/>
              </w:rPr>
              <w:t>9</w:t>
            </w:r>
            <w:r w:rsidRPr="00526311">
              <w:rPr>
                <w:color w:val="000000" w:themeColor="text1"/>
                <w:sz w:val="16"/>
                <w:szCs w:val="16"/>
                <w:lang w:bidi="th-TH"/>
              </w:rPr>
              <w:t xml:space="preserve"> oficinas más en </w:t>
            </w:r>
            <w:r>
              <w:rPr>
                <w:color w:val="000000" w:themeColor="text1"/>
                <w:sz w:val="16"/>
                <w:szCs w:val="16"/>
                <w:lang w:bidi="th-TH"/>
              </w:rPr>
              <w:t>2014/15:</w:t>
            </w:r>
          </w:p>
          <w:p w:rsidR="00FA2BC6" w:rsidRPr="00526311" w:rsidRDefault="00FA2BC6" w:rsidP="00DC1333">
            <w:pPr>
              <w:rPr>
                <w:color w:val="000000" w:themeColor="text1"/>
                <w:sz w:val="16"/>
                <w:szCs w:val="16"/>
              </w:rPr>
            </w:pPr>
          </w:p>
          <w:p w:rsidR="00FA2BC6" w:rsidRDefault="00FA2BC6" w:rsidP="00FA2BC6">
            <w:pPr>
              <w:pStyle w:val="ListParagraph"/>
              <w:numPr>
                <w:ilvl w:val="0"/>
                <w:numId w:val="54"/>
              </w:numPr>
              <w:rPr>
                <w:sz w:val="16"/>
                <w:szCs w:val="16"/>
                <w:lang w:val="es-ES"/>
              </w:rPr>
            </w:pPr>
            <w:r>
              <w:rPr>
                <w:sz w:val="16"/>
                <w:szCs w:val="16"/>
                <w:lang w:val="es-ES"/>
              </w:rPr>
              <w:t>7 oficinas más en Asia y el Pacífico (12 en total):  Brunei Darussalam, Filipinas, India, Indonesia, Malasia, República Popular Lao, Tailandia</w:t>
            </w:r>
          </w:p>
          <w:p w:rsidR="00FA2BC6" w:rsidRDefault="00FA2BC6" w:rsidP="00DC1333">
            <w:pPr>
              <w:pStyle w:val="ListParagraph"/>
              <w:ind w:left="360"/>
              <w:rPr>
                <w:sz w:val="16"/>
                <w:szCs w:val="16"/>
                <w:lang w:val="es-ES"/>
              </w:rPr>
            </w:pPr>
          </w:p>
          <w:p w:rsidR="00FA2BC6" w:rsidRDefault="00FA2BC6" w:rsidP="00FA2BC6">
            <w:pPr>
              <w:pStyle w:val="ListParagraph"/>
              <w:numPr>
                <w:ilvl w:val="0"/>
                <w:numId w:val="54"/>
              </w:numPr>
              <w:rPr>
                <w:sz w:val="16"/>
                <w:szCs w:val="16"/>
                <w:lang w:val="es-ES"/>
              </w:rPr>
            </w:pPr>
            <w:r>
              <w:rPr>
                <w:sz w:val="16"/>
                <w:szCs w:val="16"/>
                <w:lang w:val="es-ES"/>
              </w:rPr>
              <w:t>1 oficina más en América Latina y el Caribe (1 en total):  Chile</w:t>
            </w:r>
          </w:p>
          <w:p w:rsidR="00FA2BC6" w:rsidRPr="001B5B4A" w:rsidRDefault="00FA2BC6" w:rsidP="00DC1333">
            <w:pPr>
              <w:pStyle w:val="ListParagraph"/>
              <w:rPr>
                <w:sz w:val="16"/>
                <w:szCs w:val="16"/>
                <w:lang w:val="es-ES"/>
              </w:rPr>
            </w:pPr>
          </w:p>
          <w:p w:rsidR="00FA2BC6" w:rsidRPr="001B5B4A" w:rsidRDefault="00FA2BC6" w:rsidP="00FA2BC6">
            <w:pPr>
              <w:pStyle w:val="ListParagraph"/>
              <w:numPr>
                <w:ilvl w:val="0"/>
                <w:numId w:val="54"/>
              </w:numPr>
              <w:rPr>
                <w:sz w:val="16"/>
                <w:szCs w:val="16"/>
                <w:lang w:val="es-ES"/>
              </w:rPr>
            </w:pPr>
            <w:r>
              <w:rPr>
                <w:sz w:val="16"/>
                <w:szCs w:val="16"/>
                <w:lang w:val="es-ES"/>
              </w:rPr>
              <w:t>1 oficina más en otros países (17 en total):  la Oficina Internacional</w:t>
            </w:r>
          </w:p>
          <w:p w:rsidR="00FA2BC6" w:rsidRPr="00526311" w:rsidRDefault="00FA2BC6" w:rsidP="00DC1333">
            <w:pPr>
              <w:ind w:left="422"/>
              <w:rPr>
                <w:color w:val="000000" w:themeColor="text1"/>
                <w:sz w:val="16"/>
                <w:szCs w:val="16"/>
              </w:rPr>
            </w:pPr>
            <w:r>
              <w:rPr>
                <w:sz w:val="16"/>
                <w:szCs w:val="16"/>
              </w:rPr>
              <w:t>(</w:t>
            </w:r>
            <w:r w:rsidRPr="00526311">
              <w:rPr>
                <w:sz w:val="16"/>
                <w:szCs w:val="16"/>
              </w:rPr>
              <w:t>2</w:t>
            </w:r>
            <w:r>
              <w:rPr>
                <w:sz w:val="16"/>
                <w:szCs w:val="16"/>
              </w:rPr>
              <w:t xml:space="preserve">5 oficinas </w:t>
            </w:r>
            <w:r w:rsidRPr="00526311">
              <w:rPr>
                <w:sz w:val="16"/>
                <w:szCs w:val="16"/>
              </w:rPr>
              <w:t>en total)</w:t>
            </w:r>
          </w:p>
        </w:tc>
        <w:tc>
          <w:tcPr>
            <w:tcW w:w="594" w:type="pct"/>
            <w:shd w:val="clear" w:color="auto" w:fill="auto"/>
            <w:tcMar>
              <w:top w:w="110" w:type="dxa"/>
            </w:tcMar>
          </w:tcPr>
          <w:p w:rsidR="00FA2BC6" w:rsidRPr="00526311" w:rsidRDefault="00FA2BC6" w:rsidP="00DC1333">
            <w:pPr>
              <w:keepNext/>
              <w:keepLines/>
              <w:ind w:left="-107"/>
              <w:jc w:val="center"/>
              <w:rPr>
                <w:b/>
                <w:bCs/>
                <w:color w:val="00B050"/>
                <w:sz w:val="16"/>
                <w:szCs w:val="16"/>
              </w:rPr>
            </w:pPr>
            <w:r>
              <w:rPr>
                <w:b/>
                <w:bCs/>
                <w:color w:val="00B050"/>
                <w:sz w:val="16"/>
                <w:szCs w:val="16"/>
              </w:rPr>
              <w:t>Plenamente logrado</w:t>
            </w:r>
          </w:p>
        </w:tc>
      </w:tr>
      <w:tr w:rsidR="00FA2BC6" w:rsidRPr="00526311" w:rsidTr="00DC1333">
        <w:tc>
          <w:tcPr>
            <w:tcW w:w="1195" w:type="pct"/>
            <w:shd w:val="clear" w:color="auto" w:fill="auto"/>
          </w:tcPr>
          <w:p w:rsidR="00FA2BC6" w:rsidRPr="00526311" w:rsidRDefault="00FA2BC6" w:rsidP="00DC1333">
            <w:pPr>
              <w:ind w:firstLineChars="3" w:firstLine="5"/>
              <w:rPr>
                <w:sz w:val="16"/>
                <w:szCs w:val="16"/>
              </w:rPr>
            </w:pPr>
            <w:r w:rsidRPr="00526311">
              <w:rPr>
                <w:sz w:val="16"/>
                <w:szCs w:val="16"/>
              </w:rPr>
              <w:t>Media del nivel de los servicios prestados por las Oficinas de P.I. que reciben asistencia (en una escala del 1 al 5).</w:t>
            </w:r>
          </w:p>
        </w:tc>
        <w:tc>
          <w:tcPr>
            <w:tcW w:w="1269" w:type="pct"/>
            <w:shd w:val="clear" w:color="auto" w:fill="auto"/>
          </w:tcPr>
          <w:p w:rsidR="00FA2BC6" w:rsidRPr="00526311" w:rsidRDefault="00FA2BC6" w:rsidP="00DC1333">
            <w:pPr>
              <w:rPr>
                <w:color w:val="002060"/>
                <w:sz w:val="16"/>
                <w:szCs w:val="16"/>
              </w:rPr>
            </w:pPr>
            <w:r w:rsidRPr="00526311">
              <w:rPr>
                <w:i/>
                <w:color w:val="002060"/>
                <w:sz w:val="16"/>
                <w:szCs w:val="16"/>
              </w:rPr>
              <w:t>Referencia actualizada a fines de 2013:</w:t>
            </w:r>
            <w:r w:rsidRPr="00526311">
              <w:rPr>
                <w:color w:val="002060"/>
                <w:sz w:val="16"/>
                <w:szCs w:val="16"/>
              </w:rPr>
              <w:t xml:space="preserve">  </w:t>
            </w:r>
            <w:r w:rsidRPr="00526311">
              <w:rPr>
                <w:color w:val="000000" w:themeColor="text1"/>
                <w:sz w:val="16"/>
                <w:szCs w:val="16"/>
              </w:rPr>
              <w:t>2,8</w:t>
            </w:r>
          </w:p>
          <w:p w:rsidR="00FA2BC6" w:rsidRPr="00526311" w:rsidRDefault="00FA2BC6" w:rsidP="00DC1333">
            <w:pPr>
              <w:rPr>
                <w:i/>
                <w:sz w:val="8"/>
                <w:szCs w:val="8"/>
              </w:rPr>
            </w:pPr>
          </w:p>
          <w:p w:rsidR="00FA2BC6" w:rsidRPr="00526311" w:rsidRDefault="00FA2BC6" w:rsidP="00DC1333">
            <w:pPr>
              <w:rPr>
                <w:sz w:val="16"/>
                <w:szCs w:val="16"/>
              </w:rPr>
            </w:pPr>
            <w:r w:rsidRPr="00526311">
              <w:rPr>
                <w:i/>
                <w:sz w:val="16"/>
                <w:szCs w:val="16"/>
              </w:rPr>
              <w:t>Referencia original en el presupuesto de 2014/15:</w:t>
            </w:r>
            <w:r w:rsidRPr="00526311">
              <w:rPr>
                <w:sz w:val="16"/>
                <w:szCs w:val="16"/>
              </w:rPr>
              <w:t xml:space="preserve">  por determinar</w:t>
            </w:r>
          </w:p>
          <w:p w:rsidR="00FA2BC6" w:rsidRPr="00526311" w:rsidRDefault="00FA2BC6" w:rsidP="00DC1333">
            <w:pPr>
              <w:rPr>
                <w:sz w:val="16"/>
                <w:szCs w:val="16"/>
              </w:rPr>
            </w:pPr>
          </w:p>
        </w:tc>
        <w:tc>
          <w:tcPr>
            <w:tcW w:w="672" w:type="pct"/>
            <w:shd w:val="clear" w:color="auto" w:fill="auto"/>
            <w:tcMar>
              <w:top w:w="110" w:type="dxa"/>
            </w:tcMar>
          </w:tcPr>
          <w:p w:rsidR="00FA2BC6" w:rsidRPr="00526311" w:rsidRDefault="00FA2BC6" w:rsidP="00DC1333">
            <w:pPr>
              <w:pStyle w:val="Default"/>
              <w:rPr>
                <w:rFonts w:eastAsia="Times New Roman"/>
                <w:color w:val="002060"/>
                <w:sz w:val="16"/>
                <w:szCs w:val="16"/>
                <w:lang w:val="es-ES" w:eastAsia="en-US"/>
              </w:rPr>
            </w:pPr>
            <w:r w:rsidRPr="00526311">
              <w:rPr>
                <w:rFonts w:eastAsia="Times New Roman"/>
                <w:i/>
                <w:color w:val="002060"/>
                <w:sz w:val="16"/>
                <w:szCs w:val="16"/>
                <w:lang w:val="es-ES" w:eastAsia="en-US"/>
              </w:rPr>
              <w:t xml:space="preserve">Objetivo definido: </w:t>
            </w:r>
            <w:r w:rsidRPr="00526311">
              <w:rPr>
                <w:rFonts w:eastAsia="Times New Roman"/>
                <w:color w:val="002060"/>
                <w:sz w:val="16"/>
                <w:szCs w:val="16"/>
                <w:lang w:val="es-ES" w:eastAsia="en-US"/>
              </w:rPr>
              <w:t>3</w:t>
            </w:r>
          </w:p>
          <w:p w:rsidR="00FA2BC6" w:rsidRPr="00526311" w:rsidRDefault="00FA2BC6" w:rsidP="00DC1333">
            <w:pPr>
              <w:pStyle w:val="Default"/>
              <w:rPr>
                <w:rFonts w:eastAsia="Times New Roman"/>
                <w:color w:val="002060"/>
                <w:sz w:val="16"/>
                <w:szCs w:val="16"/>
                <w:lang w:val="es-ES" w:eastAsia="en-US"/>
              </w:rPr>
            </w:pPr>
          </w:p>
          <w:p w:rsidR="00FA2BC6" w:rsidRPr="00526311" w:rsidRDefault="00FA2BC6" w:rsidP="00DC1333">
            <w:pPr>
              <w:pStyle w:val="Default"/>
              <w:rPr>
                <w:color w:val="000000" w:themeColor="text1"/>
                <w:sz w:val="16"/>
                <w:szCs w:val="16"/>
                <w:lang w:val="es-ES"/>
              </w:rPr>
            </w:pPr>
            <w:r w:rsidRPr="00526311">
              <w:rPr>
                <w:rFonts w:eastAsia="Times New Roman"/>
                <w:i/>
                <w:color w:val="002060"/>
                <w:sz w:val="16"/>
                <w:szCs w:val="16"/>
                <w:lang w:val="es-ES" w:eastAsia="en-US"/>
              </w:rPr>
              <w:t xml:space="preserve">Objetivo original en el </w:t>
            </w:r>
            <w:proofErr w:type="spellStart"/>
            <w:r w:rsidRPr="00526311">
              <w:rPr>
                <w:rFonts w:eastAsia="Times New Roman"/>
                <w:i/>
                <w:color w:val="002060"/>
                <w:sz w:val="16"/>
                <w:szCs w:val="16"/>
                <w:lang w:val="es-ES" w:eastAsia="en-US"/>
              </w:rPr>
              <w:t>presup</w:t>
            </w:r>
            <w:proofErr w:type="spellEnd"/>
            <w:r w:rsidRPr="00526311">
              <w:rPr>
                <w:rFonts w:eastAsia="Times New Roman"/>
                <w:i/>
                <w:color w:val="002060"/>
                <w:sz w:val="16"/>
                <w:szCs w:val="16"/>
                <w:lang w:val="es-ES" w:eastAsia="en-US"/>
              </w:rPr>
              <w:t xml:space="preserve">. de 2014/15:  </w:t>
            </w:r>
            <w:r w:rsidRPr="00526311">
              <w:rPr>
                <w:rFonts w:eastAsia="Times New Roman"/>
                <w:color w:val="002060"/>
                <w:sz w:val="16"/>
                <w:szCs w:val="16"/>
                <w:lang w:val="es-ES" w:eastAsia="en-US"/>
              </w:rPr>
              <w:t>por determinar</w:t>
            </w:r>
          </w:p>
        </w:tc>
        <w:tc>
          <w:tcPr>
            <w:tcW w:w="1270" w:type="pct"/>
            <w:shd w:val="clear" w:color="auto" w:fill="FFFFFF"/>
            <w:tcMar>
              <w:top w:w="110" w:type="dxa"/>
            </w:tcMar>
          </w:tcPr>
          <w:p w:rsidR="00FA2BC6" w:rsidRPr="00526311" w:rsidRDefault="00FA2BC6" w:rsidP="00DC1333">
            <w:pPr>
              <w:rPr>
                <w:color w:val="000000" w:themeColor="text1"/>
                <w:sz w:val="16"/>
                <w:szCs w:val="16"/>
              </w:rPr>
            </w:pPr>
            <w:r w:rsidRPr="00526311">
              <w:rPr>
                <w:color w:val="000000" w:themeColor="text1"/>
                <w:sz w:val="16"/>
                <w:szCs w:val="16"/>
              </w:rPr>
              <w:t>Promedio general: 2,9</w:t>
            </w:r>
          </w:p>
          <w:p w:rsidR="00FA2BC6" w:rsidRPr="00526311" w:rsidRDefault="00FA2BC6" w:rsidP="00FA2BC6">
            <w:pPr>
              <w:pStyle w:val="ListParagraph"/>
              <w:numPr>
                <w:ilvl w:val="0"/>
                <w:numId w:val="54"/>
              </w:numPr>
              <w:rPr>
                <w:sz w:val="16"/>
                <w:szCs w:val="16"/>
                <w:lang w:val="es-ES"/>
              </w:rPr>
            </w:pPr>
            <w:r>
              <w:rPr>
                <w:sz w:val="16"/>
                <w:szCs w:val="16"/>
                <w:lang w:val="es-ES"/>
              </w:rPr>
              <w:t>África:  2,9</w:t>
            </w:r>
          </w:p>
          <w:p w:rsidR="00FA2BC6" w:rsidRPr="00526311" w:rsidRDefault="00FA2BC6" w:rsidP="00FA2BC6">
            <w:pPr>
              <w:pStyle w:val="ListParagraph"/>
              <w:numPr>
                <w:ilvl w:val="0"/>
                <w:numId w:val="54"/>
              </w:numPr>
              <w:rPr>
                <w:sz w:val="16"/>
                <w:szCs w:val="16"/>
                <w:lang w:val="es-ES"/>
              </w:rPr>
            </w:pPr>
            <w:r w:rsidRPr="00526311">
              <w:rPr>
                <w:sz w:val="16"/>
                <w:szCs w:val="16"/>
                <w:lang w:val="es-ES"/>
              </w:rPr>
              <w:t>R</w:t>
            </w:r>
            <w:r>
              <w:rPr>
                <w:sz w:val="16"/>
                <w:szCs w:val="16"/>
                <w:lang w:val="es-ES"/>
              </w:rPr>
              <w:t>egión de los países árabes:  2,8</w:t>
            </w:r>
          </w:p>
          <w:p w:rsidR="00FA2BC6" w:rsidRPr="00526311" w:rsidRDefault="00FA2BC6" w:rsidP="00FA2BC6">
            <w:pPr>
              <w:pStyle w:val="ListParagraph"/>
              <w:numPr>
                <w:ilvl w:val="0"/>
                <w:numId w:val="54"/>
              </w:numPr>
              <w:rPr>
                <w:sz w:val="16"/>
                <w:szCs w:val="16"/>
                <w:lang w:val="es-ES"/>
              </w:rPr>
            </w:pPr>
            <w:r w:rsidRPr="00526311">
              <w:rPr>
                <w:sz w:val="16"/>
                <w:szCs w:val="16"/>
                <w:lang w:val="es-ES"/>
              </w:rPr>
              <w:t>Asia y el Pacífico:  2,7</w:t>
            </w:r>
          </w:p>
          <w:p w:rsidR="00FA2BC6" w:rsidRPr="00526311" w:rsidRDefault="00FA2BC6" w:rsidP="00FA2BC6">
            <w:pPr>
              <w:pStyle w:val="ListParagraph"/>
              <w:numPr>
                <w:ilvl w:val="0"/>
                <w:numId w:val="54"/>
              </w:numPr>
              <w:rPr>
                <w:sz w:val="16"/>
                <w:szCs w:val="16"/>
                <w:lang w:val="es-ES"/>
              </w:rPr>
            </w:pPr>
            <w:r w:rsidRPr="00526311">
              <w:rPr>
                <w:sz w:val="16"/>
                <w:szCs w:val="16"/>
                <w:lang w:val="es-ES"/>
              </w:rPr>
              <w:t>Determinad</w:t>
            </w:r>
            <w:r>
              <w:rPr>
                <w:sz w:val="16"/>
                <w:szCs w:val="16"/>
                <w:lang w:val="es-ES"/>
              </w:rPr>
              <w:t>os países de Europa y Asia:  3,3</w:t>
            </w:r>
          </w:p>
          <w:p w:rsidR="00FA2BC6" w:rsidRPr="00526311" w:rsidRDefault="00FA2BC6" w:rsidP="00FA2BC6">
            <w:pPr>
              <w:pStyle w:val="ListParagraph"/>
              <w:numPr>
                <w:ilvl w:val="0"/>
                <w:numId w:val="54"/>
              </w:numPr>
              <w:rPr>
                <w:sz w:val="16"/>
                <w:szCs w:val="16"/>
                <w:lang w:val="es-ES"/>
              </w:rPr>
            </w:pPr>
            <w:r w:rsidRPr="00526311">
              <w:rPr>
                <w:sz w:val="16"/>
                <w:szCs w:val="16"/>
                <w:lang w:val="es-ES"/>
              </w:rPr>
              <w:t xml:space="preserve">América Latina y el </w:t>
            </w:r>
            <w:r>
              <w:rPr>
                <w:sz w:val="16"/>
                <w:szCs w:val="16"/>
                <w:lang w:val="es-ES"/>
              </w:rPr>
              <w:t>Caribe:  3</w:t>
            </w:r>
          </w:p>
          <w:p w:rsidR="00FA2BC6" w:rsidRPr="00526311" w:rsidRDefault="00FA2BC6" w:rsidP="00FA2BC6">
            <w:pPr>
              <w:pStyle w:val="ListParagraph"/>
              <w:numPr>
                <w:ilvl w:val="0"/>
                <w:numId w:val="54"/>
              </w:numPr>
              <w:rPr>
                <w:sz w:val="16"/>
                <w:szCs w:val="16"/>
                <w:lang w:val="es-ES"/>
              </w:rPr>
            </w:pPr>
            <w:r>
              <w:rPr>
                <w:sz w:val="16"/>
                <w:szCs w:val="16"/>
                <w:lang w:val="es-ES"/>
              </w:rPr>
              <w:t>Otros:  2,5</w:t>
            </w:r>
          </w:p>
          <w:p w:rsidR="00FA2BC6" w:rsidRPr="00526311" w:rsidRDefault="00FA2BC6" w:rsidP="00DC1333">
            <w:pPr>
              <w:rPr>
                <w:color w:val="000000" w:themeColor="text1"/>
                <w:sz w:val="16"/>
                <w:szCs w:val="16"/>
              </w:rPr>
            </w:pPr>
          </w:p>
        </w:tc>
        <w:tc>
          <w:tcPr>
            <w:tcW w:w="594" w:type="pct"/>
            <w:shd w:val="clear" w:color="auto" w:fill="auto"/>
            <w:tcMar>
              <w:top w:w="110" w:type="dxa"/>
            </w:tcMar>
          </w:tcPr>
          <w:p w:rsidR="00FA2BC6" w:rsidRPr="00526311" w:rsidRDefault="00FA2BC6" w:rsidP="00DC1333">
            <w:pPr>
              <w:keepNext/>
              <w:keepLines/>
              <w:ind w:left="-107"/>
              <w:jc w:val="center"/>
              <w:rPr>
                <w:rStyle w:val="StyleStyleHeading3ComplexItalicLatin12ptChar"/>
                <w:color w:val="00B050"/>
                <w:sz w:val="16"/>
                <w:szCs w:val="16"/>
              </w:rPr>
            </w:pPr>
            <w:r>
              <w:rPr>
                <w:b/>
                <w:bCs/>
                <w:color w:val="00B050"/>
                <w:sz w:val="16"/>
                <w:szCs w:val="16"/>
              </w:rPr>
              <w:t>Plenamente logrado</w:t>
            </w:r>
          </w:p>
        </w:tc>
      </w:tr>
      <w:tr w:rsidR="00FA2BC6" w:rsidRPr="00526311" w:rsidTr="00DC1333">
        <w:tc>
          <w:tcPr>
            <w:tcW w:w="1195" w:type="pct"/>
            <w:shd w:val="clear" w:color="auto" w:fill="auto"/>
          </w:tcPr>
          <w:p w:rsidR="00FA2BC6" w:rsidRPr="00526311" w:rsidRDefault="00FA2BC6" w:rsidP="00DC1333">
            <w:pPr>
              <w:ind w:firstLineChars="3" w:firstLine="5"/>
              <w:rPr>
                <w:sz w:val="16"/>
                <w:szCs w:val="16"/>
              </w:rPr>
            </w:pPr>
            <w:r w:rsidRPr="00526311">
              <w:rPr>
                <w:sz w:val="16"/>
                <w:szCs w:val="16"/>
              </w:rPr>
              <w:t xml:space="preserve">Número de OGC de países en desarrollo y PMA que participan en las redes regionales y mundiales facilitadas por la OMPI. </w:t>
            </w:r>
          </w:p>
          <w:p w:rsidR="00FA2BC6" w:rsidRPr="00526311" w:rsidRDefault="00FA2BC6" w:rsidP="00DC1333">
            <w:pPr>
              <w:ind w:firstLineChars="3" w:firstLine="5"/>
              <w:rPr>
                <w:sz w:val="16"/>
                <w:szCs w:val="16"/>
              </w:rPr>
            </w:pPr>
          </w:p>
        </w:tc>
        <w:tc>
          <w:tcPr>
            <w:tcW w:w="1269" w:type="pct"/>
            <w:shd w:val="clear" w:color="auto" w:fill="auto"/>
          </w:tcPr>
          <w:p w:rsidR="00FA2BC6" w:rsidRPr="00526311" w:rsidRDefault="00FA2BC6" w:rsidP="00DC1333">
            <w:pPr>
              <w:rPr>
                <w:i/>
                <w:sz w:val="16"/>
                <w:szCs w:val="16"/>
              </w:rPr>
            </w:pPr>
            <w:r w:rsidRPr="00526311">
              <w:rPr>
                <w:sz w:val="16"/>
                <w:szCs w:val="16"/>
              </w:rPr>
              <w:t>0</w:t>
            </w:r>
          </w:p>
        </w:tc>
        <w:tc>
          <w:tcPr>
            <w:tcW w:w="672" w:type="pct"/>
            <w:shd w:val="clear" w:color="auto" w:fill="auto"/>
            <w:tcMar>
              <w:top w:w="110" w:type="dxa"/>
            </w:tcMar>
          </w:tcPr>
          <w:p w:rsidR="00FA2BC6" w:rsidRPr="00526311" w:rsidRDefault="00FA2BC6" w:rsidP="00DC1333">
            <w:pPr>
              <w:pStyle w:val="Default"/>
              <w:rPr>
                <w:i/>
                <w:color w:val="auto"/>
                <w:sz w:val="16"/>
                <w:szCs w:val="16"/>
                <w:lang w:val="es-ES"/>
              </w:rPr>
            </w:pPr>
            <w:r w:rsidRPr="00526311">
              <w:rPr>
                <w:color w:val="auto"/>
                <w:sz w:val="16"/>
                <w:szCs w:val="16"/>
                <w:lang w:val="es-ES"/>
              </w:rPr>
              <w:t>10</w:t>
            </w:r>
          </w:p>
        </w:tc>
        <w:tc>
          <w:tcPr>
            <w:tcW w:w="1270" w:type="pct"/>
            <w:shd w:val="clear" w:color="auto" w:fill="FFFFFF"/>
            <w:tcMar>
              <w:top w:w="110" w:type="dxa"/>
            </w:tcMar>
          </w:tcPr>
          <w:p w:rsidR="00FA2BC6" w:rsidRPr="00526311" w:rsidRDefault="00FA2BC6" w:rsidP="00DC1333">
            <w:pPr>
              <w:rPr>
                <w:color w:val="000000" w:themeColor="text1"/>
                <w:sz w:val="16"/>
                <w:szCs w:val="16"/>
              </w:rPr>
            </w:pPr>
            <w:r>
              <w:rPr>
                <w:color w:val="000000" w:themeColor="text1"/>
                <w:sz w:val="16"/>
                <w:szCs w:val="16"/>
                <w:lang w:bidi="th-TH"/>
              </w:rPr>
              <w:t>E</w:t>
            </w:r>
            <w:r w:rsidRPr="00526311">
              <w:rPr>
                <w:color w:val="000000" w:themeColor="text1"/>
                <w:sz w:val="16"/>
                <w:szCs w:val="16"/>
                <w:lang w:bidi="th-TH"/>
              </w:rPr>
              <w:t xml:space="preserve">l sistema WCC </w:t>
            </w:r>
            <w:r>
              <w:rPr>
                <w:color w:val="000000" w:themeColor="text1"/>
                <w:sz w:val="16"/>
                <w:szCs w:val="16"/>
                <w:lang w:bidi="th-TH"/>
              </w:rPr>
              <w:t xml:space="preserve">se encontraba en su fase final de desarrollo a finales </w:t>
            </w:r>
            <w:r w:rsidRPr="00002D92">
              <w:rPr>
                <w:color w:val="000000" w:themeColor="text1"/>
                <w:sz w:val="16"/>
                <w:szCs w:val="16"/>
                <w:lang w:bidi="th-TH"/>
              </w:rPr>
              <w:t>del bienio</w:t>
            </w:r>
            <w:r>
              <w:rPr>
                <w:color w:val="000000" w:themeColor="text1"/>
                <w:sz w:val="16"/>
                <w:szCs w:val="16"/>
                <w:lang w:bidi="th-TH"/>
              </w:rPr>
              <w:t xml:space="preserve"> 2014/15 </w:t>
            </w:r>
            <w:r w:rsidRPr="00526311">
              <w:rPr>
                <w:color w:val="000000" w:themeColor="text1"/>
                <w:sz w:val="16"/>
                <w:szCs w:val="16"/>
                <w:lang w:bidi="th-TH"/>
              </w:rPr>
              <w:t xml:space="preserve">y </w:t>
            </w:r>
            <w:r>
              <w:rPr>
                <w:color w:val="000000" w:themeColor="text1"/>
                <w:sz w:val="16"/>
                <w:szCs w:val="16"/>
                <w:lang w:bidi="th-TH"/>
              </w:rPr>
              <w:t xml:space="preserve">se pondrá </w:t>
            </w:r>
            <w:r w:rsidRPr="00526311">
              <w:rPr>
                <w:color w:val="000000" w:themeColor="text1"/>
                <w:sz w:val="16"/>
                <w:szCs w:val="16"/>
                <w:lang w:bidi="th-TH"/>
              </w:rPr>
              <w:t xml:space="preserve">en funcionamiento </w:t>
            </w:r>
            <w:r w:rsidRPr="00002D92">
              <w:rPr>
                <w:color w:val="000000" w:themeColor="text1"/>
                <w:sz w:val="16"/>
                <w:szCs w:val="16"/>
                <w:lang w:bidi="th-TH"/>
              </w:rPr>
              <w:t>a partir de 2016 en las organizaciones de gestión colectiva de los países en desarrollo y PMA</w:t>
            </w:r>
            <w:r w:rsidRPr="00526311">
              <w:rPr>
                <w:color w:val="000000" w:themeColor="text1"/>
                <w:sz w:val="16"/>
                <w:szCs w:val="16"/>
                <w:lang w:bidi="th-TH"/>
              </w:rPr>
              <w:t>.</w:t>
            </w:r>
          </w:p>
        </w:tc>
        <w:tc>
          <w:tcPr>
            <w:tcW w:w="594" w:type="pct"/>
            <w:shd w:val="clear" w:color="auto" w:fill="auto"/>
            <w:tcMar>
              <w:top w:w="110" w:type="dxa"/>
            </w:tcMar>
          </w:tcPr>
          <w:p w:rsidR="00FA2BC6" w:rsidRPr="00526311" w:rsidRDefault="00FA2BC6" w:rsidP="00DC1333">
            <w:pPr>
              <w:rPr>
                <w:b/>
                <w:color w:val="808080"/>
                <w:sz w:val="16"/>
                <w:szCs w:val="16"/>
              </w:rPr>
            </w:pPr>
            <w:r>
              <w:rPr>
                <w:b/>
                <w:bCs/>
                <w:color w:val="FF0000"/>
                <w:sz w:val="16"/>
                <w:szCs w:val="16"/>
              </w:rPr>
              <w:t>No logrado</w:t>
            </w:r>
          </w:p>
        </w:tc>
      </w:tr>
    </w:tbl>
    <w:p w:rsidR="00FA2BC6" w:rsidRPr="00526311" w:rsidRDefault="00FA2BC6" w:rsidP="00DC1333">
      <w:pPr>
        <w:jc w:val="both"/>
        <w:rPr>
          <w:bCs/>
        </w:rPr>
      </w:pPr>
    </w:p>
    <w:p w:rsidR="00FA2BC6" w:rsidRDefault="008F7CBE" w:rsidP="00DC1333">
      <w:pPr>
        <w:keepNext/>
        <w:keepLines/>
        <w:rPr>
          <w:color w:val="000000"/>
          <w:szCs w:val="22"/>
        </w:rPr>
      </w:pPr>
      <w:r w:rsidRPr="008F7CBE">
        <w:rPr>
          <w:color w:val="000000"/>
          <w:sz w:val="20"/>
          <w:szCs w:val="22"/>
        </w:rPr>
        <w:lastRenderedPageBreak/>
        <w:t>INFORMACIÓN SOBRE LOS RIESGOS PLANTEADOS EN EL BIENIO</w:t>
      </w:r>
    </w:p>
    <w:p w:rsidR="00FA2BC6" w:rsidRDefault="00FA2BC6" w:rsidP="00DC1333">
      <w:pPr>
        <w:keepNext/>
        <w:keepLines/>
      </w:pPr>
    </w:p>
    <w:tbl>
      <w:tblPr>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439"/>
        <w:gridCol w:w="2181"/>
        <w:gridCol w:w="2310"/>
        <w:gridCol w:w="2306"/>
      </w:tblGrid>
      <w:tr w:rsidR="00FA2BC6" w:rsidRPr="00CC4BA1" w:rsidTr="00DC1333">
        <w:trPr>
          <w:trHeight w:val="437"/>
          <w:tblHeader/>
        </w:trPr>
        <w:tc>
          <w:tcPr>
            <w:tcW w:w="2439" w:type="dxa"/>
            <w:tcBorders>
              <w:top w:val="single" w:sz="4" w:space="0" w:color="auto"/>
              <w:bottom w:val="single" w:sz="4" w:space="0" w:color="auto"/>
            </w:tcBorders>
            <w:shd w:val="clear" w:color="auto" w:fill="C6D9F1" w:themeFill="text2" w:themeFillTint="33"/>
            <w:tcMar>
              <w:top w:w="113" w:type="dxa"/>
              <w:bottom w:w="85" w:type="dxa"/>
            </w:tcMar>
            <w:vAlign w:val="center"/>
          </w:tcPr>
          <w:p w:rsidR="00FA2BC6" w:rsidRPr="00CC4BA1" w:rsidRDefault="00FA2BC6" w:rsidP="00DC1333">
            <w:pPr>
              <w:keepNext/>
              <w:keepLines/>
              <w:autoSpaceDE w:val="0"/>
              <w:autoSpaceDN w:val="0"/>
              <w:adjustRightInd w:val="0"/>
              <w:ind w:right="-59"/>
              <w:jc w:val="center"/>
              <w:rPr>
                <w:b/>
                <w:bCs/>
                <w:iCs/>
                <w:sz w:val="18"/>
                <w:szCs w:val="18"/>
              </w:rPr>
            </w:pPr>
            <w:r w:rsidRPr="00D10B62">
              <w:rPr>
                <w:b/>
                <w:bCs/>
                <w:iCs/>
                <w:sz w:val="18"/>
                <w:szCs w:val="18"/>
              </w:rPr>
              <w:t>Riesgos en el logro de los resultados del programa</w:t>
            </w:r>
          </w:p>
        </w:tc>
        <w:tc>
          <w:tcPr>
            <w:tcW w:w="2181" w:type="dxa"/>
            <w:tcBorders>
              <w:top w:val="single" w:sz="4" w:space="0" w:color="auto"/>
              <w:bottom w:val="single" w:sz="4" w:space="0" w:color="auto"/>
            </w:tcBorders>
            <w:shd w:val="clear" w:color="auto" w:fill="C6D9F1" w:themeFill="text2" w:themeFillTint="33"/>
            <w:tcMar>
              <w:top w:w="113" w:type="dxa"/>
              <w:bottom w:w="85" w:type="dxa"/>
            </w:tcMar>
            <w:vAlign w:val="center"/>
          </w:tcPr>
          <w:p w:rsidR="00FA2BC6" w:rsidRPr="00CC4BA1" w:rsidRDefault="00FA2BC6" w:rsidP="00DC1333">
            <w:pPr>
              <w:keepNext/>
              <w:keepLines/>
              <w:autoSpaceDE w:val="0"/>
              <w:autoSpaceDN w:val="0"/>
              <w:adjustRightInd w:val="0"/>
              <w:ind w:right="-59"/>
              <w:jc w:val="center"/>
              <w:rPr>
                <w:b/>
                <w:bCs/>
                <w:iCs/>
                <w:sz w:val="18"/>
                <w:szCs w:val="18"/>
              </w:rPr>
            </w:pPr>
            <w:r w:rsidRPr="00D10B62">
              <w:rPr>
                <w:b/>
                <w:bCs/>
                <w:iCs/>
                <w:sz w:val="18"/>
                <w:szCs w:val="18"/>
              </w:rPr>
              <w:t>Planes de mitigación ejecutados o en ejecución</w:t>
            </w:r>
          </w:p>
        </w:tc>
        <w:tc>
          <w:tcPr>
            <w:tcW w:w="2310" w:type="dxa"/>
            <w:tcBorders>
              <w:top w:val="single" w:sz="4" w:space="0" w:color="auto"/>
              <w:bottom w:val="single" w:sz="4" w:space="0" w:color="auto"/>
            </w:tcBorders>
            <w:shd w:val="clear" w:color="auto" w:fill="C6D9F1" w:themeFill="text2" w:themeFillTint="33"/>
          </w:tcPr>
          <w:p w:rsidR="00FA2BC6" w:rsidRPr="00CC4BA1" w:rsidRDefault="00FA2BC6" w:rsidP="00DC1333">
            <w:pPr>
              <w:keepNext/>
              <w:keepLines/>
              <w:jc w:val="center"/>
              <w:rPr>
                <w:b/>
                <w:bCs/>
                <w:sz w:val="18"/>
                <w:szCs w:val="18"/>
              </w:rPr>
            </w:pPr>
            <w:r w:rsidRPr="00D10B62">
              <w:rPr>
                <w:b/>
                <w:bCs/>
                <w:iCs/>
                <w:sz w:val="18"/>
                <w:szCs w:val="18"/>
              </w:rPr>
              <w:t>Evolución de los riesgos y estrategias de mitigación durante el bienio</w:t>
            </w:r>
          </w:p>
        </w:tc>
        <w:tc>
          <w:tcPr>
            <w:tcW w:w="2306" w:type="dxa"/>
            <w:tcBorders>
              <w:top w:val="single" w:sz="4" w:space="0" w:color="auto"/>
              <w:bottom w:val="single" w:sz="4" w:space="0" w:color="auto"/>
            </w:tcBorders>
            <w:shd w:val="clear" w:color="auto" w:fill="C6D9F1" w:themeFill="text2" w:themeFillTint="33"/>
          </w:tcPr>
          <w:p w:rsidR="00FA2BC6" w:rsidRPr="00CC4BA1" w:rsidRDefault="00FA2BC6" w:rsidP="00DC1333">
            <w:pPr>
              <w:keepNext/>
              <w:keepLines/>
              <w:jc w:val="center"/>
              <w:rPr>
                <w:b/>
                <w:bCs/>
                <w:sz w:val="18"/>
                <w:szCs w:val="18"/>
              </w:rPr>
            </w:pPr>
            <w:r w:rsidRPr="00D10B62">
              <w:rPr>
                <w:b/>
                <w:bCs/>
                <w:sz w:val="18"/>
                <w:szCs w:val="18"/>
              </w:rPr>
              <w:t>Incidencia en el rendimiento del programa</w:t>
            </w:r>
          </w:p>
        </w:tc>
      </w:tr>
      <w:tr w:rsidR="00FA2BC6" w:rsidRPr="003C527B" w:rsidTr="00DC1333">
        <w:trPr>
          <w:trHeight w:val="1051"/>
        </w:trPr>
        <w:tc>
          <w:tcPr>
            <w:tcW w:w="2439" w:type="dxa"/>
            <w:tcBorders>
              <w:top w:val="single" w:sz="4" w:space="0" w:color="auto"/>
            </w:tcBorders>
            <w:shd w:val="clear" w:color="auto" w:fill="auto"/>
            <w:tcMar>
              <w:top w:w="113" w:type="dxa"/>
              <w:bottom w:w="85" w:type="dxa"/>
            </w:tcMar>
          </w:tcPr>
          <w:p w:rsidR="00FA2BC6" w:rsidRPr="00E10D43" w:rsidRDefault="00FA2BC6" w:rsidP="00DC1333">
            <w:pPr>
              <w:keepNext/>
              <w:keepLines/>
              <w:rPr>
                <w:sz w:val="16"/>
                <w:szCs w:val="16"/>
              </w:rPr>
            </w:pPr>
            <w:r w:rsidRPr="00E10D43">
              <w:rPr>
                <w:sz w:val="16"/>
                <w:szCs w:val="16"/>
              </w:rPr>
              <w:t>Las peticiones de instalación de paquetes de programas informáticos de la OMPI recibidas de las oficinas de P.I. pueden ser distintas de los planes de trabajo.  Hay presiones para que comiencen los proyectos en oficinas en las que tal vez no haya las condiciones necesarias (en particular los recursos locales).  Esto puede dar lugar a que se comprometa un número excesivo de recursos de personal y de otra índole.</w:t>
            </w:r>
          </w:p>
        </w:tc>
        <w:tc>
          <w:tcPr>
            <w:tcW w:w="2181" w:type="dxa"/>
            <w:tcBorders>
              <w:top w:val="single" w:sz="4" w:space="0" w:color="auto"/>
            </w:tcBorders>
            <w:shd w:val="clear" w:color="auto" w:fill="auto"/>
            <w:tcMar>
              <w:top w:w="113" w:type="dxa"/>
              <w:bottom w:w="85" w:type="dxa"/>
            </w:tcMar>
          </w:tcPr>
          <w:p w:rsidR="00FA2BC6" w:rsidRPr="00A03C51" w:rsidRDefault="00FA2BC6" w:rsidP="00DC1333">
            <w:pPr>
              <w:keepNext/>
              <w:keepLines/>
              <w:autoSpaceDE w:val="0"/>
              <w:autoSpaceDN w:val="0"/>
              <w:adjustRightInd w:val="0"/>
              <w:ind w:right="-59"/>
              <w:rPr>
                <w:sz w:val="16"/>
                <w:szCs w:val="16"/>
              </w:rPr>
            </w:pPr>
            <w:r w:rsidRPr="00A03C51">
              <w:rPr>
                <w:sz w:val="16"/>
                <w:szCs w:val="16"/>
              </w:rPr>
              <w:t>Evaluación de los proyectos antes de su puesta en marcha.</w:t>
            </w:r>
            <w:r>
              <w:rPr>
                <w:sz w:val="16"/>
                <w:szCs w:val="16"/>
              </w:rPr>
              <w:t xml:space="preserve">  </w:t>
            </w:r>
            <w:r w:rsidRPr="00A03C51">
              <w:rPr>
                <w:sz w:val="16"/>
                <w:szCs w:val="16"/>
              </w:rPr>
              <w:t>Se acordarán planes de proyecto claros, en los que se especifiquen las funciones, las responsabilidades y los compromisos de recursos de todas las partes.</w:t>
            </w:r>
          </w:p>
        </w:tc>
        <w:tc>
          <w:tcPr>
            <w:tcW w:w="2310" w:type="dxa"/>
            <w:tcBorders>
              <w:top w:val="single" w:sz="4" w:space="0" w:color="auto"/>
            </w:tcBorders>
          </w:tcPr>
          <w:p w:rsidR="00FA2BC6" w:rsidRPr="003F7C8A" w:rsidRDefault="00FA2BC6" w:rsidP="00DC1333">
            <w:pPr>
              <w:keepNext/>
              <w:keepLines/>
              <w:autoSpaceDE w:val="0"/>
              <w:autoSpaceDN w:val="0"/>
              <w:adjustRightInd w:val="0"/>
              <w:ind w:right="-59"/>
              <w:rPr>
                <w:sz w:val="16"/>
                <w:szCs w:val="16"/>
              </w:rPr>
            </w:pPr>
            <w:r w:rsidRPr="003F7C8A">
              <w:rPr>
                <w:sz w:val="16"/>
                <w:szCs w:val="16"/>
              </w:rPr>
              <w:t>Este riesgo se materializó en el transcurso del bienio, pero se afrontó gestionando los proyectos con flexibilidad, en especial mediante la reasignación de recursos entre los proyectos, lo que facilitó que el programa se adaptara a los cambios imprevistos de la demanda que se produjeron durante el bienio.</w:t>
            </w:r>
          </w:p>
        </w:tc>
        <w:tc>
          <w:tcPr>
            <w:tcW w:w="2306" w:type="dxa"/>
            <w:tcBorders>
              <w:top w:val="single" w:sz="4" w:space="0" w:color="auto"/>
            </w:tcBorders>
          </w:tcPr>
          <w:p w:rsidR="00FA2BC6" w:rsidRPr="003C527B" w:rsidRDefault="00FA2BC6" w:rsidP="00DC1333">
            <w:pPr>
              <w:autoSpaceDE w:val="0"/>
              <w:autoSpaceDN w:val="0"/>
              <w:adjustRightInd w:val="0"/>
              <w:ind w:right="-59"/>
              <w:rPr>
                <w:sz w:val="16"/>
                <w:szCs w:val="16"/>
              </w:rPr>
            </w:pPr>
            <w:r w:rsidRPr="006A7171">
              <w:rPr>
                <w:sz w:val="16"/>
                <w:szCs w:val="16"/>
              </w:rPr>
              <w:t xml:space="preserve">Este riesgo y su evolución no incidieron sustancialmente en el rendimiento del programa en </w:t>
            </w:r>
            <w:r>
              <w:rPr>
                <w:sz w:val="16"/>
                <w:szCs w:val="16"/>
              </w:rPr>
              <w:t>2014/15.</w:t>
            </w:r>
          </w:p>
        </w:tc>
      </w:tr>
      <w:tr w:rsidR="00FA2BC6" w:rsidRPr="00451B6B" w:rsidTr="00DC1333">
        <w:trPr>
          <w:trHeight w:val="700"/>
        </w:trPr>
        <w:tc>
          <w:tcPr>
            <w:tcW w:w="2439" w:type="dxa"/>
            <w:shd w:val="clear" w:color="auto" w:fill="auto"/>
            <w:tcMar>
              <w:top w:w="113" w:type="dxa"/>
              <w:bottom w:w="85" w:type="dxa"/>
            </w:tcMar>
          </w:tcPr>
          <w:p w:rsidR="00FA2BC6" w:rsidRPr="001E44FB" w:rsidRDefault="00FA2BC6" w:rsidP="00DC1333">
            <w:pPr>
              <w:keepNext/>
              <w:keepLines/>
              <w:rPr>
                <w:sz w:val="16"/>
                <w:szCs w:val="16"/>
              </w:rPr>
            </w:pPr>
            <w:r w:rsidRPr="001E44FB">
              <w:rPr>
                <w:sz w:val="16"/>
                <w:szCs w:val="16"/>
              </w:rPr>
              <w:t xml:space="preserve">Los paquetes de programas informáticos de la OMPI (suministrados a las oficinas de P.I.) son concebidos por contratistas externos y cuentan con </w:t>
            </w:r>
            <w:r>
              <w:rPr>
                <w:sz w:val="16"/>
                <w:szCs w:val="16"/>
              </w:rPr>
              <w:t>el apoyo de estos</w:t>
            </w:r>
            <w:r w:rsidRPr="001E44FB">
              <w:rPr>
                <w:sz w:val="16"/>
                <w:szCs w:val="16"/>
              </w:rPr>
              <w:t>.  Puede que esto acarree la pérdida de conocimientos con poco tiempo para reaccionar.</w:t>
            </w:r>
          </w:p>
        </w:tc>
        <w:tc>
          <w:tcPr>
            <w:tcW w:w="2181" w:type="dxa"/>
            <w:shd w:val="clear" w:color="auto" w:fill="auto"/>
            <w:tcMar>
              <w:top w:w="113" w:type="dxa"/>
              <w:bottom w:w="85" w:type="dxa"/>
            </w:tcMar>
          </w:tcPr>
          <w:p w:rsidR="00FA2BC6" w:rsidRPr="001E44FB" w:rsidRDefault="00FA2BC6" w:rsidP="00DC1333">
            <w:pPr>
              <w:keepNext/>
              <w:keepLines/>
              <w:autoSpaceDE w:val="0"/>
              <w:autoSpaceDN w:val="0"/>
              <w:adjustRightInd w:val="0"/>
              <w:ind w:right="-59"/>
              <w:rPr>
                <w:sz w:val="16"/>
                <w:szCs w:val="16"/>
              </w:rPr>
            </w:pPr>
            <w:r w:rsidRPr="001E44FB">
              <w:rPr>
                <w:sz w:val="16"/>
                <w:szCs w:val="16"/>
              </w:rPr>
              <w:t>Siempre que sea posible, los conocimientos fundamentales deberán continuar estando en manos del personal de la OMPI.</w:t>
            </w:r>
            <w:r>
              <w:rPr>
                <w:sz w:val="16"/>
                <w:szCs w:val="16"/>
              </w:rPr>
              <w:t xml:space="preserve"> </w:t>
            </w:r>
            <w:r w:rsidRPr="001E44FB">
              <w:rPr>
                <w:sz w:val="16"/>
                <w:szCs w:val="16"/>
              </w:rPr>
              <w:t xml:space="preserve"> Es necesario que los contratos con empresas externas incluyan una cláusula relativa a la transferencia de conocimientos en caso de re</w:t>
            </w:r>
            <w:r>
              <w:rPr>
                <w:sz w:val="16"/>
                <w:szCs w:val="16"/>
              </w:rPr>
              <w:t>s</w:t>
            </w:r>
            <w:r w:rsidRPr="001E44FB">
              <w:rPr>
                <w:sz w:val="16"/>
                <w:szCs w:val="16"/>
              </w:rPr>
              <w:t>cisión del contrato.</w:t>
            </w:r>
          </w:p>
        </w:tc>
        <w:tc>
          <w:tcPr>
            <w:tcW w:w="2310" w:type="dxa"/>
          </w:tcPr>
          <w:p w:rsidR="00FA2BC6" w:rsidRPr="00D3386C" w:rsidRDefault="00FA2BC6" w:rsidP="00DC1333">
            <w:pPr>
              <w:keepNext/>
              <w:keepLines/>
              <w:autoSpaceDE w:val="0"/>
              <w:autoSpaceDN w:val="0"/>
              <w:adjustRightInd w:val="0"/>
              <w:ind w:right="-59"/>
              <w:rPr>
                <w:sz w:val="16"/>
                <w:szCs w:val="16"/>
              </w:rPr>
            </w:pPr>
            <w:r w:rsidRPr="003F7C8A">
              <w:rPr>
                <w:sz w:val="16"/>
                <w:szCs w:val="16"/>
              </w:rPr>
              <w:t xml:space="preserve">En 2014 se contrató un diseñador de programas informáticos para reducir el riesgo y se destinaron más </w:t>
            </w:r>
            <w:r>
              <w:rPr>
                <w:sz w:val="16"/>
                <w:szCs w:val="16"/>
              </w:rPr>
              <w:t xml:space="preserve">recursos de personal y contratistas </w:t>
            </w:r>
            <w:r w:rsidRPr="003F7C8A">
              <w:rPr>
                <w:sz w:val="16"/>
                <w:szCs w:val="16"/>
              </w:rPr>
              <w:t xml:space="preserve">a la transferencia de conocimientos </w:t>
            </w:r>
            <w:r>
              <w:rPr>
                <w:sz w:val="16"/>
                <w:szCs w:val="16"/>
              </w:rPr>
              <w:t xml:space="preserve">de los contratistas externos.  </w:t>
            </w:r>
            <w:r w:rsidRPr="00E0361E">
              <w:rPr>
                <w:sz w:val="16"/>
                <w:szCs w:val="16"/>
              </w:rPr>
              <w:t>Gracias a ello</w:t>
            </w:r>
            <w:r>
              <w:rPr>
                <w:sz w:val="16"/>
                <w:szCs w:val="16"/>
              </w:rPr>
              <w:t>,</w:t>
            </w:r>
            <w:r w:rsidRPr="00E0361E">
              <w:rPr>
                <w:sz w:val="16"/>
                <w:szCs w:val="16"/>
              </w:rPr>
              <w:t xml:space="preserve"> durante el bienio mejoraron el intercambio y la retención de conocimientos.</w:t>
            </w:r>
          </w:p>
        </w:tc>
        <w:tc>
          <w:tcPr>
            <w:tcW w:w="2306" w:type="dxa"/>
          </w:tcPr>
          <w:p w:rsidR="00FA2BC6" w:rsidRPr="00451B6B" w:rsidRDefault="00FA2BC6" w:rsidP="00DC1333">
            <w:pPr>
              <w:autoSpaceDE w:val="0"/>
              <w:autoSpaceDN w:val="0"/>
              <w:adjustRightInd w:val="0"/>
              <w:ind w:right="-59"/>
              <w:rPr>
                <w:sz w:val="16"/>
                <w:szCs w:val="16"/>
              </w:rPr>
            </w:pPr>
            <w:r w:rsidRPr="00451B6B">
              <w:rPr>
                <w:sz w:val="16"/>
                <w:szCs w:val="16"/>
              </w:rPr>
              <w:t>Este riesgo y su evolución no incidieron sustancialmente en el rendimiento del programa en 2014/15.</w:t>
            </w:r>
          </w:p>
        </w:tc>
      </w:tr>
      <w:tr w:rsidR="00FA2BC6" w:rsidRPr="00451B6B" w:rsidTr="00DC1333">
        <w:trPr>
          <w:trHeight w:val="843"/>
        </w:trPr>
        <w:tc>
          <w:tcPr>
            <w:tcW w:w="2439" w:type="dxa"/>
            <w:shd w:val="clear" w:color="auto" w:fill="auto"/>
            <w:tcMar>
              <w:top w:w="113" w:type="dxa"/>
              <w:bottom w:w="85" w:type="dxa"/>
            </w:tcMar>
          </w:tcPr>
          <w:p w:rsidR="00FA2BC6" w:rsidRPr="00260E31" w:rsidRDefault="00FA2BC6" w:rsidP="00DC1333">
            <w:pPr>
              <w:keepNext/>
              <w:keepLines/>
              <w:rPr>
                <w:sz w:val="16"/>
                <w:szCs w:val="16"/>
              </w:rPr>
            </w:pPr>
            <w:r w:rsidRPr="00260E31">
              <w:rPr>
                <w:sz w:val="16"/>
                <w:szCs w:val="16"/>
              </w:rPr>
              <w:t>Las oficinas emplean los sistemas de programas informáticos de la OMPI para sus actividades principales.  Un fallo en uno de esos sistemas puede tener consecuencias graves para sus actividades diarias.  Por tanto, muchas oficinas esperan que la OMPI preste un apoyo continuo y suficiente.</w:t>
            </w:r>
          </w:p>
        </w:tc>
        <w:tc>
          <w:tcPr>
            <w:tcW w:w="2181" w:type="dxa"/>
            <w:shd w:val="clear" w:color="auto" w:fill="auto"/>
            <w:tcMar>
              <w:top w:w="113" w:type="dxa"/>
              <w:bottom w:w="85" w:type="dxa"/>
            </w:tcMar>
          </w:tcPr>
          <w:p w:rsidR="00FA2BC6" w:rsidRPr="003F7C8A" w:rsidRDefault="00FA2BC6" w:rsidP="00DC1333">
            <w:pPr>
              <w:keepNext/>
              <w:keepLines/>
              <w:autoSpaceDE w:val="0"/>
              <w:autoSpaceDN w:val="0"/>
              <w:adjustRightInd w:val="0"/>
              <w:ind w:right="-59"/>
              <w:rPr>
                <w:sz w:val="16"/>
                <w:szCs w:val="16"/>
              </w:rPr>
            </w:pPr>
            <w:r w:rsidRPr="003F7C8A">
              <w:rPr>
                <w:sz w:val="16"/>
                <w:szCs w:val="16"/>
              </w:rPr>
              <w:t>Asignación de recursos suficientes para la prestación de asistencia relacionada con los programas informáticos.</w:t>
            </w:r>
            <w:r>
              <w:rPr>
                <w:sz w:val="16"/>
                <w:szCs w:val="16"/>
              </w:rPr>
              <w:t xml:space="preserve">  </w:t>
            </w:r>
            <w:r w:rsidRPr="003F7C8A">
              <w:rPr>
                <w:sz w:val="16"/>
                <w:szCs w:val="16"/>
              </w:rPr>
              <w:t>Asignación de recursos suficientes para la prestación de asistencia relacionada con los programas informáticos.  Establecimiento de procedimientos formales relacionados con los programas informáticos y el apoyo que se presta a estos.</w:t>
            </w:r>
          </w:p>
        </w:tc>
        <w:tc>
          <w:tcPr>
            <w:tcW w:w="2310" w:type="dxa"/>
          </w:tcPr>
          <w:p w:rsidR="00FA2BC6" w:rsidRPr="006A7171" w:rsidRDefault="00FA2BC6" w:rsidP="00DC1333">
            <w:pPr>
              <w:keepNext/>
              <w:keepLines/>
              <w:autoSpaceDE w:val="0"/>
              <w:autoSpaceDN w:val="0"/>
              <w:adjustRightInd w:val="0"/>
              <w:ind w:right="-59"/>
              <w:rPr>
                <w:sz w:val="16"/>
                <w:szCs w:val="16"/>
              </w:rPr>
            </w:pPr>
            <w:r>
              <w:rPr>
                <w:sz w:val="16"/>
                <w:szCs w:val="16"/>
              </w:rPr>
              <w:t>El personal interno de las oficinas de P.I. y los expertos de la OMPI solucionaron de manera eficaz l</w:t>
            </w:r>
            <w:r w:rsidRPr="006A7171">
              <w:rPr>
                <w:sz w:val="16"/>
                <w:szCs w:val="16"/>
              </w:rPr>
              <w:t>os incident</w:t>
            </w:r>
            <w:r>
              <w:rPr>
                <w:sz w:val="16"/>
                <w:szCs w:val="16"/>
              </w:rPr>
              <w:t>e</w:t>
            </w:r>
            <w:r w:rsidRPr="006A7171">
              <w:rPr>
                <w:sz w:val="16"/>
                <w:szCs w:val="16"/>
              </w:rPr>
              <w:t xml:space="preserve">s graves que </w:t>
            </w:r>
            <w:r>
              <w:rPr>
                <w:sz w:val="16"/>
                <w:szCs w:val="16"/>
              </w:rPr>
              <w:t>afrontaron las oficinas</w:t>
            </w:r>
            <w:r w:rsidRPr="006A7171">
              <w:rPr>
                <w:sz w:val="16"/>
                <w:szCs w:val="16"/>
              </w:rPr>
              <w:t xml:space="preserve"> durante el bienio.  Se asignaron m</w:t>
            </w:r>
            <w:r>
              <w:rPr>
                <w:sz w:val="16"/>
                <w:szCs w:val="16"/>
              </w:rPr>
              <w:t xml:space="preserve">ás recursos a </w:t>
            </w:r>
            <w:r w:rsidRPr="006A7171">
              <w:rPr>
                <w:sz w:val="16"/>
                <w:szCs w:val="16"/>
              </w:rPr>
              <w:t>formaci</w:t>
            </w:r>
            <w:r>
              <w:rPr>
                <w:sz w:val="16"/>
                <w:szCs w:val="16"/>
              </w:rPr>
              <w:t xml:space="preserve">ón y </w:t>
            </w:r>
            <w:r w:rsidRPr="006A7171">
              <w:rPr>
                <w:sz w:val="16"/>
                <w:szCs w:val="16"/>
              </w:rPr>
              <w:t>transferencia de tecnolog</w:t>
            </w:r>
            <w:r>
              <w:rPr>
                <w:sz w:val="16"/>
                <w:szCs w:val="16"/>
              </w:rPr>
              <w:t>ía.</w:t>
            </w:r>
          </w:p>
        </w:tc>
        <w:tc>
          <w:tcPr>
            <w:tcW w:w="2306" w:type="dxa"/>
          </w:tcPr>
          <w:p w:rsidR="00FA2BC6" w:rsidRPr="00451B6B" w:rsidRDefault="00FA2BC6" w:rsidP="00DC1333">
            <w:pPr>
              <w:autoSpaceDE w:val="0"/>
              <w:autoSpaceDN w:val="0"/>
              <w:adjustRightInd w:val="0"/>
              <w:ind w:right="-59"/>
              <w:rPr>
                <w:sz w:val="16"/>
                <w:szCs w:val="16"/>
              </w:rPr>
            </w:pPr>
            <w:r w:rsidRPr="00451B6B">
              <w:rPr>
                <w:sz w:val="16"/>
                <w:szCs w:val="16"/>
              </w:rPr>
              <w:t>Este riesgo y su evolución no incidieron sustancialmente en el rendimiento del programa en 2014/15.</w:t>
            </w:r>
          </w:p>
        </w:tc>
      </w:tr>
    </w:tbl>
    <w:p w:rsidR="00FA2BC6" w:rsidRDefault="00FA2BC6" w:rsidP="00DC1333">
      <w:pPr>
        <w:rPr>
          <w:color w:val="000000"/>
        </w:rPr>
      </w:pPr>
    </w:p>
    <w:p w:rsidR="00FA2BC6" w:rsidRPr="00451B6B" w:rsidRDefault="00FA2BC6" w:rsidP="00DC1333">
      <w:pPr>
        <w:rPr>
          <w:color w:val="000000"/>
        </w:rPr>
      </w:pPr>
    </w:p>
    <w:p w:rsidR="00FA2BC6" w:rsidRPr="00526311" w:rsidRDefault="00403D2C" w:rsidP="00DC1333">
      <w:pPr>
        <w:jc w:val="both"/>
        <w:rPr>
          <w:b/>
        </w:rPr>
      </w:pPr>
      <w:r w:rsidRPr="00403D2C">
        <w:rPr>
          <w:sz w:val="20"/>
          <w:szCs w:val="22"/>
        </w:rPr>
        <w:t>UTILIZACIÓN DE LOS RECURSOS</w:t>
      </w:r>
    </w:p>
    <w:p w:rsidR="00FA2BC6" w:rsidRPr="00526311" w:rsidRDefault="00FA2BC6" w:rsidP="00DC1333">
      <w:pPr>
        <w:jc w:val="both"/>
      </w:pPr>
    </w:p>
    <w:p w:rsidR="00FA2BC6" w:rsidRPr="00526311" w:rsidRDefault="00FA2BC6" w:rsidP="00DC1333">
      <w:pPr>
        <w:pStyle w:val="NormalWeb"/>
        <w:spacing w:before="0" w:beforeAutospacing="0" w:after="0" w:afterAutospacing="0"/>
        <w:jc w:val="center"/>
        <w:rPr>
          <w:sz w:val="20"/>
          <w:szCs w:val="20"/>
          <w:lang w:val="es-ES"/>
        </w:rPr>
      </w:pPr>
      <w:r w:rsidRPr="00526311">
        <w:rPr>
          <w:sz w:val="20"/>
          <w:szCs w:val="20"/>
          <w:lang w:val="es-ES"/>
        </w:rPr>
        <w:t>Presupuesto y gastos reales (por resultado)</w:t>
      </w:r>
    </w:p>
    <w:p w:rsidR="00FA2BC6" w:rsidRPr="00526311" w:rsidRDefault="00FA2BC6" w:rsidP="00DC1333">
      <w:pPr>
        <w:pStyle w:val="NormalWeb"/>
        <w:spacing w:before="0" w:beforeAutospacing="0" w:after="0" w:afterAutospacing="0"/>
        <w:jc w:val="center"/>
        <w:rPr>
          <w:i/>
          <w:iCs/>
          <w:sz w:val="20"/>
          <w:szCs w:val="20"/>
          <w:lang w:val="es-ES"/>
        </w:rPr>
      </w:pPr>
      <w:r w:rsidRPr="00526311">
        <w:rPr>
          <w:i/>
          <w:iCs/>
          <w:sz w:val="20"/>
          <w:szCs w:val="20"/>
          <w:lang w:val="es-ES"/>
        </w:rPr>
        <w:t>(</w:t>
      </w:r>
      <w:proofErr w:type="gramStart"/>
      <w:r w:rsidRPr="00526311">
        <w:rPr>
          <w:i/>
          <w:iCs/>
          <w:sz w:val="20"/>
          <w:szCs w:val="20"/>
          <w:lang w:val="es-ES"/>
        </w:rPr>
        <w:t>en</w:t>
      </w:r>
      <w:proofErr w:type="gramEnd"/>
      <w:r w:rsidRPr="00526311">
        <w:rPr>
          <w:i/>
          <w:iCs/>
          <w:sz w:val="20"/>
          <w:szCs w:val="20"/>
          <w:lang w:val="es-ES"/>
        </w:rPr>
        <w:t xml:space="preserve"> miles de francos suizos)</w:t>
      </w:r>
    </w:p>
    <w:p w:rsidR="00FA2BC6" w:rsidRPr="00526311" w:rsidRDefault="00FA2BC6" w:rsidP="00DC1333">
      <w:pPr>
        <w:pStyle w:val="NormalWeb"/>
        <w:spacing w:before="0" w:beforeAutospacing="0" w:after="0" w:afterAutospacing="0"/>
        <w:jc w:val="both"/>
        <w:rPr>
          <w:sz w:val="20"/>
          <w:szCs w:val="20"/>
          <w:lang w:val="es-ES"/>
        </w:rPr>
      </w:pPr>
    </w:p>
    <w:p w:rsidR="00FA2BC6" w:rsidRPr="00526311" w:rsidRDefault="00FA2BC6" w:rsidP="00DC1333">
      <w:pPr>
        <w:jc w:val="center"/>
      </w:pPr>
      <w:bookmarkStart w:id="133" w:name="Bm15"/>
      <w:bookmarkStart w:id="134" w:name="Punto15"/>
      <w:r>
        <w:rPr>
          <w:noProof/>
          <w:lang w:val="en-US" w:eastAsia="en-US"/>
        </w:rPr>
        <w:drawing>
          <wp:inline distT="0" distB="0" distL="0" distR="0" wp14:anchorId="1F51CD26" wp14:editId="2037EF37">
            <wp:extent cx="5676900" cy="1571625"/>
            <wp:effectExtent l="0" t="0" r="0" b="9525"/>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5676900" cy="1571625"/>
                    </a:xfrm>
                    <a:prstGeom prst="rect">
                      <a:avLst/>
                    </a:prstGeom>
                    <a:noFill/>
                    <a:ln>
                      <a:noFill/>
                    </a:ln>
                  </pic:spPr>
                </pic:pic>
              </a:graphicData>
            </a:graphic>
          </wp:inline>
        </w:drawing>
      </w:r>
      <w:bookmarkEnd w:id="133"/>
      <w:bookmarkEnd w:id="134"/>
    </w:p>
    <w:p w:rsidR="00FA2BC6" w:rsidRPr="00526311" w:rsidRDefault="00FA2BC6" w:rsidP="00DC1333">
      <w:pPr>
        <w:pStyle w:val="NormalWeb"/>
        <w:keepNext/>
        <w:keepLines/>
        <w:spacing w:before="0" w:beforeAutospacing="0" w:after="0" w:afterAutospacing="0"/>
        <w:jc w:val="center"/>
        <w:rPr>
          <w:sz w:val="20"/>
          <w:szCs w:val="20"/>
          <w:lang w:val="es-ES"/>
        </w:rPr>
      </w:pPr>
      <w:r w:rsidRPr="00526311">
        <w:rPr>
          <w:sz w:val="20"/>
          <w:szCs w:val="20"/>
          <w:lang w:val="es-ES"/>
        </w:rPr>
        <w:lastRenderedPageBreak/>
        <w:t>Presupuesto y gastos reales (de personal y no relativos a personal)</w:t>
      </w:r>
    </w:p>
    <w:p w:rsidR="00FA2BC6" w:rsidRPr="00526311" w:rsidRDefault="00FA2BC6" w:rsidP="00DC1333">
      <w:pPr>
        <w:pStyle w:val="NormalWeb"/>
        <w:keepNext/>
        <w:keepLines/>
        <w:spacing w:before="0" w:beforeAutospacing="0" w:after="0" w:afterAutospacing="0"/>
        <w:jc w:val="center"/>
        <w:rPr>
          <w:i/>
          <w:iCs/>
          <w:sz w:val="20"/>
          <w:szCs w:val="20"/>
          <w:lang w:val="es-ES"/>
        </w:rPr>
      </w:pPr>
      <w:r w:rsidRPr="00526311">
        <w:rPr>
          <w:i/>
          <w:iCs/>
          <w:sz w:val="20"/>
          <w:szCs w:val="20"/>
          <w:lang w:val="es-ES"/>
        </w:rPr>
        <w:t>(</w:t>
      </w:r>
      <w:proofErr w:type="gramStart"/>
      <w:r w:rsidRPr="00526311">
        <w:rPr>
          <w:i/>
          <w:iCs/>
          <w:sz w:val="20"/>
          <w:szCs w:val="20"/>
          <w:lang w:val="es-ES"/>
        </w:rPr>
        <w:t>en</w:t>
      </w:r>
      <w:proofErr w:type="gramEnd"/>
      <w:r w:rsidRPr="00526311">
        <w:rPr>
          <w:i/>
          <w:iCs/>
          <w:sz w:val="20"/>
          <w:szCs w:val="20"/>
          <w:lang w:val="es-ES"/>
        </w:rPr>
        <w:t xml:space="preserve"> miles de francos suizos)</w:t>
      </w:r>
    </w:p>
    <w:p w:rsidR="00FA2BC6" w:rsidRPr="00526311" w:rsidRDefault="00FA2BC6" w:rsidP="00DC1333">
      <w:pPr>
        <w:pStyle w:val="NormalWeb"/>
        <w:keepNext/>
        <w:keepLines/>
        <w:spacing w:before="0" w:beforeAutospacing="0" w:after="0" w:afterAutospacing="0"/>
        <w:jc w:val="both"/>
        <w:rPr>
          <w:sz w:val="20"/>
          <w:szCs w:val="20"/>
          <w:lang w:val="es-ES"/>
        </w:rPr>
      </w:pPr>
    </w:p>
    <w:p w:rsidR="00FA2BC6" w:rsidRPr="00526311" w:rsidRDefault="00FA2BC6" w:rsidP="00DC1333">
      <w:pPr>
        <w:jc w:val="center"/>
      </w:pPr>
      <w:bookmarkStart w:id="135" w:name="Point15"/>
      <w:r>
        <w:rPr>
          <w:noProof/>
          <w:lang w:val="en-US" w:eastAsia="en-US"/>
        </w:rPr>
        <w:drawing>
          <wp:inline distT="0" distB="0" distL="0" distR="0" wp14:anchorId="1CE0E49A" wp14:editId="7AAEB6B1">
            <wp:extent cx="5940425" cy="1066865"/>
            <wp:effectExtent l="0" t="0" r="3175"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5940425" cy="1066865"/>
                    </a:xfrm>
                    <a:prstGeom prst="rect">
                      <a:avLst/>
                    </a:prstGeom>
                    <a:noFill/>
                    <a:ln>
                      <a:noFill/>
                    </a:ln>
                  </pic:spPr>
                </pic:pic>
              </a:graphicData>
            </a:graphic>
          </wp:inline>
        </w:drawing>
      </w:r>
      <w:bookmarkEnd w:id="135"/>
    </w:p>
    <w:p w:rsidR="00FA2BC6" w:rsidRDefault="00FA2BC6" w:rsidP="00DC1333">
      <w:pPr>
        <w:widowControl w:val="0"/>
        <w:autoSpaceDE w:val="0"/>
        <w:autoSpaceDN w:val="0"/>
        <w:adjustRightInd w:val="0"/>
        <w:jc w:val="both"/>
        <w:rPr>
          <w:sz w:val="20"/>
        </w:rPr>
      </w:pPr>
    </w:p>
    <w:p w:rsidR="00FA2BC6" w:rsidRPr="00526311" w:rsidRDefault="00FA2BC6" w:rsidP="00DC1333">
      <w:pPr>
        <w:widowControl w:val="0"/>
        <w:autoSpaceDE w:val="0"/>
        <w:autoSpaceDN w:val="0"/>
        <w:adjustRightInd w:val="0"/>
        <w:jc w:val="both"/>
        <w:rPr>
          <w:sz w:val="20"/>
        </w:rPr>
      </w:pPr>
    </w:p>
    <w:p w:rsidR="00FA2BC6" w:rsidRPr="00526311" w:rsidRDefault="00403D2C" w:rsidP="00DC1333">
      <w:pPr>
        <w:jc w:val="both"/>
        <w:rPr>
          <w:sz w:val="20"/>
          <w:u w:val="single"/>
        </w:rPr>
      </w:pPr>
      <w:r w:rsidRPr="00403D2C">
        <w:rPr>
          <w:sz w:val="20"/>
        </w:rPr>
        <w:t>A.</w:t>
      </w:r>
      <w:r w:rsidRPr="00403D2C">
        <w:rPr>
          <w:sz w:val="20"/>
        </w:rPr>
        <w:tab/>
      </w:r>
      <w:r w:rsidRPr="00403D2C">
        <w:rPr>
          <w:sz w:val="20"/>
          <w:u w:val="single"/>
        </w:rPr>
        <w:t>Presupuesto final de 2014/15 tras las transferencias</w:t>
      </w:r>
    </w:p>
    <w:p w:rsidR="00FA2BC6" w:rsidRPr="00526311" w:rsidRDefault="00FA2BC6" w:rsidP="00DC1333">
      <w:pPr>
        <w:jc w:val="both"/>
        <w:rPr>
          <w:sz w:val="20"/>
          <w:u w:val="single"/>
        </w:rPr>
      </w:pPr>
    </w:p>
    <w:p w:rsidR="00FA2BC6" w:rsidRPr="009D4701" w:rsidRDefault="00FA2BC6" w:rsidP="00FA2BC6">
      <w:pPr>
        <w:pStyle w:val="ListParagraph"/>
        <w:numPr>
          <w:ilvl w:val="0"/>
          <w:numId w:val="74"/>
        </w:numPr>
        <w:tabs>
          <w:tab w:val="left" w:pos="709"/>
        </w:tabs>
        <w:ind w:left="0" w:firstLine="0"/>
        <w:jc w:val="both"/>
        <w:rPr>
          <w:rFonts w:cs="Arial"/>
          <w:bCs/>
          <w:lang w:val="es-ES"/>
        </w:rPr>
      </w:pPr>
      <w:r w:rsidRPr="00526311">
        <w:rPr>
          <w:rFonts w:cs="Arial"/>
          <w:bCs/>
          <w:lang w:val="es-ES"/>
        </w:rPr>
        <w:t xml:space="preserve">El incremento en el presupuesto </w:t>
      </w:r>
      <w:r>
        <w:rPr>
          <w:rFonts w:cs="Arial"/>
          <w:bCs/>
          <w:lang w:val="es-ES"/>
        </w:rPr>
        <w:t xml:space="preserve">final </w:t>
      </w:r>
      <w:r w:rsidRPr="00526311">
        <w:rPr>
          <w:rFonts w:cs="Arial"/>
          <w:bCs/>
          <w:lang w:val="es-ES"/>
        </w:rPr>
        <w:t>de 2014/15</w:t>
      </w:r>
      <w:r>
        <w:rPr>
          <w:rFonts w:cs="Arial"/>
          <w:bCs/>
          <w:lang w:val="es-ES"/>
        </w:rPr>
        <w:t xml:space="preserve"> tras las transferencias (recursos de personal) se debió</w:t>
      </w:r>
      <w:r w:rsidRPr="00526311">
        <w:rPr>
          <w:rFonts w:cs="Arial"/>
          <w:bCs/>
          <w:lang w:val="es-ES"/>
        </w:rPr>
        <w:t xml:space="preserve"> principalmente a la transferencia de un cargo al programa para asistir en la puesta en marcha y la adaptación de las soluciones operativas de la OMPI para las Oficinas de P.I.</w:t>
      </w:r>
      <w:r>
        <w:rPr>
          <w:rFonts w:cs="Arial"/>
          <w:bCs/>
          <w:lang w:val="es-ES"/>
        </w:rPr>
        <w:t xml:space="preserve">, sobre todo en lo que respecta al diseño y la arquitectura de los programas informáticos, así como el </w:t>
      </w:r>
      <w:r w:rsidRPr="00526311">
        <w:rPr>
          <w:rFonts w:cs="Arial"/>
          <w:lang w:val="es-ES"/>
        </w:rPr>
        <w:t>proyecto “Conexión de Derecho de Autor de la OMPI” (WCC)</w:t>
      </w:r>
      <w:r>
        <w:rPr>
          <w:rFonts w:cs="Arial"/>
          <w:lang w:val="es-ES"/>
        </w:rPr>
        <w:t>.</w:t>
      </w:r>
    </w:p>
    <w:p w:rsidR="00FA2BC6" w:rsidRPr="009D4701" w:rsidRDefault="00FA2BC6" w:rsidP="00DC1333">
      <w:pPr>
        <w:pStyle w:val="ListParagraph"/>
        <w:tabs>
          <w:tab w:val="left" w:pos="709"/>
        </w:tabs>
        <w:ind w:left="0"/>
        <w:jc w:val="both"/>
        <w:rPr>
          <w:rFonts w:cs="Arial"/>
          <w:bCs/>
          <w:lang w:val="es-ES"/>
        </w:rPr>
      </w:pPr>
    </w:p>
    <w:p w:rsidR="00FA2BC6" w:rsidRPr="00526311" w:rsidRDefault="00FA2BC6" w:rsidP="00FA2BC6">
      <w:pPr>
        <w:pStyle w:val="ListParagraph"/>
        <w:numPr>
          <w:ilvl w:val="0"/>
          <w:numId w:val="74"/>
        </w:numPr>
        <w:tabs>
          <w:tab w:val="left" w:pos="709"/>
        </w:tabs>
        <w:ind w:left="0" w:firstLine="0"/>
        <w:jc w:val="both"/>
        <w:rPr>
          <w:rFonts w:cs="Arial"/>
          <w:bCs/>
          <w:lang w:val="es-ES"/>
        </w:rPr>
      </w:pPr>
      <w:r>
        <w:rPr>
          <w:rFonts w:cs="Arial"/>
          <w:bCs/>
          <w:lang w:val="es-ES"/>
        </w:rPr>
        <w:t xml:space="preserve">El ligero incremento neto de los recursos no relativos a personal refleja de una parte i) los </w:t>
      </w:r>
      <w:r w:rsidRPr="00526311">
        <w:rPr>
          <w:rFonts w:cs="Arial"/>
          <w:bCs/>
          <w:lang w:val="es-ES"/>
        </w:rPr>
        <w:t xml:space="preserve">recursos adicionales proporcionados para cubrir </w:t>
      </w:r>
      <w:r>
        <w:rPr>
          <w:rFonts w:cs="Arial"/>
          <w:bCs/>
          <w:lang w:val="es-ES"/>
        </w:rPr>
        <w:t xml:space="preserve">los </w:t>
      </w:r>
      <w:r w:rsidRPr="00526311">
        <w:rPr>
          <w:rFonts w:cs="Arial"/>
          <w:bCs/>
          <w:lang w:val="es-ES"/>
        </w:rPr>
        <w:t xml:space="preserve">costos de TIC para el proyecto TIGAR tras la trasferencia </w:t>
      </w:r>
      <w:r>
        <w:rPr>
          <w:rFonts w:cs="Arial"/>
          <w:bCs/>
          <w:lang w:val="es-ES"/>
        </w:rPr>
        <w:t xml:space="preserve">al programa </w:t>
      </w:r>
      <w:r w:rsidRPr="00526311">
        <w:rPr>
          <w:rFonts w:cs="Arial"/>
          <w:bCs/>
          <w:lang w:val="es-ES"/>
        </w:rPr>
        <w:t xml:space="preserve">de </w:t>
      </w:r>
      <w:r>
        <w:rPr>
          <w:rFonts w:cs="Arial"/>
          <w:bCs/>
          <w:lang w:val="es-ES"/>
        </w:rPr>
        <w:t>las responsabilidades</w:t>
      </w:r>
      <w:r w:rsidRPr="00526311">
        <w:rPr>
          <w:rFonts w:cs="Arial"/>
          <w:bCs/>
          <w:lang w:val="es-ES"/>
        </w:rPr>
        <w:t xml:space="preserve"> </w:t>
      </w:r>
      <w:r>
        <w:rPr>
          <w:rFonts w:cs="Arial"/>
          <w:bCs/>
          <w:lang w:val="es-ES"/>
        </w:rPr>
        <w:t>del programa 3 (</w:t>
      </w:r>
      <w:r>
        <w:rPr>
          <w:lang w:val="es-ES"/>
        </w:rPr>
        <w:t>D</w:t>
      </w:r>
      <w:r w:rsidRPr="001D16DD">
        <w:rPr>
          <w:lang w:val="es-ES"/>
        </w:rPr>
        <w:t>erecho de autor y derechos conexos</w:t>
      </w:r>
      <w:r>
        <w:rPr>
          <w:rFonts w:cs="Arial"/>
          <w:bCs/>
          <w:lang w:val="es-ES"/>
        </w:rPr>
        <w:t xml:space="preserve">) </w:t>
      </w:r>
      <w:r w:rsidRPr="00526311">
        <w:rPr>
          <w:rFonts w:cs="Arial"/>
          <w:bCs/>
          <w:lang w:val="es-ES"/>
        </w:rPr>
        <w:t>con respecto a las ta</w:t>
      </w:r>
      <w:r>
        <w:rPr>
          <w:rFonts w:cs="Arial"/>
          <w:bCs/>
          <w:lang w:val="es-ES"/>
        </w:rPr>
        <w:t>reas de TIC del proyecto TIGAR, y de otra ii) la transferencia de recursos del programa al programa 12 (</w:t>
      </w:r>
      <w:r>
        <w:rPr>
          <w:lang w:val="es-ES"/>
        </w:rPr>
        <w:t>C</w:t>
      </w:r>
      <w:r w:rsidRPr="001D16DD">
        <w:rPr>
          <w:lang w:val="es-ES"/>
        </w:rPr>
        <w:t>lasificaciones internacionales y normas técnicas)</w:t>
      </w:r>
      <w:r>
        <w:rPr>
          <w:lang w:val="es-ES"/>
        </w:rPr>
        <w:t xml:space="preserve"> para financiar los gastos superiores a lo previsto derivados del desarrollo y alojamiento de la base de datos de reclasificación de la CIP.</w:t>
      </w:r>
    </w:p>
    <w:p w:rsidR="00FA2BC6" w:rsidRPr="00526311" w:rsidRDefault="00FA2BC6" w:rsidP="00DC1333">
      <w:pPr>
        <w:autoSpaceDE w:val="0"/>
        <w:autoSpaceDN w:val="0"/>
        <w:jc w:val="both"/>
        <w:rPr>
          <w:sz w:val="20"/>
          <w:lang w:eastAsia="ko-KR"/>
        </w:rPr>
      </w:pPr>
    </w:p>
    <w:p w:rsidR="00FA2BC6" w:rsidRPr="00526311" w:rsidRDefault="00403D2C" w:rsidP="00DC1333">
      <w:pPr>
        <w:jc w:val="both"/>
        <w:rPr>
          <w:sz w:val="20"/>
          <w:u w:val="single"/>
          <w:lang w:eastAsia="ko-KR"/>
        </w:rPr>
      </w:pPr>
      <w:r w:rsidRPr="00403D2C">
        <w:rPr>
          <w:sz w:val="20"/>
          <w:lang w:eastAsia="ko-KR"/>
        </w:rPr>
        <w:t>B.</w:t>
      </w:r>
      <w:r w:rsidRPr="00403D2C">
        <w:rPr>
          <w:sz w:val="20"/>
          <w:lang w:eastAsia="ko-KR"/>
        </w:rPr>
        <w:tab/>
      </w:r>
      <w:r w:rsidRPr="00403D2C">
        <w:rPr>
          <w:sz w:val="20"/>
          <w:u w:val="single"/>
          <w:lang w:eastAsia="ko-KR"/>
        </w:rPr>
        <w:t>Utilización del presupuesto en 2014/15</w:t>
      </w:r>
    </w:p>
    <w:p w:rsidR="00FA2BC6" w:rsidRPr="00526311" w:rsidRDefault="00FA2BC6" w:rsidP="00DC1333">
      <w:pPr>
        <w:tabs>
          <w:tab w:val="left" w:pos="709"/>
        </w:tabs>
        <w:jc w:val="both"/>
        <w:rPr>
          <w:sz w:val="20"/>
          <w:u w:val="single"/>
          <w:lang w:eastAsia="ko-KR"/>
        </w:rPr>
      </w:pPr>
    </w:p>
    <w:p w:rsidR="00FA2BC6" w:rsidRPr="00526311" w:rsidRDefault="00FA2BC6" w:rsidP="00FA2BC6">
      <w:pPr>
        <w:pStyle w:val="ListParagraph"/>
        <w:numPr>
          <w:ilvl w:val="0"/>
          <w:numId w:val="74"/>
        </w:numPr>
        <w:tabs>
          <w:tab w:val="left" w:pos="709"/>
        </w:tabs>
        <w:ind w:left="0" w:firstLine="0"/>
        <w:jc w:val="both"/>
        <w:rPr>
          <w:rFonts w:cs="Arial"/>
          <w:bCs/>
          <w:lang w:val="es-ES"/>
        </w:rPr>
      </w:pPr>
      <w:r w:rsidRPr="00526311">
        <w:rPr>
          <w:rFonts w:cs="Arial"/>
          <w:bCs/>
          <w:lang w:val="es-ES"/>
        </w:rPr>
        <w:t xml:space="preserve">La utilización de los recursos no relativos </w:t>
      </w:r>
      <w:r>
        <w:rPr>
          <w:rFonts w:cs="Arial"/>
          <w:bCs/>
          <w:lang w:val="es-ES"/>
        </w:rPr>
        <w:t xml:space="preserve">a personal </w:t>
      </w:r>
      <w:r w:rsidRPr="00526311">
        <w:rPr>
          <w:rFonts w:cs="Arial"/>
          <w:bCs/>
          <w:lang w:val="es-ES"/>
        </w:rPr>
        <w:t>a</w:t>
      </w:r>
      <w:r>
        <w:rPr>
          <w:rFonts w:cs="Arial"/>
          <w:bCs/>
          <w:lang w:val="es-ES"/>
        </w:rPr>
        <w:t>lcanzó el 91% debido a la finalización de la fase de desarrollo de la plataforma</w:t>
      </w:r>
      <w:r w:rsidRPr="00526311">
        <w:rPr>
          <w:rFonts w:cs="Arial"/>
          <w:bCs/>
          <w:lang w:val="es-ES"/>
        </w:rPr>
        <w:t xml:space="preserve"> </w:t>
      </w:r>
      <w:r>
        <w:rPr>
          <w:rFonts w:cs="Arial"/>
          <w:bCs/>
          <w:lang w:val="es-ES"/>
        </w:rPr>
        <w:t xml:space="preserve">informática del </w:t>
      </w:r>
      <w:r w:rsidRPr="00526311">
        <w:rPr>
          <w:rFonts w:cs="Arial"/>
          <w:bCs/>
          <w:lang w:val="es-ES"/>
        </w:rPr>
        <w:t xml:space="preserve">WCC, </w:t>
      </w:r>
      <w:r>
        <w:rPr>
          <w:rFonts w:cs="Arial"/>
          <w:bCs/>
          <w:lang w:val="es-ES"/>
        </w:rPr>
        <w:t>lo que provocó</w:t>
      </w:r>
      <w:r w:rsidR="009A26F2">
        <w:rPr>
          <w:rFonts w:cs="Arial"/>
          <w:bCs/>
          <w:lang w:val="es-ES"/>
        </w:rPr>
        <w:t xml:space="preserve"> su puesta en funcionamiento en </w:t>
      </w:r>
      <w:r>
        <w:rPr>
          <w:rFonts w:cs="Arial"/>
          <w:bCs/>
          <w:lang w:val="es-ES"/>
        </w:rPr>
        <w:t>2016 y no durante el bienio anterior como se había previsto en un principio.</w:t>
      </w:r>
    </w:p>
    <w:p w:rsidR="00FA2BC6" w:rsidRDefault="00FA2BC6"/>
    <w:p w:rsidR="00FA2BC6" w:rsidRDefault="00FA2BC6"/>
    <w:p w:rsidR="00FA2BC6" w:rsidRDefault="00FA2BC6"/>
    <w:p w:rsidR="00FA423E" w:rsidRDefault="00FA423E" w:rsidP="00FA423E"/>
    <w:p w:rsidR="00FA423E" w:rsidRDefault="00FA423E" w:rsidP="00FA423E"/>
    <w:p w:rsidR="00FA423E" w:rsidRDefault="00FA423E" w:rsidP="00FA423E">
      <w:pPr>
        <w:rPr>
          <w:highlight w:val="yellow"/>
        </w:rPr>
      </w:pPr>
      <w:r>
        <w:rPr>
          <w:highlight w:val="yellow"/>
        </w:rPr>
        <w:br w:type="page"/>
      </w:r>
    </w:p>
    <w:p w:rsidR="00FA423E" w:rsidRPr="00F171B5" w:rsidRDefault="00FA423E" w:rsidP="00FA423E">
      <w:pPr>
        <w:pStyle w:val="StyleHeading214ptAuto"/>
        <w:rPr>
          <w:rFonts w:ascii="Arial" w:hAnsi="Arial" w:cs="Arial"/>
          <w:sz w:val="20"/>
          <w:szCs w:val="20"/>
          <w:lang w:val="es-ES"/>
        </w:rPr>
      </w:pPr>
      <w:bookmarkStart w:id="136" w:name="_Toc455159093"/>
      <w:bookmarkStart w:id="137" w:name="_Toc367350592"/>
      <w:r w:rsidRPr="00F171B5">
        <w:rPr>
          <w:rFonts w:ascii="Arial" w:hAnsi="Arial" w:cs="Arial"/>
          <w:sz w:val="20"/>
          <w:szCs w:val="20"/>
          <w:lang w:val="es-ES_tradnl"/>
        </w:rPr>
        <w:lastRenderedPageBreak/>
        <w:t>META ESTRATÉGICA V</w:t>
      </w:r>
      <w:bookmarkEnd w:id="136"/>
      <w:r w:rsidRPr="00F171B5">
        <w:rPr>
          <w:rFonts w:ascii="Arial" w:hAnsi="Arial" w:cs="Arial"/>
          <w:sz w:val="20"/>
          <w:szCs w:val="20"/>
          <w:lang w:val="es-ES"/>
        </w:rPr>
        <w:t xml:space="preserve"> </w:t>
      </w:r>
    </w:p>
    <w:p w:rsidR="00FA423E" w:rsidRPr="00F171B5" w:rsidRDefault="00FA423E" w:rsidP="00FA423E">
      <w:pPr>
        <w:rPr>
          <w:sz w:val="20"/>
        </w:rPr>
      </w:pPr>
    </w:p>
    <w:bookmarkEnd w:id="137"/>
    <w:p w:rsidR="00FA423E" w:rsidRPr="00F171B5" w:rsidRDefault="00FA423E" w:rsidP="00FA423E">
      <w:pPr>
        <w:jc w:val="center"/>
        <w:rPr>
          <w:sz w:val="20"/>
        </w:rPr>
      </w:pPr>
      <w:r w:rsidRPr="00F171B5">
        <w:rPr>
          <w:b/>
          <w:sz w:val="20"/>
          <w:lang w:val="es-ES_tradnl"/>
        </w:rPr>
        <w:t>FUENTE DE REFERENCIA EN EL MUNDO DE INFORMACIÓN Y ANÁLISIS EN MATERIA DE P.I.</w:t>
      </w:r>
    </w:p>
    <w:p w:rsidR="00FA423E" w:rsidRPr="00F171B5" w:rsidRDefault="00FA423E" w:rsidP="00FA423E">
      <w:pPr>
        <w:jc w:val="center"/>
        <w:rPr>
          <w:sz w:val="20"/>
        </w:rPr>
      </w:pPr>
    </w:p>
    <w:p w:rsidR="00FA423E" w:rsidRPr="00F171B5" w:rsidRDefault="00FA423E" w:rsidP="00FA423E">
      <w:pPr>
        <w:jc w:val="center"/>
        <w:rPr>
          <w:b/>
          <w:sz w:val="20"/>
        </w:rPr>
      </w:pPr>
      <w:r w:rsidRPr="00F171B5">
        <w:rPr>
          <w:b/>
          <w:sz w:val="20"/>
        </w:rPr>
        <w:t xml:space="preserve">Cuadro sobre el rendimiento bienal </w:t>
      </w:r>
    </w:p>
    <w:p w:rsidR="00FA423E" w:rsidRPr="00F171B5" w:rsidRDefault="00FA423E" w:rsidP="00FA423E">
      <w:pPr>
        <w:jc w:val="center"/>
        <w:rPr>
          <w:b/>
          <w:sz w:val="20"/>
        </w:rPr>
      </w:pPr>
    </w:p>
    <w:p w:rsidR="00FA423E" w:rsidRPr="00F171B5" w:rsidRDefault="00FA423E" w:rsidP="00FA423E">
      <w:pPr>
        <w:autoSpaceDE w:val="0"/>
        <w:autoSpaceDN w:val="0"/>
        <w:adjustRightInd w:val="0"/>
        <w:jc w:val="both"/>
        <w:rPr>
          <w:sz w:val="20"/>
        </w:rPr>
      </w:pPr>
      <w:r w:rsidRPr="00F171B5">
        <w:rPr>
          <w:sz w:val="20"/>
          <w:lang w:val="es-ES_tradnl"/>
        </w:rPr>
        <w:t>En el siguiente cuadro se reseñan los avances realizados hacia la consecución de los resultados en el bienio 2014/15, medidos con arreglo a los indicadores de los programas que contribuyen al logro de esta meta estratégica.</w:t>
      </w:r>
      <w:r w:rsidRPr="00F171B5">
        <w:rPr>
          <w:sz w:val="20"/>
        </w:rPr>
        <w:t xml:space="preserve">  </w:t>
      </w:r>
    </w:p>
    <w:p w:rsidR="00FA423E" w:rsidRPr="00F171B5" w:rsidRDefault="00FA423E" w:rsidP="00FA423E">
      <w:pPr>
        <w:rPr>
          <w:sz w:val="20"/>
        </w:rPr>
      </w:pPr>
    </w:p>
    <w:p w:rsidR="00FA423E" w:rsidRPr="00F171B5" w:rsidRDefault="00FA423E" w:rsidP="00FA423E">
      <w:pPr>
        <w:jc w:val="center"/>
        <w:rPr>
          <w:sz w:val="20"/>
        </w:rPr>
      </w:pPr>
      <w:r w:rsidRPr="00F171B5">
        <w:rPr>
          <w:noProof/>
          <w:sz w:val="20"/>
          <w:lang w:val="en-US" w:eastAsia="en-US"/>
        </w:rPr>
        <w:drawing>
          <wp:inline distT="0" distB="0" distL="0" distR="0" wp14:anchorId="6C27400F" wp14:editId="38D17C5B">
            <wp:extent cx="5940425" cy="2850199"/>
            <wp:effectExtent l="0" t="0" r="3175"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5940425" cy="2850199"/>
                    </a:xfrm>
                    <a:prstGeom prst="rect">
                      <a:avLst/>
                    </a:prstGeom>
                    <a:noFill/>
                    <a:ln>
                      <a:noFill/>
                    </a:ln>
                  </pic:spPr>
                </pic:pic>
              </a:graphicData>
            </a:graphic>
          </wp:inline>
        </w:drawing>
      </w:r>
    </w:p>
    <w:p w:rsidR="00FA423E" w:rsidRPr="00F171B5" w:rsidRDefault="00FA423E" w:rsidP="00FA423E">
      <w:pPr>
        <w:rPr>
          <w:b/>
          <w:bCs/>
          <w:caps/>
          <w:sz w:val="20"/>
        </w:rPr>
      </w:pPr>
    </w:p>
    <w:tbl>
      <w:tblPr>
        <w:tblW w:w="4942"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839"/>
        <w:gridCol w:w="4007"/>
        <w:gridCol w:w="1672"/>
        <w:gridCol w:w="942"/>
      </w:tblGrid>
      <w:tr w:rsidR="00FA423E" w:rsidRPr="00B35175" w:rsidTr="00DC1333">
        <w:trPr>
          <w:cantSplit/>
          <w:trHeight w:val="605"/>
        </w:trPr>
        <w:tc>
          <w:tcPr>
            <w:tcW w:w="1544" w:type="pct"/>
            <w:tcBorders>
              <w:top w:val="single" w:sz="4" w:space="0" w:color="auto"/>
              <w:bottom w:val="single" w:sz="4" w:space="0" w:color="auto"/>
            </w:tcBorders>
            <w:shd w:val="clear" w:color="auto" w:fill="DAEEF3" w:themeFill="accent5" w:themeFillTint="33"/>
            <w:tcMar>
              <w:top w:w="113" w:type="dxa"/>
              <w:bottom w:w="85" w:type="dxa"/>
            </w:tcMar>
            <w:vAlign w:val="center"/>
          </w:tcPr>
          <w:p w:rsidR="00FA423E" w:rsidRPr="007E4934" w:rsidRDefault="00FA423E" w:rsidP="00DC1333">
            <w:pPr>
              <w:spacing w:after="120"/>
              <w:rPr>
                <w:b/>
                <w:bCs/>
                <w:sz w:val="18"/>
                <w:szCs w:val="18"/>
              </w:rPr>
            </w:pPr>
            <w:r w:rsidRPr="007E4934">
              <w:rPr>
                <w:b/>
                <w:bCs/>
                <w:sz w:val="18"/>
                <w:szCs w:val="18"/>
                <w:lang w:val="es-ES_tradnl"/>
              </w:rPr>
              <w:t>Resultados previstos</w:t>
            </w:r>
          </w:p>
        </w:tc>
        <w:tc>
          <w:tcPr>
            <w:tcW w:w="2161" w:type="pct"/>
            <w:tcBorders>
              <w:top w:val="single" w:sz="4" w:space="0" w:color="auto"/>
              <w:bottom w:val="single" w:sz="4" w:space="0" w:color="auto"/>
            </w:tcBorders>
            <w:shd w:val="clear" w:color="auto" w:fill="DAEEF3" w:themeFill="accent5" w:themeFillTint="33"/>
            <w:tcMar>
              <w:top w:w="113" w:type="dxa"/>
              <w:bottom w:w="85" w:type="dxa"/>
            </w:tcMar>
            <w:vAlign w:val="center"/>
          </w:tcPr>
          <w:p w:rsidR="00FA423E" w:rsidRPr="007E4934" w:rsidRDefault="00FA423E" w:rsidP="00DC1333">
            <w:pPr>
              <w:spacing w:after="120"/>
              <w:rPr>
                <w:b/>
                <w:bCs/>
                <w:sz w:val="18"/>
                <w:szCs w:val="18"/>
              </w:rPr>
            </w:pPr>
            <w:r w:rsidRPr="007E4934">
              <w:rPr>
                <w:b/>
                <w:bCs/>
                <w:sz w:val="18"/>
                <w:szCs w:val="18"/>
                <w:lang w:val="es-ES_tradnl"/>
              </w:rPr>
              <w:t>Indicadores de rendimiento</w:t>
            </w:r>
          </w:p>
        </w:tc>
        <w:tc>
          <w:tcPr>
            <w:tcW w:w="927" w:type="pct"/>
            <w:tcBorders>
              <w:top w:val="single" w:sz="4" w:space="0" w:color="auto"/>
              <w:bottom w:val="single" w:sz="4" w:space="0" w:color="auto"/>
            </w:tcBorders>
            <w:shd w:val="clear" w:color="auto" w:fill="DAEEF3" w:themeFill="accent5" w:themeFillTint="33"/>
            <w:tcMar>
              <w:top w:w="113" w:type="dxa"/>
              <w:bottom w:w="85" w:type="dxa"/>
            </w:tcMar>
            <w:vAlign w:val="center"/>
          </w:tcPr>
          <w:p w:rsidR="00FA423E" w:rsidRPr="007E4934" w:rsidRDefault="00FA423E" w:rsidP="00DC1333">
            <w:pPr>
              <w:spacing w:after="120"/>
              <w:ind w:left="85"/>
              <w:jc w:val="center"/>
              <w:rPr>
                <w:b/>
                <w:bCs/>
                <w:sz w:val="18"/>
                <w:szCs w:val="18"/>
              </w:rPr>
            </w:pPr>
            <w:r w:rsidRPr="007E4934">
              <w:rPr>
                <w:b/>
                <w:bCs/>
                <w:sz w:val="18"/>
                <w:szCs w:val="18"/>
                <w:lang w:val="es-ES_tradnl"/>
              </w:rPr>
              <w:t>Programas responsables</w:t>
            </w:r>
          </w:p>
        </w:tc>
        <w:tc>
          <w:tcPr>
            <w:tcW w:w="368" w:type="pct"/>
            <w:tcBorders>
              <w:top w:val="single" w:sz="4" w:space="0" w:color="auto"/>
              <w:bottom w:val="single" w:sz="4" w:space="0" w:color="auto"/>
            </w:tcBorders>
            <w:shd w:val="clear" w:color="auto" w:fill="DAEEF3" w:themeFill="accent5" w:themeFillTint="33"/>
            <w:vAlign w:val="center"/>
          </w:tcPr>
          <w:p w:rsidR="00FA423E" w:rsidRPr="00B35175" w:rsidRDefault="00FA423E" w:rsidP="00DC1333">
            <w:pPr>
              <w:spacing w:after="120"/>
              <w:ind w:left="85"/>
              <w:jc w:val="center"/>
              <w:rPr>
                <w:b/>
                <w:bCs/>
                <w:sz w:val="18"/>
                <w:szCs w:val="18"/>
              </w:rPr>
            </w:pPr>
            <w:r w:rsidRPr="007E4934">
              <w:rPr>
                <w:b/>
                <w:bCs/>
                <w:sz w:val="18"/>
                <w:szCs w:val="18"/>
                <w:lang w:val="es-ES_tradnl"/>
              </w:rPr>
              <w:t>Clave de colores</w:t>
            </w:r>
          </w:p>
        </w:tc>
      </w:tr>
      <w:tr w:rsidR="00FA423E" w:rsidRPr="00AF5E7C" w:rsidTr="00DC1333">
        <w:trPr>
          <w:cantSplit/>
        </w:trPr>
        <w:tc>
          <w:tcPr>
            <w:tcW w:w="1544" w:type="pct"/>
            <w:tcBorders>
              <w:top w:val="single" w:sz="4" w:space="0" w:color="auto"/>
            </w:tcBorders>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V.1 Ampliación y mejora del uso de la información estadística de la OMPI en materia de P.I.</w:t>
            </w:r>
          </w:p>
        </w:tc>
        <w:tc>
          <w:tcPr>
            <w:tcW w:w="2161" w:type="pct"/>
            <w:tcBorders>
              <w:top w:val="single" w:sz="4" w:space="0" w:color="auto"/>
            </w:tcBorders>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Número de descargas de los cuatro principales informes estadísticos (Indicadores mundiales de propiedad intelectual, reseñas anuales del PCT, La Haya y Madrid)</w:t>
            </w:r>
          </w:p>
        </w:tc>
        <w:tc>
          <w:tcPr>
            <w:tcW w:w="927" w:type="pct"/>
            <w:tcBorders>
              <w:top w:val="single" w:sz="4" w:space="0" w:color="auto"/>
            </w:tcBorders>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16</w:t>
            </w:r>
          </w:p>
        </w:tc>
        <w:tc>
          <w:tcPr>
            <w:tcW w:w="368" w:type="pct"/>
            <w:tcBorders>
              <w:top w:val="single" w:sz="4" w:space="0" w:color="auto"/>
            </w:tcBorders>
            <w:shd w:val="clear" w:color="auto" w:fill="FFFFFF"/>
          </w:tcPr>
          <w:p w:rsidR="00FA423E" w:rsidRPr="00CC3F44" w:rsidRDefault="00FA423E" w:rsidP="00DC1333">
            <w:pPr>
              <w:jc w:val="center"/>
              <w:rPr>
                <w:color w:val="A6A6A6" w:themeColor="background1" w:themeShade="A6"/>
                <w:szCs w:val="22"/>
              </w:rPr>
            </w:pPr>
            <w:r w:rsidRPr="00CC3F44">
              <w:rPr>
                <w:color w:val="008000"/>
                <w:szCs w:val="22"/>
              </w:rPr>
              <w:sym w:font="Wingdings" w:char="F06C"/>
            </w:r>
            <w:r w:rsidRPr="00CC3F44">
              <w:rPr>
                <w:color w:val="A6A6A6" w:themeColor="background1" w:themeShade="A6"/>
                <w:szCs w:val="22"/>
              </w:rPr>
              <w:sym w:font="Wingdings" w:char="F06C"/>
            </w:r>
            <w:r w:rsidRPr="00CC3F44">
              <w:rPr>
                <w:color w:val="A6A6A6" w:themeColor="background1" w:themeShade="A6"/>
                <w:szCs w:val="22"/>
              </w:rPr>
              <w:sym w:font="Wingdings" w:char="F06C"/>
            </w:r>
            <w:r w:rsidRPr="00CC3F44">
              <w:rPr>
                <w:color w:val="A6A6A6" w:themeColor="background1" w:themeShade="A6"/>
                <w:szCs w:val="22"/>
              </w:rPr>
              <w:sym w:font="Wingdings" w:char="F06C"/>
            </w:r>
          </w:p>
        </w:tc>
      </w:tr>
      <w:tr w:rsidR="00FA423E" w:rsidRPr="00AF5E7C" w:rsidTr="00DC1333">
        <w:trPr>
          <w:cantSplit/>
          <w:trHeight w:val="319"/>
        </w:trPr>
        <w:tc>
          <w:tcPr>
            <w:tcW w:w="1544" w:type="pct"/>
            <w:shd w:val="clear" w:color="auto" w:fill="auto"/>
            <w:tcMar>
              <w:top w:w="113" w:type="dxa"/>
              <w:bottom w:w="85" w:type="dxa"/>
            </w:tcMar>
          </w:tcPr>
          <w:p w:rsidR="00FA423E" w:rsidRPr="007E4934" w:rsidRDefault="00FA423E" w:rsidP="00DC1333">
            <w:pPr>
              <w:rPr>
                <w:sz w:val="16"/>
                <w:szCs w:val="16"/>
              </w:rPr>
            </w:pPr>
          </w:p>
        </w:tc>
        <w:tc>
          <w:tcPr>
            <w:tcW w:w="2161" w:type="pc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Número de visitantes que utilizan el Centro de datos de estadísticas de P.I.</w:t>
            </w:r>
          </w:p>
        </w:tc>
        <w:tc>
          <w:tcPr>
            <w:tcW w:w="927"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16</w:t>
            </w:r>
          </w:p>
        </w:tc>
        <w:tc>
          <w:tcPr>
            <w:tcW w:w="368" w:type="pct"/>
            <w:shd w:val="clear" w:color="auto" w:fill="FFFFFF"/>
          </w:tcPr>
          <w:p w:rsidR="00FA423E" w:rsidRPr="00CC3F44" w:rsidRDefault="00FA423E" w:rsidP="00DC1333">
            <w:pPr>
              <w:jc w:val="center"/>
            </w:pPr>
            <w:r w:rsidRPr="00CC3F44">
              <w:rPr>
                <w:color w:val="008000"/>
                <w:szCs w:val="22"/>
              </w:rPr>
              <w:sym w:font="Wingdings" w:char="F06C"/>
            </w:r>
          </w:p>
        </w:tc>
      </w:tr>
      <w:tr w:rsidR="00FA423E" w:rsidRPr="00AF5E7C" w:rsidTr="00DC1333">
        <w:trPr>
          <w:cantSplit/>
          <w:trHeight w:val="526"/>
        </w:trPr>
        <w:tc>
          <w:tcPr>
            <w:tcW w:w="1544" w:type="pct"/>
            <w:shd w:val="clear" w:color="auto" w:fill="auto"/>
            <w:tcMar>
              <w:top w:w="113" w:type="dxa"/>
              <w:bottom w:w="85" w:type="dxa"/>
            </w:tcMar>
          </w:tcPr>
          <w:p w:rsidR="00FA423E" w:rsidRPr="007E4934" w:rsidRDefault="00FA423E" w:rsidP="00DC1333">
            <w:pPr>
              <w:tabs>
                <w:tab w:val="right" w:pos="2835"/>
              </w:tabs>
              <w:spacing w:after="60"/>
              <w:rPr>
                <w:sz w:val="15"/>
                <w:szCs w:val="15"/>
              </w:rPr>
            </w:pPr>
            <w:r w:rsidRPr="007E4934">
              <w:rPr>
                <w:sz w:val="15"/>
                <w:szCs w:val="15"/>
                <w:lang w:val="es-ES_tradnl"/>
              </w:rPr>
              <w:t>V.2 Ampliación y mejora del uso de los análisis económicos de la OMPI en la formulación de políticas</w:t>
            </w:r>
            <w:r w:rsidRPr="007E4934">
              <w:rPr>
                <w:sz w:val="15"/>
                <w:szCs w:val="15"/>
              </w:rPr>
              <w:t xml:space="preserve"> </w:t>
            </w:r>
          </w:p>
        </w:tc>
        <w:tc>
          <w:tcPr>
            <w:tcW w:w="2161" w:type="pc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Uso de estudios económicos de la OMPI sobre derecho de autor en la toma de decisiones de gobiernos y ONG</w:t>
            </w:r>
          </w:p>
        </w:tc>
        <w:tc>
          <w:tcPr>
            <w:tcW w:w="927"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3</w:t>
            </w:r>
          </w:p>
        </w:tc>
        <w:tc>
          <w:tcPr>
            <w:tcW w:w="368" w:type="pct"/>
            <w:shd w:val="clear" w:color="auto" w:fill="FFFFFF"/>
          </w:tcPr>
          <w:p w:rsidR="00FA423E" w:rsidRPr="00CC3F44" w:rsidRDefault="00FA423E" w:rsidP="00DC1333">
            <w:pPr>
              <w:spacing w:before="40"/>
              <w:jc w:val="center"/>
            </w:pPr>
            <w:r w:rsidRPr="00CC3F44">
              <w:rPr>
                <w:color w:val="008000"/>
                <w:szCs w:val="22"/>
              </w:rPr>
              <w:sym w:font="Wingdings" w:char="F06C"/>
            </w:r>
          </w:p>
        </w:tc>
      </w:tr>
      <w:tr w:rsidR="00FA423E" w:rsidRPr="00AF5E7C" w:rsidTr="00DC1333">
        <w:trPr>
          <w:cantSplit/>
          <w:trHeight w:val="607"/>
        </w:trPr>
        <w:tc>
          <w:tcPr>
            <w:tcW w:w="1544" w:type="pct"/>
            <w:shd w:val="clear" w:color="auto" w:fill="auto"/>
            <w:tcMar>
              <w:top w:w="113" w:type="dxa"/>
              <w:bottom w:w="85" w:type="dxa"/>
            </w:tcMar>
          </w:tcPr>
          <w:p w:rsidR="00FA423E" w:rsidRPr="007E4934" w:rsidRDefault="00FA423E" w:rsidP="00DC1333">
            <w:pPr>
              <w:rPr>
                <w:sz w:val="16"/>
                <w:szCs w:val="16"/>
              </w:rPr>
            </w:pPr>
          </w:p>
        </w:tc>
        <w:tc>
          <w:tcPr>
            <w:tcW w:w="2161" w:type="pc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Iniciativas nacionales para elaborar nuevas estadísticas sobre las industrias creativas teniendo en cuenta la labor de la OMPI en ese ámbito</w:t>
            </w:r>
          </w:p>
        </w:tc>
        <w:tc>
          <w:tcPr>
            <w:tcW w:w="927"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3</w:t>
            </w:r>
          </w:p>
        </w:tc>
        <w:tc>
          <w:tcPr>
            <w:tcW w:w="368" w:type="pct"/>
            <w:shd w:val="clear" w:color="auto" w:fill="FFFFFF"/>
          </w:tcPr>
          <w:p w:rsidR="00FA423E" w:rsidRPr="00CC3F44" w:rsidRDefault="00FA423E" w:rsidP="00DC1333">
            <w:pPr>
              <w:spacing w:before="40"/>
              <w:jc w:val="center"/>
              <w:rPr>
                <w:color w:val="E26B0A"/>
              </w:rPr>
            </w:pPr>
            <w:r w:rsidRPr="00CC3F44">
              <w:rPr>
                <w:szCs w:val="22"/>
              </w:rPr>
              <w:sym w:font="Wingdings" w:char="F06C"/>
            </w:r>
          </w:p>
        </w:tc>
      </w:tr>
      <w:tr w:rsidR="00FA423E" w:rsidRPr="00AF5E7C" w:rsidTr="00DC1333">
        <w:trPr>
          <w:cantSplit/>
          <w:trHeight w:val="346"/>
        </w:trPr>
        <w:tc>
          <w:tcPr>
            <w:tcW w:w="1544" w:type="pct"/>
            <w:shd w:val="clear" w:color="auto" w:fill="auto"/>
            <w:tcMar>
              <w:top w:w="113" w:type="dxa"/>
              <w:bottom w:w="85" w:type="dxa"/>
            </w:tcMar>
          </w:tcPr>
          <w:p w:rsidR="00FA423E" w:rsidRPr="007E4934" w:rsidRDefault="00FA423E" w:rsidP="00DC1333">
            <w:pPr>
              <w:rPr>
                <w:sz w:val="16"/>
                <w:szCs w:val="16"/>
              </w:rPr>
            </w:pPr>
          </w:p>
        </w:tc>
        <w:tc>
          <w:tcPr>
            <w:tcW w:w="2161" w:type="pc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Número de descargas de las principales publicaciones económicas</w:t>
            </w:r>
          </w:p>
        </w:tc>
        <w:tc>
          <w:tcPr>
            <w:tcW w:w="927"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16</w:t>
            </w:r>
          </w:p>
        </w:tc>
        <w:tc>
          <w:tcPr>
            <w:tcW w:w="368" w:type="pct"/>
            <w:shd w:val="clear" w:color="auto" w:fill="FFFFFF"/>
          </w:tcPr>
          <w:p w:rsidR="00FA423E" w:rsidRPr="00CC3F44" w:rsidRDefault="00FA423E" w:rsidP="00DC1333">
            <w:pPr>
              <w:jc w:val="center"/>
              <w:rPr>
                <w:color w:val="A6A6A6" w:themeColor="background1" w:themeShade="A6"/>
                <w:szCs w:val="22"/>
              </w:rPr>
            </w:pPr>
            <w:r w:rsidRPr="00CC3F44">
              <w:rPr>
                <w:color w:val="A6A6A6" w:themeColor="background1" w:themeShade="A6"/>
                <w:szCs w:val="22"/>
              </w:rPr>
              <w:sym w:font="Wingdings" w:char="F06C"/>
            </w:r>
            <w:r w:rsidRPr="00CC3F44">
              <w:rPr>
                <w:color w:val="A6A6A6" w:themeColor="background1" w:themeShade="A6"/>
                <w:szCs w:val="22"/>
              </w:rPr>
              <w:sym w:font="Wingdings" w:char="F06C"/>
            </w:r>
          </w:p>
        </w:tc>
      </w:tr>
      <w:tr w:rsidR="00FA423E" w:rsidRPr="00AF5E7C" w:rsidTr="00DC1333">
        <w:trPr>
          <w:cantSplit/>
          <w:trHeight w:val="355"/>
        </w:trPr>
        <w:tc>
          <w:tcPr>
            <w:tcW w:w="1544" w:type="pct"/>
            <w:shd w:val="clear" w:color="auto" w:fill="auto"/>
            <w:tcMar>
              <w:top w:w="113" w:type="dxa"/>
              <w:bottom w:w="85" w:type="dxa"/>
            </w:tcMar>
          </w:tcPr>
          <w:p w:rsidR="00FA423E" w:rsidRPr="007E4934" w:rsidRDefault="00FA423E" w:rsidP="00DC1333">
            <w:pPr>
              <w:rPr>
                <w:sz w:val="16"/>
                <w:szCs w:val="16"/>
              </w:rPr>
            </w:pPr>
          </w:p>
        </w:tc>
        <w:tc>
          <w:tcPr>
            <w:tcW w:w="2161" w:type="pct"/>
            <w:shd w:val="clear" w:color="auto" w:fill="auto"/>
            <w:tcMar>
              <w:top w:w="113" w:type="dxa"/>
              <w:bottom w:w="85" w:type="dxa"/>
            </w:tcMar>
          </w:tcPr>
          <w:p w:rsidR="00FA423E" w:rsidRPr="007E4934" w:rsidRDefault="00FA423E" w:rsidP="00DC1333">
            <w:pPr>
              <w:rPr>
                <w:sz w:val="16"/>
                <w:szCs w:val="16"/>
              </w:rPr>
            </w:pPr>
            <w:r w:rsidRPr="007E4934">
              <w:rPr>
                <w:sz w:val="16"/>
                <w:szCs w:val="16"/>
              </w:rPr>
              <w:t>Número de descargas de estudios</w:t>
            </w:r>
          </w:p>
        </w:tc>
        <w:tc>
          <w:tcPr>
            <w:tcW w:w="927"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16</w:t>
            </w:r>
          </w:p>
        </w:tc>
        <w:tc>
          <w:tcPr>
            <w:tcW w:w="368" w:type="pct"/>
            <w:shd w:val="clear" w:color="auto" w:fill="FFFFFF"/>
          </w:tcPr>
          <w:p w:rsidR="00FA423E" w:rsidRPr="00CC3F44" w:rsidRDefault="00FA423E" w:rsidP="00DC1333">
            <w:pPr>
              <w:jc w:val="center"/>
            </w:pPr>
            <w:r w:rsidRPr="00CC3F44">
              <w:rPr>
                <w:color w:val="008000"/>
                <w:szCs w:val="22"/>
              </w:rPr>
              <w:sym w:font="Wingdings" w:char="F06C"/>
            </w:r>
          </w:p>
        </w:tc>
      </w:tr>
      <w:tr w:rsidR="00FA423E" w:rsidRPr="00AF5E7C" w:rsidTr="00DC1333">
        <w:trPr>
          <w:cantSplit/>
          <w:trHeight w:val="381"/>
        </w:trPr>
        <w:tc>
          <w:tcPr>
            <w:tcW w:w="1544" w:type="pct"/>
            <w:shd w:val="clear" w:color="auto" w:fill="auto"/>
            <w:tcMar>
              <w:top w:w="113" w:type="dxa"/>
              <w:bottom w:w="85" w:type="dxa"/>
            </w:tcMar>
          </w:tcPr>
          <w:p w:rsidR="00FA423E" w:rsidRPr="007E4934" w:rsidRDefault="00FA423E" w:rsidP="00DC1333">
            <w:pPr>
              <w:rPr>
                <w:sz w:val="16"/>
                <w:szCs w:val="16"/>
              </w:rPr>
            </w:pPr>
          </w:p>
        </w:tc>
        <w:tc>
          <w:tcPr>
            <w:tcW w:w="2161" w:type="pct"/>
            <w:shd w:val="clear" w:color="auto" w:fill="auto"/>
            <w:tcMar>
              <w:top w:w="113" w:type="dxa"/>
              <w:bottom w:w="85" w:type="dxa"/>
            </w:tcMar>
          </w:tcPr>
          <w:p w:rsidR="00FA423E" w:rsidRPr="007E4934" w:rsidRDefault="00FA423E" w:rsidP="00DC1333">
            <w:pPr>
              <w:rPr>
                <w:sz w:val="16"/>
                <w:szCs w:val="16"/>
              </w:rPr>
            </w:pPr>
            <w:r w:rsidRPr="007E4934">
              <w:rPr>
                <w:sz w:val="16"/>
                <w:szCs w:val="16"/>
              </w:rPr>
              <w:t>Número de descargas relacionadas con seminarios</w:t>
            </w:r>
          </w:p>
        </w:tc>
        <w:tc>
          <w:tcPr>
            <w:tcW w:w="927"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16</w:t>
            </w:r>
          </w:p>
        </w:tc>
        <w:tc>
          <w:tcPr>
            <w:tcW w:w="368" w:type="pct"/>
            <w:shd w:val="clear" w:color="auto" w:fill="FFFFFF"/>
          </w:tcPr>
          <w:p w:rsidR="00FA423E" w:rsidRPr="00CC3F44" w:rsidRDefault="00FA423E" w:rsidP="00DC1333">
            <w:pPr>
              <w:jc w:val="center"/>
            </w:pPr>
            <w:r w:rsidRPr="00CC3F44">
              <w:rPr>
                <w:szCs w:val="22"/>
              </w:rPr>
              <w:sym w:font="Wingdings" w:char="F06C"/>
            </w:r>
          </w:p>
        </w:tc>
      </w:tr>
    </w:tbl>
    <w:p w:rsidR="00FA423E" w:rsidRDefault="00FA423E" w:rsidP="00FA423E"/>
    <w:p w:rsidR="008827B3" w:rsidRDefault="008827B3">
      <w:r>
        <w:br w:type="page"/>
      </w:r>
    </w:p>
    <w:p w:rsidR="008827B3" w:rsidRPr="00526311" w:rsidRDefault="008827B3" w:rsidP="00DC1333">
      <w:pPr>
        <w:pStyle w:val="Heading2"/>
        <w:ind w:left="2410" w:hanging="2410"/>
        <w:jc w:val="both"/>
        <w:rPr>
          <w:b/>
        </w:rPr>
      </w:pPr>
      <w:bookmarkStart w:id="138" w:name="_Toc422927426"/>
      <w:bookmarkStart w:id="139" w:name="_Toc455159094"/>
      <w:r w:rsidRPr="00526311">
        <w:rPr>
          <w:b/>
        </w:rPr>
        <w:lastRenderedPageBreak/>
        <w:t>PROGRAMA 16</w:t>
      </w:r>
      <w:r w:rsidRPr="00526311">
        <w:rPr>
          <w:b/>
        </w:rPr>
        <w:tab/>
        <w:t>ECONOMÍA Y ESTADÍSTICA</w:t>
      </w:r>
      <w:bookmarkEnd w:id="138"/>
      <w:bookmarkEnd w:id="139"/>
    </w:p>
    <w:p w:rsidR="008827B3" w:rsidRPr="00526311" w:rsidRDefault="008827B3" w:rsidP="00DC1333">
      <w:pPr>
        <w:tabs>
          <w:tab w:val="left" w:pos="1985"/>
        </w:tabs>
        <w:jc w:val="both"/>
        <w:rPr>
          <w:sz w:val="20"/>
        </w:rPr>
      </w:pPr>
    </w:p>
    <w:p w:rsidR="008827B3" w:rsidRPr="00526311" w:rsidRDefault="008827B3" w:rsidP="00DC1333">
      <w:pPr>
        <w:tabs>
          <w:tab w:val="left" w:pos="2410"/>
        </w:tabs>
        <w:jc w:val="both"/>
        <w:rPr>
          <w:b/>
          <w:sz w:val="20"/>
        </w:rPr>
      </w:pPr>
      <w:r w:rsidRPr="00526311">
        <w:rPr>
          <w:b/>
          <w:sz w:val="20"/>
        </w:rPr>
        <w:t>Director de programa</w:t>
      </w:r>
      <w:r w:rsidRPr="00526311">
        <w:rPr>
          <w:b/>
          <w:sz w:val="20"/>
        </w:rPr>
        <w:tab/>
        <w:t>Director General</w:t>
      </w:r>
    </w:p>
    <w:p w:rsidR="008827B3" w:rsidRPr="00526311" w:rsidRDefault="008827B3" w:rsidP="00DC1333">
      <w:pPr>
        <w:rPr>
          <w:sz w:val="20"/>
        </w:rPr>
      </w:pPr>
    </w:p>
    <w:p w:rsidR="008827B3" w:rsidRPr="00526311" w:rsidRDefault="008827B3" w:rsidP="00DC1333">
      <w:pPr>
        <w:jc w:val="both"/>
        <w:rPr>
          <w:sz w:val="20"/>
        </w:rPr>
      </w:pPr>
    </w:p>
    <w:p w:rsidR="008827B3" w:rsidRPr="00526311" w:rsidRDefault="008F7CBE" w:rsidP="00DC1333">
      <w:pPr>
        <w:jc w:val="both"/>
        <w:rPr>
          <w:bCs/>
          <w:szCs w:val="22"/>
        </w:rPr>
      </w:pPr>
      <w:r w:rsidRPr="008F7CBE">
        <w:rPr>
          <w:bCs/>
          <w:sz w:val="20"/>
          <w:szCs w:val="22"/>
        </w:rPr>
        <w:t>LOGROS ALCANZADOS EN EL BIENIO 2014/15</w:t>
      </w:r>
    </w:p>
    <w:p w:rsidR="008827B3" w:rsidRPr="00526311" w:rsidRDefault="008827B3" w:rsidP="00DC1333">
      <w:pPr>
        <w:jc w:val="both"/>
      </w:pPr>
    </w:p>
    <w:p w:rsidR="008827B3" w:rsidRPr="00E63375" w:rsidRDefault="008827B3" w:rsidP="008827B3">
      <w:pPr>
        <w:pStyle w:val="ListParagraph"/>
        <w:numPr>
          <w:ilvl w:val="0"/>
          <w:numId w:val="76"/>
        </w:numPr>
        <w:tabs>
          <w:tab w:val="left" w:pos="709"/>
        </w:tabs>
        <w:ind w:left="0" w:firstLine="0"/>
        <w:jc w:val="both"/>
        <w:rPr>
          <w:lang w:val="es-ES"/>
        </w:rPr>
      </w:pPr>
      <w:r w:rsidRPr="00526311">
        <w:rPr>
          <w:lang w:val="es-ES"/>
        </w:rPr>
        <w:t xml:space="preserve">La labor estadística </w:t>
      </w:r>
      <w:r>
        <w:rPr>
          <w:lang w:val="es-ES"/>
        </w:rPr>
        <w:t>llevada a cabo en el bienio 2014/15 consiguió</w:t>
      </w:r>
      <w:r w:rsidRPr="00526311">
        <w:rPr>
          <w:lang w:val="es-ES"/>
        </w:rPr>
        <w:t xml:space="preserve"> el objetivo de </w:t>
      </w:r>
      <w:r>
        <w:rPr>
          <w:lang w:val="es-ES"/>
        </w:rPr>
        <w:t>proporcionar</w:t>
      </w:r>
      <w:r w:rsidRPr="00526311">
        <w:rPr>
          <w:lang w:val="es-ES"/>
        </w:rPr>
        <w:t xml:space="preserve"> información estadística precisa, exhaustiva y puntual sobre el desempeño del sistema de P.I. en todo el mundo.  </w:t>
      </w:r>
      <w:r>
        <w:rPr>
          <w:lang w:val="es-ES"/>
        </w:rPr>
        <w:t>Aún más, se efectuaron estudios estadísticos anuales de las oficinas nacionales y regionales de P.I. y el promedio de respuestas ascendió a 127, en comparación con las 112 que se habían conseguido el bienio anterior.</w:t>
      </w:r>
    </w:p>
    <w:p w:rsidR="008827B3" w:rsidRPr="00526311" w:rsidRDefault="008827B3" w:rsidP="00DC1333"/>
    <w:p w:rsidR="008827B3" w:rsidRPr="00526311" w:rsidRDefault="008827B3" w:rsidP="008827B3">
      <w:pPr>
        <w:pStyle w:val="ListParagraph"/>
        <w:numPr>
          <w:ilvl w:val="0"/>
          <w:numId w:val="76"/>
        </w:numPr>
        <w:tabs>
          <w:tab w:val="left" w:pos="709"/>
        </w:tabs>
        <w:ind w:left="0" w:firstLine="0"/>
        <w:jc w:val="both"/>
        <w:rPr>
          <w:lang w:val="es-ES"/>
        </w:rPr>
      </w:pPr>
      <w:r>
        <w:rPr>
          <w:lang w:val="es-ES"/>
        </w:rPr>
        <w:t>Además, se reunieron una gran cantidad de indicadores estadísticos relativos a los sistemas del Tratado de Cooperación en materia de Patentes (PCT), de Madrid y de La Haya, en colaboración con los programas 5, 6 y 31.  Al igual que en años precedentes las estadísticas recolectadas se pusieron a disposición general a través de varias publicaciones y herramientas de Internet, principalmente los informes sobre i</w:t>
      </w:r>
      <w:r w:rsidRPr="00D8494B">
        <w:rPr>
          <w:lang w:val="es-ES"/>
        </w:rPr>
        <w:t>ndicadores mun</w:t>
      </w:r>
      <w:r>
        <w:rPr>
          <w:lang w:val="es-ES"/>
        </w:rPr>
        <w:t xml:space="preserve">diales de P.I. y sobre datos y cifras de P.I.;  </w:t>
      </w:r>
      <w:r w:rsidRPr="00D8494B">
        <w:rPr>
          <w:lang w:val="es-ES"/>
        </w:rPr>
        <w:t>las reseñas anuales de los sistemas del Tratado de Cooperación en materia de Patentes (PCT), de Madrid y de La Haya</w:t>
      </w:r>
      <w:r>
        <w:rPr>
          <w:lang w:val="es-ES"/>
        </w:rPr>
        <w:t xml:space="preserve">;  el </w:t>
      </w:r>
      <w:r w:rsidRPr="00526311">
        <w:rPr>
          <w:lang w:val="es-ES"/>
        </w:rPr>
        <w:t>Ce</w:t>
      </w:r>
      <w:r>
        <w:rPr>
          <w:lang w:val="es-ES"/>
        </w:rPr>
        <w:t>ntro de datos de estadísticas sobre</w:t>
      </w:r>
      <w:r w:rsidRPr="00526311">
        <w:rPr>
          <w:lang w:val="es-ES"/>
        </w:rPr>
        <w:t xml:space="preserve"> P.I.</w:t>
      </w:r>
      <w:r>
        <w:rPr>
          <w:lang w:val="es-ES"/>
        </w:rPr>
        <w:t xml:space="preserve">, </w:t>
      </w:r>
      <w:r w:rsidRPr="00526311">
        <w:rPr>
          <w:lang w:val="es-ES"/>
        </w:rPr>
        <w:t>y los perfiles estadísticos de los países</w:t>
      </w:r>
      <w:r>
        <w:rPr>
          <w:lang w:val="es-ES"/>
        </w:rPr>
        <w:t>.  En el transcurso del bienio 2014/15 se hizo un esfuerzo especial a fin de profundizar en el análisis de las tendencias estadísticas</w:t>
      </w:r>
      <w:r w:rsidRPr="0048332D">
        <w:rPr>
          <w:lang w:val="es-ES"/>
        </w:rPr>
        <w:t xml:space="preserve"> </w:t>
      </w:r>
      <w:r>
        <w:rPr>
          <w:lang w:val="es-ES"/>
        </w:rPr>
        <w:t>por una parte y mejorar la facilidad de uso de los informes estadísticos por la otra.  Ejemplo de ello son</w:t>
      </w:r>
      <w:proofErr w:type="gramStart"/>
      <w:r>
        <w:rPr>
          <w:lang w:val="es-ES"/>
        </w:rPr>
        <w:t>:  la</w:t>
      </w:r>
      <w:proofErr w:type="gramEnd"/>
      <w:r>
        <w:rPr>
          <w:lang w:val="es-ES"/>
        </w:rPr>
        <w:t xml:space="preserve"> inclusión en los informes estadísticos de temas especiales que profundizan más en determinadas cuestiones analíticas, un cambio en la presentación de los indicadores mundiales de P.I. que permite que los lectores encuentren con más facilidad la información que están buscando y la elaboración de un vídeo corto sobre las tendencias principales en la utilización de la P.I. a nivel mundial.  Las estadísticas y los informes estadísticos sobre P.I. de la OMPI se siguen utilizando y citando ampliamente en estudios académicos, informes de política, artículos en los medios de comunicación y otras publicaciones a nivel mundial.</w:t>
      </w:r>
    </w:p>
    <w:p w:rsidR="008827B3" w:rsidRPr="00526311" w:rsidRDefault="008827B3" w:rsidP="00DC1333">
      <w:pPr>
        <w:tabs>
          <w:tab w:val="left" w:pos="709"/>
        </w:tabs>
        <w:jc w:val="both"/>
      </w:pPr>
    </w:p>
    <w:p w:rsidR="008827B3" w:rsidRPr="00526311" w:rsidRDefault="008827B3" w:rsidP="008827B3">
      <w:pPr>
        <w:pStyle w:val="ListParagraph"/>
        <w:numPr>
          <w:ilvl w:val="0"/>
          <w:numId w:val="76"/>
        </w:numPr>
        <w:tabs>
          <w:tab w:val="left" w:pos="709"/>
        </w:tabs>
        <w:ind w:left="0" w:firstLine="0"/>
        <w:jc w:val="both"/>
        <w:rPr>
          <w:lang w:val="es-ES"/>
        </w:rPr>
      </w:pPr>
      <w:r w:rsidRPr="00526311">
        <w:rPr>
          <w:lang w:val="es-ES"/>
        </w:rPr>
        <w:t>T</w:t>
      </w:r>
      <w:r>
        <w:rPr>
          <w:lang w:val="es-ES"/>
        </w:rPr>
        <w:t>ambién se</w:t>
      </w:r>
      <w:r w:rsidRPr="00526311">
        <w:rPr>
          <w:lang w:val="es-ES"/>
        </w:rPr>
        <w:t xml:space="preserve"> avanzó notablemente en la </w:t>
      </w:r>
      <w:r>
        <w:rPr>
          <w:lang w:val="es-ES"/>
        </w:rPr>
        <w:t xml:space="preserve">labor de análisis económico del programa en relación con el objetivo de promover la </w:t>
      </w:r>
      <w:r w:rsidRPr="00526311">
        <w:rPr>
          <w:lang w:val="es-ES"/>
        </w:rPr>
        <w:t xml:space="preserve">elaboración de </w:t>
      </w:r>
      <w:r>
        <w:rPr>
          <w:lang w:val="es-ES"/>
        </w:rPr>
        <w:t xml:space="preserve">análisis de calidad sobre las dificultades económicas presentes en el sistema internacional de P.I. y evaluar los efectos económicos de las distintas opciones disponibles en materia de política de P.I.  Uno de los logros principales fue la publicación del tercer Informe mundial sobre la propiedad intelectual “La innovación revolucionaria y el crecimiento económico”, que sirvió de inspiración a más de 200 artículos en medios de comunicación y generó mucho interés entre los encargados de la formulación de políticas y el sector académico a escala mundial.  Además, la OMPI siguió participando en la publicación del Índice Mundial de Innovación conjuntamente con la Universidad </w:t>
      </w:r>
      <w:proofErr w:type="spellStart"/>
      <w:r w:rsidRPr="005537AE">
        <w:rPr>
          <w:lang w:val="es-ES"/>
        </w:rPr>
        <w:t>Cornell</w:t>
      </w:r>
      <w:proofErr w:type="spellEnd"/>
      <w:r>
        <w:rPr>
          <w:lang w:val="es-ES"/>
        </w:rPr>
        <w:t xml:space="preserve"> y </w:t>
      </w:r>
      <w:r w:rsidRPr="00526311">
        <w:rPr>
          <w:lang w:val="es-ES"/>
        </w:rPr>
        <w:t>el INSEAD</w:t>
      </w:r>
      <w:r>
        <w:rPr>
          <w:lang w:val="es-ES"/>
        </w:rPr>
        <w:t xml:space="preserve">.  En 2014/15 las presentaciones del Índice Mundial de Innovación tuvieron lugar por primera vez fuera de Ginebra y fueron organizadas conjuntamente con el Gobierno de Australia en 2014, y el Gobierno del Reino Unido en 2015.  Se registraron asimismo nuevos récords de la cobertura de esos actos en las noticias y redes sociales en comparación con el bienio anterior.  Los </w:t>
      </w:r>
      <w:r w:rsidRPr="00526311">
        <w:rPr>
          <w:lang w:val="es-ES"/>
        </w:rPr>
        <w:t xml:space="preserve">gobiernos nacionales, </w:t>
      </w:r>
      <w:r>
        <w:rPr>
          <w:lang w:val="es-ES"/>
        </w:rPr>
        <w:t xml:space="preserve">las </w:t>
      </w:r>
      <w:r w:rsidRPr="00526311">
        <w:rPr>
          <w:lang w:val="es-ES"/>
        </w:rPr>
        <w:t>organizaciones internacionales</w:t>
      </w:r>
      <w:r>
        <w:rPr>
          <w:lang w:val="es-ES"/>
        </w:rPr>
        <w:t>, incluidas las pertenecientes al sistema de las Naciones Unidas,</w:t>
      </w:r>
      <w:r w:rsidRPr="00526311">
        <w:rPr>
          <w:lang w:val="es-ES"/>
        </w:rPr>
        <w:t xml:space="preserve"> y otros sectores interesados en el sistema de la innovación </w:t>
      </w:r>
      <w:r>
        <w:rPr>
          <w:lang w:val="es-ES"/>
        </w:rPr>
        <w:t xml:space="preserve">utilizan habitualmente el Índice Mundial de Innovación como fuente consolidada de referencia, </w:t>
      </w:r>
      <w:r w:rsidRPr="00526311">
        <w:rPr>
          <w:lang w:val="es-ES"/>
        </w:rPr>
        <w:t xml:space="preserve">según </w:t>
      </w:r>
      <w:r>
        <w:rPr>
          <w:lang w:val="es-ES"/>
        </w:rPr>
        <w:t>ponen de manifiesto las</w:t>
      </w:r>
      <w:r w:rsidRPr="00526311">
        <w:rPr>
          <w:lang w:val="es-ES"/>
        </w:rPr>
        <w:t xml:space="preserve"> citas, solicitudes de datos y peticiones de servicios de asesoramiento recibidas.</w:t>
      </w:r>
    </w:p>
    <w:p w:rsidR="008827B3" w:rsidRPr="00526311" w:rsidRDefault="008827B3" w:rsidP="00DC1333">
      <w:pPr>
        <w:tabs>
          <w:tab w:val="left" w:pos="709"/>
        </w:tabs>
        <w:jc w:val="both"/>
      </w:pPr>
    </w:p>
    <w:p w:rsidR="008827B3" w:rsidRPr="009F52DD" w:rsidRDefault="008827B3" w:rsidP="008827B3">
      <w:pPr>
        <w:pStyle w:val="ListParagraph"/>
        <w:numPr>
          <w:ilvl w:val="0"/>
          <w:numId w:val="76"/>
        </w:numPr>
        <w:tabs>
          <w:tab w:val="left" w:pos="709"/>
        </w:tabs>
        <w:ind w:left="0" w:firstLine="0"/>
        <w:jc w:val="both"/>
        <w:rPr>
          <w:rFonts w:cs="Arial"/>
          <w:lang w:val="es-ES"/>
        </w:rPr>
      </w:pPr>
      <w:r>
        <w:rPr>
          <w:lang w:val="es-ES"/>
        </w:rPr>
        <w:t>En el bienio 2014/15 se obtuvieron igualmente logros destacables en relación con estudios económicos específicos en apoyo a la labor de los comités de la OMPI.  El programa concluyó sobre todo tres proyectos de la Agenda para el Desarrollo (A.D.) relativos a</w:t>
      </w:r>
      <w:proofErr w:type="gramStart"/>
      <w:r>
        <w:rPr>
          <w:lang w:val="es-ES"/>
        </w:rPr>
        <w:t>:  i</w:t>
      </w:r>
      <w:proofErr w:type="gramEnd"/>
      <w:r>
        <w:rPr>
          <w:lang w:val="es-ES"/>
        </w:rPr>
        <w:t xml:space="preserve">) la P.I. y el desarrollo socioeconómico;  ii) la P.I. y la economía informal, y iii) la P.I. y la fuga de cerebros.  En 2015 se puso en marcha además una segunda fase del proyecto sobre la P.I. y el desarrollo socioeconómico en la que se trasladaron los estudios de base a nuevos países en desarrollo.  Por otra parte, el programa proporcionó información a la labor de otros comités, especialmente el Grupo de Trabajo del PCT y el </w:t>
      </w:r>
      <w:r w:rsidRPr="00E1742D">
        <w:rPr>
          <w:lang w:val="es-ES"/>
        </w:rPr>
        <w:t>Comité Permanente sobre el Derecho de Patentes</w:t>
      </w:r>
      <w:r w:rsidRPr="00526311">
        <w:rPr>
          <w:lang w:val="es-ES"/>
        </w:rPr>
        <w:t xml:space="preserve"> </w:t>
      </w:r>
      <w:r>
        <w:rPr>
          <w:lang w:val="es-ES"/>
        </w:rPr>
        <w:t>(SCP).  De estos estudios se obtuvieron pruebas empíricas que sirvieron de base a los encargados de la formulación de políticas al adoptar decisiones, tanto a nivel nacional como entre los Estados miembros de la OMPI.  Los estudios también han servido de inspiración para la ejecución de actividades relacionadas de investigación en el sector académico.</w:t>
      </w:r>
    </w:p>
    <w:p w:rsidR="008827B3" w:rsidRPr="009F52DD" w:rsidRDefault="008827B3" w:rsidP="0050778F">
      <w:pPr>
        <w:pStyle w:val="ListParagraph"/>
        <w:ind w:left="0"/>
        <w:rPr>
          <w:rFonts w:cs="Arial"/>
          <w:lang w:val="es-ES"/>
        </w:rPr>
      </w:pPr>
    </w:p>
    <w:p w:rsidR="008827B3" w:rsidRPr="00526311" w:rsidRDefault="008827B3" w:rsidP="00FA35A3">
      <w:pPr>
        <w:pStyle w:val="ListParagraph"/>
        <w:keepNext/>
        <w:keepLines/>
        <w:numPr>
          <w:ilvl w:val="0"/>
          <w:numId w:val="76"/>
        </w:numPr>
        <w:tabs>
          <w:tab w:val="left" w:pos="709"/>
        </w:tabs>
        <w:ind w:left="0" w:firstLine="0"/>
        <w:jc w:val="both"/>
        <w:rPr>
          <w:rFonts w:cs="Arial"/>
          <w:lang w:val="es-ES"/>
        </w:rPr>
      </w:pPr>
      <w:r w:rsidRPr="00526311">
        <w:rPr>
          <w:lang w:val="es-ES"/>
        </w:rPr>
        <w:lastRenderedPageBreak/>
        <w:t>Por último, el programa siguió coordinando una red de economistas de oficinas de P.I., abierta a todas las Oficinas de P.I. dotadas de capacidades de investigación de los aspectos económicos, para contribuir a fomentar y facilitar la investigación de los aspectos económicos de la P.I. de manera empírica y rigurosa desde el punto de vista científico.</w:t>
      </w:r>
      <w:r>
        <w:rPr>
          <w:lang w:val="es-ES"/>
        </w:rPr>
        <w:t xml:space="preserve">  La red experimentó un crecimiento durante el bienio gracias a la incorporación de cuatro nuevas oficinas de P.I., con lo que el total se situó en 13 oficinas.</w:t>
      </w:r>
    </w:p>
    <w:p w:rsidR="008827B3" w:rsidRPr="00526311" w:rsidRDefault="008827B3" w:rsidP="00DC1333">
      <w:pPr>
        <w:jc w:val="both"/>
        <w:rPr>
          <w:b/>
        </w:rPr>
      </w:pPr>
    </w:p>
    <w:p w:rsidR="008827B3" w:rsidRPr="00526311" w:rsidRDefault="008827B3" w:rsidP="00DC1333">
      <w:pPr>
        <w:jc w:val="both"/>
        <w:rPr>
          <w:b/>
        </w:rPr>
      </w:pPr>
    </w:p>
    <w:p w:rsidR="008827B3" w:rsidRPr="00526311" w:rsidRDefault="008F7CBE" w:rsidP="00DC1333">
      <w:pPr>
        <w:keepNext/>
        <w:keepLines/>
        <w:jc w:val="both"/>
        <w:rPr>
          <w:szCs w:val="22"/>
        </w:rPr>
      </w:pPr>
      <w:r w:rsidRPr="008F7CBE">
        <w:rPr>
          <w:sz w:val="20"/>
          <w:szCs w:val="22"/>
        </w:rPr>
        <w:t>DATOS SOBRE EL RENDIMIENTO</w:t>
      </w:r>
    </w:p>
    <w:p w:rsidR="008827B3" w:rsidRPr="00526311" w:rsidRDefault="008827B3" w:rsidP="00DC1333">
      <w:pPr>
        <w:keepNext/>
        <w:keepLines/>
        <w:jc w:val="both"/>
        <w:rPr>
          <w:b/>
        </w:rPr>
      </w:pPr>
    </w:p>
    <w:tbl>
      <w:tblPr>
        <w:tblW w:w="4958"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8"/>
        <w:gridCol w:w="2268"/>
        <w:gridCol w:w="1422"/>
        <w:gridCol w:w="2405"/>
        <w:gridCol w:w="140"/>
        <w:gridCol w:w="1128"/>
      </w:tblGrid>
      <w:tr w:rsidR="008827B3" w:rsidRPr="00526311" w:rsidTr="00DC1333">
        <w:trPr>
          <w:cantSplit/>
        </w:trPr>
        <w:tc>
          <w:tcPr>
            <w:tcW w:w="5000" w:type="pct"/>
            <w:gridSpan w:val="6"/>
            <w:tcBorders>
              <w:top w:val="single" w:sz="4" w:space="0" w:color="auto"/>
              <w:bottom w:val="single" w:sz="4" w:space="0" w:color="auto"/>
            </w:tcBorders>
            <w:shd w:val="clear" w:color="auto" w:fill="C6D9F1" w:themeFill="text2" w:themeFillTint="33"/>
            <w:vAlign w:val="center"/>
          </w:tcPr>
          <w:p w:rsidR="008827B3" w:rsidRPr="00526311" w:rsidRDefault="008827B3" w:rsidP="00DC1333">
            <w:pPr>
              <w:keepNext/>
              <w:keepLines/>
              <w:spacing w:before="120" w:after="120"/>
              <w:ind w:left="2019" w:hanging="2019"/>
              <w:rPr>
                <w:b/>
                <w:bCs/>
                <w:sz w:val="16"/>
                <w:szCs w:val="16"/>
              </w:rPr>
            </w:pPr>
            <w:r w:rsidRPr="00526311">
              <w:rPr>
                <w:b/>
                <w:bCs/>
                <w:sz w:val="16"/>
                <w:szCs w:val="16"/>
              </w:rPr>
              <w:t>Resultado previsto:</w:t>
            </w:r>
            <w:r w:rsidRPr="00526311">
              <w:rPr>
                <w:b/>
              </w:rPr>
              <w:tab/>
            </w:r>
            <w:r w:rsidRPr="00526311">
              <w:rPr>
                <w:sz w:val="16"/>
                <w:szCs w:val="16"/>
              </w:rPr>
              <w:t>V.1 Ampliación y mejora del uso de la información estadística de la OMPI en materia de P.I.</w:t>
            </w:r>
          </w:p>
        </w:tc>
      </w:tr>
      <w:tr w:rsidR="008827B3" w:rsidRPr="00526311" w:rsidTr="00DC1333">
        <w:trPr>
          <w:cantSplit/>
        </w:trPr>
        <w:tc>
          <w:tcPr>
            <w:tcW w:w="1121" w:type="pct"/>
            <w:tcBorders>
              <w:top w:val="single" w:sz="4" w:space="0" w:color="auto"/>
            </w:tcBorders>
            <w:shd w:val="clear" w:color="auto" w:fill="auto"/>
            <w:vAlign w:val="center"/>
          </w:tcPr>
          <w:p w:rsidR="008827B3" w:rsidRPr="00526311" w:rsidRDefault="008827B3" w:rsidP="00DC1333">
            <w:pPr>
              <w:keepNext/>
              <w:keepLines/>
              <w:rPr>
                <w:sz w:val="16"/>
                <w:szCs w:val="16"/>
              </w:rPr>
            </w:pPr>
            <w:r w:rsidRPr="00526311">
              <w:rPr>
                <w:b/>
                <w:sz w:val="16"/>
                <w:szCs w:val="16"/>
              </w:rPr>
              <w:t>Indicadores de rendimiento</w:t>
            </w:r>
          </w:p>
        </w:tc>
        <w:tc>
          <w:tcPr>
            <w:tcW w:w="1195" w:type="pct"/>
            <w:tcBorders>
              <w:top w:val="single" w:sz="4" w:space="0" w:color="auto"/>
            </w:tcBorders>
            <w:shd w:val="clear" w:color="auto" w:fill="auto"/>
            <w:vAlign w:val="center"/>
          </w:tcPr>
          <w:p w:rsidR="008827B3" w:rsidRPr="00526311" w:rsidRDefault="008827B3" w:rsidP="00DC1333">
            <w:pPr>
              <w:keepNext/>
              <w:keepLines/>
              <w:rPr>
                <w:b/>
                <w:bCs/>
                <w:sz w:val="16"/>
                <w:szCs w:val="16"/>
              </w:rPr>
            </w:pPr>
            <w:r w:rsidRPr="00526311">
              <w:rPr>
                <w:b/>
                <w:bCs/>
                <w:sz w:val="16"/>
                <w:szCs w:val="16"/>
              </w:rPr>
              <w:t>Referencia</w:t>
            </w:r>
          </w:p>
        </w:tc>
        <w:tc>
          <w:tcPr>
            <w:tcW w:w="749" w:type="pct"/>
            <w:tcBorders>
              <w:top w:val="single" w:sz="4" w:space="0" w:color="auto"/>
            </w:tcBorders>
            <w:shd w:val="clear" w:color="auto" w:fill="auto"/>
            <w:tcMar>
              <w:top w:w="110" w:type="dxa"/>
            </w:tcMar>
            <w:vAlign w:val="center"/>
          </w:tcPr>
          <w:p w:rsidR="008827B3" w:rsidRPr="00526311" w:rsidRDefault="008827B3" w:rsidP="00DC1333">
            <w:pPr>
              <w:keepNext/>
              <w:keepLines/>
              <w:rPr>
                <w:b/>
                <w:sz w:val="16"/>
                <w:szCs w:val="16"/>
              </w:rPr>
            </w:pPr>
            <w:r w:rsidRPr="00526311">
              <w:rPr>
                <w:b/>
                <w:sz w:val="16"/>
                <w:szCs w:val="16"/>
              </w:rPr>
              <w:t>Objetivos</w:t>
            </w:r>
          </w:p>
        </w:tc>
        <w:tc>
          <w:tcPr>
            <w:tcW w:w="1267" w:type="pct"/>
            <w:tcBorders>
              <w:top w:val="single" w:sz="4" w:space="0" w:color="auto"/>
            </w:tcBorders>
            <w:shd w:val="clear" w:color="auto" w:fill="FFFFFF"/>
            <w:tcMar>
              <w:top w:w="110" w:type="dxa"/>
            </w:tcMar>
            <w:vAlign w:val="center"/>
          </w:tcPr>
          <w:p w:rsidR="008827B3" w:rsidRPr="00526311" w:rsidRDefault="008827B3" w:rsidP="00DC1333">
            <w:pPr>
              <w:keepNext/>
              <w:keepLines/>
              <w:rPr>
                <w:sz w:val="16"/>
                <w:szCs w:val="16"/>
              </w:rPr>
            </w:pPr>
            <w:r w:rsidRPr="00526311">
              <w:rPr>
                <w:b/>
                <w:sz w:val="16"/>
                <w:szCs w:val="16"/>
              </w:rPr>
              <w:t>Datos sobre el rendimiento</w:t>
            </w:r>
          </w:p>
        </w:tc>
        <w:tc>
          <w:tcPr>
            <w:tcW w:w="668" w:type="pct"/>
            <w:gridSpan w:val="2"/>
            <w:tcBorders>
              <w:top w:val="single" w:sz="4" w:space="0" w:color="auto"/>
            </w:tcBorders>
            <w:shd w:val="clear" w:color="auto" w:fill="auto"/>
            <w:tcMar>
              <w:top w:w="110" w:type="dxa"/>
            </w:tcMar>
            <w:vAlign w:val="center"/>
          </w:tcPr>
          <w:p w:rsidR="008827B3" w:rsidRPr="00526311" w:rsidRDefault="008827B3" w:rsidP="00DC1333">
            <w:pPr>
              <w:keepNext/>
              <w:keepLines/>
              <w:jc w:val="center"/>
              <w:rPr>
                <w:b/>
                <w:bCs/>
                <w:sz w:val="16"/>
                <w:szCs w:val="16"/>
              </w:rPr>
            </w:pPr>
            <w:r w:rsidRPr="00526311">
              <w:rPr>
                <w:b/>
                <w:bCs/>
                <w:sz w:val="16"/>
                <w:szCs w:val="16"/>
              </w:rPr>
              <w:t>Clave de colores</w:t>
            </w:r>
          </w:p>
        </w:tc>
      </w:tr>
      <w:tr w:rsidR="008827B3" w:rsidRPr="00526311" w:rsidTr="00DC1333">
        <w:trPr>
          <w:cantSplit/>
        </w:trPr>
        <w:tc>
          <w:tcPr>
            <w:tcW w:w="1121" w:type="pct"/>
            <w:shd w:val="clear" w:color="auto" w:fill="auto"/>
          </w:tcPr>
          <w:p w:rsidR="008827B3" w:rsidRPr="00526311" w:rsidRDefault="008827B3" w:rsidP="00DC1333">
            <w:pPr>
              <w:keepNext/>
              <w:keepLines/>
              <w:rPr>
                <w:sz w:val="16"/>
                <w:szCs w:val="16"/>
              </w:rPr>
            </w:pPr>
            <w:r w:rsidRPr="00526311">
              <w:rPr>
                <w:sz w:val="16"/>
                <w:szCs w:val="16"/>
              </w:rPr>
              <w:t>Número de descargas de los cuatro principales informes estadísticos (Indicadores mundiales de propiedad intelectual, reseñas anuales del PCT, La Haya y Madrid)</w:t>
            </w:r>
          </w:p>
        </w:tc>
        <w:tc>
          <w:tcPr>
            <w:tcW w:w="1195" w:type="pct"/>
            <w:shd w:val="clear" w:color="auto" w:fill="auto"/>
          </w:tcPr>
          <w:p w:rsidR="008827B3" w:rsidRPr="00526311" w:rsidRDefault="008827B3" w:rsidP="00DC1333">
            <w:pPr>
              <w:keepNext/>
              <w:keepLines/>
              <w:rPr>
                <w:color w:val="002060"/>
                <w:sz w:val="16"/>
                <w:szCs w:val="16"/>
              </w:rPr>
            </w:pPr>
            <w:r w:rsidRPr="00526311">
              <w:rPr>
                <w:i/>
                <w:color w:val="002060"/>
                <w:sz w:val="16"/>
                <w:szCs w:val="16"/>
              </w:rPr>
              <w:t xml:space="preserve">Referencia actualizada a fines de 2013: </w:t>
            </w:r>
            <w:r>
              <w:rPr>
                <w:i/>
                <w:color w:val="002060"/>
                <w:sz w:val="16"/>
                <w:szCs w:val="16"/>
              </w:rPr>
              <w:t xml:space="preserve"> </w:t>
            </w:r>
            <w:r w:rsidRPr="00526311">
              <w:rPr>
                <w:color w:val="002060"/>
                <w:sz w:val="16"/>
                <w:szCs w:val="16"/>
              </w:rPr>
              <w:t>En 2013, se descargaron en 52.670 ocasiones las últimas ediciones disponibles (2012 y 2013) de los Indicadores mundiales de propiedad intelectual (publicación n</w:t>
            </w:r>
            <w:r>
              <w:rPr>
                <w:color w:val="002060"/>
                <w:sz w:val="16"/>
                <w:szCs w:val="16"/>
              </w:rPr>
              <w:t>.</w:t>
            </w:r>
            <w:r w:rsidRPr="00526311">
              <w:rPr>
                <w:color w:val="002060"/>
                <w:sz w:val="16"/>
                <w:szCs w:val="16"/>
              </w:rPr>
              <w:t>°941) y de los Datos y cifras de la OMPI (n</w:t>
            </w:r>
            <w:r>
              <w:rPr>
                <w:color w:val="002060"/>
                <w:sz w:val="16"/>
                <w:szCs w:val="16"/>
              </w:rPr>
              <w:t>.</w:t>
            </w:r>
            <w:r w:rsidRPr="00526311">
              <w:rPr>
                <w:color w:val="002060"/>
                <w:sz w:val="16"/>
                <w:szCs w:val="16"/>
              </w:rPr>
              <w:t>°943)</w:t>
            </w:r>
          </w:p>
          <w:p w:rsidR="008827B3" w:rsidRPr="00526311" w:rsidRDefault="008827B3" w:rsidP="00DC1333">
            <w:pPr>
              <w:keepNext/>
              <w:keepLines/>
              <w:spacing w:before="120"/>
              <w:rPr>
                <w:sz w:val="16"/>
                <w:szCs w:val="16"/>
              </w:rPr>
            </w:pPr>
            <w:r w:rsidRPr="00526311">
              <w:rPr>
                <w:i/>
                <w:sz w:val="16"/>
                <w:szCs w:val="16"/>
              </w:rPr>
              <w:t xml:space="preserve">Referencia original en el presupuesto de 2014/15:  </w:t>
            </w:r>
            <w:r w:rsidRPr="00526311">
              <w:rPr>
                <w:sz w:val="16"/>
                <w:szCs w:val="16"/>
              </w:rPr>
              <w:t>por determinar a fines de 2013</w:t>
            </w:r>
          </w:p>
          <w:p w:rsidR="008827B3" w:rsidRPr="00526311" w:rsidRDefault="008827B3" w:rsidP="00DC1333">
            <w:pPr>
              <w:keepNext/>
              <w:keepLines/>
              <w:rPr>
                <w:i/>
                <w:sz w:val="16"/>
                <w:szCs w:val="16"/>
              </w:rPr>
            </w:pPr>
          </w:p>
        </w:tc>
        <w:tc>
          <w:tcPr>
            <w:tcW w:w="749" w:type="pct"/>
            <w:shd w:val="clear" w:color="auto" w:fill="auto"/>
            <w:tcMar>
              <w:top w:w="110" w:type="dxa"/>
            </w:tcMar>
          </w:tcPr>
          <w:p w:rsidR="008827B3" w:rsidRPr="00526311" w:rsidRDefault="008827B3" w:rsidP="00DC1333">
            <w:pPr>
              <w:keepNext/>
              <w:keepLines/>
              <w:rPr>
                <w:sz w:val="16"/>
                <w:szCs w:val="16"/>
              </w:rPr>
            </w:pPr>
            <w:r w:rsidRPr="00526311">
              <w:rPr>
                <w:sz w:val="16"/>
                <w:szCs w:val="16"/>
              </w:rPr>
              <w:t>Aumento del 10% respecto de 2012/13 en el número de descargas y usuarios</w:t>
            </w:r>
          </w:p>
        </w:tc>
        <w:tc>
          <w:tcPr>
            <w:tcW w:w="1267" w:type="pct"/>
            <w:shd w:val="clear" w:color="auto" w:fill="FFFFFF"/>
            <w:tcMar>
              <w:top w:w="110" w:type="dxa"/>
            </w:tcMar>
          </w:tcPr>
          <w:p w:rsidR="008827B3" w:rsidRDefault="008827B3" w:rsidP="00DC1333">
            <w:pPr>
              <w:keepNext/>
              <w:keepLines/>
              <w:rPr>
                <w:sz w:val="16"/>
                <w:szCs w:val="16"/>
                <w:lang w:bidi="th-TH"/>
              </w:rPr>
            </w:pPr>
            <w:r>
              <w:rPr>
                <w:sz w:val="16"/>
                <w:szCs w:val="16"/>
                <w:lang w:bidi="th-TH"/>
              </w:rPr>
              <w:t>En 2014/15 se registraron en total 215.996 descargas de las dos últimas ediciones publicadas (2014 y 2015) de los siguientes informes:</w:t>
            </w:r>
          </w:p>
          <w:p w:rsidR="008827B3" w:rsidRPr="00EB0E9D" w:rsidRDefault="008827B3" w:rsidP="008827B3">
            <w:pPr>
              <w:pStyle w:val="ListParagraph"/>
              <w:keepNext/>
              <w:keepLines/>
              <w:numPr>
                <w:ilvl w:val="0"/>
                <w:numId w:val="78"/>
              </w:numPr>
              <w:rPr>
                <w:rFonts w:cs="Arial"/>
                <w:sz w:val="16"/>
                <w:szCs w:val="16"/>
                <w:lang w:val="es-ES"/>
              </w:rPr>
            </w:pPr>
            <w:r>
              <w:rPr>
                <w:rFonts w:cs="Arial"/>
                <w:sz w:val="16"/>
                <w:szCs w:val="16"/>
                <w:lang w:val="es-ES"/>
              </w:rPr>
              <w:t xml:space="preserve">El </w:t>
            </w:r>
            <w:r w:rsidRPr="00EB0E9D">
              <w:rPr>
                <w:rFonts w:cs="Arial"/>
                <w:sz w:val="16"/>
                <w:szCs w:val="16"/>
                <w:lang w:val="es-ES"/>
              </w:rPr>
              <w:t xml:space="preserve">Informe sobre indicadores mundiales de P.I. </w:t>
            </w:r>
            <w:r>
              <w:rPr>
                <w:rFonts w:cs="Arial"/>
                <w:sz w:val="16"/>
                <w:szCs w:val="16"/>
                <w:lang w:val="es-ES"/>
              </w:rPr>
              <w:t>(</w:t>
            </w:r>
            <w:proofErr w:type="spellStart"/>
            <w:r>
              <w:rPr>
                <w:rFonts w:cs="Arial"/>
                <w:sz w:val="16"/>
                <w:szCs w:val="16"/>
                <w:lang w:val="es-ES"/>
              </w:rPr>
              <w:t>n.</w:t>
            </w:r>
            <w:r w:rsidRPr="00EB0E9D">
              <w:rPr>
                <w:rFonts w:cs="Arial"/>
                <w:sz w:val="16"/>
                <w:szCs w:val="16"/>
                <w:vertAlign w:val="superscript"/>
                <w:lang w:val="es-ES"/>
              </w:rPr>
              <w:t>o</w:t>
            </w:r>
            <w:proofErr w:type="spellEnd"/>
            <w:r w:rsidRPr="00EB0E9D">
              <w:rPr>
                <w:rFonts w:cs="Arial"/>
                <w:sz w:val="16"/>
                <w:szCs w:val="16"/>
                <w:lang w:val="es-ES"/>
              </w:rPr>
              <w:t xml:space="preserve"> 941E/14 y 941E ) </w:t>
            </w:r>
            <w:r>
              <w:rPr>
                <w:rFonts w:cs="Arial"/>
                <w:sz w:val="16"/>
                <w:szCs w:val="16"/>
                <w:lang w:val="es-ES"/>
              </w:rPr>
              <w:t>y el Informe</w:t>
            </w:r>
            <w:r w:rsidRPr="00EB0E9D">
              <w:rPr>
                <w:rFonts w:cs="Arial"/>
                <w:sz w:val="16"/>
                <w:szCs w:val="16"/>
                <w:lang w:val="es-ES"/>
              </w:rPr>
              <w:t xml:space="preserve"> sobre datos y cifras mundiales de P.</w:t>
            </w:r>
            <w:r>
              <w:rPr>
                <w:rFonts w:cs="Arial"/>
                <w:sz w:val="16"/>
                <w:szCs w:val="16"/>
                <w:lang w:val="es-ES"/>
              </w:rPr>
              <w:t>I.</w:t>
            </w:r>
            <w:r w:rsidRPr="00EB0E9D">
              <w:rPr>
                <w:rFonts w:cs="Arial"/>
                <w:sz w:val="16"/>
                <w:szCs w:val="16"/>
                <w:lang w:val="es-ES"/>
              </w:rPr>
              <w:t xml:space="preserve"> </w:t>
            </w:r>
            <w:r>
              <w:rPr>
                <w:rFonts w:cs="Arial"/>
                <w:sz w:val="16"/>
                <w:szCs w:val="16"/>
                <w:lang w:val="es-ES"/>
              </w:rPr>
              <w:t>(n.º</w:t>
            </w:r>
            <w:r w:rsidRPr="00EB0E9D">
              <w:rPr>
                <w:rFonts w:cs="Arial"/>
                <w:sz w:val="16"/>
                <w:szCs w:val="16"/>
                <w:lang w:val="es-ES"/>
              </w:rPr>
              <w:t xml:space="preserve"> 943E/14 </w:t>
            </w:r>
            <w:r>
              <w:rPr>
                <w:rFonts w:cs="Arial"/>
                <w:sz w:val="16"/>
                <w:szCs w:val="16"/>
                <w:lang w:val="es-ES"/>
              </w:rPr>
              <w:t>y</w:t>
            </w:r>
            <w:r w:rsidRPr="00EB0E9D">
              <w:rPr>
                <w:rFonts w:cs="Arial"/>
                <w:sz w:val="16"/>
                <w:szCs w:val="16"/>
                <w:lang w:val="es-ES"/>
              </w:rPr>
              <w:t xml:space="preserve"> 943E/15) </w:t>
            </w:r>
            <w:r>
              <w:rPr>
                <w:rFonts w:cs="Arial"/>
                <w:sz w:val="16"/>
                <w:szCs w:val="16"/>
                <w:lang w:val="es-ES"/>
              </w:rPr>
              <w:t>fueron descargados 124.</w:t>
            </w:r>
            <w:r w:rsidRPr="00EB0E9D">
              <w:rPr>
                <w:rFonts w:cs="Arial"/>
                <w:sz w:val="16"/>
                <w:szCs w:val="16"/>
                <w:lang w:val="es-ES"/>
              </w:rPr>
              <w:t xml:space="preserve">642 </w:t>
            </w:r>
            <w:r>
              <w:rPr>
                <w:rFonts w:cs="Arial"/>
                <w:sz w:val="16"/>
                <w:szCs w:val="16"/>
                <w:lang w:val="es-ES"/>
              </w:rPr>
              <w:t>veces en total</w:t>
            </w:r>
            <w:r w:rsidRPr="00EB0E9D">
              <w:rPr>
                <w:rFonts w:cs="Arial"/>
                <w:sz w:val="16"/>
                <w:szCs w:val="16"/>
                <w:lang w:val="es-ES"/>
              </w:rPr>
              <w:t>:</w:t>
            </w:r>
          </w:p>
          <w:p w:rsidR="008827B3" w:rsidRPr="00EB0E9D" w:rsidRDefault="008827B3" w:rsidP="008827B3">
            <w:pPr>
              <w:pStyle w:val="ListParagraph"/>
              <w:keepNext/>
              <w:keepLines/>
              <w:numPr>
                <w:ilvl w:val="0"/>
                <w:numId w:val="77"/>
              </w:numPr>
              <w:tabs>
                <w:tab w:val="left" w:pos="191"/>
              </w:tabs>
              <w:ind w:left="551"/>
              <w:rPr>
                <w:rFonts w:cs="Arial"/>
                <w:sz w:val="16"/>
                <w:szCs w:val="16"/>
                <w:lang w:val="es-ES"/>
              </w:rPr>
            </w:pPr>
            <w:r>
              <w:rPr>
                <w:rFonts w:cs="Arial"/>
                <w:sz w:val="16"/>
                <w:szCs w:val="16"/>
                <w:lang w:val="es-ES"/>
              </w:rPr>
              <w:t>I</w:t>
            </w:r>
            <w:r w:rsidRPr="00EB0E9D">
              <w:rPr>
                <w:rFonts w:cs="Arial"/>
                <w:sz w:val="16"/>
                <w:szCs w:val="16"/>
                <w:lang w:val="es-ES"/>
              </w:rPr>
              <w:t>ndicadores mu</w:t>
            </w:r>
            <w:r>
              <w:rPr>
                <w:rFonts w:cs="Arial"/>
                <w:sz w:val="16"/>
                <w:szCs w:val="16"/>
                <w:lang w:val="es-ES"/>
              </w:rPr>
              <w:t>ndiales de P.I. (</w:t>
            </w:r>
            <w:proofErr w:type="spellStart"/>
            <w:r>
              <w:rPr>
                <w:rFonts w:cs="Arial"/>
                <w:sz w:val="16"/>
                <w:szCs w:val="16"/>
                <w:lang w:val="es-ES"/>
              </w:rPr>
              <w:t>n.</w:t>
            </w:r>
            <w:r w:rsidRPr="00EB0E9D">
              <w:rPr>
                <w:rFonts w:cs="Arial"/>
                <w:sz w:val="16"/>
                <w:szCs w:val="16"/>
                <w:vertAlign w:val="superscript"/>
                <w:lang w:val="es-ES"/>
              </w:rPr>
              <w:t>o</w:t>
            </w:r>
            <w:proofErr w:type="spellEnd"/>
            <w:r w:rsidRPr="00EB0E9D">
              <w:rPr>
                <w:rFonts w:cs="Arial"/>
                <w:sz w:val="16"/>
                <w:szCs w:val="16"/>
                <w:lang w:val="es-ES"/>
              </w:rPr>
              <w:t xml:space="preserve"> </w:t>
            </w:r>
            <w:r>
              <w:rPr>
                <w:rFonts w:cs="Arial"/>
                <w:sz w:val="16"/>
                <w:szCs w:val="16"/>
                <w:lang w:val="es-ES"/>
              </w:rPr>
              <w:t>941E/14 y</w:t>
            </w:r>
            <w:r w:rsidRPr="00EB0E9D">
              <w:rPr>
                <w:rFonts w:cs="Arial"/>
                <w:sz w:val="16"/>
                <w:szCs w:val="16"/>
                <w:lang w:val="es-ES"/>
              </w:rPr>
              <w:t xml:space="preserve"> 941E)</w:t>
            </w:r>
            <w:r>
              <w:rPr>
                <w:rFonts w:cs="Arial"/>
                <w:sz w:val="16"/>
                <w:szCs w:val="16"/>
                <w:lang w:val="es-ES"/>
              </w:rPr>
              <w:t>:  82.</w:t>
            </w:r>
            <w:r w:rsidRPr="00EB0E9D">
              <w:rPr>
                <w:rFonts w:cs="Arial"/>
                <w:sz w:val="16"/>
                <w:szCs w:val="16"/>
                <w:lang w:val="es-ES"/>
              </w:rPr>
              <w:t>914</w:t>
            </w:r>
            <w:r>
              <w:rPr>
                <w:rFonts w:cs="Arial"/>
                <w:sz w:val="16"/>
                <w:szCs w:val="16"/>
                <w:lang w:val="es-ES"/>
              </w:rPr>
              <w:t xml:space="preserve"> veces</w:t>
            </w:r>
          </w:p>
          <w:p w:rsidR="008827B3" w:rsidRDefault="008827B3" w:rsidP="008827B3">
            <w:pPr>
              <w:pStyle w:val="ListParagraph"/>
              <w:keepNext/>
              <w:keepLines/>
              <w:numPr>
                <w:ilvl w:val="0"/>
                <w:numId w:val="77"/>
              </w:numPr>
              <w:tabs>
                <w:tab w:val="left" w:pos="191"/>
              </w:tabs>
              <w:ind w:left="551"/>
              <w:rPr>
                <w:rFonts w:cs="Arial"/>
                <w:sz w:val="16"/>
                <w:szCs w:val="16"/>
                <w:lang w:val="es-ES"/>
              </w:rPr>
            </w:pPr>
            <w:r w:rsidRPr="00EB0E9D">
              <w:rPr>
                <w:rFonts w:cs="Arial"/>
                <w:sz w:val="16"/>
                <w:szCs w:val="16"/>
                <w:lang w:val="es-ES"/>
              </w:rPr>
              <w:t xml:space="preserve">Datos y cifras de la OMPI </w:t>
            </w:r>
            <w:r>
              <w:rPr>
                <w:rFonts w:cs="Arial"/>
                <w:sz w:val="16"/>
                <w:szCs w:val="16"/>
                <w:lang w:val="es-ES"/>
              </w:rPr>
              <w:t>(</w:t>
            </w:r>
            <w:proofErr w:type="spellStart"/>
            <w:r>
              <w:rPr>
                <w:rFonts w:cs="Arial"/>
                <w:sz w:val="16"/>
                <w:szCs w:val="16"/>
                <w:lang w:val="es-ES"/>
              </w:rPr>
              <w:t>n.</w:t>
            </w:r>
            <w:r w:rsidRPr="00EB0E9D">
              <w:rPr>
                <w:rFonts w:cs="Arial"/>
                <w:sz w:val="16"/>
                <w:szCs w:val="16"/>
                <w:vertAlign w:val="superscript"/>
                <w:lang w:val="es-ES"/>
              </w:rPr>
              <w:t>o</w:t>
            </w:r>
            <w:proofErr w:type="spellEnd"/>
            <w:r w:rsidRPr="00EB0E9D">
              <w:rPr>
                <w:rFonts w:cs="Arial"/>
                <w:sz w:val="16"/>
                <w:szCs w:val="16"/>
                <w:lang w:val="es-ES"/>
              </w:rPr>
              <w:t xml:space="preserve"> 943E/14 </w:t>
            </w:r>
            <w:r>
              <w:rPr>
                <w:rFonts w:cs="Arial"/>
                <w:sz w:val="16"/>
                <w:szCs w:val="16"/>
                <w:lang w:val="es-ES"/>
              </w:rPr>
              <w:t>y</w:t>
            </w:r>
            <w:r w:rsidRPr="00EB0E9D">
              <w:rPr>
                <w:rFonts w:cs="Arial"/>
                <w:sz w:val="16"/>
                <w:szCs w:val="16"/>
                <w:lang w:val="es-ES"/>
              </w:rPr>
              <w:t xml:space="preserve"> 943E/15)</w:t>
            </w:r>
            <w:r>
              <w:rPr>
                <w:rFonts w:cs="Arial"/>
                <w:sz w:val="16"/>
                <w:szCs w:val="16"/>
                <w:lang w:val="es-ES"/>
              </w:rPr>
              <w:t>:  41.</w:t>
            </w:r>
            <w:r w:rsidRPr="00EB0E9D">
              <w:rPr>
                <w:rFonts w:cs="Arial"/>
                <w:sz w:val="16"/>
                <w:szCs w:val="16"/>
                <w:lang w:val="es-ES"/>
              </w:rPr>
              <w:t xml:space="preserve">728 </w:t>
            </w:r>
            <w:r>
              <w:rPr>
                <w:rFonts w:cs="Arial"/>
                <w:sz w:val="16"/>
                <w:szCs w:val="16"/>
                <w:lang w:val="es-ES"/>
              </w:rPr>
              <w:t>vec</w:t>
            </w:r>
            <w:r w:rsidRPr="00EB0E9D">
              <w:rPr>
                <w:rFonts w:cs="Arial"/>
                <w:sz w:val="16"/>
                <w:szCs w:val="16"/>
                <w:lang w:val="es-ES"/>
              </w:rPr>
              <w:t>es</w:t>
            </w:r>
          </w:p>
          <w:p w:rsidR="008827B3" w:rsidRPr="00EB0E9D" w:rsidRDefault="008827B3" w:rsidP="00DC1333">
            <w:pPr>
              <w:pStyle w:val="ListParagraph"/>
              <w:keepNext/>
              <w:keepLines/>
              <w:tabs>
                <w:tab w:val="left" w:pos="191"/>
              </w:tabs>
              <w:ind w:left="551"/>
              <w:rPr>
                <w:rFonts w:cs="Arial"/>
                <w:sz w:val="16"/>
                <w:szCs w:val="16"/>
                <w:lang w:val="es-ES"/>
              </w:rPr>
            </w:pPr>
          </w:p>
          <w:p w:rsidR="008827B3" w:rsidRPr="00EB0E9D" w:rsidRDefault="008827B3" w:rsidP="008827B3">
            <w:pPr>
              <w:pStyle w:val="ListParagraph"/>
              <w:keepNext/>
              <w:keepLines/>
              <w:numPr>
                <w:ilvl w:val="0"/>
                <w:numId w:val="78"/>
              </w:numPr>
              <w:rPr>
                <w:rFonts w:cs="Arial"/>
                <w:sz w:val="16"/>
                <w:szCs w:val="16"/>
                <w:lang w:val="es-ES"/>
              </w:rPr>
            </w:pPr>
            <w:r w:rsidRPr="00EB0E9D">
              <w:rPr>
                <w:rFonts w:cs="Arial"/>
                <w:sz w:val="16"/>
                <w:szCs w:val="16"/>
                <w:lang w:val="es-ES"/>
              </w:rPr>
              <w:t xml:space="preserve">Reseña anual del PCT </w:t>
            </w:r>
            <w:r>
              <w:rPr>
                <w:rFonts w:cs="Arial"/>
                <w:sz w:val="16"/>
                <w:szCs w:val="16"/>
                <w:lang w:val="es-ES"/>
              </w:rPr>
              <w:t>(</w:t>
            </w:r>
            <w:proofErr w:type="spellStart"/>
            <w:r>
              <w:rPr>
                <w:rFonts w:cs="Arial"/>
                <w:sz w:val="16"/>
                <w:szCs w:val="16"/>
                <w:lang w:val="es-ES"/>
              </w:rPr>
              <w:t>n.</w:t>
            </w:r>
            <w:r w:rsidRPr="00EB0E9D">
              <w:rPr>
                <w:rFonts w:cs="Arial"/>
                <w:sz w:val="16"/>
                <w:szCs w:val="16"/>
                <w:vertAlign w:val="superscript"/>
                <w:lang w:val="es-ES"/>
              </w:rPr>
              <w:t>o</w:t>
            </w:r>
            <w:proofErr w:type="spellEnd"/>
            <w:r w:rsidRPr="00EB0E9D">
              <w:rPr>
                <w:rFonts w:cs="Arial"/>
                <w:sz w:val="16"/>
                <w:szCs w:val="16"/>
                <w:lang w:val="es-ES"/>
              </w:rPr>
              <w:t xml:space="preserve"> </w:t>
            </w:r>
            <w:r>
              <w:rPr>
                <w:rFonts w:cs="Arial"/>
                <w:sz w:val="16"/>
                <w:szCs w:val="16"/>
                <w:lang w:val="es-ES"/>
              </w:rPr>
              <w:t>901E/2014 y</w:t>
            </w:r>
            <w:r w:rsidRPr="00EB0E9D">
              <w:rPr>
                <w:rFonts w:cs="Arial"/>
                <w:sz w:val="16"/>
                <w:szCs w:val="16"/>
                <w:lang w:val="es-ES"/>
              </w:rPr>
              <w:t xml:space="preserve"> 901E/2015)</w:t>
            </w:r>
            <w:r>
              <w:rPr>
                <w:rFonts w:cs="Arial"/>
                <w:sz w:val="16"/>
                <w:szCs w:val="16"/>
                <w:lang w:val="es-ES"/>
              </w:rPr>
              <w:t>:  50.</w:t>
            </w:r>
            <w:r w:rsidRPr="00EB0E9D">
              <w:rPr>
                <w:rFonts w:cs="Arial"/>
                <w:sz w:val="16"/>
                <w:szCs w:val="16"/>
                <w:lang w:val="es-ES"/>
              </w:rPr>
              <w:t>746</w:t>
            </w:r>
            <w:r>
              <w:rPr>
                <w:rFonts w:cs="Arial"/>
                <w:sz w:val="16"/>
                <w:szCs w:val="16"/>
                <w:lang w:val="es-ES"/>
              </w:rPr>
              <w:t xml:space="preserve"> </w:t>
            </w:r>
            <w:r w:rsidRPr="00EB0E9D">
              <w:rPr>
                <w:rFonts w:cs="Arial"/>
                <w:sz w:val="16"/>
                <w:szCs w:val="16"/>
                <w:lang w:val="es-ES"/>
              </w:rPr>
              <w:t>d</w:t>
            </w:r>
            <w:r>
              <w:rPr>
                <w:rFonts w:cs="Arial"/>
                <w:sz w:val="16"/>
                <w:szCs w:val="16"/>
                <w:lang w:val="es-ES"/>
              </w:rPr>
              <w:t>escarga</w:t>
            </w:r>
            <w:r w:rsidRPr="00EB0E9D">
              <w:rPr>
                <w:rFonts w:cs="Arial"/>
                <w:sz w:val="16"/>
                <w:szCs w:val="16"/>
                <w:lang w:val="es-ES"/>
              </w:rPr>
              <w:t>s</w:t>
            </w:r>
          </w:p>
          <w:p w:rsidR="008827B3" w:rsidRPr="00EB0E9D" w:rsidRDefault="008827B3" w:rsidP="00DC1333">
            <w:pPr>
              <w:pStyle w:val="ListParagraph"/>
              <w:keepNext/>
              <w:keepLines/>
              <w:tabs>
                <w:tab w:val="left" w:pos="191"/>
              </w:tabs>
              <w:ind w:left="11"/>
              <w:rPr>
                <w:rFonts w:cs="Arial"/>
                <w:sz w:val="16"/>
                <w:szCs w:val="16"/>
                <w:lang w:val="es-ES"/>
              </w:rPr>
            </w:pPr>
          </w:p>
          <w:p w:rsidR="008827B3" w:rsidRPr="00C04899" w:rsidRDefault="008827B3" w:rsidP="008827B3">
            <w:pPr>
              <w:pStyle w:val="ListParagraph"/>
              <w:keepNext/>
              <w:keepLines/>
              <w:numPr>
                <w:ilvl w:val="0"/>
                <w:numId w:val="78"/>
              </w:numPr>
              <w:rPr>
                <w:rFonts w:cs="Arial"/>
                <w:sz w:val="16"/>
                <w:szCs w:val="16"/>
                <w:lang w:val="es-ES"/>
              </w:rPr>
            </w:pPr>
            <w:r w:rsidRPr="00C04899">
              <w:rPr>
                <w:rFonts w:cs="Arial"/>
                <w:sz w:val="16"/>
                <w:szCs w:val="16"/>
                <w:lang w:val="es-ES"/>
              </w:rPr>
              <w:t xml:space="preserve">Reseña </w:t>
            </w:r>
            <w:r>
              <w:rPr>
                <w:rFonts w:cs="Arial"/>
                <w:sz w:val="16"/>
                <w:szCs w:val="16"/>
                <w:lang w:val="es-ES"/>
              </w:rPr>
              <w:t>a</w:t>
            </w:r>
            <w:r w:rsidRPr="00C04899">
              <w:rPr>
                <w:rFonts w:cs="Arial"/>
                <w:sz w:val="16"/>
                <w:szCs w:val="16"/>
                <w:lang w:val="es-ES"/>
              </w:rPr>
              <w:t xml:space="preserve">nual </w:t>
            </w:r>
            <w:r>
              <w:rPr>
                <w:rFonts w:cs="Arial"/>
                <w:sz w:val="16"/>
                <w:szCs w:val="16"/>
                <w:lang w:val="es-ES"/>
              </w:rPr>
              <w:t xml:space="preserve">del Sistema </w:t>
            </w:r>
            <w:r w:rsidRPr="00C04899">
              <w:rPr>
                <w:rFonts w:cs="Arial"/>
                <w:sz w:val="16"/>
                <w:szCs w:val="16"/>
                <w:lang w:val="es-ES"/>
              </w:rPr>
              <w:t>de Madrid (</w:t>
            </w:r>
            <w:proofErr w:type="spellStart"/>
            <w:r w:rsidRPr="00C04899">
              <w:rPr>
                <w:rFonts w:cs="Arial"/>
                <w:sz w:val="16"/>
                <w:szCs w:val="16"/>
                <w:lang w:val="es-ES"/>
              </w:rPr>
              <w:t>n.</w:t>
            </w:r>
            <w:r w:rsidRPr="00C04899">
              <w:rPr>
                <w:rFonts w:cs="Arial"/>
                <w:sz w:val="16"/>
                <w:szCs w:val="16"/>
                <w:vertAlign w:val="superscript"/>
                <w:lang w:val="es-ES"/>
              </w:rPr>
              <w:t>o</w:t>
            </w:r>
            <w:proofErr w:type="spellEnd"/>
            <w:r w:rsidRPr="00C04899">
              <w:rPr>
                <w:rFonts w:cs="Arial"/>
                <w:sz w:val="16"/>
                <w:szCs w:val="16"/>
                <w:lang w:val="es-ES"/>
              </w:rPr>
              <w:t xml:space="preserve"> 940E/14 </w:t>
            </w:r>
            <w:r>
              <w:rPr>
                <w:rFonts w:cs="Arial"/>
                <w:sz w:val="16"/>
                <w:szCs w:val="16"/>
                <w:lang w:val="es-ES"/>
              </w:rPr>
              <w:t>y</w:t>
            </w:r>
            <w:r w:rsidRPr="00C04899">
              <w:rPr>
                <w:rFonts w:cs="Arial"/>
                <w:sz w:val="16"/>
                <w:szCs w:val="16"/>
                <w:lang w:val="es-ES"/>
              </w:rPr>
              <w:t xml:space="preserve"> 940E/15)</w:t>
            </w:r>
            <w:r>
              <w:rPr>
                <w:rFonts w:cs="Arial"/>
                <w:sz w:val="16"/>
                <w:szCs w:val="16"/>
                <w:lang w:val="es-ES"/>
              </w:rPr>
              <w:t>:  20.</w:t>
            </w:r>
            <w:r w:rsidRPr="00C04899">
              <w:rPr>
                <w:rFonts w:cs="Arial"/>
                <w:sz w:val="16"/>
                <w:szCs w:val="16"/>
                <w:lang w:val="es-ES"/>
              </w:rPr>
              <w:t>281 d</w:t>
            </w:r>
            <w:r>
              <w:rPr>
                <w:rFonts w:cs="Arial"/>
                <w:sz w:val="16"/>
                <w:szCs w:val="16"/>
                <w:lang w:val="es-ES"/>
              </w:rPr>
              <w:t>escarga</w:t>
            </w:r>
            <w:r w:rsidRPr="00C04899">
              <w:rPr>
                <w:rFonts w:cs="Arial"/>
                <w:sz w:val="16"/>
                <w:szCs w:val="16"/>
                <w:lang w:val="es-ES"/>
              </w:rPr>
              <w:t>s</w:t>
            </w:r>
          </w:p>
          <w:p w:rsidR="008827B3" w:rsidRPr="00C04899" w:rsidRDefault="008827B3" w:rsidP="00DC1333">
            <w:pPr>
              <w:keepNext/>
              <w:keepLines/>
              <w:tabs>
                <w:tab w:val="left" w:pos="191"/>
              </w:tabs>
              <w:ind w:left="11"/>
              <w:rPr>
                <w:sz w:val="16"/>
                <w:szCs w:val="16"/>
              </w:rPr>
            </w:pPr>
          </w:p>
          <w:p w:rsidR="008827B3" w:rsidRPr="00C04899" w:rsidRDefault="008827B3" w:rsidP="008827B3">
            <w:pPr>
              <w:pStyle w:val="ListParagraph"/>
              <w:keepNext/>
              <w:keepLines/>
              <w:numPr>
                <w:ilvl w:val="0"/>
                <w:numId w:val="78"/>
              </w:numPr>
              <w:rPr>
                <w:rFonts w:cs="Arial"/>
                <w:sz w:val="16"/>
                <w:szCs w:val="16"/>
                <w:lang w:val="es-ES"/>
              </w:rPr>
            </w:pPr>
            <w:r>
              <w:rPr>
                <w:rFonts w:cs="Arial"/>
                <w:sz w:val="16"/>
                <w:szCs w:val="16"/>
                <w:lang w:val="es-ES"/>
              </w:rPr>
              <w:t>Reseña anual del Sistema de La</w:t>
            </w:r>
            <w:r w:rsidRPr="00C04899">
              <w:rPr>
                <w:rFonts w:cs="Arial"/>
                <w:sz w:val="16"/>
                <w:szCs w:val="16"/>
                <w:lang w:val="es-ES"/>
              </w:rPr>
              <w:t xml:space="preserve"> </w:t>
            </w:r>
            <w:r>
              <w:rPr>
                <w:rFonts w:cs="Arial"/>
                <w:sz w:val="16"/>
                <w:szCs w:val="16"/>
                <w:lang w:val="es-ES"/>
              </w:rPr>
              <w:t>Haya (</w:t>
            </w:r>
            <w:proofErr w:type="spellStart"/>
            <w:r>
              <w:rPr>
                <w:rFonts w:cs="Arial"/>
                <w:sz w:val="16"/>
                <w:szCs w:val="16"/>
                <w:lang w:val="es-ES"/>
              </w:rPr>
              <w:t>n.</w:t>
            </w:r>
            <w:r w:rsidRPr="00C04899">
              <w:rPr>
                <w:rFonts w:cs="Arial"/>
                <w:sz w:val="16"/>
                <w:szCs w:val="16"/>
                <w:vertAlign w:val="superscript"/>
                <w:lang w:val="es-ES"/>
              </w:rPr>
              <w:t>o</w:t>
            </w:r>
            <w:proofErr w:type="spellEnd"/>
            <w:r>
              <w:rPr>
                <w:rFonts w:cs="Arial"/>
                <w:sz w:val="16"/>
                <w:szCs w:val="16"/>
                <w:lang w:val="es-ES"/>
              </w:rPr>
              <w:t xml:space="preserve"> 930E/14 y</w:t>
            </w:r>
            <w:r w:rsidRPr="00C04899">
              <w:rPr>
                <w:rFonts w:cs="Arial"/>
                <w:sz w:val="16"/>
                <w:szCs w:val="16"/>
                <w:lang w:val="es-ES"/>
              </w:rPr>
              <w:t xml:space="preserve"> 930E15)</w:t>
            </w:r>
            <w:r>
              <w:rPr>
                <w:rFonts w:cs="Arial"/>
                <w:sz w:val="16"/>
                <w:szCs w:val="16"/>
                <w:lang w:val="es-ES"/>
              </w:rPr>
              <w:t>:  20.</w:t>
            </w:r>
            <w:r w:rsidRPr="00C04899">
              <w:rPr>
                <w:rFonts w:cs="Arial"/>
                <w:sz w:val="16"/>
                <w:szCs w:val="16"/>
                <w:lang w:val="es-ES"/>
              </w:rPr>
              <w:t>237 d</w:t>
            </w:r>
            <w:r>
              <w:rPr>
                <w:rFonts w:cs="Arial"/>
                <w:sz w:val="16"/>
                <w:szCs w:val="16"/>
                <w:lang w:val="es-ES"/>
              </w:rPr>
              <w:t>escarga</w:t>
            </w:r>
            <w:r w:rsidRPr="00C04899">
              <w:rPr>
                <w:rFonts w:cs="Arial"/>
                <w:sz w:val="16"/>
                <w:szCs w:val="16"/>
                <w:lang w:val="es-ES"/>
              </w:rPr>
              <w:t>s</w:t>
            </w:r>
          </w:p>
          <w:p w:rsidR="008827B3" w:rsidRPr="00C04899" w:rsidRDefault="008827B3" w:rsidP="00DC1333">
            <w:pPr>
              <w:pStyle w:val="ListParagraph"/>
              <w:keepNext/>
              <w:keepLines/>
              <w:ind w:left="360"/>
              <w:rPr>
                <w:rFonts w:cs="Arial"/>
                <w:sz w:val="16"/>
                <w:szCs w:val="16"/>
                <w:lang w:val="es-ES"/>
              </w:rPr>
            </w:pPr>
          </w:p>
        </w:tc>
        <w:tc>
          <w:tcPr>
            <w:tcW w:w="668" w:type="pct"/>
            <w:gridSpan w:val="2"/>
            <w:shd w:val="clear" w:color="auto" w:fill="auto"/>
            <w:tcMar>
              <w:top w:w="110" w:type="dxa"/>
            </w:tcMar>
          </w:tcPr>
          <w:p w:rsidR="008827B3" w:rsidRDefault="008827B3" w:rsidP="00DC1333">
            <w:pPr>
              <w:keepNext/>
              <w:keepLines/>
              <w:jc w:val="center"/>
              <w:rPr>
                <w:b/>
                <w:bCs/>
                <w:color w:val="00B050"/>
                <w:sz w:val="16"/>
                <w:szCs w:val="16"/>
              </w:rPr>
            </w:pPr>
          </w:p>
          <w:p w:rsidR="008827B3" w:rsidRDefault="008827B3" w:rsidP="00DC1333">
            <w:pPr>
              <w:keepNext/>
              <w:keepLines/>
              <w:jc w:val="center"/>
              <w:rPr>
                <w:b/>
                <w:bCs/>
                <w:color w:val="00B050"/>
                <w:sz w:val="16"/>
                <w:szCs w:val="16"/>
              </w:rPr>
            </w:pPr>
          </w:p>
          <w:p w:rsidR="008827B3" w:rsidRDefault="008827B3" w:rsidP="00DC1333">
            <w:pPr>
              <w:keepNext/>
              <w:keepLines/>
              <w:jc w:val="center"/>
              <w:rPr>
                <w:b/>
                <w:bCs/>
                <w:color w:val="00B050"/>
                <w:sz w:val="16"/>
                <w:szCs w:val="16"/>
              </w:rPr>
            </w:pPr>
          </w:p>
          <w:p w:rsidR="008827B3" w:rsidRDefault="008827B3" w:rsidP="00DC1333">
            <w:pPr>
              <w:keepNext/>
              <w:keepLines/>
              <w:jc w:val="center"/>
              <w:rPr>
                <w:b/>
                <w:bCs/>
                <w:color w:val="00B050"/>
                <w:sz w:val="16"/>
                <w:szCs w:val="16"/>
              </w:rPr>
            </w:pPr>
          </w:p>
          <w:p w:rsidR="008827B3" w:rsidRDefault="008827B3" w:rsidP="00DC1333">
            <w:pPr>
              <w:keepNext/>
              <w:keepLines/>
              <w:jc w:val="center"/>
              <w:rPr>
                <w:b/>
                <w:bCs/>
                <w:color w:val="00B050"/>
                <w:sz w:val="16"/>
                <w:szCs w:val="16"/>
              </w:rPr>
            </w:pPr>
          </w:p>
          <w:p w:rsidR="008827B3" w:rsidRDefault="008827B3" w:rsidP="00DC1333">
            <w:pPr>
              <w:keepNext/>
              <w:keepLines/>
              <w:jc w:val="center"/>
              <w:rPr>
                <w:b/>
                <w:bCs/>
                <w:color w:val="00B050"/>
                <w:sz w:val="16"/>
                <w:szCs w:val="16"/>
              </w:rPr>
            </w:pPr>
          </w:p>
          <w:p w:rsidR="008827B3" w:rsidRDefault="008827B3" w:rsidP="00DC1333">
            <w:pPr>
              <w:keepNext/>
              <w:keepLines/>
              <w:jc w:val="center"/>
              <w:rPr>
                <w:b/>
                <w:bCs/>
                <w:color w:val="A6A6A6" w:themeColor="background1" w:themeShade="A6"/>
                <w:sz w:val="16"/>
                <w:szCs w:val="16"/>
              </w:rPr>
            </w:pPr>
            <w:r>
              <w:rPr>
                <w:b/>
                <w:bCs/>
                <w:color w:val="00B050"/>
                <w:sz w:val="16"/>
                <w:szCs w:val="16"/>
              </w:rPr>
              <w:t>Plenamente logrado</w:t>
            </w:r>
            <w:r w:rsidRPr="00526311">
              <w:rPr>
                <w:b/>
                <w:bCs/>
                <w:color w:val="A6A6A6" w:themeColor="background1" w:themeShade="A6"/>
                <w:sz w:val="16"/>
                <w:szCs w:val="16"/>
              </w:rPr>
              <w:t xml:space="preserve"> </w:t>
            </w:r>
          </w:p>
          <w:p w:rsidR="008827B3" w:rsidRDefault="008827B3" w:rsidP="00DC1333">
            <w:pPr>
              <w:keepNext/>
              <w:keepLines/>
              <w:jc w:val="center"/>
              <w:rPr>
                <w:b/>
                <w:bCs/>
                <w:color w:val="A6A6A6" w:themeColor="background1" w:themeShade="A6"/>
                <w:sz w:val="16"/>
                <w:szCs w:val="16"/>
              </w:rPr>
            </w:pPr>
          </w:p>
          <w:p w:rsidR="008827B3" w:rsidRDefault="008827B3" w:rsidP="00DC1333">
            <w:pPr>
              <w:keepNext/>
              <w:keepLines/>
              <w:jc w:val="center"/>
              <w:rPr>
                <w:b/>
                <w:bCs/>
                <w:color w:val="A6A6A6" w:themeColor="background1" w:themeShade="A6"/>
                <w:sz w:val="16"/>
                <w:szCs w:val="16"/>
              </w:rPr>
            </w:pPr>
          </w:p>
          <w:p w:rsidR="008827B3" w:rsidRDefault="008827B3" w:rsidP="00DC1333">
            <w:pPr>
              <w:keepNext/>
              <w:keepLines/>
              <w:jc w:val="center"/>
              <w:rPr>
                <w:b/>
                <w:bCs/>
                <w:color w:val="A6A6A6" w:themeColor="background1" w:themeShade="A6"/>
                <w:sz w:val="16"/>
                <w:szCs w:val="16"/>
              </w:rPr>
            </w:pPr>
          </w:p>
          <w:p w:rsidR="008827B3" w:rsidRDefault="008827B3" w:rsidP="00DC1333">
            <w:pPr>
              <w:keepNext/>
              <w:keepLines/>
              <w:jc w:val="center"/>
              <w:rPr>
                <w:b/>
                <w:bCs/>
                <w:color w:val="A6A6A6" w:themeColor="background1" w:themeShade="A6"/>
                <w:sz w:val="16"/>
                <w:szCs w:val="16"/>
              </w:rPr>
            </w:pPr>
          </w:p>
          <w:p w:rsidR="008827B3" w:rsidRDefault="008827B3" w:rsidP="00DC1333">
            <w:pPr>
              <w:keepNext/>
              <w:keepLines/>
              <w:jc w:val="center"/>
              <w:rPr>
                <w:b/>
                <w:bCs/>
                <w:color w:val="A6A6A6" w:themeColor="background1" w:themeShade="A6"/>
                <w:sz w:val="16"/>
                <w:szCs w:val="16"/>
              </w:rPr>
            </w:pPr>
          </w:p>
          <w:p w:rsidR="008827B3" w:rsidRDefault="008827B3" w:rsidP="00DC1333">
            <w:pPr>
              <w:keepNext/>
              <w:keepLines/>
              <w:jc w:val="center"/>
              <w:rPr>
                <w:b/>
                <w:bCs/>
                <w:color w:val="A6A6A6" w:themeColor="background1" w:themeShade="A6"/>
                <w:sz w:val="16"/>
                <w:szCs w:val="16"/>
              </w:rPr>
            </w:pPr>
          </w:p>
          <w:p w:rsidR="008827B3" w:rsidRDefault="008827B3" w:rsidP="00DC1333">
            <w:pPr>
              <w:keepNext/>
              <w:keepLines/>
              <w:jc w:val="center"/>
              <w:rPr>
                <w:b/>
                <w:bCs/>
                <w:color w:val="A6A6A6" w:themeColor="background1" w:themeShade="A6"/>
                <w:sz w:val="16"/>
                <w:szCs w:val="16"/>
              </w:rPr>
            </w:pPr>
          </w:p>
          <w:p w:rsidR="008827B3" w:rsidRDefault="008827B3" w:rsidP="00DC1333">
            <w:pPr>
              <w:keepNext/>
              <w:keepLines/>
              <w:jc w:val="center"/>
              <w:rPr>
                <w:b/>
                <w:bCs/>
                <w:color w:val="A6A6A6" w:themeColor="background1" w:themeShade="A6"/>
                <w:sz w:val="16"/>
                <w:szCs w:val="16"/>
              </w:rPr>
            </w:pPr>
          </w:p>
          <w:p w:rsidR="008827B3" w:rsidRDefault="008827B3" w:rsidP="00DC1333">
            <w:pPr>
              <w:keepNext/>
              <w:keepLines/>
              <w:jc w:val="center"/>
              <w:rPr>
                <w:b/>
                <w:bCs/>
                <w:color w:val="A6A6A6" w:themeColor="background1" w:themeShade="A6"/>
                <w:sz w:val="16"/>
                <w:szCs w:val="16"/>
              </w:rPr>
            </w:pPr>
          </w:p>
          <w:p w:rsidR="008827B3" w:rsidRDefault="008827B3" w:rsidP="00DC1333">
            <w:pPr>
              <w:keepNext/>
              <w:keepLines/>
              <w:jc w:val="center"/>
              <w:rPr>
                <w:b/>
                <w:bCs/>
                <w:color w:val="A6A6A6" w:themeColor="background1" w:themeShade="A6"/>
                <w:sz w:val="16"/>
                <w:szCs w:val="16"/>
              </w:rPr>
            </w:pPr>
          </w:p>
          <w:p w:rsidR="008827B3" w:rsidRDefault="008827B3" w:rsidP="00DC1333">
            <w:pPr>
              <w:keepNext/>
              <w:keepLines/>
              <w:jc w:val="center"/>
              <w:rPr>
                <w:b/>
                <w:bCs/>
                <w:color w:val="A6A6A6" w:themeColor="background1" w:themeShade="A6"/>
                <w:sz w:val="16"/>
                <w:szCs w:val="16"/>
              </w:rPr>
            </w:pPr>
          </w:p>
          <w:p w:rsidR="008827B3" w:rsidRDefault="008827B3" w:rsidP="00DC1333">
            <w:pPr>
              <w:keepNext/>
              <w:keepLines/>
              <w:jc w:val="center"/>
              <w:rPr>
                <w:b/>
                <w:bCs/>
                <w:color w:val="A6A6A6" w:themeColor="background1" w:themeShade="A6"/>
                <w:sz w:val="16"/>
                <w:szCs w:val="16"/>
              </w:rPr>
            </w:pPr>
          </w:p>
          <w:p w:rsidR="008827B3" w:rsidRDefault="008827B3" w:rsidP="00DC1333">
            <w:pPr>
              <w:keepNext/>
              <w:keepLines/>
              <w:jc w:val="center"/>
              <w:rPr>
                <w:b/>
                <w:bCs/>
                <w:color w:val="A6A6A6" w:themeColor="background1" w:themeShade="A6"/>
                <w:sz w:val="16"/>
                <w:szCs w:val="16"/>
              </w:rPr>
            </w:pPr>
          </w:p>
          <w:p w:rsidR="008827B3" w:rsidRDefault="008827B3" w:rsidP="00DC1333">
            <w:pPr>
              <w:keepNext/>
              <w:keepLines/>
              <w:jc w:val="center"/>
              <w:rPr>
                <w:b/>
                <w:bCs/>
                <w:color w:val="A6A6A6" w:themeColor="background1" w:themeShade="A6"/>
                <w:sz w:val="16"/>
                <w:szCs w:val="16"/>
              </w:rPr>
            </w:pPr>
          </w:p>
          <w:p w:rsidR="008827B3" w:rsidRDefault="008827B3" w:rsidP="00DC1333">
            <w:pPr>
              <w:keepNext/>
              <w:keepLines/>
              <w:jc w:val="center"/>
              <w:rPr>
                <w:b/>
                <w:bCs/>
                <w:color w:val="A6A6A6" w:themeColor="background1" w:themeShade="A6"/>
                <w:sz w:val="16"/>
                <w:szCs w:val="16"/>
              </w:rPr>
            </w:pPr>
          </w:p>
          <w:p w:rsidR="008827B3" w:rsidRDefault="008827B3" w:rsidP="00DC1333">
            <w:pPr>
              <w:keepNext/>
              <w:keepLines/>
              <w:jc w:val="center"/>
              <w:rPr>
                <w:b/>
                <w:bCs/>
                <w:color w:val="A6A6A6" w:themeColor="background1" w:themeShade="A6"/>
                <w:sz w:val="16"/>
                <w:szCs w:val="16"/>
              </w:rPr>
            </w:pPr>
          </w:p>
          <w:p w:rsidR="008827B3" w:rsidRDefault="008827B3" w:rsidP="00DC1333">
            <w:pPr>
              <w:keepNext/>
              <w:keepLines/>
              <w:jc w:val="center"/>
              <w:rPr>
                <w:b/>
                <w:bCs/>
                <w:color w:val="A6A6A6" w:themeColor="background1" w:themeShade="A6"/>
                <w:sz w:val="16"/>
                <w:szCs w:val="16"/>
              </w:rPr>
            </w:pPr>
          </w:p>
          <w:p w:rsidR="008827B3" w:rsidRDefault="008827B3" w:rsidP="00DC1333">
            <w:pPr>
              <w:keepNext/>
              <w:keepLines/>
              <w:jc w:val="center"/>
              <w:rPr>
                <w:b/>
                <w:bCs/>
                <w:color w:val="A6A6A6" w:themeColor="background1" w:themeShade="A6"/>
                <w:sz w:val="16"/>
                <w:szCs w:val="16"/>
              </w:rPr>
            </w:pPr>
          </w:p>
          <w:p w:rsidR="008827B3" w:rsidRDefault="008827B3" w:rsidP="00DC1333">
            <w:pPr>
              <w:keepNext/>
              <w:keepLines/>
              <w:jc w:val="center"/>
              <w:rPr>
                <w:b/>
                <w:bCs/>
                <w:color w:val="A6A6A6" w:themeColor="background1" w:themeShade="A6"/>
                <w:sz w:val="16"/>
                <w:szCs w:val="16"/>
              </w:rPr>
            </w:pPr>
            <w:r w:rsidRPr="00526311">
              <w:rPr>
                <w:b/>
                <w:bCs/>
                <w:color w:val="A6A6A6" w:themeColor="background1" w:themeShade="A6"/>
                <w:sz w:val="16"/>
                <w:szCs w:val="16"/>
              </w:rPr>
              <w:t>No mensurable</w:t>
            </w:r>
          </w:p>
          <w:p w:rsidR="008827B3" w:rsidRDefault="008827B3" w:rsidP="00DC1333">
            <w:pPr>
              <w:keepNext/>
              <w:keepLines/>
              <w:jc w:val="center"/>
              <w:rPr>
                <w:b/>
                <w:bCs/>
                <w:color w:val="A6A6A6" w:themeColor="background1" w:themeShade="A6"/>
                <w:sz w:val="16"/>
                <w:szCs w:val="16"/>
              </w:rPr>
            </w:pPr>
          </w:p>
          <w:p w:rsidR="008827B3" w:rsidRDefault="008827B3" w:rsidP="00DC1333">
            <w:pPr>
              <w:keepNext/>
              <w:keepLines/>
              <w:jc w:val="center"/>
              <w:rPr>
                <w:b/>
                <w:bCs/>
                <w:color w:val="A6A6A6" w:themeColor="background1" w:themeShade="A6"/>
                <w:sz w:val="16"/>
                <w:szCs w:val="16"/>
              </w:rPr>
            </w:pPr>
          </w:p>
          <w:p w:rsidR="008827B3" w:rsidRDefault="008827B3" w:rsidP="00DC1333">
            <w:pPr>
              <w:keepNext/>
              <w:keepLines/>
              <w:jc w:val="center"/>
              <w:rPr>
                <w:b/>
                <w:bCs/>
                <w:color w:val="A6A6A6" w:themeColor="background1" w:themeShade="A6"/>
                <w:sz w:val="16"/>
                <w:szCs w:val="16"/>
              </w:rPr>
            </w:pPr>
          </w:p>
          <w:p w:rsidR="008827B3" w:rsidRDefault="008827B3" w:rsidP="00DC1333">
            <w:pPr>
              <w:keepNext/>
              <w:keepLines/>
              <w:jc w:val="center"/>
              <w:rPr>
                <w:b/>
                <w:bCs/>
                <w:color w:val="A6A6A6" w:themeColor="background1" w:themeShade="A6"/>
                <w:sz w:val="16"/>
                <w:szCs w:val="16"/>
              </w:rPr>
            </w:pPr>
            <w:r w:rsidRPr="00526311">
              <w:rPr>
                <w:b/>
                <w:bCs/>
                <w:color w:val="A6A6A6" w:themeColor="background1" w:themeShade="A6"/>
                <w:sz w:val="16"/>
                <w:szCs w:val="16"/>
              </w:rPr>
              <w:t>No mensurable</w:t>
            </w:r>
          </w:p>
          <w:p w:rsidR="008827B3" w:rsidRDefault="008827B3" w:rsidP="00DC1333">
            <w:pPr>
              <w:keepNext/>
              <w:keepLines/>
              <w:jc w:val="center"/>
              <w:rPr>
                <w:b/>
                <w:bCs/>
                <w:color w:val="A6A6A6" w:themeColor="background1" w:themeShade="A6"/>
                <w:sz w:val="16"/>
                <w:szCs w:val="16"/>
              </w:rPr>
            </w:pPr>
          </w:p>
          <w:p w:rsidR="008827B3" w:rsidRDefault="008827B3" w:rsidP="00DC1333">
            <w:pPr>
              <w:keepNext/>
              <w:keepLines/>
              <w:jc w:val="center"/>
              <w:rPr>
                <w:b/>
                <w:bCs/>
                <w:color w:val="A6A6A6" w:themeColor="background1" w:themeShade="A6"/>
                <w:sz w:val="16"/>
                <w:szCs w:val="16"/>
              </w:rPr>
            </w:pPr>
          </w:p>
          <w:p w:rsidR="008827B3" w:rsidRDefault="008827B3" w:rsidP="00DC1333">
            <w:pPr>
              <w:keepNext/>
              <w:keepLines/>
              <w:jc w:val="center"/>
              <w:rPr>
                <w:b/>
                <w:bCs/>
                <w:color w:val="A6A6A6" w:themeColor="background1" w:themeShade="A6"/>
                <w:sz w:val="16"/>
                <w:szCs w:val="16"/>
              </w:rPr>
            </w:pPr>
          </w:p>
          <w:p w:rsidR="008827B3" w:rsidRDefault="008827B3" w:rsidP="00DC1333">
            <w:pPr>
              <w:keepNext/>
              <w:keepLines/>
              <w:jc w:val="center"/>
              <w:rPr>
                <w:b/>
                <w:bCs/>
                <w:color w:val="A6A6A6" w:themeColor="background1" w:themeShade="A6"/>
                <w:sz w:val="16"/>
                <w:szCs w:val="16"/>
              </w:rPr>
            </w:pPr>
          </w:p>
          <w:p w:rsidR="008827B3" w:rsidRPr="00526311" w:rsidRDefault="008827B3" w:rsidP="00DC1333">
            <w:pPr>
              <w:keepNext/>
              <w:keepLines/>
              <w:jc w:val="center"/>
              <w:rPr>
                <w:b/>
                <w:bCs/>
                <w:sz w:val="16"/>
                <w:szCs w:val="16"/>
              </w:rPr>
            </w:pPr>
            <w:r w:rsidRPr="00526311">
              <w:rPr>
                <w:b/>
                <w:bCs/>
                <w:color w:val="A6A6A6" w:themeColor="background1" w:themeShade="A6"/>
                <w:sz w:val="16"/>
                <w:szCs w:val="16"/>
              </w:rPr>
              <w:t>No mensurable</w:t>
            </w:r>
          </w:p>
        </w:tc>
      </w:tr>
      <w:tr w:rsidR="008827B3" w:rsidRPr="00526311" w:rsidTr="00DC1333">
        <w:trPr>
          <w:cantSplit/>
        </w:trPr>
        <w:tc>
          <w:tcPr>
            <w:tcW w:w="1121" w:type="pct"/>
            <w:tcBorders>
              <w:bottom w:val="single" w:sz="4" w:space="0" w:color="auto"/>
            </w:tcBorders>
            <w:shd w:val="clear" w:color="auto" w:fill="auto"/>
          </w:tcPr>
          <w:p w:rsidR="008827B3" w:rsidRPr="00526311" w:rsidRDefault="008827B3" w:rsidP="00DC1333">
            <w:pPr>
              <w:rPr>
                <w:sz w:val="16"/>
                <w:szCs w:val="16"/>
              </w:rPr>
            </w:pPr>
            <w:r w:rsidRPr="00526311">
              <w:rPr>
                <w:sz w:val="16"/>
                <w:szCs w:val="16"/>
              </w:rPr>
              <w:t>Número de visitantes que utilizan el Centro de datos de estadísticas de P.I.</w:t>
            </w:r>
          </w:p>
        </w:tc>
        <w:tc>
          <w:tcPr>
            <w:tcW w:w="1195" w:type="pct"/>
            <w:tcBorders>
              <w:bottom w:val="single" w:sz="4" w:space="0" w:color="auto"/>
            </w:tcBorders>
            <w:shd w:val="clear" w:color="auto" w:fill="auto"/>
          </w:tcPr>
          <w:p w:rsidR="008827B3" w:rsidRPr="00526311" w:rsidRDefault="008827B3" w:rsidP="00DC1333">
            <w:pPr>
              <w:rPr>
                <w:i/>
                <w:color w:val="002060"/>
                <w:sz w:val="16"/>
                <w:szCs w:val="16"/>
              </w:rPr>
            </w:pPr>
            <w:r w:rsidRPr="00526311">
              <w:rPr>
                <w:i/>
                <w:color w:val="002060"/>
                <w:sz w:val="16"/>
                <w:szCs w:val="16"/>
              </w:rPr>
              <w:t xml:space="preserve">Referencia actualizada a fines de 2013: </w:t>
            </w:r>
            <w:r>
              <w:rPr>
                <w:i/>
                <w:color w:val="002060"/>
                <w:sz w:val="16"/>
                <w:szCs w:val="16"/>
              </w:rPr>
              <w:t xml:space="preserve"> </w:t>
            </w:r>
          </w:p>
          <w:p w:rsidR="008827B3" w:rsidRPr="00526311" w:rsidRDefault="008827B3" w:rsidP="00DC1333">
            <w:pPr>
              <w:rPr>
                <w:color w:val="002060"/>
                <w:sz w:val="16"/>
                <w:szCs w:val="16"/>
              </w:rPr>
            </w:pPr>
            <w:r w:rsidRPr="00526311">
              <w:rPr>
                <w:color w:val="002060"/>
                <w:sz w:val="16"/>
                <w:szCs w:val="16"/>
              </w:rPr>
              <w:t>En 2013, el Centro de datos de estadísticas de la OMPI tuvo 23.496 visitantes únicos (1.958 al mes) que vieron 162.463 páginas</w:t>
            </w:r>
          </w:p>
          <w:p w:rsidR="008827B3" w:rsidRPr="00526311" w:rsidRDefault="008827B3" w:rsidP="00DC1333">
            <w:pPr>
              <w:spacing w:before="120"/>
              <w:rPr>
                <w:sz w:val="16"/>
                <w:szCs w:val="16"/>
              </w:rPr>
            </w:pPr>
            <w:r w:rsidRPr="00526311">
              <w:rPr>
                <w:i/>
                <w:sz w:val="16"/>
                <w:szCs w:val="16"/>
              </w:rPr>
              <w:t xml:space="preserve">Referencia original en el presupuesto de 2014/15:  </w:t>
            </w:r>
            <w:r w:rsidRPr="00526311">
              <w:rPr>
                <w:sz w:val="16"/>
                <w:szCs w:val="16"/>
              </w:rPr>
              <w:t>por determinar a fines de 2013</w:t>
            </w:r>
            <w:r w:rsidRPr="00526311">
              <w:rPr>
                <w:sz w:val="16"/>
                <w:szCs w:val="16"/>
              </w:rPr>
              <w:br/>
            </w:r>
          </w:p>
        </w:tc>
        <w:tc>
          <w:tcPr>
            <w:tcW w:w="749" w:type="pct"/>
            <w:tcBorders>
              <w:bottom w:val="single" w:sz="4" w:space="0" w:color="auto"/>
            </w:tcBorders>
            <w:shd w:val="clear" w:color="auto" w:fill="auto"/>
            <w:tcMar>
              <w:top w:w="110" w:type="dxa"/>
            </w:tcMar>
          </w:tcPr>
          <w:p w:rsidR="008827B3" w:rsidRPr="00526311" w:rsidRDefault="008827B3" w:rsidP="00DC1333">
            <w:pPr>
              <w:rPr>
                <w:rFonts w:ascii="ArialMT" w:hAnsi="ArialMT" w:cs="ArialMT"/>
                <w:sz w:val="16"/>
                <w:szCs w:val="16"/>
              </w:rPr>
            </w:pPr>
            <w:r w:rsidRPr="00526311">
              <w:rPr>
                <w:rFonts w:ascii="ArialMT" w:hAnsi="ArialMT" w:cs="ArialMT"/>
                <w:sz w:val="16"/>
                <w:szCs w:val="16"/>
              </w:rPr>
              <w:t>Aumento del 10% respecto de 2012/13 en el número de usuarios</w:t>
            </w:r>
          </w:p>
          <w:p w:rsidR="008827B3" w:rsidRPr="00526311" w:rsidRDefault="008827B3" w:rsidP="00DC1333">
            <w:pPr>
              <w:rPr>
                <w:rFonts w:ascii="ArialMT" w:hAnsi="ArialMT" w:cs="ArialMT"/>
                <w:sz w:val="16"/>
                <w:szCs w:val="16"/>
              </w:rPr>
            </w:pPr>
          </w:p>
          <w:p w:rsidR="008827B3" w:rsidRPr="00526311" w:rsidRDefault="008827B3" w:rsidP="00DC1333">
            <w:pPr>
              <w:rPr>
                <w:i/>
                <w:sz w:val="16"/>
                <w:szCs w:val="16"/>
              </w:rPr>
            </w:pPr>
          </w:p>
        </w:tc>
        <w:tc>
          <w:tcPr>
            <w:tcW w:w="1267" w:type="pct"/>
            <w:tcBorders>
              <w:bottom w:val="single" w:sz="4" w:space="0" w:color="auto"/>
            </w:tcBorders>
            <w:shd w:val="clear" w:color="auto" w:fill="FFFFFF"/>
            <w:tcMar>
              <w:top w:w="110" w:type="dxa"/>
            </w:tcMar>
          </w:tcPr>
          <w:p w:rsidR="008827B3" w:rsidRPr="00526311" w:rsidRDefault="008827B3" w:rsidP="00DC1333">
            <w:pPr>
              <w:rPr>
                <w:sz w:val="16"/>
                <w:szCs w:val="16"/>
              </w:rPr>
            </w:pPr>
            <w:r>
              <w:rPr>
                <w:rFonts w:eastAsia="Batang"/>
                <w:sz w:val="16"/>
                <w:szCs w:val="16"/>
                <w:lang w:eastAsia="ja-JP"/>
              </w:rPr>
              <w:t>En 2014/15 el Centro de datos de estadística de la OMPI tuvo aproximadamente 51.383 visitantes únicos (2.141 al mes) que vieron aproximadamente 608.277 páginas</w:t>
            </w:r>
            <w:r>
              <w:rPr>
                <w:rStyle w:val="FootnoteReference"/>
                <w:rFonts w:eastAsia="Batang"/>
                <w:sz w:val="16"/>
                <w:szCs w:val="16"/>
                <w:lang w:eastAsia="ja-JP"/>
              </w:rPr>
              <w:footnoteReference w:id="94"/>
            </w:r>
          </w:p>
        </w:tc>
        <w:tc>
          <w:tcPr>
            <w:tcW w:w="668" w:type="pct"/>
            <w:gridSpan w:val="2"/>
            <w:tcBorders>
              <w:bottom w:val="single" w:sz="4" w:space="0" w:color="auto"/>
            </w:tcBorders>
            <w:shd w:val="clear" w:color="auto" w:fill="auto"/>
            <w:tcMar>
              <w:top w:w="110" w:type="dxa"/>
            </w:tcMar>
          </w:tcPr>
          <w:p w:rsidR="008827B3" w:rsidRPr="00526311" w:rsidRDefault="008827B3" w:rsidP="00DC1333">
            <w:pPr>
              <w:keepNext/>
              <w:keepLines/>
              <w:jc w:val="center"/>
              <w:rPr>
                <w:b/>
                <w:bCs/>
                <w:color w:val="00B050"/>
                <w:sz w:val="16"/>
                <w:szCs w:val="16"/>
              </w:rPr>
            </w:pPr>
            <w:r>
              <w:rPr>
                <w:b/>
                <w:bCs/>
                <w:color w:val="00B050"/>
                <w:sz w:val="16"/>
                <w:szCs w:val="16"/>
              </w:rPr>
              <w:t>Plenamente logrado</w:t>
            </w:r>
          </w:p>
        </w:tc>
      </w:tr>
      <w:tr w:rsidR="008827B3" w:rsidRPr="00526311" w:rsidTr="00DC1333">
        <w:trPr>
          <w:cantSplit/>
        </w:trPr>
        <w:tc>
          <w:tcPr>
            <w:tcW w:w="5000" w:type="pct"/>
            <w:gridSpan w:val="6"/>
            <w:tcBorders>
              <w:top w:val="single" w:sz="4" w:space="0" w:color="auto"/>
              <w:bottom w:val="single" w:sz="4" w:space="0" w:color="auto"/>
            </w:tcBorders>
            <w:shd w:val="clear" w:color="auto" w:fill="C6D9F1" w:themeFill="text2" w:themeFillTint="33"/>
            <w:vAlign w:val="center"/>
          </w:tcPr>
          <w:p w:rsidR="008827B3" w:rsidRPr="00526311" w:rsidRDefault="008827B3" w:rsidP="00DC1333">
            <w:pPr>
              <w:keepNext/>
              <w:keepLines/>
              <w:spacing w:before="120" w:after="120"/>
              <w:ind w:left="2019" w:hanging="2019"/>
              <w:rPr>
                <w:b/>
                <w:bCs/>
                <w:sz w:val="16"/>
                <w:szCs w:val="16"/>
              </w:rPr>
            </w:pPr>
            <w:r w:rsidRPr="00526311">
              <w:rPr>
                <w:b/>
                <w:bCs/>
                <w:sz w:val="16"/>
                <w:szCs w:val="16"/>
              </w:rPr>
              <w:lastRenderedPageBreak/>
              <w:t>Resultado previsto:</w:t>
            </w:r>
            <w:r w:rsidRPr="00526311">
              <w:rPr>
                <w:b/>
                <w:bCs/>
                <w:sz w:val="16"/>
                <w:szCs w:val="16"/>
              </w:rPr>
              <w:tab/>
            </w:r>
            <w:r w:rsidRPr="00526311">
              <w:rPr>
                <w:sz w:val="16"/>
                <w:szCs w:val="16"/>
              </w:rPr>
              <w:t>V.2 Ampliación y mejora del uso de los análisis económicos de la OMPI en la formulación de políticas</w:t>
            </w:r>
          </w:p>
        </w:tc>
      </w:tr>
      <w:tr w:rsidR="008827B3" w:rsidRPr="00526311" w:rsidTr="00DC1333">
        <w:trPr>
          <w:cantSplit/>
          <w:trHeight w:val="527"/>
        </w:trPr>
        <w:tc>
          <w:tcPr>
            <w:tcW w:w="1121" w:type="pct"/>
            <w:tcBorders>
              <w:top w:val="single" w:sz="4" w:space="0" w:color="auto"/>
            </w:tcBorders>
            <w:shd w:val="clear" w:color="auto" w:fill="auto"/>
            <w:vAlign w:val="center"/>
          </w:tcPr>
          <w:p w:rsidR="008827B3" w:rsidRPr="00526311" w:rsidRDefault="008827B3" w:rsidP="00DC1333">
            <w:pPr>
              <w:keepNext/>
              <w:rPr>
                <w:sz w:val="16"/>
                <w:szCs w:val="16"/>
              </w:rPr>
            </w:pPr>
            <w:r w:rsidRPr="00526311">
              <w:rPr>
                <w:b/>
                <w:sz w:val="16"/>
                <w:szCs w:val="16"/>
              </w:rPr>
              <w:t>Indicadores de rendimiento</w:t>
            </w:r>
          </w:p>
        </w:tc>
        <w:tc>
          <w:tcPr>
            <w:tcW w:w="1195" w:type="pct"/>
            <w:tcBorders>
              <w:top w:val="single" w:sz="4" w:space="0" w:color="auto"/>
            </w:tcBorders>
            <w:shd w:val="clear" w:color="auto" w:fill="auto"/>
            <w:vAlign w:val="center"/>
          </w:tcPr>
          <w:p w:rsidR="008827B3" w:rsidRPr="00526311" w:rsidRDefault="008827B3" w:rsidP="00DC1333">
            <w:pPr>
              <w:keepNext/>
              <w:rPr>
                <w:b/>
                <w:bCs/>
                <w:sz w:val="16"/>
                <w:szCs w:val="16"/>
              </w:rPr>
            </w:pPr>
            <w:r w:rsidRPr="00526311">
              <w:rPr>
                <w:b/>
                <w:bCs/>
                <w:sz w:val="16"/>
                <w:szCs w:val="16"/>
              </w:rPr>
              <w:t>Referencia</w:t>
            </w:r>
          </w:p>
        </w:tc>
        <w:tc>
          <w:tcPr>
            <w:tcW w:w="749" w:type="pct"/>
            <w:tcBorders>
              <w:top w:val="single" w:sz="4" w:space="0" w:color="auto"/>
            </w:tcBorders>
            <w:shd w:val="clear" w:color="auto" w:fill="auto"/>
            <w:tcMar>
              <w:top w:w="110" w:type="dxa"/>
            </w:tcMar>
            <w:vAlign w:val="center"/>
          </w:tcPr>
          <w:p w:rsidR="008827B3" w:rsidRPr="00526311" w:rsidRDefault="008827B3" w:rsidP="00DC1333">
            <w:pPr>
              <w:keepNext/>
              <w:rPr>
                <w:b/>
                <w:sz w:val="16"/>
                <w:szCs w:val="16"/>
              </w:rPr>
            </w:pPr>
            <w:r w:rsidRPr="00526311">
              <w:rPr>
                <w:b/>
                <w:sz w:val="16"/>
                <w:szCs w:val="16"/>
              </w:rPr>
              <w:t>Objetivos</w:t>
            </w:r>
          </w:p>
        </w:tc>
        <w:tc>
          <w:tcPr>
            <w:tcW w:w="1341" w:type="pct"/>
            <w:gridSpan w:val="2"/>
            <w:tcBorders>
              <w:top w:val="single" w:sz="4" w:space="0" w:color="auto"/>
            </w:tcBorders>
            <w:shd w:val="clear" w:color="auto" w:fill="FFFFFF"/>
            <w:tcMar>
              <w:top w:w="110" w:type="dxa"/>
            </w:tcMar>
            <w:vAlign w:val="center"/>
          </w:tcPr>
          <w:p w:rsidR="008827B3" w:rsidRPr="00526311" w:rsidRDefault="008827B3" w:rsidP="00DC1333">
            <w:pPr>
              <w:keepNext/>
              <w:rPr>
                <w:sz w:val="16"/>
                <w:szCs w:val="16"/>
              </w:rPr>
            </w:pPr>
            <w:r w:rsidRPr="00526311">
              <w:rPr>
                <w:b/>
                <w:sz w:val="16"/>
                <w:szCs w:val="16"/>
              </w:rPr>
              <w:t>Datos sobre el rendimiento</w:t>
            </w:r>
          </w:p>
        </w:tc>
        <w:tc>
          <w:tcPr>
            <w:tcW w:w="594" w:type="pct"/>
            <w:tcBorders>
              <w:top w:val="single" w:sz="4" w:space="0" w:color="auto"/>
            </w:tcBorders>
            <w:shd w:val="clear" w:color="auto" w:fill="auto"/>
            <w:tcMar>
              <w:top w:w="110" w:type="dxa"/>
            </w:tcMar>
            <w:vAlign w:val="center"/>
          </w:tcPr>
          <w:p w:rsidR="008827B3" w:rsidRPr="00526311" w:rsidRDefault="008827B3" w:rsidP="00DC1333">
            <w:pPr>
              <w:keepNext/>
              <w:keepLines/>
              <w:jc w:val="center"/>
              <w:rPr>
                <w:b/>
                <w:bCs/>
                <w:sz w:val="16"/>
                <w:szCs w:val="16"/>
              </w:rPr>
            </w:pPr>
            <w:r w:rsidRPr="00526311">
              <w:rPr>
                <w:b/>
                <w:bCs/>
                <w:sz w:val="16"/>
                <w:szCs w:val="16"/>
              </w:rPr>
              <w:t>Clave de colores</w:t>
            </w:r>
          </w:p>
        </w:tc>
      </w:tr>
      <w:tr w:rsidR="008827B3" w:rsidRPr="00526311" w:rsidTr="00DC1333">
        <w:trPr>
          <w:cantSplit/>
        </w:trPr>
        <w:tc>
          <w:tcPr>
            <w:tcW w:w="1121" w:type="pct"/>
            <w:shd w:val="clear" w:color="auto" w:fill="auto"/>
          </w:tcPr>
          <w:p w:rsidR="008827B3" w:rsidRPr="00526311" w:rsidRDefault="008827B3" w:rsidP="00DC1333">
            <w:pPr>
              <w:keepNext/>
              <w:rPr>
                <w:sz w:val="16"/>
                <w:szCs w:val="16"/>
              </w:rPr>
            </w:pPr>
            <w:r w:rsidRPr="00526311">
              <w:rPr>
                <w:sz w:val="16"/>
                <w:szCs w:val="16"/>
              </w:rPr>
              <w:t>Número de descargas de las principales publicaciones económicas</w:t>
            </w:r>
          </w:p>
        </w:tc>
        <w:tc>
          <w:tcPr>
            <w:tcW w:w="1195" w:type="pct"/>
            <w:shd w:val="clear" w:color="auto" w:fill="auto"/>
          </w:tcPr>
          <w:p w:rsidR="008827B3" w:rsidRPr="00526311" w:rsidRDefault="008827B3" w:rsidP="00DC1333">
            <w:pPr>
              <w:keepNext/>
              <w:rPr>
                <w:sz w:val="16"/>
                <w:szCs w:val="16"/>
              </w:rPr>
            </w:pPr>
            <w:r w:rsidRPr="00526311">
              <w:rPr>
                <w:sz w:val="16"/>
                <w:szCs w:val="16"/>
              </w:rPr>
              <w:t>Por determinar a fines de 2013</w:t>
            </w:r>
          </w:p>
        </w:tc>
        <w:tc>
          <w:tcPr>
            <w:tcW w:w="749" w:type="pct"/>
            <w:shd w:val="clear" w:color="auto" w:fill="auto"/>
            <w:tcMar>
              <w:top w:w="110" w:type="dxa"/>
            </w:tcMar>
          </w:tcPr>
          <w:p w:rsidR="008827B3" w:rsidRPr="00526311" w:rsidRDefault="008827B3" w:rsidP="00DC1333">
            <w:pPr>
              <w:keepNext/>
              <w:autoSpaceDE w:val="0"/>
              <w:autoSpaceDN w:val="0"/>
              <w:adjustRightInd w:val="0"/>
              <w:rPr>
                <w:rFonts w:ascii="ArialMT" w:hAnsi="ArialMT" w:cs="ArialMT"/>
                <w:sz w:val="16"/>
                <w:szCs w:val="16"/>
              </w:rPr>
            </w:pPr>
            <w:r w:rsidRPr="00526311">
              <w:rPr>
                <w:rFonts w:ascii="ArialMT" w:hAnsi="ArialMT" w:cs="ArialMT"/>
                <w:sz w:val="16"/>
                <w:szCs w:val="16"/>
              </w:rPr>
              <w:t>Aumento del 20% respecto de 2012/13</w:t>
            </w:r>
          </w:p>
        </w:tc>
        <w:tc>
          <w:tcPr>
            <w:tcW w:w="1341" w:type="pct"/>
            <w:gridSpan w:val="2"/>
            <w:shd w:val="clear" w:color="auto" w:fill="FFFFFF"/>
            <w:tcMar>
              <w:top w:w="110" w:type="dxa"/>
            </w:tcMar>
          </w:tcPr>
          <w:p w:rsidR="008827B3" w:rsidRPr="00526311" w:rsidRDefault="008827B3" w:rsidP="00DC1333">
            <w:pPr>
              <w:keepNext/>
              <w:rPr>
                <w:sz w:val="16"/>
                <w:szCs w:val="16"/>
                <w:lang w:bidi="th-TH"/>
              </w:rPr>
            </w:pPr>
            <w:r>
              <w:rPr>
                <w:sz w:val="16"/>
                <w:szCs w:val="16"/>
                <w:lang w:bidi="th-TH"/>
              </w:rPr>
              <w:t>En 2014/15, las dos últimas versiones del Índice Mundial de Innovación (2014 y 2015):</w:t>
            </w:r>
          </w:p>
          <w:p w:rsidR="008827B3" w:rsidRPr="00A61D50" w:rsidRDefault="008827B3" w:rsidP="008827B3">
            <w:pPr>
              <w:pStyle w:val="ListParagraph"/>
              <w:keepNext/>
              <w:keepLines/>
              <w:numPr>
                <w:ilvl w:val="0"/>
                <w:numId w:val="79"/>
              </w:numPr>
              <w:rPr>
                <w:rFonts w:cs="Arial"/>
                <w:sz w:val="16"/>
                <w:szCs w:val="16"/>
                <w:lang w:val="es-ES" w:bidi="th-TH"/>
              </w:rPr>
            </w:pPr>
            <w:r w:rsidRPr="00A61D50">
              <w:rPr>
                <w:rFonts w:cs="Arial"/>
                <w:sz w:val="16"/>
                <w:szCs w:val="16"/>
                <w:lang w:val="es-ES" w:bidi="th-TH"/>
              </w:rPr>
              <w:t xml:space="preserve">fueron descargadas 123.161 </w:t>
            </w:r>
            <w:r>
              <w:rPr>
                <w:rFonts w:cs="Arial"/>
                <w:sz w:val="16"/>
                <w:szCs w:val="16"/>
                <w:lang w:val="es-ES" w:bidi="th-TH"/>
              </w:rPr>
              <w:t>veces desde la</w:t>
            </w:r>
            <w:r w:rsidRPr="00A61D50">
              <w:rPr>
                <w:rFonts w:cs="Arial"/>
                <w:sz w:val="16"/>
                <w:szCs w:val="16"/>
                <w:lang w:val="es-ES" w:bidi="th-TH"/>
              </w:rPr>
              <w:t xml:space="preserve"> </w:t>
            </w:r>
            <w:r>
              <w:rPr>
                <w:rFonts w:cs="Arial"/>
                <w:sz w:val="16"/>
                <w:szCs w:val="16"/>
                <w:lang w:val="es-ES" w:bidi="th-TH"/>
              </w:rPr>
              <w:t>página</w:t>
            </w:r>
            <w:r w:rsidRPr="00A61D50">
              <w:rPr>
                <w:rFonts w:cs="Arial"/>
                <w:sz w:val="16"/>
                <w:szCs w:val="16"/>
                <w:lang w:val="es-ES" w:bidi="th-TH"/>
              </w:rPr>
              <w:t xml:space="preserve"> del </w:t>
            </w:r>
            <w:r>
              <w:rPr>
                <w:rFonts w:cs="Arial"/>
                <w:sz w:val="16"/>
                <w:szCs w:val="16"/>
                <w:lang w:val="es-ES" w:bidi="th-TH"/>
              </w:rPr>
              <w:t>Índice</w:t>
            </w:r>
            <w:r>
              <w:rPr>
                <w:rStyle w:val="FootnoteReference"/>
                <w:rFonts w:eastAsia="SimSun" w:cs="Arial"/>
                <w:lang w:bidi="th-TH"/>
              </w:rPr>
              <w:footnoteReference w:id="95"/>
            </w:r>
            <w:r>
              <w:rPr>
                <w:rFonts w:cs="Arial"/>
                <w:sz w:val="16"/>
                <w:szCs w:val="16"/>
                <w:lang w:val="es-ES" w:bidi="th-TH"/>
              </w:rPr>
              <w:t xml:space="preserve"> en el sitio web de la OMPI, que tuvo 50.</w:t>
            </w:r>
            <w:r w:rsidRPr="00A61D50">
              <w:rPr>
                <w:rFonts w:cs="Arial"/>
                <w:sz w:val="16"/>
                <w:szCs w:val="16"/>
                <w:lang w:val="es-ES" w:bidi="th-TH"/>
              </w:rPr>
              <w:t xml:space="preserve">368 </w:t>
            </w:r>
            <w:r>
              <w:rPr>
                <w:rFonts w:cs="Arial"/>
                <w:sz w:val="16"/>
                <w:szCs w:val="16"/>
                <w:lang w:val="es-ES" w:bidi="th-TH"/>
              </w:rPr>
              <w:t>visitantes únicos</w:t>
            </w:r>
            <w:r w:rsidRPr="00A61D50">
              <w:rPr>
                <w:rFonts w:cs="Arial"/>
                <w:sz w:val="16"/>
                <w:szCs w:val="16"/>
                <w:lang w:val="es-ES" w:bidi="th-TH"/>
              </w:rPr>
              <w:t>.</w:t>
            </w:r>
          </w:p>
          <w:p w:rsidR="008827B3" w:rsidRDefault="008827B3" w:rsidP="008827B3">
            <w:pPr>
              <w:pStyle w:val="ListParagraph"/>
              <w:keepNext/>
              <w:keepLines/>
              <w:numPr>
                <w:ilvl w:val="0"/>
                <w:numId w:val="79"/>
              </w:numPr>
              <w:rPr>
                <w:sz w:val="16"/>
                <w:szCs w:val="16"/>
                <w:lang w:val="es-ES" w:bidi="th-TH"/>
              </w:rPr>
            </w:pPr>
            <w:r w:rsidRPr="00A61D50">
              <w:rPr>
                <w:rFonts w:cs="Arial"/>
                <w:sz w:val="16"/>
                <w:szCs w:val="16"/>
                <w:lang w:val="es-ES" w:bidi="th-TH"/>
              </w:rPr>
              <w:t>fue descargada 13.943 veces desde el sitio web propio del Índice</w:t>
            </w:r>
            <w:r>
              <w:rPr>
                <w:rFonts w:cs="Arial"/>
                <w:sz w:val="16"/>
                <w:szCs w:val="16"/>
                <w:lang w:val="es-ES" w:bidi="th-TH"/>
              </w:rPr>
              <w:t>,</w:t>
            </w:r>
            <w:r w:rsidRPr="00A92EAC">
              <w:rPr>
                <w:rStyle w:val="FootnoteReference"/>
                <w:rFonts w:eastAsia="SimSun" w:cs="Arial"/>
                <w:lang w:val="es-ES" w:bidi="th-TH"/>
              </w:rPr>
              <w:t xml:space="preserve"> </w:t>
            </w:r>
            <w:r>
              <w:rPr>
                <w:rStyle w:val="FootnoteReference"/>
                <w:rFonts w:eastAsia="SimSun" w:cs="Arial"/>
                <w:lang w:bidi="th-TH"/>
              </w:rPr>
              <w:footnoteReference w:id="96"/>
            </w:r>
            <w:r>
              <w:rPr>
                <w:rFonts w:cs="Arial"/>
                <w:sz w:val="16"/>
                <w:szCs w:val="16"/>
                <w:lang w:val="es-ES" w:bidi="th-TH"/>
              </w:rPr>
              <w:t xml:space="preserve"> que tuvo 300.</w:t>
            </w:r>
            <w:r w:rsidRPr="00A61D50">
              <w:rPr>
                <w:rFonts w:cs="Arial"/>
                <w:sz w:val="16"/>
                <w:szCs w:val="16"/>
                <w:lang w:val="es-ES" w:bidi="th-TH"/>
              </w:rPr>
              <w:t xml:space="preserve">283 </w:t>
            </w:r>
            <w:r>
              <w:rPr>
                <w:rFonts w:cs="Arial"/>
                <w:sz w:val="16"/>
                <w:szCs w:val="16"/>
                <w:lang w:val="es-ES" w:bidi="th-TH"/>
              </w:rPr>
              <w:t>visitantes únicos</w:t>
            </w:r>
            <w:r w:rsidRPr="00A61D50">
              <w:rPr>
                <w:rFonts w:cs="Arial"/>
                <w:sz w:val="16"/>
                <w:szCs w:val="16"/>
                <w:lang w:val="es-ES" w:bidi="th-TH"/>
              </w:rPr>
              <w:t>:</w:t>
            </w:r>
          </w:p>
          <w:p w:rsidR="008827B3" w:rsidRDefault="008827B3" w:rsidP="00DC1333">
            <w:pPr>
              <w:pStyle w:val="ListParagraph"/>
              <w:keepNext/>
              <w:keepLines/>
              <w:ind w:left="360"/>
              <w:rPr>
                <w:sz w:val="16"/>
                <w:szCs w:val="16"/>
                <w:lang w:val="es-ES" w:bidi="th-TH"/>
              </w:rPr>
            </w:pPr>
          </w:p>
          <w:p w:rsidR="008827B3" w:rsidRPr="000A1473" w:rsidRDefault="008827B3" w:rsidP="00DC1333">
            <w:pPr>
              <w:keepNext/>
              <w:rPr>
                <w:sz w:val="16"/>
                <w:szCs w:val="16"/>
                <w:lang w:bidi="th-TH"/>
              </w:rPr>
            </w:pPr>
            <w:r w:rsidRPr="000A1473">
              <w:rPr>
                <w:sz w:val="16"/>
                <w:szCs w:val="16"/>
                <w:lang w:bidi="th-TH"/>
              </w:rPr>
              <w:t xml:space="preserve">En 2014/15, el </w:t>
            </w:r>
            <w:r>
              <w:rPr>
                <w:sz w:val="16"/>
                <w:szCs w:val="16"/>
                <w:lang w:bidi="th-TH"/>
              </w:rPr>
              <w:t>ú</w:t>
            </w:r>
            <w:r w:rsidRPr="000A1473">
              <w:rPr>
                <w:sz w:val="16"/>
                <w:szCs w:val="16"/>
                <w:lang w:bidi="th-TH"/>
              </w:rPr>
              <w:t>ltimo Informe mundial sobre la P.I. (2015) (944E) fue descargado 16.218 veces en total desde el 11 de noviembre de 2015, fecha de su</w:t>
            </w:r>
            <w:r>
              <w:rPr>
                <w:sz w:val="16"/>
                <w:szCs w:val="16"/>
                <w:lang w:bidi="th-TH"/>
              </w:rPr>
              <w:t xml:space="preserve"> publicación en el sitio web de la OMPI, hasta el final de 2015</w:t>
            </w:r>
            <w:r w:rsidRPr="000A1473">
              <w:rPr>
                <w:sz w:val="16"/>
                <w:szCs w:val="16"/>
                <w:lang w:bidi="th-TH"/>
              </w:rPr>
              <w:t>.</w:t>
            </w:r>
          </w:p>
        </w:tc>
        <w:tc>
          <w:tcPr>
            <w:tcW w:w="594" w:type="pct"/>
            <w:shd w:val="clear" w:color="auto" w:fill="auto"/>
            <w:tcMar>
              <w:top w:w="110" w:type="dxa"/>
            </w:tcMar>
          </w:tcPr>
          <w:p w:rsidR="008827B3" w:rsidRDefault="008827B3" w:rsidP="00DC1333">
            <w:pPr>
              <w:keepNext/>
              <w:keepLines/>
              <w:ind w:left="-107" w:right="-107"/>
              <w:jc w:val="center"/>
              <w:rPr>
                <w:b/>
                <w:bCs/>
                <w:color w:val="A6A6A6" w:themeColor="background1" w:themeShade="A6"/>
                <w:sz w:val="16"/>
                <w:szCs w:val="16"/>
              </w:rPr>
            </w:pPr>
            <w:r w:rsidRPr="00526311">
              <w:rPr>
                <w:b/>
                <w:bCs/>
                <w:color w:val="A6A6A6" w:themeColor="background1" w:themeShade="A6"/>
                <w:sz w:val="16"/>
                <w:szCs w:val="16"/>
              </w:rPr>
              <w:t>No mensurable</w:t>
            </w:r>
          </w:p>
          <w:p w:rsidR="008827B3" w:rsidRDefault="008827B3" w:rsidP="00DC1333">
            <w:pPr>
              <w:keepNext/>
              <w:keepLines/>
              <w:ind w:left="-107" w:right="-107"/>
              <w:jc w:val="center"/>
              <w:rPr>
                <w:b/>
                <w:bCs/>
                <w:color w:val="A6A6A6" w:themeColor="background1" w:themeShade="A6"/>
                <w:sz w:val="16"/>
                <w:szCs w:val="16"/>
              </w:rPr>
            </w:pPr>
          </w:p>
          <w:p w:rsidR="008827B3" w:rsidRDefault="008827B3" w:rsidP="00DC1333">
            <w:pPr>
              <w:keepNext/>
              <w:keepLines/>
              <w:ind w:left="-107" w:right="-107"/>
              <w:jc w:val="center"/>
              <w:rPr>
                <w:b/>
                <w:bCs/>
                <w:color w:val="A6A6A6" w:themeColor="background1" w:themeShade="A6"/>
                <w:sz w:val="16"/>
                <w:szCs w:val="16"/>
              </w:rPr>
            </w:pPr>
          </w:p>
          <w:p w:rsidR="008827B3" w:rsidRDefault="008827B3" w:rsidP="00DC1333">
            <w:pPr>
              <w:keepNext/>
              <w:keepLines/>
              <w:ind w:left="-107" w:right="-107"/>
              <w:jc w:val="center"/>
              <w:rPr>
                <w:b/>
                <w:bCs/>
                <w:color w:val="A6A6A6" w:themeColor="background1" w:themeShade="A6"/>
                <w:sz w:val="16"/>
                <w:szCs w:val="16"/>
              </w:rPr>
            </w:pPr>
          </w:p>
          <w:p w:rsidR="008827B3" w:rsidRDefault="008827B3" w:rsidP="00DC1333">
            <w:pPr>
              <w:keepNext/>
              <w:keepLines/>
              <w:ind w:left="-107" w:right="-107"/>
              <w:jc w:val="center"/>
              <w:rPr>
                <w:b/>
                <w:bCs/>
                <w:color w:val="A6A6A6" w:themeColor="background1" w:themeShade="A6"/>
                <w:sz w:val="16"/>
                <w:szCs w:val="16"/>
              </w:rPr>
            </w:pPr>
          </w:p>
          <w:p w:rsidR="008827B3" w:rsidRDefault="008827B3" w:rsidP="00DC1333">
            <w:pPr>
              <w:keepNext/>
              <w:keepLines/>
              <w:ind w:left="-107" w:right="-107"/>
              <w:jc w:val="center"/>
              <w:rPr>
                <w:b/>
                <w:bCs/>
                <w:color w:val="A6A6A6" w:themeColor="background1" w:themeShade="A6"/>
                <w:sz w:val="16"/>
                <w:szCs w:val="16"/>
              </w:rPr>
            </w:pPr>
          </w:p>
          <w:p w:rsidR="008827B3" w:rsidRDefault="008827B3" w:rsidP="00DC1333">
            <w:pPr>
              <w:keepNext/>
              <w:keepLines/>
              <w:ind w:left="-107" w:right="-107"/>
              <w:jc w:val="center"/>
              <w:rPr>
                <w:b/>
                <w:bCs/>
                <w:color w:val="A6A6A6" w:themeColor="background1" w:themeShade="A6"/>
                <w:sz w:val="16"/>
                <w:szCs w:val="16"/>
              </w:rPr>
            </w:pPr>
          </w:p>
          <w:p w:rsidR="008827B3" w:rsidRDefault="008827B3" w:rsidP="00DC1333">
            <w:pPr>
              <w:keepNext/>
              <w:keepLines/>
              <w:ind w:left="-107" w:right="-107"/>
              <w:jc w:val="center"/>
              <w:rPr>
                <w:b/>
                <w:bCs/>
                <w:color w:val="A6A6A6" w:themeColor="background1" w:themeShade="A6"/>
                <w:sz w:val="16"/>
                <w:szCs w:val="16"/>
              </w:rPr>
            </w:pPr>
          </w:p>
          <w:p w:rsidR="008827B3" w:rsidRDefault="008827B3" w:rsidP="00DC1333">
            <w:pPr>
              <w:keepNext/>
              <w:keepLines/>
              <w:ind w:left="-107" w:right="-107"/>
              <w:jc w:val="center"/>
              <w:rPr>
                <w:b/>
                <w:bCs/>
                <w:color w:val="A6A6A6" w:themeColor="background1" w:themeShade="A6"/>
                <w:sz w:val="16"/>
                <w:szCs w:val="16"/>
              </w:rPr>
            </w:pPr>
          </w:p>
          <w:p w:rsidR="008827B3" w:rsidRDefault="008827B3" w:rsidP="00DC1333">
            <w:pPr>
              <w:keepNext/>
              <w:keepLines/>
              <w:ind w:left="-107" w:right="-107"/>
              <w:jc w:val="center"/>
              <w:rPr>
                <w:b/>
                <w:bCs/>
                <w:color w:val="A6A6A6" w:themeColor="background1" w:themeShade="A6"/>
                <w:sz w:val="16"/>
                <w:szCs w:val="16"/>
              </w:rPr>
            </w:pPr>
          </w:p>
          <w:p w:rsidR="008827B3" w:rsidRDefault="008827B3" w:rsidP="00DC1333">
            <w:pPr>
              <w:keepNext/>
              <w:keepLines/>
              <w:ind w:left="-107" w:right="-107"/>
              <w:jc w:val="center"/>
              <w:rPr>
                <w:b/>
                <w:bCs/>
                <w:color w:val="A6A6A6" w:themeColor="background1" w:themeShade="A6"/>
                <w:sz w:val="16"/>
                <w:szCs w:val="16"/>
              </w:rPr>
            </w:pPr>
          </w:p>
          <w:p w:rsidR="008827B3" w:rsidRDefault="008827B3" w:rsidP="00DC1333">
            <w:pPr>
              <w:keepNext/>
              <w:keepLines/>
              <w:ind w:left="-107" w:right="-107"/>
              <w:jc w:val="center"/>
              <w:rPr>
                <w:b/>
                <w:bCs/>
                <w:color w:val="A6A6A6" w:themeColor="background1" w:themeShade="A6"/>
                <w:sz w:val="16"/>
                <w:szCs w:val="16"/>
              </w:rPr>
            </w:pPr>
          </w:p>
          <w:p w:rsidR="008827B3" w:rsidRDefault="008827B3" w:rsidP="00DC1333">
            <w:pPr>
              <w:keepNext/>
              <w:keepLines/>
              <w:ind w:left="-107" w:right="-107"/>
              <w:jc w:val="center"/>
              <w:rPr>
                <w:b/>
                <w:bCs/>
                <w:color w:val="A6A6A6" w:themeColor="background1" w:themeShade="A6"/>
                <w:sz w:val="16"/>
                <w:szCs w:val="16"/>
              </w:rPr>
            </w:pPr>
          </w:p>
          <w:p w:rsidR="008827B3" w:rsidRDefault="008827B3" w:rsidP="00DC1333">
            <w:pPr>
              <w:keepNext/>
              <w:keepLines/>
              <w:ind w:left="-107" w:right="-107"/>
              <w:jc w:val="center"/>
              <w:rPr>
                <w:b/>
                <w:bCs/>
                <w:color w:val="A6A6A6" w:themeColor="background1" w:themeShade="A6"/>
                <w:sz w:val="16"/>
                <w:szCs w:val="16"/>
              </w:rPr>
            </w:pPr>
          </w:p>
          <w:p w:rsidR="008827B3" w:rsidRPr="00526311" w:rsidRDefault="008827B3" w:rsidP="00DC1333">
            <w:pPr>
              <w:keepNext/>
              <w:keepLines/>
              <w:ind w:left="-107" w:right="-107"/>
              <w:jc w:val="center"/>
              <w:rPr>
                <w:bCs/>
                <w:sz w:val="16"/>
                <w:szCs w:val="16"/>
              </w:rPr>
            </w:pPr>
            <w:r w:rsidRPr="00526311">
              <w:rPr>
                <w:b/>
                <w:bCs/>
                <w:color w:val="A6A6A6" w:themeColor="background1" w:themeShade="A6"/>
                <w:sz w:val="16"/>
                <w:szCs w:val="16"/>
              </w:rPr>
              <w:t>No mensurable</w:t>
            </w:r>
          </w:p>
        </w:tc>
      </w:tr>
      <w:tr w:rsidR="008827B3" w:rsidRPr="00526311" w:rsidTr="00DC1333">
        <w:trPr>
          <w:cantSplit/>
          <w:trHeight w:val="1567"/>
        </w:trPr>
        <w:tc>
          <w:tcPr>
            <w:tcW w:w="1121" w:type="pct"/>
            <w:shd w:val="clear" w:color="auto" w:fill="auto"/>
          </w:tcPr>
          <w:p w:rsidR="008827B3" w:rsidRPr="00526311" w:rsidRDefault="008827B3" w:rsidP="00DC1333">
            <w:pPr>
              <w:rPr>
                <w:sz w:val="16"/>
                <w:szCs w:val="16"/>
              </w:rPr>
            </w:pPr>
            <w:r w:rsidRPr="00526311">
              <w:rPr>
                <w:sz w:val="16"/>
                <w:szCs w:val="16"/>
              </w:rPr>
              <w:t>Número de descargas de estudios</w:t>
            </w:r>
          </w:p>
        </w:tc>
        <w:tc>
          <w:tcPr>
            <w:tcW w:w="1195" w:type="pct"/>
            <w:shd w:val="clear" w:color="auto" w:fill="auto"/>
          </w:tcPr>
          <w:p w:rsidR="008827B3" w:rsidRPr="00526311" w:rsidRDefault="008827B3" w:rsidP="00DC1333">
            <w:pPr>
              <w:rPr>
                <w:i/>
                <w:color w:val="002060"/>
                <w:sz w:val="16"/>
                <w:szCs w:val="16"/>
              </w:rPr>
            </w:pPr>
            <w:r w:rsidRPr="00526311">
              <w:rPr>
                <w:i/>
                <w:color w:val="002060"/>
                <w:sz w:val="16"/>
                <w:szCs w:val="16"/>
              </w:rPr>
              <w:t xml:space="preserve">Referencia actualizada a fines de 2013: </w:t>
            </w:r>
          </w:p>
          <w:p w:rsidR="008827B3" w:rsidRPr="00526311" w:rsidRDefault="008827B3" w:rsidP="00DC1333">
            <w:pPr>
              <w:autoSpaceDE w:val="0"/>
              <w:autoSpaceDN w:val="0"/>
              <w:adjustRightInd w:val="0"/>
              <w:rPr>
                <w:color w:val="002060"/>
                <w:sz w:val="16"/>
                <w:szCs w:val="16"/>
              </w:rPr>
            </w:pPr>
            <w:r w:rsidRPr="00526311">
              <w:rPr>
                <w:color w:val="002060"/>
                <w:sz w:val="16"/>
                <w:szCs w:val="16"/>
              </w:rPr>
              <w:t xml:space="preserve">7 documentos de trabajo publicados en 2013 </w:t>
            </w:r>
          </w:p>
          <w:p w:rsidR="008827B3" w:rsidRPr="00526311" w:rsidRDefault="008827B3" w:rsidP="00DC1333">
            <w:pPr>
              <w:rPr>
                <w:i/>
                <w:sz w:val="8"/>
                <w:szCs w:val="8"/>
              </w:rPr>
            </w:pPr>
          </w:p>
          <w:p w:rsidR="008827B3" w:rsidRPr="00526311" w:rsidRDefault="008827B3" w:rsidP="00DC1333">
            <w:pPr>
              <w:autoSpaceDE w:val="0"/>
              <w:autoSpaceDN w:val="0"/>
              <w:adjustRightInd w:val="0"/>
              <w:rPr>
                <w:color w:val="002060"/>
                <w:sz w:val="16"/>
                <w:szCs w:val="16"/>
              </w:rPr>
            </w:pPr>
            <w:r w:rsidRPr="00526311">
              <w:rPr>
                <w:i/>
                <w:sz w:val="16"/>
                <w:szCs w:val="16"/>
              </w:rPr>
              <w:t xml:space="preserve">Referencia original en el presupuesto de 2014/15: </w:t>
            </w:r>
            <w:r w:rsidRPr="00526311">
              <w:rPr>
                <w:sz w:val="16"/>
                <w:szCs w:val="16"/>
              </w:rPr>
              <w:t>por determinar a fines de 2013</w:t>
            </w:r>
          </w:p>
        </w:tc>
        <w:tc>
          <w:tcPr>
            <w:tcW w:w="749" w:type="pct"/>
            <w:shd w:val="clear" w:color="auto" w:fill="auto"/>
            <w:tcMar>
              <w:top w:w="110" w:type="dxa"/>
            </w:tcMar>
          </w:tcPr>
          <w:p w:rsidR="008827B3" w:rsidRPr="00526311" w:rsidRDefault="008827B3" w:rsidP="00DC1333">
            <w:pPr>
              <w:autoSpaceDE w:val="0"/>
              <w:autoSpaceDN w:val="0"/>
              <w:adjustRightInd w:val="0"/>
              <w:rPr>
                <w:rFonts w:ascii="ArialMT" w:hAnsi="ArialMT" w:cs="ArialMT"/>
                <w:sz w:val="16"/>
                <w:szCs w:val="16"/>
              </w:rPr>
            </w:pPr>
            <w:r w:rsidRPr="00526311">
              <w:rPr>
                <w:rFonts w:ascii="ArialMT" w:hAnsi="ArialMT" w:cs="ArialMT"/>
                <w:sz w:val="16"/>
                <w:szCs w:val="16"/>
              </w:rPr>
              <w:t>Ocho nuevos documentos de trabajo</w:t>
            </w:r>
          </w:p>
          <w:p w:rsidR="008827B3" w:rsidRPr="00526311" w:rsidRDefault="008827B3" w:rsidP="00DC1333">
            <w:pPr>
              <w:autoSpaceDE w:val="0"/>
              <w:autoSpaceDN w:val="0"/>
              <w:adjustRightInd w:val="0"/>
              <w:rPr>
                <w:rFonts w:ascii="ArialMT" w:hAnsi="ArialMT" w:cs="ArialMT"/>
                <w:sz w:val="16"/>
                <w:szCs w:val="16"/>
              </w:rPr>
            </w:pPr>
          </w:p>
          <w:p w:rsidR="008827B3" w:rsidRPr="00526311" w:rsidRDefault="008827B3" w:rsidP="00DC1333">
            <w:pPr>
              <w:autoSpaceDE w:val="0"/>
              <w:autoSpaceDN w:val="0"/>
              <w:adjustRightInd w:val="0"/>
              <w:rPr>
                <w:rFonts w:ascii="ArialMT" w:hAnsi="ArialMT" w:cs="ArialMT"/>
                <w:sz w:val="16"/>
                <w:szCs w:val="16"/>
              </w:rPr>
            </w:pPr>
          </w:p>
        </w:tc>
        <w:tc>
          <w:tcPr>
            <w:tcW w:w="1341" w:type="pct"/>
            <w:gridSpan w:val="2"/>
            <w:shd w:val="clear" w:color="auto" w:fill="FFFFFF"/>
            <w:tcMar>
              <w:top w:w="110" w:type="dxa"/>
            </w:tcMar>
          </w:tcPr>
          <w:p w:rsidR="008827B3" w:rsidRPr="00526311" w:rsidRDefault="008827B3" w:rsidP="00DC1333">
            <w:r w:rsidRPr="00526311">
              <w:rPr>
                <w:rFonts w:ascii="ArialMT" w:hAnsi="ArialMT" w:cs="ArialMT"/>
                <w:sz w:val="16"/>
                <w:szCs w:val="16"/>
              </w:rPr>
              <w:t>11 documentos de trabajo publicados en 2014</w:t>
            </w:r>
            <w:r>
              <w:rPr>
                <w:rFonts w:ascii="ArialMT" w:hAnsi="ArialMT" w:cs="ArialMT"/>
                <w:sz w:val="16"/>
                <w:szCs w:val="16"/>
              </w:rPr>
              <w:t>;  6 documentos de trabajo publicados en 2015</w:t>
            </w:r>
          </w:p>
        </w:tc>
        <w:tc>
          <w:tcPr>
            <w:tcW w:w="594" w:type="pct"/>
            <w:shd w:val="clear" w:color="auto" w:fill="auto"/>
            <w:tcMar>
              <w:top w:w="110" w:type="dxa"/>
            </w:tcMar>
          </w:tcPr>
          <w:p w:rsidR="008827B3" w:rsidRPr="00526311" w:rsidRDefault="008827B3" w:rsidP="00DC1333">
            <w:pPr>
              <w:keepNext/>
              <w:keepLines/>
              <w:ind w:left="-107"/>
              <w:jc w:val="center"/>
              <w:rPr>
                <w:bCs/>
                <w:sz w:val="16"/>
                <w:szCs w:val="16"/>
              </w:rPr>
            </w:pPr>
            <w:r>
              <w:rPr>
                <w:b/>
                <w:bCs/>
                <w:color w:val="00B050"/>
                <w:sz w:val="16"/>
                <w:szCs w:val="16"/>
              </w:rPr>
              <w:t>Plenamente logrado</w:t>
            </w:r>
          </w:p>
        </w:tc>
      </w:tr>
      <w:tr w:rsidR="008827B3" w:rsidRPr="00526311" w:rsidTr="00DC1333">
        <w:trPr>
          <w:cantSplit/>
        </w:trPr>
        <w:tc>
          <w:tcPr>
            <w:tcW w:w="1121" w:type="pct"/>
            <w:shd w:val="clear" w:color="auto" w:fill="auto"/>
          </w:tcPr>
          <w:p w:rsidR="008827B3" w:rsidRPr="00526311" w:rsidRDefault="008827B3" w:rsidP="00DC1333">
            <w:pPr>
              <w:rPr>
                <w:sz w:val="16"/>
                <w:szCs w:val="16"/>
              </w:rPr>
            </w:pPr>
            <w:r w:rsidRPr="00526311">
              <w:rPr>
                <w:sz w:val="16"/>
                <w:szCs w:val="16"/>
              </w:rPr>
              <w:t>Número de descargas de seminarios</w:t>
            </w:r>
          </w:p>
        </w:tc>
        <w:tc>
          <w:tcPr>
            <w:tcW w:w="1195" w:type="pct"/>
            <w:shd w:val="clear" w:color="auto" w:fill="auto"/>
          </w:tcPr>
          <w:p w:rsidR="008827B3" w:rsidRPr="00526311" w:rsidRDefault="008827B3" w:rsidP="00DC1333">
            <w:pPr>
              <w:rPr>
                <w:i/>
                <w:color w:val="002060"/>
                <w:sz w:val="16"/>
                <w:szCs w:val="16"/>
              </w:rPr>
            </w:pPr>
            <w:r w:rsidRPr="00526311">
              <w:rPr>
                <w:i/>
                <w:color w:val="002060"/>
                <w:sz w:val="16"/>
                <w:szCs w:val="16"/>
              </w:rPr>
              <w:t>Referencia actualizada a fines de 2013</w:t>
            </w:r>
            <w:proofErr w:type="gramStart"/>
            <w:r w:rsidRPr="00526311">
              <w:rPr>
                <w:i/>
                <w:color w:val="002060"/>
                <w:sz w:val="16"/>
                <w:szCs w:val="16"/>
              </w:rPr>
              <w:t xml:space="preserve">:  </w:t>
            </w:r>
            <w:proofErr w:type="spellStart"/>
            <w:r w:rsidRPr="00526311">
              <w:rPr>
                <w:i/>
                <w:color w:val="002060"/>
                <w:sz w:val="16"/>
                <w:szCs w:val="16"/>
              </w:rPr>
              <w:t>n.d</w:t>
            </w:r>
            <w:proofErr w:type="spellEnd"/>
            <w:proofErr w:type="gramEnd"/>
            <w:r w:rsidRPr="00526311">
              <w:rPr>
                <w:i/>
                <w:color w:val="002060"/>
                <w:sz w:val="16"/>
                <w:szCs w:val="16"/>
              </w:rPr>
              <w:t>.</w:t>
            </w:r>
          </w:p>
          <w:p w:rsidR="008827B3" w:rsidRPr="00526311" w:rsidRDefault="008827B3" w:rsidP="00DC1333">
            <w:pPr>
              <w:rPr>
                <w:i/>
                <w:sz w:val="8"/>
                <w:szCs w:val="8"/>
              </w:rPr>
            </w:pPr>
          </w:p>
          <w:p w:rsidR="008827B3" w:rsidRPr="00526311" w:rsidRDefault="008827B3" w:rsidP="00DC1333">
            <w:pPr>
              <w:rPr>
                <w:i/>
                <w:color w:val="002060"/>
                <w:sz w:val="16"/>
                <w:szCs w:val="16"/>
              </w:rPr>
            </w:pPr>
            <w:r w:rsidRPr="00526311">
              <w:rPr>
                <w:i/>
                <w:sz w:val="16"/>
                <w:szCs w:val="16"/>
              </w:rPr>
              <w:t xml:space="preserve">Referencia original en el presupuesto de 2014/15: </w:t>
            </w:r>
            <w:r w:rsidRPr="00526311">
              <w:rPr>
                <w:sz w:val="16"/>
                <w:szCs w:val="16"/>
              </w:rPr>
              <w:t>por determinar a fines de 2013</w:t>
            </w:r>
            <w:r w:rsidRPr="00526311">
              <w:rPr>
                <w:sz w:val="16"/>
                <w:szCs w:val="16"/>
              </w:rPr>
              <w:br/>
            </w:r>
          </w:p>
        </w:tc>
        <w:tc>
          <w:tcPr>
            <w:tcW w:w="749" w:type="pct"/>
            <w:shd w:val="clear" w:color="auto" w:fill="auto"/>
            <w:tcMar>
              <w:top w:w="110" w:type="dxa"/>
            </w:tcMar>
          </w:tcPr>
          <w:p w:rsidR="008827B3" w:rsidRPr="00526311" w:rsidRDefault="008827B3" w:rsidP="00DC1333">
            <w:pPr>
              <w:autoSpaceDE w:val="0"/>
              <w:autoSpaceDN w:val="0"/>
              <w:adjustRightInd w:val="0"/>
              <w:rPr>
                <w:rFonts w:ascii="ArialMT" w:hAnsi="ArialMT" w:cs="ArialMT"/>
                <w:sz w:val="16"/>
                <w:szCs w:val="16"/>
              </w:rPr>
            </w:pPr>
            <w:r w:rsidRPr="00526311">
              <w:rPr>
                <w:rFonts w:ascii="ArialMT" w:hAnsi="ArialMT" w:cs="ArialMT"/>
                <w:sz w:val="16"/>
                <w:szCs w:val="16"/>
              </w:rPr>
              <w:t>Mantenimiento del rendimiento del bienio anterior</w:t>
            </w:r>
          </w:p>
          <w:p w:rsidR="008827B3" w:rsidRPr="00526311" w:rsidRDefault="008827B3" w:rsidP="00DC1333">
            <w:pPr>
              <w:autoSpaceDE w:val="0"/>
              <w:autoSpaceDN w:val="0"/>
              <w:adjustRightInd w:val="0"/>
              <w:rPr>
                <w:rFonts w:ascii="ArialMT" w:hAnsi="ArialMT" w:cs="ArialMT"/>
                <w:sz w:val="16"/>
                <w:szCs w:val="16"/>
              </w:rPr>
            </w:pPr>
          </w:p>
          <w:p w:rsidR="008827B3" w:rsidRPr="00526311" w:rsidRDefault="008827B3" w:rsidP="00DC1333">
            <w:pPr>
              <w:autoSpaceDE w:val="0"/>
              <w:autoSpaceDN w:val="0"/>
              <w:adjustRightInd w:val="0"/>
              <w:rPr>
                <w:rFonts w:ascii="ArialMT" w:hAnsi="ArialMT" w:cs="ArialMT"/>
                <w:sz w:val="16"/>
                <w:szCs w:val="16"/>
              </w:rPr>
            </w:pPr>
          </w:p>
        </w:tc>
        <w:tc>
          <w:tcPr>
            <w:tcW w:w="1341" w:type="pct"/>
            <w:gridSpan w:val="2"/>
            <w:shd w:val="clear" w:color="auto" w:fill="FFFFFF"/>
            <w:tcMar>
              <w:top w:w="110" w:type="dxa"/>
            </w:tcMar>
          </w:tcPr>
          <w:p w:rsidR="008827B3" w:rsidRPr="00526311" w:rsidRDefault="008827B3" w:rsidP="00DC1333">
            <w:pPr>
              <w:rPr>
                <w:rFonts w:ascii="ArialMT" w:hAnsi="ArialMT" w:cs="ArialMT"/>
                <w:sz w:val="16"/>
                <w:szCs w:val="16"/>
              </w:rPr>
            </w:pPr>
            <w:r w:rsidRPr="00526311">
              <w:rPr>
                <w:rFonts w:ascii="ArialMT" w:hAnsi="ArialMT" w:cs="ArialMT"/>
                <w:sz w:val="16"/>
                <w:szCs w:val="16"/>
              </w:rPr>
              <w:t>No se dispone de datos.</w:t>
            </w:r>
          </w:p>
        </w:tc>
        <w:tc>
          <w:tcPr>
            <w:tcW w:w="594" w:type="pct"/>
            <w:shd w:val="clear" w:color="auto" w:fill="auto"/>
            <w:tcMar>
              <w:top w:w="110" w:type="dxa"/>
            </w:tcMar>
          </w:tcPr>
          <w:p w:rsidR="008827B3" w:rsidRPr="00526311" w:rsidRDefault="00044DA1" w:rsidP="00DC1333">
            <w:pPr>
              <w:keepNext/>
              <w:keepLines/>
              <w:ind w:left="-107" w:right="-107"/>
              <w:jc w:val="center"/>
              <w:rPr>
                <w:b/>
                <w:bCs/>
                <w:sz w:val="14"/>
                <w:szCs w:val="14"/>
              </w:rPr>
            </w:pPr>
            <w:r>
              <w:rPr>
                <w:b/>
                <w:bCs/>
                <w:sz w:val="14"/>
                <w:szCs w:val="14"/>
              </w:rPr>
              <w:t>Discontinuado</w:t>
            </w:r>
          </w:p>
        </w:tc>
      </w:tr>
    </w:tbl>
    <w:p w:rsidR="008827B3" w:rsidRPr="00526311" w:rsidRDefault="008827B3" w:rsidP="00DC1333">
      <w:pPr>
        <w:jc w:val="both"/>
        <w:rPr>
          <w:bCs/>
          <w:szCs w:val="22"/>
        </w:rPr>
      </w:pPr>
    </w:p>
    <w:p w:rsidR="008827B3" w:rsidRPr="00526311" w:rsidRDefault="008827B3" w:rsidP="00DC1333"/>
    <w:p w:rsidR="008827B3" w:rsidRPr="003E047D" w:rsidRDefault="008F7CBE" w:rsidP="00DC1333">
      <w:pPr>
        <w:jc w:val="both"/>
        <w:rPr>
          <w:color w:val="000000"/>
          <w:szCs w:val="22"/>
        </w:rPr>
      </w:pPr>
      <w:r w:rsidRPr="008F7CBE">
        <w:rPr>
          <w:color w:val="000000"/>
          <w:sz w:val="20"/>
          <w:szCs w:val="22"/>
        </w:rPr>
        <w:t>INFORMACIÓN SOBRE LOS RIESGOS PLANTEADOS EN EL BIENIO</w:t>
      </w:r>
    </w:p>
    <w:p w:rsidR="008827B3" w:rsidRDefault="008827B3" w:rsidP="00DC1333">
      <w:pPr>
        <w:keepNext/>
        <w:keepLines/>
      </w:pPr>
    </w:p>
    <w:tbl>
      <w:tblPr>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343"/>
        <w:gridCol w:w="2191"/>
        <w:gridCol w:w="2272"/>
        <w:gridCol w:w="2657"/>
      </w:tblGrid>
      <w:tr w:rsidR="008827B3" w:rsidRPr="006F2712" w:rsidTr="00DC1333">
        <w:trPr>
          <w:trHeight w:val="380"/>
        </w:trPr>
        <w:tc>
          <w:tcPr>
            <w:tcW w:w="2390" w:type="dxa"/>
            <w:tcBorders>
              <w:top w:val="single" w:sz="4" w:space="0" w:color="auto"/>
              <w:bottom w:val="single" w:sz="4" w:space="0" w:color="auto"/>
            </w:tcBorders>
            <w:shd w:val="clear" w:color="auto" w:fill="C6D9F1" w:themeFill="text2" w:themeFillTint="33"/>
            <w:tcMar>
              <w:top w:w="113" w:type="dxa"/>
              <w:bottom w:w="85" w:type="dxa"/>
            </w:tcMar>
            <w:vAlign w:val="center"/>
          </w:tcPr>
          <w:p w:rsidR="008827B3" w:rsidRPr="004520ED" w:rsidRDefault="008827B3" w:rsidP="00DC1333">
            <w:pPr>
              <w:autoSpaceDE w:val="0"/>
              <w:autoSpaceDN w:val="0"/>
              <w:adjustRightInd w:val="0"/>
              <w:ind w:right="-59"/>
              <w:jc w:val="center"/>
              <w:rPr>
                <w:b/>
                <w:bCs/>
                <w:iCs/>
                <w:sz w:val="18"/>
                <w:szCs w:val="18"/>
              </w:rPr>
            </w:pPr>
            <w:r w:rsidRPr="00D10B62">
              <w:rPr>
                <w:b/>
                <w:bCs/>
                <w:iCs/>
                <w:sz w:val="18"/>
                <w:szCs w:val="18"/>
              </w:rPr>
              <w:t>Riesgos en el logro de los resultados del programa</w:t>
            </w:r>
          </w:p>
        </w:tc>
        <w:tc>
          <w:tcPr>
            <w:tcW w:w="2230" w:type="dxa"/>
            <w:tcBorders>
              <w:top w:val="single" w:sz="4" w:space="0" w:color="auto"/>
              <w:bottom w:val="single" w:sz="4" w:space="0" w:color="auto"/>
            </w:tcBorders>
            <w:shd w:val="clear" w:color="auto" w:fill="C6D9F1" w:themeFill="text2" w:themeFillTint="33"/>
            <w:tcMar>
              <w:top w:w="113" w:type="dxa"/>
              <w:bottom w:w="85" w:type="dxa"/>
            </w:tcMar>
            <w:vAlign w:val="center"/>
          </w:tcPr>
          <w:p w:rsidR="008827B3" w:rsidRPr="004520ED" w:rsidRDefault="008827B3" w:rsidP="00DC1333">
            <w:pPr>
              <w:autoSpaceDE w:val="0"/>
              <w:autoSpaceDN w:val="0"/>
              <w:adjustRightInd w:val="0"/>
              <w:ind w:right="-59"/>
              <w:jc w:val="center"/>
              <w:rPr>
                <w:b/>
                <w:bCs/>
                <w:iCs/>
                <w:sz w:val="18"/>
                <w:szCs w:val="18"/>
              </w:rPr>
            </w:pPr>
            <w:r w:rsidRPr="00D10B62">
              <w:rPr>
                <w:b/>
                <w:bCs/>
                <w:iCs/>
                <w:sz w:val="18"/>
                <w:szCs w:val="18"/>
              </w:rPr>
              <w:t>Planes de mitigación ejecutados o en ejecución</w:t>
            </w:r>
          </w:p>
        </w:tc>
        <w:tc>
          <w:tcPr>
            <w:tcW w:w="2310" w:type="dxa"/>
            <w:tcBorders>
              <w:top w:val="single" w:sz="4" w:space="0" w:color="auto"/>
              <w:bottom w:val="single" w:sz="4" w:space="0" w:color="auto"/>
            </w:tcBorders>
            <w:shd w:val="clear" w:color="auto" w:fill="C6D9F1" w:themeFill="text2" w:themeFillTint="33"/>
          </w:tcPr>
          <w:p w:rsidR="008827B3" w:rsidRPr="004520ED" w:rsidRDefault="008827B3" w:rsidP="00DC1333">
            <w:pPr>
              <w:jc w:val="center"/>
              <w:rPr>
                <w:b/>
                <w:bCs/>
                <w:sz w:val="18"/>
                <w:szCs w:val="18"/>
              </w:rPr>
            </w:pPr>
            <w:r w:rsidRPr="00D10B62">
              <w:rPr>
                <w:b/>
                <w:bCs/>
                <w:iCs/>
                <w:sz w:val="18"/>
                <w:szCs w:val="18"/>
              </w:rPr>
              <w:t>Evolución de los riesgos y estrategias de mitigación durante el bienio</w:t>
            </w:r>
          </w:p>
        </w:tc>
        <w:tc>
          <w:tcPr>
            <w:tcW w:w="2709" w:type="dxa"/>
            <w:tcBorders>
              <w:top w:val="single" w:sz="4" w:space="0" w:color="auto"/>
              <w:bottom w:val="single" w:sz="4" w:space="0" w:color="auto"/>
            </w:tcBorders>
            <w:shd w:val="clear" w:color="auto" w:fill="C6D9F1" w:themeFill="text2" w:themeFillTint="33"/>
          </w:tcPr>
          <w:p w:rsidR="008827B3" w:rsidRPr="006F2712" w:rsidRDefault="008827B3" w:rsidP="00DC1333">
            <w:pPr>
              <w:jc w:val="center"/>
              <w:rPr>
                <w:b/>
                <w:bCs/>
                <w:sz w:val="18"/>
                <w:szCs w:val="18"/>
              </w:rPr>
            </w:pPr>
            <w:r w:rsidRPr="004520ED">
              <w:rPr>
                <w:b/>
                <w:bCs/>
                <w:sz w:val="18"/>
                <w:szCs w:val="18"/>
              </w:rPr>
              <w:t>Incidencia en el rendimiento del programa</w:t>
            </w:r>
          </w:p>
        </w:tc>
      </w:tr>
      <w:tr w:rsidR="008827B3" w:rsidRPr="00CF1EA8" w:rsidTr="00DC1333">
        <w:trPr>
          <w:trHeight w:val="789"/>
        </w:trPr>
        <w:tc>
          <w:tcPr>
            <w:tcW w:w="2390" w:type="dxa"/>
            <w:tcBorders>
              <w:top w:val="single" w:sz="4" w:space="0" w:color="auto"/>
            </w:tcBorders>
            <w:shd w:val="clear" w:color="auto" w:fill="auto"/>
            <w:tcMar>
              <w:top w:w="113" w:type="dxa"/>
              <w:bottom w:w="85" w:type="dxa"/>
            </w:tcMar>
          </w:tcPr>
          <w:p w:rsidR="008827B3" w:rsidRPr="006F2712" w:rsidRDefault="008827B3" w:rsidP="00DC1333">
            <w:pPr>
              <w:autoSpaceDE w:val="0"/>
              <w:autoSpaceDN w:val="0"/>
              <w:adjustRightInd w:val="0"/>
              <w:ind w:right="-59"/>
              <w:rPr>
                <w:sz w:val="16"/>
                <w:szCs w:val="16"/>
              </w:rPr>
            </w:pPr>
            <w:r w:rsidRPr="006F2712">
              <w:rPr>
                <w:bCs/>
                <w:sz w:val="16"/>
                <w:szCs w:val="16"/>
              </w:rPr>
              <w:t xml:space="preserve">Los Estados miembros no se encuentran en condiciones de responder o </w:t>
            </w:r>
            <w:r>
              <w:rPr>
                <w:bCs/>
                <w:sz w:val="16"/>
                <w:szCs w:val="16"/>
              </w:rPr>
              <w:t>responden</w:t>
            </w:r>
            <w:r w:rsidRPr="006F2712">
              <w:rPr>
                <w:bCs/>
                <w:sz w:val="16"/>
                <w:szCs w:val="16"/>
              </w:rPr>
              <w:t xml:space="preserve"> tarde a la encuest</w:t>
            </w:r>
            <w:r>
              <w:rPr>
                <w:bCs/>
                <w:sz w:val="16"/>
                <w:szCs w:val="16"/>
              </w:rPr>
              <w:t>a sobre estadísticas de la OMPI</w:t>
            </w:r>
            <w:r w:rsidRPr="006F2712">
              <w:rPr>
                <w:bCs/>
                <w:sz w:val="16"/>
                <w:szCs w:val="16"/>
              </w:rPr>
              <w:t>.</w:t>
            </w:r>
          </w:p>
        </w:tc>
        <w:tc>
          <w:tcPr>
            <w:tcW w:w="2230" w:type="dxa"/>
            <w:tcBorders>
              <w:top w:val="single" w:sz="4" w:space="0" w:color="auto"/>
            </w:tcBorders>
            <w:shd w:val="clear" w:color="auto" w:fill="auto"/>
            <w:tcMar>
              <w:top w:w="113" w:type="dxa"/>
              <w:bottom w:w="85" w:type="dxa"/>
            </w:tcMar>
          </w:tcPr>
          <w:p w:rsidR="008827B3" w:rsidRPr="006F2712" w:rsidRDefault="008827B3" w:rsidP="00DC1333">
            <w:pPr>
              <w:autoSpaceDE w:val="0"/>
              <w:autoSpaceDN w:val="0"/>
              <w:adjustRightInd w:val="0"/>
              <w:ind w:right="-59"/>
              <w:rPr>
                <w:sz w:val="16"/>
                <w:szCs w:val="16"/>
              </w:rPr>
            </w:pPr>
            <w:r w:rsidRPr="006F2712">
              <w:rPr>
                <w:bCs/>
                <w:sz w:val="16"/>
                <w:szCs w:val="16"/>
              </w:rPr>
              <w:t xml:space="preserve">Se enviarán cuestionarios sobre estadísticas a comienzos del año (no más tarde de febrero); </w:t>
            </w:r>
            <w:r>
              <w:rPr>
                <w:bCs/>
                <w:sz w:val="16"/>
                <w:szCs w:val="16"/>
              </w:rPr>
              <w:t xml:space="preserve"> </w:t>
            </w:r>
            <w:r w:rsidRPr="006F2712">
              <w:rPr>
                <w:bCs/>
                <w:sz w:val="16"/>
                <w:szCs w:val="16"/>
              </w:rPr>
              <w:t xml:space="preserve">se mantendrá una lista de puntos de contacto para cuestiones estadísticas en las oficinas nacionales de P.I. con objeto de poder comunicarse para llevar a cabo un seguimiento; </w:t>
            </w:r>
            <w:r>
              <w:rPr>
                <w:bCs/>
                <w:sz w:val="16"/>
                <w:szCs w:val="16"/>
              </w:rPr>
              <w:t xml:space="preserve"> </w:t>
            </w:r>
            <w:r w:rsidRPr="006F2712">
              <w:rPr>
                <w:bCs/>
                <w:sz w:val="16"/>
                <w:szCs w:val="16"/>
              </w:rPr>
              <w:t>se dedicarán recursos a esa comunicación.</w:t>
            </w:r>
          </w:p>
        </w:tc>
        <w:tc>
          <w:tcPr>
            <w:tcW w:w="2310" w:type="dxa"/>
            <w:tcBorders>
              <w:top w:val="single" w:sz="4" w:space="0" w:color="auto"/>
            </w:tcBorders>
          </w:tcPr>
          <w:p w:rsidR="008827B3" w:rsidRPr="00CA23D6" w:rsidRDefault="008827B3" w:rsidP="00DC1333">
            <w:pPr>
              <w:autoSpaceDE w:val="0"/>
              <w:autoSpaceDN w:val="0"/>
              <w:adjustRightInd w:val="0"/>
              <w:ind w:right="-59"/>
              <w:rPr>
                <w:bCs/>
                <w:sz w:val="16"/>
                <w:szCs w:val="16"/>
              </w:rPr>
            </w:pPr>
            <w:r w:rsidRPr="00EA09FA">
              <w:rPr>
                <w:bCs/>
                <w:sz w:val="16"/>
                <w:szCs w:val="16"/>
              </w:rPr>
              <w:t>Este es un riesgo permanente que se ha afrontado y gestionado mediante planes de mitigaci</w:t>
            </w:r>
            <w:r>
              <w:rPr>
                <w:bCs/>
                <w:sz w:val="16"/>
                <w:szCs w:val="16"/>
              </w:rPr>
              <w:t xml:space="preserve">ón centrados, tal como se señala.  </w:t>
            </w:r>
            <w:r w:rsidRPr="00AC2FE4">
              <w:rPr>
                <w:bCs/>
                <w:sz w:val="16"/>
                <w:szCs w:val="16"/>
              </w:rPr>
              <w:t>Gracias a ello, durante e</w:t>
            </w:r>
            <w:r>
              <w:rPr>
                <w:bCs/>
                <w:sz w:val="16"/>
                <w:szCs w:val="16"/>
              </w:rPr>
              <w:t>l bienio aumentó la cobertura</w:t>
            </w:r>
            <w:r w:rsidRPr="00AC2FE4">
              <w:rPr>
                <w:bCs/>
                <w:sz w:val="16"/>
                <w:szCs w:val="16"/>
              </w:rPr>
              <w:t xml:space="preserve"> del cuestionario sobre estad</w:t>
            </w:r>
            <w:r>
              <w:rPr>
                <w:bCs/>
                <w:sz w:val="16"/>
                <w:szCs w:val="16"/>
              </w:rPr>
              <w:t>ísticas de P.I.</w:t>
            </w:r>
            <w:r w:rsidRPr="00CA23D6">
              <w:rPr>
                <w:bCs/>
                <w:sz w:val="16"/>
                <w:szCs w:val="16"/>
              </w:rPr>
              <w:t xml:space="preserve"> </w:t>
            </w:r>
          </w:p>
        </w:tc>
        <w:tc>
          <w:tcPr>
            <w:tcW w:w="2709" w:type="dxa"/>
            <w:tcBorders>
              <w:top w:val="single" w:sz="4" w:space="0" w:color="auto"/>
            </w:tcBorders>
          </w:tcPr>
          <w:p w:rsidR="008827B3" w:rsidRPr="00CF1EA8" w:rsidRDefault="008827B3" w:rsidP="00DC1333">
            <w:pPr>
              <w:autoSpaceDE w:val="0"/>
              <w:autoSpaceDN w:val="0"/>
              <w:adjustRightInd w:val="0"/>
              <w:ind w:right="-59"/>
              <w:rPr>
                <w:bCs/>
                <w:sz w:val="16"/>
                <w:szCs w:val="16"/>
              </w:rPr>
            </w:pPr>
            <w:r w:rsidRPr="00CF1EA8">
              <w:rPr>
                <w:bCs/>
                <w:sz w:val="16"/>
                <w:szCs w:val="16"/>
              </w:rPr>
              <w:t xml:space="preserve">En algunos casos los datos estadísticos se </w:t>
            </w:r>
            <w:r>
              <w:rPr>
                <w:bCs/>
                <w:sz w:val="16"/>
                <w:szCs w:val="16"/>
              </w:rPr>
              <w:t>proporciona</w:t>
            </w:r>
            <w:r w:rsidRPr="00CF1EA8">
              <w:rPr>
                <w:bCs/>
                <w:sz w:val="16"/>
                <w:szCs w:val="16"/>
              </w:rPr>
              <w:t>ron con retraso, pero ello no incidi</w:t>
            </w:r>
            <w:r>
              <w:rPr>
                <w:bCs/>
                <w:sz w:val="16"/>
                <w:szCs w:val="16"/>
              </w:rPr>
              <w:t>ó sustancialmente en los principales productos estadísticos del programa.</w:t>
            </w:r>
          </w:p>
        </w:tc>
      </w:tr>
      <w:tr w:rsidR="008827B3" w:rsidRPr="00F7339D" w:rsidTr="00DC1333">
        <w:trPr>
          <w:trHeight w:val="1059"/>
        </w:trPr>
        <w:tc>
          <w:tcPr>
            <w:tcW w:w="2390" w:type="dxa"/>
            <w:shd w:val="clear" w:color="auto" w:fill="auto"/>
            <w:tcMar>
              <w:top w:w="113" w:type="dxa"/>
              <w:bottom w:w="85" w:type="dxa"/>
            </w:tcMar>
          </w:tcPr>
          <w:p w:rsidR="008827B3" w:rsidRPr="00EA09FA" w:rsidRDefault="008827B3" w:rsidP="00DC1333">
            <w:pPr>
              <w:autoSpaceDE w:val="0"/>
              <w:autoSpaceDN w:val="0"/>
              <w:adjustRightInd w:val="0"/>
              <w:ind w:right="-59"/>
              <w:rPr>
                <w:bCs/>
                <w:sz w:val="16"/>
                <w:szCs w:val="16"/>
              </w:rPr>
            </w:pPr>
            <w:r w:rsidRPr="00EA09FA">
              <w:rPr>
                <w:bCs/>
                <w:sz w:val="16"/>
                <w:szCs w:val="16"/>
              </w:rPr>
              <w:lastRenderedPageBreak/>
              <w:t>En las publicaciones de la OMPI se proporcionan datos estadísticos erróneos o se observan deficiencias analíticas.</w:t>
            </w:r>
          </w:p>
        </w:tc>
        <w:tc>
          <w:tcPr>
            <w:tcW w:w="2230" w:type="dxa"/>
            <w:shd w:val="clear" w:color="auto" w:fill="auto"/>
            <w:tcMar>
              <w:top w:w="113" w:type="dxa"/>
              <w:bottom w:w="85" w:type="dxa"/>
            </w:tcMar>
          </w:tcPr>
          <w:p w:rsidR="008827B3" w:rsidRPr="00EA09FA" w:rsidRDefault="008827B3" w:rsidP="00DC1333">
            <w:pPr>
              <w:autoSpaceDE w:val="0"/>
              <w:autoSpaceDN w:val="0"/>
              <w:adjustRightInd w:val="0"/>
              <w:ind w:right="-59"/>
              <w:rPr>
                <w:bCs/>
                <w:sz w:val="16"/>
                <w:szCs w:val="16"/>
              </w:rPr>
            </w:pPr>
            <w:r w:rsidRPr="00EA09FA">
              <w:rPr>
                <w:bCs/>
                <w:sz w:val="16"/>
                <w:szCs w:val="16"/>
              </w:rPr>
              <w:t xml:space="preserve">Se cuenta con mecanismos de control que permiten detectar las incoherencias de los datos durante la </w:t>
            </w:r>
            <w:r>
              <w:rPr>
                <w:bCs/>
                <w:sz w:val="16"/>
                <w:szCs w:val="16"/>
              </w:rPr>
              <w:t>reco</w:t>
            </w:r>
            <w:r w:rsidRPr="00EA09FA">
              <w:rPr>
                <w:bCs/>
                <w:sz w:val="16"/>
                <w:szCs w:val="16"/>
              </w:rPr>
              <w:t xml:space="preserve">pilación de estadísticas de P.I.; </w:t>
            </w:r>
            <w:r>
              <w:rPr>
                <w:bCs/>
                <w:sz w:val="16"/>
                <w:szCs w:val="16"/>
              </w:rPr>
              <w:t xml:space="preserve"> </w:t>
            </w:r>
            <w:r w:rsidRPr="00EA09FA">
              <w:rPr>
                <w:bCs/>
                <w:sz w:val="16"/>
                <w:szCs w:val="16"/>
              </w:rPr>
              <w:t xml:space="preserve">todas las publicaciones estadísticas son objeto de una revisión cuidadosa a cargo de especialistas en estadística y los sectores pertinentes de la OMPI; </w:t>
            </w:r>
            <w:r>
              <w:rPr>
                <w:bCs/>
                <w:sz w:val="16"/>
                <w:szCs w:val="16"/>
              </w:rPr>
              <w:t xml:space="preserve"> </w:t>
            </w:r>
            <w:r w:rsidRPr="00EA09FA">
              <w:rPr>
                <w:bCs/>
                <w:sz w:val="16"/>
                <w:szCs w:val="16"/>
              </w:rPr>
              <w:t>todas las publicaciones analíticas son examinadas por expertos externos.</w:t>
            </w:r>
          </w:p>
        </w:tc>
        <w:tc>
          <w:tcPr>
            <w:tcW w:w="2310" w:type="dxa"/>
          </w:tcPr>
          <w:p w:rsidR="008827B3" w:rsidRPr="00CA23D6" w:rsidRDefault="008827B3" w:rsidP="00DC1333">
            <w:pPr>
              <w:autoSpaceDE w:val="0"/>
              <w:autoSpaceDN w:val="0"/>
              <w:adjustRightInd w:val="0"/>
              <w:ind w:right="-59"/>
              <w:rPr>
                <w:bCs/>
                <w:sz w:val="16"/>
                <w:szCs w:val="16"/>
              </w:rPr>
            </w:pPr>
            <w:r w:rsidRPr="00CA23D6">
              <w:rPr>
                <w:bCs/>
                <w:sz w:val="16"/>
                <w:szCs w:val="16"/>
              </w:rPr>
              <w:t xml:space="preserve">Este es otro riesgo permanente para el programa que se está gestionando mediante los planes de mitigación ejecutados, los cuales durante el bienio han </w:t>
            </w:r>
            <w:r>
              <w:rPr>
                <w:bCs/>
                <w:sz w:val="16"/>
                <w:szCs w:val="16"/>
              </w:rPr>
              <w:t xml:space="preserve">resultado eficaces en cuanto a detectar </w:t>
            </w:r>
            <w:r w:rsidRPr="00CA23D6">
              <w:rPr>
                <w:bCs/>
                <w:sz w:val="16"/>
                <w:szCs w:val="16"/>
              </w:rPr>
              <w:t xml:space="preserve">problemas relacionados con la calidad de los datos (inconsistencias de los datos) </w:t>
            </w:r>
            <w:r>
              <w:rPr>
                <w:bCs/>
                <w:sz w:val="16"/>
                <w:szCs w:val="16"/>
              </w:rPr>
              <w:t>y han permitido resolverlos junto con los Estados miembros pertinentes.</w:t>
            </w:r>
          </w:p>
        </w:tc>
        <w:tc>
          <w:tcPr>
            <w:tcW w:w="2709" w:type="dxa"/>
          </w:tcPr>
          <w:p w:rsidR="008827B3" w:rsidRPr="00F7339D" w:rsidRDefault="008827B3" w:rsidP="00DC1333">
            <w:pPr>
              <w:autoSpaceDE w:val="0"/>
              <w:autoSpaceDN w:val="0"/>
              <w:adjustRightInd w:val="0"/>
              <w:ind w:right="-59"/>
              <w:rPr>
                <w:bCs/>
                <w:sz w:val="16"/>
                <w:szCs w:val="16"/>
              </w:rPr>
            </w:pPr>
            <w:r w:rsidRPr="00F7339D">
              <w:rPr>
                <w:bCs/>
                <w:sz w:val="16"/>
                <w:szCs w:val="16"/>
              </w:rPr>
              <w:t>Los retrasos o errores en la presentació</w:t>
            </w:r>
            <w:r>
              <w:rPr>
                <w:bCs/>
                <w:sz w:val="16"/>
                <w:szCs w:val="16"/>
              </w:rPr>
              <w:t>n de los informes generaron trab</w:t>
            </w:r>
            <w:r w:rsidRPr="00F7339D">
              <w:rPr>
                <w:bCs/>
                <w:sz w:val="16"/>
                <w:szCs w:val="16"/>
              </w:rPr>
              <w:t>ajo adicional a nivel interno, pero no retrasaron las publicaciones ni afectaron a su calidad.</w:t>
            </w:r>
          </w:p>
          <w:p w:rsidR="008827B3" w:rsidRPr="00F7339D" w:rsidRDefault="008827B3" w:rsidP="00DC1333">
            <w:pPr>
              <w:autoSpaceDE w:val="0"/>
              <w:autoSpaceDN w:val="0"/>
              <w:adjustRightInd w:val="0"/>
              <w:ind w:right="-59"/>
              <w:rPr>
                <w:bCs/>
                <w:sz w:val="16"/>
                <w:szCs w:val="16"/>
              </w:rPr>
            </w:pPr>
          </w:p>
        </w:tc>
      </w:tr>
    </w:tbl>
    <w:p w:rsidR="008827B3" w:rsidRDefault="008827B3" w:rsidP="00DC1333">
      <w:pPr>
        <w:jc w:val="both"/>
        <w:rPr>
          <w:bCs/>
          <w:szCs w:val="22"/>
        </w:rPr>
      </w:pPr>
    </w:p>
    <w:p w:rsidR="008827B3" w:rsidRPr="00F7339D" w:rsidRDefault="008827B3" w:rsidP="00DC1333">
      <w:pPr>
        <w:jc w:val="both"/>
        <w:rPr>
          <w:bCs/>
          <w:szCs w:val="22"/>
        </w:rPr>
      </w:pPr>
    </w:p>
    <w:p w:rsidR="008827B3" w:rsidRPr="00526311" w:rsidRDefault="00403D2C" w:rsidP="00DC1333">
      <w:pPr>
        <w:jc w:val="both"/>
        <w:rPr>
          <w:szCs w:val="22"/>
        </w:rPr>
      </w:pPr>
      <w:r w:rsidRPr="00403D2C">
        <w:rPr>
          <w:sz w:val="20"/>
          <w:szCs w:val="22"/>
        </w:rPr>
        <w:t>UTILIZACIÓN DE LOS RECURSOS</w:t>
      </w:r>
    </w:p>
    <w:p w:rsidR="008827B3" w:rsidRPr="00526311" w:rsidRDefault="008827B3" w:rsidP="00DC1333">
      <w:pPr>
        <w:jc w:val="center"/>
      </w:pPr>
    </w:p>
    <w:p w:rsidR="008827B3" w:rsidRPr="00526311" w:rsidRDefault="008827B3" w:rsidP="00DC1333">
      <w:pPr>
        <w:pStyle w:val="NormalWeb"/>
        <w:spacing w:before="0" w:beforeAutospacing="0" w:after="0" w:afterAutospacing="0"/>
        <w:jc w:val="center"/>
        <w:rPr>
          <w:sz w:val="20"/>
          <w:szCs w:val="20"/>
          <w:lang w:val="es-ES"/>
        </w:rPr>
      </w:pPr>
      <w:r w:rsidRPr="00526311">
        <w:rPr>
          <w:sz w:val="20"/>
          <w:szCs w:val="20"/>
          <w:lang w:val="es-ES"/>
        </w:rPr>
        <w:t>Presupuesto y gastos reales (por resultado)</w:t>
      </w:r>
    </w:p>
    <w:p w:rsidR="008827B3" w:rsidRPr="00526311" w:rsidRDefault="008827B3" w:rsidP="00DC1333">
      <w:pPr>
        <w:pStyle w:val="NormalWeb"/>
        <w:spacing w:before="0" w:beforeAutospacing="0" w:after="0" w:afterAutospacing="0"/>
        <w:jc w:val="center"/>
        <w:rPr>
          <w:i/>
          <w:iCs/>
          <w:sz w:val="20"/>
          <w:szCs w:val="20"/>
          <w:lang w:val="es-ES"/>
        </w:rPr>
      </w:pPr>
      <w:r w:rsidRPr="00526311">
        <w:rPr>
          <w:i/>
          <w:iCs/>
          <w:sz w:val="20"/>
          <w:szCs w:val="20"/>
          <w:lang w:val="es-ES"/>
        </w:rPr>
        <w:t>(</w:t>
      </w:r>
      <w:proofErr w:type="gramStart"/>
      <w:r w:rsidRPr="00526311">
        <w:rPr>
          <w:i/>
          <w:iCs/>
          <w:sz w:val="20"/>
          <w:szCs w:val="20"/>
          <w:lang w:val="es-ES"/>
        </w:rPr>
        <w:t>en</w:t>
      </w:r>
      <w:proofErr w:type="gramEnd"/>
      <w:r w:rsidRPr="00526311">
        <w:rPr>
          <w:i/>
          <w:iCs/>
          <w:sz w:val="20"/>
          <w:szCs w:val="20"/>
          <w:lang w:val="es-ES"/>
        </w:rPr>
        <w:t xml:space="preserve"> miles de francos suizos)</w:t>
      </w:r>
    </w:p>
    <w:p w:rsidR="008827B3" w:rsidRPr="00526311" w:rsidRDefault="008827B3" w:rsidP="00DC1333">
      <w:pPr>
        <w:jc w:val="both"/>
      </w:pPr>
    </w:p>
    <w:p w:rsidR="008827B3" w:rsidRPr="00526311" w:rsidRDefault="008827B3" w:rsidP="00DC1333">
      <w:pPr>
        <w:jc w:val="center"/>
      </w:pPr>
      <w:bookmarkStart w:id="140" w:name="Bm16"/>
      <w:bookmarkStart w:id="141" w:name="Punto16"/>
      <w:r>
        <w:rPr>
          <w:noProof/>
          <w:lang w:val="en-US" w:eastAsia="en-US"/>
        </w:rPr>
        <w:drawing>
          <wp:inline distT="0" distB="0" distL="0" distR="0" wp14:anchorId="7F88AE83" wp14:editId="399BE02F">
            <wp:extent cx="5676900" cy="1524000"/>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5676900" cy="1524000"/>
                    </a:xfrm>
                    <a:prstGeom prst="rect">
                      <a:avLst/>
                    </a:prstGeom>
                    <a:noFill/>
                    <a:ln>
                      <a:noFill/>
                    </a:ln>
                  </pic:spPr>
                </pic:pic>
              </a:graphicData>
            </a:graphic>
          </wp:inline>
        </w:drawing>
      </w:r>
      <w:bookmarkEnd w:id="140"/>
      <w:bookmarkEnd w:id="141"/>
    </w:p>
    <w:p w:rsidR="008827B3" w:rsidRPr="00526311" w:rsidRDefault="008827B3" w:rsidP="00DC1333">
      <w:pPr>
        <w:jc w:val="both"/>
      </w:pPr>
    </w:p>
    <w:p w:rsidR="008827B3" w:rsidRPr="00526311" w:rsidRDefault="008827B3" w:rsidP="00DC1333">
      <w:pPr>
        <w:jc w:val="both"/>
      </w:pPr>
    </w:p>
    <w:p w:rsidR="008827B3" w:rsidRPr="00526311" w:rsidRDefault="008827B3" w:rsidP="00DC1333">
      <w:pPr>
        <w:pStyle w:val="NormalWeb"/>
        <w:keepNext/>
        <w:keepLines/>
        <w:spacing w:before="0" w:beforeAutospacing="0" w:after="0" w:afterAutospacing="0"/>
        <w:jc w:val="center"/>
        <w:rPr>
          <w:sz w:val="20"/>
          <w:szCs w:val="20"/>
          <w:lang w:val="es-ES"/>
        </w:rPr>
      </w:pPr>
      <w:r w:rsidRPr="00526311">
        <w:rPr>
          <w:sz w:val="20"/>
          <w:szCs w:val="20"/>
          <w:lang w:val="es-ES"/>
        </w:rPr>
        <w:t>Presupuesto y gastos reales (de personal y no relativos a personal)</w:t>
      </w:r>
    </w:p>
    <w:p w:rsidR="008827B3" w:rsidRPr="00526311" w:rsidRDefault="008827B3" w:rsidP="00DC1333">
      <w:pPr>
        <w:pStyle w:val="NormalWeb"/>
        <w:keepNext/>
        <w:keepLines/>
        <w:spacing w:before="0" w:beforeAutospacing="0" w:after="0" w:afterAutospacing="0"/>
        <w:jc w:val="center"/>
        <w:rPr>
          <w:i/>
          <w:iCs/>
          <w:sz w:val="20"/>
          <w:szCs w:val="20"/>
          <w:lang w:val="es-ES"/>
        </w:rPr>
      </w:pPr>
      <w:r w:rsidRPr="00526311">
        <w:rPr>
          <w:i/>
          <w:iCs/>
          <w:sz w:val="20"/>
          <w:szCs w:val="20"/>
          <w:lang w:val="es-ES"/>
        </w:rPr>
        <w:t>(</w:t>
      </w:r>
      <w:proofErr w:type="gramStart"/>
      <w:r w:rsidRPr="00526311">
        <w:rPr>
          <w:i/>
          <w:iCs/>
          <w:sz w:val="20"/>
          <w:szCs w:val="20"/>
          <w:lang w:val="es-ES"/>
        </w:rPr>
        <w:t>en</w:t>
      </w:r>
      <w:proofErr w:type="gramEnd"/>
      <w:r w:rsidRPr="00526311">
        <w:rPr>
          <w:i/>
          <w:iCs/>
          <w:sz w:val="20"/>
          <w:szCs w:val="20"/>
          <w:lang w:val="es-ES"/>
        </w:rPr>
        <w:t xml:space="preserve"> miles de francos suizos)</w:t>
      </w:r>
    </w:p>
    <w:p w:rsidR="008827B3" w:rsidRPr="00526311" w:rsidRDefault="008827B3" w:rsidP="00DC1333">
      <w:pPr>
        <w:pStyle w:val="NormalWeb"/>
        <w:keepNext/>
        <w:keepLines/>
        <w:spacing w:before="0" w:beforeAutospacing="0" w:after="0" w:afterAutospacing="0"/>
        <w:jc w:val="both"/>
        <w:rPr>
          <w:lang w:val="es-ES"/>
        </w:rPr>
      </w:pPr>
    </w:p>
    <w:p w:rsidR="008827B3" w:rsidRPr="00526311" w:rsidRDefault="008827B3" w:rsidP="00DC1333">
      <w:pPr>
        <w:jc w:val="center"/>
      </w:pPr>
      <w:bookmarkStart w:id="142" w:name="Point16"/>
      <w:r>
        <w:rPr>
          <w:noProof/>
          <w:lang w:val="en-US" w:eastAsia="en-US"/>
        </w:rPr>
        <w:drawing>
          <wp:inline distT="0" distB="0" distL="0" distR="0" wp14:anchorId="2BF44A03" wp14:editId="55C80DE2">
            <wp:extent cx="5940425" cy="1038940"/>
            <wp:effectExtent l="0" t="0" r="3175" b="889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5940425" cy="1038940"/>
                    </a:xfrm>
                    <a:prstGeom prst="rect">
                      <a:avLst/>
                    </a:prstGeom>
                    <a:noFill/>
                    <a:ln>
                      <a:noFill/>
                    </a:ln>
                  </pic:spPr>
                </pic:pic>
              </a:graphicData>
            </a:graphic>
          </wp:inline>
        </w:drawing>
      </w:r>
      <w:bookmarkEnd w:id="142"/>
    </w:p>
    <w:p w:rsidR="008827B3" w:rsidRDefault="008827B3" w:rsidP="00DC1333">
      <w:pPr>
        <w:widowControl w:val="0"/>
        <w:autoSpaceDE w:val="0"/>
        <w:autoSpaceDN w:val="0"/>
        <w:adjustRightInd w:val="0"/>
        <w:jc w:val="both"/>
        <w:rPr>
          <w:sz w:val="20"/>
        </w:rPr>
      </w:pPr>
    </w:p>
    <w:p w:rsidR="008827B3" w:rsidRPr="00526311" w:rsidRDefault="008827B3" w:rsidP="00DC1333">
      <w:pPr>
        <w:widowControl w:val="0"/>
        <w:autoSpaceDE w:val="0"/>
        <w:autoSpaceDN w:val="0"/>
        <w:adjustRightInd w:val="0"/>
        <w:jc w:val="both"/>
        <w:rPr>
          <w:sz w:val="20"/>
        </w:rPr>
      </w:pPr>
    </w:p>
    <w:p w:rsidR="008827B3" w:rsidRPr="00526311" w:rsidRDefault="00403D2C" w:rsidP="00DC1333">
      <w:pPr>
        <w:jc w:val="both"/>
        <w:rPr>
          <w:sz w:val="20"/>
          <w:u w:val="single"/>
        </w:rPr>
      </w:pPr>
      <w:r w:rsidRPr="00403D2C">
        <w:rPr>
          <w:sz w:val="20"/>
        </w:rPr>
        <w:t>A.</w:t>
      </w:r>
      <w:r w:rsidRPr="00403D2C">
        <w:rPr>
          <w:sz w:val="20"/>
        </w:rPr>
        <w:tab/>
      </w:r>
      <w:r w:rsidRPr="00403D2C">
        <w:rPr>
          <w:sz w:val="20"/>
          <w:u w:val="single"/>
        </w:rPr>
        <w:t>Presupuesto final de 2014/15 tras las transferencias</w:t>
      </w:r>
    </w:p>
    <w:p w:rsidR="008827B3" w:rsidRPr="00526311" w:rsidRDefault="008827B3" w:rsidP="00DC1333">
      <w:pPr>
        <w:autoSpaceDE w:val="0"/>
        <w:autoSpaceDN w:val="0"/>
        <w:jc w:val="both"/>
        <w:rPr>
          <w:sz w:val="20"/>
          <w:lang w:eastAsia="ko-KR"/>
        </w:rPr>
      </w:pPr>
    </w:p>
    <w:p w:rsidR="008827B3" w:rsidRDefault="008827B3" w:rsidP="008827B3">
      <w:pPr>
        <w:pStyle w:val="ListParagraph"/>
        <w:numPr>
          <w:ilvl w:val="0"/>
          <w:numId w:val="76"/>
        </w:numPr>
        <w:tabs>
          <w:tab w:val="left" w:pos="709"/>
        </w:tabs>
        <w:ind w:left="0" w:firstLine="0"/>
        <w:jc w:val="both"/>
        <w:rPr>
          <w:rFonts w:cs="Arial"/>
          <w:lang w:val="es-ES" w:eastAsia="ko-KR"/>
        </w:rPr>
      </w:pPr>
      <w:r>
        <w:rPr>
          <w:rFonts w:cs="Arial"/>
          <w:lang w:val="es-ES" w:eastAsia="ko-KR"/>
        </w:rPr>
        <w:t>El</w:t>
      </w:r>
      <w:r w:rsidRPr="00526311">
        <w:rPr>
          <w:rFonts w:cs="Arial"/>
          <w:lang w:val="es-ES" w:eastAsia="ko-KR"/>
        </w:rPr>
        <w:t xml:space="preserve"> </w:t>
      </w:r>
      <w:r>
        <w:rPr>
          <w:rFonts w:cs="Arial"/>
          <w:lang w:val="es-ES" w:eastAsia="ko-KR"/>
        </w:rPr>
        <w:t>ligero aumento general</w:t>
      </w:r>
      <w:r w:rsidRPr="00526311">
        <w:rPr>
          <w:rFonts w:cs="Arial"/>
          <w:lang w:val="es-ES" w:eastAsia="ko-KR"/>
        </w:rPr>
        <w:t xml:space="preserve"> de los recursos </w:t>
      </w:r>
      <w:r>
        <w:rPr>
          <w:rFonts w:cs="Arial"/>
          <w:lang w:val="es-ES" w:eastAsia="ko-KR"/>
        </w:rPr>
        <w:t>de</w:t>
      </w:r>
      <w:r w:rsidRPr="00526311">
        <w:rPr>
          <w:rFonts w:cs="Arial"/>
          <w:lang w:val="es-ES" w:eastAsia="ko-KR"/>
        </w:rPr>
        <w:t xml:space="preserve"> personal se deb</w:t>
      </w:r>
      <w:r>
        <w:rPr>
          <w:rFonts w:cs="Arial"/>
          <w:lang w:val="es-ES" w:eastAsia="ko-KR"/>
        </w:rPr>
        <w:t>ió a</w:t>
      </w:r>
      <w:proofErr w:type="gramStart"/>
      <w:r>
        <w:rPr>
          <w:rFonts w:cs="Arial"/>
          <w:lang w:val="es-ES" w:eastAsia="ko-KR"/>
        </w:rPr>
        <w:t>:  i</w:t>
      </w:r>
      <w:proofErr w:type="gramEnd"/>
      <w:r>
        <w:rPr>
          <w:rFonts w:cs="Arial"/>
          <w:lang w:val="es-ES" w:eastAsia="ko-KR"/>
        </w:rPr>
        <w:t xml:space="preserve">) la incorporación de dos puestos de análisis de datos e investigación sobre economía creativa.  Este aumento se vio contrarrestado parcialmente por </w:t>
      </w:r>
      <w:r w:rsidRPr="00526311">
        <w:rPr>
          <w:rFonts w:cs="Arial"/>
          <w:lang w:val="es-ES" w:eastAsia="ko-KR"/>
        </w:rPr>
        <w:t xml:space="preserve">el ajuste </w:t>
      </w:r>
      <w:r>
        <w:rPr>
          <w:rFonts w:cs="Arial"/>
          <w:lang w:val="es-ES" w:eastAsia="ko-KR"/>
        </w:rPr>
        <w:t>presupuestario en relación con e</w:t>
      </w:r>
      <w:r w:rsidRPr="00526311">
        <w:rPr>
          <w:rFonts w:cs="Arial"/>
          <w:lang w:val="es-ES" w:eastAsia="ko-KR"/>
        </w:rPr>
        <w:t>l proyecto de la A.D. sobre P.I. y desarrollo socioeconómico tras la aprobación de la segunda fase del proyecto en la decimocuarta sesión del CDIP</w:t>
      </w:r>
      <w:r w:rsidRPr="00526311">
        <w:rPr>
          <w:lang w:val="es-ES"/>
        </w:rPr>
        <w:t xml:space="preserve"> (CDIP/14/7)</w:t>
      </w:r>
      <w:r w:rsidRPr="00526311">
        <w:rPr>
          <w:rFonts w:cs="Arial"/>
          <w:lang w:val="es-ES" w:eastAsia="ko-KR"/>
        </w:rPr>
        <w:t>.</w:t>
      </w:r>
    </w:p>
    <w:p w:rsidR="008827B3" w:rsidRDefault="008827B3" w:rsidP="00DC1333">
      <w:pPr>
        <w:pStyle w:val="ListParagraph"/>
        <w:tabs>
          <w:tab w:val="left" w:pos="709"/>
        </w:tabs>
        <w:ind w:left="0"/>
        <w:jc w:val="both"/>
        <w:rPr>
          <w:rFonts w:cs="Arial"/>
          <w:lang w:val="es-ES" w:eastAsia="ko-KR"/>
        </w:rPr>
      </w:pPr>
    </w:p>
    <w:p w:rsidR="008827B3" w:rsidRPr="00526311" w:rsidRDefault="008827B3" w:rsidP="008827B3">
      <w:pPr>
        <w:pStyle w:val="ListParagraph"/>
        <w:numPr>
          <w:ilvl w:val="0"/>
          <w:numId w:val="76"/>
        </w:numPr>
        <w:tabs>
          <w:tab w:val="left" w:pos="709"/>
        </w:tabs>
        <w:ind w:left="0" w:firstLine="0"/>
        <w:jc w:val="both"/>
        <w:rPr>
          <w:rFonts w:cs="Arial"/>
          <w:lang w:val="es-ES" w:eastAsia="ko-KR"/>
        </w:rPr>
      </w:pPr>
      <w:r w:rsidRPr="00526311">
        <w:rPr>
          <w:rFonts w:cs="Arial"/>
          <w:lang w:val="es-ES" w:eastAsia="ko-KR"/>
        </w:rPr>
        <w:t xml:space="preserve">La disminución </w:t>
      </w:r>
      <w:r>
        <w:rPr>
          <w:rFonts w:cs="Arial"/>
          <w:lang w:val="es-ES" w:eastAsia="ko-KR"/>
        </w:rPr>
        <w:t>general</w:t>
      </w:r>
      <w:r w:rsidRPr="00526311">
        <w:rPr>
          <w:rFonts w:cs="Arial"/>
          <w:lang w:val="es-ES" w:eastAsia="ko-KR"/>
        </w:rPr>
        <w:t xml:space="preserve"> de los recursos no relativos a personal se deb</w:t>
      </w:r>
      <w:r>
        <w:rPr>
          <w:rFonts w:cs="Arial"/>
          <w:lang w:val="es-ES" w:eastAsia="ko-KR"/>
        </w:rPr>
        <w:t>ió</w:t>
      </w:r>
      <w:r w:rsidRPr="00526311">
        <w:rPr>
          <w:rFonts w:cs="Arial"/>
          <w:lang w:val="es-ES" w:eastAsia="ko-KR"/>
        </w:rPr>
        <w:t xml:space="preserve"> principalmente a</w:t>
      </w:r>
      <w:proofErr w:type="gramStart"/>
      <w:r w:rsidRPr="00526311">
        <w:rPr>
          <w:rFonts w:cs="Arial"/>
          <w:lang w:val="es-ES" w:eastAsia="ko-KR"/>
        </w:rPr>
        <w:t>:  i</w:t>
      </w:r>
      <w:proofErr w:type="gramEnd"/>
      <w:r w:rsidRPr="00526311">
        <w:rPr>
          <w:rFonts w:cs="Arial"/>
          <w:lang w:val="es-ES" w:eastAsia="ko-KR"/>
        </w:rPr>
        <w:t xml:space="preserve">) el ajuste </w:t>
      </w:r>
      <w:r>
        <w:rPr>
          <w:rFonts w:cs="Arial"/>
          <w:lang w:val="es-ES" w:eastAsia="ko-KR"/>
        </w:rPr>
        <w:t xml:space="preserve">presupuestario en relación con </w:t>
      </w:r>
      <w:r w:rsidRPr="00526311">
        <w:rPr>
          <w:rFonts w:cs="Arial"/>
          <w:lang w:val="es-ES" w:eastAsia="ko-KR"/>
        </w:rPr>
        <w:t>el proyecto de la A.D. sobre P</w:t>
      </w:r>
      <w:r>
        <w:rPr>
          <w:rFonts w:cs="Arial"/>
          <w:lang w:val="es-ES" w:eastAsia="ko-KR"/>
        </w:rPr>
        <w:t xml:space="preserve">.I. y desarrollo socioeconómico, </w:t>
      </w:r>
      <w:r w:rsidRPr="00526311">
        <w:rPr>
          <w:rFonts w:cs="Arial"/>
          <w:lang w:val="es-ES" w:eastAsia="ko-KR"/>
        </w:rPr>
        <w:t xml:space="preserve">y ii) la transferencia de recursos no relativos a personal para </w:t>
      </w:r>
      <w:r>
        <w:rPr>
          <w:rFonts w:cs="Arial"/>
          <w:lang w:val="es-ES" w:eastAsia="ko-KR"/>
        </w:rPr>
        <w:t>las pasantías al programa 23 (</w:t>
      </w:r>
      <w:r>
        <w:rPr>
          <w:lang w:val="es-ES"/>
        </w:rPr>
        <w:t>G</w:t>
      </w:r>
      <w:r w:rsidRPr="00ED2619">
        <w:rPr>
          <w:lang w:val="es-ES"/>
        </w:rPr>
        <w:t>estión y desarrollo de los recursos humanos</w:t>
      </w:r>
      <w:r>
        <w:rPr>
          <w:rFonts w:cs="Arial"/>
          <w:lang w:val="es-ES" w:eastAsia="ko-KR"/>
        </w:rPr>
        <w:t>) a fin de respaldar la labor del</w:t>
      </w:r>
      <w:r w:rsidRPr="00526311">
        <w:rPr>
          <w:rFonts w:cs="Arial"/>
          <w:lang w:val="es-ES" w:eastAsia="ko-KR"/>
        </w:rPr>
        <w:t xml:space="preserve"> programa.</w:t>
      </w:r>
      <w:r>
        <w:rPr>
          <w:rFonts w:cs="Arial"/>
          <w:lang w:val="es-ES" w:eastAsia="ko-KR"/>
        </w:rPr>
        <w:t xml:space="preserve">  Esta disminución se compensó parcialmente mediante un aumento de los recursos no relativos a personal destinados a las actividades promocionales del Informe mundial sobre la P.I. y el Índice Mundial de Innovación, y a encargar un estudio especial sobre la elasticidad de las tasas de las solicitudes presentadas en el marco del Sistema de Madrid.</w:t>
      </w:r>
    </w:p>
    <w:p w:rsidR="008827B3" w:rsidRPr="00526311" w:rsidRDefault="008827B3" w:rsidP="00DC1333">
      <w:pPr>
        <w:pStyle w:val="ListParagraph"/>
        <w:tabs>
          <w:tab w:val="left" w:pos="709"/>
        </w:tabs>
        <w:ind w:left="0"/>
        <w:jc w:val="both"/>
        <w:rPr>
          <w:rFonts w:cs="Arial"/>
          <w:lang w:val="es-ES" w:eastAsia="ko-KR"/>
        </w:rPr>
      </w:pPr>
    </w:p>
    <w:p w:rsidR="008827B3" w:rsidRPr="00526311" w:rsidRDefault="00403D2C" w:rsidP="00DC1333">
      <w:pPr>
        <w:jc w:val="both"/>
        <w:rPr>
          <w:sz w:val="20"/>
          <w:u w:val="single"/>
          <w:lang w:eastAsia="ko-KR"/>
        </w:rPr>
      </w:pPr>
      <w:r w:rsidRPr="00403D2C">
        <w:rPr>
          <w:sz w:val="20"/>
          <w:lang w:eastAsia="ko-KR"/>
        </w:rPr>
        <w:lastRenderedPageBreak/>
        <w:t>B.</w:t>
      </w:r>
      <w:r w:rsidRPr="00403D2C">
        <w:rPr>
          <w:sz w:val="20"/>
          <w:lang w:eastAsia="ko-KR"/>
        </w:rPr>
        <w:tab/>
      </w:r>
      <w:r w:rsidRPr="00403D2C">
        <w:rPr>
          <w:sz w:val="20"/>
          <w:u w:val="single"/>
          <w:lang w:eastAsia="ko-KR"/>
        </w:rPr>
        <w:t>Utilización del presupuesto en 2014/15</w:t>
      </w:r>
    </w:p>
    <w:p w:rsidR="008827B3" w:rsidRPr="00526311" w:rsidRDefault="008827B3" w:rsidP="00DC1333">
      <w:pPr>
        <w:rPr>
          <w:sz w:val="20"/>
          <w:lang w:eastAsia="ko-KR"/>
        </w:rPr>
      </w:pPr>
    </w:p>
    <w:p w:rsidR="008827B3" w:rsidRPr="00526311" w:rsidRDefault="008827B3" w:rsidP="008827B3">
      <w:pPr>
        <w:pStyle w:val="ListParagraph"/>
        <w:numPr>
          <w:ilvl w:val="0"/>
          <w:numId w:val="76"/>
        </w:numPr>
        <w:tabs>
          <w:tab w:val="left" w:pos="709"/>
        </w:tabs>
        <w:ind w:left="0" w:firstLine="0"/>
        <w:jc w:val="both"/>
        <w:rPr>
          <w:rFonts w:ascii="Calibri" w:hAnsi="Calibri"/>
          <w:lang w:val="es-ES"/>
        </w:rPr>
      </w:pPr>
      <w:r w:rsidRPr="008F67CA">
        <w:rPr>
          <w:lang w:val="es-ES"/>
        </w:rPr>
        <w:t>La utilización</w:t>
      </w:r>
      <w:r>
        <w:rPr>
          <w:lang w:val="es-ES"/>
        </w:rPr>
        <w:t xml:space="preserve"> del 82</w:t>
      </w:r>
      <w:r w:rsidRPr="008F67CA">
        <w:rPr>
          <w:lang w:val="es-ES"/>
        </w:rPr>
        <w:t>% del presupuesto no relativo al personal se debió fundamentalmente a</w:t>
      </w:r>
      <w:r>
        <w:rPr>
          <w:lang w:val="es-ES"/>
        </w:rPr>
        <w:t xml:space="preserve"> un retraso en la contratación de personal para i) el proyecto de la A.D. sobre la P.I. y el desarrollo socioeconómico y ii) el programa de investigación sobre economía creativa, por lo que hubo que posponer la ejecución de las actividades conexas</w:t>
      </w:r>
      <w:r w:rsidRPr="00526311">
        <w:rPr>
          <w:rFonts w:cs="Arial"/>
          <w:lang w:val="es-ES" w:eastAsia="ko-KR"/>
        </w:rPr>
        <w:t>.</w:t>
      </w:r>
    </w:p>
    <w:p w:rsidR="008827B3" w:rsidRDefault="008827B3"/>
    <w:p w:rsidR="00FA423E" w:rsidRDefault="00FA423E" w:rsidP="00FA423E"/>
    <w:p w:rsidR="00FA423E" w:rsidRDefault="00FA423E" w:rsidP="00FA423E">
      <w:pPr>
        <w:rPr>
          <w:b/>
          <w:bCs/>
          <w:iCs/>
          <w:szCs w:val="28"/>
        </w:rPr>
      </w:pPr>
      <w:r>
        <w:br w:type="page"/>
      </w:r>
    </w:p>
    <w:p w:rsidR="00FA423E" w:rsidRPr="00F171B5" w:rsidRDefault="00FA423E" w:rsidP="00FA423E">
      <w:pPr>
        <w:pStyle w:val="StyleHeading214ptAuto"/>
        <w:rPr>
          <w:rFonts w:ascii="Arial" w:hAnsi="Arial" w:cs="Arial"/>
          <w:sz w:val="20"/>
          <w:szCs w:val="20"/>
          <w:lang w:val="es-ES"/>
        </w:rPr>
      </w:pPr>
      <w:bookmarkStart w:id="143" w:name="_Toc455159095"/>
      <w:bookmarkStart w:id="144" w:name="_Toc367350594"/>
      <w:r w:rsidRPr="00F171B5">
        <w:rPr>
          <w:rFonts w:ascii="Arial" w:hAnsi="Arial" w:cs="Arial"/>
          <w:sz w:val="20"/>
          <w:szCs w:val="20"/>
          <w:lang w:val="es-ES_tradnl"/>
        </w:rPr>
        <w:lastRenderedPageBreak/>
        <w:t>META ESTRATÉGICA VI</w:t>
      </w:r>
      <w:bookmarkEnd w:id="143"/>
    </w:p>
    <w:p w:rsidR="00FA423E" w:rsidRPr="00F171B5" w:rsidRDefault="00FA423E" w:rsidP="00FA423E">
      <w:pPr>
        <w:jc w:val="center"/>
        <w:rPr>
          <w:sz w:val="20"/>
        </w:rPr>
      </w:pPr>
    </w:p>
    <w:bookmarkEnd w:id="144"/>
    <w:p w:rsidR="00FA423E" w:rsidRPr="00F171B5" w:rsidRDefault="00FA423E" w:rsidP="00FA423E">
      <w:pPr>
        <w:jc w:val="center"/>
        <w:rPr>
          <w:sz w:val="20"/>
        </w:rPr>
      </w:pPr>
      <w:r w:rsidRPr="00F171B5">
        <w:rPr>
          <w:b/>
          <w:sz w:val="20"/>
          <w:lang w:val="es-ES_tradnl"/>
        </w:rPr>
        <w:t>COOPERACIÓN INTERNACIONAL PARA FOMENTAR EL RESPETO POR LA P.I.</w:t>
      </w:r>
    </w:p>
    <w:p w:rsidR="00FA423E" w:rsidRPr="00F171B5" w:rsidRDefault="00FA423E" w:rsidP="00FA423E">
      <w:pPr>
        <w:jc w:val="center"/>
        <w:rPr>
          <w:sz w:val="20"/>
        </w:rPr>
      </w:pPr>
    </w:p>
    <w:p w:rsidR="00FA423E" w:rsidRPr="00F171B5" w:rsidRDefault="00FA423E" w:rsidP="00FA423E">
      <w:pPr>
        <w:jc w:val="center"/>
        <w:rPr>
          <w:b/>
          <w:sz w:val="20"/>
        </w:rPr>
      </w:pPr>
      <w:r w:rsidRPr="00F171B5">
        <w:rPr>
          <w:b/>
          <w:sz w:val="20"/>
        </w:rPr>
        <w:t xml:space="preserve">Cuadro sobre el rendimiento bienal </w:t>
      </w:r>
    </w:p>
    <w:p w:rsidR="00FA423E" w:rsidRPr="00F171B5" w:rsidRDefault="00FA423E" w:rsidP="00FA423E">
      <w:pPr>
        <w:jc w:val="center"/>
        <w:rPr>
          <w:b/>
          <w:sz w:val="20"/>
        </w:rPr>
      </w:pPr>
    </w:p>
    <w:p w:rsidR="00FA423E" w:rsidRPr="00F171B5" w:rsidRDefault="00FA423E" w:rsidP="00FA423E">
      <w:pPr>
        <w:autoSpaceDE w:val="0"/>
        <w:autoSpaceDN w:val="0"/>
        <w:adjustRightInd w:val="0"/>
        <w:jc w:val="both"/>
        <w:rPr>
          <w:sz w:val="20"/>
        </w:rPr>
      </w:pPr>
      <w:r w:rsidRPr="00F171B5">
        <w:rPr>
          <w:sz w:val="20"/>
          <w:lang w:val="es-ES_tradnl"/>
        </w:rPr>
        <w:t>En el siguiente cuadro se reseñan los avances realizados hacia la consecución de los resultados en el bienio 2014/15, medidos con arreglo a los indicadores del programa que contribuye al logro de esta meta estratégica.</w:t>
      </w:r>
      <w:r w:rsidRPr="00F171B5">
        <w:rPr>
          <w:sz w:val="20"/>
        </w:rPr>
        <w:t xml:space="preserve">  </w:t>
      </w:r>
    </w:p>
    <w:p w:rsidR="00FA423E" w:rsidRPr="00F171B5" w:rsidRDefault="00FA423E" w:rsidP="00FA423E">
      <w:pPr>
        <w:jc w:val="center"/>
        <w:rPr>
          <w:sz w:val="20"/>
        </w:rPr>
      </w:pPr>
      <w:r w:rsidRPr="00F171B5">
        <w:rPr>
          <w:noProof/>
          <w:sz w:val="20"/>
          <w:lang w:val="en-US" w:eastAsia="en-US"/>
        </w:rPr>
        <w:drawing>
          <wp:inline distT="0" distB="0" distL="0" distR="0" wp14:anchorId="1F3F1CF8" wp14:editId="5347146F">
            <wp:extent cx="5940425" cy="2851800"/>
            <wp:effectExtent l="0" t="0" r="3175" b="571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5940425" cy="2851800"/>
                    </a:xfrm>
                    <a:prstGeom prst="rect">
                      <a:avLst/>
                    </a:prstGeom>
                    <a:noFill/>
                    <a:ln>
                      <a:noFill/>
                    </a:ln>
                  </pic:spPr>
                </pic:pic>
              </a:graphicData>
            </a:graphic>
          </wp:inline>
        </w:drawing>
      </w:r>
    </w:p>
    <w:p w:rsidR="00FA423E" w:rsidRPr="00F171B5" w:rsidRDefault="00FA423E" w:rsidP="00FA423E">
      <w:pPr>
        <w:rPr>
          <w:b/>
          <w:bCs/>
          <w:caps/>
          <w:sz w:val="20"/>
        </w:rPr>
      </w:pPr>
    </w:p>
    <w:tbl>
      <w:tblPr>
        <w:tblW w:w="4942"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872"/>
        <w:gridCol w:w="4043"/>
        <w:gridCol w:w="1706"/>
        <w:gridCol w:w="839"/>
      </w:tblGrid>
      <w:tr w:rsidR="00FA423E" w:rsidRPr="00AF5E7C" w:rsidTr="00DC1333">
        <w:trPr>
          <w:cantSplit/>
          <w:trHeight w:val="455"/>
        </w:trPr>
        <w:tc>
          <w:tcPr>
            <w:tcW w:w="1544" w:type="pct"/>
            <w:tcBorders>
              <w:top w:val="single" w:sz="4" w:space="0" w:color="auto"/>
              <w:bottom w:val="single" w:sz="4" w:space="0" w:color="auto"/>
            </w:tcBorders>
            <w:shd w:val="clear" w:color="auto" w:fill="DAEEF3" w:themeFill="accent5" w:themeFillTint="33"/>
            <w:vAlign w:val="center"/>
          </w:tcPr>
          <w:p w:rsidR="00FA423E" w:rsidRPr="007E4934" w:rsidRDefault="00FA423E" w:rsidP="00DC1333">
            <w:pPr>
              <w:spacing w:after="120"/>
              <w:rPr>
                <w:b/>
                <w:bCs/>
                <w:sz w:val="18"/>
                <w:szCs w:val="18"/>
              </w:rPr>
            </w:pPr>
            <w:r w:rsidRPr="007E4934">
              <w:rPr>
                <w:b/>
                <w:bCs/>
                <w:sz w:val="18"/>
                <w:szCs w:val="18"/>
                <w:lang w:val="es-ES_tradnl"/>
              </w:rPr>
              <w:t>Resultados previstos</w:t>
            </w:r>
          </w:p>
        </w:tc>
        <w:tc>
          <w:tcPr>
            <w:tcW w:w="2162" w:type="pct"/>
            <w:tcBorders>
              <w:top w:val="single" w:sz="4" w:space="0" w:color="auto"/>
              <w:bottom w:val="single" w:sz="4" w:space="0" w:color="auto"/>
            </w:tcBorders>
            <w:shd w:val="clear" w:color="auto" w:fill="DAEEF3" w:themeFill="accent5" w:themeFillTint="33"/>
            <w:tcMar>
              <w:top w:w="110" w:type="dxa"/>
            </w:tcMar>
            <w:vAlign w:val="center"/>
          </w:tcPr>
          <w:p w:rsidR="00FA423E" w:rsidRPr="007E4934" w:rsidRDefault="00FA423E" w:rsidP="00DC1333">
            <w:pPr>
              <w:spacing w:after="120"/>
              <w:rPr>
                <w:b/>
                <w:bCs/>
                <w:sz w:val="18"/>
                <w:szCs w:val="18"/>
              </w:rPr>
            </w:pPr>
            <w:r w:rsidRPr="007E4934">
              <w:rPr>
                <w:b/>
                <w:bCs/>
                <w:sz w:val="18"/>
                <w:szCs w:val="18"/>
                <w:lang w:val="es-ES_tradnl"/>
              </w:rPr>
              <w:t>Indicadores de rendimiento</w:t>
            </w:r>
          </w:p>
        </w:tc>
        <w:tc>
          <w:tcPr>
            <w:tcW w:w="927" w:type="pct"/>
            <w:tcBorders>
              <w:top w:val="single" w:sz="4" w:space="0" w:color="auto"/>
              <w:bottom w:val="single" w:sz="4" w:space="0" w:color="auto"/>
            </w:tcBorders>
            <w:shd w:val="clear" w:color="auto" w:fill="DAEEF3" w:themeFill="accent5" w:themeFillTint="33"/>
            <w:tcMar>
              <w:top w:w="110" w:type="dxa"/>
            </w:tcMar>
            <w:vAlign w:val="center"/>
          </w:tcPr>
          <w:p w:rsidR="00FA423E" w:rsidRPr="007E4934" w:rsidRDefault="00FA423E" w:rsidP="00DC1333">
            <w:pPr>
              <w:spacing w:after="120"/>
              <w:ind w:left="85"/>
              <w:jc w:val="center"/>
              <w:rPr>
                <w:b/>
                <w:bCs/>
                <w:sz w:val="18"/>
                <w:szCs w:val="18"/>
              </w:rPr>
            </w:pPr>
            <w:r w:rsidRPr="007E4934">
              <w:rPr>
                <w:b/>
                <w:bCs/>
                <w:sz w:val="18"/>
                <w:szCs w:val="18"/>
                <w:lang w:val="es-ES_tradnl"/>
              </w:rPr>
              <w:t>Programas responsables</w:t>
            </w:r>
          </w:p>
        </w:tc>
        <w:tc>
          <w:tcPr>
            <w:tcW w:w="367" w:type="pct"/>
            <w:tcBorders>
              <w:top w:val="single" w:sz="4" w:space="0" w:color="auto"/>
              <w:bottom w:val="single" w:sz="4" w:space="0" w:color="auto"/>
            </w:tcBorders>
            <w:shd w:val="clear" w:color="auto" w:fill="DAEEF3" w:themeFill="accent5" w:themeFillTint="33"/>
          </w:tcPr>
          <w:p w:rsidR="00FA423E" w:rsidRPr="002A1191" w:rsidRDefault="00FA423E" w:rsidP="00DC1333">
            <w:pPr>
              <w:spacing w:after="120"/>
              <w:ind w:left="-18" w:firstLine="18"/>
              <w:jc w:val="center"/>
              <w:rPr>
                <w:b/>
                <w:bCs/>
                <w:sz w:val="18"/>
                <w:szCs w:val="18"/>
              </w:rPr>
            </w:pPr>
            <w:r w:rsidRPr="007E4934">
              <w:rPr>
                <w:b/>
                <w:bCs/>
                <w:sz w:val="18"/>
                <w:szCs w:val="18"/>
                <w:lang w:val="es-ES_tradnl"/>
              </w:rPr>
              <w:t>Clave de colores</w:t>
            </w:r>
          </w:p>
        </w:tc>
      </w:tr>
      <w:tr w:rsidR="00FA423E" w:rsidRPr="00AF5E7C" w:rsidTr="00DC1333">
        <w:trPr>
          <w:cantSplit/>
          <w:trHeight w:val="944"/>
        </w:trPr>
        <w:tc>
          <w:tcPr>
            <w:tcW w:w="1544" w:type="pct"/>
            <w:tcBorders>
              <w:top w:val="single" w:sz="4" w:space="0" w:color="auto"/>
            </w:tcBorders>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VI.1 Avances en el diálogo internacional sobre políticas entre los Estados miembros de la OMPI para fomentar el respeto por la P.I. sobre la base de la recomendación 45 de la Agenda de la OMPI para el Desarrollo</w:t>
            </w:r>
          </w:p>
        </w:tc>
        <w:tc>
          <w:tcPr>
            <w:tcW w:w="2162" w:type="pct"/>
            <w:tcBorders>
              <w:top w:val="single" w:sz="4" w:space="0" w:color="auto"/>
            </w:tcBorders>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Acuerdo constante entre los Estados miembros sobre la labor sustantiva del Comité Asesor de la OMPI sobre Observancia (ACE), al incorporar elementos orientados al desarrollo</w:t>
            </w:r>
          </w:p>
        </w:tc>
        <w:tc>
          <w:tcPr>
            <w:tcW w:w="927" w:type="pct"/>
            <w:tcBorders>
              <w:top w:val="single" w:sz="4" w:space="0" w:color="auto"/>
            </w:tcBorders>
            <w:shd w:val="clear" w:color="auto" w:fill="FFFFFF"/>
            <w:tcMar>
              <w:top w:w="113" w:type="dxa"/>
              <w:bottom w:w="85" w:type="dxa"/>
            </w:tcMar>
          </w:tcPr>
          <w:p w:rsidR="00FA423E" w:rsidRPr="007E4934" w:rsidRDefault="00FA423E" w:rsidP="00DC1333">
            <w:pPr>
              <w:jc w:val="center"/>
              <w:rPr>
                <w:sz w:val="16"/>
                <w:szCs w:val="16"/>
              </w:rPr>
            </w:pPr>
            <w:r w:rsidRPr="007E4934">
              <w:rPr>
                <w:sz w:val="16"/>
                <w:szCs w:val="16"/>
                <w:lang w:val="es-ES_tradnl"/>
              </w:rPr>
              <w:t>Programa 17</w:t>
            </w:r>
          </w:p>
        </w:tc>
        <w:tc>
          <w:tcPr>
            <w:tcW w:w="367" w:type="pct"/>
            <w:tcBorders>
              <w:top w:val="single" w:sz="4" w:space="0" w:color="auto"/>
            </w:tcBorders>
            <w:shd w:val="clear" w:color="auto" w:fill="FFFFFF"/>
          </w:tcPr>
          <w:p w:rsidR="00FA423E" w:rsidRPr="00F718E6" w:rsidRDefault="00FA423E" w:rsidP="00DC1333">
            <w:pPr>
              <w:jc w:val="center"/>
              <w:rPr>
                <w:color w:val="A6A6A6" w:themeColor="background1" w:themeShade="A6"/>
                <w:szCs w:val="22"/>
              </w:rPr>
            </w:pPr>
            <w:r w:rsidRPr="005F33CE">
              <w:rPr>
                <w:color w:val="008000"/>
                <w:szCs w:val="22"/>
              </w:rPr>
              <w:sym w:font="Wingdings" w:char="F06C"/>
            </w:r>
          </w:p>
        </w:tc>
      </w:tr>
      <w:tr w:rsidR="00FA423E" w:rsidRPr="00AF5E7C" w:rsidTr="00DC1333">
        <w:trPr>
          <w:cantSplit/>
          <w:trHeight w:val="704"/>
        </w:trPr>
        <w:tc>
          <w:tcPr>
            <w:tcW w:w="1544" w:type="pc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VI.2 Cooperación y coordinación sistemáticas, eficaces y transparentes entre la labor de la OMPI y la de otras organizaciones internacionales en el ámbito del fomento del respeto por la P.I.</w:t>
            </w:r>
          </w:p>
        </w:tc>
        <w:tc>
          <w:tcPr>
            <w:tcW w:w="2162" w:type="pc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Número de actividades conjuntas de fomento del respeto por la P.I.</w:t>
            </w:r>
          </w:p>
        </w:tc>
        <w:tc>
          <w:tcPr>
            <w:tcW w:w="927" w:type="pct"/>
            <w:shd w:val="clear" w:color="auto" w:fill="FFFFFF"/>
            <w:tcMar>
              <w:top w:w="113" w:type="dxa"/>
              <w:bottom w:w="85" w:type="dxa"/>
            </w:tcMar>
          </w:tcPr>
          <w:p w:rsidR="00FA423E" w:rsidRPr="007E4934" w:rsidRDefault="00FA423E" w:rsidP="00DC1333">
            <w:pPr>
              <w:jc w:val="center"/>
              <w:rPr>
                <w:sz w:val="16"/>
                <w:szCs w:val="16"/>
              </w:rPr>
            </w:pPr>
            <w:r w:rsidRPr="007E4934">
              <w:rPr>
                <w:sz w:val="16"/>
                <w:szCs w:val="16"/>
                <w:lang w:val="es-ES_tradnl"/>
              </w:rPr>
              <w:t>Programa 17</w:t>
            </w:r>
          </w:p>
        </w:tc>
        <w:tc>
          <w:tcPr>
            <w:tcW w:w="367" w:type="pct"/>
            <w:shd w:val="clear" w:color="auto" w:fill="FFFFFF"/>
          </w:tcPr>
          <w:p w:rsidR="00FA423E" w:rsidRDefault="00FA423E" w:rsidP="00DC1333">
            <w:pPr>
              <w:jc w:val="center"/>
            </w:pPr>
            <w:r w:rsidRPr="005F33CE">
              <w:rPr>
                <w:color w:val="008000"/>
                <w:szCs w:val="22"/>
              </w:rPr>
              <w:sym w:font="Wingdings" w:char="F06C"/>
            </w:r>
          </w:p>
        </w:tc>
      </w:tr>
    </w:tbl>
    <w:p w:rsidR="00FA423E" w:rsidRDefault="00FA423E" w:rsidP="00FA423E"/>
    <w:p w:rsidR="003B33EE" w:rsidRDefault="003B33EE">
      <w:r>
        <w:br w:type="page"/>
      </w:r>
    </w:p>
    <w:p w:rsidR="003B33EE" w:rsidRPr="00526311" w:rsidRDefault="003B33EE" w:rsidP="00DC1333">
      <w:pPr>
        <w:pStyle w:val="Heading2"/>
        <w:tabs>
          <w:tab w:val="left" w:pos="2410"/>
        </w:tabs>
        <w:jc w:val="both"/>
        <w:rPr>
          <w:b/>
          <w:szCs w:val="20"/>
        </w:rPr>
      </w:pPr>
      <w:bookmarkStart w:id="145" w:name="_Toc422927428"/>
      <w:bookmarkStart w:id="146" w:name="_Toc455159096"/>
      <w:r w:rsidRPr="00526311">
        <w:rPr>
          <w:b/>
          <w:szCs w:val="20"/>
        </w:rPr>
        <w:lastRenderedPageBreak/>
        <w:t>PROGRAMA 17</w:t>
      </w:r>
      <w:r w:rsidRPr="00526311">
        <w:rPr>
          <w:b/>
          <w:szCs w:val="20"/>
        </w:rPr>
        <w:tab/>
        <w:t>FOMENTAR EL RESPETO POR LA P.I.</w:t>
      </w:r>
      <w:bookmarkEnd w:id="145"/>
      <w:bookmarkEnd w:id="146"/>
    </w:p>
    <w:p w:rsidR="003B33EE" w:rsidRPr="00526311" w:rsidRDefault="003B33EE" w:rsidP="00DC1333">
      <w:pPr>
        <w:jc w:val="both"/>
        <w:rPr>
          <w:sz w:val="20"/>
        </w:rPr>
      </w:pPr>
    </w:p>
    <w:p w:rsidR="003B33EE" w:rsidRPr="00526311" w:rsidRDefault="003B33EE" w:rsidP="00DC1333">
      <w:pPr>
        <w:tabs>
          <w:tab w:val="left" w:pos="2410"/>
        </w:tabs>
        <w:jc w:val="both"/>
        <w:rPr>
          <w:b/>
          <w:sz w:val="20"/>
        </w:rPr>
      </w:pPr>
      <w:r w:rsidRPr="00526311">
        <w:rPr>
          <w:b/>
          <w:color w:val="000000"/>
          <w:sz w:val="20"/>
        </w:rPr>
        <w:t>Director de programa</w:t>
      </w:r>
      <w:r w:rsidRPr="00526311">
        <w:rPr>
          <w:b/>
          <w:color w:val="000000"/>
          <w:sz w:val="20"/>
        </w:rPr>
        <w:tab/>
        <w:t>Sr. M.</w:t>
      </w:r>
      <w:r>
        <w:rPr>
          <w:b/>
          <w:color w:val="000000"/>
          <w:sz w:val="20"/>
        </w:rPr>
        <w:t xml:space="preserve"> </w:t>
      </w:r>
      <w:r w:rsidRPr="00526311">
        <w:rPr>
          <w:b/>
          <w:color w:val="000000"/>
          <w:sz w:val="20"/>
        </w:rPr>
        <w:t>A. Getahun</w:t>
      </w:r>
    </w:p>
    <w:p w:rsidR="003B33EE" w:rsidRPr="00526311" w:rsidRDefault="003B33EE" w:rsidP="00DC1333">
      <w:pPr>
        <w:jc w:val="both"/>
        <w:rPr>
          <w:sz w:val="20"/>
        </w:rPr>
      </w:pPr>
    </w:p>
    <w:p w:rsidR="003B33EE" w:rsidRPr="00526311" w:rsidRDefault="003B33EE" w:rsidP="00DC1333">
      <w:pPr>
        <w:jc w:val="both"/>
        <w:rPr>
          <w:sz w:val="20"/>
        </w:rPr>
      </w:pPr>
    </w:p>
    <w:p w:rsidR="003B33EE" w:rsidRPr="00526311" w:rsidRDefault="008F7CBE" w:rsidP="00DC1333">
      <w:pPr>
        <w:jc w:val="both"/>
        <w:rPr>
          <w:bCs/>
        </w:rPr>
      </w:pPr>
      <w:r w:rsidRPr="008F7CBE">
        <w:rPr>
          <w:bCs/>
          <w:sz w:val="20"/>
          <w:szCs w:val="22"/>
        </w:rPr>
        <w:t>LOGROS ALCANZADOS EN EL BIENIO 2014/15</w:t>
      </w:r>
    </w:p>
    <w:p w:rsidR="003B33EE" w:rsidRPr="00526311" w:rsidRDefault="003B33EE" w:rsidP="00DC1333">
      <w:pPr>
        <w:jc w:val="both"/>
      </w:pPr>
    </w:p>
    <w:p w:rsidR="003B33EE" w:rsidRPr="00526311" w:rsidRDefault="003B33EE" w:rsidP="003B33EE">
      <w:pPr>
        <w:pStyle w:val="ListParagraph"/>
        <w:numPr>
          <w:ilvl w:val="0"/>
          <w:numId w:val="80"/>
        </w:numPr>
        <w:ind w:left="0" w:firstLine="0"/>
        <w:jc w:val="both"/>
        <w:rPr>
          <w:rFonts w:cs="Arial"/>
          <w:lang w:val="es-ES"/>
        </w:rPr>
      </w:pPr>
      <w:r w:rsidRPr="00526311">
        <w:rPr>
          <w:rFonts w:cs="Arial"/>
          <w:color w:val="000000"/>
          <w:lang w:val="es-ES"/>
        </w:rPr>
        <w:t>Sobre la base</w:t>
      </w:r>
      <w:r>
        <w:rPr>
          <w:rFonts w:cs="Arial"/>
          <w:color w:val="000000"/>
          <w:lang w:val="es-ES"/>
        </w:rPr>
        <w:t xml:space="preserve"> de la meta estratégica VI y </w:t>
      </w:r>
      <w:r w:rsidRPr="00526311">
        <w:rPr>
          <w:rFonts w:cs="Arial"/>
          <w:color w:val="000000"/>
          <w:lang w:val="es-ES"/>
        </w:rPr>
        <w:t xml:space="preserve">la recomendación 45 de la A.D., las actividades del programa 17 estaban orientadas a mejorar la cooperación internacional en lo que respecta al </w:t>
      </w:r>
      <w:r>
        <w:rPr>
          <w:rFonts w:cs="Arial"/>
          <w:color w:val="000000"/>
          <w:lang w:val="es-ES"/>
        </w:rPr>
        <w:t>fomento del respeto por la P.I. al objeto de</w:t>
      </w:r>
      <w:r w:rsidRPr="00526311">
        <w:rPr>
          <w:rFonts w:cs="Arial"/>
          <w:color w:val="000000"/>
          <w:lang w:val="es-ES"/>
        </w:rPr>
        <w:t xml:space="preserve"> lograr un equilibrio adecuado entre los derechos privados y el interés público.</w:t>
      </w:r>
    </w:p>
    <w:p w:rsidR="003B33EE" w:rsidRPr="00526311" w:rsidRDefault="003B33EE" w:rsidP="00DC1333">
      <w:pPr>
        <w:pStyle w:val="ListParagraph"/>
        <w:ind w:left="0"/>
        <w:jc w:val="both"/>
        <w:rPr>
          <w:rFonts w:cs="Arial"/>
          <w:lang w:val="es-ES"/>
        </w:rPr>
      </w:pPr>
    </w:p>
    <w:p w:rsidR="003B33EE" w:rsidRPr="00526311" w:rsidRDefault="003B33EE" w:rsidP="003B33EE">
      <w:pPr>
        <w:pStyle w:val="ListParagraph"/>
        <w:numPr>
          <w:ilvl w:val="0"/>
          <w:numId w:val="80"/>
        </w:numPr>
        <w:ind w:left="0" w:firstLine="0"/>
        <w:jc w:val="both"/>
        <w:rPr>
          <w:rFonts w:cs="Arial"/>
          <w:lang w:val="es-ES"/>
        </w:rPr>
      </w:pPr>
      <w:r>
        <w:rPr>
          <w:rFonts w:cs="Arial"/>
          <w:color w:val="000000"/>
          <w:lang w:val="es-ES"/>
        </w:rPr>
        <w:t>Las sesio</w:t>
      </w:r>
      <w:r w:rsidRPr="00526311">
        <w:rPr>
          <w:rFonts w:cs="Arial"/>
          <w:color w:val="000000"/>
          <w:lang w:val="es-ES"/>
        </w:rPr>
        <w:t>n</w:t>
      </w:r>
      <w:r>
        <w:rPr>
          <w:rFonts w:cs="Arial"/>
          <w:color w:val="000000"/>
          <w:lang w:val="es-ES"/>
        </w:rPr>
        <w:t>es</w:t>
      </w:r>
      <w:r w:rsidRPr="00526311">
        <w:rPr>
          <w:rFonts w:cs="Arial"/>
          <w:color w:val="000000"/>
          <w:lang w:val="es-ES"/>
        </w:rPr>
        <w:t xml:space="preserve"> </w:t>
      </w:r>
      <w:r>
        <w:rPr>
          <w:rFonts w:cs="Arial"/>
          <w:color w:val="000000"/>
          <w:lang w:val="es-ES"/>
        </w:rPr>
        <w:t xml:space="preserve">novena y décima </w:t>
      </w:r>
      <w:r w:rsidRPr="00526311">
        <w:rPr>
          <w:rFonts w:cs="Arial"/>
          <w:color w:val="000000"/>
          <w:lang w:val="es-ES"/>
        </w:rPr>
        <w:t>del Comité Asesor en materia de Observancia (ACE) (celebrada</w:t>
      </w:r>
      <w:r>
        <w:rPr>
          <w:rFonts w:cs="Arial"/>
          <w:color w:val="000000"/>
          <w:lang w:val="es-ES"/>
        </w:rPr>
        <w:t>s</w:t>
      </w:r>
      <w:r w:rsidRPr="00526311">
        <w:rPr>
          <w:rFonts w:cs="Arial"/>
          <w:color w:val="000000"/>
          <w:lang w:val="es-ES"/>
        </w:rPr>
        <w:t xml:space="preserve"> del 3 al 5 de marzo de 2014</w:t>
      </w:r>
      <w:r>
        <w:rPr>
          <w:rFonts w:cs="Arial"/>
          <w:color w:val="000000"/>
          <w:lang w:val="es-ES"/>
        </w:rPr>
        <w:t xml:space="preserve"> y del 23 al 25 de noviembre de 2015 respectivamente</w:t>
      </w:r>
      <w:r w:rsidRPr="00526311">
        <w:rPr>
          <w:rFonts w:cs="Arial"/>
          <w:color w:val="000000"/>
          <w:lang w:val="es-ES"/>
        </w:rPr>
        <w:t>)</w:t>
      </w:r>
      <w:r>
        <w:rPr>
          <w:rFonts w:cs="Arial"/>
          <w:color w:val="000000"/>
          <w:lang w:val="es-ES"/>
        </w:rPr>
        <w:t xml:space="preserve"> contribuyeron a avanzar</w:t>
      </w:r>
      <w:r w:rsidRPr="00526311">
        <w:rPr>
          <w:rFonts w:cs="Arial"/>
          <w:color w:val="000000"/>
          <w:lang w:val="es-ES"/>
        </w:rPr>
        <w:t xml:space="preserve"> en el diálogo internacional sobre políticas para fomentar el respeto por la P.I.</w:t>
      </w:r>
      <w:r w:rsidRPr="00A43301">
        <w:rPr>
          <w:rFonts w:cs="Arial"/>
          <w:color w:val="000000"/>
          <w:lang w:val="es-ES"/>
        </w:rPr>
        <w:t xml:space="preserve"> </w:t>
      </w:r>
      <w:r w:rsidRPr="00526311">
        <w:rPr>
          <w:rFonts w:cs="Arial"/>
          <w:color w:val="000000"/>
          <w:lang w:val="es-ES"/>
        </w:rPr>
        <w:t xml:space="preserve">entre los Estados miembros </w:t>
      </w:r>
      <w:r>
        <w:rPr>
          <w:rFonts w:cs="Arial"/>
          <w:color w:val="000000"/>
          <w:lang w:val="es-ES"/>
        </w:rPr>
        <w:t>y sirvieron como</w:t>
      </w:r>
      <w:r w:rsidRPr="00526311">
        <w:rPr>
          <w:rFonts w:cs="Arial"/>
          <w:color w:val="000000"/>
          <w:lang w:val="es-ES"/>
        </w:rPr>
        <w:t xml:space="preserve"> "mercado de ideas" propicio para el intercambio de exp</w:t>
      </w:r>
      <w:r>
        <w:rPr>
          <w:rFonts w:cs="Arial"/>
          <w:color w:val="000000"/>
          <w:lang w:val="es-ES"/>
        </w:rPr>
        <w:t>eriencias y prácticas en relación con mecanismos alternativos para la solución de controversias en materia de P.I., así como</w:t>
      </w:r>
      <w:r w:rsidRPr="00526311">
        <w:rPr>
          <w:rFonts w:cs="Arial"/>
          <w:color w:val="000000"/>
          <w:lang w:val="es-ES"/>
        </w:rPr>
        <w:t xml:space="preserve"> </w:t>
      </w:r>
      <w:r>
        <w:rPr>
          <w:rFonts w:cs="Arial"/>
          <w:color w:val="000000"/>
          <w:lang w:val="es-ES"/>
        </w:rPr>
        <w:t xml:space="preserve">de </w:t>
      </w:r>
      <w:r w:rsidRPr="00526311">
        <w:rPr>
          <w:rFonts w:cs="Arial"/>
          <w:color w:val="000000"/>
          <w:lang w:val="es-ES"/>
        </w:rPr>
        <w:t>est</w:t>
      </w:r>
      <w:r>
        <w:rPr>
          <w:rFonts w:cs="Arial"/>
          <w:color w:val="000000"/>
          <w:lang w:val="es-ES"/>
        </w:rPr>
        <w:t>rategias de prevención</w:t>
      </w:r>
      <w:r w:rsidRPr="00526311">
        <w:rPr>
          <w:rFonts w:cs="Arial"/>
          <w:color w:val="000000"/>
          <w:lang w:val="es-ES"/>
        </w:rPr>
        <w:t xml:space="preserve"> </w:t>
      </w:r>
      <w:r>
        <w:rPr>
          <w:rFonts w:cs="Arial"/>
          <w:color w:val="000000"/>
          <w:lang w:val="es-ES"/>
        </w:rPr>
        <w:t>que complementen la observancia, por ejemplo la sensibilización de la opinión pública y las h</w:t>
      </w:r>
      <w:r w:rsidRPr="00CA6A0D">
        <w:rPr>
          <w:rFonts w:cs="Arial"/>
          <w:color w:val="000000"/>
          <w:lang w:val="es-ES"/>
        </w:rPr>
        <w:t>erramientas educativas para los jóvenes</w:t>
      </w:r>
      <w:r w:rsidRPr="00526311">
        <w:rPr>
          <w:rFonts w:cs="Arial"/>
          <w:color w:val="000000"/>
          <w:lang w:val="es-ES"/>
        </w:rPr>
        <w:t>, los nuevos modelos de negocios</w:t>
      </w:r>
      <w:r>
        <w:rPr>
          <w:rFonts w:cs="Arial"/>
          <w:color w:val="000000"/>
          <w:lang w:val="es-ES"/>
        </w:rPr>
        <w:t>,</w:t>
      </w:r>
      <w:r w:rsidRPr="00526311">
        <w:rPr>
          <w:rFonts w:cs="Arial"/>
          <w:color w:val="000000"/>
          <w:lang w:val="es-ES"/>
        </w:rPr>
        <w:t xml:space="preserve"> la seguridad en</w:t>
      </w:r>
      <w:r>
        <w:rPr>
          <w:rFonts w:cs="Arial"/>
          <w:color w:val="000000"/>
          <w:lang w:val="es-ES"/>
        </w:rPr>
        <w:t xml:space="preserve"> la cadena de suministro, </w:t>
      </w:r>
      <w:r w:rsidRPr="00526311">
        <w:rPr>
          <w:rFonts w:cs="Arial"/>
          <w:color w:val="000000"/>
          <w:lang w:val="es-ES"/>
        </w:rPr>
        <w:t xml:space="preserve">los mecanismos </w:t>
      </w:r>
      <w:r>
        <w:rPr>
          <w:rFonts w:cs="Arial"/>
          <w:color w:val="000000"/>
          <w:lang w:val="es-ES"/>
        </w:rPr>
        <w:t>facultativos</w:t>
      </w:r>
      <w:r w:rsidRPr="00526311">
        <w:rPr>
          <w:rFonts w:cs="Arial"/>
          <w:color w:val="000000"/>
          <w:lang w:val="es-ES"/>
        </w:rPr>
        <w:t xml:space="preserve"> </w:t>
      </w:r>
      <w:r>
        <w:rPr>
          <w:rFonts w:cs="Arial"/>
          <w:color w:val="000000"/>
          <w:lang w:val="es-ES"/>
        </w:rPr>
        <w:t>y la coordinación nacional para fomentar el respeto por la P.I.  En ambas sesio</w:t>
      </w:r>
      <w:r w:rsidRPr="00526311">
        <w:rPr>
          <w:rFonts w:cs="Arial"/>
          <w:color w:val="000000"/>
          <w:lang w:val="es-ES"/>
        </w:rPr>
        <w:t>n</w:t>
      </w:r>
      <w:r>
        <w:rPr>
          <w:rFonts w:cs="Arial"/>
          <w:color w:val="000000"/>
          <w:lang w:val="es-ES"/>
        </w:rPr>
        <w:t>es se llevaron a cabo exposicio</w:t>
      </w:r>
      <w:r w:rsidRPr="00526311">
        <w:rPr>
          <w:rFonts w:cs="Arial"/>
          <w:color w:val="000000"/>
          <w:lang w:val="es-ES"/>
        </w:rPr>
        <w:t>n</w:t>
      </w:r>
      <w:r>
        <w:rPr>
          <w:rFonts w:cs="Arial"/>
          <w:color w:val="000000"/>
          <w:lang w:val="es-ES"/>
        </w:rPr>
        <w:t>es</w:t>
      </w:r>
      <w:r w:rsidRPr="00526311">
        <w:rPr>
          <w:rFonts w:cs="Arial"/>
          <w:color w:val="000000"/>
          <w:lang w:val="es-ES"/>
        </w:rPr>
        <w:t xml:space="preserve"> audiovisual</w:t>
      </w:r>
      <w:r>
        <w:rPr>
          <w:rFonts w:cs="Arial"/>
          <w:color w:val="000000"/>
          <w:lang w:val="es-ES"/>
        </w:rPr>
        <w:t>es</w:t>
      </w:r>
      <w:r w:rsidRPr="00526311">
        <w:rPr>
          <w:rFonts w:cs="Arial"/>
          <w:color w:val="000000"/>
          <w:lang w:val="es-ES"/>
        </w:rPr>
        <w:t xml:space="preserve"> en la</w:t>
      </w:r>
      <w:r>
        <w:rPr>
          <w:rFonts w:cs="Arial"/>
          <w:color w:val="000000"/>
          <w:lang w:val="es-ES"/>
        </w:rPr>
        <w:t xml:space="preserve">s que se presentaron campañas de comunicación pública sobre el respeto por la P.I. y herramientas de sensibilización destinadas a los jóvenes.  El Comité acordó intercambiar en su undécima sesión información sobre experiencias nacionales en relación con cuatro temas:  i) </w:t>
      </w:r>
      <w:r w:rsidRPr="00D149D8">
        <w:rPr>
          <w:rFonts w:cs="Arial"/>
          <w:color w:val="000000"/>
          <w:lang w:val="es-ES"/>
        </w:rPr>
        <w:t>actividades de sensibilización y campañas estratégicas utilizadas como medio para fomentar el respeto por la P.I. entre la población en general, especialmente los jóvenes, de conformidad con las prioridades en materia de educación o de otra índole de los Estados miembros</w:t>
      </w:r>
      <w:r>
        <w:rPr>
          <w:rFonts w:cs="Arial"/>
          <w:color w:val="000000"/>
          <w:lang w:val="es-ES"/>
        </w:rPr>
        <w:t xml:space="preserve">;  ii) </w:t>
      </w:r>
      <w:r w:rsidRPr="00D149D8">
        <w:rPr>
          <w:rFonts w:cs="Arial"/>
          <w:color w:val="000000"/>
          <w:lang w:val="es-ES"/>
        </w:rPr>
        <w:t>acuerdos institucionales relativos a políticas y regímenes de observancia de la P.I., en particular los mecanismos para resolver controversias de P.I. de forma equilibrada, holística y eficaz</w:t>
      </w:r>
      <w:r>
        <w:rPr>
          <w:rFonts w:cs="Arial"/>
          <w:color w:val="000000"/>
          <w:lang w:val="es-ES"/>
        </w:rPr>
        <w:t xml:space="preserve">;  iii) la </w:t>
      </w:r>
      <w:r w:rsidRPr="004E2092">
        <w:rPr>
          <w:lang w:val="es-ES"/>
        </w:rPr>
        <w:t>asistencia legislativa que facilita la OMPI, con especial hincapié en la redacción de leyes nacionales sobre observancia en que se tomen en consideración las flexibilidades, el nivel de desarrollo, la diferencia en la tradición jurídica y el posible uso indebido de los procedimientos de observancia</w:t>
      </w:r>
      <w:r>
        <w:rPr>
          <w:lang w:val="es-ES"/>
        </w:rPr>
        <w:t xml:space="preserve">, y iv) </w:t>
      </w:r>
      <w:r w:rsidRPr="004E2092">
        <w:rPr>
          <w:lang w:val="es-ES"/>
        </w:rPr>
        <w:t>el fortalecimiento de capacidades y el apoyo de la OMPI para actividades de capacitación en consonancia con las recomendaciones pertinentes de la Agenda para el Desarrollo y el mandato del ACE</w:t>
      </w:r>
      <w:r>
        <w:rPr>
          <w:rFonts w:cs="Arial"/>
          <w:color w:val="000000"/>
          <w:lang w:val="es-ES"/>
        </w:rPr>
        <w:t>.  El valor que los Estados miembros conceden al ACE los llevó a pedir que las sesiones se celebren con carácter anual.</w:t>
      </w:r>
    </w:p>
    <w:p w:rsidR="003B33EE" w:rsidRPr="00526311" w:rsidRDefault="003B33EE" w:rsidP="00DC1333">
      <w:pPr>
        <w:jc w:val="both"/>
      </w:pPr>
    </w:p>
    <w:p w:rsidR="003B33EE" w:rsidRPr="00526311" w:rsidRDefault="003B33EE" w:rsidP="003B33EE">
      <w:pPr>
        <w:pStyle w:val="ListParagraph"/>
        <w:numPr>
          <w:ilvl w:val="0"/>
          <w:numId w:val="80"/>
        </w:numPr>
        <w:ind w:left="0" w:firstLine="0"/>
        <w:jc w:val="both"/>
        <w:rPr>
          <w:rFonts w:cs="Arial"/>
          <w:lang w:val="es-ES"/>
        </w:rPr>
      </w:pPr>
      <w:r w:rsidRPr="00526311">
        <w:rPr>
          <w:rFonts w:cs="Arial"/>
          <w:color w:val="000000"/>
          <w:lang w:val="es-ES"/>
        </w:rPr>
        <w:t>A fin de lograr la cohesión política internacional y la máxima repercusión mediante recursos comunes, se c</w:t>
      </w:r>
      <w:r>
        <w:rPr>
          <w:rFonts w:cs="Arial"/>
          <w:color w:val="000000"/>
          <w:lang w:val="es-ES"/>
        </w:rPr>
        <w:t>oordinó la labor del programa</w:t>
      </w:r>
      <w:r w:rsidRPr="00526311">
        <w:rPr>
          <w:rFonts w:cs="Arial"/>
          <w:color w:val="000000"/>
          <w:lang w:val="es-ES"/>
        </w:rPr>
        <w:t xml:space="preserve"> con organizaciones intergubernamentales y no gubernamentales, asociaciones de sectores interesados e instituciones académicas.  A través de una colaboración sistemática, transparente y eficaz, la OMPI pudo </w:t>
      </w:r>
      <w:r>
        <w:rPr>
          <w:rFonts w:cs="Arial"/>
          <w:color w:val="000000"/>
          <w:lang w:val="es-ES"/>
        </w:rPr>
        <w:t>garantizar una integración aún mayor de la meta estratégica VI</w:t>
      </w:r>
      <w:r w:rsidRPr="00526311">
        <w:rPr>
          <w:rFonts w:cs="Arial"/>
          <w:color w:val="000000"/>
          <w:lang w:val="es-ES"/>
        </w:rPr>
        <w:t xml:space="preserve"> </w:t>
      </w:r>
      <w:r>
        <w:rPr>
          <w:rFonts w:cs="Arial"/>
          <w:color w:val="000000"/>
          <w:lang w:val="es-ES"/>
        </w:rPr>
        <w:t xml:space="preserve">en las colaboraciones conjuntas con sus asociados internacionales, de acuerdo con la recomendación 40 de la A.D.  Uno de los temas centrales es la intersección entre la P.I. y el derecho privado internacional, que fue objeto de un seminario en cooperación con la </w:t>
      </w:r>
      <w:r w:rsidRPr="00724A4A">
        <w:rPr>
          <w:rFonts w:cs="Arial"/>
          <w:color w:val="000000"/>
          <w:lang w:val="es-ES"/>
        </w:rPr>
        <w:t xml:space="preserve">Asociación de Derecho Internacional </w:t>
      </w:r>
      <w:r>
        <w:rPr>
          <w:rFonts w:cs="Arial"/>
          <w:color w:val="000000"/>
          <w:lang w:val="es-ES"/>
        </w:rPr>
        <w:t xml:space="preserve">organizado en enero de 2015, así como el informe de la OMPI titulado </w:t>
      </w:r>
      <w:proofErr w:type="spellStart"/>
      <w:r w:rsidRPr="00724A4A">
        <w:rPr>
          <w:rFonts w:cs="Arial"/>
          <w:i/>
          <w:lang w:val="es-ES"/>
        </w:rPr>
        <w:t>Private</w:t>
      </w:r>
      <w:proofErr w:type="spellEnd"/>
      <w:r w:rsidRPr="00724A4A">
        <w:rPr>
          <w:rFonts w:cs="Arial"/>
          <w:i/>
          <w:lang w:val="es-ES"/>
        </w:rPr>
        <w:t xml:space="preserve"> International </w:t>
      </w:r>
      <w:proofErr w:type="spellStart"/>
      <w:r w:rsidRPr="00724A4A">
        <w:rPr>
          <w:rFonts w:cs="Arial"/>
          <w:i/>
          <w:lang w:val="es-ES"/>
        </w:rPr>
        <w:t>Law</w:t>
      </w:r>
      <w:proofErr w:type="spellEnd"/>
      <w:r w:rsidRPr="00724A4A">
        <w:rPr>
          <w:rFonts w:cs="Arial"/>
          <w:i/>
          <w:lang w:val="es-ES"/>
        </w:rPr>
        <w:t xml:space="preserve"> </w:t>
      </w:r>
      <w:proofErr w:type="spellStart"/>
      <w:r w:rsidRPr="00724A4A">
        <w:rPr>
          <w:rFonts w:cs="Arial"/>
          <w:i/>
          <w:lang w:val="es-ES"/>
        </w:rPr>
        <w:t>Issues</w:t>
      </w:r>
      <w:proofErr w:type="spellEnd"/>
      <w:r w:rsidRPr="00724A4A">
        <w:rPr>
          <w:rFonts w:cs="Arial"/>
          <w:i/>
          <w:lang w:val="es-ES"/>
        </w:rPr>
        <w:t xml:space="preserve"> in Online Intellectual Property </w:t>
      </w:r>
      <w:proofErr w:type="spellStart"/>
      <w:r w:rsidRPr="00724A4A">
        <w:rPr>
          <w:rFonts w:cs="Arial"/>
          <w:i/>
          <w:lang w:val="es-ES"/>
        </w:rPr>
        <w:t>Infringement</w:t>
      </w:r>
      <w:proofErr w:type="spellEnd"/>
      <w:r w:rsidRPr="00724A4A">
        <w:rPr>
          <w:rFonts w:cs="Arial"/>
          <w:i/>
          <w:lang w:val="es-ES"/>
        </w:rPr>
        <w:t xml:space="preserve"> Disputes </w:t>
      </w:r>
      <w:proofErr w:type="spellStart"/>
      <w:r w:rsidRPr="00724A4A">
        <w:rPr>
          <w:rFonts w:cs="Arial"/>
          <w:i/>
          <w:lang w:val="es-ES"/>
        </w:rPr>
        <w:t>with</w:t>
      </w:r>
      <w:proofErr w:type="spellEnd"/>
      <w:r w:rsidRPr="00724A4A">
        <w:rPr>
          <w:rFonts w:cs="Arial"/>
          <w:i/>
          <w:lang w:val="es-ES"/>
        </w:rPr>
        <w:t xml:space="preserve"> Cross-</w:t>
      </w:r>
      <w:proofErr w:type="spellStart"/>
      <w:r w:rsidRPr="00724A4A">
        <w:rPr>
          <w:rFonts w:cs="Arial"/>
          <w:i/>
          <w:lang w:val="es-ES"/>
        </w:rPr>
        <w:t>border</w:t>
      </w:r>
      <w:proofErr w:type="spellEnd"/>
      <w:r w:rsidRPr="00724A4A">
        <w:rPr>
          <w:rFonts w:cs="Arial"/>
          <w:i/>
          <w:lang w:val="es-ES"/>
        </w:rPr>
        <w:t xml:space="preserve"> </w:t>
      </w:r>
      <w:proofErr w:type="spellStart"/>
      <w:r w:rsidRPr="00724A4A">
        <w:rPr>
          <w:rFonts w:cs="Arial"/>
          <w:i/>
          <w:lang w:val="es-ES"/>
        </w:rPr>
        <w:t>Elements</w:t>
      </w:r>
      <w:proofErr w:type="spellEnd"/>
      <w:r w:rsidRPr="00724A4A">
        <w:rPr>
          <w:rFonts w:cs="Arial"/>
          <w:i/>
          <w:lang w:val="es-ES"/>
        </w:rPr>
        <w:t xml:space="preserve"> – </w:t>
      </w:r>
      <w:proofErr w:type="spellStart"/>
      <w:r w:rsidRPr="00724A4A">
        <w:rPr>
          <w:rFonts w:cs="Arial"/>
          <w:i/>
          <w:lang w:val="es-ES"/>
        </w:rPr>
        <w:t>An</w:t>
      </w:r>
      <w:proofErr w:type="spellEnd"/>
      <w:r w:rsidRPr="00724A4A">
        <w:rPr>
          <w:rFonts w:cs="Arial"/>
          <w:i/>
          <w:lang w:val="es-ES"/>
        </w:rPr>
        <w:t xml:space="preserve"> </w:t>
      </w:r>
      <w:proofErr w:type="spellStart"/>
      <w:r w:rsidRPr="00724A4A">
        <w:rPr>
          <w:rFonts w:cs="Arial"/>
          <w:i/>
          <w:lang w:val="es-ES"/>
        </w:rPr>
        <w:t>Analysis</w:t>
      </w:r>
      <w:proofErr w:type="spellEnd"/>
      <w:r w:rsidRPr="00724A4A">
        <w:rPr>
          <w:rFonts w:cs="Arial"/>
          <w:i/>
          <w:lang w:val="es-ES"/>
        </w:rPr>
        <w:t xml:space="preserve"> of </w:t>
      </w:r>
      <w:proofErr w:type="spellStart"/>
      <w:r w:rsidRPr="00724A4A">
        <w:rPr>
          <w:rFonts w:cs="Arial"/>
          <w:i/>
          <w:lang w:val="es-ES"/>
        </w:rPr>
        <w:t>National</w:t>
      </w:r>
      <w:proofErr w:type="spellEnd"/>
      <w:r w:rsidRPr="00724A4A">
        <w:rPr>
          <w:rFonts w:cs="Arial"/>
          <w:i/>
          <w:lang w:val="es-ES"/>
        </w:rPr>
        <w:t xml:space="preserve"> </w:t>
      </w:r>
      <w:proofErr w:type="spellStart"/>
      <w:r w:rsidRPr="00724A4A">
        <w:rPr>
          <w:rFonts w:cs="Arial"/>
          <w:i/>
          <w:lang w:val="es-ES"/>
        </w:rPr>
        <w:t>Approaches</w:t>
      </w:r>
      <w:proofErr w:type="spellEnd"/>
      <w:r>
        <w:rPr>
          <w:rFonts w:cs="Arial"/>
          <w:i/>
          <w:lang w:val="es-ES"/>
        </w:rPr>
        <w:t>,</w:t>
      </w:r>
      <w:r>
        <w:rPr>
          <w:rStyle w:val="FootnoteReference"/>
          <w:rFonts w:eastAsia="SimSun"/>
          <w:i/>
        </w:rPr>
        <w:footnoteReference w:id="97"/>
      </w:r>
      <w:r w:rsidRPr="00CE1C19">
        <w:rPr>
          <w:rFonts w:cs="Arial"/>
          <w:i/>
          <w:lang w:val="es-ES"/>
        </w:rPr>
        <w:t xml:space="preserve"> </w:t>
      </w:r>
      <w:r w:rsidRPr="00CE1C19">
        <w:rPr>
          <w:rFonts w:cs="Arial"/>
          <w:lang w:val="es-ES"/>
        </w:rPr>
        <w:t>que se publicó en septiembre de 2015.</w:t>
      </w:r>
    </w:p>
    <w:p w:rsidR="003B33EE" w:rsidRPr="00526311" w:rsidRDefault="003B33EE" w:rsidP="00DC1333">
      <w:pPr>
        <w:jc w:val="both"/>
      </w:pPr>
    </w:p>
    <w:p w:rsidR="003B33EE" w:rsidRPr="00526311" w:rsidRDefault="003B33EE" w:rsidP="003B33EE">
      <w:pPr>
        <w:pStyle w:val="ListParagraph"/>
        <w:numPr>
          <w:ilvl w:val="0"/>
          <w:numId w:val="80"/>
        </w:numPr>
        <w:ind w:left="0" w:firstLine="0"/>
        <w:jc w:val="both"/>
        <w:rPr>
          <w:rFonts w:cs="Arial"/>
          <w:lang w:val="es-ES"/>
        </w:rPr>
      </w:pPr>
      <w:r>
        <w:rPr>
          <w:rFonts w:cs="Arial"/>
          <w:color w:val="000000"/>
          <w:lang w:val="es-ES"/>
        </w:rPr>
        <w:t>Durante el bienio</w:t>
      </w:r>
      <w:r w:rsidRPr="00526311">
        <w:rPr>
          <w:rFonts w:cs="Arial"/>
          <w:color w:val="000000"/>
          <w:lang w:val="es-ES"/>
        </w:rPr>
        <w:t xml:space="preserve"> siguió creciendo la demanda de la asistencia que presta la OMPI en forma de asesoramiento legislativo sobre la compatibilidad de las disposiciones en vigor o en proyecto relativas a la observancia, con las obligaciones enumeradas en la Parte III del Acuerdo sobre los ADPIC. </w:t>
      </w:r>
      <w:r w:rsidRPr="00526311">
        <w:rPr>
          <w:rFonts w:cs="Arial"/>
          <w:lang w:val="es-ES"/>
        </w:rPr>
        <w:t xml:space="preserve"> </w:t>
      </w:r>
      <w:r>
        <w:rPr>
          <w:rFonts w:cs="Arial"/>
          <w:lang w:val="es-ES"/>
        </w:rPr>
        <w:t>El programa</w:t>
      </w:r>
      <w:r>
        <w:rPr>
          <w:rFonts w:cs="Arial"/>
          <w:color w:val="000000"/>
          <w:lang w:val="es-ES"/>
        </w:rPr>
        <w:t>,</w:t>
      </w:r>
      <w:r w:rsidRPr="00526311">
        <w:rPr>
          <w:rFonts w:cs="Arial"/>
          <w:color w:val="000000"/>
          <w:lang w:val="es-ES"/>
        </w:rPr>
        <w:t xml:space="preserve"> en estrecha colaboración con </w:t>
      </w:r>
      <w:r>
        <w:rPr>
          <w:rFonts w:cs="Arial"/>
          <w:color w:val="000000"/>
          <w:lang w:val="es-ES"/>
        </w:rPr>
        <w:t>los legisladores nacionales, ayudó a 12</w:t>
      </w:r>
      <w:r w:rsidRPr="00526311">
        <w:rPr>
          <w:rFonts w:cs="Arial"/>
          <w:color w:val="000000"/>
          <w:lang w:val="es-ES"/>
        </w:rPr>
        <w:t xml:space="preserve"> Estados miembros a encontrar soluc</w:t>
      </w:r>
      <w:r>
        <w:rPr>
          <w:rFonts w:cs="Arial"/>
          <w:color w:val="000000"/>
          <w:lang w:val="es-ES"/>
        </w:rPr>
        <w:t>iones legislativas que se ajustara</w:t>
      </w:r>
      <w:r w:rsidRPr="00526311">
        <w:rPr>
          <w:rFonts w:cs="Arial"/>
          <w:color w:val="000000"/>
          <w:lang w:val="es-ES"/>
        </w:rPr>
        <w:t xml:space="preserve">n a sus </w:t>
      </w:r>
      <w:r w:rsidRPr="00526311">
        <w:rPr>
          <w:rFonts w:cs="Arial"/>
          <w:lang w:val="es-ES"/>
        </w:rPr>
        <w:t xml:space="preserve">requisitos nacionales y </w:t>
      </w:r>
      <w:r>
        <w:rPr>
          <w:rFonts w:cs="Arial"/>
          <w:color w:val="000000"/>
          <w:lang w:val="es-ES"/>
        </w:rPr>
        <w:t>en las que se tomara</w:t>
      </w:r>
      <w:r w:rsidRPr="00526311">
        <w:rPr>
          <w:rFonts w:cs="Arial"/>
          <w:color w:val="000000"/>
          <w:lang w:val="es-ES"/>
        </w:rPr>
        <w:t>n en cuenta las opciones y flexibilidades disponibles.  Las actividades en la esfera de la asistencia legislativa, reguladora y de política se basaron en las recomendaciones 1, 6, 12, 13, 14 y 17 de la A.D.</w:t>
      </w:r>
    </w:p>
    <w:p w:rsidR="003B33EE" w:rsidRPr="00526311" w:rsidRDefault="003B33EE" w:rsidP="00DC1333">
      <w:pPr>
        <w:pStyle w:val="ListParagraph"/>
        <w:ind w:left="0"/>
        <w:jc w:val="both"/>
        <w:rPr>
          <w:rFonts w:cs="Arial"/>
          <w:lang w:val="es-ES"/>
        </w:rPr>
      </w:pPr>
    </w:p>
    <w:p w:rsidR="003B33EE" w:rsidRPr="00526311" w:rsidRDefault="003B33EE" w:rsidP="003B33EE">
      <w:pPr>
        <w:pStyle w:val="ListParagraph"/>
        <w:numPr>
          <w:ilvl w:val="0"/>
          <w:numId w:val="80"/>
        </w:numPr>
        <w:ind w:left="0" w:firstLine="0"/>
        <w:jc w:val="both"/>
        <w:rPr>
          <w:rFonts w:cs="Arial"/>
          <w:color w:val="000000"/>
          <w:lang w:val="es-ES"/>
        </w:rPr>
      </w:pPr>
      <w:r w:rsidRPr="00526311">
        <w:rPr>
          <w:rFonts w:cs="Arial"/>
          <w:color w:val="000000"/>
          <w:lang w:val="es-ES"/>
        </w:rPr>
        <w:t xml:space="preserve">Las actividades del programa relativas al </w:t>
      </w:r>
      <w:r w:rsidRPr="00526311">
        <w:rPr>
          <w:rFonts w:cs="Arial"/>
          <w:lang w:val="es-ES"/>
        </w:rPr>
        <w:t>fortalecimiento de capacidad</w:t>
      </w:r>
      <w:r>
        <w:rPr>
          <w:rFonts w:cs="Arial"/>
          <w:lang w:val="es-ES"/>
        </w:rPr>
        <w:t>es</w:t>
      </w:r>
      <w:r w:rsidRPr="00526311">
        <w:rPr>
          <w:rFonts w:cs="Arial"/>
          <w:lang w:val="es-ES"/>
        </w:rPr>
        <w:t xml:space="preserve"> tenían </w:t>
      </w:r>
      <w:r w:rsidRPr="00526311">
        <w:rPr>
          <w:rFonts w:cs="Arial"/>
          <w:color w:val="000000"/>
          <w:lang w:val="es-ES"/>
        </w:rPr>
        <w:t xml:space="preserve">por misión habilitar a las autoridades nacionales para que puedan fomentar el respeto por la P.I. mediante la suma equilibrada de actividades de observancia y medidas preventivas diseñadas para reducir la demanda de </w:t>
      </w:r>
      <w:r w:rsidRPr="00526311">
        <w:rPr>
          <w:rFonts w:cs="Arial"/>
          <w:color w:val="000000"/>
          <w:lang w:val="es-ES"/>
        </w:rPr>
        <w:lastRenderedPageBreak/>
        <w:t xml:space="preserve">productos falsificados y destacar el valor del mercado de productos legítimos.  Para mejorar la sostenibilidad de la transferencia de conocimientos, se establecieron colaboraciones específicas con </w:t>
      </w:r>
      <w:r>
        <w:rPr>
          <w:rFonts w:cs="Arial"/>
          <w:color w:val="000000"/>
          <w:lang w:val="es-ES"/>
        </w:rPr>
        <w:t>institucion</w:t>
      </w:r>
      <w:r w:rsidRPr="00526311">
        <w:rPr>
          <w:rFonts w:cs="Arial"/>
          <w:color w:val="000000"/>
          <w:lang w:val="es-ES"/>
        </w:rPr>
        <w:t>es nacionales de formación en materia de observancia de la ley capaces de actuar como</w:t>
      </w:r>
      <w:r>
        <w:rPr>
          <w:rFonts w:cs="Arial"/>
          <w:color w:val="000000"/>
          <w:lang w:val="es-ES"/>
        </w:rPr>
        <w:t xml:space="preserve"> multiplicadores y se elaboró un manual básico sobre investigación y enjuiciamiento de los delitos en materia de P.I. para que sea utilizado o adaptado en la formación de los funcionarios encargados de hacer cumplir la ley y los fiscales.  </w:t>
      </w:r>
      <w:r w:rsidRPr="00526311">
        <w:rPr>
          <w:rFonts w:cs="Arial"/>
          <w:color w:val="000000"/>
          <w:lang w:val="es-ES"/>
        </w:rPr>
        <w:t xml:space="preserve">Además, </w:t>
      </w:r>
      <w:r>
        <w:rPr>
          <w:rFonts w:cs="Arial"/>
          <w:color w:val="000000"/>
          <w:lang w:val="es-ES"/>
        </w:rPr>
        <w:t xml:space="preserve">durante el bienio </w:t>
      </w:r>
      <w:r w:rsidRPr="00526311">
        <w:rPr>
          <w:rFonts w:cs="Arial"/>
          <w:color w:val="000000"/>
          <w:lang w:val="es-ES"/>
        </w:rPr>
        <w:t>se publicó una edición francesa y una traducción al árabe de la edición inglesa del Repertorio de la OMPI</w:t>
      </w:r>
      <w:r w:rsidRPr="00526311">
        <w:rPr>
          <w:lang w:val="es-ES"/>
        </w:rPr>
        <w:t xml:space="preserve"> </w:t>
      </w:r>
      <w:r w:rsidRPr="00526311">
        <w:rPr>
          <w:rFonts w:cs="Arial"/>
          <w:color w:val="000000"/>
          <w:lang w:val="es-ES"/>
        </w:rPr>
        <w:t>de jurisprudencia en materia de observancia de los derechos de P.I.  Las actividades en esta esfera se basaron en las recomendaciones 3, 10, y 11 de la A.D.</w:t>
      </w:r>
    </w:p>
    <w:p w:rsidR="003B33EE" w:rsidRPr="00526311" w:rsidRDefault="003B33EE" w:rsidP="00DC1333">
      <w:pPr>
        <w:pStyle w:val="ListParagraph"/>
        <w:ind w:left="0"/>
        <w:jc w:val="both"/>
        <w:rPr>
          <w:rFonts w:cs="Arial"/>
          <w:lang w:val="es-ES"/>
        </w:rPr>
      </w:pPr>
    </w:p>
    <w:p w:rsidR="003B33EE" w:rsidRPr="00526311" w:rsidRDefault="003B33EE" w:rsidP="003B33EE">
      <w:pPr>
        <w:pStyle w:val="ListParagraph"/>
        <w:numPr>
          <w:ilvl w:val="0"/>
          <w:numId w:val="80"/>
        </w:numPr>
        <w:ind w:left="0" w:firstLine="0"/>
        <w:jc w:val="both"/>
        <w:rPr>
          <w:rFonts w:cs="Arial"/>
          <w:color w:val="000000"/>
          <w:lang w:val="es-ES"/>
        </w:rPr>
      </w:pPr>
      <w:r w:rsidRPr="00526311">
        <w:rPr>
          <w:rFonts w:cs="Arial"/>
          <w:color w:val="000000"/>
          <w:lang w:val="es-ES"/>
        </w:rPr>
        <w:t xml:space="preserve">Con objeto de dar apoyo a las iniciativas de educación y sensibilización en materia de P.I. de los </w:t>
      </w:r>
      <w:r w:rsidRPr="00526311">
        <w:rPr>
          <w:rFonts w:cs="Arial"/>
          <w:lang w:val="es-ES"/>
        </w:rPr>
        <w:t xml:space="preserve">Estados miembros, </w:t>
      </w:r>
      <w:r w:rsidRPr="00526311">
        <w:rPr>
          <w:rFonts w:cs="Arial"/>
          <w:color w:val="000000"/>
          <w:lang w:val="es-ES"/>
        </w:rPr>
        <w:t xml:space="preserve">destinadas a reducir las infracciones a los derechos de P.I. a través de cambios de comportamiento, se elaboró una metodología modular para establecer estrategias nacionales de sensibilización, y se brindó asistencia a dos </w:t>
      </w:r>
      <w:r w:rsidRPr="00526311">
        <w:rPr>
          <w:rFonts w:cs="Arial"/>
          <w:lang w:val="es-ES"/>
        </w:rPr>
        <w:t xml:space="preserve">Estados miembros </w:t>
      </w:r>
      <w:r w:rsidRPr="00526311">
        <w:rPr>
          <w:rFonts w:cs="Arial"/>
          <w:color w:val="000000"/>
          <w:lang w:val="es-ES"/>
        </w:rPr>
        <w:t>en su aplicación, de conformidad con las necesida</w:t>
      </w:r>
      <w:r>
        <w:rPr>
          <w:rFonts w:cs="Arial"/>
          <w:color w:val="000000"/>
          <w:lang w:val="es-ES"/>
        </w:rPr>
        <w:t>des particulares de cada uno.  Además, e</w:t>
      </w:r>
      <w:r w:rsidRPr="00526311">
        <w:rPr>
          <w:rFonts w:cs="Arial"/>
          <w:color w:val="000000"/>
          <w:lang w:val="es-ES"/>
        </w:rPr>
        <w:t>n el marco del programa</w:t>
      </w:r>
      <w:r>
        <w:rPr>
          <w:rFonts w:cs="Arial"/>
          <w:color w:val="000000"/>
          <w:lang w:val="es-ES"/>
        </w:rPr>
        <w:t xml:space="preserve"> se elaboraron una serie de materiales educativos sobre el respeto por el derecho de autor destinados a alumnos de entre 10 y 15 años,</w:t>
      </w:r>
      <w:r w:rsidRPr="00526311">
        <w:rPr>
          <w:rFonts w:cs="Arial"/>
          <w:color w:val="000000"/>
          <w:lang w:val="es-ES"/>
        </w:rPr>
        <w:t xml:space="preserve"> se proporcionó apoyo a </w:t>
      </w:r>
      <w:r>
        <w:rPr>
          <w:rFonts w:cs="Arial"/>
          <w:color w:val="000000"/>
          <w:lang w:val="es-ES"/>
        </w:rPr>
        <w:t>6</w:t>
      </w:r>
      <w:r w:rsidRPr="00526311">
        <w:rPr>
          <w:rFonts w:cs="Arial"/>
          <w:color w:val="000000"/>
          <w:lang w:val="es-ES"/>
        </w:rPr>
        <w:t xml:space="preserve"> </w:t>
      </w:r>
      <w:r w:rsidRPr="00526311">
        <w:rPr>
          <w:rFonts w:cs="Arial"/>
          <w:lang w:val="es-ES"/>
        </w:rPr>
        <w:t xml:space="preserve">Estados miembros </w:t>
      </w:r>
      <w:r w:rsidRPr="00526311">
        <w:rPr>
          <w:rFonts w:cs="Arial"/>
          <w:color w:val="000000"/>
          <w:lang w:val="es-ES"/>
        </w:rPr>
        <w:t xml:space="preserve">en la organización de competencias escolares en torno al </w:t>
      </w:r>
      <w:r>
        <w:rPr>
          <w:rFonts w:cs="Arial"/>
          <w:color w:val="000000"/>
          <w:lang w:val="es-ES"/>
        </w:rPr>
        <w:t>fomento del respeto por la P.I.</w:t>
      </w:r>
      <w:r w:rsidRPr="00526311">
        <w:rPr>
          <w:rFonts w:cs="Arial"/>
          <w:color w:val="000000"/>
          <w:lang w:val="es-ES"/>
        </w:rPr>
        <w:t xml:space="preserve"> y se publicaron </w:t>
      </w:r>
      <w:r>
        <w:rPr>
          <w:rFonts w:cs="Arial"/>
          <w:color w:val="000000"/>
          <w:lang w:val="es-ES"/>
        </w:rPr>
        <w:t xml:space="preserve">un DVD y </w:t>
      </w:r>
      <w:r w:rsidRPr="00526311">
        <w:rPr>
          <w:rFonts w:cs="Arial"/>
          <w:color w:val="000000"/>
          <w:lang w:val="es-ES"/>
        </w:rPr>
        <w:t xml:space="preserve">cuadernos didácticos con el </w:t>
      </w:r>
      <w:r>
        <w:rPr>
          <w:rFonts w:cs="Arial"/>
          <w:color w:val="000000"/>
          <w:lang w:val="es-ES"/>
        </w:rPr>
        <w:t xml:space="preserve">personaje </w:t>
      </w:r>
      <w:proofErr w:type="spellStart"/>
      <w:r>
        <w:rPr>
          <w:rFonts w:cs="Arial"/>
          <w:color w:val="000000"/>
          <w:lang w:val="es-ES"/>
        </w:rPr>
        <w:t>Póroro</w:t>
      </w:r>
      <w:proofErr w:type="spellEnd"/>
      <w:r>
        <w:rPr>
          <w:rFonts w:cs="Arial"/>
          <w:color w:val="000000"/>
          <w:lang w:val="es-ES"/>
        </w:rPr>
        <w:t>, el pingüinito</w:t>
      </w:r>
      <w:r w:rsidRPr="00526311">
        <w:rPr>
          <w:rFonts w:cs="Arial"/>
          <w:lang w:val="es-ES"/>
        </w:rPr>
        <w:t xml:space="preserve">.  </w:t>
      </w:r>
      <w:r>
        <w:rPr>
          <w:rFonts w:cs="Arial"/>
          <w:lang w:val="es-ES"/>
        </w:rPr>
        <w:t>E</w:t>
      </w:r>
      <w:r w:rsidRPr="00526311">
        <w:rPr>
          <w:rFonts w:cs="Arial"/>
          <w:lang w:val="es-ES"/>
        </w:rPr>
        <w:t>n el marco del</w:t>
      </w:r>
      <w:r>
        <w:rPr>
          <w:rFonts w:cs="Arial"/>
          <w:lang w:val="es-ES"/>
        </w:rPr>
        <w:t xml:space="preserve"> programa de Premios de la OMPI</w:t>
      </w:r>
      <w:r w:rsidRPr="00526311">
        <w:rPr>
          <w:rFonts w:cs="Arial"/>
          <w:lang w:val="es-ES"/>
        </w:rPr>
        <w:t xml:space="preserve"> se concedieron </w:t>
      </w:r>
      <w:r>
        <w:rPr>
          <w:rFonts w:cs="Arial"/>
          <w:lang w:val="es-ES"/>
        </w:rPr>
        <w:t>330 p</w:t>
      </w:r>
      <w:r w:rsidRPr="00526311">
        <w:rPr>
          <w:rFonts w:cs="Arial"/>
          <w:lang w:val="es-ES"/>
        </w:rPr>
        <w:t xml:space="preserve">remios </w:t>
      </w:r>
      <w:r w:rsidR="0016546D">
        <w:rPr>
          <w:rFonts w:cs="Arial"/>
          <w:lang w:val="es-ES"/>
        </w:rPr>
        <w:t>y </w:t>
      </w:r>
      <w:r>
        <w:rPr>
          <w:rFonts w:cs="Arial"/>
          <w:lang w:val="es-ES"/>
        </w:rPr>
        <w:t xml:space="preserve">470 certificados </w:t>
      </w:r>
      <w:r w:rsidRPr="00526311">
        <w:rPr>
          <w:rFonts w:cs="Arial"/>
          <w:lang w:val="es-ES"/>
        </w:rPr>
        <w:t>a beneficiarios de </w:t>
      </w:r>
      <w:r>
        <w:rPr>
          <w:rFonts w:cs="Arial"/>
          <w:lang w:val="es-ES"/>
        </w:rPr>
        <w:t>54</w:t>
      </w:r>
      <w:r w:rsidRPr="00526311">
        <w:rPr>
          <w:rFonts w:cs="Arial"/>
          <w:lang w:val="es-ES"/>
        </w:rPr>
        <w:t xml:space="preserve"> Estados miembros </w:t>
      </w:r>
      <w:r w:rsidRPr="00526311">
        <w:rPr>
          <w:rFonts w:cs="Arial"/>
          <w:color w:val="000000"/>
          <w:lang w:val="es-ES"/>
        </w:rPr>
        <w:t xml:space="preserve">para continuar celebrando los logros de inventores, creadores y empresas innovadoras. </w:t>
      </w:r>
      <w:r w:rsidRPr="00526311">
        <w:rPr>
          <w:rFonts w:cs="Arial"/>
          <w:lang w:val="es-ES"/>
        </w:rPr>
        <w:t xml:space="preserve"> </w:t>
      </w:r>
      <w:r w:rsidRPr="00526311">
        <w:rPr>
          <w:rFonts w:cs="Arial"/>
          <w:color w:val="000000"/>
          <w:lang w:val="es-ES"/>
        </w:rPr>
        <w:t xml:space="preserve">Las actividades de sensibilización en el marco de este programa </w:t>
      </w:r>
      <w:r>
        <w:rPr>
          <w:rFonts w:cs="Arial"/>
          <w:color w:val="000000"/>
          <w:lang w:val="es-ES"/>
        </w:rPr>
        <w:t>se diseñaron en respuesta a</w:t>
      </w:r>
      <w:r w:rsidRPr="00526311">
        <w:rPr>
          <w:rFonts w:cs="Arial"/>
          <w:color w:val="000000"/>
          <w:lang w:val="es-ES"/>
        </w:rPr>
        <w:t xml:space="preserve"> la recomendación 3 de la A.D.</w:t>
      </w:r>
    </w:p>
    <w:p w:rsidR="003B33EE" w:rsidRPr="00526311" w:rsidRDefault="003B33EE" w:rsidP="00DC1333">
      <w:pPr>
        <w:jc w:val="both"/>
      </w:pPr>
    </w:p>
    <w:p w:rsidR="003B33EE" w:rsidRPr="00526311" w:rsidRDefault="003B33EE" w:rsidP="00DC1333"/>
    <w:p w:rsidR="003B33EE" w:rsidRPr="00526311" w:rsidRDefault="008F7CBE" w:rsidP="00DC1333">
      <w:pPr>
        <w:ind w:left="2268" w:hanging="2268"/>
        <w:rPr>
          <w:szCs w:val="22"/>
        </w:rPr>
      </w:pPr>
      <w:r w:rsidRPr="008F7CBE">
        <w:rPr>
          <w:sz w:val="20"/>
          <w:szCs w:val="22"/>
        </w:rPr>
        <w:t>DATOS SOBRE EL RENDIMIENTO</w:t>
      </w:r>
    </w:p>
    <w:p w:rsidR="003B33EE" w:rsidRPr="00526311" w:rsidRDefault="003B33EE" w:rsidP="00DC1333">
      <w:pPr>
        <w:jc w:val="both"/>
      </w:pPr>
    </w:p>
    <w:tbl>
      <w:tblPr>
        <w:tblW w:w="5000"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13"/>
        <w:gridCol w:w="2391"/>
        <w:gridCol w:w="1547"/>
        <w:gridCol w:w="2391"/>
        <w:gridCol w:w="1129"/>
      </w:tblGrid>
      <w:tr w:rsidR="003B33EE" w:rsidRPr="00526311" w:rsidTr="00DC1333">
        <w:trPr>
          <w:cantSplit/>
          <w:trHeight w:val="427"/>
        </w:trPr>
        <w:tc>
          <w:tcPr>
            <w:tcW w:w="5000" w:type="pct"/>
            <w:gridSpan w:val="5"/>
            <w:tcBorders>
              <w:top w:val="single" w:sz="4" w:space="0" w:color="auto"/>
              <w:bottom w:val="single" w:sz="4" w:space="0" w:color="auto"/>
            </w:tcBorders>
            <w:shd w:val="clear" w:color="auto" w:fill="C6D9F1" w:themeFill="text2" w:themeFillTint="33"/>
            <w:vAlign w:val="center"/>
          </w:tcPr>
          <w:p w:rsidR="003B33EE" w:rsidRPr="00526311" w:rsidRDefault="003B33EE" w:rsidP="00DC1333">
            <w:pPr>
              <w:keepNext/>
              <w:keepLines/>
              <w:ind w:left="2019" w:hanging="2019"/>
              <w:rPr>
                <w:b/>
                <w:bCs/>
                <w:sz w:val="16"/>
                <w:szCs w:val="16"/>
              </w:rPr>
            </w:pPr>
            <w:r w:rsidRPr="00526311">
              <w:rPr>
                <w:b/>
                <w:bCs/>
                <w:sz w:val="16"/>
                <w:szCs w:val="16"/>
              </w:rPr>
              <w:t>Resultado previsto</w:t>
            </w:r>
            <w:r w:rsidRPr="00526311">
              <w:rPr>
                <w:bCs/>
                <w:sz w:val="16"/>
                <w:szCs w:val="16"/>
              </w:rPr>
              <w:t>:</w:t>
            </w:r>
            <w:r w:rsidRPr="00526311">
              <w:rPr>
                <w:b/>
                <w:bCs/>
                <w:sz w:val="16"/>
                <w:szCs w:val="16"/>
              </w:rPr>
              <w:tab/>
            </w:r>
            <w:r w:rsidRPr="00526311">
              <w:rPr>
                <w:bCs/>
                <w:sz w:val="16"/>
                <w:szCs w:val="16"/>
              </w:rPr>
              <w:t>I.2 Marcos de P.I. adaptados y equilibrados en el ámbito legislativo, reglamentario y de política</w:t>
            </w:r>
          </w:p>
        </w:tc>
      </w:tr>
      <w:tr w:rsidR="003B33EE" w:rsidRPr="00526311" w:rsidTr="00DC1333">
        <w:trPr>
          <w:cantSplit/>
        </w:trPr>
        <w:tc>
          <w:tcPr>
            <w:tcW w:w="1104" w:type="pct"/>
            <w:tcBorders>
              <w:top w:val="single" w:sz="4" w:space="0" w:color="auto"/>
            </w:tcBorders>
            <w:shd w:val="clear" w:color="auto" w:fill="auto"/>
            <w:vAlign w:val="center"/>
          </w:tcPr>
          <w:p w:rsidR="003B33EE" w:rsidRPr="00526311" w:rsidRDefault="003B33EE" w:rsidP="00DC1333">
            <w:pPr>
              <w:rPr>
                <w:sz w:val="16"/>
                <w:szCs w:val="16"/>
              </w:rPr>
            </w:pPr>
            <w:r w:rsidRPr="00526311">
              <w:rPr>
                <w:b/>
                <w:sz w:val="16"/>
                <w:szCs w:val="16"/>
              </w:rPr>
              <w:t>Indicadores de rendimiento</w:t>
            </w:r>
          </w:p>
        </w:tc>
        <w:tc>
          <w:tcPr>
            <w:tcW w:w="1249" w:type="pct"/>
            <w:tcBorders>
              <w:top w:val="single" w:sz="4" w:space="0" w:color="auto"/>
            </w:tcBorders>
            <w:shd w:val="clear" w:color="auto" w:fill="auto"/>
            <w:vAlign w:val="center"/>
          </w:tcPr>
          <w:p w:rsidR="003B33EE" w:rsidRPr="00526311" w:rsidRDefault="003B33EE" w:rsidP="00DC1333">
            <w:pPr>
              <w:rPr>
                <w:b/>
                <w:bCs/>
                <w:sz w:val="16"/>
                <w:szCs w:val="16"/>
              </w:rPr>
            </w:pPr>
            <w:r w:rsidRPr="00526311">
              <w:rPr>
                <w:b/>
                <w:bCs/>
                <w:sz w:val="16"/>
                <w:szCs w:val="16"/>
              </w:rPr>
              <w:t>Referencia</w:t>
            </w:r>
          </w:p>
        </w:tc>
        <w:tc>
          <w:tcPr>
            <w:tcW w:w="808" w:type="pct"/>
            <w:tcBorders>
              <w:top w:val="single" w:sz="4" w:space="0" w:color="auto"/>
            </w:tcBorders>
            <w:shd w:val="clear" w:color="auto" w:fill="auto"/>
            <w:tcMar>
              <w:top w:w="110" w:type="dxa"/>
            </w:tcMar>
            <w:vAlign w:val="center"/>
          </w:tcPr>
          <w:p w:rsidR="003B33EE" w:rsidRPr="00526311" w:rsidRDefault="003B33EE" w:rsidP="00DC1333">
            <w:pPr>
              <w:rPr>
                <w:b/>
                <w:sz w:val="16"/>
                <w:szCs w:val="16"/>
              </w:rPr>
            </w:pPr>
            <w:r w:rsidRPr="00526311">
              <w:rPr>
                <w:b/>
                <w:sz w:val="16"/>
                <w:szCs w:val="16"/>
              </w:rPr>
              <w:t>Objetivos</w:t>
            </w:r>
          </w:p>
        </w:tc>
        <w:tc>
          <w:tcPr>
            <w:tcW w:w="1248" w:type="pct"/>
            <w:tcBorders>
              <w:top w:val="single" w:sz="4" w:space="0" w:color="auto"/>
            </w:tcBorders>
            <w:shd w:val="clear" w:color="auto" w:fill="FFFFFF"/>
            <w:tcMar>
              <w:top w:w="110" w:type="dxa"/>
            </w:tcMar>
            <w:vAlign w:val="center"/>
          </w:tcPr>
          <w:p w:rsidR="003B33EE" w:rsidRPr="00526311" w:rsidRDefault="003B33EE" w:rsidP="00DC1333">
            <w:pPr>
              <w:rPr>
                <w:sz w:val="16"/>
                <w:szCs w:val="16"/>
              </w:rPr>
            </w:pPr>
            <w:r w:rsidRPr="00526311">
              <w:rPr>
                <w:b/>
                <w:sz w:val="16"/>
                <w:szCs w:val="16"/>
              </w:rPr>
              <w:t>Datos sobre el rendimiento</w:t>
            </w:r>
          </w:p>
        </w:tc>
        <w:tc>
          <w:tcPr>
            <w:tcW w:w="591" w:type="pct"/>
            <w:tcBorders>
              <w:top w:val="single" w:sz="4" w:space="0" w:color="auto"/>
            </w:tcBorders>
            <w:shd w:val="clear" w:color="auto" w:fill="auto"/>
            <w:tcMar>
              <w:top w:w="110" w:type="dxa"/>
            </w:tcMar>
            <w:vAlign w:val="center"/>
          </w:tcPr>
          <w:p w:rsidR="003B33EE" w:rsidRPr="00526311" w:rsidRDefault="003B33EE" w:rsidP="00DC1333">
            <w:pPr>
              <w:keepNext/>
              <w:keepLines/>
              <w:ind w:left="-109"/>
              <w:jc w:val="center"/>
              <w:rPr>
                <w:b/>
                <w:bCs/>
                <w:sz w:val="16"/>
                <w:szCs w:val="16"/>
              </w:rPr>
            </w:pPr>
            <w:r w:rsidRPr="00526311">
              <w:rPr>
                <w:b/>
                <w:bCs/>
                <w:sz w:val="16"/>
                <w:szCs w:val="16"/>
              </w:rPr>
              <w:t>Clave de colores</w:t>
            </w:r>
          </w:p>
        </w:tc>
      </w:tr>
      <w:tr w:rsidR="003B33EE" w:rsidRPr="00526311" w:rsidTr="00DC1333">
        <w:trPr>
          <w:cantSplit/>
        </w:trPr>
        <w:tc>
          <w:tcPr>
            <w:tcW w:w="1104" w:type="pct"/>
            <w:tcBorders>
              <w:bottom w:val="single" w:sz="4" w:space="0" w:color="auto"/>
            </w:tcBorders>
            <w:shd w:val="clear" w:color="auto" w:fill="auto"/>
          </w:tcPr>
          <w:p w:rsidR="003B33EE" w:rsidRPr="00526311" w:rsidRDefault="003B33EE" w:rsidP="00DC1333">
            <w:pPr>
              <w:rPr>
                <w:sz w:val="16"/>
                <w:szCs w:val="16"/>
              </w:rPr>
            </w:pPr>
            <w:r w:rsidRPr="00526311">
              <w:rPr>
                <w:sz w:val="16"/>
                <w:szCs w:val="16"/>
              </w:rPr>
              <w:t>Número de países que han aprobado o modificado los marcos pertinentes (o lo están haciendo actualmente) tras recibir asistencia de la OMPI.</w:t>
            </w:r>
          </w:p>
          <w:p w:rsidR="003B33EE" w:rsidRPr="00526311" w:rsidRDefault="003B33EE" w:rsidP="00DC1333">
            <w:pPr>
              <w:rPr>
                <w:sz w:val="16"/>
                <w:szCs w:val="16"/>
              </w:rPr>
            </w:pPr>
          </w:p>
        </w:tc>
        <w:tc>
          <w:tcPr>
            <w:tcW w:w="1249" w:type="pct"/>
            <w:tcBorders>
              <w:bottom w:val="single" w:sz="4" w:space="0" w:color="auto"/>
            </w:tcBorders>
            <w:shd w:val="clear" w:color="auto" w:fill="auto"/>
          </w:tcPr>
          <w:p w:rsidR="003B33EE" w:rsidRPr="00526311" w:rsidRDefault="003B33EE" w:rsidP="00DC1333">
            <w:pPr>
              <w:rPr>
                <w:i/>
                <w:color w:val="002060"/>
                <w:sz w:val="16"/>
                <w:szCs w:val="16"/>
              </w:rPr>
            </w:pPr>
            <w:r w:rsidRPr="00526311">
              <w:rPr>
                <w:i/>
                <w:color w:val="002060"/>
                <w:sz w:val="16"/>
                <w:szCs w:val="16"/>
              </w:rPr>
              <w:t xml:space="preserve">Referencia actualizada a fines de 2013:  </w:t>
            </w:r>
          </w:p>
          <w:p w:rsidR="003B33EE" w:rsidRPr="00526311" w:rsidRDefault="003B33EE" w:rsidP="00DC1333">
            <w:pPr>
              <w:rPr>
                <w:color w:val="002060"/>
                <w:sz w:val="16"/>
                <w:szCs w:val="16"/>
                <w:lang w:eastAsia="ko-KR" w:bidi="th-TH"/>
              </w:rPr>
            </w:pPr>
            <w:r w:rsidRPr="00526311">
              <w:rPr>
                <w:color w:val="002060"/>
                <w:sz w:val="16"/>
                <w:szCs w:val="16"/>
                <w:lang w:eastAsia="ko-KR" w:bidi="th-TH"/>
              </w:rPr>
              <w:t xml:space="preserve">9 países/organizaciones en proceso de modificar o aprobar los marcos pertinentes en aras de una observancia de P.I. efectiva: </w:t>
            </w:r>
            <w:r>
              <w:rPr>
                <w:color w:val="002060"/>
                <w:sz w:val="16"/>
                <w:szCs w:val="16"/>
                <w:lang w:eastAsia="ko-KR" w:bidi="th-TH"/>
              </w:rPr>
              <w:t xml:space="preserve"> </w:t>
            </w:r>
            <w:r w:rsidRPr="00526311">
              <w:rPr>
                <w:color w:val="002060"/>
                <w:sz w:val="16"/>
                <w:szCs w:val="16"/>
                <w:lang w:eastAsia="ko-KR" w:bidi="th-TH"/>
              </w:rPr>
              <w:t xml:space="preserve">África (5), Asia y el Pacífico (2), América Latina y el Caribe (2) </w:t>
            </w:r>
          </w:p>
          <w:p w:rsidR="003B33EE" w:rsidRPr="00526311" w:rsidRDefault="003B33EE" w:rsidP="00DC1333">
            <w:pPr>
              <w:rPr>
                <w:i/>
                <w:sz w:val="8"/>
                <w:szCs w:val="8"/>
              </w:rPr>
            </w:pPr>
          </w:p>
          <w:p w:rsidR="003B33EE" w:rsidRPr="00526311" w:rsidRDefault="003B33EE" w:rsidP="00DC1333">
            <w:pPr>
              <w:rPr>
                <w:sz w:val="16"/>
                <w:szCs w:val="16"/>
                <w:lang w:bidi="th-TH"/>
              </w:rPr>
            </w:pPr>
            <w:r w:rsidRPr="00526311">
              <w:rPr>
                <w:i/>
                <w:color w:val="000000"/>
                <w:sz w:val="16"/>
                <w:szCs w:val="16"/>
                <w:lang w:bidi="th-TH"/>
              </w:rPr>
              <w:t>Referencia original en el presupuesto de 2014/15</w:t>
            </w:r>
            <w:r w:rsidRPr="00526311">
              <w:rPr>
                <w:i/>
                <w:color w:val="800080"/>
                <w:sz w:val="16"/>
                <w:szCs w:val="16"/>
                <w:lang w:bidi="th-TH"/>
              </w:rPr>
              <w:t xml:space="preserve">: </w:t>
            </w:r>
            <w:r w:rsidRPr="00526311">
              <w:rPr>
                <w:sz w:val="16"/>
                <w:szCs w:val="16"/>
                <w:lang w:bidi="th-TH"/>
              </w:rPr>
              <w:t>por determinar</w:t>
            </w:r>
            <w:r w:rsidRPr="00526311">
              <w:rPr>
                <w:color w:val="800080"/>
                <w:sz w:val="16"/>
                <w:szCs w:val="16"/>
                <w:lang w:bidi="th-TH"/>
              </w:rPr>
              <w:t>.</w:t>
            </w:r>
          </w:p>
          <w:p w:rsidR="003B33EE" w:rsidRPr="00526311" w:rsidRDefault="003B33EE" w:rsidP="00DC1333">
            <w:pPr>
              <w:rPr>
                <w:sz w:val="16"/>
                <w:szCs w:val="16"/>
              </w:rPr>
            </w:pPr>
          </w:p>
        </w:tc>
        <w:tc>
          <w:tcPr>
            <w:tcW w:w="808" w:type="pct"/>
            <w:tcBorders>
              <w:bottom w:val="single" w:sz="4" w:space="0" w:color="auto"/>
            </w:tcBorders>
            <w:shd w:val="clear" w:color="auto" w:fill="auto"/>
            <w:tcMar>
              <w:top w:w="110" w:type="dxa"/>
            </w:tcMar>
          </w:tcPr>
          <w:p w:rsidR="003B33EE" w:rsidRPr="00526311" w:rsidRDefault="003B33EE" w:rsidP="00DC1333">
            <w:pPr>
              <w:rPr>
                <w:i/>
                <w:color w:val="808080"/>
                <w:sz w:val="16"/>
                <w:szCs w:val="16"/>
              </w:rPr>
            </w:pPr>
            <w:r w:rsidRPr="00526311">
              <w:rPr>
                <w:sz w:val="16"/>
                <w:szCs w:val="16"/>
              </w:rPr>
              <w:t>6</w:t>
            </w:r>
            <w:r w:rsidRPr="00526311" w:rsidDel="0069614F">
              <w:rPr>
                <w:color w:val="808080"/>
                <w:sz w:val="16"/>
                <w:szCs w:val="16"/>
                <w:lang w:bidi="th-TH"/>
              </w:rPr>
              <w:t xml:space="preserve"> </w:t>
            </w:r>
          </w:p>
        </w:tc>
        <w:tc>
          <w:tcPr>
            <w:tcW w:w="1248" w:type="pct"/>
            <w:tcBorders>
              <w:bottom w:val="single" w:sz="4" w:space="0" w:color="auto"/>
            </w:tcBorders>
            <w:shd w:val="clear" w:color="auto" w:fill="FFFFFF"/>
            <w:tcMar>
              <w:top w:w="110" w:type="dxa"/>
            </w:tcMar>
          </w:tcPr>
          <w:p w:rsidR="003B33EE" w:rsidRPr="00526311" w:rsidRDefault="003B33EE" w:rsidP="00DC1333">
            <w:pPr>
              <w:rPr>
                <w:sz w:val="16"/>
                <w:szCs w:val="16"/>
                <w:lang w:bidi="th-TH"/>
              </w:rPr>
            </w:pPr>
            <w:r>
              <w:rPr>
                <w:color w:val="000000"/>
                <w:sz w:val="16"/>
                <w:szCs w:val="16"/>
                <w:lang w:bidi="th-TH"/>
              </w:rPr>
              <w:t>Otros 12</w:t>
            </w:r>
            <w:r w:rsidRPr="00526311">
              <w:rPr>
                <w:color w:val="000000"/>
                <w:sz w:val="16"/>
                <w:szCs w:val="16"/>
                <w:lang w:bidi="th-TH"/>
              </w:rPr>
              <w:t xml:space="preserve"> países/organizaciones </w:t>
            </w:r>
            <w:r>
              <w:rPr>
                <w:color w:val="000000"/>
                <w:sz w:val="16"/>
                <w:szCs w:val="16"/>
                <w:lang w:bidi="th-TH"/>
              </w:rPr>
              <w:t xml:space="preserve">han aprobado o modificado o se encuentran </w:t>
            </w:r>
            <w:r w:rsidRPr="00526311">
              <w:rPr>
                <w:color w:val="000000"/>
                <w:sz w:val="16"/>
                <w:szCs w:val="16"/>
                <w:lang w:bidi="th-TH"/>
              </w:rPr>
              <w:t>en proceso de modificar o aprobar los marcos pertinentes en aras de una observancia de P.I. efectiva</w:t>
            </w:r>
            <w:proofErr w:type="gramStart"/>
            <w:r w:rsidRPr="00526311">
              <w:rPr>
                <w:color w:val="000000"/>
                <w:sz w:val="16"/>
                <w:szCs w:val="16"/>
                <w:lang w:bidi="th-TH"/>
              </w:rPr>
              <w:t xml:space="preserve">: </w:t>
            </w:r>
            <w:r>
              <w:rPr>
                <w:color w:val="000000"/>
                <w:sz w:val="16"/>
                <w:szCs w:val="16"/>
                <w:lang w:bidi="th-TH"/>
              </w:rPr>
              <w:t xml:space="preserve"> </w:t>
            </w:r>
            <w:r w:rsidRPr="00526311">
              <w:rPr>
                <w:color w:val="000000"/>
                <w:sz w:val="16"/>
                <w:szCs w:val="16"/>
                <w:lang w:bidi="th-TH"/>
              </w:rPr>
              <w:t>Á</w:t>
            </w:r>
            <w:r>
              <w:rPr>
                <w:color w:val="000000"/>
                <w:sz w:val="16"/>
                <w:szCs w:val="16"/>
                <w:lang w:bidi="th-TH"/>
              </w:rPr>
              <w:t>frica</w:t>
            </w:r>
            <w:proofErr w:type="gramEnd"/>
            <w:r>
              <w:rPr>
                <w:color w:val="000000"/>
                <w:sz w:val="16"/>
                <w:szCs w:val="16"/>
                <w:lang w:bidi="th-TH"/>
              </w:rPr>
              <w:t xml:space="preserve"> (4), Asia y el Pacífico (5), América Latina y el Caribe (3).</w:t>
            </w:r>
          </w:p>
          <w:p w:rsidR="003B33EE" w:rsidRPr="00526311" w:rsidRDefault="003B33EE" w:rsidP="00DC1333">
            <w:pPr>
              <w:rPr>
                <w:sz w:val="16"/>
                <w:szCs w:val="16"/>
              </w:rPr>
            </w:pPr>
            <w:r>
              <w:rPr>
                <w:sz w:val="16"/>
                <w:szCs w:val="16"/>
              </w:rPr>
              <w:t xml:space="preserve">(21 </w:t>
            </w:r>
            <w:r w:rsidRPr="00526311">
              <w:rPr>
                <w:sz w:val="16"/>
                <w:szCs w:val="16"/>
              </w:rPr>
              <w:t>en total).</w:t>
            </w:r>
          </w:p>
        </w:tc>
        <w:tc>
          <w:tcPr>
            <w:tcW w:w="591" w:type="pct"/>
            <w:tcBorders>
              <w:bottom w:val="single" w:sz="4" w:space="0" w:color="auto"/>
            </w:tcBorders>
            <w:shd w:val="clear" w:color="auto" w:fill="auto"/>
            <w:tcMar>
              <w:top w:w="110" w:type="dxa"/>
            </w:tcMar>
          </w:tcPr>
          <w:p w:rsidR="003B33EE" w:rsidRPr="00526311" w:rsidRDefault="003B33EE" w:rsidP="00DC1333">
            <w:pPr>
              <w:keepNext/>
              <w:keepLines/>
              <w:ind w:right="-107"/>
              <w:jc w:val="center"/>
              <w:rPr>
                <w:b/>
                <w:bCs/>
                <w:color w:val="808080"/>
                <w:sz w:val="16"/>
                <w:szCs w:val="16"/>
              </w:rPr>
            </w:pPr>
            <w:r>
              <w:rPr>
                <w:b/>
                <w:bCs/>
                <w:color w:val="00B050"/>
                <w:sz w:val="16"/>
                <w:szCs w:val="16"/>
              </w:rPr>
              <w:t>Plenamente logrado</w:t>
            </w:r>
          </w:p>
        </w:tc>
      </w:tr>
      <w:tr w:rsidR="003B33EE" w:rsidRPr="00526311" w:rsidTr="00DC1333">
        <w:trPr>
          <w:cantSplit/>
          <w:trHeight w:val="745"/>
        </w:trPr>
        <w:tc>
          <w:tcPr>
            <w:tcW w:w="5000" w:type="pct"/>
            <w:gridSpan w:val="5"/>
            <w:tcBorders>
              <w:top w:val="single" w:sz="4" w:space="0" w:color="auto"/>
              <w:bottom w:val="single" w:sz="4" w:space="0" w:color="auto"/>
            </w:tcBorders>
            <w:shd w:val="clear" w:color="auto" w:fill="C6D9F1" w:themeFill="text2" w:themeFillTint="33"/>
            <w:vAlign w:val="center"/>
          </w:tcPr>
          <w:p w:rsidR="003B33EE" w:rsidRPr="00526311" w:rsidRDefault="003B33EE" w:rsidP="00DC1333">
            <w:pPr>
              <w:keepNext/>
              <w:keepLines/>
              <w:ind w:left="2019" w:hanging="2019"/>
              <w:rPr>
                <w:b/>
                <w:bCs/>
                <w:sz w:val="16"/>
                <w:szCs w:val="16"/>
              </w:rPr>
            </w:pPr>
            <w:r w:rsidRPr="00526311">
              <w:rPr>
                <w:b/>
                <w:bCs/>
                <w:sz w:val="16"/>
                <w:szCs w:val="16"/>
              </w:rPr>
              <w:t>Resultado previsto</w:t>
            </w:r>
            <w:r w:rsidRPr="00526311">
              <w:rPr>
                <w:bCs/>
                <w:sz w:val="16"/>
                <w:szCs w:val="16"/>
              </w:rPr>
              <w:t>:</w:t>
            </w:r>
            <w:r w:rsidRPr="00526311">
              <w:rPr>
                <w:b/>
                <w:bCs/>
                <w:sz w:val="16"/>
                <w:szCs w:val="16"/>
              </w:rPr>
              <w:tab/>
            </w:r>
            <w:r w:rsidRPr="00526311">
              <w:rPr>
                <w:bCs/>
                <w:sz w:val="16"/>
                <w:szCs w:val="16"/>
              </w:rPr>
              <w:t>III.2 Aumento de las capacidades en recursos humanos para hacer frente a la gran diversidad de exigencias que supone la utilización eficaz de la P.I. para fomentar el desarrollo en los países en desarrollo, PMA y países con economías en transición</w:t>
            </w:r>
          </w:p>
        </w:tc>
      </w:tr>
      <w:tr w:rsidR="003B33EE" w:rsidRPr="00526311" w:rsidTr="00DC1333">
        <w:trPr>
          <w:cantSplit/>
        </w:trPr>
        <w:tc>
          <w:tcPr>
            <w:tcW w:w="1104" w:type="pct"/>
            <w:tcBorders>
              <w:top w:val="single" w:sz="4" w:space="0" w:color="auto"/>
              <w:left w:val="single" w:sz="4" w:space="0" w:color="auto"/>
              <w:bottom w:val="nil"/>
            </w:tcBorders>
            <w:shd w:val="clear" w:color="auto" w:fill="auto"/>
            <w:vAlign w:val="center"/>
          </w:tcPr>
          <w:p w:rsidR="003B33EE" w:rsidRPr="00526311" w:rsidRDefault="003B33EE" w:rsidP="00DC1333">
            <w:pPr>
              <w:rPr>
                <w:sz w:val="16"/>
                <w:szCs w:val="16"/>
              </w:rPr>
            </w:pPr>
            <w:r w:rsidRPr="00526311">
              <w:rPr>
                <w:b/>
                <w:sz w:val="16"/>
                <w:szCs w:val="16"/>
              </w:rPr>
              <w:t>Indicadores de rendimiento</w:t>
            </w:r>
          </w:p>
        </w:tc>
        <w:tc>
          <w:tcPr>
            <w:tcW w:w="1249" w:type="pct"/>
            <w:tcBorders>
              <w:top w:val="single" w:sz="4" w:space="0" w:color="auto"/>
              <w:bottom w:val="nil"/>
            </w:tcBorders>
            <w:shd w:val="clear" w:color="auto" w:fill="auto"/>
            <w:vAlign w:val="center"/>
          </w:tcPr>
          <w:p w:rsidR="003B33EE" w:rsidRPr="00526311" w:rsidRDefault="003B33EE" w:rsidP="00DC1333">
            <w:pPr>
              <w:rPr>
                <w:b/>
                <w:bCs/>
                <w:sz w:val="16"/>
                <w:szCs w:val="16"/>
              </w:rPr>
            </w:pPr>
            <w:r w:rsidRPr="00526311">
              <w:rPr>
                <w:b/>
                <w:bCs/>
                <w:sz w:val="16"/>
                <w:szCs w:val="16"/>
              </w:rPr>
              <w:t>Referencia</w:t>
            </w:r>
          </w:p>
        </w:tc>
        <w:tc>
          <w:tcPr>
            <w:tcW w:w="808" w:type="pct"/>
            <w:tcBorders>
              <w:top w:val="single" w:sz="4" w:space="0" w:color="auto"/>
              <w:bottom w:val="nil"/>
            </w:tcBorders>
            <w:shd w:val="clear" w:color="auto" w:fill="auto"/>
            <w:tcMar>
              <w:top w:w="110" w:type="dxa"/>
            </w:tcMar>
            <w:vAlign w:val="center"/>
          </w:tcPr>
          <w:p w:rsidR="003B33EE" w:rsidRPr="00526311" w:rsidRDefault="003B33EE" w:rsidP="00DC1333">
            <w:pPr>
              <w:rPr>
                <w:b/>
                <w:sz w:val="16"/>
                <w:szCs w:val="16"/>
              </w:rPr>
            </w:pPr>
            <w:r w:rsidRPr="00526311">
              <w:rPr>
                <w:b/>
                <w:sz w:val="16"/>
                <w:szCs w:val="16"/>
              </w:rPr>
              <w:t>Objetivos</w:t>
            </w:r>
          </w:p>
        </w:tc>
        <w:tc>
          <w:tcPr>
            <w:tcW w:w="1248" w:type="pct"/>
            <w:tcBorders>
              <w:top w:val="single" w:sz="4" w:space="0" w:color="auto"/>
              <w:bottom w:val="nil"/>
            </w:tcBorders>
            <w:shd w:val="clear" w:color="auto" w:fill="FFFFFF"/>
            <w:tcMar>
              <w:top w:w="110" w:type="dxa"/>
            </w:tcMar>
            <w:vAlign w:val="center"/>
          </w:tcPr>
          <w:p w:rsidR="003B33EE" w:rsidRPr="00526311" w:rsidRDefault="003B33EE" w:rsidP="00DC1333">
            <w:pPr>
              <w:rPr>
                <w:sz w:val="16"/>
                <w:szCs w:val="16"/>
              </w:rPr>
            </w:pPr>
            <w:r w:rsidRPr="00526311">
              <w:rPr>
                <w:b/>
                <w:sz w:val="16"/>
                <w:szCs w:val="16"/>
              </w:rPr>
              <w:t>Datos sobre el rendimiento</w:t>
            </w:r>
          </w:p>
        </w:tc>
        <w:tc>
          <w:tcPr>
            <w:tcW w:w="591" w:type="pct"/>
            <w:tcBorders>
              <w:top w:val="single" w:sz="4" w:space="0" w:color="auto"/>
              <w:bottom w:val="nil"/>
              <w:right w:val="single" w:sz="4" w:space="0" w:color="auto"/>
            </w:tcBorders>
            <w:shd w:val="clear" w:color="auto" w:fill="auto"/>
            <w:tcMar>
              <w:top w:w="110" w:type="dxa"/>
            </w:tcMar>
            <w:vAlign w:val="center"/>
          </w:tcPr>
          <w:p w:rsidR="003B33EE" w:rsidRPr="00526311" w:rsidRDefault="003B33EE" w:rsidP="00DC1333">
            <w:pPr>
              <w:keepNext/>
              <w:keepLines/>
              <w:ind w:left="-109"/>
              <w:jc w:val="center"/>
              <w:rPr>
                <w:b/>
                <w:bCs/>
                <w:sz w:val="16"/>
                <w:szCs w:val="16"/>
              </w:rPr>
            </w:pPr>
            <w:r w:rsidRPr="00526311">
              <w:rPr>
                <w:b/>
                <w:bCs/>
                <w:sz w:val="16"/>
                <w:szCs w:val="16"/>
              </w:rPr>
              <w:t>Clave de colores</w:t>
            </w:r>
          </w:p>
        </w:tc>
      </w:tr>
      <w:tr w:rsidR="003B33EE" w:rsidRPr="00526311" w:rsidTr="00DC1333">
        <w:trPr>
          <w:cantSplit/>
        </w:trPr>
        <w:tc>
          <w:tcPr>
            <w:tcW w:w="1104" w:type="pct"/>
            <w:tcBorders>
              <w:top w:val="nil"/>
              <w:left w:val="single" w:sz="4" w:space="0" w:color="auto"/>
              <w:bottom w:val="nil"/>
            </w:tcBorders>
            <w:shd w:val="clear" w:color="auto" w:fill="auto"/>
          </w:tcPr>
          <w:p w:rsidR="003B33EE" w:rsidRPr="00526311" w:rsidRDefault="003B33EE" w:rsidP="00DC1333">
            <w:pPr>
              <w:rPr>
                <w:sz w:val="16"/>
                <w:szCs w:val="16"/>
              </w:rPr>
            </w:pPr>
            <w:r w:rsidRPr="00526311">
              <w:rPr>
                <w:sz w:val="16"/>
                <w:szCs w:val="16"/>
              </w:rPr>
              <w:t>Porcentaje de participantes que han recibido form</w:t>
            </w:r>
            <w:r>
              <w:rPr>
                <w:sz w:val="16"/>
                <w:szCs w:val="16"/>
              </w:rPr>
              <w:t>ación y que están satisfechos con</w:t>
            </w:r>
            <w:r w:rsidRPr="00526311">
              <w:rPr>
                <w:sz w:val="16"/>
                <w:szCs w:val="16"/>
              </w:rPr>
              <w:t xml:space="preserve"> la utilidad y pertinencia de la formación recibida para su vida profesional.</w:t>
            </w:r>
          </w:p>
        </w:tc>
        <w:tc>
          <w:tcPr>
            <w:tcW w:w="1249" w:type="pct"/>
            <w:tcBorders>
              <w:top w:val="nil"/>
              <w:bottom w:val="nil"/>
            </w:tcBorders>
            <w:shd w:val="clear" w:color="auto" w:fill="auto"/>
          </w:tcPr>
          <w:p w:rsidR="003B33EE" w:rsidRPr="00526311" w:rsidRDefault="003B33EE" w:rsidP="00DC1333">
            <w:pPr>
              <w:rPr>
                <w:color w:val="002060"/>
                <w:sz w:val="16"/>
                <w:szCs w:val="16"/>
                <w:lang w:eastAsia="ko-KR" w:bidi="th-TH"/>
              </w:rPr>
            </w:pPr>
            <w:r w:rsidRPr="00526311">
              <w:rPr>
                <w:i/>
                <w:color w:val="002060"/>
                <w:sz w:val="16"/>
                <w:szCs w:val="16"/>
              </w:rPr>
              <w:t xml:space="preserve">Referencia actualizada a fines de 2013:  </w:t>
            </w:r>
            <w:r w:rsidRPr="00526311">
              <w:rPr>
                <w:color w:val="002060"/>
                <w:sz w:val="16"/>
                <w:szCs w:val="16"/>
                <w:lang w:eastAsia="ko-KR" w:bidi="th-TH"/>
              </w:rPr>
              <w:t>85%</w:t>
            </w:r>
          </w:p>
          <w:p w:rsidR="003B33EE" w:rsidRPr="00526311" w:rsidRDefault="003B33EE" w:rsidP="00DC1333">
            <w:pPr>
              <w:rPr>
                <w:i/>
                <w:sz w:val="8"/>
                <w:szCs w:val="8"/>
              </w:rPr>
            </w:pPr>
          </w:p>
          <w:p w:rsidR="003B33EE" w:rsidRPr="00526311" w:rsidRDefault="003B33EE" w:rsidP="00DC1333">
            <w:pPr>
              <w:rPr>
                <w:sz w:val="16"/>
                <w:szCs w:val="16"/>
                <w:lang w:bidi="th-TH"/>
              </w:rPr>
            </w:pPr>
            <w:r w:rsidRPr="00526311">
              <w:rPr>
                <w:i/>
                <w:sz w:val="16"/>
                <w:szCs w:val="16"/>
                <w:lang w:bidi="th-TH"/>
              </w:rPr>
              <w:t xml:space="preserve">Referencia original en el presupuesto de 2014/15:  </w:t>
            </w:r>
            <w:r w:rsidRPr="00526311">
              <w:rPr>
                <w:sz w:val="16"/>
                <w:szCs w:val="16"/>
                <w:lang w:bidi="th-TH"/>
              </w:rPr>
              <w:t>75%</w:t>
            </w:r>
          </w:p>
          <w:p w:rsidR="003B33EE" w:rsidRPr="00526311" w:rsidRDefault="003B33EE" w:rsidP="00DC1333">
            <w:pPr>
              <w:rPr>
                <w:sz w:val="16"/>
                <w:szCs w:val="16"/>
              </w:rPr>
            </w:pPr>
          </w:p>
        </w:tc>
        <w:tc>
          <w:tcPr>
            <w:tcW w:w="808" w:type="pct"/>
            <w:tcBorders>
              <w:top w:val="nil"/>
              <w:bottom w:val="nil"/>
            </w:tcBorders>
            <w:shd w:val="clear" w:color="auto" w:fill="auto"/>
            <w:tcMar>
              <w:top w:w="110" w:type="dxa"/>
            </w:tcMar>
          </w:tcPr>
          <w:p w:rsidR="003B33EE" w:rsidRPr="00526311" w:rsidRDefault="003B33EE" w:rsidP="00DC1333">
            <w:pPr>
              <w:rPr>
                <w:i/>
                <w:sz w:val="16"/>
                <w:szCs w:val="16"/>
              </w:rPr>
            </w:pPr>
            <w:r w:rsidRPr="00526311">
              <w:rPr>
                <w:sz w:val="16"/>
                <w:szCs w:val="16"/>
                <w:lang w:bidi="th-TH"/>
              </w:rPr>
              <w:t>75%</w:t>
            </w:r>
          </w:p>
        </w:tc>
        <w:tc>
          <w:tcPr>
            <w:tcW w:w="1248" w:type="pct"/>
            <w:tcBorders>
              <w:top w:val="nil"/>
              <w:bottom w:val="nil"/>
            </w:tcBorders>
            <w:shd w:val="clear" w:color="auto" w:fill="FFFFFF"/>
            <w:tcMar>
              <w:top w:w="110" w:type="dxa"/>
            </w:tcMar>
          </w:tcPr>
          <w:p w:rsidR="003B33EE" w:rsidRPr="00526311" w:rsidRDefault="003B33EE" w:rsidP="00DC1333">
            <w:pPr>
              <w:pStyle w:val="ListParagraph"/>
              <w:tabs>
                <w:tab w:val="left" w:pos="307"/>
              </w:tabs>
              <w:ind w:left="24"/>
              <w:rPr>
                <w:rFonts w:cs="Arial"/>
                <w:sz w:val="16"/>
                <w:szCs w:val="16"/>
                <w:lang w:val="es-ES" w:bidi="th-TH"/>
              </w:rPr>
            </w:pPr>
            <w:r>
              <w:rPr>
                <w:rFonts w:cs="Arial"/>
                <w:sz w:val="16"/>
                <w:szCs w:val="16"/>
                <w:lang w:val="es-ES" w:bidi="th-TH"/>
              </w:rPr>
              <w:t>Índice medio de utilidad de la formación</w:t>
            </w:r>
            <w:proofErr w:type="gramStart"/>
            <w:r>
              <w:rPr>
                <w:rFonts w:cs="Arial"/>
                <w:sz w:val="16"/>
                <w:szCs w:val="16"/>
                <w:lang w:val="es-ES" w:bidi="th-TH"/>
              </w:rPr>
              <w:t>:  93</w:t>
            </w:r>
            <w:proofErr w:type="gramEnd"/>
            <w:r w:rsidRPr="00526311">
              <w:rPr>
                <w:rFonts w:cs="Arial"/>
                <w:sz w:val="16"/>
                <w:szCs w:val="16"/>
                <w:lang w:val="es-ES" w:bidi="th-TH"/>
              </w:rPr>
              <w:t>%.</w:t>
            </w:r>
          </w:p>
          <w:p w:rsidR="003B33EE" w:rsidRPr="00526311" w:rsidRDefault="003B33EE" w:rsidP="00DC1333">
            <w:pPr>
              <w:pStyle w:val="ListParagraph"/>
              <w:tabs>
                <w:tab w:val="left" w:pos="307"/>
              </w:tabs>
              <w:ind w:left="307" w:hanging="283"/>
              <w:rPr>
                <w:rFonts w:cs="Arial"/>
                <w:sz w:val="16"/>
                <w:szCs w:val="16"/>
                <w:lang w:val="es-ES" w:bidi="th-TH"/>
              </w:rPr>
            </w:pPr>
          </w:p>
          <w:p w:rsidR="003B33EE" w:rsidRPr="00526311" w:rsidRDefault="003B33EE" w:rsidP="00DC1333">
            <w:pPr>
              <w:pStyle w:val="ListParagraph"/>
              <w:tabs>
                <w:tab w:val="left" w:pos="307"/>
              </w:tabs>
              <w:ind w:left="24"/>
              <w:rPr>
                <w:rFonts w:cs="Arial"/>
                <w:sz w:val="16"/>
                <w:szCs w:val="16"/>
                <w:lang w:val="es-ES" w:bidi="th-TH"/>
              </w:rPr>
            </w:pPr>
            <w:r>
              <w:rPr>
                <w:rFonts w:cs="Arial"/>
                <w:sz w:val="16"/>
                <w:szCs w:val="16"/>
                <w:lang w:val="es-ES" w:bidi="th-TH"/>
              </w:rPr>
              <w:t>Índice medio de satisfacción con la formación</w:t>
            </w:r>
            <w:proofErr w:type="gramStart"/>
            <w:r>
              <w:rPr>
                <w:rFonts w:cs="Arial"/>
                <w:sz w:val="16"/>
                <w:szCs w:val="16"/>
                <w:lang w:val="es-ES" w:bidi="th-TH"/>
              </w:rPr>
              <w:t xml:space="preserve">: </w:t>
            </w:r>
            <w:r w:rsidRPr="00526311">
              <w:rPr>
                <w:rFonts w:cs="Arial"/>
                <w:sz w:val="16"/>
                <w:szCs w:val="16"/>
                <w:lang w:val="es-ES" w:bidi="th-TH"/>
              </w:rPr>
              <w:t xml:space="preserve"> 9</w:t>
            </w:r>
            <w:r>
              <w:rPr>
                <w:rFonts w:cs="Arial"/>
                <w:sz w:val="16"/>
                <w:szCs w:val="16"/>
                <w:lang w:val="es-ES" w:bidi="th-TH"/>
              </w:rPr>
              <w:t>2</w:t>
            </w:r>
            <w:proofErr w:type="gramEnd"/>
            <w:r w:rsidRPr="00526311">
              <w:rPr>
                <w:rFonts w:cs="Arial"/>
                <w:sz w:val="16"/>
                <w:szCs w:val="16"/>
                <w:lang w:val="es-ES" w:bidi="th-TH"/>
              </w:rPr>
              <w:t>%</w:t>
            </w:r>
            <w:r>
              <w:rPr>
                <w:rFonts w:cs="Arial"/>
                <w:sz w:val="16"/>
                <w:szCs w:val="16"/>
                <w:lang w:val="es-ES" w:bidi="th-TH"/>
              </w:rPr>
              <w:t>.</w:t>
            </w:r>
          </w:p>
          <w:p w:rsidR="003B33EE" w:rsidRPr="00526311" w:rsidRDefault="003B33EE" w:rsidP="00DC1333">
            <w:pPr>
              <w:rPr>
                <w:sz w:val="16"/>
                <w:szCs w:val="16"/>
              </w:rPr>
            </w:pPr>
          </w:p>
        </w:tc>
        <w:tc>
          <w:tcPr>
            <w:tcW w:w="591" w:type="pct"/>
            <w:tcBorders>
              <w:top w:val="nil"/>
              <w:bottom w:val="nil"/>
              <w:right w:val="single" w:sz="4" w:space="0" w:color="auto"/>
            </w:tcBorders>
            <w:shd w:val="clear" w:color="auto" w:fill="auto"/>
            <w:tcMar>
              <w:top w:w="110" w:type="dxa"/>
            </w:tcMar>
          </w:tcPr>
          <w:p w:rsidR="003B33EE" w:rsidRPr="00526311" w:rsidRDefault="003B33EE" w:rsidP="00DC1333">
            <w:pPr>
              <w:keepNext/>
              <w:keepLines/>
              <w:ind w:right="-107"/>
              <w:jc w:val="center"/>
              <w:rPr>
                <w:bCs/>
                <w:color w:val="00B050"/>
                <w:sz w:val="16"/>
                <w:szCs w:val="16"/>
              </w:rPr>
            </w:pPr>
            <w:r>
              <w:rPr>
                <w:b/>
                <w:bCs/>
                <w:color w:val="00B050"/>
                <w:sz w:val="16"/>
                <w:szCs w:val="16"/>
              </w:rPr>
              <w:t>Plenamente logrado</w:t>
            </w:r>
          </w:p>
        </w:tc>
      </w:tr>
      <w:tr w:rsidR="003B33EE" w:rsidRPr="00526311" w:rsidTr="00DC1333">
        <w:trPr>
          <w:cantSplit/>
        </w:trPr>
        <w:tc>
          <w:tcPr>
            <w:tcW w:w="1104" w:type="pct"/>
            <w:tcBorders>
              <w:top w:val="nil"/>
              <w:left w:val="single" w:sz="4" w:space="0" w:color="auto"/>
              <w:bottom w:val="single" w:sz="4" w:space="0" w:color="auto"/>
            </w:tcBorders>
            <w:shd w:val="clear" w:color="auto" w:fill="auto"/>
          </w:tcPr>
          <w:p w:rsidR="003B33EE" w:rsidRPr="00526311" w:rsidRDefault="003B33EE" w:rsidP="00DC1333">
            <w:pPr>
              <w:rPr>
                <w:sz w:val="16"/>
                <w:szCs w:val="16"/>
                <w:lang w:bidi="th-TH"/>
              </w:rPr>
            </w:pPr>
            <w:r w:rsidRPr="00526311">
              <w:rPr>
                <w:sz w:val="16"/>
                <w:szCs w:val="16"/>
                <w:lang w:bidi="th-TH"/>
              </w:rPr>
              <w:t>Porcentaje de destinatarios que han demostrado conocimientos básicos de un sistema equilibrado de P.I. tras las actividades de la OMPI.</w:t>
            </w:r>
          </w:p>
        </w:tc>
        <w:tc>
          <w:tcPr>
            <w:tcW w:w="1249" w:type="pct"/>
            <w:tcBorders>
              <w:top w:val="nil"/>
              <w:bottom w:val="single" w:sz="4" w:space="0" w:color="auto"/>
            </w:tcBorders>
            <w:shd w:val="clear" w:color="auto" w:fill="auto"/>
          </w:tcPr>
          <w:p w:rsidR="003B33EE" w:rsidRPr="00526311" w:rsidRDefault="003B33EE" w:rsidP="00DC1333">
            <w:pPr>
              <w:rPr>
                <w:i/>
                <w:sz w:val="16"/>
                <w:szCs w:val="16"/>
              </w:rPr>
            </w:pPr>
            <w:proofErr w:type="spellStart"/>
            <w:r w:rsidRPr="00526311">
              <w:rPr>
                <w:sz w:val="16"/>
                <w:szCs w:val="16"/>
              </w:rPr>
              <w:t>N.d</w:t>
            </w:r>
            <w:proofErr w:type="spellEnd"/>
            <w:r w:rsidRPr="00526311">
              <w:rPr>
                <w:sz w:val="16"/>
                <w:szCs w:val="16"/>
              </w:rPr>
              <w:t>.</w:t>
            </w:r>
          </w:p>
        </w:tc>
        <w:tc>
          <w:tcPr>
            <w:tcW w:w="808" w:type="pct"/>
            <w:tcBorders>
              <w:top w:val="nil"/>
              <w:bottom w:val="single" w:sz="4" w:space="0" w:color="auto"/>
            </w:tcBorders>
            <w:shd w:val="clear" w:color="auto" w:fill="auto"/>
            <w:tcMar>
              <w:top w:w="110" w:type="dxa"/>
            </w:tcMar>
          </w:tcPr>
          <w:p w:rsidR="003B33EE" w:rsidRPr="00526311" w:rsidRDefault="003B33EE" w:rsidP="00DC1333">
            <w:pPr>
              <w:rPr>
                <w:sz w:val="16"/>
                <w:szCs w:val="16"/>
                <w:lang w:bidi="th-TH"/>
              </w:rPr>
            </w:pPr>
            <w:r w:rsidRPr="00526311">
              <w:rPr>
                <w:sz w:val="16"/>
                <w:szCs w:val="16"/>
                <w:lang w:bidi="th-TH"/>
              </w:rPr>
              <w:t>75%</w:t>
            </w:r>
          </w:p>
        </w:tc>
        <w:tc>
          <w:tcPr>
            <w:tcW w:w="1248" w:type="pct"/>
            <w:tcBorders>
              <w:top w:val="nil"/>
              <w:bottom w:val="single" w:sz="4" w:space="0" w:color="auto"/>
            </w:tcBorders>
            <w:shd w:val="clear" w:color="auto" w:fill="FFFFFF"/>
            <w:tcMar>
              <w:top w:w="110" w:type="dxa"/>
            </w:tcMar>
          </w:tcPr>
          <w:p w:rsidR="003B33EE" w:rsidRPr="00526311" w:rsidRDefault="003B33EE" w:rsidP="00DC1333">
            <w:pPr>
              <w:pStyle w:val="ListParagraph"/>
              <w:tabs>
                <w:tab w:val="left" w:pos="307"/>
              </w:tabs>
              <w:ind w:left="24"/>
              <w:rPr>
                <w:rFonts w:cs="Arial"/>
                <w:sz w:val="16"/>
                <w:szCs w:val="16"/>
                <w:lang w:val="es-ES" w:bidi="th-TH"/>
              </w:rPr>
            </w:pPr>
            <w:r w:rsidRPr="00526311">
              <w:rPr>
                <w:rFonts w:cs="Arial"/>
                <w:sz w:val="16"/>
                <w:szCs w:val="16"/>
                <w:lang w:val="es-ES" w:bidi="th-TH"/>
              </w:rPr>
              <w:t>&gt;75%</w:t>
            </w:r>
            <w:r>
              <w:rPr>
                <w:rFonts w:cs="Arial"/>
                <w:sz w:val="16"/>
                <w:szCs w:val="16"/>
                <w:lang w:val="es-ES" w:bidi="th-TH"/>
              </w:rPr>
              <w:t>.  Conocimientos básicos demostrados en competencias escolares en los países participantes.</w:t>
            </w:r>
          </w:p>
        </w:tc>
        <w:tc>
          <w:tcPr>
            <w:tcW w:w="591" w:type="pct"/>
            <w:tcBorders>
              <w:top w:val="nil"/>
              <w:bottom w:val="single" w:sz="4" w:space="0" w:color="auto"/>
              <w:right w:val="single" w:sz="4" w:space="0" w:color="auto"/>
            </w:tcBorders>
            <w:shd w:val="clear" w:color="auto" w:fill="auto"/>
            <w:tcMar>
              <w:top w:w="110" w:type="dxa"/>
            </w:tcMar>
          </w:tcPr>
          <w:p w:rsidR="003B33EE" w:rsidRPr="00526311" w:rsidRDefault="003B33EE" w:rsidP="00DC1333">
            <w:pPr>
              <w:keepNext/>
              <w:keepLines/>
              <w:ind w:right="-107"/>
              <w:jc w:val="center"/>
              <w:rPr>
                <w:b/>
                <w:bCs/>
                <w:color w:val="00B050"/>
                <w:sz w:val="16"/>
                <w:szCs w:val="16"/>
              </w:rPr>
            </w:pPr>
            <w:r>
              <w:rPr>
                <w:b/>
                <w:bCs/>
                <w:color w:val="00B050"/>
                <w:sz w:val="16"/>
                <w:szCs w:val="16"/>
              </w:rPr>
              <w:t>Plenamente logrado</w:t>
            </w:r>
          </w:p>
        </w:tc>
      </w:tr>
      <w:tr w:rsidR="003B33EE" w:rsidRPr="00526311" w:rsidTr="00DC1333">
        <w:trPr>
          <w:cantSplit/>
        </w:trPr>
        <w:tc>
          <w:tcPr>
            <w:tcW w:w="1104" w:type="pct"/>
            <w:tcBorders>
              <w:top w:val="single" w:sz="4" w:space="0" w:color="auto"/>
              <w:left w:val="single" w:sz="4" w:space="0" w:color="auto"/>
              <w:bottom w:val="single" w:sz="4" w:space="0" w:color="auto"/>
            </w:tcBorders>
            <w:shd w:val="clear" w:color="auto" w:fill="auto"/>
          </w:tcPr>
          <w:p w:rsidR="003B33EE" w:rsidRPr="00526311" w:rsidRDefault="003B33EE" w:rsidP="00DC1333">
            <w:pPr>
              <w:rPr>
                <w:sz w:val="16"/>
                <w:szCs w:val="16"/>
                <w:lang w:bidi="th-TH"/>
              </w:rPr>
            </w:pPr>
            <w:r w:rsidRPr="00526311">
              <w:rPr>
                <w:sz w:val="16"/>
                <w:szCs w:val="16"/>
                <w:lang w:bidi="th-TH"/>
              </w:rPr>
              <w:lastRenderedPageBreak/>
              <w:t>Número de países participantes en el programa de Premios de la OMPI.</w:t>
            </w:r>
          </w:p>
        </w:tc>
        <w:tc>
          <w:tcPr>
            <w:tcW w:w="1249" w:type="pct"/>
            <w:tcBorders>
              <w:top w:val="single" w:sz="4" w:space="0" w:color="auto"/>
              <w:bottom w:val="single" w:sz="4" w:space="0" w:color="auto"/>
            </w:tcBorders>
            <w:shd w:val="clear" w:color="auto" w:fill="auto"/>
          </w:tcPr>
          <w:p w:rsidR="003B33EE" w:rsidRPr="00526311" w:rsidRDefault="003B33EE" w:rsidP="00DC1333">
            <w:pPr>
              <w:rPr>
                <w:i/>
                <w:color w:val="002060"/>
                <w:sz w:val="16"/>
                <w:szCs w:val="16"/>
              </w:rPr>
            </w:pPr>
            <w:r w:rsidRPr="00526311">
              <w:rPr>
                <w:i/>
                <w:color w:val="002060"/>
                <w:sz w:val="16"/>
                <w:szCs w:val="16"/>
              </w:rPr>
              <w:t>Referencia actualizada a fines de 2013:  42 en 2013</w:t>
            </w:r>
          </w:p>
          <w:p w:rsidR="003B33EE" w:rsidRPr="00526311" w:rsidRDefault="003B33EE" w:rsidP="00DC1333">
            <w:pPr>
              <w:rPr>
                <w:i/>
                <w:sz w:val="8"/>
                <w:szCs w:val="8"/>
              </w:rPr>
            </w:pPr>
          </w:p>
          <w:p w:rsidR="003B33EE" w:rsidRPr="00526311" w:rsidRDefault="003B33EE" w:rsidP="00DC1333">
            <w:pPr>
              <w:rPr>
                <w:sz w:val="16"/>
                <w:szCs w:val="16"/>
                <w:lang w:bidi="th-TH"/>
              </w:rPr>
            </w:pPr>
            <w:r w:rsidRPr="00526311">
              <w:rPr>
                <w:i/>
                <w:sz w:val="16"/>
                <w:szCs w:val="16"/>
                <w:lang w:bidi="th-TH"/>
              </w:rPr>
              <w:t>Referencia original en el presupuesto de 2014/15</w:t>
            </w:r>
            <w:r w:rsidRPr="00526311">
              <w:rPr>
                <w:i/>
                <w:sz w:val="16"/>
                <w:szCs w:val="16"/>
              </w:rPr>
              <w:t>:</w:t>
            </w:r>
            <w:r w:rsidRPr="00526311">
              <w:rPr>
                <w:sz w:val="16"/>
                <w:szCs w:val="16"/>
              </w:rPr>
              <w:br/>
            </w:r>
            <w:r w:rsidRPr="00526311">
              <w:rPr>
                <w:sz w:val="16"/>
                <w:szCs w:val="16"/>
                <w:lang w:bidi="th-TH"/>
              </w:rPr>
              <w:t>40 por año</w:t>
            </w:r>
          </w:p>
          <w:p w:rsidR="003B33EE" w:rsidRPr="00526311" w:rsidRDefault="003B33EE" w:rsidP="00DC1333">
            <w:pPr>
              <w:rPr>
                <w:i/>
                <w:sz w:val="16"/>
                <w:szCs w:val="16"/>
              </w:rPr>
            </w:pPr>
          </w:p>
        </w:tc>
        <w:tc>
          <w:tcPr>
            <w:tcW w:w="808" w:type="pct"/>
            <w:tcBorders>
              <w:top w:val="single" w:sz="4" w:space="0" w:color="auto"/>
              <w:bottom w:val="single" w:sz="4" w:space="0" w:color="auto"/>
            </w:tcBorders>
            <w:shd w:val="clear" w:color="auto" w:fill="auto"/>
            <w:tcMar>
              <w:top w:w="110" w:type="dxa"/>
            </w:tcMar>
          </w:tcPr>
          <w:p w:rsidR="003B33EE" w:rsidRPr="00526311" w:rsidRDefault="003B33EE" w:rsidP="00DC1333">
            <w:pPr>
              <w:rPr>
                <w:sz w:val="16"/>
                <w:szCs w:val="16"/>
                <w:lang w:bidi="th-TH"/>
              </w:rPr>
            </w:pPr>
            <w:r w:rsidRPr="00526311">
              <w:rPr>
                <w:sz w:val="16"/>
                <w:szCs w:val="16"/>
                <w:lang w:bidi="th-TH"/>
              </w:rPr>
              <w:t>40 por año</w:t>
            </w:r>
          </w:p>
        </w:tc>
        <w:tc>
          <w:tcPr>
            <w:tcW w:w="1248" w:type="pct"/>
            <w:tcBorders>
              <w:top w:val="single" w:sz="4" w:space="0" w:color="auto"/>
              <w:bottom w:val="single" w:sz="4" w:space="0" w:color="auto"/>
            </w:tcBorders>
            <w:shd w:val="clear" w:color="auto" w:fill="FFFFFF"/>
            <w:tcMar>
              <w:top w:w="110" w:type="dxa"/>
            </w:tcMar>
          </w:tcPr>
          <w:p w:rsidR="003B33EE" w:rsidRDefault="003B33EE" w:rsidP="00DC1333">
            <w:pPr>
              <w:pStyle w:val="ListParagraph"/>
              <w:tabs>
                <w:tab w:val="left" w:pos="307"/>
              </w:tabs>
              <w:ind w:left="24"/>
              <w:rPr>
                <w:rFonts w:cs="Arial"/>
                <w:sz w:val="16"/>
                <w:szCs w:val="16"/>
                <w:lang w:val="es-ES" w:bidi="th-TH"/>
              </w:rPr>
            </w:pPr>
            <w:r>
              <w:rPr>
                <w:rFonts w:cs="Arial"/>
                <w:sz w:val="16"/>
                <w:szCs w:val="16"/>
                <w:lang w:val="es-ES" w:bidi="th-TH"/>
              </w:rPr>
              <w:t>En 2014/15 participaron en el programa de Premios de la OMPI 54 países distintos en total:</w:t>
            </w:r>
          </w:p>
          <w:p w:rsidR="003B33EE" w:rsidRDefault="003B33EE" w:rsidP="00DC1333">
            <w:pPr>
              <w:pStyle w:val="ListParagraph"/>
              <w:tabs>
                <w:tab w:val="left" w:pos="307"/>
              </w:tabs>
              <w:ind w:left="24"/>
              <w:rPr>
                <w:rFonts w:cs="Arial"/>
                <w:sz w:val="16"/>
                <w:szCs w:val="16"/>
                <w:lang w:val="es-ES" w:bidi="th-TH"/>
              </w:rPr>
            </w:pPr>
          </w:p>
          <w:p w:rsidR="003B33EE" w:rsidRPr="0024598E" w:rsidRDefault="003B33EE" w:rsidP="003B33EE">
            <w:pPr>
              <w:pStyle w:val="ListParagraph"/>
              <w:numPr>
                <w:ilvl w:val="0"/>
                <w:numId w:val="81"/>
              </w:numPr>
              <w:tabs>
                <w:tab w:val="left" w:pos="307"/>
              </w:tabs>
              <w:rPr>
                <w:rFonts w:cs="Arial"/>
                <w:sz w:val="16"/>
                <w:szCs w:val="16"/>
                <w:lang w:val="es-ES" w:bidi="th-TH"/>
              </w:rPr>
            </w:pPr>
            <w:r w:rsidRPr="0024598E">
              <w:rPr>
                <w:rFonts w:cs="Arial"/>
                <w:sz w:val="16"/>
                <w:szCs w:val="16"/>
                <w:lang w:val="es-ES" w:bidi="th-TH"/>
              </w:rPr>
              <w:t>40</w:t>
            </w:r>
            <w:r>
              <w:rPr>
                <w:rStyle w:val="FootnoteReference"/>
                <w:rFonts w:eastAsia="SimSun"/>
                <w:sz w:val="16"/>
                <w:szCs w:val="16"/>
                <w:lang w:bidi="th-TH"/>
              </w:rPr>
              <w:footnoteReference w:id="98"/>
            </w:r>
            <w:r w:rsidRPr="0024598E">
              <w:rPr>
                <w:rFonts w:cs="Arial"/>
                <w:sz w:val="16"/>
                <w:szCs w:val="16"/>
                <w:lang w:val="es-ES" w:bidi="th-TH"/>
              </w:rPr>
              <w:t xml:space="preserve"> en 2014: </w:t>
            </w:r>
            <w:r>
              <w:rPr>
                <w:rFonts w:cs="Arial"/>
                <w:sz w:val="16"/>
                <w:szCs w:val="16"/>
                <w:lang w:val="es-ES" w:bidi="th-TH"/>
              </w:rPr>
              <w:t xml:space="preserve"> </w:t>
            </w:r>
            <w:r w:rsidRPr="0024598E">
              <w:rPr>
                <w:rFonts w:cs="Arial"/>
                <w:sz w:val="16"/>
                <w:szCs w:val="16"/>
                <w:lang w:val="es-ES" w:bidi="th-TH"/>
              </w:rPr>
              <w:t>África (5);</w:t>
            </w:r>
            <w:r>
              <w:rPr>
                <w:rFonts w:cs="Arial"/>
                <w:sz w:val="16"/>
                <w:szCs w:val="16"/>
                <w:lang w:val="es-ES" w:bidi="th-TH"/>
              </w:rPr>
              <w:t xml:space="preserve"> </w:t>
            </w:r>
            <w:r w:rsidRPr="0024598E">
              <w:rPr>
                <w:rFonts w:cs="Arial"/>
                <w:sz w:val="16"/>
                <w:szCs w:val="16"/>
                <w:lang w:val="es-ES" w:bidi="th-TH"/>
              </w:rPr>
              <w:t xml:space="preserve"> Países árabes (3); </w:t>
            </w:r>
            <w:r>
              <w:rPr>
                <w:rFonts w:cs="Arial"/>
                <w:sz w:val="16"/>
                <w:szCs w:val="16"/>
                <w:lang w:val="es-ES" w:bidi="th-TH"/>
              </w:rPr>
              <w:t xml:space="preserve"> </w:t>
            </w:r>
            <w:r w:rsidRPr="0024598E">
              <w:rPr>
                <w:rFonts w:cs="Arial"/>
                <w:sz w:val="16"/>
                <w:szCs w:val="16"/>
                <w:lang w:val="es-ES" w:bidi="th-TH"/>
              </w:rPr>
              <w:t>Asia y el Pacífic</w:t>
            </w:r>
            <w:r>
              <w:rPr>
                <w:rFonts w:cs="Arial"/>
                <w:sz w:val="16"/>
                <w:szCs w:val="16"/>
                <w:lang w:val="es-ES" w:bidi="th-TH"/>
              </w:rPr>
              <w:t>o</w:t>
            </w:r>
            <w:r w:rsidRPr="0024598E">
              <w:rPr>
                <w:rFonts w:cs="Arial"/>
                <w:sz w:val="16"/>
                <w:szCs w:val="16"/>
                <w:lang w:val="es-ES" w:bidi="th-TH"/>
              </w:rPr>
              <w:t xml:space="preserve"> (10); </w:t>
            </w:r>
            <w:r>
              <w:rPr>
                <w:rFonts w:cs="Arial"/>
                <w:sz w:val="16"/>
                <w:szCs w:val="16"/>
                <w:lang w:val="es-ES" w:bidi="th-TH"/>
              </w:rPr>
              <w:t xml:space="preserve"> </w:t>
            </w:r>
            <w:r w:rsidRPr="00526311">
              <w:rPr>
                <w:sz w:val="16"/>
                <w:szCs w:val="16"/>
                <w:lang w:val="es-ES"/>
              </w:rPr>
              <w:t>Determinad</w:t>
            </w:r>
            <w:r>
              <w:rPr>
                <w:sz w:val="16"/>
                <w:szCs w:val="16"/>
                <w:lang w:val="es-ES"/>
              </w:rPr>
              <w:t>os países de Europa y Asia</w:t>
            </w:r>
            <w:r w:rsidRPr="0024598E">
              <w:rPr>
                <w:rFonts w:cs="Arial"/>
                <w:sz w:val="16"/>
                <w:szCs w:val="16"/>
                <w:lang w:val="es-ES" w:bidi="th-TH"/>
              </w:rPr>
              <w:t xml:space="preserve"> (8); </w:t>
            </w:r>
            <w:r>
              <w:rPr>
                <w:rFonts w:cs="Arial"/>
                <w:sz w:val="16"/>
                <w:szCs w:val="16"/>
                <w:lang w:val="es-ES" w:bidi="th-TH"/>
              </w:rPr>
              <w:t xml:space="preserve"> América Latina y el Caribe</w:t>
            </w:r>
            <w:r w:rsidRPr="0024598E">
              <w:rPr>
                <w:rFonts w:cs="Arial"/>
                <w:sz w:val="16"/>
                <w:szCs w:val="16"/>
                <w:lang w:val="es-ES" w:bidi="th-TH"/>
              </w:rPr>
              <w:t xml:space="preserve"> (7</w:t>
            </w:r>
            <w:r>
              <w:rPr>
                <w:rFonts w:cs="Arial"/>
                <w:sz w:val="16"/>
                <w:szCs w:val="16"/>
                <w:lang w:val="es-ES" w:bidi="th-TH"/>
              </w:rPr>
              <w:t>);  Ot</w:t>
            </w:r>
            <w:r w:rsidRPr="0024598E">
              <w:rPr>
                <w:rFonts w:cs="Arial"/>
                <w:sz w:val="16"/>
                <w:szCs w:val="16"/>
                <w:lang w:val="es-ES" w:bidi="th-TH"/>
              </w:rPr>
              <w:t>r</w:t>
            </w:r>
            <w:r>
              <w:rPr>
                <w:rFonts w:cs="Arial"/>
                <w:sz w:val="16"/>
                <w:szCs w:val="16"/>
                <w:lang w:val="es-ES" w:bidi="th-TH"/>
              </w:rPr>
              <w:t>os</w:t>
            </w:r>
            <w:r w:rsidRPr="0024598E">
              <w:rPr>
                <w:rFonts w:cs="Arial"/>
                <w:sz w:val="16"/>
                <w:szCs w:val="16"/>
                <w:lang w:val="es-ES" w:bidi="th-TH"/>
              </w:rPr>
              <w:t xml:space="preserve"> (7)</w:t>
            </w:r>
          </w:p>
          <w:p w:rsidR="003B33EE" w:rsidRPr="0024598E" w:rsidRDefault="003B33EE" w:rsidP="00DC1333">
            <w:pPr>
              <w:pStyle w:val="ListParagraph"/>
              <w:tabs>
                <w:tab w:val="left" w:pos="307"/>
              </w:tabs>
              <w:ind w:left="384"/>
              <w:rPr>
                <w:rFonts w:cs="Arial"/>
                <w:sz w:val="16"/>
                <w:szCs w:val="16"/>
                <w:lang w:val="es-ES" w:bidi="th-TH"/>
              </w:rPr>
            </w:pPr>
            <w:r w:rsidRPr="0024598E">
              <w:rPr>
                <w:rFonts w:cs="Arial"/>
                <w:sz w:val="16"/>
                <w:szCs w:val="16"/>
                <w:lang w:val="es-ES" w:bidi="th-TH"/>
              </w:rPr>
              <w:t xml:space="preserve"> </w:t>
            </w:r>
          </w:p>
          <w:p w:rsidR="003B33EE" w:rsidRDefault="003B33EE" w:rsidP="003B33EE">
            <w:pPr>
              <w:pStyle w:val="ListParagraph"/>
              <w:numPr>
                <w:ilvl w:val="0"/>
                <w:numId w:val="81"/>
              </w:numPr>
              <w:tabs>
                <w:tab w:val="left" w:pos="307"/>
              </w:tabs>
              <w:rPr>
                <w:rFonts w:cs="Arial"/>
                <w:sz w:val="16"/>
                <w:szCs w:val="16"/>
                <w:lang w:val="es-ES" w:bidi="th-TH"/>
              </w:rPr>
            </w:pPr>
            <w:r w:rsidRPr="0024598E">
              <w:rPr>
                <w:rFonts w:cs="Arial"/>
                <w:sz w:val="16"/>
                <w:szCs w:val="16"/>
                <w:lang w:val="es-ES" w:bidi="th-TH"/>
              </w:rPr>
              <w:t xml:space="preserve">43 en 2015: </w:t>
            </w:r>
            <w:r>
              <w:rPr>
                <w:rFonts w:cs="Arial"/>
                <w:sz w:val="16"/>
                <w:szCs w:val="16"/>
                <w:lang w:val="es-ES" w:bidi="th-TH"/>
              </w:rPr>
              <w:t xml:space="preserve"> </w:t>
            </w:r>
            <w:r w:rsidRPr="0024598E">
              <w:rPr>
                <w:rFonts w:cs="Arial"/>
                <w:sz w:val="16"/>
                <w:szCs w:val="16"/>
                <w:lang w:val="es-ES" w:bidi="th-TH"/>
              </w:rPr>
              <w:t xml:space="preserve">África (1); </w:t>
            </w:r>
            <w:r>
              <w:rPr>
                <w:rFonts w:cs="Arial"/>
                <w:sz w:val="16"/>
                <w:szCs w:val="16"/>
                <w:lang w:val="es-ES" w:bidi="th-TH"/>
              </w:rPr>
              <w:t xml:space="preserve"> </w:t>
            </w:r>
            <w:r w:rsidRPr="0024598E">
              <w:rPr>
                <w:rFonts w:cs="Arial"/>
                <w:sz w:val="16"/>
                <w:szCs w:val="16"/>
                <w:lang w:val="es-ES" w:bidi="th-TH"/>
              </w:rPr>
              <w:t>Países árabes (4);</w:t>
            </w:r>
            <w:r>
              <w:rPr>
                <w:rFonts w:cs="Arial"/>
                <w:sz w:val="16"/>
                <w:szCs w:val="16"/>
                <w:lang w:val="es-ES" w:bidi="th-TH"/>
              </w:rPr>
              <w:t xml:space="preserve"> </w:t>
            </w:r>
            <w:r w:rsidRPr="0024598E">
              <w:rPr>
                <w:rFonts w:cs="Arial"/>
                <w:sz w:val="16"/>
                <w:szCs w:val="16"/>
                <w:lang w:val="es-ES" w:bidi="th-TH"/>
              </w:rPr>
              <w:t xml:space="preserve"> Asia y el Pacífic</w:t>
            </w:r>
            <w:r>
              <w:rPr>
                <w:rFonts w:cs="Arial"/>
                <w:sz w:val="16"/>
                <w:szCs w:val="16"/>
                <w:lang w:val="es-ES" w:bidi="th-TH"/>
              </w:rPr>
              <w:t>o</w:t>
            </w:r>
            <w:r w:rsidRPr="0024598E">
              <w:rPr>
                <w:rFonts w:cs="Arial"/>
                <w:sz w:val="16"/>
                <w:szCs w:val="16"/>
                <w:lang w:val="es-ES" w:bidi="th-TH"/>
              </w:rPr>
              <w:t xml:space="preserve"> (8); </w:t>
            </w:r>
            <w:r>
              <w:rPr>
                <w:rFonts w:cs="Arial"/>
                <w:sz w:val="16"/>
                <w:szCs w:val="16"/>
                <w:lang w:val="es-ES" w:bidi="th-TH"/>
              </w:rPr>
              <w:t xml:space="preserve"> </w:t>
            </w:r>
            <w:r w:rsidRPr="00526311">
              <w:rPr>
                <w:sz w:val="16"/>
                <w:szCs w:val="16"/>
                <w:lang w:val="es-ES"/>
              </w:rPr>
              <w:t>Determinad</w:t>
            </w:r>
            <w:r>
              <w:rPr>
                <w:sz w:val="16"/>
                <w:szCs w:val="16"/>
                <w:lang w:val="es-ES"/>
              </w:rPr>
              <w:t>os países de Europa y Asia</w:t>
            </w:r>
            <w:r w:rsidRPr="0024598E">
              <w:rPr>
                <w:rFonts w:cs="Arial"/>
                <w:sz w:val="16"/>
                <w:szCs w:val="16"/>
                <w:lang w:val="es-ES" w:bidi="th-TH"/>
              </w:rPr>
              <w:t xml:space="preserve"> (15); </w:t>
            </w:r>
            <w:r>
              <w:rPr>
                <w:rFonts w:cs="Arial"/>
                <w:sz w:val="16"/>
                <w:szCs w:val="16"/>
                <w:lang w:val="es-ES" w:bidi="th-TH"/>
              </w:rPr>
              <w:t xml:space="preserve"> América Latina y el Caribe</w:t>
            </w:r>
            <w:r w:rsidRPr="0024598E">
              <w:rPr>
                <w:rFonts w:cs="Arial"/>
                <w:sz w:val="16"/>
                <w:szCs w:val="16"/>
                <w:lang w:val="es-ES" w:bidi="th-TH"/>
              </w:rPr>
              <w:t xml:space="preserve"> (9); </w:t>
            </w:r>
            <w:r>
              <w:rPr>
                <w:rFonts w:cs="Arial"/>
                <w:sz w:val="16"/>
                <w:szCs w:val="16"/>
                <w:lang w:val="es-ES" w:bidi="th-TH"/>
              </w:rPr>
              <w:t xml:space="preserve"> Ot</w:t>
            </w:r>
            <w:r w:rsidRPr="0024598E">
              <w:rPr>
                <w:rFonts w:cs="Arial"/>
                <w:sz w:val="16"/>
                <w:szCs w:val="16"/>
                <w:lang w:val="es-ES" w:bidi="th-TH"/>
              </w:rPr>
              <w:t>r</w:t>
            </w:r>
            <w:r>
              <w:rPr>
                <w:rFonts w:cs="Arial"/>
                <w:sz w:val="16"/>
                <w:szCs w:val="16"/>
                <w:lang w:val="es-ES" w:bidi="th-TH"/>
              </w:rPr>
              <w:t>os</w:t>
            </w:r>
            <w:r w:rsidRPr="0024598E">
              <w:rPr>
                <w:rFonts w:cs="Arial"/>
                <w:sz w:val="16"/>
                <w:szCs w:val="16"/>
                <w:lang w:val="es-ES" w:bidi="th-TH"/>
              </w:rPr>
              <w:t xml:space="preserve"> (6)</w:t>
            </w:r>
          </w:p>
          <w:p w:rsidR="003B33EE" w:rsidRPr="0024598E" w:rsidRDefault="003B33EE" w:rsidP="00DC1333">
            <w:pPr>
              <w:pStyle w:val="ListParagraph"/>
              <w:tabs>
                <w:tab w:val="left" w:pos="307"/>
              </w:tabs>
              <w:ind w:left="384"/>
              <w:rPr>
                <w:rFonts w:cs="Arial"/>
                <w:sz w:val="16"/>
                <w:szCs w:val="16"/>
                <w:lang w:val="es-ES" w:bidi="th-TH"/>
              </w:rPr>
            </w:pPr>
          </w:p>
        </w:tc>
        <w:tc>
          <w:tcPr>
            <w:tcW w:w="591" w:type="pct"/>
            <w:tcBorders>
              <w:top w:val="single" w:sz="4" w:space="0" w:color="auto"/>
              <w:bottom w:val="single" w:sz="4" w:space="0" w:color="auto"/>
              <w:right w:val="single" w:sz="4" w:space="0" w:color="auto"/>
            </w:tcBorders>
            <w:shd w:val="clear" w:color="auto" w:fill="auto"/>
            <w:tcMar>
              <w:top w:w="110" w:type="dxa"/>
            </w:tcMar>
          </w:tcPr>
          <w:p w:rsidR="003B33EE" w:rsidRPr="00526311" w:rsidRDefault="003B33EE" w:rsidP="00DC1333">
            <w:pPr>
              <w:keepNext/>
              <w:keepLines/>
              <w:ind w:right="-107"/>
              <w:jc w:val="center"/>
              <w:rPr>
                <w:b/>
                <w:bCs/>
                <w:color w:val="00B050"/>
                <w:sz w:val="16"/>
                <w:szCs w:val="16"/>
              </w:rPr>
            </w:pPr>
            <w:r>
              <w:rPr>
                <w:b/>
                <w:bCs/>
                <w:color w:val="00B050"/>
                <w:sz w:val="16"/>
                <w:szCs w:val="16"/>
              </w:rPr>
              <w:t>Plenamente logrado</w:t>
            </w:r>
          </w:p>
        </w:tc>
      </w:tr>
      <w:tr w:rsidR="003B33EE" w:rsidRPr="00526311" w:rsidTr="00DC1333">
        <w:trPr>
          <w:cantSplit/>
          <w:trHeight w:val="738"/>
        </w:trPr>
        <w:tc>
          <w:tcPr>
            <w:tcW w:w="5000" w:type="pct"/>
            <w:gridSpan w:val="5"/>
            <w:tcBorders>
              <w:top w:val="single" w:sz="4" w:space="0" w:color="auto"/>
              <w:bottom w:val="single" w:sz="4" w:space="0" w:color="auto"/>
            </w:tcBorders>
            <w:shd w:val="clear" w:color="auto" w:fill="C6D9F1" w:themeFill="text2" w:themeFillTint="33"/>
            <w:vAlign w:val="center"/>
          </w:tcPr>
          <w:p w:rsidR="003B33EE" w:rsidRPr="00526311" w:rsidRDefault="003B33EE" w:rsidP="00DC1333">
            <w:pPr>
              <w:ind w:left="2019" w:hanging="2019"/>
              <w:rPr>
                <w:b/>
                <w:bCs/>
                <w:sz w:val="16"/>
                <w:szCs w:val="16"/>
              </w:rPr>
            </w:pPr>
            <w:r w:rsidRPr="00526311">
              <w:rPr>
                <w:b/>
                <w:bCs/>
                <w:color w:val="000000"/>
                <w:sz w:val="16"/>
                <w:szCs w:val="16"/>
              </w:rPr>
              <w:t>Resultado previsto</w:t>
            </w:r>
            <w:r w:rsidRPr="00526311">
              <w:rPr>
                <w:bCs/>
                <w:color w:val="000000"/>
                <w:sz w:val="16"/>
                <w:szCs w:val="16"/>
              </w:rPr>
              <w:t>:</w:t>
            </w:r>
            <w:r w:rsidRPr="00526311">
              <w:rPr>
                <w:b/>
                <w:bCs/>
                <w:sz w:val="16"/>
                <w:szCs w:val="16"/>
              </w:rPr>
              <w:tab/>
            </w:r>
            <w:r w:rsidRPr="00526311">
              <w:rPr>
                <w:bCs/>
                <w:sz w:val="16"/>
                <w:szCs w:val="16"/>
              </w:rPr>
              <w:t>VI.1 Avances en el diálogo internacional sobre políticas entre los Estados miembros de la OMPI para fomentar el respeto por la P.I. sobre la base de la recomendación 45 de la Agenda de la OMPI para el Desarrollo</w:t>
            </w:r>
          </w:p>
        </w:tc>
      </w:tr>
      <w:tr w:rsidR="003B33EE" w:rsidRPr="00526311" w:rsidTr="00DC1333">
        <w:trPr>
          <w:cantSplit/>
        </w:trPr>
        <w:tc>
          <w:tcPr>
            <w:tcW w:w="1104" w:type="pct"/>
            <w:tcBorders>
              <w:top w:val="single" w:sz="4" w:space="0" w:color="auto"/>
            </w:tcBorders>
            <w:shd w:val="clear" w:color="auto" w:fill="auto"/>
            <w:vAlign w:val="center"/>
          </w:tcPr>
          <w:p w:rsidR="003B33EE" w:rsidRPr="00526311" w:rsidRDefault="003B33EE" w:rsidP="00DC1333">
            <w:pPr>
              <w:rPr>
                <w:sz w:val="16"/>
                <w:szCs w:val="16"/>
              </w:rPr>
            </w:pPr>
            <w:r w:rsidRPr="00526311">
              <w:rPr>
                <w:b/>
                <w:sz w:val="16"/>
                <w:szCs w:val="16"/>
              </w:rPr>
              <w:t>Indicadores de rendimiento</w:t>
            </w:r>
          </w:p>
        </w:tc>
        <w:tc>
          <w:tcPr>
            <w:tcW w:w="1249" w:type="pct"/>
            <w:tcBorders>
              <w:top w:val="single" w:sz="4" w:space="0" w:color="auto"/>
            </w:tcBorders>
            <w:shd w:val="clear" w:color="auto" w:fill="auto"/>
            <w:vAlign w:val="center"/>
          </w:tcPr>
          <w:p w:rsidR="003B33EE" w:rsidRPr="00526311" w:rsidRDefault="003B33EE" w:rsidP="00DC1333">
            <w:pPr>
              <w:rPr>
                <w:b/>
                <w:bCs/>
                <w:sz w:val="16"/>
                <w:szCs w:val="16"/>
              </w:rPr>
            </w:pPr>
            <w:r w:rsidRPr="00526311">
              <w:rPr>
                <w:b/>
                <w:bCs/>
                <w:sz w:val="16"/>
                <w:szCs w:val="16"/>
              </w:rPr>
              <w:t>Referencia</w:t>
            </w:r>
          </w:p>
        </w:tc>
        <w:tc>
          <w:tcPr>
            <w:tcW w:w="808" w:type="pct"/>
            <w:tcBorders>
              <w:top w:val="single" w:sz="4" w:space="0" w:color="auto"/>
            </w:tcBorders>
            <w:shd w:val="clear" w:color="auto" w:fill="auto"/>
            <w:tcMar>
              <w:top w:w="110" w:type="dxa"/>
            </w:tcMar>
            <w:vAlign w:val="center"/>
          </w:tcPr>
          <w:p w:rsidR="003B33EE" w:rsidRPr="00526311" w:rsidRDefault="003B33EE" w:rsidP="00DC1333">
            <w:pPr>
              <w:rPr>
                <w:b/>
                <w:sz w:val="16"/>
                <w:szCs w:val="16"/>
              </w:rPr>
            </w:pPr>
            <w:r w:rsidRPr="00526311">
              <w:rPr>
                <w:b/>
                <w:sz w:val="16"/>
                <w:szCs w:val="16"/>
              </w:rPr>
              <w:t>Objetivos</w:t>
            </w:r>
          </w:p>
        </w:tc>
        <w:tc>
          <w:tcPr>
            <w:tcW w:w="1249" w:type="pct"/>
            <w:tcBorders>
              <w:top w:val="single" w:sz="4" w:space="0" w:color="auto"/>
            </w:tcBorders>
            <w:shd w:val="clear" w:color="auto" w:fill="FFFFFF"/>
            <w:tcMar>
              <w:top w:w="110" w:type="dxa"/>
            </w:tcMar>
            <w:vAlign w:val="center"/>
          </w:tcPr>
          <w:p w:rsidR="003B33EE" w:rsidRPr="00526311" w:rsidRDefault="003B33EE" w:rsidP="00DC1333">
            <w:pPr>
              <w:rPr>
                <w:sz w:val="16"/>
                <w:szCs w:val="16"/>
              </w:rPr>
            </w:pPr>
            <w:r w:rsidRPr="00526311">
              <w:rPr>
                <w:b/>
                <w:sz w:val="16"/>
                <w:szCs w:val="16"/>
              </w:rPr>
              <w:t>Datos sobre el rendimiento</w:t>
            </w:r>
          </w:p>
        </w:tc>
        <w:tc>
          <w:tcPr>
            <w:tcW w:w="590" w:type="pct"/>
            <w:tcBorders>
              <w:top w:val="single" w:sz="4" w:space="0" w:color="auto"/>
            </w:tcBorders>
            <w:shd w:val="clear" w:color="auto" w:fill="auto"/>
            <w:tcMar>
              <w:top w:w="110" w:type="dxa"/>
            </w:tcMar>
            <w:vAlign w:val="center"/>
          </w:tcPr>
          <w:p w:rsidR="003B33EE" w:rsidRPr="00526311" w:rsidRDefault="003B33EE" w:rsidP="00DC1333">
            <w:pPr>
              <w:keepNext/>
              <w:keepLines/>
              <w:ind w:left="-109"/>
              <w:jc w:val="center"/>
              <w:rPr>
                <w:b/>
                <w:bCs/>
                <w:sz w:val="16"/>
                <w:szCs w:val="16"/>
              </w:rPr>
            </w:pPr>
            <w:r w:rsidRPr="00526311">
              <w:rPr>
                <w:b/>
                <w:bCs/>
                <w:sz w:val="16"/>
                <w:szCs w:val="16"/>
              </w:rPr>
              <w:t>Clave de colores</w:t>
            </w:r>
          </w:p>
        </w:tc>
      </w:tr>
      <w:tr w:rsidR="003B33EE" w:rsidRPr="00526311" w:rsidTr="00DC1333">
        <w:trPr>
          <w:cantSplit/>
        </w:trPr>
        <w:tc>
          <w:tcPr>
            <w:tcW w:w="1104" w:type="pct"/>
            <w:tcBorders>
              <w:bottom w:val="single" w:sz="4" w:space="0" w:color="auto"/>
            </w:tcBorders>
            <w:shd w:val="clear" w:color="auto" w:fill="auto"/>
          </w:tcPr>
          <w:p w:rsidR="003B33EE" w:rsidRPr="00526311" w:rsidRDefault="003B33EE" w:rsidP="00DC1333">
            <w:pPr>
              <w:rPr>
                <w:sz w:val="16"/>
                <w:szCs w:val="16"/>
              </w:rPr>
            </w:pPr>
            <w:r w:rsidRPr="00526311">
              <w:rPr>
                <w:sz w:val="16"/>
                <w:szCs w:val="16"/>
              </w:rPr>
              <w:t>Acuerdo constante entre los Estados miembros sobre la labor sustantiva del Comité Asesor de la OMPI sobre Observancia (ACE), al incorporar elementos orientados al desarrollo.</w:t>
            </w:r>
          </w:p>
        </w:tc>
        <w:tc>
          <w:tcPr>
            <w:tcW w:w="1249" w:type="pct"/>
            <w:tcBorders>
              <w:bottom w:val="single" w:sz="4" w:space="0" w:color="auto"/>
            </w:tcBorders>
            <w:shd w:val="clear" w:color="auto" w:fill="auto"/>
          </w:tcPr>
          <w:p w:rsidR="003B33EE" w:rsidRPr="00526311" w:rsidRDefault="003B33EE" w:rsidP="00DC1333">
            <w:pPr>
              <w:rPr>
                <w:i/>
                <w:color w:val="002060"/>
                <w:sz w:val="16"/>
                <w:szCs w:val="16"/>
              </w:rPr>
            </w:pPr>
            <w:r w:rsidRPr="00526311">
              <w:rPr>
                <w:i/>
                <w:color w:val="002060"/>
                <w:sz w:val="16"/>
                <w:szCs w:val="16"/>
              </w:rPr>
              <w:t>Referencia actualizada a fines de 2013</w:t>
            </w:r>
            <w:r w:rsidRPr="00526311">
              <w:rPr>
                <w:color w:val="002060"/>
                <w:sz w:val="16"/>
                <w:szCs w:val="16"/>
              </w:rPr>
              <w:t xml:space="preserve">: </w:t>
            </w:r>
            <w:r>
              <w:rPr>
                <w:color w:val="002060"/>
                <w:sz w:val="16"/>
                <w:szCs w:val="16"/>
              </w:rPr>
              <w:t xml:space="preserve"> </w:t>
            </w:r>
            <w:r w:rsidRPr="00526311">
              <w:rPr>
                <w:color w:val="002060"/>
                <w:sz w:val="16"/>
                <w:szCs w:val="16"/>
              </w:rPr>
              <w:t xml:space="preserve">Acuerdo sobre el programa de trabajo de la </w:t>
            </w:r>
            <w:r>
              <w:rPr>
                <w:color w:val="002060"/>
                <w:sz w:val="16"/>
                <w:szCs w:val="16"/>
              </w:rPr>
              <w:t>novena</w:t>
            </w:r>
            <w:r w:rsidRPr="00526311">
              <w:rPr>
                <w:color w:val="002060"/>
                <w:sz w:val="16"/>
                <w:szCs w:val="16"/>
              </w:rPr>
              <w:t xml:space="preserve"> sesión del ACE </w:t>
            </w:r>
          </w:p>
          <w:p w:rsidR="003B33EE" w:rsidRPr="00526311" w:rsidRDefault="003B33EE" w:rsidP="00DC1333">
            <w:pPr>
              <w:rPr>
                <w:i/>
                <w:sz w:val="8"/>
                <w:szCs w:val="8"/>
              </w:rPr>
            </w:pPr>
          </w:p>
          <w:p w:rsidR="003B33EE" w:rsidRPr="00526311" w:rsidRDefault="003B33EE" w:rsidP="00DC1333">
            <w:pPr>
              <w:rPr>
                <w:sz w:val="16"/>
                <w:szCs w:val="16"/>
                <w:lang w:bidi="th-TH"/>
              </w:rPr>
            </w:pPr>
            <w:r w:rsidRPr="00526311">
              <w:rPr>
                <w:i/>
                <w:color w:val="000000"/>
                <w:sz w:val="16"/>
                <w:szCs w:val="16"/>
                <w:lang w:bidi="th-TH"/>
              </w:rPr>
              <w:t>Referencia original en el presupuesto de 2014/15</w:t>
            </w:r>
            <w:r w:rsidRPr="00526311">
              <w:rPr>
                <w:color w:val="000000"/>
                <w:sz w:val="16"/>
                <w:szCs w:val="16"/>
                <w:lang w:bidi="th-TH"/>
              </w:rPr>
              <w:t>:</w:t>
            </w:r>
            <w:r>
              <w:rPr>
                <w:color w:val="000000"/>
                <w:sz w:val="16"/>
                <w:szCs w:val="16"/>
                <w:lang w:bidi="th-TH"/>
              </w:rPr>
              <w:t xml:space="preserve"> </w:t>
            </w:r>
            <w:r w:rsidRPr="00526311">
              <w:rPr>
                <w:color w:val="000000"/>
                <w:sz w:val="16"/>
                <w:szCs w:val="16"/>
                <w:lang w:bidi="th-TH"/>
              </w:rPr>
              <w:t xml:space="preserve"> Acuerdo sobre el programa de trabajo de la </w:t>
            </w:r>
            <w:r>
              <w:rPr>
                <w:color w:val="000000"/>
                <w:sz w:val="16"/>
                <w:szCs w:val="16"/>
                <w:lang w:bidi="th-TH"/>
              </w:rPr>
              <w:t>octava</w:t>
            </w:r>
            <w:r w:rsidRPr="00526311">
              <w:rPr>
                <w:color w:val="000000"/>
                <w:sz w:val="16"/>
                <w:szCs w:val="16"/>
                <w:lang w:bidi="th-TH"/>
              </w:rPr>
              <w:t xml:space="preserve"> sesión del ACE </w:t>
            </w:r>
          </w:p>
          <w:p w:rsidR="003B33EE" w:rsidRPr="00526311" w:rsidRDefault="003B33EE" w:rsidP="00DC1333">
            <w:pPr>
              <w:rPr>
                <w:sz w:val="16"/>
                <w:szCs w:val="16"/>
              </w:rPr>
            </w:pPr>
          </w:p>
        </w:tc>
        <w:tc>
          <w:tcPr>
            <w:tcW w:w="808" w:type="pct"/>
            <w:tcBorders>
              <w:bottom w:val="single" w:sz="4" w:space="0" w:color="auto"/>
            </w:tcBorders>
            <w:shd w:val="clear" w:color="auto" w:fill="auto"/>
            <w:tcMar>
              <w:top w:w="110" w:type="dxa"/>
            </w:tcMar>
          </w:tcPr>
          <w:p w:rsidR="003B33EE" w:rsidRPr="00526311" w:rsidRDefault="003B33EE" w:rsidP="00DC1333">
            <w:pPr>
              <w:rPr>
                <w:sz w:val="16"/>
                <w:szCs w:val="16"/>
              </w:rPr>
            </w:pPr>
            <w:r w:rsidRPr="00526311">
              <w:rPr>
                <w:sz w:val="16"/>
                <w:szCs w:val="16"/>
              </w:rPr>
              <w:t>Acuerdo sobre el programa de trabajo de la siguiente sesión del ACE</w:t>
            </w:r>
          </w:p>
        </w:tc>
        <w:tc>
          <w:tcPr>
            <w:tcW w:w="1249" w:type="pct"/>
            <w:tcBorders>
              <w:bottom w:val="single" w:sz="4" w:space="0" w:color="auto"/>
            </w:tcBorders>
            <w:shd w:val="clear" w:color="auto" w:fill="FFFFFF"/>
            <w:tcMar>
              <w:top w:w="110" w:type="dxa"/>
            </w:tcMar>
          </w:tcPr>
          <w:p w:rsidR="003B33EE" w:rsidRPr="004F2E40" w:rsidRDefault="003B33EE" w:rsidP="00DC1333">
            <w:pPr>
              <w:pStyle w:val="ListParagraph"/>
              <w:ind w:left="0"/>
              <w:rPr>
                <w:rFonts w:cs="Arial"/>
                <w:sz w:val="16"/>
                <w:szCs w:val="16"/>
                <w:lang w:val="es-ES" w:bidi="th-TH"/>
              </w:rPr>
            </w:pPr>
            <w:r>
              <w:rPr>
                <w:rFonts w:cs="Arial"/>
                <w:color w:val="000000"/>
                <w:sz w:val="16"/>
                <w:szCs w:val="16"/>
                <w:lang w:val="es-ES" w:bidi="th-TH"/>
              </w:rPr>
              <w:t xml:space="preserve">Durante las sesiones novena y décima </w:t>
            </w:r>
            <w:r w:rsidRPr="00526311">
              <w:rPr>
                <w:rFonts w:cs="Arial"/>
                <w:color w:val="000000"/>
                <w:sz w:val="16"/>
                <w:szCs w:val="16"/>
                <w:lang w:val="es-ES" w:bidi="th-TH"/>
              </w:rPr>
              <w:t xml:space="preserve">del ACE </w:t>
            </w:r>
            <w:r>
              <w:rPr>
                <w:rFonts w:cs="Arial"/>
                <w:color w:val="000000"/>
                <w:sz w:val="16"/>
                <w:szCs w:val="16"/>
                <w:lang w:val="es-ES" w:bidi="th-TH"/>
              </w:rPr>
              <w:t>se alcanzó un a</w:t>
            </w:r>
            <w:r w:rsidRPr="00526311">
              <w:rPr>
                <w:rFonts w:cs="Arial"/>
                <w:color w:val="000000"/>
                <w:sz w:val="16"/>
                <w:szCs w:val="16"/>
                <w:lang w:val="es-ES" w:bidi="th-TH"/>
              </w:rPr>
              <w:t xml:space="preserve">cuerdo sobre el programa de trabajo </w:t>
            </w:r>
            <w:r>
              <w:rPr>
                <w:rFonts w:cs="Arial"/>
                <w:sz w:val="16"/>
                <w:szCs w:val="16"/>
                <w:lang w:val="es-ES"/>
              </w:rPr>
              <w:t>(WIPO/ACE/9/29 párr. 44 y</w:t>
            </w:r>
            <w:r w:rsidRPr="004F2E40">
              <w:rPr>
                <w:rFonts w:cs="Arial"/>
                <w:sz w:val="16"/>
                <w:szCs w:val="16"/>
                <w:lang w:val="es-ES"/>
              </w:rPr>
              <w:t xml:space="preserve"> WIPO/ACE/10</w:t>
            </w:r>
            <w:r>
              <w:rPr>
                <w:rFonts w:cs="Arial"/>
                <w:sz w:val="16"/>
                <w:szCs w:val="16"/>
                <w:lang w:val="es-ES"/>
              </w:rPr>
              <w:t>/26 PROV.WIPO/ACE/10/26 PROV. párr.</w:t>
            </w:r>
            <w:r w:rsidRPr="004F2E40">
              <w:rPr>
                <w:rFonts w:cs="Arial"/>
                <w:sz w:val="16"/>
                <w:szCs w:val="16"/>
                <w:lang w:val="es-ES"/>
              </w:rPr>
              <w:t xml:space="preserve"> 40)</w:t>
            </w:r>
          </w:p>
          <w:p w:rsidR="003B33EE" w:rsidRPr="00526311" w:rsidRDefault="003B33EE" w:rsidP="00DC1333">
            <w:pPr>
              <w:pStyle w:val="ListParagraph"/>
              <w:ind w:left="0"/>
              <w:rPr>
                <w:rFonts w:cs="Arial"/>
                <w:sz w:val="16"/>
                <w:szCs w:val="16"/>
                <w:lang w:val="es-ES"/>
              </w:rPr>
            </w:pPr>
          </w:p>
        </w:tc>
        <w:tc>
          <w:tcPr>
            <w:tcW w:w="590" w:type="pct"/>
            <w:tcBorders>
              <w:bottom w:val="single" w:sz="4" w:space="0" w:color="auto"/>
            </w:tcBorders>
            <w:shd w:val="clear" w:color="auto" w:fill="auto"/>
            <w:tcMar>
              <w:top w:w="110" w:type="dxa"/>
            </w:tcMar>
          </w:tcPr>
          <w:p w:rsidR="003B33EE" w:rsidRPr="00526311" w:rsidRDefault="003B33EE" w:rsidP="00DC1333">
            <w:pPr>
              <w:keepNext/>
              <w:keepLines/>
              <w:ind w:right="-107"/>
              <w:jc w:val="center"/>
              <w:rPr>
                <w:bCs/>
                <w:sz w:val="16"/>
                <w:szCs w:val="16"/>
              </w:rPr>
            </w:pPr>
            <w:r>
              <w:rPr>
                <w:b/>
                <w:bCs/>
                <w:color w:val="00B050"/>
                <w:sz w:val="16"/>
                <w:szCs w:val="16"/>
              </w:rPr>
              <w:t>Plenamente logrado</w:t>
            </w:r>
          </w:p>
        </w:tc>
      </w:tr>
      <w:tr w:rsidR="003B33EE" w:rsidRPr="00526311" w:rsidTr="00DC1333">
        <w:trPr>
          <w:cantSplit/>
          <w:trHeight w:val="549"/>
        </w:trPr>
        <w:tc>
          <w:tcPr>
            <w:tcW w:w="5000" w:type="pct"/>
            <w:gridSpan w:val="5"/>
            <w:tcBorders>
              <w:top w:val="single" w:sz="4" w:space="0" w:color="auto"/>
              <w:bottom w:val="single" w:sz="4" w:space="0" w:color="auto"/>
            </w:tcBorders>
            <w:shd w:val="clear" w:color="auto" w:fill="C6D9F1" w:themeFill="text2" w:themeFillTint="33"/>
            <w:vAlign w:val="center"/>
          </w:tcPr>
          <w:p w:rsidR="003B33EE" w:rsidRPr="00526311" w:rsidRDefault="003B33EE" w:rsidP="00DC1333">
            <w:pPr>
              <w:keepNext/>
              <w:keepLines/>
              <w:ind w:left="2019" w:hanging="2019"/>
              <w:rPr>
                <w:b/>
                <w:bCs/>
                <w:sz w:val="16"/>
                <w:szCs w:val="16"/>
              </w:rPr>
            </w:pPr>
            <w:r w:rsidRPr="00526311">
              <w:rPr>
                <w:b/>
                <w:bCs/>
                <w:color w:val="000000"/>
                <w:sz w:val="16"/>
                <w:szCs w:val="16"/>
              </w:rPr>
              <w:t>Resultado previsto</w:t>
            </w:r>
            <w:r w:rsidRPr="00526311">
              <w:rPr>
                <w:bCs/>
                <w:color w:val="000000"/>
                <w:sz w:val="16"/>
                <w:szCs w:val="16"/>
              </w:rPr>
              <w:t>:</w:t>
            </w:r>
            <w:r w:rsidRPr="00526311">
              <w:rPr>
                <w:b/>
                <w:bCs/>
                <w:sz w:val="16"/>
                <w:szCs w:val="16"/>
              </w:rPr>
              <w:tab/>
            </w:r>
            <w:r w:rsidRPr="00526311">
              <w:rPr>
                <w:bCs/>
                <w:sz w:val="16"/>
                <w:szCs w:val="16"/>
              </w:rPr>
              <w:t>VI.2 Cooperación y coordinación sistemáticas, eficaces y transparentes entre la labor de la OMPI y la de otras organizaciones internacionales en el ámbito del fomento del respeto por la P.I.</w:t>
            </w:r>
          </w:p>
        </w:tc>
      </w:tr>
      <w:tr w:rsidR="003B33EE" w:rsidRPr="00526311" w:rsidTr="00DC1333">
        <w:trPr>
          <w:cantSplit/>
        </w:trPr>
        <w:tc>
          <w:tcPr>
            <w:tcW w:w="1104" w:type="pct"/>
            <w:tcBorders>
              <w:top w:val="single" w:sz="4" w:space="0" w:color="auto"/>
            </w:tcBorders>
            <w:shd w:val="clear" w:color="auto" w:fill="auto"/>
            <w:vAlign w:val="center"/>
          </w:tcPr>
          <w:p w:rsidR="003B33EE" w:rsidRPr="00526311" w:rsidRDefault="003B33EE" w:rsidP="00DC1333">
            <w:pPr>
              <w:keepNext/>
              <w:keepLines/>
              <w:rPr>
                <w:sz w:val="16"/>
                <w:szCs w:val="16"/>
              </w:rPr>
            </w:pPr>
            <w:r w:rsidRPr="00526311">
              <w:rPr>
                <w:b/>
                <w:sz w:val="16"/>
                <w:szCs w:val="16"/>
              </w:rPr>
              <w:t>Indicadores de rendimiento</w:t>
            </w:r>
          </w:p>
        </w:tc>
        <w:tc>
          <w:tcPr>
            <w:tcW w:w="1249" w:type="pct"/>
            <w:tcBorders>
              <w:top w:val="single" w:sz="4" w:space="0" w:color="auto"/>
            </w:tcBorders>
            <w:shd w:val="clear" w:color="auto" w:fill="auto"/>
            <w:vAlign w:val="center"/>
          </w:tcPr>
          <w:p w:rsidR="003B33EE" w:rsidRPr="00526311" w:rsidRDefault="003B33EE" w:rsidP="00DC1333">
            <w:pPr>
              <w:keepNext/>
              <w:keepLines/>
              <w:rPr>
                <w:b/>
                <w:bCs/>
                <w:sz w:val="16"/>
                <w:szCs w:val="16"/>
              </w:rPr>
            </w:pPr>
            <w:r w:rsidRPr="00526311">
              <w:rPr>
                <w:b/>
                <w:bCs/>
                <w:sz w:val="16"/>
                <w:szCs w:val="16"/>
              </w:rPr>
              <w:t>Referencia</w:t>
            </w:r>
          </w:p>
        </w:tc>
        <w:tc>
          <w:tcPr>
            <w:tcW w:w="808" w:type="pct"/>
            <w:tcBorders>
              <w:top w:val="single" w:sz="4" w:space="0" w:color="auto"/>
            </w:tcBorders>
            <w:shd w:val="clear" w:color="auto" w:fill="auto"/>
            <w:tcMar>
              <w:top w:w="110" w:type="dxa"/>
            </w:tcMar>
            <w:vAlign w:val="center"/>
          </w:tcPr>
          <w:p w:rsidR="003B33EE" w:rsidRPr="00526311" w:rsidRDefault="003B33EE" w:rsidP="00DC1333">
            <w:pPr>
              <w:keepNext/>
              <w:keepLines/>
              <w:rPr>
                <w:b/>
                <w:sz w:val="16"/>
                <w:szCs w:val="16"/>
              </w:rPr>
            </w:pPr>
            <w:r w:rsidRPr="00526311">
              <w:rPr>
                <w:b/>
                <w:sz w:val="16"/>
                <w:szCs w:val="16"/>
              </w:rPr>
              <w:t>Objetivos</w:t>
            </w:r>
          </w:p>
        </w:tc>
        <w:tc>
          <w:tcPr>
            <w:tcW w:w="1249" w:type="pct"/>
            <w:tcBorders>
              <w:top w:val="single" w:sz="4" w:space="0" w:color="auto"/>
            </w:tcBorders>
            <w:shd w:val="clear" w:color="auto" w:fill="FFFFFF"/>
            <w:tcMar>
              <w:top w:w="110" w:type="dxa"/>
            </w:tcMar>
            <w:vAlign w:val="center"/>
          </w:tcPr>
          <w:p w:rsidR="003B33EE" w:rsidRPr="00526311" w:rsidRDefault="003B33EE" w:rsidP="00DC1333">
            <w:pPr>
              <w:keepNext/>
              <w:keepLines/>
              <w:rPr>
                <w:sz w:val="16"/>
                <w:szCs w:val="16"/>
              </w:rPr>
            </w:pPr>
            <w:r w:rsidRPr="00526311">
              <w:rPr>
                <w:b/>
                <w:sz w:val="16"/>
                <w:szCs w:val="16"/>
              </w:rPr>
              <w:t>Datos sobre el rendimiento</w:t>
            </w:r>
          </w:p>
        </w:tc>
        <w:tc>
          <w:tcPr>
            <w:tcW w:w="590" w:type="pct"/>
            <w:tcBorders>
              <w:top w:val="single" w:sz="4" w:space="0" w:color="auto"/>
            </w:tcBorders>
            <w:shd w:val="clear" w:color="auto" w:fill="auto"/>
            <w:tcMar>
              <w:top w:w="110" w:type="dxa"/>
            </w:tcMar>
            <w:vAlign w:val="center"/>
          </w:tcPr>
          <w:p w:rsidR="003B33EE" w:rsidRPr="00526311" w:rsidRDefault="003B33EE" w:rsidP="00DC1333">
            <w:pPr>
              <w:keepNext/>
              <w:keepLines/>
              <w:ind w:left="-109"/>
              <w:jc w:val="center"/>
              <w:rPr>
                <w:b/>
                <w:bCs/>
                <w:sz w:val="16"/>
                <w:szCs w:val="16"/>
              </w:rPr>
            </w:pPr>
            <w:r w:rsidRPr="00526311">
              <w:rPr>
                <w:b/>
                <w:bCs/>
                <w:sz w:val="16"/>
                <w:szCs w:val="16"/>
              </w:rPr>
              <w:t>Clave de colores</w:t>
            </w:r>
          </w:p>
        </w:tc>
      </w:tr>
      <w:tr w:rsidR="003B33EE" w:rsidRPr="00526311" w:rsidTr="00DC1333">
        <w:trPr>
          <w:cantSplit/>
        </w:trPr>
        <w:tc>
          <w:tcPr>
            <w:tcW w:w="1104" w:type="pct"/>
            <w:shd w:val="clear" w:color="auto" w:fill="auto"/>
          </w:tcPr>
          <w:p w:rsidR="003B33EE" w:rsidRPr="00526311" w:rsidRDefault="003B33EE" w:rsidP="00DC1333">
            <w:pPr>
              <w:keepNext/>
              <w:keepLines/>
              <w:rPr>
                <w:sz w:val="16"/>
                <w:szCs w:val="16"/>
              </w:rPr>
            </w:pPr>
            <w:r w:rsidRPr="00526311">
              <w:rPr>
                <w:color w:val="000000"/>
                <w:sz w:val="16"/>
                <w:szCs w:val="16"/>
              </w:rPr>
              <w:t>Número de actividades conjuntas de fomento del respeto por la P.I.</w:t>
            </w:r>
          </w:p>
        </w:tc>
        <w:tc>
          <w:tcPr>
            <w:tcW w:w="1249" w:type="pct"/>
            <w:shd w:val="clear" w:color="auto" w:fill="auto"/>
          </w:tcPr>
          <w:p w:rsidR="003B33EE" w:rsidRPr="00526311" w:rsidRDefault="003B33EE" w:rsidP="00DC1333">
            <w:pPr>
              <w:keepNext/>
              <w:keepLines/>
              <w:rPr>
                <w:i/>
                <w:color w:val="002060"/>
                <w:sz w:val="16"/>
                <w:szCs w:val="16"/>
              </w:rPr>
            </w:pPr>
            <w:r w:rsidRPr="00526311">
              <w:rPr>
                <w:i/>
                <w:color w:val="002060"/>
                <w:sz w:val="16"/>
                <w:szCs w:val="16"/>
              </w:rPr>
              <w:t xml:space="preserve">Referencia actualizada a fines de 2013:  </w:t>
            </w:r>
            <w:r w:rsidRPr="00526311">
              <w:rPr>
                <w:color w:val="002060"/>
                <w:sz w:val="16"/>
                <w:szCs w:val="16"/>
                <w:lang w:bidi="th-TH"/>
              </w:rPr>
              <w:t>39 en 201</w:t>
            </w:r>
            <w:r>
              <w:rPr>
                <w:color w:val="002060"/>
                <w:sz w:val="16"/>
                <w:szCs w:val="16"/>
                <w:lang w:bidi="th-TH"/>
              </w:rPr>
              <w:t>2/13</w:t>
            </w:r>
          </w:p>
          <w:p w:rsidR="003B33EE" w:rsidRPr="00526311" w:rsidRDefault="003B33EE" w:rsidP="00DC1333">
            <w:pPr>
              <w:keepNext/>
              <w:keepLines/>
              <w:rPr>
                <w:i/>
                <w:sz w:val="16"/>
                <w:szCs w:val="16"/>
              </w:rPr>
            </w:pPr>
          </w:p>
          <w:p w:rsidR="003B33EE" w:rsidRPr="00526311" w:rsidRDefault="003B33EE" w:rsidP="00DC1333">
            <w:pPr>
              <w:keepNext/>
              <w:keepLines/>
              <w:rPr>
                <w:sz w:val="16"/>
                <w:szCs w:val="16"/>
              </w:rPr>
            </w:pPr>
            <w:r w:rsidRPr="00526311">
              <w:rPr>
                <w:i/>
                <w:sz w:val="16"/>
                <w:szCs w:val="16"/>
                <w:lang w:bidi="th-TH"/>
              </w:rPr>
              <w:t>Referencia original en el presupuesto de 2014/15</w:t>
            </w:r>
            <w:r w:rsidRPr="00526311">
              <w:rPr>
                <w:i/>
                <w:sz w:val="16"/>
                <w:szCs w:val="16"/>
              </w:rPr>
              <w:t>:</w:t>
            </w:r>
            <w:r w:rsidRPr="00526311">
              <w:rPr>
                <w:sz w:val="16"/>
                <w:szCs w:val="16"/>
              </w:rPr>
              <w:t xml:space="preserve">  30</w:t>
            </w:r>
          </w:p>
          <w:p w:rsidR="003B33EE" w:rsidRPr="00526311" w:rsidRDefault="003B33EE" w:rsidP="00DC1333">
            <w:pPr>
              <w:keepNext/>
              <w:keepLines/>
              <w:autoSpaceDE w:val="0"/>
              <w:autoSpaceDN w:val="0"/>
              <w:adjustRightInd w:val="0"/>
              <w:rPr>
                <w:sz w:val="16"/>
                <w:szCs w:val="16"/>
              </w:rPr>
            </w:pPr>
          </w:p>
        </w:tc>
        <w:tc>
          <w:tcPr>
            <w:tcW w:w="808" w:type="pct"/>
            <w:shd w:val="clear" w:color="auto" w:fill="auto"/>
            <w:tcMar>
              <w:top w:w="110" w:type="dxa"/>
            </w:tcMar>
          </w:tcPr>
          <w:p w:rsidR="003B33EE" w:rsidRPr="00526311" w:rsidRDefault="003B33EE" w:rsidP="00DC1333">
            <w:pPr>
              <w:keepNext/>
              <w:keepLines/>
              <w:rPr>
                <w:sz w:val="16"/>
                <w:szCs w:val="16"/>
                <w:lang w:bidi="th-TH"/>
              </w:rPr>
            </w:pPr>
            <w:r w:rsidRPr="00526311">
              <w:rPr>
                <w:sz w:val="16"/>
                <w:szCs w:val="16"/>
              </w:rPr>
              <w:t xml:space="preserve">30 </w:t>
            </w:r>
          </w:p>
        </w:tc>
        <w:tc>
          <w:tcPr>
            <w:tcW w:w="1249" w:type="pct"/>
            <w:shd w:val="clear" w:color="auto" w:fill="FFFFFF"/>
            <w:tcMar>
              <w:top w:w="110" w:type="dxa"/>
            </w:tcMar>
          </w:tcPr>
          <w:p w:rsidR="003B33EE" w:rsidRDefault="003B33EE" w:rsidP="00DC1333">
            <w:pPr>
              <w:keepNext/>
              <w:keepLines/>
              <w:rPr>
                <w:sz w:val="16"/>
                <w:szCs w:val="16"/>
              </w:rPr>
            </w:pPr>
            <w:r>
              <w:rPr>
                <w:sz w:val="16"/>
                <w:szCs w:val="16"/>
              </w:rPr>
              <w:t>En 2014/15 s</w:t>
            </w:r>
            <w:r w:rsidRPr="00526311">
              <w:rPr>
                <w:sz w:val="16"/>
                <w:szCs w:val="16"/>
              </w:rPr>
              <w:t xml:space="preserve">e </w:t>
            </w:r>
            <w:r>
              <w:rPr>
                <w:sz w:val="16"/>
                <w:szCs w:val="16"/>
              </w:rPr>
              <w:t>celebraron 7 colaboraciones estratégicas</w:t>
            </w:r>
            <w:r>
              <w:rPr>
                <w:rStyle w:val="FootnoteReference"/>
                <w:sz w:val="16"/>
                <w:szCs w:val="16"/>
              </w:rPr>
              <w:footnoteReference w:id="99"/>
            </w:r>
            <w:r>
              <w:rPr>
                <w:sz w:val="16"/>
                <w:szCs w:val="16"/>
              </w:rPr>
              <w:t xml:space="preserve"> y 55 actividades conjuntamente </w:t>
            </w:r>
            <w:r w:rsidRPr="00526311">
              <w:rPr>
                <w:sz w:val="16"/>
                <w:szCs w:val="16"/>
              </w:rPr>
              <w:t>con organismos que cooperan con</w:t>
            </w:r>
            <w:r>
              <w:rPr>
                <w:sz w:val="16"/>
                <w:szCs w:val="16"/>
              </w:rPr>
              <w:t xml:space="preserve"> la OMPI y partes interesadas, </w:t>
            </w:r>
            <w:r w:rsidRPr="00526311">
              <w:rPr>
                <w:sz w:val="16"/>
                <w:szCs w:val="16"/>
              </w:rPr>
              <w:t>para las que se contó con la participación del programa 17.</w:t>
            </w:r>
          </w:p>
          <w:p w:rsidR="003B33EE" w:rsidRPr="003B757C" w:rsidRDefault="003B33EE" w:rsidP="003B33EE">
            <w:pPr>
              <w:pStyle w:val="ListParagraph"/>
              <w:numPr>
                <w:ilvl w:val="0"/>
                <w:numId w:val="82"/>
              </w:numPr>
              <w:rPr>
                <w:rFonts w:cs="Arial"/>
                <w:sz w:val="16"/>
                <w:szCs w:val="16"/>
                <w:lang w:val="es-ES"/>
              </w:rPr>
            </w:pPr>
            <w:r w:rsidRPr="003B757C">
              <w:rPr>
                <w:rFonts w:cs="Arial"/>
                <w:sz w:val="16"/>
                <w:szCs w:val="16"/>
                <w:lang w:val="es-ES"/>
              </w:rPr>
              <w:t xml:space="preserve">6 colaboraciones estratégicas y otras 29 </w:t>
            </w:r>
            <w:r>
              <w:rPr>
                <w:rFonts w:cs="Arial"/>
                <w:sz w:val="16"/>
                <w:szCs w:val="16"/>
                <w:lang w:val="es-ES"/>
              </w:rPr>
              <w:t xml:space="preserve">actividades conjuntas en </w:t>
            </w:r>
            <w:r w:rsidRPr="003B757C">
              <w:rPr>
                <w:rFonts w:cs="Arial"/>
                <w:sz w:val="16"/>
                <w:szCs w:val="16"/>
                <w:lang w:val="es-ES"/>
              </w:rPr>
              <w:t>2014</w:t>
            </w:r>
            <w:r>
              <w:rPr>
                <w:rStyle w:val="FootnoteReference"/>
                <w:rFonts w:eastAsia="SimSun"/>
                <w:sz w:val="16"/>
                <w:szCs w:val="16"/>
              </w:rPr>
              <w:footnoteReference w:id="100"/>
            </w:r>
          </w:p>
          <w:p w:rsidR="003B33EE" w:rsidRPr="008D4F39" w:rsidRDefault="003B33EE" w:rsidP="003B33EE">
            <w:pPr>
              <w:pStyle w:val="ListParagraph"/>
              <w:numPr>
                <w:ilvl w:val="0"/>
                <w:numId w:val="82"/>
              </w:numPr>
              <w:rPr>
                <w:sz w:val="16"/>
                <w:szCs w:val="16"/>
                <w:lang w:val="es-ES"/>
              </w:rPr>
            </w:pPr>
            <w:r w:rsidRPr="003B757C">
              <w:rPr>
                <w:rFonts w:cs="Arial"/>
                <w:sz w:val="16"/>
                <w:szCs w:val="16"/>
                <w:lang w:val="es-ES"/>
              </w:rPr>
              <w:t>7 colaboraciones estratégicas (1 más) y otras 2</w:t>
            </w:r>
            <w:r>
              <w:rPr>
                <w:rFonts w:cs="Arial"/>
                <w:sz w:val="16"/>
                <w:szCs w:val="16"/>
                <w:lang w:val="es-ES"/>
              </w:rPr>
              <w:t>6</w:t>
            </w:r>
            <w:r w:rsidRPr="003B757C">
              <w:rPr>
                <w:rFonts w:cs="Arial"/>
                <w:sz w:val="16"/>
                <w:szCs w:val="16"/>
                <w:lang w:val="es-ES"/>
              </w:rPr>
              <w:t xml:space="preserve"> </w:t>
            </w:r>
            <w:r>
              <w:rPr>
                <w:rFonts w:cs="Arial"/>
                <w:sz w:val="16"/>
                <w:szCs w:val="16"/>
                <w:lang w:val="es-ES"/>
              </w:rPr>
              <w:t xml:space="preserve">actividades conjuntas en </w:t>
            </w:r>
            <w:r w:rsidRPr="003B757C">
              <w:rPr>
                <w:rFonts w:cs="Arial"/>
                <w:sz w:val="16"/>
                <w:szCs w:val="16"/>
                <w:lang w:val="es-ES"/>
              </w:rPr>
              <w:t>2015</w:t>
            </w:r>
          </w:p>
          <w:p w:rsidR="003B33EE" w:rsidRPr="003B757C" w:rsidRDefault="003B33EE" w:rsidP="00DC1333">
            <w:pPr>
              <w:pStyle w:val="ListParagraph"/>
              <w:ind w:left="360"/>
              <w:rPr>
                <w:sz w:val="16"/>
                <w:szCs w:val="16"/>
                <w:lang w:val="es-ES"/>
              </w:rPr>
            </w:pPr>
          </w:p>
        </w:tc>
        <w:tc>
          <w:tcPr>
            <w:tcW w:w="590" w:type="pct"/>
            <w:shd w:val="clear" w:color="auto" w:fill="auto"/>
            <w:tcMar>
              <w:top w:w="110" w:type="dxa"/>
            </w:tcMar>
          </w:tcPr>
          <w:p w:rsidR="003B33EE" w:rsidRPr="00526311" w:rsidRDefault="003B33EE" w:rsidP="00DC1333">
            <w:pPr>
              <w:keepNext/>
              <w:keepLines/>
              <w:ind w:right="-107"/>
              <w:jc w:val="center"/>
              <w:rPr>
                <w:bCs/>
                <w:color w:val="008000"/>
                <w:sz w:val="16"/>
                <w:szCs w:val="16"/>
              </w:rPr>
            </w:pPr>
            <w:r>
              <w:rPr>
                <w:b/>
                <w:bCs/>
                <w:color w:val="00B050"/>
                <w:sz w:val="16"/>
                <w:szCs w:val="16"/>
              </w:rPr>
              <w:t>Plenamente logrado</w:t>
            </w:r>
          </w:p>
        </w:tc>
      </w:tr>
    </w:tbl>
    <w:p w:rsidR="003B33EE" w:rsidRPr="00526311" w:rsidRDefault="003B33EE" w:rsidP="00DC1333">
      <w:pPr>
        <w:jc w:val="both"/>
        <w:rPr>
          <w:color w:val="000000"/>
        </w:rPr>
      </w:pPr>
    </w:p>
    <w:p w:rsidR="003B33EE" w:rsidRPr="005D128B" w:rsidRDefault="008F7CBE" w:rsidP="00DC1333">
      <w:pPr>
        <w:keepNext/>
        <w:keepLines/>
        <w:rPr>
          <w:color w:val="000000"/>
          <w:szCs w:val="22"/>
        </w:rPr>
      </w:pPr>
      <w:r w:rsidRPr="008F7CBE">
        <w:rPr>
          <w:color w:val="000000"/>
          <w:sz w:val="20"/>
          <w:szCs w:val="22"/>
        </w:rPr>
        <w:lastRenderedPageBreak/>
        <w:t>INFORMACIÓN SOBRE LOS RIESGOS PLANTEADOS EN EL BIENIO</w:t>
      </w:r>
    </w:p>
    <w:p w:rsidR="003B33EE" w:rsidRDefault="003B33EE" w:rsidP="00DC1333">
      <w:pPr>
        <w:keepNext/>
        <w:keepLines/>
      </w:pPr>
    </w:p>
    <w:tbl>
      <w:tblPr>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420"/>
        <w:gridCol w:w="2200"/>
        <w:gridCol w:w="2310"/>
        <w:gridCol w:w="2426"/>
      </w:tblGrid>
      <w:tr w:rsidR="003B33EE" w:rsidRPr="002D5538" w:rsidTr="00DC1333">
        <w:trPr>
          <w:trHeight w:val="378"/>
        </w:trPr>
        <w:tc>
          <w:tcPr>
            <w:tcW w:w="2420" w:type="dxa"/>
            <w:tcBorders>
              <w:top w:val="single" w:sz="4" w:space="0" w:color="auto"/>
              <w:bottom w:val="single" w:sz="4" w:space="0" w:color="auto"/>
            </w:tcBorders>
            <w:shd w:val="clear" w:color="auto" w:fill="C6D9F1" w:themeFill="text2" w:themeFillTint="33"/>
            <w:tcMar>
              <w:top w:w="113" w:type="dxa"/>
              <w:bottom w:w="85" w:type="dxa"/>
            </w:tcMar>
            <w:vAlign w:val="center"/>
          </w:tcPr>
          <w:p w:rsidR="003B33EE" w:rsidRPr="002D5538" w:rsidRDefault="003B33EE" w:rsidP="00DC1333">
            <w:pPr>
              <w:keepNext/>
              <w:keepLines/>
              <w:autoSpaceDE w:val="0"/>
              <w:autoSpaceDN w:val="0"/>
              <w:adjustRightInd w:val="0"/>
              <w:ind w:right="-59"/>
              <w:jc w:val="center"/>
              <w:rPr>
                <w:b/>
                <w:bCs/>
                <w:iCs/>
                <w:sz w:val="18"/>
                <w:szCs w:val="18"/>
              </w:rPr>
            </w:pPr>
            <w:r w:rsidRPr="00D10B62">
              <w:rPr>
                <w:b/>
                <w:bCs/>
                <w:iCs/>
                <w:sz w:val="18"/>
                <w:szCs w:val="18"/>
              </w:rPr>
              <w:t>Riesgos en el logro de los resultados del programa</w:t>
            </w:r>
          </w:p>
        </w:tc>
        <w:tc>
          <w:tcPr>
            <w:tcW w:w="2200" w:type="dxa"/>
            <w:tcBorders>
              <w:top w:val="single" w:sz="4" w:space="0" w:color="auto"/>
              <w:bottom w:val="single" w:sz="4" w:space="0" w:color="auto"/>
            </w:tcBorders>
            <w:shd w:val="clear" w:color="auto" w:fill="C6D9F1" w:themeFill="text2" w:themeFillTint="33"/>
            <w:tcMar>
              <w:top w:w="113" w:type="dxa"/>
              <w:bottom w:w="85" w:type="dxa"/>
            </w:tcMar>
            <w:vAlign w:val="center"/>
          </w:tcPr>
          <w:p w:rsidR="003B33EE" w:rsidRPr="002D5538" w:rsidRDefault="003B33EE" w:rsidP="00DC1333">
            <w:pPr>
              <w:keepNext/>
              <w:keepLines/>
              <w:autoSpaceDE w:val="0"/>
              <w:autoSpaceDN w:val="0"/>
              <w:adjustRightInd w:val="0"/>
              <w:ind w:right="-59"/>
              <w:jc w:val="center"/>
              <w:rPr>
                <w:b/>
                <w:bCs/>
                <w:iCs/>
                <w:sz w:val="18"/>
                <w:szCs w:val="18"/>
              </w:rPr>
            </w:pPr>
            <w:r w:rsidRPr="00D10B62">
              <w:rPr>
                <w:b/>
                <w:bCs/>
                <w:iCs/>
                <w:sz w:val="18"/>
                <w:szCs w:val="18"/>
              </w:rPr>
              <w:t>Planes de mitigación ejecutados o en ejecución</w:t>
            </w:r>
          </w:p>
        </w:tc>
        <w:tc>
          <w:tcPr>
            <w:tcW w:w="2310" w:type="dxa"/>
            <w:tcBorders>
              <w:top w:val="single" w:sz="4" w:space="0" w:color="auto"/>
              <w:bottom w:val="single" w:sz="4" w:space="0" w:color="auto"/>
            </w:tcBorders>
            <w:shd w:val="clear" w:color="auto" w:fill="C6D9F1" w:themeFill="text2" w:themeFillTint="33"/>
          </w:tcPr>
          <w:p w:rsidR="003B33EE" w:rsidRPr="002D5538" w:rsidRDefault="003B33EE" w:rsidP="00DC1333">
            <w:pPr>
              <w:keepNext/>
              <w:keepLines/>
              <w:jc w:val="center"/>
              <w:rPr>
                <w:b/>
                <w:bCs/>
                <w:sz w:val="18"/>
                <w:szCs w:val="18"/>
              </w:rPr>
            </w:pPr>
            <w:r w:rsidRPr="00D10B62">
              <w:rPr>
                <w:b/>
                <w:bCs/>
                <w:iCs/>
                <w:sz w:val="18"/>
                <w:szCs w:val="18"/>
              </w:rPr>
              <w:t>Evolución de los riesgos y estrategias de mitigación durante el bienio</w:t>
            </w:r>
          </w:p>
        </w:tc>
        <w:tc>
          <w:tcPr>
            <w:tcW w:w="2426" w:type="dxa"/>
            <w:tcBorders>
              <w:top w:val="single" w:sz="4" w:space="0" w:color="auto"/>
              <w:bottom w:val="single" w:sz="4" w:space="0" w:color="auto"/>
            </w:tcBorders>
            <w:shd w:val="clear" w:color="auto" w:fill="C6D9F1" w:themeFill="text2" w:themeFillTint="33"/>
          </w:tcPr>
          <w:p w:rsidR="003B33EE" w:rsidRPr="002D5538" w:rsidRDefault="003B33EE" w:rsidP="00DC1333">
            <w:pPr>
              <w:keepNext/>
              <w:keepLines/>
              <w:jc w:val="center"/>
              <w:rPr>
                <w:b/>
                <w:bCs/>
                <w:sz w:val="18"/>
                <w:szCs w:val="18"/>
              </w:rPr>
            </w:pPr>
            <w:r w:rsidRPr="004520ED">
              <w:rPr>
                <w:b/>
                <w:bCs/>
                <w:sz w:val="18"/>
                <w:szCs w:val="18"/>
              </w:rPr>
              <w:t>Incidencia en el rendimiento del programa</w:t>
            </w:r>
          </w:p>
        </w:tc>
      </w:tr>
      <w:tr w:rsidR="003B33EE" w:rsidRPr="00AD5D37" w:rsidTr="00DC1333">
        <w:trPr>
          <w:trHeight w:val="1219"/>
        </w:trPr>
        <w:tc>
          <w:tcPr>
            <w:tcW w:w="2420" w:type="dxa"/>
            <w:tcBorders>
              <w:top w:val="single" w:sz="4" w:space="0" w:color="auto"/>
            </w:tcBorders>
            <w:shd w:val="clear" w:color="auto" w:fill="auto"/>
            <w:tcMar>
              <w:top w:w="113" w:type="dxa"/>
              <w:bottom w:w="85" w:type="dxa"/>
            </w:tcMar>
          </w:tcPr>
          <w:p w:rsidR="003B33EE" w:rsidRPr="001436BF" w:rsidRDefault="003B33EE" w:rsidP="00DC1333">
            <w:pPr>
              <w:keepNext/>
              <w:keepLines/>
              <w:autoSpaceDE w:val="0"/>
              <w:autoSpaceDN w:val="0"/>
              <w:adjustRightInd w:val="0"/>
              <w:ind w:right="-59"/>
              <w:rPr>
                <w:sz w:val="16"/>
                <w:szCs w:val="16"/>
              </w:rPr>
            </w:pPr>
            <w:r w:rsidRPr="001436BF">
              <w:rPr>
                <w:sz w:val="16"/>
                <w:szCs w:val="16"/>
              </w:rPr>
              <w:t>La falta de consenso entre los Estados miembros y de apoyo político por parte de estos a la labor de la OMPI en favor del</w:t>
            </w:r>
            <w:r>
              <w:rPr>
                <w:sz w:val="16"/>
                <w:szCs w:val="16"/>
              </w:rPr>
              <w:t xml:space="preserve"> fomento del respeto por la P.I</w:t>
            </w:r>
            <w:r w:rsidRPr="001436BF">
              <w:rPr>
                <w:sz w:val="16"/>
                <w:szCs w:val="16"/>
              </w:rPr>
              <w:t>.  Es posible que se ponga en peligro la función de la OMPI de fomentar el respeto por la P.I.</w:t>
            </w:r>
          </w:p>
        </w:tc>
        <w:tc>
          <w:tcPr>
            <w:tcW w:w="2200" w:type="dxa"/>
            <w:tcBorders>
              <w:top w:val="single" w:sz="4" w:space="0" w:color="auto"/>
            </w:tcBorders>
            <w:shd w:val="clear" w:color="auto" w:fill="auto"/>
            <w:tcMar>
              <w:top w:w="113" w:type="dxa"/>
              <w:bottom w:w="85" w:type="dxa"/>
            </w:tcMar>
          </w:tcPr>
          <w:p w:rsidR="003B33EE" w:rsidRPr="00A372C1" w:rsidRDefault="003B33EE" w:rsidP="00DC1333">
            <w:pPr>
              <w:keepNext/>
              <w:keepLines/>
              <w:autoSpaceDE w:val="0"/>
              <w:autoSpaceDN w:val="0"/>
              <w:adjustRightInd w:val="0"/>
              <w:ind w:right="-59"/>
              <w:rPr>
                <w:sz w:val="16"/>
                <w:szCs w:val="16"/>
              </w:rPr>
            </w:pPr>
            <w:r w:rsidRPr="00A372C1">
              <w:rPr>
                <w:sz w:val="16"/>
                <w:szCs w:val="16"/>
              </w:rPr>
              <w:t>Este programa comporta consultas periódicas con los Estados miembros a fin de favorecer la convergencia de sus puntos de vista sobre la pertinencia, la labor y la función del Comité Asesor sobre Observancia (ACE) en materia de políticas, así como las actividades de c</w:t>
            </w:r>
            <w:r>
              <w:rPr>
                <w:sz w:val="16"/>
                <w:szCs w:val="16"/>
              </w:rPr>
              <w:t>reación de capacidad conexas</w:t>
            </w:r>
            <w:r w:rsidRPr="00A372C1">
              <w:rPr>
                <w:sz w:val="16"/>
                <w:szCs w:val="16"/>
              </w:rPr>
              <w:t>.  Se aplican normas rigurosas en todas las actividades con objeto de velar por la buena calidad, la transparencia, la neutralidad y un enfoque equilibrado.</w:t>
            </w:r>
          </w:p>
        </w:tc>
        <w:tc>
          <w:tcPr>
            <w:tcW w:w="2310" w:type="dxa"/>
            <w:tcBorders>
              <w:top w:val="single" w:sz="4" w:space="0" w:color="auto"/>
            </w:tcBorders>
          </w:tcPr>
          <w:p w:rsidR="003B33EE" w:rsidRPr="00AD5D37" w:rsidRDefault="003B33EE" w:rsidP="00DC1333">
            <w:pPr>
              <w:keepNext/>
              <w:keepLines/>
              <w:autoSpaceDE w:val="0"/>
              <w:autoSpaceDN w:val="0"/>
              <w:adjustRightInd w:val="0"/>
              <w:ind w:right="-59"/>
              <w:rPr>
                <w:color w:val="C0504D" w:themeColor="accent2"/>
                <w:sz w:val="16"/>
                <w:szCs w:val="16"/>
              </w:rPr>
            </w:pPr>
            <w:r w:rsidRPr="00D87EB5">
              <w:rPr>
                <w:sz w:val="16"/>
                <w:szCs w:val="16"/>
              </w:rPr>
              <w:t>Aun cuando el riesgo persiste, se ha gestionado mediante la aplicación plena y estricta del plan de mitigaci</w:t>
            </w:r>
            <w:r>
              <w:rPr>
                <w:sz w:val="16"/>
                <w:szCs w:val="16"/>
              </w:rPr>
              <w:t xml:space="preserve">ón.  </w:t>
            </w:r>
            <w:r w:rsidRPr="00D87EB5">
              <w:rPr>
                <w:sz w:val="16"/>
                <w:szCs w:val="16"/>
              </w:rPr>
              <w:t xml:space="preserve">Los Estados miembros han mostrado su apoyo a la labor de la OMPI en cuanto al fomento del respeto por la P.I., </w:t>
            </w:r>
            <w:r>
              <w:rPr>
                <w:sz w:val="16"/>
                <w:szCs w:val="16"/>
              </w:rPr>
              <w:t xml:space="preserve">tal como se ha puesto de manifiesto a través del ACE y la evaluación de la meta estratégica </w:t>
            </w:r>
            <w:r w:rsidRPr="00AD5D37">
              <w:rPr>
                <w:sz w:val="16"/>
                <w:szCs w:val="16"/>
              </w:rPr>
              <w:t xml:space="preserve">VI </w:t>
            </w:r>
            <w:r>
              <w:rPr>
                <w:sz w:val="16"/>
                <w:szCs w:val="16"/>
              </w:rPr>
              <w:t>llevada a cabo por la DSI</w:t>
            </w:r>
            <w:r w:rsidRPr="00AD5D37">
              <w:rPr>
                <w:sz w:val="16"/>
                <w:szCs w:val="16"/>
              </w:rPr>
              <w:t>.</w:t>
            </w:r>
            <w:r>
              <w:rPr>
                <w:rStyle w:val="FootnoteReference"/>
                <w:sz w:val="16"/>
                <w:szCs w:val="16"/>
              </w:rPr>
              <w:footnoteReference w:id="101"/>
            </w:r>
          </w:p>
        </w:tc>
        <w:tc>
          <w:tcPr>
            <w:tcW w:w="2426" w:type="dxa"/>
            <w:tcBorders>
              <w:top w:val="single" w:sz="4" w:space="0" w:color="auto"/>
            </w:tcBorders>
          </w:tcPr>
          <w:p w:rsidR="003B33EE" w:rsidRPr="00AD5D37" w:rsidRDefault="003B33EE" w:rsidP="00DC1333">
            <w:pPr>
              <w:keepNext/>
              <w:keepLines/>
              <w:autoSpaceDE w:val="0"/>
              <w:autoSpaceDN w:val="0"/>
              <w:adjustRightInd w:val="0"/>
              <w:ind w:right="-59"/>
              <w:rPr>
                <w:sz w:val="16"/>
                <w:szCs w:val="16"/>
              </w:rPr>
            </w:pPr>
            <w:r w:rsidRPr="00AD5D37">
              <w:rPr>
                <w:sz w:val="16"/>
                <w:szCs w:val="16"/>
              </w:rPr>
              <w:t xml:space="preserve">El riesgo no se </w:t>
            </w:r>
            <w:r>
              <w:rPr>
                <w:sz w:val="16"/>
                <w:szCs w:val="16"/>
              </w:rPr>
              <w:t>materializó</w:t>
            </w:r>
            <w:r w:rsidRPr="00AD5D37">
              <w:rPr>
                <w:sz w:val="16"/>
                <w:szCs w:val="16"/>
              </w:rPr>
              <w:t xml:space="preserve"> durante el bienio.  La observancia estricta del plan de mitigación garantizó el apoyo d</w:t>
            </w:r>
            <w:r>
              <w:rPr>
                <w:sz w:val="16"/>
                <w:szCs w:val="16"/>
              </w:rPr>
              <w:t>e los Estados miembros y posibilitó el pleno rendimiento del programa.</w:t>
            </w:r>
          </w:p>
        </w:tc>
      </w:tr>
    </w:tbl>
    <w:p w:rsidR="003B33EE" w:rsidRDefault="003B33EE" w:rsidP="00DC1333">
      <w:pPr>
        <w:jc w:val="both"/>
        <w:rPr>
          <w:color w:val="000000"/>
        </w:rPr>
      </w:pPr>
    </w:p>
    <w:p w:rsidR="003B33EE" w:rsidRPr="00AD5D37" w:rsidRDefault="003B33EE" w:rsidP="00DC1333">
      <w:pPr>
        <w:jc w:val="both"/>
        <w:rPr>
          <w:color w:val="000000"/>
        </w:rPr>
      </w:pPr>
    </w:p>
    <w:p w:rsidR="003B33EE" w:rsidRPr="00526311" w:rsidRDefault="00403D2C" w:rsidP="00DC1333">
      <w:r w:rsidRPr="00403D2C">
        <w:rPr>
          <w:color w:val="000000"/>
          <w:sz w:val="20"/>
        </w:rPr>
        <w:t>UTILIZACIÓN DE LOS RECURSOS</w:t>
      </w:r>
    </w:p>
    <w:p w:rsidR="003B33EE" w:rsidRPr="00526311" w:rsidRDefault="003B33EE" w:rsidP="00DC1333">
      <w:pPr>
        <w:jc w:val="center"/>
        <w:rPr>
          <w:sz w:val="16"/>
          <w:szCs w:val="16"/>
        </w:rPr>
      </w:pPr>
    </w:p>
    <w:p w:rsidR="003B33EE" w:rsidRPr="00526311" w:rsidRDefault="003B33EE" w:rsidP="00DC1333">
      <w:pPr>
        <w:pStyle w:val="NormalWeb"/>
        <w:spacing w:before="0" w:beforeAutospacing="0" w:after="0" w:afterAutospacing="0"/>
        <w:jc w:val="center"/>
        <w:rPr>
          <w:sz w:val="20"/>
          <w:szCs w:val="20"/>
          <w:lang w:val="es-ES"/>
        </w:rPr>
      </w:pPr>
      <w:r w:rsidRPr="00526311">
        <w:rPr>
          <w:sz w:val="20"/>
          <w:szCs w:val="20"/>
          <w:lang w:val="es-ES"/>
        </w:rPr>
        <w:t>Presupuesto y gastos reales (por resultado)</w:t>
      </w:r>
    </w:p>
    <w:p w:rsidR="003B33EE" w:rsidRPr="00526311" w:rsidRDefault="003B33EE" w:rsidP="00DC1333">
      <w:pPr>
        <w:pStyle w:val="NormalWeb"/>
        <w:spacing w:before="0" w:beforeAutospacing="0" w:after="120" w:afterAutospacing="0"/>
        <w:jc w:val="center"/>
        <w:rPr>
          <w:i/>
          <w:iCs/>
          <w:sz w:val="20"/>
          <w:szCs w:val="20"/>
          <w:lang w:val="es-ES"/>
        </w:rPr>
      </w:pPr>
      <w:r w:rsidRPr="00526311">
        <w:rPr>
          <w:i/>
          <w:iCs/>
          <w:sz w:val="20"/>
          <w:szCs w:val="20"/>
          <w:lang w:val="es-ES"/>
        </w:rPr>
        <w:t>(</w:t>
      </w:r>
      <w:proofErr w:type="gramStart"/>
      <w:r w:rsidRPr="00526311">
        <w:rPr>
          <w:i/>
          <w:iCs/>
          <w:sz w:val="20"/>
          <w:szCs w:val="20"/>
          <w:lang w:val="es-ES"/>
        </w:rPr>
        <w:t>en</w:t>
      </w:r>
      <w:proofErr w:type="gramEnd"/>
      <w:r w:rsidRPr="00526311">
        <w:rPr>
          <w:i/>
          <w:iCs/>
          <w:sz w:val="20"/>
          <w:szCs w:val="20"/>
          <w:lang w:val="es-ES"/>
        </w:rPr>
        <w:t xml:space="preserve"> miles de francos suizos)</w:t>
      </w:r>
    </w:p>
    <w:p w:rsidR="003B33EE" w:rsidRPr="00526311" w:rsidRDefault="003B33EE" w:rsidP="00DC1333">
      <w:pPr>
        <w:jc w:val="center"/>
      </w:pPr>
      <w:bookmarkStart w:id="147" w:name="Bm17"/>
      <w:bookmarkStart w:id="148" w:name="Punto17"/>
      <w:r>
        <w:rPr>
          <w:noProof/>
          <w:lang w:val="en-US" w:eastAsia="en-US"/>
        </w:rPr>
        <w:drawing>
          <wp:inline distT="0" distB="0" distL="0" distR="0" wp14:anchorId="0F73ECD5" wp14:editId="6D515F46">
            <wp:extent cx="5676900" cy="3171825"/>
            <wp:effectExtent l="0" t="0" r="0" b="9525"/>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5676900" cy="3171825"/>
                    </a:xfrm>
                    <a:prstGeom prst="rect">
                      <a:avLst/>
                    </a:prstGeom>
                    <a:noFill/>
                    <a:ln>
                      <a:noFill/>
                    </a:ln>
                  </pic:spPr>
                </pic:pic>
              </a:graphicData>
            </a:graphic>
          </wp:inline>
        </w:drawing>
      </w:r>
      <w:bookmarkEnd w:id="147"/>
      <w:bookmarkEnd w:id="148"/>
    </w:p>
    <w:p w:rsidR="003B33EE" w:rsidRPr="00526311" w:rsidRDefault="003B33EE" w:rsidP="00DC1333">
      <w:pPr>
        <w:jc w:val="both"/>
      </w:pPr>
    </w:p>
    <w:p w:rsidR="003B33EE" w:rsidRPr="00526311" w:rsidRDefault="003B33EE" w:rsidP="00DC1333">
      <w:pPr>
        <w:pStyle w:val="NormalWeb"/>
        <w:keepNext/>
        <w:keepLines/>
        <w:spacing w:before="0" w:beforeAutospacing="0" w:after="0" w:afterAutospacing="0"/>
        <w:jc w:val="center"/>
        <w:rPr>
          <w:sz w:val="20"/>
          <w:szCs w:val="20"/>
          <w:lang w:val="es-ES"/>
        </w:rPr>
      </w:pPr>
      <w:r w:rsidRPr="00526311">
        <w:rPr>
          <w:sz w:val="20"/>
          <w:szCs w:val="20"/>
          <w:lang w:val="es-ES"/>
        </w:rPr>
        <w:lastRenderedPageBreak/>
        <w:t>Presupuesto y gastos reales (de personal y no relativos a personal)</w:t>
      </w:r>
    </w:p>
    <w:p w:rsidR="003B33EE" w:rsidRPr="00526311" w:rsidRDefault="003B33EE" w:rsidP="00DC1333">
      <w:pPr>
        <w:pStyle w:val="NormalWeb"/>
        <w:keepNext/>
        <w:keepLines/>
        <w:spacing w:before="0" w:beforeAutospacing="0" w:after="120" w:afterAutospacing="0"/>
        <w:jc w:val="center"/>
        <w:rPr>
          <w:i/>
          <w:iCs/>
          <w:sz w:val="20"/>
          <w:szCs w:val="20"/>
          <w:lang w:val="es-ES"/>
        </w:rPr>
      </w:pPr>
      <w:r w:rsidRPr="00526311">
        <w:rPr>
          <w:i/>
          <w:iCs/>
          <w:sz w:val="20"/>
          <w:szCs w:val="20"/>
          <w:lang w:val="es-ES"/>
        </w:rPr>
        <w:t>(</w:t>
      </w:r>
      <w:proofErr w:type="gramStart"/>
      <w:r w:rsidRPr="00526311">
        <w:rPr>
          <w:i/>
          <w:iCs/>
          <w:sz w:val="20"/>
          <w:szCs w:val="20"/>
          <w:lang w:val="es-ES"/>
        </w:rPr>
        <w:t>en</w:t>
      </w:r>
      <w:proofErr w:type="gramEnd"/>
      <w:r w:rsidRPr="00526311">
        <w:rPr>
          <w:i/>
          <w:iCs/>
          <w:sz w:val="20"/>
          <w:szCs w:val="20"/>
          <w:lang w:val="es-ES"/>
        </w:rPr>
        <w:t xml:space="preserve"> miles de francos suizos)</w:t>
      </w:r>
    </w:p>
    <w:p w:rsidR="003B33EE" w:rsidRPr="00526311" w:rsidRDefault="003B33EE" w:rsidP="00DC1333">
      <w:pPr>
        <w:jc w:val="center"/>
      </w:pPr>
      <w:bookmarkStart w:id="149" w:name="Point17"/>
      <w:r>
        <w:rPr>
          <w:noProof/>
          <w:lang w:val="en-US" w:eastAsia="en-US"/>
        </w:rPr>
        <w:drawing>
          <wp:inline distT="0" distB="0" distL="0" distR="0" wp14:anchorId="65C0ED99" wp14:editId="3567F973">
            <wp:extent cx="5940425" cy="975474"/>
            <wp:effectExtent l="0" t="0" r="3175"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5940425" cy="975474"/>
                    </a:xfrm>
                    <a:prstGeom prst="rect">
                      <a:avLst/>
                    </a:prstGeom>
                    <a:noFill/>
                    <a:ln>
                      <a:noFill/>
                    </a:ln>
                  </pic:spPr>
                </pic:pic>
              </a:graphicData>
            </a:graphic>
          </wp:inline>
        </w:drawing>
      </w:r>
      <w:bookmarkEnd w:id="149"/>
    </w:p>
    <w:p w:rsidR="003B33EE" w:rsidRDefault="003B33EE" w:rsidP="00DC1333">
      <w:pPr>
        <w:widowControl w:val="0"/>
        <w:autoSpaceDE w:val="0"/>
        <w:autoSpaceDN w:val="0"/>
        <w:adjustRightInd w:val="0"/>
        <w:jc w:val="both"/>
        <w:rPr>
          <w:sz w:val="20"/>
        </w:rPr>
      </w:pPr>
    </w:p>
    <w:p w:rsidR="003B33EE" w:rsidRPr="00526311" w:rsidRDefault="003B33EE" w:rsidP="00DC1333">
      <w:pPr>
        <w:widowControl w:val="0"/>
        <w:autoSpaceDE w:val="0"/>
        <w:autoSpaceDN w:val="0"/>
        <w:adjustRightInd w:val="0"/>
        <w:jc w:val="both"/>
        <w:rPr>
          <w:sz w:val="20"/>
        </w:rPr>
      </w:pPr>
    </w:p>
    <w:p w:rsidR="003B33EE" w:rsidRPr="00526311" w:rsidRDefault="00403D2C" w:rsidP="00DC1333">
      <w:pPr>
        <w:jc w:val="both"/>
        <w:rPr>
          <w:sz w:val="20"/>
          <w:u w:val="single"/>
        </w:rPr>
      </w:pPr>
      <w:r w:rsidRPr="00403D2C">
        <w:rPr>
          <w:sz w:val="20"/>
        </w:rPr>
        <w:t>A.</w:t>
      </w:r>
      <w:r w:rsidRPr="00403D2C">
        <w:rPr>
          <w:sz w:val="20"/>
        </w:rPr>
        <w:tab/>
      </w:r>
      <w:r w:rsidRPr="00403D2C">
        <w:rPr>
          <w:sz w:val="20"/>
          <w:u w:val="single"/>
        </w:rPr>
        <w:t>Presupuesto final de 2014/15 tras las transferencias</w:t>
      </w:r>
    </w:p>
    <w:p w:rsidR="003B33EE" w:rsidRPr="00526311" w:rsidRDefault="003B33EE" w:rsidP="00DC1333">
      <w:pPr>
        <w:autoSpaceDE w:val="0"/>
        <w:autoSpaceDN w:val="0"/>
        <w:jc w:val="both"/>
        <w:rPr>
          <w:sz w:val="20"/>
          <w:lang w:eastAsia="ko-KR"/>
        </w:rPr>
      </w:pPr>
    </w:p>
    <w:p w:rsidR="003B33EE" w:rsidRPr="005758C2" w:rsidRDefault="003B33EE" w:rsidP="003B33EE">
      <w:pPr>
        <w:pStyle w:val="ListParagraph"/>
        <w:numPr>
          <w:ilvl w:val="0"/>
          <w:numId w:val="80"/>
        </w:numPr>
        <w:ind w:left="0" w:firstLine="0"/>
        <w:jc w:val="both"/>
        <w:rPr>
          <w:rFonts w:cs="Arial"/>
          <w:lang w:val="es-ES" w:eastAsia="ko-KR"/>
        </w:rPr>
      </w:pPr>
      <w:r w:rsidRPr="00526311">
        <w:rPr>
          <w:rFonts w:cs="Arial"/>
          <w:color w:val="000000"/>
          <w:lang w:val="es-ES" w:eastAsia="ko-KR"/>
        </w:rPr>
        <w:t xml:space="preserve">Los ajustes efectuados respecto de los distintos resultados en el presupuesto </w:t>
      </w:r>
      <w:r>
        <w:rPr>
          <w:rFonts w:cs="Arial"/>
          <w:color w:val="000000"/>
          <w:lang w:val="es-ES" w:eastAsia="ko-KR"/>
        </w:rPr>
        <w:t xml:space="preserve">final </w:t>
      </w:r>
      <w:r w:rsidRPr="00526311">
        <w:rPr>
          <w:rFonts w:cs="Arial"/>
          <w:color w:val="000000"/>
          <w:lang w:val="es-ES" w:eastAsia="ko-KR"/>
        </w:rPr>
        <w:t xml:space="preserve">de 2014/15 tras las transferencias </w:t>
      </w:r>
      <w:r>
        <w:rPr>
          <w:rFonts w:cs="Arial"/>
          <w:color w:val="000000"/>
          <w:lang w:val="es-ES" w:eastAsia="ko-KR"/>
        </w:rPr>
        <w:t>se deben fundamentalmente a:</w:t>
      </w:r>
    </w:p>
    <w:p w:rsidR="003B33EE" w:rsidRDefault="003B33EE" w:rsidP="00DC1333">
      <w:pPr>
        <w:pStyle w:val="ListParagraph"/>
        <w:ind w:left="0"/>
        <w:jc w:val="both"/>
        <w:rPr>
          <w:rFonts w:cs="Arial"/>
          <w:color w:val="000000"/>
          <w:lang w:val="es-ES" w:eastAsia="ko-KR"/>
        </w:rPr>
      </w:pPr>
    </w:p>
    <w:p w:rsidR="003B33EE" w:rsidRPr="00BA5289" w:rsidRDefault="003B33EE" w:rsidP="00DC1333">
      <w:pPr>
        <w:pStyle w:val="ListParagraph"/>
        <w:tabs>
          <w:tab w:val="left" w:pos="1276"/>
        </w:tabs>
        <w:autoSpaceDE w:val="0"/>
        <w:autoSpaceDN w:val="0"/>
        <w:ind w:hanging="11"/>
        <w:jc w:val="both"/>
        <w:rPr>
          <w:bCs/>
          <w:lang w:val="es-ES"/>
        </w:rPr>
      </w:pPr>
      <w:r w:rsidRPr="00BA5289">
        <w:rPr>
          <w:lang w:val="es-ES" w:eastAsia="ko-KR"/>
        </w:rPr>
        <w:t>-</w:t>
      </w:r>
      <w:r w:rsidRPr="00BA5289">
        <w:rPr>
          <w:lang w:val="es-ES" w:eastAsia="ko-KR"/>
        </w:rPr>
        <w:tab/>
        <w:t>un aumento permanente de la demanda de asesoramiento por parte de los Estados miembros, con inclusión de las misiones de diagnóstico, lo que se tradujo en una redistribución de los recursos desde el resultado VI.2 (</w:t>
      </w:r>
      <w:r w:rsidRPr="00BA5289">
        <w:rPr>
          <w:bCs/>
          <w:lang w:val="es-ES"/>
        </w:rPr>
        <w:t>Cooperación en el ámbito del fomento del respeto por la P.I.) al I.2 (Asesoramiento legislativo</w:t>
      </w:r>
      <w:r>
        <w:rPr>
          <w:bCs/>
          <w:lang w:val="es-ES"/>
        </w:rPr>
        <w:t>),</w:t>
      </w:r>
      <w:r w:rsidRPr="00BA5289">
        <w:rPr>
          <w:bCs/>
          <w:lang w:val="es-ES"/>
        </w:rPr>
        <w:t xml:space="preserve"> y</w:t>
      </w:r>
    </w:p>
    <w:p w:rsidR="003B33EE" w:rsidRDefault="003B33EE" w:rsidP="00DC1333">
      <w:pPr>
        <w:jc w:val="both"/>
        <w:rPr>
          <w:bCs/>
          <w:sz w:val="20"/>
        </w:rPr>
      </w:pPr>
    </w:p>
    <w:p w:rsidR="003B33EE" w:rsidRDefault="003B33EE" w:rsidP="00DC1333">
      <w:pPr>
        <w:pStyle w:val="ListParagraph"/>
        <w:tabs>
          <w:tab w:val="left" w:pos="1276"/>
        </w:tabs>
        <w:autoSpaceDE w:val="0"/>
        <w:autoSpaceDN w:val="0"/>
        <w:ind w:hanging="11"/>
        <w:jc w:val="both"/>
        <w:rPr>
          <w:rFonts w:cs="Arial"/>
          <w:lang w:val="es-ES" w:eastAsia="ko-KR"/>
        </w:rPr>
      </w:pPr>
      <w:r w:rsidRPr="00BA5289">
        <w:rPr>
          <w:lang w:val="es-ES" w:eastAsia="ko-KR"/>
        </w:rPr>
        <w:t>-</w:t>
      </w:r>
      <w:r w:rsidRPr="00BA5289">
        <w:rPr>
          <w:lang w:val="es-ES" w:eastAsia="ko-KR"/>
        </w:rPr>
        <w:tab/>
        <w:t xml:space="preserve">la celebración, a petición de los Estados miembros, de dos sesiones del ACE durante el bienio, en lugar de una como estaba previsto en un principio, </w:t>
      </w:r>
      <w:r>
        <w:rPr>
          <w:lang w:val="es-ES" w:eastAsia="ko-KR"/>
        </w:rPr>
        <w:t xml:space="preserve">lo que provocó una redistribución de los recursos desde </w:t>
      </w:r>
      <w:r w:rsidRPr="00BA5289">
        <w:rPr>
          <w:lang w:val="es-ES" w:eastAsia="ko-KR"/>
        </w:rPr>
        <w:t>el resultado VI.2 (</w:t>
      </w:r>
      <w:r w:rsidRPr="00BA5289">
        <w:rPr>
          <w:bCs/>
          <w:lang w:val="es-ES"/>
        </w:rPr>
        <w:t>Cooperación en el ámbito del fomento del respeto por la P.I.) al</w:t>
      </w:r>
      <w:r>
        <w:rPr>
          <w:bCs/>
          <w:lang w:val="es-ES"/>
        </w:rPr>
        <w:t xml:space="preserve"> resultado VI.1 (</w:t>
      </w:r>
      <w:r w:rsidRPr="00BA5289">
        <w:rPr>
          <w:rFonts w:cs="Arial"/>
          <w:lang w:val="es-ES" w:eastAsia="ko-KR"/>
        </w:rPr>
        <w:t>Avances en el diálogo internacional sobre políticas entre los Estados miembros de la OMPI para fomentar el respeto por la P.I.</w:t>
      </w:r>
      <w:r>
        <w:rPr>
          <w:rFonts w:cs="Arial"/>
          <w:lang w:val="es-ES" w:eastAsia="ko-KR"/>
        </w:rPr>
        <w:t>).</w:t>
      </w:r>
    </w:p>
    <w:p w:rsidR="003B33EE" w:rsidRDefault="003B33EE" w:rsidP="00DC1333">
      <w:pPr>
        <w:pStyle w:val="ListParagraph"/>
        <w:tabs>
          <w:tab w:val="left" w:pos="1276"/>
        </w:tabs>
        <w:autoSpaceDE w:val="0"/>
        <w:autoSpaceDN w:val="0"/>
        <w:ind w:hanging="11"/>
        <w:jc w:val="both"/>
        <w:rPr>
          <w:rFonts w:cs="Arial"/>
          <w:lang w:val="es-ES" w:eastAsia="ko-KR"/>
        </w:rPr>
      </w:pPr>
    </w:p>
    <w:p w:rsidR="003B33EE" w:rsidRPr="00BA5289" w:rsidRDefault="003B33EE" w:rsidP="003B33EE">
      <w:pPr>
        <w:pStyle w:val="ListParagraph"/>
        <w:numPr>
          <w:ilvl w:val="0"/>
          <w:numId w:val="80"/>
        </w:numPr>
        <w:ind w:left="0" w:firstLine="0"/>
        <w:jc w:val="both"/>
        <w:rPr>
          <w:lang w:val="es-ES" w:eastAsia="ko-KR"/>
        </w:rPr>
      </w:pPr>
      <w:r>
        <w:rPr>
          <w:lang w:val="es-ES" w:eastAsia="ko-KR"/>
        </w:rPr>
        <w:t>El incremento</w:t>
      </w:r>
      <w:r w:rsidRPr="002E5F12">
        <w:rPr>
          <w:lang w:val="es-ES" w:eastAsia="ko-KR"/>
        </w:rPr>
        <w:t xml:space="preserve"> </w:t>
      </w:r>
      <w:r>
        <w:rPr>
          <w:rFonts w:cs="Arial"/>
          <w:color w:val="000000"/>
          <w:lang w:val="es-ES" w:eastAsia="ko-KR"/>
        </w:rPr>
        <w:t>neto</w:t>
      </w:r>
      <w:r w:rsidRPr="002E5F12">
        <w:rPr>
          <w:lang w:val="es-ES" w:eastAsia="ko-KR"/>
        </w:rPr>
        <w:t xml:space="preserve"> de los recursos de personal se debe a la transferencia temporal de un miembro del personal al</w:t>
      </w:r>
      <w:r>
        <w:rPr>
          <w:lang w:val="es-ES" w:eastAsia="ko-KR"/>
        </w:rPr>
        <w:t xml:space="preserve"> programa 6 con objeto de dar respuesta al aumento de la demanda de asesoramiento legislativo.</w:t>
      </w:r>
    </w:p>
    <w:p w:rsidR="003B33EE" w:rsidRPr="00BA5289" w:rsidRDefault="003B33EE" w:rsidP="00DC1333">
      <w:pPr>
        <w:autoSpaceDE w:val="0"/>
        <w:autoSpaceDN w:val="0"/>
        <w:jc w:val="both"/>
        <w:rPr>
          <w:sz w:val="20"/>
          <w:lang w:eastAsia="ko-KR"/>
        </w:rPr>
      </w:pPr>
    </w:p>
    <w:p w:rsidR="003B33EE" w:rsidRPr="00526311" w:rsidRDefault="00403D2C" w:rsidP="00DC1333">
      <w:pPr>
        <w:jc w:val="both"/>
        <w:rPr>
          <w:sz w:val="20"/>
          <w:u w:val="single"/>
          <w:lang w:eastAsia="ko-KR"/>
        </w:rPr>
      </w:pPr>
      <w:r w:rsidRPr="00403D2C">
        <w:rPr>
          <w:color w:val="000000"/>
          <w:sz w:val="20"/>
          <w:lang w:eastAsia="ko-KR"/>
        </w:rPr>
        <w:t>B.</w:t>
      </w:r>
      <w:r w:rsidRPr="00403D2C">
        <w:rPr>
          <w:color w:val="000000"/>
          <w:sz w:val="20"/>
          <w:lang w:eastAsia="ko-KR"/>
        </w:rPr>
        <w:tab/>
      </w:r>
      <w:r w:rsidRPr="00403D2C">
        <w:rPr>
          <w:color w:val="000000"/>
          <w:sz w:val="20"/>
          <w:u w:val="single"/>
          <w:lang w:eastAsia="ko-KR"/>
        </w:rPr>
        <w:t>Utilización del presupuesto en 2014/15</w:t>
      </w:r>
    </w:p>
    <w:p w:rsidR="003B33EE" w:rsidRPr="00526311" w:rsidRDefault="003B33EE" w:rsidP="00DC1333">
      <w:pPr>
        <w:autoSpaceDE w:val="0"/>
        <w:autoSpaceDN w:val="0"/>
        <w:jc w:val="both"/>
        <w:rPr>
          <w:sz w:val="20"/>
          <w:lang w:eastAsia="ko-KR"/>
        </w:rPr>
      </w:pPr>
    </w:p>
    <w:p w:rsidR="003B33EE" w:rsidRPr="00526311" w:rsidRDefault="003B33EE" w:rsidP="003B33EE">
      <w:pPr>
        <w:pStyle w:val="ListParagraph"/>
        <w:numPr>
          <w:ilvl w:val="0"/>
          <w:numId w:val="80"/>
        </w:numPr>
        <w:ind w:left="0" w:firstLine="0"/>
        <w:jc w:val="both"/>
        <w:rPr>
          <w:rFonts w:cs="Arial"/>
          <w:lang w:val="es-ES"/>
        </w:rPr>
      </w:pPr>
      <w:r w:rsidRPr="00526311">
        <w:rPr>
          <w:lang w:val="es-ES" w:eastAsia="zh-CN"/>
        </w:rPr>
        <w:t xml:space="preserve">La utilización del presupuesto se ha mantenido dentro de los límites establecidos </w:t>
      </w:r>
      <w:r>
        <w:rPr>
          <w:lang w:val="es-ES" w:eastAsia="zh-CN"/>
        </w:rPr>
        <w:t xml:space="preserve">para </w:t>
      </w:r>
      <w:r w:rsidRPr="00526311">
        <w:rPr>
          <w:lang w:val="es-ES" w:eastAsia="zh-CN"/>
        </w:rPr>
        <w:t>el bienio</w:t>
      </w:r>
      <w:r w:rsidRPr="00526311">
        <w:rPr>
          <w:rFonts w:cs="Arial"/>
          <w:lang w:val="es-ES" w:eastAsia="ko-KR"/>
        </w:rPr>
        <w:t>.</w:t>
      </w:r>
    </w:p>
    <w:p w:rsidR="003B33EE" w:rsidRDefault="003B33EE"/>
    <w:p w:rsidR="003B33EE" w:rsidRDefault="003B33EE"/>
    <w:p w:rsidR="00FA423E" w:rsidRDefault="00FA423E" w:rsidP="00FA423E"/>
    <w:p w:rsidR="00FA423E" w:rsidRDefault="00FA423E" w:rsidP="00FA423E">
      <w:r>
        <w:br w:type="page"/>
      </w:r>
    </w:p>
    <w:p w:rsidR="00FA423E" w:rsidRPr="00F171B5" w:rsidRDefault="00FA423E" w:rsidP="00FA423E">
      <w:pPr>
        <w:pStyle w:val="StyleHeading214ptAuto"/>
        <w:rPr>
          <w:rFonts w:ascii="Arial" w:hAnsi="Arial" w:cs="Arial"/>
          <w:sz w:val="20"/>
          <w:szCs w:val="20"/>
          <w:lang w:val="es-ES"/>
        </w:rPr>
      </w:pPr>
      <w:bookmarkStart w:id="150" w:name="_Toc455159097"/>
      <w:bookmarkStart w:id="151" w:name="_Toc367350596"/>
      <w:r w:rsidRPr="00F171B5">
        <w:rPr>
          <w:rFonts w:ascii="Arial" w:hAnsi="Arial" w:cs="Arial"/>
          <w:sz w:val="20"/>
          <w:szCs w:val="20"/>
          <w:lang w:val="es-ES_tradnl"/>
        </w:rPr>
        <w:lastRenderedPageBreak/>
        <w:t>META ESTRATÉGICA VII</w:t>
      </w:r>
      <w:bookmarkEnd w:id="150"/>
    </w:p>
    <w:p w:rsidR="00FA423E" w:rsidRPr="00F171B5" w:rsidRDefault="00FA423E" w:rsidP="00FA423E">
      <w:pPr>
        <w:rPr>
          <w:sz w:val="20"/>
        </w:rPr>
      </w:pPr>
    </w:p>
    <w:bookmarkEnd w:id="151"/>
    <w:p w:rsidR="00FA423E" w:rsidRPr="00F171B5" w:rsidRDefault="00FA423E" w:rsidP="00FA423E">
      <w:pPr>
        <w:jc w:val="center"/>
        <w:rPr>
          <w:sz w:val="20"/>
        </w:rPr>
      </w:pPr>
      <w:r w:rsidRPr="00F171B5">
        <w:rPr>
          <w:b/>
          <w:sz w:val="20"/>
          <w:lang w:val="es-ES_tradnl"/>
        </w:rPr>
        <w:t>VÍNCULOS ENTRE LA P.I. Y LOS PROBLEMAS MUNDIALES DE POLÍTICA PÚBLICA</w:t>
      </w:r>
    </w:p>
    <w:p w:rsidR="00FA423E" w:rsidRPr="00F171B5" w:rsidRDefault="00FA423E" w:rsidP="00FA423E">
      <w:pPr>
        <w:jc w:val="center"/>
        <w:rPr>
          <w:sz w:val="20"/>
        </w:rPr>
      </w:pPr>
    </w:p>
    <w:p w:rsidR="00FA423E" w:rsidRPr="00F171B5" w:rsidRDefault="00FA423E" w:rsidP="00FA423E">
      <w:pPr>
        <w:jc w:val="center"/>
        <w:rPr>
          <w:b/>
          <w:sz w:val="20"/>
        </w:rPr>
      </w:pPr>
      <w:r w:rsidRPr="00F171B5">
        <w:rPr>
          <w:b/>
          <w:sz w:val="20"/>
        </w:rPr>
        <w:t xml:space="preserve">Cuadro sobre el rendimiento bienal </w:t>
      </w:r>
    </w:p>
    <w:p w:rsidR="00FA423E" w:rsidRPr="00F171B5" w:rsidRDefault="00FA423E" w:rsidP="00FA423E">
      <w:pPr>
        <w:jc w:val="center"/>
        <w:rPr>
          <w:b/>
          <w:sz w:val="20"/>
        </w:rPr>
      </w:pPr>
    </w:p>
    <w:p w:rsidR="00FA423E" w:rsidRPr="00F171B5" w:rsidRDefault="00FA423E" w:rsidP="00FA423E">
      <w:pPr>
        <w:autoSpaceDE w:val="0"/>
        <w:autoSpaceDN w:val="0"/>
        <w:adjustRightInd w:val="0"/>
        <w:jc w:val="both"/>
        <w:rPr>
          <w:sz w:val="20"/>
        </w:rPr>
      </w:pPr>
      <w:r w:rsidRPr="00F171B5">
        <w:rPr>
          <w:sz w:val="20"/>
          <w:lang w:val="es-ES_tradnl"/>
        </w:rPr>
        <w:t>En el siguiente cuadro se reseñan los avances realizados hacia la consecución de los resultados en el bienio 2014/15, medidos con arreglo a los indicadores de los programas que contribuyen al logro de esta meta estratégica.</w:t>
      </w:r>
      <w:r w:rsidRPr="00F171B5">
        <w:rPr>
          <w:sz w:val="20"/>
        </w:rPr>
        <w:t xml:space="preserve">  </w:t>
      </w:r>
    </w:p>
    <w:p w:rsidR="00FA423E" w:rsidRPr="00F171B5" w:rsidRDefault="00FA423E" w:rsidP="00FA423E">
      <w:pPr>
        <w:jc w:val="center"/>
        <w:rPr>
          <w:sz w:val="20"/>
        </w:rPr>
      </w:pPr>
      <w:r w:rsidRPr="00F171B5">
        <w:rPr>
          <w:noProof/>
          <w:sz w:val="20"/>
          <w:lang w:val="en-US" w:eastAsia="en-US"/>
        </w:rPr>
        <w:drawing>
          <wp:inline distT="0" distB="0" distL="0" distR="0" wp14:anchorId="70D26BB9" wp14:editId="537B9483">
            <wp:extent cx="5940425" cy="3001973"/>
            <wp:effectExtent l="0" t="0" r="3175" b="825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5940425" cy="3001973"/>
                    </a:xfrm>
                    <a:prstGeom prst="rect">
                      <a:avLst/>
                    </a:prstGeom>
                    <a:noFill/>
                    <a:ln>
                      <a:noFill/>
                    </a:ln>
                  </pic:spPr>
                </pic:pic>
              </a:graphicData>
            </a:graphic>
          </wp:inline>
        </w:drawing>
      </w:r>
    </w:p>
    <w:p w:rsidR="00FA423E" w:rsidRPr="00F171B5" w:rsidRDefault="00FA423E" w:rsidP="00FA423E">
      <w:pPr>
        <w:jc w:val="center"/>
        <w:rPr>
          <w:sz w:val="20"/>
        </w:rPr>
      </w:pPr>
    </w:p>
    <w:tbl>
      <w:tblPr>
        <w:tblW w:w="5148" w:type="pct"/>
        <w:tblInd w:w="-17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836"/>
        <w:gridCol w:w="4186"/>
        <w:gridCol w:w="1628"/>
        <w:gridCol w:w="1204"/>
      </w:tblGrid>
      <w:tr w:rsidR="00FA423E" w:rsidRPr="00AF5E7C" w:rsidTr="00DC1333">
        <w:trPr>
          <w:cantSplit/>
          <w:tblHeader/>
        </w:trPr>
        <w:tc>
          <w:tcPr>
            <w:tcW w:w="1439" w:type="pct"/>
            <w:tcBorders>
              <w:top w:val="single" w:sz="4" w:space="0" w:color="auto"/>
              <w:bottom w:val="single" w:sz="4" w:space="0" w:color="auto"/>
            </w:tcBorders>
            <w:shd w:val="clear" w:color="auto" w:fill="DAEEF3" w:themeFill="accent5" w:themeFillTint="33"/>
            <w:tcMar>
              <w:top w:w="113" w:type="dxa"/>
              <w:bottom w:w="85" w:type="dxa"/>
            </w:tcMar>
            <w:vAlign w:val="center"/>
          </w:tcPr>
          <w:p w:rsidR="00FA423E" w:rsidRPr="007E4934" w:rsidRDefault="00FA423E" w:rsidP="00DC1333">
            <w:pPr>
              <w:rPr>
                <w:b/>
                <w:bCs/>
                <w:sz w:val="18"/>
                <w:szCs w:val="18"/>
              </w:rPr>
            </w:pPr>
            <w:r w:rsidRPr="007E4934">
              <w:rPr>
                <w:b/>
                <w:bCs/>
                <w:sz w:val="18"/>
                <w:szCs w:val="18"/>
                <w:lang w:val="es-ES_tradnl"/>
              </w:rPr>
              <w:t>Resultados previstos</w:t>
            </w:r>
          </w:p>
        </w:tc>
        <w:tc>
          <w:tcPr>
            <w:tcW w:w="2124" w:type="pct"/>
            <w:tcBorders>
              <w:top w:val="single" w:sz="4" w:space="0" w:color="auto"/>
              <w:bottom w:val="single" w:sz="4" w:space="0" w:color="auto"/>
            </w:tcBorders>
            <w:shd w:val="clear" w:color="auto" w:fill="DAEEF3" w:themeFill="accent5" w:themeFillTint="33"/>
            <w:tcMar>
              <w:top w:w="113" w:type="dxa"/>
              <w:bottom w:w="85" w:type="dxa"/>
            </w:tcMar>
            <w:vAlign w:val="center"/>
          </w:tcPr>
          <w:p w:rsidR="00FA423E" w:rsidRPr="007E4934" w:rsidRDefault="00FA423E" w:rsidP="00DC1333">
            <w:pPr>
              <w:rPr>
                <w:b/>
                <w:sz w:val="18"/>
                <w:szCs w:val="18"/>
              </w:rPr>
            </w:pPr>
            <w:r w:rsidRPr="007E4934">
              <w:rPr>
                <w:b/>
                <w:sz w:val="18"/>
                <w:szCs w:val="18"/>
                <w:lang w:val="es-ES_tradnl"/>
              </w:rPr>
              <w:t>Indicadores de rendimiento</w:t>
            </w:r>
          </w:p>
        </w:tc>
        <w:tc>
          <w:tcPr>
            <w:tcW w:w="826" w:type="pct"/>
            <w:tcBorders>
              <w:top w:val="single" w:sz="4" w:space="0" w:color="auto"/>
              <w:bottom w:val="single" w:sz="4" w:space="0" w:color="auto"/>
            </w:tcBorders>
            <w:shd w:val="clear" w:color="auto" w:fill="DAEEF3" w:themeFill="accent5" w:themeFillTint="33"/>
            <w:tcMar>
              <w:top w:w="113" w:type="dxa"/>
              <w:bottom w:w="85" w:type="dxa"/>
            </w:tcMar>
            <w:vAlign w:val="center"/>
          </w:tcPr>
          <w:p w:rsidR="00FA423E" w:rsidRPr="007E4934" w:rsidRDefault="00FA423E" w:rsidP="00DC1333">
            <w:pPr>
              <w:jc w:val="center"/>
              <w:rPr>
                <w:sz w:val="18"/>
                <w:szCs w:val="18"/>
              </w:rPr>
            </w:pPr>
            <w:r w:rsidRPr="007E4934">
              <w:rPr>
                <w:b/>
                <w:sz w:val="18"/>
                <w:szCs w:val="18"/>
                <w:lang w:val="es-ES_tradnl"/>
              </w:rPr>
              <w:t>Programas responsables</w:t>
            </w:r>
          </w:p>
        </w:tc>
        <w:tc>
          <w:tcPr>
            <w:tcW w:w="611" w:type="pct"/>
            <w:tcBorders>
              <w:top w:val="single" w:sz="4" w:space="0" w:color="auto"/>
              <w:bottom w:val="single" w:sz="4" w:space="0" w:color="auto"/>
            </w:tcBorders>
            <w:shd w:val="clear" w:color="auto" w:fill="DAEEF3" w:themeFill="accent5" w:themeFillTint="33"/>
            <w:vAlign w:val="center"/>
          </w:tcPr>
          <w:p w:rsidR="00FA423E" w:rsidRPr="00206A01" w:rsidRDefault="00FA423E" w:rsidP="00DC1333">
            <w:pPr>
              <w:jc w:val="center"/>
              <w:rPr>
                <w:b/>
                <w:bCs/>
                <w:sz w:val="18"/>
                <w:szCs w:val="18"/>
              </w:rPr>
            </w:pPr>
            <w:r w:rsidRPr="007E4934">
              <w:rPr>
                <w:b/>
                <w:bCs/>
                <w:sz w:val="18"/>
                <w:szCs w:val="18"/>
                <w:lang w:val="es-ES_tradnl"/>
              </w:rPr>
              <w:t>Clave de colores</w:t>
            </w:r>
          </w:p>
        </w:tc>
      </w:tr>
      <w:tr w:rsidR="00FA423E" w:rsidRPr="00AF5E7C" w:rsidTr="00DC1333">
        <w:trPr>
          <w:cantSplit/>
          <w:trHeight w:val="486"/>
        </w:trPr>
        <w:tc>
          <w:tcPr>
            <w:tcW w:w="1439" w:type="pct"/>
            <w:vMerge w:val="restart"/>
            <w:tcBorders>
              <w:top w:val="single" w:sz="4" w:space="0" w:color="auto"/>
              <w:right w:val="nil"/>
            </w:tcBorders>
            <w:shd w:val="clear" w:color="auto" w:fill="auto"/>
            <w:tcMar>
              <w:top w:w="113" w:type="dxa"/>
              <w:bottom w:w="85" w:type="dxa"/>
            </w:tcMar>
          </w:tcPr>
          <w:p w:rsidR="00FA423E" w:rsidRPr="007E4934" w:rsidRDefault="00FA423E" w:rsidP="00DC1333">
            <w:pPr>
              <w:rPr>
                <w:sz w:val="16"/>
                <w:szCs w:val="16"/>
              </w:rPr>
            </w:pPr>
            <w:r w:rsidRPr="007E4934">
              <w:rPr>
                <w:sz w:val="16"/>
                <w:szCs w:val="16"/>
              </w:rPr>
              <w:t xml:space="preserve">VII.2 </w:t>
            </w:r>
            <w:r w:rsidRPr="007E4934">
              <w:rPr>
                <w:sz w:val="16"/>
                <w:szCs w:val="16"/>
                <w:lang w:val="es-ES_tradnl"/>
              </w:rPr>
              <w:t>Plataformas y herramientas de P.I. utilizadas para la transferencia de conocimiento y la difusión y adaptación de tecnología de los países desarrollados en los países en desarrollo, en particular en los menos adelantados, con el fin de atender los desafíos mundiales</w:t>
            </w:r>
          </w:p>
        </w:tc>
        <w:tc>
          <w:tcPr>
            <w:tcW w:w="2124" w:type="pct"/>
            <w:tcBorders>
              <w:top w:val="single" w:sz="4" w:space="0" w:color="auto"/>
              <w:left w:val="nil"/>
              <w:bottom w:val="nil"/>
              <w:right w:val="nil"/>
            </w:tcBorders>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 xml:space="preserve">Aumento del número de miembros de </w:t>
            </w:r>
            <w:r w:rsidRPr="007E4934">
              <w:rPr>
                <w:i/>
                <w:sz w:val="16"/>
                <w:szCs w:val="16"/>
                <w:lang w:val="es-ES_tradnl"/>
              </w:rPr>
              <w:t xml:space="preserve">WIPO </w:t>
            </w:r>
            <w:proofErr w:type="spellStart"/>
            <w:r w:rsidRPr="007E4934">
              <w:rPr>
                <w:i/>
                <w:sz w:val="16"/>
                <w:szCs w:val="16"/>
                <w:lang w:val="es-ES_tradnl"/>
              </w:rPr>
              <w:t>Re:Search</w:t>
            </w:r>
            <w:proofErr w:type="spellEnd"/>
            <w:r w:rsidRPr="007E4934">
              <w:rPr>
                <w:sz w:val="16"/>
                <w:szCs w:val="16"/>
                <w:lang w:val="es-ES_tradnl"/>
              </w:rPr>
              <w:t>, incluidos los procedentes de países en desarrollo y PMA</w:t>
            </w:r>
            <w:r w:rsidRPr="007E4934">
              <w:rPr>
                <w:sz w:val="16"/>
                <w:szCs w:val="16"/>
              </w:rPr>
              <w:t xml:space="preserve"> </w:t>
            </w:r>
          </w:p>
        </w:tc>
        <w:tc>
          <w:tcPr>
            <w:tcW w:w="826" w:type="pct"/>
            <w:tcBorders>
              <w:top w:val="single" w:sz="4" w:space="0" w:color="auto"/>
              <w:left w:val="nil"/>
              <w:bottom w:val="nil"/>
              <w:right w:val="nil"/>
            </w:tcBorders>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18</w:t>
            </w:r>
            <w:r w:rsidRPr="007E4934">
              <w:rPr>
                <w:sz w:val="16"/>
                <w:szCs w:val="16"/>
                <w:lang w:bidi="th-TH"/>
              </w:rPr>
              <w:t xml:space="preserve"> </w:t>
            </w:r>
          </w:p>
        </w:tc>
        <w:tc>
          <w:tcPr>
            <w:tcW w:w="611" w:type="pct"/>
            <w:tcBorders>
              <w:top w:val="single" w:sz="4" w:space="0" w:color="auto"/>
              <w:left w:val="nil"/>
            </w:tcBorders>
            <w:shd w:val="clear" w:color="auto" w:fill="FFFFFF"/>
          </w:tcPr>
          <w:p w:rsidR="00FA423E" w:rsidRPr="00CC3F44" w:rsidRDefault="00FA423E" w:rsidP="00DC1333">
            <w:pPr>
              <w:jc w:val="center"/>
              <w:rPr>
                <w:color w:val="A6A6A6" w:themeColor="background1" w:themeShade="A6"/>
                <w:szCs w:val="22"/>
              </w:rPr>
            </w:pPr>
            <w:r w:rsidRPr="00CC3F44">
              <w:rPr>
                <w:color w:val="008000"/>
                <w:szCs w:val="22"/>
              </w:rPr>
              <w:sym w:font="Wingdings" w:char="F06C"/>
            </w:r>
          </w:p>
        </w:tc>
      </w:tr>
      <w:tr w:rsidR="00FA423E" w:rsidRPr="00AF5E7C" w:rsidTr="00DC1333">
        <w:trPr>
          <w:cantSplit/>
          <w:trHeight w:val="294"/>
        </w:trPr>
        <w:tc>
          <w:tcPr>
            <w:tcW w:w="1439" w:type="pct"/>
            <w:vMerge/>
            <w:tcBorders>
              <w:right w:val="nil"/>
            </w:tcBorders>
            <w:shd w:val="clear" w:color="auto" w:fill="auto"/>
            <w:tcMar>
              <w:top w:w="113" w:type="dxa"/>
              <w:bottom w:w="85" w:type="dxa"/>
            </w:tcMar>
          </w:tcPr>
          <w:p w:rsidR="00FA423E" w:rsidRPr="007E4934" w:rsidRDefault="00FA423E" w:rsidP="00DC1333">
            <w:pPr>
              <w:rPr>
                <w:sz w:val="16"/>
                <w:szCs w:val="16"/>
              </w:rPr>
            </w:pPr>
          </w:p>
        </w:tc>
        <w:tc>
          <w:tcPr>
            <w:tcW w:w="2124" w:type="pct"/>
            <w:tcBorders>
              <w:top w:val="nil"/>
              <w:left w:val="nil"/>
              <w:bottom w:val="nil"/>
              <w:right w:val="nil"/>
            </w:tcBorders>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 xml:space="preserve">Aumento de las contribuciones a la base de datos de </w:t>
            </w:r>
            <w:r w:rsidRPr="007E4934">
              <w:rPr>
                <w:i/>
                <w:sz w:val="16"/>
                <w:szCs w:val="16"/>
                <w:lang w:val="es-ES_tradnl"/>
              </w:rPr>
              <w:t xml:space="preserve">WIPO </w:t>
            </w:r>
            <w:proofErr w:type="spellStart"/>
            <w:r w:rsidRPr="007E4934">
              <w:rPr>
                <w:i/>
                <w:sz w:val="16"/>
                <w:szCs w:val="16"/>
                <w:lang w:val="es-ES_tradnl"/>
              </w:rPr>
              <w:t>Re:Search</w:t>
            </w:r>
            <w:proofErr w:type="spellEnd"/>
            <w:r w:rsidRPr="007E4934">
              <w:rPr>
                <w:sz w:val="16"/>
                <w:szCs w:val="16"/>
              </w:rPr>
              <w:t xml:space="preserve"> </w:t>
            </w:r>
          </w:p>
        </w:tc>
        <w:tc>
          <w:tcPr>
            <w:tcW w:w="826" w:type="pct"/>
            <w:tcBorders>
              <w:top w:val="nil"/>
              <w:left w:val="nil"/>
              <w:bottom w:val="nil"/>
              <w:right w:val="nil"/>
            </w:tcBorders>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18</w:t>
            </w:r>
            <w:r w:rsidRPr="007E4934">
              <w:rPr>
                <w:sz w:val="16"/>
                <w:szCs w:val="16"/>
                <w:lang w:bidi="th-TH"/>
              </w:rPr>
              <w:t xml:space="preserve"> </w:t>
            </w:r>
          </w:p>
        </w:tc>
        <w:tc>
          <w:tcPr>
            <w:tcW w:w="611" w:type="pct"/>
            <w:tcBorders>
              <w:top w:val="nil"/>
              <w:left w:val="nil"/>
            </w:tcBorders>
            <w:shd w:val="clear" w:color="auto" w:fill="FFFFFF"/>
          </w:tcPr>
          <w:p w:rsidR="00FA423E" w:rsidRPr="00CC3F44" w:rsidRDefault="00FA423E" w:rsidP="00DC1333">
            <w:pPr>
              <w:jc w:val="center"/>
            </w:pPr>
            <w:r w:rsidRPr="00CC3F44">
              <w:rPr>
                <w:color w:val="FF0000"/>
                <w:szCs w:val="22"/>
              </w:rPr>
              <w:sym w:font="Wingdings" w:char="F06C"/>
            </w:r>
          </w:p>
        </w:tc>
      </w:tr>
      <w:tr w:rsidR="00FA423E" w:rsidRPr="00AF5E7C" w:rsidTr="00DC1333">
        <w:trPr>
          <w:cantSplit/>
          <w:trHeight w:val="516"/>
        </w:trPr>
        <w:tc>
          <w:tcPr>
            <w:tcW w:w="1439" w:type="pct"/>
            <w:vMerge/>
            <w:tcBorders>
              <w:right w:val="nil"/>
            </w:tcBorders>
            <w:shd w:val="clear" w:color="auto" w:fill="auto"/>
            <w:tcMar>
              <w:top w:w="113" w:type="dxa"/>
              <w:bottom w:w="85" w:type="dxa"/>
            </w:tcMar>
          </w:tcPr>
          <w:p w:rsidR="00FA423E" w:rsidRPr="007E4934" w:rsidRDefault="00FA423E" w:rsidP="00DC1333">
            <w:pPr>
              <w:rPr>
                <w:sz w:val="16"/>
                <w:szCs w:val="16"/>
              </w:rPr>
            </w:pPr>
          </w:p>
        </w:tc>
        <w:tc>
          <w:tcPr>
            <w:tcW w:w="2124" w:type="pct"/>
            <w:tcBorders>
              <w:top w:val="nil"/>
              <w:left w:val="nil"/>
              <w:bottom w:val="nil"/>
              <w:right w:val="nil"/>
            </w:tcBorders>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 xml:space="preserve">Aumento del número de acuerdos suscritos en el marco de </w:t>
            </w:r>
            <w:r w:rsidRPr="007E4934">
              <w:rPr>
                <w:i/>
                <w:sz w:val="16"/>
                <w:szCs w:val="16"/>
                <w:lang w:val="es-ES_tradnl"/>
              </w:rPr>
              <w:t xml:space="preserve">WIPO </w:t>
            </w:r>
            <w:proofErr w:type="spellStart"/>
            <w:r w:rsidRPr="007E4934">
              <w:rPr>
                <w:i/>
                <w:sz w:val="16"/>
                <w:szCs w:val="16"/>
                <w:lang w:val="es-ES_tradnl"/>
              </w:rPr>
              <w:t>Re:Search</w:t>
            </w:r>
            <w:proofErr w:type="spellEnd"/>
            <w:r w:rsidRPr="007E4934">
              <w:rPr>
                <w:sz w:val="16"/>
                <w:szCs w:val="16"/>
                <w:lang w:val="es-ES_tradnl"/>
              </w:rPr>
              <w:t xml:space="preserve"> que conducen a nuevas actividades de I+D, o a un aceleramiento de las mismas, en enfermedades tropicales desatendidas, paludismo y tuberculosis</w:t>
            </w:r>
          </w:p>
        </w:tc>
        <w:tc>
          <w:tcPr>
            <w:tcW w:w="826" w:type="pct"/>
            <w:tcBorders>
              <w:top w:val="nil"/>
              <w:left w:val="nil"/>
              <w:bottom w:val="nil"/>
              <w:right w:val="nil"/>
            </w:tcBorders>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18</w:t>
            </w:r>
            <w:r w:rsidRPr="007E4934">
              <w:rPr>
                <w:sz w:val="16"/>
                <w:szCs w:val="16"/>
                <w:lang w:bidi="th-TH"/>
              </w:rPr>
              <w:t xml:space="preserve"> </w:t>
            </w:r>
          </w:p>
          <w:p w:rsidR="00FA423E" w:rsidRPr="007E4934" w:rsidRDefault="00FA423E" w:rsidP="00DC1333">
            <w:pPr>
              <w:ind w:left="661"/>
              <w:rPr>
                <w:sz w:val="16"/>
                <w:szCs w:val="16"/>
                <w:lang w:bidi="th-TH"/>
              </w:rPr>
            </w:pPr>
          </w:p>
        </w:tc>
        <w:tc>
          <w:tcPr>
            <w:tcW w:w="611" w:type="pct"/>
            <w:tcBorders>
              <w:top w:val="nil"/>
              <w:left w:val="nil"/>
            </w:tcBorders>
            <w:shd w:val="clear" w:color="auto" w:fill="FFFFFF"/>
          </w:tcPr>
          <w:p w:rsidR="00FA423E" w:rsidRPr="00CC3F44" w:rsidRDefault="00FA423E" w:rsidP="00DC1333">
            <w:pPr>
              <w:jc w:val="center"/>
            </w:pPr>
            <w:r w:rsidRPr="00CC3F44">
              <w:rPr>
                <w:color w:val="008000"/>
                <w:szCs w:val="22"/>
              </w:rPr>
              <w:sym w:font="Wingdings" w:char="F06C"/>
            </w:r>
          </w:p>
        </w:tc>
      </w:tr>
      <w:tr w:rsidR="00FA423E" w:rsidRPr="00AF5E7C" w:rsidTr="00DC1333">
        <w:trPr>
          <w:cantSplit/>
          <w:trHeight w:val="272"/>
        </w:trPr>
        <w:tc>
          <w:tcPr>
            <w:tcW w:w="1439" w:type="pct"/>
            <w:shd w:val="clear" w:color="auto" w:fill="auto"/>
            <w:tcMar>
              <w:top w:w="113" w:type="dxa"/>
              <w:bottom w:w="85" w:type="dxa"/>
            </w:tcMar>
          </w:tcPr>
          <w:p w:rsidR="00FA423E" w:rsidRPr="007E4934" w:rsidRDefault="00FA423E" w:rsidP="00DC1333">
            <w:pPr>
              <w:rPr>
                <w:sz w:val="16"/>
                <w:szCs w:val="16"/>
              </w:rPr>
            </w:pPr>
          </w:p>
        </w:tc>
        <w:tc>
          <w:tcPr>
            <w:tcW w:w="2124" w:type="pct"/>
            <w:tcBorders>
              <w:top w:val="nil"/>
            </w:tcBorders>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Número de miembros de WIPO GREEN</w:t>
            </w:r>
          </w:p>
        </w:tc>
        <w:tc>
          <w:tcPr>
            <w:tcW w:w="826" w:type="pct"/>
            <w:tcBorders>
              <w:top w:val="nil"/>
            </w:tcBorders>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18</w:t>
            </w:r>
          </w:p>
        </w:tc>
        <w:tc>
          <w:tcPr>
            <w:tcW w:w="611" w:type="pct"/>
            <w:shd w:val="clear" w:color="auto" w:fill="FFFFFF"/>
          </w:tcPr>
          <w:p w:rsidR="00FA423E" w:rsidRPr="00CC3F44" w:rsidRDefault="00FA423E" w:rsidP="00DC1333">
            <w:pPr>
              <w:jc w:val="center"/>
            </w:pPr>
            <w:r w:rsidRPr="00CC3F44">
              <w:rPr>
                <w:color w:val="008000"/>
                <w:szCs w:val="22"/>
              </w:rPr>
              <w:sym w:font="Wingdings" w:char="F06C"/>
            </w:r>
            <w:r w:rsidRPr="00CC3F44">
              <w:rPr>
                <w:color w:val="008000"/>
                <w:szCs w:val="22"/>
              </w:rPr>
              <w:sym w:font="Wingdings" w:char="F06C"/>
            </w:r>
            <w:r w:rsidRPr="00CC3F44">
              <w:rPr>
                <w:color w:val="008000"/>
                <w:szCs w:val="22"/>
              </w:rPr>
              <w:sym w:font="Wingdings" w:char="F06C"/>
            </w:r>
          </w:p>
        </w:tc>
      </w:tr>
      <w:tr w:rsidR="00FA423E" w:rsidRPr="00AF5E7C" w:rsidTr="00DC1333">
        <w:trPr>
          <w:cantSplit/>
          <w:trHeight w:val="706"/>
        </w:trPr>
        <w:tc>
          <w:tcPr>
            <w:tcW w:w="1439" w:type="pct"/>
            <w:shd w:val="clear" w:color="auto" w:fill="auto"/>
            <w:tcMar>
              <w:top w:w="113" w:type="dxa"/>
              <w:bottom w:w="85" w:type="dxa"/>
            </w:tcMar>
          </w:tcPr>
          <w:p w:rsidR="00FA423E" w:rsidRPr="007E4934" w:rsidRDefault="00FA423E" w:rsidP="00DC1333">
            <w:pPr>
              <w:rPr>
                <w:sz w:val="16"/>
                <w:szCs w:val="16"/>
              </w:rPr>
            </w:pPr>
          </w:p>
        </w:tc>
        <w:tc>
          <w:tcPr>
            <w:tcW w:w="2124" w:type="pc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Número de vínculos establecidos entre WIPO GREEN y los mecanismos pertinentes, como los centros y redes de tecnología del clima (CMNUCC) y los centros de innovación climática (</w:t>
            </w:r>
            <w:proofErr w:type="spellStart"/>
            <w:r w:rsidRPr="007E4934">
              <w:rPr>
                <w:sz w:val="16"/>
                <w:szCs w:val="16"/>
                <w:lang w:val="es-ES_tradnl"/>
              </w:rPr>
              <w:t>infoDev</w:t>
            </w:r>
            <w:proofErr w:type="spellEnd"/>
            <w:r w:rsidRPr="007E4934">
              <w:rPr>
                <w:sz w:val="16"/>
                <w:szCs w:val="16"/>
                <w:lang w:val="es-ES_tradnl"/>
              </w:rPr>
              <w:t>)</w:t>
            </w:r>
          </w:p>
        </w:tc>
        <w:tc>
          <w:tcPr>
            <w:tcW w:w="826"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18</w:t>
            </w:r>
          </w:p>
        </w:tc>
        <w:tc>
          <w:tcPr>
            <w:tcW w:w="611" w:type="pct"/>
            <w:shd w:val="clear" w:color="auto" w:fill="FFFFFF"/>
          </w:tcPr>
          <w:p w:rsidR="00FA423E" w:rsidRPr="00CC3F44" w:rsidRDefault="00FA423E" w:rsidP="00DC1333">
            <w:pPr>
              <w:jc w:val="center"/>
              <w:rPr>
                <w:color w:val="A6A6A6" w:themeColor="background1" w:themeShade="A6"/>
                <w:szCs w:val="22"/>
              </w:rPr>
            </w:pPr>
            <w:r w:rsidRPr="00CC3F44">
              <w:rPr>
                <w:color w:val="008000"/>
                <w:szCs w:val="22"/>
              </w:rPr>
              <w:sym w:font="Wingdings" w:char="F06C"/>
            </w:r>
          </w:p>
        </w:tc>
      </w:tr>
      <w:tr w:rsidR="00FA423E" w:rsidRPr="00AF5E7C" w:rsidTr="00DC1333">
        <w:trPr>
          <w:cantSplit/>
          <w:trHeight w:val="296"/>
        </w:trPr>
        <w:tc>
          <w:tcPr>
            <w:tcW w:w="1439" w:type="pct"/>
            <w:shd w:val="clear" w:color="auto" w:fill="auto"/>
            <w:tcMar>
              <w:top w:w="113" w:type="dxa"/>
              <w:bottom w:w="85" w:type="dxa"/>
            </w:tcMar>
          </w:tcPr>
          <w:p w:rsidR="00FA423E" w:rsidRPr="007E4934" w:rsidRDefault="00FA423E" w:rsidP="00DC1333">
            <w:pPr>
              <w:rPr>
                <w:sz w:val="16"/>
                <w:szCs w:val="16"/>
              </w:rPr>
            </w:pPr>
          </w:p>
        </w:tc>
        <w:tc>
          <w:tcPr>
            <w:tcW w:w="2124" w:type="pc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Número de acuerdos catalizados por medio de WIPO GREEN que facilitan la transferencia de conocimiento así como la adaptación, transferencia o difusión de tecnología</w:t>
            </w:r>
          </w:p>
        </w:tc>
        <w:tc>
          <w:tcPr>
            <w:tcW w:w="826"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18</w:t>
            </w:r>
          </w:p>
        </w:tc>
        <w:tc>
          <w:tcPr>
            <w:tcW w:w="611" w:type="pct"/>
            <w:shd w:val="clear" w:color="auto" w:fill="FFFFFF"/>
          </w:tcPr>
          <w:p w:rsidR="00FA423E" w:rsidRPr="00CC3F44" w:rsidRDefault="00FA423E" w:rsidP="00DC1333">
            <w:pPr>
              <w:jc w:val="center"/>
            </w:pPr>
            <w:r w:rsidRPr="00CC3F44">
              <w:rPr>
                <w:color w:val="FF0000"/>
                <w:szCs w:val="22"/>
              </w:rPr>
              <w:sym w:font="Wingdings" w:char="F06C"/>
            </w:r>
          </w:p>
        </w:tc>
      </w:tr>
      <w:tr w:rsidR="00FA423E" w:rsidRPr="00AF5E7C" w:rsidTr="00DC1333">
        <w:trPr>
          <w:cantSplit/>
          <w:trHeight w:val="292"/>
        </w:trPr>
        <w:tc>
          <w:tcPr>
            <w:tcW w:w="1439" w:type="pct"/>
            <w:shd w:val="clear" w:color="auto" w:fill="auto"/>
            <w:tcMar>
              <w:top w:w="113" w:type="dxa"/>
              <w:bottom w:w="85" w:type="dxa"/>
            </w:tcMar>
          </w:tcPr>
          <w:p w:rsidR="00FA423E" w:rsidRPr="007E4934" w:rsidRDefault="00FA423E" w:rsidP="00DC1333">
            <w:pPr>
              <w:rPr>
                <w:sz w:val="16"/>
                <w:szCs w:val="16"/>
              </w:rPr>
            </w:pPr>
          </w:p>
        </w:tc>
        <w:tc>
          <w:tcPr>
            <w:tcW w:w="2124" w:type="pc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Número de visitas a las páginas sobre desafíos mundiales del sitio web</w:t>
            </w:r>
          </w:p>
        </w:tc>
        <w:tc>
          <w:tcPr>
            <w:tcW w:w="826"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18</w:t>
            </w:r>
          </w:p>
        </w:tc>
        <w:tc>
          <w:tcPr>
            <w:tcW w:w="611" w:type="pct"/>
            <w:shd w:val="clear" w:color="auto" w:fill="FFFFFF"/>
          </w:tcPr>
          <w:p w:rsidR="00FA423E" w:rsidRPr="00CC3F44" w:rsidRDefault="00FA423E" w:rsidP="00DC1333">
            <w:pPr>
              <w:jc w:val="center"/>
              <w:rPr>
                <w:color w:val="A6A6A6" w:themeColor="background1" w:themeShade="A6"/>
                <w:szCs w:val="22"/>
              </w:rPr>
            </w:pPr>
            <w:r w:rsidRPr="00CC3F44">
              <w:rPr>
                <w:color w:val="FF0000"/>
                <w:szCs w:val="22"/>
              </w:rPr>
              <w:sym w:font="Wingdings" w:char="F06C"/>
            </w:r>
            <w:r w:rsidRPr="00CC3F44">
              <w:rPr>
                <w:color w:val="008000"/>
                <w:szCs w:val="22"/>
              </w:rPr>
              <w:sym w:font="Wingdings" w:char="F06C"/>
            </w:r>
            <w:r w:rsidRPr="00CC3F44">
              <w:rPr>
                <w:color w:val="008000"/>
                <w:szCs w:val="22"/>
              </w:rPr>
              <w:sym w:font="Wingdings" w:char="F06C"/>
            </w:r>
            <w:r w:rsidRPr="00CC3F44">
              <w:rPr>
                <w:color w:val="FF0000"/>
                <w:szCs w:val="22"/>
              </w:rPr>
              <w:sym w:font="Wingdings" w:char="F06C"/>
            </w:r>
          </w:p>
        </w:tc>
      </w:tr>
      <w:tr w:rsidR="00FA423E" w:rsidRPr="00AF5E7C" w:rsidTr="00DC1333">
        <w:trPr>
          <w:cantSplit/>
          <w:trHeight w:val="344"/>
        </w:trPr>
        <w:tc>
          <w:tcPr>
            <w:tcW w:w="1439" w:type="pct"/>
            <w:shd w:val="clear" w:color="auto" w:fill="auto"/>
            <w:tcMar>
              <w:top w:w="113" w:type="dxa"/>
              <w:bottom w:w="85" w:type="dxa"/>
            </w:tcMar>
          </w:tcPr>
          <w:p w:rsidR="00FA423E" w:rsidRPr="007E4934" w:rsidRDefault="00FA423E" w:rsidP="00DC1333">
            <w:pPr>
              <w:rPr>
                <w:sz w:val="16"/>
                <w:szCs w:val="16"/>
              </w:rPr>
            </w:pPr>
          </w:p>
        </w:tc>
        <w:tc>
          <w:tcPr>
            <w:tcW w:w="2124" w:type="pc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 xml:space="preserve">Participación de las partes interesadas en plataformas de la OMPI como WIPO GREEN y </w:t>
            </w:r>
            <w:r w:rsidRPr="007E4934">
              <w:rPr>
                <w:i/>
                <w:sz w:val="16"/>
                <w:szCs w:val="16"/>
                <w:lang w:val="es-ES_tradnl"/>
              </w:rPr>
              <w:t xml:space="preserve">WIPO </w:t>
            </w:r>
            <w:proofErr w:type="spellStart"/>
            <w:r w:rsidRPr="007E4934">
              <w:rPr>
                <w:i/>
                <w:sz w:val="16"/>
                <w:szCs w:val="16"/>
                <w:lang w:val="es-ES_tradnl"/>
              </w:rPr>
              <w:t>Re:Search</w:t>
            </w:r>
            <w:proofErr w:type="spellEnd"/>
          </w:p>
        </w:tc>
        <w:tc>
          <w:tcPr>
            <w:tcW w:w="826"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20</w:t>
            </w:r>
          </w:p>
        </w:tc>
        <w:tc>
          <w:tcPr>
            <w:tcW w:w="611" w:type="pct"/>
            <w:shd w:val="clear" w:color="auto" w:fill="FFFFFF"/>
          </w:tcPr>
          <w:p w:rsidR="00FA423E" w:rsidRPr="00CC3F44" w:rsidRDefault="00FA423E" w:rsidP="00DC1333">
            <w:pPr>
              <w:jc w:val="center"/>
              <w:rPr>
                <w:color w:val="008000"/>
                <w:szCs w:val="22"/>
              </w:rPr>
            </w:pPr>
            <w:r w:rsidRPr="00CC3F44">
              <w:rPr>
                <w:color w:val="FF0000"/>
                <w:szCs w:val="22"/>
              </w:rPr>
              <w:sym w:font="Wingdings" w:char="F06C"/>
            </w:r>
            <w:r w:rsidRPr="00CC3F44">
              <w:rPr>
                <w:color w:val="008000"/>
                <w:szCs w:val="22"/>
              </w:rPr>
              <w:sym w:font="Wingdings" w:char="F06C"/>
            </w:r>
            <w:r w:rsidRPr="00CC3F44">
              <w:rPr>
                <w:color w:val="008000"/>
                <w:szCs w:val="22"/>
              </w:rPr>
              <w:sym w:font="Wingdings" w:char="F06C"/>
            </w:r>
            <w:r w:rsidRPr="00CC3F44">
              <w:rPr>
                <w:color w:val="A6A6A6" w:themeColor="background1" w:themeShade="A6"/>
                <w:szCs w:val="22"/>
              </w:rPr>
              <w:sym w:font="Wingdings" w:char="F06C"/>
            </w:r>
            <w:r w:rsidRPr="00CC3F44">
              <w:rPr>
                <w:color w:val="FF0000"/>
                <w:szCs w:val="22"/>
              </w:rPr>
              <w:sym w:font="Wingdings" w:char="F06C"/>
            </w:r>
          </w:p>
        </w:tc>
      </w:tr>
      <w:tr w:rsidR="00FA423E" w:rsidRPr="00AF5E7C" w:rsidTr="00DC1333">
        <w:trPr>
          <w:cantSplit/>
          <w:trHeight w:val="400"/>
        </w:trPr>
        <w:tc>
          <w:tcPr>
            <w:tcW w:w="1439" w:type="pct"/>
            <w:vMerge w:val="restar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lastRenderedPageBreak/>
              <w:t>VII.3 Mayor credibilidad de la OMPI en tanto que foro para el análisis de cuestiones en el ámbito de la P.I. y la política de competencia</w:t>
            </w:r>
          </w:p>
        </w:tc>
        <w:tc>
          <w:tcPr>
            <w:tcW w:w="2124" w:type="pc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Número de países que solicitan la aportación específica de la OMPI en materia de P.I. en relación con la política de competencia</w:t>
            </w:r>
          </w:p>
        </w:tc>
        <w:tc>
          <w:tcPr>
            <w:tcW w:w="826"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18</w:t>
            </w:r>
          </w:p>
        </w:tc>
        <w:tc>
          <w:tcPr>
            <w:tcW w:w="611" w:type="pct"/>
            <w:shd w:val="clear" w:color="auto" w:fill="FFFFFF"/>
          </w:tcPr>
          <w:p w:rsidR="00FA423E" w:rsidRPr="00CC3F44" w:rsidRDefault="00FA423E" w:rsidP="00DC1333">
            <w:pPr>
              <w:jc w:val="center"/>
            </w:pPr>
            <w:r w:rsidRPr="00CC3F44">
              <w:rPr>
                <w:color w:val="008000"/>
                <w:szCs w:val="22"/>
              </w:rPr>
              <w:sym w:font="Wingdings" w:char="F06C"/>
            </w:r>
          </w:p>
        </w:tc>
      </w:tr>
      <w:tr w:rsidR="00FA423E" w:rsidRPr="00AF5E7C" w:rsidTr="00DC1333">
        <w:trPr>
          <w:cantSplit/>
          <w:trHeight w:val="344"/>
        </w:trPr>
        <w:tc>
          <w:tcPr>
            <w:tcW w:w="1439" w:type="pct"/>
            <w:vMerge/>
            <w:shd w:val="clear" w:color="auto" w:fill="auto"/>
            <w:tcMar>
              <w:top w:w="113" w:type="dxa"/>
              <w:bottom w:w="85" w:type="dxa"/>
            </w:tcMar>
          </w:tcPr>
          <w:p w:rsidR="00FA423E" w:rsidRPr="007E4934" w:rsidRDefault="00FA423E" w:rsidP="00DC1333">
            <w:pPr>
              <w:rPr>
                <w:sz w:val="16"/>
                <w:szCs w:val="16"/>
              </w:rPr>
            </w:pPr>
          </w:p>
        </w:tc>
        <w:tc>
          <w:tcPr>
            <w:tcW w:w="2124" w:type="pct"/>
            <w:shd w:val="clear" w:color="auto" w:fill="auto"/>
            <w:tcMar>
              <w:top w:w="113" w:type="dxa"/>
              <w:bottom w:w="85" w:type="dxa"/>
            </w:tcMar>
          </w:tcPr>
          <w:p w:rsidR="00FA423E" w:rsidRPr="007E4934" w:rsidRDefault="00FA423E" w:rsidP="00DC1333">
            <w:pPr>
              <w:rPr>
                <w:rFonts w:eastAsia="MS Mincho" w:cs="Courier New"/>
                <w:sz w:val="16"/>
                <w:szCs w:val="16"/>
                <w:lang w:bidi="th-TH"/>
              </w:rPr>
            </w:pPr>
            <w:r w:rsidRPr="007E4934">
              <w:rPr>
                <w:rFonts w:eastAsia="MS Mincho" w:cs="Courier New"/>
                <w:sz w:val="16"/>
                <w:szCs w:val="16"/>
                <w:lang w:val="es-ES_tradnl" w:bidi="th-TH"/>
              </w:rPr>
              <w:t>Número y diversidad de sectores interesados (oficinas de P.I., autoridades encargadas de cuestiones de competencia, OIG y ONG) que entablan diálogo con la OMPI</w:t>
            </w:r>
          </w:p>
        </w:tc>
        <w:tc>
          <w:tcPr>
            <w:tcW w:w="826"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18</w:t>
            </w:r>
          </w:p>
        </w:tc>
        <w:tc>
          <w:tcPr>
            <w:tcW w:w="611" w:type="pct"/>
            <w:shd w:val="clear" w:color="auto" w:fill="FFFFFF"/>
          </w:tcPr>
          <w:p w:rsidR="00FA423E" w:rsidRPr="00CC3F44" w:rsidRDefault="00FA423E" w:rsidP="00DC1333">
            <w:pPr>
              <w:jc w:val="center"/>
              <w:rPr>
                <w:color w:val="A6A6A6" w:themeColor="background1" w:themeShade="A6"/>
                <w:szCs w:val="22"/>
              </w:rPr>
            </w:pPr>
            <w:r w:rsidRPr="00CC3F44">
              <w:rPr>
                <w:color w:val="008000"/>
                <w:szCs w:val="22"/>
              </w:rPr>
              <w:sym w:font="Wingdings" w:char="F06C"/>
            </w:r>
          </w:p>
        </w:tc>
      </w:tr>
    </w:tbl>
    <w:p w:rsidR="00E80502" w:rsidRDefault="00E80502" w:rsidP="00FA423E">
      <w:pPr>
        <w:rPr>
          <w:b/>
          <w:bCs/>
          <w:iCs/>
          <w:caps/>
          <w:lang w:val="en-GB" w:eastAsia="da-DK"/>
        </w:rPr>
      </w:pPr>
      <w:bookmarkStart w:id="152" w:name="_Toc422210506"/>
      <w:bookmarkStart w:id="153" w:name="_Toc367350598"/>
    </w:p>
    <w:p w:rsidR="00E80502" w:rsidRDefault="00E80502" w:rsidP="00FA423E">
      <w:pPr>
        <w:rPr>
          <w:b/>
          <w:bCs/>
          <w:iCs/>
          <w:caps/>
          <w:lang w:val="en-GB" w:eastAsia="da-DK"/>
        </w:rPr>
      </w:pPr>
    </w:p>
    <w:p w:rsidR="00E80502" w:rsidRDefault="00E80502">
      <w:pPr>
        <w:rPr>
          <w:b/>
          <w:bCs/>
          <w:iCs/>
          <w:caps/>
          <w:lang w:val="en-GB" w:eastAsia="da-DK"/>
        </w:rPr>
      </w:pPr>
      <w:r>
        <w:rPr>
          <w:b/>
          <w:bCs/>
          <w:iCs/>
          <w:caps/>
          <w:lang w:val="en-GB" w:eastAsia="da-DK"/>
        </w:rPr>
        <w:br w:type="page"/>
      </w:r>
    </w:p>
    <w:p w:rsidR="00E80502" w:rsidRPr="009A6CA1" w:rsidRDefault="00E80502" w:rsidP="00DC1333">
      <w:pPr>
        <w:pStyle w:val="Heading2"/>
        <w:keepNext w:val="0"/>
        <w:widowControl w:val="0"/>
        <w:tabs>
          <w:tab w:val="left" w:pos="2410"/>
        </w:tabs>
        <w:rPr>
          <w:b/>
          <w:szCs w:val="20"/>
        </w:rPr>
      </w:pPr>
      <w:bookmarkStart w:id="154" w:name="_Toc422927430"/>
      <w:bookmarkStart w:id="155" w:name="_Toc455159098"/>
      <w:r w:rsidRPr="009A6CA1">
        <w:rPr>
          <w:b/>
          <w:szCs w:val="20"/>
        </w:rPr>
        <w:lastRenderedPageBreak/>
        <w:t>PROGRAMA 18</w:t>
      </w:r>
      <w:r w:rsidRPr="009A6CA1">
        <w:rPr>
          <w:b/>
          <w:szCs w:val="20"/>
        </w:rPr>
        <w:tab/>
        <w:t>LA P.I. Y LOS DESAFÍOS MUNDIALES</w:t>
      </w:r>
      <w:bookmarkEnd w:id="154"/>
      <w:bookmarkEnd w:id="155"/>
    </w:p>
    <w:p w:rsidR="00E80502" w:rsidRPr="009A6CA1" w:rsidRDefault="00E80502" w:rsidP="00DC1333">
      <w:pPr>
        <w:widowControl w:val="0"/>
        <w:rPr>
          <w:sz w:val="20"/>
        </w:rPr>
      </w:pPr>
    </w:p>
    <w:p w:rsidR="00E80502" w:rsidRPr="009A6CA1" w:rsidRDefault="00E80502" w:rsidP="00DC1333">
      <w:pPr>
        <w:widowControl w:val="0"/>
        <w:tabs>
          <w:tab w:val="left" w:pos="2410"/>
        </w:tabs>
        <w:rPr>
          <w:b/>
          <w:sz w:val="20"/>
        </w:rPr>
      </w:pPr>
      <w:r w:rsidRPr="009A6CA1">
        <w:rPr>
          <w:b/>
          <w:sz w:val="20"/>
        </w:rPr>
        <w:t>Director de programa</w:t>
      </w:r>
      <w:r w:rsidRPr="009A6CA1">
        <w:rPr>
          <w:b/>
          <w:sz w:val="20"/>
        </w:rPr>
        <w:tab/>
        <w:t>Sr. M. A. Getahun</w:t>
      </w:r>
    </w:p>
    <w:p w:rsidR="00E80502" w:rsidRPr="009A6CA1" w:rsidRDefault="00E80502" w:rsidP="00DC1333">
      <w:pPr>
        <w:widowControl w:val="0"/>
        <w:rPr>
          <w:sz w:val="20"/>
        </w:rPr>
      </w:pPr>
    </w:p>
    <w:p w:rsidR="00E80502" w:rsidRPr="009A6CA1" w:rsidRDefault="00E80502" w:rsidP="00DC1333">
      <w:pPr>
        <w:widowControl w:val="0"/>
        <w:rPr>
          <w:sz w:val="20"/>
        </w:rPr>
      </w:pPr>
    </w:p>
    <w:p w:rsidR="00E80502" w:rsidRPr="009A6CA1" w:rsidRDefault="008F7CBE" w:rsidP="00DC1333">
      <w:pPr>
        <w:widowControl w:val="0"/>
        <w:rPr>
          <w:bCs/>
        </w:rPr>
      </w:pPr>
      <w:r w:rsidRPr="008F7CBE">
        <w:rPr>
          <w:bCs/>
          <w:sz w:val="20"/>
          <w:szCs w:val="22"/>
        </w:rPr>
        <w:t>LOGROS ALCANZADOS EN EL BIENIO 2014/15</w:t>
      </w:r>
    </w:p>
    <w:p w:rsidR="00E80502" w:rsidRPr="009A6CA1" w:rsidRDefault="00E80502" w:rsidP="00DC1333">
      <w:pPr>
        <w:widowControl w:val="0"/>
        <w:jc w:val="both"/>
      </w:pPr>
    </w:p>
    <w:p w:rsidR="00E80502" w:rsidRPr="007E4C6C" w:rsidRDefault="00E80502" w:rsidP="00E80502">
      <w:pPr>
        <w:widowControl w:val="0"/>
        <w:numPr>
          <w:ilvl w:val="0"/>
          <w:numId w:val="85"/>
        </w:numPr>
        <w:tabs>
          <w:tab w:val="left" w:pos="709"/>
        </w:tabs>
        <w:ind w:left="0" w:firstLine="0"/>
        <w:jc w:val="both"/>
        <w:rPr>
          <w:color w:val="000000" w:themeColor="text1"/>
          <w:sz w:val="20"/>
        </w:rPr>
      </w:pPr>
      <w:r w:rsidRPr="007E4C6C">
        <w:rPr>
          <w:bCs/>
          <w:sz w:val="20"/>
        </w:rPr>
        <w:t xml:space="preserve">El programa 18 concierne a la innovación y la P.I. en la confluencia de varios desafíos mundiales interrelacionados, en particular la salud mundial, el cambio climático y la seguridad alimentaria.  En el bienio 2014/15 el programa siguió contribuyendo </w:t>
      </w:r>
      <w:r w:rsidRPr="007E4C6C">
        <w:rPr>
          <w:bCs/>
          <w:color w:val="000000" w:themeColor="text1"/>
          <w:sz w:val="20"/>
        </w:rPr>
        <w:t xml:space="preserve">a mejorar la comprensión de los encargados de la formulación de políticas acerca de la relación existente entre los desafíos mundiales, la innovación y la propiedad intelectual, entre otras cosas, mediante las dos plataformas de múltiples interesados </w:t>
      </w:r>
      <w:r w:rsidRPr="007E4C6C">
        <w:rPr>
          <w:color w:val="000000" w:themeColor="text1"/>
          <w:sz w:val="20"/>
        </w:rPr>
        <w:t>(</w:t>
      </w:r>
      <w:r w:rsidRPr="007E4C6C">
        <w:rPr>
          <w:i/>
          <w:color w:val="000000" w:themeColor="text1"/>
          <w:sz w:val="20"/>
        </w:rPr>
        <w:t xml:space="preserve">WIPO </w:t>
      </w:r>
      <w:proofErr w:type="spellStart"/>
      <w:r w:rsidRPr="007E4C6C">
        <w:rPr>
          <w:i/>
          <w:color w:val="000000" w:themeColor="text1"/>
          <w:sz w:val="20"/>
        </w:rPr>
        <w:t>Re:Search</w:t>
      </w:r>
      <w:proofErr w:type="spellEnd"/>
      <w:r w:rsidRPr="007E4C6C">
        <w:rPr>
          <w:color w:val="000000" w:themeColor="text1"/>
          <w:sz w:val="20"/>
        </w:rPr>
        <w:t xml:space="preserve"> y </w:t>
      </w:r>
      <w:r w:rsidRPr="007E4C6C">
        <w:rPr>
          <w:i/>
          <w:color w:val="000000" w:themeColor="text1"/>
          <w:sz w:val="20"/>
        </w:rPr>
        <w:t>WIPO GREEN</w:t>
      </w:r>
      <w:r w:rsidRPr="007E4C6C">
        <w:rPr>
          <w:color w:val="000000" w:themeColor="text1"/>
          <w:sz w:val="20"/>
        </w:rPr>
        <w:t>, respectivamente) y la colaboración en curso con la OMS y la OMC, centrada en la interrelación entre la salud, la propiedad intelectual, la innovación y el comercio.  A lo largo del bienio se siguieron recibiendo comentarios positivos de una amplia gama de sectores interesados acerca de la labor desempeñada por la OMPI en el ámbito de la P</w:t>
      </w:r>
      <w:r>
        <w:rPr>
          <w:color w:val="000000" w:themeColor="text1"/>
          <w:sz w:val="20"/>
        </w:rPr>
        <w:t>.I. y los desafíos mundiales.</w:t>
      </w:r>
    </w:p>
    <w:p w:rsidR="00E80502" w:rsidRPr="009A6CA1" w:rsidRDefault="00E80502" w:rsidP="00DC1333">
      <w:pPr>
        <w:widowControl w:val="0"/>
        <w:tabs>
          <w:tab w:val="left" w:pos="709"/>
        </w:tabs>
        <w:jc w:val="both"/>
        <w:rPr>
          <w:color w:val="000000" w:themeColor="text1"/>
          <w:sz w:val="20"/>
        </w:rPr>
      </w:pPr>
    </w:p>
    <w:p w:rsidR="00E80502" w:rsidRPr="009A6CA1" w:rsidRDefault="00E80502" w:rsidP="00E80502">
      <w:pPr>
        <w:widowControl w:val="0"/>
        <w:numPr>
          <w:ilvl w:val="0"/>
          <w:numId w:val="85"/>
        </w:numPr>
        <w:tabs>
          <w:tab w:val="left" w:pos="709"/>
        </w:tabs>
        <w:ind w:left="0" w:firstLine="0"/>
        <w:jc w:val="both"/>
        <w:rPr>
          <w:color w:val="000000" w:themeColor="text1"/>
          <w:sz w:val="20"/>
        </w:rPr>
      </w:pPr>
      <w:r w:rsidRPr="009A6CA1">
        <w:rPr>
          <w:color w:val="000000" w:themeColor="text1"/>
          <w:sz w:val="20"/>
        </w:rPr>
        <w:t xml:space="preserve">En estrecha coordinación con los programas pertinentes, en particular los programas 20 (Relaciones exteriores, alianzas y oficinas en el exterior) y 30 (Pequeñas y medianas empresas (pymes) e innovación), la OMPI consolidó su posición como fuente fiable de apoyo, colaboración y referencia en lo que atañe a la información sobre cuestiones relativas a las políticas públicas y la P.I., lo que motivó las continuas solicitudes dirigidas a la Organización para contribuir y participar en foros organizados por otras organizaciones internacionales y no gubernamentales, incluidas la OMS, la OMC, las ONG, el sector privado y las universidades.  Durante el bienio se organizaron tres seminarios de la OMPI en los que los participantes pudieron intercambiar ideas, conocimientos especializados e información sobre Desafíos Mundiales:  i) </w:t>
      </w:r>
      <w:proofErr w:type="spellStart"/>
      <w:r w:rsidRPr="009A6CA1">
        <w:rPr>
          <w:bCs/>
          <w:i/>
          <w:color w:val="000000" w:themeColor="text1"/>
          <w:sz w:val="20"/>
        </w:rPr>
        <w:t>Patent</w:t>
      </w:r>
      <w:proofErr w:type="spellEnd"/>
      <w:r w:rsidRPr="009A6CA1">
        <w:rPr>
          <w:bCs/>
          <w:i/>
          <w:color w:val="000000" w:themeColor="text1"/>
          <w:sz w:val="20"/>
        </w:rPr>
        <w:t xml:space="preserve"> </w:t>
      </w:r>
      <w:proofErr w:type="spellStart"/>
      <w:r w:rsidRPr="009A6CA1">
        <w:rPr>
          <w:bCs/>
          <w:i/>
          <w:color w:val="000000" w:themeColor="text1"/>
          <w:sz w:val="20"/>
        </w:rPr>
        <w:t>Landscape</w:t>
      </w:r>
      <w:proofErr w:type="spellEnd"/>
      <w:r w:rsidRPr="009A6CA1">
        <w:rPr>
          <w:bCs/>
          <w:i/>
          <w:color w:val="000000" w:themeColor="text1"/>
          <w:sz w:val="20"/>
        </w:rPr>
        <w:t xml:space="preserve"> </w:t>
      </w:r>
      <w:proofErr w:type="spellStart"/>
      <w:r w:rsidRPr="009A6CA1">
        <w:rPr>
          <w:bCs/>
          <w:i/>
          <w:color w:val="000000" w:themeColor="text1"/>
          <w:sz w:val="20"/>
        </w:rPr>
        <w:t>for</w:t>
      </w:r>
      <w:proofErr w:type="spellEnd"/>
      <w:r w:rsidRPr="009A6CA1">
        <w:rPr>
          <w:bCs/>
          <w:i/>
          <w:color w:val="000000" w:themeColor="text1"/>
          <w:sz w:val="20"/>
        </w:rPr>
        <w:t xml:space="preserve"> </w:t>
      </w:r>
      <w:proofErr w:type="spellStart"/>
      <w:r w:rsidRPr="009A6CA1">
        <w:rPr>
          <w:bCs/>
          <w:i/>
          <w:color w:val="000000" w:themeColor="text1"/>
          <w:sz w:val="20"/>
        </w:rPr>
        <w:t>Renewable</w:t>
      </w:r>
      <w:proofErr w:type="spellEnd"/>
      <w:r w:rsidRPr="009A6CA1">
        <w:rPr>
          <w:bCs/>
          <w:i/>
          <w:color w:val="000000" w:themeColor="text1"/>
          <w:sz w:val="20"/>
        </w:rPr>
        <w:t xml:space="preserve"> </w:t>
      </w:r>
      <w:proofErr w:type="spellStart"/>
      <w:r w:rsidRPr="009A6CA1">
        <w:rPr>
          <w:bCs/>
          <w:i/>
          <w:color w:val="000000" w:themeColor="text1"/>
          <w:sz w:val="20"/>
        </w:rPr>
        <w:t>Energy</w:t>
      </w:r>
      <w:proofErr w:type="spellEnd"/>
      <w:r w:rsidRPr="009A6CA1">
        <w:rPr>
          <w:bCs/>
          <w:color w:val="000000" w:themeColor="text1"/>
          <w:sz w:val="20"/>
        </w:rPr>
        <w:t xml:space="preserve"> (Actividad de </w:t>
      </w:r>
      <w:proofErr w:type="spellStart"/>
      <w:r w:rsidRPr="009A6CA1">
        <w:rPr>
          <w:bCs/>
          <w:color w:val="000000" w:themeColor="text1"/>
          <w:sz w:val="20"/>
        </w:rPr>
        <w:t>patentamiento</w:t>
      </w:r>
      <w:proofErr w:type="spellEnd"/>
      <w:r w:rsidRPr="009A6CA1">
        <w:rPr>
          <w:bCs/>
          <w:color w:val="000000" w:themeColor="text1"/>
          <w:sz w:val="20"/>
        </w:rPr>
        <w:t xml:space="preserve"> relacionada con las energías renovables) (junio de 2014)</w:t>
      </w:r>
      <w:r w:rsidRPr="009A6CA1">
        <w:rPr>
          <w:color w:val="000000" w:themeColor="text1"/>
          <w:sz w:val="20"/>
        </w:rPr>
        <w:t xml:space="preserve">; </w:t>
      </w:r>
      <w:r w:rsidRPr="009A6CA1">
        <w:rPr>
          <w:sz w:val="20"/>
        </w:rPr>
        <w:t xml:space="preserve"> </w:t>
      </w:r>
      <w:hyperlink r:id="rId161" w:history="1">
        <w:proofErr w:type="spellStart"/>
        <w:r w:rsidRPr="009A6CA1">
          <w:rPr>
            <w:rStyle w:val="Hyperlink"/>
            <w:i/>
            <w:sz w:val="20"/>
          </w:rPr>
          <w:t>Innovation</w:t>
        </w:r>
        <w:proofErr w:type="spellEnd"/>
        <w:r w:rsidRPr="009A6CA1">
          <w:rPr>
            <w:rStyle w:val="Hyperlink"/>
            <w:i/>
            <w:sz w:val="20"/>
          </w:rPr>
          <w:t xml:space="preserve"> and Access to Medicines:  A Case </w:t>
        </w:r>
        <w:proofErr w:type="spellStart"/>
        <w:r w:rsidRPr="009A6CA1">
          <w:rPr>
            <w:rStyle w:val="Hyperlink"/>
            <w:i/>
            <w:sz w:val="20"/>
          </w:rPr>
          <w:t>Study</w:t>
        </w:r>
        <w:proofErr w:type="spellEnd"/>
        <w:r w:rsidRPr="009A6CA1">
          <w:rPr>
            <w:rStyle w:val="Hyperlink"/>
            <w:i/>
            <w:sz w:val="20"/>
          </w:rPr>
          <w:t xml:space="preserve"> </w:t>
        </w:r>
        <w:proofErr w:type="spellStart"/>
        <w:r w:rsidRPr="009A6CA1">
          <w:rPr>
            <w:rStyle w:val="Hyperlink"/>
            <w:i/>
            <w:sz w:val="20"/>
          </w:rPr>
          <w:t>for</w:t>
        </w:r>
        <w:proofErr w:type="spellEnd"/>
        <w:r w:rsidRPr="009A6CA1">
          <w:rPr>
            <w:rStyle w:val="Hyperlink"/>
            <w:i/>
            <w:sz w:val="20"/>
          </w:rPr>
          <w:t xml:space="preserve"> HIV/AIDS and Hepatitis C</w:t>
        </w:r>
      </w:hyperlink>
      <w:r w:rsidRPr="009A6CA1">
        <w:rPr>
          <w:color w:val="000000" w:themeColor="text1"/>
          <w:sz w:val="20"/>
        </w:rPr>
        <w:t xml:space="preserve"> (Innovación y acceso a los medicamentos:  caso práctico en relación con el VIH/SIDA y la hepatitis C) (diciembre de 2014), y iii) </w:t>
      </w:r>
      <w:proofErr w:type="spellStart"/>
      <w:r w:rsidRPr="009A6CA1">
        <w:rPr>
          <w:bCs/>
          <w:i/>
          <w:kern w:val="36"/>
          <w:sz w:val="20"/>
        </w:rPr>
        <w:t>Advancing</w:t>
      </w:r>
      <w:proofErr w:type="spellEnd"/>
      <w:r w:rsidRPr="009A6CA1">
        <w:rPr>
          <w:bCs/>
          <w:i/>
          <w:kern w:val="36"/>
          <w:sz w:val="20"/>
        </w:rPr>
        <w:t xml:space="preserve"> a New </w:t>
      </w:r>
      <w:proofErr w:type="spellStart"/>
      <w:r w:rsidRPr="009A6CA1">
        <w:rPr>
          <w:bCs/>
          <w:i/>
          <w:kern w:val="36"/>
          <w:sz w:val="20"/>
        </w:rPr>
        <w:t>Generation</w:t>
      </w:r>
      <w:proofErr w:type="spellEnd"/>
      <w:r w:rsidRPr="009A6CA1">
        <w:rPr>
          <w:bCs/>
          <w:i/>
          <w:kern w:val="36"/>
          <w:sz w:val="20"/>
        </w:rPr>
        <w:t xml:space="preserve"> of </w:t>
      </w:r>
      <w:proofErr w:type="spellStart"/>
      <w:r w:rsidRPr="009A6CA1">
        <w:rPr>
          <w:bCs/>
          <w:i/>
          <w:kern w:val="36"/>
          <w:sz w:val="20"/>
        </w:rPr>
        <w:t>Products</w:t>
      </w:r>
      <w:proofErr w:type="spellEnd"/>
      <w:r w:rsidRPr="009A6CA1">
        <w:rPr>
          <w:bCs/>
          <w:i/>
          <w:kern w:val="36"/>
          <w:sz w:val="20"/>
        </w:rPr>
        <w:t xml:space="preserve"> to </w:t>
      </w:r>
      <w:proofErr w:type="spellStart"/>
      <w:r w:rsidRPr="009A6CA1">
        <w:rPr>
          <w:bCs/>
          <w:i/>
          <w:kern w:val="36"/>
          <w:sz w:val="20"/>
        </w:rPr>
        <w:t>Combat</w:t>
      </w:r>
      <w:proofErr w:type="spellEnd"/>
      <w:r w:rsidRPr="009A6CA1">
        <w:rPr>
          <w:bCs/>
          <w:i/>
          <w:kern w:val="36"/>
          <w:sz w:val="20"/>
        </w:rPr>
        <w:t xml:space="preserve"> </w:t>
      </w:r>
      <w:proofErr w:type="spellStart"/>
      <w:r w:rsidRPr="009A6CA1">
        <w:rPr>
          <w:bCs/>
          <w:i/>
          <w:kern w:val="36"/>
          <w:sz w:val="20"/>
        </w:rPr>
        <w:t>Neglected</w:t>
      </w:r>
      <w:proofErr w:type="spellEnd"/>
      <w:r w:rsidRPr="009A6CA1">
        <w:rPr>
          <w:bCs/>
          <w:i/>
          <w:kern w:val="36"/>
          <w:sz w:val="20"/>
        </w:rPr>
        <w:t xml:space="preserve"> Tropical </w:t>
      </w:r>
      <w:proofErr w:type="spellStart"/>
      <w:r w:rsidRPr="009A6CA1">
        <w:rPr>
          <w:bCs/>
          <w:i/>
          <w:kern w:val="36"/>
          <w:sz w:val="20"/>
        </w:rPr>
        <w:t>Diseases</w:t>
      </w:r>
      <w:proofErr w:type="spellEnd"/>
      <w:r w:rsidRPr="009A6CA1">
        <w:rPr>
          <w:color w:val="000000" w:themeColor="text1"/>
          <w:sz w:val="20"/>
        </w:rPr>
        <w:t xml:space="preserve"> (Promoción de una nueva generación de productos “antipobreza” para luchar contra las enfermedades tropicales desatendidas) (octubre de 2015)</w:t>
      </w:r>
      <w:r w:rsidRPr="009A6CA1">
        <w:rPr>
          <w:sz w:val="20"/>
        </w:rPr>
        <w:t>.  Además se publicaron cuatro d</w:t>
      </w:r>
      <w:r w:rsidRPr="009A6CA1">
        <w:rPr>
          <w:rFonts w:eastAsia="Times New Roman"/>
          <w:color w:val="000000" w:themeColor="text1"/>
          <w:sz w:val="20"/>
        </w:rPr>
        <w:t>ocumentos de información sobre los desafíos mundiales</w:t>
      </w:r>
      <w:r w:rsidRPr="009A6CA1">
        <w:rPr>
          <w:rStyle w:val="FootnoteReference"/>
          <w:rFonts w:eastAsia="Times New Roman"/>
          <w:color w:val="000000" w:themeColor="text1"/>
          <w:sz w:val="20"/>
        </w:rPr>
        <w:footnoteReference w:id="102"/>
      </w:r>
      <w:r w:rsidRPr="009A6CA1">
        <w:rPr>
          <w:rFonts w:eastAsia="Times New Roman"/>
          <w:color w:val="000000" w:themeColor="text1"/>
          <w:sz w:val="20"/>
        </w:rPr>
        <w:t xml:space="preserve"> y tres informes sobre desafíos mundiales.</w:t>
      </w:r>
      <w:r w:rsidRPr="009A6CA1">
        <w:rPr>
          <w:rStyle w:val="FootnoteReference"/>
          <w:rFonts w:eastAsia="Times New Roman"/>
          <w:color w:val="000000" w:themeColor="text1"/>
          <w:sz w:val="20"/>
        </w:rPr>
        <w:footnoteReference w:id="103"/>
      </w:r>
      <w:r w:rsidRPr="009A6CA1">
        <w:rPr>
          <w:rFonts w:eastAsia="Times New Roman"/>
          <w:color w:val="000000" w:themeColor="text1"/>
          <w:sz w:val="20"/>
        </w:rPr>
        <w:t xml:space="preserve">  En el marco de la labor relativa al </w:t>
      </w:r>
      <w:r w:rsidRPr="009A6CA1">
        <w:rPr>
          <w:color w:val="000000" w:themeColor="text1"/>
          <w:sz w:val="20"/>
        </w:rPr>
        <w:t>fortalecimiento</w:t>
      </w:r>
      <w:r w:rsidRPr="009A6CA1">
        <w:rPr>
          <w:rFonts w:eastAsia="Times New Roman"/>
          <w:color w:val="000000" w:themeColor="text1"/>
          <w:sz w:val="20"/>
        </w:rPr>
        <w:t xml:space="preserve"> de capacidad en los países en desarrollo</w:t>
      </w:r>
      <w:r w:rsidRPr="009A6CA1">
        <w:rPr>
          <w:rFonts w:eastAsia="Times New Roman" w:cs="Times New Roman"/>
          <w:color w:val="000000" w:themeColor="text1"/>
          <w:sz w:val="20"/>
          <w:lang w:eastAsia="en-US"/>
        </w:rPr>
        <w:t xml:space="preserve"> </w:t>
      </w:r>
      <w:r w:rsidRPr="009A6CA1">
        <w:rPr>
          <w:rFonts w:eastAsia="Times New Roman"/>
          <w:color w:val="000000" w:themeColor="text1"/>
          <w:sz w:val="20"/>
        </w:rPr>
        <w:t xml:space="preserve">de la plataforma </w:t>
      </w:r>
      <w:r w:rsidRPr="009A6CA1">
        <w:rPr>
          <w:rFonts w:eastAsia="Times New Roman"/>
          <w:i/>
          <w:color w:val="000000" w:themeColor="text1"/>
          <w:sz w:val="20"/>
        </w:rPr>
        <w:t xml:space="preserve">WIPO </w:t>
      </w:r>
      <w:proofErr w:type="spellStart"/>
      <w:r w:rsidRPr="009A6CA1">
        <w:rPr>
          <w:rFonts w:eastAsia="Times New Roman"/>
          <w:i/>
          <w:color w:val="000000" w:themeColor="text1"/>
          <w:sz w:val="20"/>
        </w:rPr>
        <w:t>Re</w:t>
      </w:r>
      <w:proofErr w:type="gramStart"/>
      <w:r w:rsidRPr="009A6CA1">
        <w:rPr>
          <w:rFonts w:eastAsia="Times New Roman"/>
          <w:i/>
          <w:color w:val="000000" w:themeColor="text1"/>
          <w:sz w:val="20"/>
        </w:rPr>
        <w:t>:Search</w:t>
      </w:r>
      <w:proofErr w:type="spellEnd"/>
      <w:proofErr w:type="gramEnd"/>
      <w:r w:rsidRPr="009A6CA1">
        <w:rPr>
          <w:sz w:val="20"/>
        </w:rPr>
        <w:t xml:space="preserve">, se organizaron dos seminarios de formación sobre la gestión de la P.I., en coordinación con el programa 9 (Oficinas regionales) y el programa 30 </w:t>
      </w:r>
      <w:r w:rsidRPr="009A6CA1">
        <w:rPr>
          <w:color w:val="000000" w:themeColor="text1"/>
          <w:sz w:val="20"/>
        </w:rPr>
        <w:t>(Pequeñas y medianas empresas (pymes) e innovación)</w:t>
      </w:r>
      <w:r w:rsidRPr="009A6CA1">
        <w:rPr>
          <w:sz w:val="20"/>
        </w:rPr>
        <w:t>, dirigido a los científicos de los países en desarrollo que son miembros de la plataforma.</w:t>
      </w:r>
    </w:p>
    <w:p w:rsidR="00E80502" w:rsidRPr="009A6CA1" w:rsidRDefault="00E80502" w:rsidP="00DC1333">
      <w:pPr>
        <w:widowControl w:val="0"/>
        <w:tabs>
          <w:tab w:val="left" w:pos="0"/>
          <w:tab w:val="left" w:pos="1134"/>
        </w:tabs>
        <w:jc w:val="both"/>
        <w:rPr>
          <w:bCs/>
          <w:color w:val="000000" w:themeColor="text1"/>
          <w:sz w:val="20"/>
        </w:rPr>
      </w:pPr>
    </w:p>
    <w:p w:rsidR="00E80502" w:rsidRPr="009A6CA1" w:rsidRDefault="00E80502" w:rsidP="00E80502">
      <w:pPr>
        <w:widowControl w:val="0"/>
        <w:numPr>
          <w:ilvl w:val="0"/>
          <w:numId w:val="85"/>
        </w:numPr>
        <w:tabs>
          <w:tab w:val="left" w:pos="709"/>
        </w:tabs>
        <w:ind w:left="0" w:firstLine="0"/>
        <w:jc w:val="both"/>
        <w:rPr>
          <w:rFonts w:eastAsia="Times New Roman"/>
          <w:color w:val="000000" w:themeColor="text1"/>
          <w:sz w:val="20"/>
        </w:rPr>
      </w:pPr>
      <w:r w:rsidRPr="009A6CA1">
        <w:rPr>
          <w:color w:val="000000" w:themeColor="text1"/>
          <w:sz w:val="20"/>
        </w:rPr>
        <w:t xml:space="preserve">La plataforma </w:t>
      </w:r>
      <w:r w:rsidRPr="009A6CA1">
        <w:rPr>
          <w:i/>
          <w:color w:val="000000" w:themeColor="text1"/>
          <w:sz w:val="20"/>
        </w:rPr>
        <w:t>WIPO GREEN</w:t>
      </w:r>
      <w:r w:rsidRPr="009A6CA1">
        <w:rPr>
          <w:color w:val="000000" w:themeColor="text1"/>
          <w:sz w:val="20"/>
        </w:rPr>
        <w:t xml:space="preserve">, que fue inaugurada en noviembre de 2013, celebró en 2014 su primer año de actividad.  Gracias a la realización de campañas de sensibilización dirigidas a destinatarios específicos, en el bienio 2014/15 se logró potenciar </w:t>
      </w:r>
      <w:r w:rsidRPr="009A6CA1">
        <w:rPr>
          <w:i/>
          <w:color w:val="000000" w:themeColor="text1"/>
          <w:sz w:val="20"/>
        </w:rPr>
        <w:t>considerablemente</w:t>
      </w:r>
      <w:r w:rsidRPr="009A6CA1">
        <w:rPr>
          <w:color w:val="000000" w:themeColor="text1"/>
          <w:sz w:val="20"/>
        </w:rPr>
        <w:t xml:space="preserve"> la visibilidad de </w:t>
      </w:r>
      <w:r w:rsidRPr="009A6CA1">
        <w:rPr>
          <w:i/>
          <w:color w:val="000000" w:themeColor="text1"/>
          <w:sz w:val="20"/>
        </w:rPr>
        <w:t>WIPO GREEN</w:t>
      </w:r>
      <w:proofErr w:type="gramStart"/>
      <w:r w:rsidRPr="009A6CA1">
        <w:rPr>
          <w:i/>
          <w:color w:val="000000" w:themeColor="text1"/>
          <w:sz w:val="20"/>
        </w:rPr>
        <w:t>:  El</w:t>
      </w:r>
      <w:proofErr w:type="gramEnd"/>
      <w:r w:rsidRPr="009A6CA1">
        <w:rPr>
          <w:i/>
          <w:color w:val="000000" w:themeColor="text1"/>
          <w:sz w:val="20"/>
        </w:rPr>
        <w:t xml:space="preserve"> mercado de la tecnología sostenible</w:t>
      </w:r>
      <w:r w:rsidRPr="009A6CA1">
        <w:rPr>
          <w:color w:val="000000" w:themeColor="text1"/>
          <w:sz w:val="20"/>
        </w:rPr>
        <w:t xml:space="preserve">.  La red de asociados aumentó de 36 en 2013 </w:t>
      </w:r>
      <w:r>
        <w:rPr>
          <w:color w:val="000000" w:themeColor="text1"/>
          <w:sz w:val="20"/>
        </w:rPr>
        <w:t>a </w:t>
      </w:r>
      <w:r w:rsidRPr="009A6CA1">
        <w:rPr>
          <w:color w:val="000000" w:themeColor="text1"/>
          <w:sz w:val="20"/>
        </w:rPr>
        <w:t xml:space="preserve">54 en 2014 y 65 en 2015, y el número de usuarios inscritos se triplicó, pasando de 160 en 2013 a 490 al final de 2015.  También aumentó más del doble el contenido de la base de datos </w:t>
      </w:r>
      <w:r w:rsidRPr="009A6CA1">
        <w:rPr>
          <w:rFonts w:eastAsia="Times New Roman"/>
          <w:i/>
          <w:color w:val="000000" w:themeColor="text1"/>
          <w:sz w:val="20"/>
        </w:rPr>
        <w:t>WIPO GREEN</w:t>
      </w:r>
      <w:r w:rsidRPr="009A6CA1">
        <w:rPr>
          <w:rFonts w:eastAsia="Times New Roman"/>
          <w:color w:val="000000" w:themeColor="text1"/>
          <w:sz w:val="20"/>
        </w:rPr>
        <w:t>, pasando de 830 registros en 2013 a 2.181 en 2015, gracias a los acuerdos de integración de bases de datos y las aportaciones individuales de datos.</w:t>
      </w:r>
    </w:p>
    <w:p w:rsidR="00E80502" w:rsidRPr="009A6CA1" w:rsidRDefault="00E80502" w:rsidP="00DC1333">
      <w:pPr>
        <w:pStyle w:val="ListParagraph"/>
        <w:ind w:left="0"/>
        <w:rPr>
          <w:color w:val="000000" w:themeColor="text1"/>
          <w:lang w:val="es-ES"/>
        </w:rPr>
      </w:pPr>
    </w:p>
    <w:p w:rsidR="00E80502" w:rsidRPr="009A6CA1" w:rsidRDefault="00E80502" w:rsidP="00DC1333">
      <w:pPr>
        <w:pStyle w:val="ListParagraph"/>
        <w:keepNext/>
        <w:keepLines/>
        <w:jc w:val="center"/>
        <w:rPr>
          <w:color w:val="000000" w:themeColor="text1"/>
          <w:lang w:val="es-ES"/>
        </w:rPr>
      </w:pPr>
      <w:r w:rsidRPr="009A6CA1">
        <w:rPr>
          <w:rFonts w:cs="Arial"/>
          <w:i/>
          <w:sz w:val="16"/>
          <w:szCs w:val="16"/>
          <w:lang w:val="es-ES"/>
        </w:rPr>
        <w:lastRenderedPageBreak/>
        <w:t xml:space="preserve">WIPO GREEN: </w:t>
      </w:r>
      <w:r>
        <w:rPr>
          <w:rFonts w:cs="Arial"/>
          <w:i/>
          <w:sz w:val="16"/>
          <w:szCs w:val="16"/>
          <w:lang w:val="es-ES"/>
        </w:rPr>
        <w:t>N</w:t>
      </w:r>
      <w:proofErr w:type="gramStart"/>
      <w:r>
        <w:rPr>
          <w:rFonts w:cs="Arial"/>
          <w:i/>
          <w:sz w:val="16"/>
          <w:szCs w:val="16"/>
          <w:lang w:val="es-ES"/>
        </w:rPr>
        <w:t>.º</w:t>
      </w:r>
      <w:proofErr w:type="gramEnd"/>
      <w:r w:rsidRPr="009A6CA1">
        <w:rPr>
          <w:rFonts w:cs="Arial"/>
          <w:i/>
          <w:sz w:val="16"/>
          <w:szCs w:val="16"/>
          <w:lang w:val="es-ES"/>
        </w:rPr>
        <w:t xml:space="preserve"> de asociados, usuarios inscritos y aportaciones de datos, 2013-2015</w:t>
      </w:r>
    </w:p>
    <w:p w:rsidR="00E80502" w:rsidRDefault="00E80502" w:rsidP="00DC1333">
      <w:pPr>
        <w:pStyle w:val="ListParagraph"/>
        <w:keepNext/>
        <w:keepLines/>
        <w:ind w:left="0"/>
        <w:rPr>
          <w:color w:val="000000" w:themeColor="text1"/>
          <w:lang w:val="es-ES"/>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9"/>
        <w:gridCol w:w="4686"/>
      </w:tblGrid>
      <w:tr w:rsidR="00E80502" w:rsidTr="00DC1333">
        <w:trPr>
          <w:jc w:val="center"/>
        </w:trPr>
        <w:tc>
          <w:tcPr>
            <w:tcW w:w="4606" w:type="dxa"/>
          </w:tcPr>
          <w:p w:rsidR="00E80502" w:rsidRDefault="00E80502" w:rsidP="00DC1333">
            <w:pPr>
              <w:pStyle w:val="Default"/>
              <w:tabs>
                <w:tab w:val="left" w:pos="709"/>
              </w:tabs>
              <w:jc w:val="center"/>
              <w:rPr>
                <w:rFonts w:eastAsia="Times New Roman"/>
                <w:bCs/>
                <w:color w:val="auto"/>
                <w:sz w:val="20"/>
                <w:szCs w:val="20"/>
              </w:rPr>
            </w:pPr>
            <w:r>
              <w:rPr>
                <w:rFonts w:eastAsia="Times New Roman"/>
                <w:bCs/>
                <w:noProof/>
                <w:color w:val="auto"/>
                <w:sz w:val="20"/>
                <w:szCs w:val="20"/>
                <w:lang w:eastAsia="en-US"/>
              </w:rPr>
              <w:drawing>
                <wp:inline distT="0" distB="0" distL="0" distR="0" wp14:anchorId="7E373496" wp14:editId="26E95362">
                  <wp:extent cx="2846760" cy="1690576"/>
                  <wp:effectExtent l="0" t="0" r="0" b="508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2850961" cy="1693071"/>
                          </a:xfrm>
                          <a:prstGeom prst="rect">
                            <a:avLst/>
                          </a:prstGeom>
                          <a:noFill/>
                          <a:ln>
                            <a:noFill/>
                          </a:ln>
                        </pic:spPr>
                      </pic:pic>
                    </a:graphicData>
                  </a:graphic>
                </wp:inline>
              </w:drawing>
            </w:r>
          </w:p>
        </w:tc>
        <w:tc>
          <w:tcPr>
            <w:tcW w:w="4637" w:type="dxa"/>
          </w:tcPr>
          <w:p w:rsidR="00E80502" w:rsidRDefault="00E80502" w:rsidP="00DC1333">
            <w:pPr>
              <w:pStyle w:val="Default"/>
              <w:tabs>
                <w:tab w:val="left" w:pos="709"/>
              </w:tabs>
              <w:jc w:val="both"/>
              <w:rPr>
                <w:rFonts w:eastAsia="Times New Roman"/>
                <w:bCs/>
                <w:color w:val="auto"/>
                <w:sz w:val="20"/>
                <w:szCs w:val="20"/>
              </w:rPr>
            </w:pPr>
            <w:r>
              <w:rPr>
                <w:rFonts w:eastAsia="Times New Roman"/>
                <w:bCs/>
                <w:noProof/>
                <w:color w:val="auto"/>
                <w:sz w:val="20"/>
                <w:szCs w:val="20"/>
                <w:lang w:eastAsia="en-US"/>
              </w:rPr>
              <w:drawing>
                <wp:inline distT="0" distB="0" distL="0" distR="0" wp14:anchorId="603097DD" wp14:editId="433EDB24">
                  <wp:extent cx="2838893" cy="1697803"/>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2855561" cy="1707771"/>
                          </a:xfrm>
                          <a:prstGeom prst="rect">
                            <a:avLst/>
                          </a:prstGeom>
                          <a:noFill/>
                          <a:ln>
                            <a:noFill/>
                          </a:ln>
                        </pic:spPr>
                      </pic:pic>
                    </a:graphicData>
                  </a:graphic>
                </wp:inline>
              </w:drawing>
            </w:r>
          </w:p>
        </w:tc>
      </w:tr>
    </w:tbl>
    <w:p w:rsidR="00E80502" w:rsidRDefault="00E80502" w:rsidP="00DC1333">
      <w:pPr>
        <w:pStyle w:val="ListParagraph"/>
        <w:keepNext/>
        <w:keepLines/>
        <w:ind w:left="0"/>
        <w:rPr>
          <w:color w:val="000000" w:themeColor="text1"/>
          <w:lang w:val="es-ES"/>
        </w:rPr>
      </w:pPr>
    </w:p>
    <w:p w:rsidR="00E80502" w:rsidRPr="009A6CA1" w:rsidRDefault="00E80502" w:rsidP="00DC1333">
      <w:pPr>
        <w:pStyle w:val="ListParagraph"/>
        <w:keepNext/>
        <w:keepLines/>
        <w:ind w:left="0"/>
        <w:rPr>
          <w:color w:val="000000" w:themeColor="text1"/>
          <w:lang w:val="es-ES"/>
        </w:rPr>
      </w:pPr>
    </w:p>
    <w:p w:rsidR="00E80502" w:rsidRPr="009A6CA1" w:rsidRDefault="00E80502" w:rsidP="00E80502">
      <w:pPr>
        <w:keepNext/>
        <w:keepLines/>
        <w:widowControl w:val="0"/>
        <w:numPr>
          <w:ilvl w:val="0"/>
          <w:numId w:val="85"/>
        </w:numPr>
        <w:tabs>
          <w:tab w:val="left" w:pos="709"/>
        </w:tabs>
        <w:ind w:left="0" w:firstLine="0"/>
        <w:jc w:val="both"/>
        <w:rPr>
          <w:rFonts w:eastAsia="Times New Roman"/>
          <w:color w:val="000000" w:themeColor="text1"/>
          <w:sz w:val="20"/>
        </w:rPr>
      </w:pPr>
      <w:r w:rsidRPr="009A6CA1">
        <w:rPr>
          <w:rFonts w:eastAsia="Times New Roman"/>
          <w:color w:val="000000" w:themeColor="text1"/>
          <w:sz w:val="20"/>
        </w:rPr>
        <w:t xml:space="preserve">Aunque durante el bienio 2014/15 se mantuvo el objetivo de constituir un sólido grupo de colaboradores y </w:t>
      </w:r>
      <w:r w:rsidRPr="009A6CA1">
        <w:rPr>
          <w:color w:val="000000" w:themeColor="text1"/>
          <w:sz w:val="20"/>
        </w:rPr>
        <w:t>aumentar</w:t>
      </w:r>
      <w:r w:rsidRPr="009A6CA1">
        <w:rPr>
          <w:rFonts w:eastAsia="Times New Roman"/>
          <w:color w:val="000000" w:themeColor="text1"/>
          <w:sz w:val="20"/>
        </w:rPr>
        <w:t xml:space="preserve"> el número de registros para propiciar una mayor interacción con el mercado y el uso de la plataforma a los fines de las transacciones, en este momento no se dispone de ningún registro de transacciones concretadas </w:t>
      </w:r>
      <w:r w:rsidRPr="009A6CA1">
        <w:rPr>
          <w:color w:val="000000" w:themeColor="text1"/>
          <w:sz w:val="20"/>
        </w:rPr>
        <w:t>que puedan atribuirse directamente al uso de</w:t>
      </w:r>
      <w:r w:rsidRPr="009A6CA1">
        <w:rPr>
          <w:rFonts w:eastAsia="Times New Roman"/>
          <w:color w:val="000000" w:themeColor="text1"/>
          <w:sz w:val="20"/>
        </w:rPr>
        <w:t xml:space="preserve"> </w:t>
      </w:r>
      <w:r w:rsidRPr="009A6CA1">
        <w:rPr>
          <w:rFonts w:eastAsia="Times New Roman"/>
          <w:i/>
          <w:color w:val="000000" w:themeColor="text1"/>
          <w:sz w:val="20"/>
        </w:rPr>
        <w:t>WIPO GREEN</w:t>
      </w:r>
      <w:r w:rsidRPr="009A6CA1">
        <w:rPr>
          <w:rFonts w:eastAsia="Times New Roman"/>
          <w:color w:val="000000" w:themeColor="text1"/>
          <w:sz w:val="20"/>
        </w:rPr>
        <w:t xml:space="preserve">.  Por otra parte, también contribuyó a que no se concretaran transacciones el hecho de que </w:t>
      </w:r>
      <w:r w:rsidRPr="009A6CA1">
        <w:rPr>
          <w:rFonts w:eastAsia="Times New Roman"/>
          <w:i/>
          <w:color w:val="000000" w:themeColor="text1"/>
          <w:sz w:val="20"/>
        </w:rPr>
        <w:t>WIPO GREEN</w:t>
      </w:r>
      <w:r w:rsidRPr="009A6CA1">
        <w:rPr>
          <w:rFonts w:eastAsia="Times New Roman"/>
          <w:color w:val="000000" w:themeColor="text1"/>
          <w:sz w:val="20"/>
        </w:rPr>
        <w:t xml:space="preserve"> no cuente actualmente con un “centro de vínculos de cooperación” o un proveedor de servicios y de que, por lo general, el tiempo necesario para la concertación de acuerdos sea largo.  En 2015 la labor se centró en </w:t>
      </w:r>
      <w:r w:rsidRPr="009A6CA1">
        <w:rPr>
          <w:color w:val="000000" w:themeColor="text1"/>
          <w:sz w:val="20"/>
        </w:rPr>
        <w:t>ayudar</w:t>
      </w:r>
      <w:r w:rsidRPr="009A6CA1">
        <w:rPr>
          <w:rFonts w:eastAsia="Times New Roman"/>
          <w:color w:val="000000" w:themeColor="text1"/>
          <w:sz w:val="20"/>
        </w:rPr>
        <w:t xml:space="preserve"> a las personas que hacen las búsquedas a precisar sus necesidades y facilitar conexiones.  Por consiguiente, en 2015 se introdujeron directrices más detalladas para esas personas, lo que se tradujo en una mejora de la calidad de la descripción de las necesidades.  En el primer acto de establecimiento de contactos que organizó la OMPI en 2015, bajo el título Facilitar la transferencia y la difusión de tecnología limpia</w:t>
      </w:r>
      <w:proofErr w:type="gramStart"/>
      <w:r w:rsidRPr="009A6CA1">
        <w:rPr>
          <w:rFonts w:eastAsia="Times New Roman"/>
          <w:color w:val="000000" w:themeColor="text1"/>
          <w:sz w:val="20"/>
        </w:rPr>
        <w:t>:  oportunidades</w:t>
      </w:r>
      <w:proofErr w:type="gramEnd"/>
      <w:r w:rsidRPr="009A6CA1">
        <w:rPr>
          <w:rFonts w:eastAsia="Times New Roman"/>
          <w:color w:val="000000" w:themeColor="text1"/>
          <w:sz w:val="20"/>
        </w:rPr>
        <w:t xml:space="preserve"> de un proyecto piloto sobre tratamiento de aguas residuales en el sudeste asiático, que tuvo lugar en Manila (Filipinas), las partes firmaron 16 cartas de intenciones.</w:t>
      </w:r>
    </w:p>
    <w:p w:rsidR="00E80502" w:rsidRPr="009A6CA1" w:rsidRDefault="00E80502" w:rsidP="00DC1333">
      <w:pPr>
        <w:widowControl w:val="0"/>
        <w:tabs>
          <w:tab w:val="left" w:pos="0"/>
        </w:tabs>
        <w:jc w:val="both"/>
        <w:rPr>
          <w:color w:val="000000" w:themeColor="text1"/>
          <w:sz w:val="20"/>
        </w:rPr>
      </w:pPr>
    </w:p>
    <w:p w:rsidR="00E80502" w:rsidRPr="009A6CA1" w:rsidRDefault="00E80502" w:rsidP="00E80502">
      <w:pPr>
        <w:widowControl w:val="0"/>
        <w:numPr>
          <w:ilvl w:val="0"/>
          <w:numId w:val="85"/>
        </w:numPr>
        <w:tabs>
          <w:tab w:val="left" w:pos="709"/>
        </w:tabs>
        <w:ind w:left="0" w:firstLine="0"/>
        <w:jc w:val="both"/>
        <w:rPr>
          <w:color w:val="000000" w:themeColor="text1"/>
          <w:sz w:val="20"/>
        </w:rPr>
      </w:pPr>
      <w:r w:rsidRPr="009A6CA1">
        <w:rPr>
          <w:i/>
          <w:color w:val="000000" w:themeColor="text1"/>
          <w:sz w:val="20"/>
        </w:rPr>
        <w:t xml:space="preserve">WIPO </w:t>
      </w:r>
      <w:proofErr w:type="spellStart"/>
      <w:r w:rsidRPr="009A6CA1">
        <w:rPr>
          <w:i/>
          <w:color w:val="000000" w:themeColor="text1"/>
          <w:sz w:val="20"/>
        </w:rPr>
        <w:t>Re:Search</w:t>
      </w:r>
      <w:proofErr w:type="spellEnd"/>
      <w:r w:rsidRPr="009A6CA1">
        <w:rPr>
          <w:color w:val="000000" w:themeColor="text1"/>
          <w:sz w:val="20"/>
        </w:rPr>
        <w:t xml:space="preserve"> – Compartir la innovación en la lucha contra las enfermedades tropicales desatendidas – logró un mayor reconocimiento como plataforma de apoyo a la innovación, los conocimientos, la transferencia de tecnología y el fortalecimiento de capacidades relacionados con la investigación en el ámbito de las enfermedades tropicales desatendidas, la tuberculosis y el paludismo.  En el transcurso del bienio se registraron 52 nuevas colaboraciones entre miembros de la plataforma y se incorporaron 20 miembros nuevos, 6 de ellos de países en desarrollo, alcanzado un total de 96 colaboraciones y 100 miembros, de los que 22 procedían de países en desarrollo.  Además, el potencial de la plataforma para la transferencia de tecnología de países desarrollados a países en desarrollo respecto de los activos de propiedad intelectual, incluidos los conocimientos especializados y la capacidad técnica, se concretó en la continuación de la concesión de licencias sabáticas a 6 científicos africanos para que realizaran labores de investigación en instituciones de investigación extranjeras.  Las licencias sabáticas, que arrancaron en el bienio pasado, fueron posibles gracias a un fondo fiduciario dotado por el Gobierno australiano.  Cuatro de ellas ya habían finalizado al término del bienio.</w:t>
      </w:r>
    </w:p>
    <w:p w:rsidR="00E80502" w:rsidRPr="009A6CA1" w:rsidRDefault="00E80502" w:rsidP="00DC1333">
      <w:pPr>
        <w:widowControl w:val="0"/>
        <w:tabs>
          <w:tab w:val="left" w:pos="709"/>
        </w:tabs>
        <w:jc w:val="both"/>
        <w:rPr>
          <w:bCs/>
        </w:rPr>
      </w:pPr>
    </w:p>
    <w:p w:rsidR="00E80502" w:rsidRPr="009A6CA1" w:rsidRDefault="00E80502" w:rsidP="00E80502">
      <w:pPr>
        <w:widowControl w:val="0"/>
        <w:numPr>
          <w:ilvl w:val="0"/>
          <w:numId w:val="85"/>
        </w:numPr>
        <w:tabs>
          <w:tab w:val="left" w:pos="709"/>
        </w:tabs>
        <w:ind w:left="0" w:firstLine="0"/>
        <w:jc w:val="both"/>
        <w:rPr>
          <w:color w:val="000000" w:themeColor="text1"/>
          <w:sz w:val="20"/>
        </w:rPr>
      </w:pPr>
      <w:r w:rsidRPr="009A6CA1">
        <w:rPr>
          <w:color w:val="000000" w:themeColor="text1"/>
          <w:sz w:val="20"/>
        </w:rPr>
        <w:t xml:space="preserve">La cooperación trilateral entre la OMS, la OMPI y la OMC siguió centrándose en la mejora de la comprensión entre los responsables de la formulación de políticas de la interacción entre la salud, la P.I. y el comercio.  En noviembre de 2014 y octubre de 2015 tuvieron lugar en Ginebra los simposios trilaterales cuarto y quinto, en los que se examinaron los desafíos y las oportunidades en la esfera de la innovación en materia de salud en los países de ingresos medianos y las políticas públicas necesarias para asegurar que el rápido crecimiento económico contribuya al acceso y a una cobertura sanitaria universal.  En octubre de 2015, en el marco de la cooperación trilateral, se organizó de forma conjunta un seminario técnico sobre criterios de </w:t>
      </w:r>
      <w:proofErr w:type="spellStart"/>
      <w:r w:rsidRPr="009A6CA1">
        <w:rPr>
          <w:color w:val="000000" w:themeColor="text1"/>
          <w:sz w:val="20"/>
        </w:rPr>
        <w:t>patentabilidad</w:t>
      </w:r>
      <w:proofErr w:type="spellEnd"/>
      <w:r w:rsidRPr="009A6CA1">
        <w:rPr>
          <w:color w:val="000000" w:themeColor="text1"/>
          <w:sz w:val="20"/>
        </w:rPr>
        <w:t xml:space="preserve"> que obtuvo muy buena acogida entre los participantes en general.</w:t>
      </w:r>
    </w:p>
    <w:p w:rsidR="00E80502" w:rsidRPr="009A6CA1" w:rsidRDefault="00E80502" w:rsidP="00DC1333">
      <w:pPr>
        <w:widowControl w:val="0"/>
        <w:tabs>
          <w:tab w:val="left" w:pos="709"/>
        </w:tabs>
        <w:jc w:val="both"/>
      </w:pPr>
    </w:p>
    <w:p w:rsidR="00E80502" w:rsidRPr="009A6CA1" w:rsidRDefault="00E80502" w:rsidP="00E80502">
      <w:pPr>
        <w:widowControl w:val="0"/>
        <w:numPr>
          <w:ilvl w:val="0"/>
          <w:numId w:val="85"/>
        </w:numPr>
        <w:tabs>
          <w:tab w:val="left" w:pos="709"/>
        </w:tabs>
        <w:ind w:left="0" w:firstLine="0"/>
        <w:jc w:val="both"/>
        <w:rPr>
          <w:color w:val="000000" w:themeColor="text1"/>
          <w:sz w:val="20"/>
        </w:rPr>
      </w:pPr>
      <w:r w:rsidRPr="009A6CA1">
        <w:rPr>
          <w:color w:val="000000" w:themeColor="text1"/>
          <w:sz w:val="20"/>
        </w:rPr>
        <w:t>En el ámbito de la P.I. y la política de competencia, los Estados miembros siguieron manifestando interés en mantener un diálogo destinado a mejorar su comprensión sobre la relación entre la P.I. y la política de competencia.  Se recibieron solicitudes tanto de las oficinas de P.I. como de las administraciones competentes en materia de competencia, incluso de países menos familiarizados con las cuestiones relacionadas con la competencia en el ámbito de la P.I.</w:t>
      </w:r>
    </w:p>
    <w:p w:rsidR="00E80502" w:rsidRPr="009A6CA1" w:rsidRDefault="00E80502" w:rsidP="00DC1333">
      <w:pPr>
        <w:widowControl w:val="0"/>
        <w:tabs>
          <w:tab w:val="left" w:pos="709"/>
        </w:tabs>
        <w:jc w:val="both"/>
        <w:rPr>
          <w:color w:val="000000" w:themeColor="text1"/>
          <w:sz w:val="20"/>
        </w:rPr>
      </w:pPr>
    </w:p>
    <w:p w:rsidR="00E80502" w:rsidRPr="009A6CA1" w:rsidRDefault="00E80502" w:rsidP="0006462C">
      <w:pPr>
        <w:widowControl w:val="0"/>
        <w:numPr>
          <w:ilvl w:val="0"/>
          <w:numId w:val="85"/>
        </w:numPr>
        <w:tabs>
          <w:tab w:val="left" w:pos="709"/>
        </w:tabs>
        <w:ind w:left="0" w:firstLine="0"/>
        <w:jc w:val="both"/>
        <w:rPr>
          <w:color w:val="000000" w:themeColor="text1"/>
          <w:sz w:val="20"/>
        </w:rPr>
      </w:pPr>
      <w:r w:rsidRPr="009A6CA1">
        <w:rPr>
          <w:color w:val="000000" w:themeColor="text1"/>
          <w:sz w:val="20"/>
        </w:rPr>
        <w:t xml:space="preserve">El número de administraciones competentes en materia de competencia que han mantenido una colaboración con la OMPI aumentó a 39 y se consolidó la cooperación estructurada e informal con otras </w:t>
      </w:r>
      <w:r w:rsidRPr="009A6CA1">
        <w:rPr>
          <w:color w:val="000000" w:themeColor="text1"/>
          <w:sz w:val="20"/>
        </w:rPr>
        <w:lastRenderedPageBreak/>
        <w:t>organizaciones competentes en ese campo, en particular la OCDE, la UNCTAD, la OMC, la Red Internacional de Competencia y el Mercado Común para el África Oriental y Meridional (COMESA), que se había iniciado en el bienio anterior.  La OMPI coorganizó y/o participó en nueve talleres.  Estas actividades conjuntas de las oficinas de P.I. y las administraciones competentes en materia de competencia sirvieron de foro para el diálogo y el debate sobre la conexión existente entre la P.I. y la política de competencia.</w:t>
      </w:r>
    </w:p>
    <w:p w:rsidR="00E80502" w:rsidRPr="009A6CA1" w:rsidRDefault="00E80502" w:rsidP="00DC1333">
      <w:pPr>
        <w:widowControl w:val="0"/>
        <w:tabs>
          <w:tab w:val="left" w:pos="709"/>
        </w:tabs>
        <w:jc w:val="both"/>
        <w:rPr>
          <w:color w:val="000000" w:themeColor="text1"/>
          <w:sz w:val="20"/>
        </w:rPr>
      </w:pPr>
    </w:p>
    <w:p w:rsidR="00E80502" w:rsidRPr="009A6CA1" w:rsidRDefault="00E80502" w:rsidP="00E80502">
      <w:pPr>
        <w:widowControl w:val="0"/>
        <w:numPr>
          <w:ilvl w:val="0"/>
          <w:numId w:val="85"/>
        </w:numPr>
        <w:tabs>
          <w:tab w:val="left" w:pos="709"/>
        </w:tabs>
        <w:ind w:left="0" w:firstLine="0"/>
        <w:jc w:val="both"/>
        <w:rPr>
          <w:color w:val="000000" w:themeColor="text1"/>
          <w:sz w:val="20"/>
        </w:rPr>
      </w:pPr>
      <w:r w:rsidRPr="009A6CA1">
        <w:rPr>
          <w:color w:val="000000" w:themeColor="text1"/>
          <w:sz w:val="20"/>
        </w:rPr>
        <w:t>La concepción, planificación y ejecución de las actividades del programa 18 se basaron en las recomendaciones pertinentes de la Agenda para el Desarrollo, en particular las recomendaciones 19, 25, 30, 40 y 42.</w:t>
      </w:r>
    </w:p>
    <w:p w:rsidR="00E80502" w:rsidRPr="009A6CA1" w:rsidRDefault="00E80502" w:rsidP="00DC1333">
      <w:pPr>
        <w:widowControl w:val="0"/>
        <w:tabs>
          <w:tab w:val="left" w:pos="0"/>
          <w:tab w:val="left" w:pos="709"/>
        </w:tabs>
        <w:jc w:val="both"/>
        <w:rPr>
          <w:bCs/>
          <w:szCs w:val="22"/>
        </w:rPr>
      </w:pPr>
    </w:p>
    <w:p w:rsidR="00E80502" w:rsidRPr="009A6CA1" w:rsidRDefault="00E80502" w:rsidP="00DC1333">
      <w:pPr>
        <w:widowControl w:val="0"/>
        <w:tabs>
          <w:tab w:val="left" w:pos="709"/>
        </w:tabs>
        <w:rPr>
          <w:bCs/>
          <w:szCs w:val="22"/>
        </w:rPr>
      </w:pPr>
    </w:p>
    <w:p w:rsidR="00E80502" w:rsidRPr="009A6CA1" w:rsidRDefault="008F7CBE" w:rsidP="00DC1333">
      <w:pPr>
        <w:widowControl w:val="0"/>
        <w:rPr>
          <w:szCs w:val="22"/>
        </w:rPr>
      </w:pPr>
      <w:r w:rsidRPr="008F7CBE">
        <w:rPr>
          <w:sz w:val="20"/>
          <w:szCs w:val="22"/>
        </w:rPr>
        <w:t>DATOS SOBRE EL RENDIMIENTO</w:t>
      </w:r>
    </w:p>
    <w:p w:rsidR="00E80502" w:rsidRPr="009A6CA1" w:rsidRDefault="00E80502" w:rsidP="00DC1333">
      <w:pPr>
        <w:widowControl w:val="0"/>
        <w:rPr>
          <w:bCs/>
          <w:szCs w:val="22"/>
        </w:rPr>
      </w:pPr>
    </w:p>
    <w:tbl>
      <w:tblPr>
        <w:tblW w:w="5036"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054"/>
        <w:gridCol w:w="64"/>
        <w:gridCol w:w="108"/>
        <w:gridCol w:w="2244"/>
        <w:gridCol w:w="183"/>
        <w:gridCol w:w="15"/>
        <w:gridCol w:w="1166"/>
        <w:gridCol w:w="87"/>
        <w:gridCol w:w="85"/>
        <w:gridCol w:w="2312"/>
        <w:gridCol w:w="13"/>
        <w:gridCol w:w="52"/>
        <w:gridCol w:w="79"/>
        <w:gridCol w:w="1178"/>
      </w:tblGrid>
      <w:tr w:rsidR="00E80502" w:rsidRPr="009A6CA1" w:rsidTr="00DC1333">
        <w:trPr>
          <w:cantSplit/>
          <w:trHeight w:val="479"/>
        </w:trPr>
        <w:tc>
          <w:tcPr>
            <w:tcW w:w="5000" w:type="pct"/>
            <w:gridSpan w:val="14"/>
            <w:tcBorders>
              <w:top w:val="single" w:sz="4" w:space="0" w:color="auto"/>
              <w:bottom w:val="single" w:sz="4" w:space="0" w:color="auto"/>
            </w:tcBorders>
            <w:shd w:val="clear" w:color="auto" w:fill="C6D9F1" w:themeFill="text2" w:themeFillTint="33"/>
            <w:vAlign w:val="center"/>
          </w:tcPr>
          <w:p w:rsidR="00E80502" w:rsidRPr="009A6CA1" w:rsidRDefault="00E80502" w:rsidP="00DC1333">
            <w:pPr>
              <w:spacing w:before="120" w:after="120"/>
              <w:ind w:left="2019" w:hanging="2019"/>
              <w:rPr>
                <w:b/>
                <w:bCs/>
                <w:sz w:val="16"/>
                <w:szCs w:val="16"/>
              </w:rPr>
            </w:pPr>
            <w:r w:rsidRPr="009A6CA1">
              <w:rPr>
                <w:b/>
                <w:bCs/>
                <w:sz w:val="16"/>
                <w:szCs w:val="16"/>
              </w:rPr>
              <w:t>Resultado previsto:</w:t>
            </w:r>
            <w:r w:rsidRPr="009A6CA1">
              <w:rPr>
                <w:b/>
                <w:bCs/>
                <w:sz w:val="16"/>
                <w:szCs w:val="16"/>
              </w:rPr>
              <w:tab/>
            </w:r>
            <w:r w:rsidRPr="009A6CA1">
              <w:rPr>
                <w:sz w:val="16"/>
                <w:szCs w:val="16"/>
              </w:rPr>
              <w:t>III.2 Aumento de las capacidades en recursos humanos para hacer frente a la gran diversidad de exigencias que supone la utilización eficaz de la P.I. para fomentar el desarrollo en los países en desarrollo, PMA y países con economías en transición</w:t>
            </w:r>
          </w:p>
        </w:tc>
      </w:tr>
      <w:tr w:rsidR="00E80502" w:rsidRPr="009A6CA1" w:rsidTr="00DC1333">
        <w:trPr>
          <w:cantSplit/>
        </w:trPr>
        <w:tc>
          <w:tcPr>
            <w:tcW w:w="1065" w:type="pct"/>
            <w:tcBorders>
              <w:top w:val="single" w:sz="4" w:space="0" w:color="auto"/>
            </w:tcBorders>
            <w:shd w:val="clear" w:color="auto" w:fill="auto"/>
            <w:vAlign w:val="center"/>
          </w:tcPr>
          <w:p w:rsidR="00E80502" w:rsidRPr="009A6CA1" w:rsidRDefault="00E80502" w:rsidP="00DC1333">
            <w:pPr>
              <w:widowControl w:val="0"/>
              <w:rPr>
                <w:sz w:val="16"/>
                <w:szCs w:val="16"/>
              </w:rPr>
            </w:pPr>
            <w:r w:rsidRPr="009A6CA1">
              <w:rPr>
                <w:b/>
                <w:sz w:val="16"/>
                <w:szCs w:val="16"/>
              </w:rPr>
              <w:t>Indicadores de rendimiento</w:t>
            </w:r>
          </w:p>
        </w:tc>
        <w:tc>
          <w:tcPr>
            <w:tcW w:w="1253" w:type="pct"/>
            <w:gridSpan w:val="3"/>
            <w:tcBorders>
              <w:top w:val="single" w:sz="4" w:space="0" w:color="auto"/>
            </w:tcBorders>
            <w:shd w:val="clear" w:color="auto" w:fill="auto"/>
            <w:vAlign w:val="center"/>
          </w:tcPr>
          <w:p w:rsidR="00E80502" w:rsidRPr="009A6CA1" w:rsidRDefault="00E80502" w:rsidP="00DC1333">
            <w:pPr>
              <w:widowControl w:val="0"/>
              <w:rPr>
                <w:b/>
                <w:bCs/>
                <w:sz w:val="16"/>
                <w:szCs w:val="16"/>
              </w:rPr>
            </w:pPr>
            <w:r w:rsidRPr="009A6CA1">
              <w:rPr>
                <w:b/>
                <w:bCs/>
                <w:sz w:val="16"/>
                <w:szCs w:val="16"/>
              </w:rPr>
              <w:t>Referencia</w:t>
            </w:r>
          </w:p>
        </w:tc>
        <w:tc>
          <w:tcPr>
            <w:tcW w:w="797" w:type="pct"/>
            <w:gridSpan w:val="5"/>
            <w:tcBorders>
              <w:top w:val="single" w:sz="4" w:space="0" w:color="auto"/>
            </w:tcBorders>
            <w:shd w:val="clear" w:color="auto" w:fill="auto"/>
            <w:tcMar>
              <w:top w:w="110" w:type="dxa"/>
            </w:tcMar>
            <w:vAlign w:val="center"/>
          </w:tcPr>
          <w:p w:rsidR="00E80502" w:rsidRPr="009A6CA1" w:rsidRDefault="00E80502" w:rsidP="00DC1333">
            <w:pPr>
              <w:widowControl w:val="0"/>
              <w:rPr>
                <w:b/>
                <w:sz w:val="16"/>
                <w:szCs w:val="16"/>
              </w:rPr>
            </w:pPr>
            <w:r w:rsidRPr="009A6CA1">
              <w:rPr>
                <w:b/>
                <w:sz w:val="16"/>
                <w:szCs w:val="16"/>
              </w:rPr>
              <w:t>Objetivos</w:t>
            </w:r>
          </w:p>
        </w:tc>
        <w:tc>
          <w:tcPr>
            <w:tcW w:w="1233" w:type="pct"/>
            <w:gridSpan w:val="3"/>
            <w:tcBorders>
              <w:top w:val="single" w:sz="4" w:space="0" w:color="auto"/>
            </w:tcBorders>
            <w:shd w:val="clear" w:color="auto" w:fill="FFFFFF"/>
            <w:tcMar>
              <w:top w:w="110" w:type="dxa"/>
            </w:tcMar>
            <w:vAlign w:val="center"/>
          </w:tcPr>
          <w:p w:rsidR="00E80502" w:rsidRPr="009A6CA1" w:rsidRDefault="00E80502" w:rsidP="00DC1333">
            <w:pPr>
              <w:widowControl w:val="0"/>
              <w:rPr>
                <w:sz w:val="16"/>
                <w:szCs w:val="16"/>
              </w:rPr>
            </w:pPr>
            <w:r w:rsidRPr="009A6CA1">
              <w:rPr>
                <w:b/>
                <w:sz w:val="16"/>
                <w:szCs w:val="16"/>
              </w:rPr>
              <w:t>Datos sobre el rendimiento</w:t>
            </w:r>
          </w:p>
        </w:tc>
        <w:tc>
          <w:tcPr>
            <w:tcW w:w="652" w:type="pct"/>
            <w:gridSpan w:val="2"/>
            <w:tcBorders>
              <w:top w:val="single" w:sz="4" w:space="0" w:color="auto"/>
            </w:tcBorders>
            <w:shd w:val="clear" w:color="auto" w:fill="auto"/>
            <w:tcMar>
              <w:top w:w="110" w:type="dxa"/>
            </w:tcMar>
            <w:vAlign w:val="center"/>
          </w:tcPr>
          <w:p w:rsidR="00E80502" w:rsidRPr="009A6CA1" w:rsidRDefault="00E80502" w:rsidP="00DC1333">
            <w:pPr>
              <w:widowControl w:val="0"/>
              <w:ind w:right="-107"/>
              <w:jc w:val="center"/>
              <w:rPr>
                <w:b/>
                <w:bCs/>
                <w:sz w:val="16"/>
                <w:szCs w:val="16"/>
              </w:rPr>
            </w:pPr>
            <w:r w:rsidRPr="009A6CA1">
              <w:rPr>
                <w:b/>
                <w:bCs/>
                <w:sz w:val="16"/>
                <w:szCs w:val="16"/>
              </w:rPr>
              <w:t>Clave de colores</w:t>
            </w:r>
          </w:p>
        </w:tc>
      </w:tr>
      <w:tr w:rsidR="00E80502" w:rsidRPr="009A6CA1" w:rsidTr="00DC1333">
        <w:trPr>
          <w:cantSplit/>
        </w:trPr>
        <w:tc>
          <w:tcPr>
            <w:tcW w:w="1065" w:type="pct"/>
            <w:tcBorders>
              <w:bottom w:val="single" w:sz="4" w:space="0" w:color="auto"/>
            </w:tcBorders>
            <w:shd w:val="clear" w:color="auto" w:fill="auto"/>
          </w:tcPr>
          <w:p w:rsidR="00E80502" w:rsidRPr="009A6CA1" w:rsidRDefault="00E80502" w:rsidP="00DC1333">
            <w:pPr>
              <w:widowControl w:val="0"/>
              <w:rPr>
                <w:sz w:val="16"/>
                <w:szCs w:val="16"/>
              </w:rPr>
            </w:pPr>
            <w:r w:rsidRPr="009A6CA1">
              <w:rPr>
                <w:sz w:val="16"/>
                <w:szCs w:val="16"/>
              </w:rPr>
              <w:t>Número de acuerdos de acogida de científicos de países en desarrollo</w:t>
            </w:r>
          </w:p>
          <w:p w:rsidR="00E80502" w:rsidRPr="009A6CA1" w:rsidRDefault="00E80502" w:rsidP="00DC1333">
            <w:pPr>
              <w:widowControl w:val="0"/>
              <w:rPr>
                <w:sz w:val="16"/>
                <w:szCs w:val="16"/>
              </w:rPr>
            </w:pPr>
          </w:p>
        </w:tc>
        <w:tc>
          <w:tcPr>
            <w:tcW w:w="1253" w:type="pct"/>
            <w:gridSpan w:val="3"/>
            <w:tcBorders>
              <w:bottom w:val="single" w:sz="4" w:space="0" w:color="auto"/>
            </w:tcBorders>
            <w:shd w:val="clear" w:color="auto" w:fill="auto"/>
          </w:tcPr>
          <w:p w:rsidR="00E80502" w:rsidRPr="009A6CA1" w:rsidRDefault="00E80502" w:rsidP="00DC1333">
            <w:pPr>
              <w:widowControl w:val="0"/>
            </w:pPr>
            <w:r w:rsidRPr="009A6CA1">
              <w:rPr>
                <w:i/>
                <w:iCs/>
                <w:sz w:val="16"/>
                <w:szCs w:val="16"/>
              </w:rPr>
              <w:t>Referencia original en el</w:t>
            </w:r>
            <w:r w:rsidRPr="009A6CA1">
              <w:rPr>
                <w:i/>
                <w:iCs/>
                <w:sz w:val="16"/>
                <w:szCs w:val="16"/>
              </w:rPr>
              <w:br/>
              <w:t>presupuesto de 2014/15</w:t>
            </w:r>
            <w:r w:rsidRPr="009A6CA1">
              <w:rPr>
                <w:i/>
                <w:sz w:val="16"/>
                <w:szCs w:val="16"/>
              </w:rPr>
              <w:t xml:space="preserve">: </w:t>
            </w:r>
            <w:r w:rsidRPr="009A6CA1">
              <w:rPr>
                <w:sz w:val="16"/>
                <w:szCs w:val="16"/>
              </w:rPr>
              <w:t xml:space="preserve"> </w:t>
            </w:r>
            <w:r w:rsidRPr="009A6CA1">
              <w:rPr>
                <w:i/>
                <w:sz w:val="16"/>
                <w:szCs w:val="16"/>
              </w:rPr>
              <w:t>5</w:t>
            </w:r>
          </w:p>
          <w:p w:rsidR="00E80502" w:rsidRPr="009A6CA1" w:rsidRDefault="00E80502" w:rsidP="00DC1333">
            <w:pPr>
              <w:widowControl w:val="0"/>
              <w:rPr>
                <w:sz w:val="16"/>
                <w:szCs w:val="16"/>
              </w:rPr>
            </w:pPr>
          </w:p>
        </w:tc>
        <w:tc>
          <w:tcPr>
            <w:tcW w:w="797" w:type="pct"/>
            <w:gridSpan w:val="5"/>
            <w:tcBorders>
              <w:bottom w:val="single" w:sz="4" w:space="0" w:color="auto"/>
            </w:tcBorders>
            <w:shd w:val="clear" w:color="auto" w:fill="auto"/>
            <w:tcMar>
              <w:top w:w="110" w:type="dxa"/>
            </w:tcMar>
          </w:tcPr>
          <w:p w:rsidR="00E80502" w:rsidRPr="009A6CA1" w:rsidRDefault="00E80502" w:rsidP="00DC1333">
            <w:pPr>
              <w:widowControl w:val="0"/>
              <w:autoSpaceDE w:val="0"/>
              <w:autoSpaceDN w:val="0"/>
              <w:adjustRightInd w:val="0"/>
              <w:rPr>
                <w:color w:val="808080"/>
                <w:sz w:val="16"/>
                <w:szCs w:val="16"/>
              </w:rPr>
            </w:pPr>
            <w:r w:rsidRPr="009A6CA1">
              <w:rPr>
                <w:sz w:val="16"/>
                <w:szCs w:val="16"/>
              </w:rPr>
              <w:t>4</w:t>
            </w:r>
          </w:p>
        </w:tc>
        <w:tc>
          <w:tcPr>
            <w:tcW w:w="1233" w:type="pct"/>
            <w:gridSpan w:val="3"/>
            <w:tcBorders>
              <w:bottom w:val="single" w:sz="4" w:space="0" w:color="auto"/>
            </w:tcBorders>
            <w:shd w:val="clear" w:color="auto" w:fill="FFFFFF"/>
            <w:tcMar>
              <w:top w:w="110" w:type="dxa"/>
            </w:tcMar>
          </w:tcPr>
          <w:p w:rsidR="00E80502" w:rsidRPr="009A6CA1" w:rsidRDefault="00E80502" w:rsidP="00DC1333">
            <w:pPr>
              <w:widowControl w:val="0"/>
              <w:rPr>
                <w:sz w:val="16"/>
                <w:szCs w:val="16"/>
                <w:lang w:bidi="th-TH"/>
              </w:rPr>
            </w:pPr>
            <w:r w:rsidRPr="009A6CA1">
              <w:rPr>
                <w:sz w:val="16"/>
                <w:szCs w:val="16"/>
                <w:lang w:bidi="th-TH"/>
              </w:rPr>
              <w:t>1 nuevo acuerdo de acogida</w:t>
            </w:r>
          </w:p>
        </w:tc>
        <w:tc>
          <w:tcPr>
            <w:tcW w:w="652" w:type="pct"/>
            <w:gridSpan w:val="2"/>
            <w:tcBorders>
              <w:bottom w:val="single" w:sz="4" w:space="0" w:color="auto"/>
            </w:tcBorders>
            <w:shd w:val="clear" w:color="auto" w:fill="auto"/>
            <w:tcMar>
              <w:top w:w="110" w:type="dxa"/>
            </w:tcMar>
          </w:tcPr>
          <w:p w:rsidR="00E80502" w:rsidRPr="009A6CA1" w:rsidRDefault="00E80502" w:rsidP="00DC1333">
            <w:pPr>
              <w:widowControl w:val="0"/>
              <w:jc w:val="center"/>
              <w:rPr>
                <w:b/>
                <w:bCs/>
                <w:color w:val="808080"/>
                <w:sz w:val="16"/>
                <w:szCs w:val="16"/>
              </w:rPr>
            </w:pPr>
            <w:r w:rsidRPr="009A6CA1">
              <w:rPr>
                <w:b/>
                <w:bCs/>
                <w:color w:val="FF0000"/>
                <w:sz w:val="16"/>
                <w:szCs w:val="16"/>
              </w:rPr>
              <w:t>No logrado</w:t>
            </w:r>
          </w:p>
        </w:tc>
      </w:tr>
      <w:tr w:rsidR="00E80502" w:rsidRPr="009A6CA1" w:rsidTr="00DC1333">
        <w:trPr>
          <w:cantSplit/>
          <w:trHeight w:val="492"/>
        </w:trPr>
        <w:tc>
          <w:tcPr>
            <w:tcW w:w="5000" w:type="pct"/>
            <w:gridSpan w:val="14"/>
            <w:tcBorders>
              <w:top w:val="single" w:sz="4" w:space="0" w:color="auto"/>
              <w:bottom w:val="single" w:sz="4" w:space="0" w:color="auto"/>
            </w:tcBorders>
            <w:shd w:val="clear" w:color="auto" w:fill="C6D9F1" w:themeFill="text2" w:themeFillTint="33"/>
            <w:vAlign w:val="center"/>
          </w:tcPr>
          <w:p w:rsidR="00E80502" w:rsidRPr="009A6CA1" w:rsidRDefault="00E80502" w:rsidP="00DC1333">
            <w:pPr>
              <w:spacing w:before="120" w:after="120"/>
              <w:ind w:left="2019" w:hanging="2019"/>
              <w:rPr>
                <w:b/>
                <w:bCs/>
                <w:sz w:val="16"/>
                <w:szCs w:val="16"/>
              </w:rPr>
            </w:pPr>
            <w:r w:rsidRPr="009A6CA1">
              <w:rPr>
                <w:b/>
                <w:bCs/>
                <w:sz w:val="16"/>
                <w:szCs w:val="16"/>
              </w:rPr>
              <w:t>Resultado previsto:</w:t>
            </w:r>
            <w:r w:rsidRPr="009A6CA1">
              <w:rPr>
                <w:b/>
                <w:bCs/>
                <w:sz w:val="16"/>
                <w:szCs w:val="16"/>
              </w:rPr>
              <w:tab/>
            </w:r>
            <w:r w:rsidRPr="009A6CA1">
              <w:rPr>
                <w:sz w:val="16"/>
                <w:szCs w:val="16"/>
              </w:rPr>
              <w:t>IV.2 Mejora del acceso y uso de información de P.I. por parte de instituciones de P.I. y el público para fomentar la innovación y la creatividad</w:t>
            </w:r>
          </w:p>
        </w:tc>
      </w:tr>
      <w:tr w:rsidR="00E80502" w:rsidRPr="009A6CA1" w:rsidTr="00DC1333">
        <w:trPr>
          <w:cantSplit/>
        </w:trPr>
        <w:tc>
          <w:tcPr>
            <w:tcW w:w="1065" w:type="pct"/>
            <w:tcBorders>
              <w:top w:val="single" w:sz="4" w:space="0" w:color="auto"/>
            </w:tcBorders>
            <w:shd w:val="clear" w:color="auto" w:fill="auto"/>
            <w:vAlign w:val="center"/>
          </w:tcPr>
          <w:p w:rsidR="00E80502" w:rsidRPr="009A6CA1" w:rsidRDefault="00E80502" w:rsidP="00DC1333">
            <w:pPr>
              <w:widowControl w:val="0"/>
              <w:rPr>
                <w:sz w:val="16"/>
                <w:szCs w:val="16"/>
              </w:rPr>
            </w:pPr>
            <w:r w:rsidRPr="009A6CA1">
              <w:rPr>
                <w:b/>
                <w:sz w:val="16"/>
                <w:szCs w:val="16"/>
              </w:rPr>
              <w:t>Indicadores de rendimiento</w:t>
            </w:r>
          </w:p>
        </w:tc>
        <w:tc>
          <w:tcPr>
            <w:tcW w:w="1253" w:type="pct"/>
            <w:gridSpan w:val="3"/>
            <w:tcBorders>
              <w:top w:val="single" w:sz="4" w:space="0" w:color="auto"/>
            </w:tcBorders>
            <w:shd w:val="clear" w:color="auto" w:fill="auto"/>
            <w:vAlign w:val="center"/>
          </w:tcPr>
          <w:p w:rsidR="00E80502" w:rsidRPr="009A6CA1" w:rsidRDefault="00E80502" w:rsidP="00DC1333">
            <w:pPr>
              <w:widowControl w:val="0"/>
              <w:rPr>
                <w:b/>
                <w:bCs/>
                <w:sz w:val="16"/>
                <w:szCs w:val="16"/>
              </w:rPr>
            </w:pPr>
            <w:r w:rsidRPr="009A6CA1">
              <w:rPr>
                <w:b/>
                <w:bCs/>
                <w:sz w:val="16"/>
                <w:szCs w:val="16"/>
              </w:rPr>
              <w:t>Referencia</w:t>
            </w:r>
          </w:p>
        </w:tc>
        <w:tc>
          <w:tcPr>
            <w:tcW w:w="797" w:type="pct"/>
            <w:gridSpan w:val="5"/>
            <w:tcBorders>
              <w:top w:val="single" w:sz="4" w:space="0" w:color="auto"/>
            </w:tcBorders>
            <w:shd w:val="clear" w:color="auto" w:fill="auto"/>
            <w:tcMar>
              <w:top w:w="110" w:type="dxa"/>
            </w:tcMar>
            <w:vAlign w:val="center"/>
          </w:tcPr>
          <w:p w:rsidR="00E80502" w:rsidRPr="009A6CA1" w:rsidRDefault="00E80502" w:rsidP="00DC1333">
            <w:pPr>
              <w:widowControl w:val="0"/>
              <w:rPr>
                <w:b/>
                <w:sz w:val="16"/>
                <w:szCs w:val="16"/>
              </w:rPr>
            </w:pPr>
            <w:r w:rsidRPr="009A6CA1">
              <w:rPr>
                <w:b/>
                <w:sz w:val="16"/>
                <w:szCs w:val="16"/>
              </w:rPr>
              <w:t>Objetivos</w:t>
            </w:r>
          </w:p>
        </w:tc>
        <w:tc>
          <w:tcPr>
            <w:tcW w:w="1233" w:type="pct"/>
            <w:gridSpan w:val="3"/>
            <w:tcBorders>
              <w:top w:val="single" w:sz="4" w:space="0" w:color="auto"/>
            </w:tcBorders>
            <w:shd w:val="clear" w:color="auto" w:fill="FFFFFF"/>
            <w:tcMar>
              <w:top w:w="110" w:type="dxa"/>
            </w:tcMar>
            <w:vAlign w:val="center"/>
          </w:tcPr>
          <w:p w:rsidR="00E80502" w:rsidRPr="009A6CA1" w:rsidRDefault="00E80502" w:rsidP="00DC1333">
            <w:pPr>
              <w:widowControl w:val="0"/>
              <w:rPr>
                <w:sz w:val="16"/>
                <w:szCs w:val="16"/>
              </w:rPr>
            </w:pPr>
            <w:r w:rsidRPr="009A6CA1">
              <w:rPr>
                <w:b/>
                <w:sz w:val="16"/>
                <w:szCs w:val="16"/>
              </w:rPr>
              <w:t>Datos sobre el rendimiento</w:t>
            </w:r>
          </w:p>
        </w:tc>
        <w:tc>
          <w:tcPr>
            <w:tcW w:w="652" w:type="pct"/>
            <w:gridSpan w:val="2"/>
            <w:tcBorders>
              <w:top w:val="single" w:sz="4" w:space="0" w:color="auto"/>
            </w:tcBorders>
            <w:shd w:val="clear" w:color="auto" w:fill="auto"/>
            <w:tcMar>
              <w:top w:w="110" w:type="dxa"/>
            </w:tcMar>
            <w:vAlign w:val="center"/>
          </w:tcPr>
          <w:p w:rsidR="00E80502" w:rsidRPr="009A6CA1" w:rsidRDefault="00E80502" w:rsidP="00DC1333">
            <w:pPr>
              <w:widowControl w:val="0"/>
              <w:ind w:right="-107"/>
              <w:jc w:val="center"/>
              <w:rPr>
                <w:b/>
                <w:bCs/>
                <w:sz w:val="16"/>
                <w:szCs w:val="16"/>
              </w:rPr>
            </w:pPr>
            <w:r w:rsidRPr="009A6CA1">
              <w:rPr>
                <w:b/>
                <w:bCs/>
                <w:sz w:val="16"/>
                <w:szCs w:val="16"/>
              </w:rPr>
              <w:t>Clave de colores</w:t>
            </w:r>
          </w:p>
        </w:tc>
      </w:tr>
      <w:tr w:rsidR="00E80502" w:rsidRPr="009A6CA1" w:rsidTr="00DC1333">
        <w:trPr>
          <w:cantSplit/>
        </w:trPr>
        <w:tc>
          <w:tcPr>
            <w:tcW w:w="1065" w:type="pct"/>
            <w:tcBorders>
              <w:bottom w:val="single" w:sz="4" w:space="0" w:color="auto"/>
            </w:tcBorders>
            <w:shd w:val="clear" w:color="auto" w:fill="auto"/>
          </w:tcPr>
          <w:p w:rsidR="00E80502" w:rsidRPr="009A6CA1" w:rsidRDefault="00E80502" w:rsidP="00DC1333">
            <w:pPr>
              <w:widowControl w:val="0"/>
              <w:rPr>
                <w:sz w:val="16"/>
                <w:szCs w:val="16"/>
              </w:rPr>
            </w:pPr>
            <w:r w:rsidRPr="009A6CA1">
              <w:rPr>
                <w:sz w:val="16"/>
                <w:szCs w:val="16"/>
              </w:rPr>
              <w:t xml:space="preserve">Número de países que han verificado los datos e incluido medicamentos esenciales nacionales en </w:t>
            </w:r>
            <w:r w:rsidRPr="009A6CA1">
              <w:rPr>
                <w:i/>
                <w:sz w:val="16"/>
                <w:szCs w:val="16"/>
              </w:rPr>
              <w:t xml:space="preserve">WIPO </w:t>
            </w:r>
            <w:proofErr w:type="spellStart"/>
            <w:r w:rsidRPr="009A6CA1">
              <w:rPr>
                <w:i/>
                <w:sz w:val="16"/>
                <w:szCs w:val="16"/>
              </w:rPr>
              <w:t>Essential</w:t>
            </w:r>
            <w:proofErr w:type="spellEnd"/>
            <w:r w:rsidRPr="009A6CA1">
              <w:rPr>
                <w:sz w:val="16"/>
                <w:szCs w:val="16"/>
              </w:rPr>
              <w:t xml:space="preserve"> </w:t>
            </w:r>
          </w:p>
        </w:tc>
        <w:tc>
          <w:tcPr>
            <w:tcW w:w="1253" w:type="pct"/>
            <w:gridSpan w:val="3"/>
            <w:tcBorders>
              <w:bottom w:val="single" w:sz="4" w:space="0" w:color="auto"/>
            </w:tcBorders>
            <w:shd w:val="clear" w:color="auto" w:fill="auto"/>
          </w:tcPr>
          <w:p w:rsidR="00E80502" w:rsidRPr="009A6CA1" w:rsidRDefault="00E80502" w:rsidP="00DC1333">
            <w:pPr>
              <w:widowControl w:val="0"/>
            </w:pPr>
            <w:r w:rsidRPr="009A6CA1">
              <w:rPr>
                <w:sz w:val="16"/>
                <w:szCs w:val="16"/>
              </w:rPr>
              <w:t xml:space="preserve">0 (cero). </w:t>
            </w:r>
          </w:p>
          <w:p w:rsidR="00E80502" w:rsidRPr="009A6CA1" w:rsidRDefault="00E80502" w:rsidP="00DC1333">
            <w:pPr>
              <w:widowControl w:val="0"/>
              <w:rPr>
                <w:sz w:val="16"/>
                <w:szCs w:val="16"/>
              </w:rPr>
            </w:pPr>
          </w:p>
        </w:tc>
        <w:tc>
          <w:tcPr>
            <w:tcW w:w="797" w:type="pct"/>
            <w:gridSpan w:val="5"/>
            <w:tcBorders>
              <w:bottom w:val="single" w:sz="4" w:space="0" w:color="auto"/>
            </w:tcBorders>
            <w:shd w:val="clear" w:color="auto" w:fill="auto"/>
            <w:tcMar>
              <w:top w:w="110" w:type="dxa"/>
            </w:tcMar>
          </w:tcPr>
          <w:p w:rsidR="00E80502" w:rsidRPr="009A6CA1" w:rsidRDefault="00E80502" w:rsidP="00DC1333">
            <w:pPr>
              <w:widowControl w:val="0"/>
              <w:rPr>
                <w:sz w:val="16"/>
                <w:szCs w:val="16"/>
              </w:rPr>
            </w:pPr>
            <w:r w:rsidRPr="009A6CA1">
              <w:rPr>
                <w:sz w:val="16"/>
                <w:szCs w:val="16"/>
              </w:rPr>
              <w:t>1 país por región (África, Asia, América Latina y el Caribe).</w:t>
            </w:r>
          </w:p>
        </w:tc>
        <w:tc>
          <w:tcPr>
            <w:tcW w:w="1233" w:type="pct"/>
            <w:gridSpan w:val="3"/>
            <w:tcBorders>
              <w:bottom w:val="single" w:sz="4" w:space="0" w:color="auto"/>
            </w:tcBorders>
            <w:shd w:val="clear" w:color="auto" w:fill="FFFFFF"/>
            <w:tcMar>
              <w:top w:w="110" w:type="dxa"/>
            </w:tcMar>
          </w:tcPr>
          <w:p w:rsidR="00E80502" w:rsidRPr="009A6CA1" w:rsidRDefault="00E80502" w:rsidP="00DC1333">
            <w:pPr>
              <w:widowControl w:val="0"/>
              <w:rPr>
                <w:sz w:val="16"/>
                <w:szCs w:val="16"/>
              </w:rPr>
            </w:pPr>
            <w:r w:rsidRPr="009A6CA1">
              <w:rPr>
                <w:sz w:val="16"/>
                <w:szCs w:val="16"/>
              </w:rPr>
              <w:t xml:space="preserve">En 2014 </w:t>
            </w:r>
            <w:r w:rsidRPr="009A6CA1">
              <w:rPr>
                <w:i/>
                <w:sz w:val="16"/>
                <w:szCs w:val="16"/>
              </w:rPr>
              <w:t xml:space="preserve">WIPO </w:t>
            </w:r>
            <w:proofErr w:type="spellStart"/>
            <w:r w:rsidRPr="009A6CA1">
              <w:rPr>
                <w:i/>
                <w:sz w:val="16"/>
                <w:szCs w:val="16"/>
              </w:rPr>
              <w:t>Essential</w:t>
            </w:r>
            <w:proofErr w:type="spellEnd"/>
            <w:r w:rsidRPr="009A6CA1">
              <w:rPr>
                <w:sz w:val="16"/>
                <w:szCs w:val="16"/>
              </w:rPr>
              <w:t xml:space="preserve"> se redefinió como el estudio de la situación de las patentes de medicamentos que figuran en la</w:t>
            </w:r>
            <w:r w:rsidRPr="009A6CA1">
              <w:t xml:space="preserve"> </w:t>
            </w:r>
            <w:r w:rsidRPr="009A6CA1">
              <w:rPr>
                <w:sz w:val="16"/>
                <w:szCs w:val="16"/>
              </w:rPr>
              <w:t>Lista Modelo de Medicamentos Esenciales de la OMS.</w:t>
            </w:r>
          </w:p>
        </w:tc>
        <w:tc>
          <w:tcPr>
            <w:tcW w:w="652" w:type="pct"/>
            <w:gridSpan w:val="2"/>
            <w:tcBorders>
              <w:bottom w:val="single" w:sz="4" w:space="0" w:color="auto"/>
            </w:tcBorders>
            <w:shd w:val="clear" w:color="auto" w:fill="auto"/>
            <w:tcMar>
              <w:top w:w="110" w:type="dxa"/>
            </w:tcMar>
          </w:tcPr>
          <w:p w:rsidR="00E80502" w:rsidRPr="009A6CA1" w:rsidRDefault="00044DA1" w:rsidP="00044DA1">
            <w:pPr>
              <w:widowControl w:val="0"/>
              <w:jc w:val="center"/>
              <w:rPr>
                <w:b/>
                <w:bCs/>
                <w:sz w:val="14"/>
                <w:szCs w:val="14"/>
              </w:rPr>
            </w:pPr>
            <w:r>
              <w:rPr>
                <w:b/>
                <w:bCs/>
                <w:sz w:val="14"/>
                <w:szCs w:val="14"/>
              </w:rPr>
              <w:t>Discontinuado</w:t>
            </w:r>
          </w:p>
        </w:tc>
      </w:tr>
      <w:tr w:rsidR="00E80502" w:rsidRPr="009A6CA1" w:rsidTr="00DC1333">
        <w:trPr>
          <w:cantSplit/>
          <w:trHeight w:val="430"/>
        </w:trPr>
        <w:tc>
          <w:tcPr>
            <w:tcW w:w="5000" w:type="pct"/>
            <w:gridSpan w:val="14"/>
            <w:tcBorders>
              <w:top w:val="single" w:sz="4" w:space="0" w:color="auto"/>
              <w:bottom w:val="single" w:sz="4" w:space="0" w:color="auto"/>
            </w:tcBorders>
            <w:shd w:val="clear" w:color="auto" w:fill="C6D9F1" w:themeFill="text2" w:themeFillTint="33"/>
            <w:vAlign w:val="center"/>
          </w:tcPr>
          <w:p w:rsidR="00E80502" w:rsidRPr="009A6CA1" w:rsidRDefault="00E80502" w:rsidP="00DC1333">
            <w:pPr>
              <w:spacing w:before="120" w:after="120"/>
              <w:ind w:left="2019" w:hanging="2019"/>
              <w:rPr>
                <w:b/>
                <w:bCs/>
                <w:sz w:val="16"/>
                <w:szCs w:val="16"/>
              </w:rPr>
            </w:pPr>
            <w:r w:rsidRPr="009A6CA1">
              <w:rPr>
                <w:b/>
                <w:bCs/>
                <w:sz w:val="16"/>
                <w:szCs w:val="16"/>
              </w:rPr>
              <w:t>Resultado previsto:</w:t>
            </w:r>
            <w:r w:rsidRPr="009A6CA1">
              <w:rPr>
                <w:b/>
                <w:bCs/>
                <w:sz w:val="16"/>
                <w:szCs w:val="16"/>
              </w:rPr>
              <w:tab/>
            </w:r>
            <w:r w:rsidRPr="009A6CA1">
              <w:rPr>
                <w:sz w:val="16"/>
                <w:szCs w:val="16"/>
              </w:rPr>
              <w:t>VII.2 Plataformas y herramientas de P.I. utilizadas para la transferencia de conocimiento y la difusión y adaptación de tecnología de los países desarrollados en los países en desarrollo, en particular en los menos adelantados, con el fin de atender los desafíos mundiales</w:t>
            </w:r>
          </w:p>
        </w:tc>
      </w:tr>
      <w:tr w:rsidR="00E80502" w:rsidRPr="009A6CA1" w:rsidTr="00431ECD">
        <w:trPr>
          <w:cantSplit/>
        </w:trPr>
        <w:tc>
          <w:tcPr>
            <w:tcW w:w="1154" w:type="pct"/>
            <w:gridSpan w:val="3"/>
            <w:tcBorders>
              <w:top w:val="single" w:sz="4" w:space="0" w:color="auto"/>
              <w:bottom w:val="nil"/>
            </w:tcBorders>
            <w:shd w:val="clear" w:color="auto" w:fill="auto"/>
            <w:vAlign w:val="center"/>
          </w:tcPr>
          <w:p w:rsidR="00E80502" w:rsidRPr="009A6CA1" w:rsidRDefault="00E80502" w:rsidP="00DC1333">
            <w:pPr>
              <w:widowControl w:val="0"/>
              <w:rPr>
                <w:sz w:val="16"/>
                <w:szCs w:val="16"/>
              </w:rPr>
            </w:pPr>
            <w:r w:rsidRPr="009A6CA1">
              <w:rPr>
                <w:b/>
                <w:sz w:val="16"/>
                <w:szCs w:val="16"/>
              </w:rPr>
              <w:t>Indicadores de rendimiento</w:t>
            </w:r>
          </w:p>
        </w:tc>
        <w:tc>
          <w:tcPr>
            <w:tcW w:w="1267" w:type="pct"/>
            <w:gridSpan w:val="3"/>
            <w:tcBorders>
              <w:top w:val="single" w:sz="4" w:space="0" w:color="auto"/>
              <w:bottom w:val="nil"/>
            </w:tcBorders>
            <w:shd w:val="clear" w:color="auto" w:fill="auto"/>
            <w:vAlign w:val="center"/>
          </w:tcPr>
          <w:p w:rsidR="00E80502" w:rsidRPr="009A6CA1" w:rsidRDefault="00E80502" w:rsidP="00DC1333">
            <w:pPr>
              <w:widowControl w:val="0"/>
              <w:rPr>
                <w:b/>
                <w:bCs/>
                <w:sz w:val="16"/>
                <w:szCs w:val="16"/>
              </w:rPr>
            </w:pPr>
            <w:r w:rsidRPr="009A6CA1">
              <w:rPr>
                <w:b/>
                <w:bCs/>
                <w:sz w:val="16"/>
                <w:szCs w:val="16"/>
              </w:rPr>
              <w:t>Referencia</w:t>
            </w:r>
          </w:p>
        </w:tc>
        <w:tc>
          <w:tcPr>
            <w:tcW w:w="605" w:type="pct"/>
            <w:tcBorders>
              <w:top w:val="single" w:sz="4" w:space="0" w:color="auto"/>
              <w:bottom w:val="nil"/>
            </w:tcBorders>
            <w:shd w:val="clear" w:color="auto" w:fill="auto"/>
            <w:tcMar>
              <w:top w:w="110" w:type="dxa"/>
            </w:tcMar>
            <w:vAlign w:val="center"/>
          </w:tcPr>
          <w:p w:rsidR="00E80502" w:rsidRPr="009A6CA1" w:rsidRDefault="00E80502" w:rsidP="00DC1333">
            <w:pPr>
              <w:widowControl w:val="0"/>
              <w:rPr>
                <w:b/>
                <w:sz w:val="16"/>
                <w:szCs w:val="16"/>
              </w:rPr>
            </w:pPr>
            <w:r w:rsidRPr="009A6CA1">
              <w:rPr>
                <w:b/>
                <w:sz w:val="16"/>
                <w:szCs w:val="16"/>
              </w:rPr>
              <w:t>Objetivos</w:t>
            </w:r>
          </w:p>
        </w:tc>
        <w:tc>
          <w:tcPr>
            <w:tcW w:w="1295" w:type="pct"/>
            <w:gridSpan w:val="4"/>
            <w:tcBorders>
              <w:top w:val="single" w:sz="4" w:space="0" w:color="auto"/>
              <w:bottom w:val="nil"/>
            </w:tcBorders>
            <w:shd w:val="clear" w:color="auto" w:fill="FFFFFF"/>
            <w:tcMar>
              <w:top w:w="110" w:type="dxa"/>
            </w:tcMar>
            <w:vAlign w:val="center"/>
          </w:tcPr>
          <w:p w:rsidR="00E80502" w:rsidRPr="009A6CA1" w:rsidRDefault="00E80502" w:rsidP="00DC1333">
            <w:pPr>
              <w:widowControl w:val="0"/>
              <w:rPr>
                <w:sz w:val="16"/>
                <w:szCs w:val="16"/>
              </w:rPr>
            </w:pPr>
            <w:r w:rsidRPr="009A6CA1">
              <w:rPr>
                <w:b/>
                <w:sz w:val="16"/>
                <w:szCs w:val="16"/>
              </w:rPr>
              <w:t>Datos sobre el rendimiento</w:t>
            </w:r>
          </w:p>
        </w:tc>
        <w:tc>
          <w:tcPr>
            <w:tcW w:w="680" w:type="pct"/>
            <w:gridSpan w:val="3"/>
            <w:tcBorders>
              <w:top w:val="single" w:sz="4" w:space="0" w:color="auto"/>
              <w:bottom w:val="nil"/>
            </w:tcBorders>
            <w:shd w:val="clear" w:color="auto" w:fill="auto"/>
            <w:tcMar>
              <w:top w:w="110" w:type="dxa"/>
            </w:tcMar>
            <w:vAlign w:val="center"/>
          </w:tcPr>
          <w:p w:rsidR="00E80502" w:rsidRPr="009A6CA1" w:rsidRDefault="00E80502" w:rsidP="00DC1333">
            <w:pPr>
              <w:widowControl w:val="0"/>
              <w:ind w:right="-107"/>
              <w:jc w:val="center"/>
              <w:rPr>
                <w:b/>
                <w:bCs/>
                <w:sz w:val="16"/>
                <w:szCs w:val="16"/>
              </w:rPr>
            </w:pPr>
            <w:r w:rsidRPr="009A6CA1">
              <w:rPr>
                <w:b/>
                <w:bCs/>
                <w:sz w:val="16"/>
                <w:szCs w:val="16"/>
              </w:rPr>
              <w:t>Clave de colores</w:t>
            </w:r>
          </w:p>
        </w:tc>
      </w:tr>
      <w:tr w:rsidR="00E80502" w:rsidRPr="009A6CA1" w:rsidTr="00431ECD">
        <w:trPr>
          <w:cantSplit/>
        </w:trPr>
        <w:tc>
          <w:tcPr>
            <w:tcW w:w="1154" w:type="pct"/>
            <w:gridSpan w:val="3"/>
            <w:tcBorders>
              <w:top w:val="nil"/>
              <w:bottom w:val="single" w:sz="4" w:space="0" w:color="auto"/>
            </w:tcBorders>
            <w:shd w:val="clear" w:color="auto" w:fill="auto"/>
          </w:tcPr>
          <w:p w:rsidR="00E80502" w:rsidRPr="009A6CA1" w:rsidRDefault="00E80502" w:rsidP="00DC1333">
            <w:pPr>
              <w:widowControl w:val="0"/>
              <w:rPr>
                <w:sz w:val="16"/>
                <w:szCs w:val="16"/>
              </w:rPr>
            </w:pPr>
            <w:r w:rsidRPr="009A6CA1">
              <w:rPr>
                <w:sz w:val="16"/>
                <w:szCs w:val="16"/>
              </w:rPr>
              <w:t xml:space="preserve">Aumento del número de miembros de </w:t>
            </w:r>
            <w:r w:rsidRPr="009A6CA1">
              <w:rPr>
                <w:i/>
                <w:sz w:val="16"/>
                <w:szCs w:val="16"/>
              </w:rPr>
              <w:t xml:space="preserve">WIPO </w:t>
            </w:r>
            <w:proofErr w:type="spellStart"/>
            <w:r w:rsidRPr="009A6CA1">
              <w:rPr>
                <w:i/>
                <w:sz w:val="16"/>
                <w:szCs w:val="16"/>
              </w:rPr>
              <w:t>Re:Search</w:t>
            </w:r>
            <w:proofErr w:type="spellEnd"/>
            <w:r w:rsidRPr="009A6CA1">
              <w:rPr>
                <w:sz w:val="16"/>
                <w:szCs w:val="16"/>
              </w:rPr>
              <w:t>, incluidos los procedentes de países en desarrollo y PMA</w:t>
            </w:r>
          </w:p>
        </w:tc>
        <w:tc>
          <w:tcPr>
            <w:tcW w:w="1267" w:type="pct"/>
            <w:gridSpan w:val="3"/>
            <w:tcBorders>
              <w:top w:val="nil"/>
              <w:bottom w:val="single" w:sz="4" w:space="0" w:color="auto"/>
            </w:tcBorders>
            <w:shd w:val="clear" w:color="auto" w:fill="auto"/>
          </w:tcPr>
          <w:p w:rsidR="00E80502" w:rsidRPr="009A6CA1" w:rsidRDefault="00E80502" w:rsidP="00DC1333">
            <w:pPr>
              <w:widowControl w:val="0"/>
              <w:rPr>
                <w:i/>
                <w:color w:val="002060"/>
                <w:sz w:val="16"/>
                <w:szCs w:val="16"/>
              </w:rPr>
            </w:pPr>
            <w:r w:rsidRPr="009A6CA1">
              <w:rPr>
                <w:i/>
                <w:color w:val="002060"/>
                <w:sz w:val="16"/>
                <w:szCs w:val="16"/>
              </w:rPr>
              <w:t xml:space="preserve">Referencia actualizada a fines de 2013:  </w:t>
            </w:r>
            <w:r w:rsidRPr="009A6CA1">
              <w:rPr>
                <w:color w:val="002060"/>
                <w:sz w:val="16"/>
                <w:szCs w:val="16"/>
              </w:rPr>
              <w:t xml:space="preserve">Durante el bienio, </w:t>
            </w:r>
            <w:r w:rsidRPr="009A6CA1">
              <w:rPr>
                <w:i/>
                <w:color w:val="002060"/>
                <w:sz w:val="16"/>
                <w:szCs w:val="16"/>
              </w:rPr>
              <w:t xml:space="preserve">WIPO </w:t>
            </w:r>
            <w:proofErr w:type="spellStart"/>
            <w:r w:rsidRPr="009A6CA1">
              <w:rPr>
                <w:i/>
                <w:color w:val="002060"/>
                <w:sz w:val="16"/>
                <w:szCs w:val="16"/>
              </w:rPr>
              <w:t>Re:Search</w:t>
            </w:r>
            <w:proofErr w:type="spellEnd"/>
            <w:r w:rsidRPr="009A6CA1">
              <w:rPr>
                <w:color w:val="002060"/>
                <w:sz w:val="16"/>
                <w:szCs w:val="16"/>
              </w:rPr>
              <w:t xml:space="preserve"> incorporó 49 nuevos miembros (proveedores, usuarios y colaboradores) y 167 nuevos registros en la base de datos:</w:t>
            </w:r>
          </w:p>
          <w:p w:rsidR="00E80502" w:rsidRPr="009A6CA1" w:rsidRDefault="00E80502" w:rsidP="00E80502">
            <w:pPr>
              <w:widowControl w:val="0"/>
              <w:numPr>
                <w:ilvl w:val="0"/>
                <w:numId w:val="83"/>
              </w:numPr>
              <w:ind w:left="278" w:hanging="278"/>
              <w:rPr>
                <w:color w:val="002060"/>
                <w:sz w:val="16"/>
                <w:szCs w:val="16"/>
              </w:rPr>
            </w:pPr>
            <w:r w:rsidRPr="009A6CA1">
              <w:rPr>
                <w:color w:val="002060"/>
                <w:sz w:val="16"/>
                <w:szCs w:val="16"/>
              </w:rPr>
              <w:t xml:space="preserve">30 nuevos miembros y 90 nuevos registros en 2012;  y  </w:t>
            </w:r>
          </w:p>
          <w:p w:rsidR="00E80502" w:rsidRPr="009A6CA1" w:rsidRDefault="00E80502" w:rsidP="00E80502">
            <w:pPr>
              <w:widowControl w:val="0"/>
              <w:numPr>
                <w:ilvl w:val="0"/>
                <w:numId w:val="83"/>
              </w:numPr>
              <w:ind w:left="278" w:hanging="278"/>
              <w:rPr>
                <w:color w:val="002060"/>
                <w:sz w:val="16"/>
                <w:szCs w:val="16"/>
              </w:rPr>
            </w:pPr>
            <w:r w:rsidRPr="009A6CA1">
              <w:rPr>
                <w:color w:val="002060"/>
                <w:sz w:val="16"/>
                <w:szCs w:val="16"/>
              </w:rPr>
              <w:t>19 nuevos miembros y 77 nuevos registros en 2013,</w:t>
            </w:r>
          </w:p>
          <w:p w:rsidR="00E80502" w:rsidRPr="009A6CA1" w:rsidRDefault="00E80502" w:rsidP="00DC1333">
            <w:pPr>
              <w:widowControl w:val="0"/>
              <w:rPr>
                <w:color w:val="002060"/>
                <w:sz w:val="16"/>
                <w:szCs w:val="16"/>
              </w:rPr>
            </w:pPr>
            <w:proofErr w:type="gramStart"/>
            <w:r w:rsidRPr="009A6CA1">
              <w:rPr>
                <w:color w:val="002060"/>
                <w:sz w:val="16"/>
                <w:szCs w:val="16"/>
              </w:rPr>
              <w:t>lo</w:t>
            </w:r>
            <w:proofErr w:type="gramEnd"/>
            <w:r w:rsidRPr="009A6CA1">
              <w:rPr>
                <w:color w:val="002060"/>
                <w:sz w:val="16"/>
                <w:szCs w:val="16"/>
              </w:rPr>
              <w:t xml:space="preserve"> que suma un total de 80 miembros y 247 registros.</w:t>
            </w:r>
          </w:p>
          <w:p w:rsidR="00E80502" w:rsidRPr="009A6CA1" w:rsidRDefault="00E80502" w:rsidP="00DC1333">
            <w:pPr>
              <w:widowControl w:val="0"/>
              <w:rPr>
                <w:sz w:val="16"/>
                <w:szCs w:val="16"/>
              </w:rPr>
            </w:pPr>
            <w:r w:rsidRPr="009A6CA1">
              <w:rPr>
                <w:color w:val="002060"/>
                <w:sz w:val="16"/>
                <w:szCs w:val="16"/>
              </w:rPr>
              <w:br/>
            </w:r>
            <w:r w:rsidRPr="009A6CA1">
              <w:rPr>
                <w:i/>
                <w:iCs/>
                <w:color w:val="002060"/>
                <w:sz w:val="16"/>
                <w:szCs w:val="16"/>
              </w:rPr>
              <w:t>Referencia original en el</w:t>
            </w:r>
            <w:r w:rsidRPr="009A6CA1">
              <w:rPr>
                <w:i/>
                <w:iCs/>
                <w:color w:val="002060"/>
                <w:sz w:val="16"/>
                <w:szCs w:val="16"/>
              </w:rPr>
              <w:br/>
              <w:t>presupuesto de 2014/15</w:t>
            </w:r>
            <w:r w:rsidRPr="009A6CA1">
              <w:rPr>
                <w:i/>
                <w:color w:val="002060"/>
                <w:sz w:val="16"/>
                <w:szCs w:val="16"/>
              </w:rPr>
              <w:t>:</w:t>
            </w:r>
            <w:r w:rsidRPr="009A6CA1">
              <w:rPr>
                <w:color w:val="002060"/>
                <w:sz w:val="16"/>
                <w:szCs w:val="16"/>
              </w:rPr>
              <w:t xml:space="preserve">  67 miembros; 16 de países en desarrollo</w:t>
            </w:r>
          </w:p>
        </w:tc>
        <w:tc>
          <w:tcPr>
            <w:tcW w:w="605" w:type="pct"/>
            <w:tcBorders>
              <w:top w:val="nil"/>
              <w:bottom w:val="single" w:sz="4" w:space="0" w:color="auto"/>
            </w:tcBorders>
            <w:shd w:val="clear" w:color="auto" w:fill="auto"/>
            <w:tcMar>
              <w:top w:w="110" w:type="dxa"/>
            </w:tcMar>
          </w:tcPr>
          <w:p w:rsidR="00E80502" w:rsidRPr="009A6CA1" w:rsidRDefault="00E80502" w:rsidP="00DC1333">
            <w:pPr>
              <w:widowControl w:val="0"/>
              <w:rPr>
                <w:sz w:val="16"/>
                <w:szCs w:val="16"/>
              </w:rPr>
            </w:pPr>
            <w:r w:rsidRPr="009A6CA1">
              <w:rPr>
                <w:sz w:val="16"/>
                <w:szCs w:val="16"/>
              </w:rPr>
              <w:t>15 (de los que al menos 5 proceden de países en desarrollo y PMA).</w:t>
            </w:r>
          </w:p>
        </w:tc>
        <w:tc>
          <w:tcPr>
            <w:tcW w:w="1295" w:type="pct"/>
            <w:gridSpan w:val="4"/>
            <w:tcBorders>
              <w:top w:val="nil"/>
              <w:bottom w:val="single" w:sz="4" w:space="0" w:color="auto"/>
            </w:tcBorders>
            <w:shd w:val="clear" w:color="auto" w:fill="FFFFFF"/>
            <w:tcMar>
              <w:top w:w="110" w:type="dxa"/>
            </w:tcMar>
          </w:tcPr>
          <w:p w:rsidR="00E80502" w:rsidRPr="009A6CA1" w:rsidRDefault="00E80502" w:rsidP="00DC1333">
            <w:pPr>
              <w:widowControl w:val="0"/>
              <w:rPr>
                <w:sz w:val="16"/>
                <w:szCs w:val="16"/>
                <w:lang w:bidi="th-TH"/>
              </w:rPr>
            </w:pPr>
            <w:r w:rsidRPr="009A6CA1">
              <w:rPr>
                <w:sz w:val="16"/>
                <w:szCs w:val="16"/>
                <w:lang w:bidi="th-TH"/>
              </w:rPr>
              <w:t>20 nuevos miembros (de los que 6 proceden de países en desarrollo y PMA)</w:t>
            </w:r>
          </w:p>
          <w:p w:rsidR="00E80502" w:rsidRPr="009A6CA1" w:rsidRDefault="00E80502" w:rsidP="00DC1333">
            <w:pPr>
              <w:widowControl w:val="0"/>
              <w:rPr>
                <w:sz w:val="16"/>
                <w:szCs w:val="16"/>
                <w:lang w:bidi="th-TH"/>
              </w:rPr>
            </w:pPr>
            <w:r w:rsidRPr="009A6CA1">
              <w:rPr>
                <w:sz w:val="16"/>
                <w:szCs w:val="16"/>
                <w:lang w:bidi="th-TH"/>
              </w:rPr>
              <w:t>100 miembros en total (de los que 22 proceden de países en desarrollo y PMA)</w:t>
            </w:r>
          </w:p>
          <w:p w:rsidR="00E80502" w:rsidRPr="009A6CA1" w:rsidRDefault="00E80502" w:rsidP="00DC1333">
            <w:pPr>
              <w:widowControl w:val="0"/>
              <w:rPr>
                <w:sz w:val="16"/>
                <w:szCs w:val="16"/>
                <w:lang w:bidi="th-TH"/>
              </w:rPr>
            </w:pPr>
          </w:p>
          <w:p w:rsidR="00E80502" w:rsidRPr="009A6CA1" w:rsidRDefault="00E80502" w:rsidP="00DC1333">
            <w:pPr>
              <w:widowControl w:val="0"/>
              <w:rPr>
                <w:sz w:val="16"/>
                <w:szCs w:val="16"/>
                <w:lang w:bidi="th-TH"/>
              </w:rPr>
            </w:pPr>
          </w:p>
          <w:p w:rsidR="00E80502" w:rsidRPr="009A6CA1" w:rsidRDefault="00E80502" w:rsidP="00DC1333">
            <w:pPr>
              <w:widowControl w:val="0"/>
              <w:rPr>
                <w:sz w:val="16"/>
                <w:szCs w:val="16"/>
                <w:lang w:bidi="th-TH"/>
              </w:rPr>
            </w:pPr>
          </w:p>
          <w:p w:rsidR="00E80502" w:rsidRPr="009A6CA1" w:rsidRDefault="00E80502" w:rsidP="00DC1333">
            <w:pPr>
              <w:widowControl w:val="0"/>
              <w:rPr>
                <w:sz w:val="16"/>
                <w:szCs w:val="16"/>
                <w:lang w:bidi="th-TH"/>
              </w:rPr>
            </w:pPr>
          </w:p>
          <w:p w:rsidR="00E80502" w:rsidRPr="009A6CA1" w:rsidRDefault="00E80502" w:rsidP="00DC1333">
            <w:pPr>
              <w:widowControl w:val="0"/>
              <w:rPr>
                <w:sz w:val="16"/>
                <w:szCs w:val="16"/>
              </w:rPr>
            </w:pPr>
          </w:p>
        </w:tc>
        <w:tc>
          <w:tcPr>
            <w:tcW w:w="680" w:type="pct"/>
            <w:gridSpan w:val="3"/>
            <w:tcBorders>
              <w:top w:val="nil"/>
              <w:bottom w:val="single" w:sz="4" w:space="0" w:color="auto"/>
            </w:tcBorders>
            <w:shd w:val="clear" w:color="auto" w:fill="auto"/>
            <w:tcMar>
              <w:top w:w="110" w:type="dxa"/>
            </w:tcMar>
          </w:tcPr>
          <w:p w:rsidR="00E80502" w:rsidRPr="009A6CA1" w:rsidRDefault="00E80502" w:rsidP="00DC1333">
            <w:pPr>
              <w:widowControl w:val="0"/>
              <w:jc w:val="center"/>
              <w:rPr>
                <w:b/>
                <w:bCs/>
                <w:color w:val="808080"/>
                <w:sz w:val="16"/>
                <w:szCs w:val="16"/>
              </w:rPr>
            </w:pPr>
            <w:r w:rsidRPr="009A6CA1">
              <w:rPr>
                <w:b/>
                <w:bCs/>
                <w:color w:val="008000"/>
                <w:sz w:val="16"/>
                <w:szCs w:val="16"/>
              </w:rPr>
              <w:t>Plenamente logrado</w:t>
            </w:r>
          </w:p>
        </w:tc>
      </w:tr>
      <w:tr w:rsidR="00E80502" w:rsidRPr="009A6CA1" w:rsidTr="00072E16">
        <w:trPr>
          <w:cantSplit/>
        </w:trPr>
        <w:tc>
          <w:tcPr>
            <w:tcW w:w="1154" w:type="pct"/>
            <w:gridSpan w:val="3"/>
            <w:tcBorders>
              <w:top w:val="single" w:sz="4" w:space="0" w:color="auto"/>
              <w:bottom w:val="nil"/>
            </w:tcBorders>
            <w:shd w:val="clear" w:color="auto" w:fill="auto"/>
          </w:tcPr>
          <w:p w:rsidR="00E80502" w:rsidRPr="009A6CA1" w:rsidRDefault="00E80502" w:rsidP="00DC1333">
            <w:pPr>
              <w:widowControl w:val="0"/>
              <w:rPr>
                <w:sz w:val="16"/>
                <w:szCs w:val="16"/>
              </w:rPr>
            </w:pPr>
            <w:r w:rsidRPr="009A6CA1">
              <w:rPr>
                <w:sz w:val="16"/>
                <w:szCs w:val="16"/>
              </w:rPr>
              <w:lastRenderedPageBreak/>
              <w:t xml:space="preserve">Aumento de las contribuciones a la base de datos de </w:t>
            </w:r>
            <w:r w:rsidRPr="009A6CA1">
              <w:rPr>
                <w:i/>
                <w:sz w:val="16"/>
                <w:szCs w:val="16"/>
              </w:rPr>
              <w:t xml:space="preserve">WIPO </w:t>
            </w:r>
            <w:proofErr w:type="spellStart"/>
            <w:r w:rsidRPr="009A6CA1">
              <w:rPr>
                <w:i/>
                <w:sz w:val="16"/>
                <w:szCs w:val="16"/>
              </w:rPr>
              <w:t>Re:Search</w:t>
            </w:r>
            <w:proofErr w:type="spellEnd"/>
          </w:p>
        </w:tc>
        <w:tc>
          <w:tcPr>
            <w:tcW w:w="1267" w:type="pct"/>
            <w:gridSpan w:val="3"/>
            <w:tcBorders>
              <w:top w:val="single" w:sz="4" w:space="0" w:color="auto"/>
              <w:bottom w:val="nil"/>
            </w:tcBorders>
            <w:shd w:val="clear" w:color="auto" w:fill="auto"/>
          </w:tcPr>
          <w:p w:rsidR="00E80502" w:rsidRPr="009A6CA1" w:rsidRDefault="00E80502" w:rsidP="00DC1333">
            <w:pPr>
              <w:widowControl w:val="0"/>
              <w:rPr>
                <w:color w:val="002060"/>
                <w:sz w:val="16"/>
                <w:szCs w:val="16"/>
              </w:rPr>
            </w:pPr>
            <w:r w:rsidRPr="009A6CA1">
              <w:rPr>
                <w:i/>
                <w:color w:val="002060"/>
                <w:sz w:val="16"/>
                <w:szCs w:val="16"/>
              </w:rPr>
              <w:t>Referencia actualizada a fines de 2013:</w:t>
            </w:r>
            <w:r w:rsidRPr="009A6CA1">
              <w:t xml:space="preserve"> </w:t>
            </w:r>
            <w:r w:rsidRPr="009A6CA1">
              <w:rPr>
                <w:i/>
                <w:color w:val="002060"/>
                <w:sz w:val="16"/>
                <w:szCs w:val="16"/>
              </w:rPr>
              <w:t xml:space="preserve">WIPO </w:t>
            </w:r>
            <w:proofErr w:type="spellStart"/>
            <w:r w:rsidRPr="009A6CA1">
              <w:rPr>
                <w:i/>
                <w:color w:val="002060"/>
                <w:sz w:val="16"/>
                <w:szCs w:val="16"/>
              </w:rPr>
              <w:t>Re:Search</w:t>
            </w:r>
            <w:proofErr w:type="spellEnd"/>
            <w:r w:rsidRPr="009A6CA1">
              <w:rPr>
                <w:color w:val="002060"/>
                <w:sz w:val="16"/>
                <w:szCs w:val="16"/>
              </w:rPr>
              <w:t xml:space="preserve"> había facilitado 44 colaboraciones de investigación (11 en 2012 y 33 en 2013</w:t>
            </w:r>
            <w:r w:rsidRPr="009A6CA1">
              <w:rPr>
                <w:i/>
                <w:color w:val="002060"/>
                <w:sz w:val="16"/>
                <w:szCs w:val="16"/>
              </w:rPr>
              <w:t xml:space="preserve">)  </w:t>
            </w:r>
            <w:r w:rsidRPr="009A6CA1">
              <w:rPr>
                <w:color w:val="002060"/>
                <w:sz w:val="16"/>
                <w:szCs w:val="16"/>
              </w:rPr>
              <w:t xml:space="preserve"> </w:t>
            </w:r>
          </w:p>
          <w:p w:rsidR="00E80502" w:rsidRPr="009A6CA1" w:rsidRDefault="00E80502" w:rsidP="00DC1333">
            <w:pPr>
              <w:widowControl w:val="0"/>
              <w:rPr>
                <w:i/>
                <w:color w:val="002060"/>
                <w:sz w:val="8"/>
                <w:szCs w:val="8"/>
              </w:rPr>
            </w:pPr>
            <w:r w:rsidRPr="009A6CA1">
              <w:rPr>
                <w:color w:val="993300"/>
                <w:sz w:val="16"/>
                <w:szCs w:val="16"/>
              </w:rPr>
              <w:br/>
            </w:r>
          </w:p>
          <w:p w:rsidR="00E80502" w:rsidRPr="009A6CA1" w:rsidRDefault="00E80502" w:rsidP="00DC1333">
            <w:pPr>
              <w:widowControl w:val="0"/>
              <w:rPr>
                <w:i/>
              </w:rPr>
            </w:pPr>
            <w:r w:rsidRPr="009A6CA1">
              <w:rPr>
                <w:i/>
                <w:iCs/>
                <w:sz w:val="16"/>
                <w:szCs w:val="16"/>
              </w:rPr>
              <w:t>Referencia original en el</w:t>
            </w:r>
            <w:r w:rsidRPr="009A6CA1">
              <w:rPr>
                <w:i/>
                <w:iCs/>
                <w:sz w:val="16"/>
                <w:szCs w:val="16"/>
              </w:rPr>
              <w:br/>
              <w:t>presupuesto de 2014/15</w:t>
            </w:r>
            <w:r w:rsidRPr="009A6CA1">
              <w:rPr>
                <w:i/>
                <w:sz w:val="16"/>
                <w:szCs w:val="16"/>
              </w:rPr>
              <w:t>:</w:t>
            </w:r>
            <w:r w:rsidRPr="009A6CA1">
              <w:rPr>
                <w:sz w:val="16"/>
                <w:szCs w:val="16"/>
              </w:rPr>
              <w:t xml:space="preserve">  200</w:t>
            </w:r>
          </w:p>
          <w:p w:rsidR="00E80502" w:rsidRPr="009A6CA1" w:rsidRDefault="00E80502" w:rsidP="00DC1333">
            <w:pPr>
              <w:widowControl w:val="0"/>
              <w:rPr>
                <w:sz w:val="16"/>
                <w:szCs w:val="16"/>
              </w:rPr>
            </w:pPr>
          </w:p>
        </w:tc>
        <w:tc>
          <w:tcPr>
            <w:tcW w:w="605" w:type="pct"/>
            <w:tcBorders>
              <w:top w:val="single" w:sz="4" w:space="0" w:color="auto"/>
              <w:bottom w:val="nil"/>
            </w:tcBorders>
            <w:shd w:val="clear" w:color="auto" w:fill="auto"/>
            <w:tcMar>
              <w:top w:w="110" w:type="dxa"/>
            </w:tcMar>
          </w:tcPr>
          <w:p w:rsidR="00E80502" w:rsidRPr="009A6CA1" w:rsidRDefault="00E80502" w:rsidP="00DC1333">
            <w:pPr>
              <w:widowControl w:val="0"/>
              <w:rPr>
                <w:sz w:val="16"/>
                <w:szCs w:val="16"/>
              </w:rPr>
            </w:pPr>
            <w:r w:rsidRPr="009A6CA1">
              <w:rPr>
                <w:sz w:val="16"/>
                <w:szCs w:val="16"/>
              </w:rPr>
              <w:t>50%</w:t>
            </w:r>
          </w:p>
        </w:tc>
        <w:tc>
          <w:tcPr>
            <w:tcW w:w="1295" w:type="pct"/>
            <w:gridSpan w:val="4"/>
            <w:tcBorders>
              <w:top w:val="single" w:sz="4" w:space="0" w:color="auto"/>
              <w:bottom w:val="nil"/>
            </w:tcBorders>
            <w:shd w:val="clear" w:color="auto" w:fill="FFFFFF"/>
            <w:tcMar>
              <w:top w:w="110" w:type="dxa"/>
            </w:tcMar>
          </w:tcPr>
          <w:p w:rsidR="00E80502" w:rsidRPr="009A6CA1" w:rsidRDefault="00E80502" w:rsidP="00DC1333">
            <w:pPr>
              <w:widowControl w:val="0"/>
              <w:rPr>
                <w:sz w:val="16"/>
                <w:szCs w:val="16"/>
                <w:lang w:bidi="th-TH"/>
              </w:rPr>
            </w:pPr>
            <w:r w:rsidRPr="009A6CA1">
              <w:rPr>
                <w:sz w:val="16"/>
                <w:szCs w:val="16"/>
                <w:lang w:bidi="th-TH"/>
              </w:rPr>
              <w:t>193 contribuciones a finales de 2015 (-22% en comparación con las 247 de finales de 2013)</w:t>
            </w:r>
          </w:p>
          <w:p w:rsidR="00E80502" w:rsidRPr="009A6CA1" w:rsidRDefault="00E80502" w:rsidP="00DC1333">
            <w:pPr>
              <w:widowControl w:val="0"/>
              <w:rPr>
                <w:sz w:val="16"/>
                <w:szCs w:val="16"/>
                <w:lang w:bidi="th-TH"/>
              </w:rPr>
            </w:pPr>
          </w:p>
          <w:p w:rsidR="00E80502" w:rsidRPr="009A6CA1" w:rsidRDefault="00E80502" w:rsidP="00DC1333">
            <w:pPr>
              <w:widowControl w:val="0"/>
              <w:rPr>
                <w:sz w:val="16"/>
                <w:szCs w:val="16"/>
                <w:lang w:bidi="th-TH"/>
              </w:rPr>
            </w:pPr>
            <w:r w:rsidRPr="009A6CA1">
              <w:rPr>
                <w:sz w:val="16"/>
                <w:szCs w:val="16"/>
                <w:lang w:bidi="th-TH"/>
              </w:rPr>
              <w:t>La disminución del número de registros en se debió a la salida de dos miembros</w:t>
            </w:r>
          </w:p>
          <w:p w:rsidR="00E80502" w:rsidRPr="009A6CA1" w:rsidRDefault="00E80502" w:rsidP="00DC1333">
            <w:pPr>
              <w:widowControl w:val="0"/>
              <w:rPr>
                <w:sz w:val="16"/>
                <w:szCs w:val="16"/>
                <w:lang w:bidi="th-TH"/>
              </w:rPr>
            </w:pPr>
          </w:p>
          <w:p w:rsidR="00E80502" w:rsidRPr="009A6CA1" w:rsidRDefault="00E80502" w:rsidP="00DC1333">
            <w:pPr>
              <w:widowControl w:val="0"/>
              <w:rPr>
                <w:sz w:val="16"/>
                <w:szCs w:val="16"/>
              </w:rPr>
            </w:pPr>
          </w:p>
        </w:tc>
        <w:tc>
          <w:tcPr>
            <w:tcW w:w="680" w:type="pct"/>
            <w:gridSpan w:val="3"/>
            <w:tcBorders>
              <w:top w:val="single" w:sz="4" w:space="0" w:color="auto"/>
              <w:bottom w:val="nil"/>
            </w:tcBorders>
            <w:shd w:val="clear" w:color="auto" w:fill="auto"/>
            <w:tcMar>
              <w:top w:w="110" w:type="dxa"/>
            </w:tcMar>
          </w:tcPr>
          <w:p w:rsidR="00E80502" w:rsidRPr="009A6CA1" w:rsidRDefault="00E80502" w:rsidP="00DC1333">
            <w:pPr>
              <w:widowControl w:val="0"/>
              <w:jc w:val="center"/>
              <w:rPr>
                <w:b/>
                <w:bCs/>
                <w:color w:val="FF0000"/>
                <w:sz w:val="16"/>
                <w:szCs w:val="16"/>
              </w:rPr>
            </w:pPr>
            <w:r w:rsidRPr="009A6CA1">
              <w:rPr>
                <w:b/>
                <w:bCs/>
                <w:color w:val="FF0000"/>
                <w:sz w:val="16"/>
                <w:szCs w:val="16"/>
              </w:rPr>
              <w:t>No logrado</w:t>
            </w:r>
          </w:p>
        </w:tc>
      </w:tr>
      <w:tr w:rsidR="00E80502" w:rsidRPr="009A6CA1" w:rsidTr="00072E16">
        <w:trPr>
          <w:cantSplit/>
        </w:trPr>
        <w:tc>
          <w:tcPr>
            <w:tcW w:w="1154" w:type="pct"/>
            <w:gridSpan w:val="3"/>
            <w:tcBorders>
              <w:top w:val="nil"/>
              <w:bottom w:val="nil"/>
            </w:tcBorders>
            <w:shd w:val="clear" w:color="auto" w:fill="auto"/>
          </w:tcPr>
          <w:p w:rsidR="00E80502" w:rsidRPr="009A6CA1" w:rsidRDefault="00E80502" w:rsidP="00DC1333">
            <w:pPr>
              <w:widowControl w:val="0"/>
              <w:rPr>
                <w:sz w:val="16"/>
                <w:szCs w:val="16"/>
              </w:rPr>
            </w:pPr>
            <w:r w:rsidRPr="009A6CA1">
              <w:rPr>
                <w:sz w:val="16"/>
                <w:szCs w:val="16"/>
              </w:rPr>
              <w:t xml:space="preserve">Aumento del número de acuerdos suscritos en el marco de </w:t>
            </w:r>
            <w:r w:rsidRPr="009A6CA1">
              <w:rPr>
                <w:i/>
                <w:sz w:val="16"/>
                <w:szCs w:val="16"/>
              </w:rPr>
              <w:t xml:space="preserve">WIPO </w:t>
            </w:r>
            <w:proofErr w:type="spellStart"/>
            <w:r w:rsidRPr="009A6CA1">
              <w:rPr>
                <w:i/>
                <w:sz w:val="16"/>
                <w:szCs w:val="16"/>
              </w:rPr>
              <w:t>Re:Search</w:t>
            </w:r>
            <w:proofErr w:type="spellEnd"/>
            <w:r w:rsidRPr="009A6CA1">
              <w:rPr>
                <w:sz w:val="16"/>
                <w:szCs w:val="16"/>
              </w:rPr>
              <w:t xml:space="preserve"> que conducen a nuevas actividades de I+D, o a un aceleramiento de las mismas, en enfermedades tropicales desatendidas, paludismo y tuberculosis</w:t>
            </w:r>
          </w:p>
        </w:tc>
        <w:tc>
          <w:tcPr>
            <w:tcW w:w="1267" w:type="pct"/>
            <w:gridSpan w:val="3"/>
            <w:tcBorders>
              <w:top w:val="nil"/>
              <w:bottom w:val="nil"/>
            </w:tcBorders>
            <w:shd w:val="clear" w:color="auto" w:fill="auto"/>
          </w:tcPr>
          <w:p w:rsidR="00E80502" w:rsidRPr="009A6CA1" w:rsidRDefault="00E80502" w:rsidP="00DC1333">
            <w:pPr>
              <w:widowControl w:val="0"/>
              <w:rPr>
                <w:i/>
                <w:color w:val="002060"/>
                <w:sz w:val="16"/>
                <w:szCs w:val="16"/>
              </w:rPr>
            </w:pPr>
            <w:r w:rsidRPr="009A6CA1">
              <w:rPr>
                <w:i/>
                <w:color w:val="002060"/>
                <w:sz w:val="16"/>
                <w:szCs w:val="16"/>
              </w:rPr>
              <w:t xml:space="preserve">Referencia actualizada a fines de 2013: </w:t>
            </w:r>
            <w:r w:rsidRPr="009A6CA1">
              <w:rPr>
                <w:color w:val="002060"/>
                <w:sz w:val="16"/>
                <w:szCs w:val="16"/>
              </w:rPr>
              <w:t>44</w:t>
            </w:r>
          </w:p>
          <w:p w:rsidR="00E80502" w:rsidRPr="009A6CA1" w:rsidRDefault="00E80502" w:rsidP="00DC1333">
            <w:pPr>
              <w:widowControl w:val="0"/>
              <w:rPr>
                <w:i/>
                <w:color w:val="002060"/>
                <w:sz w:val="8"/>
                <w:szCs w:val="8"/>
              </w:rPr>
            </w:pPr>
            <w:r w:rsidRPr="009A6CA1">
              <w:rPr>
                <w:color w:val="993300"/>
                <w:sz w:val="16"/>
                <w:szCs w:val="16"/>
              </w:rPr>
              <w:br/>
            </w:r>
          </w:p>
          <w:p w:rsidR="00E80502" w:rsidRPr="009A6CA1" w:rsidRDefault="00E80502" w:rsidP="00DC1333">
            <w:pPr>
              <w:widowControl w:val="0"/>
              <w:rPr>
                <w:rFonts w:asciiTheme="minorHAnsi" w:eastAsiaTheme="minorHAnsi" w:hAnsiTheme="minorHAnsi" w:cstheme="minorBidi"/>
                <w:i/>
                <w:szCs w:val="22"/>
              </w:rPr>
            </w:pPr>
            <w:r w:rsidRPr="009A6CA1">
              <w:rPr>
                <w:i/>
                <w:iCs/>
                <w:sz w:val="16"/>
                <w:szCs w:val="16"/>
              </w:rPr>
              <w:t>Referencia original en el</w:t>
            </w:r>
            <w:r w:rsidRPr="009A6CA1">
              <w:rPr>
                <w:i/>
                <w:iCs/>
                <w:sz w:val="16"/>
                <w:szCs w:val="16"/>
              </w:rPr>
              <w:br/>
              <w:t>presupuesto de 2014/15</w:t>
            </w:r>
            <w:r w:rsidRPr="009A6CA1">
              <w:rPr>
                <w:i/>
                <w:sz w:val="16"/>
                <w:szCs w:val="16"/>
              </w:rPr>
              <w:t>:</w:t>
            </w:r>
            <w:r w:rsidRPr="009A6CA1">
              <w:rPr>
                <w:sz w:val="16"/>
                <w:szCs w:val="16"/>
              </w:rPr>
              <w:t xml:space="preserve">  16</w:t>
            </w:r>
          </w:p>
        </w:tc>
        <w:tc>
          <w:tcPr>
            <w:tcW w:w="605" w:type="pct"/>
            <w:tcBorders>
              <w:top w:val="nil"/>
              <w:bottom w:val="nil"/>
            </w:tcBorders>
            <w:shd w:val="clear" w:color="auto" w:fill="auto"/>
            <w:tcMar>
              <w:top w:w="110" w:type="dxa"/>
            </w:tcMar>
          </w:tcPr>
          <w:p w:rsidR="00E80502" w:rsidRPr="009A6CA1" w:rsidRDefault="00E80502" w:rsidP="00DC1333">
            <w:pPr>
              <w:widowControl w:val="0"/>
              <w:rPr>
                <w:sz w:val="16"/>
                <w:szCs w:val="16"/>
              </w:rPr>
            </w:pPr>
            <w:r w:rsidRPr="009A6CA1">
              <w:rPr>
                <w:sz w:val="16"/>
                <w:szCs w:val="16"/>
              </w:rPr>
              <w:t>20</w:t>
            </w:r>
          </w:p>
        </w:tc>
        <w:tc>
          <w:tcPr>
            <w:tcW w:w="1295" w:type="pct"/>
            <w:gridSpan w:val="4"/>
            <w:tcBorders>
              <w:top w:val="nil"/>
              <w:bottom w:val="nil"/>
            </w:tcBorders>
            <w:shd w:val="clear" w:color="auto" w:fill="FFFFFF"/>
            <w:tcMar>
              <w:top w:w="110" w:type="dxa"/>
            </w:tcMar>
          </w:tcPr>
          <w:p w:rsidR="00E80502" w:rsidRPr="009A6CA1" w:rsidRDefault="00E80502" w:rsidP="00DC1333">
            <w:pPr>
              <w:widowControl w:val="0"/>
              <w:rPr>
                <w:sz w:val="16"/>
                <w:szCs w:val="16"/>
                <w:lang w:bidi="th-TH"/>
              </w:rPr>
            </w:pPr>
            <w:r w:rsidRPr="009A6CA1">
              <w:rPr>
                <w:sz w:val="16"/>
                <w:szCs w:val="16"/>
                <w:lang w:bidi="th-TH"/>
              </w:rPr>
              <w:t>52 nuevos acuerdos de colaboración (96 acuerdos en total)</w:t>
            </w:r>
          </w:p>
        </w:tc>
        <w:tc>
          <w:tcPr>
            <w:tcW w:w="680" w:type="pct"/>
            <w:gridSpan w:val="3"/>
            <w:tcBorders>
              <w:top w:val="nil"/>
              <w:bottom w:val="nil"/>
            </w:tcBorders>
            <w:shd w:val="clear" w:color="auto" w:fill="auto"/>
            <w:tcMar>
              <w:top w:w="110" w:type="dxa"/>
            </w:tcMar>
          </w:tcPr>
          <w:p w:rsidR="00E80502" w:rsidRPr="009A6CA1" w:rsidRDefault="00E80502" w:rsidP="00DC1333">
            <w:pPr>
              <w:widowControl w:val="0"/>
              <w:ind w:right="-107"/>
              <w:jc w:val="center"/>
              <w:rPr>
                <w:b/>
                <w:bCs/>
                <w:color w:val="008000"/>
                <w:sz w:val="16"/>
                <w:szCs w:val="16"/>
              </w:rPr>
            </w:pPr>
            <w:r w:rsidRPr="009A6CA1">
              <w:rPr>
                <w:b/>
                <w:bCs/>
                <w:color w:val="008000"/>
                <w:sz w:val="16"/>
                <w:szCs w:val="16"/>
              </w:rPr>
              <w:t>Plenamente logrado</w:t>
            </w:r>
          </w:p>
        </w:tc>
      </w:tr>
      <w:tr w:rsidR="00E80502" w:rsidRPr="009A6CA1" w:rsidTr="00DC1333">
        <w:trPr>
          <w:cantSplit/>
          <w:trHeight w:val="421"/>
        </w:trPr>
        <w:tc>
          <w:tcPr>
            <w:tcW w:w="1154" w:type="pct"/>
            <w:gridSpan w:val="3"/>
            <w:tcBorders>
              <w:top w:val="nil"/>
              <w:bottom w:val="nil"/>
            </w:tcBorders>
            <w:shd w:val="clear" w:color="auto" w:fill="auto"/>
          </w:tcPr>
          <w:p w:rsidR="00E80502" w:rsidRPr="009A6CA1" w:rsidRDefault="00E80502" w:rsidP="00DC1333">
            <w:pPr>
              <w:widowControl w:val="0"/>
              <w:rPr>
                <w:sz w:val="16"/>
                <w:szCs w:val="16"/>
              </w:rPr>
            </w:pPr>
            <w:r w:rsidRPr="009A6CA1">
              <w:rPr>
                <w:sz w:val="16"/>
                <w:szCs w:val="16"/>
              </w:rPr>
              <w:t xml:space="preserve">Número de miembros de </w:t>
            </w:r>
            <w:r w:rsidRPr="009A6CA1">
              <w:rPr>
                <w:i/>
                <w:sz w:val="16"/>
                <w:szCs w:val="16"/>
              </w:rPr>
              <w:t>WIPO GREEN</w:t>
            </w:r>
          </w:p>
        </w:tc>
        <w:tc>
          <w:tcPr>
            <w:tcW w:w="1267" w:type="pct"/>
            <w:gridSpan w:val="3"/>
            <w:tcBorders>
              <w:top w:val="nil"/>
              <w:bottom w:val="nil"/>
            </w:tcBorders>
            <w:shd w:val="clear" w:color="auto" w:fill="auto"/>
          </w:tcPr>
          <w:p w:rsidR="00E80502" w:rsidRPr="009A6CA1" w:rsidRDefault="00E80502" w:rsidP="00DC1333">
            <w:pPr>
              <w:widowControl w:val="0"/>
              <w:rPr>
                <w:color w:val="002060"/>
                <w:sz w:val="16"/>
                <w:szCs w:val="16"/>
              </w:rPr>
            </w:pPr>
            <w:r w:rsidRPr="009A6CA1">
              <w:rPr>
                <w:i/>
                <w:color w:val="002060"/>
                <w:sz w:val="16"/>
                <w:szCs w:val="16"/>
              </w:rPr>
              <w:t xml:space="preserve">Referencia actualizada a fines de 2013: </w:t>
            </w:r>
            <w:r w:rsidRPr="009A6CA1">
              <w:rPr>
                <w:color w:val="002060"/>
                <w:sz w:val="16"/>
                <w:szCs w:val="16"/>
              </w:rPr>
              <w:t>36 asociados, 160 usuarios, 830 aportaciones</w:t>
            </w:r>
            <w:r w:rsidRPr="009A6CA1">
              <w:rPr>
                <w:rStyle w:val="FootnoteReference"/>
                <w:color w:val="002060"/>
                <w:sz w:val="16"/>
                <w:szCs w:val="16"/>
              </w:rPr>
              <w:footnoteReference w:id="104"/>
            </w:r>
          </w:p>
          <w:p w:rsidR="00E80502" w:rsidRPr="009A6CA1" w:rsidRDefault="00E80502" w:rsidP="00DC1333">
            <w:pPr>
              <w:widowControl w:val="0"/>
              <w:rPr>
                <w:i/>
                <w:color w:val="002060"/>
                <w:sz w:val="8"/>
                <w:szCs w:val="8"/>
              </w:rPr>
            </w:pPr>
            <w:r w:rsidRPr="009A6CA1">
              <w:rPr>
                <w:color w:val="993300"/>
                <w:sz w:val="16"/>
                <w:szCs w:val="16"/>
              </w:rPr>
              <w:br/>
            </w:r>
          </w:p>
          <w:p w:rsidR="00E80502" w:rsidRPr="009A6CA1" w:rsidRDefault="00E80502" w:rsidP="00DC1333">
            <w:pPr>
              <w:widowControl w:val="0"/>
            </w:pPr>
            <w:r w:rsidRPr="009A6CA1">
              <w:rPr>
                <w:i/>
                <w:iCs/>
                <w:sz w:val="16"/>
                <w:szCs w:val="16"/>
              </w:rPr>
              <w:t>Referencia original en el</w:t>
            </w:r>
            <w:r w:rsidRPr="009A6CA1">
              <w:rPr>
                <w:i/>
                <w:iCs/>
                <w:sz w:val="16"/>
                <w:szCs w:val="16"/>
              </w:rPr>
              <w:br/>
              <w:t>presupuesto de 2014/15</w:t>
            </w:r>
            <w:r w:rsidRPr="009A6CA1">
              <w:rPr>
                <w:i/>
                <w:sz w:val="16"/>
                <w:szCs w:val="16"/>
              </w:rPr>
              <w:t xml:space="preserve">:  </w:t>
            </w:r>
            <w:r w:rsidRPr="009A6CA1">
              <w:rPr>
                <w:sz w:val="16"/>
                <w:szCs w:val="16"/>
              </w:rPr>
              <w:t>1 asociado; 48 aportaciones</w:t>
            </w:r>
          </w:p>
          <w:p w:rsidR="00E80502" w:rsidRPr="009A6CA1" w:rsidRDefault="00E80502" w:rsidP="00DC1333">
            <w:pPr>
              <w:widowControl w:val="0"/>
              <w:rPr>
                <w:i/>
                <w:color w:val="002060"/>
                <w:sz w:val="16"/>
                <w:szCs w:val="16"/>
              </w:rPr>
            </w:pPr>
          </w:p>
        </w:tc>
        <w:tc>
          <w:tcPr>
            <w:tcW w:w="605" w:type="pct"/>
            <w:tcBorders>
              <w:top w:val="nil"/>
              <w:bottom w:val="nil"/>
            </w:tcBorders>
            <w:shd w:val="clear" w:color="auto" w:fill="auto"/>
            <w:tcMar>
              <w:top w:w="110" w:type="dxa"/>
            </w:tcMar>
          </w:tcPr>
          <w:p w:rsidR="00E80502" w:rsidRPr="009A6CA1" w:rsidRDefault="00E80502" w:rsidP="00DC1333">
            <w:pPr>
              <w:widowControl w:val="0"/>
              <w:rPr>
                <w:sz w:val="16"/>
                <w:szCs w:val="16"/>
              </w:rPr>
            </w:pPr>
            <w:r w:rsidRPr="009A6CA1">
              <w:rPr>
                <w:sz w:val="16"/>
                <w:szCs w:val="16"/>
              </w:rPr>
              <w:t>10 nuevos asociados</w:t>
            </w:r>
          </w:p>
          <w:p w:rsidR="00E80502" w:rsidRPr="009A6CA1" w:rsidRDefault="00E80502" w:rsidP="00DC1333">
            <w:pPr>
              <w:widowControl w:val="0"/>
              <w:rPr>
                <w:sz w:val="16"/>
                <w:szCs w:val="16"/>
              </w:rPr>
            </w:pPr>
          </w:p>
          <w:p w:rsidR="00E80502" w:rsidRPr="009A6CA1" w:rsidRDefault="00E80502" w:rsidP="00DC1333">
            <w:pPr>
              <w:widowControl w:val="0"/>
              <w:rPr>
                <w:sz w:val="16"/>
                <w:szCs w:val="16"/>
              </w:rPr>
            </w:pPr>
            <w:r w:rsidRPr="009A6CA1">
              <w:rPr>
                <w:sz w:val="16"/>
                <w:szCs w:val="16"/>
              </w:rPr>
              <w:t>160 usuarios</w:t>
            </w:r>
          </w:p>
          <w:p w:rsidR="00E80502" w:rsidRPr="009A6CA1" w:rsidRDefault="00E80502" w:rsidP="00DC1333">
            <w:pPr>
              <w:widowControl w:val="0"/>
              <w:rPr>
                <w:sz w:val="16"/>
                <w:szCs w:val="16"/>
              </w:rPr>
            </w:pPr>
          </w:p>
          <w:p w:rsidR="00E80502" w:rsidRPr="009A6CA1" w:rsidRDefault="00E80502" w:rsidP="00DC1333">
            <w:pPr>
              <w:widowControl w:val="0"/>
              <w:rPr>
                <w:sz w:val="16"/>
                <w:szCs w:val="16"/>
              </w:rPr>
            </w:pPr>
            <w:r w:rsidRPr="009A6CA1">
              <w:rPr>
                <w:sz w:val="16"/>
                <w:szCs w:val="16"/>
              </w:rPr>
              <w:t>400 aportaciones</w:t>
            </w:r>
          </w:p>
        </w:tc>
        <w:tc>
          <w:tcPr>
            <w:tcW w:w="1295" w:type="pct"/>
            <w:gridSpan w:val="4"/>
            <w:tcBorders>
              <w:top w:val="nil"/>
              <w:bottom w:val="nil"/>
            </w:tcBorders>
            <w:shd w:val="clear" w:color="auto" w:fill="FFFFFF"/>
            <w:tcMar>
              <w:top w:w="110" w:type="dxa"/>
            </w:tcMar>
          </w:tcPr>
          <w:p w:rsidR="00E80502" w:rsidRPr="009A6CA1" w:rsidRDefault="00E80502" w:rsidP="00E80502">
            <w:pPr>
              <w:pStyle w:val="ListParagraph"/>
              <w:widowControl w:val="0"/>
              <w:numPr>
                <w:ilvl w:val="0"/>
                <w:numId w:val="84"/>
              </w:numPr>
              <w:rPr>
                <w:rFonts w:cs="Arial"/>
                <w:sz w:val="16"/>
                <w:szCs w:val="16"/>
                <w:lang w:val="es-ES" w:bidi="th-TH"/>
              </w:rPr>
            </w:pPr>
            <w:r w:rsidRPr="009A6CA1">
              <w:rPr>
                <w:rFonts w:cs="Arial"/>
                <w:sz w:val="16"/>
                <w:szCs w:val="16"/>
                <w:lang w:val="es-ES" w:bidi="th-TH"/>
              </w:rPr>
              <w:t>29 nuevos asociados (total:  65)</w:t>
            </w:r>
          </w:p>
          <w:p w:rsidR="00E80502" w:rsidRPr="009A6CA1" w:rsidRDefault="00E80502" w:rsidP="00E80502">
            <w:pPr>
              <w:pStyle w:val="ListParagraph"/>
              <w:widowControl w:val="0"/>
              <w:numPr>
                <w:ilvl w:val="0"/>
                <w:numId w:val="84"/>
              </w:numPr>
              <w:rPr>
                <w:rFonts w:cs="Arial"/>
                <w:sz w:val="16"/>
                <w:szCs w:val="16"/>
                <w:lang w:val="es-ES" w:bidi="th-TH"/>
              </w:rPr>
            </w:pPr>
            <w:r w:rsidRPr="009A6CA1">
              <w:rPr>
                <w:rFonts w:cs="Arial"/>
                <w:sz w:val="16"/>
                <w:szCs w:val="16"/>
                <w:lang w:val="es-ES" w:bidi="th-TH"/>
              </w:rPr>
              <w:t>330 nuevos usuarios (total:  490)</w:t>
            </w:r>
          </w:p>
          <w:p w:rsidR="00E80502" w:rsidRPr="009A6CA1" w:rsidRDefault="00E80502" w:rsidP="00E80502">
            <w:pPr>
              <w:pStyle w:val="ListParagraph"/>
              <w:widowControl w:val="0"/>
              <w:numPr>
                <w:ilvl w:val="0"/>
                <w:numId w:val="84"/>
              </w:numPr>
              <w:rPr>
                <w:rFonts w:cs="Arial"/>
                <w:sz w:val="16"/>
                <w:szCs w:val="16"/>
                <w:lang w:val="es-ES" w:bidi="th-TH"/>
              </w:rPr>
            </w:pPr>
            <w:r w:rsidRPr="009A6CA1">
              <w:rPr>
                <w:rFonts w:cs="Arial"/>
                <w:sz w:val="16"/>
                <w:szCs w:val="16"/>
                <w:lang w:val="es-ES" w:bidi="th-TH"/>
              </w:rPr>
              <w:t>1.351 nuevas aportaciones (total:  2.181)</w:t>
            </w:r>
            <w:r w:rsidRPr="009A6CA1">
              <w:rPr>
                <w:rStyle w:val="FootnoteReference"/>
                <w:rFonts w:cs="Arial"/>
                <w:sz w:val="16"/>
                <w:szCs w:val="16"/>
                <w:lang w:val="es-ES" w:bidi="th-TH"/>
              </w:rPr>
              <w:footnoteReference w:id="105"/>
            </w:r>
          </w:p>
        </w:tc>
        <w:tc>
          <w:tcPr>
            <w:tcW w:w="680" w:type="pct"/>
            <w:gridSpan w:val="3"/>
            <w:tcBorders>
              <w:top w:val="nil"/>
              <w:bottom w:val="nil"/>
            </w:tcBorders>
            <w:shd w:val="clear" w:color="auto" w:fill="auto"/>
            <w:tcMar>
              <w:top w:w="110" w:type="dxa"/>
            </w:tcMar>
          </w:tcPr>
          <w:p w:rsidR="00E80502" w:rsidRPr="009A6CA1" w:rsidRDefault="00E80502" w:rsidP="00DC1333">
            <w:pPr>
              <w:widowControl w:val="0"/>
              <w:ind w:right="-107"/>
              <w:jc w:val="center"/>
              <w:rPr>
                <w:b/>
                <w:bCs/>
                <w:color w:val="008000"/>
                <w:sz w:val="16"/>
                <w:szCs w:val="16"/>
              </w:rPr>
            </w:pPr>
            <w:r w:rsidRPr="009A6CA1">
              <w:rPr>
                <w:b/>
                <w:bCs/>
                <w:color w:val="008000"/>
                <w:sz w:val="16"/>
                <w:szCs w:val="16"/>
              </w:rPr>
              <w:t>Plenamente logrado</w:t>
            </w:r>
          </w:p>
          <w:p w:rsidR="00E80502" w:rsidRPr="009A6CA1" w:rsidRDefault="00E80502" w:rsidP="00DC1333">
            <w:pPr>
              <w:widowControl w:val="0"/>
              <w:ind w:right="-107"/>
              <w:jc w:val="center"/>
              <w:rPr>
                <w:b/>
                <w:bCs/>
                <w:color w:val="008000"/>
                <w:sz w:val="16"/>
                <w:szCs w:val="16"/>
              </w:rPr>
            </w:pPr>
            <w:r w:rsidRPr="009A6CA1">
              <w:rPr>
                <w:b/>
                <w:bCs/>
                <w:color w:val="008000"/>
                <w:sz w:val="16"/>
                <w:szCs w:val="16"/>
              </w:rPr>
              <w:t>Plenamente logrado</w:t>
            </w:r>
          </w:p>
          <w:p w:rsidR="00E80502" w:rsidRPr="009A6CA1" w:rsidRDefault="00E80502" w:rsidP="00DC1333">
            <w:pPr>
              <w:widowControl w:val="0"/>
              <w:ind w:right="-107"/>
              <w:jc w:val="center"/>
              <w:rPr>
                <w:b/>
                <w:bCs/>
                <w:color w:val="008000"/>
                <w:sz w:val="16"/>
                <w:szCs w:val="16"/>
              </w:rPr>
            </w:pPr>
            <w:r w:rsidRPr="009A6CA1">
              <w:rPr>
                <w:b/>
                <w:bCs/>
                <w:color w:val="008000"/>
                <w:sz w:val="16"/>
                <w:szCs w:val="16"/>
              </w:rPr>
              <w:t>Plenamente logrado</w:t>
            </w:r>
          </w:p>
        </w:tc>
      </w:tr>
      <w:tr w:rsidR="00E80502" w:rsidRPr="009A6CA1" w:rsidTr="003C4FE0">
        <w:trPr>
          <w:cantSplit/>
        </w:trPr>
        <w:tc>
          <w:tcPr>
            <w:tcW w:w="1154" w:type="pct"/>
            <w:gridSpan w:val="3"/>
            <w:tcBorders>
              <w:top w:val="nil"/>
              <w:bottom w:val="nil"/>
            </w:tcBorders>
            <w:shd w:val="clear" w:color="auto" w:fill="auto"/>
          </w:tcPr>
          <w:p w:rsidR="00E80502" w:rsidRPr="009A6CA1" w:rsidRDefault="00E80502" w:rsidP="00DC1333">
            <w:pPr>
              <w:widowControl w:val="0"/>
              <w:rPr>
                <w:sz w:val="16"/>
                <w:szCs w:val="16"/>
              </w:rPr>
            </w:pPr>
            <w:r w:rsidRPr="009A6CA1">
              <w:rPr>
                <w:sz w:val="16"/>
                <w:szCs w:val="16"/>
              </w:rPr>
              <w:t>Nº de vínculos establecidos entre WIPO GREEN y los mecanismos pertinentes, como los centros y redes de tecnología del clima (CMNUCC) y los centros de innovación climática (</w:t>
            </w:r>
            <w:proofErr w:type="spellStart"/>
            <w:r w:rsidRPr="009A6CA1">
              <w:rPr>
                <w:sz w:val="16"/>
                <w:szCs w:val="16"/>
              </w:rPr>
              <w:t>infoDev</w:t>
            </w:r>
            <w:proofErr w:type="spellEnd"/>
            <w:r w:rsidRPr="009A6CA1">
              <w:rPr>
                <w:sz w:val="16"/>
                <w:szCs w:val="16"/>
              </w:rPr>
              <w:t>)</w:t>
            </w:r>
          </w:p>
          <w:p w:rsidR="00E80502" w:rsidRPr="009A6CA1" w:rsidRDefault="00E80502" w:rsidP="00DC1333">
            <w:pPr>
              <w:widowControl w:val="0"/>
              <w:rPr>
                <w:sz w:val="16"/>
                <w:szCs w:val="16"/>
              </w:rPr>
            </w:pPr>
          </w:p>
        </w:tc>
        <w:tc>
          <w:tcPr>
            <w:tcW w:w="1267" w:type="pct"/>
            <w:gridSpan w:val="3"/>
            <w:tcBorders>
              <w:top w:val="nil"/>
              <w:bottom w:val="nil"/>
            </w:tcBorders>
            <w:shd w:val="clear" w:color="auto" w:fill="auto"/>
          </w:tcPr>
          <w:p w:rsidR="00E80502" w:rsidRPr="009A6CA1" w:rsidRDefault="00E80502" w:rsidP="00DC1333">
            <w:pPr>
              <w:widowControl w:val="0"/>
              <w:rPr>
                <w:i/>
                <w:color w:val="002060"/>
                <w:sz w:val="16"/>
                <w:szCs w:val="16"/>
              </w:rPr>
            </w:pPr>
            <w:r w:rsidRPr="009A6CA1">
              <w:rPr>
                <w:i/>
                <w:color w:val="002060"/>
                <w:sz w:val="16"/>
                <w:szCs w:val="16"/>
              </w:rPr>
              <w:t xml:space="preserve">Referencia actualizada a fines de 2013: </w:t>
            </w:r>
          </w:p>
          <w:p w:rsidR="00E80502" w:rsidRPr="000D48EE" w:rsidRDefault="00E80502" w:rsidP="00DC1333">
            <w:pPr>
              <w:widowControl w:val="0"/>
              <w:rPr>
                <w:i/>
                <w:color w:val="002060"/>
                <w:sz w:val="16"/>
                <w:szCs w:val="16"/>
                <w:lang w:val="en-US"/>
              </w:rPr>
            </w:pPr>
            <w:r w:rsidRPr="000D48EE">
              <w:rPr>
                <w:color w:val="002060"/>
                <w:sz w:val="16"/>
                <w:szCs w:val="16"/>
                <w:lang w:val="en-US"/>
              </w:rPr>
              <w:t>1 (</w:t>
            </w:r>
            <w:r w:rsidRPr="000D48EE">
              <w:rPr>
                <w:i/>
                <w:color w:val="002060"/>
                <w:sz w:val="16"/>
                <w:szCs w:val="16"/>
                <w:lang w:val="en-US"/>
              </w:rPr>
              <w:t>East Africa Climate Innovation Network</w:t>
            </w:r>
            <w:r w:rsidRPr="000D48EE">
              <w:rPr>
                <w:color w:val="002060"/>
                <w:sz w:val="16"/>
                <w:szCs w:val="16"/>
                <w:lang w:val="en-US"/>
              </w:rPr>
              <w:t xml:space="preserve"> (EACIN))</w:t>
            </w:r>
          </w:p>
          <w:p w:rsidR="00E80502" w:rsidRPr="000D48EE" w:rsidRDefault="00E80502" w:rsidP="00DC1333">
            <w:pPr>
              <w:widowControl w:val="0"/>
              <w:rPr>
                <w:i/>
                <w:color w:val="002060"/>
                <w:sz w:val="8"/>
                <w:szCs w:val="8"/>
                <w:lang w:val="en-US"/>
              </w:rPr>
            </w:pPr>
            <w:r w:rsidRPr="000D48EE">
              <w:rPr>
                <w:color w:val="993300"/>
                <w:sz w:val="16"/>
                <w:szCs w:val="16"/>
                <w:lang w:val="en-US"/>
              </w:rPr>
              <w:br/>
            </w:r>
          </w:p>
          <w:p w:rsidR="00E80502" w:rsidRPr="009A6CA1" w:rsidRDefault="00E80502" w:rsidP="00DC1333">
            <w:pPr>
              <w:widowControl w:val="0"/>
            </w:pPr>
            <w:r w:rsidRPr="009A6CA1">
              <w:rPr>
                <w:i/>
                <w:iCs/>
                <w:sz w:val="16"/>
                <w:szCs w:val="16"/>
              </w:rPr>
              <w:t>Referencia original en el presupuesto de 2014/15</w:t>
            </w:r>
            <w:r w:rsidRPr="009A6CA1">
              <w:rPr>
                <w:i/>
                <w:sz w:val="16"/>
                <w:szCs w:val="16"/>
              </w:rPr>
              <w:t>:</w:t>
            </w:r>
            <w:r w:rsidRPr="009A6CA1">
              <w:t xml:space="preserve"> </w:t>
            </w:r>
            <w:r w:rsidRPr="009A6CA1">
              <w:rPr>
                <w:sz w:val="16"/>
                <w:szCs w:val="16"/>
              </w:rPr>
              <w:t xml:space="preserve">0 (cero)  </w:t>
            </w:r>
          </w:p>
          <w:p w:rsidR="00E80502" w:rsidRPr="009A6CA1" w:rsidRDefault="00E80502" w:rsidP="00DC1333">
            <w:pPr>
              <w:widowControl w:val="0"/>
              <w:rPr>
                <w:i/>
                <w:color w:val="002060"/>
                <w:sz w:val="16"/>
                <w:szCs w:val="16"/>
              </w:rPr>
            </w:pPr>
          </w:p>
        </w:tc>
        <w:tc>
          <w:tcPr>
            <w:tcW w:w="605" w:type="pct"/>
            <w:tcBorders>
              <w:top w:val="nil"/>
              <w:bottom w:val="nil"/>
            </w:tcBorders>
            <w:shd w:val="clear" w:color="auto" w:fill="auto"/>
            <w:tcMar>
              <w:top w:w="110" w:type="dxa"/>
            </w:tcMar>
          </w:tcPr>
          <w:p w:rsidR="00E80502" w:rsidRPr="009A6CA1" w:rsidRDefault="00E80502" w:rsidP="00DC1333">
            <w:pPr>
              <w:widowControl w:val="0"/>
              <w:rPr>
                <w:sz w:val="16"/>
                <w:szCs w:val="16"/>
              </w:rPr>
            </w:pPr>
            <w:r w:rsidRPr="009A6CA1">
              <w:rPr>
                <w:sz w:val="16"/>
                <w:szCs w:val="16"/>
              </w:rPr>
              <w:t>3</w:t>
            </w:r>
          </w:p>
          <w:p w:rsidR="00E80502" w:rsidRPr="009A6CA1" w:rsidRDefault="00E80502" w:rsidP="00DC1333">
            <w:pPr>
              <w:widowControl w:val="0"/>
              <w:rPr>
                <w:sz w:val="16"/>
                <w:szCs w:val="16"/>
              </w:rPr>
            </w:pPr>
          </w:p>
        </w:tc>
        <w:tc>
          <w:tcPr>
            <w:tcW w:w="1295" w:type="pct"/>
            <w:gridSpan w:val="4"/>
            <w:tcBorders>
              <w:top w:val="nil"/>
              <w:bottom w:val="nil"/>
            </w:tcBorders>
            <w:shd w:val="clear" w:color="auto" w:fill="FFFFFF"/>
            <w:tcMar>
              <w:top w:w="110" w:type="dxa"/>
            </w:tcMar>
          </w:tcPr>
          <w:p w:rsidR="00E80502" w:rsidRPr="009A6CA1" w:rsidRDefault="00E80502" w:rsidP="00DC1333">
            <w:pPr>
              <w:widowControl w:val="0"/>
              <w:rPr>
                <w:sz w:val="16"/>
                <w:szCs w:val="16"/>
                <w:lang w:bidi="th-TH"/>
              </w:rPr>
            </w:pPr>
            <w:r w:rsidRPr="009A6CA1">
              <w:rPr>
                <w:sz w:val="16"/>
                <w:szCs w:val="16"/>
                <w:lang w:bidi="th-TH"/>
              </w:rPr>
              <w:t xml:space="preserve">6 más en 2014/15:  </w:t>
            </w:r>
          </w:p>
          <w:p w:rsidR="00E80502" w:rsidRPr="009A6CA1" w:rsidRDefault="00E80502" w:rsidP="00E80502">
            <w:pPr>
              <w:pStyle w:val="ListParagraph"/>
              <w:numPr>
                <w:ilvl w:val="0"/>
                <w:numId w:val="86"/>
              </w:numPr>
              <w:rPr>
                <w:rFonts w:cs="Arial"/>
                <w:sz w:val="16"/>
                <w:szCs w:val="16"/>
                <w:lang w:val="es-ES" w:bidi="th-TH"/>
              </w:rPr>
            </w:pPr>
            <w:r w:rsidRPr="009A6CA1">
              <w:rPr>
                <w:sz w:val="16"/>
                <w:szCs w:val="16"/>
                <w:lang w:val="es-ES" w:bidi="th-TH"/>
              </w:rPr>
              <w:t>Centro y Red de Tecnología del Clima</w:t>
            </w:r>
          </w:p>
          <w:p w:rsidR="00E80502" w:rsidRPr="009A6CA1" w:rsidRDefault="00E80502" w:rsidP="00E80502">
            <w:pPr>
              <w:pStyle w:val="ListParagraph"/>
              <w:numPr>
                <w:ilvl w:val="0"/>
                <w:numId w:val="86"/>
              </w:numPr>
              <w:rPr>
                <w:rFonts w:cs="Arial"/>
                <w:sz w:val="16"/>
                <w:szCs w:val="16"/>
                <w:lang w:val="es-ES" w:bidi="th-TH"/>
              </w:rPr>
            </w:pPr>
            <w:proofErr w:type="spellStart"/>
            <w:r w:rsidRPr="009A6CA1">
              <w:rPr>
                <w:rFonts w:cs="Arial"/>
                <w:sz w:val="16"/>
                <w:szCs w:val="16"/>
                <w:lang w:val="es-ES" w:bidi="th-TH"/>
              </w:rPr>
              <w:t>infoDev</w:t>
            </w:r>
            <w:proofErr w:type="spellEnd"/>
            <w:r w:rsidRPr="009A6CA1">
              <w:rPr>
                <w:rFonts w:cs="Arial"/>
                <w:sz w:val="16"/>
                <w:szCs w:val="16"/>
                <w:lang w:val="es-ES" w:bidi="th-TH"/>
              </w:rPr>
              <w:t xml:space="preserve"> </w:t>
            </w:r>
          </w:p>
          <w:p w:rsidR="00E80502" w:rsidRPr="009A6CA1" w:rsidRDefault="00E80502" w:rsidP="00E80502">
            <w:pPr>
              <w:pStyle w:val="ListParagraph"/>
              <w:numPr>
                <w:ilvl w:val="0"/>
                <w:numId w:val="86"/>
              </w:numPr>
              <w:rPr>
                <w:rFonts w:cs="Arial"/>
                <w:sz w:val="16"/>
                <w:szCs w:val="16"/>
                <w:lang w:val="es-ES" w:bidi="th-TH"/>
              </w:rPr>
            </w:pPr>
            <w:proofErr w:type="spellStart"/>
            <w:r w:rsidRPr="009A6CA1">
              <w:rPr>
                <w:rFonts w:cs="Arial"/>
                <w:sz w:val="16"/>
                <w:szCs w:val="16"/>
                <w:lang w:val="es-ES" w:bidi="th-TH"/>
              </w:rPr>
              <w:t>EcoPatent</w:t>
            </w:r>
            <w:proofErr w:type="spellEnd"/>
            <w:r w:rsidRPr="009A6CA1">
              <w:rPr>
                <w:rFonts w:cs="Arial"/>
                <w:sz w:val="16"/>
                <w:szCs w:val="16"/>
                <w:lang w:val="es-ES" w:bidi="th-TH"/>
              </w:rPr>
              <w:t xml:space="preserve"> </w:t>
            </w:r>
            <w:proofErr w:type="spellStart"/>
            <w:r w:rsidRPr="009A6CA1">
              <w:rPr>
                <w:rFonts w:cs="Arial"/>
                <w:sz w:val="16"/>
                <w:szCs w:val="16"/>
                <w:lang w:val="es-ES" w:bidi="th-TH"/>
              </w:rPr>
              <w:t>Commons</w:t>
            </w:r>
            <w:proofErr w:type="spellEnd"/>
          </w:p>
          <w:p w:rsidR="00E80502" w:rsidRPr="009A6CA1" w:rsidRDefault="00E80502" w:rsidP="00E80502">
            <w:pPr>
              <w:pStyle w:val="ListParagraph"/>
              <w:numPr>
                <w:ilvl w:val="0"/>
                <w:numId w:val="86"/>
              </w:numPr>
              <w:rPr>
                <w:rFonts w:cs="Arial"/>
                <w:sz w:val="16"/>
                <w:szCs w:val="16"/>
                <w:lang w:val="es-ES" w:bidi="th-TH"/>
              </w:rPr>
            </w:pPr>
            <w:r w:rsidRPr="009A6CA1">
              <w:rPr>
                <w:sz w:val="16"/>
                <w:szCs w:val="16"/>
                <w:lang w:val="es-ES"/>
              </w:rPr>
              <w:t xml:space="preserve">Centro de Innovación Climática de </w:t>
            </w:r>
            <w:proofErr w:type="spellStart"/>
            <w:r w:rsidRPr="009A6CA1">
              <w:rPr>
                <w:sz w:val="16"/>
                <w:szCs w:val="16"/>
                <w:lang w:val="es-ES"/>
              </w:rPr>
              <w:t>Kenya</w:t>
            </w:r>
            <w:proofErr w:type="spellEnd"/>
            <w:r w:rsidRPr="009A6CA1">
              <w:rPr>
                <w:sz w:val="16"/>
                <w:szCs w:val="16"/>
                <w:lang w:val="es-ES"/>
              </w:rPr>
              <w:t xml:space="preserve"> (KCIC)</w:t>
            </w:r>
          </w:p>
          <w:p w:rsidR="00E80502" w:rsidRPr="009A6CA1" w:rsidRDefault="00E80502" w:rsidP="00E80502">
            <w:pPr>
              <w:pStyle w:val="ListParagraph"/>
              <w:numPr>
                <w:ilvl w:val="0"/>
                <w:numId w:val="86"/>
              </w:numPr>
              <w:rPr>
                <w:rFonts w:cs="Arial"/>
                <w:sz w:val="16"/>
                <w:szCs w:val="16"/>
                <w:lang w:val="es-ES" w:bidi="th-TH"/>
              </w:rPr>
            </w:pPr>
            <w:proofErr w:type="spellStart"/>
            <w:r w:rsidRPr="009A6CA1">
              <w:rPr>
                <w:sz w:val="16"/>
                <w:szCs w:val="16"/>
                <w:lang w:val="es-ES"/>
              </w:rPr>
              <w:t>Climate</w:t>
            </w:r>
            <w:proofErr w:type="spellEnd"/>
            <w:r w:rsidRPr="009A6CA1">
              <w:rPr>
                <w:sz w:val="16"/>
                <w:szCs w:val="16"/>
                <w:lang w:val="es-ES"/>
              </w:rPr>
              <w:t>-KIC</w:t>
            </w:r>
          </w:p>
          <w:p w:rsidR="00E80502" w:rsidRPr="009A6CA1" w:rsidRDefault="00E80502" w:rsidP="00E80502">
            <w:pPr>
              <w:pStyle w:val="ListParagraph"/>
              <w:numPr>
                <w:ilvl w:val="0"/>
                <w:numId w:val="86"/>
              </w:numPr>
              <w:rPr>
                <w:rFonts w:cs="Arial"/>
                <w:sz w:val="16"/>
                <w:szCs w:val="16"/>
                <w:lang w:val="es-ES" w:bidi="th-TH"/>
              </w:rPr>
            </w:pPr>
            <w:proofErr w:type="spellStart"/>
            <w:r w:rsidRPr="009A6CA1">
              <w:rPr>
                <w:rFonts w:cs="Arial"/>
                <w:sz w:val="16"/>
                <w:szCs w:val="16"/>
                <w:lang w:val="es-ES" w:bidi="th-TH"/>
              </w:rPr>
              <w:t>Waseda</w:t>
            </w:r>
            <w:proofErr w:type="spellEnd"/>
            <w:r w:rsidRPr="009A6CA1">
              <w:rPr>
                <w:rFonts w:cs="Arial"/>
                <w:sz w:val="16"/>
                <w:szCs w:val="16"/>
                <w:lang w:val="es-ES" w:bidi="th-TH"/>
              </w:rPr>
              <w:t xml:space="preserve"> </w:t>
            </w:r>
            <w:proofErr w:type="spellStart"/>
            <w:r w:rsidRPr="009A6CA1">
              <w:rPr>
                <w:rFonts w:cs="Arial"/>
                <w:sz w:val="16"/>
                <w:szCs w:val="16"/>
                <w:lang w:val="es-ES" w:bidi="th-TH"/>
              </w:rPr>
              <w:t>Environmental</w:t>
            </w:r>
            <w:proofErr w:type="spellEnd"/>
            <w:r w:rsidRPr="009A6CA1">
              <w:rPr>
                <w:rFonts w:cs="Arial"/>
                <w:sz w:val="16"/>
                <w:szCs w:val="16"/>
                <w:lang w:val="es-ES" w:bidi="th-TH"/>
              </w:rPr>
              <w:t xml:space="preserve"> </w:t>
            </w:r>
            <w:proofErr w:type="spellStart"/>
            <w:r w:rsidRPr="009A6CA1">
              <w:rPr>
                <w:rFonts w:cs="Arial"/>
                <w:sz w:val="16"/>
                <w:szCs w:val="16"/>
                <w:lang w:val="es-ES" w:bidi="th-TH"/>
              </w:rPr>
              <w:t>Institute</w:t>
            </w:r>
            <w:proofErr w:type="spellEnd"/>
          </w:p>
          <w:p w:rsidR="00E80502" w:rsidRPr="009A6CA1" w:rsidRDefault="00E80502" w:rsidP="00DC1333">
            <w:pPr>
              <w:widowControl w:val="0"/>
              <w:rPr>
                <w:sz w:val="16"/>
                <w:szCs w:val="16"/>
                <w:lang w:bidi="th-TH"/>
              </w:rPr>
            </w:pPr>
            <w:r w:rsidRPr="009A6CA1">
              <w:rPr>
                <w:sz w:val="16"/>
                <w:szCs w:val="16"/>
                <w:lang w:bidi="th-TH"/>
              </w:rPr>
              <w:t>(7 en total)</w:t>
            </w:r>
          </w:p>
        </w:tc>
        <w:tc>
          <w:tcPr>
            <w:tcW w:w="680" w:type="pct"/>
            <w:gridSpan w:val="3"/>
            <w:tcBorders>
              <w:top w:val="nil"/>
              <w:bottom w:val="nil"/>
            </w:tcBorders>
            <w:shd w:val="clear" w:color="auto" w:fill="auto"/>
            <w:tcMar>
              <w:top w:w="110" w:type="dxa"/>
            </w:tcMar>
          </w:tcPr>
          <w:p w:rsidR="00E80502" w:rsidRPr="009A6CA1" w:rsidRDefault="00E80502" w:rsidP="00DC1333">
            <w:pPr>
              <w:widowControl w:val="0"/>
              <w:ind w:right="-107"/>
              <w:jc w:val="center"/>
              <w:rPr>
                <w:b/>
                <w:bCs/>
                <w:color w:val="008000"/>
                <w:sz w:val="16"/>
                <w:szCs w:val="16"/>
              </w:rPr>
            </w:pPr>
            <w:r w:rsidRPr="009A6CA1">
              <w:rPr>
                <w:b/>
                <w:bCs/>
                <w:color w:val="008000"/>
                <w:sz w:val="16"/>
                <w:szCs w:val="16"/>
              </w:rPr>
              <w:t>Plenamente logrado</w:t>
            </w:r>
          </w:p>
        </w:tc>
      </w:tr>
      <w:tr w:rsidR="00E80502" w:rsidRPr="009A6CA1" w:rsidTr="003C4FE0">
        <w:trPr>
          <w:cantSplit/>
        </w:trPr>
        <w:tc>
          <w:tcPr>
            <w:tcW w:w="1154" w:type="pct"/>
            <w:gridSpan w:val="3"/>
            <w:tcBorders>
              <w:top w:val="nil"/>
              <w:bottom w:val="single" w:sz="4" w:space="0" w:color="auto"/>
            </w:tcBorders>
            <w:shd w:val="clear" w:color="auto" w:fill="auto"/>
          </w:tcPr>
          <w:p w:rsidR="00E80502" w:rsidRPr="009A6CA1" w:rsidRDefault="00E80502" w:rsidP="00DC1333">
            <w:pPr>
              <w:widowControl w:val="0"/>
              <w:rPr>
                <w:sz w:val="16"/>
                <w:szCs w:val="16"/>
              </w:rPr>
            </w:pPr>
            <w:r w:rsidRPr="009A6CA1">
              <w:rPr>
                <w:sz w:val="16"/>
                <w:szCs w:val="16"/>
              </w:rPr>
              <w:t xml:space="preserve">Nº de acuerdos catalizados por medio de </w:t>
            </w:r>
            <w:r w:rsidRPr="009A6CA1">
              <w:rPr>
                <w:i/>
                <w:sz w:val="16"/>
                <w:szCs w:val="16"/>
              </w:rPr>
              <w:t>WIPO GREEN</w:t>
            </w:r>
            <w:r w:rsidRPr="009A6CA1">
              <w:rPr>
                <w:sz w:val="16"/>
                <w:szCs w:val="16"/>
              </w:rPr>
              <w:t xml:space="preserve"> que facilitan la transferencia de conocimiento así como la adaptación, transferencia o difusión de tecnología</w:t>
            </w:r>
          </w:p>
        </w:tc>
        <w:tc>
          <w:tcPr>
            <w:tcW w:w="1267" w:type="pct"/>
            <w:gridSpan w:val="3"/>
            <w:tcBorders>
              <w:top w:val="nil"/>
              <w:bottom w:val="single" w:sz="4" w:space="0" w:color="auto"/>
            </w:tcBorders>
            <w:shd w:val="clear" w:color="auto" w:fill="auto"/>
          </w:tcPr>
          <w:p w:rsidR="00E80502" w:rsidRPr="009A6CA1" w:rsidRDefault="00E80502" w:rsidP="00DC1333">
            <w:pPr>
              <w:keepNext/>
              <w:keepLines/>
              <w:widowControl w:val="0"/>
              <w:rPr>
                <w:color w:val="002060"/>
                <w:sz w:val="16"/>
                <w:szCs w:val="16"/>
              </w:rPr>
            </w:pPr>
            <w:r w:rsidRPr="009A6CA1">
              <w:rPr>
                <w:i/>
                <w:color w:val="002060"/>
                <w:sz w:val="16"/>
                <w:szCs w:val="16"/>
              </w:rPr>
              <w:t xml:space="preserve">Referencia actualizada a fines de 2013: </w:t>
            </w:r>
            <w:r w:rsidRPr="009A6CA1">
              <w:rPr>
                <w:color w:val="002060"/>
                <w:sz w:val="16"/>
                <w:szCs w:val="16"/>
              </w:rPr>
              <w:t xml:space="preserve">En 2012 y 2013 </w:t>
            </w:r>
            <w:r w:rsidRPr="009A6CA1">
              <w:rPr>
                <w:i/>
                <w:color w:val="002060"/>
                <w:sz w:val="16"/>
                <w:szCs w:val="16"/>
              </w:rPr>
              <w:t>WIPO GREEN</w:t>
            </w:r>
            <w:r w:rsidRPr="009A6CA1">
              <w:rPr>
                <w:color w:val="002060"/>
                <w:sz w:val="16"/>
                <w:szCs w:val="16"/>
              </w:rPr>
              <w:t xml:space="preserve"> concluyó : </w:t>
            </w:r>
          </w:p>
          <w:p w:rsidR="00E80502" w:rsidRPr="009A6CA1" w:rsidRDefault="00E80502" w:rsidP="00DC1333">
            <w:pPr>
              <w:keepNext/>
              <w:keepLines/>
              <w:widowControl w:val="0"/>
              <w:rPr>
                <w:color w:val="002060"/>
                <w:sz w:val="16"/>
                <w:szCs w:val="16"/>
              </w:rPr>
            </w:pPr>
            <w:r w:rsidRPr="009A6CA1">
              <w:rPr>
                <w:color w:val="002060"/>
                <w:sz w:val="16"/>
                <w:szCs w:val="16"/>
              </w:rPr>
              <w:t>Dos acuerdos con colaboradores externos para la integración de datos</w:t>
            </w:r>
          </w:p>
          <w:p w:rsidR="00E80502" w:rsidRPr="000D48EE" w:rsidRDefault="00E80502" w:rsidP="00DC1333">
            <w:pPr>
              <w:keepNext/>
              <w:keepLines/>
              <w:widowControl w:val="0"/>
              <w:rPr>
                <w:i/>
                <w:color w:val="002060"/>
                <w:sz w:val="8"/>
                <w:szCs w:val="8"/>
                <w:lang w:val="en-US"/>
              </w:rPr>
            </w:pPr>
            <w:r w:rsidRPr="000D48EE">
              <w:rPr>
                <w:color w:val="002060"/>
                <w:sz w:val="16"/>
                <w:szCs w:val="16"/>
                <w:lang w:val="en-US"/>
              </w:rPr>
              <w:t>(</w:t>
            </w:r>
            <w:r w:rsidRPr="000D48EE">
              <w:rPr>
                <w:i/>
                <w:color w:val="002060"/>
                <w:sz w:val="16"/>
                <w:szCs w:val="16"/>
                <w:lang w:val="en-US"/>
              </w:rPr>
              <w:t>Association of University Technology Managers</w:t>
            </w:r>
            <w:r w:rsidRPr="000D48EE">
              <w:rPr>
                <w:color w:val="002060"/>
                <w:sz w:val="16"/>
                <w:szCs w:val="16"/>
                <w:lang w:val="en-US"/>
              </w:rPr>
              <w:t xml:space="preserve"> (AUTM) y la </w:t>
            </w:r>
            <w:r w:rsidRPr="000D48EE">
              <w:rPr>
                <w:i/>
                <w:color w:val="002060"/>
                <w:sz w:val="16"/>
                <w:szCs w:val="16"/>
                <w:lang w:val="en-US"/>
              </w:rPr>
              <w:t>East Africa Climate Innovation Network</w:t>
            </w:r>
            <w:r w:rsidRPr="000D48EE">
              <w:rPr>
                <w:color w:val="002060"/>
                <w:sz w:val="16"/>
                <w:szCs w:val="16"/>
                <w:lang w:val="en-US"/>
              </w:rPr>
              <w:t xml:space="preserve"> (EACIN))</w:t>
            </w:r>
            <w:r w:rsidRPr="000D48EE">
              <w:rPr>
                <w:color w:val="993300"/>
                <w:sz w:val="16"/>
                <w:szCs w:val="16"/>
                <w:lang w:val="en-US"/>
              </w:rPr>
              <w:br/>
            </w:r>
          </w:p>
          <w:p w:rsidR="00E80502" w:rsidRPr="009A6CA1" w:rsidRDefault="00E80502" w:rsidP="00DC1333">
            <w:pPr>
              <w:keepNext/>
              <w:keepLines/>
              <w:widowControl w:val="0"/>
            </w:pPr>
            <w:r w:rsidRPr="009A6CA1">
              <w:rPr>
                <w:i/>
                <w:iCs/>
                <w:sz w:val="16"/>
                <w:szCs w:val="16"/>
              </w:rPr>
              <w:t>Referencia original en el presupuesto de 2014/15</w:t>
            </w:r>
            <w:r w:rsidRPr="009A6CA1">
              <w:rPr>
                <w:i/>
                <w:sz w:val="16"/>
                <w:szCs w:val="16"/>
              </w:rPr>
              <w:t>:</w:t>
            </w:r>
            <w:r w:rsidRPr="009A6CA1">
              <w:rPr>
                <w:sz w:val="16"/>
                <w:szCs w:val="16"/>
              </w:rPr>
              <w:t xml:space="preserve">  0 (cero)</w:t>
            </w:r>
          </w:p>
          <w:p w:rsidR="00E80502" w:rsidRPr="009A6CA1" w:rsidRDefault="00E80502" w:rsidP="00DC1333">
            <w:pPr>
              <w:keepNext/>
              <w:keepLines/>
              <w:widowControl w:val="0"/>
              <w:rPr>
                <w:i/>
                <w:color w:val="002060"/>
                <w:sz w:val="16"/>
                <w:szCs w:val="16"/>
              </w:rPr>
            </w:pPr>
          </w:p>
        </w:tc>
        <w:tc>
          <w:tcPr>
            <w:tcW w:w="605" w:type="pct"/>
            <w:tcBorders>
              <w:top w:val="nil"/>
              <w:bottom w:val="single" w:sz="4" w:space="0" w:color="auto"/>
            </w:tcBorders>
            <w:shd w:val="clear" w:color="auto" w:fill="auto"/>
            <w:tcMar>
              <w:top w:w="110" w:type="dxa"/>
            </w:tcMar>
          </w:tcPr>
          <w:p w:rsidR="00E80502" w:rsidRPr="009A6CA1" w:rsidRDefault="00E80502" w:rsidP="00DC1333">
            <w:pPr>
              <w:keepNext/>
              <w:keepLines/>
              <w:widowControl w:val="0"/>
              <w:rPr>
                <w:color w:val="808080"/>
                <w:sz w:val="16"/>
                <w:szCs w:val="16"/>
              </w:rPr>
            </w:pPr>
            <w:r w:rsidRPr="009A6CA1">
              <w:rPr>
                <w:sz w:val="16"/>
                <w:szCs w:val="16"/>
              </w:rPr>
              <w:t>250</w:t>
            </w:r>
          </w:p>
        </w:tc>
        <w:tc>
          <w:tcPr>
            <w:tcW w:w="1295" w:type="pct"/>
            <w:gridSpan w:val="4"/>
            <w:tcBorders>
              <w:top w:val="nil"/>
              <w:bottom w:val="single" w:sz="4" w:space="0" w:color="auto"/>
            </w:tcBorders>
            <w:shd w:val="clear" w:color="auto" w:fill="FFFFFF"/>
            <w:tcMar>
              <w:top w:w="110" w:type="dxa"/>
            </w:tcMar>
          </w:tcPr>
          <w:p w:rsidR="00E80502" w:rsidRPr="009A6CA1" w:rsidRDefault="00E80502" w:rsidP="00DC1333">
            <w:pPr>
              <w:keepNext/>
              <w:keepLines/>
              <w:widowControl w:val="0"/>
              <w:rPr>
                <w:sz w:val="16"/>
                <w:szCs w:val="16"/>
                <w:lang w:bidi="th-TH"/>
              </w:rPr>
            </w:pPr>
            <w:r w:rsidRPr="009A6CA1">
              <w:rPr>
                <w:sz w:val="16"/>
                <w:szCs w:val="16"/>
                <w:lang w:bidi="th-TH"/>
              </w:rPr>
              <w:t xml:space="preserve">5 nuevos acuerdos en 2014/15:  </w:t>
            </w:r>
          </w:p>
          <w:p w:rsidR="00E80502" w:rsidRPr="009A6CA1" w:rsidRDefault="00E80502" w:rsidP="00E80502">
            <w:pPr>
              <w:pStyle w:val="ListParagraph"/>
              <w:numPr>
                <w:ilvl w:val="0"/>
                <w:numId w:val="87"/>
              </w:numPr>
              <w:rPr>
                <w:rFonts w:cs="Arial"/>
                <w:sz w:val="16"/>
                <w:szCs w:val="16"/>
                <w:lang w:val="es-ES" w:bidi="th-TH"/>
              </w:rPr>
            </w:pPr>
            <w:r w:rsidRPr="009A6CA1">
              <w:rPr>
                <w:sz w:val="16"/>
                <w:szCs w:val="16"/>
                <w:lang w:val="es-ES" w:bidi="th-TH"/>
              </w:rPr>
              <w:t xml:space="preserve">Oficina Danesa de Patentes y Marcas </w:t>
            </w:r>
            <w:r w:rsidRPr="009A6CA1">
              <w:rPr>
                <w:rFonts w:cs="Arial"/>
                <w:sz w:val="16"/>
                <w:szCs w:val="16"/>
                <w:lang w:val="es-ES" w:bidi="th-TH"/>
              </w:rPr>
              <w:t>(DKPTO)</w:t>
            </w:r>
          </w:p>
          <w:p w:rsidR="00E80502" w:rsidRPr="009A6CA1" w:rsidRDefault="00E80502" w:rsidP="00E80502">
            <w:pPr>
              <w:pStyle w:val="ListParagraph"/>
              <w:numPr>
                <w:ilvl w:val="0"/>
                <w:numId w:val="87"/>
              </w:numPr>
              <w:rPr>
                <w:rFonts w:cs="Arial"/>
                <w:sz w:val="16"/>
                <w:szCs w:val="16"/>
                <w:lang w:val="es-ES" w:bidi="th-TH"/>
              </w:rPr>
            </w:pPr>
            <w:r w:rsidRPr="009A6CA1">
              <w:rPr>
                <w:rFonts w:cs="Arial"/>
                <w:sz w:val="16"/>
                <w:szCs w:val="16"/>
                <w:lang w:val="es-ES" w:bidi="th-TH"/>
              </w:rPr>
              <w:t>KOTEC</w:t>
            </w:r>
          </w:p>
          <w:p w:rsidR="00E80502" w:rsidRPr="009A6CA1" w:rsidRDefault="00E80502" w:rsidP="00E80502">
            <w:pPr>
              <w:pStyle w:val="ListParagraph"/>
              <w:numPr>
                <w:ilvl w:val="0"/>
                <w:numId w:val="87"/>
              </w:numPr>
              <w:rPr>
                <w:rFonts w:cs="Arial"/>
                <w:sz w:val="16"/>
                <w:szCs w:val="16"/>
                <w:lang w:val="es-ES" w:bidi="th-TH"/>
              </w:rPr>
            </w:pPr>
            <w:proofErr w:type="spellStart"/>
            <w:r w:rsidRPr="009A6CA1">
              <w:rPr>
                <w:rFonts w:cs="Arial"/>
                <w:sz w:val="16"/>
                <w:szCs w:val="16"/>
                <w:lang w:val="es-ES" w:bidi="th-TH"/>
              </w:rPr>
              <w:t>Technologie</w:t>
            </w:r>
            <w:proofErr w:type="spellEnd"/>
            <w:r w:rsidRPr="009A6CA1">
              <w:rPr>
                <w:rFonts w:cs="Arial"/>
                <w:sz w:val="16"/>
                <w:szCs w:val="16"/>
                <w:lang w:val="es-ES" w:bidi="th-TH"/>
              </w:rPr>
              <w:t xml:space="preserve"> Allianz</w:t>
            </w:r>
          </w:p>
          <w:p w:rsidR="00E80502" w:rsidRPr="009A6CA1" w:rsidRDefault="00E80502" w:rsidP="00E80502">
            <w:pPr>
              <w:pStyle w:val="ListParagraph"/>
              <w:numPr>
                <w:ilvl w:val="0"/>
                <w:numId w:val="87"/>
              </w:numPr>
              <w:rPr>
                <w:rFonts w:cs="Arial"/>
                <w:sz w:val="16"/>
                <w:szCs w:val="16"/>
                <w:lang w:val="es-ES" w:bidi="th-TH"/>
              </w:rPr>
            </w:pPr>
            <w:r w:rsidRPr="009A6CA1">
              <w:rPr>
                <w:sz w:val="16"/>
                <w:szCs w:val="16"/>
                <w:lang w:val="es-ES" w:bidi="th-TH"/>
              </w:rPr>
              <w:t xml:space="preserve">Oficina de las Naciones Unidas para la Cooperación Sur-Sur </w:t>
            </w:r>
            <w:r w:rsidRPr="009A6CA1">
              <w:rPr>
                <w:rFonts w:cs="Arial"/>
                <w:sz w:val="16"/>
                <w:szCs w:val="16"/>
                <w:lang w:val="es-ES" w:bidi="th-TH"/>
              </w:rPr>
              <w:t xml:space="preserve">(UNOSSC) </w:t>
            </w:r>
          </w:p>
          <w:p w:rsidR="00E80502" w:rsidRPr="009A6CA1" w:rsidRDefault="00E80502" w:rsidP="00E80502">
            <w:pPr>
              <w:pStyle w:val="ListParagraph"/>
              <w:numPr>
                <w:ilvl w:val="0"/>
                <w:numId w:val="87"/>
              </w:numPr>
              <w:rPr>
                <w:rFonts w:cs="Arial"/>
                <w:sz w:val="16"/>
                <w:szCs w:val="16"/>
                <w:lang w:val="es-ES" w:bidi="th-TH"/>
              </w:rPr>
            </w:pPr>
            <w:r w:rsidRPr="009A6CA1">
              <w:rPr>
                <w:rFonts w:cs="Arial"/>
                <w:sz w:val="16"/>
                <w:szCs w:val="16"/>
                <w:lang w:val="es-ES" w:bidi="th-TH"/>
              </w:rPr>
              <w:t>Ministerio de Economía (Israel)</w:t>
            </w:r>
          </w:p>
          <w:p w:rsidR="00E80502" w:rsidRPr="009A6CA1" w:rsidRDefault="00E80502" w:rsidP="00DC1333">
            <w:pPr>
              <w:keepNext/>
              <w:keepLines/>
              <w:widowControl w:val="0"/>
              <w:rPr>
                <w:sz w:val="16"/>
                <w:szCs w:val="16"/>
                <w:lang w:bidi="th-TH"/>
              </w:rPr>
            </w:pPr>
            <w:r w:rsidRPr="009A6CA1">
              <w:rPr>
                <w:sz w:val="16"/>
                <w:szCs w:val="16"/>
                <w:lang w:bidi="th-TH"/>
              </w:rPr>
              <w:t>(7 en total)</w:t>
            </w:r>
          </w:p>
          <w:p w:rsidR="00E80502" w:rsidRPr="009A6CA1" w:rsidRDefault="00E80502" w:rsidP="00DC1333">
            <w:pPr>
              <w:keepNext/>
              <w:keepLines/>
              <w:widowControl w:val="0"/>
              <w:rPr>
                <w:sz w:val="16"/>
                <w:szCs w:val="16"/>
                <w:lang w:bidi="th-TH"/>
              </w:rPr>
            </w:pPr>
          </w:p>
        </w:tc>
        <w:tc>
          <w:tcPr>
            <w:tcW w:w="680" w:type="pct"/>
            <w:gridSpan w:val="3"/>
            <w:tcBorders>
              <w:top w:val="nil"/>
              <w:bottom w:val="single" w:sz="4" w:space="0" w:color="auto"/>
            </w:tcBorders>
            <w:shd w:val="clear" w:color="auto" w:fill="auto"/>
            <w:tcMar>
              <w:top w:w="110" w:type="dxa"/>
            </w:tcMar>
          </w:tcPr>
          <w:p w:rsidR="00E80502" w:rsidRPr="009A6CA1" w:rsidRDefault="00E80502" w:rsidP="00DC1333">
            <w:pPr>
              <w:keepNext/>
              <w:keepLines/>
              <w:widowControl w:val="0"/>
              <w:jc w:val="center"/>
              <w:rPr>
                <w:b/>
                <w:bCs/>
                <w:color w:val="FF0000"/>
                <w:sz w:val="16"/>
                <w:szCs w:val="16"/>
              </w:rPr>
            </w:pPr>
            <w:r w:rsidRPr="009A6CA1">
              <w:rPr>
                <w:b/>
                <w:bCs/>
                <w:color w:val="FF0000"/>
                <w:sz w:val="16"/>
                <w:szCs w:val="16"/>
              </w:rPr>
              <w:t>No logrado</w:t>
            </w:r>
          </w:p>
        </w:tc>
      </w:tr>
      <w:tr w:rsidR="00E80502" w:rsidRPr="009A6CA1" w:rsidTr="003C4FE0">
        <w:trPr>
          <w:cantSplit/>
        </w:trPr>
        <w:tc>
          <w:tcPr>
            <w:tcW w:w="1098" w:type="pct"/>
            <w:gridSpan w:val="2"/>
            <w:tcBorders>
              <w:top w:val="single" w:sz="4" w:space="0" w:color="auto"/>
              <w:left w:val="single" w:sz="4" w:space="0" w:color="auto"/>
              <w:bottom w:val="single" w:sz="4" w:space="0" w:color="auto"/>
            </w:tcBorders>
            <w:shd w:val="clear" w:color="auto" w:fill="auto"/>
          </w:tcPr>
          <w:p w:rsidR="00E80502" w:rsidRPr="009A6CA1" w:rsidRDefault="00E80502" w:rsidP="00DC1333">
            <w:pPr>
              <w:widowControl w:val="0"/>
              <w:rPr>
                <w:sz w:val="16"/>
                <w:szCs w:val="16"/>
              </w:rPr>
            </w:pPr>
            <w:r w:rsidRPr="009A6CA1">
              <w:rPr>
                <w:sz w:val="16"/>
                <w:szCs w:val="16"/>
              </w:rPr>
              <w:lastRenderedPageBreak/>
              <w:t>Nº de visitas a las páginas sobre desafíos mundiales del sitio web</w:t>
            </w:r>
          </w:p>
          <w:p w:rsidR="00E80502" w:rsidRPr="009A6CA1" w:rsidRDefault="00E80502" w:rsidP="00DC1333">
            <w:pPr>
              <w:widowControl w:val="0"/>
              <w:rPr>
                <w:sz w:val="16"/>
                <w:szCs w:val="16"/>
              </w:rPr>
            </w:pPr>
          </w:p>
        </w:tc>
        <w:tc>
          <w:tcPr>
            <w:tcW w:w="1315" w:type="pct"/>
            <w:gridSpan w:val="3"/>
            <w:tcBorders>
              <w:top w:val="single" w:sz="4" w:space="0" w:color="auto"/>
              <w:bottom w:val="single" w:sz="4" w:space="0" w:color="auto"/>
            </w:tcBorders>
            <w:shd w:val="clear" w:color="auto" w:fill="auto"/>
          </w:tcPr>
          <w:p w:rsidR="00E80502" w:rsidRPr="009A6CA1" w:rsidRDefault="00E80502" w:rsidP="00DC1333">
            <w:pPr>
              <w:keepNext/>
              <w:keepLines/>
              <w:widowControl w:val="0"/>
              <w:rPr>
                <w:i/>
                <w:color w:val="002060"/>
                <w:sz w:val="16"/>
                <w:szCs w:val="16"/>
              </w:rPr>
            </w:pPr>
            <w:r w:rsidRPr="009A6CA1">
              <w:rPr>
                <w:i/>
                <w:color w:val="002060"/>
                <w:sz w:val="16"/>
                <w:szCs w:val="16"/>
              </w:rPr>
              <w:t xml:space="preserve">Referencia actualizada a fines de 2013: </w:t>
            </w:r>
          </w:p>
          <w:p w:rsidR="00E80502" w:rsidRPr="009A6CA1" w:rsidRDefault="00E80502" w:rsidP="00DC1333">
            <w:pPr>
              <w:keepNext/>
              <w:keepLines/>
              <w:widowControl w:val="0"/>
              <w:rPr>
                <w:color w:val="002060"/>
                <w:sz w:val="16"/>
                <w:szCs w:val="16"/>
              </w:rPr>
            </w:pPr>
            <w:r w:rsidRPr="009A6CA1">
              <w:rPr>
                <w:color w:val="002060"/>
                <w:sz w:val="16"/>
                <w:szCs w:val="16"/>
              </w:rPr>
              <w:t>6.476 páginas vistas (GCD).</w:t>
            </w:r>
          </w:p>
          <w:p w:rsidR="00E80502" w:rsidRPr="009A6CA1" w:rsidRDefault="00E80502" w:rsidP="00DC1333">
            <w:pPr>
              <w:keepNext/>
              <w:keepLines/>
              <w:widowControl w:val="0"/>
              <w:rPr>
                <w:color w:val="002060"/>
                <w:sz w:val="16"/>
                <w:szCs w:val="16"/>
              </w:rPr>
            </w:pPr>
            <w:r w:rsidRPr="009A6CA1">
              <w:rPr>
                <w:color w:val="002060"/>
                <w:sz w:val="16"/>
                <w:szCs w:val="16"/>
              </w:rPr>
              <w:t xml:space="preserve">3.773 descargas de archivos en formato </w:t>
            </w:r>
            <w:proofErr w:type="spellStart"/>
            <w:r w:rsidRPr="009A6CA1">
              <w:rPr>
                <w:color w:val="002060"/>
                <w:sz w:val="16"/>
                <w:szCs w:val="16"/>
              </w:rPr>
              <w:t>pdf</w:t>
            </w:r>
            <w:proofErr w:type="spellEnd"/>
            <w:r w:rsidRPr="009A6CA1">
              <w:rPr>
                <w:color w:val="002060"/>
                <w:sz w:val="16"/>
                <w:szCs w:val="16"/>
              </w:rPr>
              <w:t>.</w:t>
            </w:r>
          </w:p>
          <w:p w:rsidR="00E80502" w:rsidRPr="009A6CA1" w:rsidRDefault="00E80502" w:rsidP="00DC1333">
            <w:pPr>
              <w:keepNext/>
              <w:keepLines/>
              <w:widowControl w:val="0"/>
              <w:rPr>
                <w:color w:val="002060"/>
                <w:sz w:val="16"/>
                <w:szCs w:val="16"/>
              </w:rPr>
            </w:pPr>
            <w:r w:rsidRPr="009A6CA1">
              <w:rPr>
                <w:color w:val="002060"/>
                <w:sz w:val="16"/>
                <w:szCs w:val="16"/>
              </w:rPr>
              <w:t xml:space="preserve">73.648 páginas vistas de </w:t>
            </w:r>
            <w:r w:rsidRPr="009A6CA1">
              <w:rPr>
                <w:i/>
                <w:color w:val="002060"/>
                <w:sz w:val="16"/>
                <w:szCs w:val="16"/>
              </w:rPr>
              <w:t>WIPO GREEN</w:t>
            </w:r>
          </w:p>
          <w:p w:rsidR="00E80502" w:rsidRPr="009A6CA1" w:rsidRDefault="00E80502" w:rsidP="00DC1333">
            <w:pPr>
              <w:keepNext/>
              <w:keepLines/>
              <w:widowControl w:val="0"/>
              <w:rPr>
                <w:color w:val="002060"/>
                <w:sz w:val="16"/>
                <w:szCs w:val="16"/>
              </w:rPr>
            </w:pPr>
            <w:r w:rsidRPr="009A6CA1">
              <w:rPr>
                <w:color w:val="002060"/>
                <w:sz w:val="16"/>
                <w:szCs w:val="16"/>
              </w:rPr>
              <w:t xml:space="preserve">60.712 páginas vistas de </w:t>
            </w:r>
            <w:r w:rsidRPr="009A6CA1">
              <w:rPr>
                <w:i/>
                <w:color w:val="002060"/>
                <w:sz w:val="16"/>
                <w:szCs w:val="16"/>
              </w:rPr>
              <w:t xml:space="preserve">WIPO </w:t>
            </w:r>
            <w:proofErr w:type="spellStart"/>
            <w:r w:rsidRPr="009A6CA1">
              <w:rPr>
                <w:i/>
                <w:color w:val="002060"/>
                <w:sz w:val="16"/>
                <w:szCs w:val="16"/>
              </w:rPr>
              <w:t>Re:Search</w:t>
            </w:r>
            <w:proofErr w:type="spellEnd"/>
          </w:p>
          <w:p w:rsidR="00E80502" w:rsidRPr="009A6CA1" w:rsidRDefault="00E80502" w:rsidP="00DC1333">
            <w:pPr>
              <w:widowControl w:val="0"/>
              <w:rPr>
                <w:i/>
                <w:color w:val="002060"/>
                <w:sz w:val="16"/>
                <w:szCs w:val="16"/>
              </w:rPr>
            </w:pPr>
          </w:p>
          <w:p w:rsidR="00E80502" w:rsidRPr="009A6CA1" w:rsidRDefault="00E80502" w:rsidP="00DC1333">
            <w:pPr>
              <w:widowControl w:val="0"/>
              <w:rPr>
                <w:i/>
                <w:color w:val="002060"/>
                <w:sz w:val="16"/>
                <w:szCs w:val="16"/>
              </w:rPr>
            </w:pPr>
            <w:r w:rsidRPr="009A6CA1">
              <w:rPr>
                <w:i/>
                <w:iCs/>
                <w:sz w:val="16"/>
                <w:szCs w:val="16"/>
              </w:rPr>
              <w:t>Referencia original en el presupuesto de 2014/15</w:t>
            </w:r>
            <w:proofErr w:type="gramStart"/>
            <w:r w:rsidRPr="009A6CA1">
              <w:rPr>
                <w:i/>
                <w:sz w:val="16"/>
                <w:szCs w:val="16"/>
              </w:rPr>
              <w:t>:</w:t>
            </w:r>
            <w:r w:rsidRPr="009A6CA1">
              <w:rPr>
                <w:sz w:val="16"/>
                <w:szCs w:val="16"/>
              </w:rPr>
              <w:t xml:space="preserve">  </w:t>
            </w:r>
            <w:proofErr w:type="spellStart"/>
            <w:r w:rsidRPr="009A6CA1">
              <w:rPr>
                <w:sz w:val="16"/>
                <w:szCs w:val="16"/>
              </w:rPr>
              <w:t>n.d</w:t>
            </w:r>
            <w:proofErr w:type="spellEnd"/>
            <w:proofErr w:type="gramEnd"/>
            <w:r w:rsidRPr="009A6CA1">
              <w:rPr>
                <w:sz w:val="16"/>
                <w:szCs w:val="16"/>
              </w:rPr>
              <w:t>.</w:t>
            </w:r>
            <w:r w:rsidRPr="009A6CA1">
              <w:rPr>
                <w:sz w:val="16"/>
                <w:szCs w:val="16"/>
              </w:rPr>
              <w:br/>
            </w:r>
          </w:p>
        </w:tc>
        <w:tc>
          <w:tcPr>
            <w:tcW w:w="658" w:type="pct"/>
            <w:gridSpan w:val="3"/>
            <w:tcBorders>
              <w:top w:val="single" w:sz="4" w:space="0" w:color="auto"/>
              <w:bottom w:val="single" w:sz="4" w:space="0" w:color="auto"/>
            </w:tcBorders>
            <w:shd w:val="clear" w:color="auto" w:fill="auto"/>
            <w:tcMar>
              <w:top w:w="110" w:type="dxa"/>
            </w:tcMar>
          </w:tcPr>
          <w:p w:rsidR="00E80502" w:rsidRPr="009A6CA1" w:rsidRDefault="00E80502" w:rsidP="00DC1333">
            <w:pPr>
              <w:widowControl w:val="0"/>
              <w:rPr>
                <w:sz w:val="16"/>
                <w:szCs w:val="16"/>
              </w:rPr>
            </w:pPr>
            <w:r w:rsidRPr="009A6CA1">
              <w:rPr>
                <w:sz w:val="16"/>
                <w:szCs w:val="16"/>
              </w:rPr>
              <w:t>Aumento del 50%.</w:t>
            </w:r>
          </w:p>
        </w:tc>
        <w:tc>
          <w:tcPr>
            <w:tcW w:w="1243" w:type="pct"/>
            <w:gridSpan w:val="2"/>
            <w:tcBorders>
              <w:top w:val="single" w:sz="4" w:space="0" w:color="auto"/>
              <w:bottom w:val="single" w:sz="4" w:space="0" w:color="auto"/>
            </w:tcBorders>
            <w:shd w:val="clear" w:color="auto" w:fill="FFFFFF"/>
            <w:tcMar>
              <w:top w:w="110" w:type="dxa"/>
            </w:tcMar>
          </w:tcPr>
          <w:p w:rsidR="00E80502" w:rsidRPr="009A6CA1" w:rsidRDefault="00E80502" w:rsidP="00DC1333">
            <w:pPr>
              <w:widowControl w:val="0"/>
              <w:rPr>
                <w:sz w:val="16"/>
                <w:szCs w:val="16"/>
                <w:lang w:bidi="th-TH"/>
              </w:rPr>
            </w:pPr>
            <w:r w:rsidRPr="009A6CA1">
              <w:rPr>
                <w:sz w:val="16"/>
                <w:szCs w:val="16"/>
                <w:lang w:bidi="th-TH"/>
              </w:rPr>
              <w:t xml:space="preserve">Número de páginas vistas: </w:t>
            </w:r>
          </w:p>
          <w:p w:rsidR="00E80502" w:rsidRPr="009A6CA1" w:rsidRDefault="00E80502" w:rsidP="00DC1333">
            <w:pPr>
              <w:widowControl w:val="0"/>
              <w:spacing w:after="120"/>
              <w:rPr>
                <w:sz w:val="16"/>
                <w:szCs w:val="16"/>
                <w:lang w:bidi="th-TH"/>
              </w:rPr>
            </w:pPr>
            <w:r w:rsidRPr="009A6CA1">
              <w:rPr>
                <w:sz w:val="16"/>
                <w:szCs w:val="16"/>
                <w:lang w:bidi="th-TH"/>
              </w:rPr>
              <w:t>-  GCD (División de Desafíos Mundiales):  2.693</w:t>
            </w:r>
          </w:p>
          <w:p w:rsidR="00E80502" w:rsidRPr="009A6CA1" w:rsidRDefault="00E80502" w:rsidP="00DC1333">
            <w:pPr>
              <w:widowControl w:val="0"/>
              <w:spacing w:after="120"/>
              <w:rPr>
                <w:sz w:val="16"/>
                <w:szCs w:val="16"/>
                <w:lang w:bidi="th-TH"/>
              </w:rPr>
            </w:pPr>
            <w:r w:rsidRPr="009A6CA1">
              <w:rPr>
                <w:sz w:val="16"/>
                <w:szCs w:val="16"/>
                <w:lang w:bidi="th-TH"/>
              </w:rPr>
              <w:t xml:space="preserve">-  Descargas de archivos en formato </w:t>
            </w:r>
            <w:proofErr w:type="spellStart"/>
            <w:r w:rsidRPr="009A6CA1">
              <w:rPr>
                <w:sz w:val="16"/>
                <w:szCs w:val="16"/>
                <w:lang w:bidi="th-TH"/>
              </w:rPr>
              <w:t>pdf</w:t>
            </w:r>
            <w:proofErr w:type="spellEnd"/>
            <w:r w:rsidRPr="009A6CA1">
              <w:rPr>
                <w:sz w:val="16"/>
                <w:szCs w:val="16"/>
                <w:lang w:bidi="th-TH"/>
              </w:rPr>
              <w:t>:  42.253</w:t>
            </w:r>
          </w:p>
          <w:p w:rsidR="00E80502" w:rsidRPr="000D48EE" w:rsidRDefault="00E80502" w:rsidP="00DC1333">
            <w:pPr>
              <w:widowControl w:val="0"/>
              <w:spacing w:after="120"/>
              <w:rPr>
                <w:sz w:val="16"/>
                <w:szCs w:val="16"/>
                <w:lang w:val="en-US" w:bidi="th-TH"/>
              </w:rPr>
            </w:pPr>
            <w:r w:rsidRPr="000D48EE">
              <w:rPr>
                <w:sz w:val="16"/>
                <w:szCs w:val="16"/>
                <w:lang w:val="en-US" w:bidi="th-TH"/>
              </w:rPr>
              <w:t>-  WIPO GREEN:  207.716</w:t>
            </w:r>
          </w:p>
          <w:p w:rsidR="00E80502" w:rsidRPr="00121C2F" w:rsidRDefault="00E80502" w:rsidP="00DC1333">
            <w:pPr>
              <w:widowControl w:val="0"/>
              <w:spacing w:after="120"/>
              <w:rPr>
                <w:sz w:val="16"/>
                <w:szCs w:val="16"/>
                <w:lang w:val="fr-CH" w:bidi="th-TH"/>
              </w:rPr>
            </w:pPr>
            <w:r w:rsidRPr="00121C2F">
              <w:rPr>
                <w:sz w:val="16"/>
                <w:szCs w:val="16"/>
                <w:lang w:val="fr-CH" w:bidi="th-TH"/>
              </w:rPr>
              <w:t xml:space="preserve">-  </w:t>
            </w:r>
            <w:r w:rsidRPr="00121C2F">
              <w:rPr>
                <w:i/>
                <w:sz w:val="16"/>
                <w:szCs w:val="16"/>
                <w:lang w:val="fr-CH" w:bidi="th-TH"/>
              </w:rPr>
              <w:t xml:space="preserve">WIPO </w:t>
            </w:r>
            <w:proofErr w:type="spellStart"/>
            <w:r w:rsidRPr="00121C2F">
              <w:rPr>
                <w:i/>
                <w:sz w:val="16"/>
                <w:szCs w:val="16"/>
                <w:lang w:val="fr-CH" w:bidi="th-TH"/>
              </w:rPr>
              <w:t>Re:Search</w:t>
            </w:r>
            <w:proofErr w:type="spellEnd"/>
            <w:proofErr w:type="gramStart"/>
            <w:r w:rsidRPr="00121C2F">
              <w:rPr>
                <w:sz w:val="16"/>
                <w:szCs w:val="16"/>
                <w:lang w:val="fr-CH" w:bidi="th-TH"/>
              </w:rPr>
              <w:t>:  62.118</w:t>
            </w:r>
            <w:proofErr w:type="gramEnd"/>
          </w:p>
          <w:p w:rsidR="00E80502" w:rsidRPr="009A6CA1" w:rsidRDefault="00E80502" w:rsidP="00DC1333">
            <w:pPr>
              <w:widowControl w:val="0"/>
              <w:spacing w:after="120"/>
              <w:rPr>
                <w:sz w:val="16"/>
                <w:szCs w:val="16"/>
                <w:lang w:bidi="th-TH"/>
              </w:rPr>
            </w:pPr>
            <w:r w:rsidRPr="009A6CA1">
              <w:rPr>
                <w:sz w:val="16"/>
                <w:szCs w:val="16"/>
                <w:lang w:bidi="th-TH"/>
              </w:rPr>
              <w:t>-  La salud mundial y la P.I.:  31.800</w:t>
            </w:r>
          </w:p>
          <w:p w:rsidR="00E80502" w:rsidRPr="009A6CA1" w:rsidRDefault="00E80502" w:rsidP="00DC1333">
            <w:pPr>
              <w:widowControl w:val="0"/>
              <w:spacing w:after="120"/>
              <w:rPr>
                <w:sz w:val="16"/>
                <w:szCs w:val="16"/>
                <w:lang w:bidi="th-TH"/>
              </w:rPr>
            </w:pPr>
            <w:r w:rsidRPr="009A6CA1">
              <w:rPr>
                <w:sz w:val="16"/>
                <w:szCs w:val="16"/>
                <w:lang w:bidi="th-TH"/>
              </w:rPr>
              <w:t xml:space="preserve">    El cambio climático y la P.I.:  4.952</w:t>
            </w:r>
          </w:p>
        </w:tc>
        <w:tc>
          <w:tcPr>
            <w:tcW w:w="687" w:type="pct"/>
            <w:gridSpan w:val="4"/>
            <w:tcBorders>
              <w:top w:val="single" w:sz="4" w:space="0" w:color="auto"/>
              <w:bottom w:val="single" w:sz="4" w:space="0" w:color="auto"/>
              <w:right w:val="single" w:sz="4" w:space="0" w:color="auto"/>
            </w:tcBorders>
            <w:shd w:val="clear" w:color="auto" w:fill="auto"/>
            <w:tcMar>
              <w:top w:w="110" w:type="dxa"/>
            </w:tcMar>
          </w:tcPr>
          <w:p w:rsidR="00E80502" w:rsidRPr="009A6CA1" w:rsidRDefault="00E80502" w:rsidP="00DC1333">
            <w:pPr>
              <w:widowControl w:val="0"/>
              <w:jc w:val="center"/>
              <w:rPr>
                <w:b/>
                <w:bCs/>
                <w:color w:val="FF0000"/>
                <w:sz w:val="16"/>
                <w:szCs w:val="16"/>
              </w:rPr>
            </w:pPr>
          </w:p>
          <w:p w:rsidR="00E80502" w:rsidRPr="009A6CA1" w:rsidRDefault="00E80502" w:rsidP="00DC1333">
            <w:pPr>
              <w:widowControl w:val="0"/>
              <w:jc w:val="center"/>
              <w:rPr>
                <w:b/>
                <w:bCs/>
                <w:color w:val="FF0000"/>
                <w:sz w:val="16"/>
                <w:szCs w:val="16"/>
              </w:rPr>
            </w:pPr>
            <w:r w:rsidRPr="009A6CA1">
              <w:rPr>
                <w:b/>
                <w:bCs/>
                <w:color w:val="FF0000"/>
                <w:sz w:val="16"/>
                <w:szCs w:val="16"/>
              </w:rPr>
              <w:t>No logrado</w:t>
            </w:r>
          </w:p>
          <w:p w:rsidR="00E80502" w:rsidRPr="009A6CA1" w:rsidRDefault="00E80502" w:rsidP="00DC1333">
            <w:pPr>
              <w:widowControl w:val="0"/>
              <w:jc w:val="center"/>
              <w:rPr>
                <w:b/>
                <w:bCs/>
                <w:color w:val="FF0000"/>
                <w:sz w:val="16"/>
                <w:szCs w:val="16"/>
              </w:rPr>
            </w:pPr>
          </w:p>
          <w:p w:rsidR="00E80502" w:rsidRPr="009A6CA1" w:rsidRDefault="00E80502" w:rsidP="00DC1333">
            <w:pPr>
              <w:widowControl w:val="0"/>
              <w:jc w:val="center"/>
              <w:rPr>
                <w:b/>
                <w:bCs/>
                <w:color w:val="FF0000"/>
                <w:sz w:val="15"/>
                <w:szCs w:val="15"/>
              </w:rPr>
            </w:pPr>
          </w:p>
          <w:p w:rsidR="00E80502" w:rsidRPr="009A6CA1" w:rsidRDefault="00E80502" w:rsidP="00DC1333">
            <w:pPr>
              <w:widowControl w:val="0"/>
              <w:jc w:val="center"/>
              <w:rPr>
                <w:b/>
                <w:bCs/>
                <w:color w:val="FF0000"/>
                <w:sz w:val="15"/>
                <w:szCs w:val="15"/>
              </w:rPr>
            </w:pPr>
          </w:p>
          <w:p w:rsidR="00E80502" w:rsidRPr="009A6CA1" w:rsidRDefault="00E80502" w:rsidP="00DC1333">
            <w:pPr>
              <w:widowControl w:val="0"/>
              <w:spacing w:after="60"/>
              <w:jc w:val="center"/>
              <w:rPr>
                <w:b/>
                <w:bCs/>
                <w:color w:val="A6A6A6" w:themeColor="background1" w:themeShade="A6"/>
                <w:sz w:val="16"/>
                <w:szCs w:val="16"/>
              </w:rPr>
            </w:pPr>
            <w:r w:rsidRPr="009A6CA1">
              <w:rPr>
                <w:b/>
                <w:bCs/>
                <w:color w:val="008000"/>
                <w:sz w:val="16"/>
                <w:szCs w:val="16"/>
              </w:rPr>
              <w:t>Plenamente logrado</w:t>
            </w:r>
            <w:r w:rsidRPr="009A6CA1">
              <w:rPr>
                <w:b/>
                <w:bCs/>
                <w:color w:val="A6A6A6" w:themeColor="background1" w:themeShade="A6"/>
                <w:sz w:val="16"/>
                <w:szCs w:val="16"/>
              </w:rPr>
              <w:t xml:space="preserve"> </w:t>
            </w:r>
          </w:p>
          <w:p w:rsidR="00E80502" w:rsidRPr="009A6CA1" w:rsidRDefault="00E80502" w:rsidP="00DC1333">
            <w:pPr>
              <w:widowControl w:val="0"/>
              <w:jc w:val="center"/>
              <w:rPr>
                <w:b/>
                <w:bCs/>
              </w:rPr>
            </w:pPr>
            <w:r w:rsidRPr="009A6CA1">
              <w:rPr>
                <w:b/>
                <w:bCs/>
                <w:color w:val="008000"/>
                <w:sz w:val="16"/>
                <w:szCs w:val="16"/>
              </w:rPr>
              <w:t>Plenamente logrado</w:t>
            </w:r>
          </w:p>
          <w:p w:rsidR="00E80502" w:rsidRPr="009A6CA1" w:rsidRDefault="00E80502" w:rsidP="00DC1333">
            <w:pPr>
              <w:widowControl w:val="0"/>
              <w:jc w:val="center"/>
              <w:rPr>
                <w:b/>
                <w:bCs/>
              </w:rPr>
            </w:pPr>
          </w:p>
          <w:p w:rsidR="00E80502" w:rsidRPr="009A6CA1" w:rsidRDefault="00E80502" w:rsidP="00DC1333">
            <w:pPr>
              <w:widowControl w:val="0"/>
              <w:jc w:val="center"/>
              <w:rPr>
                <w:bCs/>
                <w:color w:val="808080"/>
                <w:sz w:val="16"/>
                <w:szCs w:val="16"/>
              </w:rPr>
            </w:pPr>
            <w:r w:rsidRPr="009A6CA1">
              <w:rPr>
                <w:b/>
                <w:bCs/>
                <w:color w:val="FF0000"/>
                <w:sz w:val="16"/>
                <w:szCs w:val="16"/>
              </w:rPr>
              <w:t>No logrado</w:t>
            </w:r>
          </w:p>
        </w:tc>
      </w:tr>
      <w:tr w:rsidR="00E80502" w:rsidRPr="009A6CA1" w:rsidTr="00DC1333">
        <w:trPr>
          <w:cantSplit/>
          <w:trHeight w:val="521"/>
        </w:trPr>
        <w:tc>
          <w:tcPr>
            <w:tcW w:w="5000" w:type="pct"/>
            <w:gridSpan w:val="14"/>
            <w:tcBorders>
              <w:top w:val="single" w:sz="4" w:space="0" w:color="auto"/>
              <w:bottom w:val="single" w:sz="4" w:space="0" w:color="auto"/>
            </w:tcBorders>
            <w:shd w:val="clear" w:color="auto" w:fill="C6D9F1" w:themeFill="text2" w:themeFillTint="33"/>
            <w:vAlign w:val="center"/>
          </w:tcPr>
          <w:p w:rsidR="00E80502" w:rsidRPr="009A6CA1" w:rsidRDefault="00E80502" w:rsidP="00DC1333">
            <w:pPr>
              <w:keepNext/>
              <w:spacing w:before="120" w:after="120"/>
              <w:ind w:left="2019" w:hanging="2019"/>
              <w:rPr>
                <w:b/>
                <w:bCs/>
                <w:sz w:val="16"/>
                <w:szCs w:val="16"/>
              </w:rPr>
            </w:pPr>
            <w:r w:rsidRPr="009A6CA1">
              <w:rPr>
                <w:b/>
                <w:bCs/>
                <w:sz w:val="16"/>
                <w:szCs w:val="16"/>
              </w:rPr>
              <w:t>Resultado previsto:</w:t>
            </w:r>
            <w:r w:rsidRPr="009A6CA1">
              <w:rPr>
                <w:b/>
                <w:bCs/>
                <w:sz w:val="16"/>
                <w:szCs w:val="16"/>
              </w:rPr>
              <w:tab/>
            </w:r>
            <w:r w:rsidRPr="009A6CA1">
              <w:rPr>
                <w:sz w:val="16"/>
                <w:szCs w:val="16"/>
              </w:rPr>
              <w:t>VII.3 Mayor credibilidad de la OMPI en tanto que foro para el análisis de cuestiones en el ámbito de la P.I. y la política de competencia</w:t>
            </w:r>
          </w:p>
        </w:tc>
      </w:tr>
      <w:tr w:rsidR="00E80502" w:rsidRPr="009A6CA1" w:rsidTr="00DC1333">
        <w:trPr>
          <w:cantSplit/>
        </w:trPr>
        <w:tc>
          <w:tcPr>
            <w:tcW w:w="1098" w:type="pct"/>
            <w:gridSpan w:val="2"/>
            <w:tcBorders>
              <w:top w:val="single" w:sz="4" w:space="0" w:color="auto"/>
            </w:tcBorders>
            <w:shd w:val="clear" w:color="auto" w:fill="auto"/>
            <w:vAlign w:val="center"/>
          </w:tcPr>
          <w:p w:rsidR="00E80502" w:rsidRPr="009A6CA1" w:rsidRDefault="00E80502" w:rsidP="00DC1333">
            <w:pPr>
              <w:keepNext/>
              <w:widowControl w:val="0"/>
              <w:rPr>
                <w:sz w:val="16"/>
                <w:szCs w:val="16"/>
              </w:rPr>
            </w:pPr>
            <w:r w:rsidRPr="009A6CA1">
              <w:rPr>
                <w:b/>
                <w:sz w:val="16"/>
                <w:szCs w:val="16"/>
              </w:rPr>
              <w:t>Indicadores de rendimiento</w:t>
            </w:r>
          </w:p>
        </w:tc>
        <w:tc>
          <w:tcPr>
            <w:tcW w:w="1315" w:type="pct"/>
            <w:gridSpan w:val="3"/>
            <w:tcBorders>
              <w:top w:val="single" w:sz="4" w:space="0" w:color="auto"/>
            </w:tcBorders>
            <w:shd w:val="clear" w:color="auto" w:fill="auto"/>
            <w:vAlign w:val="center"/>
          </w:tcPr>
          <w:p w:rsidR="00E80502" w:rsidRPr="009A6CA1" w:rsidRDefault="00E80502" w:rsidP="00DC1333">
            <w:pPr>
              <w:keepNext/>
              <w:widowControl w:val="0"/>
              <w:rPr>
                <w:b/>
                <w:bCs/>
                <w:sz w:val="16"/>
                <w:szCs w:val="16"/>
              </w:rPr>
            </w:pPr>
            <w:r w:rsidRPr="009A6CA1">
              <w:rPr>
                <w:b/>
                <w:bCs/>
                <w:sz w:val="16"/>
                <w:szCs w:val="16"/>
              </w:rPr>
              <w:t>Referencia</w:t>
            </w:r>
          </w:p>
        </w:tc>
        <w:tc>
          <w:tcPr>
            <w:tcW w:w="658" w:type="pct"/>
            <w:gridSpan w:val="3"/>
            <w:tcBorders>
              <w:top w:val="single" w:sz="4" w:space="0" w:color="auto"/>
            </w:tcBorders>
            <w:shd w:val="clear" w:color="auto" w:fill="auto"/>
            <w:tcMar>
              <w:top w:w="110" w:type="dxa"/>
            </w:tcMar>
            <w:vAlign w:val="center"/>
          </w:tcPr>
          <w:p w:rsidR="00E80502" w:rsidRPr="009A6CA1" w:rsidRDefault="00E80502" w:rsidP="00DC1333">
            <w:pPr>
              <w:keepNext/>
              <w:widowControl w:val="0"/>
              <w:rPr>
                <w:b/>
                <w:sz w:val="16"/>
                <w:szCs w:val="16"/>
              </w:rPr>
            </w:pPr>
            <w:r w:rsidRPr="009A6CA1">
              <w:rPr>
                <w:b/>
                <w:sz w:val="16"/>
                <w:szCs w:val="16"/>
              </w:rPr>
              <w:t>Objetivos</w:t>
            </w:r>
          </w:p>
        </w:tc>
        <w:tc>
          <w:tcPr>
            <w:tcW w:w="1318" w:type="pct"/>
            <w:gridSpan w:val="5"/>
            <w:tcBorders>
              <w:top w:val="single" w:sz="4" w:space="0" w:color="auto"/>
            </w:tcBorders>
            <w:shd w:val="clear" w:color="auto" w:fill="FFFFFF"/>
            <w:tcMar>
              <w:top w:w="110" w:type="dxa"/>
            </w:tcMar>
            <w:vAlign w:val="center"/>
          </w:tcPr>
          <w:p w:rsidR="00E80502" w:rsidRPr="009A6CA1" w:rsidRDefault="00E80502" w:rsidP="00DC1333">
            <w:pPr>
              <w:keepNext/>
              <w:widowControl w:val="0"/>
              <w:rPr>
                <w:sz w:val="16"/>
                <w:szCs w:val="16"/>
              </w:rPr>
            </w:pPr>
            <w:r w:rsidRPr="009A6CA1">
              <w:rPr>
                <w:b/>
                <w:sz w:val="16"/>
                <w:szCs w:val="16"/>
              </w:rPr>
              <w:t>Datos sobre el rendimiento</w:t>
            </w:r>
          </w:p>
        </w:tc>
        <w:tc>
          <w:tcPr>
            <w:tcW w:w="612" w:type="pct"/>
            <w:tcBorders>
              <w:top w:val="single" w:sz="4" w:space="0" w:color="auto"/>
            </w:tcBorders>
            <w:shd w:val="clear" w:color="auto" w:fill="auto"/>
            <w:tcMar>
              <w:top w:w="110" w:type="dxa"/>
            </w:tcMar>
            <w:vAlign w:val="center"/>
          </w:tcPr>
          <w:p w:rsidR="00E80502" w:rsidRPr="009A6CA1" w:rsidRDefault="00E80502" w:rsidP="00DC1333">
            <w:pPr>
              <w:keepNext/>
              <w:widowControl w:val="0"/>
              <w:ind w:right="-107"/>
              <w:jc w:val="center"/>
              <w:rPr>
                <w:b/>
                <w:bCs/>
                <w:sz w:val="16"/>
                <w:szCs w:val="16"/>
              </w:rPr>
            </w:pPr>
            <w:r w:rsidRPr="009A6CA1">
              <w:rPr>
                <w:b/>
                <w:bCs/>
                <w:sz w:val="16"/>
                <w:szCs w:val="16"/>
              </w:rPr>
              <w:t>Clave de colores</w:t>
            </w:r>
          </w:p>
        </w:tc>
      </w:tr>
      <w:tr w:rsidR="00E80502" w:rsidRPr="009A6CA1" w:rsidTr="00DC1333">
        <w:trPr>
          <w:cantSplit/>
        </w:trPr>
        <w:tc>
          <w:tcPr>
            <w:tcW w:w="1098" w:type="pct"/>
            <w:gridSpan w:val="2"/>
            <w:shd w:val="clear" w:color="auto" w:fill="auto"/>
          </w:tcPr>
          <w:p w:rsidR="00E80502" w:rsidRPr="009A6CA1" w:rsidRDefault="00E80502" w:rsidP="00DC1333">
            <w:pPr>
              <w:keepNext/>
              <w:widowControl w:val="0"/>
              <w:rPr>
                <w:sz w:val="16"/>
                <w:szCs w:val="16"/>
              </w:rPr>
            </w:pPr>
            <w:r w:rsidRPr="009A6CA1">
              <w:rPr>
                <w:sz w:val="16"/>
                <w:szCs w:val="16"/>
              </w:rPr>
              <w:t>Nº de países que solicitan la aportación específica de la OMPI en materia de P.I. en relación con la política de competencia</w:t>
            </w:r>
          </w:p>
        </w:tc>
        <w:tc>
          <w:tcPr>
            <w:tcW w:w="1315" w:type="pct"/>
            <w:gridSpan w:val="3"/>
            <w:shd w:val="clear" w:color="auto" w:fill="auto"/>
          </w:tcPr>
          <w:p w:rsidR="00E80502" w:rsidRPr="009A6CA1" w:rsidRDefault="00E80502" w:rsidP="00DC1333">
            <w:pPr>
              <w:keepNext/>
              <w:widowControl w:val="0"/>
              <w:rPr>
                <w:i/>
                <w:color w:val="002060"/>
                <w:sz w:val="16"/>
                <w:szCs w:val="16"/>
              </w:rPr>
            </w:pPr>
            <w:r w:rsidRPr="009A6CA1">
              <w:rPr>
                <w:i/>
                <w:color w:val="002060"/>
                <w:sz w:val="16"/>
                <w:szCs w:val="16"/>
              </w:rPr>
              <w:t xml:space="preserve">Referencia actualizada a fines de 2013: </w:t>
            </w:r>
          </w:p>
          <w:p w:rsidR="00E80502" w:rsidRPr="009A6CA1" w:rsidRDefault="00E80502" w:rsidP="00DC1333">
            <w:pPr>
              <w:keepNext/>
              <w:widowControl w:val="0"/>
              <w:rPr>
                <w:i/>
                <w:color w:val="002060"/>
                <w:sz w:val="16"/>
                <w:szCs w:val="16"/>
              </w:rPr>
            </w:pPr>
            <w:r w:rsidRPr="009A6CA1">
              <w:rPr>
                <w:color w:val="002060"/>
                <w:sz w:val="16"/>
                <w:szCs w:val="16"/>
              </w:rPr>
              <w:t xml:space="preserve">Seis solicitudes de debates bilaterales (Chile, Brasil, Ecuador, India, República Dominicana, República de </w:t>
            </w:r>
            <w:proofErr w:type="spellStart"/>
            <w:r w:rsidRPr="009A6CA1">
              <w:rPr>
                <w:color w:val="002060"/>
                <w:sz w:val="16"/>
                <w:szCs w:val="16"/>
              </w:rPr>
              <w:t>Moldova</w:t>
            </w:r>
            <w:proofErr w:type="spellEnd"/>
            <w:r w:rsidRPr="009A6CA1">
              <w:rPr>
                <w:color w:val="002060"/>
                <w:sz w:val="16"/>
                <w:szCs w:val="16"/>
              </w:rPr>
              <w:t>) y una solicitud de asistencia legislativa (</w:t>
            </w:r>
            <w:proofErr w:type="spellStart"/>
            <w:r w:rsidRPr="009A6CA1">
              <w:rPr>
                <w:color w:val="002060"/>
                <w:sz w:val="16"/>
                <w:szCs w:val="16"/>
              </w:rPr>
              <w:t>Bhután</w:t>
            </w:r>
            <w:proofErr w:type="spellEnd"/>
            <w:r w:rsidRPr="009A6CA1">
              <w:rPr>
                <w:color w:val="002060"/>
                <w:sz w:val="16"/>
                <w:szCs w:val="16"/>
              </w:rPr>
              <w:t>).</w:t>
            </w:r>
            <w:r w:rsidRPr="009A6CA1">
              <w:rPr>
                <w:i/>
                <w:color w:val="002060"/>
                <w:sz w:val="16"/>
                <w:szCs w:val="16"/>
                <w:highlight w:val="red"/>
              </w:rPr>
              <w:t xml:space="preserve"> </w:t>
            </w:r>
          </w:p>
          <w:p w:rsidR="00E80502" w:rsidRPr="009A6CA1" w:rsidRDefault="00E80502" w:rsidP="00DC1333">
            <w:pPr>
              <w:keepNext/>
              <w:widowControl w:val="0"/>
              <w:rPr>
                <w:sz w:val="16"/>
                <w:szCs w:val="16"/>
              </w:rPr>
            </w:pPr>
            <w:r w:rsidRPr="009A6CA1">
              <w:rPr>
                <w:color w:val="993300"/>
                <w:sz w:val="16"/>
                <w:szCs w:val="16"/>
              </w:rPr>
              <w:br/>
            </w:r>
            <w:r w:rsidRPr="009A6CA1">
              <w:rPr>
                <w:i/>
                <w:iCs/>
                <w:sz w:val="16"/>
                <w:szCs w:val="16"/>
              </w:rPr>
              <w:t>Referencia original en el presupuesto de 2014/15</w:t>
            </w:r>
            <w:r w:rsidRPr="009A6CA1">
              <w:rPr>
                <w:i/>
                <w:sz w:val="16"/>
                <w:szCs w:val="16"/>
              </w:rPr>
              <w:t>:</w:t>
            </w:r>
            <w:r w:rsidRPr="009A6CA1">
              <w:rPr>
                <w:sz w:val="16"/>
                <w:szCs w:val="16"/>
              </w:rPr>
              <w:t xml:space="preserve">  12</w:t>
            </w:r>
          </w:p>
          <w:p w:rsidR="00E80502" w:rsidRPr="009A6CA1" w:rsidRDefault="00E80502" w:rsidP="00DC1333">
            <w:pPr>
              <w:keepNext/>
              <w:widowControl w:val="0"/>
              <w:rPr>
                <w:sz w:val="16"/>
                <w:szCs w:val="16"/>
              </w:rPr>
            </w:pPr>
          </w:p>
        </w:tc>
        <w:tc>
          <w:tcPr>
            <w:tcW w:w="658" w:type="pct"/>
            <w:gridSpan w:val="3"/>
            <w:shd w:val="clear" w:color="auto" w:fill="auto"/>
            <w:tcMar>
              <w:top w:w="110" w:type="dxa"/>
            </w:tcMar>
          </w:tcPr>
          <w:p w:rsidR="00E80502" w:rsidRPr="009A6CA1" w:rsidRDefault="00E80502" w:rsidP="00DC1333">
            <w:pPr>
              <w:keepNext/>
              <w:widowControl w:val="0"/>
              <w:rPr>
                <w:sz w:val="16"/>
                <w:szCs w:val="16"/>
              </w:rPr>
            </w:pPr>
            <w:r w:rsidRPr="009A6CA1">
              <w:rPr>
                <w:sz w:val="16"/>
                <w:szCs w:val="16"/>
              </w:rPr>
              <w:t>15</w:t>
            </w:r>
          </w:p>
        </w:tc>
        <w:tc>
          <w:tcPr>
            <w:tcW w:w="1318" w:type="pct"/>
            <w:gridSpan w:val="5"/>
            <w:shd w:val="clear" w:color="auto" w:fill="FFFFFF"/>
            <w:tcMar>
              <w:top w:w="110" w:type="dxa"/>
            </w:tcMar>
          </w:tcPr>
          <w:p w:rsidR="00E80502" w:rsidRPr="009A6CA1" w:rsidRDefault="00E80502" w:rsidP="00DC1333">
            <w:pPr>
              <w:keepNext/>
              <w:widowControl w:val="0"/>
              <w:rPr>
                <w:sz w:val="16"/>
                <w:szCs w:val="16"/>
                <w:lang w:bidi="th-TH"/>
              </w:rPr>
            </w:pPr>
            <w:r w:rsidRPr="009A6CA1">
              <w:rPr>
                <w:sz w:val="16"/>
                <w:szCs w:val="16"/>
                <w:lang w:bidi="th-TH"/>
              </w:rPr>
              <w:t xml:space="preserve">16 solicitudes/seguimiento de debates bilaterales (Brasil, Colombia, Cuba, Ecuador, El Salvador, Filipinas, Honduras, India, Italia, Kuwait, Perú, Región Administrativa Especial de Macao (China), República Dominicana, Singapur, Sudáfrica, </w:t>
            </w:r>
            <w:proofErr w:type="spellStart"/>
            <w:r w:rsidRPr="009A6CA1">
              <w:rPr>
                <w:sz w:val="16"/>
                <w:szCs w:val="16"/>
                <w:lang w:bidi="th-TH"/>
              </w:rPr>
              <w:t>Viet</w:t>
            </w:r>
            <w:proofErr w:type="spellEnd"/>
            <w:r w:rsidRPr="009A6CA1">
              <w:rPr>
                <w:sz w:val="16"/>
                <w:szCs w:val="16"/>
                <w:lang w:bidi="th-TH"/>
              </w:rPr>
              <w:t xml:space="preserve"> </w:t>
            </w:r>
            <w:proofErr w:type="spellStart"/>
            <w:r w:rsidRPr="009A6CA1">
              <w:rPr>
                <w:sz w:val="16"/>
                <w:szCs w:val="16"/>
                <w:lang w:bidi="th-TH"/>
              </w:rPr>
              <w:t>Nam</w:t>
            </w:r>
            <w:proofErr w:type="spellEnd"/>
            <w:r w:rsidRPr="009A6CA1">
              <w:rPr>
                <w:sz w:val="16"/>
                <w:szCs w:val="16"/>
                <w:lang w:bidi="th-TH"/>
              </w:rPr>
              <w:t>)</w:t>
            </w:r>
          </w:p>
        </w:tc>
        <w:tc>
          <w:tcPr>
            <w:tcW w:w="612" w:type="pct"/>
            <w:shd w:val="clear" w:color="auto" w:fill="auto"/>
            <w:tcMar>
              <w:top w:w="110" w:type="dxa"/>
            </w:tcMar>
          </w:tcPr>
          <w:p w:rsidR="00E80502" w:rsidRPr="009A6CA1" w:rsidRDefault="00E80502" w:rsidP="00DC1333">
            <w:pPr>
              <w:keepNext/>
              <w:widowControl w:val="0"/>
              <w:jc w:val="center"/>
              <w:rPr>
                <w:b/>
                <w:bCs/>
                <w:color w:val="008000"/>
                <w:sz w:val="15"/>
                <w:szCs w:val="15"/>
              </w:rPr>
            </w:pPr>
            <w:r w:rsidRPr="009A6CA1">
              <w:rPr>
                <w:b/>
                <w:bCs/>
                <w:color w:val="008000"/>
                <w:sz w:val="16"/>
                <w:szCs w:val="16"/>
              </w:rPr>
              <w:t>No logrado</w:t>
            </w:r>
          </w:p>
        </w:tc>
      </w:tr>
      <w:tr w:rsidR="00E80502" w:rsidRPr="009A6CA1" w:rsidTr="00DC1333">
        <w:trPr>
          <w:cantSplit/>
        </w:trPr>
        <w:tc>
          <w:tcPr>
            <w:tcW w:w="1098" w:type="pct"/>
            <w:gridSpan w:val="2"/>
            <w:shd w:val="clear" w:color="auto" w:fill="auto"/>
          </w:tcPr>
          <w:p w:rsidR="00E80502" w:rsidRPr="009A6CA1" w:rsidRDefault="00E80502" w:rsidP="00DC1333">
            <w:pPr>
              <w:widowControl w:val="0"/>
              <w:rPr>
                <w:sz w:val="16"/>
                <w:szCs w:val="16"/>
              </w:rPr>
            </w:pPr>
            <w:r w:rsidRPr="009A6CA1">
              <w:rPr>
                <w:sz w:val="16"/>
                <w:szCs w:val="16"/>
              </w:rPr>
              <w:t xml:space="preserve">Nº y diversidad de sectores interesados (oficinas de P.I., </w:t>
            </w:r>
            <w:r w:rsidRPr="009A6CA1">
              <w:rPr>
                <w:bCs/>
                <w:sz w:val="16"/>
                <w:szCs w:val="16"/>
              </w:rPr>
              <w:t>administraciones</w:t>
            </w:r>
            <w:r w:rsidRPr="009A6CA1">
              <w:rPr>
                <w:sz w:val="16"/>
                <w:szCs w:val="16"/>
              </w:rPr>
              <w:t xml:space="preserve"> competentes en materia de competencia, OIG y ONG) que entablan diálogo con la OMPI</w:t>
            </w:r>
          </w:p>
        </w:tc>
        <w:tc>
          <w:tcPr>
            <w:tcW w:w="1315" w:type="pct"/>
            <w:gridSpan w:val="3"/>
            <w:shd w:val="clear" w:color="auto" w:fill="auto"/>
          </w:tcPr>
          <w:p w:rsidR="00E80502" w:rsidRPr="009A6CA1" w:rsidRDefault="00E80502" w:rsidP="00DC1333">
            <w:pPr>
              <w:keepNext/>
              <w:keepLines/>
              <w:widowControl w:val="0"/>
              <w:rPr>
                <w:color w:val="002060"/>
                <w:sz w:val="16"/>
                <w:szCs w:val="16"/>
              </w:rPr>
            </w:pPr>
            <w:r w:rsidRPr="009A6CA1">
              <w:rPr>
                <w:i/>
                <w:color w:val="002060"/>
                <w:sz w:val="16"/>
                <w:szCs w:val="16"/>
              </w:rPr>
              <w:t>Referencia actualizada a fines de 2013</w:t>
            </w:r>
            <w:proofErr w:type="gramStart"/>
            <w:r w:rsidRPr="009A6CA1">
              <w:rPr>
                <w:i/>
                <w:color w:val="002060"/>
                <w:sz w:val="16"/>
                <w:szCs w:val="16"/>
              </w:rPr>
              <w:t>:</w:t>
            </w:r>
            <w:r w:rsidRPr="009A6CA1">
              <w:rPr>
                <w:color w:val="002060"/>
                <w:sz w:val="16"/>
                <w:szCs w:val="16"/>
              </w:rPr>
              <w:t xml:space="preserve">  Se</w:t>
            </w:r>
            <w:proofErr w:type="gramEnd"/>
            <w:r w:rsidRPr="009A6CA1">
              <w:rPr>
                <w:color w:val="002060"/>
                <w:sz w:val="16"/>
                <w:szCs w:val="16"/>
              </w:rPr>
              <w:t xml:space="preserve"> organizaron 19 talleres y reuniones en los que participaron 38 administraciones competentes en materia de competencia y 5 OIG.  Establecimiento de coordinación informal con UNCTAD, la OMC y la OCDE.  Participación activa en la Red Internacional de Competencia.  Cooperación con el COMESA. </w:t>
            </w:r>
          </w:p>
          <w:p w:rsidR="00E80502" w:rsidRPr="009A6CA1" w:rsidRDefault="00E80502" w:rsidP="00DC1333">
            <w:pPr>
              <w:keepNext/>
              <w:keepLines/>
              <w:widowControl w:val="0"/>
              <w:rPr>
                <w:i/>
                <w:color w:val="002060"/>
                <w:sz w:val="16"/>
                <w:szCs w:val="16"/>
              </w:rPr>
            </w:pPr>
          </w:p>
          <w:p w:rsidR="00E80502" w:rsidRPr="009A6CA1" w:rsidRDefault="00E80502" w:rsidP="00DC1333">
            <w:pPr>
              <w:keepNext/>
              <w:keepLines/>
              <w:widowControl w:val="0"/>
              <w:rPr>
                <w:sz w:val="16"/>
                <w:szCs w:val="16"/>
              </w:rPr>
            </w:pPr>
            <w:r w:rsidRPr="009A6CA1">
              <w:rPr>
                <w:i/>
                <w:iCs/>
                <w:sz w:val="16"/>
                <w:szCs w:val="16"/>
              </w:rPr>
              <w:t>Referencia original en el presupuesto de 2014/15</w:t>
            </w:r>
            <w:r w:rsidRPr="009A6CA1">
              <w:rPr>
                <w:i/>
                <w:sz w:val="16"/>
                <w:szCs w:val="16"/>
              </w:rPr>
              <w:t>:</w:t>
            </w:r>
            <w:r w:rsidRPr="009A6CA1">
              <w:rPr>
                <w:sz w:val="16"/>
                <w:szCs w:val="16"/>
              </w:rPr>
              <w:t xml:space="preserve"> La OMPI ha colaborado con 25 </w:t>
            </w:r>
            <w:r w:rsidRPr="009A6CA1">
              <w:rPr>
                <w:bCs/>
                <w:sz w:val="16"/>
                <w:szCs w:val="16"/>
              </w:rPr>
              <w:t>administraciones</w:t>
            </w:r>
            <w:r w:rsidRPr="009A6CA1">
              <w:rPr>
                <w:sz w:val="16"/>
                <w:szCs w:val="16"/>
              </w:rPr>
              <w:t xml:space="preserve"> nacionales competentes en materia de competencia y con 3 OIG. </w:t>
            </w:r>
          </w:p>
          <w:p w:rsidR="00E80502" w:rsidRPr="009A6CA1" w:rsidRDefault="00E80502" w:rsidP="00DC1333">
            <w:pPr>
              <w:keepNext/>
              <w:keepLines/>
              <w:widowControl w:val="0"/>
              <w:rPr>
                <w:sz w:val="16"/>
                <w:szCs w:val="16"/>
              </w:rPr>
            </w:pPr>
          </w:p>
        </w:tc>
        <w:tc>
          <w:tcPr>
            <w:tcW w:w="658" w:type="pct"/>
            <w:gridSpan w:val="3"/>
            <w:shd w:val="clear" w:color="auto" w:fill="auto"/>
            <w:tcMar>
              <w:top w:w="110" w:type="dxa"/>
            </w:tcMar>
          </w:tcPr>
          <w:p w:rsidR="00E80502" w:rsidRPr="009A6CA1" w:rsidRDefault="00E80502" w:rsidP="00DC1333">
            <w:pPr>
              <w:widowControl w:val="0"/>
              <w:autoSpaceDE w:val="0"/>
              <w:autoSpaceDN w:val="0"/>
              <w:adjustRightInd w:val="0"/>
              <w:ind w:left="-78" w:right="-147"/>
              <w:rPr>
                <w:sz w:val="16"/>
                <w:szCs w:val="16"/>
              </w:rPr>
            </w:pPr>
            <w:r w:rsidRPr="009A6CA1">
              <w:rPr>
                <w:sz w:val="16"/>
                <w:szCs w:val="16"/>
              </w:rPr>
              <w:t xml:space="preserve">Mayor número </w:t>
            </w:r>
            <w:r w:rsidRPr="009A6CA1">
              <w:rPr>
                <w:sz w:val="16"/>
                <w:szCs w:val="16"/>
              </w:rPr>
              <w:br/>
              <w:t xml:space="preserve">de partes interesadas que participan en actividades de la OMPI:  35 </w:t>
            </w:r>
            <w:r w:rsidRPr="009A6CA1">
              <w:rPr>
                <w:bCs/>
                <w:sz w:val="16"/>
                <w:szCs w:val="16"/>
              </w:rPr>
              <w:t>administraciones</w:t>
            </w:r>
            <w:r w:rsidRPr="009A6CA1">
              <w:rPr>
                <w:sz w:val="16"/>
                <w:szCs w:val="16"/>
              </w:rPr>
              <w:t xml:space="preserve"> nacionales y cinco OIG/ONG</w:t>
            </w:r>
          </w:p>
        </w:tc>
        <w:tc>
          <w:tcPr>
            <w:tcW w:w="1318" w:type="pct"/>
            <w:gridSpan w:val="5"/>
            <w:shd w:val="clear" w:color="auto" w:fill="FFFFFF"/>
            <w:tcMar>
              <w:top w:w="110" w:type="dxa"/>
            </w:tcMar>
          </w:tcPr>
          <w:p w:rsidR="00E80502" w:rsidRPr="009A6CA1" w:rsidRDefault="00E80502" w:rsidP="00DC1333">
            <w:pPr>
              <w:widowControl w:val="0"/>
              <w:rPr>
                <w:sz w:val="16"/>
                <w:szCs w:val="16"/>
              </w:rPr>
            </w:pPr>
            <w:r w:rsidRPr="009A6CA1">
              <w:rPr>
                <w:sz w:val="16"/>
                <w:szCs w:val="16"/>
                <w:lang w:bidi="th-TH"/>
              </w:rPr>
              <w:t xml:space="preserve">Participación de 39 nuevas </w:t>
            </w:r>
            <w:r w:rsidRPr="009A6CA1">
              <w:rPr>
                <w:bCs/>
                <w:sz w:val="16"/>
                <w:szCs w:val="16"/>
                <w:lang w:bidi="th-TH"/>
              </w:rPr>
              <w:t>administraciones</w:t>
            </w:r>
            <w:r w:rsidRPr="009A6CA1">
              <w:rPr>
                <w:sz w:val="16"/>
                <w:szCs w:val="16"/>
                <w:lang w:bidi="th-TH"/>
              </w:rPr>
              <w:t xml:space="preserve"> nacionales competentes en materia de competencia y continuación de la colaboración con 5 OIG/ONG (OCDE, UNCTAD, la OMC, Red Internacional de Competencia, COMESA).  Participación activa en la Red Internacional de Competencia (incluida la pertenencia al Grupo de Trabajo sobre Conductas Unilaterales).  Cooperación con la UE.</w:t>
            </w:r>
          </w:p>
        </w:tc>
        <w:tc>
          <w:tcPr>
            <w:tcW w:w="612" w:type="pct"/>
            <w:shd w:val="clear" w:color="auto" w:fill="auto"/>
            <w:tcMar>
              <w:top w:w="110" w:type="dxa"/>
            </w:tcMar>
          </w:tcPr>
          <w:p w:rsidR="00E80502" w:rsidRPr="009A6CA1" w:rsidRDefault="00E80502" w:rsidP="00DC1333">
            <w:pPr>
              <w:widowControl w:val="0"/>
              <w:jc w:val="center"/>
              <w:rPr>
                <w:b/>
                <w:bCs/>
                <w:color w:val="008000"/>
                <w:sz w:val="15"/>
                <w:szCs w:val="15"/>
              </w:rPr>
            </w:pPr>
            <w:r w:rsidRPr="009A6CA1">
              <w:rPr>
                <w:b/>
                <w:bCs/>
                <w:color w:val="008000"/>
                <w:sz w:val="16"/>
                <w:szCs w:val="16"/>
              </w:rPr>
              <w:t>Plenamente logrado</w:t>
            </w:r>
          </w:p>
        </w:tc>
      </w:tr>
    </w:tbl>
    <w:p w:rsidR="00E80502" w:rsidRDefault="00E80502" w:rsidP="00DC1333">
      <w:pPr>
        <w:widowControl w:val="0"/>
        <w:rPr>
          <w:color w:val="000000"/>
          <w:szCs w:val="22"/>
        </w:rPr>
      </w:pPr>
    </w:p>
    <w:p w:rsidR="00E80502" w:rsidRPr="009A6CA1" w:rsidRDefault="00E80502" w:rsidP="00DC1333">
      <w:pPr>
        <w:widowControl w:val="0"/>
        <w:rPr>
          <w:color w:val="000000"/>
          <w:szCs w:val="22"/>
        </w:rPr>
      </w:pPr>
    </w:p>
    <w:p w:rsidR="00E80502" w:rsidRPr="009A6CA1" w:rsidRDefault="008F7CBE" w:rsidP="006B15B0">
      <w:pPr>
        <w:keepNext/>
        <w:rPr>
          <w:color w:val="000000"/>
          <w:szCs w:val="22"/>
        </w:rPr>
      </w:pPr>
      <w:r w:rsidRPr="008F7CBE">
        <w:rPr>
          <w:sz w:val="20"/>
        </w:rPr>
        <w:lastRenderedPageBreak/>
        <w:t>INFORMACIÓN SOBRE LOS RIESGOS PLANTEADOS EN EL BIENIO</w:t>
      </w:r>
    </w:p>
    <w:p w:rsidR="00E80502" w:rsidRPr="009A6CA1" w:rsidRDefault="00E80502" w:rsidP="006B15B0">
      <w:pPr>
        <w:keepNext/>
      </w:pPr>
    </w:p>
    <w:tbl>
      <w:tblPr>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420"/>
        <w:gridCol w:w="2200"/>
        <w:gridCol w:w="2310"/>
        <w:gridCol w:w="2306"/>
      </w:tblGrid>
      <w:tr w:rsidR="00E80502" w:rsidRPr="009A6CA1" w:rsidTr="00DC1333">
        <w:trPr>
          <w:cantSplit/>
          <w:trHeight w:val="851"/>
          <w:tblHeader/>
        </w:trPr>
        <w:tc>
          <w:tcPr>
            <w:tcW w:w="2420" w:type="dxa"/>
            <w:tcBorders>
              <w:top w:val="single" w:sz="4" w:space="0" w:color="auto"/>
              <w:bottom w:val="single" w:sz="4" w:space="0" w:color="auto"/>
            </w:tcBorders>
            <w:shd w:val="clear" w:color="auto" w:fill="C6D9F1" w:themeFill="text2" w:themeFillTint="33"/>
            <w:tcMar>
              <w:top w:w="113" w:type="dxa"/>
              <w:bottom w:w="85" w:type="dxa"/>
            </w:tcMar>
            <w:vAlign w:val="center"/>
          </w:tcPr>
          <w:p w:rsidR="00E80502" w:rsidRPr="009A6CA1" w:rsidRDefault="00E80502" w:rsidP="006B15B0">
            <w:pPr>
              <w:keepNext/>
              <w:jc w:val="center"/>
              <w:rPr>
                <w:b/>
                <w:iCs/>
                <w:sz w:val="18"/>
                <w:szCs w:val="18"/>
              </w:rPr>
            </w:pPr>
            <w:r w:rsidRPr="009A6CA1">
              <w:rPr>
                <w:b/>
                <w:bCs/>
                <w:iCs/>
                <w:sz w:val="18"/>
                <w:szCs w:val="18"/>
              </w:rPr>
              <w:t>Riesgos en el logro de los resultados del programa</w:t>
            </w:r>
          </w:p>
        </w:tc>
        <w:tc>
          <w:tcPr>
            <w:tcW w:w="2200" w:type="dxa"/>
            <w:tcBorders>
              <w:top w:val="single" w:sz="4" w:space="0" w:color="auto"/>
              <w:bottom w:val="single" w:sz="4" w:space="0" w:color="auto"/>
            </w:tcBorders>
            <w:shd w:val="clear" w:color="auto" w:fill="C6D9F1" w:themeFill="text2" w:themeFillTint="33"/>
            <w:tcMar>
              <w:top w:w="113" w:type="dxa"/>
              <w:bottom w:w="85" w:type="dxa"/>
            </w:tcMar>
            <w:vAlign w:val="center"/>
          </w:tcPr>
          <w:p w:rsidR="00E80502" w:rsidRPr="009A6CA1" w:rsidRDefault="00E80502" w:rsidP="006B15B0">
            <w:pPr>
              <w:keepNext/>
              <w:jc w:val="center"/>
              <w:rPr>
                <w:b/>
                <w:bCs/>
                <w:iCs/>
                <w:sz w:val="18"/>
                <w:szCs w:val="18"/>
              </w:rPr>
            </w:pPr>
            <w:r w:rsidRPr="009A6CA1">
              <w:rPr>
                <w:b/>
                <w:bCs/>
                <w:iCs/>
                <w:sz w:val="18"/>
                <w:szCs w:val="18"/>
              </w:rPr>
              <w:t>Planes de mitigación ejecutados o en ejecución</w:t>
            </w:r>
          </w:p>
        </w:tc>
        <w:tc>
          <w:tcPr>
            <w:tcW w:w="2310" w:type="dxa"/>
            <w:tcBorders>
              <w:top w:val="single" w:sz="4" w:space="0" w:color="auto"/>
              <w:bottom w:val="single" w:sz="4" w:space="0" w:color="auto"/>
            </w:tcBorders>
            <w:shd w:val="clear" w:color="auto" w:fill="C6D9F1" w:themeFill="text2" w:themeFillTint="33"/>
          </w:tcPr>
          <w:p w:rsidR="00E80502" w:rsidRPr="009A6CA1" w:rsidRDefault="00E80502" w:rsidP="006B15B0">
            <w:pPr>
              <w:keepNext/>
              <w:jc w:val="center"/>
              <w:rPr>
                <w:b/>
                <w:bCs/>
                <w:sz w:val="18"/>
                <w:szCs w:val="18"/>
              </w:rPr>
            </w:pPr>
            <w:r w:rsidRPr="009A6CA1">
              <w:rPr>
                <w:b/>
                <w:bCs/>
                <w:iCs/>
                <w:sz w:val="18"/>
                <w:szCs w:val="18"/>
              </w:rPr>
              <w:t>Evolución de los riesgos y estrategias de mitigación durante el bienio</w:t>
            </w:r>
          </w:p>
        </w:tc>
        <w:tc>
          <w:tcPr>
            <w:tcW w:w="2306" w:type="dxa"/>
            <w:tcBorders>
              <w:top w:val="single" w:sz="4" w:space="0" w:color="auto"/>
              <w:bottom w:val="single" w:sz="4" w:space="0" w:color="auto"/>
            </w:tcBorders>
            <w:shd w:val="clear" w:color="auto" w:fill="C6D9F1" w:themeFill="text2" w:themeFillTint="33"/>
          </w:tcPr>
          <w:p w:rsidR="00E80502" w:rsidRPr="009A6CA1" w:rsidRDefault="00E80502" w:rsidP="006B15B0">
            <w:pPr>
              <w:keepNext/>
              <w:jc w:val="center"/>
              <w:rPr>
                <w:b/>
                <w:bCs/>
                <w:sz w:val="18"/>
                <w:szCs w:val="18"/>
              </w:rPr>
            </w:pPr>
            <w:r w:rsidRPr="009A6CA1">
              <w:rPr>
                <w:b/>
                <w:bCs/>
                <w:sz w:val="18"/>
                <w:szCs w:val="18"/>
              </w:rPr>
              <w:t>Incidencia en el rendimiento del programa</w:t>
            </w:r>
          </w:p>
        </w:tc>
      </w:tr>
      <w:tr w:rsidR="00E80502" w:rsidRPr="009A6CA1" w:rsidTr="00DC1333">
        <w:trPr>
          <w:cantSplit/>
          <w:trHeight w:val="1350"/>
        </w:trPr>
        <w:tc>
          <w:tcPr>
            <w:tcW w:w="2420" w:type="dxa"/>
            <w:tcBorders>
              <w:top w:val="single" w:sz="4" w:space="0" w:color="auto"/>
            </w:tcBorders>
            <w:shd w:val="clear" w:color="auto" w:fill="auto"/>
            <w:tcMar>
              <w:top w:w="113" w:type="dxa"/>
              <w:bottom w:w="85" w:type="dxa"/>
            </w:tcMar>
          </w:tcPr>
          <w:p w:rsidR="00E80502" w:rsidRPr="009A6CA1" w:rsidRDefault="00E80502" w:rsidP="006B15B0">
            <w:pPr>
              <w:keepNext/>
              <w:rPr>
                <w:sz w:val="16"/>
                <w:szCs w:val="16"/>
              </w:rPr>
            </w:pPr>
            <w:r w:rsidRPr="009A6CA1">
              <w:rPr>
                <w:sz w:val="16"/>
                <w:szCs w:val="16"/>
              </w:rPr>
              <w:t>La falta o la disminución del interés de las entidades participantes en las plataformas, el abandono de algunos miembros o la publicación insuficiente de información en una plataforma por parte de algunos miembros afectan directamente al funcionamiento de las plataformas y a la función que se espera que cumplan, así como a la credibilidad de los proyectos, por lo que las plataformas podrían acabar perdiendo su pertinencia al compararlas con proyectos de plataformas similares al margen de la OMPI</w:t>
            </w:r>
          </w:p>
        </w:tc>
        <w:tc>
          <w:tcPr>
            <w:tcW w:w="2200" w:type="dxa"/>
            <w:tcBorders>
              <w:top w:val="single" w:sz="4" w:space="0" w:color="auto"/>
            </w:tcBorders>
            <w:shd w:val="clear" w:color="auto" w:fill="auto"/>
            <w:tcMar>
              <w:top w:w="113" w:type="dxa"/>
              <w:bottom w:w="85" w:type="dxa"/>
            </w:tcMar>
          </w:tcPr>
          <w:p w:rsidR="00E80502" w:rsidRPr="009A6CA1" w:rsidRDefault="00E80502" w:rsidP="006B15B0">
            <w:pPr>
              <w:keepNext/>
              <w:rPr>
                <w:i/>
                <w:sz w:val="16"/>
                <w:szCs w:val="16"/>
              </w:rPr>
            </w:pPr>
            <w:r w:rsidRPr="009A6CA1">
              <w:rPr>
                <w:sz w:val="16"/>
                <w:szCs w:val="16"/>
              </w:rPr>
              <w:t>Un examen continuo de la estrategia, el entorno y la planificación que permita una detección temprana de las tendencias y la toma de medidas adecuadas lo antes posible</w:t>
            </w:r>
          </w:p>
        </w:tc>
        <w:tc>
          <w:tcPr>
            <w:tcW w:w="2310" w:type="dxa"/>
            <w:tcBorders>
              <w:top w:val="single" w:sz="4" w:space="0" w:color="auto"/>
            </w:tcBorders>
          </w:tcPr>
          <w:p w:rsidR="00E80502" w:rsidRPr="009A6CA1" w:rsidRDefault="00E80502" w:rsidP="006B15B0">
            <w:pPr>
              <w:keepNext/>
              <w:rPr>
                <w:sz w:val="16"/>
                <w:szCs w:val="16"/>
                <w:highlight w:val="yellow"/>
              </w:rPr>
            </w:pPr>
            <w:r w:rsidRPr="009A6CA1">
              <w:rPr>
                <w:sz w:val="16"/>
                <w:szCs w:val="16"/>
              </w:rPr>
              <w:t xml:space="preserve">En 2015 se produjo la salida de un segundo miembro de </w:t>
            </w:r>
            <w:r w:rsidRPr="009A6CA1">
              <w:rPr>
                <w:i/>
                <w:sz w:val="16"/>
                <w:szCs w:val="16"/>
              </w:rPr>
              <w:t xml:space="preserve">WIPO </w:t>
            </w:r>
            <w:proofErr w:type="spellStart"/>
            <w:r w:rsidRPr="009A6CA1">
              <w:rPr>
                <w:i/>
                <w:sz w:val="16"/>
                <w:szCs w:val="16"/>
              </w:rPr>
              <w:t>Re</w:t>
            </w:r>
            <w:proofErr w:type="gramStart"/>
            <w:r w:rsidRPr="009A6CA1">
              <w:rPr>
                <w:i/>
                <w:sz w:val="16"/>
                <w:szCs w:val="16"/>
              </w:rPr>
              <w:t>:Search</w:t>
            </w:r>
            <w:proofErr w:type="spellEnd"/>
            <w:proofErr w:type="gramEnd"/>
            <w:r w:rsidRPr="009A6CA1">
              <w:rPr>
                <w:sz w:val="16"/>
                <w:szCs w:val="16"/>
              </w:rPr>
              <w:t>, tras la salida de un miembro del sector privado en 2013.  Los esfuerzos continuos a fin de incorporar nuevos miembros institucionales fructificaron y resultaron adecuados para compensar la salida de esos dos miembros.  Ningún asociado de WIPO GREEN abandonó el consorcio.</w:t>
            </w:r>
          </w:p>
        </w:tc>
        <w:tc>
          <w:tcPr>
            <w:tcW w:w="2306" w:type="dxa"/>
            <w:tcBorders>
              <w:top w:val="single" w:sz="4" w:space="0" w:color="auto"/>
            </w:tcBorders>
          </w:tcPr>
          <w:p w:rsidR="00E80502" w:rsidRPr="009A6CA1" w:rsidRDefault="00E80502" w:rsidP="006B15B0">
            <w:pPr>
              <w:keepNext/>
              <w:rPr>
                <w:sz w:val="16"/>
                <w:szCs w:val="16"/>
              </w:rPr>
            </w:pPr>
            <w:r w:rsidRPr="009A6CA1">
              <w:rPr>
                <w:sz w:val="16"/>
                <w:szCs w:val="16"/>
              </w:rPr>
              <w:t xml:space="preserve">La salida de </w:t>
            </w:r>
            <w:r w:rsidRPr="009A6CA1">
              <w:rPr>
                <w:i/>
                <w:sz w:val="16"/>
                <w:szCs w:val="16"/>
              </w:rPr>
              <w:t xml:space="preserve">WIPO </w:t>
            </w:r>
            <w:proofErr w:type="spellStart"/>
            <w:r w:rsidRPr="009A6CA1">
              <w:rPr>
                <w:i/>
                <w:sz w:val="16"/>
                <w:szCs w:val="16"/>
              </w:rPr>
              <w:t>Re</w:t>
            </w:r>
            <w:proofErr w:type="gramStart"/>
            <w:r w:rsidRPr="009A6CA1">
              <w:rPr>
                <w:i/>
                <w:sz w:val="16"/>
                <w:szCs w:val="16"/>
              </w:rPr>
              <w:t>:Search</w:t>
            </w:r>
            <w:proofErr w:type="spellEnd"/>
            <w:proofErr w:type="gramEnd"/>
            <w:r w:rsidRPr="009A6CA1">
              <w:rPr>
                <w:sz w:val="16"/>
                <w:szCs w:val="16"/>
              </w:rPr>
              <w:t xml:space="preserve"> del miembro del sector privado se vio compensada por la entrada de tres nuevos miembros institucionales (uno en 2014 y dos en 2015).  La salida de un miembro de </w:t>
            </w:r>
            <w:r w:rsidRPr="009A6CA1">
              <w:rPr>
                <w:i/>
                <w:sz w:val="16"/>
                <w:szCs w:val="16"/>
              </w:rPr>
              <w:t xml:space="preserve">WIPO </w:t>
            </w:r>
            <w:proofErr w:type="spellStart"/>
            <w:r w:rsidRPr="009A6CA1">
              <w:rPr>
                <w:i/>
                <w:sz w:val="16"/>
                <w:szCs w:val="16"/>
              </w:rPr>
              <w:t>Re</w:t>
            </w:r>
            <w:proofErr w:type="gramStart"/>
            <w:r w:rsidRPr="009A6CA1">
              <w:rPr>
                <w:i/>
                <w:sz w:val="16"/>
                <w:szCs w:val="16"/>
              </w:rPr>
              <w:t>:Search</w:t>
            </w:r>
            <w:proofErr w:type="spellEnd"/>
            <w:proofErr w:type="gramEnd"/>
            <w:r w:rsidRPr="009A6CA1">
              <w:rPr>
                <w:sz w:val="16"/>
                <w:szCs w:val="16"/>
              </w:rPr>
              <w:t xml:space="preserve"> en 2013 se había traducido en una reducción del 27% de registros en la base de datos en 2014, lo que se vio compensado parcialmente por el aumento del 7% de registros en la base de datos registrado en 2015.</w:t>
            </w:r>
          </w:p>
        </w:tc>
      </w:tr>
      <w:tr w:rsidR="00E80502" w:rsidRPr="009A6CA1" w:rsidTr="00DC1333">
        <w:trPr>
          <w:trHeight w:val="390"/>
        </w:trPr>
        <w:tc>
          <w:tcPr>
            <w:tcW w:w="2420" w:type="dxa"/>
            <w:shd w:val="clear" w:color="auto" w:fill="auto"/>
            <w:tcMar>
              <w:top w:w="113" w:type="dxa"/>
              <w:bottom w:w="85" w:type="dxa"/>
            </w:tcMar>
          </w:tcPr>
          <w:p w:rsidR="00E80502" w:rsidRPr="009A6CA1" w:rsidRDefault="00E80502" w:rsidP="00DC1333">
            <w:pPr>
              <w:rPr>
                <w:sz w:val="16"/>
                <w:szCs w:val="16"/>
              </w:rPr>
            </w:pPr>
            <w:r w:rsidRPr="009A6CA1">
              <w:rPr>
                <w:sz w:val="16"/>
                <w:szCs w:val="16"/>
              </w:rPr>
              <w:t>La accesibilidad técnica de las bases de datos de P.I. y la continuidad del funcionamiento y la fiabilidad de la infraestructura de esas bases.  Los problemas recurrentes de disponibilidad de datos pueden afectar negativamente a la reputación y la credibilidad de la OMPI</w:t>
            </w:r>
          </w:p>
        </w:tc>
        <w:tc>
          <w:tcPr>
            <w:tcW w:w="2200" w:type="dxa"/>
            <w:shd w:val="clear" w:color="auto" w:fill="auto"/>
            <w:tcMar>
              <w:top w:w="113" w:type="dxa"/>
              <w:bottom w:w="85" w:type="dxa"/>
            </w:tcMar>
          </w:tcPr>
          <w:p w:rsidR="00E80502" w:rsidRPr="009A6CA1" w:rsidRDefault="00E80502" w:rsidP="00DC1333">
            <w:pPr>
              <w:rPr>
                <w:sz w:val="16"/>
                <w:szCs w:val="16"/>
              </w:rPr>
            </w:pPr>
            <w:r w:rsidRPr="009A6CA1">
              <w:rPr>
                <w:sz w:val="16"/>
                <w:szCs w:val="16"/>
              </w:rPr>
              <w:t>Velar por que se presten los servicios pertinentes, se comercialicen estos eficazmente y se mantenga un contacto estrecho con las principales partes interesadas</w:t>
            </w:r>
          </w:p>
        </w:tc>
        <w:tc>
          <w:tcPr>
            <w:tcW w:w="2310" w:type="dxa"/>
          </w:tcPr>
          <w:p w:rsidR="00E80502" w:rsidRPr="009A6CA1" w:rsidRDefault="00E80502" w:rsidP="00DC1333">
            <w:pPr>
              <w:rPr>
                <w:sz w:val="16"/>
                <w:szCs w:val="16"/>
              </w:rPr>
            </w:pPr>
            <w:r w:rsidRPr="009A6CA1">
              <w:rPr>
                <w:sz w:val="16"/>
                <w:szCs w:val="16"/>
              </w:rPr>
              <w:t>El riesgo sigue siendo importante.  La División de T.I. llevó a cabo con carácter regular revisiones y pruebas de la funcionalidad de ambas bases de datos, lo que resultó ser una estrategia eficaz de mitigación.</w:t>
            </w:r>
          </w:p>
        </w:tc>
        <w:tc>
          <w:tcPr>
            <w:tcW w:w="2306" w:type="dxa"/>
          </w:tcPr>
          <w:p w:rsidR="00E80502" w:rsidRPr="009A6CA1" w:rsidRDefault="00E80502" w:rsidP="00DC1333">
            <w:pPr>
              <w:rPr>
                <w:sz w:val="16"/>
                <w:szCs w:val="16"/>
              </w:rPr>
            </w:pPr>
            <w:r w:rsidRPr="009A6CA1">
              <w:rPr>
                <w:sz w:val="16"/>
                <w:szCs w:val="16"/>
              </w:rPr>
              <w:t>Las dos bases de datos funcionaron por lo general de forma estable, por lo que no se produjo ninguna situación que incidiera en el rendimiento del programa.</w:t>
            </w:r>
          </w:p>
        </w:tc>
      </w:tr>
      <w:tr w:rsidR="00E80502" w:rsidRPr="009A6CA1" w:rsidTr="00DC1333">
        <w:trPr>
          <w:trHeight w:val="824"/>
        </w:trPr>
        <w:tc>
          <w:tcPr>
            <w:tcW w:w="2420" w:type="dxa"/>
            <w:shd w:val="clear" w:color="auto" w:fill="auto"/>
            <w:tcMar>
              <w:top w:w="113" w:type="dxa"/>
              <w:bottom w:w="85" w:type="dxa"/>
            </w:tcMar>
          </w:tcPr>
          <w:p w:rsidR="00E80502" w:rsidRPr="009A6CA1" w:rsidRDefault="00E80502" w:rsidP="00DC1333">
            <w:pPr>
              <w:jc w:val="both"/>
              <w:rPr>
                <w:sz w:val="16"/>
                <w:szCs w:val="16"/>
              </w:rPr>
            </w:pPr>
            <w:r w:rsidRPr="009A6CA1">
              <w:rPr>
                <w:sz w:val="16"/>
                <w:szCs w:val="16"/>
              </w:rPr>
              <w:t>El grado de participación de los organismos nacionales en la labor de la OMPI en materia de P.I. y competencia es menor del previsto</w:t>
            </w:r>
          </w:p>
        </w:tc>
        <w:tc>
          <w:tcPr>
            <w:tcW w:w="2200" w:type="dxa"/>
            <w:shd w:val="clear" w:color="auto" w:fill="auto"/>
            <w:tcMar>
              <w:top w:w="113" w:type="dxa"/>
              <w:bottom w:w="85" w:type="dxa"/>
            </w:tcMar>
          </w:tcPr>
          <w:p w:rsidR="00E80502" w:rsidRPr="009A6CA1" w:rsidRDefault="00E80502" w:rsidP="00DC1333">
            <w:pPr>
              <w:keepNext/>
              <w:keepLines/>
              <w:jc w:val="both"/>
              <w:rPr>
                <w:sz w:val="16"/>
                <w:szCs w:val="16"/>
              </w:rPr>
            </w:pPr>
            <w:r w:rsidRPr="009A6CA1">
              <w:rPr>
                <w:sz w:val="16"/>
                <w:szCs w:val="16"/>
              </w:rPr>
              <w:t>Fortalecimiento de la sensibilización sistemática de los Estados miembros, difusión de ejemplos de cooperación fructífera entre las administraciones competentes en materia de P.I. y competencia, y entre las organizaciones intergubernamentales y las ONG</w:t>
            </w:r>
          </w:p>
        </w:tc>
        <w:tc>
          <w:tcPr>
            <w:tcW w:w="2310" w:type="dxa"/>
          </w:tcPr>
          <w:p w:rsidR="00E80502" w:rsidRPr="009A6CA1" w:rsidRDefault="00E80502" w:rsidP="00DC1333">
            <w:pPr>
              <w:pStyle w:val="ListParagraph"/>
              <w:keepNext/>
              <w:keepLines/>
              <w:tabs>
                <w:tab w:val="left" w:pos="709"/>
              </w:tabs>
              <w:ind w:left="0"/>
              <w:jc w:val="both"/>
              <w:rPr>
                <w:bCs/>
                <w:lang w:val="es-ES"/>
              </w:rPr>
            </w:pPr>
            <w:r w:rsidRPr="009A6CA1">
              <w:rPr>
                <w:sz w:val="16"/>
                <w:szCs w:val="16"/>
                <w:lang w:val="es-ES"/>
              </w:rPr>
              <w:t>El grado de participación siguió siendo elevado durante el bienio 2014/15, así como la colaboración continuada en el marco de la labor del programa con las oficinas de P.I. y las administraciones competentes en materia de competencia, en particular e</w:t>
            </w:r>
            <w:r w:rsidRPr="009A6CA1">
              <w:rPr>
                <w:bCs/>
                <w:sz w:val="16"/>
                <w:szCs w:val="16"/>
                <w:lang w:val="es-ES"/>
              </w:rPr>
              <w:t>n talleres en los que ambas comunidades intercambiaron impresiones acerca de la relación entre la P.I. y la competencia.</w:t>
            </w:r>
          </w:p>
          <w:p w:rsidR="00E80502" w:rsidRPr="009A6CA1" w:rsidRDefault="00E80502" w:rsidP="00DC1333">
            <w:pPr>
              <w:keepNext/>
              <w:keepLines/>
              <w:rPr>
                <w:sz w:val="16"/>
                <w:szCs w:val="16"/>
              </w:rPr>
            </w:pPr>
          </w:p>
        </w:tc>
        <w:tc>
          <w:tcPr>
            <w:tcW w:w="2306" w:type="dxa"/>
          </w:tcPr>
          <w:p w:rsidR="00E80502" w:rsidRPr="009A6CA1" w:rsidRDefault="00E80502" w:rsidP="00DC1333">
            <w:pPr>
              <w:keepNext/>
              <w:keepLines/>
              <w:rPr>
                <w:sz w:val="16"/>
                <w:szCs w:val="16"/>
              </w:rPr>
            </w:pPr>
            <w:r w:rsidRPr="009A6CA1">
              <w:rPr>
                <w:sz w:val="16"/>
                <w:szCs w:val="16"/>
              </w:rPr>
              <w:t>Durante el bienio 2014/15 no se produjo ninguna incidencia sustancial en el rendimiento del programa.</w:t>
            </w:r>
          </w:p>
        </w:tc>
      </w:tr>
    </w:tbl>
    <w:p w:rsidR="00E80502" w:rsidRDefault="00E80502" w:rsidP="00DC1333">
      <w:pPr>
        <w:widowControl w:val="0"/>
        <w:rPr>
          <w:color w:val="000000"/>
          <w:szCs w:val="22"/>
        </w:rPr>
      </w:pPr>
    </w:p>
    <w:p w:rsidR="00E80502" w:rsidRPr="009A6CA1" w:rsidRDefault="00E80502" w:rsidP="00DC1333">
      <w:pPr>
        <w:widowControl w:val="0"/>
        <w:rPr>
          <w:color w:val="000000"/>
          <w:szCs w:val="22"/>
        </w:rPr>
      </w:pPr>
    </w:p>
    <w:p w:rsidR="00E80502" w:rsidRPr="009A6CA1" w:rsidRDefault="00403D2C" w:rsidP="00DC1333">
      <w:pPr>
        <w:keepNext/>
        <w:keepLines/>
        <w:widowControl w:val="0"/>
        <w:rPr>
          <w:b/>
          <w:sz w:val="18"/>
          <w:szCs w:val="18"/>
        </w:rPr>
      </w:pPr>
      <w:r w:rsidRPr="00403D2C">
        <w:rPr>
          <w:sz w:val="20"/>
          <w:szCs w:val="22"/>
        </w:rPr>
        <w:lastRenderedPageBreak/>
        <w:t>UTILIZACIÓN DE LOS RECURSOS</w:t>
      </w:r>
    </w:p>
    <w:p w:rsidR="00E80502" w:rsidRPr="009A6CA1" w:rsidRDefault="00E80502" w:rsidP="00DC1333">
      <w:pPr>
        <w:keepNext/>
        <w:keepLines/>
        <w:widowControl w:val="0"/>
        <w:rPr>
          <w:sz w:val="16"/>
          <w:szCs w:val="16"/>
        </w:rPr>
      </w:pPr>
    </w:p>
    <w:p w:rsidR="00E80502" w:rsidRPr="009A6CA1" w:rsidRDefault="00E80502" w:rsidP="00DC1333">
      <w:pPr>
        <w:pStyle w:val="NormalWeb"/>
        <w:keepNext/>
        <w:keepLines/>
        <w:widowControl w:val="0"/>
        <w:spacing w:before="0" w:beforeAutospacing="0" w:after="0" w:afterAutospacing="0"/>
        <w:jc w:val="center"/>
        <w:rPr>
          <w:sz w:val="20"/>
          <w:szCs w:val="20"/>
          <w:lang w:val="es-ES"/>
        </w:rPr>
      </w:pPr>
      <w:r w:rsidRPr="009A6CA1">
        <w:rPr>
          <w:sz w:val="20"/>
          <w:szCs w:val="20"/>
          <w:lang w:val="es-ES"/>
        </w:rPr>
        <w:t xml:space="preserve">Presupuesto y gastos reales (por resultado) </w:t>
      </w:r>
    </w:p>
    <w:p w:rsidR="00E80502" w:rsidRPr="009A6CA1" w:rsidRDefault="00E80502" w:rsidP="00DC1333">
      <w:pPr>
        <w:pStyle w:val="NormalWeb"/>
        <w:keepNext/>
        <w:keepLines/>
        <w:widowControl w:val="0"/>
        <w:spacing w:before="0" w:beforeAutospacing="0" w:after="0" w:afterAutospacing="0"/>
        <w:jc w:val="center"/>
        <w:rPr>
          <w:i/>
          <w:iCs/>
          <w:sz w:val="20"/>
          <w:szCs w:val="20"/>
          <w:lang w:val="es-ES"/>
        </w:rPr>
      </w:pPr>
      <w:r w:rsidRPr="009A6CA1">
        <w:rPr>
          <w:i/>
          <w:iCs/>
          <w:sz w:val="20"/>
          <w:szCs w:val="20"/>
          <w:lang w:val="es-ES"/>
        </w:rPr>
        <w:t>(</w:t>
      </w:r>
      <w:proofErr w:type="gramStart"/>
      <w:r w:rsidRPr="009A6CA1">
        <w:rPr>
          <w:i/>
          <w:iCs/>
          <w:sz w:val="20"/>
          <w:szCs w:val="20"/>
          <w:lang w:val="es-ES"/>
        </w:rPr>
        <w:t>en</w:t>
      </w:r>
      <w:proofErr w:type="gramEnd"/>
      <w:r w:rsidRPr="009A6CA1">
        <w:rPr>
          <w:i/>
          <w:iCs/>
          <w:sz w:val="20"/>
          <w:szCs w:val="20"/>
          <w:lang w:val="es-ES"/>
        </w:rPr>
        <w:t xml:space="preserve"> miles de francos suizos)</w:t>
      </w:r>
    </w:p>
    <w:p w:rsidR="00E80502" w:rsidRPr="009A6CA1" w:rsidRDefault="00E80502" w:rsidP="00DC1333">
      <w:pPr>
        <w:pStyle w:val="NormalWeb"/>
        <w:keepNext/>
        <w:keepLines/>
        <w:widowControl w:val="0"/>
        <w:spacing w:before="0" w:beforeAutospacing="0" w:after="0" w:afterAutospacing="0"/>
        <w:jc w:val="center"/>
        <w:rPr>
          <w:sz w:val="20"/>
          <w:szCs w:val="20"/>
          <w:lang w:val="es-ES"/>
        </w:rPr>
      </w:pPr>
    </w:p>
    <w:p w:rsidR="00E80502" w:rsidRPr="009A6CA1" w:rsidRDefault="00E80502" w:rsidP="00DC1333">
      <w:pPr>
        <w:widowControl w:val="0"/>
        <w:jc w:val="center"/>
      </w:pPr>
      <w:bookmarkStart w:id="156" w:name="Bm18"/>
      <w:bookmarkStart w:id="157" w:name="Punto18"/>
      <w:r>
        <w:rPr>
          <w:noProof/>
          <w:lang w:val="en-US" w:eastAsia="en-US"/>
        </w:rPr>
        <w:drawing>
          <wp:inline distT="0" distB="0" distL="0" distR="0" wp14:anchorId="5D69D675" wp14:editId="4055334D">
            <wp:extent cx="5676900" cy="7934325"/>
            <wp:effectExtent l="0" t="0" r="0" b="9525"/>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5676900" cy="7934325"/>
                    </a:xfrm>
                    <a:prstGeom prst="rect">
                      <a:avLst/>
                    </a:prstGeom>
                    <a:noFill/>
                    <a:ln>
                      <a:noFill/>
                    </a:ln>
                  </pic:spPr>
                </pic:pic>
              </a:graphicData>
            </a:graphic>
          </wp:inline>
        </w:drawing>
      </w:r>
      <w:bookmarkEnd w:id="156"/>
      <w:bookmarkEnd w:id="157"/>
    </w:p>
    <w:p w:rsidR="00E80502" w:rsidRPr="009A6CA1" w:rsidRDefault="00E80502" w:rsidP="00DC1333">
      <w:pPr>
        <w:widowControl w:val="0"/>
        <w:rPr>
          <w:sz w:val="20"/>
        </w:rPr>
      </w:pPr>
    </w:p>
    <w:p w:rsidR="00E80502" w:rsidRPr="009A6CA1" w:rsidRDefault="00E80502" w:rsidP="00DC1333">
      <w:pPr>
        <w:widowControl w:val="0"/>
        <w:rPr>
          <w:sz w:val="20"/>
        </w:rPr>
      </w:pPr>
    </w:p>
    <w:p w:rsidR="00E80502" w:rsidRPr="009A6CA1" w:rsidRDefault="00E80502" w:rsidP="00DC1333">
      <w:pPr>
        <w:pStyle w:val="NormalWeb"/>
        <w:keepNext/>
        <w:widowControl w:val="0"/>
        <w:spacing w:before="0" w:beforeAutospacing="0" w:after="0" w:afterAutospacing="0"/>
        <w:jc w:val="center"/>
        <w:rPr>
          <w:sz w:val="20"/>
          <w:szCs w:val="20"/>
          <w:lang w:val="es-ES"/>
        </w:rPr>
      </w:pPr>
      <w:r w:rsidRPr="009A6CA1">
        <w:rPr>
          <w:sz w:val="20"/>
          <w:szCs w:val="20"/>
          <w:lang w:val="es-ES"/>
        </w:rPr>
        <w:lastRenderedPageBreak/>
        <w:t xml:space="preserve">Presupuesto y gastos reales (de personal y no relativos a personal) </w:t>
      </w:r>
    </w:p>
    <w:p w:rsidR="00E80502" w:rsidRPr="009A6CA1" w:rsidRDefault="00E80502" w:rsidP="00DC1333">
      <w:pPr>
        <w:pStyle w:val="NormalWeb"/>
        <w:keepNext/>
        <w:widowControl w:val="0"/>
        <w:spacing w:before="0" w:beforeAutospacing="0" w:after="0" w:afterAutospacing="0"/>
        <w:jc w:val="center"/>
        <w:rPr>
          <w:i/>
          <w:iCs/>
          <w:sz w:val="20"/>
          <w:szCs w:val="20"/>
          <w:lang w:val="es-ES"/>
        </w:rPr>
      </w:pPr>
      <w:r w:rsidRPr="009A6CA1">
        <w:rPr>
          <w:i/>
          <w:iCs/>
          <w:sz w:val="20"/>
          <w:szCs w:val="20"/>
          <w:lang w:val="es-ES"/>
        </w:rPr>
        <w:t>(</w:t>
      </w:r>
      <w:proofErr w:type="gramStart"/>
      <w:r w:rsidRPr="009A6CA1">
        <w:rPr>
          <w:i/>
          <w:iCs/>
          <w:sz w:val="20"/>
          <w:szCs w:val="20"/>
          <w:lang w:val="es-ES"/>
        </w:rPr>
        <w:t>en</w:t>
      </w:r>
      <w:proofErr w:type="gramEnd"/>
      <w:r w:rsidRPr="009A6CA1">
        <w:rPr>
          <w:i/>
          <w:iCs/>
          <w:sz w:val="20"/>
          <w:szCs w:val="20"/>
          <w:lang w:val="es-ES"/>
        </w:rPr>
        <w:t xml:space="preserve"> miles de francos suizos)</w:t>
      </w:r>
    </w:p>
    <w:p w:rsidR="00E80502" w:rsidRPr="009A6CA1" w:rsidRDefault="00E80502" w:rsidP="00DC1333">
      <w:pPr>
        <w:pStyle w:val="NormalWeb"/>
        <w:keepNext/>
        <w:widowControl w:val="0"/>
        <w:spacing w:before="0" w:beforeAutospacing="0" w:after="0" w:afterAutospacing="0"/>
        <w:jc w:val="center"/>
        <w:rPr>
          <w:lang w:val="es-ES"/>
        </w:rPr>
      </w:pPr>
    </w:p>
    <w:p w:rsidR="00E80502" w:rsidRPr="009A6CA1" w:rsidRDefault="00E80502" w:rsidP="00DC1333">
      <w:pPr>
        <w:keepNext/>
        <w:widowControl w:val="0"/>
        <w:jc w:val="center"/>
      </w:pPr>
      <w:bookmarkStart w:id="158" w:name="Point18"/>
      <w:r>
        <w:rPr>
          <w:noProof/>
          <w:lang w:val="en-US" w:eastAsia="en-US"/>
        </w:rPr>
        <w:drawing>
          <wp:inline distT="0" distB="0" distL="0" distR="0" wp14:anchorId="1F9DE0EC" wp14:editId="06CA904F">
            <wp:extent cx="5940425" cy="1052902"/>
            <wp:effectExtent l="0" t="0" r="3175"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5940425" cy="1052902"/>
                    </a:xfrm>
                    <a:prstGeom prst="rect">
                      <a:avLst/>
                    </a:prstGeom>
                    <a:noFill/>
                    <a:ln>
                      <a:noFill/>
                    </a:ln>
                  </pic:spPr>
                </pic:pic>
              </a:graphicData>
            </a:graphic>
          </wp:inline>
        </w:drawing>
      </w:r>
      <w:bookmarkEnd w:id="158"/>
    </w:p>
    <w:p w:rsidR="00E80502" w:rsidRDefault="00E80502" w:rsidP="00DC1333">
      <w:pPr>
        <w:keepNext/>
        <w:widowControl w:val="0"/>
        <w:autoSpaceDE w:val="0"/>
        <w:autoSpaceDN w:val="0"/>
        <w:adjustRightInd w:val="0"/>
        <w:rPr>
          <w:sz w:val="20"/>
        </w:rPr>
      </w:pPr>
    </w:p>
    <w:p w:rsidR="00E80502" w:rsidRPr="009A6CA1" w:rsidRDefault="00E80502" w:rsidP="00DC1333">
      <w:pPr>
        <w:widowControl w:val="0"/>
        <w:autoSpaceDE w:val="0"/>
        <w:autoSpaceDN w:val="0"/>
        <w:adjustRightInd w:val="0"/>
        <w:rPr>
          <w:sz w:val="20"/>
        </w:rPr>
      </w:pPr>
    </w:p>
    <w:p w:rsidR="00E80502" w:rsidRPr="009A6CA1" w:rsidRDefault="00403D2C" w:rsidP="001F0F1A">
      <w:pPr>
        <w:widowControl w:val="0"/>
        <w:tabs>
          <w:tab w:val="left" w:pos="709"/>
        </w:tabs>
        <w:rPr>
          <w:sz w:val="20"/>
          <w:u w:val="single"/>
        </w:rPr>
      </w:pPr>
      <w:r w:rsidRPr="00403D2C">
        <w:rPr>
          <w:sz w:val="20"/>
        </w:rPr>
        <w:t>A.</w:t>
      </w:r>
      <w:r w:rsidRPr="00403D2C">
        <w:rPr>
          <w:sz w:val="20"/>
        </w:rPr>
        <w:tab/>
      </w:r>
      <w:r w:rsidRPr="00403D2C">
        <w:rPr>
          <w:sz w:val="20"/>
          <w:u w:val="single"/>
        </w:rPr>
        <w:t>Presupuesto final de 2014/15 tras las transferencias</w:t>
      </w:r>
    </w:p>
    <w:p w:rsidR="00E80502" w:rsidRPr="009A6CA1" w:rsidRDefault="00E80502" w:rsidP="00DC1333">
      <w:pPr>
        <w:widowControl w:val="0"/>
        <w:rPr>
          <w:sz w:val="20"/>
          <w:lang w:eastAsia="ko-KR"/>
        </w:rPr>
      </w:pPr>
    </w:p>
    <w:p w:rsidR="00E80502" w:rsidRPr="009A6CA1" w:rsidRDefault="00E80502" w:rsidP="001F0F1A">
      <w:pPr>
        <w:widowControl w:val="0"/>
        <w:numPr>
          <w:ilvl w:val="0"/>
          <w:numId w:val="85"/>
        </w:numPr>
        <w:tabs>
          <w:tab w:val="left" w:pos="709"/>
        </w:tabs>
        <w:ind w:left="0" w:firstLine="0"/>
        <w:jc w:val="both"/>
        <w:rPr>
          <w:sz w:val="20"/>
          <w:lang w:eastAsia="ko-KR"/>
        </w:rPr>
      </w:pPr>
      <w:r w:rsidRPr="009A6CA1">
        <w:rPr>
          <w:sz w:val="20"/>
          <w:lang w:eastAsia="ko-KR"/>
        </w:rPr>
        <w:t>La disminución neta de los recursos de personal se debe a</w:t>
      </w:r>
      <w:proofErr w:type="gramStart"/>
      <w:r w:rsidRPr="009A6CA1">
        <w:rPr>
          <w:sz w:val="20"/>
          <w:lang w:eastAsia="ko-KR"/>
        </w:rPr>
        <w:t>:  i</w:t>
      </w:r>
      <w:proofErr w:type="gramEnd"/>
      <w:r w:rsidRPr="009A6CA1">
        <w:rPr>
          <w:sz w:val="20"/>
          <w:lang w:eastAsia="ko-KR"/>
        </w:rPr>
        <w:t>) el traslado temporal de un miembro del personal al programa 6 con objeto de apoyar la labor relativa a las nuevas adhesiones al Sistema de Madrid, y ii) el traslado de un miembro del personal del programa debido a los cambios producidos en la Organización con motivo de la entrada en funciones del nuevo equipo directivo en diciembre de 2014.</w:t>
      </w:r>
    </w:p>
    <w:p w:rsidR="00E80502" w:rsidRPr="009A6CA1" w:rsidRDefault="00E80502" w:rsidP="001F0F1A">
      <w:pPr>
        <w:widowControl w:val="0"/>
        <w:tabs>
          <w:tab w:val="left" w:pos="709"/>
        </w:tabs>
        <w:autoSpaceDE w:val="0"/>
        <w:autoSpaceDN w:val="0"/>
        <w:jc w:val="both"/>
        <w:rPr>
          <w:sz w:val="20"/>
          <w:lang w:eastAsia="ko-KR"/>
        </w:rPr>
      </w:pPr>
    </w:p>
    <w:p w:rsidR="00E80502" w:rsidRPr="009A6CA1" w:rsidRDefault="00E80502" w:rsidP="001F0F1A">
      <w:pPr>
        <w:widowControl w:val="0"/>
        <w:numPr>
          <w:ilvl w:val="0"/>
          <w:numId w:val="85"/>
        </w:numPr>
        <w:tabs>
          <w:tab w:val="left" w:pos="709"/>
        </w:tabs>
        <w:ind w:left="0" w:firstLine="0"/>
        <w:jc w:val="both"/>
        <w:rPr>
          <w:sz w:val="20"/>
          <w:lang w:eastAsia="ko-KR"/>
        </w:rPr>
      </w:pPr>
      <w:r w:rsidRPr="009A6CA1">
        <w:rPr>
          <w:sz w:val="20"/>
          <w:lang w:eastAsia="ko-KR"/>
        </w:rPr>
        <w:t xml:space="preserve">El aumento de recursos no relativos a personal se debe a:  i) la transferencia de fondos procedentes de los programas 6 y 9 en relación con los servicios contractuales necesarios para compensar los traslados temporales mencionados, con miras a asegurar la continuidad de la labor relativa a las plataformas y aplicaciones de T.I. de la OMPI en el Sector de Cuestiones Mundiales;  ii) la transferencia de más recursos no relativos a personal para respaldar la creciente utilización y las mejoras de las plataformas de la OMPI, y iii) la transferencia de más fondos para cumplir las obligaciones de la OMPI en relación con </w:t>
      </w:r>
      <w:r w:rsidRPr="009A6CA1">
        <w:rPr>
          <w:bCs/>
          <w:i/>
          <w:color w:val="000000" w:themeColor="text1"/>
          <w:sz w:val="20"/>
        </w:rPr>
        <w:t xml:space="preserve">WIPO </w:t>
      </w:r>
      <w:proofErr w:type="spellStart"/>
      <w:r w:rsidRPr="009A6CA1">
        <w:rPr>
          <w:bCs/>
          <w:i/>
          <w:color w:val="000000" w:themeColor="text1"/>
          <w:sz w:val="20"/>
        </w:rPr>
        <w:t>Re:Search</w:t>
      </w:r>
      <w:proofErr w:type="spellEnd"/>
      <w:r w:rsidRPr="009A6CA1">
        <w:rPr>
          <w:bCs/>
          <w:color w:val="000000" w:themeColor="text1"/>
          <w:sz w:val="20"/>
        </w:rPr>
        <w:t xml:space="preserve">, de acuerdo con el memorando de entendimiento firmado con </w:t>
      </w:r>
      <w:proofErr w:type="spellStart"/>
      <w:r w:rsidRPr="009A6CA1">
        <w:rPr>
          <w:bCs/>
          <w:color w:val="000000" w:themeColor="text1"/>
          <w:sz w:val="20"/>
        </w:rPr>
        <w:t>Bio</w:t>
      </w:r>
      <w:proofErr w:type="spellEnd"/>
      <w:r w:rsidRPr="009A6CA1">
        <w:rPr>
          <w:bCs/>
          <w:color w:val="000000" w:themeColor="text1"/>
          <w:sz w:val="20"/>
        </w:rPr>
        <w:t xml:space="preserve"> </w:t>
      </w:r>
      <w:proofErr w:type="spellStart"/>
      <w:r w:rsidRPr="009A6CA1">
        <w:rPr>
          <w:bCs/>
          <w:color w:val="000000" w:themeColor="text1"/>
          <w:sz w:val="20"/>
        </w:rPr>
        <w:t>Ventures</w:t>
      </w:r>
      <w:proofErr w:type="spellEnd"/>
      <w:r w:rsidRPr="009A6CA1">
        <w:rPr>
          <w:bCs/>
          <w:color w:val="000000" w:themeColor="text1"/>
          <w:sz w:val="20"/>
        </w:rPr>
        <w:t xml:space="preserve"> </w:t>
      </w:r>
      <w:proofErr w:type="spellStart"/>
      <w:r w:rsidRPr="009A6CA1">
        <w:rPr>
          <w:bCs/>
          <w:color w:val="000000" w:themeColor="text1"/>
          <w:sz w:val="20"/>
        </w:rPr>
        <w:t>for</w:t>
      </w:r>
      <w:proofErr w:type="spellEnd"/>
      <w:r w:rsidRPr="009A6CA1">
        <w:rPr>
          <w:bCs/>
          <w:color w:val="000000" w:themeColor="text1"/>
          <w:sz w:val="20"/>
        </w:rPr>
        <w:t xml:space="preserve"> Global </w:t>
      </w:r>
      <w:proofErr w:type="spellStart"/>
      <w:r w:rsidRPr="009A6CA1">
        <w:rPr>
          <w:bCs/>
          <w:color w:val="000000" w:themeColor="text1"/>
          <w:sz w:val="20"/>
        </w:rPr>
        <w:t>Health</w:t>
      </w:r>
      <w:proofErr w:type="spellEnd"/>
      <w:r w:rsidRPr="009A6CA1">
        <w:rPr>
          <w:bCs/>
          <w:color w:val="000000" w:themeColor="text1"/>
          <w:sz w:val="20"/>
        </w:rPr>
        <w:t xml:space="preserve"> (BVGH).</w:t>
      </w:r>
    </w:p>
    <w:p w:rsidR="00E80502" w:rsidRPr="009A6CA1" w:rsidRDefault="00E80502" w:rsidP="001F0F1A">
      <w:pPr>
        <w:widowControl w:val="0"/>
        <w:tabs>
          <w:tab w:val="left" w:pos="709"/>
        </w:tabs>
        <w:jc w:val="both"/>
        <w:rPr>
          <w:sz w:val="20"/>
          <w:lang w:eastAsia="ko-KR"/>
        </w:rPr>
      </w:pPr>
    </w:p>
    <w:p w:rsidR="00E80502" w:rsidRPr="009A6CA1" w:rsidRDefault="00E80502" w:rsidP="001F0F1A">
      <w:pPr>
        <w:widowControl w:val="0"/>
        <w:numPr>
          <w:ilvl w:val="0"/>
          <w:numId w:val="85"/>
        </w:numPr>
        <w:tabs>
          <w:tab w:val="left" w:pos="709"/>
        </w:tabs>
        <w:ind w:left="0" w:firstLine="0"/>
        <w:jc w:val="both"/>
        <w:rPr>
          <w:sz w:val="20"/>
          <w:lang w:eastAsia="ko-KR"/>
        </w:rPr>
      </w:pPr>
      <w:r w:rsidRPr="009A6CA1">
        <w:rPr>
          <w:sz w:val="20"/>
          <w:lang w:eastAsia="ko-KR"/>
        </w:rPr>
        <w:t>En general, los ajustes efectuados en todos los resultados previstos en el</w:t>
      </w:r>
      <w:r w:rsidRPr="009A6CA1">
        <w:rPr>
          <w:sz w:val="20"/>
        </w:rPr>
        <w:t xml:space="preserve"> </w:t>
      </w:r>
      <w:r w:rsidRPr="009A6CA1">
        <w:rPr>
          <w:sz w:val="20"/>
          <w:lang w:eastAsia="ko-KR"/>
        </w:rPr>
        <w:t>presupuesto final de 2014/15 tras las transferencias reflejan la aplicación de la nueva metodología para la asignación de recursos de personal, que es más precisa, y resulta de las mejoras aportadas al sistema de planificación de la gestión del rendimiento institucional para la planificación anual del trabajo en 2014 y 2015.</w:t>
      </w:r>
    </w:p>
    <w:p w:rsidR="00E80502" w:rsidRPr="009A6CA1" w:rsidRDefault="00E80502" w:rsidP="001F0F1A">
      <w:pPr>
        <w:widowControl w:val="0"/>
        <w:tabs>
          <w:tab w:val="left" w:pos="709"/>
        </w:tabs>
        <w:autoSpaceDE w:val="0"/>
        <w:autoSpaceDN w:val="0"/>
        <w:jc w:val="both"/>
        <w:rPr>
          <w:sz w:val="20"/>
          <w:lang w:eastAsia="ko-KR"/>
        </w:rPr>
      </w:pPr>
    </w:p>
    <w:p w:rsidR="00E80502" w:rsidRPr="009A6CA1" w:rsidRDefault="00E80502" w:rsidP="001F0F1A">
      <w:pPr>
        <w:pStyle w:val="ListParagraph"/>
        <w:widowControl w:val="0"/>
        <w:numPr>
          <w:ilvl w:val="0"/>
          <w:numId w:val="85"/>
        </w:numPr>
        <w:tabs>
          <w:tab w:val="left" w:pos="709"/>
        </w:tabs>
        <w:ind w:left="0" w:firstLine="0"/>
        <w:jc w:val="both"/>
        <w:rPr>
          <w:rFonts w:cs="Arial"/>
          <w:bCs/>
          <w:lang w:val="es-ES"/>
        </w:rPr>
      </w:pPr>
      <w:r w:rsidRPr="009A6CA1">
        <w:rPr>
          <w:rFonts w:cs="Arial"/>
          <w:lang w:val="es-ES"/>
        </w:rPr>
        <w:t>Los recursos asignados a los resultados previstos I.1, II.8, II.9, VI.1, VI.2 y VIII.5 en el marco del presente programa reflejan los esfuerzos que ha dedicado la Oficina del Subdirector General del Sector de Cuestiones Mundiales a las actividades de los programas 4, 7, 17 y 20, respectivamente.</w:t>
      </w:r>
    </w:p>
    <w:p w:rsidR="00E80502" w:rsidRPr="009A6CA1" w:rsidRDefault="00E80502" w:rsidP="001F0F1A">
      <w:pPr>
        <w:widowControl w:val="0"/>
        <w:tabs>
          <w:tab w:val="left" w:pos="709"/>
        </w:tabs>
        <w:autoSpaceDE w:val="0"/>
        <w:autoSpaceDN w:val="0"/>
        <w:jc w:val="both"/>
        <w:rPr>
          <w:sz w:val="20"/>
          <w:lang w:eastAsia="ko-KR"/>
        </w:rPr>
      </w:pPr>
    </w:p>
    <w:p w:rsidR="00E80502" w:rsidRPr="009A6CA1" w:rsidRDefault="00403D2C" w:rsidP="001F0F1A">
      <w:pPr>
        <w:widowControl w:val="0"/>
        <w:tabs>
          <w:tab w:val="left" w:pos="709"/>
        </w:tabs>
        <w:jc w:val="both"/>
        <w:rPr>
          <w:sz w:val="20"/>
          <w:u w:val="single"/>
          <w:lang w:eastAsia="ko-KR"/>
        </w:rPr>
      </w:pPr>
      <w:r w:rsidRPr="00403D2C">
        <w:rPr>
          <w:sz w:val="20"/>
          <w:lang w:eastAsia="ko-KR"/>
        </w:rPr>
        <w:t>B.</w:t>
      </w:r>
      <w:r w:rsidRPr="00403D2C">
        <w:rPr>
          <w:sz w:val="20"/>
          <w:lang w:eastAsia="ko-KR"/>
        </w:rPr>
        <w:tab/>
      </w:r>
      <w:r w:rsidRPr="00403D2C">
        <w:rPr>
          <w:sz w:val="20"/>
          <w:u w:val="single"/>
          <w:lang w:eastAsia="ko-KR"/>
        </w:rPr>
        <w:t>Utilización del presupuesto en 2014/15</w:t>
      </w:r>
    </w:p>
    <w:p w:rsidR="00E80502" w:rsidRPr="009A6CA1" w:rsidRDefault="00E80502" w:rsidP="001F0F1A">
      <w:pPr>
        <w:widowControl w:val="0"/>
        <w:tabs>
          <w:tab w:val="left" w:pos="709"/>
        </w:tabs>
        <w:jc w:val="both"/>
        <w:rPr>
          <w:sz w:val="20"/>
          <w:u w:val="single"/>
          <w:lang w:eastAsia="ko-KR"/>
        </w:rPr>
      </w:pPr>
    </w:p>
    <w:p w:rsidR="00E80502" w:rsidRPr="009A6CA1" w:rsidRDefault="00E80502" w:rsidP="001F0F1A">
      <w:pPr>
        <w:pStyle w:val="ListParagraph"/>
        <w:widowControl w:val="0"/>
        <w:numPr>
          <w:ilvl w:val="0"/>
          <w:numId w:val="85"/>
        </w:numPr>
        <w:tabs>
          <w:tab w:val="left" w:pos="709"/>
        </w:tabs>
        <w:ind w:left="0" w:firstLine="0"/>
        <w:jc w:val="both"/>
        <w:rPr>
          <w:rFonts w:ascii="Calibri" w:hAnsi="Calibri"/>
          <w:lang w:val="es-ES"/>
        </w:rPr>
      </w:pPr>
      <w:r w:rsidRPr="009A6CA1">
        <w:rPr>
          <w:rFonts w:cs="Arial"/>
          <w:lang w:val="es-ES" w:eastAsia="ko-KR"/>
        </w:rPr>
        <w:t>La ligera infrautilización de los recursos no relativos a personal refleja</w:t>
      </w:r>
      <w:proofErr w:type="gramStart"/>
      <w:r w:rsidRPr="009A6CA1">
        <w:rPr>
          <w:rFonts w:cs="Arial"/>
          <w:lang w:val="es-ES" w:eastAsia="ko-KR"/>
        </w:rPr>
        <w:t>:  i</w:t>
      </w:r>
      <w:proofErr w:type="gramEnd"/>
      <w:r w:rsidRPr="009A6CA1">
        <w:rPr>
          <w:rFonts w:cs="Arial"/>
          <w:lang w:val="es-ES" w:eastAsia="ko-KR"/>
        </w:rPr>
        <w:t>) los ahorros de costos, en particular en relación con los viajes y la organización de reuniones, y ii) la jubilación del Director de P.I. y Política de Competencia a mediados de 2015.</w:t>
      </w:r>
    </w:p>
    <w:p w:rsidR="00E80502" w:rsidRDefault="00E80502" w:rsidP="001F0F1A">
      <w:pPr>
        <w:tabs>
          <w:tab w:val="left" w:pos="709"/>
        </w:tabs>
      </w:pPr>
    </w:p>
    <w:p w:rsidR="00E80502" w:rsidRDefault="00E80502"/>
    <w:p w:rsidR="00E80502" w:rsidRPr="009A6CA1" w:rsidRDefault="00E80502"/>
    <w:p w:rsidR="00E80502" w:rsidRPr="00E80502" w:rsidRDefault="00E80502" w:rsidP="00FA423E">
      <w:pPr>
        <w:rPr>
          <w:b/>
          <w:bCs/>
          <w:iCs/>
          <w:caps/>
          <w:lang w:eastAsia="da-DK"/>
        </w:rPr>
      </w:pPr>
    </w:p>
    <w:p w:rsidR="00FA423E" w:rsidRPr="00E80502" w:rsidRDefault="00FA423E" w:rsidP="00FA423E">
      <w:pPr>
        <w:rPr>
          <w:b/>
          <w:bCs/>
          <w:iCs/>
          <w:caps/>
          <w:lang w:eastAsia="da-DK"/>
        </w:rPr>
      </w:pPr>
      <w:r w:rsidRPr="00E80502">
        <w:rPr>
          <w:b/>
          <w:bCs/>
          <w:iCs/>
          <w:caps/>
          <w:lang w:eastAsia="da-DK"/>
        </w:rPr>
        <w:br w:type="page"/>
      </w:r>
    </w:p>
    <w:p w:rsidR="00FA423E" w:rsidRPr="00F171B5" w:rsidRDefault="00FA423E" w:rsidP="00FA423E">
      <w:pPr>
        <w:pStyle w:val="StyleHeading214ptAuto"/>
        <w:rPr>
          <w:rFonts w:ascii="Arial" w:hAnsi="Arial" w:cs="Arial"/>
          <w:sz w:val="20"/>
          <w:szCs w:val="20"/>
          <w:lang w:val="es-ES"/>
        </w:rPr>
      </w:pPr>
      <w:bookmarkStart w:id="159" w:name="_Toc455159099"/>
      <w:bookmarkEnd w:id="152"/>
      <w:r w:rsidRPr="00F171B5">
        <w:rPr>
          <w:rFonts w:ascii="Arial" w:hAnsi="Arial" w:cs="Arial"/>
          <w:sz w:val="20"/>
          <w:szCs w:val="20"/>
          <w:lang w:val="es-ES_tradnl"/>
        </w:rPr>
        <w:lastRenderedPageBreak/>
        <w:t>META ESTRATÉGICA VIII</w:t>
      </w:r>
      <w:bookmarkEnd w:id="159"/>
    </w:p>
    <w:p w:rsidR="00FA423E" w:rsidRPr="00F171B5" w:rsidRDefault="00FA423E" w:rsidP="00FA423E">
      <w:pPr>
        <w:jc w:val="center"/>
        <w:rPr>
          <w:sz w:val="20"/>
        </w:rPr>
      </w:pPr>
    </w:p>
    <w:bookmarkEnd w:id="153"/>
    <w:p w:rsidR="00FA423E" w:rsidRPr="00F171B5" w:rsidRDefault="00FA423E" w:rsidP="00FA423E">
      <w:pPr>
        <w:jc w:val="center"/>
        <w:rPr>
          <w:b/>
          <w:sz w:val="20"/>
        </w:rPr>
      </w:pPr>
      <w:r w:rsidRPr="00F171B5">
        <w:rPr>
          <w:b/>
          <w:sz w:val="20"/>
          <w:lang w:val="es-ES_tradnl"/>
        </w:rPr>
        <w:t xml:space="preserve">COMUNICACIÓN EFICAZ ENTRE LA OMPI, SUS ESTADOS MIEMBROS Y TODAS </w:t>
      </w:r>
      <w:r w:rsidRPr="00F171B5">
        <w:rPr>
          <w:b/>
          <w:sz w:val="20"/>
          <w:lang w:val="es-ES_tradnl"/>
        </w:rPr>
        <w:br/>
        <w:t>LAS PARTES INTERESADAS</w:t>
      </w:r>
    </w:p>
    <w:p w:rsidR="00FA423E" w:rsidRPr="00F171B5" w:rsidRDefault="00FA423E" w:rsidP="00FA423E">
      <w:pPr>
        <w:jc w:val="center"/>
        <w:rPr>
          <w:b/>
          <w:sz w:val="20"/>
        </w:rPr>
      </w:pPr>
    </w:p>
    <w:p w:rsidR="00FA423E" w:rsidRPr="00F171B5" w:rsidRDefault="00FA423E" w:rsidP="00FA423E">
      <w:pPr>
        <w:jc w:val="center"/>
        <w:rPr>
          <w:b/>
          <w:sz w:val="20"/>
        </w:rPr>
      </w:pPr>
      <w:r w:rsidRPr="00F171B5">
        <w:rPr>
          <w:b/>
          <w:sz w:val="20"/>
        </w:rPr>
        <w:t xml:space="preserve">Cuadro sobre el rendimiento bienal </w:t>
      </w:r>
    </w:p>
    <w:p w:rsidR="00FA423E" w:rsidRPr="00F171B5" w:rsidRDefault="00FA423E" w:rsidP="00FA423E">
      <w:pPr>
        <w:jc w:val="center"/>
        <w:rPr>
          <w:b/>
          <w:sz w:val="20"/>
        </w:rPr>
      </w:pPr>
    </w:p>
    <w:p w:rsidR="00FA423E" w:rsidRPr="00F171B5" w:rsidRDefault="00FA423E" w:rsidP="00FA423E">
      <w:pPr>
        <w:autoSpaceDE w:val="0"/>
        <w:autoSpaceDN w:val="0"/>
        <w:adjustRightInd w:val="0"/>
        <w:jc w:val="both"/>
        <w:rPr>
          <w:sz w:val="20"/>
        </w:rPr>
      </w:pPr>
      <w:r w:rsidRPr="00F171B5">
        <w:rPr>
          <w:sz w:val="20"/>
          <w:lang w:val="es-ES_tradnl"/>
        </w:rPr>
        <w:t>En el siguiente cuadro se reseñan los avances realizados hacia la consecución de los resultados en el bienio 2014/15, medidos con arreglo a los indicadores de los programas que contribuyen al logro de esta meta estratégica.</w:t>
      </w:r>
      <w:r w:rsidRPr="00F171B5">
        <w:rPr>
          <w:sz w:val="20"/>
        </w:rPr>
        <w:t xml:space="preserve">  </w:t>
      </w:r>
    </w:p>
    <w:p w:rsidR="00FA423E" w:rsidRPr="00F171B5" w:rsidRDefault="00FA423E" w:rsidP="00FA423E">
      <w:pPr>
        <w:jc w:val="center"/>
        <w:rPr>
          <w:sz w:val="20"/>
        </w:rPr>
      </w:pPr>
      <w:r w:rsidRPr="00F171B5">
        <w:rPr>
          <w:noProof/>
          <w:sz w:val="20"/>
          <w:lang w:val="en-US" w:eastAsia="en-US"/>
        </w:rPr>
        <w:drawing>
          <wp:inline distT="0" distB="0" distL="0" distR="0" wp14:anchorId="240EE09F" wp14:editId="69CBF6E5">
            <wp:extent cx="5940425" cy="2998528"/>
            <wp:effectExtent l="0" t="0" r="317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5940425" cy="2998528"/>
                    </a:xfrm>
                    <a:prstGeom prst="rect">
                      <a:avLst/>
                    </a:prstGeom>
                    <a:noFill/>
                    <a:ln>
                      <a:noFill/>
                    </a:ln>
                  </pic:spPr>
                </pic:pic>
              </a:graphicData>
            </a:graphic>
          </wp:inline>
        </w:drawing>
      </w:r>
    </w:p>
    <w:p w:rsidR="00FA423E" w:rsidRPr="00F171B5" w:rsidRDefault="00FA423E" w:rsidP="00FA423E">
      <w:pPr>
        <w:rPr>
          <w:sz w:val="20"/>
        </w:rPr>
      </w:pPr>
    </w:p>
    <w:tbl>
      <w:tblPr>
        <w:tblW w:w="4942"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872"/>
        <w:gridCol w:w="4043"/>
        <w:gridCol w:w="1705"/>
        <w:gridCol w:w="840"/>
      </w:tblGrid>
      <w:tr w:rsidR="00FA423E" w:rsidRPr="00AF5E7C" w:rsidTr="00DC1333">
        <w:trPr>
          <w:cantSplit/>
          <w:trHeight w:val="383"/>
          <w:tblHeader/>
        </w:trPr>
        <w:tc>
          <w:tcPr>
            <w:tcW w:w="1541" w:type="pct"/>
            <w:tcBorders>
              <w:top w:val="single" w:sz="4" w:space="0" w:color="auto"/>
              <w:bottom w:val="single" w:sz="4" w:space="0" w:color="auto"/>
            </w:tcBorders>
            <w:shd w:val="clear" w:color="auto" w:fill="DAEEF3" w:themeFill="accent5" w:themeFillTint="33"/>
            <w:tcMar>
              <w:top w:w="113" w:type="dxa"/>
              <w:bottom w:w="85" w:type="dxa"/>
            </w:tcMar>
            <w:vAlign w:val="center"/>
          </w:tcPr>
          <w:p w:rsidR="00FA423E" w:rsidRPr="007E4934" w:rsidRDefault="00FA423E" w:rsidP="00DC1333">
            <w:pPr>
              <w:spacing w:after="120"/>
              <w:rPr>
                <w:b/>
                <w:bCs/>
                <w:sz w:val="18"/>
                <w:szCs w:val="18"/>
              </w:rPr>
            </w:pPr>
            <w:r w:rsidRPr="007E4934">
              <w:rPr>
                <w:b/>
                <w:bCs/>
                <w:sz w:val="18"/>
                <w:szCs w:val="18"/>
                <w:lang w:val="es-ES_tradnl"/>
              </w:rPr>
              <w:t>Resultados previstos</w:t>
            </w:r>
          </w:p>
        </w:tc>
        <w:tc>
          <w:tcPr>
            <w:tcW w:w="2160" w:type="pct"/>
            <w:tcBorders>
              <w:top w:val="single" w:sz="4" w:space="0" w:color="auto"/>
              <w:bottom w:val="single" w:sz="4" w:space="0" w:color="auto"/>
            </w:tcBorders>
            <w:shd w:val="clear" w:color="auto" w:fill="DAEEF3" w:themeFill="accent5" w:themeFillTint="33"/>
            <w:tcMar>
              <w:top w:w="113" w:type="dxa"/>
              <w:bottom w:w="85" w:type="dxa"/>
            </w:tcMar>
            <w:vAlign w:val="center"/>
          </w:tcPr>
          <w:p w:rsidR="00FA423E" w:rsidRPr="007E4934" w:rsidRDefault="00FA423E" w:rsidP="00DC1333">
            <w:pPr>
              <w:spacing w:after="120"/>
              <w:rPr>
                <w:b/>
                <w:sz w:val="18"/>
                <w:szCs w:val="18"/>
              </w:rPr>
            </w:pPr>
            <w:r w:rsidRPr="007E4934">
              <w:rPr>
                <w:b/>
                <w:sz w:val="18"/>
                <w:szCs w:val="18"/>
                <w:lang w:val="es-ES_tradnl"/>
              </w:rPr>
              <w:t>Indicadores de rendimiento</w:t>
            </w:r>
          </w:p>
        </w:tc>
        <w:tc>
          <w:tcPr>
            <w:tcW w:w="924" w:type="pct"/>
            <w:tcBorders>
              <w:top w:val="single" w:sz="4" w:space="0" w:color="auto"/>
              <w:bottom w:val="single" w:sz="4" w:space="0" w:color="auto"/>
            </w:tcBorders>
            <w:shd w:val="clear" w:color="auto" w:fill="DAEEF3" w:themeFill="accent5" w:themeFillTint="33"/>
            <w:tcMar>
              <w:top w:w="113" w:type="dxa"/>
              <w:bottom w:w="85" w:type="dxa"/>
            </w:tcMar>
            <w:vAlign w:val="center"/>
          </w:tcPr>
          <w:p w:rsidR="00FA423E" w:rsidRPr="007E4934" w:rsidRDefault="00FA423E" w:rsidP="00DC1333">
            <w:pPr>
              <w:spacing w:after="120"/>
              <w:ind w:left="85"/>
              <w:jc w:val="center"/>
              <w:rPr>
                <w:sz w:val="18"/>
                <w:szCs w:val="18"/>
              </w:rPr>
            </w:pPr>
            <w:r w:rsidRPr="007E4934">
              <w:rPr>
                <w:b/>
                <w:sz w:val="18"/>
                <w:szCs w:val="18"/>
                <w:lang w:val="es-ES_tradnl"/>
              </w:rPr>
              <w:t>Programas responsables</w:t>
            </w:r>
          </w:p>
        </w:tc>
        <w:tc>
          <w:tcPr>
            <w:tcW w:w="375" w:type="pct"/>
            <w:tcBorders>
              <w:top w:val="single" w:sz="4" w:space="0" w:color="auto"/>
              <w:bottom w:val="single" w:sz="4" w:space="0" w:color="auto"/>
            </w:tcBorders>
            <w:shd w:val="clear" w:color="auto" w:fill="DAEEF3" w:themeFill="accent5" w:themeFillTint="33"/>
          </w:tcPr>
          <w:p w:rsidR="00FA423E" w:rsidRPr="007E4934" w:rsidRDefault="00FA423E" w:rsidP="00DC1333">
            <w:pPr>
              <w:spacing w:after="120"/>
              <w:ind w:left="-17" w:firstLine="32"/>
              <w:jc w:val="center"/>
              <w:rPr>
                <w:b/>
                <w:bCs/>
                <w:sz w:val="18"/>
                <w:szCs w:val="18"/>
              </w:rPr>
            </w:pPr>
            <w:r w:rsidRPr="007E4934">
              <w:rPr>
                <w:b/>
                <w:bCs/>
                <w:sz w:val="18"/>
                <w:szCs w:val="18"/>
                <w:lang w:val="es-ES_tradnl"/>
              </w:rPr>
              <w:t>Clave de colores</w:t>
            </w:r>
          </w:p>
        </w:tc>
      </w:tr>
      <w:tr w:rsidR="00FA423E" w:rsidRPr="00AF5E7C" w:rsidTr="00DC1333">
        <w:trPr>
          <w:cantSplit/>
          <w:trHeight w:val="408"/>
        </w:trPr>
        <w:tc>
          <w:tcPr>
            <w:tcW w:w="1541" w:type="pct"/>
            <w:vMerge w:val="restart"/>
            <w:tcBorders>
              <w:top w:val="single" w:sz="4" w:space="0" w:color="auto"/>
            </w:tcBorders>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VIII.1 Comunicación más eficaz con el público en general acerca de la P.I. y la función de la OMPI</w:t>
            </w:r>
          </w:p>
        </w:tc>
        <w:tc>
          <w:tcPr>
            <w:tcW w:w="2160" w:type="pct"/>
            <w:tcBorders>
              <w:top w:val="single" w:sz="4" w:space="0" w:color="auto"/>
            </w:tcBorders>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Grado de interés público generado por importantes actividades/logros de la OMPI</w:t>
            </w:r>
          </w:p>
        </w:tc>
        <w:tc>
          <w:tcPr>
            <w:tcW w:w="924" w:type="pct"/>
            <w:tcBorders>
              <w:top w:val="single" w:sz="4" w:space="0" w:color="auto"/>
            </w:tcBorders>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19</w:t>
            </w:r>
          </w:p>
        </w:tc>
        <w:tc>
          <w:tcPr>
            <w:tcW w:w="375" w:type="pct"/>
            <w:tcBorders>
              <w:top w:val="single" w:sz="4" w:space="0" w:color="auto"/>
            </w:tcBorders>
            <w:shd w:val="clear" w:color="auto" w:fill="FFFFFF"/>
          </w:tcPr>
          <w:p w:rsidR="00FA423E" w:rsidRPr="00CC3F44" w:rsidRDefault="00FA423E" w:rsidP="00DC1333">
            <w:pPr>
              <w:jc w:val="center"/>
            </w:pPr>
            <w:r w:rsidRPr="00CC3F44">
              <w:rPr>
                <w:color w:val="008000"/>
                <w:szCs w:val="22"/>
              </w:rPr>
              <w:sym w:font="Wingdings" w:char="F06C"/>
            </w:r>
          </w:p>
        </w:tc>
      </w:tr>
      <w:tr w:rsidR="00FA423E" w:rsidRPr="00AF5E7C" w:rsidTr="00DC1333">
        <w:trPr>
          <w:cantSplit/>
          <w:trHeight w:val="232"/>
        </w:trPr>
        <w:tc>
          <w:tcPr>
            <w:tcW w:w="1541" w:type="pct"/>
            <w:vMerge/>
            <w:shd w:val="clear" w:color="auto" w:fill="auto"/>
            <w:tcMar>
              <w:top w:w="113" w:type="dxa"/>
              <w:bottom w:w="85" w:type="dxa"/>
            </w:tcMar>
          </w:tcPr>
          <w:p w:rsidR="00FA423E" w:rsidRPr="007E4934" w:rsidRDefault="00FA423E" w:rsidP="00DC1333">
            <w:pPr>
              <w:rPr>
                <w:sz w:val="16"/>
                <w:szCs w:val="16"/>
              </w:rPr>
            </w:pPr>
          </w:p>
        </w:tc>
        <w:tc>
          <w:tcPr>
            <w:tcW w:w="2160" w:type="pct"/>
            <w:vMerge w:val="restar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Porcentaje de opiniones favorables de las partes interesadas sobre la misión, las actividades y la imagen institucional de la OMPI</w:t>
            </w:r>
          </w:p>
        </w:tc>
        <w:tc>
          <w:tcPr>
            <w:tcW w:w="924"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19</w:t>
            </w:r>
          </w:p>
        </w:tc>
        <w:tc>
          <w:tcPr>
            <w:tcW w:w="375" w:type="pct"/>
            <w:shd w:val="clear" w:color="auto" w:fill="FFFFFF"/>
          </w:tcPr>
          <w:p w:rsidR="00FA423E" w:rsidRPr="00CC3F44" w:rsidRDefault="00FA423E" w:rsidP="00DC1333">
            <w:pPr>
              <w:jc w:val="center"/>
              <w:rPr>
                <w:color w:val="A6A6A6" w:themeColor="background1" w:themeShade="A6"/>
                <w:szCs w:val="22"/>
              </w:rPr>
            </w:pPr>
            <w:r w:rsidRPr="00CC3F44">
              <w:rPr>
                <w:color w:val="008000"/>
                <w:szCs w:val="22"/>
              </w:rPr>
              <w:sym w:font="Wingdings" w:char="F06C"/>
            </w:r>
          </w:p>
        </w:tc>
      </w:tr>
      <w:tr w:rsidR="00FA423E" w:rsidRPr="00AF5E7C" w:rsidTr="00DC1333">
        <w:trPr>
          <w:cantSplit/>
          <w:trHeight w:val="231"/>
        </w:trPr>
        <w:tc>
          <w:tcPr>
            <w:tcW w:w="1541" w:type="pct"/>
            <w:vMerge/>
            <w:shd w:val="clear" w:color="auto" w:fill="auto"/>
            <w:tcMar>
              <w:top w:w="113" w:type="dxa"/>
              <w:bottom w:w="85" w:type="dxa"/>
            </w:tcMar>
          </w:tcPr>
          <w:p w:rsidR="00FA423E" w:rsidRPr="007E4934" w:rsidRDefault="00FA423E" w:rsidP="00DC1333">
            <w:pPr>
              <w:rPr>
                <w:sz w:val="16"/>
                <w:szCs w:val="16"/>
              </w:rPr>
            </w:pPr>
          </w:p>
        </w:tc>
        <w:tc>
          <w:tcPr>
            <w:tcW w:w="2160" w:type="pct"/>
            <w:vMerge/>
            <w:shd w:val="clear" w:color="auto" w:fill="auto"/>
            <w:tcMar>
              <w:top w:w="113" w:type="dxa"/>
              <w:bottom w:w="85" w:type="dxa"/>
            </w:tcMar>
          </w:tcPr>
          <w:p w:rsidR="00FA423E" w:rsidRPr="007E4934" w:rsidRDefault="00FA423E" w:rsidP="00DC1333">
            <w:pPr>
              <w:rPr>
                <w:sz w:val="16"/>
                <w:szCs w:val="16"/>
              </w:rPr>
            </w:pPr>
          </w:p>
        </w:tc>
        <w:tc>
          <w:tcPr>
            <w:tcW w:w="924"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20</w:t>
            </w:r>
          </w:p>
        </w:tc>
        <w:tc>
          <w:tcPr>
            <w:tcW w:w="375" w:type="pct"/>
            <w:shd w:val="clear" w:color="auto" w:fill="FFFFFF"/>
          </w:tcPr>
          <w:p w:rsidR="00FA423E" w:rsidRPr="00CC3F44" w:rsidRDefault="00FA423E" w:rsidP="00DC1333">
            <w:pPr>
              <w:jc w:val="center"/>
              <w:rPr>
                <w:color w:val="A6A6A6" w:themeColor="background1" w:themeShade="A6"/>
                <w:szCs w:val="22"/>
              </w:rPr>
            </w:pPr>
            <w:r w:rsidRPr="00CC3F44">
              <w:rPr>
                <w:color w:val="008000"/>
                <w:szCs w:val="22"/>
              </w:rPr>
              <w:sym w:font="Wingdings" w:char="F06C"/>
            </w:r>
            <w:r w:rsidRPr="00CC3F44">
              <w:rPr>
                <w:color w:val="008000"/>
                <w:szCs w:val="22"/>
              </w:rPr>
              <w:sym w:font="Wingdings" w:char="F06C"/>
            </w:r>
            <w:r w:rsidRPr="00CC3F44">
              <w:rPr>
                <w:color w:val="008000"/>
                <w:szCs w:val="22"/>
              </w:rPr>
              <w:sym w:font="Wingdings" w:char="F06C"/>
            </w:r>
          </w:p>
        </w:tc>
      </w:tr>
      <w:tr w:rsidR="00FA423E" w:rsidRPr="00AF5E7C" w:rsidTr="00DC1333">
        <w:trPr>
          <w:cantSplit/>
          <w:trHeight w:val="436"/>
        </w:trPr>
        <w:tc>
          <w:tcPr>
            <w:tcW w:w="1541" w:type="pct"/>
            <w:shd w:val="clear" w:color="auto" w:fill="auto"/>
            <w:tcMar>
              <w:top w:w="113" w:type="dxa"/>
              <w:bottom w:w="85" w:type="dxa"/>
            </w:tcMar>
          </w:tcPr>
          <w:p w:rsidR="00FA423E" w:rsidRPr="007E4934" w:rsidRDefault="00FA423E" w:rsidP="00DC1333">
            <w:pPr>
              <w:rPr>
                <w:sz w:val="16"/>
                <w:szCs w:val="16"/>
              </w:rPr>
            </w:pPr>
          </w:p>
        </w:tc>
        <w:tc>
          <w:tcPr>
            <w:tcW w:w="2160" w:type="pc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Porcentaje de aumento del material de prensa, vídeos y fotografías de la OMPI vistos por el público</w:t>
            </w:r>
          </w:p>
        </w:tc>
        <w:tc>
          <w:tcPr>
            <w:tcW w:w="924"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19</w:t>
            </w:r>
          </w:p>
        </w:tc>
        <w:tc>
          <w:tcPr>
            <w:tcW w:w="375" w:type="pct"/>
            <w:shd w:val="clear" w:color="auto" w:fill="FFFFFF"/>
          </w:tcPr>
          <w:p w:rsidR="00FA423E" w:rsidRPr="00CC3F44" w:rsidRDefault="00FA423E" w:rsidP="00DC1333">
            <w:pPr>
              <w:jc w:val="center"/>
            </w:pPr>
            <w:r w:rsidRPr="00CC3F44">
              <w:rPr>
                <w:color w:val="FF0000"/>
                <w:szCs w:val="22"/>
              </w:rPr>
              <w:sym w:font="Wingdings" w:char="F06C"/>
            </w:r>
            <w:r w:rsidRPr="00CC3F44">
              <w:rPr>
                <w:color w:val="FF0000"/>
                <w:szCs w:val="22"/>
              </w:rPr>
              <w:sym w:font="Wingdings" w:char="F06C"/>
            </w:r>
            <w:r w:rsidRPr="00CC3F44">
              <w:rPr>
                <w:color w:val="008000"/>
                <w:szCs w:val="22"/>
              </w:rPr>
              <w:sym w:font="Wingdings" w:char="F06C"/>
            </w:r>
          </w:p>
        </w:tc>
      </w:tr>
      <w:tr w:rsidR="00FA423E" w:rsidRPr="00AF5E7C" w:rsidTr="00DC1333">
        <w:trPr>
          <w:cantSplit/>
          <w:trHeight w:val="429"/>
        </w:trPr>
        <w:tc>
          <w:tcPr>
            <w:tcW w:w="1541" w:type="pct"/>
            <w:shd w:val="clear" w:color="auto" w:fill="auto"/>
            <w:tcMar>
              <w:top w:w="113" w:type="dxa"/>
              <w:bottom w:w="85" w:type="dxa"/>
            </w:tcMar>
          </w:tcPr>
          <w:p w:rsidR="00FA423E" w:rsidRPr="007E4934" w:rsidRDefault="00FA423E" w:rsidP="00DC1333">
            <w:pPr>
              <w:rPr>
                <w:sz w:val="16"/>
                <w:szCs w:val="16"/>
              </w:rPr>
            </w:pPr>
          </w:p>
        </w:tc>
        <w:tc>
          <w:tcPr>
            <w:tcW w:w="2160" w:type="pc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Porcentaje de aumento de la participación global en el Día Mundial de la P.I. por medio de la página de Facebook (alcance global de la campaña)</w:t>
            </w:r>
          </w:p>
        </w:tc>
        <w:tc>
          <w:tcPr>
            <w:tcW w:w="924"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19</w:t>
            </w:r>
          </w:p>
        </w:tc>
        <w:tc>
          <w:tcPr>
            <w:tcW w:w="375" w:type="pct"/>
            <w:shd w:val="clear" w:color="auto" w:fill="FFFFFF"/>
          </w:tcPr>
          <w:p w:rsidR="00FA423E" w:rsidRPr="00CC3F44" w:rsidRDefault="00FA423E" w:rsidP="00DC1333">
            <w:pPr>
              <w:jc w:val="center"/>
            </w:pPr>
            <w:r w:rsidRPr="00CC3F44">
              <w:rPr>
                <w:color w:val="008000"/>
                <w:szCs w:val="22"/>
              </w:rPr>
              <w:sym w:font="Wingdings" w:char="F06C"/>
            </w:r>
          </w:p>
        </w:tc>
      </w:tr>
      <w:tr w:rsidR="00FA423E" w:rsidRPr="00AF5E7C" w:rsidTr="00DC1333">
        <w:trPr>
          <w:cantSplit/>
          <w:trHeight w:val="256"/>
        </w:trPr>
        <w:tc>
          <w:tcPr>
            <w:tcW w:w="1541" w:type="pct"/>
            <w:shd w:val="clear" w:color="auto" w:fill="auto"/>
            <w:tcMar>
              <w:top w:w="113" w:type="dxa"/>
              <w:bottom w:w="85" w:type="dxa"/>
            </w:tcMar>
          </w:tcPr>
          <w:p w:rsidR="00FA423E" w:rsidRPr="007E4934" w:rsidRDefault="00FA423E" w:rsidP="00DC1333">
            <w:pPr>
              <w:rPr>
                <w:sz w:val="16"/>
                <w:szCs w:val="16"/>
              </w:rPr>
            </w:pPr>
          </w:p>
        </w:tc>
        <w:tc>
          <w:tcPr>
            <w:tcW w:w="2160" w:type="pc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Porcentaje de aumento del número de consultas de las publicaciones de Internet</w:t>
            </w:r>
          </w:p>
        </w:tc>
        <w:tc>
          <w:tcPr>
            <w:tcW w:w="924"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19</w:t>
            </w:r>
          </w:p>
        </w:tc>
        <w:tc>
          <w:tcPr>
            <w:tcW w:w="375" w:type="pct"/>
            <w:shd w:val="clear" w:color="auto" w:fill="FFFFFF"/>
          </w:tcPr>
          <w:p w:rsidR="00FA423E" w:rsidRPr="00CC3F44" w:rsidRDefault="00FA423E" w:rsidP="00DC1333">
            <w:pPr>
              <w:jc w:val="center"/>
              <w:rPr>
                <w:color w:val="0070C0"/>
                <w:szCs w:val="22"/>
              </w:rPr>
            </w:pPr>
            <w:r w:rsidRPr="00CC3F44">
              <w:rPr>
                <w:color w:val="A6A6A6" w:themeColor="background1" w:themeShade="A6"/>
                <w:szCs w:val="22"/>
              </w:rPr>
              <w:sym w:font="Wingdings" w:char="F06C"/>
            </w:r>
            <w:r w:rsidRPr="00CC3F44">
              <w:rPr>
                <w:color w:val="008000"/>
                <w:szCs w:val="22"/>
              </w:rPr>
              <w:sym w:font="Wingdings" w:char="F06C"/>
            </w:r>
          </w:p>
        </w:tc>
      </w:tr>
      <w:tr w:rsidR="00FA423E" w:rsidRPr="00AF5E7C" w:rsidTr="00DC1333">
        <w:trPr>
          <w:cantSplit/>
          <w:trHeight w:val="256"/>
        </w:trPr>
        <w:tc>
          <w:tcPr>
            <w:tcW w:w="1541" w:type="pct"/>
            <w:shd w:val="clear" w:color="auto" w:fill="auto"/>
            <w:tcMar>
              <w:top w:w="113" w:type="dxa"/>
              <w:bottom w:w="85" w:type="dxa"/>
            </w:tcMar>
          </w:tcPr>
          <w:p w:rsidR="00FA423E" w:rsidRPr="007E4934" w:rsidRDefault="00FA423E" w:rsidP="00DC1333">
            <w:pPr>
              <w:rPr>
                <w:sz w:val="16"/>
                <w:szCs w:val="16"/>
              </w:rPr>
            </w:pPr>
          </w:p>
        </w:tc>
        <w:tc>
          <w:tcPr>
            <w:tcW w:w="2160" w:type="pc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Porcentaje de usuarios satisfechos con el sitio web de la OMPI</w:t>
            </w:r>
          </w:p>
        </w:tc>
        <w:tc>
          <w:tcPr>
            <w:tcW w:w="924"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19</w:t>
            </w:r>
          </w:p>
        </w:tc>
        <w:tc>
          <w:tcPr>
            <w:tcW w:w="375" w:type="pct"/>
            <w:shd w:val="clear" w:color="auto" w:fill="FFFFFF"/>
          </w:tcPr>
          <w:p w:rsidR="00FA423E" w:rsidRPr="00CC3F44" w:rsidRDefault="00FA423E" w:rsidP="00DC1333">
            <w:pPr>
              <w:jc w:val="center"/>
            </w:pPr>
            <w:r w:rsidRPr="00CC3F44">
              <w:rPr>
                <w:color w:val="A6A6A6" w:themeColor="background1" w:themeShade="A6"/>
                <w:szCs w:val="22"/>
              </w:rPr>
              <w:sym w:font="Wingdings" w:char="F06C"/>
            </w:r>
          </w:p>
        </w:tc>
      </w:tr>
      <w:tr w:rsidR="00FA423E" w:rsidRPr="00AF5E7C" w:rsidTr="00DC1333">
        <w:trPr>
          <w:cantSplit/>
          <w:trHeight w:val="336"/>
        </w:trPr>
        <w:tc>
          <w:tcPr>
            <w:tcW w:w="1541" w:type="pct"/>
            <w:shd w:val="clear" w:color="auto" w:fill="auto"/>
            <w:tcMar>
              <w:top w:w="113" w:type="dxa"/>
              <w:bottom w:w="85" w:type="dxa"/>
            </w:tcMar>
          </w:tcPr>
          <w:p w:rsidR="00FA423E" w:rsidRPr="007E4934" w:rsidRDefault="00FA423E" w:rsidP="00DC1333">
            <w:pPr>
              <w:rPr>
                <w:sz w:val="16"/>
                <w:szCs w:val="16"/>
              </w:rPr>
            </w:pPr>
          </w:p>
        </w:tc>
        <w:tc>
          <w:tcPr>
            <w:tcW w:w="2160" w:type="pc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Aumento de la influencia y la participación de la OMPI en los medios sociales</w:t>
            </w:r>
          </w:p>
        </w:tc>
        <w:tc>
          <w:tcPr>
            <w:tcW w:w="924"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19</w:t>
            </w:r>
          </w:p>
        </w:tc>
        <w:tc>
          <w:tcPr>
            <w:tcW w:w="375" w:type="pct"/>
            <w:shd w:val="clear" w:color="auto" w:fill="FFFFFF"/>
          </w:tcPr>
          <w:p w:rsidR="00FA423E" w:rsidRPr="00CC3F44" w:rsidRDefault="00FA423E" w:rsidP="00DC1333">
            <w:pPr>
              <w:jc w:val="center"/>
            </w:pPr>
            <w:r w:rsidRPr="00CC3F44">
              <w:rPr>
                <w:szCs w:val="22"/>
              </w:rPr>
              <w:sym w:font="Wingdings" w:char="F06C"/>
            </w:r>
            <w:r w:rsidRPr="00CC3F44">
              <w:rPr>
                <w:color w:val="008000"/>
                <w:szCs w:val="22"/>
              </w:rPr>
              <w:sym w:font="Wingdings" w:char="F06C"/>
            </w:r>
          </w:p>
        </w:tc>
      </w:tr>
      <w:tr w:rsidR="00FA423E" w:rsidRPr="00AF5E7C" w:rsidTr="00DC1333">
        <w:trPr>
          <w:cantSplit/>
          <w:trHeight w:val="335"/>
        </w:trPr>
        <w:tc>
          <w:tcPr>
            <w:tcW w:w="1541" w:type="pct"/>
            <w:shd w:val="clear" w:color="auto" w:fill="auto"/>
            <w:tcMar>
              <w:top w:w="113" w:type="dxa"/>
              <w:bottom w:w="85" w:type="dxa"/>
            </w:tcMar>
          </w:tcPr>
          <w:p w:rsidR="00FA423E" w:rsidRPr="007E4934" w:rsidRDefault="00FA423E" w:rsidP="00DC1333">
            <w:pPr>
              <w:rPr>
                <w:sz w:val="16"/>
                <w:szCs w:val="16"/>
              </w:rPr>
            </w:pPr>
          </w:p>
        </w:tc>
        <w:tc>
          <w:tcPr>
            <w:tcW w:w="2160" w:type="pc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Aumento del tráfico en el sitio web de las Oficinas de la OMPI en el exterior</w:t>
            </w:r>
          </w:p>
        </w:tc>
        <w:tc>
          <w:tcPr>
            <w:tcW w:w="924"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20</w:t>
            </w:r>
          </w:p>
        </w:tc>
        <w:tc>
          <w:tcPr>
            <w:tcW w:w="375" w:type="pct"/>
            <w:shd w:val="clear" w:color="auto" w:fill="FFFFFF"/>
          </w:tcPr>
          <w:p w:rsidR="00FA423E" w:rsidRPr="00CC3F44" w:rsidRDefault="00FA423E" w:rsidP="00DC1333">
            <w:pPr>
              <w:jc w:val="center"/>
              <w:rPr>
                <w:color w:val="A6A6A6" w:themeColor="background1" w:themeShade="A6"/>
                <w:szCs w:val="22"/>
              </w:rPr>
            </w:pPr>
            <w:r w:rsidRPr="00CC3F44">
              <w:rPr>
                <w:color w:val="A6A6A6" w:themeColor="background1" w:themeShade="A6"/>
                <w:szCs w:val="22"/>
              </w:rPr>
              <w:sym w:font="Wingdings" w:char="F06C"/>
            </w:r>
            <w:r w:rsidRPr="00CC3F44">
              <w:rPr>
                <w:color w:val="008000"/>
                <w:szCs w:val="22"/>
              </w:rPr>
              <w:sym w:font="Wingdings" w:char="F06C"/>
            </w:r>
            <w:r w:rsidRPr="00CC3F44">
              <w:rPr>
                <w:color w:val="E26B0A"/>
                <w:szCs w:val="22"/>
              </w:rPr>
              <w:sym w:font="Wingdings" w:char="F06C"/>
            </w:r>
          </w:p>
        </w:tc>
      </w:tr>
      <w:tr w:rsidR="00FA423E" w:rsidRPr="00AF5E7C" w:rsidTr="00DC1333">
        <w:trPr>
          <w:cantSplit/>
          <w:trHeight w:val="202"/>
        </w:trPr>
        <w:tc>
          <w:tcPr>
            <w:tcW w:w="1541" w:type="pct"/>
            <w:vMerge w:val="restar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VIII.2 Mejora en la prestación de servicios y la atención de consultas</w:t>
            </w:r>
          </w:p>
        </w:tc>
        <w:tc>
          <w:tcPr>
            <w:tcW w:w="2160" w:type="pc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Porcentaje de usuarios satisfechos con los servicios de la Biblioteca</w:t>
            </w:r>
          </w:p>
        </w:tc>
        <w:tc>
          <w:tcPr>
            <w:tcW w:w="924"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19</w:t>
            </w:r>
          </w:p>
        </w:tc>
        <w:tc>
          <w:tcPr>
            <w:tcW w:w="375" w:type="pct"/>
            <w:shd w:val="clear" w:color="auto" w:fill="FFFFFF"/>
          </w:tcPr>
          <w:p w:rsidR="00FA423E" w:rsidRPr="00CC3F44" w:rsidRDefault="00FA423E" w:rsidP="00DC1333">
            <w:pPr>
              <w:jc w:val="center"/>
            </w:pPr>
            <w:r w:rsidRPr="00CC3F44">
              <w:rPr>
                <w:color w:val="008000"/>
                <w:szCs w:val="22"/>
              </w:rPr>
              <w:sym w:font="Wingdings" w:char="F06C"/>
            </w:r>
          </w:p>
        </w:tc>
      </w:tr>
      <w:tr w:rsidR="00FA423E" w:rsidRPr="00AF5E7C" w:rsidTr="00DC1333">
        <w:trPr>
          <w:cantSplit/>
          <w:trHeight w:val="232"/>
        </w:trPr>
        <w:tc>
          <w:tcPr>
            <w:tcW w:w="1541" w:type="pct"/>
            <w:vMerge/>
            <w:shd w:val="clear" w:color="auto" w:fill="auto"/>
            <w:tcMar>
              <w:top w:w="113" w:type="dxa"/>
              <w:bottom w:w="85" w:type="dxa"/>
            </w:tcMar>
          </w:tcPr>
          <w:p w:rsidR="00FA423E" w:rsidRPr="007E4934" w:rsidRDefault="00FA423E" w:rsidP="00DC1333">
            <w:pPr>
              <w:rPr>
                <w:sz w:val="16"/>
                <w:szCs w:val="16"/>
              </w:rPr>
            </w:pPr>
          </w:p>
        </w:tc>
        <w:tc>
          <w:tcPr>
            <w:tcW w:w="2160" w:type="pct"/>
            <w:vMerge w:val="restar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Índice de satisfacción de los clientes y partes interesadas</w:t>
            </w:r>
          </w:p>
        </w:tc>
        <w:tc>
          <w:tcPr>
            <w:tcW w:w="924"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19</w:t>
            </w:r>
          </w:p>
        </w:tc>
        <w:tc>
          <w:tcPr>
            <w:tcW w:w="375" w:type="pct"/>
            <w:shd w:val="clear" w:color="auto" w:fill="FFFFFF"/>
          </w:tcPr>
          <w:p w:rsidR="00FA423E" w:rsidRPr="00CC3F44" w:rsidRDefault="00FA423E" w:rsidP="00DC1333">
            <w:pPr>
              <w:jc w:val="center"/>
              <w:rPr>
                <w:color w:val="A6A6A6" w:themeColor="background1" w:themeShade="A6"/>
                <w:szCs w:val="22"/>
              </w:rPr>
            </w:pPr>
            <w:r w:rsidRPr="00CC3F44">
              <w:rPr>
                <w:color w:val="008000"/>
                <w:szCs w:val="22"/>
              </w:rPr>
              <w:sym w:font="Wingdings" w:char="F06C"/>
            </w:r>
            <w:r w:rsidRPr="00CC3F44">
              <w:rPr>
                <w:color w:val="008000"/>
                <w:szCs w:val="22"/>
              </w:rPr>
              <w:sym w:font="Wingdings" w:char="F06C"/>
            </w:r>
            <w:r w:rsidRPr="00CC3F44">
              <w:rPr>
                <w:color w:val="A6A6A6" w:themeColor="background1" w:themeShade="A6"/>
                <w:szCs w:val="22"/>
              </w:rPr>
              <w:sym w:font="Wingdings" w:char="F06C"/>
            </w:r>
          </w:p>
        </w:tc>
      </w:tr>
      <w:tr w:rsidR="00FA423E" w:rsidRPr="00AF5E7C" w:rsidTr="00DC1333">
        <w:trPr>
          <w:cantSplit/>
          <w:trHeight w:val="231"/>
        </w:trPr>
        <w:tc>
          <w:tcPr>
            <w:tcW w:w="1541" w:type="pct"/>
            <w:vMerge/>
            <w:shd w:val="clear" w:color="auto" w:fill="auto"/>
            <w:tcMar>
              <w:top w:w="113" w:type="dxa"/>
              <w:bottom w:w="85" w:type="dxa"/>
            </w:tcMar>
          </w:tcPr>
          <w:p w:rsidR="00FA423E" w:rsidRPr="007E4934" w:rsidRDefault="00FA423E" w:rsidP="00DC1333">
            <w:pPr>
              <w:rPr>
                <w:sz w:val="16"/>
                <w:szCs w:val="16"/>
              </w:rPr>
            </w:pPr>
          </w:p>
        </w:tc>
        <w:tc>
          <w:tcPr>
            <w:tcW w:w="2160" w:type="pct"/>
            <w:vMerge/>
            <w:shd w:val="clear" w:color="auto" w:fill="auto"/>
            <w:tcMar>
              <w:top w:w="113" w:type="dxa"/>
              <w:bottom w:w="85" w:type="dxa"/>
            </w:tcMar>
          </w:tcPr>
          <w:p w:rsidR="00FA423E" w:rsidRPr="007E4934" w:rsidRDefault="00FA423E" w:rsidP="00DC1333">
            <w:pPr>
              <w:rPr>
                <w:sz w:val="16"/>
                <w:szCs w:val="16"/>
              </w:rPr>
            </w:pPr>
          </w:p>
        </w:tc>
        <w:tc>
          <w:tcPr>
            <w:tcW w:w="924"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20</w:t>
            </w:r>
          </w:p>
        </w:tc>
        <w:tc>
          <w:tcPr>
            <w:tcW w:w="375" w:type="pct"/>
            <w:shd w:val="clear" w:color="auto" w:fill="FFFFFF"/>
          </w:tcPr>
          <w:p w:rsidR="00FA423E" w:rsidRPr="00CC3F44" w:rsidRDefault="00FA423E" w:rsidP="00DC1333">
            <w:pPr>
              <w:jc w:val="center"/>
              <w:rPr>
                <w:color w:val="A6A6A6" w:themeColor="background1" w:themeShade="A6"/>
                <w:szCs w:val="22"/>
              </w:rPr>
            </w:pPr>
            <w:r w:rsidRPr="00CC3F44">
              <w:rPr>
                <w:color w:val="A6A6A6" w:themeColor="background1" w:themeShade="A6"/>
                <w:szCs w:val="22"/>
              </w:rPr>
              <w:sym w:font="Wingdings" w:char="F06C"/>
            </w:r>
            <w:r w:rsidRPr="00CC3F44">
              <w:rPr>
                <w:color w:val="A6A6A6" w:themeColor="background1" w:themeShade="A6"/>
                <w:szCs w:val="22"/>
              </w:rPr>
              <w:sym w:font="Wingdings" w:char="F06C"/>
            </w:r>
            <w:r w:rsidRPr="00CC3F44">
              <w:rPr>
                <w:color w:val="008000"/>
                <w:szCs w:val="22"/>
              </w:rPr>
              <w:sym w:font="Wingdings" w:char="F06C"/>
            </w:r>
          </w:p>
        </w:tc>
      </w:tr>
      <w:tr w:rsidR="00FA423E" w:rsidRPr="00AF5E7C" w:rsidTr="00DC1333">
        <w:trPr>
          <w:cantSplit/>
          <w:trHeight w:val="317"/>
        </w:trPr>
        <w:tc>
          <w:tcPr>
            <w:tcW w:w="1541" w:type="pct"/>
            <w:shd w:val="clear" w:color="auto" w:fill="auto"/>
            <w:tcMar>
              <w:top w:w="113" w:type="dxa"/>
              <w:bottom w:w="85" w:type="dxa"/>
            </w:tcMar>
          </w:tcPr>
          <w:p w:rsidR="00FA423E" w:rsidRPr="007E4934" w:rsidRDefault="00FA423E" w:rsidP="00DC1333">
            <w:pPr>
              <w:rPr>
                <w:sz w:val="16"/>
                <w:szCs w:val="16"/>
              </w:rPr>
            </w:pPr>
          </w:p>
        </w:tc>
        <w:tc>
          <w:tcPr>
            <w:tcW w:w="2160" w:type="pc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Se cumplen los objetivos definidos en el sitio web de la OMPI para la calidad del servicio</w:t>
            </w:r>
          </w:p>
        </w:tc>
        <w:tc>
          <w:tcPr>
            <w:tcW w:w="924"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19</w:t>
            </w:r>
          </w:p>
        </w:tc>
        <w:tc>
          <w:tcPr>
            <w:tcW w:w="375" w:type="pct"/>
            <w:shd w:val="clear" w:color="auto" w:fill="FFFFFF"/>
          </w:tcPr>
          <w:p w:rsidR="00FA423E" w:rsidRPr="00CC3F44" w:rsidRDefault="00FA423E" w:rsidP="00DC1333">
            <w:pPr>
              <w:jc w:val="center"/>
              <w:rPr>
                <w:color w:val="A6A6A6" w:themeColor="background1" w:themeShade="A6"/>
                <w:szCs w:val="22"/>
              </w:rPr>
            </w:pPr>
            <w:r w:rsidRPr="00CC3F44">
              <w:rPr>
                <w:color w:val="008000"/>
                <w:szCs w:val="22"/>
              </w:rPr>
              <w:sym w:font="Wingdings" w:char="F06C"/>
            </w:r>
            <w:r w:rsidRPr="00CC3F44">
              <w:rPr>
                <w:color w:val="008000"/>
                <w:szCs w:val="22"/>
              </w:rPr>
              <w:sym w:font="Wingdings" w:char="F06C"/>
            </w:r>
          </w:p>
        </w:tc>
      </w:tr>
      <w:tr w:rsidR="00FA423E" w:rsidRPr="00AF5E7C" w:rsidTr="00DC1333">
        <w:trPr>
          <w:cantSplit/>
          <w:trHeight w:val="297"/>
        </w:trPr>
        <w:tc>
          <w:tcPr>
            <w:tcW w:w="1541" w:type="pct"/>
            <w:shd w:val="clear" w:color="auto" w:fill="auto"/>
            <w:tcMar>
              <w:top w:w="113" w:type="dxa"/>
              <w:bottom w:w="85" w:type="dxa"/>
            </w:tcMar>
          </w:tcPr>
          <w:p w:rsidR="00FA423E" w:rsidRPr="007E4934" w:rsidRDefault="00FA423E" w:rsidP="00DC1333">
            <w:pPr>
              <w:rPr>
                <w:sz w:val="16"/>
                <w:szCs w:val="16"/>
              </w:rPr>
            </w:pPr>
          </w:p>
        </w:tc>
        <w:tc>
          <w:tcPr>
            <w:tcW w:w="2160" w:type="pc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Duración de la tramitación de las peticiones de información</w:t>
            </w:r>
          </w:p>
        </w:tc>
        <w:tc>
          <w:tcPr>
            <w:tcW w:w="924"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20</w:t>
            </w:r>
          </w:p>
        </w:tc>
        <w:tc>
          <w:tcPr>
            <w:tcW w:w="375" w:type="pct"/>
            <w:shd w:val="clear" w:color="auto" w:fill="FFFFFF"/>
          </w:tcPr>
          <w:p w:rsidR="00FA423E" w:rsidRPr="00CC3F44" w:rsidRDefault="00FA423E" w:rsidP="00DC1333">
            <w:pPr>
              <w:jc w:val="center"/>
            </w:pPr>
            <w:r w:rsidRPr="00CC3F44">
              <w:rPr>
                <w:color w:val="A6A6A6" w:themeColor="background1" w:themeShade="A6"/>
                <w:szCs w:val="22"/>
              </w:rPr>
              <w:sym w:font="Wingdings" w:char="F06C"/>
            </w:r>
            <w:r w:rsidRPr="00CC3F44">
              <w:rPr>
                <w:color w:val="A6A6A6" w:themeColor="background1" w:themeShade="A6"/>
                <w:szCs w:val="22"/>
              </w:rPr>
              <w:sym w:font="Wingdings" w:char="F06C"/>
            </w:r>
            <w:r w:rsidRPr="00CC3F44">
              <w:rPr>
                <w:color w:val="008000"/>
                <w:szCs w:val="22"/>
              </w:rPr>
              <w:sym w:font="Wingdings" w:char="F06C"/>
            </w:r>
          </w:p>
        </w:tc>
      </w:tr>
      <w:tr w:rsidR="00FA423E" w:rsidRPr="00AF5E7C" w:rsidTr="00DC1333">
        <w:trPr>
          <w:cantSplit/>
          <w:trHeight w:val="463"/>
        </w:trPr>
        <w:tc>
          <w:tcPr>
            <w:tcW w:w="1541" w:type="pc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VIII.3 Atención eficaz a los Estados miembros</w:t>
            </w:r>
          </w:p>
        </w:tc>
        <w:tc>
          <w:tcPr>
            <w:tcW w:w="2160" w:type="pc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Porcentaje de sesiones de Comité precedidas de reuniones informativas para los Estados miembros</w:t>
            </w:r>
          </w:p>
        </w:tc>
        <w:tc>
          <w:tcPr>
            <w:tcW w:w="924"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21</w:t>
            </w:r>
          </w:p>
        </w:tc>
        <w:tc>
          <w:tcPr>
            <w:tcW w:w="375" w:type="pct"/>
            <w:shd w:val="clear" w:color="auto" w:fill="FFFFFF"/>
          </w:tcPr>
          <w:p w:rsidR="00FA423E" w:rsidRPr="00CC3F44" w:rsidRDefault="00FA423E" w:rsidP="00DC1333">
            <w:pPr>
              <w:jc w:val="center"/>
            </w:pPr>
            <w:r w:rsidRPr="00CC3F44">
              <w:rPr>
                <w:color w:val="008000"/>
                <w:szCs w:val="22"/>
              </w:rPr>
              <w:sym w:font="Wingdings" w:char="F06C"/>
            </w:r>
          </w:p>
        </w:tc>
      </w:tr>
      <w:tr w:rsidR="00FA423E" w:rsidRPr="00AF5E7C" w:rsidTr="00DC1333">
        <w:trPr>
          <w:cantSplit/>
          <w:trHeight w:val="427"/>
        </w:trPr>
        <w:tc>
          <w:tcPr>
            <w:tcW w:w="1541" w:type="pct"/>
            <w:shd w:val="clear" w:color="auto" w:fill="auto"/>
            <w:tcMar>
              <w:top w:w="113" w:type="dxa"/>
              <w:bottom w:w="85" w:type="dxa"/>
            </w:tcMar>
          </w:tcPr>
          <w:p w:rsidR="00FA423E" w:rsidRPr="007E4934" w:rsidRDefault="00FA423E" w:rsidP="00DC1333">
            <w:pPr>
              <w:rPr>
                <w:sz w:val="16"/>
                <w:szCs w:val="16"/>
              </w:rPr>
            </w:pPr>
          </w:p>
        </w:tc>
        <w:tc>
          <w:tcPr>
            <w:tcW w:w="2160" w:type="pc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Porcentaje de cartas dirigidas al Director General por los Estados miembros que han obtenido respuesta en el plazo de dos semanas</w:t>
            </w:r>
          </w:p>
        </w:tc>
        <w:tc>
          <w:tcPr>
            <w:tcW w:w="924"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21</w:t>
            </w:r>
          </w:p>
        </w:tc>
        <w:tc>
          <w:tcPr>
            <w:tcW w:w="375" w:type="pct"/>
            <w:shd w:val="clear" w:color="auto" w:fill="FFFFFF"/>
          </w:tcPr>
          <w:p w:rsidR="00FA423E" w:rsidRPr="00CC3F44" w:rsidRDefault="00FA423E" w:rsidP="00DC1333">
            <w:pPr>
              <w:jc w:val="center"/>
              <w:rPr>
                <w:color w:val="A6A6A6" w:themeColor="background1" w:themeShade="A6"/>
                <w:szCs w:val="22"/>
              </w:rPr>
            </w:pPr>
            <w:r w:rsidRPr="00CC3F44">
              <w:rPr>
                <w:color w:val="008000"/>
                <w:szCs w:val="22"/>
              </w:rPr>
              <w:sym w:font="Wingdings" w:char="F06C"/>
            </w:r>
          </w:p>
        </w:tc>
      </w:tr>
      <w:tr w:rsidR="00FA423E" w:rsidRPr="00AF5E7C" w:rsidTr="00DC1333">
        <w:trPr>
          <w:cantSplit/>
          <w:trHeight w:val="535"/>
        </w:trPr>
        <w:tc>
          <w:tcPr>
            <w:tcW w:w="1541" w:type="pct"/>
            <w:shd w:val="clear" w:color="auto" w:fill="auto"/>
            <w:tcMar>
              <w:top w:w="113" w:type="dxa"/>
              <w:bottom w:w="85" w:type="dxa"/>
            </w:tcMar>
          </w:tcPr>
          <w:p w:rsidR="00FA423E" w:rsidRPr="007E4934" w:rsidRDefault="00FA423E" w:rsidP="00DC1333">
            <w:pPr>
              <w:rPr>
                <w:sz w:val="16"/>
                <w:szCs w:val="16"/>
              </w:rPr>
            </w:pPr>
          </w:p>
        </w:tc>
        <w:tc>
          <w:tcPr>
            <w:tcW w:w="2160" w:type="pc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Porcentaje de notificaciones de adhesión y otras medidas relacionadas con los tratados tramitadas de manera puntual</w:t>
            </w:r>
          </w:p>
        </w:tc>
        <w:tc>
          <w:tcPr>
            <w:tcW w:w="924"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21</w:t>
            </w:r>
          </w:p>
        </w:tc>
        <w:tc>
          <w:tcPr>
            <w:tcW w:w="375" w:type="pct"/>
            <w:shd w:val="clear" w:color="auto" w:fill="FFFFFF"/>
          </w:tcPr>
          <w:p w:rsidR="00FA423E" w:rsidRPr="00CC3F44" w:rsidRDefault="00FA423E" w:rsidP="00DC1333">
            <w:pPr>
              <w:jc w:val="center"/>
            </w:pPr>
            <w:r w:rsidRPr="00CC3F44">
              <w:rPr>
                <w:color w:val="008000"/>
                <w:szCs w:val="22"/>
              </w:rPr>
              <w:sym w:font="Wingdings" w:char="F06C"/>
            </w:r>
          </w:p>
        </w:tc>
      </w:tr>
      <w:tr w:rsidR="00FA423E" w:rsidRPr="00AF5E7C" w:rsidTr="00DC1333">
        <w:trPr>
          <w:cantSplit/>
          <w:trHeight w:val="409"/>
        </w:trPr>
        <w:tc>
          <w:tcPr>
            <w:tcW w:w="1541" w:type="pct"/>
            <w:shd w:val="clear" w:color="auto" w:fill="auto"/>
            <w:tcMar>
              <w:top w:w="113" w:type="dxa"/>
              <w:bottom w:w="85" w:type="dxa"/>
            </w:tcMar>
          </w:tcPr>
          <w:p w:rsidR="00FA423E" w:rsidRPr="007E4934" w:rsidRDefault="00FA423E" w:rsidP="00DC1333">
            <w:pPr>
              <w:rPr>
                <w:sz w:val="16"/>
                <w:szCs w:val="16"/>
              </w:rPr>
            </w:pPr>
          </w:p>
        </w:tc>
        <w:tc>
          <w:tcPr>
            <w:tcW w:w="2160" w:type="pc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Índice de satisfacción de los Estados miembros respecto de la preparación y funcionamiento de las Asambleas</w:t>
            </w:r>
          </w:p>
        </w:tc>
        <w:tc>
          <w:tcPr>
            <w:tcW w:w="924"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21</w:t>
            </w:r>
          </w:p>
        </w:tc>
        <w:tc>
          <w:tcPr>
            <w:tcW w:w="375" w:type="pct"/>
            <w:shd w:val="clear" w:color="auto" w:fill="FFFFFF"/>
          </w:tcPr>
          <w:p w:rsidR="00FA423E" w:rsidRPr="00CC3F44" w:rsidRDefault="00FA423E" w:rsidP="00DC1333">
            <w:pPr>
              <w:jc w:val="center"/>
            </w:pPr>
            <w:r w:rsidRPr="00CC3F44">
              <w:rPr>
                <w:color w:val="008000"/>
                <w:szCs w:val="22"/>
              </w:rPr>
              <w:sym w:font="Wingdings" w:char="F06C"/>
            </w:r>
          </w:p>
        </w:tc>
      </w:tr>
      <w:tr w:rsidR="00FA423E" w:rsidRPr="00AF5E7C" w:rsidTr="00DC1333">
        <w:trPr>
          <w:cantSplit/>
          <w:trHeight w:val="337"/>
        </w:trPr>
        <w:tc>
          <w:tcPr>
            <w:tcW w:w="1541" w:type="pct"/>
            <w:shd w:val="clear" w:color="auto" w:fill="auto"/>
            <w:tcMar>
              <w:top w:w="113" w:type="dxa"/>
              <w:bottom w:w="85" w:type="dxa"/>
            </w:tcMar>
          </w:tcPr>
          <w:p w:rsidR="00FA423E" w:rsidRPr="007E4934" w:rsidRDefault="00FA423E" w:rsidP="00DC1333">
            <w:pPr>
              <w:rPr>
                <w:sz w:val="16"/>
                <w:szCs w:val="16"/>
              </w:rPr>
            </w:pPr>
          </w:p>
        </w:tc>
        <w:tc>
          <w:tcPr>
            <w:tcW w:w="2160" w:type="pc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Publicación puntual de los documentos de las Asambleas</w:t>
            </w:r>
          </w:p>
        </w:tc>
        <w:tc>
          <w:tcPr>
            <w:tcW w:w="924"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21</w:t>
            </w:r>
          </w:p>
        </w:tc>
        <w:tc>
          <w:tcPr>
            <w:tcW w:w="375" w:type="pct"/>
            <w:shd w:val="clear" w:color="auto" w:fill="FFFFFF"/>
          </w:tcPr>
          <w:p w:rsidR="00FA423E" w:rsidRPr="00CC3F44" w:rsidRDefault="00FA423E" w:rsidP="00DC1333">
            <w:pPr>
              <w:jc w:val="center"/>
              <w:rPr>
                <w:color w:val="A6A6A6" w:themeColor="background1" w:themeShade="A6"/>
                <w:szCs w:val="22"/>
              </w:rPr>
            </w:pPr>
            <w:r w:rsidRPr="00CC3F44">
              <w:rPr>
                <w:color w:val="008000"/>
                <w:szCs w:val="22"/>
              </w:rPr>
              <w:sym w:font="Wingdings" w:char="F06C"/>
            </w:r>
          </w:p>
        </w:tc>
      </w:tr>
      <w:tr w:rsidR="00FA423E" w:rsidRPr="00AF5E7C" w:rsidTr="00DC1333">
        <w:trPr>
          <w:cantSplit/>
          <w:trHeight w:val="522"/>
        </w:trPr>
        <w:tc>
          <w:tcPr>
            <w:tcW w:w="1541" w:type="pc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VIII.4 Intercambios abiertos, transparentes y dinámicos con las partes interesadas no gubernamentales</w:t>
            </w:r>
          </w:p>
        </w:tc>
        <w:tc>
          <w:tcPr>
            <w:tcW w:w="2160" w:type="pc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Participación eficaz y en mayor grado de las partes interesadas no gubernamentales en las actividades de la OMPI y viceversa</w:t>
            </w:r>
          </w:p>
        </w:tc>
        <w:tc>
          <w:tcPr>
            <w:tcW w:w="924"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20</w:t>
            </w:r>
          </w:p>
        </w:tc>
        <w:tc>
          <w:tcPr>
            <w:tcW w:w="375" w:type="pct"/>
            <w:shd w:val="clear" w:color="auto" w:fill="FFFFFF"/>
          </w:tcPr>
          <w:p w:rsidR="00FA423E" w:rsidRPr="00CC3F44" w:rsidRDefault="00FA423E" w:rsidP="00DC1333">
            <w:pPr>
              <w:jc w:val="center"/>
            </w:pPr>
            <w:r w:rsidRPr="00CC3F44">
              <w:rPr>
                <w:color w:val="008000"/>
                <w:szCs w:val="22"/>
              </w:rPr>
              <w:sym w:font="Wingdings" w:char="F06C"/>
            </w:r>
          </w:p>
        </w:tc>
      </w:tr>
      <w:tr w:rsidR="00FA423E" w:rsidRPr="00AF5E7C" w:rsidTr="00DC1333">
        <w:trPr>
          <w:cantSplit/>
          <w:trHeight w:val="537"/>
        </w:trPr>
        <w:tc>
          <w:tcPr>
            <w:tcW w:w="1541" w:type="pc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VIII.5 La OMPI participa y colabora eficazmente en los procesos y negociaciones de las NN.UU. y otras OIG</w:t>
            </w:r>
          </w:p>
        </w:tc>
        <w:tc>
          <w:tcPr>
            <w:tcW w:w="2160" w:type="pc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Utilización de las aportaciones de la OMPI en informes, resoluciones y documentos de procesos de las partes interesadas</w:t>
            </w:r>
          </w:p>
        </w:tc>
        <w:tc>
          <w:tcPr>
            <w:tcW w:w="924"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20</w:t>
            </w:r>
          </w:p>
        </w:tc>
        <w:tc>
          <w:tcPr>
            <w:tcW w:w="375" w:type="pct"/>
            <w:shd w:val="clear" w:color="auto" w:fill="FFFFFF"/>
          </w:tcPr>
          <w:p w:rsidR="00FA423E" w:rsidRPr="00CC3F44" w:rsidRDefault="00FA423E" w:rsidP="00DC1333">
            <w:pPr>
              <w:jc w:val="center"/>
            </w:pPr>
            <w:r w:rsidRPr="00CC3F44">
              <w:rPr>
                <w:color w:val="008000"/>
                <w:szCs w:val="22"/>
              </w:rPr>
              <w:sym w:font="Wingdings" w:char="F06C"/>
            </w:r>
          </w:p>
        </w:tc>
      </w:tr>
      <w:tr w:rsidR="00FA423E" w:rsidRPr="00AF5E7C" w:rsidTr="00DC1333">
        <w:trPr>
          <w:cantSplit/>
          <w:trHeight w:val="373"/>
        </w:trPr>
        <w:tc>
          <w:tcPr>
            <w:tcW w:w="1541" w:type="pct"/>
            <w:shd w:val="clear" w:color="auto" w:fill="auto"/>
            <w:tcMar>
              <w:top w:w="113" w:type="dxa"/>
              <w:bottom w:w="85" w:type="dxa"/>
            </w:tcMar>
          </w:tcPr>
          <w:p w:rsidR="00FA423E" w:rsidRPr="007E4934" w:rsidRDefault="00FA423E" w:rsidP="00DC1333">
            <w:pPr>
              <w:rPr>
                <w:sz w:val="16"/>
                <w:szCs w:val="16"/>
              </w:rPr>
            </w:pPr>
          </w:p>
        </w:tc>
        <w:tc>
          <w:tcPr>
            <w:tcW w:w="2160" w:type="pc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Porcentaje de respuestas cursadas puntualmente atendiendo a peticiones externas de aportación por parte de las NN.UU., OIG, etc.</w:t>
            </w:r>
          </w:p>
        </w:tc>
        <w:tc>
          <w:tcPr>
            <w:tcW w:w="924"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20</w:t>
            </w:r>
          </w:p>
        </w:tc>
        <w:tc>
          <w:tcPr>
            <w:tcW w:w="375" w:type="pct"/>
            <w:shd w:val="clear" w:color="auto" w:fill="FFFFFF"/>
          </w:tcPr>
          <w:p w:rsidR="00FA423E" w:rsidRPr="00CC3F44" w:rsidRDefault="00FA423E" w:rsidP="00DC1333">
            <w:pPr>
              <w:jc w:val="center"/>
              <w:rPr>
                <w:color w:val="A6A6A6" w:themeColor="background1" w:themeShade="A6"/>
                <w:szCs w:val="22"/>
              </w:rPr>
            </w:pPr>
            <w:r w:rsidRPr="00CC3F44">
              <w:rPr>
                <w:color w:val="008000"/>
                <w:szCs w:val="22"/>
              </w:rPr>
              <w:sym w:font="Wingdings" w:char="F06C"/>
            </w:r>
          </w:p>
        </w:tc>
      </w:tr>
      <w:tr w:rsidR="00FA423E" w:rsidRPr="00AF5E7C" w:rsidTr="00DC1333">
        <w:trPr>
          <w:cantSplit/>
          <w:trHeight w:val="436"/>
        </w:trPr>
        <w:tc>
          <w:tcPr>
            <w:tcW w:w="1541" w:type="pct"/>
            <w:shd w:val="clear" w:color="auto" w:fill="auto"/>
            <w:tcMar>
              <w:top w:w="113" w:type="dxa"/>
              <w:bottom w:w="85" w:type="dxa"/>
            </w:tcMar>
          </w:tcPr>
          <w:p w:rsidR="00FA423E" w:rsidRPr="007E4934" w:rsidRDefault="00FA423E" w:rsidP="00DC1333">
            <w:pPr>
              <w:rPr>
                <w:sz w:val="16"/>
                <w:szCs w:val="16"/>
              </w:rPr>
            </w:pPr>
          </w:p>
        </w:tc>
        <w:tc>
          <w:tcPr>
            <w:tcW w:w="2160" w:type="pc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Número de programas de P.I. ejecutados conjuntamente con otros organismos de NN.UU. y otras OIG</w:t>
            </w:r>
          </w:p>
        </w:tc>
        <w:tc>
          <w:tcPr>
            <w:tcW w:w="924"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20</w:t>
            </w:r>
          </w:p>
        </w:tc>
        <w:tc>
          <w:tcPr>
            <w:tcW w:w="375" w:type="pct"/>
            <w:shd w:val="clear" w:color="auto" w:fill="FFFFFF"/>
          </w:tcPr>
          <w:p w:rsidR="00FA423E" w:rsidRPr="00CC3F44" w:rsidRDefault="00FA423E" w:rsidP="00DC1333">
            <w:pPr>
              <w:jc w:val="center"/>
            </w:pPr>
            <w:r w:rsidRPr="00CC3F44">
              <w:rPr>
                <w:color w:val="008000"/>
                <w:szCs w:val="22"/>
              </w:rPr>
              <w:sym w:font="Wingdings" w:char="F06C"/>
            </w:r>
          </w:p>
        </w:tc>
      </w:tr>
      <w:tr w:rsidR="00FA423E" w:rsidRPr="00AF5E7C" w:rsidTr="00DC1333">
        <w:trPr>
          <w:cantSplit/>
          <w:trHeight w:val="247"/>
        </w:trPr>
        <w:tc>
          <w:tcPr>
            <w:tcW w:w="1541" w:type="pct"/>
            <w:shd w:val="clear" w:color="auto" w:fill="auto"/>
            <w:tcMar>
              <w:top w:w="113" w:type="dxa"/>
              <w:bottom w:w="85" w:type="dxa"/>
            </w:tcMar>
          </w:tcPr>
          <w:p w:rsidR="00FA423E" w:rsidRPr="007E4934" w:rsidRDefault="00FA423E" w:rsidP="00DC1333">
            <w:pPr>
              <w:rPr>
                <w:sz w:val="16"/>
                <w:szCs w:val="16"/>
              </w:rPr>
            </w:pPr>
          </w:p>
        </w:tc>
        <w:tc>
          <w:tcPr>
            <w:tcW w:w="2160" w:type="pc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Nuevas iniciativas conjuntas con otros organismos de las NN.UU.</w:t>
            </w:r>
          </w:p>
        </w:tc>
        <w:tc>
          <w:tcPr>
            <w:tcW w:w="924"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21</w:t>
            </w:r>
          </w:p>
        </w:tc>
        <w:tc>
          <w:tcPr>
            <w:tcW w:w="375" w:type="pct"/>
            <w:shd w:val="clear" w:color="auto" w:fill="FFFFFF"/>
          </w:tcPr>
          <w:p w:rsidR="00FA423E" w:rsidRPr="00CC3F44" w:rsidRDefault="00FA423E" w:rsidP="00DC1333">
            <w:pPr>
              <w:jc w:val="center"/>
            </w:pPr>
            <w:r w:rsidRPr="00CC3F44">
              <w:rPr>
                <w:color w:val="008000"/>
                <w:szCs w:val="22"/>
              </w:rPr>
              <w:sym w:font="Wingdings" w:char="F06C"/>
            </w:r>
          </w:p>
        </w:tc>
      </w:tr>
      <w:tr w:rsidR="00FA423E" w:rsidRPr="00AF5E7C" w:rsidTr="00DC1333">
        <w:trPr>
          <w:cantSplit/>
          <w:trHeight w:val="383"/>
        </w:trPr>
        <w:tc>
          <w:tcPr>
            <w:tcW w:w="1541" w:type="pct"/>
            <w:shd w:val="clear" w:color="auto" w:fill="auto"/>
            <w:tcMar>
              <w:top w:w="113" w:type="dxa"/>
              <w:bottom w:w="85" w:type="dxa"/>
            </w:tcMar>
          </w:tcPr>
          <w:p w:rsidR="00FA423E" w:rsidRPr="007E4934" w:rsidRDefault="00FA423E" w:rsidP="00DC1333">
            <w:pPr>
              <w:rPr>
                <w:sz w:val="16"/>
                <w:szCs w:val="16"/>
              </w:rPr>
            </w:pPr>
          </w:p>
        </w:tc>
        <w:tc>
          <w:tcPr>
            <w:tcW w:w="2160" w:type="pct"/>
            <w:shd w:val="clear" w:color="auto" w:fill="auto"/>
            <w:tcMar>
              <w:top w:w="113" w:type="dxa"/>
              <w:bottom w:w="85" w:type="dxa"/>
            </w:tcMar>
          </w:tcPr>
          <w:p w:rsidR="00FA423E" w:rsidRPr="007E4934" w:rsidRDefault="00FA423E" w:rsidP="00DC1333">
            <w:pPr>
              <w:rPr>
                <w:bCs/>
                <w:sz w:val="16"/>
                <w:szCs w:val="16"/>
              </w:rPr>
            </w:pPr>
            <w:r w:rsidRPr="007E4934">
              <w:rPr>
                <w:bCs/>
                <w:sz w:val="16"/>
                <w:szCs w:val="16"/>
                <w:lang w:val="es-ES_tradnl"/>
              </w:rPr>
              <w:t>Recomendaciones del Comité de Alto Nivel sobre Gestión y de las redes subsidiarias que se han dado por aplicadas</w:t>
            </w:r>
          </w:p>
        </w:tc>
        <w:tc>
          <w:tcPr>
            <w:tcW w:w="924"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24</w:t>
            </w:r>
          </w:p>
        </w:tc>
        <w:tc>
          <w:tcPr>
            <w:tcW w:w="375" w:type="pct"/>
            <w:shd w:val="clear" w:color="auto" w:fill="FFFFFF"/>
          </w:tcPr>
          <w:p w:rsidR="00FA423E" w:rsidRPr="00CC3F44" w:rsidRDefault="00FA423E" w:rsidP="00DC1333">
            <w:pPr>
              <w:jc w:val="center"/>
            </w:pPr>
            <w:r w:rsidRPr="00CC3F44">
              <w:rPr>
                <w:color w:val="A6A6A6" w:themeColor="background1" w:themeShade="A6"/>
                <w:szCs w:val="22"/>
              </w:rPr>
              <w:sym w:font="Wingdings" w:char="F06C"/>
            </w:r>
          </w:p>
        </w:tc>
      </w:tr>
      <w:tr w:rsidR="00FA423E" w:rsidRPr="00AF5E7C" w:rsidTr="00DC1333">
        <w:trPr>
          <w:cantSplit/>
          <w:trHeight w:val="400"/>
        </w:trPr>
        <w:tc>
          <w:tcPr>
            <w:tcW w:w="1541" w:type="pct"/>
            <w:shd w:val="clear" w:color="auto" w:fill="auto"/>
            <w:tcMar>
              <w:top w:w="113" w:type="dxa"/>
              <w:bottom w:w="85" w:type="dxa"/>
            </w:tcMar>
          </w:tcPr>
          <w:p w:rsidR="00FA423E" w:rsidRPr="007E4934" w:rsidRDefault="00FA423E" w:rsidP="00DC1333">
            <w:pPr>
              <w:rPr>
                <w:sz w:val="16"/>
                <w:szCs w:val="16"/>
              </w:rPr>
            </w:pPr>
          </w:p>
        </w:tc>
        <w:tc>
          <w:tcPr>
            <w:tcW w:w="2160" w:type="pc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Porcentaje de productos y servicios contratados y adquiridos a nivel local en comparación con el importe total de los adquiridos para actividades de desarrollo</w:t>
            </w:r>
          </w:p>
        </w:tc>
        <w:tc>
          <w:tcPr>
            <w:tcW w:w="924"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24</w:t>
            </w:r>
          </w:p>
        </w:tc>
        <w:tc>
          <w:tcPr>
            <w:tcW w:w="375" w:type="pct"/>
            <w:shd w:val="clear" w:color="auto" w:fill="FFFFFF"/>
          </w:tcPr>
          <w:p w:rsidR="00FA423E" w:rsidRPr="00CC3F44" w:rsidRDefault="00FA423E" w:rsidP="00DC1333">
            <w:pPr>
              <w:jc w:val="center"/>
            </w:pPr>
            <w:r w:rsidRPr="00CC3F44">
              <w:rPr>
                <w:color w:val="FF0000"/>
                <w:szCs w:val="22"/>
              </w:rPr>
              <w:sym w:font="Wingdings" w:char="F06C"/>
            </w:r>
            <w:r w:rsidRPr="00CC3F44">
              <w:rPr>
                <w:color w:val="008000"/>
                <w:szCs w:val="22"/>
              </w:rPr>
              <w:sym w:font="Wingdings" w:char="F06C"/>
            </w:r>
          </w:p>
        </w:tc>
      </w:tr>
      <w:tr w:rsidR="00FA423E" w:rsidRPr="00AF5E7C" w:rsidTr="00DC1333">
        <w:trPr>
          <w:cantSplit/>
          <w:trHeight w:val="518"/>
        </w:trPr>
        <w:tc>
          <w:tcPr>
            <w:tcW w:w="1541" w:type="pct"/>
            <w:shd w:val="clear" w:color="auto" w:fill="auto"/>
            <w:tcMar>
              <w:top w:w="113" w:type="dxa"/>
              <w:bottom w:w="85" w:type="dxa"/>
            </w:tcMar>
          </w:tcPr>
          <w:p w:rsidR="00FA423E" w:rsidRPr="007E4934" w:rsidRDefault="00FA423E" w:rsidP="00DC1333">
            <w:pPr>
              <w:rPr>
                <w:sz w:val="16"/>
                <w:szCs w:val="16"/>
              </w:rPr>
            </w:pPr>
          </w:p>
        </w:tc>
        <w:tc>
          <w:tcPr>
            <w:tcW w:w="2160" w:type="pc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Porcentaje de gastos efectuados con arreglo a las prácticas vigentes en NN.UU. (licitaciones comunes o aprovechamiento de los contratos)</w:t>
            </w:r>
          </w:p>
        </w:tc>
        <w:tc>
          <w:tcPr>
            <w:tcW w:w="924"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24</w:t>
            </w:r>
          </w:p>
        </w:tc>
        <w:tc>
          <w:tcPr>
            <w:tcW w:w="375" w:type="pct"/>
            <w:shd w:val="clear" w:color="auto" w:fill="FFFFFF"/>
          </w:tcPr>
          <w:p w:rsidR="00FA423E" w:rsidRPr="00CC3F44" w:rsidRDefault="00FA423E" w:rsidP="00DC1333">
            <w:pPr>
              <w:jc w:val="center"/>
              <w:rPr>
                <w:color w:val="A6A6A6" w:themeColor="background1" w:themeShade="A6"/>
                <w:szCs w:val="22"/>
              </w:rPr>
            </w:pPr>
            <w:r w:rsidRPr="00CC3F44">
              <w:rPr>
                <w:color w:val="008000"/>
                <w:szCs w:val="22"/>
              </w:rPr>
              <w:sym w:font="Wingdings" w:char="F06C"/>
            </w:r>
          </w:p>
        </w:tc>
      </w:tr>
    </w:tbl>
    <w:p w:rsidR="00FA423E" w:rsidRDefault="00FA423E" w:rsidP="00FA423E"/>
    <w:p w:rsidR="00FA423E" w:rsidRDefault="00FA423E" w:rsidP="00FA423E">
      <w:pPr>
        <w:autoSpaceDE w:val="0"/>
        <w:autoSpaceDN w:val="0"/>
        <w:jc w:val="both"/>
      </w:pPr>
    </w:p>
    <w:p w:rsidR="00EE330E" w:rsidRDefault="00EE330E">
      <w:r>
        <w:br w:type="page"/>
      </w:r>
    </w:p>
    <w:p w:rsidR="00285417" w:rsidRPr="00CA51CD" w:rsidRDefault="00285417" w:rsidP="00DC1333">
      <w:pPr>
        <w:pStyle w:val="Heading2"/>
        <w:tabs>
          <w:tab w:val="left" w:pos="2410"/>
        </w:tabs>
        <w:ind w:left="2410" w:hanging="2410"/>
        <w:jc w:val="both"/>
        <w:rPr>
          <w:b/>
        </w:rPr>
      </w:pPr>
      <w:bookmarkStart w:id="160" w:name="_Toc422927432"/>
      <w:bookmarkStart w:id="161" w:name="_Toc455159100"/>
      <w:r w:rsidRPr="00CA51CD">
        <w:rPr>
          <w:b/>
        </w:rPr>
        <w:lastRenderedPageBreak/>
        <w:t>PROGRAMA 19</w:t>
      </w:r>
      <w:r w:rsidRPr="00CA51CD">
        <w:rPr>
          <w:b/>
        </w:rPr>
        <w:tab/>
        <w:t>COMUNICACIONES</w:t>
      </w:r>
      <w:bookmarkEnd w:id="160"/>
      <w:bookmarkEnd w:id="161"/>
    </w:p>
    <w:p w:rsidR="00285417" w:rsidRPr="00CA51CD" w:rsidRDefault="00285417" w:rsidP="00DC1333">
      <w:pPr>
        <w:tabs>
          <w:tab w:val="left" w:pos="1985"/>
        </w:tabs>
        <w:jc w:val="both"/>
        <w:rPr>
          <w:sz w:val="20"/>
        </w:rPr>
      </w:pPr>
    </w:p>
    <w:p w:rsidR="00285417" w:rsidRPr="00CA51CD" w:rsidRDefault="00285417" w:rsidP="00DC1333">
      <w:pPr>
        <w:tabs>
          <w:tab w:val="left" w:pos="2410"/>
        </w:tabs>
        <w:ind w:left="2410" w:hanging="2410"/>
        <w:jc w:val="both"/>
        <w:rPr>
          <w:b/>
          <w:sz w:val="20"/>
        </w:rPr>
      </w:pPr>
      <w:r w:rsidRPr="00CA51CD">
        <w:rPr>
          <w:b/>
          <w:sz w:val="20"/>
        </w:rPr>
        <w:t>Director de programa</w:t>
      </w:r>
      <w:r w:rsidRPr="00CA51CD">
        <w:rPr>
          <w:b/>
          <w:sz w:val="20"/>
        </w:rPr>
        <w:tab/>
        <w:t>Sr. J. Tarpey</w:t>
      </w:r>
      <w:r w:rsidR="00F00024">
        <w:rPr>
          <w:b/>
          <w:sz w:val="20"/>
        </w:rPr>
        <w:t xml:space="preserve"> (funcionario encargado)</w:t>
      </w:r>
    </w:p>
    <w:p w:rsidR="00285417" w:rsidRPr="00CA51CD" w:rsidRDefault="00285417" w:rsidP="00DC1333">
      <w:pPr>
        <w:jc w:val="both"/>
        <w:rPr>
          <w:sz w:val="20"/>
        </w:rPr>
      </w:pPr>
    </w:p>
    <w:p w:rsidR="00285417" w:rsidRPr="00CA51CD" w:rsidRDefault="00285417" w:rsidP="00DC1333">
      <w:pPr>
        <w:jc w:val="both"/>
        <w:rPr>
          <w:sz w:val="20"/>
        </w:rPr>
      </w:pPr>
    </w:p>
    <w:p w:rsidR="00285417" w:rsidRPr="00CA51CD" w:rsidRDefault="008F7CBE" w:rsidP="00DC1333">
      <w:pPr>
        <w:widowControl w:val="0"/>
        <w:rPr>
          <w:bCs/>
        </w:rPr>
      </w:pPr>
      <w:r w:rsidRPr="008F7CBE">
        <w:rPr>
          <w:bCs/>
          <w:sz w:val="20"/>
          <w:szCs w:val="22"/>
        </w:rPr>
        <w:t>LOGROS ALCANZADOS EN EL BIENIO 2014/15</w:t>
      </w:r>
    </w:p>
    <w:p w:rsidR="00285417" w:rsidRPr="00CA51CD" w:rsidRDefault="00285417" w:rsidP="00DC1333">
      <w:pPr>
        <w:jc w:val="both"/>
      </w:pPr>
    </w:p>
    <w:p w:rsidR="00285417" w:rsidRPr="00CA51CD" w:rsidRDefault="00285417" w:rsidP="00285417">
      <w:pPr>
        <w:pStyle w:val="ListParagraph"/>
        <w:numPr>
          <w:ilvl w:val="0"/>
          <w:numId w:val="88"/>
        </w:numPr>
        <w:tabs>
          <w:tab w:val="left" w:pos="709"/>
        </w:tabs>
        <w:ind w:left="0" w:firstLine="0"/>
        <w:jc w:val="both"/>
        <w:rPr>
          <w:rFonts w:cs="Arial"/>
          <w:lang w:val="es-ES"/>
        </w:rPr>
      </w:pPr>
      <w:r w:rsidRPr="00CA51CD">
        <w:rPr>
          <w:rFonts w:cs="Arial"/>
          <w:lang w:val="es-ES"/>
        </w:rPr>
        <w:t>El programa 19 se siguió centrando en crear y distribuir contenidos pertinentes y de calidad, aumentar la visibilidad de la OMPI y el entendimiento del público hacia sus actividades y fortalecer la cultura de servicio en la Organización.</w:t>
      </w:r>
    </w:p>
    <w:p w:rsidR="00285417" w:rsidRPr="00CA51CD" w:rsidRDefault="00285417" w:rsidP="00DC1333">
      <w:pPr>
        <w:tabs>
          <w:tab w:val="left" w:pos="709"/>
        </w:tabs>
        <w:jc w:val="both"/>
      </w:pPr>
    </w:p>
    <w:p w:rsidR="00285417" w:rsidRPr="00CA51CD" w:rsidRDefault="00285417" w:rsidP="00285417">
      <w:pPr>
        <w:pStyle w:val="ListParagraph"/>
        <w:numPr>
          <w:ilvl w:val="0"/>
          <w:numId w:val="88"/>
        </w:numPr>
        <w:tabs>
          <w:tab w:val="left" w:pos="709"/>
        </w:tabs>
        <w:ind w:left="0" w:firstLine="0"/>
        <w:jc w:val="both"/>
        <w:rPr>
          <w:rFonts w:cs="Arial"/>
          <w:lang w:val="es-ES"/>
        </w:rPr>
      </w:pPr>
      <w:r w:rsidRPr="00CA51CD">
        <w:rPr>
          <w:rFonts w:cs="Arial"/>
          <w:lang w:val="es-ES"/>
        </w:rPr>
        <w:t xml:space="preserve">El importante proyecto del boletín de noticias dio como resultado una nueva solución de </w:t>
      </w:r>
      <w:r w:rsidRPr="00CA51CD">
        <w:rPr>
          <w:rFonts w:cs="Arial"/>
          <w:b/>
          <w:lang w:val="es-ES"/>
        </w:rPr>
        <w:t>comercialización por correo electrónico</w:t>
      </w:r>
      <w:r w:rsidRPr="00CA51CD">
        <w:rPr>
          <w:rFonts w:cs="Arial"/>
          <w:lang w:val="es-ES"/>
        </w:rPr>
        <w:t xml:space="preserve"> que transformó la capacidad de la OMPI para ofrecer a las partes interesadas unas comunicaciones digitales eficaces y adaptadas.  El proyecto incluía revisar y rediseñar por completo las diversas ofertas de boletines de noticias de la OMPI, el establecimiento de una política en materia de boletines de noticias para velar por la calidad del servicio que se ofrece a los suscriptores y la puesta en funcionamiento en junio de 2015 de una plataforma sofisticada para el envío por correo electrónico del boletín de noticias en seis idiomas.  Durante los primeros seis meses de funcionamiento se enviaron desde los distintos ámbitos de la OMPI 508 correos con boletines de noticias.  La plataforma de correo permitió asimismo poner en marcha el WIPO </w:t>
      </w:r>
      <w:proofErr w:type="spellStart"/>
      <w:r w:rsidRPr="00CA51CD">
        <w:rPr>
          <w:rFonts w:cs="Arial"/>
          <w:lang w:val="es-ES"/>
        </w:rPr>
        <w:t>Wire</w:t>
      </w:r>
      <w:proofErr w:type="spellEnd"/>
      <w:r w:rsidRPr="00CA51CD">
        <w:rPr>
          <w:rFonts w:cs="Arial"/>
          <w:lang w:val="es-ES"/>
        </w:rPr>
        <w:t xml:space="preserve">, un boletín quincenal de noticias en seis idiomas que ofrece por primera vez la posibilidad de mantenerse al tanto de la gran variedad de actividades y recursos gratuitos de la OMPI de una forma rápida e interesante.  Más de 10.000 personas se suscribieron al boletín WIPO </w:t>
      </w:r>
      <w:proofErr w:type="spellStart"/>
      <w:r w:rsidRPr="00CA51CD">
        <w:rPr>
          <w:rFonts w:cs="Arial"/>
          <w:lang w:val="es-ES"/>
        </w:rPr>
        <w:t>Wire</w:t>
      </w:r>
      <w:proofErr w:type="spellEnd"/>
      <w:r w:rsidRPr="00CA51CD">
        <w:rPr>
          <w:rFonts w:cs="Arial"/>
          <w:lang w:val="es-ES"/>
        </w:rPr>
        <w:t xml:space="preserve"> durante los seis meses que transcurrieron desde su puesta en marcha hasta el final de 2015, incluidos funcionarios de los Estados miembros, profesionales de la P.I. y encargados de la formulación de políticas de 173 países.</w:t>
      </w:r>
    </w:p>
    <w:p w:rsidR="00285417" w:rsidRPr="00CA51CD" w:rsidRDefault="00285417" w:rsidP="00DC1333">
      <w:pPr>
        <w:tabs>
          <w:tab w:val="left" w:pos="709"/>
        </w:tabs>
        <w:jc w:val="both"/>
      </w:pPr>
    </w:p>
    <w:p w:rsidR="00285417" w:rsidRPr="00CA51CD" w:rsidRDefault="00285417" w:rsidP="00285417">
      <w:pPr>
        <w:pStyle w:val="ListParagraph"/>
        <w:numPr>
          <w:ilvl w:val="0"/>
          <w:numId w:val="88"/>
        </w:numPr>
        <w:tabs>
          <w:tab w:val="left" w:pos="709"/>
        </w:tabs>
        <w:ind w:left="0" w:firstLine="0"/>
        <w:jc w:val="both"/>
        <w:rPr>
          <w:rFonts w:cs="Arial"/>
          <w:lang w:val="es-ES"/>
        </w:rPr>
      </w:pPr>
      <w:r w:rsidRPr="00CA51CD">
        <w:rPr>
          <w:rFonts w:cs="Arial"/>
          <w:lang w:val="es-ES"/>
        </w:rPr>
        <w:t xml:space="preserve">Se consiguió aumentar la </w:t>
      </w:r>
      <w:r w:rsidRPr="00CA51CD">
        <w:rPr>
          <w:rFonts w:cs="Arial"/>
          <w:b/>
          <w:lang w:val="es-ES"/>
        </w:rPr>
        <w:t>repercusión</w:t>
      </w:r>
      <w:r w:rsidRPr="00CA51CD">
        <w:rPr>
          <w:rFonts w:cs="Arial"/>
          <w:lang w:val="es-ES"/>
        </w:rPr>
        <w:t xml:space="preserve"> mediática de las actividades más importantes y los lanzamientos de productos de la OMPI gracias a la mayor integración entre los contenidos y la estrategia relativa a los medios de comunicación.  El Índice Mundial de Innovación se convirtió en uno de los temas más populares en Twitter en Londres el día en que se presentó la edición de 2015 en el Reino Unido.  La presencia de los informes más emblemáticos de la OMPI (el Índice Mundial de Innovación;  el Informe mundial sobre la propiedad intelectual;  las reseñas anuales de los Sistemas del PCT, Madrid y La Haya, y los Indicadores mundiales de propiedad intelectual) en algunos de los medios de comunicación más influyentes a nivel mundial ayudó a situarlos como fuentes mundiales de referencia en lo que respecta a datos sobre la P.I. y la innovación.  Gracias a la promoción del Informe mundial sobre la propiedad intelectual se consiguió que se publicaran alrededor de 200 artículos de prensa al respecto durante la semana posterior a su publicación.  Mediante la difusión conjunta en la prensa y las redes sociales a fin de promover la Conferencia Ministerial de Dakar 2014 se obtuvo una gran cobertura mediática en África, tanto en los medios audiovisuales como en Internet, fomentando así el interés público por las cuestiones relativas a la P.I. y el desarrollo.  Todas las actividades importantes contaron con páginas web en los seis idiomas.  Las iniciativas de apoyo al Consorcio de Libros Accesibles se vieron respaldadas por la elaboración de un emocionante vídeo sobre las actividades de fortalecimiento de capacidades llevadas a cabo por el Consorcio en la India.</w:t>
      </w:r>
    </w:p>
    <w:p w:rsidR="00285417" w:rsidRPr="00CA51CD" w:rsidRDefault="00285417" w:rsidP="00DC1333">
      <w:pPr>
        <w:pStyle w:val="ListParagraph"/>
        <w:tabs>
          <w:tab w:val="left" w:pos="709"/>
        </w:tabs>
        <w:ind w:left="0"/>
        <w:jc w:val="both"/>
        <w:rPr>
          <w:rFonts w:cs="Arial"/>
          <w:lang w:val="es-ES"/>
        </w:rPr>
      </w:pPr>
    </w:p>
    <w:p w:rsidR="00285417" w:rsidRPr="00CA51CD" w:rsidRDefault="00285417" w:rsidP="00285417">
      <w:pPr>
        <w:pStyle w:val="ListParagraph"/>
        <w:numPr>
          <w:ilvl w:val="0"/>
          <w:numId w:val="88"/>
        </w:numPr>
        <w:tabs>
          <w:tab w:val="left" w:pos="709"/>
        </w:tabs>
        <w:ind w:left="0" w:firstLine="0"/>
        <w:jc w:val="both"/>
        <w:rPr>
          <w:rFonts w:cs="Arial"/>
          <w:lang w:val="es-ES"/>
        </w:rPr>
      </w:pPr>
      <w:r w:rsidRPr="00CA51CD">
        <w:rPr>
          <w:rFonts w:cs="Arial"/>
          <w:lang w:val="es-ES"/>
        </w:rPr>
        <w:t xml:space="preserve">La </w:t>
      </w:r>
      <w:r w:rsidRPr="00CA51CD">
        <w:rPr>
          <w:rFonts w:cs="Arial"/>
          <w:b/>
          <w:lang w:val="es-ES"/>
        </w:rPr>
        <w:t>participación</w:t>
      </w:r>
      <w:r w:rsidRPr="00CA51CD">
        <w:rPr>
          <w:rFonts w:cs="Arial"/>
          <w:lang w:val="es-ES"/>
        </w:rPr>
        <w:t xml:space="preserve"> de los Estados miembros y el público en la campaña del Día Mundial de la P.I. siguió siendo muy elevada durante los dos años del bienio.  El tema en 2015</w:t>
      </w:r>
      <w:proofErr w:type="gramStart"/>
      <w:r w:rsidRPr="00CA51CD">
        <w:rPr>
          <w:rFonts w:cs="Arial"/>
          <w:lang w:val="es-ES"/>
        </w:rPr>
        <w:t>:  movilízate</w:t>
      </w:r>
      <w:proofErr w:type="gramEnd"/>
      <w:r w:rsidRPr="00CA51CD">
        <w:rPr>
          <w:rFonts w:cs="Arial"/>
          <w:lang w:val="es-ES"/>
        </w:rPr>
        <w:t xml:space="preserve"> por la música, sirvió de inspiración a más de 350 actividades con motivo del día de la P.I. en 105 países (en comparación con 236 eventos en 93 países en 2013), entre los que se incluyó una mesa redonda y una exposición en la sede de la OMPI que contó una con gran asistencia. Los tuits sobre el Día Mundial de la P.I. 2015 (#</w:t>
      </w:r>
      <w:proofErr w:type="spellStart"/>
      <w:r w:rsidRPr="00CA51CD">
        <w:rPr>
          <w:rFonts w:cs="Arial"/>
          <w:lang w:val="es-ES"/>
        </w:rPr>
        <w:t>WorldIPDay</w:t>
      </w:r>
      <w:proofErr w:type="spellEnd"/>
      <w:r w:rsidRPr="00CA51CD">
        <w:rPr>
          <w:rFonts w:cs="Arial"/>
          <w:lang w:val="es-ES"/>
        </w:rPr>
        <w:t xml:space="preserve">) obtuvieron 5,2 millones de impresiones potenciales (en comparación con 1,55 en 2013) y alrededor de 900 </w:t>
      </w:r>
      <w:proofErr w:type="spellStart"/>
      <w:r w:rsidRPr="00CA51CD">
        <w:rPr>
          <w:rFonts w:cs="Arial"/>
          <w:lang w:val="es-ES"/>
        </w:rPr>
        <w:t>retuits</w:t>
      </w:r>
      <w:proofErr w:type="spellEnd"/>
      <w:r w:rsidRPr="00CA51CD">
        <w:rPr>
          <w:rFonts w:cs="Arial"/>
          <w:lang w:val="es-ES"/>
        </w:rPr>
        <w:t>.  La participación alcanzó un caráct</w:t>
      </w:r>
      <w:r>
        <w:rPr>
          <w:rFonts w:cs="Arial"/>
          <w:lang w:val="es-ES"/>
        </w:rPr>
        <w:t>er verdaderamente mundial, y en </w:t>
      </w:r>
      <w:r w:rsidRPr="00CA51CD">
        <w:rPr>
          <w:rFonts w:cs="Arial"/>
          <w:lang w:val="es-ES"/>
        </w:rPr>
        <w:t>2014 la versión en chino de la página web del Día Mundial de la P.I. recibió más visitas que la versión en inglés, y el mayor número de "me gusta" en Facebook procedió respectivamente de la India, los Estados Unidos de América, México, Egipto y el Brasil.</w:t>
      </w:r>
    </w:p>
    <w:p w:rsidR="00285417" w:rsidRPr="00CA51CD" w:rsidRDefault="00285417" w:rsidP="00DC1333">
      <w:pPr>
        <w:tabs>
          <w:tab w:val="left" w:pos="709"/>
        </w:tabs>
        <w:jc w:val="both"/>
      </w:pPr>
    </w:p>
    <w:p w:rsidR="00285417" w:rsidRPr="00CA51CD" w:rsidRDefault="00285417" w:rsidP="00285417">
      <w:pPr>
        <w:pStyle w:val="ListParagraph"/>
        <w:numPr>
          <w:ilvl w:val="0"/>
          <w:numId w:val="88"/>
        </w:numPr>
        <w:tabs>
          <w:tab w:val="left" w:pos="709"/>
        </w:tabs>
        <w:ind w:left="0" w:firstLine="0"/>
        <w:jc w:val="both"/>
        <w:rPr>
          <w:rFonts w:cs="Arial"/>
          <w:lang w:val="es-ES"/>
        </w:rPr>
      </w:pPr>
      <w:r w:rsidRPr="00CA51CD">
        <w:rPr>
          <w:rFonts w:cs="Arial"/>
          <w:lang w:val="es-ES"/>
        </w:rPr>
        <w:t>Entre las comunicaciones cara a cara se incluyó el popular programa de reuniones de información de la OMPI.  Durante el bienio 2014/15 el personal llevó a cabo presentaciones individualizadas con 178 grupos de visitantes entre los que se incluyen más de 4.000 estudiantes universitarios de todo el mundo.  La participación en actividades locales como la jornada de puertas abiertas de las Naciones Unidas ofreció asimismo oportunidades de divulgación con muy buena acogida por parte del público de Ginebra.</w:t>
      </w:r>
    </w:p>
    <w:p w:rsidR="00285417" w:rsidRPr="00CA51CD" w:rsidRDefault="00285417" w:rsidP="00285417">
      <w:pPr>
        <w:pStyle w:val="ListParagraph"/>
        <w:numPr>
          <w:ilvl w:val="0"/>
          <w:numId w:val="88"/>
        </w:numPr>
        <w:tabs>
          <w:tab w:val="left" w:pos="709"/>
        </w:tabs>
        <w:ind w:left="0" w:firstLine="0"/>
        <w:jc w:val="both"/>
        <w:rPr>
          <w:rFonts w:cs="Arial"/>
          <w:lang w:val="es-ES"/>
        </w:rPr>
      </w:pPr>
      <w:r w:rsidRPr="00CA51CD">
        <w:rPr>
          <w:rFonts w:cs="Arial"/>
          <w:lang w:val="es-ES"/>
        </w:rPr>
        <w:lastRenderedPageBreak/>
        <w:t xml:space="preserve">El impulso encaminado a crear </w:t>
      </w:r>
      <w:r w:rsidRPr="00CA51CD">
        <w:rPr>
          <w:rFonts w:cs="Arial"/>
          <w:b/>
          <w:lang w:val="es-ES"/>
        </w:rPr>
        <w:t>contenidos editoriales y visuales</w:t>
      </w:r>
      <w:r w:rsidRPr="00CA51CD">
        <w:rPr>
          <w:rFonts w:cs="Arial"/>
          <w:lang w:val="es-ES"/>
        </w:rPr>
        <w:t xml:space="preserve"> de calidad siguió dando resultados durante el bienio 2014/15.  Una infografía elaborada para presentar el Índice Mundial de Innovación 2015 se </w:t>
      </w:r>
      <w:proofErr w:type="spellStart"/>
      <w:r w:rsidRPr="00CA51CD">
        <w:rPr>
          <w:rFonts w:cs="Arial"/>
          <w:lang w:val="es-ES"/>
        </w:rPr>
        <w:t>retuiteó</w:t>
      </w:r>
      <w:proofErr w:type="spellEnd"/>
      <w:r w:rsidRPr="00CA51CD">
        <w:rPr>
          <w:rFonts w:cs="Arial"/>
          <w:lang w:val="es-ES"/>
        </w:rPr>
        <w:t xml:space="preserve"> más de 400 veces, convirtiéndose así en la pieza más compartida en las redes sociales de todas las que ha creado la OMPI hasta la fecha.  Durante el bienio se diseñaron más de 425 productos para utilizarlos en versión impresa y en línea, por ejemplo folletos, publicaciones, contenidos web, y materiales promocionales en varios idiomas.  La Revista de la OMPI, que se publica cada dos meses, alcanzó un millón de visitas únicas durante el bieni</w:t>
      </w:r>
      <w:r>
        <w:rPr>
          <w:rFonts w:cs="Arial"/>
          <w:lang w:val="es-ES"/>
        </w:rPr>
        <w:t>o, lo que supone un aumento del </w:t>
      </w:r>
      <w:r w:rsidRPr="00CA51CD">
        <w:rPr>
          <w:rFonts w:cs="Arial"/>
          <w:lang w:val="es-ES"/>
        </w:rPr>
        <w:t>19%, y los lectores compartieron con regularidad los artículos en las redes sociales.  El renovado Centro de Medios de Comunicación de la OMPI se creó a modo de ventana para mostrar la labor que lleva a cabo la Organización y como esta beneficia al público en general de todo el mundo, por medio de contenidos de vídeo, pequeños reportajes y narraciones más largas.  La lectura de los comunicados de prensa tradicionales descendió ligeramente (1,6%), siguiendo la línea de las tendencias mundiales de la comunicación y, por su parte, el Centro de Medios de Comunicación obtuvo más de 500.000 visitas únicas durante el bienio gracias a su mayor accesibilidad de sus contenidos.</w:t>
      </w:r>
    </w:p>
    <w:p w:rsidR="00285417" w:rsidRPr="00CA51CD" w:rsidRDefault="00285417" w:rsidP="00DC1333">
      <w:pPr>
        <w:tabs>
          <w:tab w:val="left" w:pos="709"/>
        </w:tabs>
        <w:jc w:val="both"/>
      </w:pPr>
    </w:p>
    <w:p w:rsidR="00285417" w:rsidRPr="00CA51CD" w:rsidRDefault="00285417" w:rsidP="00285417">
      <w:pPr>
        <w:pStyle w:val="ListParagraph"/>
        <w:numPr>
          <w:ilvl w:val="0"/>
          <w:numId w:val="88"/>
        </w:numPr>
        <w:tabs>
          <w:tab w:val="left" w:pos="709"/>
        </w:tabs>
        <w:ind w:left="0" w:firstLine="0"/>
        <w:jc w:val="both"/>
        <w:rPr>
          <w:rFonts w:cs="Arial"/>
          <w:lang w:val="es-ES"/>
        </w:rPr>
      </w:pPr>
      <w:r w:rsidRPr="00CA51CD">
        <w:rPr>
          <w:rFonts w:cs="Arial"/>
          <w:lang w:val="es-ES"/>
        </w:rPr>
        <w:t xml:space="preserve">La OMPI siguió intensificando la producción de </w:t>
      </w:r>
      <w:r w:rsidRPr="00CA51CD">
        <w:rPr>
          <w:rFonts w:cs="Arial"/>
          <w:b/>
          <w:lang w:val="es-ES"/>
        </w:rPr>
        <w:t>vídeos</w:t>
      </w:r>
      <w:r w:rsidRPr="00CA51CD">
        <w:rPr>
          <w:rFonts w:cs="Arial"/>
          <w:lang w:val="es-ES"/>
        </w:rPr>
        <w:t xml:space="preserve"> en respuesta a la preferencia mundial por el vídeo como medio de comunicación.  Durante el bienio 2014/15 se crearon 272 vídeos nuevos, de los que 161 se publicaron en YouTube, entre ellos noticias, historias sobre innovadores o creadores y piezas promocionales.  El éxito colosal de visitas que disfrutó el dibujo animado </w:t>
      </w:r>
      <w:proofErr w:type="spellStart"/>
      <w:r w:rsidRPr="00CA51CD">
        <w:rPr>
          <w:rFonts w:cs="Arial"/>
          <w:lang w:val="es-ES"/>
        </w:rPr>
        <w:t>Póroro</w:t>
      </w:r>
      <w:proofErr w:type="spellEnd"/>
      <w:r w:rsidRPr="00CA51CD">
        <w:rPr>
          <w:rFonts w:cs="Arial"/>
          <w:lang w:val="es-ES"/>
        </w:rPr>
        <w:t xml:space="preserve"> durante el bienio</w:t>
      </w:r>
      <w:r>
        <w:rPr>
          <w:rFonts w:cs="Arial"/>
          <w:lang w:val="es-ES"/>
        </w:rPr>
        <w:t> </w:t>
      </w:r>
      <w:r w:rsidRPr="00CA51CD">
        <w:rPr>
          <w:rFonts w:cs="Arial"/>
          <w:lang w:val="es-ES"/>
        </w:rPr>
        <w:t xml:space="preserve">2012/13 disminuyó, pero el número de visitantes para los demás vídeos (no animados) continuó su tendencia al alza.  El total de visualizaciones del canal de YouTube de la OMPI (desde sus comienzos en abril de 2013) superó la barrera de los nueve millones.  Las fotos publicadas por la OMPI en </w:t>
      </w:r>
      <w:proofErr w:type="spellStart"/>
      <w:r w:rsidRPr="00CA51CD">
        <w:rPr>
          <w:rFonts w:cs="Arial"/>
          <w:lang w:val="es-ES"/>
        </w:rPr>
        <w:t>Flickr</w:t>
      </w:r>
      <w:proofErr w:type="spellEnd"/>
      <w:r w:rsidRPr="00CA51CD">
        <w:rPr>
          <w:rFonts w:cs="Arial"/>
          <w:lang w:val="es-ES"/>
        </w:rPr>
        <w:t xml:space="preserve"> obtuvieron más de 2,5 millones de visionados durante el bienio, con lo que el total de visionados se situó en 3,4 millones, mientras que el bienio anterior la cifra había sido de 900.000 visionados.</w:t>
      </w:r>
    </w:p>
    <w:p w:rsidR="00285417" w:rsidRPr="00CA51CD" w:rsidRDefault="00285417" w:rsidP="00DC1333">
      <w:pPr>
        <w:tabs>
          <w:tab w:val="left" w:pos="709"/>
        </w:tabs>
        <w:jc w:val="both"/>
      </w:pPr>
    </w:p>
    <w:p w:rsidR="00285417" w:rsidRPr="00CA51CD" w:rsidRDefault="00285417" w:rsidP="00285417">
      <w:pPr>
        <w:pStyle w:val="ListParagraph"/>
        <w:numPr>
          <w:ilvl w:val="0"/>
          <w:numId w:val="88"/>
        </w:numPr>
        <w:tabs>
          <w:tab w:val="left" w:pos="709"/>
        </w:tabs>
        <w:ind w:left="0" w:firstLine="0"/>
        <w:jc w:val="both"/>
        <w:rPr>
          <w:rFonts w:cs="Arial"/>
          <w:lang w:val="es-ES"/>
        </w:rPr>
      </w:pPr>
      <w:r w:rsidRPr="00CA51CD">
        <w:rPr>
          <w:rFonts w:cs="Arial"/>
          <w:lang w:val="es-ES"/>
        </w:rPr>
        <w:t xml:space="preserve">La segunda fase de la revisión del </w:t>
      </w:r>
      <w:r w:rsidRPr="00CA51CD">
        <w:rPr>
          <w:rFonts w:cs="Arial"/>
          <w:b/>
          <w:lang w:val="es-ES"/>
        </w:rPr>
        <w:t>sitio web</w:t>
      </w:r>
      <w:r w:rsidRPr="00CA51CD">
        <w:rPr>
          <w:rFonts w:cs="Arial"/>
          <w:lang w:val="es-ES"/>
        </w:rPr>
        <w:t xml:space="preserve"> de la OMPI avanzó a buen ritmo, habiéndose llevado a cabo una limpieza, mejora y rediseño sistemáticos de las páginas de los niveles inferiores;  una mejora de la capacidad de búsqueda;  una actualización técnica del sistema de gestión de contenidos, y preparado las nuevas mejoras del diseño visual que se comenzarán a aplicar en 2016.  Se crearon nuevos contenidos web, relacionados por ejemplo con las oficinas en el exterior;  las mujeres y la P.I.; las Asambleas, y todas las actividades y productos importantes y nuevas iniciativas.  Se otorgó gran prioridad a aumentar la traducción y publicación de los contenidos web en los seis idiomas con rapidez.  En 2015 el personal de la División Lingüística recibió formación a fin de introducir directamente en el sitio web contenidos en árabe, chino y ruso, mejorando así la calidad, la cantidad y la rapidez de la publicación en la web en estos idiomas.  Las </w:t>
      </w:r>
      <w:r w:rsidRPr="00CA51CD">
        <w:rPr>
          <w:rFonts w:cs="Arial"/>
          <w:b/>
          <w:lang w:val="es-ES"/>
        </w:rPr>
        <w:t>redes sociales</w:t>
      </w:r>
      <w:r w:rsidRPr="00CA51CD">
        <w:rPr>
          <w:rFonts w:cs="Arial"/>
          <w:lang w:val="es-ES"/>
        </w:rPr>
        <w:t xml:space="preserve"> de la OMPI siguieron consiguiendo buenos niveles de participación en Twitter y se comenzó a trabajar en una revisión de la estrategia de medios sociales con miras a aplicarla durante el bienio 2016/17.</w:t>
      </w:r>
    </w:p>
    <w:p w:rsidR="00285417" w:rsidRPr="00CA51CD" w:rsidRDefault="00285417" w:rsidP="00DC1333">
      <w:pPr>
        <w:pStyle w:val="ListParagraph"/>
        <w:tabs>
          <w:tab w:val="left" w:pos="709"/>
        </w:tabs>
        <w:ind w:left="0"/>
        <w:jc w:val="both"/>
        <w:rPr>
          <w:rFonts w:cs="Arial"/>
          <w:lang w:val="es-ES"/>
        </w:rPr>
      </w:pPr>
    </w:p>
    <w:p w:rsidR="00285417" w:rsidRPr="00CA51CD" w:rsidRDefault="00285417" w:rsidP="00285417">
      <w:pPr>
        <w:pStyle w:val="ListParagraph"/>
        <w:numPr>
          <w:ilvl w:val="0"/>
          <w:numId w:val="88"/>
        </w:numPr>
        <w:tabs>
          <w:tab w:val="left" w:pos="709"/>
        </w:tabs>
        <w:ind w:left="0" w:firstLine="0"/>
        <w:jc w:val="both"/>
        <w:rPr>
          <w:rFonts w:cs="Arial"/>
          <w:lang w:val="es-ES"/>
        </w:rPr>
      </w:pPr>
      <w:r w:rsidRPr="00CA51CD">
        <w:rPr>
          <w:rFonts w:cs="Arial"/>
          <w:lang w:val="es-ES"/>
        </w:rPr>
        <w:t xml:space="preserve">Se aplicó la política de distribución de </w:t>
      </w:r>
      <w:r w:rsidRPr="00CA51CD">
        <w:rPr>
          <w:rFonts w:cs="Arial"/>
          <w:b/>
          <w:lang w:val="es-ES"/>
        </w:rPr>
        <w:t>publicaciones</w:t>
      </w:r>
      <w:r w:rsidRPr="00CA51CD">
        <w:rPr>
          <w:rFonts w:cs="Arial"/>
          <w:lang w:val="es-ES"/>
        </w:rPr>
        <w:t xml:space="preserve"> con el fin de que todas las publicaciones y los estudios de la OMPI se puedan descargar gratuitamente.  Se redoblaron los esfuerzos encaminados a reducir la producción, el almacenamiento y el envío de publicaciones en papel, incluso mediante la puesta en marcha de un servicio externo de impresión a demanda.  A finales de 2015 se introdujo un nuevo sistema de gestión de las publicaciones en sustitución del sistema de control de las existencias y tramitación de pedidos, que se había quedado obsoleto, que debería ayudar a mejorar aún más la eficacia en función de los costos.  En respuesta a las solicitudes formuladas por los Estados miembros, durante el bienio se crearon 15 nuevas bibliotecas depositarias, con lo que el total se sitúa en 105 y, por su parte, la Biblioteca de la OMPI recibió 2.044 visitantes y respondió a 1.323 solicitudes de información procedentes de todo el mundo.</w:t>
      </w:r>
    </w:p>
    <w:p w:rsidR="00285417" w:rsidRPr="00CA51CD" w:rsidRDefault="00285417" w:rsidP="00DC1333">
      <w:pPr>
        <w:jc w:val="both"/>
      </w:pPr>
    </w:p>
    <w:p w:rsidR="00285417" w:rsidRPr="00CA51CD" w:rsidRDefault="00285417" w:rsidP="00285417">
      <w:pPr>
        <w:pStyle w:val="ListParagraph"/>
        <w:numPr>
          <w:ilvl w:val="0"/>
          <w:numId w:val="88"/>
        </w:numPr>
        <w:tabs>
          <w:tab w:val="left" w:pos="709"/>
        </w:tabs>
        <w:ind w:left="0" w:firstLine="0"/>
        <w:jc w:val="both"/>
        <w:rPr>
          <w:rFonts w:cs="Arial"/>
          <w:lang w:val="es-ES"/>
        </w:rPr>
      </w:pPr>
      <w:r w:rsidRPr="00CA51CD">
        <w:rPr>
          <w:rFonts w:cs="Arial"/>
          <w:lang w:val="es-ES"/>
        </w:rPr>
        <w:t xml:space="preserve">Durante el bienio 2014/15 se integró en el resto de la Organización el trabajo sobre </w:t>
      </w:r>
      <w:r w:rsidRPr="00CA51CD">
        <w:rPr>
          <w:rFonts w:cs="Arial"/>
          <w:b/>
          <w:lang w:val="es-ES"/>
        </w:rPr>
        <w:t>desarrollo de la imagen</w:t>
      </w:r>
      <w:r w:rsidRPr="00CA51CD">
        <w:rPr>
          <w:rFonts w:cs="Arial"/>
          <w:lang w:val="es-ES"/>
        </w:rPr>
        <w:t xml:space="preserve"> llevado a cabo en el bienio anterior para ayudar a mejorar la identidad institucional de la OMPI.  Los procesos de revisión editorial y del diseño garantizaron que se prestara atención de forma sistemática a la claridad y la coherencia en la expresión de la función, la misión y los valores de la OMPI de cara a todas sus comunicaciones verbales y visuales.  A raíz de la encuesta realizada en 2014 sobre la impresión que tienen las partes interesadas acerca de la OMPI, se identificaron los principales atributos que guiaron a dichas partes a evaluar la Organización, y se desarrolló una herramienta para evaluar el funcionamiento de la OMPI en relación con esos factores clave para la reputación de la Organización.</w:t>
      </w:r>
    </w:p>
    <w:p w:rsidR="00285417" w:rsidRPr="00CA51CD" w:rsidRDefault="00285417" w:rsidP="00DC1333">
      <w:pPr>
        <w:jc w:val="both"/>
      </w:pPr>
    </w:p>
    <w:p w:rsidR="00285417" w:rsidRPr="00CA51CD" w:rsidRDefault="00285417" w:rsidP="00285417">
      <w:pPr>
        <w:pStyle w:val="ListParagraph"/>
        <w:numPr>
          <w:ilvl w:val="0"/>
          <w:numId w:val="88"/>
        </w:numPr>
        <w:tabs>
          <w:tab w:val="left" w:pos="709"/>
        </w:tabs>
        <w:ind w:left="0" w:firstLine="0"/>
        <w:jc w:val="both"/>
        <w:rPr>
          <w:lang w:val="es-ES"/>
        </w:rPr>
      </w:pPr>
      <w:r w:rsidRPr="00CA51CD">
        <w:rPr>
          <w:lang w:val="es-ES"/>
        </w:rPr>
        <w:lastRenderedPageBreak/>
        <w:t xml:space="preserve">El compromiso firme de responder con eficacia y prontitud a las distintas partes interesadas siguió formando una parte fundamental del empeño permanente en fomentar una </w:t>
      </w:r>
      <w:r w:rsidRPr="00CA51CD">
        <w:rPr>
          <w:b/>
          <w:lang w:val="es-ES"/>
        </w:rPr>
        <w:t>cultura de servicio</w:t>
      </w:r>
      <w:r w:rsidRPr="00CA51CD">
        <w:rPr>
          <w:lang w:val="es-ES"/>
        </w:rPr>
        <w:t xml:space="preserve"> e incluyó la introducción de la nueva Carta de Servicio de la OMPI y la realización de presentaciones internas y actividades de sensibilización de la opinión pública, así como la segunda semana de la “netiqueta”.  El personal del Centro de Atención al Cliente tramitó el 92% de las 10.280 consultas recibidas en menos de un día de trabajo y el 100% de las 283 quejas recibidas en menos de ocho horas de trabajo.  El sistema de notificación de consultas de la OMPI se integró en los equipos de atención al cliente del Registro de Madrid, permitiendo tramitar con más eficacia más de 7.000 consultas de los clientes al mes, y 12.000 en toda la Organización.  Entre las medidas destinadas a supervisar el nivel de </w:t>
      </w:r>
      <w:r w:rsidRPr="00CA51CD">
        <w:rPr>
          <w:b/>
          <w:lang w:val="es-ES"/>
        </w:rPr>
        <w:t>satisfacción de los clientes</w:t>
      </w:r>
      <w:r w:rsidRPr="00CA51CD">
        <w:rPr>
          <w:lang w:val="es-ES"/>
        </w:rPr>
        <w:t xml:space="preserve"> se incluyó la realización de encuestas de satisfacción entre los usuarios del PCT (por primera vez en nueve idiomas) y el Registro de Madrid.</w:t>
      </w:r>
    </w:p>
    <w:p w:rsidR="00285417" w:rsidRPr="00CA51CD" w:rsidRDefault="00285417" w:rsidP="00DC1333">
      <w:pPr>
        <w:jc w:val="both"/>
      </w:pPr>
    </w:p>
    <w:p w:rsidR="00285417" w:rsidRPr="00CA51CD" w:rsidRDefault="00285417" w:rsidP="00285417">
      <w:pPr>
        <w:pStyle w:val="ListParagraph"/>
        <w:numPr>
          <w:ilvl w:val="0"/>
          <w:numId w:val="88"/>
        </w:numPr>
        <w:tabs>
          <w:tab w:val="left" w:pos="709"/>
        </w:tabs>
        <w:ind w:left="0" w:firstLine="0"/>
        <w:jc w:val="both"/>
        <w:rPr>
          <w:rFonts w:eastAsia="SimSun"/>
          <w:lang w:val="es-ES" w:eastAsia="zh-CN"/>
        </w:rPr>
      </w:pPr>
      <w:r w:rsidRPr="00CA51CD">
        <w:rPr>
          <w:rFonts w:eastAsia="SimSun" w:cs="Arial"/>
          <w:lang w:val="es-ES" w:eastAsia="zh-CN"/>
        </w:rPr>
        <w:t xml:space="preserve">El diseño, la planificación y la ejecución de las actividades del programa 19 se basaron en las recomendaciones pertinentes de la A.D.  En el marco del programa 19 se siguió ampliando la base de datos de casos prácticos </w:t>
      </w:r>
      <w:r w:rsidRPr="00CA51CD">
        <w:rPr>
          <w:rFonts w:eastAsia="SimSun" w:cs="Arial"/>
          <w:i/>
          <w:lang w:val="es-ES" w:eastAsia="zh-CN"/>
        </w:rPr>
        <w:t xml:space="preserve">IP </w:t>
      </w:r>
      <w:proofErr w:type="spellStart"/>
      <w:r w:rsidRPr="00CA51CD">
        <w:rPr>
          <w:rFonts w:eastAsia="SimSun" w:cs="Arial"/>
          <w:i/>
          <w:lang w:val="es-ES" w:eastAsia="zh-CN"/>
        </w:rPr>
        <w:t>Advantage</w:t>
      </w:r>
      <w:proofErr w:type="spellEnd"/>
      <w:r w:rsidRPr="00CA51CD">
        <w:rPr>
          <w:rFonts w:eastAsia="SimSun" w:cs="Arial"/>
          <w:lang w:val="es-ES" w:eastAsia="zh-CN"/>
        </w:rPr>
        <w:t xml:space="preserve"> (una iniciativa de la A.D. respaldada por el CDIP), que </w:t>
      </w:r>
      <w:r>
        <w:rPr>
          <w:rFonts w:eastAsia="SimSun" w:cs="Arial"/>
          <w:lang w:val="es-ES" w:eastAsia="zh-CN"/>
        </w:rPr>
        <w:t>recibió </w:t>
      </w:r>
      <w:r w:rsidRPr="00CA51CD">
        <w:rPr>
          <w:rFonts w:eastAsia="SimSun" w:cs="Arial"/>
          <w:lang w:val="es-ES" w:eastAsia="zh-CN"/>
        </w:rPr>
        <w:t>468.200 visitas durante el bienio 2014/15 (en comparación con 312.000 en el bienio 2012/13), y se facilitó apoyo a las comunicaciones (editoriales, diseño, vídeo, internet y otras) relacionadas con numerosos productos derivados de la A.D. y con los resultados obtenidos gracias a otros programas de la Organización.</w:t>
      </w:r>
    </w:p>
    <w:p w:rsidR="00285417" w:rsidRPr="00CA51CD" w:rsidRDefault="00285417" w:rsidP="00DC1333">
      <w:pPr>
        <w:jc w:val="both"/>
        <w:rPr>
          <w:sz w:val="20"/>
        </w:rPr>
      </w:pPr>
    </w:p>
    <w:p w:rsidR="00285417" w:rsidRPr="00CA51CD" w:rsidRDefault="00285417" w:rsidP="00DC1333">
      <w:pPr>
        <w:rPr>
          <w:sz w:val="20"/>
        </w:rPr>
      </w:pPr>
    </w:p>
    <w:p w:rsidR="00285417" w:rsidRPr="00CA51CD" w:rsidRDefault="008F7CBE" w:rsidP="00DC1333">
      <w:pPr>
        <w:jc w:val="both"/>
        <w:rPr>
          <w:szCs w:val="22"/>
        </w:rPr>
      </w:pPr>
      <w:r w:rsidRPr="008F7CBE">
        <w:rPr>
          <w:sz w:val="20"/>
          <w:szCs w:val="22"/>
        </w:rPr>
        <w:t>DATOS SOBRE EL RENDIMIENTO</w:t>
      </w:r>
    </w:p>
    <w:p w:rsidR="00285417" w:rsidRPr="00CA51CD" w:rsidRDefault="00285417" w:rsidP="00DC1333">
      <w:pPr>
        <w:jc w:val="both"/>
        <w:rPr>
          <w:b/>
          <w:sz w:val="16"/>
          <w:szCs w:val="16"/>
        </w:rPr>
      </w:pPr>
    </w:p>
    <w:tbl>
      <w:tblPr>
        <w:tblW w:w="4944"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087"/>
        <w:gridCol w:w="2553"/>
        <w:gridCol w:w="1420"/>
        <w:gridCol w:w="2128"/>
        <w:gridCol w:w="1276"/>
      </w:tblGrid>
      <w:tr w:rsidR="00285417" w:rsidRPr="00CA51CD" w:rsidTr="00DC1333">
        <w:trPr>
          <w:trHeight w:val="435"/>
        </w:trPr>
        <w:tc>
          <w:tcPr>
            <w:tcW w:w="5000" w:type="pct"/>
            <w:gridSpan w:val="5"/>
            <w:tcBorders>
              <w:top w:val="single" w:sz="4" w:space="0" w:color="auto"/>
              <w:bottom w:val="single" w:sz="4" w:space="0" w:color="auto"/>
            </w:tcBorders>
            <w:shd w:val="clear" w:color="auto" w:fill="C6D9F1" w:themeFill="text2" w:themeFillTint="33"/>
            <w:vAlign w:val="center"/>
          </w:tcPr>
          <w:p w:rsidR="00285417" w:rsidRPr="00CA51CD" w:rsidRDefault="00285417" w:rsidP="00DC1333">
            <w:pPr>
              <w:keepNext/>
              <w:keepLines/>
              <w:spacing w:before="120" w:after="120"/>
              <w:ind w:left="1985" w:hanging="1985"/>
              <w:rPr>
                <w:b/>
                <w:bCs/>
                <w:sz w:val="16"/>
                <w:szCs w:val="16"/>
              </w:rPr>
            </w:pPr>
            <w:r w:rsidRPr="00CA51CD">
              <w:rPr>
                <w:b/>
                <w:bCs/>
                <w:sz w:val="16"/>
                <w:szCs w:val="16"/>
              </w:rPr>
              <w:t>Resultado previsto</w:t>
            </w:r>
            <w:r w:rsidRPr="00CA51CD">
              <w:rPr>
                <w:bCs/>
                <w:sz w:val="16"/>
                <w:szCs w:val="16"/>
              </w:rPr>
              <w:t>:</w:t>
            </w:r>
            <w:r w:rsidRPr="00CA51CD">
              <w:rPr>
                <w:b/>
                <w:bCs/>
                <w:sz w:val="16"/>
                <w:szCs w:val="16"/>
              </w:rPr>
              <w:tab/>
            </w:r>
            <w:r w:rsidRPr="00CA51CD">
              <w:rPr>
                <w:bCs/>
                <w:sz w:val="16"/>
                <w:szCs w:val="16"/>
              </w:rPr>
              <w:t>VIII.1 Comunicación más eficaz con el público en general acerca de la P.I. y la función de la OMPI</w:t>
            </w:r>
          </w:p>
        </w:tc>
      </w:tr>
      <w:tr w:rsidR="00285417" w:rsidRPr="00CA51CD" w:rsidTr="00DC1333">
        <w:tc>
          <w:tcPr>
            <w:tcW w:w="1103" w:type="pct"/>
            <w:tcBorders>
              <w:top w:val="single" w:sz="4" w:space="0" w:color="auto"/>
            </w:tcBorders>
            <w:vAlign w:val="center"/>
          </w:tcPr>
          <w:p w:rsidR="00285417" w:rsidRPr="00CA51CD" w:rsidRDefault="00285417" w:rsidP="00DC1333">
            <w:pPr>
              <w:rPr>
                <w:sz w:val="16"/>
                <w:szCs w:val="16"/>
              </w:rPr>
            </w:pPr>
            <w:r w:rsidRPr="00CA51CD">
              <w:rPr>
                <w:b/>
                <w:sz w:val="16"/>
                <w:szCs w:val="16"/>
              </w:rPr>
              <w:t>Indicadores de rendimiento</w:t>
            </w:r>
          </w:p>
        </w:tc>
        <w:tc>
          <w:tcPr>
            <w:tcW w:w="1349" w:type="pct"/>
            <w:tcBorders>
              <w:top w:val="single" w:sz="4" w:space="0" w:color="auto"/>
            </w:tcBorders>
            <w:shd w:val="clear" w:color="auto" w:fill="auto"/>
            <w:vAlign w:val="center"/>
          </w:tcPr>
          <w:p w:rsidR="00285417" w:rsidRPr="00CA51CD" w:rsidRDefault="00285417" w:rsidP="00DC1333">
            <w:pPr>
              <w:rPr>
                <w:b/>
                <w:bCs/>
                <w:sz w:val="16"/>
                <w:szCs w:val="16"/>
              </w:rPr>
            </w:pPr>
            <w:r w:rsidRPr="00CA51CD">
              <w:rPr>
                <w:b/>
                <w:bCs/>
                <w:sz w:val="16"/>
                <w:szCs w:val="16"/>
              </w:rPr>
              <w:t>Referencia</w:t>
            </w:r>
          </w:p>
        </w:tc>
        <w:tc>
          <w:tcPr>
            <w:tcW w:w="750" w:type="pct"/>
            <w:tcBorders>
              <w:top w:val="single" w:sz="4" w:space="0" w:color="auto"/>
            </w:tcBorders>
            <w:tcMar>
              <w:top w:w="110" w:type="dxa"/>
            </w:tcMar>
            <w:vAlign w:val="center"/>
          </w:tcPr>
          <w:p w:rsidR="00285417" w:rsidRPr="00CA51CD" w:rsidRDefault="00285417" w:rsidP="00DC1333">
            <w:pPr>
              <w:rPr>
                <w:b/>
                <w:bCs/>
                <w:sz w:val="16"/>
                <w:szCs w:val="16"/>
              </w:rPr>
            </w:pPr>
            <w:r w:rsidRPr="00CA51CD">
              <w:rPr>
                <w:b/>
                <w:bCs/>
                <w:sz w:val="16"/>
                <w:szCs w:val="16"/>
              </w:rPr>
              <w:t>Objetivos</w:t>
            </w:r>
          </w:p>
        </w:tc>
        <w:tc>
          <w:tcPr>
            <w:tcW w:w="1124" w:type="pct"/>
            <w:tcBorders>
              <w:top w:val="single" w:sz="4" w:space="0" w:color="auto"/>
            </w:tcBorders>
            <w:shd w:val="clear" w:color="auto" w:fill="FFFFFF"/>
            <w:tcMar>
              <w:top w:w="110" w:type="dxa"/>
            </w:tcMar>
            <w:vAlign w:val="center"/>
          </w:tcPr>
          <w:p w:rsidR="00285417" w:rsidRPr="00CA51CD" w:rsidRDefault="00285417" w:rsidP="00DC1333">
            <w:pPr>
              <w:rPr>
                <w:sz w:val="16"/>
                <w:szCs w:val="16"/>
              </w:rPr>
            </w:pPr>
            <w:r w:rsidRPr="00CA51CD">
              <w:rPr>
                <w:b/>
                <w:sz w:val="16"/>
                <w:szCs w:val="16"/>
              </w:rPr>
              <w:t>Datos sobre el rendimiento</w:t>
            </w:r>
          </w:p>
        </w:tc>
        <w:tc>
          <w:tcPr>
            <w:tcW w:w="674" w:type="pct"/>
            <w:tcBorders>
              <w:top w:val="single" w:sz="4" w:space="0" w:color="auto"/>
            </w:tcBorders>
            <w:tcMar>
              <w:top w:w="110" w:type="dxa"/>
            </w:tcMar>
            <w:vAlign w:val="center"/>
          </w:tcPr>
          <w:p w:rsidR="00285417" w:rsidRPr="00CA51CD" w:rsidRDefault="00285417" w:rsidP="00DC1333">
            <w:pPr>
              <w:keepNext/>
              <w:keepLines/>
              <w:rPr>
                <w:b/>
                <w:bCs/>
                <w:sz w:val="16"/>
                <w:szCs w:val="16"/>
              </w:rPr>
            </w:pPr>
            <w:r w:rsidRPr="00CA51CD">
              <w:rPr>
                <w:b/>
                <w:bCs/>
                <w:sz w:val="16"/>
                <w:szCs w:val="16"/>
              </w:rPr>
              <w:t>Clave de colores</w:t>
            </w:r>
          </w:p>
        </w:tc>
      </w:tr>
      <w:tr w:rsidR="00285417" w:rsidRPr="00CA51CD" w:rsidTr="00DC1333">
        <w:tc>
          <w:tcPr>
            <w:tcW w:w="1103" w:type="pct"/>
          </w:tcPr>
          <w:p w:rsidR="00285417" w:rsidRPr="00CA51CD" w:rsidRDefault="00285417" w:rsidP="00DC1333">
            <w:pPr>
              <w:ind w:right="170"/>
              <w:rPr>
                <w:sz w:val="16"/>
                <w:szCs w:val="16"/>
              </w:rPr>
            </w:pPr>
            <w:r w:rsidRPr="00CA51CD">
              <w:rPr>
                <w:sz w:val="16"/>
                <w:szCs w:val="16"/>
              </w:rPr>
              <w:t>Grado de interés público generado por importantes actividades/logros de la OMPI</w:t>
            </w:r>
          </w:p>
        </w:tc>
        <w:tc>
          <w:tcPr>
            <w:tcW w:w="1349" w:type="pct"/>
            <w:shd w:val="clear" w:color="auto" w:fill="auto"/>
          </w:tcPr>
          <w:p w:rsidR="00285417" w:rsidRPr="00CA51CD" w:rsidRDefault="00285417" w:rsidP="00DC1333">
            <w:pPr>
              <w:ind w:left="-102"/>
              <w:rPr>
                <w:color w:val="002060"/>
                <w:sz w:val="16"/>
                <w:szCs w:val="16"/>
              </w:rPr>
            </w:pPr>
            <w:r w:rsidRPr="00CA51CD">
              <w:rPr>
                <w:i/>
                <w:color w:val="002060"/>
                <w:sz w:val="16"/>
                <w:szCs w:val="16"/>
              </w:rPr>
              <w:t xml:space="preserve">Referencia actualizada fin 2013: </w:t>
            </w:r>
            <w:r w:rsidRPr="00CA51CD">
              <w:rPr>
                <w:color w:val="002060"/>
                <w:sz w:val="16"/>
                <w:szCs w:val="16"/>
              </w:rPr>
              <w:t>Actividad de muestra: publicación del Índice Mundial de Innovación.</w:t>
            </w:r>
            <w:r w:rsidRPr="00CA51CD">
              <w:rPr>
                <w:i/>
                <w:color w:val="002060"/>
                <w:sz w:val="16"/>
                <w:szCs w:val="16"/>
              </w:rPr>
              <w:t xml:space="preserve">  </w:t>
            </w:r>
            <w:r w:rsidRPr="00CA51CD">
              <w:rPr>
                <w:color w:val="002060"/>
                <w:sz w:val="16"/>
                <w:szCs w:val="16"/>
              </w:rPr>
              <w:t xml:space="preserve">45.564 visitantes + 685 vídeos visionados (en las 11 semanas tras la publicación de 2013) de todo el contenido web (páginas web, comunicados de prensa, infografías) </w:t>
            </w:r>
          </w:p>
          <w:p w:rsidR="00285417" w:rsidRPr="00CA51CD" w:rsidRDefault="00285417" w:rsidP="00DC1333">
            <w:pPr>
              <w:keepNext/>
              <w:rPr>
                <w:i/>
                <w:sz w:val="8"/>
                <w:szCs w:val="8"/>
              </w:rPr>
            </w:pPr>
          </w:p>
          <w:p w:rsidR="00285417" w:rsidRPr="00CA51CD" w:rsidRDefault="00285417" w:rsidP="00DC1333">
            <w:pPr>
              <w:keepNext/>
              <w:ind w:left="-102"/>
              <w:rPr>
                <w:sz w:val="16"/>
                <w:szCs w:val="16"/>
              </w:rPr>
            </w:pPr>
            <w:r w:rsidRPr="00CA51CD">
              <w:rPr>
                <w:i/>
                <w:sz w:val="16"/>
                <w:szCs w:val="16"/>
              </w:rPr>
              <w:t>Referencia original en el presupuesto de 2014/15</w:t>
            </w:r>
            <w:r w:rsidRPr="00CA51CD">
              <w:rPr>
                <w:sz w:val="16"/>
                <w:szCs w:val="16"/>
              </w:rPr>
              <w:t>: (Actividad de muestra) 12.111 visitantes al comunicado de prensa sobre el Índice Mundial de Innovación de 2012 en el período de un mes.</w:t>
            </w:r>
          </w:p>
        </w:tc>
        <w:tc>
          <w:tcPr>
            <w:tcW w:w="750" w:type="pct"/>
            <w:tcMar>
              <w:top w:w="110" w:type="dxa"/>
            </w:tcMar>
          </w:tcPr>
          <w:p w:rsidR="00285417" w:rsidRPr="00CA51CD" w:rsidRDefault="00285417" w:rsidP="00DC1333">
            <w:pPr>
              <w:autoSpaceDE w:val="0"/>
              <w:autoSpaceDN w:val="0"/>
              <w:adjustRightInd w:val="0"/>
              <w:ind w:left="-50" w:right="-96"/>
              <w:rPr>
                <w:sz w:val="16"/>
                <w:szCs w:val="16"/>
              </w:rPr>
            </w:pPr>
            <w:r w:rsidRPr="00CA51CD">
              <w:rPr>
                <w:sz w:val="16"/>
                <w:szCs w:val="16"/>
              </w:rPr>
              <w:t>Aumento del 10% en las visitas de las páginas pertinentes</w:t>
            </w:r>
          </w:p>
        </w:tc>
        <w:tc>
          <w:tcPr>
            <w:tcW w:w="1124" w:type="pct"/>
            <w:shd w:val="clear" w:color="auto" w:fill="FFFFFF"/>
            <w:tcMar>
              <w:top w:w="110" w:type="dxa"/>
            </w:tcMar>
          </w:tcPr>
          <w:p w:rsidR="00285417" w:rsidRPr="00CA51CD" w:rsidRDefault="00285417" w:rsidP="00DC1333">
            <w:pPr>
              <w:keepNext/>
              <w:keepLines/>
              <w:rPr>
                <w:sz w:val="16"/>
                <w:szCs w:val="16"/>
              </w:rPr>
            </w:pPr>
            <w:r w:rsidRPr="00CA51CD">
              <w:rPr>
                <w:sz w:val="16"/>
                <w:szCs w:val="16"/>
              </w:rPr>
              <w:t>Publicación del Índice Mundial de Innovación:  Visitas en total (en un período de 11 semanas tras la publicación) 53.062 visitas a los contenidos web+ 9.563 vídeos visionados en 2014;  y 140475 visitas a los contenidos web+ 10.653 vídeos visionados en 2015.</w:t>
            </w:r>
          </w:p>
          <w:p w:rsidR="00285417" w:rsidRPr="00CA51CD" w:rsidRDefault="00285417" w:rsidP="00DC1333">
            <w:pPr>
              <w:keepNext/>
              <w:keepLines/>
              <w:rPr>
                <w:sz w:val="16"/>
                <w:szCs w:val="16"/>
              </w:rPr>
            </w:pPr>
          </w:p>
          <w:p w:rsidR="00285417" w:rsidRPr="00CA51CD" w:rsidRDefault="00285417" w:rsidP="00DC1333">
            <w:pPr>
              <w:keepNext/>
              <w:keepLines/>
              <w:rPr>
                <w:sz w:val="16"/>
                <w:szCs w:val="16"/>
              </w:rPr>
            </w:pPr>
            <w:r w:rsidRPr="00CA51CD">
              <w:rPr>
                <w:sz w:val="16"/>
                <w:szCs w:val="16"/>
              </w:rPr>
              <w:t>Aumento (2015 en comparación con 2013) = +208% en los contenidos web;  y +1455% en los vídeos</w:t>
            </w:r>
          </w:p>
        </w:tc>
        <w:tc>
          <w:tcPr>
            <w:tcW w:w="674" w:type="pct"/>
            <w:tcMar>
              <w:top w:w="110" w:type="dxa"/>
            </w:tcMar>
          </w:tcPr>
          <w:p w:rsidR="00285417" w:rsidRPr="00CA51CD" w:rsidRDefault="00285417" w:rsidP="00DC1333">
            <w:pPr>
              <w:keepNext/>
              <w:keepLines/>
              <w:ind w:left="-108"/>
              <w:jc w:val="center"/>
              <w:rPr>
                <w:b/>
                <w:color w:val="00B050"/>
                <w:sz w:val="16"/>
                <w:szCs w:val="16"/>
              </w:rPr>
            </w:pPr>
            <w:r w:rsidRPr="00CA51CD">
              <w:rPr>
                <w:b/>
                <w:color w:val="00B050"/>
                <w:sz w:val="16"/>
                <w:szCs w:val="16"/>
              </w:rPr>
              <w:t>Plenamente logrado</w:t>
            </w:r>
          </w:p>
        </w:tc>
      </w:tr>
      <w:tr w:rsidR="00285417" w:rsidRPr="00CA51CD" w:rsidTr="00DC1333">
        <w:trPr>
          <w:trHeight w:val="232"/>
        </w:trPr>
        <w:tc>
          <w:tcPr>
            <w:tcW w:w="1103" w:type="pct"/>
          </w:tcPr>
          <w:p w:rsidR="00285417" w:rsidRPr="00CA51CD" w:rsidRDefault="00285417" w:rsidP="00DC1333">
            <w:pPr>
              <w:ind w:right="170"/>
              <w:rPr>
                <w:sz w:val="16"/>
                <w:szCs w:val="16"/>
              </w:rPr>
            </w:pPr>
            <w:r w:rsidRPr="00CA51CD">
              <w:rPr>
                <w:sz w:val="16"/>
                <w:szCs w:val="16"/>
              </w:rPr>
              <w:t>Porcentaje de opiniones favorables de las partes interesadas sobre la misión, las actividades y la imagen institucional de la OMPI</w:t>
            </w:r>
          </w:p>
        </w:tc>
        <w:tc>
          <w:tcPr>
            <w:tcW w:w="1349" w:type="pct"/>
            <w:shd w:val="clear" w:color="auto" w:fill="auto"/>
          </w:tcPr>
          <w:p w:rsidR="00285417" w:rsidRPr="00CA51CD" w:rsidRDefault="00285417" w:rsidP="00DC1333">
            <w:pPr>
              <w:ind w:left="-102"/>
              <w:rPr>
                <w:color w:val="002060"/>
                <w:sz w:val="16"/>
                <w:szCs w:val="16"/>
              </w:rPr>
            </w:pPr>
            <w:r w:rsidRPr="00CA51CD">
              <w:rPr>
                <w:i/>
                <w:color w:val="002060"/>
                <w:sz w:val="16"/>
                <w:szCs w:val="16"/>
              </w:rPr>
              <w:t>Referencia actualizada fin 2013</w:t>
            </w:r>
            <w:r w:rsidRPr="00CA51CD">
              <w:rPr>
                <w:color w:val="002060"/>
                <w:sz w:val="16"/>
                <w:szCs w:val="16"/>
              </w:rPr>
              <w:t>: El 87% de los encuestados opinan que la imagen de la OMPI es buena, muy buena o excelente.  El 81% de quienes respondieron a la encuesta creen que la OMPI es el foro internacional adecuado para la promoción de la P.I. (Resultados de la encuesta de prestación óptima de servicios de la OMPI, agosto de 2013)</w:t>
            </w:r>
            <w:r w:rsidRPr="00CA51CD">
              <w:rPr>
                <w:rStyle w:val="FootnoteReference"/>
                <w:color w:val="002060"/>
                <w:sz w:val="16"/>
                <w:szCs w:val="16"/>
              </w:rPr>
              <w:footnoteReference w:id="106"/>
            </w:r>
            <w:r w:rsidRPr="00CA51CD">
              <w:rPr>
                <w:color w:val="002060"/>
                <w:sz w:val="16"/>
                <w:szCs w:val="16"/>
              </w:rPr>
              <w:t xml:space="preserve"> </w:t>
            </w:r>
          </w:p>
          <w:p w:rsidR="00285417" w:rsidRPr="00CA51CD" w:rsidRDefault="00285417" w:rsidP="00DC1333">
            <w:pPr>
              <w:keepNext/>
              <w:rPr>
                <w:i/>
                <w:color w:val="002060"/>
                <w:sz w:val="8"/>
                <w:szCs w:val="8"/>
              </w:rPr>
            </w:pPr>
          </w:p>
          <w:p w:rsidR="00285417" w:rsidRPr="00CA51CD" w:rsidRDefault="00285417" w:rsidP="00DC1333">
            <w:pPr>
              <w:keepNext/>
              <w:ind w:left="-102"/>
              <w:rPr>
                <w:sz w:val="16"/>
                <w:szCs w:val="16"/>
              </w:rPr>
            </w:pPr>
            <w:r w:rsidRPr="00CA51CD">
              <w:rPr>
                <w:i/>
                <w:sz w:val="16"/>
                <w:szCs w:val="16"/>
              </w:rPr>
              <w:t>Referencia original en el presupuesto de 2014/15:</w:t>
            </w:r>
            <w:r w:rsidRPr="00CA51CD">
              <w:rPr>
                <w:i/>
                <w:iCs/>
                <w:sz w:val="16"/>
                <w:szCs w:val="16"/>
              </w:rPr>
              <w:t xml:space="preserve">  </w:t>
            </w:r>
          </w:p>
          <w:p w:rsidR="00285417" w:rsidRDefault="00285417" w:rsidP="00DC1333">
            <w:pPr>
              <w:ind w:left="-102"/>
              <w:rPr>
                <w:color w:val="000000"/>
                <w:sz w:val="16"/>
                <w:szCs w:val="16"/>
              </w:rPr>
            </w:pPr>
            <w:r w:rsidRPr="00CA51CD">
              <w:rPr>
                <w:color w:val="000000"/>
                <w:sz w:val="16"/>
                <w:szCs w:val="16"/>
              </w:rPr>
              <w:t xml:space="preserve">El 65% de los encuestados </w:t>
            </w:r>
            <w:r w:rsidRPr="00CA51CD">
              <w:rPr>
                <w:color w:val="000000"/>
                <w:sz w:val="16"/>
                <w:szCs w:val="16"/>
              </w:rPr>
              <w:lastRenderedPageBreak/>
              <w:t>consideran que la OMPI es el líder mundial de la protección y promoción de la P.I. (Encuesta sobre la impresión que tienen las partes interesadas acerca de la OMPI, enero de 2012)</w:t>
            </w:r>
          </w:p>
          <w:p w:rsidR="00285417" w:rsidRPr="00CA51CD" w:rsidRDefault="00285417" w:rsidP="00DC1333">
            <w:pPr>
              <w:ind w:left="-102"/>
              <w:rPr>
                <w:sz w:val="16"/>
                <w:szCs w:val="16"/>
              </w:rPr>
            </w:pPr>
          </w:p>
        </w:tc>
        <w:tc>
          <w:tcPr>
            <w:tcW w:w="750" w:type="pct"/>
            <w:tcMar>
              <w:top w:w="110" w:type="dxa"/>
            </w:tcMar>
          </w:tcPr>
          <w:p w:rsidR="00285417" w:rsidRPr="00CA51CD" w:rsidRDefault="00285417" w:rsidP="00DC1333">
            <w:pPr>
              <w:autoSpaceDE w:val="0"/>
              <w:autoSpaceDN w:val="0"/>
              <w:adjustRightInd w:val="0"/>
              <w:ind w:left="-50" w:right="-96"/>
              <w:rPr>
                <w:sz w:val="16"/>
                <w:szCs w:val="16"/>
              </w:rPr>
            </w:pPr>
            <w:r w:rsidRPr="00CA51CD">
              <w:rPr>
                <w:sz w:val="16"/>
                <w:szCs w:val="16"/>
              </w:rPr>
              <w:lastRenderedPageBreak/>
              <w:t>75%</w:t>
            </w:r>
          </w:p>
        </w:tc>
        <w:tc>
          <w:tcPr>
            <w:tcW w:w="1124" w:type="pct"/>
            <w:shd w:val="clear" w:color="auto" w:fill="FFFFFF"/>
            <w:tcMar>
              <w:top w:w="110" w:type="dxa"/>
            </w:tcMar>
          </w:tcPr>
          <w:p w:rsidR="00285417" w:rsidRPr="00CA51CD" w:rsidRDefault="00285417" w:rsidP="00DC1333">
            <w:pPr>
              <w:rPr>
                <w:sz w:val="16"/>
                <w:szCs w:val="16"/>
              </w:rPr>
            </w:pPr>
            <w:r w:rsidRPr="00CA51CD">
              <w:rPr>
                <w:sz w:val="16"/>
                <w:szCs w:val="16"/>
              </w:rPr>
              <w:t>El 70% de los encuestados consideran que la OMPI es el foro mundial en materia de promoción, servicios, política, información y cooperación en torno a la P.I.</w:t>
            </w:r>
            <w:r w:rsidRPr="00CA51CD">
              <w:rPr>
                <w:rStyle w:val="FootnoteReference"/>
                <w:sz w:val="16"/>
                <w:szCs w:val="16"/>
              </w:rPr>
              <w:footnoteReference w:id="107"/>
            </w:r>
            <w:r w:rsidRPr="00CA51CD">
              <w:rPr>
                <w:sz w:val="16"/>
                <w:szCs w:val="16"/>
              </w:rPr>
              <w:t xml:space="preserve"> ; el 85% de los encuestados está de acuerdo o completamente de acuerdo en que la OMPI tiene buena reputación en general.  </w:t>
            </w:r>
          </w:p>
          <w:p w:rsidR="00285417" w:rsidRPr="00CA51CD" w:rsidRDefault="00285417" w:rsidP="00DC1333">
            <w:pPr>
              <w:rPr>
                <w:sz w:val="16"/>
                <w:szCs w:val="16"/>
              </w:rPr>
            </w:pPr>
            <w:r w:rsidRPr="00CA51CD">
              <w:rPr>
                <w:sz w:val="16"/>
                <w:szCs w:val="16"/>
              </w:rPr>
              <w:t xml:space="preserve">(Fuente:  Encuesta sobre la impresión que tienen las partes interesadas acerca </w:t>
            </w:r>
            <w:r w:rsidRPr="00CA51CD">
              <w:rPr>
                <w:sz w:val="16"/>
                <w:szCs w:val="16"/>
              </w:rPr>
              <w:lastRenderedPageBreak/>
              <w:t xml:space="preserve">de la OMPI, junio de 2014) </w:t>
            </w:r>
          </w:p>
        </w:tc>
        <w:tc>
          <w:tcPr>
            <w:tcW w:w="674" w:type="pct"/>
            <w:tcMar>
              <w:top w:w="110" w:type="dxa"/>
            </w:tcMar>
          </w:tcPr>
          <w:p w:rsidR="00285417" w:rsidRPr="00CA51CD" w:rsidRDefault="00285417" w:rsidP="00DC1333">
            <w:pPr>
              <w:keepNext/>
              <w:keepLines/>
              <w:ind w:left="-108"/>
              <w:jc w:val="center"/>
              <w:rPr>
                <w:b/>
                <w:bCs/>
                <w:color w:val="00B050"/>
                <w:sz w:val="16"/>
                <w:szCs w:val="16"/>
              </w:rPr>
            </w:pPr>
            <w:r w:rsidRPr="00CA51CD">
              <w:rPr>
                <w:b/>
                <w:color w:val="00B050"/>
                <w:sz w:val="16"/>
                <w:szCs w:val="16"/>
              </w:rPr>
              <w:lastRenderedPageBreak/>
              <w:t>Plenamente logrado</w:t>
            </w:r>
          </w:p>
        </w:tc>
      </w:tr>
      <w:tr w:rsidR="00285417" w:rsidRPr="00CA51CD" w:rsidTr="00DC1333">
        <w:trPr>
          <w:trHeight w:val="1422"/>
        </w:trPr>
        <w:tc>
          <w:tcPr>
            <w:tcW w:w="1103" w:type="pct"/>
          </w:tcPr>
          <w:p w:rsidR="00285417" w:rsidRPr="00CA51CD" w:rsidRDefault="00285417" w:rsidP="00DC1333">
            <w:pPr>
              <w:ind w:right="170"/>
              <w:rPr>
                <w:sz w:val="16"/>
                <w:szCs w:val="16"/>
              </w:rPr>
            </w:pPr>
            <w:r w:rsidRPr="00CA51CD">
              <w:rPr>
                <w:sz w:val="16"/>
                <w:szCs w:val="16"/>
              </w:rPr>
              <w:lastRenderedPageBreak/>
              <w:t>Porcentaje de aumento del material de prensa, vídeos y fotografías de la OMPI vistos por el público</w:t>
            </w:r>
          </w:p>
        </w:tc>
        <w:tc>
          <w:tcPr>
            <w:tcW w:w="1349" w:type="pct"/>
            <w:shd w:val="clear" w:color="auto" w:fill="auto"/>
          </w:tcPr>
          <w:p w:rsidR="00285417" w:rsidRPr="00CA51CD" w:rsidRDefault="00285417" w:rsidP="00DC1333">
            <w:pPr>
              <w:ind w:left="-102"/>
              <w:rPr>
                <w:color w:val="002060"/>
                <w:sz w:val="16"/>
                <w:szCs w:val="16"/>
              </w:rPr>
            </w:pPr>
            <w:r w:rsidRPr="00CA51CD">
              <w:rPr>
                <w:i/>
                <w:color w:val="002060"/>
                <w:sz w:val="16"/>
                <w:szCs w:val="16"/>
              </w:rPr>
              <w:t xml:space="preserve">Referencia actualizada fin 2013:  </w:t>
            </w:r>
            <w:r w:rsidRPr="00CA51CD">
              <w:rPr>
                <w:color w:val="002060"/>
                <w:sz w:val="16"/>
                <w:szCs w:val="16"/>
              </w:rPr>
              <w:t xml:space="preserve">i) El promedio de visitantes únicos absolutos por comunicado de prensa era de 5.506 (143.169 visitas para 26 artículos publicados en 2013 en todos los idiomas);  </w:t>
            </w:r>
          </w:p>
          <w:p w:rsidR="00285417" w:rsidRPr="00CA51CD" w:rsidRDefault="00285417" w:rsidP="00DC1333">
            <w:pPr>
              <w:ind w:left="-102"/>
              <w:rPr>
                <w:color w:val="002060"/>
                <w:sz w:val="16"/>
                <w:szCs w:val="16"/>
              </w:rPr>
            </w:pPr>
            <w:r w:rsidRPr="00CA51CD">
              <w:rPr>
                <w:color w:val="002060"/>
                <w:sz w:val="16"/>
                <w:szCs w:val="16"/>
              </w:rPr>
              <w:t>ii) El promedio de visualizaciones por vídeo era de 16.612 (3.787.601 visitas para 228</w:t>
            </w:r>
            <w:r w:rsidRPr="00CA51CD">
              <w:rPr>
                <w:rStyle w:val="FootnoteReference"/>
                <w:color w:val="002060"/>
                <w:sz w:val="16"/>
                <w:szCs w:val="16"/>
              </w:rPr>
              <w:footnoteReference w:id="108"/>
            </w:r>
            <w:r w:rsidRPr="00CA51CD">
              <w:rPr>
                <w:color w:val="002060"/>
                <w:sz w:val="16"/>
                <w:szCs w:val="16"/>
              </w:rPr>
              <w:t xml:space="preserve"> vídeos)</w:t>
            </w:r>
          </w:p>
          <w:p w:rsidR="00285417" w:rsidRPr="00CA51CD" w:rsidRDefault="00285417" w:rsidP="00DC1333">
            <w:pPr>
              <w:ind w:left="-102"/>
              <w:rPr>
                <w:color w:val="002060"/>
                <w:sz w:val="16"/>
                <w:szCs w:val="16"/>
              </w:rPr>
            </w:pPr>
            <w:r w:rsidRPr="00CA51CD">
              <w:rPr>
                <w:color w:val="002060"/>
                <w:sz w:val="16"/>
                <w:szCs w:val="16"/>
              </w:rPr>
              <w:t>iii) 900.000 visualizaciones de</w:t>
            </w:r>
            <w:r w:rsidRPr="00CA51CD">
              <w:rPr>
                <w:color w:val="000000"/>
                <w:sz w:val="16"/>
                <w:szCs w:val="16"/>
              </w:rPr>
              <w:t xml:space="preserve"> </w:t>
            </w:r>
            <w:r w:rsidRPr="00CA51CD">
              <w:rPr>
                <w:color w:val="002060"/>
                <w:sz w:val="16"/>
                <w:szCs w:val="16"/>
              </w:rPr>
              <w:t xml:space="preserve">fotos en </w:t>
            </w:r>
            <w:proofErr w:type="spellStart"/>
            <w:r w:rsidRPr="00CA51CD">
              <w:rPr>
                <w:color w:val="002060"/>
                <w:sz w:val="16"/>
                <w:szCs w:val="16"/>
              </w:rPr>
              <w:t>Flickr</w:t>
            </w:r>
            <w:proofErr w:type="spellEnd"/>
            <w:r w:rsidRPr="00CA51CD">
              <w:rPr>
                <w:color w:val="002060"/>
                <w:sz w:val="16"/>
                <w:szCs w:val="16"/>
              </w:rPr>
              <w:t xml:space="preserve"> </w:t>
            </w:r>
          </w:p>
          <w:p w:rsidR="00285417" w:rsidRDefault="00285417" w:rsidP="00DC1333">
            <w:pPr>
              <w:rPr>
                <w:i/>
                <w:color w:val="002060"/>
                <w:sz w:val="8"/>
                <w:szCs w:val="8"/>
              </w:rPr>
            </w:pPr>
          </w:p>
          <w:p w:rsidR="00285417" w:rsidRPr="00CA51CD" w:rsidRDefault="00285417" w:rsidP="00DC1333">
            <w:pPr>
              <w:rPr>
                <w:i/>
                <w:color w:val="002060"/>
                <w:sz w:val="8"/>
                <w:szCs w:val="8"/>
              </w:rPr>
            </w:pPr>
          </w:p>
          <w:p w:rsidR="00285417" w:rsidRPr="00CA51CD" w:rsidRDefault="00285417" w:rsidP="00DC1333">
            <w:pPr>
              <w:keepNext/>
              <w:ind w:left="-102"/>
              <w:rPr>
                <w:sz w:val="16"/>
                <w:szCs w:val="16"/>
              </w:rPr>
            </w:pPr>
            <w:r w:rsidRPr="00CA51CD">
              <w:rPr>
                <w:i/>
                <w:sz w:val="16"/>
                <w:szCs w:val="16"/>
              </w:rPr>
              <w:t>Referencia original en el presupuesto de 2014/15:</w:t>
            </w:r>
            <w:r w:rsidRPr="00CA51CD">
              <w:rPr>
                <w:sz w:val="16"/>
                <w:szCs w:val="16"/>
              </w:rPr>
              <w:t xml:space="preserve">  </w:t>
            </w:r>
          </w:p>
          <w:p w:rsidR="00285417" w:rsidRDefault="00285417" w:rsidP="00DC1333">
            <w:pPr>
              <w:ind w:left="-102"/>
              <w:rPr>
                <w:sz w:val="16"/>
                <w:szCs w:val="16"/>
              </w:rPr>
            </w:pPr>
            <w:r w:rsidRPr="00CA51CD">
              <w:rPr>
                <w:sz w:val="16"/>
                <w:szCs w:val="16"/>
              </w:rPr>
              <w:t>i) En 2012, el promedio de visitantes únicos absolutos por comunicado de prensa era de 3.575. (92.958 para 26 artículos publicados en 2012)</w:t>
            </w:r>
          </w:p>
          <w:p w:rsidR="00285417" w:rsidRPr="00CA51CD" w:rsidRDefault="00285417" w:rsidP="00DC1333">
            <w:pPr>
              <w:ind w:left="-102"/>
              <w:rPr>
                <w:sz w:val="16"/>
                <w:szCs w:val="16"/>
              </w:rPr>
            </w:pPr>
            <w:r w:rsidRPr="00CA51CD">
              <w:rPr>
                <w:color w:val="000000"/>
                <w:sz w:val="16"/>
                <w:szCs w:val="16"/>
              </w:rPr>
              <w:t>ii) En 2012, el promedio de visualizaciones por vídeo era de 3.280 (478.888 visitas para un total de 146 vídeos)</w:t>
            </w:r>
          </w:p>
          <w:p w:rsidR="00285417" w:rsidRPr="00CA51CD" w:rsidRDefault="00285417" w:rsidP="00DC1333">
            <w:pPr>
              <w:ind w:left="-102"/>
              <w:rPr>
                <w:sz w:val="16"/>
                <w:szCs w:val="16"/>
              </w:rPr>
            </w:pPr>
          </w:p>
          <w:p w:rsidR="00285417" w:rsidRPr="00CA51CD" w:rsidRDefault="00285417" w:rsidP="00DC1333">
            <w:pPr>
              <w:ind w:left="-102"/>
              <w:rPr>
                <w:sz w:val="16"/>
                <w:szCs w:val="16"/>
              </w:rPr>
            </w:pPr>
            <w:r w:rsidRPr="00CA51CD">
              <w:rPr>
                <w:sz w:val="16"/>
                <w:szCs w:val="16"/>
              </w:rPr>
              <w:t xml:space="preserve">iii) 155.000 visualizaciones de fotos en </w:t>
            </w:r>
            <w:proofErr w:type="spellStart"/>
            <w:r w:rsidRPr="00CA51CD">
              <w:rPr>
                <w:sz w:val="16"/>
                <w:szCs w:val="16"/>
              </w:rPr>
              <w:t>Flickr</w:t>
            </w:r>
            <w:proofErr w:type="spellEnd"/>
            <w:r w:rsidRPr="00CA51CD">
              <w:rPr>
                <w:sz w:val="16"/>
                <w:szCs w:val="16"/>
              </w:rPr>
              <w:t xml:space="preserve"> a fines de 2012</w:t>
            </w:r>
          </w:p>
        </w:tc>
        <w:tc>
          <w:tcPr>
            <w:tcW w:w="750" w:type="pct"/>
            <w:tcMar>
              <w:top w:w="110" w:type="dxa"/>
            </w:tcMar>
          </w:tcPr>
          <w:p w:rsidR="00285417" w:rsidRPr="00CA51CD" w:rsidRDefault="00285417" w:rsidP="00DC1333">
            <w:pPr>
              <w:autoSpaceDE w:val="0"/>
              <w:autoSpaceDN w:val="0"/>
              <w:adjustRightInd w:val="0"/>
              <w:ind w:left="-50" w:right="-96"/>
              <w:rPr>
                <w:sz w:val="16"/>
                <w:szCs w:val="16"/>
              </w:rPr>
            </w:pPr>
            <w:r w:rsidRPr="00CA51CD">
              <w:rPr>
                <w:sz w:val="16"/>
                <w:szCs w:val="16"/>
              </w:rPr>
              <w:t xml:space="preserve">i) Aumento del 10 % en el promedio de </w:t>
            </w:r>
            <w:r w:rsidRPr="00CA51CD">
              <w:rPr>
                <w:color w:val="000000"/>
                <w:sz w:val="16"/>
                <w:szCs w:val="16"/>
              </w:rPr>
              <w:t>visitantes</w:t>
            </w:r>
            <w:r w:rsidRPr="00CA51CD">
              <w:rPr>
                <w:sz w:val="16"/>
                <w:szCs w:val="16"/>
              </w:rPr>
              <w:t xml:space="preserve"> por comunicado de prensa</w:t>
            </w:r>
          </w:p>
          <w:p w:rsidR="00285417" w:rsidRDefault="00285417" w:rsidP="00DC1333">
            <w:pPr>
              <w:rPr>
                <w:sz w:val="16"/>
                <w:szCs w:val="16"/>
              </w:rPr>
            </w:pPr>
          </w:p>
          <w:p w:rsidR="00285417" w:rsidRDefault="00285417" w:rsidP="00DC1333">
            <w:pPr>
              <w:rPr>
                <w:sz w:val="16"/>
                <w:szCs w:val="16"/>
              </w:rPr>
            </w:pPr>
          </w:p>
          <w:p w:rsidR="00285417" w:rsidRDefault="00285417" w:rsidP="00DC1333">
            <w:pPr>
              <w:rPr>
                <w:sz w:val="16"/>
                <w:szCs w:val="16"/>
              </w:rPr>
            </w:pPr>
          </w:p>
          <w:p w:rsidR="00285417" w:rsidRDefault="00285417" w:rsidP="00DC1333">
            <w:pPr>
              <w:rPr>
                <w:sz w:val="16"/>
                <w:szCs w:val="16"/>
              </w:rPr>
            </w:pPr>
          </w:p>
          <w:p w:rsidR="00285417" w:rsidRDefault="00285417" w:rsidP="00DC1333">
            <w:pPr>
              <w:rPr>
                <w:sz w:val="16"/>
                <w:szCs w:val="16"/>
              </w:rPr>
            </w:pPr>
          </w:p>
          <w:p w:rsidR="00285417" w:rsidRDefault="00285417" w:rsidP="00DC1333">
            <w:pPr>
              <w:rPr>
                <w:sz w:val="16"/>
                <w:szCs w:val="16"/>
              </w:rPr>
            </w:pPr>
          </w:p>
          <w:p w:rsidR="00285417" w:rsidRDefault="00285417" w:rsidP="00DC1333">
            <w:pPr>
              <w:rPr>
                <w:sz w:val="16"/>
                <w:szCs w:val="16"/>
              </w:rPr>
            </w:pPr>
          </w:p>
          <w:p w:rsidR="00285417" w:rsidRDefault="00285417" w:rsidP="00DC1333">
            <w:pPr>
              <w:rPr>
                <w:sz w:val="16"/>
                <w:szCs w:val="16"/>
              </w:rPr>
            </w:pPr>
          </w:p>
          <w:p w:rsidR="00285417" w:rsidRPr="00CA51CD" w:rsidRDefault="00285417" w:rsidP="00DC1333">
            <w:pPr>
              <w:rPr>
                <w:sz w:val="16"/>
                <w:szCs w:val="16"/>
              </w:rPr>
            </w:pPr>
          </w:p>
          <w:p w:rsidR="00285417" w:rsidRPr="00CA51CD" w:rsidRDefault="00285417" w:rsidP="00DC1333">
            <w:pPr>
              <w:autoSpaceDE w:val="0"/>
              <w:autoSpaceDN w:val="0"/>
              <w:adjustRightInd w:val="0"/>
              <w:ind w:left="-50" w:right="-96"/>
              <w:rPr>
                <w:sz w:val="16"/>
                <w:szCs w:val="16"/>
              </w:rPr>
            </w:pPr>
            <w:r w:rsidRPr="00CA51CD">
              <w:rPr>
                <w:sz w:val="16"/>
                <w:szCs w:val="16"/>
              </w:rPr>
              <w:t xml:space="preserve">ii) Aumento del 10% en el promedio de </w:t>
            </w:r>
            <w:r w:rsidRPr="00CA51CD">
              <w:rPr>
                <w:color w:val="000000"/>
                <w:sz w:val="16"/>
                <w:szCs w:val="16"/>
              </w:rPr>
              <w:t>visualizaciones</w:t>
            </w:r>
            <w:r w:rsidRPr="00CA51CD">
              <w:rPr>
                <w:sz w:val="16"/>
                <w:szCs w:val="16"/>
              </w:rPr>
              <w:t xml:space="preserve"> por vídeo del canal de la OMPI en YouTube</w:t>
            </w:r>
          </w:p>
          <w:p w:rsidR="00285417" w:rsidRPr="00CA51CD" w:rsidRDefault="00285417" w:rsidP="00DC1333">
            <w:pPr>
              <w:rPr>
                <w:sz w:val="16"/>
                <w:szCs w:val="16"/>
              </w:rPr>
            </w:pPr>
          </w:p>
          <w:p w:rsidR="00285417" w:rsidRPr="00CA51CD" w:rsidRDefault="00285417" w:rsidP="00DC1333">
            <w:pPr>
              <w:rPr>
                <w:sz w:val="16"/>
                <w:szCs w:val="16"/>
              </w:rPr>
            </w:pPr>
            <w:r w:rsidRPr="00CA51CD">
              <w:rPr>
                <w:sz w:val="16"/>
                <w:szCs w:val="16"/>
              </w:rPr>
              <w:t>iii) Objetivo:</w:t>
            </w:r>
          </w:p>
          <w:p w:rsidR="00285417" w:rsidRPr="00CA51CD" w:rsidRDefault="00285417" w:rsidP="00DC1333">
            <w:pPr>
              <w:autoSpaceDE w:val="0"/>
              <w:autoSpaceDN w:val="0"/>
              <w:adjustRightInd w:val="0"/>
              <w:ind w:left="-50" w:right="-96"/>
              <w:rPr>
                <w:sz w:val="16"/>
                <w:szCs w:val="16"/>
              </w:rPr>
            </w:pPr>
            <w:r w:rsidRPr="00CA51CD">
              <w:rPr>
                <w:sz w:val="16"/>
                <w:szCs w:val="16"/>
              </w:rPr>
              <w:t xml:space="preserve">Otras 300.000 </w:t>
            </w:r>
            <w:r w:rsidRPr="00CA51CD">
              <w:rPr>
                <w:color w:val="000000"/>
                <w:sz w:val="16"/>
                <w:szCs w:val="16"/>
              </w:rPr>
              <w:t>visualizaciones</w:t>
            </w:r>
            <w:r w:rsidRPr="00CA51CD">
              <w:rPr>
                <w:sz w:val="16"/>
                <w:szCs w:val="16"/>
              </w:rPr>
              <w:t xml:space="preserve"> en </w:t>
            </w:r>
            <w:proofErr w:type="spellStart"/>
            <w:r w:rsidRPr="00CA51CD">
              <w:rPr>
                <w:sz w:val="16"/>
                <w:szCs w:val="16"/>
              </w:rPr>
              <w:t>Flickr</w:t>
            </w:r>
            <w:proofErr w:type="spellEnd"/>
          </w:p>
        </w:tc>
        <w:tc>
          <w:tcPr>
            <w:tcW w:w="1124" w:type="pct"/>
            <w:shd w:val="clear" w:color="auto" w:fill="FFFFFF"/>
            <w:tcMar>
              <w:top w:w="110" w:type="dxa"/>
            </w:tcMar>
          </w:tcPr>
          <w:p w:rsidR="00285417" w:rsidRPr="00CA51CD" w:rsidRDefault="00285417" w:rsidP="00DC1333">
            <w:pPr>
              <w:rPr>
                <w:sz w:val="16"/>
                <w:szCs w:val="16"/>
              </w:rPr>
            </w:pPr>
            <w:r w:rsidRPr="00CA51CD">
              <w:rPr>
                <w:sz w:val="16"/>
                <w:szCs w:val="16"/>
              </w:rPr>
              <w:t>En 2014/15:</w:t>
            </w:r>
          </w:p>
          <w:p w:rsidR="00285417" w:rsidRPr="00CA51CD" w:rsidRDefault="00285417" w:rsidP="00DC1333">
            <w:pPr>
              <w:rPr>
                <w:sz w:val="16"/>
                <w:szCs w:val="16"/>
              </w:rPr>
            </w:pPr>
            <w:r w:rsidRPr="00CA51CD">
              <w:rPr>
                <w:sz w:val="16"/>
                <w:szCs w:val="16"/>
              </w:rPr>
              <w:t xml:space="preserve">i) El promedio de visitantes únicos absolutos por comunicado de prensa era de 4.467 (-1,6% en comparación con 2012/13)  </w:t>
            </w:r>
          </w:p>
          <w:p w:rsidR="00285417" w:rsidRPr="00CA51CD" w:rsidRDefault="00285417" w:rsidP="00285417">
            <w:pPr>
              <w:pStyle w:val="ListParagraph"/>
              <w:numPr>
                <w:ilvl w:val="0"/>
                <w:numId w:val="89"/>
              </w:numPr>
              <w:rPr>
                <w:rFonts w:cs="Arial"/>
                <w:sz w:val="16"/>
                <w:szCs w:val="16"/>
                <w:lang w:val="es-ES"/>
              </w:rPr>
            </w:pPr>
            <w:r w:rsidRPr="00CA51CD">
              <w:rPr>
                <w:rFonts w:cs="Arial"/>
                <w:sz w:val="16"/>
                <w:szCs w:val="16"/>
                <w:lang w:val="es-ES"/>
              </w:rPr>
              <w:t xml:space="preserve">75.173 </w:t>
            </w:r>
            <w:r w:rsidRPr="00CA51CD">
              <w:rPr>
                <w:sz w:val="16"/>
                <w:szCs w:val="16"/>
                <w:lang w:val="es-ES"/>
              </w:rPr>
              <w:t>visitas para 18 artículos publicados</w:t>
            </w:r>
            <w:r w:rsidRPr="00CA51CD">
              <w:rPr>
                <w:rFonts w:cs="Arial"/>
                <w:sz w:val="16"/>
                <w:szCs w:val="16"/>
                <w:lang w:val="es-ES"/>
              </w:rPr>
              <w:t xml:space="preserve"> en 2014. (-24,2% en comparación con 2013)</w:t>
            </w:r>
          </w:p>
          <w:p w:rsidR="00285417" w:rsidRPr="00CA51CD" w:rsidRDefault="00285417" w:rsidP="00285417">
            <w:pPr>
              <w:pStyle w:val="ListParagraph"/>
              <w:numPr>
                <w:ilvl w:val="0"/>
                <w:numId w:val="89"/>
              </w:numPr>
              <w:rPr>
                <w:rFonts w:cs="Arial"/>
                <w:sz w:val="16"/>
                <w:szCs w:val="16"/>
                <w:lang w:val="es-ES"/>
              </w:rPr>
            </w:pPr>
            <w:r w:rsidRPr="00CA51CD">
              <w:rPr>
                <w:rFonts w:cs="Arial"/>
                <w:sz w:val="16"/>
                <w:szCs w:val="16"/>
                <w:lang w:val="es-ES"/>
              </w:rPr>
              <w:t xml:space="preserve">72.232 </w:t>
            </w:r>
            <w:r w:rsidRPr="00CA51CD">
              <w:rPr>
                <w:sz w:val="16"/>
                <w:szCs w:val="16"/>
                <w:lang w:val="es-ES"/>
              </w:rPr>
              <w:t>visitas para 15 artículos publicados</w:t>
            </w:r>
            <w:r w:rsidRPr="00CA51CD">
              <w:rPr>
                <w:rFonts w:cs="Arial"/>
                <w:sz w:val="16"/>
                <w:szCs w:val="16"/>
                <w:lang w:val="es-ES"/>
              </w:rPr>
              <w:t xml:space="preserve"> en 2015 (-12,5% en comparación con 2014)</w:t>
            </w:r>
          </w:p>
          <w:p w:rsidR="00285417" w:rsidRPr="00CA51CD" w:rsidRDefault="00285417" w:rsidP="00DC1333">
            <w:pPr>
              <w:rPr>
                <w:sz w:val="16"/>
                <w:szCs w:val="16"/>
              </w:rPr>
            </w:pPr>
          </w:p>
          <w:p w:rsidR="00285417" w:rsidRPr="00CA51CD" w:rsidRDefault="00285417" w:rsidP="00DC1333">
            <w:pPr>
              <w:rPr>
                <w:sz w:val="16"/>
                <w:szCs w:val="16"/>
              </w:rPr>
            </w:pPr>
            <w:r w:rsidRPr="00CA51CD">
              <w:rPr>
                <w:sz w:val="16"/>
                <w:szCs w:val="16"/>
              </w:rPr>
              <w:t xml:space="preserve">ii) El promedio de visualizaciones por vídeo fue 12.871 (5.006.946 visualizaciones para 389 vídeos a finales de 2014/15) (-31%) </w:t>
            </w:r>
          </w:p>
          <w:p w:rsidR="00285417" w:rsidRPr="00CA51CD" w:rsidRDefault="00285417" w:rsidP="00DC1333">
            <w:pPr>
              <w:rPr>
                <w:sz w:val="16"/>
                <w:szCs w:val="16"/>
              </w:rPr>
            </w:pPr>
          </w:p>
          <w:p w:rsidR="00285417" w:rsidRPr="00CA51CD" w:rsidRDefault="00285417" w:rsidP="00DC1333">
            <w:pPr>
              <w:rPr>
                <w:sz w:val="16"/>
                <w:szCs w:val="16"/>
              </w:rPr>
            </w:pPr>
          </w:p>
          <w:p w:rsidR="00285417" w:rsidRPr="00CA51CD" w:rsidRDefault="00285417" w:rsidP="00DC1333">
            <w:pPr>
              <w:rPr>
                <w:sz w:val="16"/>
                <w:szCs w:val="16"/>
              </w:rPr>
            </w:pPr>
            <w:r w:rsidRPr="00CA51CD">
              <w:rPr>
                <w:sz w:val="16"/>
                <w:szCs w:val="16"/>
              </w:rPr>
              <w:t xml:space="preserve">iii)  Otras 2.541.702 visualizaciones en </w:t>
            </w:r>
            <w:proofErr w:type="spellStart"/>
            <w:r w:rsidRPr="00CA51CD">
              <w:rPr>
                <w:sz w:val="16"/>
                <w:szCs w:val="16"/>
              </w:rPr>
              <w:t>Flickr</w:t>
            </w:r>
            <w:proofErr w:type="spellEnd"/>
            <w:r w:rsidRPr="00CA51CD">
              <w:rPr>
                <w:sz w:val="16"/>
                <w:szCs w:val="16"/>
              </w:rPr>
              <w:t xml:space="preserve"> (+182%) (3.441.702 visualizaciones en total a finales de 2015)</w:t>
            </w:r>
          </w:p>
        </w:tc>
        <w:tc>
          <w:tcPr>
            <w:tcW w:w="674" w:type="pct"/>
            <w:tcMar>
              <w:top w:w="110" w:type="dxa"/>
            </w:tcMar>
          </w:tcPr>
          <w:p w:rsidR="00285417" w:rsidRPr="00CA51CD" w:rsidRDefault="00285417" w:rsidP="00DC1333">
            <w:pPr>
              <w:keepNext/>
              <w:keepLines/>
              <w:ind w:left="-108"/>
              <w:jc w:val="center"/>
              <w:rPr>
                <w:b/>
                <w:bCs/>
                <w:color w:val="FF0000"/>
                <w:sz w:val="16"/>
                <w:szCs w:val="16"/>
              </w:rPr>
            </w:pPr>
            <w:r w:rsidRPr="00CA51CD">
              <w:rPr>
                <w:b/>
                <w:bCs/>
                <w:color w:val="FF0000"/>
                <w:sz w:val="16"/>
                <w:szCs w:val="16"/>
              </w:rPr>
              <w:t>No logrado</w:t>
            </w:r>
          </w:p>
          <w:p w:rsidR="00285417" w:rsidRPr="00CA51CD" w:rsidRDefault="00285417" w:rsidP="00DC1333">
            <w:pPr>
              <w:keepNext/>
              <w:keepLines/>
              <w:jc w:val="center"/>
              <w:rPr>
                <w:b/>
                <w:bCs/>
                <w:color w:val="FF0000"/>
                <w:sz w:val="16"/>
                <w:szCs w:val="16"/>
              </w:rPr>
            </w:pPr>
          </w:p>
          <w:p w:rsidR="00285417" w:rsidRPr="00CA51CD" w:rsidRDefault="00285417" w:rsidP="00DC1333">
            <w:pPr>
              <w:keepNext/>
              <w:keepLines/>
              <w:jc w:val="center"/>
              <w:rPr>
                <w:b/>
                <w:bCs/>
                <w:color w:val="FF0000"/>
                <w:sz w:val="16"/>
                <w:szCs w:val="16"/>
              </w:rPr>
            </w:pPr>
          </w:p>
          <w:p w:rsidR="00285417" w:rsidRPr="00CA51CD" w:rsidRDefault="00285417" w:rsidP="00DC1333">
            <w:pPr>
              <w:keepNext/>
              <w:keepLines/>
              <w:jc w:val="center"/>
              <w:rPr>
                <w:b/>
                <w:bCs/>
                <w:color w:val="FF0000"/>
                <w:sz w:val="16"/>
                <w:szCs w:val="16"/>
              </w:rPr>
            </w:pPr>
          </w:p>
          <w:p w:rsidR="00285417" w:rsidRPr="00CA51CD" w:rsidRDefault="00285417" w:rsidP="00DC1333">
            <w:pPr>
              <w:keepNext/>
              <w:keepLines/>
              <w:jc w:val="center"/>
              <w:rPr>
                <w:b/>
                <w:bCs/>
                <w:color w:val="FF0000"/>
                <w:sz w:val="16"/>
                <w:szCs w:val="16"/>
              </w:rPr>
            </w:pPr>
          </w:p>
          <w:p w:rsidR="00285417" w:rsidRPr="00CA51CD" w:rsidRDefault="00285417" w:rsidP="00DC1333">
            <w:pPr>
              <w:keepNext/>
              <w:keepLines/>
              <w:jc w:val="center"/>
              <w:rPr>
                <w:b/>
                <w:bCs/>
                <w:color w:val="FF0000"/>
                <w:sz w:val="16"/>
                <w:szCs w:val="16"/>
              </w:rPr>
            </w:pPr>
          </w:p>
          <w:p w:rsidR="00285417" w:rsidRPr="00CA51CD" w:rsidRDefault="00285417" w:rsidP="00DC1333">
            <w:pPr>
              <w:keepNext/>
              <w:keepLines/>
              <w:jc w:val="center"/>
              <w:rPr>
                <w:b/>
                <w:bCs/>
                <w:color w:val="FF0000"/>
                <w:sz w:val="16"/>
                <w:szCs w:val="16"/>
              </w:rPr>
            </w:pPr>
          </w:p>
          <w:p w:rsidR="00285417" w:rsidRPr="00CA51CD" w:rsidRDefault="00285417" w:rsidP="00DC1333">
            <w:pPr>
              <w:keepNext/>
              <w:keepLines/>
              <w:ind w:left="-108"/>
              <w:jc w:val="center"/>
              <w:rPr>
                <w:b/>
                <w:bCs/>
                <w:color w:val="FF0000"/>
                <w:sz w:val="16"/>
                <w:szCs w:val="16"/>
              </w:rPr>
            </w:pPr>
          </w:p>
          <w:p w:rsidR="00285417" w:rsidRPr="00CA51CD" w:rsidRDefault="00285417" w:rsidP="00DC1333">
            <w:pPr>
              <w:keepNext/>
              <w:keepLines/>
              <w:jc w:val="center"/>
              <w:rPr>
                <w:b/>
                <w:bCs/>
                <w:sz w:val="16"/>
                <w:szCs w:val="16"/>
              </w:rPr>
            </w:pPr>
          </w:p>
          <w:p w:rsidR="00285417" w:rsidRPr="00CA51CD" w:rsidRDefault="00285417" w:rsidP="00DC1333">
            <w:pPr>
              <w:keepNext/>
              <w:keepLines/>
              <w:jc w:val="center"/>
              <w:rPr>
                <w:b/>
                <w:bCs/>
                <w:sz w:val="16"/>
                <w:szCs w:val="16"/>
              </w:rPr>
            </w:pPr>
          </w:p>
          <w:p w:rsidR="00285417" w:rsidRPr="00CA51CD" w:rsidRDefault="00285417" w:rsidP="00DC1333">
            <w:pPr>
              <w:keepNext/>
              <w:keepLines/>
              <w:jc w:val="center"/>
              <w:rPr>
                <w:b/>
                <w:bCs/>
                <w:sz w:val="16"/>
                <w:szCs w:val="16"/>
              </w:rPr>
            </w:pPr>
          </w:p>
          <w:p w:rsidR="00285417" w:rsidRPr="00CA51CD" w:rsidRDefault="00285417" w:rsidP="00DC1333">
            <w:pPr>
              <w:keepNext/>
              <w:keepLines/>
              <w:jc w:val="center"/>
              <w:rPr>
                <w:b/>
                <w:bCs/>
                <w:sz w:val="16"/>
                <w:szCs w:val="16"/>
              </w:rPr>
            </w:pPr>
          </w:p>
          <w:p w:rsidR="00285417" w:rsidRPr="00CA51CD" w:rsidRDefault="00285417" w:rsidP="00DC1333">
            <w:pPr>
              <w:keepNext/>
              <w:keepLines/>
              <w:jc w:val="center"/>
              <w:rPr>
                <w:b/>
                <w:bCs/>
                <w:sz w:val="16"/>
                <w:szCs w:val="16"/>
              </w:rPr>
            </w:pPr>
          </w:p>
          <w:p w:rsidR="00285417" w:rsidRPr="00CA51CD" w:rsidRDefault="00285417" w:rsidP="00DC1333">
            <w:pPr>
              <w:keepNext/>
              <w:keepLines/>
              <w:jc w:val="center"/>
              <w:rPr>
                <w:b/>
                <w:bCs/>
                <w:sz w:val="16"/>
                <w:szCs w:val="16"/>
              </w:rPr>
            </w:pPr>
          </w:p>
          <w:p w:rsidR="00285417" w:rsidRPr="00CA51CD" w:rsidRDefault="00285417" w:rsidP="00DC1333">
            <w:pPr>
              <w:keepNext/>
              <w:keepLines/>
              <w:ind w:left="-108"/>
              <w:jc w:val="center"/>
              <w:rPr>
                <w:b/>
                <w:color w:val="00B050"/>
                <w:sz w:val="16"/>
                <w:szCs w:val="16"/>
              </w:rPr>
            </w:pPr>
          </w:p>
          <w:p w:rsidR="00285417" w:rsidRPr="00CA51CD" w:rsidRDefault="00285417" w:rsidP="00DC1333">
            <w:pPr>
              <w:keepNext/>
              <w:keepLines/>
              <w:ind w:left="-108"/>
              <w:jc w:val="center"/>
              <w:rPr>
                <w:b/>
                <w:color w:val="00B050"/>
                <w:sz w:val="16"/>
                <w:szCs w:val="16"/>
              </w:rPr>
            </w:pPr>
          </w:p>
          <w:p w:rsidR="00285417" w:rsidRPr="00CA51CD" w:rsidRDefault="00285417" w:rsidP="00DC1333">
            <w:pPr>
              <w:keepNext/>
              <w:keepLines/>
              <w:ind w:left="-108"/>
              <w:jc w:val="center"/>
              <w:rPr>
                <w:b/>
                <w:color w:val="00B050"/>
                <w:sz w:val="16"/>
                <w:szCs w:val="16"/>
              </w:rPr>
            </w:pPr>
          </w:p>
          <w:p w:rsidR="00285417" w:rsidRPr="00CA51CD" w:rsidRDefault="00285417" w:rsidP="00DC1333">
            <w:pPr>
              <w:keepNext/>
              <w:keepLines/>
              <w:ind w:left="-108"/>
              <w:jc w:val="center"/>
              <w:rPr>
                <w:b/>
                <w:color w:val="00B050"/>
                <w:sz w:val="16"/>
                <w:szCs w:val="16"/>
              </w:rPr>
            </w:pPr>
          </w:p>
          <w:p w:rsidR="00285417" w:rsidRPr="00CA51CD" w:rsidRDefault="00285417" w:rsidP="00DC1333">
            <w:pPr>
              <w:keepNext/>
              <w:keepLines/>
              <w:ind w:left="-108"/>
              <w:jc w:val="center"/>
              <w:rPr>
                <w:b/>
                <w:color w:val="00B050"/>
                <w:sz w:val="16"/>
                <w:szCs w:val="16"/>
              </w:rPr>
            </w:pPr>
          </w:p>
          <w:p w:rsidR="00285417" w:rsidRPr="00CA51CD" w:rsidRDefault="00285417" w:rsidP="00DC1333">
            <w:pPr>
              <w:keepNext/>
              <w:keepLines/>
              <w:ind w:left="-108"/>
              <w:jc w:val="center"/>
              <w:rPr>
                <w:b/>
                <w:color w:val="00B050"/>
                <w:sz w:val="16"/>
                <w:szCs w:val="16"/>
              </w:rPr>
            </w:pPr>
          </w:p>
          <w:p w:rsidR="00285417" w:rsidRPr="00CA51CD" w:rsidRDefault="00285417" w:rsidP="00DC1333">
            <w:pPr>
              <w:keepNext/>
              <w:keepLines/>
              <w:ind w:left="-108"/>
              <w:jc w:val="center"/>
              <w:rPr>
                <w:b/>
                <w:color w:val="00B050"/>
                <w:sz w:val="16"/>
                <w:szCs w:val="16"/>
              </w:rPr>
            </w:pPr>
          </w:p>
          <w:p w:rsidR="00285417" w:rsidRPr="00CA51CD" w:rsidRDefault="00285417" w:rsidP="00DC1333">
            <w:pPr>
              <w:keepNext/>
              <w:keepLines/>
              <w:jc w:val="center"/>
              <w:rPr>
                <w:b/>
                <w:color w:val="FF0000"/>
                <w:sz w:val="16"/>
                <w:szCs w:val="16"/>
              </w:rPr>
            </w:pPr>
            <w:r w:rsidRPr="00CA51CD">
              <w:rPr>
                <w:b/>
                <w:color w:val="FF0000"/>
                <w:sz w:val="16"/>
                <w:szCs w:val="16"/>
              </w:rPr>
              <w:t>No logrado</w:t>
            </w:r>
          </w:p>
          <w:p w:rsidR="00285417" w:rsidRPr="00CA51CD" w:rsidRDefault="00285417" w:rsidP="00DC1333">
            <w:pPr>
              <w:keepNext/>
              <w:keepLines/>
              <w:ind w:left="-108"/>
              <w:jc w:val="center"/>
              <w:rPr>
                <w:b/>
                <w:sz w:val="16"/>
                <w:szCs w:val="16"/>
              </w:rPr>
            </w:pPr>
          </w:p>
          <w:p w:rsidR="00285417" w:rsidRPr="00CA51CD" w:rsidRDefault="00285417" w:rsidP="00DC1333">
            <w:pPr>
              <w:keepNext/>
              <w:keepLines/>
              <w:ind w:left="-108"/>
              <w:jc w:val="center"/>
              <w:rPr>
                <w:b/>
                <w:sz w:val="16"/>
                <w:szCs w:val="16"/>
              </w:rPr>
            </w:pPr>
          </w:p>
          <w:p w:rsidR="00285417" w:rsidRPr="00CA51CD" w:rsidRDefault="00285417" w:rsidP="00DC1333">
            <w:pPr>
              <w:keepNext/>
              <w:keepLines/>
              <w:ind w:left="-108"/>
              <w:jc w:val="center"/>
              <w:rPr>
                <w:b/>
                <w:sz w:val="16"/>
                <w:szCs w:val="16"/>
              </w:rPr>
            </w:pPr>
          </w:p>
          <w:p w:rsidR="00285417" w:rsidRPr="00CA51CD" w:rsidRDefault="00285417" w:rsidP="00DC1333">
            <w:pPr>
              <w:keepNext/>
              <w:keepLines/>
              <w:ind w:left="-108"/>
              <w:jc w:val="center"/>
              <w:rPr>
                <w:b/>
                <w:sz w:val="16"/>
                <w:szCs w:val="16"/>
              </w:rPr>
            </w:pPr>
          </w:p>
          <w:p w:rsidR="00285417" w:rsidRPr="00CA51CD" w:rsidRDefault="00285417" w:rsidP="00DC1333">
            <w:pPr>
              <w:keepNext/>
              <w:keepLines/>
              <w:ind w:left="-108"/>
              <w:jc w:val="center"/>
              <w:rPr>
                <w:b/>
                <w:sz w:val="16"/>
                <w:szCs w:val="16"/>
              </w:rPr>
            </w:pPr>
          </w:p>
          <w:p w:rsidR="00285417" w:rsidRPr="00CA51CD" w:rsidRDefault="00285417" w:rsidP="00DC1333">
            <w:pPr>
              <w:keepNext/>
              <w:keepLines/>
              <w:ind w:left="-108"/>
              <w:jc w:val="center"/>
              <w:rPr>
                <w:b/>
                <w:sz w:val="16"/>
                <w:szCs w:val="16"/>
              </w:rPr>
            </w:pPr>
          </w:p>
          <w:p w:rsidR="00285417" w:rsidRPr="00CA51CD" w:rsidRDefault="00285417" w:rsidP="00DC1333">
            <w:pPr>
              <w:keepNext/>
              <w:keepLines/>
              <w:ind w:left="-108"/>
              <w:jc w:val="center"/>
              <w:rPr>
                <w:b/>
                <w:sz w:val="16"/>
                <w:szCs w:val="16"/>
              </w:rPr>
            </w:pPr>
          </w:p>
          <w:p w:rsidR="00285417" w:rsidRPr="00CA51CD" w:rsidRDefault="00285417" w:rsidP="00DC1333">
            <w:pPr>
              <w:keepNext/>
              <w:keepLines/>
              <w:ind w:left="-108"/>
              <w:jc w:val="center"/>
              <w:rPr>
                <w:b/>
                <w:sz w:val="16"/>
                <w:szCs w:val="16"/>
              </w:rPr>
            </w:pPr>
          </w:p>
          <w:p w:rsidR="00285417" w:rsidRDefault="00285417" w:rsidP="00DC1333">
            <w:pPr>
              <w:keepNext/>
              <w:keepLines/>
              <w:ind w:left="-108"/>
              <w:jc w:val="center"/>
              <w:rPr>
                <w:b/>
                <w:color w:val="00B050"/>
                <w:sz w:val="16"/>
                <w:szCs w:val="16"/>
              </w:rPr>
            </w:pPr>
            <w:r w:rsidRPr="00CA51CD">
              <w:rPr>
                <w:b/>
                <w:color w:val="00B050"/>
                <w:sz w:val="16"/>
                <w:szCs w:val="16"/>
              </w:rPr>
              <w:t>Plenamente logrado</w:t>
            </w:r>
          </w:p>
          <w:p w:rsidR="00285417" w:rsidRPr="00CA51CD" w:rsidRDefault="00285417" w:rsidP="00DC1333">
            <w:pPr>
              <w:keepNext/>
              <w:keepLines/>
              <w:ind w:left="-108"/>
              <w:jc w:val="center"/>
              <w:rPr>
                <w:b/>
                <w:sz w:val="16"/>
                <w:szCs w:val="16"/>
              </w:rPr>
            </w:pPr>
          </w:p>
        </w:tc>
      </w:tr>
      <w:tr w:rsidR="00285417" w:rsidRPr="00CA51CD" w:rsidTr="00DC1333">
        <w:trPr>
          <w:trHeight w:val="1874"/>
        </w:trPr>
        <w:tc>
          <w:tcPr>
            <w:tcW w:w="1103" w:type="pct"/>
          </w:tcPr>
          <w:p w:rsidR="00285417" w:rsidRPr="00CA51CD" w:rsidRDefault="00285417" w:rsidP="00DC1333">
            <w:pPr>
              <w:rPr>
                <w:sz w:val="16"/>
                <w:szCs w:val="16"/>
              </w:rPr>
            </w:pPr>
            <w:r w:rsidRPr="00CA51CD">
              <w:rPr>
                <w:sz w:val="16"/>
                <w:szCs w:val="16"/>
              </w:rPr>
              <w:t>Porcentaje de aumento de la participación global en el Día Mundial de la P.I. por medio de la página de Facebook (alcance global de la campaña)</w:t>
            </w:r>
          </w:p>
        </w:tc>
        <w:tc>
          <w:tcPr>
            <w:tcW w:w="1349" w:type="pct"/>
            <w:shd w:val="clear" w:color="auto" w:fill="auto"/>
          </w:tcPr>
          <w:p w:rsidR="00285417" w:rsidRPr="00CA51CD" w:rsidRDefault="00285417" w:rsidP="00DC1333">
            <w:pPr>
              <w:rPr>
                <w:color w:val="002060"/>
                <w:sz w:val="16"/>
                <w:szCs w:val="16"/>
              </w:rPr>
            </w:pPr>
            <w:r w:rsidRPr="00CA51CD">
              <w:rPr>
                <w:i/>
                <w:color w:val="002060"/>
                <w:sz w:val="16"/>
                <w:szCs w:val="16"/>
              </w:rPr>
              <w:t xml:space="preserve">Referencia actualizada a fines de 2013: </w:t>
            </w:r>
            <w:r w:rsidRPr="00CA51CD">
              <w:rPr>
                <w:color w:val="002060"/>
                <w:sz w:val="16"/>
                <w:szCs w:val="16"/>
              </w:rPr>
              <w:t xml:space="preserve">414.121 personas accedieron a contenido sobre el Día Mundial de la P.I. mediante la campaña llevada a cabo en Facebook en 2013 (alcance total [constante]) </w:t>
            </w:r>
          </w:p>
          <w:p w:rsidR="00285417" w:rsidRPr="00CA51CD" w:rsidRDefault="00285417" w:rsidP="00DC1333">
            <w:pPr>
              <w:rPr>
                <w:i/>
                <w:color w:val="002060"/>
                <w:sz w:val="8"/>
                <w:szCs w:val="8"/>
              </w:rPr>
            </w:pPr>
          </w:p>
          <w:p w:rsidR="00285417" w:rsidRPr="00CA51CD" w:rsidRDefault="00285417" w:rsidP="00DC1333">
            <w:pPr>
              <w:rPr>
                <w:sz w:val="16"/>
                <w:szCs w:val="16"/>
              </w:rPr>
            </w:pPr>
            <w:r w:rsidRPr="00CA51CD">
              <w:rPr>
                <w:i/>
                <w:color w:val="000000"/>
                <w:sz w:val="16"/>
                <w:szCs w:val="16"/>
              </w:rPr>
              <w:t>Referencia original en el presupuesto de 2014/15:</w:t>
            </w:r>
            <w:r w:rsidRPr="00CA51CD">
              <w:rPr>
                <w:color w:val="000000"/>
                <w:sz w:val="16"/>
                <w:szCs w:val="16"/>
              </w:rPr>
              <w:t xml:space="preserve"> 379.600 personas accedieron a contenido sobre el Día Mundial de la P.I. mediante la campaña llevada a cabo en Facebook en 2012</w:t>
            </w:r>
          </w:p>
        </w:tc>
        <w:tc>
          <w:tcPr>
            <w:tcW w:w="750" w:type="pct"/>
            <w:tcMar>
              <w:top w:w="110" w:type="dxa"/>
            </w:tcMar>
          </w:tcPr>
          <w:p w:rsidR="00285417" w:rsidRPr="00CA51CD" w:rsidRDefault="00285417" w:rsidP="00DC1333">
            <w:pPr>
              <w:autoSpaceDE w:val="0"/>
              <w:autoSpaceDN w:val="0"/>
              <w:adjustRightInd w:val="0"/>
              <w:ind w:left="-50" w:right="-96"/>
              <w:rPr>
                <w:sz w:val="16"/>
                <w:szCs w:val="16"/>
              </w:rPr>
            </w:pPr>
            <w:r w:rsidRPr="00CA51CD">
              <w:rPr>
                <w:color w:val="000000"/>
                <w:sz w:val="16"/>
                <w:szCs w:val="16"/>
              </w:rPr>
              <w:t>Aumento del 30% en el número de personas que acceden a contenido sobre el Día Mundial de la P.I. por medio de Facebook (alcance total)</w:t>
            </w:r>
          </w:p>
        </w:tc>
        <w:tc>
          <w:tcPr>
            <w:tcW w:w="1124" w:type="pct"/>
            <w:shd w:val="clear" w:color="auto" w:fill="FFFFFF"/>
            <w:tcMar>
              <w:top w:w="110" w:type="dxa"/>
            </w:tcMar>
          </w:tcPr>
          <w:p w:rsidR="00285417" w:rsidRPr="00CA51CD" w:rsidRDefault="00285417" w:rsidP="00DC1333">
            <w:pPr>
              <w:rPr>
                <w:bCs/>
                <w:sz w:val="16"/>
                <w:szCs w:val="16"/>
              </w:rPr>
            </w:pPr>
            <w:r w:rsidRPr="00CA51CD">
              <w:rPr>
                <w:bCs/>
                <w:sz w:val="16"/>
                <w:szCs w:val="16"/>
              </w:rPr>
              <w:t>En 2014/15, 1.020.128 personas en total accedieron a contenidos sobre el Día Mundial de la P.I. mediante las campañas llevadas a cabo en Facebook (+28,5% en comparación con 2012/13)</w:t>
            </w:r>
          </w:p>
          <w:p w:rsidR="00285417" w:rsidRPr="00CA51CD" w:rsidRDefault="00285417" w:rsidP="00285417">
            <w:pPr>
              <w:pStyle w:val="ListParagraph"/>
              <w:numPr>
                <w:ilvl w:val="0"/>
                <w:numId w:val="90"/>
              </w:numPr>
              <w:rPr>
                <w:rFonts w:cs="Arial"/>
                <w:sz w:val="16"/>
                <w:szCs w:val="16"/>
                <w:lang w:val="es-ES"/>
              </w:rPr>
            </w:pPr>
            <w:r w:rsidRPr="00CA51CD">
              <w:rPr>
                <w:rFonts w:cs="Arial"/>
                <w:sz w:val="16"/>
                <w:szCs w:val="16"/>
                <w:lang w:val="es-ES"/>
              </w:rPr>
              <w:t>563.816 en 2014</w:t>
            </w:r>
          </w:p>
          <w:p w:rsidR="00285417" w:rsidRPr="00CA51CD" w:rsidRDefault="00285417" w:rsidP="00285417">
            <w:pPr>
              <w:pStyle w:val="ListParagraph"/>
              <w:numPr>
                <w:ilvl w:val="0"/>
                <w:numId w:val="90"/>
              </w:numPr>
              <w:rPr>
                <w:rFonts w:cs="Arial"/>
                <w:sz w:val="16"/>
                <w:szCs w:val="16"/>
                <w:lang w:val="es-ES"/>
              </w:rPr>
            </w:pPr>
            <w:r w:rsidRPr="00CA51CD">
              <w:rPr>
                <w:rFonts w:cs="Arial"/>
                <w:sz w:val="16"/>
                <w:szCs w:val="16"/>
                <w:lang w:val="es-ES"/>
              </w:rPr>
              <w:t>456.312 en 2015</w:t>
            </w:r>
          </w:p>
        </w:tc>
        <w:tc>
          <w:tcPr>
            <w:tcW w:w="674" w:type="pct"/>
            <w:tcMar>
              <w:top w:w="110" w:type="dxa"/>
            </w:tcMar>
          </w:tcPr>
          <w:p w:rsidR="00285417" w:rsidRPr="00CA51CD" w:rsidRDefault="00285417" w:rsidP="00DC1333">
            <w:pPr>
              <w:keepNext/>
              <w:keepLines/>
              <w:ind w:left="-108"/>
              <w:jc w:val="center"/>
              <w:rPr>
                <w:b/>
                <w:color w:val="00B050"/>
                <w:sz w:val="16"/>
                <w:szCs w:val="16"/>
              </w:rPr>
            </w:pPr>
            <w:r w:rsidRPr="00CA51CD">
              <w:rPr>
                <w:b/>
                <w:color w:val="00B050"/>
                <w:sz w:val="16"/>
                <w:szCs w:val="16"/>
              </w:rPr>
              <w:t>Plenamente logrado</w:t>
            </w:r>
          </w:p>
        </w:tc>
      </w:tr>
      <w:tr w:rsidR="00285417" w:rsidRPr="00CA51CD" w:rsidTr="00DC1333">
        <w:tc>
          <w:tcPr>
            <w:tcW w:w="1103" w:type="pct"/>
          </w:tcPr>
          <w:p w:rsidR="00285417" w:rsidRPr="00CA51CD" w:rsidRDefault="00285417" w:rsidP="00DC1333">
            <w:pPr>
              <w:rPr>
                <w:sz w:val="16"/>
                <w:szCs w:val="16"/>
              </w:rPr>
            </w:pPr>
            <w:r w:rsidRPr="00CA51CD">
              <w:rPr>
                <w:sz w:val="16"/>
                <w:szCs w:val="16"/>
              </w:rPr>
              <w:t>Porcentaje de aumento del número de consultas de las publicaciones de Internet</w:t>
            </w:r>
          </w:p>
        </w:tc>
        <w:tc>
          <w:tcPr>
            <w:tcW w:w="1349" w:type="pct"/>
            <w:shd w:val="clear" w:color="auto" w:fill="auto"/>
          </w:tcPr>
          <w:p w:rsidR="00285417" w:rsidRPr="00CA51CD" w:rsidRDefault="00285417" w:rsidP="00DC1333">
            <w:pPr>
              <w:rPr>
                <w:color w:val="002060"/>
                <w:sz w:val="16"/>
                <w:szCs w:val="16"/>
              </w:rPr>
            </w:pPr>
            <w:r w:rsidRPr="00CA51CD">
              <w:rPr>
                <w:color w:val="002060"/>
                <w:sz w:val="16"/>
                <w:szCs w:val="16"/>
              </w:rPr>
              <w:t>i)</w:t>
            </w:r>
            <w:r w:rsidRPr="00CA51CD">
              <w:rPr>
                <w:i/>
                <w:color w:val="002060"/>
                <w:sz w:val="16"/>
                <w:szCs w:val="16"/>
              </w:rPr>
              <w:t xml:space="preserve"> Referencia actualizada a fines de 2013: </w:t>
            </w:r>
            <w:r w:rsidRPr="00CA51CD">
              <w:rPr>
                <w:color w:val="002060"/>
                <w:sz w:val="16"/>
                <w:szCs w:val="16"/>
              </w:rPr>
              <w:t xml:space="preserve"> 3.940.490 descargas de publicaciones gratuitas en 2013 (en todos los idiomas) </w:t>
            </w:r>
          </w:p>
          <w:p w:rsidR="00285417" w:rsidRPr="00CA51CD" w:rsidRDefault="00285417" w:rsidP="00DC1333">
            <w:pPr>
              <w:rPr>
                <w:color w:val="002060"/>
                <w:sz w:val="16"/>
                <w:szCs w:val="16"/>
              </w:rPr>
            </w:pPr>
            <w:r w:rsidRPr="00CA51CD">
              <w:rPr>
                <w:color w:val="002060"/>
                <w:sz w:val="16"/>
                <w:szCs w:val="16"/>
              </w:rPr>
              <w:t xml:space="preserve">ii) 450.499 visitantes únicos de la sección del sitio web dedicada a la Revista de la OMPI en 2013 (en todos los idiomas) </w:t>
            </w:r>
          </w:p>
          <w:p w:rsidR="00285417" w:rsidRPr="00CA51CD" w:rsidRDefault="00285417" w:rsidP="00DC1333">
            <w:pPr>
              <w:rPr>
                <w:i/>
                <w:sz w:val="8"/>
                <w:szCs w:val="8"/>
              </w:rPr>
            </w:pPr>
          </w:p>
          <w:p w:rsidR="00285417" w:rsidRPr="00CA51CD" w:rsidRDefault="00285417" w:rsidP="00DC1333">
            <w:pPr>
              <w:rPr>
                <w:iCs/>
                <w:sz w:val="16"/>
                <w:szCs w:val="16"/>
              </w:rPr>
            </w:pPr>
            <w:r w:rsidRPr="00CA51CD">
              <w:rPr>
                <w:iCs/>
                <w:sz w:val="16"/>
                <w:szCs w:val="16"/>
              </w:rPr>
              <w:t>i)</w:t>
            </w:r>
            <w:r w:rsidRPr="00CA51CD">
              <w:rPr>
                <w:i/>
                <w:iCs/>
                <w:sz w:val="16"/>
                <w:szCs w:val="16"/>
              </w:rPr>
              <w:t xml:space="preserve"> Referencia original en el presupuesto de 2014/15: </w:t>
            </w:r>
            <w:r w:rsidRPr="00CA51CD">
              <w:rPr>
                <w:iCs/>
                <w:sz w:val="16"/>
                <w:szCs w:val="16"/>
              </w:rPr>
              <w:t xml:space="preserve"> por determinar (no se dispone de estadísticas comparables para 2012)</w:t>
            </w:r>
          </w:p>
          <w:p w:rsidR="00285417" w:rsidRDefault="00285417" w:rsidP="00DC1333">
            <w:pPr>
              <w:rPr>
                <w:sz w:val="16"/>
                <w:szCs w:val="16"/>
              </w:rPr>
            </w:pPr>
            <w:r w:rsidRPr="00CA51CD">
              <w:rPr>
                <w:sz w:val="16"/>
                <w:szCs w:val="16"/>
              </w:rPr>
              <w:t xml:space="preserve">ii) 409.265 visitas únicas al sitio web de la Revista de la OMPI en </w:t>
            </w:r>
            <w:r w:rsidRPr="00CA51CD">
              <w:rPr>
                <w:sz w:val="16"/>
                <w:szCs w:val="16"/>
              </w:rPr>
              <w:lastRenderedPageBreak/>
              <w:t>2012</w:t>
            </w:r>
          </w:p>
          <w:p w:rsidR="00285417" w:rsidRPr="00CA51CD" w:rsidRDefault="00285417" w:rsidP="00DC1333">
            <w:pPr>
              <w:rPr>
                <w:sz w:val="16"/>
                <w:szCs w:val="16"/>
              </w:rPr>
            </w:pPr>
          </w:p>
        </w:tc>
        <w:tc>
          <w:tcPr>
            <w:tcW w:w="750" w:type="pct"/>
            <w:tcMar>
              <w:top w:w="110" w:type="dxa"/>
            </w:tcMar>
          </w:tcPr>
          <w:p w:rsidR="00285417" w:rsidRPr="00CA51CD" w:rsidRDefault="00285417" w:rsidP="00DC1333">
            <w:pPr>
              <w:autoSpaceDE w:val="0"/>
              <w:autoSpaceDN w:val="0"/>
              <w:adjustRightInd w:val="0"/>
              <w:ind w:left="-50" w:right="-96"/>
              <w:rPr>
                <w:sz w:val="16"/>
                <w:szCs w:val="16"/>
              </w:rPr>
            </w:pPr>
            <w:r w:rsidRPr="00CA51CD">
              <w:rPr>
                <w:sz w:val="16"/>
                <w:szCs w:val="16"/>
              </w:rPr>
              <w:lastRenderedPageBreak/>
              <w:t xml:space="preserve">i) Aumento del 10% en el número total de consultas de las publicaciones de Internet </w:t>
            </w:r>
          </w:p>
          <w:p w:rsidR="00285417" w:rsidRDefault="00285417" w:rsidP="00DC1333">
            <w:pPr>
              <w:rPr>
                <w:sz w:val="16"/>
                <w:szCs w:val="16"/>
              </w:rPr>
            </w:pPr>
          </w:p>
          <w:p w:rsidR="00285417" w:rsidRDefault="00285417" w:rsidP="00DC1333">
            <w:pPr>
              <w:rPr>
                <w:sz w:val="16"/>
                <w:szCs w:val="16"/>
              </w:rPr>
            </w:pPr>
          </w:p>
          <w:p w:rsidR="00285417" w:rsidRPr="00CA51CD" w:rsidRDefault="00285417" w:rsidP="00DC1333">
            <w:pPr>
              <w:rPr>
                <w:sz w:val="16"/>
                <w:szCs w:val="16"/>
              </w:rPr>
            </w:pPr>
          </w:p>
          <w:p w:rsidR="00285417" w:rsidRPr="00CA51CD" w:rsidRDefault="00285417" w:rsidP="00DC1333">
            <w:pPr>
              <w:autoSpaceDE w:val="0"/>
              <w:autoSpaceDN w:val="0"/>
              <w:adjustRightInd w:val="0"/>
              <w:ind w:left="-50" w:right="-96"/>
              <w:rPr>
                <w:sz w:val="16"/>
                <w:szCs w:val="16"/>
              </w:rPr>
            </w:pPr>
            <w:r w:rsidRPr="00CA51CD">
              <w:rPr>
                <w:sz w:val="16"/>
                <w:szCs w:val="16"/>
              </w:rPr>
              <w:t>ii) Aumento del 10% en el número de visitantes de la sección del sitio web dedicada a la Revista de la OMPI</w:t>
            </w:r>
          </w:p>
        </w:tc>
        <w:tc>
          <w:tcPr>
            <w:tcW w:w="1124" w:type="pct"/>
            <w:shd w:val="clear" w:color="auto" w:fill="FFFFFF"/>
            <w:tcMar>
              <w:top w:w="110" w:type="dxa"/>
            </w:tcMar>
          </w:tcPr>
          <w:p w:rsidR="00285417" w:rsidRPr="00CA51CD" w:rsidRDefault="00285417" w:rsidP="00DC1333">
            <w:pPr>
              <w:rPr>
                <w:sz w:val="16"/>
                <w:szCs w:val="16"/>
                <w:lang w:bidi="th-TH"/>
              </w:rPr>
            </w:pPr>
            <w:r w:rsidRPr="00CA51CD">
              <w:rPr>
                <w:sz w:val="16"/>
                <w:szCs w:val="16"/>
                <w:lang w:bidi="th-TH"/>
              </w:rPr>
              <w:t>i) A finales del bienio las nuevas herramientas y metodologías estadísticas por Internet seguían en proceso de creación debido a un retraso en la ejecución del proyecto.</w:t>
            </w:r>
          </w:p>
          <w:p w:rsidR="00285417" w:rsidRPr="00CA51CD" w:rsidRDefault="00285417" w:rsidP="00DC1333">
            <w:pPr>
              <w:rPr>
                <w:sz w:val="16"/>
                <w:szCs w:val="16"/>
              </w:rPr>
            </w:pPr>
          </w:p>
          <w:p w:rsidR="00285417" w:rsidRPr="00CA51CD" w:rsidRDefault="00285417" w:rsidP="00DC1333">
            <w:pPr>
              <w:rPr>
                <w:sz w:val="16"/>
                <w:szCs w:val="16"/>
              </w:rPr>
            </w:pPr>
            <w:r w:rsidRPr="00CA51CD">
              <w:rPr>
                <w:sz w:val="16"/>
                <w:szCs w:val="16"/>
                <w:lang w:bidi="th-TH"/>
              </w:rPr>
              <w:t>ii) 1.024.787 visitas únicas al sitio web de la Revista de la OMPI en 2014/15, lo que supone un aumento del 19,2% en comparación con 2012/13.</w:t>
            </w:r>
          </w:p>
        </w:tc>
        <w:tc>
          <w:tcPr>
            <w:tcW w:w="674" w:type="pct"/>
            <w:tcMar>
              <w:top w:w="110" w:type="dxa"/>
            </w:tcMar>
          </w:tcPr>
          <w:p w:rsidR="00285417" w:rsidRPr="00CA51CD" w:rsidRDefault="00285417" w:rsidP="00DC1333">
            <w:pPr>
              <w:keepNext/>
              <w:keepLines/>
              <w:jc w:val="center"/>
              <w:rPr>
                <w:b/>
                <w:sz w:val="16"/>
                <w:szCs w:val="16"/>
              </w:rPr>
            </w:pPr>
            <w:r w:rsidRPr="00CA51CD">
              <w:rPr>
                <w:b/>
                <w:bCs/>
                <w:color w:val="808080"/>
                <w:sz w:val="16"/>
                <w:szCs w:val="16"/>
              </w:rPr>
              <w:t>No mensurable</w:t>
            </w:r>
          </w:p>
          <w:p w:rsidR="00285417" w:rsidRPr="00CA51CD" w:rsidRDefault="00285417" w:rsidP="00DC1333">
            <w:pPr>
              <w:keepNext/>
              <w:keepLines/>
              <w:ind w:left="-108"/>
              <w:jc w:val="center"/>
              <w:rPr>
                <w:b/>
                <w:bCs/>
                <w:color w:val="0070C0"/>
                <w:sz w:val="16"/>
                <w:szCs w:val="16"/>
              </w:rPr>
            </w:pPr>
          </w:p>
          <w:p w:rsidR="00285417" w:rsidRPr="00CA51CD" w:rsidRDefault="00285417" w:rsidP="00DC1333">
            <w:pPr>
              <w:keepNext/>
              <w:keepLines/>
              <w:jc w:val="center"/>
              <w:rPr>
                <w:b/>
                <w:bCs/>
                <w:color w:val="0070C0"/>
                <w:sz w:val="16"/>
                <w:szCs w:val="16"/>
              </w:rPr>
            </w:pPr>
          </w:p>
          <w:p w:rsidR="00285417" w:rsidRPr="00CA51CD" w:rsidRDefault="00285417" w:rsidP="00DC1333">
            <w:pPr>
              <w:keepNext/>
              <w:keepLines/>
              <w:jc w:val="center"/>
              <w:rPr>
                <w:b/>
                <w:bCs/>
                <w:color w:val="0070C0"/>
                <w:sz w:val="16"/>
                <w:szCs w:val="16"/>
              </w:rPr>
            </w:pPr>
          </w:p>
          <w:p w:rsidR="00285417" w:rsidRPr="00CA51CD" w:rsidRDefault="00285417" w:rsidP="00DC1333">
            <w:pPr>
              <w:keepNext/>
              <w:keepLines/>
              <w:jc w:val="center"/>
              <w:rPr>
                <w:b/>
                <w:bCs/>
                <w:color w:val="0070C0"/>
                <w:sz w:val="16"/>
                <w:szCs w:val="16"/>
              </w:rPr>
            </w:pPr>
          </w:p>
          <w:p w:rsidR="00285417" w:rsidRPr="00CA51CD" w:rsidRDefault="00285417" w:rsidP="00DC1333">
            <w:pPr>
              <w:keepNext/>
              <w:keepLines/>
              <w:jc w:val="center"/>
              <w:rPr>
                <w:b/>
                <w:bCs/>
                <w:color w:val="0070C0"/>
                <w:sz w:val="16"/>
                <w:szCs w:val="16"/>
              </w:rPr>
            </w:pPr>
          </w:p>
          <w:p w:rsidR="00285417" w:rsidRPr="00CA51CD" w:rsidRDefault="00285417" w:rsidP="00DC1333">
            <w:pPr>
              <w:keepNext/>
              <w:keepLines/>
              <w:jc w:val="center"/>
              <w:rPr>
                <w:b/>
                <w:bCs/>
                <w:color w:val="0070C0"/>
                <w:sz w:val="16"/>
                <w:szCs w:val="16"/>
              </w:rPr>
            </w:pPr>
          </w:p>
          <w:p w:rsidR="00285417" w:rsidRPr="00CA51CD" w:rsidRDefault="00285417" w:rsidP="00DC1333">
            <w:pPr>
              <w:keepNext/>
              <w:keepLines/>
              <w:jc w:val="center"/>
              <w:rPr>
                <w:b/>
                <w:bCs/>
                <w:color w:val="0070C0"/>
                <w:sz w:val="16"/>
                <w:szCs w:val="16"/>
              </w:rPr>
            </w:pPr>
          </w:p>
          <w:p w:rsidR="00285417" w:rsidRPr="00CA51CD" w:rsidRDefault="00285417" w:rsidP="00DC1333">
            <w:pPr>
              <w:keepNext/>
              <w:keepLines/>
              <w:jc w:val="center"/>
              <w:rPr>
                <w:b/>
                <w:bCs/>
                <w:color w:val="0070C0"/>
                <w:sz w:val="16"/>
                <w:szCs w:val="16"/>
              </w:rPr>
            </w:pPr>
          </w:p>
          <w:p w:rsidR="00285417" w:rsidRPr="00CA51CD" w:rsidRDefault="00285417" w:rsidP="00DC1333">
            <w:pPr>
              <w:keepNext/>
              <w:keepLines/>
              <w:ind w:left="-108"/>
              <w:jc w:val="center"/>
              <w:rPr>
                <w:b/>
                <w:color w:val="0070C0"/>
                <w:sz w:val="16"/>
                <w:szCs w:val="16"/>
              </w:rPr>
            </w:pPr>
            <w:r w:rsidRPr="00CA51CD">
              <w:rPr>
                <w:b/>
                <w:color w:val="00B050"/>
                <w:sz w:val="16"/>
                <w:szCs w:val="16"/>
              </w:rPr>
              <w:t>Plenamente logrado</w:t>
            </w:r>
          </w:p>
        </w:tc>
      </w:tr>
      <w:tr w:rsidR="00285417" w:rsidRPr="00CA51CD" w:rsidTr="00DC1333">
        <w:tc>
          <w:tcPr>
            <w:tcW w:w="1103" w:type="pct"/>
          </w:tcPr>
          <w:p w:rsidR="00285417" w:rsidRPr="00CA51CD" w:rsidRDefault="00285417" w:rsidP="00DC1333">
            <w:pPr>
              <w:rPr>
                <w:sz w:val="16"/>
                <w:szCs w:val="16"/>
              </w:rPr>
            </w:pPr>
            <w:r w:rsidRPr="00CA51CD">
              <w:rPr>
                <w:sz w:val="16"/>
                <w:szCs w:val="16"/>
              </w:rPr>
              <w:lastRenderedPageBreak/>
              <w:t>Porcentaje de usuarios satisfechos con el sitio web de la OMPI</w:t>
            </w:r>
          </w:p>
        </w:tc>
        <w:tc>
          <w:tcPr>
            <w:tcW w:w="1349" w:type="pct"/>
            <w:shd w:val="clear" w:color="auto" w:fill="auto"/>
          </w:tcPr>
          <w:p w:rsidR="00285417" w:rsidRPr="00CA51CD" w:rsidRDefault="00285417" w:rsidP="00DC1333">
            <w:pPr>
              <w:rPr>
                <w:sz w:val="16"/>
                <w:szCs w:val="16"/>
              </w:rPr>
            </w:pPr>
            <w:r w:rsidRPr="00CA51CD">
              <w:rPr>
                <w:sz w:val="16"/>
                <w:szCs w:val="16"/>
              </w:rPr>
              <w:t>Por determinar</w:t>
            </w:r>
          </w:p>
        </w:tc>
        <w:tc>
          <w:tcPr>
            <w:tcW w:w="750" w:type="pct"/>
            <w:tcMar>
              <w:top w:w="110" w:type="dxa"/>
            </w:tcMar>
          </w:tcPr>
          <w:p w:rsidR="00285417" w:rsidRPr="00CA51CD" w:rsidRDefault="00285417" w:rsidP="00DC1333">
            <w:pPr>
              <w:autoSpaceDE w:val="0"/>
              <w:autoSpaceDN w:val="0"/>
              <w:adjustRightInd w:val="0"/>
              <w:ind w:left="-50" w:right="-96"/>
              <w:rPr>
                <w:sz w:val="16"/>
                <w:szCs w:val="16"/>
              </w:rPr>
            </w:pPr>
            <w:r w:rsidRPr="00CA51CD">
              <w:rPr>
                <w:sz w:val="16"/>
                <w:szCs w:val="16"/>
              </w:rPr>
              <w:t>≥ 60% están satisfechos</w:t>
            </w:r>
          </w:p>
        </w:tc>
        <w:tc>
          <w:tcPr>
            <w:tcW w:w="1124" w:type="pct"/>
            <w:shd w:val="clear" w:color="auto" w:fill="FFFFFF"/>
            <w:tcMar>
              <w:top w:w="110" w:type="dxa"/>
            </w:tcMar>
          </w:tcPr>
          <w:p w:rsidR="00285417" w:rsidRPr="00CA51CD" w:rsidRDefault="00285417" w:rsidP="00DC1333">
            <w:pPr>
              <w:rPr>
                <w:sz w:val="16"/>
                <w:szCs w:val="16"/>
              </w:rPr>
            </w:pPr>
            <w:r w:rsidRPr="00CA51CD">
              <w:rPr>
                <w:sz w:val="16"/>
                <w:szCs w:val="16"/>
                <w:lang w:bidi="th-TH"/>
              </w:rPr>
              <w:t>No se llevó a cabo ninguna encuesta en 2014/15.</w:t>
            </w:r>
          </w:p>
        </w:tc>
        <w:tc>
          <w:tcPr>
            <w:tcW w:w="674" w:type="pct"/>
            <w:tcMar>
              <w:top w:w="110" w:type="dxa"/>
            </w:tcMar>
          </w:tcPr>
          <w:p w:rsidR="00285417" w:rsidRPr="00CA51CD" w:rsidRDefault="00285417" w:rsidP="00DC1333">
            <w:pPr>
              <w:keepNext/>
              <w:keepLines/>
              <w:jc w:val="center"/>
              <w:rPr>
                <w:b/>
                <w:sz w:val="16"/>
                <w:szCs w:val="16"/>
              </w:rPr>
            </w:pPr>
            <w:r w:rsidRPr="00CA51CD">
              <w:rPr>
                <w:b/>
                <w:bCs/>
                <w:color w:val="808080"/>
                <w:sz w:val="16"/>
                <w:szCs w:val="16"/>
              </w:rPr>
              <w:t>No mensurable</w:t>
            </w:r>
          </w:p>
        </w:tc>
      </w:tr>
      <w:tr w:rsidR="00285417" w:rsidRPr="00CA51CD" w:rsidTr="00DC1333">
        <w:tc>
          <w:tcPr>
            <w:tcW w:w="1103" w:type="pct"/>
            <w:tcBorders>
              <w:bottom w:val="single" w:sz="4" w:space="0" w:color="auto"/>
            </w:tcBorders>
          </w:tcPr>
          <w:p w:rsidR="00285417" w:rsidRPr="00CA51CD" w:rsidRDefault="00285417" w:rsidP="00DC1333">
            <w:pPr>
              <w:keepNext/>
              <w:rPr>
                <w:sz w:val="16"/>
                <w:szCs w:val="16"/>
              </w:rPr>
            </w:pPr>
            <w:r w:rsidRPr="00CA51CD">
              <w:rPr>
                <w:sz w:val="16"/>
                <w:szCs w:val="16"/>
              </w:rPr>
              <w:t>Aumento de la influencia y la participación de la OMPI en los medios sociales</w:t>
            </w:r>
          </w:p>
        </w:tc>
        <w:tc>
          <w:tcPr>
            <w:tcW w:w="1349" w:type="pct"/>
            <w:tcBorders>
              <w:bottom w:val="single" w:sz="4" w:space="0" w:color="auto"/>
            </w:tcBorders>
            <w:shd w:val="clear" w:color="auto" w:fill="auto"/>
          </w:tcPr>
          <w:p w:rsidR="00285417" w:rsidRPr="00CA51CD" w:rsidRDefault="00285417" w:rsidP="00DC1333">
            <w:pPr>
              <w:keepNext/>
              <w:rPr>
                <w:i/>
                <w:color w:val="002060"/>
                <w:sz w:val="16"/>
                <w:szCs w:val="16"/>
              </w:rPr>
            </w:pPr>
            <w:r w:rsidRPr="00CA51CD">
              <w:rPr>
                <w:i/>
                <w:color w:val="002060"/>
                <w:sz w:val="16"/>
                <w:szCs w:val="16"/>
              </w:rPr>
              <w:t xml:space="preserve">Referencia actualizada a fines de 2013:  </w:t>
            </w:r>
          </w:p>
          <w:p w:rsidR="00285417" w:rsidRPr="00CA51CD" w:rsidRDefault="00285417" w:rsidP="00DC1333">
            <w:pPr>
              <w:keepNext/>
              <w:rPr>
                <w:color w:val="002060"/>
                <w:sz w:val="16"/>
                <w:szCs w:val="16"/>
              </w:rPr>
            </w:pPr>
            <w:r w:rsidRPr="00CA51CD">
              <w:rPr>
                <w:color w:val="002060"/>
                <w:sz w:val="16"/>
                <w:szCs w:val="16"/>
              </w:rPr>
              <w:t>i) Índice de influencia “</w:t>
            </w:r>
            <w:proofErr w:type="spellStart"/>
            <w:r w:rsidRPr="00CA51CD">
              <w:rPr>
                <w:color w:val="002060"/>
                <w:sz w:val="16"/>
                <w:szCs w:val="16"/>
              </w:rPr>
              <w:t>Klout</w:t>
            </w:r>
            <w:proofErr w:type="spellEnd"/>
            <w:r w:rsidRPr="00CA51CD">
              <w:rPr>
                <w:color w:val="002060"/>
                <w:sz w:val="16"/>
                <w:szCs w:val="16"/>
              </w:rPr>
              <w:t>”  de 64 (sobre 100) a fines de 2013</w:t>
            </w:r>
          </w:p>
          <w:p w:rsidR="00285417" w:rsidRPr="00CA51CD" w:rsidRDefault="00285417" w:rsidP="00DC1333">
            <w:pPr>
              <w:keepNext/>
              <w:rPr>
                <w:color w:val="002060"/>
                <w:sz w:val="16"/>
                <w:szCs w:val="16"/>
              </w:rPr>
            </w:pPr>
            <w:r w:rsidRPr="00CA51CD">
              <w:rPr>
                <w:color w:val="002060"/>
                <w:sz w:val="16"/>
                <w:szCs w:val="16"/>
              </w:rPr>
              <w:t xml:space="preserve">ii) 6.744 </w:t>
            </w:r>
            <w:proofErr w:type="spellStart"/>
            <w:r w:rsidRPr="00CA51CD">
              <w:rPr>
                <w:color w:val="002060"/>
                <w:sz w:val="16"/>
                <w:szCs w:val="16"/>
              </w:rPr>
              <w:t>retuiteos</w:t>
            </w:r>
            <w:proofErr w:type="spellEnd"/>
            <w:r w:rsidRPr="00CA51CD">
              <w:rPr>
                <w:color w:val="002060"/>
                <w:sz w:val="16"/>
                <w:szCs w:val="16"/>
              </w:rPr>
              <w:t xml:space="preserve"> en total en 2013</w:t>
            </w:r>
          </w:p>
          <w:p w:rsidR="00285417" w:rsidRPr="00CA51CD" w:rsidRDefault="00285417" w:rsidP="00DC1333">
            <w:pPr>
              <w:keepNext/>
              <w:rPr>
                <w:sz w:val="8"/>
                <w:szCs w:val="8"/>
              </w:rPr>
            </w:pPr>
          </w:p>
          <w:p w:rsidR="00285417" w:rsidRPr="00CA51CD" w:rsidRDefault="00285417" w:rsidP="00DC1333">
            <w:pPr>
              <w:keepNext/>
              <w:rPr>
                <w:iCs/>
                <w:sz w:val="16"/>
                <w:szCs w:val="16"/>
              </w:rPr>
            </w:pPr>
            <w:r w:rsidRPr="00CA51CD">
              <w:rPr>
                <w:i/>
                <w:sz w:val="16"/>
                <w:szCs w:val="16"/>
              </w:rPr>
              <w:t>Referencia original en el presupuesto de 2014/15:</w:t>
            </w:r>
            <w:r w:rsidRPr="00CA51CD">
              <w:rPr>
                <w:i/>
                <w:iCs/>
                <w:sz w:val="16"/>
                <w:szCs w:val="16"/>
              </w:rPr>
              <w:t xml:space="preserve">  </w:t>
            </w:r>
          </w:p>
          <w:p w:rsidR="00285417" w:rsidRPr="00CA51CD" w:rsidRDefault="00285417" w:rsidP="00DC1333">
            <w:pPr>
              <w:keepNext/>
              <w:rPr>
                <w:sz w:val="16"/>
                <w:szCs w:val="16"/>
              </w:rPr>
            </w:pPr>
            <w:r w:rsidRPr="00CA51CD">
              <w:rPr>
                <w:sz w:val="16"/>
                <w:szCs w:val="16"/>
              </w:rPr>
              <w:t>i) Índice de influencia “</w:t>
            </w:r>
            <w:proofErr w:type="spellStart"/>
            <w:r w:rsidRPr="00CA51CD">
              <w:rPr>
                <w:sz w:val="16"/>
                <w:szCs w:val="16"/>
              </w:rPr>
              <w:t>Klout</w:t>
            </w:r>
            <w:proofErr w:type="spellEnd"/>
            <w:r w:rsidRPr="00CA51CD">
              <w:rPr>
                <w:sz w:val="16"/>
                <w:szCs w:val="16"/>
              </w:rPr>
              <w:t>”  de 62 al 1 de enero de 2013.</w:t>
            </w:r>
          </w:p>
          <w:p w:rsidR="00285417" w:rsidRPr="00CA51CD" w:rsidRDefault="00285417" w:rsidP="00DC1333">
            <w:pPr>
              <w:keepNext/>
              <w:rPr>
                <w:sz w:val="16"/>
                <w:szCs w:val="16"/>
              </w:rPr>
            </w:pPr>
            <w:r w:rsidRPr="00CA51CD">
              <w:rPr>
                <w:sz w:val="16"/>
                <w:szCs w:val="16"/>
              </w:rPr>
              <w:t xml:space="preserve">ii) 3.112 </w:t>
            </w:r>
            <w:proofErr w:type="spellStart"/>
            <w:r w:rsidRPr="00CA51CD">
              <w:rPr>
                <w:sz w:val="16"/>
                <w:szCs w:val="16"/>
              </w:rPr>
              <w:t>retuiteos</w:t>
            </w:r>
            <w:proofErr w:type="spellEnd"/>
            <w:r w:rsidRPr="00CA51CD">
              <w:rPr>
                <w:sz w:val="16"/>
                <w:szCs w:val="16"/>
              </w:rPr>
              <w:t xml:space="preserve"> en total en 2012</w:t>
            </w:r>
          </w:p>
          <w:p w:rsidR="00285417" w:rsidRPr="00CA51CD" w:rsidRDefault="00285417" w:rsidP="00DC1333">
            <w:pPr>
              <w:keepNext/>
              <w:rPr>
                <w:sz w:val="16"/>
                <w:szCs w:val="16"/>
              </w:rPr>
            </w:pPr>
          </w:p>
        </w:tc>
        <w:tc>
          <w:tcPr>
            <w:tcW w:w="750" w:type="pct"/>
            <w:tcBorders>
              <w:bottom w:val="single" w:sz="4" w:space="0" w:color="auto"/>
            </w:tcBorders>
            <w:tcMar>
              <w:top w:w="110" w:type="dxa"/>
            </w:tcMar>
          </w:tcPr>
          <w:p w:rsidR="00285417" w:rsidRDefault="00285417" w:rsidP="00DC1333">
            <w:pPr>
              <w:keepNext/>
              <w:autoSpaceDE w:val="0"/>
              <w:autoSpaceDN w:val="0"/>
              <w:adjustRightInd w:val="0"/>
              <w:ind w:left="-50" w:right="-96"/>
              <w:rPr>
                <w:sz w:val="16"/>
                <w:szCs w:val="16"/>
              </w:rPr>
            </w:pPr>
            <w:r w:rsidRPr="00CA51CD">
              <w:rPr>
                <w:sz w:val="16"/>
                <w:szCs w:val="16"/>
              </w:rPr>
              <w:t>i) Índice de influencia “</w:t>
            </w:r>
            <w:proofErr w:type="spellStart"/>
            <w:r w:rsidRPr="00CA51CD">
              <w:rPr>
                <w:sz w:val="16"/>
                <w:szCs w:val="16"/>
              </w:rPr>
              <w:t>Klout</w:t>
            </w:r>
            <w:proofErr w:type="spellEnd"/>
            <w:r w:rsidRPr="00CA51CD">
              <w:rPr>
                <w:sz w:val="16"/>
                <w:szCs w:val="16"/>
              </w:rPr>
              <w:t>”  de 73</w:t>
            </w:r>
            <w:r w:rsidRPr="00CA51CD">
              <w:rPr>
                <w:sz w:val="16"/>
                <w:szCs w:val="16"/>
              </w:rPr>
              <w:br/>
            </w:r>
          </w:p>
          <w:p w:rsidR="00285417" w:rsidRDefault="00285417" w:rsidP="00DC1333">
            <w:pPr>
              <w:keepNext/>
              <w:autoSpaceDE w:val="0"/>
              <w:autoSpaceDN w:val="0"/>
              <w:adjustRightInd w:val="0"/>
              <w:ind w:left="-50" w:right="-96"/>
              <w:rPr>
                <w:sz w:val="16"/>
                <w:szCs w:val="16"/>
              </w:rPr>
            </w:pPr>
          </w:p>
          <w:p w:rsidR="00285417" w:rsidRDefault="00285417" w:rsidP="00DC1333">
            <w:pPr>
              <w:keepNext/>
              <w:autoSpaceDE w:val="0"/>
              <w:autoSpaceDN w:val="0"/>
              <w:adjustRightInd w:val="0"/>
              <w:ind w:left="-50" w:right="-96"/>
              <w:rPr>
                <w:sz w:val="16"/>
                <w:szCs w:val="16"/>
              </w:rPr>
            </w:pPr>
          </w:p>
          <w:p w:rsidR="00285417" w:rsidRDefault="00285417" w:rsidP="00DC1333">
            <w:pPr>
              <w:keepNext/>
              <w:autoSpaceDE w:val="0"/>
              <w:autoSpaceDN w:val="0"/>
              <w:adjustRightInd w:val="0"/>
              <w:ind w:left="-50" w:right="-96"/>
              <w:rPr>
                <w:sz w:val="16"/>
                <w:szCs w:val="16"/>
              </w:rPr>
            </w:pPr>
          </w:p>
          <w:p w:rsidR="00285417" w:rsidRDefault="00285417" w:rsidP="00DC1333">
            <w:pPr>
              <w:keepNext/>
              <w:autoSpaceDE w:val="0"/>
              <w:autoSpaceDN w:val="0"/>
              <w:adjustRightInd w:val="0"/>
              <w:ind w:left="-50" w:right="-96"/>
              <w:rPr>
                <w:sz w:val="16"/>
                <w:szCs w:val="16"/>
              </w:rPr>
            </w:pPr>
          </w:p>
          <w:p w:rsidR="00285417" w:rsidRDefault="00285417" w:rsidP="00DC1333">
            <w:pPr>
              <w:keepNext/>
              <w:autoSpaceDE w:val="0"/>
              <w:autoSpaceDN w:val="0"/>
              <w:adjustRightInd w:val="0"/>
              <w:ind w:left="-50" w:right="-96"/>
              <w:rPr>
                <w:sz w:val="16"/>
                <w:szCs w:val="16"/>
              </w:rPr>
            </w:pPr>
          </w:p>
          <w:p w:rsidR="00285417" w:rsidRDefault="00285417" w:rsidP="00DC1333">
            <w:pPr>
              <w:keepNext/>
              <w:autoSpaceDE w:val="0"/>
              <w:autoSpaceDN w:val="0"/>
              <w:adjustRightInd w:val="0"/>
              <w:ind w:left="-50" w:right="-96"/>
              <w:rPr>
                <w:sz w:val="16"/>
                <w:szCs w:val="16"/>
              </w:rPr>
            </w:pPr>
          </w:p>
          <w:p w:rsidR="00285417" w:rsidRDefault="00285417" w:rsidP="00DC1333">
            <w:pPr>
              <w:keepNext/>
              <w:autoSpaceDE w:val="0"/>
              <w:autoSpaceDN w:val="0"/>
              <w:adjustRightInd w:val="0"/>
              <w:ind w:left="-50" w:right="-96"/>
              <w:rPr>
                <w:sz w:val="16"/>
                <w:szCs w:val="16"/>
              </w:rPr>
            </w:pPr>
          </w:p>
          <w:p w:rsidR="00285417" w:rsidRPr="00CA51CD" w:rsidRDefault="00285417" w:rsidP="00DC1333">
            <w:pPr>
              <w:keepNext/>
              <w:autoSpaceDE w:val="0"/>
              <w:autoSpaceDN w:val="0"/>
              <w:adjustRightInd w:val="0"/>
              <w:ind w:left="-50" w:right="-96"/>
              <w:rPr>
                <w:sz w:val="16"/>
                <w:szCs w:val="16"/>
              </w:rPr>
            </w:pPr>
          </w:p>
          <w:p w:rsidR="00285417" w:rsidRPr="00CA51CD" w:rsidRDefault="00285417" w:rsidP="00DC1333">
            <w:pPr>
              <w:keepNext/>
              <w:autoSpaceDE w:val="0"/>
              <w:autoSpaceDN w:val="0"/>
              <w:adjustRightInd w:val="0"/>
              <w:ind w:left="-50" w:right="-96"/>
              <w:rPr>
                <w:sz w:val="16"/>
                <w:szCs w:val="16"/>
              </w:rPr>
            </w:pPr>
            <w:r w:rsidRPr="00CA51CD">
              <w:rPr>
                <w:sz w:val="16"/>
                <w:szCs w:val="16"/>
              </w:rPr>
              <w:t xml:space="preserve">ii) Aumento del 30% en el número total de </w:t>
            </w:r>
            <w:proofErr w:type="spellStart"/>
            <w:r w:rsidRPr="00CA51CD">
              <w:rPr>
                <w:sz w:val="16"/>
                <w:szCs w:val="16"/>
              </w:rPr>
              <w:t>retuiteos</w:t>
            </w:r>
            <w:proofErr w:type="spellEnd"/>
            <w:r w:rsidRPr="00CA51CD">
              <w:rPr>
                <w:sz w:val="16"/>
                <w:szCs w:val="16"/>
              </w:rPr>
              <w:t xml:space="preserve"> anuales</w:t>
            </w:r>
          </w:p>
        </w:tc>
        <w:tc>
          <w:tcPr>
            <w:tcW w:w="1124" w:type="pct"/>
            <w:tcBorders>
              <w:bottom w:val="single" w:sz="4" w:space="0" w:color="auto"/>
            </w:tcBorders>
            <w:shd w:val="clear" w:color="auto" w:fill="FFFFFF"/>
            <w:tcMar>
              <w:top w:w="110" w:type="dxa"/>
            </w:tcMar>
          </w:tcPr>
          <w:p w:rsidR="00285417" w:rsidRPr="00CA51CD" w:rsidRDefault="00285417" w:rsidP="00DC1333">
            <w:pPr>
              <w:keepNext/>
              <w:rPr>
                <w:i/>
                <w:sz w:val="16"/>
                <w:szCs w:val="16"/>
              </w:rPr>
            </w:pPr>
            <w:r w:rsidRPr="00CA51CD">
              <w:rPr>
                <w:sz w:val="16"/>
                <w:szCs w:val="16"/>
              </w:rPr>
              <w:t>i) Índice de influencia “</w:t>
            </w:r>
            <w:proofErr w:type="spellStart"/>
            <w:r w:rsidRPr="00CA51CD">
              <w:rPr>
                <w:sz w:val="16"/>
                <w:szCs w:val="16"/>
              </w:rPr>
              <w:t>Klout</w:t>
            </w:r>
            <w:proofErr w:type="spellEnd"/>
            <w:r w:rsidRPr="00CA51CD">
              <w:rPr>
                <w:sz w:val="16"/>
                <w:szCs w:val="16"/>
              </w:rPr>
              <w:t xml:space="preserve">” de 66 a finales de 2015, y 64 a finales de 2014.  </w:t>
            </w:r>
            <w:r w:rsidR="00044DA1">
              <w:rPr>
                <w:i/>
                <w:sz w:val="16"/>
                <w:szCs w:val="16"/>
              </w:rPr>
              <w:t>Nota</w:t>
            </w:r>
            <w:proofErr w:type="gramStart"/>
            <w:r w:rsidR="00044DA1">
              <w:rPr>
                <w:i/>
                <w:sz w:val="16"/>
                <w:szCs w:val="16"/>
              </w:rPr>
              <w:t>:  Este</w:t>
            </w:r>
            <w:proofErr w:type="gramEnd"/>
            <w:r w:rsidR="00044DA1">
              <w:rPr>
                <w:i/>
                <w:sz w:val="16"/>
                <w:szCs w:val="16"/>
              </w:rPr>
              <w:t xml:space="preserve"> indicador ha sido discontinuado </w:t>
            </w:r>
            <w:r w:rsidRPr="00CA51CD">
              <w:rPr>
                <w:i/>
                <w:sz w:val="16"/>
                <w:szCs w:val="16"/>
              </w:rPr>
              <w:t>debido a que la capacidad de comparación y la pertinencia han disminuido a raíz de los cambios introducidos en la metodología.</w:t>
            </w:r>
          </w:p>
          <w:p w:rsidR="00285417" w:rsidRPr="00CA51CD" w:rsidRDefault="00285417" w:rsidP="00DC1333">
            <w:pPr>
              <w:keepNext/>
              <w:rPr>
                <w:sz w:val="16"/>
                <w:szCs w:val="16"/>
              </w:rPr>
            </w:pPr>
          </w:p>
          <w:p w:rsidR="00285417" w:rsidRPr="00CA51CD" w:rsidRDefault="00285417" w:rsidP="00DC1333">
            <w:pPr>
              <w:keepNext/>
              <w:rPr>
                <w:sz w:val="16"/>
                <w:szCs w:val="16"/>
              </w:rPr>
            </w:pPr>
            <w:r w:rsidRPr="00CA51CD">
              <w:rPr>
                <w:sz w:val="16"/>
                <w:szCs w:val="16"/>
              </w:rPr>
              <w:t xml:space="preserve">ii) Promedio anual de 13.362 </w:t>
            </w:r>
            <w:proofErr w:type="spellStart"/>
            <w:r w:rsidRPr="00CA51CD">
              <w:rPr>
                <w:sz w:val="16"/>
                <w:szCs w:val="16"/>
              </w:rPr>
              <w:t>retuiteos</w:t>
            </w:r>
            <w:proofErr w:type="spellEnd"/>
            <w:r w:rsidRPr="00CA51CD">
              <w:rPr>
                <w:sz w:val="16"/>
                <w:szCs w:val="16"/>
              </w:rPr>
              <w:t>, es decir, aumento del 171% en comparación con el bienio anterior.</w:t>
            </w:r>
          </w:p>
        </w:tc>
        <w:tc>
          <w:tcPr>
            <w:tcW w:w="674" w:type="pct"/>
            <w:tcBorders>
              <w:bottom w:val="single" w:sz="4" w:space="0" w:color="auto"/>
            </w:tcBorders>
            <w:tcMar>
              <w:top w:w="110" w:type="dxa"/>
            </w:tcMar>
          </w:tcPr>
          <w:p w:rsidR="00285417" w:rsidRPr="00CA51CD" w:rsidRDefault="00044DA1" w:rsidP="00DC1333">
            <w:pPr>
              <w:keepNext/>
              <w:keepLines/>
              <w:ind w:left="-108"/>
              <w:jc w:val="center"/>
              <w:rPr>
                <w:b/>
                <w:bCs/>
                <w:color w:val="FF0000"/>
                <w:sz w:val="16"/>
                <w:szCs w:val="16"/>
              </w:rPr>
            </w:pPr>
            <w:r>
              <w:rPr>
                <w:b/>
                <w:sz w:val="16"/>
                <w:szCs w:val="16"/>
              </w:rPr>
              <w:t>Discontinuado</w:t>
            </w:r>
          </w:p>
          <w:p w:rsidR="00285417" w:rsidRPr="00CA51CD" w:rsidRDefault="00285417" w:rsidP="00DC1333">
            <w:pPr>
              <w:keepNext/>
              <w:keepLines/>
              <w:jc w:val="center"/>
              <w:rPr>
                <w:b/>
                <w:bCs/>
                <w:sz w:val="16"/>
                <w:szCs w:val="16"/>
              </w:rPr>
            </w:pPr>
          </w:p>
          <w:p w:rsidR="00285417" w:rsidRPr="00CA51CD" w:rsidRDefault="00285417" w:rsidP="00DC1333">
            <w:pPr>
              <w:keepNext/>
              <w:keepLines/>
              <w:jc w:val="center"/>
              <w:rPr>
                <w:b/>
                <w:bCs/>
                <w:sz w:val="16"/>
                <w:szCs w:val="16"/>
              </w:rPr>
            </w:pPr>
          </w:p>
          <w:p w:rsidR="00285417" w:rsidRPr="00CA51CD" w:rsidRDefault="00285417" w:rsidP="00DC1333">
            <w:pPr>
              <w:keepNext/>
              <w:keepLines/>
              <w:jc w:val="center"/>
              <w:rPr>
                <w:b/>
                <w:bCs/>
                <w:sz w:val="16"/>
                <w:szCs w:val="16"/>
              </w:rPr>
            </w:pPr>
          </w:p>
          <w:p w:rsidR="00285417" w:rsidRPr="00CA51CD" w:rsidRDefault="00285417" w:rsidP="00DC1333">
            <w:pPr>
              <w:keepNext/>
              <w:keepLines/>
              <w:jc w:val="center"/>
              <w:rPr>
                <w:b/>
                <w:bCs/>
                <w:sz w:val="16"/>
                <w:szCs w:val="16"/>
              </w:rPr>
            </w:pPr>
          </w:p>
          <w:p w:rsidR="00285417" w:rsidRPr="00CA51CD" w:rsidRDefault="00285417" w:rsidP="00DC1333">
            <w:pPr>
              <w:keepNext/>
              <w:keepLines/>
              <w:jc w:val="center"/>
              <w:rPr>
                <w:b/>
                <w:bCs/>
                <w:sz w:val="16"/>
                <w:szCs w:val="16"/>
              </w:rPr>
            </w:pPr>
          </w:p>
          <w:p w:rsidR="00285417" w:rsidRPr="00CA51CD" w:rsidRDefault="00285417" w:rsidP="00DC1333">
            <w:pPr>
              <w:keepNext/>
              <w:keepLines/>
              <w:jc w:val="center"/>
              <w:rPr>
                <w:b/>
                <w:bCs/>
                <w:sz w:val="16"/>
                <w:szCs w:val="16"/>
              </w:rPr>
            </w:pPr>
          </w:p>
          <w:p w:rsidR="00285417" w:rsidRPr="00CA51CD" w:rsidRDefault="00285417" w:rsidP="00DC1333">
            <w:pPr>
              <w:keepNext/>
              <w:keepLines/>
              <w:jc w:val="center"/>
              <w:rPr>
                <w:b/>
                <w:bCs/>
                <w:sz w:val="16"/>
                <w:szCs w:val="16"/>
              </w:rPr>
            </w:pPr>
          </w:p>
          <w:p w:rsidR="00285417" w:rsidRPr="00CA51CD" w:rsidRDefault="00285417" w:rsidP="00DC1333">
            <w:pPr>
              <w:keepNext/>
              <w:keepLines/>
              <w:jc w:val="center"/>
              <w:rPr>
                <w:b/>
                <w:bCs/>
                <w:sz w:val="16"/>
                <w:szCs w:val="16"/>
              </w:rPr>
            </w:pPr>
          </w:p>
          <w:p w:rsidR="00285417" w:rsidRPr="00CA51CD" w:rsidRDefault="00285417" w:rsidP="00DC1333">
            <w:pPr>
              <w:keepNext/>
              <w:keepLines/>
              <w:jc w:val="center"/>
              <w:rPr>
                <w:b/>
                <w:bCs/>
                <w:sz w:val="16"/>
                <w:szCs w:val="16"/>
              </w:rPr>
            </w:pPr>
          </w:p>
          <w:p w:rsidR="00285417" w:rsidRPr="00CA51CD" w:rsidRDefault="00285417" w:rsidP="00DC1333">
            <w:pPr>
              <w:keepNext/>
              <w:keepLines/>
              <w:jc w:val="center"/>
              <w:rPr>
                <w:b/>
                <w:bCs/>
                <w:sz w:val="16"/>
                <w:szCs w:val="16"/>
              </w:rPr>
            </w:pPr>
          </w:p>
          <w:p w:rsidR="00285417" w:rsidRPr="00CA51CD" w:rsidRDefault="00285417" w:rsidP="00DC1333">
            <w:pPr>
              <w:keepNext/>
              <w:keepLines/>
              <w:jc w:val="center"/>
              <w:rPr>
                <w:b/>
                <w:bCs/>
                <w:sz w:val="16"/>
                <w:szCs w:val="16"/>
              </w:rPr>
            </w:pPr>
          </w:p>
          <w:p w:rsidR="00285417" w:rsidRPr="00CA51CD" w:rsidRDefault="00285417" w:rsidP="00DC1333">
            <w:pPr>
              <w:keepNext/>
              <w:keepLines/>
              <w:jc w:val="center"/>
              <w:rPr>
                <w:b/>
                <w:bCs/>
                <w:sz w:val="16"/>
                <w:szCs w:val="16"/>
              </w:rPr>
            </w:pPr>
          </w:p>
          <w:p w:rsidR="00285417" w:rsidRPr="00CA51CD" w:rsidRDefault="00285417" w:rsidP="00DC1333">
            <w:pPr>
              <w:keepNext/>
              <w:keepLines/>
              <w:ind w:left="-108"/>
              <w:jc w:val="center"/>
              <w:rPr>
                <w:sz w:val="16"/>
                <w:szCs w:val="16"/>
              </w:rPr>
            </w:pPr>
            <w:r w:rsidRPr="00CA51CD">
              <w:rPr>
                <w:b/>
                <w:color w:val="00B050"/>
                <w:sz w:val="16"/>
                <w:szCs w:val="16"/>
              </w:rPr>
              <w:t>Plenamente logrado</w:t>
            </w:r>
          </w:p>
        </w:tc>
      </w:tr>
      <w:tr w:rsidR="00285417" w:rsidRPr="00CA51CD" w:rsidTr="00DC1333">
        <w:tc>
          <w:tcPr>
            <w:tcW w:w="5000" w:type="pct"/>
            <w:gridSpan w:val="5"/>
            <w:tcBorders>
              <w:top w:val="single" w:sz="4" w:space="0" w:color="auto"/>
              <w:bottom w:val="single" w:sz="4" w:space="0" w:color="auto"/>
            </w:tcBorders>
            <w:shd w:val="clear" w:color="auto" w:fill="C6D9F1" w:themeFill="text2" w:themeFillTint="33"/>
            <w:vAlign w:val="center"/>
          </w:tcPr>
          <w:p w:rsidR="00285417" w:rsidRPr="00CA51CD" w:rsidRDefault="00285417" w:rsidP="00DC1333">
            <w:pPr>
              <w:keepNext/>
              <w:keepLines/>
              <w:spacing w:before="120" w:after="120"/>
              <w:ind w:left="1985" w:hanging="1985"/>
              <w:rPr>
                <w:b/>
                <w:bCs/>
                <w:sz w:val="16"/>
                <w:szCs w:val="16"/>
              </w:rPr>
            </w:pPr>
            <w:r w:rsidRPr="00CA51CD">
              <w:rPr>
                <w:b/>
                <w:bCs/>
                <w:sz w:val="16"/>
                <w:szCs w:val="16"/>
              </w:rPr>
              <w:t>Resultado previsto:</w:t>
            </w:r>
            <w:r w:rsidRPr="00CA51CD">
              <w:rPr>
                <w:b/>
                <w:bCs/>
                <w:sz w:val="16"/>
                <w:szCs w:val="16"/>
              </w:rPr>
              <w:tab/>
            </w:r>
            <w:r w:rsidRPr="00CA51CD">
              <w:rPr>
                <w:bCs/>
                <w:sz w:val="16"/>
                <w:szCs w:val="16"/>
              </w:rPr>
              <w:t>VIII.2 Mejora en la prestación de servicios y la atención de consultas</w:t>
            </w:r>
          </w:p>
        </w:tc>
      </w:tr>
      <w:tr w:rsidR="00285417" w:rsidRPr="00CA51CD" w:rsidTr="00DC1333">
        <w:tc>
          <w:tcPr>
            <w:tcW w:w="1103" w:type="pct"/>
            <w:tcBorders>
              <w:top w:val="single" w:sz="4" w:space="0" w:color="auto"/>
            </w:tcBorders>
            <w:vAlign w:val="center"/>
          </w:tcPr>
          <w:p w:rsidR="00285417" w:rsidRPr="00CA51CD" w:rsidRDefault="00285417" w:rsidP="00DC1333">
            <w:pPr>
              <w:keepNext/>
              <w:keepLines/>
              <w:rPr>
                <w:sz w:val="16"/>
                <w:szCs w:val="16"/>
              </w:rPr>
            </w:pPr>
            <w:r w:rsidRPr="00CA51CD">
              <w:rPr>
                <w:b/>
                <w:sz w:val="16"/>
                <w:szCs w:val="16"/>
              </w:rPr>
              <w:t>Indicadores de rendimiento</w:t>
            </w:r>
          </w:p>
        </w:tc>
        <w:tc>
          <w:tcPr>
            <w:tcW w:w="1349" w:type="pct"/>
            <w:tcBorders>
              <w:top w:val="single" w:sz="4" w:space="0" w:color="auto"/>
            </w:tcBorders>
            <w:shd w:val="clear" w:color="auto" w:fill="auto"/>
            <w:vAlign w:val="center"/>
          </w:tcPr>
          <w:p w:rsidR="00285417" w:rsidRPr="00CA51CD" w:rsidRDefault="00285417" w:rsidP="00DC1333">
            <w:pPr>
              <w:keepNext/>
              <w:keepLines/>
              <w:rPr>
                <w:b/>
                <w:bCs/>
                <w:sz w:val="16"/>
                <w:szCs w:val="16"/>
              </w:rPr>
            </w:pPr>
            <w:r w:rsidRPr="00CA51CD">
              <w:rPr>
                <w:b/>
                <w:bCs/>
                <w:sz w:val="16"/>
                <w:szCs w:val="16"/>
              </w:rPr>
              <w:t>Referencia</w:t>
            </w:r>
          </w:p>
        </w:tc>
        <w:tc>
          <w:tcPr>
            <w:tcW w:w="750" w:type="pct"/>
            <w:tcBorders>
              <w:top w:val="single" w:sz="4" w:space="0" w:color="auto"/>
            </w:tcBorders>
            <w:tcMar>
              <w:top w:w="110" w:type="dxa"/>
            </w:tcMar>
            <w:vAlign w:val="center"/>
          </w:tcPr>
          <w:p w:rsidR="00285417" w:rsidRPr="00CA51CD" w:rsidRDefault="00285417" w:rsidP="00DC1333">
            <w:pPr>
              <w:rPr>
                <w:b/>
                <w:bCs/>
                <w:sz w:val="16"/>
                <w:szCs w:val="16"/>
              </w:rPr>
            </w:pPr>
            <w:r w:rsidRPr="00CA51CD">
              <w:rPr>
                <w:b/>
                <w:bCs/>
                <w:sz w:val="16"/>
                <w:szCs w:val="16"/>
              </w:rPr>
              <w:t>Objetivos</w:t>
            </w:r>
          </w:p>
        </w:tc>
        <w:tc>
          <w:tcPr>
            <w:tcW w:w="1124" w:type="pct"/>
            <w:tcBorders>
              <w:top w:val="single" w:sz="4" w:space="0" w:color="auto"/>
            </w:tcBorders>
            <w:shd w:val="clear" w:color="auto" w:fill="FFFFFF"/>
            <w:tcMar>
              <w:top w:w="110" w:type="dxa"/>
            </w:tcMar>
            <w:vAlign w:val="center"/>
          </w:tcPr>
          <w:p w:rsidR="00285417" w:rsidRPr="00CA51CD" w:rsidRDefault="00285417" w:rsidP="00DC1333">
            <w:pPr>
              <w:rPr>
                <w:sz w:val="16"/>
                <w:szCs w:val="16"/>
              </w:rPr>
            </w:pPr>
            <w:r w:rsidRPr="00CA51CD">
              <w:rPr>
                <w:b/>
                <w:sz w:val="16"/>
                <w:szCs w:val="16"/>
              </w:rPr>
              <w:t>Datos sobre el rendimiento</w:t>
            </w:r>
          </w:p>
        </w:tc>
        <w:tc>
          <w:tcPr>
            <w:tcW w:w="674" w:type="pct"/>
            <w:tcBorders>
              <w:top w:val="single" w:sz="4" w:space="0" w:color="auto"/>
            </w:tcBorders>
            <w:tcMar>
              <w:top w:w="110" w:type="dxa"/>
            </w:tcMar>
            <w:vAlign w:val="center"/>
          </w:tcPr>
          <w:p w:rsidR="00285417" w:rsidRPr="00CA51CD" w:rsidRDefault="00285417" w:rsidP="00DC1333">
            <w:pPr>
              <w:keepNext/>
              <w:keepLines/>
              <w:rPr>
                <w:b/>
                <w:bCs/>
                <w:sz w:val="16"/>
                <w:szCs w:val="16"/>
              </w:rPr>
            </w:pPr>
            <w:r w:rsidRPr="00CA51CD">
              <w:rPr>
                <w:b/>
                <w:bCs/>
                <w:sz w:val="16"/>
                <w:szCs w:val="16"/>
              </w:rPr>
              <w:t>Clave de colores</w:t>
            </w:r>
          </w:p>
        </w:tc>
      </w:tr>
      <w:tr w:rsidR="00285417" w:rsidRPr="00CA51CD" w:rsidTr="00DC1333">
        <w:tc>
          <w:tcPr>
            <w:tcW w:w="1103" w:type="pct"/>
          </w:tcPr>
          <w:p w:rsidR="00285417" w:rsidRPr="00CA51CD" w:rsidRDefault="00285417" w:rsidP="00DC1333">
            <w:pPr>
              <w:keepNext/>
              <w:keepLines/>
              <w:rPr>
                <w:sz w:val="16"/>
                <w:szCs w:val="16"/>
              </w:rPr>
            </w:pPr>
            <w:r w:rsidRPr="00CA51CD">
              <w:rPr>
                <w:sz w:val="16"/>
                <w:szCs w:val="16"/>
              </w:rPr>
              <w:t>Porcentaje de usuarios satisfechos con los servicios de la Biblioteca</w:t>
            </w:r>
          </w:p>
        </w:tc>
        <w:tc>
          <w:tcPr>
            <w:tcW w:w="1349" w:type="pct"/>
            <w:shd w:val="clear" w:color="auto" w:fill="auto"/>
          </w:tcPr>
          <w:p w:rsidR="00285417" w:rsidRPr="00CA51CD" w:rsidRDefault="00285417" w:rsidP="00DC1333">
            <w:pPr>
              <w:keepNext/>
              <w:keepLines/>
              <w:rPr>
                <w:color w:val="002060"/>
                <w:sz w:val="16"/>
                <w:szCs w:val="16"/>
              </w:rPr>
            </w:pPr>
            <w:r w:rsidRPr="00CA51CD">
              <w:rPr>
                <w:i/>
                <w:color w:val="002060"/>
                <w:sz w:val="16"/>
                <w:szCs w:val="16"/>
              </w:rPr>
              <w:t>Referencia actualizada a fines de 2013</w:t>
            </w:r>
            <w:r w:rsidRPr="00CA51CD">
              <w:rPr>
                <w:color w:val="002060"/>
                <w:sz w:val="16"/>
                <w:szCs w:val="16"/>
              </w:rPr>
              <w:t>: El 94% de encuestados que respondieron al cuestionario dirigido a los visitantes externos registrados (usuarios de los servicios de biblioteca) que habían utilizado dichos servicios en 2013 estaban satisfechos o muy satisfechos</w:t>
            </w:r>
          </w:p>
          <w:p w:rsidR="00285417" w:rsidRPr="00CA51CD" w:rsidRDefault="00285417" w:rsidP="00DC1333">
            <w:pPr>
              <w:keepNext/>
              <w:keepLines/>
              <w:rPr>
                <w:sz w:val="16"/>
                <w:szCs w:val="16"/>
              </w:rPr>
            </w:pPr>
          </w:p>
          <w:p w:rsidR="00285417" w:rsidRPr="00CA51CD" w:rsidRDefault="00285417" w:rsidP="00DC1333">
            <w:pPr>
              <w:keepNext/>
              <w:keepLines/>
              <w:rPr>
                <w:sz w:val="16"/>
                <w:szCs w:val="16"/>
              </w:rPr>
            </w:pPr>
            <w:r w:rsidRPr="00CA51CD">
              <w:rPr>
                <w:i/>
                <w:sz w:val="16"/>
                <w:szCs w:val="16"/>
              </w:rPr>
              <w:t>Referencia original en el presupuesto de 2014/15:</w:t>
            </w:r>
            <w:r w:rsidRPr="00CA51CD">
              <w:t xml:space="preserve">  </w:t>
            </w:r>
            <w:r w:rsidRPr="00CA51CD">
              <w:rPr>
                <w:sz w:val="16"/>
                <w:szCs w:val="16"/>
              </w:rPr>
              <w:t xml:space="preserve">Por determinar </w:t>
            </w:r>
          </w:p>
          <w:p w:rsidR="00285417" w:rsidRPr="00CA51CD" w:rsidRDefault="00285417" w:rsidP="00DC1333">
            <w:pPr>
              <w:keepNext/>
              <w:keepLines/>
              <w:rPr>
                <w:sz w:val="16"/>
                <w:szCs w:val="16"/>
              </w:rPr>
            </w:pPr>
          </w:p>
        </w:tc>
        <w:tc>
          <w:tcPr>
            <w:tcW w:w="750" w:type="pct"/>
            <w:tcMar>
              <w:top w:w="110" w:type="dxa"/>
            </w:tcMar>
          </w:tcPr>
          <w:p w:rsidR="00285417" w:rsidRPr="00CA51CD" w:rsidRDefault="00285417" w:rsidP="00DC1333">
            <w:pPr>
              <w:autoSpaceDE w:val="0"/>
              <w:autoSpaceDN w:val="0"/>
              <w:adjustRightInd w:val="0"/>
              <w:ind w:left="-50" w:right="-96"/>
              <w:rPr>
                <w:sz w:val="16"/>
                <w:szCs w:val="16"/>
              </w:rPr>
            </w:pPr>
            <w:r w:rsidRPr="00CA51CD">
              <w:rPr>
                <w:sz w:val="16"/>
                <w:szCs w:val="16"/>
              </w:rPr>
              <w:t>≥ 70 % visitantes y clientes de Internet satisfechos.</w:t>
            </w:r>
          </w:p>
        </w:tc>
        <w:tc>
          <w:tcPr>
            <w:tcW w:w="1124" w:type="pct"/>
            <w:shd w:val="clear" w:color="auto" w:fill="FFFFFF"/>
            <w:tcMar>
              <w:top w:w="110" w:type="dxa"/>
            </w:tcMar>
          </w:tcPr>
          <w:p w:rsidR="00285417" w:rsidRPr="00CA51CD" w:rsidRDefault="00285417" w:rsidP="00DC1333">
            <w:pPr>
              <w:rPr>
                <w:sz w:val="16"/>
                <w:szCs w:val="16"/>
              </w:rPr>
            </w:pPr>
            <w:r w:rsidRPr="00CA51CD">
              <w:rPr>
                <w:color w:val="000000"/>
                <w:sz w:val="16"/>
                <w:szCs w:val="16"/>
              </w:rPr>
              <w:t>El 70% de encuestados que respondieron al cuestionario dirigido a los usuarios de los servicios de biblioteca estaban muy satisfechos (100% satisfechos o muy satisfechos)</w:t>
            </w:r>
          </w:p>
          <w:p w:rsidR="00285417" w:rsidRPr="00CA51CD" w:rsidRDefault="00285417" w:rsidP="00DC1333">
            <w:pPr>
              <w:rPr>
                <w:rFonts w:ascii="Calibri" w:hAnsi="Calibri" w:cs="Calibri"/>
                <w:sz w:val="16"/>
                <w:szCs w:val="16"/>
              </w:rPr>
            </w:pPr>
          </w:p>
        </w:tc>
        <w:tc>
          <w:tcPr>
            <w:tcW w:w="674" w:type="pct"/>
            <w:tcMar>
              <w:top w:w="110" w:type="dxa"/>
            </w:tcMar>
          </w:tcPr>
          <w:p w:rsidR="00285417" w:rsidRPr="00CA51CD" w:rsidRDefault="00285417" w:rsidP="00DC1333">
            <w:pPr>
              <w:keepNext/>
              <w:keepLines/>
              <w:ind w:left="-108"/>
              <w:jc w:val="center"/>
              <w:rPr>
                <w:color w:val="808080"/>
                <w:sz w:val="16"/>
                <w:szCs w:val="16"/>
              </w:rPr>
            </w:pPr>
            <w:r w:rsidRPr="00CA51CD">
              <w:rPr>
                <w:b/>
                <w:color w:val="00B050"/>
                <w:sz w:val="16"/>
                <w:szCs w:val="16"/>
              </w:rPr>
              <w:t>Plenamente logrado</w:t>
            </w:r>
          </w:p>
        </w:tc>
      </w:tr>
      <w:tr w:rsidR="00285417" w:rsidRPr="00CA51CD" w:rsidTr="00DC1333">
        <w:tc>
          <w:tcPr>
            <w:tcW w:w="1103" w:type="pct"/>
          </w:tcPr>
          <w:p w:rsidR="00285417" w:rsidRPr="00CA51CD" w:rsidRDefault="00285417" w:rsidP="00DC1333">
            <w:pPr>
              <w:rPr>
                <w:sz w:val="16"/>
                <w:szCs w:val="16"/>
              </w:rPr>
            </w:pPr>
            <w:r w:rsidRPr="00CA51CD">
              <w:rPr>
                <w:sz w:val="16"/>
                <w:szCs w:val="16"/>
              </w:rPr>
              <w:t>Índice de satisfacción de los clientes/partes interesadas</w:t>
            </w:r>
          </w:p>
        </w:tc>
        <w:tc>
          <w:tcPr>
            <w:tcW w:w="1349" w:type="pct"/>
            <w:shd w:val="clear" w:color="auto" w:fill="auto"/>
          </w:tcPr>
          <w:p w:rsidR="00285417" w:rsidRPr="00CA51CD" w:rsidRDefault="00285417" w:rsidP="00DC1333">
            <w:pPr>
              <w:autoSpaceDE w:val="0"/>
              <w:autoSpaceDN w:val="0"/>
              <w:adjustRightInd w:val="0"/>
              <w:rPr>
                <w:color w:val="002060"/>
                <w:sz w:val="16"/>
                <w:szCs w:val="16"/>
              </w:rPr>
            </w:pPr>
            <w:r w:rsidRPr="00CA51CD">
              <w:rPr>
                <w:i/>
                <w:color w:val="002060"/>
                <w:sz w:val="16"/>
                <w:szCs w:val="16"/>
              </w:rPr>
              <w:t xml:space="preserve">Referencia actualizada a fines de 2013: </w:t>
            </w:r>
            <w:r w:rsidRPr="00CA51CD">
              <w:rPr>
                <w:color w:val="002060"/>
                <w:sz w:val="16"/>
                <w:szCs w:val="16"/>
              </w:rPr>
              <w:t>El 84% de los</w:t>
            </w:r>
          </w:p>
          <w:p w:rsidR="00285417" w:rsidRPr="00CA51CD" w:rsidRDefault="00285417" w:rsidP="00DC1333">
            <w:pPr>
              <w:autoSpaceDE w:val="0"/>
              <w:autoSpaceDN w:val="0"/>
              <w:adjustRightInd w:val="0"/>
              <w:rPr>
                <w:color w:val="002060"/>
                <w:sz w:val="16"/>
                <w:szCs w:val="16"/>
              </w:rPr>
            </w:pPr>
            <w:r w:rsidRPr="00CA51CD">
              <w:rPr>
                <w:color w:val="002060"/>
                <w:sz w:val="16"/>
                <w:szCs w:val="16"/>
              </w:rPr>
              <w:t>usuarios de los Sistemas</w:t>
            </w:r>
          </w:p>
          <w:p w:rsidR="00285417" w:rsidRPr="00CA51CD" w:rsidRDefault="00285417" w:rsidP="00DC1333">
            <w:pPr>
              <w:autoSpaceDE w:val="0"/>
              <w:autoSpaceDN w:val="0"/>
              <w:adjustRightInd w:val="0"/>
              <w:rPr>
                <w:color w:val="002060"/>
                <w:sz w:val="16"/>
                <w:szCs w:val="16"/>
              </w:rPr>
            </w:pPr>
            <w:r w:rsidRPr="00CA51CD">
              <w:rPr>
                <w:color w:val="002060"/>
                <w:sz w:val="16"/>
                <w:szCs w:val="16"/>
              </w:rPr>
              <w:t>de Madrid y de La Haya</w:t>
            </w:r>
          </w:p>
          <w:p w:rsidR="00285417" w:rsidRPr="00CA51CD" w:rsidRDefault="00285417" w:rsidP="00DC1333">
            <w:pPr>
              <w:autoSpaceDE w:val="0"/>
              <w:autoSpaceDN w:val="0"/>
              <w:adjustRightInd w:val="0"/>
              <w:rPr>
                <w:color w:val="002060"/>
                <w:sz w:val="16"/>
                <w:szCs w:val="16"/>
              </w:rPr>
            </w:pPr>
            <w:r w:rsidRPr="00CA51CD">
              <w:rPr>
                <w:color w:val="002060"/>
                <w:sz w:val="16"/>
                <w:szCs w:val="16"/>
              </w:rPr>
              <w:t>estaban satisfechos o muy</w:t>
            </w:r>
          </w:p>
          <w:p w:rsidR="00285417" w:rsidRPr="00CA51CD" w:rsidRDefault="00285417" w:rsidP="00DC1333">
            <w:pPr>
              <w:rPr>
                <w:i/>
                <w:color w:val="002060"/>
                <w:sz w:val="16"/>
                <w:szCs w:val="16"/>
              </w:rPr>
            </w:pPr>
            <w:r w:rsidRPr="00CA51CD">
              <w:rPr>
                <w:color w:val="002060"/>
                <w:sz w:val="16"/>
                <w:szCs w:val="16"/>
              </w:rPr>
              <w:t>satisfechos</w:t>
            </w:r>
          </w:p>
          <w:p w:rsidR="00285417" w:rsidRPr="00CA51CD" w:rsidRDefault="00285417" w:rsidP="00DC1333">
            <w:pPr>
              <w:rPr>
                <w:color w:val="002060"/>
                <w:sz w:val="16"/>
                <w:szCs w:val="16"/>
              </w:rPr>
            </w:pPr>
            <w:r w:rsidRPr="00CA51CD">
              <w:rPr>
                <w:color w:val="002060"/>
                <w:sz w:val="16"/>
                <w:szCs w:val="16"/>
              </w:rPr>
              <w:t>Madrid= 80%</w:t>
            </w:r>
          </w:p>
          <w:p w:rsidR="00285417" w:rsidRPr="00CA51CD" w:rsidRDefault="00285417" w:rsidP="00DC1333">
            <w:pPr>
              <w:rPr>
                <w:color w:val="002060"/>
                <w:sz w:val="16"/>
                <w:szCs w:val="16"/>
              </w:rPr>
            </w:pPr>
            <w:r w:rsidRPr="00CA51CD">
              <w:rPr>
                <w:color w:val="002060"/>
                <w:sz w:val="16"/>
                <w:szCs w:val="16"/>
              </w:rPr>
              <w:t>La Haya= 88%</w:t>
            </w:r>
          </w:p>
          <w:p w:rsidR="00285417" w:rsidRPr="00CA51CD" w:rsidRDefault="00285417" w:rsidP="00DC1333">
            <w:pPr>
              <w:rPr>
                <w:i/>
                <w:sz w:val="8"/>
                <w:szCs w:val="8"/>
              </w:rPr>
            </w:pPr>
          </w:p>
          <w:p w:rsidR="00285417" w:rsidRPr="00CA51CD" w:rsidRDefault="00285417" w:rsidP="00DC1333">
            <w:pPr>
              <w:rPr>
                <w:sz w:val="16"/>
                <w:szCs w:val="16"/>
              </w:rPr>
            </w:pPr>
            <w:r w:rsidRPr="00CA51CD">
              <w:rPr>
                <w:i/>
                <w:sz w:val="16"/>
                <w:szCs w:val="16"/>
              </w:rPr>
              <w:t>Referencia original en el presupuesto por programas de 2014/15:</w:t>
            </w:r>
            <w:r w:rsidRPr="00CA51CD">
              <w:t xml:space="preserve"> </w:t>
            </w:r>
            <w:r w:rsidRPr="00CA51CD">
              <w:rPr>
                <w:sz w:val="16"/>
                <w:szCs w:val="16"/>
              </w:rPr>
              <w:t>Resultados de la encuesta de 2012: el 86% de los usuarios de los Sistemas de Madrid y de La Haya estaban satisfechos o muy satisfechos</w:t>
            </w:r>
          </w:p>
        </w:tc>
        <w:tc>
          <w:tcPr>
            <w:tcW w:w="750" w:type="pct"/>
            <w:tcMar>
              <w:top w:w="110" w:type="dxa"/>
            </w:tcMar>
          </w:tcPr>
          <w:p w:rsidR="00285417" w:rsidRPr="00CA51CD" w:rsidRDefault="00285417" w:rsidP="00DC1333">
            <w:pPr>
              <w:autoSpaceDE w:val="0"/>
              <w:autoSpaceDN w:val="0"/>
              <w:adjustRightInd w:val="0"/>
              <w:ind w:left="-50" w:right="-96"/>
              <w:rPr>
                <w:sz w:val="16"/>
                <w:szCs w:val="16"/>
              </w:rPr>
            </w:pPr>
            <w:r w:rsidRPr="00CA51CD">
              <w:rPr>
                <w:sz w:val="16"/>
                <w:szCs w:val="16"/>
              </w:rPr>
              <w:t>≥ 86% satisfechos o muy satisfechos</w:t>
            </w:r>
          </w:p>
        </w:tc>
        <w:tc>
          <w:tcPr>
            <w:tcW w:w="1124" w:type="pct"/>
            <w:shd w:val="clear" w:color="auto" w:fill="FFFFFF"/>
            <w:tcMar>
              <w:top w:w="110" w:type="dxa"/>
            </w:tcMar>
          </w:tcPr>
          <w:p w:rsidR="00285417" w:rsidRPr="00CA51CD" w:rsidRDefault="00285417" w:rsidP="00DC1333">
            <w:pPr>
              <w:autoSpaceDE w:val="0"/>
              <w:autoSpaceDN w:val="0"/>
              <w:adjustRightInd w:val="0"/>
              <w:rPr>
                <w:sz w:val="16"/>
                <w:szCs w:val="16"/>
              </w:rPr>
            </w:pPr>
            <w:r w:rsidRPr="00CA51CD">
              <w:rPr>
                <w:sz w:val="16"/>
                <w:szCs w:val="16"/>
              </w:rPr>
              <w:t>En general el 85% de los usuarios de los Sistemas del PCT y de Madrid estaban satisfechos o muy satisfechos</w:t>
            </w:r>
          </w:p>
          <w:p w:rsidR="00285417" w:rsidRPr="00CA51CD" w:rsidRDefault="00285417" w:rsidP="00DC1333">
            <w:pPr>
              <w:ind w:left="32"/>
              <w:rPr>
                <w:sz w:val="16"/>
                <w:szCs w:val="16"/>
              </w:rPr>
            </w:pPr>
          </w:p>
          <w:p w:rsidR="00285417" w:rsidRPr="00CA51CD" w:rsidRDefault="00285417" w:rsidP="00DC1333">
            <w:pPr>
              <w:rPr>
                <w:sz w:val="16"/>
                <w:szCs w:val="16"/>
              </w:rPr>
            </w:pPr>
            <w:r w:rsidRPr="00CA51CD">
              <w:rPr>
                <w:sz w:val="16"/>
                <w:szCs w:val="16"/>
              </w:rPr>
              <w:t>PCT= 89%</w:t>
            </w:r>
          </w:p>
          <w:p w:rsidR="00285417" w:rsidRPr="00CA51CD" w:rsidRDefault="00285417" w:rsidP="00DC1333">
            <w:pPr>
              <w:rPr>
                <w:sz w:val="16"/>
                <w:szCs w:val="16"/>
              </w:rPr>
            </w:pPr>
          </w:p>
          <w:p w:rsidR="00285417" w:rsidRPr="00CA51CD" w:rsidRDefault="00285417" w:rsidP="00DC1333">
            <w:pPr>
              <w:ind w:left="32"/>
              <w:rPr>
                <w:sz w:val="16"/>
                <w:szCs w:val="16"/>
              </w:rPr>
            </w:pPr>
            <w:r w:rsidRPr="00CA51CD">
              <w:rPr>
                <w:sz w:val="16"/>
                <w:szCs w:val="16"/>
              </w:rPr>
              <w:t>Madrid= 81%</w:t>
            </w:r>
          </w:p>
          <w:p w:rsidR="00285417" w:rsidRPr="00CA51CD" w:rsidRDefault="00285417" w:rsidP="00DC1333">
            <w:pPr>
              <w:ind w:left="32"/>
              <w:rPr>
                <w:sz w:val="16"/>
                <w:szCs w:val="16"/>
              </w:rPr>
            </w:pPr>
          </w:p>
          <w:p w:rsidR="00285417" w:rsidRPr="00CA51CD" w:rsidRDefault="00285417" w:rsidP="00DC1333">
            <w:pPr>
              <w:ind w:left="32"/>
              <w:rPr>
                <w:sz w:val="16"/>
                <w:szCs w:val="16"/>
              </w:rPr>
            </w:pPr>
            <w:r w:rsidRPr="00CA51CD">
              <w:rPr>
                <w:sz w:val="16"/>
                <w:szCs w:val="16"/>
              </w:rPr>
              <w:t>En 2014/15 no se evaluó la satisfacción de los usuarios del Sistema de la Haya</w:t>
            </w:r>
          </w:p>
          <w:p w:rsidR="00285417" w:rsidRPr="00CA51CD" w:rsidRDefault="00285417" w:rsidP="00DC1333">
            <w:pPr>
              <w:ind w:left="32"/>
              <w:rPr>
                <w:sz w:val="16"/>
                <w:szCs w:val="16"/>
              </w:rPr>
            </w:pPr>
          </w:p>
          <w:p w:rsidR="00285417" w:rsidRPr="00CA51CD" w:rsidRDefault="00285417" w:rsidP="00DC1333">
            <w:pPr>
              <w:ind w:left="32"/>
              <w:rPr>
                <w:sz w:val="16"/>
                <w:szCs w:val="16"/>
              </w:rPr>
            </w:pPr>
          </w:p>
        </w:tc>
        <w:tc>
          <w:tcPr>
            <w:tcW w:w="674" w:type="pct"/>
            <w:tcMar>
              <w:top w:w="110" w:type="dxa"/>
            </w:tcMar>
          </w:tcPr>
          <w:p w:rsidR="00285417" w:rsidRPr="00CA51CD" w:rsidRDefault="00285417" w:rsidP="00DC1333">
            <w:pPr>
              <w:keepNext/>
              <w:keepLines/>
              <w:ind w:left="-108"/>
              <w:jc w:val="center"/>
              <w:rPr>
                <w:b/>
                <w:color w:val="00B050"/>
                <w:sz w:val="16"/>
                <w:szCs w:val="16"/>
              </w:rPr>
            </w:pPr>
          </w:p>
          <w:p w:rsidR="00285417" w:rsidRPr="00CA51CD" w:rsidRDefault="00285417" w:rsidP="00DC1333">
            <w:pPr>
              <w:keepNext/>
              <w:keepLines/>
              <w:ind w:left="-108"/>
              <w:jc w:val="center"/>
              <w:rPr>
                <w:b/>
                <w:color w:val="00B050"/>
                <w:sz w:val="16"/>
                <w:szCs w:val="16"/>
              </w:rPr>
            </w:pPr>
          </w:p>
          <w:p w:rsidR="00285417" w:rsidRPr="00CA51CD" w:rsidRDefault="00285417" w:rsidP="00DC1333">
            <w:pPr>
              <w:keepNext/>
              <w:keepLines/>
              <w:ind w:left="-108"/>
              <w:jc w:val="center"/>
              <w:rPr>
                <w:b/>
                <w:color w:val="00B050"/>
                <w:sz w:val="16"/>
                <w:szCs w:val="16"/>
              </w:rPr>
            </w:pPr>
          </w:p>
          <w:p w:rsidR="00285417" w:rsidRPr="00CA51CD" w:rsidRDefault="00285417" w:rsidP="00DC1333">
            <w:pPr>
              <w:keepNext/>
              <w:keepLines/>
              <w:ind w:left="-108"/>
              <w:jc w:val="center"/>
              <w:rPr>
                <w:b/>
                <w:color w:val="00B050"/>
                <w:sz w:val="16"/>
                <w:szCs w:val="16"/>
              </w:rPr>
            </w:pPr>
          </w:p>
          <w:p w:rsidR="00285417" w:rsidRPr="00CA51CD" w:rsidRDefault="00285417" w:rsidP="00DC1333">
            <w:pPr>
              <w:keepNext/>
              <w:keepLines/>
              <w:ind w:left="-108"/>
              <w:jc w:val="center"/>
              <w:rPr>
                <w:b/>
                <w:color w:val="00B050"/>
                <w:sz w:val="16"/>
                <w:szCs w:val="16"/>
              </w:rPr>
            </w:pPr>
          </w:p>
          <w:p w:rsidR="00285417" w:rsidRPr="00CA51CD" w:rsidRDefault="00285417" w:rsidP="00DC1333">
            <w:pPr>
              <w:keepNext/>
              <w:keepLines/>
              <w:ind w:left="-108"/>
              <w:jc w:val="center"/>
              <w:rPr>
                <w:b/>
                <w:color w:val="00B050"/>
                <w:sz w:val="16"/>
                <w:szCs w:val="16"/>
              </w:rPr>
            </w:pPr>
          </w:p>
          <w:p w:rsidR="00285417" w:rsidRPr="00CA51CD" w:rsidRDefault="00285417" w:rsidP="00DC1333">
            <w:pPr>
              <w:keepNext/>
              <w:keepLines/>
              <w:ind w:left="-108"/>
              <w:jc w:val="center"/>
              <w:rPr>
                <w:b/>
                <w:bCs/>
                <w:color w:val="00B050"/>
                <w:sz w:val="16"/>
                <w:szCs w:val="16"/>
              </w:rPr>
            </w:pPr>
            <w:r w:rsidRPr="00CA51CD">
              <w:rPr>
                <w:b/>
                <w:color w:val="00B050"/>
                <w:sz w:val="16"/>
                <w:szCs w:val="16"/>
              </w:rPr>
              <w:t>Plenamente logrado</w:t>
            </w:r>
          </w:p>
          <w:p w:rsidR="00285417" w:rsidRPr="00CA51CD" w:rsidRDefault="00285417" w:rsidP="00DC1333">
            <w:pPr>
              <w:keepNext/>
              <w:keepLines/>
              <w:jc w:val="center"/>
              <w:rPr>
                <w:b/>
                <w:bCs/>
                <w:sz w:val="16"/>
                <w:szCs w:val="16"/>
              </w:rPr>
            </w:pPr>
          </w:p>
          <w:p w:rsidR="00285417" w:rsidRPr="00CA51CD" w:rsidRDefault="00285417" w:rsidP="00DC1333">
            <w:pPr>
              <w:keepNext/>
              <w:keepLines/>
              <w:ind w:left="-108"/>
              <w:jc w:val="center"/>
              <w:rPr>
                <w:b/>
                <w:bCs/>
                <w:color w:val="00B050"/>
                <w:sz w:val="16"/>
                <w:szCs w:val="16"/>
              </w:rPr>
            </w:pPr>
            <w:r w:rsidRPr="00CA51CD">
              <w:rPr>
                <w:b/>
                <w:color w:val="00B050"/>
                <w:sz w:val="16"/>
                <w:szCs w:val="16"/>
              </w:rPr>
              <w:t>Plenamente logrado</w:t>
            </w:r>
          </w:p>
          <w:p w:rsidR="00285417" w:rsidRPr="00CA51CD" w:rsidRDefault="00285417" w:rsidP="00DC1333">
            <w:pPr>
              <w:keepNext/>
              <w:keepLines/>
              <w:jc w:val="center"/>
              <w:rPr>
                <w:b/>
                <w:bCs/>
                <w:sz w:val="16"/>
                <w:szCs w:val="16"/>
              </w:rPr>
            </w:pPr>
          </w:p>
          <w:p w:rsidR="00285417" w:rsidRPr="00CA51CD" w:rsidRDefault="00285417" w:rsidP="00DC1333">
            <w:pPr>
              <w:keepNext/>
              <w:keepLines/>
              <w:jc w:val="center"/>
              <w:rPr>
                <w:b/>
                <w:bCs/>
                <w:sz w:val="16"/>
                <w:szCs w:val="16"/>
              </w:rPr>
            </w:pPr>
            <w:r w:rsidRPr="00CA51CD">
              <w:rPr>
                <w:b/>
                <w:bCs/>
                <w:color w:val="808080"/>
                <w:sz w:val="16"/>
                <w:szCs w:val="16"/>
              </w:rPr>
              <w:t>No mensurable</w:t>
            </w:r>
          </w:p>
        </w:tc>
      </w:tr>
      <w:tr w:rsidR="00285417" w:rsidRPr="00CA51CD" w:rsidTr="00DC1333">
        <w:tc>
          <w:tcPr>
            <w:tcW w:w="1103" w:type="pct"/>
            <w:tcBorders>
              <w:bottom w:val="single" w:sz="4" w:space="0" w:color="auto"/>
            </w:tcBorders>
          </w:tcPr>
          <w:p w:rsidR="00285417" w:rsidRPr="00CA51CD" w:rsidRDefault="00285417" w:rsidP="00DC1333">
            <w:pPr>
              <w:rPr>
                <w:sz w:val="16"/>
                <w:szCs w:val="16"/>
              </w:rPr>
            </w:pPr>
            <w:r w:rsidRPr="00CA51CD">
              <w:rPr>
                <w:sz w:val="16"/>
                <w:szCs w:val="16"/>
              </w:rPr>
              <w:t>Se cumplen los objetivos definidos en el sitio web de la OMPI para la calidad del servicio</w:t>
            </w:r>
          </w:p>
        </w:tc>
        <w:tc>
          <w:tcPr>
            <w:tcW w:w="1349" w:type="pct"/>
            <w:tcBorders>
              <w:bottom w:val="single" w:sz="4" w:space="0" w:color="auto"/>
            </w:tcBorders>
            <w:shd w:val="clear" w:color="auto" w:fill="auto"/>
          </w:tcPr>
          <w:p w:rsidR="00285417" w:rsidRPr="00CA51CD" w:rsidRDefault="00285417" w:rsidP="00DC1333">
            <w:pPr>
              <w:rPr>
                <w:color w:val="002060"/>
                <w:sz w:val="16"/>
                <w:szCs w:val="16"/>
              </w:rPr>
            </w:pPr>
            <w:r w:rsidRPr="00CA51CD">
              <w:rPr>
                <w:i/>
                <w:color w:val="002060"/>
                <w:sz w:val="16"/>
                <w:szCs w:val="16"/>
              </w:rPr>
              <w:t>Referencia actualizada a fines de 2013:  n</w:t>
            </w:r>
            <w:r w:rsidRPr="00CA51CD">
              <w:rPr>
                <w:color w:val="002060"/>
                <w:sz w:val="16"/>
                <w:szCs w:val="16"/>
              </w:rPr>
              <w:t>o hay referencias</w:t>
            </w:r>
          </w:p>
          <w:p w:rsidR="00285417" w:rsidRPr="00CA51CD" w:rsidRDefault="00285417" w:rsidP="00DC1333">
            <w:pPr>
              <w:rPr>
                <w:sz w:val="16"/>
                <w:szCs w:val="16"/>
              </w:rPr>
            </w:pPr>
          </w:p>
          <w:p w:rsidR="00285417" w:rsidRPr="00CA51CD" w:rsidRDefault="00285417" w:rsidP="00DC1333">
            <w:pPr>
              <w:rPr>
                <w:i/>
                <w:sz w:val="16"/>
                <w:szCs w:val="16"/>
              </w:rPr>
            </w:pPr>
            <w:r w:rsidRPr="00CA51CD">
              <w:rPr>
                <w:i/>
                <w:sz w:val="16"/>
                <w:szCs w:val="16"/>
              </w:rPr>
              <w:t>Referencia original en el presupuesto por programas de 2014/15:</w:t>
            </w:r>
            <w:r w:rsidRPr="00CA51CD">
              <w:t xml:space="preserve"> </w:t>
            </w:r>
            <w:r w:rsidRPr="00CA51CD">
              <w:rPr>
                <w:sz w:val="16"/>
                <w:szCs w:val="16"/>
              </w:rPr>
              <w:t>Por definir respecto de los ámbitos específicos</w:t>
            </w:r>
          </w:p>
        </w:tc>
        <w:tc>
          <w:tcPr>
            <w:tcW w:w="750" w:type="pct"/>
            <w:tcBorders>
              <w:bottom w:val="single" w:sz="4" w:space="0" w:color="auto"/>
            </w:tcBorders>
            <w:tcMar>
              <w:top w:w="110" w:type="dxa"/>
            </w:tcMar>
          </w:tcPr>
          <w:p w:rsidR="00285417" w:rsidRPr="00CA51CD" w:rsidRDefault="00285417" w:rsidP="00DC1333">
            <w:pPr>
              <w:autoSpaceDE w:val="0"/>
              <w:autoSpaceDN w:val="0"/>
              <w:adjustRightInd w:val="0"/>
              <w:ind w:left="-50" w:right="-96"/>
              <w:rPr>
                <w:sz w:val="16"/>
                <w:szCs w:val="16"/>
              </w:rPr>
            </w:pPr>
            <w:r w:rsidRPr="00CA51CD">
              <w:rPr>
                <w:sz w:val="16"/>
                <w:szCs w:val="16"/>
              </w:rPr>
              <w:t xml:space="preserve">Objetivo definido: Normas de servicio del Centro de Atención al Cliente </w:t>
            </w:r>
          </w:p>
          <w:p w:rsidR="00285417" w:rsidRPr="00CA51CD" w:rsidRDefault="00285417" w:rsidP="00DC1333">
            <w:pPr>
              <w:autoSpaceDE w:val="0"/>
              <w:autoSpaceDN w:val="0"/>
              <w:adjustRightInd w:val="0"/>
              <w:ind w:left="-50" w:right="-96"/>
              <w:rPr>
                <w:sz w:val="16"/>
                <w:szCs w:val="16"/>
              </w:rPr>
            </w:pPr>
            <w:r w:rsidRPr="00CA51CD">
              <w:rPr>
                <w:sz w:val="16"/>
                <w:szCs w:val="16"/>
              </w:rPr>
              <w:t xml:space="preserve">i) 90% de tickets tramitados en un día </w:t>
            </w:r>
          </w:p>
          <w:p w:rsidR="00285417" w:rsidRPr="00CA51CD" w:rsidRDefault="00285417" w:rsidP="00DC1333">
            <w:pPr>
              <w:autoSpaceDE w:val="0"/>
              <w:autoSpaceDN w:val="0"/>
              <w:adjustRightInd w:val="0"/>
              <w:rPr>
                <w:sz w:val="16"/>
                <w:szCs w:val="16"/>
              </w:rPr>
            </w:pPr>
          </w:p>
          <w:p w:rsidR="00285417" w:rsidRPr="00CA51CD" w:rsidRDefault="00285417" w:rsidP="00DC1333">
            <w:pPr>
              <w:autoSpaceDE w:val="0"/>
              <w:autoSpaceDN w:val="0"/>
              <w:adjustRightInd w:val="0"/>
              <w:ind w:left="-50" w:right="-96"/>
              <w:rPr>
                <w:sz w:val="16"/>
                <w:szCs w:val="16"/>
              </w:rPr>
            </w:pPr>
            <w:r w:rsidRPr="00CA51CD">
              <w:rPr>
                <w:sz w:val="16"/>
                <w:szCs w:val="16"/>
              </w:rPr>
              <w:t xml:space="preserve">ii) 90% de quejas tramitadas en ocho horas de trabajo </w:t>
            </w:r>
          </w:p>
          <w:p w:rsidR="00285417" w:rsidRPr="00CA51CD" w:rsidRDefault="00285417" w:rsidP="00DC1333">
            <w:pPr>
              <w:autoSpaceDE w:val="0"/>
              <w:autoSpaceDN w:val="0"/>
              <w:adjustRightInd w:val="0"/>
              <w:rPr>
                <w:sz w:val="16"/>
                <w:szCs w:val="16"/>
              </w:rPr>
            </w:pPr>
          </w:p>
          <w:p w:rsidR="00285417" w:rsidRPr="00CA51CD" w:rsidRDefault="00285417" w:rsidP="00DC1333">
            <w:pPr>
              <w:autoSpaceDE w:val="0"/>
              <w:autoSpaceDN w:val="0"/>
              <w:adjustRightInd w:val="0"/>
              <w:ind w:left="-50" w:right="-96"/>
              <w:rPr>
                <w:sz w:val="16"/>
                <w:szCs w:val="16"/>
              </w:rPr>
            </w:pPr>
            <w:r w:rsidRPr="00CA51CD">
              <w:rPr>
                <w:sz w:val="16"/>
                <w:szCs w:val="16"/>
              </w:rPr>
              <w:t xml:space="preserve">Referencia original </w:t>
            </w:r>
            <w:r w:rsidRPr="00CA51CD">
              <w:rPr>
                <w:sz w:val="16"/>
                <w:szCs w:val="16"/>
              </w:rPr>
              <w:lastRenderedPageBreak/>
              <w:t xml:space="preserve">en el presupuesto por programas de 2014/15: Por definir respecto de los ámbitos específicos </w:t>
            </w:r>
          </w:p>
          <w:p w:rsidR="00285417" w:rsidRPr="00CA51CD" w:rsidRDefault="00285417" w:rsidP="00DC1333">
            <w:pPr>
              <w:autoSpaceDE w:val="0"/>
              <w:autoSpaceDN w:val="0"/>
              <w:adjustRightInd w:val="0"/>
              <w:rPr>
                <w:sz w:val="16"/>
                <w:szCs w:val="16"/>
              </w:rPr>
            </w:pPr>
          </w:p>
        </w:tc>
        <w:tc>
          <w:tcPr>
            <w:tcW w:w="1124" w:type="pct"/>
            <w:tcBorders>
              <w:bottom w:val="single" w:sz="4" w:space="0" w:color="auto"/>
            </w:tcBorders>
            <w:shd w:val="clear" w:color="auto" w:fill="FFFFFF"/>
            <w:tcMar>
              <w:top w:w="110" w:type="dxa"/>
            </w:tcMar>
          </w:tcPr>
          <w:p w:rsidR="00285417" w:rsidRPr="00CA51CD" w:rsidRDefault="00285417" w:rsidP="00DC1333">
            <w:pPr>
              <w:rPr>
                <w:sz w:val="16"/>
                <w:szCs w:val="16"/>
              </w:rPr>
            </w:pPr>
            <w:r w:rsidRPr="00CA51CD">
              <w:rPr>
                <w:sz w:val="16"/>
                <w:szCs w:val="16"/>
              </w:rPr>
              <w:lastRenderedPageBreak/>
              <w:t xml:space="preserve">i) 92% de tickets tramitados en 1 día  </w:t>
            </w:r>
          </w:p>
          <w:p w:rsidR="00285417" w:rsidRPr="00CA51CD" w:rsidRDefault="00285417" w:rsidP="00DC1333">
            <w:pPr>
              <w:rPr>
                <w:sz w:val="16"/>
                <w:szCs w:val="16"/>
              </w:rPr>
            </w:pPr>
          </w:p>
          <w:p w:rsidR="00285417" w:rsidRPr="00CA51CD" w:rsidRDefault="00285417" w:rsidP="00DC1333">
            <w:pPr>
              <w:rPr>
                <w:sz w:val="16"/>
                <w:szCs w:val="16"/>
              </w:rPr>
            </w:pPr>
            <w:r w:rsidRPr="00CA51CD">
              <w:rPr>
                <w:sz w:val="16"/>
                <w:szCs w:val="16"/>
              </w:rPr>
              <w:t xml:space="preserve">ii) 100% de las quejas tramitadas en ocho horas de trabajo </w:t>
            </w:r>
          </w:p>
        </w:tc>
        <w:tc>
          <w:tcPr>
            <w:tcW w:w="674" w:type="pct"/>
            <w:tcBorders>
              <w:bottom w:val="single" w:sz="4" w:space="0" w:color="auto"/>
            </w:tcBorders>
            <w:tcMar>
              <w:top w:w="110" w:type="dxa"/>
            </w:tcMar>
          </w:tcPr>
          <w:p w:rsidR="00285417" w:rsidRPr="00CA51CD" w:rsidRDefault="00285417" w:rsidP="00DC1333">
            <w:pPr>
              <w:keepNext/>
              <w:keepLines/>
              <w:ind w:left="-108"/>
              <w:jc w:val="center"/>
              <w:rPr>
                <w:b/>
                <w:bCs/>
                <w:color w:val="00B050"/>
                <w:sz w:val="16"/>
                <w:szCs w:val="16"/>
              </w:rPr>
            </w:pPr>
            <w:r w:rsidRPr="00CA51CD">
              <w:rPr>
                <w:b/>
                <w:color w:val="00B050"/>
                <w:sz w:val="16"/>
                <w:szCs w:val="16"/>
              </w:rPr>
              <w:t>Plenamente logrado</w:t>
            </w:r>
          </w:p>
          <w:p w:rsidR="00285417" w:rsidRPr="00CA51CD" w:rsidRDefault="00285417" w:rsidP="00DC1333">
            <w:pPr>
              <w:keepNext/>
              <w:keepLines/>
              <w:jc w:val="center"/>
              <w:rPr>
                <w:b/>
                <w:bCs/>
                <w:color w:val="00B050"/>
                <w:sz w:val="16"/>
                <w:szCs w:val="16"/>
              </w:rPr>
            </w:pPr>
          </w:p>
          <w:p w:rsidR="00285417" w:rsidRPr="00CA51CD" w:rsidRDefault="00285417" w:rsidP="00DC1333">
            <w:pPr>
              <w:keepNext/>
              <w:keepLines/>
              <w:ind w:left="-108"/>
              <w:jc w:val="center"/>
              <w:rPr>
                <w:b/>
                <w:bCs/>
                <w:color w:val="00B050"/>
                <w:sz w:val="16"/>
                <w:szCs w:val="16"/>
              </w:rPr>
            </w:pPr>
            <w:r w:rsidRPr="00CA51CD">
              <w:rPr>
                <w:b/>
                <w:bCs/>
                <w:color w:val="00B050"/>
                <w:sz w:val="16"/>
                <w:szCs w:val="16"/>
              </w:rPr>
              <w:t>Plenamente logrado</w:t>
            </w:r>
          </w:p>
        </w:tc>
      </w:tr>
    </w:tbl>
    <w:p w:rsidR="00285417" w:rsidRPr="00CA51CD" w:rsidRDefault="00285417" w:rsidP="00DC1333">
      <w:pPr>
        <w:jc w:val="both"/>
        <w:rPr>
          <w:color w:val="000000"/>
          <w:szCs w:val="22"/>
        </w:rPr>
      </w:pPr>
    </w:p>
    <w:p w:rsidR="00285417" w:rsidRDefault="00285417" w:rsidP="00DC1333">
      <w:pPr>
        <w:rPr>
          <w:szCs w:val="22"/>
        </w:rPr>
      </w:pPr>
    </w:p>
    <w:p w:rsidR="00285417" w:rsidRPr="00CA51CD" w:rsidRDefault="008F7CBE" w:rsidP="00DC1333">
      <w:pPr>
        <w:keepNext/>
        <w:keepLines/>
        <w:rPr>
          <w:color w:val="000000"/>
          <w:szCs w:val="22"/>
        </w:rPr>
      </w:pPr>
      <w:r w:rsidRPr="008F7CBE">
        <w:rPr>
          <w:sz w:val="20"/>
        </w:rPr>
        <w:t>INFORMACIÓN SOBRE LOS RIESGOS PLANTEADOS EN EL BIENIO</w:t>
      </w:r>
    </w:p>
    <w:p w:rsidR="00285417" w:rsidRPr="00CA51CD" w:rsidRDefault="00285417" w:rsidP="00DC1333">
      <w:pPr>
        <w:keepNext/>
        <w:keepLines/>
      </w:pP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2420"/>
        <w:gridCol w:w="2200"/>
        <w:gridCol w:w="2310"/>
        <w:gridCol w:w="2709"/>
      </w:tblGrid>
      <w:tr w:rsidR="00285417" w:rsidRPr="00CA51CD" w:rsidTr="00DC1333">
        <w:trPr>
          <w:trHeight w:val="402"/>
          <w:tblHeader/>
        </w:trPr>
        <w:tc>
          <w:tcPr>
            <w:tcW w:w="2420" w:type="dxa"/>
            <w:tcBorders>
              <w:top w:val="single" w:sz="4" w:space="0" w:color="auto"/>
              <w:bottom w:val="single" w:sz="4" w:space="0" w:color="auto"/>
            </w:tcBorders>
            <w:shd w:val="clear" w:color="auto" w:fill="C6D9F1" w:themeFill="text2" w:themeFillTint="33"/>
            <w:tcMar>
              <w:top w:w="113" w:type="dxa"/>
              <w:bottom w:w="85" w:type="dxa"/>
            </w:tcMar>
            <w:vAlign w:val="center"/>
          </w:tcPr>
          <w:p w:rsidR="00285417" w:rsidRPr="00CA51CD" w:rsidRDefault="00285417" w:rsidP="00DC1333">
            <w:pPr>
              <w:keepNext/>
              <w:keepLines/>
              <w:autoSpaceDE w:val="0"/>
              <w:autoSpaceDN w:val="0"/>
              <w:adjustRightInd w:val="0"/>
              <w:ind w:right="-59"/>
              <w:jc w:val="center"/>
              <w:rPr>
                <w:b/>
                <w:bCs/>
                <w:sz w:val="18"/>
                <w:szCs w:val="18"/>
              </w:rPr>
            </w:pPr>
            <w:r w:rsidRPr="00CA51CD">
              <w:rPr>
                <w:b/>
                <w:bCs/>
                <w:iCs/>
                <w:sz w:val="18"/>
                <w:szCs w:val="18"/>
              </w:rPr>
              <w:t>Riesgos en el logro de los resultados del programa</w:t>
            </w:r>
          </w:p>
        </w:tc>
        <w:tc>
          <w:tcPr>
            <w:tcW w:w="2200" w:type="dxa"/>
            <w:tcBorders>
              <w:top w:val="single" w:sz="4" w:space="0" w:color="auto"/>
              <w:bottom w:val="single" w:sz="4" w:space="0" w:color="auto"/>
            </w:tcBorders>
            <w:shd w:val="clear" w:color="auto" w:fill="C6D9F1" w:themeFill="text2" w:themeFillTint="33"/>
            <w:tcMar>
              <w:top w:w="113" w:type="dxa"/>
              <w:bottom w:w="85" w:type="dxa"/>
            </w:tcMar>
            <w:vAlign w:val="center"/>
          </w:tcPr>
          <w:p w:rsidR="00285417" w:rsidRPr="00CA51CD" w:rsidRDefault="00285417" w:rsidP="00DC1333">
            <w:pPr>
              <w:keepNext/>
              <w:keepLines/>
              <w:autoSpaceDE w:val="0"/>
              <w:autoSpaceDN w:val="0"/>
              <w:adjustRightInd w:val="0"/>
              <w:ind w:right="-59"/>
              <w:jc w:val="center"/>
              <w:rPr>
                <w:b/>
                <w:bCs/>
                <w:sz w:val="18"/>
                <w:szCs w:val="18"/>
              </w:rPr>
            </w:pPr>
            <w:r w:rsidRPr="00CA51CD">
              <w:rPr>
                <w:b/>
                <w:bCs/>
                <w:iCs/>
                <w:sz w:val="18"/>
                <w:szCs w:val="18"/>
              </w:rPr>
              <w:t>Planes de mitigación ejecutados o en ejecución</w:t>
            </w:r>
          </w:p>
        </w:tc>
        <w:tc>
          <w:tcPr>
            <w:tcW w:w="2310" w:type="dxa"/>
            <w:tcBorders>
              <w:top w:val="single" w:sz="4" w:space="0" w:color="auto"/>
              <w:bottom w:val="single" w:sz="4" w:space="0" w:color="auto"/>
            </w:tcBorders>
            <w:shd w:val="clear" w:color="auto" w:fill="C6D9F1" w:themeFill="text2" w:themeFillTint="33"/>
          </w:tcPr>
          <w:p w:rsidR="00285417" w:rsidRPr="00CA51CD" w:rsidRDefault="00285417" w:rsidP="00DC1333">
            <w:pPr>
              <w:keepNext/>
              <w:keepLines/>
              <w:jc w:val="center"/>
              <w:rPr>
                <w:b/>
                <w:bCs/>
                <w:sz w:val="18"/>
                <w:szCs w:val="18"/>
              </w:rPr>
            </w:pPr>
            <w:r w:rsidRPr="00CA51CD">
              <w:rPr>
                <w:b/>
                <w:bCs/>
                <w:iCs/>
                <w:sz w:val="18"/>
                <w:szCs w:val="18"/>
              </w:rPr>
              <w:t>Evolución de los riesgos y estrategias de mitigación durante el bienio</w:t>
            </w:r>
          </w:p>
        </w:tc>
        <w:tc>
          <w:tcPr>
            <w:tcW w:w="2709" w:type="dxa"/>
            <w:tcBorders>
              <w:top w:val="single" w:sz="4" w:space="0" w:color="auto"/>
              <w:bottom w:val="single" w:sz="4" w:space="0" w:color="auto"/>
            </w:tcBorders>
            <w:shd w:val="clear" w:color="auto" w:fill="C6D9F1" w:themeFill="text2" w:themeFillTint="33"/>
          </w:tcPr>
          <w:p w:rsidR="00285417" w:rsidRPr="00CA51CD" w:rsidRDefault="00285417" w:rsidP="00DC1333">
            <w:pPr>
              <w:keepNext/>
              <w:keepLines/>
              <w:jc w:val="center"/>
              <w:rPr>
                <w:b/>
                <w:bCs/>
                <w:sz w:val="18"/>
                <w:szCs w:val="18"/>
              </w:rPr>
            </w:pPr>
            <w:r w:rsidRPr="00CA51CD">
              <w:rPr>
                <w:b/>
                <w:bCs/>
                <w:sz w:val="18"/>
                <w:szCs w:val="18"/>
              </w:rPr>
              <w:t>Incidencia en el rendimiento del programa</w:t>
            </w:r>
          </w:p>
        </w:tc>
      </w:tr>
      <w:tr w:rsidR="00285417" w:rsidRPr="00CA51CD" w:rsidTr="00DC1333">
        <w:trPr>
          <w:trHeight w:val="782"/>
        </w:trPr>
        <w:tc>
          <w:tcPr>
            <w:tcW w:w="2420" w:type="dxa"/>
            <w:tcBorders>
              <w:top w:val="single" w:sz="4" w:space="0" w:color="auto"/>
            </w:tcBorders>
            <w:shd w:val="clear" w:color="auto" w:fill="auto"/>
            <w:tcMar>
              <w:top w:w="113" w:type="dxa"/>
              <w:bottom w:w="85" w:type="dxa"/>
            </w:tcMar>
          </w:tcPr>
          <w:p w:rsidR="00285417" w:rsidRPr="00CA51CD" w:rsidRDefault="00285417" w:rsidP="00DC1333">
            <w:pPr>
              <w:keepNext/>
              <w:keepLines/>
              <w:autoSpaceDE w:val="0"/>
              <w:autoSpaceDN w:val="0"/>
              <w:adjustRightInd w:val="0"/>
              <w:ind w:right="-59"/>
              <w:rPr>
                <w:i/>
                <w:sz w:val="16"/>
                <w:szCs w:val="16"/>
              </w:rPr>
            </w:pPr>
            <w:r w:rsidRPr="00CA51CD">
              <w:rPr>
                <w:sz w:val="16"/>
                <w:szCs w:val="16"/>
              </w:rPr>
              <w:t>La proliferación de nuevas demandas impide que el programa alcance el grado de especialización y los efectos necesarios para lograr una comunicación eficaz.</w:t>
            </w:r>
          </w:p>
        </w:tc>
        <w:tc>
          <w:tcPr>
            <w:tcW w:w="2200" w:type="dxa"/>
            <w:tcBorders>
              <w:top w:val="single" w:sz="4" w:space="0" w:color="auto"/>
            </w:tcBorders>
            <w:shd w:val="clear" w:color="auto" w:fill="auto"/>
            <w:tcMar>
              <w:top w:w="113" w:type="dxa"/>
              <w:bottom w:w="85" w:type="dxa"/>
            </w:tcMar>
          </w:tcPr>
          <w:p w:rsidR="00285417" w:rsidRPr="00CA51CD" w:rsidRDefault="00285417" w:rsidP="00DC1333">
            <w:pPr>
              <w:keepNext/>
              <w:keepLines/>
              <w:autoSpaceDE w:val="0"/>
              <w:autoSpaceDN w:val="0"/>
              <w:adjustRightInd w:val="0"/>
              <w:ind w:right="-59"/>
              <w:rPr>
                <w:i/>
                <w:sz w:val="16"/>
                <w:szCs w:val="16"/>
              </w:rPr>
            </w:pPr>
            <w:r w:rsidRPr="00CA51CD">
              <w:rPr>
                <w:sz w:val="16"/>
                <w:szCs w:val="16"/>
              </w:rPr>
              <w:t>Cada año se señalará un número limitado de actividades/productos/logros importantes de la OMPI como prioridades máximas acordadas con miras a su promoción y comercialización.</w:t>
            </w:r>
          </w:p>
        </w:tc>
        <w:tc>
          <w:tcPr>
            <w:tcW w:w="2310" w:type="dxa"/>
            <w:tcBorders>
              <w:top w:val="single" w:sz="4" w:space="0" w:color="auto"/>
            </w:tcBorders>
          </w:tcPr>
          <w:p w:rsidR="00285417" w:rsidRPr="00CA51CD" w:rsidRDefault="00285417" w:rsidP="00DC1333">
            <w:pPr>
              <w:keepNext/>
              <w:keepLines/>
              <w:autoSpaceDE w:val="0"/>
              <w:autoSpaceDN w:val="0"/>
              <w:adjustRightInd w:val="0"/>
              <w:ind w:right="-59"/>
              <w:rPr>
                <w:sz w:val="16"/>
                <w:szCs w:val="16"/>
              </w:rPr>
            </w:pPr>
            <w:r w:rsidRPr="00CA51CD">
              <w:rPr>
                <w:sz w:val="16"/>
                <w:szCs w:val="16"/>
              </w:rPr>
              <w:t>La estrategia de mitigación se aplicó de manera eficaz.  Entre las actividades importantes a las que se dio prioridad y que fueron promocionadas con éxito se encuentran el Día Mundial de la P.I.;  la publicación del Índice Mundial de Innovación;  la publicación del Informe mundial sobre la P.I.;  las Asambleas, y la Conferencia Ministerial de África.</w:t>
            </w:r>
          </w:p>
        </w:tc>
        <w:tc>
          <w:tcPr>
            <w:tcW w:w="2709" w:type="dxa"/>
            <w:tcBorders>
              <w:top w:val="single" w:sz="4" w:space="0" w:color="auto"/>
            </w:tcBorders>
          </w:tcPr>
          <w:p w:rsidR="00285417" w:rsidRPr="00CA51CD" w:rsidRDefault="00285417" w:rsidP="00DC1333">
            <w:pPr>
              <w:keepNext/>
              <w:keepLines/>
              <w:autoSpaceDE w:val="0"/>
              <w:autoSpaceDN w:val="0"/>
              <w:adjustRightInd w:val="0"/>
              <w:ind w:right="-59"/>
              <w:rPr>
                <w:sz w:val="16"/>
                <w:szCs w:val="16"/>
              </w:rPr>
            </w:pPr>
            <w:r w:rsidRPr="00CA51CD">
              <w:rPr>
                <w:sz w:val="16"/>
                <w:szCs w:val="16"/>
              </w:rPr>
              <w:t>Se está consiguiendo repercusión y llamar la atención, tal como demuestra el aumento de la presencia en los medios de comunicación y las redes sociales y el tráfico de los sitios web de las actividades más importantes.</w:t>
            </w:r>
          </w:p>
        </w:tc>
      </w:tr>
      <w:tr w:rsidR="00285417" w:rsidRPr="00CA51CD" w:rsidTr="00DC1333">
        <w:trPr>
          <w:trHeight w:val="961"/>
        </w:trPr>
        <w:tc>
          <w:tcPr>
            <w:tcW w:w="2420" w:type="dxa"/>
            <w:shd w:val="clear" w:color="auto" w:fill="auto"/>
            <w:tcMar>
              <w:top w:w="113" w:type="dxa"/>
              <w:bottom w:w="85" w:type="dxa"/>
            </w:tcMar>
          </w:tcPr>
          <w:p w:rsidR="00285417" w:rsidRPr="00CA51CD" w:rsidRDefault="00285417" w:rsidP="00DC1333">
            <w:pPr>
              <w:keepNext/>
              <w:keepLines/>
              <w:autoSpaceDE w:val="0"/>
              <w:autoSpaceDN w:val="0"/>
              <w:adjustRightInd w:val="0"/>
              <w:ind w:right="-59"/>
              <w:rPr>
                <w:sz w:val="16"/>
                <w:szCs w:val="16"/>
              </w:rPr>
            </w:pPr>
            <w:r w:rsidRPr="00CA51CD">
              <w:rPr>
                <w:sz w:val="16"/>
                <w:szCs w:val="16"/>
              </w:rPr>
              <w:t>La OMPI no consigue evolucionar al ritmo de los cambios tecnológicos y, por tanto, pierde visibilidad e influencia en el entorno de la comunicación digital.</w:t>
            </w:r>
          </w:p>
        </w:tc>
        <w:tc>
          <w:tcPr>
            <w:tcW w:w="2200" w:type="dxa"/>
            <w:shd w:val="clear" w:color="auto" w:fill="auto"/>
            <w:tcMar>
              <w:top w:w="113" w:type="dxa"/>
              <w:bottom w:w="85" w:type="dxa"/>
            </w:tcMar>
          </w:tcPr>
          <w:p w:rsidR="00285417" w:rsidRPr="00CA51CD" w:rsidRDefault="00285417" w:rsidP="00DC1333">
            <w:pPr>
              <w:keepNext/>
              <w:keepLines/>
              <w:autoSpaceDE w:val="0"/>
              <w:autoSpaceDN w:val="0"/>
              <w:adjustRightInd w:val="0"/>
              <w:ind w:right="-59"/>
              <w:rPr>
                <w:sz w:val="16"/>
                <w:szCs w:val="16"/>
              </w:rPr>
            </w:pPr>
            <w:r w:rsidRPr="00CA51CD">
              <w:rPr>
                <w:sz w:val="16"/>
                <w:szCs w:val="16"/>
              </w:rPr>
              <w:t>Se alienta al personal que trabaja en este programa a que adquiera continuamente competencias nuevas y actualice sus conocimientos mediante la formación y el autoaprendizaje.  Las estructuras flexibles permiten compartir los nuevos conocimientos y competencias.  Se están usando las alianzas y los recursos externos con objeto de ampliar la capacidad interna de la OMPI.</w:t>
            </w:r>
          </w:p>
        </w:tc>
        <w:tc>
          <w:tcPr>
            <w:tcW w:w="2310" w:type="dxa"/>
          </w:tcPr>
          <w:p w:rsidR="00285417" w:rsidRPr="00CA51CD" w:rsidRDefault="00285417" w:rsidP="00DC1333">
            <w:pPr>
              <w:keepNext/>
              <w:keepLines/>
              <w:autoSpaceDE w:val="0"/>
              <w:autoSpaceDN w:val="0"/>
              <w:adjustRightInd w:val="0"/>
              <w:ind w:right="-59"/>
              <w:rPr>
                <w:sz w:val="16"/>
                <w:szCs w:val="16"/>
              </w:rPr>
            </w:pPr>
            <w:r w:rsidRPr="00CA51CD">
              <w:rPr>
                <w:sz w:val="16"/>
                <w:szCs w:val="16"/>
              </w:rPr>
              <w:t>Las estrategias de mitigación se aplicaron de manera eficaz.  En la formación sobre conocimientos informáticos se incluyeron aspectos como la usabilidad de los sitios web, redacción de contenidos web, redes sociales, análisis de sitios web y HTML.  Se introdujeron nuevas tecnologías a fin de dotar a la OMPI de una plataforma de alto rendimiento para la comunicación de los boletines de noticias y la comercialización.  Igualmente, la redefinición de las funciones administrativas y basadas en formatos impresos, que ahora están más orientadas al entorno digital, contribuyó a fortalecer las capacidades.</w:t>
            </w:r>
          </w:p>
        </w:tc>
        <w:tc>
          <w:tcPr>
            <w:tcW w:w="2709" w:type="dxa"/>
          </w:tcPr>
          <w:p w:rsidR="00285417" w:rsidRPr="00CA51CD" w:rsidRDefault="00285417" w:rsidP="00DC1333">
            <w:pPr>
              <w:keepNext/>
              <w:keepLines/>
              <w:autoSpaceDE w:val="0"/>
              <w:autoSpaceDN w:val="0"/>
              <w:adjustRightInd w:val="0"/>
              <w:ind w:right="-59"/>
              <w:rPr>
                <w:sz w:val="16"/>
                <w:szCs w:val="16"/>
              </w:rPr>
            </w:pPr>
            <w:r w:rsidRPr="00CA51CD">
              <w:rPr>
                <w:sz w:val="16"/>
                <w:szCs w:val="16"/>
              </w:rPr>
              <w:t>Sin incidencia importante en el rendimiento del programa excepto en el ámbito de los análisis de sitios web, en que el retraso en la puesta en funcionamiento de nuevas herramientas mermó la capacidad del programa para medir determinados indicadores clave de rendimiento.</w:t>
            </w:r>
          </w:p>
        </w:tc>
      </w:tr>
    </w:tbl>
    <w:p w:rsidR="00285417" w:rsidRDefault="00285417" w:rsidP="00DC1333">
      <w:pPr>
        <w:rPr>
          <w:szCs w:val="22"/>
        </w:rPr>
      </w:pPr>
    </w:p>
    <w:p w:rsidR="00285417" w:rsidRPr="00CA51CD" w:rsidRDefault="00285417" w:rsidP="00DC1333">
      <w:pPr>
        <w:rPr>
          <w:szCs w:val="22"/>
        </w:rPr>
      </w:pPr>
    </w:p>
    <w:p w:rsidR="00285417" w:rsidRPr="00CA51CD" w:rsidRDefault="00403D2C" w:rsidP="00F46605">
      <w:pPr>
        <w:keepNext/>
        <w:rPr>
          <w:szCs w:val="22"/>
        </w:rPr>
      </w:pPr>
      <w:r w:rsidRPr="00403D2C">
        <w:rPr>
          <w:sz w:val="20"/>
          <w:szCs w:val="22"/>
        </w:rPr>
        <w:lastRenderedPageBreak/>
        <w:t>UTILIZACIÓN DE LOS RECURSOS</w:t>
      </w:r>
    </w:p>
    <w:p w:rsidR="00285417" w:rsidRPr="00CA51CD" w:rsidRDefault="00285417" w:rsidP="00F46605">
      <w:pPr>
        <w:keepNext/>
        <w:jc w:val="both"/>
      </w:pPr>
    </w:p>
    <w:p w:rsidR="00285417" w:rsidRPr="00CA51CD" w:rsidRDefault="00285417" w:rsidP="00F46605">
      <w:pPr>
        <w:pStyle w:val="NormalWeb"/>
        <w:keepNext/>
        <w:spacing w:before="0" w:beforeAutospacing="0" w:after="0" w:afterAutospacing="0"/>
        <w:jc w:val="center"/>
        <w:rPr>
          <w:sz w:val="20"/>
          <w:szCs w:val="20"/>
          <w:lang w:val="es-ES"/>
        </w:rPr>
      </w:pPr>
      <w:r w:rsidRPr="00CA51CD">
        <w:rPr>
          <w:sz w:val="20"/>
          <w:szCs w:val="20"/>
          <w:lang w:val="es-ES"/>
        </w:rPr>
        <w:t>Presupuesto y gastos reales (por resultado)</w:t>
      </w:r>
    </w:p>
    <w:p w:rsidR="00285417" w:rsidRPr="00CA51CD" w:rsidRDefault="00285417" w:rsidP="00F46605">
      <w:pPr>
        <w:pStyle w:val="NormalWeb"/>
        <w:keepNext/>
        <w:spacing w:before="0" w:beforeAutospacing="0" w:after="0" w:afterAutospacing="0"/>
        <w:jc w:val="center"/>
        <w:rPr>
          <w:i/>
          <w:iCs/>
          <w:sz w:val="20"/>
          <w:szCs w:val="20"/>
          <w:lang w:val="es-ES"/>
        </w:rPr>
      </w:pPr>
      <w:r w:rsidRPr="00CA51CD">
        <w:rPr>
          <w:i/>
          <w:iCs/>
          <w:sz w:val="20"/>
          <w:szCs w:val="20"/>
          <w:lang w:val="es-ES"/>
        </w:rPr>
        <w:t>(</w:t>
      </w:r>
      <w:proofErr w:type="gramStart"/>
      <w:r w:rsidRPr="00CA51CD">
        <w:rPr>
          <w:i/>
          <w:iCs/>
          <w:sz w:val="20"/>
          <w:szCs w:val="20"/>
          <w:lang w:val="es-ES"/>
        </w:rPr>
        <w:t>en</w:t>
      </w:r>
      <w:proofErr w:type="gramEnd"/>
      <w:r w:rsidRPr="00CA51CD">
        <w:rPr>
          <w:i/>
          <w:iCs/>
          <w:sz w:val="20"/>
          <w:szCs w:val="20"/>
          <w:lang w:val="es-ES"/>
        </w:rPr>
        <w:t xml:space="preserve"> miles de francos suizos)</w:t>
      </w:r>
    </w:p>
    <w:p w:rsidR="00285417" w:rsidRPr="00CA51CD" w:rsidRDefault="00285417" w:rsidP="00F46605">
      <w:pPr>
        <w:pStyle w:val="NormalWeb"/>
        <w:keepNext/>
        <w:spacing w:before="0" w:beforeAutospacing="0" w:after="0" w:afterAutospacing="0"/>
        <w:jc w:val="center"/>
        <w:rPr>
          <w:i/>
          <w:iCs/>
          <w:sz w:val="20"/>
          <w:szCs w:val="20"/>
          <w:lang w:val="es-ES"/>
        </w:rPr>
      </w:pPr>
    </w:p>
    <w:p w:rsidR="00285417" w:rsidRPr="00CA51CD" w:rsidRDefault="00285417" w:rsidP="00F46605">
      <w:pPr>
        <w:pStyle w:val="NormalWeb"/>
        <w:keepNext/>
        <w:spacing w:before="0" w:beforeAutospacing="0" w:after="0" w:afterAutospacing="0"/>
        <w:jc w:val="center"/>
        <w:rPr>
          <w:sz w:val="20"/>
          <w:szCs w:val="20"/>
          <w:lang w:val="es-ES"/>
        </w:rPr>
      </w:pPr>
      <w:bookmarkStart w:id="162" w:name="Bm19"/>
      <w:bookmarkStart w:id="163" w:name="Punto19"/>
      <w:r>
        <w:rPr>
          <w:noProof/>
        </w:rPr>
        <w:drawing>
          <wp:inline distT="0" distB="0" distL="0" distR="0" wp14:anchorId="28B31889" wp14:editId="79C10E4B">
            <wp:extent cx="5676900" cy="1552575"/>
            <wp:effectExtent l="0" t="0" r="0" b="9525"/>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5676900" cy="1552575"/>
                    </a:xfrm>
                    <a:prstGeom prst="rect">
                      <a:avLst/>
                    </a:prstGeom>
                    <a:noFill/>
                    <a:ln>
                      <a:noFill/>
                    </a:ln>
                  </pic:spPr>
                </pic:pic>
              </a:graphicData>
            </a:graphic>
          </wp:inline>
        </w:drawing>
      </w:r>
      <w:bookmarkEnd w:id="162"/>
      <w:bookmarkEnd w:id="163"/>
    </w:p>
    <w:p w:rsidR="00285417" w:rsidRPr="00CA51CD" w:rsidRDefault="00285417" w:rsidP="00DC1333">
      <w:pPr>
        <w:jc w:val="both"/>
      </w:pPr>
    </w:p>
    <w:p w:rsidR="00285417" w:rsidRPr="00CA51CD" w:rsidRDefault="00285417" w:rsidP="00DC1333">
      <w:pPr>
        <w:pStyle w:val="NormalWeb"/>
        <w:keepNext/>
        <w:spacing w:before="0" w:beforeAutospacing="0" w:after="0" w:afterAutospacing="0"/>
        <w:jc w:val="center"/>
        <w:rPr>
          <w:sz w:val="20"/>
          <w:szCs w:val="20"/>
          <w:lang w:val="es-ES"/>
        </w:rPr>
      </w:pPr>
      <w:r w:rsidRPr="00CA51CD">
        <w:rPr>
          <w:sz w:val="20"/>
          <w:szCs w:val="20"/>
          <w:lang w:val="es-ES"/>
        </w:rPr>
        <w:t>Presupuesto y gastos reales (de personal y no relativos a personal)</w:t>
      </w:r>
    </w:p>
    <w:p w:rsidR="00285417" w:rsidRPr="00CA51CD" w:rsidRDefault="00285417" w:rsidP="00DC1333">
      <w:pPr>
        <w:pStyle w:val="NormalWeb"/>
        <w:keepNext/>
        <w:spacing w:before="0" w:beforeAutospacing="0" w:after="0" w:afterAutospacing="0"/>
        <w:jc w:val="center"/>
        <w:rPr>
          <w:i/>
          <w:iCs/>
          <w:sz w:val="20"/>
          <w:szCs w:val="20"/>
          <w:lang w:val="es-ES"/>
        </w:rPr>
      </w:pPr>
      <w:r w:rsidRPr="00CA51CD">
        <w:rPr>
          <w:i/>
          <w:iCs/>
          <w:sz w:val="20"/>
          <w:szCs w:val="20"/>
          <w:lang w:val="es-ES"/>
        </w:rPr>
        <w:t>(</w:t>
      </w:r>
      <w:proofErr w:type="gramStart"/>
      <w:r w:rsidRPr="00CA51CD">
        <w:rPr>
          <w:i/>
          <w:iCs/>
          <w:sz w:val="20"/>
          <w:szCs w:val="20"/>
          <w:lang w:val="es-ES"/>
        </w:rPr>
        <w:t>en</w:t>
      </w:r>
      <w:proofErr w:type="gramEnd"/>
      <w:r w:rsidRPr="00CA51CD">
        <w:rPr>
          <w:i/>
          <w:iCs/>
          <w:sz w:val="20"/>
          <w:szCs w:val="20"/>
          <w:lang w:val="es-ES"/>
        </w:rPr>
        <w:t xml:space="preserve"> miles de francos suizos)</w:t>
      </w:r>
    </w:p>
    <w:p w:rsidR="00285417" w:rsidRPr="00CA51CD" w:rsidRDefault="00285417" w:rsidP="00DC1333">
      <w:pPr>
        <w:pStyle w:val="NormalWeb"/>
        <w:keepNext/>
        <w:spacing w:before="0" w:beforeAutospacing="0" w:after="0" w:afterAutospacing="0"/>
        <w:jc w:val="both"/>
        <w:rPr>
          <w:lang w:val="es-ES"/>
        </w:rPr>
      </w:pPr>
    </w:p>
    <w:p w:rsidR="00285417" w:rsidRPr="00CA51CD" w:rsidRDefault="00285417" w:rsidP="00DC1333">
      <w:pPr>
        <w:keepNext/>
        <w:jc w:val="center"/>
      </w:pPr>
      <w:bookmarkStart w:id="164" w:name="Point19"/>
      <w:r>
        <w:rPr>
          <w:noProof/>
          <w:lang w:val="en-US" w:eastAsia="en-US"/>
        </w:rPr>
        <w:drawing>
          <wp:inline distT="0" distB="0" distL="0" distR="0" wp14:anchorId="7E4E3ADE" wp14:editId="1A355EF2">
            <wp:extent cx="5940425" cy="1045921"/>
            <wp:effectExtent l="0" t="0" r="3175" b="1905"/>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5940425" cy="1045921"/>
                    </a:xfrm>
                    <a:prstGeom prst="rect">
                      <a:avLst/>
                    </a:prstGeom>
                    <a:noFill/>
                    <a:ln>
                      <a:noFill/>
                    </a:ln>
                  </pic:spPr>
                </pic:pic>
              </a:graphicData>
            </a:graphic>
          </wp:inline>
        </w:drawing>
      </w:r>
      <w:bookmarkEnd w:id="164"/>
    </w:p>
    <w:p w:rsidR="00285417" w:rsidRDefault="00285417" w:rsidP="00DC1333">
      <w:pPr>
        <w:keepNext/>
        <w:autoSpaceDE w:val="0"/>
        <w:autoSpaceDN w:val="0"/>
        <w:jc w:val="both"/>
        <w:rPr>
          <w:sz w:val="20"/>
          <w:lang w:eastAsia="ko-KR"/>
        </w:rPr>
      </w:pPr>
    </w:p>
    <w:p w:rsidR="00285417" w:rsidRPr="00CA51CD" w:rsidRDefault="00285417" w:rsidP="00DC1333">
      <w:pPr>
        <w:autoSpaceDE w:val="0"/>
        <w:autoSpaceDN w:val="0"/>
        <w:jc w:val="both"/>
        <w:rPr>
          <w:sz w:val="20"/>
          <w:lang w:eastAsia="ko-KR"/>
        </w:rPr>
      </w:pPr>
    </w:p>
    <w:p w:rsidR="00285417" w:rsidRPr="00CA51CD" w:rsidRDefault="00403D2C" w:rsidP="00CC3B44">
      <w:pPr>
        <w:tabs>
          <w:tab w:val="left" w:pos="709"/>
        </w:tabs>
        <w:rPr>
          <w:sz w:val="20"/>
          <w:u w:val="single"/>
        </w:rPr>
      </w:pPr>
      <w:r w:rsidRPr="00403D2C">
        <w:rPr>
          <w:sz w:val="20"/>
        </w:rPr>
        <w:t>A.</w:t>
      </w:r>
      <w:r w:rsidRPr="00403D2C">
        <w:rPr>
          <w:sz w:val="20"/>
        </w:rPr>
        <w:tab/>
      </w:r>
      <w:r w:rsidRPr="00403D2C">
        <w:rPr>
          <w:sz w:val="20"/>
          <w:u w:val="single"/>
        </w:rPr>
        <w:t>Presupuesto final de 2014/15 tras las transferencias</w:t>
      </w:r>
    </w:p>
    <w:p w:rsidR="00285417" w:rsidRPr="00CA51CD" w:rsidRDefault="00285417" w:rsidP="00DC1333">
      <w:pPr>
        <w:autoSpaceDE w:val="0"/>
        <w:autoSpaceDN w:val="0"/>
        <w:jc w:val="both"/>
        <w:rPr>
          <w:sz w:val="20"/>
          <w:lang w:eastAsia="ko-KR"/>
        </w:rPr>
      </w:pPr>
    </w:p>
    <w:p w:rsidR="00285417" w:rsidRPr="00CA51CD" w:rsidRDefault="00285417" w:rsidP="00285417">
      <w:pPr>
        <w:pStyle w:val="ListParagraph"/>
        <w:numPr>
          <w:ilvl w:val="0"/>
          <w:numId w:val="88"/>
        </w:numPr>
        <w:tabs>
          <w:tab w:val="left" w:pos="709"/>
        </w:tabs>
        <w:ind w:left="0" w:firstLine="0"/>
        <w:jc w:val="both"/>
        <w:rPr>
          <w:rFonts w:cs="Arial"/>
          <w:lang w:val="es-ES" w:eastAsia="ko-KR"/>
        </w:rPr>
      </w:pPr>
      <w:r w:rsidRPr="00CA51CD">
        <w:rPr>
          <w:rFonts w:cs="Arial"/>
          <w:lang w:val="es-ES" w:eastAsia="ko-KR"/>
        </w:rPr>
        <w:t>La disminución del presupuesto final de 2014/15 tras las transferencias se debió principalmente a:  i) la transferencia del Centro de Información de la OMPI al programa 21 (Gestión ejecutiva) en el segundo semestre de 2014;  ii) la transferencia de recursos de personal para dar respuesta al aumento del volumen de trabajo en el Registro de La Haya a raíz de la adhesión de más países al Acta de Ginebra (1999) del Arreglo de La Haya, y la transferencia de recursos no relativos a personal para un pasante (al programa 23 donde está centralizada la gestión de pasantías) con el objeto de apoyar el trabajo de la Revista de la OMPI y asistir en la preparación del Día Mundial de la P.I. de 2015.</w:t>
      </w:r>
    </w:p>
    <w:p w:rsidR="00285417" w:rsidRPr="00CA51CD" w:rsidRDefault="00285417" w:rsidP="00DC1333">
      <w:pPr>
        <w:autoSpaceDE w:val="0"/>
        <w:autoSpaceDN w:val="0"/>
        <w:jc w:val="both"/>
        <w:rPr>
          <w:sz w:val="20"/>
          <w:lang w:eastAsia="ko-KR"/>
        </w:rPr>
      </w:pPr>
    </w:p>
    <w:p w:rsidR="00285417" w:rsidRPr="00CA51CD" w:rsidRDefault="00403D2C" w:rsidP="00CC3B44">
      <w:pPr>
        <w:tabs>
          <w:tab w:val="left" w:pos="709"/>
        </w:tabs>
        <w:jc w:val="both"/>
        <w:rPr>
          <w:sz w:val="20"/>
          <w:u w:val="single"/>
          <w:lang w:eastAsia="ko-KR"/>
        </w:rPr>
      </w:pPr>
      <w:r w:rsidRPr="00403D2C">
        <w:rPr>
          <w:sz w:val="20"/>
          <w:lang w:eastAsia="ko-KR"/>
        </w:rPr>
        <w:t>B.</w:t>
      </w:r>
      <w:r w:rsidRPr="00403D2C">
        <w:rPr>
          <w:sz w:val="20"/>
          <w:lang w:eastAsia="ko-KR"/>
        </w:rPr>
        <w:tab/>
      </w:r>
      <w:r w:rsidRPr="00403D2C">
        <w:rPr>
          <w:sz w:val="20"/>
          <w:u w:val="single"/>
          <w:lang w:eastAsia="ko-KR"/>
        </w:rPr>
        <w:t>Utilización del presupuesto en 2014/15</w:t>
      </w:r>
    </w:p>
    <w:p w:rsidR="00285417" w:rsidRPr="00CA51CD" w:rsidRDefault="00285417" w:rsidP="00DC1333">
      <w:pPr>
        <w:tabs>
          <w:tab w:val="left" w:pos="709"/>
        </w:tabs>
        <w:jc w:val="both"/>
        <w:rPr>
          <w:sz w:val="20"/>
          <w:u w:val="single"/>
          <w:lang w:eastAsia="ko-KR"/>
        </w:rPr>
      </w:pPr>
    </w:p>
    <w:p w:rsidR="00285417" w:rsidRPr="00CA51CD" w:rsidRDefault="00285417" w:rsidP="00285417">
      <w:pPr>
        <w:pStyle w:val="ListParagraph"/>
        <w:numPr>
          <w:ilvl w:val="0"/>
          <w:numId w:val="88"/>
        </w:numPr>
        <w:tabs>
          <w:tab w:val="left" w:pos="709"/>
        </w:tabs>
        <w:ind w:left="0" w:firstLine="0"/>
        <w:jc w:val="both"/>
        <w:rPr>
          <w:lang w:val="es-ES"/>
        </w:rPr>
      </w:pPr>
      <w:r w:rsidRPr="00CA51CD">
        <w:rPr>
          <w:lang w:val="es-ES"/>
        </w:rPr>
        <w:t xml:space="preserve">Los gastos de personal fueron ligeramente inferiores a lo presupuestado debido a la jubilación de algunos empleados y la demora posterior para cubrir los puestos vacantes.  Los gastos no relativos a personal fueron inferiores a lo presupuestado debido fundamentalmente al aplazamiento de una encuesta y comentarios sobre el Sistema de La Haya y el aplazamiento parcial hasta el próximo bienio de la ejecución de dos proyectos de T.I. (la base de datos de contacto </w:t>
      </w:r>
      <w:proofErr w:type="spellStart"/>
      <w:r w:rsidRPr="00CA51CD">
        <w:rPr>
          <w:lang w:val="es-ES"/>
        </w:rPr>
        <w:t>PROdest</w:t>
      </w:r>
      <w:proofErr w:type="spellEnd"/>
      <w:r w:rsidRPr="00CA51CD">
        <w:rPr>
          <w:lang w:val="es-ES"/>
        </w:rPr>
        <w:t xml:space="preserve"> y el sistema de distribución de llamadas ACD).</w:t>
      </w:r>
    </w:p>
    <w:p w:rsidR="00285417" w:rsidRDefault="00285417"/>
    <w:p w:rsidR="00285417" w:rsidRDefault="00285417"/>
    <w:p w:rsidR="00285417" w:rsidRPr="00CA51CD" w:rsidRDefault="00285417"/>
    <w:p w:rsidR="00285417" w:rsidRDefault="00285417">
      <w:r>
        <w:br w:type="page"/>
      </w:r>
    </w:p>
    <w:p w:rsidR="001C19F7" w:rsidRPr="001C19F7" w:rsidRDefault="001C19F7" w:rsidP="001C19F7">
      <w:pPr>
        <w:pStyle w:val="Heading2"/>
        <w:tabs>
          <w:tab w:val="left" w:pos="-1985"/>
        </w:tabs>
        <w:ind w:left="2552" w:hanging="2552"/>
        <w:rPr>
          <w:b/>
          <w:lang w:eastAsia="en-US"/>
        </w:rPr>
      </w:pPr>
      <w:bookmarkStart w:id="165" w:name="_Toc422210508"/>
      <w:bookmarkStart w:id="166" w:name="_Toc455159101"/>
      <w:r w:rsidRPr="001C19F7">
        <w:rPr>
          <w:b/>
          <w:lang w:eastAsia="en-US"/>
        </w:rPr>
        <w:lastRenderedPageBreak/>
        <w:t>PROGRAMA 20</w:t>
      </w:r>
      <w:r w:rsidRPr="001C19F7">
        <w:rPr>
          <w:b/>
          <w:lang w:eastAsia="en-US"/>
        </w:rPr>
        <w:tab/>
        <w:t>RELACIONES EXTERIORES, ALIANZAS Y OFICINAS EN EL EXTERIOR</w:t>
      </w:r>
      <w:bookmarkEnd w:id="165"/>
      <w:bookmarkEnd w:id="166"/>
    </w:p>
    <w:p w:rsidR="001C19F7" w:rsidRPr="001C19F7" w:rsidRDefault="001C19F7" w:rsidP="001C19F7">
      <w:pPr>
        <w:ind w:left="1985" w:hanging="1985"/>
        <w:rPr>
          <w:color w:val="000000" w:themeColor="text1"/>
          <w:sz w:val="20"/>
        </w:rPr>
      </w:pPr>
    </w:p>
    <w:p w:rsidR="001C19F7" w:rsidRPr="001C19F7" w:rsidRDefault="001C19F7" w:rsidP="001C19F7">
      <w:pPr>
        <w:ind w:left="2552" w:hanging="2552"/>
        <w:jc w:val="both"/>
        <w:rPr>
          <w:b/>
          <w:sz w:val="20"/>
        </w:rPr>
      </w:pPr>
      <w:r w:rsidRPr="001C19F7">
        <w:rPr>
          <w:b/>
          <w:sz w:val="20"/>
        </w:rPr>
        <w:t>Directores de programa</w:t>
      </w:r>
      <w:r w:rsidRPr="001C19F7">
        <w:rPr>
          <w:b/>
          <w:sz w:val="20"/>
        </w:rPr>
        <w:tab/>
        <w:t>Director General</w:t>
      </w:r>
    </w:p>
    <w:p w:rsidR="001C19F7" w:rsidRPr="001C19F7" w:rsidRDefault="001C19F7" w:rsidP="001C19F7">
      <w:pPr>
        <w:ind w:left="2552" w:hanging="2552"/>
        <w:jc w:val="both"/>
        <w:rPr>
          <w:b/>
          <w:sz w:val="20"/>
        </w:rPr>
      </w:pPr>
      <w:r w:rsidRPr="001C19F7">
        <w:rPr>
          <w:b/>
          <w:sz w:val="20"/>
        </w:rPr>
        <w:tab/>
        <w:t>Sr. M. A. Getahun</w:t>
      </w:r>
    </w:p>
    <w:p w:rsidR="001C19F7" w:rsidRPr="00121C2F" w:rsidRDefault="001C19F7" w:rsidP="001C19F7">
      <w:pPr>
        <w:ind w:left="2552" w:hanging="2552"/>
        <w:jc w:val="both"/>
        <w:rPr>
          <w:b/>
          <w:sz w:val="20"/>
        </w:rPr>
      </w:pPr>
      <w:r w:rsidRPr="001C19F7">
        <w:rPr>
          <w:b/>
          <w:sz w:val="20"/>
        </w:rPr>
        <w:tab/>
      </w:r>
      <w:r w:rsidRPr="00121C2F">
        <w:rPr>
          <w:b/>
          <w:sz w:val="20"/>
        </w:rPr>
        <w:t>Sr. Y. Takagi</w:t>
      </w:r>
    </w:p>
    <w:p w:rsidR="001C19F7" w:rsidRPr="00121C2F" w:rsidRDefault="001C19F7" w:rsidP="001C19F7">
      <w:pPr>
        <w:ind w:left="2552" w:hanging="2552"/>
        <w:jc w:val="both"/>
        <w:rPr>
          <w:b/>
          <w:sz w:val="20"/>
          <w:lang w:val="fr-CH"/>
        </w:rPr>
      </w:pPr>
      <w:r w:rsidRPr="00121C2F">
        <w:rPr>
          <w:b/>
          <w:sz w:val="20"/>
        </w:rPr>
        <w:tab/>
      </w:r>
      <w:proofErr w:type="spellStart"/>
      <w:r w:rsidRPr="00121C2F">
        <w:rPr>
          <w:b/>
          <w:sz w:val="20"/>
          <w:lang w:val="fr-CH"/>
        </w:rPr>
        <w:t>Sra</w:t>
      </w:r>
      <w:proofErr w:type="spellEnd"/>
      <w:r w:rsidRPr="00121C2F">
        <w:rPr>
          <w:b/>
          <w:sz w:val="20"/>
          <w:lang w:val="fr-CH"/>
        </w:rPr>
        <w:t>. B. Wang</w:t>
      </w:r>
    </w:p>
    <w:p w:rsidR="001C19F7" w:rsidRPr="001C19F7" w:rsidRDefault="001C19F7" w:rsidP="001C19F7">
      <w:pPr>
        <w:rPr>
          <w:color w:val="000000" w:themeColor="text1"/>
          <w:sz w:val="20"/>
          <w:lang w:val="de-DE"/>
        </w:rPr>
      </w:pPr>
    </w:p>
    <w:p w:rsidR="001C19F7" w:rsidRPr="001C19F7" w:rsidRDefault="001C19F7" w:rsidP="001C19F7">
      <w:pPr>
        <w:jc w:val="both"/>
        <w:rPr>
          <w:bCs/>
          <w:color w:val="000000" w:themeColor="text1"/>
          <w:sz w:val="20"/>
        </w:rPr>
      </w:pPr>
      <w:r w:rsidRPr="001C19F7">
        <w:rPr>
          <w:bCs/>
          <w:sz w:val="20"/>
        </w:rPr>
        <w:t>LOGROS ALCANZADOS EN EL BIENIO 2014/15</w:t>
      </w:r>
    </w:p>
    <w:p w:rsidR="001C19F7" w:rsidRPr="001C19F7" w:rsidRDefault="001C19F7" w:rsidP="001C19F7">
      <w:pPr>
        <w:jc w:val="both"/>
        <w:rPr>
          <w:bCs/>
          <w:color w:val="000000" w:themeColor="text1"/>
          <w:sz w:val="20"/>
        </w:rPr>
      </w:pPr>
    </w:p>
    <w:p w:rsidR="001C19F7" w:rsidRPr="001C19F7" w:rsidRDefault="001C19F7" w:rsidP="001C19F7">
      <w:pPr>
        <w:jc w:val="both"/>
        <w:rPr>
          <w:color w:val="000000" w:themeColor="text1"/>
          <w:sz w:val="20"/>
        </w:rPr>
      </w:pPr>
    </w:p>
    <w:p w:rsidR="001C19F7" w:rsidRPr="001C19F7" w:rsidRDefault="001C19F7" w:rsidP="001C19F7">
      <w:pPr>
        <w:spacing w:after="200" w:line="276" w:lineRule="auto"/>
        <w:jc w:val="both"/>
        <w:rPr>
          <w:color w:val="000000" w:themeColor="text1"/>
          <w:sz w:val="20"/>
        </w:rPr>
      </w:pPr>
      <w:r w:rsidRPr="001C19F7">
        <w:rPr>
          <w:color w:val="000000" w:themeColor="text1"/>
          <w:sz w:val="20"/>
        </w:rPr>
        <w:t>RELACIONES EXTERIORES Y ALIANZAS (Sr. M. A. Getahun)</w:t>
      </w:r>
    </w:p>
    <w:p w:rsidR="001C19F7" w:rsidRPr="001C19F7" w:rsidRDefault="001C19F7" w:rsidP="00276C89">
      <w:pPr>
        <w:pStyle w:val="ListParagraph"/>
        <w:numPr>
          <w:ilvl w:val="0"/>
          <w:numId w:val="94"/>
        </w:numPr>
        <w:tabs>
          <w:tab w:val="left" w:pos="709"/>
        </w:tabs>
        <w:ind w:left="0" w:firstLine="0"/>
        <w:jc w:val="both"/>
        <w:rPr>
          <w:color w:val="000000" w:themeColor="text1"/>
          <w:lang w:val="es-ES"/>
        </w:rPr>
      </w:pPr>
      <w:r w:rsidRPr="001C19F7">
        <w:rPr>
          <w:color w:val="000000" w:themeColor="text1"/>
          <w:lang w:val="es-ES"/>
        </w:rPr>
        <w:t>En el bienio 2014/15, las NN.UU. y sus Estados miembros concluyeron varios procesos importantes de negociación relacionados con la labor de la OMPI.  Estos procesos fueron, entre otros, la aprobación de la Agenda de Acción de Addis Abeba (AAAA) durante la Tercera Conferencia sobre la Financiación para el Desarrollo (FFD3);  la aprobación de la agenda para el desarrollo después de 2015 “Transformar nuestro mundo: la Agenda 2030 para el Desarrollo Sostenible”;  y la aprobación del Acuerdo de París en el contexto de la Convención Marco de las Naciones Unidas sobre el Cambio Climático (CMNUCC).  Como organismo especializado de las NN.UU. y en sintonía con su mandato y con las recomendaciones 30 y 40 de su  Agenda para el Desarrollo (A.D.), la OMPI siguió desempeñando la función que le incumbe en esas iniciativas, participando y contribuyendo a las mismas de forma estratégica y aportando información atinada y fundamentada y respuestas oportunas a solicitudes concretas de contribución y cooperación.  En el marco del programa 20, también por conducto de las actividades de la Oficina de la OMPI en Nueva York, se participó, entre otras cosas, en 2014/15, en:</w:t>
      </w:r>
    </w:p>
    <w:p w:rsidR="001C19F7" w:rsidRPr="001C19F7" w:rsidRDefault="001C19F7" w:rsidP="001C19F7">
      <w:pPr>
        <w:pStyle w:val="ListParagraph"/>
        <w:ind w:left="0"/>
        <w:jc w:val="both"/>
        <w:rPr>
          <w:rFonts w:cs="Arial"/>
          <w:color w:val="000000" w:themeColor="text1"/>
          <w:lang w:val="es-ES"/>
        </w:rPr>
      </w:pPr>
    </w:p>
    <w:p w:rsidR="001C19F7" w:rsidRPr="001C19F7" w:rsidRDefault="001C19F7" w:rsidP="001C19F7">
      <w:pPr>
        <w:pStyle w:val="ListParagraph"/>
        <w:numPr>
          <w:ilvl w:val="0"/>
          <w:numId w:val="97"/>
        </w:numPr>
        <w:ind w:left="720"/>
        <w:jc w:val="both"/>
        <w:rPr>
          <w:rFonts w:cs="Arial"/>
          <w:color w:val="000000" w:themeColor="text1"/>
          <w:lang w:val="es-ES"/>
        </w:rPr>
      </w:pPr>
      <w:r w:rsidRPr="001C19F7">
        <w:rPr>
          <w:color w:val="000000" w:themeColor="text1"/>
          <w:lang w:val="es-ES"/>
        </w:rPr>
        <w:t xml:space="preserve">la puesta en práctica de las conclusiones de la Cumbre Mundial sobre la Sociedad de la Información (CMSI) y el examen de 10 años de la aplicación y el seguimiento de los resultados de la CMSI en respuesta a la resolución 2013/9 del Consejo Económico y Social (ECOSOC) y con arreglo a la recomendación 24 de la A.D.  La OMPI también participó activamente en las reuniones de alto nivel vinculadas al examen y seguimiento de los diez primeros años de la CMSI (CMSI+10) en 2014 y 2015.  En 2014 y 2015, el Director General pronunció un discurso en las sesiones inaugurales.  Asimismo la OMPI participó activamente en el Foro para la Gobernanza de Internet (IGF) en 2014 como colaboradora en la organización de dos talleres, uno sobre empresas creativas </w:t>
      </w:r>
      <w:r w:rsidRPr="001C19F7">
        <w:rPr>
          <w:i/>
          <w:color w:val="000000" w:themeColor="text1"/>
          <w:lang w:val="es-ES"/>
        </w:rPr>
        <w:t>“</w:t>
      </w:r>
      <w:proofErr w:type="spellStart"/>
      <w:r w:rsidRPr="001C19F7">
        <w:rPr>
          <w:i/>
          <w:color w:val="000000" w:themeColor="text1"/>
          <w:lang w:val="es-ES"/>
        </w:rPr>
        <w:t>The</w:t>
      </w:r>
      <w:proofErr w:type="spellEnd"/>
      <w:r w:rsidRPr="001C19F7">
        <w:rPr>
          <w:i/>
          <w:color w:val="000000" w:themeColor="text1"/>
          <w:lang w:val="es-ES"/>
        </w:rPr>
        <w:t xml:space="preserve"> Business of </w:t>
      </w:r>
      <w:proofErr w:type="spellStart"/>
      <w:r w:rsidRPr="001C19F7">
        <w:rPr>
          <w:i/>
          <w:color w:val="000000" w:themeColor="text1"/>
          <w:lang w:val="es-ES"/>
        </w:rPr>
        <w:t>Creativity</w:t>
      </w:r>
      <w:proofErr w:type="spellEnd"/>
      <w:r w:rsidRPr="001C19F7">
        <w:rPr>
          <w:i/>
          <w:color w:val="000000" w:themeColor="text1"/>
          <w:lang w:val="es-ES"/>
        </w:rPr>
        <w:t>”</w:t>
      </w:r>
      <w:r w:rsidRPr="001C19F7">
        <w:rPr>
          <w:color w:val="000000" w:themeColor="text1"/>
          <w:lang w:val="es-ES"/>
        </w:rPr>
        <w:t xml:space="preserve"> y el otro sobre la creación y la protección de la cultura digital y el fomento del acceso a dicha cultura </w:t>
      </w:r>
      <w:r w:rsidRPr="001C19F7">
        <w:rPr>
          <w:i/>
          <w:color w:val="000000" w:themeColor="text1"/>
          <w:lang w:val="es-ES"/>
        </w:rPr>
        <w:t>“</w:t>
      </w:r>
      <w:proofErr w:type="spellStart"/>
      <w:r w:rsidRPr="001C19F7">
        <w:rPr>
          <w:i/>
          <w:color w:val="000000" w:themeColor="text1"/>
          <w:lang w:val="es-ES"/>
        </w:rPr>
        <w:t>Creating</w:t>
      </w:r>
      <w:proofErr w:type="spellEnd"/>
      <w:r w:rsidRPr="001C19F7">
        <w:rPr>
          <w:i/>
          <w:color w:val="000000" w:themeColor="text1"/>
          <w:lang w:val="es-ES"/>
        </w:rPr>
        <w:t xml:space="preserve">, </w:t>
      </w:r>
      <w:proofErr w:type="spellStart"/>
      <w:r w:rsidRPr="001C19F7">
        <w:rPr>
          <w:i/>
          <w:color w:val="000000" w:themeColor="text1"/>
          <w:lang w:val="es-ES"/>
        </w:rPr>
        <w:t>Protecting</w:t>
      </w:r>
      <w:proofErr w:type="spellEnd"/>
      <w:r w:rsidRPr="001C19F7">
        <w:rPr>
          <w:i/>
          <w:color w:val="000000" w:themeColor="text1"/>
          <w:lang w:val="es-ES"/>
        </w:rPr>
        <w:t xml:space="preserve">, and </w:t>
      </w:r>
      <w:proofErr w:type="spellStart"/>
      <w:r w:rsidRPr="001C19F7">
        <w:rPr>
          <w:i/>
          <w:color w:val="000000" w:themeColor="text1"/>
          <w:lang w:val="es-ES"/>
        </w:rPr>
        <w:t>Providing</w:t>
      </w:r>
      <w:proofErr w:type="spellEnd"/>
      <w:r w:rsidRPr="001C19F7">
        <w:rPr>
          <w:i/>
          <w:color w:val="000000" w:themeColor="text1"/>
          <w:lang w:val="es-ES"/>
        </w:rPr>
        <w:t xml:space="preserve"> Access to Digital Culture”.</w:t>
      </w:r>
      <w:r w:rsidRPr="001C19F7">
        <w:rPr>
          <w:color w:val="000000" w:themeColor="text1"/>
          <w:lang w:val="es-ES"/>
        </w:rPr>
        <w:t xml:space="preserve">  En 2015, también se organizó un For</w:t>
      </w:r>
      <w:r w:rsidR="00427C67">
        <w:rPr>
          <w:color w:val="000000" w:themeColor="text1"/>
          <w:lang w:val="es-ES"/>
        </w:rPr>
        <w:t>o Abierto de la OMPI que examinó</w:t>
      </w:r>
      <w:r w:rsidRPr="001C19F7">
        <w:rPr>
          <w:color w:val="000000" w:themeColor="text1"/>
          <w:lang w:val="es-ES"/>
        </w:rPr>
        <w:t xml:space="preserve"> su labor y su colaboración con </w:t>
      </w:r>
      <w:proofErr w:type="spellStart"/>
      <w:r w:rsidRPr="001C19F7">
        <w:rPr>
          <w:i/>
          <w:color w:val="000000" w:themeColor="text1"/>
          <w:lang w:val="es-ES"/>
        </w:rPr>
        <w:t>Creative</w:t>
      </w:r>
      <w:proofErr w:type="spellEnd"/>
      <w:r w:rsidRPr="001C19F7">
        <w:rPr>
          <w:i/>
          <w:color w:val="000000" w:themeColor="text1"/>
          <w:lang w:val="es-ES"/>
        </w:rPr>
        <w:t xml:space="preserve"> </w:t>
      </w:r>
      <w:proofErr w:type="spellStart"/>
      <w:r w:rsidRPr="001C19F7">
        <w:rPr>
          <w:i/>
          <w:color w:val="000000" w:themeColor="text1"/>
          <w:lang w:val="es-ES"/>
        </w:rPr>
        <w:t>Commons</w:t>
      </w:r>
      <w:proofErr w:type="spellEnd"/>
      <w:r w:rsidRPr="001C19F7">
        <w:rPr>
          <w:color w:val="000000" w:themeColor="text1"/>
          <w:lang w:val="es-ES"/>
        </w:rPr>
        <w:t xml:space="preserve"> (CC) y otras organizaciones intergubernamentales (IGO) a fin de promover políticas que aumenten el libre acceso y examinar las actividades de la OMPI en el campo del desarrollo de programas informáticos, sin excluir lo relativo a los programas de código abierto y la industria de los videojuegos;</w:t>
      </w:r>
    </w:p>
    <w:p w:rsidR="001C19F7" w:rsidRPr="001C19F7" w:rsidRDefault="001C19F7" w:rsidP="001C19F7">
      <w:pPr>
        <w:jc w:val="both"/>
        <w:rPr>
          <w:i/>
          <w:color w:val="000000" w:themeColor="text1"/>
          <w:sz w:val="20"/>
        </w:rPr>
      </w:pPr>
    </w:p>
    <w:p w:rsidR="001C19F7" w:rsidRPr="001C19F7" w:rsidRDefault="00427C67" w:rsidP="001C19F7">
      <w:pPr>
        <w:pStyle w:val="ListParagraph"/>
        <w:numPr>
          <w:ilvl w:val="0"/>
          <w:numId w:val="97"/>
        </w:numPr>
        <w:ind w:left="720"/>
        <w:jc w:val="both"/>
        <w:rPr>
          <w:rFonts w:cs="Arial"/>
          <w:i/>
          <w:color w:val="000000" w:themeColor="text1"/>
          <w:lang w:val="es-ES"/>
        </w:rPr>
      </w:pPr>
      <w:r>
        <w:rPr>
          <w:color w:val="000000" w:themeColor="text1"/>
          <w:lang w:val="es-ES"/>
        </w:rPr>
        <w:t>la contribución</w:t>
      </w:r>
      <w:r w:rsidR="001C19F7" w:rsidRPr="001C19F7">
        <w:rPr>
          <w:color w:val="000000" w:themeColor="text1"/>
          <w:lang w:val="es-ES"/>
        </w:rPr>
        <w:t xml:space="preserve"> a los informes de 2014 y 2015 del Grupo de Tareas sobre el desfase en el logro de los Objetivos de Desarrollo del Milenio (ODG), donde en consonancia con la recomendación 22 de la A.D., la OMPI colaboró con la OMC y la OMS en los apartados relativos al acceso a medicamentos asequibles y esenciales;</w:t>
      </w:r>
    </w:p>
    <w:p w:rsidR="001C19F7" w:rsidRPr="001C19F7" w:rsidRDefault="001C19F7" w:rsidP="001C19F7">
      <w:pPr>
        <w:pStyle w:val="ListParagraph"/>
        <w:ind w:left="1080"/>
        <w:rPr>
          <w:rFonts w:cs="Arial"/>
          <w:i/>
          <w:color w:val="000000" w:themeColor="text1"/>
          <w:lang w:val="es-ES"/>
        </w:rPr>
      </w:pPr>
    </w:p>
    <w:p w:rsidR="001C19F7" w:rsidRPr="001C19F7" w:rsidRDefault="001C19F7" w:rsidP="001C19F7">
      <w:pPr>
        <w:pStyle w:val="ListParagraph"/>
        <w:numPr>
          <w:ilvl w:val="0"/>
          <w:numId w:val="97"/>
        </w:numPr>
        <w:ind w:left="720"/>
        <w:jc w:val="both"/>
        <w:rPr>
          <w:rFonts w:cs="Arial"/>
          <w:i/>
          <w:color w:val="000000" w:themeColor="text1"/>
          <w:lang w:val="es-ES"/>
        </w:rPr>
      </w:pPr>
      <w:r w:rsidRPr="001C19F7">
        <w:rPr>
          <w:color w:val="000000" w:themeColor="text1"/>
          <w:lang w:val="es-ES"/>
        </w:rPr>
        <w:t xml:space="preserve">la OMPI concertó nueve acuerdos de colaboración en el marco de la Plataforma de Acción de los Pequeños Estados Insulares en Desarrollo (PEID) y participó en el Grupo Interinstitucional Consultivo sobre la puesta en práctica del documento final de la Trayectoria de SAMOA.  En el contexto de la Tercera Conferencia Internacional sobre los PEID, celebrada en Samoa en septiembre de 2014, la OMPI organizó una actividad paralela sobre el </w:t>
      </w:r>
      <w:r w:rsidR="00427C67" w:rsidRPr="001C19F7">
        <w:rPr>
          <w:color w:val="000000" w:themeColor="text1"/>
          <w:lang w:val="es-ES"/>
        </w:rPr>
        <w:t xml:space="preserve">uso </w:t>
      </w:r>
      <w:r w:rsidRPr="001C19F7">
        <w:rPr>
          <w:color w:val="000000" w:themeColor="text1"/>
          <w:lang w:val="es-ES"/>
        </w:rPr>
        <w:t>del sistema de P.I. para el desarrollo cultural y económico sostenible de estos pequeños estados;</w:t>
      </w:r>
    </w:p>
    <w:p w:rsidR="001C19F7" w:rsidRPr="001C19F7" w:rsidRDefault="001C19F7" w:rsidP="001C19F7">
      <w:pPr>
        <w:pStyle w:val="ListParagraph"/>
        <w:ind w:left="1080"/>
        <w:rPr>
          <w:rFonts w:cs="Arial"/>
          <w:color w:val="000000" w:themeColor="text1"/>
          <w:lang w:val="es-ES"/>
        </w:rPr>
      </w:pPr>
    </w:p>
    <w:p w:rsidR="001C19F7" w:rsidRPr="001C19F7" w:rsidRDefault="001C19F7" w:rsidP="001C19F7">
      <w:pPr>
        <w:pStyle w:val="ListParagraph"/>
        <w:numPr>
          <w:ilvl w:val="0"/>
          <w:numId w:val="97"/>
        </w:numPr>
        <w:ind w:left="720"/>
        <w:jc w:val="both"/>
        <w:rPr>
          <w:rFonts w:cs="Arial"/>
          <w:i/>
          <w:color w:val="000000" w:themeColor="text1"/>
          <w:lang w:val="es-ES"/>
        </w:rPr>
      </w:pPr>
      <w:r w:rsidRPr="001C19F7">
        <w:rPr>
          <w:color w:val="000000" w:themeColor="text1"/>
          <w:lang w:val="es-ES"/>
        </w:rPr>
        <w:t xml:space="preserve">participación en el equipo de tareas interinstitucional (EIT) de las Naciones Unidas sobre la ciencia, la tecnología y la innovación en pro de los Objetivos de Desarrollo Sostenible (ODS) como parte del Mecanismo de Facilitación de la Tecnología (TFM), además del Grupo de Trabajo Interinstitucional y de Expertos sobre indicadores de los ODS.  En concreto, la OMPI participó en las líneas de trabajo del EIT vinculadas a la organización de un foro de colaboración entre múltiples partes interesadas sobre la ciencia, la tecnología y la innovación en pro de los </w:t>
      </w:r>
      <w:r w:rsidRPr="001C19F7">
        <w:rPr>
          <w:color w:val="000000" w:themeColor="text1"/>
          <w:lang w:val="es-ES"/>
        </w:rPr>
        <w:lastRenderedPageBreak/>
        <w:t>ODS y en el proceso de esquematización de una plataforma en Internet destinada a facilitar la tecnología como parte del TFM.  La OMPI organizó, junto con la UNCTAD y la UNIDO, una reunión sobre las sinergias entre la industrialización, la innovación y el comercio para fomentar el desarrollo sostenible, en la sede de Nueva York de las NN.UU. en mayo de 2015.  También en este contexto y en colaboración con el Departamento de Asuntos Económicos y Sociales de las Naciones Unidas, la OMPI organizó una actividad paralela sobre la función transformadora de la tecnología y la innovación en el desarrollo, en la sede de Nueva York de las NN.UU. en octubre de 2015;</w:t>
      </w:r>
    </w:p>
    <w:p w:rsidR="001C19F7" w:rsidRPr="001C19F7" w:rsidRDefault="001C19F7" w:rsidP="001C19F7">
      <w:pPr>
        <w:pStyle w:val="ListParagraph"/>
        <w:rPr>
          <w:rFonts w:cs="Arial"/>
          <w:i/>
          <w:color w:val="000000" w:themeColor="text1"/>
          <w:lang w:val="es-ES"/>
        </w:rPr>
      </w:pPr>
    </w:p>
    <w:p w:rsidR="001C19F7" w:rsidRPr="001C19F7" w:rsidRDefault="001C19F7" w:rsidP="001C19F7">
      <w:pPr>
        <w:pStyle w:val="ListParagraph"/>
        <w:numPr>
          <w:ilvl w:val="0"/>
          <w:numId w:val="97"/>
        </w:numPr>
        <w:ind w:left="720"/>
        <w:jc w:val="both"/>
        <w:rPr>
          <w:rFonts w:cs="Arial"/>
          <w:color w:val="000000" w:themeColor="text1"/>
          <w:lang w:val="es-ES"/>
        </w:rPr>
      </w:pPr>
      <w:r w:rsidRPr="001C19F7">
        <w:rPr>
          <w:color w:val="000000" w:themeColor="text1"/>
          <w:lang w:val="es-ES"/>
        </w:rPr>
        <w:t>las actividades en el ámbito de la tecnología relativas a la Convención Marco de las NN.UU. sobre el cambio climático (CMNUCC), en particular, el Mecanismo de Tecnología de la CMNUCC, el Comité Ejecutivo de Tecnología y el Centro y Red de Tecnología del Clima (CTCN).  A ese respecto, en el marco del programa se prestó asistencia para un taller organizado por el Comité Ejecutivo de Tecnología sobre sistemas nacionales de innovación, y se presentó el Índice Mundial de Innovación en las sesiones de junio de 2014 relativas a la CMNUCC y se colaboró en la organización de una reunión paralela con la Agencia Internacional de Energías Renovables (IRENA) en 2014.  En 2015, el programa organizó el acto paralelo “</w:t>
      </w:r>
      <w:proofErr w:type="spellStart"/>
      <w:r w:rsidRPr="001C19F7">
        <w:rPr>
          <w:i/>
          <w:color w:val="000000" w:themeColor="text1"/>
          <w:lang w:val="es-ES"/>
        </w:rPr>
        <w:t>Policies</w:t>
      </w:r>
      <w:proofErr w:type="spellEnd"/>
      <w:r w:rsidRPr="001C19F7">
        <w:rPr>
          <w:i/>
          <w:color w:val="000000" w:themeColor="text1"/>
          <w:lang w:val="es-ES"/>
        </w:rPr>
        <w:t xml:space="preserve"> and </w:t>
      </w:r>
      <w:proofErr w:type="spellStart"/>
      <w:r w:rsidRPr="001C19F7">
        <w:rPr>
          <w:i/>
          <w:color w:val="000000" w:themeColor="text1"/>
          <w:lang w:val="es-ES"/>
        </w:rPr>
        <w:t>Evidence</w:t>
      </w:r>
      <w:proofErr w:type="spellEnd"/>
      <w:r w:rsidRPr="001C19F7">
        <w:rPr>
          <w:i/>
          <w:color w:val="000000" w:themeColor="text1"/>
          <w:lang w:val="es-ES"/>
        </w:rPr>
        <w:t xml:space="preserve"> to Support </w:t>
      </w:r>
      <w:proofErr w:type="spellStart"/>
      <w:r w:rsidRPr="001C19F7">
        <w:rPr>
          <w:i/>
          <w:color w:val="000000" w:themeColor="text1"/>
          <w:lang w:val="es-ES"/>
        </w:rPr>
        <w:t>Climate</w:t>
      </w:r>
      <w:proofErr w:type="spellEnd"/>
      <w:r w:rsidRPr="001C19F7">
        <w:rPr>
          <w:i/>
          <w:color w:val="000000" w:themeColor="text1"/>
          <w:lang w:val="es-ES"/>
        </w:rPr>
        <w:t xml:space="preserve"> </w:t>
      </w:r>
      <w:proofErr w:type="spellStart"/>
      <w:r w:rsidRPr="001C19F7">
        <w:rPr>
          <w:i/>
          <w:color w:val="000000" w:themeColor="text1"/>
          <w:lang w:val="es-ES"/>
        </w:rPr>
        <w:t>Change</w:t>
      </w:r>
      <w:proofErr w:type="spellEnd"/>
      <w:r w:rsidRPr="001C19F7">
        <w:rPr>
          <w:i/>
          <w:color w:val="000000" w:themeColor="text1"/>
          <w:lang w:val="es-ES"/>
        </w:rPr>
        <w:t xml:space="preserve"> </w:t>
      </w:r>
      <w:proofErr w:type="spellStart"/>
      <w:r w:rsidRPr="001C19F7">
        <w:rPr>
          <w:i/>
          <w:color w:val="000000" w:themeColor="text1"/>
          <w:lang w:val="es-ES"/>
        </w:rPr>
        <w:t>Technology</w:t>
      </w:r>
      <w:proofErr w:type="spellEnd"/>
      <w:r w:rsidRPr="001C19F7">
        <w:rPr>
          <w:i/>
          <w:color w:val="000000" w:themeColor="text1"/>
          <w:lang w:val="es-ES"/>
        </w:rPr>
        <w:t xml:space="preserve"> Transfer and </w:t>
      </w:r>
      <w:proofErr w:type="spellStart"/>
      <w:r w:rsidRPr="001C19F7">
        <w:rPr>
          <w:i/>
          <w:color w:val="000000" w:themeColor="text1"/>
          <w:lang w:val="es-ES"/>
        </w:rPr>
        <w:t>Innovation</w:t>
      </w:r>
      <w:proofErr w:type="spellEnd"/>
      <w:r w:rsidRPr="001C19F7">
        <w:rPr>
          <w:color w:val="000000" w:themeColor="text1"/>
          <w:lang w:val="es-ES"/>
        </w:rPr>
        <w:t xml:space="preserve">” sobre políticas y pruebas para apoyar la transferencia de tecnología y la innovación en materia de cambio climático con la finalidad de presentar el Informe de la OMPI </w:t>
      </w:r>
      <w:r w:rsidRPr="001C19F7">
        <w:rPr>
          <w:i/>
          <w:color w:val="000000" w:themeColor="text1"/>
          <w:lang w:val="es-ES"/>
        </w:rPr>
        <w:t>“</w:t>
      </w:r>
      <w:proofErr w:type="spellStart"/>
      <w:r w:rsidRPr="001C19F7">
        <w:rPr>
          <w:i/>
          <w:color w:val="000000" w:themeColor="text1"/>
          <w:lang w:val="es-ES"/>
        </w:rPr>
        <w:t>Innovation</w:t>
      </w:r>
      <w:proofErr w:type="spellEnd"/>
      <w:r w:rsidRPr="001C19F7">
        <w:rPr>
          <w:i/>
          <w:color w:val="000000" w:themeColor="text1"/>
          <w:lang w:val="es-ES"/>
        </w:rPr>
        <w:t xml:space="preserve"> and </w:t>
      </w:r>
      <w:proofErr w:type="spellStart"/>
      <w:r w:rsidRPr="001C19F7">
        <w:rPr>
          <w:i/>
          <w:color w:val="000000" w:themeColor="text1"/>
          <w:lang w:val="es-ES"/>
        </w:rPr>
        <w:t>Diffusion</w:t>
      </w:r>
      <w:proofErr w:type="spellEnd"/>
      <w:r w:rsidRPr="001C19F7">
        <w:rPr>
          <w:i/>
          <w:color w:val="000000" w:themeColor="text1"/>
          <w:lang w:val="es-ES"/>
        </w:rPr>
        <w:t xml:space="preserve"> of Green Technologies: </w:t>
      </w:r>
      <w:proofErr w:type="spellStart"/>
      <w:r w:rsidRPr="001C19F7">
        <w:rPr>
          <w:i/>
          <w:color w:val="000000" w:themeColor="text1"/>
          <w:lang w:val="es-ES"/>
        </w:rPr>
        <w:t>The</w:t>
      </w:r>
      <w:proofErr w:type="spellEnd"/>
      <w:r w:rsidRPr="001C19F7">
        <w:rPr>
          <w:i/>
          <w:color w:val="000000" w:themeColor="text1"/>
          <w:lang w:val="es-ES"/>
        </w:rPr>
        <w:t xml:space="preserve"> Role of Intellectual Property and </w:t>
      </w:r>
      <w:proofErr w:type="spellStart"/>
      <w:r w:rsidRPr="001C19F7">
        <w:rPr>
          <w:i/>
          <w:color w:val="000000" w:themeColor="text1"/>
          <w:lang w:val="es-ES"/>
        </w:rPr>
        <w:t>Other</w:t>
      </w:r>
      <w:proofErr w:type="spellEnd"/>
      <w:r w:rsidRPr="001C19F7">
        <w:rPr>
          <w:i/>
          <w:color w:val="000000" w:themeColor="text1"/>
          <w:lang w:val="es-ES"/>
        </w:rPr>
        <w:t xml:space="preserve"> </w:t>
      </w:r>
      <w:proofErr w:type="spellStart"/>
      <w:r w:rsidRPr="001C19F7">
        <w:rPr>
          <w:i/>
          <w:color w:val="000000" w:themeColor="text1"/>
          <w:lang w:val="es-ES"/>
        </w:rPr>
        <w:t>Enabling</w:t>
      </w:r>
      <w:proofErr w:type="spellEnd"/>
      <w:r w:rsidRPr="001C19F7">
        <w:rPr>
          <w:i/>
          <w:color w:val="000000" w:themeColor="text1"/>
          <w:lang w:val="es-ES"/>
        </w:rPr>
        <w:t xml:space="preserve"> </w:t>
      </w:r>
      <w:proofErr w:type="spellStart"/>
      <w:r w:rsidRPr="001C19F7">
        <w:rPr>
          <w:i/>
          <w:color w:val="000000" w:themeColor="text1"/>
          <w:lang w:val="es-ES"/>
        </w:rPr>
        <w:t>Factors</w:t>
      </w:r>
      <w:proofErr w:type="spellEnd"/>
      <w:r w:rsidRPr="001C19F7">
        <w:rPr>
          <w:i/>
          <w:color w:val="000000" w:themeColor="text1"/>
          <w:lang w:val="es-ES"/>
        </w:rPr>
        <w:t xml:space="preserve">” </w:t>
      </w:r>
      <w:r w:rsidRPr="001C19F7">
        <w:rPr>
          <w:color w:val="000000" w:themeColor="text1"/>
          <w:lang w:val="es-ES"/>
        </w:rPr>
        <w:t>sobre desafíos mundiales en materia de innovación y difusión de tecnologías ecológicas, en especial sobre el papel de la propiedad intelectual y otros factores habilitadores, durante las sesiones de la CMNUCC de junio de 2015, además de una exposición de Tecnologías limpias innovadoras durante la 21ª Conferencia de las Partes (COP 21), que se celebró en París en diciembre de 2015;</w:t>
      </w:r>
    </w:p>
    <w:p w:rsidR="001C19F7" w:rsidRPr="001C19F7" w:rsidRDefault="001C19F7" w:rsidP="001C19F7">
      <w:pPr>
        <w:jc w:val="both"/>
        <w:rPr>
          <w:color w:val="000000" w:themeColor="text1"/>
          <w:sz w:val="20"/>
        </w:rPr>
      </w:pPr>
    </w:p>
    <w:p w:rsidR="001C19F7" w:rsidRPr="001C19F7" w:rsidRDefault="001C19F7" w:rsidP="001C19F7">
      <w:pPr>
        <w:pStyle w:val="ListParagraph"/>
        <w:numPr>
          <w:ilvl w:val="0"/>
          <w:numId w:val="97"/>
        </w:numPr>
        <w:ind w:left="720"/>
        <w:jc w:val="both"/>
        <w:rPr>
          <w:rFonts w:cs="Arial"/>
          <w:color w:val="000000" w:themeColor="text1"/>
          <w:lang w:val="es-ES"/>
        </w:rPr>
      </w:pPr>
      <w:r w:rsidRPr="001C19F7">
        <w:rPr>
          <w:color w:val="000000" w:themeColor="text1"/>
          <w:lang w:val="es-ES"/>
        </w:rPr>
        <w:t xml:space="preserve">en el contexto de la Convención de las NN.UU. sobre los Derechos de las Personas con Discapacidad y la campaña de las NN.UU. “Acción Mundial 2015 por las Personas y el Planeta”, la OMPI, en colaboración con el Departamento de Asuntos Económicos y Sociales de las NN.UU., organizó la mesa redonda </w:t>
      </w:r>
      <w:proofErr w:type="spellStart"/>
      <w:r w:rsidRPr="001C19F7">
        <w:rPr>
          <w:i/>
          <w:color w:val="000000" w:themeColor="text1"/>
          <w:lang w:val="es-ES"/>
        </w:rPr>
        <w:t>Innovative</w:t>
      </w:r>
      <w:proofErr w:type="spellEnd"/>
      <w:r w:rsidRPr="001C19F7">
        <w:rPr>
          <w:i/>
          <w:color w:val="000000" w:themeColor="text1"/>
          <w:lang w:val="es-ES"/>
        </w:rPr>
        <w:t xml:space="preserve"> Technologies:  </w:t>
      </w:r>
      <w:proofErr w:type="spellStart"/>
      <w:r w:rsidRPr="001C19F7">
        <w:rPr>
          <w:i/>
          <w:color w:val="000000" w:themeColor="text1"/>
          <w:lang w:val="es-ES"/>
        </w:rPr>
        <w:t>Making</w:t>
      </w:r>
      <w:proofErr w:type="spellEnd"/>
      <w:r w:rsidRPr="001C19F7">
        <w:rPr>
          <w:i/>
          <w:color w:val="000000" w:themeColor="text1"/>
          <w:lang w:val="es-ES"/>
        </w:rPr>
        <w:t xml:space="preserve"> </w:t>
      </w:r>
      <w:proofErr w:type="spellStart"/>
      <w:r w:rsidRPr="001C19F7">
        <w:rPr>
          <w:i/>
          <w:color w:val="000000" w:themeColor="text1"/>
          <w:lang w:val="es-ES"/>
        </w:rPr>
        <w:t>the</w:t>
      </w:r>
      <w:proofErr w:type="spellEnd"/>
      <w:r w:rsidRPr="001C19F7">
        <w:rPr>
          <w:i/>
          <w:color w:val="000000" w:themeColor="text1"/>
          <w:lang w:val="es-ES"/>
        </w:rPr>
        <w:t xml:space="preserve"> </w:t>
      </w:r>
      <w:proofErr w:type="spellStart"/>
      <w:r w:rsidRPr="001C19F7">
        <w:rPr>
          <w:i/>
          <w:color w:val="000000" w:themeColor="text1"/>
          <w:lang w:val="es-ES"/>
        </w:rPr>
        <w:t>world</w:t>
      </w:r>
      <w:proofErr w:type="spellEnd"/>
      <w:r w:rsidRPr="001C19F7">
        <w:rPr>
          <w:i/>
          <w:color w:val="000000" w:themeColor="text1"/>
          <w:lang w:val="es-ES"/>
        </w:rPr>
        <w:t xml:space="preserve"> of </w:t>
      </w:r>
      <w:proofErr w:type="spellStart"/>
      <w:r w:rsidRPr="001C19F7">
        <w:rPr>
          <w:i/>
          <w:color w:val="000000" w:themeColor="text1"/>
          <w:lang w:val="es-ES"/>
        </w:rPr>
        <w:t>books</w:t>
      </w:r>
      <w:proofErr w:type="spellEnd"/>
      <w:r w:rsidRPr="001C19F7">
        <w:rPr>
          <w:i/>
          <w:color w:val="000000" w:themeColor="text1"/>
          <w:lang w:val="es-ES"/>
        </w:rPr>
        <w:t xml:space="preserve"> </w:t>
      </w:r>
      <w:proofErr w:type="spellStart"/>
      <w:r w:rsidRPr="001C19F7">
        <w:rPr>
          <w:i/>
          <w:color w:val="000000" w:themeColor="text1"/>
          <w:lang w:val="es-ES"/>
        </w:rPr>
        <w:t>accessible</w:t>
      </w:r>
      <w:proofErr w:type="spellEnd"/>
      <w:r w:rsidRPr="001C19F7">
        <w:rPr>
          <w:i/>
          <w:color w:val="000000" w:themeColor="text1"/>
          <w:lang w:val="es-ES"/>
        </w:rPr>
        <w:t xml:space="preserve"> to </w:t>
      </w:r>
      <w:proofErr w:type="spellStart"/>
      <w:r w:rsidRPr="001C19F7">
        <w:rPr>
          <w:i/>
          <w:color w:val="000000" w:themeColor="text1"/>
          <w:lang w:val="es-ES"/>
        </w:rPr>
        <w:t>people</w:t>
      </w:r>
      <w:proofErr w:type="spellEnd"/>
      <w:r w:rsidRPr="001C19F7">
        <w:rPr>
          <w:i/>
          <w:color w:val="000000" w:themeColor="text1"/>
          <w:lang w:val="es-ES"/>
        </w:rPr>
        <w:t xml:space="preserve"> </w:t>
      </w:r>
      <w:proofErr w:type="spellStart"/>
      <w:r w:rsidRPr="001C19F7">
        <w:rPr>
          <w:i/>
          <w:color w:val="000000" w:themeColor="text1"/>
          <w:lang w:val="es-ES"/>
        </w:rPr>
        <w:t>who</w:t>
      </w:r>
      <w:proofErr w:type="spellEnd"/>
      <w:r w:rsidRPr="001C19F7">
        <w:rPr>
          <w:i/>
          <w:color w:val="000000" w:themeColor="text1"/>
          <w:lang w:val="es-ES"/>
        </w:rPr>
        <w:t xml:space="preserve"> are </w:t>
      </w:r>
      <w:proofErr w:type="spellStart"/>
      <w:r w:rsidRPr="001C19F7">
        <w:rPr>
          <w:i/>
          <w:color w:val="000000" w:themeColor="text1"/>
          <w:lang w:val="es-ES"/>
        </w:rPr>
        <w:t>print</w:t>
      </w:r>
      <w:proofErr w:type="spellEnd"/>
      <w:r w:rsidRPr="001C19F7">
        <w:rPr>
          <w:i/>
          <w:color w:val="000000" w:themeColor="text1"/>
          <w:lang w:val="es-ES"/>
        </w:rPr>
        <w:t xml:space="preserve"> </w:t>
      </w:r>
      <w:proofErr w:type="spellStart"/>
      <w:r w:rsidRPr="001C19F7">
        <w:rPr>
          <w:i/>
          <w:color w:val="000000" w:themeColor="text1"/>
          <w:lang w:val="es-ES"/>
        </w:rPr>
        <w:t>disabled</w:t>
      </w:r>
      <w:proofErr w:type="spellEnd"/>
      <w:r w:rsidRPr="001C19F7">
        <w:rPr>
          <w:color w:val="000000" w:themeColor="text1"/>
          <w:lang w:val="es-ES"/>
        </w:rPr>
        <w:t xml:space="preserve"> sobre el empleo de nuevas tecnologías para facilitar el acceso al mundo de los libros de las personas con dificultades para acceder al texto impreso, en las NN.UU. en marzo de 2015;  y  </w:t>
      </w:r>
    </w:p>
    <w:p w:rsidR="001C19F7" w:rsidRPr="001C19F7" w:rsidRDefault="001C19F7" w:rsidP="001C19F7">
      <w:pPr>
        <w:pStyle w:val="ListParagraph"/>
        <w:ind w:left="1080"/>
        <w:rPr>
          <w:rFonts w:cs="Arial"/>
          <w:color w:val="000000" w:themeColor="text1"/>
          <w:lang w:val="es-ES"/>
        </w:rPr>
      </w:pPr>
    </w:p>
    <w:p w:rsidR="001C19F7" w:rsidRPr="001C19F7" w:rsidRDefault="001C19F7" w:rsidP="001C19F7">
      <w:pPr>
        <w:pStyle w:val="ListParagraph"/>
        <w:numPr>
          <w:ilvl w:val="0"/>
          <w:numId w:val="97"/>
        </w:numPr>
        <w:ind w:left="720"/>
        <w:jc w:val="both"/>
        <w:rPr>
          <w:rFonts w:cs="Arial"/>
          <w:i/>
          <w:color w:val="000000" w:themeColor="text1"/>
          <w:lang w:val="es-ES"/>
        </w:rPr>
      </w:pPr>
      <w:r w:rsidRPr="001C19F7">
        <w:rPr>
          <w:color w:val="000000" w:themeColor="text1"/>
          <w:lang w:val="es-ES"/>
        </w:rPr>
        <w:t xml:space="preserve">contribución a los informes del Secretario General (SG) de las NN.UU. sobre:   i) apoyo por parte del sistema de las NN.UU. a la Nueva Alianza para el Desarrollo de África (NEPAD);  y ii) los derechos de las personas con discapacidad en virtud de la resolución 24/3 del Consejo de Derechos Humanos, además del boletín </w:t>
      </w:r>
      <w:proofErr w:type="spellStart"/>
      <w:r w:rsidRPr="001C19F7">
        <w:rPr>
          <w:i/>
          <w:color w:val="000000" w:themeColor="text1"/>
          <w:lang w:val="es-ES"/>
        </w:rPr>
        <w:t>Enable</w:t>
      </w:r>
      <w:proofErr w:type="spellEnd"/>
      <w:r w:rsidRPr="001C19F7">
        <w:rPr>
          <w:color w:val="000000" w:themeColor="text1"/>
          <w:lang w:val="es-ES"/>
        </w:rPr>
        <w:t xml:space="preserve"> de las NN.UU. y la revisión de la Recomendación de la UNESCO relativa a la situación de los investigadores científicos (1974). </w:t>
      </w:r>
    </w:p>
    <w:p w:rsidR="001C19F7" w:rsidRPr="001C19F7" w:rsidRDefault="001C19F7" w:rsidP="001C19F7">
      <w:pPr>
        <w:pStyle w:val="ListParagraph"/>
        <w:ind w:left="0"/>
        <w:jc w:val="both"/>
        <w:rPr>
          <w:rFonts w:cs="Arial"/>
          <w:color w:val="000000" w:themeColor="text1"/>
          <w:lang w:val="es-ES"/>
        </w:rPr>
      </w:pPr>
    </w:p>
    <w:p w:rsidR="001C19F7" w:rsidRPr="001C19F7" w:rsidRDefault="001C19F7" w:rsidP="00276C89">
      <w:pPr>
        <w:pStyle w:val="ListParagraph"/>
        <w:numPr>
          <w:ilvl w:val="0"/>
          <w:numId w:val="94"/>
        </w:numPr>
        <w:tabs>
          <w:tab w:val="left" w:pos="709"/>
        </w:tabs>
        <w:ind w:left="0" w:firstLine="0"/>
        <w:jc w:val="both"/>
        <w:rPr>
          <w:rFonts w:cs="Arial"/>
          <w:color w:val="000000" w:themeColor="text1"/>
          <w:lang w:val="es-ES"/>
        </w:rPr>
      </w:pPr>
      <w:r w:rsidRPr="001C19F7">
        <w:rPr>
          <w:color w:val="000000" w:themeColor="text1"/>
          <w:lang w:val="es-ES"/>
        </w:rPr>
        <w:t>A lo largo del bienio, la OMPI también siguió reforzando sus vínculos de colaboración con las siguientes organizaciones intergubernamentales asociadas:</w:t>
      </w:r>
    </w:p>
    <w:p w:rsidR="001C19F7" w:rsidRPr="001C19F7" w:rsidRDefault="001C19F7" w:rsidP="001C19F7">
      <w:pPr>
        <w:pStyle w:val="ListParagraph"/>
        <w:ind w:left="0"/>
        <w:jc w:val="both"/>
        <w:rPr>
          <w:rFonts w:cs="Arial"/>
          <w:color w:val="000000" w:themeColor="text1"/>
          <w:lang w:val="es-ES"/>
        </w:rPr>
      </w:pPr>
    </w:p>
    <w:p w:rsidR="001C19F7" w:rsidRPr="001C19F7" w:rsidRDefault="001C19F7" w:rsidP="001C19F7">
      <w:pPr>
        <w:pStyle w:val="ListParagraph"/>
        <w:numPr>
          <w:ilvl w:val="0"/>
          <w:numId w:val="97"/>
        </w:numPr>
        <w:ind w:left="720"/>
        <w:jc w:val="both"/>
        <w:rPr>
          <w:rFonts w:cs="Arial"/>
          <w:color w:val="000000" w:themeColor="text1"/>
          <w:lang w:val="es-ES"/>
        </w:rPr>
      </w:pPr>
      <w:r w:rsidRPr="001C19F7">
        <w:rPr>
          <w:color w:val="000000" w:themeColor="text1"/>
          <w:lang w:val="es-ES"/>
        </w:rPr>
        <w:t xml:space="preserve">en colaboración con la UNCTAD, la Oficina de las Naciones Unidas en Ginebra, el Centro de Comercio Internacional (CCI), el </w:t>
      </w:r>
      <w:proofErr w:type="spellStart"/>
      <w:r w:rsidRPr="001C19F7">
        <w:rPr>
          <w:i/>
          <w:color w:val="000000" w:themeColor="text1"/>
          <w:lang w:val="es-ES"/>
        </w:rPr>
        <w:t>Département</w:t>
      </w:r>
      <w:proofErr w:type="spellEnd"/>
      <w:r w:rsidRPr="001C19F7">
        <w:rPr>
          <w:i/>
          <w:color w:val="000000" w:themeColor="text1"/>
          <w:lang w:val="es-ES"/>
        </w:rPr>
        <w:t xml:space="preserve"> du </w:t>
      </w:r>
      <w:proofErr w:type="spellStart"/>
      <w:r w:rsidRPr="001C19F7">
        <w:rPr>
          <w:i/>
          <w:color w:val="000000" w:themeColor="text1"/>
          <w:lang w:val="es-ES"/>
        </w:rPr>
        <w:t>Développement</w:t>
      </w:r>
      <w:proofErr w:type="spellEnd"/>
      <w:r w:rsidRPr="001C19F7">
        <w:rPr>
          <w:i/>
          <w:color w:val="000000" w:themeColor="text1"/>
          <w:lang w:val="es-ES"/>
        </w:rPr>
        <w:t xml:space="preserve"> </w:t>
      </w:r>
      <w:proofErr w:type="spellStart"/>
      <w:r w:rsidRPr="001C19F7">
        <w:rPr>
          <w:i/>
          <w:color w:val="000000" w:themeColor="text1"/>
          <w:lang w:val="es-ES"/>
        </w:rPr>
        <w:t>Économique</w:t>
      </w:r>
      <w:proofErr w:type="spellEnd"/>
      <w:r w:rsidRPr="001C19F7">
        <w:rPr>
          <w:i/>
          <w:color w:val="000000" w:themeColor="text1"/>
          <w:lang w:val="es-ES"/>
        </w:rPr>
        <w:t xml:space="preserve"> du </w:t>
      </w:r>
      <w:proofErr w:type="spellStart"/>
      <w:r w:rsidRPr="001C19F7">
        <w:rPr>
          <w:i/>
          <w:color w:val="000000" w:themeColor="text1"/>
          <w:lang w:val="es-ES"/>
        </w:rPr>
        <w:t>Canton</w:t>
      </w:r>
      <w:proofErr w:type="spellEnd"/>
      <w:r w:rsidRPr="001C19F7">
        <w:rPr>
          <w:i/>
          <w:color w:val="000000" w:themeColor="text1"/>
          <w:lang w:val="es-ES"/>
        </w:rPr>
        <w:t xml:space="preserve"> de </w:t>
      </w:r>
      <w:proofErr w:type="spellStart"/>
      <w:r w:rsidRPr="001C19F7">
        <w:rPr>
          <w:i/>
          <w:color w:val="000000" w:themeColor="text1"/>
          <w:lang w:val="es-ES"/>
        </w:rPr>
        <w:t>Genève</w:t>
      </w:r>
      <w:proofErr w:type="spellEnd"/>
      <w:r w:rsidRPr="001C19F7">
        <w:rPr>
          <w:color w:val="000000" w:themeColor="text1"/>
          <w:lang w:val="es-ES"/>
        </w:rPr>
        <w:t xml:space="preserve">, la Universidad de Ginebra y la </w:t>
      </w:r>
      <w:proofErr w:type="spellStart"/>
      <w:r w:rsidRPr="001C19F7">
        <w:rPr>
          <w:i/>
          <w:color w:val="000000" w:themeColor="text1"/>
          <w:lang w:val="es-ES"/>
        </w:rPr>
        <w:t>Fédération</w:t>
      </w:r>
      <w:proofErr w:type="spellEnd"/>
      <w:r w:rsidRPr="001C19F7">
        <w:rPr>
          <w:i/>
          <w:color w:val="000000" w:themeColor="text1"/>
          <w:lang w:val="es-ES"/>
        </w:rPr>
        <w:t xml:space="preserve"> des </w:t>
      </w:r>
      <w:proofErr w:type="spellStart"/>
      <w:r w:rsidRPr="001C19F7">
        <w:rPr>
          <w:i/>
          <w:color w:val="000000" w:themeColor="text1"/>
          <w:lang w:val="es-ES"/>
        </w:rPr>
        <w:t>Entreprises</w:t>
      </w:r>
      <w:proofErr w:type="spellEnd"/>
      <w:r w:rsidRPr="001C19F7">
        <w:rPr>
          <w:i/>
          <w:color w:val="000000" w:themeColor="text1"/>
          <w:lang w:val="es-ES"/>
        </w:rPr>
        <w:t xml:space="preserve"> </w:t>
      </w:r>
      <w:proofErr w:type="spellStart"/>
      <w:r w:rsidRPr="001C19F7">
        <w:rPr>
          <w:i/>
          <w:color w:val="000000" w:themeColor="text1"/>
          <w:lang w:val="es-ES"/>
        </w:rPr>
        <w:t>Romandes</w:t>
      </w:r>
      <w:proofErr w:type="spellEnd"/>
      <w:r w:rsidRPr="001C19F7">
        <w:rPr>
          <w:color w:val="000000" w:themeColor="text1"/>
          <w:lang w:val="es-ES"/>
        </w:rPr>
        <w:t xml:space="preserve"> (FER), la OMPI renovó su activa participación en la Semana Mundial del Espíritu Empresarial de Ginebra y se encargó, en ese marco, de organizar toda una semana de actividades y sesiones de formación en 2014 y 2015.  Se hizo particular hincapié en el fomento de la innovación, los empresarios jóvenes y la organización de sesiones de información sobre las patentes, las pymes y la P.I. (apoyo a la aplicación de las recomendaciones 4, 11 y 40 de la A.D. y las actividades de los programas 11, 14 y 30);</w:t>
      </w:r>
    </w:p>
    <w:p w:rsidR="001C19F7" w:rsidRPr="001C19F7" w:rsidRDefault="001C19F7" w:rsidP="001C19F7">
      <w:pPr>
        <w:pStyle w:val="ListParagraph"/>
        <w:jc w:val="both"/>
        <w:rPr>
          <w:rFonts w:cs="Arial"/>
          <w:color w:val="000000" w:themeColor="text1"/>
          <w:lang w:val="es-ES"/>
        </w:rPr>
      </w:pPr>
    </w:p>
    <w:p w:rsidR="001C19F7" w:rsidRPr="001C19F7" w:rsidRDefault="001C19F7" w:rsidP="001C19F7">
      <w:pPr>
        <w:pStyle w:val="ListParagraph"/>
        <w:numPr>
          <w:ilvl w:val="0"/>
          <w:numId w:val="97"/>
        </w:numPr>
        <w:ind w:left="720"/>
        <w:jc w:val="both"/>
        <w:rPr>
          <w:rFonts w:cs="Arial"/>
          <w:color w:val="000000" w:themeColor="text1"/>
          <w:lang w:val="es-ES"/>
        </w:rPr>
      </w:pPr>
      <w:r w:rsidRPr="001C19F7">
        <w:rPr>
          <w:color w:val="000000" w:themeColor="text1"/>
          <w:lang w:val="es-ES"/>
        </w:rPr>
        <w:t xml:space="preserve">la cooperación con la OMS siguió siendo una gran prioridad durante el bienio.  A las actividades realizadas junto con los encargados de los programas 1, 14 y 18, en el marco de la colaboración trilateral OMPI-OMS-OMC, vino a sumarse la participación efectiva de la OMPI en otras reuniones e iniciativas de la OMS, así como en una serie de reuniones celebradas en el marco del programa de las NN.UU. sobre las enfermedades no contagiosas.  Con respecto a la recomendación 14, en el sentido de ofrecer asesoramiento a los países en desarrollo y PMA para la aplicación y la puesta en práctica de los derechos y obligaciones y el conocimiento y uso de las flexibilidades contempladas en el Acuerdo sobre los ADPIC, los encargados del </w:t>
      </w:r>
      <w:r w:rsidRPr="001C19F7">
        <w:rPr>
          <w:color w:val="000000" w:themeColor="text1"/>
          <w:lang w:val="es-ES"/>
        </w:rPr>
        <w:lastRenderedPageBreak/>
        <w:t>programa 20, en colaboración con los sectores fundamentales de la OMPI, velaron por que las actividades emprendidas por la OMC y la OMS reflejarán esta recomendación;</w:t>
      </w:r>
    </w:p>
    <w:p w:rsidR="001C19F7" w:rsidRPr="001C19F7" w:rsidRDefault="001C19F7" w:rsidP="001C19F7">
      <w:pPr>
        <w:pStyle w:val="ListParagraph"/>
        <w:ind w:left="709"/>
        <w:rPr>
          <w:rFonts w:cs="Arial"/>
          <w:color w:val="000000" w:themeColor="text1"/>
          <w:lang w:val="es-ES"/>
        </w:rPr>
      </w:pPr>
    </w:p>
    <w:p w:rsidR="001C19F7" w:rsidRPr="001C19F7" w:rsidRDefault="001C19F7" w:rsidP="001C19F7">
      <w:pPr>
        <w:pStyle w:val="ListParagraph"/>
        <w:numPr>
          <w:ilvl w:val="0"/>
          <w:numId w:val="97"/>
        </w:numPr>
        <w:ind w:left="720"/>
        <w:contextualSpacing/>
        <w:jc w:val="both"/>
        <w:rPr>
          <w:color w:val="000000" w:themeColor="text1"/>
          <w:lang w:val="es-ES"/>
        </w:rPr>
      </w:pPr>
      <w:r w:rsidRPr="001C19F7">
        <w:rPr>
          <w:color w:val="000000" w:themeColor="text1"/>
          <w:lang w:val="es-ES"/>
        </w:rPr>
        <w:t>en colaboración con los encargados de los programas 1, 2, 3, 4, 9, 17 y 18, los encargados del programa 20 velaron por que la participación de la OMPI fuera eficaz en el Consejo de los ADPIC de la OMC y coordinaron la participación de la OMPI en los talleres nacionales, regionales e internacionales de la OMC sobre varios temas, así como en el simposio que la OMC organizó los días 11 y 12 de junio en Ginebra, en torno al tema “</w:t>
      </w:r>
      <w:proofErr w:type="spellStart"/>
      <w:r w:rsidRPr="001C19F7">
        <w:rPr>
          <w:i/>
          <w:color w:val="000000" w:themeColor="text1"/>
          <w:lang w:val="es-ES"/>
        </w:rPr>
        <w:t>Realizing</w:t>
      </w:r>
      <w:proofErr w:type="spellEnd"/>
      <w:r w:rsidRPr="001C19F7">
        <w:rPr>
          <w:i/>
          <w:color w:val="000000" w:themeColor="text1"/>
          <w:lang w:val="es-ES"/>
        </w:rPr>
        <w:t xml:space="preserve"> Development </w:t>
      </w:r>
      <w:proofErr w:type="spellStart"/>
      <w:r w:rsidRPr="001C19F7">
        <w:rPr>
          <w:i/>
          <w:color w:val="000000" w:themeColor="text1"/>
          <w:lang w:val="es-ES"/>
        </w:rPr>
        <w:t>Objectives</w:t>
      </w:r>
      <w:proofErr w:type="spellEnd"/>
      <w:r w:rsidRPr="001C19F7">
        <w:rPr>
          <w:i/>
          <w:color w:val="000000" w:themeColor="text1"/>
          <w:lang w:val="es-ES"/>
        </w:rPr>
        <w:t xml:space="preserve"> of </w:t>
      </w:r>
      <w:proofErr w:type="spellStart"/>
      <w:r w:rsidRPr="001C19F7">
        <w:rPr>
          <w:i/>
          <w:color w:val="000000" w:themeColor="text1"/>
          <w:lang w:val="es-ES"/>
        </w:rPr>
        <w:t>the</w:t>
      </w:r>
      <w:proofErr w:type="spellEnd"/>
      <w:r w:rsidRPr="001C19F7">
        <w:rPr>
          <w:i/>
          <w:color w:val="000000" w:themeColor="text1"/>
          <w:lang w:val="es-ES"/>
        </w:rPr>
        <w:t xml:space="preserve"> IP </w:t>
      </w:r>
      <w:proofErr w:type="spellStart"/>
      <w:r w:rsidRPr="001C19F7">
        <w:rPr>
          <w:i/>
          <w:color w:val="000000" w:themeColor="text1"/>
          <w:lang w:val="es-ES"/>
        </w:rPr>
        <w:t>System</w:t>
      </w:r>
      <w:proofErr w:type="spellEnd"/>
      <w:r w:rsidRPr="001C19F7">
        <w:rPr>
          <w:i/>
          <w:color w:val="000000" w:themeColor="text1"/>
          <w:lang w:val="es-ES"/>
        </w:rPr>
        <w:t xml:space="preserve">:  LDC </w:t>
      </w:r>
      <w:proofErr w:type="spellStart"/>
      <w:r w:rsidRPr="001C19F7">
        <w:rPr>
          <w:i/>
          <w:color w:val="000000" w:themeColor="text1"/>
          <w:lang w:val="es-ES"/>
        </w:rPr>
        <w:t>Priority</w:t>
      </w:r>
      <w:proofErr w:type="spellEnd"/>
      <w:r w:rsidRPr="001C19F7">
        <w:rPr>
          <w:i/>
          <w:color w:val="000000" w:themeColor="text1"/>
          <w:lang w:val="es-ES"/>
        </w:rPr>
        <w:t xml:space="preserve"> </w:t>
      </w:r>
      <w:proofErr w:type="spellStart"/>
      <w:r w:rsidRPr="001C19F7">
        <w:rPr>
          <w:i/>
          <w:color w:val="000000" w:themeColor="text1"/>
          <w:lang w:val="es-ES"/>
        </w:rPr>
        <w:t>Needs</w:t>
      </w:r>
      <w:proofErr w:type="spellEnd"/>
      <w:r w:rsidRPr="001C19F7">
        <w:rPr>
          <w:i/>
          <w:color w:val="000000" w:themeColor="text1"/>
          <w:lang w:val="es-ES"/>
        </w:rPr>
        <w:t xml:space="preserve"> </w:t>
      </w:r>
      <w:proofErr w:type="spellStart"/>
      <w:r w:rsidRPr="001C19F7">
        <w:rPr>
          <w:i/>
          <w:color w:val="000000" w:themeColor="text1"/>
          <w:lang w:val="es-ES"/>
        </w:rPr>
        <w:t>for</w:t>
      </w:r>
      <w:proofErr w:type="spellEnd"/>
      <w:r w:rsidRPr="001C19F7">
        <w:rPr>
          <w:i/>
          <w:color w:val="000000" w:themeColor="text1"/>
          <w:lang w:val="es-ES"/>
        </w:rPr>
        <w:t xml:space="preserve"> </w:t>
      </w:r>
      <w:proofErr w:type="spellStart"/>
      <w:r w:rsidRPr="001C19F7">
        <w:rPr>
          <w:i/>
          <w:color w:val="000000" w:themeColor="text1"/>
          <w:lang w:val="es-ES"/>
        </w:rPr>
        <w:t>Technical</w:t>
      </w:r>
      <w:proofErr w:type="spellEnd"/>
      <w:r w:rsidRPr="001C19F7">
        <w:rPr>
          <w:i/>
          <w:color w:val="000000" w:themeColor="text1"/>
          <w:lang w:val="es-ES"/>
        </w:rPr>
        <w:t xml:space="preserve"> and </w:t>
      </w:r>
      <w:proofErr w:type="spellStart"/>
      <w:r w:rsidRPr="001C19F7">
        <w:rPr>
          <w:i/>
          <w:color w:val="000000" w:themeColor="text1"/>
          <w:lang w:val="es-ES"/>
        </w:rPr>
        <w:t>Financial</w:t>
      </w:r>
      <w:proofErr w:type="spellEnd"/>
      <w:r w:rsidRPr="001C19F7">
        <w:rPr>
          <w:i/>
          <w:color w:val="000000" w:themeColor="text1"/>
          <w:lang w:val="es-ES"/>
        </w:rPr>
        <w:t xml:space="preserve"> </w:t>
      </w:r>
      <w:proofErr w:type="spellStart"/>
      <w:r w:rsidRPr="001C19F7">
        <w:rPr>
          <w:i/>
          <w:color w:val="000000" w:themeColor="text1"/>
          <w:lang w:val="es-ES"/>
        </w:rPr>
        <w:t>Cooperation</w:t>
      </w:r>
      <w:proofErr w:type="spellEnd"/>
      <w:r w:rsidRPr="001C19F7">
        <w:rPr>
          <w:color w:val="000000" w:themeColor="text1"/>
          <w:lang w:val="es-ES"/>
        </w:rPr>
        <w:t>” en Ginebra, y el taller anual de la OMC sobre comercio y salud pública;  y</w:t>
      </w:r>
    </w:p>
    <w:p w:rsidR="001C19F7" w:rsidRPr="001C19F7" w:rsidRDefault="001C19F7" w:rsidP="001C19F7">
      <w:pPr>
        <w:ind w:left="709"/>
        <w:rPr>
          <w:color w:val="000000" w:themeColor="text1"/>
          <w:sz w:val="20"/>
        </w:rPr>
      </w:pPr>
    </w:p>
    <w:p w:rsidR="001C19F7" w:rsidRPr="001C19F7" w:rsidRDefault="001C19F7" w:rsidP="001C19F7">
      <w:pPr>
        <w:pStyle w:val="ListParagraph"/>
        <w:numPr>
          <w:ilvl w:val="0"/>
          <w:numId w:val="97"/>
        </w:numPr>
        <w:ind w:left="720"/>
        <w:jc w:val="both"/>
        <w:rPr>
          <w:rFonts w:cs="Arial"/>
          <w:color w:val="000000" w:themeColor="text1"/>
          <w:lang w:val="es-ES"/>
        </w:rPr>
      </w:pPr>
      <w:r w:rsidRPr="001C19F7">
        <w:rPr>
          <w:color w:val="000000" w:themeColor="text1"/>
          <w:lang w:val="es-ES"/>
        </w:rPr>
        <w:t xml:space="preserve">además, la cooperación con otros organismos especializados de las NN.UU., en particular, la CERN, la Organización Internacional de Normalización (ISO), la UIT, la UNESCO y la ONUDI se fortaleció y siguió siendo un medio de apoyo mutuo y contribuyó a lograr los resultados previstos de la OMPI y la puesta en práctica de la Agenda de la OMPI para el Desarrollo. </w:t>
      </w:r>
    </w:p>
    <w:p w:rsidR="001C19F7" w:rsidRPr="001C19F7" w:rsidRDefault="001C19F7" w:rsidP="001C19F7">
      <w:pPr>
        <w:pStyle w:val="ListParagraph"/>
        <w:ind w:left="0"/>
        <w:jc w:val="both"/>
        <w:rPr>
          <w:rFonts w:cs="Arial"/>
          <w:color w:val="000000" w:themeColor="text1"/>
          <w:lang w:val="es-ES"/>
        </w:rPr>
      </w:pPr>
    </w:p>
    <w:p w:rsidR="001C19F7" w:rsidRPr="001C19F7" w:rsidRDefault="001C19F7" w:rsidP="00276C89">
      <w:pPr>
        <w:pStyle w:val="ListParagraph"/>
        <w:numPr>
          <w:ilvl w:val="0"/>
          <w:numId w:val="94"/>
        </w:numPr>
        <w:tabs>
          <w:tab w:val="left" w:pos="709"/>
        </w:tabs>
        <w:ind w:left="0" w:firstLine="0"/>
        <w:jc w:val="both"/>
        <w:rPr>
          <w:rFonts w:cs="Arial"/>
          <w:color w:val="000000" w:themeColor="text1"/>
          <w:lang w:val="es-ES"/>
        </w:rPr>
      </w:pPr>
      <w:r w:rsidRPr="001C19F7">
        <w:rPr>
          <w:color w:val="000000" w:themeColor="text1"/>
          <w:lang w:val="es-ES"/>
        </w:rPr>
        <w:t xml:space="preserve">En 2014/15 prosiguieron las iniciativas de la OMPI para fomentar los vínculos de colaboración y movilizar contribuciones financieras voluntarias para proyectos de P.I., lo que ilustra la verdadera y permanente incorporación de la recomendación 2 de la A.D. en las actividades del programa.  Una parte importante de dicha labor consiste en prestar asesoramiento y orientación en relación con proyectos de la OMPI como WIPO GREEN, WIPO </w:t>
      </w:r>
      <w:proofErr w:type="spellStart"/>
      <w:r w:rsidRPr="001C19F7">
        <w:rPr>
          <w:color w:val="000000" w:themeColor="text1"/>
          <w:lang w:val="es-ES"/>
        </w:rPr>
        <w:t>Re</w:t>
      </w:r>
      <w:proofErr w:type="gramStart"/>
      <w:r w:rsidRPr="001C19F7">
        <w:rPr>
          <w:color w:val="000000" w:themeColor="text1"/>
          <w:lang w:val="es-ES"/>
        </w:rPr>
        <w:t>:Search</w:t>
      </w:r>
      <w:proofErr w:type="spellEnd"/>
      <w:proofErr w:type="gramEnd"/>
      <w:r w:rsidRPr="001C19F7">
        <w:rPr>
          <w:color w:val="000000" w:themeColor="text1"/>
          <w:lang w:val="es-ES"/>
        </w:rPr>
        <w:t xml:space="preserve"> y el Consorcio ABC para dar con donantes potenciales y elaborar estrategias de establecimiento de vínculos de colaboración y captación de apoyo financiero.</w:t>
      </w:r>
    </w:p>
    <w:p w:rsidR="001C19F7" w:rsidRPr="001C19F7" w:rsidRDefault="001C19F7" w:rsidP="001C19F7">
      <w:pPr>
        <w:jc w:val="both"/>
        <w:rPr>
          <w:color w:val="000000" w:themeColor="text1"/>
          <w:sz w:val="20"/>
        </w:rPr>
      </w:pPr>
    </w:p>
    <w:p w:rsidR="001C19F7" w:rsidRPr="001C19F7" w:rsidRDefault="001C19F7" w:rsidP="001C19F7">
      <w:pPr>
        <w:jc w:val="both"/>
        <w:rPr>
          <w:color w:val="000000" w:themeColor="text1"/>
          <w:sz w:val="20"/>
        </w:rPr>
      </w:pPr>
    </w:p>
    <w:p w:rsidR="001C19F7" w:rsidRPr="001C19F7" w:rsidRDefault="001C19F7" w:rsidP="001C19F7">
      <w:pPr>
        <w:jc w:val="both"/>
        <w:rPr>
          <w:color w:val="000000" w:themeColor="text1"/>
          <w:sz w:val="20"/>
        </w:rPr>
      </w:pPr>
      <w:r w:rsidRPr="001C19F7">
        <w:rPr>
          <w:color w:val="000000" w:themeColor="text1"/>
          <w:sz w:val="20"/>
        </w:rPr>
        <w:t>RELACIONES CON LAS ONG Y LA INDUSTRIA (Director General)</w:t>
      </w:r>
    </w:p>
    <w:p w:rsidR="001C19F7" w:rsidRPr="001C19F7" w:rsidRDefault="001C19F7" w:rsidP="001C19F7">
      <w:pPr>
        <w:jc w:val="both"/>
        <w:rPr>
          <w:b/>
          <w:color w:val="000000" w:themeColor="text1"/>
          <w:sz w:val="20"/>
        </w:rPr>
      </w:pPr>
    </w:p>
    <w:p w:rsidR="001C19F7" w:rsidRPr="001C19F7" w:rsidRDefault="001C19F7" w:rsidP="00276C89">
      <w:pPr>
        <w:pStyle w:val="ListParagraph"/>
        <w:numPr>
          <w:ilvl w:val="0"/>
          <w:numId w:val="94"/>
        </w:numPr>
        <w:tabs>
          <w:tab w:val="left" w:pos="709"/>
        </w:tabs>
        <w:ind w:left="0" w:firstLine="0"/>
        <w:jc w:val="both"/>
        <w:rPr>
          <w:rFonts w:cs="Arial"/>
          <w:color w:val="000000" w:themeColor="text1"/>
          <w:lang w:val="es-ES"/>
        </w:rPr>
      </w:pPr>
      <w:r w:rsidRPr="001C19F7">
        <w:rPr>
          <w:color w:val="000000" w:themeColor="text1"/>
          <w:lang w:val="es-ES"/>
        </w:rPr>
        <w:t>Durante el bienio, la OMPI continuó su labor de detección y promoción de oportunidades de mejorar la participación en sus actividades de las partes interesadas no gubernamentales.  En 2014 y en 2015, la OMPI contribuyó a establecer varios foros por conducto de los cuales fomentó la participación de los representantes de la sociedad civil y la cooperación con esta, entre ellos, talleres y seminarios, consultas sobre proyectos específicos y actividades paralelas.  En esas oportunidades se produjeron intercambios abiertos, transparentes y dinámicos con estos grupos interesados, conforme a la recomendación 42 de la A.D.  Las reuniones anuales tercera y cuarta organizadas por el Director General exclusivamente para ONG acreditadas se celebraron en la primavera de 2014 y 2015, respectivamente, y ofrecieron un foro valioso para el intercambio directo de opiniones sobre el sistema internacional de P.I. en general y la labor de la OMPI en particular.</w:t>
      </w:r>
    </w:p>
    <w:p w:rsidR="001C19F7" w:rsidRPr="001C19F7" w:rsidRDefault="001C19F7" w:rsidP="001C19F7">
      <w:pPr>
        <w:pStyle w:val="ListParagraph"/>
        <w:ind w:left="0"/>
        <w:jc w:val="both"/>
        <w:rPr>
          <w:rFonts w:cs="Arial"/>
          <w:color w:val="000000" w:themeColor="text1"/>
          <w:lang w:val="es-ES"/>
        </w:rPr>
      </w:pPr>
    </w:p>
    <w:p w:rsidR="001C19F7" w:rsidRPr="001C19F7" w:rsidRDefault="001C19F7" w:rsidP="00276C89">
      <w:pPr>
        <w:pStyle w:val="ListParagraph"/>
        <w:numPr>
          <w:ilvl w:val="0"/>
          <w:numId w:val="94"/>
        </w:numPr>
        <w:tabs>
          <w:tab w:val="left" w:pos="709"/>
        </w:tabs>
        <w:ind w:left="0" w:firstLine="0"/>
        <w:jc w:val="both"/>
        <w:rPr>
          <w:rFonts w:cs="Arial"/>
          <w:color w:val="000000" w:themeColor="text1"/>
          <w:lang w:val="es-ES"/>
        </w:rPr>
      </w:pPr>
      <w:r w:rsidRPr="001C19F7">
        <w:rPr>
          <w:color w:val="000000" w:themeColor="text1"/>
          <w:lang w:val="es-ES"/>
        </w:rPr>
        <w:t>Además, la OMPI mantuvo la estrecha colaboración con las partes interesadas no gubernamentales, mediante el desarrollo permanente de plataformas de encuentro entre diferentes partes interesadas y de alianzas que contribuyen a la promoción de la P.I. como instrumento para el crecimiento económico y el desarrollo en todo el mundo.  Cabe destacar que, tras el hito que supuso la adopción del Tratado de Marrakech sobre los discapacitados visuales en 2013, la OMPI inició una serie de seminarios en 2014 bajo el lema “De la política a la práctica:  velar por la aplicación del Tratado de Marrakech para las personas con discapacidad visual, y por la disponibilidad de libros en formato accesible” para ofrecer orientación y fomentar una toma de conciencia entre todas las partes interesadas acerca de las disposiciones del tratado y las iniciativas prácticas en colaboración con múltiples partes interesadas, encaminadas a aumentar la disponibilidad de libros en formato accesible, como el Consorcio de Libros Accesibles.  Además, en 2015, un ejemplo notable de atención eficaz de los grupos interesados no gubernamentales —que contribuyó al objetivo de destacar el papel de la P.I. como instrumento para promover la innovación, la creatividad y la transformación económica— fue la organización de un taller para jóvenes innovadores, creadores y empresarios africanos en el contexto de la Conferencia ministerial africana celebrada en Dakar en 2015.  Los resultados de este taller, entre ellos sus recomendaciones, se notificaron directamente a la Conferencia ministerial, de la que también se tomó nota en la declaración final de Dakar sobre la P.I. para África (</w:t>
      </w:r>
      <w:r w:rsidRPr="001C19F7">
        <w:rPr>
          <w:i/>
          <w:color w:val="000000" w:themeColor="text1"/>
          <w:lang w:val="es-ES"/>
        </w:rPr>
        <w:t xml:space="preserve">Dakar </w:t>
      </w:r>
      <w:proofErr w:type="spellStart"/>
      <w:r w:rsidRPr="001C19F7">
        <w:rPr>
          <w:i/>
          <w:color w:val="000000" w:themeColor="text1"/>
          <w:lang w:val="es-ES"/>
        </w:rPr>
        <w:t>Declaration</w:t>
      </w:r>
      <w:proofErr w:type="spellEnd"/>
      <w:r w:rsidRPr="001C19F7">
        <w:rPr>
          <w:i/>
          <w:color w:val="000000" w:themeColor="text1"/>
          <w:lang w:val="es-ES"/>
        </w:rPr>
        <w:t xml:space="preserve"> </w:t>
      </w:r>
      <w:proofErr w:type="spellStart"/>
      <w:r w:rsidRPr="001C19F7">
        <w:rPr>
          <w:i/>
          <w:color w:val="000000" w:themeColor="text1"/>
          <w:lang w:val="es-ES"/>
        </w:rPr>
        <w:t>on</w:t>
      </w:r>
      <w:proofErr w:type="spellEnd"/>
      <w:r w:rsidRPr="001C19F7">
        <w:rPr>
          <w:i/>
          <w:color w:val="000000" w:themeColor="text1"/>
          <w:lang w:val="es-ES"/>
        </w:rPr>
        <w:t xml:space="preserve"> Intellectual Property </w:t>
      </w:r>
      <w:proofErr w:type="spellStart"/>
      <w:r w:rsidRPr="001C19F7">
        <w:rPr>
          <w:i/>
          <w:color w:val="000000" w:themeColor="text1"/>
          <w:lang w:val="es-ES"/>
        </w:rPr>
        <w:t>for</w:t>
      </w:r>
      <w:proofErr w:type="spellEnd"/>
      <w:r w:rsidRPr="001C19F7">
        <w:rPr>
          <w:i/>
          <w:color w:val="000000" w:themeColor="text1"/>
          <w:lang w:val="es-ES"/>
        </w:rPr>
        <w:t xml:space="preserve"> </w:t>
      </w:r>
      <w:proofErr w:type="spellStart"/>
      <w:r w:rsidRPr="001C19F7">
        <w:rPr>
          <w:i/>
          <w:color w:val="000000" w:themeColor="text1"/>
          <w:lang w:val="es-ES"/>
        </w:rPr>
        <w:t>Africa</w:t>
      </w:r>
      <w:proofErr w:type="spellEnd"/>
      <w:r w:rsidRPr="001C19F7">
        <w:rPr>
          <w:color w:val="000000" w:themeColor="text1"/>
          <w:lang w:val="es-ES"/>
        </w:rPr>
        <w:t xml:space="preserve">). </w:t>
      </w:r>
    </w:p>
    <w:p w:rsidR="001C19F7" w:rsidRPr="001C19F7" w:rsidRDefault="001C19F7" w:rsidP="001C19F7">
      <w:pPr>
        <w:jc w:val="both"/>
        <w:rPr>
          <w:bCs/>
          <w:color w:val="000000" w:themeColor="text1"/>
          <w:sz w:val="20"/>
        </w:rPr>
      </w:pPr>
    </w:p>
    <w:p w:rsidR="001C19F7" w:rsidRPr="001C19F7" w:rsidRDefault="001C19F7" w:rsidP="001C19F7">
      <w:pPr>
        <w:jc w:val="both"/>
        <w:rPr>
          <w:bCs/>
          <w:color w:val="000000" w:themeColor="text1"/>
          <w:sz w:val="20"/>
        </w:rPr>
      </w:pPr>
    </w:p>
    <w:p w:rsidR="001C19F7" w:rsidRPr="001C19F7" w:rsidRDefault="001C19F7" w:rsidP="00635CF4">
      <w:pPr>
        <w:jc w:val="both"/>
        <w:rPr>
          <w:bCs/>
          <w:color w:val="000000" w:themeColor="text1"/>
          <w:sz w:val="20"/>
        </w:rPr>
      </w:pPr>
      <w:r w:rsidRPr="001C19F7">
        <w:rPr>
          <w:color w:val="000000" w:themeColor="text1"/>
          <w:sz w:val="20"/>
        </w:rPr>
        <w:t>OFICINAS EN EL EXTERIOR</w:t>
      </w:r>
    </w:p>
    <w:p w:rsidR="001C19F7" w:rsidRPr="001C19F7" w:rsidRDefault="001C19F7" w:rsidP="00635CF4">
      <w:pPr>
        <w:jc w:val="both"/>
        <w:rPr>
          <w:bCs/>
          <w:color w:val="000000" w:themeColor="text1"/>
          <w:sz w:val="20"/>
        </w:rPr>
      </w:pPr>
    </w:p>
    <w:p w:rsidR="001C19F7" w:rsidRPr="001C19F7" w:rsidRDefault="001C19F7" w:rsidP="00635CF4">
      <w:pPr>
        <w:pStyle w:val="ListParagraph"/>
        <w:numPr>
          <w:ilvl w:val="0"/>
          <w:numId w:val="94"/>
        </w:numPr>
        <w:tabs>
          <w:tab w:val="left" w:pos="709"/>
        </w:tabs>
        <w:ind w:left="0" w:firstLine="0"/>
        <w:jc w:val="both"/>
        <w:rPr>
          <w:rFonts w:cs="Arial"/>
          <w:color w:val="000000" w:themeColor="text1"/>
          <w:lang w:val="es-ES"/>
        </w:rPr>
      </w:pPr>
      <w:r w:rsidRPr="001C19F7">
        <w:rPr>
          <w:color w:val="000000" w:themeColor="text1"/>
          <w:lang w:val="es-ES"/>
        </w:rPr>
        <w:t xml:space="preserve">La red de oficinas de la OMPI en el exterior forma parte integrante de la Organización, con la finalidad de acercar los servicios y la cooperación de la OMPI a los Estados miembros, las partes interesadas y los asociados, en aras de una mayor eficacia en la ejecución de los programas y de </w:t>
      </w:r>
      <w:r w:rsidRPr="001C19F7">
        <w:rPr>
          <w:color w:val="000000" w:themeColor="text1"/>
          <w:lang w:val="es-ES"/>
        </w:rPr>
        <w:lastRenderedPageBreak/>
        <w:t>responder a las necesidades y prioridades específicas de los países y/o regiones en los que operan.   En 2014, la red aumentó a cinco oficinas a raíz de la apertura de las Oficinas de la OMPI en China (OOC) y en la Federación de Rusia (OOR).  Los resultados logrados dentro del período del que se informa siguieron poniendo de manifiesto la contribución a la ejecución del mandato de la Organización que realizan las oficinas de la OMPI en el exterior.</w:t>
      </w:r>
    </w:p>
    <w:p w:rsidR="001C19F7" w:rsidRPr="001C19F7" w:rsidRDefault="001C19F7" w:rsidP="001C19F7">
      <w:pPr>
        <w:jc w:val="both"/>
        <w:rPr>
          <w:bCs/>
          <w:color w:val="000000" w:themeColor="text1"/>
          <w:sz w:val="20"/>
        </w:rPr>
      </w:pPr>
    </w:p>
    <w:p w:rsidR="001C19F7" w:rsidRPr="001C19F7" w:rsidRDefault="001C19F7" w:rsidP="001C19F7">
      <w:pPr>
        <w:jc w:val="both"/>
        <w:rPr>
          <w:bCs/>
          <w:color w:val="000000" w:themeColor="text1"/>
          <w:sz w:val="20"/>
          <w:u w:val="single"/>
        </w:rPr>
      </w:pPr>
      <w:r w:rsidRPr="001C19F7">
        <w:rPr>
          <w:color w:val="000000" w:themeColor="text1"/>
          <w:sz w:val="20"/>
          <w:u w:val="single"/>
        </w:rPr>
        <w:t>Oficina de la OMPI en el Brasil (OOB) (Director General</w:t>
      </w:r>
      <w:r w:rsidR="002441A5">
        <w:rPr>
          <w:color w:val="000000" w:themeColor="text1"/>
          <w:sz w:val="20"/>
          <w:u w:val="single"/>
        </w:rPr>
        <w:t xml:space="preserve">/Sr. N. </w:t>
      </w:r>
      <w:proofErr w:type="spellStart"/>
      <w:r w:rsidR="002441A5">
        <w:rPr>
          <w:color w:val="000000" w:themeColor="text1"/>
          <w:sz w:val="20"/>
          <w:u w:val="single"/>
        </w:rPr>
        <w:t>Prasad</w:t>
      </w:r>
      <w:proofErr w:type="spellEnd"/>
      <w:r w:rsidRPr="001C19F7">
        <w:rPr>
          <w:color w:val="000000" w:themeColor="text1"/>
          <w:sz w:val="20"/>
          <w:u w:val="single"/>
        </w:rPr>
        <w:t>)</w:t>
      </w:r>
    </w:p>
    <w:p w:rsidR="001C19F7" w:rsidRPr="001C19F7" w:rsidRDefault="001C19F7" w:rsidP="001C19F7">
      <w:pPr>
        <w:jc w:val="both"/>
        <w:rPr>
          <w:bCs/>
          <w:color w:val="000000" w:themeColor="text1"/>
          <w:sz w:val="20"/>
          <w:u w:val="single"/>
        </w:rPr>
      </w:pPr>
    </w:p>
    <w:p w:rsidR="001C19F7" w:rsidRPr="001C19F7" w:rsidRDefault="001C19F7" w:rsidP="00276C89">
      <w:pPr>
        <w:pStyle w:val="ListParagraph"/>
        <w:numPr>
          <w:ilvl w:val="0"/>
          <w:numId w:val="94"/>
        </w:numPr>
        <w:tabs>
          <w:tab w:val="left" w:pos="709"/>
        </w:tabs>
        <w:ind w:left="0" w:firstLine="0"/>
        <w:jc w:val="both"/>
        <w:rPr>
          <w:rFonts w:cs="Arial"/>
          <w:color w:val="000000" w:themeColor="text1"/>
          <w:lang w:val="es-ES"/>
        </w:rPr>
      </w:pPr>
      <w:r w:rsidRPr="001C19F7">
        <w:rPr>
          <w:color w:val="000000" w:themeColor="text1"/>
          <w:lang w:val="es-ES"/>
        </w:rPr>
        <w:t xml:space="preserve">Durante el bienio, la OOB prestó particular atención a la consolidación de las capacidades nacionales y la promoción del uso de los servicios de la OMPI.  Para respaldar la labor del Instituto Nacional de Propiedad Industrial (INPI), que definió, entre otras de sus prioridades, la de mejorar la productividad y la eficacia, la OOB prestó asistencia en la organización de actividades de creación de capacidad en el ámbito del examen de solicitudes de patente.  Ejemplo de ello fue la colaboración mantenida con la Confederación Nacional de Industrias para organizar una serie de talleres con la finalidad de informar acerca de iniciativas internacionales que están en curso, centradas en la colaboración en el examen de solicitudes de patente.  </w:t>
      </w:r>
    </w:p>
    <w:p w:rsidR="001C19F7" w:rsidRPr="001C19F7" w:rsidRDefault="001C19F7" w:rsidP="001C19F7">
      <w:pPr>
        <w:pStyle w:val="ListParagraph"/>
        <w:ind w:left="0"/>
        <w:jc w:val="both"/>
        <w:rPr>
          <w:rFonts w:cs="Arial"/>
          <w:color w:val="000000" w:themeColor="text1"/>
          <w:lang w:val="es-ES"/>
        </w:rPr>
      </w:pPr>
    </w:p>
    <w:p w:rsidR="001C19F7" w:rsidRPr="001C19F7" w:rsidRDefault="001C19F7" w:rsidP="00276C89">
      <w:pPr>
        <w:pStyle w:val="ListParagraph"/>
        <w:numPr>
          <w:ilvl w:val="0"/>
          <w:numId w:val="94"/>
        </w:numPr>
        <w:tabs>
          <w:tab w:val="left" w:pos="709"/>
        </w:tabs>
        <w:ind w:left="0" w:firstLine="0"/>
        <w:jc w:val="both"/>
        <w:rPr>
          <w:rFonts w:cs="Arial"/>
          <w:color w:val="000000" w:themeColor="text1"/>
          <w:lang w:val="es-ES"/>
        </w:rPr>
      </w:pPr>
      <w:r w:rsidRPr="001C19F7">
        <w:rPr>
          <w:color w:val="000000" w:themeColor="text1"/>
          <w:lang w:val="es-ES"/>
        </w:rPr>
        <w:t xml:space="preserve">La Oficina dedicó esfuerzos considerables a colaborar con otras partes interesadas en el Brasil para fomentar una toma de conciencia acerca de los beneficios de la protección de la P.I. y la importancia de la comercialización de los activos de P.I.  A ese respecto, colaboró estrechamente con la Asociación Nacional de Investigación y Desarrollo de Empresas Innovadoras (ANPEI) y fue invitada a participar en dos comités creados por esta última, uno de ellos centrado en el fomento de la innovación y otro, dedicado a la P.I.  Fue una valiosa plataforma para poner de relieve la importancia del PCT y explicar sus procedimientos. </w:t>
      </w:r>
    </w:p>
    <w:p w:rsidR="001C19F7" w:rsidRPr="001C19F7" w:rsidRDefault="001C19F7" w:rsidP="001C19F7">
      <w:pPr>
        <w:pStyle w:val="ListParagraph"/>
        <w:ind w:left="0"/>
        <w:jc w:val="both"/>
        <w:rPr>
          <w:rFonts w:cs="Arial"/>
          <w:color w:val="000000" w:themeColor="text1"/>
          <w:lang w:val="es-ES"/>
        </w:rPr>
      </w:pPr>
    </w:p>
    <w:p w:rsidR="001C19F7" w:rsidRPr="001C19F7" w:rsidRDefault="001C19F7" w:rsidP="00276C89">
      <w:pPr>
        <w:pStyle w:val="ListParagraph"/>
        <w:numPr>
          <w:ilvl w:val="0"/>
          <w:numId w:val="94"/>
        </w:numPr>
        <w:tabs>
          <w:tab w:val="left" w:pos="709"/>
        </w:tabs>
        <w:ind w:left="0" w:firstLine="0"/>
        <w:jc w:val="both"/>
        <w:rPr>
          <w:rFonts w:cs="Arial"/>
          <w:color w:val="000000" w:themeColor="text1"/>
          <w:lang w:val="es-ES"/>
        </w:rPr>
      </w:pPr>
      <w:r w:rsidRPr="001C19F7">
        <w:rPr>
          <w:color w:val="000000" w:themeColor="text1"/>
          <w:lang w:val="es-ES"/>
        </w:rPr>
        <w:t>El fondo fiduciario del Brasil para respaldar la cooperación Sur</w:t>
      </w:r>
      <w:r w:rsidRPr="001C19F7">
        <w:rPr>
          <w:color w:val="000000" w:themeColor="text1"/>
          <w:lang w:val="es-ES"/>
        </w:rPr>
        <w:noBreakHyphen/>
        <w:t xml:space="preserve">Sur, establecido en 2012 y dirigido por la OOB, siguió ofreciendo a la Oficina importantes oportunidades para fomentar iniciativas, en particular, en la esfera de la transferencia de tecnología y la comercialización de la P.I.  En el seminario regional sobre P.I. y transferencia de tecnología celebrado en el Uruguay, en el mes de diciembre de 2014, se dieron cita representantes de varios países (Argentina, Brasil, Chile, Paraguay y Uruguay), lo que fue una oportunidad para intercambiar información y conocimientos técnicos en las esferas de desarrollo de estrategias nacionales e institucionales de P.I. y de medios estratégicos para fomentar la innovación.  Gracias al fondo fiduciario pudieron organizarse programas de formación en varias regiones del Brasil, lo que se tradujo en un aumento de la capacidad local en negociación de licencias tecnológicas y redacción de solicitudes de patente.  </w:t>
      </w:r>
    </w:p>
    <w:p w:rsidR="001C19F7" w:rsidRPr="001C19F7" w:rsidRDefault="001C19F7" w:rsidP="001C19F7">
      <w:pPr>
        <w:pStyle w:val="ListParagraph"/>
        <w:ind w:left="0"/>
        <w:jc w:val="both"/>
        <w:rPr>
          <w:rFonts w:cs="Arial"/>
          <w:color w:val="000000" w:themeColor="text1"/>
          <w:lang w:val="es-ES"/>
        </w:rPr>
      </w:pPr>
    </w:p>
    <w:p w:rsidR="001C19F7" w:rsidRPr="001C19F7" w:rsidRDefault="001C19F7" w:rsidP="00276C89">
      <w:pPr>
        <w:pStyle w:val="ListParagraph"/>
        <w:numPr>
          <w:ilvl w:val="0"/>
          <w:numId w:val="94"/>
        </w:numPr>
        <w:tabs>
          <w:tab w:val="left" w:pos="709"/>
        </w:tabs>
        <w:ind w:left="0" w:firstLine="0"/>
        <w:jc w:val="both"/>
        <w:rPr>
          <w:rFonts w:cs="Arial"/>
          <w:color w:val="000000" w:themeColor="text1"/>
          <w:lang w:val="es-ES"/>
        </w:rPr>
      </w:pPr>
      <w:r w:rsidRPr="001C19F7">
        <w:rPr>
          <w:color w:val="000000" w:themeColor="text1"/>
          <w:lang w:val="es-ES"/>
        </w:rPr>
        <w:t>La OOB colaboró con asociados locales y de las NN.UU. del Brasil en cuestiones de interés mutuo como medio de explotar y maximizar los recursos y progresar en el mandato que se le ha encomendado.  En colaboración con el PNUD y el organismo de innovación en el Brasil (FINEP) se emprendió un proyecto para formar negociadores en cuestiones relativas a la tecnología y el desarrollo.   Con esta finalidad, en virtud de un nuevo acuerdo de fondo fiduciario firmado con el PNUD y el FINEP en octubre de 2015, se llevó a cabo un Programa de formación para negociadores de desarrollo tecnológico que benefició a veintiocho directores de departamento de tecnología.  En relación con la promoción de las plataformas de la OMPI, la Oficina continuó su colaboración con la Asociación Brasileña Nacional de Gestores de Transferencia Tecnológica (FORTEC) en torno a WIPO GREEN, que comenzó a dar sus frutos en 2015, como las primeras siete tecnologías desarrolladas por instituciones y empresas brasileñas introducidas en la base de datos.</w:t>
      </w:r>
    </w:p>
    <w:p w:rsidR="001C19F7" w:rsidRPr="001C19F7" w:rsidRDefault="001C19F7" w:rsidP="001C19F7">
      <w:pPr>
        <w:pStyle w:val="ListParagraph"/>
        <w:ind w:left="0"/>
        <w:jc w:val="both"/>
        <w:rPr>
          <w:rFonts w:cs="Arial"/>
          <w:color w:val="000000" w:themeColor="text1"/>
          <w:lang w:val="es-ES"/>
        </w:rPr>
      </w:pPr>
    </w:p>
    <w:p w:rsidR="001C19F7" w:rsidRPr="001C19F7" w:rsidRDefault="001C19F7" w:rsidP="00276C89">
      <w:pPr>
        <w:pStyle w:val="ListParagraph"/>
        <w:numPr>
          <w:ilvl w:val="0"/>
          <w:numId w:val="94"/>
        </w:numPr>
        <w:tabs>
          <w:tab w:val="left" w:pos="709"/>
        </w:tabs>
        <w:ind w:left="0" w:firstLine="0"/>
        <w:jc w:val="both"/>
        <w:rPr>
          <w:rFonts w:cs="Arial"/>
          <w:color w:val="000000" w:themeColor="text1"/>
          <w:lang w:val="es-ES"/>
        </w:rPr>
      </w:pPr>
      <w:r w:rsidRPr="001C19F7">
        <w:rPr>
          <w:color w:val="000000" w:themeColor="text1"/>
          <w:lang w:val="es-ES"/>
        </w:rPr>
        <w:t>Además, en 2014/15 la OOB centró su atención en las ventajas económicas que confieren las indicaciones geográficas y las ventajas de la protección de los diseños.  También se concentró la atención en la promoción del Sistema de Madrid y la industria brasileña brindó una colaboración especialmente activa en la organización de debates sobre las ventajas del Protocolo de Madrid para la competitividad de sus empresas internacionales.   Además, la OOB trabajó en coordinación con el Programa 7 (Arbitraje, mediación y nombres de dominio) a fin de fortalecer la colaboración con la Asociación Brasileña de Franquicias (ABF) en la promoción de servicios de mediación en el contexto de los contratos en materia de franquicias y transferencia tecnológica.</w:t>
      </w:r>
    </w:p>
    <w:p w:rsidR="001C19F7" w:rsidRPr="001C19F7" w:rsidRDefault="001C19F7" w:rsidP="001C19F7">
      <w:pPr>
        <w:pStyle w:val="ListParagraph"/>
        <w:ind w:left="0"/>
        <w:jc w:val="both"/>
        <w:rPr>
          <w:rFonts w:cs="Arial"/>
          <w:color w:val="000000" w:themeColor="text1"/>
          <w:lang w:val="es-ES"/>
        </w:rPr>
      </w:pPr>
    </w:p>
    <w:p w:rsidR="001C19F7" w:rsidRPr="001C19F7" w:rsidRDefault="001C19F7" w:rsidP="00276C89">
      <w:pPr>
        <w:pStyle w:val="ListParagraph"/>
        <w:numPr>
          <w:ilvl w:val="0"/>
          <w:numId w:val="94"/>
        </w:numPr>
        <w:tabs>
          <w:tab w:val="left" w:pos="709"/>
        </w:tabs>
        <w:ind w:left="0" w:firstLine="0"/>
        <w:jc w:val="both"/>
        <w:rPr>
          <w:rFonts w:cs="Arial"/>
          <w:bCs/>
          <w:color w:val="000000" w:themeColor="text1"/>
          <w:u w:val="single"/>
          <w:lang w:val="es-ES"/>
        </w:rPr>
      </w:pPr>
      <w:r w:rsidRPr="001C19F7">
        <w:rPr>
          <w:color w:val="000000" w:themeColor="text1"/>
          <w:lang w:val="es-ES"/>
        </w:rPr>
        <w:t xml:space="preserve">Con la cooperación de la Federación de Industrias del Estado de Río de Janeiro (Brasil) (FIRJAN), la Universidad </w:t>
      </w:r>
      <w:proofErr w:type="spellStart"/>
      <w:r w:rsidRPr="001C19F7">
        <w:rPr>
          <w:color w:val="000000" w:themeColor="text1"/>
          <w:lang w:val="es-ES"/>
        </w:rPr>
        <w:t>Cornell</w:t>
      </w:r>
      <w:proofErr w:type="spellEnd"/>
      <w:r w:rsidRPr="001C19F7">
        <w:rPr>
          <w:color w:val="000000" w:themeColor="text1"/>
          <w:lang w:val="es-ES"/>
        </w:rPr>
        <w:t xml:space="preserve"> y la Red de Tecnología de Río de Janeiro (REDETEC) y con el apoyo del Instituto Nacional de Propiedad Intelectual del Brasil (INPI), la OOB organizó la presentación regional del Índice Mundial de Innovación 2015 que tuvo lugar en Río de Janeiro en septiembre de 2015.</w:t>
      </w:r>
    </w:p>
    <w:p w:rsidR="001C19F7" w:rsidRPr="001C19F7" w:rsidRDefault="001C19F7" w:rsidP="001C19F7">
      <w:pPr>
        <w:jc w:val="both"/>
        <w:rPr>
          <w:bCs/>
          <w:color w:val="000000" w:themeColor="text1"/>
          <w:sz w:val="20"/>
          <w:u w:val="single"/>
        </w:rPr>
      </w:pPr>
    </w:p>
    <w:p w:rsidR="001C19F7" w:rsidRPr="001C19F7" w:rsidRDefault="001C19F7" w:rsidP="001C19F7">
      <w:pPr>
        <w:jc w:val="both"/>
        <w:rPr>
          <w:bCs/>
          <w:color w:val="000000" w:themeColor="text1"/>
          <w:sz w:val="20"/>
          <w:u w:val="single"/>
        </w:rPr>
      </w:pPr>
      <w:r w:rsidRPr="001C19F7">
        <w:rPr>
          <w:color w:val="000000" w:themeColor="text1"/>
          <w:sz w:val="20"/>
          <w:u w:val="single"/>
        </w:rPr>
        <w:lastRenderedPageBreak/>
        <w:t>Oficina de la OMPI en China (OOC) (Sra. B. Wang)</w:t>
      </w:r>
    </w:p>
    <w:p w:rsidR="001C19F7" w:rsidRPr="001C19F7" w:rsidRDefault="001C19F7" w:rsidP="001C19F7">
      <w:pPr>
        <w:jc w:val="both"/>
        <w:rPr>
          <w:bCs/>
          <w:color w:val="000000" w:themeColor="text1"/>
          <w:sz w:val="20"/>
          <w:u w:val="single"/>
        </w:rPr>
      </w:pPr>
    </w:p>
    <w:p w:rsidR="001C19F7" w:rsidRPr="001C19F7" w:rsidRDefault="001C19F7" w:rsidP="00276C89">
      <w:pPr>
        <w:pStyle w:val="ListParagraph"/>
        <w:numPr>
          <w:ilvl w:val="0"/>
          <w:numId w:val="94"/>
        </w:numPr>
        <w:tabs>
          <w:tab w:val="left" w:pos="709"/>
        </w:tabs>
        <w:ind w:left="0" w:firstLine="0"/>
        <w:jc w:val="both"/>
        <w:rPr>
          <w:rFonts w:cs="Arial"/>
          <w:color w:val="000000" w:themeColor="text1"/>
          <w:lang w:val="es-ES"/>
        </w:rPr>
      </w:pPr>
      <w:r w:rsidRPr="001C19F7">
        <w:rPr>
          <w:color w:val="000000" w:themeColor="text1"/>
          <w:lang w:val="es-ES"/>
        </w:rPr>
        <w:t xml:space="preserve">La OOC se inauguró en julio de 2014 y durante el segundo semestre del año se dedicó a sentar cimientos y consolidar su estructura administrativa.  A ese respecto, estableció lazos de cooperación estrecha con el país anfitrión, en particular, con el Ministerio de Relaciones Exteriores, la Oficina Estatal de Propiedad Intelectual (SIPO), la Administración Estatal de Industria y Comercio (SAIC), la Administración Nacional de Derecho de Autor (NCAC) y el Gobierno Municipal de Beijing, lo que facilitó en gran medida la capacidad de la oficina para empezar a ser operativa. </w:t>
      </w:r>
    </w:p>
    <w:p w:rsidR="001C19F7" w:rsidRPr="001C19F7" w:rsidRDefault="001C19F7" w:rsidP="001C19F7">
      <w:pPr>
        <w:pStyle w:val="ListParagraph"/>
        <w:ind w:left="0"/>
        <w:jc w:val="both"/>
        <w:rPr>
          <w:rFonts w:cs="Arial"/>
          <w:color w:val="000000" w:themeColor="text1"/>
          <w:lang w:val="es-ES"/>
        </w:rPr>
      </w:pPr>
    </w:p>
    <w:p w:rsidR="001C19F7" w:rsidRPr="001C19F7" w:rsidRDefault="001C19F7" w:rsidP="00276C89">
      <w:pPr>
        <w:pStyle w:val="ListParagraph"/>
        <w:numPr>
          <w:ilvl w:val="0"/>
          <w:numId w:val="94"/>
        </w:numPr>
        <w:tabs>
          <w:tab w:val="left" w:pos="709"/>
        </w:tabs>
        <w:ind w:left="0" w:firstLine="0"/>
        <w:jc w:val="both"/>
        <w:rPr>
          <w:rFonts w:cs="Arial"/>
          <w:color w:val="000000" w:themeColor="text1"/>
          <w:lang w:val="es-ES"/>
        </w:rPr>
      </w:pPr>
      <w:r w:rsidRPr="001C19F7">
        <w:rPr>
          <w:color w:val="000000" w:themeColor="text1"/>
          <w:lang w:val="es-ES"/>
        </w:rPr>
        <w:t xml:space="preserve">Tanto en 2014 como en 2015, China fue el tercer y séptimo usuario más importante de los Sistemas del PCT y Madrid, respectivamente, por lo que, desde sus inicios, una prioridad de la Oficina fue promover los servicios de la OMPI en el mercado de China.  Las solicitudes PCT </w:t>
      </w:r>
      <w:r w:rsidR="00427C67">
        <w:rPr>
          <w:color w:val="000000" w:themeColor="text1"/>
          <w:lang w:val="es-ES"/>
        </w:rPr>
        <w:t>procedentes de</w:t>
      </w:r>
      <w:r w:rsidRPr="001C19F7">
        <w:rPr>
          <w:color w:val="000000" w:themeColor="text1"/>
          <w:lang w:val="es-ES"/>
        </w:rPr>
        <w:t xml:space="preserve"> China aumentaron un 38% en 2014/15 (55.394) con respecto a 2012/13 (40.134).  Las solicitudes </w:t>
      </w:r>
      <w:r w:rsidR="00427C67">
        <w:rPr>
          <w:color w:val="000000" w:themeColor="text1"/>
          <w:lang w:val="es-ES"/>
        </w:rPr>
        <w:t>procedentes</w:t>
      </w:r>
      <w:r w:rsidRPr="001C19F7">
        <w:rPr>
          <w:color w:val="000000" w:themeColor="text1"/>
          <w:lang w:val="es-ES"/>
        </w:rPr>
        <w:t xml:space="preserve"> de China </w:t>
      </w:r>
      <w:r w:rsidR="00427C67">
        <w:rPr>
          <w:color w:val="000000" w:themeColor="text1"/>
          <w:lang w:val="es-ES"/>
        </w:rPr>
        <w:t>en el marco d</w:t>
      </w:r>
      <w:r w:rsidRPr="001C19F7">
        <w:rPr>
          <w:color w:val="000000" w:themeColor="text1"/>
          <w:lang w:val="es-ES"/>
        </w:rPr>
        <w:t xml:space="preserve">el Sistema de Madrid aumentaron un 2% en bienio 2014/15 (4.461) con respecto al bienio 2012/13 (4.373).  De hecho, en 2015 </w:t>
      </w:r>
      <w:r w:rsidR="00427C67">
        <w:rPr>
          <w:color w:val="000000" w:themeColor="text1"/>
          <w:lang w:val="es-ES"/>
        </w:rPr>
        <w:t xml:space="preserve">el número de solicitudes </w:t>
      </w:r>
      <w:r w:rsidRPr="001C19F7">
        <w:rPr>
          <w:color w:val="000000" w:themeColor="text1"/>
          <w:lang w:val="es-ES"/>
        </w:rPr>
        <w:t xml:space="preserve">de China (2.401) </w:t>
      </w:r>
      <w:r w:rsidR="00427C67">
        <w:rPr>
          <w:color w:val="000000" w:themeColor="text1"/>
          <w:lang w:val="es-ES"/>
        </w:rPr>
        <w:t xml:space="preserve">fue </w:t>
      </w:r>
      <w:r w:rsidRPr="001C19F7">
        <w:rPr>
          <w:color w:val="000000" w:themeColor="text1"/>
          <w:lang w:val="es-ES"/>
        </w:rPr>
        <w:t xml:space="preserve">sin precedentes desde su adhesión al Sistema en 1989.  Se organizaron eventos en Beijing y sus alrededores y en otras regiones, destinadas a los usuarios actuales y potenciales de los servicios de la OMPI.  Durante el bienio, el establecimiento de vínculos de colaboración con la industria y otras partes interesadas evolucionó y continuó fortaleciéndose con la intención de que la Oficina ampliara su alcance para dar cabida a los usuarios de las demás regiones de China. </w:t>
      </w:r>
    </w:p>
    <w:p w:rsidR="001C19F7" w:rsidRPr="001C19F7" w:rsidRDefault="001C19F7" w:rsidP="001C19F7">
      <w:pPr>
        <w:pStyle w:val="ListParagraph"/>
        <w:ind w:left="0"/>
        <w:jc w:val="both"/>
        <w:rPr>
          <w:rFonts w:cs="Arial"/>
          <w:color w:val="000000" w:themeColor="text1"/>
          <w:lang w:val="es-ES"/>
        </w:rPr>
      </w:pPr>
    </w:p>
    <w:p w:rsidR="001C19F7" w:rsidRPr="001C19F7" w:rsidRDefault="001C19F7" w:rsidP="00276C89">
      <w:pPr>
        <w:pStyle w:val="ListParagraph"/>
        <w:numPr>
          <w:ilvl w:val="0"/>
          <w:numId w:val="94"/>
        </w:numPr>
        <w:tabs>
          <w:tab w:val="left" w:pos="709"/>
        </w:tabs>
        <w:ind w:left="0" w:firstLine="0"/>
        <w:jc w:val="both"/>
        <w:rPr>
          <w:rFonts w:cs="Arial"/>
          <w:color w:val="000000" w:themeColor="text1"/>
          <w:lang w:val="es-ES"/>
        </w:rPr>
      </w:pPr>
      <w:r w:rsidRPr="001C19F7">
        <w:rPr>
          <w:color w:val="000000" w:themeColor="text1"/>
          <w:lang w:val="es-ES"/>
        </w:rPr>
        <w:t>2014 será recordado como año en el que China ratificó el Tratado de Beijing sobre Interpretaciones y Ejecuciones Audiovisuales.  En cooperación con el Gobierno de China, la Oficina organizó varias actividades para divulgar más ampliamente el Tratado.  Mientras tanto, la Oficina también centró sus esfuerzos en la promoción del Tratado de Marrakech.  En colaboración con la NCAC, en diciembre de 2014 la Oficina organizó una mesa redonda con asistencia de funcionarios de las universidades y el Gobierno y en cuyo marco se examinó la posibilidad de adhesión y los pasos preparatorios.  La Oficina también facilitó la edición de una versión china del Tratado de Marrakech en los formatos Braille, DAISI y audio.</w:t>
      </w:r>
    </w:p>
    <w:p w:rsidR="001C19F7" w:rsidRPr="001C19F7" w:rsidRDefault="001C19F7" w:rsidP="001C19F7">
      <w:pPr>
        <w:pStyle w:val="ListParagraph"/>
        <w:ind w:left="0"/>
        <w:jc w:val="both"/>
        <w:rPr>
          <w:rFonts w:cs="Arial"/>
          <w:color w:val="000000" w:themeColor="text1"/>
          <w:lang w:val="es-ES"/>
        </w:rPr>
      </w:pPr>
    </w:p>
    <w:p w:rsidR="001C19F7" w:rsidRPr="001C19F7" w:rsidRDefault="001C19F7" w:rsidP="00276C89">
      <w:pPr>
        <w:pStyle w:val="ListParagraph"/>
        <w:numPr>
          <w:ilvl w:val="0"/>
          <w:numId w:val="94"/>
        </w:numPr>
        <w:tabs>
          <w:tab w:val="left" w:pos="709"/>
        </w:tabs>
        <w:ind w:left="0" w:firstLine="0"/>
        <w:jc w:val="both"/>
        <w:rPr>
          <w:rFonts w:cs="Arial"/>
          <w:color w:val="000000" w:themeColor="text1"/>
          <w:lang w:val="es-ES"/>
        </w:rPr>
      </w:pPr>
      <w:r w:rsidRPr="001C19F7">
        <w:rPr>
          <w:color w:val="000000" w:themeColor="text1"/>
          <w:lang w:val="es-ES"/>
        </w:rPr>
        <w:t xml:space="preserve">En lo que se refiere a los diseños industriales, la Oficina siguió respaldando la intención de China de adherirse al Sistema de La Haya.  Se inició la colaboración con funcionarios de alto rango de la administración y el poder legislativo.  La Oficina participó en un simposio internacional y organizó o coorganizó numerosos seminarios sobre diseños industriales, aprovechando esas oportunidades para poner de relieve las ventajas y la naturaleza del sistema.  Al mismo tiempo, la Oficina colaboró directamente con el sector empresarial en la promoción del Sistema de La Haya.  Como consecuencia de esa colaboración, la empresa china Lenovo ocupó el séptimo lugar entre los principales usuarios del Sistema de La Haya en 2014.  En 2015, </w:t>
      </w:r>
      <w:proofErr w:type="spellStart"/>
      <w:r w:rsidRPr="001C19F7">
        <w:rPr>
          <w:color w:val="000000" w:themeColor="text1"/>
          <w:lang w:val="es-ES"/>
        </w:rPr>
        <w:t>Huawei</w:t>
      </w:r>
      <w:proofErr w:type="spellEnd"/>
      <w:r w:rsidRPr="001C19F7">
        <w:rPr>
          <w:color w:val="000000" w:themeColor="text1"/>
          <w:lang w:val="es-ES"/>
        </w:rPr>
        <w:t xml:space="preserve"> y </w:t>
      </w:r>
      <w:proofErr w:type="spellStart"/>
      <w:r w:rsidRPr="001C19F7">
        <w:rPr>
          <w:color w:val="000000" w:themeColor="text1"/>
          <w:lang w:val="es-ES"/>
        </w:rPr>
        <w:t>Xiaomi</w:t>
      </w:r>
      <w:proofErr w:type="spellEnd"/>
      <w:r w:rsidRPr="001C19F7">
        <w:rPr>
          <w:color w:val="000000" w:themeColor="text1"/>
          <w:lang w:val="es-ES"/>
        </w:rPr>
        <w:t xml:space="preserve"> también comenzaron a utilizar el Sistema de La Haya.</w:t>
      </w:r>
    </w:p>
    <w:p w:rsidR="001C19F7" w:rsidRPr="001C19F7" w:rsidRDefault="001C19F7" w:rsidP="001C19F7">
      <w:pPr>
        <w:jc w:val="both"/>
        <w:rPr>
          <w:color w:val="000000" w:themeColor="text1"/>
          <w:sz w:val="20"/>
        </w:rPr>
      </w:pPr>
    </w:p>
    <w:p w:rsidR="001C19F7" w:rsidRPr="001C19F7" w:rsidRDefault="001C19F7" w:rsidP="00276C89">
      <w:pPr>
        <w:pStyle w:val="ListParagraph"/>
        <w:numPr>
          <w:ilvl w:val="0"/>
          <w:numId w:val="94"/>
        </w:numPr>
        <w:tabs>
          <w:tab w:val="left" w:pos="709"/>
        </w:tabs>
        <w:ind w:left="0" w:firstLine="0"/>
        <w:jc w:val="both"/>
        <w:rPr>
          <w:rFonts w:cs="Arial"/>
          <w:color w:val="000000" w:themeColor="text1"/>
          <w:lang w:val="es-ES"/>
        </w:rPr>
      </w:pPr>
      <w:r w:rsidRPr="001C19F7">
        <w:rPr>
          <w:color w:val="000000" w:themeColor="text1"/>
          <w:lang w:val="es-ES"/>
        </w:rPr>
        <w:t xml:space="preserve">La Oficina siguió participando durante el bienio en varias iniciativas adicionales.  Avanzaron los debates con la SAIC respecto de la cooperación con China en el intercambio de datos en relación con la base de datos mundial sobre marcas, lo que dio lugar al inicio de un intercambio de datos de ensayo en 2015.  La Oficina de la OMPI en China siguió promoviendo las plataformas de la OMPI y cabe destacar que, tras la inauguración de la OOC en 2014, el Grupo </w:t>
      </w:r>
      <w:proofErr w:type="spellStart"/>
      <w:r w:rsidRPr="001C19F7">
        <w:rPr>
          <w:color w:val="000000" w:themeColor="text1"/>
          <w:lang w:val="es-ES"/>
        </w:rPr>
        <w:t>Haier</w:t>
      </w:r>
      <w:proofErr w:type="spellEnd"/>
      <w:r w:rsidRPr="001C19F7">
        <w:rPr>
          <w:color w:val="000000" w:themeColor="text1"/>
          <w:lang w:val="es-ES"/>
        </w:rPr>
        <w:t xml:space="preserve"> (uno de los mayores fabricantes de aparatos electrónicos del mundo) y la Oficina de intercambio de tecnología de China empezó a colaborar con WIPO GREEN.  Además, la OOC, en cooperación con el Centro de Arbitraje y Mediación de la OMPI, llevó a cabo varias actividades promocionales y sesiones de formación para fomentar la sensibilización y el uso de los servicios ofrecidos por el Centro entre los grupos interesados de China.</w:t>
      </w:r>
    </w:p>
    <w:p w:rsidR="001C19F7" w:rsidRPr="001C19F7" w:rsidRDefault="001C19F7" w:rsidP="001C19F7">
      <w:pPr>
        <w:pStyle w:val="ListParagraph"/>
        <w:ind w:left="0"/>
        <w:jc w:val="both"/>
        <w:rPr>
          <w:rFonts w:cs="Arial"/>
          <w:color w:val="000000" w:themeColor="text1"/>
          <w:lang w:val="es-ES"/>
        </w:rPr>
      </w:pPr>
    </w:p>
    <w:p w:rsidR="001C19F7" w:rsidRPr="001C19F7" w:rsidRDefault="001C19F7" w:rsidP="00276C89">
      <w:pPr>
        <w:pStyle w:val="ListParagraph"/>
        <w:numPr>
          <w:ilvl w:val="0"/>
          <w:numId w:val="94"/>
        </w:numPr>
        <w:tabs>
          <w:tab w:val="left" w:pos="709"/>
        </w:tabs>
        <w:ind w:left="0" w:firstLine="0"/>
        <w:jc w:val="both"/>
        <w:rPr>
          <w:rFonts w:cs="Arial"/>
          <w:color w:val="000000" w:themeColor="text1"/>
          <w:lang w:val="es-ES"/>
        </w:rPr>
      </w:pPr>
      <w:r w:rsidRPr="001C19F7">
        <w:rPr>
          <w:color w:val="000000" w:themeColor="text1"/>
          <w:lang w:val="es-ES"/>
        </w:rPr>
        <w:t>Al mismo tiempo, la Oficina inició actividades encaminadas a darse a conocer y fomentar la importancia de la P.I. y la innovación para el desarrollo de China.  Ejemplos destacados a ese respecto fueron la 16ª ceremonia de concesión de galardones OMPI-SIPO para recompensar la mejor invención patentada y mejor diseño industrial chino y la octava edición de la Feria Internacional de Invenciones (ITIK 2014) organizada por la Asociación de Inventores de China, en la que la Oficina hizo también entrega de premios de la OMPI.</w:t>
      </w:r>
    </w:p>
    <w:p w:rsidR="001C19F7" w:rsidRPr="001C19F7" w:rsidRDefault="001C19F7" w:rsidP="001C19F7">
      <w:pPr>
        <w:pStyle w:val="ListParagraph"/>
        <w:ind w:left="0"/>
        <w:jc w:val="both"/>
        <w:rPr>
          <w:rFonts w:cs="Arial"/>
          <w:color w:val="000000" w:themeColor="text1"/>
          <w:lang w:val="es-ES"/>
        </w:rPr>
      </w:pPr>
    </w:p>
    <w:p w:rsidR="001C19F7" w:rsidRPr="001C19F7" w:rsidRDefault="001C19F7" w:rsidP="00276C89">
      <w:pPr>
        <w:pStyle w:val="ListParagraph"/>
        <w:numPr>
          <w:ilvl w:val="0"/>
          <w:numId w:val="94"/>
        </w:numPr>
        <w:tabs>
          <w:tab w:val="left" w:pos="709"/>
        </w:tabs>
        <w:ind w:left="0" w:firstLine="0"/>
        <w:jc w:val="both"/>
        <w:rPr>
          <w:rFonts w:cs="Arial"/>
          <w:color w:val="000000" w:themeColor="text1"/>
          <w:lang w:val="es-ES"/>
        </w:rPr>
      </w:pPr>
      <w:r w:rsidRPr="001C19F7">
        <w:rPr>
          <w:color w:val="000000" w:themeColor="text1"/>
          <w:lang w:val="es-ES"/>
        </w:rPr>
        <w:t xml:space="preserve">En noviembre de 2015, la OMPI y la NCAC firmaron un memorando de entendimiento que estrechó la cooperación bilateral con el estado anfitrión de la OOC.  Además, siguió fortaleciéndose el compromiso y la cooperación con los gobiernos locales de los ámbitos provincial y local.  Cabe señalar que la OMPI firmó sendos memorandos de entendimiento con el Gobierno Municipal de </w:t>
      </w:r>
      <w:proofErr w:type="spellStart"/>
      <w:r w:rsidRPr="001C19F7">
        <w:rPr>
          <w:color w:val="000000" w:themeColor="text1"/>
          <w:lang w:val="es-ES"/>
        </w:rPr>
        <w:t>Shanghai</w:t>
      </w:r>
      <w:proofErr w:type="spellEnd"/>
      <w:r w:rsidRPr="001C19F7">
        <w:rPr>
          <w:color w:val="000000" w:themeColor="text1"/>
          <w:lang w:val="es-ES"/>
        </w:rPr>
        <w:t xml:space="preserve"> (2014) y el Gobierno Municipal de Beijing (2015).</w:t>
      </w:r>
    </w:p>
    <w:p w:rsidR="001C19F7" w:rsidRPr="001C19F7" w:rsidRDefault="001C19F7" w:rsidP="00276C89">
      <w:pPr>
        <w:pStyle w:val="ListParagraph"/>
        <w:numPr>
          <w:ilvl w:val="0"/>
          <w:numId w:val="94"/>
        </w:numPr>
        <w:tabs>
          <w:tab w:val="left" w:pos="709"/>
        </w:tabs>
        <w:ind w:left="0" w:firstLine="0"/>
        <w:jc w:val="both"/>
        <w:rPr>
          <w:rFonts w:cs="Arial"/>
          <w:color w:val="000000" w:themeColor="text1"/>
          <w:lang w:val="es-ES"/>
        </w:rPr>
      </w:pPr>
      <w:r w:rsidRPr="001C19F7">
        <w:rPr>
          <w:color w:val="000000" w:themeColor="text1"/>
          <w:lang w:val="es-ES"/>
        </w:rPr>
        <w:lastRenderedPageBreak/>
        <w:t>En el campo de la asistencia técnica y la capacitación, la OOC facilitó su apoyo al Programa 11 (Academia de la OMPI) para la apertura del primer Curso de verano de la OMPI en el recinto de la Universidad de Ciencias Políticas y Derecho de China Oriental en mayo de 2015 y en la preparación de un memorando de entendimiento con el Centro de Formación en Propiedad Intelectual de China.</w:t>
      </w:r>
    </w:p>
    <w:p w:rsidR="001C19F7" w:rsidRPr="001C19F7" w:rsidRDefault="001C19F7" w:rsidP="001C19F7">
      <w:pPr>
        <w:pStyle w:val="ListParagraph"/>
        <w:ind w:left="0"/>
        <w:jc w:val="both"/>
        <w:rPr>
          <w:rFonts w:cs="Arial"/>
          <w:color w:val="000000" w:themeColor="text1"/>
          <w:lang w:val="es-ES"/>
        </w:rPr>
      </w:pPr>
    </w:p>
    <w:p w:rsidR="001C19F7" w:rsidRPr="001C19F7" w:rsidRDefault="001C19F7" w:rsidP="00276C89">
      <w:pPr>
        <w:pStyle w:val="ListParagraph"/>
        <w:numPr>
          <w:ilvl w:val="0"/>
          <w:numId w:val="94"/>
        </w:numPr>
        <w:tabs>
          <w:tab w:val="left" w:pos="709"/>
        </w:tabs>
        <w:ind w:left="0" w:firstLine="0"/>
        <w:jc w:val="both"/>
        <w:rPr>
          <w:rFonts w:cs="Arial"/>
          <w:color w:val="000000" w:themeColor="text1"/>
          <w:lang w:val="es-ES"/>
        </w:rPr>
      </w:pPr>
      <w:r w:rsidRPr="001C19F7">
        <w:rPr>
          <w:color w:val="000000" w:themeColor="text1"/>
          <w:lang w:val="es-ES"/>
        </w:rPr>
        <w:t xml:space="preserve">Se reforzó la tarea de divulgación dirigida a grupos interesados importantes con el propósito de fomentar la toma de conciencia respecto de la labor de la OMPI y los derechos de P.I. en China, en colaboración con las autoridades de P.I. de China, incluso en la ocasión del Día Mundial de la Propiedad Intelectual.  En julio de 2015, la OOC organizó un seminario para más de 80 periodistas. </w:t>
      </w:r>
    </w:p>
    <w:p w:rsidR="001C19F7" w:rsidRPr="001C19F7" w:rsidRDefault="001C19F7" w:rsidP="001C19F7">
      <w:pPr>
        <w:pStyle w:val="ListParagraph"/>
        <w:ind w:left="0"/>
        <w:jc w:val="both"/>
        <w:rPr>
          <w:rFonts w:cs="Arial"/>
          <w:color w:val="000000" w:themeColor="text1"/>
          <w:lang w:val="es-ES"/>
        </w:rPr>
      </w:pPr>
    </w:p>
    <w:p w:rsidR="001C19F7" w:rsidRPr="001C19F7" w:rsidRDefault="001C19F7" w:rsidP="00276C89">
      <w:pPr>
        <w:pStyle w:val="ListParagraph"/>
        <w:numPr>
          <w:ilvl w:val="0"/>
          <w:numId w:val="94"/>
        </w:numPr>
        <w:tabs>
          <w:tab w:val="left" w:pos="709"/>
        </w:tabs>
        <w:ind w:left="0" w:firstLine="0"/>
        <w:jc w:val="both"/>
        <w:rPr>
          <w:rFonts w:cs="Arial"/>
          <w:color w:val="000000" w:themeColor="text1"/>
          <w:lang w:val="es-ES"/>
        </w:rPr>
      </w:pPr>
      <w:r w:rsidRPr="001C19F7">
        <w:rPr>
          <w:color w:val="000000" w:themeColor="text1"/>
          <w:lang w:val="es-ES"/>
        </w:rPr>
        <w:t>Además, la OOC continuó desempeñando una función clave en la atención al cliente las 24 horas del día.  Con sus dos líneas telefónicas directas y su buzón de correo electrónico para clientes, la OOC respondió, en chino mandarín, a más de 700 consultas de usuarios de los servicios de la OMPI en China durante el horario laboral local, lo que aumentó considerablemente la satisfacción.</w:t>
      </w:r>
    </w:p>
    <w:p w:rsidR="001C19F7" w:rsidRPr="001C19F7" w:rsidRDefault="001C19F7" w:rsidP="001C19F7">
      <w:pPr>
        <w:pStyle w:val="ListParagraph"/>
        <w:ind w:left="0"/>
        <w:jc w:val="both"/>
        <w:rPr>
          <w:rFonts w:cs="Arial"/>
          <w:bCs/>
          <w:color w:val="000000" w:themeColor="text1"/>
          <w:u w:val="single"/>
          <w:lang w:val="es-ES"/>
        </w:rPr>
      </w:pPr>
    </w:p>
    <w:p w:rsidR="001C19F7" w:rsidRPr="001C19F7" w:rsidRDefault="001C19F7" w:rsidP="001C19F7">
      <w:pPr>
        <w:jc w:val="both"/>
        <w:rPr>
          <w:bCs/>
          <w:color w:val="000000" w:themeColor="text1"/>
          <w:sz w:val="20"/>
          <w:u w:val="single"/>
        </w:rPr>
      </w:pPr>
      <w:r w:rsidRPr="001C19F7">
        <w:rPr>
          <w:color w:val="000000" w:themeColor="text1"/>
          <w:sz w:val="20"/>
          <w:u w:val="single"/>
        </w:rPr>
        <w:t>Oficina de la OMPI en el Japón (OOJ) (Sr. Y. Takagi)</w:t>
      </w:r>
    </w:p>
    <w:p w:rsidR="001C19F7" w:rsidRPr="001C19F7" w:rsidRDefault="001C19F7" w:rsidP="001C19F7">
      <w:pPr>
        <w:jc w:val="both"/>
        <w:rPr>
          <w:bCs/>
          <w:color w:val="000000" w:themeColor="text1"/>
          <w:sz w:val="20"/>
        </w:rPr>
      </w:pPr>
    </w:p>
    <w:p w:rsidR="001C19F7" w:rsidRPr="001C19F7" w:rsidRDefault="001C19F7" w:rsidP="00276C89">
      <w:pPr>
        <w:pStyle w:val="ListParagraph"/>
        <w:numPr>
          <w:ilvl w:val="0"/>
          <w:numId w:val="94"/>
        </w:numPr>
        <w:tabs>
          <w:tab w:val="left" w:pos="709"/>
        </w:tabs>
        <w:ind w:left="0" w:firstLine="0"/>
        <w:jc w:val="both"/>
        <w:rPr>
          <w:rFonts w:cs="Arial"/>
          <w:color w:val="000000" w:themeColor="text1"/>
          <w:lang w:val="es-ES"/>
        </w:rPr>
      </w:pPr>
      <w:r w:rsidRPr="001C19F7">
        <w:rPr>
          <w:color w:val="000000" w:themeColor="text1"/>
          <w:lang w:val="es-ES"/>
        </w:rPr>
        <w:t xml:space="preserve">Durante el bienio, la OOJ siguió centrando su atención en los sistemas de administración de la P.I. de la OMPI, las bases de datos mundiales y las plataformas de encuentro de diferentes partes interesadas del mercado japonés.  Se trató, entre otras cosas, de prestar servicios puntuales y eficaces a los usuarios de dichos servicios.  Por un lado, eso entrañó que la Oficina prestara asesoramiento y suministrara información en respuesta a las cerca de 1.500 consultas recibidas por la Oficina durante el bienio.  Por otra parte, entrañó llevar a cabo actividades para usuarios de los servicios de la OMPI y otras partes interesadas, colaborando estrechamente y contando con el apoyo de instituciones gubernamentales del país anfitrión, la industria y las universidades japonesas.  Con ese fin se llevaron a cabo actividades de difusión, entre otras, 75 ponencias destinadas a importantes partes interesadas, con la participación de 10.000 personas aproximadamente.  </w:t>
      </w:r>
    </w:p>
    <w:p w:rsidR="001C19F7" w:rsidRPr="001C19F7" w:rsidRDefault="001C19F7" w:rsidP="001C19F7">
      <w:pPr>
        <w:pStyle w:val="ListParagraph"/>
        <w:ind w:left="0"/>
        <w:jc w:val="both"/>
        <w:rPr>
          <w:rFonts w:cs="Arial"/>
          <w:color w:val="000000" w:themeColor="text1"/>
          <w:lang w:val="es-ES"/>
        </w:rPr>
      </w:pPr>
    </w:p>
    <w:p w:rsidR="001C19F7" w:rsidRPr="001C19F7" w:rsidRDefault="001C19F7" w:rsidP="00276C89">
      <w:pPr>
        <w:pStyle w:val="ListParagraph"/>
        <w:numPr>
          <w:ilvl w:val="0"/>
          <w:numId w:val="94"/>
        </w:numPr>
        <w:tabs>
          <w:tab w:val="left" w:pos="709"/>
        </w:tabs>
        <w:ind w:left="0" w:firstLine="0"/>
        <w:jc w:val="both"/>
        <w:rPr>
          <w:rFonts w:cs="Arial"/>
          <w:color w:val="000000" w:themeColor="text1"/>
          <w:lang w:val="es-ES"/>
        </w:rPr>
      </w:pPr>
      <w:r w:rsidRPr="001C19F7">
        <w:rPr>
          <w:color w:val="000000" w:themeColor="text1"/>
          <w:lang w:val="es-ES"/>
        </w:rPr>
        <w:t xml:space="preserve">Durante el bienio, un logro importante fue la adhesión del Japón al Sistema de La Haya en febrero de 2015 y la entrada en vigor del Sistema en mayo de ese mismo año.  La OOJ proporcionó información actualizada sobre el Sistema de La Haya a posibles usuarios, tales como empresas y </w:t>
      </w:r>
      <w:r w:rsidR="00427C67">
        <w:rPr>
          <w:color w:val="000000" w:themeColor="text1"/>
          <w:lang w:val="es-ES"/>
        </w:rPr>
        <w:t>estudios</w:t>
      </w:r>
      <w:r w:rsidRPr="001C19F7">
        <w:rPr>
          <w:color w:val="000000" w:themeColor="text1"/>
          <w:lang w:val="es-ES"/>
        </w:rPr>
        <w:t xml:space="preserve"> de abogados.  Para facilitar el uso del Sistema, la OOJ ofreció formación práctica sobre la presentación electrónica y respondió las preguntas de los usuarios a fin de darles confianza y aumentar el interés en el Sistema y su uso.  Hacia fines del bienio, ya se habían presentado 411 diseños con el Sistema tras siete meses y medio de su entrada en vigor.</w:t>
      </w:r>
    </w:p>
    <w:p w:rsidR="001C19F7" w:rsidRPr="001C19F7" w:rsidRDefault="001C19F7" w:rsidP="001C19F7">
      <w:pPr>
        <w:pStyle w:val="ListParagraph"/>
        <w:ind w:left="0"/>
        <w:jc w:val="both"/>
        <w:rPr>
          <w:rFonts w:cs="Arial"/>
          <w:color w:val="000000" w:themeColor="text1"/>
          <w:lang w:val="es-ES"/>
        </w:rPr>
      </w:pPr>
    </w:p>
    <w:p w:rsidR="001C19F7" w:rsidRPr="001C19F7" w:rsidRDefault="001C19F7" w:rsidP="00276C89">
      <w:pPr>
        <w:pStyle w:val="ListParagraph"/>
        <w:numPr>
          <w:ilvl w:val="0"/>
          <w:numId w:val="94"/>
        </w:numPr>
        <w:tabs>
          <w:tab w:val="left" w:pos="709"/>
        </w:tabs>
        <w:ind w:left="0" w:firstLine="0"/>
        <w:jc w:val="both"/>
        <w:rPr>
          <w:rFonts w:cs="Arial"/>
          <w:color w:val="000000" w:themeColor="text1"/>
          <w:lang w:val="es-ES"/>
        </w:rPr>
      </w:pPr>
      <w:r w:rsidRPr="001C19F7">
        <w:rPr>
          <w:color w:val="000000" w:themeColor="text1"/>
          <w:lang w:val="es-ES"/>
        </w:rPr>
        <w:t>La Oficina centró también su labor en dar a conocer más ampliamente la OMPI y sus actividades.  Para lograrlo mantuvo numerosas reuniones con grupos interesados del país, participó en actividades, dio conferencias en las universidades y facilitó formación en línea, editó folletos fundamentales de la OMPI en japonés y publicó en el sitio web de la OOJ la versión en japonés de información de la OMPI.  La Oficina siguió desempeñando un papel importante a la hora de velar por que el servicio de atención al cliente de la OMPI esté disponible las 24 horas del día.</w:t>
      </w:r>
    </w:p>
    <w:p w:rsidR="001C19F7" w:rsidRPr="001C19F7" w:rsidRDefault="001C19F7" w:rsidP="001C19F7">
      <w:pPr>
        <w:pStyle w:val="ListParagraph"/>
        <w:ind w:left="0"/>
        <w:jc w:val="both"/>
        <w:rPr>
          <w:rFonts w:cs="Arial"/>
          <w:color w:val="000000" w:themeColor="text1"/>
          <w:lang w:val="es-ES"/>
        </w:rPr>
      </w:pPr>
    </w:p>
    <w:p w:rsidR="001C19F7" w:rsidRPr="001C19F7" w:rsidRDefault="001C19F7" w:rsidP="00276C89">
      <w:pPr>
        <w:pStyle w:val="ListParagraph"/>
        <w:numPr>
          <w:ilvl w:val="0"/>
          <w:numId w:val="94"/>
        </w:numPr>
        <w:tabs>
          <w:tab w:val="left" w:pos="709"/>
        </w:tabs>
        <w:ind w:left="0" w:firstLine="0"/>
        <w:jc w:val="both"/>
        <w:rPr>
          <w:rFonts w:cs="Arial"/>
          <w:color w:val="000000" w:themeColor="text1"/>
          <w:lang w:val="es-ES"/>
        </w:rPr>
      </w:pPr>
      <w:r w:rsidRPr="001C19F7">
        <w:rPr>
          <w:color w:val="000000" w:themeColor="text1"/>
          <w:lang w:val="es-ES"/>
        </w:rPr>
        <w:t xml:space="preserve">Además de promover el PCT y PATENTSCOPE, un miembro de la OOJ que estaba plenamente comprometido con la promoción del Sistema de Madrid visitó unas 200 empresas y participó como orador en numerosos seminarios.  Esta iniciativa, que tiene por finalidad velar por que los usuarios actuales y potenciales sigan estando actualizados en materia de cambios legislativos y bases de datos de marcas comerciales, contribuyó </w:t>
      </w:r>
      <w:r w:rsidR="00427C67">
        <w:rPr>
          <w:color w:val="000000" w:themeColor="text1"/>
          <w:lang w:val="es-ES"/>
        </w:rPr>
        <w:t>a que el número de solicitudes procedentes del Japón</w:t>
      </w:r>
      <w:r w:rsidRPr="001C19F7">
        <w:rPr>
          <w:color w:val="000000" w:themeColor="text1"/>
          <w:lang w:val="es-ES"/>
        </w:rPr>
        <w:t xml:space="preserve"> (como oficina de origen)</w:t>
      </w:r>
      <w:r w:rsidR="00427C67">
        <w:rPr>
          <w:color w:val="000000" w:themeColor="text1"/>
          <w:lang w:val="es-ES"/>
        </w:rPr>
        <w:t xml:space="preserve"> con arreglo al Sistema de Madrid</w:t>
      </w:r>
      <w:r w:rsidRPr="001C19F7">
        <w:rPr>
          <w:color w:val="000000" w:themeColor="text1"/>
          <w:lang w:val="es-ES"/>
        </w:rPr>
        <w:t xml:space="preserve"> aumentara considerablemente, desde 1.845 en 2013 a 2.167 en 2015 (aumento del 17%). </w:t>
      </w:r>
    </w:p>
    <w:p w:rsidR="001C19F7" w:rsidRPr="001C19F7" w:rsidRDefault="001C19F7" w:rsidP="001C19F7">
      <w:pPr>
        <w:pStyle w:val="ListParagraph"/>
        <w:ind w:left="0"/>
        <w:jc w:val="both"/>
        <w:rPr>
          <w:rFonts w:cs="Arial"/>
          <w:color w:val="000000" w:themeColor="text1"/>
          <w:lang w:val="es-ES"/>
        </w:rPr>
      </w:pPr>
    </w:p>
    <w:p w:rsidR="001C19F7" w:rsidRPr="001C19F7" w:rsidRDefault="001C19F7" w:rsidP="00276C89">
      <w:pPr>
        <w:pStyle w:val="ListParagraph"/>
        <w:numPr>
          <w:ilvl w:val="0"/>
          <w:numId w:val="94"/>
        </w:numPr>
        <w:tabs>
          <w:tab w:val="left" w:pos="709"/>
        </w:tabs>
        <w:ind w:left="0" w:firstLine="0"/>
        <w:jc w:val="both"/>
        <w:rPr>
          <w:rFonts w:cs="Arial"/>
          <w:color w:val="000000" w:themeColor="text1"/>
          <w:lang w:val="es-ES"/>
        </w:rPr>
      </w:pPr>
      <w:r w:rsidRPr="001C19F7">
        <w:rPr>
          <w:color w:val="000000" w:themeColor="text1"/>
          <w:lang w:val="es-ES"/>
        </w:rPr>
        <w:t>Además, la OOJ promovió activamente las plataformas de encuentro entre diferentes partes interesadas.  Fruto de estos esfuerzos es la incorporación de cuatro institutos japoneses como nuevos socios de WIPO GREEN y una institución farmacéutica como miembro de WIPO </w:t>
      </w:r>
      <w:proofErr w:type="spellStart"/>
      <w:r w:rsidRPr="001C19F7">
        <w:rPr>
          <w:color w:val="000000" w:themeColor="text1"/>
          <w:lang w:val="es-ES"/>
        </w:rPr>
        <w:t>Re:Search</w:t>
      </w:r>
      <w:proofErr w:type="spellEnd"/>
      <w:r w:rsidRPr="001C19F7">
        <w:rPr>
          <w:color w:val="000000" w:themeColor="text1"/>
          <w:lang w:val="es-ES"/>
        </w:rPr>
        <w:t xml:space="preserve"> durante el bienio.  Los esfuerzos de la OOJ también contribuyeron al aumento de entradas en WIPO GREENS. </w:t>
      </w:r>
    </w:p>
    <w:p w:rsidR="001C19F7" w:rsidRPr="001C19F7" w:rsidRDefault="001C19F7" w:rsidP="001C19F7">
      <w:pPr>
        <w:pStyle w:val="ListParagraph"/>
        <w:ind w:left="0"/>
        <w:jc w:val="both"/>
        <w:rPr>
          <w:rFonts w:cs="Arial"/>
          <w:color w:val="000000" w:themeColor="text1"/>
          <w:lang w:val="es-ES"/>
        </w:rPr>
      </w:pPr>
    </w:p>
    <w:p w:rsidR="001C19F7" w:rsidRPr="001C19F7" w:rsidRDefault="001C19F7" w:rsidP="00276C89">
      <w:pPr>
        <w:pStyle w:val="ListParagraph"/>
        <w:numPr>
          <w:ilvl w:val="0"/>
          <w:numId w:val="94"/>
        </w:numPr>
        <w:tabs>
          <w:tab w:val="left" w:pos="709"/>
        </w:tabs>
        <w:ind w:left="0" w:firstLine="0"/>
        <w:jc w:val="both"/>
        <w:rPr>
          <w:rFonts w:cs="Arial"/>
          <w:color w:val="000000" w:themeColor="text1"/>
          <w:lang w:val="es-ES"/>
        </w:rPr>
      </w:pPr>
      <w:r w:rsidRPr="001C19F7">
        <w:rPr>
          <w:color w:val="000000" w:themeColor="text1"/>
          <w:lang w:val="es-ES"/>
        </w:rPr>
        <w:t xml:space="preserve">La OOJ desempeñó un papel fundamental como enlace entre los grupos interesados del Japón y las sedes, mediante una interacción positiva que consistió, por ejemplo, en transmitir la información que recibían a los sectores pertinentes de las sedes, lo que daba al personal de la OMPI la posibilidad de hacer un seguimiento con dichos grupos respecto de los servicios mundiales, las bases de datos </w:t>
      </w:r>
      <w:r w:rsidRPr="001C19F7">
        <w:rPr>
          <w:color w:val="000000" w:themeColor="text1"/>
          <w:lang w:val="es-ES"/>
        </w:rPr>
        <w:lastRenderedPageBreak/>
        <w:t>mundiales, el Centro de Arbitraje y Mediación y el Informe Mundial sobre la Propiedad Intelectual de la OMPI.</w:t>
      </w:r>
    </w:p>
    <w:p w:rsidR="001C19F7" w:rsidRPr="001C19F7" w:rsidRDefault="001C19F7" w:rsidP="00276C89">
      <w:pPr>
        <w:pStyle w:val="ListParagraph"/>
        <w:numPr>
          <w:ilvl w:val="0"/>
          <w:numId w:val="94"/>
        </w:numPr>
        <w:tabs>
          <w:tab w:val="left" w:pos="709"/>
        </w:tabs>
        <w:ind w:left="0" w:firstLine="0"/>
        <w:jc w:val="both"/>
        <w:rPr>
          <w:rFonts w:cs="Arial"/>
          <w:color w:val="000000" w:themeColor="text1"/>
          <w:lang w:val="es-ES"/>
        </w:rPr>
      </w:pPr>
      <w:r w:rsidRPr="001C19F7">
        <w:rPr>
          <w:color w:val="000000" w:themeColor="text1"/>
          <w:lang w:val="es-ES"/>
        </w:rPr>
        <w:t>El fondo fiduciario del Japón para la propiedad industrial siguió proporcionando al OOJ oportunidades valiosas de contribuir a que se llevaran a cabo actividades en el país.  La Oficina mantuvo y actualizó, en el sitio web de la OMPI, una base de datos de estudios de casos en los que la P.I. había sido útil para promover el desarrollo (“IP </w:t>
      </w:r>
      <w:proofErr w:type="spellStart"/>
      <w:r w:rsidRPr="001C19F7">
        <w:rPr>
          <w:color w:val="000000" w:themeColor="text1"/>
          <w:lang w:val="es-ES"/>
        </w:rPr>
        <w:t>Advantage</w:t>
      </w:r>
      <w:proofErr w:type="spellEnd"/>
      <w:r w:rsidRPr="001C19F7">
        <w:rPr>
          <w:color w:val="000000" w:themeColor="text1"/>
          <w:lang w:val="es-ES"/>
        </w:rPr>
        <w:t>”).  La OOJ, añadió 22 nuevos estudios de casos a la base de datos que ahora contiene más de 210 casos y puso de relieve el uso de la P.I. por las pymes y los empresarios.  La Oficina llevó a cabo seis presentaciones en universidades en las que utilizó la base de datos IP </w:t>
      </w:r>
      <w:proofErr w:type="spellStart"/>
      <w:r w:rsidRPr="001C19F7">
        <w:rPr>
          <w:color w:val="000000" w:themeColor="text1"/>
          <w:lang w:val="es-ES"/>
        </w:rPr>
        <w:t>Advantage</w:t>
      </w:r>
      <w:proofErr w:type="spellEnd"/>
      <w:r w:rsidRPr="001C19F7">
        <w:rPr>
          <w:color w:val="000000" w:themeColor="text1"/>
          <w:lang w:val="es-ES"/>
        </w:rPr>
        <w:t xml:space="preserve"> para dar ejemplos reales sobre la manera en que la propiedad intelectual contribuye al desarrollo.  </w:t>
      </w:r>
    </w:p>
    <w:p w:rsidR="001C19F7" w:rsidRPr="001C19F7" w:rsidRDefault="001C19F7" w:rsidP="001C19F7">
      <w:pPr>
        <w:pStyle w:val="ListParagraph"/>
        <w:ind w:left="0"/>
        <w:jc w:val="both"/>
        <w:rPr>
          <w:rFonts w:cs="Arial"/>
          <w:color w:val="000000" w:themeColor="text1"/>
          <w:lang w:val="es-ES"/>
        </w:rPr>
      </w:pPr>
    </w:p>
    <w:p w:rsidR="001C19F7" w:rsidRPr="001C19F7" w:rsidRDefault="001C19F7" w:rsidP="00276C89">
      <w:pPr>
        <w:pStyle w:val="ListParagraph"/>
        <w:numPr>
          <w:ilvl w:val="0"/>
          <w:numId w:val="94"/>
        </w:numPr>
        <w:tabs>
          <w:tab w:val="left" w:pos="709"/>
        </w:tabs>
        <w:ind w:left="0" w:firstLine="0"/>
        <w:jc w:val="both"/>
        <w:rPr>
          <w:rFonts w:cs="Arial"/>
          <w:color w:val="000000" w:themeColor="text1"/>
          <w:lang w:val="es-ES"/>
        </w:rPr>
      </w:pPr>
      <w:r w:rsidRPr="001C19F7">
        <w:rPr>
          <w:color w:val="000000" w:themeColor="text1"/>
          <w:lang w:val="es-ES"/>
        </w:rPr>
        <w:t xml:space="preserve">Por primera vez, en coordinación con sus homólogos de las sedes (incluida la Academia de la OMPI), la OOJ puso a disposición cuatro becas de corto plazo para participantes de países en desarrollo de Asia y el Pacífico, que incluyeron dos semanas de formación en </w:t>
      </w:r>
      <w:r w:rsidR="00427C67">
        <w:rPr>
          <w:color w:val="000000" w:themeColor="text1"/>
          <w:lang w:val="es-ES"/>
        </w:rPr>
        <w:t>estudios</w:t>
      </w:r>
      <w:r w:rsidRPr="001C19F7">
        <w:rPr>
          <w:color w:val="000000" w:themeColor="text1"/>
          <w:lang w:val="es-ES"/>
        </w:rPr>
        <w:t xml:space="preserve"> de abogados de Tokio especializados en propiedad intelectual.  Las becas estaban destinadas a egresados del máster en Derecho de la P.I. de la OMPI y tenían la finalidad de consolidar los conocimientos aprendidos en clase por los participantes mediante experiencia con casos reales del ámbito de la propiedad intelectual.</w:t>
      </w:r>
    </w:p>
    <w:p w:rsidR="001C19F7" w:rsidRPr="001C19F7" w:rsidRDefault="001C19F7" w:rsidP="001C19F7">
      <w:pPr>
        <w:pStyle w:val="ListParagraph"/>
        <w:ind w:left="0"/>
        <w:jc w:val="both"/>
        <w:rPr>
          <w:rFonts w:cs="Arial"/>
          <w:color w:val="000000" w:themeColor="text1"/>
          <w:lang w:val="es-ES"/>
        </w:rPr>
      </w:pPr>
    </w:p>
    <w:p w:rsidR="001C19F7" w:rsidRPr="001C19F7" w:rsidRDefault="001C19F7" w:rsidP="00276C89">
      <w:pPr>
        <w:pStyle w:val="ListParagraph"/>
        <w:numPr>
          <w:ilvl w:val="0"/>
          <w:numId w:val="94"/>
        </w:numPr>
        <w:tabs>
          <w:tab w:val="left" w:pos="709"/>
        </w:tabs>
        <w:ind w:left="0" w:firstLine="0"/>
        <w:jc w:val="both"/>
        <w:rPr>
          <w:rFonts w:cs="Arial"/>
          <w:color w:val="000000" w:themeColor="text1"/>
          <w:lang w:val="es-ES"/>
        </w:rPr>
      </w:pPr>
      <w:r w:rsidRPr="001C19F7">
        <w:rPr>
          <w:color w:val="000000" w:themeColor="text1"/>
          <w:lang w:val="es-ES"/>
        </w:rPr>
        <w:t xml:space="preserve">Además, la OOJ se empleó como oficina piloto para la puesta en práctica de la solución informática para el proyecto general de </w:t>
      </w:r>
      <w:r w:rsidR="00427C67">
        <w:rPr>
          <w:color w:val="000000" w:themeColor="text1"/>
          <w:lang w:val="es-ES"/>
        </w:rPr>
        <w:t>arquitectura de oficinas (GOA, por sus siglas en inglés</w:t>
      </w:r>
      <w:r w:rsidRPr="001C19F7">
        <w:rPr>
          <w:color w:val="000000" w:themeColor="text1"/>
          <w:lang w:val="es-ES"/>
        </w:rPr>
        <w:t>), que tiene por finalidad asegurar una integración sin contratiempos y conectividad garantizada a todos los sistemas informáticos administrativos de la OMPI alojados en las sedes.</w:t>
      </w:r>
    </w:p>
    <w:p w:rsidR="001C19F7" w:rsidRPr="001C19F7" w:rsidRDefault="001C19F7" w:rsidP="001C19F7">
      <w:pPr>
        <w:jc w:val="both"/>
        <w:rPr>
          <w:bCs/>
          <w:color w:val="000000" w:themeColor="text1"/>
          <w:sz w:val="20"/>
          <w:u w:val="single"/>
        </w:rPr>
      </w:pPr>
    </w:p>
    <w:p w:rsidR="001C19F7" w:rsidRPr="001C19F7" w:rsidRDefault="001C19F7" w:rsidP="001C19F7">
      <w:pPr>
        <w:jc w:val="both"/>
        <w:rPr>
          <w:bCs/>
          <w:color w:val="000000" w:themeColor="text1"/>
          <w:sz w:val="20"/>
          <w:u w:val="single"/>
        </w:rPr>
      </w:pPr>
      <w:r w:rsidRPr="001C19F7">
        <w:rPr>
          <w:color w:val="000000" w:themeColor="text1"/>
          <w:sz w:val="20"/>
          <w:u w:val="single"/>
        </w:rPr>
        <w:t>Oficina de la OMPI en la Federación de Rusia (OOR) (Director General)</w:t>
      </w:r>
    </w:p>
    <w:p w:rsidR="001C19F7" w:rsidRPr="001C19F7" w:rsidRDefault="001C19F7" w:rsidP="001C19F7">
      <w:pPr>
        <w:jc w:val="both"/>
        <w:rPr>
          <w:bCs/>
          <w:color w:val="000000" w:themeColor="text1"/>
          <w:sz w:val="20"/>
          <w:u w:val="single"/>
        </w:rPr>
      </w:pPr>
    </w:p>
    <w:p w:rsidR="001C19F7" w:rsidRPr="001C19F7" w:rsidRDefault="001C19F7" w:rsidP="00276C89">
      <w:pPr>
        <w:pStyle w:val="ListParagraph"/>
        <w:numPr>
          <w:ilvl w:val="0"/>
          <w:numId w:val="94"/>
        </w:numPr>
        <w:tabs>
          <w:tab w:val="left" w:pos="709"/>
        </w:tabs>
        <w:ind w:left="0" w:firstLine="0"/>
        <w:jc w:val="both"/>
        <w:rPr>
          <w:rFonts w:cs="Arial"/>
          <w:color w:val="000000" w:themeColor="text1"/>
          <w:lang w:val="es-ES"/>
        </w:rPr>
      </w:pPr>
      <w:r w:rsidRPr="001C19F7">
        <w:rPr>
          <w:color w:val="000000" w:themeColor="text1"/>
          <w:lang w:val="es-ES"/>
        </w:rPr>
        <w:t xml:space="preserve">La OOR fue inaugurada en julio de 2014 y, como en el caso de la OOC, durante el segundo semestre de ese año, centró sus esfuerzos en sentar cimientos y consolidar su estructura administrativa.   A ese respecto, se establecieron estrechos lazos de cooperación con el país anfitrión, en particular con el Servicio Federal de Propiedad Intelectual (ROSPATENT) y el Consejo de la Federación de la Asamblea Federal de la Federación de Rusia, el Tribunal de Derechos de Propiedad Intelectual y la Academia Estatal Rusa de Propiedad Intelectual (RGAIS).  Gracias a esa colaboración, la Oficina pasó a ser operativa rápidamente. </w:t>
      </w:r>
    </w:p>
    <w:p w:rsidR="001C19F7" w:rsidRPr="001C19F7" w:rsidRDefault="001C19F7" w:rsidP="001C19F7">
      <w:pPr>
        <w:pStyle w:val="ListParagraph"/>
        <w:ind w:left="0"/>
        <w:jc w:val="both"/>
        <w:rPr>
          <w:rFonts w:cs="Arial"/>
          <w:color w:val="000000" w:themeColor="text1"/>
          <w:lang w:val="es-ES"/>
        </w:rPr>
      </w:pPr>
    </w:p>
    <w:p w:rsidR="001C19F7" w:rsidRPr="001C19F7" w:rsidRDefault="001C19F7" w:rsidP="00276C89">
      <w:pPr>
        <w:pStyle w:val="ListParagraph"/>
        <w:numPr>
          <w:ilvl w:val="0"/>
          <w:numId w:val="94"/>
        </w:numPr>
        <w:tabs>
          <w:tab w:val="left" w:pos="709"/>
        </w:tabs>
        <w:ind w:left="0" w:firstLine="0"/>
        <w:jc w:val="both"/>
        <w:rPr>
          <w:rFonts w:cs="Arial"/>
          <w:color w:val="000000" w:themeColor="text1"/>
          <w:lang w:val="es-ES"/>
        </w:rPr>
      </w:pPr>
      <w:r w:rsidRPr="001C19F7">
        <w:rPr>
          <w:color w:val="000000" w:themeColor="text1"/>
          <w:lang w:val="es-ES"/>
        </w:rPr>
        <w:t xml:space="preserve">Las actividades de la OOR durante el bienio se centraron en dar a conocer los servicios de la OMPI en el mercado ruso.  A ese respecto, la Oficina participó en varios eventos nacionales organizados por ROSPATENT y la OMPI así como en iniciativas de capacitación en Moscú y otras ciudades, centradas en el fomento del PCT y los Sistemas de Madrid y La Haya.  Esos encuentros fueron una oportunidad para ayudar a la Federación de Rusia a crear una red de CATI, aumentar la capacidad de las universidades y las instituciones de investigación locales con respecto al desarrollo de políticas de P.I. y dar a conocer mejor el sistema internacional de P.I.  Esos foros fueron también una oportunidad para tender puentes entre la OOR recientemente creada y otras partes interesadas, como la Cámara de Industria y Comercio, con la que la Oficina espera colaborar estrechamente en el futuro, al tiempo de responder al desafío de llevar a cabo actividades en las muchas y distantes regiones rusas.  </w:t>
      </w:r>
    </w:p>
    <w:p w:rsidR="001C19F7" w:rsidRPr="001C19F7" w:rsidRDefault="001C19F7" w:rsidP="001C19F7">
      <w:pPr>
        <w:rPr>
          <w:color w:val="000000" w:themeColor="text1"/>
          <w:sz w:val="20"/>
        </w:rPr>
      </w:pPr>
    </w:p>
    <w:p w:rsidR="001C19F7" w:rsidRPr="001C19F7" w:rsidRDefault="001C19F7" w:rsidP="00276C89">
      <w:pPr>
        <w:pStyle w:val="ListParagraph"/>
        <w:numPr>
          <w:ilvl w:val="0"/>
          <w:numId w:val="94"/>
        </w:numPr>
        <w:tabs>
          <w:tab w:val="left" w:pos="709"/>
        </w:tabs>
        <w:ind w:left="0" w:firstLine="0"/>
        <w:jc w:val="both"/>
        <w:rPr>
          <w:rFonts w:cs="Arial"/>
          <w:color w:val="000000" w:themeColor="text1"/>
          <w:lang w:val="es-ES"/>
        </w:rPr>
      </w:pPr>
      <w:r w:rsidRPr="001C19F7">
        <w:rPr>
          <w:color w:val="000000" w:themeColor="text1"/>
          <w:lang w:val="es-ES"/>
        </w:rPr>
        <w:t>La Oficina también brindó apoyo a su país anfitrión para la adhesión al Tratado de Beijing en noviembre de 2015, además de las adhesiones previstas al Tratado de Marrakech y el Acta de Ginebra del Arreglo de La Haya.</w:t>
      </w:r>
    </w:p>
    <w:p w:rsidR="001C19F7" w:rsidRPr="001C19F7" w:rsidRDefault="001C19F7" w:rsidP="001C19F7">
      <w:pPr>
        <w:pStyle w:val="ListParagraph"/>
        <w:ind w:left="0"/>
        <w:jc w:val="both"/>
        <w:rPr>
          <w:rFonts w:cs="Arial"/>
          <w:color w:val="000000" w:themeColor="text1"/>
          <w:lang w:val="es-ES"/>
        </w:rPr>
      </w:pPr>
    </w:p>
    <w:p w:rsidR="001C19F7" w:rsidRPr="001C19F7" w:rsidRDefault="001C19F7" w:rsidP="00276C89">
      <w:pPr>
        <w:pStyle w:val="ListParagraph"/>
        <w:numPr>
          <w:ilvl w:val="0"/>
          <w:numId w:val="94"/>
        </w:numPr>
        <w:tabs>
          <w:tab w:val="left" w:pos="709"/>
        </w:tabs>
        <w:ind w:left="0" w:firstLine="0"/>
        <w:jc w:val="both"/>
        <w:rPr>
          <w:rFonts w:cs="Arial"/>
          <w:color w:val="000000" w:themeColor="text1"/>
          <w:lang w:val="es-ES"/>
        </w:rPr>
      </w:pPr>
      <w:r w:rsidRPr="001C19F7">
        <w:rPr>
          <w:color w:val="000000" w:themeColor="text1"/>
          <w:lang w:val="es-ES"/>
        </w:rPr>
        <w:t>A los efectos de mejorar la capacidad de las universidades locales y las instituciones de investigación en materia de desarrollo de políticas de propiedad intelectual, la capacidad de las pymes de utilizar con eficacia la propiedad intelectual para proteger sus activos empresariales y de mejorar la sensibilización pública sobre el sistema internacional de propiedad intelectual, la OOR respaldó el crecimiento de la red de centros de apoyo a la tecnología y la innovación (CATI) en la Federación de Rusia, colaborando con otras partes interesadas de regiones distantes de este país.</w:t>
      </w:r>
    </w:p>
    <w:p w:rsidR="001C19F7" w:rsidRPr="001C19F7" w:rsidRDefault="001C19F7" w:rsidP="001C19F7">
      <w:pPr>
        <w:pStyle w:val="ListParagraph"/>
        <w:ind w:left="0"/>
        <w:jc w:val="both"/>
        <w:rPr>
          <w:rFonts w:cs="Arial"/>
          <w:color w:val="000000" w:themeColor="text1"/>
          <w:lang w:val="es-ES"/>
        </w:rPr>
      </w:pPr>
    </w:p>
    <w:p w:rsidR="001C19F7" w:rsidRPr="001C19F7" w:rsidRDefault="001C19F7" w:rsidP="00276C89">
      <w:pPr>
        <w:pStyle w:val="ListParagraph"/>
        <w:numPr>
          <w:ilvl w:val="0"/>
          <w:numId w:val="94"/>
        </w:numPr>
        <w:tabs>
          <w:tab w:val="left" w:pos="709"/>
        </w:tabs>
        <w:ind w:left="0" w:firstLine="0"/>
        <w:jc w:val="both"/>
        <w:rPr>
          <w:rFonts w:cs="Arial"/>
          <w:color w:val="000000" w:themeColor="text1"/>
          <w:lang w:val="es-ES"/>
        </w:rPr>
      </w:pPr>
      <w:r w:rsidRPr="001C19F7">
        <w:rPr>
          <w:color w:val="000000" w:themeColor="text1"/>
          <w:lang w:val="es-ES"/>
        </w:rPr>
        <w:t xml:space="preserve">Con motivo de una propuesta del Gobierno de la Federación de Rusia, a fines de 2015, la OOR se trasladó a su nuevo local situado en la zona occidental de Moscú, en el Centro de Innovación </w:t>
      </w:r>
      <w:proofErr w:type="spellStart"/>
      <w:r w:rsidRPr="001C19F7">
        <w:rPr>
          <w:color w:val="000000" w:themeColor="text1"/>
          <w:lang w:val="es-ES"/>
        </w:rPr>
        <w:t>Skolkovo</w:t>
      </w:r>
      <w:proofErr w:type="spellEnd"/>
      <w:r w:rsidRPr="001C19F7">
        <w:rPr>
          <w:color w:val="000000" w:themeColor="text1"/>
          <w:lang w:val="es-ES"/>
        </w:rPr>
        <w:t>, un ecosistema de innovación propicio para las nuevas tecnologías y las empresas innovadoras.  El nuevo local está equipado con la solución informática GOA, que tiene por finalidad asegurar una integración sin contratiempos y conectividad garantizada a todos los sistemas informáticos administrativos de la OMPI alojados en las sedes.</w:t>
      </w:r>
    </w:p>
    <w:p w:rsidR="001C19F7" w:rsidRPr="001C19F7" w:rsidRDefault="001C19F7" w:rsidP="001C19F7">
      <w:pPr>
        <w:jc w:val="both"/>
        <w:rPr>
          <w:bCs/>
          <w:color w:val="000000" w:themeColor="text1"/>
          <w:sz w:val="20"/>
          <w:u w:val="single"/>
        </w:rPr>
      </w:pPr>
    </w:p>
    <w:p w:rsidR="001C19F7" w:rsidRPr="001C19F7" w:rsidRDefault="001C19F7" w:rsidP="009538CB">
      <w:pPr>
        <w:keepNext/>
        <w:jc w:val="both"/>
        <w:rPr>
          <w:color w:val="000000" w:themeColor="text1"/>
          <w:sz w:val="20"/>
        </w:rPr>
      </w:pPr>
      <w:r w:rsidRPr="001C19F7">
        <w:rPr>
          <w:color w:val="000000" w:themeColor="text1"/>
          <w:sz w:val="20"/>
          <w:u w:val="single"/>
        </w:rPr>
        <w:t>Oficina de la OMPI en Singapur (OOS) (Director General</w:t>
      </w:r>
      <w:r w:rsidR="002441A5">
        <w:rPr>
          <w:color w:val="000000" w:themeColor="text1"/>
          <w:sz w:val="20"/>
          <w:u w:val="single"/>
        </w:rPr>
        <w:t xml:space="preserve">/Sr. N. </w:t>
      </w:r>
      <w:proofErr w:type="spellStart"/>
      <w:r w:rsidR="002441A5">
        <w:rPr>
          <w:color w:val="000000" w:themeColor="text1"/>
          <w:sz w:val="20"/>
          <w:u w:val="single"/>
        </w:rPr>
        <w:t>Prasad</w:t>
      </w:r>
      <w:proofErr w:type="spellEnd"/>
      <w:r w:rsidRPr="001C19F7">
        <w:rPr>
          <w:color w:val="000000" w:themeColor="text1"/>
          <w:sz w:val="20"/>
          <w:u w:val="single"/>
        </w:rPr>
        <w:t>)</w:t>
      </w:r>
      <w:r w:rsidRPr="001C19F7">
        <w:rPr>
          <w:color w:val="000000" w:themeColor="text1"/>
          <w:sz w:val="20"/>
        </w:rPr>
        <w:t xml:space="preserve"> </w:t>
      </w:r>
    </w:p>
    <w:p w:rsidR="001C19F7" w:rsidRPr="001C19F7" w:rsidRDefault="001C19F7" w:rsidP="009538CB">
      <w:pPr>
        <w:keepNext/>
        <w:jc w:val="both"/>
        <w:rPr>
          <w:color w:val="000000" w:themeColor="text1"/>
          <w:sz w:val="20"/>
        </w:rPr>
      </w:pPr>
    </w:p>
    <w:p w:rsidR="001C19F7" w:rsidRPr="001C19F7" w:rsidRDefault="001C19F7" w:rsidP="00276C89">
      <w:pPr>
        <w:pStyle w:val="ListParagraph"/>
        <w:numPr>
          <w:ilvl w:val="0"/>
          <w:numId w:val="94"/>
        </w:numPr>
        <w:tabs>
          <w:tab w:val="left" w:pos="709"/>
        </w:tabs>
        <w:ind w:left="0" w:firstLine="0"/>
        <w:jc w:val="both"/>
        <w:rPr>
          <w:rFonts w:cs="Arial"/>
          <w:color w:val="000000" w:themeColor="text1"/>
          <w:lang w:val="es-ES"/>
        </w:rPr>
      </w:pPr>
      <w:r w:rsidRPr="001C19F7">
        <w:rPr>
          <w:color w:val="000000" w:themeColor="text1"/>
          <w:lang w:val="es-ES"/>
        </w:rPr>
        <w:t>Durante el bienio 2014</w:t>
      </w:r>
      <w:r w:rsidRPr="001C19F7">
        <w:rPr>
          <w:color w:val="000000" w:themeColor="text1"/>
          <w:lang w:val="es-ES"/>
        </w:rPr>
        <w:noBreakHyphen/>
        <w:t>2015, la Oficina de la OMPI en Singapur (OOS) continuó reforzando su función de centro de servicios de la OMPI y foro regional de P.I. para los Estados miembros, las organizaciones internacionales, las ONG y las empresas en la región y su posición de actor fundamental en el ecosistema de P.I. en la Asociación de Naciones del Asia Sudoriental (ASEAN).  La Oficina continuó con su actividad de promoción de los servicios mundiales de la OMPI en toda la ASEAN.  Los resultados tangibles en la ASEAN en el bienio 2014/15 incluyeron:  i) un 17% de aumento del número de solicitudes PCT con respecto al bienio 2012/13;  y ii) un 4% de aumento del número de solicitudes mediante el sistema de Madrid con respecto a 2013 y un 45% con respecto a 2014.</w:t>
      </w:r>
    </w:p>
    <w:p w:rsidR="001C19F7" w:rsidRPr="001C19F7" w:rsidRDefault="001C19F7" w:rsidP="001C19F7">
      <w:pPr>
        <w:pStyle w:val="ListParagraph"/>
        <w:ind w:left="0"/>
        <w:jc w:val="both"/>
        <w:rPr>
          <w:rFonts w:cs="Arial"/>
          <w:color w:val="000000" w:themeColor="text1"/>
          <w:lang w:val="es-ES"/>
        </w:rPr>
      </w:pPr>
    </w:p>
    <w:p w:rsidR="001C19F7" w:rsidRPr="001C19F7" w:rsidRDefault="001C19F7" w:rsidP="00276C89">
      <w:pPr>
        <w:pStyle w:val="ListParagraph"/>
        <w:numPr>
          <w:ilvl w:val="0"/>
          <w:numId w:val="94"/>
        </w:numPr>
        <w:tabs>
          <w:tab w:val="left" w:pos="709"/>
        </w:tabs>
        <w:ind w:left="0" w:firstLine="0"/>
        <w:jc w:val="both"/>
        <w:rPr>
          <w:rFonts w:cs="Arial"/>
          <w:color w:val="000000" w:themeColor="text1"/>
          <w:lang w:val="es-ES"/>
        </w:rPr>
      </w:pPr>
      <w:r w:rsidRPr="001C19F7">
        <w:rPr>
          <w:color w:val="000000" w:themeColor="text1"/>
          <w:lang w:val="es-ES"/>
        </w:rPr>
        <w:t>En el año 2015 se cumplió el décimo aniversario de la apertura de la Oficina de la OMPI en Singapur.  En noviembre de 2015, en una ceremonia de conmemoración de este acontecimiento, se reunieron más de 130 personas de toda la ASEAN para reflexionar sobre los progresos realizados durante el último decenio en el contexto del panorama de la P.I. y analizar la situación actual y la posible evolución en Singapur y la ASEAN en el decenio siguiente.  Entre los asistentes se encontraban más de 15 embajadores y altos comisionados, además de dirigentes de Singapur y de los círculos regionales vinculados a la P.I., la innovación y la creatividad.</w:t>
      </w:r>
    </w:p>
    <w:p w:rsidR="001C19F7" w:rsidRPr="001C19F7" w:rsidRDefault="001C19F7" w:rsidP="001C19F7">
      <w:pPr>
        <w:pStyle w:val="ListParagraph"/>
        <w:ind w:left="0"/>
        <w:jc w:val="both"/>
        <w:rPr>
          <w:rFonts w:cs="Arial"/>
          <w:color w:val="000000" w:themeColor="text1"/>
          <w:lang w:val="es-ES"/>
        </w:rPr>
      </w:pPr>
    </w:p>
    <w:p w:rsidR="001C19F7" w:rsidRPr="001C19F7" w:rsidRDefault="001C19F7" w:rsidP="00276C89">
      <w:pPr>
        <w:pStyle w:val="ListParagraph"/>
        <w:numPr>
          <w:ilvl w:val="0"/>
          <w:numId w:val="94"/>
        </w:numPr>
        <w:tabs>
          <w:tab w:val="left" w:pos="709"/>
        </w:tabs>
        <w:ind w:left="0" w:firstLine="0"/>
        <w:jc w:val="both"/>
        <w:rPr>
          <w:rFonts w:cs="Arial"/>
          <w:color w:val="000000" w:themeColor="text1"/>
          <w:lang w:val="es-ES"/>
        </w:rPr>
      </w:pPr>
      <w:r w:rsidRPr="001C19F7">
        <w:rPr>
          <w:color w:val="000000" w:themeColor="text1"/>
          <w:lang w:val="es-ES"/>
        </w:rPr>
        <w:t xml:space="preserve">Mediante la organización y participación en eventos junto con numerosos asociados como el foro </w:t>
      </w:r>
      <w:proofErr w:type="spellStart"/>
      <w:r w:rsidRPr="001C19F7">
        <w:rPr>
          <w:color w:val="000000" w:themeColor="text1"/>
          <w:lang w:val="es-ES"/>
        </w:rPr>
        <w:t>Asian</w:t>
      </w:r>
      <w:proofErr w:type="spellEnd"/>
      <w:r w:rsidRPr="001C19F7">
        <w:rPr>
          <w:color w:val="000000" w:themeColor="text1"/>
          <w:lang w:val="es-ES"/>
        </w:rPr>
        <w:t xml:space="preserve"> Legal Business (ALB), cámaras de comercio y asociaciones empresariales, la </w:t>
      </w:r>
      <w:proofErr w:type="spellStart"/>
      <w:r w:rsidRPr="001C19F7">
        <w:rPr>
          <w:i/>
          <w:color w:val="000000" w:themeColor="text1"/>
          <w:lang w:val="es-ES"/>
        </w:rPr>
        <w:t>Licensing</w:t>
      </w:r>
      <w:proofErr w:type="spellEnd"/>
      <w:r w:rsidRPr="001C19F7">
        <w:rPr>
          <w:i/>
          <w:color w:val="000000" w:themeColor="text1"/>
          <w:lang w:val="es-ES"/>
        </w:rPr>
        <w:t xml:space="preserve"> </w:t>
      </w:r>
      <w:proofErr w:type="spellStart"/>
      <w:r w:rsidRPr="001C19F7">
        <w:rPr>
          <w:i/>
          <w:color w:val="000000" w:themeColor="text1"/>
          <w:lang w:val="es-ES"/>
        </w:rPr>
        <w:t>Executive</w:t>
      </w:r>
      <w:proofErr w:type="spellEnd"/>
      <w:r w:rsidRPr="001C19F7">
        <w:rPr>
          <w:i/>
          <w:color w:val="000000" w:themeColor="text1"/>
          <w:lang w:val="es-ES"/>
        </w:rPr>
        <w:t xml:space="preserve"> </w:t>
      </w:r>
      <w:proofErr w:type="spellStart"/>
      <w:r w:rsidRPr="001C19F7">
        <w:rPr>
          <w:i/>
          <w:color w:val="000000" w:themeColor="text1"/>
          <w:lang w:val="es-ES"/>
        </w:rPr>
        <w:t>Society</w:t>
      </w:r>
      <w:proofErr w:type="spellEnd"/>
      <w:r w:rsidRPr="001C19F7">
        <w:rPr>
          <w:color w:val="000000" w:themeColor="text1"/>
          <w:lang w:val="es-ES"/>
        </w:rPr>
        <w:t xml:space="preserve"> (LES) y la Universidad Nacional de Singapur (NUS), la OOS logró promover entre un gran número de sectores interesados y usuarios los servicios mundiales de P.I. de la OMPI, WIPO GREEN, WIPO Re-</w:t>
      </w:r>
      <w:proofErr w:type="spellStart"/>
      <w:r w:rsidRPr="001C19F7">
        <w:rPr>
          <w:color w:val="000000" w:themeColor="text1"/>
          <w:lang w:val="es-ES"/>
        </w:rPr>
        <w:t>Search</w:t>
      </w:r>
      <w:proofErr w:type="spellEnd"/>
      <w:r w:rsidRPr="001C19F7">
        <w:rPr>
          <w:color w:val="000000" w:themeColor="text1"/>
          <w:lang w:val="es-ES"/>
        </w:rPr>
        <w:t xml:space="preserve">, las bases de datos mundiales de la OMPI, el programa de CATI y WIPO CASE.  </w:t>
      </w:r>
    </w:p>
    <w:p w:rsidR="001C19F7" w:rsidRPr="001C19F7" w:rsidRDefault="001C19F7" w:rsidP="001C19F7">
      <w:pPr>
        <w:pStyle w:val="ListParagraph"/>
        <w:ind w:left="0"/>
        <w:jc w:val="both"/>
        <w:rPr>
          <w:rFonts w:cs="Arial"/>
          <w:color w:val="000000" w:themeColor="text1"/>
          <w:lang w:val="es-ES"/>
        </w:rPr>
      </w:pPr>
    </w:p>
    <w:p w:rsidR="001C19F7" w:rsidRPr="001C19F7" w:rsidRDefault="001C19F7" w:rsidP="00276C89">
      <w:pPr>
        <w:pStyle w:val="ListParagraph"/>
        <w:numPr>
          <w:ilvl w:val="0"/>
          <w:numId w:val="94"/>
        </w:numPr>
        <w:tabs>
          <w:tab w:val="left" w:pos="709"/>
        </w:tabs>
        <w:ind w:left="0" w:firstLine="0"/>
        <w:jc w:val="both"/>
        <w:rPr>
          <w:rFonts w:cs="Arial"/>
          <w:color w:val="000000" w:themeColor="text1"/>
          <w:lang w:val="es-ES"/>
        </w:rPr>
      </w:pPr>
      <w:r w:rsidRPr="001C19F7">
        <w:rPr>
          <w:color w:val="000000" w:themeColor="text1"/>
          <w:lang w:val="es-ES"/>
        </w:rPr>
        <w:t>Durante el bienio siguió reforzándose la colaboración con la ASEAN, y la OOS desempeñó una función cada vez más central en la coordinación de las actividades solicitadas por el Grupo de Trabajo sobre Cooperación en Propiedad Intelectual (AWGIPC) dando así aplicación al plan de acción de la ASEAN 2011</w:t>
      </w:r>
      <w:r w:rsidRPr="001C19F7">
        <w:rPr>
          <w:color w:val="000000" w:themeColor="text1"/>
          <w:lang w:val="es-ES"/>
        </w:rPr>
        <w:noBreakHyphen/>
        <w:t>2015 en materia de derechos de P.I. en el contexto del establecimiento de la Comunidad Económica de la ASEAN (AEC) a fines de 2015.  Además, se organizaron talleres en todos los Estados miembros de la ASEAN para avanzar en los esfuerzos para adherirse a los</w:t>
      </w:r>
      <w:r w:rsidR="00644672">
        <w:rPr>
          <w:color w:val="000000" w:themeColor="text1"/>
          <w:lang w:val="es-ES"/>
        </w:rPr>
        <w:t xml:space="preserve"> sistemas de Madrid y La Haya.</w:t>
      </w:r>
      <w:r w:rsidRPr="001C19F7">
        <w:rPr>
          <w:color w:val="000000" w:themeColor="text1"/>
          <w:lang w:val="es-ES"/>
        </w:rPr>
        <w:t xml:space="preserve">  Los vínculos de cooperación con sectores interesados y asociados hicieron posible organizar actividades esenciales en la OOS, como el Taller subregional para Países de la ASEAN sobre el Sistema de La Haya, con el proyecto de la Oficina de Armonización del Mercado Interno de la UE y la ASEAN sobre la protección de los derechos de propiedad intelectual (OAMI/ECAP III) y el Taller subregional OMPI-Zona de Libre Comercio ASEAN, Australia y Nueva Zelandia para examinadores de marcas de la ASEAN centrado en el Sistema de Madrid. </w:t>
      </w:r>
    </w:p>
    <w:p w:rsidR="001C19F7" w:rsidRPr="001C19F7" w:rsidRDefault="001C19F7" w:rsidP="001C19F7">
      <w:pPr>
        <w:pStyle w:val="ListParagraph"/>
        <w:ind w:left="0"/>
        <w:jc w:val="both"/>
        <w:rPr>
          <w:rFonts w:cs="Arial"/>
          <w:color w:val="000000" w:themeColor="text1"/>
          <w:lang w:val="es-ES"/>
        </w:rPr>
      </w:pPr>
    </w:p>
    <w:p w:rsidR="001C19F7" w:rsidRPr="001C19F7" w:rsidRDefault="001C19F7" w:rsidP="00276C89">
      <w:pPr>
        <w:pStyle w:val="ListParagraph"/>
        <w:numPr>
          <w:ilvl w:val="0"/>
          <w:numId w:val="94"/>
        </w:numPr>
        <w:tabs>
          <w:tab w:val="left" w:pos="709"/>
        </w:tabs>
        <w:ind w:left="0" w:firstLine="0"/>
        <w:jc w:val="both"/>
        <w:rPr>
          <w:rFonts w:cs="Arial"/>
          <w:color w:val="000000" w:themeColor="text1"/>
          <w:lang w:val="es-ES"/>
        </w:rPr>
      </w:pPr>
      <w:r w:rsidRPr="001C19F7">
        <w:rPr>
          <w:color w:val="000000" w:themeColor="text1"/>
          <w:lang w:val="es-ES"/>
        </w:rPr>
        <w:t>En 2014/15, la OOS siguió gestionando y dando aplicación al memorando de entendimiento entre la OMPI y el Gobierno de Singapur, centrado en perfeccionar los conocimientos técnicos de los funcionarios de P.I. y partes interesadas de Asia y el Pacífico, organizando o coorganizando tres seminarios regionales.  Además, se llevaron a cabo unas 27 actividades de asistencia técnica en 34 Estados miembros para contribuir al funcionamiento de sistemas eficaces de administración de la P.I. así como en relación con los sistemas de Madrid y de La Haya, el derecho de autor y los derechos conexos, los organismos de gestión colectiva y campañas e iniciativas de sensibilización y creación de capacidad.  Durante el bienio, la OOS organizó también 17 visitas de estudio, en comparación con las seis que se organizaron en 2013, para los sectores interesados en la P.I. de toda la región, así como de instituciones clave de Singapur.  La OOS colaboró con la Oficina de Propiedad Intelectual de Singapur para organizar reuniones, y talleres importantes e invitó a conferenciantes a las iniciativas regionales anuales IP </w:t>
      </w:r>
      <w:proofErr w:type="spellStart"/>
      <w:r w:rsidRPr="001C19F7">
        <w:rPr>
          <w:color w:val="000000" w:themeColor="text1"/>
          <w:lang w:val="es-ES"/>
        </w:rPr>
        <w:t>Week@SG</w:t>
      </w:r>
      <w:proofErr w:type="spellEnd"/>
      <w:r w:rsidRPr="001C19F7">
        <w:rPr>
          <w:color w:val="000000" w:themeColor="text1"/>
          <w:lang w:val="es-ES"/>
        </w:rPr>
        <w:t>, destinada al gobierno, los empresarios, los innovadores y los creadores</w:t>
      </w:r>
      <w:r w:rsidR="00EA6A94">
        <w:rPr>
          <w:color w:val="000000" w:themeColor="text1"/>
          <w:lang w:val="es-ES"/>
        </w:rPr>
        <w:t xml:space="preserve">. </w:t>
      </w:r>
      <w:r w:rsidRPr="001C19F7">
        <w:rPr>
          <w:color w:val="000000" w:themeColor="text1"/>
          <w:lang w:val="es-ES"/>
        </w:rPr>
        <w:t xml:space="preserve"> Además, se organizaron seis talleres que abarcaron una gama amplia de temas.  La OOS continuó brindando su apoyo a las actividades llevadas a cabo por el Centro de Arbitraje y Mediación de la OMPI por medio de la presencia de este último en Singapur.</w:t>
      </w:r>
    </w:p>
    <w:p w:rsidR="001C19F7" w:rsidRPr="001C19F7" w:rsidRDefault="001C19F7" w:rsidP="001C19F7">
      <w:pPr>
        <w:pStyle w:val="ListParagraph"/>
        <w:ind w:left="0"/>
        <w:jc w:val="both"/>
        <w:rPr>
          <w:rFonts w:cs="Arial"/>
          <w:color w:val="000000" w:themeColor="text1"/>
          <w:lang w:val="es-ES"/>
        </w:rPr>
      </w:pPr>
    </w:p>
    <w:p w:rsidR="001C19F7" w:rsidRPr="001C19F7" w:rsidRDefault="001C19F7" w:rsidP="00276C89">
      <w:pPr>
        <w:pStyle w:val="ListParagraph"/>
        <w:numPr>
          <w:ilvl w:val="0"/>
          <w:numId w:val="94"/>
        </w:numPr>
        <w:tabs>
          <w:tab w:val="left" w:pos="709"/>
        </w:tabs>
        <w:ind w:left="0" w:firstLine="0"/>
        <w:jc w:val="both"/>
        <w:rPr>
          <w:rFonts w:cs="Arial"/>
          <w:color w:val="000000" w:themeColor="text1"/>
          <w:lang w:val="es-ES"/>
        </w:rPr>
      </w:pPr>
      <w:r w:rsidRPr="001C19F7">
        <w:rPr>
          <w:color w:val="000000" w:themeColor="text1"/>
          <w:lang w:val="es-ES"/>
        </w:rPr>
        <w:t>En 2014 se reforzó la labor de difusión, concretamente, la OOS participó como oradora en varios eventos y conferencias de organizaciones intergubernamentales, ONG, e instituciones nacionales de la región o con sede en Singapur, como la ASEAN IP Association (AIPA), la Cooperación Económica Asia-Pacífico, la Asia-</w:t>
      </w:r>
      <w:proofErr w:type="spellStart"/>
      <w:r w:rsidRPr="001C19F7">
        <w:rPr>
          <w:color w:val="000000" w:themeColor="text1"/>
          <w:lang w:val="es-ES"/>
        </w:rPr>
        <w:t>Europe</w:t>
      </w:r>
      <w:proofErr w:type="spellEnd"/>
      <w:r w:rsidRPr="001C19F7">
        <w:rPr>
          <w:color w:val="000000" w:themeColor="text1"/>
          <w:lang w:val="es-ES"/>
        </w:rPr>
        <w:t xml:space="preserve"> </w:t>
      </w:r>
      <w:proofErr w:type="spellStart"/>
      <w:r w:rsidRPr="001C19F7">
        <w:rPr>
          <w:color w:val="000000" w:themeColor="text1"/>
          <w:lang w:val="es-ES"/>
        </w:rPr>
        <w:t>Foundation</w:t>
      </w:r>
      <w:proofErr w:type="spellEnd"/>
      <w:r w:rsidRPr="001C19F7">
        <w:rPr>
          <w:color w:val="000000" w:themeColor="text1"/>
          <w:lang w:val="es-ES"/>
        </w:rPr>
        <w:t xml:space="preserve"> (ASEF), la Asociación Malasia de P.I. (MIPA), el Instituto Económico de la ASEAN y Asia Oriental (ERIA), la Confederación de Sociedades Internacionales de Autores y Compositores (CISAC), Central IP y el Tribunal Comercial Internacional de Tailandia.  A ese respecto, la OOS recibió visitas de estudio de varios Delegados que abarcaron toda la gama de derechos de </w:t>
      </w:r>
      <w:r w:rsidRPr="001C19F7">
        <w:rPr>
          <w:color w:val="000000" w:themeColor="text1"/>
          <w:lang w:val="es-ES"/>
        </w:rPr>
        <w:lastRenderedPageBreak/>
        <w:t xml:space="preserve">propiedad intelectual y todas las actividades de la OMPI.  La Oficina también fortaleció sus lazos con el mundo académico al participar con regularidad en conferencias en la Universidad Nacional de Singapur (NUS), la </w:t>
      </w:r>
      <w:proofErr w:type="spellStart"/>
      <w:r w:rsidRPr="001C19F7">
        <w:rPr>
          <w:i/>
          <w:color w:val="000000" w:themeColor="text1"/>
          <w:lang w:val="es-ES"/>
        </w:rPr>
        <w:t>Singapore</w:t>
      </w:r>
      <w:proofErr w:type="spellEnd"/>
      <w:r w:rsidRPr="001C19F7">
        <w:rPr>
          <w:i/>
          <w:color w:val="000000" w:themeColor="text1"/>
          <w:lang w:val="es-ES"/>
        </w:rPr>
        <w:t xml:space="preserve"> Management </w:t>
      </w:r>
      <w:proofErr w:type="spellStart"/>
      <w:r w:rsidRPr="001C19F7">
        <w:rPr>
          <w:i/>
          <w:color w:val="000000" w:themeColor="text1"/>
          <w:lang w:val="es-ES"/>
        </w:rPr>
        <w:t>University</w:t>
      </w:r>
      <w:proofErr w:type="spellEnd"/>
      <w:r w:rsidRPr="001C19F7">
        <w:rPr>
          <w:color w:val="000000" w:themeColor="text1"/>
          <w:lang w:val="es-ES"/>
        </w:rPr>
        <w:t xml:space="preserve"> (SMU) y el </w:t>
      </w:r>
      <w:proofErr w:type="spellStart"/>
      <w:r w:rsidRPr="001C19F7">
        <w:rPr>
          <w:i/>
          <w:color w:val="000000" w:themeColor="text1"/>
          <w:lang w:val="es-ES"/>
        </w:rPr>
        <w:t>Assas-Sorbonne</w:t>
      </w:r>
      <w:proofErr w:type="spellEnd"/>
      <w:r w:rsidRPr="001C19F7">
        <w:rPr>
          <w:i/>
          <w:color w:val="000000" w:themeColor="text1"/>
          <w:lang w:val="es-ES"/>
        </w:rPr>
        <w:t xml:space="preserve"> Campus</w:t>
      </w:r>
      <w:r w:rsidRPr="001C19F7">
        <w:rPr>
          <w:color w:val="000000" w:themeColor="text1"/>
          <w:lang w:val="es-ES"/>
        </w:rPr>
        <w:t xml:space="preserve"> en el INSEAD de Singapur.  Su participación en los Cursos de verano de la OMPI en Singapur, la República de Corea y la India y en un programa de maestría en Derecho en Australia y en debates relativos a las sociedades de recaudación en el Japón también ha ampliado el alcance geográfico de sus actividades.  </w:t>
      </w:r>
    </w:p>
    <w:p w:rsidR="001C19F7" w:rsidRPr="001C19F7" w:rsidRDefault="001C19F7" w:rsidP="001C19F7">
      <w:pPr>
        <w:pStyle w:val="ListParagraph"/>
        <w:ind w:left="0"/>
        <w:jc w:val="both"/>
        <w:rPr>
          <w:rFonts w:cs="Arial"/>
          <w:color w:val="000000" w:themeColor="text1"/>
          <w:lang w:val="es-ES"/>
        </w:rPr>
      </w:pPr>
    </w:p>
    <w:p w:rsidR="001C19F7" w:rsidRPr="001C19F7" w:rsidRDefault="001C19F7" w:rsidP="00276C89">
      <w:pPr>
        <w:pStyle w:val="ListParagraph"/>
        <w:numPr>
          <w:ilvl w:val="0"/>
          <w:numId w:val="94"/>
        </w:numPr>
        <w:tabs>
          <w:tab w:val="left" w:pos="709"/>
        </w:tabs>
        <w:ind w:left="0" w:firstLine="0"/>
        <w:jc w:val="both"/>
        <w:rPr>
          <w:rFonts w:cs="Arial"/>
          <w:color w:val="000000" w:themeColor="text1"/>
          <w:lang w:val="es-ES"/>
        </w:rPr>
      </w:pPr>
      <w:r w:rsidRPr="001C19F7">
        <w:rPr>
          <w:color w:val="000000" w:themeColor="text1"/>
          <w:lang w:val="es-ES"/>
        </w:rPr>
        <w:t>En 2015, la OOS fue integrada en el entorno informático más amplio de la OMPI mediante la GOA, lo que aseguró el acceso del personal a todos los sistemas informáticos administrativos de la OMPI alojados en las sedes y facilitó enormemente la función de videoconferencia.  Esta función, junto con el sistema telefónico IP que se aplicó en la OOS en 2014 mejoró considerablemente la comunicación entre las sedes y la OOS.  La Oficina siguió desempeñando un papel importante a la hora de velar por que el servicio de atención al cliente de la OMPI esté disponible las 24 horas del día.</w:t>
      </w:r>
    </w:p>
    <w:p w:rsidR="001C19F7" w:rsidRPr="001C19F7" w:rsidRDefault="001C19F7" w:rsidP="001C19F7">
      <w:pPr>
        <w:rPr>
          <w:color w:val="000000" w:themeColor="text1"/>
          <w:sz w:val="20"/>
        </w:rPr>
      </w:pPr>
    </w:p>
    <w:p w:rsidR="001C19F7" w:rsidRPr="001C19F7" w:rsidRDefault="001C19F7" w:rsidP="001C19F7">
      <w:pPr>
        <w:rPr>
          <w:color w:val="000000" w:themeColor="text1"/>
          <w:sz w:val="20"/>
        </w:rPr>
      </w:pPr>
    </w:p>
    <w:p w:rsidR="001C19F7" w:rsidRPr="001C19F7" w:rsidRDefault="001C19F7" w:rsidP="001C19F7">
      <w:pPr>
        <w:rPr>
          <w:color w:val="000000" w:themeColor="text1"/>
          <w:sz w:val="20"/>
        </w:rPr>
      </w:pPr>
      <w:r w:rsidRPr="001C19F7">
        <w:rPr>
          <w:color w:val="000000" w:themeColor="text1"/>
          <w:sz w:val="20"/>
        </w:rPr>
        <w:t>DATOS SOBRE EL RENDIMIENTO</w:t>
      </w:r>
      <w:r w:rsidRPr="001C19F7">
        <w:rPr>
          <w:rStyle w:val="FootnoteReference"/>
          <w:color w:val="000000" w:themeColor="text1"/>
          <w:sz w:val="20"/>
        </w:rPr>
        <w:footnoteReference w:id="109"/>
      </w:r>
    </w:p>
    <w:p w:rsidR="001C19F7" w:rsidRPr="001C19F7" w:rsidRDefault="001C19F7" w:rsidP="001C19F7">
      <w:pPr>
        <w:rPr>
          <w:color w:val="000000" w:themeColor="text1"/>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10"/>
        <w:gridCol w:w="18"/>
        <w:gridCol w:w="1706"/>
        <w:gridCol w:w="210"/>
        <w:gridCol w:w="173"/>
        <w:gridCol w:w="1054"/>
        <w:gridCol w:w="20"/>
        <w:gridCol w:w="152"/>
        <w:gridCol w:w="2697"/>
        <w:gridCol w:w="98"/>
        <w:gridCol w:w="22"/>
        <w:gridCol w:w="77"/>
        <w:gridCol w:w="111"/>
        <w:gridCol w:w="11"/>
        <w:gridCol w:w="1112"/>
      </w:tblGrid>
      <w:tr w:rsidR="001C19F7" w:rsidRPr="00867291" w:rsidTr="008B1CDA">
        <w:tc>
          <w:tcPr>
            <w:tcW w:w="5000" w:type="pct"/>
            <w:gridSpan w:val="15"/>
            <w:tcBorders>
              <w:bottom w:val="single" w:sz="4" w:space="0" w:color="auto"/>
            </w:tcBorders>
            <w:shd w:val="clear" w:color="auto" w:fill="C6D9F1" w:themeFill="text2" w:themeFillTint="33"/>
          </w:tcPr>
          <w:p w:rsidR="001C19F7" w:rsidRPr="00867291" w:rsidRDefault="001C19F7" w:rsidP="008764EF">
            <w:pPr>
              <w:spacing w:before="120" w:after="120"/>
              <w:ind w:left="1985" w:hanging="1985"/>
              <w:rPr>
                <w:b/>
                <w:bCs/>
                <w:color w:val="000000" w:themeColor="text1"/>
                <w:sz w:val="16"/>
                <w:szCs w:val="16"/>
              </w:rPr>
            </w:pPr>
            <w:r w:rsidRPr="00867291">
              <w:rPr>
                <w:b/>
                <w:color w:val="000000" w:themeColor="text1"/>
                <w:sz w:val="16"/>
              </w:rPr>
              <w:t>Resultado previsto:</w:t>
            </w:r>
            <w:r w:rsidRPr="00867291">
              <w:rPr>
                <w:color w:val="000000" w:themeColor="text1"/>
              </w:rPr>
              <w:tab/>
            </w:r>
            <w:r w:rsidRPr="00867291">
              <w:rPr>
                <w:color w:val="000000" w:themeColor="text1"/>
                <w:sz w:val="16"/>
              </w:rPr>
              <w:t>II.1 Fomento del uso de la vía del PCT para la presentación de solicitudes internacionales de patente</w:t>
            </w:r>
          </w:p>
        </w:tc>
      </w:tr>
      <w:tr w:rsidR="001C19F7" w:rsidRPr="00867291" w:rsidTr="008B1CDA">
        <w:tc>
          <w:tcPr>
            <w:tcW w:w="1113" w:type="pct"/>
            <w:gridSpan w:val="2"/>
            <w:tcBorders>
              <w:top w:val="single" w:sz="4" w:space="0" w:color="auto"/>
              <w:left w:val="single" w:sz="4" w:space="0" w:color="auto"/>
              <w:bottom w:val="nil"/>
              <w:right w:val="nil"/>
            </w:tcBorders>
            <w:shd w:val="clear" w:color="auto" w:fill="auto"/>
          </w:tcPr>
          <w:p w:rsidR="001C19F7" w:rsidRPr="00867291" w:rsidRDefault="001C19F7" w:rsidP="008B1CDA">
            <w:pPr>
              <w:rPr>
                <w:color w:val="000000" w:themeColor="text1"/>
                <w:sz w:val="16"/>
                <w:szCs w:val="16"/>
              </w:rPr>
            </w:pPr>
            <w:r w:rsidRPr="00867291">
              <w:rPr>
                <w:b/>
                <w:color w:val="000000" w:themeColor="text1"/>
                <w:sz w:val="16"/>
              </w:rPr>
              <w:t>Indicadores de rendimiento</w:t>
            </w:r>
          </w:p>
        </w:tc>
        <w:tc>
          <w:tcPr>
            <w:tcW w:w="1002" w:type="pct"/>
            <w:gridSpan w:val="2"/>
            <w:tcBorders>
              <w:top w:val="single" w:sz="4" w:space="0" w:color="auto"/>
              <w:left w:val="nil"/>
              <w:bottom w:val="nil"/>
              <w:right w:val="nil"/>
            </w:tcBorders>
            <w:shd w:val="clear" w:color="auto" w:fill="auto"/>
          </w:tcPr>
          <w:p w:rsidR="001C19F7" w:rsidRPr="00867291" w:rsidRDefault="001C19F7" w:rsidP="008B1CDA">
            <w:pPr>
              <w:rPr>
                <w:b/>
                <w:bCs/>
                <w:color w:val="000000" w:themeColor="text1"/>
                <w:sz w:val="16"/>
                <w:szCs w:val="16"/>
              </w:rPr>
            </w:pPr>
            <w:r w:rsidRPr="00867291">
              <w:rPr>
                <w:b/>
                <w:color w:val="000000" w:themeColor="text1"/>
                <w:sz w:val="16"/>
              </w:rPr>
              <w:t>Referencia</w:t>
            </w:r>
          </w:p>
        </w:tc>
        <w:tc>
          <w:tcPr>
            <w:tcW w:w="642" w:type="pct"/>
            <w:gridSpan w:val="2"/>
            <w:tcBorders>
              <w:top w:val="single" w:sz="4" w:space="0" w:color="auto"/>
              <w:left w:val="nil"/>
              <w:bottom w:val="nil"/>
              <w:right w:val="nil"/>
            </w:tcBorders>
            <w:shd w:val="clear" w:color="auto" w:fill="auto"/>
            <w:tcMar>
              <w:top w:w="110" w:type="dxa"/>
            </w:tcMar>
          </w:tcPr>
          <w:p w:rsidR="001C19F7" w:rsidRPr="00867291" w:rsidRDefault="001C19F7" w:rsidP="008B1CDA">
            <w:pPr>
              <w:rPr>
                <w:b/>
                <w:color w:val="000000" w:themeColor="text1"/>
                <w:sz w:val="16"/>
                <w:szCs w:val="16"/>
              </w:rPr>
            </w:pPr>
            <w:r w:rsidRPr="00867291">
              <w:rPr>
                <w:b/>
                <w:color w:val="000000" w:themeColor="text1"/>
                <w:sz w:val="16"/>
              </w:rPr>
              <w:t>Objetivos</w:t>
            </w:r>
          </w:p>
        </w:tc>
        <w:tc>
          <w:tcPr>
            <w:tcW w:w="1562" w:type="pct"/>
            <w:gridSpan w:val="5"/>
            <w:tcBorders>
              <w:top w:val="single" w:sz="4" w:space="0" w:color="auto"/>
              <w:left w:val="nil"/>
              <w:bottom w:val="nil"/>
              <w:right w:val="nil"/>
            </w:tcBorders>
            <w:shd w:val="clear" w:color="auto" w:fill="FFFFFF"/>
            <w:tcMar>
              <w:top w:w="110" w:type="dxa"/>
            </w:tcMar>
          </w:tcPr>
          <w:p w:rsidR="001C19F7" w:rsidRPr="00867291" w:rsidRDefault="001C19F7" w:rsidP="008B1CDA">
            <w:pPr>
              <w:rPr>
                <w:color w:val="000000" w:themeColor="text1"/>
                <w:sz w:val="16"/>
                <w:szCs w:val="16"/>
              </w:rPr>
            </w:pPr>
            <w:r w:rsidRPr="00867291">
              <w:rPr>
                <w:b/>
                <w:color w:val="000000" w:themeColor="text1"/>
                <w:sz w:val="16"/>
              </w:rPr>
              <w:t>Datos sobre el rendimiento</w:t>
            </w:r>
            <w:r w:rsidRPr="00867291">
              <w:rPr>
                <w:rStyle w:val="FootnoteReference"/>
                <w:b/>
                <w:color w:val="000000" w:themeColor="text1"/>
              </w:rPr>
              <w:footnoteReference w:id="110"/>
            </w:r>
          </w:p>
        </w:tc>
        <w:tc>
          <w:tcPr>
            <w:tcW w:w="681" w:type="pct"/>
            <w:gridSpan w:val="4"/>
            <w:tcBorders>
              <w:top w:val="single" w:sz="4" w:space="0" w:color="auto"/>
              <w:left w:val="nil"/>
              <w:bottom w:val="nil"/>
              <w:right w:val="single" w:sz="4" w:space="0" w:color="auto"/>
            </w:tcBorders>
            <w:shd w:val="clear" w:color="auto" w:fill="auto"/>
            <w:tcMar>
              <w:top w:w="110" w:type="dxa"/>
            </w:tcMar>
          </w:tcPr>
          <w:p w:rsidR="001C19F7" w:rsidRPr="00867291" w:rsidRDefault="001C19F7" w:rsidP="008B1CDA">
            <w:pPr>
              <w:keepNext/>
              <w:keepLines/>
              <w:jc w:val="center"/>
              <w:rPr>
                <w:b/>
                <w:bCs/>
                <w:color w:val="000000" w:themeColor="text1"/>
                <w:sz w:val="16"/>
                <w:szCs w:val="16"/>
              </w:rPr>
            </w:pPr>
            <w:r w:rsidRPr="00867291">
              <w:rPr>
                <w:b/>
                <w:color w:val="000000" w:themeColor="text1"/>
                <w:sz w:val="16"/>
              </w:rPr>
              <w:t>Clave de colores</w:t>
            </w:r>
          </w:p>
        </w:tc>
      </w:tr>
      <w:tr w:rsidR="001C19F7" w:rsidRPr="00867291" w:rsidTr="008B1CDA">
        <w:tc>
          <w:tcPr>
            <w:tcW w:w="1113" w:type="pct"/>
            <w:gridSpan w:val="2"/>
            <w:tcBorders>
              <w:top w:val="nil"/>
              <w:left w:val="single" w:sz="4" w:space="0" w:color="auto"/>
              <w:bottom w:val="nil"/>
              <w:right w:val="nil"/>
            </w:tcBorders>
            <w:shd w:val="clear" w:color="auto" w:fill="auto"/>
          </w:tcPr>
          <w:p w:rsidR="001C19F7" w:rsidRPr="00867291" w:rsidRDefault="001C19F7" w:rsidP="008B1CDA">
            <w:pPr>
              <w:rPr>
                <w:color w:val="000000" w:themeColor="text1"/>
                <w:sz w:val="16"/>
                <w:szCs w:val="16"/>
              </w:rPr>
            </w:pPr>
            <w:r w:rsidRPr="00867291">
              <w:rPr>
                <w:color w:val="000000" w:themeColor="text1"/>
                <w:sz w:val="16"/>
              </w:rPr>
              <w:t>Porcentaje de solicitudes presentadas en virtud del PCT</w:t>
            </w:r>
            <w:r w:rsidRPr="00867291">
              <w:rPr>
                <w:rStyle w:val="FootnoteReference"/>
                <w:color w:val="000000" w:themeColor="text1"/>
              </w:rPr>
              <w:footnoteReference w:id="111"/>
            </w:r>
          </w:p>
        </w:tc>
        <w:tc>
          <w:tcPr>
            <w:tcW w:w="1002" w:type="pct"/>
            <w:gridSpan w:val="2"/>
            <w:tcBorders>
              <w:top w:val="nil"/>
              <w:left w:val="nil"/>
              <w:bottom w:val="nil"/>
              <w:right w:val="nil"/>
            </w:tcBorders>
            <w:shd w:val="clear" w:color="auto" w:fill="auto"/>
          </w:tcPr>
          <w:p w:rsidR="001C19F7" w:rsidRPr="00867291" w:rsidRDefault="001C19F7" w:rsidP="008B1CDA">
            <w:pPr>
              <w:rPr>
                <w:color w:val="000000" w:themeColor="text1"/>
                <w:sz w:val="16"/>
                <w:szCs w:val="16"/>
              </w:rPr>
            </w:pPr>
            <w:r w:rsidRPr="00EF75DA">
              <w:rPr>
                <w:i/>
                <w:color w:val="002060"/>
                <w:sz w:val="16"/>
                <w:szCs w:val="16"/>
                <w:lang w:eastAsia="en-US"/>
              </w:rPr>
              <w:t>Referencia actualizada a fines de 2013:</w:t>
            </w:r>
            <w:r w:rsidRPr="00867291">
              <w:rPr>
                <w:color w:val="000000" w:themeColor="text1"/>
                <w:sz w:val="16"/>
              </w:rPr>
              <w:t xml:space="preserve">   </w:t>
            </w:r>
          </w:p>
          <w:p w:rsidR="001C19F7" w:rsidRPr="00EF75DA" w:rsidRDefault="001C19F7" w:rsidP="008B1CDA">
            <w:pPr>
              <w:rPr>
                <w:color w:val="002060"/>
                <w:sz w:val="16"/>
                <w:szCs w:val="16"/>
                <w:lang w:eastAsia="en-US"/>
              </w:rPr>
            </w:pPr>
            <w:r w:rsidRPr="00EF75DA">
              <w:rPr>
                <w:color w:val="002060"/>
                <w:sz w:val="16"/>
                <w:szCs w:val="16"/>
                <w:lang w:eastAsia="en-US"/>
              </w:rPr>
              <w:t xml:space="preserve">2012:  588         </w:t>
            </w:r>
          </w:p>
          <w:p w:rsidR="001C19F7" w:rsidRPr="00EF75DA" w:rsidRDefault="001C19F7" w:rsidP="008B1CDA">
            <w:pPr>
              <w:rPr>
                <w:color w:val="002060"/>
                <w:sz w:val="16"/>
                <w:szCs w:val="16"/>
                <w:lang w:eastAsia="en-US"/>
              </w:rPr>
            </w:pPr>
            <w:r w:rsidRPr="00EF75DA">
              <w:rPr>
                <w:color w:val="002060"/>
                <w:sz w:val="16"/>
                <w:szCs w:val="16"/>
                <w:lang w:eastAsia="en-US"/>
              </w:rPr>
              <w:t>2013:  657 (OOB)</w:t>
            </w:r>
          </w:p>
          <w:p w:rsidR="001C19F7" w:rsidRPr="00EF75DA" w:rsidRDefault="001C19F7" w:rsidP="008B1CDA">
            <w:pPr>
              <w:rPr>
                <w:color w:val="002060"/>
                <w:sz w:val="16"/>
                <w:szCs w:val="16"/>
                <w:lang w:eastAsia="en-US"/>
              </w:rPr>
            </w:pPr>
            <w:r w:rsidRPr="00EF75DA">
              <w:rPr>
                <w:color w:val="002060"/>
                <w:sz w:val="16"/>
                <w:szCs w:val="16"/>
                <w:lang w:eastAsia="en-US"/>
              </w:rPr>
              <w:t xml:space="preserve">2012:  43.523      </w:t>
            </w:r>
          </w:p>
          <w:p w:rsidR="001C19F7" w:rsidRPr="00EF75DA" w:rsidRDefault="001C19F7" w:rsidP="008B1CDA">
            <w:pPr>
              <w:rPr>
                <w:color w:val="002060"/>
                <w:sz w:val="16"/>
                <w:szCs w:val="16"/>
                <w:lang w:eastAsia="en-US"/>
              </w:rPr>
            </w:pPr>
            <w:r w:rsidRPr="00EF75DA">
              <w:rPr>
                <w:color w:val="002060"/>
                <w:sz w:val="16"/>
                <w:szCs w:val="16"/>
                <w:lang w:eastAsia="en-US"/>
              </w:rPr>
              <w:t xml:space="preserve">2013:  43.771 (OOJ)  </w:t>
            </w:r>
          </w:p>
          <w:p w:rsidR="001C19F7" w:rsidRPr="00EF75DA" w:rsidRDefault="001C19F7" w:rsidP="008B1CDA">
            <w:pPr>
              <w:rPr>
                <w:color w:val="002060"/>
                <w:sz w:val="16"/>
                <w:szCs w:val="16"/>
                <w:lang w:eastAsia="en-US"/>
              </w:rPr>
            </w:pPr>
            <w:r w:rsidRPr="00EF75DA">
              <w:rPr>
                <w:color w:val="002060"/>
                <w:sz w:val="16"/>
                <w:szCs w:val="16"/>
                <w:lang w:eastAsia="en-US"/>
              </w:rPr>
              <w:t>2012:  1.124</w:t>
            </w:r>
          </w:p>
          <w:p w:rsidR="001C19F7" w:rsidRPr="00867291" w:rsidRDefault="001C19F7" w:rsidP="008B1CDA">
            <w:pPr>
              <w:rPr>
                <w:color w:val="000000" w:themeColor="text1"/>
                <w:sz w:val="16"/>
                <w:szCs w:val="16"/>
              </w:rPr>
            </w:pPr>
            <w:r w:rsidRPr="00EF75DA">
              <w:rPr>
                <w:color w:val="002060"/>
                <w:sz w:val="16"/>
                <w:szCs w:val="16"/>
                <w:lang w:eastAsia="en-US"/>
              </w:rPr>
              <w:t>2013:  1.282 (OOS)</w:t>
            </w:r>
          </w:p>
          <w:p w:rsidR="001C19F7" w:rsidRPr="00867291" w:rsidRDefault="001C19F7" w:rsidP="008B1CDA">
            <w:pPr>
              <w:rPr>
                <w:i/>
                <w:color w:val="000000" w:themeColor="text1"/>
                <w:sz w:val="8"/>
                <w:szCs w:val="8"/>
              </w:rPr>
            </w:pPr>
          </w:p>
          <w:p w:rsidR="001C19F7" w:rsidRPr="00867291" w:rsidRDefault="001C19F7" w:rsidP="008B1CDA">
            <w:pPr>
              <w:rPr>
                <w:color w:val="000000" w:themeColor="text1"/>
                <w:sz w:val="16"/>
                <w:szCs w:val="16"/>
              </w:rPr>
            </w:pPr>
            <w:r w:rsidRPr="00867291">
              <w:rPr>
                <w:i/>
                <w:color w:val="000000" w:themeColor="text1"/>
                <w:sz w:val="16"/>
              </w:rPr>
              <w:t>Referencia original en el presupuesto de 2014/15:</w:t>
            </w:r>
            <w:r w:rsidRPr="00867291">
              <w:rPr>
                <w:color w:val="000000" w:themeColor="text1"/>
                <w:sz w:val="16"/>
              </w:rPr>
              <w:t xml:space="preserve">  519 en 2011 (OOB) por determinar (OOJ) por determinar (OOS) </w:t>
            </w:r>
          </w:p>
        </w:tc>
        <w:tc>
          <w:tcPr>
            <w:tcW w:w="642" w:type="pct"/>
            <w:gridSpan w:val="2"/>
            <w:tcBorders>
              <w:top w:val="nil"/>
              <w:left w:val="nil"/>
              <w:bottom w:val="nil"/>
              <w:right w:val="nil"/>
            </w:tcBorders>
            <w:shd w:val="clear" w:color="auto" w:fill="auto"/>
            <w:tcMar>
              <w:top w:w="110" w:type="dxa"/>
            </w:tcMar>
          </w:tcPr>
          <w:p w:rsidR="001C19F7" w:rsidRPr="00867291" w:rsidRDefault="001C19F7" w:rsidP="008B1CDA">
            <w:pPr>
              <w:ind w:right="-107"/>
              <w:rPr>
                <w:color w:val="000000" w:themeColor="text1"/>
                <w:sz w:val="16"/>
                <w:szCs w:val="16"/>
              </w:rPr>
            </w:pPr>
            <w:r w:rsidRPr="00867291">
              <w:rPr>
                <w:color w:val="000000" w:themeColor="text1"/>
                <w:sz w:val="16"/>
              </w:rPr>
              <w:t>Aumento del 15%</w:t>
            </w:r>
          </w:p>
          <w:p w:rsidR="001C19F7" w:rsidRPr="00867291" w:rsidRDefault="001C19F7" w:rsidP="008B1CDA">
            <w:pPr>
              <w:rPr>
                <w:color w:val="000000" w:themeColor="text1"/>
                <w:sz w:val="16"/>
                <w:szCs w:val="16"/>
              </w:rPr>
            </w:pPr>
            <w:r w:rsidRPr="00867291">
              <w:rPr>
                <w:color w:val="000000" w:themeColor="text1"/>
                <w:sz w:val="16"/>
              </w:rPr>
              <w:t>(OOB)</w:t>
            </w:r>
          </w:p>
          <w:p w:rsidR="001C19F7" w:rsidRPr="00867291" w:rsidRDefault="001C19F7" w:rsidP="008B1CDA">
            <w:pPr>
              <w:rPr>
                <w:color w:val="000000" w:themeColor="text1"/>
                <w:sz w:val="16"/>
                <w:szCs w:val="16"/>
              </w:rPr>
            </w:pPr>
          </w:p>
          <w:p w:rsidR="001C19F7" w:rsidRPr="00867291" w:rsidRDefault="001C19F7" w:rsidP="008B1CDA">
            <w:pPr>
              <w:rPr>
                <w:color w:val="000000" w:themeColor="text1"/>
                <w:sz w:val="16"/>
                <w:szCs w:val="16"/>
              </w:rPr>
            </w:pPr>
          </w:p>
          <w:p w:rsidR="001C19F7" w:rsidRPr="00867291" w:rsidRDefault="001C19F7" w:rsidP="008B1CDA">
            <w:pPr>
              <w:rPr>
                <w:color w:val="000000" w:themeColor="text1"/>
                <w:sz w:val="16"/>
                <w:szCs w:val="16"/>
              </w:rPr>
            </w:pPr>
          </w:p>
          <w:p w:rsidR="001C19F7" w:rsidRPr="00867291" w:rsidRDefault="001C19F7" w:rsidP="008B1CDA">
            <w:pPr>
              <w:rPr>
                <w:color w:val="000000" w:themeColor="text1"/>
                <w:sz w:val="16"/>
                <w:szCs w:val="16"/>
              </w:rPr>
            </w:pPr>
            <w:r w:rsidRPr="00867291">
              <w:rPr>
                <w:color w:val="000000" w:themeColor="text1"/>
                <w:sz w:val="16"/>
              </w:rPr>
              <w:t>Aumento del 1% (OOJ)</w:t>
            </w:r>
          </w:p>
          <w:p w:rsidR="001C19F7" w:rsidRPr="00867291" w:rsidRDefault="001C19F7" w:rsidP="008B1CDA">
            <w:pPr>
              <w:rPr>
                <w:color w:val="000000" w:themeColor="text1"/>
                <w:sz w:val="16"/>
                <w:szCs w:val="16"/>
              </w:rPr>
            </w:pPr>
          </w:p>
          <w:p w:rsidR="001C19F7" w:rsidRPr="00867291" w:rsidRDefault="001C19F7" w:rsidP="008B1CDA">
            <w:pPr>
              <w:rPr>
                <w:color w:val="000000" w:themeColor="text1"/>
                <w:sz w:val="16"/>
                <w:szCs w:val="16"/>
              </w:rPr>
            </w:pPr>
          </w:p>
          <w:p w:rsidR="001C19F7" w:rsidRPr="00867291" w:rsidRDefault="001C19F7" w:rsidP="008B1CDA">
            <w:pPr>
              <w:rPr>
                <w:color w:val="000000" w:themeColor="text1"/>
                <w:sz w:val="16"/>
                <w:szCs w:val="16"/>
              </w:rPr>
            </w:pPr>
          </w:p>
          <w:p w:rsidR="001C19F7" w:rsidRPr="00867291" w:rsidRDefault="001C19F7" w:rsidP="008B1CDA">
            <w:pPr>
              <w:rPr>
                <w:color w:val="000000" w:themeColor="text1"/>
                <w:sz w:val="16"/>
                <w:szCs w:val="16"/>
              </w:rPr>
            </w:pPr>
          </w:p>
          <w:p w:rsidR="001C19F7" w:rsidRPr="00867291" w:rsidRDefault="001C19F7" w:rsidP="008B1CDA">
            <w:pPr>
              <w:rPr>
                <w:color w:val="000000" w:themeColor="text1"/>
                <w:sz w:val="16"/>
                <w:szCs w:val="16"/>
              </w:rPr>
            </w:pPr>
            <w:r w:rsidRPr="00867291">
              <w:rPr>
                <w:color w:val="000000" w:themeColor="text1"/>
                <w:sz w:val="16"/>
              </w:rPr>
              <w:t>Aumento del 5% (OOS)</w:t>
            </w:r>
          </w:p>
        </w:tc>
        <w:tc>
          <w:tcPr>
            <w:tcW w:w="1562" w:type="pct"/>
            <w:gridSpan w:val="5"/>
            <w:tcBorders>
              <w:top w:val="nil"/>
              <w:left w:val="nil"/>
              <w:bottom w:val="nil"/>
              <w:right w:val="nil"/>
            </w:tcBorders>
            <w:shd w:val="clear" w:color="auto" w:fill="FFFFFF"/>
            <w:tcMar>
              <w:top w:w="110" w:type="dxa"/>
              <w:left w:w="29" w:type="dxa"/>
              <w:right w:w="29" w:type="dxa"/>
            </w:tcMar>
          </w:tcPr>
          <w:p w:rsidR="001C19F7" w:rsidRPr="00867291" w:rsidRDefault="001C19F7" w:rsidP="008B1CDA">
            <w:pPr>
              <w:rPr>
                <w:color w:val="000000" w:themeColor="text1"/>
                <w:sz w:val="16"/>
                <w:szCs w:val="16"/>
              </w:rPr>
            </w:pPr>
            <w:r w:rsidRPr="00867291">
              <w:rPr>
                <w:color w:val="000000" w:themeColor="text1"/>
                <w:sz w:val="16"/>
              </w:rPr>
              <w:t>2014/15: 1.128 (-9%)</w:t>
            </w:r>
          </w:p>
          <w:p w:rsidR="001C19F7" w:rsidRPr="00867291" w:rsidRDefault="001C19F7" w:rsidP="001C19F7">
            <w:pPr>
              <w:pStyle w:val="ListParagraph"/>
              <w:numPr>
                <w:ilvl w:val="0"/>
                <w:numId w:val="95"/>
              </w:numPr>
              <w:ind w:left="347" w:hanging="347"/>
              <w:rPr>
                <w:rFonts w:eastAsia="SimSun" w:cs="Arial"/>
                <w:color w:val="000000" w:themeColor="text1"/>
                <w:sz w:val="16"/>
                <w:szCs w:val="16"/>
              </w:rPr>
            </w:pPr>
            <w:r w:rsidRPr="00867291">
              <w:rPr>
                <w:color w:val="000000" w:themeColor="text1"/>
                <w:sz w:val="16"/>
              </w:rPr>
              <w:t>2014:  580 (-12%)</w:t>
            </w:r>
          </w:p>
          <w:p w:rsidR="001C19F7" w:rsidRPr="00867291" w:rsidRDefault="001C19F7" w:rsidP="001C19F7">
            <w:pPr>
              <w:pStyle w:val="ListParagraph"/>
              <w:numPr>
                <w:ilvl w:val="0"/>
                <w:numId w:val="95"/>
              </w:numPr>
              <w:ind w:left="347" w:hanging="347"/>
              <w:rPr>
                <w:rFonts w:eastAsia="SimSun" w:cs="Arial"/>
                <w:color w:val="000000" w:themeColor="text1"/>
                <w:sz w:val="16"/>
                <w:szCs w:val="16"/>
              </w:rPr>
            </w:pPr>
            <w:r w:rsidRPr="00867291">
              <w:rPr>
                <w:color w:val="000000" w:themeColor="text1"/>
                <w:sz w:val="16"/>
              </w:rPr>
              <w:t>2015:  547 (-6%)</w:t>
            </w:r>
          </w:p>
          <w:p w:rsidR="001C19F7" w:rsidRPr="00867291" w:rsidRDefault="001C19F7" w:rsidP="008B1CDA">
            <w:pPr>
              <w:rPr>
                <w:color w:val="000000" w:themeColor="text1"/>
                <w:sz w:val="16"/>
                <w:szCs w:val="16"/>
              </w:rPr>
            </w:pPr>
            <w:r w:rsidRPr="00867291">
              <w:rPr>
                <w:color w:val="000000" w:themeColor="text1"/>
                <w:sz w:val="16"/>
              </w:rPr>
              <w:t>(OOB)</w:t>
            </w:r>
          </w:p>
          <w:p w:rsidR="001C19F7" w:rsidRPr="00867291" w:rsidRDefault="001C19F7" w:rsidP="008B1CDA">
            <w:pPr>
              <w:rPr>
                <w:color w:val="000000" w:themeColor="text1"/>
                <w:sz w:val="16"/>
                <w:szCs w:val="16"/>
              </w:rPr>
            </w:pPr>
          </w:p>
          <w:p w:rsidR="001C19F7" w:rsidRPr="00867291" w:rsidRDefault="001C19F7" w:rsidP="008B1CDA">
            <w:pPr>
              <w:rPr>
                <w:color w:val="000000" w:themeColor="text1"/>
                <w:sz w:val="16"/>
                <w:szCs w:val="16"/>
              </w:rPr>
            </w:pPr>
            <w:r w:rsidRPr="00867291">
              <w:rPr>
                <w:color w:val="000000" w:themeColor="text1"/>
                <w:sz w:val="16"/>
              </w:rPr>
              <w:t>2014/15</w:t>
            </w:r>
            <w:proofErr w:type="gramStart"/>
            <w:r w:rsidRPr="00867291">
              <w:rPr>
                <w:color w:val="000000" w:themeColor="text1"/>
                <w:sz w:val="16"/>
              </w:rPr>
              <w:t>:  86.616</w:t>
            </w:r>
            <w:proofErr w:type="gramEnd"/>
            <w:r w:rsidRPr="00867291">
              <w:rPr>
                <w:color w:val="000000" w:themeColor="text1"/>
                <w:sz w:val="16"/>
              </w:rPr>
              <w:t xml:space="preserve"> (-1%)</w:t>
            </w:r>
          </w:p>
          <w:p w:rsidR="001C19F7" w:rsidRPr="00867291" w:rsidRDefault="001C19F7" w:rsidP="001C19F7">
            <w:pPr>
              <w:pStyle w:val="ListParagraph"/>
              <w:numPr>
                <w:ilvl w:val="0"/>
                <w:numId w:val="95"/>
              </w:numPr>
              <w:ind w:left="347" w:hanging="347"/>
              <w:rPr>
                <w:rFonts w:eastAsia="SimSun" w:cs="Arial"/>
                <w:color w:val="000000" w:themeColor="text1"/>
                <w:sz w:val="16"/>
                <w:szCs w:val="16"/>
              </w:rPr>
            </w:pPr>
            <w:r w:rsidRPr="00867291">
              <w:rPr>
                <w:color w:val="000000" w:themeColor="text1"/>
                <w:sz w:val="16"/>
              </w:rPr>
              <w:t>2014:  42.381</w:t>
            </w:r>
            <w:r w:rsidRPr="00867291">
              <w:rPr>
                <w:rStyle w:val="FootnoteReference"/>
                <w:color w:val="000000" w:themeColor="text1"/>
              </w:rPr>
              <w:t xml:space="preserve"> </w:t>
            </w:r>
            <w:r w:rsidRPr="00867291">
              <w:rPr>
                <w:color w:val="000000" w:themeColor="text1"/>
                <w:sz w:val="16"/>
              </w:rPr>
              <w:t>(-3%)</w:t>
            </w:r>
          </w:p>
          <w:p w:rsidR="001C19F7" w:rsidRPr="00867291" w:rsidRDefault="001C19F7" w:rsidP="001C19F7">
            <w:pPr>
              <w:pStyle w:val="ListParagraph"/>
              <w:numPr>
                <w:ilvl w:val="0"/>
                <w:numId w:val="95"/>
              </w:numPr>
              <w:ind w:left="347" w:right="-92" w:hanging="347"/>
              <w:rPr>
                <w:rFonts w:eastAsia="SimSun" w:cs="Arial"/>
                <w:color w:val="000000" w:themeColor="text1"/>
                <w:sz w:val="16"/>
                <w:szCs w:val="16"/>
              </w:rPr>
            </w:pPr>
            <w:r w:rsidRPr="00867291">
              <w:rPr>
                <w:color w:val="000000" w:themeColor="text1"/>
                <w:sz w:val="16"/>
              </w:rPr>
              <w:t>2015:  44.235 (+4%)</w:t>
            </w:r>
          </w:p>
          <w:p w:rsidR="001C19F7" w:rsidRPr="00867291" w:rsidRDefault="001C19F7" w:rsidP="008B1CDA">
            <w:pPr>
              <w:rPr>
                <w:color w:val="000000" w:themeColor="text1"/>
                <w:sz w:val="16"/>
                <w:szCs w:val="16"/>
              </w:rPr>
            </w:pPr>
            <w:r w:rsidRPr="00867291">
              <w:rPr>
                <w:color w:val="000000" w:themeColor="text1"/>
                <w:sz w:val="16"/>
              </w:rPr>
              <w:t>(OOJ)</w:t>
            </w:r>
          </w:p>
          <w:p w:rsidR="001C19F7" w:rsidRPr="00867291" w:rsidRDefault="001C19F7" w:rsidP="008B1CDA">
            <w:pPr>
              <w:rPr>
                <w:color w:val="000000" w:themeColor="text1"/>
                <w:sz w:val="16"/>
                <w:szCs w:val="16"/>
              </w:rPr>
            </w:pPr>
          </w:p>
          <w:p w:rsidR="001C19F7" w:rsidRPr="00867291" w:rsidRDefault="001C19F7" w:rsidP="008B1CDA">
            <w:pPr>
              <w:rPr>
                <w:color w:val="000000" w:themeColor="text1"/>
                <w:sz w:val="16"/>
                <w:szCs w:val="16"/>
              </w:rPr>
            </w:pPr>
            <w:r w:rsidRPr="00867291">
              <w:rPr>
                <w:color w:val="000000" w:themeColor="text1"/>
                <w:sz w:val="16"/>
              </w:rPr>
              <w:t>2014/15</w:t>
            </w:r>
            <w:proofErr w:type="gramStart"/>
            <w:r w:rsidRPr="00867291">
              <w:rPr>
                <w:color w:val="000000" w:themeColor="text1"/>
                <w:sz w:val="16"/>
              </w:rPr>
              <w:t>:  2.809</w:t>
            </w:r>
            <w:proofErr w:type="gramEnd"/>
            <w:r w:rsidRPr="00867291">
              <w:rPr>
                <w:color w:val="000000" w:themeColor="text1"/>
                <w:sz w:val="16"/>
              </w:rPr>
              <w:t xml:space="preserve"> (+17%)</w:t>
            </w:r>
          </w:p>
          <w:p w:rsidR="001C19F7" w:rsidRPr="00867291" w:rsidRDefault="001C19F7" w:rsidP="001C19F7">
            <w:pPr>
              <w:pStyle w:val="ListParagraph"/>
              <w:numPr>
                <w:ilvl w:val="0"/>
                <w:numId w:val="95"/>
              </w:numPr>
              <w:ind w:left="347" w:right="-92" w:hanging="347"/>
              <w:rPr>
                <w:rFonts w:eastAsia="SimSun" w:cs="Arial"/>
                <w:color w:val="000000" w:themeColor="text1"/>
                <w:sz w:val="16"/>
                <w:szCs w:val="16"/>
              </w:rPr>
            </w:pPr>
            <w:r w:rsidRPr="00867291">
              <w:rPr>
                <w:color w:val="000000" w:themeColor="text1"/>
                <w:sz w:val="16"/>
              </w:rPr>
              <w:t>2014:  1.394 (+9%)</w:t>
            </w:r>
          </w:p>
          <w:p w:rsidR="001C19F7" w:rsidRPr="00867291" w:rsidRDefault="001C19F7" w:rsidP="001C19F7">
            <w:pPr>
              <w:pStyle w:val="ListParagraph"/>
              <w:numPr>
                <w:ilvl w:val="0"/>
                <w:numId w:val="95"/>
              </w:numPr>
              <w:ind w:left="347" w:right="-92" w:hanging="347"/>
              <w:rPr>
                <w:rFonts w:eastAsia="SimSun" w:cs="Arial"/>
                <w:color w:val="000000" w:themeColor="text1"/>
                <w:sz w:val="16"/>
                <w:szCs w:val="16"/>
              </w:rPr>
            </w:pPr>
            <w:r w:rsidRPr="00867291">
              <w:rPr>
                <w:color w:val="000000" w:themeColor="text1"/>
                <w:sz w:val="16"/>
              </w:rPr>
              <w:t>2015:  1.415 (+2%)</w:t>
            </w:r>
          </w:p>
          <w:p w:rsidR="001C19F7" w:rsidRPr="00867291" w:rsidRDefault="001C19F7" w:rsidP="008B1CDA">
            <w:pPr>
              <w:rPr>
                <w:color w:val="000000" w:themeColor="text1"/>
                <w:sz w:val="16"/>
                <w:szCs w:val="16"/>
              </w:rPr>
            </w:pPr>
            <w:r w:rsidRPr="00867291">
              <w:rPr>
                <w:color w:val="000000" w:themeColor="text1"/>
                <w:sz w:val="16"/>
              </w:rPr>
              <w:t>(OOS)</w:t>
            </w:r>
          </w:p>
        </w:tc>
        <w:tc>
          <w:tcPr>
            <w:tcW w:w="681" w:type="pct"/>
            <w:gridSpan w:val="4"/>
            <w:tcBorders>
              <w:top w:val="nil"/>
              <w:left w:val="nil"/>
              <w:bottom w:val="nil"/>
              <w:right w:val="single" w:sz="4" w:space="0" w:color="auto"/>
            </w:tcBorders>
            <w:shd w:val="clear" w:color="auto" w:fill="auto"/>
            <w:tcMar>
              <w:top w:w="110" w:type="dxa"/>
            </w:tcMar>
          </w:tcPr>
          <w:p w:rsidR="001C19F7" w:rsidRPr="00867291" w:rsidRDefault="001C19F7" w:rsidP="008B1CDA">
            <w:pPr>
              <w:keepNext/>
              <w:keepLines/>
              <w:ind w:right="20"/>
              <w:jc w:val="center"/>
              <w:rPr>
                <w:b/>
                <w:color w:val="FF0000"/>
                <w:sz w:val="16"/>
                <w:szCs w:val="16"/>
              </w:rPr>
            </w:pPr>
            <w:r w:rsidRPr="00867291">
              <w:rPr>
                <w:b/>
                <w:color w:val="FF0000"/>
                <w:sz w:val="16"/>
              </w:rPr>
              <w:t xml:space="preserve">No </w:t>
            </w:r>
            <w:proofErr w:type="spellStart"/>
            <w:r w:rsidRPr="002265C0">
              <w:rPr>
                <w:b/>
                <w:bCs/>
                <w:color w:val="FF0000"/>
                <w:sz w:val="16"/>
                <w:szCs w:val="16"/>
                <w:lang w:val="en-US"/>
              </w:rPr>
              <w:t>logrado</w:t>
            </w:r>
            <w:proofErr w:type="spellEnd"/>
          </w:p>
          <w:p w:rsidR="001C19F7" w:rsidRPr="00867291" w:rsidRDefault="001C19F7" w:rsidP="008B1CDA">
            <w:pPr>
              <w:keepNext/>
              <w:keepLines/>
              <w:ind w:right="20"/>
              <w:rPr>
                <w:b/>
                <w:color w:val="000000" w:themeColor="text1"/>
                <w:sz w:val="16"/>
                <w:szCs w:val="16"/>
              </w:rPr>
            </w:pPr>
          </w:p>
          <w:p w:rsidR="001C19F7" w:rsidRPr="00867291" w:rsidRDefault="001C19F7" w:rsidP="008B1CDA">
            <w:pPr>
              <w:keepNext/>
              <w:keepLines/>
              <w:ind w:right="20"/>
              <w:rPr>
                <w:b/>
                <w:color w:val="000000" w:themeColor="text1"/>
                <w:sz w:val="16"/>
                <w:szCs w:val="16"/>
              </w:rPr>
            </w:pPr>
          </w:p>
          <w:p w:rsidR="001C19F7" w:rsidRPr="00867291" w:rsidRDefault="001C19F7" w:rsidP="008B1CDA">
            <w:pPr>
              <w:keepNext/>
              <w:keepLines/>
              <w:ind w:right="20"/>
              <w:rPr>
                <w:b/>
                <w:color w:val="000000" w:themeColor="text1"/>
                <w:sz w:val="16"/>
                <w:szCs w:val="16"/>
              </w:rPr>
            </w:pPr>
          </w:p>
          <w:p w:rsidR="001C19F7" w:rsidRPr="00867291" w:rsidRDefault="001C19F7" w:rsidP="008B1CDA">
            <w:pPr>
              <w:keepNext/>
              <w:keepLines/>
              <w:ind w:right="20"/>
              <w:jc w:val="center"/>
              <w:rPr>
                <w:b/>
                <w:color w:val="000000" w:themeColor="text1"/>
                <w:sz w:val="16"/>
                <w:szCs w:val="16"/>
              </w:rPr>
            </w:pPr>
            <w:r w:rsidRPr="00867291">
              <w:rPr>
                <w:b/>
                <w:color w:val="FF0000"/>
                <w:sz w:val="16"/>
              </w:rPr>
              <w:t>No logrado</w:t>
            </w:r>
          </w:p>
          <w:p w:rsidR="001C19F7" w:rsidRPr="00867291" w:rsidRDefault="001C19F7" w:rsidP="008B1CDA">
            <w:pPr>
              <w:keepNext/>
              <w:keepLines/>
              <w:ind w:left="71" w:right="20"/>
              <w:jc w:val="center"/>
              <w:rPr>
                <w:b/>
                <w:bCs/>
                <w:color w:val="000000" w:themeColor="text1"/>
                <w:sz w:val="16"/>
                <w:szCs w:val="16"/>
              </w:rPr>
            </w:pPr>
          </w:p>
          <w:p w:rsidR="001C19F7" w:rsidRPr="00867291" w:rsidRDefault="001C19F7" w:rsidP="008B1CDA">
            <w:pPr>
              <w:keepNext/>
              <w:keepLines/>
              <w:ind w:left="71" w:right="20"/>
              <w:jc w:val="center"/>
              <w:rPr>
                <w:b/>
                <w:bCs/>
                <w:color w:val="000000" w:themeColor="text1"/>
                <w:sz w:val="16"/>
                <w:szCs w:val="16"/>
              </w:rPr>
            </w:pPr>
          </w:p>
          <w:p w:rsidR="001C19F7" w:rsidRPr="00867291" w:rsidRDefault="001C19F7" w:rsidP="008B1CDA">
            <w:pPr>
              <w:keepNext/>
              <w:keepLines/>
              <w:ind w:left="71" w:right="20"/>
              <w:jc w:val="center"/>
              <w:rPr>
                <w:b/>
                <w:bCs/>
                <w:color w:val="000000" w:themeColor="text1"/>
                <w:sz w:val="16"/>
                <w:szCs w:val="16"/>
              </w:rPr>
            </w:pPr>
          </w:p>
          <w:p w:rsidR="001C19F7" w:rsidRPr="00867291" w:rsidRDefault="00044DA1" w:rsidP="008B1CDA">
            <w:pPr>
              <w:keepNext/>
              <w:keepLines/>
              <w:ind w:left="-117" w:right="20"/>
              <w:jc w:val="center"/>
              <w:rPr>
                <w:b/>
                <w:bCs/>
                <w:color w:val="000000" w:themeColor="text1"/>
                <w:sz w:val="16"/>
                <w:szCs w:val="16"/>
              </w:rPr>
            </w:pPr>
            <w:proofErr w:type="spellStart"/>
            <w:r>
              <w:rPr>
                <w:b/>
                <w:bCs/>
                <w:color w:val="00B050"/>
                <w:sz w:val="16"/>
                <w:szCs w:val="16"/>
                <w:lang w:val="en-US"/>
              </w:rPr>
              <w:t>Plenamente</w:t>
            </w:r>
            <w:proofErr w:type="spellEnd"/>
            <w:r>
              <w:rPr>
                <w:b/>
                <w:bCs/>
                <w:color w:val="00B050"/>
                <w:sz w:val="16"/>
                <w:szCs w:val="16"/>
                <w:lang w:val="en-US"/>
              </w:rPr>
              <w:t xml:space="preserve"> </w:t>
            </w:r>
            <w:proofErr w:type="spellStart"/>
            <w:r>
              <w:rPr>
                <w:b/>
                <w:bCs/>
                <w:color w:val="00B050"/>
                <w:sz w:val="16"/>
                <w:szCs w:val="16"/>
                <w:lang w:val="en-US"/>
              </w:rPr>
              <w:t>logrado</w:t>
            </w:r>
            <w:proofErr w:type="spellEnd"/>
          </w:p>
          <w:p w:rsidR="001C19F7" w:rsidRPr="00867291" w:rsidRDefault="001C19F7" w:rsidP="008B1CDA">
            <w:pPr>
              <w:keepNext/>
              <w:keepLines/>
              <w:ind w:left="71" w:right="20"/>
              <w:jc w:val="center"/>
              <w:rPr>
                <w:b/>
                <w:bCs/>
                <w:color w:val="000000" w:themeColor="text1"/>
                <w:sz w:val="16"/>
                <w:szCs w:val="16"/>
              </w:rPr>
            </w:pPr>
          </w:p>
        </w:tc>
      </w:tr>
      <w:tr w:rsidR="001C19F7" w:rsidRPr="00867291" w:rsidTr="008B1CDA">
        <w:tc>
          <w:tcPr>
            <w:tcW w:w="1113" w:type="pct"/>
            <w:gridSpan w:val="2"/>
            <w:tcBorders>
              <w:top w:val="nil"/>
              <w:left w:val="single" w:sz="4" w:space="0" w:color="auto"/>
              <w:bottom w:val="single" w:sz="4" w:space="0" w:color="auto"/>
              <w:right w:val="nil"/>
            </w:tcBorders>
            <w:shd w:val="clear" w:color="auto" w:fill="auto"/>
          </w:tcPr>
          <w:p w:rsidR="001C19F7" w:rsidRPr="00867291" w:rsidRDefault="001C19F7" w:rsidP="008B1CDA">
            <w:pPr>
              <w:rPr>
                <w:color w:val="000000" w:themeColor="text1"/>
                <w:sz w:val="16"/>
                <w:szCs w:val="16"/>
              </w:rPr>
            </w:pPr>
          </w:p>
          <w:p w:rsidR="001C19F7" w:rsidRPr="00867291" w:rsidRDefault="001C19F7" w:rsidP="008B1CDA">
            <w:pPr>
              <w:rPr>
                <w:color w:val="000000" w:themeColor="text1"/>
                <w:sz w:val="16"/>
                <w:szCs w:val="16"/>
              </w:rPr>
            </w:pPr>
            <w:r w:rsidRPr="00867291">
              <w:rPr>
                <w:color w:val="000000" w:themeColor="text1"/>
                <w:sz w:val="16"/>
              </w:rPr>
              <w:t>Porcentaje de encargados de la adopción de políticas, funcionarios gubernamentales, profesionales de la P.I. y participantes en talleres con un mayor conocimiento del PCT y los temas conexos</w:t>
            </w:r>
          </w:p>
        </w:tc>
        <w:tc>
          <w:tcPr>
            <w:tcW w:w="1002" w:type="pct"/>
            <w:gridSpan w:val="2"/>
            <w:tcBorders>
              <w:top w:val="nil"/>
              <w:left w:val="nil"/>
              <w:bottom w:val="single" w:sz="4" w:space="0" w:color="auto"/>
              <w:right w:val="nil"/>
            </w:tcBorders>
            <w:shd w:val="clear" w:color="auto" w:fill="auto"/>
          </w:tcPr>
          <w:p w:rsidR="001C19F7" w:rsidRPr="00867291" w:rsidRDefault="001C19F7" w:rsidP="008B1CDA">
            <w:pPr>
              <w:rPr>
                <w:color w:val="000000" w:themeColor="text1"/>
                <w:sz w:val="16"/>
                <w:szCs w:val="16"/>
              </w:rPr>
            </w:pPr>
          </w:p>
          <w:p w:rsidR="001C19F7" w:rsidRPr="00867291" w:rsidRDefault="001C19F7" w:rsidP="008B1CDA">
            <w:pPr>
              <w:rPr>
                <w:color w:val="000000" w:themeColor="text1"/>
                <w:sz w:val="16"/>
                <w:szCs w:val="16"/>
              </w:rPr>
            </w:pPr>
            <w:proofErr w:type="spellStart"/>
            <w:r w:rsidRPr="00867291">
              <w:rPr>
                <w:color w:val="000000" w:themeColor="text1"/>
                <w:sz w:val="16"/>
              </w:rPr>
              <w:t>N.d</w:t>
            </w:r>
            <w:proofErr w:type="spellEnd"/>
            <w:r w:rsidRPr="00867291">
              <w:rPr>
                <w:color w:val="000000" w:themeColor="text1"/>
                <w:sz w:val="16"/>
              </w:rPr>
              <w:t>. (OOB)</w:t>
            </w:r>
          </w:p>
          <w:p w:rsidR="001C19F7" w:rsidRPr="00867291" w:rsidRDefault="001C19F7" w:rsidP="008B1CDA">
            <w:pPr>
              <w:rPr>
                <w:color w:val="000000" w:themeColor="text1"/>
                <w:sz w:val="8"/>
                <w:szCs w:val="8"/>
              </w:rPr>
            </w:pPr>
          </w:p>
          <w:p w:rsidR="001C19F7" w:rsidRPr="00867291" w:rsidRDefault="001C19F7" w:rsidP="008B1CDA">
            <w:pPr>
              <w:rPr>
                <w:color w:val="000000" w:themeColor="text1"/>
                <w:sz w:val="16"/>
                <w:szCs w:val="16"/>
              </w:rPr>
            </w:pPr>
            <w:proofErr w:type="spellStart"/>
            <w:r w:rsidRPr="00867291">
              <w:rPr>
                <w:color w:val="000000" w:themeColor="text1"/>
                <w:sz w:val="16"/>
              </w:rPr>
              <w:t>N.d</w:t>
            </w:r>
            <w:proofErr w:type="spellEnd"/>
            <w:r w:rsidRPr="00867291">
              <w:rPr>
                <w:color w:val="000000" w:themeColor="text1"/>
                <w:sz w:val="16"/>
              </w:rPr>
              <w:t>. (OOJ)</w:t>
            </w:r>
          </w:p>
          <w:p w:rsidR="001C19F7" w:rsidRPr="00867291" w:rsidRDefault="001C19F7" w:rsidP="008B1CDA">
            <w:pPr>
              <w:rPr>
                <w:color w:val="000000" w:themeColor="text1"/>
                <w:sz w:val="8"/>
                <w:szCs w:val="8"/>
              </w:rPr>
            </w:pPr>
          </w:p>
          <w:p w:rsidR="001C19F7" w:rsidRPr="00867291" w:rsidRDefault="001C19F7" w:rsidP="008B1CDA">
            <w:pPr>
              <w:rPr>
                <w:color w:val="000000" w:themeColor="text1"/>
                <w:sz w:val="16"/>
                <w:szCs w:val="16"/>
              </w:rPr>
            </w:pPr>
            <w:proofErr w:type="spellStart"/>
            <w:r w:rsidRPr="00867291">
              <w:rPr>
                <w:color w:val="000000" w:themeColor="text1"/>
                <w:sz w:val="16"/>
              </w:rPr>
              <w:t>N.d</w:t>
            </w:r>
            <w:proofErr w:type="spellEnd"/>
            <w:r w:rsidRPr="00867291">
              <w:rPr>
                <w:color w:val="000000" w:themeColor="text1"/>
                <w:sz w:val="16"/>
              </w:rPr>
              <w:t>. (OOS)</w:t>
            </w:r>
          </w:p>
        </w:tc>
        <w:tc>
          <w:tcPr>
            <w:tcW w:w="642" w:type="pct"/>
            <w:gridSpan w:val="2"/>
            <w:tcBorders>
              <w:top w:val="nil"/>
              <w:left w:val="nil"/>
              <w:bottom w:val="single" w:sz="4" w:space="0" w:color="auto"/>
              <w:right w:val="nil"/>
            </w:tcBorders>
            <w:shd w:val="clear" w:color="auto" w:fill="auto"/>
            <w:tcMar>
              <w:top w:w="110" w:type="dxa"/>
            </w:tcMar>
          </w:tcPr>
          <w:p w:rsidR="001C19F7" w:rsidRPr="00867291" w:rsidRDefault="001C19F7" w:rsidP="008B1CDA">
            <w:pPr>
              <w:rPr>
                <w:color w:val="000000" w:themeColor="text1"/>
                <w:sz w:val="4"/>
                <w:szCs w:val="4"/>
              </w:rPr>
            </w:pPr>
          </w:p>
          <w:p w:rsidR="001C19F7" w:rsidRPr="00867291" w:rsidRDefault="001C19F7" w:rsidP="008B1CDA">
            <w:pPr>
              <w:rPr>
                <w:color w:val="000000" w:themeColor="text1"/>
                <w:sz w:val="12"/>
                <w:szCs w:val="12"/>
              </w:rPr>
            </w:pPr>
          </w:p>
          <w:p w:rsidR="001C19F7" w:rsidRPr="00867291" w:rsidRDefault="001C19F7" w:rsidP="008B1CDA">
            <w:pPr>
              <w:rPr>
                <w:color w:val="000000" w:themeColor="text1"/>
                <w:sz w:val="16"/>
                <w:szCs w:val="16"/>
              </w:rPr>
            </w:pPr>
            <w:r w:rsidRPr="00867291">
              <w:rPr>
                <w:color w:val="000000" w:themeColor="text1"/>
                <w:sz w:val="16"/>
              </w:rPr>
              <w:t>75% (OOB)</w:t>
            </w:r>
          </w:p>
          <w:p w:rsidR="001C19F7" w:rsidRPr="00867291" w:rsidRDefault="001C19F7" w:rsidP="008B1CDA">
            <w:pPr>
              <w:rPr>
                <w:color w:val="000000" w:themeColor="text1"/>
                <w:sz w:val="16"/>
                <w:szCs w:val="16"/>
              </w:rPr>
            </w:pPr>
          </w:p>
          <w:p w:rsidR="001C19F7" w:rsidRPr="00867291" w:rsidRDefault="001C19F7" w:rsidP="008B1CDA">
            <w:pPr>
              <w:rPr>
                <w:color w:val="000000" w:themeColor="text1"/>
                <w:sz w:val="16"/>
                <w:szCs w:val="16"/>
              </w:rPr>
            </w:pPr>
            <w:r w:rsidRPr="00867291">
              <w:rPr>
                <w:color w:val="000000" w:themeColor="text1"/>
                <w:sz w:val="16"/>
              </w:rPr>
              <w:t>75% (OOJ)</w:t>
            </w:r>
          </w:p>
          <w:p w:rsidR="001C19F7" w:rsidRPr="00867291" w:rsidRDefault="001C19F7" w:rsidP="008B1CDA">
            <w:pPr>
              <w:rPr>
                <w:color w:val="000000" w:themeColor="text1"/>
                <w:sz w:val="16"/>
                <w:szCs w:val="16"/>
              </w:rPr>
            </w:pPr>
          </w:p>
          <w:p w:rsidR="001C19F7" w:rsidRPr="00867291" w:rsidRDefault="001C19F7" w:rsidP="008B1CDA">
            <w:pPr>
              <w:rPr>
                <w:color w:val="000000" w:themeColor="text1"/>
                <w:sz w:val="16"/>
                <w:szCs w:val="16"/>
              </w:rPr>
            </w:pPr>
            <w:r w:rsidRPr="00867291">
              <w:rPr>
                <w:color w:val="000000" w:themeColor="text1"/>
                <w:sz w:val="16"/>
              </w:rPr>
              <w:t>75% (OOS)</w:t>
            </w:r>
          </w:p>
        </w:tc>
        <w:tc>
          <w:tcPr>
            <w:tcW w:w="1562" w:type="pct"/>
            <w:gridSpan w:val="5"/>
            <w:tcBorders>
              <w:top w:val="nil"/>
              <w:left w:val="nil"/>
              <w:bottom w:val="single" w:sz="4" w:space="0" w:color="auto"/>
              <w:right w:val="nil"/>
            </w:tcBorders>
            <w:shd w:val="clear" w:color="auto" w:fill="FFFFFF"/>
            <w:tcMar>
              <w:top w:w="110" w:type="dxa"/>
            </w:tcMa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708"/>
              <w:gridCol w:w="720"/>
              <w:gridCol w:w="720"/>
            </w:tblGrid>
            <w:tr w:rsidR="001C19F7" w:rsidRPr="00867291" w:rsidTr="008B1CDA">
              <w:trPr>
                <w:trHeight w:val="20"/>
              </w:trPr>
              <w:tc>
                <w:tcPr>
                  <w:tcW w:w="708" w:type="dxa"/>
                </w:tcPr>
                <w:p w:rsidR="001C19F7" w:rsidRPr="00867291" w:rsidRDefault="001C19F7" w:rsidP="008B1CDA">
                  <w:pPr>
                    <w:jc w:val="center"/>
                    <w:rPr>
                      <w:color w:val="000000" w:themeColor="text1"/>
                      <w:sz w:val="16"/>
                      <w:szCs w:val="16"/>
                    </w:rPr>
                  </w:pPr>
                </w:p>
              </w:tc>
              <w:tc>
                <w:tcPr>
                  <w:tcW w:w="720" w:type="dxa"/>
                  <w:vAlign w:val="bottom"/>
                </w:tcPr>
                <w:p w:rsidR="001C19F7" w:rsidRPr="00867291" w:rsidRDefault="001C19F7" w:rsidP="008B1CDA">
                  <w:pPr>
                    <w:jc w:val="center"/>
                    <w:rPr>
                      <w:color w:val="000000" w:themeColor="text1"/>
                      <w:sz w:val="16"/>
                      <w:szCs w:val="16"/>
                    </w:rPr>
                  </w:pPr>
                  <w:r w:rsidRPr="00867291">
                    <w:rPr>
                      <w:color w:val="000000" w:themeColor="text1"/>
                      <w:sz w:val="16"/>
                    </w:rPr>
                    <w:t>2014</w:t>
                  </w:r>
                </w:p>
              </w:tc>
              <w:tc>
                <w:tcPr>
                  <w:tcW w:w="720" w:type="dxa"/>
                  <w:vAlign w:val="bottom"/>
                </w:tcPr>
                <w:p w:rsidR="001C19F7" w:rsidRPr="00867291" w:rsidRDefault="001C19F7" w:rsidP="008B1CDA">
                  <w:pPr>
                    <w:jc w:val="center"/>
                    <w:rPr>
                      <w:color w:val="000000" w:themeColor="text1"/>
                      <w:sz w:val="16"/>
                      <w:szCs w:val="16"/>
                    </w:rPr>
                  </w:pPr>
                  <w:r w:rsidRPr="00867291">
                    <w:rPr>
                      <w:color w:val="000000" w:themeColor="text1"/>
                      <w:sz w:val="16"/>
                    </w:rPr>
                    <w:t>2015</w:t>
                  </w:r>
                </w:p>
              </w:tc>
            </w:tr>
            <w:tr w:rsidR="001C19F7" w:rsidRPr="00867291" w:rsidTr="008B1CDA">
              <w:trPr>
                <w:trHeight w:val="216"/>
              </w:trPr>
              <w:tc>
                <w:tcPr>
                  <w:tcW w:w="708" w:type="dxa"/>
                  <w:vAlign w:val="center"/>
                </w:tcPr>
                <w:p w:rsidR="001C19F7" w:rsidRPr="00867291" w:rsidRDefault="001C19F7" w:rsidP="008B1CDA">
                  <w:pPr>
                    <w:jc w:val="center"/>
                    <w:rPr>
                      <w:color w:val="000000" w:themeColor="text1"/>
                      <w:sz w:val="16"/>
                      <w:szCs w:val="16"/>
                    </w:rPr>
                  </w:pPr>
                  <w:r w:rsidRPr="00867291">
                    <w:rPr>
                      <w:color w:val="000000" w:themeColor="text1"/>
                      <w:sz w:val="16"/>
                    </w:rPr>
                    <w:t>OOB</w:t>
                  </w:r>
                </w:p>
              </w:tc>
              <w:tc>
                <w:tcPr>
                  <w:tcW w:w="720" w:type="dxa"/>
                  <w:vAlign w:val="center"/>
                </w:tcPr>
                <w:p w:rsidR="001C19F7" w:rsidRPr="00867291" w:rsidRDefault="001C19F7" w:rsidP="008B1CDA">
                  <w:pPr>
                    <w:jc w:val="center"/>
                    <w:rPr>
                      <w:color w:val="000000" w:themeColor="text1"/>
                      <w:sz w:val="16"/>
                      <w:szCs w:val="16"/>
                    </w:rPr>
                  </w:pPr>
                  <w:r w:rsidRPr="00867291">
                    <w:rPr>
                      <w:color w:val="000000" w:themeColor="text1"/>
                      <w:sz w:val="16"/>
                    </w:rPr>
                    <w:t>80%</w:t>
                  </w:r>
                </w:p>
              </w:tc>
              <w:tc>
                <w:tcPr>
                  <w:tcW w:w="720" w:type="dxa"/>
                  <w:vAlign w:val="center"/>
                </w:tcPr>
                <w:p w:rsidR="001C19F7" w:rsidRPr="00867291" w:rsidRDefault="001C19F7" w:rsidP="008B1CDA">
                  <w:pPr>
                    <w:jc w:val="center"/>
                    <w:rPr>
                      <w:color w:val="000000" w:themeColor="text1"/>
                      <w:sz w:val="16"/>
                      <w:szCs w:val="16"/>
                    </w:rPr>
                  </w:pPr>
                  <w:r w:rsidRPr="00867291">
                    <w:rPr>
                      <w:color w:val="000000" w:themeColor="text1"/>
                      <w:sz w:val="16"/>
                    </w:rPr>
                    <w:t>75%</w:t>
                  </w:r>
                </w:p>
              </w:tc>
            </w:tr>
            <w:tr w:rsidR="001C19F7" w:rsidRPr="00867291" w:rsidTr="008B1CDA">
              <w:trPr>
                <w:trHeight w:val="441"/>
              </w:trPr>
              <w:tc>
                <w:tcPr>
                  <w:tcW w:w="708" w:type="dxa"/>
                  <w:vAlign w:val="center"/>
                </w:tcPr>
                <w:p w:rsidR="001C19F7" w:rsidRPr="00867291" w:rsidRDefault="001C19F7" w:rsidP="008B1CDA">
                  <w:pPr>
                    <w:jc w:val="center"/>
                    <w:rPr>
                      <w:color w:val="000000" w:themeColor="text1"/>
                      <w:sz w:val="16"/>
                      <w:szCs w:val="16"/>
                    </w:rPr>
                  </w:pPr>
                  <w:r w:rsidRPr="00867291">
                    <w:rPr>
                      <w:color w:val="000000" w:themeColor="text1"/>
                      <w:sz w:val="16"/>
                    </w:rPr>
                    <w:t>OOJ</w:t>
                  </w:r>
                </w:p>
              </w:tc>
              <w:tc>
                <w:tcPr>
                  <w:tcW w:w="720" w:type="dxa"/>
                  <w:vAlign w:val="center"/>
                </w:tcPr>
                <w:p w:rsidR="001C19F7" w:rsidRPr="00867291" w:rsidRDefault="001C19F7" w:rsidP="008B1CDA">
                  <w:pPr>
                    <w:jc w:val="center"/>
                    <w:rPr>
                      <w:color w:val="000000" w:themeColor="text1"/>
                      <w:sz w:val="16"/>
                      <w:szCs w:val="16"/>
                    </w:rPr>
                  </w:pPr>
                  <w:r w:rsidRPr="00867291">
                    <w:rPr>
                      <w:color w:val="000000" w:themeColor="text1"/>
                      <w:sz w:val="16"/>
                    </w:rPr>
                    <w:t>94%</w:t>
                  </w:r>
                </w:p>
              </w:tc>
              <w:tc>
                <w:tcPr>
                  <w:tcW w:w="720" w:type="dxa"/>
                  <w:vAlign w:val="center"/>
                </w:tcPr>
                <w:p w:rsidR="001C19F7" w:rsidRPr="00867291" w:rsidRDefault="001C19F7" w:rsidP="008B1CDA">
                  <w:pPr>
                    <w:jc w:val="center"/>
                    <w:rPr>
                      <w:color w:val="000000" w:themeColor="text1"/>
                      <w:sz w:val="16"/>
                      <w:szCs w:val="16"/>
                    </w:rPr>
                  </w:pPr>
                  <w:r w:rsidRPr="00867291">
                    <w:rPr>
                      <w:color w:val="000000" w:themeColor="text1"/>
                      <w:sz w:val="16"/>
                    </w:rPr>
                    <w:t>91%</w:t>
                  </w:r>
                </w:p>
              </w:tc>
            </w:tr>
            <w:tr w:rsidR="001C19F7" w:rsidRPr="00867291" w:rsidTr="008B1CDA">
              <w:trPr>
                <w:trHeight w:val="288"/>
              </w:trPr>
              <w:tc>
                <w:tcPr>
                  <w:tcW w:w="708" w:type="dxa"/>
                  <w:vAlign w:val="center"/>
                </w:tcPr>
                <w:p w:rsidR="001C19F7" w:rsidRPr="00867291" w:rsidRDefault="001C19F7" w:rsidP="008B1CDA">
                  <w:pPr>
                    <w:jc w:val="center"/>
                    <w:rPr>
                      <w:color w:val="000000" w:themeColor="text1"/>
                      <w:sz w:val="16"/>
                      <w:szCs w:val="16"/>
                    </w:rPr>
                  </w:pPr>
                  <w:r w:rsidRPr="00867291">
                    <w:rPr>
                      <w:color w:val="000000" w:themeColor="text1"/>
                      <w:sz w:val="16"/>
                    </w:rPr>
                    <w:t>OOS</w:t>
                  </w:r>
                </w:p>
              </w:tc>
              <w:tc>
                <w:tcPr>
                  <w:tcW w:w="720" w:type="dxa"/>
                  <w:vAlign w:val="center"/>
                </w:tcPr>
                <w:p w:rsidR="001C19F7" w:rsidRPr="00867291" w:rsidRDefault="001C19F7" w:rsidP="008B1CDA">
                  <w:pPr>
                    <w:jc w:val="center"/>
                    <w:rPr>
                      <w:color w:val="000000" w:themeColor="text1"/>
                      <w:sz w:val="16"/>
                      <w:szCs w:val="16"/>
                    </w:rPr>
                  </w:pPr>
                  <w:r w:rsidRPr="00867291">
                    <w:rPr>
                      <w:color w:val="000000" w:themeColor="text1"/>
                      <w:sz w:val="16"/>
                    </w:rPr>
                    <w:t>93%</w:t>
                  </w:r>
                </w:p>
              </w:tc>
              <w:tc>
                <w:tcPr>
                  <w:tcW w:w="720" w:type="dxa"/>
                  <w:vAlign w:val="center"/>
                </w:tcPr>
                <w:p w:rsidR="001C19F7" w:rsidRPr="00867291" w:rsidRDefault="001C19F7" w:rsidP="008B1CDA">
                  <w:pPr>
                    <w:jc w:val="center"/>
                    <w:rPr>
                      <w:color w:val="000000" w:themeColor="text1"/>
                      <w:sz w:val="16"/>
                      <w:szCs w:val="16"/>
                    </w:rPr>
                  </w:pPr>
                  <w:r w:rsidRPr="00867291">
                    <w:rPr>
                      <w:color w:val="000000" w:themeColor="text1"/>
                      <w:sz w:val="16"/>
                    </w:rPr>
                    <w:t>95%</w:t>
                  </w:r>
                </w:p>
              </w:tc>
            </w:tr>
          </w:tbl>
          <w:p w:rsidR="001C19F7" w:rsidRPr="00867291" w:rsidRDefault="001C19F7" w:rsidP="008B1CDA">
            <w:pPr>
              <w:rPr>
                <w:color w:val="000000" w:themeColor="text1"/>
                <w:sz w:val="16"/>
                <w:szCs w:val="16"/>
              </w:rPr>
            </w:pPr>
          </w:p>
        </w:tc>
        <w:tc>
          <w:tcPr>
            <w:tcW w:w="681" w:type="pct"/>
            <w:gridSpan w:val="4"/>
            <w:tcBorders>
              <w:top w:val="nil"/>
              <w:left w:val="nil"/>
              <w:bottom w:val="single" w:sz="4" w:space="0" w:color="auto"/>
              <w:right w:val="single" w:sz="4" w:space="0" w:color="auto"/>
            </w:tcBorders>
            <w:shd w:val="clear" w:color="auto" w:fill="auto"/>
            <w:tcMar>
              <w:top w:w="110" w:type="dxa"/>
            </w:tcMar>
          </w:tcPr>
          <w:p w:rsidR="001C19F7" w:rsidRPr="00867291" w:rsidRDefault="001C19F7" w:rsidP="008B1CDA">
            <w:pPr>
              <w:keepNext/>
              <w:keepLines/>
              <w:ind w:left="71" w:right="20"/>
              <w:jc w:val="center"/>
              <w:rPr>
                <w:b/>
                <w:bCs/>
                <w:color w:val="000000" w:themeColor="text1"/>
                <w:sz w:val="8"/>
                <w:szCs w:val="8"/>
              </w:rPr>
            </w:pPr>
          </w:p>
          <w:p w:rsidR="001C19F7" w:rsidRPr="002265C0" w:rsidRDefault="00044DA1" w:rsidP="008B1CDA">
            <w:pPr>
              <w:keepNext/>
              <w:keepLines/>
              <w:ind w:left="-117" w:right="20"/>
              <w:jc w:val="center"/>
              <w:rPr>
                <w:b/>
                <w:bCs/>
                <w:color w:val="00B050"/>
                <w:sz w:val="16"/>
                <w:szCs w:val="16"/>
              </w:rPr>
            </w:pPr>
            <w:r>
              <w:rPr>
                <w:b/>
                <w:bCs/>
                <w:color w:val="00B050"/>
                <w:sz w:val="16"/>
                <w:szCs w:val="16"/>
              </w:rPr>
              <w:t>Plenamente logrado</w:t>
            </w:r>
          </w:p>
          <w:p w:rsidR="001C19F7" w:rsidRPr="002265C0" w:rsidRDefault="00044DA1" w:rsidP="008B1CDA">
            <w:pPr>
              <w:keepNext/>
              <w:keepLines/>
              <w:ind w:left="-117" w:right="20"/>
              <w:jc w:val="center"/>
              <w:rPr>
                <w:b/>
                <w:bCs/>
                <w:color w:val="00B050"/>
                <w:sz w:val="16"/>
                <w:szCs w:val="16"/>
              </w:rPr>
            </w:pPr>
            <w:r>
              <w:rPr>
                <w:b/>
                <w:bCs/>
                <w:color w:val="00B050"/>
                <w:sz w:val="16"/>
                <w:szCs w:val="16"/>
              </w:rPr>
              <w:t>Plenamente logrado</w:t>
            </w:r>
          </w:p>
          <w:p w:rsidR="001C19F7" w:rsidRPr="00867291" w:rsidRDefault="00044DA1" w:rsidP="008B1CDA">
            <w:pPr>
              <w:keepNext/>
              <w:keepLines/>
              <w:ind w:left="-117" w:right="20"/>
              <w:jc w:val="center"/>
              <w:rPr>
                <w:b/>
                <w:bCs/>
                <w:color w:val="000000" w:themeColor="text1"/>
                <w:sz w:val="16"/>
                <w:szCs w:val="16"/>
              </w:rPr>
            </w:pPr>
            <w:r>
              <w:rPr>
                <w:b/>
                <w:bCs/>
                <w:color w:val="00B050"/>
                <w:sz w:val="16"/>
                <w:szCs w:val="16"/>
              </w:rPr>
              <w:t>Plenamente logrado</w:t>
            </w:r>
          </w:p>
        </w:tc>
      </w:tr>
      <w:tr w:rsidR="001C19F7" w:rsidRPr="00867291" w:rsidTr="008B1CDA">
        <w:tc>
          <w:tcPr>
            <w:tcW w:w="5000" w:type="pct"/>
            <w:gridSpan w:val="15"/>
            <w:tcBorders>
              <w:top w:val="single" w:sz="4" w:space="0" w:color="auto"/>
              <w:bottom w:val="single" w:sz="4" w:space="0" w:color="auto"/>
            </w:tcBorders>
            <w:shd w:val="clear" w:color="auto" w:fill="C6D9F1" w:themeFill="text2" w:themeFillTint="33"/>
          </w:tcPr>
          <w:p w:rsidR="001C19F7" w:rsidRPr="00867291" w:rsidRDefault="001C19F7" w:rsidP="008764EF">
            <w:pPr>
              <w:spacing w:before="120" w:after="120"/>
              <w:ind w:left="1985" w:hanging="1985"/>
              <w:rPr>
                <w:b/>
                <w:bCs/>
                <w:color w:val="000000" w:themeColor="text1"/>
                <w:sz w:val="16"/>
                <w:szCs w:val="16"/>
              </w:rPr>
            </w:pPr>
            <w:r w:rsidRPr="00867291">
              <w:rPr>
                <w:b/>
                <w:color w:val="000000" w:themeColor="text1"/>
                <w:sz w:val="16"/>
              </w:rPr>
              <w:t>Resultado previsto:</w:t>
            </w:r>
            <w:r w:rsidRPr="00867291">
              <w:rPr>
                <w:color w:val="000000" w:themeColor="text1"/>
              </w:rPr>
              <w:tab/>
            </w:r>
            <w:r w:rsidRPr="00867291">
              <w:rPr>
                <w:color w:val="000000" w:themeColor="text1"/>
                <w:sz w:val="16"/>
              </w:rPr>
              <w:t>II.4 Mayor y más eficaz utilización del Sistema de La Haya</w:t>
            </w:r>
            <w:r>
              <w:rPr>
                <w:color w:val="000000" w:themeColor="text1"/>
                <w:sz w:val="16"/>
              </w:rPr>
              <w:t>, entre otros</w:t>
            </w:r>
            <w:r w:rsidRPr="00867291">
              <w:rPr>
                <w:color w:val="000000" w:themeColor="text1"/>
                <w:sz w:val="16"/>
              </w:rPr>
              <w:t xml:space="preserve"> por los países en desarrollo y los PMA</w:t>
            </w:r>
          </w:p>
        </w:tc>
      </w:tr>
      <w:tr w:rsidR="001C19F7" w:rsidRPr="00867291" w:rsidTr="008764EF">
        <w:tc>
          <w:tcPr>
            <w:tcW w:w="1113" w:type="pct"/>
            <w:gridSpan w:val="2"/>
            <w:tcBorders>
              <w:top w:val="single" w:sz="4" w:space="0" w:color="auto"/>
              <w:left w:val="single" w:sz="4" w:space="0" w:color="auto"/>
              <w:bottom w:val="nil"/>
              <w:right w:val="nil"/>
            </w:tcBorders>
            <w:shd w:val="clear" w:color="auto" w:fill="auto"/>
          </w:tcPr>
          <w:p w:rsidR="001C19F7" w:rsidRPr="00867291" w:rsidRDefault="001C19F7" w:rsidP="008764EF">
            <w:pPr>
              <w:rPr>
                <w:color w:val="000000" w:themeColor="text1"/>
                <w:sz w:val="16"/>
                <w:szCs w:val="16"/>
              </w:rPr>
            </w:pPr>
            <w:r w:rsidRPr="00867291">
              <w:rPr>
                <w:b/>
                <w:color w:val="000000" w:themeColor="text1"/>
                <w:sz w:val="16"/>
              </w:rPr>
              <w:t>Indicadores de rendimiento</w:t>
            </w:r>
          </w:p>
        </w:tc>
        <w:tc>
          <w:tcPr>
            <w:tcW w:w="1002" w:type="pct"/>
            <w:gridSpan w:val="2"/>
            <w:tcBorders>
              <w:top w:val="single" w:sz="4" w:space="0" w:color="auto"/>
              <w:left w:val="nil"/>
              <w:bottom w:val="nil"/>
              <w:right w:val="nil"/>
            </w:tcBorders>
            <w:shd w:val="clear" w:color="auto" w:fill="auto"/>
          </w:tcPr>
          <w:p w:rsidR="001C19F7" w:rsidRPr="00867291" w:rsidRDefault="001C19F7" w:rsidP="008B1CDA">
            <w:pPr>
              <w:keepNext/>
              <w:keepLines/>
              <w:rPr>
                <w:b/>
                <w:bCs/>
                <w:color w:val="000000" w:themeColor="text1"/>
                <w:sz w:val="16"/>
                <w:szCs w:val="16"/>
              </w:rPr>
            </w:pPr>
            <w:r w:rsidRPr="00867291">
              <w:rPr>
                <w:b/>
                <w:color w:val="000000" w:themeColor="text1"/>
                <w:sz w:val="16"/>
              </w:rPr>
              <w:t>Referencia</w:t>
            </w:r>
          </w:p>
        </w:tc>
        <w:tc>
          <w:tcPr>
            <w:tcW w:w="642" w:type="pct"/>
            <w:gridSpan w:val="2"/>
            <w:tcBorders>
              <w:top w:val="single" w:sz="4" w:space="0" w:color="auto"/>
              <w:left w:val="nil"/>
              <w:bottom w:val="nil"/>
              <w:right w:val="nil"/>
            </w:tcBorders>
            <w:shd w:val="clear" w:color="auto" w:fill="auto"/>
            <w:tcMar>
              <w:top w:w="110" w:type="dxa"/>
            </w:tcMar>
          </w:tcPr>
          <w:p w:rsidR="001C19F7" w:rsidRPr="00867291" w:rsidRDefault="001C19F7" w:rsidP="008B1CDA">
            <w:pPr>
              <w:keepNext/>
              <w:keepLines/>
              <w:rPr>
                <w:b/>
                <w:color w:val="000000" w:themeColor="text1"/>
                <w:sz w:val="16"/>
                <w:szCs w:val="16"/>
              </w:rPr>
            </w:pPr>
            <w:r w:rsidRPr="00867291">
              <w:rPr>
                <w:b/>
                <w:color w:val="000000" w:themeColor="text1"/>
                <w:sz w:val="16"/>
              </w:rPr>
              <w:t>Objetivos</w:t>
            </w:r>
          </w:p>
        </w:tc>
        <w:tc>
          <w:tcPr>
            <w:tcW w:w="1562" w:type="pct"/>
            <w:gridSpan w:val="5"/>
            <w:tcBorders>
              <w:top w:val="single" w:sz="4" w:space="0" w:color="auto"/>
              <w:left w:val="nil"/>
              <w:bottom w:val="nil"/>
              <w:right w:val="nil"/>
            </w:tcBorders>
            <w:shd w:val="clear" w:color="auto" w:fill="FFFFFF"/>
            <w:tcMar>
              <w:top w:w="110" w:type="dxa"/>
            </w:tcMar>
          </w:tcPr>
          <w:p w:rsidR="001C19F7" w:rsidRPr="00867291" w:rsidRDefault="001C19F7" w:rsidP="008B1CDA">
            <w:pPr>
              <w:rPr>
                <w:color w:val="000000" w:themeColor="text1"/>
                <w:sz w:val="16"/>
                <w:szCs w:val="16"/>
              </w:rPr>
            </w:pPr>
            <w:r w:rsidRPr="00867291">
              <w:rPr>
                <w:b/>
                <w:color w:val="000000" w:themeColor="text1"/>
                <w:sz w:val="16"/>
              </w:rPr>
              <w:t>Datos sobre el rendimiento</w:t>
            </w:r>
          </w:p>
        </w:tc>
        <w:tc>
          <w:tcPr>
            <w:tcW w:w="681" w:type="pct"/>
            <w:gridSpan w:val="4"/>
            <w:tcBorders>
              <w:top w:val="single" w:sz="4" w:space="0" w:color="auto"/>
              <w:left w:val="nil"/>
              <w:bottom w:val="nil"/>
              <w:right w:val="single" w:sz="4" w:space="0" w:color="auto"/>
            </w:tcBorders>
            <w:shd w:val="clear" w:color="auto" w:fill="auto"/>
            <w:tcMar>
              <w:top w:w="110" w:type="dxa"/>
            </w:tcMar>
          </w:tcPr>
          <w:p w:rsidR="001C19F7" w:rsidRPr="00867291" w:rsidRDefault="001C19F7" w:rsidP="008B1CDA">
            <w:pPr>
              <w:keepNext/>
              <w:keepLines/>
              <w:ind w:left="71" w:right="20"/>
              <w:jc w:val="center"/>
              <w:rPr>
                <w:b/>
                <w:bCs/>
                <w:color w:val="000000" w:themeColor="text1"/>
                <w:sz w:val="16"/>
                <w:szCs w:val="16"/>
              </w:rPr>
            </w:pPr>
            <w:r w:rsidRPr="00867291">
              <w:rPr>
                <w:b/>
                <w:color w:val="000000" w:themeColor="text1"/>
                <w:sz w:val="16"/>
              </w:rPr>
              <w:t>Clave de colores</w:t>
            </w:r>
          </w:p>
        </w:tc>
      </w:tr>
      <w:tr w:rsidR="001C19F7" w:rsidRPr="00867291" w:rsidTr="008764EF">
        <w:trPr>
          <w:trHeight w:val="1042"/>
        </w:trPr>
        <w:tc>
          <w:tcPr>
            <w:tcW w:w="1113" w:type="pct"/>
            <w:gridSpan w:val="2"/>
            <w:tcBorders>
              <w:top w:val="nil"/>
              <w:left w:val="single" w:sz="4" w:space="0" w:color="auto"/>
              <w:bottom w:val="single" w:sz="4" w:space="0" w:color="auto"/>
              <w:right w:val="nil"/>
            </w:tcBorders>
            <w:shd w:val="clear" w:color="auto" w:fill="auto"/>
          </w:tcPr>
          <w:p w:rsidR="001C19F7" w:rsidRPr="00867291" w:rsidRDefault="001C19F7" w:rsidP="008764EF">
            <w:pPr>
              <w:rPr>
                <w:color w:val="000000" w:themeColor="text1"/>
                <w:sz w:val="16"/>
                <w:szCs w:val="16"/>
              </w:rPr>
            </w:pPr>
            <w:r w:rsidRPr="00867291">
              <w:rPr>
                <w:color w:val="000000" w:themeColor="text1"/>
                <w:sz w:val="16"/>
              </w:rPr>
              <w:t>Número de países que han formulado o adoptado políticas en las que se expone su adhesión al Arreglo de La Haya.</w:t>
            </w:r>
          </w:p>
        </w:tc>
        <w:tc>
          <w:tcPr>
            <w:tcW w:w="1002" w:type="pct"/>
            <w:gridSpan w:val="2"/>
            <w:tcBorders>
              <w:top w:val="nil"/>
              <w:left w:val="nil"/>
              <w:bottom w:val="single" w:sz="4" w:space="0" w:color="auto"/>
              <w:right w:val="nil"/>
            </w:tcBorders>
            <w:shd w:val="clear" w:color="auto" w:fill="auto"/>
          </w:tcPr>
          <w:p w:rsidR="001C19F7" w:rsidRPr="00867291" w:rsidRDefault="001C19F7" w:rsidP="008B1CDA">
            <w:pPr>
              <w:rPr>
                <w:color w:val="000000" w:themeColor="text1"/>
                <w:sz w:val="16"/>
                <w:szCs w:val="16"/>
              </w:rPr>
            </w:pPr>
            <w:proofErr w:type="spellStart"/>
            <w:r w:rsidRPr="00194A5F">
              <w:rPr>
                <w:sz w:val="16"/>
                <w:szCs w:val="16"/>
                <w:lang w:val="en-US" w:eastAsia="en-US"/>
              </w:rPr>
              <w:t>N.d.</w:t>
            </w:r>
            <w:proofErr w:type="spellEnd"/>
            <w:r w:rsidRPr="00194A5F">
              <w:rPr>
                <w:sz w:val="16"/>
                <w:szCs w:val="16"/>
                <w:lang w:val="en-US" w:eastAsia="en-US"/>
              </w:rPr>
              <w:t xml:space="preserve"> (OOS)</w:t>
            </w:r>
          </w:p>
          <w:p w:rsidR="001C19F7" w:rsidRPr="00867291" w:rsidRDefault="001C19F7" w:rsidP="008B1CDA">
            <w:pPr>
              <w:keepNext/>
              <w:keepLines/>
              <w:rPr>
                <w:color w:val="000000" w:themeColor="text1"/>
                <w:sz w:val="16"/>
                <w:szCs w:val="16"/>
              </w:rPr>
            </w:pPr>
          </w:p>
        </w:tc>
        <w:tc>
          <w:tcPr>
            <w:tcW w:w="642" w:type="pct"/>
            <w:gridSpan w:val="2"/>
            <w:tcBorders>
              <w:top w:val="nil"/>
              <w:left w:val="nil"/>
              <w:bottom w:val="single" w:sz="4" w:space="0" w:color="auto"/>
              <w:right w:val="nil"/>
            </w:tcBorders>
            <w:shd w:val="clear" w:color="auto" w:fill="auto"/>
            <w:tcMar>
              <w:top w:w="110" w:type="dxa"/>
            </w:tcMar>
          </w:tcPr>
          <w:p w:rsidR="001C19F7" w:rsidRPr="00867291" w:rsidRDefault="001C19F7" w:rsidP="008B1CDA">
            <w:pPr>
              <w:keepNext/>
              <w:keepLines/>
              <w:rPr>
                <w:color w:val="000000" w:themeColor="text1"/>
                <w:sz w:val="16"/>
                <w:szCs w:val="16"/>
              </w:rPr>
            </w:pPr>
            <w:r w:rsidRPr="00867291">
              <w:rPr>
                <w:color w:val="000000" w:themeColor="text1"/>
                <w:sz w:val="16"/>
              </w:rPr>
              <w:t>7 Estados miembros de la ASEAN (OOS)</w:t>
            </w:r>
          </w:p>
        </w:tc>
        <w:tc>
          <w:tcPr>
            <w:tcW w:w="1562" w:type="pct"/>
            <w:gridSpan w:val="5"/>
            <w:tcBorders>
              <w:top w:val="nil"/>
              <w:left w:val="nil"/>
              <w:bottom w:val="single" w:sz="4" w:space="0" w:color="auto"/>
              <w:right w:val="nil"/>
            </w:tcBorders>
            <w:shd w:val="clear" w:color="auto" w:fill="FFFFFF"/>
            <w:tcMar>
              <w:top w:w="110" w:type="dxa"/>
            </w:tcMar>
          </w:tcPr>
          <w:p w:rsidR="001C19F7" w:rsidRPr="00867291" w:rsidRDefault="001C19F7" w:rsidP="008B1CDA">
            <w:pPr>
              <w:rPr>
                <w:color w:val="000000" w:themeColor="text1"/>
                <w:sz w:val="16"/>
                <w:szCs w:val="16"/>
              </w:rPr>
            </w:pPr>
            <w:r w:rsidRPr="00867291">
              <w:rPr>
                <w:color w:val="000000" w:themeColor="text1"/>
                <w:sz w:val="16"/>
              </w:rPr>
              <w:t xml:space="preserve">7 Estados miembros de la ASEAN  (Camboya, Filipinas, Indonesia, Malasia, República Democrática Popular Lao, Tailandia y </w:t>
            </w:r>
            <w:proofErr w:type="spellStart"/>
            <w:r w:rsidRPr="00867291">
              <w:rPr>
                <w:color w:val="000000" w:themeColor="text1"/>
                <w:sz w:val="16"/>
              </w:rPr>
              <w:t>Viet</w:t>
            </w:r>
            <w:proofErr w:type="spellEnd"/>
            <w:r w:rsidRPr="00867291">
              <w:rPr>
                <w:color w:val="000000" w:themeColor="text1"/>
                <w:sz w:val="16"/>
              </w:rPr>
              <w:t xml:space="preserve"> </w:t>
            </w:r>
            <w:proofErr w:type="spellStart"/>
            <w:r w:rsidRPr="00867291">
              <w:rPr>
                <w:color w:val="000000" w:themeColor="text1"/>
                <w:sz w:val="16"/>
              </w:rPr>
              <w:t>Nam</w:t>
            </w:r>
            <w:proofErr w:type="spellEnd"/>
            <w:r w:rsidRPr="00867291">
              <w:rPr>
                <w:color w:val="000000" w:themeColor="text1"/>
                <w:sz w:val="16"/>
              </w:rPr>
              <w:t>)</w:t>
            </w:r>
          </w:p>
        </w:tc>
        <w:tc>
          <w:tcPr>
            <w:tcW w:w="681" w:type="pct"/>
            <w:gridSpan w:val="4"/>
            <w:tcBorders>
              <w:top w:val="nil"/>
              <w:left w:val="nil"/>
              <w:bottom w:val="single" w:sz="4" w:space="0" w:color="auto"/>
              <w:right w:val="single" w:sz="4" w:space="0" w:color="auto"/>
            </w:tcBorders>
            <w:shd w:val="clear" w:color="auto" w:fill="auto"/>
            <w:tcMar>
              <w:top w:w="110" w:type="dxa"/>
            </w:tcMar>
          </w:tcPr>
          <w:p w:rsidR="001C19F7" w:rsidRPr="00867291" w:rsidRDefault="00044DA1" w:rsidP="008B1CDA">
            <w:pPr>
              <w:keepNext/>
              <w:keepLines/>
              <w:ind w:left="-117" w:right="20"/>
              <w:jc w:val="center"/>
              <w:rPr>
                <w:b/>
                <w:bCs/>
                <w:color w:val="000000" w:themeColor="text1"/>
                <w:sz w:val="16"/>
                <w:szCs w:val="16"/>
              </w:rPr>
            </w:pPr>
            <w:proofErr w:type="spellStart"/>
            <w:r>
              <w:rPr>
                <w:b/>
                <w:bCs/>
                <w:color w:val="00B050"/>
                <w:sz w:val="16"/>
                <w:szCs w:val="16"/>
                <w:lang w:val="en-US"/>
              </w:rPr>
              <w:t>Plenamente</w:t>
            </w:r>
            <w:proofErr w:type="spellEnd"/>
            <w:r>
              <w:rPr>
                <w:b/>
                <w:bCs/>
                <w:color w:val="00B050"/>
                <w:sz w:val="16"/>
                <w:szCs w:val="16"/>
                <w:lang w:val="en-US"/>
              </w:rPr>
              <w:t xml:space="preserve"> </w:t>
            </w:r>
            <w:proofErr w:type="spellStart"/>
            <w:r>
              <w:rPr>
                <w:b/>
                <w:bCs/>
                <w:color w:val="00B050"/>
                <w:sz w:val="16"/>
                <w:szCs w:val="16"/>
                <w:lang w:val="en-US"/>
              </w:rPr>
              <w:t>logrado</w:t>
            </w:r>
            <w:proofErr w:type="spellEnd"/>
          </w:p>
        </w:tc>
      </w:tr>
      <w:tr w:rsidR="001C19F7" w:rsidRPr="00867291" w:rsidTr="008764EF">
        <w:tc>
          <w:tcPr>
            <w:tcW w:w="1113" w:type="pct"/>
            <w:gridSpan w:val="2"/>
            <w:tcBorders>
              <w:top w:val="single" w:sz="4" w:space="0" w:color="auto"/>
              <w:left w:val="single" w:sz="4" w:space="0" w:color="auto"/>
              <w:bottom w:val="nil"/>
              <w:right w:val="nil"/>
            </w:tcBorders>
            <w:shd w:val="clear" w:color="auto" w:fill="auto"/>
          </w:tcPr>
          <w:p w:rsidR="001C19F7" w:rsidRPr="00867291" w:rsidRDefault="001C19F7" w:rsidP="008764EF">
            <w:pPr>
              <w:keepNext/>
              <w:rPr>
                <w:color w:val="000000" w:themeColor="text1"/>
                <w:sz w:val="16"/>
                <w:szCs w:val="16"/>
              </w:rPr>
            </w:pPr>
            <w:r w:rsidRPr="00867291">
              <w:rPr>
                <w:color w:val="000000" w:themeColor="text1"/>
                <w:sz w:val="16"/>
              </w:rPr>
              <w:lastRenderedPageBreak/>
              <w:t>Porcentaje de encargados de la adopción de políticas, funcionarios gubernamentales, profesionales de la P.I. y participantes en talleres con un mayor conocimiento del sistema de La Haya.</w:t>
            </w:r>
          </w:p>
        </w:tc>
        <w:tc>
          <w:tcPr>
            <w:tcW w:w="1002" w:type="pct"/>
            <w:gridSpan w:val="2"/>
            <w:tcBorders>
              <w:top w:val="single" w:sz="4" w:space="0" w:color="auto"/>
              <w:left w:val="nil"/>
              <w:bottom w:val="nil"/>
              <w:right w:val="nil"/>
            </w:tcBorders>
            <w:shd w:val="clear" w:color="auto" w:fill="auto"/>
          </w:tcPr>
          <w:p w:rsidR="001C19F7" w:rsidRPr="00867291" w:rsidRDefault="001C19F7" w:rsidP="008764EF">
            <w:pPr>
              <w:keepNext/>
              <w:rPr>
                <w:color w:val="000000" w:themeColor="text1"/>
                <w:sz w:val="16"/>
                <w:szCs w:val="16"/>
              </w:rPr>
            </w:pPr>
            <w:proofErr w:type="spellStart"/>
            <w:r w:rsidRPr="00867291">
              <w:rPr>
                <w:color w:val="000000" w:themeColor="text1"/>
                <w:sz w:val="16"/>
              </w:rPr>
              <w:t>N.d</w:t>
            </w:r>
            <w:proofErr w:type="spellEnd"/>
            <w:r w:rsidRPr="00867291">
              <w:rPr>
                <w:color w:val="000000" w:themeColor="text1"/>
                <w:sz w:val="16"/>
              </w:rPr>
              <w:t>. (OOB)</w:t>
            </w:r>
          </w:p>
          <w:p w:rsidR="001C19F7" w:rsidRPr="00867291" w:rsidRDefault="001C19F7" w:rsidP="008764EF">
            <w:pPr>
              <w:keepNext/>
              <w:rPr>
                <w:color w:val="000000" w:themeColor="text1"/>
                <w:sz w:val="16"/>
                <w:szCs w:val="16"/>
              </w:rPr>
            </w:pPr>
            <w:proofErr w:type="spellStart"/>
            <w:r w:rsidRPr="00867291">
              <w:rPr>
                <w:color w:val="000000" w:themeColor="text1"/>
                <w:sz w:val="16"/>
              </w:rPr>
              <w:t>N.d</w:t>
            </w:r>
            <w:proofErr w:type="spellEnd"/>
            <w:r w:rsidRPr="00867291">
              <w:rPr>
                <w:color w:val="000000" w:themeColor="text1"/>
                <w:sz w:val="16"/>
              </w:rPr>
              <w:t>. (OOJ)</w:t>
            </w:r>
          </w:p>
          <w:p w:rsidR="001C19F7" w:rsidRPr="00867291" w:rsidDel="00436D89" w:rsidRDefault="001C19F7" w:rsidP="008764EF">
            <w:pPr>
              <w:keepNext/>
              <w:rPr>
                <w:i/>
                <w:color w:val="000000" w:themeColor="text1"/>
                <w:sz w:val="16"/>
                <w:szCs w:val="16"/>
              </w:rPr>
            </w:pPr>
            <w:proofErr w:type="spellStart"/>
            <w:r w:rsidRPr="00867291">
              <w:rPr>
                <w:color w:val="000000" w:themeColor="text1"/>
                <w:sz w:val="16"/>
              </w:rPr>
              <w:t>N.d</w:t>
            </w:r>
            <w:proofErr w:type="spellEnd"/>
            <w:r w:rsidRPr="00867291">
              <w:rPr>
                <w:color w:val="000000" w:themeColor="text1"/>
                <w:sz w:val="16"/>
              </w:rPr>
              <w:t>. (OOS)</w:t>
            </w:r>
          </w:p>
        </w:tc>
        <w:tc>
          <w:tcPr>
            <w:tcW w:w="642" w:type="pct"/>
            <w:gridSpan w:val="2"/>
            <w:tcBorders>
              <w:top w:val="single" w:sz="4" w:space="0" w:color="auto"/>
              <w:left w:val="nil"/>
              <w:bottom w:val="nil"/>
              <w:right w:val="nil"/>
            </w:tcBorders>
            <w:shd w:val="clear" w:color="auto" w:fill="auto"/>
            <w:tcMar>
              <w:top w:w="110" w:type="dxa"/>
            </w:tcMar>
          </w:tcPr>
          <w:p w:rsidR="001C19F7" w:rsidRPr="00867291" w:rsidRDefault="001C19F7" w:rsidP="008764EF">
            <w:pPr>
              <w:keepNext/>
              <w:rPr>
                <w:color w:val="000000" w:themeColor="text1"/>
                <w:sz w:val="16"/>
                <w:szCs w:val="16"/>
              </w:rPr>
            </w:pPr>
            <w:r w:rsidRPr="00867291">
              <w:rPr>
                <w:color w:val="000000" w:themeColor="text1"/>
                <w:sz w:val="16"/>
              </w:rPr>
              <w:t>75% (OOB)</w:t>
            </w:r>
          </w:p>
          <w:p w:rsidR="001C19F7" w:rsidRPr="00867291" w:rsidRDefault="001C19F7" w:rsidP="008764EF">
            <w:pPr>
              <w:keepNext/>
              <w:rPr>
                <w:color w:val="000000" w:themeColor="text1"/>
                <w:sz w:val="16"/>
                <w:szCs w:val="16"/>
              </w:rPr>
            </w:pPr>
          </w:p>
          <w:p w:rsidR="001C19F7" w:rsidRPr="00867291" w:rsidRDefault="001C19F7" w:rsidP="008764EF">
            <w:pPr>
              <w:keepNext/>
              <w:rPr>
                <w:color w:val="000000" w:themeColor="text1"/>
                <w:sz w:val="16"/>
                <w:szCs w:val="16"/>
              </w:rPr>
            </w:pPr>
            <w:r w:rsidRPr="00867291">
              <w:rPr>
                <w:color w:val="000000" w:themeColor="text1"/>
                <w:sz w:val="16"/>
              </w:rPr>
              <w:t>75% (OOJ)</w:t>
            </w:r>
          </w:p>
          <w:p w:rsidR="001C19F7" w:rsidRPr="00867291" w:rsidRDefault="001C19F7" w:rsidP="008764EF">
            <w:pPr>
              <w:keepNext/>
              <w:rPr>
                <w:color w:val="000000" w:themeColor="text1"/>
                <w:sz w:val="16"/>
                <w:szCs w:val="16"/>
              </w:rPr>
            </w:pPr>
          </w:p>
          <w:p w:rsidR="001C19F7" w:rsidRPr="00867291" w:rsidRDefault="001C19F7" w:rsidP="008764EF">
            <w:pPr>
              <w:keepNext/>
              <w:rPr>
                <w:color w:val="000000" w:themeColor="text1"/>
                <w:sz w:val="16"/>
                <w:szCs w:val="16"/>
              </w:rPr>
            </w:pPr>
            <w:r w:rsidRPr="00867291">
              <w:rPr>
                <w:color w:val="000000" w:themeColor="text1"/>
                <w:sz w:val="16"/>
              </w:rPr>
              <w:t>75% (OOS)</w:t>
            </w:r>
          </w:p>
          <w:p w:rsidR="001C19F7" w:rsidRPr="00867291" w:rsidRDefault="001C19F7" w:rsidP="008764EF">
            <w:pPr>
              <w:keepNext/>
              <w:rPr>
                <w:color w:val="000000" w:themeColor="text1"/>
                <w:sz w:val="16"/>
                <w:szCs w:val="16"/>
              </w:rPr>
            </w:pPr>
          </w:p>
          <w:p w:rsidR="001C19F7" w:rsidRPr="00867291" w:rsidRDefault="001C19F7" w:rsidP="008764EF">
            <w:pPr>
              <w:keepNext/>
              <w:rPr>
                <w:color w:val="000000" w:themeColor="text1"/>
                <w:sz w:val="16"/>
                <w:szCs w:val="16"/>
              </w:rPr>
            </w:pPr>
          </w:p>
        </w:tc>
        <w:tc>
          <w:tcPr>
            <w:tcW w:w="1562" w:type="pct"/>
            <w:gridSpan w:val="5"/>
            <w:tcBorders>
              <w:top w:val="single" w:sz="4" w:space="0" w:color="auto"/>
              <w:left w:val="nil"/>
              <w:bottom w:val="nil"/>
              <w:right w:val="nil"/>
            </w:tcBorders>
            <w:shd w:val="clear" w:color="auto" w:fill="FFFFFF"/>
            <w:tcMar>
              <w:top w:w="110" w:type="dxa"/>
            </w:tcMar>
          </w:tcPr>
          <w:p w:rsidR="001C19F7" w:rsidRPr="00867291" w:rsidRDefault="001C19F7" w:rsidP="008764EF">
            <w:pPr>
              <w:keepNext/>
              <w:rPr>
                <w:color w:val="000000" w:themeColor="text1"/>
                <w:sz w:val="16"/>
                <w:szCs w:val="16"/>
              </w:rPr>
            </w:pPr>
            <w:r w:rsidRPr="00867291">
              <w:rPr>
                <w:color w:val="000000" w:themeColor="text1"/>
                <w:sz w:val="16"/>
              </w:rPr>
              <w:t>75% (OOB)</w:t>
            </w:r>
          </w:p>
          <w:p w:rsidR="001C19F7" w:rsidRPr="00867291" w:rsidRDefault="001C19F7" w:rsidP="008764EF">
            <w:pPr>
              <w:keepNext/>
              <w:rPr>
                <w:color w:val="000000" w:themeColor="text1"/>
                <w:sz w:val="16"/>
                <w:szCs w:val="16"/>
              </w:rPr>
            </w:pPr>
          </w:p>
          <w:p w:rsidR="001C19F7" w:rsidRPr="00867291" w:rsidRDefault="001C19F7" w:rsidP="008764EF">
            <w:pPr>
              <w:keepNext/>
              <w:rPr>
                <w:color w:val="000000" w:themeColor="text1"/>
                <w:sz w:val="16"/>
                <w:szCs w:val="16"/>
              </w:rPr>
            </w:pPr>
            <w:r w:rsidRPr="00867291">
              <w:rPr>
                <w:color w:val="000000" w:themeColor="text1"/>
                <w:sz w:val="16"/>
              </w:rPr>
              <w:t>94% (OOJ)</w:t>
            </w:r>
          </w:p>
          <w:p w:rsidR="001C19F7" w:rsidRPr="00867291" w:rsidRDefault="001C19F7" w:rsidP="008764EF">
            <w:pPr>
              <w:keepNext/>
              <w:rPr>
                <w:color w:val="000000" w:themeColor="text1"/>
                <w:sz w:val="16"/>
                <w:szCs w:val="16"/>
              </w:rPr>
            </w:pPr>
          </w:p>
          <w:p w:rsidR="001C19F7" w:rsidRPr="00867291" w:rsidDel="00436D89" w:rsidRDefault="001C19F7" w:rsidP="008764EF">
            <w:pPr>
              <w:keepNext/>
              <w:rPr>
                <w:color w:val="000000" w:themeColor="text1"/>
                <w:sz w:val="16"/>
                <w:szCs w:val="16"/>
              </w:rPr>
            </w:pPr>
            <w:r w:rsidRPr="00867291">
              <w:rPr>
                <w:color w:val="000000" w:themeColor="text1"/>
                <w:sz w:val="16"/>
              </w:rPr>
              <w:t>85% (OOS)</w:t>
            </w:r>
          </w:p>
        </w:tc>
        <w:tc>
          <w:tcPr>
            <w:tcW w:w="681" w:type="pct"/>
            <w:gridSpan w:val="4"/>
            <w:tcBorders>
              <w:top w:val="single" w:sz="4" w:space="0" w:color="auto"/>
              <w:left w:val="nil"/>
              <w:bottom w:val="nil"/>
              <w:right w:val="single" w:sz="4" w:space="0" w:color="auto"/>
            </w:tcBorders>
            <w:shd w:val="clear" w:color="auto" w:fill="auto"/>
            <w:tcMar>
              <w:top w:w="110" w:type="dxa"/>
            </w:tcMar>
          </w:tcPr>
          <w:p w:rsidR="001C19F7" w:rsidRPr="00867291" w:rsidRDefault="00044DA1" w:rsidP="008764EF">
            <w:pPr>
              <w:keepNext/>
              <w:keepLines/>
              <w:ind w:left="-117" w:right="20"/>
              <w:jc w:val="center"/>
              <w:rPr>
                <w:b/>
                <w:bCs/>
                <w:color w:val="000000" w:themeColor="text1"/>
                <w:sz w:val="16"/>
                <w:szCs w:val="16"/>
              </w:rPr>
            </w:pPr>
            <w:r>
              <w:rPr>
                <w:b/>
                <w:bCs/>
                <w:color w:val="00B050"/>
                <w:sz w:val="16"/>
                <w:szCs w:val="16"/>
              </w:rPr>
              <w:t>Plenamente logrado</w:t>
            </w:r>
          </w:p>
          <w:p w:rsidR="001C19F7" w:rsidRPr="002265C0" w:rsidRDefault="00044DA1" w:rsidP="008764EF">
            <w:pPr>
              <w:keepNext/>
              <w:keepLines/>
              <w:ind w:left="-117" w:right="20"/>
              <w:jc w:val="center"/>
              <w:rPr>
                <w:b/>
                <w:bCs/>
                <w:color w:val="00B050"/>
                <w:sz w:val="16"/>
                <w:szCs w:val="16"/>
              </w:rPr>
            </w:pPr>
            <w:r>
              <w:rPr>
                <w:b/>
                <w:bCs/>
                <w:color w:val="00B050"/>
                <w:sz w:val="16"/>
                <w:szCs w:val="16"/>
              </w:rPr>
              <w:t>Plenamente logrado</w:t>
            </w:r>
          </w:p>
          <w:p w:rsidR="001C19F7" w:rsidRPr="002265C0" w:rsidRDefault="00044DA1" w:rsidP="008764EF">
            <w:pPr>
              <w:keepNext/>
              <w:keepLines/>
              <w:ind w:left="-117" w:right="20"/>
              <w:jc w:val="center"/>
              <w:rPr>
                <w:b/>
                <w:bCs/>
                <w:color w:val="00B050"/>
                <w:sz w:val="16"/>
                <w:szCs w:val="16"/>
              </w:rPr>
            </w:pPr>
            <w:r>
              <w:rPr>
                <w:b/>
                <w:bCs/>
                <w:color w:val="00B050"/>
                <w:sz w:val="16"/>
                <w:szCs w:val="16"/>
              </w:rPr>
              <w:t>Plenamente logrado</w:t>
            </w:r>
          </w:p>
          <w:p w:rsidR="001C19F7" w:rsidRPr="00867291" w:rsidRDefault="001C19F7" w:rsidP="008764EF">
            <w:pPr>
              <w:keepNext/>
              <w:keepLines/>
              <w:ind w:left="-135" w:right="20"/>
              <w:jc w:val="center"/>
              <w:rPr>
                <w:b/>
                <w:bCs/>
                <w:color w:val="000000" w:themeColor="text1"/>
                <w:sz w:val="14"/>
                <w:szCs w:val="14"/>
              </w:rPr>
            </w:pPr>
          </w:p>
        </w:tc>
      </w:tr>
      <w:tr w:rsidR="001C19F7" w:rsidRPr="00867291" w:rsidTr="008B1CDA">
        <w:tc>
          <w:tcPr>
            <w:tcW w:w="1103" w:type="pct"/>
            <w:tcBorders>
              <w:top w:val="nil"/>
              <w:left w:val="single" w:sz="4" w:space="0" w:color="auto"/>
              <w:bottom w:val="single" w:sz="4" w:space="0" w:color="auto"/>
              <w:right w:val="nil"/>
            </w:tcBorders>
            <w:shd w:val="clear" w:color="auto" w:fill="auto"/>
          </w:tcPr>
          <w:p w:rsidR="001C19F7" w:rsidRPr="00867291" w:rsidRDefault="001C19F7" w:rsidP="008764EF">
            <w:pPr>
              <w:keepNext/>
              <w:rPr>
                <w:color w:val="000000" w:themeColor="text1"/>
                <w:sz w:val="16"/>
                <w:szCs w:val="16"/>
              </w:rPr>
            </w:pPr>
            <w:r w:rsidRPr="00867291">
              <w:rPr>
                <w:color w:val="000000" w:themeColor="text1"/>
                <w:sz w:val="16"/>
              </w:rPr>
              <w:t>Número de Partes Contratantes del Sistema de La Haya en la región de Asia y el Pacífico</w:t>
            </w:r>
          </w:p>
        </w:tc>
        <w:tc>
          <w:tcPr>
            <w:tcW w:w="1008" w:type="pct"/>
            <w:gridSpan w:val="3"/>
            <w:tcBorders>
              <w:top w:val="nil"/>
              <w:left w:val="nil"/>
              <w:bottom w:val="single" w:sz="4" w:space="0" w:color="auto"/>
              <w:right w:val="nil"/>
            </w:tcBorders>
            <w:shd w:val="clear" w:color="auto" w:fill="auto"/>
          </w:tcPr>
          <w:p w:rsidR="001C19F7" w:rsidRPr="00867291" w:rsidRDefault="001C19F7" w:rsidP="008764EF">
            <w:pPr>
              <w:keepNext/>
              <w:rPr>
                <w:i/>
                <w:color w:val="000000" w:themeColor="text1"/>
                <w:sz w:val="16"/>
                <w:szCs w:val="16"/>
              </w:rPr>
            </w:pPr>
            <w:r w:rsidRPr="002265C0">
              <w:rPr>
                <w:i/>
                <w:color w:val="002060"/>
                <w:sz w:val="16"/>
                <w:szCs w:val="16"/>
                <w:lang w:eastAsia="en-US"/>
              </w:rPr>
              <w:t>Referencia actualizada a fines de 2013:</w:t>
            </w:r>
            <w:r w:rsidRPr="00867291">
              <w:rPr>
                <w:i/>
                <w:color w:val="000000" w:themeColor="text1"/>
                <w:sz w:val="16"/>
              </w:rPr>
              <w:t xml:space="preserve">  </w:t>
            </w:r>
          </w:p>
          <w:p w:rsidR="001C19F7" w:rsidRPr="002265C0" w:rsidRDefault="001C19F7" w:rsidP="008764EF">
            <w:pPr>
              <w:keepNext/>
              <w:rPr>
                <w:color w:val="002060"/>
                <w:sz w:val="16"/>
                <w:szCs w:val="16"/>
                <w:lang w:eastAsia="en-US"/>
              </w:rPr>
            </w:pPr>
            <w:r w:rsidRPr="002265C0">
              <w:rPr>
                <w:color w:val="002060"/>
                <w:sz w:val="16"/>
                <w:szCs w:val="16"/>
                <w:lang w:eastAsia="en-US"/>
              </w:rPr>
              <w:t>El Japón no es Parte Contratante (OOJ)</w:t>
            </w:r>
          </w:p>
          <w:p w:rsidR="001C19F7" w:rsidRPr="00867291" w:rsidRDefault="001C19F7" w:rsidP="008764EF">
            <w:pPr>
              <w:keepNext/>
              <w:rPr>
                <w:color w:val="000000" w:themeColor="text1"/>
                <w:sz w:val="16"/>
                <w:szCs w:val="16"/>
              </w:rPr>
            </w:pPr>
            <w:r w:rsidRPr="002265C0">
              <w:rPr>
                <w:color w:val="002060"/>
                <w:sz w:val="16"/>
                <w:szCs w:val="16"/>
                <w:lang w:eastAsia="en-US"/>
              </w:rPr>
              <w:t>2 en la región de la ASEAN (Brunei Darussalam y Singapur) (OOS)</w:t>
            </w:r>
          </w:p>
          <w:p w:rsidR="001C19F7" w:rsidRPr="00867291" w:rsidRDefault="001C19F7" w:rsidP="008764EF">
            <w:pPr>
              <w:keepNext/>
              <w:rPr>
                <w:i/>
                <w:color w:val="000000" w:themeColor="text1"/>
                <w:sz w:val="16"/>
                <w:szCs w:val="16"/>
              </w:rPr>
            </w:pPr>
          </w:p>
          <w:p w:rsidR="001C19F7" w:rsidRDefault="001C19F7" w:rsidP="008764EF">
            <w:pPr>
              <w:keepNext/>
              <w:rPr>
                <w:color w:val="000000" w:themeColor="text1"/>
                <w:sz w:val="16"/>
              </w:rPr>
            </w:pPr>
            <w:r w:rsidRPr="00867291">
              <w:rPr>
                <w:i/>
                <w:color w:val="000000" w:themeColor="text1"/>
                <w:sz w:val="16"/>
              </w:rPr>
              <w:t>Referencia original en el presupuesto de 2014/15:</w:t>
            </w:r>
            <w:r w:rsidRPr="00867291">
              <w:rPr>
                <w:color w:val="000000" w:themeColor="text1"/>
                <w:sz w:val="16"/>
              </w:rPr>
              <w:t xml:space="preserve"> </w:t>
            </w:r>
          </w:p>
          <w:p w:rsidR="00601F77" w:rsidRPr="00867291" w:rsidRDefault="00601F77" w:rsidP="008764EF">
            <w:pPr>
              <w:keepNext/>
              <w:rPr>
                <w:color w:val="000000" w:themeColor="text1"/>
                <w:sz w:val="16"/>
                <w:szCs w:val="16"/>
              </w:rPr>
            </w:pPr>
          </w:p>
          <w:p w:rsidR="001C19F7" w:rsidRPr="00867291" w:rsidRDefault="001C19F7" w:rsidP="008764EF">
            <w:pPr>
              <w:keepNext/>
              <w:rPr>
                <w:color w:val="000000" w:themeColor="text1"/>
                <w:sz w:val="16"/>
                <w:szCs w:val="16"/>
              </w:rPr>
            </w:pPr>
            <w:r w:rsidRPr="00867291">
              <w:rPr>
                <w:color w:val="000000" w:themeColor="text1"/>
                <w:sz w:val="16"/>
              </w:rPr>
              <w:t xml:space="preserve">1 en la región de la ASEAN (OOS) el Japón no es Parte Contratante </w:t>
            </w:r>
          </w:p>
          <w:p w:rsidR="001C19F7" w:rsidRPr="0070325E" w:rsidRDefault="001C19F7" w:rsidP="008764EF">
            <w:pPr>
              <w:keepNext/>
              <w:rPr>
                <w:color w:val="000000" w:themeColor="text1"/>
                <w:sz w:val="10"/>
                <w:szCs w:val="16"/>
              </w:rPr>
            </w:pPr>
          </w:p>
        </w:tc>
        <w:tc>
          <w:tcPr>
            <w:tcW w:w="653" w:type="pct"/>
            <w:gridSpan w:val="3"/>
            <w:tcBorders>
              <w:top w:val="nil"/>
              <w:left w:val="nil"/>
              <w:bottom w:val="single" w:sz="4" w:space="0" w:color="auto"/>
              <w:right w:val="nil"/>
            </w:tcBorders>
            <w:shd w:val="clear" w:color="auto" w:fill="auto"/>
            <w:tcMar>
              <w:top w:w="110" w:type="dxa"/>
            </w:tcMar>
          </w:tcPr>
          <w:p w:rsidR="001C19F7" w:rsidRPr="00867291" w:rsidRDefault="001C19F7" w:rsidP="008764EF">
            <w:pPr>
              <w:keepNext/>
              <w:rPr>
                <w:color w:val="000000" w:themeColor="text1"/>
                <w:sz w:val="16"/>
                <w:szCs w:val="16"/>
              </w:rPr>
            </w:pPr>
            <w:r w:rsidRPr="00867291">
              <w:rPr>
                <w:color w:val="000000" w:themeColor="text1"/>
                <w:sz w:val="16"/>
              </w:rPr>
              <w:t>Adhesión del Japón (OOJ)</w:t>
            </w:r>
          </w:p>
          <w:p w:rsidR="001C19F7" w:rsidRPr="00867291" w:rsidRDefault="001C19F7" w:rsidP="008764EF">
            <w:pPr>
              <w:keepNext/>
              <w:rPr>
                <w:color w:val="000000" w:themeColor="text1"/>
                <w:sz w:val="16"/>
                <w:szCs w:val="16"/>
              </w:rPr>
            </w:pPr>
          </w:p>
          <w:p w:rsidR="001C19F7" w:rsidRPr="00867291" w:rsidRDefault="001C19F7" w:rsidP="008764EF">
            <w:pPr>
              <w:keepNext/>
              <w:rPr>
                <w:color w:val="000000" w:themeColor="text1"/>
                <w:sz w:val="16"/>
                <w:szCs w:val="16"/>
              </w:rPr>
            </w:pPr>
          </w:p>
          <w:p w:rsidR="001C19F7" w:rsidRPr="00867291" w:rsidRDefault="001C19F7" w:rsidP="008764EF">
            <w:pPr>
              <w:keepNext/>
              <w:rPr>
                <w:color w:val="000000" w:themeColor="text1"/>
                <w:sz w:val="16"/>
                <w:szCs w:val="16"/>
              </w:rPr>
            </w:pPr>
            <w:r w:rsidRPr="00867291">
              <w:rPr>
                <w:color w:val="000000" w:themeColor="text1"/>
                <w:sz w:val="16"/>
              </w:rPr>
              <w:t>7 en la región de la ASEAN (OOS)</w:t>
            </w:r>
          </w:p>
          <w:p w:rsidR="001C19F7" w:rsidRPr="00867291" w:rsidRDefault="001C19F7" w:rsidP="008764EF">
            <w:pPr>
              <w:keepNext/>
              <w:rPr>
                <w:color w:val="000000" w:themeColor="text1"/>
                <w:sz w:val="16"/>
                <w:szCs w:val="16"/>
              </w:rPr>
            </w:pPr>
          </w:p>
          <w:p w:rsidR="001C19F7" w:rsidRPr="00867291" w:rsidRDefault="001C19F7" w:rsidP="008764EF">
            <w:pPr>
              <w:keepNext/>
              <w:rPr>
                <w:color w:val="000000" w:themeColor="text1"/>
                <w:sz w:val="16"/>
                <w:szCs w:val="16"/>
              </w:rPr>
            </w:pPr>
          </w:p>
        </w:tc>
        <w:tc>
          <w:tcPr>
            <w:tcW w:w="1540" w:type="pct"/>
            <w:gridSpan w:val="3"/>
            <w:tcBorders>
              <w:top w:val="nil"/>
              <w:left w:val="nil"/>
              <w:bottom w:val="single" w:sz="4" w:space="0" w:color="auto"/>
              <w:right w:val="nil"/>
            </w:tcBorders>
            <w:shd w:val="clear" w:color="auto" w:fill="FFFFFF"/>
            <w:tcMar>
              <w:top w:w="110" w:type="dxa"/>
            </w:tcMar>
          </w:tcPr>
          <w:p w:rsidR="001C19F7" w:rsidRPr="00867291" w:rsidRDefault="001C19F7" w:rsidP="008764EF">
            <w:pPr>
              <w:keepNext/>
              <w:rPr>
                <w:color w:val="000000" w:themeColor="text1"/>
                <w:sz w:val="16"/>
                <w:szCs w:val="16"/>
              </w:rPr>
            </w:pPr>
            <w:r w:rsidRPr="00867291">
              <w:rPr>
                <w:color w:val="000000" w:themeColor="text1"/>
                <w:sz w:val="16"/>
              </w:rPr>
              <w:t xml:space="preserve">Adhesión del Japón en 2015 (OOJ) </w:t>
            </w:r>
          </w:p>
          <w:p w:rsidR="001C19F7" w:rsidRPr="00867291" w:rsidRDefault="001C19F7" w:rsidP="008764EF">
            <w:pPr>
              <w:keepNext/>
              <w:rPr>
                <w:color w:val="000000" w:themeColor="text1"/>
                <w:sz w:val="16"/>
                <w:szCs w:val="16"/>
              </w:rPr>
            </w:pPr>
          </w:p>
          <w:p w:rsidR="001C19F7" w:rsidRPr="00867291" w:rsidRDefault="001C19F7" w:rsidP="008764EF">
            <w:pPr>
              <w:keepNext/>
              <w:rPr>
                <w:color w:val="000000" w:themeColor="text1"/>
                <w:sz w:val="16"/>
                <w:szCs w:val="16"/>
              </w:rPr>
            </w:pPr>
          </w:p>
          <w:p w:rsidR="001C19F7" w:rsidRPr="00867291" w:rsidRDefault="001C19F7" w:rsidP="008764EF">
            <w:pPr>
              <w:keepNext/>
              <w:rPr>
                <w:color w:val="000000" w:themeColor="text1"/>
                <w:sz w:val="16"/>
                <w:szCs w:val="16"/>
              </w:rPr>
            </w:pPr>
          </w:p>
          <w:p w:rsidR="001C19F7" w:rsidRPr="00867291" w:rsidRDefault="001C19F7" w:rsidP="008764EF">
            <w:pPr>
              <w:keepNext/>
              <w:rPr>
                <w:color w:val="000000" w:themeColor="text1"/>
                <w:sz w:val="16"/>
                <w:szCs w:val="16"/>
              </w:rPr>
            </w:pPr>
            <w:r w:rsidRPr="00867291">
              <w:rPr>
                <w:color w:val="000000" w:themeColor="text1"/>
                <w:sz w:val="16"/>
              </w:rPr>
              <w:t>Ninguna Parte Contratante adicional del Sistema de La Haya en la región de la ASEAN (OOS)</w:t>
            </w:r>
          </w:p>
          <w:p w:rsidR="001C19F7" w:rsidRPr="00867291" w:rsidRDefault="001C19F7" w:rsidP="008764EF">
            <w:pPr>
              <w:keepNext/>
              <w:rPr>
                <w:color w:val="000000" w:themeColor="text1"/>
                <w:sz w:val="16"/>
                <w:szCs w:val="16"/>
              </w:rPr>
            </w:pPr>
          </w:p>
        </w:tc>
        <w:tc>
          <w:tcPr>
            <w:tcW w:w="696" w:type="pct"/>
            <w:gridSpan w:val="5"/>
            <w:tcBorders>
              <w:top w:val="nil"/>
              <w:left w:val="nil"/>
              <w:bottom w:val="single" w:sz="4" w:space="0" w:color="auto"/>
              <w:right w:val="single" w:sz="4" w:space="0" w:color="auto"/>
            </w:tcBorders>
            <w:shd w:val="clear" w:color="auto" w:fill="auto"/>
            <w:tcMar>
              <w:top w:w="110" w:type="dxa"/>
            </w:tcMar>
          </w:tcPr>
          <w:p w:rsidR="001C19F7" w:rsidRPr="00555D3D" w:rsidRDefault="00044DA1" w:rsidP="008764EF">
            <w:pPr>
              <w:keepNext/>
              <w:keepLines/>
              <w:ind w:left="-117" w:right="20"/>
              <w:jc w:val="center"/>
              <w:rPr>
                <w:b/>
                <w:bCs/>
                <w:color w:val="00B050"/>
                <w:sz w:val="16"/>
                <w:szCs w:val="16"/>
                <w:lang w:val="en-US"/>
              </w:rPr>
            </w:pPr>
            <w:proofErr w:type="spellStart"/>
            <w:r>
              <w:rPr>
                <w:b/>
                <w:bCs/>
                <w:color w:val="00B050"/>
                <w:sz w:val="16"/>
                <w:szCs w:val="16"/>
                <w:lang w:val="en-US"/>
              </w:rPr>
              <w:t>Plenamente</w:t>
            </w:r>
            <w:proofErr w:type="spellEnd"/>
            <w:r>
              <w:rPr>
                <w:b/>
                <w:bCs/>
                <w:color w:val="00B050"/>
                <w:sz w:val="16"/>
                <w:szCs w:val="16"/>
                <w:lang w:val="en-US"/>
              </w:rPr>
              <w:t xml:space="preserve"> </w:t>
            </w:r>
            <w:proofErr w:type="spellStart"/>
            <w:r>
              <w:rPr>
                <w:b/>
                <w:bCs/>
                <w:color w:val="00B050"/>
                <w:sz w:val="16"/>
                <w:szCs w:val="16"/>
                <w:lang w:val="en-US"/>
              </w:rPr>
              <w:t>logrado</w:t>
            </w:r>
            <w:proofErr w:type="spellEnd"/>
          </w:p>
          <w:p w:rsidR="001C19F7" w:rsidRPr="00867291" w:rsidRDefault="001C19F7" w:rsidP="008764EF">
            <w:pPr>
              <w:keepNext/>
              <w:keepLines/>
              <w:ind w:left="-117" w:right="20"/>
              <w:jc w:val="center"/>
              <w:rPr>
                <w:b/>
                <w:bCs/>
                <w:color w:val="000000" w:themeColor="text1"/>
                <w:sz w:val="16"/>
                <w:szCs w:val="16"/>
              </w:rPr>
            </w:pPr>
          </w:p>
          <w:p w:rsidR="001C19F7" w:rsidRPr="00867291" w:rsidRDefault="001C19F7" w:rsidP="008764EF">
            <w:pPr>
              <w:keepNext/>
              <w:keepLines/>
              <w:ind w:left="-117" w:right="20"/>
              <w:rPr>
                <w:b/>
                <w:bCs/>
                <w:color w:val="000000" w:themeColor="text1"/>
                <w:sz w:val="16"/>
                <w:szCs w:val="16"/>
              </w:rPr>
            </w:pPr>
          </w:p>
          <w:p w:rsidR="001C19F7" w:rsidRPr="00867291" w:rsidRDefault="001C19F7" w:rsidP="008764EF">
            <w:pPr>
              <w:keepNext/>
              <w:keepLines/>
              <w:ind w:left="-117" w:right="20"/>
              <w:jc w:val="center"/>
              <w:rPr>
                <w:b/>
                <w:bCs/>
                <w:color w:val="000000" w:themeColor="text1"/>
                <w:sz w:val="16"/>
                <w:szCs w:val="16"/>
              </w:rPr>
            </w:pPr>
            <w:r w:rsidRPr="00555D3D">
              <w:rPr>
                <w:b/>
                <w:bCs/>
                <w:color w:val="FF0000"/>
                <w:sz w:val="16"/>
                <w:szCs w:val="16"/>
                <w:lang w:val="en-US"/>
              </w:rPr>
              <w:t xml:space="preserve">No </w:t>
            </w:r>
            <w:proofErr w:type="spellStart"/>
            <w:r w:rsidRPr="00555D3D">
              <w:rPr>
                <w:b/>
                <w:bCs/>
                <w:color w:val="FF0000"/>
                <w:sz w:val="16"/>
                <w:szCs w:val="16"/>
                <w:lang w:val="en-US"/>
              </w:rPr>
              <w:t>logrado</w:t>
            </w:r>
            <w:proofErr w:type="spellEnd"/>
          </w:p>
        </w:tc>
      </w:tr>
      <w:tr w:rsidR="001C19F7" w:rsidRPr="00867291" w:rsidTr="008B1CDA">
        <w:tc>
          <w:tcPr>
            <w:tcW w:w="5000" w:type="pct"/>
            <w:gridSpan w:val="15"/>
            <w:tcBorders>
              <w:top w:val="single" w:sz="4" w:space="0" w:color="auto"/>
              <w:bottom w:val="single" w:sz="4" w:space="0" w:color="auto"/>
            </w:tcBorders>
            <w:shd w:val="clear" w:color="auto" w:fill="C6D9F1" w:themeFill="text2" w:themeFillTint="33"/>
          </w:tcPr>
          <w:p w:rsidR="001C19F7" w:rsidRPr="00867291" w:rsidRDefault="001C19F7" w:rsidP="008B1CDA">
            <w:pPr>
              <w:keepNext/>
              <w:keepLines/>
              <w:spacing w:before="120" w:after="120"/>
              <w:ind w:left="1985" w:hanging="1985"/>
              <w:rPr>
                <w:b/>
                <w:bCs/>
                <w:color w:val="000000" w:themeColor="text1"/>
                <w:sz w:val="16"/>
                <w:szCs w:val="16"/>
              </w:rPr>
            </w:pPr>
            <w:r w:rsidRPr="00867291">
              <w:rPr>
                <w:b/>
                <w:color w:val="000000" w:themeColor="text1"/>
                <w:sz w:val="16"/>
              </w:rPr>
              <w:t>Resultado previsto:</w:t>
            </w:r>
            <w:r w:rsidRPr="00867291">
              <w:rPr>
                <w:color w:val="000000" w:themeColor="text1"/>
              </w:rPr>
              <w:tab/>
            </w:r>
            <w:r w:rsidRPr="00867291">
              <w:rPr>
                <w:color w:val="000000" w:themeColor="text1"/>
                <w:sz w:val="16"/>
              </w:rPr>
              <w:t>II.6 Mayor y más eficaz utilización de los Sistemas de Madrid y de Lisboa por los países en desarrollo y los PMA, entre otros</w:t>
            </w:r>
          </w:p>
        </w:tc>
      </w:tr>
      <w:tr w:rsidR="001C19F7" w:rsidRPr="00867291" w:rsidTr="008B1CDA">
        <w:tc>
          <w:tcPr>
            <w:tcW w:w="1103" w:type="pct"/>
            <w:tcBorders>
              <w:top w:val="single" w:sz="4" w:space="0" w:color="auto"/>
              <w:left w:val="single" w:sz="4" w:space="0" w:color="auto"/>
              <w:bottom w:val="nil"/>
              <w:right w:val="nil"/>
            </w:tcBorders>
            <w:shd w:val="clear" w:color="auto" w:fill="auto"/>
          </w:tcPr>
          <w:p w:rsidR="001C19F7" w:rsidRPr="00867291" w:rsidRDefault="001C19F7" w:rsidP="008B1CDA">
            <w:pPr>
              <w:rPr>
                <w:color w:val="000000" w:themeColor="text1"/>
                <w:sz w:val="16"/>
                <w:szCs w:val="16"/>
              </w:rPr>
            </w:pPr>
            <w:r w:rsidRPr="00867291">
              <w:rPr>
                <w:b/>
                <w:color w:val="000000" w:themeColor="text1"/>
                <w:sz w:val="16"/>
              </w:rPr>
              <w:t>Indicadores de rendimiento</w:t>
            </w:r>
          </w:p>
        </w:tc>
        <w:tc>
          <w:tcPr>
            <w:tcW w:w="1103" w:type="pct"/>
            <w:gridSpan w:val="4"/>
            <w:tcBorders>
              <w:top w:val="single" w:sz="4" w:space="0" w:color="auto"/>
              <w:left w:val="nil"/>
              <w:bottom w:val="nil"/>
              <w:right w:val="nil"/>
            </w:tcBorders>
            <w:shd w:val="clear" w:color="auto" w:fill="auto"/>
          </w:tcPr>
          <w:p w:rsidR="001C19F7" w:rsidRPr="00867291" w:rsidRDefault="001C19F7" w:rsidP="008B1CDA">
            <w:pPr>
              <w:keepNext/>
              <w:keepLines/>
              <w:rPr>
                <w:b/>
                <w:bCs/>
                <w:color w:val="000000" w:themeColor="text1"/>
                <w:sz w:val="16"/>
                <w:szCs w:val="16"/>
              </w:rPr>
            </w:pPr>
            <w:r w:rsidRPr="00867291">
              <w:rPr>
                <w:b/>
                <w:color w:val="000000" w:themeColor="text1"/>
                <w:sz w:val="16"/>
              </w:rPr>
              <w:t>Referencia</w:t>
            </w:r>
          </w:p>
        </w:tc>
        <w:tc>
          <w:tcPr>
            <w:tcW w:w="642" w:type="pct"/>
            <w:gridSpan w:val="3"/>
            <w:tcBorders>
              <w:top w:val="single" w:sz="4" w:space="0" w:color="auto"/>
              <w:left w:val="nil"/>
              <w:bottom w:val="nil"/>
              <w:right w:val="nil"/>
            </w:tcBorders>
            <w:shd w:val="clear" w:color="auto" w:fill="auto"/>
            <w:tcMar>
              <w:top w:w="110" w:type="dxa"/>
            </w:tcMar>
          </w:tcPr>
          <w:p w:rsidR="001C19F7" w:rsidRPr="00867291" w:rsidRDefault="001C19F7" w:rsidP="008B1CDA">
            <w:pPr>
              <w:keepNext/>
              <w:keepLines/>
              <w:rPr>
                <w:b/>
                <w:color w:val="000000" w:themeColor="text1"/>
                <w:sz w:val="16"/>
                <w:szCs w:val="16"/>
              </w:rPr>
            </w:pPr>
            <w:r w:rsidRPr="00867291">
              <w:rPr>
                <w:b/>
                <w:color w:val="000000" w:themeColor="text1"/>
                <w:sz w:val="16"/>
              </w:rPr>
              <w:t>Objetivos</w:t>
            </w:r>
          </w:p>
        </w:tc>
        <w:tc>
          <w:tcPr>
            <w:tcW w:w="1456" w:type="pct"/>
            <w:gridSpan w:val="2"/>
            <w:tcBorders>
              <w:top w:val="single" w:sz="4" w:space="0" w:color="auto"/>
              <w:left w:val="nil"/>
              <w:bottom w:val="nil"/>
              <w:right w:val="nil"/>
            </w:tcBorders>
            <w:shd w:val="clear" w:color="auto" w:fill="FFFFFF"/>
            <w:tcMar>
              <w:top w:w="110" w:type="dxa"/>
            </w:tcMar>
          </w:tcPr>
          <w:p w:rsidR="001C19F7" w:rsidRPr="00867291" w:rsidRDefault="001C19F7" w:rsidP="008B1CDA">
            <w:pPr>
              <w:keepNext/>
              <w:keepLines/>
              <w:rPr>
                <w:color w:val="000000" w:themeColor="text1"/>
                <w:sz w:val="16"/>
                <w:szCs w:val="16"/>
              </w:rPr>
            </w:pPr>
            <w:r w:rsidRPr="00867291">
              <w:rPr>
                <w:b/>
                <w:color w:val="000000" w:themeColor="text1"/>
                <w:sz w:val="16"/>
              </w:rPr>
              <w:t>Datos sobre el rendimiento</w:t>
            </w:r>
          </w:p>
        </w:tc>
        <w:tc>
          <w:tcPr>
            <w:tcW w:w="696" w:type="pct"/>
            <w:gridSpan w:val="5"/>
            <w:tcBorders>
              <w:top w:val="single" w:sz="4" w:space="0" w:color="auto"/>
              <w:left w:val="nil"/>
              <w:bottom w:val="nil"/>
              <w:right w:val="single" w:sz="4" w:space="0" w:color="auto"/>
            </w:tcBorders>
            <w:shd w:val="clear" w:color="auto" w:fill="auto"/>
            <w:tcMar>
              <w:top w:w="110" w:type="dxa"/>
            </w:tcMar>
          </w:tcPr>
          <w:p w:rsidR="001C19F7" w:rsidRPr="00867291" w:rsidRDefault="001C19F7" w:rsidP="008B1CDA">
            <w:pPr>
              <w:keepNext/>
              <w:keepLines/>
              <w:ind w:right="20" w:hanging="71"/>
              <w:jc w:val="center"/>
              <w:rPr>
                <w:b/>
                <w:bCs/>
                <w:color w:val="000000" w:themeColor="text1"/>
                <w:sz w:val="16"/>
                <w:szCs w:val="16"/>
              </w:rPr>
            </w:pPr>
            <w:r w:rsidRPr="00867291">
              <w:rPr>
                <w:b/>
                <w:color w:val="000000" w:themeColor="text1"/>
                <w:sz w:val="16"/>
              </w:rPr>
              <w:t>Clave de colores</w:t>
            </w:r>
          </w:p>
        </w:tc>
      </w:tr>
      <w:tr w:rsidR="001C19F7" w:rsidRPr="00867291" w:rsidTr="008B1CDA">
        <w:tc>
          <w:tcPr>
            <w:tcW w:w="1103" w:type="pct"/>
            <w:tcBorders>
              <w:top w:val="nil"/>
              <w:left w:val="single" w:sz="4" w:space="0" w:color="auto"/>
              <w:bottom w:val="nil"/>
              <w:right w:val="nil"/>
            </w:tcBorders>
            <w:shd w:val="clear" w:color="auto" w:fill="auto"/>
          </w:tcPr>
          <w:p w:rsidR="001C19F7" w:rsidRPr="00867291" w:rsidRDefault="001C19F7" w:rsidP="008B1CDA">
            <w:pPr>
              <w:rPr>
                <w:color w:val="000000" w:themeColor="text1"/>
                <w:sz w:val="16"/>
                <w:szCs w:val="16"/>
              </w:rPr>
            </w:pPr>
            <w:r w:rsidRPr="00867291">
              <w:rPr>
                <w:color w:val="000000" w:themeColor="text1"/>
                <w:sz w:val="16"/>
              </w:rPr>
              <w:t>Número de países que han formulado o adoptado políticas en las que se expone su adhesión al Protocolo de Madrid</w:t>
            </w:r>
          </w:p>
        </w:tc>
        <w:tc>
          <w:tcPr>
            <w:tcW w:w="1103" w:type="pct"/>
            <w:gridSpan w:val="4"/>
            <w:tcBorders>
              <w:top w:val="nil"/>
              <w:left w:val="nil"/>
              <w:bottom w:val="nil"/>
              <w:right w:val="nil"/>
            </w:tcBorders>
            <w:shd w:val="clear" w:color="auto" w:fill="auto"/>
          </w:tcPr>
          <w:p w:rsidR="001C19F7" w:rsidRPr="00867291" w:rsidRDefault="001C19F7" w:rsidP="008B1CDA">
            <w:pPr>
              <w:keepNext/>
              <w:keepLines/>
              <w:rPr>
                <w:color w:val="000000" w:themeColor="text1"/>
                <w:sz w:val="16"/>
                <w:szCs w:val="16"/>
              </w:rPr>
            </w:pPr>
            <w:proofErr w:type="spellStart"/>
            <w:r w:rsidRPr="00194A5F">
              <w:rPr>
                <w:sz w:val="16"/>
                <w:szCs w:val="16"/>
                <w:lang w:val="en-US" w:eastAsia="en-US"/>
              </w:rPr>
              <w:t>N.d.</w:t>
            </w:r>
            <w:proofErr w:type="spellEnd"/>
            <w:r w:rsidRPr="00194A5F">
              <w:rPr>
                <w:sz w:val="16"/>
                <w:szCs w:val="16"/>
                <w:lang w:val="en-US" w:eastAsia="en-US"/>
              </w:rPr>
              <w:t xml:space="preserve"> (OOS)</w:t>
            </w:r>
          </w:p>
        </w:tc>
        <w:tc>
          <w:tcPr>
            <w:tcW w:w="642" w:type="pct"/>
            <w:gridSpan w:val="3"/>
            <w:tcBorders>
              <w:top w:val="nil"/>
              <w:left w:val="nil"/>
              <w:bottom w:val="nil"/>
              <w:right w:val="nil"/>
            </w:tcBorders>
            <w:shd w:val="clear" w:color="auto" w:fill="auto"/>
            <w:tcMar>
              <w:top w:w="110" w:type="dxa"/>
            </w:tcMar>
          </w:tcPr>
          <w:p w:rsidR="001C19F7" w:rsidRPr="00867291" w:rsidRDefault="001C19F7" w:rsidP="008B1CDA">
            <w:pPr>
              <w:keepNext/>
              <w:keepLines/>
              <w:rPr>
                <w:color w:val="000000" w:themeColor="text1"/>
                <w:sz w:val="16"/>
                <w:szCs w:val="16"/>
              </w:rPr>
            </w:pPr>
            <w:r w:rsidRPr="00867291">
              <w:rPr>
                <w:color w:val="000000" w:themeColor="text1"/>
                <w:sz w:val="16"/>
              </w:rPr>
              <w:t>6 Estados miembros de la ASEAN (OOS)</w:t>
            </w:r>
          </w:p>
        </w:tc>
        <w:tc>
          <w:tcPr>
            <w:tcW w:w="1456" w:type="pct"/>
            <w:gridSpan w:val="2"/>
            <w:tcBorders>
              <w:top w:val="nil"/>
              <w:left w:val="nil"/>
              <w:bottom w:val="nil"/>
              <w:right w:val="nil"/>
            </w:tcBorders>
            <w:shd w:val="clear" w:color="auto" w:fill="FFFFFF"/>
            <w:tcMar>
              <w:top w:w="110" w:type="dxa"/>
            </w:tcMar>
          </w:tcPr>
          <w:p w:rsidR="001C19F7" w:rsidRPr="00867291" w:rsidRDefault="001C19F7" w:rsidP="008B1CDA">
            <w:pPr>
              <w:keepNext/>
              <w:keepLines/>
              <w:tabs>
                <w:tab w:val="right" w:pos="2582"/>
              </w:tabs>
              <w:rPr>
                <w:color w:val="000000" w:themeColor="text1"/>
                <w:sz w:val="16"/>
                <w:szCs w:val="16"/>
              </w:rPr>
            </w:pPr>
            <w:r w:rsidRPr="00867291">
              <w:rPr>
                <w:color w:val="000000" w:themeColor="text1"/>
                <w:sz w:val="16"/>
              </w:rPr>
              <w:t>6 Estados miembros de la ASEAN  (Brunei Darussalam, Camboya, Indonesia, República Democrática Popular Lao, Malasia y Tailandia) (OOS)</w:t>
            </w:r>
            <w:r w:rsidRPr="00867291">
              <w:rPr>
                <w:color w:val="000000" w:themeColor="text1"/>
              </w:rPr>
              <w:tab/>
            </w:r>
          </w:p>
        </w:tc>
        <w:tc>
          <w:tcPr>
            <w:tcW w:w="696" w:type="pct"/>
            <w:gridSpan w:val="5"/>
            <w:tcBorders>
              <w:top w:val="nil"/>
              <w:left w:val="nil"/>
              <w:bottom w:val="nil"/>
              <w:right w:val="single" w:sz="4" w:space="0" w:color="auto"/>
            </w:tcBorders>
            <w:shd w:val="clear" w:color="auto" w:fill="auto"/>
            <w:tcMar>
              <w:top w:w="110" w:type="dxa"/>
            </w:tcMar>
          </w:tcPr>
          <w:p w:rsidR="001C19F7" w:rsidRPr="00867291" w:rsidRDefault="00044DA1" w:rsidP="008B1CDA">
            <w:pPr>
              <w:keepNext/>
              <w:keepLines/>
              <w:ind w:left="-117" w:right="20"/>
              <w:jc w:val="center"/>
              <w:rPr>
                <w:b/>
                <w:bCs/>
                <w:color w:val="000000" w:themeColor="text1"/>
                <w:sz w:val="16"/>
                <w:szCs w:val="16"/>
              </w:rPr>
            </w:pPr>
            <w:proofErr w:type="spellStart"/>
            <w:r>
              <w:rPr>
                <w:b/>
                <w:bCs/>
                <w:color w:val="00B050"/>
                <w:sz w:val="16"/>
                <w:szCs w:val="16"/>
                <w:lang w:val="en-US"/>
              </w:rPr>
              <w:t>Plenamente</w:t>
            </w:r>
            <w:proofErr w:type="spellEnd"/>
            <w:r>
              <w:rPr>
                <w:b/>
                <w:bCs/>
                <w:color w:val="00B050"/>
                <w:sz w:val="16"/>
                <w:szCs w:val="16"/>
                <w:lang w:val="en-US"/>
              </w:rPr>
              <w:t xml:space="preserve"> </w:t>
            </w:r>
            <w:proofErr w:type="spellStart"/>
            <w:r>
              <w:rPr>
                <w:b/>
                <w:bCs/>
                <w:color w:val="00B050"/>
                <w:sz w:val="16"/>
                <w:szCs w:val="16"/>
                <w:lang w:val="en-US"/>
              </w:rPr>
              <w:t>logrado</w:t>
            </w:r>
            <w:proofErr w:type="spellEnd"/>
          </w:p>
        </w:tc>
      </w:tr>
      <w:tr w:rsidR="001C19F7" w:rsidRPr="00867291" w:rsidTr="008B1CDA">
        <w:trPr>
          <w:trHeight w:val="1195"/>
        </w:trPr>
        <w:tc>
          <w:tcPr>
            <w:tcW w:w="1103" w:type="pct"/>
            <w:tcBorders>
              <w:top w:val="nil"/>
              <w:left w:val="single" w:sz="4" w:space="0" w:color="auto"/>
              <w:bottom w:val="nil"/>
              <w:right w:val="nil"/>
            </w:tcBorders>
            <w:shd w:val="clear" w:color="auto" w:fill="auto"/>
          </w:tcPr>
          <w:p w:rsidR="001C19F7" w:rsidRPr="00867291" w:rsidRDefault="001C19F7" w:rsidP="008B1CDA">
            <w:pPr>
              <w:keepNext/>
              <w:keepLines/>
              <w:rPr>
                <w:color w:val="000000" w:themeColor="text1"/>
                <w:sz w:val="16"/>
                <w:szCs w:val="16"/>
              </w:rPr>
            </w:pPr>
            <w:r w:rsidRPr="00867291">
              <w:rPr>
                <w:color w:val="000000" w:themeColor="text1"/>
                <w:sz w:val="16"/>
              </w:rPr>
              <w:t>% de participantes satisfechos en los talleres o seminarios celebrados sobre temas relacionados con el Sistema de Madrid.</w:t>
            </w:r>
          </w:p>
        </w:tc>
        <w:tc>
          <w:tcPr>
            <w:tcW w:w="1103" w:type="pct"/>
            <w:gridSpan w:val="4"/>
            <w:tcBorders>
              <w:top w:val="nil"/>
              <w:left w:val="nil"/>
              <w:bottom w:val="nil"/>
              <w:right w:val="nil"/>
            </w:tcBorders>
            <w:shd w:val="clear" w:color="auto" w:fill="auto"/>
          </w:tcPr>
          <w:p w:rsidR="001C19F7" w:rsidRPr="00867291" w:rsidRDefault="001C19F7" w:rsidP="008B1CDA">
            <w:pPr>
              <w:keepNext/>
              <w:keepLines/>
              <w:rPr>
                <w:i/>
                <w:color w:val="000000" w:themeColor="text1"/>
                <w:sz w:val="16"/>
                <w:szCs w:val="16"/>
              </w:rPr>
            </w:pPr>
            <w:r w:rsidRPr="00EF75DA">
              <w:rPr>
                <w:i/>
                <w:color w:val="002060"/>
                <w:sz w:val="16"/>
                <w:szCs w:val="16"/>
                <w:lang w:eastAsia="en-US"/>
              </w:rPr>
              <w:t>Referencia actualizada a fines de 2013:</w:t>
            </w:r>
            <w:r w:rsidRPr="00867291">
              <w:rPr>
                <w:i/>
                <w:color w:val="000000" w:themeColor="text1"/>
                <w:sz w:val="16"/>
              </w:rPr>
              <w:t xml:space="preserve">  </w:t>
            </w:r>
          </w:p>
          <w:p w:rsidR="001C19F7" w:rsidRPr="00867291" w:rsidRDefault="001C19F7" w:rsidP="008B1CDA">
            <w:pPr>
              <w:keepNext/>
              <w:keepLines/>
              <w:rPr>
                <w:color w:val="000000" w:themeColor="text1"/>
                <w:sz w:val="16"/>
                <w:szCs w:val="16"/>
              </w:rPr>
            </w:pPr>
            <w:r w:rsidRPr="00867291">
              <w:rPr>
                <w:i/>
                <w:color w:val="000000" w:themeColor="text1"/>
                <w:sz w:val="16"/>
              </w:rPr>
              <w:t>Referencia original en el presupuesto de 2014/15:</w:t>
            </w:r>
            <w:r w:rsidRPr="00867291">
              <w:rPr>
                <w:color w:val="000000" w:themeColor="text1"/>
                <w:sz w:val="16"/>
              </w:rPr>
              <w:t xml:space="preserve">  </w:t>
            </w:r>
          </w:p>
          <w:p w:rsidR="001C19F7" w:rsidRPr="00867291" w:rsidRDefault="001C19F7" w:rsidP="008B1CDA">
            <w:pPr>
              <w:keepNext/>
              <w:keepLines/>
              <w:rPr>
                <w:color w:val="000000" w:themeColor="text1"/>
                <w:sz w:val="16"/>
                <w:szCs w:val="16"/>
              </w:rPr>
            </w:pPr>
            <w:r w:rsidRPr="00867291">
              <w:rPr>
                <w:color w:val="000000" w:themeColor="text1"/>
                <w:sz w:val="16"/>
              </w:rPr>
              <w:t>65% (OOB)</w:t>
            </w:r>
          </w:p>
          <w:p w:rsidR="001C19F7" w:rsidRPr="00867291" w:rsidRDefault="001C19F7" w:rsidP="008B1CDA">
            <w:pPr>
              <w:keepNext/>
              <w:keepLines/>
              <w:rPr>
                <w:i/>
                <w:color w:val="000000" w:themeColor="text1"/>
                <w:sz w:val="16"/>
                <w:szCs w:val="16"/>
              </w:rPr>
            </w:pPr>
            <w:r w:rsidRPr="00867291">
              <w:rPr>
                <w:color w:val="000000" w:themeColor="text1"/>
                <w:sz w:val="16"/>
              </w:rPr>
              <w:t>65% (OOS)</w:t>
            </w:r>
          </w:p>
        </w:tc>
        <w:tc>
          <w:tcPr>
            <w:tcW w:w="642" w:type="pct"/>
            <w:gridSpan w:val="3"/>
            <w:tcBorders>
              <w:top w:val="nil"/>
              <w:left w:val="nil"/>
              <w:bottom w:val="nil"/>
              <w:right w:val="nil"/>
            </w:tcBorders>
            <w:shd w:val="clear" w:color="auto" w:fill="auto"/>
            <w:tcMar>
              <w:top w:w="110" w:type="dxa"/>
            </w:tcMar>
          </w:tcPr>
          <w:p w:rsidR="001C19F7" w:rsidRPr="00867291" w:rsidRDefault="001C19F7" w:rsidP="008B1CDA">
            <w:pPr>
              <w:keepNext/>
              <w:keepLines/>
              <w:rPr>
                <w:color w:val="000000" w:themeColor="text1"/>
                <w:sz w:val="16"/>
                <w:szCs w:val="16"/>
              </w:rPr>
            </w:pPr>
            <w:r w:rsidRPr="00867291">
              <w:rPr>
                <w:color w:val="000000" w:themeColor="text1"/>
                <w:sz w:val="16"/>
              </w:rPr>
              <w:t>&gt; 75% (OOB)</w:t>
            </w:r>
          </w:p>
          <w:p w:rsidR="001C19F7" w:rsidRPr="00867291" w:rsidRDefault="001C19F7" w:rsidP="008B1CDA">
            <w:pPr>
              <w:keepNext/>
              <w:keepLines/>
              <w:rPr>
                <w:color w:val="000000" w:themeColor="text1"/>
                <w:sz w:val="16"/>
                <w:szCs w:val="16"/>
              </w:rPr>
            </w:pPr>
            <w:r w:rsidRPr="00867291">
              <w:rPr>
                <w:color w:val="000000" w:themeColor="text1"/>
                <w:sz w:val="16"/>
              </w:rPr>
              <w:t>&gt; 75% (OOS)</w:t>
            </w:r>
          </w:p>
        </w:tc>
        <w:tc>
          <w:tcPr>
            <w:tcW w:w="1456" w:type="pct"/>
            <w:gridSpan w:val="2"/>
            <w:tcBorders>
              <w:top w:val="nil"/>
              <w:left w:val="nil"/>
              <w:bottom w:val="nil"/>
              <w:right w:val="nil"/>
            </w:tcBorders>
            <w:shd w:val="clear" w:color="auto" w:fill="FFFFFF"/>
            <w:tcMar>
              <w:top w:w="110" w:type="dxa"/>
            </w:tcMar>
          </w:tcPr>
          <w:p w:rsidR="001C19F7" w:rsidRPr="00867291" w:rsidRDefault="001C19F7" w:rsidP="008B1CDA">
            <w:pPr>
              <w:keepNext/>
              <w:keepLines/>
              <w:rPr>
                <w:color w:val="000000" w:themeColor="text1"/>
                <w:sz w:val="16"/>
                <w:szCs w:val="16"/>
              </w:rPr>
            </w:pPr>
            <w:r w:rsidRPr="00867291">
              <w:rPr>
                <w:color w:val="000000" w:themeColor="text1"/>
                <w:sz w:val="16"/>
              </w:rPr>
              <w:t>No se organizaron talleres o seminarios relacionados con el sistema de Madrid en el Brasil (OOB) durante el bienio</w:t>
            </w:r>
          </w:p>
          <w:p w:rsidR="001C19F7" w:rsidRPr="00867291" w:rsidRDefault="001C19F7" w:rsidP="008B1CDA">
            <w:pPr>
              <w:keepNext/>
              <w:keepLines/>
              <w:rPr>
                <w:color w:val="000000" w:themeColor="text1"/>
                <w:sz w:val="16"/>
                <w:szCs w:val="16"/>
              </w:rPr>
            </w:pPr>
          </w:p>
          <w:p w:rsidR="001C19F7" w:rsidRPr="00867291" w:rsidRDefault="001C19F7" w:rsidP="008B1CDA">
            <w:pPr>
              <w:keepNext/>
              <w:keepLines/>
              <w:rPr>
                <w:color w:val="000000" w:themeColor="text1"/>
                <w:sz w:val="16"/>
                <w:szCs w:val="16"/>
              </w:rPr>
            </w:pPr>
            <w:r w:rsidRPr="00867291">
              <w:rPr>
                <w:color w:val="000000" w:themeColor="text1"/>
                <w:sz w:val="16"/>
              </w:rPr>
              <w:t>86% (OOS)</w:t>
            </w:r>
          </w:p>
        </w:tc>
        <w:tc>
          <w:tcPr>
            <w:tcW w:w="696" w:type="pct"/>
            <w:gridSpan w:val="5"/>
            <w:tcBorders>
              <w:top w:val="nil"/>
              <w:left w:val="nil"/>
              <w:bottom w:val="nil"/>
              <w:right w:val="single" w:sz="4" w:space="0" w:color="auto"/>
            </w:tcBorders>
            <w:shd w:val="clear" w:color="auto" w:fill="auto"/>
            <w:tcMar>
              <w:top w:w="110" w:type="dxa"/>
            </w:tcMar>
          </w:tcPr>
          <w:p w:rsidR="001C19F7" w:rsidRPr="00867291" w:rsidRDefault="001C19F7" w:rsidP="008B1CDA">
            <w:pPr>
              <w:keepNext/>
              <w:keepLines/>
              <w:ind w:right="20" w:hanging="71"/>
              <w:jc w:val="center"/>
              <w:rPr>
                <w:b/>
                <w:bCs/>
                <w:color w:val="000000" w:themeColor="text1"/>
                <w:sz w:val="16"/>
                <w:szCs w:val="16"/>
              </w:rPr>
            </w:pPr>
            <w:r w:rsidRPr="00194A5F">
              <w:rPr>
                <w:b/>
                <w:color w:val="FF0000"/>
                <w:sz w:val="16"/>
                <w:szCs w:val="16"/>
                <w:lang w:val="en-US"/>
              </w:rPr>
              <w:t>No</w:t>
            </w:r>
            <w:r w:rsidRPr="00867291">
              <w:rPr>
                <w:b/>
                <w:color w:val="000000" w:themeColor="text1"/>
                <w:sz w:val="16"/>
              </w:rPr>
              <w:t xml:space="preserve"> </w:t>
            </w:r>
            <w:proofErr w:type="spellStart"/>
            <w:r w:rsidRPr="00194A5F">
              <w:rPr>
                <w:b/>
                <w:color w:val="FF0000"/>
                <w:sz w:val="16"/>
                <w:szCs w:val="16"/>
                <w:lang w:val="en-US"/>
              </w:rPr>
              <w:t>logrado</w:t>
            </w:r>
            <w:proofErr w:type="spellEnd"/>
          </w:p>
          <w:p w:rsidR="001C19F7" w:rsidRPr="00867291" w:rsidRDefault="001C19F7" w:rsidP="008B1CDA">
            <w:pPr>
              <w:keepNext/>
              <w:keepLines/>
              <w:ind w:right="20" w:hanging="71"/>
              <w:rPr>
                <w:b/>
                <w:bCs/>
                <w:color w:val="000000" w:themeColor="text1"/>
                <w:sz w:val="16"/>
                <w:szCs w:val="16"/>
              </w:rPr>
            </w:pPr>
          </w:p>
          <w:p w:rsidR="001C19F7" w:rsidRPr="00867291" w:rsidRDefault="001C19F7" w:rsidP="008B1CDA">
            <w:pPr>
              <w:keepNext/>
              <w:keepLines/>
              <w:ind w:right="20" w:hanging="71"/>
              <w:rPr>
                <w:b/>
                <w:bCs/>
                <w:color w:val="000000" w:themeColor="text1"/>
                <w:sz w:val="16"/>
                <w:szCs w:val="16"/>
              </w:rPr>
            </w:pPr>
          </w:p>
          <w:p w:rsidR="001C19F7" w:rsidRPr="002265C0" w:rsidRDefault="00044DA1" w:rsidP="008B1CDA">
            <w:pPr>
              <w:keepNext/>
              <w:keepLines/>
              <w:ind w:left="-117" w:right="20"/>
              <w:jc w:val="center"/>
              <w:rPr>
                <w:b/>
                <w:bCs/>
                <w:color w:val="00B050"/>
                <w:sz w:val="16"/>
                <w:szCs w:val="16"/>
                <w:lang w:val="en-US"/>
              </w:rPr>
            </w:pPr>
            <w:proofErr w:type="spellStart"/>
            <w:r>
              <w:rPr>
                <w:b/>
                <w:bCs/>
                <w:color w:val="00B050"/>
                <w:sz w:val="16"/>
                <w:szCs w:val="16"/>
                <w:lang w:val="en-US"/>
              </w:rPr>
              <w:t>Plenamente</w:t>
            </w:r>
            <w:proofErr w:type="spellEnd"/>
            <w:r>
              <w:rPr>
                <w:b/>
                <w:bCs/>
                <w:color w:val="00B050"/>
                <w:sz w:val="16"/>
                <w:szCs w:val="16"/>
                <w:lang w:val="en-US"/>
              </w:rPr>
              <w:t xml:space="preserve"> </w:t>
            </w:r>
            <w:proofErr w:type="spellStart"/>
            <w:r>
              <w:rPr>
                <w:b/>
                <w:bCs/>
                <w:color w:val="00B050"/>
                <w:sz w:val="16"/>
                <w:szCs w:val="16"/>
                <w:lang w:val="en-US"/>
              </w:rPr>
              <w:t>logrado</w:t>
            </w:r>
            <w:proofErr w:type="spellEnd"/>
          </w:p>
          <w:p w:rsidR="001C19F7" w:rsidRPr="00867291" w:rsidRDefault="001C19F7" w:rsidP="008B1CDA">
            <w:pPr>
              <w:keepNext/>
              <w:keepLines/>
              <w:ind w:right="20" w:hanging="71"/>
              <w:jc w:val="center"/>
              <w:rPr>
                <w:b/>
                <w:bCs/>
                <w:color w:val="000000" w:themeColor="text1"/>
                <w:sz w:val="16"/>
                <w:szCs w:val="16"/>
              </w:rPr>
            </w:pPr>
          </w:p>
        </w:tc>
      </w:tr>
      <w:tr w:rsidR="001C19F7" w:rsidRPr="00867291" w:rsidTr="008B1CDA">
        <w:tc>
          <w:tcPr>
            <w:tcW w:w="1103" w:type="pct"/>
            <w:tcBorders>
              <w:top w:val="nil"/>
              <w:left w:val="single" w:sz="4" w:space="0" w:color="auto"/>
              <w:bottom w:val="single" w:sz="4" w:space="0" w:color="auto"/>
              <w:right w:val="nil"/>
            </w:tcBorders>
            <w:shd w:val="clear" w:color="auto" w:fill="auto"/>
          </w:tcPr>
          <w:p w:rsidR="001C19F7" w:rsidRPr="00867291" w:rsidRDefault="001C19F7" w:rsidP="008B1CDA">
            <w:pPr>
              <w:rPr>
                <w:color w:val="000000" w:themeColor="text1"/>
                <w:sz w:val="16"/>
                <w:szCs w:val="16"/>
              </w:rPr>
            </w:pPr>
            <w:r w:rsidRPr="00867291">
              <w:rPr>
                <w:color w:val="000000" w:themeColor="text1"/>
                <w:sz w:val="16"/>
              </w:rPr>
              <w:t>Número de Partes Contratantes del Protocolo de Madrid</w:t>
            </w:r>
          </w:p>
        </w:tc>
        <w:tc>
          <w:tcPr>
            <w:tcW w:w="1103" w:type="pct"/>
            <w:gridSpan w:val="4"/>
            <w:tcBorders>
              <w:top w:val="nil"/>
              <w:left w:val="nil"/>
              <w:bottom w:val="single" w:sz="4" w:space="0" w:color="auto"/>
              <w:right w:val="nil"/>
            </w:tcBorders>
            <w:shd w:val="clear" w:color="auto" w:fill="auto"/>
          </w:tcPr>
          <w:p w:rsidR="001C19F7" w:rsidRPr="00867291" w:rsidRDefault="001C19F7" w:rsidP="008B1CDA">
            <w:pPr>
              <w:rPr>
                <w:color w:val="000000" w:themeColor="text1"/>
                <w:sz w:val="16"/>
                <w:szCs w:val="16"/>
              </w:rPr>
            </w:pPr>
            <w:r w:rsidRPr="00194A5F">
              <w:rPr>
                <w:i/>
                <w:color w:val="002060"/>
                <w:sz w:val="16"/>
                <w:szCs w:val="16"/>
                <w:lang w:eastAsia="en-US"/>
              </w:rPr>
              <w:t>Referencia actualizada a fines de 2013:  3</w:t>
            </w:r>
            <w:r w:rsidRPr="00867291">
              <w:rPr>
                <w:color w:val="000000" w:themeColor="text1"/>
                <w:sz w:val="16"/>
              </w:rPr>
              <w:t xml:space="preserve"> </w:t>
            </w:r>
            <w:r w:rsidRPr="00194A5F">
              <w:rPr>
                <w:color w:val="002060"/>
                <w:sz w:val="16"/>
                <w:szCs w:val="16"/>
                <w:lang w:eastAsia="en-US"/>
              </w:rPr>
              <w:t xml:space="preserve">(Filipinas, Singapur y </w:t>
            </w:r>
            <w:proofErr w:type="spellStart"/>
            <w:r w:rsidRPr="00194A5F">
              <w:rPr>
                <w:color w:val="002060"/>
                <w:sz w:val="16"/>
                <w:szCs w:val="16"/>
                <w:lang w:eastAsia="en-US"/>
              </w:rPr>
              <w:t>Viet</w:t>
            </w:r>
            <w:proofErr w:type="spellEnd"/>
            <w:r w:rsidRPr="00194A5F">
              <w:rPr>
                <w:color w:val="002060"/>
                <w:sz w:val="16"/>
                <w:szCs w:val="16"/>
                <w:lang w:eastAsia="en-US"/>
              </w:rPr>
              <w:t> </w:t>
            </w:r>
            <w:proofErr w:type="spellStart"/>
            <w:r w:rsidRPr="00194A5F">
              <w:rPr>
                <w:color w:val="002060"/>
                <w:sz w:val="16"/>
                <w:szCs w:val="16"/>
                <w:lang w:eastAsia="en-US"/>
              </w:rPr>
              <w:t>Nam</w:t>
            </w:r>
            <w:proofErr w:type="spellEnd"/>
            <w:r w:rsidRPr="00194A5F">
              <w:rPr>
                <w:color w:val="002060"/>
                <w:sz w:val="16"/>
                <w:szCs w:val="16"/>
                <w:lang w:eastAsia="en-US"/>
              </w:rPr>
              <w:t>) (OOS)</w:t>
            </w:r>
          </w:p>
          <w:p w:rsidR="001C19F7" w:rsidRPr="00867291" w:rsidRDefault="001C19F7" w:rsidP="008B1CDA">
            <w:pPr>
              <w:rPr>
                <w:i/>
                <w:color w:val="000000" w:themeColor="text1"/>
                <w:sz w:val="16"/>
                <w:szCs w:val="16"/>
              </w:rPr>
            </w:pPr>
            <w:r w:rsidRPr="00867291">
              <w:rPr>
                <w:i/>
                <w:color w:val="000000" w:themeColor="text1"/>
                <w:sz w:val="16"/>
              </w:rPr>
              <w:t>Referencia original en el presupuesto de 2014/15:</w:t>
            </w:r>
            <w:r w:rsidRPr="00867291">
              <w:rPr>
                <w:color w:val="000000" w:themeColor="text1"/>
                <w:sz w:val="16"/>
              </w:rPr>
              <w:t xml:space="preserve">  3 (OOS)</w:t>
            </w:r>
          </w:p>
        </w:tc>
        <w:tc>
          <w:tcPr>
            <w:tcW w:w="642" w:type="pct"/>
            <w:gridSpan w:val="3"/>
            <w:tcBorders>
              <w:top w:val="nil"/>
              <w:left w:val="nil"/>
              <w:bottom w:val="single" w:sz="4" w:space="0" w:color="auto"/>
              <w:right w:val="nil"/>
            </w:tcBorders>
            <w:shd w:val="clear" w:color="auto" w:fill="auto"/>
            <w:tcMar>
              <w:top w:w="110" w:type="dxa"/>
            </w:tcMar>
          </w:tcPr>
          <w:p w:rsidR="001C19F7" w:rsidRPr="00867291" w:rsidRDefault="001C19F7" w:rsidP="008B1CDA">
            <w:pPr>
              <w:rPr>
                <w:color w:val="000000" w:themeColor="text1"/>
                <w:sz w:val="16"/>
                <w:szCs w:val="16"/>
              </w:rPr>
            </w:pPr>
            <w:r w:rsidRPr="00867291">
              <w:rPr>
                <w:color w:val="000000" w:themeColor="text1"/>
                <w:sz w:val="16"/>
              </w:rPr>
              <w:t>10 (OOS)</w:t>
            </w:r>
          </w:p>
        </w:tc>
        <w:tc>
          <w:tcPr>
            <w:tcW w:w="1456" w:type="pct"/>
            <w:gridSpan w:val="2"/>
            <w:tcBorders>
              <w:top w:val="nil"/>
              <w:left w:val="nil"/>
              <w:bottom w:val="single" w:sz="4" w:space="0" w:color="auto"/>
              <w:right w:val="nil"/>
            </w:tcBorders>
            <w:shd w:val="clear" w:color="auto" w:fill="FFFFFF"/>
            <w:tcMar>
              <w:top w:w="110" w:type="dxa"/>
            </w:tcMar>
          </w:tcPr>
          <w:p w:rsidR="001C19F7" w:rsidRPr="00867291" w:rsidRDefault="001C19F7" w:rsidP="008B1CDA">
            <w:pPr>
              <w:rPr>
                <w:color w:val="000000" w:themeColor="text1"/>
                <w:sz w:val="16"/>
                <w:szCs w:val="16"/>
              </w:rPr>
            </w:pPr>
            <w:r w:rsidRPr="00867291">
              <w:rPr>
                <w:color w:val="000000" w:themeColor="text1"/>
                <w:sz w:val="16"/>
              </w:rPr>
              <w:t>otros 2 Estados miembros de la ASEAN en 2014/15 (Camboya y República Democrática Popular Lao)</w:t>
            </w:r>
          </w:p>
          <w:p w:rsidR="001C19F7" w:rsidRPr="00867291" w:rsidRDefault="001C19F7" w:rsidP="008B1CDA">
            <w:pPr>
              <w:rPr>
                <w:color w:val="000000" w:themeColor="text1"/>
                <w:sz w:val="16"/>
                <w:szCs w:val="16"/>
              </w:rPr>
            </w:pPr>
            <w:r w:rsidRPr="00867291">
              <w:rPr>
                <w:color w:val="000000" w:themeColor="text1"/>
                <w:sz w:val="16"/>
              </w:rPr>
              <w:t>5 acumulados</w:t>
            </w:r>
          </w:p>
        </w:tc>
        <w:tc>
          <w:tcPr>
            <w:tcW w:w="696" w:type="pct"/>
            <w:gridSpan w:val="5"/>
            <w:tcBorders>
              <w:top w:val="nil"/>
              <w:left w:val="nil"/>
              <w:bottom w:val="single" w:sz="4" w:space="0" w:color="auto"/>
              <w:right w:val="single" w:sz="4" w:space="0" w:color="auto"/>
            </w:tcBorders>
            <w:shd w:val="clear" w:color="auto" w:fill="auto"/>
            <w:tcMar>
              <w:top w:w="110" w:type="dxa"/>
            </w:tcMar>
          </w:tcPr>
          <w:p w:rsidR="001C19F7" w:rsidRPr="00867291" w:rsidRDefault="00044DA1" w:rsidP="008B1CDA">
            <w:pPr>
              <w:keepNext/>
              <w:keepLines/>
              <w:tabs>
                <w:tab w:val="left" w:pos="902"/>
              </w:tabs>
              <w:ind w:right="20"/>
              <w:jc w:val="center"/>
              <w:rPr>
                <w:b/>
                <w:bCs/>
                <w:color w:val="000000" w:themeColor="text1"/>
                <w:sz w:val="16"/>
                <w:szCs w:val="16"/>
              </w:rPr>
            </w:pPr>
            <w:proofErr w:type="spellStart"/>
            <w:r>
              <w:rPr>
                <w:b/>
                <w:bCs/>
                <w:color w:val="E36C0A" w:themeColor="accent6" w:themeShade="BF"/>
                <w:sz w:val="16"/>
                <w:szCs w:val="16"/>
                <w:lang w:val="en-US"/>
              </w:rPr>
              <w:t>P</w:t>
            </w:r>
            <w:r w:rsidR="001C19F7" w:rsidRPr="00194A5F">
              <w:rPr>
                <w:b/>
                <w:bCs/>
                <w:color w:val="E36C0A" w:themeColor="accent6" w:themeShade="BF"/>
                <w:sz w:val="16"/>
                <w:szCs w:val="16"/>
                <w:lang w:val="en-US"/>
              </w:rPr>
              <w:t>arcialmente</w:t>
            </w:r>
            <w:proofErr w:type="spellEnd"/>
            <w:r>
              <w:rPr>
                <w:b/>
                <w:bCs/>
                <w:color w:val="E36C0A" w:themeColor="accent6" w:themeShade="BF"/>
                <w:sz w:val="16"/>
                <w:szCs w:val="16"/>
                <w:lang w:val="en-US"/>
              </w:rPr>
              <w:t xml:space="preserve"> </w:t>
            </w:r>
            <w:proofErr w:type="spellStart"/>
            <w:r>
              <w:rPr>
                <w:b/>
                <w:bCs/>
                <w:color w:val="E36C0A" w:themeColor="accent6" w:themeShade="BF"/>
                <w:sz w:val="16"/>
                <w:szCs w:val="16"/>
                <w:lang w:val="en-US"/>
              </w:rPr>
              <w:t>logrado</w:t>
            </w:r>
            <w:proofErr w:type="spellEnd"/>
          </w:p>
        </w:tc>
      </w:tr>
      <w:tr w:rsidR="001C19F7" w:rsidRPr="00867291" w:rsidTr="008B1CDA">
        <w:tc>
          <w:tcPr>
            <w:tcW w:w="1103" w:type="pct"/>
            <w:tcBorders>
              <w:top w:val="single" w:sz="4" w:space="0" w:color="auto"/>
              <w:left w:val="single" w:sz="4" w:space="0" w:color="auto"/>
              <w:bottom w:val="nil"/>
              <w:right w:val="nil"/>
            </w:tcBorders>
            <w:shd w:val="clear" w:color="auto" w:fill="auto"/>
          </w:tcPr>
          <w:p w:rsidR="001C19F7" w:rsidRPr="00867291" w:rsidRDefault="001C19F7" w:rsidP="008B1CDA">
            <w:pPr>
              <w:keepNext/>
              <w:rPr>
                <w:color w:val="000000" w:themeColor="text1"/>
                <w:sz w:val="16"/>
                <w:szCs w:val="16"/>
              </w:rPr>
            </w:pPr>
            <w:r w:rsidRPr="00867291">
              <w:rPr>
                <w:color w:val="000000" w:themeColor="text1"/>
                <w:sz w:val="16"/>
              </w:rPr>
              <w:lastRenderedPageBreak/>
              <w:t>Número de nuevos registros (Sistema de Madrid)</w:t>
            </w:r>
          </w:p>
        </w:tc>
        <w:tc>
          <w:tcPr>
            <w:tcW w:w="1103" w:type="pct"/>
            <w:gridSpan w:val="4"/>
            <w:tcBorders>
              <w:top w:val="single" w:sz="4" w:space="0" w:color="auto"/>
              <w:left w:val="nil"/>
              <w:bottom w:val="nil"/>
              <w:right w:val="nil"/>
            </w:tcBorders>
            <w:shd w:val="clear" w:color="auto" w:fill="auto"/>
          </w:tcPr>
          <w:p w:rsidR="001C19F7" w:rsidRPr="00867291" w:rsidRDefault="001C19F7" w:rsidP="008B1CDA">
            <w:pPr>
              <w:keepNext/>
              <w:rPr>
                <w:i/>
                <w:color w:val="000000" w:themeColor="text1"/>
                <w:sz w:val="16"/>
                <w:szCs w:val="16"/>
              </w:rPr>
            </w:pPr>
            <w:r w:rsidRPr="00EF75DA">
              <w:rPr>
                <w:i/>
                <w:color w:val="002060"/>
                <w:sz w:val="16"/>
                <w:szCs w:val="16"/>
                <w:lang w:eastAsia="en-US"/>
              </w:rPr>
              <w:t>Referencia</w:t>
            </w:r>
            <w:r w:rsidRPr="00867291">
              <w:rPr>
                <w:i/>
                <w:color w:val="000000" w:themeColor="text1"/>
                <w:sz w:val="16"/>
              </w:rPr>
              <w:t xml:space="preserve"> </w:t>
            </w:r>
            <w:r w:rsidRPr="00EF75DA">
              <w:rPr>
                <w:i/>
                <w:color w:val="002060"/>
                <w:sz w:val="16"/>
                <w:szCs w:val="16"/>
                <w:lang w:eastAsia="en-US"/>
              </w:rPr>
              <w:t>actualizada a fines de 2013:</w:t>
            </w:r>
            <w:r w:rsidRPr="00867291">
              <w:rPr>
                <w:i/>
                <w:color w:val="000000" w:themeColor="text1"/>
                <w:sz w:val="16"/>
              </w:rPr>
              <w:t xml:space="preserve">  </w:t>
            </w:r>
          </w:p>
          <w:p w:rsidR="001C19F7" w:rsidRPr="00EF75DA" w:rsidRDefault="001C19F7" w:rsidP="008B1CDA">
            <w:pPr>
              <w:keepNext/>
              <w:rPr>
                <w:color w:val="002060"/>
                <w:sz w:val="16"/>
                <w:szCs w:val="16"/>
                <w:lang w:eastAsia="en-US"/>
              </w:rPr>
            </w:pPr>
            <w:r w:rsidRPr="00EF75DA">
              <w:rPr>
                <w:color w:val="002060"/>
                <w:sz w:val="16"/>
                <w:szCs w:val="16"/>
                <w:lang w:eastAsia="en-US"/>
              </w:rPr>
              <w:t>2012: 2.054                 2013: 1.845 (OOJ)</w:t>
            </w:r>
          </w:p>
          <w:p w:rsidR="001C19F7" w:rsidRPr="00EF75DA" w:rsidRDefault="001C19F7" w:rsidP="008B1CDA">
            <w:pPr>
              <w:keepNext/>
              <w:rPr>
                <w:color w:val="002060"/>
                <w:sz w:val="16"/>
                <w:szCs w:val="16"/>
                <w:lang w:eastAsia="en-US"/>
              </w:rPr>
            </w:pPr>
            <w:r w:rsidRPr="00EF75DA">
              <w:rPr>
                <w:color w:val="002060"/>
                <w:sz w:val="16"/>
                <w:szCs w:val="16"/>
                <w:lang w:eastAsia="en-US"/>
              </w:rPr>
              <w:t>2012 = 327</w:t>
            </w:r>
          </w:p>
          <w:p w:rsidR="001C19F7" w:rsidRPr="00EF75DA" w:rsidRDefault="001C19F7" w:rsidP="008B1CDA">
            <w:pPr>
              <w:keepNext/>
              <w:rPr>
                <w:color w:val="002060"/>
                <w:sz w:val="16"/>
                <w:szCs w:val="16"/>
                <w:lang w:eastAsia="en-US"/>
              </w:rPr>
            </w:pPr>
            <w:r w:rsidRPr="00EF75DA">
              <w:rPr>
                <w:color w:val="002060"/>
                <w:sz w:val="16"/>
                <w:szCs w:val="16"/>
                <w:lang w:eastAsia="en-US"/>
              </w:rPr>
              <w:t>2013 = 337 (OOS)</w:t>
            </w:r>
          </w:p>
          <w:p w:rsidR="001C19F7" w:rsidRPr="00867291" w:rsidRDefault="001C19F7" w:rsidP="008B1CDA">
            <w:pPr>
              <w:keepNext/>
              <w:rPr>
                <w:color w:val="000000" w:themeColor="text1"/>
                <w:sz w:val="16"/>
                <w:szCs w:val="16"/>
              </w:rPr>
            </w:pPr>
            <w:r w:rsidRPr="00867291">
              <w:rPr>
                <w:i/>
                <w:color w:val="000000" w:themeColor="text1"/>
                <w:sz w:val="16"/>
              </w:rPr>
              <w:t>Referencia original en el presupuesto de 14/15:</w:t>
            </w:r>
            <w:r w:rsidRPr="00867291">
              <w:rPr>
                <w:color w:val="000000" w:themeColor="text1"/>
                <w:sz w:val="16"/>
              </w:rPr>
              <w:t xml:space="preserve">  </w:t>
            </w:r>
          </w:p>
          <w:p w:rsidR="001C19F7" w:rsidRPr="00867291" w:rsidRDefault="001C19F7" w:rsidP="008B1CDA">
            <w:pPr>
              <w:keepNext/>
              <w:rPr>
                <w:color w:val="000000" w:themeColor="text1"/>
                <w:sz w:val="16"/>
                <w:szCs w:val="16"/>
              </w:rPr>
            </w:pPr>
            <w:r w:rsidRPr="00867291">
              <w:rPr>
                <w:color w:val="000000" w:themeColor="text1"/>
                <w:sz w:val="16"/>
              </w:rPr>
              <w:t>Estadísticas de la ASEAN y el Japón sobre el Sistema de Madrid (</w:t>
            </w:r>
            <w:r w:rsidRPr="00EF75DA">
              <w:rPr>
                <w:color w:val="002060"/>
                <w:sz w:val="16"/>
                <w:szCs w:val="16"/>
                <w:lang w:eastAsia="en-US"/>
              </w:rPr>
              <w:t>OOS</w:t>
            </w:r>
            <w:r w:rsidRPr="00867291">
              <w:rPr>
                <w:color w:val="000000" w:themeColor="text1"/>
                <w:sz w:val="16"/>
              </w:rPr>
              <w:t>)</w:t>
            </w:r>
          </w:p>
          <w:p w:rsidR="001C19F7" w:rsidRPr="00867291" w:rsidRDefault="001C19F7" w:rsidP="008B1CDA">
            <w:pPr>
              <w:keepNext/>
              <w:rPr>
                <w:i/>
                <w:color w:val="000000" w:themeColor="text1"/>
                <w:sz w:val="16"/>
                <w:szCs w:val="16"/>
              </w:rPr>
            </w:pPr>
          </w:p>
          <w:p w:rsidR="001C19F7" w:rsidRPr="00867291" w:rsidRDefault="001C19F7" w:rsidP="008B1CDA">
            <w:pPr>
              <w:keepNext/>
              <w:rPr>
                <w:color w:val="000000" w:themeColor="text1"/>
                <w:sz w:val="16"/>
                <w:szCs w:val="16"/>
              </w:rPr>
            </w:pPr>
            <w:r w:rsidRPr="00EF75DA">
              <w:rPr>
                <w:i/>
                <w:sz w:val="16"/>
                <w:szCs w:val="16"/>
                <w:lang w:eastAsia="en-US"/>
              </w:rPr>
              <w:t>Referencia original en el presupuesto de 2014/15</w:t>
            </w:r>
            <w:r w:rsidRPr="00EF75DA">
              <w:rPr>
                <w:i/>
                <w:color w:val="002060"/>
                <w:sz w:val="16"/>
                <w:szCs w:val="16"/>
                <w:lang w:eastAsia="en-US"/>
              </w:rPr>
              <w:t>:</w:t>
            </w:r>
            <w:r w:rsidRPr="00867291">
              <w:rPr>
                <w:color w:val="000000" w:themeColor="text1"/>
                <w:sz w:val="16"/>
              </w:rPr>
              <w:t xml:space="preserve"> </w:t>
            </w:r>
          </w:p>
          <w:p w:rsidR="001C19F7" w:rsidRPr="00916619" w:rsidRDefault="001C19F7" w:rsidP="008B1CDA">
            <w:pPr>
              <w:keepNext/>
              <w:rPr>
                <w:color w:val="000000" w:themeColor="text1"/>
                <w:sz w:val="16"/>
              </w:rPr>
            </w:pPr>
            <w:r w:rsidRPr="00867291">
              <w:rPr>
                <w:color w:val="000000" w:themeColor="text1"/>
                <w:sz w:val="16"/>
              </w:rPr>
              <w:t xml:space="preserve">Estadísticas de la ASEAN sobre el sistema de </w:t>
            </w:r>
            <w:r w:rsidRPr="00916619">
              <w:rPr>
                <w:color w:val="000000" w:themeColor="text1"/>
                <w:sz w:val="16"/>
              </w:rPr>
              <w:t>Madrid (OOS) 2012/13</w:t>
            </w:r>
          </w:p>
          <w:p w:rsidR="001C19F7" w:rsidRPr="00867291" w:rsidRDefault="001C19F7" w:rsidP="008B1CDA">
            <w:pPr>
              <w:keepNext/>
              <w:rPr>
                <w:color w:val="000000" w:themeColor="text1"/>
                <w:sz w:val="16"/>
                <w:szCs w:val="16"/>
              </w:rPr>
            </w:pPr>
            <w:r w:rsidRPr="00916619">
              <w:rPr>
                <w:color w:val="000000" w:themeColor="text1"/>
                <w:sz w:val="16"/>
              </w:rPr>
              <w:t>Estadísticas de la ASEAN y el Japón sobre el Sistema de Madrid (OOJ) 2012/13</w:t>
            </w:r>
          </w:p>
        </w:tc>
        <w:tc>
          <w:tcPr>
            <w:tcW w:w="642" w:type="pct"/>
            <w:gridSpan w:val="3"/>
            <w:tcBorders>
              <w:top w:val="single" w:sz="4" w:space="0" w:color="auto"/>
              <w:left w:val="nil"/>
              <w:bottom w:val="nil"/>
              <w:right w:val="nil"/>
            </w:tcBorders>
            <w:shd w:val="clear" w:color="auto" w:fill="auto"/>
            <w:tcMar>
              <w:top w:w="110" w:type="dxa"/>
            </w:tcMar>
          </w:tcPr>
          <w:p w:rsidR="001C19F7" w:rsidRPr="00867291" w:rsidRDefault="001C19F7" w:rsidP="008B1CDA">
            <w:pPr>
              <w:keepNext/>
              <w:rPr>
                <w:color w:val="000000" w:themeColor="text1"/>
                <w:sz w:val="16"/>
                <w:szCs w:val="16"/>
              </w:rPr>
            </w:pPr>
            <w:r w:rsidRPr="00867291">
              <w:rPr>
                <w:color w:val="000000" w:themeColor="text1"/>
                <w:sz w:val="16"/>
              </w:rPr>
              <w:t>Aumento de las solicitudes presentadas (OOJ)</w:t>
            </w:r>
          </w:p>
          <w:p w:rsidR="001C19F7" w:rsidRPr="00867291" w:rsidRDefault="001C19F7" w:rsidP="008B1CDA">
            <w:pPr>
              <w:keepNext/>
              <w:rPr>
                <w:color w:val="000000" w:themeColor="text1"/>
                <w:sz w:val="16"/>
                <w:szCs w:val="16"/>
              </w:rPr>
            </w:pPr>
            <w:r w:rsidRPr="00867291">
              <w:rPr>
                <w:color w:val="000000" w:themeColor="text1"/>
                <w:sz w:val="16"/>
              </w:rPr>
              <w:t>Aumento de las solicitudes presentadas en un 5% (OOS)</w:t>
            </w:r>
            <w:r w:rsidRPr="00867291">
              <w:rPr>
                <w:rStyle w:val="FootnoteReference"/>
                <w:color w:val="000000" w:themeColor="text1"/>
              </w:rPr>
              <w:footnoteReference w:id="112"/>
            </w:r>
          </w:p>
          <w:p w:rsidR="001C19F7" w:rsidRPr="00867291" w:rsidRDefault="001C19F7" w:rsidP="008B1CDA">
            <w:pPr>
              <w:keepNext/>
              <w:rPr>
                <w:color w:val="000000" w:themeColor="text1"/>
                <w:sz w:val="16"/>
                <w:szCs w:val="16"/>
              </w:rPr>
            </w:pPr>
          </w:p>
          <w:p w:rsidR="001C19F7" w:rsidRPr="00867291" w:rsidRDefault="001C19F7" w:rsidP="008B1CDA">
            <w:pPr>
              <w:keepNext/>
              <w:rPr>
                <w:color w:val="000000" w:themeColor="text1"/>
                <w:sz w:val="16"/>
                <w:szCs w:val="16"/>
              </w:rPr>
            </w:pPr>
          </w:p>
          <w:p w:rsidR="001C19F7" w:rsidRPr="00867291" w:rsidRDefault="001C19F7" w:rsidP="008B1CDA">
            <w:pPr>
              <w:keepNext/>
              <w:rPr>
                <w:color w:val="000000" w:themeColor="text1"/>
                <w:sz w:val="16"/>
                <w:szCs w:val="16"/>
              </w:rPr>
            </w:pPr>
          </w:p>
        </w:tc>
        <w:tc>
          <w:tcPr>
            <w:tcW w:w="1456" w:type="pct"/>
            <w:gridSpan w:val="2"/>
            <w:tcBorders>
              <w:top w:val="single" w:sz="4" w:space="0" w:color="auto"/>
              <w:left w:val="nil"/>
              <w:bottom w:val="nil"/>
              <w:right w:val="nil"/>
            </w:tcBorders>
            <w:shd w:val="clear" w:color="auto" w:fill="FFFFFF"/>
            <w:tcMar>
              <w:top w:w="110" w:type="dxa"/>
            </w:tcMar>
          </w:tcPr>
          <w:p w:rsidR="001C19F7" w:rsidRPr="00867291" w:rsidRDefault="001C19F7" w:rsidP="008B1CDA">
            <w:pPr>
              <w:keepNext/>
              <w:rPr>
                <w:color w:val="000000" w:themeColor="text1"/>
                <w:sz w:val="16"/>
                <w:szCs w:val="16"/>
              </w:rPr>
            </w:pPr>
            <w:r w:rsidRPr="00867291">
              <w:rPr>
                <w:color w:val="000000" w:themeColor="text1"/>
                <w:sz w:val="16"/>
              </w:rPr>
              <w:t>2014/15: 4.200 (+8%)</w:t>
            </w:r>
          </w:p>
          <w:p w:rsidR="001C19F7" w:rsidRPr="00867291" w:rsidRDefault="001C19F7" w:rsidP="008B1CDA">
            <w:pPr>
              <w:keepNext/>
              <w:rPr>
                <w:color w:val="000000" w:themeColor="text1"/>
                <w:sz w:val="16"/>
                <w:szCs w:val="16"/>
              </w:rPr>
            </w:pPr>
            <w:r w:rsidRPr="00867291">
              <w:rPr>
                <w:color w:val="000000" w:themeColor="text1"/>
                <w:sz w:val="16"/>
              </w:rPr>
              <w:t>2014</w:t>
            </w:r>
            <w:proofErr w:type="gramStart"/>
            <w:r w:rsidRPr="00867291">
              <w:rPr>
                <w:color w:val="000000" w:themeColor="text1"/>
                <w:sz w:val="16"/>
              </w:rPr>
              <w:t>:  2.033</w:t>
            </w:r>
            <w:proofErr w:type="gramEnd"/>
            <w:r w:rsidRPr="00867291">
              <w:rPr>
                <w:color w:val="000000" w:themeColor="text1"/>
                <w:sz w:val="16"/>
              </w:rPr>
              <w:t xml:space="preserve"> (+10%) </w:t>
            </w:r>
          </w:p>
          <w:p w:rsidR="001C19F7" w:rsidRPr="00867291" w:rsidRDefault="001C19F7" w:rsidP="008B1CDA">
            <w:pPr>
              <w:keepNext/>
              <w:rPr>
                <w:color w:val="000000" w:themeColor="text1"/>
                <w:sz w:val="16"/>
                <w:szCs w:val="16"/>
              </w:rPr>
            </w:pPr>
            <w:r w:rsidRPr="00867291">
              <w:rPr>
                <w:color w:val="000000" w:themeColor="text1"/>
                <w:sz w:val="16"/>
              </w:rPr>
              <w:t>2015</w:t>
            </w:r>
            <w:proofErr w:type="gramStart"/>
            <w:r w:rsidRPr="00867291">
              <w:rPr>
                <w:color w:val="000000" w:themeColor="text1"/>
                <w:sz w:val="16"/>
              </w:rPr>
              <w:t>:  2.167</w:t>
            </w:r>
            <w:proofErr w:type="gramEnd"/>
            <w:r w:rsidRPr="00867291">
              <w:rPr>
                <w:color w:val="000000" w:themeColor="text1"/>
                <w:sz w:val="16"/>
              </w:rPr>
              <w:t xml:space="preserve"> (+7%)</w:t>
            </w:r>
          </w:p>
          <w:p w:rsidR="001C19F7" w:rsidRPr="00867291" w:rsidRDefault="001C19F7" w:rsidP="008B1CDA">
            <w:pPr>
              <w:keepNext/>
              <w:rPr>
                <w:color w:val="000000" w:themeColor="text1"/>
                <w:sz w:val="16"/>
                <w:szCs w:val="16"/>
              </w:rPr>
            </w:pPr>
          </w:p>
          <w:p w:rsidR="001C19F7" w:rsidRPr="00867291" w:rsidRDefault="001C19F7" w:rsidP="008B1CDA">
            <w:pPr>
              <w:keepNext/>
              <w:rPr>
                <w:color w:val="000000" w:themeColor="text1"/>
                <w:sz w:val="16"/>
                <w:szCs w:val="16"/>
              </w:rPr>
            </w:pPr>
            <w:r w:rsidRPr="00867291">
              <w:rPr>
                <w:color w:val="000000" w:themeColor="text1"/>
                <w:sz w:val="16"/>
              </w:rPr>
              <w:t>2014/15: 860 (+30%)</w:t>
            </w:r>
          </w:p>
          <w:p w:rsidR="001C19F7" w:rsidRPr="00867291" w:rsidRDefault="001C19F7" w:rsidP="008B1CDA">
            <w:pPr>
              <w:keepNext/>
              <w:rPr>
                <w:color w:val="000000" w:themeColor="text1"/>
                <w:sz w:val="16"/>
                <w:szCs w:val="16"/>
              </w:rPr>
            </w:pPr>
            <w:r w:rsidRPr="00867291">
              <w:rPr>
                <w:color w:val="000000" w:themeColor="text1"/>
                <w:sz w:val="16"/>
              </w:rPr>
              <w:t>2014</w:t>
            </w:r>
            <w:proofErr w:type="gramStart"/>
            <w:r w:rsidRPr="00867291">
              <w:rPr>
                <w:color w:val="000000" w:themeColor="text1"/>
                <w:sz w:val="16"/>
              </w:rPr>
              <w:t>:  351</w:t>
            </w:r>
            <w:proofErr w:type="gramEnd"/>
            <w:r w:rsidRPr="00867291">
              <w:rPr>
                <w:color w:val="000000" w:themeColor="text1"/>
                <w:sz w:val="16"/>
              </w:rPr>
              <w:t xml:space="preserve"> (+4%)  </w:t>
            </w:r>
          </w:p>
          <w:p w:rsidR="001C19F7" w:rsidRPr="00867291" w:rsidRDefault="001C19F7" w:rsidP="008B1CDA">
            <w:pPr>
              <w:keepNext/>
              <w:rPr>
                <w:color w:val="000000" w:themeColor="text1"/>
                <w:sz w:val="16"/>
                <w:szCs w:val="16"/>
              </w:rPr>
            </w:pPr>
            <w:r w:rsidRPr="00867291">
              <w:rPr>
                <w:color w:val="000000" w:themeColor="text1"/>
                <w:sz w:val="16"/>
              </w:rPr>
              <w:t>2015:  509 (+44%</w:t>
            </w:r>
            <w:r w:rsidRPr="00867291">
              <w:rPr>
                <w:rStyle w:val="FootnoteReference"/>
                <w:color w:val="000000" w:themeColor="text1"/>
              </w:rPr>
              <w:footnoteReference w:id="113"/>
            </w:r>
            <w:r w:rsidRPr="00867291">
              <w:rPr>
                <w:color w:val="000000" w:themeColor="text1"/>
                <w:sz w:val="16"/>
              </w:rPr>
              <w:t>)</w:t>
            </w:r>
          </w:p>
          <w:p w:rsidR="001C19F7" w:rsidRPr="00867291" w:rsidRDefault="001C19F7" w:rsidP="008B1CDA">
            <w:pPr>
              <w:keepNext/>
              <w:rPr>
                <w:color w:val="000000" w:themeColor="text1"/>
                <w:sz w:val="16"/>
                <w:szCs w:val="16"/>
              </w:rPr>
            </w:pPr>
          </w:p>
          <w:p w:rsidR="001C19F7" w:rsidRPr="00867291" w:rsidRDefault="001C19F7" w:rsidP="008B1CDA">
            <w:pPr>
              <w:keepNext/>
              <w:rPr>
                <w:color w:val="000000" w:themeColor="text1"/>
                <w:sz w:val="16"/>
                <w:szCs w:val="16"/>
              </w:rPr>
            </w:pPr>
          </w:p>
          <w:p w:rsidR="001C19F7" w:rsidRPr="00867291" w:rsidRDefault="001C19F7" w:rsidP="008B1CDA">
            <w:pPr>
              <w:keepNext/>
              <w:rPr>
                <w:color w:val="000000" w:themeColor="text1"/>
                <w:sz w:val="16"/>
                <w:szCs w:val="16"/>
              </w:rPr>
            </w:pPr>
          </w:p>
        </w:tc>
        <w:tc>
          <w:tcPr>
            <w:tcW w:w="696" w:type="pct"/>
            <w:gridSpan w:val="5"/>
            <w:tcBorders>
              <w:top w:val="single" w:sz="4" w:space="0" w:color="auto"/>
              <w:left w:val="nil"/>
              <w:bottom w:val="nil"/>
              <w:right w:val="single" w:sz="4" w:space="0" w:color="auto"/>
            </w:tcBorders>
            <w:shd w:val="clear" w:color="auto" w:fill="auto"/>
            <w:tcMar>
              <w:top w:w="110" w:type="dxa"/>
            </w:tcMar>
          </w:tcPr>
          <w:p w:rsidR="001C19F7" w:rsidRPr="00867291" w:rsidRDefault="00044DA1" w:rsidP="008B1CDA">
            <w:pPr>
              <w:keepNext/>
              <w:keepLines/>
              <w:ind w:left="-117" w:right="20"/>
              <w:jc w:val="center"/>
              <w:rPr>
                <w:b/>
                <w:bCs/>
                <w:color w:val="000000" w:themeColor="text1"/>
                <w:sz w:val="16"/>
                <w:szCs w:val="16"/>
              </w:rPr>
            </w:pPr>
            <w:proofErr w:type="spellStart"/>
            <w:r>
              <w:rPr>
                <w:b/>
                <w:bCs/>
                <w:color w:val="00B050"/>
                <w:sz w:val="16"/>
                <w:szCs w:val="16"/>
                <w:lang w:val="en-US"/>
              </w:rPr>
              <w:t>Plenamente</w:t>
            </w:r>
            <w:proofErr w:type="spellEnd"/>
            <w:r>
              <w:rPr>
                <w:b/>
                <w:bCs/>
                <w:color w:val="00B050"/>
                <w:sz w:val="16"/>
                <w:szCs w:val="16"/>
                <w:lang w:val="en-US"/>
              </w:rPr>
              <w:t xml:space="preserve"> </w:t>
            </w:r>
            <w:proofErr w:type="spellStart"/>
            <w:r>
              <w:rPr>
                <w:b/>
                <w:bCs/>
                <w:color w:val="00B050"/>
                <w:sz w:val="16"/>
                <w:szCs w:val="16"/>
                <w:lang w:val="en-US"/>
              </w:rPr>
              <w:t>logrado</w:t>
            </w:r>
            <w:proofErr w:type="spellEnd"/>
          </w:p>
          <w:p w:rsidR="001C19F7" w:rsidRPr="00867291" w:rsidRDefault="001C19F7" w:rsidP="008B1CDA">
            <w:pPr>
              <w:keepNext/>
              <w:keepLines/>
              <w:ind w:right="20" w:hanging="71"/>
              <w:rPr>
                <w:b/>
                <w:color w:val="000000" w:themeColor="text1"/>
                <w:sz w:val="16"/>
                <w:szCs w:val="16"/>
              </w:rPr>
            </w:pPr>
          </w:p>
          <w:p w:rsidR="001C19F7" w:rsidRPr="00867291" w:rsidRDefault="001C19F7" w:rsidP="008B1CDA">
            <w:pPr>
              <w:keepNext/>
              <w:keepLines/>
              <w:ind w:right="20" w:hanging="71"/>
              <w:rPr>
                <w:b/>
                <w:color w:val="000000" w:themeColor="text1"/>
                <w:sz w:val="16"/>
                <w:szCs w:val="16"/>
              </w:rPr>
            </w:pPr>
          </w:p>
          <w:p w:rsidR="001C19F7" w:rsidRPr="00867291" w:rsidRDefault="001C19F7" w:rsidP="008B1CDA">
            <w:pPr>
              <w:keepNext/>
              <w:keepLines/>
              <w:ind w:right="20" w:hanging="71"/>
              <w:jc w:val="center"/>
              <w:rPr>
                <w:b/>
                <w:bCs/>
                <w:color w:val="000000" w:themeColor="text1"/>
                <w:sz w:val="16"/>
                <w:szCs w:val="16"/>
              </w:rPr>
            </w:pPr>
          </w:p>
          <w:p w:rsidR="001C19F7" w:rsidRPr="00194A5F" w:rsidRDefault="00044DA1" w:rsidP="008B1CDA">
            <w:pPr>
              <w:keepNext/>
              <w:keepLines/>
              <w:ind w:left="-117" w:right="20"/>
              <w:jc w:val="center"/>
              <w:rPr>
                <w:b/>
                <w:bCs/>
                <w:color w:val="00B050"/>
                <w:sz w:val="16"/>
                <w:szCs w:val="16"/>
                <w:lang w:val="en-US"/>
              </w:rPr>
            </w:pPr>
            <w:proofErr w:type="spellStart"/>
            <w:r>
              <w:rPr>
                <w:b/>
                <w:bCs/>
                <w:color w:val="00B050"/>
                <w:sz w:val="16"/>
                <w:szCs w:val="16"/>
                <w:lang w:val="en-US"/>
              </w:rPr>
              <w:t>Plenamente</w:t>
            </w:r>
            <w:proofErr w:type="spellEnd"/>
            <w:r>
              <w:rPr>
                <w:b/>
                <w:bCs/>
                <w:color w:val="00B050"/>
                <w:sz w:val="16"/>
                <w:szCs w:val="16"/>
                <w:lang w:val="en-US"/>
              </w:rPr>
              <w:t xml:space="preserve"> </w:t>
            </w:r>
            <w:proofErr w:type="spellStart"/>
            <w:r>
              <w:rPr>
                <w:b/>
                <w:bCs/>
                <w:color w:val="00B050"/>
                <w:sz w:val="16"/>
                <w:szCs w:val="16"/>
                <w:lang w:val="en-US"/>
              </w:rPr>
              <w:t>logrado</w:t>
            </w:r>
            <w:proofErr w:type="spellEnd"/>
          </w:p>
          <w:p w:rsidR="001C19F7" w:rsidRPr="00867291" w:rsidRDefault="001C19F7" w:rsidP="008B1CDA">
            <w:pPr>
              <w:keepNext/>
              <w:keepLines/>
              <w:ind w:right="20" w:hanging="71"/>
              <w:jc w:val="center"/>
              <w:rPr>
                <w:b/>
                <w:color w:val="000000" w:themeColor="text1"/>
                <w:sz w:val="16"/>
                <w:szCs w:val="16"/>
              </w:rPr>
            </w:pPr>
          </w:p>
        </w:tc>
      </w:tr>
      <w:tr w:rsidR="001C19F7" w:rsidRPr="00867291" w:rsidTr="008B1CDA">
        <w:tc>
          <w:tcPr>
            <w:tcW w:w="1103" w:type="pct"/>
            <w:tcBorders>
              <w:top w:val="nil"/>
              <w:left w:val="single" w:sz="4" w:space="0" w:color="auto"/>
              <w:bottom w:val="single" w:sz="4" w:space="0" w:color="auto"/>
              <w:right w:val="nil"/>
            </w:tcBorders>
            <w:shd w:val="clear" w:color="auto" w:fill="auto"/>
          </w:tcPr>
          <w:p w:rsidR="001C19F7" w:rsidRPr="00867291" w:rsidRDefault="001C19F7" w:rsidP="008B1CDA">
            <w:pPr>
              <w:rPr>
                <w:color w:val="000000" w:themeColor="text1"/>
                <w:sz w:val="16"/>
                <w:szCs w:val="16"/>
              </w:rPr>
            </w:pPr>
            <w:r w:rsidRPr="00867291">
              <w:rPr>
                <w:color w:val="000000" w:themeColor="text1"/>
                <w:sz w:val="16"/>
              </w:rPr>
              <w:t>Número de renovaciones (Sistema de Madrid)</w:t>
            </w:r>
          </w:p>
        </w:tc>
        <w:tc>
          <w:tcPr>
            <w:tcW w:w="1103" w:type="pct"/>
            <w:gridSpan w:val="4"/>
            <w:tcBorders>
              <w:top w:val="nil"/>
              <w:left w:val="nil"/>
              <w:bottom w:val="single" w:sz="4" w:space="0" w:color="auto"/>
              <w:right w:val="nil"/>
            </w:tcBorders>
            <w:shd w:val="clear" w:color="auto" w:fill="auto"/>
          </w:tcPr>
          <w:p w:rsidR="001C19F7" w:rsidRPr="00867291" w:rsidRDefault="001C19F7" w:rsidP="008B1CDA">
            <w:pPr>
              <w:rPr>
                <w:rFonts w:eastAsiaTheme="majorEastAsia"/>
                <w:i/>
                <w:color w:val="000000" w:themeColor="text1"/>
                <w:sz w:val="16"/>
                <w:szCs w:val="16"/>
              </w:rPr>
            </w:pPr>
            <w:r w:rsidRPr="00EF75DA">
              <w:rPr>
                <w:i/>
                <w:color w:val="002060"/>
                <w:sz w:val="16"/>
                <w:szCs w:val="16"/>
                <w:lang w:eastAsia="en-US"/>
              </w:rPr>
              <w:t xml:space="preserve">Referencia actualizada a fines de 2013: </w:t>
            </w:r>
            <w:r w:rsidRPr="00867291">
              <w:rPr>
                <w:i/>
                <w:color w:val="000000" w:themeColor="text1"/>
                <w:sz w:val="16"/>
              </w:rPr>
              <w:t xml:space="preserve"> </w:t>
            </w:r>
          </w:p>
          <w:p w:rsidR="001C19F7" w:rsidRPr="00EF75DA" w:rsidRDefault="001C19F7" w:rsidP="008B1CDA">
            <w:pPr>
              <w:rPr>
                <w:color w:val="002060"/>
                <w:sz w:val="16"/>
                <w:szCs w:val="16"/>
                <w:lang w:eastAsia="en-US"/>
              </w:rPr>
            </w:pPr>
            <w:r w:rsidRPr="00EF75DA">
              <w:rPr>
                <w:color w:val="002060"/>
                <w:sz w:val="16"/>
                <w:szCs w:val="16"/>
                <w:lang w:eastAsia="en-US"/>
              </w:rPr>
              <w:t>2012: 187</w:t>
            </w:r>
          </w:p>
          <w:p w:rsidR="001C19F7" w:rsidRPr="00EF75DA" w:rsidRDefault="001C19F7" w:rsidP="008B1CDA">
            <w:pPr>
              <w:rPr>
                <w:color w:val="002060"/>
                <w:sz w:val="16"/>
                <w:szCs w:val="16"/>
                <w:lang w:eastAsia="en-US"/>
              </w:rPr>
            </w:pPr>
            <w:r w:rsidRPr="00EF75DA">
              <w:rPr>
                <w:color w:val="002060"/>
                <w:sz w:val="16"/>
                <w:szCs w:val="16"/>
                <w:lang w:eastAsia="en-US"/>
              </w:rPr>
              <w:t>2013: 311 (OOJ)</w:t>
            </w:r>
          </w:p>
          <w:p w:rsidR="001C19F7" w:rsidRPr="00EF75DA" w:rsidRDefault="001C19F7" w:rsidP="008B1CDA">
            <w:pPr>
              <w:rPr>
                <w:color w:val="002060"/>
                <w:sz w:val="16"/>
                <w:szCs w:val="16"/>
                <w:lang w:eastAsia="en-US"/>
              </w:rPr>
            </w:pPr>
            <w:r w:rsidRPr="00EF75DA">
              <w:rPr>
                <w:color w:val="002060"/>
                <w:sz w:val="16"/>
                <w:szCs w:val="16"/>
                <w:lang w:eastAsia="en-US"/>
              </w:rPr>
              <w:t>2012: 51</w:t>
            </w:r>
          </w:p>
          <w:p w:rsidR="001C19F7" w:rsidRPr="00EF75DA" w:rsidRDefault="001C19F7" w:rsidP="008B1CDA">
            <w:pPr>
              <w:rPr>
                <w:color w:val="002060"/>
                <w:sz w:val="16"/>
                <w:szCs w:val="16"/>
                <w:lang w:eastAsia="en-US"/>
              </w:rPr>
            </w:pPr>
            <w:r w:rsidRPr="00EF75DA">
              <w:rPr>
                <w:color w:val="002060"/>
                <w:sz w:val="16"/>
                <w:szCs w:val="16"/>
                <w:lang w:eastAsia="en-US"/>
              </w:rPr>
              <w:t>2013: 62 (OOS)</w:t>
            </w:r>
          </w:p>
          <w:p w:rsidR="001C19F7" w:rsidRPr="00867291" w:rsidRDefault="001C19F7" w:rsidP="008B1CDA">
            <w:pPr>
              <w:rPr>
                <w:rFonts w:eastAsiaTheme="majorEastAsia"/>
                <w:i/>
                <w:color w:val="000000" w:themeColor="text1"/>
                <w:sz w:val="16"/>
                <w:szCs w:val="16"/>
              </w:rPr>
            </w:pPr>
            <w:r w:rsidRPr="00867291">
              <w:rPr>
                <w:i/>
                <w:color w:val="000000" w:themeColor="text1"/>
                <w:sz w:val="16"/>
              </w:rPr>
              <w:t xml:space="preserve">Referencia original en el presupuesto de 2014/15: </w:t>
            </w:r>
          </w:p>
          <w:p w:rsidR="001C19F7" w:rsidRPr="00867291" w:rsidRDefault="001C19F7" w:rsidP="008B1CDA">
            <w:pPr>
              <w:rPr>
                <w:color w:val="000000" w:themeColor="text1"/>
                <w:sz w:val="16"/>
                <w:szCs w:val="16"/>
              </w:rPr>
            </w:pPr>
            <w:r w:rsidRPr="00867291">
              <w:rPr>
                <w:color w:val="000000" w:themeColor="text1"/>
                <w:sz w:val="16"/>
              </w:rPr>
              <w:t>Estadísticas de la ASEAN sobre el Sistema de Madrid (OOS)</w:t>
            </w:r>
          </w:p>
          <w:p w:rsidR="001C19F7" w:rsidRDefault="001C19F7" w:rsidP="008B1CDA">
            <w:pPr>
              <w:rPr>
                <w:color w:val="000000" w:themeColor="text1"/>
                <w:sz w:val="16"/>
              </w:rPr>
            </w:pPr>
            <w:r w:rsidRPr="00867291">
              <w:rPr>
                <w:color w:val="000000" w:themeColor="text1"/>
                <w:sz w:val="16"/>
              </w:rPr>
              <w:t>Estadísticas de la ASEAN y el Japón sobre el Sistema de Madrid (OOJ)</w:t>
            </w:r>
          </w:p>
          <w:p w:rsidR="001C19F7" w:rsidRPr="00867291" w:rsidRDefault="001C19F7" w:rsidP="008B1CDA">
            <w:pPr>
              <w:rPr>
                <w:color w:val="000000" w:themeColor="text1"/>
                <w:sz w:val="16"/>
                <w:szCs w:val="16"/>
              </w:rPr>
            </w:pPr>
          </w:p>
        </w:tc>
        <w:tc>
          <w:tcPr>
            <w:tcW w:w="642" w:type="pct"/>
            <w:gridSpan w:val="3"/>
            <w:tcBorders>
              <w:top w:val="nil"/>
              <w:left w:val="nil"/>
              <w:bottom w:val="single" w:sz="4" w:space="0" w:color="auto"/>
              <w:right w:val="nil"/>
            </w:tcBorders>
            <w:shd w:val="clear" w:color="auto" w:fill="auto"/>
            <w:tcMar>
              <w:top w:w="110" w:type="dxa"/>
            </w:tcMar>
          </w:tcPr>
          <w:p w:rsidR="001C19F7" w:rsidRPr="00867291" w:rsidRDefault="001C19F7" w:rsidP="008B1CDA">
            <w:pPr>
              <w:rPr>
                <w:color w:val="000000" w:themeColor="text1"/>
                <w:sz w:val="16"/>
                <w:szCs w:val="16"/>
              </w:rPr>
            </w:pPr>
          </w:p>
          <w:p w:rsidR="001C19F7" w:rsidRPr="00867291" w:rsidRDefault="001C19F7" w:rsidP="008B1CDA">
            <w:pPr>
              <w:rPr>
                <w:color w:val="000000" w:themeColor="text1"/>
                <w:sz w:val="16"/>
                <w:szCs w:val="16"/>
              </w:rPr>
            </w:pPr>
            <w:r w:rsidRPr="00867291">
              <w:rPr>
                <w:color w:val="000000" w:themeColor="text1"/>
                <w:sz w:val="16"/>
              </w:rPr>
              <w:t>Por determinar (OOJ)</w:t>
            </w:r>
          </w:p>
          <w:p w:rsidR="001C19F7" w:rsidRPr="00867291" w:rsidRDefault="001C19F7" w:rsidP="008B1CDA">
            <w:pPr>
              <w:rPr>
                <w:color w:val="000000" w:themeColor="text1"/>
                <w:sz w:val="16"/>
                <w:szCs w:val="16"/>
              </w:rPr>
            </w:pPr>
          </w:p>
          <w:p w:rsidR="001C19F7" w:rsidRPr="00867291" w:rsidRDefault="001C19F7" w:rsidP="008B1CDA">
            <w:pPr>
              <w:rPr>
                <w:color w:val="000000" w:themeColor="text1"/>
                <w:sz w:val="16"/>
                <w:szCs w:val="16"/>
              </w:rPr>
            </w:pPr>
          </w:p>
          <w:p w:rsidR="001C19F7" w:rsidRPr="00867291" w:rsidRDefault="001C19F7" w:rsidP="008B1CDA">
            <w:pPr>
              <w:rPr>
                <w:color w:val="000000" w:themeColor="text1"/>
                <w:sz w:val="16"/>
                <w:szCs w:val="16"/>
              </w:rPr>
            </w:pPr>
            <w:r w:rsidRPr="00867291">
              <w:rPr>
                <w:color w:val="000000" w:themeColor="text1"/>
                <w:sz w:val="16"/>
              </w:rPr>
              <w:t>Por determinar (OOS)</w:t>
            </w:r>
          </w:p>
          <w:p w:rsidR="001C19F7" w:rsidRPr="00867291" w:rsidRDefault="001C19F7" w:rsidP="008B1CDA">
            <w:pPr>
              <w:rPr>
                <w:color w:val="000000" w:themeColor="text1"/>
                <w:sz w:val="16"/>
                <w:szCs w:val="16"/>
              </w:rPr>
            </w:pPr>
          </w:p>
        </w:tc>
        <w:tc>
          <w:tcPr>
            <w:tcW w:w="1456" w:type="pct"/>
            <w:gridSpan w:val="2"/>
            <w:tcBorders>
              <w:top w:val="nil"/>
              <w:left w:val="nil"/>
              <w:bottom w:val="single" w:sz="4" w:space="0" w:color="auto"/>
              <w:right w:val="nil"/>
            </w:tcBorders>
            <w:shd w:val="clear" w:color="auto" w:fill="FFFFFF"/>
            <w:tcMar>
              <w:top w:w="110" w:type="dxa"/>
            </w:tcMar>
          </w:tcPr>
          <w:tbl>
            <w:tblPr>
              <w:tblStyle w:val="TableGrid"/>
              <w:tblW w:w="23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
              <w:gridCol w:w="1063"/>
              <w:gridCol w:w="748"/>
            </w:tblGrid>
            <w:tr w:rsidR="001C19F7" w:rsidRPr="00867291" w:rsidTr="008B1CDA">
              <w:trPr>
                <w:trHeight w:val="200"/>
              </w:trPr>
              <w:tc>
                <w:tcPr>
                  <w:tcW w:w="525" w:type="dxa"/>
                  <w:tcMar>
                    <w:left w:w="29" w:type="dxa"/>
                    <w:bottom w:w="29" w:type="dxa"/>
                    <w:right w:w="29" w:type="dxa"/>
                  </w:tcMar>
                </w:tcPr>
                <w:p w:rsidR="001C19F7" w:rsidRPr="00867291" w:rsidRDefault="001C19F7" w:rsidP="008B1CDA">
                  <w:pPr>
                    <w:jc w:val="center"/>
                    <w:rPr>
                      <w:color w:val="000000" w:themeColor="text1"/>
                      <w:sz w:val="16"/>
                      <w:szCs w:val="16"/>
                    </w:rPr>
                  </w:pPr>
                </w:p>
              </w:tc>
              <w:tc>
                <w:tcPr>
                  <w:tcW w:w="1063" w:type="dxa"/>
                  <w:tcMar>
                    <w:left w:w="29" w:type="dxa"/>
                    <w:bottom w:w="29" w:type="dxa"/>
                    <w:right w:w="29" w:type="dxa"/>
                  </w:tcMar>
                </w:tcPr>
                <w:p w:rsidR="001C19F7" w:rsidRPr="00867291" w:rsidRDefault="001C19F7" w:rsidP="008B1CDA">
                  <w:pPr>
                    <w:jc w:val="center"/>
                    <w:rPr>
                      <w:color w:val="000000" w:themeColor="text1"/>
                      <w:sz w:val="16"/>
                      <w:szCs w:val="16"/>
                    </w:rPr>
                  </w:pPr>
                  <w:r w:rsidRPr="00867291">
                    <w:rPr>
                      <w:color w:val="000000" w:themeColor="text1"/>
                      <w:sz w:val="16"/>
                    </w:rPr>
                    <w:t>2014</w:t>
                  </w:r>
                </w:p>
              </w:tc>
              <w:tc>
                <w:tcPr>
                  <w:tcW w:w="748" w:type="dxa"/>
                  <w:tcMar>
                    <w:left w:w="29" w:type="dxa"/>
                    <w:bottom w:w="29" w:type="dxa"/>
                    <w:right w:w="29" w:type="dxa"/>
                  </w:tcMar>
                </w:tcPr>
                <w:p w:rsidR="001C19F7" w:rsidRPr="00867291" w:rsidRDefault="001C19F7" w:rsidP="008B1CDA">
                  <w:pPr>
                    <w:jc w:val="center"/>
                    <w:rPr>
                      <w:color w:val="000000" w:themeColor="text1"/>
                      <w:sz w:val="16"/>
                      <w:szCs w:val="16"/>
                    </w:rPr>
                  </w:pPr>
                  <w:r w:rsidRPr="00867291">
                    <w:rPr>
                      <w:color w:val="000000" w:themeColor="text1"/>
                      <w:sz w:val="16"/>
                    </w:rPr>
                    <w:t>2015</w:t>
                  </w:r>
                </w:p>
              </w:tc>
            </w:tr>
            <w:tr w:rsidR="001C19F7" w:rsidRPr="00867291" w:rsidTr="008B1CDA">
              <w:trPr>
                <w:trHeight w:val="562"/>
              </w:trPr>
              <w:tc>
                <w:tcPr>
                  <w:tcW w:w="525" w:type="dxa"/>
                  <w:tcMar>
                    <w:left w:w="29" w:type="dxa"/>
                    <w:bottom w:w="29" w:type="dxa"/>
                    <w:right w:w="29" w:type="dxa"/>
                  </w:tcMar>
                </w:tcPr>
                <w:p w:rsidR="001C19F7" w:rsidRPr="00867291" w:rsidRDefault="001C19F7" w:rsidP="008B1CDA">
                  <w:pPr>
                    <w:jc w:val="center"/>
                    <w:rPr>
                      <w:color w:val="000000" w:themeColor="text1"/>
                      <w:sz w:val="16"/>
                      <w:szCs w:val="16"/>
                    </w:rPr>
                  </w:pPr>
                  <w:r w:rsidRPr="00867291">
                    <w:rPr>
                      <w:color w:val="000000" w:themeColor="text1"/>
                      <w:sz w:val="16"/>
                    </w:rPr>
                    <w:t>OOJ</w:t>
                  </w:r>
                </w:p>
              </w:tc>
              <w:tc>
                <w:tcPr>
                  <w:tcW w:w="1063" w:type="dxa"/>
                  <w:tcMar>
                    <w:left w:w="29" w:type="dxa"/>
                    <w:bottom w:w="29" w:type="dxa"/>
                    <w:right w:w="29" w:type="dxa"/>
                  </w:tcMar>
                </w:tcPr>
                <w:p w:rsidR="001C19F7" w:rsidRPr="00867291" w:rsidRDefault="001C19F7" w:rsidP="008B1CDA">
                  <w:pPr>
                    <w:jc w:val="center"/>
                    <w:rPr>
                      <w:color w:val="000000" w:themeColor="text1"/>
                      <w:sz w:val="16"/>
                      <w:szCs w:val="16"/>
                    </w:rPr>
                  </w:pPr>
                  <w:r w:rsidRPr="00867291">
                    <w:rPr>
                      <w:color w:val="000000" w:themeColor="text1"/>
                      <w:sz w:val="16"/>
                    </w:rPr>
                    <w:t>+49%</w:t>
                  </w:r>
                </w:p>
                <w:p w:rsidR="001C19F7" w:rsidRPr="00867291" w:rsidRDefault="001C19F7" w:rsidP="008B1CDA">
                  <w:pPr>
                    <w:jc w:val="center"/>
                    <w:rPr>
                      <w:color w:val="000000" w:themeColor="text1"/>
                      <w:sz w:val="16"/>
                      <w:szCs w:val="16"/>
                    </w:rPr>
                  </w:pPr>
                  <w:r w:rsidRPr="00867291">
                    <w:rPr>
                      <w:color w:val="000000" w:themeColor="text1"/>
                      <w:sz w:val="16"/>
                    </w:rPr>
                    <w:t>(462)</w:t>
                  </w:r>
                </w:p>
              </w:tc>
              <w:tc>
                <w:tcPr>
                  <w:tcW w:w="748" w:type="dxa"/>
                  <w:tcMar>
                    <w:left w:w="29" w:type="dxa"/>
                    <w:bottom w:w="29" w:type="dxa"/>
                    <w:right w:w="29" w:type="dxa"/>
                  </w:tcMar>
                </w:tcPr>
                <w:p w:rsidR="001C19F7" w:rsidRPr="00867291" w:rsidRDefault="001C19F7" w:rsidP="008B1CDA">
                  <w:pPr>
                    <w:jc w:val="center"/>
                    <w:rPr>
                      <w:color w:val="000000" w:themeColor="text1"/>
                      <w:sz w:val="16"/>
                      <w:szCs w:val="16"/>
                    </w:rPr>
                  </w:pPr>
                  <w:r w:rsidRPr="00867291">
                    <w:rPr>
                      <w:color w:val="000000" w:themeColor="text1"/>
                      <w:sz w:val="16"/>
                    </w:rPr>
                    <w:t>+27%</w:t>
                  </w:r>
                </w:p>
                <w:p w:rsidR="001C19F7" w:rsidRPr="00867291" w:rsidRDefault="001C19F7" w:rsidP="008B1CDA">
                  <w:pPr>
                    <w:jc w:val="center"/>
                    <w:rPr>
                      <w:color w:val="000000" w:themeColor="text1"/>
                      <w:sz w:val="16"/>
                      <w:szCs w:val="16"/>
                    </w:rPr>
                  </w:pPr>
                  <w:r w:rsidRPr="00867291">
                    <w:rPr>
                      <w:color w:val="000000" w:themeColor="text1"/>
                      <w:sz w:val="16"/>
                    </w:rPr>
                    <w:t>(588)</w:t>
                  </w:r>
                </w:p>
              </w:tc>
            </w:tr>
            <w:tr w:rsidR="001C19F7" w:rsidRPr="00867291" w:rsidTr="008B1CDA">
              <w:trPr>
                <w:trHeight w:val="494"/>
              </w:trPr>
              <w:tc>
                <w:tcPr>
                  <w:tcW w:w="525" w:type="dxa"/>
                  <w:tcMar>
                    <w:left w:w="29" w:type="dxa"/>
                    <w:bottom w:w="29" w:type="dxa"/>
                    <w:right w:w="29" w:type="dxa"/>
                  </w:tcMar>
                </w:tcPr>
                <w:p w:rsidR="001C19F7" w:rsidRPr="00867291" w:rsidRDefault="001C19F7" w:rsidP="008B1CDA">
                  <w:pPr>
                    <w:jc w:val="center"/>
                    <w:rPr>
                      <w:color w:val="000000" w:themeColor="text1"/>
                      <w:sz w:val="16"/>
                      <w:szCs w:val="16"/>
                    </w:rPr>
                  </w:pPr>
                  <w:r w:rsidRPr="00867291">
                    <w:rPr>
                      <w:color w:val="000000" w:themeColor="text1"/>
                      <w:sz w:val="16"/>
                    </w:rPr>
                    <w:t>OOS</w:t>
                  </w:r>
                </w:p>
              </w:tc>
              <w:tc>
                <w:tcPr>
                  <w:tcW w:w="1063" w:type="dxa"/>
                  <w:tcMar>
                    <w:left w:w="29" w:type="dxa"/>
                    <w:bottom w:w="29" w:type="dxa"/>
                    <w:right w:w="29" w:type="dxa"/>
                  </w:tcMar>
                </w:tcPr>
                <w:p w:rsidR="001C19F7" w:rsidRPr="00867291" w:rsidRDefault="001C19F7" w:rsidP="008B1CDA">
                  <w:pPr>
                    <w:jc w:val="center"/>
                    <w:rPr>
                      <w:color w:val="000000" w:themeColor="text1"/>
                      <w:sz w:val="16"/>
                      <w:szCs w:val="16"/>
                    </w:rPr>
                  </w:pPr>
                  <w:r w:rsidRPr="00867291">
                    <w:rPr>
                      <w:color w:val="000000" w:themeColor="text1"/>
                      <w:sz w:val="16"/>
                    </w:rPr>
                    <w:t>+13%</w:t>
                  </w:r>
                </w:p>
                <w:p w:rsidR="001C19F7" w:rsidRPr="00867291" w:rsidRDefault="001C19F7" w:rsidP="008B1CDA">
                  <w:pPr>
                    <w:jc w:val="center"/>
                    <w:rPr>
                      <w:color w:val="000000" w:themeColor="text1"/>
                      <w:sz w:val="16"/>
                      <w:szCs w:val="16"/>
                    </w:rPr>
                  </w:pPr>
                  <w:r w:rsidRPr="00867291">
                    <w:rPr>
                      <w:color w:val="000000" w:themeColor="text1"/>
                      <w:sz w:val="16"/>
                    </w:rPr>
                    <w:t>(54)</w:t>
                  </w:r>
                  <w:r w:rsidRPr="00867291">
                    <w:rPr>
                      <w:rStyle w:val="FootnoteReference"/>
                      <w:color w:val="000000" w:themeColor="text1"/>
                    </w:rPr>
                    <w:footnoteReference w:id="114"/>
                  </w:r>
                </w:p>
                <w:p w:rsidR="001C19F7" w:rsidRPr="00867291" w:rsidRDefault="001C19F7" w:rsidP="008B1CDA">
                  <w:pPr>
                    <w:jc w:val="center"/>
                    <w:rPr>
                      <w:color w:val="000000" w:themeColor="text1"/>
                      <w:sz w:val="8"/>
                      <w:szCs w:val="8"/>
                    </w:rPr>
                  </w:pPr>
                </w:p>
              </w:tc>
              <w:tc>
                <w:tcPr>
                  <w:tcW w:w="748" w:type="dxa"/>
                  <w:tcMar>
                    <w:left w:w="29" w:type="dxa"/>
                    <w:bottom w:w="29" w:type="dxa"/>
                    <w:right w:w="29" w:type="dxa"/>
                  </w:tcMar>
                </w:tcPr>
                <w:p w:rsidR="001C19F7" w:rsidRPr="00867291" w:rsidRDefault="001C19F7" w:rsidP="008B1CDA">
                  <w:pPr>
                    <w:jc w:val="center"/>
                    <w:rPr>
                      <w:color w:val="000000" w:themeColor="text1"/>
                      <w:sz w:val="16"/>
                      <w:szCs w:val="16"/>
                    </w:rPr>
                  </w:pPr>
                  <w:r w:rsidRPr="00867291">
                    <w:rPr>
                      <w:color w:val="000000" w:themeColor="text1"/>
                      <w:sz w:val="16"/>
                    </w:rPr>
                    <w:t>+52%</w:t>
                  </w:r>
                </w:p>
                <w:p w:rsidR="001C19F7" w:rsidRPr="00867291" w:rsidRDefault="001C19F7" w:rsidP="008B1CDA">
                  <w:pPr>
                    <w:jc w:val="center"/>
                    <w:rPr>
                      <w:color w:val="000000" w:themeColor="text1"/>
                      <w:sz w:val="16"/>
                      <w:szCs w:val="16"/>
                    </w:rPr>
                  </w:pPr>
                  <w:r w:rsidRPr="00867291">
                    <w:rPr>
                      <w:color w:val="000000" w:themeColor="text1"/>
                      <w:sz w:val="16"/>
                    </w:rPr>
                    <w:t>(82)</w:t>
                  </w:r>
                </w:p>
              </w:tc>
            </w:tr>
          </w:tbl>
          <w:p w:rsidR="001C19F7" w:rsidRPr="00867291" w:rsidRDefault="001C19F7" w:rsidP="008B1CDA">
            <w:pPr>
              <w:rPr>
                <w:color w:val="000000" w:themeColor="text1"/>
                <w:sz w:val="16"/>
                <w:szCs w:val="16"/>
              </w:rPr>
            </w:pPr>
          </w:p>
        </w:tc>
        <w:tc>
          <w:tcPr>
            <w:tcW w:w="696" w:type="pct"/>
            <w:gridSpan w:val="5"/>
            <w:tcBorders>
              <w:top w:val="nil"/>
              <w:left w:val="nil"/>
              <w:bottom w:val="single" w:sz="4" w:space="0" w:color="auto"/>
              <w:right w:val="single" w:sz="4" w:space="0" w:color="auto"/>
            </w:tcBorders>
            <w:shd w:val="clear" w:color="auto" w:fill="auto"/>
            <w:tcMar>
              <w:top w:w="110" w:type="dxa"/>
            </w:tcMar>
          </w:tcPr>
          <w:p w:rsidR="001C19F7" w:rsidRPr="00916619" w:rsidRDefault="001C19F7" w:rsidP="008B1CDA">
            <w:pPr>
              <w:keepNext/>
              <w:keepLines/>
              <w:ind w:left="-78" w:right="20" w:firstLine="46"/>
              <w:jc w:val="center"/>
              <w:rPr>
                <w:b/>
                <w:bCs/>
                <w:color w:val="808080"/>
                <w:sz w:val="14"/>
                <w:szCs w:val="14"/>
                <w:lang w:val="en-US"/>
              </w:rPr>
            </w:pPr>
          </w:p>
          <w:p w:rsidR="001C19F7" w:rsidRPr="00916619" w:rsidRDefault="001C19F7" w:rsidP="008B1CDA">
            <w:pPr>
              <w:keepNext/>
              <w:keepLines/>
              <w:ind w:left="-78" w:right="20" w:firstLine="46"/>
              <w:jc w:val="center"/>
              <w:rPr>
                <w:b/>
                <w:bCs/>
                <w:color w:val="808080"/>
                <w:sz w:val="14"/>
                <w:szCs w:val="14"/>
                <w:lang w:val="en-US"/>
              </w:rPr>
            </w:pPr>
            <w:r w:rsidRPr="00916619">
              <w:rPr>
                <w:b/>
                <w:bCs/>
                <w:color w:val="808080"/>
                <w:sz w:val="14"/>
                <w:szCs w:val="14"/>
                <w:lang w:val="en-US"/>
              </w:rPr>
              <w:t>No</w:t>
            </w:r>
          </w:p>
          <w:p w:rsidR="001C19F7" w:rsidRPr="00916619" w:rsidRDefault="001C19F7" w:rsidP="008B1CDA">
            <w:pPr>
              <w:keepNext/>
              <w:keepLines/>
              <w:ind w:left="-78" w:right="20" w:firstLine="46"/>
              <w:jc w:val="center"/>
              <w:rPr>
                <w:b/>
                <w:bCs/>
                <w:color w:val="808080"/>
                <w:sz w:val="14"/>
                <w:szCs w:val="14"/>
                <w:lang w:val="en-US"/>
              </w:rPr>
            </w:pPr>
            <w:proofErr w:type="spellStart"/>
            <w:r w:rsidRPr="00916619">
              <w:rPr>
                <w:b/>
                <w:bCs/>
                <w:color w:val="808080"/>
                <w:sz w:val="14"/>
                <w:szCs w:val="14"/>
                <w:lang w:val="en-US"/>
              </w:rPr>
              <w:t>mensurable</w:t>
            </w:r>
            <w:proofErr w:type="spellEnd"/>
          </w:p>
          <w:p w:rsidR="001C19F7" w:rsidRPr="00916619" w:rsidRDefault="001C19F7" w:rsidP="008B1CDA">
            <w:pPr>
              <w:keepNext/>
              <w:keepLines/>
              <w:ind w:left="-78" w:right="20" w:firstLine="46"/>
              <w:jc w:val="center"/>
              <w:rPr>
                <w:b/>
                <w:bCs/>
                <w:color w:val="808080"/>
                <w:sz w:val="14"/>
                <w:szCs w:val="14"/>
                <w:lang w:val="en-US"/>
              </w:rPr>
            </w:pPr>
          </w:p>
          <w:p w:rsidR="001C19F7" w:rsidRPr="00916619" w:rsidRDefault="001C19F7" w:rsidP="008B1CDA">
            <w:pPr>
              <w:keepNext/>
              <w:keepLines/>
              <w:ind w:left="-78" w:right="20" w:firstLine="46"/>
              <w:jc w:val="center"/>
              <w:rPr>
                <w:b/>
                <w:bCs/>
                <w:color w:val="808080"/>
                <w:sz w:val="14"/>
                <w:szCs w:val="14"/>
                <w:lang w:val="en-US"/>
              </w:rPr>
            </w:pPr>
            <w:r w:rsidRPr="00916619">
              <w:rPr>
                <w:b/>
                <w:bCs/>
                <w:color w:val="808080"/>
                <w:sz w:val="14"/>
                <w:szCs w:val="14"/>
                <w:lang w:val="en-US"/>
              </w:rPr>
              <w:t xml:space="preserve">No </w:t>
            </w:r>
            <w:proofErr w:type="spellStart"/>
            <w:r w:rsidRPr="00916619">
              <w:rPr>
                <w:b/>
                <w:bCs/>
                <w:color w:val="808080"/>
                <w:sz w:val="14"/>
                <w:szCs w:val="14"/>
                <w:lang w:val="en-US"/>
              </w:rPr>
              <w:t>mensurable</w:t>
            </w:r>
            <w:proofErr w:type="spellEnd"/>
          </w:p>
          <w:p w:rsidR="001C19F7" w:rsidRPr="00916619" w:rsidRDefault="001C19F7" w:rsidP="008B1CDA">
            <w:pPr>
              <w:keepNext/>
              <w:keepLines/>
              <w:ind w:right="20" w:hanging="71"/>
              <w:jc w:val="center"/>
              <w:rPr>
                <w:b/>
                <w:bCs/>
                <w:color w:val="808080"/>
                <w:sz w:val="14"/>
                <w:szCs w:val="14"/>
                <w:lang w:val="en-US"/>
              </w:rPr>
            </w:pPr>
          </w:p>
        </w:tc>
      </w:tr>
      <w:tr w:rsidR="001C19F7" w:rsidRPr="00867291" w:rsidTr="008B1CDA">
        <w:tc>
          <w:tcPr>
            <w:tcW w:w="5000" w:type="pct"/>
            <w:gridSpan w:val="15"/>
            <w:tcBorders>
              <w:top w:val="single" w:sz="4" w:space="0" w:color="auto"/>
              <w:bottom w:val="single" w:sz="4" w:space="0" w:color="auto"/>
            </w:tcBorders>
            <w:shd w:val="clear" w:color="auto" w:fill="C6D9F1" w:themeFill="text2" w:themeFillTint="33"/>
          </w:tcPr>
          <w:p w:rsidR="001C19F7" w:rsidRPr="00867291" w:rsidRDefault="001C19F7" w:rsidP="008B1CDA">
            <w:pPr>
              <w:keepNext/>
              <w:keepLines/>
              <w:spacing w:before="120" w:after="120"/>
              <w:ind w:left="1985" w:hanging="1985"/>
              <w:rPr>
                <w:b/>
                <w:bCs/>
                <w:color w:val="000000" w:themeColor="text1"/>
                <w:sz w:val="16"/>
                <w:szCs w:val="16"/>
              </w:rPr>
            </w:pPr>
            <w:r w:rsidRPr="00867291">
              <w:rPr>
                <w:b/>
                <w:color w:val="000000" w:themeColor="text1"/>
                <w:sz w:val="16"/>
              </w:rPr>
              <w:t>Resultado previsto:</w:t>
            </w:r>
            <w:r w:rsidRPr="00867291">
              <w:rPr>
                <w:color w:val="000000" w:themeColor="text1"/>
              </w:rPr>
              <w:tab/>
            </w:r>
            <w:r w:rsidRPr="00867291">
              <w:rPr>
                <w:color w:val="000000" w:themeColor="text1"/>
                <w:sz w:val="16"/>
              </w:rPr>
              <w:t>II.8 Las controversias nacionales e internacionales en materia de P.I. se evitan o resuelven cada vez con más frecuencia mediante procedimientos de mediación, arbitraje y demás métodos de solución extrajudicial de controversias</w:t>
            </w:r>
          </w:p>
        </w:tc>
      </w:tr>
      <w:tr w:rsidR="001C19F7" w:rsidRPr="00867291" w:rsidTr="008B1CDA">
        <w:tc>
          <w:tcPr>
            <w:tcW w:w="1103" w:type="pct"/>
            <w:tcBorders>
              <w:top w:val="single" w:sz="4" w:space="0" w:color="auto"/>
              <w:left w:val="single" w:sz="4" w:space="0" w:color="auto"/>
              <w:bottom w:val="nil"/>
              <w:right w:val="nil"/>
            </w:tcBorders>
            <w:shd w:val="clear" w:color="auto" w:fill="auto"/>
          </w:tcPr>
          <w:p w:rsidR="001C19F7" w:rsidRPr="00867291" w:rsidRDefault="001C19F7" w:rsidP="008B1CDA">
            <w:pPr>
              <w:keepNext/>
              <w:keepLines/>
              <w:rPr>
                <w:color w:val="000000" w:themeColor="text1"/>
                <w:sz w:val="16"/>
                <w:szCs w:val="16"/>
              </w:rPr>
            </w:pPr>
            <w:r w:rsidRPr="00867291">
              <w:rPr>
                <w:b/>
                <w:color w:val="000000" w:themeColor="text1"/>
                <w:sz w:val="16"/>
              </w:rPr>
              <w:t>Indicadores de rendimiento</w:t>
            </w:r>
          </w:p>
        </w:tc>
        <w:tc>
          <w:tcPr>
            <w:tcW w:w="902" w:type="pct"/>
            <w:gridSpan w:val="2"/>
            <w:tcBorders>
              <w:top w:val="single" w:sz="4" w:space="0" w:color="auto"/>
              <w:left w:val="nil"/>
              <w:bottom w:val="nil"/>
              <w:right w:val="nil"/>
            </w:tcBorders>
            <w:shd w:val="clear" w:color="auto" w:fill="auto"/>
          </w:tcPr>
          <w:p w:rsidR="001C19F7" w:rsidRPr="00867291" w:rsidRDefault="001C19F7" w:rsidP="008B1CDA">
            <w:pPr>
              <w:rPr>
                <w:color w:val="000000" w:themeColor="text1"/>
                <w:sz w:val="16"/>
                <w:szCs w:val="16"/>
              </w:rPr>
            </w:pPr>
            <w:r w:rsidRPr="00867291">
              <w:rPr>
                <w:b/>
                <w:color w:val="000000" w:themeColor="text1"/>
                <w:sz w:val="16"/>
              </w:rPr>
              <w:t>Referencia</w:t>
            </w:r>
          </w:p>
        </w:tc>
        <w:tc>
          <w:tcPr>
            <w:tcW w:w="843" w:type="pct"/>
            <w:gridSpan w:val="5"/>
            <w:tcBorders>
              <w:top w:val="single" w:sz="4" w:space="0" w:color="auto"/>
              <w:left w:val="nil"/>
              <w:bottom w:val="nil"/>
              <w:right w:val="nil"/>
            </w:tcBorders>
            <w:shd w:val="clear" w:color="auto" w:fill="auto"/>
            <w:tcMar>
              <w:top w:w="110" w:type="dxa"/>
            </w:tcMar>
          </w:tcPr>
          <w:p w:rsidR="001C19F7" w:rsidRPr="00867291" w:rsidRDefault="001C19F7" w:rsidP="008B1CDA">
            <w:pPr>
              <w:rPr>
                <w:color w:val="000000" w:themeColor="text1"/>
                <w:sz w:val="16"/>
                <w:szCs w:val="16"/>
              </w:rPr>
            </w:pPr>
            <w:r w:rsidRPr="00867291">
              <w:rPr>
                <w:b/>
                <w:color w:val="000000" w:themeColor="text1"/>
                <w:sz w:val="16"/>
              </w:rPr>
              <w:t>Objetivos</w:t>
            </w:r>
          </w:p>
        </w:tc>
        <w:tc>
          <w:tcPr>
            <w:tcW w:w="1456" w:type="pct"/>
            <w:gridSpan w:val="2"/>
            <w:tcBorders>
              <w:top w:val="single" w:sz="4" w:space="0" w:color="auto"/>
              <w:left w:val="nil"/>
              <w:bottom w:val="nil"/>
              <w:right w:val="nil"/>
            </w:tcBorders>
            <w:shd w:val="clear" w:color="auto" w:fill="FFFFFF"/>
            <w:tcMar>
              <w:top w:w="110" w:type="dxa"/>
            </w:tcMar>
          </w:tcPr>
          <w:p w:rsidR="001C19F7" w:rsidRPr="00867291" w:rsidRDefault="001C19F7" w:rsidP="008B1CDA">
            <w:pPr>
              <w:rPr>
                <w:color w:val="000000" w:themeColor="text1"/>
                <w:sz w:val="16"/>
                <w:szCs w:val="16"/>
              </w:rPr>
            </w:pPr>
            <w:r w:rsidRPr="00867291">
              <w:rPr>
                <w:b/>
                <w:color w:val="000000" w:themeColor="text1"/>
                <w:sz w:val="16"/>
              </w:rPr>
              <w:t>Datos sobre el rendimiento</w:t>
            </w:r>
          </w:p>
        </w:tc>
        <w:tc>
          <w:tcPr>
            <w:tcW w:w="696" w:type="pct"/>
            <w:gridSpan w:val="5"/>
            <w:tcBorders>
              <w:top w:val="single" w:sz="4" w:space="0" w:color="auto"/>
              <w:left w:val="nil"/>
              <w:bottom w:val="nil"/>
              <w:right w:val="single" w:sz="4" w:space="0" w:color="auto"/>
            </w:tcBorders>
            <w:shd w:val="clear" w:color="auto" w:fill="auto"/>
            <w:tcMar>
              <w:top w:w="110" w:type="dxa"/>
            </w:tcMar>
          </w:tcPr>
          <w:p w:rsidR="001C19F7" w:rsidRPr="00867291" w:rsidRDefault="001C19F7" w:rsidP="008B1CDA">
            <w:pPr>
              <w:keepNext/>
              <w:keepLines/>
              <w:ind w:left="71" w:right="20"/>
              <w:jc w:val="center"/>
              <w:rPr>
                <w:b/>
                <w:bCs/>
                <w:color w:val="000000" w:themeColor="text1"/>
                <w:sz w:val="16"/>
                <w:szCs w:val="16"/>
              </w:rPr>
            </w:pPr>
            <w:r w:rsidRPr="00867291">
              <w:rPr>
                <w:b/>
                <w:color w:val="000000" w:themeColor="text1"/>
                <w:sz w:val="16"/>
              </w:rPr>
              <w:t>Clave de colores</w:t>
            </w:r>
          </w:p>
        </w:tc>
      </w:tr>
      <w:tr w:rsidR="001C19F7" w:rsidRPr="00867291" w:rsidTr="008B1CDA">
        <w:tc>
          <w:tcPr>
            <w:tcW w:w="1103" w:type="pct"/>
            <w:tcBorders>
              <w:top w:val="nil"/>
              <w:left w:val="single" w:sz="4" w:space="0" w:color="auto"/>
              <w:bottom w:val="single" w:sz="4" w:space="0" w:color="auto"/>
              <w:right w:val="nil"/>
            </w:tcBorders>
            <w:shd w:val="clear" w:color="auto" w:fill="auto"/>
          </w:tcPr>
          <w:p w:rsidR="001C19F7" w:rsidRPr="00867291" w:rsidRDefault="001C19F7" w:rsidP="008B1CDA">
            <w:pPr>
              <w:rPr>
                <w:color w:val="000000" w:themeColor="text1"/>
                <w:sz w:val="16"/>
                <w:szCs w:val="16"/>
              </w:rPr>
            </w:pPr>
            <w:r w:rsidRPr="00867291">
              <w:rPr>
                <w:color w:val="000000" w:themeColor="text1"/>
                <w:sz w:val="16"/>
              </w:rPr>
              <w:t>Cada vez más se considera la posibilidad de utilizar servicios extrajudiciales de solución de controversias en las transacciones sobre P.I., entre otras cosas, valiéndose de los procedimientos de la OMPI</w:t>
            </w:r>
          </w:p>
        </w:tc>
        <w:tc>
          <w:tcPr>
            <w:tcW w:w="902" w:type="pct"/>
            <w:gridSpan w:val="2"/>
            <w:tcBorders>
              <w:top w:val="nil"/>
              <w:left w:val="nil"/>
              <w:bottom w:val="single" w:sz="4" w:space="0" w:color="auto"/>
              <w:right w:val="nil"/>
            </w:tcBorders>
            <w:shd w:val="clear" w:color="auto" w:fill="auto"/>
          </w:tcPr>
          <w:p w:rsidR="001C19F7" w:rsidRPr="00867291" w:rsidDel="00862781" w:rsidRDefault="001C19F7" w:rsidP="008B1CDA">
            <w:pPr>
              <w:rPr>
                <w:i/>
                <w:color w:val="000000" w:themeColor="text1"/>
                <w:sz w:val="16"/>
                <w:szCs w:val="16"/>
              </w:rPr>
            </w:pPr>
            <w:proofErr w:type="spellStart"/>
            <w:r w:rsidRPr="00867291">
              <w:rPr>
                <w:color w:val="000000" w:themeColor="text1"/>
                <w:sz w:val="16"/>
              </w:rPr>
              <w:t>N.d</w:t>
            </w:r>
            <w:proofErr w:type="spellEnd"/>
            <w:r w:rsidRPr="00867291">
              <w:rPr>
                <w:color w:val="000000" w:themeColor="text1"/>
                <w:sz w:val="16"/>
              </w:rPr>
              <w:t>. (OOB)</w:t>
            </w:r>
          </w:p>
        </w:tc>
        <w:tc>
          <w:tcPr>
            <w:tcW w:w="843" w:type="pct"/>
            <w:gridSpan w:val="5"/>
            <w:tcBorders>
              <w:top w:val="nil"/>
              <w:left w:val="nil"/>
              <w:bottom w:val="single" w:sz="4" w:space="0" w:color="auto"/>
              <w:right w:val="nil"/>
            </w:tcBorders>
            <w:shd w:val="clear" w:color="auto" w:fill="auto"/>
            <w:tcMar>
              <w:top w:w="110" w:type="dxa"/>
            </w:tcMar>
          </w:tcPr>
          <w:p w:rsidR="001C19F7" w:rsidRPr="00867291" w:rsidRDefault="001C19F7" w:rsidP="008B1CDA">
            <w:pPr>
              <w:rPr>
                <w:color w:val="000000" w:themeColor="text1"/>
                <w:sz w:val="16"/>
                <w:szCs w:val="16"/>
              </w:rPr>
            </w:pPr>
            <w:r w:rsidRPr="00867291">
              <w:rPr>
                <w:color w:val="000000" w:themeColor="text1"/>
                <w:sz w:val="16"/>
              </w:rPr>
              <w:t>Se tramitarán mediante WIPO MAC (OOB) 30 controversias presentadas por usuarios brasileños en el INPI y 4 presentadas por no residentes en la OOB</w:t>
            </w:r>
          </w:p>
          <w:p w:rsidR="001C19F7" w:rsidRPr="00867291" w:rsidRDefault="001C19F7" w:rsidP="008B1CDA">
            <w:pPr>
              <w:rPr>
                <w:color w:val="000000" w:themeColor="text1"/>
                <w:sz w:val="16"/>
                <w:szCs w:val="16"/>
              </w:rPr>
            </w:pPr>
          </w:p>
        </w:tc>
        <w:tc>
          <w:tcPr>
            <w:tcW w:w="1456" w:type="pct"/>
            <w:gridSpan w:val="2"/>
            <w:tcBorders>
              <w:top w:val="nil"/>
              <w:left w:val="nil"/>
              <w:bottom w:val="single" w:sz="4" w:space="0" w:color="auto"/>
              <w:right w:val="nil"/>
            </w:tcBorders>
            <w:shd w:val="clear" w:color="auto" w:fill="FFFFFF"/>
            <w:tcMar>
              <w:top w:w="110" w:type="dxa"/>
            </w:tcMar>
          </w:tcPr>
          <w:p w:rsidR="001C19F7" w:rsidRPr="00867291" w:rsidRDefault="001C19F7" w:rsidP="008B1CDA">
            <w:pPr>
              <w:rPr>
                <w:color w:val="000000" w:themeColor="text1"/>
                <w:sz w:val="16"/>
                <w:szCs w:val="16"/>
              </w:rPr>
            </w:pPr>
            <w:r w:rsidRPr="00867291">
              <w:rPr>
                <w:color w:val="000000" w:themeColor="text1"/>
                <w:sz w:val="16"/>
              </w:rPr>
              <w:t>Debido a cambios en el INPI en 2014, quedó suspendido el proyecto de utilizar servicios de solución extrajudicial de controversias relativas a transacciones de P.I. (OOB)</w:t>
            </w:r>
          </w:p>
          <w:p w:rsidR="001C19F7" w:rsidRPr="00867291" w:rsidDel="00844714" w:rsidRDefault="001C19F7" w:rsidP="008B1CDA">
            <w:pPr>
              <w:rPr>
                <w:color w:val="000000" w:themeColor="text1"/>
                <w:sz w:val="16"/>
                <w:szCs w:val="16"/>
              </w:rPr>
            </w:pPr>
          </w:p>
        </w:tc>
        <w:tc>
          <w:tcPr>
            <w:tcW w:w="696" w:type="pct"/>
            <w:gridSpan w:val="5"/>
            <w:tcBorders>
              <w:top w:val="nil"/>
              <w:left w:val="nil"/>
              <w:bottom w:val="single" w:sz="4" w:space="0" w:color="auto"/>
              <w:right w:val="single" w:sz="4" w:space="0" w:color="auto"/>
            </w:tcBorders>
            <w:shd w:val="clear" w:color="auto" w:fill="auto"/>
            <w:tcMar>
              <w:top w:w="110" w:type="dxa"/>
            </w:tcMar>
          </w:tcPr>
          <w:p w:rsidR="001C19F7" w:rsidRPr="00867291" w:rsidRDefault="001C19F7" w:rsidP="008B1CDA">
            <w:pPr>
              <w:keepNext/>
              <w:keepLines/>
              <w:ind w:left="-27" w:right="20"/>
              <w:jc w:val="center"/>
              <w:rPr>
                <w:b/>
                <w:bCs/>
                <w:color w:val="000000" w:themeColor="text1"/>
                <w:sz w:val="16"/>
                <w:szCs w:val="16"/>
              </w:rPr>
            </w:pPr>
            <w:r w:rsidRPr="00916619">
              <w:rPr>
                <w:b/>
                <w:color w:val="FF0000"/>
                <w:sz w:val="16"/>
                <w:szCs w:val="16"/>
                <w:lang w:val="en-US"/>
              </w:rPr>
              <w:t>No</w:t>
            </w:r>
            <w:r w:rsidRPr="00867291">
              <w:rPr>
                <w:b/>
                <w:color w:val="000000" w:themeColor="text1"/>
                <w:sz w:val="16"/>
              </w:rPr>
              <w:t xml:space="preserve"> </w:t>
            </w:r>
            <w:proofErr w:type="spellStart"/>
            <w:r w:rsidRPr="00916619">
              <w:rPr>
                <w:b/>
                <w:color w:val="FF0000"/>
                <w:sz w:val="16"/>
                <w:szCs w:val="16"/>
                <w:lang w:val="en-US"/>
              </w:rPr>
              <w:t>logrado</w:t>
            </w:r>
            <w:proofErr w:type="spellEnd"/>
          </w:p>
        </w:tc>
      </w:tr>
      <w:tr w:rsidR="001C19F7" w:rsidRPr="00867291" w:rsidTr="008B1CDA">
        <w:trPr>
          <w:trHeight w:val="610"/>
        </w:trPr>
        <w:tc>
          <w:tcPr>
            <w:tcW w:w="5000" w:type="pct"/>
            <w:gridSpan w:val="15"/>
            <w:tcBorders>
              <w:top w:val="single" w:sz="4" w:space="0" w:color="auto"/>
              <w:bottom w:val="single" w:sz="2" w:space="0" w:color="auto"/>
            </w:tcBorders>
            <w:shd w:val="clear" w:color="auto" w:fill="C6D9F1" w:themeFill="text2" w:themeFillTint="33"/>
          </w:tcPr>
          <w:p w:rsidR="001C19F7" w:rsidRPr="00867291" w:rsidRDefault="001C19F7" w:rsidP="008B1CDA">
            <w:pPr>
              <w:keepNext/>
              <w:spacing w:before="120" w:after="120"/>
              <w:ind w:left="1985" w:hanging="1985"/>
              <w:rPr>
                <w:b/>
                <w:bCs/>
                <w:color w:val="000000" w:themeColor="text1"/>
                <w:sz w:val="16"/>
                <w:szCs w:val="16"/>
              </w:rPr>
            </w:pPr>
            <w:r w:rsidRPr="00867291">
              <w:rPr>
                <w:b/>
                <w:color w:val="000000" w:themeColor="text1"/>
                <w:sz w:val="16"/>
              </w:rPr>
              <w:lastRenderedPageBreak/>
              <w:t>Resultado previsto:</w:t>
            </w:r>
            <w:r w:rsidRPr="00867291">
              <w:rPr>
                <w:color w:val="000000" w:themeColor="text1"/>
              </w:rPr>
              <w:tab/>
            </w:r>
            <w:r w:rsidRPr="00867291">
              <w:rPr>
                <w:color w:val="000000" w:themeColor="text1"/>
                <w:sz w:val="16"/>
              </w:rPr>
              <w:t>III.2 Aumento de las capacidades en recursos humanos para hacer frente a la gran diversidad de exigencias que supone la utilización eficaz de la P.I. para fomentar el desarrollo en los países en desarrollo, PMA y países con economías en transición</w:t>
            </w:r>
          </w:p>
        </w:tc>
      </w:tr>
      <w:tr w:rsidR="001C19F7" w:rsidRPr="00867291" w:rsidTr="008B1CDA">
        <w:tc>
          <w:tcPr>
            <w:tcW w:w="1103" w:type="pct"/>
            <w:tcBorders>
              <w:top w:val="single" w:sz="2" w:space="0" w:color="auto"/>
              <w:left w:val="single" w:sz="2" w:space="0" w:color="auto"/>
              <w:bottom w:val="nil"/>
              <w:right w:val="nil"/>
            </w:tcBorders>
            <w:shd w:val="clear" w:color="auto" w:fill="auto"/>
          </w:tcPr>
          <w:p w:rsidR="001C19F7" w:rsidRPr="00867291" w:rsidRDefault="001C19F7" w:rsidP="008B1CDA">
            <w:pPr>
              <w:keepNext/>
              <w:rPr>
                <w:color w:val="000000" w:themeColor="text1"/>
                <w:sz w:val="16"/>
                <w:szCs w:val="16"/>
              </w:rPr>
            </w:pPr>
            <w:r w:rsidRPr="00867291">
              <w:rPr>
                <w:b/>
                <w:color w:val="000000" w:themeColor="text1"/>
                <w:sz w:val="16"/>
              </w:rPr>
              <w:t>Indicadores de rendimiento</w:t>
            </w:r>
          </w:p>
        </w:tc>
        <w:tc>
          <w:tcPr>
            <w:tcW w:w="902" w:type="pct"/>
            <w:gridSpan w:val="2"/>
            <w:tcBorders>
              <w:top w:val="single" w:sz="2" w:space="0" w:color="auto"/>
              <w:left w:val="nil"/>
              <w:bottom w:val="nil"/>
              <w:right w:val="nil"/>
            </w:tcBorders>
            <w:shd w:val="clear" w:color="auto" w:fill="auto"/>
          </w:tcPr>
          <w:p w:rsidR="001C19F7" w:rsidRPr="00867291" w:rsidRDefault="001C19F7" w:rsidP="008B1CDA">
            <w:pPr>
              <w:keepNext/>
              <w:rPr>
                <w:i/>
                <w:color w:val="000000" w:themeColor="text1"/>
                <w:sz w:val="16"/>
                <w:szCs w:val="16"/>
              </w:rPr>
            </w:pPr>
            <w:r w:rsidRPr="00867291">
              <w:rPr>
                <w:b/>
                <w:color w:val="000000" w:themeColor="text1"/>
                <w:sz w:val="16"/>
              </w:rPr>
              <w:t>Referencia</w:t>
            </w:r>
          </w:p>
        </w:tc>
        <w:tc>
          <w:tcPr>
            <w:tcW w:w="843" w:type="pct"/>
            <w:gridSpan w:val="5"/>
            <w:tcBorders>
              <w:top w:val="single" w:sz="2" w:space="0" w:color="auto"/>
              <w:left w:val="nil"/>
              <w:bottom w:val="nil"/>
              <w:right w:val="nil"/>
            </w:tcBorders>
            <w:shd w:val="clear" w:color="auto" w:fill="auto"/>
            <w:tcMar>
              <w:top w:w="110" w:type="dxa"/>
            </w:tcMar>
          </w:tcPr>
          <w:p w:rsidR="001C19F7" w:rsidRPr="00867291" w:rsidRDefault="001C19F7" w:rsidP="008B1CDA">
            <w:pPr>
              <w:keepNext/>
              <w:rPr>
                <w:color w:val="000000" w:themeColor="text1"/>
                <w:sz w:val="16"/>
                <w:szCs w:val="16"/>
              </w:rPr>
            </w:pPr>
            <w:r w:rsidRPr="00867291">
              <w:rPr>
                <w:b/>
                <w:color w:val="000000" w:themeColor="text1"/>
                <w:sz w:val="16"/>
              </w:rPr>
              <w:t>Objetivos</w:t>
            </w:r>
          </w:p>
        </w:tc>
        <w:tc>
          <w:tcPr>
            <w:tcW w:w="1456" w:type="pct"/>
            <w:gridSpan w:val="2"/>
            <w:tcBorders>
              <w:top w:val="single" w:sz="2" w:space="0" w:color="auto"/>
              <w:left w:val="nil"/>
              <w:bottom w:val="nil"/>
              <w:right w:val="nil"/>
            </w:tcBorders>
            <w:shd w:val="clear" w:color="auto" w:fill="FFFFFF"/>
            <w:tcMar>
              <w:top w:w="110" w:type="dxa"/>
            </w:tcMar>
          </w:tcPr>
          <w:p w:rsidR="001C19F7" w:rsidRPr="00867291" w:rsidRDefault="001C19F7" w:rsidP="008B1CDA">
            <w:pPr>
              <w:keepNext/>
              <w:rPr>
                <w:color w:val="000000" w:themeColor="text1"/>
                <w:sz w:val="16"/>
                <w:szCs w:val="16"/>
              </w:rPr>
            </w:pPr>
            <w:r w:rsidRPr="00867291">
              <w:rPr>
                <w:b/>
                <w:color w:val="000000" w:themeColor="text1"/>
                <w:sz w:val="16"/>
              </w:rPr>
              <w:t>Datos sobre el rendimiento</w:t>
            </w:r>
          </w:p>
        </w:tc>
        <w:tc>
          <w:tcPr>
            <w:tcW w:w="696" w:type="pct"/>
            <w:gridSpan w:val="5"/>
            <w:tcBorders>
              <w:top w:val="single" w:sz="2" w:space="0" w:color="auto"/>
              <w:left w:val="nil"/>
              <w:bottom w:val="nil"/>
              <w:right w:val="single" w:sz="2" w:space="0" w:color="auto"/>
            </w:tcBorders>
            <w:shd w:val="clear" w:color="auto" w:fill="auto"/>
            <w:tcMar>
              <w:top w:w="110" w:type="dxa"/>
            </w:tcMar>
          </w:tcPr>
          <w:p w:rsidR="001C19F7" w:rsidRPr="00867291" w:rsidRDefault="001C19F7" w:rsidP="008B1CDA">
            <w:pPr>
              <w:keepNext/>
              <w:keepLines/>
              <w:ind w:left="71" w:right="20"/>
              <w:jc w:val="center"/>
              <w:rPr>
                <w:b/>
                <w:bCs/>
                <w:color w:val="000000" w:themeColor="text1"/>
                <w:sz w:val="16"/>
                <w:szCs w:val="16"/>
              </w:rPr>
            </w:pPr>
            <w:r w:rsidRPr="00867291">
              <w:rPr>
                <w:b/>
                <w:color w:val="000000" w:themeColor="text1"/>
                <w:sz w:val="16"/>
              </w:rPr>
              <w:t>Clave de colores</w:t>
            </w:r>
          </w:p>
        </w:tc>
      </w:tr>
      <w:tr w:rsidR="001C19F7" w:rsidRPr="00867291" w:rsidTr="008B1CDA">
        <w:tc>
          <w:tcPr>
            <w:tcW w:w="1103" w:type="pct"/>
            <w:tcBorders>
              <w:top w:val="nil"/>
              <w:left w:val="single" w:sz="2" w:space="0" w:color="auto"/>
              <w:bottom w:val="single" w:sz="2" w:space="0" w:color="auto"/>
              <w:right w:val="nil"/>
            </w:tcBorders>
            <w:shd w:val="clear" w:color="auto" w:fill="auto"/>
          </w:tcPr>
          <w:p w:rsidR="001C19F7" w:rsidRPr="00867291" w:rsidRDefault="001C19F7" w:rsidP="008B1CDA">
            <w:pPr>
              <w:keepNext/>
              <w:rPr>
                <w:color w:val="000000" w:themeColor="text1"/>
                <w:sz w:val="16"/>
                <w:szCs w:val="16"/>
              </w:rPr>
            </w:pPr>
            <w:r w:rsidRPr="00867291">
              <w:rPr>
                <w:color w:val="000000" w:themeColor="text1"/>
                <w:sz w:val="16"/>
              </w:rPr>
              <w:t>Porcentaje de encargados de la adopción de políticas, funcionarios gubernamentales, profesionales de la P.I. y participantes en talleres con un mayor conocimiento de los organismos de gestión colectiva y la manera de usar eficazmente la P.I. al servicio del desarrollo</w:t>
            </w:r>
          </w:p>
        </w:tc>
        <w:tc>
          <w:tcPr>
            <w:tcW w:w="902" w:type="pct"/>
            <w:gridSpan w:val="2"/>
            <w:tcBorders>
              <w:top w:val="nil"/>
              <w:left w:val="nil"/>
              <w:bottom w:val="single" w:sz="2" w:space="0" w:color="auto"/>
              <w:right w:val="nil"/>
            </w:tcBorders>
            <w:shd w:val="clear" w:color="auto" w:fill="auto"/>
          </w:tcPr>
          <w:p w:rsidR="001C19F7" w:rsidRPr="00867291" w:rsidRDefault="001C19F7" w:rsidP="008B1CDA">
            <w:pPr>
              <w:keepNext/>
              <w:rPr>
                <w:color w:val="000000" w:themeColor="text1"/>
                <w:sz w:val="16"/>
                <w:szCs w:val="16"/>
              </w:rPr>
            </w:pPr>
            <w:proofErr w:type="spellStart"/>
            <w:r w:rsidRPr="00867291">
              <w:rPr>
                <w:color w:val="000000" w:themeColor="text1"/>
                <w:sz w:val="16"/>
              </w:rPr>
              <w:t>N.d</w:t>
            </w:r>
            <w:proofErr w:type="spellEnd"/>
            <w:r w:rsidRPr="00867291">
              <w:rPr>
                <w:color w:val="000000" w:themeColor="text1"/>
                <w:sz w:val="16"/>
              </w:rPr>
              <w:t>. (OOB)</w:t>
            </w:r>
          </w:p>
          <w:p w:rsidR="001C19F7" w:rsidRPr="00867291" w:rsidRDefault="001C19F7" w:rsidP="008B1CDA">
            <w:pPr>
              <w:keepNext/>
              <w:rPr>
                <w:color w:val="000000" w:themeColor="text1"/>
                <w:sz w:val="16"/>
                <w:szCs w:val="16"/>
              </w:rPr>
            </w:pPr>
            <w:proofErr w:type="spellStart"/>
            <w:r w:rsidRPr="00867291">
              <w:rPr>
                <w:color w:val="000000" w:themeColor="text1"/>
                <w:sz w:val="16"/>
              </w:rPr>
              <w:t>N.d</w:t>
            </w:r>
            <w:proofErr w:type="spellEnd"/>
            <w:r w:rsidRPr="00867291">
              <w:rPr>
                <w:color w:val="000000" w:themeColor="text1"/>
                <w:sz w:val="16"/>
              </w:rPr>
              <w:t>. (OOJ)</w:t>
            </w:r>
          </w:p>
          <w:p w:rsidR="001C19F7" w:rsidRPr="00867291" w:rsidRDefault="001C19F7" w:rsidP="008B1CDA">
            <w:pPr>
              <w:keepNext/>
              <w:rPr>
                <w:color w:val="000000" w:themeColor="text1"/>
                <w:sz w:val="16"/>
                <w:szCs w:val="16"/>
              </w:rPr>
            </w:pPr>
            <w:r w:rsidRPr="00867291">
              <w:rPr>
                <w:color w:val="000000" w:themeColor="text1"/>
                <w:sz w:val="16"/>
              </w:rPr>
              <w:t>60% (OOS)</w:t>
            </w:r>
          </w:p>
          <w:p w:rsidR="001C19F7" w:rsidRPr="00867291" w:rsidRDefault="001C19F7" w:rsidP="008B1CDA">
            <w:pPr>
              <w:keepNext/>
              <w:rPr>
                <w:i/>
                <w:color w:val="000000" w:themeColor="text1"/>
                <w:sz w:val="16"/>
                <w:szCs w:val="16"/>
              </w:rPr>
            </w:pPr>
          </w:p>
        </w:tc>
        <w:tc>
          <w:tcPr>
            <w:tcW w:w="843" w:type="pct"/>
            <w:gridSpan w:val="5"/>
            <w:tcBorders>
              <w:top w:val="nil"/>
              <w:left w:val="nil"/>
              <w:bottom w:val="single" w:sz="2" w:space="0" w:color="auto"/>
              <w:right w:val="nil"/>
            </w:tcBorders>
            <w:shd w:val="clear" w:color="auto" w:fill="auto"/>
            <w:tcMar>
              <w:top w:w="110" w:type="dxa"/>
            </w:tcMar>
          </w:tcPr>
          <w:p w:rsidR="001C19F7" w:rsidRPr="00867291" w:rsidRDefault="001C19F7" w:rsidP="008B1CDA">
            <w:pPr>
              <w:keepNext/>
              <w:rPr>
                <w:color w:val="000000" w:themeColor="text1"/>
                <w:sz w:val="16"/>
                <w:szCs w:val="16"/>
              </w:rPr>
            </w:pPr>
            <w:r w:rsidRPr="00867291">
              <w:rPr>
                <w:color w:val="000000" w:themeColor="text1"/>
                <w:sz w:val="16"/>
              </w:rPr>
              <w:t>75% (OOB)</w:t>
            </w:r>
          </w:p>
          <w:p w:rsidR="001C19F7" w:rsidRPr="00867291" w:rsidRDefault="001C19F7" w:rsidP="008B1CDA">
            <w:pPr>
              <w:keepNext/>
              <w:rPr>
                <w:color w:val="000000" w:themeColor="text1"/>
                <w:sz w:val="16"/>
                <w:szCs w:val="16"/>
              </w:rPr>
            </w:pPr>
            <w:r w:rsidRPr="00867291">
              <w:rPr>
                <w:color w:val="000000" w:themeColor="text1"/>
                <w:sz w:val="16"/>
              </w:rPr>
              <w:t>75% (OOJ)</w:t>
            </w:r>
          </w:p>
          <w:p w:rsidR="001C19F7" w:rsidRPr="00867291" w:rsidRDefault="001C19F7" w:rsidP="008B1CDA">
            <w:pPr>
              <w:keepNext/>
              <w:rPr>
                <w:color w:val="000000" w:themeColor="text1"/>
                <w:sz w:val="16"/>
                <w:szCs w:val="16"/>
              </w:rPr>
            </w:pPr>
            <w:r w:rsidRPr="00867291">
              <w:rPr>
                <w:color w:val="000000" w:themeColor="text1"/>
                <w:sz w:val="16"/>
              </w:rPr>
              <w:t>&gt; 70% (OOS)</w:t>
            </w:r>
          </w:p>
          <w:p w:rsidR="001C19F7" w:rsidRPr="00867291" w:rsidRDefault="001C19F7" w:rsidP="008B1CDA">
            <w:pPr>
              <w:keepNext/>
              <w:rPr>
                <w:color w:val="000000" w:themeColor="text1"/>
                <w:sz w:val="16"/>
                <w:szCs w:val="16"/>
              </w:rPr>
            </w:pPr>
          </w:p>
        </w:tc>
        <w:tc>
          <w:tcPr>
            <w:tcW w:w="1456" w:type="pct"/>
            <w:gridSpan w:val="2"/>
            <w:tcBorders>
              <w:top w:val="nil"/>
              <w:left w:val="nil"/>
              <w:bottom w:val="single" w:sz="2" w:space="0" w:color="auto"/>
              <w:right w:val="nil"/>
            </w:tcBorders>
            <w:shd w:val="clear" w:color="auto" w:fill="FFFFFF"/>
            <w:tcMar>
              <w:top w:w="110" w:type="dxa"/>
            </w:tcMar>
          </w:tcPr>
          <w:p w:rsidR="001C19F7" w:rsidRPr="00867291" w:rsidRDefault="001C19F7" w:rsidP="008B1CDA">
            <w:pPr>
              <w:keepNext/>
              <w:rPr>
                <w:color w:val="000000" w:themeColor="text1"/>
                <w:sz w:val="16"/>
                <w:szCs w:val="16"/>
              </w:rPr>
            </w:pPr>
            <w:r w:rsidRPr="00867291">
              <w:rPr>
                <w:color w:val="000000" w:themeColor="text1"/>
                <w:sz w:val="16"/>
              </w:rPr>
              <w:t>75% (OOB)</w:t>
            </w:r>
          </w:p>
          <w:p w:rsidR="001C19F7" w:rsidRPr="00867291" w:rsidRDefault="001C19F7" w:rsidP="008B1CDA">
            <w:pPr>
              <w:keepNext/>
              <w:rPr>
                <w:color w:val="000000" w:themeColor="text1"/>
                <w:sz w:val="16"/>
                <w:szCs w:val="16"/>
              </w:rPr>
            </w:pPr>
          </w:p>
          <w:p w:rsidR="001C19F7" w:rsidRPr="00867291" w:rsidRDefault="001C19F7" w:rsidP="008B1CDA">
            <w:pPr>
              <w:keepNext/>
              <w:rPr>
                <w:color w:val="000000" w:themeColor="text1"/>
                <w:sz w:val="16"/>
                <w:szCs w:val="16"/>
              </w:rPr>
            </w:pPr>
            <w:r w:rsidRPr="00867291">
              <w:rPr>
                <w:color w:val="000000" w:themeColor="text1"/>
                <w:sz w:val="16"/>
              </w:rPr>
              <w:t>100% (OOJ)</w:t>
            </w:r>
          </w:p>
          <w:p w:rsidR="001C19F7" w:rsidRPr="00867291" w:rsidRDefault="001C19F7" w:rsidP="008B1CDA">
            <w:pPr>
              <w:keepNext/>
              <w:rPr>
                <w:color w:val="000000" w:themeColor="text1"/>
                <w:sz w:val="16"/>
                <w:szCs w:val="16"/>
              </w:rPr>
            </w:pPr>
          </w:p>
          <w:p w:rsidR="001C19F7" w:rsidRPr="00867291" w:rsidDel="00EA6FE2" w:rsidRDefault="001C19F7" w:rsidP="008B1CDA">
            <w:pPr>
              <w:keepNext/>
              <w:rPr>
                <w:color w:val="000000" w:themeColor="text1"/>
                <w:sz w:val="16"/>
                <w:szCs w:val="16"/>
              </w:rPr>
            </w:pPr>
            <w:r w:rsidRPr="00867291">
              <w:rPr>
                <w:color w:val="000000" w:themeColor="text1"/>
                <w:sz w:val="16"/>
              </w:rPr>
              <w:t>100% (OOS)</w:t>
            </w:r>
          </w:p>
        </w:tc>
        <w:tc>
          <w:tcPr>
            <w:tcW w:w="696" w:type="pct"/>
            <w:gridSpan w:val="5"/>
            <w:tcBorders>
              <w:top w:val="nil"/>
              <w:left w:val="nil"/>
              <w:bottom w:val="single" w:sz="2" w:space="0" w:color="auto"/>
              <w:right w:val="single" w:sz="2" w:space="0" w:color="auto"/>
            </w:tcBorders>
            <w:shd w:val="clear" w:color="auto" w:fill="auto"/>
            <w:tcMar>
              <w:top w:w="110" w:type="dxa"/>
            </w:tcMar>
          </w:tcPr>
          <w:p w:rsidR="001C19F7" w:rsidRPr="00EF75DA" w:rsidRDefault="00044DA1" w:rsidP="008B1CDA">
            <w:pPr>
              <w:keepNext/>
              <w:keepLines/>
              <w:ind w:right="20"/>
              <w:jc w:val="center"/>
              <w:rPr>
                <w:b/>
                <w:bCs/>
                <w:color w:val="00B050"/>
                <w:sz w:val="16"/>
                <w:szCs w:val="16"/>
              </w:rPr>
            </w:pPr>
            <w:r>
              <w:rPr>
                <w:b/>
                <w:bCs/>
                <w:color w:val="00B050"/>
                <w:sz w:val="16"/>
                <w:szCs w:val="16"/>
              </w:rPr>
              <w:t>Plenamente logrado</w:t>
            </w:r>
          </w:p>
          <w:p w:rsidR="001C19F7" w:rsidRPr="00EF75DA" w:rsidRDefault="00044DA1" w:rsidP="008B1CDA">
            <w:pPr>
              <w:keepNext/>
              <w:keepLines/>
              <w:ind w:right="20"/>
              <w:jc w:val="center"/>
              <w:rPr>
                <w:b/>
                <w:bCs/>
                <w:color w:val="00B050"/>
                <w:sz w:val="16"/>
                <w:szCs w:val="16"/>
              </w:rPr>
            </w:pPr>
            <w:r>
              <w:rPr>
                <w:b/>
                <w:bCs/>
                <w:color w:val="00B050"/>
                <w:sz w:val="16"/>
                <w:szCs w:val="16"/>
              </w:rPr>
              <w:t>Plenamente logrado</w:t>
            </w:r>
          </w:p>
          <w:p w:rsidR="001C19F7" w:rsidRPr="00EF75DA" w:rsidRDefault="00044DA1" w:rsidP="008B1CDA">
            <w:pPr>
              <w:keepNext/>
              <w:keepLines/>
              <w:ind w:right="20"/>
              <w:jc w:val="center"/>
              <w:rPr>
                <w:b/>
                <w:bCs/>
                <w:color w:val="00B050"/>
                <w:sz w:val="16"/>
                <w:szCs w:val="16"/>
              </w:rPr>
            </w:pPr>
            <w:r>
              <w:rPr>
                <w:b/>
                <w:bCs/>
                <w:color w:val="00B050"/>
                <w:sz w:val="16"/>
                <w:szCs w:val="16"/>
              </w:rPr>
              <w:t>Plenamente logrado</w:t>
            </w:r>
          </w:p>
          <w:p w:rsidR="001C19F7" w:rsidRPr="00867291" w:rsidRDefault="001C19F7" w:rsidP="008B1CDA">
            <w:pPr>
              <w:keepNext/>
              <w:keepLines/>
              <w:ind w:left="71" w:right="20"/>
              <w:jc w:val="center"/>
              <w:rPr>
                <w:b/>
                <w:bCs/>
                <w:color w:val="000000" w:themeColor="text1"/>
                <w:sz w:val="16"/>
                <w:szCs w:val="16"/>
              </w:rPr>
            </w:pPr>
          </w:p>
        </w:tc>
      </w:tr>
      <w:tr w:rsidR="001C19F7" w:rsidRPr="00867291" w:rsidTr="008B1CDA">
        <w:tc>
          <w:tcPr>
            <w:tcW w:w="5000" w:type="pct"/>
            <w:gridSpan w:val="15"/>
            <w:tcBorders>
              <w:top w:val="single" w:sz="2" w:space="0" w:color="auto"/>
              <w:bottom w:val="single" w:sz="4" w:space="0" w:color="auto"/>
            </w:tcBorders>
            <w:shd w:val="clear" w:color="auto" w:fill="C6D9F1" w:themeFill="text2" w:themeFillTint="33"/>
          </w:tcPr>
          <w:p w:rsidR="001C19F7" w:rsidRPr="00867291" w:rsidRDefault="001C19F7" w:rsidP="008B1CDA">
            <w:pPr>
              <w:keepNext/>
              <w:tabs>
                <w:tab w:val="left" w:pos="-4253"/>
              </w:tabs>
              <w:spacing w:before="120" w:after="120"/>
              <w:ind w:left="1985" w:hanging="1985"/>
              <w:rPr>
                <w:b/>
                <w:bCs/>
                <w:color w:val="000000" w:themeColor="text1"/>
                <w:sz w:val="16"/>
                <w:szCs w:val="16"/>
              </w:rPr>
            </w:pPr>
            <w:r w:rsidRPr="00867291">
              <w:rPr>
                <w:b/>
                <w:color w:val="000000" w:themeColor="text1"/>
                <w:sz w:val="16"/>
              </w:rPr>
              <w:t>Resultado previsto:</w:t>
            </w:r>
            <w:r w:rsidRPr="00867291">
              <w:rPr>
                <w:color w:val="000000" w:themeColor="text1"/>
              </w:rPr>
              <w:tab/>
            </w:r>
            <w:r w:rsidRPr="00867291">
              <w:rPr>
                <w:color w:val="000000" w:themeColor="text1"/>
                <w:sz w:val="16"/>
              </w:rPr>
              <w:t>IV.2 Mejora del acceso y uso de información de P.I. por parte de instituciones de P.I. y el público para fomentar la innovación y la creatividad</w:t>
            </w:r>
          </w:p>
        </w:tc>
      </w:tr>
      <w:tr w:rsidR="001C19F7" w:rsidRPr="00867291" w:rsidTr="008B1CDA">
        <w:tc>
          <w:tcPr>
            <w:tcW w:w="1103" w:type="pct"/>
            <w:tcBorders>
              <w:top w:val="single" w:sz="4" w:space="0" w:color="auto"/>
              <w:left w:val="single" w:sz="4" w:space="0" w:color="auto"/>
              <w:bottom w:val="nil"/>
              <w:right w:val="nil"/>
            </w:tcBorders>
            <w:shd w:val="clear" w:color="auto" w:fill="auto"/>
          </w:tcPr>
          <w:p w:rsidR="001C19F7" w:rsidRPr="00867291" w:rsidRDefault="001C19F7" w:rsidP="008B1CDA">
            <w:pPr>
              <w:rPr>
                <w:color w:val="000000" w:themeColor="text1"/>
                <w:sz w:val="16"/>
                <w:szCs w:val="16"/>
              </w:rPr>
            </w:pPr>
            <w:r w:rsidRPr="00867291">
              <w:rPr>
                <w:b/>
                <w:color w:val="000000" w:themeColor="text1"/>
                <w:sz w:val="16"/>
              </w:rPr>
              <w:t>Indicadores de rendimiento</w:t>
            </w:r>
          </w:p>
        </w:tc>
        <w:tc>
          <w:tcPr>
            <w:tcW w:w="902" w:type="pct"/>
            <w:gridSpan w:val="2"/>
            <w:tcBorders>
              <w:top w:val="single" w:sz="4" w:space="0" w:color="auto"/>
              <w:left w:val="nil"/>
              <w:bottom w:val="nil"/>
              <w:right w:val="nil"/>
            </w:tcBorders>
            <w:shd w:val="clear" w:color="auto" w:fill="auto"/>
          </w:tcPr>
          <w:p w:rsidR="001C19F7" w:rsidRPr="00867291" w:rsidRDefault="001C19F7" w:rsidP="008B1CDA">
            <w:pPr>
              <w:rPr>
                <w:i/>
                <w:color w:val="000000" w:themeColor="text1"/>
                <w:sz w:val="16"/>
                <w:szCs w:val="16"/>
              </w:rPr>
            </w:pPr>
            <w:r w:rsidRPr="00867291">
              <w:rPr>
                <w:b/>
                <w:color w:val="000000" w:themeColor="text1"/>
                <w:sz w:val="16"/>
              </w:rPr>
              <w:t>Referencia</w:t>
            </w:r>
          </w:p>
        </w:tc>
        <w:tc>
          <w:tcPr>
            <w:tcW w:w="843" w:type="pct"/>
            <w:gridSpan w:val="5"/>
            <w:tcBorders>
              <w:top w:val="single" w:sz="4" w:space="0" w:color="auto"/>
              <w:left w:val="nil"/>
              <w:bottom w:val="nil"/>
              <w:right w:val="nil"/>
            </w:tcBorders>
            <w:shd w:val="clear" w:color="auto" w:fill="auto"/>
            <w:tcMar>
              <w:top w:w="110" w:type="dxa"/>
            </w:tcMar>
          </w:tcPr>
          <w:p w:rsidR="001C19F7" w:rsidRPr="00867291" w:rsidRDefault="001C19F7" w:rsidP="008B1CDA">
            <w:pPr>
              <w:rPr>
                <w:color w:val="000000" w:themeColor="text1"/>
                <w:sz w:val="16"/>
                <w:szCs w:val="16"/>
              </w:rPr>
            </w:pPr>
            <w:r w:rsidRPr="00867291">
              <w:rPr>
                <w:b/>
                <w:color w:val="000000" w:themeColor="text1"/>
                <w:sz w:val="16"/>
              </w:rPr>
              <w:t>Objetivos</w:t>
            </w:r>
          </w:p>
        </w:tc>
        <w:tc>
          <w:tcPr>
            <w:tcW w:w="1409" w:type="pct"/>
            <w:tcBorders>
              <w:top w:val="single" w:sz="4" w:space="0" w:color="auto"/>
              <w:left w:val="nil"/>
              <w:bottom w:val="nil"/>
              <w:right w:val="nil"/>
            </w:tcBorders>
            <w:shd w:val="clear" w:color="auto" w:fill="FFFFFF"/>
            <w:tcMar>
              <w:top w:w="110" w:type="dxa"/>
            </w:tcMar>
          </w:tcPr>
          <w:p w:rsidR="001C19F7" w:rsidRPr="00867291" w:rsidRDefault="001C19F7" w:rsidP="008B1CDA">
            <w:pPr>
              <w:rPr>
                <w:color w:val="000000" w:themeColor="text1"/>
                <w:sz w:val="16"/>
                <w:szCs w:val="16"/>
              </w:rPr>
            </w:pPr>
            <w:r w:rsidRPr="00867291">
              <w:rPr>
                <w:b/>
                <w:color w:val="000000" w:themeColor="text1"/>
                <w:sz w:val="16"/>
              </w:rPr>
              <w:t>Datos sobre el rendimiento</w:t>
            </w:r>
            <w:r w:rsidRPr="00867291">
              <w:rPr>
                <w:rStyle w:val="FootnoteReference"/>
                <w:b/>
                <w:color w:val="000000" w:themeColor="text1"/>
              </w:rPr>
              <w:footnoteReference w:id="115"/>
            </w:r>
          </w:p>
        </w:tc>
        <w:tc>
          <w:tcPr>
            <w:tcW w:w="743" w:type="pct"/>
            <w:gridSpan w:val="6"/>
            <w:tcBorders>
              <w:top w:val="single" w:sz="4" w:space="0" w:color="auto"/>
              <w:left w:val="nil"/>
              <w:bottom w:val="nil"/>
              <w:right w:val="single" w:sz="4" w:space="0" w:color="auto"/>
            </w:tcBorders>
            <w:shd w:val="clear" w:color="auto" w:fill="auto"/>
            <w:tcMar>
              <w:top w:w="110" w:type="dxa"/>
            </w:tcMar>
          </w:tcPr>
          <w:p w:rsidR="001C19F7" w:rsidRPr="00867291" w:rsidRDefault="001C19F7" w:rsidP="008B1CDA">
            <w:pPr>
              <w:keepNext/>
              <w:keepLines/>
              <w:ind w:left="71" w:right="20"/>
              <w:jc w:val="center"/>
              <w:rPr>
                <w:b/>
                <w:bCs/>
                <w:color w:val="000000" w:themeColor="text1"/>
                <w:sz w:val="16"/>
                <w:szCs w:val="16"/>
              </w:rPr>
            </w:pPr>
            <w:r w:rsidRPr="00867291">
              <w:rPr>
                <w:b/>
                <w:color w:val="000000" w:themeColor="text1"/>
                <w:sz w:val="16"/>
              </w:rPr>
              <w:t>Clave de colores</w:t>
            </w:r>
          </w:p>
        </w:tc>
      </w:tr>
      <w:tr w:rsidR="001C19F7" w:rsidRPr="00867291" w:rsidTr="008B1CDA">
        <w:trPr>
          <w:trHeight w:val="4192"/>
        </w:trPr>
        <w:tc>
          <w:tcPr>
            <w:tcW w:w="1103" w:type="pct"/>
            <w:tcBorders>
              <w:top w:val="nil"/>
              <w:left w:val="single" w:sz="4" w:space="0" w:color="auto"/>
              <w:bottom w:val="single" w:sz="4" w:space="0" w:color="auto"/>
              <w:right w:val="nil"/>
            </w:tcBorders>
            <w:shd w:val="clear" w:color="auto" w:fill="auto"/>
          </w:tcPr>
          <w:p w:rsidR="001C19F7" w:rsidRPr="00867291" w:rsidRDefault="001C19F7" w:rsidP="008B1CDA">
            <w:pPr>
              <w:rPr>
                <w:color w:val="000000" w:themeColor="text1"/>
                <w:sz w:val="16"/>
                <w:szCs w:val="16"/>
              </w:rPr>
            </w:pPr>
            <w:r w:rsidRPr="00867291">
              <w:rPr>
                <w:color w:val="000000" w:themeColor="text1"/>
                <w:sz w:val="16"/>
              </w:rPr>
              <w:t>Número de usuarios de las bases de datos mundiales de la OMPI: PATENTSCOPE y Base Mundial de Datos sobre Marcas</w:t>
            </w:r>
          </w:p>
        </w:tc>
        <w:tc>
          <w:tcPr>
            <w:tcW w:w="902" w:type="pct"/>
            <w:gridSpan w:val="2"/>
            <w:tcBorders>
              <w:top w:val="nil"/>
              <w:left w:val="nil"/>
              <w:bottom w:val="single" w:sz="4" w:space="0" w:color="auto"/>
              <w:right w:val="nil"/>
            </w:tcBorders>
            <w:shd w:val="clear" w:color="auto" w:fill="auto"/>
          </w:tcPr>
          <w:p w:rsidR="001C19F7" w:rsidRPr="00867291" w:rsidRDefault="001C19F7" w:rsidP="008B1CDA">
            <w:pPr>
              <w:rPr>
                <w:i/>
                <w:color w:val="000000" w:themeColor="text1"/>
                <w:sz w:val="16"/>
                <w:szCs w:val="16"/>
              </w:rPr>
            </w:pPr>
            <w:r w:rsidRPr="00EF75DA">
              <w:rPr>
                <w:i/>
                <w:color w:val="002060"/>
                <w:sz w:val="16"/>
                <w:szCs w:val="16"/>
                <w:lang w:eastAsia="en-US"/>
              </w:rPr>
              <w:t>Referencia actualizada a fines de 2013:</w:t>
            </w:r>
            <w:r w:rsidRPr="00867291">
              <w:rPr>
                <w:rStyle w:val="FootnoteReference"/>
                <w:color w:val="000000" w:themeColor="text1"/>
              </w:rPr>
              <w:footnoteReference w:id="116"/>
            </w:r>
            <w:r w:rsidRPr="00867291">
              <w:rPr>
                <w:i/>
                <w:color w:val="000000" w:themeColor="text1"/>
                <w:sz w:val="16"/>
              </w:rPr>
              <w:t xml:space="preserve">  </w:t>
            </w:r>
          </w:p>
          <w:p w:rsidR="001C19F7" w:rsidRPr="00867291" w:rsidRDefault="001C19F7" w:rsidP="008B1CDA">
            <w:pPr>
              <w:rPr>
                <w:color w:val="000000" w:themeColor="text1"/>
                <w:sz w:val="16"/>
                <w:szCs w:val="16"/>
              </w:rPr>
            </w:pPr>
            <w:r w:rsidRPr="00867291">
              <w:rPr>
                <w:color w:val="000000" w:themeColor="text1"/>
                <w:sz w:val="16"/>
              </w:rPr>
              <w:t>PATENTSCOPE (</w:t>
            </w:r>
            <w:proofErr w:type="spellStart"/>
            <w:r w:rsidRPr="00867291">
              <w:rPr>
                <w:color w:val="000000" w:themeColor="text1"/>
                <w:sz w:val="16"/>
              </w:rPr>
              <w:t>Trim</w:t>
            </w:r>
            <w:proofErr w:type="spellEnd"/>
            <w:r w:rsidRPr="00867291">
              <w:rPr>
                <w:color w:val="000000" w:themeColor="text1"/>
                <w:sz w:val="16"/>
              </w:rPr>
              <w:t xml:space="preserve">. 3 2013): </w:t>
            </w:r>
          </w:p>
          <w:p w:rsidR="001C19F7" w:rsidRPr="00867291" w:rsidRDefault="001C19F7" w:rsidP="001C19F7">
            <w:pPr>
              <w:pStyle w:val="ListParagraph"/>
              <w:numPr>
                <w:ilvl w:val="0"/>
                <w:numId w:val="91"/>
              </w:numPr>
              <w:ind w:left="279" w:hanging="270"/>
              <w:contextualSpacing/>
              <w:rPr>
                <w:rFonts w:eastAsia="SimSun" w:cs="Arial"/>
                <w:color w:val="000000" w:themeColor="text1"/>
                <w:sz w:val="16"/>
                <w:szCs w:val="16"/>
              </w:rPr>
            </w:pPr>
            <w:r w:rsidRPr="00867291">
              <w:rPr>
                <w:color w:val="000000" w:themeColor="text1"/>
                <w:sz w:val="16"/>
              </w:rPr>
              <w:t>3.839 (OOB)</w:t>
            </w:r>
          </w:p>
          <w:p w:rsidR="001C19F7" w:rsidRPr="00867291" w:rsidRDefault="001C19F7" w:rsidP="001C19F7">
            <w:pPr>
              <w:pStyle w:val="ListParagraph"/>
              <w:numPr>
                <w:ilvl w:val="0"/>
                <w:numId w:val="91"/>
              </w:numPr>
              <w:ind w:left="279" w:right="-39" w:hanging="270"/>
              <w:contextualSpacing/>
              <w:rPr>
                <w:rFonts w:eastAsia="SimSun" w:cs="Arial"/>
                <w:color w:val="000000" w:themeColor="text1"/>
                <w:sz w:val="16"/>
                <w:szCs w:val="16"/>
              </w:rPr>
            </w:pPr>
            <w:r w:rsidRPr="00867291">
              <w:rPr>
                <w:color w:val="000000" w:themeColor="text1"/>
                <w:sz w:val="16"/>
              </w:rPr>
              <w:t>14.906 (OOJ)</w:t>
            </w:r>
          </w:p>
          <w:p w:rsidR="001C19F7" w:rsidRPr="00867291" w:rsidRDefault="001C19F7" w:rsidP="001C19F7">
            <w:pPr>
              <w:pStyle w:val="ListParagraph"/>
              <w:numPr>
                <w:ilvl w:val="0"/>
                <w:numId w:val="91"/>
              </w:numPr>
              <w:spacing w:after="200"/>
              <w:ind w:left="279" w:hanging="270"/>
              <w:contextualSpacing/>
              <w:rPr>
                <w:rFonts w:eastAsia="SimSun" w:cs="Arial"/>
                <w:color w:val="000000" w:themeColor="text1"/>
                <w:sz w:val="16"/>
                <w:szCs w:val="16"/>
              </w:rPr>
            </w:pPr>
            <w:r w:rsidRPr="00867291">
              <w:rPr>
                <w:color w:val="000000" w:themeColor="text1"/>
                <w:sz w:val="16"/>
              </w:rPr>
              <w:t>6.772 (OOS)</w:t>
            </w:r>
          </w:p>
          <w:p w:rsidR="001C19F7" w:rsidRPr="00867291" w:rsidRDefault="001C19F7" w:rsidP="008B1CDA">
            <w:pPr>
              <w:rPr>
                <w:color w:val="000000" w:themeColor="text1"/>
                <w:sz w:val="16"/>
                <w:szCs w:val="16"/>
              </w:rPr>
            </w:pPr>
            <w:r w:rsidRPr="00867291">
              <w:rPr>
                <w:color w:val="000000" w:themeColor="text1"/>
                <w:sz w:val="16"/>
              </w:rPr>
              <w:t>PATENTSCOPE (</w:t>
            </w:r>
            <w:proofErr w:type="spellStart"/>
            <w:r w:rsidRPr="00867291">
              <w:rPr>
                <w:color w:val="000000" w:themeColor="text1"/>
                <w:sz w:val="16"/>
              </w:rPr>
              <w:t>Trim</w:t>
            </w:r>
            <w:proofErr w:type="spellEnd"/>
            <w:r w:rsidRPr="00867291">
              <w:rPr>
                <w:color w:val="000000" w:themeColor="text1"/>
                <w:sz w:val="16"/>
              </w:rPr>
              <w:t xml:space="preserve">. 3 2012): </w:t>
            </w:r>
          </w:p>
          <w:p w:rsidR="001C19F7" w:rsidRPr="00867291" w:rsidRDefault="001C19F7" w:rsidP="001C19F7">
            <w:pPr>
              <w:pStyle w:val="ListParagraph"/>
              <w:numPr>
                <w:ilvl w:val="0"/>
                <w:numId w:val="91"/>
              </w:numPr>
              <w:ind w:left="279" w:hanging="270"/>
              <w:contextualSpacing/>
              <w:rPr>
                <w:rFonts w:eastAsia="SimSun" w:cs="Arial"/>
                <w:color w:val="000000" w:themeColor="text1"/>
                <w:sz w:val="16"/>
                <w:szCs w:val="16"/>
              </w:rPr>
            </w:pPr>
            <w:r w:rsidRPr="00867291">
              <w:rPr>
                <w:color w:val="000000" w:themeColor="text1"/>
                <w:sz w:val="16"/>
              </w:rPr>
              <w:t>3.891 (OOB)</w:t>
            </w:r>
          </w:p>
          <w:p w:rsidR="001C19F7" w:rsidRPr="00867291" w:rsidRDefault="001C19F7" w:rsidP="001C19F7">
            <w:pPr>
              <w:pStyle w:val="ListParagraph"/>
              <w:numPr>
                <w:ilvl w:val="0"/>
                <w:numId w:val="91"/>
              </w:numPr>
              <w:ind w:left="279" w:right="-39" w:hanging="270"/>
              <w:contextualSpacing/>
              <w:rPr>
                <w:rFonts w:eastAsia="SimSun" w:cs="Arial"/>
                <w:color w:val="000000" w:themeColor="text1"/>
                <w:sz w:val="16"/>
                <w:szCs w:val="16"/>
              </w:rPr>
            </w:pPr>
            <w:r w:rsidRPr="00867291">
              <w:rPr>
                <w:color w:val="000000" w:themeColor="text1"/>
                <w:sz w:val="16"/>
              </w:rPr>
              <w:t>15.114 (OOJ)</w:t>
            </w:r>
          </w:p>
          <w:p w:rsidR="001C19F7" w:rsidRPr="00867291" w:rsidRDefault="001C19F7" w:rsidP="001C19F7">
            <w:pPr>
              <w:pStyle w:val="ListParagraph"/>
              <w:numPr>
                <w:ilvl w:val="0"/>
                <w:numId w:val="91"/>
              </w:numPr>
              <w:spacing w:after="200"/>
              <w:ind w:left="279" w:hanging="270"/>
              <w:contextualSpacing/>
              <w:rPr>
                <w:rFonts w:eastAsia="SimSun" w:cs="Arial"/>
                <w:color w:val="000000" w:themeColor="text1"/>
                <w:sz w:val="16"/>
                <w:szCs w:val="16"/>
              </w:rPr>
            </w:pPr>
            <w:r w:rsidRPr="00867291">
              <w:rPr>
                <w:color w:val="000000" w:themeColor="text1"/>
                <w:sz w:val="16"/>
              </w:rPr>
              <w:t>6.595 (OOS)</w:t>
            </w:r>
          </w:p>
          <w:p w:rsidR="001C19F7" w:rsidRPr="00867291" w:rsidRDefault="001C19F7" w:rsidP="008B1CDA">
            <w:pPr>
              <w:pStyle w:val="ListParagraph"/>
              <w:spacing w:after="200"/>
              <w:ind w:left="279"/>
              <w:contextualSpacing/>
              <w:rPr>
                <w:rFonts w:eastAsia="SimSun" w:cs="Arial"/>
                <w:color w:val="000000" w:themeColor="text1"/>
                <w:sz w:val="16"/>
                <w:szCs w:val="16"/>
              </w:rPr>
            </w:pPr>
          </w:p>
          <w:p w:rsidR="001C19F7" w:rsidRPr="00867291" w:rsidRDefault="001C19F7" w:rsidP="008B1CDA">
            <w:pPr>
              <w:rPr>
                <w:color w:val="000000" w:themeColor="text1"/>
                <w:sz w:val="16"/>
                <w:szCs w:val="16"/>
              </w:rPr>
            </w:pPr>
            <w:r w:rsidRPr="00867291">
              <w:rPr>
                <w:color w:val="000000" w:themeColor="text1"/>
                <w:sz w:val="16"/>
              </w:rPr>
              <w:t>Base Mundial de Datos sobre Marcas (</w:t>
            </w:r>
            <w:proofErr w:type="spellStart"/>
            <w:r w:rsidRPr="00867291">
              <w:rPr>
                <w:color w:val="000000" w:themeColor="text1"/>
                <w:sz w:val="16"/>
              </w:rPr>
              <w:t>Trim</w:t>
            </w:r>
            <w:proofErr w:type="spellEnd"/>
            <w:r w:rsidRPr="00867291">
              <w:rPr>
                <w:color w:val="000000" w:themeColor="text1"/>
                <w:sz w:val="16"/>
              </w:rPr>
              <w:t>. 2013):</w:t>
            </w:r>
          </w:p>
          <w:p w:rsidR="001C19F7" w:rsidRPr="00867291" w:rsidRDefault="001C19F7" w:rsidP="001C19F7">
            <w:pPr>
              <w:pStyle w:val="ListParagraph"/>
              <w:numPr>
                <w:ilvl w:val="0"/>
                <w:numId w:val="92"/>
              </w:numPr>
              <w:ind w:left="279" w:hanging="279"/>
              <w:contextualSpacing/>
              <w:rPr>
                <w:rFonts w:eastAsia="SimSun" w:cs="Arial"/>
                <w:color w:val="000000" w:themeColor="text1"/>
                <w:sz w:val="16"/>
                <w:szCs w:val="16"/>
              </w:rPr>
            </w:pPr>
            <w:r w:rsidRPr="00867291">
              <w:rPr>
                <w:color w:val="000000" w:themeColor="text1"/>
                <w:sz w:val="16"/>
              </w:rPr>
              <w:t>186 (OOB)</w:t>
            </w:r>
          </w:p>
          <w:p w:rsidR="001C19F7" w:rsidRPr="00867291" w:rsidRDefault="001C19F7" w:rsidP="001C19F7">
            <w:pPr>
              <w:pStyle w:val="ListParagraph"/>
              <w:numPr>
                <w:ilvl w:val="0"/>
                <w:numId w:val="92"/>
              </w:numPr>
              <w:ind w:left="279" w:hanging="279"/>
              <w:contextualSpacing/>
              <w:rPr>
                <w:rFonts w:eastAsia="SimSun" w:cs="Arial"/>
                <w:color w:val="000000" w:themeColor="text1"/>
                <w:sz w:val="16"/>
                <w:szCs w:val="16"/>
              </w:rPr>
            </w:pPr>
            <w:r w:rsidRPr="00867291">
              <w:rPr>
                <w:color w:val="000000" w:themeColor="text1"/>
                <w:sz w:val="16"/>
              </w:rPr>
              <w:t>543 (OOJ)</w:t>
            </w:r>
          </w:p>
          <w:p w:rsidR="001C19F7" w:rsidRPr="00867291" w:rsidRDefault="001C19F7" w:rsidP="001C19F7">
            <w:pPr>
              <w:pStyle w:val="ListParagraph"/>
              <w:numPr>
                <w:ilvl w:val="0"/>
                <w:numId w:val="92"/>
              </w:numPr>
              <w:ind w:left="279" w:right="-39" w:hanging="279"/>
              <w:contextualSpacing/>
              <w:rPr>
                <w:rFonts w:eastAsia="SimSun" w:cs="Arial"/>
                <w:color w:val="000000" w:themeColor="text1"/>
                <w:sz w:val="16"/>
                <w:szCs w:val="16"/>
              </w:rPr>
            </w:pPr>
            <w:r w:rsidRPr="00867291">
              <w:rPr>
                <w:color w:val="000000" w:themeColor="text1"/>
                <w:sz w:val="16"/>
              </w:rPr>
              <w:t>1.711 (OOS)</w:t>
            </w:r>
          </w:p>
          <w:p w:rsidR="001C19F7" w:rsidRPr="00867291" w:rsidRDefault="001C19F7" w:rsidP="008B1CDA">
            <w:pPr>
              <w:pStyle w:val="ListParagraph"/>
              <w:ind w:left="360"/>
              <w:rPr>
                <w:rFonts w:eastAsia="SimSun" w:cs="Arial"/>
                <w:color w:val="000000" w:themeColor="text1"/>
                <w:sz w:val="16"/>
                <w:szCs w:val="16"/>
                <w:highlight w:val="yellow"/>
              </w:rPr>
            </w:pPr>
          </w:p>
          <w:p w:rsidR="001C19F7" w:rsidRPr="00867291" w:rsidRDefault="001C19F7" w:rsidP="008B1CDA">
            <w:pPr>
              <w:rPr>
                <w:color w:val="000000" w:themeColor="text1"/>
                <w:sz w:val="16"/>
                <w:szCs w:val="16"/>
              </w:rPr>
            </w:pPr>
            <w:r w:rsidRPr="00867291">
              <w:rPr>
                <w:color w:val="000000" w:themeColor="text1"/>
                <w:sz w:val="16"/>
              </w:rPr>
              <w:t>(</w:t>
            </w:r>
            <w:proofErr w:type="spellStart"/>
            <w:r w:rsidRPr="00867291">
              <w:rPr>
                <w:color w:val="000000" w:themeColor="text1"/>
                <w:sz w:val="16"/>
              </w:rPr>
              <w:t>Trim</w:t>
            </w:r>
            <w:proofErr w:type="spellEnd"/>
            <w:r w:rsidRPr="00867291">
              <w:rPr>
                <w:color w:val="000000" w:themeColor="text1"/>
                <w:sz w:val="16"/>
              </w:rPr>
              <w:t>. 3 2012):</w:t>
            </w:r>
          </w:p>
          <w:p w:rsidR="001C19F7" w:rsidRPr="00867291" w:rsidRDefault="001C19F7" w:rsidP="001C19F7">
            <w:pPr>
              <w:pStyle w:val="ListParagraph"/>
              <w:numPr>
                <w:ilvl w:val="0"/>
                <w:numId w:val="92"/>
              </w:numPr>
              <w:ind w:left="279" w:hanging="279"/>
              <w:contextualSpacing/>
              <w:rPr>
                <w:rFonts w:eastAsia="SimSun" w:cs="Arial"/>
                <w:color w:val="000000" w:themeColor="text1"/>
                <w:sz w:val="16"/>
                <w:szCs w:val="16"/>
              </w:rPr>
            </w:pPr>
            <w:r w:rsidRPr="00867291">
              <w:rPr>
                <w:color w:val="000000" w:themeColor="text1"/>
                <w:sz w:val="16"/>
              </w:rPr>
              <w:t>75 (OOB)</w:t>
            </w:r>
          </w:p>
          <w:p w:rsidR="001C19F7" w:rsidRPr="00867291" w:rsidRDefault="001C19F7" w:rsidP="001C19F7">
            <w:pPr>
              <w:pStyle w:val="ListParagraph"/>
              <w:numPr>
                <w:ilvl w:val="0"/>
                <w:numId w:val="92"/>
              </w:numPr>
              <w:ind w:left="279" w:hanging="279"/>
              <w:contextualSpacing/>
              <w:rPr>
                <w:rFonts w:eastAsia="SimSun" w:cs="Arial"/>
                <w:color w:val="000000" w:themeColor="text1"/>
                <w:sz w:val="16"/>
                <w:szCs w:val="16"/>
              </w:rPr>
            </w:pPr>
            <w:r w:rsidRPr="00867291">
              <w:rPr>
                <w:color w:val="000000" w:themeColor="text1"/>
                <w:sz w:val="16"/>
              </w:rPr>
              <w:t>275 (OOJ)</w:t>
            </w:r>
          </w:p>
          <w:p w:rsidR="001C19F7" w:rsidRPr="00867291" w:rsidRDefault="001C19F7" w:rsidP="001C19F7">
            <w:pPr>
              <w:pStyle w:val="ListParagraph"/>
              <w:numPr>
                <w:ilvl w:val="0"/>
                <w:numId w:val="92"/>
              </w:numPr>
              <w:ind w:left="279" w:right="-39" w:hanging="279"/>
              <w:contextualSpacing/>
              <w:rPr>
                <w:rFonts w:eastAsia="SimSun" w:cs="Arial"/>
                <w:color w:val="000000" w:themeColor="text1"/>
                <w:sz w:val="16"/>
                <w:szCs w:val="16"/>
              </w:rPr>
            </w:pPr>
            <w:r w:rsidRPr="00867291">
              <w:rPr>
                <w:color w:val="000000" w:themeColor="text1"/>
                <w:sz w:val="16"/>
              </w:rPr>
              <w:t>415 (OOS)</w:t>
            </w:r>
          </w:p>
          <w:p w:rsidR="001C19F7" w:rsidRPr="00867291" w:rsidRDefault="001C19F7" w:rsidP="008B1CDA">
            <w:pPr>
              <w:rPr>
                <w:color w:val="000000" w:themeColor="text1"/>
                <w:sz w:val="16"/>
                <w:szCs w:val="16"/>
                <w:highlight w:val="yellow"/>
              </w:rPr>
            </w:pPr>
          </w:p>
          <w:p w:rsidR="001C19F7" w:rsidRPr="00867291" w:rsidRDefault="001C19F7" w:rsidP="008B1CDA">
            <w:pPr>
              <w:rPr>
                <w:i/>
                <w:color w:val="000000" w:themeColor="text1"/>
                <w:sz w:val="16"/>
                <w:szCs w:val="16"/>
              </w:rPr>
            </w:pPr>
            <w:r w:rsidRPr="00867291">
              <w:rPr>
                <w:i/>
                <w:color w:val="000000" w:themeColor="text1"/>
                <w:sz w:val="16"/>
              </w:rPr>
              <w:t>Referencia original en el presupuesto de 2014/15:</w:t>
            </w:r>
          </w:p>
          <w:p w:rsidR="001C19F7" w:rsidRPr="00867291" w:rsidRDefault="001C19F7" w:rsidP="008B1CDA">
            <w:pPr>
              <w:rPr>
                <w:i/>
                <w:color w:val="000000" w:themeColor="text1"/>
                <w:sz w:val="16"/>
                <w:szCs w:val="16"/>
              </w:rPr>
            </w:pPr>
            <w:r w:rsidRPr="00867291">
              <w:rPr>
                <w:color w:val="000000" w:themeColor="text1"/>
                <w:sz w:val="16"/>
              </w:rPr>
              <w:t>Estadísticas a fines de 2013 (OOB)</w:t>
            </w:r>
            <w:r w:rsidRPr="00867291">
              <w:rPr>
                <w:i/>
                <w:color w:val="000000" w:themeColor="text1"/>
                <w:sz w:val="16"/>
              </w:rPr>
              <w:t xml:space="preserve"> </w:t>
            </w:r>
          </w:p>
          <w:p w:rsidR="001C19F7" w:rsidRPr="00867291" w:rsidRDefault="001C19F7" w:rsidP="008B1CDA">
            <w:pPr>
              <w:rPr>
                <w:color w:val="000000" w:themeColor="text1"/>
                <w:sz w:val="16"/>
                <w:szCs w:val="16"/>
              </w:rPr>
            </w:pPr>
            <w:r w:rsidRPr="00867291">
              <w:rPr>
                <w:color w:val="000000" w:themeColor="text1"/>
                <w:sz w:val="16"/>
              </w:rPr>
              <w:t>Estadísticas a fines de 2013 (OOJ)</w:t>
            </w:r>
          </w:p>
          <w:p w:rsidR="001C19F7" w:rsidRDefault="001C19F7" w:rsidP="008B1CDA">
            <w:pPr>
              <w:rPr>
                <w:color w:val="000000" w:themeColor="text1"/>
                <w:sz w:val="16"/>
              </w:rPr>
            </w:pPr>
            <w:r w:rsidRPr="00867291">
              <w:rPr>
                <w:color w:val="000000" w:themeColor="text1"/>
                <w:sz w:val="16"/>
              </w:rPr>
              <w:t>Por determinar (OOS)</w:t>
            </w:r>
          </w:p>
          <w:p w:rsidR="001C19F7" w:rsidRPr="00867291" w:rsidRDefault="001C19F7" w:rsidP="008B1CDA">
            <w:pPr>
              <w:rPr>
                <w:i/>
                <w:color w:val="000000" w:themeColor="text1"/>
                <w:sz w:val="16"/>
                <w:szCs w:val="16"/>
              </w:rPr>
            </w:pPr>
          </w:p>
        </w:tc>
        <w:tc>
          <w:tcPr>
            <w:tcW w:w="843" w:type="pct"/>
            <w:gridSpan w:val="5"/>
            <w:tcBorders>
              <w:top w:val="nil"/>
              <w:left w:val="nil"/>
              <w:bottom w:val="single" w:sz="4" w:space="0" w:color="auto"/>
              <w:right w:val="nil"/>
            </w:tcBorders>
            <w:shd w:val="clear" w:color="auto" w:fill="auto"/>
            <w:tcMar>
              <w:top w:w="110" w:type="dxa"/>
            </w:tcMar>
          </w:tcPr>
          <w:p w:rsidR="001C19F7" w:rsidRPr="00867291" w:rsidRDefault="001C19F7" w:rsidP="008B1CDA">
            <w:pPr>
              <w:rPr>
                <w:color w:val="000000" w:themeColor="text1"/>
                <w:sz w:val="16"/>
                <w:szCs w:val="16"/>
              </w:rPr>
            </w:pPr>
          </w:p>
          <w:p w:rsidR="001C19F7" w:rsidRPr="00867291" w:rsidRDefault="001C19F7" w:rsidP="008B1CDA">
            <w:pPr>
              <w:rPr>
                <w:color w:val="000000" w:themeColor="text1"/>
                <w:sz w:val="16"/>
                <w:szCs w:val="16"/>
              </w:rPr>
            </w:pPr>
            <w:r w:rsidRPr="00867291">
              <w:rPr>
                <w:color w:val="000000" w:themeColor="text1"/>
                <w:sz w:val="16"/>
              </w:rPr>
              <w:t>5% (OOB)</w:t>
            </w:r>
          </w:p>
          <w:p w:rsidR="001C19F7" w:rsidRPr="00867291" w:rsidRDefault="001C19F7" w:rsidP="008B1CDA">
            <w:pPr>
              <w:rPr>
                <w:color w:val="000000" w:themeColor="text1"/>
                <w:sz w:val="16"/>
                <w:szCs w:val="16"/>
              </w:rPr>
            </w:pPr>
          </w:p>
          <w:p w:rsidR="001C19F7" w:rsidRPr="00867291" w:rsidRDefault="001C19F7" w:rsidP="008B1CDA">
            <w:pPr>
              <w:rPr>
                <w:color w:val="000000" w:themeColor="text1"/>
                <w:sz w:val="16"/>
                <w:szCs w:val="16"/>
              </w:rPr>
            </w:pPr>
          </w:p>
          <w:p w:rsidR="001C19F7" w:rsidRPr="00867291" w:rsidRDefault="001C19F7" w:rsidP="008B1CDA">
            <w:pPr>
              <w:rPr>
                <w:color w:val="000000" w:themeColor="text1"/>
                <w:sz w:val="16"/>
                <w:szCs w:val="16"/>
              </w:rPr>
            </w:pPr>
          </w:p>
          <w:p w:rsidR="001C19F7" w:rsidRPr="00867291" w:rsidRDefault="001C19F7" w:rsidP="008B1CDA">
            <w:pPr>
              <w:rPr>
                <w:color w:val="000000" w:themeColor="text1"/>
                <w:sz w:val="16"/>
                <w:szCs w:val="16"/>
              </w:rPr>
            </w:pPr>
          </w:p>
          <w:p w:rsidR="001C19F7" w:rsidRPr="00867291" w:rsidRDefault="001C19F7" w:rsidP="008B1CDA">
            <w:pPr>
              <w:rPr>
                <w:color w:val="000000" w:themeColor="text1"/>
                <w:sz w:val="16"/>
                <w:szCs w:val="16"/>
              </w:rPr>
            </w:pPr>
            <w:r w:rsidRPr="00867291">
              <w:rPr>
                <w:color w:val="000000" w:themeColor="text1"/>
                <w:sz w:val="16"/>
              </w:rPr>
              <w:t>Aumento del 5% (OOJ)</w:t>
            </w:r>
            <w:r w:rsidRPr="00867291">
              <w:rPr>
                <w:rStyle w:val="FootnoteReference"/>
                <w:color w:val="000000" w:themeColor="text1"/>
              </w:rPr>
              <w:footnoteReference w:id="117"/>
            </w:r>
          </w:p>
          <w:p w:rsidR="001C19F7" w:rsidRPr="00867291" w:rsidRDefault="001C19F7" w:rsidP="008B1CDA">
            <w:pPr>
              <w:rPr>
                <w:color w:val="000000" w:themeColor="text1"/>
                <w:sz w:val="16"/>
                <w:szCs w:val="16"/>
              </w:rPr>
            </w:pPr>
          </w:p>
          <w:p w:rsidR="001C19F7" w:rsidRPr="00867291" w:rsidRDefault="001C19F7" w:rsidP="008B1CDA">
            <w:pPr>
              <w:rPr>
                <w:color w:val="000000" w:themeColor="text1"/>
                <w:sz w:val="16"/>
                <w:szCs w:val="16"/>
              </w:rPr>
            </w:pPr>
          </w:p>
          <w:p w:rsidR="001C19F7" w:rsidRPr="00867291" w:rsidRDefault="001C19F7" w:rsidP="008B1CDA">
            <w:pPr>
              <w:rPr>
                <w:color w:val="000000" w:themeColor="text1"/>
                <w:sz w:val="16"/>
                <w:szCs w:val="16"/>
              </w:rPr>
            </w:pPr>
          </w:p>
          <w:p w:rsidR="001C19F7" w:rsidRPr="00867291" w:rsidRDefault="001C19F7" w:rsidP="008B1CDA">
            <w:pPr>
              <w:rPr>
                <w:color w:val="000000" w:themeColor="text1"/>
                <w:sz w:val="16"/>
                <w:szCs w:val="16"/>
              </w:rPr>
            </w:pPr>
            <w:r w:rsidRPr="00867291">
              <w:rPr>
                <w:color w:val="000000" w:themeColor="text1"/>
                <w:sz w:val="16"/>
              </w:rPr>
              <w:t>Aumento del 5% en los usuarios de la ASEAN (OOS)</w:t>
            </w:r>
          </w:p>
          <w:p w:rsidR="001C19F7" w:rsidRPr="00867291" w:rsidRDefault="001C19F7" w:rsidP="008B1CDA">
            <w:pPr>
              <w:rPr>
                <w:color w:val="000000" w:themeColor="text1"/>
                <w:sz w:val="16"/>
                <w:szCs w:val="16"/>
              </w:rPr>
            </w:pPr>
          </w:p>
          <w:p w:rsidR="001C19F7" w:rsidRPr="00867291" w:rsidRDefault="001C19F7" w:rsidP="008B1CDA">
            <w:pPr>
              <w:rPr>
                <w:color w:val="000000" w:themeColor="text1"/>
                <w:sz w:val="16"/>
                <w:szCs w:val="16"/>
              </w:rPr>
            </w:pPr>
          </w:p>
        </w:tc>
        <w:tc>
          <w:tcPr>
            <w:tcW w:w="1409" w:type="pct"/>
            <w:tcBorders>
              <w:top w:val="nil"/>
              <w:left w:val="nil"/>
              <w:bottom w:val="single" w:sz="4" w:space="0" w:color="auto"/>
              <w:right w:val="nil"/>
            </w:tcBorders>
            <w:shd w:val="clear" w:color="auto" w:fill="FFFFFF"/>
            <w:tcMar>
              <w:top w:w="110" w:type="dxa"/>
            </w:tcMar>
          </w:tcPr>
          <w:p w:rsidR="001C19F7" w:rsidRPr="00867291" w:rsidRDefault="001C19F7" w:rsidP="008B1CDA">
            <w:pPr>
              <w:rPr>
                <w:color w:val="000000" w:themeColor="text1"/>
                <w:sz w:val="16"/>
                <w:szCs w:val="16"/>
              </w:rPr>
            </w:pPr>
            <w:r w:rsidRPr="00867291">
              <w:rPr>
                <w:color w:val="000000" w:themeColor="text1"/>
                <w:sz w:val="16"/>
              </w:rPr>
              <w:t>PATENTSCOPE:</w:t>
            </w:r>
          </w:p>
          <w:p w:rsidR="001C19F7" w:rsidRPr="00867291" w:rsidRDefault="001C19F7" w:rsidP="008B1CDA">
            <w:pPr>
              <w:rPr>
                <w:color w:val="000000" w:themeColor="text1"/>
                <w:sz w:val="16"/>
                <w:szCs w:val="16"/>
              </w:rPr>
            </w:pPr>
            <w:r w:rsidRPr="00867291">
              <w:rPr>
                <w:color w:val="000000" w:themeColor="text1"/>
                <w:sz w:val="16"/>
              </w:rPr>
              <w:t>2014/15: 8.533 (+10%)</w:t>
            </w:r>
          </w:p>
          <w:p w:rsidR="001C19F7" w:rsidRPr="00867291" w:rsidRDefault="001C19F7" w:rsidP="001C19F7">
            <w:pPr>
              <w:pStyle w:val="ListParagraph"/>
              <w:numPr>
                <w:ilvl w:val="0"/>
                <w:numId w:val="95"/>
              </w:numPr>
              <w:ind w:left="347" w:hanging="347"/>
              <w:rPr>
                <w:rFonts w:eastAsia="SimSun" w:cs="Arial"/>
                <w:color w:val="000000" w:themeColor="text1"/>
                <w:sz w:val="16"/>
                <w:szCs w:val="16"/>
              </w:rPr>
            </w:pPr>
            <w:r w:rsidRPr="00867291">
              <w:rPr>
                <w:color w:val="000000" w:themeColor="text1"/>
                <w:sz w:val="16"/>
              </w:rPr>
              <w:t>2014:  4.688 (+22%)</w:t>
            </w:r>
          </w:p>
          <w:p w:rsidR="001C19F7" w:rsidRPr="00867291" w:rsidRDefault="001C19F7" w:rsidP="001C19F7">
            <w:pPr>
              <w:pStyle w:val="ListParagraph"/>
              <w:numPr>
                <w:ilvl w:val="0"/>
                <w:numId w:val="95"/>
              </w:numPr>
              <w:ind w:left="347" w:hanging="347"/>
              <w:rPr>
                <w:rFonts w:eastAsia="SimSun" w:cs="Arial"/>
                <w:color w:val="000000" w:themeColor="text1"/>
                <w:sz w:val="16"/>
                <w:szCs w:val="16"/>
              </w:rPr>
            </w:pPr>
            <w:r w:rsidRPr="00867291">
              <w:rPr>
                <w:color w:val="000000" w:themeColor="text1"/>
                <w:sz w:val="16"/>
              </w:rPr>
              <w:t>2015:  3.845 (-18%)</w:t>
            </w:r>
          </w:p>
          <w:p w:rsidR="001C19F7" w:rsidRPr="00867291" w:rsidRDefault="001C19F7" w:rsidP="008B1CDA">
            <w:pPr>
              <w:rPr>
                <w:color w:val="000000" w:themeColor="text1"/>
                <w:sz w:val="16"/>
                <w:szCs w:val="16"/>
              </w:rPr>
            </w:pPr>
            <w:r w:rsidRPr="00867291">
              <w:rPr>
                <w:color w:val="000000" w:themeColor="text1"/>
                <w:sz w:val="16"/>
              </w:rPr>
              <w:t>(OOB)</w:t>
            </w:r>
          </w:p>
          <w:p w:rsidR="001C19F7" w:rsidRPr="00867291" w:rsidRDefault="001C19F7" w:rsidP="008B1CDA">
            <w:pPr>
              <w:rPr>
                <w:color w:val="000000" w:themeColor="text1"/>
                <w:sz w:val="16"/>
                <w:szCs w:val="16"/>
              </w:rPr>
            </w:pPr>
          </w:p>
          <w:p w:rsidR="001C19F7" w:rsidRPr="00867291" w:rsidRDefault="001C19F7" w:rsidP="008B1CDA">
            <w:pPr>
              <w:rPr>
                <w:color w:val="000000" w:themeColor="text1"/>
                <w:sz w:val="16"/>
                <w:szCs w:val="16"/>
              </w:rPr>
            </w:pPr>
            <w:r w:rsidRPr="00867291">
              <w:rPr>
                <w:color w:val="000000" w:themeColor="text1"/>
                <w:sz w:val="16"/>
              </w:rPr>
              <w:t>2014/15: 30.743 (+2%)</w:t>
            </w:r>
          </w:p>
          <w:p w:rsidR="001C19F7" w:rsidRPr="00867291" w:rsidRDefault="001C19F7" w:rsidP="001C19F7">
            <w:pPr>
              <w:pStyle w:val="ListParagraph"/>
              <w:numPr>
                <w:ilvl w:val="0"/>
                <w:numId w:val="95"/>
              </w:numPr>
              <w:ind w:left="347" w:hanging="347"/>
              <w:rPr>
                <w:rFonts w:eastAsia="SimSun" w:cs="Arial"/>
                <w:color w:val="000000" w:themeColor="text1"/>
                <w:sz w:val="16"/>
                <w:szCs w:val="16"/>
              </w:rPr>
            </w:pPr>
            <w:r w:rsidRPr="00867291">
              <w:rPr>
                <w:color w:val="000000" w:themeColor="text1"/>
                <w:sz w:val="16"/>
              </w:rPr>
              <w:t>2014:  14.711</w:t>
            </w:r>
            <w:r w:rsidRPr="00867291">
              <w:rPr>
                <w:rStyle w:val="FootnoteReference"/>
                <w:color w:val="000000" w:themeColor="text1"/>
              </w:rPr>
              <w:t xml:space="preserve"> </w:t>
            </w:r>
            <w:r w:rsidRPr="00867291">
              <w:rPr>
                <w:color w:val="000000" w:themeColor="text1"/>
                <w:sz w:val="16"/>
              </w:rPr>
              <w:t>(-1%)</w:t>
            </w:r>
          </w:p>
          <w:p w:rsidR="001C19F7" w:rsidRPr="00867291" w:rsidRDefault="001C19F7" w:rsidP="001C19F7">
            <w:pPr>
              <w:pStyle w:val="ListParagraph"/>
              <w:numPr>
                <w:ilvl w:val="0"/>
                <w:numId w:val="95"/>
              </w:numPr>
              <w:ind w:left="347" w:right="-92" w:hanging="347"/>
              <w:rPr>
                <w:rFonts w:eastAsia="SimSun" w:cs="Arial"/>
                <w:color w:val="000000" w:themeColor="text1"/>
                <w:sz w:val="16"/>
                <w:szCs w:val="16"/>
              </w:rPr>
            </w:pPr>
            <w:r w:rsidRPr="00867291">
              <w:rPr>
                <w:color w:val="000000" w:themeColor="text1"/>
                <w:sz w:val="16"/>
              </w:rPr>
              <w:t>2015:  16.032 (+2%</w:t>
            </w:r>
            <w:r w:rsidRPr="00867291">
              <w:rPr>
                <w:rStyle w:val="FootnoteReference"/>
                <w:color w:val="000000" w:themeColor="text1"/>
              </w:rPr>
              <w:footnoteReference w:id="118"/>
            </w:r>
            <w:r w:rsidRPr="00867291">
              <w:rPr>
                <w:color w:val="000000" w:themeColor="text1"/>
                <w:sz w:val="16"/>
              </w:rPr>
              <w:t>)</w:t>
            </w:r>
          </w:p>
          <w:p w:rsidR="001C19F7" w:rsidRPr="00867291" w:rsidRDefault="001C19F7" w:rsidP="008B1CDA">
            <w:pPr>
              <w:rPr>
                <w:color w:val="000000" w:themeColor="text1"/>
                <w:sz w:val="16"/>
                <w:szCs w:val="16"/>
              </w:rPr>
            </w:pPr>
            <w:r w:rsidRPr="00867291">
              <w:rPr>
                <w:color w:val="000000" w:themeColor="text1"/>
                <w:sz w:val="16"/>
              </w:rPr>
              <w:t>(OOJ)</w:t>
            </w:r>
          </w:p>
          <w:p w:rsidR="001C19F7" w:rsidRPr="00867291" w:rsidRDefault="001C19F7" w:rsidP="008B1CDA">
            <w:pPr>
              <w:rPr>
                <w:color w:val="000000" w:themeColor="text1"/>
                <w:sz w:val="16"/>
                <w:szCs w:val="16"/>
              </w:rPr>
            </w:pPr>
          </w:p>
          <w:p w:rsidR="001C19F7" w:rsidRPr="00867291" w:rsidRDefault="001C19F7" w:rsidP="008B1CDA">
            <w:pPr>
              <w:rPr>
                <w:color w:val="000000" w:themeColor="text1"/>
                <w:sz w:val="16"/>
                <w:szCs w:val="16"/>
              </w:rPr>
            </w:pPr>
            <w:r w:rsidRPr="00867291">
              <w:rPr>
                <w:color w:val="000000" w:themeColor="text1"/>
                <w:sz w:val="16"/>
              </w:rPr>
              <w:t>2014/15: 15.525 (+16%)</w:t>
            </w:r>
          </w:p>
          <w:p w:rsidR="001C19F7" w:rsidRPr="00867291" w:rsidRDefault="001C19F7" w:rsidP="001C19F7">
            <w:pPr>
              <w:pStyle w:val="ListParagraph"/>
              <w:numPr>
                <w:ilvl w:val="0"/>
                <w:numId w:val="95"/>
              </w:numPr>
              <w:ind w:left="347" w:right="-92" w:hanging="347"/>
              <w:rPr>
                <w:rFonts w:eastAsia="SimSun" w:cs="Arial"/>
                <w:color w:val="000000" w:themeColor="text1"/>
                <w:sz w:val="16"/>
                <w:szCs w:val="16"/>
              </w:rPr>
            </w:pPr>
            <w:r w:rsidRPr="00867291">
              <w:rPr>
                <w:color w:val="000000" w:themeColor="text1"/>
                <w:sz w:val="16"/>
              </w:rPr>
              <w:t>2014:  8.054 (+19%)</w:t>
            </w:r>
          </w:p>
          <w:p w:rsidR="001C19F7" w:rsidRPr="00867291" w:rsidRDefault="001C19F7" w:rsidP="001C19F7">
            <w:pPr>
              <w:pStyle w:val="ListParagraph"/>
              <w:numPr>
                <w:ilvl w:val="0"/>
                <w:numId w:val="95"/>
              </w:numPr>
              <w:ind w:left="347" w:right="-92" w:hanging="347"/>
              <w:rPr>
                <w:rFonts w:eastAsia="SimSun" w:cs="Arial"/>
                <w:color w:val="000000" w:themeColor="text1"/>
                <w:sz w:val="16"/>
                <w:szCs w:val="16"/>
              </w:rPr>
            </w:pPr>
            <w:r w:rsidRPr="00867291">
              <w:rPr>
                <w:color w:val="000000" w:themeColor="text1"/>
                <w:sz w:val="16"/>
              </w:rPr>
              <w:t>2015:  7.471 (-7</w:t>
            </w:r>
            <w:proofErr w:type="gramStart"/>
            <w:r w:rsidRPr="00867291">
              <w:rPr>
                <w:color w:val="000000" w:themeColor="text1"/>
                <w:sz w:val="16"/>
              </w:rPr>
              <w:t>,2</w:t>
            </w:r>
            <w:proofErr w:type="gramEnd"/>
            <w:r w:rsidRPr="00867291">
              <w:rPr>
                <w:color w:val="000000" w:themeColor="text1"/>
                <w:sz w:val="16"/>
              </w:rPr>
              <w:t>%)</w:t>
            </w:r>
          </w:p>
          <w:p w:rsidR="001C19F7" w:rsidRPr="00867291" w:rsidRDefault="001C19F7" w:rsidP="008B1CDA">
            <w:pPr>
              <w:rPr>
                <w:color w:val="000000" w:themeColor="text1"/>
                <w:sz w:val="16"/>
                <w:szCs w:val="16"/>
              </w:rPr>
            </w:pPr>
            <w:r w:rsidRPr="00867291">
              <w:rPr>
                <w:color w:val="000000" w:themeColor="text1"/>
                <w:sz w:val="16"/>
              </w:rPr>
              <w:t>(OOS)</w:t>
            </w:r>
          </w:p>
          <w:p w:rsidR="001C19F7" w:rsidRPr="00867291" w:rsidRDefault="001C19F7" w:rsidP="008B1CDA">
            <w:pPr>
              <w:rPr>
                <w:color w:val="000000" w:themeColor="text1"/>
                <w:sz w:val="16"/>
                <w:szCs w:val="16"/>
              </w:rPr>
            </w:pPr>
          </w:p>
          <w:p w:rsidR="001C19F7" w:rsidRPr="00867291" w:rsidRDefault="001C19F7" w:rsidP="008B1CDA">
            <w:pPr>
              <w:rPr>
                <w:color w:val="000000" w:themeColor="text1"/>
                <w:sz w:val="16"/>
                <w:szCs w:val="16"/>
              </w:rPr>
            </w:pPr>
          </w:p>
          <w:p w:rsidR="001C19F7" w:rsidRPr="00867291" w:rsidRDefault="001C19F7" w:rsidP="008B1CDA">
            <w:pPr>
              <w:rPr>
                <w:color w:val="000000" w:themeColor="text1"/>
                <w:sz w:val="16"/>
                <w:szCs w:val="16"/>
              </w:rPr>
            </w:pPr>
            <w:r w:rsidRPr="00867291">
              <w:rPr>
                <w:color w:val="000000" w:themeColor="text1"/>
                <w:sz w:val="16"/>
              </w:rPr>
              <w:t>Base de datos mundial:</w:t>
            </w:r>
          </w:p>
          <w:p w:rsidR="001C19F7" w:rsidRPr="00867291" w:rsidRDefault="001C19F7" w:rsidP="008B1CDA">
            <w:pPr>
              <w:rPr>
                <w:color w:val="000000" w:themeColor="text1"/>
                <w:sz w:val="16"/>
                <w:szCs w:val="16"/>
              </w:rPr>
            </w:pPr>
            <w:r w:rsidRPr="00867291">
              <w:rPr>
                <w:color w:val="000000" w:themeColor="text1"/>
                <w:sz w:val="16"/>
              </w:rPr>
              <w:t>2014/15: 8.533 (+302%)</w:t>
            </w:r>
          </w:p>
          <w:p w:rsidR="001C19F7" w:rsidRPr="00867291" w:rsidRDefault="001C19F7" w:rsidP="001C19F7">
            <w:pPr>
              <w:pStyle w:val="ListParagraph"/>
              <w:numPr>
                <w:ilvl w:val="0"/>
                <w:numId w:val="95"/>
              </w:numPr>
              <w:ind w:left="347" w:hanging="347"/>
              <w:rPr>
                <w:rFonts w:eastAsia="SimSun" w:cs="Arial"/>
                <w:color w:val="000000" w:themeColor="text1"/>
                <w:sz w:val="16"/>
                <w:szCs w:val="16"/>
              </w:rPr>
            </w:pPr>
            <w:r w:rsidRPr="00867291">
              <w:rPr>
                <w:color w:val="000000" w:themeColor="text1"/>
                <w:sz w:val="16"/>
              </w:rPr>
              <w:t>2014:  532 (+186%)</w:t>
            </w:r>
          </w:p>
          <w:p w:rsidR="001C19F7" w:rsidRPr="00867291" w:rsidRDefault="001C19F7" w:rsidP="001C19F7">
            <w:pPr>
              <w:pStyle w:val="ListParagraph"/>
              <w:numPr>
                <w:ilvl w:val="0"/>
                <w:numId w:val="95"/>
              </w:numPr>
              <w:ind w:left="347" w:hanging="347"/>
              <w:rPr>
                <w:rFonts w:eastAsia="SimSun" w:cs="Arial"/>
                <w:color w:val="000000" w:themeColor="text1"/>
                <w:sz w:val="16"/>
                <w:szCs w:val="16"/>
              </w:rPr>
            </w:pPr>
            <w:r w:rsidRPr="00867291">
              <w:rPr>
                <w:color w:val="000000" w:themeColor="text1"/>
                <w:sz w:val="16"/>
              </w:rPr>
              <w:t>2015:  516 (+164%)</w:t>
            </w:r>
          </w:p>
          <w:p w:rsidR="001C19F7" w:rsidRPr="00867291" w:rsidRDefault="001C19F7" w:rsidP="008B1CDA">
            <w:pPr>
              <w:rPr>
                <w:color w:val="000000" w:themeColor="text1"/>
                <w:sz w:val="16"/>
                <w:szCs w:val="16"/>
              </w:rPr>
            </w:pPr>
            <w:r w:rsidRPr="00867291">
              <w:rPr>
                <w:color w:val="000000" w:themeColor="text1"/>
                <w:sz w:val="16"/>
              </w:rPr>
              <w:t>(OOB)</w:t>
            </w:r>
          </w:p>
          <w:p w:rsidR="001C19F7" w:rsidRPr="00867291" w:rsidRDefault="001C19F7" w:rsidP="008B1CDA">
            <w:pPr>
              <w:rPr>
                <w:color w:val="000000" w:themeColor="text1"/>
                <w:sz w:val="16"/>
                <w:szCs w:val="16"/>
              </w:rPr>
            </w:pPr>
          </w:p>
          <w:p w:rsidR="001C19F7" w:rsidRPr="00867291" w:rsidRDefault="001C19F7" w:rsidP="008B1CDA">
            <w:pPr>
              <w:rPr>
                <w:color w:val="000000" w:themeColor="text1"/>
                <w:sz w:val="16"/>
                <w:szCs w:val="16"/>
              </w:rPr>
            </w:pPr>
            <w:r w:rsidRPr="00867291">
              <w:rPr>
                <w:color w:val="000000" w:themeColor="text1"/>
                <w:sz w:val="16"/>
              </w:rPr>
              <w:t>2014/15: 30.743 (+789%)</w:t>
            </w:r>
          </w:p>
          <w:p w:rsidR="001C19F7" w:rsidRPr="00867291" w:rsidRDefault="001C19F7" w:rsidP="001C19F7">
            <w:pPr>
              <w:pStyle w:val="ListParagraph"/>
              <w:numPr>
                <w:ilvl w:val="0"/>
                <w:numId w:val="95"/>
              </w:numPr>
              <w:ind w:left="347" w:hanging="347"/>
              <w:rPr>
                <w:rFonts w:eastAsia="SimSun" w:cs="Arial"/>
                <w:color w:val="000000" w:themeColor="text1"/>
                <w:sz w:val="16"/>
                <w:szCs w:val="16"/>
              </w:rPr>
            </w:pPr>
            <w:r w:rsidRPr="00867291">
              <w:rPr>
                <w:color w:val="000000" w:themeColor="text1"/>
                <w:sz w:val="16"/>
              </w:rPr>
              <w:t>2014:  3.096</w:t>
            </w:r>
            <w:r w:rsidRPr="00867291">
              <w:rPr>
                <w:rStyle w:val="FootnoteReference"/>
                <w:color w:val="000000" w:themeColor="text1"/>
              </w:rPr>
              <w:t xml:space="preserve"> </w:t>
            </w:r>
            <w:r w:rsidRPr="00867291">
              <w:rPr>
                <w:color w:val="000000" w:themeColor="text1"/>
                <w:sz w:val="16"/>
              </w:rPr>
              <w:t>(+470%)</w:t>
            </w:r>
          </w:p>
          <w:p w:rsidR="001C19F7" w:rsidRPr="00867291" w:rsidRDefault="001C19F7" w:rsidP="001C19F7">
            <w:pPr>
              <w:pStyle w:val="ListParagraph"/>
              <w:numPr>
                <w:ilvl w:val="0"/>
                <w:numId w:val="95"/>
              </w:numPr>
              <w:ind w:left="347" w:right="-92" w:hanging="347"/>
              <w:rPr>
                <w:rFonts w:eastAsia="SimSun" w:cs="Arial"/>
                <w:color w:val="000000" w:themeColor="text1"/>
                <w:sz w:val="16"/>
                <w:szCs w:val="16"/>
              </w:rPr>
            </w:pPr>
            <w:r w:rsidRPr="00867291">
              <w:rPr>
                <w:color w:val="000000" w:themeColor="text1"/>
                <w:sz w:val="16"/>
              </w:rPr>
              <w:t>2015:  4.173 (+632%)</w:t>
            </w:r>
          </w:p>
          <w:p w:rsidR="001C19F7" w:rsidRPr="00867291" w:rsidRDefault="001C19F7" w:rsidP="008B1CDA">
            <w:pPr>
              <w:rPr>
                <w:color w:val="000000" w:themeColor="text1"/>
                <w:sz w:val="16"/>
                <w:szCs w:val="16"/>
              </w:rPr>
            </w:pPr>
            <w:r w:rsidRPr="00867291">
              <w:rPr>
                <w:color w:val="000000" w:themeColor="text1"/>
                <w:sz w:val="16"/>
              </w:rPr>
              <w:t>(OOJ)</w:t>
            </w:r>
          </w:p>
          <w:p w:rsidR="001C19F7" w:rsidRPr="00867291" w:rsidRDefault="001C19F7" w:rsidP="008B1CDA">
            <w:pPr>
              <w:rPr>
                <w:color w:val="000000" w:themeColor="text1"/>
                <w:sz w:val="16"/>
                <w:szCs w:val="16"/>
              </w:rPr>
            </w:pPr>
          </w:p>
          <w:p w:rsidR="001C19F7" w:rsidRPr="00867291" w:rsidRDefault="001C19F7" w:rsidP="008B1CDA">
            <w:pPr>
              <w:rPr>
                <w:color w:val="000000" w:themeColor="text1"/>
                <w:sz w:val="16"/>
                <w:szCs w:val="16"/>
              </w:rPr>
            </w:pPr>
            <w:r w:rsidRPr="00867291">
              <w:rPr>
                <w:color w:val="000000" w:themeColor="text1"/>
                <w:sz w:val="16"/>
              </w:rPr>
              <w:t>2014/15: 15.525 (+1.153%)</w:t>
            </w:r>
          </w:p>
          <w:p w:rsidR="001C19F7" w:rsidRPr="00867291" w:rsidRDefault="001C19F7" w:rsidP="001C19F7">
            <w:pPr>
              <w:pStyle w:val="ListParagraph"/>
              <w:numPr>
                <w:ilvl w:val="0"/>
                <w:numId w:val="95"/>
              </w:numPr>
              <w:ind w:left="347" w:right="-92" w:hanging="347"/>
              <w:rPr>
                <w:rFonts w:eastAsia="SimSun" w:cs="Arial"/>
                <w:color w:val="000000" w:themeColor="text1"/>
                <w:sz w:val="16"/>
                <w:szCs w:val="16"/>
              </w:rPr>
            </w:pPr>
            <w:r w:rsidRPr="00867291">
              <w:rPr>
                <w:color w:val="000000" w:themeColor="text1"/>
                <w:sz w:val="16"/>
              </w:rPr>
              <w:t>2014:  8.941 (+423%)</w:t>
            </w:r>
          </w:p>
          <w:p w:rsidR="001C19F7" w:rsidRPr="00867291" w:rsidRDefault="001C19F7" w:rsidP="001C19F7">
            <w:pPr>
              <w:pStyle w:val="ListParagraph"/>
              <w:numPr>
                <w:ilvl w:val="0"/>
                <w:numId w:val="95"/>
              </w:numPr>
              <w:ind w:left="347" w:right="-92" w:hanging="347"/>
              <w:rPr>
                <w:rFonts w:eastAsia="SimSun" w:cs="Arial"/>
                <w:color w:val="000000" w:themeColor="text1"/>
                <w:sz w:val="16"/>
                <w:szCs w:val="16"/>
              </w:rPr>
            </w:pPr>
            <w:r w:rsidRPr="00867291">
              <w:rPr>
                <w:color w:val="000000" w:themeColor="text1"/>
                <w:sz w:val="16"/>
              </w:rPr>
              <w:t>2015:  17.696 (+885%)</w:t>
            </w:r>
          </w:p>
          <w:p w:rsidR="001C19F7" w:rsidRPr="00867291" w:rsidRDefault="001C19F7" w:rsidP="008B1CDA">
            <w:pPr>
              <w:rPr>
                <w:color w:val="000000" w:themeColor="text1"/>
                <w:sz w:val="16"/>
                <w:szCs w:val="16"/>
              </w:rPr>
            </w:pPr>
            <w:r w:rsidRPr="00867291">
              <w:rPr>
                <w:color w:val="000000" w:themeColor="text1"/>
                <w:sz w:val="16"/>
              </w:rPr>
              <w:t>(OOS)</w:t>
            </w:r>
          </w:p>
        </w:tc>
        <w:tc>
          <w:tcPr>
            <w:tcW w:w="743" w:type="pct"/>
            <w:gridSpan w:val="6"/>
            <w:tcBorders>
              <w:top w:val="nil"/>
              <w:left w:val="nil"/>
              <w:bottom w:val="single" w:sz="4" w:space="0" w:color="auto"/>
              <w:right w:val="single" w:sz="4" w:space="0" w:color="auto"/>
            </w:tcBorders>
            <w:shd w:val="clear" w:color="auto" w:fill="auto"/>
            <w:tcMar>
              <w:top w:w="110" w:type="dxa"/>
            </w:tcMar>
          </w:tcPr>
          <w:p w:rsidR="001C19F7" w:rsidRPr="00867291" w:rsidRDefault="001C19F7" w:rsidP="008B1CDA">
            <w:pPr>
              <w:keepNext/>
              <w:keepLines/>
              <w:ind w:left="71" w:right="20"/>
              <w:jc w:val="center"/>
              <w:rPr>
                <w:b/>
                <w:bCs/>
                <w:color w:val="000000" w:themeColor="text1"/>
                <w:sz w:val="8"/>
                <w:szCs w:val="8"/>
              </w:rPr>
            </w:pPr>
          </w:p>
          <w:p w:rsidR="001C19F7" w:rsidRPr="00867291" w:rsidRDefault="001C19F7" w:rsidP="008B1CDA">
            <w:pPr>
              <w:keepNext/>
              <w:keepLines/>
              <w:ind w:right="20"/>
              <w:rPr>
                <w:b/>
                <w:bCs/>
                <w:color w:val="000000" w:themeColor="text1"/>
                <w:sz w:val="8"/>
                <w:szCs w:val="8"/>
              </w:rPr>
            </w:pPr>
          </w:p>
          <w:p w:rsidR="001C19F7" w:rsidRPr="00867291" w:rsidRDefault="00044DA1" w:rsidP="008B1CDA">
            <w:pPr>
              <w:keepNext/>
              <w:keepLines/>
              <w:ind w:right="20"/>
              <w:jc w:val="center"/>
              <w:rPr>
                <w:b/>
                <w:bCs/>
                <w:color w:val="000000" w:themeColor="text1"/>
                <w:sz w:val="16"/>
                <w:szCs w:val="16"/>
              </w:rPr>
            </w:pPr>
            <w:proofErr w:type="spellStart"/>
            <w:r>
              <w:rPr>
                <w:b/>
                <w:bCs/>
                <w:color w:val="00B050"/>
                <w:sz w:val="16"/>
                <w:szCs w:val="16"/>
                <w:lang w:val="en-US"/>
              </w:rPr>
              <w:t>Plenamente</w:t>
            </w:r>
            <w:proofErr w:type="spellEnd"/>
            <w:r>
              <w:rPr>
                <w:b/>
                <w:bCs/>
                <w:color w:val="00B050"/>
                <w:sz w:val="16"/>
                <w:szCs w:val="16"/>
                <w:lang w:val="en-US"/>
              </w:rPr>
              <w:t xml:space="preserve"> </w:t>
            </w:r>
            <w:proofErr w:type="spellStart"/>
            <w:r>
              <w:rPr>
                <w:b/>
                <w:bCs/>
                <w:color w:val="00B050"/>
                <w:sz w:val="16"/>
                <w:szCs w:val="16"/>
                <w:lang w:val="en-US"/>
              </w:rPr>
              <w:t>logrado</w:t>
            </w:r>
            <w:proofErr w:type="spellEnd"/>
          </w:p>
          <w:p w:rsidR="001C19F7" w:rsidRPr="00867291" w:rsidRDefault="001C19F7" w:rsidP="008B1CDA">
            <w:pPr>
              <w:keepNext/>
              <w:keepLines/>
              <w:ind w:left="71" w:right="20"/>
              <w:jc w:val="center"/>
              <w:rPr>
                <w:b/>
                <w:bCs/>
                <w:color w:val="000000" w:themeColor="text1"/>
                <w:sz w:val="16"/>
                <w:szCs w:val="16"/>
              </w:rPr>
            </w:pPr>
          </w:p>
          <w:p w:rsidR="001C19F7" w:rsidRPr="00867291" w:rsidRDefault="001C19F7" w:rsidP="008B1CDA">
            <w:pPr>
              <w:keepNext/>
              <w:keepLines/>
              <w:ind w:left="71" w:right="20"/>
              <w:jc w:val="center"/>
              <w:rPr>
                <w:b/>
                <w:bCs/>
                <w:color w:val="000000" w:themeColor="text1"/>
                <w:sz w:val="8"/>
                <w:szCs w:val="8"/>
              </w:rPr>
            </w:pPr>
          </w:p>
          <w:p w:rsidR="001C19F7" w:rsidRPr="00867291" w:rsidRDefault="001C19F7" w:rsidP="008B1CDA">
            <w:pPr>
              <w:keepNext/>
              <w:keepLines/>
              <w:ind w:right="20"/>
              <w:rPr>
                <w:b/>
                <w:bCs/>
                <w:color w:val="000000" w:themeColor="text1"/>
                <w:sz w:val="16"/>
                <w:szCs w:val="16"/>
              </w:rPr>
            </w:pPr>
          </w:p>
          <w:p w:rsidR="001C19F7" w:rsidRPr="00867291" w:rsidRDefault="001C19F7" w:rsidP="008B1CDA">
            <w:pPr>
              <w:keepNext/>
              <w:keepLines/>
              <w:ind w:right="20"/>
              <w:rPr>
                <w:b/>
                <w:bCs/>
                <w:color w:val="000000" w:themeColor="text1"/>
                <w:sz w:val="8"/>
                <w:szCs w:val="8"/>
              </w:rPr>
            </w:pPr>
          </w:p>
          <w:p w:rsidR="001C19F7" w:rsidRPr="00867291" w:rsidRDefault="001C19F7" w:rsidP="008B1CDA">
            <w:pPr>
              <w:keepNext/>
              <w:keepLines/>
              <w:ind w:left="71" w:right="20"/>
              <w:jc w:val="center"/>
              <w:rPr>
                <w:b/>
                <w:bCs/>
                <w:color w:val="000000" w:themeColor="text1"/>
                <w:sz w:val="16"/>
                <w:szCs w:val="16"/>
              </w:rPr>
            </w:pPr>
            <w:r w:rsidRPr="00475F12">
              <w:rPr>
                <w:b/>
                <w:color w:val="FF0000"/>
                <w:sz w:val="16"/>
                <w:szCs w:val="16"/>
                <w:lang w:val="en-US"/>
              </w:rPr>
              <w:t>No</w:t>
            </w:r>
            <w:r w:rsidRPr="00867291">
              <w:rPr>
                <w:b/>
                <w:color w:val="000000" w:themeColor="text1"/>
                <w:sz w:val="16"/>
              </w:rPr>
              <w:t xml:space="preserve"> </w:t>
            </w:r>
            <w:proofErr w:type="spellStart"/>
            <w:r w:rsidRPr="00475F12">
              <w:rPr>
                <w:b/>
                <w:color w:val="FF0000"/>
                <w:sz w:val="16"/>
                <w:szCs w:val="16"/>
                <w:lang w:val="en-US"/>
              </w:rPr>
              <w:t>logrado</w:t>
            </w:r>
            <w:proofErr w:type="spellEnd"/>
          </w:p>
          <w:p w:rsidR="001C19F7" w:rsidRPr="00867291" w:rsidRDefault="001C19F7" w:rsidP="008B1CDA">
            <w:pPr>
              <w:keepNext/>
              <w:keepLines/>
              <w:ind w:left="71" w:right="20"/>
              <w:jc w:val="center"/>
              <w:rPr>
                <w:b/>
                <w:bCs/>
                <w:color w:val="000000" w:themeColor="text1"/>
                <w:sz w:val="16"/>
                <w:szCs w:val="16"/>
              </w:rPr>
            </w:pPr>
          </w:p>
          <w:p w:rsidR="001C19F7" w:rsidRPr="00867291" w:rsidRDefault="001C19F7" w:rsidP="008B1CDA">
            <w:pPr>
              <w:keepNext/>
              <w:keepLines/>
              <w:ind w:left="71" w:right="20"/>
              <w:jc w:val="center"/>
              <w:rPr>
                <w:b/>
                <w:bCs/>
                <w:color w:val="000000" w:themeColor="text1"/>
                <w:sz w:val="16"/>
                <w:szCs w:val="16"/>
              </w:rPr>
            </w:pPr>
          </w:p>
          <w:p w:rsidR="001C19F7" w:rsidRPr="00867291" w:rsidRDefault="001C19F7" w:rsidP="008B1CDA">
            <w:pPr>
              <w:keepNext/>
              <w:keepLines/>
              <w:ind w:left="71" w:right="20"/>
              <w:jc w:val="center"/>
              <w:rPr>
                <w:b/>
                <w:bCs/>
                <w:color w:val="000000" w:themeColor="text1"/>
                <w:sz w:val="16"/>
                <w:szCs w:val="16"/>
              </w:rPr>
            </w:pPr>
          </w:p>
          <w:p w:rsidR="001C19F7" w:rsidRPr="00281B3B" w:rsidRDefault="00044DA1" w:rsidP="008B1CDA">
            <w:pPr>
              <w:keepNext/>
              <w:keepLines/>
              <w:ind w:left="71" w:right="20"/>
              <w:jc w:val="center"/>
              <w:rPr>
                <w:b/>
                <w:bCs/>
                <w:color w:val="00B050"/>
                <w:sz w:val="16"/>
                <w:szCs w:val="16"/>
                <w:lang w:val="en-US"/>
              </w:rPr>
            </w:pPr>
            <w:proofErr w:type="spellStart"/>
            <w:r>
              <w:rPr>
                <w:b/>
                <w:bCs/>
                <w:color w:val="00B050"/>
                <w:sz w:val="16"/>
                <w:szCs w:val="16"/>
                <w:lang w:val="en-US"/>
              </w:rPr>
              <w:t>Plenamente</w:t>
            </w:r>
            <w:proofErr w:type="spellEnd"/>
            <w:r>
              <w:rPr>
                <w:b/>
                <w:bCs/>
                <w:color w:val="00B050"/>
                <w:sz w:val="16"/>
                <w:szCs w:val="16"/>
                <w:lang w:val="en-US"/>
              </w:rPr>
              <w:t xml:space="preserve"> </w:t>
            </w:r>
            <w:proofErr w:type="spellStart"/>
            <w:r>
              <w:rPr>
                <w:b/>
                <w:bCs/>
                <w:color w:val="00B050"/>
                <w:sz w:val="16"/>
                <w:szCs w:val="16"/>
                <w:lang w:val="en-US"/>
              </w:rPr>
              <w:t>logrado</w:t>
            </w:r>
            <w:proofErr w:type="spellEnd"/>
          </w:p>
          <w:p w:rsidR="001C19F7" w:rsidRPr="00281B3B" w:rsidRDefault="001C19F7" w:rsidP="008B1CDA">
            <w:pPr>
              <w:keepNext/>
              <w:keepLines/>
              <w:ind w:left="71" w:right="20"/>
              <w:jc w:val="center"/>
              <w:rPr>
                <w:b/>
                <w:bCs/>
                <w:color w:val="00B050"/>
                <w:sz w:val="16"/>
                <w:szCs w:val="16"/>
                <w:lang w:val="en-US"/>
              </w:rPr>
            </w:pPr>
          </w:p>
          <w:p w:rsidR="001C19F7" w:rsidRPr="00281B3B" w:rsidRDefault="001C19F7" w:rsidP="008B1CDA">
            <w:pPr>
              <w:keepNext/>
              <w:keepLines/>
              <w:ind w:right="20"/>
              <w:jc w:val="center"/>
              <w:rPr>
                <w:b/>
                <w:bCs/>
                <w:color w:val="00B050"/>
                <w:sz w:val="16"/>
                <w:szCs w:val="16"/>
                <w:lang w:val="en-US"/>
              </w:rPr>
            </w:pPr>
          </w:p>
          <w:p w:rsidR="001C19F7" w:rsidRPr="00281B3B" w:rsidRDefault="001C19F7" w:rsidP="008B1CDA">
            <w:pPr>
              <w:keepNext/>
              <w:keepLines/>
              <w:ind w:right="20"/>
              <w:jc w:val="center"/>
              <w:rPr>
                <w:b/>
                <w:bCs/>
                <w:color w:val="00B050"/>
                <w:sz w:val="16"/>
                <w:szCs w:val="16"/>
                <w:lang w:val="en-US"/>
              </w:rPr>
            </w:pPr>
          </w:p>
          <w:p w:rsidR="001C19F7" w:rsidRPr="00281B3B" w:rsidRDefault="001C19F7" w:rsidP="008B1CDA">
            <w:pPr>
              <w:keepNext/>
              <w:keepLines/>
              <w:ind w:right="20"/>
              <w:jc w:val="center"/>
              <w:rPr>
                <w:b/>
                <w:bCs/>
                <w:color w:val="00B050"/>
                <w:sz w:val="16"/>
                <w:szCs w:val="16"/>
                <w:lang w:val="en-US"/>
              </w:rPr>
            </w:pPr>
          </w:p>
          <w:p w:rsidR="001C19F7" w:rsidRPr="00281B3B" w:rsidRDefault="001C19F7" w:rsidP="008B1CDA">
            <w:pPr>
              <w:keepNext/>
              <w:keepLines/>
              <w:ind w:right="20"/>
              <w:jc w:val="center"/>
              <w:rPr>
                <w:b/>
                <w:bCs/>
                <w:color w:val="00B050"/>
                <w:sz w:val="16"/>
                <w:szCs w:val="16"/>
                <w:lang w:val="en-US"/>
              </w:rPr>
            </w:pPr>
          </w:p>
          <w:p w:rsidR="001C19F7" w:rsidRPr="00281B3B" w:rsidRDefault="00044DA1" w:rsidP="008B1CDA">
            <w:pPr>
              <w:keepNext/>
              <w:keepLines/>
              <w:ind w:left="71" w:right="20"/>
              <w:jc w:val="center"/>
              <w:rPr>
                <w:b/>
                <w:bCs/>
                <w:color w:val="00B050"/>
                <w:sz w:val="16"/>
                <w:szCs w:val="16"/>
                <w:lang w:val="en-US"/>
              </w:rPr>
            </w:pPr>
            <w:proofErr w:type="spellStart"/>
            <w:r>
              <w:rPr>
                <w:b/>
                <w:bCs/>
                <w:color w:val="00B050"/>
                <w:sz w:val="16"/>
                <w:szCs w:val="16"/>
                <w:lang w:val="en-US"/>
              </w:rPr>
              <w:t>Plenamente</w:t>
            </w:r>
            <w:proofErr w:type="spellEnd"/>
            <w:r>
              <w:rPr>
                <w:b/>
                <w:bCs/>
                <w:color w:val="00B050"/>
                <w:sz w:val="16"/>
                <w:szCs w:val="16"/>
                <w:lang w:val="en-US"/>
              </w:rPr>
              <w:t xml:space="preserve"> </w:t>
            </w:r>
            <w:proofErr w:type="spellStart"/>
            <w:r>
              <w:rPr>
                <w:b/>
                <w:bCs/>
                <w:color w:val="00B050"/>
                <w:sz w:val="16"/>
                <w:szCs w:val="16"/>
                <w:lang w:val="en-US"/>
              </w:rPr>
              <w:t>logrado</w:t>
            </w:r>
            <w:proofErr w:type="spellEnd"/>
          </w:p>
          <w:p w:rsidR="001C19F7" w:rsidRPr="00281B3B" w:rsidRDefault="001C19F7" w:rsidP="008B1CDA">
            <w:pPr>
              <w:keepNext/>
              <w:keepLines/>
              <w:ind w:right="20"/>
              <w:jc w:val="center"/>
              <w:rPr>
                <w:b/>
                <w:bCs/>
                <w:color w:val="00B050"/>
                <w:sz w:val="16"/>
                <w:szCs w:val="16"/>
                <w:lang w:val="en-US"/>
              </w:rPr>
            </w:pPr>
          </w:p>
          <w:p w:rsidR="001C19F7" w:rsidRPr="00281B3B" w:rsidRDefault="001C19F7" w:rsidP="008B1CDA">
            <w:pPr>
              <w:keepNext/>
              <w:keepLines/>
              <w:ind w:right="20"/>
              <w:jc w:val="center"/>
              <w:rPr>
                <w:b/>
                <w:bCs/>
                <w:color w:val="00B050"/>
                <w:sz w:val="16"/>
                <w:szCs w:val="16"/>
                <w:lang w:val="en-US"/>
              </w:rPr>
            </w:pPr>
          </w:p>
          <w:p w:rsidR="001C19F7" w:rsidRPr="00281B3B" w:rsidRDefault="001C19F7" w:rsidP="008B1CDA">
            <w:pPr>
              <w:keepNext/>
              <w:keepLines/>
              <w:ind w:right="20"/>
              <w:jc w:val="center"/>
              <w:rPr>
                <w:b/>
                <w:bCs/>
                <w:color w:val="00B050"/>
                <w:sz w:val="16"/>
                <w:szCs w:val="16"/>
                <w:lang w:val="en-US"/>
              </w:rPr>
            </w:pPr>
          </w:p>
          <w:p w:rsidR="001C19F7" w:rsidRPr="00281B3B" w:rsidRDefault="001C19F7" w:rsidP="008B1CDA">
            <w:pPr>
              <w:keepNext/>
              <w:keepLines/>
              <w:ind w:right="20"/>
              <w:jc w:val="center"/>
              <w:rPr>
                <w:b/>
                <w:bCs/>
                <w:color w:val="00B050"/>
                <w:sz w:val="16"/>
                <w:szCs w:val="16"/>
                <w:lang w:val="en-US"/>
              </w:rPr>
            </w:pPr>
          </w:p>
          <w:p w:rsidR="001C19F7" w:rsidRPr="00281B3B" w:rsidRDefault="00044DA1" w:rsidP="008B1CDA">
            <w:pPr>
              <w:keepNext/>
              <w:keepLines/>
              <w:ind w:right="20"/>
              <w:jc w:val="center"/>
              <w:rPr>
                <w:b/>
                <w:bCs/>
                <w:color w:val="00B050"/>
                <w:sz w:val="16"/>
                <w:szCs w:val="16"/>
                <w:lang w:val="en-US"/>
              </w:rPr>
            </w:pPr>
            <w:proofErr w:type="spellStart"/>
            <w:r>
              <w:rPr>
                <w:b/>
                <w:bCs/>
                <w:color w:val="00B050"/>
                <w:sz w:val="16"/>
                <w:szCs w:val="16"/>
                <w:lang w:val="en-US"/>
              </w:rPr>
              <w:t>Plenamente</w:t>
            </w:r>
            <w:proofErr w:type="spellEnd"/>
            <w:r>
              <w:rPr>
                <w:b/>
                <w:bCs/>
                <w:color w:val="00B050"/>
                <w:sz w:val="16"/>
                <w:szCs w:val="16"/>
                <w:lang w:val="en-US"/>
              </w:rPr>
              <w:t xml:space="preserve"> </w:t>
            </w:r>
            <w:proofErr w:type="spellStart"/>
            <w:r>
              <w:rPr>
                <w:b/>
                <w:bCs/>
                <w:color w:val="00B050"/>
                <w:sz w:val="16"/>
                <w:szCs w:val="16"/>
                <w:lang w:val="en-US"/>
              </w:rPr>
              <w:t>logrado</w:t>
            </w:r>
            <w:proofErr w:type="spellEnd"/>
          </w:p>
          <w:p w:rsidR="001C19F7" w:rsidRPr="00281B3B" w:rsidRDefault="001C19F7" w:rsidP="008B1CDA">
            <w:pPr>
              <w:keepNext/>
              <w:keepLines/>
              <w:ind w:right="20"/>
              <w:jc w:val="center"/>
              <w:rPr>
                <w:b/>
                <w:bCs/>
                <w:color w:val="00B050"/>
                <w:sz w:val="16"/>
                <w:szCs w:val="16"/>
                <w:lang w:val="en-US"/>
              </w:rPr>
            </w:pPr>
          </w:p>
          <w:p w:rsidR="001C19F7" w:rsidRPr="00281B3B" w:rsidRDefault="001C19F7" w:rsidP="008B1CDA">
            <w:pPr>
              <w:keepNext/>
              <w:keepLines/>
              <w:ind w:right="20"/>
              <w:jc w:val="center"/>
              <w:rPr>
                <w:b/>
                <w:bCs/>
                <w:color w:val="00B050"/>
                <w:sz w:val="16"/>
                <w:szCs w:val="16"/>
                <w:lang w:val="en-US"/>
              </w:rPr>
            </w:pPr>
          </w:p>
          <w:p w:rsidR="001C19F7" w:rsidRPr="00281B3B" w:rsidRDefault="001C19F7" w:rsidP="008B1CDA">
            <w:pPr>
              <w:keepNext/>
              <w:keepLines/>
              <w:ind w:right="20"/>
              <w:jc w:val="center"/>
              <w:rPr>
                <w:b/>
                <w:bCs/>
                <w:color w:val="00B050"/>
                <w:sz w:val="16"/>
                <w:szCs w:val="16"/>
                <w:lang w:val="en-US"/>
              </w:rPr>
            </w:pPr>
          </w:p>
          <w:p w:rsidR="001C19F7" w:rsidRPr="00281B3B" w:rsidRDefault="00044DA1" w:rsidP="008B1CDA">
            <w:pPr>
              <w:keepNext/>
              <w:keepLines/>
              <w:ind w:left="71" w:right="20"/>
              <w:jc w:val="center"/>
              <w:rPr>
                <w:b/>
                <w:bCs/>
                <w:color w:val="00B050"/>
                <w:sz w:val="16"/>
                <w:szCs w:val="16"/>
                <w:lang w:val="en-US"/>
              </w:rPr>
            </w:pPr>
            <w:proofErr w:type="spellStart"/>
            <w:r>
              <w:rPr>
                <w:b/>
                <w:bCs/>
                <w:color w:val="00B050"/>
                <w:sz w:val="16"/>
                <w:szCs w:val="16"/>
                <w:lang w:val="en-US"/>
              </w:rPr>
              <w:t>Plenamente</w:t>
            </w:r>
            <w:proofErr w:type="spellEnd"/>
            <w:r>
              <w:rPr>
                <w:b/>
                <w:bCs/>
                <w:color w:val="00B050"/>
                <w:sz w:val="16"/>
                <w:szCs w:val="16"/>
                <w:lang w:val="en-US"/>
              </w:rPr>
              <w:t xml:space="preserve"> </w:t>
            </w:r>
            <w:proofErr w:type="spellStart"/>
            <w:r>
              <w:rPr>
                <w:b/>
                <w:bCs/>
                <w:color w:val="00B050"/>
                <w:sz w:val="16"/>
                <w:szCs w:val="16"/>
                <w:lang w:val="en-US"/>
              </w:rPr>
              <w:t>logrado</w:t>
            </w:r>
            <w:proofErr w:type="spellEnd"/>
          </w:p>
          <w:p w:rsidR="001C19F7" w:rsidRPr="00867291" w:rsidRDefault="001C19F7" w:rsidP="008B1CDA">
            <w:pPr>
              <w:keepNext/>
              <w:keepLines/>
              <w:ind w:right="20"/>
              <w:jc w:val="center"/>
              <w:rPr>
                <w:b/>
                <w:bCs/>
                <w:color w:val="000000" w:themeColor="text1"/>
                <w:sz w:val="16"/>
                <w:szCs w:val="16"/>
              </w:rPr>
            </w:pPr>
          </w:p>
        </w:tc>
      </w:tr>
      <w:tr w:rsidR="001C19F7" w:rsidRPr="00867291" w:rsidTr="009B427C">
        <w:trPr>
          <w:trHeight w:val="713"/>
        </w:trPr>
        <w:tc>
          <w:tcPr>
            <w:tcW w:w="5000" w:type="pct"/>
            <w:gridSpan w:val="15"/>
            <w:tcBorders>
              <w:top w:val="single" w:sz="4" w:space="0" w:color="auto"/>
              <w:bottom w:val="single" w:sz="4" w:space="0" w:color="auto"/>
            </w:tcBorders>
            <w:shd w:val="clear" w:color="auto" w:fill="C6D9F1" w:themeFill="text2" w:themeFillTint="33"/>
          </w:tcPr>
          <w:p w:rsidR="001C19F7" w:rsidRPr="00867291" w:rsidRDefault="001C19F7" w:rsidP="008B1CDA">
            <w:pPr>
              <w:keepNext/>
              <w:keepLines/>
              <w:spacing w:before="120" w:after="120"/>
              <w:ind w:left="1985" w:hanging="1985"/>
              <w:rPr>
                <w:b/>
                <w:bCs/>
                <w:color w:val="000000" w:themeColor="text1"/>
                <w:sz w:val="16"/>
                <w:szCs w:val="16"/>
              </w:rPr>
            </w:pPr>
            <w:r w:rsidRPr="00867291">
              <w:rPr>
                <w:b/>
                <w:color w:val="000000" w:themeColor="text1"/>
                <w:sz w:val="16"/>
              </w:rPr>
              <w:lastRenderedPageBreak/>
              <w:t>Resultado previsto:</w:t>
            </w:r>
            <w:r w:rsidRPr="00867291">
              <w:rPr>
                <w:color w:val="000000" w:themeColor="text1"/>
              </w:rPr>
              <w:tab/>
            </w:r>
            <w:r w:rsidRPr="00867291">
              <w:rPr>
                <w:color w:val="000000" w:themeColor="text1"/>
                <w:sz w:val="16"/>
              </w:rPr>
              <w:t>VII.2 Plataformas y herramientas de P.I. utilizadas para la transferencia de conocimiento y la difusión y adaptación de tecnología de los países desarrollados en los países en desarrollo, en particular en los menos adelantados, con el fin de atender los desafíos mundiales</w:t>
            </w:r>
          </w:p>
        </w:tc>
      </w:tr>
      <w:tr w:rsidR="001C19F7" w:rsidRPr="00867291" w:rsidTr="008B1CDA">
        <w:tc>
          <w:tcPr>
            <w:tcW w:w="1103" w:type="pct"/>
            <w:tcBorders>
              <w:top w:val="single" w:sz="4" w:space="0" w:color="auto"/>
              <w:left w:val="single" w:sz="4" w:space="0" w:color="auto"/>
              <w:bottom w:val="nil"/>
              <w:right w:val="nil"/>
            </w:tcBorders>
            <w:shd w:val="clear" w:color="auto" w:fill="auto"/>
          </w:tcPr>
          <w:p w:rsidR="001C19F7" w:rsidRPr="00867291" w:rsidRDefault="001C19F7" w:rsidP="008B1CDA">
            <w:pPr>
              <w:rPr>
                <w:color w:val="000000" w:themeColor="text1"/>
                <w:sz w:val="16"/>
                <w:szCs w:val="16"/>
              </w:rPr>
            </w:pPr>
            <w:r w:rsidRPr="00867291">
              <w:rPr>
                <w:b/>
                <w:color w:val="000000" w:themeColor="text1"/>
                <w:sz w:val="16"/>
              </w:rPr>
              <w:t>Indicadores de rendimiento</w:t>
            </w:r>
          </w:p>
        </w:tc>
        <w:tc>
          <w:tcPr>
            <w:tcW w:w="902" w:type="pct"/>
            <w:gridSpan w:val="2"/>
            <w:tcBorders>
              <w:top w:val="single" w:sz="4" w:space="0" w:color="auto"/>
              <w:left w:val="nil"/>
              <w:bottom w:val="nil"/>
              <w:right w:val="nil"/>
            </w:tcBorders>
            <w:shd w:val="clear" w:color="auto" w:fill="auto"/>
          </w:tcPr>
          <w:p w:rsidR="001C19F7" w:rsidRPr="00867291" w:rsidRDefault="001C19F7" w:rsidP="008B1CDA">
            <w:pPr>
              <w:rPr>
                <w:i/>
                <w:color w:val="000000" w:themeColor="text1"/>
                <w:sz w:val="16"/>
                <w:szCs w:val="16"/>
              </w:rPr>
            </w:pPr>
            <w:r w:rsidRPr="00867291">
              <w:rPr>
                <w:b/>
                <w:color w:val="000000" w:themeColor="text1"/>
                <w:sz w:val="16"/>
              </w:rPr>
              <w:t>Referencia</w:t>
            </w:r>
          </w:p>
        </w:tc>
        <w:tc>
          <w:tcPr>
            <w:tcW w:w="843" w:type="pct"/>
            <w:gridSpan w:val="5"/>
            <w:tcBorders>
              <w:top w:val="single" w:sz="4" w:space="0" w:color="auto"/>
              <w:left w:val="nil"/>
              <w:bottom w:val="nil"/>
              <w:right w:val="nil"/>
            </w:tcBorders>
            <w:shd w:val="clear" w:color="auto" w:fill="auto"/>
            <w:tcMar>
              <w:top w:w="110" w:type="dxa"/>
            </w:tcMar>
          </w:tcPr>
          <w:p w:rsidR="001C19F7" w:rsidRPr="00867291" w:rsidRDefault="001C19F7" w:rsidP="008B1CDA">
            <w:pPr>
              <w:rPr>
                <w:color w:val="000000" w:themeColor="text1"/>
                <w:sz w:val="16"/>
                <w:szCs w:val="16"/>
              </w:rPr>
            </w:pPr>
            <w:r w:rsidRPr="00867291">
              <w:rPr>
                <w:b/>
                <w:color w:val="000000" w:themeColor="text1"/>
                <w:sz w:val="16"/>
              </w:rPr>
              <w:t>Objetivos</w:t>
            </w:r>
          </w:p>
        </w:tc>
        <w:tc>
          <w:tcPr>
            <w:tcW w:w="1511" w:type="pct"/>
            <w:gridSpan w:val="4"/>
            <w:tcBorders>
              <w:top w:val="single" w:sz="4" w:space="0" w:color="auto"/>
              <w:left w:val="nil"/>
              <w:bottom w:val="nil"/>
              <w:right w:val="nil"/>
            </w:tcBorders>
            <w:shd w:val="clear" w:color="auto" w:fill="FFFFFF"/>
            <w:tcMar>
              <w:top w:w="110" w:type="dxa"/>
            </w:tcMar>
          </w:tcPr>
          <w:p w:rsidR="001C19F7" w:rsidRPr="00867291" w:rsidRDefault="001C19F7" w:rsidP="008B1CDA">
            <w:pPr>
              <w:rPr>
                <w:color w:val="000000" w:themeColor="text1"/>
                <w:sz w:val="16"/>
                <w:szCs w:val="16"/>
              </w:rPr>
            </w:pPr>
            <w:r w:rsidRPr="00867291">
              <w:rPr>
                <w:b/>
                <w:color w:val="000000" w:themeColor="text1"/>
                <w:sz w:val="16"/>
              </w:rPr>
              <w:t>Datos sobre el rendimiento</w:t>
            </w:r>
          </w:p>
        </w:tc>
        <w:tc>
          <w:tcPr>
            <w:tcW w:w="641" w:type="pct"/>
            <w:gridSpan w:val="3"/>
            <w:tcBorders>
              <w:top w:val="single" w:sz="4" w:space="0" w:color="auto"/>
              <w:left w:val="nil"/>
              <w:bottom w:val="nil"/>
              <w:right w:val="single" w:sz="4" w:space="0" w:color="auto"/>
            </w:tcBorders>
            <w:shd w:val="clear" w:color="auto" w:fill="auto"/>
            <w:tcMar>
              <w:top w:w="110" w:type="dxa"/>
            </w:tcMar>
          </w:tcPr>
          <w:p w:rsidR="001C19F7" w:rsidRPr="00867291" w:rsidRDefault="001C19F7" w:rsidP="008B1CDA">
            <w:pPr>
              <w:keepNext/>
              <w:keepLines/>
              <w:ind w:left="71" w:right="20"/>
              <w:jc w:val="center"/>
              <w:rPr>
                <w:b/>
                <w:bCs/>
                <w:color w:val="000000" w:themeColor="text1"/>
                <w:sz w:val="16"/>
                <w:szCs w:val="16"/>
              </w:rPr>
            </w:pPr>
            <w:r w:rsidRPr="00867291">
              <w:rPr>
                <w:b/>
                <w:color w:val="000000" w:themeColor="text1"/>
                <w:sz w:val="16"/>
              </w:rPr>
              <w:t>Clave de colores</w:t>
            </w:r>
          </w:p>
        </w:tc>
      </w:tr>
      <w:tr w:rsidR="001C19F7" w:rsidRPr="00867291" w:rsidTr="008B1CDA">
        <w:trPr>
          <w:trHeight w:val="1330"/>
        </w:trPr>
        <w:tc>
          <w:tcPr>
            <w:tcW w:w="1103" w:type="pct"/>
            <w:tcBorders>
              <w:top w:val="nil"/>
              <w:left w:val="single" w:sz="4" w:space="0" w:color="auto"/>
              <w:bottom w:val="single" w:sz="4" w:space="0" w:color="auto"/>
              <w:right w:val="nil"/>
            </w:tcBorders>
            <w:shd w:val="clear" w:color="auto" w:fill="auto"/>
          </w:tcPr>
          <w:p w:rsidR="001C19F7" w:rsidRPr="00867291" w:rsidRDefault="001C19F7" w:rsidP="008B1CDA">
            <w:pPr>
              <w:rPr>
                <w:color w:val="000000" w:themeColor="text1"/>
                <w:sz w:val="16"/>
                <w:szCs w:val="16"/>
              </w:rPr>
            </w:pPr>
            <w:r w:rsidRPr="00867291">
              <w:rPr>
                <w:color w:val="000000" w:themeColor="text1"/>
                <w:sz w:val="16"/>
              </w:rPr>
              <w:t xml:space="preserve">Participación de las partes interesadas en plataformas de la OMPI como WIPO GREEN y WIPO </w:t>
            </w:r>
            <w:proofErr w:type="spellStart"/>
            <w:r w:rsidRPr="00867291">
              <w:rPr>
                <w:color w:val="000000" w:themeColor="text1"/>
                <w:sz w:val="16"/>
              </w:rPr>
              <w:t>Re:Search</w:t>
            </w:r>
            <w:proofErr w:type="spellEnd"/>
          </w:p>
        </w:tc>
        <w:tc>
          <w:tcPr>
            <w:tcW w:w="902" w:type="pct"/>
            <w:gridSpan w:val="2"/>
            <w:tcBorders>
              <w:top w:val="nil"/>
              <w:left w:val="nil"/>
              <w:bottom w:val="single" w:sz="4" w:space="0" w:color="auto"/>
              <w:right w:val="nil"/>
            </w:tcBorders>
            <w:shd w:val="clear" w:color="auto" w:fill="auto"/>
          </w:tcPr>
          <w:p w:rsidR="001C19F7" w:rsidRPr="00867291" w:rsidRDefault="001C19F7" w:rsidP="008B1CDA">
            <w:pPr>
              <w:rPr>
                <w:i/>
                <w:color w:val="000000" w:themeColor="text1"/>
                <w:sz w:val="16"/>
                <w:szCs w:val="16"/>
              </w:rPr>
            </w:pPr>
            <w:r w:rsidRPr="00EF75DA">
              <w:rPr>
                <w:i/>
                <w:color w:val="002060"/>
                <w:sz w:val="16"/>
                <w:szCs w:val="16"/>
                <w:lang w:eastAsia="en-US"/>
              </w:rPr>
              <w:t>Referencia actualizada a fines de 2013</w:t>
            </w:r>
            <w:r w:rsidRPr="00867291">
              <w:rPr>
                <w:i/>
                <w:color w:val="000000" w:themeColor="text1"/>
                <w:sz w:val="16"/>
              </w:rPr>
              <w:t xml:space="preserve">:  </w:t>
            </w:r>
          </w:p>
          <w:p w:rsidR="001C19F7" w:rsidRPr="00867291" w:rsidRDefault="001C19F7" w:rsidP="008B1CDA">
            <w:pPr>
              <w:rPr>
                <w:color w:val="000000" w:themeColor="text1"/>
                <w:sz w:val="16"/>
                <w:szCs w:val="16"/>
              </w:rPr>
            </w:pPr>
            <w:proofErr w:type="spellStart"/>
            <w:r w:rsidRPr="00EF75DA">
              <w:rPr>
                <w:color w:val="002060"/>
                <w:sz w:val="16"/>
                <w:szCs w:val="16"/>
                <w:lang w:eastAsia="en-US"/>
              </w:rPr>
              <w:t>N.d</w:t>
            </w:r>
            <w:proofErr w:type="spellEnd"/>
            <w:r w:rsidRPr="00EF75DA">
              <w:rPr>
                <w:color w:val="002060"/>
                <w:sz w:val="16"/>
                <w:szCs w:val="16"/>
                <w:lang w:eastAsia="en-US"/>
              </w:rPr>
              <w:t>. (OOB)</w:t>
            </w:r>
          </w:p>
          <w:p w:rsidR="001C19F7" w:rsidRPr="00867291" w:rsidRDefault="001C19F7" w:rsidP="008B1CDA">
            <w:pPr>
              <w:rPr>
                <w:color w:val="000000" w:themeColor="text1"/>
                <w:sz w:val="16"/>
                <w:szCs w:val="16"/>
              </w:rPr>
            </w:pPr>
          </w:p>
          <w:p w:rsidR="001C19F7" w:rsidRPr="00867291" w:rsidRDefault="001C19F7" w:rsidP="008B1CDA">
            <w:pPr>
              <w:rPr>
                <w:color w:val="000000" w:themeColor="text1"/>
                <w:sz w:val="16"/>
                <w:szCs w:val="16"/>
              </w:rPr>
            </w:pPr>
            <w:r w:rsidRPr="00867291">
              <w:rPr>
                <w:color w:val="000000" w:themeColor="text1"/>
                <w:sz w:val="16"/>
              </w:rPr>
              <w:t>1 (JIPA) (OOJ)</w:t>
            </w:r>
          </w:p>
          <w:p w:rsidR="001C19F7" w:rsidRPr="00867291" w:rsidRDefault="001C19F7" w:rsidP="008B1CDA">
            <w:pPr>
              <w:rPr>
                <w:color w:val="000000" w:themeColor="text1"/>
                <w:sz w:val="16"/>
                <w:szCs w:val="16"/>
              </w:rPr>
            </w:pPr>
          </w:p>
          <w:p w:rsidR="001C19F7" w:rsidRPr="00867291" w:rsidRDefault="001C19F7" w:rsidP="008B1CDA">
            <w:pPr>
              <w:rPr>
                <w:color w:val="000000" w:themeColor="text1"/>
                <w:sz w:val="16"/>
                <w:szCs w:val="16"/>
              </w:rPr>
            </w:pPr>
            <w:r w:rsidRPr="006818B6">
              <w:rPr>
                <w:color w:val="002060"/>
                <w:sz w:val="16"/>
                <w:szCs w:val="16"/>
                <w:lang w:eastAsia="en-US"/>
              </w:rPr>
              <w:t xml:space="preserve">No se dispone de referencia para WIPO GREEN dado que la plataforma se inauguró en noviembre de 2013;  848 visitantes de WIPO </w:t>
            </w:r>
            <w:proofErr w:type="spellStart"/>
            <w:r w:rsidRPr="006818B6">
              <w:rPr>
                <w:color w:val="002060"/>
                <w:sz w:val="16"/>
                <w:szCs w:val="16"/>
                <w:lang w:eastAsia="en-US"/>
              </w:rPr>
              <w:t>Re:Search</w:t>
            </w:r>
            <w:proofErr w:type="spellEnd"/>
            <w:r w:rsidRPr="006818B6">
              <w:rPr>
                <w:color w:val="002060"/>
                <w:sz w:val="16"/>
                <w:szCs w:val="16"/>
                <w:lang w:eastAsia="en-US"/>
              </w:rPr>
              <w:t xml:space="preserve"> (OOS</w:t>
            </w:r>
            <w:r>
              <w:rPr>
                <w:color w:val="002060"/>
                <w:sz w:val="16"/>
                <w:szCs w:val="16"/>
                <w:lang w:eastAsia="en-US"/>
              </w:rPr>
              <w:t>)</w:t>
            </w:r>
            <w:r w:rsidRPr="00867291">
              <w:rPr>
                <w:color w:val="000000" w:themeColor="text1"/>
                <w:sz w:val="16"/>
              </w:rPr>
              <w:t xml:space="preserve">         </w:t>
            </w:r>
          </w:p>
          <w:p w:rsidR="001C19F7" w:rsidRPr="00867291" w:rsidRDefault="001C19F7" w:rsidP="008B1CDA">
            <w:pPr>
              <w:rPr>
                <w:i/>
                <w:color w:val="000000" w:themeColor="text1"/>
                <w:sz w:val="16"/>
                <w:szCs w:val="16"/>
              </w:rPr>
            </w:pPr>
          </w:p>
          <w:p w:rsidR="001C19F7" w:rsidRPr="00867291" w:rsidRDefault="001C19F7" w:rsidP="008B1CDA">
            <w:pPr>
              <w:rPr>
                <w:i/>
                <w:color w:val="000000" w:themeColor="text1"/>
                <w:sz w:val="16"/>
                <w:szCs w:val="16"/>
              </w:rPr>
            </w:pPr>
            <w:r w:rsidRPr="00867291">
              <w:rPr>
                <w:i/>
                <w:color w:val="000000" w:themeColor="text1"/>
                <w:sz w:val="16"/>
              </w:rPr>
              <w:t xml:space="preserve">Referencia original en el presupuesto de 2014/15: </w:t>
            </w:r>
          </w:p>
          <w:p w:rsidR="001C19F7" w:rsidRPr="00867291" w:rsidRDefault="001C19F7" w:rsidP="008B1CDA">
            <w:pPr>
              <w:rPr>
                <w:color w:val="000000" w:themeColor="text1"/>
                <w:sz w:val="16"/>
                <w:szCs w:val="16"/>
              </w:rPr>
            </w:pPr>
            <w:proofErr w:type="spellStart"/>
            <w:r w:rsidRPr="00867291">
              <w:rPr>
                <w:color w:val="000000" w:themeColor="text1"/>
                <w:sz w:val="16"/>
              </w:rPr>
              <w:t>N.d</w:t>
            </w:r>
            <w:proofErr w:type="spellEnd"/>
            <w:r w:rsidRPr="00867291">
              <w:rPr>
                <w:color w:val="000000" w:themeColor="text1"/>
                <w:sz w:val="16"/>
              </w:rPr>
              <w:t>. (OOB)</w:t>
            </w:r>
          </w:p>
          <w:p w:rsidR="001C19F7" w:rsidRPr="00867291" w:rsidRDefault="001C19F7" w:rsidP="008B1CDA">
            <w:pPr>
              <w:rPr>
                <w:color w:val="000000" w:themeColor="text1"/>
                <w:sz w:val="16"/>
                <w:szCs w:val="16"/>
              </w:rPr>
            </w:pPr>
            <w:proofErr w:type="spellStart"/>
            <w:r w:rsidRPr="00867291">
              <w:rPr>
                <w:color w:val="000000" w:themeColor="text1"/>
                <w:sz w:val="16"/>
              </w:rPr>
              <w:t>N.d</w:t>
            </w:r>
            <w:proofErr w:type="spellEnd"/>
            <w:r w:rsidRPr="00867291">
              <w:rPr>
                <w:color w:val="000000" w:themeColor="text1"/>
                <w:sz w:val="16"/>
              </w:rPr>
              <w:t>. (OOJ)</w:t>
            </w:r>
          </w:p>
          <w:p w:rsidR="001C19F7" w:rsidRPr="00867291" w:rsidRDefault="001C19F7" w:rsidP="008B1CDA">
            <w:pPr>
              <w:rPr>
                <w:color w:val="000000" w:themeColor="text1"/>
                <w:sz w:val="16"/>
                <w:szCs w:val="16"/>
              </w:rPr>
            </w:pPr>
            <w:r w:rsidRPr="00867291">
              <w:rPr>
                <w:color w:val="000000" w:themeColor="text1"/>
                <w:sz w:val="16"/>
              </w:rPr>
              <w:t>Por determinar (OOS)</w:t>
            </w:r>
          </w:p>
          <w:p w:rsidR="001C19F7" w:rsidRPr="00867291" w:rsidRDefault="001C19F7" w:rsidP="008B1CDA">
            <w:pPr>
              <w:rPr>
                <w:color w:val="000000" w:themeColor="text1"/>
                <w:sz w:val="16"/>
                <w:szCs w:val="16"/>
              </w:rPr>
            </w:pPr>
          </w:p>
        </w:tc>
        <w:tc>
          <w:tcPr>
            <w:tcW w:w="843" w:type="pct"/>
            <w:gridSpan w:val="5"/>
            <w:tcBorders>
              <w:top w:val="nil"/>
              <w:left w:val="nil"/>
              <w:bottom w:val="single" w:sz="4" w:space="0" w:color="auto"/>
              <w:right w:val="nil"/>
            </w:tcBorders>
            <w:shd w:val="clear" w:color="auto" w:fill="auto"/>
            <w:tcMar>
              <w:top w:w="110" w:type="dxa"/>
            </w:tcMar>
          </w:tcPr>
          <w:p w:rsidR="001C19F7" w:rsidRPr="00867291" w:rsidRDefault="001C19F7" w:rsidP="008B1CDA">
            <w:pPr>
              <w:rPr>
                <w:color w:val="000000" w:themeColor="text1"/>
                <w:sz w:val="16"/>
                <w:szCs w:val="16"/>
              </w:rPr>
            </w:pPr>
            <w:r w:rsidRPr="00867291">
              <w:rPr>
                <w:color w:val="000000" w:themeColor="text1"/>
                <w:sz w:val="16"/>
              </w:rPr>
              <w:t>30 tecnologías desarrolladas por instituciones y empresas brasileñas en WIPO GREEN (OOB)</w:t>
            </w:r>
          </w:p>
          <w:p w:rsidR="001C19F7" w:rsidRPr="00867291" w:rsidRDefault="001C19F7" w:rsidP="008B1CDA">
            <w:pPr>
              <w:rPr>
                <w:color w:val="000000" w:themeColor="text1"/>
                <w:sz w:val="16"/>
                <w:szCs w:val="16"/>
              </w:rPr>
            </w:pPr>
          </w:p>
          <w:p w:rsidR="001C19F7" w:rsidRPr="00867291" w:rsidRDefault="001C19F7" w:rsidP="008B1CDA">
            <w:pPr>
              <w:rPr>
                <w:color w:val="000000" w:themeColor="text1"/>
                <w:sz w:val="16"/>
                <w:szCs w:val="16"/>
              </w:rPr>
            </w:pPr>
            <w:r w:rsidRPr="00867291">
              <w:rPr>
                <w:color w:val="000000" w:themeColor="text1"/>
                <w:sz w:val="16"/>
              </w:rPr>
              <w:t xml:space="preserve">Nuevos casos en WIPO GREEN o nueva participación en WIPO </w:t>
            </w:r>
            <w:proofErr w:type="spellStart"/>
            <w:r w:rsidRPr="00867291">
              <w:rPr>
                <w:color w:val="000000" w:themeColor="text1"/>
                <w:sz w:val="16"/>
              </w:rPr>
              <w:t>Re:Search</w:t>
            </w:r>
            <w:proofErr w:type="spellEnd"/>
            <w:r w:rsidRPr="00867291">
              <w:rPr>
                <w:color w:val="000000" w:themeColor="text1"/>
                <w:sz w:val="16"/>
              </w:rPr>
              <w:t xml:space="preserve"> (OOJ)</w:t>
            </w:r>
          </w:p>
          <w:p w:rsidR="001C19F7" w:rsidRPr="00867291" w:rsidRDefault="001C19F7" w:rsidP="008B1CDA">
            <w:pPr>
              <w:rPr>
                <w:color w:val="000000" w:themeColor="text1"/>
                <w:sz w:val="16"/>
                <w:szCs w:val="16"/>
              </w:rPr>
            </w:pPr>
          </w:p>
          <w:p w:rsidR="001C19F7" w:rsidRPr="00867291" w:rsidRDefault="001C19F7" w:rsidP="008B1CDA">
            <w:pPr>
              <w:rPr>
                <w:color w:val="000000" w:themeColor="text1"/>
                <w:sz w:val="16"/>
                <w:szCs w:val="16"/>
              </w:rPr>
            </w:pPr>
          </w:p>
          <w:p w:rsidR="001C19F7" w:rsidRPr="00867291" w:rsidRDefault="001C19F7" w:rsidP="008B1CDA">
            <w:pPr>
              <w:rPr>
                <w:color w:val="000000" w:themeColor="text1"/>
                <w:sz w:val="16"/>
                <w:szCs w:val="16"/>
              </w:rPr>
            </w:pPr>
          </w:p>
          <w:p w:rsidR="001C19F7" w:rsidRPr="00867291" w:rsidRDefault="001C19F7" w:rsidP="008B1CDA">
            <w:pPr>
              <w:rPr>
                <w:color w:val="000000" w:themeColor="text1"/>
                <w:sz w:val="16"/>
                <w:szCs w:val="16"/>
              </w:rPr>
            </w:pPr>
          </w:p>
          <w:p w:rsidR="001C19F7" w:rsidRPr="00867291" w:rsidRDefault="001C19F7" w:rsidP="008B1CDA">
            <w:pPr>
              <w:rPr>
                <w:color w:val="000000" w:themeColor="text1"/>
                <w:sz w:val="16"/>
                <w:szCs w:val="16"/>
              </w:rPr>
            </w:pPr>
          </w:p>
          <w:p w:rsidR="001C19F7" w:rsidRPr="00867291" w:rsidRDefault="001C19F7" w:rsidP="008B1CDA">
            <w:pPr>
              <w:rPr>
                <w:color w:val="000000" w:themeColor="text1"/>
                <w:sz w:val="16"/>
                <w:szCs w:val="16"/>
              </w:rPr>
            </w:pPr>
          </w:p>
          <w:p w:rsidR="001C19F7" w:rsidRPr="00867291" w:rsidRDefault="001C19F7" w:rsidP="008B1CDA">
            <w:pPr>
              <w:rPr>
                <w:color w:val="000000" w:themeColor="text1"/>
                <w:sz w:val="16"/>
                <w:szCs w:val="16"/>
              </w:rPr>
            </w:pPr>
          </w:p>
          <w:p w:rsidR="001C19F7" w:rsidRPr="00867291" w:rsidRDefault="001C19F7" w:rsidP="008B1CDA">
            <w:pPr>
              <w:rPr>
                <w:color w:val="000000" w:themeColor="text1"/>
                <w:sz w:val="16"/>
                <w:szCs w:val="16"/>
              </w:rPr>
            </w:pPr>
            <w:r w:rsidRPr="00867291">
              <w:rPr>
                <w:color w:val="000000" w:themeColor="text1"/>
                <w:sz w:val="16"/>
              </w:rPr>
              <w:t>Aumento del 5% en los usuarios de la ASEAN (OOS)</w:t>
            </w:r>
          </w:p>
          <w:p w:rsidR="001C19F7" w:rsidRPr="00867291" w:rsidRDefault="001C19F7" w:rsidP="008B1CDA">
            <w:pPr>
              <w:rPr>
                <w:color w:val="000000" w:themeColor="text1"/>
                <w:sz w:val="16"/>
                <w:szCs w:val="16"/>
              </w:rPr>
            </w:pPr>
          </w:p>
        </w:tc>
        <w:tc>
          <w:tcPr>
            <w:tcW w:w="1511" w:type="pct"/>
            <w:gridSpan w:val="4"/>
            <w:tcBorders>
              <w:top w:val="nil"/>
              <w:left w:val="nil"/>
              <w:bottom w:val="single" w:sz="4" w:space="0" w:color="auto"/>
              <w:right w:val="nil"/>
            </w:tcBorders>
            <w:shd w:val="clear" w:color="auto" w:fill="FFFFFF"/>
            <w:tcMar>
              <w:top w:w="110" w:type="dxa"/>
            </w:tcMar>
          </w:tcPr>
          <w:p w:rsidR="001C19F7" w:rsidRPr="00867291" w:rsidRDefault="001C19F7" w:rsidP="008B1CDA">
            <w:pPr>
              <w:rPr>
                <w:color w:val="000000" w:themeColor="text1"/>
                <w:sz w:val="16"/>
                <w:szCs w:val="16"/>
              </w:rPr>
            </w:pPr>
            <w:r w:rsidRPr="00867291">
              <w:rPr>
                <w:color w:val="000000" w:themeColor="text1"/>
                <w:sz w:val="16"/>
              </w:rPr>
              <w:t>En 2015 se incorporaron en WIPO GREEN unas 7 nuevas tecnologías desarrolladas por instituciones brasileñas (OOB)</w:t>
            </w:r>
          </w:p>
          <w:p w:rsidR="001C19F7" w:rsidRPr="00867291" w:rsidRDefault="001C19F7" w:rsidP="008B1CDA">
            <w:pPr>
              <w:rPr>
                <w:color w:val="000000" w:themeColor="text1"/>
                <w:sz w:val="16"/>
                <w:szCs w:val="16"/>
              </w:rPr>
            </w:pPr>
          </w:p>
          <w:p w:rsidR="001C19F7" w:rsidRPr="00867291" w:rsidRDefault="001C19F7" w:rsidP="008B1CDA">
            <w:pPr>
              <w:rPr>
                <w:color w:val="000000" w:themeColor="text1"/>
                <w:sz w:val="16"/>
                <w:szCs w:val="16"/>
              </w:rPr>
            </w:pPr>
          </w:p>
          <w:p w:rsidR="001C19F7" w:rsidRPr="00867291" w:rsidRDefault="001C19F7" w:rsidP="008B1CDA">
            <w:pPr>
              <w:rPr>
                <w:color w:val="000000" w:themeColor="text1"/>
                <w:sz w:val="16"/>
                <w:szCs w:val="16"/>
              </w:rPr>
            </w:pPr>
            <w:r w:rsidRPr="00867291">
              <w:rPr>
                <w:color w:val="000000" w:themeColor="text1"/>
                <w:sz w:val="16"/>
              </w:rPr>
              <w:t xml:space="preserve">WIPO GREEN: Otros 22 usuarios adicionales en 2014/15 (50 en conjunto);  4 asociados adicionales (Instituto </w:t>
            </w:r>
            <w:proofErr w:type="spellStart"/>
            <w:r w:rsidRPr="00867291">
              <w:rPr>
                <w:color w:val="000000" w:themeColor="text1"/>
                <w:sz w:val="16"/>
              </w:rPr>
              <w:t>Waseda</w:t>
            </w:r>
            <w:proofErr w:type="spellEnd"/>
            <w:r w:rsidRPr="00867291">
              <w:rPr>
                <w:color w:val="000000" w:themeColor="text1"/>
                <w:sz w:val="16"/>
              </w:rPr>
              <w:t xml:space="preserve">, </w:t>
            </w:r>
            <w:proofErr w:type="spellStart"/>
            <w:r w:rsidRPr="00867291">
              <w:rPr>
                <w:color w:val="000000" w:themeColor="text1"/>
                <w:sz w:val="16"/>
              </w:rPr>
              <w:t>Team</w:t>
            </w:r>
            <w:proofErr w:type="spellEnd"/>
            <w:r w:rsidRPr="00867291">
              <w:rPr>
                <w:color w:val="000000" w:themeColor="text1"/>
                <w:sz w:val="16"/>
              </w:rPr>
              <w:t xml:space="preserve"> E-</w:t>
            </w:r>
            <w:proofErr w:type="spellStart"/>
            <w:r w:rsidRPr="00867291">
              <w:rPr>
                <w:color w:val="000000" w:themeColor="text1"/>
                <w:sz w:val="16"/>
              </w:rPr>
              <w:t>Kansai</w:t>
            </w:r>
            <w:proofErr w:type="spellEnd"/>
            <w:r w:rsidRPr="00867291">
              <w:rPr>
                <w:color w:val="000000" w:themeColor="text1"/>
                <w:sz w:val="16"/>
              </w:rPr>
              <w:t xml:space="preserve">, APICI-JIPII y </w:t>
            </w:r>
            <w:proofErr w:type="spellStart"/>
            <w:r w:rsidRPr="00867291">
              <w:rPr>
                <w:color w:val="000000" w:themeColor="text1"/>
                <w:sz w:val="16"/>
              </w:rPr>
              <w:t>Teijin</w:t>
            </w:r>
            <w:proofErr w:type="spellEnd"/>
            <w:r w:rsidRPr="00867291">
              <w:rPr>
                <w:color w:val="000000" w:themeColor="text1"/>
                <w:sz w:val="16"/>
              </w:rPr>
              <w:t>) en 2014/15 (OOJ).</w:t>
            </w:r>
          </w:p>
          <w:p w:rsidR="001C19F7" w:rsidRPr="00867291" w:rsidRDefault="001C19F7" w:rsidP="008B1CDA">
            <w:pPr>
              <w:rPr>
                <w:color w:val="000000" w:themeColor="text1"/>
                <w:sz w:val="16"/>
                <w:szCs w:val="16"/>
              </w:rPr>
            </w:pPr>
          </w:p>
          <w:p w:rsidR="001C19F7" w:rsidRPr="00867291" w:rsidRDefault="001C19F7" w:rsidP="008B1CDA">
            <w:pPr>
              <w:rPr>
                <w:color w:val="000000" w:themeColor="text1"/>
                <w:sz w:val="16"/>
                <w:szCs w:val="16"/>
              </w:rPr>
            </w:pPr>
            <w:r w:rsidRPr="00867291">
              <w:rPr>
                <w:color w:val="000000" w:themeColor="text1"/>
                <w:sz w:val="16"/>
              </w:rPr>
              <w:t xml:space="preserve">WIPO Re: </w:t>
            </w:r>
            <w:proofErr w:type="spellStart"/>
            <w:r w:rsidRPr="00867291">
              <w:rPr>
                <w:color w:val="000000" w:themeColor="text1"/>
                <w:sz w:val="16"/>
              </w:rPr>
              <w:t>Search</w:t>
            </w:r>
            <w:proofErr w:type="spellEnd"/>
            <w:r w:rsidRPr="00867291">
              <w:rPr>
                <w:color w:val="000000" w:themeColor="text1"/>
                <w:sz w:val="16"/>
              </w:rPr>
              <w:t>:  4 empresas incorporaron tecnologías con ayuda de la OOJ;  1 nuevo asociado (</w:t>
            </w:r>
            <w:proofErr w:type="spellStart"/>
            <w:r w:rsidRPr="00867291">
              <w:rPr>
                <w:color w:val="000000" w:themeColor="text1"/>
                <w:sz w:val="16"/>
              </w:rPr>
              <w:t>Takeda</w:t>
            </w:r>
            <w:proofErr w:type="spellEnd"/>
            <w:r w:rsidRPr="00867291">
              <w:rPr>
                <w:color w:val="000000" w:themeColor="text1"/>
                <w:sz w:val="16"/>
              </w:rPr>
              <w:t xml:space="preserve"> </w:t>
            </w:r>
            <w:proofErr w:type="spellStart"/>
            <w:r w:rsidRPr="00867291">
              <w:rPr>
                <w:color w:val="000000" w:themeColor="text1"/>
                <w:sz w:val="16"/>
              </w:rPr>
              <w:t>Pharmaceutical</w:t>
            </w:r>
            <w:proofErr w:type="spellEnd"/>
            <w:r w:rsidRPr="00867291">
              <w:rPr>
                <w:color w:val="000000" w:themeColor="text1"/>
                <w:sz w:val="16"/>
              </w:rPr>
              <w:t xml:space="preserve"> Company)</w:t>
            </w:r>
          </w:p>
          <w:p w:rsidR="001C19F7" w:rsidRPr="00867291" w:rsidRDefault="001C19F7" w:rsidP="008B1CDA">
            <w:pPr>
              <w:rPr>
                <w:color w:val="000000" w:themeColor="text1"/>
                <w:sz w:val="16"/>
                <w:szCs w:val="16"/>
              </w:rPr>
            </w:pPr>
            <w:r w:rsidRPr="00867291">
              <w:rPr>
                <w:color w:val="000000" w:themeColor="text1"/>
                <w:sz w:val="16"/>
              </w:rPr>
              <w:t>(OOJ)</w:t>
            </w:r>
          </w:p>
          <w:p w:rsidR="001C19F7" w:rsidRPr="00867291" w:rsidRDefault="001C19F7" w:rsidP="008B1CDA">
            <w:pPr>
              <w:rPr>
                <w:color w:val="000000" w:themeColor="text1"/>
                <w:sz w:val="16"/>
                <w:szCs w:val="16"/>
              </w:rPr>
            </w:pPr>
          </w:p>
          <w:p w:rsidR="001C19F7" w:rsidRPr="00867291" w:rsidRDefault="001C19F7" w:rsidP="008B1CDA">
            <w:pPr>
              <w:rPr>
                <w:color w:val="000000" w:themeColor="text1"/>
                <w:sz w:val="16"/>
                <w:szCs w:val="16"/>
              </w:rPr>
            </w:pPr>
            <w:r w:rsidRPr="00867291">
              <w:rPr>
                <w:color w:val="000000" w:themeColor="text1"/>
                <w:sz w:val="16"/>
              </w:rPr>
              <w:t>WIPO GREEN:  21 usuarios en 2014/15 (OOS)</w:t>
            </w:r>
          </w:p>
          <w:p w:rsidR="001C19F7" w:rsidRPr="00867291" w:rsidRDefault="001C19F7" w:rsidP="008B1CDA">
            <w:pPr>
              <w:rPr>
                <w:color w:val="000000" w:themeColor="text1"/>
                <w:sz w:val="16"/>
                <w:szCs w:val="16"/>
              </w:rPr>
            </w:pPr>
          </w:p>
          <w:p w:rsidR="001C19F7" w:rsidRPr="00867291" w:rsidRDefault="001C19F7" w:rsidP="008B1CDA">
            <w:pPr>
              <w:rPr>
                <w:color w:val="000000" w:themeColor="text1"/>
                <w:sz w:val="16"/>
                <w:szCs w:val="16"/>
              </w:rPr>
            </w:pPr>
            <w:r w:rsidRPr="00867291">
              <w:rPr>
                <w:color w:val="000000" w:themeColor="text1"/>
                <w:sz w:val="16"/>
              </w:rPr>
              <w:t xml:space="preserve">WIPO </w:t>
            </w:r>
            <w:proofErr w:type="spellStart"/>
            <w:r w:rsidRPr="00867291">
              <w:rPr>
                <w:color w:val="000000" w:themeColor="text1"/>
                <w:sz w:val="16"/>
              </w:rPr>
              <w:t>Re:Search</w:t>
            </w:r>
            <w:proofErr w:type="spellEnd"/>
            <w:r w:rsidRPr="00867291">
              <w:rPr>
                <w:color w:val="000000" w:themeColor="text1"/>
                <w:sz w:val="16"/>
              </w:rPr>
              <w:t>:</w:t>
            </w:r>
          </w:p>
          <w:p w:rsidR="001C19F7" w:rsidRPr="001C19F7" w:rsidRDefault="001C19F7" w:rsidP="001C19F7">
            <w:pPr>
              <w:pStyle w:val="ListParagraph"/>
              <w:numPr>
                <w:ilvl w:val="0"/>
                <w:numId w:val="96"/>
              </w:numPr>
              <w:rPr>
                <w:rFonts w:eastAsia="SimSun" w:cs="Arial"/>
                <w:color w:val="000000" w:themeColor="text1"/>
                <w:sz w:val="16"/>
                <w:szCs w:val="16"/>
                <w:lang w:val="es-ES"/>
              </w:rPr>
            </w:pPr>
            <w:r w:rsidRPr="001C19F7">
              <w:rPr>
                <w:color w:val="000000" w:themeColor="text1"/>
                <w:sz w:val="16"/>
                <w:lang w:val="es-ES"/>
              </w:rPr>
              <w:t xml:space="preserve">959 visitantes de la ASEAN a WIPO </w:t>
            </w:r>
            <w:proofErr w:type="spellStart"/>
            <w:r w:rsidRPr="001C19F7">
              <w:rPr>
                <w:color w:val="000000" w:themeColor="text1"/>
                <w:sz w:val="16"/>
                <w:lang w:val="es-ES"/>
              </w:rPr>
              <w:t>Re:Search</w:t>
            </w:r>
            <w:proofErr w:type="spellEnd"/>
            <w:r w:rsidRPr="001C19F7">
              <w:rPr>
                <w:color w:val="000000" w:themeColor="text1"/>
                <w:sz w:val="16"/>
                <w:lang w:val="es-ES"/>
              </w:rPr>
              <w:t xml:space="preserve"> en 2014 (13% de aumento) </w:t>
            </w:r>
          </w:p>
          <w:p w:rsidR="001C19F7" w:rsidRPr="001C19F7" w:rsidRDefault="001C19F7" w:rsidP="001C19F7">
            <w:pPr>
              <w:pStyle w:val="ListParagraph"/>
              <w:numPr>
                <w:ilvl w:val="0"/>
                <w:numId w:val="96"/>
              </w:numPr>
              <w:rPr>
                <w:rFonts w:eastAsia="SimSun" w:cs="Arial"/>
                <w:color w:val="000000" w:themeColor="text1"/>
                <w:sz w:val="16"/>
                <w:szCs w:val="16"/>
                <w:lang w:val="es-ES"/>
              </w:rPr>
            </w:pPr>
            <w:r w:rsidRPr="001C19F7">
              <w:rPr>
                <w:color w:val="000000" w:themeColor="text1"/>
                <w:sz w:val="16"/>
                <w:lang w:val="es-ES"/>
              </w:rPr>
              <w:t xml:space="preserve">417 visitantes de ASEAN en 2015 (disminución </w:t>
            </w:r>
            <w:r w:rsidRPr="001C19F7">
              <w:rPr>
                <w:color w:val="000000" w:themeColor="text1"/>
                <w:lang w:val="es-ES"/>
              </w:rPr>
              <w:noBreakHyphen/>
            </w:r>
            <w:r w:rsidRPr="001C19F7">
              <w:rPr>
                <w:color w:val="000000" w:themeColor="text1"/>
                <w:sz w:val="16"/>
                <w:lang w:val="es-ES"/>
              </w:rPr>
              <w:t>57%)</w:t>
            </w:r>
          </w:p>
          <w:p w:rsidR="001C19F7" w:rsidRPr="00867291" w:rsidRDefault="001C19F7" w:rsidP="008B1CDA">
            <w:pPr>
              <w:rPr>
                <w:color w:val="000000" w:themeColor="text1"/>
                <w:sz w:val="16"/>
                <w:szCs w:val="16"/>
              </w:rPr>
            </w:pPr>
            <w:r w:rsidRPr="00867291">
              <w:rPr>
                <w:color w:val="000000" w:themeColor="text1"/>
                <w:sz w:val="16"/>
              </w:rPr>
              <w:t>Además, 1 nuevo socio que proviene de Filipinas (</w:t>
            </w:r>
            <w:proofErr w:type="spellStart"/>
            <w:r w:rsidRPr="00BF2A21">
              <w:rPr>
                <w:i/>
                <w:color w:val="000000" w:themeColor="text1"/>
                <w:sz w:val="16"/>
              </w:rPr>
              <w:t>Research</w:t>
            </w:r>
            <w:proofErr w:type="spellEnd"/>
            <w:r w:rsidRPr="00BF2A21">
              <w:rPr>
                <w:i/>
                <w:color w:val="000000" w:themeColor="text1"/>
                <w:sz w:val="16"/>
              </w:rPr>
              <w:t xml:space="preserve"> </w:t>
            </w:r>
            <w:proofErr w:type="spellStart"/>
            <w:r w:rsidRPr="00BF2A21">
              <w:rPr>
                <w:i/>
                <w:color w:val="000000" w:themeColor="text1"/>
                <w:sz w:val="16"/>
              </w:rPr>
              <w:t>Institute</w:t>
            </w:r>
            <w:proofErr w:type="spellEnd"/>
            <w:r w:rsidRPr="00BF2A21">
              <w:rPr>
                <w:i/>
                <w:color w:val="000000" w:themeColor="text1"/>
                <w:sz w:val="16"/>
              </w:rPr>
              <w:t xml:space="preserve"> of Tropical Medicine</w:t>
            </w:r>
            <w:r w:rsidRPr="00867291">
              <w:rPr>
                <w:color w:val="000000" w:themeColor="text1"/>
                <w:sz w:val="16"/>
              </w:rPr>
              <w:t>)</w:t>
            </w:r>
          </w:p>
          <w:p w:rsidR="001C19F7" w:rsidRPr="00867291" w:rsidRDefault="001C19F7" w:rsidP="008B1CDA">
            <w:pPr>
              <w:rPr>
                <w:color w:val="000000" w:themeColor="text1"/>
                <w:sz w:val="16"/>
                <w:szCs w:val="16"/>
              </w:rPr>
            </w:pPr>
            <w:r w:rsidRPr="00867291">
              <w:rPr>
                <w:color w:val="000000" w:themeColor="text1"/>
                <w:sz w:val="16"/>
              </w:rPr>
              <w:t xml:space="preserve">(OOS) </w:t>
            </w:r>
          </w:p>
        </w:tc>
        <w:tc>
          <w:tcPr>
            <w:tcW w:w="641" w:type="pct"/>
            <w:gridSpan w:val="3"/>
            <w:tcBorders>
              <w:top w:val="nil"/>
              <w:left w:val="nil"/>
              <w:bottom w:val="single" w:sz="4" w:space="0" w:color="auto"/>
              <w:right w:val="single" w:sz="4" w:space="0" w:color="auto"/>
            </w:tcBorders>
            <w:shd w:val="clear" w:color="auto" w:fill="auto"/>
            <w:tcMar>
              <w:top w:w="110" w:type="dxa"/>
            </w:tcMar>
          </w:tcPr>
          <w:p w:rsidR="001C19F7" w:rsidRPr="00867291" w:rsidRDefault="001C19F7" w:rsidP="008B1CDA">
            <w:pPr>
              <w:keepNext/>
              <w:keepLines/>
              <w:ind w:right="20"/>
              <w:jc w:val="center"/>
              <w:rPr>
                <w:b/>
                <w:bCs/>
                <w:color w:val="000000" w:themeColor="text1"/>
                <w:sz w:val="16"/>
                <w:szCs w:val="16"/>
              </w:rPr>
            </w:pPr>
            <w:r w:rsidRPr="00EF75DA">
              <w:rPr>
                <w:b/>
                <w:color w:val="FF0000"/>
                <w:sz w:val="16"/>
                <w:szCs w:val="16"/>
              </w:rPr>
              <w:t>No</w:t>
            </w:r>
            <w:r w:rsidRPr="00867291">
              <w:rPr>
                <w:b/>
                <w:color w:val="000000" w:themeColor="text1"/>
                <w:sz w:val="16"/>
              </w:rPr>
              <w:t xml:space="preserve"> </w:t>
            </w:r>
            <w:r w:rsidRPr="00EF75DA">
              <w:rPr>
                <w:b/>
                <w:color w:val="FF0000"/>
                <w:sz w:val="16"/>
                <w:szCs w:val="16"/>
              </w:rPr>
              <w:t>logrado</w:t>
            </w:r>
          </w:p>
          <w:p w:rsidR="001C19F7" w:rsidRPr="00867291" w:rsidRDefault="001C19F7" w:rsidP="008B1CDA">
            <w:pPr>
              <w:keepNext/>
              <w:keepLines/>
              <w:ind w:right="20"/>
              <w:rPr>
                <w:b/>
                <w:bCs/>
                <w:color w:val="000000" w:themeColor="text1"/>
                <w:sz w:val="16"/>
                <w:szCs w:val="16"/>
              </w:rPr>
            </w:pPr>
          </w:p>
          <w:p w:rsidR="001C19F7" w:rsidRPr="00867291" w:rsidRDefault="001C19F7" w:rsidP="008B1CDA">
            <w:pPr>
              <w:keepNext/>
              <w:keepLines/>
              <w:ind w:right="20"/>
              <w:jc w:val="center"/>
              <w:rPr>
                <w:b/>
                <w:bCs/>
                <w:color w:val="000000" w:themeColor="text1"/>
                <w:sz w:val="16"/>
                <w:szCs w:val="16"/>
              </w:rPr>
            </w:pPr>
          </w:p>
          <w:p w:rsidR="001C19F7" w:rsidRPr="00867291" w:rsidRDefault="001C19F7" w:rsidP="008B1CDA">
            <w:pPr>
              <w:keepNext/>
              <w:keepLines/>
              <w:ind w:right="20"/>
              <w:jc w:val="center"/>
              <w:rPr>
                <w:b/>
                <w:bCs/>
                <w:color w:val="000000" w:themeColor="text1"/>
                <w:sz w:val="16"/>
                <w:szCs w:val="16"/>
              </w:rPr>
            </w:pPr>
          </w:p>
          <w:p w:rsidR="001C19F7" w:rsidRPr="00867291" w:rsidRDefault="001C19F7" w:rsidP="008B1CDA">
            <w:pPr>
              <w:keepNext/>
              <w:keepLines/>
              <w:ind w:right="20"/>
              <w:jc w:val="center"/>
              <w:rPr>
                <w:b/>
                <w:bCs/>
                <w:color w:val="000000" w:themeColor="text1"/>
                <w:sz w:val="16"/>
                <w:szCs w:val="16"/>
              </w:rPr>
            </w:pPr>
          </w:p>
          <w:p w:rsidR="001C19F7" w:rsidRPr="00867291" w:rsidRDefault="00044DA1" w:rsidP="008B1CDA">
            <w:pPr>
              <w:keepNext/>
              <w:keepLines/>
              <w:ind w:right="20"/>
              <w:jc w:val="center"/>
              <w:rPr>
                <w:b/>
                <w:bCs/>
                <w:color w:val="000000" w:themeColor="text1"/>
                <w:sz w:val="16"/>
                <w:szCs w:val="16"/>
              </w:rPr>
            </w:pPr>
            <w:r>
              <w:rPr>
                <w:b/>
                <w:bCs/>
                <w:color w:val="00B050"/>
                <w:sz w:val="16"/>
                <w:szCs w:val="16"/>
              </w:rPr>
              <w:t>Plenamente logrado</w:t>
            </w:r>
          </w:p>
          <w:p w:rsidR="001C19F7" w:rsidRPr="00867291" w:rsidRDefault="001C19F7" w:rsidP="008B1CDA">
            <w:pPr>
              <w:keepNext/>
              <w:keepLines/>
              <w:ind w:right="20"/>
              <w:jc w:val="center"/>
              <w:rPr>
                <w:b/>
                <w:bCs/>
                <w:color w:val="000000" w:themeColor="text1"/>
                <w:sz w:val="16"/>
                <w:szCs w:val="16"/>
              </w:rPr>
            </w:pPr>
          </w:p>
          <w:p w:rsidR="001C19F7" w:rsidRPr="00867291" w:rsidRDefault="001C19F7" w:rsidP="008B1CDA">
            <w:pPr>
              <w:keepNext/>
              <w:keepLines/>
              <w:ind w:right="20"/>
              <w:rPr>
                <w:b/>
                <w:bCs/>
                <w:color w:val="000000" w:themeColor="text1"/>
                <w:sz w:val="16"/>
                <w:szCs w:val="16"/>
              </w:rPr>
            </w:pPr>
          </w:p>
          <w:p w:rsidR="001C19F7" w:rsidRPr="00867291" w:rsidRDefault="001C19F7" w:rsidP="008B1CDA">
            <w:pPr>
              <w:keepNext/>
              <w:keepLines/>
              <w:ind w:right="20"/>
              <w:jc w:val="center"/>
              <w:rPr>
                <w:b/>
                <w:bCs/>
                <w:color w:val="000000" w:themeColor="text1"/>
                <w:sz w:val="16"/>
                <w:szCs w:val="16"/>
              </w:rPr>
            </w:pPr>
          </w:p>
          <w:p w:rsidR="001C19F7" w:rsidRPr="00867291" w:rsidRDefault="001C19F7" w:rsidP="008B1CDA">
            <w:pPr>
              <w:keepNext/>
              <w:keepLines/>
              <w:ind w:right="20"/>
              <w:jc w:val="center"/>
              <w:rPr>
                <w:b/>
                <w:bCs/>
                <w:color w:val="000000" w:themeColor="text1"/>
                <w:sz w:val="16"/>
                <w:szCs w:val="16"/>
              </w:rPr>
            </w:pPr>
          </w:p>
          <w:p w:rsidR="001C19F7" w:rsidRPr="00EF75DA" w:rsidRDefault="00044DA1" w:rsidP="008B1CDA">
            <w:pPr>
              <w:keepNext/>
              <w:keepLines/>
              <w:ind w:right="20"/>
              <w:jc w:val="center"/>
              <w:rPr>
                <w:b/>
                <w:bCs/>
                <w:color w:val="00B050"/>
                <w:sz w:val="16"/>
                <w:szCs w:val="16"/>
              </w:rPr>
            </w:pPr>
            <w:r>
              <w:rPr>
                <w:b/>
                <w:bCs/>
                <w:color w:val="00B050"/>
                <w:sz w:val="16"/>
                <w:szCs w:val="16"/>
              </w:rPr>
              <w:t>Plenamente logrado</w:t>
            </w:r>
          </w:p>
          <w:p w:rsidR="001C19F7" w:rsidRPr="00867291" w:rsidRDefault="001C19F7" w:rsidP="008B1CDA">
            <w:pPr>
              <w:keepNext/>
              <w:keepLines/>
              <w:ind w:right="20"/>
              <w:rPr>
                <w:b/>
                <w:bCs/>
                <w:color w:val="000000" w:themeColor="text1"/>
                <w:sz w:val="14"/>
                <w:szCs w:val="14"/>
              </w:rPr>
            </w:pPr>
          </w:p>
          <w:p w:rsidR="001C19F7" w:rsidRPr="00867291" w:rsidRDefault="001C19F7" w:rsidP="008B1CDA">
            <w:pPr>
              <w:keepNext/>
              <w:keepLines/>
              <w:ind w:right="20"/>
              <w:jc w:val="center"/>
              <w:rPr>
                <w:b/>
                <w:bCs/>
                <w:color w:val="000000" w:themeColor="text1"/>
                <w:sz w:val="14"/>
                <w:szCs w:val="14"/>
              </w:rPr>
            </w:pPr>
          </w:p>
          <w:p w:rsidR="001C19F7" w:rsidRPr="00867291" w:rsidRDefault="001C19F7" w:rsidP="008B1CDA">
            <w:pPr>
              <w:keepNext/>
              <w:keepLines/>
              <w:ind w:right="20"/>
              <w:jc w:val="center"/>
              <w:rPr>
                <w:b/>
                <w:bCs/>
                <w:color w:val="000000" w:themeColor="text1"/>
                <w:sz w:val="14"/>
                <w:szCs w:val="14"/>
              </w:rPr>
            </w:pPr>
          </w:p>
          <w:p w:rsidR="001C19F7" w:rsidRPr="00867291" w:rsidRDefault="001C19F7" w:rsidP="008B1CDA">
            <w:pPr>
              <w:keepNext/>
              <w:keepLines/>
              <w:ind w:right="20"/>
              <w:jc w:val="center"/>
              <w:rPr>
                <w:b/>
                <w:bCs/>
                <w:color w:val="000000" w:themeColor="text1"/>
                <w:sz w:val="14"/>
                <w:szCs w:val="14"/>
              </w:rPr>
            </w:pPr>
          </w:p>
          <w:p w:rsidR="001C19F7" w:rsidRPr="00044DA1" w:rsidRDefault="001C19F7" w:rsidP="00044DA1">
            <w:pPr>
              <w:keepNext/>
              <w:keepLines/>
              <w:ind w:left="-117" w:right="-45" w:firstLine="19"/>
              <w:jc w:val="center"/>
              <w:rPr>
                <w:b/>
                <w:bCs/>
                <w:color w:val="808080"/>
                <w:sz w:val="14"/>
                <w:szCs w:val="14"/>
              </w:rPr>
            </w:pPr>
            <w:r w:rsidRPr="00044DA1">
              <w:rPr>
                <w:b/>
                <w:bCs/>
                <w:color w:val="808080"/>
                <w:sz w:val="14"/>
                <w:szCs w:val="14"/>
              </w:rPr>
              <w:t>No mensurable</w:t>
            </w:r>
          </w:p>
          <w:p w:rsidR="001C19F7" w:rsidRPr="00867291" w:rsidRDefault="001C19F7" w:rsidP="008B1CDA">
            <w:pPr>
              <w:keepNext/>
              <w:keepLines/>
              <w:ind w:right="20"/>
              <w:rPr>
                <w:b/>
                <w:bCs/>
                <w:color w:val="000000" w:themeColor="text1"/>
                <w:sz w:val="16"/>
                <w:szCs w:val="16"/>
              </w:rPr>
            </w:pPr>
          </w:p>
          <w:p w:rsidR="001C19F7" w:rsidRPr="00044DA1" w:rsidRDefault="001C19F7" w:rsidP="008B1CDA">
            <w:pPr>
              <w:keepNext/>
              <w:keepLines/>
              <w:ind w:right="20"/>
              <w:jc w:val="center"/>
              <w:rPr>
                <w:b/>
                <w:color w:val="FF0000"/>
                <w:sz w:val="16"/>
                <w:szCs w:val="16"/>
              </w:rPr>
            </w:pPr>
            <w:r w:rsidRPr="00044DA1">
              <w:rPr>
                <w:b/>
                <w:color w:val="FF0000"/>
                <w:sz w:val="16"/>
                <w:szCs w:val="16"/>
              </w:rPr>
              <w:t>No logrado</w:t>
            </w:r>
          </w:p>
          <w:p w:rsidR="001C19F7" w:rsidRPr="00867291" w:rsidRDefault="001C19F7" w:rsidP="008B1CDA">
            <w:pPr>
              <w:keepNext/>
              <w:keepLines/>
              <w:ind w:left="71" w:right="20"/>
              <w:jc w:val="center"/>
              <w:rPr>
                <w:b/>
                <w:bCs/>
                <w:color w:val="000000" w:themeColor="text1"/>
                <w:sz w:val="16"/>
                <w:szCs w:val="16"/>
              </w:rPr>
            </w:pPr>
          </w:p>
        </w:tc>
      </w:tr>
      <w:tr w:rsidR="001C19F7" w:rsidRPr="00867291" w:rsidTr="008B1CDA">
        <w:tc>
          <w:tcPr>
            <w:tcW w:w="5000" w:type="pct"/>
            <w:gridSpan w:val="15"/>
            <w:tcBorders>
              <w:top w:val="single" w:sz="4" w:space="0" w:color="auto"/>
              <w:bottom w:val="single" w:sz="4" w:space="0" w:color="auto"/>
            </w:tcBorders>
            <w:shd w:val="clear" w:color="auto" w:fill="C6D9F1" w:themeFill="text2" w:themeFillTint="33"/>
          </w:tcPr>
          <w:p w:rsidR="001C19F7" w:rsidRPr="00867291" w:rsidRDefault="001C19F7" w:rsidP="008B1CDA">
            <w:pPr>
              <w:keepNext/>
              <w:keepLines/>
              <w:spacing w:before="120" w:after="120"/>
              <w:ind w:left="1985" w:hanging="1985"/>
              <w:rPr>
                <w:b/>
                <w:bCs/>
                <w:color w:val="000000" w:themeColor="text1"/>
                <w:sz w:val="16"/>
                <w:szCs w:val="16"/>
              </w:rPr>
            </w:pPr>
            <w:r w:rsidRPr="00867291">
              <w:rPr>
                <w:b/>
                <w:color w:val="000000" w:themeColor="text1"/>
                <w:sz w:val="16"/>
              </w:rPr>
              <w:t>Resultado previsto:</w:t>
            </w:r>
            <w:r w:rsidRPr="00867291">
              <w:rPr>
                <w:color w:val="000000" w:themeColor="text1"/>
              </w:rPr>
              <w:tab/>
            </w:r>
            <w:r w:rsidRPr="00867291">
              <w:rPr>
                <w:color w:val="000000" w:themeColor="text1"/>
                <w:sz w:val="16"/>
              </w:rPr>
              <w:t>VIII.1 Comunicación más eficaz con el público en general acerca de la P.I. y la función de la OMPI</w:t>
            </w:r>
          </w:p>
        </w:tc>
      </w:tr>
      <w:tr w:rsidR="001C19F7" w:rsidRPr="00867291" w:rsidTr="009B427C">
        <w:tc>
          <w:tcPr>
            <w:tcW w:w="1103" w:type="pct"/>
            <w:tcBorders>
              <w:top w:val="single" w:sz="4" w:space="0" w:color="auto"/>
              <w:left w:val="single" w:sz="4" w:space="0" w:color="auto"/>
              <w:bottom w:val="nil"/>
              <w:right w:val="nil"/>
            </w:tcBorders>
            <w:shd w:val="clear" w:color="auto" w:fill="auto"/>
          </w:tcPr>
          <w:p w:rsidR="001C19F7" w:rsidRPr="00867291" w:rsidRDefault="001C19F7" w:rsidP="008B1CDA">
            <w:pPr>
              <w:rPr>
                <w:color w:val="000000" w:themeColor="text1"/>
                <w:sz w:val="16"/>
                <w:szCs w:val="16"/>
              </w:rPr>
            </w:pPr>
            <w:r w:rsidRPr="00867291">
              <w:rPr>
                <w:b/>
                <w:color w:val="000000" w:themeColor="text1"/>
                <w:sz w:val="16"/>
              </w:rPr>
              <w:t>Indicadores de rendimiento</w:t>
            </w:r>
          </w:p>
        </w:tc>
        <w:tc>
          <w:tcPr>
            <w:tcW w:w="902" w:type="pct"/>
            <w:gridSpan w:val="2"/>
            <w:tcBorders>
              <w:top w:val="single" w:sz="4" w:space="0" w:color="auto"/>
              <w:left w:val="nil"/>
              <w:bottom w:val="nil"/>
              <w:right w:val="nil"/>
            </w:tcBorders>
            <w:shd w:val="clear" w:color="auto" w:fill="auto"/>
          </w:tcPr>
          <w:p w:rsidR="001C19F7" w:rsidRPr="00867291" w:rsidRDefault="001C19F7" w:rsidP="008B1CDA">
            <w:pPr>
              <w:rPr>
                <w:i/>
                <w:color w:val="000000" w:themeColor="text1"/>
                <w:sz w:val="16"/>
                <w:szCs w:val="16"/>
              </w:rPr>
            </w:pPr>
            <w:r w:rsidRPr="00867291">
              <w:rPr>
                <w:b/>
                <w:color w:val="000000" w:themeColor="text1"/>
                <w:sz w:val="16"/>
              </w:rPr>
              <w:t>Referencia</w:t>
            </w:r>
          </w:p>
        </w:tc>
        <w:tc>
          <w:tcPr>
            <w:tcW w:w="843" w:type="pct"/>
            <w:gridSpan w:val="5"/>
            <w:tcBorders>
              <w:top w:val="single" w:sz="4" w:space="0" w:color="auto"/>
              <w:left w:val="nil"/>
              <w:bottom w:val="nil"/>
              <w:right w:val="nil"/>
            </w:tcBorders>
            <w:shd w:val="clear" w:color="auto" w:fill="auto"/>
            <w:tcMar>
              <w:top w:w="110" w:type="dxa"/>
            </w:tcMar>
          </w:tcPr>
          <w:p w:rsidR="001C19F7" w:rsidRPr="00867291" w:rsidRDefault="001C19F7" w:rsidP="008B1CDA">
            <w:pPr>
              <w:ind w:left="-87"/>
              <w:rPr>
                <w:color w:val="000000" w:themeColor="text1"/>
                <w:sz w:val="16"/>
                <w:szCs w:val="16"/>
              </w:rPr>
            </w:pPr>
            <w:r w:rsidRPr="00867291">
              <w:rPr>
                <w:b/>
                <w:color w:val="000000" w:themeColor="text1"/>
                <w:sz w:val="16"/>
              </w:rPr>
              <w:t>Objetivos</w:t>
            </w:r>
          </w:p>
        </w:tc>
        <w:tc>
          <w:tcPr>
            <w:tcW w:w="1511" w:type="pct"/>
            <w:gridSpan w:val="4"/>
            <w:tcBorders>
              <w:top w:val="single" w:sz="4" w:space="0" w:color="auto"/>
              <w:left w:val="nil"/>
              <w:bottom w:val="nil"/>
              <w:right w:val="nil"/>
            </w:tcBorders>
            <w:shd w:val="clear" w:color="auto" w:fill="FFFFFF"/>
            <w:tcMar>
              <w:top w:w="110" w:type="dxa"/>
            </w:tcMar>
          </w:tcPr>
          <w:p w:rsidR="001C19F7" w:rsidRPr="00867291" w:rsidRDefault="001C19F7" w:rsidP="008B1CDA">
            <w:pPr>
              <w:rPr>
                <w:color w:val="000000" w:themeColor="text1"/>
                <w:sz w:val="16"/>
                <w:szCs w:val="16"/>
              </w:rPr>
            </w:pPr>
            <w:r w:rsidRPr="00867291">
              <w:rPr>
                <w:b/>
                <w:color w:val="000000" w:themeColor="text1"/>
                <w:sz w:val="16"/>
              </w:rPr>
              <w:t>Datos sobre el rendimiento</w:t>
            </w:r>
          </w:p>
        </w:tc>
        <w:tc>
          <w:tcPr>
            <w:tcW w:w="641" w:type="pct"/>
            <w:gridSpan w:val="3"/>
            <w:tcBorders>
              <w:top w:val="single" w:sz="4" w:space="0" w:color="auto"/>
              <w:left w:val="nil"/>
              <w:bottom w:val="nil"/>
              <w:right w:val="single" w:sz="4" w:space="0" w:color="auto"/>
            </w:tcBorders>
            <w:shd w:val="clear" w:color="auto" w:fill="auto"/>
            <w:tcMar>
              <w:top w:w="110" w:type="dxa"/>
            </w:tcMar>
          </w:tcPr>
          <w:p w:rsidR="001C19F7" w:rsidRPr="00867291" w:rsidRDefault="001C19F7" w:rsidP="008B1CDA">
            <w:pPr>
              <w:keepNext/>
              <w:keepLines/>
              <w:ind w:left="71" w:right="20"/>
              <w:jc w:val="center"/>
              <w:rPr>
                <w:b/>
                <w:bCs/>
                <w:color w:val="000000" w:themeColor="text1"/>
                <w:sz w:val="16"/>
                <w:szCs w:val="16"/>
              </w:rPr>
            </w:pPr>
            <w:r w:rsidRPr="00867291">
              <w:rPr>
                <w:b/>
                <w:color w:val="000000" w:themeColor="text1"/>
                <w:sz w:val="16"/>
              </w:rPr>
              <w:t>Clave de colores</w:t>
            </w:r>
          </w:p>
        </w:tc>
      </w:tr>
      <w:tr w:rsidR="001C19F7" w:rsidRPr="00867291" w:rsidTr="009B427C">
        <w:tc>
          <w:tcPr>
            <w:tcW w:w="1103" w:type="pct"/>
            <w:tcBorders>
              <w:top w:val="nil"/>
              <w:left w:val="single" w:sz="4" w:space="0" w:color="auto"/>
              <w:bottom w:val="single" w:sz="4" w:space="0" w:color="auto"/>
              <w:right w:val="nil"/>
            </w:tcBorders>
            <w:shd w:val="clear" w:color="auto" w:fill="auto"/>
          </w:tcPr>
          <w:p w:rsidR="001C19F7" w:rsidRPr="00867291" w:rsidRDefault="001C19F7" w:rsidP="008B1CDA">
            <w:pPr>
              <w:rPr>
                <w:color w:val="000000" w:themeColor="text1"/>
                <w:sz w:val="16"/>
                <w:szCs w:val="16"/>
              </w:rPr>
            </w:pPr>
            <w:r w:rsidRPr="00867291">
              <w:rPr>
                <w:color w:val="000000" w:themeColor="text1"/>
                <w:sz w:val="16"/>
              </w:rPr>
              <w:t>Aumento del tráfico en el sitio web de las Oficinas de la OMPI en el exterior</w:t>
            </w:r>
          </w:p>
        </w:tc>
        <w:tc>
          <w:tcPr>
            <w:tcW w:w="902" w:type="pct"/>
            <w:gridSpan w:val="2"/>
            <w:tcBorders>
              <w:top w:val="nil"/>
              <w:left w:val="nil"/>
              <w:bottom w:val="single" w:sz="4" w:space="0" w:color="auto"/>
              <w:right w:val="nil"/>
            </w:tcBorders>
            <w:shd w:val="clear" w:color="auto" w:fill="auto"/>
          </w:tcPr>
          <w:p w:rsidR="001C19F7" w:rsidRPr="00867291" w:rsidRDefault="001C19F7" w:rsidP="008B1CDA">
            <w:pPr>
              <w:rPr>
                <w:i/>
                <w:color w:val="000000" w:themeColor="text1"/>
                <w:sz w:val="16"/>
                <w:szCs w:val="16"/>
              </w:rPr>
            </w:pPr>
            <w:r w:rsidRPr="00EF75DA">
              <w:rPr>
                <w:i/>
                <w:color w:val="002060"/>
                <w:sz w:val="16"/>
                <w:szCs w:val="16"/>
                <w:lang w:eastAsia="en-US"/>
              </w:rPr>
              <w:t>Referencia actualizada a fines de 2013:</w:t>
            </w:r>
            <w:r w:rsidRPr="00867291">
              <w:rPr>
                <w:i/>
                <w:color w:val="000000" w:themeColor="text1"/>
                <w:sz w:val="16"/>
              </w:rPr>
              <w:t xml:space="preserve">  </w:t>
            </w:r>
          </w:p>
          <w:p w:rsidR="001C19F7" w:rsidRPr="00EF75DA" w:rsidRDefault="001C19F7" w:rsidP="008B1CDA">
            <w:pPr>
              <w:rPr>
                <w:color w:val="002060"/>
                <w:sz w:val="16"/>
                <w:szCs w:val="16"/>
                <w:lang w:eastAsia="en-US"/>
              </w:rPr>
            </w:pPr>
            <w:proofErr w:type="spellStart"/>
            <w:r w:rsidRPr="00EF75DA">
              <w:rPr>
                <w:color w:val="002060"/>
                <w:sz w:val="16"/>
                <w:szCs w:val="16"/>
                <w:lang w:eastAsia="en-US"/>
              </w:rPr>
              <w:t>N.d</w:t>
            </w:r>
            <w:proofErr w:type="spellEnd"/>
            <w:r w:rsidRPr="00EF75DA">
              <w:rPr>
                <w:color w:val="002060"/>
                <w:sz w:val="16"/>
                <w:szCs w:val="16"/>
                <w:lang w:eastAsia="en-US"/>
              </w:rPr>
              <w:t>. (OOB)</w:t>
            </w:r>
          </w:p>
          <w:p w:rsidR="001C19F7" w:rsidRPr="00EF75DA" w:rsidRDefault="001C19F7" w:rsidP="008B1CDA">
            <w:pPr>
              <w:rPr>
                <w:color w:val="002060"/>
                <w:sz w:val="16"/>
                <w:szCs w:val="16"/>
                <w:lang w:eastAsia="en-US"/>
              </w:rPr>
            </w:pPr>
            <w:r w:rsidRPr="00EF75DA">
              <w:rPr>
                <w:color w:val="002060"/>
                <w:sz w:val="16"/>
                <w:szCs w:val="16"/>
                <w:lang w:eastAsia="en-US"/>
              </w:rPr>
              <w:t>5.900 (OOJ)</w:t>
            </w:r>
          </w:p>
          <w:p w:rsidR="001C19F7" w:rsidRPr="00867291" w:rsidRDefault="001C19F7" w:rsidP="008B1CDA">
            <w:pPr>
              <w:rPr>
                <w:color w:val="000000" w:themeColor="text1"/>
                <w:sz w:val="16"/>
                <w:szCs w:val="16"/>
              </w:rPr>
            </w:pPr>
            <w:r w:rsidRPr="00EF75DA">
              <w:rPr>
                <w:color w:val="002060"/>
                <w:sz w:val="16"/>
                <w:szCs w:val="16"/>
                <w:lang w:eastAsia="en-US"/>
              </w:rPr>
              <w:t>9.717 páginas vistas (OOS)</w:t>
            </w:r>
          </w:p>
          <w:p w:rsidR="001C19F7" w:rsidRPr="00867291" w:rsidRDefault="001C19F7" w:rsidP="008B1CDA">
            <w:pPr>
              <w:rPr>
                <w:i/>
                <w:color w:val="000000" w:themeColor="text1"/>
                <w:sz w:val="16"/>
                <w:szCs w:val="16"/>
              </w:rPr>
            </w:pPr>
            <w:r w:rsidRPr="00867291">
              <w:rPr>
                <w:i/>
                <w:color w:val="000000" w:themeColor="text1"/>
                <w:sz w:val="16"/>
              </w:rPr>
              <w:t>Referencia original en el presupuesto de 2014/15:</w:t>
            </w:r>
          </w:p>
          <w:p w:rsidR="001C19F7" w:rsidRPr="00867291" w:rsidRDefault="001C19F7" w:rsidP="008B1CDA">
            <w:pPr>
              <w:rPr>
                <w:i/>
                <w:color w:val="000000" w:themeColor="text1"/>
                <w:sz w:val="16"/>
                <w:szCs w:val="16"/>
              </w:rPr>
            </w:pPr>
            <w:r w:rsidRPr="00867291">
              <w:rPr>
                <w:color w:val="000000" w:themeColor="text1"/>
                <w:sz w:val="16"/>
              </w:rPr>
              <w:t>Por determinar (OOB)</w:t>
            </w:r>
            <w:r w:rsidRPr="00867291">
              <w:rPr>
                <w:i/>
                <w:color w:val="000000" w:themeColor="text1"/>
                <w:sz w:val="16"/>
              </w:rPr>
              <w:t xml:space="preserve"> </w:t>
            </w:r>
          </w:p>
          <w:p w:rsidR="001C19F7" w:rsidRPr="00867291" w:rsidRDefault="001C19F7" w:rsidP="008B1CDA">
            <w:pPr>
              <w:rPr>
                <w:color w:val="000000" w:themeColor="text1"/>
                <w:sz w:val="16"/>
                <w:szCs w:val="16"/>
              </w:rPr>
            </w:pPr>
            <w:r w:rsidRPr="00867291">
              <w:rPr>
                <w:color w:val="000000" w:themeColor="text1"/>
                <w:sz w:val="16"/>
              </w:rPr>
              <w:t>Por determinar (OOJ)</w:t>
            </w:r>
          </w:p>
          <w:p w:rsidR="001C19F7" w:rsidRPr="00867291" w:rsidRDefault="001C19F7" w:rsidP="008B1CDA">
            <w:pPr>
              <w:rPr>
                <w:color w:val="000000" w:themeColor="text1"/>
                <w:sz w:val="16"/>
                <w:szCs w:val="16"/>
              </w:rPr>
            </w:pPr>
            <w:r w:rsidRPr="00867291">
              <w:rPr>
                <w:color w:val="000000" w:themeColor="text1"/>
                <w:sz w:val="16"/>
              </w:rPr>
              <w:t>Por determinar (OOS)</w:t>
            </w:r>
          </w:p>
        </w:tc>
        <w:tc>
          <w:tcPr>
            <w:tcW w:w="843" w:type="pct"/>
            <w:gridSpan w:val="5"/>
            <w:tcBorders>
              <w:top w:val="nil"/>
              <w:left w:val="nil"/>
              <w:bottom w:val="single" w:sz="4" w:space="0" w:color="auto"/>
              <w:right w:val="nil"/>
            </w:tcBorders>
            <w:shd w:val="clear" w:color="auto" w:fill="auto"/>
            <w:tcMar>
              <w:top w:w="110" w:type="dxa"/>
            </w:tcMar>
          </w:tcPr>
          <w:p w:rsidR="001C19F7" w:rsidRPr="009B427C" w:rsidRDefault="001C19F7" w:rsidP="008B1CDA">
            <w:pPr>
              <w:ind w:left="-87"/>
              <w:rPr>
                <w:color w:val="000000" w:themeColor="text1"/>
                <w:sz w:val="16"/>
                <w:szCs w:val="16"/>
              </w:rPr>
            </w:pPr>
            <w:r w:rsidRPr="009B427C">
              <w:rPr>
                <w:color w:val="000000" w:themeColor="text1"/>
                <w:sz w:val="16"/>
                <w:szCs w:val="16"/>
              </w:rPr>
              <w:t>Aumento del tráfico:</w:t>
            </w:r>
          </w:p>
          <w:p w:rsidR="001C19F7" w:rsidRPr="009B427C" w:rsidRDefault="001C19F7" w:rsidP="008B1CDA">
            <w:pPr>
              <w:ind w:left="-87" w:right="-181"/>
              <w:rPr>
                <w:color w:val="000000" w:themeColor="text1"/>
                <w:sz w:val="16"/>
                <w:szCs w:val="16"/>
              </w:rPr>
            </w:pPr>
          </w:p>
          <w:p w:rsidR="001C19F7" w:rsidRPr="00867291" w:rsidRDefault="001C19F7" w:rsidP="008B1CDA">
            <w:pPr>
              <w:ind w:left="-87" w:right="-181"/>
              <w:rPr>
                <w:color w:val="000000" w:themeColor="text1"/>
                <w:sz w:val="16"/>
                <w:szCs w:val="16"/>
              </w:rPr>
            </w:pPr>
            <w:r w:rsidRPr="00867291">
              <w:rPr>
                <w:color w:val="000000" w:themeColor="text1"/>
                <w:sz w:val="16"/>
              </w:rPr>
              <w:t>5% desde el Brasil (OOB)</w:t>
            </w:r>
          </w:p>
          <w:p w:rsidR="001C19F7" w:rsidRPr="00867291" w:rsidRDefault="001C19F7" w:rsidP="008B1CDA">
            <w:pPr>
              <w:ind w:left="-87"/>
              <w:rPr>
                <w:color w:val="000000" w:themeColor="text1"/>
                <w:sz w:val="16"/>
                <w:szCs w:val="16"/>
              </w:rPr>
            </w:pPr>
          </w:p>
          <w:p w:rsidR="001C19F7" w:rsidRPr="00867291" w:rsidRDefault="001C19F7" w:rsidP="008B1CDA">
            <w:pPr>
              <w:ind w:left="-87"/>
              <w:rPr>
                <w:color w:val="000000" w:themeColor="text1"/>
                <w:sz w:val="16"/>
                <w:szCs w:val="16"/>
              </w:rPr>
            </w:pPr>
            <w:r w:rsidRPr="00867291">
              <w:rPr>
                <w:color w:val="000000" w:themeColor="text1"/>
                <w:sz w:val="16"/>
              </w:rPr>
              <w:t>5% (OOJ)</w:t>
            </w:r>
            <w:r w:rsidRPr="00867291">
              <w:rPr>
                <w:rStyle w:val="FootnoteReference"/>
                <w:color w:val="000000" w:themeColor="text1"/>
              </w:rPr>
              <w:footnoteReference w:id="119"/>
            </w:r>
          </w:p>
          <w:p w:rsidR="001C19F7" w:rsidRPr="00867291" w:rsidRDefault="001C19F7" w:rsidP="008B1CDA">
            <w:pPr>
              <w:rPr>
                <w:color w:val="000000" w:themeColor="text1"/>
                <w:sz w:val="16"/>
                <w:szCs w:val="16"/>
              </w:rPr>
            </w:pPr>
          </w:p>
          <w:p w:rsidR="001C19F7" w:rsidRPr="00867291" w:rsidRDefault="001C19F7" w:rsidP="008B1CDA">
            <w:pPr>
              <w:ind w:left="-87"/>
              <w:rPr>
                <w:color w:val="000000" w:themeColor="text1"/>
                <w:sz w:val="16"/>
                <w:szCs w:val="16"/>
              </w:rPr>
            </w:pPr>
            <w:r w:rsidRPr="00867291">
              <w:rPr>
                <w:color w:val="000000" w:themeColor="text1"/>
                <w:sz w:val="16"/>
              </w:rPr>
              <w:t>5% de la región de la ASEAN (OOS)</w:t>
            </w:r>
          </w:p>
          <w:p w:rsidR="001C19F7" w:rsidRPr="00867291" w:rsidRDefault="001C19F7" w:rsidP="008B1CDA">
            <w:pPr>
              <w:ind w:left="-87"/>
              <w:rPr>
                <w:color w:val="000000" w:themeColor="text1"/>
                <w:sz w:val="16"/>
                <w:szCs w:val="16"/>
              </w:rPr>
            </w:pPr>
          </w:p>
        </w:tc>
        <w:tc>
          <w:tcPr>
            <w:tcW w:w="1511" w:type="pct"/>
            <w:gridSpan w:val="4"/>
            <w:tcBorders>
              <w:top w:val="nil"/>
              <w:left w:val="nil"/>
              <w:bottom w:val="single" w:sz="4" w:space="0" w:color="auto"/>
              <w:right w:val="nil"/>
            </w:tcBorders>
            <w:shd w:val="clear" w:color="auto" w:fill="FFFFFF"/>
            <w:tcMar>
              <w:top w:w="110" w:type="dxa"/>
            </w:tcMar>
          </w:tcPr>
          <w:tbl>
            <w:tblPr>
              <w:tblStyle w:val="TableGrid"/>
              <w:tblpPr w:leftFromText="180" w:rightFromText="180" w:vertAnchor="text" w:tblpY="1"/>
              <w:tblOverlap w:val="never"/>
              <w:tblW w:w="26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 w:type="dxa"/>
                <w:right w:w="14" w:type="dxa"/>
              </w:tblCellMar>
              <w:tblLook w:val="04A0" w:firstRow="1" w:lastRow="0" w:firstColumn="1" w:lastColumn="0" w:noHBand="0" w:noVBand="1"/>
            </w:tblPr>
            <w:tblGrid>
              <w:gridCol w:w="450"/>
              <w:gridCol w:w="1080"/>
              <w:gridCol w:w="1080"/>
            </w:tblGrid>
            <w:tr w:rsidR="001C19F7" w:rsidRPr="00867291" w:rsidTr="008B1CDA">
              <w:tc>
                <w:tcPr>
                  <w:tcW w:w="450" w:type="dxa"/>
                  <w:tcMar>
                    <w:top w:w="29" w:type="dxa"/>
                    <w:left w:w="0" w:type="dxa"/>
                    <w:bottom w:w="29" w:type="dxa"/>
                    <w:right w:w="0" w:type="dxa"/>
                  </w:tcMar>
                </w:tcPr>
                <w:p w:rsidR="001C19F7" w:rsidRPr="00867291" w:rsidRDefault="001C19F7" w:rsidP="008B1CDA">
                  <w:pPr>
                    <w:jc w:val="center"/>
                    <w:rPr>
                      <w:color w:val="000000" w:themeColor="text1"/>
                      <w:sz w:val="16"/>
                      <w:szCs w:val="16"/>
                    </w:rPr>
                  </w:pPr>
                </w:p>
              </w:tc>
              <w:tc>
                <w:tcPr>
                  <w:tcW w:w="1080" w:type="dxa"/>
                  <w:tcMar>
                    <w:top w:w="29" w:type="dxa"/>
                    <w:left w:w="0" w:type="dxa"/>
                    <w:bottom w:w="29" w:type="dxa"/>
                    <w:right w:w="0" w:type="dxa"/>
                  </w:tcMar>
                </w:tcPr>
                <w:p w:rsidR="001C19F7" w:rsidRPr="00867291" w:rsidRDefault="001C19F7" w:rsidP="008B1CDA">
                  <w:pPr>
                    <w:jc w:val="center"/>
                    <w:rPr>
                      <w:color w:val="000000" w:themeColor="text1"/>
                      <w:sz w:val="16"/>
                      <w:szCs w:val="16"/>
                    </w:rPr>
                  </w:pPr>
                  <w:r w:rsidRPr="00867291">
                    <w:rPr>
                      <w:color w:val="000000" w:themeColor="text1"/>
                      <w:sz w:val="16"/>
                    </w:rPr>
                    <w:t>2014</w:t>
                  </w:r>
                </w:p>
              </w:tc>
              <w:tc>
                <w:tcPr>
                  <w:tcW w:w="1080" w:type="dxa"/>
                  <w:tcMar>
                    <w:top w:w="29" w:type="dxa"/>
                    <w:left w:w="0" w:type="dxa"/>
                    <w:bottom w:w="29" w:type="dxa"/>
                    <w:right w:w="0" w:type="dxa"/>
                  </w:tcMar>
                </w:tcPr>
                <w:p w:rsidR="001C19F7" w:rsidRPr="00867291" w:rsidRDefault="001C19F7" w:rsidP="008B1CDA">
                  <w:pPr>
                    <w:jc w:val="center"/>
                    <w:rPr>
                      <w:color w:val="000000" w:themeColor="text1"/>
                      <w:sz w:val="16"/>
                      <w:szCs w:val="16"/>
                    </w:rPr>
                  </w:pPr>
                  <w:r w:rsidRPr="00867291">
                    <w:rPr>
                      <w:color w:val="000000" w:themeColor="text1"/>
                      <w:sz w:val="16"/>
                    </w:rPr>
                    <w:t>2015</w:t>
                  </w:r>
                </w:p>
              </w:tc>
            </w:tr>
            <w:tr w:rsidR="001C19F7" w:rsidRPr="00867291" w:rsidTr="008B1CDA">
              <w:trPr>
                <w:trHeight w:val="288"/>
              </w:trPr>
              <w:tc>
                <w:tcPr>
                  <w:tcW w:w="450" w:type="dxa"/>
                  <w:tcMar>
                    <w:top w:w="29" w:type="dxa"/>
                    <w:left w:w="0" w:type="dxa"/>
                    <w:bottom w:w="29" w:type="dxa"/>
                    <w:right w:w="0" w:type="dxa"/>
                  </w:tcMar>
                  <w:vAlign w:val="center"/>
                </w:tcPr>
                <w:p w:rsidR="001C19F7" w:rsidRPr="00867291" w:rsidRDefault="001C19F7" w:rsidP="008B1CDA">
                  <w:pPr>
                    <w:jc w:val="center"/>
                    <w:rPr>
                      <w:color w:val="000000" w:themeColor="text1"/>
                      <w:sz w:val="16"/>
                      <w:szCs w:val="16"/>
                    </w:rPr>
                  </w:pPr>
                  <w:r w:rsidRPr="00867291">
                    <w:rPr>
                      <w:color w:val="000000" w:themeColor="text1"/>
                      <w:sz w:val="16"/>
                    </w:rPr>
                    <w:t>OOB</w:t>
                  </w:r>
                </w:p>
              </w:tc>
              <w:tc>
                <w:tcPr>
                  <w:tcW w:w="1080" w:type="dxa"/>
                  <w:tcMar>
                    <w:top w:w="29" w:type="dxa"/>
                    <w:left w:w="0" w:type="dxa"/>
                    <w:bottom w:w="29" w:type="dxa"/>
                    <w:right w:w="0" w:type="dxa"/>
                  </w:tcMar>
                  <w:vAlign w:val="center"/>
                </w:tcPr>
                <w:p w:rsidR="001C19F7" w:rsidRPr="00867291" w:rsidRDefault="001C19F7" w:rsidP="008B1CDA">
                  <w:pPr>
                    <w:jc w:val="center"/>
                    <w:rPr>
                      <w:color w:val="000000" w:themeColor="text1"/>
                      <w:sz w:val="16"/>
                      <w:szCs w:val="16"/>
                    </w:rPr>
                  </w:pPr>
                  <w:proofErr w:type="spellStart"/>
                  <w:r w:rsidRPr="00867291">
                    <w:rPr>
                      <w:color w:val="000000" w:themeColor="text1"/>
                      <w:sz w:val="16"/>
                    </w:rPr>
                    <w:t>n.d</w:t>
                  </w:r>
                  <w:proofErr w:type="spellEnd"/>
                  <w:r w:rsidRPr="00867291">
                    <w:rPr>
                      <w:color w:val="000000" w:themeColor="text1"/>
                      <w:sz w:val="16"/>
                    </w:rPr>
                    <w:t>.</w:t>
                  </w:r>
                  <w:r w:rsidRPr="00867291">
                    <w:rPr>
                      <w:rStyle w:val="FootnoteReference"/>
                      <w:color w:val="000000" w:themeColor="text1"/>
                    </w:rPr>
                    <w:footnoteReference w:id="120"/>
                  </w:r>
                </w:p>
              </w:tc>
              <w:tc>
                <w:tcPr>
                  <w:tcW w:w="1080" w:type="dxa"/>
                  <w:tcMar>
                    <w:top w:w="29" w:type="dxa"/>
                    <w:left w:w="0" w:type="dxa"/>
                    <w:bottom w:w="29" w:type="dxa"/>
                    <w:right w:w="0" w:type="dxa"/>
                  </w:tcMar>
                  <w:vAlign w:val="center"/>
                </w:tcPr>
                <w:p w:rsidR="001C19F7" w:rsidRPr="00867291" w:rsidRDefault="001C19F7" w:rsidP="008B1CDA">
                  <w:pPr>
                    <w:jc w:val="center"/>
                    <w:rPr>
                      <w:color w:val="000000" w:themeColor="text1"/>
                      <w:sz w:val="16"/>
                      <w:szCs w:val="16"/>
                    </w:rPr>
                  </w:pPr>
                  <w:r w:rsidRPr="00867291">
                    <w:rPr>
                      <w:color w:val="000000" w:themeColor="text1"/>
                      <w:sz w:val="16"/>
                    </w:rPr>
                    <w:t>1.966</w:t>
                  </w:r>
                </w:p>
              </w:tc>
            </w:tr>
            <w:tr w:rsidR="001C19F7" w:rsidRPr="00867291" w:rsidTr="008B1CDA">
              <w:trPr>
                <w:trHeight w:val="288"/>
              </w:trPr>
              <w:tc>
                <w:tcPr>
                  <w:tcW w:w="450" w:type="dxa"/>
                  <w:tcMar>
                    <w:top w:w="29" w:type="dxa"/>
                    <w:left w:w="0" w:type="dxa"/>
                    <w:bottom w:w="29" w:type="dxa"/>
                    <w:right w:w="0" w:type="dxa"/>
                  </w:tcMar>
                  <w:vAlign w:val="center"/>
                </w:tcPr>
                <w:p w:rsidR="001C19F7" w:rsidRPr="00867291" w:rsidRDefault="001C19F7" w:rsidP="008B1CDA">
                  <w:pPr>
                    <w:jc w:val="center"/>
                    <w:rPr>
                      <w:color w:val="000000" w:themeColor="text1"/>
                      <w:sz w:val="16"/>
                      <w:szCs w:val="16"/>
                    </w:rPr>
                  </w:pPr>
                  <w:r w:rsidRPr="00867291">
                    <w:rPr>
                      <w:color w:val="000000" w:themeColor="text1"/>
                      <w:sz w:val="16"/>
                    </w:rPr>
                    <w:t>OOJ</w:t>
                  </w:r>
                </w:p>
              </w:tc>
              <w:tc>
                <w:tcPr>
                  <w:tcW w:w="1080" w:type="dxa"/>
                  <w:tcMar>
                    <w:top w:w="29" w:type="dxa"/>
                    <w:left w:w="0" w:type="dxa"/>
                    <w:bottom w:w="29" w:type="dxa"/>
                    <w:right w:w="0" w:type="dxa"/>
                  </w:tcMar>
                  <w:vAlign w:val="center"/>
                </w:tcPr>
                <w:p w:rsidR="001C19F7" w:rsidRPr="00867291" w:rsidRDefault="001C19F7" w:rsidP="008B1CDA">
                  <w:pPr>
                    <w:jc w:val="center"/>
                    <w:rPr>
                      <w:color w:val="000000" w:themeColor="text1"/>
                      <w:sz w:val="16"/>
                      <w:szCs w:val="16"/>
                    </w:rPr>
                  </w:pPr>
                  <w:r w:rsidRPr="00867291">
                    <w:rPr>
                      <w:color w:val="000000" w:themeColor="text1"/>
                      <w:sz w:val="16"/>
                    </w:rPr>
                    <w:t xml:space="preserve">+30% </w:t>
                  </w:r>
                </w:p>
                <w:p w:rsidR="001C19F7" w:rsidRPr="00867291" w:rsidRDefault="001C19F7" w:rsidP="008B1CDA">
                  <w:pPr>
                    <w:jc w:val="center"/>
                    <w:rPr>
                      <w:color w:val="000000" w:themeColor="text1"/>
                      <w:sz w:val="16"/>
                      <w:szCs w:val="16"/>
                    </w:rPr>
                  </w:pPr>
                  <w:r w:rsidRPr="00867291">
                    <w:rPr>
                      <w:color w:val="000000" w:themeColor="text1"/>
                      <w:sz w:val="16"/>
                    </w:rPr>
                    <w:t>(7.650 visitas)</w:t>
                  </w:r>
                </w:p>
              </w:tc>
              <w:tc>
                <w:tcPr>
                  <w:tcW w:w="1080" w:type="dxa"/>
                  <w:tcMar>
                    <w:top w:w="29" w:type="dxa"/>
                    <w:left w:w="0" w:type="dxa"/>
                    <w:bottom w:w="29" w:type="dxa"/>
                    <w:right w:w="0" w:type="dxa"/>
                  </w:tcMar>
                  <w:vAlign w:val="center"/>
                </w:tcPr>
                <w:p w:rsidR="001C19F7" w:rsidRPr="00867291" w:rsidRDefault="001C19F7" w:rsidP="008B1CDA">
                  <w:pPr>
                    <w:jc w:val="center"/>
                    <w:rPr>
                      <w:color w:val="000000" w:themeColor="text1"/>
                      <w:sz w:val="16"/>
                      <w:szCs w:val="16"/>
                    </w:rPr>
                  </w:pPr>
                  <w:r w:rsidRPr="00867291">
                    <w:rPr>
                      <w:color w:val="000000" w:themeColor="text1"/>
                      <w:sz w:val="16"/>
                    </w:rPr>
                    <w:t>+13%</w:t>
                  </w:r>
                  <w:r w:rsidRPr="00867291">
                    <w:rPr>
                      <w:rStyle w:val="FootnoteReference"/>
                      <w:color w:val="000000" w:themeColor="text1"/>
                    </w:rPr>
                    <w:footnoteReference w:id="121"/>
                  </w:r>
                </w:p>
                <w:p w:rsidR="001C19F7" w:rsidRPr="00867291" w:rsidRDefault="001C19F7" w:rsidP="008B1CDA">
                  <w:pPr>
                    <w:jc w:val="center"/>
                    <w:rPr>
                      <w:color w:val="000000" w:themeColor="text1"/>
                      <w:sz w:val="16"/>
                      <w:szCs w:val="16"/>
                    </w:rPr>
                  </w:pPr>
                  <w:r w:rsidRPr="00867291">
                    <w:rPr>
                      <w:color w:val="000000" w:themeColor="text1"/>
                      <w:sz w:val="16"/>
                    </w:rPr>
                    <w:t xml:space="preserve"> (7.027 visitas)</w:t>
                  </w:r>
                </w:p>
              </w:tc>
            </w:tr>
            <w:tr w:rsidR="001C19F7" w:rsidRPr="00867291" w:rsidTr="008B1CDA">
              <w:trPr>
                <w:trHeight w:val="288"/>
              </w:trPr>
              <w:tc>
                <w:tcPr>
                  <w:tcW w:w="450" w:type="dxa"/>
                  <w:tcMar>
                    <w:top w:w="29" w:type="dxa"/>
                    <w:left w:w="0" w:type="dxa"/>
                    <w:bottom w:w="29" w:type="dxa"/>
                    <w:right w:w="0" w:type="dxa"/>
                  </w:tcMar>
                  <w:vAlign w:val="center"/>
                </w:tcPr>
                <w:p w:rsidR="001C19F7" w:rsidRPr="00867291" w:rsidRDefault="001C19F7" w:rsidP="008B1CDA">
                  <w:pPr>
                    <w:jc w:val="center"/>
                    <w:rPr>
                      <w:color w:val="000000" w:themeColor="text1"/>
                      <w:sz w:val="16"/>
                      <w:szCs w:val="16"/>
                    </w:rPr>
                  </w:pPr>
                  <w:r w:rsidRPr="00867291">
                    <w:rPr>
                      <w:color w:val="000000" w:themeColor="text1"/>
                      <w:sz w:val="16"/>
                    </w:rPr>
                    <w:t>OOS</w:t>
                  </w:r>
                </w:p>
              </w:tc>
              <w:tc>
                <w:tcPr>
                  <w:tcW w:w="1080" w:type="dxa"/>
                  <w:tcMar>
                    <w:top w:w="29" w:type="dxa"/>
                    <w:left w:w="0" w:type="dxa"/>
                    <w:bottom w:w="29" w:type="dxa"/>
                    <w:right w:w="0" w:type="dxa"/>
                  </w:tcMar>
                  <w:vAlign w:val="center"/>
                </w:tcPr>
                <w:p w:rsidR="001C19F7" w:rsidRPr="00867291" w:rsidRDefault="001C19F7" w:rsidP="008B1CDA">
                  <w:pPr>
                    <w:jc w:val="center"/>
                    <w:rPr>
                      <w:color w:val="000000" w:themeColor="text1"/>
                      <w:sz w:val="16"/>
                      <w:szCs w:val="16"/>
                    </w:rPr>
                  </w:pPr>
                  <w:r w:rsidRPr="00867291">
                    <w:rPr>
                      <w:color w:val="000000" w:themeColor="text1"/>
                      <w:sz w:val="16"/>
                    </w:rPr>
                    <w:t xml:space="preserve">+2% </w:t>
                  </w:r>
                </w:p>
                <w:p w:rsidR="001C19F7" w:rsidRPr="00867291" w:rsidRDefault="001C19F7" w:rsidP="008B1CDA">
                  <w:pPr>
                    <w:jc w:val="center"/>
                    <w:rPr>
                      <w:color w:val="000000" w:themeColor="text1"/>
                      <w:sz w:val="16"/>
                      <w:szCs w:val="16"/>
                    </w:rPr>
                  </w:pPr>
                  <w:r w:rsidRPr="00867291">
                    <w:rPr>
                      <w:color w:val="000000" w:themeColor="text1"/>
                      <w:sz w:val="16"/>
                    </w:rPr>
                    <w:t>(9.882 visitas)</w:t>
                  </w:r>
                </w:p>
              </w:tc>
              <w:tc>
                <w:tcPr>
                  <w:tcW w:w="1080" w:type="dxa"/>
                  <w:tcMar>
                    <w:top w:w="29" w:type="dxa"/>
                    <w:left w:w="0" w:type="dxa"/>
                    <w:bottom w:w="29" w:type="dxa"/>
                    <w:right w:w="0" w:type="dxa"/>
                  </w:tcMar>
                  <w:vAlign w:val="center"/>
                </w:tcPr>
                <w:p w:rsidR="001C19F7" w:rsidRPr="00867291" w:rsidRDefault="001C19F7" w:rsidP="008B1CDA">
                  <w:pPr>
                    <w:jc w:val="center"/>
                    <w:rPr>
                      <w:color w:val="000000" w:themeColor="text1"/>
                      <w:sz w:val="16"/>
                      <w:szCs w:val="16"/>
                    </w:rPr>
                  </w:pPr>
                  <w:r w:rsidRPr="00867291">
                    <w:rPr>
                      <w:color w:val="000000" w:themeColor="text1"/>
                      <w:sz w:val="16"/>
                    </w:rPr>
                    <w:t>+2%</w:t>
                  </w:r>
                </w:p>
                <w:p w:rsidR="001C19F7" w:rsidRPr="00867291" w:rsidRDefault="001C19F7" w:rsidP="008B1CDA">
                  <w:pPr>
                    <w:jc w:val="center"/>
                    <w:rPr>
                      <w:color w:val="000000" w:themeColor="text1"/>
                      <w:sz w:val="16"/>
                      <w:szCs w:val="16"/>
                    </w:rPr>
                  </w:pPr>
                  <w:r w:rsidRPr="00867291">
                    <w:rPr>
                      <w:color w:val="000000" w:themeColor="text1"/>
                      <w:sz w:val="16"/>
                    </w:rPr>
                    <w:t>(10.042 visitas)</w:t>
                  </w:r>
                </w:p>
              </w:tc>
            </w:tr>
          </w:tbl>
          <w:p w:rsidR="001C19F7" w:rsidRPr="00867291" w:rsidRDefault="001C19F7" w:rsidP="008B1CDA">
            <w:pPr>
              <w:rPr>
                <w:color w:val="000000" w:themeColor="text1"/>
                <w:sz w:val="16"/>
                <w:szCs w:val="16"/>
              </w:rPr>
            </w:pPr>
          </w:p>
        </w:tc>
        <w:tc>
          <w:tcPr>
            <w:tcW w:w="641" w:type="pct"/>
            <w:gridSpan w:val="3"/>
            <w:tcBorders>
              <w:top w:val="nil"/>
              <w:left w:val="nil"/>
              <w:bottom w:val="single" w:sz="4" w:space="0" w:color="auto"/>
              <w:right w:val="single" w:sz="4" w:space="0" w:color="auto"/>
            </w:tcBorders>
            <w:shd w:val="clear" w:color="auto" w:fill="auto"/>
            <w:tcMar>
              <w:top w:w="110" w:type="dxa"/>
            </w:tcMar>
          </w:tcPr>
          <w:p w:rsidR="001C19F7" w:rsidRPr="00867291" w:rsidRDefault="001C19F7" w:rsidP="008B1CDA">
            <w:pPr>
              <w:keepNext/>
              <w:keepLines/>
              <w:ind w:right="20"/>
              <w:rPr>
                <w:b/>
                <w:bCs/>
                <w:color w:val="000000" w:themeColor="text1"/>
                <w:sz w:val="16"/>
                <w:szCs w:val="16"/>
              </w:rPr>
            </w:pPr>
          </w:p>
          <w:p w:rsidR="001C19F7" w:rsidRPr="00867291" w:rsidRDefault="001C19F7" w:rsidP="008B1CDA">
            <w:pPr>
              <w:keepNext/>
              <w:keepLines/>
              <w:ind w:right="20"/>
              <w:rPr>
                <w:b/>
                <w:bCs/>
                <w:color w:val="000000" w:themeColor="text1"/>
                <w:sz w:val="8"/>
                <w:szCs w:val="8"/>
              </w:rPr>
            </w:pPr>
          </w:p>
          <w:p w:rsidR="001C19F7" w:rsidRPr="00867291" w:rsidRDefault="001C19F7" w:rsidP="008B1CDA">
            <w:pPr>
              <w:keepNext/>
              <w:keepLines/>
              <w:ind w:left="-117" w:right="-45" w:firstLine="19"/>
              <w:jc w:val="center"/>
              <w:rPr>
                <w:b/>
                <w:bCs/>
                <w:color w:val="000000" w:themeColor="text1"/>
                <w:sz w:val="8"/>
                <w:szCs w:val="8"/>
              </w:rPr>
            </w:pPr>
            <w:r w:rsidRPr="00EF75DA">
              <w:rPr>
                <w:b/>
                <w:bCs/>
                <w:color w:val="808080"/>
                <w:sz w:val="14"/>
                <w:szCs w:val="14"/>
              </w:rPr>
              <w:t>No</w:t>
            </w:r>
            <w:r w:rsidRPr="00867291">
              <w:rPr>
                <w:b/>
                <w:color w:val="000000" w:themeColor="text1"/>
                <w:sz w:val="14"/>
              </w:rPr>
              <w:t xml:space="preserve"> </w:t>
            </w:r>
            <w:r w:rsidRPr="00EF75DA">
              <w:rPr>
                <w:b/>
                <w:bCs/>
                <w:color w:val="808080"/>
                <w:sz w:val="14"/>
                <w:szCs w:val="14"/>
              </w:rPr>
              <w:t>mensurable</w:t>
            </w:r>
          </w:p>
          <w:p w:rsidR="001C19F7" w:rsidRPr="00867291" w:rsidRDefault="001C19F7" w:rsidP="008B1CDA">
            <w:pPr>
              <w:keepNext/>
              <w:keepLines/>
              <w:ind w:right="20"/>
              <w:jc w:val="center"/>
              <w:rPr>
                <w:b/>
                <w:bCs/>
                <w:color w:val="000000" w:themeColor="text1"/>
                <w:sz w:val="4"/>
                <w:szCs w:val="4"/>
              </w:rPr>
            </w:pPr>
          </w:p>
          <w:p w:rsidR="001C19F7" w:rsidRPr="00EF75DA" w:rsidRDefault="00044DA1" w:rsidP="008B1CDA">
            <w:pPr>
              <w:keepNext/>
              <w:keepLines/>
              <w:ind w:right="20"/>
              <w:jc w:val="center"/>
              <w:rPr>
                <w:b/>
                <w:bCs/>
                <w:color w:val="00B050"/>
                <w:sz w:val="16"/>
                <w:szCs w:val="16"/>
              </w:rPr>
            </w:pPr>
            <w:r>
              <w:rPr>
                <w:b/>
                <w:bCs/>
                <w:color w:val="00B050"/>
                <w:sz w:val="16"/>
                <w:szCs w:val="16"/>
              </w:rPr>
              <w:t>Plenamente logrado</w:t>
            </w:r>
          </w:p>
          <w:p w:rsidR="001C19F7" w:rsidRPr="00867291" w:rsidRDefault="001C19F7" w:rsidP="008B1CDA">
            <w:pPr>
              <w:keepNext/>
              <w:keepLines/>
              <w:ind w:right="20"/>
              <w:rPr>
                <w:b/>
                <w:bCs/>
                <w:color w:val="000000" w:themeColor="text1"/>
                <w:sz w:val="4"/>
                <w:szCs w:val="4"/>
              </w:rPr>
            </w:pPr>
          </w:p>
          <w:p w:rsidR="001C19F7" w:rsidRPr="00EF75DA" w:rsidRDefault="00044DA1" w:rsidP="008B1CDA">
            <w:pPr>
              <w:keepNext/>
              <w:spacing w:line="276" w:lineRule="auto"/>
              <w:ind w:right="20"/>
              <w:jc w:val="center"/>
              <w:rPr>
                <w:b/>
                <w:bCs/>
                <w:color w:val="F79646" w:themeColor="accent6"/>
                <w:sz w:val="16"/>
                <w:szCs w:val="16"/>
              </w:rPr>
            </w:pPr>
            <w:r>
              <w:rPr>
                <w:b/>
                <w:bCs/>
                <w:color w:val="F79646" w:themeColor="accent6"/>
                <w:sz w:val="16"/>
                <w:szCs w:val="16"/>
              </w:rPr>
              <w:t>Parcialmente l</w:t>
            </w:r>
            <w:r w:rsidR="001C19F7" w:rsidRPr="00EF75DA">
              <w:rPr>
                <w:b/>
                <w:bCs/>
                <w:color w:val="F79646" w:themeColor="accent6"/>
                <w:sz w:val="16"/>
                <w:szCs w:val="16"/>
              </w:rPr>
              <w:t>ogrado</w:t>
            </w:r>
          </w:p>
          <w:p w:rsidR="001C19F7" w:rsidRPr="00867291" w:rsidRDefault="001C19F7" w:rsidP="008B1CDA">
            <w:pPr>
              <w:keepNext/>
              <w:keepLines/>
              <w:ind w:right="20"/>
              <w:jc w:val="center"/>
              <w:rPr>
                <w:b/>
                <w:bCs/>
                <w:color w:val="000000" w:themeColor="text1"/>
                <w:sz w:val="16"/>
                <w:szCs w:val="16"/>
              </w:rPr>
            </w:pPr>
          </w:p>
        </w:tc>
      </w:tr>
      <w:tr w:rsidR="001C19F7" w:rsidRPr="00867291" w:rsidTr="009B427C">
        <w:tc>
          <w:tcPr>
            <w:tcW w:w="1103" w:type="pct"/>
            <w:tcBorders>
              <w:top w:val="single" w:sz="4" w:space="0" w:color="auto"/>
              <w:left w:val="single" w:sz="4" w:space="0" w:color="auto"/>
              <w:bottom w:val="single" w:sz="4" w:space="0" w:color="auto"/>
              <w:right w:val="nil"/>
            </w:tcBorders>
            <w:shd w:val="clear" w:color="auto" w:fill="auto"/>
          </w:tcPr>
          <w:p w:rsidR="001C19F7" w:rsidRPr="00867291" w:rsidRDefault="001C19F7" w:rsidP="009B427C">
            <w:pPr>
              <w:keepNext/>
              <w:rPr>
                <w:color w:val="000000" w:themeColor="text1"/>
                <w:sz w:val="16"/>
                <w:szCs w:val="16"/>
              </w:rPr>
            </w:pPr>
            <w:r w:rsidRPr="00867291">
              <w:rPr>
                <w:color w:val="000000" w:themeColor="text1"/>
                <w:sz w:val="16"/>
              </w:rPr>
              <w:lastRenderedPageBreak/>
              <w:t>Porcentaje de opiniones favorables de las partes interesadas sobre la misión, las actividades y la imagen institucional de la OMPI</w:t>
            </w:r>
          </w:p>
        </w:tc>
        <w:tc>
          <w:tcPr>
            <w:tcW w:w="902" w:type="pct"/>
            <w:gridSpan w:val="2"/>
            <w:tcBorders>
              <w:top w:val="single" w:sz="4" w:space="0" w:color="auto"/>
              <w:left w:val="nil"/>
              <w:bottom w:val="single" w:sz="4" w:space="0" w:color="auto"/>
              <w:right w:val="nil"/>
            </w:tcBorders>
            <w:shd w:val="clear" w:color="auto" w:fill="auto"/>
          </w:tcPr>
          <w:p w:rsidR="001C19F7" w:rsidRPr="00867291" w:rsidRDefault="001C19F7" w:rsidP="009B427C">
            <w:pPr>
              <w:keepNext/>
              <w:keepLines/>
              <w:rPr>
                <w:color w:val="000000" w:themeColor="text1"/>
                <w:sz w:val="16"/>
                <w:szCs w:val="16"/>
              </w:rPr>
            </w:pPr>
            <w:proofErr w:type="spellStart"/>
            <w:r w:rsidRPr="00867291">
              <w:rPr>
                <w:color w:val="000000" w:themeColor="text1"/>
                <w:sz w:val="16"/>
              </w:rPr>
              <w:t>N.d</w:t>
            </w:r>
            <w:proofErr w:type="spellEnd"/>
            <w:r w:rsidRPr="00867291">
              <w:rPr>
                <w:color w:val="000000" w:themeColor="text1"/>
                <w:sz w:val="16"/>
              </w:rPr>
              <w:t>. (OOB)</w:t>
            </w:r>
          </w:p>
          <w:p w:rsidR="001C19F7" w:rsidRPr="00867291" w:rsidRDefault="001C19F7" w:rsidP="009B427C">
            <w:pPr>
              <w:keepNext/>
              <w:keepLines/>
              <w:rPr>
                <w:color w:val="000000" w:themeColor="text1"/>
                <w:sz w:val="16"/>
                <w:szCs w:val="16"/>
              </w:rPr>
            </w:pPr>
            <w:proofErr w:type="spellStart"/>
            <w:r w:rsidRPr="00867291">
              <w:rPr>
                <w:color w:val="000000" w:themeColor="text1"/>
                <w:sz w:val="16"/>
              </w:rPr>
              <w:t>N.d</w:t>
            </w:r>
            <w:proofErr w:type="spellEnd"/>
            <w:r w:rsidRPr="00867291">
              <w:rPr>
                <w:color w:val="000000" w:themeColor="text1"/>
                <w:sz w:val="16"/>
              </w:rPr>
              <w:t>. (OOJ)</w:t>
            </w:r>
          </w:p>
          <w:p w:rsidR="001C19F7" w:rsidRPr="00867291" w:rsidRDefault="001C19F7" w:rsidP="009B427C">
            <w:pPr>
              <w:keepNext/>
              <w:keepLines/>
              <w:rPr>
                <w:i/>
                <w:color w:val="000000" w:themeColor="text1"/>
                <w:sz w:val="16"/>
                <w:szCs w:val="16"/>
              </w:rPr>
            </w:pPr>
            <w:proofErr w:type="spellStart"/>
            <w:r w:rsidRPr="00867291">
              <w:rPr>
                <w:color w:val="000000" w:themeColor="text1"/>
                <w:sz w:val="16"/>
              </w:rPr>
              <w:t>N.d</w:t>
            </w:r>
            <w:proofErr w:type="spellEnd"/>
            <w:r w:rsidRPr="00867291">
              <w:rPr>
                <w:color w:val="000000" w:themeColor="text1"/>
                <w:sz w:val="16"/>
              </w:rPr>
              <w:t>. (OOS)</w:t>
            </w:r>
          </w:p>
        </w:tc>
        <w:tc>
          <w:tcPr>
            <w:tcW w:w="843" w:type="pct"/>
            <w:gridSpan w:val="5"/>
            <w:tcBorders>
              <w:top w:val="single" w:sz="4" w:space="0" w:color="auto"/>
              <w:left w:val="nil"/>
              <w:bottom w:val="single" w:sz="4" w:space="0" w:color="auto"/>
              <w:right w:val="nil"/>
            </w:tcBorders>
            <w:shd w:val="clear" w:color="auto" w:fill="auto"/>
            <w:tcMar>
              <w:top w:w="110" w:type="dxa"/>
            </w:tcMar>
          </w:tcPr>
          <w:p w:rsidR="001C19F7" w:rsidRPr="00867291" w:rsidRDefault="001C19F7" w:rsidP="009B427C">
            <w:pPr>
              <w:keepNext/>
              <w:keepLines/>
              <w:rPr>
                <w:color w:val="000000" w:themeColor="text1"/>
                <w:sz w:val="16"/>
                <w:szCs w:val="16"/>
              </w:rPr>
            </w:pPr>
            <w:r w:rsidRPr="00867291">
              <w:rPr>
                <w:color w:val="000000" w:themeColor="text1"/>
                <w:sz w:val="16"/>
              </w:rPr>
              <w:t>75% (OOB)</w:t>
            </w:r>
          </w:p>
          <w:p w:rsidR="001C19F7" w:rsidRPr="00867291" w:rsidRDefault="001C19F7" w:rsidP="009B427C">
            <w:pPr>
              <w:keepNext/>
              <w:keepLines/>
              <w:rPr>
                <w:color w:val="000000" w:themeColor="text1"/>
                <w:sz w:val="16"/>
                <w:szCs w:val="16"/>
              </w:rPr>
            </w:pPr>
          </w:p>
          <w:p w:rsidR="001C19F7" w:rsidRPr="00867291" w:rsidRDefault="001C19F7" w:rsidP="009B427C">
            <w:pPr>
              <w:keepNext/>
              <w:keepLines/>
              <w:rPr>
                <w:color w:val="000000" w:themeColor="text1"/>
                <w:sz w:val="16"/>
                <w:szCs w:val="16"/>
              </w:rPr>
            </w:pPr>
            <w:r w:rsidRPr="00867291">
              <w:rPr>
                <w:color w:val="000000" w:themeColor="text1"/>
                <w:sz w:val="16"/>
              </w:rPr>
              <w:t>75% (OOJ)</w:t>
            </w:r>
          </w:p>
          <w:p w:rsidR="001C19F7" w:rsidRPr="00867291" w:rsidRDefault="001C19F7" w:rsidP="009B427C">
            <w:pPr>
              <w:keepNext/>
              <w:keepLines/>
              <w:rPr>
                <w:color w:val="000000" w:themeColor="text1"/>
                <w:sz w:val="16"/>
                <w:szCs w:val="16"/>
              </w:rPr>
            </w:pPr>
          </w:p>
          <w:p w:rsidR="001C19F7" w:rsidRPr="00867291" w:rsidRDefault="001C19F7" w:rsidP="009B427C">
            <w:pPr>
              <w:keepNext/>
              <w:keepLines/>
              <w:ind w:right="-34"/>
              <w:rPr>
                <w:color w:val="000000" w:themeColor="text1"/>
                <w:sz w:val="16"/>
                <w:szCs w:val="16"/>
              </w:rPr>
            </w:pPr>
            <w:r w:rsidRPr="00867291">
              <w:rPr>
                <w:color w:val="000000" w:themeColor="text1"/>
                <w:sz w:val="16"/>
              </w:rPr>
              <w:t>&gt; 70% de los participantes en actividades importantes de la OMPI (OOS)</w:t>
            </w:r>
          </w:p>
        </w:tc>
        <w:tc>
          <w:tcPr>
            <w:tcW w:w="1511" w:type="pct"/>
            <w:gridSpan w:val="4"/>
            <w:tcBorders>
              <w:top w:val="single" w:sz="4" w:space="0" w:color="auto"/>
              <w:left w:val="nil"/>
              <w:bottom w:val="single" w:sz="4" w:space="0" w:color="auto"/>
              <w:right w:val="nil"/>
            </w:tcBorders>
            <w:shd w:val="clear" w:color="auto" w:fill="FFFFFF"/>
            <w:tcMar>
              <w:top w:w="110" w:type="dxa"/>
            </w:tcMar>
          </w:tcPr>
          <w:p w:rsidR="001C19F7" w:rsidRPr="00867291" w:rsidRDefault="001C19F7" w:rsidP="009B427C">
            <w:pPr>
              <w:keepNext/>
              <w:keepLines/>
              <w:rPr>
                <w:color w:val="000000" w:themeColor="text1"/>
                <w:sz w:val="16"/>
                <w:szCs w:val="16"/>
              </w:rPr>
            </w:pPr>
            <w:r w:rsidRPr="00867291">
              <w:rPr>
                <w:color w:val="000000" w:themeColor="text1"/>
                <w:sz w:val="16"/>
              </w:rPr>
              <w:t xml:space="preserve">75% (OOB) </w:t>
            </w:r>
          </w:p>
          <w:p w:rsidR="001C19F7" w:rsidRPr="00867291" w:rsidRDefault="001C19F7" w:rsidP="009B427C">
            <w:pPr>
              <w:keepNext/>
              <w:keepLines/>
              <w:rPr>
                <w:color w:val="000000" w:themeColor="text1"/>
                <w:sz w:val="16"/>
                <w:szCs w:val="16"/>
              </w:rPr>
            </w:pPr>
          </w:p>
          <w:p w:rsidR="001C19F7" w:rsidRPr="00867291" w:rsidRDefault="001C19F7" w:rsidP="009B427C">
            <w:pPr>
              <w:keepNext/>
              <w:keepLines/>
              <w:rPr>
                <w:color w:val="000000" w:themeColor="text1"/>
                <w:sz w:val="16"/>
                <w:szCs w:val="16"/>
              </w:rPr>
            </w:pPr>
            <w:r w:rsidRPr="00867291">
              <w:rPr>
                <w:color w:val="000000" w:themeColor="text1"/>
                <w:sz w:val="16"/>
              </w:rPr>
              <w:t>94% (OOJ)</w:t>
            </w:r>
          </w:p>
          <w:p w:rsidR="001C19F7" w:rsidRPr="00867291" w:rsidRDefault="001C19F7" w:rsidP="009B427C">
            <w:pPr>
              <w:keepNext/>
              <w:keepLines/>
              <w:rPr>
                <w:color w:val="000000" w:themeColor="text1"/>
                <w:sz w:val="16"/>
                <w:szCs w:val="16"/>
              </w:rPr>
            </w:pPr>
          </w:p>
          <w:p w:rsidR="001C19F7" w:rsidRPr="00867291" w:rsidRDefault="001C19F7" w:rsidP="009B427C">
            <w:pPr>
              <w:keepNext/>
              <w:keepLines/>
              <w:rPr>
                <w:color w:val="000000" w:themeColor="text1"/>
                <w:sz w:val="16"/>
                <w:szCs w:val="16"/>
              </w:rPr>
            </w:pPr>
            <w:r w:rsidRPr="00867291">
              <w:rPr>
                <w:color w:val="000000" w:themeColor="text1"/>
                <w:sz w:val="16"/>
              </w:rPr>
              <w:t>90% (OOS)</w:t>
            </w:r>
          </w:p>
        </w:tc>
        <w:tc>
          <w:tcPr>
            <w:tcW w:w="641" w:type="pct"/>
            <w:gridSpan w:val="3"/>
            <w:tcBorders>
              <w:top w:val="single" w:sz="4" w:space="0" w:color="auto"/>
              <w:left w:val="nil"/>
              <w:bottom w:val="single" w:sz="4" w:space="0" w:color="auto"/>
              <w:right w:val="single" w:sz="4" w:space="0" w:color="auto"/>
            </w:tcBorders>
            <w:shd w:val="clear" w:color="auto" w:fill="auto"/>
            <w:tcMar>
              <w:top w:w="110" w:type="dxa"/>
            </w:tcMar>
          </w:tcPr>
          <w:p w:rsidR="001C19F7" w:rsidRPr="00EF75DA" w:rsidRDefault="00044DA1" w:rsidP="009B427C">
            <w:pPr>
              <w:keepNext/>
              <w:keepLines/>
              <w:ind w:right="20"/>
              <w:jc w:val="center"/>
              <w:rPr>
                <w:b/>
                <w:bCs/>
                <w:color w:val="00B050"/>
                <w:sz w:val="16"/>
                <w:szCs w:val="16"/>
              </w:rPr>
            </w:pPr>
            <w:r>
              <w:rPr>
                <w:b/>
                <w:bCs/>
                <w:color w:val="00B050"/>
                <w:sz w:val="16"/>
                <w:szCs w:val="16"/>
              </w:rPr>
              <w:t>Plenamente logrado</w:t>
            </w:r>
          </w:p>
          <w:p w:rsidR="001C19F7" w:rsidRPr="00EF75DA" w:rsidRDefault="00044DA1" w:rsidP="009B427C">
            <w:pPr>
              <w:keepNext/>
              <w:keepLines/>
              <w:ind w:right="20"/>
              <w:jc w:val="center"/>
              <w:rPr>
                <w:b/>
                <w:bCs/>
                <w:color w:val="00B050"/>
                <w:sz w:val="16"/>
                <w:szCs w:val="16"/>
              </w:rPr>
            </w:pPr>
            <w:r>
              <w:rPr>
                <w:b/>
                <w:bCs/>
                <w:color w:val="00B050"/>
                <w:sz w:val="16"/>
                <w:szCs w:val="16"/>
              </w:rPr>
              <w:t>Plenamente logrado</w:t>
            </w:r>
          </w:p>
          <w:p w:rsidR="001C19F7" w:rsidRPr="00EF75DA" w:rsidRDefault="00044DA1" w:rsidP="009B427C">
            <w:pPr>
              <w:keepNext/>
              <w:keepLines/>
              <w:ind w:right="20"/>
              <w:jc w:val="center"/>
              <w:rPr>
                <w:b/>
                <w:bCs/>
                <w:color w:val="00B050"/>
                <w:sz w:val="16"/>
                <w:szCs w:val="16"/>
              </w:rPr>
            </w:pPr>
            <w:r>
              <w:rPr>
                <w:b/>
                <w:bCs/>
                <w:color w:val="00B050"/>
                <w:sz w:val="16"/>
                <w:szCs w:val="16"/>
              </w:rPr>
              <w:t>Plenamente logrado</w:t>
            </w:r>
          </w:p>
        </w:tc>
      </w:tr>
      <w:tr w:rsidR="001C19F7" w:rsidRPr="00867291" w:rsidTr="008B1CDA">
        <w:tc>
          <w:tcPr>
            <w:tcW w:w="5000" w:type="pct"/>
            <w:gridSpan w:val="15"/>
            <w:tcBorders>
              <w:top w:val="single" w:sz="4" w:space="0" w:color="auto"/>
              <w:bottom w:val="single" w:sz="4" w:space="0" w:color="auto"/>
            </w:tcBorders>
            <w:shd w:val="clear" w:color="auto" w:fill="C6D9F1" w:themeFill="text2" w:themeFillTint="33"/>
          </w:tcPr>
          <w:p w:rsidR="001C19F7" w:rsidRPr="00867291" w:rsidRDefault="001C19F7" w:rsidP="009B427C">
            <w:pPr>
              <w:keepNext/>
              <w:spacing w:before="120" w:after="120"/>
              <w:ind w:left="1985" w:hanging="1985"/>
              <w:rPr>
                <w:b/>
                <w:bCs/>
                <w:color w:val="000000" w:themeColor="text1"/>
                <w:sz w:val="16"/>
                <w:szCs w:val="16"/>
              </w:rPr>
            </w:pPr>
            <w:r w:rsidRPr="00867291">
              <w:rPr>
                <w:b/>
                <w:color w:val="000000" w:themeColor="text1"/>
                <w:sz w:val="16"/>
              </w:rPr>
              <w:t>Resultado previsto:</w:t>
            </w:r>
            <w:r w:rsidRPr="00867291">
              <w:rPr>
                <w:color w:val="000000" w:themeColor="text1"/>
              </w:rPr>
              <w:tab/>
            </w:r>
            <w:r w:rsidRPr="00867291">
              <w:rPr>
                <w:color w:val="000000" w:themeColor="text1"/>
                <w:sz w:val="16"/>
              </w:rPr>
              <w:t>VIII.2 Mejora en la prestación de servicios y la atención de consultas</w:t>
            </w:r>
          </w:p>
        </w:tc>
      </w:tr>
      <w:tr w:rsidR="001C19F7" w:rsidRPr="00867291" w:rsidTr="008B1CDA">
        <w:tc>
          <w:tcPr>
            <w:tcW w:w="1103" w:type="pct"/>
            <w:tcBorders>
              <w:top w:val="single" w:sz="4" w:space="0" w:color="auto"/>
              <w:left w:val="single" w:sz="4" w:space="0" w:color="auto"/>
              <w:bottom w:val="nil"/>
              <w:right w:val="nil"/>
            </w:tcBorders>
            <w:shd w:val="clear" w:color="auto" w:fill="auto"/>
          </w:tcPr>
          <w:p w:rsidR="001C19F7" w:rsidRPr="00867291" w:rsidRDefault="001C19F7" w:rsidP="008B1CDA">
            <w:pPr>
              <w:rPr>
                <w:color w:val="000000" w:themeColor="text1"/>
                <w:sz w:val="16"/>
                <w:szCs w:val="16"/>
              </w:rPr>
            </w:pPr>
            <w:r w:rsidRPr="00867291">
              <w:rPr>
                <w:b/>
                <w:color w:val="000000" w:themeColor="text1"/>
                <w:sz w:val="16"/>
              </w:rPr>
              <w:t>Indicadores de rendimiento</w:t>
            </w:r>
          </w:p>
        </w:tc>
        <w:tc>
          <w:tcPr>
            <w:tcW w:w="902" w:type="pct"/>
            <w:gridSpan w:val="2"/>
            <w:tcBorders>
              <w:top w:val="single" w:sz="4" w:space="0" w:color="auto"/>
              <w:left w:val="nil"/>
              <w:bottom w:val="nil"/>
              <w:right w:val="nil"/>
            </w:tcBorders>
            <w:shd w:val="clear" w:color="auto" w:fill="auto"/>
          </w:tcPr>
          <w:p w:rsidR="001C19F7" w:rsidRPr="00867291" w:rsidRDefault="001C19F7" w:rsidP="008B1CDA">
            <w:pPr>
              <w:rPr>
                <w:i/>
                <w:color w:val="000000" w:themeColor="text1"/>
                <w:sz w:val="16"/>
                <w:szCs w:val="16"/>
              </w:rPr>
            </w:pPr>
            <w:r w:rsidRPr="00867291">
              <w:rPr>
                <w:b/>
                <w:color w:val="000000" w:themeColor="text1"/>
                <w:sz w:val="16"/>
              </w:rPr>
              <w:t>Referencia</w:t>
            </w:r>
          </w:p>
        </w:tc>
        <w:tc>
          <w:tcPr>
            <w:tcW w:w="843" w:type="pct"/>
            <w:gridSpan w:val="5"/>
            <w:tcBorders>
              <w:top w:val="single" w:sz="4" w:space="0" w:color="auto"/>
              <w:left w:val="nil"/>
              <w:bottom w:val="nil"/>
              <w:right w:val="nil"/>
            </w:tcBorders>
            <w:shd w:val="clear" w:color="auto" w:fill="auto"/>
            <w:tcMar>
              <w:top w:w="110" w:type="dxa"/>
            </w:tcMar>
          </w:tcPr>
          <w:p w:rsidR="001C19F7" w:rsidRPr="00867291" w:rsidRDefault="001C19F7" w:rsidP="008B1CDA">
            <w:pPr>
              <w:rPr>
                <w:color w:val="000000" w:themeColor="text1"/>
                <w:sz w:val="16"/>
                <w:szCs w:val="16"/>
              </w:rPr>
            </w:pPr>
            <w:r w:rsidRPr="00867291">
              <w:rPr>
                <w:b/>
                <w:color w:val="000000" w:themeColor="text1"/>
                <w:sz w:val="16"/>
              </w:rPr>
              <w:t>Objetivos</w:t>
            </w:r>
          </w:p>
        </w:tc>
        <w:tc>
          <w:tcPr>
            <w:tcW w:w="1575" w:type="pct"/>
            <w:gridSpan w:val="6"/>
            <w:tcBorders>
              <w:top w:val="single" w:sz="4" w:space="0" w:color="auto"/>
              <w:left w:val="nil"/>
              <w:bottom w:val="nil"/>
              <w:right w:val="nil"/>
            </w:tcBorders>
            <w:shd w:val="clear" w:color="auto" w:fill="FFFFFF"/>
            <w:tcMar>
              <w:top w:w="110" w:type="dxa"/>
            </w:tcMar>
          </w:tcPr>
          <w:p w:rsidR="001C19F7" w:rsidRPr="00867291" w:rsidRDefault="001C19F7" w:rsidP="008B1CDA">
            <w:pPr>
              <w:rPr>
                <w:color w:val="000000" w:themeColor="text1"/>
                <w:sz w:val="16"/>
                <w:szCs w:val="16"/>
              </w:rPr>
            </w:pPr>
            <w:r w:rsidRPr="00867291">
              <w:rPr>
                <w:b/>
                <w:color w:val="000000" w:themeColor="text1"/>
                <w:sz w:val="16"/>
              </w:rPr>
              <w:t>Datos sobre el rendimiento</w:t>
            </w:r>
          </w:p>
        </w:tc>
        <w:tc>
          <w:tcPr>
            <w:tcW w:w="576" w:type="pct"/>
            <w:tcBorders>
              <w:top w:val="single" w:sz="4" w:space="0" w:color="auto"/>
              <w:left w:val="nil"/>
              <w:bottom w:val="nil"/>
              <w:right w:val="single" w:sz="4" w:space="0" w:color="auto"/>
            </w:tcBorders>
            <w:shd w:val="clear" w:color="auto" w:fill="auto"/>
            <w:tcMar>
              <w:top w:w="110" w:type="dxa"/>
            </w:tcMar>
          </w:tcPr>
          <w:p w:rsidR="001C19F7" w:rsidRPr="00867291" w:rsidRDefault="001C19F7" w:rsidP="008B1CDA">
            <w:pPr>
              <w:keepNext/>
              <w:keepLines/>
              <w:ind w:left="71" w:right="20"/>
              <w:jc w:val="center"/>
              <w:rPr>
                <w:b/>
                <w:bCs/>
                <w:color w:val="000000" w:themeColor="text1"/>
                <w:sz w:val="16"/>
                <w:szCs w:val="16"/>
              </w:rPr>
            </w:pPr>
            <w:r w:rsidRPr="00867291">
              <w:rPr>
                <w:b/>
                <w:color w:val="000000" w:themeColor="text1"/>
                <w:sz w:val="16"/>
              </w:rPr>
              <w:t>Clave de colores</w:t>
            </w:r>
          </w:p>
        </w:tc>
      </w:tr>
      <w:tr w:rsidR="001C19F7" w:rsidRPr="00867291" w:rsidTr="008B1CDA">
        <w:trPr>
          <w:trHeight w:val="1258"/>
        </w:trPr>
        <w:tc>
          <w:tcPr>
            <w:tcW w:w="1103" w:type="pct"/>
            <w:tcBorders>
              <w:top w:val="nil"/>
              <w:left w:val="single" w:sz="4" w:space="0" w:color="auto"/>
              <w:bottom w:val="nil"/>
              <w:right w:val="nil"/>
            </w:tcBorders>
            <w:shd w:val="clear" w:color="auto" w:fill="auto"/>
          </w:tcPr>
          <w:p w:rsidR="001C19F7" w:rsidRPr="00867291" w:rsidRDefault="001C19F7" w:rsidP="008B1CDA">
            <w:pPr>
              <w:rPr>
                <w:color w:val="000000" w:themeColor="text1"/>
                <w:sz w:val="16"/>
                <w:szCs w:val="16"/>
              </w:rPr>
            </w:pPr>
            <w:r w:rsidRPr="00867291">
              <w:rPr>
                <w:color w:val="000000" w:themeColor="text1"/>
                <w:sz w:val="16"/>
              </w:rPr>
              <w:t>Índice de satisfacción de los clientes y partes interesadas.</w:t>
            </w:r>
          </w:p>
        </w:tc>
        <w:tc>
          <w:tcPr>
            <w:tcW w:w="902" w:type="pct"/>
            <w:gridSpan w:val="2"/>
            <w:tcBorders>
              <w:top w:val="nil"/>
              <w:left w:val="nil"/>
              <w:bottom w:val="nil"/>
              <w:right w:val="nil"/>
            </w:tcBorders>
            <w:shd w:val="clear" w:color="auto" w:fill="auto"/>
          </w:tcPr>
          <w:p w:rsidR="001C19F7" w:rsidRPr="00867291" w:rsidRDefault="001C19F7" w:rsidP="008B1CDA">
            <w:pPr>
              <w:rPr>
                <w:color w:val="000000" w:themeColor="text1"/>
                <w:sz w:val="16"/>
                <w:szCs w:val="16"/>
              </w:rPr>
            </w:pPr>
            <w:proofErr w:type="spellStart"/>
            <w:r w:rsidRPr="00867291">
              <w:rPr>
                <w:color w:val="000000" w:themeColor="text1"/>
                <w:sz w:val="16"/>
              </w:rPr>
              <w:t>N.d</w:t>
            </w:r>
            <w:proofErr w:type="spellEnd"/>
            <w:r w:rsidRPr="00867291">
              <w:rPr>
                <w:color w:val="000000" w:themeColor="text1"/>
                <w:sz w:val="16"/>
              </w:rPr>
              <w:t>. (OOB)</w:t>
            </w:r>
          </w:p>
          <w:p w:rsidR="001C19F7" w:rsidRPr="00867291" w:rsidRDefault="001C19F7" w:rsidP="008B1CDA">
            <w:pPr>
              <w:rPr>
                <w:color w:val="000000" w:themeColor="text1"/>
                <w:sz w:val="16"/>
                <w:szCs w:val="16"/>
              </w:rPr>
            </w:pPr>
            <w:proofErr w:type="spellStart"/>
            <w:r w:rsidRPr="00867291">
              <w:rPr>
                <w:color w:val="000000" w:themeColor="text1"/>
                <w:sz w:val="16"/>
              </w:rPr>
              <w:t>N.d</w:t>
            </w:r>
            <w:proofErr w:type="spellEnd"/>
            <w:r w:rsidRPr="00867291">
              <w:rPr>
                <w:color w:val="000000" w:themeColor="text1"/>
                <w:sz w:val="16"/>
              </w:rPr>
              <w:t>. (OOJ)</w:t>
            </w:r>
          </w:p>
          <w:p w:rsidR="001C19F7" w:rsidRPr="00867291" w:rsidRDefault="001C19F7" w:rsidP="008B1CDA">
            <w:pPr>
              <w:rPr>
                <w:i/>
                <w:color w:val="000000" w:themeColor="text1"/>
                <w:sz w:val="16"/>
                <w:szCs w:val="16"/>
              </w:rPr>
            </w:pPr>
            <w:proofErr w:type="spellStart"/>
            <w:r w:rsidRPr="00867291">
              <w:rPr>
                <w:color w:val="000000" w:themeColor="text1"/>
                <w:sz w:val="16"/>
              </w:rPr>
              <w:t>N.d</w:t>
            </w:r>
            <w:proofErr w:type="spellEnd"/>
            <w:r w:rsidRPr="00867291">
              <w:rPr>
                <w:color w:val="000000" w:themeColor="text1"/>
                <w:sz w:val="16"/>
              </w:rPr>
              <w:t>. (OOS)</w:t>
            </w:r>
          </w:p>
        </w:tc>
        <w:tc>
          <w:tcPr>
            <w:tcW w:w="843" w:type="pct"/>
            <w:gridSpan w:val="5"/>
            <w:tcBorders>
              <w:top w:val="nil"/>
              <w:left w:val="nil"/>
              <w:bottom w:val="nil"/>
              <w:right w:val="nil"/>
            </w:tcBorders>
            <w:shd w:val="clear" w:color="auto" w:fill="auto"/>
            <w:tcMar>
              <w:top w:w="110" w:type="dxa"/>
            </w:tcMar>
          </w:tcPr>
          <w:p w:rsidR="001C19F7" w:rsidRPr="00867291" w:rsidRDefault="001C19F7" w:rsidP="008B1CDA">
            <w:pPr>
              <w:rPr>
                <w:color w:val="000000" w:themeColor="text1"/>
                <w:sz w:val="16"/>
                <w:szCs w:val="16"/>
              </w:rPr>
            </w:pPr>
            <w:r w:rsidRPr="00867291">
              <w:rPr>
                <w:color w:val="000000" w:themeColor="text1"/>
                <w:sz w:val="16"/>
              </w:rPr>
              <w:t>Por determinar (OOB)</w:t>
            </w:r>
          </w:p>
          <w:p w:rsidR="001C19F7" w:rsidRPr="00867291" w:rsidRDefault="001C19F7" w:rsidP="008B1CDA">
            <w:pPr>
              <w:rPr>
                <w:color w:val="000000" w:themeColor="text1"/>
                <w:sz w:val="16"/>
                <w:szCs w:val="16"/>
              </w:rPr>
            </w:pPr>
            <w:r w:rsidRPr="00867291">
              <w:rPr>
                <w:color w:val="000000" w:themeColor="text1"/>
                <w:sz w:val="16"/>
              </w:rPr>
              <w:t>Por determinar (OOJ)</w:t>
            </w:r>
          </w:p>
          <w:p w:rsidR="001C19F7" w:rsidRPr="00867291" w:rsidRDefault="001C19F7" w:rsidP="008B1CDA">
            <w:pPr>
              <w:rPr>
                <w:color w:val="000000" w:themeColor="text1"/>
                <w:sz w:val="16"/>
                <w:szCs w:val="16"/>
              </w:rPr>
            </w:pPr>
            <w:r w:rsidRPr="00867291">
              <w:rPr>
                <w:color w:val="000000" w:themeColor="text1"/>
                <w:sz w:val="16"/>
              </w:rPr>
              <w:t>&gt; 90% de las personas que llaman están satisfechas con el servicio que proporciona la OOS (OOS)</w:t>
            </w:r>
          </w:p>
        </w:tc>
        <w:tc>
          <w:tcPr>
            <w:tcW w:w="1575" w:type="pct"/>
            <w:gridSpan w:val="6"/>
            <w:tcBorders>
              <w:top w:val="nil"/>
              <w:left w:val="nil"/>
              <w:bottom w:val="nil"/>
              <w:right w:val="nil"/>
            </w:tcBorders>
            <w:shd w:val="clear" w:color="auto" w:fill="FFFFFF"/>
            <w:tcMar>
              <w:top w:w="110" w:type="dxa"/>
            </w:tcMar>
          </w:tcPr>
          <w:p w:rsidR="001C19F7" w:rsidRPr="00867291" w:rsidRDefault="001C19F7" w:rsidP="008B1CDA">
            <w:pPr>
              <w:rPr>
                <w:color w:val="000000" w:themeColor="text1"/>
                <w:sz w:val="16"/>
                <w:szCs w:val="16"/>
              </w:rPr>
            </w:pPr>
            <w:r w:rsidRPr="00867291">
              <w:rPr>
                <w:color w:val="000000" w:themeColor="text1"/>
                <w:sz w:val="16"/>
              </w:rPr>
              <w:t>No se dispone de datos (OOB)</w:t>
            </w:r>
          </w:p>
          <w:p w:rsidR="001C19F7" w:rsidRPr="00867291" w:rsidRDefault="001C19F7" w:rsidP="008B1CDA">
            <w:pPr>
              <w:rPr>
                <w:color w:val="000000" w:themeColor="text1"/>
                <w:sz w:val="16"/>
                <w:szCs w:val="16"/>
              </w:rPr>
            </w:pPr>
          </w:p>
          <w:p w:rsidR="001C19F7" w:rsidRPr="00867291" w:rsidRDefault="001C19F7" w:rsidP="008B1CDA">
            <w:pPr>
              <w:rPr>
                <w:color w:val="000000" w:themeColor="text1"/>
                <w:sz w:val="16"/>
                <w:szCs w:val="16"/>
              </w:rPr>
            </w:pPr>
            <w:r w:rsidRPr="00867291">
              <w:rPr>
                <w:color w:val="000000" w:themeColor="text1"/>
                <w:sz w:val="16"/>
              </w:rPr>
              <w:t>El 95% de las personas que llaman están satisfechas (OOJ)</w:t>
            </w:r>
          </w:p>
          <w:p w:rsidR="001C19F7" w:rsidRPr="00867291" w:rsidRDefault="001C19F7" w:rsidP="008B1CDA">
            <w:pPr>
              <w:rPr>
                <w:color w:val="000000" w:themeColor="text1"/>
                <w:sz w:val="16"/>
                <w:szCs w:val="16"/>
              </w:rPr>
            </w:pPr>
          </w:p>
          <w:p w:rsidR="001C19F7" w:rsidRPr="00867291" w:rsidRDefault="001C19F7" w:rsidP="008B1CDA">
            <w:pPr>
              <w:rPr>
                <w:color w:val="000000" w:themeColor="text1"/>
                <w:sz w:val="16"/>
                <w:szCs w:val="16"/>
              </w:rPr>
            </w:pPr>
            <w:r w:rsidRPr="00867291">
              <w:rPr>
                <w:color w:val="000000" w:themeColor="text1"/>
                <w:sz w:val="16"/>
              </w:rPr>
              <w:t>El 93% de las personas que llaman están satisfechas (OOS)</w:t>
            </w:r>
          </w:p>
        </w:tc>
        <w:tc>
          <w:tcPr>
            <w:tcW w:w="576" w:type="pct"/>
            <w:tcBorders>
              <w:top w:val="nil"/>
              <w:left w:val="nil"/>
              <w:bottom w:val="nil"/>
              <w:right w:val="single" w:sz="4" w:space="0" w:color="auto"/>
            </w:tcBorders>
            <w:shd w:val="clear" w:color="auto" w:fill="auto"/>
            <w:tcMar>
              <w:top w:w="110" w:type="dxa"/>
            </w:tcMar>
          </w:tcPr>
          <w:p w:rsidR="001C19F7" w:rsidRPr="00EF75DA" w:rsidRDefault="001C19F7" w:rsidP="008B1CDA">
            <w:pPr>
              <w:keepNext/>
              <w:keepLines/>
              <w:ind w:left="-117" w:right="20"/>
              <w:jc w:val="center"/>
              <w:rPr>
                <w:b/>
                <w:bCs/>
                <w:color w:val="808080" w:themeColor="background1" w:themeShade="80"/>
                <w:sz w:val="14"/>
                <w:szCs w:val="14"/>
              </w:rPr>
            </w:pPr>
            <w:r w:rsidRPr="00EF75DA">
              <w:rPr>
                <w:b/>
                <w:bCs/>
                <w:color w:val="808080" w:themeColor="background1" w:themeShade="80"/>
                <w:sz w:val="14"/>
                <w:szCs w:val="14"/>
              </w:rPr>
              <w:t>No mensurable</w:t>
            </w:r>
          </w:p>
          <w:p w:rsidR="001C19F7" w:rsidRPr="00EF75DA" w:rsidRDefault="001C19F7" w:rsidP="008B1CDA">
            <w:pPr>
              <w:keepNext/>
              <w:keepLines/>
              <w:ind w:left="-117" w:right="20"/>
              <w:jc w:val="center"/>
              <w:rPr>
                <w:b/>
                <w:bCs/>
                <w:color w:val="808080" w:themeColor="background1" w:themeShade="80"/>
                <w:sz w:val="14"/>
                <w:szCs w:val="14"/>
              </w:rPr>
            </w:pPr>
            <w:r w:rsidRPr="00EF75DA">
              <w:rPr>
                <w:b/>
                <w:bCs/>
                <w:color w:val="808080" w:themeColor="background1" w:themeShade="80"/>
                <w:sz w:val="14"/>
                <w:szCs w:val="14"/>
              </w:rPr>
              <w:t>No mensurable</w:t>
            </w:r>
          </w:p>
          <w:p w:rsidR="001C19F7" w:rsidRPr="00867291" w:rsidRDefault="00044DA1" w:rsidP="008B1CDA">
            <w:pPr>
              <w:keepNext/>
              <w:keepLines/>
              <w:ind w:left="-117" w:right="20"/>
              <w:jc w:val="center"/>
              <w:rPr>
                <w:b/>
                <w:bCs/>
                <w:color w:val="000000" w:themeColor="text1"/>
                <w:sz w:val="16"/>
                <w:szCs w:val="16"/>
              </w:rPr>
            </w:pPr>
            <w:r>
              <w:rPr>
                <w:b/>
                <w:bCs/>
                <w:color w:val="00B050"/>
                <w:sz w:val="16"/>
                <w:szCs w:val="16"/>
              </w:rPr>
              <w:t>Plenamente logrado</w:t>
            </w:r>
          </w:p>
        </w:tc>
      </w:tr>
      <w:tr w:rsidR="001C19F7" w:rsidRPr="00867291" w:rsidTr="008B1CDA">
        <w:trPr>
          <w:trHeight w:val="1510"/>
        </w:trPr>
        <w:tc>
          <w:tcPr>
            <w:tcW w:w="1103" w:type="pct"/>
            <w:tcBorders>
              <w:top w:val="nil"/>
              <w:left w:val="single" w:sz="4" w:space="0" w:color="auto"/>
              <w:bottom w:val="single" w:sz="4" w:space="0" w:color="auto"/>
              <w:right w:val="nil"/>
            </w:tcBorders>
            <w:shd w:val="clear" w:color="auto" w:fill="auto"/>
          </w:tcPr>
          <w:p w:rsidR="001C19F7" w:rsidRPr="00867291" w:rsidRDefault="001C19F7" w:rsidP="008B1CDA">
            <w:pPr>
              <w:rPr>
                <w:color w:val="000000" w:themeColor="text1"/>
                <w:sz w:val="16"/>
                <w:szCs w:val="16"/>
              </w:rPr>
            </w:pPr>
            <w:r w:rsidRPr="00867291">
              <w:rPr>
                <w:color w:val="000000" w:themeColor="text1"/>
                <w:sz w:val="16"/>
              </w:rPr>
              <w:t>Duración de la tramitación de las peticiones de información</w:t>
            </w:r>
          </w:p>
        </w:tc>
        <w:tc>
          <w:tcPr>
            <w:tcW w:w="902" w:type="pct"/>
            <w:gridSpan w:val="2"/>
            <w:tcBorders>
              <w:top w:val="nil"/>
              <w:left w:val="nil"/>
              <w:bottom w:val="single" w:sz="4" w:space="0" w:color="auto"/>
              <w:right w:val="nil"/>
            </w:tcBorders>
            <w:shd w:val="clear" w:color="auto" w:fill="auto"/>
          </w:tcPr>
          <w:p w:rsidR="001C19F7" w:rsidRPr="00867291" w:rsidRDefault="001C19F7" w:rsidP="008B1CDA">
            <w:pPr>
              <w:spacing w:after="120"/>
              <w:rPr>
                <w:color w:val="000000" w:themeColor="text1"/>
                <w:sz w:val="16"/>
                <w:szCs w:val="16"/>
              </w:rPr>
            </w:pPr>
            <w:proofErr w:type="spellStart"/>
            <w:r w:rsidRPr="00867291">
              <w:rPr>
                <w:color w:val="000000" w:themeColor="text1"/>
                <w:sz w:val="16"/>
              </w:rPr>
              <w:t>N.d</w:t>
            </w:r>
            <w:proofErr w:type="spellEnd"/>
            <w:r w:rsidRPr="00867291">
              <w:rPr>
                <w:color w:val="000000" w:themeColor="text1"/>
                <w:sz w:val="16"/>
              </w:rPr>
              <w:t>. (OOB)</w:t>
            </w:r>
          </w:p>
          <w:p w:rsidR="001C19F7" w:rsidRPr="00867291" w:rsidRDefault="001C19F7" w:rsidP="008B1CDA">
            <w:pPr>
              <w:spacing w:after="120"/>
              <w:rPr>
                <w:color w:val="000000" w:themeColor="text1"/>
                <w:sz w:val="16"/>
                <w:szCs w:val="16"/>
              </w:rPr>
            </w:pPr>
            <w:proofErr w:type="spellStart"/>
            <w:r w:rsidRPr="00867291">
              <w:rPr>
                <w:color w:val="000000" w:themeColor="text1"/>
                <w:sz w:val="16"/>
              </w:rPr>
              <w:t>N.d</w:t>
            </w:r>
            <w:proofErr w:type="spellEnd"/>
            <w:r w:rsidRPr="00867291">
              <w:rPr>
                <w:color w:val="000000" w:themeColor="text1"/>
                <w:sz w:val="16"/>
              </w:rPr>
              <w:t>. (OOJ)</w:t>
            </w:r>
          </w:p>
          <w:p w:rsidR="001C19F7" w:rsidRPr="00867291" w:rsidRDefault="001C19F7" w:rsidP="008B1CDA">
            <w:pPr>
              <w:spacing w:after="120"/>
              <w:rPr>
                <w:color w:val="000000" w:themeColor="text1"/>
                <w:sz w:val="16"/>
                <w:szCs w:val="16"/>
              </w:rPr>
            </w:pPr>
            <w:proofErr w:type="spellStart"/>
            <w:r w:rsidRPr="00867291">
              <w:rPr>
                <w:color w:val="000000" w:themeColor="text1"/>
                <w:sz w:val="16"/>
              </w:rPr>
              <w:t>N.d</w:t>
            </w:r>
            <w:proofErr w:type="spellEnd"/>
            <w:r w:rsidRPr="00867291">
              <w:rPr>
                <w:color w:val="000000" w:themeColor="text1"/>
                <w:sz w:val="16"/>
              </w:rPr>
              <w:t>. (OOS)</w:t>
            </w:r>
          </w:p>
        </w:tc>
        <w:tc>
          <w:tcPr>
            <w:tcW w:w="843" w:type="pct"/>
            <w:gridSpan w:val="5"/>
            <w:tcBorders>
              <w:top w:val="nil"/>
              <w:left w:val="nil"/>
              <w:bottom w:val="single" w:sz="4" w:space="0" w:color="auto"/>
              <w:right w:val="nil"/>
            </w:tcBorders>
            <w:shd w:val="clear" w:color="auto" w:fill="auto"/>
            <w:tcMar>
              <w:top w:w="110" w:type="dxa"/>
            </w:tcMar>
          </w:tcPr>
          <w:p w:rsidR="001C19F7" w:rsidRPr="00867291" w:rsidRDefault="001C19F7" w:rsidP="008B1CDA">
            <w:pPr>
              <w:spacing w:after="120"/>
              <w:rPr>
                <w:color w:val="000000" w:themeColor="text1"/>
                <w:sz w:val="16"/>
                <w:szCs w:val="16"/>
              </w:rPr>
            </w:pPr>
            <w:r w:rsidRPr="00867291">
              <w:rPr>
                <w:color w:val="000000" w:themeColor="text1"/>
                <w:sz w:val="16"/>
              </w:rPr>
              <w:t>Por determinar (OOB)</w:t>
            </w:r>
          </w:p>
          <w:p w:rsidR="001C19F7" w:rsidRPr="00867291" w:rsidRDefault="001C19F7" w:rsidP="008B1CDA">
            <w:pPr>
              <w:spacing w:after="120"/>
              <w:rPr>
                <w:color w:val="000000" w:themeColor="text1"/>
                <w:sz w:val="16"/>
                <w:szCs w:val="16"/>
              </w:rPr>
            </w:pPr>
            <w:r w:rsidRPr="00867291">
              <w:rPr>
                <w:color w:val="000000" w:themeColor="text1"/>
                <w:sz w:val="16"/>
              </w:rPr>
              <w:t>Por determinar (OOJ)</w:t>
            </w:r>
          </w:p>
          <w:p w:rsidR="001C19F7" w:rsidRPr="00867291" w:rsidRDefault="001C19F7" w:rsidP="008B1CDA">
            <w:pPr>
              <w:spacing w:after="120"/>
              <w:rPr>
                <w:color w:val="000000" w:themeColor="text1"/>
                <w:sz w:val="16"/>
                <w:szCs w:val="16"/>
              </w:rPr>
            </w:pPr>
            <w:r w:rsidRPr="00867291">
              <w:rPr>
                <w:color w:val="000000" w:themeColor="text1"/>
                <w:sz w:val="16"/>
              </w:rPr>
              <w:t>En el 95% de los casos se responde en un plazo de tres días laborables (OOS)</w:t>
            </w:r>
          </w:p>
        </w:tc>
        <w:tc>
          <w:tcPr>
            <w:tcW w:w="1575" w:type="pct"/>
            <w:gridSpan w:val="6"/>
            <w:tcBorders>
              <w:top w:val="nil"/>
              <w:left w:val="nil"/>
              <w:bottom w:val="single" w:sz="4" w:space="0" w:color="auto"/>
              <w:right w:val="nil"/>
            </w:tcBorders>
            <w:shd w:val="clear" w:color="auto" w:fill="FFFFFF"/>
            <w:tcMar>
              <w:top w:w="110" w:type="dxa"/>
            </w:tcMar>
          </w:tcPr>
          <w:p w:rsidR="001C19F7" w:rsidRPr="00867291" w:rsidRDefault="001C19F7" w:rsidP="008B1CDA">
            <w:pPr>
              <w:spacing w:after="120"/>
              <w:rPr>
                <w:color w:val="000000" w:themeColor="text1"/>
                <w:sz w:val="16"/>
                <w:szCs w:val="16"/>
              </w:rPr>
            </w:pPr>
            <w:r w:rsidRPr="00867291">
              <w:rPr>
                <w:color w:val="000000" w:themeColor="text1"/>
                <w:sz w:val="16"/>
              </w:rPr>
              <w:t>No se dispone de datos (OOB)</w:t>
            </w:r>
          </w:p>
          <w:p w:rsidR="001C19F7" w:rsidRPr="00867291" w:rsidRDefault="001C19F7" w:rsidP="008B1CDA">
            <w:pPr>
              <w:spacing w:after="120"/>
              <w:rPr>
                <w:color w:val="000000" w:themeColor="text1"/>
                <w:sz w:val="16"/>
                <w:szCs w:val="16"/>
              </w:rPr>
            </w:pPr>
            <w:r w:rsidRPr="00867291">
              <w:rPr>
                <w:color w:val="000000" w:themeColor="text1"/>
                <w:sz w:val="16"/>
              </w:rPr>
              <w:t>En el 99% de los casos se responde en un plazo de tres días laborables (OOJ)</w:t>
            </w:r>
          </w:p>
          <w:p w:rsidR="001C19F7" w:rsidRPr="00867291" w:rsidRDefault="001C19F7" w:rsidP="008B1CDA">
            <w:pPr>
              <w:spacing w:after="120"/>
              <w:rPr>
                <w:color w:val="000000" w:themeColor="text1"/>
                <w:sz w:val="16"/>
                <w:szCs w:val="16"/>
              </w:rPr>
            </w:pPr>
            <w:r w:rsidRPr="00867291">
              <w:rPr>
                <w:color w:val="000000" w:themeColor="text1"/>
                <w:sz w:val="16"/>
              </w:rPr>
              <w:t>En el 95% de los casos se responde en un plazo de tres días laborables (OOS)</w:t>
            </w:r>
          </w:p>
        </w:tc>
        <w:tc>
          <w:tcPr>
            <w:tcW w:w="576" w:type="pct"/>
            <w:tcBorders>
              <w:top w:val="nil"/>
              <w:left w:val="nil"/>
              <w:bottom w:val="single" w:sz="4" w:space="0" w:color="auto"/>
              <w:right w:val="single" w:sz="4" w:space="0" w:color="auto"/>
            </w:tcBorders>
            <w:shd w:val="clear" w:color="auto" w:fill="auto"/>
            <w:tcMar>
              <w:top w:w="110" w:type="dxa"/>
            </w:tcMar>
          </w:tcPr>
          <w:p w:rsidR="001C19F7" w:rsidRPr="00EF75DA" w:rsidRDefault="001C19F7" w:rsidP="008B1CDA">
            <w:pPr>
              <w:keepNext/>
              <w:keepLines/>
              <w:ind w:left="-117" w:right="20"/>
              <w:jc w:val="center"/>
              <w:rPr>
                <w:b/>
                <w:bCs/>
                <w:color w:val="808080" w:themeColor="background1" w:themeShade="80"/>
                <w:sz w:val="14"/>
                <w:szCs w:val="14"/>
              </w:rPr>
            </w:pPr>
            <w:r w:rsidRPr="00EF75DA">
              <w:rPr>
                <w:b/>
                <w:bCs/>
                <w:color w:val="808080" w:themeColor="background1" w:themeShade="80"/>
                <w:sz w:val="14"/>
                <w:szCs w:val="14"/>
              </w:rPr>
              <w:t>No mensurable</w:t>
            </w:r>
          </w:p>
          <w:p w:rsidR="001C19F7" w:rsidRPr="00EF75DA" w:rsidRDefault="001C19F7" w:rsidP="008B1CDA">
            <w:pPr>
              <w:keepNext/>
              <w:keepLines/>
              <w:ind w:left="-117" w:right="20"/>
              <w:jc w:val="center"/>
              <w:rPr>
                <w:b/>
                <w:bCs/>
                <w:color w:val="808080" w:themeColor="background1" w:themeShade="80"/>
                <w:sz w:val="14"/>
                <w:szCs w:val="14"/>
              </w:rPr>
            </w:pPr>
            <w:r w:rsidRPr="00EF75DA">
              <w:rPr>
                <w:b/>
                <w:bCs/>
                <w:color w:val="808080" w:themeColor="background1" w:themeShade="80"/>
                <w:sz w:val="14"/>
                <w:szCs w:val="14"/>
              </w:rPr>
              <w:t>No mensurable</w:t>
            </w:r>
          </w:p>
          <w:p w:rsidR="001C19F7" w:rsidRPr="00867291" w:rsidRDefault="001C19F7" w:rsidP="008B1CDA">
            <w:pPr>
              <w:keepNext/>
              <w:keepLines/>
              <w:ind w:left="-117" w:right="20"/>
              <w:jc w:val="center"/>
              <w:rPr>
                <w:b/>
                <w:bCs/>
                <w:color w:val="000000" w:themeColor="text1"/>
                <w:sz w:val="12"/>
                <w:szCs w:val="16"/>
              </w:rPr>
            </w:pPr>
          </w:p>
          <w:p w:rsidR="001C19F7" w:rsidRPr="00867291" w:rsidRDefault="00044DA1" w:rsidP="008B1CDA">
            <w:pPr>
              <w:keepNext/>
              <w:keepLines/>
              <w:ind w:left="-117" w:right="20"/>
              <w:jc w:val="center"/>
              <w:rPr>
                <w:b/>
                <w:bCs/>
                <w:color w:val="000000" w:themeColor="text1"/>
                <w:sz w:val="16"/>
                <w:szCs w:val="16"/>
              </w:rPr>
            </w:pPr>
            <w:r>
              <w:rPr>
                <w:b/>
                <w:bCs/>
                <w:color w:val="00B050"/>
                <w:sz w:val="16"/>
                <w:szCs w:val="16"/>
              </w:rPr>
              <w:t>Plenamente logrado</w:t>
            </w:r>
          </w:p>
        </w:tc>
      </w:tr>
      <w:tr w:rsidR="001C19F7" w:rsidRPr="00867291" w:rsidTr="008B1CDA">
        <w:tc>
          <w:tcPr>
            <w:tcW w:w="5000" w:type="pct"/>
            <w:gridSpan w:val="15"/>
            <w:tcBorders>
              <w:top w:val="single" w:sz="4" w:space="0" w:color="auto"/>
              <w:bottom w:val="single" w:sz="4" w:space="0" w:color="auto"/>
            </w:tcBorders>
            <w:shd w:val="clear" w:color="auto" w:fill="C6D9F1" w:themeFill="text2" w:themeFillTint="33"/>
          </w:tcPr>
          <w:p w:rsidR="001C19F7" w:rsidRPr="00867291" w:rsidRDefault="001C19F7" w:rsidP="008B1CDA">
            <w:pPr>
              <w:keepNext/>
              <w:keepLines/>
              <w:spacing w:before="120" w:after="120"/>
              <w:ind w:left="1985" w:hanging="1985"/>
              <w:rPr>
                <w:b/>
                <w:bCs/>
                <w:color w:val="000000" w:themeColor="text1"/>
                <w:sz w:val="16"/>
                <w:szCs w:val="16"/>
              </w:rPr>
            </w:pPr>
            <w:r w:rsidRPr="00867291">
              <w:rPr>
                <w:b/>
                <w:color w:val="000000" w:themeColor="text1"/>
                <w:sz w:val="16"/>
              </w:rPr>
              <w:t>Resultado previsto:</w:t>
            </w:r>
            <w:r w:rsidRPr="00867291">
              <w:rPr>
                <w:color w:val="000000" w:themeColor="text1"/>
              </w:rPr>
              <w:tab/>
            </w:r>
            <w:r w:rsidRPr="00867291">
              <w:rPr>
                <w:color w:val="000000" w:themeColor="text1"/>
                <w:sz w:val="16"/>
              </w:rPr>
              <w:t>VIII.4 Intercambios abiertos, transparentes y dinámicos con las organizaciones no gubernamentales</w:t>
            </w:r>
          </w:p>
        </w:tc>
      </w:tr>
      <w:tr w:rsidR="001C19F7" w:rsidRPr="00867291" w:rsidTr="008B1CDA">
        <w:tc>
          <w:tcPr>
            <w:tcW w:w="1103" w:type="pct"/>
            <w:tcBorders>
              <w:top w:val="single" w:sz="4" w:space="0" w:color="auto"/>
              <w:left w:val="single" w:sz="4" w:space="0" w:color="auto"/>
              <w:bottom w:val="nil"/>
              <w:right w:val="nil"/>
            </w:tcBorders>
            <w:shd w:val="clear" w:color="auto" w:fill="auto"/>
          </w:tcPr>
          <w:p w:rsidR="001C19F7" w:rsidRPr="00867291" w:rsidRDefault="001C19F7" w:rsidP="008B1CDA">
            <w:pPr>
              <w:rPr>
                <w:color w:val="000000" w:themeColor="text1"/>
                <w:sz w:val="16"/>
                <w:szCs w:val="16"/>
              </w:rPr>
            </w:pPr>
            <w:r w:rsidRPr="00867291">
              <w:rPr>
                <w:b/>
                <w:color w:val="000000" w:themeColor="text1"/>
                <w:sz w:val="16"/>
              </w:rPr>
              <w:t>Indicadores de rendimiento</w:t>
            </w:r>
          </w:p>
        </w:tc>
        <w:tc>
          <w:tcPr>
            <w:tcW w:w="902" w:type="pct"/>
            <w:gridSpan w:val="2"/>
            <w:tcBorders>
              <w:top w:val="single" w:sz="4" w:space="0" w:color="auto"/>
              <w:left w:val="nil"/>
              <w:bottom w:val="nil"/>
              <w:right w:val="nil"/>
            </w:tcBorders>
            <w:shd w:val="clear" w:color="auto" w:fill="auto"/>
          </w:tcPr>
          <w:p w:rsidR="001C19F7" w:rsidRPr="00867291" w:rsidRDefault="001C19F7" w:rsidP="008B1CDA">
            <w:pPr>
              <w:rPr>
                <w:i/>
                <w:color w:val="000000" w:themeColor="text1"/>
                <w:sz w:val="16"/>
                <w:szCs w:val="16"/>
              </w:rPr>
            </w:pPr>
            <w:r w:rsidRPr="00867291">
              <w:rPr>
                <w:b/>
                <w:color w:val="000000" w:themeColor="text1"/>
                <w:sz w:val="16"/>
              </w:rPr>
              <w:t>Referencia</w:t>
            </w:r>
          </w:p>
        </w:tc>
        <w:tc>
          <w:tcPr>
            <w:tcW w:w="843" w:type="pct"/>
            <w:gridSpan w:val="5"/>
            <w:tcBorders>
              <w:top w:val="single" w:sz="4" w:space="0" w:color="auto"/>
              <w:left w:val="nil"/>
              <w:bottom w:val="nil"/>
              <w:right w:val="nil"/>
            </w:tcBorders>
            <w:shd w:val="clear" w:color="auto" w:fill="auto"/>
            <w:tcMar>
              <w:top w:w="110" w:type="dxa"/>
            </w:tcMar>
          </w:tcPr>
          <w:p w:rsidR="001C19F7" w:rsidRPr="00867291" w:rsidRDefault="001C19F7" w:rsidP="008B1CDA">
            <w:pPr>
              <w:rPr>
                <w:color w:val="000000" w:themeColor="text1"/>
                <w:sz w:val="16"/>
                <w:szCs w:val="16"/>
              </w:rPr>
            </w:pPr>
            <w:r w:rsidRPr="00867291">
              <w:rPr>
                <w:b/>
                <w:color w:val="000000" w:themeColor="text1"/>
                <w:sz w:val="16"/>
              </w:rPr>
              <w:t>Objetivos</w:t>
            </w:r>
          </w:p>
        </w:tc>
        <w:tc>
          <w:tcPr>
            <w:tcW w:w="1569" w:type="pct"/>
            <w:gridSpan w:val="5"/>
            <w:tcBorders>
              <w:top w:val="single" w:sz="4" w:space="0" w:color="auto"/>
              <w:left w:val="nil"/>
              <w:bottom w:val="nil"/>
              <w:right w:val="nil"/>
            </w:tcBorders>
            <w:shd w:val="clear" w:color="auto" w:fill="FFFFFF"/>
            <w:tcMar>
              <w:top w:w="110" w:type="dxa"/>
            </w:tcMar>
          </w:tcPr>
          <w:p w:rsidR="001C19F7" w:rsidRPr="00867291" w:rsidRDefault="001C19F7" w:rsidP="008B1CDA">
            <w:pPr>
              <w:rPr>
                <w:color w:val="000000" w:themeColor="text1"/>
                <w:sz w:val="16"/>
                <w:szCs w:val="16"/>
              </w:rPr>
            </w:pPr>
            <w:r w:rsidRPr="00867291">
              <w:rPr>
                <w:b/>
                <w:color w:val="000000" w:themeColor="text1"/>
                <w:sz w:val="16"/>
              </w:rPr>
              <w:t>Datos sobre el rendimiento</w:t>
            </w:r>
          </w:p>
        </w:tc>
        <w:tc>
          <w:tcPr>
            <w:tcW w:w="583" w:type="pct"/>
            <w:gridSpan w:val="2"/>
            <w:tcBorders>
              <w:top w:val="single" w:sz="4" w:space="0" w:color="auto"/>
              <w:left w:val="nil"/>
              <w:bottom w:val="nil"/>
              <w:right w:val="single" w:sz="4" w:space="0" w:color="auto"/>
            </w:tcBorders>
            <w:shd w:val="clear" w:color="auto" w:fill="auto"/>
            <w:tcMar>
              <w:top w:w="110" w:type="dxa"/>
            </w:tcMar>
          </w:tcPr>
          <w:p w:rsidR="001C19F7" w:rsidRPr="00867291" w:rsidRDefault="001C19F7" w:rsidP="008B1CDA">
            <w:pPr>
              <w:keepNext/>
              <w:keepLines/>
              <w:ind w:left="71" w:right="20"/>
              <w:jc w:val="center"/>
              <w:rPr>
                <w:b/>
                <w:bCs/>
                <w:color w:val="000000" w:themeColor="text1"/>
                <w:sz w:val="16"/>
                <w:szCs w:val="16"/>
              </w:rPr>
            </w:pPr>
            <w:r w:rsidRPr="00867291">
              <w:rPr>
                <w:b/>
                <w:color w:val="000000" w:themeColor="text1"/>
                <w:sz w:val="16"/>
              </w:rPr>
              <w:t>Clave de colores</w:t>
            </w:r>
          </w:p>
        </w:tc>
      </w:tr>
      <w:tr w:rsidR="001C19F7" w:rsidRPr="00867291" w:rsidTr="008B1CDA">
        <w:tc>
          <w:tcPr>
            <w:tcW w:w="1103" w:type="pct"/>
            <w:tcBorders>
              <w:top w:val="nil"/>
              <w:left w:val="single" w:sz="4" w:space="0" w:color="auto"/>
              <w:bottom w:val="single" w:sz="4" w:space="0" w:color="auto"/>
              <w:right w:val="nil"/>
            </w:tcBorders>
            <w:shd w:val="clear" w:color="auto" w:fill="auto"/>
          </w:tcPr>
          <w:p w:rsidR="001C19F7" w:rsidRPr="00867291" w:rsidRDefault="001C19F7" w:rsidP="008B1CDA">
            <w:pPr>
              <w:rPr>
                <w:color w:val="000000" w:themeColor="text1"/>
                <w:sz w:val="16"/>
                <w:szCs w:val="16"/>
              </w:rPr>
            </w:pPr>
            <w:r w:rsidRPr="00867291">
              <w:rPr>
                <w:color w:val="000000" w:themeColor="text1"/>
                <w:sz w:val="16"/>
              </w:rPr>
              <w:t>Participación eficaz y en mayor grado de las partes interesadas no gubernamentales en las actividades de la OMPI y viceversa</w:t>
            </w:r>
          </w:p>
        </w:tc>
        <w:tc>
          <w:tcPr>
            <w:tcW w:w="902" w:type="pct"/>
            <w:gridSpan w:val="2"/>
            <w:tcBorders>
              <w:top w:val="nil"/>
              <w:left w:val="nil"/>
              <w:bottom w:val="single" w:sz="4" w:space="0" w:color="auto"/>
              <w:right w:val="nil"/>
            </w:tcBorders>
            <w:shd w:val="clear" w:color="auto" w:fill="auto"/>
          </w:tcPr>
          <w:p w:rsidR="001C19F7" w:rsidRPr="00867291" w:rsidRDefault="001C19F7" w:rsidP="008B1CDA">
            <w:pPr>
              <w:spacing w:after="160"/>
              <w:rPr>
                <w:i/>
                <w:color w:val="000000" w:themeColor="text1"/>
                <w:sz w:val="16"/>
                <w:szCs w:val="16"/>
              </w:rPr>
            </w:pPr>
            <w:r w:rsidRPr="00EF75DA">
              <w:rPr>
                <w:i/>
                <w:color w:val="002060"/>
                <w:sz w:val="16"/>
                <w:szCs w:val="16"/>
                <w:lang w:eastAsia="en-US"/>
              </w:rPr>
              <w:t>Referencia actualizada a fines de 2013</w:t>
            </w:r>
            <w:r w:rsidRPr="00867291">
              <w:rPr>
                <w:i/>
                <w:color w:val="000000" w:themeColor="text1"/>
                <w:sz w:val="16"/>
              </w:rPr>
              <w:t xml:space="preserve">:  </w:t>
            </w:r>
          </w:p>
          <w:p w:rsidR="001C19F7" w:rsidRPr="00867291" w:rsidRDefault="001C19F7" w:rsidP="008B1CDA">
            <w:pPr>
              <w:spacing w:after="160"/>
              <w:rPr>
                <w:color w:val="000000" w:themeColor="text1"/>
                <w:sz w:val="16"/>
                <w:szCs w:val="16"/>
              </w:rPr>
            </w:pPr>
            <w:r w:rsidRPr="00EF75DA">
              <w:rPr>
                <w:color w:val="002060"/>
                <w:sz w:val="16"/>
                <w:szCs w:val="16"/>
                <w:lang w:eastAsia="en-US"/>
              </w:rPr>
              <w:t>Al 31 de diciembre de 2013 habían asistido a sesiones de comités de la OMPI 227 representantes de ONG que gozan de la condición de observador permanente</w:t>
            </w:r>
          </w:p>
          <w:p w:rsidR="001C19F7" w:rsidRPr="00867291" w:rsidRDefault="001C19F7" w:rsidP="008B1CDA">
            <w:pPr>
              <w:rPr>
                <w:i/>
                <w:color w:val="000000" w:themeColor="text1"/>
                <w:sz w:val="16"/>
                <w:szCs w:val="16"/>
              </w:rPr>
            </w:pPr>
            <w:r w:rsidRPr="00867291">
              <w:rPr>
                <w:i/>
                <w:color w:val="000000" w:themeColor="text1"/>
                <w:sz w:val="16"/>
              </w:rPr>
              <w:t xml:space="preserve">Referencia original en el presupuesto de 2014/15: </w:t>
            </w:r>
            <w:r w:rsidRPr="00867291">
              <w:rPr>
                <w:color w:val="000000" w:themeColor="text1"/>
                <w:sz w:val="16"/>
              </w:rPr>
              <w:t>por determinar</w:t>
            </w:r>
          </w:p>
        </w:tc>
        <w:tc>
          <w:tcPr>
            <w:tcW w:w="843" w:type="pct"/>
            <w:gridSpan w:val="5"/>
            <w:tcBorders>
              <w:top w:val="nil"/>
              <w:left w:val="nil"/>
              <w:bottom w:val="single" w:sz="4" w:space="0" w:color="auto"/>
              <w:right w:val="nil"/>
            </w:tcBorders>
            <w:shd w:val="clear" w:color="auto" w:fill="auto"/>
            <w:tcMar>
              <w:top w:w="110" w:type="dxa"/>
            </w:tcMar>
          </w:tcPr>
          <w:p w:rsidR="001C19F7" w:rsidRPr="00867291" w:rsidRDefault="001C19F7" w:rsidP="008B1CDA">
            <w:pPr>
              <w:rPr>
                <w:color w:val="000000" w:themeColor="text1"/>
                <w:sz w:val="16"/>
                <w:szCs w:val="16"/>
              </w:rPr>
            </w:pPr>
            <w:r w:rsidRPr="00867291">
              <w:rPr>
                <w:color w:val="000000" w:themeColor="text1"/>
                <w:sz w:val="16"/>
              </w:rPr>
              <w:t>Aumento del 10% en la participación de diversas partes interesadas</w:t>
            </w:r>
          </w:p>
          <w:p w:rsidR="001C19F7" w:rsidRPr="00867291" w:rsidRDefault="001C19F7" w:rsidP="008B1CDA">
            <w:pPr>
              <w:rPr>
                <w:color w:val="000000" w:themeColor="text1"/>
                <w:sz w:val="16"/>
                <w:szCs w:val="16"/>
              </w:rPr>
            </w:pPr>
          </w:p>
        </w:tc>
        <w:tc>
          <w:tcPr>
            <w:tcW w:w="1569" w:type="pct"/>
            <w:gridSpan w:val="5"/>
            <w:tcBorders>
              <w:top w:val="nil"/>
              <w:left w:val="nil"/>
              <w:bottom w:val="single" w:sz="4" w:space="0" w:color="auto"/>
              <w:right w:val="nil"/>
            </w:tcBorders>
            <w:shd w:val="clear" w:color="auto" w:fill="FFFFFF"/>
            <w:tcMar>
              <w:top w:w="110" w:type="dxa"/>
            </w:tcMar>
          </w:tcPr>
          <w:p w:rsidR="001C19F7" w:rsidRPr="00867291" w:rsidRDefault="001C19F7" w:rsidP="008B1CDA">
            <w:pPr>
              <w:rPr>
                <w:color w:val="000000" w:themeColor="text1"/>
                <w:sz w:val="16"/>
                <w:szCs w:val="16"/>
              </w:rPr>
            </w:pPr>
            <w:r w:rsidRPr="00867291">
              <w:rPr>
                <w:color w:val="000000" w:themeColor="text1"/>
                <w:sz w:val="16"/>
              </w:rPr>
              <w:t>En 2014, 292 representantes de ONG con acreditación permanente asistieron a sesiones de comités de la OMPI (13), es decir, el 71,4% del número total de observadores presentes en esas reuniones.</w:t>
            </w:r>
          </w:p>
          <w:p w:rsidR="001C19F7" w:rsidRPr="00867291" w:rsidRDefault="001C19F7" w:rsidP="008B1CDA">
            <w:pPr>
              <w:rPr>
                <w:color w:val="000000" w:themeColor="text1"/>
                <w:sz w:val="16"/>
                <w:szCs w:val="16"/>
              </w:rPr>
            </w:pPr>
          </w:p>
          <w:p w:rsidR="001C19F7" w:rsidRPr="00867291" w:rsidRDefault="001C19F7" w:rsidP="008B1CDA">
            <w:pPr>
              <w:rPr>
                <w:color w:val="000000" w:themeColor="text1"/>
                <w:sz w:val="16"/>
                <w:szCs w:val="16"/>
              </w:rPr>
            </w:pPr>
            <w:r w:rsidRPr="00867291">
              <w:rPr>
                <w:color w:val="000000" w:themeColor="text1"/>
                <w:sz w:val="16"/>
              </w:rPr>
              <w:t>En 2015, 196 representantes de ONG con acreditación permanente asistieron a sesiones de comités de la OMPI, es decir, el 85,3% del número total de observadores presentes en esas reuniones, lo que implica un aumento del 13,9% con respecto a 2014.</w:t>
            </w:r>
          </w:p>
        </w:tc>
        <w:tc>
          <w:tcPr>
            <w:tcW w:w="583" w:type="pct"/>
            <w:gridSpan w:val="2"/>
            <w:tcBorders>
              <w:top w:val="nil"/>
              <w:left w:val="nil"/>
              <w:bottom w:val="single" w:sz="4" w:space="0" w:color="auto"/>
              <w:right w:val="single" w:sz="4" w:space="0" w:color="auto"/>
            </w:tcBorders>
            <w:shd w:val="clear" w:color="auto" w:fill="auto"/>
            <w:tcMar>
              <w:top w:w="110" w:type="dxa"/>
            </w:tcMar>
          </w:tcPr>
          <w:p w:rsidR="001C19F7" w:rsidRPr="00867291" w:rsidRDefault="00044DA1" w:rsidP="008B1CDA">
            <w:pPr>
              <w:keepNext/>
              <w:keepLines/>
              <w:ind w:left="-107" w:right="20"/>
              <w:jc w:val="center"/>
              <w:rPr>
                <w:b/>
                <w:bCs/>
                <w:color w:val="000000" w:themeColor="text1"/>
                <w:sz w:val="16"/>
                <w:szCs w:val="16"/>
              </w:rPr>
            </w:pPr>
            <w:proofErr w:type="spellStart"/>
            <w:r>
              <w:rPr>
                <w:b/>
                <w:bCs/>
                <w:color w:val="00B050"/>
                <w:sz w:val="16"/>
                <w:szCs w:val="16"/>
                <w:lang w:val="en-US"/>
              </w:rPr>
              <w:t>Plenamente</w:t>
            </w:r>
            <w:proofErr w:type="spellEnd"/>
            <w:r>
              <w:rPr>
                <w:b/>
                <w:bCs/>
                <w:color w:val="00B050"/>
                <w:sz w:val="16"/>
                <w:szCs w:val="16"/>
                <w:lang w:val="en-US"/>
              </w:rPr>
              <w:t xml:space="preserve"> </w:t>
            </w:r>
            <w:proofErr w:type="spellStart"/>
            <w:r>
              <w:rPr>
                <w:b/>
                <w:bCs/>
                <w:color w:val="00B050"/>
                <w:sz w:val="16"/>
                <w:szCs w:val="16"/>
                <w:lang w:val="en-US"/>
              </w:rPr>
              <w:t>logrado</w:t>
            </w:r>
            <w:proofErr w:type="spellEnd"/>
          </w:p>
        </w:tc>
      </w:tr>
      <w:tr w:rsidR="001C19F7" w:rsidRPr="00867291" w:rsidTr="008B1CDA">
        <w:tc>
          <w:tcPr>
            <w:tcW w:w="5000" w:type="pct"/>
            <w:gridSpan w:val="15"/>
            <w:tcBorders>
              <w:top w:val="single" w:sz="4" w:space="0" w:color="auto"/>
              <w:bottom w:val="single" w:sz="4" w:space="0" w:color="auto"/>
            </w:tcBorders>
            <w:shd w:val="clear" w:color="auto" w:fill="C6D9F1" w:themeFill="text2" w:themeFillTint="33"/>
          </w:tcPr>
          <w:p w:rsidR="001C19F7" w:rsidRPr="00867291" w:rsidRDefault="001C19F7" w:rsidP="00E37C27">
            <w:pPr>
              <w:keepNext/>
              <w:spacing w:before="120" w:after="120"/>
              <w:ind w:left="1985" w:hanging="1985"/>
              <w:rPr>
                <w:b/>
                <w:bCs/>
                <w:color w:val="000000" w:themeColor="text1"/>
                <w:sz w:val="16"/>
                <w:szCs w:val="16"/>
              </w:rPr>
            </w:pPr>
            <w:r w:rsidRPr="00867291">
              <w:rPr>
                <w:b/>
                <w:color w:val="000000" w:themeColor="text1"/>
                <w:sz w:val="16"/>
              </w:rPr>
              <w:lastRenderedPageBreak/>
              <w:t>Resultado previsto:</w:t>
            </w:r>
            <w:r w:rsidRPr="00867291">
              <w:rPr>
                <w:color w:val="000000" w:themeColor="text1"/>
              </w:rPr>
              <w:tab/>
            </w:r>
            <w:r w:rsidRPr="00867291">
              <w:rPr>
                <w:color w:val="000000" w:themeColor="text1"/>
                <w:sz w:val="16"/>
              </w:rPr>
              <w:t>VIII.5 La OMPI participa y colabora eficazmente en los procesos y negociaciones de las NN.UU. y otras OIG</w:t>
            </w:r>
          </w:p>
        </w:tc>
      </w:tr>
      <w:tr w:rsidR="001C19F7" w:rsidRPr="00867291" w:rsidTr="002005BB">
        <w:tc>
          <w:tcPr>
            <w:tcW w:w="1103" w:type="pct"/>
            <w:tcBorders>
              <w:top w:val="single" w:sz="4" w:space="0" w:color="auto"/>
              <w:left w:val="single" w:sz="4" w:space="0" w:color="auto"/>
              <w:bottom w:val="nil"/>
              <w:right w:val="nil"/>
            </w:tcBorders>
            <w:shd w:val="clear" w:color="auto" w:fill="auto"/>
          </w:tcPr>
          <w:p w:rsidR="001C19F7" w:rsidRPr="00867291" w:rsidRDefault="001C19F7" w:rsidP="00E37C27">
            <w:pPr>
              <w:keepNext/>
              <w:rPr>
                <w:color w:val="000000" w:themeColor="text1"/>
                <w:sz w:val="16"/>
                <w:szCs w:val="16"/>
              </w:rPr>
            </w:pPr>
            <w:r w:rsidRPr="00867291">
              <w:rPr>
                <w:b/>
                <w:color w:val="000000" w:themeColor="text1"/>
                <w:sz w:val="16"/>
              </w:rPr>
              <w:t>Indicadores de rendimiento</w:t>
            </w:r>
          </w:p>
        </w:tc>
        <w:tc>
          <w:tcPr>
            <w:tcW w:w="902" w:type="pct"/>
            <w:gridSpan w:val="2"/>
            <w:tcBorders>
              <w:top w:val="single" w:sz="4" w:space="0" w:color="auto"/>
              <w:left w:val="nil"/>
              <w:bottom w:val="nil"/>
              <w:right w:val="nil"/>
            </w:tcBorders>
            <w:shd w:val="clear" w:color="auto" w:fill="auto"/>
          </w:tcPr>
          <w:p w:rsidR="001C19F7" w:rsidRPr="00867291" w:rsidRDefault="001C19F7" w:rsidP="00E37C27">
            <w:pPr>
              <w:keepNext/>
              <w:rPr>
                <w:i/>
                <w:color w:val="000000" w:themeColor="text1"/>
                <w:sz w:val="16"/>
                <w:szCs w:val="16"/>
              </w:rPr>
            </w:pPr>
            <w:r w:rsidRPr="00867291">
              <w:rPr>
                <w:b/>
                <w:color w:val="000000" w:themeColor="text1"/>
                <w:sz w:val="16"/>
              </w:rPr>
              <w:t>Referencia</w:t>
            </w:r>
          </w:p>
        </w:tc>
        <w:tc>
          <w:tcPr>
            <w:tcW w:w="843" w:type="pct"/>
            <w:gridSpan w:val="5"/>
            <w:tcBorders>
              <w:top w:val="single" w:sz="4" w:space="0" w:color="auto"/>
              <w:left w:val="nil"/>
              <w:bottom w:val="nil"/>
              <w:right w:val="nil"/>
            </w:tcBorders>
            <w:shd w:val="clear" w:color="auto" w:fill="auto"/>
            <w:tcMar>
              <w:top w:w="110" w:type="dxa"/>
            </w:tcMar>
          </w:tcPr>
          <w:p w:rsidR="001C19F7" w:rsidRPr="00867291" w:rsidRDefault="001C19F7" w:rsidP="00E37C27">
            <w:pPr>
              <w:keepNext/>
              <w:rPr>
                <w:color w:val="000000" w:themeColor="text1"/>
                <w:sz w:val="16"/>
                <w:szCs w:val="16"/>
              </w:rPr>
            </w:pPr>
            <w:r w:rsidRPr="00867291">
              <w:rPr>
                <w:b/>
                <w:color w:val="000000" w:themeColor="text1"/>
                <w:sz w:val="16"/>
              </w:rPr>
              <w:t>Objetivos</w:t>
            </w:r>
          </w:p>
        </w:tc>
        <w:tc>
          <w:tcPr>
            <w:tcW w:w="1575" w:type="pct"/>
            <w:gridSpan w:val="6"/>
            <w:tcBorders>
              <w:top w:val="single" w:sz="4" w:space="0" w:color="auto"/>
              <w:left w:val="nil"/>
              <w:bottom w:val="nil"/>
              <w:right w:val="nil"/>
            </w:tcBorders>
            <w:shd w:val="clear" w:color="auto" w:fill="FFFFFF"/>
            <w:tcMar>
              <w:top w:w="110" w:type="dxa"/>
            </w:tcMar>
          </w:tcPr>
          <w:p w:rsidR="001C19F7" w:rsidRPr="00867291" w:rsidRDefault="001C19F7" w:rsidP="00E37C27">
            <w:pPr>
              <w:keepNext/>
              <w:rPr>
                <w:color w:val="000000" w:themeColor="text1"/>
                <w:sz w:val="16"/>
                <w:szCs w:val="16"/>
              </w:rPr>
            </w:pPr>
            <w:r w:rsidRPr="00867291">
              <w:rPr>
                <w:b/>
                <w:color w:val="000000" w:themeColor="text1"/>
                <w:sz w:val="16"/>
              </w:rPr>
              <w:t>Datos sobre el rendimiento</w:t>
            </w:r>
          </w:p>
        </w:tc>
        <w:tc>
          <w:tcPr>
            <w:tcW w:w="576" w:type="pct"/>
            <w:tcBorders>
              <w:top w:val="single" w:sz="4" w:space="0" w:color="auto"/>
              <w:left w:val="nil"/>
              <w:bottom w:val="nil"/>
              <w:right w:val="single" w:sz="4" w:space="0" w:color="auto"/>
            </w:tcBorders>
            <w:shd w:val="clear" w:color="auto" w:fill="auto"/>
            <w:tcMar>
              <w:top w:w="110" w:type="dxa"/>
            </w:tcMar>
          </w:tcPr>
          <w:p w:rsidR="001C19F7" w:rsidRPr="00867291" w:rsidRDefault="001C19F7" w:rsidP="00E37C27">
            <w:pPr>
              <w:keepNext/>
              <w:keepLines/>
              <w:ind w:left="71" w:right="20"/>
              <w:jc w:val="center"/>
              <w:rPr>
                <w:b/>
                <w:bCs/>
                <w:color w:val="000000" w:themeColor="text1"/>
                <w:sz w:val="16"/>
                <w:szCs w:val="16"/>
              </w:rPr>
            </w:pPr>
            <w:r w:rsidRPr="00867291">
              <w:rPr>
                <w:b/>
                <w:color w:val="000000" w:themeColor="text1"/>
                <w:sz w:val="16"/>
              </w:rPr>
              <w:t>Clave de colores</w:t>
            </w:r>
          </w:p>
        </w:tc>
      </w:tr>
      <w:tr w:rsidR="001C19F7" w:rsidRPr="00867291" w:rsidTr="002005BB">
        <w:trPr>
          <w:trHeight w:val="1887"/>
        </w:trPr>
        <w:tc>
          <w:tcPr>
            <w:tcW w:w="1103" w:type="pct"/>
            <w:tcBorders>
              <w:top w:val="nil"/>
              <w:left w:val="single" w:sz="4" w:space="0" w:color="auto"/>
              <w:bottom w:val="nil"/>
              <w:right w:val="nil"/>
            </w:tcBorders>
            <w:shd w:val="clear" w:color="auto" w:fill="auto"/>
          </w:tcPr>
          <w:p w:rsidR="001C19F7" w:rsidRPr="00867291" w:rsidRDefault="001C19F7" w:rsidP="00E37C27">
            <w:pPr>
              <w:keepNext/>
              <w:rPr>
                <w:color w:val="000000" w:themeColor="text1"/>
                <w:sz w:val="16"/>
                <w:szCs w:val="16"/>
              </w:rPr>
            </w:pPr>
            <w:r w:rsidRPr="00867291">
              <w:rPr>
                <w:color w:val="000000" w:themeColor="text1"/>
                <w:sz w:val="16"/>
              </w:rPr>
              <w:t>Utilización de las aportaciones de la OMPI en informes, resoluciones y documentos de procesos de las partes interesadas</w:t>
            </w:r>
          </w:p>
        </w:tc>
        <w:tc>
          <w:tcPr>
            <w:tcW w:w="902" w:type="pct"/>
            <w:gridSpan w:val="2"/>
            <w:tcBorders>
              <w:top w:val="nil"/>
              <w:left w:val="nil"/>
              <w:bottom w:val="nil"/>
              <w:right w:val="nil"/>
            </w:tcBorders>
            <w:shd w:val="clear" w:color="auto" w:fill="auto"/>
          </w:tcPr>
          <w:p w:rsidR="001C19F7" w:rsidRPr="00867291" w:rsidRDefault="001C19F7" w:rsidP="00E37C27">
            <w:pPr>
              <w:keepNext/>
              <w:rPr>
                <w:i/>
                <w:color w:val="000000" w:themeColor="text1"/>
                <w:sz w:val="16"/>
                <w:szCs w:val="16"/>
              </w:rPr>
            </w:pPr>
            <w:r w:rsidRPr="00EF75DA">
              <w:rPr>
                <w:i/>
                <w:color w:val="002060"/>
                <w:sz w:val="16"/>
                <w:szCs w:val="16"/>
                <w:lang w:eastAsia="en-US"/>
              </w:rPr>
              <w:t>Referencia actualizada a fines de 2013:</w:t>
            </w:r>
            <w:r w:rsidRPr="00867291">
              <w:rPr>
                <w:i/>
                <w:color w:val="000000" w:themeColor="text1"/>
                <w:sz w:val="16"/>
              </w:rPr>
              <w:t xml:space="preserve">  </w:t>
            </w:r>
            <w:r w:rsidRPr="00EF75DA">
              <w:rPr>
                <w:color w:val="002060"/>
                <w:sz w:val="16"/>
                <w:szCs w:val="16"/>
                <w:lang w:eastAsia="en-US"/>
              </w:rPr>
              <w:t xml:space="preserve">38 aportaciones en 2012/13, todas las cuales se reflejaron </w:t>
            </w:r>
            <w:r w:rsidRPr="00867291">
              <w:rPr>
                <w:color w:val="000000" w:themeColor="text1"/>
                <w:sz w:val="16"/>
              </w:rPr>
              <w:t>satisfactoriamente</w:t>
            </w:r>
          </w:p>
          <w:p w:rsidR="001C19F7" w:rsidRPr="00867291" w:rsidRDefault="001C19F7" w:rsidP="00E37C27">
            <w:pPr>
              <w:keepNext/>
              <w:rPr>
                <w:i/>
                <w:color w:val="000000" w:themeColor="text1"/>
                <w:sz w:val="16"/>
                <w:szCs w:val="16"/>
              </w:rPr>
            </w:pPr>
            <w:r w:rsidRPr="00867291">
              <w:rPr>
                <w:i/>
                <w:color w:val="000000" w:themeColor="text1"/>
                <w:sz w:val="16"/>
              </w:rPr>
              <w:t xml:space="preserve">Referencia original en el presupuesto de 2014/15: </w:t>
            </w:r>
          </w:p>
          <w:p w:rsidR="001C19F7" w:rsidRPr="00867291" w:rsidRDefault="001C19F7" w:rsidP="00E37C27">
            <w:pPr>
              <w:keepNext/>
              <w:rPr>
                <w:i/>
                <w:color w:val="000000" w:themeColor="text1"/>
                <w:sz w:val="16"/>
                <w:szCs w:val="16"/>
              </w:rPr>
            </w:pPr>
            <w:r w:rsidRPr="00867291">
              <w:rPr>
                <w:color w:val="000000" w:themeColor="text1"/>
                <w:sz w:val="16"/>
              </w:rPr>
              <w:t>20 de 24 (a fines de 2011)</w:t>
            </w:r>
          </w:p>
        </w:tc>
        <w:tc>
          <w:tcPr>
            <w:tcW w:w="843" w:type="pct"/>
            <w:gridSpan w:val="5"/>
            <w:tcBorders>
              <w:top w:val="nil"/>
              <w:left w:val="nil"/>
              <w:bottom w:val="nil"/>
              <w:right w:val="nil"/>
            </w:tcBorders>
            <w:shd w:val="clear" w:color="auto" w:fill="auto"/>
            <w:tcMar>
              <w:top w:w="110" w:type="dxa"/>
            </w:tcMar>
          </w:tcPr>
          <w:p w:rsidR="001C19F7" w:rsidRPr="00867291" w:rsidRDefault="001C19F7" w:rsidP="00E37C27">
            <w:pPr>
              <w:keepNext/>
              <w:rPr>
                <w:color w:val="000000" w:themeColor="text1"/>
                <w:sz w:val="16"/>
                <w:szCs w:val="16"/>
              </w:rPr>
            </w:pPr>
            <w:r w:rsidRPr="00867291">
              <w:rPr>
                <w:color w:val="000000" w:themeColor="text1"/>
                <w:sz w:val="16"/>
              </w:rPr>
              <w:t>Uso al 100%</w:t>
            </w:r>
          </w:p>
        </w:tc>
        <w:tc>
          <w:tcPr>
            <w:tcW w:w="1575" w:type="pct"/>
            <w:gridSpan w:val="6"/>
            <w:tcBorders>
              <w:top w:val="nil"/>
              <w:left w:val="nil"/>
              <w:bottom w:val="nil"/>
              <w:right w:val="nil"/>
            </w:tcBorders>
            <w:shd w:val="clear" w:color="auto" w:fill="FFFFFF"/>
            <w:tcMar>
              <w:top w:w="110" w:type="dxa"/>
            </w:tcMar>
          </w:tcPr>
          <w:p w:rsidR="001C19F7" w:rsidRPr="00867291" w:rsidRDefault="001C19F7" w:rsidP="00E37C27">
            <w:pPr>
              <w:keepNext/>
              <w:rPr>
                <w:color w:val="000000" w:themeColor="text1"/>
                <w:sz w:val="16"/>
                <w:szCs w:val="16"/>
              </w:rPr>
            </w:pPr>
            <w:r w:rsidRPr="00867291">
              <w:rPr>
                <w:color w:val="000000" w:themeColor="text1"/>
                <w:sz w:val="16"/>
              </w:rPr>
              <w:t>33 aportaciones en 2014/15, todas las cuales se reflejaron satisfactoriamente</w:t>
            </w:r>
          </w:p>
        </w:tc>
        <w:tc>
          <w:tcPr>
            <w:tcW w:w="576" w:type="pct"/>
            <w:tcBorders>
              <w:top w:val="nil"/>
              <w:left w:val="nil"/>
              <w:bottom w:val="nil"/>
              <w:right w:val="single" w:sz="4" w:space="0" w:color="auto"/>
            </w:tcBorders>
            <w:shd w:val="clear" w:color="auto" w:fill="auto"/>
            <w:tcMar>
              <w:top w:w="110" w:type="dxa"/>
            </w:tcMar>
          </w:tcPr>
          <w:p w:rsidR="001C19F7" w:rsidRPr="00867291" w:rsidRDefault="00044DA1" w:rsidP="00E37C27">
            <w:pPr>
              <w:keepNext/>
              <w:keepLines/>
              <w:ind w:left="-116" w:right="20"/>
              <w:jc w:val="center"/>
              <w:rPr>
                <w:b/>
                <w:bCs/>
                <w:color w:val="000000" w:themeColor="text1"/>
                <w:sz w:val="16"/>
                <w:szCs w:val="16"/>
              </w:rPr>
            </w:pPr>
            <w:proofErr w:type="spellStart"/>
            <w:r>
              <w:rPr>
                <w:b/>
                <w:bCs/>
                <w:color w:val="00B050"/>
                <w:sz w:val="16"/>
                <w:szCs w:val="16"/>
                <w:lang w:val="en-US"/>
              </w:rPr>
              <w:t>Plenamente</w:t>
            </w:r>
            <w:proofErr w:type="spellEnd"/>
            <w:r>
              <w:rPr>
                <w:b/>
                <w:bCs/>
                <w:color w:val="00B050"/>
                <w:sz w:val="16"/>
                <w:szCs w:val="16"/>
                <w:lang w:val="en-US"/>
              </w:rPr>
              <w:t xml:space="preserve"> </w:t>
            </w:r>
            <w:proofErr w:type="spellStart"/>
            <w:r>
              <w:rPr>
                <w:b/>
                <w:bCs/>
                <w:color w:val="00B050"/>
                <w:sz w:val="16"/>
                <w:szCs w:val="16"/>
                <w:lang w:val="en-US"/>
              </w:rPr>
              <w:t>logrado</w:t>
            </w:r>
            <w:proofErr w:type="spellEnd"/>
          </w:p>
        </w:tc>
      </w:tr>
      <w:tr w:rsidR="001C19F7" w:rsidRPr="00867291" w:rsidTr="002005BB">
        <w:tc>
          <w:tcPr>
            <w:tcW w:w="1103" w:type="pct"/>
            <w:tcBorders>
              <w:top w:val="nil"/>
              <w:left w:val="single" w:sz="4" w:space="0" w:color="auto"/>
              <w:bottom w:val="nil"/>
              <w:right w:val="nil"/>
            </w:tcBorders>
            <w:shd w:val="clear" w:color="auto" w:fill="auto"/>
          </w:tcPr>
          <w:p w:rsidR="001C19F7" w:rsidRPr="00867291" w:rsidRDefault="001C19F7" w:rsidP="008B1CDA">
            <w:pPr>
              <w:keepNext/>
              <w:keepLines/>
              <w:rPr>
                <w:color w:val="000000" w:themeColor="text1"/>
                <w:sz w:val="16"/>
                <w:szCs w:val="16"/>
              </w:rPr>
            </w:pPr>
            <w:r w:rsidRPr="00867291">
              <w:rPr>
                <w:color w:val="000000" w:themeColor="text1"/>
                <w:sz w:val="16"/>
              </w:rPr>
              <w:t>Porcentaje de respuestas cursadas puntualmente atendiendo a peticiones externas de aportación por parte de las NN.UU., OIG, etc.</w:t>
            </w:r>
          </w:p>
        </w:tc>
        <w:tc>
          <w:tcPr>
            <w:tcW w:w="902" w:type="pct"/>
            <w:gridSpan w:val="2"/>
            <w:tcBorders>
              <w:top w:val="nil"/>
              <w:left w:val="nil"/>
              <w:bottom w:val="nil"/>
              <w:right w:val="nil"/>
            </w:tcBorders>
            <w:shd w:val="clear" w:color="auto" w:fill="auto"/>
          </w:tcPr>
          <w:p w:rsidR="001C19F7" w:rsidRPr="00867291" w:rsidRDefault="001C19F7" w:rsidP="008B1CDA">
            <w:pPr>
              <w:keepNext/>
              <w:keepLines/>
              <w:rPr>
                <w:color w:val="000000" w:themeColor="text1"/>
                <w:sz w:val="16"/>
                <w:szCs w:val="16"/>
              </w:rPr>
            </w:pPr>
            <w:r w:rsidRPr="00800FF4">
              <w:rPr>
                <w:color w:val="002060"/>
                <w:sz w:val="16"/>
                <w:szCs w:val="16"/>
                <w:lang w:eastAsia="en-US"/>
              </w:rPr>
              <w:t>Referencia actualizada a fines de 2013</w:t>
            </w:r>
            <w:r w:rsidRPr="00867291">
              <w:rPr>
                <w:i/>
                <w:color w:val="000000" w:themeColor="text1"/>
                <w:sz w:val="16"/>
              </w:rPr>
              <w:t xml:space="preserve">:  </w:t>
            </w:r>
            <w:r w:rsidRPr="00EF75DA">
              <w:rPr>
                <w:color w:val="002060"/>
                <w:sz w:val="16"/>
                <w:szCs w:val="16"/>
                <w:lang w:eastAsia="en-US"/>
              </w:rPr>
              <w:t>se procesó el 90,5% en el plazo de 5 días laborables</w:t>
            </w:r>
          </w:p>
          <w:p w:rsidR="001C19F7" w:rsidRPr="00867291" w:rsidRDefault="001C19F7" w:rsidP="008B1CDA">
            <w:pPr>
              <w:keepNext/>
              <w:keepLines/>
              <w:rPr>
                <w:i/>
                <w:color w:val="000000" w:themeColor="text1"/>
                <w:sz w:val="16"/>
                <w:szCs w:val="16"/>
              </w:rPr>
            </w:pPr>
            <w:r w:rsidRPr="00867291">
              <w:rPr>
                <w:i/>
                <w:color w:val="000000" w:themeColor="text1"/>
                <w:sz w:val="16"/>
              </w:rPr>
              <w:t xml:space="preserve">Referencia original en el presupuesto de 2014/15: </w:t>
            </w:r>
          </w:p>
          <w:p w:rsidR="001C19F7" w:rsidRPr="00867291" w:rsidDel="001B4F90" w:rsidRDefault="001C19F7" w:rsidP="008B1CDA">
            <w:pPr>
              <w:keepNext/>
              <w:keepLines/>
              <w:rPr>
                <w:i/>
                <w:color w:val="000000" w:themeColor="text1"/>
                <w:sz w:val="16"/>
                <w:szCs w:val="16"/>
              </w:rPr>
            </w:pPr>
            <w:r w:rsidRPr="00867291">
              <w:rPr>
                <w:color w:val="000000" w:themeColor="text1"/>
                <w:sz w:val="16"/>
              </w:rPr>
              <w:t>Por determinar (datos de 2012)</w:t>
            </w:r>
          </w:p>
        </w:tc>
        <w:tc>
          <w:tcPr>
            <w:tcW w:w="843" w:type="pct"/>
            <w:gridSpan w:val="5"/>
            <w:tcBorders>
              <w:top w:val="nil"/>
              <w:left w:val="nil"/>
              <w:bottom w:val="nil"/>
              <w:right w:val="nil"/>
            </w:tcBorders>
            <w:shd w:val="clear" w:color="auto" w:fill="auto"/>
            <w:tcMar>
              <w:top w:w="110" w:type="dxa"/>
            </w:tcMar>
          </w:tcPr>
          <w:p w:rsidR="001C19F7" w:rsidRPr="00867291" w:rsidRDefault="001C19F7" w:rsidP="008B1CDA">
            <w:pPr>
              <w:keepNext/>
              <w:keepLines/>
              <w:rPr>
                <w:color w:val="000000" w:themeColor="text1"/>
                <w:sz w:val="16"/>
                <w:szCs w:val="16"/>
              </w:rPr>
            </w:pPr>
            <w:r w:rsidRPr="00867291">
              <w:rPr>
                <w:color w:val="000000" w:themeColor="text1"/>
                <w:sz w:val="16"/>
              </w:rPr>
              <w:t>100%</w:t>
            </w:r>
          </w:p>
        </w:tc>
        <w:tc>
          <w:tcPr>
            <w:tcW w:w="1575" w:type="pct"/>
            <w:gridSpan w:val="6"/>
            <w:tcBorders>
              <w:top w:val="nil"/>
              <w:left w:val="nil"/>
              <w:bottom w:val="nil"/>
              <w:right w:val="nil"/>
            </w:tcBorders>
            <w:shd w:val="clear" w:color="auto" w:fill="FFFFFF"/>
            <w:tcMar>
              <w:top w:w="110" w:type="dxa"/>
            </w:tcMar>
          </w:tcPr>
          <w:p w:rsidR="001C19F7" w:rsidRPr="00867291" w:rsidRDefault="001C19F7" w:rsidP="008B1CDA">
            <w:pPr>
              <w:keepNext/>
              <w:keepLines/>
              <w:rPr>
                <w:color w:val="000000" w:themeColor="text1"/>
                <w:sz w:val="16"/>
                <w:szCs w:val="16"/>
              </w:rPr>
            </w:pPr>
            <w:r w:rsidRPr="00867291">
              <w:rPr>
                <w:color w:val="000000" w:themeColor="text1"/>
                <w:sz w:val="16"/>
              </w:rPr>
              <w:t>254 de 273 (93%) respuestas cursadas puntualmente (en 5 días laborables)</w:t>
            </w:r>
          </w:p>
        </w:tc>
        <w:tc>
          <w:tcPr>
            <w:tcW w:w="576" w:type="pct"/>
            <w:tcBorders>
              <w:top w:val="nil"/>
              <w:left w:val="nil"/>
              <w:bottom w:val="nil"/>
              <w:right w:val="single" w:sz="4" w:space="0" w:color="auto"/>
            </w:tcBorders>
            <w:shd w:val="clear" w:color="auto" w:fill="auto"/>
            <w:tcMar>
              <w:top w:w="110" w:type="dxa"/>
            </w:tcMar>
          </w:tcPr>
          <w:p w:rsidR="001C19F7" w:rsidRPr="00867291" w:rsidRDefault="00044DA1" w:rsidP="008B1CDA">
            <w:pPr>
              <w:keepNext/>
              <w:keepLines/>
              <w:ind w:left="-116" w:right="20"/>
              <w:jc w:val="center"/>
              <w:rPr>
                <w:b/>
                <w:bCs/>
                <w:color w:val="000000" w:themeColor="text1"/>
                <w:sz w:val="16"/>
                <w:szCs w:val="16"/>
              </w:rPr>
            </w:pPr>
            <w:proofErr w:type="spellStart"/>
            <w:r>
              <w:rPr>
                <w:b/>
                <w:bCs/>
                <w:color w:val="00B050"/>
                <w:sz w:val="16"/>
                <w:szCs w:val="16"/>
                <w:lang w:val="en-US"/>
              </w:rPr>
              <w:t>Plenamente</w:t>
            </w:r>
            <w:proofErr w:type="spellEnd"/>
            <w:r>
              <w:rPr>
                <w:b/>
                <w:bCs/>
                <w:color w:val="00B050"/>
                <w:sz w:val="16"/>
                <w:szCs w:val="16"/>
                <w:lang w:val="en-US"/>
              </w:rPr>
              <w:t xml:space="preserve"> </w:t>
            </w:r>
            <w:proofErr w:type="spellStart"/>
            <w:r>
              <w:rPr>
                <w:b/>
                <w:bCs/>
                <w:color w:val="00B050"/>
                <w:sz w:val="16"/>
                <w:szCs w:val="16"/>
                <w:lang w:val="en-US"/>
              </w:rPr>
              <w:t>logrado</w:t>
            </w:r>
            <w:proofErr w:type="spellEnd"/>
          </w:p>
        </w:tc>
      </w:tr>
      <w:tr w:rsidR="001C19F7" w:rsidRPr="00867291" w:rsidTr="008B1CDA">
        <w:trPr>
          <w:trHeight w:val="500"/>
        </w:trPr>
        <w:tc>
          <w:tcPr>
            <w:tcW w:w="1103" w:type="pct"/>
            <w:tcBorders>
              <w:top w:val="nil"/>
              <w:left w:val="single" w:sz="4" w:space="0" w:color="auto"/>
              <w:bottom w:val="nil"/>
              <w:right w:val="nil"/>
            </w:tcBorders>
            <w:shd w:val="clear" w:color="auto" w:fill="auto"/>
          </w:tcPr>
          <w:p w:rsidR="001C19F7" w:rsidRPr="00867291" w:rsidRDefault="001C19F7" w:rsidP="008B1CDA">
            <w:pPr>
              <w:rPr>
                <w:color w:val="000000" w:themeColor="text1"/>
                <w:sz w:val="16"/>
                <w:szCs w:val="16"/>
              </w:rPr>
            </w:pPr>
            <w:r w:rsidRPr="00867291">
              <w:rPr>
                <w:color w:val="000000" w:themeColor="text1"/>
                <w:sz w:val="16"/>
              </w:rPr>
              <w:t>Número de programas de P.I. ejecutados conjuntamente con otros organismos de NN.UU. y otras OIG.</w:t>
            </w:r>
          </w:p>
        </w:tc>
        <w:tc>
          <w:tcPr>
            <w:tcW w:w="902" w:type="pct"/>
            <w:gridSpan w:val="2"/>
            <w:tcBorders>
              <w:top w:val="nil"/>
              <w:left w:val="nil"/>
              <w:bottom w:val="nil"/>
              <w:right w:val="nil"/>
            </w:tcBorders>
            <w:shd w:val="clear" w:color="auto" w:fill="auto"/>
          </w:tcPr>
          <w:p w:rsidR="001C19F7" w:rsidRPr="00867291" w:rsidRDefault="001C19F7" w:rsidP="008B1CDA">
            <w:pPr>
              <w:rPr>
                <w:i/>
                <w:color w:val="000000" w:themeColor="text1"/>
                <w:sz w:val="16"/>
                <w:szCs w:val="16"/>
              </w:rPr>
            </w:pPr>
            <w:r w:rsidRPr="00867291">
              <w:rPr>
                <w:color w:val="000000" w:themeColor="text1"/>
                <w:sz w:val="16"/>
              </w:rPr>
              <w:t>0 (cero) (OOS)</w:t>
            </w:r>
          </w:p>
        </w:tc>
        <w:tc>
          <w:tcPr>
            <w:tcW w:w="843" w:type="pct"/>
            <w:gridSpan w:val="5"/>
            <w:tcBorders>
              <w:top w:val="nil"/>
              <w:left w:val="nil"/>
              <w:bottom w:val="nil"/>
              <w:right w:val="nil"/>
            </w:tcBorders>
            <w:shd w:val="clear" w:color="auto" w:fill="auto"/>
            <w:tcMar>
              <w:top w:w="110" w:type="dxa"/>
            </w:tcMar>
          </w:tcPr>
          <w:p w:rsidR="001C19F7" w:rsidRPr="00867291" w:rsidRDefault="001C19F7" w:rsidP="008B1CDA">
            <w:pPr>
              <w:rPr>
                <w:color w:val="000000" w:themeColor="text1"/>
                <w:sz w:val="16"/>
                <w:szCs w:val="16"/>
              </w:rPr>
            </w:pPr>
            <w:r w:rsidRPr="00867291">
              <w:rPr>
                <w:color w:val="000000" w:themeColor="text1"/>
                <w:sz w:val="16"/>
              </w:rPr>
              <w:t>2 (OOS)</w:t>
            </w:r>
          </w:p>
        </w:tc>
        <w:tc>
          <w:tcPr>
            <w:tcW w:w="1575" w:type="pct"/>
            <w:gridSpan w:val="6"/>
            <w:tcBorders>
              <w:top w:val="nil"/>
              <w:left w:val="nil"/>
              <w:bottom w:val="nil"/>
              <w:right w:val="nil"/>
            </w:tcBorders>
            <w:shd w:val="clear" w:color="auto" w:fill="FFFFFF"/>
            <w:tcMar>
              <w:top w:w="110" w:type="dxa"/>
            </w:tcMar>
          </w:tcPr>
          <w:p w:rsidR="001C19F7" w:rsidRPr="001C19F7" w:rsidRDefault="001C19F7" w:rsidP="001C19F7">
            <w:pPr>
              <w:pStyle w:val="ListParagraph"/>
              <w:numPr>
                <w:ilvl w:val="0"/>
                <w:numId w:val="93"/>
              </w:numPr>
              <w:spacing w:after="60"/>
              <w:ind w:left="357" w:hanging="357"/>
              <w:rPr>
                <w:rFonts w:eastAsia="SimSun" w:cs="Arial"/>
                <w:color w:val="000000" w:themeColor="text1"/>
                <w:sz w:val="16"/>
                <w:szCs w:val="16"/>
                <w:lang w:val="es-ES"/>
              </w:rPr>
            </w:pPr>
            <w:r w:rsidRPr="001C19F7">
              <w:rPr>
                <w:color w:val="000000" w:themeColor="text1"/>
                <w:sz w:val="16"/>
                <w:lang w:val="es-ES"/>
              </w:rPr>
              <w:t xml:space="preserve">2 eventos con organismos especializados de las NN.UU. (PNUMA y ONUDI) </w:t>
            </w:r>
          </w:p>
          <w:p w:rsidR="001C19F7" w:rsidRPr="001C19F7" w:rsidRDefault="001C19F7" w:rsidP="001C19F7">
            <w:pPr>
              <w:pStyle w:val="ListParagraph"/>
              <w:numPr>
                <w:ilvl w:val="0"/>
                <w:numId w:val="93"/>
              </w:numPr>
              <w:spacing w:after="60"/>
              <w:ind w:left="357" w:hanging="357"/>
              <w:rPr>
                <w:rFonts w:eastAsia="SimSun" w:cs="Arial"/>
                <w:color w:val="000000" w:themeColor="text1"/>
                <w:sz w:val="16"/>
                <w:szCs w:val="16"/>
                <w:lang w:val="es-ES"/>
              </w:rPr>
            </w:pPr>
            <w:r w:rsidRPr="001C19F7">
              <w:rPr>
                <w:color w:val="000000" w:themeColor="text1"/>
                <w:sz w:val="16"/>
                <w:lang w:val="es-ES"/>
              </w:rPr>
              <w:t>Varios eventos junto con el equipo del Acuerdo de Libre Comercio ASEAN-Australia-Nueva Zelandia (AANZFTA), Secretaría de la ASEAN, Cooperación Económica Asia-Pacífico (APEC) y proyecto de protección de los derechos de propiedad intelectual de la Oficina de Armonización del Mercado Interior /UE-ASEAN (OAMI/ECAP) III</w:t>
            </w:r>
          </w:p>
          <w:p w:rsidR="001C19F7" w:rsidRPr="001C19F7" w:rsidRDefault="001C19F7" w:rsidP="001C19F7">
            <w:pPr>
              <w:pStyle w:val="ListParagraph"/>
              <w:numPr>
                <w:ilvl w:val="0"/>
                <w:numId w:val="93"/>
              </w:numPr>
              <w:spacing w:after="60"/>
              <w:ind w:left="357" w:hanging="357"/>
              <w:rPr>
                <w:rFonts w:eastAsia="SimSun" w:cs="Arial"/>
                <w:color w:val="000000" w:themeColor="text1"/>
                <w:sz w:val="16"/>
                <w:szCs w:val="16"/>
                <w:lang w:val="es-ES"/>
              </w:rPr>
            </w:pPr>
            <w:r w:rsidRPr="001C19F7">
              <w:rPr>
                <w:color w:val="000000" w:themeColor="text1"/>
                <w:sz w:val="16"/>
                <w:lang w:val="es-ES"/>
              </w:rPr>
              <w:t>1 foro de proveedores de asistencia técnica en P.I.</w:t>
            </w:r>
          </w:p>
          <w:p w:rsidR="001C19F7" w:rsidRPr="001C19F7" w:rsidRDefault="001C19F7" w:rsidP="001C19F7">
            <w:pPr>
              <w:pStyle w:val="ListParagraph"/>
              <w:numPr>
                <w:ilvl w:val="0"/>
                <w:numId w:val="93"/>
              </w:numPr>
              <w:spacing w:after="60"/>
              <w:ind w:left="357" w:hanging="357"/>
              <w:rPr>
                <w:rFonts w:eastAsia="SimSun" w:cs="Arial"/>
                <w:color w:val="000000" w:themeColor="text1"/>
                <w:sz w:val="16"/>
                <w:szCs w:val="16"/>
                <w:lang w:val="es-ES"/>
              </w:rPr>
            </w:pPr>
            <w:r w:rsidRPr="001C19F7">
              <w:rPr>
                <w:color w:val="000000" w:themeColor="text1"/>
                <w:sz w:val="16"/>
                <w:lang w:val="es-ES"/>
              </w:rPr>
              <w:t>Actividad conjunta con el Consejo de Cooperación Económica del Pacífico (PECC) a la que asistieron otras 8 organizaciones internacionales e intergubernamentales</w:t>
            </w:r>
          </w:p>
          <w:p w:rsidR="001C19F7" w:rsidRPr="001C19F7" w:rsidRDefault="001C19F7" w:rsidP="001C19F7">
            <w:pPr>
              <w:pStyle w:val="ListParagraph"/>
              <w:numPr>
                <w:ilvl w:val="0"/>
                <w:numId w:val="93"/>
              </w:numPr>
              <w:spacing w:after="60"/>
              <w:ind w:left="357" w:hanging="357"/>
              <w:rPr>
                <w:rFonts w:eastAsia="SimSun" w:cs="Arial"/>
                <w:color w:val="000000" w:themeColor="text1"/>
                <w:sz w:val="16"/>
                <w:szCs w:val="16"/>
                <w:lang w:val="es-ES"/>
              </w:rPr>
            </w:pPr>
            <w:r w:rsidRPr="001C19F7">
              <w:rPr>
                <w:color w:val="000000" w:themeColor="text1"/>
                <w:sz w:val="16"/>
                <w:lang w:val="es-ES"/>
              </w:rPr>
              <w:t xml:space="preserve">Participación en 1 actividad con la Asociación pro Naciones Unidas de Singapur (UNAS) </w:t>
            </w:r>
          </w:p>
        </w:tc>
        <w:tc>
          <w:tcPr>
            <w:tcW w:w="576" w:type="pct"/>
            <w:tcBorders>
              <w:top w:val="nil"/>
              <w:left w:val="nil"/>
              <w:bottom w:val="nil"/>
              <w:right w:val="single" w:sz="4" w:space="0" w:color="auto"/>
            </w:tcBorders>
            <w:shd w:val="clear" w:color="auto" w:fill="auto"/>
            <w:tcMar>
              <w:top w:w="110" w:type="dxa"/>
            </w:tcMar>
          </w:tcPr>
          <w:p w:rsidR="001C19F7" w:rsidRPr="00800FF4" w:rsidRDefault="00044DA1" w:rsidP="008B1CDA">
            <w:pPr>
              <w:keepNext/>
              <w:keepLines/>
              <w:ind w:left="-116" w:right="20"/>
              <w:jc w:val="center"/>
              <w:rPr>
                <w:b/>
                <w:bCs/>
                <w:color w:val="00B050"/>
                <w:sz w:val="16"/>
                <w:szCs w:val="16"/>
                <w:lang w:val="en-US"/>
              </w:rPr>
            </w:pPr>
            <w:proofErr w:type="spellStart"/>
            <w:r>
              <w:rPr>
                <w:b/>
                <w:bCs/>
                <w:color w:val="00B050"/>
                <w:sz w:val="16"/>
                <w:szCs w:val="16"/>
                <w:lang w:val="en-US"/>
              </w:rPr>
              <w:t>Plenamente</w:t>
            </w:r>
            <w:proofErr w:type="spellEnd"/>
            <w:r>
              <w:rPr>
                <w:b/>
                <w:bCs/>
                <w:color w:val="00B050"/>
                <w:sz w:val="16"/>
                <w:szCs w:val="16"/>
                <w:lang w:val="en-US"/>
              </w:rPr>
              <w:t xml:space="preserve"> </w:t>
            </w:r>
            <w:proofErr w:type="spellStart"/>
            <w:r>
              <w:rPr>
                <w:b/>
                <w:bCs/>
                <w:color w:val="00B050"/>
                <w:sz w:val="16"/>
                <w:szCs w:val="16"/>
                <w:lang w:val="en-US"/>
              </w:rPr>
              <w:t>logrado</w:t>
            </w:r>
            <w:proofErr w:type="spellEnd"/>
          </w:p>
        </w:tc>
      </w:tr>
      <w:tr w:rsidR="001C19F7" w:rsidRPr="00867291" w:rsidTr="008B1CDA">
        <w:trPr>
          <w:trHeight w:val="500"/>
        </w:trPr>
        <w:tc>
          <w:tcPr>
            <w:tcW w:w="1103" w:type="pct"/>
            <w:tcBorders>
              <w:top w:val="nil"/>
              <w:left w:val="single" w:sz="4" w:space="0" w:color="auto"/>
              <w:bottom w:val="single" w:sz="4" w:space="0" w:color="auto"/>
              <w:right w:val="nil"/>
            </w:tcBorders>
            <w:shd w:val="clear" w:color="auto" w:fill="auto"/>
          </w:tcPr>
          <w:p w:rsidR="001C19F7" w:rsidRPr="00867291" w:rsidRDefault="001C19F7" w:rsidP="008B1CDA">
            <w:pPr>
              <w:rPr>
                <w:color w:val="000000" w:themeColor="text1"/>
                <w:sz w:val="16"/>
                <w:szCs w:val="16"/>
              </w:rPr>
            </w:pPr>
          </w:p>
        </w:tc>
        <w:tc>
          <w:tcPr>
            <w:tcW w:w="902" w:type="pct"/>
            <w:gridSpan w:val="2"/>
            <w:tcBorders>
              <w:top w:val="nil"/>
              <w:left w:val="nil"/>
              <w:bottom w:val="single" w:sz="4" w:space="0" w:color="auto"/>
              <w:right w:val="nil"/>
            </w:tcBorders>
            <w:shd w:val="clear" w:color="auto" w:fill="auto"/>
          </w:tcPr>
          <w:p w:rsidR="001C19F7" w:rsidRPr="00867291" w:rsidRDefault="001C19F7" w:rsidP="008B1CDA">
            <w:pPr>
              <w:rPr>
                <w:color w:val="000000" w:themeColor="text1"/>
                <w:sz w:val="16"/>
                <w:szCs w:val="16"/>
              </w:rPr>
            </w:pPr>
          </w:p>
        </w:tc>
        <w:tc>
          <w:tcPr>
            <w:tcW w:w="843" w:type="pct"/>
            <w:gridSpan w:val="5"/>
            <w:tcBorders>
              <w:top w:val="nil"/>
              <w:left w:val="nil"/>
              <w:bottom w:val="single" w:sz="4" w:space="0" w:color="auto"/>
              <w:right w:val="nil"/>
            </w:tcBorders>
            <w:shd w:val="clear" w:color="auto" w:fill="auto"/>
            <w:tcMar>
              <w:top w:w="110" w:type="dxa"/>
            </w:tcMar>
          </w:tcPr>
          <w:p w:rsidR="001C19F7" w:rsidRPr="00867291" w:rsidRDefault="001C19F7" w:rsidP="008B1CDA">
            <w:pPr>
              <w:rPr>
                <w:color w:val="000000" w:themeColor="text1"/>
                <w:sz w:val="16"/>
                <w:szCs w:val="16"/>
              </w:rPr>
            </w:pPr>
          </w:p>
        </w:tc>
        <w:tc>
          <w:tcPr>
            <w:tcW w:w="1575" w:type="pct"/>
            <w:gridSpan w:val="6"/>
            <w:tcBorders>
              <w:top w:val="nil"/>
              <w:left w:val="nil"/>
              <w:bottom w:val="single" w:sz="4" w:space="0" w:color="auto"/>
              <w:right w:val="nil"/>
            </w:tcBorders>
            <w:shd w:val="clear" w:color="auto" w:fill="FFFFFF"/>
            <w:tcMar>
              <w:top w:w="110" w:type="dxa"/>
            </w:tcMar>
          </w:tcPr>
          <w:p w:rsidR="001C19F7" w:rsidRPr="001C19F7" w:rsidRDefault="001C19F7" w:rsidP="001C19F7">
            <w:pPr>
              <w:pStyle w:val="ListParagraph"/>
              <w:numPr>
                <w:ilvl w:val="0"/>
                <w:numId w:val="93"/>
              </w:numPr>
              <w:spacing w:after="60"/>
              <w:ind w:left="357" w:hanging="357"/>
              <w:rPr>
                <w:rFonts w:eastAsia="SimSun" w:cs="Arial"/>
                <w:color w:val="000000" w:themeColor="text1"/>
                <w:sz w:val="16"/>
                <w:szCs w:val="16"/>
                <w:lang w:val="es-ES"/>
              </w:rPr>
            </w:pPr>
            <w:r w:rsidRPr="001C19F7">
              <w:rPr>
                <w:color w:val="000000" w:themeColor="text1"/>
                <w:sz w:val="16"/>
                <w:lang w:val="es-ES"/>
              </w:rPr>
              <w:t>Participación en 1 actividad del grupo de la Alianza de política en materia de ciencia, tecnología e innovación de la Cooperación Económica Asia-Pacífico (APEC) (OOS)</w:t>
            </w:r>
          </w:p>
        </w:tc>
        <w:tc>
          <w:tcPr>
            <w:tcW w:w="576" w:type="pct"/>
            <w:tcBorders>
              <w:top w:val="nil"/>
              <w:left w:val="nil"/>
              <w:bottom w:val="single" w:sz="4" w:space="0" w:color="auto"/>
              <w:right w:val="single" w:sz="4" w:space="0" w:color="auto"/>
            </w:tcBorders>
            <w:shd w:val="clear" w:color="auto" w:fill="auto"/>
            <w:tcMar>
              <w:top w:w="110" w:type="dxa"/>
            </w:tcMar>
          </w:tcPr>
          <w:p w:rsidR="001C19F7" w:rsidRPr="00867291" w:rsidRDefault="001C19F7" w:rsidP="008B1CDA">
            <w:pPr>
              <w:keepNext/>
              <w:keepLines/>
              <w:ind w:left="-116" w:right="20"/>
              <w:jc w:val="center"/>
              <w:rPr>
                <w:b/>
                <w:bCs/>
                <w:color w:val="000000" w:themeColor="text1"/>
                <w:sz w:val="16"/>
                <w:szCs w:val="16"/>
              </w:rPr>
            </w:pPr>
          </w:p>
        </w:tc>
      </w:tr>
    </w:tbl>
    <w:p w:rsidR="001C19F7" w:rsidRPr="00867291" w:rsidRDefault="001C19F7" w:rsidP="001C19F7">
      <w:pPr>
        <w:rPr>
          <w:color w:val="000000" w:themeColor="text1"/>
          <w:szCs w:val="22"/>
        </w:rPr>
      </w:pPr>
    </w:p>
    <w:p w:rsidR="001C19F7" w:rsidRPr="00867291" w:rsidRDefault="001C19F7" w:rsidP="001C19F7">
      <w:pPr>
        <w:rPr>
          <w:color w:val="000000" w:themeColor="text1"/>
          <w:szCs w:val="22"/>
        </w:rPr>
      </w:pPr>
    </w:p>
    <w:p w:rsidR="001C19F7" w:rsidRDefault="001C19F7" w:rsidP="001C19F7">
      <w:pPr>
        <w:spacing w:after="200" w:line="276" w:lineRule="auto"/>
        <w:rPr>
          <w:color w:val="000000" w:themeColor="text1"/>
        </w:rPr>
      </w:pPr>
      <w:r>
        <w:rPr>
          <w:color w:val="000000" w:themeColor="text1"/>
        </w:rPr>
        <w:br w:type="page"/>
      </w:r>
    </w:p>
    <w:p w:rsidR="001C19F7" w:rsidRPr="001C19F7" w:rsidRDefault="001C19F7" w:rsidP="001C19F7">
      <w:pPr>
        <w:rPr>
          <w:color w:val="000000" w:themeColor="text1"/>
          <w:sz w:val="20"/>
        </w:rPr>
      </w:pPr>
      <w:r w:rsidRPr="001C19F7">
        <w:rPr>
          <w:sz w:val="20"/>
        </w:rPr>
        <w:lastRenderedPageBreak/>
        <w:t>INFORMACIÓN SOBRE LOS RIESGOS PLANTEADOS EN EL BIENIO</w:t>
      </w:r>
    </w:p>
    <w:p w:rsidR="001C19F7" w:rsidRPr="001C19F7" w:rsidRDefault="001C19F7" w:rsidP="001C19F7">
      <w:pPr>
        <w:rPr>
          <w:color w:val="000000" w:themeColor="text1"/>
          <w:sz w:val="20"/>
        </w:rPr>
      </w:pPr>
    </w:p>
    <w:tbl>
      <w:tblPr>
        <w:tblW w:w="9498"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396"/>
        <w:gridCol w:w="2224"/>
        <w:gridCol w:w="2310"/>
        <w:gridCol w:w="2568"/>
      </w:tblGrid>
      <w:tr w:rsidR="001C19F7" w:rsidRPr="00867291" w:rsidTr="008B1CDA">
        <w:trPr>
          <w:trHeight w:val="979"/>
        </w:trPr>
        <w:tc>
          <w:tcPr>
            <w:tcW w:w="2396" w:type="dxa"/>
            <w:tcBorders>
              <w:top w:val="single" w:sz="4" w:space="0" w:color="auto"/>
              <w:left w:val="single" w:sz="4" w:space="0" w:color="auto"/>
              <w:bottom w:val="single" w:sz="4" w:space="0" w:color="auto"/>
              <w:right w:val="nil"/>
            </w:tcBorders>
            <w:shd w:val="clear" w:color="auto" w:fill="C6D9F1" w:themeFill="text2" w:themeFillTint="33"/>
            <w:vAlign w:val="center"/>
          </w:tcPr>
          <w:p w:rsidR="001C19F7" w:rsidRPr="00867291" w:rsidRDefault="001C19F7" w:rsidP="008B1CDA">
            <w:pPr>
              <w:keepNext/>
              <w:keepLines/>
              <w:jc w:val="center"/>
              <w:rPr>
                <w:b/>
                <w:bCs/>
                <w:iCs/>
                <w:color w:val="000000" w:themeColor="text1"/>
                <w:sz w:val="18"/>
                <w:szCs w:val="14"/>
              </w:rPr>
            </w:pPr>
            <w:r w:rsidRPr="00867291">
              <w:rPr>
                <w:b/>
                <w:color w:val="000000" w:themeColor="text1"/>
                <w:sz w:val="18"/>
              </w:rPr>
              <w:t>Riesgos en el logro de los resultados del programa</w:t>
            </w:r>
          </w:p>
        </w:tc>
        <w:tc>
          <w:tcPr>
            <w:tcW w:w="2224" w:type="dxa"/>
            <w:tcBorders>
              <w:top w:val="single" w:sz="4" w:space="0" w:color="auto"/>
              <w:left w:val="nil"/>
              <w:bottom w:val="single" w:sz="4" w:space="0" w:color="auto"/>
              <w:right w:val="nil"/>
            </w:tcBorders>
            <w:shd w:val="clear" w:color="auto" w:fill="C6D9F1" w:themeFill="text2" w:themeFillTint="33"/>
            <w:vAlign w:val="center"/>
          </w:tcPr>
          <w:p w:rsidR="001C19F7" w:rsidRPr="00867291" w:rsidRDefault="001C19F7" w:rsidP="008B1CDA">
            <w:pPr>
              <w:keepNext/>
              <w:keepLines/>
              <w:jc w:val="center"/>
              <w:rPr>
                <w:b/>
                <w:bCs/>
                <w:iCs/>
                <w:color w:val="000000" w:themeColor="text1"/>
                <w:sz w:val="18"/>
                <w:szCs w:val="14"/>
              </w:rPr>
            </w:pPr>
            <w:r w:rsidRPr="00867291">
              <w:rPr>
                <w:b/>
                <w:color w:val="000000" w:themeColor="text1"/>
                <w:sz w:val="18"/>
              </w:rPr>
              <w:t>Planes de mitigación ejecutados o en ejecución</w:t>
            </w:r>
          </w:p>
        </w:tc>
        <w:tc>
          <w:tcPr>
            <w:tcW w:w="2310" w:type="dxa"/>
            <w:tcBorders>
              <w:top w:val="single" w:sz="4" w:space="0" w:color="auto"/>
              <w:left w:val="nil"/>
              <w:bottom w:val="single" w:sz="4" w:space="0" w:color="auto"/>
              <w:right w:val="nil"/>
            </w:tcBorders>
            <w:shd w:val="clear" w:color="auto" w:fill="C6D9F1" w:themeFill="text2" w:themeFillTint="33"/>
            <w:vAlign w:val="center"/>
          </w:tcPr>
          <w:p w:rsidR="001C19F7" w:rsidRPr="00867291" w:rsidRDefault="001C19F7" w:rsidP="008B1CDA">
            <w:pPr>
              <w:keepNext/>
              <w:keepLines/>
              <w:jc w:val="center"/>
              <w:rPr>
                <w:b/>
                <w:bCs/>
                <w:color w:val="000000" w:themeColor="text1"/>
                <w:sz w:val="18"/>
                <w:szCs w:val="18"/>
              </w:rPr>
            </w:pPr>
            <w:r w:rsidRPr="00867291">
              <w:rPr>
                <w:b/>
                <w:color w:val="000000" w:themeColor="text1"/>
                <w:sz w:val="18"/>
              </w:rPr>
              <w:t xml:space="preserve">Evolución de los riesgos y estrategias </w:t>
            </w:r>
            <w:r>
              <w:rPr>
                <w:b/>
                <w:color w:val="000000" w:themeColor="text1"/>
                <w:sz w:val="18"/>
              </w:rPr>
              <w:t>de mitigación</w:t>
            </w:r>
            <w:r w:rsidRPr="00867291">
              <w:rPr>
                <w:b/>
                <w:color w:val="000000" w:themeColor="text1"/>
                <w:sz w:val="18"/>
              </w:rPr>
              <w:t xml:space="preserve"> durante el bienio</w:t>
            </w:r>
          </w:p>
        </w:tc>
        <w:tc>
          <w:tcPr>
            <w:tcW w:w="2568" w:type="dxa"/>
            <w:tcBorders>
              <w:top w:val="single" w:sz="4" w:space="0" w:color="auto"/>
              <w:left w:val="nil"/>
              <w:bottom w:val="single" w:sz="4" w:space="0" w:color="auto"/>
              <w:right w:val="single" w:sz="4" w:space="0" w:color="auto"/>
            </w:tcBorders>
            <w:shd w:val="clear" w:color="auto" w:fill="C6D9F1" w:themeFill="text2" w:themeFillTint="33"/>
            <w:vAlign w:val="center"/>
          </w:tcPr>
          <w:p w:rsidR="001C19F7" w:rsidRPr="00867291" w:rsidRDefault="001C19F7" w:rsidP="008B1CDA">
            <w:pPr>
              <w:keepNext/>
              <w:keepLines/>
              <w:jc w:val="center"/>
              <w:rPr>
                <w:b/>
                <w:bCs/>
                <w:color w:val="000000" w:themeColor="text1"/>
                <w:sz w:val="18"/>
                <w:szCs w:val="18"/>
              </w:rPr>
            </w:pPr>
            <w:r>
              <w:rPr>
                <w:b/>
                <w:color w:val="000000" w:themeColor="text1"/>
                <w:sz w:val="18"/>
              </w:rPr>
              <w:t>Incidencia</w:t>
            </w:r>
            <w:r w:rsidRPr="00867291">
              <w:rPr>
                <w:b/>
                <w:color w:val="000000" w:themeColor="text1"/>
                <w:sz w:val="18"/>
              </w:rPr>
              <w:t xml:space="preserve"> en el rendimiento del programa</w:t>
            </w:r>
          </w:p>
        </w:tc>
      </w:tr>
      <w:tr w:rsidR="001C19F7" w:rsidRPr="00867291" w:rsidTr="008B1CDA">
        <w:trPr>
          <w:trHeight w:val="776"/>
        </w:trPr>
        <w:tc>
          <w:tcPr>
            <w:tcW w:w="2396" w:type="dxa"/>
            <w:tcBorders>
              <w:top w:val="single" w:sz="4" w:space="0" w:color="auto"/>
            </w:tcBorders>
            <w:shd w:val="clear" w:color="auto" w:fill="auto"/>
            <w:tcMar>
              <w:top w:w="113" w:type="dxa"/>
              <w:bottom w:w="85" w:type="dxa"/>
            </w:tcMar>
          </w:tcPr>
          <w:p w:rsidR="001C19F7" w:rsidRPr="00867291" w:rsidRDefault="001C19F7" w:rsidP="008B1CDA">
            <w:pPr>
              <w:keepNext/>
              <w:keepLines/>
              <w:tabs>
                <w:tab w:val="left" w:pos="3465"/>
              </w:tabs>
              <w:rPr>
                <w:color w:val="000000" w:themeColor="text1"/>
                <w:sz w:val="16"/>
              </w:rPr>
            </w:pPr>
            <w:r w:rsidRPr="00867291">
              <w:rPr>
                <w:color w:val="000000" w:themeColor="text1"/>
                <w:sz w:val="16"/>
              </w:rPr>
              <w:t>La participación eficaz de la OMPI en los procesos de las NN.UU. y otras OIG y ONG, así como la utilidad que tiene en esos procesos, se basa en la aceptación de que es una fuente creíble y fiable de apoyo, asistencia e información</w:t>
            </w:r>
          </w:p>
        </w:tc>
        <w:tc>
          <w:tcPr>
            <w:tcW w:w="2224" w:type="dxa"/>
            <w:tcBorders>
              <w:top w:val="single" w:sz="4" w:space="0" w:color="auto"/>
            </w:tcBorders>
            <w:shd w:val="clear" w:color="auto" w:fill="auto"/>
            <w:tcMar>
              <w:top w:w="113" w:type="dxa"/>
              <w:bottom w:w="85" w:type="dxa"/>
            </w:tcMar>
          </w:tcPr>
          <w:p w:rsidR="001C19F7" w:rsidRPr="00867291" w:rsidRDefault="001C19F7" w:rsidP="008B1CDA">
            <w:pPr>
              <w:keepNext/>
              <w:keepLines/>
              <w:autoSpaceDE w:val="0"/>
              <w:autoSpaceDN w:val="0"/>
              <w:adjustRightInd w:val="0"/>
              <w:ind w:right="-59"/>
              <w:rPr>
                <w:color w:val="000000" w:themeColor="text1"/>
                <w:sz w:val="16"/>
              </w:rPr>
            </w:pPr>
            <w:r w:rsidRPr="00867291">
              <w:rPr>
                <w:color w:val="000000" w:themeColor="text1"/>
                <w:sz w:val="16"/>
              </w:rPr>
              <w:t>Velar por que las aportaciones de la OMPI se basen en hechos, tengan carácter empírico y equilibrado, reflejen las opiniones de todas las partes interesadas, sean puntuales y estén bien enfocadas.</w:t>
            </w:r>
            <w:r>
              <w:rPr>
                <w:color w:val="000000" w:themeColor="text1"/>
                <w:sz w:val="16"/>
              </w:rPr>
              <w:t xml:space="preserve"> </w:t>
            </w:r>
            <w:r w:rsidRPr="00867291">
              <w:rPr>
                <w:color w:val="000000" w:themeColor="text1"/>
                <w:sz w:val="16"/>
              </w:rPr>
              <w:t xml:space="preserve">  Fomentar los vínculos de cooperación para incrementar la repercusión de las aportaciones de la OMPI.</w:t>
            </w:r>
          </w:p>
        </w:tc>
        <w:tc>
          <w:tcPr>
            <w:tcW w:w="2310" w:type="dxa"/>
            <w:tcBorders>
              <w:top w:val="single" w:sz="4" w:space="0" w:color="auto"/>
            </w:tcBorders>
          </w:tcPr>
          <w:p w:rsidR="001C19F7" w:rsidRPr="00867291" w:rsidRDefault="001C19F7" w:rsidP="008B1CDA">
            <w:pPr>
              <w:rPr>
                <w:color w:val="000000" w:themeColor="text1"/>
                <w:sz w:val="16"/>
                <w:szCs w:val="16"/>
              </w:rPr>
            </w:pPr>
            <w:r w:rsidRPr="00867291">
              <w:rPr>
                <w:color w:val="000000" w:themeColor="text1"/>
                <w:sz w:val="16"/>
              </w:rPr>
              <w:t>Se acentuó el riesgo dado que importantes procesos impulsados por las Naciones Unidas durante el bienio dieron lugar a solicitudes de contribución cada vez más detalladas y complejas.  Para velar por que las medidas paliativas sean adecuadas, se hizo hincapié en la intensificación de la coordinación tanto internamente como con los socios externos.</w:t>
            </w:r>
          </w:p>
        </w:tc>
        <w:tc>
          <w:tcPr>
            <w:tcW w:w="2568" w:type="dxa"/>
            <w:tcBorders>
              <w:top w:val="single" w:sz="4" w:space="0" w:color="auto"/>
            </w:tcBorders>
          </w:tcPr>
          <w:p w:rsidR="001C19F7" w:rsidRPr="00867291" w:rsidRDefault="001C19F7" w:rsidP="008B1CDA">
            <w:pPr>
              <w:rPr>
                <w:color w:val="000000" w:themeColor="text1"/>
                <w:sz w:val="16"/>
                <w:szCs w:val="16"/>
              </w:rPr>
            </w:pPr>
            <w:r w:rsidRPr="00867291">
              <w:rPr>
                <w:color w:val="000000" w:themeColor="text1"/>
                <w:sz w:val="16"/>
              </w:rPr>
              <w:t xml:space="preserve">Sin repercusión importante en el rendimiento del programa. </w:t>
            </w:r>
          </w:p>
        </w:tc>
      </w:tr>
      <w:tr w:rsidR="001C19F7" w:rsidRPr="00867291" w:rsidTr="008B1CDA">
        <w:trPr>
          <w:trHeight w:val="939"/>
        </w:trPr>
        <w:tc>
          <w:tcPr>
            <w:tcW w:w="2396" w:type="dxa"/>
            <w:shd w:val="clear" w:color="auto" w:fill="auto"/>
            <w:tcMar>
              <w:top w:w="113" w:type="dxa"/>
              <w:bottom w:w="85" w:type="dxa"/>
            </w:tcMar>
          </w:tcPr>
          <w:p w:rsidR="001C19F7" w:rsidRPr="00867291" w:rsidRDefault="001C19F7" w:rsidP="008B1CDA">
            <w:pPr>
              <w:keepNext/>
              <w:keepLines/>
              <w:tabs>
                <w:tab w:val="left" w:pos="3465"/>
              </w:tabs>
              <w:rPr>
                <w:color w:val="000000" w:themeColor="text1"/>
                <w:sz w:val="16"/>
              </w:rPr>
            </w:pPr>
            <w:r w:rsidRPr="00867291">
              <w:rPr>
                <w:color w:val="000000" w:themeColor="text1"/>
                <w:sz w:val="16"/>
              </w:rPr>
              <w:t>Si no se cumplen los objetivos de movilización de recursos no se podrán iniciar determinados proyectos de P.I. al servicio del desarrollo</w:t>
            </w:r>
          </w:p>
        </w:tc>
        <w:tc>
          <w:tcPr>
            <w:tcW w:w="2224" w:type="dxa"/>
            <w:shd w:val="clear" w:color="auto" w:fill="auto"/>
            <w:tcMar>
              <w:top w:w="113" w:type="dxa"/>
              <w:bottom w:w="85" w:type="dxa"/>
            </w:tcMar>
          </w:tcPr>
          <w:p w:rsidR="001C19F7" w:rsidRPr="00867291" w:rsidRDefault="001C19F7" w:rsidP="008B1CDA">
            <w:pPr>
              <w:keepNext/>
              <w:keepLines/>
              <w:rPr>
                <w:color w:val="000000" w:themeColor="text1"/>
                <w:sz w:val="16"/>
              </w:rPr>
            </w:pPr>
            <w:r w:rsidRPr="00867291">
              <w:rPr>
                <w:color w:val="000000" w:themeColor="text1"/>
                <w:sz w:val="16"/>
              </w:rPr>
              <w:t>Velar por la ejecución de proyectos de alta calidad para la movilización de recursos que estén orientados específicamente a la obtención de financiación de los donantes  Seguir desarrollando la capacidad de la organización para movilizar y administrar recursos extrapresupuestarios</w:t>
            </w:r>
            <w:r>
              <w:rPr>
                <w:color w:val="000000" w:themeColor="text1"/>
                <w:sz w:val="16"/>
              </w:rPr>
              <w:t xml:space="preserve">.   </w:t>
            </w:r>
            <w:r w:rsidRPr="00867291">
              <w:rPr>
                <w:color w:val="000000" w:themeColor="text1"/>
                <w:sz w:val="16"/>
              </w:rPr>
              <w:t xml:space="preserve"> Fomentar el conocimiento de las prioridades de los donantes y los contactos con estos últimos.  </w:t>
            </w:r>
          </w:p>
        </w:tc>
        <w:tc>
          <w:tcPr>
            <w:tcW w:w="2310" w:type="dxa"/>
          </w:tcPr>
          <w:p w:rsidR="001C19F7" w:rsidRPr="00867291" w:rsidRDefault="001C19F7" w:rsidP="008B1CDA">
            <w:pPr>
              <w:rPr>
                <w:color w:val="000000" w:themeColor="text1"/>
                <w:sz w:val="16"/>
                <w:szCs w:val="16"/>
              </w:rPr>
            </w:pPr>
            <w:r w:rsidRPr="00867291">
              <w:rPr>
                <w:color w:val="000000" w:themeColor="text1"/>
                <w:sz w:val="16"/>
              </w:rPr>
              <w:t>Se trata de un riesgo permanente para el programa, que se abordó con eficacia mediante las medidas paliativas, como estaba previsto.</w:t>
            </w:r>
          </w:p>
        </w:tc>
        <w:tc>
          <w:tcPr>
            <w:tcW w:w="2568" w:type="dxa"/>
          </w:tcPr>
          <w:p w:rsidR="001C19F7" w:rsidRPr="00867291" w:rsidRDefault="001C19F7" w:rsidP="008B1CDA">
            <w:pPr>
              <w:rPr>
                <w:color w:val="000000" w:themeColor="text1"/>
                <w:sz w:val="16"/>
                <w:szCs w:val="16"/>
              </w:rPr>
            </w:pPr>
            <w:r w:rsidRPr="00867291">
              <w:rPr>
                <w:color w:val="000000" w:themeColor="text1"/>
                <w:sz w:val="16"/>
              </w:rPr>
              <w:t>Sin repercusión importante en el rendimiento del programa.</w:t>
            </w:r>
          </w:p>
          <w:p w:rsidR="001C19F7" w:rsidRPr="00867291" w:rsidRDefault="001C19F7" w:rsidP="008B1CDA">
            <w:pPr>
              <w:rPr>
                <w:color w:val="000000" w:themeColor="text1"/>
                <w:sz w:val="16"/>
                <w:szCs w:val="16"/>
              </w:rPr>
            </w:pPr>
          </w:p>
        </w:tc>
      </w:tr>
      <w:tr w:rsidR="001C19F7" w:rsidRPr="00867291" w:rsidTr="008B1CDA">
        <w:trPr>
          <w:trHeight w:val="939"/>
        </w:trPr>
        <w:tc>
          <w:tcPr>
            <w:tcW w:w="2396" w:type="dxa"/>
            <w:shd w:val="clear" w:color="auto" w:fill="auto"/>
            <w:tcMar>
              <w:top w:w="113" w:type="dxa"/>
              <w:bottom w:w="85" w:type="dxa"/>
            </w:tcMar>
          </w:tcPr>
          <w:p w:rsidR="001C19F7" w:rsidRPr="00867291" w:rsidRDefault="001C19F7" w:rsidP="008B1CDA">
            <w:pPr>
              <w:keepNext/>
              <w:keepLines/>
              <w:autoSpaceDE w:val="0"/>
              <w:autoSpaceDN w:val="0"/>
              <w:adjustRightInd w:val="0"/>
              <w:ind w:right="-59"/>
              <w:rPr>
                <w:color w:val="000000" w:themeColor="text1"/>
                <w:sz w:val="16"/>
                <w:szCs w:val="16"/>
              </w:rPr>
            </w:pPr>
            <w:r w:rsidRPr="00867291">
              <w:rPr>
                <w:color w:val="000000" w:themeColor="text1"/>
                <w:sz w:val="16"/>
              </w:rPr>
              <w:t>Problemas de seguridad o desastres naturales ponen en peligro la labor de las oficinas en el exterior destinada a lograr los resultados previstos.</w:t>
            </w:r>
          </w:p>
        </w:tc>
        <w:tc>
          <w:tcPr>
            <w:tcW w:w="2224" w:type="dxa"/>
            <w:shd w:val="clear" w:color="auto" w:fill="auto"/>
            <w:tcMar>
              <w:top w:w="113" w:type="dxa"/>
              <w:bottom w:w="85" w:type="dxa"/>
            </w:tcMar>
          </w:tcPr>
          <w:p w:rsidR="001C19F7" w:rsidRPr="00867291" w:rsidRDefault="001C19F7" w:rsidP="008B1CDA">
            <w:pPr>
              <w:keepNext/>
              <w:keepLines/>
              <w:autoSpaceDE w:val="0"/>
              <w:autoSpaceDN w:val="0"/>
              <w:adjustRightInd w:val="0"/>
              <w:ind w:right="-59"/>
              <w:rPr>
                <w:color w:val="000000" w:themeColor="text1"/>
                <w:sz w:val="16"/>
                <w:szCs w:val="16"/>
              </w:rPr>
            </w:pPr>
            <w:r w:rsidRPr="00867291">
              <w:rPr>
                <w:color w:val="000000" w:themeColor="text1"/>
                <w:sz w:val="16"/>
              </w:rPr>
              <w:t>Establecer una estrecha cooperación con el gobierno anfitrión y ampliar el plan de continuidad de las actividades de la OMPI para dar cabida a las oficinas en el exterior</w:t>
            </w:r>
            <w:proofErr w:type="gramStart"/>
            <w:r w:rsidRPr="00867291">
              <w:rPr>
                <w:color w:val="000000" w:themeColor="text1"/>
                <w:sz w:val="16"/>
              </w:rPr>
              <w:t>..</w:t>
            </w:r>
            <w:proofErr w:type="gramEnd"/>
          </w:p>
        </w:tc>
        <w:tc>
          <w:tcPr>
            <w:tcW w:w="2310" w:type="dxa"/>
          </w:tcPr>
          <w:p w:rsidR="001C19F7" w:rsidRPr="00867291" w:rsidRDefault="001C19F7" w:rsidP="008B1CDA">
            <w:pPr>
              <w:keepNext/>
              <w:keepLines/>
              <w:rPr>
                <w:color w:val="000000" w:themeColor="text1"/>
                <w:sz w:val="16"/>
              </w:rPr>
            </w:pPr>
            <w:r w:rsidRPr="00867291">
              <w:rPr>
                <w:color w:val="000000" w:themeColor="text1"/>
                <w:sz w:val="16"/>
              </w:rPr>
              <w:t xml:space="preserve">Se trata de un riesgo permanente, que se abordó con eficacia mediante las medidas paliativas previstas, entre ellas una cooperación más estrecha con las Autoridades pertinentes y una preparación más adecuada para la pronta intervención en casos de catástrofe, como por ejemplo la adquisición de suministros para la supervivencia y la creación de una cadena de comunicación </w:t>
            </w:r>
            <w:proofErr w:type="gramStart"/>
            <w:r w:rsidRPr="00867291">
              <w:rPr>
                <w:color w:val="000000" w:themeColor="text1"/>
                <w:sz w:val="16"/>
              </w:rPr>
              <w:t>interna</w:t>
            </w:r>
            <w:proofErr w:type="gramEnd"/>
            <w:r w:rsidRPr="00867291">
              <w:rPr>
                <w:color w:val="000000" w:themeColor="text1"/>
                <w:sz w:val="16"/>
              </w:rPr>
              <w:t xml:space="preserve">.  </w:t>
            </w:r>
          </w:p>
        </w:tc>
        <w:tc>
          <w:tcPr>
            <w:tcW w:w="2568" w:type="dxa"/>
          </w:tcPr>
          <w:p w:rsidR="001C19F7" w:rsidRPr="00867291" w:rsidRDefault="001C19F7" w:rsidP="008B1CDA">
            <w:pPr>
              <w:keepNext/>
              <w:keepLines/>
              <w:rPr>
                <w:color w:val="000000" w:themeColor="text1"/>
                <w:sz w:val="16"/>
              </w:rPr>
            </w:pPr>
            <w:r w:rsidRPr="00867291">
              <w:rPr>
                <w:color w:val="000000" w:themeColor="text1"/>
                <w:sz w:val="16"/>
              </w:rPr>
              <w:t xml:space="preserve">Sin repercusión importante en el rendimiento del programa. </w:t>
            </w:r>
          </w:p>
        </w:tc>
      </w:tr>
    </w:tbl>
    <w:p w:rsidR="001C19F7" w:rsidRPr="00867291" w:rsidRDefault="001C19F7" w:rsidP="001C19F7">
      <w:pPr>
        <w:rPr>
          <w:color w:val="000000" w:themeColor="text1"/>
        </w:rPr>
      </w:pPr>
    </w:p>
    <w:p w:rsidR="001C19F7" w:rsidRPr="00867291" w:rsidRDefault="001C19F7" w:rsidP="001C19F7">
      <w:pPr>
        <w:rPr>
          <w:color w:val="000000" w:themeColor="text1"/>
        </w:rPr>
      </w:pPr>
    </w:p>
    <w:p w:rsidR="001C19F7" w:rsidRPr="001C19F7" w:rsidRDefault="001C19F7" w:rsidP="001C19F7">
      <w:pPr>
        <w:keepNext/>
        <w:keepLines/>
        <w:rPr>
          <w:color w:val="000000" w:themeColor="text1"/>
          <w:sz w:val="20"/>
        </w:rPr>
      </w:pPr>
      <w:r w:rsidRPr="001C19F7">
        <w:rPr>
          <w:color w:val="000000" w:themeColor="text1"/>
          <w:sz w:val="20"/>
        </w:rPr>
        <w:lastRenderedPageBreak/>
        <w:t>UTILIZACIÓN DE LOS RECURSOS</w:t>
      </w:r>
    </w:p>
    <w:p w:rsidR="001C19F7" w:rsidRPr="001C19F7" w:rsidRDefault="001C19F7" w:rsidP="001C19F7">
      <w:pPr>
        <w:keepNext/>
        <w:keepLines/>
        <w:rPr>
          <w:color w:val="000000" w:themeColor="text1"/>
          <w:sz w:val="20"/>
        </w:rPr>
      </w:pPr>
    </w:p>
    <w:p w:rsidR="001C19F7" w:rsidRPr="001C19F7" w:rsidRDefault="001C19F7" w:rsidP="001C19F7">
      <w:pPr>
        <w:pStyle w:val="NormalWeb"/>
        <w:keepNext/>
        <w:keepLines/>
        <w:spacing w:before="0" w:beforeAutospacing="0" w:after="0" w:afterAutospacing="0"/>
        <w:jc w:val="center"/>
        <w:rPr>
          <w:color w:val="000000" w:themeColor="text1"/>
          <w:sz w:val="20"/>
          <w:szCs w:val="20"/>
          <w:lang w:val="es-ES"/>
        </w:rPr>
      </w:pPr>
      <w:r w:rsidRPr="001C19F7">
        <w:rPr>
          <w:color w:val="000000" w:themeColor="text1"/>
          <w:sz w:val="20"/>
          <w:szCs w:val="20"/>
          <w:lang w:val="es-ES"/>
        </w:rPr>
        <w:t xml:space="preserve">Presupuesto y gastos reales (por resultado) </w:t>
      </w:r>
    </w:p>
    <w:p w:rsidR="001C19F7" w:rsidRPr="001C19F7" w:rsidRDefault="001C19F7" w:rsidP="001C19F7">
      <w:pPr>
        <w:pStyle w:val="NormalWeb"/>
        <w:keepNext/>
        <w:keepLines/>
        <w:spacing w:before="0" w:beforeAutospacing="0" w:after="0" w:afterAutospacing="0"/>
        <w:jc w:val="center"/>
        <w:rPr>
          <w:i/>
          <w:iCs/>
          <w:color w:val="000000" w:themeColor="text1"/>
          <w:sz w:val="20"/>
          <w:szCs w:val="20"/>
          <w:lang w:val="es-ES"/>
        </w:rPr>
      </w:pPr>
      <w:r w:rsidRPr="001C19F7">
        <w:rPr>
          <w:i/>
          <w:color w:val="000000" w:themeColor="text1"/>
          <w:sz w:val="20"/>
          <w:szCs w:val="20"/>
          <w:lang w:val="es-ES"/>
        </w:rPr>
        <w:t>(</w:t>
      </w:r>
      <w:proofErr w:type="gramStart"/>
      <w:r w:rsidRPr="001C19F7">
        <w:rPr>
          <w:i/>
          <w:color w:val="000000" w:themeColor="text1"/>
          <w:sz w:val="20"/>
          <w:szCs w:val="20"/>
          <w:lang w:val="es-ES"/>
        </w:rPr>
        <w:t>en</w:t>
      </w:r>
      <w:proofErr w:type="gramEnd"/>
      <w:r w:rsidRPr="001C19F7">
        <w:rPr>
          <w:i/>
          <w:color w:val="000000" w:themeColor="text1"/>
          <w:sz w:val="20"/>
          <w:szCs w:val="20"/>
          <w:lang w:val="es-ES"/>
        </w:rPr>
        <w:t xml:space="preserve"> miles de francos suizos)</w:t>
      </w:r>
    </w:p>
    <w:p w:rsidR="001C19F7" w:rsidRPr="001C19F7" w:rsidRDefault="001C19F7" w:rsidP="001C19F7">
      <w:pPr>
        <w:pStyle w:val="NormalWeb"/>
        <w:keepNext/>
        <w:keepLines/>
        <w:spacing w:before="0" w:beforeAutospacing="0" w:after="0" w:afterAutospacing="0"/>
        <w:jc w:val="center"/>
        <w:rPr>
          <w:color w:val="000000" w:themeColor="text1"/>
          <w:sz w:val="20"/>
          <w:szCs w:val="20"/>
          <w:lang w:val="es-ES"/>
        </w:rPr>
      </w:pPr>
    </w:p>
    <w:p w:rsidR="001C19F7" w:rsidRPr="00867291" w:rsidRDefault="001C19F7" w:rsidP="001C19F7">
      <w:pPr>
        <w:jc w:val="center"/>
        <w:rPr>
          <w:color w:val="000000" w:themeColor="text1"/>
        </w:rPr>
      </w:pPr>
      <w:r>
        <w:rPr>
          <w:noProof/>
          <w:color w:val="000000" w:themeColor="text1"/>
          <w:lang w:val="en-US" w:eastAsia="en-US"/>
        </w:rPr>
        <w:drawing>
          <wp:inline distT="0" distB="0" distL="0" distR="0" wp14:anchorId="07243632" wp14:editId="133FBF89">
            <wp:extent cx="5177723" cy="5653164"/>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5177797" cy="5653245"/>
                    </a:xfrm>
                    <a:prstGeom prst="rect">
                      <a:avLst/>
                    </a:prstGeom>
                    <a:noFill/>
                    <a:ln>
                      <a:noFill/>
                    </a:ln>
                  </pic:spPr>
                </pic:pic>
              </a:graphicData>
            </a:graphic>
          </wp:inline>
        </w:drawing>
      </w:r>
    </w:p>
    <w:p w:rsidR="001C19F7" w:rsidRDefault="001C19F7" w:rsidP="001C19F7">
      <w:pPr>
        <w:jc w:val="center"/>
        <w:rPr>
          <w:color w:val="000000" w:themeColor="text1"/>
          <w:sz w:val="20"/>
        </w:rPr>
      </w:pPr>
    </w:p>
    <w:p w:rsidR="00A62586" w:rsidRPr="001C19F7" w:rsidRDefault="00A62586" w:rsidP="001C19F7">
      <w:pPr>
        <w:jc w:val="center"/>
        <w:rPr>
          <w:color w:val="000000" w:themeColor="text1"/>
          <w:sz w:val="20"/>
        </w:rPr>
      </w:pPr>
    </w:p>
    <w:p w:rsidR="001C19F7" w:rsidRPr="001C19F7" w:rsidRDefault="001C19F7" w:rsidP="001C19F7">
      <w:pPr>
        <w:pStyle w:val="NormalWeb"/>
        <w:keepNext/>
        <w:keepLines/>
        <w:spacing w:before="0" w:beforeAutospacing="0" w:after="0" w:afterAutospacing="0"/>
        <w:jc w:val="center"/>
        <w:rPr>
          <w:color w:val="000000" w:themeColor="text1"/>
          <w:sz w:val="20"/>
          <w:szCs w:val="20"/>
          <w:lang w:val="es-ES"/>
        </w:rPr>
      </w:pPr>
      <w:r w:rsidRPr="001C19F7">
        <w:rPr>
          <w:color w:val="000000" w:themeColor="text1"/>
          <w:sz w:val="20"/>
          <w:szCs w:val="20"/>
          <w:lang w:val="es-ES"/>
        </w:rPr>
        <w:t xml:space="preserve">Presupuesto y gastos reales (de personal y no relativos a personal) </w:t>
      </w:r>
    </w:p>
    <w:p w:rsidR="001C19F7" w:rsidRPr="001C19F7" w:rsidRDefault="001C19F7" w:rsidP="001C19F7">
      <w:pPr>
        <w:pStyle w:val="NormalWeb"/>
        <w:keepNext/>
        <w:keepLines/>
        <w:spacing w:before="0" w:beforeAutospacing="0" w:after="0" w:afterAutospacing="0"/>
        <w:jc w:val="center"/>
        <w:rPr>
          <w:i/>
          <w:iCs/>
          <w:color w:val="000000" w:themeColor="text1"/>
          <w:sz w:val="20"/>
          <w:szCs w:val="20"/>
          <w:lang w:val="es-ES"/>
        </w:rPr>
      </w:pPr>
      <w:r w:rsidRPr="001C19F7">
        <w:rPr>
          <w:i/>
          <w:color w:val="000000" w:themeColor="text1"/>
          <w:sz w:val="20"/>
          <w:szCs w:val="20"/>
          <w:lang w:val="es-ES"/>
        </w:rPr>
        <w:t>(</w:t>
      </w:r>
      <w:proofErr w:type="gramStart"/>
      <w:r w:rsidRPr="001C19F7">
        <w:rPr>
          <w:i/>
          <w:color w:val="000000" w:themeColor="text1"/>
          <w:sz w:val="20"/>
          <w:szCs w:val="20"/>
          <w:lang w:val="es-ES"/>
        </w:rPr>
        <w:t>en</w:t>
      </w:r>
      <w:proofErr w:type="gramEnd"/>
      <w:r w:rsidRPr="001C19F7">
        <w:rPr>
          <w:i/>
          <w:color w:val="000000" w:themeColor="text1"/>
          <w:sz w:val="20"/>
          <w:szCs w:val="20"/>
          <w:lang w:val="es-ES"/>
        </w:rPr>
        <w:t xml:space="preserve"> miles de francos suizos)</w:t>
      </w:r>
    </w:p>
    <w:p w:rsidR="001C19F7" w:rsidRPr="001C19F7" w:rsidRDefault="001C19F7" w:rsidP="001C19F7">
      <w:pPr>
        <w:pStyle w:val="NormalWeb"/>
        <w:keepNext/>
        <w:keepLines/>
        <w:spacing w:before="0" w:beforeAutospacing="0" w:after="0" w:afterAutospacing="0"/>
        <w:jc w:val="center"/>
        <w:rPr>
          <w:color w:val="000000" w:themeColor="text1"/>
          <w:sz w:val="20"/>
          <w:szCs w:val="20"/>
          <w:lang w:val="es-ES"/>
        </w:rPr>
      </w:pPr>
    </w:p>
    <w:p w:rsidR="001C19F7" w:rsidRPr="00867291" w:rsidRDefault="001C19F7" w:rsidP="001C19F7">
      <w:pPr>
        <w:jc w:val="center"/>
        <w:rPr>
          <w:i/>
          <w:color w:val="000000" w:themeColor="text1"/>
          <w:szCs w:val="16"/>
        </w:rPr>
      </w:pPr>
      <w:r>
        <w:rPr>
          <w:noProof/>
          <w:color w:val="000000" w:themeColor="text1"/>
          <w:lang w:val="en-US" w:eastAsia="en-US"/>
        </w:rPr>
        <w:drawing>
          <wp:inline distT="0" distB="0" distL="0" distR="0" wp14:anchorId="178A2E0E" wp14:editId="2B159765">
            <wp:extent cx="5433237" cy="1031358"/>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5441077" cy="1032846"/>
                    </a:xfrm>
                    <a:prstGeom prst="rect">
                      <a:avLst/>
                    </a:prstGeom>
                    <a:noFill/>
                    <a:ln>
                      <a:noFill/>
                    </a:ln>
                  </pic:spPr>
                </pic:pic>
              </a:graphicData>
            </a:graphic>
          </wp:inline>
        </w:drawing>
      </w:r>
    </w:p>
    <w:p w:rsidR="001C19F7" w:rsidRPr="001C19F7" w:rsidRDefault="001C19F7" w:rsidP="001C19F7">
      <w:pPr>
        <w:rPr>
          <w:i/>
          <w:color w:val="000000" w:themeColor="text1"/>
          <w:sz w:val="20"/>
        </w:rPr>
      </w:pPr>
    </w:p>
    <w:p w:rsidR="001C19F7" w:rsidRPr="001C19F7" w:rsidRDefault="001C19F7" w:rsidP="001C19F7">
      <w:pPr>
        <w:rPr>
          <w:i/>
          <w:color w:val="000000" w:themeColor="text1"/>
          <w:sz w:val="20"/>
        </w:rPr>
      </w:pPr>
    </w:p>
    <w:p w:rsidR="001C19F7" w:rsidRPr="001C19F7" w:rsidRDefault="001C19F7" w:rsidP="001B204E">
      <w:pPr>
        <w:keepNext/>
        <w:keepLines/>
        <w:tabs>
          <w:tab w:val="left" w:pos="709"/>
        </w:tabs>
        <w:rPr>
          <w:color w:val="000000" w:themeColor="text1"/>
          <w:sz w:val="20"/>
          <w:u w:val="single"/>
        </w:rPr>
      </w:pPr>
      <w:r w:rsidRPr="001C19F7">
        <w:rPr>
          <w:color w:val="000000" w:themeColor="text1"/>
          <w:sz w:val="20"/>
        </w:rPr>
        <w:lastRenderedPageBreak/>
        <w:t>A.</w:t>
      </w:r>
      <w:r w:rsidRPr="001C19F7">
        <w:rPr>
          <w:color w:val="000000" w:themeColor="text1"/>
          <w:sz w:val="20"/>
        </w:rPr>
        <w:tab/>
      </w:r>
      <w:r w:rsidRPr="001C19F7">
        <w:rPr>
          <w:color w:val="000000" w:themeColor="text1"/>
          <w:sz w:val="20"/>
          <w:u w:val="single"/>
        </w:rPr>
        <w:t xml:space="preserve">Presupuesto final de 2014/15 tras las transferencias </w:t>
      </w:r>
    </w:p>
    <w:p w:rsidR="001C19F7" w:rsidRPr="001C19F7" w:rsidRDefault="001C19F7" w:rsidP="001C19F7">
      <w:pPr>
        <w:keepNext/>
        <w:keepLines/>
        <w:rPr>
          <w:color w:val="000000" w:themeColor="text1"/>
          <w:sz w:val="20"/>
          <w:u w:val="single"/>
        </w:rPr>
      </w:pPr>
    </w:p>
    <w:p w:rsidR="001C19F7" w:rsidRPr="001C19F7" w:rsidRDefault="001C19F7" w:rsidP="00276C89">
      <w:pPr>
        <w:pStyle w:val="ListParagraph"/>
        <w:keepNext/>
        <w:keepLines/>
        <w:numPr>
          <w:ilvl w:val="0"/>
          <w:numId w:val="94"/>
        </w:numPr>
        <w:tabs>
          <w:tab w:val="left" w:pos="709"/>
        </w:tabs>
        <w:ind w:left="0" w:firstLine="0"/>
        <w:jc w:val="both"/>
        <w:rPr>
          <w:rFonts w:cs="Arial"/>
          <w:color w:val="000000" w:themeColor="text1"/>
          <w:lang w:val="es-ES"/>
        </w:rPr>
      </w:pPr>
      <w:r w:rsidRPr="001C19F7">
        <w:rPr>
          <w:color w:val="000000" w:themeColor="text1"/>
          <w:lang w:val="es-ES"/>
        </w:rPr>
        <w:t>La disminución neta de los recursos de personal en el presupuesto final de 2014/15 después de las transferencias es el reflejo de la transferencia de recursos de personal al programa 9 para reforzar las actividades de la Oficina para África (que se refleja como disminución en el resultado VIII.4 (Intercambios abiertos, transparentes y dinámicos con las organizaciones no gubernamentales).</w:t>
      </w:r>
    </w:p>
    <w:p w:rsidR="001C19F7" w:rsidRPr="001C19F7" w:rsidRDefault="001C19F7" w:rsidP="001C19F7">
      <w:pPr>
        <w:pStyle w:val="ListParagraph"/>
        <w:tabs>
          <w:tab w:val="left" w:pos="709"/>
        </w:tabs>
        <w:ind w:left="0"/>
        <w:contextualSpacing/>
        <w:jc w:val="both"/>
        <w:rPr>
          <w:rFonts w:cs="Arial"/>
          <w:color w:val="000000" w:themeColor="text1"/>
          <w:lang w:val="es-ES"/>
        </w:rPr>
      </w:pPr>
    </w:p>
    <w:p w:rsidR="001C19F7" w:rsidRPr="001C19F7" w:rsidRDefault="001C19F7" w:rsidP="00276C89">
      <w:pPr>
        <w:pStyle w:val="ListParagraph"/>
        <w:numPr>
          <w:ilvl w:val="0"/>
          <w:numId w:val="94"/>
        </w:numPr>
        <w:tabs>
          <w:tab w:val="left" w:pos="709"/>
        </w:tabs>
        <w:ind w:left="0" w:firstLine="0"/>
        <w:jc w:val="both"/>
        <w:rPr>
          <w:rFonts w:cs="Arial"/>
          <w:color w:val="000000" w:themeColor="text1"/>
          <w:u w:val="single"/>
          <w:lang w:val="es-ES"/>
        </w:rPr>
      </w:pPr>
      <w:r w:rsidRPr="001C19F7">
        <w:rPr>
          <w:color w:val="000000" w:themeColor="text1"/>
          <w:lang w:val="es-ES"/>
        </w:rPr>
        <w:t>El aumento neto de los recursos no relativos al personal en el presupuesto final de 2014/15 después de las transferencias se debe principalmente a</w:t>
      </w:r>
      <w:proofErr w:type="gramStart"/>
      <w:r w:rsidRPr="001C19F7">
        <w:rPr>
          <w:color w:val="000000" w:themeColor="text1"/>
          <w:lang w:val="es-ES"/>
        </w:rPr>
        <w:t>:  i</w:t>
      </w:r>
      <w:proofErr w:type="gramEnd"/>
      <w:r w:rsidRPr="001C19F7">
        <w:rPr>
          <w:color w:val="000000" w:themeColor="text1"/>
          <w:lang w:val="es-ES"/>
        </w:rPr>
        <w:t>) la asignación inicial de recursos para la OOC y la OOR;  ii) la transferencia de fondos adicionales a la OOC para la obra de infraestructura debida al proyecto GOA;  y la transferencia de fondos adicionales a las oficinas en el exterior para la participación de sus directores en las Asambleas Generales de la OMPI.</w:t>
      </w:r>
    </w:p>
    <w:p w:rsidR="001C19F7" w:rsidRPr="001C19F7" w:rsidRDefault="001C19F7" w:rsidP="001C19F7">
      <w:pPr>
        <w:pStyle w:val="ListParagraph"/>
        <w:tabs>
          <w:tab w:val="left" w:pos="709"/>
        </w:tabs>
        <w:ind w:left="0"/>
        <w:jc w:val="both"/>
        <w:rPr>
          <w:rFonts w:cs="Arial"/>
          <w:color w:val="000000" w:themeColor="text1"/>
          <w:u w:val="single"/>
          <w:lang w:val="es-ES"/>
        </w:rPr>
      </w:pPr>
    </w:p>
    <w:p w:rsidR="001C19F7" w:rsidRPr="001C19F7" w:rsidRDefault="001C19F7" w:rsidP="00276C89">
      <w:pPr>
        <w:pStyle w:val="ListParagraph"/>
        <w:numPr>
          <w:ilvl w:val="0"/>
          <w:numId w:val="94"/>
        </w:numPr>
        <w:tabs>
          <w:tab w:val="left" w:pos="709"/>
        </w:tabs>
        <w:ind w:left="0" w:firstLine="0"/>
        <w:jc w:val="both"/>
        <w:rPr>
          <w:rFonts w:cs="Arial"/>
          <w:color w:val="000000" w:themeColor="text1"/>
          <w:u w:val="single"/>
          <w:lang w:val="es-ES"/>
        </w:rPr>
      </w:pPr>
      <w:r w:rsidRPr="001C19F7">
        <w:rPr>
          <w:color w:val="000000" w:themeColor="text1"/>
          <w:lang w:val="es-ES"/>
        </w:rPr>
        <w:t xml:space="preserve">Los ajustes en los resultados previstos se deben principalmente a: i) la asignación inicial de recursos para la OOC y la OOR, que se reflejan, en particular, en los resultados previstos II.1 (Fomento del uso de la vía del PCT) y II.6 (Mayor y más eficaz utilización de los sistemas de Madrid y de Lisboa;  ii) la importancia cada vez mayor que atribuyen las Oficinas en el exterior a la comunicación más eficaz acerca de los servicios mundiales de P.I. de la OMPI, que se refleja en el resultado previsto VIII.1 (Comunicación más eficaz con el público en general) y mejor servicio al cliente, que se refleja en el resultado previsto VIII.2 (Mejora en la prestación de servicios y la atención de consultas);  y iii) la redistribución de recursos del resultado VIII.4 (Intercambios abiertos, transparentes y dinámicos con las ONG) al resultado VIII.5 (La OMPI participa y colabora eficazmente en los procesos y negociaciones de las NN.UU. y otras OIG) a raíz de la reorganización interna del programa.  </w:t>
      </w:r>
    </w:p>
    <w:p w:rsidR="001C19F7" w:rsidRPr="001C19F7" w:rsidRDefault="001C19F7" w:rsidP="001C19F7">
      <w:pPr>
        <w:rPr>
          <w:color w:val="000000" w:themeColor="text1"/>
          <w:sz w:val="20"/>
        </w:rPr>
      </w:pPr>
    </w:p>
    <w:p w:rsidR="001C19F7" w:rsidRPr="001C19F7" w:rsidRDefault="001C19F7" w:rsidP="001B204E">
      <w:pPr>
        <w:tabs>
          <w:tab w:val="left" w:pos="709"/>
        </w:tabs>
        <w:jc w:val="both"/>
        <w:rPr>
          <w:color w:val="000000" w:themeColor="text1"/>
          <w:sz w:val="20"/>
          <w:u w:val="single"/>
        </w:rPr>
      </w:pPr>
      <w:r w:rsidRPr="001C19F7">
        <w:rPr>
          <w:color w:val="000000" w:themeColor="text1"/>
          <w:sz w:val="20"/>
        </w:rPr>
        <w:t>B.</w:t>
      </w:r>
      <w:r w:rsidRPr="001C19F7">
        <w:rPr>
          <w:color w:val="000000" w:themeColor="text1"/>
          <w:sz w:val="20"/>
        </w:rPr>
        <w:tab/>
      </w:r>
      <w:r w:rsidRPr="001C19F7">
        <w:rPr>
          <w:color w:val="000000" w:themeColor="text1"/>
          <w:sz w:val="20"/>
          <w:u w:val="single"/>
        </w:rPr>
        <w:t xml:space="preserve">Utilización del presupuesto en 2014/15 </w:t>
      </w:r>
    </w:p>
    <w:p w:rsidR="001C19F7" w:rsidRPr="001C19F7" w:rsidRDefault="001C19F7" w:rsidP="001C19F7">
      <w:pPr>
        <w:jc w:val="both"/>
        <w:rPr>
          <w:color w:val="000000" w:themeColor="text1"/>
          <w:sz w:val="20"/>
          <w:u w:val="single"/>
        </w:rPr>
      </w:pPr>
    </w:p>
    <w:p w:rsidR="001C19F7" w:rsidRPr="001C19F7" w:rsidRDefault="001C19F7" w:rsidP="00276C89">
      <w:pPr>
        <w:pStyle w:val="ListParagraph"/>
        <w:numPr>
          <w:ilvl w:val="0"/>
          <w:numId w:val="94"/>
        </w:numPr>
        <w:tabs>
          <w:tab w:val="left" w:pos="709"/>
        </w:tabs>
        <w:ind w:left="0" w:firstLine="0"/>
        <w:jc w:val="both"/>
        <w:rPr>
          <w:color w:val="000000" w:themeColor="text1"/>
          <w:lang w:val="es-ES"/>
        </w:rPr>
      </w:pPr>
      <w:r w:rsidRPr="001C19F7">
        <w:rPr>
          <w:color w:val="000000" w:themeColor="text1"/>
          <w:lang w:val="es-ES"/>
        </w:rPr>
        <w:t>La utilización global del presupuesto en el bienio 2014/15 fue del 81%.  Esta utilización se debe principalmente a:  i) la apertura de la OOC y la OOR en julio de 2014, es decir, a mitad de año, y se refleja en particular en los resultados II.1 (Fomento del uso de la vía del PCT), II.6 (Mayor y más eficaz utilización de los Sistemas de Madrid y Lisboa) y III.2 (Aumento de las capacidades en recursos humanos);  ii) el aplazamiento de las actividades relacionadas con el proyecto de uso de servicios extrajudiciales de solución de controversias acerca de transacciones de propiedad intelectual en la OOB, que se refleja en el resultado II.8 (controversias nacionales e internacionales en materia de propiedad intelectual);  iii) determinadas actividades de creación de capacidad, que se reflejan en el resultado III.2 (Aumento de las capacidades en recursos humanos) por parte de otros programas directamente en los países /regiones;  y iv) la aplicación de medidas de costo-eficacia en las misiones del personal, en particular, en lo que se refiere al resultado VIII.5 (La OMPI participa y colabora eficazmente en los procesos y negociaciones de las NN.UU. y otras OIG).</w:t>
      </w:r>
    </w:p>
    <w:p w:rsidR="001C19F7" w:rsidRPr="001C19F7" w:rsidRDefault="001C19F7" w:rsidP="001C19F7">
      <w:pPr>
        <w:jc w:val="both"/>
        <w:rPr>
          <w:color w:val="000000" w:themeColor="text1"/>
          <w:sz w:val="20"/>
        </w:rPr>
      </w:pPr>
    </w:p>
    <w:p w:rsidR="001C19F7" w:rsidRPr="001C19F7" w:rsidRDefault="001C19F7" w:rsidP="001C19F7">
      <w:pPr>
        <w:jc w:val="both"/>
        <w:rPr>
          <w:color w:val="000000" w:themeColor="text1"/>
          <w:sz w:val="20"/>
        </w:rPr>
      </w:pPr>
    </w:p>
    <w:p w:rsidR="001C19F7" w:rsidRPr="001C19F7" w:rsidRDefault="001C19F7" w:rsidP="001C19F7">
      <w:pPr>
        <w:jc w:val="both"/>
        <w:rPr>
          <w:color w:val="000000" w:themeColor="text1"/>
          <w:sz w:val="20"/>
        </w:rPr>
      </w:pPr>
    </w:p>
    <w:p w:rsidR="00FA423E" w:rsidRPr="001C19F7" w:rsidRDefault="00FA423E" w:rsidP="00FA423E">
      <w:pPr>
        <w:rPr>
          <w:sz w:val="20"/>
        </w:rPr>
      </w:pPr>
      <w:r w:rsidRPr="001C19F7">
        <w:rPr>
          <w:sz w:val="20"/>
        </w:rPr>
        <w:br w:type="page"/>
      </w:r>
    </w:p>
    <w:p w:rsidR="00FA423E" w:rsidRPr="00F171B5" w:rsidRDefault="00FA423E" w:rsidP="00FA423E">
      <w:pPr>
        <w:pStyle w:val="StyleHeading214ptAuto"/>
        <w:rPr>
          <w:rFonts w:ascii="Arial" w:hAnsi="Arial" w:cs="Arial"/>
          <w:sz w:val="20"/>
          <w:szCs w:val="20"/>
          <w:lang w:val="es-ES"/>
        </w:rPr>
      </w:pPr>
      <w:bookmarkStart w:id="167" w:name="_Toc455159102"/>
      <w:bookmarkStart w:id="168" w:name="_Toc367350601"/>
      <w:r w:rsidRPr="00F171B5">
        <w:rPr>
          <w:rFonts w:ascii="Arial" w:hAnsi="Arial" w:cs="Arial"/>
          <w:sz w:val="20"/>
          <w:szCs w:val="20"/>
          <w:lang w:val="es-ES_tradnl"/>
        </w:rPr>
        <w:lastRenderedPageBreak/>
        <w:t>META ESTRATÉGICA IX</w:t>
      </w:r>
      <w:bookmarkEnd w:id="167"/>
    </w:p>
    <w:p w:rsidR="00FA423E" w:rsidRPr="00F171B5" w:rsidRDefault="00FA423E" w:rsidP="00FA423E">
      <w:pPr>
        <w:jc w:val="center"/>
        <w:rPr>
          <w:sz w:val="20"/>
        </w:rPr>
      </w:pPr>
    </w:p>
    <w:bookmarkEnd w:id="168"/>
    <w:p w:rsidR="00FA423E" w:rsidRPr="00F171B5" w:rsidRDefault="00FA423E" w:rsidP="00FA423E">
      <w:pPr>
        <w:jc w:val="center"/>
        <w:rPr>
          <w:sz w:val="20"/>
        </w:rPr>
      </w:pPr>
      <w:r w:rsidRPr="00F171B5">
        <w:rPr>
          <w:b/>
          <w:sz w:val="20"/>
          <w:lang w:val="es-ES_tradnl"/>
        </w:rPr>
        <w:t>APOYO ADMINISTRATIVO Y FINANCIERO EFICIENTE</w:t>
      </w:r>
    </w:p>
    <w:p w:rsidR="00FA423E" w:rsidRPr="00F171B5" w:rsidRDefault="00FA423E" w:rsidP="00FA423E">
      <w:pPr>
        <w:jc w:val="center"/>
        <w:rPr>
          <w:sz w:val="20"/>
        </w:rPr>
      </w:pPr>
    </w:p>
    <w:p w:rsidR="00FA423E" w:rsidRPr="00F171B5" w:rsidRDefault="00FA423E" w:rsidP="00FA423E">
      <w:pPr>
        <w:jc w:val="center"/>
        <w:rPr>
          <w:b/>
          <w:sz w:val="20"/>
        </w:rPr>
      </w:pPr>
      <w:r w:rsidRPr="00F171B5">
        <w:rPr>
          <w:b/>
          <w:sz w:val="20"/>
        </w:rPr>
        <w:t xml:space="preserve">Cuadro sobre el rendimiento bienal </w:t>
      </w:r>
    </w:p>
    <w:p w:rsidR="00FA423E" w:rsidRPr="00F171B5" w:rsidRDefault="00FA423E" w:rsidP="00FA423E">
      <w:pPr>
        <w:jc w:val="center"/>
        <w:rPr>
          <w:b/>
          <w:sz w:val="20"/>
        </w:rPr>
      </w:pPr>
    </w:p>
    <w:p w:rsidR="00FA423E" w:rsidRPr="00F171B5" w:rsidRDefault="00FA423E" w:rsidP="00FA423E">
      <w:pPr>
        <w:autoSpaceDE w:val="0"/>
        <w:autoSpaceDN w:val="0"/>
        <w:adjustRightInd w:val="0"/>
        <w:jc w:val="both"/>
        <w:rPr>
          <w:sz w:val="20"/>
        </w:rPr>
      </w:pPr>
      <w:r w:rsidRPr="00F171B5">
        <w:rPr>
          <w:sz w:val="20"/>
          <w:lang w:val="es-ES_tradnl"/>
        </w:rPr>
        <w:t>En el siguiente cuadro se reseñan los avances realizados hacia la consecución de los resultados en el bienio 2014/15, medidos con arreglo a los indicadores de los programas que contribuyen al logro de esta meta estratégica.</w:t>
      </w:r>
      <w:r w:rsidRPr="00F171B5">
        <w:rPr>
          <w:sz w:val="20"/>
        </w:rPr>
        <w:t xml:space="preserve">  </w:t>
      </w:r>
    </w:p>
    <w:p w:rsidR="00FA423E" w:rsidRPr="00F171B5" w:rsidRDefault="00FA423E" w:rsidP="00FA423E">
      <w:pPr>
        <w:jc w:val="center"/>
        <w:rPr>
          <w:sz w:val="20"/>
        </w:rPr>
      </w:pPr>
      <w:r w:rsidRPr="00F171B5">
        <w:rPr>
          <w:noProof/>
          <w:sz w:val="20"/>
          <w:lang w:val="en-US" w:eastAsia="en-US"/>
        </w:rPr>
        <w:drawing>
          <wp:inline distT="0" distB="0" distL="0" distR="0" wp14:anchorId="29BA6E5A" wp14:editId="70284DBB">
            <wp:extent cx="5940425" cy="3162603"/>
            <wp:effectExtent l="0" t="0" r="317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5940425" cy="3162603"/>
                    </a:xfrm>
                    <a:prstGeom prst="rect">
                      <a:avLst/>
                    </a:prstGeom>
                    <a:noFill/>
                    <a:ln>
                      <a:noFill/>
                    </a:ln>
                  </pic:spPr>
                </pic:pic>
              </a:graphicData>
            </a:graphic>
          </wp:inline>
        </w:drawing>
      </w:r>
    </w:p>
    <w:p w:rsidR="00FA423E" w:rsidRPr="00F171B5" w:rsidRDefault="00FA423E" w:rsidP="00FA423E">
      <w:pPr>
        <w:jc w:val="center"/>
        <w:rPr>
          <w:sz w:val="20"/>
        </w:rPr>
      </w:pPr>
    </w:p>
    <w:tbl>
      <w:tblPr>
        <w:tblW w:w="4942"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862"/>
        <w:gridCol w:w="4032"/>
        <w:gridCol w:w="1693"/>
        <w:gridCol w:w="873"/>
      </w:tblGrid>
      <w:tr w:rsidR="00FA423E" w:rsidRPr="00AF5E7C" w:rsidTr="00DC1333">
        <w:trPr>
          <w:cantSplit/>
          <w:trHeight w:val="317"/>
          <w:tblHeader/>
        </w:trPr>
        <w:tc>
          <w:tcPr>
            <w:tcW w:w="1513" w:type="pct"/>
            <w:tcBorders>
              <w:top w:val="single" w:sz="4" w:space="0" w:color="auto"/>
              <w:bottom w:val="single" w:sz="4" w:space="0" w:color="auto"/>
            </w:tcBorders>
            <w:shd w:val="clear" w:color="auto" w:fill="DAEEF3" w:themeFill="accent5" w:themeFillTint="33"/>
            <w:tcMar>
              <w:top w:w="113" w:type="dxa"/>
              <w:bottom w:w="85" w:type="dxa"/>
            </w:tcMar>
            <w:vAlign w:val="center"/>
          </w:tcPr>
          <w:p w:rsidR="00FA423E" w:rsidRPr="007E4934" w:rsidRDefault="00FA423E" w:rsidP="00DC1333">
            <w:pPr>
              <w:spacing w:after="120"/>
              <w:rPr>
                <w:b/>
                <w:bCs/>
                <w:sz w:val="18"/>
                <w:szCs w:val="18"/>
              </w:rPr>
            </w:pPr>
            <w:r w:rsidRPr="007E4934">
              <w:rPr>
                <w:b/>
                <w:bCs/>
                <w:sz w:val="18"/>
                <w:szCs w:val="18"/>
                <w:lang w:val="es-ES_tradnl"/>
              </w:rPr>
              <w:t>Resultados previstos</w:t>
            </w:r>
          </w:p>
        </w:tc>
        <w:tc>
          <w:tcPr>
            <w:tcW w:w="2131" w:type="pct"/>
            <w:tcBorders>
              <w:top w:val="single" w:sz="4" w:space="0" w:color="auto"/>
              <w:bottom w:val="single" w:sz="4" w:space="0" w:color="auto"/>
            </w:tcBorders>
            <w:shd w:val="clear" w:color="auto" w:fill="DAEEF3" w:themeFill="accent5" w:themeFillTint="33"/>
            <w:tcMar>
              <w:top w:w="113" w:type="dxa"/>
              <w:bottom w:w="85" w:type="dxa"/>
            </w:tcMar>
            <w:vAlign w:val="center"/>
          </w:tcPr>
          <w:p w:rsidR="00FA423E" w:rsidRPr="007E4934" w:rsidRDefault="00FA423E" w:rsidP="00DC1333">
            <w:pPr>
              <w:spacing w:after="120"/>
              <w:rPr>
                <w:b/>
                <w:sz w:val="18"/>
                <w:szCs w:val="18"/>
              </w:rPr>
            </w:pPr>
            <w:r w:rsidRPr="007E4934">
              <w:rPr>
                <w:b/>
                <w:sz w:val="18"/>
                <w:szCs w:val="18"/>
                <w:lang w:val="es-ES_tradnl"/>
              </w:rPr>
              <w:t>Indicadores de rendimiento</w:t>
            </w:r>
          </w:p>
        </w:tc>
        <w:tc>
          <w:tcPr>
            <w:tcW w:w="895" w:type="pct"/>
            <w:tcBorders>
              <w:top w:val="single" w:sz="4" w:space="0" w:color="auto"/>
              <w:bottom w:val="single" w:sz="4" w:space="0" w:color="auto"/>
            </w:tcBorders>
            <w:shd w:val="clear" w:color="auto" w:fill="DAEEF3" w:themeFill="accent5" w:themeFillTint="33"/>
            <w:tcMar>
              <w:top w:w="113" w:type="dxa"/>
              <w:bottom w:w="85" w:type="dxa"/>
            </w:tcMar>
            <w:vAlign w:val="center"/>
          </w:tcPr>
          <w:p w:rsidR="00FA423E" w:rsidRPr="007E4934" w:rsidRDefault="00FA423E" w:rsidP="00DC1333">
            <w:pPr>
              <w:spacing w:after="120"/>
              <w:ind w:left="85"/>
              <w:jc w:val="center"/>
              <w:rPr>
                <w:sz w:val="18"/>
                <w:szCs w:val="18"/>
              </w:rPr>
            </w:pPr>
            <w:r w:rsidRPr="007E4934">
              <w:rPr>
                <w:b/>
                <w:sz w:val="18"/>
                <w:szCs w:val="18"/>
                <w:lang w:val="es-ES_tradnl"/>
              </w:rPr>
              <w:t>Programas responsables</w:t>
            </w:r>
          </w:p>
        </w:tc>
        <w:tc>
          <w:tcPr>
            <w:tcW w:w="461" w:type="pct"/>
            <w:tcBorders>
              <w:top w:val="single" w:sz="4" w:space="0" w:color="auto"/>
              <w:bottom w:val="single" w:sz="4" w:space="0" w:color="auto"/>
            </w:tcBorders>
            <w:shd w:val="clear" w:color="auto" w:fill="DAEEF3" w:themeFill="accent5" w:themeFillTint="33"/>
            <w:vAlign w:val="center"/>
          </w:tcPr>
          <w:p w:rsidR="00FA423E" w:rsidRPr="005967EA" w:rsidRDefault="00FA423E" w:rsidP="00DC1333">
            <w:pPr>
              <w:spacing w:after="120"/>
              <w:ind w:left="12" w:hanging="12"/>
              <w:jc w:val="center"/>
              <w:rPr>
                <w:b/>
                <w:bCs/>
                <w:sz w:val="18"/>
                <w:szCs w:val="18"/>
              </w:rPr>
            </w:pPr>
            <w:r w:rsidRPr="007E4934">
              <w:rPr>
                <w:b/>
                <w:bCs/>
                <w:sz w:val="18"/>
                <w:szCs w:val="18"/>
                <w:lang w:val="es-ES_tradnl"/>
              </w:rPr>
              <w:t>Clave de colores</w:t>
            </w:r>
          </w:p>
        </w:tc>
      </w:tr>
      <w:tr w:rsidR="00FA423E" w:rsidRPr="00AF5E7C" w:rsidTr="00DC1333">
        <w:trPr>
          <w:cantSplit/>
          <w:trHeight w:val="704"/>
        </w:trPr>
        <w:tc>
          <w:tcPr>
            <w:tcW w:w="1513" w:type="pct"/>
            <w:tcBorders>
              <w:top w:val="single" w:sz="4" w:space="0" w:color="auto"/>
            </w:tcBorders>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IX.1 Servicios de apoyo eficaces, eficientes, de calidad y orientados al cliente, tanto a los clientes internos como a las partes interesadas externas</w:t>
            </w:r>
          </w:p>
        </w:tc>
        <w:tc>
          <w:tcPr>
            <w:tcW w:w="2131" w:type="pct"/>
            <w:tcBorders>
              <w:top w:val="single" w:sz="4" w:space="0" w:color="auto"/>
            </w:tcBorders>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Suministro de informes y análisis financieros y de gestión solicitados por el personal directivo superior, los directores de programa y los Estados miembros con arreglo a los plazos acordados</w:t>
            </w:r>
          </w:p>
        </w:tc>
        <w:tc>
          <w:tcPr>
            <w:tcW w:w="895" w:type="pct"/>
            <w:tcBorders>
              <w:top w:val="single" w:sz="4" w:space="0" w:color="auto"/>
            </w:tcBorders>
            <w:shd w:val="clear" w:color="auto" w:fill="FFFFFF"/>
            <w:tcMar>
              <w:top w:w="113" w:type="dxa"/>
              <w:bottom w:w="85" w:type="dxa"/>
            </w:tcMar>
          </w:tcPr>
          <w:p w:rsidR="00FA423E" w:rsidRPr="007E4934" w:rsidRDefault="00FA423E" w:rsidP="00DC1333">
            <w:pPr>
              <w:jc w:val="center"/>
              <w:rPr>
                <w:sz w:val="16"/>
                <w:szCs w:val="16"/>
              </w:rPr>
            </w:pPr>
            <w:r w:rsidRPr="007E4934">
              <w:rPr>
                <w:sz w:val="16"/>
                <w:szCs w:val="16"/>
                <w:lang w:val="es-ES_tradnl"/>
              </w:rPr>
              <w:t>Programa 22</w:t>
            </w:r>
          </w:p>
        </w:tc>
        <w:tc>
          <w:tcPr>
            <w:tcW w:w="461" w:type="pct"/>
            <w:tcBorders>
              <w:top w:val="single" w:sz="4" w:space="0" w:color="auto"/>
            </w:tcBorders>
            <w:shd w:val="clear" w:color="auto" w:fill="FFFFFF"/>
          </w:tcPr>
          <w:p w:rsidR="00FA423E" w:rsidRPr="00CC3F44" w:rsidRDefault="00FA423E" w:rsidP="00DC1333">
            <w:pPr>
              <w:jc w:val="center"/>
            </w:pPr>
            <w:r w:rsidRPr="00CC3F44">
              <w:rPr>
                <w:color w:val="008000"/>
                <w:szCs w:val="22"/>
              </w:rPr>
              <w:sym w:font="Wingdings" w:char="F06C"/>
            </w:r>
            <w:r w:rsidRPr="00CC3F44">
              <w:rPr>
                <w:color w:val="008000"/>
                <w:szCs w:val="22"/>
              </w:rPr>
              <w:sym w:font="Wingdings" w:char="F06C"/>
            </w:r>
            <w:r w:rsidRPr="00CC3F44">
              <w:rPr>
                <w:color w:val="008000"/>
                <w:szCs w:val="22"/>
              </w:rPr>
              <w:sym w:font="Wingdings" w:char="F06C"/>
            </w:r>
            <w:r w:rsidRPr="00CC3F44">
              <w:rPr>
                <w:color w:val="FF0000"/>
                <w:szCs w:val="22"/>
              </w:rPr>
              <w:sym w:font="Wingdings" w:char="F06C"/>
            </w:r>
          </w:p>
        </w:tc>
      </w:tr>
      <w:tr w:rsidR="00FA423E" w:rsidRPr="00AF5E7C" w:rsidTr="00DC1333">
        <w:trPr>
          <w:cantSplit/>
        </w:trPr>
        <w:tc>
          <w:tcPr>
            <w:tcW w:w="1513" w:type="pct"/>
            <w:shd w:val="clear" w:color="auto" w:fill="auto"/>
            <w:tcMar>
              <w:top w:w="113" w:type="dxa"/>
              <w:bottom w:w="85" w:type="dxa"/>
            </w:tcMar>
          </w:tcPr>
          <w:p w:rsidR="00FA423E" w:rsidRPr="007E4934" w:rsidRDefault="00FA423E" w:rsidP="00DC1333">
            <w:pPr>
              <w:rPr>
                <w:sz w:val="16"/>
                <w:szCs w:val="16"/>
              </w:rPr>
            </w:pPr>
          </w:p>
        </w:tc>
        <w:tc>
          <w:tcPr>
            <w:tcW w:w="2131" w:type="pc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Atención de consultas recibidas a nivel interno y externo con arreglo a los plazos establecidos</w:t>
            </w:r>
          </w:p>
        </w:tc>
        <w:tc>
          <w:tcPr>
            <w:tcW w:w="895"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22</w:t>
            </w:r>
          </w:p>
        </w:tc>
        <w:tc>
          <w:tcPr>
            <w:tcW w:w="461" w:type="pct"/>
            <w:shd w:val="clear" w:color="auto" w:fill="FFFFFF"/>
          </w:tcPr>
          <w:p w:rsidR="00FA423E" w:rsidRPr="00CC3F44" w:rsidRDefault="00FA423E" w:rsidP="00DC1333">
            <w:pPr>
              <w:jc w:val="center"/>
              <w:rPr>
                <w:color w:val="A6A6A6" w:themeColor="background1" w:themeShade="A6"/>
                <w:szCs w:val="22"/>
              </w:rPr>
            </w:pPr>
            <w:r w:rsidRPr="00CC3F44">
              <w:rPr>
                <w:color w:val="008000"/>
                <w:szCs w:val="22"/>
              </w:rPr>
              <w:sym w:font="Wingdings" w:char="F06C"/>
            </w:r>
            <w:r w:rsidRPr="00CC3F44">
              <w:rPr>
                <w:color w:val="008000"/>
                <w:szCs w:val="22"/>
              </w:rPr>
              <w:sym w:font="Wingdings" w:char="F06C"/>
            </w:r>
          </w:p>
        </w:tc>
      </w:tr>
      <w:tr w:rsidR="00FA423E" w:rsidRPr="00AF5E7C" w:rsidTr="00DC1333">
        <w:trPr>
          <w:cantSplit/>
          <w:trHeight w:val="247"/>
        </w:trPr>
        <w:tc>
          <w:tcPr>
            <w:tcW w:w="1513" w:type="pct"/>
            <w:shd w:val="clear" w:color="auto" w:fill="auto"/>
            <w:tcMar>
              <w:top w:w="113" w:type="dxa"/>
              <w:bottom w:w="85" w:type="dxa"/>
            </w:tcMar>
          </w:tcPr>
          <w:p w:rsidR="00FA423E" w:rsidRPr="007E4934" w:rsidRDefault="00FA423E" w:rsidP="00DC1333">
            <w:pPr>
              <w:rPr>
                <w:sz w:val="16"/>
                <w:szCs w:val="16"/>
              </w:rPr>
            </w:pPr>
          </w:p>
        </w:tc>
        <w:tc>
          <w:tcPr>
            <w:tcW w:w="2131" w:type="pct"/>
            <w:shd w:val="clear" w:color="auto" w:fill="auto"/>
            <w:tcMar>
              <w:top w:w="113" w:type="dxa"/>
              <w:bottom w:w="85" w:type="dxa"/>
            </w:tcMar>
          </w:tcPr>
          <w:p w:rsidR="00FA423E" w:rsidRPr="007E4934" w:rsidRDefault="00FA423E" w:rsidP="00DC1333">
            <w:pPr>
              <w:rPr>
                <w:bCs/>
                <w:sz w:val="16"/>
                <w:szCs w:val="16"/>
              </w:rPr>
            </w:pPr>
            <w:r w:rsidRPr="007E4934">
              <w:rPr>
                <w:bCs/>
                <w:sz w:val="16"/>
                <w:szCs w:val="16"/>
                <w:lang w:val="es-ES_tradnl"/>
              </w:rPr>
              <w:t>Porcentaje de miembros del personal satisfechos de los servicios de recursos humanos</w:t>
            </w:r>
          </w:p>
        </w:tc>
        <w:tc>
          <w:tcPr>
            <w:tcW w:w="895" w:type="pct"/>
            <w:shd w:val="clear" w:color="auto" w:fill="FFFFFF"/>
            <w:tcMar>
              <w:top w:w="113" w:type="dxa"/>
              <w:bottom w:w="85" w:type="dxa"/>
            </w:tcMar>
          </w:tcPr>
          <w:p w:rsidR="00FA423E" w:rsidRPr="007E4934" w:rsidRDefault="00FA423E" w:rsidP="00DC1333">
            <w:pPr>
              <w:jc w:val="center"/>
              <w:rPr>
                <w:sz w:val="16"/>
                <w:szCs w:val="16"/>
              </w:rPr>
            </w:pPr>
            <w:r w:rsidRPr="007E4934">
              <w:rPr>
                <w:sz w:val="16"/>
                <w:szCs w:val="16"/>
                <w:lang w:val="es-ES_tradnl"/>
              </w:rPr>
              <w:t>Programa 23</w:t>
            </w:r>
          </w:p>
        </w:tc>
        <w:tc>
          <w:tcPr>
            <w:tcW w:w="461" w:type="pct"/>
            <w:shd w:val="clear" w:color="auto" w:fill="FFFFFF"/>
          </w:tcPr>
          <w:p w:rsidR="00FA423E" w:rsidRPr="00CC3F44" w:rsidRDefault="00FA423E" w:rsidP="00DC1333">
            <w:pPr>
              <w:jc w:val="center"/>
            </w:pPr>
            <w:r w:rsidRPr="00CC3F44">
              <w:rPr>
                <w:color w:val="A6A6A6" w:themeColor="background1" w:themeShade="A6"/>
                <w:szCs w:val="22"/>
              </w:rPr>
              <w:sym w:font="Wingdings" w:char="F06C"/>
            </w:r>
          </w:p>
        </w:tc>
      </w:tr>
      <w:tr w:rsidR="00FA423E" w:rsidRPr="00AF5E7C" w:rsidTr="00DC1333">
        <w:trPr>
          <w:cantSplit/>
          <w:trHeight w:val="436"/>
        </w:trPr>
        <w:tc>
          <w:tcPr>
            <w:tcW w:w="1513" w:type="pct"/>
            <w:shd w:val="clear" w:color="auto" w:fill="auto"/>
            <w:tcMar>
              <w:top w:w="113" w:type="dxa"/>
              <w:bottom w:w="85" w:type="dxa"/>
            </w:tcMar>
          </w:tcPr>
          <w:p w:rsidR="00FA423E" w:rsidRPr="007E4934" w:rsidRDefault="00FA423E" w:rsidP="00DC1333">
            <w:pPr>
              <w:rPr>
                <w:sz w:val="16"/>
                <w:szCs w:val="16"/>
              </w:rPr>
            </w:pPr>
          </w:p>
        </w:tc>
        <w:tc>
          <w:tcPr>
            <w:tcW w:w="2131" w:type="pc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Prestación puntual, precisa y eficaz de servicios de operaciones en materia de recursos humanos</w:t>
            </w:r>
          </w:p>
        </w:tc>
        <w:tc>
          <w:tcPr>
            <w:tcW w:w="895" w:type="pct"/>
            <w:shd w:val="clear" w:color="auto" w:fill="FFFFFF"/>
            <w:tcMar>
              <w:top w:w="113" w:type="dxa"/>
              <w:bottom w:w="85" w:type="dxa"/>
            </w:tcMar>
          </w:tcPr>
          <w:p w:rsidR="00FA423E" w:rsidRPr="007E4934" w:rsidRDefault="00FA423E" w:rsidP="00DC1333">
            <w:pPr>
              <w:jc w:val="center"/>
              <w:rPr>
                <w:sz w:val="16"/>
                <w:szCs w:val="16"/>
              </w:rPr>
            </w:pPr>
            <w:r w:rsidRPr="007E4934">
              <w:rPr>
                <w:sz w:val="16"/>
                <w:szCs w:val="16"/>
                <w:lang w:val="es-ES_tradnl"/>
              </w:rPr>
              <w:t>Programa 23</w:t>
            </w:r>
          </w:p>
        </w:tc>
        <w:tc>
          <w:tcPr>
            <w:tcW w:w="461" w:type="pct"/>
            <w:shd w:val="clear" w:color="auto" w:fill="FFFFFF"/>
          </w:tcPr>
          <w:p w:rsidR="00FA423E" w:rsidRPr="00CC3F44" w:rsidRDefault="00FA423E" w:rsidP="00DC1333">
            <w:pPr>
              <w:jc w:val="center"/>
              <w:rPr>
                <w:color w:val="A6A6A6" w:themeColor="background1" w:themeShade="A6"/>
                <w:szCs w:val="22"/>
              </w:rPr>
            </w:pPr>
            <w:r w:rsidRPr="00CC3F44">
              <w:rPr>
                <w:color w:val="008000"/>
                <w:szCs w:val="22"/>
              </w:rPr>
              <w:sym w:font="Wingdings" w:char="F06C"/>
            </w:r>
          </w:p>
        </w:tc>
      </w:tr>
      <w:tr w:rsidR="00FA423E" w:rsidRPr="00AF5E7C" w:rsidTr="00DC1333">
        <w:trPr>
          <w:cantSplit/>
          <w:trHeight w:val="472"/>
        </w:trPr>
        <w:tc>
          <w:tcPr>
            <w:tcW w:w="1513" w:type="pct"/>
            <w:shd w:val="clear" w:color="auto" w:fill="auto"/>
            <w:tcMar>
              <w:top w:w="113" w:type="dxa"/>
              <w:bottom w:w="85" w:type="dxa"/>
            </w:tcMar>
          </w:tcPr>
          <w:p w:rsidR="00FA423E" w:rsidRPr="007E4934" w:rsidRDefault="00FA423E" w:rsidP="00DC1333">
            <w:pPr>
              <w:rPr>
                <w:sz w:val="16"/>
                <w:szCs w:val="16"/>
              </w:rPr>
            </w:pPr>
          </w:p>
        </w:tc>
        <w:tc>
          <w:tcPr>
            <w:tcW w:w="2131" w:type="pc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Finalización del proyecto de construcción de la nueva sala de conferencias atendiendo a los requisitos de calidad, de manera puntual y dentro de los límites presupuestarios</w:t>
            </w:r>
          </w:p>
        </w:tc>
        <w:tc>
          <w:tcPr>
            <w:tcW w:w="895"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29</w:t>
            </w:r>
          </w:p>
        </w:tc>
        <w:tc>
          <w:tcPr>
            <w:tcW w:w="461" w:type="pct"/>
            <w:shd w:val="clear" w:color="auto" w:fill="FFFFFF"/>
          </w:tcPr>
          <w:p w:rsidR="00FA423E" w:rsidRPr="00CC3F44" w:rsidRDefault="00FA423E" w:rsidP="00DC1333">
            <w:pPr>
              <w:jc w:val="center"/>
            </w:pPr>
            <w:r w:rsidRPr="00CC3F44">
              <w:rPr>
                <w:color w:val="008000"/>
                <w:szCs w:val="22"/>
              </w:rPr>
              <w:sym w:font="Wingdings" w:char="F06C"/>
            </w:r>
          </w:p>
        </w:tc>
      </w:tr>
      <w:tr w:rsidR="00FA423E" w:rsidRPr="00AF5E7C" w:rsidTr="00DC1333">
        <w:trPr>
          <w:cantSplit/>
          <w:trHeight w:val="400"/>
        </w:trPr>
        <w:tc>
          <w:tcPr>
            <w:tcW w:w="1513" w:type="pct"/>
            <w:shd w:val="clear" w:color="auto" w:fill="auto"/>
            <w:tcMar>
              <w:top w:w="113" w:type="dxa"/>
              <w:bottom w:w="85" w:type="dxa"/>
            </w:tcMar>
          </w:tcPr>
          <w:p w:rsidR="00FA423E" w:rsidRPr="007E4934" w:rsidRDefault="00FA423E" w:rsidP="00DC1333">
            <w:pPr>
              <w:rPr>
                <w:sz w:val="16"/>
                <w:szCs w:val="16"/>
              </w:rPr>
            </w:pPr>
          </w:p>
        </w:tc>
        <w:tc>
          <w:tcPr>
            <w:tcW w:w="2131" w:type="pc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Uso de la sala de conferencias como lugar preferido para las reuniones y actividades de los Estados miembros</w:t>
            </w:r>
          </w:p>
        </w:tc>
        <w:tc>
          <w:tcPr>
            <w:tcW w:w="895"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29</w:t>
            </w:r>
          </w:p>
        </w:tc>
        <w:tc>
          <w:tcPr>
            <w:tcW w:w="461" w:type="pct"/>
            <w:shd w:val="clear" w:color="auto" w:fill="FFFFFF"/>
          </w:tcPr>
          <w:p w:rsidR="00FA423E" w:rsidRPr="00CC3F44" w:rsidRDefault="00FA423E" w:rsidP="00DC1333">
            <w:pPr>
              <w:jc w:val="center"/>
              <w:rPr>
                <w:color w:val="A6A6A6" w:themeColor="background1" w:themeShade="A6"/>
                <w:szCs w:val="22"/>
              </w:rPr>
            </w:pPr>
            <w:r w:rsidRPr="00CC3F44">
              <w:rPr>
                <w:color w:val="008000"/>
                <w:szCs w:val="22"/>
              </w:rPr>
              <w:sym w:font="Wingdings" w:char="F06C"/>
            </w:r>
          </w:p>
        </w:tc>
      </w:tr>
      <w:tr w:rsidR="00FA423E" w:rsidRPr="00AF5E7C" w:rsidTr="00DC1333">
        <w:trPr>
          <w:cantSplit/>
          <w:trHeight w:val="436"/>
        </w:trPr>
        <w:tc>
          <w:tcPr>
            <w:tcW w:w="1513" w:type="pct"/>
            <w:shd w:val="clear" w:color="auto" w:fill="auto"/>
            <w:tcMar>
              <w:top w:w="113" w:type="dxa"/>
              <w:bottom w:w="85" w:type="dxa"/>
            </w:tcMar>
          </w:tcPr>
          <w:p w:rsidR="00FA423E" w:rsidRPr="007E4934" w:rsidRDefault="00FA423E" w:rsidP="00DC1333">
            <w:pPr>
              <w:rPr>
                <w:sz w:val="16"/>
                <w:szCs w:val="16"/>
              </w:rPr>
            </w:pPr>
          </w:p>
        </w:tc>
        <w:tc>
          <w:tcPr>
            <w:tcW w:w="2131" w:type="pct"/>
            <w:shd w:val="clear" w:color="auto" w:fill="auto"/>
            <w:tcMar>
              <w:top w:w="113" w:type="dxa"/>
              <w:bottom w:w="85" w:type="dxa"/>
            </w:tcMar>
          </w:tcPr>
          <w:p w:rsidR="00FA423E" w:rsidRPr="007E4934" w:rsidRDefault="00FA423E" w:rsidP="00DC1333">
            <w:pPr>
              <w:rPr>
                <w:bCs/>
                <w:sz w:val="16"/>
                <w:szCs w:val="16"/>
              </w:rPr>
            </w:pPr>
            <w:r w:rsidRPr="007E4934">
              <w:rPr>
                <w:bCs/>
                <w:sz w:val="16"/>
                <w:szCs w:val="16"/>
                <w:lang w:val="es-ES_tradnl"/>
              </w:rPr>
              <w:t>Disminución de los costos de adquisición de productos y servicios por la OMPI (derivada de solicitudes de ofertas o negociaciones directas)</w:t>
            </w:r>
          </w:p>
        </w:tc>
        <w:tc>
          <w:tcPr>
            <w:tcW w:w="895"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24</w:t>
            </w:r>
          </w:p>
        </w:tc>
        <w:tc>
          <w:tcPr>
            <w:tcW w:w="461" w:type="pct"/>
            <w:shd w:val="clear" w:color="auto" w:fill="FFFFFF"/>
          </w:tcPr>
          <w:p w:rsidR="00FA423E" w:rsidRPr="00CC3F44" w:rsidRDefault="00FA423E" w:rsidP="00DC1333">
            <w:pPr>
              <w:jc w:val="center"/>
            </w:pPr>
            <w:r w:rsidRPr="00CC3F44">
              <w:rPr>
                <w:color w:val="008000"/>
                <w:szCs w:val="22"/>
              </w:rPr>
              <w:sym w:font="Wingdings" w:char="F06C"/>
            </w:r>
          </w:p>
        </w:tc>
      </w:tr>
      <w:tr w:rsidR="00FA423E" w:rsidRPr="00AF5E7C" w:rsidTr="00DC1333">
        <w:trPr>
          <w:cantSplit/>
          <w:trHeight w:val="427"/>
        </w:trPr>
        <w:tc>
          <w:tcPr>
            <w:tcW w:w="1513" w:type="pct"/>
            <w:shd w:val="clear" w:color="auto" w:fill="auto"/>
            <w:tcMar>
              <w:top w:w="113" w:type="dxa"/>
              <w:bottom w:w="85" w:type="dxa"/>
            </w:tcMar>
          </w:tcPr>
          <w:p w:rsidR="00FA423E" w:rsidRPr="007E4934" w:rsidRDefault="00FA423E" w:rsidP="00DC1333">
            <w:pPr>
              <w:rPr>
                <w:sz w:val="16"/>
                <w:szCs w:val="16"/>
              </w:rPr>
            </w:pPr>
          </w:p>
        </w:tc>
        <w:tc>
          <w:tcPr>
            <w:tcW w:w="2131" w:type="pc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Porcentaje de usuarios internos satisfechos con los servicios de adquisiciones</w:t>
            </w:r>
          </w:p>
        </w:tc>
        <w:tc>
          <w:tcPr>
            <w:tcW w:w="895" w:type="pct"/>
            <w:shd w:val="clear" w:color="auto" w:fill="FFFFFF"/>
            <w:tcMar>
              <w:top w:w="113" w:type="dxa"/>
              <w:bottom w:w="85" w:type="dxa"/>
            </w:tcMar>
          </w:tcPr>
          <w:p w:rsidR="00FA423E" w:rsidRPr="007E4934" w:rsidRDefault="00FA423E" w:rsidP="00DC1333">
            <w:pPr>
              <w:jc w:val="center"/>
              <w:rPr>
                <w:sz w:val="16"/>
                <w:szCs w:val="16"/>
                <w:lang w:val="es-ES_tradnl" w:bidi="th-TH"/>
              </w:rPr>
            </w:pPr>
            <w:r w:rsidRPr="007E4934">
              <w:rPr>
                <w:sz w:val="16"/>
                <w:szCs w:val="16"/>
                <w:lang w:val="es-ES_tradnl" w:bidi="th-TH"/>
              </w:rPr>
              <w:t>Programa 24</w:t>
            </w:r>
          </w:p>
        </w:tc>
        <w:tc>
          <w:tcPr>
            <w:tcW w:w="461" w:type="pct"/>
            <w:shd w:val="clear" w:color="auto" w:fill="FFFFFF"/>
          </w:tcPr>
          <w:p w:rsidR="00FA423E" w:rsidRPr="00CC3F44" w:rsidRDefault="00FA423E" w:rsidP="00DC1333">
            <w:pPr>
              <w:jc w:val="center"/>
              <w:rPr>
                <w:color w:val="A6A6A6" w:themeColor="background1" w:themeShade="A6"/>
                <w:szCs w:val="22"/>
              </w:rPr>
            </w:pPr>
            <w:r w:rsidRPr="00CC3F44">
              <w:rPr>
                <w:color w:val="008000"/>
                <w:szCs w:val="22"/>
              </w:rPr>
              <w:sym w:font="Wingdings" w:char="F06C"/>
            </w:r>
          </w:p>
        </w:tc>
      </w:tr>
      <w:tr w:rsidR="00FA423E" w:rsidRPr="00AF5E7C" w:rsidTr="00DC1333">
        <w:trPr>
          <w:cantSplit/>
          <w:trHeight w:val="436"/>
        </w:trPr>
        <w:tc>
          <w:tcPr>
            <w:tcW w:w="1513" w:type="pct"/>
            <w:shd w:val="clear" w:color="auto" w:fill="auto"/>
            <w:tcMar>
              <w:top w:w="113" w:type="dxa"/>
              <w:bottom w:w="85" w:type="dxa"/>
            </w:tcMar>
          </w:tcPr>
          <w:p w:rsidR="00FA423E" w:rsidRPr="007E4934" w:rsidRDefault="00FA423E" w:rsidP="00DC1333">
            <w:pPr>
              <w:rPr>
                <w:sz w:val="16"/>
                <w:szCs w:val="16"/>
              </w:rPr>
            </w:pPr>
          </w:p>
        </w:tc>
        <w:tc>
          <w:tcPr>
            <w:tcW w:w="2131" w:type="pc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Tiempo de tramitación de peticiones relativas a los viajes (autorizaciones electrónicas de viaje (e-TA), peticiones electrónicas de actividades (e-ER), visados)</w:t>
            </w:r>
          </w:p>
        </w:tc>
        <w:tc>
          <w:tcPr>
            <w:tcW w:w="895" w:type="pct"/>
            <w:shd w:val="clear" w:color="auto" w:fill="FFFFFF"/>
            <w:tcMar>
              <w:top w:w="113" w:type="dxa"/>
              <w:bottom w:w="85" w:type="dxa"/>
            </w:tcMar>
          </w:tcPr>
          <w:p w:rsidR="00FA423E" w:rsidRPr="007E4934" w:rsidRDefault="00FA423E" w:rsidP="00DC1333">
            <w:pPr>
              <w:jc w:val="center"/>
              <w:rPr>
                <w:sz w:val="16"/>
                <w:szCs w:val="16"/>
                <w:lang w:val="es-ES_tradnl" w:bidi="th-TH"/>
              </w:rPr>
            </w:pPr>
            <w:r w:rsidRPr="007E4934">
              <w:rPr>
                <w:sz w:val="16"/>
                <w:szCs w:val="16"/>
                <w:lang w:val="es-ES_tradnl" w:bidi="th-TH"/>
              </w:rPr>
              <w:t>Programa 24</w:t>
            </w:r>
          </w:p>
        </w:tc>
        <w:tc>
          <w:tcPr>
            <w:tcW w:w="461" w:type="pct"/>
            <w:shd w:val="clear" w:color="auto" w:fill="FFFFFF"/>
          </w:tcPr>
          <w:p w:rsidR="00FA423E" w:rsidRPr="00CC3F44" w:rsidRDefault="00FA423E" w:rsidP="00DC1333">
            <w:pPr>
              <w:jc w:val="center"/>
            </w:pPr>
            <w:r w:rsidRPr="00CC3F44">
              <w:rPr>
                <w:color w:val="008000"/>
                <w:szCs w:val="22"/>
              </w:rPr>
              <w:sym w:font="Wingdings" w:char="F06C"/>
            </w:r>
          </w:p>
        </w:tc>
      </w:tr>
      <w:tr w:rsidR="00FA423E" w:rsidRPr="00AF5E7C" w:rsidTr="00DC1333">
        <w:trPr>
          <w:cantSplit/>
          <w:trHeight w:val="247"/>
        </w:trPr>
        <w:tc>
          <w:tcPr>
            <w:tcW w:w="1513" w:type="pct"/>
            <w:shd w:val="clear" w:color="auto" w:fill="auto"/>
            <w:tcMar>
              <w:top w:w="113" w:type="dxa"/>
              <w:bottom w:w="85" w:type="dxa"/>
            </w:tcMar>
          </w:tcPr>
          <w:p w:rsidR="00FA423E" w:rsidRPr="007E4934" w:rsidRDefault="00FA423E" w:rsidP="00DC1333">
            <w:pPr>
              <w:rPr>
                <w:sz w:val="16"/>
                <w:szCs w:val="16"/>
              </w:rPr>
            </w:pPr>
          </w:p>
        </w:tc>
        <w:tc>
          <w:tcPr>
            <w:tcW w:w="2131" w:type="pc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Costo medio de los billetes (billetes de la empresa de gestión de viajes y del PNUD)</w:t>
            </w:r>
          </w:p>
        </w:tc>
        <w:tc>
          <w:tcPr>
            <w:tcW w:w="895" w:type="pct"/>
            <w:shd w:val="clear" w:color="auto" w:fill="FFFFFF"/>
            <w:tcMar>
              <w:top w:w="113" w:type="dxa"/>
              <w:bottom w:w="85" w:type="dxa"/>
            </w:tcMar>
          </w:tcPr>
          <w:p w:rsidR="00FA423E" w:rsidRPr="007E4934" w:rsidRDefault="00FA423E" w:rsidP="00DC1333">
            <w:pPr>
              <w:jc w:val="center"/>
              <w:rPr>
                <w:sz w:val="16"/>
                <w:szCs w:val="16"/>
                <w:lang w:val="es-ES_tradnl" w:bidi="th-TH"/>
              </w:rPr>
            </w:pPr>
            <w:r w:rsidRPr="007E4934">
              <w:rPr>
                <w:sz w:val="16"/>
                <w:szCs w:val="16"/>
                <w:lang w:val="es-ES_tradnl" w:bidi="th-TH"/>
              </w:rPr>
              <w:t>Programa 24</w:t>
            </w:r>
          </w:p>
        </w:tc>
        <w:tc>
          <w:tcPr>
            <w:tcW w:w="461" w:type="pct"/>
            <w:shd w:val="clear" w:color="auto" w:fill="FFFFFF"/>
          </w:tcPr>
          <w:p w:rsidR="00FA423E" w:rsidRPr="00CC3F44" w:rsidRDefault="00FA423E" w:rsidP="00DC1333">
            <w:pPr>
              <w:jc w:val="center"/>
              <w:rPr>
                <w:color w:val="A6A6A6" w:themeColor="background1" w:themeShade="A6"/>
                <w:szCs w:val="22"/>
              </w:rPr>
            </w:pPr>
            <w:r w:rsidRPr="00CC3F44">
              <w:rPr>
                <w:color w:val="008000"/>
                <w:szCs w:val="22"/>
              </w:rPr>
              <w:sym w:font="Wingdings" w:char="F06C"/>
            </w:r>
          </w:p>
        </w:tc>
      </w:tr>
      <w:tr w:rsidR="00FA423E" w:rsidRPr="00AF5E7C" w:rsidTr="00DC1333">
        <w:trPr>
          <w:cantSplit/>
          <w:trHeight w:val="516"/>
        </w:trPr>
        <w:tc>
          <w:tcPr>
            <w:tcW w:w="1513" w:type="pct"/>
            <w:shd w:val="clear" w:color="auto" w:fill="auto"/>
            <w:tcMar>
              <w:top w:w="113" w:type="dxa"/>
              <w:bottom w:w="85" w:type="dxa"/>
            </w:tcMar>
          </w:tcPr>
          <w:p w:rsidR="00FA423E" w:rsidRPr="007E4934" w:rsidRDefault="00FA423E" w:rsidP="00DC1333">
            <w:pPr>
              <w:rPr>
                <w:sz w:val="16"/>
                <w:szCs w:val="16"/>
              </w:rPr>
            </w:pPr>
          </w:p>
        </w:tc>
        <w:tc>
          <w:tcPr>
            <w:tcW w:w="2131" w:type="pc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Se administran eficazmente todos los tipos de espacio del recinto de la OMPI (espacios de trabajo, almacenamiento y archivo)</w:t>
            </w:r>
          </w:p>
        </w:tc>
        <w:tc>
          <w:tcPr>
            <w:tcW w:w="895" w:type="pct"/>
            <w:shd w:val="clear" w:color="auto" w:fill="FFFFFF"/>
            <w:tcMar>
              <w:top w:w="113" w:type="dxa"/>
              <w:bottom w:w="85" w:type="dxa"/>
            </w:tcMar>
          </w:tcPr>
          <w:p w:rsidR="00FA423E" w:rsidRPr="007E4934" w:rsidRDefault="00FA423E" w:rsidP="00DC1333">
            <w:pPr>
              <w:jc w:val="center"/>
              <w:rPr>
                <w:sz w:val="16"/>
                <w:szCs w:val="16"/>
                <w:lang w:val="es-ES_tradnl" w:bidi="th-TH"/>
              </w:rPr>
            </w:pPr>
            <w:r w:rsidRPr="007E4934">
              <w:rPr>
                <w:sz w:val="16"/>
                <w:szCs w:val="16"/>
                <w:lang w:val="es-ES_tradnl" w:bidi="th-TH"/>
              </w:rPr>
              <w:t>Programa 24</w:t>
            </w:r>
          </w:p>
        </w:tc>
        <w:tc>
          <w:tcPr>
            <w:tcW w:w="461" w:type="pct"/>
            <w:shd w:val="clear" w:color="auto" w:fill="FFFFFF"/>
          </w:tcPr>
          <w:p w:rsidR="00FA423E" w:rsidRPr="00CC3F44" w:rsidRDefault="00FA423E" w:rsidP="00DC1333">
            <w:pPr>
              <w:jc w:val="center"/>
            </w:pPr>
            <w:r w:rsidRPr="00CC3F44">
              <w:rPr>
                <w:color w:val="008000"/>
                <w:szCs w:val="22"/>
              </w:rPr>
              <w:sym w:font="Wingdings" w:char="F06C"/>
            </w:r>
          </w:p>
        </w:tc>
      </w:tr>
      <w:tr w:rsidR="00FA423E" w:rsidRPr="00AF5E7C" w:rsidTr="00DC1333">
        <w:trPr>
          <w:cantSplit/>
          <w:trHeight w:val="516"/>
        </w:trPr>
        <w:tc>
          <w:tcPr>
            <w:tcW w:w="1513" w:type="pct"/>
            <w:shd w:val="clear" w:color="auto" w:fill="auto"/>
            <w:tcMar>
              <w:top w:w="113" w:type="dxa"/>
              <w:bottom w:w="85" w:type="dxa"/>
            </w:tcMar>
          </w:tcPr>
          <w:p w:rsidR="00FA423E" w:rsidRPr="007E4934" w:rsidRDefault="00FA423E" w:rsidP="00DC1333">
            <w:pPr>
              <w:rPr>
                <w:sz w:val="16"/>
                <w:szCs w:val="16"/>
              </w:rPr>
            </w:pPr>
          </w:p>
        </w:tc>
        <w:tc>
          <w:tcPr>
            <w:tcW w:w="2131" w:type="pct"/>
            <w:shd w:val="clear" w:color="auto" w:fill="auto"/>
            <w:tcMar>
              <w:top w:w="113" w:type="dxa"/>
              <w:bottom w:w="85" w:type="dxa"/>
            </w:tcMar>
          </w:tcPr>
          <w:p w:rsidR="00FA423E" w:rsidRPr="007E4934" w:rsidRDefault="00FA423E" w:rsidP="00DC1333">
            <w:pPr>
              <w:rPr>
                <w:sz w:val="16"/>
                <w:szCs w:val="16"/>
                <w:highlight w:val="cyan"/>
              </w:rPr>
            </w:pPr>
            <w:proofErr w:type="spellStart"/>
            <w:r w:rsidRPr="007E4934">
              <w:rPr>
                <w:sz w:val="16"/>
                <w:szCs w:val="16"/>
              </w:rPr>
              <w:t>e</w:t>
            </w:r>
            <w:proofErr w:type="spellEnd"/>
            <w:r w:rsidRPr="007E4934">
              <w:rPr>
                <w:sz w:val="16"/>
                <w:szCs w:val="16"/>
              </w:rPr>
              <w:t xml:space="preserve"> renuevan, modernizan o transforman los edificios del recinto de la OMPI para que sigan sirviendo a los fines establecidos</w:t>
            </w:r>
          </w:p>
        </w:tc>
        <w:tc>
          <w:tcPr>
            <w:tcW w:w="895" w:type="pct"/>
            <w:shd w:val="clear" w:color="auto" w:fill="FFFFFF"/>
            <w:tcMar>
              <w:top w:w="113" w:type="dxa"/>
              <w:bottom w:w="85" w:type="dxa"/>
            </w:tcMar>
          </w:tcPr>
          <w:p w:rsidR="00FA423E" w:rsidRPr="007E4934" w:rsidRDefault="00FA423E" w:rsidP="00DC1333">
            <w:pPr>
              <w:jc w:val="center"/>
              <w:rPr>
                <w:sz w:val="16"/>
                <w:szCs w:val="16"/>
                <w:lang w:val="es-ES_tradnl" w:bidi="th-TH"/>
              </w:rPr>
            </w:pPr>
            <w:r w:rsidRPr="007E4934">
              <w:rPr>
                <w:sz w:val="16"/>
                <w:szCs w:val="16"/>
                <w:lang w:val="es-ES_tradnl" w:bidi="th-TH"/>
              </w:rPr>
              <w:t>Programa 24</w:t>
            </w:r>
          </w:p>
        </w:tc>
        <w:tc>
          <w:tcPr>
            <w:tcW w:w="461" w:type="pct"/>
            <w:shd w:val="clear" w:color="auto" w:fill="FFFFFF"/>
          </w:tcPr>
          <w:p w:rsidR="00FA423E" w:rsidRPr="00CC3F44" w:rsidRDefault="00FA423E" w:rsidP="00DC1333">
            <w:pPr>
              <w:jc w:val="center"/>
              <w:rPr>
                <w:color w:val="A6A6A6" w:themeColor="background1" w:themeShade="A6"/>
                <w:szCs w:val="22"/>
              </w:rPr>
            </w:pPr>
            <w:r w:rsidRPr="00CC3F44">
              <w:rPr>
                <w:color w:val="008000"/>
                <w:szCs w:val="22"/>
              </w:rPr>
              <w:sym w:font="Wingdings" w:char="F06C"/>
            </w:r>
          </w:p>
        </w:tc>
      </w:tr>
      <w:tr w:rsidR="00FA423E" w:rsidRPr="00AF5E7C" w:rsidTr="00DC1333">
        <w:trPr>
          <w:cantSplit/>
          <w:trHeight w:val="481"/>
        </w:trPr>
        <w:tc>
          <w:tcPr>
            <w:tcW w:w="1513" w:type="pct"/>
            <w:shd w:val="clear" w:color="auto" w:fill="auto"/>
            <w:tcMar>
              <w:top w:w="113" w:type="dxa"/>
              <w:bottom w:w="85" w:type="dxa"/>
            </w:tcMar>
          </w:tcPr>
          <w:p w:rsidR="00FA423E" w:rsidRPr="007E4934" w:rsidRDefault="00FA423E" w:rsidP="00DC1333">
            <w:pPr>
              <w:rPr>
                <w:sz w:val="16"/>
                <w:szCs w:val="16"/>
              </w:rPr>
            </w:pPr>
          </w:p>
        </w:tc>
        <w:tc>
          <w:tcPr>
            <w:tcW w:w="2131" w:type="pc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Todos los tipos de instalaciones técnicas esenciales cumplen las normas técnicas aplicables</w:t>
            </w:r>
            <w:r w:rsidRPr="007E4934">
              <w:rPr>
                <w:sz w:val="16"/>
                <w:szCs w:val="16"/>
              </w:rPr>
              <w:t xml:space="preserve"> </w:t>
            </w:r>
          </w:p>
        </w:tc>
        <w:tc>
          <w:tcPr>
            <w:tcW w:w="895"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24</w:t>
            </w:r>
          </w:p>
        </w:tc>
        <w:tc>
          <w:tcPr>
            <w:tcW w:w="461" w:type="pct"/>
            <w:shd w:val="clear" w:color="auto" w:fill="FFFFFF"/>
          </w:tcPr>
          <w:p w:rsidR="00FA423E" w:rsidRPr="00CC3F44" w:rsidRDefault="00FA423E" w:rsidP="00DC1333">
            <w:pPr>
              <w:jc w:val="center"/>
            </w:pPr>
            <w:r w:rsidRPr="00CC3F44">
              <w:rPr>
                <w:color w:val="008000"/>
                <w:szCs w:val="22"/>
              </w:rPr>
              <w:sym w:font="Wingdings" w:char="F06C"/>
            </w:r>
          </w:p>
        </w:tc>
      </w:tr>
      <w:tr w:rsidR="00FA423E" w:rsidRPr="00AF5E7C" w:rsidTr="00DC1333">
        <w:trPr>
          <w:cantSplit/>
          <w:trHeight w:val="436"/>
        </w:trPr>
        <w:tc>
          <w:tcPr>
            <w:tcW w:w="1513" w:type="pct"/>
            <w:shd w:val="clear" w:color="auto" w:fill="auto"/>
            <w:tcMar>
              <w:top w:w="113" w:type="dxa"/>
              <w:bottom w:w="85" w:type="dxa"/>
            </w:tcMar>
          </w:tcPr>
          <w:p w:rsidR="00FA423E" w:rsidRPr="007E4934" w:rsidRDefault="00FA423E" w:rsidP="00DC1333">
            <w:pPr>
              <w:rPr>
                <w:sz w:val="16"/>
                <w:szCs w:val="16"/>
              </w:rPr>
            </w:pPr>
          </w:p>
        </w:tc>
        <w:tc>
          <w:tcPr>
            <w:tcW w:w="2131" w:type="pc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Los sistemas de TIC se alojan y se administran económicamente en concordancia con las necesidades operativas</w:t>
            </w:r>
          </w:p>
        </w:tc>
        <w:tc>
          <w:tcPr>
            <w:tcW w:w="895"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25</w:t>
            </w:r>
          </w:p>
        </w:tc>
        <w:tc>
          <w:tcPr>
            <w:tcW w:w="461" w:type="pct"/>
            <w:shd w:val="clear" w:color="auto" w:fill="FFFFFF"/>
          </w:tcPr>
          <w:p w:rsidR="00FA423E" w:rsidRPr="00CC3F44" w:rsidRDefault="00FA423E" w:rsidP="00DC1333">
            <w:pPr>
              <w:jc w:val="center"/>
              <w:rPr>
                <w:color w:val="A6A6A6" w:themeColor="background1" w:themeShade="A6"/>
                <w:szCs w:val="22"/>
              </w:rPr>
            </w:pPr>
            <w:r w:rsidRPr="00CC3F44">
              <w:rPr>
                <w:color w:val="008000"/>
                <w:szCs w:val="22"/>
              </w:rPr>
              <w:sym w:font="Wingdings" w:char="F06C"/>
            </w:r>
            <w:r w:rsidRPr="00CC3F44">
              <w:rPr>
                <w:color w:val="008000"/>
                <w:szCs w:val="22"/>
              </w:rPr>
              <w:sym w:font="Wingdings" w:char="F06C"/>
            </w:r>
            <w:r w:rsidRPr="00CC3F44">
              <w:rPr>
                <w:color w:val="008000"/>
                <w:szCs w:val="22"/>
              </w:rPr>
              <w:sym w:font="Wingdings" w:char="F06C"/>
            </w:r>
            <w:r w:rsidRPr="00CC3F44">
              <w:rPr>
                <w:color w:val="008000"/>
                <w:szCs w:val="22"/>
              </w:rPr>
              <w:sym w:font="Wingdings" w:char="F06C"/>
            </w:r>
          </w:p>
        </w:tc>
      </w:tr>
      <w:tr w:rsidR="00FA423E" w:rsidRPr="00AF5E7C" w:rsidTr="00DC1333">
        <w:trPr>
          <w:cantSplit/>
          <w:trHeight w:val="427"/>
        </w:trPr>
        <w:tc>
          <w:tcPr>
            <w:tcW w:w="1513" w:type="pct"/>
            <w:shd w:val="clear" w:color="auto" w:fill="auto"/>
            <w:tcMar>
              <w:top w:w="113" w:type="dxa"/>
              <w:bottom w:w="85" w:type="dxa"/>
            </w:tcMar>
          </w:tcPr>
          <w:p w:rsidR="00FA423E" w:rsidRPr="007E4934" w:rsidRDefault="00FA423E" w:rsidP="00DC1333">
            <w:pPr>
              <w:rPr>
                <w:sz w:val="16"/>
                <w:szCs w:val="16"/>
              </w:rPr>
            </w:pPr>
          </w:p>
        </w:tc>
        <w:tc>
          <w:tcPr>
            <w:tcW w:w="2131" w:type="pc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Número de acuerdos de prestación de servicios para el alojamiento de sistemas y servicios que cumplen con el marco de acuerdos de prestación de servicios para las TIC</w:t>
            </w:r>
          </w:p>
        </w:tc>
        <w:tc>
          <w:tcPr>
            <w:tcW w:w="895"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25</w:t>
            </w:r>
          </w:p>
        </w:tc>
        <w:tc>
          <w:tcPr>
            <w:tcW w:w="461" w:type="pct"/>
            <w:shd w:val="clear" w:color="auto" w:fill="FFFFFF"/>
          </w:tcPr>
          <w:p w:rsidR="00FA423E" w:rsidRPr="00CC3F44" w:rsidRDefault="00FA423E" w:rsidP="00DC1333">
            <w:pPr>
              <w:jc w:val="center"/>
            </w:pPr>
            <w:r w:rsidRPr="00CC3F44">
              <w:rPr>
                <w:color w:val="008000"/>
                <w:szCs w:val="22"/>
              </w:rPr>
              <w:sym w:font="Wingdings" w:char="F06C"/>
            </w:r>
          </w:p>
        </w:tc>
      </w:tr>
      <w:tr w:rsidR="00FA423E" w:rsidRPr="00AF5E7C" w:rsidTr="00DC1333">
        <w:trPr>
          <w:cantSplit/>
          <w:trHeight w:val="346"/>
        </w:trPr>
        <w:tc>
          <w:tcPr>
            <w:tcW w:w="1513" w:type="pct"/>
            <w:shd w:val="clear" w:color="auto" w:fill="auto"/>
            <w:tcMar>
              <w:top w:w="113" w:type="dxa"/>
              <w:bottom w:w="85" w:type="dxa"/>
            </w:tcMar>
          </w:tcPr>
          <w:p w:rsidR="00FA423E" w:rsidRPr="007E4934" w:rsidRDefault="00FA423E" w:rsidP="00DC1333">
            <w:pPr>
              <w:rPr>
                <w:sz w:val="16"/>
                <w:szCs w:val="16"/>
              </w:rPr>
            </w:pPr>
          </w:p>
        </w:tc>
        <w:tc>
          <w:tcPr>
            <w:tcW w:w="2131" w:type="pc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Continuidad de los servicios de TIC de los sistemas esenciales</w:t>
            </w:r>
          </w:p>
        </w:tc>
        <w:tc>
          <w:tcPr>
            <w:tcW w:w="895"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25</w:t>
            </w:r>
          </w:p>
        </w:tc>
        <w:tc>
          <w:tcPr>
            <w:tcW w:w="461" w:type="pct"/>
            <w:shd w:val="clear" w:color="auto" w:fill="FFFFFF"/>
          </w:tcPr>
          <w:p w:rsidR="00FA423E" w:rsidRPr="00CC3F44" w:rsidRDefault="00FA423E" w:rsidP="00DC1333">
            <w:pPr>
              <w:jc w:val="center"/>
              <w:rPr>
                <w:color w:val="A6A6A6" w:themeColor="background1" w:themeShade="A6"/>
                <w:szCs w:val="22"/>
              </w:rPr>
            </w:pPr>
            <w:r w:rsidRPr="00CC3F44">
              <w:rPr>
                <w:color w:val="008000"/>
                <w:szCs w:val="22"/>
              </w:rPr>
              <w:sym w:font="Wingdings" w:char="F06C"/>
            </w:r>
          </w:p>
        </w:tc>
      </w:tr>
      <w:tr w:rsidR="00FA423E" w:rsidRPr="00AF5E7C" w:rsidTr="00DC1333">
        <w:trPr>
          <w:cantSplit/>
          <w:trHeight w:val="516"/>
        </w:trPr>
        <w:tc>
          <w:tcPr>
            <w:tcW w:w="1513" w:type="pct"/>
            <w:shd w:val="clear" w:color="auto" w:fill="auto"/>
            <w:tcMar>
              <w:top w:w="113" w:type="dxa"/>
              <w:bottom w:w="85" w:type="dxa"/>
            </w:tcMar>
          </w:tcPr>
          <w:p w:rsidR="00FA423E" w:rsidRPr="007E4934" w:rsidRDefault="00FA423E" w:rsidP="00DC1333">
            <w:pPr>
              <w:rPr>
                <w:sz w:val="16"/>
                <w:szCs w:val="16"/>
              </w:rPr>
            </w:pPr>
          </w:p>
        </w:tc>
        <w:tc>
          <w:tcPr>
            <w:tcW w:w="2131" w:type="pc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Porcentaje de usuarios y sectores de actividades que están satisfechos con los servicios de TIC</w:t>
            </w:r>
          </w:p>
        </w:tc>
        <w:tc>
          <w:tcPr>
            <w:tcW w:w="895"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25</w:t>
            </w:r>
          </w:p>
        </w:tc>
        <w:tc>
          <w:tcPr>
            <w:tcW w:w="461" w:type="pct"/>
            <w:shd w:val="clear" w:color="auto" w:fill="FFFFFF"/>
          </w:tcPr>
          <w:p w:rsidR="00FA423E" w:rsidRPr="00CC3F44" w:rsidRDefault="00FA423E" w:rsidP="00DC1333">
            <w:pPr>
              <w:jc w:val="center"/>
            </w:pPr>
            <w:r w:rsidRPr="00CC3F44">
              <w:rPr>
                <w:color w:val="008000"/>
                <w:szCs w:val="22"/>
              </w:rPr>
              <w:sym w:font="Wingdings" w:char="F06C"/>
            </w:r>
          </w:p>
        </w:tc>
      </w:tr>
      <w:tr w:rsidR="00FA423E" w:rsidRPr="00AF5E7C" w:rsidTr="00DC1333">
        <w:trPr>
          <w:cantSplit/>
          <w:trHeight w:val="526"/>
        </w:trPr>
        <w:tc>
          <w:tcPr>
            <w:tcW w:w="1513" w:type="pct"/>
            <w:shd w:val="clear" w:color="auto" w:fill="auto"/>
            <w:tcMar>
              <w:top w:w="113" w:type="dxa"/>
              <w:bottom w:w="85" w:type="dxa"/>
            </w:tcMar>
          </w:tcPr>
          <w:p w:rsidR="00FA423E" w:rsidRPr="007E4934" w:rsidRDefault="00FA423E" w:rsidP="00DC1333">
            <w:pPr>
              <w:rPr>
                <w:sz w:val="16"/>
                <w:szCs w:val="16"/>
              </w:rPr>
            </w:pPr>
          </w:p>
        </w:tc>
        <w:tc>
          <w:tcPr>
            <w:tcW w:w="2131" w:type="pc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El personal tiene fácil acceso a tecnologías de las comunicaciones integradas y de amplio alcance</w:t>
            </w:r>
          </w:p>
        </w:tc>
        <w:tc>
          <w:tcPr>
            <w:tcW w:w="895"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25</w:t>
            </w:r>
          </w:p>
        </w:tc>
        <w:tc>
          <w:tcPr>
            <w:tcW w:w="461" w:type="pct"/>
            <w:shd w:val="clear" w:color="auto" w:fill="FFFFFF"/>
          </w:tcPr>
          <w:p w:rsidR="00FA423E" w:rsidRPr="00CC3F44" w:rsidRDefault="00FA423E" w:rsidP="00DC1333">
            <w:pPr>
              <w:jc w:val="center"/>
              <w:rPr>
                <w:color w:val="A6A6A6" w:themeColor="background1" w:themeShade="A6"/>
                <w:szCs w:val="22"/>
              </w:rPr>
            </w:pPr>
            <w:r w:rsidRPr="00CC3F44">
              <w:rPr>
                <w:color w:val="008000"/>
                <w:szCs w:val="22"/>
              </w:rPr>
              <w:sym w:font="Wingdings" w:char="F06C"/>
            </w:r>
          </w:p>
        </w:tc>
      </w:tr>
      <w:tr w:rsidR="00FA423E" w:rsidRPr="00AF5E7C" w:rsidTr="00DC1333">
        <w:trPr>
          <w:cantSplit/>
          <w:trHeight w:val="517"/>
        </w:trPr>
        <w:tc>
          <w:tcPr>
            <w:tcW w:w="1513" w:type="pct"/>
            <w:shd w:val="clear" w:color="auto" w:fill="auto"/>
            <w:tcMar>
              <w:top w:w="113" w:type="dxa"/>
              <w:bottom w:w="85" w:type="dxa"/>
            </w:tcMar>
          </w:tcPr>
          <w:p w:rsidR="00FA423E" w:rsidRPr="007E4934" w:rsidRDefault="00FA423E" w:rsidP="00DC1333">
            <w:pPr>
              <w:rPr>
                <w:sz w:val="16"/>
                <w:szCs w:val="16"/>
              </w:rPr>
            </w:pPr>
          </w:p>
        </w:tc>
        <w:tc>
          <w:tcPr>
            <w:tcW w:w="2131" w:type="pct"/>
            <w:shd w:val="clear" w:color="auto" w:fill="auto"/>
            <w:tcMar>
              <w:top w:w="113" w:type="dxa"/>
              <w:bottom w:w="85" w:type="dxa"/>
            </w:tcMar>
          </w:tcPr>
          <w:p w:rsidR="00FA423E" w:rsidRPr="007E4934" w:rsidRDefault="00FA423E" w:rsidP="00DC1333">
            <w:pPr>
              <w:rPr>
                <w:bCs/>
                <w:sz w:val="16"/>
                <w:szCs w:val="16"/>
              </w:rPr>
            </w:pPr>
            <w:r w:rsidRPr="007E4934">
              <w:rPr>
                <w:bCs/>
                <w:sz w:val="16"/>
                <w:szCs w:val="16"/>
                <w:lang w:val="es-ES_tradnl"/>
              </w:rPr>
              <w:t>Porcentaje de usuarios internos y externos satisfechos de los Servicios de Conferencias de la OMPI</w:t>
            </w:r>
          </w:p>
        </w:tc>
        <w:tc>
          <w:tcPr>
            <w:tcW w:w="895"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27</w:t>
            </w:r>
          </w:p>
        </w:tc>
        <w:tc>
          <w:tcPr>
            <w:tcW w:w="461" w:type="pct"/>
            <w:shd w:val="clear" w:color="auto" w:fill="FFFFFF"/>
          </w:tcPr>
          <w:p w:rsidR="00FA423E" w:rsidRPr="00CC3F44" w:rsidRDefault="00FA423E" w:rsidP="00DC1333">
            <w:pPr>
              <w:jc w:val="center"/>
            </w:pPr>
            <w:r w:rsidRPr="00CC3F44">
              <w:rPr>
                <w:color w:val="008000"/>
                <w:szCs w:val="22"/>
              </w:rPr>
              <w:sym w:font="Wingdings" w:char="F06C"/>
            </w:r>
          </w:p>
        </w:tc>
      </w:tr>
      <w:tr w:rsidR="00FA423E" w:rsidRPr="00AF5E7C" w:rsidTr="00DC1333">
        <w:trPr>
          <w:cantSplit/>
          <w:trHeight w:val="346"/>
        </w:trPr>
        <w:tc>
          <w:tcPr>
            <w:tcW w:w="1513" w:type="pct"/>
            <w:shd w:val="clear" w:color="auto" w:fill="auto"/>
            <w:tcMar>
              <w:top w:w="113" w:type="dxa"/>
              <w:bottom w:w="85" w:type="dxa"/>
            </w:tcMar>
          </w:tcPr>
          <w:p w:rsidR="00FA423E" w:rsidRPr="007E4934" w:rsidRDefault="00FA423E" w:rsidP="00DC1333">
            <w:pPr>
              <w:rPr>
                <w:sz w:val="16"/>
                <w:szCs w:val="16"/>
              </w:rPr>
            </w:pPr>
          </w:p>
        </w:tc>
        <w:tc>
          <w:tcPr>
            <w:tcW w:w="2131" w:type="pc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Aplicación eficaz de la Política Lingüística de la OMPI</w:t>
            </w:r>
          </w:p>
        </w:tc>
        <w:tc>
          <w:tcPr>
            <w:tcW w:w="895"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27</w:t>
            </w:r>
          </w:p>
        </w:tc>
        <w:tc>
          <w:tcPr>
            <w:tcW w:w="461" w:type="pct"/>
            <w:shd w:val="clear" w:color="auto" w:fill="FFFFFF"/>
          </w:tcPr>
          <w:p w:rsidR="00FA423E" w:rsidRPr="00CC3F44" w:rsidRDefault="00FA423E" w:rsidP="00DC1333">
            <w:pPr>
              <w:jc w:val="center"/>
              <w:rPr>
                <w:color w:val="A6A6A6" w:themeColor="background1" w:themeShade="A6"/>
                <w:szCs w:val="22"/>
              </w:rPr>
            </w:pPr>
            <w:r w:rsidRPr="00CC3F44">
              <w:rPr>
                <w:color w:val="008000"/>
                <w:szCs w:val="22"/>
              </w:rPr>
              <w:sym w:font="Wingdings" w:char="F06C"/>
            </w:r>
            <w:r w:rsidRPr="00CC3F44">
              <w:rPr>
                <w:color w:val="008000"/>
                <w:szCs w:val="22"/>
              </w:rPr>
              <w:sym w:font="Wingdings" w:char="F06C"/>
            </w:r>
          </w:p>
        </w:tc>
      </w:tr>
      <w:tr w:rsidR="00FA423E" w:rsidRPr="00AF5E7C" w:rsidTr="00DC1333">
        <w:trPr>
          <w:cantSplit/>
          <w:trHeight w:val="346"/>
        </w:trPr>
        <w:tc>
          <w:tcPr>
            <w:tcW w:w="1513" w:type="pct"/>
            <w:shd w:val="clear" w:color="auto" w:fill="auto"/>
            <w:tcMar>
              <w:top w:w="113" w:type="dxa"/>
              <w:bottom w:w="85" w:type="dxa"/>
            </w:tcMar>
          </w:tcPr>
          <w:p w:rsidR="00FA423E" w:rsidRPr="007E4934" w:rsidRDefault="00FA423E" w:rsidP="00DC1333">
            <w:pPr>
              <w:rPr>
                <w:sz w:val="16"/>
                <w:szCs w:val="16"/>
              </w:rPr>
            </w:pPr>
          </w:p>
        </w:tc>
        <w:tc>
          <w:tcPr>
            <w:tcW w:w="2131" w:type="pc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Costo por palabra traducida</w:t>
            </w:r>
          </w:p>
        </w:tc>
        <w:tc>
          <w:tcPr>
            <w:tcW w:w="895"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27</w:t>
            </w:r>
          </w:p>
        </w:tc>
        <w:tc>
          <w:tcPr>
            <w:tcW w:w="461" w:type="pct"/>
            <w:shd w:val="clear" w:color="auto" w:fill="FFFFFF"/>
          </w:tcPr>
          <w:p w:rsidR="00FA423E" w:rsidRPr="00CC3F44" w:rsidRDefault="00FA423E" w:rsidP="00DC1333">
            <w:pPr>
              <w:jc w:val="center"/>
            </w:pPr>
            <w:r w:rsidRPr="00CC3F44">
              <w:rPr>
                <w:color w:val="008000"/>
                <w:szCs w:val="22"/>
              </w:rPr>
              <w:sym w:font="Wingdings" w:char="F06C"/>
            </w:r>
          </w:p>
        </w:tc>
      </w:tr>
      <w:tr w:rsidR="00FA423E" w:rsidRPr="00AF5E7C" w:rsidTr="00DC1333">
        <w:trPr>
          <w:cantSplit/>
          <w:trHeight w:val="337"/>
        </w:trPr>
        <w:tc>
          <w:tcPr>
            <w:tcW w:w="1513" w:type="pct"/>
            <w:shd w:val="clear" w:color="auto" w:fill="auto"/>
            <w:tcMar>
              <w:top w:w="113" w:type="dxa"/>
              <w:bottom w:w="85" w:type="dxa"/>
            </w:tcMar>
          </w:tcPr>
          <w:p w:rsidR="00FA423E" w:rsidRPr="007E4934" w:rsidRDefault="00FA423E" w:rsidP="00DC1333">
            <w:pPr>
              <w:rPr>
                <w:sz w:val="16"/>
                <w:szCs w:val="16"/>
              </w:rPr>
            </w:pPr>
          </w:p>
        </w:tc>
        <w:tc>
          <w:tcPr>
            <w:tcW w:w="2131" w:type="pc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Calidad de las traducciones</w:t>
            </w:r>
          </w:p>
        </w:tc>
        <w:tc>
          <w:tcPr>
            <w:tcW w:w="895"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27</w:t>
            </w:r>
          </w:p>
        </w:tc>
        <w:tc>
          <w:tcPr>
            <w:tcW w:w="461" w:type="pct"/>
            <w:shd w:val="clear" w:color="auto" w:fill="FFFFFF"/>
          </w:tcPr>
          <w:p w:rsidR="00FA423E" w:rsidRPr="00CC3F44" w:rsidRDefault="00FA423E" w:rsidP="00DC1333">
            <w:pPr>
              <w:jc w:val="center"/>
              <w:rPr>
                <w:color w:val="A6A6A6" w:themeColor="background1" w:themeShade="A6"/>
                <w:szCs w:val="22"/>
              </w:rPr>
            </w:pPr>
            <w:r w:rsidRPr="00CC3F44">
              <w:rPr>
                <w:color w:val="A6A6A6" w:themeColor="background1" w:themeShade="A6"/>
                <w:szCs w:val="22"/>
              </w:rPr>
              <w:sym w:font="Wingdings" w:char="F06C"/>
            </w:r>
          </w:p>
        </w:tc>
      </w:tr>
      <w:tr w:rsidR="00FA423E" w:rsidRPr="00AF5E7C" w:rsidTr="00DC1333">
        <w:trPr>
          <w:cantSplit/>
          <w:trHeight w:val="436"/>
        </w:trPr>
        <w:tc>
          <w:tcPr>
            <w:tcW w:w="1513" w:type="pct"/>
            <w:shd w:val="clear" w:color="auto" w:fill="auto"/>
            <w:tcMar>
              <w:top w:w="113" w:type="dxa"/>
              <w:bottom w:w="85" w:type="dxa"/>
            </w:tcMar>
          </w:tcPr>
          <w:p w:rsidR="00FA423E" w:rsidRPr="007E4934" w:rsidRDefault="00FA423E" w:rsidP="00DC1333">
            <w:pPr>
              <w:rPr>
                <w:sz w:val="16"/>
                <w:szCs w:val="16"/>
              </w:rPr>
            </w:pPr>
          </w:p>
        </w:tc>
        <w:tc>
          <w:tcPr>
            <w:tcW w:w="2131" w:type="pc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Disminución de los costos de impresión (por página)</w:t>
            </w:r>
          </w:p>
        </w:tc>
        <w:tc>
          <w:tcPr>
            <w:tcW w:w="895"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27</w:t>
            </w:r>
          </w:p>
        </w:tc>
        <w:tc>
          <w:tcPr>
            <w:tcW w:w="461" w:type="pct"/>
            <w:shd w:val="clear" w:color="auto" w:fill="FFFFFF"/>
          </w:tcPr>
          <w:p w:rsidR="00FA423E" w:rsidRPr="00CC3F44" w:rsidRDefault="00FA423E" w:rsidP="00DC1333">
            <w:pPr>
              <w:jc w:val="center"/>
            </w:pPr>
            <w:r w:rsidRPr="00CC3F44">
              <w:rPr>
                <w:color w:val="008000"/>
                <w:szCs w:val="22"/>
              </w:rPr>
              <w:sym w:font="Wingdings" w:char="F06C"/>
            </w:r>
          </w:p>
        </w:tc>
      </w:tr>
      <w:tr w:rsidR="00FA423E" w:rsidRPr="00AF5E7C" w:rsidTr="00DC1333">
        <w:trPr>
          <w:cantSplit/>
          <w:trHeight w:val="517"/>
        </w:trPr>
        <w:tc>
          <w:tcPr>
            <w:tcW w:w="1513" w:type="pct"/>
            <w:shd w:val="clear" w:color="auto" w:fill="auto"/>
            <w:tcMar>
              <w:top w:w="113" w:type="dxa"/>
              <w:bottom w:w="85" w:type="dxa"/>
            </w:tcMar>
          </w:tcPr>
          <w:p w:rsidR="00FA423E" w:rsidRPr="007E4934" w:rsidRDefault="00FA423E" w:rsidP="00DC1333">
            <w:pPr>
              <w:rPr>
                <w:sz w:val="16"/>
                <w:szCs w:val="16"/>
              </w:rPr>
            </w:pPr>
          </w:p>
        </w:tc>
        <w:tc>
          <w:tcPr>
            <w:tcW w:w="2131" w:type="pc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Publicación a tiempo de los documentos para los comités y grupos de trabajo</w:t>
            </w:r>
          </w:p>
        </w:tc>
        <w:tc>
          <w:tcPr>
            <w:tcW w:w="895"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27</w:t>
            </w:r>
          </w:p>
        </w:tc>
        <w:tc>
          <w:tcPr>
            <w:tcW w:w="461" w:type="pct"/>
            <w:shd w:val="clear" w:color="auto" w:fill="FFFFFF"/>
          </w:tcPr>
          <w:p w:rsidR="00FA423E" w:rsidRPr="00CC3F44" w:rsidRDefault="00FA423E" w:rsidP="00DC1333">
            <w:pPr>
              <w:jc w:val="center"/>
              <w:rPr>
                <w:color w:val="A6A6A6" w:themeColor="background1" w:themeShade="A6"/>
                <w:szCs w:val="22"/>
              </w:rPr>
            </w:pPr>
            <w:r w:rsidRPr="00CC3F44">
              <w:rPr>
                <w:color w:val="008000"/>
                <w:szCs w:val="22"/>
              </w:rPr>
              <w:sym w:font="Wingdings" w:char="F06C"/>
            </w:r>
          </w:p>
        </w:tc>
      </w:tr>
      <w:tr w:rsidR="00FA423E" w:rsidRPr="00AF5E7C" w:rsidTr="00DC1333">
        <w:trPr>
          <w:cantSplit/>
          <w:trHeight w:val="516"/>
        </w:trPr>
        <w:tc>
          <w:tcPr>
            <w:tcW w:w="1513" w:type="pc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IX.2 Funcionamiento sin contratiempos de la Secretaría, provista de un personal bien dirigido, dotado de las competencias adecuadas y capaz de conseguir resultados</w:t>
            </w:r>
          </w:p>
        </w:tc>
        <w:tc>
          <w:tcPr>
            <w:tcW w:w="2131" w:type="pc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Porcentaje de peticiones de asesoramiento y servicios jurídicos que reciben respuestas rápidas, independientes y fiables de la Oficina del Consejero Jurídico</w:t>
            </w:r>
          </w:p>
        </w:tc>
        <w:tc>
          <w:tcPr>
            <w:tcW w:w="895"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21</w:t>
            </w:r>
          </w:p>
        </w:tc>
        <w:tc>
          <w:tcPr>
            <w:tcW w:w="461" w:type="pct"/>
            <w:shd w:val="clear" w:color="auto" w:fill="FFFFFF"/>
          </w:tcPr>
          <w:p w:rsidR="00FA423E" w:rsidRPr="00CC3F44" w:rsidRDefault="00FA423E" w:rsidP="00DC1333">
            <w:pPr>
              <w:jc w:val="center"/>
            </w:pPr>
            <w:r w:rsidRPr="00CC3F44">
              <w:rPr>
                <w:color w:val="008000"/>
                <w:szCs w:val="22"/>
              </w:rPr>
              <w:sym w:font="Wingdings" w:char="F06C"/>
            </w:r>
          </w:p>
        </w:tc>
      </w:tr>
      <w:tr w:rsidR="00FA423E" w:rsidRPr="00AF5E7C" w:rsidTr="00DC1333">
        <w:trPr>
          <w:cantSplit/>
          <w:trHeight w:val="335"/>
        </w:trPr>
        <w:tc>
          <w:tcPr>
            <w:tcW w:w="1513" w:type="pct"/>
            <w:shd w:val="clear" w:color="auto" w:fill="auto"/>
            <w:tcMar>
              <w:top w:w="113" w:type="dxa"/>
              <w:bottom w:w="85" w:type="dxa"/>
            </w:tcMar>
          </w:tcPr>
          <w:p w:rsidR="00FA423E" w:rsidRPr="007E4934" w:rsidRDefault="00FA423E" w:rsidP="00DC1333">
            <w:pPr>
              <w:rPr>
                <w:sz w:val="16"/>
                <w:szCs w:val="16"/>
              </w:rPr>
            </w:pPr>
          </w:p>
        </w:tc>
        <w:tc>
          <w:tcPr>
            <w:tcW w:w="2131" w:type="pc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Informe financiero satisfactorio de los auditores externos que confirma la conformidad de las operaciones contables con los convenios y tratados aplicables de la OMPI, el Reglamento Financiero y la Reglamentación Financiera de la OMPI y las IPSAS</w:t>
            </w:r>
          </w:p>
        </w:tc>
        <w:tc>
          <w:tcPr>
            <w:tcW w:w="895"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22</w:t>
            </w:r>
          </w:p>
        </w:tc>
        <w:tc>
          <w:tcPr>
            <w:tcW w:w="461" w:type="pct"/>
            <w:shd w:val="clear" w:color="auto" w:fill="FFFFFF"/>
          </w:tcPr>
          <w:p w:rsidR="00FA423E" w:rsidRPr="00CC3F44" w:rsidRDefault="00FA423E" w:rsidP="00DC1333">
            <w:pPr>
              <w:jc w:val="center"/>
              <w:rPr>
                <w:color w:val="A6A6A6" w:themeColor="background1" w:themeShade="A6"/>
                <w:szCs w:val="22"/>
              </w:rPr>
            </w:pPr>
            <w:r w:rsidRPr="00CC3F44">
              <w:rPr>
                <w:color w:val="008000"/>
                <w:szCs w:val="22"/>
              </w:rPr>
              <w:sym w:font="Wingdings" w:char="F06C"/>
            </w:r>
            <w:r w:rsidRPr="00CC3F44">
              <w:rPr>
                <w:color w:val="A6A6A6" w:themeColor="background1" w:themeShade="A6"/>
                <w:szCs w:val="22"/>
              </w:rPr>
              <w:sym w:font="Wingdings" w:char="F06C"/>
            </w:r>
          </w:p>
        </w:tc>
      </w:tr>
      <w:tr w:rsidR="00FA423E" w:rsidRPr="00AF5E7C" w:rsidTr="00DC1333">
        <w:trPr>
          <w:cantSplit/>
          <w:trHeight w:val="335"/>
        </w:trPr>
        <w:tc>
          <w:tcPr>
            <w:tcW w:w="1513" w:type="pct"/>
            <w:shd w:val="clear" w:color="auto" w:fill="auto"/>
            <w:tcMar>
              <w:top w:w="113" w:type="dxa"/>
              <w:bottom w:w="85" w:type="dxa"/>
            </w:tcMar>
          </w:tcPr>
          <w:p w:rsidR="00FA423E" w:rsidRPr="007E4934" w:rsidRDefault="00FA423E" w:rsidP="00DC1333">
            <w:pPr>
              <w:rPr>
                <w:sz w:val="16"/>
                <w:szCs w:val="16"/>
              </w:rPr>
            </w:pPr>
          </w:p>
        </w:tc>
        <w:tc>
          <w:tcPr>
            <w:tcW w:w="2131" w:type="pc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Rendimiento del capital invertido en concordancia con los parámetros establecidos por el Comité Asesor en materia de Inversiones</w:t>
            </w:r>
          </w:p>
        </w:tc>
        <w:tc>
          <w:tcPr>
            <w:tcW w:w="895"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22</w:t>
            </w:r>
          </w:p>
        </w:tc>
        <w:tc>
          <w:tcPr>
            <w:tcW w:w="461" w:type="pct"/>
            <w:shd w:val="clear" w:color="auto" w:fill="FFFFFF"/>
          </w:tcPr>
          <w:p w:rsidR="00FA423E" w:rsidRPr="00CC3F44" w:rsidRDefault="00FA423E" w:rsidP="00DC1333">
            <w:pPr>
              <w:jc w:val="center"/>
            </w:pPr>
            <w:r w:rsidRPr="00CC3F44">
              <w:rPr>
                <w:color w:val="008000"/>
                <w:szCs w:val="22"/>
              </w:rPr>
              <w:sym w:font="Wingdings" w:char="F06C"/>
            </w:r>
          </w:p>
        </w:tc>
      </w:tr>
      <w:tr w:rsidR="00FA423E" w:rsidRPr="00AF5E7C" w:rsidTr="00DC1333">
        <w:trPr>
          <w:cantSplit/>
          <w:trHeight w:val="335"/>
        </w:trPr>
        <w:tc>
          <w:tcPr>
            <w:tcW w:w="1513" w:type="pct"/>
            <w:shd w:val="clear" w:color="auto" w:fill="auto"/>
            <w:tcMar>
              <w:top w:w="113" w:type="dxa"/>
              <w:bottom w:w="85" w:type="dxa"/>
            </w:tcMar>
          </w:tcPr>
          <w:p w:rsidR="00FA423E" w:rsidRPr="007E4934" w:rsidRDefault="00FA423E" w:rsidP="00DC1333">
            <w:pPr>
              <w:rPr>
                <w:sz w:val="16"/>
                <w:szCs w:val="16"/>
              </w:rPr>
            </w:pPr>
          </w:p>
        </w:tc>
        <w:tc>
          <w:tcPr>
            <w:tcW w:w="2131" w:type="pc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Los pagos (incluidas las tasas correspondientes a los Sistemas de Madrid y de La Haya) se efectúan en el plazo estipulado</w:t>
            </w:r>
          </w:p>
        </w:tc>
        <w:tc>
          <w:tcPr>
            <w:tcW w:w="895"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22</w:t>
            </w:r>
          </w:p>
        </w:tc>
        <w:tc>
          <w:tcPr>
            <w:tcW w:w="461" w:type="pct"/>
            <w:shd w:val="clear" w:color="auto" w:fill="FFFFFF"/>
          </w:tcPr>
          <w:p w:rsidR="00FA423E" w:rsidRPr="00CC3F44" w:rsidRDefault="00FA423E" w:rsidP="00DC1333">
            <w:pPr>
              <w:jc w:val="center"/>
              <w:rPr>
                <w:color w:val="A6A6A6" w:themeColor="background1" w:themeShade="A6"/>
                <w:szCs w:val="22"/>
              </w:rPr>
            </w:pPr>
            <w:r w:rsidRPr="00CC3F44">
              <w:rPr>
                <w:color w:val="008000"/>
                <w:szCs w:val="22"/>
              </w:rPr>
              <w:sym w:font="Wingdings" w:char="F06C"/>
            </w:r>
          </w:p>
        </w:tc>
      </w:tr>
      <w:tr w:rsidR="00FA423E" w:rsidRPr="00AF5E7C" w:rsidTr="00DC1333">
        <w:trPr>
          <w:cantSplit/>
          <w:trHeight w:val="335"/>
        </w:trPr>
        <w:tc>
          <w:tcPr>
            <w:tcW w:w="1513" w:type="pct"/>
            <w:shd w:val="clear" w:color="auto" w:fill="auto"/>
            <w:tcMar>
              <w:top w:w="113" w:type="dxa"/>
              <w:bottom w:w="85" w:type="dxa"/>
            </w:tcMar>
          </w:tcPr>
          <w:p w:rsidR="00FA423E" w:rsidRPr="007E4934" w:rsidRDefault="00FA423E" w:rsidP="00DC1333">
            <w:pPr>
              <w:rPr>
                <w:sz w:val="16"/>
                <w:szCs w:val="16"/>
              </w:rPr>
            </w:pPr>
          </w:p>
        </w:tc>
        <w:tc>
          <w:tcPr>
            <w:tcW w:w="2131" w:type="pc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Porcentaje de miembros del personal que expresan satisfacción con la formación recibida (cursos de iniciación, formación sobre el sistema de PRI, formación relacionada con la gestión por resultados)</w:t>
            </w:r>
          </w:p>
        </w:tc>
        <w:tc>
          <w:tcPr>
            <w:tcW w:w="895"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22</w:t>
            </w:r>
          </w:p>
        </w:tc>
        <w:tc>
          <w:tcPr>
            <w:tcW w:w="461" w:type="pct"/>
            <w:shd w:val="clear" w:color="auto" w:fill="FFFFFF"/>
          </w:tcPr>
          <w:p w:rsidR="00FA423E" w:rsidRPr="00CC3F44" w:rsidRDefault="00FA423E" w:rsidP="00DC1333">
            <w:pPr>
              <w:jc w:val="center"/>
            </w:pPr>
            <w:r w:rsidRPr="00CC3F44">
              <w:rPr>
                <w:color w:val="008000"/>
                <w:szCs w:val="22"/>
              </w:rPr>
              <w:sym w:font="Wingdings" w:char="F06C"/>
            </w:r>
          </w:p>
        </w:tc>
      </w:tr>
      <w:tr w:rsidR="00FA423E" w:rsidRPr="00AF5E7C" w:rsidTr="00DC1333">
        <w:trPr>
          <w:cantSplit/>
          <w:trHeight w:val="335"/>
        </w:trPr>
        <w:tc>
          <w:tcPr>
            <w:tcW w:w="1513" w:type="pct"/>
            <w:shd w:val="clear" w:color="auto" w:fill="auto"/>
            <w:tcMar>
              <w:top w:w="113" w:type="dxa"/>
              <w:bottom w:w="85" w:type="dxa"/>
            </w:tcMar>
          </w:tcPr>
          <w:p w:rsidR="00FA423E" w:rsidRPr="007E4934" w:rsidRDefault="00FA423E" w:rsidP="00DC1333">
            <w:pPr>
              <w:rPr>
                <w:sz w:val="16"/>
                <w:szCs w:val="16"/>
              </w:rPr>
            </w:pPr>
          </w:p>
        </w:tc>
        <w:tc>
          <w:tcPr>
            <w:tcW w:w="2131" w:type="pc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Porcentaje de encuestados (OMPI) que estiman que la OMPI debe rendir cuentas sobre sus resultados</w:t>
            </w:r>
          </w:p>
        </w:tc>
        <w:tc>
          <w:tcPr>
            <w:tcW w:w="895"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22</w:t>
            </w:r>
          </w:p>
        </w:tc>
        <w:tc>
          <w:tcPr>
            <w:tcW w:w="461" w:type="pct"/>
            <w:shd w:val="clear" w:color="auto" w:fill="FFFFFF"/>
          </w:tcPr>
          <w:p w:rsidR="00FA423E" w:rsidRPr="00CC3F44" w:rsidRDefault="00FA423E" w:rsidP="00DC1333">
            <w:pPr>
              <w:jc w:val="center"/>
              <w:rPr>
                <w:color w:val="A6A6A6" w:themeColor="background1" w:themeShade="A6"/>
                <w:szCs w:val="22"/>
              </w:rPr>
            </w:pPr>
            <w:r w:rsidRPr="00CC3F44">
              <w:rPr>
                <w:color w:val="008000"/>
                <w:szCs w:val="22"/>
              </w:rPr>
              <w:sym w:font="Wingdings" w:char="F06C"/>
            </w:r>
          </w:p>
        </w:tc>
      </w:tr>
      <w:tr w:rsidR="00FA423E" w:rsidRPr="00AF5E7C" w:rsidTr="00DC1333">
        <w:trPr>
          <w:cantSplit/>
          <w:trHeight w:val="335"/>
        </w:trPr>
        <w:tc>
          <w:tcPr>
            <w:tcW w:w="1513" w:type="pct"/>
            <w:shd w:val="clear" w:color="auto" w:fill="auto"/>
            <w:tcMar>
              <w:top w:w="113" w:type="dxa"/>
              <w:bottom w:w="85" w:type="dxa"/>
            </w:tcMar>
          </w:tcPr>
          <w:p w:rsidR="00FA423E" w:rsidRPr="007E4934" w:rsidRDefault="00FA423E" w:rsidP="00DC1333">
            <w:pPr>
              <w:rPr>
                <w:sz w:val="16"/>
                <w:szCs w:val="16"/>
              </w:rPr>
            </w:pPr>
          </w:p>
        </w:tc>
        <w:tc>
          <w:tcPr>
            <w:tcW w:w="2131" w:type="pc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Porcentaje de programas de la OMPI que utilizan los datos sobre el rendimiento para gestionar el rendimiento del programa</w:t>
            </w:r>
          </w:p>
        </w:tc>
        <w:tc>
          <w:tcPr>
            <w:tcW w:w="895"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22</w:t>
            </w:r>
          </w:p>
        </w:tc>
        <w:tc>
          <w:tcPr>
            <w:tcW w:w="461" w:type="pct"/>
            <w:shd w:val="clear" w:color="auto" w:fill="FFFFFF"/>
          </w:tcPr>
          <w:p w:rsidR="00FA423E" w:rsidRPr="00CC3F44" w:rsidRDefault="00FA423E" w:rsidP="00DC1333">
            <w:pPr>
              <w:jc w:val="center"/>
            </w:pPr>
            <w:r w:rsidRPr="00CC3F44">
              <w:rPr>
                <w:color w:val="008000"/>
                <w:szCs w:val="22"/>
              </w:rPr>
              <w:sym w:font="Wingdings" w:char="F06C"/>
            </w:r>
          </w:p>
        </w:tc>
      </w:tr>
      <w:tr w:rsidR="00FA423E" w:rsidRPr="00AF5E7C" w:rsidTr="00DC1333">
        <w:trPr>
          <w:cantSplit/>
          <w:trHeight w:val="265"/>
        </w:trPr>
        <w:tc>
          <w:tcPr>
            <w:tcW w:w="1513" w:type="pct"/>
            <w:shd w:val="clear" w:color="auto" w:fill="auto"/>
            <w:tcMar>
              <w:top w:w="113" w:type="dxa"/>
              <w:bottom w:w="85" w:type="dxa"/>
            </w:tcMar>
          </w:tcPr>
          <w:p w:rsidR="00FA423E" w:rsidRPr="007E4934" w:rsidRDefault="00FA423E" w:rsidP="00DC1333">
            <w:pPr>
              <w:rPr>
                <w:sz w:val="16"/>
                <w:szCs w:val="16"/>
              </w:rPr>
            </w:pPr>
          </w:p>
        </w:tc>
        <w:tc>
          <w:tcPr>
            <w:tcW w:w="2131" w:type="pc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Duración del proceso de contratación</w:t>
            </w:r>
          </w:p>
        </w:tc>
        <w:tc>
          <w:tcPr>
            <w:tcW w:w="895"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23</w:t>
            </w:r>
          </w:p>
        </w:tc>
        <w:tc>
          <w:tcPr>
            <w:tcW w:w="461" w:type="pct"/>
            <w:shd w:val="clear" w:color="auto" w:fill="FFFFFF"/>
          </w:tcPr>
          <w:p w:rsidR="00FA423E" w:rsidRPr="00CC3F44" w:rsidRDefault="00FA423E" w:rsidP="00DC1333">
            <w:pPr>
              <w:jc w:val="center"/>
              <w:rPr>
                <w:color w:val="A6A6A6" w:themeColor="background1" w:themeShade="A6"/>
                <w:szCs w:val="22"/>
              </w:rPr>
            </w:pPr>
            <w:r w:rsidRPr="00CC3F44">
              <w:rPr>
                <w:color w:val="008000"/>
                <w:szCs w:val="22"/>
              </w:rPr>
              <w:sym w:font="Wingdings" w:char="F06C"/>
            </w:r>
          </w:p>
        </w:tc>
      </w:tr>
      <w:tr w:rsidR="00FA423E" w:rsidRPr="00AF5E7C" w:rsidTr="00DC1333">
        <w:trPr>
          <w:cantSplit/>
          <w:trHeight w:val="335"/>
        </w:trPr>
        <w:tc>
          <w:tcPr>
            <w:tcW w:w="1513" w:type="pct"/>
            <w:shd w:val="clear" w:color="auto" w:fill="auto"/>
            <w:tcMar>
              <w:top w:w="113" w:type="dxa"/>
              <w:bottom w:w="85" w:type="dxa"/>
            </w:tcMar>
          </w:tcPr>
          <w:p w:rsidR="00FA423E" w:rsidRPr="007E4934" w:rsidRDefault="00FA423E" w:rsidP="00DC1333">
            <w:pPr>
              <w:rPr>
                <w:sz w:val="16"/>
                <w:szCs w:val="16"/>
              </w:rPr>
            </w:pPr>
          </w:p>
        </w:tc>
        <w:tc>
          <w:tcPr>
            <w:tcW w:w="2131" w:type="pc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Porcentaje de dependencias de la Organización cuyos planes de recursos humanos están vinculados a los planes de trabajo anuales</w:t>
            </w:r>
          </w:p>
        </w:tc>
        <w:tc>
          <w:tcPr>
            <w:tcW w:w="895"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23</w:t>
            </w:r>
          </w:p>
        </w:tc>
        <w:tc>
          <w:tcPr>
            <w:tcW w:w="461" w:type="pct"/>
            <w:shd w:val="clear" w:color="auto" w:fill="FFFFFF"/>
          </w:tcPr>
          <w:p w:rsidR="00FA423E" w:rsidRPr="00CC3F44" w:rsidRDefault="00FA423E" w:rsidP="00DC1333">
            <w:pPr>
              <w:jc w:val="center"/>
            </w:pPr>
            <w:r w:rsidRPr="00CC3F44">
              <w:rPr>
                <w:color w:val="008000"/>
                <w:szCs w:val="22"/>
              </w:rPr>
              <w:sym w:font="Wingdings" w:char="F06C"/>
            </w:r>
          </w:p>
        </w:tc>
      </w:tr>
      <w:tr w:rsidR="00FA423E" w:rsidRPr="00AF5E7C" w:rsidTr="00DC1333">
        <w:trPr>
          <w:cantSplit/>
          <w:trHeight w:val="335"/>
        </w:trPr>
        <w:tc>
          <w:tcPr>
            <w:tcW w:w="1513" w:type="pct"/>
            <w:shd w:val="clear" w:color="auto" w:fill="auto"/>
            <w:tcMar>
              <w:top w:w="113" w:type="dxa"/>
              <w:bottom w:w="85" w:type="dxa"/>
            </w:tcMar>
          </w:tcPr>
          <w:p w:rsidR="00FA423E" w:rsidRPr="007E4934" w:rsidRDefault="00FA423E" w:rsidP="00DC1333">
            <w:pPr>
              <w:rPr>
                <w:sz w:val="16"/>
                <w:szCs w:val="16"/>
              </w:rPr>
            </w:pPr>
          </w:p>
        </w:tc>
        <w:tc>
          <w:tcPr>
            <w:tcW w:w="2131" w:type="pc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Porcentaje de miembros del personal recién contratados que satisfacen las necesidades de la Organización</w:t>
            </w:r>
          </w:p>
        </w:tc>
        <w:tc>
          <w:tcPr>
            <w:tcW w:w="895"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23</w:t>
            </w:r>
          </w:p>
        </w:tc>
        <w:tc>
          <w:tcPr>
            <w:tcW w:w="461" w:type="pct"/>
            <w:shd w:val="clear" w:color="auto" w:fill="FFFFFF"/>
          </w:tcPr>
          <w:p w:rsidR="00FA423E" w:rsidRPr="00CC3F44" w:rsidRDefault="00FA423E" w:rsidP="00DC1333">
            <w:pPr>
              <w:jc w:val="center"/>
              <w:rPr>
                <w:color w:val="A6A6A6" w:themeColor="background1" w:themeShade="A6"/>
                <w:szCs w:val="22"/>
              </w:rPr>
            </w:pPr>
            <w:r w:rsidRPr="00CC3F44">
              <w:rPr>
                <w:color w:val="008000"/>
                <w:szCs w:val="22"/>
              </w:rPr>
              <w:sym w:font="Wingdings" w:char="F06C"/>
            </w:r>
          </w:p>
        </w:tc>
      </w:tr>
      <w:tr w:rsidR="00FA423E" w:rsidRPr="00AF5E7C" w:rsidTr="00DC1333">
        <w:trPr>
          <w:cantSplit/>
          <w:trHeight w:val="335"/>
        </w:trPr>
        <w:tc>
          <w:tcPr>
            <w:tcW w:w="1513" w:type="pct"/>
            <w:shd w:val="clear" w:color="auto" w:fill="auto"/>
            <w:tcMar>
              <w:top w:w="113" w:type="dxa"/>
              <w:bottom w:w="85" w:type="dxa"/>
            </w:tcMar>
          </w:tcPr>
          <w:p w:rsidR="00FA423E" w:rsidRPr="007E4934" w:rsidRDefault="00FA423E" w:rsidP="00DC1333">
            <w:pPr>
              <w:rPr>
                <w:sz w:val="16"/>
                <w:szCs w:val="16"/>
              </w:rPr>
            </w:pPr>
          </w:p>
        </w:tc>
        <w:tc>
          <w:tcPr>
            <w:tcW w:w="2131" w:type="pc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Porcentaje de miembros del personal cuyo desempeño se evalúa en función de objetivos y competencias específicos</w:t>
            </w:r>
          </w:p>
        </w:tc>
        <w:tc>
          <w:tcPr>
            <w:tcW w:w="895"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23</w:t>
            </w:r>
          </w:p>
        </w:tc>
        <w:tc>
          <w:tcPr>
            <w:tcW w:w="461" w:type="pct"/>
            <w:shd w:val="clear" w:color="auto" w:fill="FFFFFF"/>
          </w:tcPr>
          <w:p w:rsidR="00FA423E" w:rsidRPr="00CC3F44" w:rsidRDefault="00FA423E" w:rsidP="00DC1333">
            <w:pPr>
              <w:jc w:val="center"/>
            </w:pPr>
            <w:r w:rsidRPr="00CC3F44">
              <w:rPr>
                <w:color w:val="008000"/>
                <w:szCs w:val="22"/>
              </w:rPr>
              <w:sym w:font="Wingdings" w:char="F06C"/>
            </w:r>
          </w:p>
        </w:tc>
      </w:tr>
      <w:tr w:rsidR="00FA423E" w:rsidRPr="00AF5E7C" w:rsidTr="00DC1333">
        <w:trPr>
          <w:cantSplit/>
          <w:trHeight w:val="335"/>
        </w:trPr>
        <w:tc>
          <w:tcPr>
            <w:tcW w:w="1513" w:type="pct"/>
            <w:shd w:val="clear" w:color="auto" w:fill="auto"/>
            <w:tcMar>
              <w:top w:w="113" w:type="dxa"/>
              <w:bottom w:w="85" w:type="dxa"/>
            </w:tcMar>
          </w:tcPr>
          <w:p w:rsidR="00FA423E" w:rsidRPr="007E4934" w:rsidRDefault="00FA423E" w:rsidP="00DC1333">
            <w:pPr>
              <w:rPr>
                <w:sz w:val="16"/>
                <w:szCs w:val="16"/>
              </w:rPr>
            </w:pPr>
          </w:p>
        </w:tc>
        <w:tc>
          <w:tcPr>
            <w:tcW w:w="2131" w:type="pc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Porcentaje de necesidades de formación esenciales que se han satisfecho a nivel individual y colectivo</w:t>
            </w:r>
          </w:p>
        </w:tc>
        <w:tc>
          <w:tcPr>
            <w:tcW w:w="895"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23</w:t>
            </w:r>
          </w:p>
        </w:tc>
        <w:tc>
          <w:tcPr>
            <w:tcW w:w="461" w:type="pct"/>
            <w:shd w:val="clear" w:color="auto" w:fill="FFFFFF"/>
          </w:tcPr>
          <w:p w:rsidR="00FA423E" w:rsidRPr="00CC3F44" w:rsidRDefault="00FA423E" w:rsidP="00DC1333">
            <w:pPr>
              <w:jc w:val="center"/>
              <w:rPr>
                <w:color w:val="A6A6A6" w:themeColor="background1" w:themeShade="A6"/>
                <w:szCs w:val="22"/>
              </w:rPr>
            </w:pPr>
            <w:r w:rsidRPr="00CC3F44">
              <w:rPr>
                <w:color w:val="E26B0A"/>
                <w:szCs w:val="22"/>
              </w:rPr>
              <w:sym w:font="Wingdings" w:char="F06C"/>
            </w:r>
            <w:r w:rsidRPr="00CC3F44">
              <w:rPr>
                <w:color w:val="008000"/>
                <w:szCs w:val="22"/>
              </w:rPr>
              <w:sym w:font="Wingdings" w:char="F06C"/>
            </w:r>
          </w:p>
        </w:tc>
      </w:tr>
      <w:tr w:rsidR="00FA423E" w:rsidRPr="00AF5E7C" w:rsidTr="00DC1333">
        <w:trPr>
          <w:cantSplit/>
          <w:trHeight w:val="335"/>
        </w:trPr>
        <w:tc>
          <w:tcPr>
            <w:tcW w:w="1513" w:type="pct"/>
            <w:shd w:val="clear" w:color="auto" w:fill="auto"/>
            <w:tcMar>
              <w:top w:w="113" w:type="dxa"/>
              <w:bottom w:w="85" w:type="dxa"/>
            </w:tcMar>
          </w:tcPr>
          <w:p w:rsidR="00FA423E" w:rsidRPr="007E4934" w:rsidRDefault="00FA423E" w:rsidP="00DC1333">
            <w:pPr>
              <w:rPr>
                <w:sz w:val="16"/>
                <w:szCs w:val="16"/>
              </w:rPr>
            </w:pPr>
          </w:p>
        </w:tc>
        <w:tc>
          <w:tcPr>
            <w:tcW w:w="2131" w:type="pc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Número promedio de días de ausencia por enfermedad por empleado (ausentismo)</w:t>
            </w:r>
          </w:p>
        </w:tc>
        <w:tc>
          <w:tcPr>
            <w:tcW w:w="895"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23</w:t>
            </w:r>
          </w:p>
        </w:tc>
        <w:tc>
          <w:tcPr>
            <w:tcW w:w="461" w:type="pct"/>
            <w:shd w:val="clear" w:color="auto" w:fill="FFFFFF"/>
          </w:tcPr>
          <w:p w:rsidR="00FA423E" w:rsidRPr="00CC3F44" w:rsidRDefault="00FA423E" w:rsidP="00DC1333">
            <w:pPr>
              <w:jc w:val="center"/>
              <w:rPr>
                <w:color w:val="E26B0A"/>
              </w:rPr>
            </w:pPr>
            <w:r w:rsidRPr="00CC3F44">
              <w:rPr>
                <w:color w:val="E26B0A"/>
                <w:szCs w:val="22"/>
              </w:rPr>
              <w:sym w:font="Wingdings" w:char="F06C"/>
            </w:r>
          </w:p>
        </w:tc>
      </w:tr>
      <w:tr w:rsidR="00FA423E" w:rsidRPr="00AF5E7C" w:rsidTr="00DC1333">
        <w:trPr>
          <w:cantSplit/>
          <w:trHeight w:val="301"/>
        </w:trPr>
        <w:tc>
          <w:tcPr>
            <w:tcW w:w="1513" w:type="pct"/>
            <w:shd w:val="clear" w:color="auto" w:fill="auto"/>
            <w:tcMar>
              <w:top w:w="113" w:type="dxa"/>
              <w:bottom w:w="85" w:type="dxa"/>
            </w:tcMar>
          </w:tcPr>
          <w:p w:rsidR="00FA423E" w:rsidRPr="007E4934" w:rsidRDefault="00FA423E" w:rsidP="00DC1333">
            <w:pPr>
              <w:rPr>
                <w:sz w:val="16"/>
                <w:szCs w:val="16"/>
              </w:rPr>
            </w:pPr>
          </w:p>
        </w:tc>
        <w:tc>
          <w:tcPr>
            <w:tcW w:w="2131" w:type="pc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Porcentaje de mujeres en cargos de la categoría profesional y superior</w:t>
            </w:r>
          </w:p>
        </w:tc>
        <w:tc>
          <w:tcPr>
            <w:tcW w:w="895"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23</w:t>
            </w:r>
          </w:p>
        </w:tc>
        <w:tc>
          <w:tcPr>
            <w:tcW w:w="461" w:type="pct"/>
            <w:shd w:val="clear" w:color="auto" w:fill="FFFFFF"/>
          </w:tcPr>
          <w:p w:rsidR="00FA423E" w:rsidRPr="00CC3F44" w:rsidRDefault="00FA423E" w:rsidP="00DC1333">
            <w:pPr>
              <w:jc w:val="center"/>
              <w:rPr>
                <w:color w:val="A6A6A6" w:themeColor="background1" w:themeShade="A6"/>
                <w:szCs w:val="22"/>
              </w:rPr>
            </w:pPr>
            <w:r w:rsidRPr="00CC3F44">
              <w:rPr>
                <w:color w:val="008000"/>
                <w:szCs w:val="22"/>
              </w:rPr>
              <w:sym w:font="Wingdings" w:char="F06C"/>
            </w:r>
            <w:r w:rsidRPr="00CC3F44">
              <w:rPr>
                <w:color w:val="FF0000"/>
                <w:szCs w:val="22"/>
              </w:rPr>
              <w:sym w:font="Wingdings" w:char="F06C"/>
            </w:r>
            <w:r w:rsidRPr="00CC3F44">
              <w:rPr>
                <w:color w:val="FF0000"/>
                <w:szCs w:val="22"/>
              </w:rPr>
              <w:sym w:font="Wingdings" w:char="F06C"/>
            </w:r>
            <w:r w:rsidRPr="00CC3F44">
              <w:rPr>
                <w:color w:val="FF0000"/>
                <w:szCs w:val="22"/>
              </w:rPr>
              <w:sym w:font="Wingdings" w:char="F06C"/>
            </w:r>
          </w:p>
        </w:tc>
      </w:tr>
      <w:tr w:rsidR="00FA423E" w:rsidRPr="00AF5E7C" w:rsidTr="00DC1333">
        <w:trPr>
          <w:cantSplit/>
          <w:trHeight w:val="436"/>
        </w:trPr>
        <w:tc>
          <w:tcPr>
            <w:tcW w:w="1513" w:type="pct"/>
            <w:shd w:val="clear" w:color="auto" w:fill="auto"/>
            <w:tcMar>
              <w:top w:w="113" w:type="dxa"/>
              <w:bottom w:w="85" w:type="dxa"/>
            </w:tcMar>
          </w:tcPr>
          <w:p w:rsidR="00FA423E" w:rsidRPr="007E4934" w:rsidRDefault="00FA423E" w:rsidP="00DC1333">
            <w:pPr>
              <w:rPr>
                <w:sz w:val="16"/>
                <w:szCs w:val="16"/>
              </w:rPr>
            </w:pPr>
          </w:p>
        </w:tc>
        <w:tc>
          <w:tcPr>
            <w:tcW w:w="2131" w:type="pct"/>
            <w:shd w:val="clear" w:color="auto" w:fill="auto"/>
            <w:tcMar>
              <w:top w:w="113" w:type="dxa"/>
              <w:bottom w:w="85" w:type="dxa"/>
            </w:tcMar>
          </w:tcPr>
          <w:p w:rsidR="00FA423E" w:rsidRPr="007E4934" w:rsidRDefault="00FA423E" w:rsidP="00DC1333">
            <w:pPr>
              <w:rPr>
                <w:sz w:val="16"/>
                <w:szCs w:val="16"/>
                <w:highlight w:val="cyan"/>
              </w:rPr>
            </w:pPr>
            <w:r w:rsidRPr="007E4934">
              <w:rPr>
                <w:sz w:val="16"/>
                <w:szCs w:val="16"/>
              </w:rPr>
              <w:t>Diversidad geográfica - % de Estados miembros representados</w:t>
            </w:r>
          </w:p>
        </w:tc>
        <w:tc>
          <w:tcPr>
            <w:tcW w:w="895"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23</w:t>
            </w:r>
          </w:p>
        </w:tc>
        <w:tc>
          <w:tcPr>
            <w:tcW w:w="461" w:type="pct"/>
            <w:shd w:val="clear" w:color="auto" w:fill="FFFFFF"/>
          </w:tcPr>
          <w:p w:rsidR="00FA423E" w:rsidRPr="00CC3F44" w:rsidRDefault="00FA423E" w:rsidP="00DC1333">
            <w:pPr>
              <w:jc w:val="center"/>
              <w:rPr>
                <w:color w:val="A6A6A6"/>
              </w:rPr>
            </w:pPr>
            <w:r w:rsidRPr="00CC3F44">
              <w:rPr>
                <w:color w:val="A6A6A6" w:themeColor="background1" w:themeShade="A6"/>
                <w:szCs w:val="22"/>
              </w:rPr>
              <w:sym w:font="Wingdings" w:char="F06C"/>
            </w:r>
          </w:p>
        </w:tc>
      </w:tr>
      <w:tr w:rsidR="00FA423E" w:rsidRPr="00AF5E7C" w:rsidTr="00DC1333">
        <w:trPr>
          <w:cantSplit/>
          <w:trHeight w:val="335"/>
        </w:trPr>
        <w:tc>
          <w:tcPr>
            <w:tcW w:w="1513" w:type="pct"/>
            <w:vMerge w:val="restar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IX.3 Entorno de trabajo propicio basado en un marco regulador eficaz y medios adecuados para atender los temas de interés del personal</w:t>
            </w:r>
          </w:p>
        </w:tc>
        <w:tc>
          <w:tcPr>
            <w:tcW w:w="2131" w:type="pc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Porcentaje de miembros del personal de la OMPI conscientes de los servicios disponibles en la Oficina del Mediador y del mecanismo informal de solución de conflictos</w:t>
            </w:r>
          </w:p>
        </w:tc>
        <w:tc>
          <w:tcPr>
            <w:tcW w:w="895"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21</w:t>
            </w:r>
          </w:p>
        </w:tc>
        <w:tc>
          <w:tcPr>
            <w:tcW w:w="461" w:type="pct"/>
            <w:shd w:val="clear" w:color="auto" w:fill="FFFFFF"/>
          </w:tcPr>
          <w:p w:rsidR="00FA423E" w:rsidRPr="00CC3F44" w:rsidRDefault="00FA423E" w:rsidP="00DC1333">
            <w:pPr>
              <w:jc w:val="center"/>
              <w:rPr>
                <w:color w:val="A6A6A6" w:themeColor="background1" w:themeShade="A6"/>
                <w:szCs w:val="22"/>
              </w:rPr>
            </w:pPr>
            <w:r w:rsidRPr="00CC3F44">
              <w:rPr>
                <w:color w:val="A6A6A6" w:themeColor="background1" w:themeShade="A6"/>
                <w:szCs w:val="22"/>
              </w:rPr>
              <w:sym w:font="Wingdings" w:char="F06C"/>
            </w:r>
          </w:p>
        </w:tc>
      </w:tr>
      <w:tr w:rsidR="00FA423E" w:rsidRPr="00AF5E7C" w:rsidTr="00DC1333">
        <w:trPr>
          <w:cantSplit/>
          <w:trHeight w:val="335"/>
        </w:trPr>
        <w:tc>
          <w:tcPr>
            <w:tcW w:w="1513" w:type="pct"/>
            <w:vMerge/>
            <w:shd w:val="clear" w:color="auto" w:fill="auto"/>
            <w:tcMar>
              <w:top w:w="113" w:type="dxa"/>
              <w:bottom w:w="85" w:type="dxa"/>
            </w:tcMar>
          </w:tcPr>
          <w:p w:rsidR="00FA423E" w:rsidRPr="007E4934" w:rsidRDefault="00FA423E" w:rsidP="00DC1333">
            <w:pPr>
              <w:rPr>
                <w:sz w:val="16"/>
                <w:szCs w:val="16"/>
              </w:rPr>
            </w:pPr>
          </w:p>
        </w:tc>
        <w:tc>
          <w:tcPr>
            <w:tcW w:w="2131" w:type="pct"/>
            <w:tcBorders>
              <w:bottom w:val="nil"/>
            </w:tcBorders>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Porcentaje de encuestados que afirman ser conscientes de los principios y políticas de la OMPI en material de ética profesional</w:t>
            </w:r>
          </w:p>
        </w:tc>
        <w:tc>
          <w:tcPr>
            <w:tcW w:w="895"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21</w:t>
            </w:r>
          </w:p>
        </w:tc>
        <w:tc>
          <w:tcPr>
            <w:tcW w:w="461" w:type="pct"/>
            <w:shd w:val="clear" w:color="auto" w:fill="FFFFFF"/>
          </w:tcPr>
          <w:p w:rsidR="00FA423E" w:rsidRPr="00CC3F44" w:rsidRDefault="00FA423E" w:rsidP="00DC1333">
            <w:pPr>
              <w:jc w:val="center"/>
            </w:pPr>
            <w:r w:rsidRPr="00CC3F44">
              <w:rPr>
                <w:color w:val="A6A6A6" w:themeColor="background1" w:themeShade="A6"/>
                <w:szCs w:val="22"/>
              </w:rPr>
              <w:sym w:font="Wingdings" w:char="F06C"/>
            </w:r>
          </w:p>
        </w:tc>
      </w:tr>
      <w:tr w:rsidR="00FA423E" w:rsidRPr="00AF5E7C" w:rsidTr="00DC1333">
        <w:trPr>
          <w:cantSplit/>
          <w:trHeight w:val="335"/>
        </w:trPr>
        <w:tc>
          <w:tcPr>
            <w:tcW w:w="1513" w:type="pct"/>
            <w:shd w:val="clear" w:color="auto" w:fill="auto"/>
            <w:tcMar>
              <w:top w:w="113" w:type="dxa"/>
              <w:bottom w:w="85" w:type="dxa"/>
            </w:tcMar>
          </w:tcPr>
          <w:p w:rsidR="00FA423E" w:rsidRPr="007E4934" w:rsidRDefault="00FA423E" w:rsidP="00DC1333">
            <w:pPr>
              <w:rPr>
                <w:sz w:val="16"/>
                <w:szCs w:val="16"/>
              </w:rPr>
            </w:pPr>
          </w:p>
        </w:tc>
        <w:tc>
          <w:tcPr>
            <w:tcW w:w="2131" w:type="pct"/>
            <w:tcBorders>
              <w:top w:val="nil"/>
              <w:bottom w:val="single" w:sz="4" w:space="0" w:color="auto"/>
            </w:tcBorders>
            <w:shd w:val="clear" w:color="auto" w:fill="auto"/>
            <w:tcMar>
              <w:top w:w="113" w:type="dxa"/>
              <w:bottom w:w="85" w:type="dxa"/>
            </w:tcMar>
          </w:tcPr>
          <w:p w:rsidR="00FA423E" w:rsidRPr="007E4934" w:rsidRDefault="00FA423E" w:rsidP="00DC1333">
            <w:pPr>
              <w:rPr>
                <w:sz w:val="16"/>
                <w:szCs w:val="16"/>
                <w:lang w:val="es-ES_tradnl"/>
              </w:rPr>
            </w:pPr>
            <w:r w:rsidRPr="007E4934">
              <w:rPr>
                <w:sz w:val="16"/>
                <w:szCs w:val="16"/>
                <w:lang w:val="es-ES_tradnl"/>
              </w:rPr>
              <w:t>El Reglamento Financiero y la Reglamentación Financiera y las órdenes de servicio pertinentes están actualizados</w:t>
            </w:r>
          </w:p>
          <w:p w:rsidR="00FA423E" w:rsidRPr="007E4934" w:rsidRDefault="00FA423E" w:rsidP="00DC1333">
            <w:pPr>
              <w:rPr>
                <w:sz w:val="16"/>
                <w:szCs w:val="16"/>
                <w:lang w:val="es-ES_tradnl"/>
              </w:rPr>
            </w:pPr>
          </w:p>
          <w:p w:rsidR="00FA423E" w:rsidRPr="007E4934" w:rsidRDefault="00FA423E" w:rsidP="00DC1333">
            <w:pPr>
              <w:rPr>
                <w:sz w:val="16"/>
                <w:szCs w:val="16"/>
              </w:rPr>
            </w:pPr>
          </w:p>
        </w:tc>
        <w:tc>
          <w:tcPr>
            <w:tcW w:w="895"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22</w:t>
            </w:r>
          </w:p>
        </w:tc>
        <w:tc>
          <w:tcPr>
            <w:tcW w:w="461" w:type="pct"/>
            <w:shd w:val="clear" w:color="auto" w:fill="FFFFFF"/>
          </w:tcPr>
          <w:p w:rsidR="00FA423E" w:rsidRPr="00CC3F44" w:rsidRDefault="00FA423E" w:rsidP="00DC1333">
            <w:pPr>
              <w:jc w:val="center"/>
              <w:rPr>
                <w:color w:val="A6A6A6" w:themeColor="background1" w:themeShade="A6"/>
                <w:szCs w:val="22"/>
              </w:rPr>
            </w:pPr>
            <w:r w:rsidRPr="00CC3F44">
              <w:rPr>
                <w:color w:val="008000"/>
                <w:szCs w:val="22"/>
              </w:rPr>
              <w:sym w:font="Wingdings" w:char="F06C"/>
            </w:r>
          </w:p>
        </w:tc>
      </w:tr>
      <w:tr w:rsidR="00FA423E" w:rsidRPr="00AF5E7C" w:rsidTr="00DC1333">
        <w:trPr>
          <w:cantSplit/>
          <w:trHeight w:val="256"/>
        </w:trPr>
        <w:tc>
          <w:tcPr>
            <w:tcW w:w="1513" w:type="pct"/>
            <w:vMerge w:val="restart"/>
            <w:shd w:val="clear" w:color="auto" w:fill="auto"/>
            <w:tcMar>
              <w:top w:w="113" w:type="dxa"/>
              <w:bottom w:w="85" w:type="dxa"/>
            </w:tcMar>
          </w:tcPr>
          <w:p w:rsidR="00FA423E" w:rsidRPr="007E4934" w:rsidRDefault="00FA423E" w:rsidP="00DC1333">
            <w:pPr>
              <w:keepNext/>
              <w:rPr>
                <w:sz w:val="16"/>
                <w:szCs w:val="16"/>
              </w:rPr>
            </w:pPr>
            <w:r w:rsidRPr="007E4934">
              <w:rPr>
                <w:sz w:val="16"/>
                <w:szCs w:val="16"/>
                <w:lang w:val="es-ES_tradnl"/>
              </w:rPr>
              <w:lastRenderedPageBreak/>
              <w:t>IX.4 Una organización responsable con el medio ambiente y la sociedad en la que se garantiza la seguridad de su personal, los delegados, los visitantes, la información y los activos físicos</w:t>
            </w:r>
          </w:p>
        </w:tc>
        <w:tc>
          <w:tcPr>
            <w:tcW w:w="2131" w:type="pct"/>
            <w:tcBorders>
              <w:top w:val="single" w:sz="4" w:space="0" w:color="auto"/>
              <w:bottom w:val="nil"/>
            </w:tcBorders>
            <w:shd w:val="clear" w:color="auto" w:fill="auto"/>
            <w:tcMar>
              <w:top w:w="113" w:type="dxa"/>
              <w:bottom w:w="85" w:type="dxa"/>
            </w:tcMar>
          </w:tcPr>
          <w:p w:rsidR="00FA423E" w:rsidRPr="007E4934" w:rsidRDefault="00FA423E" w:rsidP="00DC1333">
            <w:pPr>
              <w:keepNext/>
              <w:rPr>
                <w:sz w:val="16"/>
                <w:szCs w:val="16"/>
              </w:rPr>
            </w:pPr>
            <w:r w:rsidRPr="007E4934">
              <w:rPr>
                <w:sz w:val="16"/>
                <w:szCs w:val="16"/>
                <w:lang w:val="es-ES_tradnl"/>
              </w:rPr>
              <w:t>Mejora de la accesibilidad al recinto de la OMPI</w:t>
            </w:r>
          </w:p>
        </w:tc>
        <w:tc>
          <w:tcPr>
            <w:tcW w:w="895" w:type="pct"/>
            <w:shd w:val="clear" w:color="auto" w:fill="FFFFFF"/>
            <w:tcMar>
              <w:top w:w="113" w:type="dxa"/>
              <w:bottom w:w="85" w:type="dxa"/>
            </w:tcMar>
          </w:tcPr>
          <w:p w:rsidR="00FA423E" w:rsidRPr="007E4934" w:rsidRDefault="00FA423E" w:rsidP="00DC1333">
            <w:pPr>
              <w:keepNext/>
              <w:jc w:val="center"/>
              <w:rPr>
                <w:sz w:val="16"/>
                <w:szCs w:val="16"/>
                <w:lang w:bidi="th-TH"/>
              </w:rPr>
            </w:pPr>
            <w:r w:rsidRPr="007E4934">
              <w:rPr>
                <w:sz w:val="16"/>
                <w:szCs w:val="16"/>
                <w:lang w:val="es-ES_tradnl" w:bidi="th-TH"/>
              </w:rPr>
              <w:t>Programa 24</w:t>
            </w:r>
          </w:p>
        </w:tc>
        <w:tc>
          <w:tcPr>
            <w:tcW w:w="461" w:type="pct"/>
            <w:shd w:val="clear" w:color="auto" w:fill="FFFFFF"/>
          </w:tcPr>
          <w:p w:rsidR="00FA423E" w:rsidRPr="00CC3F44" w:rsidRDefault="00FA423E" w:rsidP="00DC1333">
            <w:pPr>
              <w:keepNext/>
              <w:jc w:val="center"/>
            </w:pPr>
            <w:r w:rsidRPr="00CC3F44">
              <w:rPr>
                <w:color w:val="FF0000"/>
                <w:szCs w:val="22"/>
              </w:rPr>
              <w:sym w:font="Wingdings" w:char="F06C"/>
            </w:r>
          </w:p>
        </w:tc>
      </w:tr>
      <w:tr w:rsidR="00FA423E" w:rsidRPr="00AF5E7C" w:rsidTr="00DC1333">
        <w:trPr>
          <w:cantSplit/>
          <w:trHeight w:val="335"/>
        </w:trPr>
        <w:tc>
          <w:tcPr>
            <w:tcW w:w="1513" w:type="pct"/>
            <w:vMerge/>
            <w:shd w:val="clear" w:color="auto" w:fill="auto"/>
            <w:tcMar>
              <w:top w:w="113" w:type="dxa"/>
              <w:bottom w:w="85" w:type="dxa"/>
            </w:tcMar>
          </w:tcPr>
          <w:p w:rsidR="00FA423E" w:rsidRPr="007E4934" w:rsidRDefault="00FA423E" w:rsidP="00DC1333">
            <w:pPr>
              <w:keepNext/>
              <w:rPr>
                <w:sz w:val="16"/>
                <w:szCs w:val="16"/>
              </w:rPr>
            </w:pPr>
          </w:p>
        </w:tc>
        <w:tc>
          <w:tcPr>
            <w:tcW w:w="2131" w:type="pct"/>
            <w:tcBorders>
              <w:top w:val="nil"/>
              <w:bottom w:val="nil"/>
            </w:tcBorders>
            <w:shd w:val="clear" w:color="auto" w:fill="auto"/>
            <w:tcMar>
              <w:top w:w="113" w:type="dxa"/>
              <w:bottom w:w="85" w:type="dxa"/>
            </w:tcMar>
          </w:tcPr>
          <w:p w:rsidR="00FA423E" w:rsidRPr="007E4934" w:rsidRDefault="00FA423E" w:rsidP="00DC1333">
            <w:pPr>
              <w:keepNext/>
              <w:rPr>
                <w:sz w:val="16"/>
                <w:szCs w:val="16"/>
              </w:rPr>
            </w:pPr>
            <w:r w:rsidRPr="007E4934">
              <w:rPr>
                <w:sz w:val="16"/>
                <w:szCs w:val="16"/>
                <w:lang w:val="es-ES_tradnl"/>
              </w:rPr>
              <w:t>Menor repercusión de los edificios de la OMPI en el medio ambiente</w:t>
            </w:r>
            <w:r w:rsidRPr="007E4934">
              <w:rPr>
                <w:sz w:val="16"/>
                <w:szCs w:val="16"/>
              </w:rPr>
              <w:t xml:space="preserve"> </w:t>
            </w:r>
          </w:p>
        </w:tc>
        <w:tc>
          <w:tcPr>
            <w:tcW w:w="895" w:type="pct"/>
            <w:shd w:val="clear" w:color="auto" w:fill="FFFFFF"/>
            <w:tcMar>
              <w:top w:w="113" w:type="dxa"/>
              <w:bottom w:w="85" w:type="dxa"/>
            </w:tcMar>
          </w:tcPr>
          <w:p w:rsidR="00FA423E" w:rsidRPr="007E4934" w:rsidRDefault="00FA423E" w:rsidP="00DC1333">
            <w:pPr>
              <w:keepNext/>
              <w:jc w:val="center"/>
              <w:rPr>
                <w:sz w:val="16"/>
                <w:szCs w:val="16"/>
                <w:lang w:bidi="th-TH"/>
              </w:rPr>
            </w:pPr>
            <w:r w:rsidRPr="007E4934">
              <w:rPr>
                <w:sz w:val="16"/>
                <w:szCs w:val="16"/>
                <w:lang w:val="es-ES_tradnl" w:bidi="th-TH"/>
              </w:rPr>
              <w:t>Programa 24</w:t>
            </w:r>
          </w:p>
        </w:tc>
        <w:tc>
          <w:tcPr>
            <w:tcW w:w="461" w:type="pct"/>
            <w:shd w:val="clear" w:color="auto" w:fill="FFFFFF"/>
          </w:tcPr>
          <w:p w:rsidR="00FA423E" w:rsidRPr="00CC3F44" w:rsidRDefault="00FA423E" w:rsidP="00DC1333">
            <w:pPr>
              <w:keepNext/>
              <w:jc w:val="center"/>
              <w:rPr>
                <w:color w:val="A6A6A6" w:themeColor="background1" w:themeShade="A6"/>
                <w:szCs w:val="22"/>
              </w:rPr>
            </w:pPr>
            <w:r w:rsidRPr="00CC3F44">
              <w:rPr>
                <w:color w:val="008000"/>
                <w:szCs w:val="22"/>
              </w:rPr>
              <w:sym w:font="Wingdings" w:char="F06C"/>
            </w:r>
          </w:p>
        </w:tc>
      </w:tr>
      <w:tr w:rsidR="00FA423E" w:rsidRPr="00AF5E7C" w:rsidTr="00DC1333">
        <w:trPr>
          <w:cantSplit/>
          <w:trHeight w:val="335"/>
        </w:trPr>
        <w:tc>
          <w:tcPr>
            <w:tcW w:w="1513" w:type="pct"/>
            <w:vMerge/>
            <w:shd w:val="clear" w:color="auto" w:fill="auto"/>
            <w:tcMar>
              <w:top w:w="113" w:type="dxa"/>
              <w:bottom w:w="85" w:type="dxa"/>
            </w:tcMar>
          </w:tcPr>
          <w:p w:rsidR="00FA423E" w:rsidRPr="007E4934" w:rsidRDefault="00FA423E" w:rsidP="00DC1333">
            <w:pPr>
              <w:rPr>
                <w:sz w:val="16"/>
                <w:szCs w:val="16"/>
              </w:rPr>
            </w:pPr>
          </w:p>
        </w:tc>
        <w:tc>
          <w:tcPr>
            <w:tcW w:w="2131" w:type="pct"/>
            <w:tcBorders>
              <w:top w:val="nil"/>
            </w:tcBorders>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Los locales de la OMPI satisfacen las recomendaciones efectuadas en 2009 por el Instituto de Seguridad y Vigilancia (</w:t>
            </w:r>
            <w:proofErr w:type="spellStart"/>
            <w:r w:rsidRPr="007E4934">
              <w:rPr>
                <w:sz w:val="16"/>
                <w:szCs w:val="16"/>
                <w:lang w:val="es-ES_tradnl"/>
              </w:rPr>
              <w:t>Neuchatel</w:t>
            </w:r>
            <w:proofErr w:type="spellEnd"/>
            <w:r w:rsidRPr="007E4934">
              <w:rPr>
                <w:sz w:val="16"/>
                <w:szCs w:val="16"/>
                <w:lang w:val="es-ES_tradnl"/>
              </w:rPr>
              <w:t>) y las medidas de seguridad y vigilancia del perímetro con arreglo a las normas mínimas operativas de seguridad y vigilancia para las sedes de NN.UU.</w:t>
            </w:r>
          </w:p>
        </w:tc>
        <w:tc>
          <w:tcPr>
            <w:tcW w:w="895"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24</w:t>
            </w:r>
          </w:p>
        </w:tc>
        <w:tc>
          <w:tcPr>
            <w:tcW w:w="461" w:type="pct"/>
            <w:shd w:val="clear" w:color="auto" w:fill="FFFFFF"/>
          </w:tcPr>
          <w:p w:rsidR="00FA423E" w:rsidRPr="00CC3F44" w:rsidRDefault="00FA423E" w:rsidP="00DC1333">
            <w:pPr>
              <w:jc w:val="center"/>
            </w:pPr>
            <w:r w:rsidRPr="00CC3F44">
              <w:rPr>
                <w:color w:val="008000"/>
                <w:szCs w:val="22"/>
              </w:rPr>
              <w:sym w:font="Wingdings" w:char="F06C"/>
            </w:r>
          </w:p>
        </w:tc>
      </w:tr>
      <w:tr w:rsidR="00FA423E" w:rsidRPr="00AF5E7C" w:rsidTr="00DC1333">
        <w:trPr>
          <w:cantSplit/>
          <w:trHeight w:val="335"/>
        </w:trPr>
        <w:tc>
          <w:tcPr>
            <w:tcW w:w="1513" w:type="pct"/>
            <w:shd w:val="clear" w:color="auto" w:fill="auto"/>
            <w:tcMar>
              <w:top w:w="113" w:type="dxa"/>
              <w:bottom w:w="85" w:type="dxa"/>
            </w:tcMar>
          </w:tcPr>
          <w:p w:rsidR="00FA423E" w:rsidRPr="007E4934" w:rsidRDefault="00FA423E" w:rsidP="00DC1333">
            <w:pPr>
              <w:rPr>
                <w:sz w:val="16"/>
                <w:szCs w:val="16"/>
              </w:rPr>
            </w:pPr>
          </w:p>
        </w:tc>
        <w:tc>
          <w:tcPr>
            <w:tcW w:w="2131" w:type="pc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Se refuerza la seguridad de la información para protegerse contra los ataques cada vez más frecuentes en Internet</w:t>
            </w:r>
          </w:p>
        </w:tc>
        <w:tc>
          <w:tcPr>
            <w:tcW w:w="895"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25</w:t>
            </w:r>
          </w:p>
        </w:tc>
        <w:tc>
          <w:tcPr>
            <w:tcW w:w="461" w:type="pct"/>
            <w:shd w:val="clear" w:color="auto" w:fill="FFFFFF"/>
          </w:tcPr>
          <w:p w:rsidR="00FA423E" w:rsidRPr="00CC3F44" w:rsidRDefault="00FA423E" w:rsidP="00DC1333">
            <w:pPr>
              <w:jc w:val="center"/>
              <w:rPr>
                <w:color w:val="A6A6A6" w:themeColor="background1" w:themeShade="A6"/>
                <w:szCs w:val="22"/>
              </w:rPr>
            </w:pPr>
            <w:r w:rsidRPr="00CC3F44">
              <w:rPr>
                <w:color w:val="008000"/>
                <w:szCs w:val="22"/>
              </w:rPr>
              <w:sym w:font="Wingdings" w:char="F06C"/>
            </w:r>
          </w:p>
        </w:tc>
      </w:tr>
      <w:tr w:rsidR="00FA423E" w:rsidRPr="00AF5E7C" w:rsidTr="00DC1333">
        <w:trPr>
          <w:cantSplit/>
          <w:trHeight w:val="335"/>
        </w:trPr>
        <w:tc>
          <w:tcPr>
            <w:tcW w:w="1513" w:type="pct"/>
            <w:shd w:val="clear" w:color="auto" w:fill="auto"/>
            <w:tcMar>
              <w:top w:w="113" w:type="dxa"/>
              <w:bottom w:w="85" w:type="dxa"/>
            </w:tcMar>
          </w:tcPr>
          <w:p w:rsidR="00FA423E" w:rsidRPr="007E4934" w:rsidRDefault="00FA423E" w:rsidP="00DC1333">
            <w:pPr>
              <w:rPr>
                <w:sz w:val="16"/>
                <w:szCs w:val="16"/>
              </w:rPr>
            </w:pPr>
          </w:p>
        </w:tc>
        <w:tc>
          <w:tcPr>
            <w:tcW w:w="2131" w:type="pc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Situación de la certificación con arreglo a la norma ISO 27001 de los procedimientos de gestión de riesgos para la seguridad de la información</w:t>
            </w:r>
          </w:p>
        </w:tc>
        <w:tc>
          <w:tcPr>
            <w:tcW w:w="895"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25</w:t>
            </w:r>
          </w:p>
        </w:tc>
        <w:tc>
          <w:tcPr>
            <w:tcW w:w="461" w:type="pct"/>
            <w:shd w:val="clear" w:color="auto" w:fill="FFFFFF"/>
          </w:tcPr>
          <w:p w:rsidR="00FA423E" w:rsidRPr="00CC3F44" w:rsidRDefault="00FA423E" w:rsidP="00DC1333">
            <w:pPr>
              <w:jc w:val="center"/>
            </w:pPr>
            <w:r w:rsidRPr="00CC3F44">
              <w:rPr>
                <w:color w:val="008000"/>
                <w:szCs w:val="22"/>
              </w:rPr>
              <w:sym w:font="Wingdings" w:char="F06C"/>
            </w:r>
            <w:r w:rsidRPr="00CC3F44">
              <w:rPr>
                <w:color w:val="008000"/>
                <w:szCs w:val="22"/>
              </w:rPr>
              <w:sym w:font="Wingdings" w:char="F06C"/>
            </w:r>
            <w:r w:rsidRPr="00CC3F44">
              <w:rPr>
                <w:color w:val="008000"/>
                <w:szCs w:val="22"/>
              </w:rPr>
              <w:sym w:font="Wingdings" w:char="F06C"/>
            </w:r>
          </w:p>
        </w:tc>
      </w:tr>
      <w:tr w:rsidR="00FA423E" w:rsidRPr="00AF5E7C" w:rsidTr="00DC1333">
        <w:trPr>
          <w:cantSplit/>
          <w:trHeight w:val="335"/>
        </w:trPr>
        <w:tc>
          <w:tcPr>
            <w:tcW w:w="1513" w:type="pct"/>
            <w:shd w:val="clear" w:color="auto" w:fill="auto"/>
            <w:tcMar>
              <w:top w:w="113" w:type="dxa"/>
              <w:bottom w:w="85" w:type="dxa"/>
            </w:tcMar>
          </w:tcPr>
          <w:p w:rsidR="00FA423E" w:rsidRPr="007E4934" w:rsidRDefault="00FA423E" w:rsidP="00DC1333">
            <w:pPr>
              <w:rPr>
                <w:sz w:val="16"/>
                <w:szCs w:val="16"/>
              </w:rPr>
            </w:pPr>
          </w:p>
        </w:tc>
        <w:tc>
          <w:tcPr>
            <w:tcW w:w="2131" w:type="pc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Eficacia de los controles de seguridad de la información (a nivel interno y externo)</w:t>
            </w:r>
          </w:p>
        </w:tc>
        <w:tc>
          <w:tcPr>
            <w:tcW w:w="895"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25</w:t>
            </w:r>
          </w:p>
        </w:tc>
        <w:tc>
          <w:tcPr>
            <w:tcW w:w="461" w:type="pct"/>
            <w:shd w:val="clear" w:color="auto" w:fill="FFFFFF"/>
          </w:tcPr>
          <w:p w:rsidR="00FA423E" w:rsidRPr="00CC3F44" w:rsidRDefault="00FA423E" w:rsidP="00DC1333">
            <w:pPr>
              <w:jc w:val="center"/>
              <w:rPr>
                <w:color w:val="A6A6A6" w:themeColor="background1" w:themeShade="A6"/>
                <w:szCs w:val="22"/>
              </w:rPr>
            </w:pPr>
            <w:r w:rsidRPr="00CC3F44">
              <w:rPr>
                <w:color w:val="008000"/>
                <w:szCs w:val="22"/>
              </w:rPr>
              <w:sym w:font="Wingdings" w:char="F06C"/>
            </w:r>
          </w:p>
        </w:tc>
      </w:tr>
      <w:tr w:rsidR="00FA423E" w:rsidRPr="00AF5E7C" w:rsidTr="00DC1333">
        <w:trPr>
          <w:cantSplit/>
          <w:trHeight w:val="335"/>
        </w:trPr>
        <w:tc>
          <w:tcPr>
            <w:tcW w:w="1513" w:type="pct"/>
            <w:shd w:val="clear" w:color="auto" w:fill="auto"/>
            <w:tcMar>
              <w:top w:w="113" w:type="dxa"/>
              <w:bottom w:w="85" w:type="dxa"/>
            </w:tcMar>
          </w:tcPr>
          <w:p w:rsidR="00FA423E" w:rsidRPr="007E4934" w:rsidRDefault="00FA423E" w:rsidP="00DC1333">
            <w:pPr>
              <w:rPr>
                <w:sz w:val="16"/>
                <w:szCs w:val="16"/>
              </w:rPr>
            </w:pPr>
          </w:p>
        </w:tc>
        <w:tc>
          <w:tcPr>
            <w:tcW w:w="2131" w:type="pc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Porcentaje de miembros del personal, delegados y visitantes que notifican lesiones o incidentes relacionados con el entorno laboral</w:t>
            </w:r>
          </w:p>
        </w:tc>
        <w:tc>
          <w:tcPr>
            <w:tcW w:w="895"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28</w:t>
            </w:r>
          </w:p>
        </w:tc>
        <w:tc>
          <w:tcPr>
            <w:tcW w:w="461" w:type="pct"/>
            <w:shd w:val="clear" w:color="auto" w:fill="FFFFFF"/>
          </w:tcPr>
          <w:p w:rsidR="00FA423E" w:rsidRPr="00CC3F44" w:rsidRDefault="00FA423E" w:rsidP="00DC1333">
            <w:pPr>
              <w:jc w:val="center"/>
            </w:pPr>
            <w:r w:rsidRPr="00CC3F44">
              <w:rPr>
                <w:color w:val="008000"/>
                <w:szCs w:val="22"/>
              </w:rPr>
              <w:sym w:font="Wingdings" w:char="F06C"/>
            </w:r>
          </w:p>
        </w:tc>
      </w:tr>
      <w:tr w:rsidR="00FA423E" w:rsidRPr="00AF5E7C" w:rsidTr="00DC1333">
        <w:trPr>
          <w:cantSplit/>
          <w:trHeight w:val="335"/>
        </w:trPr>
        <w:tc>
          <w:tcPr>
            <w:tcW w:w="1513" w:type="pct"/>
            <w:shd w:val="clear" w:color="auto" w:fill="auto"/>
            <w:tcMar>
              <w:top w:w="113" w:type="dxa"/>
              <w:bottom w:w="85" w:type="dxa"/>
            </w:tcMar>
          </w:tcPr>
          <w:p w:rsidR="00FA423E" w:rsidRPr="007E4934" w:rsidRDefault="00FA423E" w:rsidP="00DC1333">
            <w:pPr>
              <w:rPr>
                <w:sz w:val="16"/>
                <w:szCs w:val="16"/>
              </w:rPr>
            </w:pPr>
          </w:p>
        </w:tc>
        <w:tc>
          <w:tcPr>
            <w:tcW w:w="2131" w:type="pc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Porcentaje de peticiones de asistencia relativa a la seguridad atendidas puntualmente en las conferencias o actividades organizadas en Ginebra o en otros lugares</w:t>
            </w:r>
          </w:p>
        </w:tc>
        <w:tc>
          <w:tcPr>
            <w:tcW w:w="895"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28</w:t>
            </w:r>
          </w:p>
        </w:tc>
        <w:tc>
          <w:tcPr>
            <w:tcW w:w="461" w:type="pct"/>
            <w:shd w:val="clear" w:color="auto" w:fill="FFFFFF"/>
          </w:tcPr>
          <w:p w:rsidR="00FA423E" w:rsidRPr="00CC3F44" w:rsidRDefault="00FA423E" w:rsidP="00DC1333">
            <w:pPr>
              <w:jc w:val="center"/>
              <w:rPr>
                <w:color w:val="A6A6A6" w:themeColor="background1" w:themeShade="A6"/>
                <w:szCs w:val="22"/>
              </w:rPr>
            </w:pPr>
            <w:r w:rsidRPr="00CC3F44">
              <w:rPr>
                <w:color w:val="008000"/>
                <w:szCs w:val="22"/>
              </w:rPr>
              <w:sym w:font="Wingdings" w:char="F06C"/>
            </w:r>
          </w:p>
        </w:tc>
      </w:tr>
      <w:tr w:rsidR="00FA423E" w:rsidRPr="00AF5E7C" w:rsidTr="00DC1333">
        <w:trPr>
          <w:cantSplit/>
          <w:trHeight w:val="335"/>
        </w:trPr>
        <w:tc>
          <w:tcPr>
            <w:tcW w:w="1513" w:type="pct"/>
            <w:shd w:val="clear" w:color="auto" w:fill="auto"/>
            <w:tcMar>
              <w:top w:w="113" w:type="dxa"/>
              <w:bottom w:w="85" w:type="dxa"/>
            </w:tcMar>
          </w:tcPr>
          <w:p w:rsidR="00FA423E" w:rsidRPr="007E4934" w:rsidRDefault="00FA423E" w:rsidP="00DC1333">
            <w:pPr>
              <w:rPr>
                <w:sz w:val="16"/>
                <w:szCs w:val="16"/>
              </w:rPr>
            </w:pPr>
          </w:p>
        </w:tc>
        <w:tc>
          <w:tcPr>
            <w:tcW w:w="2131" w:type="pc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Supervisión de las medidas de acceso físico para velar por que se cumplan plenamente las normas aplicables durante el período de construcción de la nueva sala de conferencias y las instalaciones conexas</w:t>
            </w:r>
          </w:p>
        </w:tc>
        <w:tc>
          <w:tcPr>
            <w:tcW w:w="895"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29</w:t>
            </w:r>
          </w:p>
        </w:tc>
        <w:tc>
          <w:tcPr>
            <w:tcW w:w="461" w:type="pct"/>
            <w:shd w:val="clear" w:color="auto" w:fill="FFFFFF"/>
          </w:tcPr>
          <w:p w:rsidR="00FA423E" w:rsidRPr="00CC3F44" w:rsidRDefault="00FA423E" w:rsidP="00DC1333">
            <w:pPr>
              <w:jc w:val="center"/>
            </w:pPr>
            <w:r w:rsidRPr="00CC3F44">
              <w:rPr>
                <w:color w:val="A6A6A6"/>
                <w:szCs w:val="22"/>
              </w:rPr>
              <w:sym w:font="Wingdings" w:char="F06C"/>
            </w:r>
          </w:p>
        </w:tc>
      </w:tr>
      <w:tr w:rsidR="00FA423E" w:rsidRPr="00AF5E7C" w:rsidTr="00DC1333">
        <w:trPr>
          <w:cantSplit/>
          <w:trHeight w:val="335"/>
        </w:trPr>
        <w:tc>
          <w:tcPr>
            <w:tcW w:w="1513" w:type="pct"/>
            <w:shd w:val="clear" w:color="auto" w:fill="auto"/>
            <w:tcMar>
              <w:top w:w="113" w:type="dxa"/>
              <w:bottom w:w="85" w:type="dxa"/>
            </w:tcMar>
          </w:tcPr>
          <w:p w:rsidR="00FA423E" w:rsidRPr="007E4934" w:rsidRDefault="00FA423E" w:rsidP="00DC1333">
            <w:pPr>
              <w:rPr>
                <w:sz w:val="16"/>
                <w:szCs w:val="16"/>
              </w:rPr>
            </w:pPr>
          </w:p>
        </w:tc>
        <w:tc>
          <w:tcPr>
            <w:tcW w:w="2131" w:type="pc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Supervisión de las medidas aplicadas durante el período de construcción con el fin de respetar el medio ambiente y reducir el consumo de energía</w:t>
            </w:r>
          </w:p>
        </w:tc>
        <w:tc>
          <w:tcPr>
            <w:tcW w:w="895"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29</w:t>
            </w:r>
          </w:p>
        </w:tc>
        <w:tc>
          <w:tcPr>
            <w:tcW w:w="461" w:type="pct"/>
            <w:shd w:val="clear" w:color="auto" w:fill="FFFFFF"/>
          </w:tcPr>
          <w:p w:rsidR="00FA423E" w:rsidRPr="00CC3F44" w:rsidRDefault="00FA423E" w:rsidP="00DC1333">
            <w:pPr>
              <w:jc w:val="center"/>
              <w:rPr>
                <w:color w:val="A6A6A6" w:themeColor="background1" w:themeShade="A6"/>
                <w:szCs w:val="22"/>
              </w:rPr>
            </w:pPr>
            <w:r w:rsidRPr="00CC3F44">
              <w:rPr>
                <w:color w:val="A6A6A6"/>
                <w:szCs w:val="22"/>
              </w:rPr>
              <w:sym w:font="Wingdings" w:char="F06C"/>
            </w:r>
          </w:p>
        </w:tc>
      </w:tr>
      <w:tr w:rsidR="00FA423E" w:rsidRPr="00AF5E7C" w:rsidTr="00DC1333">
        <w:trPr>
          <w:cantSplit/>
          <w:trHeight w:val="335"/>
        </w:trPr>
        <w:tc>
          <w:tcPr>
            <w:tcW w:w="1513" w:type="pct"/>
            <w:shd w:val="clear" w:color="auto" w:fill="auto"/>
            <w:tcMar>
              <w:top w:w="113" w:type="dxa"/>
              <w:bottom w:w="85" w:type="dxa"/>
            </w:tcMar>
          </w:tcPr>
          <w:p w:rsidR="00FA423E" w:rsidRPr="007E4934" w:rsidRDefault="00FA423E" w:rsidP="00DC1333">
            <w:pPr>
              <w:rPr>
                <w:sz w:val="16"/>
                <w:szCs w:val="16"/>
              </w:rPr>
            </w:pPr>
          </w:p>
        </w:tc>
        <w:tc>
          <w:tcPr>
            <w:tcW w:w="2131" w:type="pc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Finalización de la aplicación de las medidas de seguridad y vigilancia del perímetro de la nueva sala de conferencias con arreglo a las normas mínimas operativas de seguridad y vigilancia para las sedes de NN.UU.</w:t>
            </w:r>
          </w:p>
        </w:tc>
        <w:tc>
          <w:tcPr>
            <w:tcW w:w="895"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29</w:t>
            </w:r>
          </w:p>
        </w:tc>
        <w:tc>
          <w:tcPr>
            <w:tcW w:w="461" w:type="pct"/>
            <w:shd w:val="clear" w:color="auto" w:fill="FFFFFF"/>
          </w:tcPr>
          <w:p w:rsidR="00FA423E" w:rsidRPr="00CC3F44" w:rsidRDefault="00FA423E" w:rsidP="00DC1333">
            <w:pPr>
              <w:jc w:val="center"/>
            </w:pPr>
            <w:r w:rsidRPr="00CC3F44">
              <w:rPr>
                <w:color w:val="008000"/>
                <w:szCs w:val="22"/>
              </w:rPr>
              <w:sym w:font="Wingdings" w:char="F06C"/>
            </w:r>
          </w:p>
        </w:tc>
      </w:tr>
      <w:tr w:rsidR="00FA423E" w:rsidRPr="00AF5E7C" w:rsidTr="00DC1333">
        <w:trPr>
          <w:cantSplit/>
          <w:trHeight w:val="335"/>
        </w:trPr>
        <w:tc>
          <w:tcPr>
            <w:tcW w:w="1513" w:type="pct"/>
            <w:vMerge w:val="restar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IX.8 Mejor rendición de cuentas, aprendizaje institucional, uso óptimo de los recursos, administración, control interno y buen gobierno gracias a la asistencia que proporciona una supervisión eficaz e independiente</w:t>
            </w:r>
          </w:p>
        </w:tc>
        <w:tc>
          <w:tcPr>
            <w:tcW w:w="2131" w:type="pc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Número de interferencias y grado de independencia percibido por las principales partes interesadas</w:t>
            </w:r>
          </w:p>
        </w:tc>
        <w:tc>
          <w:tcPr>
            <w:tcW w:w="895"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26</w:t>
            </w:r>
          </w:p>
        </w:tc>
        <w:tc>
          <w:tcPr>
            <w:tcW w:w="461" w:type="pct"/>
            <w:shd w:val="clear" w:color="auto" w:fill="FFFFFF"/>
          </w:tcPr>
          <w:p w:rsidR="00FA423E" w:rsidRPr="00CC3F44" w:rsidRDefault="00FA423E" w:rsidP="00DC1333">
            <w:pPr>
              <w:jc w:val="center"/>
              <w:rPr>
                <w:color w:val="A6A6A6" w:themeColor="background1" w:themeShade="A6"/>
                <w:szCs w:val="22"/>
              </w:rPr>
            </w:pPr>
            <w:r w:rsidRPr="00CC3F44">
              <w:rPr>
                <w:color w:val="008000"/>
                <w:szCs w:val="22"/>
              </w:rPr>
              <w:sym w:font="Wingdings" w:char="F06C"/>
            </w:r>
          </w:p>
        </w:tc>
      </w:tr>
      <w:tr w:rsidR="00FA423E" w:rsidRPr="00AF5E7C" w:rsidTr="00DC1333">
        <w:trPr>
          <w:cantSplit/>
          <w:trHeight w:val="335"/>
        </w:trPr>
        <w:tc>
          <w:tcPr>
            <w:tcW w:w="1513" w:type="pct"/>
            <w:vMerge/>
            <w:shd w:val="clear" w:color="auto" w:fill="auto"/>
            <w:tcMar>
              <w:top w:w="113" w:type="dxa"/>
              <w:bottom w:w="85" w:type="dxa"/>
            </w:tcMar>
          </w:tcPr>
          <w:p w:rsidR="00FA423E" w:rsidRPr="007E4934" w:rsidRDefault="00FA423E" w:rsidP="00DC1333">
            <w:pPr>
              <w:rPr>
                <w:sz w:val="16"/>
                <w:szCs w:val="16"/>
              </w:rPr>
            </w:pPr>
          </w:p>
        </w:tc>
        <w:tc>
          <w:tcPr>
            <w:tcW w:w="2131" w:type="pc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Porcentaje de EFICACIA de la labor de la DASI que abarca esferas de alto riesgo y gran pertinencia</w:t>
            </w:r>
          </w:p>
        </w:tc>
        <w:tc>
          <w:tcPr>
            <w:tcW w:w="895"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26</w:t>
            </w:r>
          </w:p>
        </w:tc>
        <w:tc>
          <w:tcPr>
            <w:tcW w:w="461" w:type="pct"/>
            <w:shd w:val="clear" w:color="auto" w:fill="FFFFFF"/>
          </w:tcPr>
          <w:p w:rsidR="00FA423E" w:rsidRPr="00CC3F44" w:rsidRDefault="00FA423E" w:rsidP="00DC1333">
            <w:pPr>
              <w:jc w:val="center"/>
            </w:pPr>
            <w:r w:rsidRPr="00CC3F44">
              <w:rPr>
                <w:color w:val="008000"/>
                <w:szCs w:val="22"/>
              </w:rPr>
              <w:sym w:font="Wingdings" w:char="F06C"/>
            </w:r>
          </w:p>
        </w:tc>
      </w:tr>
      <w:tr w:rsidR="00FA423E" w:rsidRPr="00AF5E7C" w:rsidTr="00DC1333">
        <w:trPr>
          <w:cantSplit/>
          <w:trHeight w:val="335"/>
        </w:trPr>
        <w:tc>
          <w:tcPr>
            <w:tcW w:w="1513" w:type="pct"/>
            <w:vMerge/>
            <w:shd w:val="clear" w:color="auto" w:fill="auto"/>
            <w:tcMar>
              <w:top w:w="113" w:type="dxa"/>
              <w:bottom w:w="85" w:type="dxa"/>
            </w:tcMar>
          </w:tcPr>
          <w:p w:rsidR="00FA423E" w:rsidRPr="007E4934" w:rsidRDefault="00FA423E" w:rsidP="00DC1333">
            <w:pPr>
              <w:rPr>
                <w:sz w:val="16"/>
                <w:szCs w:val="16"/>
              </w:rPr>
            </w:pPr>
          </w:p>
        </w:tc>
        <w:tc>
          <w:tcPr>
            <w:tcW w:w="2131" w:type="pc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EFICIENCIA:  a) Finalización puntual y de calidad de los informes de supervisión;  b) Número de auditorías y evaluaciones ejecutadas en relación con el plan de trabajo en materia de supervisión;  c) Número de denuncias/notificaciones de posible conducta indebida que se han tramitado</w:t>
            </w:r>
          </w:p>
        </w:tc>
        <w:tc>
          <w:tcPr>
            <w:tcW w:w="895"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26</w:t>
            </w:r>
          </w:p>
        </w:tc>
        <w:tc>
          <w:tcPr>
            <w:tcW w:w="461" w:type="pct"/>
            <w:shd w:val="clear" w:color="auto" w:fill="FFFFFF"/>
          </w:tcPr>
          <w:p w:rsidR="00FA423E" w:rsidRPr="00CC3F44" w:rsidRDefault="00FA423E" w:rsidP="00DC1333">
            <w:pPr>
              <w:jc w:val="center"/>
              <w:rPr>
                <w:color w:val="A6A6A6" w:themeColor="background1" w:themeShade="A6"/>
                <w:szCs w:val="22"/>
              </w:rPr>
            </w:pPr>
            <w:r w:rsidRPr="00CC3F44">
              <w:rPr>
                <w:color w:val="008000"/>
                <w:szCs w:val="22"/>
              </w:rPr>
              <w:sym w:font="Wingdings" w:char="F06C"/>
            </w:r>
            <w:r w:rsidRPr="00CC3F44">
              <w:rPr>
                <w:color w:val="008000"/>
                <w:szCs w:val="22"/>
              </w:rPr>
              <w:sym w:font="Wingdings" w:char="F06C"/>
            </w:r>
            <w:r w:rsidRPr="00CC3F44">
              <w:rPr>
                <w:color w:val="008000"/>
                <w:szCs w:val="22"/>
              </w:rPr>
              <w:sym w:font="Wingdings" w:char="F06C"/>
            </w:r>
            <w:r w:rsidRPr="00CC3F44">
              <w:rPr>
                <w:color w:val="008000"/>
                <w:szCs w:val="22"/>
              </w:rPr>
              <w:sym w:font="Wingdings" w:char="F06C"/>
            </w:r>
          </w:p>
        </w:tc>
      </w:tr>
      <w:tr w:rsidR="00FA423E" w:rsidRPr="00AF5E7C" w:rsidTr="00DC1333">
        <w:trPr>
          <w:cantSplit/>
          <w:trHeight w:val="335"/>
        </w:trPr>
        <w:tc>
          <w:tcPr>
            <w:tcW w:w="1513" w:type="pct"/>
            <w:shd w:val="clear" w:color="auto" w:fill="auto"/>
            <w:tcMar>
              <w:top w:w="113" w:type="dxa"/>
              <w:bottom w:w="85" w:type="dxa"/>
            </w:tcMar>
          </w:tcPr>
          <w:p w:rsidR="00FA423E" w:rsidRPr="007E4934" w:rsidRDefault="00FA423E" w:rsidP="00DC1333">
            <w:pPr>
              <w:rPr>
                <w:sz w:val="16"/>
                <w:szCs w:val="16"/>
              </w:rPr>
            </w:pPr>
          </w:p>
        </w:tc>
        <w:tc>
          <w:tcPr>
            <w:tcW w:w="2131" w:type="pc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PERTINENCIA, VALOR AÑADIDO Y ADMINISTRACIÓN:  Ahorros o mejoras tangibles en los procedimientos y sistemas</w:t>
            </w:r>
          </w:p>
        </w:tc>
        <w:tc>
          <w:tcPr>
            <w:tcW w:w="895"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26</w:t>
            </w:r>
          </w:p>
        </w:tc>
        <w:tc>
          <w:tcPr>
            <w:tcW w:w="461" w:type="pct"/>
            <w:shd w:val="clear" w:color="auto" w:fill="FFFFFF"/>
          </w:tcPr>
          <w:p w:rsidR="00FA423E" w:rsidRPr="00CC3F44" w:rsidRDefault="00FA423E" w:rsidP="00DC1333">
            <w:pPr>
              <w:jc w:val="center"/>
              <w:rPr>
                <w:color w:val="0070C0"/>
              </w:rPr>
            </w:pPr>
            <w:r w:rsidRPr="00CC3F44">
              <w:rPr>
                <w:color w:val="A6A6A6"/>
                <w:szCs w:val="22"/>
              </w:rPr>
              <w:sym w:font="Wingdings" w:char="F06C"/>
            </w:r>
          </w:p>
        </w:tc>
      </w:tr>
      <w:tr w:rsidR="00FA423E" w:rsidRPr="00AF5E7C" w:rsidTr="00DC1333">
        <w:trPr>
          <w:cantSplit/>
          <w:trHeight w:val="335"/>
        </w:trPr>
        <w:tc>
          <w:tcPr>
            <w:tcW w:w="1513" w:type="pct"/>
            <w:shd w:val="clear" w:color="auto" w:fill="auto"/>
            <w:tcMar>
              <w:top w:w="113" w:type="dxa"/>
              <w:bottom w:w="85" w:type="dxa"/>
            </w:tcMar>
          </w:tcPr>
          <w:p w:rsidR="00FA423E" w:rsidRPr="007E4934" w:rsidRDefault="00FA423E" w:rsidP="00DC1333">
            <w:pPr>
              <w:rPr>
                <w:sz w:val="16"/>
                <w:szCs w:val="16"/>
              </w:rPr>
            </w:pPr>
          </w:p>
        </w:tc>
        <w:tc>
          <w:tcPr>
            <w:tcW w:w="2131" w:type="pct"/>
            <w:shd w:val="clear" w:color="auto" w:fill="auto"/>
            <w:tcMar>
              <w:top w:w="113" w:type="dxa"/>
              <w:bottom w:w="85" w:type="dxa"/>
            </w:tcMar>
          </w:tcPr>
          <w:p w:rsidR="00FA423E" w:rsidRPr="007E4934" w:rsidRDefault="00FA423E" w:rsidP="00DC1333">
            <w:pPr>
              <w:rPr>
                <w:sz w:val="16"/>
                <w:szCs w:val="16"/>
              </w:rPr>
            </w:pPr>
            <w:r w:rsidRPr="007E4934">
              <w:rPr>
                <w:sz w:val="16"/>
                <w:szCs w:val="16"/>
                <w:lang w:val="es-ES_tradnl"/>
              </w:rPr>
              <w:t>APRENDIZAJE INSTITUCIONAL:   Adopción de enseñanzas y recomendaciones extraídas de los procesos de supervisión</w:t>
            </w:r>
          </w:p>
        </w:tc>
        <w:tc>
          <w:tcPr>
            <w:tcW w:w="895" w:type="pct"/>
            <w:shd w:val="clear" w:color="auto" w:fill="FFFFFF"/>
            <w:tcMar>
              <w:top w:w="113" w:type="dxa"/>
              <w:bottom w:w="85" w:type="dxa"/>
            </w:tcMar>
          </w:tcPr>
          <w:p w:rsidR="00FA423E" w:rsidRPr="007E4934" w:rsidRDefault="00FA423E" w:rsidP="00DC1333">
            <w:pPr>
              <w:jc w:val="center"/>
              <w:rPr>
                <w:sz w:val="16"/>
                <w:szCs w:val="16"/>
                <w:lang w:bidi="th-TH"/>
              </w:rPr>
            </w:pPr>
            <w:r w:rsidRPr="007E4934">
              <w:rPr>
                <w:sz w:val="16"/>
                <w:szCs w:val="16"/>
                <w:lang w:val="es-ES_tradnl" w:bidi="th-TH"/>
              </w:rPr>
              <w:t>Programa 26</w:t>
            </w:r>
          </w:p>
        </w:tc>
        <w:tc>
          <w:tcPr>
            <w:tcW w:w="461" w:type="pct"/>
            <w:shd w:val="clear" w:color="auto" w:fill="FFFFFF"/>
          </w:tcPr>
          <w:p w:rsidR="00FA423E" w:rsidRPr="00CC3F44" w:rsidRDefault="00FA423E" w:rsidP="00DC1333">
            <w:pPr>
              <w:jc w:val="center"/>
              <w:rPr>
                <w:color w:val="A6A6A6" w:themeColor="background1" w:themeShade="A6"/>
                <w:szCs w:val="22"/>
              </w:rPr>
            </w:pPr>
            <w:r w:rsidRPr="00CC3F44">
              <w:rPr>
                <w:color w:val="008000"/>
                <w:szCs w:val="22"/>
              </w:rPr>
              <w:sym w:font="Wingdings" w:char="F06C"/>
            </w:r>
            <w:r w:rsidRPr="00CC3F44">
              <w:rPr>
                <w:color w:val="E26B0A"/>
                <w:szCs w:val="22"/>
              </w:rPr>
              <w:sym w:font="Wingdings" w:char="F06C"/>
            </w:r>
          </w:p>
        </w:tc>
      </w:tr>
    </w:tbl>
    <w:p w:rsidR="00991FD6" w:rsidRDefault="00991FD6">
      <w:r>
        <w:br w:type="page"/>
      </w:r>
    </w:p>
    <w:p w:rsidR="00221F0B" w:rsidRPr="00B101BC" w:rsidRDefault="00221F0B" w:rsidP="00DC1333">
      <w:pPr>
        <w:pStyle w:val="Heading2"/>
        <w:keepNext w:val="0"/>
        <w:ind w:left="2410" w:hanging="2410"/>
        <w:rPr>
          <w:b/>
        </w:rPr>
      </w:pPr>
      <w:bookmarkStart w:id="169" w:name="_Toc422927435"/>
      <w:bookmarkStart w:id="170" w:name="_Toc455159103"/>
      <w:r w:rsidRPr="00B101BC">
        <w:rPr>
          <w:b/>
        </w:rPr>
        <w:lastRenderedPageBreak/>
        <w:t>PROGRAMA 21</w:t>
      </w:r>
      <w:r w:rsidRPr="00B101BC">
        <w:rPr>
          <w:b/>
        </w:rPr>
        <w:tab/>
        <w:t>GESTIÓN EJECUTIVA</w:t>
      </w:r>
      <w:bookmarkEnd w:id="169"/>
      <w:bookmarkEnd w:id="170"/>
    </w:p>
    <w:p w:rsidR="00221F0B" w:rsidRPr="00B101BC" w:rsidRDefault="00221F0B" w:rsidP="00DC1333">
      <w:pPr>
        <w:rPr>
          <w:sz w:val="20"/>
        </w:rPr>
      </w:pPr>
    </w:p>
    <w:p w:rsidR="00221F0B" w:rsidRPr="00B101BC" w:rsidRDefault="00221F0B" w:rsidP="00DC1333">
      <w:pPr>
        <w:tabs>
          <w:tab w:val="left" w:pos="2410"/>
        </w:tabs>
        <w:rPr>
          <w:b/>
          <w:sz w:val="20"/>
        </w:rPr>
      </w:pPr>
      <w:r w:rsidRPr="00B101BC">
        <w:rPr>
          <w:b/>
          <w:sz w:val="20"/>
        </w:rPr>
        <w:t>Director de programa</w:t>
      </w:r>
      <w:r w:rsidRPr="00B101BC">
        <w:rPr>
          <w:b/>
          <w:sz w:val="20"/>
        </w:rPr>
        <w:tab/>
        <w:t>Director General</w:t>
      </w:r>
    </w:p>
    <w:p w:rsidR="00221F0B" w:rsidRPr="00B101BC" w:rsidRDefault="00221F0B" w:rsidP="00DC1333">
      <w:pPr>
        <w:rPr>
          <w:sz w:val="20"/>
        </w:rPr>
      </w:pPr>
    </w:p>
    <w:p w:rsidR="00221F0B" w:rsidRPr="00B101BC" w:rsidRDefault="00221F0B" w:rsidP="00DC1333">
      <w:pPr>
        <w:rPr>
          <w:sz w:val="20"/>
        </w:rPr>
      </w:pPr>
    </w:p>
    <w:p w:rsidR="00221F0B" w:rsidRPr="00B101BC" w:rsidRDefault="008F7CBE" w:rsidP="00DC1333">
      <w:pPr>
        <w:rPr>
          <w:bCs/>
          <w:szCs w:val="22"/>
        </w:rPr>
      </w:pPr>
      <w:r w:rsidRPr="008F7CBE">
        <w:rPr>
          <w:bCs/>
          <w:sz w:val="20"/>
          <w:szCs w:val="22"/>
        </w:rPr>
        <w:t>LOGROS ALCANZADOS EN EL BIENIO 2014/15</w:t>
      </w:r>
    </w:p>
    <w:p w:rsidR="00221F0B" w:rsidRPr="00B101BC" w:rsidRDefault="00221F0B" w:rsidP="00DC1333">
      <w:pPr>
        <w:rPr>
          <w:sz w:val="20"/>
        </w:rPr>
      </w:pPr>
    </w:p>
    <w:p w:rsidR="00221F0B" w:rsidRPr="00B101BC" w:rsidRDefault="00221F0B" w:rsidP="00EC2771">
      <w:pPr>
        <w:numPr>
          <w:ilvl w:val="0"/>
          <w:numId w:val="98"/>
        </w:numPr>
        <w:tabs>
          <w:tab w:val="clear" w:pos="680"/>
          <w:tab w:val="num" w:pos="709"/>
        </w:tabs>
        <w:autoSpaceDE w:val="0"/>
        <w:autoSpaceDN w:val="0"/>
        <w:adjustRightInd w:val="0"/>
        <w:jc w:val="both"/>
        <w:rPr>
          <w:bCs/>
          <w:color w:val="000000"/>
          <w:sz w:val="20"/>
        </w:rPr>
      </w:pPr>
      <w:r w:rsidRPr="00B101BC">
        <w:rPr>
          <w:bCs/>
          <w:sz w:val="20"/>
        </w:rPr>
        <w:t>La atención eficaz a los Estados miembros sigue siendo un elemento esencial para avanzar en el logro de las nueve metas estratégicas de la Organización. En el bienio 2014/15 salieron a relucir dificultades en diversas áreas cuando los Estados miembros intentaron alcanzar un consenso en torno a las metas estratégicas.  A este respecto, el Director General celebró debates centrados en el tema con los Estados miembros en distintos foros a fin de prestar asistencia y brindar un espacio propicio para alcanzar un consenso.  Se alcanzaron logros en algunos ámbitos, particularmente el consenso al que llegaron los Estados miembros después de varios año</w:t>
      </w:r>
      <w:r>
        <w:rPr>
          <w:bCs/>
          <w:sz w:val="20"/>
        </w:rPr>
        <w:t>s de negociaciones difíciles</w:t>
      </w:r>
      <w:r w:rsidRPr="00B101BC">
        <w:rPr>
          <w:bCs/>
          <w:sz w:val="20"/>
        </w:rPr>
        <w:t xml:space="preserve"> en relación con las fórmulas para abrir nuevas oficinas de la OMPI en el exterior.  En otros ámbitos</w:t>
      </w:r>
      <w:r w:rsidRPr="00B101BC">
        <w:rPr>
          <w:bCs/>
          <w:color w:val="000000"/>
          <w:sz w:val="20"/>
        </w:rPr>
        <w:t>, en espec</w:t>
      </w:r>
      <w:r>
        <w:rPr>
          <w:bCs/>
          <w:color w:val="000000"/>
          <w:sz w:val="20"/>
        </w:rPr>
        <w:t>ial en el plano normativo, los E</w:t>
      </w:r>
      <w:r w:rsidRPr="00B101BC">
        <w:rPr>
          <w:bCs/>
          <w:color w:val="000000"/>
          <w:sz w:val="20"/>
        </w:rPr>
        <w:t>stados miembros todavía tenían un largo camino por recorrer para resolver ciertas cuestiones.  Los mismos mecanismos de comunicación, como las sesiones informativas con los Embajadores, resultaban muy valiosos como medio para obtener comentarios y consejos adecuados a fin de impulsar el progreso en numerosos aspectos.</w:t>
      </w:r>
    </w:p>
    <w:p w:rsidR="00221F0B" w:rsidRPr="00B101BC" w:rsidRDefault="00221F0B" w:rsidP="00DC1333">
      <w:pPr>
        <w:autoSpaceDE w:val="0"/>
        <w:autoSpaceDN w:val="0"/>
        <w:adjustRightInd w:val="0"/>
        <w:jc w:val="both"/>
        <w:rPr>
          <w:bCs/>
          <w:color w:val="000000"/>
          <w:sz w:val="20"/>
        </w:rPr>
      </w:pPr>
    </w:p>
    <w:p w:rsidR="00221F0B" w:rsidRPr="00B101BC" w:rsidRDefault="00221F0B" w:rsidP="00EC2771">
      <w:pPr>
        <w:numPr>
          <w:ilvl w:val="0"/>
          <w:numId w:val="98"/>
        </w:numPr>
        <w:tabs>
          <w:tab w:val="clear" w:pos="680"/>
          <w:tab w:val="num" w:pos="709"/>
        </w:tabs>
        <w:autoSpaceDE w:val="0"/>
        <w:autoSpaceDN w:val="0"/>
        <w:adjustRightInd w:val="0"/>
        <w:jc w:val="both"/>
        <w:rPr>
          <w:bCs/>
          <w:color w:val="000000"/>
          <w:sz w:val="20"/>
        </w:rPr>
      </w:pPr>
      <w:r w:rsidRPr="00B101BC">
        <w:rPr>
          <w:bCs/>
          <w:color w:val="000000"/>
          <w:sz w:val="20"/>
        </w:rPr>
        <w:t xml:space="preserve">La colaboración interna también desempeñó una función importante en la ejecución de los programas, pues orientaba el progreso hacia la consecución de las </w:t>
      </w:r>
      <w:r w:rsidRPr="00B101BC">
        <w:rPr>
          <w:bCs/>
          <w:sz w:val="20"/>
        </w:rPr>
        <w:t xml:space="preserve">metas estratégicas.  La comunicación con el personal, a través de sesiones informativas periódicas a cargo del Director General y en otros foros, era fundamental para explicar los cambios necesarios y buscar apoyo al respecto.  Las reuniones periódicas del Equipo Directivo Superior proporcionaron orientación a las dependencias de la Organización, convirtiendo las decisiones estratégicas en realidades prácticas.  El segundo mandato del Director General supuso una oportunidad para aportar nuevas ideas y dotar de energías renovadas al Equipo Directivo Superior con la suma de cuatro nuevos miembros a la experiencia de los cuatro miembros del Equipo anterior. </w:t>
      </w:r>
      <w:r>
        <w:rPr>
          <w:bCs/>
          <w:sz w:val="20"/>
        </w:rPr>
        <w:t xml:space="preserve"> El E</w:t>
      </w:r>
      <w:r w:rsidRPr="00B101BC">
        <w:rPr>
          <w:bCs/>
          <w:sz w:val="20"/>
        </w:rPr>
        <w:t>quipo se amplió con la incorporación de directores de programa encargados de recursos humanos y asuntos jurídicos, elementos intersectoriales importantes para la adopción de decisiones estratégicas.  Con la conclusión satisfactoria del Programa de Alineación Estratégica (PAE) en 2013, el Equip</w:t>
      </w:r>
      <w:r>
        <w:rPr>
          <w:bCs/>
          <w:sz w:val="20"/>
        </w:rPr>
        <w:t>o Directivo Superior desempeñó</w:t>
      </w:r>
      <w:r w:rsidRPr="00B101BC">
        <w:rPr>
          <w:bCs/>
          <w:sz w:val="20"/>
        </w:rPr>
        <w:t xml:space="preserve"> una labor fundamental en cuanto a velar por que se mantuvieran los resultados obtenidos en términos de cultura y valores, eficiencia en los distintos </w:t>
      </w:r>
      <w:r w:rsidRPr="00B101BC">
        <w:rPr>
          <w:bCs/>
          <w:color w:val="000000"/>
          <w:sz w:val="20"/>
        </w:rPr>
        <w:t>procesos y una armonización más adecuada de los programas, las estructuras y los recursos en relación con las nueve metas estratégicas.</w:t>
      </w:r>
    </w:p>
    <w:p w:rsidR="00221F0B" w:rsidRPr="00B101BC" w:rsidRDefault="00221F0B" w:rsidP="00DC1333">
      <w:pPr>
        <w:jc w:val="both"/>
        <w:rPr>
          <w:bCs/>
          <w:color w:val="000000"/>
          <w:sz w:val="20"/>
        </w:rPr>
      </w:pPr>
    </w:p>
    <w:p w:rsidR="00221F0B" w:rsidRPr="00B101BC" w:rsidRDefault="00221F0B" w:rsidP="00EC2771">
      <w:pPr>
        <w:numPr>
          <w:ilvl w:val="0"/>
          <w:numId w:val="98"/>
        </w:numPr>
        <w:tabs>
          <w:tab w:val="clear" w:pos="680"/>
          <w:tab w:val="num" w:pos="709"/>
        </w:tabs>
        <w:autoSpaceDE w:val="0"/>
        <w:autoSpaceDN w:val="0"/>
        <w:adjustRightInd w:val="0"/>
        <w:jc w:val="both"/>
        <w:rPr>
          <w:bCs/>
          <w:sz w:val="20"/>
        </w:rPr>
      </w:pPr>
      <w:r w:rsidRPr="00B101BC">
        <w:rPr>
          <w:bCs/>
          <w:color w:val="000000"/>
          <w:sz w:val="20"/>
        </w:rPr>
        <w:t xml:space="preserve">La </w:t>
      </w:r>
      <w:r w:rsidRPr="00B101BC">
        <w:rPr>
          <w:bCs/>
          <w:sz w:val="20"/>
        </w:rPr>
        <w:t xml:space="preserve">Oficina del Consejero Jurídico, con su diligencia y fiabilidad acostumbradas, siguió facilitando asesoramiento y servicios jurídicos, en consonancia con las obligaciones reglamentarias y la legislación aplicable, al Director General, a la Secretaría y a los Estados miembros sobre derecho constitucional, contractual y convencional, y asuntos relacionados con la administración y los recursos humanos, en el contexto de una demanda fuerte y, en algunos ámbitos, creciente. La Oficina del Consejero Jurídico participó activamente en el proceso de propuesta y nombramiento del Director General en 2014, así como en la prestación de asistencia y apoyo jurídicos para la Conferencia Diplomática para la Adopción de una nueva Acta del Arreglo de Lisboa, celebrada en mayo de 2015.  Uno de los retos más importantes durante el bienio 2014/15 fue el comienzo del nuevo sistema de administración de justicia que entró en vigor el 1 de enero de 2014.  </w:t>
      </w:r>
      <w:r w:rsidRPr="00B101BC">
        <w:rPr>
          <w:sz w:val="20"/>
        </w:rPr>
        <w:t xml:space="preserve">La Oficina del Consejero Jurídico logró adaptarse perfectamente al nuevo sistema en lo que se refiere a la representación de la Administración ante reclamaciones y quejas por parte del personal.  La Oficina del Consejero Jurídico continuó desempeñando de manera eficiente las funciones de depositario de los tratados administrados por la OMPI, a pesar del aumento de peticiones de asesoramiento.  En el transcurso del bienio 2014/15 la base de datos WIPO </w:t>
      </w:r>
      <w:proofErr w:type="spellStart"/>
      <w:r w:rsidRPr="00B101BC">
        <w:rPr>
          <w:sz w:val="20"/>
        </w:rPr>
        <w:t>Lex</w:t>
      </w:r>
      <w:proofErr w:type="spellEnd"/>
      <w:r>
        <w:rPr>
          <w:sz w:val="20"/>
        </w:rPr>
        <w:t>,</w:t>
      </w:r>
      <w:r w:rsidRPr="00B101BC">
        <w:rPr>
          <w:sz w:val="20"/>
        </w:rPr>
        <w:t xml:space="preserve"> con información jurídica relativa a la P.I.</w:t>
      </w:r>
      <w:r>
        <w:rPr>
          <w:sz w:val="20"/>
        </w:rPr>
        <w:t>,</w:t>
      </w:r>
      <w:r w:rsidRPr="00B101BC">
        <w:rPr>
          <w:sz w:val="20"/>
        </w:rPr>
        <w:t xml:space="preserve"> tuvo más de 3,3 millones de usuarios procedentes de todo el mundo, mientras que en el bienio 2012/13 la cifra fue de 2,2 millones.  La Oficina del Consejero Jurídico centró gran parte de su atención en colaborar con las partes interesadas no gubernamentales, sobre todo mediante la celebración de reuniones anuales de organizaciones no gubernamentales acreditadas con el Director General en 2014 y 2105.</w:t>
      </w:r>
    </w:p>
    <w:p w:rsidR="00221F0B" w:rsidRPr="00B101BC" w:rsidRDefault="00221F0B" w:rsidP="00DC1333">
      <w:pPr>
        <w:jc w:val="both"/>
        <w:rPr>
          <w:bCs/>
          <w:sz w:val="20"/>
        </w:rPr>
      </w:pPr>
    </w:p>
    <w:p w:rsidR="00221F0B" w:rsidRPr="00B101BC" w:rsidRDefault="00221F0B" w:rsidP="00EC2771">
      <w:pPr>
        <w:numPr>
          <w:ilvl w:val="0"/>
          <w:numId w:val="98"/>
        </w:numPr>
        <w:tabs>
          <w:tab w:val="clear" w:pos="680"/>
          <w:tab w:val="num" w:pos="709"/>
        </w:tabs>
        <w:autoSpaceDE w:val="0"/>
        <w:autoSpaceDN w:val="0"/>
        <w:adjustRightInd w:val="0"/>
        <w:jc w:val="both"/>
        <w:rPr>
          <w:sz w:val="20"/>
        </w:rPr>
      </w:pPr>
      <w:r w:rsidRPr="00B101BC">
        <w:rPr>
          <w:color w:val="000000"/>
          <w:sz w:val="20"/>
        </w:rPr>
        <w:t>La División de Asuntos de las Asambleas y Documentación coordinó la organización de los períodos ordinarios de sesiones de las Asambleas de 2014 y 2015, además de dos períodos extraordinarios de sesiones que se celebraron en marzo de 2014 (Co</w:t>
      </w:r>
      <w:r>
        <w:rPr>
          <w:color w:val="000000"/>
          <w:sz w:val="20"/>
        </w:rPr>
        <w:t>mité de Coordinación) y mayo de </w:t>
      </w:r>
      <w:r w:rsidRPr="00B101BC">
        <w:rPr>
          <w:color w:val="000000"/>
          <w:sz w:val="20"/>
        </w:rPr>
        <w:t xml:space="preserve">2014 (Asamblea General).  Cada uno de los períodos ordinarios de sesiones contó con la asistencia de unos 1.000 delegados procedentes de más de 200 Estados miembros y observadores.  Se siguieron introduciendo o perfeccionando varias innovaciones y medidas de racionalización en la organización (por </w:t>
      </w:r>
      <w:r w:rsidRPr="00B101BC">
        <w:rPr>
          <w:color w:val="000000"/>
          <w:sz w:val="20"/>
        </w:rPr>
        <w:lastRenderedPageBreak/>
        <w:t>ejemplo la retransmisión por Internet, la inscripción electrónica, los pases con fotografía y nuevos procedimientos de viaje) con el objeto de mejorar la eficacia de las reuniones, reducir su costo y huella de carbono</w:t>
      </w:r>
      <w:r>
        <w:rPr>
          <w:color w:val="000000"/>
          <w:sz w:val="20"/>
        </w:rPr>
        <w:t>,</w:t>
      </w:r>
      <w:r w:rsidRPr="00B101BC">
        <w:rPr>
          <w:color w:val="000000"/>
          <w:sz w:val="20"/>
        </w:rPr>
        <w:t xml:space="preserve"> y promover una mayor apertura de los procedimientos y accesibilidad a ellos.  </w:t>
      </w:r>
      <w:r w:rsidRPr="00B101BC">
        <w:rPr>
          <w:sz w:val="20"/>
        </w:rPr>
        <w:t>La documentación fue entregada con sobrada antelación.  El afán de extremar la eficiencia y de proporcionar a los Estados miembros una experiencia positiva de las Asambleas se reflejó en los elevados niveles de satisfacción registrados en las encuestas.</w:t>
      </w:r>
    </w:p>
    <w:p w:rsidR="00221F0B" w:rsidRPr="00B101BC" w:rsidRDefault="00221F0B" w:rsidP="00DC1333">
      <w:pPr>
        <w:jc w:val="both"/>
        <w:rPr>
          <w:bCs/>
          <w:sz w:val="20"/>
        </w:rPr>
      </w:pPr>
    </w:p>
    <w:p w:rsidR="00221F0B" w:rsidRPr="00B101BC" w:rsidRDefault="00221F0B" w:rsidP="00EC2771">
      <w:pPr>
        <w:numPr>
          <w:ilvl w:val="0"/>
          <w:numId w:val="98"/>
        </w:numPr>
        <w:tabs>
          <w:tab w:val="clear" w:pos="680"/>
          <w:tab w:val="num" w:pos="709"/>
        </w:tabs>
        <w:autoSpaceDE w:val="0"/>
        <w:autoSpaceDN w:val="0"/>
        <w:adjustRightInd w:val="0"/>
        <w:jc w:val="both"/>
        <w:rPr>
          <w:sz w:val="20"/>
        </w:rPr>
      </w:pPr>
      <w:r w:rsidRPr="00B101BC">
        <w:rPr>
          <w:sz w:val="20"/>
        </w:rPr>
        <w:t xml:space="preserve">La OMPI continuó </w:t>
      </w:r>
      <w:r>
        <w:rPr>
          <w:sz w:val="20"/>
        </w:rPr>
        <w:t>participando activamente en el s</w:t>
      </w:r>
      <w:r w:rsidRPr="00B101BC">
        <w:rPr>
          <w:sz w:val="20"/>
        </w:rPr>
        <w:t>istema de las Naciones Unidas, incluida la Junta de los Jefes Ejecutivos del Sistema de las Naciones Unidas para la Coordinación (JJE) con sus dos comités: el Comité de Alto Nivel sobre Gestión (HLCM) y el Comité de Alto Nivel sobre Programas (HLCP), lo que supuso una importante oportunidad para que la OMPI destacara sus perspectivas</w:t>
      </w:r>
      <w:r>
        <w:rPr>
          <w:sz w:val="20"/>
        </w:rPr>
        <w:t xml:space="preserve"> en el marco de los debates del s</w:t>
      </w:r>
      <w:r w:rsidRPr="00B101BC">
        <w:rPr>
          <w:sz w:val="20"/>
        </w:rPr>
        <w:t xml:space="preserve">istema de las Naciones Unidas </w:t>
      </w:r>
      <w:r w:rsidRPr="00B101BC">
        <w:rPr>
          <w:color w:val="000000"/>
          <w:sz w:val="20"/>
        </w:rPr>
        <w:t xml:space="preserve">e intercambiara buenas prácticas administrativas y operativas; </w:t>
      </w:r>
      <w:r>
        <w:rPr>
          <w:color w:val="000000"/>
          <w:sz w:val="20"/>
        </w:rPr>
        <w:t xml:space="preserve"> </w:t>
      </w:r>
      <w:r w:rsidRPr="00B101BC">
        <w:rPr>
          <w:color w:val="000000"/>
          <w:sz w:val="20"/>
        </w:rPr>
        <w:t>también fue una buena oportunidad para que la Organización ayudara a estable</w:t>
      </w:r>
      <w:r>
        <w:rPr>
          <w:color w:val="000000"/>
          <w:sz w:val="20"/>
        </w:rPr>
        <w:t>cer un entorno coherente en el s</w:t>
      </w:r>
      <w:r w:rsidRPr="00B101BC">
        <w:rPr>
          <w:color w:val="000000"/>
          <w:sz w:val="20"/>
        </w:rPr>
        <w:t xml:space="preserve">istema de las Naciones Unidas. </w:t>
      </w:r>
    </w:p>
    <w:p w:rsidR="00221F0B" w:rsidRPr="00B101BC" w:rsidRDefault="00221F0B" w:rsidP="00DC1333">
      <w:pPr>
        <w:jc w:val="both"/>
        <w:rPr>
          <w:sz w:val="20"/>
        </w:rPr>
      </w:pPr>
    </w:p>
    <w:p w:rsidR="00221F0B" w:rsidRPr="00B101BC" w:rsidRDefault="00221F0B" w:rsidP="00EC2771">
      <w:pPr>
        <w:numPr>
          <w:ilvl w:val="0"/>
          <w:numId w:val="98"/>
        </w:numPr>
        <w:tabs>
          <w:tab w:val="clear" w:pos="680"/>
          <w:tab w:val="num" w:pos="709"/>
        </w:tabs>
        <w:autoSpaceDE w:val="0"/>
        <w:autoSpaceDN w:val="0"/>
        <w:adjustRightInd w:val="0"/>
        <w:jc w:val="both"/>
        <w:rPr>
          <w:sz w:val="20"/>
        </w:rPr>
      </w:pPr>
      <w:r w:rsidRPr="00B101BC">
        <w:rPr>
          <w:sz w:val="20"/>
        </w:rPr>
        <w:t xml:space="preserve">En diciembre de 2014 la ODG asumió la responsabilidad de coordinar todas las oficinas en el exterior y supervisar la Oficina de la OMPI en Singapur y la Oficina de la </w:t>
      </w:r>
      <w:r w:rsidR="000D5101">
        <w:rPr>
          <w:sz w:val="20"/>
        </w:rPr>
        <w:t>OMPI en el Brasil.  En enero de </w:t>
      </w:r>
      <w:r w:rsidRPr="00B101BC">
        <w:rPr>
          <w:sz w:val="20"/>
        </w:rPr>
        <w:t>2015 se pusieron en marcha una serie de iniciativas para garantizar una mayor coherencia funcional y la plena integración de las oficinas en el exterior en la labor de la Organización.  Entre dichas iniciativas se encuentran la organización de la primera reunión de jefes de oficinas en la sede, la creación de numerosos grupos de trabajo para examinar la incidencia de las políticas institucionales en las oficinas en el exterior, la celebración de videoconferencias dos veces al mes, la puesta en funcionamiento de una nueva arquitectura de T.I. que proporcione una conectividad ininterrumpida entra las oficinas y la sede, y la modernización de los sitios web de las oficinas.  Inmediatamente se hizo evidente que en la OMPI se está inculcando una nueva cultura en relación con las oficinas en el exterior que ha incidido positivamente en la ejecución del mandato.</w:t>
      </w:r>
    </w:p>
    <w:p w:rsidR="00221F0B" w:rsidRPr="00221F0B" w:rsidRDefault="00221F0B" w:rsidP="00991FD6">
      <w:pPr>
        <w:pStyle w:val="ListParagraph"/>
        <w:ind w:left="0"/>
        <w:rPr>
          <w:lang w:val="es-ES"/>
        </w:rPr>
      </w:pPr>
    </w:p>
    <w:p w:rsidR="00221F0B" w:rsidRPr="00B101BC" w:rsidRDefault="00221F0B" w:rsidP="00EC2771">
      <w:pPr>
        <w:numPr>
          <w:ilvl w:val="0"/>
          <w:numId w:val="98"/>
        </w:numPr>
        <w:tabs>
          <w:tab w:val="clear" w:pos="680"/>
          <w:tab w:val="num" w:pos="709"/>
        </w:tabs>
        <w:autoSpaceDE w:val="0"/>
        <w:autoSpaceDN w:val="0"/>
        <w:adjustRightInd w:val="0"/>
        <w:jc w:val="both"/>
        <w:rPr>
          <w:sz w:val="20"/>
        </w:rPr>
      </w:pPr>
      <w:r w:rsidRPr="00B101BC">
        <w:rPr>
          <w:sz w:val="20"/>
        </w:rPr>
        <w:t>La Oficina de Ética Profesional sufrió un revés al no contar con un Oficial Jefe de Ética Profesional de abril a julio de 2014.  Se designó un Oficial Jefe de Ética Profesional con carácter interino desde agosto de 2014 hasta el nombramiento del nuevo Oficial Jefe de Ética Profesional en septiembre de 2015.  La Oficina de Ética Profesional continuó aplicando su política sobre declaración de intereses, que incluye, entre otras cosas, revelar los intereses financieros de conformidad con las IPSAS, y supervisó la Política</w:t>
      </w:r>
      <w:r w:rsidR="0036610D">
        <w:rPr>
          <w:sz w:val="20"/>
        </w:rPr>
        <w:t xml:space="preserve"> de Protección de las personas que colaboran en una actividad de supervisión o que señalan faltas u otras irregularidades (“Política</w:t>
      </w:r>
      <w:r w:rsidRPr="00B101BC">
        <w:rPr>
          <w:sz w:val="20"/>
        </w:rPr>
        <w:t xml:space="preserve"> de protección de los denunciantes de irregularidades</w:t>
      </w:r>
      <w:r w:rsidR="0036610D">
        <w:rPr>
          <w:sz w:val="20"/>
        </w:rPr>
        <w:t>”)</w:t>
      </w:r>
      <w:r w:rsidRPr="00B101BC">
        <w:rPr>
          <w:sz w:val="20"/>
        </w:rPr>
        <w:t>, que articula el valor que se atribuye a la participación de todo el personal en las actividades de vigilancia de la Organización mediante la concesión de protección contra represalias.  El Código de Ética Profesional de la OMPI continuó proporcionando una plataforma co</w:t>
      </w:r>
      <w:r>
        <w:rPr>
          <w:sz w:val="20"/>
        </w:rPr>
        <w:t xml:space="preserve">mún de principios rectores y </w:t>
      </w:r>
      <w:r w:rsidRPr="00B101BC">
        <w:rPr>
          <w:sz w:val="20"/>
        </w:rPr>
        <w:t xml:space="preserve">valores que el personal de la OMPI debe observar en el desempeño </w:t>
      </w:r>
      <w:r w:rsidRPr="0036610D">
        <w:rPr>
          <w:sz w:val="20"/>
        </w:rPr>
        <w:t>de sus funciones, y la Oficina prestó servicios de asesoramiento a miembros del personal de todos los niveles acerca de su aplicación.  Además, se impartió formación sobre ética profesional con carácter obligatorio a todo el personal que se incorporó a la Organización a fin de asegurarse de que todos los trabajadores nuevos conozcan bien la cultura de ética profesional de la OMPI.  Igualmente, se intensificó la colaboración con la Red de Ética de las Organizaciones Multilaterales.</w:t>
      </w:r>
    </w:p>
    <w:p w:rsidR="00221F0B" w:rsidRPr="00B101BC" w:rsidRDefault="00221F0B" w:rsidP="00DC1333">
      <w:pPr>
        <w:jc w:val="both"/>
        <w:rPr>
          <w:sz w:val="20"/>
        </w:rPr>
      </w:pPr>
    </w:p>
    <w:p w:rsidR="00221F0B" w:rsidRPr="00B101BC" w:rsidRDefault="00221F0B" w:rsidP="00EC2771">
      <w:pPr>
        <w:numPr>
          <w:ilvl w:val="0"/>
          <w:numId w:val="98"/>
        </w:numPr>
        <w:tabs>
          <w:tab w:val="clear" w:pos="680"/>
          <w:tab w:val="num" w:pos="709"/>
        </w:tabs>
        <w:autoSpaceDE w:val="0"/>
        <w:autoSpaceDN w:val="0"/>
        <w:adjustRightInd w:val="0"/>
        <w:jc w:val="both"/>
        <w:rPr>
          <w:sz w:val="20"/>
        </w:rPr>
      </w:pPr>
      <w:r w:rsidRPr="00B101BC">
        <w:rPr>
          <w:sz w:val="20"/>
        </w:rPr>
        <w:t>La entrada en vigor el 1 de enero de 2014 del nuevo sistema de administración de justicia fortaleció a la Oficina del Mediador, que forma parte integrante del marco de rendición de cuentas e integridad de la OMPI.  Un aspecto clave de esta reforma fue el reconocimiento de la importancia de la prevención de conflictos mediante la inclusión de la solución informal de conflictos en el Estatuto y Reglamento del Personal.  Para acompañar este cambio, la Oficina se centró en sensibilizar al personal y mejorar su capacidad de manejo de conflictos mediante iniciativas de formación, entre las que se incluyeron talleres sobre comunicación no violenta, la impartición en toda la organización de una formación de dos días de duración sobre gestión de conflictos</w:t>
      </w:r>
      <w:r>
        <w:rPr>
          <w:sz w:val="20"/>
        </w:rPr>
        <w:t>,</w:t>
      </w:r>
      <w:r w:rsidRPr="00B101BC">
        <w:rPr>
          <w:sz w:val="20"/>
        </w:rPr>
        <w:t xml:space="preserve"> a la que asistieron 631 miembros del personal, y la realización de programas de orientación para los nuevos empleados.</w:t>
      </w:r>
    </w:p>
    <w:p w:rsidR="00221F0B" w:rsidRPr="00B101BC" w:rsidRDefault="00221F0B" w:rsidP="00DC1333">
      <w:pPr>
        <w:jc w:val="both"/>
        <w:rPr>
          <w:bCs/>
          <w:sz w:val="20"/>
        </w:rPr>
      </w:pPr>
    </w:p>
    <w:p w:rsidR="00221F0B" w:rsidRPr="00B101BC" w:rsidRDefault="00221F0B" w:rsidP="00EC2771">
      <w:pPr>
        <w:numPr>
          <w:ilvl w:val="0"/>
          <w:numId w:val="98"/>
        </w:numPr>
        <w:tabs>
          <w:tab w:val="clear" w:pos="680"/>
          <w:tab w:val="num" w:pos="709"/>
        </w:tabs>
        <w:autoSpaceDE w:val="0"/>
        <w:autoSpaceDN w:val="0"/>
        <w:adjustRightInd w:val="0"/>
        <w:jc w:val="both"/>
        <w:rPr>
          <w:sz w:val="20"/>
        </w:rPr>
      </w:pPr>
      <w:r w:rsidRPr="00B101BC">
        <w:rPr>
          <w:color w:val="000000"/>
          <w:sz w:val="20"/>
        </w:rPr>
        <w:t>En mayo de 2014 se estableció la función de coordinador de</w:t>
      </w:r>
      <w:r w:rsidRPr="00B101BC">
        <w:rPr>
          <w:color w:val="0000FF"/>
          <w:sz w:val="20"/>
        </w:rPr>
        <w:t xml:space="preserve"> </w:t>
      </w:r>
      <w:r w:rsidRPr="00B101BC">
        <w:rPr>
          <w:sz w:val="20"/>
        </w:rPr>
        <w:t>continuidad de las operaciones en la ODG</w:t>
      </w:r>
      <w:r w:rsidRPr="00B101BC">
        <w:rPr>
          <w:color w:val="000000"/>
          <w:sz w:val="20"/>
        </w:rPr>
        <w:t xml:space="preserve">.  Se consiguió avanzar de forma considerable en la puesta en marcha de los elementos necesarios para un sistema institucional de reacción y recuperación, como la publicación de una estrategia y política institucional de reacción y recuperación y la puesta en funcionamiento del primer sistema de notificación de emergencia de la Organización.  A partir de estos fundamentos de políticas se inició un análisis del impacto en las operaciones para identificar las prioridades y las expectativas de la Organización en materia de recuperación y reconstitución en caso de que se produzca un hecho </w:t>
      </w:r>
      <w:r w:rsidRPr="00B101BC">
        <w:rPr>
          <w:color w:val="000000"/>
          <w:sz w:val="20"/>
        </w:rPr>
        <w:lastRenderedPageBreak/>
        <w:t xml:space="preserve">perturbador.  </w:t>
      </w:r>
      <w:r w:rsidRPr="00B101BC">
        <w:rPr>
          <w:sz w:val="20"/>
        </w:rPr>
        <w:t>Se espera que estos elementos permitan sentar una base sólida para que el sistema siga evolucionando durante el próximo bienio.</w:t>
      </w:r>
    </w:p>
    <w:p w:rsidR="00221F0B" w:rsidRPr="00B101BC" w:rsidRDefault="00221F0B" w:rsidP="00DC1333">
      <w:pPr>
        <w:jc w:val="both"/>
        <w:rPr>
          <w:sz w:val="20"/>
        </w:rPr>
      </w:pPr>
    </w:p>
    <w:p w:rsidR="00221F0B" w:rsidRPr="00B101BC" w:rsidRDefault="00221F0B" w:rsidP="00EC2771">
      <w:pPr>
        <w:numPr>
          <w:ilvl w:val="0"/>
          <w:numId w:val="98"/>
        </w:numPr>
        <w:tabs>
          <w:tab w:val="clear" w:pos="680"/>
          <w:tab w:val="num" w:pos="709"/>
        </w:tabs>
        <w:autoSpaceDE w:val="0"/>
        <w:autoSpaceDN w:val="0"/>
        <w:adjustRightInd w:val="0"/>
        <w:jc w:val="both"/>
        <w:rPr>
          <w:sz w:val="20"/>
        </w:rPr>
      </w:pPr>
      <w:r w:rsidRPr="00B101BC">
        <w:rPr>
          <w:color w:val="000000"/>
          <w:sz w:val="20"/>
        </w:rPr>
        <w:t xml:space="preserve">En febrero de 2014, con el nombramiento del </w:t>
      </w:r>
      <w:r w:rsidRPr="00B101BC">
        <w:rPr>
          <w:sz w:val="20"/>
        </w:rPr>
        <w:t xml:space="preserve">Jefe de Protocolo y Gestión de Eventos, las </w:t>
      </w:r>
      <w:r w:rsidRPr="00B101BC">
        <w:rPr>
          <w:color w:val="000000"/>
          <w:sz w:val="20"/>
        </w:rPr>
        <w:t xml:space="preserve">actividades y los eventos se fusionaron con el protocolo para mejorar y optimizar la atención a los </w:t>
      </w:r>
      <w:r w:rsidRPr="00B101BC">
        <w:rPr>
          <w:sz w:val="20"/>
        </w:rPr>
        <w:t>Estados miembros y otras partes interesadas</w:t>
      </w:r>
      <w:r w:rsidRPr="00B101BC">
        <w:rPr>
          <w:color w:val="000000"/>
          <w:sz w:val="20"/>
        </w:rPr>
        <w:t xml:space="preserve">. En las series de reuniones de las Asambleas de la OMPI que se celebraron en 2014 y 2015 se registró un aumento considerable del número de eventos y actos paralelos solicitados y organizados, incluida la inauguración de </w:t>
      </w:r>
      <w:r w:rsidRPr="00B101BC">
        <w:rPr>
          <w:sz w:val="20"/>
        </w:rPr>
        <w:t xml:space="preserve">la nueva sala de conferencias de la OMPI en 2014.  </w:t>
      </w:r>
      <w:r w:rsidRPr="00B101BC">
        <w:rPr>
          <w:color w:val="000000"/>
          <w:sz w:val="20"/>
        </w:rPr>
        <w:t>Estos eventos recibieron una respuesta favorable</w:t>
      </w:r>
      <w:r>
        <w:rPr>
          <w:color w:val="000000"/>
          <w:sz w:val="20"/>
        </w:rPr>
        <w:t>,</w:t>
      </w:r>
      <w:r w:rsidRPr="00B101BC">
        <w:rPr>
          <w:color w:val="000000"/>
          <w:sz w:val="20"/>
        </w:rPr>
        <w:t xml:space="preserve"> como quedó reflejado en el nivel de satisfacción de los delegados.  En 2015 aumentó el número de eventos celebrados en la OMPI, incluidos los días nacionales, cumpliendo así el recinto de la OMPI una función importante de lugar de reunión de los Estados miembros y otras partes interesadas.</w:t>
      </w:r>
    </w:p>
    <w:p w:rsidR="00221F0B" w:rsidRPr="00B101BC" w:rsidRDefault="00221F0B" w:rsidP="00DC1333">
      <w:pPr>
        <w:jc w:val="both"/>
        <w:rPr>
          <w:sz w:val="20"/>
        </w:rPr>
      </w:pPr>
    </w:p>
    <w:p w:rsidR="00221F0B" w:rsidRPr="00B101BC" w:rsidRDefault="00221F0B" w:rsidP="00EC2771">
      <w:pPr>
        <w:numPr>
          <w:ilvl w:val="0"/>
          <w:numId w:val="98"/>
        </w:numPr>
        <w:tabs>
          <w:tab w:val="clear" w:pos="680"/>
          <w:tab w:val="num" w:pos="709"/>
        </w:tabs>
        <w:autoSpaceDE w:val="0"/>
        <w:autoSpaceDN w:val="0"/>
        <w:adjustRightInd w:val="0"/>
        <w:jc w:val="both"/>
        <w:rPr>
          <w:sz w:val="20"/>
        </w:rPr>
      </w:pPr>
      <w:r w:rsidRPr="00B101BC">
        <w:rPr>
          <w:sz w:val="20"/>
        </w:rPr>
        <w:t>El programa, incluida la labor de la Oficina del Director General, siguió desempeñando un papel fundamental al proporcionar la orientación estratégica y la supervisión global necesaria</w:t>
      </w:r>
      <w:r>
        <w:rPr>
          <w:sz w:val="20"/>
        </w:rPr>
        <w:t>s</w:t>
      </w:r>
      <w:r w:rsidRPr="00B101BC">
        <w:rPr>
          <w:sz w:val="20"/>
        </w:rPr>
        <w:t xml:space="preserve"> para facilitar la integración y la aplicación de la Agenda de la OMPI para el Desarrollo por parte de todos los sectores pertinentes de la Organización.</w:t>
      </w:r>
    </w:p>
    <w:p w:rsidR="00221F0B" w:rsidRPr="00B101BC" w:rsidRDefault="00221F0B" w:rsidP="00DC1333">
      <w:pPr>
        <w:jc w:val="both"/>
        <w:rPr>
          <w:sz w:val="20"/>
        </w:rPr>
      </w:pPr>
    </w:p>
    <w:p w:rsidR="00221F0B" w:rsidRPr="00B101BC" w:rsidRDefault="00221F0B" w:rsidP="00DC1333">
      <w:pPr>
        <w:jc w:val="both"/>
        <w:rPr>
          <w:sz w:val="20"/>
        </w:rPr>
      </w:pPr>
    </w:p>
    <w:p w:rsidR="00221F0B" w:rsidRPr="00B101BC" w:rsidRDefault="008F7CBE" w:rsidP="00DC1333">
      <w:pPr>
        <w:rPr>
          <w:iCs/>
        </w:rPr>
      </w:pPr>
      <w:r w:rsidRPr="008F7CBE">
        <w:rPr>
          <w:iCs/>
          <w:sz w:val="20"/>
        </w:rPr>
        <w:t>DATOS SOBRE EL RENDIMIENTO</w:t>
      </w:r>
    </w:p>
    <w:p w:rsidR="00221F0B" w:rsidRPr="00B101BC" w:rsidRDefault="00221F0B" w:rsidP="00DC1333"/>
    <w:tbl>
      <w:tblPr>
        <w:tblW w:w="4888"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68"/>
        <w:gridCol w:w="2410"/>
        <w:gridCol w:w="1417"/>
        <w:gridCol w:w="1986"/>
        <w:gridCol w:w="142"/>
        <w:gridCol w:w="140"/>
        <w:gridCol w:w="994"/>
      </w:tblGrid>
      <w:tr w:rsidR="00221F0B" w:rsidRPr="00B101BC" w:rsidTr="00DC1333">
        <w:trPr>
          <w:trHeight w:val="488"/>
        </w:trPr>
        <w:tc>
          <w:tcPr>
            <w:tcW w:w="5000" w:type="pct"/>
            <w:gridSpan w:val="7"/>
            <w:tcBorders>
              <w:top w:val="single" w:sz="4" w:space="0" w:color="auto"/>
              <w:bottom w:val="single" w:sz="4" w:space="0" w:color="auto"/>
            </w:tcBorders>
            <w:shd w:val="clear" w:color="auto" w:fill="C6D9F1" w:themeFill="text2" w:themeFillTint="33"/>
            <w:vAlign w:val="center"/>
          </w:tcPr>
          <w:p w:rsidR="00221F0B" w:rsidRPr="00B101BC" w:rsidRDefault="00221F0B" w:rsidP="00DC1333">
            <w:pPr>
              <w:keepNext/>
              <w:keepLines/>
              <w:ind w:left="2019" w:hanging="2019"/>
              <w:rPr>
                <w:b/>
                <w:bCs/>
                <w:sz w:val="16"/>
                <w:szCs w:val="16"/>
              </w:rPr>
            </w:pPr>
            <w:r w:rsidRPr="00B101BC">
              <w:rPr>
                <w:b/>
                <w:bCs/>
                <w:sz w:val="16"/>
                <w:szCs w:val="16"/>
              </w:rPr>
              <w:t>Resultado previsto:</w:t>
            </w:r>
            <w:r w:rsidRPr="00B101BC">
              <w:rPr>
                <w:b/>
                <w:bCs/>
                <w:sz w:val="16"/>
                <w:szCs w:val="16"/>
              </w:rPr>
              <w:tab/>
            </w:r>
            <w:r w:rsidRPr="00B101BC">
              <w:rPr>
                <w:bCs/>
                <w:sz w:val="16"/>
                <w:szCs w:val="16"/>
              </w:rPr>
              <w:t>IV.2 Mejora del acceso y uso de información de P.I. por parte de instituciones de P.I. y el público para fomentar la innovación y la creatividad</w:t>
            </w:r>
          </w:p>
        </w:tc>
      </w:tr>
      <w:tr w:rsidR="00221F0B" w:rsidRPr="00B101BC" w:rsidTr="00DC1333">
        <w:tc>
          <w:tcPr>
            <w:tcW w:w="1212" w:type="pct"/>
            <w:tcBorders>
              <w:top w:val="single" w:sz="4" w:space="0" w:color="auto"/>
            </w:tcBorders>
            <w:shd w:val="clear" w:color="auto" w:fill="auto"/>
            <w:vAlign w:val="center"/>
          </w:tcPr>
          <w:p w:rsidR="00221F0B" w:rsidRPr="00B101BC" w:rsidRDefault="00221F0B" w:rsidP="00DC1333">
            <w:pPr>
              <w:rPr>
                <w:sz w:val="16"/>
                <w:szCs w:val="16"/>
              </w:rPr>
            </w:pPr>
            <w:r w:rsidRPr="00B101BC">
              <w:rPr>
                <w:b/>
                <w:sz w:val="16"/>
                <w:szCs w:val="16"/>
              </w:rPr>
              <w:t>Indicadores de rendimiento</w:t>
            </w:r>
          </w:p>
        </w:tc>
        <w:tc>
          <w:tcPr>
            <w:tcW w:w="1288" w:type="pct"/>
            <w:tcBorders>
              <w:top w:val="single" w:sz="4" w:space="0" w:color="auto"/>
            </w:tcBorders>
            <w:shd w:val="clear" w:color="auto" w:fill="auto"/>
            <w:vAlign w:val="center"/>
          </w:tcPr>
          <w:p w:rsidR="00221F0B" w:rsidRPr="00B101BC" w:rsidRDefault="00221F0B" w:rsidP="00DC1333">
            <w:pPr>
              <w:rPr>
                <w:b/>
                <w:bCs/>
                <w:sz w:val="16"/>
                <w:szCs w:val="16"/>
              </w:rPr>
            </w:pPr>
            <w:r w:rsidRPr="00B101BC">
              <w:rPr>
                <w:b/>
                <w:bCs/>
                <w:sz w:val="16"/>
                <w:szCs w:val="16"/>
              </w:rPr>
              <w:t>Referencia</w:t>
            </w:r>
          </w:p>
        </w:tc>
        <w:tc>
          <w:tcPr>
            <w:tcW w:w="757" w:type="pct"/>
            <w:tcBorders>
              <w:top w:val="single" w:sz="4" w:space="0" w:color="auto"/>
            </w:tcBorders>
            <w:shd w:val="clear" w:color="auto" w:fill="auto"/>
            <w:tcMar>
              <w:top w:w="110" w:type="dxa"/>
            </w:tcMar>
            <w:vAlign w:val="center"/>
          </w:tcPr>
          <w:p w:rsidR="00221F0B" w:rsidRPr="00B101BC" w:rsidRDefault="00221F0B" w:rsidP="00DC1333">
            <w:pPr>
              <w:rPr>
                <w:b/>
                <w:sz w:val="16"/>
                <w:szCs w:val="16"/>
              </w:rPr>
            </w:pPr>
            <w:r w:rsidRPr="00B101BC">
              <w:rPr>
                <w:b/>
                <w:sz w:val="16"/>
                <w:szCs w:val="16"/>
              </w:rPr>
              <w:t>Objetivos</w:t>
            </w:r>
          </w:p>
        </w:tc>
        <w:tc>
          <w:tcPr>
            <w:tcW w:w="1212" w:type="pct"/>
            <w:gridSpan w:val="3"/>
            <w:tcBorders>
              <w:top w:val="single" w:sz="4" w:space="0" w:color="auto"/>
            </w:tcBorders>
            <w:shd w:val="clear" w:color="auto" w:fill="FFFFFF"/>
            <w:tcMar>
              <w:top w:w="110" w:type="dxa"/>
            </w:tcMar>
            <w:vAlign w:val="center"/>
          </w:tcPr>
          <w:p w:rsidR="00221F0B" w:rsidRPr="00B101BC" w:rsidRDefault="00221F0B" w:rsidP="00DC1333">
            <w:pPr>
              <w:rPr>
                <w:sz w:val="16"/>
                <w:szCs w:val="16"/>
              </w:rPr>
            </w:pPr>
            <w:r w:rsidRPr="00B101BC">
              <w:rPr>
                <w:b/>
                <w:sz w:val="16"/>
                <w:szCs w:val="16"/>
              </w:rPr>
              <w:t>Datos sobre el rendimiento</w:t>
            </w:r>
          </w:p>
        </w:tc>
        <w:tc>
          <w:tcPr>
            <w:tcW w:w="531" w:type="pct"/>
            <w:tcBorders>
              <w:top w:val="single" w:sz="4" w:space="0" w:color="auto"/>
            </w:tcBorders>
            <w:shd w:val="clear" w:color="auto" w:fill="auto"/>
            <w:tcMar>
              <w:top w:w="110" w:type="dxa"/>
            </w:tcMar>
            <w:vAlign w:val="center"/>
          </w:tcPr>
          <w:p w:rsidR="00221F0B" w:rsidRPr="00B101BC" w:rsidRDefault="00221F0B" w:rsidP="00DC1333">
            <w:pPr>
              <w:keepNext/>
              <w:keepLines/>
              <w:jc w:val="center"/>
              <w:rPr>
                <w:b/>
                <w:bCs/>
                <w:sz w:val="16"/>
                <w:szCs w:val="16"/>
              </w:rPr>
            </w:pPr>
            <w:r w:rsidRPr="00B101BC">
              <w:rPr>
                <w:b/>
                <w:bCs/>
                <w:sz w:val="16"/>
                <w:szCs w:val="16"/>
              </w:rPr>
              <w:t>Clave de colores</w:t>
            </w:r>
          </w:p>
        </w:tc>
      </w:tr>
      <w:tr w:rsidR="00221F0B" w:rsidRPr="00B101BC" w:rsidTr="00DC1333">
        <w:tc>
          <w:tcPr>
            <w:tcW w:w="1212" w:type="pct"/>
            <w:tcBorders>
              <w:bottom w:val="single" w:sz="4" w:space="0" w:color="auto"/>
            </w:tcBorders>
            <w:shd w:val="clear" w:color="auto" w:fill="auto"/>
          </w:tcPr>
          <w:p w:rsidR="00221F0B" w:rsidRPr="00B101BC" w:rsidRDefault="00221F0B" w:rsidP="00DC1333">
            <w:pPr>
              <w:rPr>
                <w:color w:val="000000"/>
                <w:sz w:val="16"/>
                <w:szCs w:val="16"/>
              </w:rPr>
            </w:pPr>
            <w:r w:rsidRPr="00B101BC">
              <w:rPr>
                <w:sz w:val="16"/>
                <w:szCs w:val="16"/>
              </w:rPr>
              <w:t xml:space="preserve">Aumento del número de usuarios de WIPO </w:t>
            </w:r>
            <w:proofErr w:type="spellStart"/>
            <w:r w:rsidRPr="00B101BC">
              <w:rPr>
                <w:sz w:val="16"/>
                <w:szCs w:val="16"/>
              </w:rPr>
              <w:t>Lex</w:t>
            </w:r>
            <w:proofErr w:type="spellEnd"/>
          </w:p>
        </w:tc>
        <w:tc>
          <w:tcPr>
            <w:tcW w:w="1288" w:type="pct"/>
            <w:tcBorders>
              <w:bottom w:val="single" w:sz="4" w:space="0" w:color="auto"/>
            </w:tcBorders>
            <w:shd w:val="clear" w:color="auto" w:fill="auto"/>
          </w:tcPr>
          <w:p w:rsidR="00221F0B" w:rsidRPr="00B101BC" w:rsidRDefault="00221F0B" w:rsidP="00DC1333">
            <w:pPr>
              <w:rPr>
                <w:rFonts w:eastAsiaTheme="minorHAnsi"/>
                <w:i/>
                <w:color w:val="002060"/>
                <w:sz w:val="16"/>
                <w:szCs w:val="16"/>
              </w:rPr>
            </w:pPr>
            <w:r w:rsidRPr="00B101BC">
              <w:rPr>
                <w:rFonts w:eastAsiaTheme="minorHAnsi"/>
                <w:i/>
                <w:color w:val="002060"/>
                <w:sz w:val="16"/>
                <w:szCs w:val="16"/>
              </w:rPr>
              <w:t>Referencia actualizada a fines de 2013</w:t>
            </w:r>
            <w:r w:rsidRPr="00B101BC">
              <w:rPr>
                <w:rFonts w:eastAsiaTheme="minorHAnsi"/>
                <w:color w:val="002060"/>
                <w:sz w:val="16"/>
                <w:szCs w:val="16"/>
              </w:rPr>
              <w:t xml:space="preserve">: </w:t>
            </w:r>
            <w:r>
              <w:rPr>
                <w:rFonts w:eastAsiaTheme="minorHAnsi"/>
                <w:color w:val="002060"/>
                <w:sz w:val="16"/>
                <w:szCs w:val="16"/>
              </w:rPr>
              <w:t xml:space="preserve"> </w:t>
            </w:r>
            <w:r w:rsidRPr="00B101BC">
              <w:rPr>
                <w:rFonts w:eastAsiaTheme="minorHAnsi"/>
                <w:color w:val="002060"/>
                <w:sz w:val="16"/>
                <w:szCs w:val="16"/>
              </w:rPr>
              <w:t xml:space="preserve">2.236.486 usuarios (1.461.841 en 2013; </w:t>
            </w:r>
            <w:r>
              <w:rPr>
                <w:rFonts w:eastAsiaTheme="minorHAnsi"/>
                <w:color w:val="002060"/>
                <w:sz w:val="16"/>
                <w:szCs w:val="16"/>
              </w:rPr>
              <w:t xml:space="preserve"> </w:t>
            </w:r>
            <w:r w:rsidRPr="00B101BC">
              <w:rPr>
                <w:rFonts w:eastAsiaTheme="minorHAnsi"/>
                <w:color w:val="002060"/>
                <w:sz w:val="16"/>
                <w:szCs w:val="16"/>
              </w:rPr>
              <w:t>774.645 en 2012)</w:t>
            </w:r>
          </w:p>
          <w:p w:rsidR="00221F0B" w:rsidRPr="00B101BC" w:rsidRDefault="00221F0B" w:rsidP="00DC1333">
            <w:pPr>
              <w:rPr>
                <w:i/>
                <w:color w:val="002060"/>
                <w:sz w:val="8"/>
                <w:szCs w:val="8"/>
              </w:rPr>
            </w:pPr>
          </w:p>
          <w:p w:rsidR="00221F0B" w:rsidRDefault="00221F0B" w:rsidP="00DC1333">
            <w:pPr>
              <w:rPr>
                <w:color w:val="000000"/>
                <w:sz w:val="16"/>
                <w:szCs w:val="16"/>
              </w:rPr>
            </w:pPr>
            <w:r w:rsidRPr="00B101BC">
              <w:rPr>
                <w:i/>
                <w:color w:val="000000"/>
                <w:sz w:val="16"/>
                <w:szCs w:val="16"/>
              </w:rPr>
              <w:t xml:space="preserve">Referencia original en el presupuesto de 2014/15: </w:t>
            </w:r>
            <w:r>
              <w:rPr>
                <w:i/>
                <w:color w:val="000000"/>
                <w:sz w:val="16"/>
                <w:szCs w:val="16"/>
              </w:rPr>
              <w:t xml:space="preserve"> </w:t>
            </w:r>
            <w:r w:rsidRPr="00B101BC">
              <w:rPr>
                <w:color w:val="000000"/>
                <w:sz w:val="16"/>
                <w:szCs w:val="16"/>
              </w:rPr>
              <w:t>1.123.930</w:t>
            </w:r>
            <w:r w:rsidRPr="00B101BC">
              <w:rPr>
                <w:rStyle w:val="FootnoteReference"/>
                <w:color w:val="000000"/>
                <w:sz w:val="16"/>
                <w:szCs w:val="16"/>
              </w:rPr>
              <w:footnoteReference w:id="122"/>
            </w:r>
          </w:p>
          <w:p w:rsidR="00221F0B" w:rsidRPr="00B101BC" w:rsidRDefault="00221F0B" w:rsidP="00DC1333">
            <w:pPr>
              <w:rPr>
                <w:color w:val="000000"/>
                <w:sz w:val="16"/>
                <w:szCs w:val="16"/>
              </w:rPr>
            </w:pPr>
          </w:p>
        </w:tc>
        <w:tc>
          <w:tcPr>
            <w:tcW w:w="757" w:type="pct"/>
            <w:tcBorders>
              <w:bottom w:val="single" w:sz="4" w:space="0" w:color="auto"/>
            </w:tcBorders>
            <w:shd w:val="clear" w:color="auto" w:fill="auto"/>
            <w:tcMar>
              <w:top w:w="110" w:type="dxa"/>
            </w:tcMar>
          </w:tcPr>
          <w:p w:rsidR="00221F0B" w:rsidRPr="00B101BC" w:rsidRDefault="00221F0B" w:rsidP="00DC1333">
            <w:pPr>
              <w:rPr>
                <w:sz w:val="16"/>
                <w:szCs w:val="16"/>
              </w:rPr>
            </w:pPr>
            <w:r w:rsidRPr="00B101BC">
              <w:rPr>
                <w:sz w:val="16"/>
                <w:szCs w:val="16"/>
              </w:rPr>
              <w:t>20%</w:t>
            </w:r>
          </w:p>
          <w:p w:rsidR="00221F0B" w:rsidRPr="00B101BC" w:rsidRDefault="00221F0B" w:rsidP="00DC1333">
            <w:pPr>
              <w:rPr>
                <w:sz w:val="16"/>
                <w:szCs w:val="16"/>
                <w:lang w:bidi="th-TH"/>
              </w:rPr>
            </w:pPr>
          </w:p>
        </w:tc>
        <w:tc>
          <w:tcPr>
            <w:tcW w:w="1137" w:type="pct"/>
            <w:gridSpan w:val="2"/>
            <w:tcBorders>
              <w:bottom w:val="single" w:sz="4" w:space="0" w:color="auto"/>
            </w:tcBorders>
            <w:shd w:val="clear" w:color="auto" w:fill="FFFFFF"/>
            <w:tcMar>
              <w:top w:w="110" w:type="dxa"/>
            </w:tcMar>
          </w:tcPr>
          <w:p w:rsidR="00221F0B" w:rsidRPr="00B101BC" w:rsidRDefault="00221F0B" w:rsidP="00DC1333">
            <w:pPr>
              <w:rPr>
                <w:sz w:val="16"/>
                <w:szCs w:val="16"/>
                <w:lang w:bidi="th-TH"/>
              </w:rPr>
            </w:pPr>
            <w:r w:rsidRPr="00B101BC">
              <w:rPr>
                <w:sz w:val="16"/>
                <w:szCs w:val="16"/>
                <w:lang w:bidi="th-TH"/>
              </w:rPr>
              <w:t>Total de 3.350.643 usuarios en 2014/15 (49,8% más que en 2012/13)</w:t>
            </w:r>
          </w:p>
          <w:p w:rsidR="00221F0B" w:rsidRPr="00B101BC" w:rsidRDefault="00221F0B" w:rsidP="00221F0B">
            <w:pPr>
              <w:pStyle w:val="ListParagraph"/>
              <w:numPr>
                <w:ilvl w:val="0"/>
                <w:numId w:val="99"/>
              </w:numPr>
              <w:contextualSpacing/>
              <w:rPr>
                <w:sz w:val="16"/>
                <w:szCs w:val="16"/>
              </w:rPr>
            </w:pPr>
            <w:r w:rsidRPr="00B101BC">
              <w:rPr>
                <w:sz w:val="16"/>
                <w:szCs w:val="16"/>
              </w:rPr>
              <w:t>1.506.508 (2014)</w:t>
            </w:r>
          </w:p>
          <w:p w:rsidR="00221F0B" w:rsidRPr="00B101BC" w:rsidRDefault="00221F0B" w:rsidP="00221F0B">
            <w:pPr>
              <w:pStyle w:val="ListParagraph"/>
              <w:numPr>
                <w:ilvl w:val="0"/>
                <w:numId w:val="99"/>
              </w:numPr>
              <w:contextualSpacing/>
              <w:rPr>
                <w:sz w:val="16"/>
                <w:szCs w:val="16"/>
              </w:rPr>
            </w:pPr>
            <w:r w:rsidRPr="00B101BC">
              <w:rPr>
                <w:sz w:val="16"/>
                <w:szCs w:val="16"/>
              </w:rPr>
              <w:t>1.844.135 (2015)</w:t>
            </w:r>
          </w:p>
          <w:p w:rsidR="00221F0B" w:rsidRPr="00B101BC" w:rsidRDefault="00221F0B" w:rsidP="00DC1333">
            <w:pPr>
              <w:rPr>
                <w:sz w:val="16"/>
                <w:szCs w:val="16"/>
              </w:rPr>
            </w:pPr>
          </w:p>
        </w:tc>
        <w:tc>
          <w:tcPr>
            <w:tcW w:w="606" w:type="pct"/>
            <w:gridSpan w:val="2"/>
            <w:tcBorders>
              <w:bottom w:val="single" w:sz="4" w:space="0" w:color="auto"/>
            </w:tcBorders>
            <w:shd w:val="clear" w:color="auto" w:fill="auto"/>
            <w:tcMar>
              <w:top w:w="110" w:type="dxa"/>
            </w:tcMar>
          </w:tcPr>
          <w:p w:rsidR="00221F0B" w:rsidRPr="00B101BC" w:rsidRDefault="00221F0B" w:rsidP="00DC1333">
            <w:pPr>
              <w:keepNext/>
              <w:keepLines/>
              <w:ind w:left="-108" w:right="-107"/>
              <w:jc w:val="center"/>
              <w:rPr>
                <w:b/>
                <w:bCs/>
                <w:color w:val="00B050"/>
                <w:sz w:val="16"/>
                <w:szCs w:val="16"/>
              </w:rPr>
            </w:pPr>
            <w:r w:rsidRPr="00B101BC">
              <w:rPr>
                <w:b/>
                <w:color w:val="00B050"/>
                <w:sz w:val="16"/>
                <w:szCs w:val="16"/>
              </w:rPr>
              <w:t>Plenamente logrado</w:t>
            </w:r>
          </w:p>
        </w:tc>
      </w:tr>
      <w:tr w:rsidR="00221F0B" w:rsidRPr="00B101BC" w:rsidTr="00DC1333">
        <w:trPr>
          <w:trHeight w:val="396"/>
        </w:trPr>
        <w:tc>
          <w:tcPr>
            <w:tcW w:w="5000" w:type="pct"/>
            <w:gridSpan w:val="7"/>
            <w:tcBorders>
              <w:top w:val="single" w:sz="4" w:space="0" w:color="auto"/>
              <w:bottom w:val="single" w:sz="4" w:space="0" w:color="auto"/>
            </w:tcBorders>
            <w:shd w:val="clear" w:color="auto" w:fill="C6D9F1" w:themeFill="text2" w:themeFillTint="33"/>
            <w:vAlign w:val="center"/>
          </w:tcPr>
          <w:p w:rsidR="00221F0B" w:rsidRPr="00B101BC" w:rsidRDefault="00221F0B" w:rsidP="00DC1333">
            <w:pPr>
              <w:keepNext/>
              <w:keepLines/>
              <w:ind w:left="2019" w:hanging="2019"/>
              <w:rPr>
                <w:b/>
                <w:bCs/>
                <w:sz w:val="16"/>
                <w:szCs w:val="16"/>
              </w:rPr>
            </w:pPr>
            <w:r w:rsidRPr="00B101BC">
              <w:rPr>
                <w:b/>
                <w:bCs/>
                <w:color w:val="000000"/>
                <w:sz w:val="16"/>
                <w:szCs w:val="16"/>
              </w:rPr>
              <w:t xml:space="preserve">Resultado previsto: </w:t>
            </w:r>
            <w:r w:rsidRPr="00B101BC">
              <w:rPr>
                <w:b/>
                <w:bCs/>
                <w:color w:val="000000"/>
                <w:sz w:val="16"/>
                <w:szCs w:val="16"/>
              </w:rPr>
              <w:tab/>
            </w:r>
            <w:r w:rsidRPr="00B101BC">
              <w:rPr>
                <w:bCs/>
                <w:color w:val="000000"/>
                <w:sz w:val="16"/>
                <w:szCs w:val="16"/>
              </w:rPr>
              <w:t>VIII.3 Atención eficaz a los Estados miembros</w:t>
            </w:r>
            <w:r w:rsidRPr="00B101BC">
              <w:rPr>
                <w:b/>
                <w:bCs/>
                <w:color w:val="000000"/>
                <w:sz w:val="16"/>
                <w:szCs w:val="16"/>
              </w:rPr>
              <w:t xml:space="preserve"> </w:t>
            </w:r>
          </w:p>
        </w:tc>
      </w:tr>
      <w:tr w:rsidR="00221F0B" w:rsidRPr="00B101BC" w:rsidTr="00DC1333">
        <w:tc>
          <w:tcPr>
            <w:tcW w:w="1212" w:type="pct"/>
            <w:tcBorders>
              <w:top w:val="single" w:sz="4" w:space="0" w:color="auto"/>
              <w:left w:val="single" w:sz="4" w:space="0" w:color="auto"/>
              <w:bottom w:val="nil"/>
            </w:tcBorders>
            <w:shd w:val="clear" w:color="auto" w:fill="auto"/>
            <w:vAlign w:val="center"/>
          </w:tcPr>
          <w:p w:rsidR="00221F0B" w:rsidRPr="00B101BC" w:rsidRDefault="00221F0B" w:rsidP="00DC1333">
            <w:pPr>
              <w:keepNext/>
              <w:keepLines/>
              <w:rPr>
                <w:sz w:val="16"/>
                <w:szCs w:val="16"/>
              </w:rPr>
            </w:pPr>
            <w:r w:rsidRPr="00B101BC">
              <w:rPr>
                <w:b/>
                <w:sz w:val="16"/>
                <w:szCs w:val="16"/>
              </w:rPr>
              <w:t>Indicadores de rendimiento</w:t>
            </w:r>
          </w:p>
        </w:tc>
        <w:tc>
          <w:tcPr>
            <w:tcW w:w="1288" w:type="pct"/>
            <w:tcBorders>
              <w:top w:val="single" w:sz="4" w:space="0" w:color="auto"/>
              <w:bottom w:val="nil"/>
            </w:tcBorders>
            <w:shd w:val="clear" w:color="auto" w:fill="auto"/>
            <w:vAlign w:val="center"/>
          </w:tcPr>
          <w:p w:rsidR="00221F0B" w:rsidRPr="00B101BC" w:rsidRDefault="00221F0B" w:rsidP="00DC1333">
            <w:pPr>
              <w:keepNext/>
              <w:keepLines/>
              <w:rPr>
                <w:b/>
                <w:bCs/>
                <w:sz w:val="16"/>
                <w:szCs w:val="16"/>
              </w:rPr>
            </w:pPr>
            <w:r w:rsidRPr="00B101BC">
              <w:rPr>
                <w:b/>
                <w:bCs/>
                <w:sz w:val="16"/>
                <w:szCs w:val="16"/>
              </w:rPr>
              <w:t>Referencia</w:t>
            </w:r>
          </w:p>
        </w:tc>
        <w:tc>
          <w:tcPr>
            <w:tcW w:w="757" w:type="pct"/>
            <w:tcBorders>
              <w:top w:val="single" w:sz="4" w:space="0" w:color="auto"/>
              <w:bottom w:val="nil"/>
            </w:tcBorders>
            <w:shd w:val="clear" w:color="auto" w:fill="auto"/>
            <w:tcMar>
              <w:top w:w="110" w:type="dxa"/>
            </w:tcMar>
            <w:vAlign w:val="center"/>
          </w:tcPr>
          <w:p w:rsidR="00221F0B" w:rsidRPr="00B101BC" w:rsidRDefault="00221F0B" w:rsidP="00DC1333">
            <w:pPr>
              <w:keepNext/>
              <w:keepLines/>
              <w:rPr>
                <w:b/>
                <w:sz w:val="16"/>
                <w:szCs w:val="16"/>
              </w:rPr>
            </w:pPr>
            <w:r w:rsidRPr="00B101BC">
              <w:rPr>
                <w:b/>
                <w:sz w:val="16"/>
                <w:szCs w:val="16"/>
              </w:rPr>
              <w:t>Objetivos</w:t>
            </w:r>
          </w:p>
        </w:tc>
        <w:tc>
          <w:tcPr>
            <w:tcW w:w="1137" w:type="pct"/>
            <w:gridSpan w:val="2"/>
            <w:tcBorders>
              <w:top w:val="single" w:sz="4" w:space="0" w:color="auto"/>
              <w:bottom w:val="nil"/>
            </w:tcBorders>
            <w:shd w:val="clear" w:color="auto" w:fill="FFFFFF"/>
            <w:tcMar>
              <w:top w:w="110" w:type="dxa"/>
            </w:tcMar>
            <w:vAlign w:val="center"/>
          </w:tcPr>
          <w:p w:rsidR="00221F0B" w:rsidRPr="00B101BC" w:rsidRDefault="00221F0B" w:rsidP="00DC1333">
            <w:pPr>
              <w:rPr>
                <w:sz w:val="16"/>
                <w:szCs w:val="16"/>
              </w:rPr>
            </w:pPr>
            <w:r w:rsidRPr="00B101BC">
              <w:rPr>
                <w:b/>
                <w:sz w:val="16"/>
                <w:szCs w:val="16"/>
              </w:rPr>
              <w:t>Datos sobre el rendimiento</w:t>
            </w:r>
          </w:p>
        </w:tc>
        <w:tc>
          <w:tcPr>
            <w:tcW w:w="606" w:type="pct"/>
            <w:gridSpan w:val="2"/>
            <w:tcBorders>
              <w:top w:val="single" w:sz="4" w:space="0" w:color="auto"/>
              <w:bottom w:val="nil"/>
              <w:right w:val="single" w:sz="4" w:space="0" w:color="auto"/>
            </w:tcBorders>
            <w:shd w:val="clear" w:color="auto" w:fill="auto"/>
            <w:tcMar>
              <w:top w:w="110" w:type="dxa"/>
            </w:tcMar>
            <w:vAlign w:val="center"/>
          </w:tcPr>
          <w:p w:rsidR="00221F0B" w:rsidRPr="00B101BC" w:rsidRDefault="00221F0B" w:rsidP="00DC1333">
            <w:pPr>
              <w:keepNext/>
              <w:keepLines/>
              <w:jc w:val="center"/>
              <w:rPr>
                <w:b/>
                <w:bCs/>
                <w:sz w:val="16"/>
                <w:szCs w:val="16"/>
              </w:rPr>
            </w:pPr>
            <w:r w:rsidRPr="00B101BC">
              <w:rPr>
                <w:b/>
                <w:bCs/>
                <w:sz w:val="16"/>
                <w:szCs w:val="16"/>
              </w:rPr>
              <w:t>Clave de colores</w:t>
            </w:r>
          </w:p>
        </w:tc>
      </w:tr>
      <w:tr w:rsidR="00221F0B" w:rsidRPr="00B101BC" w:rsidTr="00DC1333">
        <w:tc>
          <w:tcPr>
            <w:tcW w:w="1212" w:type="pct"/>
            <w:tcBorders>
              <w:top w:val="nil"/>
              <w:left w:val="single" w:sz="4" w:space="0" w:color="auto"/>
              <w:bottom w:val="nil"/>
            </w:tcBorders>
            <w:shd w:val="clear" w:color="auto" w:fill="auto"/>
          </w:tcPr>
          <w:p w:rsidR="00221F0B" w:rsidRPr="00B101BC" w:rsidRDefault="00221F0B" w:rsidP="00DC1333">
            <w:pPr>
              <w:keepNext/>
              <w:keepLines/>
              <w:rPr>
                <w:sz w:val="16"/>
                <w:szCs w:val="16"/>
              </w:rPr>
            </w:pPr>
            <w:r w:rsidRPr="00B101BC">
              <w:rPr>
                <w:sz w:val="16"/>
                <w:szCs w:val="16"/>
              </w:rPr>
              <w:t>Porcentaje de sesiones de Comités precedidas de reuniones informativas para los Estados miembros</w:t>
            </w:r>
          </w:p>
        </w:tc>
        <w:tc>
          <w:tcPr>
            <w:tcW w:w="1288" w:type="pct"/>
            <w:tcBorders>
              <w:top w:val="nil"/>
              <w:bottom w:val="nil"/>
            </w:tcBorders>
            <w:shd w:val="clear" w:color="auto" w:fill="auto"/>
          </w:tcPr>
          <w:p w:rsidR="00221F0B" w:rsidRPr="00B101BC" w:rsidRDefault="00221F0B" w:rsidP="00DC1333">
            <w:pPr>
              <w:rPr>
                <w:rFonts w:eastAsiaTheme="minorHAnsi"/>
                <w:i/>
                <w:color w:val="002060"/>
                <w:sz w:val="16"/>
                <w:szCs w:val="16"/>
              </w:rPr>
            </w:pPr>
            <w:r w:rsidRPr="00B101BC">
              <w:rPr>
                <w:rFonts w:eastAsiaTheme="minorHAnsi"/>
                <w:i/>
                <w:color w:val="002060"/>
                <w:sz w:val="16"/>
                <w:szCs w:val="16"/>
              </w:rPr>
              <w:t xml:space="preserve">Referencia actualizada a fines de 2013: </w:t>
            </w:r>
            <w:r>
              <w:rPr>
                <w:rFonts w:eastAsiaTheme="minorHAnsi"/>
                <w:i/>
                <w:color w:val="002060"/>
                <w:sz w:val="16"/>
                <w:szCs w:val="16"/>
              </w:rPr>
              <w:t xml:space="preserve"> </w:t>
            </w:r>
            <w:r w:rsidRPr="00B101BC">
              <w:rPr>
                <w:rFonts w:eastAsiaTheme="minorHAnsi"/>
                <w:color w:val="002060"/>
                <w:sz w:val="16"/>
                <w:szCs w:val="16"/>
              </w:rPr>
              <w:t>81% según una encuesta de los secretarios de los comités</w:t>
            </w:r>
          </w:p>
          <w:p w:rsidR="00221F0B" w:rsidRPr="00B101BC" w:rsidRDefault="00221F0B" w:rsidP="00DC1333">
            <w:pPr>
              <w:rPr>
                <w:i/>
                <w:sz w:val="8"/>
                <w:szCs w:val="8"/>
              </w:rPr>
            </w:pPr>
          </w:p>
          <w:p w:rsidR="00221F0B" w:rsidRPr="00B101BC" w:rsidRDefault="00221F0B" w:rsidP="00DC1333">
            <w:pPr>
              <w:keepNext/>
              <w:keepLines/>
              <w:rPr>
                <w:sz w:val="16"/>
                <w:szCs w:val="16"/>
              </w:rPr>
            </w:pPr>
            <w:r w:rsidRPr="00B101BC">
              <w:rPr>
                <w:i/>
                <w:sz w:val="16"/>
                <w:szCs w:val="16"/>
              </w:rPr>
              <w:t xml:space="preserve">Referencia original en el presupuesto de 2014/15:  </w:t>
            </w:r>
            <w:r w:rsidRPr="00B101BC">
              <w:rPr>
                <w:sz w:val="16"/>
                <w:szCs w:val="16"/>
              </w:rPr>
              <w:t>80%</w:t>
            </w:r>
          </w:p>
        </w:tc>
        <w:tc>
          <w:tcPr>
            <w:tcW w:w="757" w:type="pct"/>
            <w:tcBorders>
              <w:top w:val="nil"/>
              <w:bottom w:val="nil"/>
            </w:tcBorders>
            <w:shd w:val="clear" w:color="auto" w:fill="auto"/>
            <w:tcMar>
              <w:top w:w="110" w:type="dxa"/>
            </w:tcMar>
          </w:tcPr>
          <w:p w:rsidR="00221F0B" w:rsidRPr="00B101BC" w:rsidRDefault="00221F0B" w:rsidP="00DC1333">
            <w:pPr>
              <w:keepNext/>
              <w:keepLines/>
              <w:rPr>
                <w:sz w:val="16"/>
                <w:szCs w:val="16"/>
              </w:rPr>
            </w:pPr>
            <w:r w:rsidRPr="00B101BC">
              <w:rPr>
                <w:sz w:val="16"/>
                <w:szCs w:val="16"/>
              </w:rPr>
              <w:t>90%</w:t>
            </w:r>
          </w:p>
        </w:tc>
        <w:tc>
          <w:tcPr>
            <w:tcW w:w="1137" w:type="pct"/>
            <w:gridSpan w:val="2"/>
            <w:tcBorders>
              <w:top w:val="nil"/>
              <w:bottom w:val="nil"/>
            </w:tcBorders>
            <w:shd w:val="clear" w:color="auto" w:fill="FFFFFF"/>
            <w:tcMar>
              <w:top w:w="110" w:type="dxa"/>
            </w:tcMar>
          </w:tcPr>
          <w:p w:rsidR="00221F0B" w:rsidRPr="00B101BC" w:rsidRDefault="00221F0B" w:rsidP="00DC1333">
            <w:pPr>
              <w:rPr>
                <w:sz w:val="16"/>
                <w:szCs w:val="16"/>
              </w:rPr>
            </w:pPr>
            <w:r w:rsidRPr="00B101BC">
              <w:rPr>
                <w:sz w:val="16"/>
                <w:szCs w:val="16"/>
              </w:rPr>
              <w:t>97% según una encuesta de los secretarios de los comités</w:t>
            </w:r>
          </w:p>
        </w:tc>
        <w:tc>
          <w:tcPr>
            <w:tcW w:w="606" w:type="pct"/>
            <w:gridSpan w:val="2"/>
            <w:tcBorders>
              <w:top w:val="nil"/>
              <w:bottom w:val="nil"/>
              <w:right w:val="single" w:sz="4" w:space="0" w:color="auto"/>
            </w:tcBorders>
            <w:shd w:val="clear" w:color="auto" w:fill="auto"/>
            <w:tcMar>
              <w:top w:w="110" w:type="dxa"/>
            </w:tcMar>
          </w:tcPr>
          <w:p w:rsidR="00221F0B" w:rsidRPr="00B101BC" w:rsidRDefault="00221F0B" w:rsidP="00DC1333">
            <w:pPr>
              <w:keepNext/>
              <w:keepLines/>
              <w:ind w:left="-108" w:right="-107"/>
              <w:jc w:val="center"/>
              <w:rPr>
                <w:b/>
                <w:color w:val="00B050"/>
                <w:sz w:val="16"/>
                <w:szCs w:val="16"/>
              </w:rPr>
            </w:pPr>
            <w:r w:rsidRPr="00B101BC">
              <w:rPr>
                <w:b/>
                <w:color w:val="00B050"/>
                <w:sz w:val="16"/>
                <w:szCs w:val="16"/>
              </w:rPr>
              <w:t>Plenamente logrado</w:t>
            </w:r>
          </w:p>
        </w:tc>
      </w:tr>
      <w:tr w:rsidR="00221F0B" w:rsidRPr="00B101BC" w:rsidTr="00D1366A">
        <w:tc>
          <w:tcPr>
            <w:tcW w:w="1212" w:type="pct"/>
            <w:tcBorders>
              <w:top w:val="nil"/>
              <w:left w:val="single" w:sz="4" w:space="0" w:color="auto"/>
              <w:bottom w:val="nil"/>
            </w:tcBorders>
            <w:shd w:val="clear" w:color="auto" w:fill="auto"/>
          </w:tcPr>
          <w:p w:rsidR="00221F0B" w:rsidRPr="00B101BC" w:rsidRDefault="00221F0B" w:rsidP="00DC1333">
            <w:pPr>
              <w:autoSpaceDE w:val="0"/>
              <w:autoSpaceDN w:val="0"/>
              <w:adjustRightInd w:val="0"/>
              <w:rPr>
                <w:sz w:val="16"/>
                <w:szCs w:val="16"/>
              </w:rPr>
            </w:pPr>
            <w:r w:rsidRPr="00B101BC">
              <w:rPr>
                <w:sz w:val="16"/>
                <w:szCs w:val="16"/>
              </w:rPr>
              <w:t>Porcentaje de cartas dirigidas al Director General por los Estados miembros a las que se da respuesta en un plazo de dos semanas</w:t>
            </w:r>
          </w:p>
        </w:tc>
        <w:tc>
          <w:tcPr>
            <w:tcW w:w="1288" w:type="pct"/>
            <w:tcBorders>
              <w:top w:val="nil"/>
              <w:bottom w:val="nil"/>
            </w:tcBorders>
            <w:shd w:val="clear" w:color="auto" w:fill="auto"/>
          </w:tcPr>
          <w:p w:rsidR="00221F0B" w:rsidRPr="00B101BC" w:rsidRDefault="00221F0B" w:rsidP="00DC1333">
            <w:pPr>
              <w:rPr>
                <w:rFonts w:eastAsiaTheme="minorHAnsi"/>
                <w:i/>
                <w:color w:val="002060"/>
                <w:sz w:val="16"/>
                <w:szCs w:val="16"/>
              </w:rPr>
            </w:pPr>
            <w:r w:rsidRPr="00B101BC">
              <w:rPr>
                <w:i/>
                <w:color w:val="002060"/>
                <w:sz w:val="16"/>
                <w:szCs w:val="16"/>
              </w:rPr>
              <w:t>Referencia actualizada a fines de 2013:</w:t>
            </w:r>
            <w:r>
              <w:rPr>
                <w:i/>
                <w:color w:val="002060"/>
                <w:sz w:val="16"/>
                <w:szCs w:val="16"/>
              </w:rPr>
              <w:t xml:space="preserve"> </w:t>
            </w:r>
            <w:r w:rsidRPr="00B101BC">
              <w:rPr>
                <w:i/>
                <w:color w:val="002060"/>
                <w:sz w:val="16"/>
                <w:szCs w:val="16"/>
              </w:rPr>
              <w:t xml:space="preserve"> </w:t>
            </w:r>
            <w:r w:rsidRPr="00B101BC">
              <w:rPr>
                <w:color w:val="002060"/>
                <w:sz w:val="16"/>
                <w:szCs w:val="16"/>
              </w:rPr>
              <w:t>81% según una evaluación de la correspondencia recibida y enviada</w:t>
            </w:r>
          </w:p>
          <w:p w:rsidR="00221F0B" w:rsidRPr="00B101BC" w:rsidRDefault="00221F0B" w:rsidP="00DC1333">
            <w:pPr>
              <w:rPr>
                <w:i/>
                <w:sz w:val="8"/>
                <w:szCs w:val="8"/>
              </w:rPr>
            </w:pPr>
          </w:p>
          <w:p w:rsidR="00221F0B" w:rsidRPr="00B101BC" w:rsidRDefault="00221F0B" w:rsidP="00DC1333">
            <w:pPr>
              <w:rPr>
                <w:i/>
                <w:sz w:val="16"/>
                <w:szCs w:val="16"/>
              </w:rPr>
            </w:pPr>
            <w:r w:rsidRPr="00B101BC">
              <w:rPr>
                <w:i/>
                <w:sz w:val="16"/>
                <w:szCs w:val="16"/>
              </w:rPr>
              <w:t xml:space="preserve">Referencia original en el presupuesto de 2014/15: </w:t>
            </w:r>
            <w:r>
              <w:rPr>
                <w:i/>
                <w:sz w:val="16"/>
                <w:szCs w:val="16"/>
              </w:rPr>
              <w:t xml:space="preserve"> </w:t>
            </w:r>
            <w:r w:rsidRPr="00B101BC">
              <w:rPr>
                <w:sz w:val="16"/>
                <w:szCs w:val="16"/>
              </w:rPr>
              <w:t>80%</w:t>
            </w:r>
          </w:p>
        </w:tc>
        <w:tc>
          <w:tcPr>
            <w:tcW w:w="757" w:type="pct"/>
            <w:tcBorders>
              <w:top w:val="nil"/>
              <w:bottom w:val="nil"/>
            </w:tcBorders>
            <w:shd w:val="clear" w:color="auto" w:fill="auto"/>
            <w:tcMar>
              <w:top w:w="110" w:type="dxa"/>
            </w:tcMar>
          </w:tcPr>
          <w:p w:rsidR="00221F0B" w:rsidRPr="00B101BC" w:rsidRDefault="00221F0B" w:rsidP="00DC1333">
            <w:pPr>
              <w:rPr>
                <w:sz w:val="16"/>
                <w:szCs w:val="16"/>
              </w:rPr>
            </w:pPr>
            <w:r w:rsidRPr="00B101BC">
              <w:rPr>
                <w:sz w:val="16"/>
                <w:szCs w:val="16"/>
              </w:rPr>
              <w:t>80%</w:t>
            </w:r>
          </w:p>
        </w:tc>
        <w:tc>
          <w:tcPr>
            <w:tcW w:w="1137" w:type="pct"/>
            <w:gridSpan w:val="2"/>
            <w:tcBorders>
              <w:top w:val="nil"/>
              <w:bottom w:val="nil"/>
            </w:tcBorders>
            <w:shd w:val="clear" w:color="auto" w:fill="FFFFFF"/>
            <w:tcMar>
              <w:top w:w="110" w:type="dxa"/>
            </w:tcMar>
          </w:tcPr>
          <w:p w:rsidR="00221F0B" w:rsidRPr="00B101BC" w:rsidRDefault="00221F0B" w:rsidP="00DC1333">
            <w:pPr>
              <w:rPr>
                <w:sz w:val="16"/>
                <w:szCs w:val="16"/>
              </w:rPr>
            </w:pPr>
            <w:r w:rsidRPr="00B101BC">
              <w:rPr>
                <w:sz w:val="16"/>
                <w:szCs w:val="16"/>
              </w:rPr>
              <w:t>80% según una evaluación de la correspondencia recibida y enviada</w:t>
            </w:r>
          </w:p>
        </w:tc>
        <w:tc>
          <w:tcPr>
            <w:tcW w:w="606" w:type="pct"/>
            <w:gridSpan w:val="2"/>
            <w:tcBorders>
              <w:top w:val="nil"/>
              <w:bottom w:val="nil"/>
              <w:right w:val="single" w:sz="4" w:space="0" w:color="auto"/>
            </w:tcBorders>
            <w:shd w:val="clear" w:color="auto" w:fill="auto"/>
            <w:tcMar>
              <w:top w:w="110" w:type="dxa"/>
            </w:tcMar>
          </w:tcPr>
          <w:p w:rsidR="00221F0B" w:rsidRPr="00B101BC" w:rsidRDefault="00221F0B" w:rsidP="00DC1333">
            <w:pPr>
              <w:keepNext/>
              <w:keepLines/>
              <w:ind w:left="-108" w:right="-107"/>
              <w:jc w:val="center"/>
              <w:rPr>
                <w:b/>
                <w:color w:val="00B050"/>
                <w:sz w:val="16"/>
                <w:szCs w:val="16"/>
              </w:rPr>
            </w:pPr>
            <w:r w:rsidRPr="00B101BC">
              <w:rPr>
                <w:b/>
                <w:color w:val="00B050"/>
                <w:sz w:val="16"/>
                <w:szCs w:val="16"/>
              </w:rPr>
              <w:t>Plenamente logrado</w:t>
            </w:r>
          </w:p>
        </w:tc>
      </w:tr>
      <w:tr w:rsidR="00221F0B" w:rsidRPr="00B101BC" w:rsidTr="00876FDE">
        <w:tc>
          <w:tcPr>
            <w:tcW w:w="1212" w:type="pct"/>
            <w:tcBorders>
              <w:top w:val="nil"/>
              <w:left w:val="single" w:sz="4" w:space="0" w:color="auto"/>
              <w:bottom w:val="single" w:sz="4" w:space="0" w:color="auto"/>
            </w:tcBorders>
            <w:shd w:val="clear" w:color="auto" w:fill="auto"/>
          </w:tcPr>
          <w:p w:rsidR="00221F0B" w:rsidRPr="00B101BC" w:rsidRDefault="00221F0B" w:rsidP="00DC1333">
            <w:pPr>
              <w:rPr>
                <w:sz w:val="16"/>
                <w:szCs w:val="16"/>
              </w:rPr>
            </w:pPr>
            <w:r w:rsidRPr="00B101BC">
              <w:rPr>
                <w:sz w:val="16"/>
                <w:szCs w:val="16"/>
              </w:rPr>
              <w:t>Porcentaje de notificaciones de adhesión y otras medidas relacionadas con los tratados tramitadas de manera puntual</w:t>
            </w:r>
          </w:p>
        </w:tc>
        <w:tc>
          <w:tcPr>
            <w:tcW w:w="1288" w:type="pct"/>
            <w:tcBorders>
              <w:top w:val="nil"/>
              <w:bottom w:val="single" w:sz="4" w:space="0" w:color="auto"/>
            </w:tcBorders>
            <w:shd w:val="clear" w:color="auto" w:fill="auto"/>
          </w:tcPr>
          <w:p w:rsidR="00221F0B" w:rsidRPr="00B101BC" w:rsidRDefault="00221F0B" w:rsidP="00DC1333">
            <w:pPr>
              <w:rPr>
                <w:rFonts w:eastAsiaTheme="minorHAnsi"/>
                <w:sz w:val="16"/>
                <w:szCs w:val="16"/>
              </w:rPr>
            </w:pPr>
            <w:r w:rsidRPr="00B101BC">
              <w:rPr>
                <w:i/>
                <w:color w:val="002060"/>
                <w:sz w:val="16"/>
                <w:szCs w:val="16"/>
              </w:rPr>
              <w:t xml:space="preserve">Referencia actualizada a fines de 2013: </w:t>
            </w:r>
            <w:r>
              <w:rPr>
                <w:i/>
                <w:color w:val="002060"/>
                <w:sz w:val="16"/>
                <w:szCs w:val="16"/>
              </w:rPr>
              <w:t xml:space="preserve"> </w:t>
            </w:r>
            <w:r w:rsidRPr="00B101BC">
              <w:rPr>
                <w:color w:val="002060"/>
                <w:sz w:val="16"/>
                <w:szCs w:val="16"/>
              </w:rPr>
              <w:t>98%</w:t>
            </w:r>
            <w:r w:rsidRPr="00B101BC">
              <w:rPr>
                <w:sz w:val="16"/>
                <w:szCs w:val="16"/>
              </w:rPr>
              <w:t xml:space="preserve"> de las notificaciones de adhesión y otras medidas relacionadas con los tratados tramitadas en un plazo de tres días</w:t>
            </w:r>
          </w:p>
          <w:p w:rsidR="00221F0B" w:rsidRPr="00B101BC" w:rsidRDefault="00221F0B" w:rsidP="00DC1333">
            <w:pPr>
              <w:rPr>
                <w:i/>
                <w:sz w:val="8"/>
                <w:szCs w:val="8"/>
              </w:rPr>
            </w:pPr>
          </w:p>
          <w:p w:rsidR="00221F0B" w:rsidRPr="00B101BC" w:rsidRDefault="00221F0B" w:rsidP="00DC1333">
            <w:pPr>
              <w:rPr>
                <w:sz w:val="16"/>
                <w:szCs w:val="16"/>
              </w:rPr>
            </w:pPr>
            <w:r w:rsidRPr="00B101BC">
              <w:rPr>
                <w:i/>
                <w:sz w:val="16"/>
                <w:szCs w:val="16"/>
              </w:rPr>
              <w:t>Referencia original en el presupuesto de 2014/15</w:t>
            </w:r>
            <w:r w:rsidRPr="00B101BC">
              <w:rPr>
                <w:sz w:val="16"/>
                <w:szCs w:val="16"/>
              </w:rPr>
              <w:t xml:space="preserve">: </w:t>
            </w:r>
            <w:r>
              <w:rPr>
                <w:sz w:val="16"/>
                <w:szCs w:val="16"/>
              </w:rPr>
              <w:t xml:space="preserve"> </w:t>
            </w:r>
            <w:r w:rsidRPr="00B101BC">
              <w:rPr>
                <w:sz w:val="16"/>
                <w:szCs w:val="16"/>
              </w:rPr>
              <w:t>95% tramitadas en un plazo de tres días (fines de 2012)</w:t>
            </w:r>
          </w:p>
        </w:tc>
        <w:tc>
          <w:tcPr>
            <w:tcW w:w="757" w:type="pct"/>
            <w:tcBorders>
              <w:top w:val="nil"/>
              <w:bottom w:val="single" w:sz="4" w:space="0" w:color="auto"/>
            </w:tcBorders>
            <w:shd w:val="clear" w:color="auto" w:fill="auto"/>
            <w:tcMar>
              <w:top w:w="110" w:type="dxa"/>
            </w:tcMar>
          </w:tcPr>
          <w:p w:rsidR="00221F0B" w:rsidRPr="00B101BC" w:rsidRDefault="00221F0B" w:rsidP="00DC1333">
            <w:pPr>
              <w:rPr>
                <w:sz w:val="16"/>
                <w:szCs w:val="16"/>
              </w:rPr>
            </w:pPr>
            <w:r w:rsidRPr="00B101BC">
              <w:rPr>
                <w:sz w:val="16"/>
                <w:szCs w:val="16"/>
              </w:rPr>
              <w:t>90% tramitadas en un plazo de tres días</w:t>
            </w:r>
          </w:p>
        </w:tc>
        <w:tc>
          <w:tcPr>
            <w:tcW w:w="1137" w:type="pct"/>
            <w:gridSpan w:val="2"/>
            <w:tcBorders>
              <w:top w:val="nil"/>
              <w:bottom w:val="single" w:sz="4" w:space="0" w:color="auto"/>
            </w:tcBorders>
            <w:shd w:val="clear" w:color="auto" w:fill="FFFFFF"/>
            <w:tcMar>
              <w:top w:w="110" w:type="dxa"/>
            </w:tcMar>
          </w:tcPr>
          <w:p w:rsidR="00221F0B" w:rsidRPr="00B101BC" w:rsidRDefault="00221F0B" w:rsidP="00DC1333">
            <w:pPr>
              <w:rPr>
                <w:rFonts w:eastAsiaTheme="minorHAnsi"/>
                <w:sz w:val="16"/>
                <w:szCs w:val="16"/>
              </w:rPr>
            </w:pPr>
            <w:r w:rsidRPr="00B101BC">
              <w:rPr>
                <w:rFonts w:eastAsiaTheme="minorHAnsi"/>
                <w:sz w:val="16"/>
                <w:szCs w:val="16"/>
              </w:rPr>
              <w:t>El 90% de las notificaciones de adhesión y otras medidas relacionadas con los tratados se tramitaron en un plazo de tres días</w:t>
            </w:r>
          </w:p>
          <w:p w:rsidR="00221F0B" w:rsidRPr="00B101BC" w:rsidRDefault="00221F0B" w:rsidP="00DC1333">
            <w:pPr>
              <w:rPr>
                <w:sz w:val="16"/>
                <w:szCs w:val="16"/>
              </w:rPr>
            </w:pPr>
          </w:p>
        </w:tc>
        <w:tc>
          <w:tcPr>
            <w:tcW w:w="606" w:type="pct"/>
            <w:gridSpan w:val="2"/>
            <w:tcBorders>
              <w:top w:val="nil"/>
              <w:bottom w:val="single" w:sz="4" w:space="0" w:color="auto"/>
              <w:right w:val="single" w:sz="4" w:space="0" w:color="auto"/>
            </w:tcBorders>
            <w:shd w:val="clear" w:color="auto" w:fill="auto"/>
            <w:tcMar>
              <w:top w:w="110" w:type="dxa"/>
            </w:tcMar>
          </w:tcPr>
          <w:p w:rsidR="00221F0B" w:rsidRPr="00B101BC" w:rsidRDefault="00221F0B" w:rsidP="00DC1333">
            <w:pPr>
              <w:keepNext/>
              <w:keepLines/>
              <w:ind w:left="-108" w:right="-107"/>
              <w:jc w:val="center"/>
              <w:rPr>
                <w:b/>
                <w:color w:val="00B050"/>
                <w:sz w:val="16"/>
                <w:szCs w:val="16"/>
              </w:rPr>
            </w:pPr>
            <w:r w:rsidRPr="00B101BC">
              <w:rPr>
                <w:b/>
                <w:color w:val="00B050"/>
                <w:sz w:val="16"/>
                <w:szCs w:val="16"/>
              </w:rPr>
              <w:t>Plenamente logrado</w:t>
            </w:r>
          </w:p>
        </w:tc>
      </w:tr>
      <w:tr w:rsidR="00221F0B" w:rsidRPr="00B101BC" w:rsidTr="00876FDE">
        <w:tc>
          <w:tcPr>
            <w:tcW w:w="1212" w:type="pct"/>
            <w:tcBorders>
              <w:top w:val="single" w:sz="4" w:space="0" w:color="auto"/>
              <w:left w:val="single" w:sz="4" w:space="0" w:color="auto"/>
              <w:bottom w:val="nil"/>
            </w:tcBorders>
            <w:shd w:val="clear" w:color="auto" w:fill="auto"/>
          </w:tcPr>
          <w:p w:rsidR="00221F0B" w:rsidRPr="00B101BC" w:rsidRDefault="00221F0B" w:rsidP="005A3C0D">
            <w:pPr>
              <w:keepNext/>
              <w:rPr>
                <w:color w:val="000000"/>
                <w:sz w:val="16"/>
                <w:szCs w:val="16"/>
              </w:rPr>
            </w:pPr>
            <w:r w:rsidRPr="00B101BC">
              <w:rPr>
                <w:sz w:val="16"/>
                <w:szCs w:val="16"/>
              </w:rPr>
              <w:lastRenderedPageBreak/>
              <w:t>Índice de satisfacción de los Estados miembros respecto de la preparación y funcionamiento de las Asambleas</w:t>
            </w:r>
          </w:p>
        </w:tc>
        <w:tc>
          <w:tcPr>
            <w:tcW w:w="1288" w:type="pct"/>
            <w:tcBorders>
              <w:top w:val="single" w:sz="4" w:space="0" w:color="auto"/>
              <w:bottom w:val="nil"/>
            </w:tcBorders>
            <w:shd w:val="clear" w:color="auto" w:fill="auto"/>
          </w:tcPr>
          <w:p w:rsidR="00221F0B" w:rsidRPr="00B101BC" w:rsidRDefault="00221F0B" w:rsidP="005A3C0D">
            <w:pPr>
              <w:keepNext/>
              <w:rPr>
                <w:i/>
                <w:sz w:val="16"/>
                <w:szCs w:val="16"/>
              </w:rPr>
            </w:pPr>
            <w:r w:rsidRPr="00B101BC">
              <w:rPr>
                <w:i/>
                <w:color w:val="002060"/>
                <w:sz w:val="16"/>
                <w:szCs w:val="16"/>
              </w:rPr>
              <w:t>Referencia actualizada a fines de 2013:</w:t>
            </w:r>
            <w:r w:rsidRPr="00B101BC">
              <w:rPr>
                <w:i/>
                <w:sz w:val="16"/>
                <w:szCs w:val="16"/>
              </w:rPr>
              <w:t xml:space="preserve">  </w:t>
            </w:r>
            <w:r w:rsidRPr="00B101BC">
              <w:rPr>
                <w:sz w:val="16"/>
                <w:szCs w:val="16"/>
              </w:rPr>
              <w:t>88% según la encuesta de las Asambleas de la OMPI de 2012 (en 2013 no pudo llevarse a cabo una encuesta por circunstancias excepcionales;  volverá a realizarse en 2014)</w:t>
            </w:r>
          </w:p>
          <w:p w:rsidR="00221F0B" w:rsidRPr="00B101BC" w:rsidRDefault="00221F0B" w:rsidP="005A3C0D">
            <w:pPr>
              <w:keepNext/>
              <w:rPr>
                <w:i/>
                <w:sz w:val="16"/>
                <w:szCs w:val="16"/>
              </w:rPr>
            </w:pPr>
          </w:p>
        </w:tc>
        <w:tc>
          <w:tcPr>
            <w:tcW w:w="757" w:type="pct"/>
            <w:tcBorders>
              <w:top w:val="single" w:sz="4" w:space="0" w:color="auto"/>
              <w:bottom w:val="nil"/>
            </w:tcBorders>
            <w:shd w:val="clear" w:color="auto" w:fill="auto"/>
            <w:tcMar>
              <w:top w:w="110" w:type="dxa"/>
            </w:tcMar>
          </w:tcPr>
          <w:p w:rsidR="00221F0B" w:rsidRPr="00B101BC" w:rsidRDefault="00221F0B" w:rsidP="005A3C0D">
            <w:pPr>
              <w:keepNext/>
              <w:rPr>
                <w:sz w:val="16"/>
                <w:szCs w:val="16"/>
              </w:rPr>
            </w:pPr>
            <w:r w:rsidRPr="00B101BC">
              <w:rPr>
                <w:sz w:val="16"/>
                <w:szCs w:val="16"/>
              </w:rPr>
              <w:t>85% satisfecho con las disposiciones adoptadas</w:t>
            </w:r>
          </w:p>
        </w:tc>
        <w:tc>
          <w:tcPr>
            <w:tcW w:w="1137" w:type="pct"/>
            <w:gridSpan w:val="2"/>
            <w:tcBorders>
              <w:top w:val="single" w:sz="4" w:space="0" w:color="auto"/>
              <w:bottom w:val="nil"/>
            </w:tcBorders>
            <w:shd w:val="clear" w:color="auto" w:fill="FFFFFF"/>
            <w:tcMar>
              <w:top w:w="110" w:type="dxa"/>
            </w:tcMar>
          </w:tcPr>
          <w:p w:rsidR="00221F0B" w:rsidRPr="00B101BC" w:rsidRDefault="00221F0B" w:rsidP="005A3C0D">
            <w:pPr>
              <w:keepNext/>
              <w:rPr>
                <w:sz w:val="16"/>
                <w:szCs w:val="16"/>
              </w:rPr>
            </w:pPr>
            <w:r w:rsidRPr="00B101BC">
              <w:rPr>
                <w:sz w:val="16"/>
                <w:szCs w:val="16"/>
              </w:rPr>
              <w:t>87% (según la encuesta de las Asambleas de la OMPI de 2014</w:t>
            </w:r>
            <w:r w:rsidRPr="00B101BC">
              <w:rPr>
                <w:rStyle w:val="FootnoteReference"/>
                <w:sz w:val="16"/>
                <w:szCs w:val="16"/>
              </w:rPr>
              <w:footnoteReference w:id="123"/>
            </w:r>
            <w:r w:rsidRPr="00B101BC">
              <w:rPr>
                <w:sz w:val="16"/>
                <w:szCs w:val="16"/>
              </w:rPr>
              <w:t>)</w:t>
            </w:r>
          </w:p>
          <w:p w:rsidR="00221F0B" w:rsidRPr="00B101BC" w:rsidRDefault="00221F0B" w:rsidP="005A3C0D">
            <w:pPr>
              <w:keepNext/>
              <w:rPr>
                <w:sz w:val="16"/>
                <w:szCs w:val="16"/>
              </w:rPr>
            </w:pPr>
          </w:p>
          <w:p w:rsidR="00221F0B" w:rsidRPr="00B101BC" w:rsidRDefault="00221F0B" w:rsidP="005A3C0D">
            <w:pPr>
              <w:keepNext/>
              <w:rPr>
                <w:sz w:val="16"/>
                <w:szCs w:val="16"/>
              </w:rPr>
            </w:pPr>
            <w:r w:rsidRPr="00B101BC">
              <w:rPr>
                <w:sz w:val="16"/>
                <w:szCs w:val="16"/>
              </w:rPr>
              <w:t>90% (según la encuesta de las Asambleas de la OMPI de 2015)</w:t>
            </w:r>
          </w:p>
        </w:tc>
        <w:tc>
          <w:tcPr>
            <w:tcW w:w="606" w:type="pct"/>
            <w:gridSpan w:val="2"/>
            <w:tcBorders>
              <w:top w:val="single" w:sz="4" w:space="0" w:color="auto"/>
              <w:bottom w:val="nil"/>
              <w:right w:val="single" w:sz="4" w:space="0" w:color="auto"/>
            </w:tcBorders>
            <w:shd w:val="clear" w:color="auto" w:fill="auto"/>
            <w:tcMar>
              <w:top w:w="110" w:type="dxa"/>
            </w:tcMar>
          </w:tcPr>
          <w:p w:rsidR="00221F0B" w:rsidRPr="00B101BC" w:rsidRDefault="00221F0B" w:rsidP="005A3C0D">
            <w:pPr>
              <w:keepNext/>
              <w:keepLines/>
              <w:ind w:left="-108" w:right="-107"/>
              <w:jc w:val="center"/>
              <w:rPr>
                <w:b/>
                <w:color w:val="00B050"/>
                <w:sz w:val="16"/>
                <w:szCs w:val="16"/>
              </w:rPr>
            </w:pPr>
            <w:r w:rsidRPr="00B101BC">
              <w:rPr>
                <w:b/>
                <w:color w:val="00B050"/>
                <w:sz w:val="16"/>
                <w:szCs w:val="16"/>
              </w:rPr>
              <w:t>Plenamente logrado</w:t>
            </w:r>
          </w:p>
        </w:tc>
      </w:tr>
      <w:tr w:rsidR="00221F0B" w:rsidRPr="00B101BC" w:rsidTr="00876FDE">
        <w:tc>
          <w:tcPr>
            <w:tcW w:w="1212" w:type="pct"/>
            <w:tcBorders>
              <w:top w:val="nil"/>
              <w:left w:val="single" w:sz="4" w:space="0" w:color="auto"/>
              <w:bottom w:val="nil"/>
            </w:tcBorders>
            <w:shd w:val="clear" w:color="auto" w:fill="auto"/>
            <w:vAlign w:val="center"/>
          </w:tcPr>
          <w:p w:rsidR="00221F0B" w:rsidRPr="00B101BC" w:rsidRDefault="00221F0B" w:rsidP="005A3C0D">
            <w:pPr>
              <w:keepNext/>
              <w:rPr>
                <w:sz w:val="16"/>
                <w:szCs w:val="16"/>
              </w:rPr>
            </w:pPr>
          </w:p>
        </w:tc>
        <w:tc>
          <w:tcPr>
            <w:tcW w:w="1288" w:type="pct"/>
            <w:tcBorders>
              <w:top w:val="nil"/>
              <w:bottom w:val="nil"/>
            </w:tcBorders>
            <w:shd w:val="clear" w:color="auto" w:fill="auto"/>
            <w:vAlign w:val="center"/>
          </w:tcPr>
          <w:p w:rsidR="00221F0B" w:rsidRPr="00B101BC" w:rsidRDefault="00221F0B" w:rsidP="005A3C0D">
            <w:pPr>
              <w:keepNext/>
              <w:rPr>
                <w:b/>
                <w:bCs/>
                <w:sz w:val="16"/>
                <w:szCs w:val="16"/>
              </w:rPr>
            </w:pPr>
            <w:r w:rsidRPr="00B101BC">
              <w:rPr>
                <w:i/>
                <w:sz w:val="16"/>
                <w:szCs w:val="16"/>
              </w:rPr>
              <w:t xml:space="preserve">Referencia original en el presupuesto de 2014/15: </w:t>
            </w:r>
            <w:r>
              <w:rPr>
                <w:i/>
                <w:sz w:val="16"/>
                <w:szCs w:val="16"/>
              </w:rPr>
              <w:t xml:space="preserve"> </w:t>
            </w:r>
            <w:r w:rsidRPr="00B101BC">
              <w:rPr>
                <w:sz w:val="16"/>
                <w:szCs w:val="16"/>
              </w:rPr>
              <w:t>88% satisfecho con las disposiciones adoptadas</w:t>
            </w:r>
          </w:p>
        </w:tc>
        <w:tc>
          <w:tcPr>
            <w:tcW w:w="757" w:type="pct"/>
            <w:tcBorders>
              <w:top w:val="nil"/>
              <w:bottom w:val="nil"/>
            </w:tcBorders>
            <w:shd w:val="clear" w:color="auto" w:fill="auto"/>
            <w:tcMar>
              <w:top w:w="110" w:type="dxa"/>
            </w:tcMar>
            <w:vAlign w:val="center"/>
          </w:tcPr>
          <w:p w:rsidR="00221F0B" w:rsidRPr="00B101BC" w:rsidRDefault="00221F0B" w:rsidP="005A3C0D">
            <w:pPr>
              <w:keepNext/>
              <w:rPr>
                <w:b/>
                <w:sz w:val="16"/>
                <w:szCs w:val="16"/>
              </w:rPr>
            </w:pPr>
          </w:p>
        </w:tc>
        <w:tc>
          <w:tcPr>
            <w:tcW w:w="1137" w:type="pct"/>
            <w:gridSpan w:val="2"/>
            <w:tcBorders>
              <w:top w:val="nil"/>
              <w:bottom w:val="nil"/>
            </w:tcBorders>
            <w:shd w:val="clear" w:color="auto" w:fill="FFFFFF"/>
            <w:tcMar>
              <w:top w:w="110" w:type="dxa"/>
            </w:tcMar>
            <w:vAlign w:val="center"/>
          </w:tcPr>
          <w:p w:rsidR="00221F0B" w:rsidRPr="00B101BC" w:rsidRDefault="00221F0B" w:rsidP="005A3C0D">
            <w:pPr>
              <w:keepNext/>
              <w:rPr>
                <w:sz w:val="16"/>
                <w:szCs w:val="16"/>
              </w:rPr>
            </w:pPr>
          </w:p>
        </w:tc>
        <w:tc>
          <w:tcPr>
            <w:tcW w:w="606" w:type="pct"/>
            <w:gridSpan w:val="2"/>
            <w:tcBorders>
              <w:top w:val="nil"/>
              <w:bottom w:val="nil"/>
              <w:right w:val="single" w:sz="4" w:space="0" w:color="auto"/>
            </w:tcBorders>
            <w:shd w:val="clear" w:color="auto" w:fill="auto"/>
            <w:tcMar>
              <w:top w:w="110" w:type="dxa"/>
            </w:tcMar>
            <w:vAlign w:val="center"/>
          </w:tcPr>
          <w:p w:rsidR="00221F0B" w:rsidRPr="00B101BC" w:rsidRDefault="00221F0B" w:rsidP="005A3C0D">
            <w:pPr>
              <w:keepNext/>
              <w:jc w:val="center"/>
              <w:rPr>
                <w:b/>
                <w:bCs/>
                <w:sz w:val="16"/>
                <w:szCs w:val="16"/>
              </w:rPr>
            </w:pPr>
          </w:p>
        </w:tc>
      </w:tr>
      <w:tr w:rsidR="00221F0B" w:rsidRPr="00B101BC" w:rsidTr="00DC1333">
        <w:tc>
          <w:tcPr>
            <w:tcW w:w="1212" w:type="pct"/>
            <w:tcBorders>
              <w:top w:val="nil"/>
              <w:left w:val="single" w:sz="4" w:space="0" w:color="auto"/>
              <w:bottom w:val="single" w:sz="4" w:space="0" w:color="auto"/>
            </w:tcBorders>
            <w:shd w:val="clear" w:color="auto" w:fill="auto"/>
          </w:tcPr>
          <w:p w:rsidR="00221F0B" w:rsidRPr="00B101BC" w:rsidRDefault="00221F0B" w:rsidP="003C545F">
            <w:pPr>
              <w:rPr>
                <w:color w:val="000000"/>
                <w:sz w:val="16"/>
                <w:szCs w:val="16"/>
              </w:rPr>
            </w:pPr>
            <w:r w:rsidRPr="00B101BC">
              <w:rPr>
                <w:sz w:val="16"/>
                <w:szCs w:val="16"/>
              </w:rPr>
              <w:t>Publicación puntual de los documentos de las Asambleas</w:t>
            </w:r>
          </w:p>
        </w:tc>
        <w:tc>
          <w:tcPr>
            <w:tcW w:w="1288" w:type="pct"/>
            <w:tcBorders>
              <w:top w:val="nil"/>
              <w:bottom w:val="single" w:sz="4" w:space="0" w:color="auto"/>
            </w:tcBorders>
            <w:shd w:val="clear" w:color="auto" w:fill="auto"/>
          </w:tcPr>
          <w:p w:rsidR="00221F0B" w:rsidRPr="00B101BC" w:rsidRDefault="00221F0B" w:rsidP="003C545F">
            <w:pPr>
              <w:rPr>
                <w:sz w:val="16"/>
                <w:szCs w:val="16"/>
              </w:rPr>
            </w:pPr>
            <w:r w:rsidRPr="00B101BC">
              <w:rPr>
                <w:i/>
                <w:color w:val="002060"/>
                <w:sz w:val="16"/>
                <w:szCs w:val="16"/>
              </w:rPr>
              <w:t>Referencia actualizada a fines de 2013</w:t>
            </w:r>
            <w:r w:rsidRPr="00B101BC">
              <w:rPr>
                <w:i/>
                <w:sz w:val="16"/>
                <w:szCs w:val="16"/>
              </w:rPr>
              <w:t xml:space="preserve">:  </w:t>
            </w:r>
            <w:r w:rsidRPr="00B101BC">
              <w:rPr>
                <w:sz w:val="16"/>
                <w:szCs w:val="16"/>
              </w:rPr>
              <w:t>Para los períodos ordinarios de las Asambleas, el 95% de los documentos se publicaron por lo menos dos</w:t>
            </w:r>
            <w:r>
              <w:rPr>
                <w:sz w:val="16"/>
                <w:szCs w:val="16"/>
              </w:rPr>
              <w:t xml:space="preserve"> meses antes de su celebración</w:t>
            </w:r>
          </w:p>
          <w:p w:rsidR="00221F0B" w:rsidRPr="00B101BC" w:rsidRDefault="00221F0B" w:rsidP="003C545F">
            <w:pPr>
              <w:rPr>
                <w:i/>
                <w:sz w:val="16"/>
                <w:szCs w:val="16"/>
              </w:rPr>
            </w:pPr>
          </w:p>
          <w:p w:rsidR="00221F0B" w:rsidRPr="00B101BC" w:rsidRDefault="00221F0B" w:rsidP="003C545F">
            <w:pPr>
              <w:rPr>
                <w:sz w:val="16"/>
                <w:szCs w:val="16"/>
              </w:rPr>
            </w:pPr>
            <w:r w:rsidRPr="00B101BC">
              <w:rPr>
                <w:i/>
                <w:sz w:val="16"/>
                <w:szCs w:val="16"/>
              </w:rPr>
              <w:t>Referencia original en el presupuesto de 2014/15</w:t>
            </w:r>
            <w:r w:rsidRPr="00B101BC">
              <w:rPr>
                <w:sz w:val="16"/>
                <w:szCs w:val="16"/>
              </w:rPr>
              <w:t xml:space="preserve">: </w:t>
            </w:r>
            <w:r>
              <w:rPr>
                <w:sz w:val="16"/>
                <w:szCs w:val="16"/>
              </w:rPr>
              <w:t xml:space="preserve"> </w:t>
            </w:r>
            <w:r w:rsidRPr="00B101BC">
              <w:rPr>
                <w:sz w:val="16"/>
                <w:szCs w:val="16"/>
              </w:rPr>
              <w:t xml:space="preserve">100% de los documentos pertinentes publicados al menos dos meses antes de las </w:t>
            </w:r>
            <w:r w:rsidRPr="00B101BC">
              <w:rPr>
                <w:color w:val="000000"/>
                <w:sz w:val="16"/>
                <w:szCs w:val="16"/>
              </w:rPr>
              <w:t>Asambleas</w:t>
            </w:r>
            <w:r w:rsidRPr="00B101BC">
              <w:rPr>
                <w:color w:val="000000"/>
                <w:sz w:val="16"/>
                <w:szCs w:val="16"/>
              </w:rPr>
              <w:br/>
            </w:r>
          </w:p>
        </w:tc>
        <w:tc>
          <w:tcPr>
            <w:tcW w:w="757" w:type="pct"/>
            <w:tcBorders>
              <w:top w:val="nil"/>
              <w:bottom w:val="single" w:sz="4" w:space="0" w:color="auto"/>
            </w:tcBorders>
            <w:shd w:val="clear" w:color="auto" w:fill="auto"/>
            <w:tcMar>
              <w:top w:w="110" w:type="dxa"/>
            </w:tcMar>
          </w:tcPr>
          <w:p w:rsidR="00221F0B" w:rsidRPr="00B101BC" w:rsidRDefault="00221F0B" w:rsidP="003C545F">
            <w:pPr>
              <w:rPr>
                <w:color w:val="000000"/>
                <w:sz w:val="16"/>
                <w:szCs w:val="16"/>
              </w:rPr>
            </w:pPr>
            <w:r w:rsidRPr="00B101BC">
              <w:rPr>
                <w:color w:val="000000"/>
                <w:sz w:val="16"/>
                <w:szCs w:val="16"/>
              </w:rPr>
              <w:t>100% de los documentos pertinentes publicados al menos dos meses antes de las Asambleas</w:t>
            </w:r>
          </w:p>
        </w:tc>
        <w:tc>
          <w:tcPr>
            <w:tcW w:w="1137" w:type="pct"/>
            <w:gridSpan w:val="2"/>
            <w:tcBorders>
              <w:top w:val="nil"/>
              <w:bottom w:val="single" w:sz="4" w:space="0" w:color="auto"/>
            </w:tcBorders>
            <w:shd w:val="clear" w:color="auto" w:fill="FFFFFF"/>
            <w:tcMar>
              <w:top w:w="110" w:type="dxa"/>
            </w:tcMar>
          </w:tcPr>
          <w:p w:rsidR="00221F0B" w:rsidRPr="00B101BC" w:rsidRDefault="00221F0B" w:rsidP="003C545F">
            <w:pPr>
              <w:rPr>
                <w:color w:val="000000"/>
                <w:sz w:val="16"/>
                <w:szCs w:val="16"/>
              </w:rPr>
            </w:pPr>
            <w:r w:rsidRPr="00B101BC">
              <w:rPr>
                <w:color w:val="000000"/>
                <w:sz w:val="16"/>
                <w:szCs w:val="16"/>
              </w:rPr>
              <w:t>En 2014/15 el 97% de los documentos pertinentes publicados dos meses antes de las Asambleas:</w:t>
            </w:r>
            <w:r>
              <w:rPr>
                <w:color w:val="000000"/>
                <w:sz w:val="16"/>
                <w:szCs w:val="16"/>
              </w:rPr>
              <w:t xml:space="preserve">  </w:t>
            </w:r>
          </w:p>
          <w:p w:rsidR="00221F0B" w:rsidRPr="00B101BC" w:rsidRDefault="00221F0B" w:rsidP="003C545F">
            <w:pPr>
              <w:pStyle w:val="ListParagraph"/>
              <w:numPr>
                <w:ilvl w:val="0"/>
                <w:numId w:val="100"/>
              </w:numPr>
              <w:contextualSpacing/>
              <w:rPr>
                <w:sz w:val="16"/>
                <w:szCs w:val="16"/>
              </w:rPr>
            </w:pPr>
            <w:r w:rsidRPr="00B101BC">
              <w:rPr>
                <w:sz w:val="16"/>
                <w:szCs w:val="16"/>
              </w:rPr>
              <w:t xml:space="preserve">95% </w:t>
            </w:r>
            <w:proofErr w:type="spellStart"/>
            <w:r w:rsidRPr="00B101BC">
              <w:rPr>
                <w:sz w:val="16"/>
                <w:szCs w:val="16"/>
              </w:rPr>
              <w:t>en</w:t>
            </w:r>
            <w:proofErr w:type="spellEnd"/>
            <w:r w:rsidRPr="00B101BC">
              <w:rPr>
                <w:sz w:val="16"/>
                <w:szCs w:val="16"/>
              </w:rPr>
              <w:t xml:space="preserve"> las </w:t>
            </w:r>
            <w:proofErr w:type="spellStart"/>
            <w:r w:rsidRPr="00B101BC">
              <w:rPr>
                <w:sz w:val="16"/>
                <w:szCs w:val="16"/>
              </w:rPr>
              <w:t>Asambleas</w:t>
            </w:r>
            <w:proofErr w:type="spellEnd"/>
            <w:r w:rsidRPr="00B101BC">
              <w:rPr>
                <w:sz w:val="16"/>
                <w:szCs w:val="16"/>
              </w:rPr>
              <w:t xml:space="preserve"> de 2014</w:t>
            </w:r>
          </w:p>
          <w:p w:rsidR="00221F0B" w:rsidRPr="00B101BC" w:rsidRDefault="00221F0B" w:rsidP="003C545F">
            <w:pPr>
              <w:pStyle w:val="ListParagraph"/>
              <w:numPr>
                <w:ilvl w:val="0"/>
                <w:numId w:val="100"/>
              </w:numPr>
              <w:contextualSpacing/>
              <w:rPr>
                <w:sz w:val="16"/>
                <w:szCs w:val="16"/>
              </w:rPr>
            </w:pPr>
            <w:r w:rsidRPr="00B101BC">
              <w:rPr>
                <w:sz w:val="16"/>
                <w:szCs w:val="16"/>
              </w:rPr>
              <w:t xml:space="preserve">99,5% </w:t>
            </w:r>
            <w:proofErr w:type="spellStart"/>
            <w:r w:rsidRPr="00B101BC">
              <w:rPr>
                <w:sz w:val="16"/>
                <w:szCs w:val="16"/>
              </w:rPr>
              <w:t>en</w:t>
            </w:r>
            <w:proofErr w:type="spellEnd"/>
            <w:r w:rsidRPr="00B101BC">
              <w:rPr>
                <w:sz w:val="16"/>
                <w:szCs w:val="16"/>
              </w:rPr>
              <w:t xml:space="preserve"> las </w:t>
            </w:r>
            <w:proofErr w:type="spellStart"/>
            <w:r w:rsidRPr="00B101BC">
              <w:rPr>
                <w:sz w:val="16"/>
                <w:szCs w:val="16"/>
              </w:rPr>
              <w:t>Asambleas</w:t>
            </w:r>
            <w:proofErr w:type="spellEnd"/>
            <w:r w:rsidRPr="00B101BC">
              <w:rPr>
                <w:sz w:val="16"/>
                <w:szCs w:val="16"/>
              </w:rPr>
              <w:t xml:space="preserve"> de 2015</w:t>
            </w:r>
          </w:p>
        </w:tc>
        <w:tc>
          <w:tcPr>
            <w:tcW w:w="606" w:type="pct"/>
            <w:gridSpan w:val="2"/>
            <w:tcBorders>
              <w:top w:val="nil"/>
              <w:bottom w:val="single" w:sz="4" w:space="0" w:color="auto"/>
              <w:right w:val="single" w:sz="4" w:space="0" w:color="auto"/>
            </w:tcBorders>
            <w:shd w:val="clear" w:color="auto" w:fill="auto"/>
            <w:tcMar>
              <w:top w:w="110" w:type="dxa"/>
            </w:tcMar>
          </w:tcPr>
          <w:p w:rsidR="00221F0B" w:rsidRPr="00B101BC" w:rsidRDefault="00221F0B" w:rsidP="003C545F">
            <w:pPr>
              <w:ind w:left="-108" w:right="-107"/>
              <w:jc w:val="center"/>
              <w:rPr>
                <w:b/>
                <w:sz w:val="16"/>
                <w:szCs w:val="16"/>
              </w:rPr>
            </w:pPr>
            <w:r w:rsidRPr="00B101BC">
              <w:rPr>
                <w:b/>
                <w:color w:val="00B050"/>
                <w:sz w:val="16"/>
                <w:szCs w:val="16"/>
              </w:rPr>
              <w:t>Plenamente logrado</w:t>
            </w:r>
          </w:p>
        </w:tc>
      </w:tr>
      <w:tr w:rsidR="00221F0B" w:rsidRPr="00B101BC" w:rsidTr="00DC1333">
        <w:trPr>
          <w:trHeight w:val="619"/>
        </w:trPr>
        <w:tc>
          <w:tcPr>
            <w:tcW w:w="5000" w:type="pct"/>
            <w:gridSpan w:val="7"/>
            <w:tcBorders>
              <w:top w:val="single" w:sz="4" w:space="0" w:color="auto"/>
              <w:bottom w:val="single" w:sz="4" w:space="0" w:color="auto"/>
            </w:tcBorders>
            <w:shd w:val="clear" w:color="auto" w:fill="C6D9F1" w:themeFill="text2" w:themeFillTint="33"/>
            <w:vAlign w:val="center"/>
          </w:tcPr>
          <w:p w:rsidR="00221F0B" w:rsidRPr="00B101BC" w:rsidRDefault="00221F0B" w:rsidP="003C545F">
            <w:pPr>
              <w:ind w:left="2019" w:hanging="2019"/>
              <w:rPr>
                <w:b/>
                <w:bCs/>
                <w:sz w:val="16"/>
                <w:szCs w:val="16"/>
              </w:rPr>
            </w:pPr>
            <w:r w:rsidRPr="00B101BC">
              <w:rPr>
                <w:b/>
                <w:bCs/>
                <w:sz w:val="16"/>
                <w:szCs w:val="16"/>
              </w:rPr>
              <w:t>Resultado previsto:</w:t>
            </w:r>
            <w:r w:rsidRPr="00B101BC">
              <w:rPr>
                <w:b/>
                <w:bCs/>
                <w:color w:val="808080"/>
                <w:sz w:val="16"/>
                <w:szCs w:val="16"/>
              </w:rPr>
              <w:tab/>
            </w:r>
            <w:r w:rsidRPr="00B101BC">
              <w:rPr>
                <w:bCs/>
                <w:sz w:val="16"/>
                <w:szCs w:val="16"/>
              </w:rPr>
              <w:t xml:space="preserve">VIII.5 La OMPI participa y colabora eficazmente en los procesos y negociaciones de las </w:t>
            </w:r>
            <w:r>
              <w:rPr>
                <w:bCs/>
                <w:sz w:val="16"/>
                <w:szCs w:val="16"/>
              </w:rPr>
              <w:t>NN.UU.</w:t>
            </w:r>
            <w:r w:rsidRPr="00B101BC">
              <w:rPr>
                <w:bCs/>
                <w:sz w:val="16"/>
                <w:szCs w:val="16"/>
              </w:rPr>
              <w:t xml:space="preserve"> y otras OIG</w:t>
            </w:r>
          </w:p>
        </w:tc>
      </w:tr>
      <w:tr w:rsidR="00221F0B" w:rsidRPr="00B101BC" w:rsidTr="00DC1333">
        <w:tc>
          <w:tcPr>
            <w:tcW w:w="1212" w:type="pct"/>
            <w:tcBorders>
              <w:top w:val="single" w:sz="4" w:space="0" w:color="auto"/>
            </w:tcBorders>
            <w:shd w:val="clear" w:color="auto" w:fill="auto"/>
            <w:vAlign w:val="center"/>
          </w:tcPr>
          <w:p w:rsidR="00221F0B" w:rsidRPr="00B101BC" w:rsidRDefault="00221F0B" w:rsidP="003C545F">
            <w:pPr>
              <w:rPr>
                <w:sz w:val="16"/>
                <w:szCs w:val="16"/>
              </w:rPr>
            </w:pPr>
            <w:r w:rsidRPr="00B101BC">
              <w:rPr>
                <w:b/>
                <w:sz w:val="16"/>
                <w:szCs w:val="16"/>
              </w:rPr>
              <w:t>Indicadores de rendimiento</w:t>
            </w:r>
          </w:p>
        </w:tc>
        <w:tc>
          <w:tcPr>
            <w:tcW w:w="1288" w:type="pct"/>
            <w:tcBorders>
              <w:top w:val="single" w:sz="4" w:space="0" w:color="auto"/>
            </w:tcBorders>
            <w:shd w:val="clear" w:color="auto" w:fill="auto"/>
            <w:vAlign w:val="center"/>
          </w:tcPr>
          <w:p w:rsidR="00221F0B" w:rsidRPr="00B101BC" w:rsidRDefault="00221F0B" w:rsidP="003C545F">
            <w:pPr>
              <w:rPr>
                <w:b/>
                <w:bCs/>
                <w:sz w:val="16"/>
                <w:szCs w:val="16"/>
              </w:rPr>
            </w:pPr>
            <w:r w:rsidRPr="00B101BC">
              <w:rPr>
                <w:b/>
                <w:bCs/>
                <w:sz w:val="16"/>
                <w:szCs w:val="16"/>
              </w:rPr>
              <w:t>Referencia</w:t>
            </w:r>
          </w:p>
        </w:tc>
        <w:tc>
          <w:tcPr>
            <w:tcW w:w="757" w:type="pct"/>
            <w:tcBorders>
              <w:top w:val="single" w:sz="4" w:space="0" w:color="auto"/>
            </w:tcBorders>
            <w:shd w:val="clear" w:color="auto" w:fill="auto"/>
            <w:tcMar>
              <w:top w:w="110" w:type="dxa"/>
            </w:tcMar>
            <w:vAlign w:val="center"/>
          </w:tcPr>
          <w:p w:rsidR="00221F0B" w:rsidRPr="00B101BC" w:rsidRDefault="00221F0B" w:rsidP="003C545F">
            <w:pPr>
              <w:rPr>
                <w:b/>
                <w:sz w:val="16"/>
                <w:szCs w:val="16"/>
              </w:rPr>
            </w:pPr>
            <w:r w:rsidRPr="00B101BC">
              <w:rPr>
                <w:b/>
                <w:sz w:val="16"/>
                <w:szCs w:val="16"/>
              </w:rPr>
              <w:t>Objetivos</w:t>
            </w:r>
          </w:p>
        </w:tc>
        <w:tc>
          <w:tcPr>
            <w:tcW w:w="1137" w:type="pct"/>
            <w:gridSpan w:val="2"/>
            <w:tcBorders>
              <w:top w:val="single" w:sz="4" w:space="0" w:color="auto"/>
            </w:tcBorders>
            <w:shd w:val="clear" w:color="auto" w:fill="FFFFFF"/>
            <w:tcMar>
              <w:top w:w="110" w:type="dxa"/>
            </w:tcMar>
            <w:vAlign w:val="center"/>
          </w:tcPr>
          <w:p w:rsidR="00221F0B" w:rsidRPr="00B101BC" w:rsidRDefault="00221F0B" w:rsidP="003C545F">
            <w:pPr>
              <w:rPr>
                <w:sz w:val="16"/>
                <w:szCs w:val="16"/>
              </w:rPr>
            </w:pPr>
            <w:r w:rsidRPr="00B101BC">
              <w:rPr>
                <w:b/>
                <w:sz w:val="16"/>
                <w:szCs w:val="16"/>
              </w:rPr>
              <w:t>Datos sobre el rendimiento</w:t>
            </w:r>
          </w:p>
        </w:tc>
        <w:tc>
          <w:tcPr>
            <w:tcW w:w="606" w:type="pct"/>
            <w:gridSpan w:val="2"/>
            <w:tcBorders>
              <w:top w:val="single" w:sz="4" w:space="0" w:color="auto"/>
            </w:tcBorders>
            <w:shd w:val="clear" w:color="auto" w:fill="auto"/>
            <w:tcMar>
              <w:top w:w="110" w:type="dxa"/>
            </w:tcMar>
            <w:vAlign w:val="center"/>
          </w:tcPr>
          <w:p w:rsidR="00221F0B" w:rsidRPr="00B101BC" w:rsidRDefault="00221F0B" w:rsidP="003C545F">
            <w:pPr>
              <w:jc w:val="center"/>
              <w:rPr>
                <w:b/>
                <w:bCs/>
                <w:sz w:val="16"/>
                <w:szCs w:val="16"/>
              </w:rPr>
            </w:pPr>
            <w:r w:rsidRPr="00B101BC">
              <w:rPr>
                <w:b/>
                <w:bCs/>
                <w:sz w:val="16"/>
                <w:szCs w:val="16"/>
              </w:rPr>
              <w:t>Clave de colores</w:t>
            </w:r>
          </w:p>
        </w:tc>
      </w:tr>
      <w:tr w:rsidR="00221F0B" w:rsidRPr="00B101BC" w:rsidTr="00DC1333">
        <w:tc>
          <w:tcPr>
            <w:tcW w:w="1212" w:type="pct"/>
            <w:shd w:val="clear" w:color="auto" w:fill="auto"/>
          </w:tcPr>
          <w:p w:rsidR="00221F0B" w:rsidRPr="00B101BC" w:rsidRDefault="00221F0B" w:rsidP="003C545F">
            <w:pPr>
              <w:rPr>
                <w:color w:val="000000"/>
                <w:sz w:val="16"/>
                <w:szCs w:val="16"/>
              </w:rPr>
            </w:pPr>
            <w:r w:rsidRPr="00B101BC">
              <w:rPr>
                <w:sz w:val="16"/>
                <w:szCs w:val="16"/>
              </w:rPr>
              <w:t xml:space="preserve">Nuevas iniciativas conjuntas con otros organismos de las Naciones Unidas </w:t>
            </w:r>
          </w:p>
        </w:tc>
        <w:tc>
          <w:tcPr>
            <w:tcW w:w="1288" w:type="pct"/>
            <w:shd w:val="clear" w:color="auto" w:fill="auto"/>
          </w:tcPr>
          <w:p w:rsidR="00221F0B" w:rsidRPr="00B101BC" w:rsidRDefault="00221F0B" w:rsidP="003C545F">
            <w:pPr>
              <w:rPr>
                <w:rFonts w:eastAsiaTheme="minorHAnsi"/>
                <w:i/>
                <w:sz w:val="16"/>
                <w:szCs w:val="16"/>
              </w:rPr>
            </w:pPr>
            <w:r w:rsidRPr="00B101BC">
              <w:rPr>
                <w:rFonts w:eastAsiaTheme="minorHAnsi"/>
                <w:i/>
                <w:color w:val="002060"/>
                <w:sz w:val="16"/>
                <w:szCs w:val="16"/>
              </w:rPr>
              <w:t>Referencia actualizada a fines de 2013</w:t>
            </w:r>
            <w:r w:rsidRPr="00B101BC">
              <w:rPr>
                <w:rFonts w:eastAsiaTheme="minorHAnsi"/>
                <w:color w:val="002060"/>
                <w:sz w:val="16"/>
                <w:szCs w:val="16"/>
              </w:rPr>
              <w:t>:</w:t>
            </w:r>
            <w:r>
              <w:rPr>
                <w:rFonts w:eastAsiaTheme="minorHAnsi"/>
                <w:sz w:val="16"/>
                <w:szCs w:val="16"/>
              </w:rPr>
              <w:t xml:space="preserve">  2</w:t>
            </w:r>
            <w:r w:rsidRPr="00B101BC">
              <w:rPr>
                <w:rFonts w:eastAsiaTheme="minorHAnsi"/>
                <w:sz w:val="16"/>
                <w:szCs w:val="16"/>
              </w:rPr>
              <w:t xml:space="preserve"> nuevas iniciativas a cargo del Director General (presidió el HLCP en 2012 y asistió al lanzamiento en 2013 del Índice Mundial de Innovación en el ECOSOC en Ginebra)</w:t>
            </w:r>
          </w:p>
          <w:p w:rsidR="00221F0B" w:rsidRPr="00B101BC" w:rsidRDefault="00221F0B" w:rsidP="003C545F">
            <w:pPr>
              <w:rPr>
                <w:i/>
                <w:sz w:val="8"/>
                <w:szCs w:val="8"/>
              </w:rPr>
            </w:pPr>
          </w:p>
          <w:p w:rsidR="00221F0B" w:rsidRPr="00B101BC" w:rsidRDefault="00221F0B" w:rsidP="003C545F">
            <w:pPr>
              <w:rPr>
                <w:sz w:val="16"/>
                <w:szCs w:val="16"/>
              </w:rPr>
            </w:pPr>
            <w:r w:rsidRPr="00B101BC">
              <w:rPr>
                <w:i/>
                <w:sz w:val="16"/>
                <w:szCs w:val="16"/>
              </w:rPr>
              <w:t>Referencia original en el presupuesto de 2014/15</w:t>
            </w:r>
            <w:r w:rsidRPr="00B101BC">
              <w:rPr>
                <w:sz w:val="16"/>
                <w:szCs w:val="16"/>
              </w:rPr>
              <w:t xml:space="preserve">: </w:t>
            </w:r>
            <w:r>
              <w:rPr>
                <w:sz w:val="16"/>
                <w:szCs w:val="16"/>
              </w:rPr>
              <w:t xml:space="preserve"> 2</w:t>
            </w:r>
          </w:p>
          <w:p w:rsidR="00221F0B" w:rsidRPr="00B101BC" w:rsidRDefault="00221F0B" w:rsidP="003C545F">
            <w:pPr>
              <w:rPr>
                <w:color w:val="000000"/>
                <w:sz w:val="16"/>
                <w:szCs w:val="16"/>
              </w:rPr>
            </w:pPr>
          </w:p>
        </w:tc>
        <w:tc>
          <w:tcPr>
            <w:tcW w:w="757" w:type="pct"/>
            <w:shd w:val="clear" w:color="auto" w:fill="auto"/>
            <w:tcMar>
              <w:top w:w="110" w:type="dxa"/>
            </w:tcMar>
          </w:tcPr>
          <w:p w:rsidR="00221F0B" w:rsidRPr="00B101BC" w:rsidRDefault="00221F0B" w:rsidP="003C545F">
            <w:pPr>
              <w:rPr>
                <w:color w:val="808080"/>
                <w:sz w:val="16"/>
                <w:szCs w:val="16"/>
              </w:rPr>
            </w:pPr>
            <w:r>
              <w:rPr>
                <w:sz w:val="16"/>
                <w:szCs w:val="16"/>
              </w:rPr>
              <w:t>2</w:t>
            </w:r>
          </w:p>
        </w:tc>
        <w:tc>
          <w:tcPr>
            <w:tcW w:w="1137" w:type="pct"/>
            <w:gridSpan w:val="2"/>
            <w:shd w:val="clear" w:color="auto" w:fill="FFFFFF"/>
            <w:tcMar>
              <w:top w:w="110" w:type="dxa"/>
            </w:tcMar>
          </w:tcPr>
          <w:p w:rsidR="00221F0B" w:rsidRPr="00B101BC" w:rsidRDefault="00221F0B" w:rsidP="003C545F">
            <w:pPr>
              <w:rPr>
                <w:color w:val="000000"/>
                <w:sz w:val="16"/>
                <w:szCs w:val="16"/>
              </w:rPr>
            </w:pPr>
            <w:r w:rsidRPr="00B101BC">
              <w:rPr>
                <w:color w:val="000000"/>
                <w:sz w:val="16"/>
                <w:szCs w:val="16"/>
              </w:rPr>
              <w:t>El Director General ha</w:t>
            </w:r>
            <w:r>
              <w:rPr>
                <w:color w:val="000000"/>
                <w:sz w:val="16"/>
                <w:szCs w:val="16"/>
              </w:rPr>
              <w:t xml:space="preserve"> emprendido 2</w:t>
            </w:r>
            <w:r w:rsidRPr="00B101BC">
              <w:rPr>
                <w:color w:val="000000"/>
                <w:sz w:val="16"/>
                <w:szCs w:val="16"/>
              </w:rPr>
              <w:t xml:space="preserve"> nuevas iniciativas:</w:t>
            </w:r>
            <w:r w:rsidRPr="00B101BC">
              <w:rPr>
                <w:sz w:val="16"/>
                <w:szCs w:val="16"/>
                <w:lang w:bidi="th-TH"/>
              </w:rPr>
              <w:t xml:space="preserve">  </w:t>
            </w:r>
          </w:p>
          <w:p w:rsidR="00221F0B" w:rsidRPr="00221F0B" w:rsidRDefault="00221F0B" w:rsidP="003C545F">
            <w:pPr>
              <w:pStyle w:val="ListParagraph"/>
              <w:numPr>
                <w:ilvl w:val="0"/>
                <w:numId w:val="101"/>
              </w:numPr>
              <w:contextualSpacing/>
              <w:rPr>
                <w:sz w:val="16"/>
                <w:szCs w:val="16"/>
                <w:lang w:val="es-ES"/>
              </w:rPr>
            </w:pPr>
            <w:r w:rsidRPr="00221F0B">
              <w:rPr>
                <w:sz w:val="16"/>
                <w:szCs w:val="16"/>
                <w:lang w:val="es-ES"/>
              </w:rPr>
              <w:t xml:space="preserve">Solicitud de condición de observador ante la Organización Internacional para las Migraciones (OIM) en 2014;  </w:t>
            </w:r>
          </w:p>
          <w:p w:rsidR="00221F0B" w:rsidRPr="00221F0B" w:rsidRDefault="00221F0B" w:rsidP="003C545F">
            <w:pPr>
              <w:pStyle w:val="ListParagraph"/>
              <w:numPr>
                <w:ilvl w:val="0"/>
                <w:numId w:val="101"/>
              </w:numPr>
              <w:contextualSpacing/>
              <w:rPr>
                <w:color w:val="000000"/>
                <w:sz w:val="16"/>
                <w:szCs w:val="16"/>
                <w:lang w:val="es-ES"/>
              </w:rPr>
            </w:pPr>
            <w:r w:rsidRPr="00221F0B">
              <w:rPr>
                <w:sz w:val="16"/>
                <w:szCs w:val="16"/>
                <w:lang w:val="es-ES"/>
              </w:rPr>
              <w:t xml:space="preserve">Incorporación en 2015 al Grupo de Trabajo Interinstitucional de las Naciones Unidas sobre un Mecanismo de Facilitación de la Tecnología </w:t>
            </w:r>
            <w:r w:rsidRPr="00221F0B">
              <w:rPr>
                <w:bCs/>
                <w:sz w:val="16"/>
                <w:szCs w:val="16"/>
                <w:lang w:val="es-ES"/>
              </w:rPr>
              <w:t xml:space="preserve">(establecido en el marco de la </w:t>
            </w:r>
            <w:r w:rsidRPr="00221F0B">
              <w:rPr>
                <w:iCs/>
                <w:sz w:val="16"/>
                <w:szCs w:val="16"/>
                <w:lang w:val="es-ES"/>
              </w:rPr>
              <w:t>Agenda</w:t>
            </w:r>
            <w:r w:rsidRPr="00221F0B">
              <w:rPr>
                <w:sz w:val="16"/>
                <w:szCs w:val="16"/>
                <w:lang w:val="es-ES"/>
              </w:rPr>
              <w:t xml:space="preserve"> de Acción de </w:t>
            </w:r>
            <w:r w:rsidRPr="00221F0B">
              <w:rPr>
                <w:iCs/>
                <w:sz w:val="16"/>
                <w:szCs w:val="16"/>
                <w:lang w:val="es-ES"/>
              </w:rPr>
              <w:t>Addis</w:t>
            </w:r>
            <w:r w:rsidRPr="00221F0B">
              <w:rPr>
                <w:sz w:val="16"/>
                <w:szCs w:val="16"/>
                <w:lang w:val="es-ES"/>
              </w:rPr>
              <w:t xml:space="preserve"> Abeba)</w:t>
            </w:r>
          </w:p>
          <w:p w:rsidR="00221F0B" w:rsidRPr="00221F0B" w:rsidRDefault="00221F0B" w:rsidP="003C545F">
            <w:pPr>
              <w:pStyle w:val="ListParagraph"/>
              <w:ind w:left="360"/>
              <w:rPr>
                <w:color w:val="000000"/>
                <w:sz w:val="16"/>
                <w:szCs w:val="16"/>
                <w:lang w:val="es-ES"/>
              </w:rPr>
            </w:pPr>
          </w:p>
        </w:tc>
        <w:tc>
          <w:tcPr>
            <w:tcW w:w="606" w:type="pct"/>
            <w:gridSpan w:val="2"/>
            <w:shd w:val="clear" w:color="auto" w:fill="auto"/>
            <w:tcMar>
              <w:top w:w="110" w:type="dxa"/>
            </w:tcMar>
          </w:tcPr>
          <w:p w:rsidR="00221F0B" w:rsidRPr="00B101BC" w:rsidRDefault="00221F0B" w:rsidP="003C545F">
            <w:pPr>
              <w:ind w:left="-108" w:right="-107"/>
              <w:jc w:val="center"/>
              <w:rPr>
                <w:bCs/>
                <w:color w:val="00B050"/>
                <w:sz w:val="16"/>
                <w:szCs w:val="16"/>
              </w:rPr>
            </w:pPr>
            <w:r w:rsidRPr="00B101BC">
              <w:rPr>
                <w:b/>
                <w:bCs/>
                <w:color w:val="00B050"/>
                <w:sz w:val="16"/>
                <w:szCs w:val="16"/>
              </w:rPr>
              <w:t>Plenamente logrado</w:t>
            </w:r>
          </w:p>
        </w:tc>
      </w:tr>
      <w:tr w:rsidR="00221F0B" w:rsidRPr="00B101BC" w:rsidTr="00DC1333">
        <w:trPr>
          <w:trHeight w:val="607"/>
        </w:trPr>
        <w:tc>
          <w:tcPr>
            <w:tcW w:w="5000" w:type="pct"/>
            <w:gridSpan w:val="7"/>
            <w:tcBorders>
              <w:top w:val="single" w:sz="4" w:space="0" w:color="auto"/>
              <w:bottom w:val="single" w:sz="4" w:space="0" w:color="auto"/>
            </w:tcBorders>
            <w:shd w:val="clear" w:color="auto" w:fill="C6D9F1" w:themeFill="text2" w:themeFillTint="33"/>
            <w:vAlign w:val="center"/>
          </w:tcPr>
          <w:p w:rsidR="00221F0B" w:rsidRPr="00B101BC" w:rsidRDefault="00221F0B" w:rsidP="003C545F">
            <w:pPr>
              <w:keepNext/>
              <w:keepLines/>
              <w:ind w:left="2019" w:hanging="2019"/>
              <w:rPr>
                <w:b/>
                <w:bCs/>
                <w:sz w:val="16"/>
                <w:szCs w:val="16"/>
              </w:rPr>
            </w:pPr>
            <w:r w:rsidRPr="00B101BC">
              <w:rPr>
                <w:b/>
                <w:bCs/>
                <w:color w:val="000000"/>
                <w:sz w:val="16"/>
                <w:szCs w:val="16"/>
              </w:rPr>
              <w:lastRenderedPageBreak/>
              <w:t>Resultado previsto</w:t>
            </w:r>
            <w:r w:rsidRPr="00B101BC">
              <w:rPr>
                <w:bCs/>
                <w:sz w:val="16"/>
                <w:szCs w:val="16"/>
              </w:rPr>
              <w:t>:</w:t>
            </w:r>
            <w:r w:rsidRPr="00B101BC">
              <w:rPr>
                <w:b/>
                <w:bCs/>
                <w:color w:val="808080"/>
                <w:sz w:val="16"/>
                <w:szCs w:val="16"/>
              </w:rPr>
              <w:tab/>
            </w:r>
            <w:r w:rsidRPr="00B101BC">
              <w:rPr>
                <w:bCs/>
                <w:sz w:val="16"/>
                <w:szCs w:val="16"/>
              </w:rPr>
              <w:t>IX.2 Funcionamiento sin contratiempos de la Secretaría, provista de un personal bien dirigido, dotado de las competencias adecuadas y capaz de conseguir resultados</w:t>
            </w:r>
          </w:p>
        </w:tc>
      </w:tr>
      <w:tr w:rsidR="00221F0B" w:rsidRPr="00B101BC" w:rsidTr="00DC1333">
        <w:tc>
          <w:tcPr>
            <w:tcW w:w="1212" w:type="pct"/>
            <w:tcBorders>
              <w:top w:val="single" w:sz="4" w:space="0" w:color="auto"/>
              <w:bottom w:val="nil"/>
            </w:tcBorders>
            <w:shd w:val="clear" w:color="auto" w:fill="auto"/>
            <w:vAlign w:val="center"/>
          </w:tcPr>
          <w:p w:rsidR="00221F0B" w:rsidRPr="00B101BC" w:rsidRDefault="00221F0B" w:rsidP="003C545F">
            <w:pPr>
              <w:keepNext/>
              <w:keepLines/>
              <w:rPr>
                <w:sz w:val="16"/>
                <w:szCs w:val="16"/>
              </w:rPr>
            </w:pPr>
            <w:r w:rsidRPr="00B101BC">
              <w:rPr>
                <w:b/>
                <w:sz w:val="16"/>
                <w:szCs w:val="16"/>
              </w:rPr>
              <w:t>Indicadores de rendimiento</w:t>
            </w:r>
          </w:p>
        </w:tc>
        <w:tc>
          <w:tcPr>
            <w:tcW w:w="1288" w:type="pct"/>
            <w:tcBorders>
              <w:top w:val="single" w:sz="4" w:space="0" w:color="auto"/>
              <w:bottom w:val="nil"/>
            </w:tcBorders>
            <w:shd w:val="clear" w:color="auto" w:fill="auto"/>
            <w:vAlign w:val="center"/>
          </w:tcPr>
          <w:p w:rsidR="00221F0B" w:rsidRPr="00B101BC" w:rsidRDefault="00221F0B" w:rsidP="003C545F">
            <w:pPr>
              <w:keepNext/>
              <w:keepLines/>
              <w:rPr>
                <w:b/>
                <w:bCs/>
                <w:sz w:val="16"/>
                <w:szCs w:val="16"/>
              </w:rPr>
            </w:pPr>
            <w:r w:rsidRPr="00B101BC">
              <w:rPr>
                <w:b/>
                <w:bCs/>
                <w:sz w:val="16"/>
                <w:szCs w:val="16"/>
              </w:rPr>
              <w:t>Referencia</w:t>
            </w:r>
          </w:p>
        </w:tc>
        <w:tc>
          <w:tcPr>
            <w:tcW w:w="757" w:type="pct"/>
            <w:tcBorders>
              <w:top w:val="single" w:sz="4" w:space="0" w:color="auto"/>
              <w:bottom w:val="nil"/>
            </w:tcBorders>
            <w:shd w:val="clear" w:color="auto" w:fill="auto"/>
            <w:tcMar>
              <w:top w:w="110" w:type="dxa"/>
            </w:tcMar>
            <w:vAlign w:val="center"/>
          </w:tcPr>
          <w:p w:rsidR="00221F0B" w:rsidRPr="00B101BC" w:rsidRDefault="00221F0B" w:rsidP="003C545F">
            <w:pPr>
              <w:keepNext/>
              <w:keepLines/>
              <w:rPr>
                <w:b/>
                <w:sz w:val="16"/>
                <w:szCs w:val="16"/>
              </w:rPr>
            </w:pPr>
            <w:r w:rsidRPr="00B101BC">
              <w:rPr>
                <w:b/>
                <w:sz w:val="16"/>
                <w:szCs w:val="16"/>
              </w:rPr>
              <w:t>Objetivos</w:t>
            </w:r>
          </w:p>
        </w:tc>
        <w:tc>
          <w:tcPr>
            <w:tcW w:w="1137" w:type="pct"/>
            <w:gridSpan w:val="2"/>
            <w:tcBorders>
              <w:top w:val="single" w:sz="4" w:space="0" w:color="auto"/>
              <w:bottom w:val="nil"/>
            </w:tcBorders>
            <w:shd w:val="clear" w:color="auto" w:fill="FFFFFF"/>
            <w:tcMar>
              <w:top w:w="110" w:type="dxa"/>
            </w:tcMar>
            <w:vAlign w:val="center"/>
          </w:tcPr>
          <w:p w:rsidR="00221F0B" w:rsidRPr="00B101BC" w:rsidRDefault="00221F0B" w:rsidP="003C545F">
            <w:pPr>
              <w:keepNext/>
              <w:rPr>
                <w:sz w:val="16"/>
                <w:szCs w:val="16"/>
              </w:rPr>
            </w:pPr>
            <w:r w:rsidRPr="00B101BC">
              <w:rPr>
                <w:b/>
                <w:sz w:val="16"/>
                <w:szCs w:val="16"/>
              </w:rPr>
              <w:t>Datos sobre el rendimiento</w:t>
            </w:r>
          </w:p>
        </w:tc>
        <w:tc>
          <w:tcPr>
            <w:tcW w:w="606" w:type="pct"/>
            <w:gridSpan w:val="2"/>
            <w:tcBorders>
              <w:top w:val="single" w:sz="4" w:space="0" w:color="auto"/>
              <w:bottom w:val="nil"/>
            </w:tcBorders>
            <w:shd w:val="clear" w:color="auto" w:fill="auto"/>
            <w:tcMar>
              <w:top w:w="110" w:type="dxa"/>
            </w:tcMar>
            <w:vAlign w:val="center"/>
          </w:tcPr>
          <w:p w:rsidR="00221F0B" w:rsidRPr="00B101BC" w:rsidRDefault="00221F0B" w:rsidP="003C545F">
            <w:pPr>
              <w:keepNext/>
              <w:keepLines/>
              <w:jc w:val="center"/>
              <w:rPr>
                <w:b/>
                <w:bCs/>
                <w:sz w:val="16"/>
                <w:szCs w:val="16"/>
              </w:rPr>
            </w:pPr>
            <w:r w:rsidRPr="00B101BC">
              <w:rPr>
                <w:b/>
                <w:bCs/>
                <w:sz w:val="16"/>
                <w:szCs w:val="16"/>
              </w:rPr>
              <w:t>Clave de colores</w:t>
            </w:r>
          </w:p>
        </w:tc>
      </w:tr>
      <w:tr w:rsidR="00221F0B" w:rsidRPr="00B101BC" w:rsidTr="00DC1333">
        <w:tc>
          <w:tcPr>
            <w:tcW w:w="1212" w:type="pct"/>
            <w:tcBorders>
              <w:top w:val="nil"/>
              <w:bottom w:val="single" w:sz="4" w:space="0" w:color="auto"/>
            </w:tcBorders>
            <w:shd w:val="clear" w:color="auto" w:fill="auto"/>
          </w:tcPr>
          <w:p w:rsidR="00221F0B" w:rsidRPr="00B101BC" w:rsidRDefault="00221F0B" w:rsidP="003C545F">
            <w:pPr>
              <w:keepNext/>
              <w:rPr>
                <w:color w:val="000000"/>
                <w:sz w:val="16"/>
                <w:szCs w:val="16"/>
              </w:rPr>
            </w:pPr>
            <w:r w:rsidRPr="00B101BC">
              <w:rPr>
                <w:color w:val="000000"/>
                <w:sz w:val="16"/>
                <w:szCs w:val="16"/>
              </w:rPr>
              <w:t>Porcentaje de peticiones de asesoramiento y servicios jurídicos que reciben respuestas rápidas, independientes y fiables de la Oficina del Consejero Jurídico</w:t>
            </w:r>
          </w:p>
        </w:tc>
        <w:tc>
          <w:tcPr>
            <w:tcW w:w="1288" w:type="pct"/>
            <w:tcBorders>
              <w:top w:val="nil"/>
              <w:bottom w:val="single" w:sz="4" w:space="0" w:color="auto"/>
            </w:tcBorders>
            <w:shd w:val="clear" w:color="auto" w:fill="auto"/>
          </w:tcPr>
          <w:p w:rsidR="00221F0B" w:rsidRPr="00B101BC" w:rsidRDefault="00221F0B" w:rsidP="003C545F">
            <w:pPr>
              <w:keepNext/>
              <w:rPr>
                <w:rFonts w:eastAsiaTheme="minorHAnsi"/>
                <w:i/>
                <w:color w:val="002060"/>
                <w:sz w:val="16"/>
                <w:szCs w:val="16"/>
              </w:rPr>
            </w:pPr>
            <w:r w:rsidRPr="00B101BC">
              <w:rPr>
                <w:rFonts w:eastAsiaTheme="minorHAnsi"/>
                <w:i/>
                <w:color w:val="002060"/>
                <w:sz w:val="16"/>
                <w:szCs w:val="16"/>
              </w:rPr>
              <w:t>Referencia actualizada a fines de 2013</w:t>
            </w:r>
            <w:r w:rsidRPr="00B101BC">
              <w:rPr>
                <w:rFonts w:eastAsiaTheme="minorHAnsi"/>
                <w:color w:val="002060"/>
                <w:sz w:val="16"/>
                <w:szCs w:val="16"/>
              </w:rPr>
              <w:t>:  A pesar de un aumento del número de peticiones de asesoramiento, así como de las materias tratadas, el 98% de esas peticiones recibió respuestas rápidas y fiables de la Oficina del Consejero Jurídico</w:t>
            </w:r>
          </w:p>
          <w:p w:rsidR="00221F0B" w:rsidRPr="00B101BC" w:rsidRDefault="00221F0B" w:rsidP="003C545F">
            <w:pPr>
              <w:keepNext/>
              <w:rPr>
                <w:i/>
                <w:sz w:val="16"/>
                <w:szCs w:val="16"/>
              </w:rPr>
            </w:pPr>
          </w:p>
          <w:p w:rsidR="00221F0B" w:rsidRPr="00B101BC" w:rsidRDefault="00221F0B" w:rsidP="003C545F">
            <w:pPr>
              <w:keepNext/>
              <w:rPr>
                <w:sz w:val="16"/>
                <w:szCs w:val="16"/>
              </w:rPr>
            </w:pPr>
            <w:r w:rsidRPr="00B101BC">
              <w:rPr>
                <w:i/>
                <w:sz w:val="16"/>
                <w:szCs w:val="16"/>
              </w:rPr>
              <w:t>Referencia original en el presupuesto de 2014/15</w:t>
            </w:r>
            <w:r w:rsidRPr="00B101BC">
              <w:rPr>
                <w:sz w:val="16"/>
                <w:szCs w:val="16"/>
              </w:rPr>
              <w:t>:</w:t>
            </w:r>
            <w:r>
              <w:rPr>
                <w:sz w:val="16"/>
                <w:szCs w:val="16"/>
              </w:rPr>
              <w:t xml:space="preserve">  </w:t>
            </w:r>
            <w:r w:rsidRPr="00B101BC">
              <w:rPr>
                <w:sz w:val="16"/>
                <w:szCs w:val="16"/>
              </w:rPr>
              <w:t>100%</w:t>
            </w:r>
            <w:r w:rsidRPr="00B101BC">
              <w:rPr>
                <w:sz w:val="16"/>
                <w:szCs w:val="16"/>
              </w:rPr>
              <w:br/>
            </w:r>
          </w:p>
        </w:tc>
        <w:tc>
          <w:tcPr>
            <w:tcW w:w="757" w:type="pct"/>
            <w:tcBorders>
              <w:top w:val="nil"/>
              <w:bottom w:val="single" w:sz="4" w:space="0" w:color="auto"/>
            </w:tcBorders>
            <w:shd w:val="clear" w:color="auto" w:fill="auto"/>
            <w:tcMar>
              <w:top w:w="110" w:type="dxa"/>
            </w:tcMar>
          </w:tcPr>
          <w:p w:rsidR="00221F0B" w:rsidRPr="00B101BC" w:rsidRDefault="00221F0B" w:rsidP="003C545F">
            <w:pPr>
              <w:keepNext/>
              <w:rPr>
                <w:sz w:val="16"/>
                <w:szCs w:val="16"/>
              </w:rPr>
            </w:pPr>
            <w:r w:rsidRPr="00B101BC">
              <w:rPr>
                <w:sz w:val="16"/>
                <w:szCs w:val="16"/>
              </w:rPr>
              <w:t>90%</w:t>
            </w:r>
          </w:p>
        </w:tc>
        <w:tc>
          <w:tcPr>
            <w:tcW w:w="1137" w:type="pct"/>
            <w:gridSpan w:val="2"/>
            <w:tcBorders>
              <w:top w:val="nil"/>
              <w:bottom w:val="single" w:sz="4" w:space="0" w:color="auto"/>
            </w:tcBorders>
            <w:shd w:val="clear" w:color="auto" w:fill="FFFFFF"/>
            <w:tcMar>
              <w:top w:w="110" w:type="dxa"/>
            </w:tcMar>
          </w:tcPr>
          <w:p w:rsidR="00221F0B" w:rsidRPr="00B101BC" w:rsidRDefault="00221F0B" w:rsidP="003C545F">
            <w:pPr>
              <w:keepNext/>
              <w:rPr>
                <w:sz w:val="16"/>
                <w:szCs w:val="16"/>
              </w:rPr>
            </w:pPr>
            <w:r w:rsidRPr="00B101BC">
              <w:rPr>
                <w:sz w:val="16"/>
                <w:szCs w:val="16"/>
              </w:rPr>
              <w:t>En el contexto de una gran demanda de sus servicios, que va en aumento, la Oficina del Consejero Jurídico continuó proporcionando respuestas rápidas, independientes y fiables al 95% de las peticiones de asesoramiento recibidas en 2014/15</w:t>
            </w:r>
          </w:p>
        </w:tc>
        <w:tc>
          <w:tcPr>
            <w:tcW w:w="606" w:type="pct"/>
            <w:gridSpan w:val="2"/>
            <w:tcBorders>
              <w:top w:val="nil"/>
              <w:bottom w:val="single" w:sz="4" w:space="0" w:color="auto"/>
            </w:tcBorders>
            <w:shd w:val="clear" w:color="auto" w:fill="auto"/>
            <w:tcMar>
              <w:top w:w="110" w:type="dxa"/>
            </w:tcMar>
          </w:tcPr>
          <w:p w:rsidR="00221F0B" w:rsidRPr="00B101BC" w:rsidRDefault="00221F0B" w:rsidP="003C545F">
            <w:pPr>
              <w:keepNext/>
              <w:keepLines/>
              <w:ind w:left="-108"/>
              <w:jc w:val="center"/>
              <w:rPr>
                <w:b/>
                <w:color w:val="00B050"/>
                <w:sz w:val="16"/>
                <w:szCs w:val="16"/>
              </w:rPr>
            </w:pPr>
            <w:r w:rsidRPr="00B101BC">
              <w:rPr>
                <w:b/>
                <w:color w:val="00B050"/>
                <w:sz w:val="16"/>
                <w:szCs w:val="16"/>
              </w:rPr>
              <w:t>Plenamente logrado</w:t>
            </w:r>
          </w:p>
        </w:tc>
      </w:tr>
      <w:tr w:rsidR="00221F0B" w:rsidRPr="00B101BC" w:rsidTr="00DC1333">
        <w:trPr>
          <w:trHeight w:val="550"/>
        </w:trPr>
        <w:tc>
          <w:tcPr>
            <w:tcW w:w="5000" w:type="pct"/>
            <w:gridSpan w:val="7"/>
            <w:tcBorders>
              <w:top w:val="single" w:sz="4" w:space="0" w:color="auto"/>
              <w:bottom w:val="single" w:sz="4" w:space="0" w:color="auto"/>
            </w:tcBorders>
            <w:shd w:val="clear" w:color="auto" w:fill="C6D9F1" w:themeFill="text2" w:themeFillTint="33"/>
            <w:vAlign w:val="center"/>
          </w:tcPr>
          <w:p w:rsidR="00221F0B" w:rsidRPr="00B101BC" w:rsidRDefault="00221F0B" w:rsidP="003C545F">
            <w:pPr>
              <w:keepNext/>
              <w:keepLines/>
              <w:ind w:left="2019" w:hanging="2019"/>
              <w:jc w:val="both"/>
              <w:rPr>
                <w:b/>
                <w:bCs/>
                <w:sz w:val="16"/>
                <w:szCs w:val="16"/>
              </w:rPr>
            </w:pPr>
            <w:r w:rsidRPr="00B101BC">
              <w:rPr>
                <w:b/>
                <w:bCs/>
                <w:color w:val="000000"/>
                <w:sz w:val="16"/>
                <w:szCs w:val="16"/>
              </w:rPr>
              <w:t>Resultado previsto</w:t>
            </w:r>
            <w:r w:rsidRPr="00B101BC">
              <w:rPr>
                <w:bCs/>
                <w:color w:val="000000"/>
                <w:sz w:val="16"/>
                <w:szCs w:val="16"/>
              </w:rPr>
              <w:t>:</w:t>
            </w:r>
            <w:r w:rsidRPr="00B101BC">
              <w:rPr>
                <w:b/>
                <w:bCs/>
                <w:color w:val="808080"/>
                <w:sz w:val="16"/>
                <w:szCs w:val="16"/>
              </w:rPr>
              <w:tab/>
            </w:r>
            <w:r w:rsidRPr="00B101BC">
              <w:rPr>
                <w:bCs/>
                <w:sz w:val="16"/>
                <w:szCs w:val="16"/>
              </w:rPr>
              <w:t>IX.3 Entorno de trabajo propicio basado en un marco regulador eficaz y medios adecuados para atender los temas de interés del personal</w:t>
            </w:r>
          </w:p>
        </w:tc>
      </w:tr>
      <w:tr w:rsidR="00221F0B" w:rsidRPr="00B101BC" w:rsidTr="00DC1333">
        <w:tc>
          <w:tcPr>
            <w:tcW w:w="1212" w:type="pct"/>
            <w:tcBorders>
              <w:top w:val="single" w:sz="4" w:space="0" w:color="auto"/>
              <w:bottom w:val="nil"/>
            </w:tcBorders>
            <w:shd w:val="clear" w:color="auto" w:fill="auto"/>
            <w:vAlign w:val="center"/>
          </w:tcPr>
          <w:p w:rsidR="00221F0B" w:rsidRPr="00B101BC" w:rsidRDefault="00221F0B" w:rsidP="003C545F">
            <w:pPr>
              <w:keepNext/>
              <w:keepLines/>
              <w:rPr>
                <w:sz w:val="16"/>
                <w:szCs w:val="16"/>
              </w:rPr>
            </w:pPr>
            <w:r w:rsidRPr="00B101BC">
              <w:rPr>
                <w:b/>
                <w:sz w:val="16"/>
                <w:szCs w:val="16"/>
              </w:rPr>
              <w:t>Indicadores de rendimiento</w:t>
            </w:r>
          </w:p>
        </w:tc>
        <w:tc>
          <w:tcPr>
            <w:tcW w:w="1288" w:type="pct"/>
            <w:tcBorders>
              <w:top w:val="single" w:sz="4" w:space="0" w:color="auto"/>
              <w:bottom w:val="nil"/>
            </w:tcBorders>
            <w:shd w:val="clear" w:color="auto" w:fill="auto"/>
            <w:vAlign w:val="center"/>
          </w:tcPr>
          <w:p w:rsidR="00221F0B" w:rsidRPr="00B101BC" w:rsidRDefault="00221F0B" w:rsidP="003C545F">
            <w:pPr>
              <w:keepNext/>
              <w:keepLines/>
              <w:rPr>
                <w:b/>
                <w:bCs/>
                <w:sz w:val="16"/>
                <w:szCs w:val="16"/>
              </w:rPr>
            </w:pPr>
            <w:r w:rsidRPr="00B101BC">
              <w:rPr>
                <w:b/>
                <w:bCs/>
                <w:sz w:val="16"/>
                <w:szCs w:val="16"/>
              </w:rPr>
              <w:t>Referencia</w:t>
            </w:r>
          </w:p>
        </w:tc>
        <w:tc>
          <w:tcPr>
            <w:tcW w:w="757" w:type="pct"/>
            <w:tcBorders>
              <w:top w:val="single" w:sz="4" w:space="0" w:color="auto"/>
              <w:bottom w:val="nil"/>
            </w:tcBorders>
            <w:shd w:val="clear" w:color="auto" w:fill="auto"/>
            <w:tcMar>
              <w:top w:w="110" w:type="dxa"/>
            </w:tcMar>
            <w:vAlign w:val="center"/>
          </w:tcPr>
          <w:p w:rsidR="00221F0B" w:rsidRPr="00B101BC" w:rsidRDefault="00221F0B" w:rsidP="003C545F">
            <w:pPr>
              <w:keepNext/>
              <w:keepLines/>
              <w:rPr>
                <w:b/>
                <w:sz w:val="16"/>
                <w:szCs w:val="16"/>
              </w:rPr>
            </w:pPr>
            <w:r w:rsidRPr="00B101BC">
              <w:rPr>
                <w:b/>
                <w:sz w:val="16"/>
                <w:szCs w:val="16"/>
              </w:rPr>
              <w:t>Objetivos</w:t>
            </w:r>
          </w:p>
        </w:tc>
        <w:tc>
          <w:tcPr>
            <w:tcW w:w="1137" w:type="pct"/>
            <w:gridSpan w:val="2"/>
            <w:tcBorders>
              <w:top w:val="single" w:sz="4" w:space="0" w:color="auto"/>
              <w:bottom w:val="nil"/>
            </w:tcBorders>
            <w:shd w:val="clear" w:color="auto" w:fill="FFFFFF"/>
            <w:tcMar>
              <w:top w:w="110" w:type="dxa"/>
            </w:tcMar>
            <w:vAlign w:val="center"/>
          </w:tcPr>
          <w:p w:rsidR="00221F0B" w:rsidRPr="00B101BC" w:rsidRDefault="00221F0B" w:rsidP="003C545F">
            <w:pPr>
              <w:keepNext/>
              <w:rPr>
                <w:sz w:val="16"/>
                <w:szCs w:val="16"/>
              </w:rPr>
            </w:pPr>
            <w:r w:rsidRPr="00B101BC">
              <w:rPr>
                <w:b/>
                <w:sz w:val="16"/>
                <w:szCs w:val="16"/>
              </w:rPr>
              <w:t>Datos sobre el rendimiento</w:t>
            </w:r>
          </w:p>
        </w:tc>
        <w:tc>
          <w:tcPr>
            <w:tcW w:w="606" w:type="pct"/>
            <w:gridSpan w:val="2"/>
            <w:tcBorders>
              <w:top w:val="single" w:sz="4" w:space="0" w:color="auto"/>
              <w:bottom w:val="nil"/>
            </w:tcBorders>
            <w:shd w:val="clear" w:color="auto" w:fill="auto"/>
            <w:tcMar>
              <w:top w:w="110" w:type="dxa"/>
            </w:tcMar>
            <w:vAlign w:val="center"/>
          </w:tcPr>
          <w:p w:rsidR="00221F0B" w:rsidRPr="00B101BC" w:rsidRDefault="00221F0B" w:rsidP="003C545F">
            <w:pPr>
              <w:keepNext/>
              <w:keepLines/>
              <w:jc w:val="center"/>
              <w:rPr>
                <w:b/>
                <w:bCs/>
                <w:sz w:val="16"/>
                <w:szCs w:val="16"/>
              </w:rPr>
            </w:pPr>
            <w:r w:rsidRPr="00B101BC">
              <w:rPr>
                <w:b/>
                <w:bCs/>
                <w:sz w:val="16"/>
                <w:szCs w:val="16"/>
              </w:rPr>
              <w:t>Clave de colores</w:t>
            </w:r>
          </w:p>
        </w:tc>
      </w:tr>
      <w:tr w:rsidR="00221F0B" w:rsidRPr="00B101BC" w:rsidTr="00DC1333">
        <w:tc>
          <w:tcPr>
            <w:tcW w:w="1212" w:type="pct"/>
            <w:tcBorders>
              <w:top w:val="nil"/>
              <w:bottom w:val="nil"/>
            </w:tcBorders>
            <w:shd w:val="clear" w:color="auto" w:fill="auto"/>
          </w:tcPr>
          <w:p w:rsidR="00221F0B" w:rsidRPr="00B101BC" w:rsidRDefault="00221F0B" w:rsidP="003C545F">
            <w:pPr>
              <w:keepNext/>
              <w:rPr>
                <w:color w:val="000000"/>
                <w:sz w:val="16"/>
                <w:szCs w:val="16"/>
              </w:rPr>
            </w:pPr>
            <w:r w:rsidRPr="00B101BC">
              <w:rPr>
                <w:color w:val="000000"/>
                <w:sz w:val="16"/>
                <w:szCs w:val="16"/>
              </w:rPr>
              <w:t>Porcentaje de miembros del personal de la OMPI conscientes de los servicios disponibles en la Oficina del Mediador y del mecanismo informal de solución de conflictos</w:t>
            </w:r>
          </w:p>
        </w:tc>
        <w:tc>
          <w:tcPr>
            <w:tcW w:w="1288" w:type="pct"/>
            <w:tcBorders>
              <w:top w:val="nil"/>
              <w:bottom w:val="nil"/>
            </w:tcBorders>
            <w:shd w:val="clear" w:color="auto" w:fill="auto"/>
          </w:tcPr>
          <w:p w:rsidR="00221F0B" w:rsidRPr="00B101BC" w:rsidRDefault="00221F0B" w:rsidP="003C545F">
            <w:pPr>
              <w:keepNext/>
              <w:keepLines/>
              <w:rPr>
                <w:color w:val="002060"/>
                <w:sz w:val="16"/>
                <w:szCs w:val="16"/>
              </w:rPr>
            </w:pPr>
            <w:r w:rsidRPr="00B101BC">
              <w:rPr>
                <w:i/>
                <w:color w:val="002060"/>
                <w:sz w:val="16"/>
                <w:szCs w:val="16"/>
              </w:rPr>
              <w:t>Referencia actualizada a fines de 2013</w:t>
            </w:r>
            <w:r w:rsidRPr="00B101BC">
              <w:rPr>
                <w:color w:val="002060"/>
                <w:sz w:val="16"/>
                <w:szCs w:val="16"/>
              </w:rPr>
              <w:t xml:space="preserve">: </w:t>
            </w:r>
            <w:r>
              <w:rPr>
                <w:color w:val="002060"/>
                <w:sz w:val="16"/>
                <w:szCs w:val="16"/>
              </w:rPr>
              <w:t xml:space="preserve"> </w:t>
            </w:r>
            <w:r w:rsidRPr="00B101BC">
              <w:rPr>
                <w:color w:val="002060"/>
                <w:sz w:val="16"/>
                <w:szCs w:val="16"/>
              </w:rPr>
              <w:t>según la encuesta y los comentarios del personal de 2013, el 63% del personal está familiarizado con la función del Mediador y el 32% está más</w:t>
            </w:r>
            <w:r>
              <w:rPr>
                <w:color w:val="002060"/>
                <w:sz w:val="16"/>
                <w:szCs w:val="16"/>
              </w:rPr>
              <w:t xml:space="preserve"> o menos familiarizado con ella</w:t>
            </w:r>
          </w:p>
          <w:p w:rsidR="00221F0B" w:rsidRPr="00B101BC" w:rsidRDefault="00221F0B" w:rsidP="003C545F">
            <w:pPr>
              <w:keepNext/>
              <w:keepLines/>
              <w:rPr>
                <w:color w:val="002060"/>
                <w:sz w:val="16"/>
                <w:szCs w:val="16"/>
              </w:rPr>
            </w:pPr>
          </w:p>
          <w:p w:rsidR="00221F0B" w:rsidRPr="00B101BC" w:rsidRDefault="00221F0B" w:rsidP="003C545F">
            <w:pPr>
              <w:keepNext/>
              <w:keepLines/>
              <w:rPr>
                <w:rFonts w:eastAsiaTheme="minorHAnsi"/>
                <w:sz w:val="16"/>
                <w:szCs w:val="16"/>
              </w:rPr>
            </w:pPr>
            <w:r w:rsidRPr="00B101BC">
              <w:rPr>
                <w:rFonts w:eastAsiaTheme="minorHAnsi"/>
                <w:sz w:val="16"/>
                <w:szCs w:val="16"/>
              </w:rPr>
              <w:t>El 77%, según la encuesta de evaluación de los usuarios de 2012 (realizada en marzo de 2013)</w:t>
            </w:r>
          </w:p>
          <w:p w:rsidR="00221F0B" w:rsidRPr="00B101BC" w:rsidRDefault="00221F0B" w:rsidP="003C545F">
            <w:pPr>
              <w:keepNext/>
              <w:keepLines/>
              <w:rPr>
                <w:i/>
                <w:color w:val="002060"/>
                <w:sz w:val="8"/>
                <w:szCs w:val="8"/>
              </w:rPr>
            </w:pPr>
          </w:p>
          <w:p w:rsidR="00221F0B" w:rsidRPr="00B101BC" w:rsidRDefault="00221F0B" w:rsidP="003C545F">
            <w:pPr>
              <w:keepNext/>
              <w:keepLines/>
              <w:rPr>
                <w:i/>
                <w:color w:val="002060"/>
                <w:sz w:val="16"/>
                <w:szCs w:val="16"/>
              </w:rPr>
            </w:pPr>
            <w:r w:rsidRPr="00B101BC">
              <w:rPr>
                <w:i/>
                <w:sz w:val="16"/>
                <w:szCs w:val="16"/>
              </w:rPr>
              <w:t>Referencia original en el presupuesto de 2014/15</w:t>
            </w:r>
            <w:proofErr w:type="gramStart"/>
            <w:r w:rsidRPr="00B101BC">
              <w:rPr>
                <w:i/>
                <w:sz w:val="16"/>
                <w:szCs w:val="16"/>
              </w:rPr>
              <w:t xml:space="preserve">: </w:t>
            </w:r>
            <w:r>
              <w:rPr>
                <w:i/>
                <w:sz w:val="16"/>
                <w:szCs w:val="16"/>
              </w:rPr>
              <w:t xml:space="preserve"> </w:t>
            </w:r>
            <w:r w:rsidRPr="00B101BC">
              <w:rPr>
                <w:i/>
                <w:sz w:val="16"/>
                <w:szCs w:val="16"/>
              </w:rPr>
              <w:t>Según</w:t>
            </w:r>
            <w:proofErr w:type="gramEnd"/>
            <w:r w:rsidRPr="00B101BC">
              <w:rPr>
                <w:i/>
                <w:sz w:val="16"/>
                <w:szCs w:val="16"/>
              </w:rPr>
              <w:t xml:space="preserve"> la encuesta y los comentarios del personal de 2011, el 44% del personal está familiarizado con la función del Mediador y el 49% está más o menos familiarizado con ella.</w:t>
            </w:r>
            <w:r w:rsidRPr="00B101BC">
              <w:rPr>
                <w:i/>
                <w:sz w:val="16"/>
                <w:szCs w:val="16"/>
              </w:rPr>
              <w:br/>
            </w:r>
          </w:p>
        </w:tc>
        <w:tc>
          <w:tcPr>
            <w:tcW w:w="757" w:type="pct"/>
            <w:tcBorders>
              <w:top w:val="nil"/>
              <w:bottom w:val="nil"/>
            </w:tcBorders>
            <w:shd w:val="clear" w:color="auto" w:fill="auto"/>
            <w:tcMar>
              <w:top w:w="110" w:type="dxa"/>
            </w:tcMar>
          </w:tcPr>
          <w:p w:rsidR="00221F0B" w:rsidRPr="00B101BC" w:rsidRDefault="00221F0B" w:rsidP="003C545F">
            <w:pPr>
              <w:keepNext/>
              <w:keepLines/>
              <w:rPr>
                <w:sz w:val="16"/>
                <w:szCs w:val="16"/>
              </w:rPr>
            </w:pPr>
            <w:r w:rsidRPr="00B101BC">
              <w:rPr>
                <w:sz w:val="16"/>
                <w:szCs w:val="16"/>
              </w:rPr>
              <w:t>Aumento del porcentaje de miembros del personal familiarizados hasta llegar al 60%</w:t>
            </w:r>
          </w:p>
        </w:tc>
        <w:tc>
          <w:tcPr>
            <w:tcW w:w="1061" w:type="pct"/>
            <w:tcBorders>
              <w:top w:val="nil"/>
              <w:bottom w:val="nil"/>
            </w:tcBorders>
            <w:shd w:val="clear" w:color="auto" w:fill="FFFFFF"/>
            <w:tcMar>
              <w:top w:w="110" w:type="dxa"/>
            </w:tcMar>
          </w:tcPr>
          <w:p w:rsidR="00221F0B" w:rsidRPr="00B101BC" w:rsidRDefault="00221F0B" w:rsidP="003C545F">
            <w:pPr>
              <w:keepNext/>
              <w:keepLines/>
              <w:rPr>
                <w:sz w:val="16"/>
                <w:szCs w:val="16"/>
              </w:rPr>
            </w:pPr>
            <w:r w:rsidRPr="00B101BC">
              <w:rPr>
                <w:color w:val="000000"/>
                <w:sz w:val="16"/>
                <w:szCs w:val="16"/>
              </w:rPr>
              <w:t>La encuesta y los comentarios del personal previstos para 2015 no se efectuaron.</w:t>
            </w:r>
          </w:p>
        </w:tc>
        <w:tc>
          <w:tcPr>
            <w:tcW w:w="682" w:type="pct"/>
            <w:gridSpan w:val="3"/>
            <w:tcBorders>
              <w:top w:val="nil"/>
              <w:bottom w:val="nil"/>
            </w:tcBorders>
            <w:shd w:val="clear" w:color="auto" w:fill="auto"/>
            <w:tcMar>
              <w:top w:w="110" w:type="dxa"/>
            </w:tcMar>
          </w:tcPr>
          <w:p w:rsidR="00221F0B" w:rsidRPr="00B101BC" w:rsidRDefault="00221F0B" w:rsidP="003C545F">
            <w:pPr>
              <w:keepNext/>
              <w:keepLines/>
              <w:jc w:val="center"/>
              <w:rPr>
                <w:b/>
                <w:color w:val="0070C0"/>
                <w:sz w:val="16"/>
                <w:szCs w:val="16"/>
              </w:rPr>
            </w:pPr>
            <w:r w:rsidRPr="00B101BC">
              <w:rPr>
                <w:b/>
                <w:color w:val="808080" w:themeColor="background1" w:themeShade="80"/>
                <w:sz w:val="16"/>
                <w:szCs w:val="16"/>
              </w:rPr>
              <w:t>No mensurable</w:t>
            </w:r>
          </w:p>
        </w:tc>
      </w:tr>
      <w:tr w:rsidR="00221F0B" w:rsidRPr="00B101BC" w:rsidTr="00DC1333">
        <w:tc>
          <w:tcPr>
            <w:tcW w:w="1212" w:type="pct"/>
            <w:tcBorders>
              <w:top w:val="nil"/>
              <w:bottom w:val="single" w:sz="4" w:space="0" w:color="auto"/>
            </w:tcBorders>
            <w:shd w:val="clear" w:color="auto" w:fill="auto"/>
          </w:tcPr>
          <w:p w:rsidR="00221F0B" w:rsidRPr="00B101BC" w:rsidRDefault="00221F0B" w:rsidP="00DC1333">
            <w:pPr>
              <w:rPr>
                <w:sz w:val="16"/>
                <w:szCs w:val="16"/>
              </w:rPr>
            </w:pPr>
            <w:r w:rsidRPr="00B101BC">
              <w:rPr>
                <w:sz w:val="16"/>
                <w:szCs w:val="16"/>
              </w:rPr>
              <w:t xml:space="preserve">Porcentaje de encuestados que afirman ser conscientes de los principios y </w:t>
            </w:r>
            <w:r>
              <w:rPr>
                <w:sz w:val="16"/>
                <w:szCs w:val="16"/>
              </w:rPr>
              <w:t>políticas de la OMPI en materia</w:t>
            </w:r>
            <w:r w:rsidRPr="00B101BC">
              <w:rPr>
                <w:sz w:val="16"/>
                <w:szCs w:val="16"/>
              </w:rPr>
              <w:t xml:space="preserve"> de ética profesional</w:t>
            </w:r>
          </w:p>
        </w:tc>
        <w:tc>
          <w:tcPr>
            <w:tcW w:w="1288" w:type="pct"/>
            <w:tcBorders>
              <w:top w:val="nil"/>
              <w:bottom w:val="single" w:sz="4" w:space="0" w:color="auto"/>
            </w:tcBorders>
            <w:shd w:val="clear" w:color="auto" w:fill="auto"/>
          </w:tcPr>
          <w:p w:rsidR="00221F0B" w:rsidRPr="00B101BC" w:rsidRDefault="00221F0B" w:rsidP="00DC1333">
            <w:pPr>
              <w:keepNext/>
              <w:keepLines/>
              <w:rPr>
                <w:rFonts w:eastAsiaTheme="minorHAnsi"/>
                <w:color w:val="002060"/>
                <w:sz w:val="16"/>
                <w:szCs w:val="16"/>
              </w:rPr>
            </w:pPr>
            <w:r w:rsidRPr="00B101BC">
              <w:rPr>
                <w:rFonts w:eastAsiaTheme="minorHAnsi"/>
                <w:color w:val="002060"/>
                <w:sz w:val="16"/>
                <w:szCs w:val="16"/>
              </w:rPr>
              <w:t>Referencia actualizada a fines de 2013:</w:t>
            </w:r>
            <w:r>
              <w:rPr>
                <w:rFonts w:eastAsiaTheme="minorHAnsi"/>
                <w:color w:val="002060"/>
                <w:sz w:val="16"/>
                <w:szCs w:val="16"/>
              </w:rPr>
              <w:t xml:space="preserve"> </w:t>
            </w:r>
            <w:r w:rsidRPr="00B101BC">
              <w:rPr>
                <w:rFonts w:eastAsiaTheme="minorHAnsi"/>
                <w:color w:val="002060"/>
                <w:sz w:val="16"/>
                <w:szCs w:val="16"/>
              </w:rPr>
              <w:t xml:space="preserve"> El 98%, según la encuesta sobre las prioridades centrales del PAE (realizada entre enero y febrero de 2013)</w:t>
            </w:r>
          </w:p>
          <w:p w:rsidR="00221F0B" w:rsidRPr="00B101BC" w:rsidRDefault="00221F0B" w:rsidP="00DC1333">
            <w:pPr>
              <w:keepNext/>
              <w:keepLines/>
              <w:rPr>
                <w:i/>
                <w:color w:val="002060"/>
                <w:sz w:val="8"/>
                <w:szCs w:val="8"/>
              </w:rPr>
            </w:pPr>
          </w:p>
          <w:p w:rsidR="00221F0B" w:rsidRPr="00B101BC" w:rsidRDefault="00221F0B" w:rsidP="00DC1333">
            <w:pPr>
              <w:keepNext/>
              <w:keepLines/>
              <w:rPr>
                <w:sz w:val="16"/>
                <w:szCs w:val="16"/>
              </w:rPr>
            </w:pPr>
            <w:r w:rsidRPr="00B101BC">
              <w:rPr>
                <w:i/>
                <w:sz w:val="16"/>
                <w:szCs w:val="16"/>
              </w:rPr>
              <w:t>Referencia original en el presupuesto de 2014/15:</w:t>
            </w:r>
            <w:r>
              <w:rPr>
                <w:i/>
                <w:sz w:val="16"/>
                <w:szCs w:val="16"/>
              </w:rPr>
              <w:t xml:space="preserve"> </w:t>
            </w:r>
            <w:r w:rsidRPr="00B101BC">
              <w:rPr>
                <w:i/>
                <w:sz w:val="16"/>
                <w:szCs w:val="16"/>
              </w:rPr>
              <w:t xml:space="preserve"> </w:t>
            </w:r>
            <w:r w:rsidRPr="00B101BC">
              <w:rPr>
                <w:sz w:val="16"/>
                <w:szCs w:val="16"/>
              </w:rPr>
              <w:t>70%</w:t>
            </w:r>
          </w:p>
          <w:p w:rsidR="00221F0B" w:rsidRPr="00B101BC" w:rsidRDefault="00221F0B" w:rsidP="00DC1333">
            <w:pPr>
              <w:keepNext/>
              <w:keepLines/>
              <w:rPr>
                <w:i/>
                <w:color w:val="002060"/>
                <w:sz w:val="16"/>
                <w:szCs w:val="16"/>
              </w:rPr>
            </w:pPr>
          </w:p>
        </w:tc>
        <w:tc>
          <w:tcPr>
            <w:tcW w:w="757" w:type="pct"/>
            <w:tcBorders>
              <w:top w:val="nil"/>
              <w:bottom w:val="single" w:sz="4" w:space="0" w:color="auto"/>
            </w:tcBorders>
            <w:shd w:val="clear" w:color="auto" w:fill="auto"/>
            <w:tcMar>
              <w:top w:w="110" w:type="dxa"/>
            </w:tcMar>
          </w:tcPr>
          <w:p w:rsidR="00221F0B" w:rsidRPr="00B101BC" w:rsidRDefault="00221F0B" w:rsidP="00DC1333">
            <w:pPr>
              <w:keepNext/>
              <w:keepLines/>
              <w:rPr>
                <w:sz w:val="16"/>
                <w:szCs w:val="16"/>
              </w:rPr>
            </w:pPr>
            <w:r w:rsidRPr="00B101BC">
              <w:rPr>
                <w:sz w:val="16"/>
                <w:szCs w:val="16"/>
              </w:rPr>
              <w:t>75%</w:t>
            </w:r>
          </w:p>
        </w:tc>
        <w:tc>
          <w:tcPr>
            <w:tcW w:w="1061" w:type="pct"/>
            <w:tcBorders>
              <w:top w:val="nil"/>
              <w:bottom w:val="single" w:sz="4" w:space="0" w:color="auto"/>
            </w:tcBorders>
            <w:shd w:val="clear" w:color="auto" w:fill="FFFFFF"/>
            <w:tcMar>
              <w:top w:w="110" w:type="dxa"/>
            </w:tcMar>
          </w:tcPr>
          <w:p w:rsidR="00221F0B" w:rsidRPr="00B101BC" w:rsidRDefault="00221F0B" w:rsidP="00DC1333">
            <w:pPr>
              <w:keepNext/>
              <w:keepLines/>
              <w:autoSpaceDE w:val="0"/>
              <w:autoSpaceDN w:val="0"/>
              <w:adjustRightInd w:val="0"/>
              <w:rPr>
                <w:sz w:val="16"/>
                <w:szCs w:val="16"/>
              </w:rPr>
            </w:pPr>
            <w:r w:rsidRPr="00B101BC">
              <w:rPr>
                <w:sz w:val="16"/>
                <w:szCs w:val="16"/>
              </w:rPr>
              <w:t>La encuesta del personal prevista para el bienio no se llevó a cabo</w:t>
            </w:r>
          </w:p>
        </w:tc>
        <w:tc>
          <w:tcPr>
            <w:tcW w:w="682" w:type="pct"/>
            <w:gridSpan w:val="3"/>
            <w:tcBorders>
              <w:top w:val="nil"/>
              <w:bottom w:val="single" w:sz="4" w:space="0" w:color="auto"/>
            </w:tcBorders>
            <w:shd w:val="clear" w:color="auto" w:fill="auto"/>
            <w:tcMar>
              <w:top w:w="110" w:type="dxa"/>
            </w:tcMar>
          </w:tcPr>
          <w:p w:rsidR="00221F0B" w:rsidRPr="00B101BC" w:rsidRDefault="00221F0B" w:rsidP="00DC1333">
            <w:pPr>
              <w:keepNext/>
              <w:keepLines/>
              <w:ind w:left="-108"/>
              <w:jc w:val="center"/>
              <w:rPr>
                <w:b/>
                <w:sz w:val="16"/>
                <w:szCs w:val="16"/>
              </w:rPr>
            </w:pPr>
            <w:r w:rsidRPr="00B101BC">
              <w:rPr>
                <w:b/>
                <w:color w:val="808080" w:themeColor="background1" w:themeShade="80"/>
                <w:sz w:val="16"/>
                <w:szCs w:val="16"/>
              </w:rPr>
              <w:t>No mensurable</w:t>
            </w:r>
          </w:p>
        </w:tc>
      </w:tr>
    </w:tbl>
    <w:p w:rsidR="00221F0B" w:rsidRDefault="00221F0B" w:rsidP="00DC1333">
      <w:pPr>
        <w:rPr>
          <w:color w:val="000000"/>
          <w:sz w:val="20"/>
        </w:rPr>
      </w:pPr>
    </w:p>
    <w:p w:rsidR="00221F0B" w:rsidRPr="00B101BC" w:rsidRDefault="00221F0B" w:rsidP="00DC1333">
      <w:pPr>
        <w:rPr>
          <w:color w:val="000000"/>
          <w:sz w:val="20"/>
        </w:rPr>
      </w:pPr>
    </w:p>
    <w:p w:rsidR="00221F0B" w:rsidRPr="00B101BC" w:rsidRDefault="008F7CBE" w:rsidP="00DC1333">
      <w:pPr>
        <w:rPr>
          <w:color w:val="000000"/>
          <w:szCs w:val="22"/>
        </w:rPr>
      </w:pPr>
      <w:r w:rsidRPr="008F7CBE">
        <w:rPr>
          <w:sz w:val="20"/>
        </w:rPr>
        <w:t>INFORMACIÓN SOBRE LOS RIESGOS PLANTEADOS EN EL BIENIO</w:t>
      </w:r>
    </w:p>
    <w:p w:rsidR="00221F0B" w:rsidRPr="00B101BC" w:rsidRDefault="00221F0B" w:rsidP="00DC1333"/>
    <w:tbl>
      <w:tblPr>
        <w:tblW w:w="9639"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552"/>
        <w:gridCol w:w="2268"/>
        <w:gridCol w:w="2268"/>
        <w:gridCol w:w="2551"/>
      </w:tblGrid>
      <w:tr w:rsidR="00221F0B" w:rsidRPr="00B101BC" w:rsidTr="00DC1333">
        <w:trPr>
          <w:trHeight w:val="412"/>
        </w:trPr>
        <w:tc>
          <w:tcPr>
            <w:tcW w:w="2552" w:type="dxa"/>
            <w:tcBorders>
              <w:top w:val="single" w:sz="4" w:space="0" w:color="auto"/>
              <w:bottom w:val="single" w:sz="4" w:space="0" w:color="auto"/>
            </w:tcBorders>
            <w:shd w:val="clear" w:color="auto" w:fill="C6D9F1" w:themeFill="text2" w:themeFillTint="33"/>
            <w:tcMar>
              <w:top w:w="113" w:type="dxa"/>
              <w:bottom w:w="85" w:type="dxa"/>
            </w:tcMar>
            <w:vAlign w:val="center"/>
          </w:tcPr>
          <w:p w:rsidR="00221F0B" w:rsidRPr="00B101BC" w:rsidRDefault="00221F0B" w:rsidP="00DC1333">
            <w:pPr>
              <w:jc w:val="center"/>
            </w:pPr>
            <w:r w:rsidRPr="00B101BC">
              <w:rPr>
                <w:b/>
                <w:bCs/>
                <w:iCs/>
                <w:sz w:val="18"/>
                <w:szCs w:val="18"/>
              </w:rPr>
              <w:t>Riesgos en el logro de los resultados del programa</w:t>
            </w:r>
          </w:p>
        </w:tc>
        <w:tc>
          <w:tcPr>
            <w:tcW w:w="2268" w:type="dxa"/>
            <w:tcBorders>
              <w:top w:val="single" w:sz="4" w:space="0" w:color="auto"/>
              <w:bottom w:val="single" w:sz="4" w:space="0" w:color="auto"/>
            </w:tcBorders>
            <w:shd w:val="clear" w:color="auto" w:fill="C6D9F1" w:themeFill="text2" w:themeFillTint="33"/>
            <w:tcMar>
              <w:top w:w="113" w:type="dxa"/>
              <w:bottom w:w="85" w:type="dxa"/>
            </w:tcMar>
            <w:vAlign w:val="center"/>
          </w:tcPr>
          <w:p w:rsidR="00221F0B" w:rsidRPr="00B101BC" w:rsidRDefault="00221F0B" w:rsidP="00DC1333">
            <w:pPr>
              <w:jc w:val="center"/>
            </w:pPr>
            <w:r w:rsidRPr="00B101BC">
              <w:rPr>
                <w:b/>
                <w:bCs/>
                <w:iCs/>
                <w:sz w:val="18"/>
                <w:szCs w:val="18"/>
              </w:rPr>
              <w:t>Planes de mitigación ejecutados o en ejecución</w:t>
            </w:r>
          </w:p>
        </w:tc>
        <w:tc>
          <w:tcPr>
            <w:tcW w:w="2268" w:type="dxa"/>
            <w:tcBorders>
              <w:top w:val="single" w:sz="4" w:space="0" w:color="auto"/>
              <w:bottom w:val="single" w:sz="4" w:space="0" w:color="auto"/>
            </w:tcBorders>
            <w:shd w:val="clear" w:color="auto" w:fill="C6D9F1" w:themeFill="text2" w:themeFillTint="33"/>
          </w:tcPr>
          <w:p w:rsidR="00221F0B" w:rsidRPr="00B101BC" w:rsidRDefault="00221F0B" w:rsidP="00DC1333">
            <w:pPr>
              <w:jc w:val="center"/>
              <w:rPr>
                <w:b/>
                <w:bCs/>
                <w:sz w:val="18"/>
                <w:szCs w:val="18"/>
              </w:rPr>
            </w:pPr>
            <w:r w:rsidRPr="00B101BC">
              <w:rPr>
                <w:b/>
                <w:bCs/>
                <w:iCs/>
                <w:sz w:val="18"/>
                <w:szCs w:val="18"/>
              </w:rPr>
              <w:t>Evolución de los riesgos y estrategias de mitigación durante el bienio</w:t>
            </w:r>
          </w:p>
        </w:tc>
        <w:tc>
          <w:tcPr>
            <w:tcW w:w="2551" w:type="dxa"/>
            <w:tcBorders>
              <w:top w:val="single" w:sz="4" w:space="0" w:color="auto"/>
              <w:bottom w:val="single" w:sz="4" w:space="0" w:color="auto"/>
            </w:tcBorders>
            <w:shd w:val="clear" w:color="auto" w:fill="C6D9F1" w:themeFill="text2" w:themeFillTint="33"/>
          </w:tcPr>
          <w:p w:rsidR="00221F0B" w:rsidRPr="00B101BC" w:rsidRDefault="00221F0B" w:rsidP="00DC1333">
            <w:pPr>
              <w:jc w:val="center"/>
              <w:rPr>
                <w:b/>
                <w:bCs/>
                <w:sz w:val="18"/>
                <w:szCs w:val="18"/>
              </w:rPr>
            </w:pPr>
            <w:r w:rsidRPr="00B101BC">
              <w:rPr>
                <w:b/>
                <w:bCs/>
                <w:sz w:val="18"/>
                <w:szCs w:val="18"/>
              </w:rPr>
              <w:t>Incidencia en el rendimiento del programa</w:t>
            </w:r>
          </w:p>
        </w:tc>
      </w:tr>
      <w:tr w:rsidR="00221F0B" w:rsidRPr="00B101BC" w:rsidTr="00DC1333">
        <w:tc>
          <w:tcPr>
            <w:tcW w:w="2552" w:type="dxa"/>
            <w:tcBorders>
              <w:top w:val="single" w:sz="4" w:space="0" w:color="auto"/>
            </w:tcBorders>
            <w:shd w:val="clear" w:color="auto" w:fill="auto"/>
            <w:tcMar>
              <w:top w:w="113" w:type="dxa"/>
              <w:bottom w:w="85" w:type="dxa"/>
            </w:tcMar>
          </w:tcPr>
          <w:p w:rsidR="00221F0B" w:rsidRPr="00B101BC" w:rsidRDefault="00221F0B" w:rsidP="00DC1333">
            <w:pPr>
              <w:rPr>
                <w:sz w:val="16"/>
                <w:szCs w:val="16"/>
              </w:rPr>
            </w:pPr>
            <w:r w:rsidRPr="00B101BC">
              <w:rPr>
                <w:sz w:val="16"/>
                <w:szCs w:val="16"/>
              </w:rPr>
              <w:t xml:space="preserve">La OMPI ha efectuado importantes inversiones en el Programa de Alineación Estratégica, que concluyó a principios de 2013, y gracias a ello ha obtenido rápidos </w:t>
            </w:r>
            <w:r w:rsidRPr="00B101BC">
              <w:rPr>
                <w:sz w:val="16"/>
                <w:szCs w:val="16"/>
              </w:rPr>
              <w:lastRenderedPageBreak/>
              <w:t>avances y mejoras en la eficiencia.  Si el personal directivo superior, el resto del personal y los Estados miembros no siguen centrados en mejorar los resultados, la Organización corre el riesgo de ver atenuadas las mejoras adquiridas gracias al PAE.  Están en riesgo especialmente las iniciativas que comprenden nuevos procedimientos (por ejemplo, la administración de la continuidad de las operaciones y la gestión de riesgos).</w:t>
            </w:r>
          </w:p>
          <w:p w:rsidR="00221F0B" w:rsidRPr="00B101BC" w:rsidRDefault="00221F0B" w:rsidP="00DC1333">
            <w:pPr>
              <w:rPr>
                <w:sz w:val="16"/>
                <w:szCs w:val="16"/>
              </w:rPr>
            </w:pPr>
          </w:p>
        </w:tc>
        <w:tc>
          <w:tcPr>
            <w:tcW w:w="2268" w:type="dxa"/>
            <w:tcBorders>
              <w:top w:val="single" w:sz="4" w:space="0" w:color="auto"/>
            </w:tcBorders>
            <w:shd w:val="clear" w:color="auto" w:fill="auto"/>
            <w:tcMar>
              <w:top w:w="113" w:type="dxa"/>
              <w:bottom w:w="85" w:type="dxa"/>
            </w:tcMar>
          </w:tcPr>
          <w:p w:rsidR="00221F0B" w:rsidRPr="00B101BC" w:rsidRDefault="00221F0B" w:rsidP="00DC1333">
            <w:pPr>
              <w:rPr>
                <w:sz w:val="16"/>
                <w:szCs w:val="16"/>
              </w:rPr>
            </w:pPr>
            <w:r w:rsidRPr="00B101BC">
              <w:rPr>
                <w:sz w:val="16"/>
                <w:szCs w:val="16"/>
              </w:rPr>
              <w:lastRenderedPageBreak/>
              <w:t xml:space="preserve">Desde el comienzo, la estructura de gobierno del PAE ha incluido la supervisión del personal directivo superior y la presentación de informes </w:t>
            </w:r>
            <w:r w:rsidRPr="00B101BC">
              <w:rPr>
                <w:sz w:val="16"/>
                <w:szCs w:val="16"/>
              </w:rPr>
              <w:lastRenderedPageBreak/>
              <w:t>periódicos de la CCIS que han contribuido a afianzar la responsabilidad de aplicar el PAE a lo largo de la Organización.</w:t>
            </w:r>
          </w:p>
          <w:p w:rsidR="00221F0B" w:rsidRPr="00B101BC" w:rsidRDefault="00221F0B" w:rsidP="00DC1333">
            <w:pPr>
              <w:rPr>
                <w:sz w:val="16"/>
                <w:szCs w:val="16"/>
              </w:rPr>
            </w:pPr>
          </w:p>
          <w:p w:rsidR="00221F0B" w:rsidRPr="00B101BC" w:rsidRDefault="00221F0B" w:rsidP="00DC1333">
            <w:pPr>
              <w:rPr>
                <w:sz w:val="16"/>
                <w:szCs w:val="16"/>
              </w:rPr>
            </w:pPr>
            <w:r w:rsidRPr="00B101BC">
              <w:rPr>
                <w:sz w:val="16"/>
                <w:szCs w:val="16"/>
              </w:rPr>
              <w:t>A medida que la Organización entra en el período posterior a la ejecución del plan de alineación estratégica, la constante atención especial que presta el personal directivo superior garantizará que se mantengan y se consoliden los valores esenciales y los resultados de cada iniciativa en beneficio de la OMPI y sus partes interesadas.</w:t>
            </w:r>
          </w:p>
        </w:tc>
        <w:tc>
          <w:tcPr>
            <w:tcW w:w="2268" w:type="dxa"/>
            <w:tcBorders>
              <w:top w:val="single" w:sz="4" w:space="0" w:color="auto"/>
            </w:tcBorders>
          </w:tcPr>
          <w:p w:rsidR="00221F0B" w:rsidRPr="00B101BC" w:rsidRDefault="00221F0B" w:rsidP="00DC1333">
            <w:pPr>
              <w:rPr>
                <w:sz w:val="16"/>
                <w:szCs w:val="16"/>
              </w:rPr>
            </w:pPr>
            <w:r w:rsidRPr="00B101BC">
              <w:rPr>
                <w:sz w:val="16"/>
                <w:szCs w:val="16"/>
              </w:rPr>
              <w:lastRenderedPageBreak/>
              <w:t xml:space="preserve">Este riesgo se redujo de forma sostenida en el transcurso del bienio, principalmente gracias a las estrategias proactivas de seguimiento empleadas, </w:t>
            </w:r>
            <w:r w:rsidRPr="00B101BC">
              <w:rPr>
                <w:sz w:val="16"/>
                <w:szCs w:val="16"/>
              </w:rPr>
              <w:lastRenderedPageBreak/>
              <w:t>entre las que se incluían integrar la responsabilidad por las funciones nuevas y sólidas destinadas a profundizar en la evolución y el desarrollo de las iniciativas sembradas en el contexto del PAE, incluidas la gestión de riesgos, la continuidad de las operaciones, la ética profesional y la integridad, la comunicación interna, etcétera).</w:t>
            </w:r>
          </w:p>
        </w:tc>
        <w:tc>
          <w:tcPr>
            <w:tcW w:w="2551" w:type="dxa"/>
            <w:tcBorders>
              <w:top w:val="single" w:sz="4" w:space="0" w:color="auto"/>
            </w:tcBorders>
          </w:tcPr>
          <w:p w:rsidR="00221F0B" w:rsidRPr="00B101BC" w:rsidRDefault="00221F0B" w:rsidP="00DC1333">
            <w:pPr>
              <w:rPr>
                <w:sz w:val="16"/>
                <w:szCs w:val="16"/>
              </w:rPr>
            </w:pPr>
            <w:r w:rsidRPr="00B101BC">
              <w:rPr>
                <w:sz w:val="16"/>
                <w:szCs w:val="16"/>
              </w:rPr>
              <w:lastRenderedPageBreak/>
              <w:t xml:space="preserve">La incidencia en el rendimiento del programa no fue sustancial, pero siguió habiendo una incidencia positiva en el rendimiento de los respectivos programas en los que estas </w:t>
            </w:r>
            <w:r w:rsidRPr="00B101BC">
              <w:rPr>
                <w:sz w:val="16"/>
                <w:szCs w:val="16"/>
              </w:rPr>
              <w:lastRenderedPageBreak/>
              <w:t>iniciativas del PAE han encontrado cabida, así como en el rendimiento de</w:t>
            </w:r>
            <w:r>
              <w:rPr>
                <w:sz w:val="16"/>
                <w:szCs w:val="16"/>
              </w:rPr>
              <w:t xml:space="preserve"> </w:t>
            </w:r>
            <w:r w:rsidRPr="00B101BC">
              <w:rPr>
                <w:sz w:val="16"/>
                <w:szCs w:val="16"/>
              </w:rPr>
              <w:t>la Organización en general, contribuyendo notablemente al fortalecimiento continuo de la transparencia y la rendición</w:t>
            </w:r>
            <w:r>
              <w:rPr>
                <w:sz w:val="16"/>
                <w:szCs w:val="16"/>
              </w:rPr>
              <w:t xml:space="preserve"> de cuentas</w:t>
            </w:r>
            <w:r w:rsidRPr="00B101BC">
              <w:rPr>
                <w:sz w:val="16"/>
                <w:szCs w:val="16"/>
              </w:rPr>
              <w:t xml:space="preserve"> y proporcionando a la OMPI una plataforma propicia para prestar servicio a sus clientes y partes interesadas</w:t>
            </w:r>
          </w:p>
        </w:tc>
      </w:tr>
      <w:tr w:rsidR="00221F0B" w:rsidRPr="00B101BC" w:rsidTr="00DC1333">
        <w:trPr>
          <w:trHeight w:val="1349"/>
        </w:trPr>
        <w:tc>
          <w:tcPr>
            <w:tcW w:w="2552" w:type="dxa"/>
            <w:shd w:val="clear" w:color="auto" w:fill="auto"/>
            <w:tcMar>
              <w:top w:w="113" w:type="dxa"/>
              <w:bottom w:w="85" w:type="dxa"/>
            </w:tcMar>
          </w:tcPr>
          <w:p w:rsidR="00221F0B" w:rsidRPr="00B101BC" w:rsidRDefault="00221F0B" w:rsidP="00DC1333">
            <w:pPr>
              <w:keepNext/>
              <w:keepLines/>
              <w:rPr>
                <w:sz w:val="16"/>
                <w:szCs w:val="16"/>
              </w:rPr>
            </w:pPr>
            <w:r w:rsidRPr="00B101BC">
              <w:rPr>
                <w:sz w:val="16"/>
                <w:szCs w:val="16"/>
              </w:rPr>
              <w:lastRenderedPageBreak/>
              <w:t>La colaboración eficaz de la OMPI con los Estados miembros tiene una importancia primordial para lograr resultados puntuales.  Existe el riesgo de que se atenúen los avances en los procesos intergubernamentales de la OMPI, como por ejemplo los debates normativos, y aumenten los costos o se amplíen los calendarios de ejecución de los programas aprobados.  En tanto que organismo internacional dedicado al establecimiento de normas de P.I., esa situación repercutiría negativamente en la credibilidad de la OMPI.</w:t>
            </w:r>
          </w:p>
          <w:p w:rsidR="00221F0B" w:rsidRPr="00B101BC" w:rsidRDefault="00221F0B" w:rsidP="00DC1333">
            <w:pPr>
              <w:keepNext/>
              <w:keepLines/>
              <w:rPr>
                <w:sz w:val="16"/>
                <w:szCs w:val="16"/>
              </w:rPr>
            </w:pPr>
          </w:p>
        </w:tc>
        <w:tc>
          <w:tcPr>
            <w:tcW w:w="2268" w:type="dxa"/>
            <w:shd w:val="clear" w:color="auto" w:fill="auto"/>
            <w:tcMar>
              <w:top w:w="113" w:type="dxa"/>
              <w:bottom w:w="85" w:type="dxa"/>
            </w:tcMar>
          </w:tcPr>
          <w:p w:rsidR="00221F0B" w:rsidRPr="00B101BC" w:rsidRDefault="00221F0B" w:rsidP="00DC1333">
            <w:pPr>
              <w:keepNext/>
              <w:keepLines/>
              <w:rPr>
                <w:sz w:val="16"/>
                <w:szCs w:val="16"/>
              </w:rPr>
            </w:pPr>
            <w:r w:rsidRPr="00B101BC">
              <w:rPr>
                <w:sz w:val="16"/>
                <w:szCs w:val="16"/>
              </w:rPr>
              <w:t>Seguir manteniendo una coordinación estrecha, transparente y basada en la confianza entre la Secretaría y los Estados miembros.</w:t>
            </w:r>
          </w:p>
        </w:tc>
        <w:tc>
          <w:tcPr>
            <w:tcW w:w="2268" w:type="dxa"/>
          </w:tcPr>
          <w:p w:rsidR="00221F0B" w:rsidRPr="00B101BC" w:rsidRDefault="00221F0B" w:rsidP="00DC1333">
            <w:pPr>
              <w:keepNext/>
              <w:keepLines/>
              <w:rPr>
                <w:sz w:val="16"/>
                <w:szCs w:val="16"/>
              </w:rPr>
            </w:pPr>
            <w:r w:rsidRPr="00B101BC">
              <w:rPr>
                <w:sz w:val="16"/>
                <w:szCs w:val="16"/>
              </w:rPr>
              <w:t>El riesgo general descrito para el programa no ha variado de manera sustancial durante el período en cuestión.  Lo mismo puede decirse de los planes de mitigación ejecutados, que seguirán siendo pertinentes durante el bienio 2016/17.</w:t>
            </w:r>
          </w:p>
        </w:tc>
        <w:tc>
          <w:tcPr>
            <w:tcW w:w="2551" w:type="dxa"/>
          </w:tcPr>
          <w:p w:rsidR="00221F0B" w:rsidRPr="00B101BC" w:rsidRDefault="00221F0B" w:rsidP="00DC1333">
            <w:pPr>
              <w:keepNext/>
              <w:keepLines/>
              <w:rPr>
                <w:sz w:val="16"/>
                <w:szCs w:val="16"/>
              </w:rPr>
            </w:pPr>
            <w:r w:rsidRPr="00B101BC">
              <w:rPr>
                <w:sz w:val="16"/>
                <w:szCs w:val="16"/>
              </w:rPr>
              <w:t>Los riesgos que son inherentes a las actividades normativas de la Organización se mitigan constantemente mediante la coordinación continua, estrecha, sincera y transparente entre la Secretaría y los Estados miembros.  No se observó incidencia sustancial alguna en el rendimiento del programa.</w:t>
            </w:r>
          </w:p>
        </w:tc>
      </w:tr>
    </w:tbl>
    <w:p w:rsidR="00221F0B" w:rsidRDefault="00221F0B" w:rsidP="00DC1333">
      <w:pPr>
        <w:rPr>
          <w:sz w:val="20"/>
        </w:rPr>
      </w:pPr>
    </w:p>
    <w:p w:rsidR="00221F0B" w:rsidRPr="00B101BC" w:rsidRDefault="00221F0B" w:rsidP="00DC1333">
      <w:pPr>
        <w:rPr>
          <w:sz w:val="20"/>
        </w:rPr>
      </w:pPr>
    </w:p>
    <w:p w:rsidR="00221F0B" w:rsidRPr="00B101BC" w:rsidRDefault="00403D2C" w:rsidP="00DC1333">
      <w:pPr>
        <w:rPr>
          <w:b/>
          <w:sz w:val="18"/>
          <w:szCs w:val="18"/>
        </w:rPr>
      </w:pPr>
      <w:r w:rsidRPr="00403D2C">
        <w:rPr>
          <w:sz w:val="20"/>
          <w:szCs w:val="22"/>
        </w:rPr>
        <w:t>UTILIZACIÓN DE LOS RECURSOS</w:t>
      </w:r>
    </w:p>
    <w:p w:rsidR="00221F0B" w:rsidRPr="00B101BC" w:rsidRDefault="00221F0B" w:rsidP="00DC1333">
      <w:pPr>
        <w:rPr>
          <w:sz w:val="20"/>
        </w:rPr>
      </w:pPr>
    </w:p>
    <w:p w:rsidR="00221F0B" w:rsidRPr="00B101BC" w:rsidRDefault="00221F0B" w:rsidP="00DC1333">
      <w:pPr>
        <w:pStyle w:val="NormalWeb"/>
        <w:spacing w:before="0" w:beforeAutospacing="0" w:after="0" w:afterAutospacing="0"/>
        <w:jc w:val="center"/>
        <w:rPr>
          <w:sz w:val="20"/>
          <w:szCs w:val="20"/>
          <w:lang w:val="es-ES"/>
        </w:rPr>
      </w:pPr>
      <w:r w:rsidRPr="00B101BC">
        <w:rPr>
          <w:sz w:val="20"/>
          <w:szCs w:val="20"/>
          <w:lang w:val="es-ES"/>
        </w:rPr>
        <w:t xml:space="preserve">Presupuesto y gastos reales (por resultado) </w:t>
      </w:r>
    </w:p>
    <w:p w:rsidR="00221F0B" w:rsidRPr="00B101BC" w:rsidRDefault="00221F0B" w:rsidP="00DC1333">
      <w:pPr>
        <w:pStyle w:val="NormalWeb"/>
        <w:spacing w:before="0" w:beforeAutospacing="0" w:after="0" w:afterAutospacing="0"/>
        <w:jc w:val="center"/>
        <w:rPr>
          <w:i/>
          <w:iCs/>
          <w:sz w:val="20"/>
          <w:szCs w:val="20"/>
          <w:lang w:val="es-ES"/>
        </w:rPr>
      </w:pPr>
      <w:r w:rsidRPr="00B101BC">
        <w:rPr>
          <w:i/>
          <w:iCs/>
          <w:sz w:val="20"/>
          <w:szCs w:val="20"/>
          <w:lang w:val="es-ES"/>
        </w:rPr>
        <w:t>(</w:t>
      </w:r>
      <w:proofErr w:type="gramStart"/>
      <w:r w:rsidRPr="00B101BC">
        <w:rPr>
          <w:i/>
          <w:iCs/>
          <w:sz w:val="20"/>
          <w:szCs w:val="20"/>
          <w:lang w:val="es-ES"/>
        </w:rPr>
        <w:t>en</w:t>
      </w:r>
      <w:proofErr w:type="gramEnd"/>
      <w:r w:rsidRPr="00B101BC">
        <w:rPr>
          <w:i/>
          <w:iCs/>
          <w:sz w:val="20"/>
          <w:szCs w:val="20"/>
          <w:lang w:val="es-ES"/>
        </w:rPr>
        <w:t xml:space="preserve"> miles de francos suizos)</w:t>
      </w:r>
    </w:p>
    <w:p w:rsidR="00221F0B" w:rsidRPr="00B101BC" w:rsidRDefault="00221F0B" w:rsidP="00DC1333">
      <w:pPr>
        <w:pStyle w:val="NormalWeb"/>
        <w:spacing w:before="0" w:beforeAutospacing="0" w:after="0" w:afterAutospacing="0"/>
        <w:jc w:val="center"/>
        <w:rPr>
          <w:sz w:val="20"/>
          <w:szCs w:val="20"/>
          <w:lang w:val="es-ES"/>
        </w:rPr>
      </w:pPr>
    </w:p>
    <w:p w:rsidR="00221F0B" w:rsidRPr="00B101BC" w:rsidRDefault="00221F0B" w:rsidP="00DC1333">
      <w:pPr>
        <w:jc w:val="center"/>
      </w:pPr>
      <w:bookmarkStart w:id="171" w:name="Bm21"/>
      <w:bookmarkStart w:id="172" w:name="Punto21"/>
      <w:r>
        <w:rPr>
          <w:noProof/>
          <w:lang w:val="en-US" w:eastAsia="en-US"/>
        </w:rPr>
        <w:drawing>
          <wp:inline distT="0" distB="0" distL="0" distR="0" wp14:anchorId="72CF5E23" wp14:editId="185B6AEA">
            <wp:extent cx="5676900" cy="3209925"/>
            <wp:effectExtent l="0" t="0" r="0" b="9525"/>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5676900" cy="3209925"/>
                    </a:xfrm>
                    <a:prstGeom prst="rect">
                      <a:avLst/>
                    </a:prstGeom>
                    <a:noFill/>
                    <a:ln>
                      <a:noFill/>
                    </a:ln>
                  </pic:spPr>
                </pic:pic>
              </a:graphicData>
            </a:graphic>
          </wp:inline>
        </w:drawing>
      </w:r>
      <w:bookmarkEnd w:id="171"/>
      <w:bookmarkEnd w:id="172"/>
    </w:p>
    <w:p w:rsidR="00221F0B" w:rsidRPr="00B101BC" w:rsidRDefault="00221F0B" w:rsidP="00DC1333">
      <w:pPr>
        <w:pStyle w:val="NormalWeb"/>
        <w:keepNext/>
        <w:keepLines/>
        <w:spacing w:before="0" w:beforeAutospacing="0" w:after="0" w:afterAutospacing="0"/>
        <w:jc w:val="center"/>
        <w:rPr>
          <w:sz w:val="20"/>
          <w:szCs w:val="20"/>
          <w:lang w:val="es-ES"/>
        </w:rPr>
      </w:pPr>
      <w:r w:rsidRPr="00B101BC">
        <w:rPr>
          <w:sz w:val="20"/>
          <w:szCs w:val="20"/>
          <w:lang w:val="es-ES"/>
        </w:rPr>
        <w:lastRenderedPageBreak/>
        <w:t xml:space="preserve">Presupuesto y gastos reales (de personal y no relativos a personal) </w:t>
      </w:r>
    </w:p>
    <w:p w:rsidR="00221F0B" w:rsidRPr="00B101BC" w:rsidRDefault="00221F0B" w:rsidP="00DC1333">
      <w:pPr>
        <w:pStyle w:val="NormalWeb"/>
        <w:keepNext/>
        <w:keepLines/>
        <w:spacing w:before="0" w:beforeAutospacing="0" w:after="0" w:afterAutospacing="0"/>
        <w:jc w:val="center"/>
        <w:rPr>
          <w:i/>
          <w:iCs/>
          <w:sz w:val="20"/>
          <w:szCs w:val="20"/>
          <w:lang w:val="es-ES"/>
        </w:rPr>
      </w:pPr>
      <w:r w:rsidRPr="00B101BC">
        <w:rPr>
          <w:i/>
          <w:iCs/>
          <w:sz w:val="20"/>
          <w:szCs w:val="20"/>
          <w:lang w:val="es-ES"/>
        </w:rPr>
        <w:t>(</w:t>
      </w:r>
      <w:proofErr w:type="gramStart"/>
      <w:r w:rsidRPr="00B101BC">
        <w:rPr>
          <w:i/>
          <w:iCs/>
          <w:sz w:val="20"/>
          <w:szCs w:val="20"/>
          <w:lang w:val="es-ES"/>
        </w:rPr>
        <w:t>en</w:t>
      </w:r>
      <w:proofErr w:type="gramEnd"/>
      <w:r w:rsidRPr="00B101BC">
        <w:rPr>
          <w:i/>
          <w:iCs/>
          <w:sz w:val="20"/>
          <w:szCs w:val="20"/>
          <w:lang w:val="es-ES"/>
        </w:rPr>
        <w:t xml:space="preserve"> miles de francos suizos)</w:t>
      </w:r>
    </w:p>
    <w:p w:rsidR="00221F0B" w:rsidRPr="00B101BC" w:rsidRDefault="00221F0B" w:rsidP="00DC1333">
      <w:pPr>
        <w:pStyle w:val="NormalWeb"/>
        <w:keepNext/>
        <w:keepLines/>
        <w:spacing w:before="0" w:beforeAutospacing="0" w:after="0" w:afterAutospacing="0"/>
        <w:jc w:val="center"/>
        <w:rPr>
          <w:lang w:val="es-ES"/>
        </w:rPr>
      </w:pPr>
    </w:p>
    <w:p w:rsidR="00221F0B" w:rsidRPr="00B101BC" w:rsidRDefault="00221F0B" w:rsidP="00DC1333">
      <w:pPr>
        <w:jc w:val="center"/>
      </w:pPr>
      <w:bookmarkStart w:id="173" w:name="Point21"/>
      <w:r>
        <w:rPr>
          <w:noProof/>
          <w:lang w:val="en-US" w:eastAsia="en-US"/>
        </w:rPr>
        <w:drawing>
          <wp:inline distT="0" distB="0" distL="0" distR="0" wp14:anchorId="062152C7" wp14:editId="47713F82">
            <wp:extent cx="5940425" cy="1080827"/>
            <wp:effectExtent l="0" t="0" r="3175" b="508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5940425" cy="1080827"/>
                    </a:xfrm>
                    <a:prstGeom prst="rect">
                      <a:avLst/>
                    </a:prstGeom>
                    <a:noFill/>
                    <a:ln>
                      <a:noFill/>
                    </a:ln>
                  </pic:spPr>
                </pic:pic>
              </a:graphicData>
            </a:graphic>
          </wp:inline>
        </w:drawing>
      </w:r>
      <w:bookmarkEnd w:id="173"/>
    </w:p>
    <w:p w:rsidR="00221F0B" w:rsidRDefault="00221F0B" w:rsidP="00DC1333">
      <w:pPr>
        <w:widowControl w:val="0"/>
        <w:autoSpaceDE w:val="0"/>
        <w:autoSpaceDN w:val="0"/>
        <w:adjustRightInd w:val="0"/>
        <w:rPr>
          <w:sz w:val="20"/>
        </w:rPr>
      </w:pPr>
    </w:p>
    <w:p w:rsidR="00221F0B" w:rsidRPr="00B101BC" w:rsidRDefault="00221F0B" w:rsidP="00DC1333">
      <w:pPr>
        <w:widowControl w:val="0"/>
        <w:autoSpaceDE w:val="0"/>
        <w:autoSpaceDN w:val="0"/>
        <w:adjustRightInd w:val="0"/>
        <w:rPr>
          <w:sz w:val="20"/>
        </w:rPr>
      </w:pPr>
    </w:p>
    <w:p w:rsidR="00221F0B" w:rsidRPr="00B101BC" w:rsidRDefault="00403D2C" w:rsidP="00DC1333">
      <w:pPr>
        <w:rPr>
          <w:sz w:val="20"/>
          <w:u w:val="single"/>
        </w:rPr>
      </w:pPr>
      <w:r w:rsidRPr="00403D2C">
        <w:rPr>
          <w:sz w:val="20"/>
        </w:rPr>
        <w:t>A.</w:t>
      </w:r>
      <w:r w:rsidRPr="00403D2C">
        <w:rPr>
          <w:sz w:val="20"/>
        </w:rPr>
        <w:tab/>
      </w:r>
      <w:r w:rsidRPr="00403D2C">
        <w:rPr>
          <w:sz w:val="20"/>
          <w:u w:val="single"/>
        </w:rPr>
        <w:t>Presupuesto final de 2014/15 tras las transferencias</w:t>
      </w:r>
    </w:p>
    <w:p w:rsidR="00221F0B" w:rsidRPr="00B101BC" w:rsidRDefault="00221F0B" w:rsidP="00DC1333">
      <w:pPr>
        <w:rPr>
          <w:sz w:val="20"/>
          <w:u w:val="single"/>
        </w:rPr>
      </w:pPr>
    </w:p>
    <w:p w:rsidR="00221F0B" w:rsidRPr="00B101BC" w:rsidRDefault="00221F0B" w:rsidP="00EC2771">
      <w:pPr>
        <w:numPr>
          <w:ilvl w:val="0"/>
          <w:numId w:val="98"/>
        </w:numPr>
        <w:tabs>
          <w:tab w:val="clear" w:pos="680"/>
          <w:tab w:val="num" w:pos="709"/>
        </w:tabs>
        <w:autoSpaceDE w:val="0"/>
        <w:autoSpaceDN w:val="0"/>
        <w:adjustRightInd w:val="0"/>
        <w:jc w:val="both"/>
        <w:rPr>
          <w:sz w:val="20"/>
        </w:rPr>
      </w:pPr>
      <w:r w:rsidRPr="00B101BC">
        <w:rPr>
          <w:sz w:val="20"/>
        </w:rPr>
        <w:t>El incremento de los recursos de personal en el presupuesto final tras las transferencias se debió fundamentalmente a:</w:t>
      </w:r>
    </w:p>
    <w:p w:rsidR="00221F0B" w:rsidRPr="00B101BC" w:rsidRDefault="00221F0B" w:rsidP="00DC1333">
      <w:pPr>
        <w:autoSpaceDE w:val="0"/>
        <w:autoSpaceDN w:val="0"/>
        <w:adjustRightInd w:val="0"/>
        <w:jc w:val="both"/>
        <w:rPr>
          <w:sz w:val="20"/>
          <w:lang w:eastAsia="ko-KR"/>
        </w:rPr>
      </w:pPr>
    </w:p>
    <w:p w:rsidR="00221F0B" w:rsidRPr="00221F0B" w:rsidRDefault="00221F0B" w:rsidP="006E741C">
      <w:pPr>
        <w:pStyle w:val="ListParagraph"/>
        <w:autoSpaceDE w:val="0"/>
        <w:autoSpaceDN w:val="0"/>
        <w:spacing w:after="120"/>
        <w:ind w:left="567"/>
        <w:jc w:val="both"/>
        <w:rPr>
          <w:bCs/>
          <w:lang w:val="es-ES" w:eastAsia="ko-KR"/>
        </w:rPr>
      </w:pPr>
      <w:r w:rsidRPr="00221F0B">
        <w:rPr>
          <w:lang w:val="es-ES" w:eastAsia="ko-KR"/>
        </w:rPr>
        <w:t>i)</w:t>
      </w:r>
      <w:r w:rsidRPr="00221F0B">
        <w:rPr>
          <w:lang w:val="es-ES" w:eastAsia="ko-KR"/>
        </w:rPr>
        <w:tab/>
        <w:t>la transferencia de puestos al programa tras la fusión de la función de eventos con la función del protocolo, reflejada en el resultado previsto VIII.3 (</w:t>
      </w:r>
      <w:r w:rsidRPr="00221F0B">
        <w:rPr>
          <w:bCs/>
          <w:lang w:val="es-ES" w:eastAsia="ko-KR"/>
        </w:rPr>
        <w:t>Atención eficaz a los Estados miembros);</w:t>
      </w:r>
    </w:p>
    <w:p w:rsidR="00221F0B" w:rsidRPr="00221F0B" w:rsidRDefault="00221F0B" w:rsidP="006E741C">
      <w:pPr>
        <w:pStyle w:val="ListParagraph"/>
        <w:autoSpaceDE w:val="0"/>
        <w:autoSpaceDN w:val="0"/>
        <w:spacing w:after="120"/>
        <w:ind w:left="567"/>
        <w:jc w:val="both"/>
        <w:rPr>
          <w:lang w:val="es-ES" w:eastAsia="ko-KR"/>
        </w:rPr>
      </w:pPr>
      <w:r w:rsidRPr="00221F0B">
        <w:rPr>
          <w:bCs/>
          <w:lang w:val="es-ES" w:eastAsia="ko-KR"/>
        </w:rPr>
        <w:t>ii)</w:t>
      </w:r>
      <w:r w:rsidRPr="00221F0B">
        <w:rPr>
          <w:bCs/>
          <w:lang w:val="es-ES" w:eastAsia="ko-KR"/>
        </w:rPr>
        <w:tab/>
      </w:r>
      <w:r w:rsidRPr="00221F0B">
        <w:rPr>
          <w:lang w:val="es-ES" w:eastAsia="ko-KR"/>
        </w:rPr>
        <w:t>la creación de la función de coordinador de la continuidad de las operaciones, reflejada en el resultado previsto IV.2 (</w:t>
      </w:r>
      <w:r w:rsidRPr="00221F0B">
        <w:rPr>
          <w:bCs/>
          <w:lang w:val="es-ES" w:eastAsia="ko-KR"/>
        </w:rPr>
        <w:t>Mejora del acceso y uso de información de P.I. por parte de instituciones de P.I. y el público para fomentar la innovación y la creatividad</w:t>
      </w:r>
      <w:r w:rsidRPr="00221F0B">
        <w:rPr>
          <w:lang w:val="es-ES" w:eastAsia="ko-KR"/>
        </w:rPr>
        <w:t>), y</w:t>
      </w:r>
    </w:p>
    <w:p w:rsidR="00221F0B" w:rsidRPr="00221F0B" w:rsidRDefault="00221F0B" w:rsidP="006E741C">
      <w:pPr>
        <w:pStyle w:val="ListParagraph"/>
        <w:autoSpaceDE w:val="0"/>
        <w:autoSpaceDN w:val="0"/>
        <w:spacing w:after="120"/>
        <w:ind w:left="567"/>
        <w:jc w:val="both"/>
        <w:rPr>
          <w:lang w:val="es-ES" w:eastAsia="ko-KR"/>
        </w:rPr>
      </w:pPr>
      <w:r w:rsidRPr="00221F0B">
        <w:rPr>
          <w:lang w:val="es-ES" w:eastAsia="ko-KR"/>
        </w:rPr>
        <w:t>iii)</w:t>
      </w:r>
      <w:r w:rsidRPr="00221F0B">
        <w:rPr>
          <w:lang w:val="es-ES" w:eastAsia="ko-KR"/>
        </w:rPr>
        <w:tab/>
        <w:t>el fortalecimiento de la Oficina del Consejero Jurídico para satisfacer la creciente demanda de servicios jurídicos, reflejado en los resultados previstos VIII.3 (</w:t>
      </w:r>
      <w:r w:rsidRPr="00221F0B">
        <w:rPr>
          <w:bCs/>
          <w:lang w:val="es-ES" w:eastAsia="ko-KR"/>
        </w:rPr>
        <w:t>Atención eficaz a los Estados miembros</w:t>
      </w:r>
      <w:r w:rsidRPr="00221F0B">
        <w:rPr>
          <w:lang w:val="es-ES" w:eastAsia="ko-KR"/>
        </w:rPr>
        <w:t>) y VIII.5 (</w:t>
      </w:r>
      <w:r w:rsidRPr="00221F0B">
        <w:rPr>
          <w:bCs/>
          <w:lang w:val="es-ES" w:eastAsia="ko-KR"/>
        </w:rPr>
        <w:t>La OMPI participa y colabora eficazmente en los procesos y negociaciones de las Naciones Unidas y otras OIG</w:t>
      </w:r>
      <w:r w:rsidRPr="00221F0B">
        <w:rPr>
          <w:lang w:val="es-ES" w:eastAsia="ko-KR"/>
        </w:rPr>
        <w:t>).</w:t>
      </w:r>
    </w:p>
    <w:p w:rsidR="00221F0B" w:rsidRPr="00B101BC" w:rsidRDefault="00221F0B" w:rsidP="00EC2771">
      <w:pPr>
        <w:numPr>
          <w:ilvl w:val="0"/>
          <w:numId w:val="98"/>
        </w:numPr>
        <w:tabs>
          <w:tab w:val="clear" w:pos="680"/>
          <w:tab w:val="num" w:pos="709"/>
        </w:tabs>
        <w:autoSpaceDE w:val="0"/>
        <w:autoSpaceDN w:val="0"/>
        <w:adjustRightInd w:val="0"/>
        <w:jc w:val="both"/>
        <w:rPr>
          <w:sz w:val="20"/>
        </w:rPr>
      </w:pPr>
      <w:r w:rsidRPr="00B101BC">
        <w:rPr>
          <w:sz w:val="20"/>
        </w:rPr>
        <w:t>El aumento de los recursos no relativos a personal se debió principalmente a los requisitos adicionales en favor de mejorar la atención eficaz a los Estados miembros (resultado previsto VIII.3).</w:t>
      </w:r>
    </w:p>
    <w:p w:rsidR="00221F0B" w:rsidRPr="00B101BC" w:rsidRDefault="00221F0B" w:rsidP="00DC1333">
      <w:pPr>
        <w:autoSpaceDE w:val="0"/>
        <w:autoSpaceDN w:val="0"/>
        <w:jc w:val="both"/>
        <w:rPr>
          <w:sz w:val="20"/>
          <w:lang w:eastAsia="ko-KR"/>
        </w:rPr>
      </w:pPr>
    </w:p>
    <w:p w:rsidR="00221F0B" w:rsidRPr="00B101BC" w:rsidRDefault="00221F0B" w:rsidP="00EC2771">
      <w:pPr>
        <w:numPr>
          <w:ilvl w:val="0"/>
          <w:numId w:val="98"/>
        </w:numPr>
        <w:tabs>
          <w:tab w:val="clear" w:pos="680"/>
          <w:tab w:val="num" w:pos="709"/>
        </w:tabs>
        <w:autoSpaceDE w:val="0"/>
        <w:autoSpaceDN w:val="0"/>
        <w:adjustRightInd w:val="0"/>
        <w:jc w:val="both"/>
        <w:rPr>
          <w:sz w:val="20"/>
        </w:rPr>
      </w:pPr>
      <w:r w:rsidRPr="00B101BC">
        <w:rPr>
          <w:sz w:val="20"/>
        </w:rPr>
        <w:t>Además de lo anterior, las variaciones de recursos en los resultados previstos, en particular el resultado previsto IX.2 (</w:t>
      </w:r>
      <w:r w:rsidRPr="005E1D9A">
        <w:rPr>
          <w:sz w:val="20"/>
        </w:rPr>
        <w:t>Funcionamiento sin contratiempos de la Secretaría, provista de un personal bien dirigido, dotado de las competencias adecuadas y capaz de conseguir resultados</w:t>
      </w:r>
      <w:r w:rsidRPr="00B101BC">
        <w:rPr>
          <w:sz w:val="20"/>
        </w:rPr>
        <w:t>) son asimismo un reflejo de la nueva metodología más precisa para la asignación de los recursos de personal</w:t>
      </w:r>
      <w:r>
        <w:rPr>
          <w:sz w:val="20"/>
        </w:rPr>
        <w:t>,</w:t>
      </w:r>
      <w:r w:rsidRPr="00B101BC">
        <w:rPr>
          <w:sz w:val="20"/>
        </w:rPr>
        <w:t xml:space="preserve"> derivada de las mejoras introducidas en el sistema de planificación de gestión del rendimiento institucional para los ejercicios de planificación del trabajo de 2014 y 2015.</w:t>
      </w:r>
    </w:p>
    <w:p w:rsidR="00221F0B" w:rsidRPr="00B101BC" w:rsidRDefault="00221F0B" w:rsidP="00DC1333">
      <w:pPr>
        <w:autoSpaceDE w:val="0"/>
        <w:autoSpaceDN w:val="0"/>
        <w:jc w:val="both"/>
        <w:rPr>
          <w:sz w:val="20"/>
          <w:lang w:eastAsia="ko-KR"/>
        </w:rPr>
      </w:pPr>
    </w:p>
    <w:p w:rsidR="00221F0B" w:rsidRPr="00B101BC" w:rsidRDefault="00403D2C" w:rsidP="00DC1333">
      <w:pPr>
        <w:jc w:val="both"/>
        <w:rPr>
          <w:sz w:val="20"/>
          <w:u w:val="single"/>
          <w:lang w:eastAsia="ko-KR"/>
        </w:rPr>
      </w:pPr>
      <w:r w:rsidRPr="00403D2C">
        <w:rPr>
          <w:sz w:val="20"/>
          <w:lang w:eastAsia="ko-KR"/>
        </w:rPr>
        <w:t>B.</w:t>
      </w:r>
      <w:r w:rsidRPr="00403D2C">
        <w:rPr>
          <w:sz w:val="20"/>
          <w:lang w:eastAsia="ko-KR"/>
        </w:rPr>
        <w:tab/>
      </w:r>
      <w:r w:rsidRPr="00403D2C">
        <w:rPr>
          <w:sz w:val="20"/>
          <w:u w:val="single"/>
          <w:lang w:eastAsia="ko-KR"/>
        </w:rPr>
        <w:t>Utilización del presupuesto en 2014/15</w:t>
      </w:r>
    </w:p>
    <w:p w:rsidR="00221F0B" w:rsidRPr="00B101BC" w:rsidRDefault="00221F0B" w:rsidP="00DC1333">
      <w:pPr>
        <w:tabs>
          <w:tab w:val="left" w:pos="709"/>
        </w:tabs>
        <w:jc w:val="both"/>
        <w:rPr>
          <w:sz w:val="20"/>
          <w:u w:val="single"/>
          <w:lang w:eastAsia="ko-KR"/>
        </w:rPr>
      </w:pPr>
    </w:p>
    <w:p w:rsidR="00221F0B" w:rsidRPr="00B101BC" w:rsidRDefault="00221F0B" w:rsidP="00EC2771">
      <w:pPr>
        <w:numPr>
          <w:ilvl w:val="0"/>
          <w:numId w:val="98"/>
        </w:numPr>
        <w:tabs>
          <w:tab w:val="clear" w:pos="680"/>
          <w:tab w:val="num" w:pos="709"/>
        </w:tabs>
        <w:autoSpaceDE w:val="0"/>
        <w:autoSpaceDN w:val="0"/>
        <w:adjustRightInd w:val="0"/>
        <w:jc w:val="both"/>
        <w:rPr>
          <w:sz w:val="20"/>
        </w:rPr>
      </w:pPr>
      <w:r w:rsidRPr="00B101BC">
        <w:rPr>
          <w:sz w:val="20"/>
        </w:rPr>
        <w:t>Los gastos de personal fueron inferiores a los presupuestados debido principalmente a</w:t>
      </w:r>
      <w:proofErr w:type="gramStart"/>
      <w:r w:rsidRPr="00B101BC">
        <w:rPr>
          <w:sz w:val="20"/>
        </w:rPr>
        <w:t>:  i</w:t>
      </w:r>
      <w:proofErr w:type="gramEnd"/>
      <w:r w:rsidRPr="00B101BC">
        <w:rPr>
          <w:sz w:val="20"/>
        </w:rPr>
        <w:t>) la ausencia de un Oficial Jefe de Ética Profesional durante los primeros ocho meses de 2015</w:t>
      </w:r>
      <w:r>
        <w:rPr>
          <w:sz w:val="20"/>
        </w:rPr>
        <w:t>,</w:t>
      </w:r>
      <w:r w:rsidRPr="00B101BC">
        <w:rPr>
          <w:sz w:val="20"/>
        </w:rPr>
        <w:t xml:space="preserve"> y ii) los procesos de contratación en curso, en particular en la Oficina del Consejero Jurídico y la Oficina del Mediador.  Esto se tradujo asimismo en menos gastos en los recursos no relativos a personal conexos.</w:t>
      </w:r>
    </w:p>
    <w:p w:rsidR="00221F0B" w:rsidRDefault="00221F0B"/>
    <w:p w:rsidR="00221F0B" w:rsidRPr="00B101BC" w:rsidRDefault="00221F0B"/>
    <w:p w:rsidR="00577332" w:rsidRDefault="00577332">
      <w:pPr>
        <w:rPr>
          <w:bCs/>
          <w:iCs/>
          <w:caps/>
          <w:szCs w:val="28"/>
        </w:rPr>
      </w:pPr>
      <w:bookmarkStart w:id="174" w:name="_Toc422927436"/>
      <w:r>
        <w:br w:type="page"/>
      </w:r>
    </w:p>
    <w:p w:rsidR="00221F0B" w:rsidRPr="00577332" w:rsidRDefault="00221F0B" w:rsidP="00DC1333">
      <w:pPr>
        <w:pStyle w:val="Heading2"/>
        <w:ind w:left="2410" w:hanging="2410"/>
        <w:rPr>
          <w:b/>
        </w:rPr>
      </w:pPr>
      <w:bookmarkStart w:id="175" w:name="_Toc455159104"/>
      <w:r w:rsidRPr="00577332">
        <w:rPr>
          <w:b/>
        </w:rPr>
        <w:lastRenderedPageBreak/>
        <w:t>PROGRAMA 22</w:t>
      </w:r>
      <w:r w:rsidRPr="00577332">
        <w:rPr>
          <w:b/>
        </w:rPr>
        <w:tab/>
        <w:t>GESTIÓN DE PROGRAMAS Y RECURSOS</w:t>
      </w:r>
      <w:bookmarkEnd w:id="174"/>
      <w:bookmarkEnd w:id="175"/>
    </w:p>
    <w:p w:rsidR="00221F0B" w:rsidRPr="00913D46" w:rsidRDefault="00221F0B" w:rsidP="00DC1333"/>
    <w:p w:rsidR="00221F0B" w:rsidRPr="00013B5C" w:rsidRDefault="00221F0B" w:rsidP="00DC1333">
      <w:pPr>
        <w:tabs>
          <w:tab w:val="left" w:pos="2410"/>
        </w:tabs>
        <w:rPr>
          <w:b/>
          <w:sz w:val="20"/>
        </w:rPr>
      </w:pPr>
      <w:r w:rsidRPr="00013B5C">
        <w:rPr>
          <w:b/>
          <w:sz w:val="20"/>
        </w:rPr>
        <w:t>Director de programa</w:t>
      </w:r>
      <w:r w:rsidRPr="00013B5C">
        <w:rPr>
          <w:b/>
          <w:sz w:val="20"/>
        </w:rPr>
        <w:tab/>
        <w:t>Sr. A. Sundaram</w:t>
      </w:r>
    </w:p>
    <w:p w:rsidR="00221F0B" w:rsidRPr="00492A99" w:rsidRDefault="00221F0B" w:rsidP="00DC1333"/>
    <w:p w:rsidR="00221F0B" w:rsidRPr="00492A99" w:rsidRDefault="00221F0B" w:rsidP="00DC1333"/>
    <w:p w:rsidR="00221F0B" w:rsidRPr="00F03E99" w:rsidRDefault="008F7CBE" w:rsidP="00DC1333">
      <w:pPr>
        <w:rPr>
          <w:bCs/>
          <w:szCs w:val="22"/>
        </w:rPr>
      </w:pPr>
      <w:r w:rsidRPr="008F7CBE">
        <w:rPr>
          <w:bCs/>
          <w:sz w:val="20"/>
          <w:szCs w:val="22"/>
        </w:rPr>
        <w:t>LOGROS ALCANZADOS EN EL BIENIO 2014/15</w:t>
      </w:r>
      <w:r w:rsidR="00221F0B" w:rsidRPr="00F03E99">
        <w:rPr>
          <w:bCs/>
          <w:szCs w:val="22"/>
        </w:rPr>
        <w:t xml:space="preserve"> </w:t>
      </w:r>
    </w:p>
    <w:p w:rsidR="00221F0B" w:rsidRPr="00492A99" w:rsidRDefault="00221F0B" w:rsidP="00DC1333">
      <w:pPr>
        <w:tabs>
          <w:tab w:val="num" w:pos="540"/>
        </w:tabs>
        <w:rPr>
          <w:bCs/>
          <w:szCs w:val="22"/>
        </w:rPr>
      </w:pPr>
    </w:p>
    <w:p w:rsidR="00221F0B" w:rsidRPr="00492A99" w:rsidRDefault="00221F0B" w:rsidP="00221F0B">
      <w:pPr>
        <w:pStyle w:val="ListParagraph"/>
        <w:numPr>
          <w:ilvl w:val="0"/>
          <w:numId w:val="102"/>
        </w:numPr>
        <w:tabs>
          <w:tab w:val="left" w:pos="709"/>
        </w:tabs>
        <w:ind w:left="0" w:firstLine="0"/>
        <w:jc w:val="both"/>
        <w:rPr>
          <w:bCs/>
          <w:lang w:val="es-ES"/>
        </w:rPr>
      </w:pPr>
      <w:r w:rsidRPr="00492A99">
        <w:rPr>
          <w:bCs/>
          <w:lang w:val="es-ES"/>
        </w:rPr>
        <w:t>Tras los avances obtenidos en el bienio 2012/13, en 2014/15 se siguió consolidando la gestión de programas y recursos de la OMPI.  A fin de utilizar los recursos de manera más eficaz, establecer mejores prácticas en lo que respecta a planificar, gestionar el rendimiento, facilitar y apoyar las actividades operacionales de toda la Organización y fortalecer la "segunda línea de defensa",</w:t>
      </w:r>
      <w:r w:rsidRPr="00492A99">
        <w:rPr>
          <w:bCs/>
          <w:vertAlign w:val="superscript"/>
          <w:lang w:val="es-ES"/>
        </w:rPr>
        <w:footnoteReference w:id="124"/>
      </w:r>
      <w:r w:rsidRPr="00492A99">
        <w:rPr>
          <w:bCs/>
          <w:lang w:val="es-ES"/>
        </w:rPr>
        <w:t xml:space="preserve"> en noviembre de 2013 se inició un proceso de restructuración estratégica que se afianzó plenamente en 2014.  Esta labor ha entrañado:  i) la creación de la División de Presupuesto y Rendimiento de los Programas a partir de la fusión de la Sección de Gestión y Rendimiento de los Programas y la Sección del Presupuesto, que </w:t>
      </w:r>
      <w:r>
        <w:rPr>
          <w:bCs/>
          <w:lang w:val="es-ES"/>
        </w:rPr>
        <w:t>ha favorecido</w:t>
      </w:r>
      <w:r w:rsidRPr="00492A99">
        <w:rPr>
          <w:bCs/>
          <w:lang w:val="es-ES"/>
        </w:rPr>
        <w:t xml:space="preserve"> un enfoque más integral de la gestión de programas;  ii) el perfeccionamiento de la función de la Ofi</w:t>
      </w:r>
      <w:r>
        <w:rPr>
          <w:bCs/>
          <w:lang w:val="es-ES"/>
        </w:rPr>
        <w:t>cina del Contralor, que ha permitido</w:t>
      </w:r>
      <w:r w:rsidRPr="00492A99">
        <w:rPr>
          <w:bCs/>
          <w:lang w:val="es-ES"/>
        </w:rPr>
        <w:t xml:space="preserve"> la separación y la asignación clara de responsabilidades relativas a la coordinación de la gestión de riesgos, el cumplimiento y los controles internos, la revisión y el mantenimiento del marco regulador financiero y el seguimiento de las recomendaciones de supervisión;  y iii) la incorporación al programa 22 de las funciones de gestión y apoyo de las aplicaciones administrativas de la Organización, que posibilitan la sinergia y la integración eficaz de los sistemas que se aplican con arreglo a la cartera de proyectos de la PRI.</w:t>
      </w:r>
    </w:p>
    <w:p w:rsidR="00221F0B" w:rsidRPr="00492A99" w:rsidRDefault="00221F0B" w:rsidP="00DC1333">
      <w:pPr>
        <w:tabs>
          <w:tab w:val="left" w:pos="709"/>
        </w:tabs>
        <w:jc w:val="both"/>
        <w:rPr>
          <w:bCs/>
          <w:szCs w:val="22"/>
        </w:rPr>
      </w:pPr>
    </w:p>
    <w:p w:rsidR="00221F0B" w:rsidRPr="00492A99" w:rsidRDefault="00221F0B" w:rsidP="00221F0B">
      <w:pPr>
        <w:pStyle w:val="ListParagraph"/>
        <w:numPr>
          <w:ilvl w:val="0"/>
          <w:numId w:val="102"/>
        </w:numPr>
        <w:tabs>
          <w:tab w:val="left" w:pos="709"/>
        </w:tabs>
        <w:ind w:left="0" w:firstLine="0"/>
        <w:jc w:val="both"/>
        <w:rPr>
          <w:bCs/>
          <w:szCs w:val="22"/>
          <w:lang w:val="es-ES"/>
        </w:rPr>
      </w:pPr>
      <w:r w:rsidRPr="00492A99">
        <w:rPr>
          <w:bCs/>
          <w:szCs w:val="22"/>
          <w:lang w:val="es-ES"/>
        </w:rPr>
        <w:t xml:space="preserve">Durante el bienio, se logró avanzar satisfactoriamente en el arraigo de una cultura basada en los resultados y en el fortalecimiento del ciclo de gestión del rendimiento de la OMPI.  Asimismo, en 2014/15, se siguieron mejorando los procesos de planificación de la labor.  En 2014, se introdujo la planificación basada en los cargos que </w:t>
      </w:r>
      <w:r w:rsidRPr="00492A99">
        <w:rPr>
          <w:bCs/>
          <w:lang w:val="es-ES"/>
        </w:rPr>
        <w:t xml:space="preserve">intensificó los vínculos entre los resultados previstos para cada programa y los objetivos de cada miembro del personal, fomentando la transparencia y la precisión en cuanto a la asignación y utilización de recursos </w:t>
      </w:r>
      <w:r>
        <w:rPr>
          <w:bCs/>
          <w:lang w:val="es-ES"/>
        </w:rPr>
        <w:t>de</w:t>
      </w:r>
      <w:r w:rsidRPr="00492A99">
        <w:rPr>
          <w:bCs/>
          <w:lang w:val="es-ES"/>
        </w:rPr>
        <w:t xml:space="preserve"> personal.</w:t>
      </w:r>
    </w:p>
    <w:p w:rsidR="00221F0B" w:rsidRPr="00492A99" w:rsidRDefault="00221F0B" w:rsidP="00DC1333">
      <w:pPr>
        <w:pStyle w:val="ListParagraph"/>
        <w:rPr>
          <w:bCs/>
          <w:szCs w:val="22"/>
          <w:lang w:val="es-ES"/>
        </w:rPr>
      </w:pPr>
    </w:p>
    <w:p w:rsidR="00221F0B" w:rsidRPr="00492A99" w:rsidRDefault="00221F0B" w:rsidP="00221F0B">
      <w:pPr>
        <w:pStyle w:val="ListParagraph"/>
        <w:numPr>
          <w:ilvl w:val="0"/>
          <w:numId w:val="102"/>
        </w:numPr>
        <w:tabs>
          <w:tab w:val="left" w:pos="709"/>
        </w:tabs>
        <w:ind w:left="0" w:firstLine="0"/>
        <w:jc w:val="both"/>
        <w:rPr>
          <w:bCs/>
          <w:szCs w:val="22"/>
          <w:lang w:val="es-ES"/>
        </w:rPr>
      </w:pPr>
      <w:r w:rsidRPr="00492A99">
        <w:rPr>
          <w:bCs/>
          <w:lang w:val="es-ES"/>
        </w:rPr>
        <w:t xml:space="preserve">La evolución del sistema de PRI y de gestión del rendimiento institucional resultó fundamental para </w:t>
      </w:r>
      <w:r>
        <w:rPr>
          <w:bCs/>
          <w:lang w:val="es-ES"/>
        </w:rPr>
        <w:t xml:space="preserve">los avances </w:t>
      </w:r>
      <w:r w:rsidRPr="00492A99">
        <w:rPr>
          <w:bCs/>
          <w:lang w:val="es-ES"/>
        </w:rPr>
        <w:t>logrado</w:t>
      </w:r>
      <w:r>
        <w:rPr>
          <w:bCs/>
          <w:lang w:val="es-ES"/>
        </w:rPr>
        <w:t>s</w:t>
      </w:r>
      <w:r w:rsidRPr="00492A99">
        <w:rPr>
          <w:bCs/>
          <w:lang w:val="es-ES"/>
        </w:rPr>
        <w:t xml:space="preserve"> en el bienio.  Con tal fin, en el año 2014 se produjo la puesta en marcha de dos nuevos módulos esenciales para el ciclo de rendimiento de la OMPI, a saber, los módulos de “Ejecución y supervisión” y “Evaluación del rendimiento”, que permiten aplicar un enfoque más </w:t>
      </w:r>
      <w:r>
        <w:rPr>
          <w:bCs/>
          <w:lang w:val="es-ES"/>
        </w:rPr>
        <w:t>dinámico</w:t>
      </w:r>
      <w:r w:rsidRPr="00492A99">
        <w:rPr>
          <w:bCs/>
          <w:lang w:val="es-ES"/>
        </w:rPr>
        <w:t xml:space="preserve"> y adecuado </w:t>
      </w:r>
      <w:r>
        <w:rPr>
          <w:bCs/>
          <w:lang w:val="es-ES"/>
        </w:rPr>
        <w:t>par</w:t>
      </w:r>
      <w:r w:rsidRPr="00492A99">
        <w:rPr>
          <w:bCs/>
          <w:lang w:val="es-ES"/>
        </w:rPr>
        <w:t xml:space="preserve">a la gestión y evaluación de los programas.  Además, esas herramientas también permiten mejorar la capacidad de análisis comparativo entre los planes de trabajo aprobados y las modificaciones realizadas a lo largo del año, reforzando así la capacidad de gestión de los programas y sirviendo de base a los futuros ciclos de planificación, incluida la planificación del bienio </w:t>
      </w:r>
      <w:r w:rsidRPr="00492A99">
        <w:rPr>
          <w:bCs/>
          <w:szCs w:val="22"/>
          <w:lang w:val="es-ES"/>
        </w:rPr>
        <w:t xml:space="preserve">2016/17.  </w:t>
      </w:r>
    </w:p>
    <w:p w:rsidR="00221F0B" w:rsidRPr="00492A99" w:rsidRDefault="00221F0B" w:rsidP="00DC1333">
      <w:pPr>
        <w:tabs>
          <w:tab w:val="left" w:pos="709"/>
        </w:tabs>
        <w:jc w:val="both"/>
        <w:rPr>
          <w:bCs/>
          <w:szCs w:val="22"/>
        </w:rPr>
      </w:pPr>
    </w:p>
    <w:p w:rsidR="00221F0B" w:rsidRPr="00492A99" w:rsidRDefault="00221F0B" w:rsidP="00221F0B">
      <w:pPr>
        <w:pStyle w:val="ListParagraph"/>
        <w:numPr>
          <w:ilvl w:val="0"/>
          <w:numId w:val="102"/>
        </w:numPr>
        <w:tabs>
          <w:tab w:val="left" w:pos="709"/>
        </w:tabs>
        <w:ind w:left="0" w:firstLine="0"/>
        <w:jc w:val="both"/>
        <w:rPr>
          <w:bCs/>
          <w:lang w:val="es-ES"/>
        </w:rPr>
      </w:pPr>
      <w:r w:rsidRPr="00492A99">
        <w:rPr>
          <w:bCs/>
          <w:lang w:val="es-ES"/>
        </w:rPr>
        <w:t xml:space="preserve">La </w:t>
      </w:r>
      <w:r>
        <w:rPr>
          <w:bCs/>
          <w:lang w:val="es-ES"/>
        </w:rPr>
        <w:t xml:space="preserve">creciente </w:t>
      </w:r>
      <w:r w:rsidRPr="00492A99">
        <w:rPr>
          <w:bCs/>
          <w:lang w:val="es-ES"/>
        </w:rPr>
        <w:t>integración de los componentes del sistema de PRI en 2014/15 contribuyó a mejorar la presentación de informes y las herramientas analíticas.  Por primera vez en 2014,</w:t>
      </w:r>
      <w:r w:rsidRPr="00492A99">
        <w:rPr>
          <w:szCs w:val="24"/>
          <w:lang w:val="es-ES"/>
        </w:rPr>
        <w:t xml:space="preserve"> </w:t>
      </w:r>
      <w:r w:rsidRPr="00492A99">
        <w:rPr>
          <w:bCs/>
          <w:lang w:val="es-ES"/>
        </w:rPr>
        <w:t>se integraron conjuntamente los sistemas de planificación de la gestión del rendimiento institucional y los componentes financieros del sistema automatizado de gestión de la información (AIMS), lo que facilitó la presentación de informes comparativos entre el presupuesto y los gastos reales.  Además, en enero de 2014, comenzó a funcionar el sistema de g</w:t>
      </w:r>
      <w:r w:rsidRPr="00492A99">
        <w:rPr>
          <w:lang w:val="es-ES"/>
        </w:rPr>
        <w:t>estión de los recursos humanos y de las nóminas</w:t>
      </w:r>
      <w:r w:rsidRPr="00492A99">
        <w:rPr>
          <w:bCs/>
          <w:lang w:val="es-ES"/>
        </w:rPr>
        <w:t xml:space="preserve"> en el marco de la PRI y, en abril de 2014, se completó la integración con el sistema de gestión del rendimiento institucional, mejorando considerablemente la capacidad de gestión de los cargos.  Durante el bienio evolucionó el módulo de inteligencia institucional, con la creación y la puesta en marcha de tableros de control en los principales sectores administrativos (gestión de recursos humanos, adquisiciones y viajes, planificación de programas y finanzas) en 2014 y su integración en toda la Organización en 2015.  También se creó y se puso en marcha en 2015 un tablero de control de gestión de riesgos.</w:t>
      </w:r>
    </w:p>
    <w:p w:rsidR="00221F0B" w:rsidRPr="00492A99" w:rsidRDefault="00221F0B" w:rsidP="00DC1333">
      <w:pPr>
        <w:pStyle w:val="ListParagraph"/>
        <w:tabs>
          <w:tab w:val="left" w:pos="709"/>
        </w:tabs>
        <w:ind w:left="0"/>
        <w:jc w:val="both"/>
        <w:rPr>
          <w:bCs/>
          <w:szCs w:val="22"/>
          <w:lang w:val="es-ES"/>
        </w:rPr>
      </w:pPr>
    </w:p>
    <w:p w:rsidR="00221F0B" w:rsidRPr="00492A99" w:rsidRDefault="00221F0B" w:rsidP="00221F0B">
      <w:pPr>
        <w:pStyle w:val="ListParagraph"/>
        <w:numPr>
          <w:ilvl w:val="0"/>
          <w:numId w:val="102"/>
        </w:numPr>
        <w:tabs>
          <w:tab w:val="left" w:pos="709"/>
        </w:tabs>
        <w:ind w:left="0" w:firstLine="0"/>
        <w:jc w:val="both"/>
        <w:rPr>
          <w:bCs/>
          <w:szCs w:val="22"/>
          <w:lang w:val="es-ES"/>
        </w:rPr>
      </w:pPr>
      <w:r w:rsidRPr="00492A99">
        <w:rPr>
          <w:rFonts w:cs="Arial"/>
          <w:lang w:val="es-ES"/>
        </w:rPr>
        <w:t xml:space="preserve">Entre otras mejoras en la cartera de productos de la PRI durante el bienio, que permitieron fortalecer y fomentar la eficacia de las funciones de gestión, figuran las siguientes:  i) una mejora sustancial del sistema financiero AIMS al pasar a la versión 9.2 que garantizará que los sistemas de la OMPI dispongan de las funciones más recientes con miras a reducir los costos de apoyo;  ii) la puesta en marcha de la primera fase del autoservicio de RR.HH., que permite al personal efectuar cambios en la información personal, reduciendo la circulación de documentos y la introducción manual de datos en las </w:t>
      </w:r>
      <w:r w:rsidRPr="00492A99">
        <w:rPr>
          <w:rFonts w:cs="Arial"/>
          <w:lang w:val="es-ES"/>
        </w:rPr>
        <w:lastRenderedPageBreak/>
        <w:t xml:space="preserve">operaciones de RR.HH.;  ii) los pagos al personal que no está radicado en Ginebra por medio del sistema de nómina </w:t>
      </w:r>
      <w:proofErr w:type="spellStart"/>
      <w:r w:rsidRPr="00492A99">
        <w:rPr>
          <w:rFonts w:cs="Arial"/>
          <w:lang w:val="es-ES"/>
        </w:rPr>
        <w:t>PeopleSoft</w:t>
      </w:r>
      <w:proofErr w:type="spellEnd"/>
      <w:r w:rsidRPr="00492A99">
        <w:rPr>
          <w:rFonts w:cs="Arial"/>
          <w:lang w:val="es-ES"/>
        </w:rPr>
        <w:t xml:space="preserve">;  iii) la mejora del proceso relativo al subsidio de educación;  iv) la integración plena del sistema de traducción del PCT con el sistema financiero AIMS y la reducción de los flujos de trabajo manuales;  v) la creación de un único portal </w:t>
      </w:r>
      <w:r>
        <w:rPr>
          <w:rFonts w:cs="Arial"/>
          <w:lang w:val="es-ES"/>
        </w:rPr>
        <w:t>de formación para la PRI, las T</w:t>
      </w:r>
      <w:r w:rsidRPr="00492A99">
        <w:rPr>
          <w:rFonts w:cs="Arial"/>
          <w:lang w:val="es-ES"/>
        </w:rPr>
        <w:t>I</w:t>
      </w:r>
      <w:r>
        <w:rPr>
          <w:rFonts w:cs="Arial"/>
          <w:lang w:val="es-ES"/>
        </w:rPr>
        <w:t>C</w:t>
      </w:r>
      <w:r w:rsidRPr="00492A99">
        <w:rPr>
          <w:rFonts w:cs="Arial"/>
          <w:lang w:val="es-ES"/>
        </w:rPr>
        <w:t xml:space="preserve"> y el </w:t>
      </w:r>
      <w:r w:rsidRPr="00492A99">
        <w:rPr>
          <w:bCs/>
          <w:szCs w:val="22"/>
          <w:lang w:val="es-ES"/>
        </w:rPr>
        <w:t xml:space="preserve">DGRRHH;  vi) la integración en el sistema de inteligencia institucional de los datos sobre ausencias y horas extraordinarias;  vii) la introducción en el sistema de inteligencia institucional de tableros de control de datos para velar por la coherencia entre las aplicaciones, y subrayar previsoramente las discrepancias  a fin de que sean investigadas / resueltas. </w:t>
      </w:r>
    </w:p>
    <w:p w:rsidR="00221F0B" w:rsidRPr="00492A99" w:rsidRDefault="00221F0B" w:rsidP="00DC1333">
      <w:pPr>
        <w:pStyle w:val="ListParagraph"/>
        <w:tabs>
          <w:tab w:val="left" w:pos="709"/>
        </w:tabs>
        <w:ind w:left="0"/>
        <w:jc w:val="both"/>
        <w:rPr>
          <w:bCs/>
          <w:szCs w:val="22"/>
          <w:lang w:val="es-ES"/>
        </w:rPr>
      </w:pPr>
    </w:p>
    <w:p w:rsidR="00221F0B" w:rsidRPr="0036386D" w:rsidRDefault="00221F0B" w:rsidP="00221F0B">
      <w:pPr>
        <w:pStyle w:val="ListParagraph"/>
        <w:numPr>
          <w:ilvl w:val="0"/>
          <w:numId w:val="102"/>
        </w:numPr>
        <w:tabs>
          <w:tab w:val="left" w:pos="709"/>
        </w:tabs>
        <w:ind w:left="0" w:firstLine="0"/>
        <w:jc w:val="both"/>
        <w:rPr>
          <w:bCs/>
          <w:iCs/>
          <w:lang w:val="es-ES"/>
        </w:rPr>
      </w:pPr>
      <w:r w:rsidRPr="0036386D">
        <w:rPr>
          <w:bCs/>
          <w:iCs/>
          <w:lang w:val="es-ES"/>
        </w:rPr>
        <w:t xml:space="preserve">En consonancia con la hoja de ruta de gestión de riesgos, se elaboró un marco formal y coherente de gestión de riesgos y control interno para la Organización, </w:t>
      </w:r>
      <w:r w:rsidRPr="00492A99">
        <w:rPr>
          <w:bCs/>
          <w:iCs/>
          <w:lang w:val="es-ES"/>
        </w:rPr>
        <w:t>del que forman parte</w:t>
      </w:r>
      <w:r w:rsidRPr="0036386D">
        <w:rPr>
          <w:bCs/>
          <w:iCs/>
          <w:lang w:val="es-ES"/>
        </w:rPr>
        <w:t xml:space="preserve"> el marco para la rendición de cuentas, la declaración de apetito de riesgo, el establecimiento del Grupo de Gestión de Riesgos, la </w:t>
      </w:r>
      <w:r w:rsidRPr="00492A99">
        <w:rPr>
          <w:bCs/>
          <w:iCs/>
          <w:lang w:val="es-ES"/>
        </w:rPr>
        <w:t>publicación de la P</w:t>
      </w:r>
      <w:r w:rsidRPr="0036386D">
        <w:rPr>
          <w:bCs/>
          <w:iCs/>
          <w:lang w:val="es-ES"/>
        </w:rPr>
        <w:t xml:space="preserve">olítica de gestión de riesgos, y el manual de gestión de riesgos y control interno.  </w:t>
      </w:r>
    </w:p>
    <w:p w:rsidR="00221F0B" w:rsidRPr="00492A99" w:rsidRDefault="00221F0B" w:rsidP="00DC1333">
      <w:pPr>
        <w:pStyle w:val="ListParagraph"/>
        <w:tabs>
          <w:tab w:val="left" w:pos="709"/>
        </w:tabs>
        <w:ind w:left="0"/>
        <w:jc w:val="both"/>
        <w:rPr>
          <w:bCs/>
          <w:szCs w:val="22"/>
          <w:lang w:val="es-ES"/>
        </w:rPr>
      </w:pPr>
    </w:p>
    <w:p w:rsidR="00221F0B" w:rsidRPr="00492A99" w:rsidRDefault="00221F0B" w:rsidP="00221F0B">
      <w:pPr>
        <w:pStyle w:val="ListParagraph"/>
        <w:numPr>
          <w:ilvl w:val="0"/>
          <w:numId w:val="102"/>
        </w:numPr>
        <w:tabs>
          <w:tab w:val="left" w:pos="709"/>
        </w:tabs>
        <w:ind w:left="0" w:firstLine="0"/>
        <w:jc w:val="both"/>
        <w:rPr>
          <w:bCs/>
          <w:iCs/>
          <w:lang w:val="es-ES"/>
        </w:rPr>
      </w:pPr>
      <w:r w:rsidRPr="00492A99">
        <w:rPr>
          <w:bCs/>
          <w:iCs/>
          <w:lang w:val="es-ES"/>
        </w:rPr>
        <w:t xml:space="preserve">A fin de facilitar el acceso en tiempo real a información sobre riesgos y control, prestar apoyo en materia de gestión </w:t>
      </w:r>
      <w:r>
        <w:rPr>
          <w:bCs/>
          <w:iCs/>
          <w:lang w:val="es-ES"/>
        </w:rPr>
        <w:t>dinámica</w:t>
      </w:r>
      <w:r w:rsidRPr="00492A99">
        <w:rPr>
          <w:bCs/>
          <w:iCs/>
          <w:lang w:val="es-ES"/>
        </w:rPr>
        <w:t xml:space="preserve"> de riesgos y control, y ofrecer respuestas eficaces a los órganos de auditoría, en el segundo semestre de 2014 se creó una herramienta de gestión del riesgo institucional que se utilizó para apoyar el ejercicio de planificación anual de 2015, así como el proceso de elaboración del presupuesto por programas de 2016/17.  También se fortalecieron los procesos de supervisión y presentación de informes en materia de riesgos y los controles internos mediante i) la introducción de exámenes e informes de riesgo</w:t>
      </w:r>
      <w:r>
        <w:rPr>
          <w:bCs/>
          <w:iCs/>
          <w:lang w:val="es-ES"/>
        </w:rPr>
        <w:t>s</w:t>
      </w:r>
      <w:r w:rsidRPr="00492A99">
        <w:rPr>
          <w:bCs/>
          <w:iCs/>
          <w:lang w:val="es-ES"/>
        </w:rPr>
        <w:t xml:space="preserve"> semestrales, ii) la constante integración de la gestión de riesgos en los procesos de gestión del rendimiento de los programas y iii) </w:t>
      </w:r>
      <w:r>
        <w:rPr>
          <w:bCs/>
          <w:iCs/>
          <w:lang w:val="es-ES"/>
        </w:rPr>
        <w:t>el establecimiento</w:t>
      </w:r>
      <w:r w:rsidRPr="00492A99">
        <w:rPr>
          <w:bCs/>
          <w:iCs/>
          <w:lang w:val="es-ES"/>
        </w:rPr>
        <w:t xml:space="preserve"> de un marco de control interno, utilizando la gestión del riesgo institu</w:t>
      </w:r>
      <w:r>
        <w:rPr>
          <w:bCs/>
          <w:iCs/>
          <w:lang w:val="es-ES"/>
        </w:rPr>
        <w:t xml:space="preserve">cional para dejar constancia del reconocimiento y la evaluación de </w:t>
      </w:r>
      <w:r w:rsidRPr="00492A99">
        <w:rPr>
          <w:bCs/>
          <w:iCs/>
          <w:lang w:val="es-ES"/>
        </w:rPr>
        <w:t>los controles de la OMPI.</w:t>
      </w:r>
    </w:p>
    <w:p w:rsidR="00221F0B" w:rsidRPr="00492A99" w:rsidRDefault="00221F0B" w:rsidP="00DC1333">
      <w:pPr>
        <w:pStyle w:val="ListParagraph"/>
        <w:tabs>
          <w:tab w:val="left" w:pos="709"/>
        </w:tabs>
        <w:ind w:left="0"/>
        <w:jc w:val="both"/>
        <w:rPr>
          <w:bCs/>
          <w:szCs w:val="22"/>
          <w:lang w:val="es-ES"/>
        </w:rPr>
      </w:pPr>
    </w:p>
    <w:p w:rsidR="00221F0B" w:rsidRPr="00492A99" w:rsidRDefault="00221F0B" w:rsidP="00221F0B">
      <w:pPr>
        <w:pStyle w:val="ListParagraph"/>
        <w:numPr>
          <w:ilvl w:val="0"/>
          <w:numId w:val="102"/>
        </w:numPr>
        <w:tabs>
          <w:tab w:val="left" w:pos="709"/>
        </w:tabs>
        <w:ind w:left="0" w:firstLine="0"/>
        <w:jc w:val="both"/>
        <w:rPr>
          <w:bCs/>
          <w:lang w:val="es-ES"/>
        </w:rPr>
      </w:pPr>
      <w:r w:rsidRPr="00492A99">
        <w:rPr>
          <w:bCs/>
          <w:lang w:val="es-ES"/>
        </w:rPr>
        <w:t>Se siguió actualizando el marco regulador con la revisión o publicación de órdenes de servicio (en materia de adquisiciones, atenciones sociales oficiales, viajes, vacaciones en el país de origen, anticipos de sueldo, directrices relacionadas con el efectivo para</w:t>
      </w:r>
      <w:r>
        <w:rPr>
          <w:bCs/>
          <w:lang w:val="es-ES"/>
        </w:rPr>
        <w:t xml:space="preserve"> las O</w:t>
      </w:r>
      <w:r w:rsidRPr="00492A99">
        <w:rPr>
          <w:bCs/>
          <w:lang w:val="es-ES"/>
        </w:rPr>
        <w:t>ficinas en el exterior, reservas, gestión de las propiedades, contribuciones voluntarias, política sobre el uso de dispositivos de telecomunicación móviles, establecimiento del Grupo de Gestión de Riesgos, Política de gestión de riesgos).  Se examinó y se revisó el Reglamento Financiero y Reglamentación Financiera de la OMPI (RR.FF.), según lo acordado por los Estados miembros, y se creó una nueva herramienta para apoyar la gestión de la delegación de autoridad programática.</w:t>
      </w:r>
    </w:p>
    <w:p w:rsidR="00221F0B" w:rsidRPr="00492A99" w:rsidRDefault="00221F0B" w:rsidP="00DC1333">
      <w:pPr>
        <w:tabs>
          <w:tab w:val="left" w:pos="709"/>
        </w:tabs>
        <w:jc w:val="both"/>
        <w:rPr>
          <w:bCs/>
          <w:szCs w:val="22"/>
        </w:rPr>
      </w:pPr>
    </w:p>
    <w:p w:rsidR="00221F0B" w:rsidRPr="00492A99" w:rsidRDefault="00221F0B" w:rsidP="00221F0B">
      <w:pPr>
        <w:pStyle w:val="ListParagraph"/>
        <w:numPr>
          <w:ilvl w:val="0"/>
          <w:numId w:val="102"/>
        </w:numPr>
        <w:tabs>
          <w:tab w:val="left" w:pos="709"/>
        </w:tabs>
        <w:ind w:left="0" w:firstLine="0"/>
        <w:jc w:val="both"/>
        <w:rPr>
          <w:bCs/>
          <w:szCs w:val="22"/>
          <w:lang w:val="es-ES"/>
        </w:rPr>
      </w:pPr>
      <w:r w:rsidRPr="00492A99">
        <w:rPr>
          <w:bCs/>
          <w:szCs w:val="22"/>
          <w:lang w:val="es-ES"/>
        </w:rPr>
        <w:t>En la primavera de 2014 se completó el exhaustivo estudio sobre prácticas y riesgos de tesorería de la OMPI iniciado en 2013, del que se desprendieron una serie de recomendaciones, entre las que figuraba el empleo de instrumentos de cobertura como medio de reducir la exposición a las fluctuaciones de los tipos de cambio en el PCT.  En 2015 se llevó a cabo un examen exhaustivo de la propuesta de estrategia de cobertura y se adoptó la decisión definitiva de elaborar un modelo de cobertura, que simule los efectos del empleo de instrumentos de cobertura en los resultados del bienio 2014/15 y en los del año 2016.  Tras efectuar una amplia investigación entre varios bancos e instituciones financieras y un estudio de las numerosas políticas de inversión que se halla</w:t>
      </w:r>
      <w:r>
        <w:rPr>
          <w:bCs/>
          <w:szCs w:val="22"/>
          <w:lang w:val="es-ES"/>
        </w:rPr>
        <w:t>ba</w:t>
      </w:r>
      <w:r w:rsidRPr="00492A99">
        <w:rPr>
          <w:bCs/>
          <w:szCs w:val="22"/>
          <w:lang w:val="es-ES"/>
        </w:rPr>
        <w:t>n en funcionamiento a lo largo del sistema de NN.UU., se preparó una nueva política de inversiones, que fue aprobada por los Estados miembros en 2015.  La política se comenzó a aplicar en 2015 con la preparación de expresiones de interés para la gestión de los fondos de inversión.  Entre otras iniciativas de tesorería que se han aplicado figuran las siguientes:  i) la mejora de la gestión del efectivo para minimizar la repercusión de los tipos de interés negativos que prevalecen actualmente en Suiza, con inclusión de la labor destinada al establecimiento de dos nuevas relaciones bancarias;  ii) las iniciativas destinadas a aumentar el número de receptores de pagos de la OMPI por medios electrónicos;  iii) la introducción de otras dos tarjetas de crédito para los pagos de la Organización;  y iv) la introducción de un conversor de divisas que permite a los usuarios de tarjetas de crédito efectuar los pagos en la moneda local con el fin de reducir las comisiones que se cobran a la Organización por el uso de tarjetas de crédito.</w:t>
      </w:r>
    </w:p>
    <w:p w:rsidR="00221F0B" w:rsidRPr="00492A99" w:rsidRDefault="00221F0B" w:rsidP="00DC1333">
      <w:pPr>
        <w:pStyle w:val="ListParagraph"/>
        <w:tabs>
          <w:tab w:val="left" w:pos="709"/>
        </w:tabs>
        <w:ind w:left="0"/>
        <w:jc w:val="both"/>
        <w:rPr>
          <w:bCs/>
          <w:szCs w:val="22"/>
          <w:lang w:val="es-ES"/>
        </w:rPr>
      </w:pPr>
    </w:p>
    <w:p w:rsidR="00221F0B" w:rsidRPr="00492A99" w:rsidRDefault="00221F0B" w:rsidP="00221F0B">
      <w:pPr>
        <w:pStyle w:val="ListParagraph"/>
        <w:numPr>
          <w:ilvl w:val="0"/>
          <w:numId w:val="102"/>
        </w:numPr>
        <w:tabs>
          <w:tab w:val="left" w:pos="709"/>
        </w:tabs>
        <w:ind w:left="0" w:firstLine="0"/>
        <w:jc w:val="both"/>
        <w:rPr>
          <w:bCs/>
          <w:szCs w:val="22"/>
          <w:lang w:val="es-ES"/>
        </w:rPr>
      </w:pPr>
      <w:r w:rsidRPr="00492A99">
        <w:rPr>
          <w:bCs/>
          <w:lang w:val="es-ES"/>
        </w:rPr>
        <w:t xml:space="preserve">Respecto del PCT, en 2014 se designaron dos nuevas Administraciones encargadas de la búsqueda internacional (ISA), lo cual exigió la introducción de modificaciones en los pagos y sistemas.  </w:t>
      </w:r>
      <w:r w:rsidRPr="00492A99">
        <w:rPr>
          <w:bCs/>
          <w:szCs w:val="22"/>
          <w:lang w:val="es-ES"/>
        </w:rPr>
        <w:t>Se han adherido nuevos miembros a los sistemas de Madrid y de La Haya (ocho en total), lo cual ha conllevado la adaptación de los sistemas a la vez que se han introducido nuevas distribuciones tras la adhesión del Benelux y, posteriormente, de Australia al servicio E-</w:t>
      </w:r>
      <w:proofErr w:type="spellStart"/>
      <w:r w:rsidRPr="00492A99">
        <w:rPr>
          <w:bCs/>
          <w:szCs w:val="22"/>
          <w:lang w:val="es-ES"/>
        </w:rPr>
        <w:t>Filing</w:t>
      </w:r>
      <w:proofErr w:type="spellEnd"/>
      <w:r w:rsidRPr="00492A99">
        <w:rPr>
          <w:bCs/>
          <w:szCs w:val="22"/>
          <w:lang w:val="es-ES"/>
        </w:rPr>
        <w:t xml:space="preserve"> del Sistema de Madrid (IRPI).</w:t>
      </w:r>
    </w:p>
    <w:p w:rsidR="00221F0B" w:rsidRPr="00492A99" w:rsidRDefault="00221F0B" w:rsidP="00DC1333">
      <w:pPr>
        <w:pStyle w:val="ListParagraph"/>
        <w:ind w:left="0"/>
        <w:rPr>
          <w:bCs/>
          <w:szCs w:val="22"/>
          <w:highlight w:val="yellow"/>
          <w:lang w:val="es-ES"/>
        </w:rPr>
      </w:pPr>
    </w:p>
    <w:p w:rsidR="00221F0B" w:rsidRPr="002E611B" w:rsidRDefault="00221F0B" w:rsidP="00221F0B">
      <w:pPr>
        <w:pStyle w:val="ListParagraph"/>
        <w:numPr>
          <w:ilvl w:val="0"/>
          <w:numId w:val="102"/>
        </w:numPr>
        <w:tabs>
          <w:tab w:val="left" w:pos="709"/>
        </w:tabs>
        <w:ind w:left="0" w:firstLine="0"/>
        <w:jc w:val="both"/>
        <w:rPr>
          <w:bCs/>
          <w:lang w:val="es-ES"/>
        </w:rPr>
      </w:pPr>
      <w:r w:rsidRPr="002E611B">
        <w:rPr>
          <w:bCs/>
          <w:lang w:val="es-ES"/>
        </w:rPr>
        <w:t xml:space="preserve">En el marco de un memorando de entendimiento firmado por la USPTO, la OEP y la Oficina Internacional, se inició un proyecto piloto destinado a determinar si la gestión de los riesgos cambiarios </w:t>
      </w:r>
      <w:r w:rsidRPr="002E611B">
        <w:rPr>
          <w:bCs/>
          <w:lang w:val="es-ES"/>
        </w:rPr>
        <w:lastRenderedPageBreak/>
        <w:t>asociados al pago de tasas de búsqueda era susceptible de mejora</w:t>
      </w:r>
      <w:r w:rsidRPr="00492A99">
        <w:rPr>
          <w:bCs/>
          <w:lang w:val="es-ES"/>
        </w:rPr>
        <w:t xml:space="preserve"> y, más r</w:t>
      </w:r>
      <w:r w:rsidRPr="002E611B">
        <w:rPr>
          <w:bCs/>
          <w:lang w:val="es-ES"/>
        </w:rPr>
        <w:t>ecientemente</w:t>
      </w:r>
      <w:r w:rsidRPr="00492A99">
        <w:rPr>
          <w:bCs/>
          <w:lang w:val="es-ES"/>
        </w:rPr>
        <w:t>,</w:t>
      </w:r>
      <w:r w:rsidRPr="002E611B">
        <w:rPr>
          <w:bCs/>
          <w:lang w:val="es-ES"/>
        </w:rPr>
        <w:t xml:space="preserve"> se </w:t>
      </w:r>
      <w:r w:rsidRPr="00492A99">
        <w:rPr>
          <w:bCs/>
          <w:lang w:val="es-ES"/>
        </w:rPr>
        <w:t>prorrogó durante</w:t>
      </w:r>
      <w:r w:rsidRPr="002E611B">
        <w:rPr>
          <w:bCs/>
          <w:lang w:val="es-ES"/>
        </w:rPr>
        <w:t xml:space="preserve"> </w:t>
      </w:r>
      <w:r w:rsidRPr="00492A99">
        <w:rPr>
          <w:bCs/>
          <w:lang w:val="es-ES"/>
        </w:rPr>
        <w:t xml:space="preserve">dos </w:t>
      </w:r>
      <w:r w:rsidRPr="002E611B">
        <w:rPr>
          <w:bCs/>
          <w:lang w:val="es-ES"/>
        </w:rPr>
        <w:t>año</w:t>
      </w:r>
      <w:r w:rsidRPr="00492A99">
        <w:rPr>
          <w:bCs/>
          <w:lang w:val="es-ES"/>
        </w:rPr>
        <w:t>s</w:t>
      </w:r>
      <w:r w:rsidRPr="002E611B">
        <w:rPr>
          <w:bCs/>
          <w:lang w:val="es-ES"/>
        </w:rPr>
        <w:t xml:space="preserve">.  </w:t>
      </w:r>
      <w:r w:rsidRPr="00492A99">
        <w:rPr>
          <w:bCs/>
          <w:lang w:val="es-ES"/>
        </w:rPr>
        <w:t>En 2016</w:t>
      </w:r>
      <w:r w:rsidRPr="002E611B">
        <w:rPr>
          <w:bCs/>
          <w:lang w:val="es-ES"/>
        </w:rPr>
        <w:t>, se prevé una evaluación del proyecto</w:t>
      </w:r>
      <w:r w:rsidRPr="00492A99">
        <w:rPr>
          <w:bCs/>
          <w:lang w:val="es-ES"/>
        </w:rPr>
        <w:t xml:space="preserve"> como parte del análisis de la propuesta de introducir una estructura de compensación por saldos netos, que era una de las recomendaciones del estudio de tesorería.</w:t>
      </w:r>
    </w:p>
    <w:p w:rsidR="00221F0B" w:rsidRPr="00492A99" w:rsidRDefault="00221F0B" w:rsidP="00DC1333">
      <w:pPr>
        <w:rPr>
          <w:szCs w:val="22"/>
        </w:rPr>
      </w:pPr>
    </w:p>
    <w:p w:rsidR="00221F0B" w:rsidRPr="00492A99" w:rsidRDefault="00221F0B" w:rsidP="00DC1333">
      <w:pPr>
        <w:rPr>
          <w:szCs w:val="22"/>
        </w:rPr>
      </w:pPr>
    </w:p>
    <w:p w:rsidR="00221F0B" w:rsidRPr="00666560" w:rsidRDefault="008F7CBE" w:rsidP="00DC1333">
      <w:pPr>
        <w:rPr>
          <w:szCs w:val="22"/>
        </w:rPr>
      </w:pPr>
      <w:r w:rsidRPr="008F7CBE">
        <w:rPr>
          <w:sz w:val="20"/>
          <w:szCs w:val="22"/>
        </w:rPr>
        <w:t>DATOS SOBRE EL RENDIMIENTO</w:t>
      </w:r>
    </w:p>
    <w:p w:rsidR="00221F0B" w:rsidRPr="00492A99" w:rsidRDefault="00221F0B" w:rsidP="00DC1333">
      <w:pPr>
        <w:keepNext/>
        <w:keepLines/>
        <w:rPr>
          <w:color w:val="000000"/>
          <w:szCs w:val="22"/>
        </w:rPr>
      </w:pPr>
    </w:p>
    <w:tbl>
      <w:tblPr>
        <w:tblW w:w="4888" w:type="pct"/>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41"/>
        <w:gridCol w:w="1782"/>
        <w:gridCol w:w="1473"/>
        <w:gridCol w:w="2762"/>
        <w:gridCol w:w="1299"/>
      </w:tblGrid>
      <w:tr w:rsidR="00221F0B" w:rsidRPr="00F03E99" w:rsidTr="00DC1333">
        <w:trPr>
          <w:cantSplit/>
        </w:trPr>
        <w:tc>
          <w:tcPr>
            <w:tcW w:w="5000" w:type="pct"/>
            <w:gridSpan w:val="5"/>
            <w:tcBorders>
              <w:top w:val="single" w:sz="4" w:space="0" w:color="auto"/>
              <w:bottom w:val="single" w:sz="4" w:space="0" w:color="auto"/>
            </w:tcBorders>
            <w:shd w:val="clear" w:color="auto" w:fill="C6D9F1" w:themeFill="text2" w:themeFillTint="33"/>
            <w:vAlign w:val="center"/>
            <w:hideMark/>
          </w:tcPr>
          <w:p w:rsidR="00221F0B" w:rsidRPr="00492A99" w:rsidRDefault="00221F0B" w:rsidP="00DC1333">
            <w:pPr>
              <w:keepNext/>
              <w:keepLines/>
              <w:spacing w:before="120" w:after="120"/>
              <w:ind w:left="2019" w:hanging="2019"/>
              <w:rPr>
                <w:b/>
                <w:bCs/>
                <w:sz w:val="16"/>
                <w:szCs w:val="16"/>
              </w:rPr>
            </w:pPr>
            <w:r w:rsidRPr="00492A99">
              <w:rPr>
                <w:b/>
                <w:bCs/>
                <w:sz w:val="16"/>
                <w:szCs w:val="16"/>
              </w:rPr>
              <w:t>Resultado previsto:</w:t>
            </w:r>
            <w:r w:rsidRPr="00492A99">
              <w:rPr>
                <w:b/>
                <w:bCs/>
                <w:sz w:val="16"/>
                <w:szCs w:val="16"/>
              </w:rPr>
              <w:tab/>
            </w:r>
            <w:r w:rsidRPr="00492A99">
              <w:rPr>
                <w:bCs/>
                <w:sz w:val="16"/>
                <w:szCs w:val="16"/>
              </w:rPr>
              <w:t>IX.1 Servicios de apoyo eficaces, eficientes, de calidad y orientados al cliente, tanto a los clientes internos como a las partes interesadas externas</w:t>
            </w:r>
          </w:p>
        </w:tc>
      </w:tr>
      <w:tr w:rsidR="00221F0B" w:rsidRPr="00492A99" w:rsidTr="00DC1333">
        <w:trPr>
          <w:cantSplit/>
        </w:trPr>
        <w:tc>
          <w:tcPr>
            <w:tcW w:w="1091" w:type="pct"/>
            <w:tcBorders>
              <w:top w:val="single" w:sz="4" w:space="0" w:color="auto"/>
            </w:tcBorders>
            <w:vAlign w:val="center"/>
            <w:hideMark/>
          </w:tcPr>
          <w:p w:rsidR="00221F0B" w:rsidRPr="00492A99" w:rsidRDefault="00221F0B" w:rsidP="00DC1333">
            <w:pPr>
              <w:rPr>
                <w:sz w:val="16"/>
                <w:szCs w:val="16"/>
              </w:rPr>
            </w:pPr>
            <w:r w:rsidRPr="00492A99">
              <w:rPr>
                <w:b/>
                <w:sz w:val="16"/>
                <w:szCs w:val="16"/>
              </w:rPr>
              <w:t>Indicadores de rendimiento</w:t>
            </w:r>
          </w:p>
        </w:tc>
        <w:tc>
          <w:tcPr>
            <w:tcW w:w="952" w:type="pct"/>
            <w:tcBorders>
              <w:top w:val="single" w:sz="4" w:space="0" w:color="auto"/>
            </w:tcBorders>
            <w:vAlign w:val="center"/>
            <w:hideMark/>
          </w:tcPr>
          <w:p w:rsidR="00221F0B" w:rsidRPr="00492A99" w:rsidRDefault="00221F0B" w:rsidP="00DC1333">
            <w:pPr>
              <w:rPr>
                <w:b/>
                <w:bCs/>
                <w:sz w:val="16"/>
                <w:szCs w:val="16"/>
              </w:rPr>
            </w:pPr>
            <w:r w:rsidRPr="00492A99">
              <w:rPr>
                <w:b/>
                <w:bCs/>
                <w:sz w:val="16"/>
                <w:szCs w:val="16"/>
              </w:rPr>
              <w:t>Referencia</w:t>
            </w:r>
          </w:p>
        </w:tc>
        <w:tc>
          <w:tcPr>
            <w:tcW w:w="787" w:type="pct"/>
            <w:tcBorders>
              <w:top w:val="single" w:sz="4" w:space="0" w:color="auto"/>
            </w:tcBorders>
            <w:tcMar>
              <w:top w:w="110" w:type="dxa"/>
              <w:left w:w="108" w:type="dxa"/>
              <w:bottom w:w="0" w:type="dxa"/>
              <w:right w:w="108" w:type="dxa"/>
            </w:tcMar>
            <w:vAlign w:val="center"/>
            <w:hideMark/>
          </w:tcPr>
          <w:p w:rsidR="00221F0B" w:rsidRPr="00492A99" w:rsidRDefault="00221F0B" w:rsidP="00DC1333">
            <w:pPr>
              <w:rPr>
                <w:b/>
                <w:sz w:val="16"/>
                <w:szCs w:val="16"/>
              </w:rPr>
            </w:pPr>
            <w:r w:rsidRPr="00492A99">
              <w:rPr>
                <w:b/>
                <w:sz w:val="16"/>
                <w:szCs w:val="16"/>
              </w:rPr>
              <w:t>Objetivos</w:t>
            </w:r>
          </w:p>
        </w:tc>
        <w:tc>
          <w:tcPr>
            <w:tcW w:w="1476" w:type="pct"/>
            <w:tcBorders>
              <w:top w:val="single" w:sz="4" w:space="0" w:color="auto"/>
            </w:tcBorders>
            <w:shd w:val="clear" w:color="auto" w:fill="FFFFFF"/>
            <w:tcMar>
              <w:top w:w="110" w:type="dxa"/>
              <w:left w:w="108" w:type="dxa"/>
              <w:bottom w:w="0" w:type="dxa"/>
              <w:right w:w="108" w:type="dxa"/>
            </w:tcMar>
            <w:vAlign w:val="center"/>
            <w:hideMark/>
          </w:tcPr>
          <w:p w:rsidR="00221F0B" w:rsidRPr="00492A99" w:rsidRDefault="00221F0B" w:rsidP="00DC1333">
            <w:pPr>
              <w:rPr>
                <w:sz w:val="16"/>
                <w:szCs w:val="16"/>
              </w:rPr>
            </w:pPr>
            <w:r w:rsidRPr="00492A99">
              <w:rPr>
                <w:b/>
                <w:sz w:val="16"/>
                <w:szCs w:val="16"/>
              </w:rPr>
              <w:t>Datos sobre el rendimiento</w:t>
            </w:r>
          </w:p>
        </w:tc>
        <w:tc>
          <w:tcPr>
            <w:tcW w:w="694" w:type="pct"/>
            <w:tcBorders>
              <w:top w:val="single" w:sz="4" w:space="0" w:color="auto"/>
            </w:tcBorders>
            <w:tcMar>
              <w:top w:w="110" w:type="dxa"/>
              <w:left w:w="108" w:type="dxa"/>
              <w:bottom w:w="0" w:type="dxa"/>
              <w:right w:w="108" w:type="dxa"/>
            </w:tcMar>
            <w:vAlign w:val="center"/>
            <w:hideMark/>
          </w:tcPr>
          <w:p w:rsidR="00221F0B" w:rsidRPr="00492A99" w:rsidRDefault="00221F0B" w:rsidP="00DC1333">
            <w:pPr>
              <w:keepNext/>
              <w:keepLines/>
              <w:jc w:val="center"/>
              <w:rPr>
                <w:b/>
                <w:bCs/>
                <w:sz w:val="16"/>
                <w:szCs w:val="16"/>
              </w:rPr>
            </w:pPr>
            <w:r w:rsidRPr="00492A99">
              <w:rPr>
                <w:b/>
                <w:bCs/>
                <w:sz w:val="16"/>
                <w:szCs w:val="16"/>
              </w:rPr>
              <w:t>Clave de colores</w:t>
            </w:r>
          </w:p>
        </w:tc>
      </w:tr>
      <w:tr w:rsidR="00221F0B" w:rsidRPr="00492A99" w:rsidTr="00DC1333">
        <w:trPr>
          <w:cantSplit/>
        </w:trPr>
        <w:tc>
          <w:tcPr>
            <w:tcW w:w="1091" w:type="pct"/>
            <w:hideMark/>
          </w:tcPr>
          <w:p w:rsidR="00221F0B" w:rsidRPr="00492A99" w:rsidRDefault="00221F0B" w:rsidP="00DC1333">
            <w:pPr>
              <w:rPr>
                <w:sz w:val="16"/>
                <w:szCs w:val="16"/>
                <w:lang w:bidi="th-TH"/>
              </w:rPr>
            </w:pPr>
            <w:r w:rsidRPr="00492A99">
              <w:rPr>
                <w:sz w:val="16"/>
                <w:szCs w:val="16"/>
                <w:lang w:bidi="th-TH"/>
              </w:rPr>
              <w:t>Suministro de informes y análisis financieros y de gestión solicitados por el personal directivo superior, los directores de programa y los Estados miembros con arreglo a los plazos acordados</w:t>
            </w:r>
          </w:p>
        </w:tc>
        <w:tc>
          <w:tcPr>
            <w:tcW w:w="952" w:type="pct"/>
            <w:hideMark/>
          </w:tcPr>
          <w:p w:rsidR="00221F0B" w:rsidRPr="00492A99" w:rsidRDefault="00221F0B" w:rsidP="00DC1333">
            <w:pPr>
              <w:rPr>
                <w:sz w:val="16"/>
                <w:szCs w:val="16"/>
              </w:rPr>
            </w:pPr>
            <w:r w:rsidRPr="00492A99">
              <w:rPr>
                <w:sz w:val="16"/>
                <w:szCs w:val="16"/>
              </w:rPr>
              <w:t>El cierre mensual finaliza 10 días laborables después del final de mes (salvo en enero, cuando el cierre se determina por los avances en el cierre anual)</w:t>
            </w:r>
          </w:p>
          <w:p w:rsidR="00221F0B" w:rsidRPr="00492A99" w:rsidRDefault="00221F0B" w:rsidP="00DC1333">
            <w:pPr>
              <w:rPr>
                <w:sz w:val="16"/>
                <w:szCs w:val="16"/>
              </w:rPr>
            </w:pPr>
          </w:p>
          <w:p w:rsidR="00221F0B" w:rsidRPr="00492A99" w:rsidRDefault="00221F0B" w:rsidP="00DC1333">
            <w:pPr>
              <w:rPr>
                <w:sz w:val="16"/>
                <w:szCs w:val="16"/>
                <w:lang w:bidi="th-TH"/>
              </w:rPr>
            </w:pPr>
            <w:r w:rsidRPr="00492A99">
              <w:rPr>
                <w:sz w:val="16"/>
                <w:szCs w:val="16"/>
                <w:lang w:bidi="th-TH"/>
              </w:rPr>
              <w:t>Los informes estáticos que se publican en Internet están disponibles de un día para otro; los informes del Observatorio Financiero, en un plazo de dos semanas a partir del cierre;  los informes oficiales mensuales, en un plazo de una semana después del cierre.</w:t>
            </w:r>
          </w:p>
        </w:tc>
        <w:tc>
          <w:tcPr>
            <w:tcW w:w="787" w:type="pct"/>
            <w:tcMar>
              <w:top w:w="110" w:type="dxa"/>
              <w:left w:w="108" w:type="dxa"/>
              <w:bottom w:w="0" w:type="dxa"/>
              <w:right w:w="108" w:type="dxa"/>
            </w:tcMar>
            <w:hideMark/>
          </w:tcPr>
          <w:p w:rsidR="00221F0B" w:rsidRPr="00492A99" w:rsidRDefault="00221F0B" w:rsidP="00DC1333">
            <w:pPr>
              <w:ind w:left="-103" w:right="-69"/>
              <w:rPr>
                <w:sz w:val="16"/>
                <w:szCs w:val="16"/>
              </w:rPr>
            </w:pPr>
            <w:r w:rsidRPr="00492A99">
              <w:rPr>
                <w:sz w:val="16"/>
                <w:szCs w:val="16"/>
              </w:rPr>
              <w:t>Idénticos a la referencia</w:t>
            </w:r>
          </w:p>
          <w:p w:rsidR="00221F0B" w:rsidRPr="00492A99" w:rsidRDefault="00221F0B" w:rsidP="00DC1333">
            <w:pPr>
              <w:ind w:left="-103" w:right="-69"/>
              <w:rPr>
                <w:sz w:val="16"/>
                <w:szCs w:val="16"/>
              </w:rPr>
            </w:pPr>
          </w:p>
          <w:p w:rsidR="00221F0B" w:rsidRPr="00492A99" w:rsidRDefault="00221F0B" w:rsidP="00DC1333">
            <w:pPr>
              <w:ind w:left="-103" w:right="-69"/>
              <w:rPr>
                <w:sz w:val="16"/>
                <w:szCs w:val="16"/>
                <w:lang w:bidi="th-TH"/>
              </w:rPr>
            </w:pPr>
            <w:r w:rsidRPr="00492A99">
              <w:rPr>
                <w:sz w:val="16"/>
                <w:szCs w:val="16"/>
              </w:rPr>
              <w:t>Se dispone de informes parametrizados interactivos en Internet como consecuencia de la labor en materia de inteligencia institucional en el marco de la PRI a lo largo de 2014/15;  los informes trimestrales del Observatorio Financiero están disponibles en un plazo de dos semanas después del cierre; los informes oficiales mensuales, en un plazo de una semana después del cierre</w:t>
            </w:r>
          </w:p>
        </w:tc>
        <w:tc>
          <w:tcPr>
            <w:tcW w:w="1476" w:type="pct"/>
            <w:shd w:val="clear" w:color="auto" w:fill="FFFFFF"/>
            <w:tcMar>
              <w:top w:w="110" w:type="dxa"/>
              <w:left w:w="108" w:type="dxa"/>
              <w:bottom w:w="0" w:type="dxa"/>
              <w:right w:w="108" w:type="dxa"/>
            </w:tcMar>
          </w:tcPr>
          <w:p w:rsidR="00221F0B" w:rsidRPr="00492A99" w:rsidRDefault="00221F0B" w:rsidP="00DC1333">
            <w:pPr>
              <w:rPr>
                <w:sz w:val="16"/>
                <w:szCs w:val="16"/>
                <w:lang w:bidi="th-TH"/>
              </w:rPr>
            </w:pPr>
            <w:r w:rsidRPr="00492A99">
              <w:rPr>
                <w:sz w:val="16"/>
                <w:szCs w:val="16"/>
                <w:lang w:bidi="th-TH"/>
              </w:rPr>
              <w:t>El cierre mensual se produjo el décimo día laborable o antes, a excepción de enero (según la referencia) y octubre, como consecuencia de la mejora del sistema.</w:t>
            </w:r>
          </w:p>
          <w:p w:rsidR="00221F0B" w:rsidRPr="00492A99" w:rsidRDefault="00221F0B" w:rsidP="00DC1333">
            <w:pPr>
              <w:rPr>
                <w:sz w:val="16"/>
                <w:szCs w:val="16"/>
                <w:lang w:bidi="th-TH"/>
              </w:rPr>
            </w:pPr>
          </w:p>
          <w:p w:rsidR="00221F0B" w:rsidRPr="00492A99" w:rsidRDefault="00221F0B" w:rsidP="00DC1333">
            <w:pPr>
              <w:rPr>
                <w:sz w:val="16"/>
                <w:szCs w:val="16"/>
                <w:lang w:bidi="th-TH"/>
              </w:rPr>
            </w:pPr>
            <w:r w:rsidRPr="00492A99">
              <w:rPr>
                <w:bCs/>
                <w:sz w:val="16"/>
                <w:szCs w:val="16"/>
              </w:rPr>
              <w:t>En 2014 se crearon y pusieron en funcionamiento tableros de control en los principales sectores administrativos (gestión de recursos humanos, adquisiciones y viajes, planificación de programas y finanzas) y en 2015 se hicieron extensivos a toda la Organización</w:t>
            </w:r>
            <w:r w:rsidRPr="00492A99">
              <w:rPr>
                <w:sz w:val="16"/>
                <w:szCs w:val="16"/>
                <w:lang w:bidi="th-TH"/>
              </w:rPr>
              <w:t>.  En 2015 también se elaboró y se puso en marcha un tablero de control de riesgos.</w:t>
            </w:r>
          </w:p>
          <w:p w:rsidR="00221F0B" w:rsidRPr="00492A99" w:rsidRDefault="00221F0B" w:rsidP="00DC1333">
            <w:pPr>
              <w:rPr>
                <w:sz w:val="16"/>
                <w:szCs w:val="16"/>
                <w:lang w:bidi="th-TH"/>
              </w:rPr>
            </w:pPr>
          </w:p>
          <w:p w:rsidR="00221F0B" w:rsidRPr="00492A99" w:rsidRDefault="00221F0B" w:rsidP="00DC1333">
            <w:pPr>
              <w:rPr>
                <w:sz w:val="16"/>
                <w:szCs w:val="16"/>
                <w:lang w:bidi="th-TH"/>
              </w:rPr>
            </w:pPr>
          </w:p>
          <w:p w:rsidR="00221F0B" w:rsidRPr="00492A99" w:rsidRDefault="00221F0B" w:rsidP="00DC1333">
            <w:pPr>
              <w:rPr>
                <w:sz w:val="16"/>
                <w:szCs w:val="16"/>
                <w:lang w:bidi="th-TH"/>
              </w:rPr>
            </w:pPr>
            <w:r>
              <w:rPr>
                <w:sz w:val="16"/>
                <w:szCs w:val="16"/>
                <w:lang w:bidi="th-TH"/>
              </w:rPr>
              <w:t>Por lo general, l</w:t>
            </w:r>
            <w:r w:rsidRPr="00492A99">
              <w:rPr>
                <w:sz w:val="16"/>
                <w:szCs w:val="16"/>
                <w:lang w:bidi="th-TH"/>
              </w:rPr>
              <w:t xml:space="preserve">os informes oficiales mensuales y trimestrales están disponibles en un plazo de </w:t>
            </w:r>
            <w:r>
              <w:rPr>
                <w:sz w:val="16"/>
                <w:szCs w:val="16"/>
                <w:lang w:bidi="th-TH"/>
              </w:rPr>
              <w:t xml:space="preserve">6 </w:t>
            </w:r>
            <w:r w:rsidRPr="00492A99">
              <w:rPr>
                <w:sz w:val="16"/>
                <w:szCs w:val="16"/>
                <w:lang w:bidi="th-TH"/>
              </w:rPr>
              <w:t>días laborales después del cierre.</w:t>
            </w:r>
          </w:p>
          <w:p w:rsidR="00221F0B" w:rsidRPr="00492A99" w:rsidRDefault="00221F0B" w:rsidP="00DC1333">
            <w:pPr>
              <w:rPr>
                <w:sz w:val="16"/>
                <w:szCs w:val="16"/>
                <w:lang w:bidi="th-TH"/>
              </w:rPr>
            </w:pPr>
          </w:p>
          <w:p w:rsidR="00221F0B" w:rsidRPr="00492A99" w:rsidRDefault="00221F0B" w:rsidP="00DC1333">
            <w:pPr>
              <w:rPr>
                <w:sz w:val="16"/>
                <w:szCs w:val="16"/>
                <w:lang w:bidi="th-TH"/>
              </w:rPr>
            </w:pPr>
            <w:r>
              <w:rPr>
                <w:sz w:val="16"/>
                <w:szCs w:val="16"/>
                <w:lang w:bidi="th-TH"/>
              </w:rPr>
              <w:t>Por lo general, l</w:t>
            </w:r>
            <w:r w:rsidRPr="00492A99">
              <w:rPr>
                <w:sz w:val="16"/>
                <w:szCs w:val="16"/>
                <w:lang w:bidi="th-TH"/>
              </w:rPr>
              <w:t>os informes</w:t>
            </w:r>
            <w:r>
              <w:rPr>
                <w:sz w:val="16"/>
                <w:szCs w:val="16"/>
                <w:lang w:bidi="th-TH"/>
              </w:rPr>
              <w:t xml:space="preserve"> trimestrales</w:t>
            </w:r>
            <w:r w:rsidRPr="00492A99">
              <w:rPr>
                <w:sz w:val="16"/>
                <w:szCs w:val="16"/>
                <w:lang w:bidi="th-TH"/>
              </w:rPr>
              <w:t xml:space="preserve"> del Observatorio Financiero están disponibles en un plazo de un mes después del cierre.</w:t>
            </w:r>
          </w:p>
        </w:tc>
        <w:tc>
          <w:tcPr>
            <w:tcW w:w="694" w:type="pct"/>
            <w:tcMar>
              <w:top w:w="110" w:type="dxa"/>
              <w:left w:w="108" w:type="dxa"/>
              <w:bottom w:w="0" w:type="dxa"/>
              <w:right w:w="108" w:type="dxa"/>
            </w:tcMar>
          </w:tcPr>
          <w:p w:rsidR="00221F0B" w:rsidRPr="00492A99" w:rsidRDefault="00221F0B" w:rsidP="00DC1333">
            <w:pPr>
              <w:keepNext/>
              <w:keepLines/>
              <w:jc w:val="center"/>
              <w:rPr>
                <w:b/>
                <w:bCs/>
                <w:color w:val="008000"/>
                <w:sz w:val="16"/>
                <w:szCs w:val="16"/>
              </w:rPr>
            </w:pPr>
            <w:r w:rsidRPr="00492A99">
              <w:rPr>
                <w:b/>
                <w:bCs/>
                <w:color w:val="008000"/>
                <w:sz w:val="16"/>
                <w:szCs w:val="16"/>
              </w:rPr>
              <w:t>Plenamente logrado</w:t>
            </w:r>
          </w:p>
          <w:p w:rsidR="00221F0B" w:rsidRPr="00492A99" w:rsidRDefault="00221F0B" w:rsidP="00DC1333">
            <w:pPr>
              <w:keepNext/>
              <w:keepLines/>
              <w:jc w:val="center"/>
              <w:rPr>
                <w:b/>
                <w:bCs/>
                <w:color w:val="008000"/>
                <w:sz w:val="16"/>
                <w:szCs w:val="16"/>
              </w:rPr>
            </w:pPr>
          </w:p>
          <w:p w:rsidR="00221F0B" w:rsidRPr="00492A99" w:rsidRDefault="00221F0B" w:rsidP="00DC1333">
            <w:pPr>
              <w:keepNext/>
              <w:keepLines/>
              <w:jc w:val="center"/>
              <w:rPr>
                <w:b/>
                <w:bCs/>
                <w:color w:val="008000"/>
                <w:sz w:val="16"/>
                <w:szCs w:val="16"/>
              </w:rPr>
            </w:pPr>
          </w:p>
          <w:p w:rsidR="00221F0B" w:rsidRPr="00492A99" w:rsidRDefault="00221F0B" w:rsidP="00DC1333">
            <w:pPr>
              <w:keepNext/>
              <w:keepLines/>
              <w:jc w:val="center"/>
              <w:rPr>
                <w:b/>
                <w:bCs/>
                <w:color w:val="008000"/>
                <w:sz w:val="16"/>
                <w:szCs w:val="16"/>
              </w:rPr>
            </w:pPr>
          </w:p>
          <w:p w:rsidR="00221F0B" w:rsidRPr="00492A99" w:rsidRDefault="00221F0B" w:rsidP="00DC1333">
            <w:pPr>
              <w:keepNext/>
              <w:keepLines/>
              <w:jc w:val="center"/>
              <w:rPr>
                <w:b/>
                <w:bCs/>
                <w:color w:val="008000"/>
                <w:sz w:val="16"/>
                <w:szCs w:val="16"/>
              </w:rPr>
            </w:pPr>
          </w:p>
          <w:p w:rsidR="00221F0B" w:rsidRPr="00492A99" w:rsidRDefault="00221F0B" w:rsidP="00DC1333">
            <w:pPr>
              <w:keepNext/>
              <w:keepLines/>
              <w:jc w:val="center"/>
              <w:rPr>
                <w:b/>
                <w:bCs/>
                <w:color w:val="008000"/>
                <w:sz w:val="16"/>
                <w:szCs w:val="16"/>
              </w:rPr>
            </w:pPr>
            <w:r w:rsidRPr="00492A99">
              <w:rPr>
                <w:b/>
                <w:bCs/>
                <w:color w:val="008000"/>
                <w:sz w:val="16"/>
                <w:szCs w:val="16"/>
              </w:rPr>
              <w:t>Plenamente logrado</w:t>
            </w:r>
          </w:p>
          <w:p w:rsidR="00221F0B" w:rsidRPr="00492A99" w:rsidRDefault="00221F0B" w:rsidP="00DC1333">
            <w:pPr>
              <w:keepNext/>
              <w:keepLines/>
              <w:jc w:val="center"/>
              <w:rPr>
                <w:b/>
                <w:bCs/>
                <w:color w:val="008000"/>
                <w:sz w:val="16"/>
                <w:szCs w:val="16"/>
              </w:rPr>
            </w:pPr>
          </w:p>
          <w:p w:rsidR="00221F0B" w:rsidRPr="00492A99" w:rsidRDefault="00221F0B" w:rsidP="00DC1333">
            <w:pPr>
              <w:keepNext/>
              <w:keepLines/>
              <w:jc w:val="center"/>
              <w:rPr>
                <w:b/>
                <w:bCs/>
                <w:color w:val="008000"/>
                <w:sz w:val="16"/>
                <w:szCs w:val="16"/>
              </w:rPr>
            </w:pPr>
          </w:p>
          <w:p w:rsidR="00221F0B" w:rsidRPr="00492A99" w:rsidRDefault="00221F0B" w:rsidP="00DC1333">
            <w:pPr>
              <w:keepNext/>
              <w:keepLines/>
              <w:jc w:val="center"/>
              <w:rPr>
                <w:b/>
                <w:bCs/>
                <w:color w:val="008000"/>
                <w:sz w:val="16"/>
                <w:szCs w:val="16"/>
              </w:rPr>
            </w:pPr>
          </w:p>
          <w:p w:rsidR="00221F0B" w:rsidRPr="00492A99" w:rsidRDefault="00221F0B" w:rsidP="00DC1333">
            <w:pPr>
              <w:keepNext/>
              <w:keepLines/>
              <w:jc w:val="center"/>
              <w:rPr>
                <w:b/>
                <w:bCs/>
                <w:color w:val="008000"/>
                <w:sz w:val="16"/>
                <w:szCs w:val="16"/>
              </w:rPr>
            </w:pPr>
          </w:p>
          <w:p w:rsidR="00221F0B" w:rsidRPr="00492A99" w:rsidRDefault="00221F0B" w:rsidP="00DC1333">
            <w:pPr>
              <w:keepNext/>
              <w:keepLines/>
              <w:jc w:val="center"/>
              <w:rPr>
                <w:b/>
                <w:bCs/>
                <w:color w:val="008000"/>
                <w:sz w:val="16"/>
                <w:szCs w:val="16"/>
              </w:rPr>
            </w:pPr>
          </w:p>
          <w:p w:rsidR="00221F0B" w:rsidRPr="00492A99" w:rsidRDefault="00221F0B" w:rsidP="00DC1333">
            <w:pPr>
              <w:keepNext/>
              <w:keepLines/>
              <w:jc w:val="center"/>
              <w:rPr>
                <w:b/>
                <w:bCs/>
                <w:color w:val="008000"/>
                <w:sz w:val="16"/>
                <w:szCs w:val="16"/>
              </w:rPr>
            </w:pPr>
          </w:p>
          <w:p w:rsidR="00221F0B" w:rsidRPr="00492A99" w:rsidRDefault="00221F0B" w:rsidP="00DC1333">
            <w:pPr>
              <w:keepNext/>
              <w:keepLines/>
              <w:rPr>
                <w:b/>
                <w:bCs/>
                <w:color w:val="008000"/>
                <w:sz w:val="16"/>
                <w:szCs w:val="16"/>
              </w:rPr>
            </w:pPr>
          </w:p>
          <w:p w:rsidR="00221F0B" w:rsidRPr="00492A99" w:rsidRDefault="00221F0B" w:rsidP="00DC1333">
            <w:pPr>
              <w:keepNext/>
              <w:keepLines/>
              <w:jc w:val="center"/>
              <w:rPr>
                <w:b/>
                <w:bCs/>
                <w:color w:val="008000"/>
                <w:sz w:val="16"/>
                <w:szCs w:val="16"/>
              </w:rPr>
            </w:pPr>
          </w:p>
          <w:p w:rsidR="00221F0B" w:rsidRPr="00492A99" w:rsidRDefault="00221F0B" w:rsidP="00DC1333">
            <w:pPr>
              <w:keepNext/>
              <w:keepLines/>
              <w:jc w:val="center"/>
              <w:rPr>
                <w:b/>
                <w:bCs/>
                <w:color w:val="008000"/>
                <w:sz w:val="16"/>
                <w:szCs w:val="16"/>
              </w:rPr>
            </w:pPr>
            <w:r w:rsidRPr="00492A99">
              <w:rPr>
                <w:b/>
                <w:bCs/>
                <w:color w:val="008000"/>
                <w:sz w:val="16"/>
                <w:szCs w:val="16"/>
              </w:rPr>
              <w:t>Plenamente logrado</w:t>
            </w:r>
          </w:p>
          <w:p w:rsidR="00221F0B" w:rsidRPr="00492A99" w:rsidRDefault="00221F0B" w:rsidP="00DC1333">
            <w:pPr>
              <w:keepNext/>
              <w:keepLines/>
              <w:jc w:val="center"/>
              <w:rPr>
                <w:bCs/>
                <w:color w:val="808080"/>
                <w:sz w:val="16"/>
                <w:szCs w:val="16"/>
              </w:rPr>
            </w:pPr>
          </w:p>
          <w:p w:rsidR="00221F0B" w:rsidRPr="00492A99" w:rsidRDefault="00221F0B" w:rsidP="00DC1333">
            <w:pPr>
              <w:keepNext/>
              <w:keepLines/>
              <w:jc w:val="center"/>
              <w:rPr>
                <w:bCs/>
                <w:color w:val="808080"/>
                <w:sz w:val="16"/>
                <w:szCs w:val="16"/>
              </w:rPr>
            </w:pPr>
          </w:p>
          <w:p w:rsidR="00221F0B" w:rsidRPr="00492A99" w:rsidRDefault="00221F0B" w:rsidP="00DC1333">
            <w:pPr>
              <w:keepNext/>
              <w:keepLines/>
              <w:jc w:val="center"/>
              <w:rPr>
                <w:b/>
                <w:bCs/>
                <w:color w:val="FF0000"/>
                <w:sz w:val="16"/>
                <w:szCs w:val="16"/>
              </w:rPr>
            </w:pPr>
            <w:r w:rsidRPr="00492A99">
              <w:rPr>
                <w:b/>
                <w:bCs/>
                <w:color w:val="FF0000"/>
                <w:sz w:val="16"/>
                <w:szCs w:val="16"/>
              </w:rPr>
              <w:t>No logrado</w:t>
            </w:r>
          </w:p>
        </w:tc>
      </w:tr>
      <w:tr w:rsidR="00221F0B" w:rsidRPr="00492A99" w:rsidTr="00DC1333">
        <w:trPr>
          <w:cantSplit/>
          <w:trHeight w:val="2653"/>
        </w:trPr>
        <w:tc>
          <w:tcPr>
            <w:tcW w:w="1091" w:type="pct"/>
            <w:tcBorders>
              <w:bottom w:val="single" w:sz="4" w:space="0" w:color="auto"/>
            </w:tcBorders>
            <w:hideMark/>
          </w:tcPr>
          <w:p w:rsidR="00221F0B" w:rsidRPr="00492A99" w:rsidRDefault="00221F0B" w:rsidP="00DC1333">
            <w:pPr>
              <w:rPr>
                <w:sz w:val="16"/>
                <w:szCs w:val="16"/>
                <w:lang w:bidi="th-TH"/>
              </w:rPr>
            </w:pPr>
            <w:r w:rsidRPr="00492A99">
              <w:rPr>
                <w:sz w:val="16"/>
                <w:szCs w:val="16"/>
                <w:lang w:bidi="th-TH"/>
              </w:rPr>
              <w:t>Atención de consultas recibidas a nivel interno y externo con arreglo a los plazos establecidos</w:t>
            </w:r>
          </w:p>
        </w:tc>
        <w:tc>
          <w:tcPr>
            <w:tcW w:w="952" w:type="pct"/>
            <w:tcBorders>
              <w:bottom w:val="single" w:sz="4" w:space="0" w:color="auto"/>
            </w:tcBorders>
            <w:hideMark/>
          </w:tcPr>
          <w:p w:rsidR="00221F0B" w:rsidRPr="00492A99" w:rsidRDefault="00221F0B" w:rsidP="00DC1333">
            <w:pPr>
              <w:rPr>
                <w:sz w:val="16"/>
                <w:szCs w:val="16"/>
                <w:lang w:bidi="th-TH"/>
              </w:rPr>
            </w:pPr>
            <w:r w:rsidRPr="00492A99">
              <w:rPr>
                <w:sz w:val="16"/>
                <w:szCs w:val="16"/>
                <w:lang w:bidi="th-TH"/>
              </w:rPr>
              <w:t>El 75% de las consultas han de ser resueltas en un plazo de tres días a partir de la recepción</w:t>
            </w:r>
          </w:p>
          <w:p w:rsidR="00221F0B" w:rsidRPr="00492A99" w:rsidRDefault="00221F0B" w:rsidP="00DC1333">
            <w:pPr>
              <w:rPr>
                <w:sz w:val="16"/>
                <w:szCs w:val="16"/>
                <w:lang w:bidi="th-TH"/>
              </w:rPr>
            </w:pPr>
          </w:p>
          <w:p w:rsidR="00221F0B" w:rsidRPr="00492A99" w:rsidRDefault="00221F0B" w:rsidP="00DC1333">
            <w:pPr>
              <w:rPr>
                <w:sz w:val="16"/>
                <w:szCs w:val="16"/>
                <w:lang w:bidi="th-TH"/>
              </w:rPr>
            </w:pPr>
            <w:r w:rsidRPr="00492A99">
              <w:rPr>
                <w:sz w:val="16"/>
                <w:szCs w:val="16"/>
                <w:lang w:bidi="th-TH"/>
              </w:rPr>
              <w:t>Proporcionar asesoramiento o responder a consultas en relación con expedientes presupuestarios en un plazo de 72 horas</w:t>
            </w:r>
          </w:p>
        </w:tc>
        <w:tc>
          <w:tcPr>
            <w:tcW w:w="787" w:type="pct"/>
            <w:tcBorders>
              <w:bottom w:val="single" w:sz="4" w:space="0" w:color="auto"/>
            </w:tcBorders>
            <w:tcMar>
              <w:top w:w="110" w:type="dxa"/>
              <w:left w:w="108" w:type="dxa"/>
              <w:bottom w:w="0" w:type="dxa"/>
              <w:right w:w="108" w:type="dxa"/>
            </w:tcMar>
            <w:hideMark/>
          </w:tcPr>
          <w:p w:rsidR="00221F0B" w:rsidRPr="00492A99" w:rsidRDefault="00221F0B" w:rsidP="00DC1333">
            <w:pPr>
              <w:ind w:left="-103" w:right="-69"/>
              <w:rPr>
                <w:sz w:val="16"/>
                <w:szCs w:val="16"/>
              </w:rPr>
            </w:pPr>
            <w:r w:rsidRPr="00492A99">
              <w:rPr>
                <w:sz w:val="16"/>
                <w:szCs w:val="16"/>
              </w:rPr>
              <w:t>Idénticos a la referencia</w:t>
            </w:r>
          </w:p>
          <w:p w:rsidR="00221F0B" w:rsidRPr="00492A99" w:rsidRDefault="00221F0B" w:rsidP="00DC1333">
            <w:pPr>
              <w:rPr>
                <w:sz w:val="16"/>
                <w:szCs w:val="16"/>
              </w:rPr>
            </w:pPr>
          </w:p>
          <w:p w:rsidR="00221F0B" w:rsidRPr="00492A99" w:rsidRDefault="00221F0B" w:rsidP="00DC1333">
            <w:pPr>
              <w:ind w:left="-103" w:right="-69"/>
              <w:rPr>
                <w:sz w:val="16"/>
                <w:szCs w:val="16"/>
                <w:lang w:bidi="th-TH"/>
              </w:rPr>
            </w:pPr>
            <w:r w:rsidRPr="00492A99">
              <w:rPr>
                <w:sz w:val="16"/>
                <w:szCs w:val="16"/>
                <w:lang w:bidi="th-TH"/>
              </w:rPr>
              <w:t xml:space="preserve">Proporcionar asesoramiento o </w:t>
            </w:r>
            <w:r w:rsidRPr="00492A99">
              <w:rPr>
                <w:sz w:val="16"/>
                <w:szCs w:val="16"/>
              </w:rPr>
              <w:t>responder</w:t>
            </w:r>
            <w:r w:rsidRPr="00492A99">
              <w:rPr>
                <w:sz w:val="16"/>
                <w:szCs w:val="16"/>
                <w:lang w:bidi="th-TH"/>
              </w:rPr>
              <w:t xml:space="preserve"> a consultas en relación con expedientes presupuestarios en un plazo de 48 horas</w:t>
            </w:r>
          </w:p>
        </w:tc>
        <w:tc>
          <w:tcPr>
            <w:tcW w:w="1476" w:type="pct"/>
            <w:tcBorders>
              <w:bottom w:val="single" w:sz="4" w:space="0" w:color="auto"/>
            </w:tcBorders>
            <w:shd w:val="clear" w:color="auto" w:fill="FFFFFF"/>
            <w:tcMar>
              <w:top w:w="110" w:type="dxa"/>
              <w:left w:w="108" w:type="dxa"/>
              <w:bottom w:w="0" w:type="dxa"/>
              <w:right w:w="108" w:type="dxa"/>
            </w:tcMar>
          </w:tcPr>
          <w:p w:rsidR="00221F0B" w:rsidRDefault="00221F0B" w:rsidP="00DC1333">
            <w:pPr>
              <w:rPr>
                <w:sz w:val="16"/>
                <w:szCs w:val="16"/>
              </w:rPr>
            </w:pPr>
            <w:r>
              <w:rPr>
                <w:sz w:val="16"/>
                <w:szCs w:val="16"/>
              </w:rPr>
              <w:t>E</w:t>
            </w:r>
            <w:r w:rsidRPr="00492A99">
              <w:rPr>
                <w:sz w:val="16"/>
                <w:szCs w:val="16"/>
              </w:rPr>
              <w:t xml:space="preserve">n 2014/15, </w:t>
            </w:r>
            <w:r>
              <w:rPr>
                <w:sz w:val="16"/>
                <w:szCs w:val="16"/>
              </w:rPr>
              <w:t>por lo general, el 84,</w:t>
            </w:r>
            <w:r w:rsidRPr="00492A99">
              <w:rPr>
                <w:sz w:val="16"/>
                <w:szCs w:val="16"/>
              </w:rPr>
              <w:t xml:space="preserve">5% </w:t>
            </w:r>
            <w:r>
              <w:rPr>
                <w:sz w:val="16"/>
                <w:szCs w:val="16"/>
              </w:rPr>
              <w:t>de las consultas registradas en el sistema WINS fueron tramitadas en un plazo de tres días:</w:t>
            </w:r>
          </w:p>
          <w:p w:rsidR="00221F0B" w:rsidRPr="00492A99" w:rsidRDefault="00221F0B" w:rsidP="00DC1333">
            <w:pPr>
              <w:rPr>
                <w:sz w:val="6"/>
                <w:szCs w:val="6"/>
              </w:rPr>
            </w:pPr>
          </w:p>
          <w:p w:rsidR="00221F0B" w:rsidRPr="00492A99" w:rsidRDefault="00221F0B" w:rsidP="00221F0B">
            <w:pPr>
              <w:pStyle w:val="ListParagraph"/>
              <w:numPr>
                <w:ilvl w:val="0"/>
                <w:numId w:val="105"/>
              </w:numPr>
              <w:spacing w:after="60"/>
              <w:rPr>
                <w:rFonts w:cs="Arial"/>
                <w:sz w:val="16"/>
                <w:szCs w:val="16"/>
                <w:lang w:val="es-ES"/>
              </w:rPr>
            </w:pPr>
            <w:r>
              <w:rPr>
                <w:rFonts w:cs="Arial"/>
                <w:sz w:val="16"/>
                <w:szCs w:val="16"/>
                <w:lang w:val="es-ES"/>
              </w:rPr>
              <w:t>E</w:t>
            </w:r>
            <w:r w:rsidRPr="00492A99">
              <w:rPr>
                <w:rFonts w:cs="Arial"/>
                <w:sz w:val="16"/>
                <w:szCs w:val="16"/>
                <w:lang w:val="es-ES"/>
              </w:rPr>
              <w:t xml:space="preserve">n 2014, </w:t>
            </w:r>
            <w:r>
              <w:rPr>
                <w:rFonts w:cs="Arial"/>
                <w:sz w:val="16"/>
                <w:szCs w:val="16"/>
                <w:lang w:val="es-ES"/>
              </w:rPr>
              <w:t xml:space="preserve">el </w:t>
            </w:r>
            <w:r w:rsidRPr="00492A99">
              <w:rPr>
                <w:rFonts w:cs="Arial"/>
                <w:sz w:val="16"/>
                <w:szCs w:val="16"/>
                <w:lang w:val="es-ES"/>
              </w:rPr>
              <w:t xml:space="preserve">86% </w:t>
            </w:r>
            <w:r>
              <w:rPr>
                <w:rFonts w:cs="Arial"/>
                <w:sz w:val="16"/>
                <w:szCs w:val="16"/>
                <w:lang w:val="es-ES"/>
              </w:rPr>
              <w:t xml:space="preserve">fueron tramitadas en un plazo de tres días, el </w:t>
            </w:r>
            <w:r w:rsidRPr="00492A99">
              <w:rPr>
                <w:rFonts w:cs="Arial"/>
                <w:sz w:val="16"/>
                <w:szCs w:val="16"/>
                <w:lang w:val="es-ES"/>
              </w:rPr>
              <w:t xml:space="preserve">71% </w:t>
            </w:r>
            <w:r>
              <w:rPr>
                <w:rFonts w:cs="Arial"/>
                <w:sz w:val="16"/>
                <w:szCs w:val="16"/>
                <w:lang w:val="es-ES"/>
              </w:rPr>
              <w:t xml:space="preserve">de ellas el mismo día, el </w:t>
            </w:r>
            <w:r w:rsidRPr="00492A99">
              <w:rPr>
                <w:rFonts w:cs="Arial"/>
                <w:sz w:val="16"/>
                <w:szCs w:val="16"/>
                <w:lang w:val="es-ES"/>
              </w:rPr>
              <w:t xml:space="preserve">6% </w:t>
            </w:r>
            <w:r>
              <w:rPr>
                <w:rFonts w:cs="Arial"/>
                <w:sz w:val="16"/>
                <w:szCs w:val="16"/>
                <w:lang w:val="es-ES"/>
              </w:rPr>
              <w:t xml:space="preserve">en dos días y el </w:t>
            </w:r>
            <w:r w:rsidRPr="00492A99">
              <w:rPr>
                <w:rFonts w:cs="Arial"/>
                <w:sz w:val="16"/>
                <w:szCs w:val="16"/>
                <w:lang w:val="es-ES"/>
              </w:rPr>
              <w:t>9%</w:t>
            </w:r>
            <w:r>
              <w:rPr>
                <w:rFonts w:cs="Arial"/>
                <w:sz w:val="16"/>
                <w:szCs w:val="16"/>
                <w:lang w:val="es-ES"/>
              </w:rPr>
              <w:t xml:space="preserve"> en tres días</w:t>
            </w:r>
            <w:r w:rsidRPr="00492A99">
              <w:rPr>
                <w:rFonts w:cs="Arial"/>
                <w:sz w:val="16"/>
                <w:szCs w:val="16"/>
                <w:lang w:val="es-ES"/>
              </w:rPr>
              <w:t xml:space="preserve">.  </w:t>
            </w:r>
          </w:p>
          <w:p w:rsidR="00221F0B" w:rsidRPr="00492A99" w:rsidRDefault="00221F0B" w:rsidP="00221F0B">
            <w:pPr>
              <w:pStyle w:val="ListParagraph"/>
              <w:numPr>
                <w:ilvl w:val="0"/>
                <w:numId w:val="105"/>
              </w:numPr>
              <w:rPr>
                <w:rFonts w:cs="Arial"/>
                <w:sz w:val="16"/>
                <w:szCs w:val="16"/>
                <w:lang w:val="es-ES"/>
              </w:rPr>
            </w:pPr>
            <w:r>
              <w:rPr>
                <w:rFonts w:cs="Arial"/>
                <w:sz w:val="16"/>
                <w:szCs w:val="16"/>
                <w:lang w:val="es-ES"/>
              </w:rPr>
              <w:t>E</w:t>
            </w:r>
            <w:r w:rsidRPr="00492A99">
              <w:rPr>
                <w:rFonts w:cs="Arial"/>
                <w:sz w:val="16"/>
                <w:szCs w:val="16"/>
                <w:lang w:val="es-ES"/>
              </w:rPr>
              <w:t xml:space="preserve">n 2015, </w:t>
            </w:r>
            <w:r>
              <w:rPr>
                <w:rFonts w:cs="Arial"/>
                <w:sz w:val="16"/>
                <w:szCs w:val="16"/>
                <w:lang w:val="es-ES"/>
              </w:rPr>
              <w:t xml:space="preserve">el </w:t>
            </w:r>
            <w:r w:rsidRPr="00492A99">
              <w:rPr>
                <w:rFonts w:cs="Arial"/>
                <w:sz w:val="16"/>
                <w:szCs w:val="16"/>
                <w:lang w:val="es-ES"/>
              </w:rPr>
              <w:t xml:space="preserve">85% </w:t>
            </w:r>
            <w:r>
              <w:rPr>
                <w:rFonts w:cs="Arial"/>
                <w:sz w:val="16"/>
                <w:szCs w:val="16"/>
                <w:lang w:val="es-ES"/>
              </w:rPr>
              <w:t xml:space="preserve">fueron tramitadas en tres días, el </w:t>
            </w:r>
            <w:r w:rsidRPr="00492A99">
              <w:rPr>
                <w:rFonts w:cs="Arial"/>
                <w:sz w:val="16"/>
                <w:szCs w:val="16"/>
                <w:lang w:val="es-ES"/>
              </w:rPr>
              <w:t xml:space="preserve">67% </w:t>
            </w:r>
            <w:r>
              <w:rPr>
                <w:rFonts w:cs="Arial"/>
                <w:sz w:val="16"/>
                <w:szCs w:val="16"/>
                <w:lang w:val="es-ES"/>
              </w:rPr>
              <w:t xml:space="preserve"> de ellas el mismo día, el </w:t>
            </w:r>
            <w:r w:rsidRPr="00492A99">
              <w:rPr>
                <w:rFonts w:cs="Arial"/>
                <w:sz w:val="16"/>
                <w:szCs w:val="16"/>
                <w:lang w:val="es-ES"/>
              </w:rPr>
              <w:t xml:space="preserve">12% </w:t>
            </w:r>
            <w:r>
              <w:rPr>
                <w:rFonts w:cs="Arial"/>
                <w:sz w:val="16"/>
                <w:szCs w:val="16"/>
                <w:lang w:val="es-ES"/>
              </w:rPr>
              <w:t xml:space="preserve">en dos días y el </w:t>
            </w:r>
            <w:r w:rsidRPr="00492A99">
              <w:rPr>
                <w:rFonts w:cs="Arial"/>
                <w:sz w:val="16"/>
                <w:szCs w:val="16"/>
                <w:lang w:val="es-ES"/>
              </w:rPr>
              <w:t>6%</w:t>
            </w:r>
            <w:r>
              <w:rPr>
                <w:rFonts w:cs="Arial"/>
                <w:sz w:val="16"/>
                <w:szCs w:val="16"/>
                <w:lang w:val="es-ES"/>
              </w:rPr>
              <w:t xml:space="preserve"> en tres días</w:t>
            </w:r>
            <w:r w:rsidRPr="00492A99">
              <w:rPr>
                <w:rFonts w:cs="Arial"/>
                <w:sz w:val="16"/>
                <w:szCs w:val="16"/>
                <w:lang w:val="es-ES"/>
              </w:rPr>
              <w:t>.</w:t>
            </w:r>
          </w:p>
          <w:p w:rsidR="00221F0B" w:rsidRPr="00492A99" w:rsidRDefault="00221F0B" w:rsidP="00DC1333">
            <w:pPr>
              <w:rPr>
                <w:sz w:val="16"/>
                <w:szCs w:val="16"/>
              </w:rPr>
            </w:pPr>
          </w:p>
          <w:p w:rsidR="00221F0B" w:rsidRPr="00492A99" w:rsidRDefault="00221F0B" w:rsidP="00DC1333">
            <w:pPr>
              <w:rPr>
                <w:sz w:val="16"/>
                <w:szCs w:val="16"/>
              </w:rPr>
            </w:pPr>
          </w:p>
          <w:p w:rsidR="00221F0B" w:rsidRPr="00492A99" w:rsidRDefault="00221F0B" w:rsidP="00DC1333">
            <w:pPr>
              <w:rPr>
                <w:sz w:val="16"/>
                <w:szCs w:val="16"/>
              </w:rPr>
            </w:pPr>
            <w:r w:rsidRPr="00492A99">
              <w:rPr>
                <w:sz w:val="16"/>
                <w:szCs w:val="16"/>
              </w:rPr>
              <w:t>En 2014/15, la División de Presupuesto y Rendimiento de los Programas recibió unos 2.200 archivos que necesitaban validación programática o presupuestaria.  El tiempo de respuesta promedio fue de 1,9 días</w:t>
            </w:r>
            <w:r w:rsidR="0036610D">
              <w:rPr>
                <w:sz w:val="16"/>
                <w:szCs w:val="16"/>
              </w:rPr>
              <w:t>.</w:t>
            </w:r>
          </w:p>
        </w:tc>
        <w:tc>
          <w:tcPr>
            <w:tcW w:w="694" w:type="pct"/>
            <w:tcBorders>
              <w:bottom w:val="single" w:sz="4" w:space="0" w:color="auto"/>
            </w:tcBorders>
            <w:tcMar>
              <w:top w:w="110" w:type="dxa"/>
              <w:left w:w="108" w:type="dxa"/>
              <w:bottom w:w="0" w:type="dxa"/>
              <w:right w:w="108" w:type="dxa"/>
            </w:tcMar>
          </w:tcPr>
          <w:p w:rsidR="00221F0B" w:rsidRPr="00492A99" w:rsidRDefault="00221F0B" w:rsidP="00DC1333">
            <w:pPr>
              <w:keepNext/>
              <w:keepLines/>
              <w:jc w:val="center"/>
              <w:rPr>
                <w:b/>
                <w:bCs/>
                <w:color w:val="008000"/>
                <w:sz w:val="16"/>
                <w:szCs w:val="16"/>
              </w:rPr>
            </w:pPr>
            <w:r w:rsidRPr="00492A99">
              <w:rPr>
                <w:b/>
                <w:bCs/>
                <w:color w:val="008000"/>
                <w:sz w:val="16"/>
                <w:szCs w:val="16"/>
              </w:rPr>
              <w:t>Plenamente logrado</w:t>
            </w:r>
          </w:p>
          <w:p w:rsidR="00221F0B" w:rsidRPr="00492A99" w:rsidRDefault="00221F0B" w:rsidP="00DC1333">
            <w:pPr>
              <w:keepNext/>
              <w:keepLines/>
              <w:jc w:val="center"/>
              <w:rPr>
                <w:b/>
                <w:bCs/>
                <w:color w:val="008000"/>
                <w:sz w:val="16"/>
                <w:szCs w:val="16"/>
              </w:rPr>
            </w:pPr>
          </w:p>
          <w:p w:rsidR="00221F0B" w:rsidRPr="00492A99" w:rsidRDefault="00221F0B" w:rsidP="00DC1333">
            <w:pPr>
              <w:keepNext/>
              <w:keepLines/>
              <w:jc w:val="center"/>
              <w:rPr>
                <w:b/>
                <w:bCs/>
                <w:color w:val="008000"/>
                <w:sz w:val="16"/>
                <w:szCs w:val="16"/>
              </w:rPr>
            </w:pPr>
          </w:p>
          <w:p w:rsidR="00221F0B" w:rsidRPr="00492A99" w:rsidRDefault="00221F0B" w:rsidP="00DC1333">
            <w:pPr>
              <w:keepNext/>
              <w:keepLines/>
              <w:jc w:val="center"/>
              <w:rPr>
                <w:b/>
                <w:bCs/>
                <w:color w:val="008000"/>
                <w:sz w:val="16"/>
                <w:szCs w:val="16"/>
              </w:rPr>
            </w:pPr>
          </w:p>
          <w:p w:rsidR="00221F0B" w:rsidRPr="00492A99" w:rsidRDefault="00221F0B" w:rsidP="00DC1333">
            <w:pPr>
              <w:keepNext/>
              <w:keepLines/>
              <w:jc w:val="center"/>
              <w:rPr>
                <w:b/>
                <w:bCs/>
                <w:color w:val="008000"/>
                <w:sz w:val="16"/>
                <w:szCs w:val="16"/>
              </w:rPr>
            </w:pPr>
          </w:p>
          <w:p w:rsidR="00221F0B" w:rsidRPr="00492A99" w:rsidRDefault="00221F0B" w:rsidP="00DC1333">
            <w:pPr>
              <w:keepNext/>
              <w:keepLines/>
              <w:jc w:val="center"/>
              <w:rPr>
                <w:b/>
                <w:bCs/>
                <w:color w:val="008000"/>
                <w:sz w:val="16"/>
                <w:szCs w:val="16"/>
              </w:rPr>
            </w:pPr>
          </w:p>
          <w:p w:rsidR="00221F0B" w:rsidRPr="00492A99" w:rsidRDefault="00221F0B" w:rsidP="00DC1333">
            <w:pPr>
              <w:keepNext/>
              <w:keepLines/>
              <w:jc w:val="center"/>
              <w:rPr>
                <w:b/>
                <w:bCs/>
                <w:color w:val="008000"/>
                <w:sz w:val="16"/>
                <w:szCs w:val="16"/>
              </w:rPr>
            </w:pPr>
          </w:p>
          <w:p w:rsidR="00221F0B" w:rsidRPr="00492A99" w:rsidRDefault="00221F0B" w:rsidP="00DC1333">
            <w:pPr>
              <w:keepNext/>
              <w:keepLines/>
              <w:jc w:val="center"/>
              <w:rPr>
                <w:b/>
                <w:bCs/>
                <w:color w:val="008000"/>
                <w:sz w:val="16"/>
                <w:szCs w:val="16"/>
              </w:rPr>
            </w:pPr>
          </w:p>
          <w:p w:rsidR="00221F0B" w:rsidRPr="00492A99" w:rsidRDefault="00221F0B" w:rsidP="00DC1333">
            <w:pPr>
              <w:keepNext/>
              <w:keepLines/>
              <w:jc w:val="center"/>
              <w:rPr>
                <w:b/>
                <w:bCs/>
                <w:color w:val="008000"/>
                <w:sz w:val="16"/>
                <w:szCs w:val="16"/>
              </w:rPr>
            </w:pPr>
          </w:p>
          <w:p w:rsidR="00221F0B" w:rsidRPr="00492A99" w:rsidRDefault="00221F0B" w:rsidP="00DC1333">
            <w:pPr>
              <w:keepNext/>
              <w:keepLines/>
              <w:jc w:val="center"/>
              <w:rPr>
                <w:b/>
                <w:bCs/>
                <w:color w:val="008000"/>
                <w:sz w:val="16"/>
                <w:szCs w:val="16"/>
              </w:rPr>
            </w:pPr>
          </w:p>
          <w:p w:rsidR="00221F0B" w:rsidRPr="00492A99" w:rsidRDefault="00221F0B" w:rsidP="00DC1333">
            <w:pPr>
              <w:keepNext/>
              <w:keepLines/>
              <w:jc w:val="center"/>
              <w:rPr>
                <w:b/>
                <w:bCs/>
                <w:color w:val="008000"/>
                <w:sz w:val="16"/>
                <w:szCs w:val="16"/>
              </w:rPr>
            </w:pPr>
          </w:p>
          <w:p w:rsidR="00221F0B" w:rsidRPr="00492A99" w:rsidRDefault="00221F0B" w:rsidP="00DC1333">
            <w:pPr>
              <w:keepNext/>
              <w:keepLines/>
              <w:jc w:val="center"/>
              <w:rPr>
                <w:b/>
                <w:bCs/>
                <w:color w:val="008000"/>
                <w:sz w:val="16"/>
                <w:szCs w:val="16"/>
              </w:rPr>
            </w:pPr>
          </w:p>
          <w:p w:rsidR="00221F0B" w:rsidRPr="00492A99" w:rsidRDefault="0036610D" w:rsidP="00DC1333">
            <w:pPr>
              <w:keepNext/>
              <w:keepLines/>
              <w:jc w:val="center"/>
              <w:rPr>
                <w:b/>
                <w:bCs/>
                <w:color w:val="008000"/>
                <w:sz w:val="16"/>
                <w:szCs w:val="16"/>
              </w:rPr>
            </w:pPr>
            <w:r>
              <w:rPr>
                <w:b/>
                <w:bCs/>
                <w:color w:val="008000"/>
                <w:sz w:val="16"/>
                <w:szCs w:val="16"/>
              </w:rPr>
              <w:br/>
            </w:r>
            <w:r>
              <w:rPr>
                <w:b/>
                <w:bCs/>
                <w:color w:val="008000"/>
                <w:sz w:val="16"/>
                <w:szCs w:val="16"/>
              </w:rPr>
              <w:br/>
            </w:r>
          </w:p>
          <w:p w:rsidR="00221F0B" w:rsidRPr="00492A99" w:rsidRDefault="00221F0B" w:rsidP="00DC1333">
            <w:pPr>
              <w:keepNext/>
              <w:keepLines/>
              <w:jc w:val="center"/>
              <w:rPr>
                <w:b/>
                <w:bCs/>
                <w:color w:val="008000"/>
                <w:sz w:val="16"/>
                <w:szCs w:val="16"/>
              </w:rPr>
            </w:pPr>
          </w:p>
          <w:p w:rsidR="00221F0B" w:rsidRPr="00492A99" w:rsidRDefault="00221F0B" w:rsidP="00DC1333">
            <w:pPr>
              <w:keepNext/>
              <w:keepLines/>
              <w:jc w:val="center"/>
              <w:rPr>
                <w:b/>
                <w:bCs/>
                <w:color w:val="008000"/>
                <w:sz w:val="16"/>
                <w:szCs w:val="16"/>
              </w:rPr>
            </w:pPr>
            <w:r w:rsidRPr="00492A99">
              <w:rPr>
                <w:b/>
                <w:bCs/>
                <w:color w:val="008000"/>
                <w:sz w:val="16"/>
                <w:szCs w:val="16"/>
              </w:rPr>
              <w:t>Plenamente logrado</w:t>
            </w:r>
          </w:p>
          <w:p w:rsidR="00221F0B" w:rsidRPr="00492A99" w:rsidRDefault="00221F0B" w:rsidP="00DC1333">
            <w:pPr>
              <w:keepNext/>
              <w:keepLines/>
              <w:jc w:val="center"/>
              <w:rPr>
                <w:b/>
                <w:bCs/>
                <w:color w:val="008000"/>
                <w:sz w:val="16"/>
                <w:szCs w:val="16"/>
              </w:rPr>
            </w:pPr>
          </w:p>
        </w:tc>
      </w:tr>
      <w:tr w:rsidR="00221F0B" w:rsidRPr="00F03E99" w:rsidTr="00DC1333">
        <w:trPr>
          <w:cantSplit/>
        </w:trPr>
        <w:tc>
          <w:tcPr>
            <w:tcW w:w="5000" w:type="pct"/>
            <w:gridSpan w:val="5"/>
            <w:tcBorders>
              <w:top w:val="single" w:sz="4" w:space="0" w:color="auto"/>
              <w:left w:val="single" w:sz="4" w:space="0" w:color="auto"/>
              <w:bottom w:val="single" w:sz="4" w:space="0" w:color="auto"/>
              <w:right w:val="single" w:sz="4" w:space="0" w:color="auto"/>
            </w:tcBorders>
            <w:shd w:val="clear" w:color="auto" w:fill="C6D9F1" w:themeFill="text2" w:themeFillTint="33"/>
          </w:tcPr>
          <w:p w:rsidR="00221F0B" w:rsidRPr="00492A99" w:rsidRDefault="00221F0B" w:rsidP="00DC1333">
            <w:pPr>
              <w:keepNext/>
              <w:keepLines/>
              <w:spacing w:before="120" w:after="120"/>
              <w:ind w:left="2019" w:hanging="2019"/>
              <w:rPr>
                <w:bCs/>
                <w:sz w:val="16"/>
                <w:szCs w:val="16"/>
              </w:rPr>
            </w:pPr>
            <w:r w:rsidRPr="00492A99">
              <w:rPr>
                <w:b/>
                <w:bCs/>
                <w:sz w:val="16"/>
                <w:szCs w:val="16"/>
              </w:rPr>
              <w:lastRenderedPageBreak/>
              <w:t>Resultado previsto:</w:t>
            </w:r>
            <w:r w:rsidRPr="00492A99">
              <w:rPr>
                <w:b/>
                <w:bCs/>
                <w:sz w:val="16"/>
                <w:szCs w:val="16"/>
              </w:rPr>
              <w:tab/>
            </w:r>
            <w:r w:rsidRPr="00A54228">
              <w:rPr>
                <w:bCs/>
                <w:sz w:val="16"/>
                <w:szCs w:val="16"/>
              </w:rPr>
              <w:t>IX.2</w:t>
            </w:r>
            <w:r>
              <w:rPr>
                <w:b/>
                <w:bCs/>
                <w:sz w:val="16"/>
                <w:szCs w:val="16"/>
              </w:rPr>
              <w:t xml:space="preserve"> </w:t>
            </w:r>
            <w:r w:rsidRPr="00492A99">
              <w:rPr>
                <w:bCs/>
                <w:sz w:val="16"/>
                <w:szCs w:val="16"/>
              </w:rPr>
              <w:t>Funcionamiento sin contratiempos de la Secretaría, provista de un personal bien dirigido, dotado de las competencias adecuadas y capaz de conseguir resultados</w:t>
            </w:r>
          </w:p>
        </w:tc>
      </w:tr>
      <w:tr w:rsidR="00221F0B" w:rsidRPr="00A54228" w:rsidTr="00DC1333">
        <w:trPr>
          <w:cantSplit/>
        </w:trPr>
        <w:tc>
          <w:tcPr>
            <w:tcW w:w="1091" w:type="pct"/>
            <w:tcBorders>
              <w:top w:val="single" w:sz="4" w:space="0" w:color="auto"/>
              <w:left w:val="single" w:sz="4" w:space="0" w:color="auto"/>
            </w:tcBorders>
          </w:tcPr>
          <w:p w:rsidR="00221F0B" w:rsidRPr="00492A99" w:rsidRDefault="00221F0B" w:rsidP="00DC1333">
            <w:pPr>
              <w:keepNext/>
              <w:rPr>
                <w:b/>
                <w:bCs/>
                <w:sz w:val="16"/>
                <w:szCs w:val="16"/>
              </w:rPr>
            </w:pPr>
            <w:r w:rsidRPr="00492A99">
              <w:rPr>
                <w:b/>
                <w:bCs/>
                <w:sz w:val="16"/>
                <w:szCs w:val="16"/>
              </w:rPr>
              <w:t>Indicadores de rendimiento</w:t>
            </w:r>
          </w:p>
        </w:tc>
        <w:tc>
          <w:tcPr>
            <w:tcW w:w="952" w:type="pct"/>
            <w:tcBorders>
              <w:top w:val="single" w:sz="4" w:space="0" w:color="auto"/>
            </w:tcBorders>
            <w:hideMark/>
          </w:tcPr>
          <w:p w:rsidR="00221F0B" w:rsidRPr="00492A99" w:rsidRDefault="00221F0B" w:rsidP="00DC1333">
            <w:pPr>
              <w:keepNext/>
              <w:rPr>
                <w:b/>
                <w:bCs/>
                <w:sz w:val="16"/>
                <w:szCs w:val="16"/>
              </w:rPr>
            </w:pPr>
            <w:r w:rsidRPr="00492A99">
              <w:rPr>
                <w:b/>
                <w:bCs/>
                <w:sz w:val="16"/>
                <w:szCs w:val="16"/>
              </w:rPr>
              <w:t>Referencia</w:t>
            </w:r>
          </w:p>
        </w:tc>
        <w:tc>
          <w:tcPr>
            <w:tcW w:w="787" w:type="pct"/>
            <w:tcBorders>
              <w:top w:val="single" w:sz="4" w:space="0" w:color="auto"/>
            </w:tcBorders>
            <w:tcMar>
              <w:top w:w="110" w:type="dxa"/>
              <w:left w:w="108" w:type="dxa"/>
              <w:bottom w:w="0" w:type="dxa"/>
              <w:right w:w="108" w:type="dxa"/>
            </w:tcMar>
            <w:hideMark/>
          </w:tcPr>
          <w:p w:rsidR="00221F0B" w:rsidRPr="00492A99" w:rsidRDefault="00221F0B" w:rsidP="00DC1333">
            <w:pPr>
              <w:keepNext/>
              <w:autoSpaceDE w:val="0"/>
              <w:autoSpaceDN w:val="0"/>
              <w:adjustRightInd w:val="0"/>
              <w:rPr>
                <w:b/>
                <w:bCs/>
                <w:sz w:val="16"/>
                <w:szCs w:val="16"/>
              </w:rPr>
            </w:pPr>
            <w:r w:rsidRPr="00492A99">
              <w:rPr>
                <w:b/>
                <w:bCs/>
                <w:sz w:val="16"/>
                <w:szCs w:val="16"/>
              </w:rPr>
              <w:t>Objetivos</w:t>
            </w:r>
          </w:p>
        </w:tc>
        <w:tc>
          <w:tcPr>
            <w:tcW w:w="1476" w:type="pct"/>
            <w:tcBorders>
              <w:top w:val="single" w:sz="4" w:space="0" w:color="auto"/>
            </w:tcBorders>
            <w:shd w:val="clear" w:color="auto" w:fill="FFFFFF"/>
            <w:tcMar>
              <w:top w:w="110" w:type="dxa"/>
              <w:left w:w="108" w:type="dxa"/>
              <w:bottom w:w="0" w:type="dxa"/>
              <w:right w:w="108" w:type="dxa"/>
            </w:tcMar>
            <w:hideMark/>
          </w:tcPr>
          <w:p w:rsidR="00221F0B" w:rsidRPr="00492A99" w:rsidRDefault="00221F0B" w:rsidP="00DC1333">
            <w:pPr>
              <w:keepNext/>
              <w:rPr>
                <w:b/>
                <w:bCs/>
                <w:sz w:val="16"/>
                <w:szCs w:val="16"/>
              </w:rPr>
            </w:pPr>
            <w:r w:rsidRPr="00492A99">
              <w:rPr>
                <w:b/>
                <w:bCs/>
                <w:sz w:val="16"/>
                <w:szCs w:val="16"/>
              </w:rPr>
              <w:t>Datos sobre el rendimiento</w:t>
            </w:r>
          </w:p>
        </w:tc>
        <w:tc>
          <w:tcPr>
            <w:tcW w:w="694" w:type="pct"/>
            <w:tcBorders>
              <w:top w:val="single" w:sz="4" w:space="0" w:color="auto"/>
              <w:right w:val="single" w:sz="4" w:space="0" w:color="auto"/>
            </w:tcBorders>
            <w:tcMar>
              <w:top w:w="110" w:type="dxa"/>
              <w:left w:w="108" w:type="dxa"/>
              <w:bottom w:w="0" w:type="dxa"/>
              <w:right w:w="108" w:type="dxa"/>
            </w:tcMar>
            <w:hideMark/>
          </w:tcPr>
          <w:p w:rsidR="00221F0B" w:rsidRPr="00492A99" w:rsidRDefault="00221F0B" w:rsidP="00DC1333">
            <w:pPr>
              <w:keepNext/>
              <w:keepLines/>
              <w:jc w:val="center"/>
              <w:rPr>
                <w:b/>
                <w:bCs/>
                <w:sz w:val="16"/>
                <w:szCs w:val="16"/>
              </w:rPr>
            </w:pPr>
            <w:r w:rsidRPr="00492A99">
              <w:rPr>
                <w:b/>
                <w:bCs/>
                <w:sz w:val="16"/>
                <w:szCs w:val="16"/>
              </w:rPr>
              <w:t>Clave de colores</w:t>
            </w:r>
          </w:p>
        </w:tc>
      </w:tr>
      <w:tr w:rsidR="00221F0B" w:rsidRPr="00492A99" w:rsidTr="00DC1333">
        <w:trPr>
          <w:cantSplit/>
        </w:trPr>
        <w:tc>
          <w:tcPr>
            <w:tcW w:w="1091" w:type="pct"/>
            <w:tcBorders>
              <w:left w:val="single" w:sz="4" w:space="0" w:color="auto"/>
            </w:tcBorders>
          </w:tcPr>
          <w:p w:rsidR="00221F0B" w:rsidRPr="00492A99" w:rsidRDefault="00221F0B" w:rsidP="00DC1333">
            <w:pPr>
              <w:rPr>
                <w:sz w:val="16"/>
                <w:szCs w:val="16"/>
                <w:lang w:bidi="th-TH"/>
              </w:rPr>
            </w:pPr>
            <w:r w:rsidRPr="00492A99">
              <w:rPr>
                <w:sz w:val="16"/>
                <w:szCs w:val="16"/>
                <w:lang w:bidi="th-TH"/>
              </w:rPr>
              <w:t>Informe financiero satisfactorio de los auditores externos que confirma la conformidad de las operaciones contables con los convenios y tratados aplicables de la OMPI,  el Reglamento Financiero y la Reglamentación Financiera de la OMPI y las IPSAS</w:t>
            </w:r>
          </w:p>
        </w:tc>
        <w:tc>
          <w:tcPr>
            <w:tcW w:w="952" w:type="pct"/>
          </w:tcPr>
          <w:p w:rsidR="00221F0B" w:rsidRPr="00492A99" w:rsidRDefault="00221F0B" w:rsidP="00DC1333">
            <w:pPr>
              <w:rPr>
                <w:sz w:val="16"/>
                <w:szCs w:val="16"/>
              </w:rPr>
            </w:pPr>
            <w:r w:rsidRPr="00492A99">
              <w:rPr>
                <w:sz w:val="16"/>
                <w:szCs w:val="16"/>
              </w:rPr>
              <w:t>Informe de auditoría satisfactorio en 2012 y 2013 y respuestas proporcionadas en relación con todas las recomendaciones de auditoría</w:t>
            </w:r>
          </w:p>
        </w:tc>
        <w:tc>
          <w:tcPr>
            <w:tcW w:w="787" w:type="pct"/>
            <w:tcMar>
              <w:top w:w="110" w:type="dxa"/>
              <w:left w:w="108" w:type="dxa"/>
              <w:bottom w:w="0" w:type="dxa"/>
              <w:right w:w="108" w:type="dxa"/>
            </w:tcMar>
          </w:tcPr>
          <w:p w:rsidR="00221F0B" w:rsidRPr="00492A99" w:rsidRDefault="00221F0B" w:rsidP="00DC1333">
            <w:pPr>
              <w:autoSpaceDE w:val="0"/>
              <w:autoSpaceDN w:val="0"/>
              <w:adjustRightInd w:val="0"/>
              <w:rPr>
                <w:sz w:val="16"/>
                <w:szCs w:val="16"/>
              </w:rPr>
            </w:pPr>
            <w:r w:rsidRPr="00492A99">
              <w:rPr>
                <w:sz w:val="16"/>
                <w:szCs w:val="16"/>
              </w:rPr>
              <w:t>Informes de auditoría satisfactorios respecto de los dos años del bienio</w:t>
            </w:r>
          </w:p>
        </w:tc>
        <w:tc>
          <w:tcPr>
            <w:tcW w:w="1476" w:type="pct"/>
            <w:shd w:val="clear" w:color="auto" w:fill="FFFFFF"/>
            <w:tcMar>
              <w:top w:w="110" w:type="dxa"/>
              <w:left w:w="108" w:type="dxa"/>
              <w:bottom w:w="0" w:type="dxa"/>
              <w:right w:w="108" w:type="dxa"/>
            </w:tcMar>
          </w:tcPr>
          <w:p w:rsidR="00221F0B" w:rsidRPr="00492A99" w:rsidRDefault="00221F0B" w:rsidP="00DC1333">
            <w:pPr>
              <w:rPr>
                <w:sz w:val="16"/>
                <w:szCs w:val="16"/>
              </w:rPr>
            </w:pPr>
            <w:r>
              <w:rPr>
                <w:sz w:val="16"/>
                <w:szCs w:val="16"/>
              </w:rPr>
              <w:t xml:space="preserve">Informe de auditoría satisfactorio recibido en </w:t>
            </w:r>
            <w:r w:rsidRPr="00492A99">
              <w:rPr>
                <w:sz w:val="16"/>
                <w:szCs w:val="16"/>
              </w:rPr>
              <w:t xml:space="preserve">2014. </w:t>
            </w:r>
          </w:p>
          <w:p w:rsidR="00221F0B" w:rsidRPr="00492A99" w:rsidRDefault="00221F0B" w:rsidP="00DC1333">
            <w:pPr>
              <w:rPr>
                <w:sz w:val="16"/>
                <w:szCs w:val="16"/>
              </w:rPr>
            </w:pPr>
          </w:p>
          <w:p w:rsidR="00221F0B" w:rsidRPr="00492A99" w:rsidRDefault="00221F0B" w:rsidP="00DC1333">
            <w:pPr>
              <w:rPr>
                <w:sz w:val="16"/>
                <w:szCs w:val="16"/>
              </w:rPr>
            </w:pPr>
            <w:r>
              <w:rPr>
                <w:sz w:val="16"/>
                <w:szCs w:val="16"/>
              </w:rPr>
              <w:t>En el momento de la publicación, todavía no se han publicado los resultados de la auditoría de</w:t>
            </w:r>
            <w:r w:rsidRPr="00492A99">
              <w:rPr>
                <w:sz w:val="16"/>
                <w:szCs w:val="16"/>
              </w:rPr>
              <w:t xml:space="preserve"> 2015.</w:t>
            </w:r>
          </w:p>
          <w:p w:rsidR="00221F0B" w:rsidRPr="00492A99" w:rsidRDefault="00221F0B" w:rsidP="00DC1333">
            <w:pPr>
              <w:rPr>
                <w:sz w:val="16"/>
                <w:szCs w:val="16"/>
              </w:rPr>
            </w:pPr>
          </w:p>
          <w:p w:rsidR="00221F0B" w:rsidRPr="00492A99" w:rsidRDefault="00221F0B" w:rsidP="00DC1333">
            <w:pPr>
              <w:rPr>
                <w:sz w:val="16"/>
                <w:szCs w:val="16"/>
              </w:rPr>
            </w:pPr>
            <w:r>
              <w:rPr>
                <w:sz w:val="16"/>
                <w:szCs w:val="16"/>
              </w:rPr>
              <w:t xml:space="preserve">Se ha respondido a todas las recomendaciones de auditoría recibidas durante </w:t>
            </w:r>
            <w:r w:rsidRPr="00492A99">
              <w:rPr>
                <w:sz w:val="16"/>
                <w:szCs w:val="16"/>
              </w:rPr>
              <w:t xml:space="preserve">2014 </w:t>
            </w:r>
            <w:r>
              <w:rPr>
                <w:sz w:val="16"/>
                <w:szCs w:val="16"/>
              </w:rPr>
              <w:t xml:space="preserve">y </w:t>
            </w:r>
            <w:r w:rsidRPr="00492A99">
              <w:rPr>
                <w:sz w:val="16"/>
                <w:szCs w:val="16"/>
              </w:rPr>
              <w:t xml:space="preserve">2015.   </w:t>
            </w:r>
          </w:p>
          <w:p w:rsidR="00221F0B" w:rsidRPr="00492A99" w:rsidRDefault="00221F0B" w:rsidP="00DC1333">
            <w:pPr>
              <w:rPr>
                <w:sz w:val="16"/>
                <w:szCs w:val="16"/>
              </w:rPr>
            </w:pPr>
          </w:p>
        </w:tc>
        <w:tc>
          <w:tcPr>
            <w:tcW w:w="694" w:type="pct"/>
            <w:tcBorders>
              <w:right w:val="single" w:sz="4" w:space="0" w:color="auto"/>
            </w:tcBorders>
            <w:tcMar>
              <w:top w:w="110" w:type="dxa"/>
              <w:left w:w="108" w:type="dxa"/>
              <w:bottom w:w="0" w:type="dxa"/>
              <w:right w:w="108" w:type="dxa"/>
            </w:tcMar>
          </w:tcPr>
          <w:p w:rsidR="00221F0B" w:rsidRPr="00492A99" w:rsidRDefault="00221F0B" w:rsidP="00DC1333">
            <w:pPr>
              <w:keepNext/>
              <w:keepLines/>
              <w:jc w:val="center"/>
              <w:rPr>
                <w:b/>
                <w:bCs/>
                <w:color w:val="008000"/>
                <w:sz w:val="16"/>
                <w:szCs w:val="16"/>
              </w:rPr>
            </w:pPr>
            <w:r w:rsidRPr="00492A99">
              <w:rPr>
                <w:b/>
                <w:bCs/>
                <w:color w:val="008000"/>
                <w:sz w:val="16"/>
                <w:szCs w:val="16"/>
              </w:rPr>
              <w:t>Plenamente logrado</w:t>
            </w:r>
          </w:p>
          <w:p w:rsidR="00221F0B" w:rsidRPr="00492A99" w:rsidRDefault="00221F0B" w:rsidP="00DC1333">
            <w:pPr>
              <w:keepNext/>
              <w:keepLines/>
              <w:jc w:val="center"/>
              <w:rPr>
                <w:b/>
                <w:bCs/>
                <w:color w:val="008000"/>
                <w:sz w:val="16"/>
                <w:szCs w:val="16"/>
              </w:rPr>
            </w:pPr>
          </w:p>
          <w:p w:rsidR="00221F0B" w:rsidRPr="00492A99" w:rsidRDefault="00221F0B" w:rsidP="00DC1333">
            <w:pPr>
              <w:keepNext/>
              <w:keepLines/>
              <w:jc w:val="center"/>
              <w:rPr>
                <w:bCs/>
                <w:color w:val="404040" w:themeColor="text1" w:themeTint="BF"/>
                <w:sz w:val="16"/>
                <w:szCs w:val="16"/>
              </w:rPr>
            </w:pPr>
            <w:r w:rsidRPr="00492A99">
              <w:rPr>
                <w:b/>
                <w:bCs/>
                <w:color w:val="A6A6A6" w:themeColor="background1" w:themeShade="A6"/>
                <w:sz w:val="16"/>
                <w:szCs w:val="16"/>
              </w:rPr>
              <w:t>No mensurable</w:t>
            </w:r>
          </w:p>
        </w:tc>
      </w:tr>
      <w:tr w:rsidR="00221F0B" w:rsidRPr="00492A99" w:rsidTr="00DC1333">
        <w:trPr>
          <w:cantSplit/>
        </w:trPr>
        <w:tc>
          <w:tcPr>
            <w:tcW w:w="1091" w:type="pct"/>
            <w:tcBorders>
              <w:left w:val="single" w:sz="4" w:space="0" w:color="auto"/>
            </w:tcBorders>
          </w:tcPr>
          <w:p w:rsidR="00221F0B" w:rsidRPr="00492A99" w:rsidRDefault="00221F0B" w:rsidP="00DC1333">
            <w:pPr>
              <w:rPr>
                <w:sz w:val="16"/>
                <w:szCs w:val="16"/>
                <w:lang w:bidi="th-TH"/>
              </w:rPr>
            </w:pPr>
            <w:r w:rsidRPr="00492A99">
              <w:rPr>
                <w:sz w:val="16"/>
                <w:szCs w:val="16"/>
                <w:lang w:bidi="th-TH"/>
              </w:rPr>
              <w:t>Rendimiento del capital invertido en concordancia con los parámetros establecidos por el Comité Asesor en materia de Inversiones</w:t>
            </w:r>
          </w:p>
        </w:tc>
        <w:tc>
          <w:tcPr>
            <w:tcW w:w="952" w:type="pct"/>
          </w:tcPr>
          <w:p w:rsidR="00221F0B" w:rsidRPr="00492A99" w:rsidRDefault="00221F0B" w:rsidP="00DC1333">
            <w:pPr>
              <w:rPr>
                <w:sz w:val="16"/>
                <w:szCs w:val="16"/>
                <w:lang w:bidi="th-TH"/>
              </w:rPr>
            </w:pPr>
            <w:r w:rsidRPr="00492A99">
              <w:rPr>
                <w:sz w:val="16"/>
                <w:szCs w:val="16"/>
                <w:lang w:bidi="th-TH"/>
              </w:rPr>
              <w:t>Rendimiento del capital invertido en concordancia con los parámetros establecidos por el Comité Asesor en materia de Inversiones en 2012/13</w:t>
            </w:r>
          </w:p>
        </w:tc>
        <w:tc>
          <w:tcPr>
            <w:tcW w:w="787" w:type="pct"/>
            <w:tcMar>
              <w:top w:w="110" w:type="dxa"/>
              <w:left w:w="108" w:type="dxa"/>
              <w:bottom w:w="0" w:type="dxa"/>
              <w:right w:w="108" w:type="dxa"/>
            </w:tcMar>
          </w:tcPr>
          <w:p w:rsidR="00221F0B" w:rsidRPr="00492A99" w:rsidRDefault="00221F0B" w:rsidP="00DC1333">
            <w:pPr>
              <w:autoSpaceDE w:val="0"/>
              <w:autoSpaceDN w:val="0"/>
              <w:adjustRightInd w:val="0"/>
              <w:rPr>
                <w:sz w:val="16"/>
                <w:szCs w:val="16"/>
              </w:rPr>
            </w:pPr>
            <w:r w:rsidRPr="00492A99">
              <w:rPr>
                <w:sz w:val="16"/>
                <w:szCs w:val="16"/>
                <w:lang w:bidi="th-TH"/>
              </w:rPr>
              <w:t>Rendimiento del capital invertido en concordancia con los parámetros establecidos por el Comité Asesor en m</w:t>
            </w:r>
            <w:r>
              <w:rPr>
                <w:sz w:val="16"/>
                <w:szCs w:val="16"/>
                <w:lang w:bidi="th-TH"/>
              </w:rPr>
              <w:t>ateria de Inversiones en 2014/15</w:t>
            </w:r>
          </w:p>
        </w:tc>
        <w:tc>
          <w:tcPr>
            <w:tcW w:w="1476" w:type="pct"/>
            <w:shd w:val="clear" w:color="auto" w:fill="FFFFFF"/>
            <w:tcMar>
              <w:top w:w="110" w:type="dxa"/>
              <w:left w:w="108" w:type="dxa"/>
              <w:bottom w:w="0" w:type="dxa"/>
              <w:right w:w="108" w:type="dxa"/>
            </w:tcMar>
          </w:tcPr>
          <w:p w:rsidR="00221F0B" w:rsidRPr="00492A99" w:rsidRDefault="00221F0B" w:rsidP="00DC1333">
            <w:pPr>
              <w:rPr>
                <w:sz w:val="16"/>
                <w:szCs w:val="16"/>
              </w:rPr>
            </w:pPr>
            <w:r>
              <w:rPr>
                <w:sz w:val="16"/>
                <w:szCs w:val="16"/>
              </w:rPr>
              <w:t xml:space="preserve">Objetivo logrado durante el bienio. Prosiguieron las inversiones con las autoridades suizas, en concordancia con los parámetros establecidos en </w:t>
            </w:r>
            <w:r w:rsidRPr="00492A99">
              <w:rPr>
                <w:sz w:val="16"/>
                <w:szCs w:val="16"/>
              </w:rPr>
              <w:t>2014/15.</w:t>
            </w:r>
          </w:p>
          <w:p w:rsidR="00221F0B" w:rsidRPr="00492A99" w:rsidRDefault="00221F0B" w:rsidP="00DC1333">
            <w:pPr>
              <w:rPr>
                <w:sz w:val="16"/>
                <w:szCs w:val="16"/>
              </w:rPr>
            </w:pPr>
          </w:p>
          <w:p w:rsidR="00221F0B" w:rsidRPr="00492A99" w:rsidRDefault="00221F0B" w:rsidP="00DC1333">
            <w:pPr>
              <w:rPr>
                <w:sz w:val="16"/>
                <w:szCs w:val="16"/>
              </w:rPr>
            </w:pPr>
            <w:r>
              <w:rPr>
                <w:sz w:val="16"/>
                <w:szCs w:val="16"/>
              </w:rPr>
              <w:t xml:space="preserve">El Comité Asesor en materia de Inversiones ha de establecer nuevos parámetros tras la introducción de una nueva política de inversiones en otoño de </w:t>
            </w:r>
            <w:r w:rsidRPr="00492A99">
              <w:rPr>
                <w:sz w:val="16"/>
                <w:szCs w:val="16"/>
              </w:rPr>
              <w:t>2015.</w:t>
            </w:r>
          </w:p>
        </w:tc>
        <w:tc>
          <w:tcPr>
            <w:tcW w:w="694" w:type="pct"/>
            <w:tcBorders>
              <w:right w:val="single" w:sz="4" w:space="0" w:color="auto"/>
            </w:tcBorders>
            <w:tcMar>
              <w:top w:w="110" w:type="dxa"/>
              <w:left w:w="108" w:type="dxa"/>
              <w:bottom w:w="0" w:type="dxa"/>
              <w:right w:w="108" w:type="dxa"/>
            </w:tcMar>
          </w:tcPr>
          <w:p w:rsidR="00221F0B" w:rsidRPr="00492A99" w:rsidRDefault="00221F0B" w:rsidP="00DC1333">
            <w:pPr>
              <w:keepNext/>
              <w:keepLines/>
              <w:jc w:val="center"/>
              <w:rPr>
                <w:bCs/>
                <w:color w:val="404040" w:themeColor="text1" w:themeTint="BF"/>
                <w:sz w:val="16"/>
                <w:szCs w:val="16"/>
              </w:rPr>
            </w:pPr>
            <w:r w:rsidRPr="00492A99">
              <w:rPr>
                <w:b/>
                <w:bCs/>
                <w:color w:val="008000"/>
                <w:sz w:val="16"/>
                <w:szCs w:val="16"/>
              </w:rPr>
              <w:t>Plenamente logrado</w:t>
            </w:r>
          </w:p>
        </w:tc>
      </w:tr>
      <w:tr w:rsidR="00221F0B" w:rsidRPr="00492A99" w:rsidTr="00DC1333">
        <w:trPr>
          <w:cantSplit/>
        </w:trPr>
        <w:tc>
          <w:tcPr>
            <w:tcW w:w="1091" w:type="pct"/>
            <w:tcBorders>
              <w:left w:val="single" w:sz="4" w:space="0" w:color="auto"/>
            </w:tcBorders>
          </w:tcPr>
          <w:p w:rsidR="00221F0B" w:rsidRPr="00492A99" w:rsidRDefault="00221F0B" w:rsidP="00DC1333">
            <w:pPr>
              <w:rPr>
                <w:sz w:val="16"/>
                <w:szCs w:val="16"/>
                <w:lang w:bidi="th-TH"/>
              </w:rPr>
            </w:pPr>
            <w:r w:rsidRPr="00492A99">
              <w:rPr>
                <w:sz w:val="16"/>
                <w:szCs w:val="16"/>
                <w:lang w:bidi="th-TH"/>
              </w:rPr>
              <w:t>Los pagos (incluidas las tasas correspondientes a los Sistemas de Madrid y de La Haya) se efectúan en el plazo estipulado</w:t>
            </w:r>
          </w:p>
        </w:tc>
        <w:tc>
          <w:tcPr>
            <w:tcW w:w="952" w:type="pct"/>
          </w:tcPr>
          <w:p w:rsidR="00221F0B" w:rsidRPr="00492A99" w:rsidRDefault="00221F0B" w:rsidP="00DC1333">
            <w:pPr>
              <w:rPr>
                <w:i/>
                <w:color w:val="002060"/>
                <w:sz w:val="16"/>
                <w:szCs w:val="16"/>
              </w:rPr>
            </w:pPr>
            <w:r w:rsidRPr="00492A99">
              <w:rPr>
                <w:sz w:val="16"/>
                <w:szCs w:val="16"/>
                <w:lang w:bidi="th-TH"/>
              </w:rPr>
              <w:t>90% de los pagos efectuados en un plazo de siete días con arreglo a las condiciones de pago o la fecha de recepción (en caso de recepción tardía) cuando no haya otros problemas de flujo de trabajo (por ejemplo, la no entrega de la orden de compra</w:t>
            </w:r>
            <w:r w:rsidRPr="00492A99">
              <w:rPr>
                <w:color w:val="FF00FF"/>
                <w:sz w:val="16"/>
                <w:szCs w:val="16"/>
                <w:lang w:bidi="th-TH"/>
              </w:rPr>
              <w:t xml:space="preserve">, </w:t>
            </w:r>
            <w:r w:rsidRPr="00492A99">
              <w:rPr>
                <w:sz w:val="16"/>
                <w:szCs w:val="16"/>
                <w:lang w:bidi="th-TH"/>
              </w:rPr>
              <w:t>etc.)</w:t>
            </w:r>
          </w:p>
        </w:tc>
        <w:tc>
          <w:tcPr>
            <w:tcW w:w="787" w:type="pct"/>
            <w:tcMar>
              <w:top w:w="110" w:type="dxa"/>
              <w:left w:w="108" w:type="dxa"/>
              <w:bottom w:w="0" w:type="dxa"/>
              <w:right w:w="108" w:type="dxa"/>
            </w:tcMar>
          </w:tcPr>
          <w:p w:rsidR="00221F0B" w:rsidRPr="00492A99" w:rsidRDefault="00221F0B" w:rsidP="00DC1333">
            <w:pPr>
              <w:autoSpaceDE w:val="0"/>
              <w:autoSpaceDN w:val="0"/>
              <w:adjustRightInd w:val="0"/>
              <w:rPr>
                <w:sz w:val="16"/>
                <w:szCs w:val="16"/>
              </w:rPr>
            </w:pPr>
            <w:r w:rsidRPr="00492A99">
              <w:rPr>
                <w:sz w:val="16"/>
                <w:szCs w:val="16"/>
                <w:lang w:bidi="th-TH"/>
              </w:rPr>
              <w:t>90% de los pagos efectuados en un plazo de</w:t>
            </w:r>
            <w:r>
              <w:rPr>
                <w:sz w:val="16"/>
                <w:szCs w:val="16"/>
                <w:lang w:bidi="th-TH"/>
              </w:rPr>
              <w:t xml:space="preserve"> dos a tres días a partir de la recepción de la factura</w:t>
            </w:r>
          </w:p>
        </w:tc>
        <w:tc>
          <w:tcPr>
            <w:tcW w:w="1476" w:type="pct"/>
            <w:shd w:val="clear" w:color="auto" w:fill="FFFFFF"/>
            <w:tcMar>
              <w:top w:w="110" w:type="dxa"/>
              <w:left w:w="108" w:type="dxa"/>
              <w:bottom w:w="0" w:type="dxa"/>
              <w:right w:w="108" w:type="dxa"/>
            </w:tcMar>
          </w:tcPr>
          <w:p w:rsidR="00221F0B" w:rsidRPr="00492A99" w:rsidRDefault="00221F0B" w:rsidP="00DC1333">
            <w:pPr>
              <w:rPr>
                <w:sz w:val="16"/>
                <w:szCs w:val="16"/>
              </w:rPr>
            </w:pPr>
            <w:r w:rsidRPr="00E15312">
              <w:rPr>
                <w:sz w:val="16"/>
                <w:szCs w:val="16"/>
              </w:rPr>
              <w:t>Los pagos de to</w:t>
            </w:r>
            <w:r>
              <w:rPr>
                <w:sz w:val="16"/>
                <w:szCs w:val="16"/>
              </w:rPr>
              <w:t>das las facturas se efectuaron con arreglo a la referencia</w:t>
            </w:r>
            <w:r w:rsidRPr="00E15312">
              <w:rPr>
                <w:sz w:val="16"/>
                <w:szCs w:val="16"/>
              </w:rPr>
              <w:t>, excepto las</w:t>
            </w:r>
            <w:r>
              <w:rPr>
                <w:sz w:val="16"/>
                <w:szCs w:val="16"/>
              </w:rPr>
              <w:t xml:space="preserve"> facturas </w:t>
            </w:r>
            <w:r w:rsidRPr="00E15312">
              <w:rPr>
                <w:sz w:val="16"/>
                <w:szCs w:val="16"/>
              </w:rPr>
              <w:t xml:space="preserve">ex-post facto, o cuando no </w:t>
            </w:r>
            <w:r>
              <w:rPr>
                <w:sz w:val="16"/>
                <w:szCs w:val="16"/>
              </w:rPr>
              <w:t xml:space="preserve">hubo </w:t>
            </w:r>
            <w:r w:rsidRPr="00E15312">
              <w:rPr>
                <w:sz w:val="16"/>
                <w:szCs w:val="16"/>
              </w:rPr>
              <w:t>pedidos en el sistema</w:t>
            </w:r>
            <w:r>
              <w:rPr>
                <w:sz w:val="16"/>
                <w:szCs w:val="16"/>
              </w:rPr>
              <w:t xml:space="preserve">. </w:t>
            </w:r>
          </w:p>
          <w:p w:rsidR="00221F0B" w:rsidRPr="00492A99" w:rsidRDefault="00221F0B" w:rsidP="00DC1333">
            <w:pPr>
              <w:rPr>
                <w:sz w:val="16"/>
                <w:szCs w:val="16"/>
              </w:rPr>
            </w:pPr>
          </w:p>
          <w:p w:rsidR="00221F0B" w:rsidRPr="00492A99" w:rsidRDefault="00221F0B" w:rsidP="00DC1333">
            <w:pPr>
              <w:rPr>
                <w:sz w:val="16"/>
                <w:szCs w:val="16"/>
              </w:rPr>
            </w:pPr>
            <w:r w:rsidRPr="00E15312">
              <w:rPr>
                <w:sz w:val="16"/>
                <w:szCs w:val="16"/>
              </w:rPr>
              <w:t>La</w:t>
            </w:r>
            <w:r>
              <w:rPr>
                <w:sz w:val="16"/>
                <w:szCs w:val="16"/>
              </w:rPr>
              <w:t>s distribuciones</w:t>
            </w:r>
            <w:r w:rsidRPr="00E15312">
              <w:rPr>
                <w:sz w:val="16"/>
                <w:szCs w:val="16"/>
              </w:rPr>
              <w:t xml:space="preserve"> mensual</w:t>
            </w:r>
            <w:r>
              <w:rPr>
                <w:sz w:val="16"/>
                <w:szCs w:val="16"/>
              </w:rPr>
              <w:t>es se pagaron o se acreditaron</w:t>
            </w:r>
            <w:r w:rsidRPr="00E15312">
              <w:rPr>
                <w:sz w:val="16"/>
                <w:szCs w:val="16"/>
              </w:rPr>
              <w:t xml:space="preserve"> en una cuenta corriente o se aplicó al pago de cuotas del siguiente m</w:t>
            </w:r>
            <w:r>
              <w:rPr>
                <w:sz w:val="16"/>
                <w:szCs w:val="16"/>
              </w:rPr>
              <w:t>es, según lo exige el Reglamento.</w:t>
            </w:r>
          </w:p>
          <w:p w:rsidR="00221F0B" w:rsidRPr="00492A99" w:rsidRDefault="00221F0B" w:rsidP="00DC1333">
            <w:pPr>
              <w:rPr>
                <w:sz w:val="16"/>
                <w:szCs w:val="16"/>
              </w:rPr>
            </w:pPr>
          </w:p>
        </w:tc>
        <w:tc>
          <w:tcPr>
            <w:tcW w:w="694" w:type="pct"/>
            <w:tcBorders>
              <w:right w:val="single" w:sz="4" w:space="0" w:color="auto"/>
            </w:tcBorders>
            <w:tcMar>
              <w:top w:w="110" w:type="dxa"/>
              <w:left w:w="108" w:type="dxa"/>
              <w:bottom w:w="0" w:type="dxa"/>
              <w:right w:w="108" w:type="dxa"/>
            </w:tcMar>
          </w:tcPr>
          <w:p w:rsidR="00221F0B" w:rsidRPr="00492A99" w:rsidRDefault="00221F0B" w:rsidP="00DC1333">
            <w:pPr>
              <w:keepNext/>
              <w:keepLines/>
              <w:jc w:val="center"/>
              <w:rPr>
                <w:bCs/>
                <w:color w:val="404040" w:themeColor="text1" w:themeTint="BF"/>
                <w:sz w:val="16"/>
                <w:szCs w:val="16"/>
              </w:rPr>
            </w:pPr>
            <w:r w:rsidRPr="00492A99">
              <w:rPr>
                <w:b/>
                <w:bCs/>
                <w:color w:val="008000"/>
                <w:sz w:val="16"/>
                <w:szCs w:val="16"/>
              </w:rPr>
              <w:t>Plenamente logrado</w:t>
            </w:r>
          </w:p>
        </w:tc>
      </w:tr>
      <w:tr w:rsidR="00221F0B" w:rsidRPr="00492A99" w:rsidTr="00DC1333">
        <w:trPr>
          <w:cantSplit/>
        </w:trPr>
        <w:tc>
          <w:tcPr>
            <w:tcW w:w="1091" w:type="pct"/>
            <w:tcBorders>
              <w:left w:val="single" w:sz="4" w:space="0" w:color="auto"/>
            </w:tcBorders>
          </w:tcPr>
          <w:p w:rsidR="00221F0B" w:rsidRPr="00492A99" w:rsidRDefault="00221F0B" w:rsidP="00DC1333">
            <w:pPr>
              <w:rPr>
                <w:sz w:val="16"/>
                <w:szCs w:val="16"/>
                <w:lang w:bidi="th-TH"/>
              </w:rPr>
            </w:pPr>
            <w:r w:rsidRPr="00492A99">
              <w:rPr>
                <w:sz w:val="16"/>
                <w:szCs w:val="16"/>
                <w:lang w:bidi="th-TH"/>
              </w:rPr>
              <w:t>Porcentaje de miembros del personal que expresan satisfacción con la formación recibida (cursos de iniciación, formación sobre el sistema de PRI, formación relacionada con la gestión por resultados)</w:t>
            </w:r>
          </w:p>
        </w:tc>
        <w:tc>
          <w:tcPr>
            <w:tcW w:w="952" w:type="pct"/>
          </w:tcPr>
          <w:p w:rsidR="00221F0B" w:rsidRPr="00492A99" w:rsidRDefault="00221F0B" w:rsidP="00DC1333">
            <w:pPr>
              <w:rPr>
                <w:color w:val="002060"/>
                <w:sz w:val="16"/>
                <w:szCs w:val="16"/>
              </w:rPr>
            </w:pPr>
            <w:r w:rsidRPr="00492A99">
              <w:rPr>
                <w:i/>
                <w:color w:val="002060"/>
                <w:sz w:val="16"/>
                <w:szCs w:val="16"/>
              </w:rPr>
              <w:t xml:space="preserve">Referencia actualizada a fines de 2013:  </w:t>
            </w:r>
          </w:p>
          <w:p w:rsidR="00221F0B" w:rsidRPr="00492A99" w:rsidRDefault="00221F0B" w:rsidP="00DC1333">
            <w:pPr>
              <w:rPr>
                <w:color w:val="002060"/>
                <w:sz w:val="16"/>
                <w:szCs w:val="16"/>
              </w:rPr>
            </w:pPr>
            <w:r w:rsidRPr="00492A99">
              <w:rPr>
                <w:color w:val="002060"/>
                <w:sz w:val="16"/>
                <w:szCs w:val="16"/>
              </w:rPr>
              <w:t>Cursos de iniciación:  94%</w:t>
            </w:r>
          </w:p>
          <w:p w:rsidR="00221F0B" w:rsidRPr="00492A99" w:rsidRDefault="00221F0B" w:rsidP="00DC1333">
            <w:pPr>
              <w:autoSpaceDE w:val="0"/>
              <w:autoSpaceDN w:val="0"/>
              <w:adjustRightInd w:val="0"/>
              <w:rPr>
                <w:color w:val="002060"/>
                <w:sz w:val="16"/>
                <w:szCs w:val="16"/>
              </w:rPr>
            </w:pPr>
            <w:r w:rsidRPr="00492A99">
              <w:rPr>
                <w:color w:val="002060"/>
                <w:sz w:val="16"/>
                <w:szCs w:val="16"/>
              </w:rPr>
              <w:t>Formación relacionada con el</w:t>
            </w:r>
          </w:p>
          <w:p w:rsidR="00221F0B" w:rsidRPr="00492A99" w:rsidRDefault="00221F0B" w:rsidP="00DC1333">
            <w:pPr>
              <w:autoSpaceDE w:val="0"/>
              <w:autoSpaceDN w:val="0"/>
              <w:adjustRightInd w:val="0"/>
              <w:rPr>
                <w:color w:val="002060"/>
                <w:sz w:val="16"/>
                <w:szCs w:val="16"/>
              </w:rPr>
            </w:pPr>
            <w:r w:rsidRPr="00492A99">
              <w:rPr>
                <w:color w:val="002060"/>
                <w:sz w:val="16"/>
                <w:szCs w:val="16"/>
              </w:rPr>
              <w:t>sistema de PRI y</w:t>
            </w:r>
          </w:p>
          <w:p w:rsidR="00221F0B" w:rsidRPr="00492A99" w:rsidRDefault="00221F0B" w:rsidP="00DC1333">
            <w:pPr>
              <w:autoSpaceDE w:val="0"/>
              <w:autoSpaceDN w:val="0"/>
              <w:adjustRightInd w:val="0"/>
              <w:rPr>
                <w:color w:val="002060"/>
                <w:sz w:val="16"/>
                <w:szCs w:val="16"/>
              </w:rPr>
            </w:pPr>
            <w:r w:rsidRPr="00492A99">
              <w:rPr>
                <w:color w:val="002060"/>
                <w:sz w:val="16"/>
                <w:szCs w:val="16"/>
              </w:rPr>
              <w:t>con la gestión por</w:t>
            </w:r>
          </w:p>
          <w:p w:rsidR="00221F0B" w:rsidRPr="00492A99" w:rsidRDefault="00221F0B" w:rsidP="00DC1333">
            <w:pPr>
              <w:rPr>
                <w:color w:val="002060"/>
                <w:sz w:val="16"/>
                <w:szCs w:val="16"/>
              </w:rPr>
            </w:pPr>
            <w:r w:rsidRPr="00492A99">
              <w:rPr>
                <w:color w:val="002060"/>
                <w:sz w:val="16"/>
                <w:szCs w:val="16"/>
              </w:rPr>
              <w:t>resultados:  96%</w:t>
            </w:r>
          </w:p>
          <w:p w:rsidR="00221F0B" w:rsidRPr="00492A99" w:rsidRDefault="00221F0B" w:rsidP="00DC1333">
            <w:pPr>
              <w:rPr>
                <w:color w:val="002060"/>
                <w:sz w:val="16"/>
                <w:szCs w:val="16"/>
              </w:rPr>
            </w:pPr>
          </w:p>
          <w:p w:rsidR="00221F0B" w:rsidRPr="00492A99" w:rsidRDefault="00221F0B" w:rsidP="0036610D">
            <w:pPr>
              <w:ind w:right="-135"/>
              <w:rPr>
                <w:i/>
                <w:sz w:val="16"/>
                <w:szCs w:val="16"/>
              </w:rPr>
            </w:pPr>
            <w:r w:rsidRPr="00492A99">
              <w:rPr>
                <w:i/>
                <w:sz w:val="16"/>
                <w:szCs w:val="16"/>
                <w:lang w:bidi="th-TH"/>
              </w:rPr>
              <w:t xml:space="preserve">Referencia original en el </w:t>
            </w:r>
            <w:proofErr w:type="spellStart"/>
            <w:r w:rsidRPr="00492A99">
              <w:rPr>
                <w:i/>
                <w:sz w:val="16"/>
                <w:szCs w:val="16"/>
                <w:lang w:bidi="th-TH"/>
              </w:rPr>
              <w:t>presup</w:t>
            </w:r>
            <w:proofErr w:type="spellEnd"/>
            <w:r w:rsidR="0036610D">
              <w:rPr>
                <w:i/>
                <w:sz w:val="16"/>
                <w:szCs w:val="16"/>
                <w:lang w:bidi="th-TH"/>
              </w:rPr>
              <w:t>.</w:t>
            </w:r>
            <w:r w:rsidRPr="00492A99">
              <w:rPr>
                <w:i/>
                <w:sz w:val="16"/>
                <w:szCs w:val="16"/>
                <w:lang w:bidi="th-TH"/>
              </w:rPr>
              <w:t xml:space="preserve"> de</w:t>
            </w:r>
            <w:r w:rsidR="0036610D">
              <w:rPr>
                <w:i/>
                <w:sz w:val="16"/>
                <w:szCs w:val="16"/>
                <w:lang w:bidi="th-TH"/>
              </w:rPr>
              <w:t xml:space="preserve"> </w:t>
            </w:r>
            <w:r w:rsidRPr="00492A99">
              <w:rPr>
                <w:i/>
                <w:sz w:val="16"/>
                <w:szCs w:val="16"/>
                <w:lang w:bidi="th-TH"/>
              </w:rPr>
              <w:t>2014/15):</w:t>
            </w:r>
            <w:r w:rsidR="0036610D">
              <w:rPr>
                <w:i/>
                <w:sz w:val="16"/>
                <w:szCs w:val="16"/>
                <w:lang w:bidi="th-TH"/>
              </w:rPr>
              <w:t xml:space="preserve"> </w:t>
            </w:r>
            <w:r w:rsidRPr="00492A99">
              <w:rPr>
                <w:sz w:val="16"/>
                <w:szCs w:val="16"/>
                <w:lang w:bidi="th-TH"/>
              </w:rPr>
              <w:t>Por determinar</w:t>
            </w:r>
          </w:p>
        </w:tc>
        <w:tc>
          <w:tcPr>
            <w:tcW w:w="787" w:type="pct"/>
            <w:tcMar>
              <w:top w:w="110" w:type="dxa"/>
              <w:left w:w="108" w:type="dxa"/>
              <w:bottom w:w="0" w:type="dxa"/>
              <w:right w:w="108" w:type="dxa"/>
            </w:tcMar>
          </w:tcPr>
          <w:p w:rsidR="00221F0B" w:rsidRPr="00492A99" w:rsidRDefault="00221F0B" w:rsidP="00DC1333">
            <w:pPr>
              <w:autoSpaceDE w:val="0"/>
              <w:autoSpaceDN w:val="0"/>
              <w:adjustRightInd w:val="0"/>
              <w:rPr>
                <w:sz w:val="16"/>
                <w:szCs w:val="16"/>
              </w:rPr>
            </w:pPr>
            <w:r w:rsidRPr="00492A99">
              <w:rPr>
                <w:sz w:val="16"/>
                <w:szCs w:val="16"/>
              </w:rPr>
              <w:t>85%</w:t>
            </w:r>
          </w:p>
        </w:tc>
        <w:tc>
          <w:tcPr>
            <w:tcW w:w="1476" w:type="pct"/>
            <w:shd w:val="clear" w:color="auto" w:fill="FFFFFF"/>
            <w:tcMar>
              <w:top w:w="110" w:type="dxa"/>
              <w:left w:w="108" w:type="dxa"/>
              <w:bottom w:w="0" w:type="dxa"/>
              <w:right w:w="108" w:type="dxa"/>
            </w:tcMar>
          </w:tcPr>
          <w:p w:rsidR="00221F0B" w:rsidRPr="00526311" w:rsidRDefault="00221F0B" w:rsidP="00221F0B">
            <w:pPr>
              <w:pStyle w:val="ListParagraph"/>
              <w:numPr>
                <w:ilvl w:val="0"/>
                <w:numId w:val="103"/>
              </w:numPr>
              <w:rPr>
                <w:rFonts w:cs="Arial"/>
                <w:sz w:val="16"/>
                <w:szCs w:val="16"/>
                <w:lang w:val="es-ES"/>
              </w:rPr>
            </w:pPr>
            <w:r w:rsidRPr="00526311">
              <w:rPr>
                <w:rFonts w:cs="Arial"/>
                <w:sz w:val="16"/>
                <w:szCs w:val="16"/>
                <w:lang w:val="es-ES"/>
              </w:rPr>
              <w:t xml:space="preserve">Cursos de iniciación: 94% </w:t>
            </w:r>
          </w:p>
          <w:p w:rsidR="00221F0B" w:rsidRPr="00526311" w:rsidRDefault="00221F0B" w:rsidP="00221F0B">
            <w:pPr>
              <w:pStyle w:val="ListParagraph"/>
              <w:numPr>
                <w:ilvl w:val="0"/>
                <w:numId w:val="103"/>
              </w:numPr>
              <w:rPr>
                <w:rFonts w:cs="Arial"/>
                <w:sz w:val="16"/>
                <w:szCs w:val="16"/>
                <w:lang w:val="es-ES"/>
              </w:rPr>
            </w:pPr>
            <w:r w:rsidRPr="00526311">
              <w:rPr>
                <w:rFonts w:cs="Arial"/>
                <w:sz w:val="16"/>
                <w:szCs w:val="16"/>
                <w:lang w:val="es-ES"/>
              </w:rPr>
              <w:t>Formación relacionada con el sistema de PRI y con la gestión por</w:t>
            </w:r>
          </w:p>
          <w:p w:rsidR="00221F0B" w:rsidRPr="00526311" w:rsidRDefault="00221F0B" w:rsidP="00DC1333">
            <w:pPr>
              <w:pStyle w:val="ListParagraph"/>
              <w:ind w:left="360"/>
              <w:rPr>
                <w:rFonts w:cs="Arial"/>
                <w:sz w:val="16"/>
                <w:szCs w:val="16"/>
                <w:lang w:val="es-ES"/>
              </w:rPr>
            </w:pPr>
            <w:r w:rsidRPr="00526311">
              <w:rPr>
                <w:rFonts w:cs="Arial"/>
                <w:sz w:val="16"/>
                <w:szCs w:val="16"/>
                <w:lang w:val="es-ES"/>
              </w:rPr>
              <w:t>resultados:  9</w:t>
            </w:r>
            <w:r>
              <w:rPr>
                <w:rFonts w:cs="Arial"/>
                <w:sz w:val="16"/>
                <w:szCs w:val="16"/>
                <w:lang w:val="es-ES"/>
              </w:rPr>
              <w:t>4</w:t>
            </w:r>
            <w:r w:rsidRPr="00526311">
              <w:rPr>
                <w:rFonts w:cs="Arial"/>
                <w:sz w:val="16"/>
                <w:szCs w:val="16"/>
                <w:lang w:val="es-ES"/>
              </w:rPr>
              <w:t>%</w:t>
            </w:r>
          </w:p>
          <w:p w:rsidR="00221F0B" w:rsidRPr="00492A99" w:rsidRDefault="00221F0B" w:rsidP="00221F0B">
            <w:pPr>
              <w:pStyle w:val="ListParagraph"/>
              <w:numPr>
                <w:ilvl w:val="0"/>
                <w:numId w:val="103"/>
              </w:numPr>
              <w:rPr>
                <w:rFonts w:cs="Arial"/>
                <w:sz w:val="16"/>
                <w:szCs w:val="16"/>
                <w:lang w:val="es-ES"/>
              </w:rPr>
            </w:pPr>
            <w:r w:rsidRPr="00526311">
              <w:rPr>
                <w:rFonts w:cs="Arial"/>
                <w:sz w:val="16"/>
                <w:szCs w:val="16"/>
                <w:lang w:val="es-ES"/>
              </w:rPr>
              <w:t>Gestión de proyectos en un entorno</w:t>
            </w:r>
            <w:r>
              <w:rPr>
                <w:rFonts w:cs="Arial"/>
                <w:sz w:val="16"/>
                <w:szCs w:val="16"/>
                <w:lang w:val="es-ES"/>
              </w:rPr>
              <w:t xml:space="preserve"> de gestión por resultados:  97</w:t>
            </w:r>
            <w:r w:rsidRPr="00526311">
              <w:rPr>
                <w:rFonts w:cs="Arial"/>
                <w:sz w:val="16"/>
                <w:szCs w:val="16"/>
                <w:lang w:val="es-ES"/>
              </w:rPr>
              <w:t>% (6</w:t>
            </w:r>
            <w:r>
              <w:rPr>
                <w:rFonts w:cs="Arial"/>
                <w:sz w:val="16"/>
                <w:szCs w:val="16"/>
                <w:lang w:val="es-ES"/>
              </w:rPr>
              <w:t>4%-excelente;  33</w:t>
            </w:r>
            <w:r w:rsidRPr="00526311">
              <w:rPr>
                <w:rFonts w:cs="Arial"/>
                <w:sz w:val="16"/>
                <w:szCs w:val="16"/>
                <w:lang w:val="es-ES"/>
              </w:rPr>
              <w:t>% -satisfactorio)</w:t>
            </w:r>
          </w:p>
        </w:tc>
        <w:tc>
          <w:tcPr>
            <w:tcW w:w="694" w:type="pct"/>
            <w:tcBorders>
              <w:right w:val="single" w:sz="4" w:space="0" w:color="auto"/>
            </w:tcBorders>
            <w:tcMar>
              <w:top w:w="110" w:type="dxa"/>
              <w:left w:w="108" w:type="dxa"/>
              <w:bottom w:w="0" w:type="dxa"/>
              <w:right w:w="108" w:type="dxa"/>
            </w:tcMar>
          </w:tcPr>
          <w:p w:rsidR="00221F0B" w:rsidRPr="00492A99" w:rsidRDefault="00221F0B" w:rsidP="00DC1333">
            <w:pPr>
              <w:keepNext/>
              <w:keepLines/>
              <w:jc w:val="center"/>
              <w:rPr>
                <w:bCs/>
                <w:color w:val="404040" w:themeColor="text1" w:themeTint="BF"/>
                <w:sz w:val="16"/>
                <w:szCs w:val="16"/>
              </w:rPr>
            </w:pPr>
            <w:r w:rsidRPr="00492A99">
              <w:rPr>
                <w:b/>
                <w:bCs/>
                <w:color w:val="008000"/>
                <w:sz w:val="16"/>
                <w:szCs w:val="16"/>
              </w:rPr>
              <w:t>Plenamente logrado</w:t>
            </w:r>
          </w:p>
        </w:tc>
      </w:tr>
      <w:tr w:rsidR="00221F0B" w:rsidRPr="00F03E99" w:rsidTr="00DC1333">
        <w:trPr>
          <w:cantSplit/>
        </w:trPr>
        <w:tc>
          <w:tcPr>
            <w:tcW w:w="1091" w:type="pct"/>
            <w:tcBorders>
              <w:left w:val="single" w:sz="4" w:space="0" w:color="auto"/>
            </w:tcBorders>
          </w:tcPr>
          <w:p w:rsidR="00221F0B" w:rsidRPr="00492A99" w:rsidRDefault="00221F0B" w:rsidP="00DC1333">
            <w:pPr>
              <w:rPr>
                <w:sz w:val="16"/>
                <w:szCs w:val="16"/>
                <w:lang w:bidi="th-TH"/>
              </w:rPr>
            </w:pPr>
            <w:r w:rsidRPr="00492A99">
              <w:rPr>
                <w:sz w:val="16"/>
                <w:szCs w:val="16"/>
                <w:lang w:bidi="th-TH"/>
              </w:rPr>
              <w:t>Porcentaje de encuestados en la OMPI que estiman que la Organización rinde cuentas sobre sus resultados</w:t>
            </w:r>
          </w:p>
        </w:tc>
        <w:tc>
          <w:tcPr>
            <w:tcW w:w="952" w:type="pct"/>
          </w:tcPr>
          <w:p w:rsidR="00221F0B" w:rsidRPr="00492A99" w:rsidRDefault="00221F0B" w:rsidP="00DC1333">
            <w:pPr>
              <w:rPr>
                <w:i/>
                <w:color w:val="002060"/>
                <w:sz w:val="16"/>
                <w:szCs w:val="16"/>
              </w:rPr>
            </w:pPr>
            <w:r w:rsidRPr="00492A99">
              <w:rPr>
                <w:i/>
                <w:color w:val="002060"/>
                <w:sz w:val="16"/>
                <w:szCs w:val="16"/>
              </w:rPr>
              <w:t>Referencia actualizada a fines de 2013:  80,7%</w:t>
            </w:r>
          </w:p>
          <w:p w:rsidR="00221F0B" w:rsidRPr="00492A99" w:rsidRDefault="00221F0B" w:rsidP="00DC1333">
            <w:pPr>
              <w:rPr>
                <w:i/>
                <w:color w:val="002060"/>
                <w:sz w:val="16"/>
                <w:szCs w:val="16"/>
              </w:rPr>
            </w:pPr>
          </w:p>
          <w:p w:rsidR="00221F0B" w:rsidRPr="00492A99" w:rsidRDefault="00221F0B" w:rsidP="00DC1333">
            <w:pPr>
              <w:rPr>
                <w:sz w:val="16"/>
                <w:szCs w:val="16"/>
                <w:lang w:bidi="th-TH"/>
              </w:rPr>
            </w:pPr>
            <w:r w:rsidRPr="00492A99">
              <w:rPr>
                <w:i/>
                <w:sz w:val="16"/>
                <w:szCs w:val="16"/>
              </w:rPr>
              <w:t>Referencia original en el presupuesto de 2014/15:</w:t>
            </w:r>
            <w:r w:rsidRPr="00492A99">
              <w:rPr>
                <w:sz w:val="16"/>
                <w:szCs w:val="16"/>
                <w:lang w:bidi="th-TH"/>
              </w:rPr>
              <w:t xml:space="preserve">  75%</w:t>
            </w:r>
          </w:p>
        </w:tc>
        <w:tc>
          <w:tcPr>
            <w:tcW w:w="787" w:type="pct"/>
            <w:tcMar>
              <w:top w:w="110" w:type="dxa"/>
              <w:left w:w="108" w:type="dxa"/>
              <w:bottom w:w="0" w:type="dxa"/>
              <w:right w:w="108" w:type="dxa"/>
            </w:tcMar>
          </w:tcPr>
          <w:p w:rsidR="00221F0B" w:rsidRPr="00492A99" w:rsidRDefault="00221F0B" w:rsidP="00DC1333">
            <w:pPr>
              <w:autoSpaceDE w:val="0"/>
              <w:autoSpaceDN w:val="0"/>
              <w:adjustRightInd w:val="0"/>
              <w:rPr>
                <w:sz w:val="16"/>
                <w:szCs w:val="16"/>
              </w:rPr>
            </w:pPr>
            <w:r w:rsidRPr="00492A99">
              <w:rPr>
                <w:sz w:val="16"/>
                <w:szCs w:val="16"/>
              </w:rPr>
              <w:t>80%</w:t>
            </w:r>
          </w:p>
        </w:tc>
        <w:tc>
          <w:tcPr>
            <w:tcW w:w="1476" w:type="pct"/>
            <w:shd w:val="clear" w:color="auto" w:fill="FFFFFF"/>
            <w:tcMar>
              <w:top w:w="110" w:type="dxa"/>
              <w:left w:w="108" w:type="dxa"/>
              <w:bottom w:w="0" w:type="dxa"/>
              <w:right w:w="108" w:type="dxa"/>
            </w:tcMar>
          </w:tcPr>
          <w:p w:rsidR="00221F0B" w:rsidRPr="00E92486" w:rsidRDefault="0036610D" w:rsidP="00DC1333">
            <w:pPr>
              <w:rPr>
                <w:sz w:val="16"/>
                <w:szCs w:val="16"/>
              </w:rPr>
            </w:pPr>
            <w:r w:rsidRPr="00E92486">
              <w:rPr>
                <w:sz w:val="16"/>
                <w:szCs w:val="16"/>
              </w:rPr>
              <w:t>94% (30% completamente de acuerdo; 64% de acuerdo) de los encuestados</w:t>
            </w:r>
            <w:r w:rsidR="00A51E37" w:rsidRPr="00E92486">
              <w:rPr>
                <w:rStyle w:val="FootnoteReference"/>
                <w:sz w:val="16"/>
                <w:szCs w:val="16"/>
              </w:rPr>
              <w:footnoteReference w:id="125"/>
            </w:r>
            <w:r w:rsidRPr="00E92486">
              <w:rPr>
                <w:sz w:val="16"/>
                <w:szCs w:val="16"/>
              </w:rPr>
              <w:t xml:space="preserve"> indicaron que los datos sobre el rendimiento son usados</w:t>
            </w:r>
            <w:r w:rsidR="00E92486">
              <w:rPr>
                <w:sz w:val="16"/>
                <w:szCs w:val="16"/>
              </w:rPr>
              <w:t xml:space="preserve"> para rendir cuentas ante los Estados miembros (según el Informe de validación del PPR de 2014/15).</w:t>
            </w:r>
          </w:p>
        </w:tc>
        <w:tc>
          <w:tcPr>
            <w:tcW w:w="694" w:type="pct"/>
            <w:tcBorders>
              <w:right w:val="single" w:sz="4" w:space="0" w:color="auto"/>
            </w:tcBorders>
            <w:tcMar>
              <w:top w:w="110" w:type="dxa"/>
              <w:left w:w="108" w:type="dxa"/>
              <w:bottom w:w="0" w:type="dxa"/>
              <w:right w:w="108" w:type="dxa"/>
            </w:tcMar>
          </w:tcPr>
          <w:p w:rsidR="00221F0B" w:rsidRPr="00492A99" w:rsidRDefault="00221F0B" w:rsidP="00DC1333">
            <w:pPr>
              <w:keepNext/>
              <w:keepLines/>
              <w:jc w:val="center"/>
              <w:rPr>
                <w:b/>
                <w:bCs/>
                <w:color w:val="404040" w:themeColor="text1" w:themeTint="BF"/>
                <w:sz w:val="16"/>
                <w:szCs w:val="16"/>
              </w:rPr>
            </w:pPr>
          </w:p>
        </w:tc>
      </w:tr>
      <w:tr w:rsidR="00221F0B" w:rsidRPr="00F03E99" w:rsidTr="00DC1333">
        <w:trPr>
          <w:cantSplit/>
        </w:trPr>
        <w:tc>
          <w:tcPr>
            <w:tcW w:w="1091" w:type="pct"/>
            <w:tcBorders>
              <w:left w:val="single" w:sz="4" w:space="0" w:color="auto"/>
              <w:bottom w:val="single" w:sz="4" w:space="0" w:color="auto"/>
            </w:tcBorders>
          </w:tcPr>
          <w:p w:rsidR="00221F0B" w:rsidRPr="00492A99" w:rsidRDefault="00221F0B" w:rsidP="00DC1333">
            <w:pPr>
              <w:rPr>
                <w:sz w:val="16"/>
                <w:szCs w:val="16"/>
                <w:lang w:bidi="th-TH"/>
              </w:rPr>
            </w:pPr>
            <w:r w:rsidRPr="00492A99">
              <w:rPr>
                <w:sz w:val="16"/>
                <w:szCs w:val="16"/>
                <w:lang w:bidi="th-TH"/>
              </w:rPr>
              <w:lastRenderedPageBreak/>
              <w:t>Porcentaje de programas de la OMPI que utilizan los datos sobre el rendimiento para gestionar el rendimiento del programa</w:t>
            </w:r>
          </w:p>
        </w:tc>
        <w:tc>
          <w:tcPr>
            <w:tcW w:w="952" w:type="pct"/>
            <w:tcBorders>
              <w:bottom w:val="single" w:sz="4" w:space="0" w:color="auto"/>
            </w:tcBorders>
            <w:hideMark/>
          </w:tcPr>
          <w:p w:rsidR="00221F0B" w:rsidRPr="00492A99" w:rsidRDefault="00221F0B" w:rsidP="00DC1333">
            <w:pPr>
              <w:rPr>
                <w:color w:val="002060"/>
                <w:sz w:val="16"/>
                <w:szCs w:val="16"/>
              </w:rPr>
            </w:pPr>
            <w:r w:rsidRPr="00492A99">
              <w:rPr>
                <w:i/>
                <w:color w:val="002060"/>
                <w:sz w:val="16"/>
                <w:szCs w:val="16"/>
              </w:rPr>
              <w:t xml:space="preserve">Referencia actualizada a fines de 2013: </w:t>
            </w:r>
            <w:r w:rsidRPr="00492A99">
              <w:rPr>
                <w:color w:val="002060"/>
                <w:sz w:val="16"/>
                <w:szCs w:val="16"/>
              </w:rPr>
              <w:t>55%</w:t>
            </w:r>
            <w:r w:rsidRPr="00492A99">
              <w:rPr>
                <w:rStyle w:val="FootnoteReference"/>
                <w:color w:val="002060"/>
                <w:sz w:val="16"/>
                <w:szCs w:val="16"/>
              </w:rPr>
              <w:footnoteReference w:id="126"/>
            </w:r>
            <w:r w:rsidRPr="00492A99">
              <w:rPr>
                <w:color w:val="002060"/>
                <w:sz w:val="16"/>
                <w:szCs w:val="16"/>
              </w:rPr>
              <w:t xml:space="preserve"> (según el informe de validación del documento PPR 2010/11)</w:t>
            </w:r>
          </w:p>
          <w:p w:rsidR="00221F0B" w:rsidRPr="00492A99" w:rsidRDefault="00221F0B" w:rsidP="00DC1333">
            <w:pPr>
              <w:rPr>
                <w:i/>
                <w:sz w:val="16"/>
                <w:szCs w:val="16"/>
              </w:rPr>
            </w:pPr>
          </w:p>
          <w:p w:rsidR="00221F0B" w:rsidRPr="00492A99" w:rsidRDefault="00221F0B" w:rsidP="00DC1333">
            <w:pPr>
              <w:rPr>
                <w:sz w:val="16"/>
                <w:szCs w:val="16"/>
                <w:lang w:bidi="th-TH"/>
              </w:rPr>
            </w:pPr>
            <w:r w:rsidRPr="00492A99">
              <w:rPr>
                <w:i/>
                <w:sz w:val="16"/>
                <w:szCs w:val="16"/>
              </w:rPr>
              <w:t>Referencia original en el presupuesto de 2014/15:</w:t>
            </w:r>
            <w:r w:rsidRPr="00492A99">
              <w:rPr>
                <w:sz w:val="16"/>
                <w:szCs w:val="16"/>
                <w:lang w:bidi="th-TH"/>
              </w:rPr>
              <w:t xml:space="preserve">  50</w:t>
            </w:r>
            <w:r w:rsidRPr="00492A99">
              <w:rPr>
                <w:sz w:val="16"/>
                <w:szCs w:val="16"/>
                <w:lang w:bidi="th-TH"/>
              </w:rPr>
              <w:br/>
            </w:r>
          </w:p>
        </w:tc>
        <w:tc>
          <w:tcPr>
            <w:tcW w:w="787" w:type="pct"/>
            <w:tcBorders>
              <w:bottom w:val="single" w:sz="4" w:space="0" w:color="auto"/>
            </w:tcBorders>
            <w:tcMar>
              <w:top w:w="110" w:type="dxa"/>
              <w:left w:w="108" w:type="dxa"/>
              <w:bottom w:w="0" w:type="dxa"/>
              <w:right w:w="108" w:type="dxa"/>
            </w:tcMar>
            <w:hideMark/>
          </w:tcPr>
          <w:p w:rsidR="00221F0B" w:rsidRPr="00492A99" w:rsidRDefault="00221F0B" w:rsidP="00DC1333">
            <w:pPr>
              <w:autoSpaceDE w:val="0"/>
              <w:autoSpaceDN w:val="0"/>
              <w:adjustRightInd w:val="0"/>
              <w:rPr>
                <w:sz w:val="16"/>
                <w:szCs w:val="16"/>
              </w:rPr>
            </w:pPr>
            <w:r w:rsidRPr="00492A99">
              <w:rPr>
                <w:sz w:val="16"/>
                <w:szCs w:val="16"/>
              </w:rPr>
              <w:t>70</w:t>
            </w:r>
          </w:p>
        </w:tc>
        <w:tc>
          <w:tcPr>
            <w:tcW w:w="1476" w:type="pct"/>
            <w:tcBorders>
              <w:bottom w:val="single" w:sz="4" w:space="0" w:color="auto"/>
            </w:tcBorders>
            <w:shd w:val="clear" w:color="auto" w:fill="FFFFFF"/>
            <w:tcMar>
              <w:top w:w="110" w:type="dxa"/>
              <w:left w:w="108" w:type="dxa"/>
              <w:bottom w:w="0" w:type="dxa"/>
              <w:right w:w="108" w:type="dxa"/>
            </w:tcMar>
          </w:tcPr>
          <w:p w:rsidR="000B7DB0" w:rsidRPr="00457F9E" w:rsidRDefault="000B7DB0" w:rsidP="000B7DB0">
            <w:pPr>
              <w:ind w:left="125" w:hanging="125"/>
              <w:rPr>
                <w:sz w:val="16"/>
                <w:szCs w:val="16"/>
              </w:rPr>
            </w:pPr>
            <w:r w:rsidRPr="00457F9E">
              <w:rPr>
                <w:sz w:val="16"/>
                <w:szCs w:val="16"/>
              </w:rPr>
              <w:t>-  94% (30% completamente de acuerdo; 64% de acuerdo) de los encuestados</w:t>
            </w:r>
            <w:r w:rsidRPr="00457F9E">
              <w:rPr>
                <w:rStyle w:val="FootnoteReference"/>
                <w:sz w:val="16"/>
                <w:szCs w:val="16"/>
              </w:rPr>
              <w:footnoteReference w:id="127"/>
            </w:r>
            <w:r w:rsidRPr="00457F9E">
              <w:rPr>
                <w:sz w:val="16"/>
                <w:szCs w:val="16"/>
              </w:rPr>
              <w:t xml:space="preserve"> indicaron que los datos sobre el rendimiento son usados para supervisar a intervalos regulares la ejecución d </w:t>
            </w:r>
            <w:proofErr w:type="spellStart"/>
            <w:r w:rsidRPr="00457F9E">
              <w:rPr>
                <w:sz w:val="16"/>
                <w:szCs w:val="16"/>
              </w:rPr>
              <w:t>elas</w:t>
            </w:r>
            <w:proofErr w:type="spellEnd"/>
            <w:r w:rsidRPr="00457F9E">
              <w:rPr>
                <w:sz w:val="16"/>
                <w:szCs w:val="16"/>
              </w:rPr>
              <w:t xml:space="preserve"> actividades de los programas</w:t>
            </w:r>
          </w:p>
          <w:p w:rsidR="00221F0B" w:rsidRPr="00457F9E" w:rsidRDefault="000B7DB0" w:rsidP="000B7DB0">
            <w:pPr>
              <w:ind w:left="125" w:hanging="125"/>
              <w:rPr>
                <w:sz w:val="16"/>
                <w:szCs w:val="16"/>
              </w:rPr>
            </w:pPr>
            <w:r w:rsidRPr="00457F9E">
              <w:rPr>
                <w:sz w:val="16"/>
                <w:szCs w:val="16"/>
              </w:rPr>
              <w:t>-  85%</w:t>
            </w:r>
            <w:r w:rsidR="00457F9E" w:rsidRPr="00457F9E">
              <w:rPr>
                <w:sz w:val="16"/>
                <w:szCs w:val="16"/>
              </w:rPr>
              <w:t xml:space="preserve"> (27% completamente de acuerdo; 58% de acuerdo) de los encuestados</w:t>
            </w:r>
            <w:r w:rsidRPr="00457F9E">
              <w:rPr>
                <w:sz w:val="16"/>
                <w:szCs w:val="16"/>
              </w:rPr>
              <w:t xml:space="preserve"> </w:t>
            </w:r>
            <w:r w:rsidR="00A51E37" w:rsidRPr="00457F9E">
              <w:rPr>
                <w:rStyle w:val="FootnoteReference"/>
                <w:sz w:val="16"/>
                <w:szCs w:val="16"/>
              </w:rPr>
              <w:footnoteReference w:id="128"/>
            </w:r>
            <w:r w:rsidR="00457F9E" w:rsidRPr="00457F9E">
              <w:rPr>
                <w:sz w:val="16"/>
                <w:szCs w:val="16"/>
              </w:rPr>
              <w:t xml:space="preserve"> indicaron que los datos sobre el rendimiento son usados en la toma de decisiones. (Los datos proceden del Informe de validación del PPR de 2014/15.)</w:t>
            </w:r>
          </w:p>
        </w:tc>
        <w:tc>
          <w:tcPr>
            <w:tcW w:w="694" w:type="pct"/>
            <w:tcBorders>
              <w:bottom w:val="single" w:sz="4" w:space="0" w:color="auto"/>
              <w:right w:val="single" w:sz="4" w:space="0" w:color="auto"/>
            </w:tcBorders>
            <w:tcMar>
              <w:top w:w="110" w:type="dxa"/>
              <w:left w:w="108" w:type="dxa"/>
              <w:bottom w:w="0" w:type="dxa"/>
              <w:right w:w="108" w:type="dxa"/>
            </w:tcMar>
          </w:tcPr>
          <w:p w:rsidR="00221F0B" w:rsidRPr="00492A99" w:rsidRDefault="00221F0B" w:rsidP="00DC1333">
            <w:pPr>
              <w:keepNext/>
              <w:keepLines/>
              <w:jc w:val="center"/>
              <w:rPr>
                <w:bCs/>
                <w:color w:val="404040" w:themeColor="text1" w:themeTint="BF"/>
                <w:sz w:val="16"/>
                <w:szCs w:val="16"/>
              </w:rPr>
            </w:pPr>
          </w:p>
        </w:tc>
      </w:tr>
      <w:tr w:rsidR="00221F0B" w:rsidRPr="00F03E99" w:rsidTr="00DC1333">
        <w:tc>
          <w:tcPr>
            <w:tcW w:w="5000" w:type="pct"/>
            <w:gridSpan w:val="5"/>
            <w:tcBorders>
              <w:top w:val="single" w:sz="4" w:space="0" w:color="auto"/>
              <w:left w:val="single" w:sz="4" w:space="0" w:color="auto"/>
              <w:bottom w:val="single" w:sz="4" w:space="0" w:color="auto"/>
              <w:right w:val="single" w:sz="4" w:space="0" w:color="auto"/>
            </w:tcBorders>
            <w:shd w:val="clear" w:color="auto" w:fill="C6D9F1" w:themeFill="text2" w:themeFillTint="33"/>
          </w:tcPr>
          <w:p w:rsidR="00221F0B" w:rsidRPr="00492A99" w:rsidRDefault="00221F0B" w:rsidP="00DC1333">
            <w:pPr>
              <w:spacing w:before="120" w:after="120"/>
              <w:ind w:left="2019" w:hanging="2019"/>
              <w:rPr>
                <w:b/>
                <w:bCs/>
                <w:sz w:val="16"/>
                <w:szCs w:val="16"/>
              </w:rPr>
            </w:pPr>
            <w:r w:rsidRPr="00492A99">
              <w:rPr>
                <w:b/>
                <w:bCs/>
                <w:sz w:val="16"/>
                <w:szCs w:val="16"/>
              </w:rPr>
              <w:t>Resultado previsto:</w:t>
            </w:r>
            <w:r w:rsidRPr="00492A99">
              <w:rPr>
                <w:b/>
                <w:bCs/>
                <w:sz w:val="16"/>
                <w:szCs w:val="16"/>
              </w:rPr>
              <w:tab/>
            </w:r>
            <w:r w:rsidRPr="00492A99">
              <w:rPr>
                <w:bCs/>
                <w:sz w:val="16"/>
                <w:szCs w:val="16"/>
              </w:rPr>
              <w:t>IX.3 Entorno de trabajo propicio basado en un marco regulador eficaz y medios adecuados para atender los temas de interés del personal</w:t>
            </w:r>
          </w:p>
        </w:tc>
      </w:tr>
      <w:tr w:rsidR="00221F0B" w:rsidRPr="00492A99" w:rsidTr="00DC1333">
        <w:tc>
          <w:tcPr>
            <w:tcW w:w="1091" w:type="pct"/>
            <w:tcBorders>
              <w:top w:val="single" w:sz="4" w:space="0" w:color="auto"/>
              <w:left w:val="single" w:sz="4" w:space="0" w:color="auto"/>
            </w:tcBorders>
          </w:tcPr>
          <w:p w:rsidR="00221F0B" w:rsidRPr="00492A99" w:rsidRDefault="00221F0B" w:rsidP="00DC1333">
            <w:pPr>
              <w:keepNext/>
              <w:rPr>
                <w:b/>
                <w:bCs/>
                <w:sz w:val="16"/>
                <w:szCs w:val="16"/>
              </w:rPr>
            </w:pPr>
            <w:r w:rsidRPr="00492A99">
              <w:rPr>
                <w:b/>
                <w:bCs/>
                <w:sz w:val="16"/>
                <w:szCs w:val="16"/>
              </w:rPr>
              <w:t>Indicadores de rendimiento</w:t>
            </w:r>
          </w:p>
        </w:tc>
        <w:tc>
          <w:tcPr>
            <w:tcW w:w="952" w:type="pct"/>
            <w:tcBorders>
              <w:top w:val="single" w:sz="4" w:space="0" w:color="auto"/>
            </w:tcBorders>
            <w:hideMark/>
          </w:tcPr>
          <w:p w:rsidR="00221F0B" w:rsidRPr="00492A99" w:rsidRDefault="00221F0B" w:rsidP="00DC1333">
            <w:pPr>
              <w:keepNext/>
              <w:rPr>
                <w:b/>
                <w:bCs/>
                <w:sz w:val="16"/>
                <w:szCs w:val="16"/>
              </w:rPr>
            </w:pPr>
            <w:r w:rsidRPr="00492A99">
              <w:rPr>
                <w:b/>
                <w:bCs/>
                <w:sz w:val="16"/>
                <w:szCs w:val="16"/>
              </w:rPr>
              <w:t>Referencia</w:t>
            </w:r>
          </w:p>
        </w:tc>
        <w:tc>
          <w:tcPr>
            <w:tcW w:w="787" w:type="pct"/>
            <w:tcBorders>
              <w:top w:val="single" w:sz="4" w:space="0" w:color="auto"/>
            </w:tcBorders>
            <w:tcMar>
              <w:top w:w="110" w:type="dxa"/>
              <w:left w:w="108" w:type="dxa"/>
              <w:bottom w:w="0" w:type="dxa"/>
              <w:right w:w="108" w:type="dxa"/>
            </w:tcMar>
            <w:hideMark/>
          </w:tcPr>
          <w:p w:rsidR="00221F0B" w:rsidRPr="00492A99" w:rsidRDefault="00221F0B" w:rsidP="00DC1333">
            <w:pPr>
              <w:keepNext/>
              <w:autoSpaceDE w:val="0"/>
              <w:autoSpaceDN w:val="0"/>
              <w:adjustRightInd w:val="0"/>
              <w:rPr>
                <w:b/>
                <w:bCs/>
                <w:sz w:val="16"/>
                <w:szCs w:val="16"/>
              </w:rPr>
            </w:pPr>
            <w:r w:rsidRPr="00492A99">
              <w:rPr>
                <w:b/>
                <w:bCs/>
                <w:sz w:val="16"/>
                <w:szCs w:val="16"/>
              </w:rPr>
              <w:t>Objetivos</w:t>
            </w:r>
          </w:p>
        </w:tc>
        <w:tc>
          <w:tcPr>
            <w:tcW w:w="1476" w:type="pct"/>
            <w:tcBorders>
              <w:top w:val="single" w:sz="4" w:space="0" w:color="auto"/>
            </w:tcBorders>
            <w:shd w:val="clear" w:color="auto" w:fill="FFFFFF"/>
            <w:tcMar>
              <w:top w:w="110" w:type="dxa"/>
              <w:left w:w="108" w:type="dxa"/>
              <w:bottom w:w="0" w:type="dxa"/>
              <w:right w:w="108" w:type="dxa"/>
            </w:tcMar>
            <w:hideMark/>
          </w:tcPr>
          <w:p w:rsidR="00221F0B" w:rsidRPr="00492A99" w:rsidRDefault="00221F0B" w:rsidP="00DC1333">
            <w:pPr>
              <w:keepNext/>
              <w:rPr>
                <w:b/>
                <w:bCs/>
                <w:sz w:val="16"/>
                <w:szCs w:val="16"/>
              </w:rPr>
            </w:pPr>
            <w:r w:rsidRPr="00492A99">
              <w:rPr>
                <w:b/>
                <w:bCs/>
                <w:sz w:val="16"/>
                <w:szCs w:val="16"/>
              </w:rPr>
              <w:t>Datos sobre el rendimiento</w:t>
            </w:r>
          </w:p>
        </w:tc>
        <w:tc>
          <w:tcPr>
            <w:tcW w:w="694" w:type="pct"/>
            <w:tcBorders>
              <w:top w:val="single" w:sz="4" w:space="0" w:color="auto"/>
              <w:right w:val="single" w:sz="4" w:space="0" w:color="auto"/>
            </w:tcBorders>
            <w:tcMar>
              <w:top w:w="110" w:type="dxa"/>
              <w:left w:w="108" w:type="dxa"/>
              <w:bottom w:w="0" w:type="dxa"/>
              <w:right w:w="108" w:type="dxa"/>
            </w:tcMar>
            <w:hideMark/>
          </w:tcPr>
          <w:p w:rsidR="00221F0B" w:rsidRPr="00492A99" w:rsidRDefault="00221F0B" w:rsidP="00DC1333">
            <w:pPr>
              <w:keepNext/>
              <w:keepLines/>
              <w:jc w:val="center"/>
              <w:rPr>
                <w:b/>
                <w:bCs/>
                <w:sz w:val="16"/>
                <w:szCs w:val="16"/>
              </w:rPr>
            </w:pPr>
            <w:r w:rsidRPr="00492A99">
              <w:rPr>
                <w:b/>
                <w:bCs/>
                <w:sz w:val="16"/>
                <w:szCs w:val="16"/>
              </w:rPr>
              <w:t>Clave de colores</w:t>
            </w:r>
          </w:p>
        </w:tc>
      </w:tr>
      <w:tr w:rsidR="00221F0B" w:rsidRPr="00492A99" w:rsidTr="00DC1333">
        <w:tc>
          <w:tcPr>
            <w:tcW w:w="1091" w:type="pct"/>
            <w:tcBorders>
              <w:left w:val="single" w:sz="4" w:space="0" w:color="auto"/>
            </w:tcBorders>
          </w:tcPr>
          <w:p w:rsidR="00221F0B" w:rsidRPr="00492A99" w:rsidRDefault="00221F0B" w:rsidP="00DC1333">
            <w:pPr>
              <w:rPr>
                <w:sz w:val="16"/>
                <w:szCs w:val="16"/>
                <w:lang w:bidi="th-TH"/>
              </w:rPr>
            </w:pPr>
            <w:r w:rsidRPr="00492A99">
              <w:rPr>
                <w:sz w:val="16"/>
                <w:szCs w:val="16"/>
                <w:lang w:bidi="th-TH"/>
              </w:rPr>
              <w:t>El Reglamento Financiero y la Reglamentación Financiera y las órdenes de servicio pertinentes están actualizados</w:t>
            </w:r>
          </w:p>
        </w:tc>
        <w:tc>
          <w:tcPr>
            <w:tcW w:w="952" w:type="pct"/>
          </w:tcPr>
          <w:p w:rsidR="00221F0B" w:rsidRPr="00492A99" w:rsidRDefault="00221F0B" w:rsidP="00DC1333">
            <w:pPr>
              <w:rPr>
                <w:sz w:val="16"/>
                <w:szCs w:val="16"/>
                <w:lang w:bidi="th-TH"/>
              </w:rPr>
            </w:pPr>
            <w:r w:rsidRPr="00492A99">
              <w:rPr>
                <w:i/>
                <w:color w:val="002060"/>
                <w:sz w:val="16"/>
                <w:szCs w:val="16"/>
              </w:rPr>
              <w:t>Referencia actualizada a fines de 2013</w:t>
            </w:r>
            <w:proofErr w:type="gramStart"/>
            <w:r w:rsidRPr="00492A99">
              <w:rPr>
                <w:i/>
                <w:color w:val="002060"/>
                <w:sz w:val="16"/>
                <w:szCs w:val="16"/>
              </w:rPr>
              <w:t xml:space="preserve">: </w:t>
            </w:r>
            <w:r w:rsidRPr="00492A99">
              <w:rPr>
                <w:sz w:val="16"/>
                <w:szCs w:val="16"/>
                <w:lang w:bidi="th-TH"/>
              </w:rPr>
              <w:t xml:space="preserve"> órdenes</w:t>
            </w:r>
            <w:proofErr w:type="gramEnd"/>
            <w:r w:rsidRPr="00492A99">
              <w:rPr>
                <w:sz w:val="16"/>
                <w:szCs w:val="16"/>
                <w:lang w:bidi="th-TH"/>
              </w:rPr>
              <w:t xml:space="preserve"> de servicio publicadas en 2012 y 2013. Reglamento Financiero y Reglamentación Financiera modificados en 2012 y 2013 según lo estimado necesario</w:t>
            </w:r>
          </w:p>
          <w:p w:rsidR="00221F0B" w:rsidRPr="00492A99" w:rsidRDefault="00221F0B" w:rsidP="00DC1333">
            <w:pPr>
              <w:rPr>
                <w:sz w:val="16"/>
                <w:szCs w:val="16"/>
                <w:lang w:bidi="th-TH"/>
              </w:rPr>
            </w:pPr>
          </w:p>
          <w:p w:rsidR="00221F0B" w:rsidRPr="00492A99" w:rsidRDefault="00221F0B" w:rsidP="00DC1333">
            <w:pPr>
              <w:rPr>
                <w:sz w:val="16"/>
                <w:szCs w:val="16"/>
                <w:lang w:bidi="th-TH"/>
              </w:rPr>
            </w:pPr>
            <w:r w:rsidRPr="00492A99">
              <w:rPr>
                <w:i/>
                <w:sz w:val="16"/>
                <w:szCs w:val="16"/>
              </w:rPr>
              <w:t>Referencia original en el presupuesto de 2014/15</w:t>
            </w:r>
            <w:proofErr w:type="gramStart"/>
            <w:r w:rsidRPr="00492A99">
              <w:rPr>
                <w:i/>
                <w:sz w:val="16"/>
                <w:szCs w:val="16"/>
              </w:rPr>
              <w:t>:</w:t>
            </w:r>
            <w:r w:rsidRPr="00492A99">
              <w:rPr>
                <w:sz w:val="16"/>
                <w:szCs w:val="16"/>
                <w:lang w:bidi="th-TH"/>
              </w:rPr>
              <w:t xml:space="preserve">  órdenes</w:t>
            </w:r>
            <w:proofErr w:type="gramEnd"/>
            <w:r w:rsidRPr="00492A99">
              <w:rPr>
                <w:sz w:val="16"/>
                <w:szCs w:val="16"/>
                <w:lang w:bidi="th-TH"/>
              </w:rPr>
              <w:t xml:space="preserve"> de servicio publicadas en 2012 y 2013. Reglamento Financiero y Reglamentación Financiera modificados en 2012 según lo estimado necesario</w:t>
            </w:r>
          </w:p>
        </w:tc>
        <w:tc>
          <w:tcPr>
            <w:tcW w:w="787" w:type="pct"/>
            <w:tcMar>
              <w:top w:w="110" w:type="dxa"/>
              <w:left w:w="108" w:type="dxa"/>
              <w:bottom w:w="0" w:type="dxa"/>
              <w:right w:w="108" w:type="dxa"/>
            </w:tcMar>
          </w:tcPr>
          <w:p w:rsidR="00221F0B" w:rsidRPr="00492A99" w:rsidRDefault="00221F0B" w:rsidP="00DC1333">
            <w:pPr>
              <w:autoSpaceDE w:val="0"/>
              <w:autoSpaceDN w:val="0"/>
              <w:adjustRightInd w:val="0"/>
              <w:rPr>
                <w:sz w:val="16"/>
                <w:szCs w:val="16"/>
              </w:rPr>
            </w:pPr>
            <w:r w:rsidRPr="00492A99">
              <w:rPr>
                <w:sz w:val="16"/>
                <w:szCs w:val="16"/>
              </w:rPr>
              <w:t>Examen y revisión del marco regulador cuando se considere apropiado</w:t>
            </w:r>
          </w:p>
        </w:tc>
        <w:tc>
          <w:tcPr>
            <w:tcW w:w="1476" w:type="pct"/>
            <w:shd w:val="clear" w:color="auto" w:fill="FFFFFF"/>
            <w:tcMar>
              <w:top w:w="110" w:type="dxa"/>
              <w:left w:w="108" w:type="dxa"/>
              <w:bottom w:w="0" w:type="dxa"/>
              <w:right w:w="108" w:type="dxa"/>
            </w:tcMar>
          </w:tcPr>
          <w:p w:rsidR="00221F0B" w:rsidRPr="00526311" w:rsidRDefault="00221F0B" w:rsidP="00EB45DE">
            <w:pPr>
              <w:pStyle w:val="ListParagraph"/>
              <w:numPr>
                <w:ilvl w:val="0"/>
                <w:numId w:val="106"/>
              </w:numPr>
              <w:spacing w:after="200" w:line="276" w:lineRule="auto"/>
              <w:ind w:left="241" w:hanging="241"/>
              <w:contextualSpacing/>
              <w:rPr>
                <w:rFonts w:cs="Arial"/>
                <w:sz w:val="16"/>
                <w:szCs w:val="16"/>
                <w:lang w:val="es-ES"/>
              </w:rPr>
            </w:pPr>
            <w:r w:rsidRPr="00526311">
              <w:rPr>
                <w:rFonts w:cs="Arial"/>
                <w:sz w:val="16"/>
                <w:szCs w:val="16"/>
                <w:lang w:val="es-ES"/>
              </w:rPr>
              <w:t>Revisión o publicación de órdenes de servicio en materia de:</w:t>
            </w:r>
          </w:p>
          <w:p w:rsidR="00221F0B" w:rsidRPr="00526311" w:rsidRDefault="00221F0B" w:rsidP="00EB45DE">
            <w:pPr>
              <w:pStyle w:val="ListParagraph"/>
              <w:numPr>
                <w:ilvl w:val="1"/>
                <w:numId w:val="106"/>
              </w:numPr>
              <w:spacing w:after="200"/>
              <w:ind w:left="667" w:hanging="334"/>
              <w:contextualSpacing/>
              <w:rPr>
                <w:rFonts w:cs="Arial"/>
                <w:sz w:val="16"/>
                <w:szCs w:val="16"/>
                <w:lang w:val="es-ES"/>
              </w:rPr>
            </w:pPr>
            <w:r w:rsidRPr="00526311">
              <w:rPr>
                <w:rFonts w:cs="Arial"/>
                <w:sz w:val="16"/>
                <w:szCs w:val="16"/>
                <w:lang w:val="es-ES"/>
              </w:rPr>
              <w:t>Principios generales y reglas básicas en materia de adquisiciones</w:t>
            </w:r>
          </w:p>
          <w:p w:rsidR="00221F0B" w:rsidRPr="00526311" w:rsidRDefault="00221F0B" w:rsidP="00EB45DE">
            <w:pPr>
              <w:pStyle w:val="ListParagraph"/>
              <w:numPr>
                <w:ilvl w:val="1"/>
                <w:numId w:val="106"/>
              </w:numPr>
              <w:spacing w:after="200"/>
              <w:ind w:left="667" w:hanging="334"/>
              <w:contextualSpacing/>
              <w:rPr>
                <w:rFonts w:cs="Arial"/>
                <w:sz w:val="16"/>
                <w:szCs w:val="16"/>
                <w:lang w:val="es-ES"/>
              </w:rPr>
            </w:pPr>
            <w:r w:rsidRPr="00526311">
              <w:rPr>
                <w:rFonts w:cs="Arial"/>
                <w:sz w:val="16"/>
                <w:szCs w:val="16"/>
                <w:lang w:val="es-ES"/>
              </w:rPr>
              <w:t xml:space="preserve">Anticipos de sueldo </w:t>
            </w:r>
          </w:p>
          <w:p w:rsidR="00221F0B" w:rsidRPr="00526311" w:rsidRDefault="00221F0B" w:rsidP="00EB45DE">
            <w:pPr>
              <w:pStyle w:val="ListParagraph"/>
              <w:numPr>
                <w:ilvl w:val="1"/>
                <w:numId w:val="106"/>
              </w:numPr>
              <w:spacing w:after="200"/>
              <w:ind w:left="667" w:hanging="334"/>
              <w:contextualSpacing/>
              <w:rPr>
                <w:rFonts w:cs="Arial"/>
                <w:sz w:val="16"/>
                <w:szCs w:val="16"/>
                <w:lang w:val="es-ES"/>
              </w:rPr>
            </w:pPr>
            <w:r w:rsidRPr="00526311">
              <w:rPr>
                <w:rFonts w:cs="Arial"/>
                <w:color w:val="000000"/>
                <w:sz w:val="16"/>
                <w:szCs w:val="16"/>
                <w:lang w:val="es-ES"/>
              </w:rPr>
              <w:t xml:space="preserve">Política </w:t>
            </w:r>
            <w:r w:rsidRPr="00526311">
              <w:rPr>
                <w:rFonts w:cs="Arial"/>
                <w:sz w:val="16"/>
                <w:szCs w:val="16"/>
                <w:lang w:val="es-ES"/>
              </w:rPr>
              <w:t>sobre</w:t>
            </w:r>
            <w:r w:rsidRPr="00526311">
              <w:rPr>
                <w:rFonts w:cs="Arial"/>
                <w:color w:val="000000"/>
                <w:sz w:val="16"/>
                <w:szCs w:val="16"/>
                <w:lang w:val="es-ES"/>
              </w:rPr>
              <w:t xml:space="preserve"> el uso de dispositivos de telecomunicación </w:t>
            </w:r>
            <w:r>
              <w:rPr>
                <w:rFonts w:cs="Arial"/>
                <w:color w:val="000000"/>
                <w:sz w:val="16"/>
                <w:szCs w:val="16"/>
                <w:lang w:val="es-ES"/>
              </w:rPr>
              <w:t>móviles</w:t>
            </w:r>
          </w:p>
          <w:p w:rsidR="00221F0B" w:rsidRPr="00526311" w:rsidRDefault="00221F0B" w:rsidP="00EB45DE">
            <w:pPr>
              <w:pStyle w:val="ListParagraph"/>
              <w:numPr>
                <w:ilvl w:val="1"/>
                <w:numId w:val="106"/>
              </w:numPr>
              <w:spacing w:after="200"/>
              <w:ind w:left="667" w:hanging="334"/>
              <w:contextualSpacing/>
              <w:rPr>
                <w:rFonts w:cs="Arial"/>
                <w:sz w:val="16"/>
                <w:szCs w:val="16"/>
                <w:lang w:val="es-ES"/>
              </w:rPr>
            </w:pPr>
            <w:r w:rsidRPr="00526311">
              <w:rPr>
                <w:rFonts w:cs="Arial"/>
                <w:sz w:val="16"/>
                <w:szCs w:val="16"/>
                <w:lang w:val="es-ES"/>
              </w:rPr>
              <w:t xml:space="preserve">Creación del Grupo de Gestión de Riesgos </w:t>
            </w:r>
          </w:p>
          <w:p w:rsidR="00221F0B" w:rsidRPr="00526311" w:rsidRDefault="00221F0B" w:rsidP="00EB45DE">
            <w:pPr>
              <w:pStyle w:val="ListParagraph"/>
              <w:numPr>
                <w:ilvl w:val="1"/>
                <w:numId w:val="106"/>
              </w:numPr>
              <w:spacing w:after="200"/>
              <w:ind w:left="667" w:hanging="334"/>
              <w:contextualSpacing/>
              <w:rPr>
                <w:rFonts w:cs="Arial"/>
                <w:sz w:val="16"/>
                <w:szCs w:val="16"/>
                <w:lang w:val="es-ES"/>
              </w:rPr>
            </w:pPr>
            <w:r w:rsidRPr="00526311">
              <w:rPr>
                <w:rFonts w:cs="Arial"/>
                <w:sz w:val="16"/>
                <w:szCs w:val="16"/>
                <w:lang w:val="es-ES"/>
              </w:rPr>
              <w:t xml:space="preserve">Vacaciones en el país de origen </w:t>
            </w:r>
          </w:p>
          <w:p w:rsidR="00221F0B" w:rsidRPr="00526311" w:rsidRDefault="00221F0B" w:rsidP="00EB45DE">
            <w:pPr>
              <w:pStyle w:val="ListParagraph"/>
              <w:numPr>
                <w:ilvl w:val="1"/>
                <w:numId w:val="106"/>
              </w:numPr>
              <w:spacing w:after="200"/>
              <w:ind w:left="667" w:hanging="334"/>
              <w:contextualSpacing/>
              <w:rPr>
                <w:rFonts w:cs="Arial"/>
                <w:sz w:val="16"/>
                <w:szCs w:val="16"/>
                <w:lang w:val="es-ES"/>
              </w:rPr>
            </w:pPr>
            <w:r w:rsidRPr="00526311">
              <w:rPr>
                <w:rFonts w:cs="Arial"/>
                <w:sz w:val="16"/>
                <w:szCs w:val="16"/>
                <w:lang w:val="es-ES"/>
              </w:rPr>
              <w:t xml:space="preserve">Política de gestión de riesgos de la OMPI </w:t>
            </w:r>
          </w:p>
          <w:p w:rsidR="00221F0B" w:rsidRPr="00526311" w:rsidRDefault="00221F0B" w:rsidP="00EB45DE">
            <w:pPr>
              <w:pStyle w:val="ListParagraph"/>
              <w:numPr>
                <w:ilvl w:val="1"/>
                <w:numId w:val="106"/>
              </w:numPr>
              <w:spacing w:after="200"/>
              <w:ind w:left="667" w:hanging="334"/>
              <w:contextualSpacing/>
              <w:rPr>
                <w:rFonts w:cs="Arial"/>
                <w:sz w:val="16"/>
                <w:szCs w:val="16"/>
                <w:lang w:val="es-ES"/>
              </w:rPr>
            </w:pPr>
            <w:r w:rsidRPr="00526311">
              <w:rPr>
                <w:rFonts w:cs="Arial"/>
                <w:sz w:val="16"/>
                <w:szCs w:val="16"/>
                <w:lang w:val="es-ES"/>
              </w:rPr>
              <w:t xml:space="preserve">Directrices financieras y de gestión del efectivo para </w:t>
            </w:r>
            <w:r>
              <w:rPr>
                <w:rFonts w:cs="Arial"/>
                <w:sz w:val="16"/>
                <w:szCs w:val="16"/>
                <w:lang w:val="es-ES"/>
              </w:rPr>
              <w:t>las O</w:t>
            </w:r>
            <w:r w:rsidRPr="00526311">
              <w:rPr>
                <w:rFonts w:cs="Arial"/>
                <w:sz w:val="16"/>
                <w:szCs w:val="16"/>
                <w:lang w:val="es-ES"/>
              </w:rPr>
              <w:t>ficinas de la OMPI en el exterior – Alcance y propósito</w:t>
            </w:r>
          </w:p>
          <w:p w:rsidR="00221F0B" w:rsidRPr="00526311" w:rsidRDefault="00221F0B" w:rsidP="00EB45DE">
            <w:pPr>
              <w:pStyle w:val="ListParagraph"/>
              <w:numPr>
                <w:ilvl w:val="1"/>
                <w:numId w:val="106"/>
              </w:numPr>
              <w:spacing w:after="200"/>
              <w:ind w:left="667" w:hanging="334"/>
              <w:contextualSpacing/>
              <w:rPr>
                <w:rFonts w:cs="Arial"/>
                <w:sz w:val="16"/>
                <w:szCs w:val="16"/>
                <w:lang w:val="es-ES"/>
              </w:rPr>
            </w:pPr>
            <w:r w:rsidRPr="00526311">
              <w:rPr>
                <w:rFonts w:cs="Arial"/>
                <w:sz w:val="16"/>
                <w:szCs w:val="16"/>
                <w:lang w:val="es-ES"/>
              </w:rPr>
              <w:t xml:space="preserve">Atenciones sociales oficiales  </w:t>
            </w:r>
          </w:p>
          <w:p w:rsidR="00221F0B" w:rsidRDefault="00221F0B" w:rsidP="00221F0B">
            <w:pPr>
              <w:pStyle w:val="ListParagraph"/>
              <w:numPr>
                <w:ilvl w:val="0"/>
                <w:numId w:val="104"/>
              </w:numPr>
              <w:spacing w:after="200"/>
              <w:ind w:left="598" w:hanging="284"/>
              <w:contextualSpacing/>
              <w:rPr>
                <w:rFonts w:cs="Arial"/>
                <w:sz w:val="16"/>
                <w:szCs w:val="16"/>
                <w:lang w:val="es-ES"/>
              </w:rPr>
            </w:pPr>
            <w:r w:rsidRPr="00F1644A">
              <w:rPr>
                <w:rFonts w:cs="Arial"/>
                <w:sz w:val="16"/>
                <w:szCs w:val="16"/>
                <w:lang w:val="es-ES"/>
              </w:rPr>
              <w:t xml:space="preserve">Viajes oficiales y gastos conexos </w:t>
            </w:r>
          </w:p>
          <w:p w:rsidR="00221F0B" w:rsidRPr="00F1644A" w:rsidRDefault="00221F0B" w:rsidP="00221F0B">
            <w:pPr>
              <w:pStyle w:val="ListParagraph"/>
              <w:numPr>
                <w:ilvl w:val="0"/>
                <w:numId w:val="104"/>
              </w:numPr>
              <w:spacing w:after="200"/>
              <w:ind w:left="598" w:hanging="284"/>
              <w:contextualSpacing/>
              <w:rPr>
                <w:rFonts w:cs="Arial"/>
                <w:sz w:val="16"/>
                <w:szCs w:val="16"/>
                <w:lang w:val="es-ES"/>
              </w:rPr>
            </w:pPr>
            <w:r w:rsidRPr="00F1644A">
              <w:rPr>
                <w:rFonts w:cs="Arial"/>
                <w:sz w:val="16"/>
                <w:szCs w:val="16"/>
                <w:lang w:val="es-ES"/>
              </w:rPr>
              <w:t xml:space="preserve">Política sobre las reservas </w:t>
            </w:r>
          </w:p>
          <w:p w:rsidR="00221F0B" w:rsidRPr="00492A99" w:rsidRDefault="00221F0B" w:rsidP="00221F0B">
            <w:pPr>
              <w:pStyle w:val="ListParagraph"/>
              <w:numPr>
                <w:ilvl w:val="0"/>
                <w:numId w:val="104"/>
              </w:numPr>
              <w:spacing w:after="200"/>
              <w:ind w:left="598" w:hanging="284"/>
              <w:contextualSpacing/>
              <w:rPr>
                <w:rFonts w:cs="Arial"/>
                <w:sz w:val="16"/>
                <w:szCs w:val="16"/>
                <w:lang w:val="es-ES"/>
              </w:rPr>
            </w:pPr>
            <w:r>
              <w:rPr>
                <w:rFonts w:cs="Arial"/>
                <w:sz w:val="16"/>
                <w:szCs w:val="16"/>
                <w:lang w:val="es-ES"/>
              </w:rPr>
              <w:t>Política de la OMPI de gestión de la propiedad</w:t>
            </w:r>
          </w:p>
          <w:p w:rsidR="00221F0B" w:rsidRPr="00492A99" w:rsidRDefault="00221F0B" w:rsidP="00221F0B">
            <w:pPr>
              <w:pStyle w:val="ListParagraph"/>
              <w:numPr>
                <w:ilvl w:val="0"/>
                <w:numId w:val="104"/>
              </w:numPr>
              <w:spacing w:after="120"/>
              <w:ind w:left="596" w:hanging="284"/>
              <w:rPr>
                <w:rFonts w:cs="Arial"/>
                <w:sz w:val="16"/>
                <w:szCs w:val="16"/>
                <w:lang w:val="es-ES"/>
              </w:rPr>
            </w:pPr>
            <w:r>
              <w:rPr>
                <w:rFonts w:cs="Arial"/>
                <w:sz w:val="16"/>
                <w:szCs w:val="16"/>
                <w:lang w:val="es-ES"/>
              </w:rPr>
              <w:t xml:space="preserve">Política de la OMPI sobre la gestión de las contribuciones voluntarias </w:t>
            </w:r>
          </w:p>
          <w:p w:rsidR="00221F0B" w:rsidRPr="00492A99" w:rsidRDefault="00221F0B" w:rsidP="00DC1333">
            <w:pPr>
              <w:spacing w:after="120"/>
              <w:rPr>
                <w:sz w:val="16"/>
                <w:szCs w:val="16"/>
              </w:rPr>
            </w:pPr>
            <w:r w:rsidRPr="0030469B">
              <w:rPr>
                <w:sz w:val="16"/>
                <w:szCs w:val="16"/>
              </w:rPr>
              <w:t>Revisión y modificación del Reglamento Financiero y Reglamentación Financiera en octubre de 2014</w:t>
            </w:r>
            <w:r>
              <w:rPr>
                <w:sz w:val="16"/>
                <w:szCs w:val="16"/>
              </w:rPr>
              <w:t xml:space="preserve"> y octubre de 2015</w:t>
            </w:r>
          </w:p>
          <w:p w:rsidR="00221F0B" w:rsidRPr="00492A99" w:rsidRDefault="00221F0B" w:rsidP="00DC1333">
            <w:pPr>
              <w:spacing w:after="200"/>
              <w:contextualSpacing/>
              <w:rPr>
                <w:sz w:val="16"/>
                <w:szCs w:val="16"/>
              </w:rPr>
            </w:pPr>
            <w:r w:rsidRPr="0030469B">
              <w:rPr>
                <w:sz w:val="16"/>
                <w:szCs w:val="16"/>
              </w:rPr>
              <w:t>Revisión de la delegación de autoridad programática y administrativa,  y de las autorizaciones del PNUD para firmar, e introducción de una aplicación electrónica de gestión de la delegación de autoridad programática</w:t>
            </w:r>
          </w:p>
        </w:tc>
        <w:tc>
          <w:tcPr>
            <w:tcW w:w="694" w:type="pct"/>
            <w:tcBorders>
              <w:right w:val="single" w:sz="4" w:space="0" w:color="auto"/>
            </w:tcBorders>
            <w:tcMar>
              <w:top w:w="110" w:type="dxa"/>
              <w:left w:w="108" w:type="dxa"/>
              <w:bottom w:w="0" w:type="dxa"/>
              <w:right w:w="108" w:type="dxa"/>
            </w:tcMar>
          </w:tcPr>
          <w:p w:rsidR="00221F0B" w:rsidRPr="00492A99" w:rsidRDefault="00221F0B" w:rsidP="00DC1333">
            <w:pPr>
              <w:jc w:val="center"/>
              <w:rPr>
                <w:bCs/>
                <w:color w:val="404040" w:themeColor="text1" w:themeTint="BF"/>
                <w:sz w:val="16"/>
                <w:szCs w:val="16"/>
              </w:rPr>
            </w:pPr>
            <w:r w:rsidRPr="00492A99">
              <w:rPr>
                <w:b/>
                <w:bCs/>
                <w:color w:val="008000"/>
                <w:sz w:val="16"/>
                <w:szCs w:val="16"/>
              </w:rPr>
              <w:t>Plenamente logrado</w:t>
            </w:r>
          </w:p>
        </w:tc>
      </w:tr>
    </w:tbl>
    <w:p w:rsidR="00221F0B" w:rsidRPr="00492A99" w:rsidRDefault="00221F0B" w:rsidP="00DC1333">
      <w:pPr>
        <w:rPr>
          <w:color w:val="000000"/>
          <w:szCs w:val="22"/>
        </w:rPr>
      </w:pPr>
    </w:p>
    <w:p w:rsidR="00221F0B" w:rsidRPr="00492A99" w:rsidRDefault="00221F0B" w:rsidP="00DC1333">
      <w:pPr>
        <w:rPr>
          <w:color w:val="000000"/>
          <w:szCs w:val="22"/>
        </w:rPr>
      </w:pPr>
    </w:p>
    <w:p w:rsidR="00221F0B" w:rsidRPr="009D5AB0" w:rsidRDefault="008F7CBE" w:rsidP="00DC1333">
      <w:pPr>
        <w:keepNext/>
        <w:keepLines/>
        <w:rPr>
          <w:color w:val="000000"/>
          <w:szCs w:val="22"/>
        </w:rPr>
      </w:pPr>
      <w:r w:rsidRPr="008F7CBE">
        <w:rPr>
          <w:color w:val="000000"/>
          <w:sz w:val="20"/>
          <w:szCs w:val="22"/>
        </w:rPr>
        <w:lastRenderedPageBreak/>
        <w:t>INFORMACIÓN SOBRE LOS RIESGOS PLANTEADOS EN EL BIENIO</w:t>
      </w:r>
    </w:p>
    <w:p w:rsidR="00221F0B" w:rsidRPr="009D5AB0" w:rsidRDefault="00221F0B" w:rsidP="00DC1333">
      <w:pPr>
        <w:keepNext/>
        <w:keepLines/>
      </w:pPr>
    </w:p>
    <w:tbl>
      <w:tblPr>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376"/>
        <w:gridCol w:w="2162"/>
        <w:gridCol w:w="2272"/>
        <w:gridCol w:w="2653"/>
      </w:tblGrid>
      <w:tr w:rsidR="00221F0B" w:rsidRPr="00F03E99" w:rsidTr="00DC1333">
        <w:trPr>
          <w:trHeight w:val="879"/>
        </w:trPr>
        <w:tc>
          <w:tcPr>
            <w:tcW w:w="2420" w:type="dxa"/>
            <w:tcBorders>
              <w:top w:val="single" w:sz="4" w:space="0" w:color="auto"/>
              <w:bottom w:val="single" w:sz="4" w:space="0" w:color="auto"/>
            </w:tcBorders>
            <w:shd w:val="clear" w:color="auto" w:fill="C6D9F1" w:themeFill="text2" w:themeFillTint="33"/>
            <w:vAlign w:val="center"/>
          </w:tcPr>
          <w:p w:rsidR="00221F0B" w:rsidRPr="009D5AB0" w:rsidRDefault="00221F0B" w:rsidP="00DC1333">
            <w:pPr>
              <w:keepNext/>
              <w:keepLines/>
              <w:jc w:val="center"/>
              <w:rPr>
                <w:b/>
                <w:bCs/>
                <w:sz w:val="18"/>
                <w:szCs w:val="18"/>
              </w:rPr>
            </w:pPr>
            <w:r w:rsidRPr="009D5AB0">
              <w:rPr>
                <w:b/>
                <w:bCs/>
                <w:sz w:val="18"/>
                <w:szCs w:val="18"/>
              </w:rPr>
              <w:t>Riesgos en el logro de los resultados del programa</w:t>
            </w:r>
          </w:p>
        </w:tc>
        <w:tc>
          <w:tcPr>
            <w:tcW w:w="2200" w:type="dxa"/>
            <w:tcBorders>
              <w:top w:val="single" w:sz="4" w:space="0" w:color="auto"/>
              <w:bottom w:val="single" w:sz="4" w:space="0" w:color="auto"/>
            </w:tcBorders>
            <w:shd w:val="clear" w:color="auto" w:fill="C6D9F1" w:themeFill="text2" w:themeFillTint="33"/>
            <w:vAlign w:val="center"/>
          </w:tcPr>
          <w:p w:rsidR="00221F0B" w:rsidRPr="009D5AB0" w:rsidRDefault="00221F0B" w:rsidP="00DC1333">
            <w:pPr>
              <w:keepNext/>
              <w:keepLines/>
              <w:jc w:val="center"/>
              <w:rPr>
                <w:b/>
                <w:bCs/>
                <w:sz w:val="18"/>
                <w:szCs w:val="18"/>
              </w:rPr>
            </w:pPr>
            <w:r w:rsidRPr="009D5AB0">
              <w:rPr>
                <w:b/>
                <w:bCs/>
                <w:sz w:val="18"/>
                <w:szCs w:val="18"/>
              </w:rPr>
              <w:t>Planes de mitigación ejecutados o en ejecución</w:t>
            </w:r>
          </w:p>
        </w:tc>
        <w:tc>
          <w:tcPr>
            <w:tcW w:w="2310" w:type="dxa"/>
            <w:tcBorders>
              <w:top w:val="single" w:sz="4" w:space="0" w:color="auto"/>
              <w:bottom w:val="single" w:sz="4" w:space="0" w:color="auto"/>
            </w:tcBorders>
            <w:shd w:val="clear" w:color="auto" w:fill="C6D9F1" w:themeFill="text2" w:themeFillTint="33"/>
            <w:vAlign w:val="center"/>
          </w:tcPr>
          <w:p w:rsidR="00221F0B" w:rsidRPr="009D5AB0" w:rsidRDefault="00221F0B" w:rsidP="00DC1333">
            <w:pPr>
              <w:keepNext/>
              <w:keepLines/>
              <w:jc w:val="center"/>
              <w:rPr>
                <w:b/>
                <w:bCs/>
                <w:sz w:val="18"/>
                <w:szCs w:val="18"/>
              </w:rPr>
            </w:pPr>
            <w:r w:rsidRPr="009D5AB0">
              <w:rPr>
                <w:b/>
                <w:bCs/>
                <w:sz w:val="18"/>
                <w:szCs w:val="18"/>
              </w:rPr>
              <w:t>Evolución de los riesgos y estrategias de mitigación durante el bienio</w:t>
            </w:r>
          </w:p>
        </w:tc>
        <w:tc>
          <w:tcPr>
            <w:tcW w:w="2709" w:type="dxa"/>
            <w:tcBorders>
              <w:top w:val="single" w:sz="4" w:space="0" w:color="auto"/>
              <w:bottom w:val="single" w:sz="4" w:space="0" w:color="auto"/>
            </w:tcBorders>
            <w:shd w:val="clear" w:color="auto" w:fill="C6D9F1" w:themeFill="text2" w:themeFillTint="33"/>
            <w:vAlign w:val="center"/>
          </w:tcPr>
          <w:p w:rsidR="00221F0B" w:rsidRPr="009D5AB0" w:rsidRDefault="00221F0B" w:rsidP="00DC1333">
            <w:pPr>
              <w:keepNext/>
              <w:keepLines/>
              <w:jc w:val="center"/>
              <w:rPr>
                <w:b/>
                <w:bCs/>
                <w:sz w:val="18"/>
                <w:szCs w:val="18"/>
              </w:rPr>
            </w:pPr>
            <w:r w:rsidRPr="009D5AB0">
              <w:rPr>
                <w:b/>
                <w:bCs/>
                <w:sz w:val="18"/>
                <w:szCs w:val="18"/>
              </w:rPr>
              <w:t>Incidencia en el rendimiento del programa</w:t>
            </w:r>
          </w:p>
        </w:tc>
      </w:tr>
      <w:tr w:rsidR="00221F0B" w:rsidRPr="00F03E99" w:rsidTr="00DC1333">
        <w:trPr>
          <w:trHeight w:val="459"/>
        </w:trPr>
        <w:tc>
          <w:tcPr>
            <w:tcW w:w="2420" w:type="dxa"/>
            <w:tcBorders>
              <w:top w:val="single" w:sz="4" w:space="0" w:color="auto"/>
            </w:tcBorders>
            <w:shd w:val="clear" w:color="auto" w:fill="auto"/>
            <w:tcMar>
              <w:top w:w="113" w:type="dxa"/>
              <w:bottom w:w="85" w:type="dxa"/>
            </w:tcMar>
          </w:tcPr>
          <w:p w:rsidR="00221F0B" w:rsidRPr="009D5AB0" w:rsidRDefault="00221F0B" w:rsidP="00DC1333">
            <w:pPr>
              <w:rPr>
                <w:sz w:val="16"/>
                <w:szCs w:val="16"/>
              </w:rPr>
            </w:pPr>
            <w:r w:rsidRPr="009D5AB0">
              <w:rPr>
                <w:sz w:val="16"/>
                <w:szCs w:val="16"/>
              </w:rPr>
              <w:t>La persistencia de la crisis económica y financiera mundial podría dar lugar a que los niveles de ingresos sean bastante inferiores a los previstos.  Esta circunstancia, unida a la incapacidad para reaccionar rápidamente a fin de reducir gastos a un nivel adecuado, podría acarrear un déficit y repercutir negativamente en la ejecución del programa.</w:t>
            </w:r>
          </w:p>
        </w:tc>
        <w:tc>
          <w:tcPr>
            <w:tcW w:w="2200" w:type="dxa"/>
            <w:tcBorders>
              <w:top w:val="single" w:sz="4" w:space="0" w:color="auto"/>
            </w:tcBorders>
            <w:shd w:val="clear" w:color="auto" w:fill="auto"/>
            <w:tcMar>
              <w:top w:w="113" w:type="dxa"/>
              <w:bottom w:w="85" w:type="dxa"/>
            </w:tcMar>
          </w:tcPr>
          <w:p w:rsidR="00221F0B" w:rsidRPr="009D5AB0" w:rsidRDefault="00221F0B" w:rsidP="00DC1333">
            <w:pPr>
              <w:autoSpaceDE w:val="0"/>
              <w:autoSpaceDN w:val="0"/>
              <w:adjustRightInd w:val="0"/>
              <w:ind w:right="-59"/>
              <w:rPr>
                <w:sz w:val="16"/>
                <w:szCs w:val="16"/>
              </w:rPr>
            </w:pPr>
            <w:r w:rsidRPr="009D5AB0">
              <w:rPr>
                <w:sz w:val="16"/>
                <w:szCs w:val="16"/>
              </w:rPr>
              <w:t>La Organización mantiene un nivel de reservas adecuado (alrededor del 18% del importe del presupuesto bienal) para estar en disposición de hacer frente a una posible disminución de los ingresos.</w:t>
            </w:r>
          </w:p>
          <w:p w:rsidR="00221F0B" w:rsidRPr="009D5AB0" w:rsidRDefault="00221F0B" w:rsidP="00DC1333">
            <w:pPr>
              <w:autoSpaceDE w:val="0"/>
              <w:autoSpaceDN w:val="0"/>
              <w:adjustRightInd w:val="0"/>
              <w:ind w:right="-59"/>
              <w:rPr>
                <w:sz w:val="16"/>
                <w:szCs w:val="16"/>
              </w:rPr>
            </w:pPr>
          </w:p>
          <w:p w:rsidR="00221F0B" w:rsidRPr="009D5AB0" w:rsidRDefault="00221F0B" w:rsidP="00DC1333">
            <w:pPr>
              <w:autoSpaceDE w:val="0"/>
              <w:autoSpaceDN w:val="0"/>
              <w:adjustRightInd w:val="0"/>
              <w:ind w:right="-59"/>
              <w:rPr>
                <w:rFonts w:ascii="Tahoma" w:hAnsi="Tahoma" w:cs="Tahoma"/>
                <w:sz w:val="16"/>
                <w:szCs w:val="16"/>
              </w:rPr>
            </w:pPr>
            <w:r w:rsidRPr="009D5AB0">
              <w:rPr>
                <w:sz w:val="16"/>
                <w:szCs w:val="16"/>
              </w:rPr>
              <w:t>La Secretaría supervisa estrechamente los gastos mediante un procedimiento más sólido de supervisión de ingresos y gastos y por medio del Grupo de Gestión de la Crisis.</w:t>
            </w:r>
          </w:p>
        </w:tc>
        <w:tc>
          <w:tcPr>
            <w:tcW w:w="2310" w:type="dxa"/>
            <w:tcBorders>
              <w:top w:val="single" w:sz="4" w:space="0" w:color="auto"/>
            </w:tcBorders>
          </w:tcPr>
          <w:p w:rsidR="00221F0B" w:rsidRPr="009D5AB0" w:rsidRDefault="00221F0B" w:rsidP="00DC1333">
            <w:pPr>
              <w:autoSpaceDE w:val="0"/>
              <w:autoSpaceDN w:val="0"/>
              <w:adjustRightInd w:val="0"/>
              <w:ind w:right="-59"/>
              <w:rPr>
                <w:sz w:val="16"/>
                <w:szCs w:val="16"/>
              </w:rPr>
            </w:pPr>
            <w:r w:rsidRPr="009D5AB0">
              <w:rPr>
                <w:sz w:val="16"/>
                <w:szCs w:val="16"/>
              </w:rPr>
              <w:t>Los niveles de ingresos fueron superiores a los previstos a lo largo del bienio, y se siguieron adoptando medidas de mitigación adecuadas con respecto a los riesgos detectados.</w:t>
            </w:r>
          </w:p>
          <w:p w:rsidR="00221F0B" w:rsidRPr="009D5AB0" w:rsidRDefault="00221F0B" w:rsidP="00DC1333">
            <w:pPr>
              <w:autoSpaceDE w:val="0"/>
              <w:autoSpaceDN w:val="0"/>
              <w:adjustRightInd w:val="0"/>
              <w:ind w:right="-59"/>
              <w:rPr>
                <w:sz w:val="16"/>
                <w:szCs w:val="16"/>
              </w:rPr>
            </w:pPr>
          </w:p>
          <w:p w:rsidR="00221F0B" w:rsidRPr="009D5AB0" w:rsidRDefault="00221F0B" w:rsidP="00DC1333">
            <w:pPr>
              <w:autoSpaceDE w:val="0"/>
              <w:autoSpaceDN w:val="0"/>
              <w:adjustRightInd w:val="0"/>
              <w:ind w:right="-59"/>
              <w:rPr>
                <w:sz w:val="16"/>
                <w:szCs w:val="16"/>
              </w:rPr>
            </w:pPr>
            <w:r w:rsidRPr="009D5AB0">
              <w:rPr>
                <w:sz w:val="16"/>
                <w:szCs w:val="16"/>
              </w:rPr>
              <w:t>Los Estados miembros examinaron el nivel de reservas previsto como parte del examen de la Política de la OMPI sobre las reservas, y se aumentó ese nivel en un 22% con el fin de mitigar más adecuadamente el riesgo.</w:t>
            </w:r>
          </w:p>
          <w:p w:rsidR="00221F0B" w:rsidRPr="009D5AB0" w:rsidRDefault="00221F0B" w:rsidP="00DC1333">
            <w:pPr>
              <w:autoSpaceDE w:val="0"/>
              <w:autoSpaceDN w:val="0"/>
              <w:adjustRightInd w:val="0"/>
              <w:ind w:right="-59"/>
              <w:rPr>
                <w:sz w:val="16"/>
                <w:szCs w:val="16"/>
              </w:rPr>
            </w:pPr>
          </w:p>
          <w:p w:rsidR="00221F0B" w:rsidRPr="009D5AB0" w:rsidRDefault="00221F0B" w:rsidP="00DC1333">
            <w:pPr>
              <w:autoSpaceDE w:val="0"/>
              <w:autoSpaceDN w:val="0"/>
              <w:adjustRightInd w:val="0"/>
              <w:ind w:right="-59"/>
              <w:rPr>
                <w:sz w:val="16"/>
                <w:szCs w:val="16"/>
              </w:rPr>
            </w:pPr>
            <w:r w:rsidRPr="009D5AB0">
              <w:rPr>
                <w:sz w:val="16"/>
                <w:szCs w:val="16"/>
              </w:rPr>
              <w:t>La Organización, por medio del Grupo de Gestión de Riesgos (RMG) de reciente creación, ha seguido supervisando estrechamente la evolución de los ingresos y los gastos.</w:t>
            </w:r>
          </w:p>
          <w:p w:rsidR="00221F0B" w:rsidRPr="009D5AB0" w:rsidRDefault="00221F0B" w:rsidP="00DC1333">
            <w:pPr>
              <w:autoSpaceDE w:val="0"/>
              <w:autoSpaceDN w:val="0"/>
              <w:adjustRightInd w:val="0"/>
              <w:ind w:right="-59"/>
              <w:rPr>
                <w:sz w:val="16"/>
                <w:szCs w:val="16"/>
              </w:rPr>
            </w:pPr>
          </w:p>
          <w:p w:rsidR="00221F0B" w:rsidRPr="009D5AB0" w:rsidRDefault="00221F0B" w:rsidP="00DC1333">
            <w:pPr>
              <w:autoSpaceDE w:val="0"/>
              <w:autoSpaceDN w:val="0"/>
              <w:adjustRightInd w:val="0"/>
              <w:ind w:right="-59"/>
              <w:rPr>
                <w:sz w:val="16"/>
                <w:szCs w:val="16"/>
              </w:rPr>
            </w:pPr>
            <w:r w:rsidRPr="009D5AB0">
              <w:rPr>
                <w:sz w:val="16"/>
                <w:szCs w:val="16"/>
              </w:rPr>
              <w:t xml:space="preserve">El 15 de enero de 2015, el Banco Nacional Suizo dejó de mantener el tipo de cambio mínimo de 1,20 francos suizos por euro e introdujo tipos de </w:t>
            </w:r>
            <w:r>
              <w:rPr>
                <w:sz w:val="16"/>
                <w:szCs w:val="16"/>
              </w:rPr>
              <w:t>interés</w:t>
            </w:r>
            <w:r w:rsidRPr="009D5AB0">
              <w:rPr>
                <w:sz w:val="16"/>
                <w:szCs w:val="16"/>
              </w:rPr>
              <w:t xml:space="preserve"> negativos para los clientes. Se han introducido procedimientos más eficaces de gestión del efectivo a fin de minimizar la incidencia de los tipos de interés negativos en los saldos de efectivo de la OMPI.</w:t>
            </w:r>
          </w:p>
        </w:tc>
        <w:tc>
          <w:tcPr>
            <w:tcW w:w="2709" w:type="dxa"/>
            <w:tcBorders>
              <w:top w:val="single" w:sz="4" w:space="0" w:color="auto"/>
            </w:tcBorders>
          </w:tcPr>
          <w:p w:rsidR="00221F0B" w:rsidRPr="009D5AB0" w:rsidRDefault="00221F0B" w:rsidP="00DC1333">
            <w:pPr>
              <w:autoSpaceDE w:val="0"/>
              <w:autoSpaceDN w:val="0"/>
              <w:adjustRightInd w:val="0"/>
              <w:ind w:right="-59"/>
              <w:rPr>
                <w:sz w:val="16"/>
                <w:szCs w:val="16"/>
              </w:rPr>
            </w:pPr>
            <w:r w:rsidRPr="009D5AB0">
              <w:rPr>
                <w:sz w:val="16"/>
                <w:szCs w:val="16"/>
              </w:rPr>
              <w:t xml:space="preserve">Este riesgo y su evolución no tuvieron </w:t>
            </w:r>
            <w:r>
              <w:rPr>
                <w:sz w:val="16"/>
                <w:szCs w:val="16"/>
              </w:rPr>
              <w:t>una incidencia sustancial</w:t>
            </w:r>
            <w:r w:rsidRPr="009D5AB0">
              <w:rPr>
                <w:sz w:val="16"/>
                <w:szCs w:val="16"/>
              </w:rPr>
              <w:t xml:space="preserve"> en el rendimiento del programa en 2014/15.</w:t>
            </w:r>
          </w:p>
          <w:p w:rsidR="00221F0B" w:rsidRPr="009D5AB0" w:rsidRDefault="00221F0B" w:rsidP="00DC1333">
            <w:pPr>
              <w:autoSpaceDE w:val="0"/>
              <w:autoSpaceDN w:val="0"/>
              <w:adjustRightInd w:val="0"/>
              <w:ind w:right="-59"/>
              <w:rPr>
                <w:sz w:val="16"/>
                <w:szCs w:val="16"/>
              </w:rPr>
            </w:pPr>
          </w:p>
          <w:p w:rsidR="00221F0B" w:rsidRPr="009D5AB0" w:rsidRDefault="00221F0B" w:rsidP="00DC1333">
            <w:pPr>
              <w:autoSpaceDE w:val="0"/>
              <w:autoSpaceDN w:val="0"/>
              <w:adjustRightInd w:val="0"/>
              <w:ind w:right="-59"/>
              <w:rPr>
                <w:sz w:val="16"/>
                <w:szCs w:val="16"/>
              </w:rPr>
            </w:pPr>
          </w:p>
          <w:p w:rsidR="00221F0B" w:rsidRPr="009D5AB0" w:rsidRDefault="00221F0B" w:rsidP="00DC1333">
            <w:pPr>
              <w:autoSpaceDE w:val="0"/>
              <w:autoSpaceDN w:val="0"/>
              <w:adjustRightInd w:val="0"/>
              <w:ind w:right="-59"/>
              <w:rPr>
                <w:sz w:val="16"/>
                <w:szCs w:val="16"/>
              </w:rPr>
            </w:pPr>
          </w:p>
          <w:p w:rsidR="00221F0B" w:rsidRPr="009D5AB0" w:rsidRDefault="00221F0B" w:rsidP="00DC1333">
            <w:pPr>
              <w:autoSpaceDE w:val="0"/>
              <w:autoSpaceDN w:val="0"/>
              <w:adjustRightInd w:val="0"/>
              <w:ind w:right="-59"/>
              <w:rPr>
                <w:sz w:val="16"/>
                <w:szCs w:val="16"/>
              </w:rPr>
            </w:pPr>
          </w:p>
          <w:p w:rsidR="00221F0B" w:rsidRPr="009D5AB0" w:rsidRDefault="00221F0B" w:rsidP="00DC1333">
            <w:pPr>
              <w:autoSpaceDE w:val="0"/>
              <w:autoSpaceDN w:val="0"/>
              <w:adjustRightInd w:val="0"/>
              <w:ind w:right="-59"/>
              <w:rPr>
                <w:sz w:val="16"/>
                <w:szCs w:val="16"/>
              </w:rPr>
            </w:pPr>
          </w:p>
          <w:p w:rsidR="00221F0B" w:rsidRPr="009D5AB0" w:rsidRDefault="00221F0B" w:rsidP="00DC1333">
            <w:pPr>
              <w:autoSpaceDE w:val="0"/>
              <w:autoSpaceDN w:val="0"/>
              <w:adjustRightInd w:val="0"/>
              <w:ind w:right="-59"/>
              <w:rPr>
                <w:sz w:val="16"/>
                <w:szCs w:val="16"/>
              </w:rPr>
            </w:pPr>
          </w:p>
          <w:p w:rsidR="00221F0B" w:rsidRPr="009D5AB0" w:rsidRDefault="00221F0B" w:rsidP="00DC1333">
            <w:pPr>
              <w:autoSpaceDE w:val="0"/>
              <w:autoSpaceDN w:val="0"/>
              <w:adjustRightInd w:val="0"/>
              <w:ind w:right="-59"/>
              <w:rPr>
                <w:sz w:val="16"/>
                <w:szCs w:val="16"/>
              </w:rPr>
            </w:pPr>
          </w:p>
          <w:p w:rsidR="00221F0B" w:rsidRPr="009D5AB0" w:rsidRDefault="00221F0B" w:rsidP="00DC1333">
            <w:pPr>
              <w:autoSpaceDE w:val="0"/>
              <w:autoSpaceDN w:val="0"/>
              <w:adjustRightInd w:val="0"/>
              <w:ind w:right="-59"/>
              <w:rPr>
                <w:sz w:val="16"/>
                <w:szCs w:val="16"/>
              </w:rPr>
            </w:pPr>
          </w:p>
          <w:p w:rsidR="00221F0B" w:rsidRPr="009D5AB0" w:rsidRDefault="00221F0B" w:rsidP="00DC1333">
            <w:pPr>
              <w:autoSpaceDE w:val="0"/>
              <w:autoSpaceDN w:val="0"/>
              <w:adjustRightInd w:val="0"/>
              <w:ind w:right="-59"/>
              <w:rPr>
                <w:sz w:val="16"/>
                <w:szCs w:val="16"/>
              </w:rPr>
            </w:pPr>
          </w:p>
          <w:p w:rsidR="00221F0B" w:rsidRPr="009D5AB0" w:rsidRDefault="00221F0B" w:rsidP="00DC1333">
            <w:pPr>
              <w:autoSpaceDE w:val="0"/>
              <w:autoSpaceDN w:val="0"/>
              <w:adjustRightInd w:val="0"/>
              <w:ind w:right="-59"/>
              <w:rPr>
                <w:sz w:val="16"/>
                <w:szCs w:val="16"/>
              </w:rPr>
            </w:pPr>
          </w:p>
          <w:p w:rsidR="00221F0B" w:rsidRPr="009D5AB0" w:rsidRDefault="00221F0B" w:rsidP="00DC1333">
            <w:pPr>
              <w:autoSpaceDE w:val="0"/>
              <w:autoSpaceDN w:val="0"/>
              <w:adjustRightInd w:val="0"/>
              <w:ind w:right="-59"/>
              <w:rPr>
                <w:sz w:val="16"/>
                <w:szCs w:val="16"/>
              </w:rPr>
            </w:pPr>
          </w:p>
          <w:p w:rsidR="00221F0B" w:rsidRPr="009D5AB0" w:rsidRDefault="00221F0B" w:rsidP="00DC1333">
            <w:pPr>
              <w:autoSpaceDE w:val="0"/>
              <w:autoSpaceDN w:val="0"/>
              <w:adjustRightInd w:val="0"/>
              <w:ind w:right="-59"/>
              <w:rPr>
                <w:sz w:val="16"/>
                <w:szCs w:val="16"/>
              </w:rPr>
            </w:pPr>
          </w:p>
          <w:p w:rsidR="00221F0B" w:rsidRPr="009D5AB0" w:rsidRDefault="00221F0B" w:rsidP="00DC1333">
            <w:pPr>
              <w:autoSpaceDE w:val="0"/>
              <w:autoSpaceDN w:val="0"/>
              <w:adjustRightInd w:val="0"/>
              <w:ind w:right="-59"/>
              <w:rPr>
                <w:sz w:val="16"/>
                <w:szCs w:val="16"/>
              </w:rPr>
            </w:pPr>
          </w:p>
          <w:p w:rsidR="00221F0B" w:rsidRPr="009D5AB0" w:rsidRDefault="00221F0B" w:rsidP="00DC1333">
            <w:pPr>
              <w:autoSpaceDE w:val="0"/>
              <w:autoSpaceDN w:val="0"/>
              <w:adjustRightInd w:val="0"/>
              <w:ind w:right="-59"/>
              <w:rPr>
                <w:sz w:val="16"/>
                <w:szCs w:val="16"/>
              </w:rPr>
            </w:pPr>
          </w:p>
          <w:p w:rsidR="00221F0B" w:rsidRPr="009D5AB0" w:rsidRDefault="00221F0B" w:rsidP="00DC1333">
            <w:pPr>
              <w:autoSpaceDE w:val="0"/>
              <w:autoSpaceDN w:val="0"/>
              <w:adjustRightInd w:val="0"/>
              <w:ind w:right="-59"/>
              <w:rPr>
                <w:sz w:val="16"/>
                <w:szCs w:val="16"/>
              </w:rPr>
            </w:pPr>
          </w:p>
          <w:p w:rsidR="00221F0B" w:rsidRPr="009D5AB0" w:rsidRDefault="00221F0B" w:rsidP="00DC1333">
            <w:pPr>
              <w:autoSpaceDE w:val="0"/>
              <w:autoSpaceDN w:val="0"/>
              <w:adjustRightInd w:val="0"/>
              <w:ind w:right="-59"/>
              <w:rPr>
                <w:sz w:val="16"/>
                <w:szCs w:val="16"/>
              </w:rPr>
            </w:pPr>
          </w:p>
          <w:p w:rsidR="00221F0B" w:rsidRPr="009D5AB0" w:rsidRDefault="00221F0B" w:rsidP="00DC1333">
            <w:pPr>
              <w:autoSpaceDE w:val="0"/>
              <w:autoSpaceDN w:val="0"/>
              <w:adjustRightInd w:val="0"/>
              <w:ind w:right="-59"/>
              <w:rPr>
                <w:sz w:val="16"/>
                <w:szCs w:val="16"/>
              </w:rPr>
            </w:pPr>
          </w:p>
          <w:p w:rsidR="00221F0B" w:rsidRPr="009D5AB0" w:rsidRDefault="00221F0B" w:rsidP="00DC1333">
            <w:pPr>
              <w:autoSpaceDE w:val="0"/>
              <w:autoSpaceDN w:val="0"/>
              <w:adjustRightInd w:val="0"/>
              <w:ind w:right="-59"/>
              <w:rPr>
                <w:sz w:val="16"/>
                <w:szCs w:val="16"/>
              </w:rPr>
            </w:pPr>
          </w:p>
          <w:p w:rsidR="00221F0B" w:rsidRPr="009D5AB0" w:rsidRDefault="00221F0B" w:rsidP="00DC1333">
            <w:pPr>
              <w:autoSpaceDE w:val="0"/>
              <w:autoSpaceDN w:val="0"/>
              <w:adjustRightInd w:val="0"/>
              <w:ind w:right="-59"/>
              <w:rPr>
                <w:sz w:val="16"/>
                <w:szCs w:val="16"/>
              </w:rPr>
            </w:pPr>
          </w:p>
          <w:p w:rsidR="00221F0B" w:rsidRPr="00E251E7" w:rsidRDefault="00221F0B" w:rsidP="00DC1333">
            <w:pPr>
              <w:autoSpaceDE w:val="0"/>
              <w:autoSpaceDN w:val="0"/>
              <w:adjustRightInd w:val="0"/>
              <w:ind w:right="-59"/>
              <w:rPr>
                <w:sz w:val="16"/>
                <w:szCs w:val="16"/>
              </w:rPr>
            </w:pPr>
            <w:r w:rsidRPr="009D5AB0">
              <w:rPr>
                <w:sz w:val="16"/>
                <w:szCs w:val="16"/>
              </w:rPr>
              <w:t>La supresión del tipo de cambio mínimo tuvo un efecto perjudicial global en el equivalente en francos suizos de los ingresos recibidos inicialmente en euros y ha supuesto asimismo que se haya reducido en gran medida la posibilidad de obtener intereses sobre el superávit de caja.</w:t>
            </w:r>
          </w:p>
        </w:tc>
      </w:tr>
    </w:tbl>
    <w:p w:rsidR="00221F0B" w:rsidRPr="001206E8" w:rsidRDefault="00403D2C" w:rsidP="00DC1333">
      <w:pPr>
        <w:keepNext/>
        <w:rPr>
          <w:b/>
          <w:sz w:val="18"/>
          <w:szCs w:val="18"/>
        </w:rPr>
      </w:pPr>
      <w:r w:rsidRPr="00403D2C">
        <w:rPr>
          <w:sz w:val="20"/>
          <w:szCs w:val="22"/>
        </w:rPr>
        <w:lastRenderedPageBreak/>
        <w:t>UTILIZACIÓN DE LOS RECURSOS</w:t>
      </w:r>
    </w:p>
    <w:p w:rsidR="00221F0B" w:rsidRPr="00FA2249" w:rsidRDefault="00221F0B" w:rsidP="00DC1333">
      <w:pPr>
        <w:keepNext/>
        <w:rPr>
          <w:sz w:val="20"/>
        </w:rPr>
      </w:pPr>
    </w:p>
    <w:p w:rsidR="00221F0B" w:rsidRPr="00FA2249" w:rsidRDefault="00221F0B" w:rsidP="00DC1333">
      <w:pPr>
        <w:keepNext/>
        <w:jc w:val="center"/>
        <w:rPr>
          <w:sz w:val="20"/>
        </w:rPr>
      </w:pPr>
      <w:r w:rsidRPr="00FA2249">
        <w:rPr>
          <w:sz w:val="20"/>
        </w:rPr>
        <w:t xml:space="preserve">Presupuesto y gastos reales (por resultado) </w:t>
      </w:r>
    </w:p>
    <w:p w:rsidR="00221F0B" w:rsidRPr="00FA2249" w:rsidRDefault="00221F0B" w:rsidP="00DC1333">
      <w:pPr>
        <w:keepNext/>
        <w:jc w:val="center"/>
        <w:rPr>
          <w:i/>
          <w:iCs/>
          <w:sz w:val="20"/>
        </w:rPr>
      </w:pPr>
      <w:r w:rsidRPr="00FA2249">
        <w:rPr>
          <w:i/>
          <w:iCs/>
          <w:sz w:val="20"/>
        </w:rPr>
        <w:t>(</w:t>
      </w:r>
      <w:proofErr w:type="gramStart"/>
      <w:r w:rsidRPr="00FA2249">
        <w:rPr>
          <w:i/>
          <w:iCs/>
          <w:sz w:val="20"/>
        </w:rPr>
        <w:t>en</w:t>
      </w:r>
      <w:proofErr w:type="gramEnd"/>
      <w:r w:rsidRPr="00FA2249">
        <w:rPr>
          <w:i/>
          <w:iCs/>
          <w:sz w:val="20"/>
        </w:rPr>
        <w:t xml:space="preserve"> miles de francos suizos)</w:t>
      </w:r>
    </w:p>
    <w:p w:rsidR="00221F0B" w:rsidRPr="00FA2249" w:rsidRDefault="00221F0B" w:rsidP="00DC1333">
      <w:pPr>
        <w:keepNext/>
        <w:keepLines/>
        <w:jc w:val="center"/>
        <w:rPr>
          <w:sz w:val="20"/>
        </w:rPr>
      </w:pPr>
    </w:p>
    <w:p w:rsidR="00221F0B" w:rsidRPr="00FA2249" w:rsidRDefault="00221F0B" w:rsidP="00DC1333">
      <w:pPr>
        <w:keepNext/>
        <w:keepLines/>
        <w:jc w:val="center"/>
        <w:rPr>
          <w:sz w:val="20"/>
        </w:rPr>
      </w:pPr>
      <w:bookmarkStart w:id="176" w:name="Bm22"/>
      <w:bookmarkStart w:id="177" w:name="Punto22"/>
      <w:r w:rsidRPr="00FA2249">
        <w:rPr>
          <w:noProof/>
          <w:sz w:val="20"/>
          <w:lang w:val="en-US" w:eastAsia="en-US"/>
        </w:rPr>
        <w:drawing>
          <wp:inline distT="0" distB="0" distL="0" distR="0" wp14:anchorId="5E9E464D" wp14:editId="78FBDD46">
            <wp:extent cx="5676900" cy="3086100"/>
            <wp:effectExtent l="0" t="0" r="0" b="0"/>
            <wp:docPr id="800" name="Picture 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5676900" cy="3086100"/>
                    </a:xfrm>
                    <a:prstGeom prst="rect">
                      <a:avLst/>
                    </a:prstGeom>
                    <a:noFill/>
                    <a:ln>
                      <a:noFill/>
                    </a:ln>
                  </pic:spPr>
                </pic:pic>
              </a:graphicData>
            </a:graphic>
          </wp:inline>
        </w:drawing>
      </w:r>
      <w:bookmarkEnd w:id="176"/>
      <w:bookmarkEnd w:id="177"/>
    </w:p>
    <w:p w:rsidR="00221F0B" w:rsidRPr="00FA2249" w:rsidRDefault="00221F0B" w:rsidP="00DC1333">
      <w:pPr>
        <w:rPr>
          <w:sz w:val="20"/>
        </w:rPr>
      </w:pPr>
    </w:p>
    <w:p w:rsidR="00221F0B" w:rsidRPr="00FA2249" w:rsidRDefault="00221F0B" w:rsidP="00DC1333">
      <w:pPr>
        <w:rPr>
          <w:sz w:val="20"/>
        </w:rPr>
      </w:pPr>
    </w:p>
    <w:p w:rsidR="00221F0B" w:rsidRPr="00FA2249" w:rsidRDefault="00221F0B" w:rsidP="00DC1333">
      <w:pPr>
        <w:jc w:val="center"/>
        <w:rPr>
          <w:sz w:val="20"/>
        </w:rPr>
      </w:pPr>
      <w:r w:rsidRPr="00FA2249">
        <w:rPr>
          <w:sz w:val="20"/>
        </w:rPr>
        <w:t xml:space="preserve">Presupuesto y gastos reales (de personal y no relativos a personal) </w:t>
      </w:r>
    </w:p>
    <w:p w:rsidR="00221F0B" w:rsidRPr="00FA2249" w:rsidRDefault="00221F0B" w:rsidP="00DC1333">
      <w:pPr>
        <w:jc w:val="center"/>
        <w:rPr>
          <w:i/>
          <w:iCs/>
          <w:sz w:val="20"/>
        </w:rPr>
      </w:pPr>
      <w:r w:rsidRPr="00FA2249">
        <w:rPr>
          <w:i/>
          <w:iCs/>
          <w:sz w:val="20"/>
        </w:rPr>
        <w:t>(</w:t>
      </w:r>
      <w:proofErr w:type="gramStart"/>
      <w:r w:rsidRPr="00FA2249">
        <w:rPr>
          <w:i/>
          <w:iCs/>
          <w:sz w:val="20"/>
        </w:rPr>
        <w:t>en</w:t>
      </w:r>
      <w:proofErr w:type="gramEnd"/>
      <w:r w:rsidRPr="00FA2249">
        <w:rPr>
          <w:i/>
          <w:iCs/>
          <w:sz w:val="20"/>
        </w:rPr>
        <w:t xml:space="preserve"> miles de francos suizos)</w:t>
      </w:r>
    </w:p>
    <w:p w:rsidR="00221F0B" w:rsidRPr="001206E8" w:rsidRDefault="00221F0B" w:rsidP="00DC1333">
      <w:pPr>
        <w:jc w:val="center"/>
        <w:rPr>
          <w:sz w:val="18"/>
          <w:szCs w:val="18"/>
        </w:rPr>
      </w:pPr>
    </w:p>
    <w:p w:rsidR="00221F0B" w:rsidRPr="001206E8" w:rsidRDefault="00221F0B" w:rsidP="00DC1333">
      <w:bookmarkStart w:id="178" w:name="Point22"/>
      <w:r>
        <w:rPr>
          <w:noProof/>
          <w:lang w:val="en-US" w:eastAsia="en-US"/>
        </w:rPr>
        <w:drawing>
          <wp:inline distT="0" distB="0" distL="0" distR="0" wp14:anchorId="7164B672" wp14:editId="3FB82288">
            <wp:extent cx="5940425" cy="1038940"/>
            <wp:effectExtent l="0" t="0" r="3175" b="8890"/>
            <wp:docPr id="801" name="Picture 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5940425" cy="1038940"/>
                    </a:xfrm>
                    <a:prstGeom prst="rect">
                      <a:avLst/>
                    </a:prstGeom>
                    <a:noFill/>
                    <a:ln>
                      <a:noFill/>
                    </a:ln>
                  </pic:spPr>
                </pic:pic>
              </a:graphicData>
            </a:graphic>
          </wp:inline>
        </w:drawing>
      </w:r>
      <w:bookmarkEnd w:id="178"/>
    </w:p>
    <w:p w:rsidR="00221F0B" w:rsidRDefault="00221F0B" w:rsidP="00DC1333">
      <w:pPr>
        <w:widowControl w:val="0"/>
        <w:autoSpaceDE w:val="0"/>
        <w:autoSpaceDN w:val="0"/>
        <w:adjustRightInd w:val="0"/>
      </w:pPr>
    </w:p>
    <w:p w:rsidR="00221F0B" w:rsidRPr="00194A15" w:rsidRDefault="00221F0B" w:rsidP="00DC1333">
      <w:pPr>
        <w:widowControl w:val="0"/>
        <w:autoSpaceDE w:val="0"/>
        <w:autoSpaceDN w:val="0"/>
        <w:adjustRightInd w:val="0"/>
        <w:rPr>
          <w:sz w:val="20"/>
        </w:rPr>
      </w:pPr>
    </w:p>
    <w:p w:rsidR="00221F0B" w:rsidRPr="00194A15" w:rsidRDefault="00403D2C" w:rsidP="00DC1333">
      <w:pPr>
        <w:keepNext/>
        <w:keepLines/>
        <w:rPr>
          <w:sz w:val="20"/>
          <w:u w:val="single"/>
        </w:rPr>
      </w:pPr>
      <w:r w:rsidRPr="00403D2C">
        <w:rPr>
          <w:sz w:val="20"/>
        </w:rPr>
        <w:t>A.</w:t>
      </w:r>
      <w:r w:rsidRPr="00403D2C">
        <w:rPr>
          <w:sz w:val="20"/>
        </w:rPr>
        <w:tab/>
      </w:r>
      <w:r w:rsidRPr="00403D2C">
        <w:rPr>
          <w:sz w:val="20"/>
          <w:u w:val="single"/>
        </w:rPr>
        <w:t>Presupuesto final de 2014/15 tras las transferencias</w:t>
      </w:r>
    </w:p>
    <w:p w:rsidR="00221F0B" w:rsidRPr="00194A15" w:rsidRDefault="00221F0B" w:rsidP="00DC1333">
      <w:pPr>
        <w:keepNext/>
        <w:keepLines/>
        <w:rPr>
          <w:sz w:val="20"/>
          <w:u w:val="single"/>
        </w:rPr>
      </w:pPr>
    </w:p>
    <w:p w:rsidR="00221F0B" w:rsidRPr="00612B56" w:rsidRDefault="00221F0B" w:rsidP="00612B56">
      <w:pPr>
        <w:pStyle w:val="ListParagraph"/>
        <w:numPr>
          <w:ilvl w:val="0"/>
          <w:numId w:val="102"/>
        </w:numPr>
        <w:tabs>
          <w:tab w:val="left" w:pos="709"/>
        </w:tabs>
        <w:ind w:left="0" w:firstLine="0"/>
        <w:jc w:val="both"/>
        <w:rPr>
          <w:bCs/>
          <w:lang w:val="es-ES"/>
        </w:rPr>
      </w:pPr>
      <w:r w:rsidRPr="00612B56">
        <w:rPr>
          <w:bCs/>
          <w:lang w:val="es-ES"/>
        </w:rPr>
        <w:t>El aumento global de los recursos de personal en el presupuesto final de 2014/15 tras las transferencias es el resultado neto de las regularizaciones en curso de las funciones de carácter continuo y de la redistribución de un cargo temporal (función de gestión de activos) asignado al programa.</w:t>
      </w:r>
    </w:p>
    <w:p w:rsidR="00221F0B" w:rsidRPr="00612B56" w:rsidRDefault="00221F0B" w:rsidP="00612B56">
      <w:pPr>
        <w:pStyle w:val="ListParagraph"/>
        <w:tabs>
          <w:tab w:val="left" w:pos="709"/>
        </w:tabs>
        <w:ind w:left="0"/>
        <w:jc w:val="both"/>
        <w:rPr>
          <w:bCs/>
          <w:lang w:val="es-ES"/>
        </w:rPr>
      </w:pPr>
    </w:p>
    <w:p w:rsidR="00221F0B" w:rsidRPr="00612B56" w:rsidRDefault="00221F0B" w:rsidP="00612B56">
      <w:pPr>
        <w:pStyle w:val="ListParagraph"/>
        <w:numPr>
          <w:ilvl w:val="0"/>
          <w:numId w:val="102"/>
        </w:numPr>
        <w:tabs>
          <w:tab w:val="left" w:pos="709"/>
        </w:tabs>
        <w:ind w:left="0" w:firstLine="0"/>
        <w:jc w:val="both"/>
        <w:rPr>
          <w:bCs/>
          <w:lang w:val="es-ES"/>
        </w:rPr>
      </w:pPr>
      <w:r w:rsidRPr="00612B56">
        <w:rPr>
          <w:bCs/>
          <w:lang w:val="es-ES"/>
        </w:rPr>
        <w:t xml:space="preserve">La redistribución de los recursos entre los resultados previstos se debe principalmente al hecho de que los recursos dedicados a la integración de nuevos módulos y funciones del sistema de PRI estaban relacionados con el resultado previsto IX.2 (Funcionamiento ágil y sin contratiempos de la Secretaría) en el presupuesto aprobado de 2014/15. Sin embargo, como estas actividades estaban más orientadas a los servicios, quedaban reflejadas más precisamente en el resultado previsto IX.1 (Servicios de apoyo eficaces, eficientes, de calidad y orientados al cliente) en el presupuesto final de 2014/15 tras las transferencias.  El aumento en el resultado previsto IX.8 (Mejor rendición de cuentas, control interno y buen gobierno) se debe principalmente al mayor apoyo facilitado por el programa a las labores del Auditor Externo.  </w:t>
      </w:r>
    </w:p>
    <w:p w:rsidR="00221F0B" w:rsidRPr="00194A15" w:rsidRDefault="00221F0B" w:rsidP="00DC1333">
      <w:pPr>
        <w:autoSpaceDE w:val="0"/>
        <w:autoSpaceDN w:val="0"/>
        <w:jc w:val="both"/>
        <w:rPr>
          <w:sz w:val="20"/>
          <w:lang w:eastAsia="ko-KR"/>
        </w:rPr>
      </w:pPr>
    </w:p>
    <w:p w:rsidR="00221F0B" w:rsidRPr="00194A15" w:rsidRDefault="00403D2C" w:rsidP="00DC1333">
      <w:pPr>
        <w:jc w:val="both"/>
        <w:rPr>
          <w:sz w:val="20"/>
          <w:u w:val="single"/>
          <w:lang w:eastAsia="ko-KR"/>
        </w:rPr>
      </w:pPr>
      <w:r w:rsidRPr="00403D2C">
        <w:rPr>
          <w:sz w:val="20"/>
          <w:lang w:eastAsia="ko-KR"/>
        </w:rPr>
        <w:t>B.</w:t>
      </w:r>
      <w:r w:rsidRPr="00403D2C">
        <w:rPr>
          <w:sz w:val="20"/>
          <w:lang w:eastAsia="ko-KR"/>
        </w:rPr>
        <w:tab/>
      </w:r>
      <w:r w:rsidRPr="00403D2C">
        <w:rPr>
          <w:sz w:val="20"/>
          <w:u w:val="single"/>
          <w:lang w:eastAsia="ko-KR"/>
        </w:rPr>
        <w:t>Utilización del presupuesto en 2014/15</w:t>
      </w:r>
    </w:p>
    <w:p w:rsidR="00221F0B" w:rsidRPr="00194A15" w:rsidRDefault="00221F0B" w:rsidP="00DC1333">
      <w:pPr>
        <w:tabs>
          <w:tab w:val="left" w:pos="709"/>
        </w:tabs>
        <w:jc w:val="both"/>
        <w:rPr>
          <w:sz w:val="20"/>
          <w:u w:val="single"/>
          <w:lang w:eastAsia="ko-KR"/>
        </w:rPr>
      </w:pPr>
    </w:p>
    <w:p w:rsidR="0041245E" w:rsidRPr="00612B56" w:rsidRDefault="00221F0B" w:rsidP="00612B56">
      <w:pPr>
        <w:pStyle w:val="ListParagraph"/>
        <w:numPr>
          <w:ilvl w:val="0"/>
          <w:numId w:val="102"/>
        </w:numPr>
        <w:tabs>
          <w:tab w:val="left" w:pos="709"/>
        </w:tabs>
        <w:ind w:left="0" w:firstLine="0"/>
        <w:jc w:val="both"/>
        <w:rPr>
          <w:bCs/>
          <w:lang w:val="es-ES"/>
        </w:rPr>
      </w:pPr>
      <w:r w:rsidRPr="00612B56">
        <w:rPr>
          <w:bCs/>
          <w:lang w:val="es-ES"/>
        </w:rPr>
        <w:t>La utilización del presupuesto se ha mantenido dentro de los límites establecidos durante el bienio.</w:t>
      </w:r>
    </w:p>
    <w:p w:rsidR="0041245E" w:rsidRDefault="0041245E">
      <w:pPr>
        <w:rPr>
          <w:rFonts w:eastAsia="Times New Roman"/>
          <w:sz w:val="20"/>
          <w:lang w:eastAsia="en-US"/>
        </w:rPr>
      </w:pPr>
      <w:r>
        <w:br w:type="page"/>
      </w:r>
    </w:p>
    <w:p w:rsidR="00221F0B" w:rsidRPr="00124987" w:rsidRDefault="00221F0B" w:rsidP="00DC1333">
      <w:pPr>
        <w:pStyle w:val="Heading2"/>
        <w:keepNext w:val="0"/>
        <w:tabs>
          <w:tab w:val="left" w:pos="2410"/>
        </w:tabs>
        <w:jc w:val="both"/>
        <w:rPr>
          <w:b/>
          <w:szCs w:val="20"/>
        </w:rPr>
      </w:pPr>
      <w:bookmarkStart w:id="179" w:name="_Toc422927437"/>
      <w:bookmarkStart w:id="180" w:name="_Toc455159105"/>
      <w:r w:rsidRPr="00124987">
        <w:rPr>
          <w:b/>
          <w:szCs w:val="20"/>
        </w:rPr>
        <w:lastRenderedPageBreak/>
        <w:t>PROGRAMA 23</w:t>
      </w:r>
      <w:r w:rsidRPr="00124987">
        <w:rPr>
          <w:b/>
          <w:szCs w:val="20"/>
        </w:rPr>
        <w:tab/>
        <w:t>GESTIÓN Y DESARROLLO DE LOS RECURSOS HUMANOS</w:t>
      </w:r>
      <w:bookmarkEnd w:id="179"/>
      <w:bookmarkEnd w:id="180"/>
    </w:p>
    <w:p w:rsidR="00221F0B" w:rsidRPr="00124987" w:rsidRDefault="00221F0B" w:rsidP="00DC1333">
      <w:pPr>
        <w:tabs>
          <w:tab w:val="left" w:pos="1985"/>
          <w:tab w:val="left" w:pos="2410"/>
        </w:tabs>
        <w:jc w:val="both"/>
        <w:rPr>
          <w:sz w:val="20"/>
        </w:rPr>
      </w:pPr>
    </w:p>
    <w:p w:rsidR="00221F0B" w:rsidRPr="00124987" w:rsidRDefault="00221F0B" w:rsidP="00DC1333">
      <w:pPr>
        <w:tabs>
          <w:tab w:val="left" w:pos="2410"/>
        </w:tabs>
        <w:jc w:val="both"/>
        <w:rPr>
          <w:b/>
          <w:sz w:val="20"/>
        </w:rPr>
      </w:pPr>
      <w:r w:rsidRPr="00124987">
        <w:rPr>
          <w:b/>
          <w:sz w:val="20"/>
        </w:rPr>
        <w:t>Director de programa</w:t>
      </w:r>
      <w:r w:rsidRPr="00124987">
        <w:rPr>
          <w:sz w:val="20"/>
        </w:rPr>
        <w:tab/>
      </w:r>
      <w:r w:rsidRPr="00124987">
        <w:rPr>
          <w:b/>
          <w:sz w:val="20"/>
        </w:rPr>
        <w:t>Director General</w:t>
      </w:r>
    </w:p>
    <w:p w:rsidR="00221F0B" w:rsidRPr="00124987" w:rsidRDefault="00221F0B" w:rsidP="00DC1333">
      <w:pPr>
        <w:tabs>
          <w:tab w:val="left" w:pos="2410"/>
        </w:tabs>
        <w:jc w:val="both"/>
        <w:rPr>
          <w:sz w:val="20"/>
        </w:rPr>
      </w:pPr>
    </w:p>
    <w:p w:rsidR="00221F0B" w:rsidRPr="00124987" w:rsidRDefault="00221F0B" w:rsidP="00DC1333">
      <w:pPr>
        <w:tabs>
          <w:tab w:val="left" w:pos="2410"/>
        </w:tabs>
        <w:jc w:val="both"/>
        <w:rPr>
          <w:sz w:val="20"/>
        </w:rPr>
      </w:pPr>
    </w:p>
    <w:p w:rsidR="00221F0B" w:rsidRPr="00124987" w:rsidRDefault="008F7CBE" w:rsidP="00DC1333">
      <w:pPr>
        <w:jc w:val="both"/>
        <w:rPr>
          <w:bCs/>
          <w:szCs w:val="22"/>
        </w:rPr>
      </w:pPr>
      <w:r w:rsidRPr="008F7CBE">
        <w:rPr>
          <w:bCs/>
          <w:sz w:val="20"/>
          <w:szCs w:val="22"/>
        </w:rPr>
        <w:t>LOGROS ALCANZADOS EN EL BIENIO 2014/15</w:t>
      </w:r>
    </w:p>
    <w:p w:rsidR="00221F0B" w:rsidRPr="00124987" w:rsidRDefault="00221F0B" w:rsidP="00DC1333">
      <w:pPr>
        <w:jc w:val="both"/>
      </w:pPr>
    </w:p>
    <w:p w:rsidR="00221F0B" w:rsidRPr="00124987" w:rsidRDefault="00221F0B" w:rsidP="00EB45DE">
      <w:pPr>
        <w:pStyle w:val="ListParagraph"/>
        <w:numPr>
          <w:ilvl w:val="0"/>
          <w:numId w:val="108"/>
        </w:numPr>
        <w:tabs>
          <w:tab w:val="left" w:pos="709"/>
        </w:tabs>
        <w:ind w:left="0" w:firstLine="0"/>
        <w:jc w:val="both"/>
        <w:rPr>
          <w:rFonts w:cs="Arial"/>
          <w:lang w:val="es-ES"/>
        </w:rPr>
      </w:pPr>
      <w:r w:rsidRPr="00124987">
        <w:rPr>
          <w:rFonts w:cs="Arial"/>
          <w:lang w:val="es-ES"/>
        </w:rPr>
        <w:t>El bienio 2014/15 fue el primero en que se aplicó la estrategia de recursos humanos (RR.HH.), aprobada por los Estados miembros en 2013.  Aun cuando la labor sigue siendo fundamentalmente operacional, el programa mantiene su vinculación con el personal y los directivos a fin de garantizar la consecución efectiva y eficaz de los resultados.</w:t>
      </w:r>
    </w:p>
    <w:p w:rsidR="00221F0B" w:rsidRPr="00124987" w:rsidRDefault="00221F0B" w:rsidP="00DC1333">
      <w:pPr>
        <w:tabs>
          <w:tab w:val="left" w:pos="709"/>
        </w:tabs>
        <w:jc w:val="both"/>
      </w:pPr>
    </w:p>
    <w:p w:rsidR="00221F0B" w:rsidRDefault="00221F0B" w:rsidP="00EB45DE">
      <w:pPr>
        <w:pStyle w:val="Default"/>
        <w:numPr>
          <w:ilvl w:val="0"/>
          <w:numId w:val="108"/>
        </w:numPr>
        <w:tabs>
          <w:tab w:val="left" w:pos="709"/>
        </w:tabs>
        <w:ind w:left="0" w:firstLine="0"/>
        <w:jc w:val="both"/>
        <w:rPr>
          <w:sz w:val="20"/>
          <w:szCs w:val="20"/>
          <w:lang w:val="es-ES"/>
        </w:rPr>
      </w:pPr>
      <w:r w:rsidRPr="00124987">
        <w:rPr>
          <w:sz w:val="20"/>
          <w:szCs w:val="20"/>
          <w:lang w:val="es-ES"/>
        </w:rPr>
        <w:t xml:space="preserve">Durante el bienio 2014/15 se intensificaron los esfuerzos para mejorar la diversidad geográfica y de género entre los miembros del personal.  Se introdujeron modificaciones en el Estatuto y Reglamento del Personal, con vigencia a partir del 1 de noviembre de 2014, en virtud de las cuales se exige que las Juntas de Nombramiento presenten una lista de candidatos recomendados con el fundamento de cada recomendación, en lugar de presentar nombres ordenados por preferencia, lo que permite al Director General tomar decisiones según su criterio sobre las contrataciones para atender los desequilibrios de género y diversidad.  Se procuró lograr la participación de los Estados miembros en relación con la sensibilización pública y se alentó vivamente a las Oficinas de la OMPI en el exterior a promover la función de la OMPI de “empleadora principal”.  A tal fin, durante las Asambleas se facilitó un mostrador de información y una sesión de información.  Se creó una lista de candidatos basada en la diversidad en la que se proponían candidatos preseleccionados y cualificados de Estados miembros sin representación a puestos temporales y de plazo fijo.  Además, la OMPI siguió reforzando sus actividades de divulgación mediante campañas y medios sociales (como </w:t>
      </w:r>
      <w:proofErr w:type="spellStart"/>
      <w:r w:rsidRPr="00124987">
        <w:rPr>
          <w:sz w:val="20"/>
          <w:szCs w:val="20"/>
          <w:lang w:val="es-ES"/>
        </w:rPr>
        <w:t>Linkedln</w:t>
      </w:r>
      <w:proofErr w:type="spellEnd"/>
      <w:r w:rsidRPr="00124987">
        <w:rPr>
          <w:sz w:val="20"/>
          <w:szCs w:val="20"/>
          <w:lang w:val="es-ES"/>
        </w:rPr>
        <w:t>).  Se llevaron a cabo, entre otras, las iniciativas siguientes:  i) desarrollo de un sitio web de la OMPI dedicado a la carrera profesional;</w:t>
      </w:r>
      <w:r w:rsidRPr="00124987">
        <w:rPr>
          <w:rStyle w:val="FootnoteReference"/>
          <w:sz w:val="20"/>
          <w:szCs w:val="20"/>
          <w:lang w:val="es-ES"/>
        </w:rPr>
        <w:footnoteReference w:id="129"/>
      </w:r>
      <w:r w:rsidRPr="00124987">
        <w:rPr>
          <w:sz w:val="20"/>
          <w:szCs w:val="20"/>
          <w:lang w:val="es-ES"/>
        </w:rPr>
        <w:t xml:space="preserve">  ii) introducción de una herramienta de contratación más fácil de usar;  iii) designación de coordinadores en las oficinas nacionales de P.I. y elección de plataformas estratégicas nacionales a fin de crear anuncios específicos para los puestos vacantes de la OMPI, y iv) establecimiento de listas directas de correo para los solicitantes provenientes de Estados miembros que no están representados o están poco representados.  Gracias a estos esfuerzos acentuados, a finales de 2015 el porcentaje de miembros del personal provenientes de Europa Occidental se había reducido a menos </w:t>
      </w:r>
      <w:r>
        <w:rPr>
          <w:sz w:val="20"/>
          <w:szCs w:val="20"/>
          <w:lang w:val="es-ES"/>
        </w:rPr>
        <w:t>de la mitad del personal de</w:t>
      </w:r>
      <w:r w:rsidRPr="00124987">
        <w:rPr>
          <w:sz w:val="20"/>
          <w:szCs w:val="20"/>
          <w:lang w:val="es-ES"/>
        </w:rPr>
        <w:t xml:space="preserve"> </w:t>
      </w:r>
      <w:r>
        <w:rPr>
          <w:sz w:val="20"/>
          <w:szCs w:val="20"/>
          <w:lang w:val="es-ES"/>
        </w:rPr>
        <w:t>categoría profesional y superior</w:t>
      </w:r>
      <w:r w:rsidRPr="00124987">
        <w:rPr>
          <w:sz w:val="20"/>
          <w:szCs w:val="20"/>
          <w:lang w:val="es-ES"/>
        </w:rPr>
        <w:t>, a la vez que se registraba un aumento del porcentaje de ciudadanos de otras regiones, en especial de Asia y el Pacífico, Europa Central y Oriental y Asia Central, y América del Norte.</w:t>
      </w:r>
    </w:p>
    <w:p w:rsidR="00221F0B" w:rsidRPr="00124987" w:rsidRDefault="00221F0B" w:rsidP="00DC1333">
      <w:pPr>
        <w:pStyle w:val="Default"/>
        <w:tabs>
          <w:tab w:val="left" w:pos="709"/>
        </w:tabs>
        <w:jc w:val="both"/>
        <w:rPr>
          <w:sz w:val="20"/>
          <w:szCs w:val="20"/>
          <w:lang w:val="es-ES"/>
        </w:rPr>
      </w:pPr>
    </w:p>
    <w:p w:rsidR="00221F0B" w:rsidRPr="000756BD" w:rsidRDefault="00221F0B" w:rsidP="00DC1333">
      <w:pPr>
        <w:pStyle w:val="Default"/>
        <w:tabs>
          <w:tab w:val="left" w:pos="709"/>
        </w:tabs>
        <w:jc w:val="center"/>
        <w:rPr>
          <w:i/>
          <w:sz w:val="18"/>
          <w:szCs w:val="18"/>
          <w:lang w:val="es-ES"/>
        </w:rPr>
      </w:pPr>
      <w:r w:rsidRPr="000756BD">
        <w:rPr>
          <w:i/>
          <w:sz w:val="18"/>
          <w:szCs w:val="18"/>
          <w:lang w:val="es-ES"/>
        </w:rPr>
        <w:t>Porcentaje de personal de categoría profesional y superior por región 2012-2015</w:t>
      </w:r>
    </w:p>
    <w:p w:rsidR="00221F0B" w:rsidRDefault="00221F0B" w:rsidP="00DC1333">
      <w:pPr>
        <w:pStyle w:val="Default"/>
        <w:tabs>
          <w:tab w:val="left" w:pos="709"/>
        </w:tabs>
        <w:jc w:val="center"/>
        <w:rPr>
          <w:i/>
          <w:sz w:val="16"/>
          <w:szCs w:val="16"/>
          <w:lang w:val="es-ES"/>
        </w:rPr>
      </w:pPr>
      <w:r w:rsidRPr="0014466C">
        <w:rPr>
          <w:noProof/>
          <w:lang w:eastAsia="en-US"/>
        </w:rPr>
        <w:drawing>
          <wp:inline distT="0" distB="0" distL="0" distR="0" wp14:anchorId="1611A3A2" wp14:editId="3DBF4ABA">
            <wp:extent cx="4549078" cy="2275368"/>
            <wp:effectExtent l="0" t="0" r="4445" b="0"/>
            <wp:docPr id="802" name="Picture 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4557350" cy="2279505"/>
                    </a:xfrm>
                    <a:prstGeom prst="rect">
                      <a:avLst/>
                    </a:prstGeom>
                    <a:noFill/>
                    <a:ln>
                      <a:noFill/>
                    </a:ln>
                  </pic:spPr>
                </pic:pic>
              </a:graphicData>
            </a:graphic>
          </wp:inline>
        </w:drawing>
      </w:r>
    </w:p>
    <w:p w:rsidR="00221F0B" w:rsidRPr="00AE32A1" w:rsidRDefault="00221F0B" w:rsidP="00DC1333">
      <w:pPr>
        <w:pStyle w:val="Default"/>
        <w:tabs>
          <w:tab w:val="left" w:pos="709"/>
        </w:tabs>
        <w:jc w:val="center"/>
        <w:rPr>
          <w:i/>
          <w:sz w:val="20"/>
          <w:szCs w:val="20"/>
          <w:lang w:val="es-ES"/>
        </w:rPr>
      </w:pPr>
    </w:p>
    <w:p w:rsidR="00221F0B" w:rsidRPr="00124987" w:rsidRDefault="00221F0B" w:rsidP="00EB45DE">
      <w:pPr>
        <w:pStyle w:val="Default"/>
        <w:numPr>
          <w:ilvl w:val="0"/>
          <w:numId w:val="108"/>
        </w:numPr>
        <w:tabs>
          <w:tab w:val="left" w:pos="709"/>
        </w:tabs>
        <w:ind w:left="0" w:firstLine="0"/>
        <w:jc w:val="both"/>
        <w:rPr>
          <w:sz w:val="20"/>
          <w:szCs w:val="20"/>
          <w:lang w:val="es-ES"/>
        </w:rPr>
      </w:pPr>
      <w:r w:rsidRPr="00124987">
        <w:rPr>
          <w:sz w:val="20"/>
          <w:szCs w:val="20"/>
          <w:lang w:val="es-ES"/>
        </w:rPr>
        <w:t xml:space="preserve">En 2014 la OMPI publicó su primera política de igualdad de género con el doble objetivo de incorporar la perspectiva de género a sus actividades y el objetivo, ajustado a un plazo específico, de lograr el equilibrio de género en toda la dotación de personal.  Por consiguiente, se creó una red de coordinadores en materia de género y la OMPI se unió a la Red </w:t>
      </w:r>
      <w:proofErr w:type="spellStart"/>
      <w:r w:rsidRPr="00124987">
        <w:rPr>
          <w:sz w:val="20"/>
          <w:szCs w:val="20"/>
          <w:lang w:val="es-ES"/>
        </w:rPr>
        <w:t>Gender</w:t>
      </w:r>
      <w:proofErr w:type="spellEnd"/>
      <w:r w:rsidRPr="00124987">
        <w:rPr>
          <w:sz w:val="20"/>
          <w:szCs w:val="20"/>
          <w:lang w:val="es-ES"/>
        </w:rPr>
        <w:t xml:space="preserve"> Champions de Ginebra en su compromiso colectivo de fomentar la presencia de las mujeres en el lugar de trabajo.  A nivel interno se intensificaron los esfuerzos de contratación encaminados a corregir la brecha entre los géneros en la </w:t>
      </w:r>
      <w:r w:rsidRPr="00124987">
        <w:rPr>
          <w:sz w:val="20"/>
          <w:szCs w:val="20"/>
          <w:lang w:val="es-ES"/>
        </w:rPr>
        <w:lastRenderedPageBreak/>
        <w:t>dotación de personal.  Se pusieron en marcha iniciativas como las conversaciones informales sobre la mujer en el trabajo y un programa piloto para la promoción de las perspectivas de carrera de las mujeres en puestos de personal directivo intermedio, al objeto de fomentar la igualdad de género en el lugar de trabajo.  En este último programa participaron cuatro mujeres miembros del personal de categoría P4 que desempeñaban funciones de supervisión, cuyo rendimiento había sido sobresaliente.  Las reacciones iniciales fueron muy alentadoras y la DSI llevó a cabo una evaluación del programa piloto, cuyo informe deberá presentar en 2016.  El porcentaje de mujeres en pue</w:t>
      </w:r>
      <w:r>
        <w:rPr>
          <w:sz w:val="20"/>
          <w:szCs w:val="20"/>
          <w:lang w:val="es-ES"/>
        </w:rPr>
        <w:t>stos de categoría P4 alcanzó el </w:t>
      </w:r>
      <w:r w:rsidRPr="00124987">
        <w:rPr>
          <w:sz w:val="20"/>
          <w:szCs w:val="20"/>
          <w:lang w:val="es-ES"/>
        </w:rPr>
        <w:t>46,1%, lo que supone un aumento de 2,7 puntos porcentuales en relación con la referencia de 2013, lográndose así plenamente el objetivo;  no obstante, se sigue estando lejos de los objetivos en materia de equilibrio de género al nivel del personal directivo superior.  Las nuevas contrataciones de mujeres en las categorías P5 y D1 permitieron evitar que se ampliara la brecha entre los géneros debido a las jubilaciones de personal femenino en esas categorías, pero se produjo una disminución de 11,1 puntos porcentuales en el número de mujeres en puestos de categoría D2 en comparación con 2013.</w:t>
      </w:r>
    </w:p>
    <w:p w:rsidR="00221F0B" w:rsidRDefault="00221F0B" w:rsidP="00DC1333">
      <w:pPr>
        <w:pStyle w:val="Default"/>
        <w:tabs>
          <w:tab w:val="left" w:pos="709"/>
        </w:tabs>
        <w:jc w:val="both"/>
        <w:rPr>
          <w:sz w:val="20"/>
          <w:szCs w:val="20"/>
          <w:lang w:val="es-ES"/>
        </w:rPr>
      </w:pPr>
    </w:p>
    <w:p w:rsidR="00221F0B" w:rsidRPr="00376CFC" w:rsidRDefault="00221F0B" w:rsidP="00DC1333">
      <w:pPr>
        <w:pStyle w:val="Default"/>
        <w:tabs>
          <w:tab w:val="left" w:pos="709"/>
        </w:tabs>
        <w:jc w:val="center"/>
        <w:rPr>
          <w:i/>
          <w:sz w:val="18"/>
          <w:szCs w:val="18"/>
          <w:lang w:val="es-ES"/>
        </w:rPr>
      </w:pPr>
      <w:r w:rsidRPr="00376CFC">
        <w:rPr>
          <w:i/>
          <w:sz w:val="18"/>
          <w:szCs w:val="18"/>
          <w:lang w:val="es-ES"/>
        </w:rPr>
        <w:t>Porcentaje de personal de categoría profesional y superior por género 2012-2015</w:t>
      </w:r>
    </w:p>
    <w:p w:rsidR="00221F0B" w:rsidRPr="00293F83" w:rsidRDefault="00221F0B" w:rsidP="00DC1333">
      <w:pPr>
        <w:pStyle w:val="Default"/>
        <w:tabs>
          <w:tab w:val="left" w:pos="709"/>
        </w:tabs>
        <w:jc w:val="center"/>
        <w:rPr>
          <w:i/>
          <w:sz w:val="20"/>
          <w:szCs w:val="20"/>
          <w:lang w:val="es-ES"/>
        </w:rPr>
      </w:pPr>
      <w:r w:rsidRPr="00376CFC">
        <w:rPr>
          <w:noProof/>
          <w:lang w:eastAsia="en-US"/>
        </w:rPr>
        <w:drawing>
          <wp:inline distT="0" distB="0" distL="0" distR="0" wp14:anchorId="6EA2A958" wp14:editId="714784C2">
            <wp:extent cx="4431539" cy="2541181"/>
            <wp:effectExtent l="0" t="0" r="7620" b="0"/>
            <wp:docPr id="803" name="Picture 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4431761" cy="2541308"/>
                    </a:xfrm>
                    <a:prstGeom prst="rect">
                      <a:avLst/>
                    </a:prstGeom>
                    <a:noFill/>
                    <a:ln>
                      <a:noFill/>
                    </a:ln>
                  </pic:spPr>
                </pic:pic>
              </a:graphicData>
            </a:graphic>
          </wp:inline>
        </w:drawing>
      </w:r>
    </w:p>
    <w:p w:rsidR="00221F0B" w:rsidRPr="00124987" w:rsidRDefault="00221F0B" w:rsidP="00DC1333">
      <w:pPr>
        <w:pStyle w:val="Default"/>
        <w:tabs>
          <w:tab w:val="left" w:pos="709"/>
        </w:tabs>
        <w:jc w:val="both"/>
        <w:rPr>
          <w:sz w:val="20"/>
          <w:szCs w:val="20"/>
          <w:lang w:val="es-ES"/>
        </w:rPr>
      </w:pPr>
    </w:p>
    <w:p w:rsidR="00221F0B" w:rsidRPr="00124987" w:rsidRDefault="00221F0B" w:rsidP="00EB45DE">
      <w:pPr>
        <w:pStyle w:val="Default"/>
        <w:numPr>
          <w:ilvl w:val="0"/>
          <w:numId w:val="108"/>
        </w:numPr>
        <w:tabs>
          <w:tab w:val="left" w:pos="709"/>
        </w:tabs>
        <w:ind w:left="0" w:firstLine="0"/>
        <w:jc w:val="both"/>
        <w:rPr>
          <w:sz w:val="20"/>
          <w:szCs w:val="20"/>
          <w:lang w:val="es-ES"/>
        </w:rPr>
      </w:pPr>
      <w:r w:rsidRPr="00124987">
        <w:rPr>
          <w:sz w:val="20"/>
          <w:szCs w:val="20"/>
          <w:lang w:val="es-ES"/>
        </w:rPr>
        <w:t>También se siguió avanzando en la incorporación del diseño orgánico y la planificación de los recursos humanos a las actividades de la Organización, de suerte que queden plenamente integradas como actividades institucionales clave.  Entre los logros registrados durante el bienio cabe señalar:  i) el mayor compromiso de los directivos en la planificación de los recursos humanos mediante la celebración de talleres introductorios, así como la elaboración de directrices conexas;  ii) la elaboración de los planes de acción de recursos humanos de 2014/15 para cada unidad organizativa a fin de determinar medidas clave de RR.HH. destinadas a satisfacer las necesidades institucionales;  iii) la actualización de las descripciones de los puestos de trabajo en toda la Organización, velando por que reflejen con exactitud las prioridades institucionales, y iv) la armonización más sistemática y mayor entre las descripciones de los puestos y los planes de trabajo anuales.  Asimismo, se publicaron unas directrices nuevas para la gestión de los puestos con la finalidad de garantizar que las hipótesis de planificación se revisen sistemáticamente y que antes de cubrir los puestos vacantes se tengan en cuenta las prioridades futuras de toda la Organización.  Como parte de la planificación de los RR.HH. se alentó a los directivos a examinar la combinación de recursos más adecuada para atender eficazmente sus necesidades institucionales.</w:t>
      </w:r>
    </w:p>
    <w:p w:rsidR="00221F0B" w:rsidRPr="00124987" w:rsidRDefault="00221F0B" w:rsidP="00DC1333">
      <w:pPr>
        <w:pStyle w:val="Default"/>
        <w:tabs>
          <w:tab w:val="left" w:pos="709"/>
        </w:tabs>
        <w:jc w:val="both"/>
        <w:rPr>
          <w:sz w:val="20"/>
          <w:szCs w:val="20"/>
          <w:lang w:val="es-ES"/>
        </w:rPr>
      </w:pPr>
    </w:p>
    <w:p w:rsidR="00221F0B" w:rsidRPr="00124987" w:rsidRDefault="00221F0B" w:rsidP="00EB45DE">
      <w:pPr>
        <w:pStyle w:val="Default"/>
        <w:numPr>
          <w:ilvl w:val="0"/>
          <w:numId w:val="108"/>
        </w:numPr>
        <w:tabs>
          <w:tab w:val="left" w:pos="709"/>
        </w:tabs>
        <w:ind w:left="0" w:firstLine="0"/>
        <w:jc w:val="both"/>
        <w:rPr>
          <w:sz w:val="20"/>
          <w:szCs w:val="20"/>
          <w:lang w:val="es-ES"/>
        </w:rPr>
      </w:pPr>
      <w:r w:rsidRPr="00124987">
        <w:rPr>
          <w:sz w:val="20"/>
          <w:szCs w:val="20"/>
          <w:lang w:val="es-ES"/>
        </w:rPr>
        <w:t xml:space="preserve">En 2014 se llevó a término el proceso de regularización de empleados temporales con muchos años de servicio, en cuyo marco se regularizó mediante un concurso la situación de 31 empleados de este tipo.  Además, durante el bienio se publicaron 40 puestos de plazo fijo con miras a regularizar las funciones de carácter continuo (17 en 2014 y </w:t>
      </w:r>
      <w:r w:rsidR="0007460F">
        <w:rPr>
          <w:sz w:val="20"/>
          <w:szCs w:val="20"/>
          <w:lang w:val="es-ES"/>
        </w:rPr>
        <w:t>2</w:t>
      </w:r>
      <w:r w:rsidRPr="00124987">
        <w:rPr>
          <w:sz w:val="20"/>
          <w:szCs w:val="20"/>
          <w:lang w:val="es-ES"/>
        </w:rPr>
        <w:t xml:space="preserve">3 en 2015), de los que 30 </w:t>
      </w:r>
      <w:r>
        <w:rPr>
          <w:sz w:val="20"/>
          <w:szCs w:val="20"/>
          <w:lang w:val="es-ES"/>
        </w:rPr>
        <w:t>se habían cubierto a finales de </w:t>
      </w:r>
      <w:r w:rsidRPr="00124987">
        <w:rPr>
          <w:sz w:val="20"/>
          <w:szCs w:val="20"/>
          <w:lang w:val="es-ES"/>
        </w:rPr>
        <w:t>2015.</w:t>
      </w:r>
    </w:p>
    <w:p w:rsidR="00221F0B" w:rsidRPr="00124987" w:rsidRDefault="00221F0B" w:rsidP="00DC1333">
      <w:pPr>
        <w:pStyle w:val="Default"/>
        <w:tabs>
          <w:tab w:val="left" w:pos="709"/>
        </w:tabs>
        <w:jc w:val="both"/>
        <w:rPr>
          <w:sz w:val="20"/>
          <w:szCs w:val="20"/>
          <w:lang w:val="es-ES"/>
        </w:rPr>
      </w:pPr>
    </w:p>
    <w:p w:rsidR="00221F0B" w:rsidRPr="00124987" w:rsidRDefault="00221F0B" w:rsidP="00EB45DE">
      <w:pPr>
        <w:pStyle w:val="Default"/>
        <w:numPr>
          <w:ilvl w:val="0"/>
          <w:numId w:val="108"/>
        </w:numPr>
        <w:tabs>
          <w:tab w:val="left" w:pos="709"/>
        </w:tabs>
        <w:ind w:left="0" w:firstLine="0"/>
        <w:jc w:val="both"/>
        <w:rPr>
          <w:sz w:val="20"/>
          <w:szCs w:val="20"/>
          <w:lang w:val="es-ES"/>
        </w:rPr>
      </w:pPr>
      <w:r w:rsidRPr="00124987">
        <w:rPr>
          <w:color w:val="auto"/>
          <w:sz w:val="20"/>
          <w:szCs w:val="20"/>
          <w:lang w:val="es-ES"/>
        </w:rPr>
        <w:t>Durante el bienio la</w:t>
      </w:r>
      <w:r w:rsidRPr="00124987">
        <w:rPr>
          <w:sz w:val="20"/>
          <w:szCs w:val="20"/>
          <w:lang w:val="es-ES"/>
        </w:rPr>
        <w:t xml:space="preserve"> actividad de contratación</w:t>
      </w:r>
      <w:r w:rsidRPr="00124987">
        <w:rPr>
          <w:color w:val="auto"/>
          <w:sz w:val="20"/>
          <w:szCs w:val="20"/>
          <w:lang w:val="es-ES"/>
        </w:rPr>
        <w:t xml:space="preserve"> se mantuvo a un nivel elevado</w:t>
      </w:r>
      <w:r w:rsidRPr="00124987">
        <w:rPr>
          <w:sz w:val="20"/>
          <w:szCs w:val="20"/>
          <w:lang w:val="es-ES"/>
        </w:rPr>
        <w:t>, lo que ha hecho que el período medio de contratación se haya ampliado a 19,77 semanas en comparación con las 16,03 semanas que se necesitaban de media durante el bienio 2012/13.  Se convocaron un total de 255 concursos (183 para puestos de plazo fijo, lo que representa un aumento del 29% con respecto al bienio anterior, y 72 para puestos temporales.  En total se recibieron 30.320 solicitudes.</w:t>
      </w:r>
    </w:p>
    <w:p w:rsidR="00221F0B" w:rsidRPr="00124987" w:rsidRDefault="00221F0B" w:rsidP="00DC1333">
      <w:pPr>
        <w:pStyle w:val="Default"/>
        <w:tabs>
          <w:tab w:val="left" w:pos="709"/>
        </w:tabs>
        <w:jc w:val="both"/>
        <w:rPr>
          <w:sz w:val="20"/>
          <w:szCs w:val="20"/>
          <w:lang w:val="es-ES"/>
        </w:rPr>
      </w:pPr>
    </w:p>
    <w:p w:rsidR="00221F0B" w:rsidRPr="00124987" w:rsidRDefault="00221F0B" w:rsidP="00EB45DE">
      <w:pPr>
        <w:pStyle w:val="ListParagraph"/>
        <w:numPr>
          <w:ilvl w:val="0"/>
          <w:numId w:val="108"/>
        </w:numPr>
        <w:tabs>
          <w:tab w:val="left" w:pos="709"/>
        </w:tabs>
        <w:ind w:left="0" w:firstLine="0"/>
        <w:jc w:val="both"/>
        <w:rPr>
          <w:rFonts w:cs="Arial"/>
          <w:lang w:val="es-ES"/>
        </w:rPr>
      </w:pPr>
      <w:r w:rsidRPr="00124987">
        <w:rPr>
          <w:rFonts w:cs="Arial"/>
          <w:lang w:val="es-ES"/>
        </w:rPr>
        <w:lastRenderedPageBreak/>
        <w:t xml:space="preserve">Durante el bienio se siguió modernizando los sistemas y procesos del Departamento de Gestión de Recursos Humanos.  En 2015 se comenzó a desarrollar una nueva plataforma integrada de contratación (que utiliza el programa </w:t>
      </w:r>
      <w:proofErr w:type="spellStart"/>
      <w:r w:rsidRPr="00124987">
        <w:rPr>
          <w:rFonts w:cs="Arial"/>
          <w:lang w:val="es-ES"/>
        </w:rPr>
        <w:t>Taleo</w:t>
      </w:r>
      <w:proofErr w:type="spellEnd"/>
      <w:r w:rsidRPr="00124987">
        <w:rPr>
          <w:rFonts w:cs="Arial"/>
          <w:lang w:val="es-ES"/>
        </w:rPr>
        <w:t>), mediante la cual se espera conseguir mejorar aún más la eficacia en la contratación.  A comienzos de 2014 se completó la primera fase de la PRI, cuyo objetivo era integrar los datos y los procesos en el marco del Departamento de Gestión de Recursos Humanos y con otras funciones administrativas y de gestión de la OMPI.  Durante el bienio se introdujeron otras mejoras, como la creación y puesta en marcha del panel de gestión de RR.HH. de “Inteligencia institucional” y de funciones de autoservicio, por ejemplo actualizar la información personal en línea y solicitar subsidios de educación, con lo que el personal adquiere más conciencia de sus responsabilidades y se reducen al mínimo algunas tareas muy laboriosas en el ámbito de los recursos humanos.</w:t>
      </w:r>
    </w:p>
    <w:p w:rsidR="00221F0B" w:rsidRPr="00124987" w:rsidRDefault="00221F0B" w:rsidP="00DC1333">
      <w:pPr>
        <w:pStyle w:val="ListParagraph"/>
        <w:tabs>
          <w:tab w:val="left" w:pos="709"/>
        </w:tabs>
        <w:ind w:left="0"/>
        <w:jc w:val="both"/>
        <w:rPr>
          <w:rFonts w:cs="Arial"/>
          <w:lang w:val="es-ES"/>
        </w:rPr>
      </w:pPr>
    </w:p>
    <w:p w:rsidR="00221F0B" w:rsidRPr="00124987" w:rsidRDefault="00221F0B" w:rsidP="00EB45DE">
      <w:pPr>
        <w:pStyle w:val="ListParagraph"/>
        <w:numPr>
          <w:ilvl w:val="0"/>
          <w:numId w:val="108"/>
        </w:numPr>
        <w:tabs>
          <w:tab w:val="left" w:pos="709"/>
        </w:tabs>
        <w:ind w:left="0" w:firstLine="0"/>
        <w:jc w:val="both"/>
        <w:rPr>
          <w:rFonts w:cs="Arial"/>
          <w:lang w:val="es-ES"/>
        </w:rPr>
      </w:pPr>
      <w:r w:rsidRPr="00124987">
        <w:rPr>
          <w:rFonts w:cs="Arial"/>
          <w:lang w:val="es-ES"/>
        </w:rPr>
        <w:t>Se convocó una licitación para contratar un seguro de salud, accidentes y pérdida de ganancias para los empleados, tras lo cual se ha establecido un nuevo contrato con primas más bajas.  En 2015 se renegoció el contrato del seguro de vida para que en 2016 entre en vigor una prima más baja.  La Unidad Médica y de Bienestar Social también prestó servicios de empleo y relacionados con la salud, a veces en colaboración con el Servicio Médico de la ONUG.</w:t>
      </w:r>
    </w:p>
    <w:p w:rsidR="00221F0B" w:rsidRPr="00124987" w:rsidRDefault="00221F0B" w:rsidP="00DC1333">
      <w:pPr>
        <w:tabs>
          <w:tab w:val="left" w:pos="709"/>
        </w:tabs>
        <w:jc w:val="both"/>
      </w:pPr>
    </w:p>
    <w:p w:rsidR="00221F0B" w:rsidRPr="00124987" w:rsidRDefault="00221F0B" w:rsidP="00EB45DE">
      <w:pPr>
        <w:pStyle w:val="ListParagraph"/>
        <w:numPr>
          <w:ilvl w:val="0"/>
          <w:numId w:val="108"/>
        </w:numPr>
        <w:tabs>
          <w:tab w:val="left" w:pos="709"/>
        </w:tabs>
        <w:ind w:left="0" w:firstLine="0"/>
        <w:jc w:val="both"/>
        <w:rPr>
          <w:rFonts w:cs="Arial"/>
          <w:lang w:val="es-ES"/>
        </w:rPr>
      </w:pPr>
      <w:r w:rsidRPr="00124987">
        <w:rPr>
          <w:rFonts w:cs="Arial"/>
          <w:lang w:val="es-ES"/>
        </w:rPr>
        <w:t>La madurez adquirida por la OMPI en relación con los procesos de gestión del rendimiento permitió seguir mejorando el sistema de gestión del desempeño y el perfeccionamiento del personal (PMSDS).  Las directrices de dicho sistema se sustituyeron por una nueva orden de servicio y manuales del sistema PMSDS para distinguir las disposiciones regulatorias de las directrices.  Además, se introdujeron cambios para armonizar el sistema PMSDS con el Reglamento y el Estatuto del Personal y las órdenes de servicio conexas, y para proporcionar más aclaraciones sobre cuestiones relacionadas con el sistema PMSDS a partir de la experiencia adquirida mediante la aplicación del sistema.  El índice de utilización del sistema siguió siendo muy alto;  así, en 2014 y 2015 se evaluaron respectivamente las competencias y objetivos individuales de un 93,1% y un 92,8% de los miembros del personal.</w:t>
      </w:r>
    </w:p>
    <w:p w:rsidR="00221F0B" w:rsidRPr="00124987" w:rsidRDefault="00221F0B" w:rsidP="00DC1333">
      <w:pPr>
        <w:tabs>
          <w:tab w:val="left" w:pos="709"/>
        </w:tabs>
        <w:jc w:val="both"/>
      </w:pPr>
    </w:p>
    <w:p w:rsidR="00221F0B" w:rsidRPr="00124987" w:rsidRDefault="00221F0B" w:rsidP="00EB45DE">
      <w:pPr>
        <w:pStyle w:val="ListParagraph"/>
        <w:numPr>
          <w:ilvl w:val="0"/>
          <w:numId w:val="108"/>
        </w:numPr>
        <w:tabs>
          <w:tab w:val="left" w:pos="709"/>
        </w:tabs>
        <w:ind w:left="0" w:firstLine="0"/>
        <w:jc w:val="both"/>
        <w:rPr>
          <w:rFonts w:cs="Arial"/>
          <w:lang w:val="es-ES"/>
        </w:rPr>
      </w:pPr>
      <w:r w:rsidRPr="00124987">
        <w:rPr>
          <w:rFonts w:cs="Arial"/>
          <w:lang w:val="es-ES"/>
        </w:rPr>
        <w:t xml:space="preserve">El programa de la OMPI de recompensas y reconocimiento siguió adelante y en 2014 se llevó a cabo una segunda prueba que fue evaluada posteriormente por la DSI.  Dos de cada tres encuestados respondieron que el programa había servido para reconocer el buen rendimiento.  Las recomendaciones de la DSI sirvieron de base para la publicación de un manual sobre “mostrar reconocimiento” y la elaboración de una página en Intranet.  </w:t>
      </w:r>
      <w:r w:rsidR="0007460F">
        <w:rPr>
          <w:rFonts w:cs="Arial"/>
          <w:lang w:val="es-ES"/>
        </w:rPr>
        <w:t>Además, s</w:t>
      </w:r>
      <w:r w:rsidRPr="00124987">
        <w:rPr>
          <w:rFonts w:cs="Arial"/>
          <w:lang w:val="es-ES"/>
        </w:rPr>
        <w:t>e creó una nueva categoría de premio en la que el personal participa directamente en la nominación de los candidatos y la selección de los ganadores.  En 2015, después de haberse efectuado las dos pruebas, se aprobó una política oficial de recompensas y reconocimiento.</w:t>
      </w:r>
    </w:p>
    <w:p w:rsidR="00221F0B" w:rsidRPr="00124987" w:rsidRDefault="00221F0B" w:rsidP="00DC1333">
      <w:pPr>
        <w:tabs>
          <w:tab w:val="left" w:pos="709"/>
        </w:tabs>
        <w:jc w:val="both"/>
      </w:pPr>
    </w:p>
    <w:p w:rsidR="00221F0B" w:rsidRPr="00124987" w:rsidRDefault="00221F0B" w:rsidP="00EB45DE">
      <w:pPr>
        <w:pStyle w:val="ListParagraph"/>
        <w:numPr>
          <w:ilvl w:val="0"/>
          <w:numId w:val="108"/>
        </w:numPr>
        <w:tabs>
          <w:tab w:val="left" w:pos="709"/>
        </w:tabs>
        <w:autoSpaceDE w:val="0"/>
        <w:autoSpaceDN w:val="0"/>
        <w:adjustRightInd w:val="0"/>
        <w:ind w:left="0" w:firstLine="0"/>
        <w:jc w:val="both"/>
        <w:rPr>
          <w:rFonts w:cs="Arial"/>
          <w:lang w:val="es-ES"/>
        </w:rPr>
      </w:pPr>
      <w:r w:rsidRPr="00124987">
        <w:rPr>
          <w:rFonts w:cs="Arial"/>
          <w:lang w:val="es-ES"/>
        </w:rPr>
        <w:t xml:space="preserve">En 2014, empezó a aplicarse la nueva política de aprendizaje y perfeccionamiento para impulsar la mejora de las competencias del personal y la disminución de las carencias en materia de competencias.  </w:t>
      </w:r>
      <w:r w:rsidR="0007460F">
        <w:rPr>
          <w:rFonts w:cs="Arial"/>
          <w:lang w:val="es-ES"/>
        </w:rPr>
        <w:t>S</w:t>
      </w:r>
      <w:r w:rsidRPr="00124987">
        <w:rPr>
          <w:rFonts w:cs="Arial"/>
          <w:lang w:val="es-ES"/>
        </w:rPr>
        <w:t>e pusieron en marcha nuevas iniciativas sobre resolución de conflictos, gestión del estrés, gestión de la calidad, gestión de proyectos y reconocimiento del aprendizaje anterior a fin de aumentar la capacidad de gestión</w:t>
      </w:r>
      <w:r w:rsidR="0007460F">
        <w:rPr>
          <w:rFonts w:cs="Arial"/>
          <w:lang w:val="es-ES"/>
        </w:rPr>
        <w:t xml:space="preserve"> y dar apoyo a la progresión profesional</w:t>
      </w:r>
      <w:r w:rsidRPr="00124987">
        <w:rPr>
          <w:rFonts w:cs="Arial"/>
          <w:lang w:val="es-ES"/>
        </w:rPr>
        <w:t>.  En 2015, por primera vez el número medio de días de formación por miembro del personal</w:t>
      </w:r>
      <w:r w:rsidRPr="00124987">
        <w:rPr>
          <w:rStyle w:val="FootnoteReference"/>
          <w:rFonts w:cs="Arial"/>
          <w:lang w:val="es-ES"/>
        </w:rPr>
        <w:footnoteReference w:id="130"/>
      </w:r>
      <w:r w:rsidRPr="00124987">
        <w:rPr>
          <w:rFonts w:cs="Arial"/>
          <w:lang w:val="es-ES"/>
        </w:rPr>
        <w:t xml:space="preserve"> aumentó a seis, en comparación con los cinco registrados en 2014 (un día más que la práctica declarada de las Naciones Unidas, que es de cinco días).  Este aum</w:t>
      </w:r>
      <w:r>
        <w:rPr>
          <w:rFonts w:cs="Arial"/>
          <w:lang w:val="es-ES"/>
        </w:rPr>
        <w:t>ento se debió en parte a que en</w:t>
      </w:r>
      <w:r w:rsidR="0007460F">
        <w:rPr>
          <w:rFonts w:cs="Arial"/>
          <w:lang w:val="es-ES"/>
        </w:rPr>
        <w:t xml:space="preserve"> </w:t>
      </w:r>
      <w:r w:rsidRPr="00124987">
        <w:rPr>
          <w:rFonts w:cs="Arial"/>
          <w:lang w:val="es-ES"/>
        </w:rPr>
        <w:t>2015 se llevó a cabo la formación sobre gestión de conflictos, en la que</w:t>
      </w:r>
      <w:r w:rsidR="0007460F">
        <w:rPr>
          <w:rFonts w:cs="Arial"/>
          <w:lang w:val="es-ES"/>
        </w:rPr>
        <w:t xml:space="preserve"> participaron cerca de la mitad de los</w:t>
      </w:r>
      <w:r w:rsidRPr="00124987">
        <w:rPr>
          <w:rFonts w:cs="Arial"/>
          <w:lang w:val="es-ES"/>
        </w:rPr>
        <w:t xml:space="preserve"> miembros del personal de la OMPI.</w:t>
      </w:r>
    </w:p>
    <w:p w:rsidR="00221F0B" w:rsidRPr="00124987" w:rsidRDefault="00221F0B" w:rsidP="00DC1333">
      <w:pPr>
        <w:tabs>
          <w:tab w:val="left" w:pos="709"/>
        </w:tabs>
        <w:autoSpaceDE w:val="0"/>
        <w:autoSpaceDN w:val="0"/>
        <w:adjustRightInd w:val="0"/>
        <w:jc w:val="both"/>
      </w:pPr>
    </w:p>
    <w:p w:rsidR="00221F0B" w:rsidRPr="00124987" w:rsidRDefault="00221F0B" w:rsidP="00EB45DE">
      <w:pPr>
        <w:pStyle w:val="ListParagraph"/>
        <w:numPr>
          <w:ilvl w:val="0"/>
          <w:numId w:val="108"/>
        </w:numPr>
        <w:tabs>
          <w:tab w:val="left" w:pos="709"/>
        </w:tabs>
        <w:autoSpaceDE w:val="0"/>
        <w:autoSpaceDN w:val="0"/>
        <w:adjustRightInd w:val="0"/>
        <w:ind w:left="0" w:firstLine="0"/>
        <w:jc w:val="both"/>
        <w:rPr>
          <w:rFonts w:cs="Arial"/>
          <w:lang w:val="es-ES"/>
        </w:rPr>
      </w:pPr>
      <w:r w:rsidRPr="00124987">
        <w:rPr>
          <w:rFonts w:cs="Arial"/>
          <w:lang w:val="es-ES"/>
        </w:rPr>
        <w:t>En el contexto de la formulación de políticas de recursos human</w:t>
      </w:r>
      <w:r>
        <w:rPr>
          <w:rFonts w:cs="Arial"/>
          <w:lang w:val="es-ES"/>
        </w:rPr>
        <w:t>os, a raíz de la realización en </w:t>
      </w:r>
      <w:r w:rsidRPr="00124987">
        <w:rPr>
          <w:rFonts w:cs="Arial"/>
          <w:lang w:val="es-ES"/>
        </w:rPr>
        <w:t xml:space="preserve">2012 de la primera reforma del Estatuto y Reglamento del Personal </w:t>
      </w:r>
      <w:r>
        <w:rPr>
          <w:rFonts w:cs="Arial"/>
          <w:lang w:val="es-ES"/>
        </w:rPr>
        <w:t>en más de 40 años, en 2014 y </w:t>
      </w:r>
      <w:r w:rsidRPr="00124987">
        <w:rPr>
          <w:rFonts w:cs="Arial"/>
          <w:lang w:val="es-ES"/>
        </w:rPr>
        <w:t>2015 se llevó a cabo una nueva revisión y se efectuaron más ajustes del Estatuto y Reglamento del Personal, y se estableció el correspondiente marco de políticas de recursos humanos.  Los cambios introducidos durante el bienio permitieron a la OMPI mantener un marco normativo coherente que se ajuste a las mejores prácticas del sistema de las naciones Unidas y se adapte plenamente a fin de responder a las necesidades y prioridades cambiantes de la Organización.  En 2014 se incorporó al Estatuto y Reglamento del Personal la categoría de funcionario nacional profesional al objeto de dar respuesta a las necesidades de las oficinas de la OMPI en el exterior.  En 2015 se produjo el primer nombramiento temporal de un funcionario nacional profesional en la Oficina de la OMPI en el Brasil (OOB).</w:t>
      </w:r>
    </w:p>
    <w:p w:rsidR="00221F0B" w:rsidRPr="00124987" w:rsidRDefault="00221F0B" w:rsidP="00EB45DE">
      <w:pPr>
        <w:pStyle w:val="ListParagraph"/>
        <w:numPr>
          <w:ilvl w:val="0"/>
          <w:numId w:val="108"/>
        </w:numPr>
        <w:tabs>
          <w:tab w:val="left" w:pos="709"/>
        </w:tabs>
        <w:autoSpaceDE w:val="0"/>
        <w:autoSpaceDN w:val="0"/>
        <w:adjustRightInd w:val="0"/>
        <w:ind w:left="0" w:firstLine="0"/>
        <w:jc w:val="both"/>
        <w:rPr>
          <w:rFonts w:cs="Arial"/>
          <w:lang w:val="es-ES"/>
        </w:rPr>
      </w:pPr>
      <w:r w:rsidRPr="00124987">
        <w:rPr>
          <w:rFonts w:cs="Arial"/>
          <w:lang w:val="es-ES"/>
        </w:rPr>
        <w:lastRenderedPageBreak/>
        <w:t>El nuevo Grupo Consultivo Mixto, de cuya secretaría se ocupa el Departamento de Gestión de Recursos  Humanos, se creó en junio de 2014 para asesorar al Director General en cuestiones de personal o administrativas.  Los miembros del personal pueden ahora elevar peticiones directamente al Grupo Consultivo Mixto, creándose así un nuevo canal de comunicación entre el personal y la Administración.</w:t>
      </w:r>
    </w:p>
    <w:p w:rsidR="00221F0B" w:rsidRPr="00124987" w:rsidRDefault="00221F0B" w:rsidP="00DC1333">
      <w:pPr>
        <w:tabs>
          <w:tab w:val="left" w:pos="709"/>
        </w:tabs>
        <w:rPr>
          <w:szCs w:val="22"/>
        </w:rPr>
      </w:pPr>
    </w:p>
    <w:p w:rsidR="00221F0B" w:rsidRPr="00124987" w:rsidRDefault="00221F0B" w:rsidP="00DC1333">
      <w:pPr>
        <w:rPr>
          <w:szCs w:val="22"/>
        </w:rPr>
      </w:pPr>
    </w:p>
    <w:p w:rsidR="00221F0B" w:rsidRPr="00124987" w:rsidRDefault="008F7CBE" w:rsidP="00DC1333">
      <w:pPr>
        <w:keepNext/>
        <w:jc w:val="both"/>
        <w:rPr>
          <w:szCs w:val="22"/>
        </w:rPr>
      </w:pPr>
      <w:r w:rsidRPr="008F7CBE">
        <w:rPr>
          <w:sz w:val="20"/>
          <w:szCs w:val="22"/>
        </w:rPr>
        <w:t>DATOS SOBRE EL RENDIMIENTO</w:t>
      </w:r>
    </w:p>
    <w:p w:rsidR="00221F0B" w:rsidRPr="00124987" w:rsidRDefault="00221F0B" w:rsidP="00DC1333">
      <w:pPr>
        <w:keepNext/>
        <w:jc w:val="both"/>
        <w:rPr>
          <w:szCs w:val="22"/>
        </w:rPr>
      </w:pPr>
    </w:p>
    <w:tbl>
      <w:tblPr>
        <w:tblW w:w="4888"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8"/>
        <w:gridCol w:w="2408"/>
        <w:gridCol w:w="1705"/>
        <w:gridCol w:w="1982"/>
        <w:gridCol w:w="1134"/>
      </w:tblGrid>
      <w:tr w:rsidR="00221F0B" w:rsidRPr="00124987" w:rsidTr="003B1330">
        <w:tc>
          <w:tcPr>
            <w:tcW w:w="5000" w:type="pct"/>
            <w:gridSpan w:val="5"/>
            <w:tcBorders>
              <w:top w:val="single" w:sz="4" w:space="0" w:color="auto"/>
              <w:bottom w:val="single" w:sz="4" w:space="0" w:color="auto"/>
            </w:tcBorders>
            <w:shd w:val="clear" w:color="auto" w:fill="C6D9F1" w:themeFill="text2" w:themeFillTint="33"/>
            <w:vAlign w:val="center"/>
          </w:tcPr>
          <w:p w:rsidR="00221F0B" w:rsidRPr="00124987" w:rsidRDefault="00221F0B" w:rsidP="00DC1333">
            <w:pPr>
              <w:keepNext/>
              <w:spacing w:before="120" w:after="120"/>
              <w:ind w:left="2019" w:hanging="2019"/>
              <w:jc w:val="both"/>
              <w:rPr>
                <w:b/>
                <w:bCs/>
                <w:sz w:val="16"/>
                <w:szCs w:val="16"/>
              </w:rPr>
            </w:pPr>
            <w:r w:rsidRPr="00124987">
              <w:rPr>
                <w:b/>
                <w:bCs/>
                <w:sz w:val="16"/>
                <w:szCs w:val="16"/>
              </w:rPr>
              <w:t>Resultado previsto:</w:t>
            </w:r>
            <w:r w:rsidRPr="00124987">
              <w:rPr>
                <w:b/>
                <w:bCs/>
                <w:sz w:val="16"/>
                <w:szCs w:val="16"/>
              </w:rPr>
              <w:tab/>
            </w:r>
            <w:r w:rsidRPr="00124987">
              <w:rPr>
                <w:bCs/>
                <w:sz w:val="16"/>
                <w:szCs w:val="16"/>
              </w:rPr>
              <w:t>IX.1 Servicios de apoyo eficaces, eficientes, de calidad y orientados al cliente, tanto a los clientes internos como a las partes interesadas externas</w:t>
            </w:r>
          </w:p>
        </w:tc>
      </w:tr>
      <w:tr w:rsidR="00221F0B" w:rsidRPr="00124987" w:rsidTr="003B1330">
        <w:tc>
          <w:tcPr>
            <w:tcW w:w="1137" w:type="pct"/>
            <w:tcBorders>
              <w:top w:val="single" w:sz="4" w:space="0" w:color="auto"/>
            </w:tcBorders>
            <w:shd w:val="clear" w:color="auto" w:fill="auto"/>
            <w:vAlign w:val="center"/>
          </w:tcPr>
          <w:p w:rsidR="00221F0B" w:rsidRPr="00124987" w:rsidRDefault="00221F0B" w:rsidP="00DC1333">
            <w:pPr>
              <w:spacing w:after="120"/>
              <w:rPr>
                <w:sz w:val="16"/>
                <w:szCs w:val="16"/>
              </w:rPr>
            </w:pPr>
            <w:r w:rsidRPr="00124987">
              <w:rPr>
                <w:b/>
                <w:sz w:val="16"/>
                <w:szCs w:val="16"/>
              </w:rPr>
              <w:t>Indicadores de rendimiento</w:t>
            </w:r>
          </w:p>
        </w:tc>
        <w:tc>
          <w:tcPr>
            <w:tcW w:w="1287" w:type="pct"/>
            <w:tcBorders>
              <w:top w:val="single" w:sz="4" w:space="0" w:color="auto"/>
            </w:tcBorders>
            <w:shd w:val="clear" w:color="auto" w:fill="auto"/>
            <w:vAlign w:val="center"/>
          </w:tcPr>
          <w:p w:rsidR="00221F0B" w:rsidRPr="00124987" w:rsidRDefault="00221F0B" w:rsidP="00DC1333">
            <w:pPr>
              <w:spacing w:after="120"/>
              <w:rPr>
                <w:b/>
                <w:bCs/>
                <w:sz w:val="16"/>
                <w:szCs w:val="16"/>
              </w:rPr>
            </w:pPr>
            <w:r w:rsidRPr="00124987">
              <w:rPr>
                <w:b/>
                <w:bCs/>
                <w:sz w:val="16"/>
                <w:szCs w:val="16"/>
              </w:rPr>
              <w:t>Referencia</w:t>
            </w:r>
          </w:p>
        </w:tc>
        <w:tc>
          <w:tcPr>
            <w:tcW w:w="911" w:type="pct"/>
            <w:tcBorders>
              <w:top w:val="single" w:sz="4" w:space="0" w:color="auto"/>
            </w:tcBorders>
            <w:shd w:val="clear" w:color="auto" w:fill="auto"/>
            <w:tcMar>
              <w:top w:w="110" w:type="dxa"/>
            </w:tcMar>
            <w:vAlign w:val="center"/>
          </w:tcPr>
          <w:p w:rsidR="00221F0B" w:rsidRPr="00124987" w:rsidRDefault="00221F0B" w:rsidP="00DC1333">
            <w:pPr>
              <w:spacing w:after="120"/>
              <w:rPr>
                <w:b/>
                <w:sz w:val="16"/>
                <w:szCs w:val="16"/>
              </w:rPr>
            </w:pPr>
            <w:r w:rsidRPr="00124987">
              <w:rPr>
                <w:b/>
                <w:sz w:val="16"/>
                <w:szCs w:val="16"/>
              </w:rPr>
              <w:t>Objetivos</w:t>
            </w:r>
          </w:p>
        </w:tc>
        <w:tc>
          <w:tcPr>
            <w:tcW w:w="1059" w:type="pct"/>
            <w:tcBorders>
              <w:top w:val="single" w:sz="4" w:space="0" w:color="auto"/>
            </w:tcBorders>
            <w:shd w:val="clear" w:color="auto" w:fill="FFFFFF"/>
            <w:tcMar>
              <w:top w:w="110" w:type="dxa"/>
            </w:tcMar>
            <w:vAlign w:val="center"/>
          </w:tcPr>
          <w:p w:rsidR="00221F0B" w:rsidRPr="00124987" w:rsidRDefault="00221F0B" w:rsidP="00DC1333">
            <w:pPr>
              <w:spacing w:after="120"/>
              <w:rPr>
                <w:sz w:val="16"/>
                <w:szCs w:val="16"/>
              </w:rPr>
            </w:pPr>
            <w:r w:rsidRPr="00124987">
              <w:rPr>
                <w:b/>
                <w:sz w:val="16"/>
                <w:szCs w:val="16"/>
              </w:rPr>
              <w:t>Datos sobre el rendimiento</w:t>
            </w:r>
          </w:p>
        </w:tc>
        <w:tc>
          <w:tcPr>
            <w:tcW w:w="606" w:type="pct"/>
            <w:tcBorders>
              <w:top w:val="single" w:sz="4" w:space="0" w:color="auto"/>
            </w:tcBorders>
            <w:shd w:val="clear" w:color="auto" w:fill="auto"/>
            <w:tcMar>
              <w:top w:w="110" w:type="dxa"/>
            </w:tcMar>
            <w:vAlign w:val="center"/>
          </w:tcPr>
          <w:p w:rsidR="00221F0B" w:rsidRPr="00124987" w:rsidRDefault="00221F0B" w:rsidP="00DC1333">
            <w:pPr>
              <w:spacing w:after="120"/>
              <w:ind w:left="96"/>
              <w:jc w:val="center"/>
              <w:rPr>
                <w:b/>
                <w:bCs/>
                <w:sz w:val="16"/>
                <w:szCs w:val="16"/>
              </w:rPr>
            </w:pPr>
            <w:r w:rsidRPr="00124987">
              <w:rPr>
                <w:b/>
                <w:bCs/>
                <w:sz w:val="16"/>
                <w:szCs w:val="16"/>
              </w:rPr>
              <w:t>Clave de colores</w:t>
            </w:r>
          </w:p>
        </w:tc>
      </w:tr>
      <w:tr w:rsidR="00221F0B" w:rsidRPr="00124987" w:rsidTr="003B1330">
        <w:tc>
          <w:tcPr>
            <w:tcW w:w="1137" w:type="pct"/>
            <w:shd w:val="clear" w:color="auto" w:fill="auto"/>
          </w:tcPr>
          <w:p w:rsidR="00221F0B" w:rsidRPr="00124987" w:rsidRDefault="00221F0B" w:rsidP="00DC1333">
            <w:pPr>
              <w:rPr>
                <w:sz w:val="16"/>
                <w:szCs w:val="16"/>
              </w:rPr>
            </w:pPr>
            <w:r w:rsidRPr="00124987">
              <w:rPr>
                <w:sz w:val="16"/>
                <w:szCs w:val="16"/>
              </w:rPr>
              <w:t>Porcentaje de miembros del personal satisfechos de los servicios de recursos humanos</w:t>
            </w:r>
          </w:p>
        </w:tc>
        <w:tc>
          <w:tcPr>
            <w:tcW w:w="1287" w:type="pct"/>
            <w:shd w:val="clear" w:color="auto" w:fill="auto"/>
          </w:tcPr>
          <w:p w:rsidR="00221F0B" w:rsidRPr="00124987" w:rsidRDefault="00221F0B" w:rsidP="00DC1333">
            <w:pPr>
              <w:rPr>
                <w:color w:val="002060"/>
                <w:sz w:val="16"/>
                <w:szCs w:val="16"/>
                <w:lang w:bidi="th-TH"/>
              </w:rPr>
            </w:pPr>
            <w:r w:rsidRPr="00124987">
              <w:rPr>
                <w:i/>
                <w:color w:val="002060"/>
                <w:sz w:val="16"/>
                <w:szCs w:val="16"/>
              </w:rPr>
              <w:t xml:space="preserve">Referencia actualizada a fines de 2013:  </w:t>
            </w:r>
            <w:r w:rsidRPr="00124987">
              <w:rPr>
                <w:color w:val="002060"/>
                <w:sz w:val="16"/>
                <w:szCs w:val="16"/>
                <w:lang w:bidi="th-TH"/>
              </w:rPr>
              <w:t>Muy satisfechos:  31,2%</w:t>
            </w:r>
          </w:p>
          <w:p w:rsidR="00221F0B" w:rsidRPr="00124987" w:rsidRDefault="00221F0B" w:rsidP="00DC1333">
            <w:pPr>
              <w:rPr>
                <w:color w:val="002060"/>
                <w:sz w:val="16"/>
                <w:szCs w:val="16"/>
                <w:lang w:bidi="th-TH"/>
              </w:rPr>
            </w:pPr>
            <w:r w:rsidRPr="00124987">
              <w:rPr>
                <w:color w:val="002060"/>
                <w:sz w:val="16"/>
                <w:szCs w:val="16"/>
                <w:lang w:bidi="th-TH"/>
              </w:rPr>
              <w:t>Satisfechos:  46,2%</w:t>
            </w:r>
          </w:p>
          <w:p w:rsidR="00221F0B" w:rsidRPr="00124987" w:rsidRDefault="00221F0B" w:rsidP="00DC1333">
            <w:pPr>
              <w:rPr>
                <w:color w:val="002060"/>
                <w:sz w:val="16"/>
                <w:szCs w:val="16"/>
                <w:lang w:bidi="th-TH"/>
              </w:rPr>
            </w:pPr>
            <w:r w:rsidRPr="00124987">
              <w:rPr>
                <w:color w:val="002060"/>
                <w:sz w:val="16"/>
                <w:szCs w:val="16"/>
                <w:lang w:bidi="th-TH"/>
              </w:rPr>
              <w:t>Insatisfechos:  18,9%</w:t>
            </w:r>
          </w:p>
          <w:p w:rsidR="00221F0B" w:rsidRPr="00124987" w:rsidRDefault="00221F0B" w:rsidP="00DC1333">
            <w:pPr>
              <w:rPr>
                <w:color w:val="002060"/>
                <w:sz w:val="16"/>
                <w:szCs w:val="16"/>
              </w:rPr>
            </w:pPr>
            <w:r w:rsidRPr="00124987">
              <w:rPr>
                <w:color w:val="002060"/>
                <w:sz w:val="16"/>
                <w:szCs w:val="16"/>
              </w:rPr>
              <w:t>Muy insatisfechos: 3,7%</w:t>
            </w:r>
          </w:p>
          <w:p w:rsidR="00221F0B" w:rsidRPr="00124987" w:rsidRDefault="00221F0B" w:rsidP="00DC1333">
            <w:pPr>
              <w:rPr>
                <w:i/>
                <w:color w:val="002060"/>
                <w:sz w:val="8"/>
                <w:szCs w:val="8"/>
              </w:rPr>
            </w:pPr>
          </w:p>
          <w:p w:rsidR="00221F0B" w:rsidRPr="00124987" w:rsidRDefault="00221F0B" w:rsidP="00DC1333">
            <w:pPr>
              <w:rPr>
                <w:sz w:val="16"/>
                <w:szCs w:val="16"/>
              </w:rPr>
            </w:pPr>
            <w:r w:rsidRPr="00124987">
              <w:rPr>
                <w:i/>
                <w:sz w:val="16"/>
                <w:szCs w:val="16"/>
              </w:rPr>
              <w:t>Referencia original en el presupuesto de 2014/15:</w:t>
            </w:r>
            <w:r w:rsidRPr="00124987">
              <w:rPr>
                <w:sz w:val="16"/>
                <w:szCs w:val="16"/>
              </w:rPr>
              <w:t xml:space="preserve">  </w:t>
            </w:r>
          </w:p>
          <w:p w:rsidR="00221F0B" w:rsidRPr="00124987" w:rsidRDefault="00221F0B" w:rsidP="00DC1333">
            <w:pPr>
              <w:rPr>
                <w:sz w:val="16"/>
                <w:szCs w:val="16"/>
              </w:rPr>
            </w:pPr>
            <w:r w:rsidRPr="00124987">
              <w:rPr>
                <w:sz w:val="16"/>
                <w:szCs w:val="16"/>
              </w:rPr>
              <w:t>Muy satisfechos:  31,2%</w:t>
            </w:r>
          </w:p>
          <w:p w:rsidR="00221F0B" w:rsidRPr="00124987" w:rsidRDefault="00221F0B" w:rsidP="00DC1333">
            <w:pPr>
              <w:rPr>
                <w:sz w:val="16"/>
                <w:szCs w:val="16"/>
              </w:rPr>
            </w:pPr>
            <w:r w:rsidRPr="00124987">
              <w:rPr>
                <w:sz w:val="16"/>
                <w:szCs w:val="16"/>
              </w:rPr>
              <w:t>Satisfecho:  48,8%</w:t>
            </w:r>
          </w:p>
          <w:p w:rsidR="00221F0B" w:rsidRPr="00124987" w:rsidRDefault="00221F0B" w:rsidP="00DC1333">
            <w:pPr>
              <w:rPr>
                <w:sz w:val="16"/>
                <w:szCs w:val="16"/>
              </w:rPr>
            </w:pPr>
            <w:r w:rsidRPr="00124987">
              <w:rPr>
                <w:sz w:val="16"/>
                <w:szCs w:val="16"/>
              </w:rPr>
              <w:t>Insatisfecho:  17,1%</w:t>
            </w:r>
          </w:p>
          <w:p w:rsidR="00221F0B" w:rsidRPr="00124987" w:rsidRDefault="00221F0B" w:rsidP="00DC1333">
            <w:pPr>
              <w:rPr>
                <w:sz w:val="16"/>
                <w:szCs w:val="16"/>
              </w:rPr>
            </w:pPr>
            <w:r w:rsidRPr="00124987">
              <w:rPr>
                <w:sz w:val="16"/>
                <w:szCs w:val="16"/>
              </w:rPr>
              <w:t>Muy insatisfechos: 2,9%</w:t>
            </w:r>
          </w:p>
        </w:tc>
        <w:tc>
          <w:tcPr>
            <w:tcW w:w="911" w:type="pct"/>
            <w:shd w:val="clear" w:color="auto" w:fill="auto"/>
            <w:tcMar>
              <w:top w:w="110" w:type="dxa"/>
            </w:tcMar>
          </w:tcPr>
          <w:p w:rsidR="00221F0B" w:rsidRPr="00124987" w:rsidRDefault="00221F0B" w:rsidP="00DC1333">
            <w:pPr>
              <w:rPr>
                <w:sz w:val="16"/>
                <w:szCs w:val="16"/>
                <w:lang w:bidi="th-TH"/>
              </w:rPr>
            </w:pPr>
            <w:r w:rsidRPr="00124987">
              <w:rPr>
                <w:sz w:val="16"/>
                <w:szCs w:val="16"/>
                <w:lang w:bidi="th-TH"/>
              </w:rPr>
              <w:t>85 % muy satisfechos o satisfechos</w:t>
            </w:r>
          </w:p>
        </w:tc>
        <w:tc>
          <w:tcPr>
            <w:tcW w:w="1059" w:type="pct"/>
            <w:shd w:val="clear" w:color="auto" w:fill="FFFFFF"/>
            <w:tcMar>
              <w:top w:w="110" w:type="dxa"/>
            </w:tcMar>
          </w:tcPr>
          <w:p w:rsidR="00221F0B" w:rsidRPr="00124987" w:rsidRDefault="00221F0B" w:rsidP="00DC1333">
            <w:pPr>
              <w:rPr>
                <w:sz w:val="16"/>
                <w:szCs w:val="16"/>
              </w:rPr>
            </w:pPr>
            <w:r w:rsidRPr="00124987">
              <w:rPr>
                <w:sz w:val="16"/>
                <w:szCs w:val="16"/>
                <w:lang w:bidi="th-TH"/>
              </w:rPr>
              <w:t>No se llevó a cabo ninguna encuesta en 2014/15</w:t>
            </w:r>
          </w:p>
        </w:tc>
        <w:tc>
          <w:tcPr>
            <w:tcW w:w="606" w:type="pct"/>
            <w:shd w:val="clear" w:color="auto" w:fill="auto"/>
            <w:tcMar>
              <w:top w:w="110" w:type="dxa"/>
            </w:tcMar>
          </w:tcPr>
          <w:p w:rsidR="00221F0B" w:rsidRPr="00124987" w:rsidRDefault="00221F0B" w:rsidP="00DC1333">
            <w:pPr>
              <w:spacing w:after="120"/>
              <w:ind w:right="-107"/>
              <w:jc w:val="center"/>
              <w:rPr>
                <w:b/>
                <w:bCs/>
                <w:color w:val="00B050"/>
                <w:sz w:val="16"/>
                <w:szCs w:val="16"/>
              </w:rPr>
            </w:pPr>
            <w:r w:rsidRPr="00124987">
              <w:rPr>
                <w:b/>
                <w:bCs/>
                <w:color w:val="808080" w:themeColor="background1" w:themeShade="80"/>
                <w:sz w:val="16"/>
                <w:szCs w:val="16"/>
              </w:rPr>
              <w:t>No mensurable</w:t>
            </w:r>
          </w:p>
        </w:tc>
      </w:tr>
      <w:tr w:rsidR="00221F0B" w:rsidRPr="00124987" w:rsidTr="003B1330">
        <w:tc>
          <w:tcPr>
            <w:tcW w:w="1137" w:type="pct"/>
            <w:tcBorders>
              <w:bottom w:val="single" w:sz="4" w:space="0" w:color="auto"/>
            </w:tcBorders>
            <w:shd w:val="clear" w:color="auto" w:fill="auto"/>
          </w:tcPr>
          <w:p w:rsidR="00221F0B" w:rsidRPr="00124987" w:rsidRDefault="00221F0B" w:rsidP="00DC1333">
            <w:pPr>
              <w:rPr>
                <w:sz w:val="16"/>
                <w:szCs w:val="16"/>
              </w:rPr>
            </w:pPr>
            <w:r w:rsidRPr="00124987">
              <w:rPr>
                <w:sz w:val="16"/>
                <w:szCs w:val="16"/>
              </w:rPr>
              <w:t>Prestación puntual, precisa y eficaz de servicios de operaciones en materia de recursos humanos</w:t>
            </w:r>
          </w:p>
          <w:p w:rsidR="00221F0B" w:rsidRPr="00124987" w:rsidRDefault="00221F0B" w:rsidP="00DC1333">
            <w:pPr>
              <w:rPr>
                <w:sz w:val="16"/>
                <w:szCs w:val="16"/>
              </w:rPr>
            </w:pPr>
          </w:p>
        </w:tc>
        <w:tc>
          <w:tcPr>
            <w:tcW w:w="1287" w:type="pct"/>
            <w:tcBorders>
              <w:bottom w:val="single" w:sz="4" w:space="0" w:color="auto"/>
            </w:tcBorders>
            <w:shd w:val="clear" w:color="auto" w:fill="auto"/>
          </w:tcPr>
          <w:p w:rsidR="00221F0B" w:rsidRPr="00124987" w:rsidRDefault="00221F0B" w:rsidP="00DC1333">
            <w:pPr>
              <w:rPr>
                <w:sz w:val="16"/>
                <w:szCs w:val="16"/>
              </w:rPr>
            </w:pPr>
            <w:r w:rsidRPr="00124987">
              <w:rPr>
                <w:sz w:val="16"/>
                <w:szCs w:val="16"/>
              </w:rPr>
              <w:t>Siete días laborables</w:t>
            </w:r>
          </w:p>
        </w:tc>
        <w:tc>
          <w:tcPr>
            <w:tcW w:w="911" w:type="pct"/>
            <w:tcBorders>
              <w:bottom w:val="single" w:sz="4" w:space="0" w:color="auto"/>
            </w:tcBorders>
            <w:shd w:val="clear" w:color="auto" w:fill="auto"/>
            <w:tcMar>
              <w:top w:w="110" w:type="dxa"/>
            </w:tcMar>
          </w:tcPr>
          <w:p w:rsidR="00221F0B" w:rsidRPr="00124987" w:rsidRDefault="00221F0B" w:rsidP="00DC1333">
            <w:pPr>
              <w:rPr>
                <w:sz w:val="16"/>
                <w:szCs w:val="16"/>
              </w:rPr>
            </w:pPr>
            <w:r w:rsidRPr="00124987">
              <w:rPr>
                <w:sz w:val="16"/>
                <w:szCs w:val="16"/>
              </w:rPr>
              <w:t>Cinco días laborables</w:t>
            </w:r>
          </w:p>
        </w:tc>
        <w:tc>
          <w:tcPr>
            <w:tcW w:w="1059" w:type="pct"/>
            <w:tcBorders>
              <w:bottom w:val="single" w:sz="4" w:space="0" w:color="auto"/>
            </w:tcBorders>
            <w:shd w:val="clear" w:color="auto" w:fill="FFFFFF"/>
            <w:tcMar>
              <w:top w:w="110" w:type="dxa"/>
            </w:tcMar>
          </w:tcPr>
          <w:p w:rsidR="00221F0B" w:rsidRPr="00124987" w:rsidRDefault="00221F0B" w:rsidP="00DC1333">
            <w:pPr>
              <w:rPr>
                <w:sz w:val="16"/>
                <w:szCs w:val="16"/>
              </w:rPr>
            </w:pPr>
            <w:r w:rsidRPr="00124987">
              <w:rPr>
                <w:sz w:val="16"/>
                <w:szCs w:val="16"/>
              </w:rPr>
              <w:t>El 100% de las solicitudes de información registradas en el sistema de control de solicitudes (WINS) de la OMPI fueron atendidas en un plazo de cinco días laborables</w:t>
            </w:r>
          </w:p>
        </w:tc>
        <w:tc>
          <w:tcPr>
            <w:tcW w:w="606" w:type="pct"/>
            <w:tcBorders>
              <w:bottom w:val="single" w:sz="4" w:space="0" w:color="auto"/>
            </w:tcBorders>
            <w:shd w:val="clear" w:color="auto" w:fill="auto"/>
            <w:tcMar>
              <w:top w:w="110" w:type="dxa"/>
            </w:tcMar>
          </w:tcPr>
          <w:p w:rsidR="00221F0B" w:rsidRPr="00124987" w:rsidRDefault="00221F0B" w:rsidP="00DC1333">
            <w:pPr>
              <w:spacing w:after="120"/>
              <w:ind w:right="-107"/>
              <w:jc w:val="center"/>
              <w:rPr>
                <w:bCs/>
                <w:color w:val="00B050"/>
                <w:sz w:val="16"/>
                <w:szCs w:val="16"/>
              </w:rPr>
            </w:pPr>
            <w:r w:rsidRPr="00124987">
              <w:rPr>
                <w:b/>
                <w:color w:val="00B050"/>
                <w:sz w:val="16"/>
                <w:szCs w:val="16"/>
              </w:rPr>
              <w:t>Plenamente logrado</w:t>
            </w:r>
          </w:p>
        </w:tc>
      </w:tr>
      <w:tr w:rsidR="00221F0B" w:rsidRPr="00124987" w:rsidTr="003B1330">
        <w:tc>
          <w:tcPr>
            <w:tcW w:w="5000" w:type="pct"/>
            <w:gridSpan w:val="5"/>
            <w:tcBorders>
              <w:top w:val="single" w:sz="4" w:space="0" w:color="auto"/>
              <w:bottom w:val="single" w:sz="4" w:space="0" w:color="auto"/>
            </w:tcBorders>
            <w:shd w:val="clear" w:color="auto" w:fill="C6D9F1" w:themeFill="text2" w:themeFillTint="33"/>
            <w:vAlign w:val="center"/>
          </w:tcPr>
          <w:p w:rsidR="00221F0B" w:rsidRPr="00124987" w:rsidRDefault="00221F0B" w:rsidP="00DC1333">
            <w:pPr>
              <w:spacing w:before="120" w:after="120"/>
              <w:ind w:left="2019" w:hanging="2019"/>
              <w:rPr>
                <w:b/>
                <w:bCs/>
                <w:sz w:val="16"/>
                <w:szCs w:val="16"/>
              </w:rPr>
            </w:pPr>
            <w:r w:rsidRPr="00124987">
              <w:rPr>
                <w:b/>
                <w:bCs/>
                <w:sz w:val="16"/>
                <w:szCs w:val="16"/>
              </w:rPr>
              <w:t>Resultado previsto:</w:t>
            </w:r>
            <w:r w:rsidRPr="00124987">
              <w:rPr>
                <w:b/>
                <w:bCs/>
                <w:sz w:val="16"/>
                <w:szCs w:val="16"/>
              </w:rPr>
              <w:tab/>
            </w:r>
            <w:r w:rsidRPr="00124987">
              <w:rPr>
                <w:bCs/>
                <w:sz w:val="16"/>
                <w:szCs w:val="16"/>
              </w:rPr>
              <w:t>IX.2 Funcionamiento sin contratiempos de la Secretaría, provista de un personal bien dirigido, dotado de las competencias adecuadas y capaz de conseguir resultados</w:t>
            </w:r>
          </w:p>
        </w:tc>
      </w:tr>
      <w:tr w:rsidR="00221F0B" w:rsidRPr="00124987" w:rsidTr="003B1330">
        <w:trPr>
          <w:trHeight w:val="681"/>
        </w:trPr>
        <w:tc>
          <w:tcPr>
            <w:tcW w:w="1137" w:type="pct"/>
            <w:tcBorders>
              <w:top w:val="single" w:sz="4" w:space="0" w:color="auto"/>
            </w:tcBorders>
            <w:shd w:val="clear" w:color="auto" w:fill="auto"/>
            <w:vAlign w:val="center"/>
          </w:tcPr>
          <w:p w:rsidR="00221F0B" w:rsidRPr="00124987" w:rsidRDefault="00221F0B" w:rsidP="00DC1333">
            <w:pPr>
              <w:rPr>
                <w:sz w:val="16"/>
                <w:szCs w:val="16"/>
              </w:rPr>
            </w:pPr>
            <w:r w:rsidRPr="00124987">
              <w:rPr>
                <w:b/>
                <w:sz w:val="16"/>
                <w:szCs w:val="16"/>
              </w:rPr>
              <w:t>Indicadores de rendimiento</w:t>
            </w:r>
          </w:p>
        </w:tc>
        <w:tc>
          <w:tcPr>
            <w:tcW w:w="1287" w:type="pct"/>
            <w:tcBorders>
              <w:top w:val="single" w:sz="4" w:space="0" w:color="auto"/>
            </w:tcBorders>
            <w:shd w:val="clear" w:color="auto" w:fill="auto"/>
            <w:vAlign w:val="center"/>
          </w:tcPr>
          <w:p w:rsidR="00221F0B" w:rsidRPr="00124987" w:rsidRDefault="00221F0B" w:rsidP="00DC1333">
            <w:pPr>
              <w:rPr>
                <w:b/>
                <w:bCs/>
                <w:sz w:val="16"/>
                <w:szCs w:val="16"/>
              </w:rPr>
            </w:pPr>
            <w:r w:rsidRPr="00124987">
              <w:rPr>
                <w:b/>
                <w:bCs/>
                <w:sz w:val="16"/>
                <w:szCs w:val="16"/>
              </w:rPr>
              <w:t>Referencia</w:t>
            </w:r>
          </w:p>
        </w:tc>
        <w:tc>
          <w:tcPr>
            <w:tcW w:w="911" w:type="pct"/>
            <w:tcBorders>
              <w:top w:val="single" w:sz="4" w:space="0" w:color="auto"/>
            </w:tcBorders>
            <w:shd w:val="clear" w:color="auto" w:fill="auto"/>
            <w:tcMar>
              <w:top w:w="110" w:type="dxa"/>
            </w:tcMar>
            <w:vAlign w:val="center"/>
          </w:tcPr>
          <w:p w:rsidR="00221F0B" w:rsidRPr="00124987" w:rsidRDefault="00221F0B" w:rsidP="00DC1333">
            <w:pPr>
              <w:rPr>
                <w:b/>
                <w:sz w:val="16"/>
                <w:szCs w:val="16"/>
              </w:rPr>
            </w:pPr>
            <w:r w:rsidRPr="00124987">
              <w:rPr>
                <w:b/>
                <w:sz w:val="16"/>
                <w:szCs w:val="16"/>
              </w:rPr>
              <w:t>Objetivos</w:t>
            </w:r>
          </w:p>
        </w:tc>
        <w:tc>
          <w:tcPr>
            <w:tcW w:w="1059" w:type="pct"/>
            <w:tcBorders>
              <w:top w:val="single" w:sz="4" w:space="0" w:color="auto"/>
            </w:tcBorders>
            <w:shd w:val="clear" w:color="auto" w:fill="FFFFFF"/>
            <w:tcMar>
              <w:top w:w="110" w:type="dxa"/>
            </w:tcMar>
            <w:vAlign w:val="center"/>
          </w:tcPr>
          <w:p w:rsidR="00221F0B" w:rsidRPr="00124987" w:rsidRDefault="00221F0B" w:rsidP="00DC1333">
            <w:pPr>
              <w:rPr>
                <w:sz w:val="16"/>
                <w:szCs w:val="16"/>
              </w:rPr>
            </w:pPr>
            <w:r w:rsidRPr="00124987">
              <w:rPr>
                <w:b/>
                <w:sz w:val="16"/>
                <w:szCs w:val="16"/>
              </w:rPr>
              <w:t>Datos sobre el rendimiento</w:t>
            </w:r>
          </w:p>
        </w:tc>
        <w:tc>
          <w:tcPr>
            <w:tcW w:w="606" w:type="pct"/>
            <w:tcBorders>
              <w:top w:val="single" w:sz="4" w:space="0" w:color="auto"/>
            </w:tcBorders>
            <w:shd w:val="clear" w:color="auto" w:fill="auto"/>
            <w:tcMar>
              <w:top w:w="110" w:type="dxa"/>
            </w:tcMar>
            <w:vAlign w:val="center"/>
          </w:tcPr>
          <w:p w:rsidR="00221F0B" w:rsidRPr="00124987" w:rsidRDefault="00221F0B" w:rsidP="00DC1333">
            <w:pPr>
              <w:jc w:val="center"/>
              <w:rPr>
                <w:b/>
                <w:bCs/>
                <w:sz w:val="16"/>
                <w:szCs w:val="16"/>
              </w:rPr>
            </w:pPr>
            <w:r w:rsidRPr="00124987">
              <w:rPr>
                <w:b/>
                <w:bCs/>
                <w:sz w:val="16"/>
                <w:szCs w:val="16"/>
              </w:rPr>
              <w:t>Clave de colores</w:t>
            </w:r>
          </w:p>
        </w:tc>
      </w:tr>
      <w:tr w:rsidR="00221F0B" w:rsidRPr="00124987" w:rsidTr="003B1330">
        <w:tc>
          <w:tcPr>
            <w:tcW w:w="1137" w:type="pct"/>
            <w:shd w:val="clear" w:color="auto" w:fill="auto"/>
          </w:tcPr>
          <w:p w:rsidR="00221F0B" w:rsidRPr="00124987" w:rsidRDefault="00221F0B" w:rsidP="00DC1333">
            <w:pPr>
              <w:rPr>
                <w:sz w:val="16"/>
                <w:szCs w:val="16"/>
              </w:rPr>
            </w:pPr>
            <w:r w:rsidRPr="00124987">
              <w:rPr>
                <w:sz w:val="16"/>
                <w:szCs w:val="16"/>
              </w:rPr>
              <w:t>Duración del proceso de contratación</w:t>
            </w:r>
          </w:p>
        </w:tc>
        <w:tc>
          <w:tcPr>
            <w:tcW w:w="1287" w:type="pct"/>
            <w:shd w:val="clear" w:color="auto" w:fill="auto"/>
          </w:tcPr>
          <w:p w:rsidR="00221F0B" w:rsidRPr="00124987" w:rsidRDefault="00221F0B" w:rsidP="00DC1333">
            <w:pPr>
              <w:rPr>
                <w:color w:val="002060"/>
                <w:sz w:val="16"/>
                <w:szCs w:val="16"/>
              </w:rPr>
            </w:pPr>
            <w:r w:rsidRPr="00124987">
              <w:rPr>
                <w:i/>
                <w:color w:val="002060"/>
                <w:sz w:val="16"/>
                <w:szCs w:val="16"/>
              </w:rPr>
              <w:t xml:space="preserve">Referencia actualizada a fines de 2013:  </w:t>
            </w:r>
            <w:r w:rsidRPr="00124987">
              <w:rPr>
                <w:color w:val="002060"/>
                <w:sz w:val="16"/>
                <w:szCs w:val="16"/>
              </w:rPr>
              <w:t>Promedio del bienio:  16,03 semanas (al 19 de marzo de 2014)</w:t>
            </w:r>
          </w:p>
          <w:p w:rsidR="00221F0B" w:rsidRPr="00124987" w:rsidRDefault="00221F0B" w:rsidP="00DC1333">
            <w:pPr>
              <w:pStyle w:val="ListParagraph"/>
              <w:ind w:left="0"/>
              <w:rPr>
                <w:rFonts w:cs="Arial"/>
                <w:color w:val="002060"/>
                <w:sz w:val="16"/>
                <w:szCs w:val="16"/>
                <w:lang w:val="es-ES"/>
              </w:rPr>
            </w:pPr>
            <w:r w:rsidRPr="00124987">
              <w:rPr>
                <w:rFonts w:cs="Arial"/>
                <w:color w:val="002060"/>
                <w:sz w:val="16"/>
                <w:szCs w:val="16"/>
                <w:lang w:val="es-ES"/>
              </w:rPr>
              <w:t>2012: 16,5 semanas</w:t>
            </w:r>
          </w:p>
          <w:p w:rsidR="00221F0B" w:rsidRPr="00124987" w:rsidRDefault="00221F0B" w:rsidP="00DC1333">
            <w:pPr>
              <w:pStyle w:val="ListParagraph"/>
              <w:ind w:left="0"/>
              <w:rPr>
                <w:color w:val="002060"/>
                <w:sz w:val="16"/>
                <w:szCs w:val="16"/>
                <w:lang w:val="es-ES"/>
              </w:rPr>
            </w:pPr>
            <w:r w:rsidRPr="00124987">
              <w:rPr>
                <w:color w:val="002060"/>
                <w:sz w:val="16"/>
                <w:szCs w:val="16"/>
                <w:lang w:val="es-ES"/>
              </w:rPr>
              <w:t>2013: 15,56 semanas</w:t>
            </w:r>
          </w:p>
          <w:p w:rsidR="00221F0B" w:rsidRPr="00124987" w:rsidRDefault="00221F0B" w:rsidP="00DC1333">
            <w:pPr>
              <w:rPr>
                <w:i/>
                <w:color w:val="002060"/>
                <w:sz w:val="8"/>
                <w:szCs w:val="8"/>
              </w:rPr>
            </w:pPr>
          </w:p>
          <w:p w:rsidR="00221F0B" w:rsidRPr="00124987" w:rsidRDefault="00221F0B" w:rsidP="00DC1333">
            <w:pPr>
              <w:rPr>
                <w:sz w:val="16"/>
                <w:szCs w:val="16"/>
              </w:rPr>
            </w:pPr>
            <w:r w:rsidRPr="00124987">
              <w:rPr>
                <w:i/>
                <w:sz w:val="16"/>
                <w:szCs w:val="16"/>
              </w:rPr>
              <w:t>Referencia original en el presupuesto de 2014/15:</w:t>
            </w:r>
            <w:r w:rsidRPr="00124987">
              <w:rPr>
                <w:sz w:val="16"/>
                <w:szCs w:val="16"/>
              </w:rPr>
              <w:t xml:space="preserve">  21 semanas</w:t>
            </w:r>
          </w:p>
        </w:tc>
        <w:tc>
          <w:tcPr>
            <w:tcW w:w="911" w:type="pct"/>
            <w:shd w:val="clear" w:color="auto" w:fill="auto"/>
            <w:tcMar>
              <w:top w:w="110" w:type="dxa"/>
            </w:tcMar>
          </w:tcPr>
          <w:p w:rsidR="00221F0B" w:rsidRPr="00124987" w:rsidRDefault="00221F0B" w:rsidP="00DC1333">
            <w:pPr>
              <w:rPr>
                <w:sz w:val="16"/>
                <w:szCs w:val="16"/>
              </w:rPr>
            </w:pPr>
            <w:r w:rsidRPr="00124987">
              <w:rPr>
                <w:sz w:val="16"/>
                <w:szCs w:val="16"/>
              </w:rPr>
              <w:t>19 semanas</w:t>
            </w:r>
          </w:p>
        </w:tc>
        <w:tc>
          <w:tcPr>
            <w:tcW w:w="1059" w:type="pct"/>
            <w:shd w:val="clear" w:color="auto" w:fill="FFFFFF"/>
            <w:tcMar>
              <w:top w:w="110" w:type="dxa"/>
            </w:tcMar>
          </w:tcPr>
          <w:p w:rsidR="00221F0B" w:rsidRPr="00124987" w:rsidRDefault="00221F0B" w:rsidP="00DC1333">
            <w:pPr>
              <w:ind w:left="-64" w:right="-107"/>
              <w:rPr>
                <w:sz w:val="16"/>
                <w:szCs w:val="16"/>
              </w:rPr>
            </w:pPr>
            <w:r w:rsidRPr="00124987">
              <w:rPr>
                <w:sz w:val="16"/>
                <w:szCs w:val="16"/>
              </w:rPr>
              <w:t>Promedio del bienio:</w:t>
            </w:r>
          </w:p>
          <w:p w:rsidR="00221F0B" w:rsidRPr="00124987" w:rsidRDefault="00221F0B" w:rsidP="00DC1333">
            <w:pPr>
              <w:ind w:left="-64" w:right="-107"/>
              <w:rPr>
                <w:sz w:val="16"/>
                <w:szCs w:val="16"/>
              </w:rPr>
            </w:pPr>
            <w:r w:rsidRPr="00124987">
              <w:rPr>
                <w:sz w:val="16"/>
                <w:szCs w:val="16"/>
              </w:rPr>
              <w:t>19,77</w:t>
            </w:r>
          </w:p>
          <w:p w:rsidR="00221F0B" w:rsidRPr="00124987" w:rsidRDefault="00221F0B" w:rsidP="00DC1333">
            <w:pPr>
              <w:ind w:left="-64" w:right="-107"/>
              <w:rPr>
                <w:sz w:val="16"/>
                <w:szCs w:val="16"/>
              </w:rPr>
            </w:pPr>
            <w:r w:rsidRPr="00124987">
              <w:rPr>
                <w:sz w:val="16"/>
                <w:szCs w:val="16"/>
              </w:rPr>
              <w:t>2014:  17,28 semanas</w:t>
            </w:r>
            <w:r w:rsidRPr="00124987">
              <w:rPr>
                <w:rStyle w:val="FootnoteReference"/>
                <w:sz w:val="16"/>
                <w:szCs w:val="16"/>
              </w:rPr>
              <w:footnoteReference w:id="131"/>
            </w:r>
            <w:r w:rsidRPr="00124987">
              <w:rPr>
                <w:sz w:val="16"/>
                <w:szCs w:val="16"/>
              </w:rPr>
              <w:t xml:space="preserve"> (incluidos 29 empleados temporales con muchos años de servicio)</w:t>
            </w:r>
          </w:p>
          <w:p w:rsidR="00221F0B" w:rsidRPr="00124987" w:rsidRDefault="00221F0B" w:rsidP="00DC1333">
            <w:pPr>
              <w:ind w:left="-64" w:right="-107"/>
              <w:rPr>
                <w:sz w:val="16"/>
                <w:szCs w:val="16"/>
              </w:rPr>
            </w:pPr>
            <w:r w:rsidRPr="00124987">
              <w:rPr>
                <w:sz w:val="16"/>
                <w:szCs w:val="16"/>
              </w:rPr>
              <w:t>2015:  22,29 semanas</w:t>
            </w:r>
            <w:r w:rsidRPr="00124987">
              <w:rPr>
                <w:rStyle w:val="FootnoteReference"/>
                <w:sz w:val="16"/>
                <w:szCs w:val="16"/>
              </w:rPr>
              <w:footnoteReference w:id="132"/>
            </w:r>
            <w:r w:rsidRPr="00124987">
              <w:rPr>
                <w:sz w:val="16"/>
                <w:szCs w:val="16"/>
              </w:rPr>
              <w:t xml:space="preserve"> (sin empleados temporales con muchos años de servicio en 2015)</w:t>
            </w:r>
          </w:p>
        </w:tc>
        <w:tc>
          <w:tcPr>
            <w:tcW w:w="606" w:type="pct"/>
            <w:shd w:val="clear" w:color="auto" w:fill="auto"/>
            <w:tcMar>
              <w:top w:w="110" w:type="dxa"/>
            </w:tcMar>
          </w:tcPr>
          <w:p w:rsidR="00221F0B" w:rsidRPr="00124987" w:rsidRDefault="00221F0B" w:rsidP="00DC1333">
            <w:pPr>
              <w:spacing w:after="120"/>
              <w:ind w:right="-107"/>
              <w:jc w:val="center"/>
              <w:rPr>
                <w:bCs/>
                <w:color w:val="00B050"/>
                <w:sz w:val="16"/>
                <w:szCs w:val="16"/>
              </w:rPr>
            </w:pPr>
            <w:r w:rsidRPr="00124987">
              <w:rPr>
                <w:b/>
                <w:color w:val="00B050"/>
                <w:sz w:val="16"/>
                <w:szCs w:val="16"/>
              </w:rPr>
              <w:t>Plenamente logrado</w:t>
            </w:r>
          </w:p>
        </w:tc>
      </w:tr>
      <w:tr w:rsidR="00221F0B" w:rsidRPr="00124987" w:rsidTr="003B1330">
        <w:trPr>
          <w:trHeight w:val="1078"/>
        </w:trPr>
        <w:tc>
          <w:tcPr>
            <w:tcW w:w="1137" w:type="pct"/>
            <w:shd w:val="clear" w:color="auto" w:fill="auto"/>
          </w:tcPr>
          <w:p w:rsidR="00221F0B" w:rsidRPr="00124987" w:rsidRDefault="00221F0B" w:rsidP="00DC1333">
            <w:pPr>
              <w:rPr>
                <w:sz w:val="16"/>
                <w:szCs w:val="16"/>
              </w:rPr>
            </w:pPr>
            <w:r w:rsidRPr="00124987">
              <w:rPr>
                <w:sz w:val="16"/>
                <w:szCs w:val="16"/>
              </w:rPr>
              <w:t>Porcentaje de dependencias de la Organización cuyos planes de recursos humanos están vinculados a los planes de trabajo anuales</w:t>
            </w:r>
          </w:p>
        </w:tc>
        <w:tc>
          <w:tcPr>
            <w:tcW w:w="1287" w:type="pct"/>
            <w:shd w:val="clear" w:color="auto" w:fill="auto"/>
          </w:tcPr>
          <w:p w:rsidR="00221F0B" w:rsidRPr="00124987" w:rsidRDefault="00221F0B" w:rsidP="00DC1333">
            <w:pPr>
              <w:rPr>
                <w:color w:val="002060"/>
                <w:sz w:val="16"/>
                <w:szCs w:val="16"/>
                <w:lang w:bidi="th-TH"/>
              </w:rPr>
            </w:pPr>
            <w:r w:rsidRPr="00124987">
              <w:rPr>
                <w:i/>
                <w:color w:val="002060"/>
                <w:sz w:val="16"/>
                <w:szCs w:val="16"/>
                <w:lang w:bidi="th-TH"/>
              </w:rPr>
              <w:t xml:space="preserve">Referencia actualizada a fines de 2013:  </w:t>
            </w:r>
            <w:r w:rsidRPr="00124987">
              <w:rPr>
                <w:color w:val="002060"/>
                <w:sz w:val="16"/>
                <w:szCs w:val="16"/>
                <w:lang w:bidi="th-TH"/>
              </w:rPr>
              <w:t>0 (Cero)</w:t>
            </w:r>
          </w:p>
          <w:p w:rsidR="00221F0B" w:rsidRPr="00124987" w:rsidRDefault="00221F0B" w:rsidP="00DC1333">
            <w:pPr>
              <w:rPr>
                <w:i/>
                <w:color w:val="002060"/>
                <w:sz w:val="8"/>
                <w:szCs w:val="8"/>
              </w:rPr>
            </w:pPr>
          </w:p>
          <w:p w:rsidR="00221F0B" w:rsidRPr="00124987" w:rsidRDefault="00221F0B" w:rsidP="00DC1333">
            <w:pPr>
              <w:rPr>
                <w:sz w:val="16"/>
                <w:szCs w:val="16"/>
              </w:rPr>
            </w:pPr>
            <w:r w:rsidRPr="00124987">
              <w:rPr>
                <w:i/>
                <w:sz w:val="16"/>
                <w:szCs w:val="16"/>
              </w:rPr>
              <w:t>Referencia original en el presupuesto de 2014/15)</w:t>
            </w:r>
            <w:proofErr w:type="gramStart"/>
            <w:r w:rsidRPr="00124987">
              <w:rPr>
                <w:i/>
                <w:sz w:val="16"/>
                <w:szCs w:val="16"/>
              </w:rPr>
              <w:t xml:space="preserve">:  </w:t>
            </w:r>
            <w:r w:rsidRPr="00124987">
              <w:rPr>
                <w:sz w:val="16"/>
                <w:szCs w:val="16"/>
              </w:rPr>
              <w:t>Por</w:t>
            </w:r>
            <w:proofErr w:type="gramEnd"/>
            <w:r w:rsidRPr="00124987">
              <w:rPr>
                <w:sz w:val="16"/>
                <w:szCs w:val="16"/>
              </w:rPr>
              <w:t xml:space="preserve"> determinar.</w:t>
            </w:r>
          </w:p>
        </w:tc>
        <w:tc>
          <w:tcPr>
            <w:tcW w:w="911" w:type="pct"/>
            <w:shd w:val="clear" w:color="auto" w:fill="auto"/>
            <w:tcMar>
              <w:top w:w="110" w:type="dxa"/>
            </w:tcMar>
          </w:tcPr>
          <w:p w:rsidR="00221F0B" w:rsidRPr="00124987" w:rsidRDefault="00221F0B" w:rsidP="00DC1333">
            <w:pPr>
              <w:autoSpaceDE w:val="0"/>
              <w:autoSpaceDN w:val="0"/>
              <w:adjustRightInd w:val="0"/>
              <w:rPr>
                <w:sz w:val="16"/>
                <w:szCs w:val="16"/>
              </w:rPr>
            </w:pPr>
            <w:r w:rsidRPr="00124987">
              <w:rPr>
                <w:sz w:val="16"/>
                <w:szCs w:val="16"/>
              </w:rPr>
              <w:t xml:space="preserve">70% </w:t>
            </w:r>
          </w:p>
          <w:p w:rsidR="00221F0B" w:rsidRPr="00124987" w:rsidRDefault="00221F0B" w:rsidP="00DC1333">
            <w:pPr>
              <w:rPr>
                <w:sz w:val="16"/>
                <w:szCs w:val="16"/>
              </w:rPr>
            </w:pPr>
          </w:p>
        </w:tc>
        <w:tc>
          <w:tcPr>
            <w:tcW w:w="1059" w:type="pct"/>
            <w:shd w:val="clear" w:color="auto" w:fill="FFFFFF"/>
            <w:tcMar>
              <w:top w:w="110" w:type="dxa"/>
            </w:tcMar>
          </w:tcPr>
          <w:p w:rsidR="00221F0B" w:rsidRPr="00124987" w:rsidRDefault="00221F0B" w:rsidP="00DC1333">
            <w:pPr>
              <w:rPr>
                <w:sz w:val="16"/>
                <w:szCs w:val="16"/>
              </w:rPr>
            </w:pPr>
            <w:r w:rsidRPr="00124987">
              <w:rPr>
                <w:sz w:val="16"/>
                <w:szCs w:val="16"/>
              </w:rPr>
              <w:t>90%</w:t>
            </w:r>
          </w:p>
        </w:tc>
        <w:tc>
          <w:tcPr>
            <w:tcW w:w="606" w:type="pct"/>
            <w:shd w:val="clear" w:color="auto" w:fill="auto"/>
            <w:tcMar>
              <w:top w:w="110" w:type="dxa"/>
            </w:tcMar>
          </w:tcPr>
          <w:p w:rsidR="00221F0B" w:rsidRPr="00124987" w:rsidRDefault="00221F0B" w:rsidP="00DC1333">
            <w:pPr>
              <w:spacing w:after="120"/>
              <w:ind w:right="-107"/>
              <w:jc w:val="center"/>
              <w:rPr>
                <w:b/>
                <w:bCs/>
                <w:color w:val="00B050"/>
                <w:sz w:val="16"/>
                <w:szCs w:val="16"/>
              </w:rPr>
            </w:pPr>
            <w:r w:rsidRPr="00124987">
              <w:rPr>
                <w:b/>
                <w:color w:val="00B050"/>
                <w:sz w:val="16"/>
                <w:szCs w:val="16"/>
              </w:rPr>
              <w:t>Plenamente logrado</w:t>
            </w:r>
          </w:p>
        </w:tc>
      </w:tr>
      <w:tr w:rsidR="00221F0B" w:rsidRPr="00124987" w:rsidTr="003B1330">
        <w:tc>
          <w:tcPr>
            <w:tcW w:w="1137" w:type="pct"/>
            <w:shd w:val="clear" w:color="auto" w:fill="auto"/>
          </w:tcPr>
          <w:p w:rsidR="00221F0B" w:rsidRPr="00124987" w:rsidRDefault="00221F0B" w:rsidP="00DC1333">
            <w:pPr>
              <w:rPr>
                <w:sz w:val="16"/>
                <w:szCs w:val="16"/>
              </w:rPr>
            </w:pPr>
            <w:r w:rsidRPr="00124987">
              <w:rPr>
                <w:sz w:val="16"/>
                <w:szCs w:val="16"/>
              </w:rPr>
              <w:t xml:space="preserve">Porcentaje de miembros del personal recién </w:t>
            </w:r>
            <w:r w:rsidRPr="00124987">
              <w:rPr>
                <w:sz w:val="16"/>
                <w:szCs w:val="16"/>
              </w:rPr>
              <w:lastRenderedPageBreak/>
              <w:t>contratados que satisfacen las necesidades de la Organización</w:t>
            </w:r>
          </w:p>
        </w:tc>
        <w:tc>
          <w:tcPr>
            <w:tcW w:w="1287" w:type="pct"/>
            <w:shd w:val="clear" w:color="auto" w:fill="auto"/>
          </w:tcPr>
          <w:p w:rsidR="00221F0B" w:rsidRPr="00124987" w:rsidRDefault="00221F0B" w:rsidP="00DC1333">
            <w:pPr>
              <w:rPr>
                <w:sz w:val="16"/>
                <w:szCs w:val="16"/>
              </w:rPr>
            </w:pPr>
            <w:r w:rsidRPr="00124987">
              <w:rPr>
                <w:sz w:val="16"/>
                <w:szCs w:val="16"/>
              </w:rPr>
              <w:lastRenderedPageBreak/>
              <w:t>Por determinar</w:t>
            </w:r>
          </w:p>
        </w:tc>
        <w:tc>
          <w:tcPr>
            <w:tcW w:w="911" w:type="pct"/>
            <w:shd w:val="clear" w:color="auto" w:fill="auto"/>
            <w:tcMar>
              <w:top w:w="110" w:type="dxa"/>
            </w:tcMar>
          </w:tcPr>
          <w:p w:rsidR="00221F0B" w:rsidRPr="00124987" w:rsidRDefault="00221F0B" w:rsidP="00DC1333">
            <w:pPr>
              <w:rPr>
                <w:sz w:val="16"/>
                <w:szCs w:val="16"/>
              </w:rPr>
            </w:pPr>
            <w:r w:rsidRPr="00124987">
              <w:rPr>
                <w:sz w:val="16"/>
                <w:szCs w:val="16"/>
              </w:rPr>
              <w:t xml:space="preserve">80% de rendimiento satisfactorio </w:t>
            </w:r>
            <w:r w:rsidRPr="00124987">
              <w:rPr>
                <w:sz w:val="16"/>
                <w:szCs w:val="16"/>
              </w:rPr>
              <w:lastRenderedPageBreak/>
              <w:t>después del período de prueba</w:t>
            </w:r>
          </w:p>
        </w:tc>
        <w:tc>
          <w:tcPr>
            <w:tcW w:w="1059" w:type="pct"/>
            <w:shd w:val="clear" w:color="auto" w:fill="FFFFFF"/>
            <w:tcMar>
              <w:top w:w="110" w:type="dxa"/>
            </w:tcMar>
          </w:tcPr>
          <w:p w:rsidR="00221F0B" w:rsidRPr="00124987" w:rsidRDefault="00221F0B" w:rsidP="00DC1333">
            <w:pPr>
              <w:ind w:left="-64" w:right="-107"/>
              <w:rPr>
                <w:sz w:val="16"/>
                <w:szCs w:val="16"/>
              </w:rPr>
            </w:pPr>
            <w:r w:rsidRPr="00124987">
              <w:rPr>
                <w:sz w:val="16"/>
                <w:szCs w:val="16"/>
              </w:rPr>
              <w:lastRenderedPageBreak/>
              <w:t xml:space="preserve">El 94,4% del personal que se incorporó en 2013 y </w:t>
            </w:r>
            <w:r w:rsidRPr="00124987">
              <w:rPr>
                <w:sz w:val="16"/>
                <w:szCs w:val="16"/>
              </w:rPr>
              <w:lastRenderedPageBreak/>
              <w:t>2014 tuvo un rendimiento satisfactorio según el PMSDS</w:t>
            </w:r>
          </w:p>
          <w:p w:rsidR="00221F0B" w:rsidRPr="00124987" w:rsidRDefault="00221F0B" w:rsidP="00DC1333">
            <w:pPr>
              <w:ind w:left="-64" w:right="-107"/>
              <w:rPr>
                <w:sz w:val="16"/>
                <w:szCs w:val="16"/>
              </w:rPr>
            </w:pPr>
          </w:p>
        </w:tc>
        <w:tc>
          <w:tcPr>
            <w:tcW w:w="606" w:type="pct"/>
            <w:shd w:val="clear" w:color="auto" w:fill="auto"/>
            <w:tcMar>
              <w:top w:w="110" w:type="dxa"/>
            </w:tcMar>
          </w:tcPr>
          <w:p w:rsidR="00221F0B" w:rsidRPr="00124987" w:rsidRDefault="00221F0B" w:rsidP="00DC1333">
            <w:pPr>
              <w:spacing w:after="120"/>
              <w:ind w:right="-107"/>
              <w:jc w:val="center"/>
              <w:rPr>
                <w:b/>
                <w:bCs/>
                <w:color w:val="00B050"/>
                <w:sz w:val="16"/>
                <w:szCs w:val="16"/>
              </w:rPr>
            </w:pPr>
            <w:r w:rsidRPr="00124987">
              <w:rPr>
                <w:b/>
                <w:color w:val="00B050"/>
                <w:sz w:val="16"/>
                <w:szCs w:val="16"/>
              </w:rPr>
              <w:lastRenderedPageBreak/>
              <w:t xml:space="preserve">Plenamente </w:t>
            </w:r>
            <w:r w:rsidRPr="00124987">
              <w:rPr>
                <w:b/>
                <w:color w:val="00B050"/>
                <w:sz w:val="16"/>
                <w:szCs w:val="16"/>
              </w:rPr>
              <w:lastRenderedPageBreak/>
              <w:t>logrado</w:t>
            </w:r>
          </w:p>
        </w:tc>
      </w:tr>
      <w:tr w:rsidR="00221F0B" w:rsidRPr="00124987" w:rsidTr="003B1330">
        <w:tc>
          <w:tcPr>
            <w:tcW w:w="1137" w:type="pct"/>
            <w:shd w:val="clear" w:color="auto" w:fill="auto"/>
          </w:tcPr>
          <w:p w:rsidR="00221F0B" w:rsidRPr="00124987" w:rsidRDefault="00221F0B" w:rsidP="00DC1333">
            <w:pPr>
              <w:rPr>
                <w:sz w:val="16"/>
                <w:szCs w:val="16"/>
              </w:rPr>
            </w:pPr>
            <w:r w:rsidRPr="00124987">
              <w:rPr>
                <w:sz w:val="16"/>
                <w:szCs w:val="16"/>
              </w:rPr>
              <w:lastRenderedPageBreak/>
              <w:t>Porcentaje de miembros del personal cuyo desempeño se evalúa en función de objetivos y competencias específicos</w:t>
            </w:r>
          </w:p>
        </w:tc>
        <w:tc>
          <w:tcPr>
            <w:tcW w:w="1287" w:type="pct"/>
            <w:shd w:val="clear" w:color="auto" w:fill="auto"/>
          </w:tcPr>
          <w:p w:rsidR="00221F0B" w:rsidRPr="00124987" w:rsidRDefault="00221F0B" w:rsidP="00DC1333">
            <w:pPr>
              <w:rPr>
                <w:color w:val="002060"/>
                <w:sz w:val="16"/>
                <w:szCs w:val="16"/>
              </w:rPr>
            </w:pPr>
            <w:r w:rsidRPr="00124987">
              <w:rPr>
                <w:i/>
                <w:color w:val="002060"/>
                <w:sz w:val="16"/>
                <w:szCs w:val="16"/>
                <w:lang w:bidi="th-TH"/>
              </w:rPr>
              <w:t xml:space="preserve">Referencia actualizada a fines de 2013:  </w:t>
            </w:r>
            <w:r w:rsidRPr="00124987">
              <w:rPr>
                <w:color w:val="002060"/>
                <w:sz w:val="16"/>
                <w:szCs w:val="16"/>
              </w:rPr>
              <w:t>Bienio:  el 90,75% del personal incluido en el PMSDS fue evaluado en función de objetivos individuales y competencias</w:t>
            </w:r>
          </w:p>
          <w:p w:rsidR="00221F0B" w:rsidRPr="00124987" w:rsidRDefault="00221F0B" w:rsidP="00DC1333">
            <w:pPr>
              <w:rPr>
                <w:color w:val="002060"/>
                <w:sz w:val="16"/>
                <w:szCs w:val="16"/>
              </w:rPr>
            </w:pPr>
          </w:p>
          <w:p w:rsidR="00221F0B" w:rsidRPr="00124987" w:rsidRDefault="00221F0B" w:rsidP="00DC1333">
            <w:pPr>
              <w:rPr>
                <w:color w:val="002060"/>
                <w:sz w:val="16"/>
                <w:szCs w:val="16"/>
              </w:rPr>
            </w:pPr>
            <w:r w:rsidRPr="00124987">
              <w:rPr>
                <w:color w:val="002060"/>
                <w:sz w:val="16"/>
                <w:szCs w:val="16"/>
              </w:rPr>
              <w:t>2012: El 91% del personal incluido en el PMSDS fue evaluado en función de objetivos individuales y competencias (al cierre de abril de 2012)</w:t>
            </w:r>
          </w:p>
          <w:p w:rsidR="00221F0B" w:rsidRPr="00124987" w:rsidRDefault="00221F0B" w:rsidP="00DC1333">
            <w:pPr>
              <w:rPr>
                <w:color w:val="002060"/>
                <w:sz w:val="16"/>
                <w:szCs w:val="16"/>
              </w:rPr>
            </w:pPr>
          </w:p>
          <w:p w:rsidR="00221F0B" w:rsidRPr="00124987" w:rsidRDefault="00221F0B" w:rsidP="00DC1333">
            <w:pPr>
              <w:rPr>
                <w:color w:val="002060"/>
                <w:sz w:val="16"/>
                <w:szCs w:val="16"/>
                <w:lang w:bidi="th-TH"/>
              </w:rPr>
            </w:pPr>
            <w:r w:rsidRPr="00124987">
              <w:rPr>
                <w:color w:val="002060"/>
                <w:sz w:val="16"/>
                <w:szCs w:val="16"/>
                <w:lang w:bidi="th-TH"/>
              </w:rPr>
              <w:t>2013: El 90,5% del personal incluido en el PMSDS fue evaluado en función de objetivos individuales y competencias (al cierre de abril de 2013)</w:t>
            </w:r>
          </w:p>
          <w:p w:rsidR="00221F0B" w:rsidRPr="00124987" w:rsidRDefault="00221F0B" w:rsidP="00DC1333">
            <w:pPr>
              <w:rPr>
                <w:i/>
                <w:color w:val="002060"/>
                <w:sz w:val="8"/>
                <w:szCs w:val="8"/>
              </w:rPr>
            </w:pPr>
          </w:p>
          <w:p w:rsidR="00221F0B" w:rsidRPr="00124987" w:rsidRDefault="00221F0B" w:rsidP="00DC1333">
            <w:pPr>
              <w:rPr>
                <w:sz w:val="16"/>
                <w:szCs w:val="16"/>
              </w:rPr>
            </w:pPr>
            <w:r w:rsidRPr="00124987">
              <w:rPr>
                <w:i/>
                <w:sz w:val="16"/>
                <w:szCs w:val="16"/>
              </w:rPr>
              <w:t>Referencia original en el presupuesto de 2014/15</w:t>
            </w:r>
            <w:r w:rsidRPr="00124987">
              <w:rPr>
                <w:sz w:val="16"/>
                <w:szCs w:val="16"/>
              </w:rPr>
              <w:t>:  81% (2012)</w:t>
            </w:r>
          </w:p>
        </w:tc>
        <w:tc>
          <w:tcPr>
            <w:tcW w:w="911" w:type="pct"/>
            <w:shd w:val="clear" w:color="auto" w:fill="auto"/>
            <w:tcMar>
              <w:top w:w="110" w:type="dxa"/>
            </w:tcMar>
          </w:tcPr>
          <w:p w:rsidR="00221F0B" w:rsidRPr="00124987" w:rsidRDefault="00221F0B" w:rsidP="00DC1333">
            <w:pPr>
              <w:rPr>
                <w:sz w:val="16"/>
                <w:szCs w:val="16"/>
              </w:rPr>
            </w:pPr>
            <w:r w:rsidRPr="00124987">
              <w:rPr>
                <w:sz w:val="16"/>
                <w:szCs w:val="16"/>
              </w:rPr>
              <w:t>90%</w:t>
            </w:r>
          </w:p>
        </w:tc>
        <w:tc>
          <w:tcPr>
            <w:tcW w:w="1059" w:type="pct"/>
            <w:shd w:val="clear" w:color="auto" w:fill="FFFFFF"/>
            <w:tcMar>
              <w:top w:w="110" w:type="dxa"/>
            </w:tcMar>
          </w:tcPr>
          <w:p w:rsidR="00221F0B" w:rsidRPr="00124987" w:rsidRDefault="00221F0B" w:rsidP="00DC1333">
            <w:pPr>
              <w:rPr>
                <w:sz w:val="16"/>
                <w:szCs w:val="16"/>
              </w:rPr>
            </w:pPr>
            <w:r w:rsidRPr="00124987">
              <w:rPr>
                <w:sz w:val="16"/>
                <w:szCs w:val="16"/>
              </w:rPr>
              <w:t>2014: 93.1%</w:t>
            </w:r>
          </w:p>
          <w:p w:rsidR="00221F0B" w:rsidRPr="00124987" w:rsidRDefault="00221F0B" w:rsidP="00DC1333">
            <w:pPr>
              <w:rPr>
                <w:sz w:val="16"/>
                <w:szCs w:val="16"/>
              </w:rPr>
            </w:pPr>
            <w:r w:rsidRPr="00124987">
              <w:rPr>
                <w:sz w:val="16"/>
                <w:szCs w:val="16"/>
              </w:rPr>
              <w:t>2015: 92.8%</w:t>
            </w:r>
          </w:p>
        </w:tc>
        <w:tc>
          <w:tcPr>
            <w:tcW w:w="606" w:type="pct"/>
            <w:shd w:val="clear" w:color="auto" w:fill="auto"/>
            <w:tcMar>
              <w:top w:w="110" w:type="dxa"/>
            </w:tcMar>
          </w:tcPr>
          <w:p w:rsidR="00221F0B" w:rsidRPr="00124987" w:rsidRDefault="00221F0B" w:rsidP="00DC1333">
            <w:pPr>
              <w:spacing w:after="120"/>
              <w:ind w:right="-107"/>
              <w:jc w:val="center"/>
              <w:rPr>
                <w:bCs/>
                <w:color w:val="00B050"/>
                <w:sz w:val="16"/>
                <w:szCs w:val="16"/>
              </w:rPr>
            </w:pPr>
            <w:r w:rsidRPr="00124987">
              <w:rPr>
                <w:b/>
                <w:color w:val="00B050"/>
                <w:sz w:val="16"/>
                <w:szCs w:val="16"/>
              </w:rPr>
              <w:t>Plenamente logrado</w:t>
            </w:r>
          </w:p>
        </w:tc>
      </w:tr>
      <w:tr w:rsidR="00221F0B" w:rsidRPr="00124987" w:rsidTr="003B1330">
        <w:tc>
          <w:tcPr>
            <w:tcW w:w="1137" w:type="pct"/>
            <w:shd w:val="clear" w:color="auto" w:fill="auto"/>
          </w:tcPr>
          <w:p w:rsidR="00221F0B" w:rsidRPr="00124987" w:rsidRDefault="00221F0B" w:rsidP="00DC1333">
            <w:pPr>
              <w:rPr>
                <w:sz w:val="16"/>
                <w:szCs w:val="16"/>
              </w:rPr>
            </w:pPr>
            <w:r w:rsidRPr="00124987">
              <w:rPr>
                <w:sz w:val="16"/>
                <w:szCs w:val="16"/>
              </w:rPr>
              <w:t>Porcentaje de necesidades de formación esenciales que se han satisfecho a nivel individual y colectivo</w:t>
            </w:r>
          </w:p>
        </w:tc>
        <w:tc>
          <w:tcPr>
            <w:tcW w:w="1287" w:type="pct"/>
            <w:shd w:val="clear" w:color="auto" w:fill="auto"/>
          </w:tcPr>
          <w:p w:rsidR="00221F0B" w:rsidRPr="00124987" w:rsidRDefault="00221F0B" w:rsidP="00DC1333">
            <w:pPr>
              <w:rPr>
                <w:color w:val="002060"/>
                <w:sz w:val="16"/>
                <w:szCs w:val="16"/>
                <w:lang w:bidi="th-TH"/>
              </w:rPr>
            </w:pPr>
            <w:r w:rsidRPr="00124987">
              <w:rPr>
                <w:i/>
                <w:color w:val="002060"/>
                <w:sz w:val="16"/>
                <w:szCs w:val="16"/>
              </w:rPr>
              <w:t xml:space="preserve">Referencia actualizada a fines de 2013:  </w:t>
            </w:r>
            <w:r w:rsidRPr="00124987">
              <w:rPr>
                <w:color w:val="002060"/>
                <w:sz w:val="16"/>
                <w:szCs w:val="16"/>
              </w:rPr>
              <w:t>no hay ninguna evaluación</w:t>
            </w:r>
          </w:p>
          <w:p w:rsidR="00221F0B" w:rsidRPr="00124987" w:rsidRDefault="00221F0B" w:rsidP="00DC1333">
            <w:pPr>
              <w:rPr>
                <w:i/>
                <w:color w:val="002060"/>
                <w:sz w:val="8"/>
                <w:szCs w:val="8"/>
              </w:rPr>
            </w:pPr>
          </w:p>
          <w:p w:rsidR="00221F0B" w:rsidRPr="00124987" w:rsidRDefault="00221F0B" w:rsidP="00DC1333">
            <w:pPr>
              <w:rPr>
                <w:sz w:val="16"/>
                <w:szCs w:val="16"/>
              </w:rPr>
            </w:pPr>
            <w:r w:rsidRPr="00124987">
              <w:rPr>
                <w:i/>
                <w:sz w:val="16"/>
                <w:szCs w:val="16"/>
              </w:rPr>
              <w:t>Referencia original en el presupuesto de 2014/15:</w:t>
            </w:r>
            <w:r w:rsidRPr="00124987">
              <w:rPr>
                <w:sz w:val="16"/>
                <w:szCs w:val="16"/>
              </w:rPr>
              <w:t xml:space="preserve"> no hay ninguna evaluación (disponible a finales de 2013)</w:t>
            </w:r>
          </w:p>
          <w:p w:rsidR="00221F0B" w:rsidRPr="00124987" w:rsidRDefault="00221F0B" w:rsidP="00DC1333">
            <w:pPr>
              <w:rPr>
                <w:i/>
                <w:color w:val="002060"/>
                <w:sz w:val="16"/>
                <w:szCs w:val="16"/>
              </w:rPr>
            </w:pPr>
          </w:p>
        </w:tc>
        <w:tc>
          <w:tcPr>
            <w:tcW w:w="911" w:type="pct"/>
            <w:shd w:val="clear" w:color="auto" w:fill="auto"/>
            <w:tcMar>
              <w:top w:w="110" w:type="dxa"/>
            </w:tcMar>
          </w:tcPr>
          <w:p w:rsidR="00221F0B" w:rsidRPr="00124987" w:rsidRDefault="00221F0B" w:rsidP="00DC1333">
            <w:pPr>
              <w:rPr>
                <w:sz w:val="16"/>
                <w:szCs w:val="16"/>
              </w:rPr>
            </w:pPr>
            <w:r w:rsidRPr="00124987">
              <w:rPr>
                <w:sz w:val="16"/>
                <w:szCs w:val="16"/>
              </w:rPr>
              <w:t>Necesidades de formación esenciales a nivel individual:  80 % satisfechas</w:t>
            </w:r>
          </w:p>
          <w:p w:rsidR="00221F0B" w:rsidRPr="00124987" w:rsidRDefault="00221F0B" w:rsidP="00DC1333">
            <w:pPr>
              <w:rPr>
                <w:sz w:val="16"/>
                <w:szCs w:val="16"/>
              </w:rPr>
            </w:pPr>
          </w:p>
          <w:p w:rsidR="00221F0B" w:rsidRPr="00124987" w:rsidRDefault="00221F0B" w:rsidP="00DC1333">
            <w:pPr>
              <w:rPr>
                <w:sz w:val="16"/>
                <w:szCs w:val="16"/>
              </w:rPr>
            </w:pPr>
            <w:r w:rsidRPr="00124987">
              <w:rPr>
                <w:sz w:val="16"/>
                <w:szCs w:val="16"/>
              </w:rPr>
              <w:t>Necesidades de formación esenciales a nivel colectivo:  el 80 % de las necesidades se atienden mediante el programa de formación</w:t>
            </w:r>
          </w:p>
        </w:tc>
        <w:tc>
          <w:tcPr>
            <w:tcW w:w="1059" w:type="pct"/>
            <w:shd w:val="clear" w:color="auto" w:fill="FFFFFF"/>
            <w:tcMar>
              <w:top w:w="110" w:type="dxa"/>
            </w:tcMar>
          </w:tcPr>
          <w:p w:rsidR="00221F0B" w:rsidRPr="00124987" w:rsidRDefault="00221F0B" w:rsidP="00DC1333">
            <w:pPr>
              <w:rPr>
                <w:sz w:val="16"/>
                <w:szCs w:val="16"/>
              </w:rPr>
            </w:pPr>
            <w:r w:rsidRPr="00124987">
              <w:rPr>
                <w:sz w:val="16"/>
                <w:szCs w:val="16"/>
              </w:rPr>
              <w:t>60,94%</w:t>
            </w:r>
          </w:p>
          <w:p w:rsidR="00221F0B" w:rsidRPr="00124987" w:rsidRDefault="00221F0B" w:rsidP="00DC1333">
            <w:pPr>
              <w:rPr>
                <w:sz w:val="16"/>
                <w:szCs w:val="16"/>
              </w:rPr>
            </w:pPr>
          </w:p>
          <w:p w:rsidR="00221F0B" w:rsidRPr="00124987" w:rsidRDefault="00221F0B" w:rsidP="00DC1333">
            <w:pPr>
              <w:rPr>
                <w:sz w:val="16"/>
                <w:szCs w:val="16"/>
              </w:rPr>
            </w:pPr>
          </w:p>
          <w:p w:rsidR="00221F0B" w:rsidRPr="00124987" w:rsidRDefault="00221F0B" w:rsidP="00DC1333">
            <w:pPr>
              <w:rPr>
                <w:sz w:val="16"/>
                <w:szCs w:val="16"/>
              </w:rPr>
            </w:pPr>
          </w:p>
          <w:p w:rsidR="00221F0B" w:rsidRPr="00124987" w:rsidRDefault="00221F0B" w:rsidP="00DC1333">
            <w:pPr>
              <w:rPr>
                <w:sz w:val="16"/>
                <w:szCs w:val="16"/>
              </w:rPr>
            </w:pPr>
          </w:p>
          <w:p w:rsidR="00221F0B" w:rsidRPr="00124987" w:rsidRDefault="00221F0B" w:rsidP="00DC1333">
            <w:pPr>
              <w:rPr>
                <w:sz w:val="16"/>
                <w:szCs w:val="16"/>
              </w:rPr>
            </w:pPr>
          </w:p>
          <w:p w:rsidR="00221F0B" w:rsidRPr="00124987" w:rsidRDefault="00221F0B" w:rsidP="00DC1333">
            <w:pPr>
              <w:rPr>
                <w:sz w:val="16"/>
                <w:szCs w:val="16"/>
              </w:rPr>
            </w:pPr>
            <w:r w:rsidRPr="00124987">
              <w:rPr>
                <w:sz w:val="16"/>
                <w:szCs w:val="16"/>
              </w:rPr>
              <w:t>81,04%</w:t>
            </w:r>
          </w:p>
        </w:tc>
        <w:tc>
          <w:tcPr>
            <w:tcW w:w="606" w:type="pct"/>
            <w:shd w:val="clear" w:color="auto" w:fill="auto"/>
            <w:tcMar>
              <w:top w:w="110" w:type="dxa"/>
            </w:tcMar>
          </w:tcPr>
          <w:p w:rsidR="00221F0B" w:rsidRPr="00124987" w:rsidRDefault="00221F0B" w:rsidP="00DC1333">
            <w:pPr>
              <w:spacing w:after="120"/>
              <w:ind w:right="-107"/>
              <w:jc w:val="center"/>
              <w:rPr>
                <w:b/>
                <w:bCs/>
                <w:color w:val="00B050"/>
                <w:sz w:val="16"/>
                <w:szCs w:val="16"/>
              </w:rPr>
            </w:pPr>
            <w:r w:rsidRPr="00124987">
              <w:rPr>
                <w:b/>
                <w:bCs/>
                <w:color w:val="E36C0A" w:themeColor="accent6" w:themeShade="BF"/>
                <w:sz w:val="16"/>
                <w:szCs w:val="16"/>
              </w:rPr>
              <w:t>Parcialmente logrado</w:t>
            </w:r>
            <w:r w:rsidRPr="00124987">
              <w:rPr>
                <w:b/>
                <w:bCs/>
                <w:color w:val="00B050"/>
                <w:sz w:val="16"/>
                <w:szCs w:val="16"/>
              </w:rPr>
              <w:t xml:space="preserve"> </w:t>
            </w:r>
            <w:r w:rsidRPr="00124987">
              <w:rPr>
                <w:b/>
                <w:bCs/>
                <w:color w:val="00B050"/>
                <w:sz w:val="16"/>
                <w:szCs w:val="16"/>
              </w:rPr>
              <w:br/>
            </w:r>
          </w:p>
          <w:p w:rsidR="00221F0B" w:rsidRPr="00124987" w:rsidRDefault="00221F0B" w:rsidP="00DC1333">
            <w:pPr>
              <w:spacing w:after="120"/>
              <w:ind w:right="-107"/>
              <w:jc w:val="center"/>
              <w:rPr>
                <w:b/>
                <w:bCs/>
                <w:color w:val="00B050"/>
                <w:sz w:val="16"/>
                <w:szCs w:val="16"/>
              </w:rPr>
            </w:pPr>
          </w:p>
          <w:p w:rsidR="00221F0B" w:rsidRPr="00124987" w:rsidDel="00AF185F" w:rsidRDefault="00221F0B" w:rsidP="00DC1333">
            <w:pPr>
              <w:spacing w:after="120"/>
              <w:ind w:right="-107"/>
              <w:jc w:val="center"/>
              <w:rPr>
                <w:b/>
                <w:bCs/>
                <w:color w:val="00B050"/>
                <w:sz w:val="16"/>
                <w:szCs w:val="16"/>
              </w:rPr>
            </w:pPr>
            <w:r w:rsidRPr="00124987">
              <w:rPr>
                <w:b/>
                <w:color w:val="00B050"/>
                <w:sz w:val="16"/>
                <w:szCs w:val="16"/>
              </w:rPr>
              <w:t>Plenamente logrado</w:t>
            </w:r>
          </w:p>
        </w:tc>
      </w:tr>
      <w:tr w:rsidR="00221F0B" w:rsidRPr="00124987" w:rsidTr="003B1330">
        <w:tc>
          <w:tcPr>
            <w:tcW w:w="1137" w:type="pct"/>
            <w:shd w:val="clear" w:color="auto" w:fill="auto"/>
          </w:tcPr>
          <w:p w:rsidR="00221F0B" w:rsidRPr="00124987" w:rsidRDefault="00221F0B" w:rsidP="00DC1333">
            <w:pPr>
              <w:rPr>
                <w:sz w:val="16"/>
                <w:szCs w:val="16"/>
              </w:rPr>
            </w:pPr>
            <w:r w:rsidRPr="00124987">
              <w:rPr>
                <w:sz w:val="16"/>
                <w:szCs w:val="16"/>
              </w:rPr>
              <w:t>Número promedio de días de ausencia por enfermedad por empleado (ausentismo)</w:t>
            </w:r>
          </w:p>
        </w:tc>
        <w:tc>
          <w:tcPr>
            <w:tcW w:w="1287" w:type="pct"/>
            <w:shd w:val="clear" w:color="auto" w:fill="auto"/>
          </w:tcPr>
          <w:p w:rsidR="00221F0B" w:rsidRPr="00124987" w:rsidRDefault="00221F0B" w:rsidP="00DC1333">
            <w:pPr>
              <w:rPr>
                <w:color w:val="002060"/>
                <w:sz w:val="16"/>
                <w:szCs w:val="16"/>
                <w:lang w:bidi="th-TH"/>
              </w:rPr>
            </w:pPr>
            <w:r w:rsidRPr="00124987">
              <w:rPr>
                <w:i/>
                <w:color w:val="002060"/>
                <w:sz w:val="16"/>
                <w:szCs w:val="16"/>
              </w:rPr>
              <w:t xml:space="preserve">Referencia actualizada a fines de 2013:  </w:t>
            </w:r>
            <w:r w:rsidRPr="00124987">
              <w:rPr>
                <w:color w:val="002060"/>
                <w:sz w:val="16"/>
                <w:szCs w:val="16"/>
              </w:rPr>
              <w:t>para el</w:t>
            </w:r>
            <w:r w:rsidRPr="00124987">
              <w:rPr>
                <w:color w:val="002060"/>
                <w:sz w:val="16"/>
                <w:szCs w:val="16"/>
                <w:lang w:bidi="th-TH"/>
              </w:rPr>
              <w:t xml:space="preserve"> bienio: 10,34</w:t>
            </w:r>
          </w:p>
          <w:p w:rsidR="00221F0B" w:rsidRPr="00124987" w:rsidRDefault="00221F0B" w:rsidP="00EB45DE">
            <w:pPr>
              <w:pStyle w:val="ListParagraph"/>
              <w:numPr>
                <w:ilvl w:val="0"/>
                <w:numId w:val="107"/>
              </w:numPr>
              <w:rPr>
                <w:rFonts w:cs="Arial"/>
                <w:color w:val="002060"/>
                <w:sz w:val="16"/>
                <w:szCs w:val="16"/>
                <w:lang w:val="es-ES" w:bidi="th-TH"/>
              </w:rPr>
            </w:pPr>
            <w:r w:rsidRPr="00124987">
              <w:rPr>
                <w:rFonts w:cs="Arial"/>
                <w:color w:val="002060"/>
                <w:sz w:val="16"/>
                <w:szCs w:val="16"/>
                <w:lang w:val="es-ES" w:bidi="th-TH"/>
              </w:rPr>
              <w:t>2012:  9,07</w:t>
            </w:r>
          </w:p>
          <w:p w:rsidR="00221F0B" w:rsidRPr="00124987" w:rsidRDefault="00221F0B" w:rsidP="00EB45DE">
            <w:pPr>
              <w:pStyle w:val="ListParagraph"/>
              <w:numPr>
                <w:ilvl w:val="0"/>
                <w:numId w:val="107"/>
              </w:numPr>
              <w:rPr>
                <w:rFonts w:cs="Arial"/>
                <w:color w:val="002060"/>
                <w:sz w:val="16"/>
                <w:szCs w:val="16"/>
                <w:lang w:val="es-ES" w:bidi="th-TH"/>
              </w:rPr>
            </w:pPr>
            <w:r w:rsidRPr="00124987">
              <w:rPr>
                <w:rFonts w:cs="Arial"/>
                <w:color w:val="002060"/>
                <w:sz w:val="16"/>
                <w:szCs w:val="16"/>
                <w:lang w:val="es-ES" w:bidi="th-TH"/>
              </w:rPr>
              <w:t>2013:  11,6</w:t>
            </w:r>
          </w:p>
          <w:p w:rsidR="00221F0B" w:rsidRPr="00124987" w:rsidRDefault="00221F0B" w:rsidP="00DC1333">
            <w:pPr>
              <w:rPr>
                <w:i/>
                <w:color w:val="002060"/>
                <w:sz w:val="8"/>
                <w:szCs w:val="8"/>
              </w:rPr>
            </w:pPr>
          </w:p>
          <w:p w:rsidR="00221F0B" w:rsidRPr="00124987" w:rsidRDefault="00221F0B" w:rsidP="00DC1333">
            <w:pPr>
              <w:rPr>
                <w:sz w:val="16"/>
                <w:szCs w:val="16"/>
              </w:rPr>
            </w:pPr>
            <w:r w:rsidRPr="00124987">
              <w:rPr>
                <w:i/>
                <w:sz w:val="16"/>
                <w:szCs w:val="16"/>
              </w:rPr>
              <w:t xml:space="preserve">Referencia original en el presupuesto de 2014/15:  </w:t>
            </w:r>
            <w:r w:rsidRPr="00124987">
              <w:rPr>
                <w:sz w:val="16"/>
                <w:szCs w:val="16"/>
              </w:rPr>
              <w:t>9,07% (dic. de 2012)</w:t>
            </w:r>
          </w:p>
        </w:tc>
        <w:tc>
          <w:tcPr>
            <w:tcW w:w="911" w:type="pct"/>
            <w:shd w:val="clear" w:color="auto" w:fill="auto"/>
            <w:tcMar>
              <w:top w:w="110" w:type="dxa"/>
            </w:tcMar>
          </w:tcPr>
          <w:p w:rsidR="00221F0B" w:rsidRPr="00124987" w:rsidRDefault="00221F0B" w:rsidP="00DC1333">
            <w:pPr>
              <w:keepNext/>
              <w:keepLines/>
              <w:rPr>
                <w:sz w:val="16"/>
                <w:szCs w:val="16"/>
              </w:rPr>
            </w:pPr>
            <w:r w:rsidRPr="00124987">
              <w:rPr>
                <w:sz w:val="16"/>
                <w:szCs w:val="16"/>
              </w:rPr>
              <w:t>9</w:t>
            </w:r>
          </w:p>
        </w:tc>
        <w:tc>
          <w:tcPr>
            <w:tcW w:w="1059" w:type="pct"/>
            <w:shd w:val="clear" w:color="auto" w:fill="FFFFFF"/>
            <w:tcMar>
              <w:top w:w="110" w:type="dxa"/>
            </w:tcMar>
          </w:tcPr>
          <w:p w:rsidR="00221F0B" w:rsidRPr="00124987" w:rsidRDefault="00221F0B" w:rsidP="00DC1333">
            <w:pPr>
              <w:rPr>
                <w:sz w:val="16"/>
                <w:szCs w:val="16"/>
              </w:rPr>
            </w:pPr>
            <w:r w:rsidRPr="00124987">
              <w:rPr>
                <w:sz w:val="16"/>
                <w:szCs w:val="16"/>
              </w:rPr>
              <w:t>2014: 11.2</w:t>
            </w:r>
            <w:r w:rsidRPr="00124987">
              <w:rPr>
                <w:rStyle w:val="FootnoteReference"/>
                <w:sz w:val="16"/>
                <w:szCs w:val="16"/>
              </w:rPr>
              <w:footnoteReference w:id="133"/>
            </w:r>
          </w:p>
          <w:p w:rsidR="00221F0B" w:rsidRPr="00124987" w:rsidRDefault="00221F0B" w:rsidP="00DC1333">
            <w:pPr>
              <w:rPr>
                <w:sz w:val="16"/>
                <w:szCs w:val="16"/>
              </w:rPr>
            </w:pPr>
            <w:r w:rsidRPr="00124987">
              <w:rPr>
                <w:sz w:val="16"/>
                <w:szCs w:val="16"/>
              </w:rPr>
              <w:t>2015: 10.5</w:t>
            </w:r>
          </w:p>
          <w:p w:rsidR="00221F0B" w:rsidRPr="00124987" w:rsidRDefault="00221F0B" w:rsidP="00DC1333">
            <w:pPr>
              <w:rPr>
                <w:sz w:val="16"/>
                <w:szCs w:val="16"/>
              </w:rPr>
            </w:pPr>
          </w:p>
          <w:p w:rsidR="00221F0B" w:rsidRPr="00124987" w:rsidRDefault="00221F0B" w:rsidP="00DC1333">
            <w:pPr>
              <w:rPr>
                <w:sz w:val="16"/>
                <w:szCs w:val="16"/>
              </w:rPr>
            </w:pPr>
          </w:p>
          <w:p w:rsidR="00221F0B" w:rsidRPr="00124987" w:rsidRDefault="00221F0B" w:rsidP="00DC1333">
            <w:pPr>
              <w:rPr>
                <w:sz w:val="16"/>
                <w:szCs w:val="16"/>
              </w:rPr>
            </w:pPr>
          </w:p>
          <w:p w:rsidR="00221F0B" w:rsidRPr="00124987" w:rsidRDefault="00221F0B" w:rsidP="00DC1333">
            <w:pPr>
              <w:rPr>
                <w:sz w:val="16"/>
                <w:szCs w:val="16"/>
              </w:rPr>
            </w:pPr>
          </w:p>
          <w:p w:rsidR="00221F0B" w:rsidRPr="00124987" w:rsidRDefault="00221F0B" w:rsidP="00DC1333">
            <w:pPr>
              <w:rPr>
                <w:sz w:val="16"/>
                <w:szCs w:val="16"/>
              </w:rPr>
            </w:pPr>
          </w:p>
          <w:tbl>
            <w:tblPr>
              <w:tblW w:w="2067" w:type="dxa"/>
              <w:tblLayout w:type="fixed"/>
              <w:tblCellMar>
                <w:left w:w="14" w:type="dxa"/>
                <w:right w:w="14" w:type="dxa"/>
              </w:tblCellMar>
              <w:tblLook w:val="04A0" w:firstRow="1" w:lastRow="0" w:firstColumn="1" w:lastColumn="0" w:noHBand="0" w:noVBand="1"/>
            </w:tblPr>
            <w:tblGrid>
              <w:gridCol w:w="667"/>
              <w:gridCol w:w="1400"/>
            </w:tblGrid>
            <w:tr w:rsidR="00221F0B" w:rsidRPr="00124987" w:rsidTr="00DC1333">
              <w:trPr>
                <w:trHeight w:val="255"/>
              </w:trPr>
              <w:tc>
                <w:tcPr>
                  <w:tcW w:w="540" w:type="dxa"/>
                  <w:tcBorders>
                    <w:top w:val="nil"/>
                    <w:left w:val="nil"/>
                    <w:bottom w:val="nil"/>
                    <w:right w:val="nil"/>
                  </w:tcBorders>
                  <w:shd w:val="clear" w:color="auto" w:fill="auto"/>
                  <w:noWrap/>
                  <w:hideMark/>
                </w:tcPr>
                <w:p w:rsidR="00221F0B" w:rsidRPr="00124987" w:rsidRDefault="00221F0B" w:rsidP="00DC1333">
                  <w:pPr>
                    <w:rPr>
                      <w:sz w:val="16"/>
                      <w:szCs w:val="16"/>
                    </w:rPr>
                  </w:pPr>
                  <w:r w:rsidRPr="00124987">
                    <w:rPr>
                      <w:sz w:val="16"/>
                      <w:szCs w:val="16"/>
                    </w:rPr>
                    <w:t>2014:</w:t>
                  </w:r>
                </w:p>
              </w:tc>
              <w:tc>
                <w:tcPr>
                  <w:tcW w:w="1133" w:type="dxa"/>
                  <w:tcBorders>
                    <w:top w:val="nil"/>
                    <w:left w:val="nil"/>
                    <w:bottom w:val="nil"/>
                    <w:right w:val="nil"/>
                  </w:tcBorders>
                  <w:shd w:val="clear" w:color="auto" w:fill="auto"/>
                  <w:noWrap/>
                  <w:hideMark/>
                </w:tcPr>
                <w:p w:rsidR="00221F0B" w:rsidRPr="00124987" w:rsidRDefault="00221F0B" w:rsidP="00DC1333">
                  <w:pPr>
                    <w:rPr>
                      <w:sz w:val="16"/>
                      <w:szCs w:val="16"/>
                    </w:rPr>
                  </w:pPr>
                  <w:r w:rsidRPr="00124987">
                    <w:rPr>
                      <w:sz w:val="16"/>
                      <w:szCs w:val="16"/>
                    </w:rPr>
                    <w:t>2015:</w:t>
                  </w:r>
                </w:p>
              </w:tc>
            </w:tr>
          </w:tbl>
          <w:p w:rsidR="00221F0B" w:rsidRPr="00124987" w:rsidRDefault="00221F0B" w:rsidP="00DC1333">
            <w:pPr>
              <w:rPr>
                <w:sz w:val="16"/>
                <w:szCs w:val="16"/>
              </w:rPr>
            </w:pPr>
          </w:p>
        </w:tc>
        <w:tc>
          <w:tcPr>
            <w:tcW w:w="606" w:type="pct"/>
            <w:shd w:val="clear" w:color="auto" w:fill="auto"/>
            <w:tcMar>
              <w:top w:w="110" w:type="dxa"/>
            </w:tcMar>
          </w:tcPr>
          <w:p w:rsidR="00221F0B" w:rsidRPr="00124987" w:rsidDel="00AF185F" w:rsidRDefault="00221F0B" w:rsidP="00DC1333">
            <w:pPr>
              <w:spacing w:after="120"/>
              <w:ind w:right="-107"/>
              <w:jc w:val="center"/>
              <w:rPr>
                <w:b/>
                <w:bCs/>
                <w:color w:val="00B050"/>
                <w:sz w:val="16"/>
                <w:szCs w:val="16"/>
              </w:rPr>
            </w:pPr>
            <w:r w:rsidRPr="00124987">
              <w:rPr>
                <w:b/>
                <w:bCs/>
                <w:color w:val="E36C0A" w:themeColor="accent6" w:themeShade="BF"/>
                <w:sz w:val="16"/>
                <w:szCs w:val="16"/>
              </w:rPr>
              <w:t>Parcialmente logrado</w:t>
            </w:r>
          </w:p>
        </w:tc>
      </w:tr>
      <w:tr w:rsidR="00221F0B" w:rsidRPr="00124987" w:rsidTr="003B1330">
        <w:tc>
          <w:tcPr>
            <w:tcW w:w="1137" w:type="pct"/>
            <w:shd w:val="clear" w:color="auto" w:fill="auto"/>
          </w:tcPr>
          <w:p w:rsidR="00221F0B" w:rsidRPr="00124987" w:rsidRDefault="00221F0B" w:rsidP="00DC1333">
            <w:pPr>
              <w:rPr>
                <w:sz w:val="16"/>
                <w:szCs w:val="16"/>
              </w:rPr>
            </w:pPr>
            <w:r w:rsidRPr="00124987">
              <w:rPr>
                <w:sz w:val="16"/>
                <w:szCs w:val="16"/>
              </w:rPr>
              <w:t>Porcentaje de mujeres que ocupan puestos profesionales y de categorías superiores</w:t>
            </w:r>
          </w:p>
        </w:tc>
        <w:tc>
          <w:tcPr>
            <w:tcW w:w="1287" w:type="pct"/>
            <w:shd w:val="clear" w:color="auto" w:fill="auto"/>
          </w:tcPr>
          <w:p w:rsidR="00221F0B" w:rsidRPr="00124987" w:rsidDel="00A15D98" w:rsidRDefault="00221F0B" w:rsidP="00DC1333">
            <w:pPr>
              <w:rPr>
                <w:color w:val="002060"/>
                <w:sz w:val="16"/>
                <w:szCs w:val="16"/>
              </w:rPr>
            </w:pPr>
            <w:r w:rsidRPr="00124987">
              <w:rPr>
                <w:i/>
                <w:color w:val="002060"/>
                <w:sz w:val="16"/>
                <w:szCs w:val="16"/>
              </w:rPr>
              <w:t xml:space="preserve">Referencia actualizada a fines de 2013:  </w:t>
            </w:r>
          </w:p>
          <w:tbl>
            <w:tblPr>
              <w:tblW w:w="2383" w:type="dxa"/>
              <w:tblLayout w:type="fixed"/>
              <w:tblLook w:val="04A0" w:firstRow="1" w:lastRow="0" w:firstColumn="1" w:lastColumn="0" w:noHBand="0" w:noVBand="1"/>
            </w:tblPr>
            <w:tblGrid>
              <w:gridCol w:w="580"/>
              <w:gridCol w:w="670"/>
              <w:gridCol w:w="1133"/>
            </w:tblGrid>
            <w:tr w:rsidR="00221F0B" w:rsidRPr="00124987" w:rsidTr="00DC1333">
              <w:trPr>
                <w:trHeight w:val="255"/>
              </w:trPr>
              <w:tc>
                <w:tcPr>
                  <w:tcW w:w="580" w:type="dxa"/>
                  <w:tcBorders>
                    <w:top w:val="nil"/>
                    <w:left w:val="nil"/>
                    <w:bottom w:val="nil"/>
                    <w:right w:val="nil"/>
                  </w:tcBorders>
                  <w:shd w:val="clear" w:color="auto" w:fill="auto"/>
                  <w:noWrap/>
                  <w:vAlign w:val="bottom"/>
                  <w:hideMark/>
                </w:tcPr>
                <w:p w:rsidR="00221F0B" w:rsidRPr="00124987" w:rsidRDefault="00221F0B" w:rsidP="00DC1333">
                  <w:pPr>
                    <w:rPr>
                      <w:color w:val="002060"/>
                      <w:sz w:val="16"/>
                      <w:szCs w:val="16"/>
                    </w:rPr>
                  </w:pPr>
                </w:p>
              </w:tc>
              <w:tc>
                <w:tcPr>
                  <w:tcW w:w="670" w:type="dxa"/>
                  <w:tcBorders>
                    <w:top w:val="nil"/>
                    <w:left w:val="nil"/>
                    <w:bottom w:val="nil"/>
                    <w:right w:val="nil"/>
                  </w:tcBorders>
                  <w:shd w:val="clear" w:color="auto" w:fill="auto"/>
                  <w:noWrap/>
                  <w:vAlign w:val="bottom"/>
                  <w:hideMark/>
                </w:tcPr>
                <w:p w:rsidR="00221F0B" w:rsidRPr="00124987" w:rsidRDefault="00221F0B" w:rsidP="00DC1333">
                  <w:pPr>
                    <w:rPr>
                      <w:color w:val="002060"/>
                      <w:sz w:val="16"/>
                      <w:szCs w:val="16"/>
                    </w:rPr>
                  </w:pPr>
                  <w:r w:rsidRPr="00124987">
                    <w:rPr>
                      <w:color w:val="002060"/>
                      <w:sz w:val="16"/>
                      <w:szCs w:val="16"/>
                    </w:rPr>
                    <w:t>2012:</w:t>
                  </w:r>
                </w:p>
              </w:tc>
              <w:tc>
                <w:tcPr>
                  <w:tcW w:w="1133" w:type="dxa"/>
                  <w:tcBorders>
                    <w:top w:val="nil"/>
                    <w:left w:val="nil"/>
                    <w:bottom w:val="nil"/>
                    <w:right w:val="nil"/>
                  </w:tcBorders>
                  <w:shd w:val="clear" w:color="auto" w:fill="auto"/>
                  <w:noWrap/>
                  <w:vAlign w:val="bottom"/>
                  <w:hideMark/>
                </w:tcPr>
                <w:p w:rsidR="00221F0B" w:rsidRPr="00124987" w:rsidRDefault="00221F0B" w:rsidP="00DC1333">
                  <w:pPr>
                    <w:rPr>
                      <w:color w:val="002060"/>
                      <w:sz w:val="16"/>
                      <w:szCs w:val="16"/>
                    </w:rPr>
                  </w:pPr>
                  <w:r w:rsidRPr="00124987">
                    <w:rPr>
                      <w:color w:val="002060"/>
                      <w:sz w:val="16"/>
                      <w:szCs w:val="16"/>
                    </w:rPr>
                    <w:t>2013:</w:t>
                  </w:r>
                </w:p>
              </w:tc>
            </w:tr>
            <w:tr w:rsidR="00221F0B" w:rsidRPr="00124987" w:rsidTr="00DC1333">
              <w:trPr>
                <w:trHeight w:val="255"/>
              </w:trPr>
              <w:tc>
                <w:tcPr>
                  <w:tcW w:w="580" w:type="dxa"/>
                  <w:tcBorders>
                    <w:top w:val="nil"/>
                    <w:left w:val="nil"/>
                    <w:bottom w:val="nil"/>
                    <w:right w:val="nil"/>
                  </w:tcBorders>
                  <w:shd w:val="clear" w:color="auto" w:fill="auto"/>
                  <w:noWrap/>
                  <w:vAlign w:val="bottom"/>
                  <w:hideMark/>
                </w:tcPr>
                <w:p w:rsidR="00221F0B" w:rsidRPr="00124987" w:rsidRDefault="00221F0B" w:rsidP="00DC1333">
                  <w:pPr>
                    <w:rPr>
                      <w:color w:val="002060"/>
                      <w:sz w:val="16"/>
                      <w:szCs w:val="16"/>
                    </w:rPr>
                  </w:pPr>
                  <w:r w:rsidRPr="00124987">
                    <w:rPr>
                      <w:color w:val="002060"/>
                      <w:sz w:val="16"/>
                      <w:szCs w:val="16"/>
                    </w:rPr>
                    <w:t xml:space="preserve">P4 - </w:t>
                  </w:r>
                </w:p>
              </w:tc>
              <w:tc>
                <w:tcPr>
                  <w:tcW w:w="670" w:type="dxa"/>
                  <w:tcBorders>
                    <w:top w:val="nil"/>
                    <w:left w:val="nil"/>
                    <w:bottom w:val="nil"/>
                    <w:right w:val="nil"/>
                  </w:tcBorders>
                  <w:shd w:val="clear" w:color="auto" w:fill="auto"/>
                  <w:noWrap/>
                  <w:vAlign w:val="bottom"/>
                  <w:hideMark/>
                </w:tcPr>
                <w:p w:rsidR="00221F0B" w:rsidRPr="00124987" w:rsidRDefault="00221F0B" w:rsidP="00DC1333">
                  <w:pPr>
                    <w:rPr>
                      <w:color w:val="002060"/>
                      <w:sz w:val="16"/>
                      <w:szCs w:val="16"/>
                    </w:rPr>
                  </w:pPr>
                  <w:r w:rsidRPr="00124987">
                    <w:rPr>
                      <w:color w:val="002060"/>
                      <w:sz w:val="16"/>
                      <w:szCs w:val="16"/>
                    </w:rPr>
                    <w:t>44,4%</w:t>
                  </w:r>
                </w:p>
              </w:tc>
              <w:tc>
                <w:tcPr>
                  <w:tcW w:w="1133" w:type="dxa"/>
                  <w:tcBorders>
                    <w:top w:val="nil"/>
                    <w:left w:val="nil"/>
                    <w:bottom w:val="nil"/>
                    <w:right w:val="nil"/>
                  </w:tcBorders>
                  <w:shd w:val="clear" w:color="auto" w:fill="auto"/>
                  <w:noWrap/>
                  <w:vAlign w:val="bottom"/>
                  <w:hideMark/>
                </w:tcPr>
                <w:p w:rsidR="00221F0B" w:rsidRPr="00124987" w:rsidRDefault="00221F0B" w:rsidP="00DC1333">
                  <w:pPr>
                    <w:rPr>
                      <w:color w:val="002060"/>
                      <w:sz w:val="16"/>
                      <w:szCs w:val="16"/>
                    </w:rPr>
                  </w:pPr>
                  <w:r w:rsidRPr="00124987">
                    <w:rPr>
                      <w:color w:val="002060"/>
                      <w:sz w:val="16"/>
                      <w:szCs w:val="16"/>
                    </w:rPr>
                    <w:t>43,4%</w:t>
                  </w:r>
                </w:p>
              </w:tc>
            </w:tr>
            <w:tr w:rsidR="00221F0B" w:rsidRPr="00124987" w:rsidTr="00DC1333">
              <w:trPr>
                <w:trHeight w:val="255"/>
              </w:trPr>
              <w:tc>
                <w:tcPr>
                  <w:tcW w:w="580" w:type="dxa"/>
                  <w:tcBorders>
                    <w:top w:val="nil"/>
                    <w:left w:val="nil"/>
                    <w:bottom w:val="nil"/>
                    <w:right w:val="nil"/>
                  </w:tcBorders>
                  <w:shd w:val="clear" w:color="auto" w:fill="auto"/>
                  <w:noWrap/>
                  <w:vAlign w:val="bottom"/>
                  <w:hideMark/>
                </w:tcPr>
                <w:p w:rsidR="00221F0B" w:rsidRPr="00124987" w:rsidRDefault="00221F0B" w:rsidP="00DC1333">
                  <w:pPr>
                    <w:rPr>
                      <w:color w:val="002060"/>
                      <w:sz w:val="16"/>
                      <w:szCs w:val="16"/>
                    </w:rPr>
                  </w:pPr>
                  <w:r w:rsidRPr="00124987">
                    <w:rPr>
                      <w:color w:val="002060"/>
                      <w:sz w:val="16"/>
                      <w:szCs w:val="16"/>
                    </w:rPr>
                    <w:t xml:space="preserve">P5 - </w:t>
                  </w:r>
                </w:p>
              </w:tc>
              <w:tc>
                <w:tcPr>
                  <w:tcW w:w="670" w:type="dxa"/>
                  <w:tcBorders>
                    <w:top w:val="nil"/>
                    <w:left w:val="nil"/>
                    <w:bottom w:val="nil"/>
                    <w:right w:val="nil"/>
                  </w:tcBorders>
                  <w:shd w:val="clear" w:color="auto" w:fill="auto"/>
                  <w:noWrap/>
                  <w:vAlign w:val="bottom"/>
                  <w:hideMark/>
                </w:tcPr>
                <w:p w:rsidR="00221F0B" w:rsidRPr="00124987" w:rsidRDefault="00221F0B" w:rsidP="00DC1333">
                  <w:pPr>
                    <w:rPr>
                      <w:color w:val="002060"/>
                      <w:sz w:val="16"/>
                      <w:szCs w:val="16"/>
                    </w:rPr>
                  </w:pPr>
                  <w:r w:rsidRPr="00124987">
                    <w:rPr>
                      <w:color w:val="002060"/>
                      <w:sz w:val="16"/>
                      <w:szCs w:val="16"/>
                    </w:rPr>
                    <w:t>30,3%</w:t>
                  </w:r>
                </w:p>
              </w:tc>
              <w:tc>
                <w:tcPr>
                  <w:tcW w:w="1133" w:type="dxa"/>
                  <w:tcBorders>
                    <w:top w:val="nil"/>
                    <w:left w:val="nil"/>
                    <w:bottom w:val="nil"/>
                    <w:right w:val="nil"/>
                  </w:tcBorders>
                  <w:shd w:val="clear" w:color="auto" w:fill="auto"/>
                  <w:noWrap/>
                  <w:vAlign w:val="bottom"/>
                  <w:hideMark/>
                </w:tcPr>
                <w:p w:rsidR="00221F0B" w:rsidRPr="00124987" w:rsidRDefault="00221F0B" w:rsidP="00DC1333">
                  <w:pPr>
                    <w:rPr>
                      <w:color w:val="002060"/>
                      <w:sz w:val="16"/>
                      <w:szCs w:val="16"/>
                    </w:rPr>
                  </w:pPr>
                  <w:r w:rsidRPr="00124987">
                    <w:rPr>
                      <w:color w:val="002060"/>
                      <w:sz w:val="16"/>
                      <w:szCs w:val="16"/>
                    </w:rPr>
                    <w:t>34,3%</w:t>
                  </w:r>
                </w:p>
              </w:tc>
            </w:tr>
            <w:tr w:rsidR="00221F0B" w:rsidRPr="00124987" w:rsidTr="00DC1333">
              <w:trPr>
                <w:trHeight w:val="255"/>
              </w:trPr>
              <w:tc>
                <w:tcPr>
                  <w:tcW w:w="580" w:type="dxa"/>
                  <w:tcBorders>
                    <w:top w:val="nil"/>
                    <w:left w:val="nil"/>
                    <w:bottom w:val="nil"/>
                    <w:right w:val="nil"/>
                  </w:tcBorders>
                  <w:shd w:val="clear" w:color="auto" w:fill="auto"/>
                  <w:noWrap/>
                  <w:vAlign w:val="bottom"/>
                  <w:hideMark/>
                </w:tcPr>
                <w:p w:rsidR="00221F0B" w:rsidRPr="00124987" w:rsidRDefault="00221F0B" w:rsidP="00DC1333">
                  <w:pPr>
                    <w:rPr>
                      <w:color w:val="002060"/>
                      <w:sz w:val="16"/>
                      <w:szCs w:val="16"/>
                    </w:rPr>
                  </w:pPr>
                  <w:r w:rsidRPr="00124987">
                    <w:rPr>
                      <w:color w:val="002060"/>
                      <w:sz w:val="16"/>
                      <w:szCs w:val="16"/>
                    </w:rPr>
                    <w:t xml:space="preserve">D1 - </w:t>
                  </w:r>
                </w:p>
              </w:tc>
              <w:tc>
                <w:tcPr>
                  <w:tcW w:w="670" w:type="dxa"/>
                  <w:tcBorders>
                    <w:top w:val="nil"/>
                    <w:left w:val="nil"/>
                    <w:bottom w:val="nil"/>
                    <w:right w:val="nil"/>
                  </w:tcBorders>
                  <w:shd w:val="clear" w:color="auto" w:fill="auto"/>
                  <w:noWrap/>
                  <w:vAlign w:val="bottom"/>
                  <w:hideMark/>
                </w:tcPr>
                <w:p w:rsidR="00221F0B" w:rsidRPr="00124987" w:rsidRDefault="00221F0B" w:rsidP="00DC1333">
                  <w:pPr>
                    <w:rPr>
                      <w:color w:val="002060"/>
                      <w:sz w:val="16"/>
                      <w:szCs w:val="16"/>
                    </w:rPr>
                  </w:pPr>
                  <w:r w:rsidRPr="00124987">
                    <w:rPr>
                      <w:color w:val="002060"/>
                      <w:sz w:val="16"/>
                      <w:szCs w:val="16"/>
                    </w:rPr>
                    <w:t>24,4%</w:t>
                  </w:r>
                </w:p>
              </w:tc>
              <w:tc>
                <w:tcPr>
                  <w:tcW w:w="1133" w:type="dxa"/>
                  <w:tcBorders>
                    <w:top w:val="nil"/>
                    <w:left w:val="nil"/>
                    <w:bottom w:val="nil"/>
                    <w:right w:val="nil"/>
                  </w:tcBorders>
                  <w:shd w:val="clear" w:color="auto" w:fill="auto"/>
                  <w:noWrap/>
                  <w:vAlign w:val="bottom"/>
                  <w:hideMark/>
                </w:tcPr>
                <w:p w:rsidR="00221F0B" w:rsidRPr="00124987" w:rsidRDefault="00221F0B" w:rsidP="00DC1333">
                  <w:pPr>
                    <w:rPr>
                      <w:color w:val="002060"/>
                      <w:sz w:val="16"/>
                      <w:szCs w:val="16"/>
                    </w:rPr>
                  </w:pPr>
                  <w:r w:rsidRPr="00124987">
                    <w:rPr>
                      <w:color w:val="002060"/>
                      <w:sz w:val="16"/>
                      <w:szCs w:val="16"/>
                    </w:rPr>
                    <w:t>26,8%</w:t>
                  </w:r>
                </w:p>
              </w:tc>
            </w:tr>
            <w:tr w:rsidR="00221F0B" w:rsidRPr="00124987" w:rsidTr="00DC1333">
              <w:trPr>
                <w:trHeight w:val="255"/>
              </w:trPr>
              <w:tc>
                <w:tcPr>
                  <w:tcW w:w="580" w:type="dxa"/>
                  <w:tcBorders>
                    <w:top w:val="nil"/>
                    <w:left w:val="nil"/>
                    <w:bottom w:val="nil"/>
                    <w:right w:val="nil"/>
                  </w:tcBorders>
                  <w:shd w:val="clear" w:color="auto" w:fill="auto"/>
                  <w:noWrap/>
                  <w:vAlign w:val="bottom"/>
                  <w:hideMark/>
                </w:tcPr>
                <w:p w:rsidR="00221F0B" w:rsidRPr="00124987" w:rsidRDefault="00221F0B" w:rsidP="00DC1333">
                  <w:pPr>
                    <w:rPr>
                      <w:color w:val="002060"/>
                      <w:sz w:val="16"/>
                      <w:szCs w:val="16"/>
                    </w:rPr>
                  </w:pPr>
                  <w:r w:rsidRPr="00124987">
                    <w:rPr>
                      <w:color w:val="002060"/>
                      <w:sz w:val="16"/>
                      <w:szCs w:val="16"/>
                    </w:rPr>
                    <w:t xml:space="preserve">D2 - </w:t>
                  </w:r>
                </w:p>
              </w:tc>
              <w:tc>
                <w:tcPr>
                  <w:tcW w:w="670" w:type="dxa"/>
                  <w:tcBorders>
                    <w:top w:val="nil"/>
                    <w:left w:val="nil"/>
                    <w:bottom w:val="nil"/>
                    <w:right w:val="nil"/>
                  </w:tcBorders>
                  <w:shd w:val="clear" w:color="auto" w:fill="auto"/>
                  <w:noWrap/>
                  <w:vAlign w:val="bottom"/>
                  <w:hideMark/>
                </w:tcPr>
                <w:p w:rsidR="00221F0B" w:rsidRPr="00124987" w:rsidRDefault="00221F0B" w:rsidP="00DC1333">
                  <w:pPr>
                    <w:rPr>
                      <w:color w:val="002060"/>
                      <w:sz w:val="16"/>
                      <w:szCs w:val="16"/>
                    </w:rPr>
                  </w:pPr>
                  <w:r w:rsidRPr="00124987">
                    <w:rPr>
                      <w:color w:val="002060"/>
                      <w:sz w:val="16"/>
                      <w:szCs w:val="16"/>
                    </w:rPr>
                    <w:t>23,1%</w:t>
                  </w:r>
                </w:p>
              </w:tc>
              <w:tc>
                <w:tcPr>
                  <w:tcW w:w="1133" w:type="dxa"/>
                  <w:tcBorders>
                    <w:top w:val="nil"/>
                    <w:left w:val="nil"/>
                    <w:bottom w:val="nil"/>
                    <w:right w:val="nil"/>
                  </w:tcBorders>
                  <w:shd w:val="clear" w:color="auto" w:fill="auto"/>
                  <w:noWrap/>
                  <w:vAlign w:val="bottom"/>
                  <w:hideMark/>
                </w:tcPr>
                <w:p w:rsidR="00221F0B" w:rsidRPr="00124987" w:rsidRDefault="00221F0B" w:rsidP="00DC1333">
                  <w:pPr>
                    <w:rPr>
                      <w:color w:val="002060"/>
                      <w:sz w:val="16"/>
                      <w:szCs w:val="16"/>
                    </w:rPr>
                  </w:pPr>
                  <w:r w:rsidRPr="00124987">
                    <w:rPr>
                      <w:color w:val="002060"/>
                      <w:sz w:val="16"/>
                      <w:szCs w:val="16"/>
                    </w:rPr>
                    <w:t>33,3%</w:t>
                  </w:r>
                </w:p>
              </w:tc>
            </w:tr>
          </w:tbl>
          <w:p w:rsidR="00221F0B" w:rsidRPr="00124987" w:rsidRDefault="00221F0B" w:rsidP="00DC1333">
            <w:pPr>
              <w:rPr>
                <w:i/>
                <w:color w:val="002060"/>
                <w:sz w:val="8"/>
                <w:szCs w:val="8"/>
              </w:rPr>
            </w:pPr>
          </w:p>
          <w:p w:rsidR="00221F0B" w:rsidRPr="00124987" w:rsidRDefault="00221F0B" w:rsidP="00DC1333">
            <w:pPr>
              <w:rPr>
                <w:sz w:val="16"/>
                <w:szCs w:val="16"/>
              </w:rPr>
            </w:pPr>
            <w:r w:rsidRPr="00124987">
              <w:rPr>
                <w:i/>
                <w:sz w:val="16"/>
                <w:szCs w:val="16"/>
              </w:rPr>
              <w:t>Referencia original en el presupuesto de 2014/15:</w:t>
            </w:r>
            <w:r w:rsidRPr="00124987">
              <w:rPr>
                <w:sz w:val="16"/>
                <w:szCs w:val="16"/>
              </w:rPr>
              <w:t xml:space="preserve">  </w:t>
            </w:r>
          </w:p>
          <w:p w:rsidR="00221F0B" w:rsidRPr="00124987" w:rsidRDefault="00221F0B" w:rsidP="00DC1333">
            <w:pPr>
              <w:rPr>
                <w:sz w:val="16"/>
                <w:szCs w:val="16"/>
              </w:rPr>
            </w:pPr>
            <w:r w:rsidRPr="00124987">
              <w:rPr>
                <w:sz w:val="16"/>
                <w:szCs w:val="16"/>
              </w:rPr>
              <w:t>P4 – 44,1%</w:t>
            </w:r>
          </w:p>
          <w:p w:rsidR="00221F0B" w:rsidRPr="00124987" w:rsidRDefault="00221F0B" w:rsidP="00DC1333">
            <w:pPr>
              <w:rPr>
                <w:sz w:val="16"/>
                <w:szCs w:val="16"/>
              </w:rPr>
            </w:pPr>
            <w:r w:rsidRPr="00124987">
              <w:rPr>
                <w:sz w:val="16"/>
                <w:szCs w:val="16"/>
              </w:rPr>
              <w:t>P5 – 31,8%</w:t>
            </w:r>
          </w:p>
          <w:p w:rsidR="00221F0B" w:rsidRPr="00124987" w:rsidRDefault="00221F0B" w:rsidP="00DC1333">
            <w:pPr>
              <w:rPr>
                <w:sz w:val="16"/>
                <w:szCs w:val="16"/>
              </w:rPr>
            </w:pPr>
            <w:r w:rsidRPr="00124987">
              <w:rPr>
                <w:sz w:val="16"/>
                <w:szCs w:val="16"/>
              </w:rPr>
              <w:t>D1 – 26,2%</w:t>
            </w:r>
          </w:p>
          <w:p w:rsidR="00221F0B" w:rsidRPr="00124987" w:rsidRDefault="00221F0B" w:rsidP="00DC1333">
            <w:pPr>
              <w:rPr>
                <w:sz w:val="16"/>
                <w:szCs w:val="16"/>
              </w:rPr>
            </w:pPr>
            <w:r w:rsidRPr="00124987">
              <w:rPr>
                <w:sz w:val="16"/>
                <w:szCs w:val="16"/>
              </w:rPr>
              <w:t>D2 – 23,1%</w:t>
            </w:r>
          </w:p>
          <w:p w:rsidR="00221F0B" w:rsidRPr="00124987" w:rsidRDefault="00221F0B" w:rsidP="003B1330">
            <w:pPr>
              <w:rPr>
                <w:sz w:val="16"/>
                <w:szCs w:val="16"/>
              </w:rPr>
            </w:pPr>
            <w:r w:rsidRPr="00124987">
              <w:rPr>
                <w:sz w:val="16"/>
                <w:szCs w:val="16"/>
              </w:rPr>
              <w:t>(dic. de 2012)</w:t>
            </w:r>
          </w:p>
        </w:tc>
        <w:tc>
          <w:tcPr>
            <w:tcW w:w="911" w:type="pct"/>
            <w:shd w:val="clear" w:color="auto" w:fill="auto"/>
            <w:tcMar>
              <w:top w:w="110" w:type="dxa"/>
            </w:tcMar>
          </w:tcPr>
          <w:p w:rsidR="00221F0B" w:rsidRPr="00124987" w:rsidRDefault="00221F0B" w:rsidP="00DC1333">
            <w:pPr>
              <w:keepNext/>
              <w:keepLines/>
              <w:spacing w:after="160"/>
              <w:rPr>
                <w:sz w:val="16"/>
                <w:szCs w:val="16"/>
              </w:rPr>
            </w:pPr>
            <w:r w:rsidRPr="00124987">
              <w:rPr>
                <w:sz w:val="16"/>
                <w:szCs w:val="16"/>
              </w:rPr>
              <w:t>P4 – 46%</w:t>
            </w:r>
          </w:p>
          <w:p w:rsidR="00221F0B" w:rsidRPr="00124987" w:rsidRDefault="00221F0B" w:rsidP="00DC1333">
            <w:pPr>
              <w:keepNext/>
              <w:keepLines/>
              <w:spacing w:after="160"/>
              <w:rPr>
                <w:sz w:val="16"/>
                <w:szCs w:val="16"/>
              </w:rPr>
            </w:pPr>
            <w:r w:rsidRPr="00124987">
              <w:rPr>
                <w:sz w:val="16"/>
                <w:szCs w:val="16"/>
              </w:rPr>
              <w:t>P5 – 35%</w:t>
            </w:r>
          </w:p>
          <w:p w:rsidR="00221F0B" w:rsidRPr="00124987" w:rsidRDefault="00221F0B" w:rsidP="00DC1333">
            <w:pPr>
              <w:keepNext/>
              <w:keepLines/>
              <w:spacing w:after="160"/>
              <w:rPr>
                <w:sz w:val="16"/>
                <w:szCs w:val="16"/>
              </w:rPr>
            </w:pPr>
            <w:r w:rsidRPr="00124987">
              <w:rPr>
                <w:sz w:val="16"/>
                <w:szCs w:val="16"/>
              </w:rPr>
              <w:t>D1 – 30%</w:t>
            </w:r>
          </w:p>
          <w:p w:rsidR="00221F0B" w:rsidRPr="00124987" w:rsidRDefault="00221F0B" w:rsidP="00DC1333">
            <w:pPr>
              <w:keepNext/>
              <w:keepLines/>
              <w:spacing w:after="160"/>
              <w:rPr>
                <w:sz w:val="16"/>
                <w:szCs w:val="16"/>
              </w:rPr>
            </w:pPr>
            <w:r w:rsidRPr="00124987">
              <w:rPr>
                <w:sz w:val="16"/>
                <w:szCs w:val="16"/>
              </w:rPr>
              <w:t>D2 – 30%</w:t>
            </w:r>
          </w:p>
        </w:tc>
        <w:tc>
          <w:tcPr>
            <w:tcW w:w="1059" w:type="pct"/>
            <w:shd w:val="clear" w:color="auto" w:fill="FFFFFF"/>
            <w:tcMar>
              <w:top w:w="110" w:type="dxa"/>
            </w:tcMar>
          </w:tcPr>
          <w:tbl>
            <w:tblPr>
              <w:tblW w:w="2067" w:type="dxa"/>
              <w:tblLayout w:type="fixed"/>
              <w:tblCellMar>
                <w:left w:w="14" w:type="dxa"/>
                <w:right w:w="14" w:type="dxa"/>
              </w:tblCellMar>
              <w:tblLook w:val="04A0" w:firstRow="1" w:lastRow="0" w:firstColumn="1" w:lastColumn="0" w:noHBand="0" w:noVBand="1"/>
            </w:tblPr>
            <w:tblGrid>
              <w:gridCol w:w="394"/>
              <w:gridCol w:w="540"/>
              <w:gridCol w:w="1133"/>
            </w:tblGrid>
            <w:tr w:rsidR="00221F0B" w:rsidRPr="00124987" w:rsidTr="00DC1333">
              <w:trPr>
                <w:trHeight w:val="255"/>
              </w:trPr>
              <w:tc>
                <w:tcPr>
                  <w:tcW w:w="394" w:type="dxa"/>
                  <w:tcBorders>
                    <w:top w:val="nil"/>
                    <w:left w:val="nil"/>
                    <w:bottom w:val="nil"/>
                    <w:right w:val="nil"/>
                  </w:tcBorders>
                  <w:shd w:val="clear" w:color="auto" w:fill="auto"/>
                  <w:noWrap/>
                  <w:vAlign w:val="bottom"/>
                  <w:hideMark/>
                </w:tcPr>
                <w:p w:rsidR="00221F0B" w:rsidRPr="00124987" w:rsidRDefault="00221F0B" w:rsidP="00DC1333">
                  <w:pPr>
                    <w:rPr>
                      <w:sz w:val="16"/>
                      <w:szCs w:val="16"/>
                    </w:rPr>
                  </w:pPr>
                  <w:r w:rsidRPr="00124987">
                    <w:rPr>
                      <w:sz w:val="16"/>
                      <w:szCs w:val="16"/>
                    </w:rPr>
                    <w:t xml:space="preserve">P4 - </w:t>
                  </w:r>
                </w:p>
              </w:tc>
              <w:tc>
                <w:tcPr>
                  <w:tcW w:w="540" w:type="dxa"/>
                  <w:tcBorders>
                    <w:top w:val="nil"/>
                    <w:left w:val="nil"/>
                    <w:bottom w:val="nil"/>
                    <w:right w:val="nil"/>
                  </w:tcBorders>
                  <w:shd w:val="clear" w:color="auto" w:fill="auto"/>
                  <w:noWrap/>
                  <w:vAlign w:val="bottom"/>
                  <w:hideMark/>
                </w:tcPr>
                <w:p w:rsidR="00221F0B" w:rsidRPr="00124987" w:rsidRDefault="00221F0B" w:rsidP="00DC1333">
                  <w:pPr>
                    <w:rPr>
                      <w:sz w:val="16"/>
                      <w:szCs w:val="16"/>
                    </w:rPr>
                  </w:pPr>
                  <w:r w:rsidRPr="00124987">
                    <w:rPr>
                      <w:sz w:val="16"/>
                      <w:szCs w:val="16"/>
                    </w:rPr>
                    <w:t>44,4%</w:t>
                  </w:r>
                </w:p>
              </w:tc>
              <w:tc>
                <w:tcPr>
                  <w:tcW w:w="1133" w:type="dxa"/>
                  <w:tcBorders>
                    <w:top w:val="nil"/>
                    <w:left w:val="nil"/>
                    <w:bottom w:val="nil"/>
                    <w:right w:val="nil"/>
                  </w:tcBorders>
                  <w:shd w:val="clear" w:color="auto" w:fill="auto"/>
                  <w:noWrap/>
                  <w:vAlign w:val="bottom"/>
                  <w:hideMark/>
                </w:tcPr>
                <w:p w:rsidR="00221F0B" w:rsidRPr="00124987" w:rsidRDefault="00221F0B" w:rsidP="00DC1333">
                  <w:pPr>
                    <w:rPr>
                      <w:sz w:val="16"/>
                      <w:szCs w:val="16"/>
                    </w:rPr>
                  </w:pPr>
                  <w:r w:rsidRPr="00124987">
                    <w:rPr>
                      <w:sz w:val="16"/>
                      <w:szCs w:val="16"/>
                    </w:rPr>
                    <w:t>46,1%</w:t>
                  </w:r>
                </w:p>
              </w:tc>
            </w:tr>
            <w:tr w:rsidR="00221F0B" w:rsidRPr="00124987" w:rsidTr="00DC1333">
              <w:trPr>
                <w:trHeight w:val="255"/>
              </w:trPr>
              <w:tc>
                <w:tcPr>
                  <w:tcW w:w="394" w:type="dxa"/>
                  <w:tcBorders>
                    <w:top w:val="nil"/>
                    <w:left w:val="nil"/>
                    <w:bottom w:val="nil"/>
                    <w:right w:val="nil"/>
                  </w:tcBorders>
                  <w:shd w:val="clear" w:color="auto" w:fill="auto"/>
                  <w:noWrap/>
                  <w:vAlign w:val="bottom"/>
                  <w:hideMark/>
                </w:tcPr>
                <w:p w:rsidR="00221F0B" w:rsidRPr="00124987" w:rsidRDefault="00221F0B" w:rsidP="00DC1333">
                  <w:pPr>
                    <w:rPr>
                      <w:sz w:val="16"/>
                      <w:szCs w:val="16"/>
                    </w:rPr>
                  </w:pPr>
                </w:p>
                <w:p w:rsidR="00221F0B" w:rsidRPr="00124987" w:rsidRDefault="00221F0B" w:rsidP="00DC1333">
                  <w:pPr>
                    <w:rPr>
                      <w:sz w:val="16"/>
                      <w:szCs w:val="16"/>
                    </w:rPr>
                  </w:pPr>
                  <w:r w:rsidRPr="00124987">
                    <w:rPr>
                      <w:sz w:val="16"/>
                      <w:szCs w:val="16"/>
                    </w:rPr>
                    <w:t xml:space="preserve">P5 - </w:t>
                  </w:r>
                </w:p>
              </w:tc>
              <w:tc>
                <w:tcPr>
                  <w:tcW w:w="540" w:type="dxa"/>
                  <w:tcBorders>
                    <w:top w:val="nil"/>
                    <w:left w:val="nil"/>
                    <w:bottom w:val="nil"/>
                    <w:right w:val="nil"/>
                  </w:tcBorders>
                  <w:shd w:val="clear" w:color="auto" w:fill="auto"/>
                  <w:noWrap/>
                  <w:vAlign w:val="bottom"/>
                  <w:hideMark/>
                </w:tcPr>
                <w:p w:rsidR="00221F0B" w:rsidRPr="00124987" w:rsidRDefault="00221F0B" w:rsidP="00DC1333">
                  <w:pPr>
                    <w:rPr>
                      <w:sz w:val="16"/>
                      <w:szCs w:val="16"/>
                    </w:rPr>
                  </w:pPr>
                  <w:r w:rsidRPr="00124987">
                    <w:rPr>
                      <w:sz w:val="16"/>
                      <w:szCs w:val="16"/>
                    </w:rPr>
                    <w:t>34,4%</w:t>
                  </w:r>
                </w:p>
              </w:tc>
              <w:tc>
                <w:tcPr>
                  <w:tcW w:w="1133" w:type="dxa"/>
                  <w:tcBorders>
                    <w:top w:val="nil"/>
                    <w:left w:val="nil"/>
                    <w:bottom w:val="nil"/>
                    <w:right w:val="nil"/>
                  </w:tcBorders>
                  <w:shd w:val="clear" w:color="auto" w:fill="auto"/>
                  <w:noWrap/>
                  <w:vAlign w:val="bottom"/>
                  <w:hideMark/>
                </w:tcPr>
                <w:p w:rsidR="00221F0B" w:rsidRPr="00124987" w:rsidRDefault="00221F0B" w:rsidP="00DC1333">
                  <w:pPr>
                    <w:rPr>
                      <w:sz w:val="16"/>
                      <w:szCs w:val="16"/>
                    </w:rPr>
                  </w:pPr>
                  <w:r w:rsidRPr="00124987">
                    <w:rPr>
                      <w:sz w:val="16"/>
                      <w:szCs w:val="16"/>
                    </w:rPr>
                    <w:t>34,1%</w:t>
                  </w:r>
                </w:p>
              </w:tc>
            </w:tr>
            <w:tr w:rsidR="00221F0B" w:rsidRPr="00124987" w:rsidTr="00DC1333">
              <w:trPr>
                <w:trHeight w:val="255"/>
              </w:trPr>
              <w:tc>
                <w:tcPr>
                  <w:tcW w:w="394" w:type="dxa"/>
                  <w:tcBorders>
                    <w:top w:val="nil"/>
                    <w:left w:val="nil"/>
                    <w:bottom w:val="nil"/>
                    <w:right w:val="nil"/>
                  </w:tcBorders>
                  <w:shd w:val="clear" w:color="auto" w:fill="auto"/>
                  <w:noWrap/>
                  <w:vAlign w:val="bottom"/>
                  <w:hideMark/>
                </w:tcPr>
                <w:p w:rsidR="00221F0B" w:rsidRPr="00124987" w:rsidRDefault="00221F0B" w:rsidP="00DC1333">
                  <w:pPr>
                    <w:rPr>
                      <w:sz w:val="16"/>
                      <w:szCs w:val="16"/>
                    </w:rPr>
                  </w:pPr>
                </w:p>
                <w:p w:rsidR="00221F0B" w:rsidRPr="00124987" w:rsidRDefault="00221F0B" w:rsidP="00DC1333">
                  <w:pPr>
                    <w:rPr>
                      <w:sz w:val="16"/>
                      <w:szCs w:val="16"/>
                    </w:rPr>
                  </w:pPr>
                  <w:r w:rsidRPr="00124987">
                    <w:rPr>
                      <w:sz w:val="16"/>
                      <w:szCs w:val="16"/>
                    </w:rPr>
                    <w:t xml:space="preserve">D1 - </w:t>
                  </w:r>
                </w:p>
              </w:tc>
              <w:tc>
                <w:tcPr>
                  <w:tcW w:w="540" w:type="dxa"/>
                  <w:tcBorders>
                    <w:top w:val="nil"/>
                    <w:left w:val="nil"/>
                    <w:bottom w:val="nil"/>
                    <w:right w:val="nil"/>
                  </w:tcBorders>
                  <w:shd w:val="clear" w:color="auto" w:fill="auto"/>
                  <w:noWrap/>
                  <w:vAlign w:val="bottom"/>
                  <w:hideMark/>
                </w:tcPr>
                <w:p w:rsidR="00221F0B" w:rsidRPr="00124987" w:rsidRDefault="00221F0B" w:rsidP="00DC1333">
                  <w:pPr>
                    <w:rPr>
                      <w:sz w:val="16"/>
                      <w:szCs w:val="16"/>
                    </w:rPr>
                  </w:pPr>
                  <w:r w:rsidRPr="00124987">
                    <w:rPr>
                      <w:sz w:val="16"/>
                      <w:szCs w:val="16"/>
                    </w:rPr>
                    <w:t>26,7%</w:t>
                  </w:r>
                </w:p>
              </w:tc>
              <w:tc>
                <w:tcPr>
                  <w:tcW w:w="1133" w:type="dxa"/>
                  <w:tcBorders>
                    <w:top w:val="nil"/>
                    <w:left w:val="nil"/>
                    <w:bottom w:val="nil"/>
                    <w:right w:val="nil"/>
                  </w:tcBorders>
                  <w:shd w:val="clear" w:color="auto" w:fill="auto"/>
                  <w:noWrap/>
                  <w:vAlign w:val="bottom"/>
                  <w:hideMark/>
                </w:tcPr>
                <w:p w:rsidR="00221F0B" w:rsidRPr="00124987" w:rsidRDefault="00221F0B" w:rsidP="00DC1333">
                  <w:pPr>
                    <w:rPr>
                      <w:sz w:val="16"/>
                      <w:szCs w:val="16"/>
                    </w:rPr>
                  </w:pPr>
                  <w:r w:rsidRPr="00124987">
                    <w:rPr>
                      <w:sz w:val="16"/>
                      <w:szCs w:val="16"/>
                    </w:rPr>
                    <w:t>26,5%</w:t>
                  </w:r>
                </w:p>
              </w:tc>
            </w:tr>
            <w:tr w:rsidR="00221F0B" w:rsidRPr="00124987" w:rsidTr="00DC1333">
              <w:trPr>
                <w:trHeight w:val="255"/>
              </w:trPr>
              <w:tc>
                <w:tcPr>
                  <w:tcW w:w="394" w:type="dxa"/>
                  <w:tcBorders>
                    <w:top w:val="nil"/>
                    <w:left w:val="nil"/>
                    <w:bottom w:val="nil"/>
                    <w:right w:val="nil"/>
                  </w:tcBorders>
                  <w:shd w:val="clear" w:color="auto" w:fill="auto"/>
                  <w:noWrap/>
                  <w:vAlign w:val="bottom"/>
                  <w:hideMark/>
                </w:tcPr>
                <w:p w:rsidR="00221F0B" w:rsidRPr="00124987" w:rsidRDefault="00221F0B" w:rsidP="00DC1333">
                  <w:pPr>
                    <w:rPr>
                      <w:sz w:val="16"/>
                      <w:szCs w:val="16"/>
                    </w:rPr>
                  </w:pPr>
                </w:p>
                <w:p w:rsidR="00221F0B" w:rsidRPr="00124987" w:rsidRDefault="00221F0B" w:rsidP="00DC1333">
                  <w:pPr>
                    <w:rPr>
                      <w:sz w:val="16"/>
                      <w:szCs w:val="16"/>
                    </w:rPr>
                  </w:pPr>
                  <w:r w:rsidRPr="00124987">
                    <w:rPr>
                      <w:sz w:val="16"/>
                      <w:szCs w:val="16"/>
                    </w:rPr>
                    <w:t xml:space="preserve">D2 - </w:t>
                  </w:r>
                </w:p>
              </w:tc>
              <w:tc>
                <w:tcPr>
                  <w:tcW w:w="540" w:type="dxa"/>
                  <w:tcBorders>
                    <w:top w:val="nil"/>
                    <w:left w:val="nil"/>
                    <w:bottom w:val="nil"/>
                    <w:right w:val="nil"/>
                  </w:tcBorders>
                  <w:shd w:val="clear" w:color="auto" w:fill="auto"/>
                  <w:noWrap/>
                  <w:vAlign w:val="bottom"/>
                  <w:hideMark/>
                </w:tcPr>
                <w:p w:rsidR="00221F0B" w:rsidRPr="00124987" w:rsidRDefault="00221F0B" w:rsidP="00DC1333">
                  <w:pPr>
                    <w:rPr>
                      <w:sz w:val="16"/>
                      <w:szCs w:val="16"/>
                    </w:rPr>
                  </w:pPr>
                  <w:r w:rsidRPr="00124987">
                    <w:rPr>
                      <w:sz w:val="16"/>
                      <w:szCs w:val="16"/>
                    </w:rPr>
                    <w:t>22,2%</w:t>
                  </w:r>
                </w:p>
              </w:tc>
              <w:tc>
                <w:tcPr>
                  <w:tcW w:w="1133" w:type="dxa"/>
                  <w:tcBorders>
                    <w:top w:val="nil"/>
                    <w:left w:val="nil"/>
                    <w:bottom w:val="nil"/>
                    <w:right w:val="nil"/>
                  </w:tcBorders>
                  <w:shd w:val="clear" w:color="auto" w:fill="auto"/>
                  <w:noWrap/>
                  <w:vAlign w:val="bottom"/>
                  <w:hideMark/>
                </w:tcPr>
                <w:p w:rsidR="00221F0B" w:rsidRPr="00124987" w:rsidRDefault="00221F0B" w:rsidP="00DC1333">
                  <w:pPr>
                    <w:rPr>
                      <w:sz w:val="16"/>
                      <w:szCs w:val="16"/>
                    </w:rPr>
                  </w:pPr>
                  <w:r w:rsidRPr="00124987">
                    <w:rPr>
                      <w:sz w:val="16"/>
                      <w:szCs w:val="16"/>
                    </w:rPr>
                    <w:t>22,2%</w:t>
                  </w:r>
                </w:p>
              </w:tc>
            </w:tr>
          </w:tbl>
          <w:p w:rsidR="00221F0B" w:rsidRPr="00124987" w:rsidRDefault="00221F0B" w:rsidP="00DC1333">
            <w:pPr>
              <w:pStyle w:val="PlainText"/>
              <w:keepNext/>
              <w:keepLines/>
              <w:spacing w:after="160"/>
              <w:rPr>
                <w:rFonts w:ascii="Arial" w:hAnsi="Arial" w:cs="Arial"/>
                <w:sz w:val="16"/>
                <w:szCs w:val="16"/>
              </w:rPr>
            </w:pPr>
          </w:p>
        </w:tc>
        <w:tc>
          <w:tcPr>
            <w:tcW w:w="606" w:type="pct"/>
            <w:shd w:val="clear" w:color="auto" w:fill="auto"/>
            <w:tcMar>
              <w:top w:w="110" w:type="dxa"/>
            </w:tcMar>
          </w:tcPr>
          <w:p w:rsidR="00221F0B" w:rsidRPr="00124987" w:rsidRDefault="00221F0B" w:rsidP="00DC1333">
            <w:pPr>
              <w:spacing w:after="120"/>
              <w:ind w:right="-107"/>
              <w:jc w:val="center"/>
              <w:rPr>
                <w:bCs/>
                <w:color w:val="808080"/>
                <w:sz w:val="16"/>
                <w:szCs w:val="16"/>
              </w:rPr>
            </w:pPr>
            <w:r w:rsidRPr="00124987">
              <w:rPr>
                <w:b/>
                <w:color w:val="00B050"/>
                <w:sz w:val="16"/>
                <w:szCs w:val="16"/>
              </w:rPr>
              <w:t>Plenamente logrado</w:t>
            </w:r>
            <w:r w:rsidRPr="00124987">
              <w:rPr>
                <w:b/>
                <w:color w:val="00B050"/>
                <w:sz w:val="16"/>
                <w:szCs w:val="16"/>
              </w:rPr>
              <w:br/>
            </w:r>
            <w:r w:rsidRPr="00124987">
              <w:rPr>
                <w:b/>
                <w:bCs/>
                <w:color w:val="FF0000"/>
                <w:sz w:val="16"/>
                <w:szCs w:val="16"/>
              </w:rPr>
              <w:t>No logrado</w:t>
            </w:r>
            <w:r w:rsidRPr="00124987">
              <w:rPr>
                <w:b/>
                <w:bCs/>
                <w:color w:val="FF0000"/>
                <w:sz w:val="16"/>
                <w:szCs w:val="16"/>
              </w:rPr>
              <w:br/>
              <w:t xml:space="preserve"> </w:t>
            </w:r>
            <w:r w:rsidRPr="00124987">
              <w:rPr>
                <w:b/>
                <w:bCs/>
                <w:color w:val="FF0000"/>
                <w:sz w:val="16"/>
                <w:szCs w:val="16"/>
              </w:rPr>
              <w:br/>
              <w:t>No logrado</w:t>
            </w:r>
            <w:r w:rsidRPr="00124987">
              <w:rPr>
                <w:b/>
                <w:bCs/>
                <w:color w:val="FF0000"/>
                <w:sz w:val="16"/>
                <w:szCs w:val="16"/>
              </w:rPr>
              <w:br/>
            </w:r>
            <w:r w:rsidRPr="00124987">
              <w:rPr>
                <w:b/>
                <w:bCs/>
                <w:color w:val="FF0000"/>
                <w:sz w:val="16"/>
                <w:szCs w:val="16"/>
              </w:rPr>
              <w:br/>
              <w:t>No logrado</w:t>
            </w:r>
          </w:p>
        </w:tc>
      </w:tr>
      <w:tr w:rsidR="00221F0B" w:rsidRPr="00124987" w:rsidTr="00DC1333">
        <w:tc>
          <w:tcPr>
            <w:tcW w:w="1137" w:type="pct"/>
            <w:shd w:val="clear" w:color="auto" w:fill="auto"/>
          </w:tcPr>
          <w:p w:rsidR="00221F0B" w:rsidRPr="00124987" w:rsidRDefault="00221F0B" w:rsidP="00DC1333">
            <w:pPr>
              <w:rPr>
                <w:sz w:val="16"/>
                <w:szCs w:val="16"/>
              </w:rPr>
            </w:pPr>
            <w:r w:rsidRPr="00124987">
              <w:rPr>
                <w:sz w:val="16"/>
                <w:szCs w:val="16"/>
              </w:rPr>
              <w:t xml:space="preserve">Diversidad geográfica:  porcentaje de funcionarios </w:t>
            </w:r>
            <w:r w:rsidRPr="00124987">
              <w:rPr>
                <w:sz w:val="16"/>
                <w:szCs w:val="16"/>
              </w:rPr>
              <w:lastRenderedPageBreak/>
              <w:t>por región</w:t>
            </w:r>
            <w:r w:rsidRPr="00124987">
              <w:rPr>
                <w:rStyle w:val="FootnoteReference"/>
                <w:sz w:val="16"/>
                <w:szCs w:val="16"/>
              </w:rPr>
              <w:footnoteReference w:id="134"/>
            </w:r>
          </w:p>
        </w:tc>
        <w:tc>
          <w:tcPr>
            <w:tcW w:w="1287" w:type="pct"/>
            <w:shd w:val="clear" w:color="auto" w:fill="auto"/>
          </w:tcPr>
          <w:p w:rsidR="00221F0B" w:rsidRPr="00124987" w:rsidRDefault="00221F0B" w:rsidP="00DC1333">
            <w:pPr>
              <w:rPr>
                <w:i/>
                <w:color w:val="002060"/>
                <w:sz w:val="16"/>
                <w:szCs w:val="16"/>
              </w:rPr>
            </w:pPr>
            <w:r w:rsidRPr="00124987">
              <w:rPr>
                <w:i/>
                <w:color w:val="002060"/>
                <w:sz w:val="16"/>
                <w:szCs w:val="16"/>
              </w:rPr>
              <w:lastRenderedPageBreak/>
              <w:t xml:space="preserve">Referencia actualizada a fines de 2013:  </w:t>
            </w:r>
          </w:p>
          <w:p w:rsidR="00221F0B" w:rsidRPr="00124987" w:rsidRDefault="00221F0B" w:rsidP="00DC1333">
            <w:pPr>
              <w:rPr>
                <w:color w:val="002060"/>
                <w:sz w:val="16"/>
                <w:szCs w:val="16"/>
              </w:rPr>
            </w:pPr>
            <w:r w:rsidRPr="00124987">
              <w:rPr>
                <w:color w:val="002060"/>
                <w:sz w:val="16"/>
                <w:szCs w:val="16"/>
              </w:rPr>
              <w:lastRenderedPageBreak/>
              <w:t xml:space="preserve">África 11,4% </w:t>
            </w:r>
          </w:p>
          <w:p w:rsidR="00221F0B" w:rsidRPr="00124987" w:rsidRDefault="00221F0B" w:rsidP="00DC1333">
            <w:pPr>
              <w:rPr>
                <w:color w:val="002060"/>
                <w:sz w:val="16"/>
                <w:szCs w:val="16"/>
              </w:rPr>
            </w:pPr>
            <w:r w:rsidRPr="00124987">
              <w:rPr>
                <w:color w:val="002060"/>
                <w:sz w:val="16"/>
                <w:szCs w:val="16"/>
              </w:rPr>
              <w:t>Asia y el Pacífico 13,7%</w:t>
            </w:r>
          </w:p>
          <w:p w:rsidR="00221F0B" w:rsidRPr="00124987" w:rsidRDefault="00221F0B" w:rsidP="00DC1333">
            <w:pPr>
              <w:rPr>
                <w:color w:val="002060"/>
                <w:sz w:val="16"/>
                <w:szCs w:val="16"/>
              </w:rPr>
            </w:pPr>
            <w:r w:rsidRPr="00124987">
              <w:rPr>
                <w:color w:val="002060"/>
                <w:sz w:val="16"/>
                <w:szCs w:val="16"/>
              </w:rPr>
              <w:t xml:space="preserve">Europa Central y Oriental y Asia Central 5,9% </w:t>
            </w:r>
          </w:p>
          <w:p w:rsidR="00221F0B" w:rsidRPr="00124987" w:rsidRDefault="00221F0B" w:rsidP="00DC1333">
            <w:pPr>
              <w:rPr>
                <w:color w:val="002060"/>
                <w:sz w:val="16"/>
                <w:szCs w:val="16"/>
              </w:rPr>
            </w:pPr>
            <w:r w:rsidRPr="00124987">
              <w:rPr>
                <w:color w:val="002060"/>
                <w:sz w:val="16"/>
                <w:szCs w:val="16"/>
              </w:rPr>
              <w:t xml:space="preserve">América Latina y el Caribe 8,6% </w:t>
            </w:r>
          </w:p>
          <w:p w:rsidR="00221F0B" w:rsidRPr="00124987" w:rsidRDefault="00221F0B" w:rsidP="00DC1333">
            <w:pPr>
              <w:rPr>
                <w:color w:val="002060"/>
                <w:sz w:val="16"/>
                <w:szCs w:val="16"/>
              </w:rPr>
            </w:pPr>
            <w:r w:rsidRPr="00124987">
              <w:rPr>
                <w:color w:val="002060"/>
                <w:sz w:val="16"/>
                <w:szCs w:val="16"/>
              </w:rPr>
              <w:t xml:space="preserve">Oriente Medio 1,2% </w:t>
            </w:r>
          </w:p>
          <w:p w:rsidR="00221F0B" w:rsidRPr="00124987" w:rsidRDefault="00221F0B" w:rsidP="00DC1333">
            <w:pPr>
              <w:rPr>
                <w:color w:val="002060"/>
                <w:sz w:val="16"/>
                <w:szCs w:val="16"/>
              </w:rPr>
            </w:pPr>
            <w:r w:rsidRPr="00124987">
              <w:rPr>
                <w:color w:val="002060"/>
                <w:sz w:val="16"/>
                <w:szCs w:val="16"/>
              </w:rPr>
              <w:t xml:space="preserve">Norteamérica 8,2% </w:t>
            </w:r>
          </w:p>
          <w:p w:rsidR="00221F0B" w:rsidRPr="00124987" w:rsidRDefault="00221F0B" w:rsidP="00DC1333">
            <w:pPr>
              <w:rPr>
                <w:color w:val="002060"/>
                <w:sz w:val="16"/>
                <w:szCs w:val="16"/>
                <w:lang w:bidi="th-TH"/>
              </w:rPr>
            </w:pPr>
            <w:r w:rsidRPr="00124987">
              <w:rPr>
                <w:color w:val="002060"/>
                <w:sz w:val="16"/>
                <w:szCs w:val="16"/>
              </w:rPr>
              <w:t>Europa Occidental 51,0%</w:t>
            </w:r>
          </w:p>
          <w:p w:rsidR="00221F0B" w:rsidRPr="00124987" w:rsidRDefault="00221F0B" w:rsidP="00DC1333">
            <w:pPr>
              <w:rPr>
                <w:i/>
                <w:color w:val="002060"/>
                <w:sz w:val="8"/>
                <w:szCs w:val="8"/>
              </w:rPr>
            </w:pPr>
          </w:p>
          <w:p w:rsidR="00221F0B" w:rsidRPr="00124987" w:rsidRDefault="00221F0B" w:rsidP="00DC1333">
            <w:pPr>
              <w:rPr>
                <w:sz w:val="16"/>
                <w:szCs w:val="16"/>
              </w:rPr>
            </w:pPr>
            <w:r w:rsidRPr="00124987">
              <w:rPr>
                <w:i/>
                <w:sz w:val="16"/>
                <w:szCs w:val="16"/>
              </w:rPr>
              <w:t>Referencia original en el presupuesto de 2014/15:</w:t>
            </w:r>
            <w:r w:rsidRPr="00124987">
              <w:rPr>
                <w:sz w:val="16"/>
                <w:szCs w:val="16"/>
              </w:rPr>
              <w:t xml:space="preserve">  África 11,0% </w:t>
            </w:r>
          </w:p>
          <w:p w:rsidR="00221F0B" w:rsidRPr="00124987" w:rsidRDefault="00221F0B" w:rsidP="00DC1333">
            <w:pPr>
              <w:rPr>
                <w:sz w:val="16"/>
                <w:szCs w:val="16"/>
              </w:rPr>
            </w:pPr>
            <w:r w:rsidRPr="00124987">
              <w:rPr>
                <w:sz w:val="16"/>
                <w:szCs w:val="16"/>
              </w:rPr>
              <w:t xml:space="preserve">Asia y el Pacífico 13,7%. </w:t>
            </w:r>
          </w:p>
          <w:p w:rsidR="00221F0B" w:rsidRPr="00124987" w:rsidRDefault="00221F0B" w:rsidP="00DC1333">
            <w:pPr>
              <w:rPr>
                <w:sz w:val="16"/>
                <w:szCs w:val="16"/>
              </w:rPr>
            </w:pPr>
            <w:r w:rsidRPr="00124987">
              <w:rPr>
                <w:sz w:val="16"/>
                <w:szCs w:val="16"/>
              </w:rPr>
              <w:t xml:space="preserve">Europa Central y Oriental y Asia Central 6,2% </w:t>
            </w:r>
          </w:p>
          <w:p w:rsidR="00221F0B" w:rsidRPr="00124987" w:rsidRDefault="00221F0B" w:rsidP="00DC1333">
            <w:pPr>
              <w:rPr>
                <w:sz w:val="16"/>
                <w:szCs w:val="16"/>
              </w:rPr>
            </w:pPr>
            <w:r w:rsidRPr="00124987">
              <w:rPr>
                <w:sz w:val="16"/>
                <w:szCs w:val="16"/>
              </w:rPr>
              <w:t xml:space="preserve">América Latina y el Caribe 8,6% </w:t>
            </w:r>
          </w:p>
          <w:p w:rsidR="00221F0B" w:rsidRPr="00124987" w:rsidRDefault="00221F0B" w:rsidP="00DC1333">
            <w:pPr>
              <w:rPr>
                <w:sz w:val="16"/>
                <w:szCs w:val="16"/>
              </w:rPr>
            </w:pPr>
            <w:r w:rsidRPr="00124987">
              <w:rPr>
                <w:sz w:val="16"/>
                <w:szCs w:val="16"/>
              </w:rPr>
              <w:t xml:space="preserve">Oriente Medio 1,2% </w:t>
            </w:r>
          </w:p>
          <w:p w:rsidR="00221F0B" w:rsidRPr="00124987" w:rsidRDefault="00221F0B" w:rsidP="00DC1333">
            <w:pPr>
              <w:rPr>
                <w:sz w:val="16"/>
                <w:szCs w:val="16"/>
              </w:rPr>
            </w:pPr>
            <w:r w:rsidRPr="00124987">
              <w:rPr>
                <w:sz w:val="16"/>
                <w:szCs w:val="16"/>
              </w:rPr>
              <w:t xml:space="preserve">Norteamérica 8,0% </w:t>
            </w:r>
          </w:p>
          <w:p w:rsidR="00221F0B" w:rsidRPr="00124987" w:rsidRDefault="00221F0B" w:rsidP="00DC1333">
            <w:pPr>
              <w:rPr>
                <w:sz w:val="16"/>
                <w:szCs w:val="16"/>
              </w:rPr>
            </w:pPr>
            <w:r w:rsidRPr="00124987">
              <w:rPr>
                <w:sz w:val="16"/>
                <w:szCs w:val="16"/>
              </w:rPr>
              <w:t>Europa Occidental 51,2%</w:t>
            </w:r>
          </w:p>
        </w:tc>
        <w:tc>
          <w:tcPr>
            <w:tcW w:w="911" w:type="pct"/>
            <w:shd w:val="clear" w:color="auto" w:fill="auto"/>
            <w:tcMar>
              <w:top w:w="110" w:type="dxa"/>
            </w:tcMar>
          </w:tcPr>
          <w:p w:rsidR="00221F0B" w:rsidRPr="00124987" w:rsidRDefault="00221F0B" w:rsidP="00DC1333">
            <w:pPr>
              <w:rPr>
                <w:sz w:val="16"/>
                <w:szCs w:val="16"/>
              </w:rPr>
            </w:pPr>
            <w:r w:rsidRPr="00124987">
              <w:rPr>
                <w:sz w:val="16"/>
                <w:szCs w:val="16"/>
              </w:rPr>
              <w:lastRenderedPageBreak/>
              <w:t>Por determinar</w:t>
            </w:r>
            <w:r w:rsidRPr="00124987">
              <w:rPr>
                <w:rStyle w:val="FootnoteReference"/>
                <w:sz w:val="16"/>
                <w:szCs w:val="16"/>
              </w:rPr>
              <w:footnoteReference w:id="135"/>
            </w:r>
          </w:p>
        </w:tc>
        <w:tc>
          <w:tcPr>
            <w:tcW w:w="1059" w:type="pct"/>
            <w:shd w:val="clear" w:color="auto" w:fill="FFFFFF"/>
            <w:tcMar>
              <w:top w:w="110" w:type="dxa"/>
            </w:tcMar>
          </w:tcPr>
          <w:p w:rsidR="00221F0B" w:rsidRPr="00124987" w:rsidRDefault="00221F0B" w:rsidP="00DC1333">
            <w:pPr>
              <w:rPr>
                <w:sz w:val="16"/>
                <w:szCs w:val="16"/>
              </w:rPr>
            </w:pPr>
            <w:r w:rsidRPr="00124987">
              <w:rPr>
                <w:sz w:val="16"/>
                <w:szCs w:val="16"/>
              </w:rPr>
              <w:t>África: 10,7%</w:t>
            </w:r>
          </w:p>
          <w:p w:rsidR="00221F0B" w:rsidRPr="00124987" w:rsidRDefault="00221F0B" w:rsidP="00DC1333">
            <w:pPr>
              <w:rPr>
                <w:sz w:val="16"/>
                <w:szCs w:val="16"/>
              </w:rPr>
            </w:pPr>
            <w:r w:rsidRPr="00124987">
              <w:rPr>
                <w:sz w:val="16"/>
                <w:szCs w:val="16"/>
              </w:rPr>
              <w:t xml:space="preserve">América del Norte:  </w:t>
            </w:r>
            <w:r w:rsidRPr="00124987">
              <w:rPr>
                <w:sz w:val="16"/>
                <w:szCs w:val="16"/>
              </w:rPr>
              <w:lastRenderedPageBreak/>
              <w:t>9,0%</w:t>
            </w:r>
          </w:p>
          <w:p w:rsidR="00221F0B" w:rsidRPr="00124987" w:rsidRDefault="00221F0B" w:rsidP="00DC1333">
            <w:pPr>
              <w:rPr>
                <w:sz w:val="16"/>
                <w:szCs w:val="16"/>
              </w:rPr>
            </w:pPr>
            <w:r w:rsidRPr="00124987">
              <w:rPr>
                <w:sz w:val="16"/>
                <w:szCs w:val="16"/>
              </w:rPr>
              <w:t>América Latina y el Caribe:  8,4%</w:t>
            </w:r>
          </w:p>
          <w:p w:rsidR="00221F0B" w:rsidRPr="00124987" w:rsidRDefault="00221F0B" w:rsidP="00DC1333">
            <w:pPr>
              <w:rPr>
                <w:sz w:val="16"/>
                <w:szCs w:val="16"/>
              </w:rPr>
            </w:pPr>
            <w:r w:rsidRPr="00124987">
              <w:rPr>
                <w:sz w:val="16"/>
                <w:szCs w:val="16"/>
              </w:rPr>
              <w:t>Asia y el Pacífico: 14,3%</w:t>
            </w:r>
          </w:p>
          <w:p w:rsidR="00221F0B" w:rsidRPr="00124987" w:rsidRDefault="00221F0B" w:rsidP="00DC1333">
            <w:pPr>
              <w:rPr>
                <w:sz w:val="16"/>
                <w:szCs w:val="16"/>
              </w:rPr>
            </w:pPr>
            <w:r w:rsidRPr="00124987">
              <w:rPr>
                <w:sz w:val="16"/>
                <w:szCs w:val="16"/>
              </w:rPr>
              <w:t>Europa Central y Oriental y Asia Central:  6,9%</w:t>
            </w:r>
          </w:p>
          <w:p w:rsidR="00221F0B" w:rsidRPr="00124987" w:rsidRDefault="00221F0B" w:rsidP="00DC1333">
            <w:pPr>
              <w:rPr>
                <w:sz w:val="16"/>
                <w:szCs w:val="16"/>
              </w:rPr>
            </w:pPr>
            <w:r w:rsidRPr="00124987">
              <w:rPr>
                <w:sz w:val="16"/>
                <w:szCs w:val="16"/>
              </w:rPr>
              <w:t>Europa Occidental:  49,5%</w:t>
            </w:r>
          </w:p>
          <w:p w:rsidR="00221F0B" w:rsidRPr="00124987" w:rsidRDefault="00221F0B" w:rsidP="00DC1333">
            <w:pPr>
              <w:rPr>
                <w:sz w:val="16"/>
                <w:szCs w:val="16"/>
              </w:rPr>
            </w:pPr>
            <w:r w:rsidRPr="00124987">
              <w:rPr>
                <w:sz w:val="16"/>
                <w:szCs w:val="16"/>
              </w:rPr>
              <w:t>Oriente Medio: 1,1%</w:t>
            </w:r>
          </w:p>
          <w:p w:rsidR="00221F0B" w:rsidRPr="00124987" w:rsidRDefault="00221F0B" w:rsidP="00DC1333">
            <w:pPr>
              <w:rPr>
                <w:sz w:val="16"/>
                <w:szCs w:val="16"/>
              </w:rPr>
            </w:pPr>
            <w:r w:rsidRPr="00124987">
              <w:rPr>
                <w:sz w:val="16"/>
                <w:szCs w:val="16"/>
              </w:rPr>
              <w:t>(Dic. 2015)</w:t>
            </w:r>
          </w:p>
          <w:p w:rsidR="00221F0B" w:rsidRPr="00124987" w:rsidRDefault="00221F0B" w:rsidP="00DC1333">
            <w:pPr>
              <w:ind w:right="-107"/>
              <w:rPr>
                <w:sz w:val="16"/>
                <w:szCs w:val="16"/>
              </w:rPr>
            </w:pPr>
          </w:p>
        </w:tc>
        <w:tc>
          <w:tcPr>
            <w:tcW w:w="606" w:type="pct"/>
            <w:shd w:val="clear" w:color="auto" w:fill="auto"/>
            <w:tcMar>
              <w:top w:w="110" w:type="dxa"/>
            </w:tcMar>
          </w:tcPr>
          <w:p w:rsidR="00221F0B" w:rsidRPr="00124987" w:rsidRDefault="00221F0B" w:rsidP="00DC1333">
            <w:pPr>
              <w:jc w:val="center"/>
              <w:rPr>
                <w:bCs/>
                <w:color w:val="BFBFBF" w:themeColor="background1" w:themeShade="BF"/>
                <w:sz w:val="16"/>
                <w:szCs w:val="16"/>
              </w:rPr>
            </w:pPr>
            <w:r w:rsidRPr="00124987">
              <w:rPr>
                <w:bCs/>
                <w:color w:val="808080"/>
                <w:sz w:val="16"/>
                <w:szCs w:val="16"/>
              </w:rPr>
              <w:lastRenderedPageBreak/>
              <w:t>No mensurable</w:t>
            </w:r>
          </w:p>
        </w:tc>
      </w:tr>
    </w:tbl>
    <w:p w:rsidR="00221F0B" w:rsidRDefault="00221F0B" w:rsidP="00DC1333">
      <w:pPr>
        <w:rPr>
          <w:szCs w:val="22"/>
        </w:rPr>
      </w:pPr>
    </w:p>
    <w:p w:rsidR="00221F0B" w:rsidRPr="00124987" w:rsidRDefault="00221F0B" w:rsidP="00DC1333">
      <w:pPr>
        <w:rPr>
          <w:szCs w:val="22"/>
        </w:rPr>
      </w:pPr>
    </w:p>
    <w:p w:rsidR="00221F0B" w:rsidRPr="00124987" w:rsidRDefault="008F7CBE" w:rsidP="00DC1333">
      <w:pPr>
        <w:keepNext/>
        <w:keepLines/>
        <w:rPr>
          <w:color w:val="000000"/>
          <w:szCs w:val="22"/>
        </w:rPr>
      </w:pPr>
      <w:r w:rsidRPr="008F7CBE">
        <w:rPr>
          <w:sz w:val="20"/>
        </w:rPr>
        <w:t>INFORMACIÓN SOBRE LOS RIESGOS PLANTEADOS EN EL BIENIO</w:t>
      </w:r>
    </w:p>
    <w:p w:rsidR="00221F0B" w:rsidRPr="00124987" w:rsidRDefault="00221F0B" w:rsidP="00DC1333">
      <w:pPr>
        <w:keepNext/>
        <w:keepLines/>
      </w:pPr>
    </w:p>
    <w:tbl>
      <w:tblPr>
        <w:tblW w:w="0" w:type="auto"/>
        <w:jc w:val="center"/>
        <w:tblInd w:w="-317"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535"/>
        <w:gridCol w:w="2029"/>
        <w:gridCol w:w="2096"/>
        <w:gridCol w:w="2537"/>
      </w:tblGrid>
      <w:tr w:rsidR="00221F0B" w:rsidRPr="00124987" w:rsidTr="002522AB">
        <w:trPr>
          <w:trHeight w:val="1052"/>
          <w:jc w:val="center"/>
        </w:trPr>
        <w:tc>
          <w:tcPr>
            <w:tcW w:w="2535" w:type="dxa"/>
            <w:tcBorders>
              <w:top w:val="single" w:sz="4" w:space="0" w:color="auto"/>
              <w:left w:val="single" w:sz="4" w:space="0" w:color="auto"/>
              <w:bottom w:val="single" w:sz="4" w:space="0" w:color="auto"/>
              <w:right w:val="nil"/>
            </w:tcBorders>
            <w:shd w:val="clear" w:color="auto" w:fill="C6D9F1" w:themeFill="text2" w:themeFillTint="33"/>
            <w:vAlign w:val="center"/>
            <w:hideMark/>
          </w:tcPr>
          <w:p w:rsidR="00221F0B" w:rsidRPr="00124987" w:rsidRDefault="00221F0B" w:rsidP="00DC1333">
            <w:pPr>
              <w:keepNext/>
              <w:keepLines/>
              <w:autoSpaceDE w:val="0"/>
              <w:autoSpaceDN w:val="0"/>
              <w:adjustRightInd w:val="0"/>
              <w:ind w:right="-59"/>
              <w:rPr>
                <w:b/>
                <w:bCs/>
                <w:sz w:val="18"/>
                <w:szCs w:val="18"/>
              </w:rPr>
            </w:pPr>
            <w:r w:rsidRPr="00124987">
              <w:rPr>
                <w:b/>
                <w:bCs/>
                <w:iCs/>
                <w:sz w:val="18"/>
                <w:szCs w:val="18"/>
              </w:rPr>
              <w:t>Riesgos en el logro de los resultados del programa</w:t>
            </w:r>
          </w:p>
        </w:tc>
        <w:tc>
          <w:tcPr>
            <w:tcW w:w="2029" w:type="dxa"/>
            <w:tcBorders>
              <w:top w:val="single" w:sz="4" w:space="0" w:color="auto"/>
              <w:left w:val="nil"/>
              <w:bottom w:val="single" w:sz="4" w:space="0" w:color="auto"/>
              <w:right w:val="nil"/>
            </w:tcBorders>
            <w:shd w:val="clear" w:color="auto" w:fill="C6D9F1" w:themeFill="text2" w:themeFillTint="33"/>
            <w:vAlign w:val="center"/>
            <w:hideMark/>
          </w:tcPr>
          <w:p w:rsidR="00221F0B" w:rsidRPr="00124987" w:rsidRDefault="00221F0B" w:rsidP="00DC1333">
            <w:pPr>
              <w:keepNext/>
              <w:keepLines/>
              <w:autoSpaceDE w:val="0"/>
              <w:autoSpaceDN w:val="0"/>
              <w:adjustRightInd w:val="0"/>
              <w:ind w:right="-59"/>
              <w:rPr>
                <w:b/>
                <w:bCs/>
                <w:sz w:val="18"/>
                <w:szCs w:val="18"/>
              </w:rPr>
            </w:pPr>
            <w:r w:rsidRPr="00124987">
              <w:rPr>
                <w:b/>
                <w:bCs/>
                <w:iCs/>
                <w:sz w:val="18"/>
                <w:szCs w:val="18"/>
              </w:rPr>
              <w:t>Planes de mitigación ejecutados o en ejecución</w:t>
            </w:r>
          </w:p>
        </w:tc>
        <w:tc>
          <w:tcPr>
            <w:tcW w:w="2096" w:type="dxa"/>
            <w:tcBorders>
              <w:top w:val="single" w:sz="4" w:space="0" w:color="auto"/>
              <w:left w:val="nil"/>
              <w:bottom w:val="single" w:sz="4" w:space="0" w:color="auto"/>
              <w:right w:val="nil"/>
            </w:tcBorders>
            <w:shd w:val="clear" w:color="auto" w:fill="C6D9F1" w:themeFill="text2" w:themeFillTint="33"/>
            <w:vAlign w:val="center"/>
            <w:hideMark/>
          </w:tcPr>
          <w:p w:rsidR="00221F0B" w:rsidRPr="00124987" w:rsidRDefault="00221F0B" w:rsidP="00DC1333">
            <w:pPr>
              <w:keepNext/>
              <w:keepLines/>
              <w:rPr>
                <w:b/>
                <w:bCs/>
                <w:sz w:val="18"/>
                <w:szCs w:val="18"/>
              </w:rPr>
            </w:pPr>
            <w:r w:rsidRPr="00124987">
              <w:rPr>
                <w:b/>
                <w:bCs/>
                <w:iCs/>
                <w:sz w:val="18"/>
                <w:szCs w:val="18"/>
              </w:rPr>
              <w:t>Evolución de los riesgos y estrategias de mitigación durante el bienio</w:t>
            </w:r>
          </w:p>
        </w:tc>
        <w:tc>
          <w:tcPr>
            <w:tcW w:w="2537"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rsidR="00221F0B" w:rsidRPr="00124987" w:rsidRDefault="00221F0B" w:rsidP="00DC1333">
            <w:pPr>
              <w:keepNext/>
              <w:keepLines/>
              <w:rPr>
                <w:b/>
                <w:bCs/>
                <w:sz w:val="18"/>
                <w:szCs w:val="18"/>
              </w:rPr>
            </w:pPr>
            <w:r w:rsidRPr="00124987">
              <w:rPr>
                <w:b/>
                <w:bCs/>
                <w:sz w:val="18"/>
                <w:szCs w:val="18"/>
              </w:rPr>
              <w:t>Incidencia en el rendimiento del programa</w:t>
            </w:r>
          </w:p>
        </w:tc>
      </w:tr>
      <w:tr w:rsidR="00221F0B" w:rsidRPr="00124987" w:rsidTr="002522AB">
        <w:trPr>
          <w:trHeight w:val="1320"/>
          <w:jc w:val="center"/>
        </w:trPr>
        <w:tc>
          <w:tcPr>
            <w:tcW w:w="2535" w:type="dxa"/>
            <w:tcBorders>
              <w:top w:val="single" w:sz="4" w:space="0" w:color="auto"/>
              <w:left w:val="single" w:sz="4" w:space="0" w:color="auto"/>
              <w:bottom w:val="single" w:sz="4" w:space="0" w:color="auto"/>
              <w:right w:val="nil"/>
            </w:tcBorders>
            <w:tcMar>
              <w:top w:w="113" w:type="dxa"/>
              <w:left w:w="108" w:type="dxa"/>
              <w:bottom w:w="85" w:type="dxa"/>
              <w:right w:w="108" w:type="dxa"/>
            </w:tcMar>
            <w:hideMark/>
          </w:tcPr>
          <w:p w:rsidR="00221F0B" w:rsidRPr="00124987" w:rsidRDefault="00221F0B" w:rsidP="00DC1333">
            <w:pPr>
              <w:autoSpaceDE w:val="0"/>
              <w:autoSpaceDN w:val="0"/>
              <w:adjustRightInd w:val="0"/>
              <w:spacing w:line="276" w:lineRule="auto"/>
              <w:ind w:right="-59"/>
              <w:rPr>
                <w:sz w:val="16"/>
                <w:szCs w:val="16"/>
              </w:rPr>
            </w:pPr>
            <w:r w:rsidRPr="00124987">
              <w:rPr>
                <w:sz w:val="16"/>
                <w:szCs w:val="16"/>
              </w:rPr>
              <w:t>La rápida evolución del entorno externo que exige nuevos procedimientos, capacidades y soluciones de T.I. podría dar lugar a desajustes de plantilla en sectores esenciales de la OMPI.  Esto podría acarrear costos elevados de contratación de personal temporal, deficiencias en los procedimientos, retrasos en sectores esenciales y el menoscabo de la reputación de la OMPI.</w:t>
            </w:r>
          </w:p>
        </w:tc>
        <w:tc>
          <w:tcPr>
            <w:tcW w:w="2029" w:type="dxa"/>
            <w:tcBorders>
              <w:top w:val="single" w:sz="4" w:space="0" w:color="auto"/>
              <w:left w:val="nil"/>
              <w:bottom w:val="single" w:sz="4" w:space="0" w:color="auto"/>
              <w:right w:val="nil"/>
            </w:tcBorders>
            <w:tcMar>
              <w:top w:w="113" w:type="dxa"/>
              <w:left w:w="108" w:type="dxa"/>
              <w:bottom w:w="85" w:type="dxa"/>
              <w:right w:w="108" w:type="dxa"/>
            </w:tcMar>
            <w:hideMark/>
          </w:tcPr>
          <w:p w:rsidR="00221F0B" w:rsidRPr="00124987" w:rsidRDefault="00221F0B" w:rsidP="00DC1333">
            <w:pPr>
              <w:autoSpaceDE w:val="0"/>
              <w:autoSpaceDN w:val="0"/>
              <w:adjustRightInd w:val="0"/>
              <w:spacing w:line="276" w:lineRule="auto"/>
              <w:ind w:right="-59"/>
              <w:rPr>
                <w:sz w:val="16"/>
                <w:szCs w:val="16"/>
              </w:rPr>
            </w:pPr>
            <w:r w:rsidRPr="00124987">
              <w:rPr>
                <w:sz w:val="16"/>
                <w:szCs w:val="16"/>
              </w:rPr>
              <w:t>La rápida evolución del entorno externo que exige nuevos procedimientos, capacidades y soluciones de T.I. podría dar lugar a desajustes de plantilla en sectores esenciales de la OMPI.  Esto podría acarrear costos elevados de contratación de personal temporal, deficiencias en los procedimientos, retrasos en sectores esenciales y el menoscabo de la reputación de la OMPI.</w:t>
            </w:r>
          </w:p>
        </w:tc>
        <w:tc>
          <w:tcPr>
            <w:tcW w:w="2096" w:type="dxa"/>
            <w:tcBorders>
              <w:top w:val="single" w:sz="4" w:space="0" w:color="auto"/>
              <w:left w:val="nil"/>
              <w:bottom w:val="single" w:sz="4" w:space="0" w:color="auto"/>
              <w:right w:val="nil"/>
            </w:tcBorders>
            <w:hideMark/>
          </w:tcPr>
          <w:p w:rsidR="00221F0B" w:rsidRPr="00124987" w:rsidRDefault="00221F0B" w:rsidP="00DC1333">
            <w:pPr>
              <w:autoSpaceDE w:val="0"/>
              <w:autoSpaceDN w:val="0"/>
              <w:adjustRightInd w:val="0"/>
              <w:spacing w:line="276" w:lineRule="auto"/>
              <w:ind w:right="-59"/>
              <w:rPr>
                <w:b/>
                <w:color w:val="FF0000"/>
                <w:sz w:val="16"/>
                <w:szCs w:val="16"/>
              </w:rPr>
            </w:pPr>
            <w:r w:rsidRPr="00124987">
              <w:rPr>
                <w:sz w:val="16"/>
                <w:szCs w:val="16"/>
              </w:rPr>
              <w:t>La institucionalización de la planificación de los recursos humanos unida al establecimiento de nuevas directrices para la gestión de los puestos permitió garantizar que la Organización tenga en cuenta de manera regular la evolución de sus necesidades en materia de recursos humanos y que las necesidades nuevas o alteradas se afronten de manera proactiva mediante reajustes, formación y subcontratación, según sea necesario.</w:t>
            </w:r>
          </w:p>
        </w:tc>
        <w:tc>
          <w:tcPr>
            <w:tcW w:w="2537" w:type="dxa"/>
            <w:tcBorders>
              <w:top w:val="single" w:sz="4" w:space="0" w:color="auto"/>
              <w:left w:val="nil"/>
              <w:bottom w:val="single" w:sz="4" w:space="0" w:color="auto"/>
              <w:right w:val="single" w:sz="4" w:space="0" w:color="auto"/>
            </w:tcBorders>
          </w:tcPr>
          <w:p w:rsidR="00221F0B" w:rsidRPr="00124987" w:rsidRDefault="00221F0B" w:rsidP="00DC1333">
            <w:pPr>
              <w:autoSpaceDE w:val="0"/>
              <w:autoSpaceDN w:val="0"/>
              <w:adjustRightInd w:val="0"/>
              <w:spacing w:line="276" w:lineRule="auto"/>
              <w:ind w:right="-59"/>
              <w:rPr>
                <w:sz w:val="16"/>
                <w:szCs w:val="16"/>
              </w:rPr>
            </w:pPr>
            <w:r w:rsidRPr="00124987">
              <w:rPr>
                <w:sz w:val="16"/>
                <w:szCs w:val="16"/>
              </w:rPr>
              <w:t>El rendimiento del programa a lo largo del bienio mejoró gracias a las medidas de mitigación aplicadas, que contribuyeron a aumentar la eficacia en la gestión de los recursos humanos y las estrategias de captación de talento.</w:t>
            </w:r>
          </w:p>
        </w:tc>
      </w:tr>
      <w:tr w:rsidR="00221F0B" w:rsidRPr="00124987" w:rsidTr="002522AB">
        <w:trPr>
          <w:trHeight w:val="1049"/>
          <w:jc w:val="center"/>
        </w:trPr>
        <w:tc>
          <w:tcPr>
            <w:tcW w:w="2535" w:type="dxa"/>
            <w:tcBorders>
              <w:top w:val="single" w:sz="4" w:space="0" w:color="auto"/>
              <w:left w:val="single" w:sz="4" w:space="0" w:color="auto"/>
              <w:bottom w:val="single" w:sz="4" w:space="0" w:color="auto"/>
              <w:right w:val="nil"/>
            </w:tcBorders>
            <w:tcMar>
              <w:top w:w="113" w:type="dxa"/>
              <w:left w:w="108" w:type="dxa"/>
              <w:bottom w:w="85" w:type="dxa"/>
              <w:right w:w="108" w:type="dxa"/>
            </w:tcMar>
            <w:hideMark/>
          </w:tcPr>
          <w:p w:rsidR="00221F0B" w:rsidRPr="00124987" w:rsidRDefault="00221F0B" w:rsidP="002522AB">
            <w:pPr>
              <w:keepNext/>
              <w:autoSpaceDE w:val="0"/>
              <w:autoSpaceDN w:val="0"/>
              <w:adjustRightInd w:val="0"/>
              <w:spacing w:line="276" w:lineRule="auto"/>
              <w:ind w:right="-59"/>
              <w:rPr>
                <w:sz w:val="16"/>
                <w:szCs w:val="16"/>
              </w:rPr>
            </w:pPr>
            <w:r w:rsidRPr="00124987">
              <w:rPr>
                <w:sz w:val="16"/>
                <w:szCs w:val="16"/>
              </w:rPr>
              <w:lastRenderedPageBreak/>
              <w:t>Las nuevas funciones ejecutadas durante la aplicación del PRI podrían ocasionar trastornos en los servicios a medida que el personal se familiariza con los nuevos procedimientos.  Si en la ejecución no se lleva a cabo una labor suficiente de examen y reestructuración de los procedimientos, el proyecto podría reducirse fundamentalmente a la sustitución de las antiguas aplicaciones de los sistemas.</w:t>
            </w:r>
          </w:p>
        </w:tc>
        <w:tc>
          <w:tcPr>
            <w:tcW w:w="2029" w:type="dxa"/>
            <w:tcBorders>
              <w:top w:val="single" w:sz="4" w:space="0" w:color="auto"/>
              <w:left w:val="nil"/>
              <w:bottom w:val="single" w:sz="4" w:space="0" w:color="auto"/>
              <w:right w:val="nil"/>
            </w:tcBorders>
            <w:tcMar>
              <w:top w:w="113" w:type="dxa"/>
              <w:left w:w="108" w:type="dxa"/>
              <w:bottom w:w="85" w:type="dxa"/>
              <w:right w:w="108" w:type="dxa"/>
            </w:tcMar>
            <w:hideMark/>
          </w:tcPr>
          <w:p w:rsidR="00221F0B" w:rsidRPr="00124987" w:rsidRDefault="00221F0B" w:rsidP="002522AB">
            <w:pPr>
              <w:keepNext/>
              <w:autoSpaceDE w:val="0"/>
              <w:autoSpaceDN w:val="0"/>
              <w:adjustRightInd w:val="0"/>
              <w:spacing w:line="276" w:lineRule="auto"/>
              <w:ind w:right="-59"/>
              <w:rPr>
                <w:sz w:val="16"/>
                <w:szCs w:val="16"/>
              </w:rPr>
            </w:pPr>
            <w:r w:rsidRPr="00124987">
              <w:rPr>
                <w:sz w:val="16"/>
                <w:szCs w:val="16"/>
              </w:rPr>
              <w:t>Formación minuciosa del personal y de los usuarios de los servicios de recursos humanos, planes de comunicación periódicos, estrecha supervisión de los avances del equipo del proyecto de PRI y alerta rápida de las esferas problemáticas que han de gestionarse.  Mejora constante de los procedimientos como parte de la configuración y el desarrollo de la solución técnica.</w:t>
            </w:r>
          </w:p>
        </w:tc>
        <w:tc>
          <w:tcPr>
            <w:tcW w:w="2096" w:type="dxa"/>
            <w:tcBorders>
              <w:top w:val="single" w:sz="4" w:space="0" w:color="auto"/>
              <w:left w:val="nil"/>
              <w:bottom w:val="single" w:sz="4" w:space="0" w:color="auto"/>
              <w:right w:val="nil"/>
            </w:tcBorders>
          </w:tcPr>
          <w:p w:rsidR="00221F0B" w:rsidRPr="00124987" w:rsidRDefault="00221F0B" w:rsidP="002522AB">
            <w:pPr>
              <w:keepNext/>
              <w:autoSpaceDE w:val="0"/>
              <w:autoSpaceDN w:val="0"/>
              <w:adjustRightInd w:val="0"/>
              <w:spacing w:line="276" w:lineRule="auto"/>
              <w:ind w:right="-59"/>
              <w:rPr>
                <w:sz w:val="16"/>
                <w:szCs w:val="16"/>
              </w:rPr>
            </w:pPr>
            <w:r w:rsidRPr="00124987">
              <w:rPr>
                <w:sz w:val="16"/>
                <w:szCs w:val="16"/>
              </w:rPr>
              <w:t>El riesgo se materializó debido a la necesidad de compensar a nivel interno las restricciones en la ejecución de proyectos.  Para hacer frente a dicha necesidad se adoptaron medidas adicionales, en especial la incorporación de un analista de procesos.</w:t>
            </w:r>
          </w:p>
        </w:tc>
        <w:tc>
          <w:tcPr>
            <w:tcW w:w="2537" w:type="dxa"/>
            <w:tcBorders>
              <w:top w:val="single" w:sz="4" w:space="0" w:color="auto"/>
              <w:left w:val="nil"/>
              <w:bottom w:val="single" w:sz="4" w:space="0" w:color="auto"/>
              <w:right w:val="single" w:sz="4" w:space="0" w:color="auto"/>
            </w:tcBorders>
          </w:tcPr>
          <w:p w:rsidR="00221F0B" w:rsidRPr="00124987" w:rsidRDefault="00221F0B" w:rsidP="002522AB">
            <w:pPr>
              <w:keepNext/>
              <w:autoSpaceDE w:val="0"/>
              <w:autoSpaceDN w:val="0"/>
              <w:adjustRightInd w:val="0"/>
              <w:spacing w:line="276" w:lineRule="auto"/>
              <w:ind w:right="-59"/>
              <w:rPr>
                <w:sz w:val="16"/>
                <w:szCs w:val="16"/>
              </w:rPr>
            </w:pPr>
            <w:r w:rsidRPr="00124987">
              <w:rPr>
                <w:sz w:val="16"/>
                <w:szCs w:val="16"/>
              </w:rPr>
              <w:t>La materialización del riesgo se tradujo en ciertas demoras en la contratación, pero gracias a la mitigación de los riesgos se consiguió reducir al mínimo la incidencia.</w:t>
            </w:r>
          </w:p>
        </w:tc>
      </w:tr>
    </w:tbl>
    <w:p w:rsidR="00221F0B" w:rsidRDefault="00221F0B" w:rsidP="00DC1333">
      <w:pPr>
        <w:rPr>
          <w:szCs w:val="22"/>
        </w:rPr>
      </w:pPr>
    </w:p>
    <w:p w:rsidR="00221F0B" w:rsidRPr="00124987" w:rsidRDefault="00221F0B" w:rsidP="00DC1333">
      <w:pPr>
        <w:rPr>
          <w:szCs w:val="22"/>
        </w:rPr>
      </w:pPr>
    </w:p>
    <w:p w:rsidR="00221F0B" w:rsidRPr="00124987" w:rsidRDefault="00403D2C" w:rsidP="00DC1333">
      <w:pPr>
        <w:rPr>
          <w:b/>
          <w:sz w:val="18"/>
          <w:szCs w:val="18"/>
        </w:rPr>
      </w:pPr>
      <w:r w:rsidRPr="00403D2C">
        <w:rPr>
          <w:sz w:val="20"/>
          <w:szCs w:val="22"/>
        </w:rPr>
        <w:t>UTILIZACIÓN DE LOS RECURSOS</w:t>
      </w:r>
    </w:p>
    <w:p w:rsidR="00221F0B" w:rsidRPr="00124987" w:rsidRDefault="00221F0B" w:rsidP="00DC1333"/>
    <w:p w:rsidR="00221F0B" w:rsidRPr="00124987" w:rsidRDefault="00221F0B" w:rsidP="00DC1333">
      <w:pPr>
        <w:pStyle w:val="NormalWeb"/>
        <w:spacing w:before="0" w:beforeAutospacing="0" w:after="0" w:afterAutospacing="0"/>
        <w:jc w:val="center"/>
        <w:rPr>
          <w:sz w:val="20"/>
          <w:szCs w:val="20"/>
          <w:lang w:val="es-ES"/>
        </w:rPr>
      </w:pPr>
      <w:r w:rsidRPr="00124987">
        <w:rPr>
          <w:sz w:val="20"/>
          <w:szCs w:val="20"/>
          <w:lang w:val="es-ES"/>
        </w:rPr>
        <w:t xml:space="preserve">Presupuesto y gastos reales (por resultado) </w:t>
      </w:r>
    </w:p>
    <w:p w:rsidR="00221F0B" w:rsidRPr="00124987" w:rsidRDefault="00221F0B" w:rsidP="00DC1333">
      <w:pPr>
        <w:pStyle w:val="NormalWeb"/>
        <w:spacing w:before="0" w:beforeAutospacing="0" w:after="0" w:afterAutospacing="0"/>
        <w:jc w:val="center"/>
        <w:rPr>
          <w:i/>
          <w:iCs/>
          <w:sz w:val="20"/>
          <w:szCs w:val="20"/>
          <w:lang w:val="es-ES"/>
        </w:rPr>
      </w:pPr>
      <w:r w:rsidRPr="00124987">
        <w:rPr>
          <w:i/>
          <w:iCs/>
          <w:sz w:val="20"/>
          <w:szCs w:val="20"/>
          <w:lang w:val="es-ES"/>
        </w:rPr>
        <w:t>(</w:t>
      </w:r>
      <w:proofErr w:type="gramStart"/>
      <w:r w:rsidRPr="00124987">
        <w:rPr>
          <w:i/>
          <w:iCs/>
          <w:sz w:val="20"/>
          <w:szCs w:val="20"/>
          <w:lang w:val="es-ES"/>
        </w:rPr>
        <w:t>en</w:t>
      </w:r>
      <w:proofErr w:type="gramEnd"/>
      <w:r w:rsidRPr="00124987">
        <w:rPr>
          <w:i/>
          <w:iCs/>
          <w:sz w:val="20"/>
          <w:szCs w:val="20"/>
          <w:lang w:val="es-ES"/>
        </w:rPr>
        <w:t xml:space="preserve"> miles de francos suizos)</w:t>
      </w:r>
    </w:p>
    <w:p w:rsidR="00221F0B" w:rsidRPr="00124987" w:rsidRDefault="00221F0B" w:rsidP="00DC1333">
      <w:pPr>
        <w:pStyle w:val="NormalWeb"/>
        <w:spacing w:before="0" w:beforeAutospacing="0" w:after="0" w:afterAutospacing="0"/>
        <w:jc w:val="center"/>
        <w:rPr>
          <w:sz w:val="20"/>
          <w:szCs w:val="20"/>
          <w:lang w:val="es-ES"/>
        </w:rPr>
      </w:pPr>
    </w:p>
    <w:p w:rsidR="00221F0B" w:rsidRPr="00124987" w:rsidRDefault="00221F0B" w:rsidP="00DC1333">
      <w:pPr>
        <w:jc w:val="center"/>
      </w:pPr>
      <w:bookmarkStart w:id="181" w:name="Bm23"/>
      <w:bookmarkStart w:id="182" w:name="Punto23"/>
      <w:r>
        <w:rPr>
          <w:noProof/>
          <w:lang w:val="en-US" w:eastAsia="en-US"/>
        </w:rPr>
        <w:drawing>
          <wp:inline distT="0" distB="0" distL="0" distR="0" wp14:anchorId="5FBD06FA" wp14:editId="71C19270">
            <wp:extent cx="5676900" cy="1962150"/>
            <wp:effectExtent l="0" t="0" r="0" b="0"/>
            <wp:docPr id="804" name="Picture 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5676900" cy="1962150"/>
                    </a:xfrm>
                    <a:prstGeom prst="rect">
                      <a:avLst/>
                    </a:prstGeom>
                    <a:noFill/>
                    <a:ln>
                      <a:noFill/>
                    </a:ln>
                  </pic:spPr>
                </pic:pic>
              </a:graphicData>
            </a:graphic>
          </wp:inline>
        </w:drawing>
      </w:r>
      <w:bookmarkEnd w:id="181"/>
      <w:bookmarkEnd w:id="182"/>
    </w:p>
    <w:p w:rsidR="00221F0B" w:rsidRPr="00124987" w:rsidRDefault="00221F0B" w:rsidP="00DC1333"/>
    <w:p w:rsidR="00221F0B" w:rsidRPr="00124987" w:rsidRDefault="00221F0B" w:rsidP="00DC1333"/>
    <w:p w:rsidR="00221F0B" w:rsidRPr="00124987" w:rsidRDefault="00221F0B" w:rsidP="00DC1333">
      <w:pPr>
        <w:pStyle w:val="NormalWeb"/>
        <w:keepNext/>
        <w:keepLines/>
        <w:spacing w:before="0" w:beforeAutospacing="0" w:after="0" w:afterAutospacing="0"/>
        <w:jc w:val="center"/>
        <w:rPr>
          <w:sz w:val="20"/>
          <w:szCs w:val="20"/>
          <w:lang w:val="es-ES"/>
        </w:rPr>
      </w:pPr>
      <w:r w:rsidRPr="00124987">
        <w:rPr>
          <w:sz w:val="20"/>
          <w:szCs w:val="20"/>
          <w:lang w:val="es-ES"/>
        </w:rPr>
        <w:t xml:space="preserve">Presupuesto y gastos reales (de personal y no relativos a personal) </w:t>
      </w:r>
    </w:p>
    <w:p w:rsidR="00221F0B" w:rsidRPr="00124987" w:rsidRDefault="00221F0B" w:rsidP="00DC1333">
      <w:pPr>
        <w:pStyle w:val="NormalWeb"/>
        <w:keepNext/>
        <w:keepLines/>
        <w:spacing w:before="0" w:beforeAutospacing="0" w:after="0" w:afterAutospacing="0"/>
        <w:jc w:val="center"/>
        <w:rPr>
          <w:i/>
          <w:iCs/>
          <w:sz w:val="20"/>
          <w:szCs w:val="20"/>
          <w:lang w:val="es-ES"/>
        </w:rPr>
      </w:pPr>
      <w:r w:rsidRPr="00124987">
        <w:rPr>
          <w:i/>
          <w:iCs/>
          <w:sz w:val="20"/>
          <w:szCs w:val="20"/>
          <w:lang w:val="es-ES"/>
        </w:rPr>
        <w:t>(</w:t>
      </w:r>
      <w:proofErr w:type="gramStart"/>
      <w:r w:rsidRPr="00124987">
        <w:rPr>
          <w:i/>
          <w:iCs/>
          <w:sz w:val="20"/>
          <w:szCs w:val="20"/>
          <w:lang w:val="es-ES"/>
        </w:rPr>
        <w:t>en</w:t>
      </w:r>
      <w:proofErr w:type="gramEnd"/>
      <w:r w:rsidRPr="00124987">
        <w:rPr>
          <w:i/>
          <w:iCs/>
          <w:sz w:val="20"/>
          <w:szCs w:val="20"/>
          <w:lang w:val="es-ES"/>
        </w:rPr>
        <w:t xml:space="preserve"> miles de francos suizos)</w:t>
      </w:r>
    </w:p>
    <w:p w:rsidR="00221F0B" w:rsidRPr="00124987" w:rsidRDefault="00221F0B" w:rsidP="00DC1333">
      <w:pPr>
        <w:pStyle w:val="NormalWeb"/>
        <w:keepNext/>
        <w:keepLines/>
        <w:spacing w:before="0" w:beforeAutospacing="0" w:after="0" w:afterAutospacing="0"/>
        <w:jc w:val="center"/>
        <w:rPr>
          <w:lang w:val="es-ES"/>
        </w:rPr>
      </w:pPr>
    </w:p>
    <w:p w:rsidR="00221F0B" w:rsidRPr="00124987" w:rsidRDefault="00221F0B" w:rsidP="00DC1333">
      <w:pPr>
        <w:jc w:val="center"/>
      </w:pPr>
      <w:bookmarkStart w:id="183" w:name="Point23"/>
      <w:r>
        <w:rPr>
          <w:noProof/>
          <w:lang w:val="en-US" w:eastAsia="en-US"/>
        </w:rPr>
        <w:drawing>
          <wp:inline distT="0" distB="0" distL="0" distR="0" wp14:anchorId="2A1BC8ED" wp14:editId="06F7F7B4">
            <wp:extent cx="5940425" cy="1045921"/>
            <wp:effectExtent l="0" t="0" r="3175" b="1905"/>
            <wp:docPr id="806" name="Picture 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5940425" cy="1045921"/>
                    </a:xfrm>
                    <a:prstGeom prst="rect">
                      <a:avLst/>
                    </a:prstGeom>
                    <a:noFill/>
                    <a:ln>
                      <a:noFill/>
                    </a:ln>
                  </pic:spPr>
                </pic:pic>
              </a:graphicData>
            </a:graphic>
          </wp:inline>
        </w:drawing>
      </w:r>
      <w:bookmarkEnd w:id="183"/>
    </w:p>
    <w:p w:rsidR="00221F0B" w:rsidRDefault="00221F0B" w:rsidP="00DC1333">
      <w:pPr>
        <w:autoSpaceDE w:val="0"/>
        <w:autoSpaceDN w:val="0"/>
        <w:adjustRightInd w:val="0"/>
      </w:pPr>
    </w:p>
    <w:p w:rsidR="00221F0B" w:rsidRPr="00124987" w:rsidRDefault="00221F0B" w:rsidP="00DC1333">
      <w:pPr>
        <w:autoSpaceDE w:val="0"/>
        <w:autoSpaceDN w:val="0"/>
        <w:adjustRightInd w:val="0"/>
      </w:pPr>
    </w:p>
    <w:p w:rsidR="00221F0B" w:rsidRPr="00124987" w:rsidRDefault="00403D2C" w:rsidP="002522AB">
      <w:pPr>
        <w:keepNext/>
        <w:tabs>
          <w:tab w:val="left" w:pos="709"/>
        </w:tabs>
        <w:rPr>
          <w:sz w:val="20"/>
          <w:u w:val="single"/>
        </w:rPr>
      </w:pPr>
      <w:r w:rsidRPr="00403D2C">
        <w:rPr>
          <w:sz w:val="20"/>
        </w:rPr>
        <w:lastRenderedPageBreak/>
        <w:t>A.</w:t>
      </w:r>
      <w:r w:rsidRPr="00403D2C">
        <w:rPr>
          <w:sz w:val="20"/>
        </w:rPr>
        <w:tab/>
      </w:r>
      <w:r w:rsidRPr="00403D2C">
        <w:rPr>
          <w:sz w:val="20"/>
          <w:u w:val="single"/>
        </w:rPr>
        <w:t>Presupuesto final de 2014/15 tras las transferencias</w:t>
      </w:r>
    </w:p>
    <w:p w:rsidR="00221F0B" w:rsidRPr="00124987" w:rsidRDefault="00221F0B" w:rsidP="00DC1333">
      <w:pPr>
        <w:keepNext/>
        <w:rPr>
          <w:sz w:val="20"/>
          <w:u w:val="single"/>
        </w:rPr>
      </w:pPr>
    </w:p>
    <w:p w:rsidR="00221F0B" w:rsidRPr="00124987" w:rsidRDefault="00221F0B" w:rsidP="00EB45DE">
      <w:pPr>
        <w:pStyle w:val="ListParagraph"/>
        <w:keepNext/>
        <w:numPr>
          <w:ilvl w:val="0"/>
          <w:numId w:val="108"/>
        </w:numPr>
        <w:tabs>
          <w:tab w:val="left" w:pos="709"/>
        </w:tabs>
        <w:ind w:left="0" w:firstLine="0"/>
        <w:jc w:val="both"/>
        <w:rPr>
          <w:rFonts w:cs="Arial"/>
          <w:lang w:val="es-ES" w:eastAsia="ko-KR"/>
        </w:rPr>
      </w:pPr>
      <w:r w:rsidRPr="00124987">
        <w:rPr>
          <w:rFonts w:cs="Arial"/>
          <w:lang w:val="es-ES" w:eastAsia="ko-KR"/>
        </w:rPr>
        <w:t xml:space="preserve">En general, el incremento en el presupuesto final de </w:t>
      </w:r>
      <w:r w:rsidRPr="00124987">
        <w:rPr>
          <w:rFonts w:cs="Arial"/>
          <w:lang w:val="es-ES"/>
        </w:rPr>
        <w:t>2014/15</w:t>
      </w:r>
      <w:r w:rsidRPr="00124987">
        <w:rPr>
          <w:rFonts w:cs="Arial"/>
          <w:lang w:val="es-ES" w:eastAsia="ko-KR"/>
        </w:rPr>
        <w:t xml:space="preserve"> tras las transferencias se debió principalmente a:  la financiación de i) soluciones temporales de asignación de recursos para cubrir ausencias de larga duración;  ii) el incremento de los costos de actividades comunes en el Sistema de Naciones Unidas;  iii) recursos adicionales para la Junta de Apelación de la OMPI;  iv) el lanzamiento de nuevas iniciativas, como el programa de la OMPI de recompensas y reconocimiento;  v)  el incremento de los costos de los seguros para los delegados y participantes en las reuniones de la OMPI, y vi) la redistribución de los recursos destinados a formación especializada en TIC que anteriormente se incluía en el programa 25.</w:t>
      </w:r>
    </w:p>
    <w:p w:rsidR="00221F0B" w:rsidRPr="00124987" w:rsidRDefault="00221F0B" w:rsidP="00DC1333">
      <w:pPr>
        <w:rPr>
          <w:sz w:val="20"/>
          <w:u w:val="single"/>
        </w:rPr>
      </w:pPr>
    </w:p>
    <w:p w:rsidR="00221F0B" w:rsidRPr="00124987" w:rsidRDefault="00403D2C" w:rsidP="002522AB">
      <w:pPr>
        <w:tabs>
          <w:tab w:val="left" w:pos="709"/>
        </w:tabs>
        <w:jc w:val="both"/>
        <w:rPr>
          <w:sz w:val="20"/>
          <w:u w:val="single"/>
          <w:lang w:eastAsia="ko-KR"/>
        </w:rPr>
      </w:pPr>
      <w:r w:rsidRPr="00403D2C">
        <w:rPr>
          <w:sz w:val="20"/>
          <w:lang w:eastAsia="ko-KR"/>
        </w:rPr>
        <w:t>B.</w:t>
      </w:r>
      <w:r w:rsidRPr="00403D2C">
        <w:rPr>
          <w:sz w:val="20"/>
          <w:lang w:eastAsia="ko-KR"/>
        </w:rPr>
        <w:tab/>
      </w:r>
      <w:r w:rsidRPr="00403D2C">
        <w:rPr>
          <w:sz w:val="20"/>
          <w:u w:val="single"/>
          <w:lang w:eastAsia="ko-KR"/>
        </w:rPr>
        <w:t>Utilización del presupuesto en 2014/15</w:t>
      </w:r>
    </w:p>
    <w:p w:rsidR="00221F0B" w:rsidRPr="00124987" w:rsidRDefault="00221F0B" w:rsidP="00DC1333">
      <w:pPr>
        <w:tabs>
          <w:tab w:val="left" w:pos="709"/>
        </w:tabs>
        <w:jc w:val="both"/>
        <w:rPr>
          <w:sz w:val="20"/>
          <w:u w:val="single"/>
          <w:lang w:eastAsia="ko-KR"/>
        </w:rPr>
      </w:pPr>
    </w:p>
    <w:p w:rsidR="00221F0B" w:rsidRPr="00124987" w:rsidRDefault="00221F0B" w:rsidP="00EB45DE">
      <w:pPr>
        <w:pStyle w:val="ListParagraph"/>
        <w:numPr>
          <w:ilvl w:val="0"/>
          <w:numId w:val="108"/>
        </w:numPr>
        <w:tabs>
          <w:tab w:val="left" w:pos="709"/>
        </w:tabs>
        <w:ind w:left="0" w:firstLine="0"/>
        <w:jc w:val="both"/>
        <w:rPr>
          <w:lang w:val="es-ES"/>
        </w:rPr>
      </w:pPr>
      <w:r w:rsidRPr="00124987">
        <w:rPr>
          <w:rFonts w:cs="Arial"/>
          <w:lang w:val="es-ES" w:eastAsia="ko-KR"/>
        </w:rPr>
        <w:t>La utilización del presupuesto no relativo a personal correspondió al 91% debido al ahorro derivado fundamentalmente de la renegociación de los nuevos contratos de seguros y unos gastos inferiores a los esperado en:  i) salvaguardia por maternidad y enfermedad;  ii) el Tribunal Administrativo de la Organización Internacional del Trabajo;  iii) la formación lingüística, y iv) las actividades de clasificación.</w:t>
      </w:r>
    </w:p>
    <w:p w:rsidR="00221F0B" w:rsidRDefault="00221F0B"/>
    <w:p w:rsidR="00221F0B" w:rsidRDefault="00221F0B"/>
    <w:p w:rsidR="00221F0B" w:rsidRPr="00124987" w:rsidRDefault="00221F0B"/>
    <w:p w:rsidR="00C65E58" w:rsidRDefault="00C65E58">
      <w:pPr>
        <w:rPr>
          <w:b/>
          <w:bCs/>
          <w:iCs/>
          <w:caps/>
          <w:szCs w:val="28"/>
        </w:rPr>
      </w:pPr>
      <w:bookmarkStart w:id="184" w:name="_Toc422927438"/>
      <w:r>
        <w:rPr>
          <w:b/>
        </w:rPr>
        <w:br w:type="page"/>
      </w:r>
    </w:p>
    <w:p w:rsidR="00221F0B" w:rsidRPr="00434FFD" w:rsidRDefault="00221F0B" w:rsidP="00DC1333">
      <w:pPr>
        <w:pStyle w:val="Heading2"/>
        <w:ind w:left="2410" w:hanging="2410"/>
        <w:rPr>
          <w:b/>
        </w:rPr>
      </w:pPr>
      <w:bookmarkStart w:id="185" w:name="_Toc455159106"/>
      <w:r w:rsidRPr="00434FFD">
        <w:rPr>
          <w:b/>
        </w:rPr>
        <w:lastRenderedPageBreak/>
        <w:t>PROGRAMA 24</w:t>
      </w:r>
      <w:r w:rsidRPr="00434FFD">
        <w:rPr>
          <w:b/>
        </w:rPr>
        <w:tab/>
        <w:t>SERVICIOS GENERALES DE APOYO</w:t>
      </w:r>
      <w:bookmarkEnd w:id="184"/>
      <w:bookmarkEnd w:id="185"/>
    </w:p>
    <w:p w:rsidR="00221F0B" w:rsidRPr="00434FFD" w:rsidRDefault="00221F0B" w:rsidP="00DC1333">
      <w:pPr>
        <w:ind w:left="1985" w:hanging="1985"/>
        <w:rPr>
          <w:b/>
          <w:sz w:val="20"/>
        </w:rPr>
      </w:pPr>
    </w:p>
    <w:p w:rsidR="00221F0B" w:rsidRPr="00434FFD" w:rsidRDefault="00221F0B" w:rsidP="00DC1333">
      <w:pPr>
        <w:ind w:left="2410" w:hanging="2410"/>
        <w:rPr>
          <w:b/>
          <w:sz w:val="20"/>
        </w:rPr>
      </w:pPr>
      <w:r w:rsidRPr="00434FFD">
        <w:rPr>
          <w:b/>
          <w:sz w:val="20"/>
        </w:rPr>
        <w:t>Director de programa</w:t>
      </w:r>
      <w:r w:rsidRPr="00434FFD">
        <w:rPr>
          <w:b/>
          <w:sz w:val="20"/>
        </w:rPr>
        <w:tab/>
        <w:t>S</w:t>
      </w:r>
      <w:r w:rsidRPr="00434FFD">
        <w:rPr>
          <w:b/>
          <w:bCs/>
          <w:sz w:val="20"/>
        </w:rPr>
        <w:t>r. A. Sundaram</w:t>
      </w:r>
    </w:p>
    <w:p w:rsidR="00221F0B" w:rsidRPr="00434FFD" w:rsidRDefault="00221F0B" w:rsidP="00DC1333">
      <w:pPr>
        <w:ind w:left="2268" w:hanging="2268"/>
        <w:rPr>
          <w:b/>
          <w:bCs/>
          <w:sz w:val="20"/>
        </w:rPr>
      </w:pPr>
    </w:p>
    <w:p w:rsidR="00221F0B" w:rsidRPr="00434FFD" w:rsidRDefault="00221F0B" w:rsidP="00DC1333">
      <w:pPr>
        <w:ind w:left="2268" w:hanging="2268"/>
        <w:rPr>
          <w:b/>
          <w:bCs/>
          <w:sz w:val="20"/>
        </w:rPr>
      </w:pPr>
    </w:p>
    <w:p w:rsidR="00221F0B" w:rsidRPr="00434FFD" w:rsidRDefault="008F7CBE" w:rsidP="00DC1333">
      <w:pPr>
        <w:jc w:val="both"/>
        <w:rPr>
          <w:bCs/>
          <w:szCs w:val="22"/>
        </w:rPr>
      </w:pPr>
      <w:r w:rsidRPr="008F7CBE">
        <w:rPr>
          <w:bCs/>
          <w:sz w:val="20"/>
          <w:szCs w:val="22"/>
        </w:rPr>
        <w:t>LOGROS ALCANZADOS EN EL BIENIO 2014/15</w:t>
      </w:r>
    </w:p>
    <w:p w:rsidR="00221F0B" w:rsidRPr="00434FFD" w:rsidRDefault="00221F0B" w:rsidP="00DC1333">
      <w:pPr>
        <w:rPr>
          <w:bCs/>
          <w:sz w:val="20"/>
        </w:rPr>
      </w:pPr>
    </w:p>
    <w:p w:rsidR="00221F0B" w:rsidRPr="00434FFD" w:rsidRDefault="00221F0B" w:rsidP="00EB45DE">
      <w:pPr>
        <w:pStyle w:val="ListParagraph"/>
        <w:numPr>
          <w:ilvl w:val="0"/>
          <w:numId w:val="109"/>
        </w:numPr>
        <w:tabs>
          <w:tab w:val="left" w:pos="709"/>
        </w:tabs>
        <w:ind w:left="0" w:firstLine="0"/>
        <w:jc w:val="both"/>
        <w:rPr>
          <w:rFonts w:cs="Arial"/>
          <w:bCs/>
          <w:lang w:val="es-ES"/>
        </w:rPr>
      </w:pPr>
      <w:r w:rsidRPr="00434FFD">
        <w:rPr>
          <w:rFonts w:cs="Arial"/>
          <w:bCs/>
          <w:lang w:val="es-ES"/>
        </w:rPr>
        <w:t>En el marco del programa se suministra orientación y apoyo estratégicos a nivel de la administración y la gestión en la OMPI, y se prestan servicios en materia de compras y viajes y de infraestructura de locales.</w:t>
      </w:r>
    </w:p>
    <w:p w:rsidR="00221F0B" w:rsidRPr="00434FFD" w:rsidRDefault="00221F0B" w:rsidP="00DC1333">
      <w:pPr>
        <w:tabs>
          <w:tab w:val="left" w:pos="709"/>
        </w:tabs>
        <w:jc w:val="both"/>
        <w:rPr>
          <w:bCs/>
          <w:sz w:val="20"/>
        </w:rPr>
      </w:pPr>
    </w:p>
    <w:p w:rsidR="00221F0B" w:rsidRPr="00434FFD" w:rsidRDefault="00221F0B" w:rsidP="00EB45DE">
      <w:pPr>
        <w:pStyle w:val="ListParagraph"/>
        <w:numPr>
          <w:ilvl w:val="0"/>
          <w:numId w:val="109"/>
        </w:numPr>
        <w:tabs>
          <w:tab w:val="left" w:pos="709"/>
        </w:tabs>
        <w:ind w:left="0" w:firstLine="0"/>
        <w:jc w:val="both"/>
        <w:rPr>
          <w:rFonts w:cs="Arial"/>
          <w:bCs/>
          <w:color w:val="000000"/>
          <w:lang w:val="es-ES"/>
        </w:rPr>
      </w:pPr>
      <w:r w:rsidRPr="00434FFD">
        <w:rPr>
          <w:rFonts w:cs="Arial"/>
          <w:bCs/>
          <w:color w:val="000000"/>
          <w:lang w:val="es-ES"/>
        </w:rPr>
        <w:t>En el bienio 2014/15 se realizaron sólidos progresos para alcanzar las metas fijadas en los servicios de compras y viajes, recurriendo con ese fin a una serie de medidas con miras a optimizar el costo de los productos y servicios adquiridos por la OMPI y racionalizar sus procesos.  Entre las medidas adoptadas se encuentran las siguientes:  i) la puesta en práctica de una nueva política en materia de servicios contractuales individuales y la incorporación de la gestión de los servicios contractuales individuales a la División de Adquisiciones y Viajes;  ii) la introducción de un nuevo marco legal para las adquisiciones, así como la publicación en 2014 de una nueva orden de servicio sobre los principios generales y las reglas básicas en materia de adquisiciones y un Manual de Adquisiciones;  iii) la creación de una base de datos en la que se registran los contratos de los proveedores;  iv) la aplicación de planes anuales de adquisiciones, y v) la puesta en marcha de un herramienta de reservas por Internet para viajes con la finalidad de reducir tanto la comisión por operación como el precio medio del billete mediante la utilización de tarifas más restrictivas y un sistema más avanzado para la emisión de billetes.</w:t>
      </w:r>
    </w:p>
    <w:p w:rsidR="00221F0B" w:rsidRPr="00434FFD" w:rsidRDefault="00221F0B" w:rsidP="00DC1333">
      <w:pPr>
        <w:tabs>
          <w:tab w:val="left" w:pos="709"/>
        </w:tabs>
        <w:jc w:val="both"/>
        <w:rPr>
          <w:bCs/>
          <w:color w:val="000000"/>
          <w:sz w:val="20"/>
        </w:rPr>
      </w:pPr>
    </w:p>
    <w:p w:rsidR="00221F0B" w:rsidRPr="00434FFD" w:rsidRDefault="00221F0B" w:rsidP="00EB45DE">
      <w:pPr>
        <w:pStyle w:val="ListParagraph"/>
        <w:numPr>
          <w:ilvl w:val="0"/>
          <w:numId w:val="109"/>
        </w:numPr>
        <w:tabs>
          <w:tab w:val="left" w:pos="709"/>
        </w:tabs>
        <w:ind w:left="0" w:firstLine="0"/>
        <w:jc w:val="both"/>
        <w:rPr>
          <w:rFonts w:cs="Arial"/>
          <w:bCs/>
          <w:color w:val="000000"/>
          <w:lang w:val="es-ES"/>
        </w:rPr>
      </w:pPr>
      <w:r w:rsidRPr="00434FFD">
        <w:rPr>
          <w:rFonts w:cs="Arial"/>
          <w:bCs/>
          <w:color w:val="000000"/>
          <w:lang w:val="es-ES"/>
        </w:rPr>
        <w:t>De esta forma, se siguió trabajando hacia una mayor tenacidad en las negociaciones de precios  y prosiguieron los ahorros en la adquisición de productos y servicios, lo que se tradujo en un ahorro general de 3,8 millones de francos suizos en 2015 y 2,6 millones de francos suizos en 2014.  También se produjo un aumento del porcentaje de adquisiciones en régimen de colaboración con el Grupo Encargado de las Actividades de Adquisición Comunes, habiéndose adquirido mediante esta colaboración el 5,8% de los productos.  En lo que respecta a los gastos de viajes, en 2015 el costo medio de los billetes se redujo un 14%, pasando a ser de 1.484 francos suizos, frente a los 1.728 francos suizos de 2013, lo que supone un ahorro considerable durante el bienio.  Desde que se introdujo la nueva herramienta de reservas por Internet en diciembre de 2014 se ha reducido asimismo un 20% la comisión total media por operación, a pesar del aumento de la comisión que cobra la agencia debido a un cambio de proveedor.  En los cuadros que se muestran a continuación se exponen los logros alcanzados durante el bienio 2014/15 en lo que respecta a adquisiciones y viajes.</w:t>
      </w:r>
    </w:p>
    <w:p w:rsidR="00221F0B" w:rsidRDefault="00221F0B" w:rsidP="00DC1333">
      <w:pPr>
        <w:pStyle w:val="ListParagraph"/>
        <w:tabs>
          <w:tab w:val="left" w:pos="709"/>
        </w:tabs>
        <w:ind w:left="0"/>
        <w:jc w:val="both"/>
        <w:rPr>
          <w:rFonts w:cs="Arial"/>
          <w:bCs/>
          <w:color w:val="000000"/>
          <w:lang w:val="es-ES"/>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6"/>
        <w:gridCol w:w="4885"/>
      </w:tblGrid>
      <w:tr w:rsidR="00221F0B" w:rsidTr="00DC1333">
        <w:trPr>
          <w:jc w:val="center"/>
        </w:trPr>
        <w:tc>
          <w:tcPr>
            <w:tcW w:w="4684" w:type="dxa"/>
          </w:tcPr>
          <w:p w:rsidR="00221F0B" w:rsidRDefault="00221F0B" w:rsidP="00DC1333">
            <w:pPr>
              <w:spacing w:after="200" w:line="276" w:lineRule="auto"/>
            </w:pPr>
            <w:r>
              <w:rPr>
                <w:noProof/>
                <w:lang w:val="en-US" w:eastAsia="en-US"/>
              </w:rPr>
              <w:drawing>
                <wp:inline distT="0" distB="0" distL="0" distR="0" wp14:anchorId="71E6726E" wp14:editId="30C0CF16">
                  <wp:extent cx="2831592" cy="2062717"/>
                  <wp:effectExtent l="0" t="0" r="6985" b="0"/>
                  <wp:docPr id="807" name="Picture 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2834426" cy="2064781"/>
                          </a:xfrm>
                          <a:prstGeom prst="rect">
                            <a:avLst/>
                          </a:prstGeom>
                          <a:noFill/>
                          <a:ln>
                            <a:noFill/>
                          </a:ln>
                        </pic:spPr>
                      </pic:pic>
                    </a:graphicData>
                  </a:graphic>
                </wp:inline>
              </w:drawing>
            </w:r>
          </w:p>
        </w:tc>
        <w:tc>
          <w:tcPr>
            <w:tcW w:w="4892" w:type="dxa"/>
          </w:tcPr>
          <w:p w:rsidR="00221F0B" w:rsidRDefault="00221F0B" w:rsidP="00DC1333">
            <w:pPr>
              <w:spacing w:after="200" w:line="276" w:lineRule="auto"/>
            </w:pPr>
            <w:r>
              <w:rPr>
                <w:noProof/>
                <w:lang w:val="en-US" w:eastAsia="en-US"/>
              </w:rPr>
              <w:drawing>
                <wp:inline distT="0" distB="0" distL="0" distR="0" wp14:anchorId="6FD552D6" wp14:editId="65D7BF65">
                  <wp:extent cx="2817627" cy="2064304"/>
                  <wp:effectExtent l="0" t="0" r="1905" b="0"/>
                  <wp:docPr id="808" name="Picture 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2830101" cy="2073443"/>
                          </a:xfrm>
                          <a:prstGeom prst="rect">
                            <a:avLst/>
                          </a:prstGeom>
                          <a:noFill/>
                          <a:ln>
                            <a:noFill/>
                          </a:ln>
                        </pic:spPr>
                      </pic:pic>
                    </a:graphicData>
                  </a:graphic>
                </wp:inline>
              </w:drawing>
            </w:r>
          </w:p>
        </w:tc>
      </w:tr>
    </w:tbl>
    <w:p w:rsidR="00221F0B" w:rsidRPr="00434FFD" w:rsidRDefault="00221F0B" w:rsidP="00DC1333">
      <w:pPr>
        <w:pStyle w:val="ListParagraph"/>
        <w:tabs>
          <w:tab w:val="left" w:pos="709"/>
        </w:tabs>
        <w:ind w:left="0"/>
        <w:jc w:val="both"/>
        <w:rPr>
          <w:rFonts w:cs="Arial"/>
          <w:bCs/>
          <w:color w:val="000000"/>
          <w:lang w:val="es-ES"/>
        </w:rPr>
      </w:pPr>
    </w:p>
    <w:p w:rsidR="00221F0B" w:rsidRPr="00434FFD" w:rsidRDefault="00221F0B" w:rsidP="00EB45DE">
      <w:pPr>
        <w:pStyle w:val="ListParagraph"/>
        <w:numPr>
          <w:ilvl w:val="0"/>
          <w:numId w:val="109"/>
        </w:numPr>
        <w:tabs>
          <w:tab w:val="left" w:pos="709"/>
        </w:tabs>
        <w:ind w:left="0" w:firstLine="0"/>
        <w:jc w:val="both"/>
        <w:rPr>
          <w:rFonts w:cs="Arial"/>
          <w:bCs/>
          <w:color w:val="000000"/>
          <w:lang w:val="es-ES"/>
        </w:rPr>
      </w:pPr>
      <w:r w:rsidRPr="00434FFD">
        <w:rPr>
          <w:rFonts w:cs="Arial"/>
          <w:bCs/>
          <w:color w:val="000000"/>
          <w:lang w:val="es-ES"/>
        </w:rPr>
        <w:t>Durante el bienio se realizó un esfuerzo considerable para reducir los gastos de viaje, con lo que disminuyó el número de billetes emitidos y el número de casos de presentación tardía de solicitudes de viaje.  Por último, gracias a la supervisión estrecha de los procedimientos administrativos relacionados con las adquisiciones y los viajes, en los últimos cinco años se redujo a la mitad el tiempo medio de tramitación de solicitudes de compra, lo que redunda en mayor eficiencia y más agilidad a la hora de adquirir bienes y servicios</w:t>
      </w:r>
      <w:r w:rsidRPr="00434FFD">
        <w:rPr>
          <w:rFonts w:cs="Arial"/>
          <w:bCs/>
          <w:lang w:val="es-ES"/>
        </w:rPr>
        <w:t>.  Igualmente, cabe destacar que el porcentaje de productos y servicios contratados y adquiridos a nivel local aumentó hasta el 57% en 2015, un 9% más que en 2013 y un 12% más que en 2014.</w:t>
      </w:r>
    </w:p>
    <w:p w:rsidR="00221F0B" w:rsidRPr="00434FFD" w:rsidRDefault="00221F0B" w:rsidP="00EB45DE">
      <w:pPr>
        <w:pStyle w:val="ListParagraph"/>
        <w:numPr>
          <w:ilvl w:val="0"/>
          <w:numId w:val="109"/>
        </w:numPr>
        <w:tabs>
          <w:tab w:val="left" w:pos="709"/>
        </w:tabs>
        <w:ind w:left="0" w:firstLine="0"/>
        <w:jc w:val="both"/>
        <w:rPr>
          <w:rFonts w:cs="Arial"/>
          <w:lang w:val="es-ES"/>
        </w:rPr>
      </w:pPr>
      <w:r w:rsidRPr="00434FFD">
        <w:rPr>
          <w:rFonts w:cs="Arial"/>
          <w:lang w:val="es-ES"/>
        </w:rPr>
        <w:lastRenderedPageBreak/>
        <w:t xml:space="preserve">En lo relativo a la gestión del espacio de oficinas en los edificios de la sede, a finales de 2015, y por tercer año consecutivo, se mantuvo un equilibrio adecuado entre espacios de trabajo ocupados (85% aproximadamente) y espacios de trabajo no ocupados (15% aproximadamente) aun cuando dicho equilibrio no fue uniforme entre unos y otros edificios, como se ha explicado en anteriores informes.  Gracias a una utilización más eficaz en función de los costos de las áreas de almacenamiento y estacionamiento interiores y exteriores al recinto se pudo rescindir el contrato de alquiler de tres áreas de almacenamiento ubicadas fuera del recinto y de plazas de estacionamiento fuera del recinto, y reducir la cantidad de material de oficina, obteniéndose un ahorro total de alrededor de 219.000 francos suizos durante el bienio 2014/15.  Por último, durante el bienio se obtuvieron ingresos por un total de 390.000 francos suizos en concepto de alquiler de espacios a otras entidades (centro de datos, espacio en la cubierta para antenas de telefonía móvil, máquina del cajero automático y una oficina para la </w:t>
      </w:r>
      <w:r w:rsidRPr="00434FFD">
        <w:rPr>
          <w:rFonts w:cs="Arial"/>
          <w:i/>
          <w:lang w:val="es-ES"/>
        </w:rPr>
        <w:t xml:space="preserve">Association </w:t>
      </w:r>
      <w:proofErr w:type="spellStart"/>
      <w:r w:rsidRPr="00434FFD">
        <w:rPr>
          <w:rFonts w:cs="Arial"/>
          <w:i/>
          <w:lang w:val="es-ES"/>
        </w:rPr>
        <w:t>Coopérative</w:t>
      </w:r>
      <w:proofErr w:type="spellEnd"/>
      <w:r w:rsidRPr="00434FFD">
        <w:rPr>
          <w:rFonts w:cs="Arial"/>
          <w:i/>
          <w:lang w:val="es-ES"/>
        </w:rPr>
        <w:t xml:space="preserve"> </w:t>
      </w:r>
      <w:proofErr w:type="spellStart"/>
      <w:r w:rsidRPr="00434FFD">
        <w:rPr>
          <w:rFonts w:cs="Arial"/>
          <w:i/>
          <w:lang w:val="es-ES"/>
        </w:rPr>
        <w:t>Financière</w:t>
      </w:r>
      <w:proofErr w:type="spellEnd"/>
      <w:r w:rsidRPr="00434FFD">
        <w:rPr>
          <w:rFonts w:cs="Arial"/>
          <w:i/>
          <w:lang w:val="es-ES"/>
        </w:rPr>
        <w:t xml:space="preserve"> des </w:t>
      </w:r>
      <w:proofErr w:type="spellStart"/>
      <w:r w:rsidRPr="00434FFD">
        <w:rPr>
          <w:rFonts w:cs="Arial"/>
          <w:i/>
          <w:lang w:val="es-ES"/>
        </w:rPr>
        <w:t>Fonctionnaires</w:t>
      </w:r>
      <w:proofErr w:type="spellEnd"/>
      <w:r w:rsidRPr="00434FFD">
        <w:rPr>
          <w:rFonts w:cs="Arial"/>
          <w:i/>
          <w:lang w:val="es-ES"/>
        </w:rPr>
        <w:t xml:space="preserve"> </w:t>
      </w:r>
      <w:proofErr w:type="spellStart"/>
      <w:r w:rsidRPr="00434FFD">
        <w:rPr>
          <w:rFonts w:cs="Arial"/>
          <w:i/>
          <w:lang w:val="es-ES"/>
        </w:rPr>
        <w:t>Internationaux</w:t>
      </w:r>
      <w:proofErr w:type="spellEnd"/>
      <w:r w:rsidRPr="00434FFD">
        <w:rPr>
          <w:rFonts w:cs="Arial"/>
          <w:i/>
          <w:lang w:val="es-ES"/>
        </w:rPr>
        <w:t xml:space="preserve"> </w:t>
      </w:r>
      <w:r w:rsidRPr="00434FFD">
        <w:rPr>
          <w:rFonts w:cs="Arial"/>
          <w:lang w:val="es-ES"/>
        </w:rPr>
        <w:t>(AMFIE)).</w:t>
      </w:r>
    </w:p>
    <w:p w:rsidR="00221F0B" w:rsidRPr="00434FFD" w:rsidRDefault="00221F0B" w:rsidP="00DC1333">
      <w:pPr>
        <w:tabs>
          <w:tab w:val="left" w:pos="709"/>
        </w:tabs>
        <w:jc w:val="both"/>
        <w:rPr>
          <w:sz w:val="20"/>
        </w:rPr>
      </w:pPr>
    </w:p>
    <w:p w:rsidR="00221F0B" w:rsidRPr="00434FFD" w:rsidRDefault="00221F0B" w:rsidP="00EB45DE">
      <w:pPr>
        <w:pStyle w:val="ListParagraph"/>
        <w:numPr>
          <w:ilvl w:val="0"/>
          <w:numId w:val="109"/>
        </w:numPr>
        <w:tabs>
          <w:tab w:val="left" w:pos="709"/>
        </w:tabs>
        <w:ind w:left="0" w:firstLine="0"/>
        <w:jc w:val="both"/>
        <w:rPr>
          <w:rFonts w:cs="Arial"/>
          <w:lang w:val="es-ES"/>
        </w:rPr>
      </w:pPr>
      <w:r w:rsidRPr="00434FFD">
        <w:rPr>
          <w:rFonts w:cs="Arial"/>
          <w:lang w:val="es-ES"/>
        </w:rPr>
        <w:t>Con respecto a las instalaciones técnicas, a lo largo del año, y conforme a un calendario establecido, se llevaron a cabo actividades de mantenimiento regular de instalaciones técnicas principales y/o esenciales.  En 2014 se terminó de elaborar la primera lista detallada de todas las instalaciones esenciales, que contribuirá en gran medida al análisis que se prevé efectuar en relación con un programa de mantenimiento preventivo más amplio relativo a la infraestructura y las instalaciones.  En 2015 se llevó a cabo por primera vez una actualización periódica de la lista, sentando así las bases para las actualizaciones periódicas que se efectúen en el futuro.</w:t>
      </w:r>
    </w:p>
    <w:p w:rsidR="00221F0B" w:rsidRPr="00434FFD" w:rsidRDefault="00221F0B" w:rsidP="00DC1333">
      <w:pPr>
        <w:tabs>
          <w:tab w:val="left" w:pos="709"/>
        </w:tabs>
        <w:jc w:val="both"/>
        <w:rPr>
          <w:sz w:val="20"/>
        </w:rPr>
      </w:pPr>
    </w:p>
    <w:p w:rsidR="00221F0B" w:rsidRPr="00434FFD" w:rsidRDefault="00221F0B" w:rsidP="00EB45DE">
      <w:pPr>
        <w:pStyle w:val="ListParagraph"/>
        <w:numPr>
          <w:ilvl w:val="0"/>
          <w:numId w:val="109"/>
        </w:numPr>
        <w:tabs>
          <w:tab w:val="left" w:pos="709"/>
        </w:tabs>
        <w:ind w:left="0" w:firstLine="0"/>
        <w:jc w:val="both"/>
        <w:rPr>
          <w:rFonts w:cs="Arial"/>
          <w:lang w:val="es-ES"/>
        </w:rPr>
      </w:pPr>
      <w:r w:rsidRPr="00434FFD">
        <w:rPr>
          <w:rFonts w:cs="Arial"/>
          <w:lang w:val="es-ES"/>
        </w:rPr>
        <w:t>En cuanto a la modernización de las instalaciones, se realizaron progresos considerables, no solo mediante los proyectos del plan maestro de mejoras de infraestructura financiados con cargo a las reservas, sino mediante una serie de mejoras más técnicas pero menos significativas (véanse datos en el cuadro de rendimiento).</w:t>
      </w:r>
    </w:p>
    <w:p w:rsidR="00221F0B" w:rsidRPr="00434FFD" w:rsidRDefault="00221F0B" w:rsidP="00DC1333">
      <w:pPr>
        <w:pStyle w:val="NoSpacing"/>
        <w:tabs>
          <w:tab w:val="left" w:pos="709"/>
        </w:tabs>
        <w:jc w:val="both"/>
        <w:rPr>
          <w:rFonts w:ascii="Arial" w:hAnsi="Arial" w:cs="Arial"/>
          <w:sz w:val="20"/>
          <w:szCs w:val="20"/>
          <w:lang w:val="es-ES"/>
        </w:rPr>
      </w:pPr>
    </w:p>
    <w:p w:rsidR="00221F0B" w:rsidRPr="00434FFD" w:rsidRDefault="0007460F" w:rsidP="00EB45DE">
      <w:pPr>
        <w:pStyle w:val="NoSpacing"/>
        <w:numPr>
          <w:ilvl w:val="0"/>
          <w:numId w:val="109"/>
        </w:numPr>
        <w:tabs>
          <w:tab w:val="left" w:pos="709"/>
        </w:tabs>
        <w:ind w:left="0" w:firstLine="0"/>
        <w:jc w:val="both"/>
        <w:rPr>
          <w:rFonts w:ascii="Arial" w:hAnsi="Arial" w:cs="Arial"/>
          <w:sz w:val="20"/>
          <w:szCs w:val="20"/>
          <w:lang w:val="es-ES"/>
        </w:rPr>
      </w:pPr>
      <w:r>
        <w:rPr>
          <w:rFonts w:ascii="Arial" w:hAnsi="Arial" w:cs="Arial"/>
          <w:sz w:val="20"/>
          <w:szCs w:val="20"/>
          <w:lang w:val="es-ES"/>
        </w:rPr>
        <w:t xml:space="preserve">El consumo de energía, en particular electricidad </w:t>
      </w:r>
      <w:r w:rsidR="00221F0B" w:rsidRPr="00434FFD">
        <w:rPr>
          <w:rFonts w:ascii="Arial" w:hAnsi="Arial" w:cs="Arial"/>
          <w:sz w:val="20"/>
          <w:szCs w:val="20"/>
          <w:lang w:val="es-ES"/>
        </w:rPr>
        <w:t>y agua</w:t>
      </w:r>
      <w:r>
        <w:rPr>
          <w:rFonts w:ascii="Arial" w:hAnsi="Arial" w:cs="Arial"/>
          <w:sz w:val="20"/>
          <w:szCs w:val="20"/>
          <w:lang w:val="es-ES"/>
        </w:rPr>
        <w:t>,</w:t>
      </w:r>
      <w:r w:rsidR="00221F0B" w:rsidRPr="00434FFD">
        <w:rPr>
          <w:rFonts w:ascii="Arial" w:hAnsi="Arial" w:cs="Arial"/>
          <w:sz w:val="20"/>
          <w:szCs w:val="20"/>
          <w:lang w:val="es-ES"/>
        </w:rPr>
        <w:t xml:space="preserve"> se redujo un 5% y un 33% respectivamente en comparación con el bienio 2012/13, a pesar del consumo adicional que supone, desde septiembre de 2014, la nueva sala de conferencias de la OMPI.  En el recinto de la OMPI se completó la última fase del cambio hacia el empleo de una tecnología de refrigeración endógena y menos nociva para el medio ambiente a base de agua fría del lago de Ginebra, mediante la conexión o la modernización de las instalaciones.  Aun cuando el consumo energético y el costo asociado a esta tecnología de refrigeración en todos los edificios de la OMPI aumentaron respectivamente un 35% y un 34% en comparación con el bienio anterior, en ese mismo período de tiempo prácticamente se ha duplicado la superficie abarcada de los edificios.  Además, el aumento de costos se compensó en gran medida mediante la reducción del consumo de electricidad y agua y la estabilización del consumo de gas natural para la calefacción, lo que se tradujo en un ahorro general de 479.000 francos suizos en relación con el bienio anterior.  Por último, a ese importe vino a añadirse el reembolso de 24.300 francos suizos por parte del proveedor de electricidad que tenía un contrato con la OMPI hasta 2014, en concepto de porcentaje de electricidad no utilizada durante el año de referencia (2014).</w:t>
      </w:r>
    </w:p>
    <w:p w:rsidR="00221F0B" w:rsidRPr="00434FFD" w:rsidRDefault="00221F0B" w:rsidP="00DC1333">
      <w:pPr>
        <w:tabs>
          <w:tab w:val="left" w:pos="709"/>
          <w:tab w:val="left" w:pos="1440"/>
        </w:tabs>
        <w:jc w:val="both"/>
        <w:rPr>
          <w:sz w:val="20"/>
        </w:rPr>
      </w:pPr>
    </w:p>
    <w:p w:rsidR="00221F0B" w:rsidRPr="00434FFD" w:rsidRDefault="00221F0B" w:rsidP="00EB45DE">
      <w:pPr>
        <w:pStyle w:val="NoSpacing"/>
        <w:numPr>
          <w:ilvl w:val="0"/>
          <w:numId w:val="109"/>
        </w:numPr>
        <w:tabs>
          <w:tab w:val="left" w:pos="709"/>
        </w:tabs>
        <w:ind w:left="0" w:firstLine="0"/>
        <w:jc w:val="both"/>
        <w:rPr>
          <w:rFonts w:ascii="Arial" w:hAnsi="Arial" w:cs="Arial"/>
          <w:sz w:val="20"/>
          <w:szCs w:val="20"/>
          <w:lang w:val="es-ES"/>
        </w:rPr>
      </w:pPr>
      <w:r w:rsidRPr="00434FFD">
        <w:rPr>
          <w:rFonts w:ascii="Arial" w:hAnsi="Arial" w:cs="Arial"/>
          <w:sz w:val="20"/>
          <w:szCs w:val="20"/>
          <w:lang w:val="es-ES"/>
        </w:rPr>
        <w:t>En lo que respecta a la gestión de activos, durante el bienio se procedió por primera vez a encomendar la realización de un inventario de activos a una empresa externa.  En 2014 los activos en cuestión eran los valorados por encima de 1.000 francos suizos, así como obras de arte y artículos atractivos, independientemente de su valor.  En 2015 los activos en cuestión eran los valorados por encima de 5.000 francos suizos.  Esta forma de proceder, en dos fases, en sintonía con el bienio, tiene por finalidad estructurar la gestión de activos, tanto para la catalogación física como para la presentación de informes financieros a ese respecto.  A finales del bienio se publicó una nueva política sobre gestión de activos que debería servir de base a fin de establecer un sistema más sólido en el marco del Reglamento Financiero y la Reglamentación Financiera.</w:t>
      </w:r>
    </w:p>
    <w:p w:rsidR="00221F0B" w:rsidRPr="00434FFD" w:rsidRDefault="00221F0B" w:rsidP="00DC1333">
      <w:pPr>
        <w:pStyle w:val="ListParagraph"/>
        <w:ind w:left="0"/>
        <w:rPr>
          <w:rFonts w:cs="Arial"/>
          <w:lang w:val="es-ES"/>
        </w:rPr>
      </w:pPr>
    </w:p>
    <w:p w:rsidR="00221F0B" w:rsidRPr="00434FFD" w:rsidRDefault="00221F0B" w:rsidP="00EB45DE">
      <w:pPr>
        <w:pStyle w:val="NoSpacing"/>
        <w:numPr>
          <w:ilvl w:val="0"/>
          <w:numId w:val="109"/>
        </w:numPr>
        <w:tabs>
          <w:tab w:val="left" w:pos="709"/>
        </w:tabs>
        <w:ind w:left="0" w:firstLine="0"/>
        <w:jc w:val="both"/>
        <w:rPr>
          <w:rFonts w:ascii="Arial" w:hAnsi="Arial" w:cs="Arial"/>
          <w:sz w:val="20"/>
          <w:szCs w:val="20"/>
          <w:lang w:val="es-ES"/>
        </w:rPr>
      </w:pPr>
      <w:r w:rsidRPr="00434FFD">
        <w:rPr>
          <w:rFonts w:ascii="Arial" w:hAnsi="Arial" w:cs="Arial"/>
          <w:sz w:val="20"/>
          <w:szCs w:val="20"/>
          <w:lang w:val="es-ES"/>
        </w:rPr>
        <w:t>En 2015 se produjo por primera vez un aumento notable del número de actos culturales y de otro tipo (incluidos actos culturales simultáneos) y la complejidad de estos.   Ese año las instalaciones de la OMPI acogieron actos para celebrar el día nacional de seis Estados miembros.  Además, en varias ocasiones se alquilaron diversos espacios (entre ellos la nueva sala de conferencias de la OMPI) a entidades externas, en algunos casos pagando una cuota en concepto de alquiler o reembolsando los gastos en que se hubiere incurrido para organizar esos actos.</w:t>
      </w:r>
      <w:r w:rsidRPr="00434FFD">
        <w:rPr>
          <w:rStyle w:val="FootnoteReference"/>
          <w:rFonts w:ascii="Arial" w:hAnsi="Arial" w:cs="Arial"/>
          <w:sz w:val="20"/>
          <w:szCs w:val="20"/>
          <w:lang w:val="es-ES"/>
        </w:rPr>
        <w:footnoteReference w:id="136"/>
      </w:r>
    </w:p>
    <w:p w:rsidR="00221F0B" w:rsidRPr="00434FFD" w:rsidRDefault="00221F0B" w:rsidP="00DC1333">
      <w:pPr>
        <w:tabs>
          <w:tab w:val="left" w:pos="709"/>
        </w:tabs>
        <w:jc w:val="both"/>
        <w:rPr>
          <w:sz w:val="20"/>
        </w:rPr>
      </w:pPr>
    </w:p>
    <w:p w:rsidR="00221F0B" w:rsidRPr="00434FFD" w:rsidRDefault="00221F0B" w:rsidP="00EB45DE">
      <w:pPr>
        <w:pStyle w:val="NoSpacing"/>
        <w:numPr>
          <w:ilvl w:val="0"/>
          <w:numId w:val="109"/>
        </w:numPr>
        <w:tabs>
          <w:tab w:val="left" w:pos="709"/>
        </w:tabs>
        <w:ind w:left="0" w:firstLine="0"/>
        <w:jc w:val="both"/>
        <w:rPr>
          <w:rFonts w:ascii="Arial" w:hAnsi="Arial" w:cs="Arial"/>
          <w:sz w:val="20"/>
          <w:szCs w:val="20"/>
          <w:lang w:val="es-ES"/>
        </w:rPr>
      </w:pPr>
      <w:r w:rsidRPr="00434FFD">
        <w:rPr>
          <w:rFonts w:ascii="Arial" w:hAnsi="Arial" w:cs="Arial"/>
          <w:sz w:val="20"/>
          <w:szCs w:val="20"/>
          <w:lang w:val="es-ES"/>
        </w:rPr>
        <w:lastRenderedPageBreak/>
        <w:t>En el marco del proyecto de accesibilidad de la OMPI, y sobre la base de las recomendaciones formuladas a raíz de las auditorías realizadas en 2012 y 2013, durante el bienio se introdujeron varias mejoras en varios edificios.  Además, en el transcurso de 2014, y en el marco de las fases de construcción y/o renovación se incorporaron varias novedades que se habían previsto como parte del proyecto de construcción de la nueva sala de conferencias y renovación de varias plantas del edificio AB.  Entre las mejoras realizadas, cabe señalar:  i) rampas adicionales para el acceso con silla de ruedas (acceso a las cabinas de intérpretes en una nueva sala de reunión del nuevo edificio, acceso al estrado de la nueva sala de conferencias de la OMPI, acceso a las cabinas de intérpretes en dos nuevas salas de reunión de una planta renovada del edificio AB);  y ii) la instalación de lectores de tarjetas de identificación para facilitar su uso por las personas en sillas de ruedas en los edificios AB y PCT y el nuevo edificio, así como en la nueva sala de conferencias de la OMPI, mejoras que en parte han podido realizarse sin incurrir en grandes costos y/o que, al integrarse en otras infraestructuras o instalaciones, suponen un costo adicional mínimo.  Además, en 2015 se organizó una presentación para el personal y representantes de otros organismos de las Naciones Unidas con sede en Ginebra, al objeto de mostrar las mejoras llevadas a cabo en los distintos edificios e intercambiar experiencias sobre la metodología empleada para elegir las medidas y aplicarlas.</w:t>
      </w:r>
    </w:p>
    <w:p w:rsidR="00221F0B" w:rsidRPr="00434FFD" w:rsidRDefault="00221F0B" w:rsidP="00DC1333">
      <w:pPr>
        <w:tabs>
          <w:tab w:val="left" w:pos="709"/>
        </w:tabs>
        <w:jc w:val="both"/>
        <w:rPr>
          <w:sz w:val="20"/>
        </w:rPr>
      </w:pPr>
    </w:p>
    <w:p w:rsidR="00221F0B" w:rsidRPr="00434FFD" w:rsidRDefault="00221F0B" w:rsidP="00EB45DE">
      <w:pPr>
        <w:pStyle w:val="NoSpacing"/>
        <w:numPr>
          <w:ilvl w:val="0"/>
          <w:numId w:val="109"/>
        </w:numPr>
        <w:tabs>
          <w:tab w:val="left" w:pos="709"/>
        </w:tabs>
        <w:ind w:left="0" w:firstLine="0"/>
        <w:jc w:val="both"/>
        <w:rPr>
          <w:rFonts w:ascii="Arial" w:hAnsi="Arial" w:cs="Arial"/>
          <w:bCs/>
          <w:sz w:val="20"/>
          <w:lang w:val="es-ES"/>
        </w:rPr>
      </w:pPr>
      <w:r w:rsidRPr="00434FFD">
        <w:rPr>
          <w:rFonts w:ascii="Arial" w:hAnsi="Arial" w:cs="Arial"/>
          <w:sz w:val="20"/>
          <w:szCs w:val="20"/>
          <w:lang w:val="es-ES"/>
        </w:rPr>
        <w:t>Durante el bienio, y en el marco de la iniciativa de responsabilidad medioambiental de la OMPI, se llevaron a cabo varias actividades encaminadas a promover una toma de conciencia medioambiental entre el personal y/o tomar medidas concretas y prácticas en ese ámbito.  Se trata de iniciativas relacionadas con las instalaciones y la utilización de medios alternativos para los desplazamientos entre el hogar y el lugar de trabajo.  Entre los aspectos relacionados con las instalaciones se incluyeron los siguientes:  i) modernización de las instalaciones técnicas para adoptar soluciones más ecológicas;  ii) modernización de las instalaciones eléctricas, reducción del consumo de electricidad gracias a un acuerdo con el proveedor local de electricidad hasta 2014;  iii) renovación para el nuevo edificio de la tarifa eléctrica que presenta el máximo porcentaje de contribución a la producción de electricidad renovable del Cantón de Ginebra en 2014;  iv) introducción de un nuevo plan menos nocivo para el medio ambiente con el nuevo proveedor de electricidad a partir de enero de 2015.  Entre las iniciativas relacionadas con los medios alternativos para los desplazamientos entre el hogar y el lugar de trabajo se incluyeron las siguientes</w:t>
      </w:r>
      <w:proofErr w:type="gramStart"/>
      <w:r w:rsidRPr="00434FFD">
        <w:rPr>
          <w:rFonts w:ascii="Arial" w:hAnsi="Arial" w:cs="Arial"/>
          <w:sz w:val="20"/>
          <w:szCs w:val="20"/>
          <w:lang w:val="es-ES"/>
        </w:rPr>
        <w:t>:  i</w:t>
      </w:r>
      <w:proofErr w:type="gramEnd"/>
      <w:r w:rsidRPr="00434FFD">
        <w:rPr>
          <w:rFonts w:ascii="Arial" w:hAnsi="Arial" w:cs="Arial"/>
          <w:sz w:val="20"/>
          <w:szCs w:val="20"/>
          <w:lang w:val="es-ES"/>
        </w:rPr>
        <w:t xml:space="preserve">) días o meses de movilidad utilizando el transporte público;  ii) alquiler gratuito de bicicletas eléctricas, y iii) reparación de bicicletas.  Además, la OMPI participó en varias iniciativas en el contexto interinstitucional de las Naciones Unidas, sobre todo por conducto del Programa de las Naciones Unidas para el Medio Ambiente (PNUMA) y la iniciativa “Por unas Naciones Unidas sostenibles” (“SUN”), como la participación en la compilación anual de datos para la Calculadora de gases del efecto invernadero y la asistencia a varias reuniones y foros.  Siguiendo la línea del compromiso de la OMPI a fin de compensar las emisiones de carbono, en junio de 2015 se celebró en el recinto de la OMPI la </w:t>
      </w:r>
      <w:r w:rsidRPr="00434FFD">
        <w:rPr>
          <w:rFonts w:ascii="Arial" w:hAnsi="Arial" w:cs="Arial"/>
          <w:iCs/>
          <w:sz w:val="20"/>
          <w:szCs w:val="20"/>
          <w:lang w:val="es-ES"/>
        </w:rPr>
        <w:t>Reunión</w:t>
      </w:r>
      <w:r w:rsidRPr="00434FFD">
        <w:rPr>
          <w:rFonts w:ascii="Arial" w:hAnsi="Arial" w:cs="Arial"/>
          <w:sz w:val="20"/>
          <w:szCs w:val="20"/>
          <w:lang w:val="es-ES"/>
        </w:rPr>
        <w:t xml:space="preserve"> </w:t>
      </w:r>
      <w:r w:rsidRPr="00434FFD">
        <w:rPr>
          <w:rFonts w:ascii="Arial" w:hAnsi="Arial" w:cs="Arial"/>
          <w:iCs/>
          <w:sz w:val="20"/>
          <w:szCs w:val="20"/>
          <w:lang w:val="es-ES"/>
        </w:rPr>
        <w:t>Anual</w:t>
      </w:r>
      <w:r w:rsidRPr="00434FFD">
        <w:rPr>
          <w:rFonts w:ascii="Arial" w:hAnsi="Arial" w:cs="Arial"/>
          <w:sz w:val="20"/>
          <w:szCs w:val="20"/>
          <w:lang w:val="es-ES"/>
        </w:rPr>
        <w:t xml:space="preserve"> </w:t>
      </w:r>
      <w:r w:rsidRPr="00434FFD">
        <w:rPr>
          <w:rFonts w:ascii="Arial" w:hAnsi="Arial" w:cs="Arial"/>
          <w:iCs/>
          <w:sz w:val="20"/>
          <w:szCs w:val="20"/>
          <w:lang w:val="es-ES"/>
        </w:rPr>
        <w:t>Internacional</w:t>
      </w:r>
      <w:r w:rsidRPr="00434FFD">
        <w:rPr>
          <w:rFonts w:ascii="Arial" w:hAnsi="Arial" w:cs="Arial"/>
          <w:sz w:val="20"/>
          <w:szCs w:val="20"/>
          <w:lang w:val="es-ES"/>
        </w:rPr>
        <w:t xml:space="preserve"> </w:t>
      </w:r>
      <w:r w:rsidRPr="00434FFD">
        <w:rPr>
          <w:rFonts w:ascii="Arial" w:hAnsi="Arial" w:cs="Arial"/>
          <w:iCs/>
          <w:sz w:val="20"/>
          <w:szCs w:val="20"/>
          <w:lang w:val="es-ES"/>
        </w:rPr>
        <w:t>sobre</w:t>
      </w:r>
      <w:r w:rsidRPr="00434FFD">
        <w:rPr>
          <w:rFonts w:ascii="Arial" w:hAnsi="Arial" w:cs="Arial"/>
          <w:sz w:val="20"/>
          <w:szCs w:val="20"/>
          <w:lang w:val="es-ES"/>
        </w:rPr>
        <w:t xml:space="preserve"> </w:t>
      </w:r>
      <w:r w:rsidRPr="00434FFD">
        <w:rPr>
          <w:rFonts w:ascii="Arial" w:hAnsi="Arial" w:cs="Arial"/>
          <w:iCs/>
          <w:sz w:val="20"/>
          <w:szCs w:val="20"/>
          <w:lang w:val="es-ES"/>
        </w:rPr>
        <w:t>Disposiciones</w:t>
      </w:r>
      <w:r w:rsidRPr="00434FFD">
        <w:rPr>
          <w:rFonts w:ascii="Arial" w:hAnsi="Arial" w:cs="Arial"/>
          <w:sz w:val="20"/>
          <w:szCs w:val="20"/>
          <w:lang w:val="es-ES"/>
        </w:rPr>
        <w:t xml:space="preserve"> </w:t>
      </w:r>
      <w:r w:rsidRPr="00434FFD">
        <w:rPr>
          <w:rFonts w:ascii="Arial" w:hAnsi="Arial" w:cs="Arial"/>
          <w:iCs/>
          <w:sz w:val="20"/>
          <w:szCs w:val="20"/>
          <w:lang w:val="es-ES"/>
        </w:rPr>
        <w:t>en</w:t>
      </w:r>
      <w:r w:rsidRPr="00434FFD">
        <w:rPr>
          <w:rFonts w:ascii="Arial" w:hAnsi="Arial" w:cs="Arial"/>
          <w:sz w:val="20"/>
          <w:szCs w:val="20"/>
          <w:lang w:val="es-ES"/>
        </w:rPr>
        <w:t xml:space="preserve"> </w:t>
      </w:r>
      <w:r w:rsidRPr="00434FFD">
        <w:rPr>
          <w:rFonts w:ascii="Arial" w:hAnsi="Arial" w:cs="Arial"/>
          <w:iCs/>
          <w:sz w:val="20"/>
          <w:szCs w:val="20"/>
          <w:lang w:val="es-ES"/>
        </w:rPr>
        <w:t>Materia</w:t>
      </w:r>
      <w:r w:rsidRPr="00434FFD">
        <w:rPr>
          <w:rFonts w:ascii="Arial" w:hAnsi="Arial" w:cs="Arial"/>
          <w:sz w:val="20"/>
          <w:szCs w:val="20"/>
          <w:lang w:val="es-ES"/>
        </w:rPr>
        <w:t xml:space="preserve"> </w:t>
      </w:r>
      <w:r w:rsidRPr="00434FFD">
        <w:rPr>
          <w:rFonts w:ascii="Arial" w:hAnsi="Arial" w:cs="Arial"/>
          <w:iCs/>
          <w:sz w:val="20"/>
          <w:szCs w:val="20"/>
          <w:lang w:val="es-ES"/>
        </w:rPr>
        <w:t>de</w:t>
      </w:r>
      <w:r w:rsidRPr="00434FFD">
        <w:rPr>
          <w:rFonts w:ascii="Arial" w:hAnsi="Arial" w:cs="Arial"/>
          <w:sz w:val="20"/>
          <w:szCs w:val="20"/>
          <w:lang w:val="es-ES"/>
        </w:rPr>
        <w:t xml:space="preserve"> </w:t>
      </w:r>
      <w:r w:rsidRPr="00434FFD">
        <w:rPr>
          <w:rFonts w:ascii="Arial" w:hAnsi="Arial" w:cs="Arial"/>
          <w:iCs/>
          <w:sz w:val="20"/>
          <w:szCs w:val="20"/>
          <w:lang w:val="es-ES"/>
        </w:rPr>
        <w:t>Idiomas</w:t>
      </w:r>
      <w:r w:rsidRPr="00434FFD">
        <w:rPr>
          <w:rFonts w:ascii="Arial" w:hAnsi="Arial" w:cs="Arial"/>
          <w:sz w:val="20"/>
          <w:szCs w:val="20"/>
          <w:lang w:val="es-ES"/>
        </w:rPr>
        <w:t xml:space="preserve">, </w:t>
      </w:r>
      <w:r w:rsidRPr="00434FFD">
        <w:rPr>
          <w:rFonts w:ascii="Arial" w:hAnsi="Arial" w:cs="Arial"/>
          <w:iCs/>
          <w:sz w:val="20"/>
          <w:szCs w:val="20"/>
          <w:lang w:val="es-ES"/>
        </w:rPr>
        <w:t>Documentación</w:t>
      </w:r>
      <w:r w:rsidRPr="00434FFD">
        <w:rPr>
          <w:rFonts w:ascii="Arial" w:hAnsi="Arial" w:cs="Arial"/>
          <w:sz w:val="20"/>
          <w:szCs w:val="20"/>
          <w:lang w:val="es-ES"/>
        </w:rPr>
        <w:t xml:space="preserve"> </w:t>
      </w:r>
      <w:r w:rsidRPr="00434FFD">
        <w:rPr>
          <w:rFonts w:ascii="Arial" w:hAnsi="Arial" w:cs="Arial"/>
          <w:iCs/>
          <w:sz w:val="20"/>
          <w:szCs w:val="20"/>
          <w:lang w:val="es-ES"/>
        </w:rPr>
        <w:t>y</w:t>
      </w:r>
      <w:r w:rsidRPr="00434FFD">
        <w:rPr>
          <w:rFonts w:ascii="Arial" w:hAnsi="Arial" w:cs="Arial"/>
          <w:sz w:val="20"/>
          <w:szCs w:val="20"/>
          <w:lang w:val="es-ES"/>
        </w:rPr>
        <w:t xml:space="preserve"> </w:t>
      </w:r>
      <w:r w:rsidRPr="00434FFD">
        <w:rPr>
          <w:rFonts w:ascii="Arial" w:hAnsi="Arial" w:cs="Arial"/>
          <w:iCs/>
          <w:sz w:val="20"/>
          <w:szCs w:val="20"/>
          <w:lang w:val="es-ES"/>
        </w:rPr>
        <w:t>Publicaciones (IAMLADP) de 2015, que fue declarada reunión “ecológica” por el Programa de las Naciones Unidas para el Medio Ambiente (PNUMA), de conformidad con las referencia de las Naciones Unidas.  Asimismo, en el contexto de la meta de las Naciones Unidas de lograr la neutralidad de carbono en 2020, con la que la OMPI se comprometió en</w:t>
      </w:r>
      <w:r w:rsidRPr="00434FFD">
        <w:rPr>
          <w:rFonts w:ascii="Arial" w:eastAsia="MS Mincho" w:hAnsi="Arial" w:cs="Arial"/>
          <w:sz w:val="20"/>
          <w:lang w:val="es-ES" w:eastAsia="ja-JP" w:bidi="th-TH"/>
        </w:rPr>
        <w:t xml:space="preserve"> septiembre de 2014, la Organización compró certificados de compensación por medio de la Convención Marco de las Naciones Unidas sobre el Cambio Climático (CMNUCC) desde 2014 hasta 2020.  Estos certificados se calcularon a partir de los datos utilizados para la calculadora de emisiones de gases de efecto invernadero en 2014, creada por el PNUMA a modo de contribución de las Naciones Un</w:t>
      </w:r>
      <w:r>
        <w:rPr>
          <w:rFonts w:ascii="Arial" w:eastAsia="MS Mincho" w:hAnsi="Arial" w:cs="Arial"/>
          <w:sz w:val="20"/>
          <w:lang w:val="es-ES" w:eastAsia="ja-JP" w:bidi="th-TH"/>
        </w:rPr>
        <w:t>idas a la COP21 de noviembre de </w:t>
      </w:r>
      <w:r w:rsidRPr="00434FFD">
        <w:rPr>
          <w:rFonts w:ascii="Arial" w:eastAsia="MS Mincho" w:hAnsi="Arial" w:cs="Arial"/>
          <w:sz w:val="20"/>
          <w:lang w:val="es-ES" w:eastAsia="ja-JP" w:bidi="th-TH"/>
        </w:rPr>
        <w:t>2015.  Por lo tanto, la OMPI se encuentra en disposición de afirmar que ha compensado sus emisiones de carbono hasta 2020.  De este modo, durante el bienio 2014/15 la OMPI consiguió por primera vez un logro de esta índole en el marco del objetivo para 2020 que incumbe a todo el sistema de las Naciones Unidas.</w:t>
      </w:r>
    </w:p>
    <w:p w:rsidR="00221F0B" w:rsidRDefault="00221F0B" w:rsidP="00DC1333">
      <w:pPr>
        <w:pStyle w:val="NoSpacing"/>
        <w:jc w:val="both"/>
        <w:rPr>
          <w:rFonts w:ascii="Arial" w:hAnsi="Arial" w:cs="Arial"/>
          <w:bCs/>
          <w:sz w:val="20"/>
          <w:lang w:val="es-ES"/>
        </w:rPr>
      </w:pPr>
    </w:p>
    <w:p w:rsidR="00221F0B" w:rsidRPr="00434FFD" w:rsidRDefault="00221F0B" w:rsidP="00DC1333">
      <w:pPr>
        <w:pStyle w:val="NoSpacing"/>
        <w:jc w:val="both"/>
        <w:rPr>
          <w:rFonts w:ascii="Arial" w:hAnsi="Arial" w:cs="Arial"/>
          <w:bCs/>
          <w:sz w:val="20"/>
          <w:lang w:val="es-ES"/>
        </w:rPr>
      </w:pPr>
    </w:p>
    <w:p w:rsidR="00221F0B" w:rsidRPr="00434FFD" w:rsidRDefault="008F7CBE" w:rsidP="00DC1333">
      <w:pPr>
        <w:keepNext/>
      </w:pPr>
      <w:r w:rsidRPr="008F7CBE">
        <w:rPr>
          <w:sz w:val="20"/>
        </w:rPr>
        <w:lastRenderedPageBreak/>
        <w:t>DATOS SOBRE EL RENDIMIENTO</w:t>
      </w:r>
    </w:p>
    <w:p w:rsidR="00221F0B" w:rsidRPr="00434FFD" w:rsidRDefault="00221F0B" w:rsidP="00DC1333">
      <w:pPr>
        <w:keepNext/>
        <w:rPr>
          <w:b/>
          <w:sz w:val="16"/>
          <w:szCs w:val="16"/>
        </w:rPr>
      </w:pPr>
    </w:p>
    <w:tbl>
      <w:tblPr>
        <w:tblW w:w="4890"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13"/>
        <w:gridCol w:w="15"/>
        <w:gridCol w:w="2376"/>
        <w:gridCol w:w="34"/>
        <w:gridCol w:w="279"/>
        <w:gridCol w:w="1376"/>
        <w:gridCol w:w="47"/>
        <w:gridCol w:w="279"/>
        <w:gridCol w:w="1563"/>
        <w:gridCol w:w="82"/>
        <w:gridCol w:w="62"/>
        <w:gridCol w:w="1134"/>
      </w:tblGrid>
      <w:tr w:rsidR="00221F0B" w:rsidRPr="00434FFD" w:rsidTr="00DC1333">
        <w:trPr>
          <w:cantSplit/>
        </w:trPr>
        <w:tc>
          <w:tcPr>
            <w:tcW w:w="5000" w:type="pct"/>
            <w:gridSpan w:val="12"/>
            <w:tcBorders>
              <w:top w:val="single" w:sz="4" w:space="0" w:color="auto"/>
              <w:bottom w:val="single" w:sz="4" w:space="0" w:color="auto"/>
            </w:tcBorders>
            <w:shd w:val="clear" w:color="auto" w:fill="C6D9F1" w:themeFill="text2" w:themeFillTint="33"/>
            <w:vAlign w:val="center"/>
          </w:tcPr>
          <w:p w:rsidR="00221F0B" w:rsidRPr="00434FFD" w:rsidRDefault="00221F0B" w:rsidP="00DC1333">
            <w:pPr>
              <w:keepNext/>
              <w:spacing w:before="120" w:after="120"/>
              <w:ind w:left="2019" w:hanging="2019"/>
              <w:rPr>
                <w:b/>
                <w:bCs/>
                <w:sz w:val="16"/>
                <w:szCs w:val="16"/>
              </w:rPr>
            </w:pPr>
            <w:r w:rsidRPr="00434FFD">
              <w:rPr>
                <w:b/>
                <w:bCs/>
                <w:sz w:val="16"/>
                <w:szCs w:val="16"/>
              </w:rPr>
              <w:t>Resultado previsto:</w:t>
            </w:r>
            <w:r w:rsidRPr="00434FFD">
              <w:rPr>
                <w:b/>
                <w:bCs/>
                <w:sz w:val="16"/>
                <w:szCs w:val="16"/>
              </w:rPr>
              <w:tab/>
            </w:r>
            <w:r w:rsidRPr="00434FFD">
              <w:rPr>
                <w:sz w:val="16"/>
                <w:szCs w:val="16"/>
              </w:rPr>
              <w:t>VIII.5 La OMPI participa y colabora eficazmente en los procesos y negociaciones de las NN.UU. y otras OIG</w:t>
            </w:r>
          </w:p>
        </w:tc>
      </w:tr>
      <w:tr w:rsidR="00221F0B" w:rsidRPr="00434FFD" w:rsidTr="00DC1333">
        <w:trPr>
          <w:cantSplit/>
        </w:trPr>
        <w:tc>
          <w:tcPr>
            <w:tcW w:w="1137" w:type="pct"/>
            <w:gridSpan w:val="2"/>
            <w:tcBorders>
              <w:top w:val="single" w:sz="4" w:space="0" w:color="auto"/>
            </w:tcBorders>
            <w:shd w:val="clear" w:color="auto" w:fill="auto"/>
            <w:vAlign w:val="center"/>
          </w:tcPr>
          <w:p w:rsidR="00221F0B" w:rsidRPr="00434FFD" w:rsidRDefault="00221F0B" w:rsidP="00DC1333">
            <w:pPr>
              <w:keepNext/>
              <w:rPr>
                <w:sz w:val="16"/>
                <w:szCs w:val="16"/>
              </w:rPr>
            </w:pPr>
            <w:r w:rsidRPr="00434FFD">
              <w:rPr>
                <w:b/>
                <w:sz w:val="16"/>
                <w:szCs w:val="16"/>
              </w:rPr>
              <w:t>Indicadores de rendimiento</w:t>
            </w:r>
          </w:p>
        </w:tc>
        <w:tc>
          <w:tcPr>
            <w:tcW w:w="1436" w:type="pct"/>
            <w:gridSpan w:val="3"/>
            <w:tcBorders>
              <w:top w:val="single" w:sz="4" w:space="0" w:color="auto"/>
            </w:tcBorders>
            <w:shd w:val="clear" w:color="auto" w:fill="auto"/>
            <w:vAlign w:val="center"/>
          </w:tcPr>
          <w:p w:rsidR="00221F0B" w:rsidRPr="00434FFD" w:rsidRDefault="00221F0B" w:rsidP="00DC1333">
            <w:pPr>
              <w:keepNext/>
              <w:rPr>
                <w:b/>
                <w:bCs/>
                <w:sz w:val="16"/>
                <w:szCs w:val="16"/>
              </w:rPr>
            </w:pPr>
            <w:r w:rsidRPr="00434FFD">
              <w:rPr>
                <w:b/>
                <w:bCs/>
                <w:sz w:val="16"/>
                <w:szCs w:val="16"/>
              </w:rPr>
              <w:t>Referencia</w:t>
            </w:r>
          </w:p>
        </w:tc>
        <w:tc>
          <w:tcPr>
            <w:tcW w:w="909" w:type="pct"/>
            <w:gridSpan w:val="3"/>
            <w:tcBorders>
              <w:top w:val="single" w:sz="4" w:space="0" w:color="auto"/>
            </w:tcBorders>
            <w:shd w:val="clear" w:color="auto" w:fill="auto"/>
            <w:tcMar>
              <w:top w:w="110" w:type="dxa"/>
            </w:tcMar>
            <w:vAlign w:val="center"/>
          </w:tcPr>
          <w:p w:rsidR="00221F0B" w:rsidRPr="00434FFD" w:rsidRDefault="00221F0B" w:rsidP="00DC1333">
            <w:pPr>
              <w:keepNext/>
              <w:rPr>
                <w:b/>
                <w:sz w:val="16"/>
                <w:szCs w:val="16"/>
              </w:rPr>
            </w:pPr>
            <w:r w:rsidRPr="00434FFD">
              <w:rPr>
                <w:b/>
                <w:sz w:val="16"/>
                <w:szCs w:val="16"/>
              </w:rPr>
              <w:t>Objetivos</w:t>
            </w:r>
          </w:p>
        </w:tc>
        <w:tc>
          <w:tcPr>
            <w:tcW w:w="835" w:type="pct"/>
            <w:tcBorders>
              <w:top w:val="single" w:sz="4" w:space="0" w:color="auto"/>
            </w:tcBorders>
            <w:shd w:val="clear" w:color="auto" w:fill="FFFFFF"/>
            <w:tcMar>
              <w:top w:w="110" w:type="dxa"/>
            </w:tcMar>
            <w:vAlign w:val="center"/>
          </w:tcPr>
          <w:p w:rsidR="00221F0B" w:rsidRPr="00434FFD" w:rsidRDefault="00221F0B" w:rsidP="00DC1333">
            <w:pPr>
              <w:keepNext/>
              <w:rPr>
                <w:sz w:val="16"/>
                <w:szCs w:val="16"/>
              </w:rPr>
            </w:pPr>
            <w:r w:rsidRPr="00434FFD">
              <w:rPr>
                <w:b/>
                <w:sz w:val="16"/>
                <w:szCs w:val="16"/>
              </w:rPr>
              <w:t>Datos sobre el rendimiento</w:t>
            </w:r>
          </w:p>
        </w:tc>
        <w:tc>
          <w:tcPr>
            <w:tcW w:w="683" w:type="pct"/>
            <w:gridSpan w:val="3"/>
            <w:tcBorders>
              <w:top w:val="single" w:sz="4" w:space="0" w:color="auto"/>
            </w:tcBorders>
            <w:shd w:val="clear" w:color="auto" w:fill="auto"/>
            <w:tcMar>
              <w:top w:w="110" w:type="dxa"/>
            </w:tcMar>
            <w:vAlign w:val="center"/>
          </w:tcPr>
          <w:p w:rsidR="00221F0B" w:rsidRPr="00434FFD" w:rsidRDefault="00221F0B" w:rsidP="00DC1333">
            <w:pPr>
              <w:keepNext/>
              <w:jc w:val="center"/>
              <w:rPr>
                <w:b/>
                <w:bCs/>
                <w:sz w:val="16"/>
                <w:szCs w:val="16"/>
              </w:rPr>
            </w:pPr>
            <w:r w:rsidRPr="00434FFD">
              <w:rPr>
                <w:b/>
                <w:bCs/>
                <w:sz w:val="16"/>
                <w:szCs w:val="16"/>
              </w:rPr>
              <w:t>Clave de colores</w:t>
            </w:r>
          </w:p>
        </w:tc>
      </w:tr>
      <w:tr w:rsidR="00221F0B" w:rsidRPr="00434FFD" w:rsidTr="00DC1333">
        <w:trPr>
          <w:cantSplit/>
        </w:trPr>
        <w:tc>
          <w:tcPr>
            <w:tcW w:w="1137" w:type="pct"/>
            <w:gridSpan w:val="2"/>
            <w:shd w:val="clear" w:color="auto" w:fill="auto"/>
          </w:tcPr>
          <w:p w:rsidR="00221F0B" w:rsidRPr="00434FFD" w:rsidRDefault="00221F0B" w:rsidP="00DC1333">
            <w:pPr>
              <w:keepNext/>
              <w:rPr>
                <w:sz w:val="16"/>
                <w:szCs w:val="16"/>
              </w:rPr>
            </w:pPr>
            <w:r w:rsidRPr="00434FFD">
              <w:rPr>
                <w:sz w:val="16"/>
                <w:szCs w:val="16"/>
              </w:rPr>
              <w:t>Recomendaciones del Comité de Alto Nivel sobre Gestión y redes secundarias que se dan por aplicadas</w:t>
            </w:r>
          </w:p>
        </w:tc>
        <w:tc>
          <w:tcPr>
            <w:tcW w:w="1436" w:type="pct"/>
            <w:gridSpan w:val="3"/>
            <w:shd w:val="clear" w:color="auto" w:fill="auto"/>
          </w:tcPr>
          <w:p w:rsidR="00221F0B" w:rsidRPr="00434FFD" w:rsidRDefault="00221F0B" w:rsidP="00DC1333">
            <w:pPr>
              <w:keepNext/>
              <w:keepLines/>
              <w:rPr>
                <w:color w:val="002060"/>
                <w:sz w:val="16"/>
                <w:szCs w:val="16"/>
              </w:rPr>
            </w:pPr>
            <w:r w:rsidRPr="00434FFD">
              <w:rPr>
                <w:i/>
                <w:color w:val="002060"/>
                <w:sz w:val="16"/>
                <w:szCs w:val="16"/>
              </w:rPr>
              <w:t>Referencia actualizada a fines de 2013</w:t>
            </w:r>
            <w:proofErr w:type="gramStart"/>
            <w:r w:rsidRPr="00434FFD">
              <w:rPr>
                <w:i/>
                <w:color w:val="002060"/>
                <w:sz w:val="16"/>
                <w:szCs w:val="16"/>
              </w:rPr>
              <w:t>:</w:t>
            </w:r>
            <w:r w:rsidRPr="00434FFD">
              <w:rPr>
                <w:color w:val="002060"/>
                <w:sz w:val="16"/>
                <w:szCs w:val="16"/>
              </w:rPr>
              <w:t xml:space="preserve">  13</w:t>
            </w:r>
            <w:proofErr w:type="gramEnd"/>
            <w:r w:rsidRPr="00434FFD">
              <w:rPr>
                <w:color w:val="002060"/>
                <w:sz w:val="16"/>
                <w:szCs w:val="16"/>
              </w:rPr>
              <w:t xml:space="preserve"> de las 36 recomendaciones de la Dependencia Común de Inspección (DCI)/órganos legislativos que estaban pendientes se dieron por aplicadas en 2013 (36%)</w:t>
            </w:r>
          </w:p>
          <w:p w:rsidR="00221F0B" w:rsidRPr="00434FFD" w:rsidRDefault="00221F0B" w:rsidP="00DC1333">
            <w:pPr>
              <w:keepNext/>
              <w:keepLines/>
              <w:rPr>
                <w:color w:val="002060"/>
                <w:sz w:val="16"/>
                <w:szCs w:val="16"/>
              </w:rPr>
            </w:pPr>
          </w:p>
          <w:p w:rsidR="00221F0B" w:rsidRPr="00434FFD" w:rsidRDefault="00221F0B" w:rsidP="00DC1333">
            <w:pPr>
              <w:keepNext/>
              <w:keepLines/>
              <w:rPr>
                <w:rFonts w:cstheme="minorBidi"/>
                <w:szCs w:val="22"/>
              </w:rPr>
            </w:pPr>
            <w:r w:rsidRPr="00434FFD">
              <w:rPr>
                <w:i/>
                <w:sz w:val="16"/>
                <w:szCs w:val="16"/>
              </w:rPr>
              <w:t xml:space="preserve">Referencia original en el presupuesto de 2014/15:  </w:t>
            </w:r>
            <w:r w:rsidRPr="00434FFD">
              <w:rPr>
                <w:sz w:val="16"/>
                <w:szCs w:val="16"/>
              </w:rPr>
              <w:t>Porcentaje de recomendaciones dadas por aplicadas al 1 de enero de 2013</w:t>
            </w:r>
          </w:p>
        </w:tc>
        <w:tc>
          <w:tcPr>
            <w:tcW w:w="909" w:type="pct"/>
            <w:gridSpan w:val="3"/>
            <w:shd w:val="clear" w:color="auto" w:fill="auto"/>
            <w:tcMar>
              <w:top w:w="110" w:type="dxa"/>
            </w:tcMar>
          </w:tcPr>
          <w:p w:rsidR="00221F0B" w:rsidRPr="00434FFD" w:rsidRDefault="00221F0B" w:rsidP="00DC1333">
            <w:pPr>
              <w:keepNext/>
              <w:keepLines/>
              <w:rPr>
                <w:sz w:val="16"/>
                <w:szCs w:val="16"/>
                <w:lang w:bidi="th-TH"/>
              </w:rPr>
            </w:pPr>
            <w:r w:rsidRPr="00434FFD">
              <w:rPr>
                <w:sz w:val="16"/>
                <w:szCs w:val="16"/>
                <w:lang w:bidi="th-TH"/>
              </w:rPr>
              <w:t>Porcentaje de recomendaciones dadas por aplicadas al 31 de  diciembre de 2015</w:t>
            </w:r>
            <w:r w:rsidRPr="00434FFD">
              <w:rPr>
                <w:rStyle w:val="FootnoteReference"/>
                <w:sz w:val="16"/>
                <w:szCs w:val="16"/>
                <w:lang w:bidi="th-TH"/>
              </w:rPr>
              <w:footnoteReference w:id="137"/>
            </w:r>
          </w:p>
        </w:tc>
        <w:tc>
          <w:tcPr>
            <w:tcW w:w="835" w:type="pct"/>
            <w:shd w:val="clear" w:color="auto" w:fill="FFFFFF"/>
            <w:tcMar>
              <w:top w:w="110" w:type="dxa"/>
            </w:tcMar>
          </w:tcPr>
          <w:p w:rsidR="00221F0B" w:rsidRPr="00434FFD" w:rsidRDefault="00221F0B" w:rsidP="00DC1333">
            <w:pPr>
              <w:keepNext/>
              <w:keepLines/>
              <w:rPr>
                <w:sz w:val="16"/>
                <w:szCs w:val="16"/>
                <w:lang w:bidi="th-TH"/>
              </w:rPr>
            </w:pPr>
            <w:r w:rsidRPr="00434FFD">
              <w:rPr>
                <w:color w:val="002060"/>
                <w:sz w:val="16"/>
                <w:szCs w:val="16"/>
              </w:rPr>
              <w:t>En 2014/15 el 64% (23 de 36) de las recomendaciones de la Dependencia Común de Inspección (DCI) dirigidas a los órganos legislativos de la OMPI se dieron por aplicadas.</w:t>
            </w:r>
          </w:p>
        </w:tc>
        <w:tc>
          <w:tcPr>
            <w:tcW w:w="683" w:type="pct"/>
            <w:gridSpan w:val="3"/>
            <w:shd w:val="clear" w:color="auto" w:fill="auto"/>
            <w:tcMar>
              <w:top w:w="110" w:type="dxa"/>
            </w:tcMar>
          </w:tcPr>
          <w:p w:rsidR="00221F0B" w:rsidRPr="00434FFD" w:rsidRDefault="00221F0B" w:rsidP="00DC1333">
            <w:pPr>
              <w:keepNext/>
              <w:keepLines/>
              <w:jc w:val="center"/>
              <w:rPr>
                <w:b/>
                <w:bCs/>
                <w:color w:val="808080"/>
                <w:sz w:val="16"/>
                <w:szCs w:val="16"/>
              </w:rPr>
            </w:pPr>
            <w:r w:rsidRPr="00434FFD">
              <w:rPr>
                <w:b/>
                <w:bCs/>
                <w:color w:val="BFBFBF" w:themeColor="background1" w:themeShade="BF"/>
                <w:sz w:val="16"/>
                <w:szCs w:val="16"/>
              </w:rPr>
              <w:t>No mensurable</w:t>
            </w:r>
          </w:p>
        </w:tc>
      </w:tr>
      <w:tr w:rsidR="00221F0B" w:rsidRPr="00434FFD" w:rsidTr="00DC1333">
        <w:trPr>
          <w:cantSplit/>
        </w:trPr>
        <w:tc>
          <w:tcPr>
            <w:tcW w:w="1137" w:type="pct"/>
            <w:gridSpan w:val="2"/>
            <w:shd w:val="clear" w:color="auto" w:fill="auto"/>
          </w:tcPr>
          <w:p w:rsidR="00221F0B" w:rsidRPr="00434FFD" w:rsidRDefault="00221F0B" w:rsidP="00DC1333">
            <w:pPr>
              <w:rPr>
                <w:sz w:val="16"/>
                <w:szCs w:val="16"/>
              </w:rPr>
            </w:pPr>
            <w:r w:rsidRPr="00434FFD">
              <w:rPr>
                <w:sz w:val="16"/>
                <w:szCs w:val="16"/>
              </w:rPr>
              <w:t>Porcentaje de productos y servicios contratados y adquiridos a nivel local en comparación con el importe total de los adquiridos para actividades de desarrollo</w:t>
            </w:r>
          </w:p>
        </w:tc>
        <w:tc>
          <w:tcPr>
            <w:tcW w:w="1436" w:type="pct"/>
            <w:gridSpan w:val="3"/>
            <w:shd w:val="clear" w:color="auto" w:fill="auto"/>
          </w:tcPr>
          <w:p w:rsidR="00221F0B" w:rsidRPr="00434FFD" w:rsidRDefault="00221F0B" w:rsidP="00DC1333">
            <w:pPr>
              <w:rPr>
                <w:color w:val="002060"/>
                <w:sz w:val="16"/>
                <w:szCs w:val="16"/>
              </w:rPr>
            </w:pPr>
            <w:r w:rsidRPr="00434FFD">
              <w:rPr>
                <w:i/>
                <w:color w:val="002060"/>
                <w:sz w:val="16"/>
                <w:szCs w:val="16"/>
              </w:rPr>
              <w:t xml:space="preserve">Referencia actualizada a fines de 2013:  </w:t>
            </w:r>
            <w:r w:rsidRPr="00434FFD">
              <w:rPr>
                <w:color w:val="002060"/>
                <w:sz w:val="16"/>
                <w:szCs w:val="16"/>
              </w:rPr>
              <w:t>48%</w:t>
            </w:r>
          </w:p>
          <w:p w:rsidR="00221F0B" w:rsidRPr="00434FFD" w:rsidRDefault="00221F0B" w:rsidP="00DC1333">
            <w:pPr>
              <w:rPr>
                <w:rFonts w:cstheme="minorBidi"/>
                <w:color w:val="002060"/>
                <w:sz w:val="16"/>
                <w:szCs w:val="16"/>
              </w:rPr>
            </w:pPr>
          </w:p>
          <w:p w:rsidR="00221F0B" w:rsidRPr="00434FFD" w:rsidRDefault="00221F0B" w:rsidP="00DC1333">
            <w:pPr>
              <w:rPr>
                <w:rFonts w:cstheme="minorBidi"/>
                <w:szCs w:val="22"/>
              </w:rPr>
            </w:pPr>
            <w:r w:rsidRPr="00434FFD">
              <w:rPr>
                <w:i/>
                <w:sz w:val="16"/>
                <w:szCs w:val="16"/>
              </w:rPr>
              <w:t xml:space="preserve">Referencia original en el presupuesto de 2014/15:  </w:t>
            </w:r>
            <w:r w:rsidRPr="00434FFD">
              <w:rPr>
                <w:sz w:val="16"/>
                <w:szCs w:val="16"/>
              </w:rPr>
              <w:t>resultado de</w:t>
            </w:r>
            <w:r w:rsidRPr="00434FFD">
              <w:rPr>
                <w:i/>
                <w:sz w:val="16"/>
                <w:szCs w:val="16"/>
              </w:rPr>
              <w:t xml:space="preserve"> </w:t>
            </w:r>
            <w:r w:rsidRPr="00434FFD">
              <w:rPr>
                <w:sz w:val="16"/>
                <w:szCs w:val="16"/>
              </w:rPr>
              <w:t>2013</w:t>
            </w:r>
          </w:p>
        </w:tc>
        <w:tc>
          <w:tcPr>
            <w:tcW w:w="909" w:type="pct"/>
            <w:gridSpan w:val="3"/>
            <w:shd w:val="clear" w:color="auto" w:fill="auto"/>
            <w:tcMar>
              <w:top w:w="110" w:type="dxa"/>
            </w:tcMar>
          </w:tcPr>
          <w:p w:rsidR="00221F0B" w:rsidRPr="00434FFD" w:rsidRDefault="00221F0B" w:rsidP="00DC1333">
            <w:pPr>
              <w:rPr>
                <w:rFonts w:ascii="ArialMT" w:hAnsi="ArialMT" w:cs="ArialMT"/>
                <w:sz w:val="16"/>
                <w:szCs w:val="16"/>
              </w:rPr>
            </w:pPr>
            <w:r w:rsidRPr="00434FFD">
              <w:rPr>
                <w:sz w:val="16"/>
                <w:szCs w:val="16"/>
                <w:lang w:bidi="th-TH"/>
              </w:rPr>
              <w:t>2013 + 5%</w:t>
            </w:r>
          </w:p>
        </w:tc>
        <w:tc>
          <w:tcPr>
            <w:tcW w:w="835" w:type="pct"/>
            <w:shd w:val="clear" w:color="auto" w:fill="FFFFFF"/>
            <w:tcMar>
              <w:top w:w="110" w:type="dxa"/>
            </w:tcMar>
          </w:tcPr>
          <w:p w:rsidR="00221F0B" w:rsidRPr="00434FFD" w:rsidRDefault="00221F0B" w:rsidP="00DC1333">
            <w:pPr>
              <w:rPr>
                <w:sz w:val="16"/>
                <w:szCs w:val="16"/>
                <w:lang w:bidi="th-TH"/>
              </w:rPr>
            </w:pPr>
            <w:r w:rsidRPr="00434FFD">
              <w:rPr>
                <w:sz w:val="16"/>
                <w:szCs w:val="16"/>
                <w:lang w:bidi="th-TH"/>
              </w:rPr>
              <w:t>2014:  45%</w:t>
            </w:r>
          </w:p>
          <w:p w:rsidR="00221F0B" w:rsidRPr="00434FFD" w:rsidRDefault="00221F0B" w:rsidP="00DC1333">
            <w:pPr>
              <w:rPr>
                <w:sz w:val="16"/>
                <w:szCs w:val="16"/>
                <w:highlight w:val="yellow"/>
                <w:lang w:bidi="th-TH"/>
              </w:rPr>
            </w:pPr>
          </w:p>
          <w:p w:rsidR="00221F0B" w:rsidRPr="00434FFD" w:rsidRDefault="00221F0B" w:rsidP="00DC1333">
            <w:pPr>
              <w:rPr>
                <w:sz w:val="16"/>
                <w:szCs w:val="16"/>
                <w:highlight w:val="yellow"/>
                <w:lang w:bidi="th-TH"/>
              </w:rPr>
            </w:pPr>
          </w:p>
          <w:p w:rsidR="00221F0B" w:rsidRPr="00434FFD" w:rsidRDefault="00221F0B" w:rsidP="00DC1333">
            <w:pPr>
              <w:rPr>
                <w:sz w:val="16"/>
                <w:szCs w:val="16"/>
                <w:lang w:bidi="th-TH"/>
              </w:rPr>
            </w:pPr>
            <w:r w:rsidRPr="00434FFD">
              <w:rPr>
                <w:sz w:val="16"/>
                <w:szCs w:val="16"/>
                <w:lang w:bidi="th-TH"/>
              </w:rPr>
              <w:t>2015:  57%</w:t>
            </w:r>
          </w:p>
        </w:tc>
        <w:tc>
          <w:tcPr>
            <w:tcW w:w="683" w:type="pct"/>
            <w:gridSpan w:val="3"/>
            <w:shd w:val="clear" w:color="auto" w:fill="auto"/>
            <w:tcMar>
              <w:top w:w="110" w:type="dxa"/>
            </w:tcMar>
          </w:tcPr>
          <w:p w:rsidR="00221F0B" w:rsidRPr="00434FFD" w:rsidRDefault="00221F0B" w:rsidP="00DC1333">
            <w:pPr>
              <w:keepNext/>
              <w:keepLines/>
              <w:spacing w:after="120"/>
              <w:jc w:val="center"/>
              <w:rPr>
                <w:b/>
                <w:bCs/>
                <w:color w:val="FF0000"/>
                <w:sz w:val="16"/>
                <w:szCs w:val="16"/>
              </w:rPr>
            </w:pPr>
            <w:r w:rsidRPr="00434FFD">
              <w:rPr>
                <w:b/>
                <w:bCs/>
                <w:color w:val="FF0000"/>
                <w:sz w:val="16"/>
                <w:szCs w:val="16"/>
              </w:rPr>
              <w:t>No logrado</w:t>
            </w:r>
          </w:p>
          <w:p w:rsidR="00221F0B" w:rsidRPr="00434FFD" w:rsidRDefault="00221F0B" w:rsidP="00DC1333">
            <w:pPr>
              <w:keepNext/>
              <w:keepLines/>
              <w:jc w:val="center"/>
              <w:rPr>
                <w:b/>
                <w:bCs/>
                <w:color w:val="FF0000"/>
                <w:sz w:val="16"/>
                <w:szCs w:val="16"/>
              </w:rPr>
            </w:pPr>
          </w:p>
          <w:p w:rsidR="00221F0B" w:rsidRPr="00434FFD" w:rsidRDefault="00221F0B" w:rsidP="00DC1333">
            <w:pPr>
              <w:jc w:val="center"/>
            </w:pPr>
            <w:r w:rsidRPr="00434FFD">
              <w:rPr>
                <w:b/>
                <w:bCs/>
                <w:color w:val="22DE4F"/>
                <w:sz w:val="16"/>
                <w:szCs w:val="16"/>
              </w:rPr>
              <w:t>Plenamente logrado</w:t>
            </w:r>
          </w:p>
          <w:p w:rsidR="00221F0B" w:rsidRPr="00434FFD" w:rsidRDefault="00221F0B" w:rsidP="00DC1333">
            <w:pPr>
              <w:keepNext/>
              <w:keepLines/>
              <w:spacing w:after="120"/>
              <w:jc w:val="center"/>
              <w:rPr>
                <w:b/>
                <w:bCs/>
                <w:color w:val="808080"/>
                <w:sz w:val="16"/>
                <w:szCs w:val="16"/>
              </w:rPr>
            </w:pPr>
          </w:p>
        </w:tc>
      </w:tr>
      <w:tr w:rsidR="00221F0B" w:rsidRPr="00434FFD" w:rsidTr="00DC1333">
        <w:trPr>
          <w:cantSplit/>
        </w:trPr>
        <w:tc>
          <w:tcPr>
            <w:tcW w:w="1137" w:type="pct"/>
            <w:gridSpan w:val="2"/>
            <w:tcBorders>
              <w:bottom w:val="single" w:sz="4" w:space="0" w:color="auto"/>
            </w:tcBorders>
            <w:shd w:val="clear" w:color="auto" w:fill="auto"/>
          </w:tcPr>
          <w:p w:rsidR="00221F0B" w:rsidRPr="00434FFD" w:rsidRDefault="00221F0B" w:rsidP="00DC1333">
            <w:pPr>
              <w:rPr>
                <w:sz w:val="16"/>
                <w:szCs w:val="16"/>
              </w:rPr>
            </w:pPr>
            <w:r w:rsidRPr="00434FFD">
              <w:rPr>
                <w:sz w:val="16"/>
                <w:szCs w:val="16"/>
              </w:rPr>
              <w:t>Porcentaje de gastos efectuados con arreglo a las prácticas vigentes en NN.UU. (licitaciones comunes o aprovechamiento de los contratos)</w:t>
            </w:r>
          </w:p>
        </w:tc>
        <w:tc>
          <w:tcPr>
            <w:tcW w:w="1436" w:type="pct"/>
            <w:gridSpan w:val="3"/>
            <w:tcBorders>
              <w:bottom w:val="single" w:sz="4" w:space="0" w:color="auto"/>
            </w:tcBorders>
            <w:shd w:val="clear" w:color="auto" w:fill="auto"/>
          </w:tcPr>
          <w:p w:rsidR="00221F0B" w:rsidRPr="00434FFD" w:rsidRDefault="00221F0B" w:rsidP="00DC1333">
            <w:pPr>
              <w:rPr>
                <w:color w:val="002060"/>
                <w:sz w:val="16"/>
                <w:szCs w:val="16"/>
              </w:rPr>
            </w:pPr>
            <w:r w:rsidRPr="00434FFD">
              <w:rPr>
                <w:i/>
                <w:color w:val="002060"/>
                <w:sz w:val="16"/>
                <w:szCs w:val="16"/>
              </w:rPr>
              <w:t xml:space="preserve">Referencia actualizada a fines de 2013: </w:t>
            </w:r>
            <w:r w:rsidRPr="00434FFD">
              <w:rPr>
                <w:color w:val="002060"/>
                <w:sz w:val="16"/>
                <w:szCs w:val="16"/>
              </w:rPr>
              <w:t xml:space="preserve"> 4%</w:t>
            </w:r>
          </w:p>
          <w:p w:rsidR="00221F0B" w:rsidRPr="00434FFD" w:rsidRDefault="00221F0B" w:rsidP="00DC1333">
            <w:pPr>
              <w:rPr>
                <w:color w:val="002060"/>
                <w:sz w:val="16"/>
                <w:szCs w:val="16"/>
              </w:rPr>
            </w:pPr>
          </w:p>
          <w:p w:rsidR="00221F0B" w:rsidRPr="00434FFD" w:rsidRDefault="00221F0B" w:rsidP="00DC1333">
            <w:pPr>
              <w:rPr>
                <w:rFonts w:cstheme="minorBidi"/>
                <w:szCs w:val="22"/>
              </w:rPr>
            </w:pPr>
            <w:r w:rsidRPr="00434FFD">
              <w:rPr>
                <w:i/>
                <w:sz w:val="16"/>
                <w:szCs w:val="16"/>
              </w:rPr>
              <w:t xml:space="preserve">Referencia original en el presupuesto de 2014/15:  </w:t>
            </w:r>
            <w:r w:rsidRPr="00434FFD">
              <w:rPr>
                <w:sz w:val="16"/>
                <w:szCs w:val="16"/>
              </w:rPr>
              <w:t>resultado de 2013</w:t>
            </w:r>
          </w:p>
        </w:tc>
        <w:tc>
          <w:tcPr>
            <w:tcW w:w="909" w:type="pct"/>
            <w:gridSpan w:val="3"/>
            <w:tcBorders>
              <w:bottom w:val="single" w:sz="4" w:space="0" w:color="auto"/>
            </w:tcBorders>
            <w:shd w:val="clear" w:color="auto" w:fill="auto"/>
            <w:tcMar>
              <w:top w:w="110" w:type="dxa"/>
            </w:tcMar>
          </w:tcPr>
          <w:p w:rsidR="00221F0B" w:rsidRPr="00434FFD" w:rsidRDefault="00221F0B" w:rsidP="00DC1333">
            <w:pPr>
              <w:rPr>
                <w:color w:val="002060"/>
                <w:sz w:val="16"/>
                <w:szCs w:val="16"/>
              </w:rPr>
            </w:pPr>
            <w:r w:rsidRPr="00434FFD">
              <w:rPr>
                <w:color w:val="002060"/>
                <w:sz w:val="16"/>
                <w:szCs w:val="16"/>
              </w:rPr>
              <w:t xml:space="preserve">Objetivo definido:  4% </w:t>
            </w:r>
          </w:p>
          <w:p w:rsidR="00221F0B" w:rsidRPr="00434FFD" w:rsidRDefault="00221F0B" w:rsidP="00DC1333">
            <w:pPr>
              <w:rPr>
                <w:color w:val="002060"/>
                <w:sz w:val="16"/>
                <w:szCs w:val="16"/>
              </w:rPr>
            </w:pPr>
          </w:p>
          <w:p w:rsidR="00221F0B" w:rsidRDefault="00221F0B" w:rsidP="00DC1333">
            <w:pPr>
              <w:rPr>
                <w:sz w:val="16"/>
                <w:szCs w:val="16"/>
              </w:rPr>
            </w:pPr>
            <w:r w:rsidRPr="00434FFD">
              <w:rPr>
                <w:sz w:val="16"/>
                <w:szCs w:val="16"/>
              </w:rPr>
              <w:t>Objetivo original en el presupuesto de  2014/15:  por determinar</w:t>
            </w:r>
          </w:p>
          <w:p w:rsidR="00221F0B" w:rsidRPr="00434FFD" w:rsidRDefault="00221F0B" w:rsidP="00DC1333">
            <w:pPr>
              <w:rPr>
                <w:rFonts w:cstheme="minorBidi"/>
                <w:szCs w:val="22"/>
              </w:rPr>
            </w:pPr>
          </w:p>
        </w:tc>
        <w:tc>
          <w:tcPr>
            <w:tcW w:w="835" w:type="pct"/>
            <w:tcBorders>
              <w:bottom w:val="single" w:sz="4" w:space="0" w:color="auto"/>
            </w:tcBorders>
            <w:shd w:val="clear" w:color="auto" w:fill="FFFFFF"/>
            <w:tcMar>
              <w:top w:w="110" w:type="dxa"/>
            </w:tcMar>
          </w:tcPr>
          <w:p w:rsidR="00221F0B" w:rsidRPr="00434FFD" w:rsidRDefault="00221F0B" w:rsidP="00DC1333">
            <w:pPr>
              <w:rPr>
                <w:sz w:val="16"/>
                <w:szCs w:val="16"/>
                <w:lang w:bidi="th-TH"/>
              </w:rPr>
            </w:pPr>
            <w:r w:rsidRPr="00434FFD">
              <w:rPr>
                <w:sz w:val="16"/>
                <w:szCs w:val="16"/>
                <w:lang w:bidi="th-TH"/>
              </w:rPr>
              <w:t>2014:  4,15%</w:t>
            </w:r>
          </w:p>
          <w:p w:rsidR="00221F0B" w:rsidRPr="00434FFD" w:rsidRDefault="00221F0B" w:rsidP="00DC1333">
            <w:pPr>
              <w:rPr>
                <w:sz w:val="16"/>
                <w:szCs w:val="16"/>
                <w:lang w:bidi="th-TH"/>
              </w:rPr>
            </w:pPr>
            <w:r w:rsidRPr="00434FFD">
              <w:rPr>
                <w:sz w:val="16"/>
                <w:szCs w:val="16"/>
                <w:lang w:bidi="th-TH"/>
              </w:rPr>
              <w:t>2015:  5,8%</w:t>
            </w:r>
          </w:p>
        </w:tc>
        <w:tc>
          <w:tcPr>
            <w:tcW w:w="683" w:type="pct"/>
            <w:gridSpan w:val="3"/>
            <w:tcBorders>
              <w:bottom w:val="single" w:sz="4" w:space="0" w:color="auto"/>
            </w:tcBorders>
            <w:shd w:val="clear" w:color="auto" w:fill="auto"/>
          </w:tcPr>
          <w:p w:rsidR="00221F0B" w:rsidRPr="00434FFD" w:rsidRDefault="00221F0B" w:rsidP="00DC1333">
            <w:pPr>
              <w:keepNext/>
              <w:keepLines/>
              <w:jc w:val="center"/>
              <w:rPr>
                <w:b/>
                <w:bCs/>
                <w:color w:val="00B050"/>
                <w:sz w:val="16"/>
                <w:szCs w:val="16"/>
              </w:rPr>
            </w:pPr>
            <w:r w:rsidRPr="00434FFD">
              <w:rPr>
                <w:b/>
                <w:color w:val="00B050"/>
                <w:sz w:val="16"/>
                <w:szCs w:val="16"/>
              </w:rPr>
              <w:t>Plenamente logrado</w:t>
            </w:r>
          </w:p>
        </w:tc>
      </w:tr>
      <w:tr w:rsidR="00221F0B" w:rsidRPr="00434FFD" w:rsidTr="00DC1333">
        <w:trPr>
          <w:cantSplit/>
        </w:trPr>
        <w:tc>
          <w:tcPr>
            <w:tcW w:w="5000" w:type="pct"/>
            <w:gridSpan w:val="12"/>
            <w:tcBorders>
              <w:top w:val="single" w:sz="4" w:space="0" w:color="auto"/>
              <w:bottom w:val="single" w:sz="4" w:space="0" w:color="auto"/>
            </w:tcBorders>
            <w:shd w:val="clear" w:color="auto" w:fill="C6D9F1" w:themeFill="text2" w:themeFillTint="33"/>
            <w:vAlign w:val="center"/>
          </w:tcPr>
          <w:p w:rsidR="00221F0B" w:rsidRPr="00434FFD" w:rsidRDefault="00221F0B" w:rsidP="00DC1333">
            <w:pPr>
              <w:spacing w:before="120" w:after="120"/>
              <w:ind w:left="2019" w:hanging="2019"/>
              <w:rPr>
                <w:b/>
                <w:bCs/>
                <w:sz w:val="16"/>
                <w:szCs w:val="16"/>
              </w:rPr>
            </w:pPr>
            <w:r w:rsidRPr="00434FFD">
              <w:rPr>
                <w:b/>
                <w:bCs/>
                <w:sz w:val="16"/>
                <w:szCs w:val="16"/>
              </w:rPr>
              <w:t>Resultado previsto:</w:t>
            </w:r>
            <w:r w:rsidRPr="00434FFD">
              <w:rPr>
                <w:b/>
                <w:bCs/>
                <w:sz w:val="16"/>
                <w:szCs w:val="16"/>
              </w:rPr>
              <w:tab/>
            </w:r>
            <w:r w:rsidRPr="00434FFD">
              <w:rPr>
                <w:sz w:val="16"/>
                <w:szCs w:val="16"/>
              </w:rPr>
              <w:t>IX.1 Servicios de apoyo eficaces, eficientes, de calidad y orientados al cliente, tanto a los clientes internos como a las partes interesadas externas</w:t>
            </w:r>
          </w:p>
        </w:tc>
      </w:tr>
      <w:tr w:rsidR="00221F0B" w:rsidRPr="00434FFD" w:rsidTr="00DC1333">
        <w:trPr>
          <w:cantSplit/>
        </w:trPr>
        <w:tc>
          <w:tcPr>
            <w:tcW w:w="1137" w:type="pct"/>
            <w:gridSpan w:val="2"/>
            <w:tcBorders>
              <w:top w:val="single" w:sz="4" w:space="0" w:color="auto"/>
            </w:tcBorders>
            <w:shd w:val="clear" w:color="auto" w:fill="auto"/>
            <w:vAlign w:val="center"/>
          </w:tcPr>
          <w:p w:rsidR="00221F0B" w:rsidRPr="00434FFD" w:rsidRDefault="00221F0B" w:rsidP="00DC1333">
            <w:pPr>
              <w:rPr>
                <w:sz w:val="16"/>
                <w:szCs w:val="16"/>
              </w:rPr>
            </w:pPr>
            <w:r w:rsidRPr="00434FFD">
              <w:rPr>
                <w:b/>
                <w:sz w:val="16"/>
                <w:szCs w:val="16"/>
              </w:rPr>
              <w:t>Indicadores de rendimiento</w:t>
            </w:r>
          </w:p>
        </w:tc>
        <w:tc>
          <w:tcPr>
            <w:tcW w:w="1287" w:type="pct"/>
            <w:gridSpan w:val="2"/>
            <w:tcBorders>
              <w:top w:val="single" w:sz="4" w:space="0" w:color="auto"/>
            </w:tcBorders>
            <w:shd w:val="clear" w:color="auto" w:fill="auto"/>
            <w:vAlign w:val="center"/>
          </w:tcPr>
          <w:p w:rsidR="00221F0B" w:rsidRPr="00434FFD" w:rsidRDefault="00221F0B" w:rsidP="00DC1333">
            <w:pPr>
              <w:rPr>
                <w:b/>
                <w:bCs/>
                <w:sz w:val="16"/>
                <w:szCs w:val="16"/>
              </w:rPr>
            </w:pPr>
            <w:r w:rsidRPr="00434FFD">
              <w:rPr>
                <w:b/>
                <w:bCs/>
                <w:sz w:val="16"/>
                <w:szCs w:val="16"/>
              </w:rPr>
              <w:t>Referencia</w:t>
            </w:r>
          </w:p>
        </w:tc>
        <w:tc>
          <w:tcPr>
            <w:tcW w:w="909" w:type="pct"/>
            <w:gridSpan w:val="3"/>
            <w:tcBorders>
              <w:top w:val="single" w:sz="4" w:space="0" w:color="auto"/>
            </w:tcBorders>
            <w:shd w:val="clear" w:color="auto" w:fill="auto"/>
            <w:tcMar>
              <w:top w:w="110" w:type="dxa"/>
            </w:tcMar>
            <w:vAlign w:val="center"/>
          </w:tcPr>
          <w:p w:rsidR="00221F0B" w:rsidRPr="00434FFD" w:rsidRDefault="00221F0B" w:rsidP="00DC1333">
            <w:pPr>
              <w:rPr>
                <w:b/>
                <w:sz w:val="16"/>
                <w:szCs w:val="16"/>
              </w:rPr>
            </w:pPr>
            <w:r w:rsidRPr="00434FFD">
              <w:rPr>
                <w:b/>
                <w:sz w:val="16"/>
                <w:szCs w:val="16"/>
              </w:rPr>
              <w:t>Objetivos</w:t>
            </w:r>
          </w:p>
        </w:tc>
        <w:tc>
          <w:tcPr>
            <w:tcW w:w="1061" w:type="pct"/>
            <w:gridSpan w:val="4"/>
            <w:tcBorders>
              <w:top w:val="single" w:sz="4" w:space="0" w:color="auto"/>
            </w:tcBorders>
            <w:shd w:val="clear" w:color="auto" w:fill="FFFFFF"/>
            <w:tcMar>
              <w:top w:w="110" w:type="dxa"/>
            </w:tcMar>
            <w:vAlign w:val="center"/>
          </w:tcPr>
          <w:p w:rsidR="00221F0B" w:rsidRPr="00434FFD" w:rsidRDefault="00221F0B" w:rsidP="00DC1333">
            <w:pPr>
              <w:rPr>
                <w:sz w:val="16"/>
                <w:szCs w:val="16"/>
              </w:rPr>
            </w:pPr>
            <w:r w:rsidRPr="00434FFD">
              <w:rPr>
                <w:b/>
                <w:sz w:val="16"/>
                <w:szCs w:val="16"/>
              </w:rPr>
              <w:t>Datos sobre el rendimiento</w:t>
            </w:r>
          </w:p>
        </w:tc>
        <w:tc>
          <w:tcPr>
            <w:tcW w:w="606" w:type="pct"/>
            <w:tcBorders>
              <w:top w:val="single" w:sz="4" w:space="0" w:color="auto"/>
            </w:tcBorders>
            <w:shd w:val="clear" w:color="auto" w:fill="auto"/>
            <w:tcMar>
              <w:top w:w="110" w:type="dxa"/>
            </w:tcMar>
            <w:vAlign w:val="center"/>
          </w:tcPr>
          <w:p w:rsidR="00221F0B" w:rsidRPr="00434FFD" w:rsidRDefault="00221F0B" w:rsidP="00DC1333">
            <w:pPr>
              <w:jc w:val="center"/>
              <w:rPr>
                <w:b/>
                <w:bCs/>
                <w:sz w:val="16"/>
                <w:szCs w:val="16"/>
              </w:rPr>
            </w:pPr>
            <w:r w:rsidRPr="00434FFD">
              <w:rPr>
                <w:b/>
                <w:bCs/>
                <w:sz w:val="16"/>
                <w:szCs w:val="16"/>
              </w:rPr>
              <w:t>Clave de colores</w:t>
            </w:r>
          </w:p>
        </w:tc>
      </w:tr>
      <w:tr w:rsidR="00221F0B" w:rsidRPr="00434FFD" w:rsidTr="00DC1333">
        <w:trPr>
          <w:cantSplit/>
        </w:trPr>
        <w:tc>
          <w:tcPr>
            <w:tcW w:w="1137" w:type="pct"/>
            <w:gridSpan w:val="2"/>
            <w:shd w:val="clear" w:color="auto" w:fill="auto"/>
          </w:tcPr>
          <w:p w:rsidR="00221F0B" w:rsidRPr="00434FFD" w:rsidRDefault="00221F0B" w:rsidP="00DC1333">
            <w:pPr>
              <w:rPr>
                <w:sz w:val="16"/>
                <w:szCs w:val="16"/>
              </w:rPr>
            </w:pPr>
            <w:r w:rsidRPr="00434FFD">
              <w:rPr>
                <w:sz w:val="16"/>
                <w:szCs w:val="16"/>
              </w:rPr>
              <w:t>Disminución de los costos de adquisición de productos y servicios por la OMPI (derivada de solicitudes de ofertas o negociaciones directas)</w:t>
            </w:r>
          </w:p>
        </w:tc>
        <w:tc>
          <w:tcPr>
            <w:tcW w:w="1287" w:type="pct"/>
            <w:gridSpan w:val="2"/>
            <w:shd w:val="clear" w:color="auto" w:fill="auto"/>
          </w:tcPr>
          <w:p w:rsidR="00221F0B" w:rsidRPr="00434FFD" w:rsidRDefault="00221F0B" w:rsidP="00DC1333">
            <w:pPr>
              <w:rPr>
                <w:color w:val="002060"/>
                <w:sz w:val="16"/>
                <w:szCs w:val="16"/>
              </w:rPr>
            </w:pPr>
            <w:r w:rsidRPr="00434FFD">
              <w:rPr>
                <w:i/>
                <w:color w:val="002060"/>
                <w:sz w:val="16"/>
                <w:szCs w:val="16"/>
              </w:rPr>
              <w:t>Referencia actualizada a fines de 2013:</w:t>
            </w:r>
            <w:r w:rsidRPr="00434FFD">
              <w:rPr>
                <w:sz w:val="16"/>
                <w:szCs w:val="16"/>
              </w:rPr>
              <w:t xml:space="preserve">  </w:t>
            </w:r>
            <w:r w:rsidRPr="00434FFD">
              <w:rPr>
                <w:color w:val="002060"/>
                <w:sz w:val="16"/>
                <w:szCs w:val="16"/>
              </w:rPr>
              <w:t>531.000 francos suizos</w:t>
            </w:r>
          </w:p>
          <w:p w:rsidR="00221F0B" w:rsidRPr="00434FFD" w:rsidRDefault="00221F0B" w:rsidP="00DC1333">
            <w:pPr>
              <w:rPr>
                <w:rFonts w:cstheme="minorBidi"/>
                <w:color w:val="002060"/>
                <w:sz w:val="16"/>
                <w:szCs w:val="16"/>
              </w:rPr>
            </w:pPr>
          </w:p>
          <w:p w:rsidR="00221F0B" w:rsidRPr="00434FFD" w:rsidRDefault="00221F0B" w:rsidP="00DC1333">
            <w:pPr>
              <w:rPr>
                <w:rFonts w:cstheme="minorBidi"/>
                <w:szCs w:val="22"/>
              </w:rPr>
            </w:pPr>
            <w:r w:rsidRPr="00434FFD">
              <w:rPr>
                <w:i/>
                <w:sz w:val="16"/>
                <w:szCs w:val="16"/>
              </w:rPr>
              <w:t xml:space="preserve">Referencia original en el presupuesto de 2014/15:  </w:t>
            </w:r>
            <w:r w:rsidRPr="00434FFD">
              <w:rPr>
                <w:sz w:val="16"/>
                <w:szCs w:val="16"/>
              </w:rPr>
              <w:t>resultado de 2013</w:t>
            </w:r>
          </w:p>
        </w:tc>
        <w:tc>
          <w:tcPr>
            <w:tcW w:w="909" w:type="pct"/>
            <w:gridSpan w:val="3"/>
            <w:shd w:val="clear" w:color="auto" w:fill="auto"/>
            <w:tcMar>
              <w:top w:w="110" w:type="dxa"/>
            </w:tcMar>
          </w:tcPr>
          <w:p w:rsidR="00221F0B" w:rsidRPr="00434FFD" w:rsidRDefault="00221F0B" w:rsidP="00DC1333">
            <w:pPr>
              <w:rPr>
                <w:sz w:val="16"/>
                <w:szCs w:val="16"/>
              </w:rPr>
            </w:pPr>
            <w:r w:rsidRPr="00434FFD">
              <w:rPr>
                <w:sz w:val="16"/>
                <w:szCs w:val="16"/>
              </w:rPr>
              <w:t>2013 + 5%</w:t>
            </w:r>
          </w:p>
        </w:tc>
        <w:tc>
          <w:tcPr>
            <w:tcW w:w="1061" w:type="pct"/>
            <w:gridSpan w:val="4"/>
            <w:shd w:val="clear" w:color="auto" w:fill="FFFFFF"/>
            <w:tcMar>
              <w:top w:w="110" w:type="dxa"/>
            </w:tcMar>
          </w:tcPr>
          <w:p w:rsidR="00221F0B" w:rsidRPr="00434FFD" w:rsidRDefault="00221F0B" w:rsidP="00DC1333">
            <w:pPr>
              <w:rPr>
                <w:sz w:val="16"/>
                <w:szCs w:val="16"/>
                <w:lang w:bidi="th-TH"/>
              </w:rPr>
            </w:pPr>
            <w:r w:rsidRPr="00434FFD">
              <w:rPr>
                <w:sz w:val="16"/>
                <w:szCs w:val="16"/>
                <w:lang w:bidi="th-TH"/>
              </w:rPr>
              <w:t>2.663.000 francos suizos (2014)</w:t>
            </w:r>
          </w:p>
          <w:p w:rsidR="00221F0B" w:rsidRPr="00434FFD" w:rsidRDefault="00221F0B" w:rsidP="00DC1333">
            <w:pPr>
              <w:rPr>
                <w:sz w:val="6"/>
                <w:szCs w:val="6"/>
                <w:lang w:bidi="th-TH"/>
              </w:rPr>
            </w:pPr>
          </w:p>
          <w:p w:rsidR="00221F0B" w:rsidRPr="00434FFD" w:rsidRDefault="00221F0B" w:rsidP="00DC1333">
            <w:pPr>
              <w:rPr>
                <w:sz w:val="16"/>
                <w:szCs w:val="16"/>
                <w:lang w:bidi="th-TH"/>
              </w:rPr>
            </w:pPr>
            <w:r w:rsidRPr="00434FFD">
              <w:rPr>
                <w:sz w:val="16"/>
                <w:szCs w:val="16"/>
                <w:lang w:bidi="th-TH"/>
              </w:rPr>
              <w:t>3.826.361 francos suizos (2015)</w:t>
            </w:r>
          </w:p>
        </w:tc>
        <w:tc>
          <w:tcPr>
            <w:tcW w:w="606" w:type="pct"/>
            <w:shd w:val="clear" w:color="auto" w:fill="auto"/>
            <w:tcMar>
              <w:top w:w="110" w:type="dxa"/>
            </w:tcMar>
          </w:tcPr>
          <w:p w:rsidR="00221F0B" w:rsidRPr="00434FFD" w:rsidRDefault="00221F0B" w:rsidP="00DC1333">
            <w:pPr>
              <w:ind w:left="-109"/>
              <w:jc w:val="center"/>
              <w:rPr>
                <w:b/>
                <w:bCs/>
                <w:color w:val="00B050"/>
                <w:sz w:val="16"/>
                <w:szCs w:val="16"/>
              </w:rPr>
            </w:pPr>
            <w:r w:rsidRPr="00434FFD">
              <w:rPr>
                <w:b/>
                <w:color w:val="00B050"/>
                <w:sz w:val="16"/>
                <w:szCs w:val="16"/>
              </w:rPr>
              <w:t>Plenamente logrado</w:t>
            </w:r>
          </w:p>
        </w:tc>
      </w:tr>
      <w:tr w:rsidR="00221F0B" w:rsidRPr="00434FFD" w:rsidTr="00DC1333">
        <w:trPr>
          <w:cantSplit/>
        </w:trPr>
        <w:tc>
          <w:tcPr>
            <w:tcW w:w="1129" w:type="pct"/>
            <w:shd w:val="clear" w:color="auto" w:fill="auto"/>
          </w:tcPr>
          <w:p w:rsidR="00221F0B" w:rsidRPr="00434FFD" w:rsidRDefault="00221F0B" w:rsidP="00DC1333">
            <w:pPr>
              <w:rPr>
                <w:sz w:val="16"/>
                <w:szCs w:val="16"/>
              </w:rPr>
            </w:pPr>
            <w:r w:rsidRPr="00434FFD">
              <w:rPr>
                <w:sz w:val="16"/>
                <w:szCs w:val="16"/>
              </w:rPr>
              <w:t>Porcentaje de usuarios internos satisfechos con los servicios de adquisiciones</w:t>
            </w:r>
          </w:p>
        </w:tc>
        <w:tc>
          <w:tcPr>
            <w:tcW w:w="1277" w:type="pct"/>
            <w:gridSpan w:val="2"/>
            <w:shd w:val="clear" w:color="auto" w:fill="auto"/>
          </w:tcPr>
          <w:p w:rsidR="00221F0B" w:rsidRPr="00434FFD" w:rsidRDefault="00221F0B" w:rsidP="00DC1333">
            <w:pPr>
              <w:rPr>
                <w:color w:val="002060"/>
                <w:sz w:val="16"/>
                <w:szCs w:val="16"/>
              </w:rPr>
            </w:pPr>
            <w:r w:rsidRPr="00434FFD">
              <w:rPr>
                <w:i/>
                <w:color w:val="002060"/>
                <w:sz w:val="16"/>
                <w:szCs w:val="16"/>
              </w:rPr>
              <w:t xml:space="preserve">Referencia actualizada a fines de 2013:  </w:t>
            </w:r>
            <w:r w:rsidRPr="00434FFD">
              <w:rPr>
                <w:color w:val="002060"/>
                <w:sz w:val="16"/>
                <w:szCs w:val="16"/>
              </w:rPr>
              <w:t>73%</w:t>
            </w:r>
          </w:p>
          <w:p w:rsidR="00221F0B" w:rsidRPr="00434FFD" w:rsidRDefault="00221F0B" w:rsidP="00DC1333">
            <w:pPr>
              <w:rPr>
                <w:rFonts w:cstheme="minorBidi"/>
                <w:color w:val="002060"/>
                <w:sz w:val="16"/>
                <w:szCs w:val="16"/>
              </w:rPr>
            </w:pPr>
          </w:p>
          <w:p w:rsidR="00221F0B" w:rsidRPr="00434FFD" w:rsidRDefault="00221F0B" w:rsidP="00DC1333">
            <w:pPr>
              <w:rPr>
                <w:szCs w:val="22"/>
              </w:rPr>
            </w:pPr>
            <w:r w:rsidRPr="00434FFD">
              <w:rPr>
                <w:i/>
                <w:sz w:val="16"/>
                <w:szCs w:val="16"/>
              </w:rPr>
              <w:t xml:space="preserve">Referencia original en el presupuesto de 2014/15:  </w:t>
            </w:r>
            <w:r w:rsidRPr="00434FFD">
              <w:rPr>
                <w:sz w:val="16"/>
                <w:szCs w:val="16"/>
              </w:rPr>
              <w:t>resultado de 2012</w:t>
            </w:r>
          </w:p>
        </w:tc>
        <w:tc>
          <w:tcPr>
            <w:tcW w:w="902" w:type="pct"/>
            <w:gridSpan w:val="3"/>
            <w:shd w:val="clear" w:color="auto" w:fill="auto"/>
            <w:tcMar>
              <w:top w:w="110" w:type="dxa"/>
            </w:tcMar>
          </w:tcPr>
          <w:p w:rsidR="00221F0B" w:rsidRPr="00434FFD" w:rsidRDefault="00221F0B" w:rsidP="00DC1333">
            <w:pPr>
              <w:rPr>
                <w:sz w:val="16"/>
                <w:szCs w:val="16"/>
              </w:rPr>
            </w:pPr>
            <w:r w:rsidRPr="00434FFD">
              <w:rPr>
                <w:sz w:val="16"/>
                <w:szCs w:val="16"/>
              </w:rPr>
              <w:t>2012 + 5%</w:t>
            </w:r>
          </w:p>
        </w:tc>
        <w:tc>
          <w:tcPr>
            <w:tcW w:w="1053" w:type="pct"/>
            <w:gridSpan w:val="4"/>
            <w:shd w:val="clear" w:color="auto" w:fill="FFFFFF"/>
            <w:tcMar>
              <w:top w:w="110" w:type="dxa"/>
            </w:tcMar>
          </w:tcPr>
          <w:p w:rsidR="00221F0B" w:rsidRPr="00434FFD" w:rsidRDefault="00221F0B" w:rsidP="00DC1333">
            <w:pPr>
              <w:rPr>
                <w:sz w:val="16"/>
                <w:szCs w:val="16"/>
                <w:lang w:bidi="th-TH"/>
              </w:rPr>
            </w:pPr>
            <w:r w:rsidRPr="00434FFD">
              <w:rPr>
                <w:sz w:val="16"/>
                <w:szCs w:val="16"/>
                <w:lang w:bidi="th-TH"/>
              </w:rPr>
              <w:t>89%</w:t>
            </w:r>
          </w:p>
        </w:tc>
        <w:tc>
          <w:tcPr>
            <w:tcW w:w="639" w:type="pct"/>
            <w:gridSpan w:val="2"/>
            <w:shd w:val="clear" w:color="auto" w:fill="auto"/>
            <w:tcMar>
              <w:top w:w="110" w:type="dxa"/>
            </w:tcMar>
          </w:tcPr>
          <w:p w:rsidR="00221F0B" w:rsidRPr="00434FFD" w:rsidRDefault="00221F0B" w:rsidP="00DC1333">
            <w:pPr>
              <w:keepNext/>
              <w:keepLines/>
              <w:ind w:left="-109"/>
              <w:jc w:val="center"/>
              <w:rPr>
                <w:b/>
                <w:bCs/>
                <w:color w:val="00B050"/>
                <w:sz w:val="16"/>
                <w:szCs w:val="16"/>
              </w:rPr>
            </w:pPr>
            <w:r w:rsidRPr="00434FFD">
              <w:rPr>
                <w:b/>
                <w:color w:val="00B050"/>
                <w:sz w:val="16"/>
                <w:szCs w:val="16"/>
              </w:rPr>
              <w:t>Plenamente logrado</w:t>
            </w:r>
          </w:p>
        </w:tc>
      </w:tr>
      <w:tr w:rsidR="00221F0B" w:rsidRPr="00434FFD" w:rsidTr="00DC1333">
        <w:trPr>
          <w:cantSplit/>
        </w:trPr>
        <w:tc>
          <w:tcPr>
            <w:tcW w:w="1129" w:type="pct"/>
            <w:shd w:val="clear" w:color="auto" w:fill="auto"/>
          </w:tcPr>
          <w:p w:rsidR="00221F0B" w:rsidRPr="00434FFD" w:rsidRDefault="00221F0B" w:rsidP="00DC1333">
            <w:pPr>
              <w:rPr>
                <w:sz w:val="16"/>
                <w:szCs w:val="16"/>
              </w:rPr>
            </w:pPr>
            <w:r w:rsidRPr="00434FFD">
              <w:rPr>
                <w:sz w:val="16"/>
                <w:szCs w:val="16"/>
              </w:rPr>
              <w:t>Tiempo de tramitación de peticiones relativas a los viajes (autorizaciones electrónicas de viaje (e-TA), peticiones electrónicas de actividades (e-ER), visados)</w:t>
            </w:r>
          </w:p>
        </w:tc>
        <w:tc>
          <w:tcPr>
            <w:tcW w:w="1277" w:type="pct"/>
            <w:gridSpan w:val="2"/>
            <w:shd w:val="clear" w:color="auto" w:fill="auto"/>
          </w:tcPr>
          <w:p w:rsidR="00221F0B" w:rsidRPr="00434FFD" w:rsidRDefault="00221F0B" w:rsidP="00DC1333">
            <w:pPr>
              <w:rPr>
                <w:sz w:val="16"/>
                <w:szCs w:val="16"/>
              </w:rPr>
            </w:pPr>
            <w:r w:rsidRPr="00434FFD">
              <w:rPr>
                <w:sz w:val="16"/>
                <w:szCs w:val="16"/>
              </w:rPr>
              <w:t xml:space="preserve">Tiempo de tramitación de peticiones relativas a los viajes:  </w:t>
            </w:r>
          </w:p>
          <w:p w:rsidR="00221F0B" w:rsidRPr="00434FFD" w:rsidRDefault="00221F0B" w:rsidP="00DC1333">
            <w:pPr>
              <w:rPr>
                <w:sz w:val="16"/>
                <w:szCs w:val="16"/>
              </w:rPr>
            </w:pPr>
            <w:r w:rsidRPr="00434FFD">
              <w:rPr>
                <w:sz w:val="16"/>
                <w:szCs w:val="16"/>
              </w:rPr>
              <w:t>Autorizaciones electrónicas de viaje = un día</w:t>
            </w:r>
          </w:p>
          <w:p w:rsidR="00221F0B" w:rsidRPr="00434FFD" w:rsidRDefault="00221F0B" w:rsidP="00DC1333">
            <w:pPr>
              <w:rPr>
                <w:sz w:val="16"/>
                <w:szCs w:val="16"/>
              </w:rPr>
            </w:pPr>
            <w:r w:rsidRPr="00434FFD">
              <w:rPr>
                <w:sz w:val="16"/>
                <w:szCs w:val="16"/>
              </w:rPr>
              <w:t>Peticiones electrónicas de actividades  =  dos horas</w:t>
            </w:r>
          </w:p>
          <w:p w:rsidR="00221F0B" w:rsidRPr="00434FFD" w:rsidRDefault="00221F0B" w:rsidP="00DC1333">
            <w:pPr>
              <w:rPr>
                <w:i/>
                <w:sz w:val="16"/>
                <w:szCs w:val="16"/>
              </w:rPr>
            </w:pPr>
            <w:r w:rsidRPr="00434FFD">
              <w:rPr>
                <w:sz w:val="16"/>
                <w:szCs w:val="16"/>
              </w:rPr>
              <w:t>Visados de terceros = dos días (referencia de 2013)</w:t>
            </w:r>
          </w:p>
        </w:tc>
        <w:tc>
          <w:tcPr>
            <w:tcW w:w="902" w:type="pct"/>
            <w:gridSpan w:val="3"/>
            <w:shd w:val="clear" w:color="auto" w:fill="auto"/>
            <w:tcMar>
              <w:top w:w="110" w:type="dxa"/>
            </w:tcMar>
          </w:tcPr>
          <w:p w:rsidR="00221F0B" w:rsidRPr="00434FFD" w:rsidRDefault="00221F0B" w:rsidP="00DC1333">
            <w:pPr>
              <w:rPr>
                <w:sz w:val="16"/>
                <w:szCs w:val="16"/>
              </w:rPr>
            </w:pPr>
            <w:r w:rsidRPr="00434FFD">
              <w:rPr>
                <w:sz w:val="16"/>
                <w:szCs w:val="16"/>
              </w:rPr>
              <w:t>Autorizaciones electrónicas de viaje  = medio día</w:t>
            </w:r>
          </w:p>
          <w:p w:rsidR="00221F0B" w:rsidRPr="00434FFD" w:rsidRDefault="00221F0B" w:rsidP="00DC1333">
            <w:pPr>
              <w:rPr>
                <w:sz w:val="16"/>
                <w:szCs w:val="16"/>
              </w:rPr>
            </w:pPr>
            <w:r w:rsidRPr="00434FFD">
              <w:rPr>
                <w:sz w:val="16"/>
                <w:szCs w:val="16"/>
              </w:rPr>
              <w:t>Peticiones electrónicas de actividades = una hora</w:t>
            </w:r>
          </w:p>
          <w:p w:rsidR="00221F0B" w:rsidRPr="00434FFD" w:rsidRDefault="00221F0B" w:rsidP="00DC1333">
            <w:pPr>
              <w:rPr>
                <w:sz w:val="16"/>
                <w:szCs w:val="16"/>
              </w:rPr>
            </w:pPr>
            <w:r w:rsidRPr="00434FFD">
              <w:rPr>
                <w:sz w:val="16"/>
                <w:szCs w:val="16"/>
              </w:rPr>
              <w:t>Visados = dos días.</w:t>
            </w:r>
          </w:p>
        </w:tc>
        <w:tc>
          <w:tcPr>
            <w:tcW w:w="1053" w:type="pct"/>
            <w:gridSpan w:val="4"/>
            <w:shd w:val="clear" w:color="auto" w:fill="FFFFFF"/>
            <w:tcMar>
              <w:top w:w="110" w:type="dxa"/>
            </w:tcMar>
          </w:tcPr>
          <w:p w:rsidR="00221F0B" w:rsidRPr="00434FFD" w:rsidRDefault="00221F0B" w:rsidP="00DC1333">
            <w:pPr>
              <w:rPr>
                <w:sz w:val="16"/>
                <w:szCs w:val="16"/>
                <w:lang w:bidi="th-TH"/>
              </w:rPr>
            </w:pPr>
            <w:r w:rsidRPr="00434FFD">
              <w:rPr>
                <w:sz w:val="16"/>
                <w:szCs w:val="16"/>
              </w:rPr>
              <w:t xml:space="preserve">Autorizaciones electrónicas de viaje </w:t>
            </w:r>
            <w:r w:rsidRPr="00434FFD">
              <w:rPr>
                <w:sz w:val="16"/>
                <w:szCs w:val="16"/>
                <w:lang w:bidi="th-TH"/>
              </w:rPr>
              <w:t>= medio día</w:t>
            </w:r>
          </w:p>
          <w:p w:rsidR="00221F0B" w:rsidRPr="00434FFD" w:rsidRDefault="00221F0B" w:rsidP="00DC1333">
            <w:pPr>
              <w:rPr>
                <w:sz w:val="16"/>
                <w:szCs w:val="16"/>
                <w:lang w:bidi="th-TH"/>
              </w:rPr>
            </w:pPr>
            <w:r w:rsidRPr="00434FFD">
              <w:rPr>
                <w:sz w:val="16"/>
                <w:szCs w:val="16"/>
                <w:lang w:bidi="th-TH"/>
              </w:rPr>
              <w:t>Peticiones electrónicas de actividades = &lt; una hora</w:t>
            </w:r>
          </w:p>
          <w:p w:rsidR="00221F0B" w:rsidRPr="00434FFD" w:rsidRDefault="00221F0B" w:rsidP="00DC1333">
            <w:pPr>
              <w:rPr>
                <w:sz w:val="16"/>
                <w:szCs w:val="16"/>
                <w:lang w:bidi="th-TH"/>
              </w:rPr>
            </w:pPr>
            <w:r w:rsidRPr="00434FFD">
              <w:rPr>
                <w:sz w:val="16"/>
                <w:szCs w:val="16"/>
                <w:lang w:bidi="th-TH"/>
              </w:rPr>
              <w:t>Visados &lt; un día</w:t>
            </w:r>
          </w:p>
        </w:tc>
        <w:tc>
          <w:tcPr>
            <w:tcW w:w="639" w:type="pct"/>
            <w:gridSpan w:val="2"/>
            <w:shd w:val="clear" w:color="auto" w:fill="auto"/>
            <w:tcMar>
              <w:top w:w="110" w:type="dxa"/>
            </w:tcMar>
          </w:tcPr>
          <w:p w:rsidR="00221F0B" w:rsidRPr="00434FFD" w:rsidRDefault="00221F0B" w:rsidP="00DC1333">
            <w:pPr>
              <w:keepNext/>
              <w:keepLines/>
              <w:ind w:left="-109"/>
              <w:jc w:val="center"/>
              <w:rPr>
                <w:bCs/>
                <w:color w:val="00B050"/>
                <w:sz w:val="16"/>
                <w:szCs w:val="16"/>
              </w:rPr>
            </w:pPr>
            <w:r w:rsidRPr="00434FFD">
              <w:rPr>
                <w:b/>
                <w:color w:val="00B050"/>
                <w:sz w:val="16"/>
                <w:szCs w:val="16"/>
              </w:rPr>
              <w:t>Plenamente logrado</w:t>
            </w:r>
          </w:p>
        </w:tc>
      </w:tr>
      <w:tr w:rsidR="00221F0B" w:rsidRPr="00434FFD" w:rsidTr="00DC1333">
        <w:trPr>
          <w:cantSplit/>
        </w:trPr>
        <w:tc>
          <w:tcPr>
            <w:tcW w:w="1129" w:type="pct"/>
            <w:shd w:val="clear" w:color="auto" w:fill="auto"/>
          </w:tcPr>
          <w:p w:rsidR="00221F0B" w:rsidRPr="00434FFD" w:rsidRDefault="00221F0B" w:rsidP="00DC1333">
            <w:pPr>
              <w:rPr>
                <w:sz w:val="16"/>
                <w:szCs w:val="16"/>
              </w:rPr>
            </w:pPr>
            <w:r w:rsidRPr="00434FFD">
              <w:rPr>
                <w:sz w:val="16"/>
                <w:szCs w:val="16"/>
              </w:rPr>
              <w:lastRenderedPageBreak/>
              <w:t>Costo medio de los billetes (billetes de la empresa de gestión de viajes y del PNUD)</w:t>
            </w:r>
          </w:p>
        </w:tc>
        <w:tc>
          <w:tcPr>
            <w:tcW w:w="1277" w:type="pct"/>
            <w:gridSpan w:val="2"/>
            <w:shd w:val="clear" w:color="auto" w:fill="auto"/>
          </w:tcPr>
          <w:p w:rsidR="00221F0B" w:rsidRPr="00434FFD" w:rsidRDefault="00221F0B" w:rsidP="00DC1333">
            <w:pPr>
              <w:rPr>
                <w:color w:val="002060"/>
                <w:sz w:val="16"/>
                <w:szCs w:val="16"/>
              </w:rPr>
            </w:pPr>
            <w:r w:rsidRPr="00434FFD">
              <w:rPr>
                <w:i/>
                <w:color w:val="002060"/>
                <w:sz w:val="16"/>
                <w:szCs w:val="16"/>
              </w:rPr>
              <w:t xml:space="preserve">Referencia actualizada a fines de 2013:  </w:t>
            </w:r>
            <w:r w:rsidRPr="00434FFD">
              <w:rPr>
                <w:color w:val="002060"/>
                <w:sz w:val="16"/>
                <w:szCs w:val="16"/>
              </w:rPr>
              <w:t>2013=1.728 francos suizos</w:t>
            </w:r>
          </w:p>
          <w:p w:rsidR="00221F0B" w:rsidRPr="00434FFD" w:rsidRDefault="00221F0B" w:rsidP="00DC1333">
            <w:pPr>
              <w:rPr>
                <w:rFonts w:cstheme="minorBidi"/>
                <w:color w:val="002060"/>
                <w:sz w:val="16"/>
                <w:szCs w:val="16"/>
              </w:rPr>
            </w:pPr>
          </w:p>
          <w:p w:rsidR="00221F0B" w:rsidRPr="00434FFD" w:rsidRDefault="00221F0B" w:rsidP="00DC1333">
            <w:pPr>
              <w:rPr>
                <w:szCs w:val="22"/>
              </w:rPr>
            </w:pPr>
            <w:r w:rsidRPr="00434FFD">
              <w:rPr>
                <w:i/>
                <w:sz w:val="16"/>
                <w:szCs w:val="16"/>
              </w:rPr>
              <w:t>Referencia original en el presupuesto de 2014/15:</w:t>
            </w:r>
            <w:r w:rsidRPr="00434FFD">
              <w:t xml:space="preserve">  </w:t>
            </w:r>
            <w:r w:rsidRPr="00434FFD">
              <w:rPr>
                <w:sz w:val="16"/>
                <w:szCs w:val="16"/>
              </w:rPr>
              <w:t>costo (referencia de 2013)</w:t>
            </w:r>
          </w:p>
        </w:tc>
        <w:tc>
          <w:tcPr>
            <w:tcW w:w="902" w:type="pct"/>
            <w:gridSpan w:val="3"/>
            <w:shd w:val="clear" w:color="auto" w:fill="auto"/>
            <w:tcMar>
              <w:top w:w="110" w:type="dxa"/>
            </w:tcMar>
          </w:tcPr>
          <w:p w:rsidR="00221F0B" w:rsidRPr="00434FFD" w:rsidRDefault="00221F0B" w:rsidP="00DC1333">
            <w:pPr>
              <w:rPr>
                <w:sz w:val="16"/>
                <w:szCs w:val="16"/>
              </w:rPr>
            </w:pPr>
            <w:r w:rsidRPr="00434FFD">
              <w:rPr>
                <w:sz w:val="16"/>
                <w:szCs w:val="16"/>
              </w:rPr>
              <w:t>Reducción del costo medio de los billetes</w:t>
            </w:r>
          </w:p>
        </w:tc>
        <w:tc>
          <w:tcPr>
            <w:tcW w:w="1053" w:type="pct"/>
            <w:gridSpan w:val="4"/>
            <w:shd w:val="clear" w:color="auto" w:fill="FFFFFF"/>
            <w:tcMar>
              <w:top w:w="110" w:type="dxa"/>
            </w:tcMar>
          </w:tcPr>
          <w:p w:rsidR="00221F0B" w:rsidRPr="00434FFD" w:rsidRDefault="00221F0B" w:rsidP="00DC1333">
            <w:pPr>
              <w:rPr>
                <w:sz w:val="16"/>
                <w:szCs w:val="16"/>
                <w:lang w:bidi="th-TH"/>
              </w:rPr>
            </w:pPr>
            <w:r w:rsidRPr="00434FFD">
              <w:rPr>
                <w:sz w:val="16"/>
                <w:szCs w:val="16"/>
                <w:lang w:bidi="th-TH"/>
              </w:rPr>
              <w:t>1.598 francos suizos (2014)</w:t>
            </w:r>
          </w:p>
          <w:p w:rsidR="00221F0B" w:rsidRPr="00434FFD" w:rsidRDefault="00221F0B" w:rsidP="00DC1333">
            <w:pPr>
              <w:rPr>
                <w:sz w:val="16"/>
                <w:szCs w:val="16"/>
                <w:lang w:bidi="th-TH"/>
              </w:rPr>
            </w:pPr>
            <w:r w:rsidRPr="00434FFD">
              <w:rPr>
                <w:sz w:val="16"/>
                <w:szCs w:val="16"/>
                <w:lang w:bidi="th-TH"/>
              </w:rPr>
              <w:t>1.481 francos suizos (2015)</w:t>
            </w:r>
          </w:p>
        </w:tc>
        <w:tc>
          <w:tcPr>
            <w:tcW w:w="639" w:type="pct"/>
            <w:gridSpan w:val="2"/>
            <w:shd w:val="clear" w:color="auto" w:fill="auto"/>
            <w:tcMar>
              <w:top w:w="110" w:type="dxa"/>
            </w:tcMar>
          </w:tcPr>
          <w:p w:rsidR="00221F0B" w:rsidRPr="00434FFD" w:rsidRDefault="00221F0B" w:rsidP="00DC1333">
            <w:pPr>
              <w:keepNext/>
              <w:keepLines/>
              <w:ind w:left="-109"/>
              <w:jc w:val="center"/>
              <w:rPr>
                <w:bCs/>
                <w:color w:val="00B050"/>
                <w:sz w:val="16"/>
                <w:szCs w:val="16"/>
              </w:rPr>
            </w:pPr>
            <w:r w:rsidRPr="00434FFD">
              <w:rPr>
                <w:b/>
                <w:color w:val="00B050"/>
                <w:sz w:val="16"/>
                <w:szCs w:val="16"/>
              </w:rPr>
              <w:t>Plenamente logrado</w:t>
            </w:r>
          </w:p>
        </w:tc>
      </w:tr>
      <w:tr w:rsidR="00221F0B" w:rsidRPr="00434FFD" w:rsidTr="00DC1333">
        <w:trPr>
          <w:cantSplit/>
        </w:trPr>
        <w:tc>
          <w:tcPr>
            <w:tcW w:w="1129" w:type="pct"/>
            <w:shd w:val="clear" w:color="auto" w:fill="auto"/>
          </w:tcPr>
          <w:p w:rsidR="00221F0B" w:rsidRPr="00434FFD" w:rsidRDefault="00221F0B" w:rsidP="00DC1333">
            <w:pPr>
              <w:rPr>
                <w:sz w:val="16"/>
                <w:szCs w:val="16"/>
              </w:rPr>
            </w:pPr>
            <w:r w:rsidRPr="00434FFD">
              <w:rPr>
                <w:sz w:val="16"/>
                <w:szCs w:val="16"/>
              </w:rPr>
              <w:t>Se administran eficazmente todos los tipos de espacio del recinto de la OMPI (espacios de  trabajo, almacenamiento y archivo)</w:t>
            </w:r>
          </w:p>
        </w:tc>
        <w:tc>
          <w:tcPr>
            <w:tcW w:w="1277" w:type="pct"/>
            <w:gridSpan w:val="2"/>
            <w:shd w:val="clear" w:color="auto" w:fill="auto"/>
          </w:tcPr>
          <w:p w:rsidR="00221F0B" w:rsidRPr="00434FFD" w:rsidRDefault="00221F0B" w:rsidP="00DC1333">
            <w:pPr>
              <w:rPr>
                <w:i/>
                <w:color w:val="002060"/>
                <w:sz w:val="16"/>
                <w:szCs w:val="16"/>
              </w:rPr>
            </w:pPr>
            <w:r w:rsidRPr="00434FFD">
              <w:rPr>
                <w:i/>
                <w:color w:val="002060"/>
                <w:sz w:val="16"/>
                <w:szCs w:val="16"/>
              </w:rPr>
              <w:t>Referencia actualizada a fines de 2013</w:t>
            </w:r>
            <w:proofErr w:type="gramStart"/>
            <w:r w:rsidRPr="00434FFD">
              <w:rPr>
                <w:i/>
                <w:color w:val="002060"/>
                <w:sz w:val="16"/>
                <w:szCs w:val="16"/>
              </w:rPr>
              <w:t xml:space="preserve">:  </w:t>
            </w:r>
            <w:r w:rsidRPr="00434FFD">
              <w:rPr>
                <w:color w:val="002060"/>
                <w:sz w:val="16"/>
                <w:szCs w:val="16"/>
              </w:rPr>
              <w:t>80</w:t>
            </w:r>
            <w:proofErr w:type="gramEnd"/>
            <w:r w:rsidRPr="00434FFD">
              <w:rPr>
                <w:color w:val="002060"/>
                <w:sz w:val="16"/>
                <w:szCs w:val="16"/>
              </w:rPr>
              <w:t xml:space="preserve"> espacios de trabajo (No fue necesario alquilar espacio de oficinas adicional durante el bienio.)</w:t>
            </w:r>
          </w:p>
          <w:p w:rsidR="00221F0B" w:rsidRPr="00434FFD" w:rsidRDefault="00221F0B" w:rsidP="00DC1333">
            <w:pPr>
              <w:rPr>
                <w:rFonts w:cstheme="minorBidi"/>
                <w:color w:val="002060"/>
                <w:sz w:val="16"/>
                <w:szCs w:val="16"/>
              </w:rPr>
            </w:pPr>
          </w:p>
          <w:p w:rsidR="00221F0B" w:rsidRDefault="00221F0B" w:rsidP="00DC1333">
            <w:pPr>
              <w:rPr>
                <w:sz w:val="16"/>
                <w:szCs w:val="16"/>
              </w:rPr>
            </w:pPr>
            <w:r w:rsidRPr="00434FFD">
              <w:rPr>
                <w:i/>
                <w:sz w:val="16"/>
                <w:szCs w:val="16"/>
              </w:rPr>
              <w:t>Referencia original en el presupuesto de 2014/15:</w:t>
            </w:r>
            <w:r w:rsidRPr="00434FFD">
              <w:t xml:space="preserve">  </w:t>
            </w:r>
            <w:r w:rsidRPr="00434FFD">
              <w:rPr>
                <w:sz w:val="16"/>
                <w:szCs w:val="16"/>
              </w:rPr>
              <w:t>Mantenimiento del número de espacios de trabajo en todos los edificios para dar cabida a la ampliación de los servicios y a los cambios en las actividades de la OMPI (número de empleados a fines de 2013); máximo de 80 espacios de trabajo alquilados (a fines de 2013);  6 áreas de almacenamiento/archivo fuera del recinto (a fines de 2013)</w:t>
            </w:r>
          </w:p>
          <w:p w:rsidR="00221F0B" w:rsidRPr="00434FFD" w:rsidRDefault="00221F0B" w:rsidP="00DC1333">
            <w:pPr>
              <w:rPr>
                <w:i/>
                <w:sz w:val="16"/>
                <w:szCs w:val="16"/>
              </w:rPr>
            </w:pPr>
          </w:p>
        </w:tc>
        <w:tc>
          <w:tcPr>
            <w:tcW w:w="902" w:type="pct"/>
            <w:gridSpan w:val="3"/>
            <w:shd w:val="clear" w:color="auto" w:fill="auto"/>
            <w:tcMar>
              <w:top w:w="110" w:type="dxa"/>
            </w:tcMar>
          </w:tcPr>
          <w:p w:rsidR="00221F0B" w:rsidRPr="00434FFD" w:rsidRDefault="00221F0B" w:rsidP="00DC1333">
            <w:pPr>
              <w:rPr>
                <w:sz w:val="16"/>
                <w:szCs w:val="16"/>
              </w:rPr>
            </w:pPr>
            <w:r w:rsidRPr="00434FFD">
              <w:rPr>
                <w:sz w:val="16"/>
                <w:szCs w:val="16"/>
              </w:rPr>
              <w:t>Máximo de 80 espacios de trabajo alquilados (de un total de 1.582 espacios de trabajo)</w:t>
            </w:r>
            <w:r>
              <w:rPr>
                <w:sz w:val="16"/>
                <w:szCs w:val="16"/>
              </w:rPr>
              <w:t xml:space="preserve">:  </w:t>
            </w:r>
            <w:r w:rsidRPr="00434FFD">
              <w:rPr>
                <w:sz w:val="16"/>
                <w:szCs w:val="16"/>
              </w:rPr>
              <w:t>6 áreas de almacenamiento y archivo</w:t>
            </w:r>
          </w:p>
        </w:tc>
        <w:tc>
          <w:tcPr>
            <w:tcW w:w="1053" w:type="pct"/>
            <w:gridSpan w:val="4"/>
            <w:shd w:val="clear" w:color="auto" w:fill="FFFFFF"/>
            <w:tcMar>
              <w:top w:w="110" w:type="dxa"/>
            </w:tcMar>
          </w:tcPr>
          <w:p w:rsidR="00221F0B" w:rsidRPr="00434FFD" w:rsidRDefault="00221F0B" w:rsidP="00DC1333">
            <w:pPr>
              <w:rPr>
                <w:sz w:val="16"/>
                <w:szCs w:val="16"/>
              </w:rPr>
            </w:pPr>
            <w:r w:rsidRPr="00434FFD">
              <w:rPr>
                <w:sz w:val="16"/>
                <w:szCs w:val="16"/>
              </w:rPr>
              <w:t>80 espacios de trabajo alquilados (de un total de 1.645 espacios de trabajo);  4 áreas de almacenamiento /archivo debido a la rescisión del contrato de alquiler de dos áreas de almacenamiento fuera del recinto.  Rescisión del contrato de alquiler de espacio separado en un almacén de depósito y rescisión del contrato de alquiler de 57 plazas de estacionamiento fuera del recinto.</w:t>
            </w:r>
          </w:p>
        </w:tc>
        <w:tc>
          <w:tcPr>
            <w:tcW w:w="639" w:type="pct"/>
            <w:gridSpan w:val="2"/>
            <w:shd w:val="clear" w:color="auto" w:fill="auto"/>
            <w:tcMar>
              <w:top w:w="110" w:type="dxa"/>
            </w:tcMar>
          </w:tcPr>
          <w:p w:rsidR="00221F0B" w:rsidRPr="00434FFD" w:rsidRDefault="00221F0B" w:rsidP="00DC1333">
            <w:pPr>
              <w:keepNext/>
              <w:keepLines/>
              <w:ind w:left="-109"/>
              <w:jc w:val="center"/>
              <w:rPr>
                <w:bCs/>
                <w:color w:val="00B050"/>
                <w:sz w:val="16"/>
                <w:szCs w:val="16"/>
              </w:rPr>
            </w:pPr>
            <w:r w:rsidRPr="00434FFD">
              <w:rPr>
                <w:b/>
                <w:color w:val="00B050"/>
                <w:sz w:val="16"/>
                <w:szCs w:val="16"/>
              </w:rPr>
              <w:t>Plenamente logrado</w:t>
            </w:r>
          </w:p>
        </w:tc>
      </w:tr>
      <w:tr w:rsidR="00221F0B" w:rsidRPr="00434FFD" w:rsidTr="00DC1333">
        <w:trPr>
          <w:cantSplit/>
        </w:trPr>
        <w:tc>
          <w:tcPr>
            <w:tcW w:w="1129" w:type="pct"/>
            <w:shd w:val="clear" w:color="auto" w:fill="auto"/>
          </w:tcPr>
          <w:p w:rsidR="00221F0B" w:rsidRPr="00434FFD" w:rsidRDefault="00221F0B" w:rsidP="00DC1333">
            <w:pPr>
              <w:rPr>
                <w:sz w:val="16"/>
                <w:szCs w:val="16"/>
              </w:rPr>
            </w:pPr>
            <w:r w:rsidRPr="00434FFD">
              <w:rPr>
                <w:sz w:val="16"/>
                <w:szCs w:val="16"/>
              </w:rPr>
              <w:t>Se renuevan, modernizan y transforman los edificios del recinto de la OMPI para que sigan sirviendo a los fines establecidos</w:t>
            </w:r>
          </w:p>
        </w:tc>
        <w:tc>
          <w:tcPr>
            <w:tcW w:w="1277" w:type="pct"/>
            <w:gridSpan w:val="2"/>
            <w:shd w:val="clear" w:color="auto" w:fill="auto"/>
          </w:tcPr>
          <w:p w:rsidR="00221F0B" w:rsidRPr="00434FFD" w:rsidRDefault="00221F0B" w:rsidP="00DC1333">
            <w:pPr>
              <w:rPr>
                <w:color w:val="002060"/>
                <w:sz w:val="16"/>
                <w:szCs w:val="16"/>
              </w:rPr>
            </w:pPr>
            <w:r w:rsidRPr="00434FFD">
              <w:rPr>
                <w:i/>
                <w:color w:val="002060"/>
                <w:sz w:val="16"/>
                <w:szCs w:val="16"/>
              </w:rPr>
              <w:t xml:space="preserve">Referencia actualizada a fines de 2013: </w:t>
            </w:r>
            <w:r w:rsidRPr="00434FFD">
              <w:t xml:space="preserve"> </w:t>
            </w:r>
            <w:r w:rsidRPr="00434FFD">
              <w:rPr>
                <w:color w:val="002060"/>
                <w:sz w:val="16"/>
                <w:szCs w:val="16"/>
              </w:rPr>
              <w:t>Las instalaciones de refrigeración de los edificios GBI y GB II que utilizan agua del lago de Ginebra fueron modernizadas y quedaron completadas, respectivamente, en 2012 y en junio de 2013</w:t>
            </w:r>
          </w:p>
          <w:p w:rsidR="00221F0B" w:rsidRPr="00434FFD" w:rsidRDefault="00221F0B" w:rsidP="00DC1333">
            <w:pPr>
              <w:rPr>
                <w:color w:val="002060"/>
                <w:sz w:val="16"/>
                <w:szCs w:val="16"/>
              </w:rPr>
            </w:pPr>
          </w:p>
          <w:p w:rsidR="00221F0B" w:rsidRPr="00434FFD" w:rsidRDefault="00221F0B" w:rsidP="00DC1333">
            <w:pPr>
              <w:rPr>
                <w:rFonts w:cstheme="minorBidi"/>
                <w:color w:val="002060"/>
                <w:sz w:val="16"/>
                <w:szCs w:val="16"/>
              </w:rPr>
            </w:pPr>
            <w:r w:rsidRPr="00434FFD">
              <w:rPr>
                <w:color w:val="002060"/>
                <w:sz w:val="16"/>
                <w:szCs w:val="16"/>
              </w:rPr>
              <w:t>Se inició en 2012 la modernización de las instalaciones eléctricas del edificio más antiguo (GBI) con objeto de cumplir la legislación local que había sido promulgada recientemente, con el beneficio añadido de establecer un marco técnico para la reducción del consumo de electricidad.  Quedó finalizada en 2013</w:t>
            </w:r>
          </w:p>
          <w:p w:rsidR="00221F0B" w:rsidRPr="00434FFD" w:rsidRDefault="00221F0B" w:rsidP="00DC1333">
            <w:pPr>
              <w:rPr>
                <w:rFonts w:cstheme="minorBidi"/>
                <w:color w:val="002060"/>
                <w:sz w:val="16"/>
                <w:szCs w:val="16"/>
              </w:rPr>
            </w:pPr>
          </w:p>
          <w:p w:rsidR="00221F0B" w:rsidRPr="00434FFD" w:rsidRDefault="00221F0B" w:rsidP="00DC1333">
            <w:pPr>
              <w:rPr>
                <w:szCs w:val="22"/>
              </w:rPr>
            </w:pPr>
            <w:r w:rsidRPr="00434FFD">
              <w:rPr>
                <w:i/>
                <w:sz w:val="16"/>
                <w:szCs w:val="16"/>
              </w:rPr>
              <w:t xml:space="preserve">Referencia original en el presupuesto de 2014/15:  </w:t>
            </w:r>
            <w:r w:rsidRPr="00434FFD">
              <w:rPr>
                <w:sz w:val="16"/>
                <w:szCs w:val="16"/>
              </w:rPr>
              <w:t>plan sexenal para la primera fase de ejecución de la renovación, transformación y modernización de gran alcance de los locales del recinto de la OMPI que son necesarias</w:t>
            </w:r>
          </w:p>
        </w:tc>
        <w:tc>
          <w:tcPr>
            <w:tcW w:w="902" w:type="pct"/>
            <w:gridSpan w:val="3"/>
            <w:shd w:val="clear" w:color="auto" w:fill="auto"/>
            <w:tcMar>
              <w:top w:w="110" w:type="dxa"/>
            </w:tcMar>
          </w:tcPr>
          <w:p w:rsidR="00221F0B" w:rsidRPr="00434FFD" w:rsidRDefault="00221F0B" w:rsidP="00DC1333">
            <w:pPr>
              <w:rPr>
                <w:sz w:val="16"/>
                <w:szCs w:val="16"/>
              </w:rPr>
            </w:pPr>
            <w:r w:rsidRPr="00434FFD">
              <w:rPr>
                <w:sz w:val="16"/>
                <w:szCs w:val="16"/>
              </w:rPr>
              <w:t>Ejecución de proyectos de renovación, transformación y modernización de gran alcance con arreglo al plan sexenal</w:t>
            </w:r>
          </w:p>
        </w:tc>
        <w:tc>
          <w:tcPr>
            <w:tcW w:w="1053" w:type="pct"/>
            <w:gridSpan w:val="4"/>
            <w:shd w:val="clear" w:color="auto" w:fill="FFFFFF"/>
            <w:tcMar>
              <w:top w:w="110" w:type="dxa"/>
            </w:tcMar>
          </w:tcPr>
          <w:p w:rsidR="00221F0B" w:rsidRPr="00434FFD" w:rsidRDefault="00221F0B" w:rsidP="00DC1333">
            <w:pPr>
              <w:ind w:right="-69"/>
              <w:rPr>
                <w:sz w:val="16"/>
                <w:szCs w:val="16"/>
              </w:rPr>
            </w:pPr>
            <w:r w:rsidRPr="00434FFD">
              <w:rPr>
                <w:sz w:val="16"/>
                <w:szCs w:val="16"/>
              </w:rPr>
              <w:t>Véase el Apéndice III:  Informe sobre la marcha del plan maestro de mejoras de infraestructura en 2014</w:t>
            </w:r>
            <w:r w:rsidRPr="00434FFD">
              <w:rPr>
                <w:rStyle w:val="FootnoteReference"/>
                <w:sz w:val="16"/>
                <w:szCs w:val="16"/>
              </w:rPr>
              <w:footnoteReference w:id="138"/>
            </w:r>
            <w:r w:rsidRPr="00434FFD">
              <w:rPr>
                <w:sz w:val="16"/>
                <w:szCs w:val="16"/>
              </w:rPr>
              <w:t xml:space="preserve"> y 2015</w:t>
            </w:r>
          </w:p>
          <w:p w:rsidR="00221F0B" w:rsidRPr="00434FFD" w:rsidRDefault="00221F0B" w:rsidP="00DC1333">
            <w:pPr>
              <w:rPr>
                <w:sz w:val="16"/>
                <w:szCs w:val="16"/>
              </w:rPr>
            </w:pPr>
          </w:p>
          <w:p w:rsidR="00221F0B" w:rsidRPr="00434FFD" w:rsidRDefault="00221F0B" w:rsidP="00DC1333">
            <w:pPr>
              <w:rPr>
                <w:sz w:val="16"/>
                <w:szCs w:val="16"/>
              </w:rPr>
            </w:pPr>
            <w:r w:rsidRPr="00434FFD">
              <w:rPr>
                <w:sz w:val="16"/>
                <w:szCs w:val="16"/>
              </w:rPr>
              <w:t>Además del plan maestro de mejoras de infraestructura, en 2014 se ejecutaron los siguientes proyectos de modernización y transformación:  i) la principal obra gruesa del estudio multimedia;  ii) la modernización de las instalaciones técnicas y sistemas de gestión técnica (electricidad; sistema de distribución del agua; aumento  de la capacidad de refrigeración en el centro de datos del nuevo edificio; sustitución de la torre de enfriamiento para evitar despilfarros de refrigeración; modernización del pararrayos de los edificios PCT y GBII);  iii) modernización del sistema de ventilación del edificio AB (pisos11 y 13);  y iv) modernización de las alarmas técnicas en el nuevo edificio.</w:t>
            </w:r>
          </w:p>
          <w:p w:rsidR="00221F0B" w:rsidRPr="00434FFD" w:rsidRDefault="00221F0B" w:rsidP="00DC1333">
            <w:pPr>
              <w:rPr>
                <w:sz w:val="16"/>
                <w:szCs w:val="16"/>
              </w:rPr>
            </w:pPr>
          </w:p>
        </w:tc>
        <w:tc>
          <w:tcPr>
            <w:tcW w:w="639" w:type="pct"/>
            <w:gridSpan w:val="2"/>
            <w:shd w:val="clear" w:color="auto" w:fill="auto"/>
            <w:tcMar>
              <w:top w:w="110" w:type="dxa"/>
            </w:tcMar>
          </w:tcPr>
          <w:p w:rsidR="00221F0B" w:rsidRPr="00434FFD" w:rsidRDefault="00221F0B" w:rsidP="00DC1333">
            <w:pPr>
              <w:keepNext/>
              <w:keepLines/>
              <w:ind w:left="-109"/>
              <w:jc w:val="center"/>
              <w:rPr>
                <w:b/>
                <w:color w:val="00B050"/>
                <w:sz w:val="16"/>
                <w:szCs w:val="16"/>
              </w:rPr>
            </w:pPr>
            <w:r w:rsidRPr="00434FFD">
              <w:rPr>
                <w:b/>
                <w:color w:val="00B050"/>
                <w:sz w:val="16"/>
                <w:szCs w:val="16"/>
              </w:rPr>
              <w:t>Plenamente logrado</w:t>
            </w:r>
          </w:p>
        </w:tc>
      </w:tr>
      <w:tr w:rsidR="00221F0B" w:rsidRPr="00434FFD" w:rsidTr="00DC1333">
        <w:trPr>
          <w:cantSplit/>
          <w:trHeight w:val="4986"/>
        </w:trPr>
        <w:tc>
          <w:tcPr>
            <w:tcW w:w="1129" w:type="pct"/>
            <w:shd w:val="clear" w:color="auto" w:fill="auto"/>
          </w:tcPr>
          <w:p w:rsidR="00221F0B" w:rsidRPr="00434FFD" w:rsidRDefault="00221F0B" w:rsidP="00DC1333">
            <w:pPr>
              <w:rPr>
                <w:sz w:val="16"/>
                <w:szCs w:val="16"/>
              </w:rPr>
            </w:pPr>
          </w:p>
        </w:tc>
        <w:tc>
          <w:tcPr>
            <w:tcW w:w="1277" w:type="pct"/>
            <w:gridSpan w:val="2"/>
            <w:shd w:val="clear" w:color="auto" w:fill="auto"/>
          </w:tcPr>
          <w:p w:rsidR="00221F0B" w:rsidRPr="00434FFD" w:rsidRDefault="00221F0B" w:rsidP="00DC1333">
            <w:pPr>
              <w:rPr>
                <w:szCs w:val="22"/>
              </w:rPr>
            </w:pPr>
          </w:p>
        </w:tc>
        <w:tc>
          <w:tcPr>
            <w:tcW w:w="902" w:type="pct"/>
            <w:gridSpan w:val="3"/>
            <w:shd w:val="clear" w:color="auto" w:fill="auto"/>
            <w:tcMar>
              <w:top w:w="110" w:type="dxa"/>
            </w:tcMar>
          </w:tcPr>
          <w:p w:rsidR="00221F0B" w:rsidRPr="00434FFD" w:rsidRDefault="00221F0B" w:rsidP="00DC1333">
            <w:pPr>
              <w:rPr>
                <w:sz w:val="16"/>
                <w:szCs w:val="16"/>
              </w:rPr>
            </w:pPr>
          </w:p>
        </w:tc>
        <w:tc>
          <w:tcPr>
            <w:tcW w:w="1053" w:type="pct"/>
            <w:gridSpan w:val="4"/>
            <w:shd w:val="clear" w:color="auto" w:fill="FFFFFF"/>
            <w:tcMar>
              <w:top w:w="110" w:type="dxa"/>
            </w:tcMar>
          </w:tcPr>
          <w:p w:rsidR="00221F0B" w:rsidRPr="00434FFD" w:rsidRDefault="00221F0B" w:rsidP="00DC1333">
            <w:pPr>
              <w:rPr>
                <w:sz w:val="16"/>
                <w:szCs w:val="16"/>
              </w:rPr>
            </w:pPr>
            <w:r w:rsidRPr="00434FFD">
              <w:rPr>
                <w:sz w:val="16"/>
                <w:szCs w:val="16"/>
              </w:rPr>
              <w:t xml:space="preserve">En 2014/15 se ejecutaron los siguientes proyectos de modernización y transformación:  </w:t>
            </w:r>
            <w:r>
              <w:rPr>
                <w:sz w:val="16"/>
                <w:szCs w:val="16"/>
              </w:rPr>
              <w:t xml:space="preserve">i) </w:t>
            </w:r>
            <w:r w:rsidRPr="00434FFD">
              <w:rPr>
                <w:sz w:val="16"/>
                <w:szCs w:val="16"/>
              </w:rPr>
              <w:t xml:space="preserve">modernización de las instalaciones eléctricas sustituyendo las lámparas en varias plantas y en los niveles subterráneos del edificio AB;  </w:t>
            </w:r>
            <w:r>
              <w:rPr>
                <w:sz w:val="16"/>
                <w:szCs w:val="16"/>
              </w:rPr>
              <w:t>i</w:t>
            </w:r>
            <w:r w:rsidRPr="00434FFD">
              <w:rPr>
                <w:sz w:val="16"/>
                <w:szCs w:val="16"/>
              </w:rPr>
              <w:t>i) creación de nuevas puertas de servicio para facilitar el acceso de los vehículos a la planta baja del nuevo edificio;  iii) modernización de los sistemas de ventilación y refrigeración del edificio AB y el edificio del PCT;  iv) renovación de una serie de tuberías usadas en el edificio AB;  sustitución de lavaplatos industrial en la cafetería del edificio del PCT.</w:t>
            </w:r>
          </w:p>
        </w:tc>
        <w:tc>
          <w:tcPr>
            <w:tcW w:w="639" w:type="pct"/>
            <w:gridSpan w:val="2"/>
            <w:shd w:val="clear" w:color="auto" w:fill="auto"/>
            <w:tcMar>
              <w:top w:w="110" w:type="dxa"/>
            </w:tcMar>
          </w:tcPr>
          <w:p w:rsidR="00221F0B" w:rsidRPr="00434FFD" w:rsidRDefault="00221F0B" w:rsidP="00DC1333">
            <w:pPr>
              <w:keepNext/>
              <w:keepLines/>
              <w:ind w:left="99"/>
              <w:jc w:val="center"/>
              <w:rPr>
                <w:bCs/>
                <w:color w:val="00B050"/>
                <w:sz w:val="16"/>
                <w:szCs w:val="16"/>
              </w:rPr>
            </w:pPr>
          </w:p>
        </w:tc>
      </w:tr>
      <w:tr w:rsidR="00221F0B" w:rsidRPr="00434FFD" w:rsidTr="00DC1333">
        <w:trPr>
          <w:cantSplit/>
        </w:trPr>
        <w:tc>
          <w:tcPr>
            <w:tcW w:w="1129" w:type="pct"/>
            <w:tcBorders>
              <w:bottom w:val="single" w:sz="4" w:space="0" w:color="auto"/>
            </w:tcBorders>
            <w:shd w:val="clear" w:color="auto" w:fill="auto"/>
          </w:tcPr>
          <w:p w:rsidR="00221F0B" w:rsidRPr="00434FFD" w:rsidRDefault="00221F0B" w:rsidP="00DC1333">
            <w:pPr>
              <w:rPr>
                <w:sz w:val="16"/>
                <w:szCs w:val="16"/>
              </w:rPr>
            </w:pPr>
            <w:r w:rsidRPr="00434FFD">
              <w:rPr>
                <w:sz w:val="16"/>
                <w:szCs w:val="16"/>
              </w:rPr>
              <w:t>Todos los tipos de instalaciones técnicas esenciales cumplen las normas técnicas aplicables</w:t>
            </w:r>
          </w:p>
        </w:tc>
        <w:tc>
          <w:tcPr>
            <w:tcW w:w="1277" w:type="pct"/>
            <w:gridSpan w:val="2"/>
            <w:tcBorders>
              <w:bottom w:val="single" w:sz="4" w:space="0" w:color="auto"/>
            </w:tcBorders>
            <w:shd w:val="clear" w:color="auto" w:fill="auto"/>
          </w:tcPr>
          <w:p w:rsidR="00221F0B" w:rsidRPr="00434FFD" w:rsidRDefault="00221F0B" w:rsidP="00DC1333">
            <w:pPr>
              <w:rPr>
                <w:sz w:val="16"/>
                <w:szCs w:val="16"/>
              </w:rPr>
            </w:pPr>
            <w:r w:rsidRPr="00434FFD">
              <w:rPr>
                <w:sz w:val="16"/>
                <w:szCs w:val="16"/>
              </w:rPr>
              <w:t>Las instalaciones técnicas cumplen las normas y definiciones aplicables sobre instalaciones esenciales</w:t>
            </w:r>
          </w:p>
        </w:tc>
        <w:tc>
          <w:tcPr>
            <w:tcW w:w="902" w:type="pct"/>
            <w:gridSpan w:val="3"/>
            <w:tcBorders>
              <w:bottom w:val="single" w:sz="4" w:space="0" w:color="auto"/>
            </w:tcBorders>
            <w:shd w:val="clear" w:color="auto" w:fill="auto"/>
            <w:tcMar>
              <w:top w:w="110" w:type="dxa"/>
            </w:tcMar>
          </w:tcPr>
          <w:p w:rsidR="00221F0B" w:rsidRPr="00434FFD" w:rsidRDefault="00221F0B" w:rsidP="00DC1333">
            <w:pPr>
              <w:rPr>
                <w:sz w:val="16"/>
                <w:szCs w:val="16"/>
              </w:rPr>
            </w:pPr>
            <w:r w:rsidRPr="00434FFD">
              <w:rPr>
                <w:sz w:val="16"/>
                <w:szCs w:val="16"/>
              </w:rPr>
              <w:t>Verificar o mejorar/sustituir (si procede) las instalaciones técnicas esenciales según sea necesario</w:t>
            </w:r>
            <w:r w:rsidRPr="00434FFD">
              <w:rPr>
                <w:sz w:val="16"/>
                <w:szCs w:val="16"/>
              </w:rPr>
              <w:br/>
            </w:r>
          </w:p>
        </w:tc>
        <w:tc>
          <w:tcPr>
            <w:tcW w:w="1053" w:type="pct"/>
            <w:gridSpan w:val="4"/>
            <w:tcBorders>
              <w:bottom w:val="single" w:sz="4" w:space="0" w:color="auto"/>
            </w:tcBorders>
            <w:shd w:val="clear" w:color="auto" w:fill="FFFFFF"/>
            <w:tcMar>
              <w:top w:w="110" w:type="dxa"/>
            </w:tcMar>
          </w:tcPr>
          <w:p w:rsidR="00221F0B" w:rsidRPr="00434FFD" w:rsidRDefault="00221F0B" w:rsidP="00571FB5">
            <w:pPr>
              <w:rPr>
                <w:sz w:val="16"/>
                <w:szCs w:val="16"/>
              </w:rPr>
            </w:pPr>
            <w:r w:rsidRPr="00434FFD">
              <w:rPr>
                <w:sz w:val="16"/>
                <w:szCs w:val="16"/>
              </w:rPr>
              <w:t>Verificación periódica de las instalaciones esenciales.  Finalización en 2014 del primer inventario detallado de todas las instalaciones esenciales.  El inventario se actualiza con regularidad en función de las necesidades desde 2015.</w:t>
            </w:r>
          </w:p>
        </w:tc>
        <w:tc>
          <w:tcPr>
            <w:tcW w:w="639" w:type="pct"/>
            <w:gridSpan w:val="2"/>
            <w:tcBorders>
              <w:bottom w:val="single" w:sz="4" w:space="0" w:color="auto"/>
            </w:tcBorders>
            <w:shd w:val="clear" w:color="auto" w:fill="auto"/>
            <w:tcMar>
              <w:top w:w="110" w:type="dxa"/>
            </w:tcMar>
          </w:tcPr>
          <w:p w:rsidR="00221F0B" w:rsidRPr="00434FFD" w:rsidRDefault="00221F0B" w:rsidP="00DC1333">
            <w:pPr>
              <w:keepNext/>
              <w:keepLines/>
              <w:ind w:left="-109"/>
              <w:jc w:val="center"/>
              <w:rPr>
                <w:bCs/>
                <w:color w:val="00B050"/>
                <w:sz w:val="16"/>
                <w:szCs w:val="16"/>
              </w:rPr>
            </w:pPr>
            <w:r w:rsidRPr="00434FFD">
              <w:rPr>
                <w:b/>
                <w:color w:val="00B050"/>
                <w:sz w:val="16"/>
                <w:szCs w:val="16"/>
              </w:rPr>
              <w:t>Plenamente logrado</w:t>
            </w:r>
          </w:p>
        </w:tc>
      </w:tr>
      <w:tr w:rsidR="00221F0B" w:rsidRPr="00434FFD" w:rsidTr="00571FB5">
        <w:trPr>
          <w:cantSplit/>
          <w:trHeight w:val="507"/>
        </w:trPr>
        <w:tc>
          <w:tcPr>
            <w:tcW w:w="5000" w:type="pct"/>
            <w:gridSpan w:val="12"/>
            <w:tcBorders>
              <w:top w:val="single" w:sz="4" w:space="0" w:color="auto"/>
              <w:bottom w:val="single" w:sz="4" w:space="0" w:color="auto"/>
            </w:tcBorders>
            <w:shd w:val="clear" w:color="auto" w:fill="C6D9F1" w:themeFill="text2" w:themeFillTint="33"/>
            <w:vAlign w:val="center"/>
          </w:tcPr>
          <w:p w:rsidR="00221F0B" w:rsidRPr="00434FFD" w:rsidRDefault="00221F0B" w:rsidP="00DC1333">
            <w:pPr>
              <w:spacing w:before="120" w:after="120"/>
              <w:ind w:left="2019" w:hanging="2019"/>
              <w:rPr>
                <w:b/>
                <w:bCs/>
                <w:sz w:val="16"/>
                <w:szCs w:val="16"/>
              </w:rPr>
            </w:pPr>
            <w:r w:rsidRPr="00434FFD">
              <w:rPr>
                <w:b/>
                <w:bCs/>
                <w:sz w:val="16"/>
                <w:szCs w:val="16"/>
              </w:rPr>
              <w:t>Resultado previsto:</w:t>
            </w:r>
            <w:r w:rsidRPr="00434FFD">
              <w:rPr>
                <w:b/>
                <w:bCs/>
                <w:sz w:val="16"/>
                <w:szCs w:val="16"/>
              </w:rPr>
              <w:tab/>
            </w:r>
            <w:r w:rsidRPr="00434FFD">
              <w:rPr>
                <w:sz w:val="16"/>
                <w:szCs w:val="16"/>
              </w:rPr>
              <w:t>IX.4 Una organización responsable con el medio ambiente y la sociedad, en la que se garantiza la seguridad de su personal, los delegados, los visitantes, la información y los activos físicos</w:t>
            </w:r>
          </w:p>
        </w:tc>
      </w:tr>
      <w:tr w:rsidR="00221F0B" w:rsidRPr="00434FFD" w:rsidTr="00571FB5">
        <w:trPr>
          <w:cantSplit/>
        </w:trPr>
        <w:tc>
          <w:tcPr>
            <w:tcW w:w="1129" w:type="pct"/>
            <w:tcBorders>
              <w:top w:val="single" w:sz="4" w:space="0" w:color="auto"/>
              <w:bottom w:val="nil"/>
            </w:tcBorders>
            <w:shd w:val="clear" w:color="auto" w:fill="auto"/>
            <w:vAlign w:val="center"/>
          </w:tcPr>
          <w:p w:rsidR="00221F0B" w:rsidRPr="00434FFD" w:rsidRDefault="00221F0B" w:rsidP="00DC1333">
            <w:pPr>
              <w:rPr>
                <w:sz w:val="16"/>
                <w:szCs w:val="16"/>
              </w:rPr>
            </w:pPr>
            <w:r w:rsidRPr="00434FFD">
              <w:rPr>
                <w:b/>
                <w:sz w:val="16"/>
                <w:szCs w:val="16"/>
              </w:rPr>
              <w:t>Indicadores de rendimiento</w:t>
            </w:r>
          </w:p>
        </w:tc>
        <w:tc>
          <w:tcPr>
            <w:tcW w:w="1277" w:type="pct"/>
            <w:gridSpan w:val="2"/>
            <w:tcBorders>
              <w:top w:val="single" w:sz="4" w:space="0" w:color="auto"/>
              <w:bottom w:val="nil"/>
            </w:tcBorders>
            <w:shd w:val="clear" w:color="auto" w:fill="auto"/>
            <w:vAlign w:val="center"/>
          </w:tcPr>
          <w:p w:rsidR="00221F0B" w:rsidRPr="00434FFD" w:rsidRDefault="00221F0B" w:rsidP="00DC1333">
            <w:pPr>
              <w:rPr>
                <w:b/>
                <w:bCs/>
                <w:sz w:val="16"/>
                <w:szCs w:val="16"/>
              </w:rPr>
            </w:pPr>
            <w:r w:rsidRPr="00434FFD">
              <w:rPr>
                <w:b/>
                <w:bCs/>
                <w:sz w:val="16"/>
                <w:szCs w:val="16"/>
              </w:rPr>
              <w:t>Referencia</w:t>
            </w:r>
          </w:p>
        </w:tc>
        <w:tc>
          <w:tcPr>
            <w:tcW w:w="902" w:type="pct"/>
            <w:gridSpan w:val="3"/>
            <w:tcBorders>
              <w:top w:val="single" w:sz="4" w:space="0" w:color="auto"/>
              <w:bottom w:val="nil"/>
            </w:tcBorders>
            <w:shd w:val="clear" w:color="auto" w:fill="auto"/>
            <w:tcMar>
              <w:top w:w="110" w:type="dxa"/>
            </w:tcMar>
            <w:vAlign w:val="center"/>
          </w:tcPr>
          <w:p w:rsidR="00221F0B" w:rsidRPr="00434FFD" w:rsidRDefault="00221F0B" w:rsidP="00DC1333">
            <w:pPr>
              <w:rPr>
                <w:b/>
                <w:sz w:val="16"/>
                <w:szCs w:val="16"/>
              </w:rPr>
            </w:pPr>
            <w:r w:rsidRPr="00434FFD">
              <w:rPr>
                <w:b/>
                <w:sz w:val="16"/>
                <w:szCs w:val="16"/>
              </w:rPr>
              <w:t>Objetivos</w:t>
            </w:r>
          </w:p>
        </w:tc>
        <w:tc>
          <w:tcPr>
            <w:tcW w:w="1053" w:type="pct"/>
            <w:gridSpan w:val="4"/>
            <w:tcBorders>
              <w:top w:val="single" w:sz="4" w:space="0" w:color="auto"/>
              <w:bottom w:val="nil"/>
            </w:tcBorders>
            <w:shd w:val="clear" w:color="auto" w:fill="FFFFFF"/>
            <w:tcMar>
              <w:top w:w="110" w:type="dxa"/>
            </w:tcMar>
            <w:vAlign w:val="center"/>
          </w:tcPr>
          <w:p w:rsidR="00221F0B" w:rsidRPr="00434FFD" w:rsidRDefault="00221F0B" w:rsidP="00DC1333">
            <w:pPr>
              <w:rPr>
                <w:sz w:val="16"/>
                <w:szCs w:val="16"/>
              </w:rPr>
            </w:pPr>
            <w:r w:rsidRPr="00434FFD">
              <w:rPr>
                <w:b/>
                <w:sz w:val="16"/>
                <w:szCs w:val="16"/>
              </w:rPr>
              <w:t>Datos sobre el rendimiento</w:t>
            </w:r>
          </w:p>
        </w:tc>
        <w:tc>
          <w:tcPr>
            <w:tcW w:w="639" w:type="pct"/>
            <w:gridSpan w:val="2"/>
            <w:tcBorders>
              <w:top w:val="single" w:sz="4" w:space="0" w:color="auto"/>
              <w:bottom w:val="nil"/>
            </w:tcBorders>
            <w:shd w:val="clear" w:color="auto" w:fill="auto"/>
            <w:tcMar>
              <w:top w:w="110" w:type="dxa"/>
            </w:tcMar>
            <w:vAlign w:val="center"/>
          </w:tcPr>
          <w:p w:rsidR="00221F0B" w:rsidRPr="00434FFD" w:rsidRDefault="00221F0B" w:rsidP="00DC1333">
            <w:pPr>
              <w:jc w:val="center"/>
              <w:rPr>
                <w:b/>
                <w:bCs/>
                <w:sz w:val="16"/>
                <w:szCs w:val="16"/>
              </w:rPr>
            </w:pPr>
            <w:r w:rsidRPr="00434FFD">
              <w:rPr>
                <w:b/>
                <w:bCs/>
                <w:sz w:val="16"/>
                <w:szCs w:val="16"/>
              </w:rPr>
              <w:t>Clave de colores</w:t>
            </w:r>
          </w:p>
        </w:tc>
      </w:tr>
      <w:tr w:rsidR="00571FB5" w:rsidRPr="00434FFD" w:rsidTr="00571FB5">
        <w:trPr>
          <w:cantSplit/>
        </w:trPr>
        <w:tc>
          <w:tcPr>
            <w:tcW w:w="1129" w:type="pct"/>
            <w:tcBorders>
              <w:top w:val="nil"/>
            </w:tcBorders>
            <w:shd w:val="clear" w:color="auto" w:fill="auto"/>
          </w:tcPr>
          <w:p w:rsidR="00571FB5" w:rsidRPr="00434FFD" w:rsidRDefault="00571FB5" w:rsidP="00571FB5">
            <w:pPr>
              <w:rPr>
                <w:b/>
                <w:sz w:val="16"/>
                <w:szCs w:val="16"/>
              </w:rPr>
            </w:pPr>
            <w:r w:rsidRPr="00434FFD">
              <w:rPr>
                <w:sz w:val="16"/>
                <w:szCs w:val="16"/>
              </w:rPr>
              <w:t>Mejora de la accesibilidad al recinto de la OMPI</w:t>
            </w:r>
          </w:p>
        </w:tc>
        <w:tc>
          <w:tcPr>
            <w:tcW w:w="1277" w:type="pct"/>
            <w:gridSpan w:val="2"/>
            <w:tcBorders>
              <w:top w:val="nil"/>
            </w:tcBorders>
            <w:shd w:val="clear" w:color="auto" w:fill="auto"/>
          </w:tcPr>
          <w:p w:rsidR="00571FB5" w:rsidRPr="00434FFD" w:rsidRDefault="00571FB5" w:rsidP="00571FB5">
            <w:pPr>
              <w:rPr>
                <w:color w:val="002060"/>
                <w:sz w:val="16"/>
                <w:szCs w:val="16"/>
              </w:rPr>
            </w:pPr>
            <w:r w:rsidRPr="00434FFD">
              <w:rPr>
                <w:i/>
                <w:color w:val="002060"/>
                <w:sz w:val="16"/>
                <w:szCs w:val="16"/>
              </w:rPr>
              <w:t>Referencia actualizada a fines de 2013:</w:t>
            </w:r>
            <w:r w:rsidRPr="00434FFD">
              <w:t xml:space="preserve"> </w:t>
            </w:r>
            <w:r w:rsidRPr="00434FFD">
              <w:rPr>
                <w:color w:val="002060"/>
                <w:sz w:val="16"/>
                <w:szCs w:val="16"/>
              </w:rPr>
              <w:t>No se elaboró el plan quinquenal al final de 2013</w:t>
            </w:r>
          </w:p>
          <w:p w:rsidR="00571FB5" w:rsidRDefault="00571FB5" w:rsidP="00571FB5">
            <w:pPr>
              <w:rPr>
                <w:b/>
                <w:bCs/>
                <w:sz w:val="16"/>
                <w:szCs w:val="16"/>
              </w:rPr>
            </w:pPr>
          </w:p>
          <w:p w:rsidR="00571FB5" w:rsidRDefault="00571FB5" w:rsidP="00571FB5">
            <w:pPr>
              <w:rPr>
                <w:b/>
                <w:bCs/>
                <w:sz w:val="16"/>
                <w:szCs w:val="16"/>
              </w:rPr>
            </w:pPr>
          </w:p>
          <w:p w:rsidR="00571FB5" w:rsidRDefault="00571FB5" w:rsidP="00571FB5">
            <w:pPr>
              <w:rPr>
                <w:b/>
                <w:bCs/>
                <w:sz w:val="16"/>
                <w:szCs w:val="16"/>
              </w:rPr>
            </w:pPr>
          </w:p>
          <w:p w:rsidR="00571FB5" w:rsidRDefault="00571FB5" w:rsidP="00571FB5">
            <w:pPr>
              <w:rPr>
                <w:b/>
                <w:bCs/>
                <w:sz w:val="16"/>
                <w:szCs w:val="16"/>
              </w:rPr>
            </w:pPr>
          </w:p>
          <w:p w:rsidR="00571FB5" w:rsidRPr="00434FFD" w:rsidRDefault="00571FB5" w:rsidP="00571FB5">
            <w:pPr>
              <w:rPr>
                <w:b/>
                <w:bCs/>
                <w:sz w:val="16"/>
                <w:szCs w:val="16"/>
              </w:rPr>
            </w:pPr>
            <w:r w:rsidRPr="00434FFD">
              <w:rPr>
                <w:i/>
                <w:sz w:val="16"/>
                <w:szCs w:val="16"/>
              </w:rPr>
              <w:t xml:space="preserve">Referencia original en el presupuesto de 2014/15:  </w:t>
            </w:r>
            <w:r w:rsidRPr="00434FFD">
              <w:rPr>
                <w:sz w:val="16"/>
                <w:szCs w:val="16"/>
              </w:rPr>
              <w:t>plan quinquenal para la aplicación de las recomendaciones de auditoría en materia de accesibilidad efectuadas en 2012 (plan establecido al final de 2013)</w:t>
            </w:r>
          </w:p>
        </w:tc>
        <w:tc>
          <w:tcPr>
            <w:tcW w:w="902" w:type="pct"/>
            <w:gridSpan w:val="3"/>
            <w:tcBorders>
              <w:top w:val="nil"/>
            </w:tcBorders>
            <w:shd w:val="clear" w:color="auto" w:fill="auto"/>
            <w:tcMar>
              <w:top w:w="110" w:type="dxa"/>
            </w:tcMar>
          </w:tcPr>
          <w:p w:rsidR="00571FB5" w:rsidRPr="00434FFD" w:rsidRDefault="00571FB5" w:rsidP="00571FB5">
            <w:pPr>
              <w:rPr>
                <w:b/>
                <w:sz w:val="16"/>
                <w:szCs w:val="16"/>
              </w:rPr>
            </w:pPr>
            <w:r w:rsidRPr="00434FFD">
              <w:rPr>
                <w:sz w:val="16"/>
                <w:szCs w:val="16"/>
              </w:rPr>
              <w:t>Aplicación de las recomendaciones de auditoría con arreglo al plan quinquenal</w:t>
            </w:r>
          </w:p>
        </w:tc>
        <w:tc>
          <w:tcPr>
            <w:tcW w:w="1053" w:type="pct"/>
            <w:gridSpan w:val="4"/>
            <w:tcBorders>
              <w:top w:val="nil"/>
            </w:tcBorders>
            <w:shd w:val="clear" w:color="auto" w:fill="FFFFFF"/>
            <w:tcMar>
              <w:top w:w="110" w:type="dxa"/>
            </w:tcMar>
          </w:tcPr>
          <w:p w:rsidR="00571FB5" w:rsidRPr="00434FFD" w:rsidRDefault="00571FB5" w:rsidP="00571FB5">
            <w:pPr>
              <w:rPr>
                <w:sz w:val="16"/>
                <w:szCs w:val="16"/>
              </w:rPr>
            </w:pPr>
            <w:r w:rsidRPr="00434FFD">
              <w:rPr>
                <w:sz w:val="16"/>
                <w:szCs w:val="16"/>
              </w:rPr>
              <w:t>No se elaboró el plan quinquenal a fines de 2015 por falta de recursos disponibles por las obras relativas a la nueva sala de conferencias de la OMPI</w:t>
            </w:r>
          </w:p>
          <w:p w:rsidR="00571FB5" w:rsidRPr="00434FFD" w:rsidRDefault="00571FB5" w:rsidP="00571FB5">
            <w:pPr>
              <w:spacing w:before="120"/>
              <w:rPr>
                <w:b/>
                <w:sz w:val="16"/>
                <w:szCs w:val="16"/>
              </w:rPr>
            </w:pPr>
            <w:r w:rsidRPr="00434FFD">
              <w:rPr>
                <w:sz w:val="16"/>
                <w:szCs w:val="16"/>
              </w:rPr>
              <w:t>Entre otras mejoras, figuraban: i) rampas adicionales para el acceso en silla de ruedas (acceso a las cabinas de intérpretes en una nueva sala de reunión del nuevo edificio; y ii) la instalación de los lectores de tarjetas de identificación a la altura de las sillas de ruedas en los edificios AB y PCT y nuevo edificio. Varias de esas mejoras se realizaron sin incurrir en grandes costos y/o al</w:t>
            </w:r>
            <w:r w:rsidRPr="00434FFD">
              <w:rPr>
                <w:sz w:val="16"/>
                <w:szCs w:val="16"/>
                <w:highlight w:val="yellow"/>
              </w:rPr>
              <w:t xml:space="preserve"> </w:t>
            </w:r>
            <w:r w:rsidRPr="00434FFD">
              <w:rPr>
                <w:sz w:val="16"/>
                <w:szCs w:val="16"/>
              </w:rPr>
              <w:t>integrarse en otras infraestructuras o instalaciones, acarrearon un costo adicional mínimo</w:t>
            </w:r>
          </w:p>
        </w:tc>
        <w:tc>
          <w:tcPr>
            <w:tcW w:w="639" w:type="pct"/>
            <w:gridSpan w:val="2"/>
            <w:tcBorders>
              <w:top w:val="nil"/>
            </w:tcBorders>
            <w:shd w:val="clear" w:color="auto" w:fill="auto"/>
            <w:tcMar>
              <w:top w:w="110" w:type="dxa"/>
            </w:tcMar>
          </w:tcPr>
          <w:p w:rsidR="00571FB5" w:rsidRPr="00434FFD" w:rsidRDefault="00571FB5" w:rsidP="00571FB5">
            <w:pPr>
              <w:rPr>
                <w:b/>
                <w:bCs/>
                <w:sz w:val="16"/>
                <w:szCs w:val="16"/>
              </w:rPr>
            </w:pPr>
            <w:r w:rsidRPr="00434FFD">
              <w:rPr>
                <w:b/>
                <w:color w:val="FF0000"/>
                <w:sz w:val="16"/>
                <w:szCs w:val="16"/>
              </w:rPr>
              <w:t>No logrado</w:t>
            </w:r>
          </w:p>
        </w:tc>
      </w:tr>
      <w:tr w:rsidR="00221F0B" w:rsidRPr="00434FFD" w:rsidTr="00DC1333">
        <w:trPr>
          <w:cantSplit/>
        </w:trPr>
        <w:tc>
          <w:tcPr>
            <w:tcW w:w="1129" w:type="pct"/>
            <w:shd w:val="clear" w:color="auto" w:fill="auto"/>
          </w:tcPr>
          <w:p w:rsidR="00221F0B" w:rsidRPr="00434FFD" w:rsidRDefault="00221F0B" w:rsidP="00DC1333">
            <w:pPr>
              <w:rPr>
                <w:sz w:val="16"/>
                <w:szCs w:val="16"/>
              </w:rPr>
            </w:pPr>
            <w:r w:rsidRPr="00434FFD">
              <w:rPr>
                <w:sz w:val="16"/>
                <w:szCs w:val="16"/>
              </w:rPr>
              <w:lastRenderedPageBreak/>
              <w:t>Menor repercusión de los edificios de la OMPI en el medio ambiente</w:t>
            </w:r>
          </w:p>
        </w:tc>
        <w:tc>
          <w:tcPr>
            <w:tcW w:w="1277" w:type="pct"/>
            <w:gridSpan w:val="2"/>
            <w:shd w:val="clear" w:color="auto" w:fill="auto"/>
          </w:tcPr>
          <w:p w:rsidR="00221F0B" w:rsidRPr="00434FFD" w:rsidRDefault="00221F0B" w:rsidP="00DC1333">
            <w:pPr>
              <w:rPr>
                <w:sz w:val="16"/>
                <w:szCs w:val="16"/>
                <w:lang w:bidi="th-TH"/>
              </w:rPr>
            </w:pPr>
            <w:r w:rsidRPr="00434FFD">
              <w:rPr>
                <w:i/>
                <w:color w:val="002060"/>
                <w:sz w:val="16"/>
                <w:szCs w:val="16"/>
              </w:rPr>
              <w:t>Referencia actualizada a fines de 2013:</w:t>
            </w:r>
            <w:r w:rsidRPr="00434FFD">
              <w:rPr>
                <w:color w:val="002060"/>
                <w:sz w:val="16"/>
                <w:szCs w:val="16"/>
              </w:rPr>
              <w:t xml:space="preserve">  reducción del 2% del consumo de electricidad gracias a la aplicación de una serie de medidas destinadas a modernizar las instalaciones;  reducción del 7% del consumo de agua gracias a la modernización del sistema de refrigeración en uno de los centros de datos</w:t>
            </w:r>
          </w:p>
          <w:p w:rsidR="00221F0B" w:rsidRPr="00434FFD" w:rsidRDefault="00221F0B" w:rsidP="00DC1333">
            <w:pPr>
              <w:rPr>
                <w:color w:val="002060"/>
                <w:sz w:val="16"/>
                <w:szCs w:val="16"/>
              </w:rPr>
            </w:pPr>
          </w:p>
          <w:p w:rsidR="00221F0B" w:rsidRPr="00434FFD" w:rsidRDefault="00221F0B" w:rsidP="00DC1333">
            <w:pPr>
              <w:rPr>
                <w:rFonts w:cstheme="minorBidi"/>
                <w:color w:val="002060"/>
                <w:sz w:val="16"/>
                <w:szCs w:val="16"/>
              </w:rPr>
            </w:pPr>
          </w:p>
          <w:p w:rsidR="00221F0B" w:rsidRPr="00434FFD" w:rsidRDefault="00221F0B" w:rsidP="00DC1333">
            <w:pPr>
              <w:rPr>
                <w:szCs w:val="22"/>
              </w:rPr>
            </w:pPr>
            <w:r w:rsidRPr="00434FFD">
              <w:rPr>
                <w:i/>
                <w:sz w:val="16"/>
                <w:szCs w:val="16"/>
              </w:rPr>
              <w:t>Referencia original en el presupuesto de 2014/15:</w:t>
            </w:r>
            <w:r w:rsidRPr="00434FFD">
              <w:t xml:space="preserve">  </w:t>
            </w:r>
            <w:r w:rsidRPr="00434FFD">
              <w:rPr>
                <w:sz w:val="16"/>
                <w:szCs w:val="16"/>
              </w:rPr>
              <w:t>Consumo anual de electricidad y agua (al final de 2013)</w:t>
            </w:r>
          </w:p>
        </w:tc>
        <w:tc>
          <w:tcPr>
            <w:tcW w:w="902" w:type="pct"/>
            <w:gridSpan w:val="3"/>
            <w:shd w:val="clear" w:color="auto" w:fill="auto"/>
            <w:tcMar>
              <w:top w:w="110" w:type="dxa"/>
            </w:tcMar>
          </w:tcPr>
          <w:p w:rsidR="00221F0B" w:rsidRPr="00434FFD" w:rsidRDefault="00221F0B" w:rsidP="00DC1333">
            <w:pPr>
              <w:rPr>
                <w:sz w:val="16"/>
                <w:szCs w:val="16"/>
              </w:rPr>
            </w:pPr>
            <w:r w:rsidRPr="00434FFD">
              <w:rPr>
                <w:sz w:val="16"/>
                <w:szCs w:val="16"/>
              </w:rPr>
              <w:t>Disminución del 4% en el consumo de electricidad y del 10% en el consumo de agua a fines de 2015</w:t>
            </w:r>
          </w:p>
        </w:tc>
        <w:tc>
          <w:tcPr>
            <w:tcW w:w="1053" w:type="pct"/>
            <w:gridSpan w:val="4"/>
            <w:shd w:val="clear" w:color="auto" w:fill="FFFFFF"/>
            <w:tcMar>
              <w:top w:w="110" w:type="dxa"/>
            </w:tcMar>
          </w:tcPr>
          <w:p w:rsidR="00221F0B" w:rsidRPr="00434FFD" w:rsidRDefault="00221F0B" w:rsidP="00DC1333">
            <w:pPr>
              <w:rPr>
                <w:sz w:val="16"/>
                <w:szCs w:val="16"/>
              </w:rPr>
            </w:pPr>
            <w:r w:rsidRPr="00434FFD">
              <w:rPr>
                <w:sz w:val="16"/>
                <w:szCs w:val="16"/>
              </w:rPr>
              <w:t>Reducción del 5% en el consumo de electricidad y del 33% en el consumo de agua en 2014/15 en comparación con 2012/13, a pesar de la incorporación de la nueva sala de conferencias de la OMPI desde septiembre de 2014.</w:t>
            </w:r>
          </w:p>
          <w:p w:rsidR="00221F0B" w:rsidRPr="00434FFD" w:rsidRDefault="00221F0B" w:rsidP="00DC1333">
            <w:pPr>
              <w:rPr>
                <w:sz w:val="16"/>
                <w:szCs w:val="16"/>
              </w:rPr>
            </w:pPr>
          </w:p>
          <w:p w:rsidR="00221F0B" w:rsidRPr="00434FFD" w:rsidRDefault="00221F0B" w:rsidP="00DC1333">
            <w:pPr>
              <w:rPr>
                <w:sz w:val="16"/>
                <w:szCs w:val="16"/>
              </w:rPr>
            </w:pPr>
            <w:r w:rsidRPr="00434FFD">
              <w:rPr>
                <w:sz w:val="16"/>
                <w:szCs w:val="16"/>
              </w:rPr>
              <w:t>El sistema de refrigeración a base de agua refrigerada procedente del lago de Ginebra de los edificios AB y del PCT (dentro del plan maestro de mejoras de infraestructuras, véanse los apéndices) se entregó en 2014 y 2015 respectivamente y se ha integrado plenamente en el plan de mantenimiento de los edificios.</w:t>
            </w:r>
          </w:p>
          <w:p w:rsidR="00221F0B" w:rsidRPr="00434FFD" w:rsidRDefault="00221F0B" w:rsidP="00DC1333">
            <w:pPr>
              <w:rPr>
                <w:sz w:val="16"/>
                <w:szCs w:val="16"/>
              </w:rPr>
            </w:pPr>
          </w:p>
          <w:p w:rsidR="00221F0B" w:rsidRPr="00434FFD" w:rsidRDefault="00221F0B" w:rsidP="00DC1333">
            <w:pPr>
              <w:rPr>
                <w:sz w:val="16"/>
                <w:szCs w:val="16"/>
              </w:rPr>
            </w:pPr>
            <w:r w:rsidRPr="00434FFD">
              <w:rPr>
                <w:sz w:val="16"/>
                <w:szCs w:val="16"/>
              </w:rPr>
              <w:t>Se modernizó el sistema de refrigeración a base de agua refrigerada procedente del lago de Ginebra del nuevo edificio en 2014.</w:t>
            </w:r>
          </w:p>
          <w:p w:rsidR="00221F0B" w:rsidRPr="00434FFD" w:rsidRDefault="00221F0B" w:rsidP="00DC1333">
            <w:pPr>
              <w:rPr>
                <w:sz w:val="16"/>
                <w:szCs w:val="16"/>
              </w:rPr>
            </w:pPr>
          </w:p>
          <w:p w:rsidR="00221F0B" w:rsidRPr="00434FFD" w:rsidRDefault="00221F0B" w:rsidP="00DC1333">
            <w:pPr>
              <w:rPr>
                <w:sz w:val="16"/>
                <w:szCs w:val="16"/>
              </w:rPr>
            </w:pPr>
            <w:r w:rsidRPr="00434FFD">
              <w:rPr>
                <w:sz w:val="16"/>
                <w:szCs w:val="16"/>
              </w:rPr>
              <w:t>Entre las medidas adicionales para respetar el medio ambiente estaban las siguientes medidas principales:  i) reducción del consumo de luz artificial sustituyendo las lámparas tradicionales por nuevos apliques a base de tecnología de LED, ii) activación de la iluminación por detección de la presencia de personas fuera del horario laboral en las plantas de oficinas de varias áreas de edificios más antiguos</w:t>
            </w:r>
            <w:r w:rsidR="005E7D72">
              <w:rPr>
                <w:sz w:val="16"/>
                <w:szCs w:val="16"/>
              </w:rPr>
              <w:br/>
            </w:r>
          </w:p>
        </w:tc>
        <w:tc>
          <w:tcPr>
            <w:tcW w:w="639" w:type="pct"/>
            <w:gridSpan w:val="2"/>
            <w:shd w:val="clear" w:color="auto" w:fill="auto"/>
            <w:tcMar>
              <w:top w:w="110" w:type="dxa"/>
            </w:tcMar>
          </w:tcPr>
          <w:p w:rsidR="00221F0B" w:rsidRPr="00434FFD" w:rsidRDefault="00221F0B" w:rsidP="00DC1333">
            <w:pPr>
              <w:keepNext/>
              <w:keepLines/>
              <w:ind w:left="-109"/>
              <w:jc w:val="center"/>
              <w:rPr>
                <w:b/>
                <w:bCs/>
                <w:color w:val="00B050"/>
                <w:sz w:val="16"/>
                <w:szCs w:val="16"/>
              </w:rPr>
            </w:pPr>
            <w:r w:rsidRPr="00434FFD">
              <w:rPr>
                <w:b/>
                <w:color w:val="00B050"/>
                <w:sz w:val="16"/>
                <w:szCs w:val="16"/>
              </w:rPr>
              <w:t>Plenamente logrado</w:t>
            </w:r>
          </w:p>
        </w:tc>
      </w:tr>
      <w:tr w:rsidR="00221F0B" w:rsidRPr="00434FFD" w:rsidTr="00DC1333">
        <w:trPr>
          <w:cantSplit/>
        </w:trPr>
        <w:tc>
          <w:tcPr>
            <w:tcW w:w="1129" w:type="pct"/>
            <w:tcBorders>
              <w:bottom w:val="single" w:sz="4" w:space="0" w:color="auto"/>
            </w:tcBorders>
            <w:shd w:val="clear" w:color="auto" w:fill="auto"/>
          </w:tcPr>
          <w:p w:rsidR="00221F0B" w:rsidRPr="00434FFD" w:rsidRDefault="00221F0B" w:rsidP="00DC1333">
            <w:pPr>
              <w:rPr>
                <w:sz w:val="16"/>
                <w:szCs w:val="16"/>
              </w:rPr>
            </w:pPr>
            <w:r w:rsidRPr="00434FFD">
              <w:rPr>
                <w:sz w:val="16"/>
                <w:szCs w:val="16"/>
              </w:rPr>
              <w:lastRenderedPageBreak/>
              <w:t>Los locales de la OMPI satisfacen las recomendaciones efectuadas en 2009 por el Instituto de Seguridad (Neuchâtel) y las medidas de seguridad del perímetro con arreglo a las normas mínimas operativas de seguridad para las sedes de NN.UU.</w:t>
            </w:r>
          </w:p>
        </w:tc>
        <w:tc>
          <w:tcPr>
            <w:tcW w:w="1277" w:type="pct"/>
            <w:gridSpan w:val="2"/>
            <w:tcBorders>
              <w:bottom w:val="single" w:sz="4" w:space="0" w:color="auto"/>
            </w:tcBorders>
            <w:shd w:val="clear" w:color="auto" w:fill="auto"/>
          </w:tcPr>
          <w:p w:rsidR="00221F0B" w:rsidRPr="00434FFD" w:rsidRDefault="00221F0B" w:rsidP="00DC1333">
            <w:pPr>
              <w:rPr>
                <w:sz w:val="16"/>
                <w:szCs w:val="16"/>
              </w:rPr>
            </w:pPr>
            <w:r w:rsidRPr="00434FFD">
              <w:rPr>
                <w:sz w:val="16"/>
                <w:szCs w:val="16"/>
              </w:rPr>
              <w:t>Plan sexenal para la aplicación de las recomendaciones de auditoría efectuadas en 2009 por el Instituto de Seguridad (Neuchâtel)</w:t>
            </w:r>
          </w:p>
          <w:p w:rsidR="00221F0B" w:rsidRPr="00434FFD" w:rsidRDefault="00221F0B" w:rsidP="00DC1333">
            <w:pPr>
              <w:rPr>
                <w:szCs w:val="22"/>
              </w:rPr>
            </w:pPr>
          </w:p>
        </w:tc>
        <w:tc>
          <w:tcPr>
            <w:tcW w:w="902" w:type="pct"/>
            <w:gridSpan w:val="3"/>
            <w:tcBorders>
              <w:bottom w:val="single" w:sz="4" w:space="0" w:color="auto"/>
            </w:tcBorders>
            <w:shd w:val="clear" w:color="auto" w:fill="auto"/>
            <w:tcMar>
              <w:top w:w="110" w:type="dxa"/>
            </w:tcMar>
          </w:tcPr>
          <w:p w:rsidR="00221F0B" w:rsidRPr="00434FFD" w:rsidRDefault="00221F0B" w:rsidP="00DC1333">
            <w:pPr>
              <w:rPr>
                <w:sz w:val="16"/>
                <w:szCs w:val="16"/>
              </w:rPr>
            </w:pPr>
            <w:r w:rsidRPr="00434FFD">
              <w:rPr>
                <w:sz w:val="16"/>
                <w:szCs w:val="16"/>
              </w:rPr>
              <w:t>Aplicación de las recomendaciones de auditoría con arreglo a la ejecución del plan sexenal y medidas de seguridad del perímetro a fines de 2015</w:t>
            </w:r>
          </w:p>
        </w:tc>
        <w:tc>
          <w:tcPr>
            <w:tcW w:w="1053" w:type="pct"/>
            <w:gridSpan w:val="4"/>
            <w:tcBorders>
              <w:bottom w:val="single" w:sz="4" w:space="0" w:color="auto"/>
            </w:tcBorders>
            <w:shd w:val="clear" w:color="auto" w:fill="FFFFFF"/>
            <w:tcMar>
              <w:top w:w="110" w:type="dxa"/>
            </w:tcMar>
          </w:tcPr>
          <w:p w:rsidR="00221F0B" w:rsidRPr="00434FFD" w:rsidRDefault="00221F0B" w:rsidP="00DC1333">
            <w:pPr>
              <w:rPr>
                <w:sz w:val="16"/>
                <w:szCs w:val="16"/>
              </w:rPr>
            </w:pPr>
            <w:r w:rsidRPr="00434FFD">
              <w:rPr>
                <w:sz w:val="16"/>
                <w:szCs w:val="16"/>
              </w:rPr>
              <w:t>Véase el Apéndice III, Informe sobre la marcha del plan maestro de mejoras de infraestructura en 2014 y 2015</w:t>
            </w:r>
          </w:p>
          <w:p w:rsidR="00221F0B" w:rsidRPr="00434FFD" w:rsidRDefault="00221F0B" w:rsidP="00DC1333">
            <w:pPr>
              <w:rPr>
                <w:sz w:val="16"/>
                <w:szCs w:val="16"/>
              </w:rPr>
            </w:pPr>
          </w:p>
          <w:p w:rsidR="00221F0B" w:rsidRDefault="00221F0B" w:rsidP="00DC1333">
            <w:pPr>
              <w:rPr>
                <w:sz w:val="16"/>
                <w:szCs w:val="16"/>
              </w:rPr>
            </w:pPr>
            <w:r w:rsidRPr="00434FFD">
              <w:rPr>
                <w:sz w:val="16"/>
                <w:szCs w:val="16"/>
              </w:rPr>
              <w:t>Además de la recomendación incluida en el plan maestro de mejoras de infraestructura, se aplicaron las siguientes recomendaciones:  i) modernización del sistema de detección de incendios (detectores de tecnología de punta) en los cuatro sótanos del estacionamiento del edificio AB, y ii) modernización del sistema de luces de emergencia en algunas plantas del edificio GBI.</w:t>
            </w:r>
          </w:p>
          <w:p w:rsidR="00221F0B" w:rsidRPr="00434FFD" w:rsidRDefault="00221F0B" w:rsidP="00DC1333">
            <w:pPr>
              <w:rPr>
                <w:sz w:val="16"/>
                <w:szCs w:val="16"/>
              </w:rPr>
            </w:pPr>
          </w:p>
        </w:tc>
        <w:tc>
          <w:tcPr>
            <w:tcW w:w="639" w:type="pct"/>
            <w:gridSpan w:val="2"/>
            <w:tcBorders>
              <w:bottom w:val="single" w:sz="4" w:space="0" w:color="auto"/>
            </w:tcBorders>
            <w:shd w:val="clear" w:color="auto" w:fill="auto"/>
            <w:tcMar>
              <w:top w:w="110" w:type="dxa"/>
            </w:tcMar>
          </w:tcPr>
          <w:p w:rsidR="00221F0B" w:rsidRPr="00434FFD" w:rsidRDefault="00221F0B" w:rsidP="00DC1333">
            <w:pPr>
              <w:keepNext/>
              <w:keepLines/>
              <w:ind w:left="-109"/>
              <w:jc w:val="center"/>
              <w:rPr>
                <w:b/>
                <w:bCs/>
                <w:color w:val="00B050"/>
                <w:sz w:val="16"/>
                <w:szCs w:val="16"/>
              </w:rPr>
            </w:pPr>
            <w:r w:rsidRPr="00434FFD">
              <w:rPr>
                <w:b/>
                <w:color w:val="00B050"/>
                <w:sz w:val="16"/>
                <w:szCs w:val="16"/>
              </w:rPr>
              <w:t>Plenamente logrado</w:t>
            </w:r>
          </w:p>
        </w:tc>
      </w:tr>
    </w:tbl>
    <w:p w:rsidR="00221F0B" w:rsidRDefault="00221F0B" w:rsidP="00DC1333">
      <w:pPr>
        <w:rPr>
          <w:color w:val="000000"/>
          <w:szCs w:val="22"/>
        </w:rPr>
      </w:pPr>
    </w:p>
    <w:p w:rsidR="00221F0B" w:rsidRPr="00434FFD" w:rsidRDefault="00221F0B" w:rsidP="00DC1333">
      <w:pPr>
        <w:rPr>
          <w:color w:val="000000"/>
          <w:szCs w:val="22"/>
        </w:rPr>
      </w:pPr>
    </w:p>
    <w:p w:rsidR="00221F0B" w:rsidRPr="00434FFD" w:rsidRDefault="008F7CBE" w:rsidP="00DC1333">
      <w:pPr>
        <w:keepNext/>
        <w:keepLines/>
        <w:rPr>
          <w:color w:val="000000"/>
          <w:szCs w:val="22"/>
        </w:rPr>
      </w:pPr>
      <w:r w:rsidRPr="008F7CBE">
        <w:rPr>
          <w:sz w:val="20"/>
        </w:rPr>
        <w:t>INFORMACIÓN SOBRE LOS RIESGOS PLANTEADOS EN EL BIENIO</w:t>
      </w:r>
    </w:p>
    <w:p w:rsidR="00221F0B" w:rsidRPr="00434FFD" w:rsidRDefault="00221F0B" w:rsidP="00DC1333">
      <w:pPr>
        <w:keepNext/>
        <w:keepLines/>
      </w:pPr>
    </w:p>
    <w:tbl>
      <w:tblPr>
        <w:tblW w:w="0" w:type="auto"/>
        <w:jc w:val="center"/>
        <w:tblInd w:w="-416"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734"/>
        <w:gridCol w:w="2105"/>
        <w:gridCol w:w="2148"/>
        <w:gridCol w:w="2260"/>
      </w:tblGrid>
      <w:tr w:rsidR="00221F0B" w:rsidRPr="00434FFD" w:rsidTr="005E7D72">
        <w:trPr>
          <w:trHeight w:val="430"/>
          <w:jc w:val="center"/>
        </w:trPr>
        <w:tc>
          <w:tcPr>
            <w:tcW w:w="2734" w:type="dxa"/>
            <w:tcBorders>
              <w:top w:val="single" w:sz="4" w:space="0" w:color="auto"/>
              <w:bottom w:val="single" w:sz="4" w:space="0" w:color="auto"/>
            </w:tcBorders>
            <w:shd w:val="clear" w:color="auto" w:fill="C6D9F1" w:themeFill="text2" w:themeFillTint="33"/>
            <w:tcMar>
              <w:top w:w="113" w:type="dxa"/>
              <w:bottom w:w="85" w:type="dxa"/>
            </w:tcMar>
            <w:vAlign w:val="center"/>
          </w:tcPr>
          <w:p w:rsidR="00221F0B" w:rsidRPr="00434FFD" w:rsidRDefault="00221F0B" w:rsidP="00DC1333">
            <w:pPr>
              <w:keepNext/>
              <w:keepLines/>
              <w:autoSpaceDE w:val="0"/>
              <w:autoSpaceDN w:val="0"/>
              <w:adjustRightInd w:val="0"/>
              <w:ind w:right="-59"/>
              <w:jc w:val="center"/>
              <w:rPr>
                <w:b/>
                <w:bCs/>
                <w:sz w:val="18"/>
                <w:szCs w:val="18"/>
              </w:rPr>
            </w:pPr>
            <w:r w:rsidRPr="00434FFD">
              <w:rPr>
                <w:b/>
                <w:bCs/>
                <w:iCs/>
                <w:sz w:val="18"/>
                <w:szCs w:val="18"/>
              </w:rPr>
              <w:t>Riesgos en el logro de los resultados del programa</w:t>
            </w:r>
          </w:p>
        </w:tc>
        <w:tc>
          <w:tcPr>
            <w:tcW w:w="2105" w:type="dxa"/>
            <w:tcBorders>
              <w:top w:val="single" w:sz="4" w:space="0" w:color="auto"/>
              <w:bottom w:val="single" w:sz="4" w:space="0" w:color="auto"/>
            </w:tcBorders>
            <w:shd w:val="clear" w:color="auto" w:fill="C6D9F1" w:themeFill="text2" w:themeFillTint="33"/>
            <w:tcMar>
              <w:top w:w="113" w:type="dxa"/>
              <w:bottom w:w="85" w:type="dxa"/>
            </w:tcMar>
            <w:vAlign w:val="center"/>
          </w:tcPr>
          <w:p w:rsidR="00221F0B" w:rsidRPr="00434FFD" w:rsidRDefault="00221F0B" w:rsidP="00DC1333">
            <w:pPr>
              <w:keepNext/>
              <w:keepLines/>
              <w:autoSpaceDE w:val="0"/>
              <w:autoSpaceDN w:val="0"/>
              <w:adjustRightInd w:val="0"/>
              <w:ind w:right="-59"/>
              <w:jc w:val="center"/>
              <w:rPr>
                <w:b/>
                <w:bCs/>
                <w:sz w:val="18"/>
                <w:szCs w:val="18"/>
              </w:rPr>
            </w:pPr>
            <w:r w:rsidRPr="00434FFD">
              <w:rPr>
                <w:b/>
                <w:bCs/>
                <w:iCs/>
                <w:sz w:val="18"/>
                <w:szCs w:val="18"/>
              </w:rPr>
              <w:t>Planes de mitigación ejecutados o en ejecución</w:t>
            </w:r>
          </w:p>
        </w:tc>
        <w:tc>
          <w:tcPr>
            <w:tcW w:w="2148" w:type="dxa"/>
            <w:tcBorders>
              <w:top w:val="single" w:sz="4" w:space="0" w:color="auto"/>
              <w:bottom w:val="single" w:sz="4" w:space="0" w:color="auto"/>
            </w:tcBorders>
            <w:shd w:val="clear" w:color="auto" w:fill="C6D9F1" w:themeFill="text2" w:themeFillTint="33"/>
          </w:tcPr>
          <w:p w:rsidR="00221F0B" w:rsidRPr="00434FFD" w:rsidRDefault="00221F0B" w:rsidP="00DC1333">
            <w:pPr>
              <w:keepNext/>
              <w:keepLines/>
              <w:jc w:val="center"/>
              <w:rPr>
                <w:b/>
                <w:bCs/>
                <w:sz w:val="18"/>
                <w:szCs w:val="18"/>
              </w:rPr>
            </w:pPr>
            <w:r w:rsidRPr="00434FFD">
              <w:rPr>
                <w:b/>
                <w:bCs/>
                <w:iCs/>
                <w:sz w:val="18"/>
                <w:szCs w:val="18"/>
              </w:rPr>
              <w:t>Evolución de los riesgos y estrategias de mitigación durante el bienio</w:t>
            </w:r>
          </w:p>
        </w:tc>
        <w:tc>
          <w:tcPr>
            <w:tcW w:w="2260" w:type="dxa"/>
            <w:tcBorders>
              <w:top w:val="single" w:sz="4" w:space="0" w:color="auto"/>
              <w:bottom w:val="single" w:sz="4" w:space="0" w:color="auto"/>
            </w:tcBorders>
            <w:shd w:val="clear" w:color="auto" w:fill="C6D9F1" w:themeFill="text2" w:themeFillTint="33"/>
          </w:tcPr>
          <w:p w:rsidR="00221F0B" w:rsidRPr="00434FFD" w:rsidRDefault="00221F0B" w:rsidP="00DC1333">
            <w:pPr>
              <w:keepNext/>
              <w:keepLines/>
              <w:jc w:val="center"/>
              <w:rPr>
                <w:b/>
                <w:bCs/>
                <w:sz w:val="18"/>
                <w:szCs w:val="18"/>
              </w:rPr>
            </w:pPr>
            <w:r w:rsidRPr="00434FFD">
              <w:rPr>
                <w:b/>
                <w:bCs/>
                <w:sz w:val="18"/>
                <w:szCs w:val="18"/>
              </w:rPr>
              <w:t>Incidencia en el rendimiento del programa</w:t>
            </w:r>
          </w:p>
        </w:tc>
      </w:tr>
      <w:tr w:rsidR="00221F0B" w:rsidRPr="00434FFD" w:rsidTr="005E7D72">
        <w:trPr>
          <w:trHeight w:val="609"/>
          <w:jc w:val="center"/>
        </w:trPr>
        <w:tc>
          <w:tcPr>
            <w:tcW w:w="2734" w:type="dxa"/>
            <w:tcBorders>
              <w:top w:val="single" w:sz="4" w:space="0" w:color="auto"/>
            </w:tcBorders>
            <w:shd w:val="clear" w:color="auto" w:fill="auto"/>
            <w:tcMar>
              <w:top w:w="113" w:type="dxa"/>
              <w:bottom w:w="85" w:type="dxa"/>
            </w:tcMar>
          </w:tcPr>
          <w:p w:rsidR="00221F0B" w:rsidRPr="00434FFD" w:rsidRDefault="00221F0B" w:rsidP="00DC1333">
            <w:pPr>
              <w:keepNext/>
              <w:keepLines/>
              <w:rPr>
                <w:sz w:val="16"/>
                <w:szCs w:val="16"/>
              </w:rPr>
            </w:pPr>
            <w:r w:rsidRPr="00434FFD">
              <w:rPr>
                <w:sz w:val="16"/>
                <w:szCs w:val="16"/>
              </w:rPr>
              <w:t>Las fallas de los proveedores provocan trastornos en los servicios ofrecidos a los clientes externos</w:t>
            </w:r>
          </w:p>
        </w:tc>
        <w:tc>
          <w:tcPr>
            <w:tcW w:w="2105" w:type="dxa"/>
            <w:tcBorders>
              <w:top w:val="single" w:sz="4" w:space="0" w:color="auto"/>
            </w:tcBorders>
            <w:shd w:val="clear" w:color="auto" w:fill="auto"/>
            <w:tcMar>
              <w:top w:w="113" w:type="dxa"/>
              <w:bottom w:w="85" w:type="dxa"/>
            </w:tcMar>
          </w:tcPr>
          <w:p w:rsidR="00221F0B" w:rsidRPr="00434FFD" w:rsidRDefault="00221F0B" w:rsidP="00DC1333">
            <w:pPr>
              <w:keepNext/>
              <w:keepLines/>
              <w:autoSpaceDE w:val="0"/>
              <w:autoSpaceDN w:val="0"/>
              <w:adjustRightInd w:val="0"/>
              <w:ind w:right="-59"/>
              <w:rPr>
                <w:sz w:val="16"/>
                <w:szCs w:val="16"/>
              </w:rPr>
            </w:pPr>
            <w:r w:rsidRPr="00434FFD">
              <w:rPr>
                <w:sz w:val="16"/>
                <w:szCs w:val="16"/>
              </w:rPr>
              <w:t>La División de Compras y Contratas y los programas de la OMPI deben establecer un plan de urgencia para los contratos considerados de alto riesgo y esenciales para poder seguir llevando a cabo las actividades</w:t>
            </w:r>
          </w:p>
          <w:p w:rsidR="00221F0B" w:rsidRPr="00434FFD" w:rsidRDefault="00221F0B" w:rsidP="00DC1333">
            <w:pPr>
              <w:keepNext/>
              <w:keepLines/>
              <w:autoSpaceDE w:val="0"/>
              <w:autoSpaceDN w:val="0"/>
              <w:adjustRightInd w:val="0"/>
              <w:ind w:right="-59"/>
              <w:rPr>
                <w:sz w:val="16"/>
                <w:szCs w:val="16"/>
              </w:rPr>
            </w:pPr>
          </w:p>
        </w:tc>
        <w:tc>
          <w:tcPr>
            <w:tcW w:w="2148" w:type="dxa"/>
            <w:tcBorders>
              <w:top w:val="single" w:sz="4" w:space="0" w:color="auto"/>
            </w:tcBorders>
          </w:tcPr>
          <w:p w:rsidR="00221F0B" w:rsidRPr="00434FFD" w:rsidRDefault="00221F0B" w:rsidP="00DC1333">
            <w:pPr>
              <w:keepNext/>
              <w:keepLines/>
              <w:autoSpaceDE w:val="0"/>
              <w:autoSpaceDN w:val="0"/>
              <w:adjustRightInd w:val="0"/>
              <w:ind w:right="-59"/>
              <w:rPr>
                <w:sz w:val="16"/>
                <w:szCs w:val="16"/>
              </w:rPr>
            </w:pPr>
            <w:r w:rsidRPr="00434FFD">
              <w:rPr>
                <w:sz w:val="16"/>
                <w:szCs w:val="16"/>
              </w:rPr>
              <w:t>Este es un riesgo permanente para la Organización, que se ha podido detectar mejor mediante la elaboración de listas de proveedores “más importantes” en los planes de adquisiciones de los programas, en consulta con la División de Compras y Contratas.  Al examinar los planes de adquisiciones se presta la atención debida a dar respuesta a las interrupciones del servicio, lo que también se incluye en las condiciones de los contratos en caso necesario.  Se va a seguir trabajando con los programas en los planes oficiales de contingencia, con la participación de la División de Compras y Contratas.</w:t>
            </w:r>
          </w:p>
        </w:tc>
        <w:tc>
          <w:tcPr>
            <w:tcW w:w="2260" w:type="dxa"/>
            <w:tcBorders>
              <w:top w:val="single" w:sz="4" w:space="0" w:color="auto"/>
            </w:tcBorders>
          </w:tcPr>
          <w:p w:rsidR="00221F0B" w:rsidRPr="00434FFD" w:rsidRDefault="00221F0B" w:rsidP="005E7D72">
            <w:pPr>
              <w:keepNext/>
              <w:keepLines/>
              <w:autoSpaceDE w:val="0"/>
              <w:autoSpaceDN w:val="0"/>
              <w:adjustRightInd w:val="0"/>
              <w:ind w:right="262"/>
              <w:rPr>
                <w:sz w:val="16"/>
                <w:szCs w:val="16"/>
              </w:rPr>
            </w:pPr>
            <w:r w:rsidRPr="00434FFD">
              <w:rPr>
                <w:sz w:val="16"/>
                <w:szCs w:val="16"/>
              </w:rPr>
              <w:t>Este riesgo y su evolución no incidieron de forma sustancial en el rendimiento del programa en 2014/15.</w:t>
            </w:r>
          </w:p>
        </w:tc>
      </w:tr>
      <w:tr w:rsidR="00221F0B" w:rsidRPr="00434FFD" w:rsidTr="005E7D72">
        <w:trPr>
          <w:trHeight w:val="1139"/>
          <w:jc w:val="center"/>
        </w:trPr>
        <w:tc>
          <w:tcPr>
            <w:tcW w:w="2734" w:type="dxa"/>
            <w:shd w:val="clear" w:color="auto" w:fill="auto"/>
            <w:tcMar>
              <w:top w:w="113" w:type="dxa"/>
              <w:bottom w:w="85" w:type="dxa"/>
            </w:tcMar>
          </w:tcPr>
          <w:p w:rsidR="00221F0B" w:rsidRPr="00434FFD" w:rsidRDefault="00221F0B" w:rsidP="00DC1333">
            <w:pPr>
              <w:rPr>
                <w:sz w:val="16"/>
                <w:szCs w:val="16"/>
                <w:highlight w:val="yellow"/>
              </w:rPr>
            </w:pPr>
            <w:r w:rsidRPr="00434FFD">
              <w:rPr>
                <w:sz w:val="16"/>
                <w:szCs w:val="16"/>
              </w:rPr>
              <w:t>Sucesos o incidentes externos impiden la ocupación de uno o más edificios por un período de tiempo prolongado, lo que podría ocasionar trastornos en los servicios externos y dar lugar al desaprovechamiento de los recursos, lo cual afectaría negativamente a la ejecución del programa</w:t>
            </w:r>
            <w:r w:rsidRPr="00434FFD">
              <w:rPr>
                <w:sz w:val="16"/>
                <w:szCs w:val="16"/>
                <w:highlight w:val="yellow"/>
              </w:rPr>
              <w:br/>
            </w:r>
          </w:p>
        </w:tc>
        <w:tc>
          <w:tcPr>
            <w:tcW w:w="2105" w:type="dxa"/>
            <w:shd w:val="clear" w:color="auto" w:fill="auto"/>
            <w:tcMar>
              <w:top w:w="113" w:type="dxa"/>
              <w:bottom w:w="85" w:type="dxa"/>
            </w:tcMar>
          </w:tcPr>
          <w:p w:rsidR="00221F0B" w:rsidRPr="00434FFD" w:rsidRDefault="00221F0B" w:rsidP="00DC1333">
            <w:pPr>
              <w:autoSpaceDE w:val="0"/>
              <w:autoSpaceDN w:val="0"/>
              <w:adjustRightInd w:val="0"/>
              <w:ind w:right="-59"/>
              <w:rPr>
                <w:sz w:val="16"/>
                <w:szCs w:val="16"/>
              </w:rPr>
            </w:pPr>
            <w:r w:rsidRPr="00434FFD">
              <w:rPr>
                <w:sz w:val="16"/>
                <w:szCs w:val="16"/>
              </w:rPr>
              <w:t xml:space="preserve">Elaborar un plan de renovación y mantenimiento de gran alcance para todos los edificios y seguir llevando a cabo el mantenimiento periódico de todas las instalaciones técnicas esenciales, o fortalecer dicho mantenimiento según sea necesario.  Examinar y actualizar periódicamente el plan de </w:t>
            </w:r>
            <w:r w:rsidRPr="00434FFD">
              <w:rPr>
                <w:sz w:val="16"/>
                <w:szCs w:val="16"/>
              </w:rPr>
              <w:lastRenderedPageBreak/>
              <w:t>continuidad de las actividades, y activarlo cuando proceda.  Determinar las posibilidades de disponer de oficinas de apoyo</w:t>
            </w:r>
          </w:p>
        </w:tc>
        <w:tc>
          <w:tcPr>
            <w:tcW w:w="2148" w:type="dxa"/>
          </w:tcPr>
          <w:p w:rsidR="00221F0B" w:rsidRPr="00434FFD" w:rsidRDefault="00221F0B" w:rsidP="00DC1333">
            <w:pPr>
              <w:autoSpaceDE w:val="0"/>
              <w:autoSpaceDN w:val="0"/>
              <w:adjustRightInd w:val="0"/>
              <w:ind w:right="-59"/>
              <w:rPr>
                <w:sz w:val="16"/>
                <w:szCs w:val="16"/>
              </w:rPr>
            </w:pPr>
            <w:r w:rsidRPr="00434FFD">
              <w:rPr>
                <w:sz w:val="16"/>
                <w:szCs w:val="16"/>
              </w:rPr>
              <w:lastRenderedPageBreak/>
              <w:t>Este es un riesgo permanente para la Organización y se han ejecutado estrategias adecuadas de mitigación para hacerle frente.  Esta cuestión se integró también en el plan de continuidad de las actividades de la OMPI y el plan de reacción y recuperación de la OMPI.</w:t>
            </w:r>
          </w:p>
          <w:p w:rsidR="00221F0B" w:rsidRPr="00434FFD" w:rsidRDefault="005E7D72" w:rsidP="00DC1333">
            <w:pPr>
              <w:autoSpaceDE w:val="0"/>
              <w:autoSpaceDN w:val="0"/>
              <w:adjustRightInd w:val="0"/>
              <w:ind w:right="-59"/>
              <w:rPr>
                <w:sz w:val="16"/>
                <w:szCs w:val="16"/>
              </w:rPr>
            </w:pPr>
            <w:r>
              <w:rPr>
                <w:sz w:val="16"/>
                <w:szCs w:val="16"/>
              </w:rPr>
              <w:br/>
            </w:r>
          </w:p>
          <w:p w:rsidR="00221F0B" w:rsidRPr="00434FFD" w:rsidRDefault="00221F0B" w:rsidP="00DC1333">
            <w:pPr>
              <w:autoSpaceDE w:val="0"/>
              <w:autoSpaceDN w:val="0"/>
              <w:adjustRightInd w:val="0"/>
              <w:ind w:right="-59"/>
              <w:rPr>
                <w:sz w:val="16"/>
                <w:szCs w:val="16"/>
              </w:rPr>
            </w:pPr>
            <w:r w:rsidRPr="00434FFD">
              <w:rPr>
                <w:sz w:val="16"/>
                <w:szCs w:val="16"/>
              </w:rPr>
              <w:lastRenderedPageBreak/>
              <w:t>Se estableció la primera fase del plan de renovación y mantenimiento de gran alcance.</w:t>
            </w:r>
          </w:p>
          <w:p w:rsidR="00221F0B" w:rsidRPr="00434FFD" w:rsidRDefault="00221F0B" w:rsidP="00DC1333">
            <w:pPr>
              <w:autoSpaceDE w:val="0"/>
              <w:autoSpaceDN w:val="0"/>
              <w:adjustRightInd w:val="0"/>
              <w:ind w:right="-59"/>
              <w:rPr>
                <w:sz w:val="16"/>
                <w:szCs w:val="16"/>
              </w:rPr>
            </w:pPr>
          </w:p>
          <w:p w:rsidR="00221F0B" w:rsidRPr="00434FFD" w:rsidRDefault="00221F0B" w:rsidP="00DC1333">
            <w:pPr>
              <w:autoSpaceDE w:val="0"/>
              <w:autoSpaceDN w:val="0"/>
              <w:adjustRightInd w:val="0"/>
              <w:ind w:right="-59"/>
              <w:rPr>
                <w:sz w:val="16"/>
                <w:szCs w:val="16"/>
              </w:rPr>
            </w:pPr>
            <w:r w:rsidRPr="00434FFD">
              <w:rPr>
                <w:sz w:val="16"/>
                <w:szCs w:val="16"/>
              </w:rPr>
              <w:t>Las posibilidades para disponer de oficinas de apoyo son, en primer lugar, las actuales instalaciones externas alquiladas, aún no se han identificado otras instalaciones más alejadas.</w:t>
            </w:r>
          </w:p>
        </w:tc>
        <w:tc>
          <w:tcPr>
            <w:tcW w:w="2260" w:type="dxa"/>
          </w:tcPr>
          <w:p w:rsidR="00221F0B" w:rsidRPr="00434FFD" w:rsidRDefault="00221F0B" w:rsidP="005E7D72">
            <w:pPr>
              <w:autoSpaceDE w:val="0"/>
              <w:autoSpaceDN w:val="0"/>
              <w:adjustRightInd w:val="0"/>
              <w:ind w:right="121"/>
              <w:rPr>
                <w:sz w:val="16"/>
                <w:szCs w:val="16"/>
              </w:rPr>
            </w:pPr>
            <w:r w:rsidRPr="00434FFD">
              <w:rPr>
                <w:sz w:val="16"/>
                <w:szCs w:val="16"/>
              </w:rPr>
              <w:lastRenderedPageBreak/>
              <w:t>Este riesgo y su evolución no incidieron de forma sustancial en el rendimiento del programa en 2014/15.</w:t>
            </w:r>
          </w:p>
        </w:tc>
      </w:tr>
    </w:tbl>
    <w:p w:rsidR="00221F0B" w:rsidRDefault="00221F0B" w:rsidP="00DC1333">
      <w:pPr>
        <w:rPr>
          <w:color w:val="000000"/>
          <w:szCs w:val="22"/>
        </w:rPr>
      </w:pPr>
    </w:p>
    <w:p w:rsidR="00221F0B" w:rsidRPr="00434FFD" w:rsidRDefault="00221F0B" w:rsidP="00DC1333">
      <w:pPr>
        <w:rPr>
          <w:color w:val="000000"/>
          <w:szCs w:val="22"/>
        </w:rPr>
      </w:pPr>
    </w:p>
    <w:p w:rsidR="00221F0B" w:rsidRPr="00434FFD" w:rsidRDefault="00403D2C" w:rsidP="00DC1333">
      <w:pPr>
        <w:rPr>
          <w:b/>
          <w:sz w:val="18"/>
          <w:szCs w:val="18"/>
        </w:rPr>
      </w:pPr>
      <w:r w:rsidRPr="00403D2C">
        <w:rPr>
          <w:sz w:val="20"/>
          <w:szCs w:val="22"/>
        </w:rPr>
        <w:t>UTILIZACIÓN DE LOS RECURSOS</w:t>
      </w:r>
    </w:p>
    <w:p w:rsidR="00221F0B" w:rsidRPr="00434FFD" w:rsidRDefault="00221F0B" w:rsidP="00DC1333">
      <w:pPr>
        <w:rPr>
          <w:szCs w:val="22"/>
        </w:rPr>
      </w:pPr>
    </w:p>
    <w:p w:rsidR="00221F0B" w:rsidRPr="009333E4" w:rsidRDefault="00221F0B" w:rsidP="00DC1333">
      <w:pPr>
        <w:jc w:val="center"/>
        <w:rPr>
          <w:sz w:val="20"/>
        </w:rPr>
      </w:pPr>
      <w:r w:rsidRPr="009333E4">
        <w:rPr>
          <w:sz w:val="20"/>
        </w:rPr>
        <w:t>Presupuesto y gastos reales (por resultado)</w:t>
      </w:r>
    </w:p>
    <w:p w:rsidR="00221F0B" w:rsidRPr="009333E4" w:rsidRDefault="00221F0B" w:rsidP="00DC1333">
      <w:pPr>
        <w:jc w:val="center"/>
        <w:rPr>
          <w:i/>
          <w:iCs/>
          <w:sz w:val="20"/>
        </w:rPr>
      </w:pPr>
      <w:r w:rsidRPr="009333E4">
        <w:rPr>
          <w:i/>
          <w:iCs/>
          <w:sz w:val="20"/>
        </w:rPr>
        <w:t>(</w:t>
      </w:r>
      <w:proofErr w:type="gramStart"/>
      <w:r w:rsidRPr="009333E4">
        <w:rPr>
          <w:i/>
          <w:iCs/>
          <w:sz w:val="20"/>
        </w:rPr>
        <w:t>en</w:t>
      </w:r>
      <w:proofErr w:type="gramEnd"/>
      <w:r w:rsidRPr="009333E4">
        <w:rPr>
          <w:i/>
          <w:iCs/>
          <w:sz w:val="20"/>
        </w:rPr>
        <w:t xml:space="preserve"> miles de francos suizos)</w:t>
      </w:r>
    </w:p>
    <w:p w:rsidR="00221F0B" w:rsidRPr="00434FFD" w:rsidRDefault="00221F0B" w:rsidP="00DC1333">
      <w:pPr>
        <w:rPr>
          <w:sz w:val="18"/>
          <w:szCs w:val="22"/>
        </w:rPr>
      </w:pPr>
    </w:p>
    <w:p w:rsidR="00221F0B" w:rsidRPr="00434FFD" w:rsidRDefault="00221F0B" w:rsidP="00DC1333">
      <w:pPr>
        <w:jc w:val="center"/>
        <w:rPr>
          <w:szCs w:val="22"/>
        </w:rPr>
      </w:pPr>
      <w:bookmarkStart w:id="186" w:name="Bm24"/>
      <w:bookmarkStart w:id="187" w:name="Punto24"/>
      <w:r>
        <w:rPr>
          <w:noProof/>
          <w:lang w:val="en-US" w:eastAsia="en-US"/>
        </w:rPr>
        <w:drawing>
          <wp:inline distT="0" distB="0" distL="0" distR="0" wp14:anchorId="20D675DC" wp14:editId="5E744F8A">
            <wp:extent cx="5676900" cy="2428875"/>
            <wp:effectExtent l="0" t="0" r="0" b="9525"/>
            <wp:docPr id="809" name="Picture 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5676900" cy="2428875"/>
                    </a:xfrm>
                    <a:prstGeom prst="rect">
                      <a:avLst/>
                    </a:prstGeom>
                    <a:noFill/>
                    <a:ln>
                      <a:noFill/>
                    </a:ln>
                  </pic:spPr>
                </pic:pic>
              </a:graphicData>
            </a:graphic>
          </wp:inline>
        </w:drawing>
      </w:r>
      <w:bookmarkEnd w:id="186"/>
      <w:bookmarkEnd w:id="187"/>
    </w:p>
    <w:p w:rsidR="00221F0B" w:rsidRPr="00434FFD" w:rsidRDefault="00221F0B" w:rsidP="00DC1333">
      <w:pPr>
        <w:rPr>
          <w:sz w:val="20"/>
          <w:szCs w:val="22"/>
        </w:rPr>
      </w:pPr>
    </w:p>
    <w:p w:rsidR="00221F0B" w:rsidRPr="00434FFD" w:rsidRDefault="00221F0B" w:rsidP="00DC1333">
      <w:pPr>
        <w:rPr>
          <w:sz w:val="20"/>
          <w:szCs w:val="22"/>
        </w:rPr>
      </w:pPr>
    </w:p>
    <w:p w:rsidR="00221F0B" w:rsidRPr="009333E4" w:rsidRDefault="00221F0B" w:rsidP="00DC1333">
      <w:pPr>
        <w:jc w:val="center"/>
        <w:rPr>
          <w:sz w:val="20"/>
        </w:rPr>
      </w:pPr>
      <w:r w:rsidRPr="009333E4">
        <w:rPr>
          <w:sz w:val="20"/>
        </w:rPr>
        <w:t>Presupuesto y gastos reales (de personal y no relativos a personal)</w:t>
      </w:r>
    </w:p>
    <w:p w:rsidR="00221F0B" w:rsidRPr="009333E4" w:rsidRDefault="00221F0B" w:rsidP="00DC1333">
      <w:pPr>
        <w:jc w:val="center"/>
        <w:rPr>
          <w:i/>
          <w:iCs/>
          <w:sz w:val="20"/>
        </w:rPr>
      </w:pPr>
      <w:r w:rsidRPr="009333E4">
        <w:rPr>
          <w:i/>
          <w:iCs/>
          <w:sz w:val="20"/>
        </w:rPr>
        <w:t>(</w:t>
      </w:r>
      <w:proofErr w:type="gramStart"/>
      <w:r w:rsidRPr="009333E4">
        <w:rPr>
          <w:i/>
          <w:iCs/>
          <w:sz w:val="20"/>
        </w:rPr>
        <w:t>en</w:t>
      </w:r>
      <w:proofErr w:type="gramEnd"/>
      <w:r w:rsidRPr="009333E4">
        <w:rPr>
          <w:i/>
          <w:iCs/>
          <w:sz w:val="20"/>
        </w:rPr>
        <w:t xml:space="preserve"> miles de francos suizos)</w:t>
      </w:r>
    </w:p>
    <w:p w:rsidR="00221F0B" w:rsidRPr="00434FFD" w:rsidRDefault="00221F0B" w:rsidP="00DC1333">
      <w:pPr>
        <w:rPr>
          <w:sz w:val="20"/>
          <w:szCs w:val="22"/>
        </w:rPr>
      </w:pPr>
    </w:p>
    <w:p w:rsidR="00221F0B" w:rsidRPr="00434FFD" w:rsidRDefault="00221F0B" w:rsidP="00DC1333">
      <w:pPr>
        <w:rPr>
          <w:sz w:val="20"/>
          <w:szCs w:val="22"/>
        </w:rPr>
      </w:pPr>
      <w:bookmarkStart w:id="188" w:name="Point24"/>
      <w:r>
        <w:rPr>
          <w:noProof/>
          <w:lang w:val="en-US" w:eastAsia="en-US"/>
        </w:rPr>
        <w:drawing>
          <wp:inline distT="0" distB="0" distL="0" distR="0" wp14:anchorId="2F1C3A13" wp14:editId="68ECB5AE">
            <wp:extent cx="5940425" cy="1080827"/>
            <wp:effectExtent l="0" t="0" r="3175" b="5080"/>
            <wp:docPr id="810" name="Picture 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5940425" cy="1080827"/>
                    </a:xfrm>
                    <a:prstGeom prst="rect">
                      <a:avLst/>
                    </a:prstGeom>
                    <a:noFill/>
                    <a:ln>
                      <a:noFill/>
                    </a:ln>
                  </pic:spPr>
                </pic:pic>
              </a:graphicData>
            </a:graphic>
          </wp:inline>
        </w:drawing>
      </w:r>
      <w:bookmarkEnd w:id="188"/>
    </w:p>
    <w:p w:rsidR="00221F0B" w:rsidRDefault="00221F0B" w:rsidP="00DC1333">
      <w:pPr>
        <w:widowControl w:val="0"/>
        <w:autoSpaceDE w:val="0"/>
        <w:autoSpaceDN w:val="0"/>
        <w:adjustRightInd w:val="0"/>
        <w:rPr>
          <w:sz w:val="20"/>
        </w:rPr>
      </w:pPr>
    </w:p>
    <w:p w:rsidR="00221F0B" w:rsidRPr="00434FFD" w:rsidRDefault="00221F0B" w:rsidP="00DC1333">
      <w:pPr>
        <w:widowControl w:val="0"/>
        <w:autoSpaceDE w:val="0"/>
        <w:autoSpaceDN w:val="0"/>
        <w:adjustRightInd w:val="0"/>
        <w:rPr>
          <w:sz w:val="20"/>
        </w:rPr>
      </w:pPr>
    </w:p>
    <w:p w:rsidR="00221F0B" w:rsidRPr="00434FFD" w:rsidRDefault="00403D2C" w:rsidP="00DC1333">
      <w:pPr>
        <w:rPr>
          <w:sz w:val="20"/>
          <w:u w:val="single"/>
        </w:rPr>
      </w:pPr>
      <w:r w:rsidRPr="00403D2C">
        <w:rPr>
          <w:sz w:val="20"/>
        </w:rPr>
        <w:t>A.</w:t>
      </w:r>
      <w:r w:rsidRPr="00403D2C">
        <w:rPr>
          <w:sz w:val="20"/>
        </w:rPr>
        <w:tab/>
      </w:r>
      <w:r w:rsidRPr="00403D2C">
        <w:rPr>
          <w:sz w:val="20"/>
          <w:u w:val="single"/>
        </w:rPr>
        <w:t>Presupuesto final de 2014/15 tras las transferencias</w:t>
      </w:r>
    </w:p>
    <w:p w:rsidR="00221F0B" w:rsidRPr="00434FFD" w:rsidRDefault="00221F0B" w:rsidP="00DC1333">
      <w:pPr>
        <w:rPr>
          <w:sz w:val="20"/>
          <w:u w:val="single"/>
        </w:rPr>
      </w:pPr>
    </w:p>
    <w:p w:rsidR="00221F0B" w:rsidRPr="00434FFD" w:rsidRDefault="00221F0B" w:rsidP="00EB45DE">
      <w:pPr>
        <w:pStyle w:val="ListParagraph"/>
        <w:numPr>
          <w:ilvl w:val="0"/>
          <w:numId w:val="109"/>
        </w:numPr>
        <w:tabs>
          <w:tab w:val="left" w:pos="709"/>
        </w:tabs>
        <w:ind w:left="0" w:firstLine="0"/>
        <w:jc w:val="both"/>
        <w:rPr>
          <w:lang w:val="es-ES"/>
        </w:rPr>
      </w:pPr>
      <w:r w:rsidRPr="00434FFD">
        <w:rPr>
          <w:lang w:val="es-ES"/>
        </w:rPr>
        <w:t>El aumento del presupuesto final de 2014/15 tras las transferencias (recursos no relativos a personal) es un reflejo de la asignación de recursos adicionales al programa destinados a</w:t>
      </w:r>
      <w:proofErr w:type="gramStart"/>
      <w:r w:rsidRPr="00434FFD">
        <w:rPr>
          <w:lang w:val="es-ES"/>
        </w:rPr>
        <w:t>:  i</w:t>
      </w:r>
      <w:proofErr w:type="gramEnd"/>
      <w:r w:rsidRPr="00434FFD">
        <w:rPr>
          <w:lang w:val="es-ES"/>
        </w:rPr>
        <w:t xml:space="preserve">) amueblar el edificio AM, y ii) reponer equipos y existencias, por ejemplo paneles móviles de exposición, equipos eléctricos, mamparas para dividir oficinas y alfombras.  Este aumento se vio compensado por la aplicación de medidas de eficacia en función de los costos y la transferencia de recursos al programa 28 para la instalación de </w:t>
      </w:r>
      <w:r w:rsidRPr="00434FFD">
        <w:rPr>
          <w:bCs/>
          <w:lang w:val="es-ES"/>
        </w:rPr>
        <w:t>una valla a medida bajo la nueva sala de conferencias para impedir el acceso de intrusos</w:t>
      </w:r>
      <w:r w:rsidRPr="00434FFD">
        <w:rPr>
          <w:lang w:val="es-ES"/>
        </w:rPr>
        <w:t>.</w:t>
      </w:r>
    </w:p>
    <w:p w:rsidR="00221F0B" w:rsidRPr="00434FFD" w:rsidRDefault="00221F0B" w:rsidP="00DC1333">
      <w:pPr>
        <w:jc w:val="both"/>
        <w:rPr>
          <w:sz w:val="20"/>
        </w:rPr>
      </w:pPr>
    </w:p>
    <w:p w:rsidR="00221F0B" w:rsidRPr="00434FFD" w:rsidRDefault="00221F0B" w:rsidP="00EB45DE">
      <w:pPr>
        <w:pStyle w:val="ListParagraph"/>
        <w:numPr>
          <w:ilvl w:val="0"/>
          <w:numId w:val="109"/>
        </w:numPr>
        <w:tabs>
          <w:tab w:val="left" w:pos="709"/>
        </w:tabs>
        <w:ind w:left="0" w:firstLine="0"/>
        <w:jc w:val="both"/>
        <w:rPr>
          <w:lang w:val="es-ES"/>
        </w:rPr>
      </w:pPr>
      <w:r w:rsidRPr="00434FFD">
        <w:rPr>
          <w:lang w:val="es-ES"/>
        </w:rPr>
        <w:t>El ligero aumento del presupuesto final de 2014/15 tras las transferencias (recursos de personal) es un reflejo, de una parte, de la reasignación de recursos adicionales al programa a fin de</w:t>
      </w:r>
      <w:proofErr w:type="gramStart"/>
      <w:r w:rsidRPr="00434FFD">
        <w:rPr>
          <w:lang w:val="es-ES"/>
        </w:rPr>
        <w:t>:  i</w:t>
      </w:r>
      <w:proofErr w:type="gramEnd"/>
      <w:r w:rsidRPr="00434FFD">
        <w:rPr>
          <w:lang w:val="es-ES"/>
        </w:rPr>
        <w:t xml:space="preserve">) prestar asistencia a la Junta de Apelaciones de la OMPI;  ii) crear una función de certificador de servicios </w:t>
      </w:r>
      <w:r w:rsidRPr="00434FFD">
        <w:rPr>
          <w:lang w:val="es-ES"/>
        </w:rPr>
        <w:lastRenderedPageBreak/>
        <w:t>contractuales individuales en las adquisiciones, y iii) fortalecer el apoyo administrativo a los proyectos de renovación.  De otra parte, este aumento se compensó en parte gracias a la redistribución de recursos del programa para apoyar las necesidades institucionales en los programas 16, 22 y 28.</w:t>
      </w:r>
    </w:p>
    <w:p w:rsidR="00221F0B" w:rsidRPr="00434FFD" w:rsidRDefault="00221F0B" w:rsidP="00DC1333">
      <w:pPr>
        <w:jc w:val="both"/>
        <w:rPr>
          <w:sz w:val="20"/>
        </w:rPr>
      </w:pPr>
    </w:p>
    <w:p w:rsidR="00221F0B" w:rsidRPr="00434FFD" w:rsidRDefault="00221F0B" w:rsidP="00EB45DE">
      <w:pPr>
        <w:pStyle w:val="ListParagraph"/>
        <w:numPr>
          <w:ilvl w:val="0"/>
          <w:numId w:val="109"/>
        </w:numPr>
        <w:tabs>
          <w:tab w:val="left" w:pos="709"/>
        </w:tabs>
        <w:ind w:left="0" w:firstLine="0"/>
        <w:jc w:val="both"/>
        <w:rPr>
          <w:lang w:val="es-ES"/>
        </w:rPr>
      </w:pPr>
      <w:r w:rsidRPr="00434FFD">
        <w:rPr>
          <w:lang w:val="es-ES"/>
        </w:rPr>
        <w:t>El trasvase de recursos entre los resultados previstos se debe principalmente a la redistribución de recursos de personal del resultado previsto IX.1 (Servicios de apoyo eficaces, eficientes, de calidad y orientados al cliente) al resultado previsto IX.4 (Una organización responsable con el medio ambiente y la sociedad) a fin de ejecutar actividades medioambientales y aumentar la seguridad del personal, los visitantes y los activos, y al resultado previsto VIII.5 (La OMPI participa y colabora eficazmente en los procesos y negociaciones de las NN.UU. y otras OIG) para reforzar la colaboración con otros organismos de las Naciones Unidas en materia de</w:t>
      </w:r>
      <w:r w:rsidRPr="00434FFD">
        <w:rPr>
          <w:rFonts w:cs="Arial"/>
          <w:lang w:val="es-ES"/>
        </w:rPr>
        <w:t xml:space="preserve"> i)</w:t>
      </w:r>
      <w:r w:rsidRPr="00434FFD">
        <w:rPr>
          <w:lang w:val="es-ES"/>
        </w:rPr>
        <w:t xml:space="preserve"> </w:t>
      </w:r>
      <w:r w:rsidRPr="00434FFD">
        <w:rPr>
          <w:rFonts w:cs="Arial"/>
          <w:lang w:val="es-ES"/>
        </w:rPr>
        <w:t>adquisiciones, y ii) mantenimiento y renovación de las instalaciones</w:t>
      </w:r>
      <w:r w:rsidRPr="00434FFD">
        <w:rPr>
          <w:lang w:val="es-ES"/>
        </w:rPr>
        <w:t>.</w:t>
      </w:r>
    </w:p>
    <w:p w:rsidR="00221F0B" w:rsidRPr="00434FFD" w:rsidRDefault="00221F0B" w:rsidP="00DC1333">
      <w:pPr>
        <w:autoSpaceDE w:val="0"/>
        <w:autoSpaceDN w:val="0"/>
        <w:jc w:val="both"/>
        <w:rPr>
          <w:sz w:val="20"/>
          <w:lang w:eastAsia="ko-KR"/>
        </w:rPr>
      </w:pPr>
    </w:p>
    <w:p w:rsidR="00221F0B" w:rsidRPr="00434FFD" w:rsidRDefault="00403D2C" w:rsidP="00DC1333">
      <w:pPr>
        <w:jc w:val="both"/>
        <w:rPr>
          <w:sz w:val="20"/>
          <w:u w:val="single"/>
          <w:lang w:eastAsia="ko-KR"/>
        </w:rPr>
      </w:pPr>
      <w:r w:rsidRPr="00403D2C">
        <w:rPr>
          <w:sz w:val="20"/>
          <w:lang w:eastAsia="ko-KR"/>
        </w:rPr>
        <w:t>B.</w:t>
      </w:r>
      <w:r w:rsidRPr="00403D2C">
        <w:rPr>
          <w:sz w:val="20"/>
          <w:lang w:eastAsia="ko-KR"/>
        </w:rPr>
        <w:tab/>
      </w:r>
      <w:r w:rsidRPr="00403D2C">
        <w:rPr>
          <w:sz w:val="20"/>
          <w:u w:val="single"/>
          <w:lang w:eastAsia="ko-KR"/>
        </w:rPr>
        <w:t>Utilización del presupuesto en 2014/15</w:t>
      </w:r>
    </w:p>
    <w:p w:rsidR="00221F0B" w:rsidRPr="00434FFD" w:rsidRDefault="00221F0B" w:rsidP="00DC1333">
      <w:pPr>
        <w:tabs>
          <w:tab w:val="left" w:pos="709"/>
        </w:tabs>
        <w:jc w:val="both"/>
        <w:rPr>
          <w:sz w:val="20"/>
          <w:u w:val="single"/>
          <w:lang w:eastAsia="ko-KR"/>
        </w:rPr>
      </w:pPr>
    </w:p>
    <w:p w:rsidR="00221F0B" w:rsidRPr="00C9126C" w:rsidRDefault="00221F0B" w:rsidP="00EB45DE">
      <w:pPr>
        <w:pStyle w:val="ListParagraph"/>
        <w:numPr>
          <w:ilvl w:val="0"/>
          <w:numId w:val="109"/>
        </w:numPr>
        <w:tabs>
          <w:tab w:val="left" w:pos="709"/>
        </w:tabs>
        <w:ind w:left="0" w:firstLine="0"/>
        <w:jc w:val="both"/>
        <w:rPr>
          <w:rFonts w:ascii="Calibri" w:hAnsi="Calibri"/>
          <w:lang w:val="es-ES"/>
        </w:rPr>
      </w:pPr>
      <w:r w:rsidRPr="00434FFD">
        <w:rPr>
          <w:rFonts w:cs="Arial"/>
          <w:lang w:val="es-ES" w:eastAsia="ko-KR"/>
        </w:rPr>
        <w:t>La utilización del presupuesto se ha mantenido dentro de los límites establecidos durante el bienio.</w:t>
      </w:r>
    </w:p>
    <w:p w:rsidR="00221F0B" w:rsidRPr="00C9126C" w:rsidRDefault="00221F0B" w:rsidP="00DC1333">
      <w:pPr>
        <w:pStyle w:val="ListParagraph"/>
        <w:tabs>
          <w:tab w:val="left" w:pos="709"/>
        </w:tabs>
        <w:ind w:left="0"/>
        <w:jc w:val="both"/>
        <w:rPr>
          <w:rFonts w:cs="Arial"/>
          <w:lang w:val="es-ES" w:eastAsia="ko-KR"/>
        </w:rPr>
      </w:pPr>
    </w:p>
    <w:p w:rsidR="00221F0B" w:rsidRPr="00C9126C" w:rsidRDefault="00221F0B" w:rsidP="00DC1333">
      <w:pPr>
        <w:pStyle w:val="ListParagraph"/>
        <w:tabs>
          <w:tab w:val="left" w:pos="709"/>
        </w:tabs>
        <w:ind w:left="0"/>
        <w:jc w:val="both"/>
        <w:rPr>
          <w:rFonts w:cs="Arial"/>
          <w:lang w:val="es-ES" w:eastAsia="ko-KR"/>
        </w:rPr>
      </w:pPr>
    </w:p>
    <w:p w:rsidR="00221F0B" w:rsidRPr="00C9126C" w:rsidRDefault="00221F0B" w:rsidP="00DC1333">
      <w:pPr>
        <w:pStyle w:val="ListParagraph"/>
        <w:tabs>
          <w:tab w:val="left" w:pos="709"/>
        </w:tabs>
        <w:ind w:left="0"/>
        <w:jc w:val="both"/>
        <w:rPr>
          <w:rFonts w:cs="Arial"/>
          <w:lang w:val="es-ES"/>
        </w:rPr>
      </w:pPr>
    </w:p>
    <w:p w:rsidR="00577332" w:rsidRDefault="00577332">
      <w:pPr>
        <w:rPr>
          <w:bCs/>
          <w:iCs/>
          <w:caps/>
          <w:szCs w:val="28"/>
        </w:rPr>
      </w:pPr>
      <w:bookmarkStart w:id="189" w:name="_Toc422927439"/>
      <w:r>
        <w:br w:type="page"/>
      </w:r>
    </w:p>
    <w:p w:rsidR="00221F0B" w:rsidRPr="00577332" w:rsidRDefault="00221F0B" w:rsidP="00DC1333">
      <w:pPr>
        <w:pStyle w:val="Heading2"/>
        <w:ind w:left="2410" w:hanging="2410"/>
        <w:rPr>
          <w:b/>
        </w:rPr>
      </w:pPr>
      <w:bookmarkStart w:id="190" w:name="_Toc455159107"/>
      <w:r w:rsidRPr="00577332">
        <w:rPr>
          <w:b/>
        </w:rPr>
        <w:lastRenderedPageBreak/>
        <w:t>PROGRAMA 25</w:t>
      </w:r>
      <w:r w:rsidRPr="00577332">
        <w:rPr>
          <w:b/>
        </w:rPr>
        <w:tab/>
        <w:t>TECNOLOGÍAS DE LA INFORMACIÓN Y DE LAS COMUNICACIONES</w:t>
      </w:r>
      <w:bookmarkEnd w:id="189"/>
      <w:bookmarkEnd w:id="190"/>
    </w:p>
    <w:p w:rsidR="00221F0B" w:rsidRPr="00F05098" w:rsidRDefault="00221F0B" w:rsidP="00DC1333">
      <w:pPr>
        <w:ind w:left="1985" w:hanging="1985"/>
      </w:pPr>
    </w:p>
    <w:p w:rsidR="00221F0B" w:rsidRPr="00577332" w:rsidRDefault="00221F0B" w:rsidP="00DC1333">
      <w:pPr>
        <w:tabs>
          <w:tab w:val="left" w:pos="2410"/>
        </w:tabs>
        <w:rPr>
          <w:b/>
          <w:sz w:val="20"/>
        </w:rPr>
      </w:pPr>
      <w:r w:rsidRPr="00577332">
        <w:rPr>
          <w:b/>
          <w:sz w:val="20"/>
        </w:rPr>
        <w:t>Director de programa</w:t>
      </w:r>
      <w:r w:rsidRPr="00577332">
        <w:rPr>
          <w:sz w:val="20"/>
        </w:rPr>
        <w:tab/>
      </w:r>
      <w:r w:rsidRPr="00577332">
        <w:rPr>
          <w:b/>
          <w:sz w:val="20"/>
        </w:rPr>
        <w:t>Sr. A. Sundaram</w:t>
      </w:r>
    </w:p>
    <w:p w:rsidR="00221F0B" w:rsidRPr="00F05098" w:rsidRDefault="00221F0B" w:rsidP="00DC1333"/>
    <w:p w:rsidR="00221F0B" w:rsidRPr="00F05098" w:rsidRDefault="00221F0B" w:rsidP="00DC1333"/>
    <w:p w:rsidR="00221F0B" w:rsidRPr="00F05098" w:rsidRDefault="008F7CBE" w:rsidP="00DC1333">
      <w:pPr>
        <w:jc w:val="both"/>
        <w:rPr>
          <w:bCs/>
        </w:rPr>
      </w:pPr>
      <w:r w:rsidRPr="008F7CBE">
        <w:rPr>
          <w:bCs/>
          <w:sz w:val="20"/>
        </w:rPr>
        <w:t>LOGROS ALCANZADOS EN EL BIENIO 2014/15</w:t>
      </w:r>
    </w:p>
    <w:p w:rsidR="00221F0B" w:rsidRPr="00F05098" w:rsidRDefault="00221F0B" w:rsidP="00DC1333">
      <w:pPr>
        <w:jc w:val="both"/>
        <w:rPr>
          <w:color w:val="000000" w:themeColor="text1"/>
        </w:rPr>
      </w:pPr>
    </w:p>
    <w:p w:rsidR="00221F0B" w:rsidRDefault="00221F0B" w:rsidP="00EB45DE">
      <w:pPr>
        <w:pStyle w:val="ListParagraph"/>
        <w:numPr>
          <w:ilvl w:val="0"/>
          <w:numId w:val="110"/>
        </w:numPr>
        <w:tabs>
          <w:tab w:val="left" w:pos="709"/>
        </w:tabs>
        <w:ind w:left="0" w:firstLine="0"/>
        <w:jc w:val="both"/>
        <w:rPr>
          <w:bCs/>
          <w:lang w:val="es-ES"/>
        </w:rPr>
      </w:pPr>
      <w:r w:rsidRPr="003E661D">
        <w:rPr>
          <w:bCs/>
          <w:lang w:val="es-ES"/>
        </w:rPr>
        <w:t xml:space="preserve">Las tecnologías de la información y de las comunicaciones (TIC) siguieron desempeñando dos funciones vitales durante el bienio.  A nivel externo, constituyeron plataformas eficaces, fiables y seguras para la prestación de servicios mundiales de P.I., y proporcionaron los recursos técnicos para la nueva sala de conferencias de la OMPI y otros servicios relacionados con las conferencias.  A nivel interno, proporcionaron soluciones eficientes y </w:t>
      </w:r>
      <w:proofErr w:type="spellStart"/>
      <w:r w:rsidRPr="003E661D">
        <w:rPr>
          <w:bCs/>
          <w:lang w:val="es-ES"/>
        </w:rPr>
        <w:t>costoeficaces</w:t>
      </w:r>
      <w:proofErr w:type="spellEnd"/>
      <w:r w:rsidRPr="003E661D">
        <w:rPr>
          <w:bCs/>
          <w:lang w:val="es-ES"/>
        </w:rPr>
        <w:t xml:space="preserve"> para el mantenimiento de las operaciones cotidianas de la OMPI tanto en la sede como en las Oficinas en el exterior.</w:t>
      </w:r>
    </w:p>
    <w:p w:rsidR="00221F0B" w:rsidRPr="003E661D" w:rsidRDefault="00221F0B" w:rsidP="00DC1333">
      <w:pPr>
        <w:pStyle w:val="ListParagraph"/>
        <w:tabs>
          <w:tab w:val="left" w:pos="709"/>
        </w:tabs>
        <w:ind w:left="0"/>
        <w:jc w:val="both"/>
        <w:rPr>
          <w:bCs/>
          <w:lang w:val="es-ES"/>
        </w:rPr>
      </w:pPr>
    </w:p>
    <w:p w:rsidR="00221F0B" w:rsidRDefault="00221F0B" w:rsidP="00EB45DE">
      <w:pPr>
        <w:pStyle w:val="ListParagraph"/>
        <w:numPr>
          <w:ilvl w:val="0"/>
          <w:numId w:val="110"/>
        </w:numPr>
        <w:tabs>
          <w:tab w:val="left" w:pos="709"/>
        </w:tabs>
        <w:ind w:left="0" w:firstLine="0"/>
        <w:jc w:val="both"/>
        <w:rPr>
          <w:bCs/>
          <w:lang w:val="es-ES"/>
        </w:rPr>
      </w:pPr>
      <w:r w:rsidRPr="003E661D">
        <w:rPr>
          <w:bCs/>
          <w:lang w:val="es-ES"/>
        </w:rPr>
        <w:t>Teniendo en cuenta los avances realizados en el bienio precedente, los logros que figuran a continuación dan cuenta de los progresos realizados en el ámbito de los servicios de infraestructura y los servicios de soluciones operativas (incluidos los servicios de Internet) en 2014/15:</w:t>
      </w:r>
    </w:p>
    <w:p w:rsidR="00221F0B" w:rsidRPr="003E661D" w:rsidRDefault="00221F0B" w:rsidP="00DC1333">
      <w:pPr>
        <w:pStyle w:val="ListParagraph"/>
        <w:tabs>
          <w:tab w:val="left" w:pos="709"/>
        </w:tabs>
        <w:ind w:left="0"/>
        <w:jc w:val="both"/>
        <w:rPr>
          <w:bCs/>
          <w:lang w:val="es-ES"/>
        </w:rPr>
      </w:pPr>
    </w:p>
    <w:p w:rsidR="00221F0B" w:rsidRDefault="00221F0B" w:rsidP="00EB45DE">
      <w:pPr>
        <w:pStyle w:val="ListParagraph"/>
        <w:numPr>
          <w:ilvl w:val="0"/>
          <w:numId w:val="113"/>
        </w:numPr>
        <w:tabs>
          <w:tab w:val="left" w:pos="1134"/>
        </w:tabs>
        <w:ind w:left="567" w:firstLine="0"/>
        <w:rPr>
          <w:lang w:val="es-ES"/>
        </w:rPr>
      </w:pPr>
      <w:r w:rsidRPr="00F05098">
        <w:rPr>
          <w:lang w:val="es-ES"/>
        </w:rPr>
        <w:t xml:space="preserve">Se siguió mejorando la continuidad de los servicios y la capacidad de reacción y recuperación de la infraestructura de las TIC, especialmente el establecimiento y la puesta a prueba de una capacidad de recuperación de alto nivel de las TIC en caso de desastre para prestar apoyo al Sistema del PCT, mediante la que los sistemas y procesos del PCT no se </w:t>
      </w:r>
      <w:r>
        <w:rPr>
          <w:lang w:val="es-ES"/>
        </w:rPr>
        <w:t>vean</w:t>
      </w:r>
      <w:r w:rsidRPr="00F05098">
        <w:rPr>
          <w:lang w:val="es-ES"/>
        </w:rPr>
        <w:t xml:space="preserve"> afectados en caso de que el centro de datos de la OMPI </w:t>
      </w:r>
      <w:r>
        <w:rPr>
          <w:lang w:val="es-ES"/>
        </w:rPr>
        <w:t>tenga</w:t>
      </w:r>
      <w:r w:rsidRPr="00F05098">
        <w:rPr>
          <w:lang w:val="es-ES"/>
        </w:rPr>
        <w:t xml:space="preserve"> problemas.  En el futuro se aplicarán capacidades similares a otras operaciones esenciales.</w:t>
      </w:r>
    </w:p>
    <w:p w:rsidR="00221F0B" w:rsidRPr="00F05098" w:rsidRDefault="00221F0B" w:rsidP="00DC1333">
      <w:pPr>
        <w:pStyle w:val="ListParagraph"/>
        <w:tabs>
          <w:tab w:val="left" w:pos="1134"/>
        </w:tabs>
        <w:ind w:left="567"/>
        <w:rPr>
          <w:lang w:val="es-ES"/>
        </w:rPr>
      </w:pPr>
    </w:p>
    <w:p w:rsidR="00221F0B" w:rsidRDefault="00221F0B" w:rsidP="00EB45DE">
      <w:pPr>
        <w:pStyle w:val="ListParagraph"/>
        <w:numPr>
          <w:ilvl w:val="0"/>
          <w:numId w:val="113"/>
        </w:numPr>
        <w:tabs>
          <w:tab w:val="left" w:pos="1134"/>
        </w:tabs>
        <w:ind w:left="567" w:firstLine="0"/>
        <w:rPr>
          <w:lang w:val="es-ES"/>
        </w:rPr>
      </w:pPr>
      <w:r w:rsidRPr="00F05098">
        <w:rPr>
          <w:lang w:val="es-ES"/>
        </w:rPr>
        <w:t>Se creó una nueva solución de arquitectura global (GOA) para las Oficinas de la OMPI en el exterior con el fin de proporcionarles una conexión segura con los sistemas administrativos de T.I. de la OMPI albergados en la sede, junto con servicios de T.I. centralizados y constantes.  Al final de 2015, la GOA se había instalado en tres Oficinas (OOJ, OOS y OOR).</w:t>
      </w:r>
    </w:p>
    <w:p w:rsidR="00221F0B" w:rsidRPr="00F05098" w:rsidRDefault="00221F0B" w:rsidP="00DC1333">
      <w:pPr>
        <w:pStyle w:val="ListParagraph"/>
        <w:tabs>
          <w:tab w:val="left" w:pos="1134"/>
        </w:tabs>
        <w:ind w:left="567"/>
        <w:rPr>
          <w:lang w:val="es-ES"/>
        </w:rPr>
      </w:pPr>
    </w:p>
    <w:p w:rsidR="00221F0B" w:rsidRDefault="00221F0B" w:rsidP="00EB45DE">
      <w:pPr>
        <w:pStyle w:val="ListParagraph"/>
        <w:numPr>
          <w:ilvl w:val="0"/>
          <w:numId w:val="113"/>
        </w:numPr>
        <w:tabs>
          <w:tab w:val="left" w:pos="1134"/>
        </w:tabs>
        <w:ind w:left="567" w:firstLine="0"/>
        <w:rPr>
          <w:lang w:val="es-ES"/>
        </w:rPr>
      </w:pPr>
      <w:r w:rsidRPr="00F05098">
        <w:rPr>
          <w:lang w:val="es-ES"/>
        </w:rPr>
        <w:t xml:space="preserve">Se ejecutó la infraestructura de las TIC para la nueva sala de conferencias de la OMPI en el plazo previsto para acoger la vigesimosegunda sesión del PBC y quincuagésima cuarta serie de </w:t>
      </w:r>
      <w:r w:rsidRPr="007674B6">
        <w:rPr>
          <w:lang w:val="es-ES"/>
        </w:rPr>
        <w:t xml:space="preserve">reuniones de las Asambleas de los Estados miembros de la OMPI en 2014. </w:t>
      </w:r>
    </w:p>
    <w:p w:rsidR="00221F0B" w:rsidRPr="007674B6" w:rsidRDefault="00221F0B" w:rsidP="00DC1333">
      <w:pPr>
        <w:pStyle w:val="ListParagraph"/>
        <w:tabs>
          <w:tab w:val="left" w:pos="1134"/>
        </w:tabs>
        <w:ind w:left="567"/>
        <w:rPr>
          <w:lang w:val="es-ES"/>
        </w:rPr>
      </w:pPr>
    </w:p>
    <w:p w:rsidR="00221F0B" w:rsidRDefault="00221F0B" w:rsidP="00EB45DE">
      <w:pPr>
        <w:pStyle w:val="ListParagraph"/>
        <w:numPr>
          <w:ilvl w:val="0"/>
          <w:numId w:val="113"/>
        </w:numPr>
        <w:tabs>
          <w:tab w:val="left" w:pos="1134"/>
        </w:tabs>
        <w:ind w:left="567" w:firstLine="0"/>
        <w:rPr>
          <w:lang w:val="es-ES"/>
        </w:rPr>
      </w:pPr>
      <w:r w:rsidRPr="007674B6">
        <w:rPr>
          <w:lang w:val="es-ES"/>
        </w:rPr>
        <w:t>Se ultimó la subcontratación de la gestión de la infraestructura de red y del servidor al Centro Internacional de Cálculos Electrónicos de las Naciones Unidas para disponer de una cobertura ininterrumpida y actualizaciones puntuales.</w:t>
      </w:r>
    </w:p>
    <w:p w:rsidR="00221F0B" w:rsidRPr="007674B6" w:rsidRDefault="00221F0B" w:rsidP="00DC1333">
      <w:pPr>
        <w:pStyle w:val="ListParagraph"/>
        <w:tabs>
          <w:tab w:val="left" w:pos="1134"/>
        </w:tabs>
        <w:ind w:left="567"/>
        <w:rPr>
          <w:lang w:val="es-ES"/>
        </w:rPr>
      </w:pPr>
    </w:p>
    <w:p w:rsidR="00221F0B" w:rsidRDefault="00221F0B" w:rsidP="00EB45DE">
      <w:pPr>
        <w:pStyle w:val="ListParagraph"/>
        <w:numPr>
          <w:ilvl w:val="0"/>
          <w:numId w:val="113"/>
        </w:numPr>
        <w:tabs>
          <w:tab w:val="left" w:pos="1134"/>
        </w:tabs>
        <w:ind w:left="567" w:firstLine="0"/>
        <w:rPr>
          <w:lang w:val="es-ES"/>
        </w:rPr>
      </w:pPr>
      <w:r w:rsidRPr="00F05098">
        <w:rPr>
          <w:lang w:val="es-ES"/>
        </w:rPr>
        <w:t>Por medio de una estrecha colaboración con las principales partes interesadas, en 2014 se concluyeron acuerdos de prestación de servicios que permitieron determinar más explícitamente las necesidades en materia de TIC de sectores de actividad concretos y asegurar un seguimiento y supervisión más sistemáticos.</w:t>
      </w:r>
    </w:p>
    <w:p w:rsidR="00221F0B" w:rsidRPr="00F05098" w:rsidRDefault="00221F0B" w:rsidP="00DC1333">
      <w:pPr>
        <w:pStyle w:val="ListParagraph"/>
        <w:tabs>
          <w:tab w:val="left" w:pos="1134"/>
        </w:tabs>
        <w:ind w:left="567"/>
        <w:rPr>
          <w:lang w:val="es-ES"/>
        </w:rPr>
      </w:pPr>
    </w:p>
    <w:p w:rsidR="00221F0B" w:rsidRDefault="00221F0B" w:rsidP="00EB45DE">
      <w:pPr>
        <w:pStyle w:val="ListParagraph"/>
        <w:numPr>
          <w:ilvl w:val="0"/>
          <w:numId w:val="113"/>
        </w:numPr>
        <w:tabs>
          <w:tab w:val="left" w:pos="1134"/>
        </w:tabs>
        <w:ind w:left="567" w:firstLine="0"/>
        <w:rPr>
          <w:lang w:val="es-ES"/>
        </w:rPr>
      </w:pPr>
      <w:r w:rsidRPr="00F05098">
        <w:rPr>
          <w:lang w:val="es-ES"/>
        </w:rPr>
        <w:t>Gracias a un sistema de fax avanzado, introducido para lograr una integración sin fisuras con los sistemas informáticos del Sistema de Madrid, así como con los sistemas administrativos internos, aumentó la eficiencia y se redujeron sustancialmente los índices de errores de faxes, que hacían necesario emplear una importante cantidad de tiempo para volver a enviar los faxes de manera repetida.</w:t>
      </w:r>
    </w:p>
    <w:p w:rsidR="00221F0B" w:rsidRPr="00F05098" w:rsidRDefault="00221F0B" w:rsidP="00DC1333">
      <w:pPr>
        <w:pStyle w:val="ListParagraph"/>
        <w:tabs>
          <w:tab w:val="left" w:pos="1134"/>
        </w:tabs>
        <w:ind w:left="567"/>
        <w:rPr>
          <w:lang w:val="es-ES"/>
        </w:rPr>
      </w:pPr>
    </w:p>
    <w:p w:rsidR="00221F0B" w:rsidRDefault="00221F0B" w:rsidP="00EB45DE">
      <w:pPr>
        <w:pStyle w:val="ListParagraph"/>
        <w:numPr>
          <w:ilvl w:val="0"/>
          <w:numId w:val="113"/>
        </w:numPr>
        <w:tabs>
          <w:tab w:val="left" w:pos="1134"/>
        </w:tabs>
        <w:ind w:left="567" w:firstLine="0"/>
        <w:rPr>
          <w:lang w:val="es-ES"/>
        </w:rPr>
      </w:pPr>
      <w:r w:rsidRPr="00F05098">
        <w:rPr>
          <w:lang w:val="es-ES"/>
        </w:rPr>
        <w:t xml:space="preserve">En respuesta a las recomendaciones formuladas </w:t>
      </w:r>
      <w:r>
        <w:rPr>
          <w:lang w:val="es-ES"/>
        </w:rPr>
        <w:t xml:space="preserve">en 2014 por la Dependencia Común de Inspección en el </w:t>
      </w:r>
      <w:r w:rsidRPr="00F05098">
        <w:rPr>
          <w:lang w:val="es-ES"/>
        </w:rPr>
        <w:t>Examen de la gestión</w:t>
      </w:r>
      <w:r>
        <w:rPr>
          <w:lang w:val="es-ES"/>
        </w:rPr>
        <w:t xml:space="preserve"> y la administración en la OMPI y en posteriores evaluaciones internas, en 2015 se elaboró una Estrategia de gestión de los conocimientos</w:t>
      </w:r>
      <w:r w:rsidRPr="006771E9">
        <w:footnoteReference w:id="139"/>
      </w:r>
      <w:r w:rsidRPr="006771E9">
        <w:rPr>
          <w:sz w:val="16"/>
          <w:szCs w:val="16"/>
          <w:lang w:val="es-ES"/>
        </w:rPr>
        <w:t xml:space="preserve"> </w:t>
      </w:r>
      <w:r w:rsidRPr="007674B6">
        <w:rPr>
          <w:lang w:val="es-ES"/>
        </w:rPr>
        <w:t>con el fin de:</w:t>
      </w:r>
      <w:r>
        <w:rPr>
          <w:lang w:val="es-ES"/>
        </w:rPr>
        <w:t xml:space="preserve"> </w:t>
      </w:r>
      <w:r w:rsidRPr="007674B6">
        <w:rPr>
          <w:lang w:val="es-ES"/>
        </w:rPr>
        <w:t xml:space="preserve"> i) fomentar una cultura de gestión de los conocimientos en la OMPI;  ii) poner</w:t>
      </w:r>
      <w:r>
        <w:rPr>
          <w:lang w:val="es-ES"/>
        </w:rPr>
        <w:t xml:space="preserve"> en marcha en toda la Organización una serie de procesos y herramientas de gestión de los conocimientos;  iii) determinar y publicar una “única fuente fiable” de los activos de conocimiento e información;  y iv) </w:t>
      </w:r>
      <w:r w:rsidRPr="00F5755F">
        <w:rPr>
          <w:lang w:val="es-ES"/>
        </w:rPr>
        <w:t xml:space="preserve">ajustar e integrar la </w:t>
      </w:r>
      <w:r>
        <w:rPr>
          <w:lang w:val="es-ES"/>
        </w:rPr>
        <w:t>e</w:t>
      </w:r>
      <w:r w:rsidRPr="00F5755F">
        <w:rPr>
          <w:lang w:val="es-ES"/>
        </w:rPr>
        <w:t>strategia d</w:t>
      </w:r>
      <w:r>
        <w:rPr>
          <w:lang w:val="es-ES"/>
        </w:rPr>
        <w:t>e gestión de los conocimientos con</w:t>
      </w:r>
      <w:r w:rsidRPr="00F5755F">
        <w:rPr>
          <w:lang w:val="es-ES"/>
        </w:rPr>
        <w:t xml:space="preserve"> la </w:t>
      </w:r>
      <w:r>
        <w:rPr>
          <w:lang w:val="es-ES"/>
        </w:rPr>
        <w:t>e</w:t>
      </w:r>
      <w:r w:rsidRPr="00F5755F">
        <w:rPr>
          <w:lang w:val="es-ES"/>
        </w:rPr>
        <w:t xml:space="preserve">strategia institucional </w:t>
      </w:r>
      <w:r>
        <w:rPr>
          <w:lang w:val="es-ES"/>
        </w:rPr>
        <w:t xml:space="preserve">de la OMPI </w:t>
      </w:r>
      <w:r w:rsidRPr="00F5755F">
        <w:rPr>
          <w:lang w:val="es-ES"/>
        </w:rPr>
        <w:t>de reacción y recuperación.</w:t>
      </w:r>
    </w:p>
    <w:p w:rsidR="00221F0B" w:rsidRPr="00F05098" w:rsidRDefault="00221F0B" w:rsidP="00DC1333">
      <w:pPr>
        <w:pStyle w:val="ListParagraph"/>
        <w:tabs>
          <w:tab w:val="left" w:pos="1134"/>
        </w:tabs>
        <w:ind w:left="567"/>
        <w:rPr>
          <w:lang w:val="es-ES"/>
        </w:rPr>
      </w:pPr>
    </w:p>
    <w:p w:rsidR="00221F0B" w:rsidRDefault="00221F0B" w:rsidP="00EB45DE">
      <w:pPr>
        <w:pStyle w:val="ListParagraph"/>
        <w:numPr>
          <w:ilvl w:val="0"/>
          <w:numId w:val="113"/>
        </w:numPr>
        <w:tabs>
          <w:tab w:val="left" w:pos="1134"/>
        </w:tabs>
        <w:ind w:left="567" w:firstLine="0"/>
        <w:rPr>
          <w:lang w:val="es-ES"/>
        </w:rPr>
      </w:pPr>
      <w:r w:rsidRPr="009F6696">
        <w:rPr>
          <w:lang w:val="es-ES"/>
        </w:rPr>
        <w:t>Se definieron oficialmente los procedimientos para la transición, puesta en práctica y extensión de los proyectos de TIC a toda la Organización, a fin de establecer un flujo de transición más sistemático y sin contratiempos.</w:t>
      </w:r>
    </w:p>
    <w:p w:rsidR="00221F0B" w:rsidRPr="009F6696" w:rsidRDefault="00221F0B" w:rsidP="00DC1333">
      <w:pPr>
        <w:pStyle w:val="ListParagraph"/>
        <w:tabs>
          <w:tab w:val="left" w:pos="1134"/>
        </w:tabs>
        <w:ind w:left="567"/>
        <w:rPr>
          <w:lang w:val="es-ES"/>
        </w:rPr>
      </w:pPr>
    </w:p>
    <w:p w:rsidR="00221F0B" w:rsidRDefault="00221F0B" w:rsidP="00EB45DE">
      <w:pPr>
        <w:pStyle w:val="ListParagraph"/>
        <w:numPr>
          <w:ilvl w:val="0"/>
          <w:numId w:val="113"/>
        </w:numPr>
        <w:tabs>
          <w:tab w:val="left" w:pos="1134"/>
        </w:tabs>
        <w:ind w:left="567" w:firstLine="0"/>
        <w:rPr>
          <w:lang w:val="es-ES"/>
        </w:rPr>
      </w:pPr>
      <w:r w:rsidRPr="009F6696">
        <w:rPr>
          <w:lang w:val="es-ES"/>
        </w:rPr>
        <w:t xml:space="preserve">Se examinaron los contratos de servicios y los procesos operativos y se tomaron medidas para que las operaciones </w:t>
      </w:r>
      <w:r>
        <w:rPr>
          <w:lang w:val="es-ES"/>
        </w:rPr>
        <w:t>fueran</w:t>
      </w:r>
      <w:r w:rsidRPr="009F6696">
        <w:rPr>
          <w:lang w:val="es-ES"/>
        </w:rPr>
        <w:t xml:space="preserve"> más eficaces en función de los costos, lo que dio lugar a unos ahorros de aproximadamente 460.000 francos suizos en comparación con 2013.</w:t>
      </w:r>
    </w:p>
    <w:p w:rsidR="00221F0B" w:rsidRPr="009F6696" w:rsidRDefault="00221F0B" w:rsidP="00DC1333">
      <w:pPr>
        <w:pStyle w:val="ListParagraph"/>
        <w:tabs>
          <w:tab w:val="left" w:pos="1134"/>
        </w:tabs>
        <w:ind w:left="567"/>
        <w:rPr>
          <w:lang w:val="es-ES"/>
        </w:rPr>
      </w:pPr>
    </w:p>
    <w:p w:rsidR="00221F0B" w:rsidRPr="003E661D" w:rsidRDefault="00221F0B" w:rsidP="00EB45DE">
      <w:pPr>
        <w:pStyle w:val="ListParagraph"/>
        <w:numPr>
          <w:ilvl w:val="0"/>
          <w:numId w:val="110"/>
        </w:numPr>
        <w:tabs>
          <w:tab w:val="left" w:pos="709"/>
        </w:tabs>
        <w:ind w:left="0" w:firstLine="0"/>
        <w:jc w:val="both"/>
        <w:rPr>
          <w:bCs/>
          <w:lang w:val="es-ES"/>
        </w:rPr>
      </w:pPr>
      <w:r w:rsidRPr="003E661D">
        <w:rPr>
          <w:bCs/>
          <w:lang w:val="es-ES"/>
        </w:rPr>
        <w:t>En cuanto al aseguramiento de la información, en el bienio 2014/15 se llevó a cabo una reestructuración estratégica a nivel institucional mediante la incorporación de la Sección de Seguridad de la Información (ISS) englobada en la División de Seguridad y Aseguramiento de la Información (SIAD) creada recientemente, que permite una integración más adecuada de la seguridad física y de la seguridad de la información.</w:t>
      </w:r>
    </w:p>
    <w:p w:rsidR="00221F0B" w:rsidRPr="00BD316D" w:rsidRDefault="00221F0B" w:rsidP="00DC1333">
      <w:pPr>
        <w:pStyle w:val="ListParagraph"/>
        <w:ind w:left="0"/>
        <w:rPr>
          <w:lang w:val="es-ES"/>
        </w:rPr>
      </w:pPr>
    </w:p>
    <w:p w:rsidR="00221F0B" w:rsidRPr="003E661D" w:rsidRDefault="00221F0B" w:rsidP="00EB45DE">
      <w:pPr>
        <w:pStyle w:val="ListParagraph"/>
        <w:numPr>
          <w:ilvl w:val="0"/>
          <w:numId w:val="110"/>
        </w:numPr>
        <w:tabs>
          <w:tab w:val="left" w:pos="709"/>
        </w:tabs>
        <w:ind w:left="0" w:firstLine="0"/>
        <w:jc w:val="both"/>
        <w:rPr>
          <w:bCs/>
          <w:lang w:val="es-ES"/>
        </w:rPr>
      </w:pPr>
      <w:r w:rsidRPr="003E661D">
        <w:rPr>
          <w:bCs/>
          <w:lang w:val="es-ES"/>
        </w:rPr>
        <w:t>Si bien seguía en funcionamiento una buena parte de los mecanismos para el aseguramiento de la información, en el bienio 2014/15 se consiguieron varios logros importantes que contribuyeron en gran medida a mejorar la protección y la seguridad de la información y de los sistemas de la OMPI.</w:t>
      </w:r>
    </w:p>
    <w:p w:rsidR="00221F0B" w:rsidRPr="00F05098" w:rsidRDefault="00221F0B" w:rsidP="00DC1333">
      <w:pPr>
        <w:pStyle w:val="ListParagraph"/>
        <w:ind w:left="0"/>
        <w:rPr>
          <w:lang w:val="es-ES"/>
        </w:rPr>
      </w:pPr>
    </w:p>
    <w:p w:rsidR="00221F0B" w:rsidRPr="003E661D" w:rsidRDefault="00221F0B" w:rsidP="00EB45DE">
      <w:pPr>
        <w:pStyle w:val="ListParagraph"/>
        <w:numPr>
          <w:ilvl w:val="0"/>
          <w:numId w:val="110"/>
        </w:numPr>
        <w:tabs>
          <w:tab w:val="left" w:pos="709"/>
        </w:tabs>
        <w:ind w:left="0" w:firstLine="0"/>
        <w:jc w:val="both"/>
        <w:rPr>
          <w:bCs/>
          <w:lang w:val="es-ES"/>
        </w:rPr>
      </w:pPr>
      <w:r w:rsidRPr="003E661D">
        <w:rPr>
          <w:bCs/>
          <w:lang w:val="es-ES"/>
        </w:rPr>
        <w:t>En el marco del proceso de mejora continua impulsado por la</w:t>
      </w:r>
      <w:r w:rsidR="00106631">
        <w:rPr>
          <w:bCs/>
          <w:lang w:val="es-ES"/>
        </w:rPr>
        <w:t xml:space="preserve"> Norma ISO 27001, en octubre de </w:t>
      </w:r>
      <w:r w:rsidRPr="003E661D">
        <w:rPr>
          <w:bCs/>
          <w:lang w:val="es-ES"/>
        </w:rPr>
        <w:t>2014 el PCT se sometió a la segunda ronda de auditorías de supervisión externa para obtener la certificación ISO 27001, y al mismo tiempo se pasó de la certificación de la versión de 2005 a la más reciente ISO 27001:2013.  En octubre de 2015, se amplió la certificación para dar cabida a las operaciones de los sistemas de Madrid y de La Haya, además del Sistema del PCT.  No se señalaron faltas de conformidad de mayor o menor entidad.</w:t>
      </w:r>
    </w:p>
    <w:p w:rsidR="00221F0B" w:rsidRPr="00F05098" w:rsidRDefault="00221F0B" w:rsidP="00DC1333">
      <w:pPr>
        <w:pStyle w:val="ListParagraph"/>
        <w:ind w:left="0"/>
        <w:rPr>
          <w:lang w:val="es-ES"/>
        </w:rPr>
      </w:pPr>
    </w:p>
    <w:p w:rsidR="00221F0B" w:rsidRPr="003E661D" w:rsidRDefault="00221F0B" w:rsidP="00EB45DE">
      <w:pPr>
        <w:pStyle w:val="ListParagraph"/>
        <w:numPr>
          <w:ilvl w:val="0"/>
          <w:numId w:val="110"/>
        </w:numPr>
        <w:tabs>
          <w:tab w:val="left" w:pos="709"/>
        </w:tabs>
        <w:ind w:left="0" w:firstLine="0"/>
        <w:jc w:val="both"/>
        <w:rPr>
          <w:bCs/>
          <w:lang w:val="es-ES"/>
        </w:rPr>
      </w:pPr>
      <w:r w:rsidRPr="003E661D">
        <w:rPr>
          <w:bCs/>
          <w:lang w:val="es-ES"/>
        </w:rPr>
        <w:t xml:space="preserve">Tras la reestructuración institucional, </w:t>
      </w:r>
      <w:r w:rsidR="005E7D72">
        <w:rPr>
          <w:bCs/>
          <w:lang w:val="es-ES"/>
        </w:rPr>
        <w:t xml:space="preserve">a resultas de la cual se creó una nueva División de Seguridad y Aseguramiento de la Información (SIAD por sus siglas en inglés), </w:t>
      </w:r>
      <w:r w:rsidRPr="003E661D">
        <w:rPr>
          <w:bCs/>
          <w:lang w:val="es-ES"/>
        </w:rPr>
        <w:t>en el año 2015 se elaboró y se aprobó una Estrategia de aseguramiento de la información destinada a velar por que se ofrezcan soluciones de P.I. seguras y de alta calidad a los Estados miembros y a los usuarios.</w:t>
      </w:r>
    </w:p>
    <w:p w:rsidR="00221F0B" w:rsidRPr="00F05098" w:rsidRDefault="00221F0B" w:rsidP="00DC1333">
      <w:pPr>
        <w:pStyle w:val="ListParagraph"/>
        <w:ind w:left="0"/>
        <w:rPr>
          <w:highlight w:val="yellow"/>
          <w:lang w:val="es-ES"/>
        </w:rPr>
      </w:pPr>
    </w:p>
    <w:p w:rsidR="00221F0B" w:rsidRPr="003E661D" w:rsidRDefault="00221F0B" w:rsidP="00EB45DE">
      <w:pPr>
        <w:pStyle w:val="ListParagraph"/>
        <w:numPr>
          <w:ilvl w:val="0"/>
          <w:numId w:val="110"/>
        </w:numPr>
        <w:tabs>
          <w:tab w:val="left" w:pos="709"/>
        </w:tabs>
        <w:ind w:left="0" w:firstLine="0"/>
        <w:jc w:val="both"/>
        <w:rPr>
          <w:bCs/>
          <w:lang w:val="es-ES"/>
        </w:rPr>
      </w:pPr>
      <w:r w:rsidRPr="003E661D">
        <w:rPr>
          <w:bCs/>
          <w:lang w:val="es-ES"/>
        </w:rPr>
        <w:t xml:space="preserve">Además, se adoptaron medidas importantes para mejorar las capacidades técnicas en materia de seguridad en los ámbitos de la gestión de cuentas privilegiadas, gestión de la información y de los incidentes de seguridad, supervisión y alerta de indicadores de  potenciales violaciones de la seguridad.  En 2014, se terminó de ejecutar el proyecto de instalación completa del sistema </w:t>
      </w:r>
      <w:proofErr w:type="spellStart"/>
      <w:r w:rsidRPr="003E661D">
        <w:rPr>
          <w:bCs/>
          <w:lang w:val="es-ES"/>
        </w:rPr>
        <w:t>ArcSight</w:t>
      </w:r>
      <w:proofErr w:type="spellEnd"/>
      <w:r w:rsidRPr="003E661D">
        <w:rPr>
          <w:bCs/>
          <w:lang w:val="es-ES"/>
        </w:rPr>
        <w:t xml:space="preserve"> de gestión de la información y de los incidentes de seguridad (SEIM), lo que posibilita visualizar más claramente los posibles incidentes de seguridad en la red de T.I. de la OMPI, y permite dar una respuesta más eficaz y eficiente a los incidentes.  La instalación e integración de dichas soluciones técnicas redujo en gran medida el tiempo necesario para detectar y responder a los posibles ciberataques o violaciones de la seguridad de los datos.  En consecuencia, se redujo al mínimo el número de incidentes graves, y solo se produjo un incidente de importancia en cada año del bienio, sin que hubiera pérdidas de datos ni se pusiera en peligro su seguridad.</w:t>
      </w:r>
    </w:p>
    <w:p w:rsidR="00221F0B" w:rsidRPr="00B51FCC" w:rsidRDefault="00221F0B" w:rsidP="00DC1333"/>
    <w:p w:rsidR="00221F0B" w:rsidRPr="003E661D" w:rsidRDefault="00221F0B" w:rsidP="00EB45DE">
      <w:pPr>
        <w:pStyle w:val="ListParagraph"/>
        <w:numPr>
          <w:ilvl w:val="0"/>
          <w:numId w:val="110"/>
        </w:numPr>
        <w:tabs>
          <w:tab w:val="left" w:pos="709"/>
        </w:tabs>
        <w:ind w:left="0" w:firstLine="0"/>
        <w:jc w:val="both"/>
        <w:rPr>
          <w:bCs/>
          <w:lang w:val="es-ES"/>
        </w:rPr>
      </w:pPr>
      <w:r w:rsidRPr="003E661D">
        <w:rPr>
          <w:bCs/>
          <w:lang w:val="es-ES"/>
        </w:rPr>
        <w:t>La S</w:t>
      </w:r>
      <w:r w:rsidR="005E7D72">
        <w:rPr>
          <w:bCs/>
          <w:lang w:val="es-ES"/>
        </w:rPr>
        <w:t>IAD</w:t>
      </w:r>
      <w:r w:rsidRPr="003E661D">
        <w:rPr>
          <w:bCs/>
          <w:lang w:val="es-ES"/>
        </w:rPr>
        <w:t xml:space="preserve"> también contribuyó a</w:t>
      </w:r>
      <w:r w:rsidR="00F41D85">
        <w:rPr>
          <w:bCs/>
          <w:lang w:val="es-ES"/>
        </w:rPr>
        <w:t xml:space="preserve"> la selección e implantación en </w:t>
      </w:r>
      <w:r w:rsidRPr="003E661D">
        <w:rPr>
          <w:bCs/>
          <w:lang w:val="es-ES"/>
        </w:rPr>
        <w:t>2014 de un sistema de gestión institucional de riesgos (</w:t>
      </w:r>
      <w:proofErr w:type="spellStart"/>
      <w:r w:rsidRPr="003E661D">
        <w:rPr>
          <w:bCs/>
          <w:lang w:val="es-ES"/>
        </w:rPr>
        <w:t>Acuity</w:t>
      </w:r>
      <w:proofErr w:type="spellEnd"/>
      <w:r w:rsidRPr="003E661D">
        <w:rPr>
          <w:bCs/>
          <w:lang w:val="es-ES"/>
        </w:rPr>
        <w:t xml:space="preserve"> </w:t>
      </w:r>
      <w:proofErr w:type="spellStart"/>
      <w:r w:rsidRPr="003E661D">
        <w:rPr>
          <w:bCs/>
          <w:lang w:val="es-ES"/>
        </w:rPr>
        <w:t>Stream</w:t>
      </w:r>
      <w:proofErr w:type="spellEnd"/>
      <w:r w:rsidRPr="003E661D">
        <w:rPr>
          <w:bCs/>
          <w:lang w:val="es-ES"/>
        </w:rPr>
        <w:t xml:space="preserve">) destinado a aumentar la capacidad de gestión institucional de riesgos en la OMPI y posibilitar la integración total de los procesos de gestión del riesgo, basados en las normas ISO, en los enfoques de gestión de riesgos de la Organización.  En 2015, se amplió el uso del sistema de gestión institucional de riesgos </w:t>
      </w:r>
      <w:proofErr w:type="spellStart"/>
      <w:r w:rsidRPr="003E661D">
        <w:rPr>
          <w:bCs/>
          <w:lang w:val="es-ES"/>
        </w:rPr>
        <w:t>Acuity</w:t>
      </w:r>
      <w:proofErr w:type="spellEnd"/>
      <w:r w:rsidRPr="003E661D">
        <w:rPr>
          <w:bCs/>
          <w:lang w:val="es-ES"/>
        </w:rPr>
        <w:t xml:space="preserve"> </w:t>
      </w:r>
      <w:proofErr w:type="spellStart"/>
      <w:r w:rsidRPr="003E661D">
        <w:rPr>
          <w:bCs/>
          <w:lang w:val="es-ES"/>
        </w:rPr>
        <w:t>Stream</w:t>
      </w:r>
      <w:proofErr w:type="spellEnd"/>
      <w:r w:rsidRPr="003E661D">
        <w:rPr>
          <w:bCs/>
          <w:lang w:val="es-ES"/>
        </w:rPr>
        <w:t xml:space="preserve"> a la gestión de los riesgos de información relacionados con las normas ISO, como parte de la ampliación del alcance de la certificación ISO 27001.</w:t>
      </w:r>
    </w:p>
    <w:p w:rsidR="00221F0B" w:rsidRPr="00B51FCC" w:rsidRDefault="00221F0B" w:rsidP="00DC1333"/>
    <w:p w:rsidR="00221F0B" w:rsidRPr="003E661D" w:rsidRDefault="00221F0B" w:rsidP="00EB45DE">
      <w:pPr>
        <w:pStyle w:val="ListParagraph"/>
        <w:numPr>
          <w:ilvl w:val="0"/>
          <w:numId w:val="110"/>
        </w:numPr>
        <w:tabs>
          <w:tab w:val="left" w:pos="709"/>
        </w:tabs>
        <w:ind w:left="0" w:firstLine="0"/>
        <w:jc w:val="both"/>
        <w:rPr>
          <w:bCs/>
          <w:lang w:val="es-ES"/>
        </w:rPr>
      </w:pPr>
      <w:r w:rsidRPr="003E661D">
        <w:rPr>
          <w:bCs/>
          <w:lang w:val="es-ES"/>
        </w:rPr>
        <w:t>Las campañas contra el fraude por Internet, puestas en marcha inicialmente en 2014, siguieron fomentando la concienciación de los usuarios respecto de las amenazas a la seguridad de la información, como pone de manifiesto el notable aumento del número de usuarios que dieron cuenta de intentos de fraude de ese tipo (que pasó del 1% en 2014 al 59% en 2015), así como a la disminución del número de usuarios que se dejaron engañar en las campañas contra el fraude por Internet (que pasó de una media del 17% en 2014 a una media del 7% en 2015).</w:t>
      </w:r>
    </w:p>
    <w:p w:rsidR="00221F0B" w:rsidRPr="00F05098" w:rsidRDefault="00221F0B" w:rsidP="00DC1333">
      <w:pPr>
        <w:pStyle w:val="ListParagraph"/>
        <w:ind w:left="0"/>
        <w:rPr>
          <w:lang w:val="es-ES"/>
        </w:rPr>
      </w:pPr>
    </w:p>
    <w:p w:rsidR="00221F0B" w:rsidRPr="003E661D" w:rsidRDefault="00221F0B" w:rsidP="00EB45DE">
      <w:pPr>
        <w:pStyle w:val="ListParagraph"/>
        <w:numPr>
          <w:ilvl w:val="0"/>
          <w:numId w:val="110"/>
        </w:numPr>
        <w:tabs>
          <w:tab w:val="left" w:pos="709"/>
        </w:tabs>
        <w:ind w:left="0" w:firstLine="0"/>
        <w:jc w:val="both"/>
        <w:rPr>
          <w:bCs/>
          <w:lang w:val="es-ES"/>
        </w:rPr>
      </w:pPr>
      <w:r w:rsidRPr="003E661D">
        <w:rPr>
          <w:bCs/>
          <w:lang w:val="es-ES"/>
        </w:rPr>
        <w:t xml:space="preserve">Mediante las evaluaciones de riesgos y la prestación de asistencia para la mitigación de riesgos ejecutadas con la mayor calidad, la Sección de Seguridad de la Información también prestó apoyo a varias iniciativas, como la GOA, el entorno de dispositivos móviles de la OMPI y la solución de contratación en la nube, </w:t>
      </w:r>
      <w:proofErr w:type="spellStart"/>
      <w:r w:rsidRPr="003E661D">
        <w:rPr>
          <w:bCs/>
          <w:lang w:val="es-ES"/>
        </w:rPr>
        <w:t>Taleo</w:t>
      </w:r>
      <w:proofErr w:type="spellEnd"/>
      <w:r w:rsidRPr="003E661D">
        <w:rPr>
          <w:bCs/>
          <w:lang w:val="es-ES"/>
        </w:rPr>
        <w:t xml:space="preserve">, y colaboró estrechamente con los equipos de desarrollo de aplicaciones del PCT con miras a elaborar y poner en práctica un sistema de gestión del ciclo de vida para el </w:t>
      </w:r>
      <w:r w:rsidRPr="003E661D">
        <w:rPr>
          <w:bCs/>
          <w:lang w:val="es-ES"/>
        </w:rPr>
        <w:lastRenderedPageBreak/>
        <w:t xml:space="preserve">desarrollo seguro de aplicaciones que permite abordar el cumplimiento de los requisitos y los controles de la seguridad de la información desde el inicio de los proyectos, reduciendo así considerablemente la cantidad de operaciones necesarias para volver a pasar las pruebas de seguridad de las aplicaciones. </w:t>
      </w:r>
    </w:p>
    <w:p w:rsidR="00221F0B" w:rsidRDefault="00221F0B" w:rsidP="00DC1333">
      <w:pPr>
        <w:rPr>
          <w:color w:val="000000" w:themeColor="text1"/>
          <w:szCs w:val="22"/>
        </w:rPr>
      </w:pPr>
    </w:p>
    <w:p w:rsidR="00221F0B" w:rsidRPr="00F05098" w:rsidRDefault="00221F0B" w:rsidP="00DC1333">
      <w:pPr>
        <w:rPr>
          <w:color w:val="000000" w:themeColor="text1"/>
          <w:szCs w:val="22"/>
        </w:rPr>
      </w:pPr>
    </w:p>
    <w:p w:rsidR="00221F0B" w:rsidRDefault="008F7CBE" w:rsidP="00DC1333">
      <w:pPr>
        <w:rPr>
          <w:color w:val="000000" w:themeColor="text1"/>
          <w:szCs w:val="22"/>
        </w:rPr>
      </w:pPr>
      <w:r w:rsidRPr="008F7CBE">
        <w:rPr>
          <w:color w:val="000000" w:themeColor="text1"/>
          <w:sz w:val="20"/>
          <w:szCs w:val="22"/>
        </w:rPr>
        <w:t>DATOS SOBRE EL RENDIMIENTO</w:t>
      </w:r>
    </w:p>
    <w:p w:rsidR="00221F0B" w:rsidRPr="00F05098" w:rsidRDefault="00221F0B" w:rsidP="00DC1333">
      <w:pPr>
        <w:rPr>
          <w:color w:val="000000" w:themeColor="text1"/>
          <w:szCs w:val="22"/>
        </w:rPr>
      </w:pPr>
    </w:p>
    <w:tbl>
      <w:tblPr>
        <w:tblW w:w="4814"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83"/>
        <w:gridCol w:w="477"/>
        <w:gridCol w:w="1834"/>
        <w:gridCol w:w="1493"/>
        <w:gridCol w:w="11"/>
        <w:gridCol w:w="2685"/>
        <w:gridCol w:w="1132"/>
      </w:tblGrid>
      <w:tr w:rsidR="00221F0B" w:rsidRPr="00A0512D" w:rsidTr="00DC1333">
        <w:trPr>
          <w:cantSplit/>
        </w:trPr>
        <w:tc>
          <w:tcPr>
            <w:tcW w:w="5000" w:type="pct"/>
            <w:gridSpan w:val="7"/>
            <w:tcBorders>
              <w:top w:val="single" w:sz="4" w:space="0" w:color="auto"/>
              <w:bottom w:val="single" w:sz="4" w:space="0" w:color="auto"/>
            </w:tcBorders>
            <w:shd w:val="clear" w:color="auto" w:fill="C6D9F1" w:themeFill="text2" w:themeFillTint="33"/>
            <w:vAlign w:val="center"/>
          </w:tcPr>
          <w:p w:rsidR="00221F0B" w:rsidRPr="00F05098" w:rsidRDefault="00221F0B" w:rsidP="00DC1333">
            <w:pPr>
              <w:keepNext/>
              <w:keepLines/>
              <w:spacing w:before="120" w:after="120"/>
              <w:ind w:left="2019" w:hanging="2019"/>
              <w:rPr>
                <w:b/>
                <w:bCs/>
                <w:color w:val="000000" w:themeColor="text1"/>
                <w:sz w:val="16"/>
                <w:szCs w:val="16"/>
              </w:rPr>
            </w:pPr>
            <w:r w:rsidRPr="00F05098">
              <w:rPr>
                <w:b/>
                <w:bCs/>
                <w:sz w:val="16"/>
                <w:szCs w:val="16"/>
              </w:rPr>
              <w:t>Resultado previsto:</w:t>
            </w:r>
            <w:r w:rsidRPr="00F05098">
              <w:rPr>
                <w:b/>
                <w:bCs/>
                <w:sz w:val="16"/>
                <w:szCs w:val="16"/>
              </w:rPr>
              <w:tab/>
            </w:r>
            <w:r w:rsidRPr="00F05098">
              <w:rPr>
                <w:bCs/>
                <w:sz w:val="16"/>
                <w:szCs w:val="16"/>
              </w:rPr>
              <w:t>IX.1 Servicios de apoyo eficaces, eficientes, de calidad y orientados al cliente, tanto a los clientes internos como a las partes interesadas externas</w:t>
            </w:r>
          </w:p>
        </w:tc>
      </w:tr>
      <w:tr w:rsidR="00221F0B" w:rsidRPr="00F05098" w:rsidTr="00DC1333">
        <w:trPr>
          <w:cantSplit/>
        </w:trPr>
        <w:tc>
          <w:tcPr>
            <w:tcW w:w="859" w:type="pct"/>
            <w:tcBorders>
              <w:top w:val="single" w:sz="4" w:space="0" w:color="auto"/>
              <w:left w:val="single" w:sz="4" w:space="0" w:color="auto"/>
              <w:bottom w:val="nil"/>
            </w:tcBorders>
            <w:shd w:val="clear" w:color="auto" w:fill="auto"/>
            <w:vAlign w:val="center"/>
          </w:tcPr>
          <w:p w:rsidR="00221F0B" w:rsidRPr="00F05098" w:rsidRDefault="00221F0B" w:rsidP="00DC1333">
            <w:pPr>
              <w:rPr>
                <w:color w:val="000000" w:themeColor="text1"/>
                <w:sz w:val="16"/>
                <w:szCs w:val="16"/>
              </w:rPr>
            </w:pPr>
            <w:r w:rsidRPr="00F05098">
              <w:rPr>
                <w:b/>
                <w:sz w:val="16"/>
                <w:szCs w:val="16"/>
              </w:rPr>
              <w:t>Indicadores de rendimiento</w:t>
            </w:r>
          </w:p>
        </w:tc>
        <w:tc>
          <w:tcPr>
            <w:tcW w:w="1254" w:type="pct"/>
            <w:gridSpan w:val="2"/>
            <w:tcBorders>
              <w:top w:val="single" w:sz="4" w:space="0" w:color="auto"/>
              <w:bottom w:val="nil"/>
            </w:tcBorders>
            <w:shd w:val="clear" w:color="auto" w:fill="auto"/>
            <w:vAlign w:val="center"/>
          </w:tcPr>
          <w:p w:rsidR="00221F0B" w:rsidRPr="00F05098" w:rsidRDefault="00221F0B" w:rsidP="00DC1333">
            <w:pPr>
              <w:rPr>
                <w:b/>
                <w:bCs/>
                <w:color w:val="000000" w:themeColor="text1"/>
                <w:sz w:val="16"/>
                <w:szCs w:val="16"/>
              </w:rPr>
            </w:pPr>
            <w:r w:rsidRPr="00F05098">
              <w:rPr>
                <w:b/>
                <w:bCs/>
                <w:sz w:val="16"/>
                <w:szCs w:val="16"/>
              </w:rPr>
              <w:t>Referencia</w:t>
            </w:r>
          </w:p>
        </w:tc>
        <w:tc>
          <w:tcPr>
            <w:tcW w:w="810" w:type="pct"/>
            <w:tcBorders>
              <w:top w:val="single" w:sz="4" w:space="0" w:color="auto"/>
              <w:bottom w:val="nil"/>
            </w:tcBorders>
            <w:shd w:val="clear" w:color="auto" w:fill="auto"/>
            <w:tcMar>
              <w:top w:w="110" w:type="dxa"/>
            </w:tcMar>
            <w:vAlign w:val="center"/>
          </w:tcPr>
          <w:p w:rsidR="00221F0B" w:rsidRPr="00F05098" w:rsidRDefault="00221F0B" w:rsidP="00DC1333">
            <w:pPr>
              <w:rPr>
                <w:b/>
                <w:color w:val="000000" w:themeColor="text1"/>
                <w:sz w:val="16"/>
                <w:szCs w:val="16"/>
              </w:rPr>
            </w:pPr>
            <w:r w:rsidRPr="00F05098">
              <w:rPr>
                <w:b/>
                <w:sz w:val="16"/>
                <w:szCs w:val="16"/>
              </w:rPr>
              <w:t>Objetivos</w:t>
            </w:r>
          </w:p>
        </w:tc>
        <w:tc>
          <w:tcPr>
            <w:tcW w:w="1463" w:type="pct"/>
            <w:gridSpan w:val="2"/>
            <w:tcBorders>
              <w:top w:val="single" w:sz="4" w:space="0" w:color="auto"/>
              <w:bottom w:val="nil"/>
            </w:tcBorders>
            <w:shd w:val="clear" w:color="auto" w:fill="FFFFFF"/>
            <w:tcMar>
              <w:top w:w="110" w:type="dxa"/>
            </w:tcMar>
            <w:vAlign w:val="center"/>
          </w:tcPr>
          <w:p w:rsidR="00221F0B" w:rsidRPr="00F05098" w:rsidRDefault="00221F0B" w:rsidP="00DC1333">
            <w:pPr>
              <w:rPr>
                <w:color w:val="000000" w:themeColor="text1"/>
                <w:sz w:val="16"/>
                <w:szCs w:val="16"/>
              </w:rPr>
            </w:pPr>
            <w:r w:rsidRPr="00F05098">
              <w:rPr>
                <w:b/>
                <w:sz w:val="16"/>
                <w:szCs w:val="16"/>
              </w:rPr>
              <w:t>Datos sobre el rendimiento</w:t>
            </w:r>
          </w:p>
        </w:tc>
        <w:tc>
          <w:tcPr>
            <w:tcW w:w="614" w:type="pct"/>
            <w:tcBorders>
              <w:top w:val="single" w:sz="4" w:space="0" w:color="auto"/>
              <w:bottom w:val="nil"/>
              <w:right w:val="single" w:sz="4" w:space="0" w:color="auto"/>
            </w:tcBorders>
            <w:shd w:val="clear" w:color="auto" w:fill="auto"/>
            <w:tcMar>
              <w:top w:w="110" w:type="dxa"/>
            </w:tcMar>
            <w:vAlign w:val="center"/>
          </w:tcPr>
          <w:p w:rsidR="00221F0B" w:rsidRPr="00F05098" w:rsidRDefault="00221F0B" w:rsidP="00DC1333">
            <w:pPr>
              <w:keepNext/>
              <w:keepLines/>
              <w:jc w:val="center"/>
              <w:rPr>
                <w:b/>
                <w:bCs/>
                <w:color w:val="000000" w:themeColor="text1"/>
                <w:sz w:val="16"/>
                <w:szCs w:val="16"/>
              </w:rPr>
            </w:pPr>
            <w:r w:rsidRPr="00F05098">
              <w:rPr>
                <w:b/>
                <w:bCs/>
                <w:sz w:val="16"/>
                <w:szCs w:val="16"/>
              </w:rPr>
              <w:t>Clave de colores</w:t>
            </w:r>
          </w:p>
        </w:tc>
      </w:tr>
      <w:tr w:rsidR="00221F0B" w:rsidRPr="00F05098" w:rsidTr="00DC1333">
        <w:trPr>
          <w:cantSplit/>
        </w:trPr>
        <w:tc>
          <w:tcPr>
            <w:tcW w:w="859" w:type="pct"/>
            <w:tcBorders>
              <w:top w:val="nil"/>
              <w:left w:val="single" w:sz="4" w:space="0" w:color="auto"/>
              <w:bottom w:val="nil"/>
            </w:tcBorders>
            <w:shd w:val="clear" w:color="auto" w:fill="auto"/>
          </w:tcPr>
          <w:p w:rsidR="00221F0B" w:rsidRPr="00F05098" w:rsidRDefault="00221F0B" w:rsidP="00DC1333">
            <w:pPr>
              <w:rPr>
                <w:color w:val="000000" w:themeColor="text1"/>
                <w:sz w:val="16"/>
                <w:szCs w:val="16"/>
              </w:rPr>
            </w:pPr>
            <w:r w:rsidRPr="00F05098">
              <w:rPr>
                <w:sz w:val="16"/>
                <w:szCs w:val="16"/>
              </w:rPr>
              <w:t>Los costos unitarios de alojamiento de infraestructuras están al nivel de la referencia o por debajo de ella</w:t>
            </w:r>
          </w:p>
        </w:tc>
        <w:tc>
          <w:tcPr>
            <w:tcW w:w="1254" w:type="pct"/>
            <w:gridSpan w:val="2"/>
            <w:tcBorders>
              <w:top w:val="nil"/>
              <w:bottom w:val="nil"/>
            </w:tcBorders>
            <w:shd w:val="clear" w:color="auto" w:fill="auto"/>
          </w:tcPr>
          <w:p w:rsidR="00221F0B" w:rsidRPr="00F05098" w:rsidRDefault="00221F0B" w:rsidP="00DC1333">
            <w:pPr>
              <w:rPr>
                <w:color w:val="002060"/>
                <w:sz w:val="16"/>
                <w:szCs w:val="16"/>
              </w:rPr>
            </w:pPr>
            <w:r w:rsidRPr="00F05098">
              <w:rPr>
                <w:i/>
                <w:color w:val="002060"/>
                <w:sz w:val="16"/>
                <w:szCs w:val="16"/>
              </w:rPr>
              <w:t>Referencia actualizada a fines de 2013:</w:t>
            </w:r>
            <w:r w:rsidRPr="00F05098">
              <w:rPr>
                <w:color w:val="002060"/>
                <w:sz w:val="16"/>
                <w:szCs w:val="16"/>
              </w:rPr>
              <w:t xml:space="preserve"> </w:t>
            </w:r>
          </w:p>
          <w:p w:rsidR="00221F0B" w:rsidRPr="00F05098" w:rsidRDefault="00221F0B" w:rsidP="00DC1333">
            <w:pPr>
              <w:rPr>
                <w:color w:val="002060"/>
                <w:sz w:val="16"/>
                <w:szCs w:val="16"/>
              </w:rPr>
            </w:pPr>
            <w:r w:rsidRPr="00F05098">
              <w:rPr>
                <w:color w:val="002060"/>
                <w:sz w:val="16"/>
                <w:szCs w:val="16"/>
              </w:rPr>
              <w:t>Costo mensual del apoyo al servidor institucional: $280;</w:t>
            </w:r>
          </w:p>
          <w:p w:rsidR="00221F0B" w:rsidRPr="00F05098" w:rsidRDefault="00221F0B" w:rsidP="00DC1333">
            <w:pPr>
              <w:rPr>
                <w:color w:val="002060"/>
                <w:sz w:val="16"/>
                <w:szCs w:val="16"/>
              </w:rPr>
            </w:pPr>
            <w:r w:rsidRPr="00F05098">
              <w:rPr>
                <w:color w:val="002060"/>
                <w:sz w:val="16"/>
                <w:szCs w:val="16"/>
              </w:rPr>
              <w:t xml:space="preserve">costo mensual del servidor virtual  (de 2 núcleos y 8 GB): $229; </w:t>
            </w:r>
          </w:p>
          <w:p w:rsidR="00221F0B" w:rsidRPr="00F05098" w:rsidRDefault="00221F0B" w:rsidP="00DC1333">
            <w:pPr>
              <w:rPr>
                <w:color w:val="002060"/>
                <w:sz w:val="16"/>
                <w:szCs w:val="16"/>
              </w:rPr>
            </w:pPr>
            <w:r w:rsidRPr="00F05098">
              <w:rPr>
                <w:color w:val="002060"/>
                <w:sz w:val="16"/>
                <w:szCs w:val="16"/>
              </w:rPr>
              <w:t>costo medio mensual</w:t>
            </w:r>
          </w:p>
          <w:p w:rsidR="00221F0B" w:rsidRPr="00F05098" w:rsidRDefault="00221F0B" w:rsidP="00DC1333">
            <w:pPr>
              <w:rPr>
                <w:color w:val="002060"/>
                <w:sz w:val="16"/>
                <w:szCs w:val="16"/>
              </w:rPr>
            </w:pPr>
            <w:r w:rsidRPr="00F05098">
              <w:rPr>
                <w:color w:val="002060"/>
                <w:sz w:val="16"/>
                <w:szCs w:val="16"/>
              </w:rPr>
              <w:t>del almacenamiento de alto rendimiento: $420/TB;  costo medio mensual del almacenamiento de seguridad: $53,9</w:t>
            </w:r>
          </w:p>
          <w:p w:rsidR="00221F0B" w:rsidRPr="00F05098" w:rsidRDefault="00221F0B" w:rsidP="00DC1333">
            <w:pPr>
              <w:rPr>
                <w:i/>
                <w:sz w:val="8"/>
                <w:szCs w:val="8"/>
              </w:rPr>
            </w:pPr>
          </w:p>
          <w:p w:rsidR="00221F0B" w:rsidRPr="00F05098" w:rsidRDefault="00221F0B" w:rsidP="00DC1333">
            <w:pPr>
              <w:rPr>
                <w:color w:val="000000" w:themeColor="text1"/>
                <w:sz w:val="16"/>
                <w:szCs w:val="16"/>
              </w:rPr>
            </w:pPr>
            <w:r w:rsidRPr="00F05098">
              <w:rPr>
                <w:i/>
                <w:sz w:val="16"/>
                <w:szCs w:val="16"/>
              </w:rPr>
              <w:t xml:space="preserve">Referencia original en el presupuesto de 2014/15: </w:t>
            </w:r>
            <w:r w:rsidRPr="00F05098">
              <w:rPr>
                <w:color w:val="000000" w:themeColor="text1"/>
                <w:sz w:val="16"/>
                <w:szCs w:val="16"/>
              </w:rPr>
              <w:t xml:space="preserve">Costos unitarios de los servidores virtuales y físicos, del almacenamiento y las copias de seguridad  </w:t>
            </w:r>
          </w:p>
        </w:tc>
        <w:tc>
          <w:tcPr>
            <w:tcW w:w="810" w:type="pct"/>
            <w:tcBorders>
              <w:top w:val="nil"/>
              <w:bottom w:val="nil"/>
            </w:tcBorders>
            <w:shd w:val="clear" w:color="auto" w:fill="auto"/>
            <w:tcMar>
              <w:top w:w="110" w:type="dxa"/>
            </w:tcMar>
          </w:tcPr>
          <w:p w:rsidR="00221F0B" w:rsidRPr="00F05098" w:rsidRDefault="00221F0B" w:rsidP="00DC1333">
            <w:pPr>
              <w:rPr>
                <w:color w:val="000000" w:themeColor="text1"/>
                <w:sz w:val="16"/>
                <w:szCs w:val="16"/>
              </w:rPr>
            </w:pPr>
            <w:r w:rsidRPr="00F05098">
              <w:rPr>
                <w:color w:val="000000" w:themeColor="text1"/>
                <w:sz w:val="16"/>
                <w:szCs w:val="16"/>
              </w:rPr>
              <w:t>Los costos unitarios de alojamiento de infraestructuras están al nivel de la referencia o por debajo de ella</w:t>
            </w:r>
          </w:p>
        </w:tc>
        <w:tc>
          <w:tcPr>
            <w:tcW w:w="1463" w:type="pct"/>
            <w:gridSpan w:val="2"/>
            <w:tcBorders>
              <w:top w:val="nil"/>
              <w:bottom w:val="nil"/>
            </w:tcBorders>
            <w:shd w:val="clear" w:color="auto" w:fill="FFFFFF"/>
            <w:tcMar>
              <w:top w:w="110" w:type="dxa"/>
            </w:tcMar>
          </w:tcPr>
          <w:p w:rsidR="00221F0B" w:rsidRPr="00CB2DD9" w:rsidRDefault="00221F0B" w:rsidP="00DC1333">
            <w:pPr>
              <w:rPr>
                <w:color w:val="000000" w:themeColor="text1"/>
                <w:sz w:val="16"/>
                <w:szCs w:val="16"/>
              </w:rPr>
            </w:pPr>
            <w:r w:rsidRPr="00CB2DD9">
              <w:rPr>
                <w:color w:val="000000" w:themeColor="text1"/>
                <w:sz w:val="16"/>
                <w:szCs w:val="16"/>
              </w:rPr>
              <w:t>2014: Se mantienen las tarifas de referencia.  Se negocian nuevas tarifas.</w:t>
            </w:r>
          </w:p>
          <w:p w:rsidR="00221F0B" w:rsidRPr="00CB2DD9" w:rsidRDefault="00221F0B" w:rsidP="00DC1333">
            <w:pPr>
              <w:rPr>
                <w:color w:val="000000" w:themeColor="text1"/>
                <w:sz w:val="16"/>
                <w:szCs w:val="16"/>
              </w:rPr>
            </w:pPr>
          </w:p>
          <w:p w:rsidR="00221F0B" w:rsidRPr="00CB2DD9" w:rsidRDefault="00221F0B" w:rsidP="00DC1333">
            <w:pPr>
              <w:rPr>
                <w:color w:val="000000" w:themeColor="text1"/>
                <w:sz w:val="16"/>
                <w:szCs w:val="16"/>
              </w:rPr>
            </w:pPr>
            <w:r w:rsidRPr="00CB2DD9">
              <w:rPr>
                <w:color w:val="000000" w:themeColor="text1"/>
                <w:sz w:val="16"/>
                <w:szCs w:val="16"/>
              </w:rPr>
              <w:t>2015: Costo mensual del apoyo al servidor institucional: 250 francos suizos</w:t>
            </w:r>
          </w:p>
          <w:p w:rsidR="00221F0B" w:rsidRPr="00F05098" w:rsidRDefault="00221F0B" w:rsidP="00DC1333">
            <w:pPr>
              <w:rPr>
                <w:color w:val="000000" w:themeColor="text1"/>
                <w:sz w:val="16"/>
                <w:szCs w:val="16"/>
                <w:highlight w:val="yellow"/>
              </w:rPr>
            </w:pPr>
          </w:p>
          <w:p w:rsidR="00221F0B" w:rsidRPr="00CB2DD9" w:rsidRDefault="00221F0B" w:rsidP="00DC1333">
            <w:pPr>
              <w:rPr>
                <w:color w:val="000000" w:themeColor="text1"/>
                <w:sz w:val="16"/>
                <w:szCs w:val="16"/>
              </w:rPr>
            </w:pPr>
            <w:r>
              <w:rPr>
                <w:color w:val="000000" w:themeColor="text1"/>
                <w:sz w:val="16"/>
                <w:szCs w:val="16"/>
              </w:rPr>
              <w:t>C</w:t>
            </w:r>
            <w:r w:rsidRPr="00CB2DD9">
              <w:rPr>
                <w:color w:val="000000" w:themeColor="text1"/>
                <w:sz w:val="16"/>
                <w:szCs w:val="16"/>
              </w:rPr>
              <w:t>osto mensual del servidor virtual: 189 francos suizos</w:t>
            </w:r>
          </w:p>
          <w:p w:rsidR="00221F0B" w:rsidRPr="00F05098" w:rsidRDefault="00221F0B" w:rsidP="00DC1333">
            <w:pPr>
              <w:rPr>
                <w:color w:val="000000" w:themeColor="text1"/>
                <w:sz w:val="16"/>
                <w:szCs w:val="16"/>
                <w:highlight w:val="yellow"/>
              </w:rPr>
            </w:pPr>
          </w:p>
          <w:p w:rsidR="00221F0B" w:rsidRPr="00CB2DD9" w:rsidRDefault="00221F0B" w:rsidP="00DC1333">
            <w:pPr>
              <w:rPr>
                <w:color w:val="000000" w:themeColor="text1"/>
                <w:sz w:val="16"/>
                <w:szCs w:val="16"/>
              </w:rPr>
            </w:pPr>
            <w:r>
              <w:rPr>
                <w:color w:val="000000" w:themeColor="text1"/>
                <w:sz w:val="16"/>
                <w:szCs w:val="16"/>
              </w:rPr>
              <w:t>C</w:t>
            </w:r>
            <w:r w:rsidRPr="00CB2DD9">
              <w:rPr>
                <w:color w:val="000000" w:themeColor="text1"/>
                <w:sz w:val="16"/>
                <w:szCs w:val="16"/>
              </w:rPr>
              <w:t>osto medio mensual</w:t>
            </w:r>
          </w:p>
          <w:p w:rsidR="00221F0B" w:rsidRDefault="00221F0B" w:rsidP="00DC1333">
            <w:pPr>
              <w:rPr>
                <w:color w:val="000000" w:themeColor="text1"/>
                <w:sz w:val="16"/>
                <w:szCs w:val="16"/>
              </w:rPr>
            </w:pPr>
            <w:r w:rsidRPr="00CB2DD9">
              <w:rPr>
                <w:color w:val="000000" w:themeColor="text1"/>
                <w:sz w:val="16"/>
                <w:szCs w:val="16"/>
              </w:rPr>
              <w:t>del almacenami</w:t>
            </w:r>
            <w:r>
              <w:rPr>
                <w:color w:val="000000" w:themeColor="text1"/>
                <w:sz w:val="16"/>
                <w:szCs w:val="16"/>
              </w:rPr>
              <w:t>ento de alto rend</w:t>
            </w:r>
            <w:r w:rsidRPr="00CB2DD9">
              <w:rPr>
                <w:color w:val="000000" w:themeColor="text1"/>
                <w:sz w:val="16"/>
                <w:szCs w:val="16"/>
              </w:rPr>
              <w:t>imiento:</w:t>
            </w:r>
            <w:r w:rsidRPr="00CB2DD9">
              <w:rPr>
                <w:sz w:val="16"/>
                <w:szCs w:val="16"/>
              </w:rPr>
              <w:t xml:space="preserve"> 240 francos suizos</w:t>
            </w:r>
            <w:r w:rsidRPr="00CB2DD9">
              <w:rPr>
                <w:color w:val="000000" w:themeColor="text1"/>
                <w:sz w:val="16"/>
                <w:szCs w:val="16"/>
              </w:rPr>
              <w:t>/TB</w:t>
            </w:r>
          </w:p>
          <w:p w:rsidR="00221F0B" w:rsidRPr="00F05098" w:rsidRDefault="00221F0B" w:rsidP="00DC1333">
            <w:pPr>
              <w:rPr>
                <w:color w:val="000000" w:themeColor="text1"/>
                <w:sz w:val="16"/>
                <w:szCs w:val="16"/>
                <w:highlight w:val="yellow"/>
              </w:rPr>
            </w:pPr>
          </w:p>
          <w:p w:rsidR="00221F0B" w:rsidRPr="00CB2DD9" w:rsidRDefault="00221F0B" w:rsidP="00DC1333">
            <w:pPr>
              <w:rPr>
                <w:color w:val="000000" w:themeColor="text1"/>
                <w:sz w:val="16"/>
                <w:szCs w:val="16"/>
              </w:rPr>
            </w:pPr>
            <w:r>
              <w:rPr>
                <w:color w:val="000000" w:themeColor="text1"/>
                <w:sz w:val="16"/>
                <w:szCs w:val="16"/>
              </w:rPr>
              <w:t>C</w:t>
            </w:r>
            <w:r w:rsidRPr="00CB2DD9">
              <w:rPr>
                <w:color w:val="000000" w:themeColor="text1"/>
                <w:sz w:val="16"/>
                <w:szCs w:val="16"/>
              </w:rPr>
              <w:t>osto medio mensual del almacenamiento de seguridad: 41,10 francos suizos</w:t>
            </w:r>
          </w:p>
          <w:p w:rsidR="00221F0B" w:rsidRPr="00F05098" w:rsidRDefault="00221F0B" w:rsidP="00DC1333">
            <w:pPr>
              <w:rPr>
                <w:color w:val="000000" w:themeColor="text1"/>
                <w:sz w:val="16"/>
                <w:szCs w:val="16"/>
                <w:highlight w:val="yellow"/>
              </w:rPr>
            </w:pPr>
          </w:p>
          <w:p w:rsidR="00221F0B" w:rsidRDefault="00221F0B" w:rsidP="00DC1333">
            <w:pPr>
              <w:rPr>
                <w:color w:val="000000" w:themeColor="text1"/>
                <w:sz w:val="16"/>
                <w:szCs w:val="16"/>
                <w:highlight w:val="yellow"/>
              </w:rPr>
            </w:pPr>
            <w:r w:rsidRPr="00C168D0">
              <w:rPr>
                <w:color w:val="000000" w:themeColor="text1"/>
                <w:sz w:val="16"/>
                <w:szCs w:val="16"/>
              </w:rPr>
              <w:t>Número de incidentes de servicio de impacto medio o alto: 1,75 por mes</w:t>
            </w:r>
          </w:p>
          <w:p w:rsidR="00221F0B" w:rsidRPr="00F05098" w:rsidRDefault="00221F0B" w:rsidP="00DC1333">
            <w:pPr>
              <w:rPr>
                <w:color w:val="000000" w:themeColor="text1"/>
                <w:sz w:val="16"/>
                <w:szCs w:val="16"/>
                <w:highlight w:val="yellow"/>
              </w:rPr>
            </w:pPr>
          </w:p>
        </w:tc>
        <w:tc>
          <w:tcPr>
            <w:tcW w:w="614" w:type="pct"/>
            <w:tcBorders>
              <w:top w:val="nil"/>
              <w:bottom w:val="nil"/>
              <w:right w:val="single" w:sz="4" w:space="0" w:color="auto"/>
            </w:tcBorders>
            <w:shd w:val="clear" w:color="auto" w:fill="auto"/>
            <w:tcMar>
              <w:top w:w="110" w:type="dxa"/>
            </w:tcMar>
          </w:tcPr>
          <w:p w:rsidR="00221F0B" w:rsidRPr="00F05098" w:rsidRDefault="00221F0B" w:rsidP="00DC1333">
            <w:pPr>
              <w:keepNext/>
              <w:keepLines/>
              <w:jc w:val="center"/>
              <w:rPr>
                <w:b/>
                <w:bCs/>
                <w:color w:val="00B050"/>
                <w:sz w:val="16"/>
                <w:szCs w:val="16"/>
              </w:rPr>
            </w:pPr>
          </w:p>
          <w:p w:rsidR="00221F0B" w:rsidRPr="00F05098" w:rsidRDefault="00221F0B" w:rsidP="00DC1333">
            <w:pPr>
              <w:keepNext/>
              <w:keepLines/>
              <w:jc w:val="center"/>
              <w:rPr>
                <w:b/>
                <w:bCs/>
                <w:color w:val="00B050"/>
                <w:sz w:val="16"/>
                <w:szCs w:val="16"/>
              </w:rPr>
            </w:pPr>
          </w:p>
          <w:p w:rsidR="00221F0B" w:rsidRPr="00F05098" w:rsidRDefault="00221F0B" w:rsidP="00DC1333">
            <w:pPr>
              <w:keepNext/>
              <w:keepLines/>
              <w:rPr>
                <w:b/>
                <w:bCs/>
                <w:color w:val="00B050"/>
                <w:sz w:val="16"/>
                <w:szCs w:val="16"/>
              </w:rPr>
            </w:pPr>
          </w:p>
          <w:p w:rsidR="00221F0B" w:rsidRPr="00F05098" w:rsidRDefault="00221F0B" w:rsidP="00DC1333">
            <w:pPr>
              <w:keepNext/>
              <w:keepLines/>
              <w:jc w:val="center"/>
              <w:rPr>
                <w:b/>
                <w:bCs/>
                <w:color w:val="00B050"/>
                <w:sz w:val="16"/>
                <w:szCs w:val="16"/>
              </w:rPr>
            </w:pPr>
            <w:r w:rsidRPr="00F05098">
              <w:rPr>
                <w:b/>
                <w:bCs/>
                <w:color w:val="00B050"/>
                <w:sz w:val="16"/>
                <w:szCs w:val="16"/>
              </w:rPr>
              <w:t>Plenamente logrado</w:t>
            </w:r>
          </w:p>
          <w:p w:rsidR="00221F0B" w:rsidRPr="00F05098" w:rsidRDefault="00221F0B" w:rsidP="00DC1333">
            <w:pPr>
              <w:keepNext/>
              <w:keepLines/>
              <w:rPr>
                <w:b/>
                <w:bCs/>
                <w:color w:val="00B050"/>
                <w:sz w:val="16"/>
                <w:szCs w:val="16"/>
              </w:rPr>
            </w:pPr>
          </w:p>
          <w:p w:rsidR="00221F0B" w:rsidRPr="00F05098" w:rsidRDefault="00221F0B" w:rsidP="00DC1333">
            <w:pPr>
              <w:keepNext/>
              <w:keepLines/>
              <w:jc w:val="center"/>
              <w:rPr>
                <w:b/>
                <w:bCs/>
                <w:color w:val="00B050"/>
                <w:sz w:val="16"/>
                <w:szCs w:val="16"/>
              </w:rPr>
            </w:pPr>
            <w:r w:rsidRPr="00F05098">
              <w:rPr>
                <w:b/>
                <w:bCs/>
                <w:color w:val="00B050"/>
                <w:sz w:val="16"/>
                <w:szCs w:val="16"/>
              </w:rPr>
              <w:t>Plenamente logrado</w:t>
            </w:r>
          </w:p>
          <w:p w:rsidR="00221F0B" w:rsidRPr="00F05098" w:rsidRDefault="00221F0B" w:rsidP="00DC1333">
            <w:pPr>
              <w:keepNext/>
              <w:keepLines/>
              <w:rPr>
                <w:b/>
                <w:bCs/>
                <w:color w:val="00B050"/>
                <w:sz w:val="16"/>
                <w:szCs w:val="16"/>
              </w:rPr>
            </w:pPr>
          </w:p>
          <w:p w:rsidR="00221F0B" w:rsidRPr="00F05098" w:rsidRDefault="00221F0B" w:rsidP="00DC1333">
            <w:pPr>
              <w:keepNext/>
              <w:keepLines/>
              <w:jc w:val="center"/>
              <w:rPr>
                <w:b/>
                <w:bCs/>
                <w:color w:val="00B050"/>
                <w:sz w:val="16"/>
                <w:szCs w:val="16"/>
              </w:rPr>
            </w:pPr>
            <w:r w:rsidRPr="00F05098">
              <w:rPr>
                <w:b/>
                <w:bCs/>
                <w:color w:val="00B050"/>
                <w:sz w:val="16"/>
                <w:szCs w:val="16"/>
              </w:rPr>
              <w:t>Plenamente logrado</w:t>
            </w:r>
          </w:p>
          <w:p w:rsidR="00221F0B" w:rsidRPr="00F05098" w:rsidRDefault="00221F0B" w:rsidP="00DC1333">
            <w:pPr>
              <w:keepNext/>
              <w:keepLines/>
              <w:rPr>
                <w:b/>
                <w:bCs/>
                <w:color w:val="FF0000"/>
                <w:sz w:val="16"/>
                <w:szCs w:val="16"/>
              </w:rPr>
            </w:pPr>
          </w:p>
          <w:p w:rsidR="00221F0B" w:rsidRPr="00F05098" w:rsidRDefault="00221F0B" w:rsidP="00DC1333">
            <w:pPr>
              <w:keepNext/>
              <w:keepLines/>
              <w:rPr>
                <w:b/>
                <w:bCs/>
                <w:color w:val="FF0000"/>
                <w:sz w:val="16"/>
                <w:szCs w:val="16"/>
              </w:rPr>
            </w:pPr>
          </w:p>
          <w:p w:rsidR="00221F0B" w:rsidRPr="00F05098" w:rsidRDefault="00221F0B" w:rsidP="00DC1333">
            <w:pPr>
              <w:keepNext/>
              <w:keepLines/>
              <w:jc w:val="center"/>
              <w:rPr>
                <w:b/>
                <w:bCs/>
                <w:color w:val="FF0000"/>
                <w:sz w:val="16"/>
                <w:szCs w:val="16"/>
              </w:rPr>
            </w:pPr>
            <w:r w:rsidRPr="00F05098">
              <w:rPr>
                <w:b/>
                <w:bCs/>
                <w:color w:val="00B050"/>
                <w:sz w:val="16"/>
                <w:szCs w:val="16"/>
              </w:rPr>
              <w:t>Plenamente logrado</w:t>
            </w:r>
          </w:p>
          <w:p w:rsidR="00221F0B" w:rsidRPr="00F05098" w:rsidRDefault="00221F0B" w:rsidP="00DC1333">
            <w:pPr>
              <w:keepNext/>
              <w:keepLines/>
              <w:rPr>
                <w:b/>
                <w:bCs/>
                <w:color w:val="FF0000"/>
                <w:sz w:val="16"/>
                <w:szCs w:val="16"/>
              </w:rPr>
            </w:pPr>
          </w:p>
          <w:p w:rsidR="00221F0B" w:rsidRPr="00F05098" w:rsidRDefault="00221F0B" w:rsidP="00DC1333">
            <w:pPr>
              <w:keepNext/>
              <w:keepLines/>
              <w:jc w:val="center"/>
              <w:rPr>
                <w:b/>
                <w:bCs/>
                <w:color w:val="00B050"/>
                <w:sz w:val="13"/>
                <w:szCs w:val="13"/>
              </w:rPr>
            </w:pPr>
          </w:p>
        </w:tc>
      </w:tr>
      <w:tr w:rsidR="00221F0B" w:rsidRPr="00F05098" w:rsidTr="00DC1333">
        <w:trPr>
          <w:cantSplit/>
        </w:trPr>
        <w:tc>
          <w:tcPr>
            <w:tcW w:w="859" w:type="pct"/>
            <w:tcBorders>
              <w:top w:val="nil"/>
              <w:left w:val="single" w:sz="4" w:space="0" w:color="auto"/>
              <w:bottom w:val="nil"/>
            </w:tcBorders>
            <w:shd w:val="clear" w:color="auto" w:fill="auto"/>
          </w:tcPr>
          <w:p w:rsidR="00221F0B" w:rsidRPr="00F05098" w:rsidRDefault="00221F0B" w:rsidP="00221F0B">
            <w:pPr>
              <w:ind w:leftChars="-11" w:left="-24"/>
              <w:rPr>
                <w:color w:val="000000" w:themeColor="text1"/>
                <w:sz w:val="16"/>
                <w:szCs w:val="16"/>
              </w:rPr>
            </w:pPr>
            <w:r w:rsidRPr="00F05098">
              <w:rPr>
                <w:color w:val="000000" w:themeColor="text1"/>
                <w:sz w:val="16"/>
                <w:szCs w:val="16"/>
              </w:rPr>
              <w:t>Número de acuerdos de prestación de servicios para el alojamiento de sistemas y servicios que cumplen con el marco de acuerdos de prestación de servicios para las TIC</w:t>
            </w:r>
          </w:p>
        </w:tc>
        <w:tc>
          <w:tcPr>
            <w:tcW w:w="1254" w:type="pct"/>
            <w:gridSpan w:val="2"/>
            <w:tcBorders>
              <w:top w:val="nil"/>
              <w:bottom w:val="nil"/>
            </w:tcBorders>
            <w:shd w:val="clear" w:color="auto" w:fill="auto"/>
          </w:tcPr>
          <w:p w:rsidR="00221F0B" w:rsidRPr="00F05098" w:rsidRDefault="00221F0B" w:rsidP="00DC1333">
            <w:pPr>
              <w:rPr>
                <w:color w:val="000000" w:themeColor="text1"/>
                <w:sz w:val="16"/>
                <w:szCs w:val="16"/>
              </w:rPr>
            </w:pPr>
            <w:r w:rsidRPr="00F05098">
              <w:rPr>
                <w:color w:val="000000" w:themeColor="text1"/>
                <w:sz w:val="16"/>
                <w:szCs w:val="16"/>
              </w:rPr>
              <w:t xml:space="preserve">Marco en vigor de acuerdos normalizados de prestación de servicios para las TIC </w:t>
            </w:r>
          </w:p>
          <w:p w:rsidR="00221F0B" w:rsidRPr="00F05098" w:rsidRDefault="00221F0B" w:rsidP="00DC1333">
            <w:pPr>
              <w:rPr>
                <w:color w:val="000000" w:themeColor="text1"/>
                <w:sz w:val="16"/>
                <w:szCs w:val="16"/>
              </w:rPr>
            </w:pPr>
          </w:p>
          <w:p w:rsidR="00221F0B" w:rsidRPr="00F05098" w:rsidRDefault="00221F0B" w:rsidP="00DC1333">
            <w:pPr>
              <w:rPr>
                <w:i/>
                <w:color w:val="002060"/>
                <w:sz w:val="16"/>
                <w:szCs w:val="16"/>
              </w:rPr>
            </w:pPr>
          </w:p>
        </w:tc>
        <w:tc>
          <w:tcPr>
            <w:tcW w:w="810" w:type="pct"/>
            <w:tcBorders>
              <w:top w:val="nil"/>
              <w:bottom w:val="nil"/>
            </w:tcBorders>
            <w:shd w:val="clear" w:color="auto" w:fill="auto"/>
            <w:tcMar>
              <w:top w:w="110" w:type="dxa"/>
            </w:tcMar>
          </w:tcPr>
          <w:p w:rsidR="00221F0B" w:rsidRPr="00F05098" w:rsidRDefault="00221F0B" w:rsidP="00221F0B">
            <w:pPr>
              <w:ind w:leftChars="-11" w:left="-24"/>
              <w:rPr>
                <w:sz w:val="16"/>
                <w:szCs w:val="16"/>
              </w:rPr>
            </w:pPr>
            <w:r w:rsidRPr="00F05098">
              <w:rPr>
                <w:sz w:val="16"/>
                <w:szCs w:val="16"/>
              </w:rPr>
              <w:t>Porcentaje de acuerdos de prestación de servicios que cumplen lo dispuesto en el marco de las TIC</w:t>
            </w:r>
          </w:p>
          <w:p w:rsidR="00221F0B" w:rsidRPr="00F05098" w:rsidRDefault="00221F0B" w:rsidP="00221F0B">
            <w:pPr>
              <w:ind w:leftChars="-11" w:left="-24"/>
              <w:rPr>
                <w:color w:val="000000" w:themeColor="text1"/>
                <w:sz w:val="16"/>
                <w:szCs w:val="16"/>
              </w:rPr>
            </w:pPr>
          </w:p>
        </w:tc>
        <w:tc>
          <w:tcPr>
            <w:tcW w:w="1463" w:type="pct"/>
            <w:gridSpan w:val="2"/>
            <w:tcBorders>
              <w:top w:val="nil"/>
              <w:bottom w:val="nil"/>
            </w:tcBorders>
            <w:shd w:val="clear" w:color="auto" w:fill="FFFFFF"/>
            <w:tcMar>
              <w:top w:w="110" w:type="dxa"/>
            </w:tcMar>
          </w:tcPr>
          <w:p w:rsidR="00221F0B" w:rsidRPr="00F05098" w:rsidRDefault="00221F0B" w:rsidP="00DC1333">
            <w:pPr>
              <w:rPr>
                <w:color w:val="000000" w:themeColor="text1"/>
                <w:sz w:val="16"/>
                <w:szCs w:val="16"/>
                <w:highlight w:val="yellow"/>
              </w:rPr>
            </w:pPr>
            <w:r w:rsidRPr="007674B6">
              <w:rPr>
                <w:color w:val="000000" w:themeColor="text1"/>
                <w:sz w:val="16"/>
                <w:szCs w:val="16"/>
              </w:rPr>
              <w:t>En 2014/15, se firmaron 11 nuevos acuerdos de prestación de servicios (sistema integrado de comunicaciones,  IRIS, IRPI, PCT, PEARL, SIGAGIP, PATENTSCOPE, CASE, DAS, la plataforma de colaboración externa, GOA) que cumplen con el marco de las TIC (100%)</w:t>
            </w:r>
          </w:p>
        </w:tc>
        <w:tc>
          <w:tcPr>
            <w:tcW w:w="614" w:type="pct"/>
            <w:tcBorders>
              <w:top w:val="nil"/>
              <w:bottom w:val="nil"/>
              <w:right w:val="single" w:sz="4" w:space="0" w:color="auto"/>
            </w:tcBorders>
            <w:shd w:val="clear" w:color="auto" w:fill="auto"/>
            <w:tcMar>
              <w:top w:w="110" w:type="dxa"/>
            </w:tcMar>
          </w:tcPr>
          <w:p w:rsidR="00221F0B" w:rsidRPr="00F05098" w:rsidRDefault="00221F0B" w:rsidP="00DC1333">
            <w:pPr>
              <w:keepNext/>
              <w:keepLines/>
              <w:jc w:val="center"/>
              <w:rPr>
                <w:b/>
                <w:bCs/>
                <w:color w:val="00B050"/>
                <w:sz w:val="16"/>
                <w:szCs w:val="16"/>
              </w:rPr>
            </w:pPr>
            <w:r w:rsidRPr="00F05098">
              <w:rPr>
                <w:b/>
                <w:bCs/>
                <w:color w:val="00B050"/>
                <w:sz w:val="16"/>
                <w:szCs w:val="16"/>
              </w:rPr>
              <w:t>Plenamente logrado</w:t>
            </w:r>
          </w:p>
          <w:p w:rsidR="00221F0B" w:rsidRPr="00F05098" w:rsidRDefault="00221F0B" w:rsidP="00DC1333">
            <w:pPr>
              <w:keepNext/>
              <w:keepLines/>
              <w:jc w:val="center"/>
              <w:rPr>
                <w:b/>
                <w:bCs/>
                <w:color w:val="000000" w:themeColor="text1"/>
                <w:sz w:val="16"/>
                <w:szCs w:val="16"/>
              </w:rPr>
            </w:pPr>
          </w:p>
        </w:tc>
      </w:tr>
      <w:tr w:rsidR="00221F0B" w:rsidRPr="00F05098" w:rsidTr="00DC1333">
        <w:trPr>
          <w:cantSplit/>
        </w:trPr>
        <w:tc>
          <w:tcPr>
            <w:tcW w:w="859" w:type="pct"/>
            <w:tcBorders>
              <w:top w:val="nil"/>
              <w:left w:val="single" w:sz="4" w:space="0" w:color="auto"/>
              <w:bottom w:val="single" w:sz="4" w:space="0" w:color="auto"/>
            </w:tcBorders>
            <w:shd w:val="clear" w:color="auto" w:fill="auto"/>
          </w:tcPr>
          <w:p w:rsidR="00221F0B" w:rsidRPr="00F05098" w:rsidRDefault="00221F0B" w:rsidP="00221F0B">
            <w:pPr>
              <w:ind w:leftChars="-11" w:left="-24"/>
              <w:rPr>
                <w:color w:val="000000" w:themeColor="text1"/>
                <w:sz w:val="16"/>
                <w:szCs w:val="16"/>
              </w:rPr>
            </w:pPr>
            <w:r w:rsidRPr="00F05098">
              <w:rPr>
                <w:color w:val="000000" w:themeColor="text1"/>
                <w:sz w:val="16"/>
                <w:szCs w:val="16"/>
              </w:rPr>
              <w:t>Continuidad de los servicios de TIC de los sistemas esenciales</w:t>
            </w:r>
          </w:p>
        </w:tc>
        <w:tc>
          <w:tcPr>
            <w:tcW w:w="1254" w:type="pct"/>
            <w:gridSpan w:val="2"/>
            <w:tcBorders>
              <w:top w:val="nil"/>
              <w:bottom w:val="single" w:sz="4" w:space="0" w:color="auto"/>
            </w:tcBorders>
            <w:shd w:val="clear" w:color="auto" w:fill="auto"/>
          </w:tcPr>
          <w:p w:rsidR="00221F0B" w:rsidRPr="00F05098" w:rsidRDefault="00221F0B" w:rsidP="00DC1333">
            <w:pPr>
              <w:rPr>
                <w:color w:val="002060"/>
                <w:sz w:val="16"/>
                <w:szCs w:val="16"/>
              </w:rPr>
            </w:pPr>
            <w:r w:rsidRPr="00F05098">
              <w:rPr>
                <w:i/>
                <w:color w:val="002060"/>
                <w:sz w:val="16"/>
                <w:szCs w:val="16"/>
              </w:rPr>
              <w:t>Referencia actualizada a fines de 2013:</w:t>
            </w:r>
            <w:r w:rsidRPr="00F05098">
              <w:rPr>
                <w:color w:val="002060"/>
                <w:sz w:val="16"/>
                <w:szCs w:val="16"/>
              </w:rPr>
              <w:t xml:space="preserve"> establecimiento de 2 centros de datos estrechamente vinculados entre sí; creación parcial de la  infraestructura de los servidores y de la arquitectura de las  redes para apoyar los dos centros de datos;  evaluación de 38 servicios esenciales de TIC y puesta en marcha de medidas adecuadas para mitigar los riesgos y garantizar la disponibilidad de los servicios</w:t>
            </w:r>
          </w:p>
          <w:p w:rsidR="00221F0B" w:rsidRPr="00F05098" w:rsidRDefault="00221F0B" w:rsidP="00221F0B">
            <w:pPr>
              <w:ind w:leftChars="-11" w:left="-24"/>
              <w:rPr>
                <w:color w:val="000000" w:themeColor="text1"/>
                <w:sz w:val="16"/>
                <w:szCs w:val="16"/>
              </w:rPr>
            </w:pPr>
          </w:p>
          <w:p w:rsidR="00221F0B" w:rsidRPr="00F05098" w:rsidRDefault="00221F0B" w:rsidP="00221F0B">
            <w:pPr>
              <w:ind w:leftChars="-11" w:left="-24"/>
              <w:rPr>
                <w:color w:val="000000" w:themeColor="text1"/>
                <w:sz w:val="16"/>
                <w:szCs w:val="16"/>
              </w:rPr>
            </w:pPr>
            <w:r w:rsidRPr="00F05098">
              <w:rPr>
                <w:i/>
                <w:sz w:val="16"/>
                <w:szCs w:val="16"/>
              </w:rPr>
              <w:t>Referencia original en el presupuesto de 2014/15</w:t>
            </w:r>
            <w:proofErr w:type="gramStart"/>
            <w:r w:rsidRPr="00F05098">
              <w:rPr>
                <w:i/>
                <w:sz w:val="16"/>
                <w:szCs w:val="16"/>
              </w:rPr>
              <w:t xml:space="preserve">:  </w:t>
            </w:r>
            <w:r w:rsidRPr="00F05098">
              <w:rPr>
                <w:sz w:val="16"/>
                <w:szCs w:val="16"/>
              </w:rPr>
              <w:t>Los</w:t>
            </w:r>
            <w:proofErr w:type="gramEnd"/>
            <w:r w:rsidRPr="00F05098">
              <w:rPr>
                <w:sz w:val="16"/>
                <w:szCs w:val="16"/>
              </w:rPr>
              <w:t xml:space="preserve"> datos no se almacenan en línea, se necesitan varios días para recuperar los datos.</w:t>
            </w:r>
          </w:p>
        </w:tc>
        <w:tc>
          <w:tcPr>
            <w:tcW w:w="810" w:type="pct"/>
            <w:tcBorders>
              <w:top w:val="nil"/>
              <w:bottom w:val="single" w:sz="4" w:space="0" w:color="auto"/>
            </w:tcBorders>
            <w:shd w:val="clear" w:color="auto" w:fill="auto"/>
            <w:tcMar>
              <w:top w:w="110" w:type="dxa"/>
            </w:tcMar>
          </w:tcPr>
          <w:p w:rsidR="00221F0B" w:rsidRPr="00F05098" w:rsidRDefault="00221F0B" w:rsidP="00221F0B">
            <w:pPr>
              <w:ind w:leftChars="-11" w:left="-24"/>
              <w:rPr>
                <w:color w:val="000000" w:themeColor="text1"/>
                <w:sz w:val="16"/>
                <w:szCs w:val="16"/>
              </w:rPr>
            </w:pPr>
            <w:r w:rsidRPr="00F05098">
              <w:rPr>
                <w:color w:val="000000" w:themeColor="text1"/>
                <w:sz w:val="16"/>
                <w:szCs w:val="16"/>
              </w:rPr>
              <w:t>Los sistemas esenciales pueden recuperarse puntualmente sin pérdida de datos en caso de interrupciones localizadas de seriedad</w:t>
            </w:r>
          </w:p>
        </w:tc>
        <w:tc>
          <w:tcPr>
            <w:tcW w:w="1463" w:type="pct"/>
            <w:gridSpan w:val="2"/>
            <w:tcBorders>
              <w:top w:val="nil"/>
              <w:bottom w:val="single" w:sz="4" w:space="0" w:color="auto"/>
            </w:tcBorders>
            <w:shd w:val="clear" w:color="auto" w:fill="FFFFFF"/>
            <w:tcMar>
              <w:top w:w="110" w:type="dxa"/>
            </w:tcMar>
          </w:tcPr>
          <w:p w:rsidR="00221F0B" w:rsidRPr="0071390F" w:rsidRDefault="00221F0B" w:rsidP="00DC1333">
            <w:pPr>
              <w:rPr>
                <w:color w:val="000000" w:themeColor="text1"/>
                <w:sz w:val="16"/>
                <w:szCs w:val="16"/>
                <w:highlight w:val="yellow"/>
              </w:rPr>
            </w:pPr>
            <w:r w:rsidRPr="0071390F">
              <w:rPr>
                <w:color w:val="000000" w:themeColor="text1"/>
                <w:sz w:val="16"/>
                <w:szCs w:val="16"/>
              </w:rPr>
              <w:t>Se amplió a los servicios esenciales de TIC la infraestructura de servidores, almacenamiento, respaldo</w:t>
            </w:r>
            <w:r>
              <w:rPr>
                <w:color w:val="000000" w:themeColor="text1"/>
                <w:sz w:val="16"/>
                <w:szCs w:val="16"/>
              </w:rPr>
              <w:t xml:space="preserve"> y red</w:t>
            </w:r>
            <w:r w:rsidRPr="0071390F">
              <w:rPr>
                <w:color w:val="000000" w:themeColor="text1"/>
                <w:sz w:val="16"/>
                <w:szCs w:val="16"/>
              </w:rPr>
              <w:t xml:space="preserve">.  </w:t>
            </w:r>
            <w:r w:rsidRPr="007674B6">
              <w:rPr>
                <w:color w:val="000000" w:themeColor="text1"/>
                <w:sz w:val="16"/>
                <w:szCs w:val="16"/>
              </w:rPr>
              <w:t>En 2014/15,</w:t>
            </w:r>
            <w:r>
              <w:rPr>
                <w:color w:val="000000" w:themeColor="text1"/>
                <w:sz w:val="16"/>
                <w:szCs w:val="16"/>
              </w:rPr>
              <w:t xml:space="preserve"> se evaluaron otros</w:t>
            </w:r>
            <w:r w:rsidRPr="007674B6">
              <w:rPr>
                <w:color w:val="000000" w:themeColor="text1"/>
                <w:sz w:val="16"/>
                <w:szCs w:val="16"/>
              </w:rPr>
              <w:t xml:space="preserve"> 12 </w:t>
            </w:r>
            <w:r>
              <w:rPr>
                <w:color w:val="000000" w:themeColor="text1"/>
                <w:sz w:val="16"/>
                <w:szCs w:val="16"/>
              </w:rPr>
              <w:t>servicios esenciales de TIC y se aplicaron las medidas adecuadas para garantizar la disponibilidad de los servicios</w:t>
            </w:r>
            <w:r w:rsidRPr="007674B6">
              <w:rPr>
                <w:color w:val="000000" w:themeColor="text1"/>
                <w:sz w:val="16"/>
                <w:szCs w:val="16"/>
              </w:rPr>
              <w:t xml:space="preserve">. </w:t>
            </w:r>
          </w:p>
          <w:p w:rsidR="00221F0B" w:rsidRPr="00F05098" w:rsidRDefault="00221F0B" w:rsidP="00DC1333">
            <w:pPr>
              <w:rPr>
                <w:color w:val="000000" w:themeColor="text1"/>
                <w:sz w:val="16"/>
                <w:szCs w:val="16"/>
                <w:highlight w:val="yellow"/>
              </w:rPr>
            </w:pPr>
          </w:p>
          <w:p w:rsidR="00221F0B" w:rsidRPr="00F05098" w:rsidRDefault="00221F0B" w:rsidP="00DC1333">
            <w:pPr>
              <w:rPr>
                <w:color w:val="000000" w:themeColor="text1"/>
                <w:sz w:val="16"/>
                <w:szCs w:val="16"/>
                <w:highlight w:val="yellow"/>
              </w:rPr>
            </w:pPr>
            <w:r w:rsidRPr="0071390F">
              <w:rPr>
                <w:sz w:val="16"/>
                <w:szCs w:val="16"/>
              </w:rPr>
              <w:t xml:space="preserve">En 2015 se validó la capacidad de prestar servicios ininterrumpidos de TIC mediante una prueba de un día de recuperación en caso de desastre; el ejercicio de recuperación en caso de fallos en los sistemas del PCT se completó en </w:t>
            </w:r>
            <w:r>
              <w:rPr>
                <w:sz w:val="16"/>
                <w:szCs w:val="16"/>
              </w:rPr>
              <w:t>3</w:t>
            </w:r>
            <w:r w:rsidRPr="0071390F">
              <w:rPr>
                <w:sz w:val="16"/>
                <w:szCs w:val="16"/>
              </w:rPr>
              <w:t>0 minutos.</w:t>
            </w:r>
          </w:p>
        </w:tc>
        <w:tc>
          <w:tcPr>
            <w:tcW w:w="614" w:type="pct"/>
            <w:tcBorders>
              <w:top w:val="nil"/>
              <w:bottom w:val="single" w:sz="4" w:space="0" w:color="auto"/>
              <w:right w:val="single" w:sz="4" w:space="0" w:color="auto"/>
            </w:tcBorders>
            <w:shd w:val="clear" w:color="auto" w:fill="auto"/>
            <w:tcMar>
              <w:top w:w="110" w:type="dxa"/>
            </w:tcMar>
          </w:tcPr>
          <w:p w:rsidR="00221F0B" w:rsidRPr="00F05098" w:rsidRDefault="00221F0B" w:rsidP="00DC1333">
            <w:pPr>
              <w:keepNext/>
              <w:keepLines/>
              <w:jc w:val="center"/>
              <w:rPr>
                <w:b/>
                <w:bCs/>
                <w:color w:val="00B050"/>
                <w:sz w:val="16"/>
                <w:szCs w:val="16"/>
              </w:rPr>
            </w:pPr>
            <w:r w:rsidRPr="00F05098">
              <w:rPr>
                <w:b/>
                <w:bCs/>
                <w:color w:val="00B050"/>
                <w:sz w:val="16"/>
                <w:szCs w:val="16"/>
              </w:rPr>
              <w:t>Plenamente logrado</w:t>
            </w:r>
          </w:p>
          <w:p w:rsidR="00221F0B" w:rsidRPr="00F05098" w:rsidRDefault="00221F0B" w:rsidP="00DC1333">
            <w:pPr>
              <w:keepNext/>
              <w:keepLines/>
              <w:jc w:val="center"/>
              <w:rPr>
                <w:b/>
                <w:bCs/>
                <w:color w:val="00B050"/>
                <w:sz w:val="16"/>
                <w:szCs w:val="16"/>
              </w:rPr>
            </w:pPr>
          </w:p>
        </w:tc>
      </w:tr>
      <w:tr w:rsidR="00221F0B" w:rsidRPr="00F05098" w:rsidTr="00DC1333">
        <w:trPr>
          <w:cantSplit/>
        </w:trPr>
        <w:tc>
          <w:tcPr>
            <w:tcW w:w="859" w:type="pct"/>
            <w:tcBorders>
              <w:top w:val="single" w:sz="4" w:space="0" w:color="auto"/>
              <w:left w:val="single" w:sz="4" w:space="0" w:color="auto"/>
              <w:bottom w:val="nil"/>
            </w:tcBorders>
            <w:shd w:val="clear" w:color="auto" w:fill="auto"/>
          </w:tcPr>
          <w:p w:rsidR="00221F0B" w:rsidRPr="00F05098" w:rsidRDefault="00221F0B" w:rsidP="00221F0B">
            <w:pPr>
              <w:ind w:leftChars="-11" w:left="-24"/>
              <w:rPr>
                <w:color w:val="000000" w:themeColor="text1"/>
                <w:sz w:val="16"/>
                <w:szCs w:val="16"/>
              </w:rPr>
            </w:pPr>
            <w:r w:rsidRPr="00F05098">
              <w:rPr>
                <w:color w:val="000000" w:themeColor="text1"/>
                <w:sz w:val="16"/>
                <w:szCs w:val="16"/>
              </w:rPr>
              <w:lastRenderedPageBreak/>
              <w:t>Porcentaje de usuarios y sectores de actividades que están satisfechos con los servicios de TIC</w:t>
            </w:r>
          </w:p>
        </w:tc>
        <w:tc>
          <w:tcPr>
            <w:tcW w:w="1254" w:type="pct"/>
            <w:gridSpan w:val="2"/>
            <w:tcBorders>
              <w:top w:val="single" w:sz="4" w:space="0" w:color="auto"/>
              <w:bottom w:val="nil"/>
            </w:tcBorders>
            <w:shd w:val="clear" w:color="auto" w:fill="auto"/>
          </w:tcPr>
          <w:p w:rsidR="00221F0B" w:rsidRPr="00F05098" w:rsidRDefault="00221F0B" w:rsidP="00DC1333">
            <w:pPr>
              <w:rPr>
                <w:color w:val="002060"/>
                <w:sz w:val="16"/>
                <w:szCs w:val="16"/>
              </w:rPr>
            </w:pPr>
            <w:r w:rsidRPr="00F05098">
              <w:rPr>
                <w:i/>
                <w:color w:val="002060"/>
                <w:sz w:val="16"/>
                <w:szCs w:val="16"/>
              </w:rPr>
              <w:t>Referencia actualizada a fines de 2013:</w:t>
            </w:r>
            <w:r w:rsidRPr="00F05098">
              <w:rPr>
                <w:color w:val="002060"/>
                <w:sz w:val="16"/>
                <w:szCs w:val="16"/>
              </w:rPr>
              <w:t xml:space="preserve"> </w:t>
            </w:r>
          </w:p>
          <w:p w:rsidR="00221F0B" w:rsidRPr="00F05098" w:rsidRDefault="00221F0B" w:rsidP="00221F0B">
            <w:pPr>
              <w:ind w:leftChars="-11" w:left="-24"/>
              <w:rPr>
                <w:color w:val="002060"/>
                <w:sz w:val="16"/>
                <w:szCs w:val="16"/>
              </w:rPr>
            </w:pPr>
            <w:r w:rsidRPr="00F05098">
              <w:rPr>
                <w:color w:val="002060"/>
                <w:sz w:val="16"/>
                <w:szCs w:val="16"/>
              </w:rPr>
              <w:t>Encuesta del servicio de asistencia en 2013: el 64% de los encuestados se mostraron “muy satisfechos” con el servicio.</w:t>
            </w:r>
          </w:p>
          <w:p w:rsidR="00221F0B" w:rsidRPr="00F05098" w:rsidRDefault="00221F0B" w:rsidP="00221F0B">
            <w:pPr>
              <w:ind w:leftChars="-11" w:left="-24"/>
              <w:rPr>
                <w:color w:val="000000" w:themeColor="text1"/>
                <w:sz w:val="16"/>
                <w:szCs w:val="16"/>
              </w:rPr>
            </w:pPr>
          </w:p>
          <w:p w:rsidR="00221F0B" w:rsidRPr="00F05098" w:rsidRDefault="00221F0B" w:rsidP="00DC1333">
            <w:pPr>
              <w:rPr>
                <w:color w:val="000000" w:themeColor="text1"/>
                <w:sz w:val="16"/>
                <w:szCs w:val="16"/>
              </w:rPr>
            </w:pPr>
            <w:r w:rsidRPr="00F05098">
              <w:rPr>
                <w:i/>
                <w:sz w:val="16"/>
                <w:szCs w:val="16"/>
              </w:rPr>
              <w:t xml:space="preserve">Referencia original en el presupuesto de 2014/15:  </w:t>
            </w:r>
            <w:r w:rsidRPr="00F05098">
              <w:rPr>
                <w:sz w:val="16"/>
                <w:szCs w:val="16"/>
              </w:rPr>
              <w:t>Satisfacción del personal directivo al inicio del bienio</w:t>
            </w:r>
          </w:p>
        </w:tc>
        <w:tc>
          <w:tcPr>
            <w:tcW w:w="810" w:type="pct"/>
            <w:tcBorders>
              <w:top w:val="single" w:sz="4" w:space="0" w:color="auto"/>
              <w:bottom w:val="nil"/>
            </w:tcBorders>
            <w:shd w:val="clear" w:color="auto" w:fill="auto"/>
            <w:tcMar>
              <w:top w:w="110" w:type="dxa"/>
            </w:tcMar>
          </w:tcPr>
          <w:p w:rsidR="00221F0B" w:rsidRPr="00F05098" w:rsidRDefault="00221F0B" w:rsidP="00221F0B">
            <w:pPr>
              <w:ind w:leftChars="-11" w:left="-24"/>
              <w:rPr>
                <w:color w:val="000000" w:themeColor="text1"/>
                <w:sz w:val="16"/>
                <w:szCs w:val="16"/>
              </w:rPr>
            </w:pPr>
            <w:r w:rsidRPr="00F05098">
              <w:rPr>
                <w:color w:val="000000" w:themeColor="text1"/>
                <w:sz w:val="16"/>
                <w:szCs w:val="16"/>
              </w:rPr>
              <w:t>Mantenimiento o mejora en relación con la referencia</w:t>
            </w:r>
          </w:p>
        </w:tc>
        <w:tc>
          <w:tcPr>
            <w:tcW w:w="1463" w:type="pct"/>
            <w:gridSpan w:val="2"/>
            <w:tcBorders>
              <w:top w:val="single" w:sz="4" w:space="0" w:color="auto"/>
              <w:bottom w:val="nil"/>
            </w:tcBorders>
            <w:shd w:val="clear" w:color="auto" w:fill="FFFFFF"/>
            <w:tcMar>
              <w:top w:w="110" w:type="dxa"/>
            </w:tcMar>
          </w:tcPr>
          <w:p w:rsidR="00221F0B" w:rsidRPr="00F05098" w:rsidRDefault="00221F0B" w:rsidP="00DC1333">
            <w:pPr>
              <w:rPr>
                <w:color w:val="000000" w:themeColor="text1"/>
                <w:sz w:val="16"/>
                <w:szCs w:val="16"/>
                <w:highlight w:val="yellow"/>
              </w:rPr>
            </w:pPr>
            <w:r w:rsidRPr="0071390F">
              <w:rPr>
                <w:color w:val="000000" w:themeColor="text1"/>
                <w:sz w:val="16"/>
                <w:szCs w:val="16"/>
              </w:rPr>
              <w:t>En la encuesta del servicio de asistencia en 2014, el 67% de los encuestados se mostraron “muy satisfechos” con el servicio</w:t>
            </w:r>
          </w:p>
          <w:p w:rsidR="00221F0B" w:rsidRPr="00F05098" w:rsidRDefault="00221F0B" w:rsidP="00DC1333">
            <w:pPr>
              <w:rPr>
                <w:color w:val="000000" w:themeColor="text1"/>
                <w:sz w:val="16"/>
                <w:szCs w:val="16"/>
                <w:highlight w:val="yellow"/>
              </w:rPr>
            </w:pPr>
          </w:p>
          <w:p w:rsidR="00221F0B" w:rsidRPr="00F05098" w:rsidDel="00447A37" w:rsidRDefault="00221F0B" w:rsidP="00DC1333">
            <w:pPr>
              <w:rPr>
                <w:color w:val="000000" w:themeColor="text1"/>
                <w:sz w:val="16"/>
                <w:szCs w:val="16"/>
              </w:rPr>
            </w:pPr>
            <w:r w:rsidRPr="0071390F">
              <w:rPr>
                <w:color w:val="000000" w:themeColor="text1"/>
                <w:sz w:val="16"/>
                <w:szCs w:val="16"/>
              </w:rPr>
              <w:t>En la encuesta de</w:t>
            </w:r>
            <w:r>
              <w:rPr>
                <w:color w:val="000000" w:themeColor="text1"/>
                <w:sz w:val="16"/>
                <w:szCs w:val="16"/>
              </w:rPr>
              <w:t>l servicio de asistencia en 2015</w:t>
            </w:r>
            <w:r w:rsidRPr="0071390F">
              <w:rPr>
                <w:color w:val="000000" w:themeColor="text1"/>
                <w:sz w:val="16"/>
                <w:szCs w:val="16"/>
              </w:rPr>
              <w:t xml:space="preserve">, el </w:t>
            </w:r>
            <w:r>
              <w:rPr>
                <w:color w:val="000000" w:themeColor="text1"/>
                <w:sz w:val="16"/>
                <w:szCs w:val="16"/>
              </w:rPr>
              <w:t>9</w:t>
            </w:r>
            <w:r w:rsidRPr="0071390F">
              <w:rPr>
                <w:color w:val="000000" w:themeColor="text1"/>
                <w:sz w:val="16"/>
                <w:szCs w:val="16"/>
              </w:rPr>
              <w:t>7% de los encuestados se mostraron “satisfechos</w:t>
            </w:r>
            <w:r>
              <w:rPr>
                <w:color w:val="000000" w:themeColor="text1"/>
                <w:sz w:val="16"/>
                <w:szCs w:val="16"/>
              </w:rPr>
              <w:t xml:space="preserve"> o completamente satisfechos</w:t>
            </w:r>
            <w:r w:rsidRPr="0071390F">
              <w:rPr>
                <w:color w:val="000000" w:themeColor="text1"/>
                <w:sz w:val="16"/>
                <w:szCs w:val="16"/>
              </w:rPr>
              <w:t>” con el servicio</w:t>
            </w:r>
            <w:r>
              <w:rPr>
                <w:color w:val="000000" w:themeColor="text1"/>
                <w:sz w:val="16"/>
                <w:szCs w:val="16"/>
              </w:rPr>
              <w:t xml:space="preserve"> y el 70,5% “completamente satisfechos”</w:t>
            </w:r>
            <w:r w:rsidRPr="0071390F">
              <w:rPr>
                <w:color w:val="000000" w:themeColor="text1"/>
                <w:sz w:val="16"/>
                <w:szCs w:val="16"/>
              </w:rPr>
              <w:t>.</w:t>
            </w:r>
            <w:r w:rsidRPr="0071390F">
              <w:rPr>
                <w:rStyle w:val="FootnoteReference"/>
                <w:color w:val="000000" w:themeColor="text1"/>
                <w:sz w:val="16"/>
                <w:szCs w:val="16"/>
              </w:rPr>
              <w:footnoteReference w:id="140"/>
            </w:r>
          </w:p>
        </w:tc>
        <w:tc>
          <w:tcPr>
            <w:tcW w:w="614" w:type="pct"/>
            <w:tcBorders>
              <w:top w:val="single" w:sz="4" w:space="0" w:color="auto"/>
              <w:bottom w:val="nil"/>
              <w:right w:val="single" w:sz="4" w:space="0" w:color="auto"/>
            </w:tcBorders>
            <w:shd w:val="clear" w:color="auto" w:fill="auto"/>
            <w:tcMar>
              <w:top w:w="110" w:type="dxa"/>
            </w:tcMar>
          </w:tcPr>
          <w:p w:rsidR="00221F0B" w:rsidRPr="00F05098" w:rsidRDefault="00221F0B" w:rsidP="00DC1333">
            <w:pPr>
              <w:keepNext/>
              <w:keepLines/>
              <w:jc w:val="center"/>
              <w:rPr>
                <w:b/>
                <w:bCs/>
                <w:color w:val="00B050"/>
                <w:sz w:val="16"/>
                <w:szCs w:val="16"/>
              </w:rPr>
            </w:pPr>
            <w:r w:rsidRPr="00F05098">
              <w:rPr>
                <w:b/>
                <w:bCs/>
                <w:color w:val="00B050"/>
                <w:sz w:val="16"/>
                <w:szCs w:val="16"/>
              </w:rPr>
              <w:t>Plenamente logrado</w:t>
            </w:r>
          </w:p>
          <w:p w:rsidR="00221F0B" w:rsidRPr="00F05098" w:rsidRDefault="00221F0B" w:rsidP="00DC1333">
            <w:pPr>
              <w:keepNext/>
              <w:keepLines/>
              <w:jc w:val="center"/>
              <w:rPr>
                <w:b/>
                <w:bCs/>
                <w:color w:val="00B050"/>
                <w:sz w:val="16"/>
                <w:szCs w:val="16"/>
              </w:rPr>
            </w:pPr>
          </w:p>
        </w:tc>
      </w:tr>
      <w:tr w:rsidR="00221F0B" w:rsidRPr="00F05098" w:rsidTr="00DC1333">
        <w:trPr>
          <w:cantSplit/>
        </w:trPr>
        <w:tc>
          <w:tcPr>
            <w:tcW w:w="859" w:type="pct"/>
            <w:tcBorders>
              <w:top w:val="nil"/>
              <w:left w:val="single" w:sz="4" w:space="0" w:color="auto"/>
              <w:bottom w:val="single" w:sz="4" w:space="0" w:color="auto"/>
            </w:tcBorders>
            <w:shd w:val="clear" w:color="auto" w:fill="auto"/>
          </w:tcPr>
          <w:p w:rsidR="00221F0B" w:rsidRPr="00F05098" w:rsidRDefault="00221F0B" w:rsidP="00221F0B">
            <w:pPr>
              <w:ind w:leftChars="-11" w:left="-24"/>
              <w:rPr>
                <w:color w:val="000000" w:themeColor="text1"/>
                <w:sz w:val="16"/>
                <w:szCs w:val="16"/>
              </w:rPr>
            </w:pPr>
            <w:r w:rsidRPr="00F05098">
              <w:rPr>
                <w:color w:val="000000" w:themeColor="text1"/>
                <w:sz w:val="16"/>
                <w:szCs w:val="16"/>
              </w:rPr>
              <w:t>El personal tiene fácil acceso a tecnologías de las comunicaciones integradas y de amplio alcance</w:t>
            </w:r>
          </w:p>
        </w:tc>
        <w:tc>
          <w:tcPr>
            <w:tcW w:w="1254" w:type="pct"/>
            <w:gridSpan w:val="2"/>
            <w:tcBorders>
              <w:top w:val="nil"/>
              <w:bottom w:val="single" w:sz="4" w:space="0" w:color="auto"/>
            </w:tcBorders>
            <w:shd w:val="clear" w:color="auto" w:fill="auto"/>
          </w:tcPr>
          <w:p w:rsidR="00221F0B" w:rsidRPr="00F05098" w:rsidRDefault="00221F0B" w:rsidP="00DC1333">
            <w:pPr>
              <w:rPr>
                <w:i/>
                <w:color w:val="002060"/>
                <w:sz w:val="16"/>
                <w:szCs w:val="16"/>
              </w:rPr>
            </w:pPr>
            <w:r w:rsidRPr="00F05098">
              <w:rPr>
                <w:sz w:val="16"/>
                <w:szCs w:val="16"/>
              </w:rPr>
              <w:t>Disponibles en las computadoras de escritorio (y en los portátiles)</w:t>
            </w:r>
          </w:p>
        </w:tc>
        <w:tc>
          <w:tcPr>
            <w:tcW w:w="810" w:type="pct"/>
            <w:tcBorders>
              <w:top w:val="nil"/>
              <w:bottom w:val="single" w:sz="4" w:space="0" w:color="auto"/>
            </w:tcBorders>
            <w:shd w:val="clear" w:color="auto" w:fill="auto"/>
            <w:tcMar>
              <w:top w:w="110" w:type="dxa"/>
            </w:tcMar>
          </w:tcPr>
          <w:p w:rsidR="00221F0B" w:rsidRPr="00F05098" w:rsidRDefault="00221F0B" w:rsidP="00221F0B">
            <w:pPr>
              <w:ind w:leftChars="-11" w:left="-24"/>
              <w:rPr>
                <w:color w:val="000000" w:themeColor="text1"/>
                <w:sz w:val="16"/>
                <w:szCs w:val="16"/>
              </w:rPr>
            </w:pPr>
            <w:r w:rsidRPr="00F05098">
              <w:rPr>
                <w:color w:val="000000" w:themeColor="text1"/>
                <w:sz w:val="16"/>
                <w:szCs w:val="16"/>
              </w:rPr>
              <w:t>Disponibles en otros dispositivos móviles</w:t>
            </w:r>
          </w:p>
        </w:tc>
        <w:tc>
          <w:tcPr>
            <w:tcW w:w="1463" w:type="pct"/>
            <w:gridSpan w:val="2"/>
            <w:tcBorders>
              <w:top w:val="nil"/>
              <w:bottom w:val="single" w:sz="4" w:space="0" w:color="auto"/>
            </w:tcBorders>
            <w:shd w:val="clear" w:color="auto" w:fill="FFFFFF"/>
            <w:tcMar>
              <w:top w:w="110" w:type="dxa"/>
            </w:tcMar>
          </w:tcPr>
          <w:p w:rsidR="00221F0B" w:rsidRDefault="00221F0B" w:rsidP="00DC1333">
            <w:pPr>
              <w:rPr>
                <w:color w:val="000000" w:themeColor="text1"/>
                <w:sz w:val="16"/>
                <w:szCs w:val="16"/>
              </w:rPr>
            </w:pPr>
            <w:r w:rsidRPr="004342AA">
              <w:rPr>
                <w:color w:val="000000" w:themeColor="text1"/>
                <w:sz w:val="16"/>
                <w:szCs w:val="16"/>
              </w:rPr>
              <w:t>Acceso a Intranet y al servicio de mensajería vocal de la Organización para los teléfonos móviles de la OMPI;  comunicaciones en directo por vídeo entre las Oficinas en el exterior y la sede de la OMPI; acceso telefónico disponible en las computadoras de escritorio;  capacidad de enviar y recibir faxes por correo electrónico.</w:t>
            </w:r>
          </w:p>
          <w:p w:rsidR="00221F0B" w:rsidRPr="004342AA" w:rsidDel="00447A37" w:rsidRDefault="00221F0B" w:rsidP="00DC1333">
            <w:pPr>
              <w:rPr>
                <w:color w:val="000000" w:themeColor="text1"/>
                <w:sz w:val="16"/>
                <w:szCs w:val="16"/>
              </w:rPr>
            </w:pPr>
          </w:p>
        </w:tc>
        <w:tc>
          <w:tcPr>
            <w:tcW w:w="614" w:type="pct"/>
            <w:tcBorders>
              <w:top w:val="nil"/>
              <w:bottom w:val="single" w:sz="4" w:space="0" w:color="auto"/>
              <w:right w:val="single" w:sz="4" w:space="0" w:color="auto"/>
            </w:tcBorders>
            <w:shd w:val="clear" w:color="auto" w:fill="auto"/>
            <w:tcMar>
              <w:top w:w="110" w:type="dxa"/>
            </w:tcMar>
          </w:tcPr>
          <w:p w:rsidR="00221F0B" w:rsidRPr="00F05098" w:rsidRDefault="00221F0B" w:rsidP="00DC1333">
            <w:pPr>
              <w:keepNext/>
              <w:keepLines/>
              <w:jc w:val="center"/>
              <w:rPr>
                <w:b/>
                <w:bCs/>
                <w:color w:val="00B050"/>
                <w:sz w:val="16"/>
                <w:szCs w:val="16"/>
              </w:rPr>
            </w:pPr>
            <w:r w:rsidRPr="00F05098">
              <w:rPr>
                <w:b/>
                <w:bCs/>
                <w:color w:val="00B050"/>
                <w:sz w:val="16"/>
                <w:szCs w:val="16"/>
              </w:rPr>
              <w:t>Plenamente logrado</w:t>
            </w:r>
          </w:p>
          <w:p w:rsidR="00221F0B" w:rsidRPr="00F05098" w:rsidRDefault="00221F0B" w:rsidP="00DC1333">
            <w:pPr>
              <w:keepNext/>
              <w:keepLines/>
              <w:jc w:val="center"/>
              <w:rPr>
                <w:b/>
                <w:bCs/>
                <w:color w:val="00B050"/>
                <w:sz w:val="16"/>
                <w:szCs w:val="16"/>
              </w:rPr>
            </w:pPr>
          </w:p>
        </w:tc>
      </w:tr>
      <w:tr w:rsidR="00221F0B" w:rsidRPr="00A0512D" w:rsidTr="00DC1333">
        <w:trPr>
          <w:cantSplit/>
        </w:trPr>
        <w:tc>
          <w:tcPr>
            <w:tcW w:w="5000" w:type="pct"/>
            <w:gridSpan w:val="7"/>
            <w:tcBorders>
              <w:top w:val="single" w:sz="4" w:space="0" w:color="auto"/>
              <w:bottom w:val="single" w:sz="4" w:space="0" w:color="auto"/>
            </w:tcBorders>
            <w:shd w:val="clear" w:color="auto" w:fill="C6D9F1" w:themeFill="text2" w:themeFillTint="33"/>
            <w:vAlign w:val="center"/>
          </w:tcPr>
          <w:p w:rsidR="00221F0B" w:rsidRPr="00F05098" w:rsidRDefault="00221F0B" w:rsidP="00DC1333">
            <w:pPr>
              <w:spacing w:before="120" w:after="120"/>
              <w:ind w:left="2019" w:hanging="2019"/>
              <w:rPr>
                <w:b/>
                <w:bCs/>
                <w:color w:val="000000" w:themeColor="text1"/>
                <w:sz w:val="16"/>
                <w:szCs w:val="16"/>
              </w:rPr>
            </w:pPr>
            <w:r w:rsidRPr="00F05098">
              <w:rPr>
                <w:b/>
                <w:bCs/>
                <w:sz w:val="16"/>
                <w:szCs w:val="16"/>
              </w:rPr>
              <w:t>Resultado previsto:</w:t>
            </w:r>
            <w:r w:rsidRPr="00F05098">
              <w:rPr>
                <w:b/>
                <w:bCs/>
                <w:sz w:val="16"/>
                <w:szCs w:val="16"/>
              </w:rPr>
              <w:tab/>
            </w:r>
            <w:r w:rsidRPr="00F05098">
              <w:rPr>
                <w:bCs/>
                <w:sz w:val="16"/>
                <w:szCs w:val="16"/>
              </w:rPr>
              <w:t>IX.4 Una organización responsable con el medio ambiente y la sociedad en la que se garantiza la seguridad de su personal, los delegados, los visitantes, la información y los activos físicos</w:t>
            </w:r>
          </w:p>
        </w:tc>
      </w:tr>
      <w:tr w:rsidR="00221F0B" w:rsidRPr="00F05098" w:rsidTr="00DC1333">
        <w:trPr>
          <w:cantSplit/>
        </w:trPr>
        <w:tc>
          <w:tcPr>
            <w:tcW w:w="1118" w:type="pct"/>
            <w:gridSpan w:val="2"/>
            <w:tcBorders>
              <w:top w:val="single" w:sz="4" w:space="0" w:color="auto"/>
            </w:tcBorders>
            <w:shd w:val="clear" w:color="auto" w:fill="auto"/>
            <w:vAlign w:val="center"/>
          </w:tcPr>
          <w:p w:rsidR="00221F0B" w:rsidRPr="00F05098" w:rsidRDefault="00221F0B" w:rsidP="00DC1333">
            <w:pPr>
              <w:rPr>
                <w:color w:val="000000" w:themeColor="text1"/>
                <w:sz w:val="16"/>
                <w:szCs w:val="16"/>
              </w:rPr>
            </w:pPr>
            <w:r w:rsidRPr="00F05098">
              <w:rPr>
                <w:b/>
                <w:sz w:val="16"/>
                <w:szCs w:val="16"/>
              </w:rPr>
              <w:t>Indicadores de rendimiento</w:t>
            </w:r>
          </w:p>
        </w:tc>
        <w:tc>
          <w:tcPr>
            <w:tcW w:w="995" w:type="pct"/>
            <w:tcBorders>
              <w:top w:val="single" w:sz="4" w:space="0" w:color="auto"/>
            </w:tcBorders>
            <w:shd w:val="clear" w:color="auto" w:fill="auto"/>
            <w:vAlign w:val="center"/>
          </w:tcPr>
          <w:p w:rsidR="00221F0B" w:rsidRPr="00F05098" w:rsidRDefault="00221F0B" w:rsidP="00DC1333">
            <w:pPr>
              <w:rPr>
                <w:b/>
                <w:bCs/>
                <w:color w:val="000000" w:themeColor="text1"/>
                <w:sz w:val="16"/>
                <w:szCs w:val="16"/>
              </w:rPr>
            </w:pPr>
            <w:r w:rsidRPr="00F05098">
              <w:rPr>
                <w:b/>
                <w:bCs/>
                <w:sz w:val="16"/>
                <w:szCs w:val="16"/>
              </w:rPr>
              <w:t>Referencia</w:t>
            </w:r>
          </w:p>
        </w:tc>
        <w:tc>
          <w:tcPr>
            <w:tcW w:w="816" w:type="pct"/>
            <w:gridSpan w:val="2"/>
            <w:tcBorders>
              <w:top w:val="single" w:sz="4" w:space="0" w:color="auto"/>
            </w:tcBorders>
            <w:shd w:val="clear" w:color="auto" w:fill="auto"/>
            <w:tcMar>
              <w:top w:w="110" w:type="dxa"/>
            </w:tcMar>
            <w:vAlign w:val="center"/>
          </w:tcPr>
          <w:p w:rsidR="00221F0B" w:rsidRPr="00F05098" w:rsidRDefault="00221F0B" w:rsidP="00DC1333">
            <w:pPr>
              <w:rPr>
                <w:b/>
                <w:color w:val="000000" w:themeColor="text1"/>
                <w:sz w:val="16"/>
                <w:szCs w:val="16"/>
              </w:rPr>
            </w:pPr>
            <w:r w:rsidRPr="00F05098">
              <w:rPr>
                <w:b/>
                <w:sz w:val="16"/>
                <w:szCs w:val="16"/>
              </w:rPr>
              <w:t>Objetivos</w:t>
            </w:r>
          </w:p>
        </w:tc>
        <w:tc>
          <w:tcPr>
            <w:tcW w:w="1457" w:type="pct"/>
            <w:tcBorders>
              <w:top w:val="single" w:sz="4" w:space="0" w:color="auto"/>
            </w:tcBorders>
            <w:shd w:val="clear" w:color="auto" w:fill="FFFFFF"/>
            <w:tcMar>
              <w:top w:w="110" w:type="dxa"/>
            </w:tcMar>
            <w:vAlign w:val="center"/>
          </w:tcPr>
          <w:p w:rsidR="00221F0B" w:rsidRPr="00F05098" w:rsidRDefault="00221F0B" w:rsidP="00DC1333">
            <w:pPr>
              <w:rPr>
                <w:color w:val="000000" w:themeColor="text1"/>
                <w:sz w:val="16"/>
                <w:szCs w:val="16"/>
              </w:rPr>
            </w:pPr>
            <w:r w:rsidRPr="00F05098">
              <w:rPr>
                <w:b/>
                <w:sz w:val="16"/>
                <w:szCs w:val="16"/>
              </w:rPr>
              <w:t>Datos sobre el rendimiento</w:t>
            </w:r>
          </w:p>
        </w:tc>
        <w:tc>
          <w:tcPr>
            <w:tcW w:w="614" w:type="pct"/>
            <w:tcBorders>
              <w:top w:val="single" w:sz="4" w:space="0" w:color="auto"/>
            </w:tcBorders>
            <w:shd w:val="clear" w:color="auto" w:fill="auto"/>
            <w:tcMar>
              <w:top w:w="110" w:type="dxa"/>
            </w:tcMar>
            <w:vAlign w:val="center"/>
          </w:tcPr>
          <w:p w:rsidR="00221F0B" w:rsidRPr="00F05098" w:rsidRDefault="00221F0B" w:rsidP="00DC1333">
            <w:pPr>
              <w:keepNext/>
              <w:keepLines/>
              <w:jc w:val="center"/>
              <w:rPr>
                <w:b/>
                <w:bCs/>
                <w:color w:val="000000" w:themeColor="text1"/>
                <w:sz w:val="16"/>
                <w:szCs w:val="16"/>
              </w:rPr>
            </w:pPr>
            <w:r w:rsidRPr="00F05098">
              <w:rPr>
                <w:b/>
                <w:bCs/>
                <w:sz w:val="16"/>
                <w:szCs w:val="16"/>
              </w:rPr>
              <w:t>Clave de colores</w:t>
            </w:r>
          </w:p>
        </w:tc>
      </w:tr>
      <w:tr w:rsidR="00221F0B" w:rsidRPr="00F05098" w:rsidTr="00DC1333">
        <w:trPr>
          <w:cantSplit/>
        </w:trPr>
        <w:tc>
          <w:tcPr>
            <w:tcW w:w="1118" w:type="pct"/>
            <w:gridSpan w:val="2"/>
            <w:shd w:val="clear" w:color="auto" w:fill="auto"/>
          </w:tcPr>
          <w:p w:rsidR="00221F0B" w:rsidRPr="00F05098" w:rsidRDefault="00221F0B" w:rsidP="00221F0B">
            <w:pPr>
              <w:ind w:leftChars="-11" w:left="-24"/>
              <w:rPr>
                <w:color w:val="000000" w:themeColor="text1"/>
                <w:sz w:val="16"/>
                <w:szCs w:val="16"/>
              </w:rPr>
            </w:pPr>
            <w:r w:rsidRPr="00F05098">
              <w:rPr>
                <w:color w:val="000000" w:themeColor="text1"/>
                <w:sz w:val="16"/>
                <w:szCs w:val="16"/>
              </w:rPr>
              <w:t>Se refuerza la seguridad de la información para protegerse contra los ataques cada vez más frecuentes en Internet</w:t>
            </w:r>
          </w:p>
          <w:p w:rsidR="00221F0B" w:rsidRPr="00F05098" w:rsidRDefault="00221F0B" w:rsidP="00221F0B">
            <w:pPr>
              <w:ind w:leftChars="-11" w:left="-24"/>
              <w:rPr>
                <w:color w:val="000000" w:themeColor="text1"/>
                <w:sz w:val="16"/>
                <w:szCs w:val="16"/>
              </w:rPr>
            </w:pPr>
          </w:p>
          <w:p w:rsidR="00221F0B" w:rsidRPr="00F05098" w:rsidRDefault="00221F0B" w:rsidP="00221F0B">
            <w:pPr>
              <w:ind w:leftChars="-11" w:left="-24"/>
              <w:rPr>
                <w:color w:val="000000" w:themeColor="text1"/>
                <w:sz w:val="16"/>
                <w:szCs w:val="16"/>
              </w:rPr>
            </w:pPr>
            <w:r w:rsidRPr="00F05098">
              <w:rPr>
                <w:color w:val="000000" w:themeColor="text1"/>
                <w:sz w:val="16"/>
                <w:szCs w:val="16"/>
              </w:rPr>
              <w:t>Situación de la certificación con arreglo a la norma ISO 27001 de los procedimientos de gestión de riesgos para la seguridad de la información</w:t>
            </w:r>
          </w:p>
          <w:p w:rsidR="00221F0B" w:rsidRPr="00F05098" w:rsidRDefault="00221F0B" w:rsidP="00221F0B">
            <w:pPr>
              <w:ind w:leftChars="-11" w:left="-24"/>
              <w:rPr>
                <w:color w:val="000000" w:themeColor="text1"/>
                <w:sz w:val="16"/>
                <w:szCs w:val="16"/>
              </w:rPr>
            </w:pPr>
          </w:p>
        </w:tc>
        <w:tc>
          <w:tcPr>
            <w:tcW w:w="995" w:type="pct"/>
            <w:shd w:val="clear" w:color="auto" w:fill="auto"/>
          </w:tcPr>
          <w:p w:rsidR="00221F0B" w:rsidRPr="00F05098" w:rsidRDefault="00221F0B" w:rsidP="00DC1333">
            <w:pPr>
              <w:rPr>
                <w:color w:val="002060"/>
                <w:sz w:val="16"/>
                <w:szCs w:val="16"/>
              </w:rPr>
            </w:pPr>
            <w:r w:rsidRPr="00F05098">
              <w:rPr>
                <w:i/>
                <w:color w:val="002060"/>
                <w:sz w:val="16"/>
                <w:szCs w:val="16"/>
              </w:rPr>
              <w:t>Referencia actualizada a fines de 2013:</w:t>
            </w:r>
            <w:r w:rsidRPr="00F05098">
              <w:rPr>
                <w:color w:val="002060"/>
                <w:sz w:val="16"/>
                <w:szCs w:val="16"/>
              </w:rPr>
              <w:t xml:space="preserve"> </w:t>
            </w:r>
          </w:p>
          <w:p w:rsidR="00221F0B" w:rsidRPr="00F05098" w:rsidRDefault="00221F0B" w:rsidP="00221F0B">
            <w:pPr>
              <w:ind w:leftChars="-11" w:left="-24"/>
              <w:rPr>
                <w:color w:val="002060"/>
                <w:sz w:val="16"/>
                <w:szCs w:val="16"/>
              </w:rPr>
            </w:pPr>
            <w:r w:rsidRPr="00F05098">
              <w:rPr>
                <w:color w:val="002060"/>
                <w:sz w:val="16"/>
                <w:szCs w:val="16"/>
              </w:rPr>
              <w:t>156</w:t>
            </w:r>
            <w:r w:rsidRPr="00F05098">
              <w:t xml:space="preserve"> </w:t>
            </w:r>
            <w:r w:rsidRPr="00F05098">
              <w:rPr>
                <w:color w:val="002060"/>
                <w:sz w:val="16"/>
                <w:szCs w:val="16"/>
              </w:rPr>
              <w:t>actividades de mitigación de riesgos pendientes</w:t>
            </w:r>
          </w:p>
          <w:p w:rsidR="00221F0B" w:rsidRPr="00F05098" w:rsidRDefault="00221F0B" w:rsidP="00221F0B">
            <w:pPr>
              <w:ind w:leftChars="-11" w:left="-24"/>
              <w:rPr>
                <w:color w:val="002060"/>
                <w:sz w:val="16"/>
                <w:szCs w:val="16"/>
              </w:rPr>
            </w:pPr>
          </w:p>
          <w:p w:rsidR="00221F0B" w:rsidRPr="00F05098" w:rsidRDefault="00221F0B" w:rsidP="00221F0B">
            <w:pPr>
              <w:ind w:leftChars="-11" w:left="-24"/>
              <w:rPr>
                <w:color w:val="002060"/>
                <w:sz w:val="16"/>
                <w:szCs w:val="16"/>
              </w:rPr>
            </w:pPr>
            <w:r w:rsidRPr="00F05098">
              <w:rPr>
                <w:color w:val="002060"/>
                <w:sz w:val="16"/>
                <w:szCs w:val="16"/>
              </w:rPr>
              <w:t>El registro de riesgos relativo a la seguridad de la información se actualizó semestralmente, y se revisó a fondo en el marco de la certificación ISO 27001 de las operaciones del PCT</w:t>
            </w:r>
          </w:p>
          <w:p w:rsidR="00221F0B" w:rsidRPr="00F05098" w:rsidRDefault="00221F0B" w:rsidP="00221F0B">
            <w:pPr>
              <w:ind w:leftChars="-11" w:left="-24"/>
              <w:rPr>
                <w:color w:val="002060"/>
                <w:sz w:val="16"/>
                <w:szCs w:val="16"/>
              </w:rPr>
            </w:pPr>
          </w:p>
          <w:p w:rsidR="00221F0B" w:rsidRPr="00F05098" w:rsidRDefault="00221F0B" w:rsidP="00221F0B">
            <w:pPr>
              <w:ind w:leftChars="-11" w:left="-24"/>
              <w:rPr>
                <w:color w:val="002060"/>
                <w:sz w:val="16"/>
                <w:szCs w:val="16"/>
              </w:rPr>
            </w:pPr>
            <w:r w:rsidRPr="00F05098">
              <w:rPr>
                <w:color w:val="002060"/>
                <w:sz w:val="16"/>
                <w:szCs w:val="16"/>
              </w:rPr>
              <w:t>Certificación ISO 27001 del PCT:2005 (octubre de 2013);</w:t>
            </w:r>
          </w:p>
          <w:p w:rsidR="00221F0B" w:rsidRPr="00F05098" w:rsidRDefault="00221F0B" w:rsidP="00DC1333">
            <w:pPr>
              <w:rPr>
                <w:color w:val="000000" w:themeColor="text1"/>
                <w:sz w:val="16"/>
                <w:szCs w:val="16"/>
              </w:rPr>
            </w:pPr>
          </w:p>
          <w:p w:rsidR="00221F0B" w:rsidRPr="00F05098" w:rsidRDefault="00221F0B" w:rsidP="00221F0B">
            <w:pPr>
              <w:ind w:leftChars="-11" w:left="-24"/>
              <w:rPr>
                <w:color w:val="000000" w:themeColor="text1"/>
                <w:sz w:val="16"/>
                <w:szCs w:val="16"/>
              </w:rPr>
            </w:pPr>
            <w:r w:rsidRPr="00F05098">
              <w:rPr>
                <w:i/>
                <w:sz w:val="16"/>
                <w:szCs w:val="16"/>
              </w:rPr>
              <w:t xml:space="preserve">Referencia original en el presupuesto de 2014/15: </w:t>
            </w:r>
            <w:r w:rsidRPr="00F05098">
              <w:rPr>
                <w:sz w:val="16"/>
                <w:szCs w:val="16"/>
              </w:rPr>
              <w:t>Número de actividades de mitigación de riesgos pendientes al inicio del bienio;  certificación  de la Sección del PCT con arreglo a la norma ISO 27001</w:t>
            </w:r>
          </w:p>
        </w:tc>
        <w:tc>
          <w:tcPr>
            <w:tcW w:w="816" w:type="pct"/>
            <w:gridSpan w:val="2"/>
            <w:shd w:val="clear" w:color="auto" w:fill="auto"/>
            <w:tcMar>
              <w:top w:w="110" w:type="dxa"/>
            </w:tcMar>
          </w:tcPr>
          <w:p w:rsidR="00221F0B" w:rsidRPr="00F05098" w:rsidRDefault="00221F0B" w:rsidP="00221F0B">
            <w:pPr>
              <w:ind w:leftChars="14" w:left="31"/>
              <w:rPr>
                <w:color w:val="000000" w:themeColor="text1"/>
                <w:sz w:val="16"/>
                <w:szCs w:val="16"/>
              </w:rPr>
            </w:pPr>
            <w:r w:rsidRPr="00F05098">
              <w:rPr>
                <w:color w:val="000000" w:themeColor="text1"/>
                <w:sz w:val="16"/>
                <w:szCs w:val="16"/>
              </w:rPr>
              <w:t>No se han producido importantes violaciones de la seguridad en los sistemas de información de la OMPI</w:t>
            </w:r>
          </w:p>
          <w:p w:rsidR="00221F0B" w:rsidRPr="00F05098" w:rsidRDefault="00221F0B" w:rsidP="00DC1333">
            <w:pPr>
              <w:rPr>
                <w:color w:val="000000" w:themeColor="text1"/>
                <w:sz w:val="16"/>
                <w:szCs w:val="16"/>
              </w:rPr>
            </w:pPr>
          </w:p>
          <w:p w:rsidR="00221F0B" w:rsidRPr="00F05098" w:rsidRDefault="00221F0B" w:rsidP="00221F0B">
            <w:pPr>
              <w:ind w:leftChars="14" w:left="31"/>
              <w:rPr>
                <w:color w:val="000000" w:themeColor="text1"/>
                <w:sz w:val="16"/>
                <w:szCs w:val="16"/>
              </w:rPr>
            </w:pPr>
            <w:r w:rsidRPr="00F05098">
              <w:rPr>
                <w:sz w:val="16"/>
                <w:szCs w:val="16"/>
              </w:rPr>
              <w:t>El 90% de las actividades pendientes se resuelven durante el bienio;  el 60% de nuevos riesgos  se mitigan en un plazo de tres meses a partir del momento en que se señalan;  se obtiene la certificación de las dependencias de la Organización, según sea necesario;  se mantiene la certificación del PCT</w:t>
            </w:r>
          </w:p>
        </w:tc>
        <w:tc>
          <w:tcPr>
            <w:tcW w:w="1457" w:type="pct"/>
            <w:shd w:val="clear" w:color="auto" w:fill="FFFFFF"/>
            <w:tcMar>
              <w:top w:w="110" w:type="dxa"/>
            </w:tcMar>
          </w:tcPr>
          <w:p w:rsidR="00221F0B" w:rsidRPr="00F5205F" w:rsidRDefault="00221F0B" w:rsidP="00DC1333">
            <w:pPr>
              <w:rPr>
                <w:color w:val="000000" w:themeColor="text1"/>
                <w:sz w:val="16"/>
                <w:szCs w:val="16"/>
              </w:rPr>
            </w:pPr>
            <w:r w:rsidRPr="00F5205F">
              <w:rPr>
                <w:color w:val="000000" w:themeColor="text1"/>
                <w:sz w:val="16"/>
                <w:szCs w:val="16"/>
              </w:rPr>
              <w:t>No se han producido importantes violaciones de la seguridad en los sistemas de información de la OMPI durante el bienio 2014/15</w:t>
            </w:r>
          </w:p>
          <w:p w:rsidR="00221F0B" w:rsidRPr="00F5205F" w:rsidRDefault="00221F0B" w:rsidP="00DC1333">
            <w:pPr>
              <w:rPr>
                <w:color w:val="000000" w:themeColor="text1"/>
                <w:sz w:val="16"/>
                <w:szCs w:val="16"/>
              </w:rPr>
            </w:pPr>
          </w:p>
          <w:p w:rsidR="00221F0B" w:rsidRPr="00F5205F" w:rsidRDefault="00221F0B" w:rsidP="00DC1333">
            <w:pPr>
              <w:rPr>
                <w:color w:val="000000" w:themeColor="text1"/>
                <w:sz w:val="16"/>
                <w:szCs w:val="16"/>
              </w:rPr>
            </w:pPr>
            <w:r w:rsidRPr="00F5205F">
              <w:rPr>
                <w:color w:val="000000" w:themeColor="text1"/>
                <w:sz w:val="16"/>
                <w:szCs w:val="16"/>
              </w:rPr>
              <w:t xml:space="preserve">El 100% de los riesgos de referencia pendientes se mitigaron a fines del bienio: </w:t>
            </w:r>
          </w:p>
          <w:p w:rsidR="00221F0B" w:rsidRPr="00F5205F" w:rsidRDefault="00221F0B" w:rsidP="00EB45DE">
            <w:pPr>
              <w:pStyle w:val="ListParagraph"/>
              <w:numPr>
                <w:ilvl w:val="0"/>
                <w:numId w:val="111"/>
              </w:numPr>
              <w:rPr>
                <w:rFonts w:cs="Arial"/>
                <w:color w:val="000000" w:themeColor="text1"/>
                <w:sz w:val="16"/>
                <w:szCs w:val="16"/>
                <w:lang w:val="es-ES"/>
              </w:rPr>
            </w:pPr>
            <w:r w:rsidRPr="00F5205F">
              <w:rPr>
                <w:rFonts w:cs="Arial"/>
                <w:color w:val="000000" w:themeColor="text1"/>
                <w:sz w:val="16"/>
                <w:szCs w:val="16"/>
                <w:lang w:val="es-ES"/>
              </w:rPr>
              <w:t>2014:  89% de los 156 riesgos de referencia mitigados; 17 pendientes</w:t>
            </w:r>
          </w:p>
          <w:p w:rsidR="00221F0B" w:rsidRPr="00F5205F" w:rsidRDefault="00221F0B" w:rsidP="00EB45DE">
            <w:pPr>
              <w:pStyle w:val="ListParagraph"/>
              <w:numPr>
                <w:ilvl w:val="0"/>
                <w:numId w:val="111"/>
              </w:numPr>
              <w:rPr>
                <w:rFonts w:cs="Arial"/>
                <w:color w:val="000000" w:themeColor="text1"/>
                <w:sz w:val="16"/>
                <w:szCs w:val="16"/>
                <w:lang w:val="es-ES"/>
              </w:rPr>
            </w:pPr>
            <w:r w:rsidRPr="00F5205F">
              <w:rPr>
                <w:rFonts w:cs="Arial"/>
                <w:color w:val="000000" w:themeColor="text1"/>
                <w:sz w:val="16"/>
                <w:szCs w:val="16"/>
                <w:lang w:val="es-ES"/>
              </w:rPr>
              <w:t>2015: 100% de los 23 riesgos (incluidos 17 riesgos de referencia pendientes) mitigados</w:t>
            </w:r>
          </w:p>
          <w:p w:rsidR="00221F0B" w:rsidRPr="00F05098" w:rsidRDefault="00221F0B" w:rsidP="00DC1333">
            <w:pPr>
              <w:rPr>
                <w:color w:val="000000" w:themeColor="text1"/>
                <w:sz w:val="16"/>
                <w:szCs w:val="16"/>
                <w:highlight w:val="yellow"/>
              </w:rPr>
            </w:pPr>
          </w:p>
          <w:p w:rsidR="00221F0B" w:rsidRPr="00F5205F" w:rsidRDefault="00221F0B" w:rsidP="00DC1333">
            <w:pPr>
              <w:rPr>
                <w:sz w:val="16"/>
                <w:szCs w:val="16"/>
              </w:rPr>
            </w:pPr>
            <w:r w:rsidRPr="00F5205F">
              <w:rPr>
                <w:color w:val="000000" w:themeColor="text1"/>
                <w:sz w:val="16"/>
                <w:szCs w:val="16"/>
              </w:rPr>
              <w:t xml:space="preserve">En 2014/15, se detectaron </w:t>
            </w:r>
            <w:r w:rsidRPr="00F5205F">
              <w:rPr>
                <w:sz w:val="16"/>
                <w:szCs w:val="16"/>
              </w:rPr>
              <w:t xml:space="preserve">37 nuevos riesgos ISO27001, 25 de los cuales (67%) se subsanaron en un plazo de 3 meses a partir de su detección </w:t>
            </w:r>
          </w:p>
          <w:p w:rsidR="00221F0B" w:rsidRPr="00F5205F" w:rsidRDefault="00221F0B" w:rsidP="00EB45DE">
            <w:pPr>
              <w:pStyle w:val="ListParagraph"/>
              <w:numPr>
                <w:ilvl w:val="0"/>
                <w:numId w:val="112"/>
              </w:numPr>
              <w:rPr>
                <w:rFonts w:cs="Arial"/>
                <w:sz w:val="16"/>
                <w:szCs w:val="16"/>
                <w:lang w:val="es-ES"/>
              </w:rPr>
            </w:pPr>
            <w:r w:rsidRPr="00F5205F">
              <w:rPr>
                <w:rFonts w:cs="Arial"/>
                <w:sz w:val="16"/>
                <w:szCs w:val="16"/>
                <w:lang w:val="es-ES"/>
              </w:rPr>
              <w:t>8 de 12 (66%) en 2014</w:t>
            </w:r>
          </w:p>
          <w:p w:rsidR="00221F0B" w:rsidRPr="00F5205F" w:rsidRDefault="00221F0B" w:rsidP="00EB45DE">
            <w:pPr>
              <w:pStyle w:val="ListParagraph"/>
              <w:numPr>
                <w:ilvl w:val="0"/>
                <w:numId w:val="112"/>
              </w:numPr>
              <w:rPr>
                <w:rFonts w:cs="Arial"/>
                <w:sz w:val="16"/>
                <w:szCs w:val="16"/>
                <w:lang w:val="es-ES"/>
              </w:rPr>
            </w:pPr>
            <w:r w:rsidRPr="00F5205F">
              <w:rPr>
                <w:rFonts w:cs="Arial"/>
                <w:sz w:val="16"/>
                <w:szCs w:val="16"/>
                <w:lang w:val="es-ES"/>
              </w:rPr>
              <w:t>17 de 25 (68%) en 2015</w:t>
            </w:r>
          </w:p>
          <w:p w:rsidR="00221F0B" w:rsidRPr="00F05098" w:rsidRDefault="00221F0B" w:rsidP="00DC1333">
            <w:pPr>
              <w:ind w:left="173"/>
              <w:rPr>
                <w:color w:val="000000" w:themeColor="text1"/>
                <w:sz w:val="16"/>
                <w:szCs w:val="16"/>
                <w:highlight w:val="yellow"/>
              </w:rPr>
            </w:pPr>
          </w:p>
          <w:p w:rsidR="00221F0B" w:rsidRPr="002E74AA" w:rsidRDefault="00221F0B" w:rsidP="00DC1333">
            <w:pPr>
              <w:rPr>
                <w:color w:val="000000" w:themeColor="text1"/>
                <w:sz w:val="16"/>
                <w:szCs w:val="16"/>
              </w:rPr>
            </w:pPr>
            <w:r w:rsidRPr="002E74AA">
              <w:rPr>
                <w:color w:val="000000" w:themeColor="text1"/>
                <w:sz w:val="16"/>
                <w:szCs w:val="16"/>
              </w:rPr>
              <w:t xml:space="preserve">Se actualizó semestralmente el registro de riesgos </w:t>
            </w:r>
            <w:r>
              <w:rPr>
                <w:color w:val="000000" w:themeColor="text1"/>
                <w:sz w:val="16"/>
                <w:szCs w:val="16"/>
              </w:rPr>
              <w:t>relativos a la</w:t>
            </w:r>
            <w:r w:rsidRPr="002E74AA">
              <w:rPr>
                <w:color w:val="000000" w:themeColor="text1"/>
                <w:sz w:val="16"/>
                <w:szCs w:val="16"/>
              </w:rPr>
              <w:t xml:space="preserve"> seguridad de la información, y se amplió para dar cabida a los riesgos de información relativos a los sistemas de Madrid y de La Haya como parte del proceso de certificación; </w:t>
            </w:r>
          </w:p>
          <w:p w:rsidR="00221F0B" w:rsidRPr="00F05098" w:rsidRDefault="00221F0B" w:rsidP="00DC1333">
            <w:pPr>
              <w:rPr>
                <w:color w:val="000000" w:themeColor="text1"/>
                <w:sz w:val="16"/>
                <w:szCs w:val="16"/>
                <w:highlight w:val="yellow"/>
              </w:rPr>
            </w:pPr>
          </w:p>
          <w:p w:rsidR="00221F0B" w:rsidRPr="00F05098" w:rsidRDefault="00221F0B" w:rsidP="00DC1333">
            <w:pPr>
              <w:rPr>
                <w:color w:val="000000" w:themeColor="text1"/>
                <w:sz w:val="16"/>
                <w:szCs w:val="16"/>
              </w:rPr>
            </w:pPr>
          </w:p>
        </w:tc>
        <w:tc>
          <w:tcPr>
            <w:tcW w:w="614" w:type="pct"/>
            <w:shd w:val="clear" w:color="auto" w:fill="auto"/>
            <w:tcMar>
              <w:top w:w="110" w:type="dxa"/>
            </w:tcMar>
          </w:tcPr>
          <w:p w:rsidR="00221F0B" w:rsidRPr="00F05098" w:rsidRDefault="00221F0B" w:rsidP="00DC1333">
            <w:pPr>
              <w:keepNext/>
              <w:keepLines/>
              <w:jc w:val="center"/>
              <w:rPr>
                <w:b/>
                <w:bCs/>
                <w:color w:val="00B050"/>
                <w:sz w:val="16"/>
                <w:szCs w:val="16"/>
              </w:rPr>
            </w:pPr>
            <w:r w:rsidRPr="00F05098">
              <w:rPr>
                <w:b/>
                <w:bCs/>
                <w:color w:val="00B050"/>
                <w:sz w:val="16"/>
                <w:szCs w:val="16"/>
              </w:rPr>
              <w:t>Plenamente logrado</w:t>
            </w:r>
          </w:p>
          <w:p w:rsidR="00221F0B" w:rsidRPr="00F05098" w:rsidRDefault="00221F0B" w:rsidP="00DC1333">
            <w:pPr>
              <w:keepNext/>
              <w:keepLines/>
              <w:jc w:val="center"/>
              <w:rPr>
                <w:bCs/>
                <w:color w:val="000000" w:themeColor="text1"/>
                <w:sz w:val="16"/>
                <w:szCs w:val="16"/>
              </w:rPr>
            </w:pPr>
          </w:p>
          <w:p w:rsidR="00221F0B" w:rsidRPr="00F05098" w:rsidRDefault="00221F0B" w:rsidP="00DC1333">
            <w:pPr>
              <w:keepNext/>
              <w:keepLines/>
              <w:jc w:val="center"/>
              <w:rPr>
                <w:bCs/>
                <w:color w:val="000000" w:themeColor="text1"/>
                <w:sz w:val="16"/>
                <w:szCs w:val="16"/>
              </w:rPr>
            </w:pPr>
          </w:p>
          <w:p w:rsidR="00221F0B" w:rsidRPr="00F05098" w:rsidRDefault="00221F0B" w:rsidP="00DC1333">
            <w:pPr>
              <w:keepNext/>
              <w:keepLines/>
              <w:jc w:val="center"/>
              <w:rPr>
                <w:bCs/>
                <w:color w:val="000000" w:themeColor="text1"/>
                <w:sz w:val="16"/>
                <w:szCs w:val="16"/>
              </w:rPr>
            </w:pPr>
          </w:p>
          <w:p w:rsidR="00221F0B" w:rsidRPr="00F05098" w:rsidRDefault="00221F0B" w:rsidP="00DC1333">
            <w:pPr>
              <w:keepNext/>
              <w:keepLines/>
              <w:jc w:val="center"/>
              <w:rPr>
                <w:b/>
                <w:bCs/>
                <w:color w:val="00B050"/>
                <w:sz w:val="16"/>
                <w:szCs w:val="16"/>
              </w:rPr>
            </w:pPr>
            <w:r w:rsidRPr="00F05098">
              <w:rPr>
                <w:b/>
                <w:bCs/>
                <w:color w:val="00B050"/>
                <w:sz w:val="16"/>
                <w:szCs w:val="16"/>
              </w:rPr>
              <w:t>Plenamente logrado</w:t>
            </w:r>
          </w:p>
          <w:p w:rsidR="00221F0B" w:rsidRPr="00F05098" w:rsidRDefault="00221F0B" w:rsidP="00DC1333">
            <w:pPr>
              <w:keepNext/>
              <w:keepLines/>
              <w:jc w:val="center"/>
              <w:rPr>
                <w:bCs/>
                <w:color w:val="000000" w:themeColor="text1"/>
                <w:sz w:val="16"/>
                <w:szCs w:val="16"/>
              </w:rPr>
            </w:pPr>
          </w:p>
          <w:p w:rsidR="00221F0B" w:rsidRPr="00F05098" w:rsidRDefault="00221F0B" w:rsidP="00DC1333">
            <w:pPr>
              <w:keepNext/>
              <w:keepLines/>
              <w:jc w:val="center"/>
              <w:rPr>
                <w:bCs/>
                <w:color w:val="000000" w:themeColor="text1"/>
                <w:sz w:val="16"/>
                <w:szCs w:val="16"/>
              </w:rPr>
            </w:pPr>
          </w:p>
          <w:p w:rsidR="00221F0B" w:rsidRPr="00F05098" w:rsidRDefault="00221F0B" w:rsidP="00DC1333">
            <w:pPr>
              <w:keepNext/>
              <w:keepLines/>
              <w:jc w:val="center"/>
              <w:rPr>
                <w:bCs/>
                <w:color w:val="000000" w:themeColor="text1"/>
                <w:sz w:val="16"/>
                <w:szCs w:val="16"/>
              </w:rPr>
            </w:pPr>
          </w:p>
          <w:p w:rsidR="00221F0B" w:rsidRPr="00F05098" w:rsidRDefault="00221F0B" w:rsidP="00DC1333">
            <w:pPr>
              <w:keepNext/>
              <w:keepLines/>
              <w:jc w:val="center"/>
              <w:rPr>
                <w:bCs/>
                <w:color w:val="000000" w:themeColor="text1"/>
                <w:sz w:val="16"/>
                <w:szCs w:val="16"/>
              </w:rPr>
            </w:pPr>
          </w:p>
          <w:p w:rsidR="00221F0B" w:rsidRPr="00F05098" w:rsidRDefault="00221F0B" w:rsidP="00DC1333">
            <w:pPr>
              <w:keepNext/>
              <w:keepLines/>
              <w:jc w:val="center"/>
              <w:rPr>
                <w:bCs/>
                <w:color w:val="000000" w:themeColor="text1"/>
                <w:sz w:val="16"/>
                <w:szCs w:val="16"/>
              </w:rPr>
            </w:pPr>
          </w:p>
          <w:p w:rsidR="00221F0B" w:rsidRPr="00F05098" w:rsidRDefault="00221F0B" w:rsidP="00DC1333">
            <w:pPr>
              <w:keepNext/>
              <w:keepLines/>
              <w:jc w:val="center"/>
              <w:rPr>
                <w:bCs/>
                <w:color w:val="000000" w:themeColor="text1"/>
                <w:sz w:val="16"/>
                <w:szCs w:val="16"/>
              </w:rPr>
            </w:pPr>
          </w:p>
          <w:p w:rsidR="00221F0B" w:rsidRPr="00F05098" w:rsidRDefault="00221F0B" w:rsidP="00DC1333">
            <w:pPr>
              <w:keepNext/>
              <w:keepLines/>
              <w:jc w:val="center"/>
              <w:rPr>
                <w:bCs/>
                <w:color w:val="000000" w:themeColor="text1"/>
                <w:sz w:val="16"/>
                <w:szCs w:val="16"/>
              </w:rPr>
            </w:pPr>
          </w:p>
          <w:p w:rsidR="00221F0B" w:rsidRPr="00F05098" w:rsidRDefault="00221F0B" w:rsidP="00DC1333">
            <w:pPr>
              <w:keepNext/>
              <w:keepLines/>
              <w:jc w:val="center"/>
              <w:rPr>
                <w:bCs/>
                <w:color w:val="000000" w:themeColor="text1"/>
                <w:sz w:val="16"/>
                <w:szCs w:val="16"/>
              </w:rPr>
            </w:pPr>
          </w:p>
          <w:p w:rsidR="00221F0B" w:rsidRPr="00F05098" w:rsidRDefault="00221F0B" w:rsidP="00DC1333">
            <w:pPr>
              <w:keepNext/>
              <w:keepLines/>
              <w:jc w:val="center"/>
              <w:rPr>
                <w:b/>
                <w:bCs/>
                <w:color w:val="00B050"/>
                <w:sz w:val="16"/>
                <w:szCs w:val="16"/>
              </w:rPr>
            </w:pPr>
            <w:r w:rsidRPr="00F05098">
              <w:rPr>
                <w:b/>
                <w:bCs/>
                <w:color w:val="00B050"/>
                <w:sz w:val="16"/>
                <w:szCs w:val="16"/>
              </w:rPr>
              <w:t>Plenamente logrado</w:t>
            </w:r>
          </w:p>
          <w:p w:rsidR="00221F0B" w:rsidRPr="00F05098" w:rsidRDefault="00221F0B" w:rsidP="00DC1333">
            <w:pPr>
              <w:keepNext/>
              <w:keepLines/>
              <w:jc w:val="center"/>
              <w:rPr>
                <w:b/>
                <w:bCs/>
                <w:color w:val="00B050"/>
                <w:sz w:val="16"/>
                <w:szCs w:val="16"/>
              </w:rPr>
            </w:pPr>
          </w:p>
          <w:p w:rsidR="00221F0B" w:rsidRPr="00F05098" w:rsidRDefault="00221F0B" w:rsidP="00DC1333">
            <w:pPr>
              <w:keepNext/>
              <w:keepLines/>
              <w:jc w:val="center"/>
              <w:rPr>
                <w:b/>
                <w:bCs/>
                <w:color w:val="00B050"/>
                <w:sz w:val="16"/>
                <w:szCs w:val="16"/>
              </w:rPr>
            </w:pPr>
          </w:p>
          <w:p w:rsidR="00221F0B" w:rsidRPr="00F05098" w:rsidRDefault="00221F0B" w:rsidP="00DC1333">
            <w:pPr>
              <w:keepNext/>
              <w:keepLines/>
              <w:jc w:val="center"/>
              <w:rPr>
                <w:b/>
                <w:bCs/>
                <w:color w:val="00B050"/>
                <w:sz w:val="16"/>
                <w:szCs w:val="16"/>
              </w:rPr>
            </w:pPr>
          </w:p>
          <w:p w:rsidR="00221F0B" w:rsidRPr="00F05098" w:rsidRDefault="00221F0B" w:rsidP="00DC1333">
            <w:pPr>
              <w:keepNext/>
              <w:keepLines/>
              <w:jc w:val="center"/>
              <w:rPr>
                <w:b/>
                <w:bCs/>
                <w:color w:val="00B050"/>
                <w:sz w:val="16"/>
                <w:szCs w:val="16"/>
              </w:rPr>
            </w:pPr>
          </w:p>
          <w:p w:rsidR="00221F0B" w:rsidRPr="00F05098" w:rsidRDefault="00221F0B" w:rsidP="00DC1333">
            <w:pPr>
              <w:keepNext/>
              <w:keepLines/>
              <w:jc w:val="center"/>
              <w:rPr>
                <w:b/>
                <w:bCs/>
                <w:color w:val="00B050"/>
                <w:sz w:val="16"/>
                <w:szCs w:val="16"/>
              </w:rPr>
            </w:pPr>
          </w:p>
          <w:p w:rsidR="00221F0B" w:rsidRPr="00F05098" w:rsidRDefault="00221F0B" w:rsidP="00DC1333">
            <w:pPr>
              <w:keepNext/>
              <w:keepLines/>
              <w:jc w:val="center"/>
              <w:rPr>
                <w:b/>
                <w:bCs/>
                <w:color w:val="00B050"/>
                <w:sz w:val="16"/>
                <w:szCs w:val="16"/>
              </w:rPr>
            </w:pPr>
          </w:p>
          <w:p w:rsidR="00221F0B" w:rsidRPr="00F05098" w:rsidRDefault="00221F0B" w:rsidP="00DC1333">
            <w:pPr>
              <w:keepNext/>
              <w:keepLines/>
              <w:jc w:val="center"/>
              <w:rPr>
                <w:b/>
                <w:bCs/>
                <w:color w:val="00B050"/>
                <w:sz w:val="16"/>
                <w:szCs w:val="16"/>
              </w:rPr>
            </w:pPr>
          </w:p>
          <w:p w:rsidR="00221F0B" w:rsidRPr="00F05098" w:rsidRDefault="00221F0B" w:rsidP="00DC1333">
            <w:pPr>
              <w:keepNext/>
              <w:keepLines/>
              <w:jc w:val="center"/>
              <w:rPr>
                <w:b/>
                <w:bCs/>
                <w:color w:val="00B050"/>
                <w:sz w:val="16"/>
                <w:szCs w:val="16"/>
              </w:rPr>
            </w:pPr>
          </w:p>
          <w:p w:rsidR="00221F0B" w:rsidRPr="00F05098" w:rsidRDefault="00221F0B" w:rsidP="00DC1333">
            <w:pPr>
              <w:keepNext/>
              <w:keepLines/>
              <w:jc w:val="center"/>
              <w:rPr>
                <w:b/>
                <w:bCs/>
                <w:color w:val="00B050"/>
                <w:sz w:val="16"/>
                <w:szCs w:val="16"/>
              </w:rPr>
            </w:pPr>
          </w:p>
          <w:p w:rsidR="00221F0B" w:rsidRPr="00F05098" w:rsidRDefault="00221F0B" w:rsidP="00DC1333">
            <w:pPr>
              <w:keepNext/>
              <w:keepLines/>
              <w:jc w:val="center"/>
              <w:rPr>
                <w:b/>
                <w:bCs/>
                <w:color w:val="00B050"/>
                <w:sz w:val="16"/>
                <w:szCs w:val="16"/>
              </w:rPr>
            </w:pPr>
          </w:p>
          <w:p w:rsidR="00221F0B" w:rsidRPr="00F05098" w:rsidRDefault="00221F0B" w:rsidP="00DC1333">
            <w:pPr>
              <w:keepNext/>
              <w:keepLines/>
              <w:jc w:val="center"/>
              <w:rPr>
                <w:b/>
                <w:bCs/>
                <w:color w:val="00B050"/>
                <w:sz w:val="16"/>
                <w:szCs w:val="16"/>
              </w:rPr>
            </w:pPr>
          </w:p>
          <w:p w:rsidR="00221F0B" w:rsidRPr="00F05098" w:rsidRDefault="00221F0B" w:rsidP="00DC1333">
            <w:pPr>
              <w:keepNext/>
              <w:keepLines/>
              <w:jc w:val="center"/>
              <w:rPr>
                <w:b/>
                <w:bCs/>
                <w:color w:val="00B050"/>
                <w:sz w:val="16"/>
                <w:szCs w:val="16"/>
              </w:rPr>
            </w:pPr>
          </w:p>
          <w:p w:rsidR="00221F0B" w:rsidRPr="00F05098" w:rsidRDefault="00221F0B" w:rsidP="00DC1333">
            <w:pPr>
              <w:keepNext/>
              <w:keepLines/>
              <w:jc w:val="center"/>
              <w:rPr>
                <w:bCs/>
                <w:color w:val="000000" w:themeColor="text1"/>
                <w:sz w:val="16"/>
                <w:szCs w:val="16"/>
              </w:rPr>
            </w:pPr>
            <w:r w:rsidRPr="00F05098">
              <w:rPr>
                <w:b/>
                <w:bCs/>
                <w:color w:val="00B050"/>
                <w:sz w:val="16"/>
                <w:szCs w:val="16"/>
              </w:rPr>
              <w:t>Plenamente logrado</w:t>
            </w:r>
          </w:p>
        </w:tc>
      </w:tr>
      <w:tr w:rsidR="00221F0B" w:rsidRPr="00A0512D" w:rsidTr="00DC1333">
        <w:trPr>
          <w:cantSplit/>
        </w:trPr>
        <w:tc>
          <w:tcPr>
            <w:tcW w:w="1118" w:type="pct"/>
            <w:gridSpan w:val="2"/>
            <w:shd w:val="clear" w:color="auto" w:fill="auto"/>
          </w:tcPr>
          <w:p w:rsidR="00221F0B" w:rsidRPr="00F05098" w:rsidRDefault="00221F0B" w:rsidP="00221F0B">
            <w:pPr>
              <w:ind w:leftChars="-11" w:left="-24"/>
              <w:rPr>
                <w:color w:val="000000" w:themeColor="text1"/>
                <w:sz w:val="16"/>
                <w:szCs w:val="16"/>
              </w:rPr>
            </w:pPr>
          </w:p>
        </w:tc>
        <w:tc>
          <w:tcPr>
            <w:tcW w:w="995" w:type="pct"/>
            <w:shd w:val="clear" w:color="auto" w:fill="auto"/>
          </w:tcPr>
          <w:p w:rsidR="00221F0B" w:rsidRPr="00F05098" w:rsidRDefault="00221F0B" w:rsidP="00221F0B">
            <w:pPr>
              <w:ind w:leftChars="-11" w:left="-24"/>
              <w:rPr>
                <w:sz w:val="16"/>
                <w:szCs w:val="16"/>
              </w:rPr>
            </w:pPr>
          </w:p>
        </w:tc>
        <w:tc>
          <w:tcPr>
            <w:tcW w:w="816" w:type="pct"/>
            <w:gridSpan w:val="2"/>
            <w:shd w:val="clear" w:color="auto" w:fill="auto"/>
            <w:tcMar>
              <w:top w:w="110" w:type="dxa"/>
            </w:tcMar>
          </w:tcPr>
          <w:p w:rsidR="00221F0B" w:rsidRPr="00F05098" w:rsidRDefault="00221F0B" w:rsidP="00DC1333">
            <w:pPr>
              <w:rPr>
                <w:color w:val="000000" w:themeColor="text1"/>
                <w:sz w:val="16"/>
                <w:szCs w:val="16"/>
              </w:rPr>
            </w:pPr>
          </w:p>
        </w:tc>
        <w:tc>
          <w:tcPr>
            <w:tcW w:w="1457" w:type="pct"/>
            <w:shd w:val="clear" w:color="auto" w:fill="FFFFFF"/>
            <w:tcMar>
              <w:top w:w="110" w:type="dxa"/>
            </w:tcMar>
          </w:tcPr>
          <w:p w:rsidR="00221F0B" w:rsidRPr="00F05098" w:rsidRDefault="00221F0B" w:rsidP="00DC1333">
            <w:pPr>
              <w:rPr>
                <w:color w:val="000000" w:themeColor="text1"/>
                <w:sz w:val="16"/>
                <w:szCs w:val="16"/>
              </w:rPr>
            </w:pPr>
            <w:r w:rsidRPr="002E74AA">
              <w:rPr>
                <w:color w:val="000000" w:themeColor="text1"/>
                <w:sz w:val="16"/>
                <w:szCs w:val="16"/>
              </w:rPr>
              <w:t xml:space="preserve">La transición del PCT a la ISO 27001:2013 desde la ISO 27001:2005 se llevó a cabo satisfactoriamente.  La certificación fue renovada en octubre de 2015, </w:t>
            </w:r>
            <w:r>
              <w:rPr>
                <w:color w:val="000000" w:themeColor="text1"/>
                <w:sz w:val="16"/>
                <w:szCs w:val="16"/>
              </w:rPr>
              <w:t>y se amplió su</w:t>
            </w:r>
            <w:r w:rsidRPr="002E74AA">
              <w:rPr>
                <w:color w:val="000000" w:themeColor="text1"/>
                <w:sz w:val="16"/>
                <w:szCs w:val="16"/>
              </w:rPr>
              <w:t xml:space="preserve"> alcance para dar cabida a los sistemas de Madrid y de La Haya en octubre de 2015.</w:t>
            </w:r>
          </w:p>
        </w:tc>
        <w:tc>
          <w:tcPr>
            <w:tcW w:w="614" w:type="pct"/>
            <w:shd w:val="clear" w:color="auto" w:fill="auto"/>
            <w:tcMar>
              <w:top w:w="110" w:type="dxa"/>
            </w:tcMar>
          </w:tcPr>
          <w:p w:rsidR="00221F0B" w:rsidRPr="00F05098" w:rsidRDefault="00221F0B" w:rsidP="00DC1333">
            <w:pPr>
              <w:keepNext/>
              <w:keepLines/>
              <w:jc w:val="center"/>
              <w:rPr>
                <w:b/>
                <w:bCs/>
                <w:color w:val="00B050"/>
                <w:sz w:val="16"/>
                <w:szCs w:val="16"/>
              </w:rPr>
            </w:pPr>
          </w:p>
        </w:tc>
      </w:tr>
      <w:tr w:rsidR="00221F0B" w:rsidRPr="00F05098" w:rsidTr="00DC1333">
        <w:trPr>
          <w:cantSplit/>
        </w:trPr>
        <w:tc>
          <w:tcPr>
            <w:tcW w:w="1118" w:type="pct"/>
            <w:gridSpan w:val="2"/>
            <w:shd w:val="clear" w:color="auto" w:fill="auto"/>
          </w:tcPr>
          <w:p w:rsidR="00221F0B" w:rsidRPr="00F05098" w:rsidRDefault="00221F0B" w:rsidP="00221F0B">
            <w:pPr>
              <w:ind w:leftChars="-11" w:left="-24"/>
              <w:rPr>
                <w:color w:val="000000" w:themeColor="text1"/>
                <w:sz w:val="16"/>
                <w:szCs w:val="16"/>
              </w:rPr>
            </w:pPr>
            <w:r w:rsidRPr="00F05098">
              <w:rPr>
                <w:color w:val="000000" w:themeColor="text1"/>
                <w:sz w:val="16"/>
                <w:szCs w:val="16"/>
              </w:rPr>
              <w:t>Eficacia de los controles de seguridad de la información (a nivel interno y externo)</w:t>
            </w:r>
          </w:p>
        </w:tc>
        <w:tc>
          <w:tcPr>
            <w:tcW w:w="995" w:type="pct"/>
            <w:shd w:val="clear" w:color="auto" w:fill="auto"/>
          </w:tcPr>
          <w:p w:rsidR="00221F0B" w:rsidRPr="00F05098" w:rsidRDefault="00221F0B" w:rsidP="00221F0B">
            <w:pPr>
              <w:ind w:leftChars="-11" w:left="-24"/>
              <w:rPr>
                <w:sz w:val="16"/>
                <w:szCs w:val="16"/>
              </w:rPr>
            </w:pPr>
            <w:r w:rsidRPr="00F05098">
              <w:rPr>
                <w:sz w:val="16"/>
                <w:szCs w:val="16"/>
              </w:rPr>
              <w:t>5 incidentes o menos por año</w:t>
            </w:r>
          </w:p>
          <w:p w:rsidR="00221F0B" w:rsidRPr="00F05098" w:rsidRDefault="00221F0B" w:rsidP="00221F0B">
            <w:pPr>
              <w:ind w:leftChars="-11" w:left="-24"/>
              <w:rPr>
                <w:color w:val="000000" w:themeColor="text1"/>
                <w:sz w:val="16"/>
                <w:szCs w:val="16"/>
              </w:rPr>
            </w:pPr>
          </w:p>
        </w:tc>
        <w:tc>
          <w:tcPr>
            <w:tcW w:w="816" w:type="pct"/>
            <w:gridSpan w:val="2"/>
            <w:shd w:val="clear" w:color="auto" w:fill="auto"/>
            <w:tcMar>
              <w:top w:w="110" w:type="dxa"/>
            </w:tcMar>
          </w:tcPr>
          <w:p w:rsidR="00221F0B" w:rsidRPr="00F05098" w:rsidRDefault="00221F0B" w:rsidP="00DC1333">
            <w:pPr>
              <w:rPr>
                <w:color w:val="000000" w:themeColor="text1"/>
                <w:sz w:val="16"/>
                <w:szCs w:val="16"/>
              </w:rPr>
            </w:pPr>
            <w:r w:rsidRPr="00F05098">
              <w:rPr>
                <w:color w:val="000000" w:themeColor="text1"/>
                <w:sz w:val="16"/>
                <w:szCs w:val="16"/>
              </w:rPr>
              <w:t>2 incidentes o menos por año</w:t>
            </w:r>
          </w:p>
          <w:p w:rsidR="00221F0B" w:rsidRPr="00F05098" w:rsidRDefault="00221F0B" w:rsidP="00DC1333">
            <w:pPr>
              <w:rPr>
                <w:color w:val="000000" w:themeColor="text1"/>
                <w:sz w:val="16"/>
                <w:szCs w:val="16"/>
              </w:rPr>
            </w:pPr>
          </w:p>
          <w:p w:rsidR="00221F0B" w:rsidRPr="00F05098" w:rsidRDefault="00221F0B" w:rsidP="00DC1333">
            <w:pPr>
              <w:rPr>
                <w:color w:val="000000" w:themeColor="text1"/>
                <w:sz w:val="16"/>
                <w:szCs w:val="16"/>
              </w:rPr>
            </w:pPr>
          </w:p>
          <w:p w:rsidR="00221F0B" w:rsidRPr="00F05098" w:rsidRDefault="00221F0B" w:rsidP="00DC1333">
            <w:pPr>
              <w:rPr>
                <w:color w:val="000000" w:themeColor="text1"/>
                <w:sz w:val="16"/>
                <w:szCs w:val="16"/>
              </w:rPr>
            </w:pPr>
          </w:p>
          <w:p w:rsidR="00221F0B" w:rsidRPr="00F05098" w:rsidRDefault="00221F0B" w:rsidP="00DC1333">
            <w:pPr>
              <w:rPr>
                <w:color w:val="000000" w:themeColor="text1"/>
                <w:sz w:val="16"/>
                <w:szCs w:val="16"/>
              </w:rPr>
            </w:pPr>
          </w:p>
          <w:p w:rsidR="00221F0B" w:rsidRPr="00F05098" w:rsidRDefault="00221F0B" w:rsidP="00DC1333">
            <w:pPr>
              <w:rPr>
                <w:color w:val="000000" w:themeColor="text1"/>
                <w:sz w:val="16"/>
                <w:szCs w:val="16"/>
              </w:rPr>
            </w:pPr>
          </w:p>
          <w:p w:rsidR="00221F0B" w:rsidRPr="00F05098" w:rsidRDefault="00221F0B" w:rsidP="00221F0B">
            <w:pPr>
              <w:ind w:leftChars="-11" w:left="-24"/>
              <w:rPr>
                <w:color w:val="000000" w:themeColor="text1"/>
                <w:sz w:val="16"/>
                <w:szCs w:val="16"/>
              </w:rPr>
            </w:pPr>
          </w:p>
          <w:p w:rsidR="00221F0B" w:rsidRPr="00F05098" w:rsidRDefault="00221F0B" w:rsidP="00221F0B">
            <w:pPr>
              <w:ind w:leftChars="-11" w:left="-24"/>
              <w:rPr>
                <w:color w:val="000000" w:themeColor="text1"/>
                <w:sz w:val="16"/>
                <w:szCs w:val="16"/>
              </w:rPr>
            </w:pPr>
          </w:p>
          <w:p w:rsidR="00221F0B" w:rsidRPr="00F05098" w:rsidRDefault="00221F0B" w:rsidP="00DC1333">
            <w:pPr>
              <w:rPr>
                <w:color w:val="000000" w:themeColor="text1"/>
                <w:sz w:val="16"/>
                <w:szCs w:val="16"/>
              </w:rPr>
            </w:pPr>
          </w:p>
        </w:tc>
        <w:tc>
          <w:tcPr>
            <w:tcW w:w="1457" w:type="pct"/>
            <w:shd w:val="clear" w:color="auto" w:fill="FFFFFF"/>
            <w:tcMar>
              <w:top w:w="110" w:type="dxa"/>
            </w:tcMar>
          </w:tcPr>
          <w:p w:rsidR="00221F0B" w:rsidRPr="00F05098" w:rsidRDefault="00221F0B" w:rsidP="00DC1333">
            <w:pPr>
              <w:rPr>
                <w:color w:val="000000" w:themeColor="text1"/>
                <w:sz w:val="16"/>
                <w:szCs w:val="16"/>
              </w:rPr>
            </w:pPr>
            <w:r w:rsidRPr="00F05098">
              <w:rPr>
                <w:color w:val="000000" w:themeColor="text1"/>
                <w:sz w:val="16"/>
                <w:szCs w:val="16"/>
              </w:rPr>
              <w:t xml:space="preserve">1 incidente importante por año en el bienio </w:t>
            </w:r>
          </w:p>
          <w:p w:rsidR="00221F0B" w:rsidRPr="00F05098" w:rsidRDefault="00221F0B" w:rsidP="00DC1333">
            <w:pPr>
              <w:rPr>
                <w:color w:val="000000" w:themeColor="text1"/>
                <w:sz w:val="16"/>
                <w:szCs w:val="16"/>
              </w:rPr>
            </w:pPr>
          </w:p>
          <w:p w:rsidR="00221F0B" w:rsidRPr="00F05098" w:rsidRDefault="00221F0B" w:rsidP="00DC1333">
            <w:pPr>
              <w:rPr>
                <w:color w:val="000000" w:themeColor="text1"/>
                <w:sz w:val="16"/>
                <w:szCs w:val="16"/>
              </w:rPr>
            </w:pPr>
            <w:r>
              <w:rPr>
                <w:color w:val="000000" w:themeColor="text1"/>
                <w:sz w:val="16"/>
                <w:szCs w:val="16"/>
              </w:rPr>
              <w:t>Los incidentes se trataron y se resolvieron en un plazo de tiempo aceptable, de conformidad con la Política de gestión de incidentes en materia de seguridad de la información.</w:t>
            </w:r>
          </w:p>
        </w:tc>
        <w:tc>
          <w:tcPr>
            <w:tcW w:w="614" w:type="pct"/>
            <w:shd w:val="clear" w:color="auto" w:fill="auto"/>
            <w:tcMar>
              <w:top w:w="110" w:type="dxa"/>
            </w:tcMar>
          </w:tcPr>
          <w:p w:rsidR="00221F0B" w:rsidRPr="00F05098" w:rsidRDefault="00221F0B" w:rsidP="00DC1333">
            <w:pPr>
              <w:keepNext/>
              <w:keepLines/>
              <w:jc w:val="center"/>
              <w:rPr>
                <w:b/>
                <w:bCs/>
                <w:color w:val="00B050"/>
                <w:sz w:val="16"/>
                <w:szCs w:val="16"/>
              </w:rPr>
            </w:pPr>
            <w:r w:rsidRPr="00F05098">
              <w:rPr>
                <w:b/>
                <w:bCs/>
                <w:color w:val="00B050"/>
                <w:sz w:val="16"/>
                <w:szCs w:val="16"/>
              </w:rPr>
              <w:t>Plenamente logrado</w:t>
            </w:r>
          </w:p>
          <w:p w:rsidR="00221F0B" w:rsidRPr="00F05098" w:rsidRDefault="00221F0B" w:rsidP="00DC1333">
            <w:pPr>
              <w:keepNext/>
              <w:keepLines/>
              <w:jc w:val="center"/>
              <w:rPr>
                <w:bCs/>
                <w:color w:val="000000" w:themeColor="text1"/>
                <w:sz w:val="16"/>
                <w:szCs w:val="16"/>
              </w:rPr>
            </w:pPr>
          </w:p>
        </w:tc>
      </w:tr>
    </w:tbl>
    <w:p w:rsidR="00221F0B" w:rsidRPr="00F05098" w:rsidRDefault="00221F0B" w:rsidP="00DC1333">
      <w:pPr>
        <w:rPr>
          <w:bCs/>
          <w:szCs w:val="22"/>
        </w:rPr>
      </w:pPr>
    </w:p>
    <w:p w:rsidR="00221F0B" w:rsidRPr="00F05098" w:rsidRDefault="00221F0B" w:rsidP="00DC1333">
      <w:pPr>
        <w:rPr>
          <w:bCs/>
          <w:szCs w:val="22"/>
        </w:rPr>
      </w:pPr>
    </w:p>
    <w:p w:rsidR="00221F0B" w:rsidRPr="00F05098" w:rsidRDefault="008F7CBE" w:rsidP="00DC1333">
      <w:pPr>
        <w:rPr>
          <w:color w:val="000000"/>
          <w:szCs w:val="22"/>
        </w:rPr>
      </w:pPr>
      <w:r w:rsidRPr="008F7CBE">
        <w:rPr>
          <w:color w:val="000000"/>
          <w:sz w:val="20"/>
          <w:szCs w:val="22"/>
        </w:rPr>
        <w:t>INFORMACIÓN SOBRE LOS RIESGOS PLANTEADOS EN EL BIENIO</w:t>
      </w:r>
    </w:p>
    <w:p w:rsidR="00221F0B" w:rsidRPr="00F05098" w:rsidRDefault="00221F0B" w:rsidP="00DC1333"/>
    <w:tbl>
      <w:tblPr>
        <w:tblW w:w="9356"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474"/>
        <w:gridCol w:w="2063"/>
        <w:gridCol w:w="2551"/>
        <w:gridCol w:w="2268"/>
      </w:tblGrid>
      <w:tr w:rsidR="00221F0B" w:rsidRPr="00A0512D" w:rsidTr="00DC1333">
        <w:trPr>
          <w:trHeight w:val="380"/>
          <w:tblHeader/>
        </w:trPr>
        <w:tc>
          <w:tcPr>
            <w:tcW w:w="2474" w:type="dxa"/>
            <w:tcBorders>
              <w:top w:val="single" w:sz="4" w:space="0" w:color="auto"/>
              <w:bottom w:val="single" w:sz="4" w:space="0" w:color="auto"/>
            </w:tcBorders>
            <w:shd w:val="clear" w:color="auto" w:fill="C6D9F1" w:themeFill="text2" w:themeFillTint="33"/>
            <w:tcMar>
              <w:top w:w="113" w:type="dxa"/>
              <w:bottom w:w="85" w:type="dxa"/>
            </w:tcMar>
            <w:vAlign w:val="center"/>
          </w:tcPr>
          <w:p w:rsidR="00221F0B" w:rsidRPr="00F05098" w:rsidRDefault="00221F0B" w:rsidP="00DC1333">
            <w:pPr>
              <w:autoSpaceDE w:val="0"/>
              <w:autoSpaceDN w:val="0"/>
              <w:adjustRightInd w:val="0"/>
              <w:ind w:right="-59"/>
              <w:jc w:val="center"/>
              <w:rPr>
                <w:b/>
                <w:iCs/>
                <w:sz w:val="18"/>
                <w:szCs w:val="18"/>
              </w:rPr>
            </w:pPr>
            <w:r w:rsidRPr="00F05098">
              <w:rPr>
                <w:b/>
                <w:iCs/>
                <w:sz w:val="18"/>
                <w:szCs w:val="18"/>
              </w:rPr>
              <w:t>Riesgos en el logro de los resultados del programa</w:t>
            </w:r>
          </w:p>
        </w:tc>
        <w:tc>
          <w:tcPr>
            <w:tcW w:w="2063" w:type="dxa"/>
            <w:tcBorders>
              <w:top w:val="single" w:sz="4" w:space="0" w:color="auto"/>
              <w:bottom w:val="single" w:sz="4" w:space="0" w:color="auto"/>
            </w:tcBorders>
            <w:shd w:val="clear" w:color="auto" w:fill="C6D9F1" w:themeFill="text2" w:themeFillTint="33"/>
            <w:tcMar>
              <w:top w:w="113" w:type="dxa"/>
              <w:bottom w:w="85" w:type="dxa"/>
            </w:tcMar>
            <w:vAlign w:val="center"/>
          </w:tcPr>
          <w:p w:rsidR="00221F0B" w:rsidRPr="00F05098" w:rsidRDefault="00221F0B" w:rsidP="00DC1333">
            <w:pPr>
              <w:autoSpaceDE w:val="0"/>
              <w:autoSpaceDN w:val="0"/>
              <w:adjustRightInd w:val="0"/>
              <w:ind w:right="-59"/>
              <w:jc w:val="center"/>
              <w:rPr>
                <w:b/>
                <w:iCs/>
                <w:sz w:val="18"/>
                <w:szCs w:val="18"/>
              </w:rPr>
            </w:pPr>
            <w:r w:rsidRPr="00F05098">
              <w:rPr>
                <w:b/>
                <w:iCs/>
                <w:sz w:val="18"/>
                <w:szCs w:val="18"/>
              </w:rPr>
              <w:t>Planes de mitigación ejecutados o en ejecución</w:t>
            </w:r>
          </w:p>
        </w:tc>
        <w:tc>
          <w:tcPr>
            <w:tcW w:w="2551" w:type="dxa"/>
            <w:tcBorders>
              <w:top w:val="single" w:sz="4" w:space="0" w:color="auto"/>
              <w:bottom w:val="single" w:sz="4" w:space="0" w:color="auto"/>
            </w:tcBorders>
            <w:shd w:val="clear" w:color="auto" w:fill="C6D9F1" w:themeFill="text2" w:themeFillTint="33"/>
          </w:tcPr>
          <w:p w:rsidR="00221F0B" w:rsidRPr="00F05098" w:rsidRDefault="00221F0B" w:rsidP="00DC1333">
            <w:pPr>
              <w:jc w:val="center"/>
              <w:rPr>
                <w:b/>
                <w:bCs/>
                <w:sz w:val="18"/>
                <w:szCs w:val="18"/>
              </w:rPr>
            </w:pPr>
            <w:r w:rsidRPr="00F05098">
              <w:rPr>
                <w:b/>
                <w:bCs/>
                <w:sz w:val="18"/>
                <w:szCs w:val="18"/>
              </w:rPr>
              <w:t>Evolución de los riesgos y estrategias de mitigación durante el bienio</w:t>
            </w:r>
          </w:p>
        </w:tc>
        <w:tc>
          <w:tcPr>
            <w:tcW w:w="2268" w:type="dxa"/>
            <w:tcBorders>
              <w:top w:val="single" w:sz="4" w:space="0" w:color="auto"/>
              <w:bottom w:val="single" w:sz="4" w:space="0" w:color="auto"/>
            </w:tcBorders>
            <w:shd w:val="clear" w:color="auto" w:fill="C6D9F1" w:themeFill="text2" w:themeFillTint="33"/>
          </w:tcPr>
          <w:p w:rsidR="00221F0B" w:rsidRPr="00F05098" w:rsidRDefault="00221F0B" w:rsidP="00DC1333">
            <w:pPr>
              <w:jc w:val="center"/>
              <w:rPr>
                <w:b/>
                <w:bCs/>
                <w:sz w:val="18"/>
                <w:szCs w:val="18"/>
              </w:rPr>
            </w:pPr>
            <w:r w:rsidRPr="00F05098">
              <w:rPr>
                <w:b/>
                <w:bCs/>
                <w:sz w:val="18"/>
                <w:szCs w:val="18"/>
              </w:rPr>
              <w:t>Incidencia en el rendimiento del programa</w:t>
            </w:r>
          </w:p>
        </w:tc>
      </w:tr>
      <w:tr w:rsidR="00221F0B" w:rsidRPr="00A0512D" w:rsidTr="00DC1333">
        <w:trPr>
          <w:trHeight w:val="985"/>
        </w:trPr>
        <w:tc>
          <w:tcPr>
            <w:tcW w:w="2474" w:type="dxa"/>
            <w:tcBorders>
              <w:top w:val="single" w:sz="4" w:space="0" w:color="auto"/>
            </w:tcBorders>
            <w:shd w:val="clear" w:color="auto" w:fill="auto"/>
            <w:tcMar>
              <w:top w:w="113" w:type="dxa"/>
              <w:bottom w:w="85" w:type="dxa"/>
            </w:tcMar>
          </w:tcPr>
          <w:p w:rsidR="00221F0B" w:rsidRPr="00F05098" w:rsidRDefault="00221F0B" w:rsidP="00DC1333">
            <w:pPr>
              <w:autoSpaceDE w:val="0"/>
              <w:autoSpaceDN w:val="0"/>
              <w:adjustRightInd w:val="0"/>
              <w:ind w:right="-59"/>
              <w:rPr>
                <w:sz w:val="16"/>
                <w:szCs w:val="16"/>
              </w:rPr>
            </w:pPr>
            <w:r w:rsidRPr="00F05098">
              <w:rPr>
                <w:sz w:val="16"/>
                <w:szCs w:val="16"/>
              </w:rPr>
              <w:t>Si el Sistema del PCT y los sistemas de información conexos experimentan un nivel inaceptable de interrupciones, no se podrían aceptar las solicitudes PCT presentadas y, en consecuencia, se producirían efectos negativos en la tramitación y publicación de dichas solicitudes.  La reputación se vería afectada negativamente.</w:t>
            </w:r>
          </w:p>
        </w:tc>
        <w:tc>
          <w:tcPr>
            <w:tcW w:w="2063" w:type="dxa"/>
            <w:tcBorders>
              <w:top w:val="single" w:sz="4" w:space="0" w:color="auto"/>
            </w:tcBorders>
            <w:shd w:val="clear" w:color="auto" w:fill="auto"/>
            <w:tcMar>
              <w:top w:w="113" w:type="dxa"/>
              <w:bottom w:w="85" w:type="dxa"/>
            </w:tcMar>
          </w:tcPr>
          <w:p w:rsidR="00221F0B" w:rsidRPr="00F05098" w:rsidRDefault="00221F0B" w:rsidP="00DC1333">
            <w:pPr>
              <w:autoSpaceDE w:val="0"/>
              <w:autoSpaceDN w:val="0"/>
              <w:adjustRightInd w:val="0"/>
              <w:ind w:right="-59"/>
              <w:rPr>
                <w:sz w:val="16"/>
                <w:szCs w:val="16"/>
              </w:rPr>
            </w:pPr>
            <w:r w:rsidRPr="00F05098">
              <w:rPr>
                <w:sz w:val="16"/>
                <w:szCs w:val="16"/>
              </w:rPr>
              <w:t>Establecer infraestructura complementaria en distintos lugares y seguir desarrollando y perfeccionando el plan de continuidad de las actividades.</w:t>
            </w:r>
          </w:p>
        </w:tc>
        <w:tc>
          <w:tcPr>
            <w:tcW w:w="2551" w:type="dxa"/>
            <w:tcBorders>
              <w:top w:val="single" w:sz="4" w:space="0" w:color="auto"/>
            </w:tcBorders>
          </w:tcPr>
          <w:p w:rsidR="00221F0B" w:rsidRPr="00601E2C" w:rsidRDefault="00221F0B" w:rsidP="00DC1333">
            <w:pPr>
              <w:autoSpaceDE w:val="0"/>
              <w:autoSpaceDN w:val="0"/>
              <w:adjustRightInd w:val="0"/>
              <w:ind w:right="-59"/>
              <w:rPr>
                <w:sz w:val="16"/>
                <w:szCs w:val="16"/>
              </w:rPr>
            </w:pPr>
            <w:r w:rsidRPr="00601E2C">
              <w:rPr>
                <w:color w:val="000000" w:themeColor="text1"/>
                <w:sz w:val="16"/>
                <w:szCs w:val="16"/>
              </w:rPr>
              <w:t xml:space="preserve">Se estableció </w:t>
            </w:r>
            <w:r>
              <w:rPr>
                <w:color w:val="000000" w:themeColor="text1"/>
                <w:sz w:val="16"/>
                <w:szCs w:val="16"/>
              </w:rPr>
              <w:t>infraestructura complementaria de TIC en dos lugares distintos, permitiendo al PCT continuar las operaciones aun en el caso de que resultaran afectados los edificios principales de la OMPI y su centro de datos.</w:t>
            </w:r>
          </w:p>
        </w:tc>
        <w:tc>
          <w:tcPr>
            <w:tcW w:w="2268" w:type="dxa"/>
            <w:tcBorders>
              <w:top w:val="single" w:sz="4" w:space="0" w:color="auto"/>
            </w:tcBorders>
          </w:tcPr>
          <w:p w:rsidR="00221F0B" w:rsidRPr="00F05098" w:rsidRDefault="00221F0B" w:rsidP="00DC1333">
            <w:pPr>
              <w:autoSpaceDE w:val="0"/>
              <w:autoSpaceDN w:val="0"/>
              <w:adjustRightInd w:val="0"/>
              <w:ind w:right="-59"/>
              <w:rPr>
                <w:sz w:val="16"/>
                <w:szCs w:val="16"/>
              </w:rPr>
            </w:pPr>
            <w:r w:rsidRPr="00F05098">
              <w:rPr>
                <w:sz w:val="16"/>
                <w:szCs w:val="16"/>
              </w:rPr>
              <w:t>Este riesgo y su evolución no tuvieron una incidencia sustancial en el rendimiento del programa en 2014/15.</w:t>
            </w:r>
          </w:p>
        </w:tc>
      </w:tr>
      <w:tr w:rsidR="00221F0B" w:rsidRPr="00A0512D" w:rsidTr="00DC1333">
        <w:trPr>
          <w:trHeight w:val="1060"/>
        </w:trPr>
        <w:tc>
          <w:tcPr>
            <w:tcW w:w="2474" w:type="dxa"/>
            <w:shd w:val="clear" w:color="auto" w:fill="auto"/>
            <w:tcMar>
              <w:top w:w="113" w:type="dxa"/>
              <w:bottom w:w="85" w:type="dxa"/>
            </w:tcMar>
          </w:tcPr>
          <w:p w:rsidR="00221F0B" w:rsidRPr="00F05098" w:rsidRDefault="00221F0B" w:rsidP="00DC1333">
            <w:pPr>
              <w:autoSpaceDE w:val="0"/>
              <w:autoSpaceDN w:val="0"/>
              <w:adjustRightInd w:val="0"/>
              <w:ind w:right="-59"/>
              <w:rPr>
                <w:sz w:val="16"/>
                <w:szCs w:val="16"/>
              </w:rPr>
            </w:pPr>
            <w:r w:rsidRPr="00F05098">
              <w:rPr>
                <w:sz w:val="16"/>
                <w:szCs w:val="16"/>
              </w:rPr>
              <w:t>Los ciberataques contra los sistemas de información de la OMPI pondrían en peligro la seguridad de dichos sistemas, con el riesgo de que se expusiera información confidencial de manera intencional o accidental.  Se verían seriamente afectadas la reputación y las actividades de la OMPI.</w:t>
            </w:r>
          </w:p>
        </w:tc>
        <w:tc>
          <w:tcPr>
            <w:tcW w:w="2063" w:type="dxa"/>
            <w:shd w:val="clear" w:color="auto" w:fill="auto"/>
            <w:tcMar>
              <w:top w:w="113" w:type="dxa"/>
              <w:bottom w:w="85" w:type="dxa"/>
            </w:tcMar>
          </w:tcPr>
          <w:p w:rsidR="00221F0B" w:rsidRPr="00F05098" w:rsidRDefault="00221F0B" w:rsidP="00DC1333">
            <w:pPr>
              <w:autoSpaceDE w:val="0"/>
              <w:autoSpaceDN w:val="0"/>
              <w:adjustRightInd w:val="0"/>
              <w:ind w:right="-59"/>
              <w:rPr>
                <w:sz w:val="16"/>
                <w:szCs w:val="16"/>
              </w:rPr>
            </w:pPr>
            <w:r w:rsidRPr="00F05098">
              <w:rPr>
                <w:sz w:val="16"/>
                <w:szCs w:val="16"/>
              </w:rPr>
              <w:t>Separación del contenido y las aplicaciones informáticas de la OMPI en Internet en función de los requisitos de confidencialidad y los usos previstos; introducción de una infraestructura de T.I. independiente y las consiguientes medidas de seguridad.  Alto nivel de actividad en el ámbito de la seguridad de las T.I.</w:t>
            </w:r>
          </w:p>
        </w:tc>
        <w:tc>
          <w:tcPr>
            <w:tcW w:w="2551" w:type="dxa"/>
          </w:tcPr>
          <w:p w:rsidR="00221F0B" w:rsidRPr="00F05098" w:rsidRDefault="00221F0B" w:rsidP="00DC1333">
            <w:pPr>
              <w:autoSpaceDE w:val="0"/>
              <w:autoSpaceDN w:val="0"/>
              <w:adjustRightInd w:val="0"/>
              <w:ind w:right="-59"/>
              <w:rPr>
                <w:color w:val="000000" w:themeColor="text1"/>
                <w:sz w:val="16"/>
                <w:szCs w:val="16"/>
                <w:highlight w:val="yellow"/>
              </w:rPr>
            </w:pPr>
            <w:r w:rsidRPr="000E7C8C">
              <w:rPr>
                <w:color w:val="000000" w:themeColor="text1"/>
                <w:sz w:val="16"/>
                <w:szCs w:val="16"/>
              </w:rPr>
              <w:t xml:space="preserve">La OMPI siguió sufriendo ciberataques oportunistas y programados de varios actores amenazantes empeñados en violar la seguridad y sustraer la información de la OMPI.  En 2014/15 se pusieron en marcha varios controles técnicos y de procedimiento para garantizar la capacidad de </w:t>
            </w:r>
            <w:r>
              <w:rPr>
                <w:color w:val="000000" w:themeColor="text1"/>
                <w:sz w:val="16"/>
                <w:szCs w:val="16"/>
              </w:rPr>
              <w:t>reacción y recuperación</w:t>
            </w:r>
            <w:r w:rsidRPr="000E7C8C">
              <w:rPr>
                <w:color w:val="000000" w:themeColor="text1"/>
                <w:sz w:val="16"/>
                <w:szCs w:val="16"/>
              </w:rPr>
              <w:t xml:space="preserve"> a</w:t>
            </w:r>
            <w:r>
              <w:rPr>
                <w:color w:val="000000" w:themeColor="text1"/>
                <w:sz w:val="16"/>
                <w:szCs w:val="16"/>
              </w:rPr>
              <w:t>nte</w:t>
            </w:r>
            <w:r w:rsidRPr="000E7C8C">
              <w:rPr>
                <w:color w:val="000000" w:themeColor="text1"/>
                <w:sz w:val="16"/>
                <w:szCs w:val="16"/>
              </w:rPr>
              <w:t xml:space="preserve"> los ciberataques </w:t>
            </w:r>
            <w:r>
              <w:rPr>
                <w:color w:val="000000" w:themeColor="text1"/>
                <w:sz w:val="16"/>
                <w:szCs w:val="16"/>
              </w:rPr>
              <w:t>que tienen</w:t>
            </w:r>
            <w:r w:rsidRPr="000E7C8C">
              <w:rPr>
                <w:color w:val="000000" w:themeColor="text1"/>
                <w:sz w:val="16"/>
                <w:szCs w:val="16"/>
              </w:rPr>
              <w:t xml:space="preserve"> los sistemas de información de la OMPI.</w:t>
            </w:r>
            <w:r>
              <w:rPr>
                <w:color w:val="000000" w:themeColor="text1"/>
                <w:sz w:val="16"/>
                <w:szCs w:val="16"/>
              </w:rPr>
              <w:t xml:space="preserve">  La implementación gradual de la estrategia de aseguramiento de la información adaptada a cada caso permitirá a la OMPI seguir fortaleciendo sus dispositivos de seguridad de la información y la capacidad institucional de reacción y recuperación en </w:t>
            </w:r>
            <w:r w:rsidRPr="000E7C8C">
              <w:rPr>
                <w:color w:val="000000" w:themeColor="text1"/>
                <w:sz w:val="16"/>
                <w:szCs w:val="16"/>
              </w:rPr>
              <w:t>los ámbitos de la gobernanza de la seguridad de la información, las personas, los procesos y la tecnología.</w:t>
            </w:r>
          </w:p>
        </w:tc>
        <w:tc>
          <w:tcPr>
            <w:tcW w:w="2268" w:type="dxa"/>
          </w:tcPr>
          <w:p w:rsidR="00221F0B" w:rsidRPr="00601E2C" w:rsidRDefault="00221F0B" w:rsidP="00DC1333">
            <w:pPr>
              <w:autoSpaceDE w:val="0"/>
              <w:autoSpaceDN w:val="0"/>
              <w:adjustRightInd w:val="0"/>
              <w:ind w:right="-59"/>
              <w:rPr>
                <w:color w:val="000000" w:themeColor="text1"/>
                <w:sz w:val="16"/>
                <w:szCs w:val="16"/>
              </w:rPr>
            </w:pPr>
            <w:r>
              <w:rPr>
                <w:sz w:val="16"/>
                <w:szCs w:val="16"/>
              </w:rPr>
              <w:t>Los planes de trabajo y registro de riesgos de 2014 y 2015 tuvieron en cuenta suficientemente la incidencia de los riesgos durante el período objeto de examen;  no hubo una incidencia sustancial en el rendimiento del programa en 2015.</w:t>
            </w:r>
          </w:p>
        </w:tc>
      </w:tr>
    </w:tbl>
    <w:p w:rsidR="00221F0B" w:rsidRPr="00F05098" w:rsidRDefault="00221F0B" w:rsidP="00DC1333">
      <w:pPr>
        <w:rPr>
          <w:color w:val="000000"/>
          <w:szCs w:val="22"/>
        </w:rPr>
      </w:pPr>
    </w:p>
    <w:p w:rsidR="00221F0B" w:rsidRPr="00F05098" w:rsidRDefault="00221F0B" w:rsidP="00DC1333">
      <w:pPr>
        <w:rPr>
          <w:color w:val="000000"/>
          <w:szCs w:val="22"/>
        </w:rPr>
      </w:pPr>
    </w:p>
    <w:p w:rsidR="00221F0B" w:rsidRPr="00F05098" w:rsidRDefault="00403D2C" w:rsidP="00DC1333">
      <w:pPr>
        <w:pStyle w:val="ListParagraph"/>
        <w:keepNext/>
        <w:ind w:left="0"/>
        <w:rPr>
          <w:b/>
          <w:sz w:val="18"/>
          <w:szCs w:val="18"/>
          <w:lang w:val="es-ES"/>
        </w:rPr>
      </w:pPr>
      <w:r w:rsidRPr="00403D2C">
        <w:rPr>
          <w:szCs w:val="22"/>
          <w:lang w:val="es-ES"/>
        </w:rPr>
        <w:lastRenderedPageBreak/>
        <w:t>UTILIZACIÓN DE LOS RECURSOS</w:t>
      </w:r>
    </w:p>
    <w:p w:rsidR="00221F0B" w:rsidRPr="00F05098" w:rsidRDefault="00221F0B" w:rsidP="00DC1333">
      <w:pPr>
        <w:pStyle w:val="ListParagraph"/>
        <w:keepNext/>
        <w:ind w:left="360"/>
        <w:rPr>
          <w:lang w:val="es-ES"/>
        </w:rPr>
      </w:pPr>
    </w:p>
    <w:p w:rsidR="00221F0B" w:rsidRPr="00F05098" w:rsidRDefault="00221F0B" w:rsidP="00DC1333">
      <w:pPr>
        <w:pStyle w:val="NormalWeb"/>
        <w:keepNext/>
        <w:spacing w:before="0" w:beforeAutospacing="0" w:after="0" w:afterAutospacing="0"/>
        <w:ind w:left="360"/>
        <w:jc w:val="center"/>
        <w:rPr>
          <w:sz w:val="20"/>
          <w:szCs w:val="20"/>
          <w:lang w:val="es-ES"/>
        </w:rPr>
      </w:pPr>
      <w:r w:rsidRPr="00F05098">
        <w:rPr>
          <w:sz w:val="20"/>
          <w:szCs w:val="20"/>
          <w:lang w:val="es-ES"/>
        </w:rPr>
        <w:t>Presupuesto y gastos reales (por resultado)</w:t>
      </w:r>
    </w:p>
    <w:p w:rsidR="00221F0B" w:rsidRPr="00F05098" w:rsidRDefault="00221F0B" w:rsidP="00DC1333">
      <w:pPr>
        <w:pStyle w:val="NormalWeb"/>
        <w:keepNext/>
        <w:spacing w:before="0" w:beforeAutospacing="0" w:after="0" w:afterAutospacing="0"/>
        <w:ind w:left="360"/>
        <w:jc w:val="center"/>
        <w:rPr>
          <w:i/>
          <w:iCs/>
          <w:sz w:val="20"/>
          <w:szCs w:val="20"/>
          <w:lang w:val="es-ES"/>
        </w:rPr>
      </w:pPr>
      <w:r w:rsidRPr="00F05098">
        <w:rPr>
          <w:i/>
          <w:iCs/>
          <w:sz w:val="20"/>
          <w:szCs w:val="20"/>
          <w:lang w:val="es-ES"/>
        </w:rPr>
        <w:t>(</w:t>
      </w:r>
      <w:proofErr w:type="gramStart"/>
      <w:r w:rsidRPr="00F05098">
        <w:rPr>
          <w:i/>
          <w:iCs/>
          <w:sz w:val="20"/>
          <w:szCs w:val="20"/>
          <w:lang w:val="es-ES"/>
        </w:rPr>
        <w:t>en</w:t>
      </w:r>
      <w:proofErr w:type="gramEnd"/>
      <w:r w:rsidRPr="00F05098">
        <w:rPr>
          <w:i/>
          <w:iCs/>
          <w:sz w:val="20"/>
          <w:szCs w:val="20"/>
          <w:lang w:val="es-ES"/>
        </w:rPr>
        <w:t xml:space="preserve"> miles de francos suizos)</w:t>
      </w:r>
    </w:p>
    <w:p w:rsidR="00221F0B" w:rsidRPr="00F05098" w:rsidRDefault="00221F0B" w:rsidP="00DC1333">
      <w:pPr>
        <w:pStyle w:val="NormalWeb"/>
        <w:keepNext/>
        <w:spacing w:before="0" w:beforeAutospacing="0" w:after="0" w:afterAutospacing="0"/>
        <w:ind w:left="360"/>
        <w:rPr>
          <w:sz w:val="20"/>
          <w:szCs w:val="20"/>
          <w:lang w:val="es-ES"/>
        </w:rPr>
      </w:pPr>
    </w:p>
    <w:p w:rsidR="00221F0B" w:rsidRPr="00F05098" w:rsidRDefault="00221F0B" w:rsidP="00DC1333">
      <w:bookmarkStart w:id="191" w:name="Bm25"/>
      <w:bookmarkStart w:id="192" w:name="Punto25"/>
      <w:r>
        <w:rPr>
          <w:noProof/>
          <w:lang w:val="en-US" w:eastAsia="en-US"/>
        </w:rPr>
        <w:drawing>
          <wp:inline distT="0" distB="0" distL="0" distR="0" wp14:anchorId="5C02B8B0" wp14:editId="6F742807">
            <wp:extent cx="5677535" cy="1924685"/>
            <wp:effectExtent l="0" t="0" r="0" b="0"/>
            <wp:docPr id="811" name="Picture 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5677535" cy="1924685"/>
                    </a:xfrm>
                    <a:prstGeom prst="rect">
                      <a:avLst/>
                    </a:prstGeom>
                    <a:noFill/>
                    <a:ln>
                      <a:noFill/>
                    </a:ln>
                  </pic:spPr>
                </pic:pic>
              </a:graphicData>
            </a:graphic>
          </wp:inline>
        </w:drawing>
      </w:r>
      <w:bookmarkEnd w:id="191"/>
      <w:bookmarkEnd w:id="192"/>
    </w:p>
    <w:p w:rsidR="00221F0B" w:rsidRDefault="00221F0B" w:rsidP="00DC1333"/>
    <w:p w:rsidR="00221F0B" w:rsidRPr="00F05098" w:rsidRDefault="00221F0B" w:rsidP="00DC1333"/>
    <w:p w:rsidR="00221F0B" w:rsidRPr="00F05098" w:rsidRDefault="00221F0B" w:rsidP="00DC1333">
      <w:pPr>
        <w:pStyle w:val="NormalWeb"/>
        <w:spacing w:before="0" w:beforeAutospacing="0" w:after="0" w:afterAutospacing="0"/>
        <w:jc w:val="center"/>
        <w:rPr>
          <w:sz w:val="20"/>
          <w:szCs w:val="20"/>
          <w:lang w:val="es-ES"/>
        </w:rPr>
      </w:pPr>
      <w:r w:rsidRPr="00F05098">
        <w:rPr>
          <w:sz w:val="20"/>
          <w:szCs w:val="20"/>
          <w:lang w:val="es-ES"/>
        </w:rPr>
        <w:t>Presupuesto y gastos reales (de personal y no relativos a personal)</w:t>
      </w:r>
    </w:p>
    <w:p w:rsidR="00221F0B" w:rsidRPr="00F05098" w:rsidRDefault="00221F0B" w:rsidP="00DC1333">
      <w:pPr>
        <w:pStyle w:val="NormalWeb"/>
        <w:spacing w:before="0" w:beforeAutospacing="0" w:after="0" w:afterAutospacing="0"/>
        <w:ind w:left="360"/>
        <w:jc w:val="center"/>
        <w:rPr>
          <w:i/>
          <w:iCs/>
          <w:sz w:val="20"/>
          <w:szCs w:val="20"/>
          <w:lang w:val="es-ES"/>
        </w:rPr>
      </w:pPr>
      <w:r w:rsidRPr="00F05098">
        <w:rPr>
          <w:i/>
          <w:iCs/>
          <w:sz w:val="20"/>
          <w:szCs w:val="20"/>
          <w:lang w:val="es-ES"/>
        </w:rPr>
        <w:t>(</w:t>
      </w:r>
      <w:proofErr w:type="gramStart"/>
      <w:r w:rsidRPr="00F05098">
        <w:rPr>
          <w:i/>
          <w:iCs/>
          <w:sz w:val="20"/>
          <w:szCs w:val="20"/>
          <w:lang w:val="es-ES"/>
        </w:rPr>
        <w:t>en</w:t>
      </w:r>
      <w:proofErr w:type="gramEnd"/>
      <w:r w:rsidRPr="00F05098">
        <w:rPr>
          <w:i/>
          <w:iCs/>
          <w:sz w:val="20"/>
          <w:szCs w:val="20"/>
          <w:lang w:val="es-ES"/>
        </w:rPr>
        <w:t xml:space="preserve"> miles de francos suizos)</w:t>
      </w:r>
    </w:p>
    <w:p w:rsidR="00221F0B" w:rsidRPr="00F05098" w:rsidRDefault="00221F0B" w:rsidP="00DC1333">
      <w:pPr>
        <w:pStyle w:val="NormalWeb"/>
        <w:spacing w:before="0" w:beforeAutospacing="0" w:after="0" w:afterAutospacing="0"/>
        <w:rPr>
          <w:lang w:val="es-ES"/>
        </w:rPr>
      </w:pPr>
    </w:p>
    <w:p w:rsidR="00221F0B" w:rsidRPr="00F05098" w:rsidRDefault="00221F0B" w:rsidP="00DC1333">
      <w:bookmarkStart w:id="193" w:name="Point25"/>
      <w:r>
        <w:rPr>
          <w:noProof/>
          <w:lang w:val="en-US" w:eastAsia="en-US"/>
        </w:rPr>
        <w:drawing>
          <wp:inline distT="0" distB="0" distL="0" distR="0" wp14:anchorId="56308A8E" wp14:editId="1F4046B9">
            <wp:extent cx="5941060" cy="1002871"/>
            <wp:effectExtent l="0" t="0" r="2540" b="6985"/>
            <wp:docPr id="812" name="Picture 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5941060" cy="1002871"/>
                    </a:xfrm>
                    <a:prstGeom prst="rect">
                      <a:avLst/>
                    </a:prstGeom>
                    <a:noFill/>
                    <a:ln>
                      <a:noFill/>
                    </a:ln>
                  </pic:spPr>
                </pic:pic>
              </a:graphicData>
            </a:graphic>
          </wp:inline>
        </w:drawing>
      </w:r>
      <w:bookmarkEnd w:id="193"/>
    </w:p>
    <w:p w:rsidR="00221F0B" w:rsidRDefault="00221F0B" w:rsidP="00DC1333"/>
    <w:p w:rsidR="00221F0B" w:rsidRPr="00F05098" w:rsidRDefault="00221F0B" w:rsidP="00DC1333"/>
    <w:p w:rsidR="00221F0B" w:rsidRPr="00F05098" w:rsidRDefault="00403D2C" w:rsidP="00221F0B">
      <w:pPr>
        <w:pStyle w:val="ListParagraph"/>
        <w:numPr>
          <w:ilvl w:val="0"/>
          <w:numId w:val="69"/>
        </w:numPr>
        <w:jc w:val="both"/>
        <w:rPr>
          <w:u w:val="single"/>
          <w:lang w:val="es-ES"/>
        </w:rPr>
      </w:pPr>
      <w:r w:rsidRPr="00403D2C">
        <w:rPr>
          <w:u w:val="single"/>
          <w:lang w:val="es-ES"/>
        </w:rPr>
        <w:t>Presupuesto final de 2014/15 tras las transferencias</w:t>
      </w:r>
    </w:p>
    <w:p w:rsidR="00221F0B" w:rsidRPr="00F05098" w:rsidRDefault="00221F0B" w:rsidP="00DC1333">
      <w:pPr>
        <w:pStyle w:val="ListParagraph"/>
        <w:ind w:left="0"/>
        <w:rPr>
          <w:lang w:val="es-ES"/>
        </w:rPr>
      </w:pPr>
    </w:p>
    <w:p w:rsidR="00221F0B" w:rsidRPr="003E661D" w:rsidRDefault="00221F0B" w:rsidP="00EB45DE">
      <w:pPr>
        <w:pStyle w:val="ListParagraph"/>
        <w:numPr>
          <w:ilvl w:val="0"/>
          <w:numId w:val="110"/>
        </w:numPr>
        <w:tabs>
          <w:tab w:val="left" w:pos="709"/>
        </w:tabs>
        <w:ind w:left="0" w:firstLine="0"/>
        <w:jc w:val="both"/>
        <w:rPr>
          <w:bCs/>
          <w:lang w:val="es-ES"/>
        </w:rPr>
      </w:pPr>
      <w:r w:rsidRPr="003E661D">
        <w:rPr>
          <w:bCs/>
          <w:lang w:val="es-ES"/>
        </w:rPr>
        <w:t xml:space="preserve">El aumento general en el presupuesto final de 2014/15 tras las transferencias fue consecuencia fundamentalmente del aumento de los recursos no relativos a personal </w:t>
      </w:r>
      <w:r>
        <w:rPr>
          <w:bCs/>
          <w:lang w:val="es-ES"/>
        </w:rPr>
        <w:t>asignados al resultado previsto </w:t>
      </w:r>
      <w:r w:rsidRPr="003E661D">
        <w:rPr>
          <w:bCs/>
          <w:lang w:val="es-ES"/>
        </w:rPr>
        <w:t>IX.1 (Servicios de apoyo eficaces, eficientes, de calidad y orientados al cliente), a fin de abarcar:  i) la implantación de una infraestructura con capacidad de reacción y recuperación para las Oficinas en el exterior;  ii) la adquisición de licencias para la gestión de contenidos institucionales y la configuración de la base de datos sobre gestión;  iii) la compra de computadoras portátiles para equipar las instalaciones del CAM de la OMPI como “sitio crítico” en caso de que se produzca una situación de emergencia a nivel local;  iv) los costos relativos al estudio de la gestión de la identidad y del acceso; v) la adquisición de soluciones para la seguridad de la información a fin de fomentar las capacidades de protección y de respuesta a los incidentes;  y vi) la sustitución de varios equipos de T.I. como teléfonos móviles, computadoras portátiles y monitores.</w:t>
      </w:r>
    </w:p>
    <w:p w:rsidR="00221F0B" w:rsidRPr="00342866" w:rsidRDefault="00221F0B" w:rsidP="00DC1333">
      <w:pPr>
        <w:pStyle w:val="ListParagraph"/>
        <w:ind w:left="0"/>
        <w:rPr>
          <w:lang w:val="es-ES"/>
        </w:rPr>
      </w:pPr>
    </w:p>
    <w:p w:rsidR="00221F0B" w:rsidRPr="003E661D" w:rsidRDefault="00221F0B" w:rsidP="00EB45DE">
      <w:pPr>
        <w:pStyle w:val="ListParagraph"/>
        <w:numPr>
          <w:ilvl w:val="0"/>
          <w:numId w:val="110"/>
        </w:numPr>
        <w:tabs>
          <w:tab w:val="left" w:pos="709"/>
        </w:tabs>
        <w:ind w:left="0" w:firstLine="0"/>
        <w:jc w:val="both"/>
        <w:rPr>
          <w:bCs/>
          <w:lang w:val="es-ES"/>
        </w:rPr>
      </w:pPr>
      <w:r w:rsidRPr="003E661D">
        <w:rPr>
          <w:bCs/>
          <w:lang w:val="es-ES"/>
        </w:rPr>
        <w:t>El aumento neto de los recursos de personal se debió principalmente, por una parte, a las reclasificaciones y regularizaciones de funciones continuas que se llevaron a cabo y, por otra, a la reasignación de un cargo temporal a Adquisiciones y Viajes en el programa 24 para el establecimiento de una función de certificador de servicios contractuales individuales.</w:t>
      </w:r>
    </w:p>
    <w:p w:rsidR="00221F0B" w:rsidRPr="00F05098" w:rsidRDefault="00221F0B" w:rsidP="00DC1333">
      <w:pPr>
        <w:jc w:val="both"/>
      </w:pPr>
    </w:p>
    <w:p w:rsidR="00221F0B" w:rsidRPr="00F05098" w:rsidRDefault="00403D2C" w:rsidP="00DC1333">
      <w:pPr>
        <w:jc w:val="both"/>
        <w:rPr>
          <w:u w:val="single"/>
          <w:lang w:eastAsia="ko-KR"/>
        </w:rPr>
      </w:pPr>
      <w:r w:rsidRPr="00403D2C">
        <w:rPr>
          <w:sz w:val="20"/>
          <w:lang w:eastAsia="ko-KR"/>
        </w:rPr>
        <w:t>B.</w:t>
      </w:r>
      <w:r w:rsidRPr="00403D2C">
        <w:rPr>
          <w:sz w:val="20"/>
          <w:lang w:eastAsia="ko-KR"/>
        </w:rPr>
        <w:tab/>
      </w:r>
      <w:r w:rsidRPr="00403D2C">
        <w:rPr>
          <w:sz w:val="20"/>
          <w:u w:val="single"/>
          <w:lang w:eastAsia="ko-KR"/>
        </w:rPr>
        <w:t>Utilización del presupuesto en 2014/15</w:t>
      </w:r>
    </w:p>
    <w:p w:rsidR="00221F0B" w:rsidRPr="00F05098" w:rsidRDefault="00221F0B" w:rsidP="00DC1333">
      <w:pPr>
        <w:tabs>
          <w:tab w:val="left" w:pos="709"/>
        </w:tabs>
        <w:jc w:val="both"/>
        <w:rPr>
          <w:u w:val="single"/>
          <w:lang w:eastAsia="ko-KR"/>
        </w:rPr>
      </w:pPr>
    </w:p>
    <w:p w:rsidR="00221F0B" w:rsidRPr="003E661D" w:rsidRDefault="00221F0B" w:rsidP="00EB45DE">
      <w:pPr>
        <w:pStyle w:val="ListParagraph"/>
        <w:numPr>
          <w:ilvl w:val="0"/>
          <w:numId w:val="110"/>
        </w:numPr>
        <w:tabs>
          <w:tab w:val="left" w:pos="709"/>
        </w:tabs>
        <w:ind w:left="0" w:firstLine="0"/>
        <w:jc w:val="both"/>
        <w:rPr>
          <w:bCs/>
          <w:lang w:val="es-ES"/>
        </w:rPr>
      </w:pPr>
      <w:r w:rsidRPr="003E661D">
        <w:rPr>
          <w:bCs/>
          <w:lang w:val="es-ES"/>
        </w:rPr>
        <w:t>La utilización del presupuesto se ha mantenido dentro de los límites establecidos durante el bienio.</w:t>
      </w:r>
    </w:p>
    <w:p w:rsidR="00221F0B" w:rsidRDefault="00221F0B" w:rsidP="00DC1333"/>
    <w:p w:rsidR="00221F0B" w:rsidRPr="00F05098" w:rsidRDefault="00221F0B" w:rsidP="00DC1333"/>
    <w:p w:rsidR="004334DE" w:rsidRDefault="004334DE">
      <w:pPr>
        <w:rPr>
          <w:b/>
          <w:bCs/>
          <w:iCs/>
          <w:caps/>
        </w:rPr>
      </w:pPr>
      <w:bookmarkStart w:id="194" w:name="_Toc422927440"/>
      <w:r>
        <w:rPr>
          <w:b/>
        </w:rPr>
        <w:br w:type="page"/>
      </w:r>
    </w:p>
    <w:p w:rsidR="00221F0B" w:rsidRPr="00526311" w:rsidRDefault="00221F0B" w:rsidP="00DC1333">
      <w:pPr>
        <w:pStyle w:val="Heading2"/>
        <w:tabs>
          <w:tab w:val="left" w:pos="-3969"/>
        </w:tabs>
        <w:ind w:left="2410" w:hanging="2410"/>
        <w:rPr>
          <w:b/>
          <w:szCs w:val="20"/>
        </w:rPr>
      </w:pPr>
      <w:bookmarkStart w:id="195" w:name="_Toc455159108"/>
      <w:r w:rsidRPr="00526311">
        <w:rPr>
          <w:b/>
          <w:szCs w:val="20"/>
        </w:rPr>
        <w:lastRenderedPageBreak/>
        <w:t>PROGRAMA 26</w:t>
      </w:r>
      <w:r w:rsidRPr="00526311">
        <w:rPr>
          <w:b/>
          <w:szCs w:val="20"/>
        </w:rPr>
        <w:tab/>
        <w:t>SUPERVISIÓN INTERNA</w:t>
      </w:r>
      <w:bookmarkEnd w:id="194"/>
      <w:bookmarkEnd w:id="195"/>
    </w:p>
    <w:p w:rsidR="00221F0B" w:rsidRPr="00526311" w:rsidRDefault="00221F0B" w:rsidP="00DC1333">
      <w:pPr>
        <w:tabs>
          <w:tab w:val="left" w:pos="1985"/>
        </w:tabs>
        <w:rPr>
          <w:sz w:val="20"/>
        </w:rPr>
      </w:pPr>
    </w:p>
    <w:p w:rsidR="00221F0B" w:rsidRPr="00526311" w:rsidRDefault="00221F0B" w:rsidP="00DC1333">
      <w:pPr>
        <w:tabs>
          <w:tab w:val="left" w:pos="2410"/>
        </w:tabs>
        <w:rPr>
          <w:b/>
          <w:sz w:val="20"/>
        </w:rPr>
      </w:pPr>
      <w:r w:rsidRPr="00526311">
        <w:rPr>
          <w:b/>
          <w:sz w:val="20"/>
        </w:rPr>
        <w:t>Director de programa</w:t>
      </w:r>
      <w:r w:rsidRPr="00526311">
        <w:rPr>
          <w:b/>
          <w:sz w:val="20"/>
        </w:rPr>
        <w:tab/>
        <w:t>Sr. T. Efendioglu (Director interino de la DSI)</w:t>
      </w:r>
    </w:p>
    <w:p w:rsidR="00221F0B" w:rsidRPr="00526311" w:rsidRDefault="00221F0B" w:rsidP="00DC1333">
      <w:pPr>
        <w:rPr>
          <w:sz w:val="20"/>
        </w:rPr>
      </w:pPr>
    </w:p>
    <w:p w:rsidR="00221F0B" w:rsidRPr="00526311" w:rsidRDefault="00221F0B" w:rsidP="00DC1333">
      <w:pPr>
        <w:rPr>
          <w:sz w:val="20"/>
        </w:rPr>
      </w:pPr>
    </w:p>
    <w:p w:rsidR="00221F0B" w:rsidRPr="00526311" w:rsidRDefault="008F7CBE" w:rsidP="00DC1333">
      <w:pPr>
        <w:rPr>
          <w:bCs/>
        </w:rPr>
      </w:pPr>
      <w:r w:rsidRPr="008F7CBE">
        <w:rPr>
          <w:bCs/>
          <w:sz w:val="20"/>
          <w:szCs w:val="22"/>
        </w:rPr>
        <w:t>LOGROS ALCANZADOS EN EL BIENIO 2014/15</w:t>
      </w:r>
    </w:p>
    <w:p w:rsidR="00221F0B" w:rsidRPr="00526311" w:rsidRDefault="00221F0B" w:rsidP="00DC1333"/>
    <w:p w:rsidR="00221F0B" w:rsidRPr="00526311" w:rsidRDefault="00221F0B" w:rsidP="00EB45DE">
      <w:pPr>
        <w:pStyle w:val="ListParagraph"/>
        <w:numPr>
          <w:ilvl w:val="0"/>
          <w:numId w:val="114"/>
        </w:numPr>
        <w:tabs>
          <w:tab w:val="left" w:pos="709"/>
        </w:tabs>
        <w:ind w:left="0" w:firstLine="0"/>
        <w:jc w:val="both"/>
        <w:rPr>
          <w:rFonts w:cs="Arial"/>
          <w:lang w:val="es-ES"/>
        </w:rPr>
      </w:pPr>
      <w:r w:rsidRPr="00526311">
        <w:rPr>
          <w:rFonts w:cs="Arial"/>
          <w:lang w:val="es-ES"/>
        </w:rPr>
        <w:t>La División de Supervisión Interna (D</w:t>
      </w:r>
      <w:r>
        <w:rPr>
          <w:rFonts w:cs="Arial"/>
          <w:lang w:val="es-ES"/>
        </w:rPr>
        <w:t>SI) superó satisfactoriamente tre</w:t>
      </w:r>
      <w:r w:rsidRPr="00526311">
        <w:rPr>
          <w:rFonts w:cs="Arial"/>
          <w:lang w:val="es-ES"/>
        </w:rPr>
        <w:t xml:space="preserve">s evaluaciones externas de la calidad de </w:t>
      </w:r>
      <w:r>
        <w:rPr>
          <w:rFonts w:cs="Arial"/>
          <w:lang w:val="es-ES"/>
        </w:rPr>
        <w:t>sus funciones de auditoría,</w:t>
      </w:r>
      <w:r>
        <w:rPr>
          <w:rStyle w:val="FootnoteReference"/>
          <w:rFonts w:cs="Arial"/>
          <w:lang w:val="es-ES"/>
        </w:rPr>
        <w:footnoteReference w:id="141"/>
      </w:r>
      <w:r>
        <w:rPr>
          <w:rFonts w:cs="Arial"/>
          <w:lang w:val="es-ES"/>
        </w:rPr>
        <w:t xml:space="preserve"> </w:t>
      </w:r>
      <w:r w:rsidRPr="00526311">
        <w:rPr>
          <w:rFonts w:cs="Arial"/>
          <w:lang w:val="es-ES"/>
        </w:rPr>
        <w:t>evaluación</w:t>
      </w:r>
      <w:r>
        <w:rPr>
          <w:rStyle w:val="FootnoteReference"/>
          <w:rFonts w:cs="Arial"/>
          <w:lang w:val="es-ES"/>
        </w:rPr>
        <w:footnoteReference w:id="142"/>
      </w:r>
      <w:r w:rsidRPr="00526311">
        <w:rPr>
          <w:rFonts w:cs="Arial"/>
          <w:lang w:val="es-ES"/>
        </w:rPr>
        <w:t xml:space="preserve"> </w:t>
      </w:r>
      <w:r>
        <w:rPr>
          <w:rFonts w:cs="Arial"/>
          <w:lang w:val="es-ES"/>
        </w:rPr>
        <w:t>e investigación</w:t>
      </w:r>
      <w:r>
        <w:rPr>
          <w:rStyle w:val="FootnoteReference"/>
          <w:rFonts w:cs="Arial"/>
          <w:lang w:val="es-ES"/>
        </w:rPr>
        <w:footnoteReference w:id="143"/>
      </w:r>
      <w:r>
        <w:rPr>
          <w:rFonts w:cs="Arial"/>
          <w:lang w:val="es-ES"/>
        </w:rPr>
        <w:t xml:space="preserve"> respectivamente </w:t>
      </w:r>
      <w:r w:rsidRPr="00526311">
        <w:rPr>
          <w:rFonts w:cs="Arial"/>
          <w:lang w:val="es-ES"/>
        </w:rPr>
        <w:t xml:space="preserve">en </w:t>
      </w:r>
      <w:r w:rsidR="000610E2">
        <w:rPr>
          <w:rFonts w:cs="Arial"/>
          <w:lang w:val="es-ES"/>
        </w:rPr>
        <w:t>el bienio </w:t>
      </w:r>
      <w:r w:rsidRPr="00526311">
        <w:rPr>
          <w:rFonts w:cs="Arial"/>
          <w:lang w:val="es-ES"/>
        </w:rPr>
        <w:t>2014</w:t>
      </w:r>
      <w:r>
        <w:rPr>
          <w:rFonts w:cs="Arial"/>
          <w:lang w:val="es-ES"/>
        </w:rPr>
        <w:t>/15.  Los evaluadores externos independientes concluyeron que todas las disciplinas se ajustaban en general</w:t>
      </w:r>
      <w:r w:rsidRPr="00526311">
        <w:rPr>
          <w:rFonts w:cs="Arial"/>
          <w:lang w:val="es-ES"/>
        </w:rPr>
        <w:t xml:space="preserve"> </w:t>
      </w:r>
      <w:r>
        <w:rPr>
          <w:rFonts w:cs="Arial"/>
          <w:lang w:val="es-ES"/>
        </w:rPr>
        <w:t>a las normas</w:t>
      </w:r>
      <w:r w:rsidRPr="00526311">
        <w:rPr>
          <w:rFonts w:cs="Arial"/>
          <w:lang w:val="es-ES"/>
        </w:rPr>
        <w:t xml:space="preserve"> </w:t>
      </w:r>
      <w:r>
        <w:rPr>
          <w:rFonts w:cs="Arial"/>
          <w:lang w:val="es-ES"/>
        </w:rPr>
        <w:t>de cada profesión</w:t>
      </w:r>
      <w:r w:rsidRPr="00526311">
        <w:rPr>
          <w:rFonts w:cs="Arial"/>
          <w:lang w:val="es-ES"/>
        </w:rPr>
        <w:t>.</w:t>
      </w:r>
      <w:r>
        <w:rPr>
          <w:rStyle w:val="FootnoteReference"/>
          <w:rFonts w:cs="Arial"/>
          <w:lang w:val="es-ES"/>
        </w:rPr>
        <w:footnoteReference w:id="144"/>
      </w:r>
    </w:p>
    <w:p w:rsidR="00221F0B" w:rsidRPr="00526311" w:rsidRDefault="00221F0B" w:rsidP="00DC1333">
      <w:pPr>
        <w:tabs>
          <w:tab w:val="left" w:pos="709"/>
        </w:tabs>
        <w:jc w:val="both"/>
      </w:pPr>
    </w:p>
    <w:p w:rsidR="00221F0B" w:rsidRPr="00526311" w:rsidRDefault="00221F0B" w:rsidP="00EB45DE">
      <w:pPr>
        <w:pStyle w:val="ListParagraph"/>
        <w:numPr>
          <w:ilvl w:val="0"/>
          <w:numId w:val="114"/>
        </w:numPr>
        <w:tabs>
          <w:tab w:val="left" w:pos="709"/>
        </w:tabs>
        <w:ind w:left="0" w:firstLine="0"/>
        <w:jc w:val="both"/>
        <w:rPr>
          <w:rFonts w:cs="Arial"/>
          <w:lang w:val="es-ES"/>
        </w:rPr>
      </w:pPr>
      <w:r w:rsidRPr="00526311">
        <w:rPr>
          <w:rFonts w:cs="Arial"/>
          <w:lang w:val="es-ES"/>
        </w:rPr>
        <w:t xml:space="preserve">La DSI también contribuyó a la revisión de la Carta de Supervisión Interna de la OMPI, que fue aprobada por la Asamblea General el 30 de septiembre de 2014.  Los resultados de la revisión fueron los siguientes:  i) el nombre se cambió por el de División de Supervisión Interna (DSI);  ii) pasó a ser obligatoria la aplicación de las normas internacionales y las normas y directrices de las </w:t>
      </w:r>
      <w:r>
        <w:rPr>
          <w:rFonts w:cs="Arial"/>
          <w:lang w:val="es-ES"/>
        </w:rPr>
        <w:t>Naciones Unidas</w:t>
      </w:r>
      <w:r w:rsidRPr="00526311">
        <w:rPr>
          <w:rFonts w:cs="Arial"/>
          <w:lang w:val="es-ES"/>
        </w:rPr>
        <w:t xml:space="preserve"> en materia de auditoría interna, evaluación e investigación; </w:t>
      </w:r>
      <w:r>
        <w:rPr>
          <w:rFonts w:cs="Arial"/>
          <w:lang w:val="es-ES"/>
        </w:rPr>
        <w:t xml:space="preserve"> </w:t>
      </w:r>
      <w:r w:rsidRPr="00526311">
        <w:rPr>
          <w:rFonts w:cs="Arial"/>
          <w:lang w:val="es-ES"/>
        </w:rPr>
        <w:t>iii) se intensificó la participación de la Comisión Consultiva Independiente de Supervisión (CCIS) en la elaboración d</w:t>
      </w:r>
      <w:r>
        <w:rPr>
          <w:rFonts w:cs="Arial"/>
          <w:lang w:val="es-ES"/>
        </w:rPr>
        <w:t xml:space="preserve">el plan de trabajo de la DSI; </w:t>
      </w:r>
      <w:r w:rsidRPr="00526311">
        <w:rPr>
          <w:rFonts w:cs="Arial"/>
          <w:lang w:val="es-ES"/>
        </w:rPr>
        <w:t xml:space="preserve"> iv) la divulgación al público de los informes de auditoría interna y de evaluación así como los informes sobre las consecuencias para el equipo directivo.  La OMPI fue el primer organismo especializado de las Naciones Unidas que aprobó ese ejercicio, que ha pasado a convertirse en una práctica común en la Secretaría de las </w:t>
      </w:r>
      <w:r>
        <w:rPr>
          <w:rFonts w:cs="Arial"/>
          <w:lang w:val="es-ES"/>
        </w:rPr>
        <w:t>Naciones Unidas y en sus fondos y programas.</w:t>
      </w:r>
    </w:p>
    <w:p w:rsidR="00221F0B" w:rsidRPr="00526311" w:rsidRDefault="00221F0B" w:rsidP="00DC1333">
      <w:pPr>
        <w:tabs>
          <w:tab w:val="left" w:pos="709"/>
        </w:tabs>
        <w:jc w:val="both"/>
      </w:pPr>
    </w:p>
    <w:p w:rsidR="00221F0B" w:rsidRPr="00526311" w:rsidRDefault="00221F0B" w:rsidP="00EB45DE">
      <w:pPr>
        <w:pStyle w:val="ListParagraph"/>
        <w:numPr>
          <w:ilvl w:val="0"/>
          <w:numId w:val="114"/>
        </w:numPr>
        <w:tabs>
          <w:tab w:val="left" w:pos="709"/>
        </w:tabs>
        <w:ind w:left="0" w:firstLine="0"/>
        <w:jc w:val="both"/>
        <w:rPr>
          <w:rFonts w:cs="Arial"/>
          <w:lang w:val="es-ES"/>
        </w:rPr>
      </w:pPr>
      <w:r>
        <w:rPr>
          <w:rFonts w:cs="Arial"/>
          <w:lang w:val="es-ES"/>
        </w:rPr>
        <w:t>La DSI publicó 13 informes de autoría, 7</w:t>
      </w:r>
      <w:r w:rsidRPr="00526311">
        <w:rPr>
          <w:rFonts w:cs="Arial"/>
          <w:lang w:val="es-ES"/>
        </w:rPr>
        <w:t xml:space="preserve"> informes de evaluación y el informe de validación del </w:t>
      </w:r>
      <w:r>
        <w:rPr>
          <w:rFonts w:cs="Arial"/>
          <w:lang w:val="es-ES"/>
        </w:rPr>
        <w:t>Informe sobre el rendimiento de los programas</w:t>
      </w:r>
      <w:r w:rsidRPr="00526311">
        <w:rPr>
          <w:rFonts w:cs="Arial"/>
          <w:lang w:val="es-ES"/>
        </w:rPr>
        <w:t xml:space="preserve"> de final del bienio 201</w:t>
      </w:r>
      <w:r>
        <w:rPr>
          <w:rFonts w:cs="Arial"/>
          <w:lang w:val="es-ES"/>
        </w:rPr>
        <w:t>2/13 (WO/PBC/22/9), y formuló 161</w:t>
      </w:r>
      <w:r w:rsidRPr="00526311">
        <w:rPr>
          <w:rFonts w:cs="Arial"/>
          <w:lang w:val="es-ES"/>
        </w:rPr>
        <w:t xml:space="preserve"> recomendaciones de mejoras</w:t>
      </w:r>
      <w:r>
        <w:rPr>
          <w:rFonts w:cs="Arial"/>
          <w:lang w:val="es-ES"/>
        </w:rPr>
        <w:t xml:space="preserve"> (74 en 2014 y 87 en 2015)</w:t>
      </w:r>
      <w:r w:rsidRPr="00526311">
        <w:rPr>
          <w:rFonts w:cs="Arial"/>
          <w:lang w:val="es-ES"/>
        </w:rPr>
        <w:t xml:space="preserve">.  El plan de supervisión de la DSI fue elaborado sobre la base de su metodología de evaluación de riesgos </w:t>
      </w:r>
      <w:r>
        <w:rPr>
          <w:rFonts w:cs="Arial"/>
          <w:lang w:val="es-ES"/>
        </w:rPr>
        <w:t>y los registros de riesgos institucionales de la OMPI,</w:t>
      </w:r>
      <w:r w:rsidRPr="00526311">
        <w:rPr>
          <w:rFonts w:cs="Arial"/>
          <w:lang w:val="es-ES"/>
        </w:rPr>
        <w:t xml:space="preserve"> teniendo en cuenta las</w:t>
      </w:r>
      <w:r>
        <w:rPr>
          <w:rFonts w:cs="Arial"/>
          <w:lang w:val="es-ES"/>
        </w:rPr>
        <w:t xml:space="preserve"> entidades operativas de la Organización</w:t>
      </w:r>
      <w:r w:rsidRPr="00526311">
        <w:rPr>
          <w:rFonts w:cs="Arial"/>
          <w:lang w:val="es-ES"/>
        </w:rPr>
        <w:t xml:space="preserve"> y los correspondientes procesos de trabajo, así como la información recibida de los Estados miembros, la CCIS, el personal directivo superior y el Auditor Externo.  Las actividades de auditoría y</w:t>
      </w:r>
      <w:r>
        <w:rPr>
          <w:rFonts w:cs="Arial"/>
          <w:lang w:val="es-ES"/>
        </w:rPr>
        <w:t xml:space="preserve"> de evaluación abarcaron diverso</w:t>
      </w:r>
      <w:r w:rsidRPr="00526311">
        <w:rPr>
          <w:rFonts w:cs="Arial"/>
          <w:lang w:val="es-ES"/>
        </w:rPr>
        <w:t>s á</w:t>
      </w:r>
      <w:r>
        <w:rPr>
          <w:rFonts w:cs="Arial"/>
          <w:lang w:val="es-ES"/>
        </w:rPr>
        <w:t>mbito</w:t>
      </w:r>
      <w:r w:rsidRPr="00526311">
        <w:rPr>
          <w:rFonts w:cs="Arial"/>
          <w:lang w:val="es-ES"/>
        </w:rPr>
        <w:t>s de gestión de programas y proyectos</w:t>
      </w:r>
      <w:r>
        <w:rPr>
          <w:rFonts w:cs="Arial"/>
          <w:lang w:val="es-ES"/>
        </w:rPr>
        <w:t>, por ejemplo</w:t>
      </w:r>
      <w:r w:rsidRPr="00526311">
        <w:rPr>
          <w:rFonts w:cs="Arial"/>
          <w:lang w:val="es-ES"/>
        </w:rPr>
        <w:t xml:space="preserve"> la gestión por resultados, la gestión de los datos, la seguridad </w:t>
      </w:r>
      <w:r>
        <w:rPr>
          <w:rFonts w:cs="Arial"/>
          <w:lang w:val="es-ES"/>
        </w:rPr>
        <w:t>y vigilancia</w:t>
      </w:r>
      <w:r w:rsidRPr="00526311">
        <w:rPr>
          <w:rFonts w:cs="Arial"/>
          <w:lang w:val="es-ES"/>
        </w:rPr>
        <w:t xml:space="preserve">, </w:t>
      </w:r>
      <w:r>
        <w:rPr>
          <w:rFonts w:cs="Arial"/>
          <w:lang w:val="es-ES"/>
        </w:rPr>
        <w:t xml:space="preserve">las recompensas y el reconocimiento, </w:t>
      </w:r>
      <w:r w:rsidRPr="00526311">
        <w:rPr>
          <w:rFonts w:cs="Arial"/>
          <w:lang w:val="es-ES"/>
        </w:rPr>
        <w:t>la gestión de los conocimientos</w:t>
      </w:r>
      <w:r>
        <w:rPr>
          <w:rFonts w:cs="Arial"/>
          <w:lang w:val="es-ES"/>
        </w:rPr>
        <w:t>, la gestión de actos oficiales y</w:t>
      </w:r>
      <w:r w:rsidRPr="00526311">
        <w:rPr>
          <w:rFonts w:cs="Arial"/>
          <w:lang w:val="es-ES"/>
        </w:rPr>
        <w:t xml:space="preserve"> la </w:t>
      </w:r>
      <w:r>
        <w:rPr>
          <w:rFonts w:cs="Arial"/>
          <w:lang w:val="es-ES"/>
        </w:rPr>
        <w:t>gestión de activos</w:t>
      </w:r>
      <w:r w:rsidRPr="00A37592">
        <w:rPr>
          <w:rFonts w:cs="Arial"/>
          <w:lang w:val="es-ES"/>
        </w:rPr>
        <w:t xml:space="preserve"> </w:t>
      </w:r>
      <w:r w:rsidRPr="00526311">
        <w:rPr>
          <w:rFonts w:cs="Arial"/>
          <w:lang w:val="es-ES"/>
        </w:rPr>
        <w:t>en la Organización.</w:t>
      </w:r>
    </w:p>
    <w:p w:rsidR="00221F0B" w:rsidRPr="00526311" w:rsidRDefault="00221F0B" w:rsidP="00DC1333">
      <w:pPr>
        <w:tabs>
          <w:tab w:val="left" w:pos="709"/>
        </w:tabs>
        <w:jc w:val="both"/>
      </w:pPr>
    </w:p>
    <w:p w:rsidR="00221F0B" w:rsidRDefault="00221F0B" w:rsidP="00EB45DE">
      <w:pPr>
        <w:pStyle w:val="ListParagraph"/>
        <w:numPr>
          <w:ilvl w:val="0"/>
          <w:numId w:val="114"/>
        </w:numPr>
        <w:tabs>
          <w:tab w:val="left" w:pos="0"/>
        </w:tabs>
        <w:ind w:left="0" w:firstLine="0"/>
        <w:jc w:val="both"/>
        <w:rPr>
          <w:rFonts w:cs="Arial"/>
          <w:lang w:val="es-ES"/>
        </w:rPr>
      </w:pPr>
      <w:r>
        <w:rPr>
          <w:rFonts w:cs="Arial"/>
          <w:lang w:val="es-ES"/>
        </w:rPr>
        <w:t>Durante el bienio 2014/15 la DSI registró 53</w:t>
      </w:r>
      <w:r w:rsidRPr="00526311">
        <w:rPr>
          <w:rFonts w:cs="Arial"/>
          <w:lang w:val="es-ES"/>
        </w:rPr>
        <w:t xml:space="preserve"> casos de investigación y dio por concluidos </w:t>
      </w:r>
      <w:r>
        <w:rPr>
          <w:rFonts w:cs="Arial"/>
          <w:lang w:val="es-ES"/>
        </w:rPr>
        <w:t>43</w:t>
      </w:r>
      <w:r w:rsidRPr="00526311">
        <w:rPr>
          <w:rFonts w:cs="Arial"/>
          <w:lang w:val="es-ES"/>
        </w:rPr>
        <w:t>.  En general, todos los casos se concluyeron dentro de los plazos establecidos en la Política de Investigación de la OMPI.  Más del 50% de los casos se relacionaban con hostigamiento, declaraciones y actividades incompatibles con las obligaciones de los funcionarios públicos internacionales, así como con fraudes re</w:t>
      </w:r>
      <w:r>
        <w:rPr>
          <w:rFonts w:cs="Arial"/>
          <w:lang w:val="es-ES"/>
        </w:rPr>
        <w:t>lacionados con las prestaciones o</w:t>
      </w:r>
      <w:r w:rsidRPr="00526311">
        <w:rPr>
          <w:rFonts w:cs="Arial"/>
          <w:lang w:val="es-ES"/>
        </w:rPr>
        <w:t xml:space="preserve"> derechos del personal.</w:t>
      </w:r>
    </w:p>
    <w:p w:rsidR="00221F0B" w:rsidRPr="00A37592" w:rsidRDefault="00221F0B" w:rsidP="00DC1333">
      <w:pPr>
        <w:pStyle w:val="ListParagraph"/>
        <w:ind w:left="0"/>
        <w:rPr>
          <w:rFonts w:cs="Arial"/>
          <w:lang w:val="es-ES"/>
        </w:rPr>
      </w:pPr>
    </w:p>
    <w:p w:rsidR="00221F0B" w:rsidRPr="00526311" w:rsidRDefault="00221F0B" w:rsidP="00EB45DE">
      <w:pPr>
        <w:pStyle w:val="ListParagraph"/>
        <w:numPr>
          <w:ilvl w:val="0"/>
          <w:numId w:val="114"/>
        </w:numPr>
        <w:tabs>
          <w:tab w:val="left" w:pos="0"/>
        </w:tabs>
        <w:ind w:left="0" w:firstLine="0"/>
        <w:jc w:val="both"/>
        <w:rPr>
          <w:rFonts w:cs="Arial"/>
          <w:lang w:val="es-ES"/>
        </w:rPr>
      </w:pPr>
      <w:r>
        <w:rPr>
          <w:lang w:val="es-ES"/>
        </w:rPr>
        <w:t xml:space="preserve">En 2015 se organizó un seminario de evaluación de la OMPI con el objetivo de crear y fortalecer una cultura del aprendizaje y un compromiso firme con la rendición de cuentas </w:t>
      </w:r>
      <w:r w:rsidRPr="00A37592">
        <w:rPr>
          <w:lang w:val="es-ES"/>
        </w:rPr>
        <w:t>que</w:t>
      </w:r>
      <w:r>
        <w:rPr>
          <w:lang w:val="es-ES"/>
        </w:rPr>
        <w:t xml:space="preserve"> promuevan</w:t>
      </w:r>
      <w:r w:rsidRPr="00A37592">
        <w:rPr>
          <w:lang w:val="es-ES"/>
        </w:rPr>
        <w:t xml:space="preserve"> la mejora de los procesos y operaciones de la Organización</w:t>
      </w:r>
      <w:r>
        <w:rPr>
          <w:lang w:val="es-ES"/>
        </w:rPr>
        <w:t>.  El seminario obtuvo una buena acogida general entre los participantes.</w:t>
      </w:r>
    </w:p>
    <w:p w:rsidR="00221F0B" w:rsidRPr="00526311" w:rsidRDefault="00221F0B" w:rsidP="00DC1333">
      <w:pPr>
        <w:tabs>
          <w:tab w:val="left" w:pos="709"/>
        </w:tabs>
        <w:jc w:val="both"/>
      </w:pPr>
    </w:p>
    <w:p w:rsidR="00221F0B" w:rsidRPr="00526311" w:rsidRDefault="00221F0B" w:rsidP="00EB45DE">
      <w:pPr>
        <w:pStyle w:val="ListParagraph"/>
        <w:numPr>
          <w:ilvl w:val="0"/>
          <w:numId w:val="114"/>
        </w:numPr>
        <w:tabs>
          <w:tab w:val="left" w:pos="0"/>
        </w:tabs>
        <w:ind w:left="0" w:firstLine="0"/>
        <w:jc w:val="both"/>
        <w:rPr>
          <w:rFonts w:cs="Arial"/>
          <w:lang w:val="es-ES"/>
        </w:rPr>
      </w:pPr>
      <w:r w:rsidRPr="00526311">
        <w:rPr>
          <w:rFonts w:cs="Arial"/>
          <w:lang w:val="es-ES"/>
        </w:rPr>
        <w:t xml:space="preserve">Para comprender mejor las expectativas de los colegas y recabar sus opiniones acerca de la labor de supervisión, la DSI siguió realizando las encuestas de satisfacción de los clientes que inició en 2013.  Dichas encuestas, que mostraron que el índice medio de satisfacción era del 84%, permitieron a la DSI calibrar mejor las expectativas de las partes interesadas respecto de su rendimiento e identificar </w:t>
      </w:r>
      <w:r>
        <w:rPr>
          <w:rFonts w:cs="Arial"/>
          <w:lang w:val="es-ES"/>
        </w:rPr>
        <w:t xml:space="preserve">mejor </w:t>
      </w:r>
      <w:r w:rsidRPr="00526311">
        <w:rPr>
          <w:rFonts w:cs="Arial"/>
          <w:lang w:val="es-ES"/>
        </w:rPr>
        <w:t>los aspectos que requerían mejoras</w:t>
      </w:r>
      <w:r>
        <w:rPr>
          <w:rFonts w:cs="Arial"/>
          <w:lang w:val="es-ES"/>
        </w:rPr>
        <w:t>, a fin de seguir perfeccionando la calidad de su trabajo</w:t>
      </w:r>
      <w:r w:rsidRPr="00526311">
        <w:rPr>
          <w:rFonts w:cs="Arial"/>
          <w:lang w:val="es-ES"/>
        </w:rPr>
        <w:t>.</w:t>
      </w:r>
    </w:p>
    <w:p w:rsidR="00221F0B" w:rsidRPr="00526311" w:rsidRDefault="00221F0B" w:rsidP="00DC1333">
      <w:pPr>
        <w:tabs>
          <w:tab w:val="left" w:pos="709"/>
        </w:tabs>
        <w:jc w:val="both"/>
      </w:pPr>
    </w:p>
    <w:p w:rsidR="00221F0B" w:rsidRPr="00526311" w:rsidRDefault="00221F0B" w:rsidP="00EB45DE">
      <w:pPr>
        <w:pStyle w:val="ListParagraph"/>
        <w:numPr>
          <w:ilvl w:val="0"/>
          <w:numId w:val="114"/>
        </w:numPr>
        <w:ind w:left="0" w:firstLine="0"/>
        <w:jc w:val="both"/>
        <w:rPr>
          <w:rFonts w:cs="Arial"/>
          <w:lang w:val="es-ES"/>
        </w:rPr>
      </w:pPr>
      <w:r>
        <w:rPr>
          <w:rFonts w:cs="Arial"/>
          <w:lang w:val="es-ES"/>
        </w:rPr>
        <w:t>Durante el bienio</w:t>
      </w:r>
      <w:r w:rsidRPr="00526311">
        <w:rPr>
          <w:rFonts w:cs="Arial"/>
          <w:lang w:val="es-ES"/>
        </w:rPr>
        <w:t xml:space="preserve"> la DSI continuó </w:t>
      </w:r>
      <w:r>
        <w:rPr>
          <w:rFonts w:cs="Arial"/>
          <w:lang w:val="es-ES"/>
        </w:rPr>
        <w:t>estableciendo contactos</w:t>
      </w:r>
      <w:r w:rsidRPr="00526311">
        <w:rPr>
          <w:rFonts w:cs="Arial"/>
          <w:lang w:val="es-ES"/>
        </w:rPr>
        <w:t xml:space="preserve"> con el personal, la dirección y los Estados miembros a través de diversas presentaciones y la publicación de </w:t>
      </w:r>
      <w:r>
        <w:rPr>
          <w:rFonts w:cs="Arial"/>
          <w:lang w:val="es-ES"/>
        </w:rPr>
        <w:t>cuatro</w:t>
      </w:r>
      <w:r w:rsidRPr="00526311">
        <w:rPr>
          <w:rFonts w:cs="Arial"/>
          <w:lang w:val="es-ES"/>
        </w:rPr>
        <w:t xml:space="preserve"> boletines de </w:t>
      </w:r>
      <w:r w:rsidRPr="00526311">
        <w:rPr>
          <w:rFonts w:cs="Arial"/>
          <w:lang w:val="es-ES"/>
        </w:rPr>
        <w:lastRenderedPageBreak/>
        <w:t xml:space="preserve">información.  La DSI también organizó la reunión anual de los jefes de servicios de auditoría interna </w:t>
      </w:r>
      <w:r>
        <w:rPr>
          <w:rFonts w:cs="Arial"/>
          <w:lang w:val="es-ES"/>
        </w:rPr>
        <w:t>de</w:t>
      </w:r>
      <w:r w:rsidRPr="00526311">
        <w:rPr>
          <w:rFonts w:cs="Arial"/>
          <w:lang w:val="es-ES"/>
        </w:rPr>
        <w:t xml:space="preserve"> las organizaciones </w:t>
      </w:r>
      <w:r>
        <w:rPr>
          <w:rFonts w:cs="Arial"/>
          <w:lang w:val="es-ES"/>
        </w:rPr>
        <w:t xml:space="preserve">internacionales </w:t>
      </w:r>
      <w:r w:rsidRPr="00526311">
        <w:rPr>
          <w:rFonts w:cs="Arial"/>
          <w:lang w:val="es-ES"/>
        </w:rPr>
        <w:t>con sede en Europa.</w:t>
      </w:r>
    </w:p>
    <w:p w:rsidR="00221F0B" w:rsidRPr="00526311" w:rsidRDefault="00221F0B" w:rsidP="00DC1333">
      <w:pPr>
        <w:jc w:val="both"/>
      </w:pPr>
    </w:p>
    <w:p w:rsidR="00221F0B" w:rsidRPr="00526311" w:rsidRDefault="00221F0B" w:rsidP="00EB45DE">
      <w:pPr>
        <w:pStyle w:val="ListParagraph"/>
        <w:numPr>
          <w:ilvl w:val="0"/>
          <w:numId w:val="114"/>
        </w:numPr>
        <w:ind w:left="0" w:firstLine="0"/>
        <w:jc w:val="both"/>
        <w:rPr>
          <w:rFonts w:cs="Arial"/>
          <w:lang w:val="es-ES"/>
        </w:rPr>
      </w:pPr>
      <w:r w:rsidRPr="00526311">
        <w:rPr>
          <w:rFonts w:cs="Arial"/>
          <w:lang w:val="es-ES"/>
        </w:rPr>
        <w:t xml:space="preserve">La DSI dio seguimiento a las recomendaciones de supervisión formuladas en años anteriores para determinar si la dirección las había puesto en marcha efectivamente y confirmó la ejecución de </w:t>
      </w:r>
      <w:r>
        <w:rPr>
          <w:rFonts w:cs="Arial"/>
          <w:lang w:val="es-ES"/>
        </w:rPr>
        <w:t>186</w:t>
      </w:r>
      <w:r w:rsidRPr="00526311">
        <w:rPr>
          <w:rFonts w:cs="Arial"/>
          <w:lang w:val="es-ES"/>
        </w:rPr>
        <w:t xml:space="preserve"> recomendaciones </w:t>
      </w:r>
      <w:r>
        <w:rPr>
          <w:rFonts w:cs="Arial"/>
          <w:lang w:val="es-ES"/>
        </w:rPr>
        <w:t xml:space="preserve">de supervisión </w:t>
      </w:r>
      <w:r w:rsidRPr="00526311">
        <w:rPr>
          <w:rFonts w:cs="Arial"/>
          <w:lang w:val="es-ES"/>
        </w:rPr>
        <w:t xml:space="preserve">en </w:t>
      </w:r>
      <w:r>
        <w:rPr>
          <w:rFonts w:cs="Arial"/>
          <w:lang w:val="es-ES"/>
        </w:rPr>
        <w:t xml:space="preserve">total (94 en </w:t>
      </w:r>
      <w:r w:rsidRPr="00526311">
        <w:rPr>
          <w:rFonts w:cs="Arial"/>
          <w:lang w:val="es-ES"/>
        </w:rPr>
        <w:t>2014</w:t>
      </w:r>
      <w:r>
        <w:rPr>
          <w:rFonts w:cs="Arial"/>
          <w:lang w:val="es-ES"/>
        </w:rPr>
        <w:t xml:space="preserve"> y 92 en 2015)</w:t>
      </w:r>
      <w:r w:rsidRPr="00526311">
        <w:rPr>
          <w:rFonts w:cs="Arial"/>
          <w:lang w:val="es-ES"/>
        </w:rPr>
        <w:t>.</w:t>
      </w:r>
      <w:r>
        <w:rPr>
          <w:rStyle w:val="FootnoteReference"/>
          <w:rFonts w:cs="Arial"/>
          <w:lang w:val="es-ES"/>
        </w:rPr>
        <w:footnoteReference w:id="145"/>
      </w:r>
      <w:r w:rsidRPr="00526311">
        <w:rPr>
          <w:rFonts w:cs="Arial"/>
          <w:lang w:val="es-ES"/>
        </w:rPr>
        <w:t xml:space="preserve">  La DSI continuó brindando asesoramiento profesional y retroinformación al equipo directivo de la OMPI en relación con</w:t>
      </w:r>
      <w:r>
        <w:rPr>
          <w:rFonts w:cs="Arial"/>
          <w:lang w:val="es-ES"/>
        </w:rPr>
        <w:t xml:space="preserve"> la gobernanza, la gestión de riesgos,</w:t>
      </w:r>
      <w:r w:rsidRPr="00526311">
        <w:rPr>
          <w:rFonts w:cs="Arial"/>
          <w:lang w:val="es-ES"/>
        </w:rPr>
        <w:t xml:space="preserve"> los controles internos </w:t>
      </w:r>
      <w:r>
        <w:rPr>
          <w:rFonts w:cs="Arial"/>
          <w:lang w:val="es-ES"/>
        </w:rPr>
        <w:t>y otras cuestiones</w:t>
      </w:r>
      <w:r w:rsidRPr="00526311">
        <w:rPr>
          <w:rFonts w:cs="Arial"/>
          <w:lang w:val="es-ES"/>
        </w:rPr>
        <w:t xml:space="preserve"> como la elaboración o revisión de políticas</w:t>
      </w:r>
      <w:r>
        <w:rPr>
          <w:rFonts w:cs="Arial"/>
          <w:lang w:val="es-ES"/>
        </w:rPr>
        <w:t>,</w:t>
      </w:r>
      <w:r w:rsidRPr="00526311">
        <w:rPr>
          <w:rFonts w:cs="Arial"/>
          <w:lang w:val="es-ES"/>
        </w:rPr>
        <w:t xml:space="preserve"> </w:t>
      </w:r>
      <w:r>
        <w:rPr>
          <w:rFonts w:cs="Arial"/>
          <w:lang w:val="es-ES"/>
        </w:rPr>
        <w:t xml:space="preserve">órdenes de servicio o directrices </w:t>
      </w:r>
      <w:r w:rsidRPr="00526311">
        <w:rPr>
          <w:rFonts w:cs="Arial"/>
          <w:lang w:val="es-ES"/>
        </w:rPr>
        <w:t>y la preparación de exámenes externos.</w:t>
      </w:r>
    </w:p>
    <w:p w:rsidR="00221F0B" w:rsidRPr="00526311" w:rsidRDefault="00221F0B" w:rsidP="00DC1333">
      <w:pPr>
        <w:jc w:val="both"/>
      </w:pPr>
    </w:p>
    <w:p w:rsidR="00221F0B" w:rsidRPr="00526311" w:rsidRDefault="00221F0B" w:rsidP="00EB45DE">
      <w:pPr>
        <w:pStyle w:val="ListParagraph"/>
        <w:numPr>
          <w:ilvl w:val="0"/>
          <w:numId w:val="114"/>
        </w:numPr>
        <w:ind w:left="0" w:firstLine="0"/>
        <w:jc w:val="both"/>
        <w:rPr>
          <w:rFonts w:cs="Arial"/>
          <w:sz w:val="22"/>
          <w:lang w:val="es-ES"/>
        </w:rPr>
      </w:pPr>
      <w:r w:rsidRPr="00526311">
        <w:rPr>
          <w:rFonts w:cs="Arial"/>
          <w:lang w:val="es-ES"/>
        </w:rPr>
        <w:t>La CCIS siguió examinando detenidamente la labor de la DSI.  La DSI se benefició de las orientaciones de la CCIS para la aplicación de su plan de supervisión.</w:t>
      </w:r>
    </w:p>
    <w:p w:rsidR="00221F0B" w:rsidRPr="00526311" w:rsidRDefault="00221F0B" w:rsidP="00DC1333">
      <w:pPr>
        <w:pStyle w:val="ListParagraph"/>
        <w:ind w:left="0"/>
        <w:jc w:val="both"/>
        <w:rPr>
          <w:rFonts w:cs="Arial"/>
          <w:sz w:val="22"/>
          <w:lang w:val="es-ES"/>
        </w:rPr>
      </w:pPr>
    </w:p>
    <w:p w:rsidR="00221F0B" w:rsidRPr="00526311" w:rsidRDefault="00221F0B" w:rsidP="00DC1333">
      <w:pPr>
        <w:pStyle w:val="ListParagraph"/>
        <w:ind w:left="0"/>
        <w:jc w:val="both"/>
        <w:rPr>
          <w:rFonts w:cs="Arial"/>
          <w:sz w:val="22"/>
          <w:lang w:val="es-ES"/>
        </w:rPr>
      </w:pPr>
    </w:p>
    <w:p w:rsidR="00221F0B" w:rsidRPr="00526311" w:rsidRDefault="008F7CBE" w:rsidP="00DC1333">
      <w:pPr>
        <w:jc w:val="both"/>
      </w:pPr>
      <w:r w:rsidRPr="008F7CBE">
        <w:rPr>
          <w:sz w:val="20"/>
        </w:rPr>
        <w:t>DATOS SOBRE EL RENDIMIENTO</w:t>
      </w:r>
    </w:p>
    <w:p w:rsidR="00221F0B" w:rsidRPr="00526311" w:rsidRDefault="00221F0B" w:rsidP="00DC1333">
      <w:pPr>
        <w:jc w:val="both"/>
      </w:pPr>
    </w:p>
    <w:tbl>
      <w:tblPr>
        <w:tblW w:w="5000"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12"/>
        <w:gridCol w:w="2109"/>
        <w:gridCol w:w="1968"/>
        <w:gridCol w:w="1828"/>
        <w:gridCol w:w="421"/>
        <w:gridCol w:w="1133"/>
      </w:tblGrid>
      <w:tr w:rsidR="00221F0B" w:rsidRPr="00526311" w:rsidTr="00DC1333">
        <w:tc>
          <w:tcPr>
            <w:tcW w:w="5000" w:type="pct"/>
            <w:gridSpan w:val="6"/>
            <w:tcBorders>
              <w:top w:val="single" w:sz="4" w:space="0" w:color="auto"/>
              <w:bottom w:val="single" w:sz="4" w:space="0" w:color="auto"/>
            </w:tcBorders>
            <w:shd w:val="clear" w:color="auto" w:fill="C6D9F1" w:themeFill="text2" w:themeFillTint="33"/>
            <w:vAlign w:val="center"/>
          </w:tcPr>
          <w:p w:rsidR="00221F0B" w:rsidRPr="00526311" w:rsidRDefault="00221F0B" w:rsidP="00DC1333">
            <w:pPr>
              <w:keepNext/>
              <w:keepLines/>
              <w:spacing w:before="120" w:after="120"/>
              <w:ind w:left="2019" w:hanging="2019"/>
              <w:rPr>
                <w:b/>
                <w:bCs/>
                <w:sz w:val="16"/>
                <w:szCs w:val="16"/>
              </w:rPr>
            </w:pPr>
            <w:r w:rsidRPr="00526311">
              <w:rPr>
                <w:b/>
                <w:bCs/>
                <w:sz w:val="16"/>
                <w:szCs w:val="16"/>
              </w:rPr>
              <w:t>Resultado previsto:</w:t>
            </w:r>
            <w:r w:rsidRPr="00526311">
              <w:rPr>
                <w:b/>
                <w:bCs/>
                <w:sz w:val="16"/>
                <w:szCs w:val="16"/>
              </w:rPr>
              <w:tab/>
            </w:r>
            <w:r w:rsidRPr="00526311">
              <w:rPr>
                <w:sz w:val="16"/>
                <w:szCs w:val="16"/>
                <w:lang w:bidi="th-TH"/>
              </w:rPr>
              <w:t>IX.8 Mejor rendición de cuentas, aprendizaje institucional, uso óptimo de los recursos, administración, control interno y buen gobierno gracias a la asistencia que proporciona una supervisión eficaz e independiente</w:t>
            </w:r>
          </w:p>
        </w:tc>
      </w:tr>
      <w:tr w:rsidR="00221F0B" w:rsidRPr="00526311" w:rsidTr="00DC1333">
        <w:tc>
          <w:tcPr>
            <w:tcW w:w="1103" w:type="pct"/>
            <w:tcBorders>
              <w:top w:val="single" w:sz="4" w:space="0" w:color="auto"/>
              <w:left w:val="single" w:sz="4" w:space="0" w:color="auto"/>
              <w:bottom w:val="nil"/>
            </w:tcBorders>
            <w:shd w:val="clear" w:color="auto" w:fill="auto"/>
            <w:vAlign w:val="center"/>
          </w:tcPr>
          <w:p w:rsidR="00221F0B" w:rsidRPr="00526311" w:rsidRDefault="00221F0B" w:rsidP="00DC1333">
            <w:pPr>
              <w:rPr>
                <w:sz w:val="16"/>
                <w:szCs w:val="16"/>
              </w:rPr>
            </w:pPr>
            <w:r w:rsidRPr="00526311">
              <w:rPr>
                <w:b/>
                <w:sz w:val="16"/>
                <w:szCs w:val="16"/>
              </w:rPr>
              <w:t>Indicadores de rendimiento</w:t>
            </w:r>
          </w:p>
        </w:tc>
        <w:tc>
          <w:tcPr>
            <w:tcW w:w="1102" w:type="pct"/>
            <w:tcBorders>
              <w:top w:val="single" w:sz="4" w:space="0" w:color="auto"/>
              <w:bottom w:val="nil"/>
            </w:tcBorders>
            <w:shd w:val="clear" w:color="auto" w:fill="auto"/>
            <w:vAlign w:val="center"/>
          </w:tcPr>
          <w:p w:rsidR="00221F0B" w:rsidRPr="00526311" w:rsidRDefault="00221F0B" w:rsidP="00DC1333">
            <w:pPr>
              <w:rPr>
                <w:b/>
                <w:bCs/>
                <w:sz w:val="16"/>
                <w:szCs w:val="16"/>
              </w:rPr>
            </w:pPr>
            <w:r w:rsidRPr="00526311">
              <w:rPr>
                <w:b/>
                <w:bCs/>
                <w:sz w:val="16"/>
                <w:szCs w:val="16"/>
              </w:rPr>
              <w:t>Referencia</w:t>
            </w:r>
          </w:p>
        </w:tc>
        <w:tc>
          <w:tcPr>
            <w:tcW w:w="1028" w:type="pct"/>
            <w:tcBorders>
              <w:top w:val="single" w:sz="4" w:space="0" w:color="auto"/>
              <w:bottom w:val="nil"/>
            </w:tcBorders>
            <w:shd w:val="clear" w:color="auto" w:fill="auto"/>
            <w:tcMar>
              <w:top w:w="110" w:type="dxa"/>
            </w:tcMar>
            <w:vAlign w:val="center"/>
          </w:tcPr>
          <w:p w:rsidR="00221F0B" w:rsidRPr="00526311" w:rsidRDefault="00221F0B" w:rsidP="00DC1333">
            <w:pPr>
              <w:rPr>
                <w:b/>
                <w:sz w:val="16"/>
                <w:szCs w:val="16"/>
              </w:rPr>
            </w:pPr>
            <w:r w:rsidRPr="00526311">
              <w:rPr>
                <w:b/>
                <w:sz w:val="16"/>
                <w:szCs w:val="16"/>
              </w:rPr>
              <w:t>Objetivos</w:t>
            </w:r>
          </w:p>
        </w:tc>
        <w:tc>
          <w:tcPr>
            <w:tcW w:w="955" w:type="pct"/>
            <w:tcBorders>
              <w:top w:val="single" w:sz="4" w:space="0" w:color="auto"/>
              <w:bottom w:val="nil"/>
            </w:tcBorders>
            <w:shd w:val="clear" w:color="auto" w:fill="FFFFFF"/>
            <w:tcMar>
              <w:top w:w="110" w:type="dxa"/>
            </w:tcMar>
            <w:vAlign w:val="center"/>
          </w:tcPr>
          <w:p w:rsidR="00221F0B" w:rsidRPr="00526311" w:rsidRDefault="00221F0B" w:rsidP="00DC1333">
            <w:pPr>
              <w:rPr>
                <w:sz w:val="16"/>
                <w:szCs w:val="16"/>
              </w:rPr>
            </w:pPr>
            <w:r w:rsidRPr="00526311">
              <w:rPr>
                <w:b/>
                <w:sz w:val="16"/>
                <w:szCs w:val="16"/>
              </w:rPr>
              <w:t>Datos sobre el rendimiento</w:t>
            </w:r>
          </w:p>
        </w:tc>
        <w:tc>
          <w:tcPr>
            <w:tcW w:w="812" w:type="pct"/>
            <w:gridSpan w:val="2"/>
            <w:tcBorders>
              <w:top w:val="single" w:sz="4" w:space="0" w:color="auto"/>
              <w:bottom w:val="nil"/>
              <w:right w:val="single" w:sz="4" w:space="0" w:color="auto"/>
            </w:tcBorders>
            <w:shd w:val="clear" w:color="auto" w:fill="auto"/>
            <w:tcMar>
              <w:top w:w="110" w:type="dxa"/>
            </w:tcMar>
            <w:vAlign w:val="center"/>
          </w:tcPr>
          <w:p w:rsidR="00221F0B" w:rsidRPr="00526311" w:rsidRDefault="00221F0B" w:rsidP="00DC1333">
            <w:pPr>
              <w:keepNext/>
              <w:keepLines/>
              <w:jc w:val="center"/>
              <w:rPr>
                <w:b/>
                <w:bCs/>
                <w:sz w:val="16"/>
                <w:szCs w:val="16"/>
              </w:rPr>
            </w:pPr>
            <w:r w:rsidRPr="00526311">
              <w:rPr>
                <w:b/>
                <w:bCs/>
                <w:sz w:val="16"/>
                <w:szCs w:val="16"/>
              </w:rPr>
              <w:t>Clave de colores</w:t>
            </w:r>
          </w:p>
        </w:tc>
      </w:tr>
      <w:tr w:rsidR="00221F0B" w:rsidRPr="00526311" w:rsidTr="003F4FD4">
        <w:tc>
          <w:tcPr>
            <w:tcW w:w="1103" w:type="pct"/>
            <w:tcBorders>
              <w:top w:val="nil"/>
              <w:left w:val="single" w:sz="4" w:space="0" w:color="auto"/>
              <w:bottom w:val="nil"/>
            </w:tcBorders>
            <w:shd w:val="clear" w:color="auto" w:fill="auto"/>
          </w:tcPr>
          <w:p w:rsidR="00221F0B" w:rsidRPr="00526311" w:rsidRDefault="00221F0B" w:rsidP="00DC1333">
            <w:pPr>
              <w:keepNext/>
              <w:keepLines/>
              <w:rPr>
                <w:sz w:val="16"/>
                <w:szCs w:val="16"/>
                <w:lang w:bidi="th-TH"/>
              </w:rPr>
            </w:pPr>
            <w:r w:rsidRPr="00526311">
              <w:rPr>
                <w:sz w:val="16"/>
                <w:szCs w:val="16"/>
                <w:lang w:bidi="th-TH"/>
              </w:rPr>
              <w:t>Número de interferencias y grado de independencia percibido por las principales partes interesadas</w:t>
            </w:r>
          </w:p>
        </w:tc>
        <w:tc>
          <w:tcPr>
            <w:tcW w:w="1102" w:type="pct"/>
            <w:tcBorders>
              <w:top w:val="nil"/>
              <w:bottom w:val="nil"/>
            </w:tcBorders>
            <w:shd w:val="clear" w:color="auto" w:fill="auto"/>
          </w:tcPr>
          <w:p w:rsidR="00221F0B" w:rsidRPr="00526311" w:rsidRDefault="00221F0B" w:rsidP="00DC1333">
            <w:pPr>
              <w:keepNext/>
              <w:keepLines/>
              <w:rPr>
                <w:i/>
                <w:color w:val="002060"/>
                <w:sz w:val="8"/>
                <w:szCs w:val="8"/>
              </w:rPr>
            </w:pPr>
            <w:r w:rsidRPr="00526311">
              <w:rPr>
                <w:i/>
                <w:iCs/>
                <w:color w:val="002060"/>
                <w:sz w:val="16"/>
                <w:szCs w:val="16"/>
              </w:rPr>
              <w:t>Referencia actualizada a fines de 2013</w:t>
            </w:r>
            <w:proofErr w:type="gramStart"/>
            <w:r w:rsidRPr="00526311">
              <w:rPr>
                <w:i/>
                <w:color w:val="002060"/>
                <w:sz w:val="16"/>
                <w:szCs w:val="16"/>
              </w:rPr>
              <w:t xml:space="preserve">:  </w:t>
            </w:r>
            <w:r w:rsidRPr="00526311">
              <w:rPr>
                <w:sz w:val="16"/>
                <w:szCs w:val="16"/>
                <w:lang w:bidi="th-TH"/>
              </w:rPr>
              <w:t>no</w:t>
            </w:r>
            <w:proofErr w:type="gramEnd"/>
            <w:r w:rsidRPr="00526311">
              <w:rPr>
                <w:sz w:val="16"/>
                <w:szCs w:val="16"/>
                <w:lang w:bidi="th-TH"/>
              </w:rPr>
              <w:t xml:space="preserve"> hay interferencias en la labor de la DSI.</w:t>
            </w:r>
          </w:p>
          <w:p w:rsidR="00221F0B" w:rsidRPr="00526311" w:rsidRDefault="00221F0B" w:rsidP="00DC1333">
            <w:pPr>
              <w:keepNext/>
              <w:keepLines/>
              <w:rPr>
                <w:sz w:val="16"/>
                <w:szCs w:val="16"/>
                <w:lang w:bidi="th-TH"/>
              </w:rPr>
            </w:pPr>
            <w:r w:rsidRPr="00526311">
              <w:rPr>
                <w:i/>
                <w:iCs/>
                <w:sz w:val="16"/>
                <w:szCs w:val="16"/>
              </w:rPr>
              <w:t xml:space="preserve">Referencia original en el </w:t>
            </w:r>
            <w:r w:rsidRPr="00526311">
              <w:rPr>
                <w:i/>
                <w:iCs/>
                <w:sz w:val="16"/>
                <w:szCs w:val="16"/>
              </w:rPr>
              <w:br/>
              <w:t>presupuesto de 2014/15</w:t>
            </w:r>
            <w:r w:rsidRPr="00526311">
              <w:rPr>
                <w:i/>
                <w:sz w:val="16"/>
                <w:szCs w:val="16"/>
              </w:rPr>
              <w:t>:</w:t>
            </w:r>
            <w:r w:rsidRPr="00526311">
              <w:rPr>
                <w:sz w:val="16"/>
                <w:szCs w:val="16"/>
              </w:rPr>
              <w:br/>
            </w:r>
            <w:r w:rsidRPr="00526311">
              <w:rPr>
                <w:sz w:val="16"/>
                <w:szCs w:val="16"/>
                <w:lang w:bidi="th-TH"/>
              </w:rPr>
              <w:t>no hay interferencias en la labor de la DSI</w:t>
            </w:r>
          </w:p>
        </w:tc>
        <w:tc>
          <w:tcPr>
            <w:tcW w:w="1028" w:type="pct"/>
            <w:tcBorders>
              <w:top w:val="nil"/>
              <w:bottom w:val="nil"/>
            </w:tcBorders>
            <w:shd w:val="clear" w:color="auto" w:fill="auto"/>
            <w:tcMar>
              <w:top w:w="110" w:type="dxa"/>
            </w:tcMar>
          </w:tcPr>
          <w:p w:rsidR="00221F0B" w:rsidRPr="00526311" w:rsidRDefault="00221F0B" w:rsidP="00DC1333">
            <w:pPr>
              <w:keepNext/>
              <w:keepLines/>
              <w:rPr>
                <w:sz w:val="16"/>
                <w:szCs w:val="16"/>
                <w:lang w:bidi="th-TH"/>
              </w:rPr>
            </w:pPr>
            <w:r w:rsidRPr="00526311">
              <w:rPr>
                <w:sz w:val="16"/>
                <w:szCs w:val="16"/>
                <w:lang w:bidi="th-TH"/>
              </w:rPr>
              <w:t>Las principales partes interesadas (Clientes/CCIS/Estados miembros) perciben un grado de independencia total</w:t>
            </w:r>
          </w:p>
        </w:tc>
        <w:tc>
          <w:tcPr>
            <w:tcW w:w="955" w:type="pct"/>
            <w:tcBorders>
              <w:top w:val="nil"/>
              <w:bottom w:val="nil"/>
            </w:tcBorders>
            <w:shd w:val="clear" w:color="auto" w:fill="FFFFFF"/>
            <w:tcMar>
              <w:top w:w="110" w:type="dxa"/>
            </w:tcMar>
          </w:tcPr>
          <w:p w:rsidR="00221F0B" w:rsidRDefault="00221F0B" w:rsidP="00DC1333">
            <w:pPr>
              <w:rPr>
                <w:sz w:val="16"/>
                <w:szCs w:val="16"/>
                <w:lang w:bidi="th-TH"/>
              </w:rPr>
            </w:pPr>
            <w:r w:rsidRPr="00526311">
              <w:rPr>
                <w:sz w:val="16"/>
                <w:szCs w:val="16"/>
                <w:lang w:bidi="th-TH"/>
              </w:rPr>
              <w:t>No hay interferencias en la labo</w:t>
            </w:r>
            <w:r>
              <w:rPr>
                <w:sz w:val="16"/>
                <w:szCs w:val="16"/>
                <w:lang w:bidi="th-TH"/>
              </w:rPr>
              <w:t xml:space="preserve">r de la DSI como se refleja en </w:t>
            </w:r>
            <w:r w:rsidRPr="00526311">
              <w:rPr>
                <w:sz w:val="16"/>
                <w:szCs w:val="16"/>
                <w:lang w:bidi="th-TH"/>
              </w:rPr>
              <w:t>l</w:t>
            </w:r>
            <w:r>
              <w:rPr>
                <w:sz w:val="16"/>
                <w:szCs w:val="16"/>
                <w:lang w:bidi="th-TH"/>
              </w:rPr>
              <w:t>os</w:t>
            </w:r>
            <w:r w:rsidRPr="00526311">
              <w:rPr>
                <w:sz w:val="16"/>
                <w:szCs w:val="16"/>
                <w:lang w:bidi="th-TH"/>
              </w:rPr>
              <w:t xml:space="preserve"> informe</w:t>
            </w:r>
            <w:r>
              <w:rPr>
                <w:sz w:val="16"/>
                <w:szCs w:val="16"/>
                <w:lang w:bidi="th-TH"/>
              </w:rPr>
              <w:t>s</w:t>
            </w:r>
            <w:r w:rsidRPr="00526311">
              <w:rPr>
                <w:sz w:val="16"/>
                <w:szCs w:val="16"/>
                <w:lang w:bidi="th-TH"/>
              </w:rPr>
              <w:t xml:space="preserve"> anual</w:t>
            </w:r>
            <w:r>
              <w:rPr>
                <w:sz w:val="16"/>
                <w:szCs w:val="16"/>
                <w:lang w:bidi="th-TH"/>
              </w:rPr>
              <w:t>es</w:t>
            </w:r>
            <w:r w:rsidRPr="00526311">
              <w:rPr>
                <w:sz w:val="16"/>
                <w:szCs w:val="16"/>
                <w:lang w:bidi="th-TH"/>
              </w:rPr>
              <w:t xml:space="preserve"> (WO/PBC/22/4</w:t>
            </w:r>
            <w:r>
              <w:rPr>
                <w:sz w:val="16"/>
                <w:szCs w:val="16"/>
                <w:lang w:bidi="th-TH"/>
              </w:rPr>
              <w:t xml:space="preserve"> y WO/PBC/24/6</w:t>
            </w:r>
            <w:r w:rsidRPr="00526311">
              <w:rPr>
                <w:sz w:val="16"/>
                <w:szCs w:val="16"/>
                <w:lang w:bidi="th-TH"/>
              </w:rPr>
              <w:t>)</w:t>
            </w:r>
            <w:r>
              <w:rPr>
                <w:sz w:val="16"/>
                <w:szCs w:val="16"/>
                <w:lang w:bidi="th-TH"/>
              </w:rPr>
              <w:t>.</w:t>
            </w:r>
          </w:p>
          <w:p w:rsidR="00221F0B" w:rsidRPr="00526311" w:rsidRDefault="00221F0B" w:rsidP="00DC1333">
            <w:pPr>
              <w:rPr>
                <w:sz w:val="16"/>
                <w:szCs w:val="16"/>
                <w:lang w:bidi="th-TH"/>
              </w:rPr>
            </w:pPr>
          </w:p>
          <w:p w:rsidR="00221F0B" w:rsidRDefault="00221F0B" w:rsidP="00DC1333">
            <w:pPr>
              <w:rPr>
                <w:sz w:val="16"/>
                <w:szCs w:val="16"/>
                <w:lang w:bidi="th-TH"/>
              </w:rPr>
            </w:pPr>
            <w:r>
              <w:rPr>
                <w:sz w:val="16"/>
                <w:szCs w:val="16"/>
                <w:lang w:bidi="th-TH"/>
              </w:rPr>
              <w:t>El Director de la DSI se reunió con regularidad con el Director General, la CCIS y con los representantes de los Estados miembros que los solicitaron.</w:t>
            </w:r>
          </w:p>
          <w:p w:rsidR="00221F0B" w:rsidRPr="00526311" w:rsidRDefault="00221F0B" w:rsidP="00DC1333">
            <w:pPr>
              <w:rPr>
                <w:sz w:val="16"/>
                <w:szCs w:val="16"/>
                <w:lang w:bidi="th-TH"/>
              </w:rPr>
            </w:pPr>
          </w:p>
          <w:p w:rsidR="00221F0B" w:rsidRPr="00526311" w:rsidRDefault="00221F0B" w:rsidP="00DC1333">
            <w:pPr>
              <w:rPr>
                <w:sz w:val="16"/>
                <w:szCs w:val="16"/>
                <w:lang w:bidi="th-TH"/>
              </w:rPr>
            </w:pPr>
            <w:r>
              <w:rPr>
                <w:sz w:val="16"/>
                <w:szCs w:val="16"/>
                <w:lang w:bidi="th-TH"/>
              </w:rPr>
              <w:t>Los c</w:t>
            </w:r>
            <w:r w:rsidRPr="00526311">
              <w:rPr>
                <w:sz w:val="16"/>
                <w:szCs w:val="16"/>
                <w:lang w:bidi="th-TH"/>
              </w:rPr>
              <w:t xml:space="preserve">asos de presunta falta de independencia </w:t>
            </w:r>
            <w:r>
              <w:rPr>
                <w:sz w:val="16"/>
                <w:szCs w:val="16"/>
                <w:lang w:bidi="th-TH"/>
              </w:rPr>
              <w:t>se sometieron</w:t>
            </w:r>
            <w:r w:rsidRPr="00526311">
              <w:rPr>
                <w:sz w:val="16"/>
                <w:szCs w:val="16"/>
                <w:lang w:bidi="th-TH"/>
              </w:rPr>
              <w:t xml:space="preserve"> a la </w:t>
            </w:r>
            <w:r>
              <w:rPr>
                <w:sz w:val="16"/>
                <w:szCs w:val="16"/>
                <w:lang w:bidi="th-TH"/>
              </w:rPr>
              <w:t>CCIS,</w:t>
            </w:r>
            <w:r w:rsidRPr="00526311">
              <w:rPr>
                <w:sz w:val="16"/>
                <w:szCs w:val="16"/>
                <w:lang w:bidi="th-TH"/>
              </w:rPr>
              <w:t xml:space="preserve"> según lo previsto en el párrafo 18 de la Carta.</w:t>
            </w:r>
          </w:p>
        </w:tc>
        <w:tc>
          <w:tcPr>
            <w:tcW w:w="812" w:type="pct"/>
            <w:gridSpan w:val="2"/>
            <w:tcBorders>
              <w:top w:val="nil"/>
              <w:bottom w:val="nil"/>
              <w:right w:val="single" w:sz="4" w:space="0" w:color="auto"/>
            </w:tcBorders>
            <w:shd w:val="clear" w:color="auto" w:fill="auto"/>
            <w:tcMar>
              <w:top w:w="110" w:type="dxa"/>
            </w:tcMar>
          </w:tcPr>
          <w:p w:rsidR="00221F0B" w:rsidRPr="00526311" w:rsidRDefault="00221F0B" w:rsidP="00DC1333">
            <w:pPr>
              <w:keepNext/>
              <w:keepLines/>
              <w:ind w:left="-107"/>
              <w:jc w:val="center"/>
              <w:rPr>
                <w:b/>
                <w:bCs/>
                <w:color w:val="00B050"/>
                <w:sz w:val="16"/>
                <w:szCs w:val="16"/>
              </w:rPr>
            </w:pPr>
            <w:r>
              <w:rPr>
                <w:b/>
                <w:color w:val="00B050"/>
                <w:sz w:val="16"/>
                <w:szCs w:val="16"/>
              </w:rPr>
              <w:t>Plenamente logrado</w:t>
            </w:r>
          </w:p>
        </w:tc>
      </w:tr>
      <w:tr w:rsidR="00221F0B" w:rsidRPr="00526311" w:rsidTr="003F4FD4">
        <w:tc>
          <w:tcPr>
            <w:tcW w:w="1103" w:type="pct"/>
            <w:tcBorders>
              <w:top w:val="nil"/>
              <w:left w:val="single" w:sz="4" w:space="0" w:color="auto"/>
              <w:bottom w:val="single" w:sz="4" w:space="0" w:color="auto"/>
            </w:tcBorders>
            <w:shd w:val="clear" w:color="auto" w:fill="auto"/>
          </w:tcPr>
          <w:p w:rsidR="00221F0B" w:rsidRPr="00526311" w:rsidRDefault="00221F0B" w:rsidP="00DC1333">
            <w:pPr>
              <w:rPr>
                <w:sz w:val="16"/>
                <w:szCs w:val="16"/>
                <w:lang w:bidi="th-TH"/>
              </w:rPr>
            </w:pPr>
            <w:r w:rsidRPr="00526311">
              <w:rPr>
                <w:sz w:val="16"/>
                <w:szCs w:val="16"/>
                <w:lang w:bidi="th-TH"/>
              </w:rPr>
              <w:t>Porcentaje de EFICACIA de la labor de la DSI que abarca esferas de alto riesgo y gran pertinencia</w:t>
            </w:r>
          </w:p>
        </w:tc>
        <w:tc>
          <w:tcPr>
            <w:tcW w:w="1102" w:type="pct"/>
            <w:tcBorders>
              <w:top w:val="nil"/>
              <w:bottom w:val="single" w:sz="4" w:space="0" w:color="auto"/>
            </w:tcBorders>
            <w:shd w:val="clear" w:color="auto" w:fill="auto"/>
          </w:tcPr>
          <w:p w:rsidR="00221F0B" w:rsidRPr="00526311" w:rsidRDefault="00221F0B" w:rsidP="00DC1333">
            <w:pPr>
              <w:keepNext/>
              <w:keepLines/>
              <w:rPr>
                <w:i/>
                <w:color w:val="002060"/>
                <w:sz w:val="16"/>
                <w:szCs w:val="16"/>
              </w:rPr>
            </w:pPr>
            <w:r w:rsidRPr="00526311">
              <w:rPr>
                <w:i/>
                <w:iCs/>
                <w:color w:val="002060"/>
                <w:sz w:val="16"/>
                <w:szCs w:val="16"/>
              </w:rPr>
              <w:t>Referencia actualizada a fines de 2013</w:t>
            </w:r>
            <w:r w:rsidRPr="00526311">
              <w:rPr>
                <w:i/>
                <w:color w:val="002060"/>
                <w:sz w:val="16"/>
                <w:szCs w:val="16"/>
              </w:rPr>
              <w:t xml:space="preserve">: </w:t>
            </w:r>
            <w:r w:rsidRPr="00526311">
              <w:rPr>
                <w:i/>
                <w:sz w:val="16"/>
                <w:szCs w:val="16"/>
              </w:rPr>
              <w:t xml:space="preserve"> </w:t>
            </w:r>
            <w:r w:rsidRPr="00526311">
              <w:rPr>
                <w:sz w:val="16"/>
                <w:szCs w:val="16"/>
              </w:rPr>
              <w:t>toda la labor</w:t>
            </w:r>
            <w:r w:rsidRPr="00526311">
              <w:rPr>
                <w:sz w:val="16"/>
                <w:szCs w:val="16"/>
                <w:lang w:bidi="th-TH"/>
              </w:rPr>
              <w:t xml:space="preserve"> (100%) abarca esferas de alto riesgo y gran pertinencia</w:t>
            </w:r>
          </w:p>
          <w:p w:rsidR="00221F0B" w:rsidRPr="00526311" w:rsidRDefault="00221F0B" w:rsidP="00DC1333">
            <w:pPr>
              <w:keepNext/>
              <w:keepLines/>
              <w:rPr>
                <w:i/>
                <w:color w:val="002060"/>
                <w:sz w:val="8"/>
                <w:szCs w:val="8"/>
              </w:rPr>
            </w:pPr>
          </w:p>
          <w:p w:rsidR="00221F0B" w:rsidRPr="00526311" w:rsidRDefault="00221F0B" w:rsidP="00DC1333">
            <w:pPr>
              <w:rPr>
                <w:sz w:val="16"/>
                <w:szCs w:val="16"/>
                <w:lang w:bidi="th-TH"/>
              </w:rPr>
            </w:pPr>
            <w:r w:rsidRPr="00526311">
              <w:rPr>
                <w:i/>
                <w:iCs/>
                <w:sz w:val="16"/>
                <w:szCs w:val="16"/>
              </w:rPr>
              <w:t xml:space="preserve">Referencia original en el </w:t>
            </w:r>
            <w:r w:rsidRPr="00526311">
              <w:rPr>
                <w:i/>
                <w:iCs/>
                <w:sz w:val="16"/>
                <w:szCs w:val="16"/>
              </w:rPr>
              <w:br/>
              <w:t>presupuesto de 2014/15</w:t>
            </w:r>
            <w:r w:rsidRPr="00526311">
              <w:rPr>
                <w:i/>
                <w:sz w:val="16"/>
                <w:szCs w:val="16"/>
              </w:rPr>
              <w:t>:</w:t>
            </w:r>
            <w:r w:rsidRPr="00526311">
              <w:rPr>
                <w:sz w:val="16"/>
                <w:szCs w:val="16"/>
              </w:rPr>
              <w:br/>
            </w:r>
            <w:r w:rsidRPr="00526311">
              <w:rPr>
                <w:sz w:val="16"/>
                <w:szCs w:val="16"/>
                <w:lang w:bidi="th-TH"/>
              </w:rPr>
              <w:t>toda la labor (100%) abarca esferas de alto riesgo y gran pertinencia</w:t>
            </w:r>
          </w:p>
        </w:tc>
        <w:tc>
          <w:tcPr>
            <w:tcW w:w="1028" w:type="pct"/>
            <w:tcBorders>
              <w:top w:val="nil"/>
              <w:bottom w:val="single" w:sz="4" w:space="0" w:color="auto"/>
            </w:tcBorders>
            <w:shd w:val="clear" w:color="auto" w:fill="auto"/>
            <w:tcMar>
              <w:top w:w="110" w:type="dxa"/>
            </w:tcMar>
          </w:tcPr>
          <w:p w:rsidR="00221F0B" w:rsidRPr="00526311" w:rsidRDefault="00221F0B" w:rsidP="00DC1333">
            <w:pPr>
              <w:rPr>
                <w:sz w:val="16"/>
                <w:szCs w:val="16"/>
                <w:lang w:bidi="th-TH"/>
              </w:rPr>
            </w:pPr>
            <w:r w:rsidRPr="00526311">
              <w:rPr>
                <w:sz w:val="16"/>
                <w:szCs w:val="16"/>
                <w:lang w:bidi="th-TH"/>
              </w:rPr>
              <w:t>Toda la labor (100%) abarca esferas de alto riesgo y gran pertinencia</w:t>
            </w:r>
          </w:p>
        </w:tc>
        <w:tc>
          <w:tcPr>
            <w:tcW w:w="955" w:type="pct"/>
            <w:tcBorders>
              <w:top w:val="nil"/>
              <w:bottom w:val="single" w:sz="4" w:space="0" w:color="auto"/>
            </w:tcBorders>
            <w:shd w:val="clear" w:color="auto" w:fill="FFFFFF"/>
            <w:tcMar>
              <w:top w:w="110" w:type="dxa"/>
            </w:tcMar>
          </w:tcPr>
          <w:p w:rsidR="00221F0B" w:rsidRPr="00526311" w:rsidRDefault="00221F0B" w:rsidP="00DC1333">
            <w:pPr>
              <w:rPr>
                <w:sz w:val="16"/>
                <w:szCs w:val="16"/>
              </w:rPr>
            </w:pPr>
            <w:r w:rsidRPr="00526311">
              <w:rPr>
                <w:sz w:val="16"/>
                <w:szCs w:val="16"/>
              </w:rPr>
              <w:t>Toda la labor (100%) abarca esferas de alto riesgo y gran pertinencia</w:t>
            </w:r>
          </w:p>
        </w:tc>
        <w:tc>
          <w:tcPr>
            <w:tcW w:w="812" w:type="pct"/>
            <w:gridSpan w:val="2"/>
            <w:tcBorders>
              <w:top w:val="nil"/>
              <w:bottom w:val="single" w:sz="4" w:space="0" w:color="auto"/>
              <w:right w:val="single" w:sz="4" w:space="0" w:color="auto"/>
            </w:tcBorders>
            <w:shd w:val="clear" w:color="auto" w:fill="auto"/>
            <w:tcMar>
              <w:top w:w="110" w:type="dxa"/>
            </w:tcMar>
          </w:tcPr>
          <w:p w:rsidR="00221F0B" w:rsidRPr="00526311" w:rsidRDefault="00221F0B" w:rsidP="00DC1333">
            <w:pPr>
              <w:keepNext/>
              <w:keepLines/>
              <w:ind w:left="-107"/>
              <w:jc w:val="center"/>
              <w:rPr>
                <w:bCs/>
                <w:color w:val="00B050"/>
                <w:sz w:val="16"/>
                <w:szCs w:val="16"/>
              </w:rPr>
            </w:pPr>
            <w:r>
              <w:rPr>
                <w:b/>
                <w:color w:val="00B050"/>
                <w:sz w:val="16"/>
                <w:szCs w:val="16"/>
              </w:rPr>
              <w:t>Plenamente logrado</w:t>
            </w:r>
          </w:p>
        </w:tc>
      </w:tr>
      <w:tr w:rsidR="00221F0B" w:rsidRPr="00526311" w:rsidTr="003F4FD4">
        <w:tc>
          <w:tcPr>
            <w:tcW w:w="1103" w:type="pct"/>
            <w:tcBorders>
              <w:top w:val="single" w:sz="4" w:space="0" w:color="auto"/>
              <w:left w:val="single" w:sz="4" w:space="0" w:color="auto"/>
              <w:bottom w:val="nil"/>
            </w:tcBorders>
            <w:shd w:val="clear" w:color="auto" w:fill="auto"/>
          </w:tcPr>
          <w:p w:rsidR="00221F0B" w:rsidRPr="00526311" w:rsidRDefault="00221F0B" w:rsidP="003F4FD4">
            <w:pPr>
              <w:keepNext/>
              <w:rPr>
                <w:sz w:val="16"/>
                <w:szCs w:val="16"/>
                <w:lang w:bidi="th-TH"/>
              </w:rPr>
            </w:pPr>
            <w:r w:rsidRPr="00526311">
              <w:rPr>
                <w:sz w:val="16"/>
                <w:szCs w:val="16"/>
                <w:lang w:bidi="th-TH"/>
              </w:rPr>
              <w:lastRenderedPageBreak/>
              <w:t>EFICIENCIA:  a) Finalización puntual y de calidad de los informes de supervisión;  b) Número de auditorías y evaluaciones ejecutadas en relación con el plan de trabajo en materia de supervisión;  c) Número de denuncias/notificaciones de posible conducta indebida que se han tramitado</w:t>
            </w:r>
          </w:p>
        </w:tc>
        <w:tc>
          <w:tcPr>
            <w:tcW w:w="1102" w:type="pct"/>
            <w:tcBorders>
              <w:top w:val="single" w:sz="4" w:space="0" w:color="auto"/>
              <w:bottom w:val="nil"/>
            </w:tcBorders>
            <w:shd w:val="clear" w:color="auto" w:fill="auto"/>
          </w:tcPr>
          <w:p w:rsidR="00221F0B" w:rsidRPr="00526311" w:rsidRDefault="00221F0B" w:rsidP="003F4FD4">
            <w:pPr>
              <w:keepNext/>
              <w:keepLines/>
              <w:rPr>
                <w:color w:val="002060"/>
                <w:sz w:val="16"/>
                <w:szCs w:val="16"/>
              </w:rPr>
            </w:pPr>
            <w:r w:rsidRPr="00526311">
              <w:rPr>
                <w:i/>
                <w:iCs/>
                <w:color w:val="002060"/>
                <w:sz w:val="16"/>
                <w:szCs w:val="16"/>
              </w:rPr>
              <w:t>Referencia actualizada a fines de 2013</w:t>
            </w:r>
            <w:r w:rsidRPr="00526311">
              <w:rPr>
                <w:i/>
                <w:color w:val="002060"/>
                <w:sz w:val="16"/>
                <w:szCs w:val="16"/>
              </w:rPr>
              <w:t xml:space="preserve">:  </w:t>
            </w:r>
            <w:r w:rsidRPr="00526311">
              <w:rPr>
                <w:color w:val="002060"/>
                <w:sz w:val="16"/>
                <w:szCs w:val="16"/>
              </w:rPr>
              <w:t xml:space="preserve">a) </w:t>
            </w:r>
            <w:r w:rsidRPr="00526311">
              <w:rPr>
                <w:bCs/>
                <w:color w:val="002060"/>
                <w:sz w:val="16"/>
                <w:szCs w:val="16"/>
              </w:rPr>
              <w:t>las investigaciones se finalizan como media en tres meses</w:t>
            </w:r>
            <w:r w:rsidRPr="00526311">
              <w:rPr>
                <w:color w:val="002060"/>
                <w:sz w:val="16"/>
                <w:szCs w:val="16"/>
              </w:rPr>
              <w:t>;</w:t>
            </w:r>
          </w:p>
          <w:p w:rsidR="00221F0B" w:rsidRPr="00526311" w:rsidRDefault="00221F0B" w:rsidP="003F4FD4">
            <w:pPr>
              <w:keepNext/>
              <w:keepLines/>
              <w:rPr>
                <w:color w:val="002060"/>
                <w:sz w:val="16"/>
                <w:szCs w:val="16"/>
              </w:rPr>
            </w:pPr>
          </w:p>
          <w:p w:rsidR="00221F0B" w:rsidRPr="00526311" w:rsidRDefault="00221F0B" w:rsidP="003F4FD4">
            <w:pPr>
              <w:keepNext/>
              <w:keepLines/>
              <w:rPr>
                <w:color w:val="002060"/>
                <w:sz w:val="16"/>
                <w:szCs w:val="16"/>
              </w:rPr>
            </w:pPr>
            <w:r w:rsidRPr="00526311">
              <w:rPr>
                <w:color w:val="002060"/>
                <w:sz w:val="16"/>
                <w:szCs w:val="16"/>
              </w:rPr>
              <w:t>b) siete auditorías y dos evaluaciones;</w:t>
            </w:r>
          </w:p>
          <w:p w:rsidR="00221F0B" w:rsidRPr="00526311" w:rsidRDefault="00221F0B" w:rsidP="003F4FD4">
            <w:pPr>
              <w:keepNext/>
              <w:keepLines/>
              <w:rPr>
                <w:color w:val="002060"/>
                <w:sz w:val="16"/>
                <w:szCs w:val="16"/>
              </w:rPr>
            </w:pPr>
          </w:p>
          <w:p w:rsidR="00221F0B" w:rsidRPr="00526311" w:rsidRDefault="00221F0B" w:rsidP="003F4FD4">
            <w:pPr>
              <w:keepNext/>
              <w:keepLines/>
              <w:rPr>
                <w:color w:val="002060"/>
                <w:sz w:val="16"/>
                <w:szCs w:val="16"/>
              </w:rPr>
            </w:pPr>
            <w:r w:rsidRPr="00526311">
              <w:rPr>
                <w:color w:val="002060"/>
                <w:sz w:val="16"/>
                <w:szCs w:val="16"/>
              </w:rPr>
              <w:t>c) 19 investigaciones;</w:t>
            </w:r>
          </w:p>
          <w:p w:rsidR="00221F0B" w:rsidRPr="00526311" w:rsidRDefault="00221F0B" w:rsidP="003F4FD4">
            <w:pPr>
              <w:keepNext/>
              <w:keepLines/>
              <w:rPr>
                <w:color w:val="002060"/>
                <w:sz w:val="16"/>
                <w:szCs w:val="16"/>
              </w:rPr>
            </w:pPr>
          </w:p>
          <w:p w:rsidR="00221F0B" w:rsidRPr="00526311" w:rsidRDefault="00221F0B" w:rsidP="003F4FD4">
            <w:pPr>
              <w:keepNext/>
              <w:keepLines/>
              <w:rPr>
                <w:color w:val="002060"/>
                <w:sz w:val="16"/>
                <w:szCs w:val="16"/>
              </w:rPr>
            </w:pPr>
          </w:p>
          <w:p w:rsidR="00221F0B" w:rsidRPr="00526311" w:rsidRDefault="00221F0B" w:rsidP="003F4FD4">
            <w:pPr>
              <w:keepNext/>
              <w:keepLines/>
              <w:rPr>
                <w:color w:val="002060"/>
                <w:sz w:val="16"/>
                <w:szCs w:val="16"/>
              </w:rPr>
            </w:pPr>
            <w:r w:rsidRPr="00526311">
              <w:rPr>
                <w:color w:val="002060"/>
                <w:sz w:val="16"/>
                <w:szCs w:val="16"/>
              </w:rPr>
              <w:t>d) toda la labor de supervisión se ejecuta conforme a las normas</w:t>
            </w:r>
          </w:p>
          <w:p w:rsidR="00221F0B" w:rsidRPr="00526311" w:rsidRDefault="00221F0B" w:rsidP="003F4FD4">
            <w:pPr>
              <w:keepNext/>
              <w:keepLines/>
              <w:rPr>
                <w:i/>
                <w:color w:val="002060"/>
                <w:sz w:val="8"/>
                <w:szCs w:val="8"/>
              </w:rPr>
            </w:pPr>
          </w:p>
          <w:p w:rsidR="00221F0B" w:rsidRPr="00526311" w:rsidRDefault="00221F0B" w:rsidP="003F4FD4">
            <w:pPr>
              <w:keepNext/>
              <w:rPr>
                <w:sz w:val="16"/>
                <w:szCs w:val="16"/>
                <w:lang w:bidi="th-TH"/>
              </w:rPr>
            </w:pPr>
            <w:r w:rsidRPr="00526311">
              <w:rPr>
                <w:sz w:val="16"/>
                <w:szCs w:val="16"/>
                <w:lang w:bidi="th-TH"/>
              </w:rPr>
              <w:br/>
            </w:r>
          </w:p>
        </w:tc>
        <w:tc>
          <w:tcPr>
            <w:tcW w:w="1028" w:type="pct"/>
            <w:tcBorders>
              <w:top w:val="single" w:sz="4" w:space="0" w:color="auto"/>
              <w:bottom w:val="nil"/>
            </w:tcBorders>
            <w:shd w:val="clear" w:color="auto" w:fill="auto"/>
            <w:tcMar>
              <w:top w:w="110" w:type="dxa"/>
            </w:tcMar>
          </w:tcPr>
          <w:p w:rsidR="00221F0B" w:rsidRPr="00526311" w:rsidRDefault="00221F0B" w:rsidP="003F4FD4">
            <w:pPr>
              <w:keepNext/>
              <w:autoSpaceDE w:val="0"/>
              <w:autoSpaceDN w:val="0"/>
              <w:adjustRightInd w:val="0"/>
              <w:rPr>
                <w:sz w:val="16"/>
                <w:szCs w:val="16"/>
              </w:rPr>
            </w:pPr>
            <w:r w:rsidRPr="00526311">
              <w:rPr>
                <w:sz w:val="16"/>
                <w:szCs w:val="16"/>
              </w:rPr>
              <w:t xml:space="preserve">a) </w:t>
            </w:r>
            <w:r w:rsidRPr="00526311">
              <w:rPr>
                <w:bCs/>
                <w:sz w:val="16"/>
                <w:szCs w:val="16"/>
              </w:rPr>
              <w:t>Las investigaciones se finalizan como media en seis meses, las auditorías y evaluaciones, en cinco meses;</w:t>
            </w:r>
            <w:r w:rsidRPr="00526311">
              <w:rPr>
                <w:sz w:val="16"/>
                <w:szCs w:val="16"/>
              </w:rPr>
              <w:t xml:space="preserve"> </w:t>
            </w:r>
          </w:p>
          <w:p w:rsidR="00221F0B" w:rsidRPr="00526311" w:rsidRDefault="00221F0B" w:rsidP="003F4FD4">
            <w:pPr>
              <w:keepNext/>
              <w:autoSpaceDE w:val="0"/>
              <w:autoSpaceDN w:val="0"/>
              <w:adjustRightInd w:val="0"/>
              <w:rPr>
                <w:sz w:val="16"/>
                <w:szCs w:val="16"/>
              </w:rPr>
            </w:pPr>
          </w:p>
          <w:p w:rsidR="00221F0B" w:rsidRPr="00526311" w:rsidRDefault="00221F0B" w:rsidP="003F4FD4">
            <w:pPr>
              <w:keepNext/>
              <w:autoSpaceDE w:val="0"/>
              <w:autoSpaceDN w:val="0"/>
              <w:adjustRightInd w:val="0"/>
              <w:ind w:right="-107"/>
              <w:rPr>
                <w:sz w:val="16"/>
                <w:szCs w:val="16"/>
              </w:rPr>
            </w:pPr>
            <w:r>
              <w:rPr>
                <w:sz w:val="16"/>
                <w:szCs w:val="16"/>
              </w:rPr>
              <w:t>b) 12 auditorías y 6</w:t>
            </w:r>
            <w:r w:rsidRPr="00526311">
              <w:rPr>
                <w:sz w:val="16"/>
                <w:szCs w:val="16"/>
              </w:rPr>
              <w:t xml:space="preserve"> evaluaciones finalizadas;</w:t>
            </w:r>
            <w:r w:rsidRPr="00526311">
              <w:rPr>
                <w:sz w:val="16"/>
                <w:szCs w:val="16"/>
              </w:rPr>
              <w:br/>
            </w:r>
          </w:p>
          <w:p w:rsidR="00221F0B" w:rsidRPr="00526311" w:rsidRDefault="00221F0B" w:rsidP="003F4FD4">
            <w:pPr>
              <w:keepNext/>
              <w:autoSpaceDE w:val="0"/>
              <w:autoSpaceDN w:val="0"/>
              <w:adjustRightInd w:val="0"/>
              <w:rPr>
                <w:sz w:val="16"/>
                <w:szCs w:val="16"/>
              </w:rPr>
            </w:pPr>
            <w:r w:rsidRPr="00526311">
              <w:rPr>
                <w:sz w:val="16"/>
                <w:szCs w:val="16"/>
              </w:rPr>
              <w:t>c) 15 investigaciones concluidas como mín.;</w:t>
            </w:r>
          </w:p>
          <w:p w:rsidR="00221F0B" w:rsidRPr="00526311" w:rsidRDefault="00221F0B" w:rsidP="003F4FD4">
            <w:pPr>
              <w:keepNext/>
              <w:autoSpaceDE w:val="0"/>
              <w:autoSpaceDN w:val="0"/>
              <w:adjustRightInd w:val="0"/>
              <w:rPr>
                <w:sz w:val="16"/>
                <w:szCs w:val="16"/>
              </w:rPr>
            </w:pPr>
          </w:p>
          <w:p w:rsidR="00221F0B" w:rsidRPr="00526311" w:rsidRDefault="00221F0B" w:rsidP="003F4FD4">
            <w:pPr>
              <w:keepNext/>
              <w:autoSpaceDE w:val="0"/>
              <w:autoSpaceDN w:val="0"/>
              <w:adjustRightInd w:val="0"/>
              <w:rPr>
                <w:sz w:val="16"/>
                <w:szCs w:val="16"/>
              </w:rPr>
            </w:pPr>
            <w:r w:rsidRPr="00526311">
              <w:rPr>
                <w:sz w:val="16"/>
                <w:szCs w:val="16"/>
              </w:rPr>
              <w:t>d) cumplimiento de las normas</w:t>
            </w:r>
          </w:p>
        </w:tc>
        <w:tc>
          <w:tcPr>
            <w:tcW w:w="955" w:type="pct"/>
            <w:tcBorders>
              <w:top w:val="single" w:sz="4" w:space="0" w:color="auto"/>
              <w:bottom w:val="nil"/>
            </w:tcBorders>
            <w:shd w:val="clear" w:color="auto" w:fill="FFFFFF"/>
            <w:tcMar>
              <w:top w:w="110" w:type="dxa"/>
            </w:tcMar>
          </w:tcPr>
          <w:p w:rsidR="00221F0B" w:rsidRDefault="00221F0B" w:rsidP="003F4FD4">
            <w:pPr>
              <w:keepNext/>
              <w:ind w:right="-107"/>
              <w:rPr>
                <w:sz w:val="16"/>
                <w:szCs w:val="16"/>
                <w:lang w:bidi="th-TH"/>
              </w:rPr>
            </w:pPr>
            <w:r>
              <w:rPr>
                <w:sz w:val="16"/>
                <w:szCs w:val="16"/>
                <w:lang w:bidi="th-TH"/>
              </w:rPr>
              <w:t>En 2014/15:</w:t>
            </w:r>
          </w:p>
          <w:p w:rsidR="00221F0B" w:rsidRDefault="00221F0B" w:rsidP="003F4FD4">
            <w:pPr>
              <w:keepNext/>
              <w:ind w:right="-107"/>
              <w:rPr>
                <w:sz w:val="16"/>
                <w:szCs w:val="16"/>
                <w:lang w:bidi="th-TH"/>
              </w:rPr>
            </w:pPr>
          </w:p>
          <w:p w:rsidR="00221F0B" w:rsidRPr="00526311" w:rsidRDefault="00221F0B" w:rsidP="003F4FD4">
            <w:pPr>
              <w:keepNext/>
              <w:ind w:right="-107"/>
              <w:rPr>
                <w:sz w:val="16"/>
                <w:szCs w:val="16"/>
                <w:lang w:bidi="th-TH"/>
              </w:rPr>
            </w:pPr>
            <w:r w:rsidRPr="00526311">
              <w:rPr>
                <w:sz w:val="16"/>
                <w:szCs w:val="16"/>
                <w:lang w:bidi="th-TH"/>
              </w:rPr>
              <w:t>a) las</w:t>
            </w:r>
            <w:r w:rsidRPr="00526311">
              <w:rPr>
                <w:bCs/>
                <w:sz w:val="16"/>
                <w:szCs w:val="16"/>
                <w:lang w:bidi="th-TH"/>
              </w:rPr>
              <w:t xml:space="preserve"> investigaciones </w:t>
            </w:r>
            <w:r>
              <w:rPr>
                <w:bCs/>
                <w:sz w:val="16"/>
                <w:szCs w:val="16"/>
                <w:lang w:bidi="th-TH"/>
              </w:rPr>
              <w:t>iniciadas y concluidas durante el período se finalizaron por lo general</w:t>
            </w:r>
            <w:r w:rsidRPr="00526311">
              <w:rPr>
                <w:bCs/>
                <w:sz w:val="16"/>
                <w:szCs w:val="16"/>
                <w:lang w:bidi="th-TH"/>
              </w:rPr>
              <w:t xml:space="preserve"> en un plazo </w:t>
            </w:r>
            <w:r>
              <w:rPr>
                <w:bCs/>
                <w:sz w:val="16"/>
                <w:szCs w:val="16"/>
                <w:lang w:bidi="th-TH"/>
              </w:rPr>
              <w:t>inferior a cinco meses</w:t>
            </w:r>
            <w:r>
              <w:rPr>
                <w:sz w:val="16"/>
                <w:szCs w:val="16"/>
                <w:lang w:bidi="th-TH"/>
              </w:rPr>
              <w:t>;</w:t>
            </w:r>
          </w:p>
          <w:p w:rsidR="00221F0B" w:rsidRPr="00526311" w:rsidRDefault="00221F0B" w:rsidP="003F4FD4">
            <w:pPr>
              <w:keepNext/>
              <w:rPr>
                <w:sz w:val="16"/>
                <w:szCs w:val="16"/>
                <w:lang w:bidi="th-TH"/>
              </w:rPr>
            </w:pPr>
          </w:p>
          <w:p w:rsidR="00221F0B" w:rsidRPr="00526311" w:rsidRDefault="00221F0B" w:rsidP="003F4FD4">
            <w:pPr>
              <w:keepNext/>
              <w:rPr>
                <w:sz w:val="16"/>
                <w:szCs w:val="16"/>
                <w:lang w:bidi="th-TH"/>
              </w:rPr>
            </w:pPr>
            <w:r w:rsidRPr="00526311">
              <w:rPr>
                <w:sz w:val="16"/>
                <w:szCs w:val="16"/>
                <w:lang w:bidi="th-TH"/>
              </w:rPr>
              <w:t xml:space="preserve">b) finalización de </w:t>
            </w:r>
            <w:r>
              <w:rPr>
                <w:sz w:val="16"/>
                <w:szCs w:val="16"/>
                <w:lang w:bidi="th-TH"/>
              </w:rPr>
              <w:t>13</w:t>
            </w:r>
            <w:r w:rsidRPr="00526311">
              <w:rPr>
                <w:sz w:val="16"/>
                <w:szCs w:val="16"/>
                <w:lang w:bidi="th-TH"/>
              </w:rPr>
              <w:t xml:space="preserve"> informes de auditoría, </w:t>
            </w:r>
            <w:r>
              <w:rPr>
                <w:sz w:val="16"/>
                <w:szCs w:val="16"/>
                <w:lang w:bidi="th-TH"/>
              </w:rPr>
              <w:t>7</w:t>
            </w:r>
            <w:r w:rsidRPr="00526311">
              <w:rPr>
                <w:sz w:val="16"/>
                <w:szCs w:val="16"/>
                <w:lang w:bidi="th-TH"/>
              </w:rPr>
              <w:t xml:space="preserve"> informes de evaluación y el informe de validación del </w:t>
            </w:r>
            <w:r>
              <w:rPr>
                <w:color w:val="000000"/>
                <w:sz w:val="16"/>
                <w:szCs w:val="16"/>
              </w:rPr>
              <w:t>Informe sobre el rendimiento de los programas en</w:t>
            </w:r>
            <w:r w:rsidRPr="00526311">
              <w:rPr>
                <w:sz w:val="16"/>
                <w:szCs w:val="16"/>
                <w:lang w:bidi="th-TH"/>
              </w:rPr>
              <w:t xml:space="preserve"> 2012/13;</w:t>
            </w:r>
          </w:p>
          <w:p w:rsidR="00221F0B" w:rsidRPr="00526311" w:rsidRDefault="00221F0B" w:rsidP="003F4FD4">
            <w:pPr>
              <w:keepNext/>
              <w:rPr>
                <w:sz w:val="16"/>
                <w:szCs w:val="16"/>
                <w:lang w:bidi="th-TH"/>
              </w:rPr>
            </w:pPr>
          </w:p>
        </w:tc>
        <w:tc>
          <w:tcPr>
            <w:tcW w:w="812" w:type="pct"/>
            <w:gridSpan w:val="2"/>
            <w:tcBorders>
              <w:top w:val="single" w:sz="4" w:space="0" w:color="auto"/>
              <w:bottom w:val="nil"/>
              <w:right w:val="single" w:sz="4" w:space="0" w:color="auto"/>
            </w:tcBorders>
            <w:shd w:val="clear" w:color="auto" w:fill="auto"/>
            <w:tcMar>
              <w:top w:w="110" w:type="dxa"/>
            </w:tcMar>
          </w:tcPr>
          <w:p w:rsidR="00221F0B" w:rsidRDefault="00221F0B" w:rsidP="003F4FD4">
            <w:pPr>
              <w:keepNext/>
              <w:keepLines/>
              <w:ind w:left="-107"/>
              <w:jc w:val="center"/>
              <w:rPr>
                <w:b/>
                <w:color w:val="00B050"/>
                <w:sz w:val="16"/>
                <w:szCs w:val="16"/>
              </w:rPr>
            </w:pPr>
          </w:p>
          <w:p w:rsidR="00221F0B" w:rsidRDefault="00221F0B" w:rsidP="003F4FD4">
            <w:pPr>
              <w:keepNext/>
              <w:keepLines/>
              <w:ind w:left="-107"/>
              <w:jc w:val="center"/>
              <w:rPr>
                <w:b/>
                <w:color w:val="00B050"/>
                <w:sz w:val="16"/>
                <w:szCs w:val="16"/>
              </w:rPr>
            </w:pPr>
          </w:p>
          <w:p w:rsidR="00221F0B" w:rsidRDefault="00221F0B" w:rsidP="003F4FD4">
            <w:pPr>
              <w:keepNext/>
              <w:keepLines/>
              <w:ind w:left="-107"/>
              <w:jc w:val="center"/>
              <w:rPr>
                <w:b/>
                <w:color w:val="00B050"/>
                <w:sz w:val="16"/>
                <w:szCs w:val="16"/>
              </w:rPr>
            </w:pPr>
            <w:r>
              <w:rPr>
                <w:b/>
                <w:color w:val="00B050"/>
                <w:sz w:val="16"/>
                <w:szCs w:val="16"/>
              </w:rPr>
              <w:t>Plenamente logrado</w:t>
            </w:r>
          </w:p>
          <w:p w:rsidR="00221F0B" w:rsidRDefault="00221F0B" w:rsidP="003F4FD4">
            <w:pPr>
              <w:keepNext/>
              <w:keepLines/>
              <w:ind w:left="-107"/>
              <w:jc w:val="center"/>
              <w:rPr>
                <w:b/>
                <w:color w:val="00B050"/>
                <w:sz w:val="16"/>
                <w:szCs w:val="16"/>
              </w:rPr>
            </w:pPr>
          </w:p>
          <w:p w:rsidR="00221F0B" w:rsidRDefault="00221F0B" w:rsidP="003F4FD4">
            <w:pPr>
              <w:keepNext/>
              <w:keepLines/>
              <w:ind w:left="-107"/>
              <w:jc w:val="center"/>
              <w:rPr>
                <w:b/>
                <w:color w:val="00B050"/>
                <w:sz w:val="16"/>
                <w:szCs w:val="16"/>
              </w:rPr>
            </w:pPr>
          </w:p>
          <w:p w:rsidR="00221F0B" w:rsidRDefault="00221F0B" w:rsidP="003F4FD4">
            <w:pPr>
              <w:keepNext/>
              <w:keepLines/>
              <w:ind w:left="-107"/>
              <w:jc w:val="center"/>
              <w:rPr>
                <w:b/>
                <w:color w:val="00B050"/>
                <w:sz w:val="16"/>
                <w:szCs w:val="16"/>
              </w:rPr>
            </w:pPr>
          </w:p>
          <w:p w:rsidR="00221F0B" w:rsidRDefault="00221F0B" w:rsidP="003F4FD4">
            <w:pPr>
              <w:keepNext/>
              <w:keepLines/>
              <w:ind w:left="-107"/>
              <w:jc w:val="center"/>
              <w:rPr>
                <w:b/>
                <w:color w:val="00B050"/>
                <w:sz w:val="16"/>
                <w:szCs w:val="16"/>
              </w:rPr>
            </w:pPr>
          </w:p>
          <w:p w:rsidR="00221F0B" w:rsidRDefault="00221F0B" w:rsidP="003F4FD4">
            <w:pPr>
              <w:keepNext/>
              <w:keepLines/>
              <w:ind w:left="-107"/>
              <w:jc w:val="center"/>
              <w:rPr>
                <w:b/>
                <w:color w:val="00B050"/>
                <w:sz w:val="16"/>
                <w:szCs w:val="16"/>
              </w:rPr>
            </w:pPr>
          </w:p>
          <w:p w:rsidR="00221F0B" w:rsidRDefault="00221F0B" w:rsidP="003F4FD4">
            <w:pPr>
              <w:keepNext/>
              <w:keepLines/>
              <w:ind w:left="-107"/>
              <w:jc w:val="center"/>
              <w:rPr>
                <w:b/>
                <w:color w:val="00B050"/>
                <w:sz w:val="16"/>
                <w:szCs w:val="16"/>
              </w:rPr>
            </w:pPr>
          </w:p>
          <w:p w:rsidR="00221F0B" w:rsidRDefault="00221F0B" w:rsidP="003F4FD4">
            <w:pPr>
              <w:keepNext/>
              <w:keepLines/>
              <w:ind w:left="-107"/>
              <w:jc w:val="center"/>
              <w:rPr>
                <w:b/>
                <w:color w:val="00B050"/>
                <w:sz w:val="16"/>
                <w:szCs w:val="16"/>
              </w:rPr>
            </w:pPr>
            <w:r>
              <w:rPr>
                <w:b/>
                <w:color w:val="00B050"/>
                <w:sz w:val="16"/>
                <w:szCs w:val="16"/>
              </w:rPr>
              <w:t>Plenamente logrado</w:t>
            </w:r>
          </w:p>
          <w:p w:rsidR="00221F0B" w:rsidRDefault="00221F0B" w:rsidP="003F4FD4">
            <w:pPr>
              <w:keepNext/>
              <w:keepLines/>
              <w:ind w:left="-107"/>
              <w:jc w:val="center"/>
              <w:rPr>
                <w:b/>
                <w:color w:val="00B050"/>
                <w:sz w:val="16"/>
                <w:szCs w:val="16"/>
              </w:rPr>
            </w:pPr>
          </w:p>
          <w:p w:rsidR="00221F0B" w:rsidRDefault="00221F0B" w:rsidP="003F4FD4">
            <w:pPr>
              <w:keepNext/>
              <w:keepLines/>
              <w:ind w:left="-107"/>
              <w:jc w:val="center"/>
              <w:rPr>
                <w:b/>
                <w:color w:val="00B050"/>
                <w:sz w:val="16"/>
                <w:szCs w:val="16"/>
              </w:rPr>
            </w:pPr>
          </w:p>
          <w:p w:rsidR="00221F0B" w:rsidRDefault="00221F0B" w:rsidP="003F4FD4">
            <w:pPr>
              <w:keepNext/>
              <w:keepLines/>
              <w:ind w:left="-107"/>
              <w:jc w:val="center"/>
              <w:rPr>
                <w:b/>
                <w:color w:val="00B050"/>
                <w:sz w:val="16"/>
                <w:szCs w:val="16"/>
              </w:rPr>
            </w:pPr>
          </w:p>
          <w:p w:rsidR="00221F0B" w:rsidRDefault="00221F0B" w:rsidP="003F4FD4">
            <w:pPr>
              <w:keepNext/>
              <w:keepLines/>
              <w:ind w:left="-107"/>
              <w:jc w:val="center"/>
              <w:rPr>
                <w:b/>
                <w:color w:val="00B050"/>
                <w:sz w:val="16"/>
                <w:szCs w:val="16"/>
              </w:rPr>
            </w:pPr>
          </w:p>
          <w:p w:rsidR="00221F0B" w:rsidRDefault="00221F0B" w:rsidP="003F4FD4">
            <w:pPr>
              <w:keepNext/>
              <w:keepLines/>
              <w:ind w:left="-107"/>
              <w:jc w:val="center"/>
              <w:rPr>
                <w:b/>
                <w:color w:val="00B050"/>
                <w:sz w:val="16"/>
                <w:szCs w:val="16"/>
              </w:rPr>
            </w:pPr>
          </w:p>
          <w:p w:rsidR="00221F0B" w:rsidRDefault="00221F0B" w:rsidP="003F4FD4">
            <w:pPr>
              <w:keepNext/>
              <w:keepLines/>
              <w:ind w:left="-107"/>
              <w:jc w:val="center"/>
              <w:rPr>
                <w:b/>
                <w:color w:val="00B050"/>
                <w:sz w:val="16"/>
                <w:szCs w:val="16"/>
              </w:rPr>
            </w:pPr>
          </w:p>
          <w:p w:rsidR="00221F0B" w:rsidRPr="00526311" w:rsidRDefault="00221F0B" w:rsidP="003F4FD4">
            <w:pPr>
              <w:keepNext/>
              <w:keepLines/>
              <w:ind w:left="-107"/>
              <w:jc w:val="center"/>
              <w:rPr>
                <w:bCs/>
                <w:color w:val="808080"/>
                <w:sz w:val="16"/>
                <w:szCs w:val="16"/>
              </w:rPr>
            </w:pPr>
          </w:p>
        </w:tc>
      </w:tr>
      <w:tr w:rsidR="00221F0B" w:rsidRPr="00526311" w:rsidTr="003F4FD4">
        <w:tc>
          <w:tcPr>
            <w:tcW w:w="1103" w:type="pct"/>
            <w:tcBorders>
              <w:top w:val="nil"/>
              <w:left w:val="single" w:sz="4" w:space="0" w:color="auto"/>
              <w:bottom w:val="nil"/>
            </w:tcBorders>
            <w:shd w:val="clear" w:color="auto" w:fill="auto"/>
            <w:vAlign w:val="center"/>
          </w:tcPr>
          <w:p w:rsidR="00221F0B" w:rsidRPr="00526311" w:rsidRDefault="00221F0B" w:rsidP="003F4FD4">
            <w:pPr>
              <w:keepNext/>
              <w:rPr>
                <w:sz w:val="16"/>
                <w:szCs w:val="16"/>
              </w:rPr>
            </w:pPr>
          </w:p>
        </w:tc>
        <w:tc>
          <w:tcPr>
            <w:tcW w:w="1102" w:type="pct"/>
            <w:tcBorders>
              <w:top w:val="nil"/>
              <w:bottom w:val="nil"/>
            </w:tcBorders>
            <w:shd w:val="clear" w:color="auto" w:fill="auto"/>
            <w:vAlign w:val="center"/>
          </w:tcPr>
          <w:p w:rsidR="00221F0B" w:rsidRPr="00526311" w:rsidRDefault="00221F0B" w:rsidP="003F4FD4">
            <w:pPr>
              <w:keepNext/>
              <w:rPr>
                <w:sz w:val="16"/>
                <w:szCs w:val="16"/>
                <w:lang w:bidi="th-TH"/>
              </w:rPr>
            </w:pPr>
            <w:r w:rsidRPr="00526311">
              <w:rPr>
                <w:i/>
                <w:iCs/>
                <w:sz w:val="16"/>
                <w:szCs w:val="16"/>
              </w:rPr>
              <w:t xml:space="preserve">Referencia original en el </w:t>
            </w:r>
            <w:r w:rsidRPr="00526311">
              <w:rPr>
                <w:i/>
                <w:iCs/>
                <w:sz w:val="16"/>
                <w:szCs w:val="16"/>
              </w:rPr>
              <w:br/>
              <w:t>presupuesto de 2014/15</w:t>
            </w:r>
            <w:r w:rsidRPr="00526311">
              <w:rPr>
                <w:i/>
                <w:sz w:val="16"/>
                <w:szCs w:val="16"/>
              </w:rPr>
              <w:t>:</w:t>
            </w:r>
            <w:r w:rsidRPr="00526311">
              <w:rPr>
                <w:sz w:val="16"/>
                <w:szCs w:val="16"/>
              </w:rPr>
              <w:br/>
            </w:r>
            <w:r w:rsidRPr="00526311">
              <w:rPr>
                <w:sz w:val="16"/>
                <w:szCs w:val="16"/>
                <w:lang w:bidi="th-TH"/>
              </w:rPr>
              <w:t xml:space="preserve">a) las investigaciones, auditorías y evaluaciones se </w:t>
            </w:r>
            <w:r>
              <w:rPr>
                <w:sz w:val="16"/>
                <w:szCs w:val="16"/>
                <w:lang w:bidi="th-TH"/>
              </w:rPr>
              <w:t>llevan a cabo, como media, en diez</w:t>
            </w:r>
            <w:r w:rsidRPr="00526311">
              <w:rPr>
                <w:sz w:val="16"/>
                <w:szCs w:val="16"/>
                <w:lang w:bidi="th-TH"/>
              </w:rPr>
              <w:t xml:space="preserve"> y cinco meses en 2012; </w:t>
            </w:r>
          </w:p>
          <w:p w:rsidR="00221F0B" w:rsidRPr="00526311" w:rsidRDefault="00221F0B" w:rsidP="003F4FD4">
            <w:pPr>
              <w:keepNext/>
              <w:rPr>
                <w:sz w:val="16"/>
                <w:szCs w:val="16"/>
                <w:lang w:bidi="th-TH"/>
              </w:rPr>
            </w:pPr>
            <w:r w:rsidRPr="00526311">
              <w:rPr>
                <w:sz w:val="16"/>
                <w:szCs w:val="16"/>
                <w:lang w:bidi="th-TH"/>
              </w:rPr>
              <w:t xml:space="preserve">b) tres auditorías y cinco evaluaciones realizadas en 2012; </w:t>
            </w:r>
          </w:p>
          <w:p w:rsidR="00221F0B" w:rsidRPr="00526311" w:rsidRDefault="00221F0B" w:rsidP="003F4FD4">
            <w:pPr>
              <w:keepNext/>
              <w:rPr>
                <w:sz w:val="16"/>
                <w:szCs w:val="16"/>
                <w:lang w:bidi="th-TH"/>
              </w:rPr>
            </w:pPr>
            <w:r w:rsidRPr="00526311">
              <w:rPr>
                <w:sz w:val="16"/>
                <w:szCs w:val="16"/>
                <w:lang w:bidi="th-TH"/>
              </w:rPr>
              <w:t xml:space="preserve">c) 15 investigaciones concluidas en 2011 y 23 en 2012; </w:t>
            </w:r>
          </w:p>
          <w:p w:rsidR="00221F0B" w:rsidRPr="00526311" w:rsidRDefault="00221F0B" w:rsidP="003F4FD4">
            <w:pPr>
              <w:keepNext/>
              <w:rPr>
                <w:b/>
                <w:bCs/>
                <w:sz w:val="16"/>
                <w:szCs w:val="16"/>
              </w:rPr>
            </w:pPr>
            <w:r w:rsidRPr="00526311">
              <w:rPr>
                <w:sz w:val="16"/>
                <w:szCs w:val="16"/>
                <w:lang w:bidi="th-TH"/>
              </w:rPr>
              <w:t>d) toda la labor de supervisión se ejecuta conforme a las normas</w:t>
            </w:r>
          </w:p>
        </w:tc>
        <w:tc>
          <w:tcPr>
            <w:tcW w:w="1028" w:type="pct"/>
            <w:tcBorders>
              <w:top w:val="nil"/>
              <w:bottom w:val="nil"/>
            </w:tcBorders>
            <w:shd w:val="clear" w:color="auto" w:fill="auto"/>
            <w:tcMar>
              <w:top w:w="110" w:type="dxa"/>
            </w:tcMar>
            <w:vAlign w:val="center"/>
          </w:tcPr>
          <w:p w:rsidR="00221F0B" w:rsidRPr="00526311" w:rsidRDefault="00221F0B" w:rsidP="003F4FD4">
            <w:pPr>
              <w:keepNext/>
              <w:rPr>
                <w:b/>
                <w:sz w:val="16"/>
                <w:szCs w:val="16"/>
              </w:rPr>
            </w:pPr>
          </w:p>
        </w:tc>
        <w:tc>
          <w:tcPr>
            <w:tcW w:w="955" w:type="pct"/>
            <w:tcBorders>
              <w:top w:val="nil"/>
              <w:bottom w:val="nil"/>
            </w:tcBorders>
            <w:shd w:val="clear" w:color="auto" w:fill="FFFFFF"/>
            <w:tcMar>
              <w:top w:w="110" w:type="dxa"/>
            </w:tcMar>
            <w:vAlign w:val="center"/>
          </w:tcPr>
          <w:p w:rsidR="00221F0B" w:rsidRPr="00526311" w:rsidRDefault="00221F0B" w:rsidP="003F4FD4">
            <w:pPr>
              <w:keepNext/>
              <w:rPr>
                <w:sz w:val="16"/>
                <w:szCs w:val="16"/>
                <w:lang w:bidi="th-TH"/>
              </w:rPr>
            </w:pPr>
            <w:r w:rsidRPr="00526311">
              <w:rPr>
                <w:sz w:val="16"/>
                <w:szCs w:val="16"/>
                <w:lang w:bidi="th-TH"/>
              </w:rPr>
              <w:t xml:space="preserve">c) </w:t>
            </w:r>
            <w:r>
              <w:rPr>
                <w:sz w:val="16"/>
                <w:szCs w:val="16"/>
                <w:lang w:bidi="th-TH"/>
              </w:rPr>
              <w:t>43 investigaciones concluidas durante el período</w:t>
            </w:r>
            <w:r w:rsidRPr="00526311">
              <w:rPr>
                <w:sz w:val="16"/>
                <w:szCs w:val="16"/>
                <w:lang w:bidi="th-TH"/>
              </w:rPr>
              <w:t>;</w:t>
            </w:r>
          </w:p>
          <w:p w:rsidR="00221F0B" w:rsidRPr="00526311" w:rsidRDefault="00221F0B" w:rsidP="003F4FD4">
            <w:pPr>
              <w:keepNext/>
              <w:rPr>
                <w:sz w:val="16"/>
                <w:szCs w:val="16"/>
                <w:lang w:bidi="th-TH"/>
              </w:rPr>
            </w:pPr>
          </w:p>
          <w:p w:rsidR="00221F0B" w:rsidRPr="00526311" w:rsidRDefault="00221F0B" w:rsidP="003F4FD4">
            <w:pPr>
              <w:keepNext/>
              <w:rPr>
                <w:sz w:val="16"/>
                <w:szCs w:val="16"/>
              </w:rPr>
            </w:pPr>
            <w:r w:rsidRPr="00526311">
              <w:rPr>
                <w:sz w:val="16"/>
                <w:szCs w:val="16"/>
                <w:lang w:bidi="th-TH"/>
              </w:rPr>
              <w:t xml:space="preserve">d) cumplimiento </w:t>
            </w:r>
            <w:r>
              <w:rPr>
                <w:sz w:val="16"/>
                <w:szCs w:val="16"/>
                <w:lang w:bidi="th-TH"/>
              </w:rPr>
              <w:t xml:space="preserve">en general </w:t>
            </w:r>
            <w:r w:rsidRPr="00526311">
              <w:rPr>
                <w:sz w:val="16"/>
                <w:szCs w:val="16"/>
                <w:lang w:bidi="th-TH"/>
              </w:rPr>
              <w:t xml:space="preserve">de las normas confirmado por las evaluaciones </w:t>
            </w:r>
            <w:r>
              <w:rPr>
                <w:sz w:val="16"/>
                <w:szCs w:val="16"/>
                <w:lang w:bidi="th-TH"/>
              </w:rPr>
              <w:t>externas de la calidad de las tres funciones</w:t>
            </w:r>
          </w:p>
        </w:tc>
        <w:tc>
          <w:tcPr>
            <w:tcW w:w="812" w:type="pct"/>
            <w:gridSpan w:val="2"/>
            <w:tcBorders>
              <w:top w:val="nil"/>
              <w:bottom w:val="nil"/>
              <w:right w:val="single" w:sz="4" w:space="0" w:color="auto"/>
            </w:tcBorders>
            <w:shd w:val="clear" w:color="auto" w:fill="auto"/>
            <w:tcMar>
              <w:top w:w="110" w:type="dxa"/>
            </w:tcMar>
            <w:vAlign w:val="center"/>
          </w:tcPr>
          <w:p w:rsidR="00221F0B" w:rsidRDefault="00221F0B" w:rsidP="003F4FD4">
            <w:pPr>
              <w:keepNext/>
              <w:keepLines/>
              <w:ind w:left="-107"/>
              <w:jc w:val="center"/>
              <w:rPr>
                <w:b/>
                <w:color w:val="00B050"/>
                <w:sz w:val="16"/>
                <w:szCs w:val="16"/>
              </w:rPr>
            </w:pPr>
          </w:p>
          <w:p w:rsidR="00221F0B" w:rsidRDefault="00221F0B" w:rsidP="003F4FD4">
            <w:pPr>
              <w:keepNext/>
              <w:keepLines/>
              <w:ind w:left="-107"/>
              <w:jc w:val="center"/>
              <w:rPr>
                <w:b/>
                <w:color w:val="00B050"/>
                <w:sz w:val="16"/>
                <w:szCs w:val="16"/>
              </w:rPr>
            </w:pPr>
            <w:r>
              <w:rPr>
                <w:b/>
                <w:color w:val="00B050"/>
                <w:sz w:val="16"/>
                <w:szCs w:val="16"/>
              </w:rPr>
              <w:t>Plenamente logrado</w:t>
            </w:r>
          </w:p>
          <w:p w:rsidR="00221F0B" w:rsidRDefault="00221F0B" w:rsidP="003F4FD4">
            <w:pPr>
              <w:keepNext/>
              <w:keepLines/>
              <w:ind w:left="-107"/>
              <w:jc w:val="center"/>
              <w:rPr>
                <w:b/>
                <w:color w:val="00B050"/>
                <w:sz w:val="16"/>
                <w:szCs w:val="16"/>
              </w:rPr>
            </w:pPr>
          </w:p>
          <w:p w:rsidR="00221F0B" w:rsidRDefault="00221F0B" w:rsidP="003F4FD4">
            <w:pPr>
              <w:keepNext/>
              <w:keepLines/>
              <w:ind w:left="-107"/>
              <w:jc w:val="center"/>
              <w:rPr>
                <w:b/>
                <w:color w:val="00B050"/>
                <w:sz w:val="16"/>
                <w:szCs w:val="16"/>
              </w:rPr>
            </w:pPr>
          </w:p>
          <w:p w:rsidR="00221F0B" w:rsidRDefault="00221F0B" w:rsidP="003F4FD4">
            <w:pPr>
              <w:keepNext/>
              <w:keepLines/>
              <w:ind w:left="-107"/>
              <w:jc w:val="center"/>
              <w:rPr>
                <w:b/>
                <w:color w:val="00B050"/>
                <w:sz w:val="16"/>
                <w:szCs w:val="16"/>
              </w:rPr>
            </w:pPr>
          </w:p>
          <w:p w:rsidR="00221F0B" w:rsidRPr="00526311" w:rsidRDefault="00221F0B" w:rsidP="003F4FD4">
            <w:pPr>
              <w:keepNext/>
              <w:keepLines/>
              <w:jc w:val="center"/>
              <w:rPr>
                <w:b/>
                <w:bCs/>
                <w:sz w:val="16"/>
                <w:szCs w:val="16"/>
              </w:rPr>
            </w:pPr>
            <w:r>
              <w:rPr>
                <w:b/>
                <w:color w:val="00B050"/>
                <w:sz w:val="16"/>
                <w:szCs w:val="16"/>
              </w:rPr>
              <w:t>Plenamente logrado</w:t>
            </w:r>
          </w:p>
        </w:tc>
      </w:tr>
      <w:tr w:rsidR="00221F0B" w:rsidRPr="00526311" w:rsidTr="00DC1333">
        <w:tc>
          <w:tcPr>
            <w:tcW w:w="1103" w:type="pct"/>
            <w:tcBorders>
              <w:top w:val="nil"/>
              <w:left w:val="single" w:sz="4" w:space="0" w:color="auto"/>
              <w:bottom w:val="nil"/>
            </w:tcBorders>
            <w:shd w:val="clear" w:color="auto" w:fill="auto"/>
          </w:tcPr>
          <w:p w:rsidR="00221F0B" w:rsidRPr="00526311" w:rsidRDefault="00221F0B" w:rsidP="00DC1333">
            <w:pPr>
              <w:rPr>
                <w:sz w:val="16"/>
                <w:szCs w:val="16"/>
                <w:lang w:bidi="th-TH"/>
              </w:rPr>
            </w:pPr>
            <w:r w:rsidRPr="00526311">
              <w:rPr>
                <w:sz w:val="16"/>
                <w:szCs w:val="16"/>
                <w:lang w:bidi="th-TH"/>
              </w:rPr>
              <w:t>PERTINENCIA, VALOR AÑADIDO Y ADMINISTRACIÓN - Ahorros o mejoras tangibles en los procedimientos y sistemas</w:t>
            </w:r>
          </w:p>
        </w:tc>
        <w:tc>
          <w:tcPr>
            <w:tcW w:w="1102" w:type="pct"/>
            <w:tcBorders>
              <w:top w:val="nil"/>
              <w:bottom w:val="nil"/>
            </w:tcBorders>
            <w:shd w:val="clear" w:color="auto" w:fill="auto"/>
          </w:tcPr>
          <w:p w:rsidR="00221F0B" w:rsidRPr="00526311" w:rsidRDefault="00221F0B" w:rsidP="00DC1333">
            <w:pPr>
              <w:keepNext/>
              <w:keepLines/>
              <w:rPr>
                <w:i/>
                <w:color w:val="002060"/>
                <w:sz w:val="16"/>
                <w:szCs w:val="16"/>
              </w:rPr>
            </w:pPr>
            <w:r>
              <w:rPr>
                <w:sz w:val="16"/>
                <w:szCs w:val="16"/>
                <w:lang w:bidi="th-TH"/>
              </w:rPr>
              <w:t>Las recomendaciones de la DSI dieron lugar a la publicación de diez órdenes de servicio o circulares informativas a fin de mejorar los controles internos, los procesos y las operaciones institucionales</w:t>
            </w:r>
          </w:p>
        </w:tc>
        <w:tc>
          <w:tcPr>
            <w:tcW w:w="1028" w:type="pct"/>
            <w:tcBorders>
              <w:top w:val="nil"/>
              <w:bottom w:val="nil"/>
            </w:tcBorders>
            <w:shd w:val="clear" w:color="auto" w:fill="auto"/>
            <w:tcMar>
              <w:top w:w="110" w:type="dxa"/>
            </w:tcMar>
          </w:tcPr>
          <w:p w:rsidR="00221F0B" w:rsidRPr="00526311" w:rsidRDefault="00221F0B" w:rsidP="00DC1333">
            <w:pPr>
              <w:autoSpaceDE w:val="0"/>
              <w:autoSpaceDN w:val="0"/>
              <w:adjustRightInd w:val="0"/>
              <w:rPr>
                <w:sz w:val="16"/>
                <w:szCs w:val="16"/>
              </w:rPr>
            </w:pPr>
            <w:r w:rsidRPr="00526311">
              <w:rPr>
                <w:sz w:val="16"/>
                <w:szCs w:val="16"/>
              </w:rPr>
              <w:t>Por determinar</w:t>
            </w:r>
          </w:p>
        </w:tc>
        <w:tc>
          <w:tcPr>
            <w:tcW w:w="1175" w:type="pct"/>
            <w:gridSpan w:val="2"/>
            <w:tcBorders>
              <w:top w:val="nil"/>
              <w:bottom w:val="nil"/>
            </w:tcBorders>
            <w:shd w:val="clear" w:color="auto" w:fill="FFFFFF"/>
            <w:tcMar>
              <w:top w:w="110" w:type="dxa"/>
            </w:tcMar>
          </w:tcPr>
          <w:p w:rsidR="00221F0B" w:rsidRPr="00526311" w:rsidRDefault="00221F0B" w:rsidP="00DC1333">
            <w:pPr>
              <w:rPr>
                <w:sz w:val="16"/>
                <w:szCs w:val="16"/>
                <w:lang w:bidi="th-TH"/>
              </w:rPr>
            </w:pPr>
            <w:r>
              <w:rPr>
                <w:sz w:val="16"/>
                <w:szCs w:val="16"/>
                <w:lang w:bidi="th-TH"/>
              </w:rPr>
              <w:t>Las recomendaciones de la DSI dieron lugar a la publicación de diez órdenes de servicio o circulares informativas a fin de mejorar los controles internos, los procesos y las operaciones institucionales</w:t>
            </w:r>
          </w:p>
        </w:tc>
        <w:tc>
          <w:tcPr>
            <w:tcW w:w="592" w:type="pct"/>
            <w:tcBorders>
              <w:top w:val="nil"/>
              <w:bottom w:val="nil"/>
              <w:right w:val="single" w:sz="4" w:space="0" w:color="auto"/>
            </w:tcBorders>
            <w:shd w:val="clear" w:color="auto" w:fill="auto"/>
            <w:tcMar>
              <w:top w:w="110" w:type="dxa"/>
            </w:tcMar>
          </w:tcPr>
          <w:p w:rsidR="00221F0B" w:rsidRPr="00526311" w:rsidRDefault="00221F0B" w:rsidP="00DC1333">
            <w:pPr>
              <w:keepNext/>
              <w:keepLines/>
              <w:ind w:left="-109"/>
              <w:jc w:val="center"/>
              <w:rPr>
                <w:b/>
                <w:bCs/>
                <w:color w:val="808080"/>
                <w:sz w:val="16"/>
                <w:szCs w:val="16"/>
              </w:rPr>
            </w:pPr>
            <w:r w:rsidRPr="00526311">
              <w:rPr>
                <w:b/>
                <w:bCs/>
                <w:color w:val="A6A6A6" w:themeColor="background1" w:themeShade="A6"/>
                <w:sz w:val="16"/>
                <w:szCs w:val="16"/>
              </w:rPr>
              <w:t>No mensurable</w:t>
            </w:r>
          </w:p>
        </w:tc>
      </w:tr>
      <w:tr w:rsidR="00221F0B" w:rsidRPr="00526311" w:rsidTr="00DC1333">
        <w:trPr>
          <w:trHeight w:val="1546"/>
        </w:trPr>
        <w:tc>
          <w:tcPr>
            <w:tcW w:w="1103" w:type="pct"/>
            <w:tcBorders>
              <w:top w:val="nil"/>
              <w:left w:val="single" w:sz="4" w:space="0" w:color="auto"/>
              <w:bottom w:val="single" w:sz="4" w:space="0" w:color="auto"/>
            </w:tcBorders>
            <w:shd w:val="clear" w:color="auto" w:fill="auto"/>
          </w:tcPr>
          <w:p w:rsidR="00221F0B" w:rsidRPr="00526311" w:rsidRDefault="00221F0B" w:rsidP="00DC1333">
            <w:pPr>
              <w:rPr>
                <w:sz w:val="16"/>
                <w:szCs w:val="16"/>
                <w:lang w:bidi="th-TH"/>
              </w:rPr>
            </w:pPr>
            <w:r w:rsidRPr="00526311">
              <w:rPr>
                <w:sz w:val="16"/>
                <w:szCs w:val="16"/>
                <w:lang w:bidi="th-TH"/>
              </w:rPr>
              <w:t>APRENDIZAJE INSTITUCIONAL:   Adopción de enseñanzas y recomendaciones extraídas de los procesos de supervisión</w:t>
            </w:r>
          </w:p>
        </w:tc>
        <w:tc>
          <w:tcPr>
            <w:tcW w:w="1102" w:type="pct"/>
            <w:tcBorders>
              <w:top w:val="nil"/>
              <w:bottom w:val="single" w:sz="4" w:space="0" w:color="auto"/>
            </w:tcBorders>
            <w:shd w:val="clear" w:color="auto" w:fill="auto"/>
          </w:tcPr>
          <w:p w:rsidR="00221F0B" w:rsidRPr="00526311" w:rsidRDefault="00221F0B" w:rsidP="00DC1333">
            <w:pPr>
              <w:keepNext/>
              <w:keepLines/>
              <w:rPr>
                <w:i/>
                <w:color w:val="002060"/>
                <w:sz w:val="16"/>
                <w:szCs w:val="16"/>
              </w:rPr>
            </w:pPr>
            <w:r w:rsidRPr="00526311">
              <w:rPr>
                <w:sz w:val="16"/>
                <w:szCs w:val="16"/>
                <w:lang w:bidi="th-TH"/>
              </w:rPr>
              <w:t>90% de las recomendaciones aceptadas y 90% de las recomendaciones aplicadas en un plazo de dos años</w:t>
            </w:r>
          </w:p>
        </w:tc>
        <w:tc>
          <w:tcPr>
            <w:tcW w:w="1028" w:type="pct"/>
            <w:tcBorders>
              <w:top w:val="nil"/>
              <w:bottom w:val="single" w:sz="4" w:space="0" w:color="auto"/>
            </w:tcBorders>
            <w:shd w:val="clear" w:color="auto" w:fill="auto"/>
            <w:tcMar>
              <w:top w:w="110" w:type="dxa"/>
            </w:tcMar>
          </w:tcPr>
          <w:p w:rsidR="00221F0B" w:rsidRPr="00526311" w:rsidRDefault="00221F0B" w:rsidP="00DC1333">
            <w:pPr>
              <w:autoSpaceDE w:val="0"/>
              <w:autoSpaceDN w:val="0"/>
              <w:adjustRightInd w:val="0"/>
              <w:rPr>
                <w:sz w:val="16"/>
                <w:szCs w:val="16"/>
              </w:rPr>
            </w:pPr>
            <w:r w:rsidRPr="00526311">
              <w:rPr>
                <w:sz w:val="16"/>
                <w:szCs w:val="16"/>
              </w:rPr>
              <w:t>90% de las recomendaciones aceptadas y 90% de las recomendaciones aplicadas en dos años</w:t>
            </w:r>
          </w:p>
        </w:tc>
        <w:tc>
          <w:tcPr>
            <w:tcW w:w="955" w:type="pct"/>
            <w:tcBorders>
              <w:top w:val="nil"/>
              <w:bottom w:val="single" w:sz="4" w:space="0" w:color="auto"/>
            </w:tcBorders>
            <w:shd w:val="clear" w:color="auto" w:fill="FFFFFF"/>
            <w:tcMar>
              <w:top w:w="110" w:type="dxa"/>
            </w:tcMar>
          </w:tcPr>
          <w:p w:rsidR="00221F0B" w:rsidRDefault="00221F0B" w:rsidP="00DC1333">
            <w:pPr>
              <w:rPr>
                <w:sz w:val="16"/>
                <w:szCs w:val="16"/>
                <w:lang w:bidi="th-TH"/>
              </w:rPr>
            </w:pPr>
            <w:r>
              <w:rPr>
                <w:sz w:val="16"/>
                <w:szCs w:val="16"/>
                <w:lang w:bidi="th-TH"/>
              </w:rPr>
              <w:t xml:space="preserve">Más del 95% </w:t>
            </w:r>
            <w:r w:rsidRPr="00526311">
              <w:rPr>
                <w:sz w:val="16"/>
                <w:szCs w:val="16"/>
                <w:lang w:bidi="th-TH"/>
              </w:rPr>
              <w:t xml:space="preserve">de las recomendaciones </w:t>
            </w:r>
            <w:r>
              <w:rPr>
                <w:sz w:val="16"/>
                <w:szCs w:val="16"/>
                <w:lang w:bidi="th-TH"/>
              </w:rPr>
              <w:t>han sido aceptadas</w:t>
            </w:r>
          </w:p>
          <w:p w:rsidR="00221F0B" w:rsidRDefault="00221F0B" w:rsidP="00DC1333">
            <w:pPr>
              <w:rPr>
                <w:sz w:val="16"/>
                <w:szCs w:val="16"/>
                <w:lang w:bidi="th-TH"/>
              </w:rPr>
            </w:pPr>
          </w:p>
          <w:p w:rsidR="00221F0B" w:rsidRPr="00526311" w:rsidRDefault="00221F0B" w:rsidP="00DC1333">
            <w:pPr>
              <w:rPr>
                <w:sz w:val="16"/>
                <w:szCs w:val="16"/>
                <w:lang w:bidi="th-TH"/>
              </w:rPr>
            </w:pPr>
            <w:r>
              <w:rPr>
                <w:sz w:val="16"/>
                <w:szCs w:val="16"/>
                <w:lang w:bidi="th-TH"/>
              </w:rPr>
              <w:t>El 40% se han aplicado</w:t>
            </w:r>
            <w:r w:rsidRPr="00526311">
              <w:rPr>
                <w:sz w:val="16"/>
                <w:szCs w:val="16"/>
                <w:lang w:bidi="th-TH"/>
              </w:rPr>
              <w:t xml:space="preserve"> en un plazo de dos años</w:t>
            </w:r>
            <w:r>
              <w:rPr>
                <w:sz w:val="16"/>
                <w:szCs w:val="16"/>
                <w:lang w:bidi="th-TH"/>
              </w:rPr>
              <w:t>.</w:t>
            </w:r>
          </w:p>
        </w:tc>
        <w:tc>
          <w:tcPr>
            <w:tcW w:w="812" w:type="pct"/>
            <w:gridSpan w:val="2"/>
            <w:tcBorders>
              <w:top w:val="nil"/>
              <w:bottom w:val="single" w:sz="4" w:space="0" w:color="auto"/>
              <w:right w:val="single" w:sz="4" w:space="0" w:color="auto"/>
            </w:tcBorders>
            <w:shd w:val="clear" w:color="auto" w:fill="auto"/>
            <w:tcMar>
              <w:top w:w="110" w:type="dxa"/>
            </w:tcMar>
          </w:tcPr>
          <w:p w:rsidR="00221F0B" w:rsidRDefault="00221F0B" w:rsidP="00DC1333">
            <w:pPr>
              <w:keepNext/>
              <w:keepLines/>
              <w:ind w:left="-107"/>
              <w:jc w:val="center"/>
              <w:rPr>
                <w:b/>
                <w:color w:val="00B050"/>
                <w:sz w:val="16"/>
                <w:szCs w:val="16"/>
              </w:rPr>
            </w:pPr>
            <w:r>
              <w:rPr>
                <w:b/>
                <w:color w:val="00B050"/>
                <w:sz w:val="16"/>
                <w:szCs w:val="16"/>
              </w:rPr>
              <w:t>Plenamente logrado</w:t>
            </w:r>
          </w:p>
          <w:p w:rsidR="00221F0B" w:rsidRDefault="00221F0B" w:rsidP="00DC1333">
            <w:pPr>
              <w:keepNext/>
              <w:keepLines/>
              <w:ind w:left="-107"/>
              <w:jc w:val="center"/>
              <w:rPr>
                <w:b/>
                <w:color w:val="00B050"/>
                <w:sz w:val="16"/>
                <w:szCs w:val="16"/>
              </w:rPr>
            </w:pPr>
          </w:p>
          <w:p w:rsidR="00221F0B" w:rsidRDefault="00221F0B" w:rsidP="00DC1333">
            <w:pPr>
              <w:keepNext/>
              <w:keepLines/>
              <w:ind w:left="-107"/>
              <w:jc w:val="center"/>
              <w:rPr>
                <w:b/>
                <w:color w:val="00B050"/>
                <w:sz w:val="16"/>
                <w:szCs w:val="16"/>
              </w:rPr>
            </w:pPr>
          </w:p>
          <w:p w:rsidR="00221F0B" w:rsidRPr="00E26524" w:rsidRDefault="00221F0B" w:rsidP="00DC1333">
            <w:pPr>
              <w:keepNext/>
              <w:keepLines/>
              <w:jc w:val="center"/>
              <w:rPr>
                <w:b/>
                <w:bCs/>
                <w:color w:val="E36C0A" w:themeColor="accent6" w:themeShade="BF"/>
                <w:sz w:val="16"/>
                <w:szCs w:val="16"/>
              </w:rPr>
            </w:pPr>
            <w:r>
              <w:rPr>
                <w:b/>
                <w:bCs/>
                <w:color w:val="E36C0A" w:themeColor="accent6" w:themeShade="BF"/>
                <w:sz w:val="16"/>
                <w:szCs w:val="16"/>
              </w:rPr>
              <w:t>Parcialmente logrado</w:t>
            </w:r>
          </w:p>
        </w:tc>
      </w:tr>
    </w:tbl>
    <w:p w:rsidR="00221F0B" w:rsidRDefault="00221F0B" w:rsidP="00DC1333">
      <w:pPr>
        <w:rPr>
          <w:color w:val="000000"/>
        </w:rPr>
      </w:pPr>
    </w:p>
    <w:p w:rsidR="00221F0B" w:rsidRPr="00526311" w:rsidRDefault="00221F0B" w:rsidP="00DC1333">
      <w:pPr>
        <w:rPr>
          <w:color w:val="000000"/>
        </w:rPr>
      </w:pPr>
    </w:p>
    <w:p w:rsidR="00221F0B" w:rsidRPr="00BB185D" w:rsidRDefault="008F7CBE" w:rsidP="00DC1333">
      <w:pPr>
        <w:keepNext/>
        <w:keepLines/>
        <w:rPr>
          <w:color w:val="000000"/>
          <w:szCs w:val="22"/>
        </w:rPr>
      </w:pPr>
      <w:r w:rsidRPr="008F7CBE">
        <w:rPr>
          <w:color w:val="000000"/>
          <w:sz w:val="20"/>
          <w:szCs w:val="22"/>
        </w:rPr>
        <w:t>INFORMACIÓN SOBRE LOS RIESGOS PLANTEADOS EN EL BIENIO</w:t>
      </w:r>
    </w:p>
    <w:p w:rsidR="00221F0B" w:rsidRPr="00BB185D" w:rsidRDefault="00221F0B" w:rsidP="00DC1333">
      <w:pPr>
        <w:keepNext/>
        <w:keepLines/>
        <w:rPr>
          <w:sz w:val="18"/>
        </w:rPr>
      </w:pPr>
    </w:p>
    <w:tbl>
      <w:tblPr>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440"/>
        <w:gridCol w:w="1959"/>
        <w:gridCol w:w="2603"/>
        <w:gridCol w:w="2461"/>
      </w:tblGrid>
      <w:tr w:rsidR="00221F0B" w:rsidRPr="00E17358" w:rsidTr="00DC1333">
        <w:trPr>
          <w:trHeight w:val="424"/>
        </w:trPr>
        <w:tc>
          <w:tcPr>
            <w:tcW w:w="2530" w:type="dxa"/>
            <w:tcBorders>
              <w:top w:val="single" w:sz="4" w:space="0" w:color="auto"/>
              <w:bottom w:val="single" w:sz="4" w:space="0" w:color="auto"/>
            </w:tcBorders>
            <w:shd w:val="clear" w:color="auto" w:fill="C6D9F1" w:themeFill="text2" w:themeFillTint="33"/>
            <w:tcMar>
              <w:top w:w="113" w:type="dxa"/>
              <w:bottom w:w="85" w:type="dxa"/>
            </w:tcMar>
            <w:vAlign w:val="center"/>
          </w:tcPr>
          <w:p w:rsidR="00221F0B" w:rsidRPr="00E17358" w:rsidRDefault="00221F0B" w:rsidP="00DC1333">
            <w:pPr>
              <w:jc w:val="center"/>
              <w:rPr>
                <w:b/>
                <w:sz w:val="18"/>
                <w:szCs w:val="18"/>
              </w:rPr>
            </w:pPr>
            <w:r w:rsidRPr="00D10B62">
              <w:rPr>
                <w:b/>
                <w:bCs/>
                <w:iCs/>
                <w:sz w:val="18"/>
                <w:szCs w:val="18"/>
              </w:rPr>
              <w:t>Riesgos en el logro de los resultados del programa</w:t>
            </w:r>
          </w:p>
        </w:tc>
        <w:tc>
          <w:tcPr>
            <w:tcW w:w="2006" w:type="dxa"/>
            <w:tcBorders>
              <w:top w:val="single" w:sz="4" w:space="0" w:color="auto"/>
              <w:bottom w:val="single" w:sz="4" w:space="0" w:color="auto"/>
            </w:tcBorders>
            <w:shd w:val="clear" w:color="auto" w:fill="C6D9F1" w:themeFill="text2" w:themeFillTint="33"/>
            <w:tcMar>
              <w:top w:w="113" w:type="dxa"/>
              <w:bottom w:w="85" w:type="dxa"/>
            </w:tcMar>
            <w:vAlign w:val="center"/>
          </w:tcPr>
          <w:p w:rsidR="00221F0B" w:rsidRPr="00E17358" w:rsidRDefault="00221F0B" w:rsidP="00DC1333">
            <w:pPr>
              <w:jc w:val="center"/>
              <w:rPr>
                <w:b/>
                <w:sz w:val="18"/>
                <w:szCs w:val="18"/>
              </w:rPr>
            </w:pPr>
            <w:r w:rsidRPr="00D10B62">
              <w:rPr>
                <w:b/>
                <w:bCs/>
                <w:iCs/>
                <w:sz w:val="18"/>
                <w:szCs w:val="18"/>
              </w:rPr>
              <w:t>Planes de mitigación ejecutados o en ejecución</w:t>
            </w:r>
          </w:p>
        </w:tc>
        <w:tc>
          <w:tcPr>
            <w:tcW w:w="2694" w:type="dxa"/>
            <w:tcBorders>
              <w:top w:val="single" w:sz="4" w:space="0" w:color="auto"/>
              <w:bottom w:val="single" w:sz="4" w:space="0" w:color="auto"/>
            </w:tcBorders>
            <w:shd w:val="clear" w:color="auto" w:fill="C6D9F1" w:themeFill="text2" w:themeFillTint="33"/>
          </w:tcPr>
          <w:p w:rsidR="00221F0B" w:rsidRPr="00E17358" w:rsidRDefault="00221F0B" w:rsidP="00DC1333">
            <w:pPr>
              <w:jc w:val="center"/>
              <w:rPr>
                <w:b/>
                <w:bCs/>
                <w:sz w:val="18"/>
                <w:szCs w:val="18"/>
              </w:rPr>
            </w:pPr>
            <w:r w:rsidRPr="00D10B62">
              <w:rPr>
                <w:b/>
                <w:bCs/>
                <w:iCs/>
                <w:sz w:val="18"/>
                <w:szCs w:val="18"/>
              </w:rPr>
              <w:t>Evolución de los riesgos y estrategias de mitigación durante el bienio</w:t>
            </w:r>
          </w:p>
        </w:tc>
        <w:tc>
          <w:tcPr>
            <w:tcW w:w="2551" w:type="dxa"/>
            <w:tcBorders>
              <w:top w:val="single" w:sz="4" w:space="0" w:color="auto"/>
              <w:bottom w:val="single" w:sz="4" w:space="0" w:color="auto"/>
            </w:tcBorders>
            <w:shd w:val="clear" w:color="auto" w:fill="C6D9F1" w:themeFill="text2" w:themeFillTint="33"/>
          </w:tcPr>
          <w:p w:rsidR="00221F0B" w:rsidRPr="00E17358" w:rsidRDefault="00221F0B" w:rsidP="00DC1333">
            <w:pPr>
              <w:jc w:val="center"/>
              <w:rPr>
                <w:b/>
                <w:bCs/>
                <w:sz w:val="18"/>
                <w:szCs w:val="18"/>
              </w:rPr>
            </w:pPr>
            <w:r w:rsidRPr="004520ED">
              <w:rPr>
                <w:b/>
                <w:bCs/>
                <w:sz w:val="18"/>
                <w:szCs w:val="18"/>
              </w:rPr>
              <w:t>Incidencia en el rendimiento del programa</w:t>
            </w:r>
          </w:p>
        </w:tc>
      </w:tr>
      <w:tr w:rsidR="00221F0B" w:rsidRPr="00B63825" w:rsidTr="00DC1333">
        <w:trPr>
          <w:trHeight w:val="799"/>
        </w:trPr>
        <w:tc>
          <w:tcPr>
            <w:tcW w:w="2530" w:type="dxa"/>
            <w:tcBorders>
              <w:top w:val="single" w:sz="4" w:space="0" w:color="auto"/>
            </w:tcBorders>
            <w:shd w:val="clear" w:color="auto" w:fill="auto"/>
            <w:tcMar>
              <w:top w:w="113" w:type="dxa"/>
              <w:bottom w:w="85" w:type="dxa"/>
            </w:tcMar>
          </w:tcPr>
          <w:p w:rsidR="00221F0B" w:rsidRPr="00E5288B" w:rsidRDefault="00221F0B" w:rsidP="00DC1333">
            <w:pPr>
              <w:rPr>
                <w:bCs/>
                <w:i/>
                <w:iCs/>
                <w:sz w:val="16"/>
                <w:szCs w:val="16"/>
              </w:rPr>
            </w:pPr>
            <w:r w:rsidRPr="00E17358">
              <w:rPr>
                <w:sz w:val="16"/>
                <w:szCs w:val="16"/>
              </w:rPr>
              <w:t>La actividad de supervisión interna no es inde</w:t>
            </w:r>
            <w:r>
              <w:rPr>
                <w:sz w:val="16"/>
                <w:szCs w:val="16"/>
              </w:rPr>
              <w:t>pendiente y el personal de la D</w:t>
            </w:r>
            <w:r w:rsidRPr="00E17358">
              <w:rPr>
                <w:sz w:val="16"/>
                <w:szCs w:val="16"/>
              </w:rPr>
              <w:t>SI no actúa con objetividad al cumplir con su labor.  Estarían en peligro la imparcialidad y la credibilidad de la labor ejecutada.  Se menoscabaría la confianza en la función de supervisión.</w:t>
            </w:r>
          </w:p>
        </w:tc>
        <w:tc>
          <w:tcPr>
            <w:tcW w:w="2006" w:type="dxa"/>
            <w:tcBorders>
              <w:top w:val="single" w:sz="4" w:space="0" w:color="auto"/>
            </w:tcBorders>
            <w:shd w:val="clear" w:color="auto" w:fill="auto"/>
            <w:tcMar>
              <w:top w:w="113" w:type="dxa"/>
              <w:bottom w:w="85" w:type="dxa"/>
            </w:tcMar>
          </w:tcPr>
          <w:p w:rsidR="00221F0B" w:rsidRPr="00D50388" w:rsidRDefault="00221F0B" w:rsidP="00DC1333">
            <w:pPr>
              <w:rPr>
                <w:bCs/>
                <w:i/>
                <w:iCs/>
                <w:sz w:val="16"/>
                <w:szCs w:val="16"/>
              </w:rPr>
            </w:pPr>
            <w:r>
              <w:rPr>
                <w:sz w:val="16"/>
                <w:szCs w:val="16"/>
              </w:rPr>
              <w:t>La D</w:t>
            </w:r>
            <w:r w:rsidRPr="00D50388">
              <w:rPr>
                <w:sz w:val="16"/>
                <w:szCs w:val="16"/>
              </w:rPr>
              <w:t>SI y su personal observarán la Carta de Supervisión Interna, presentará</w:t>
            </w:r>
            <w:r>
              <w:rPr>
                <w:sz w:val="16"/>
                <w:szCs w:val="16"/>
              </w:rPr>
              <w:t>n informes periódicos a la CCIS</w:t>
            </w:r>
            <w:r w:rsidRPr="00D50388">
              <w:rPr>
                <w:sz w:val="16"/>
                <w:szCs w:val="16"/>
              </w:rPr>
              <w:t xml:space="preserve"> e informes anuales sobre su independencia a</w:t>
            </w:r>
            <w:r>
              <w:rPr>
                <w:sz w:val="16"/>
                <w:szCs w:val="16"/>
              </w:rPr>
              <w:t xml:space="preserve"> la Asamblea General de la OMPI</w:t>
            </w:r>
          </w:p>
        </w:tc>
        <w:tc>
          <w:tcPr>
            <w:tcW w:w="2694" w:type="dxa"/>
            <w:tcBorders>
              <w:top w:val="single" w:sz="4" w:space="0" w:color="auto"/>
            </w:tcBorders>
          </w:tcPr>
          <w:p w:rsidR="00221F0B" w:rsidRPr="0009299D" w:rsidRDefault="00221F0B" w:rsidP="00DC1333">
            <w:pPr>
              <w:rPr>
                <w:sz w:val="16"/>
                <w:szCs w:val="16"/>
              </w:rPr>
            </w:pPr>
            <w:r>
              <w:rPr>
                <w:sz w:val="16"/>
                <w:szCs w:val="16"/>
              </w:rPr>
              <w:t>La DSI y su personal observa</w:t>
            </w:r>
            <w:r w:rsidRPr="00D50388">
              <w:rPr>
                <w:sz w:val="16"/>
                <w:szCs w:val="16"/>
              </w:rPr>
              <w:t>n la Carta de Supervisión Interna</w:t>
            </w:r>
            <w:r w:rsidRPr="00B228D9">
              <w:rPr>
                <w:sz w:val="16"/>
                <w:szCs w:val="16"/>
              </w:rPr>
              <w:t xml:space="preserve"> y los c</w:t>
            </w:r>
            <w:r>
              <w:rPr>
                <w:sz w:val="16"/>
                <w:szCs w:val="16"/>
              </w:rPr>
              <w:t xml:space="preserve">ódigos de conducta profesional, según corresponda.  Durante el bienio, los casos en que el Director o el personal de la DSI percibieron que podía haber conflicto de intereses se remitieron a la CCIS, de conformidad con el párrafo 18 de </w:t>
            </w:r>
            <w:r>
              <w:rPr>
                <w:sz w:val="16"/>
                <w:szCs w:val="16"/>
              </w:rPr>
              <w:lastRenderedPageBreak/>
              <w:t>la Carta, a fin de que los asesorara sobre la manera de proceder.</w:t>
            </w:r>
          </w:p>
        </w:tc>
        <w:tc>
          <w:tcPr>
            <w:tcW w:w="2551" w:type="dxa"/>
            <w:tcBorders>
              <w:top w:val="single" w:sz="4" w:space="0" w:color="auto"/>
            </w:tcBorders>
          </w:tcPr>
          <w:p w:rsidR="00221F0B" w:rsidRPr="00B63825" w:rsidRDefault="00221F0B" w:rsidP="00DC1333">
            <w:pPr>
              <w:rPr>
                <w:sz w:val="16"/>
                <w:szCs w:val="16"/>
              </w:rPr>
            </w:pPr>
            <w:r w:rsidRPr="00B63825">
              <w:rPr>
                <w:sz w:val="16"/>
                <w:szCs w:val="16"/>
              </w:rPr>
              <w:lastRenderedPageBreak/>
              <w:t>Los planes de mitigación ejecutados permitieron reducir al mínimo la incidencia en el logro de los resultados previstos del programa</w:t>
            </w:r>
          </w:p>
        </w:tc>
      </w:tr>
      <w:tr w:rsidR="00221F0B" w:rsidRPr="00B63825" w:rsidTr="00DC1333">
        <w:trPr>
          <w:trHeight w:val="937"/>
        </w:trPr>
        <w:tc>
          <w:tcPr>
            <w:tcW w:w="2530" w:type="dxa"/>
            <w:shd w:val="clear" w:color="auto" w:fill="auto"/>
            <w:tcMar>
              <w:top w:w="113" w:type="dxa"/>
              <w:bottom w:w="85" w:type="dxa"/>
            </w:tcMar>
          </w:tcPr>
          <w:p w:rsidR="00221F0B" w:rsidRPr="00D50388" w:rsidRDefault="00221F0B" w:rsidP="00DC1333">
            <w:pPr>
              <w:rPr>
                <w:sz w:val="16"/>
                <w:szCs w:val="16"/>
              </w:rPr>
            </w:pPr>
            <w:r>
              <w:rPr>
                <w:sz w:val="16"/>
                <w:szCs w:val="16"/>
              </w:rPr>
              <w:lastRenderedPageBreak/>
              <w:t>La labor de la D</w:t>
            </w:r>
            <w:r w:rsidRPr="00D50388">
              <w:rPr>
                <w:sz w:val="16"/>
                <w:szCs w:val="16"/>
              </w:rPr>
              <w:t>SI no es pertinente y no ayuda a la consecución de los</w:t>
            </w:r>
            <w:r>
              <w:rPr>
                <w:sz w:val="16"/>
                <w:szCs w:val="16"/>
              </w:rPr>
              <w:t xml:space="preserve"> resultados de la Organización.  </w:t>
            </w:r>
            <w:r w:rsidRPr="00D50388">
              <w:rPr>
                <w:sz w:val="16"/>
                <w:szCs w:val="16"/>
              </w:rPr>
              <w:t>El plan de supervisión no comprende esferas de interés para la Organizació</w:t>
            </w:r>
            <w:r>
              <w:rPr>
                <w:sz w:val="16"/>
                <w:szCs w:val="16"/>
              </w:rPr>
              <w:t xml:space="preserve">n en el logro de sus objetivos.  </w:t>
            </w:r>
            <w:r w:rsidRPr="00D50388">
              <w:rPr>
                <w:sz w:val="16"/>
                <w:szCs w:val="16"/>
              </w:rPr>
              <w:t>Las investigaciones no se llevan a cabo de manera puntual.</w:t>
            </w:r>
          </w:p>
        </w:tc>
        <w:tc>
          <w:tcPr>
            <w:tcW w:w="2006" w:type="dxa"/>
            <w:shd w:val="clear" w:color="auto" w:fill="auto"/>
            <w:tcMar>
              <w:top w:w="113" w:type="dxa"/>
              <w:bottom w:w="85" w:type="dxa"/>
            </w:tcMar>
          </w:tcPr>
          <w:p w:rsidR="00221F0B" w:rsidRPr="00D50388" w:rsidRDefault="00221F0B" w:rsidP="00DC1333">
            <w:pPr>
              <w:rPr>
                <w:sz w:val="16"/>
                <w:szCs w:val="16"/>
              </w:rPr>
            </w:pPr>
            <w:r w:rsidRPr="00D50388">
              <w:rPr>
                <w:sz w:val="16"/>
                <w:szCs w:val="16"/>
              </w:rPr>
              <w:t xml:space="preserve">Planificación profesional de las auditorías, evaluaciones e investigaciones; </w:t>
            </w:r>
            <w:r>
              <w:rPr>
                <w:sz w:val="16"/>
                <w:szCs w:val="16"/>
              </w:rPr>
              <w:t xml:space="preserve"> </w:t>
            </w:r>
            <w:r w:rsidRPr="00D50388">
              <w:rPr>
                <w:sz w:val="16"/>
                <w:szCs w:val="16"/>
              </w:rPr>
              <w:t xml:space="preserve">aportaciones del Director General, el personal directivo superior, y los Estados miembros al plan de supervisión; </w:t>
            </w:r>
            <w:r>
              <w:rPr>
                <w:sz w:val="16"/>
                <w:szCs w:val="16"/>
              </w:rPr>
              <w:t xml:space="preserve"> </w:t>
            </w:r>
            <w:r w:rsidRPr="00D50388">
              <w:rPr>
                <w:sz w:val="16"/>
                <w:szCs w:val="16"/>
              </w:rPr>
              <w:t>coordinación con otros sectores.</w:t>
            </w:r>
          </w:p>
        </w:tc>
        <w:tc>
          <w:tcPr>
            <w:tcW w:w="2694" w:type="dxa"/>
          </w:tcPr>
          <w:p w:rsidR="00221F0B" w:rsidRPr="00F001D5" w:rsidRDefault="00221F0B" w:rsidP="00DC1333">
            <w:pPr>
              <w:rPr>
                <w:sz w:val="16"/>
                <w:szCs w:val="16"/>
              </w:rPr>
            </w:pPr>
            <w:r w:rsidRPr="00F001D5">
              <w:rPr>
                <w:sz w:val="16"/>
                <w:szCs w:val="16"/>
              </w:rPr>
              <w:t>El plan de supervisión de la DSI fue elaborado sobre la base de su metodología de evaluación de riesgos y los registros de riesgos institucionales de la OMPI, teniendo en cuenta las entidades operativas de la OMPI y los correspondientes procesos de trabajo, así como la información recibida de los Estados miembros, la CCIS, el personal directiv</w:t>
            </w:r>
            <w:r>
              <w:rPr>
                <w:sz w:val="16"/>
                <w:szCs w:val="16"/>
              </w:rPr>
              <w:t>o superior y el Auditor Externo.</w:t>
            </w:r>
          </w:p>
          <w:p w:rsidR="00221F0B" w:rsidRPr="00F001D5" w:rsidRDefault="00221F0B" w:rsidP="00DC1333">
            <w:pPr>
              <w:rPr>
                <w:sz w:val="16"/>
                <w:szCs w:val="16"/>
              </w:rPr>
            </w:pPr>
          </w:p>
          <w:p w:rsidR="00221F0B" w:rsidRPr="00F001D5" w:rsidRDefault="00221F0B" w:rsidP="00DC1333">
            <w:pPr>
              <w:rPr>
                <w:sz w:val="16"/>
                <w:szCs w:val="16"/>
              </w:rPr>
            </w:pPr>
            <w:r w:rsidRPr="00F001D5">
              <w:rPr>
                <w:sz w:val="16"/>
                <w:szCs w:val="16"/>
              </w:rPr>
              <w:t xml:space="preserve">Durante el bienio 2014/15 la DSI </w:t>
            </w:r>
            <w:r>
              <w:rPr>
                <w:sz w:val="16"/>
                <w:szCs w:val="16"/>
              </w:rPr>
              <w:t>tuvo</w:t>
            </w:r>
            <w:r w:rsidRPr="00F001D5">
              <w:rPr>
                <w:sz w:val="16"/>
                <w:szCs w:val="16"/>
              </w:rPr>
              <w:t xml:space="preserve"> dificultades para </w:t>
            </w:r>
            <w:r>
              <w:rPr>
                <w:sz w:val="16"/>
                <w:szCs w:val="16"/>
              </w:rPr>
              <w:t>finaliza</w:t>
            </w:r>
            <w:r w:rsidRPr="00F001D5">
              <w:rPr>
                <w:sz w:val="16"/>
                <w:szCs w:val="16"/>
              </w:rPr>
              <w:t>r las investigaciones de forma puntual debido a</w:t>
            </w:r>
            <w:proofErr w:type="gramStart"/>
            <w:r w:rsidRPr="00F001D5">
              <w:rPr>
                <w:sz w:val="16"/>
                <w:szCs w:val="16"/>
              </w:rPr>
              <w:t>:  i</w:t>
            </w:r>
            <w:proofErr w:type="gramEnd"/>
            <w:r w:rsidRPr="00F001D5">
              <w:rPr>
                <w:sz w:val="16"/>
                <w:szCs w:val="16"/>
              </w:rPr>
              <w:t>) un aumento del número de investigaciones, ii) falta de cooperación por parte de miembros del personal, así como ii</w:t>
            </w:r>
            <w:r>
              <w:rPr>
                <w:sz w:val="16"/>
                <w:szCs w:val="16"/>
              </w:rPr>
              <w:t>i</w:t>
            </w:r>
            <w:r w:rsidRPr="00F001D5">
              <w:rPr>
                <w:sz w:val="16"/>
                <w:szCs w:val="16"/>
              </w:rPr>
              <w:t xml:space="preserve">) </w:t>
            </w:r>
            <w:r>
              <w:rPr>
                <w:sz w:val="16"/>
                <w:szCs w:val="16"/>
              </w:rPr>
              <w:t xml:space="preserve">escasez de personal para hacer frente al aumento del volumen de trabajo.  </w:t>
            </w:r>
            <w:r w:rsidRPr="00F001D5">
              <w:rPr>
                <w:sz w:val="16"/>
                <w:szCs w:val="16"/>
              </w:rPr>
              <w:t>Para mitigar el riesgo se recurrió a modalidades flexibles de contratación</w:t>
            </w:r>
            <w:r>
              <w:rPr>
                <w:sz w:val="16"/>
                <w:szCs w:val="16"/>
              </w:rPr>
              <w:t>,</w:t>
            </w:r>
            <w:r w:rsidRPr="00F001D5">
              <w:rPr>
                <w:sz w:val="16"/>
                <w:szCs w:val="16"/>
              </w:rPr>
              <w:t xml:space="preserve"> a fin de administrar el aumento del volumen de trabajo de investigación</w:t>
            </w:r>
          </w:p>
        </w:tc>
        <w:tc>
          <w:tcPr>
            <w:tcW w:w="2551" w:type="dxa"/>
          </w:tcPr>
          <w:p w:rsidR="00221F0B" w:rsidRPr="00B63825" w:rsidRDefault="00221F0B" w:rsidP="00DC1333">
            <w:pPr>
              <w:rPr>
                <w:sz w:val="16"/>
                <w:szCs w:val="16"/>
              </w:rPr>
            </w:pPr>
            <w:r w:rsidRPr="00B63825">
              <w:rPr>
                <w:sz w:val="16"/>
                <w:szCs w:val="16"/>
              </w:rPr>
              <w:t>A</w:t>
            </w:r>
            <w:r>
              <w:rPr>
                <w:sz w:val="16"/>
                <w:szCs w:val="16"/>
              </w:rPr>
              <w:t xml:space="preserve"> pesar del aumento del plazo medio de finalización de las investigaciones en comparación con la referencia de 2013,</w:t>
            </w:r>
            <w:r w:rsidRPr="00B63825">
              <w:rPr>
                <w:sz w:val="16"/>
                <w:szCs w:val="16"/>
              </w:rPr>
              <w:t xml:space="preserve"> todos los casos de investigación se concluyeron dentro de los plazos establecidos en la Política de Investigación de la OMPI</w:t>
            </w:r>
            <w:r>
              <w:rPr>
                <w:sz w:val="16"/>
                <w:szCs w:val="16"/>
              </w:rPr>
              <w:t xml:space="preserve"> y se logró plenamente la meta fijada para el bienio</w:t>
            </w:r>
            <w:r w:rsidRPr="00B63825">
              <w:rPr>
                <w:sz w:val="16"/>
                <w:szCs w:val="16"/>
              </w:rPr>
              <w:t>.</w:t>
            </w:r>
          </w:p>
        </w:tc>
      </w:tr>
    </w:tbl>
    <w:p w:rsidR="00221F0B" w:rsidRDefault="00221F0B" w:rsidP="00DC1333"/>
    <w:p w:rsidR="00221F0B" w:rsidRPr="00B63825" w:rsidRDefault="00221F0B" w:rsidP="00DC1333"/>
    <w:p w:rsidR="00221F0B" w:rsidRPr="00526311" w:rsidRDefault="00403D2C" w:rsidP="00DC1333">
      <w:pPr>
        <w:rPr>
          <w:b/>
          <w:szCs w:val="22"/>
        </w:rPr>
      </w:pPr>
      <w:r w:rsidRPr="00403D2C">
        <w:rPr>
          <w:sz w:val="20"/>
          <w:szCs w:val="22"/>
        </w:rPr>
        <w:t>UTILIZACIÓN DE LOS RECURSOS</w:t>
      </w:r>
    </w:p>
    <w:p w:rsidR="00221F0B" w:rsidRPr="00526311" w:rsidRDefault="00221F0B" w:rsidP="00DC1333"/>
    <w:p w:rsidR="00221F0B" w:rsidRPr="00526311" w:rsidRDefault="00221F0B" w:rsidP="00DC1333">
      <w:pPr>
        <w:pStyle w:val="NormalWeb"/>
        <w:spacing w:before="0" w:beforeAutospacing="0" w:after="0" w:afterAutospacing="0"/>
        <w:jc w:val="center"/>
        <w:rPr>
          <w:sz w:val="20"/>
          <w:szCs w:val="20"/>
          <w:lang w:val="es-ES"/>
        </w:rPr>
      </w:pPr>
      <w:r w:rsidRPr="00526311">
        <w:rPr>
          <w:sz w:val="20"/>
          <w:szCs w:val="20"/>
          <w:lang w:val="es-ES"/>
        </w:rPr>
        <w:t xml:space="preserve">Presupuesto y gastos reales (por resultado) </w:t>
      </w:r>
    </w:p>
    <w:p w:rsidR="00221F0B" w:rsidRPr="00526311" w:rsidRDefault="00221F0B" w:rsidP="00DC1333">
      <w:pPr>
        <w:pStyle w:val="NormalWeb"/>
        <w:spacing w:before="0" w:beforeAutospacing="0" w:after="0" w:afterAutospacing="0"/>
        <w:jc w:val="center"/>
        <w:rPr>
          <w:i/>
          <w:iCs/>
          <w:sz w:val="20"/>
          <w:szCs w:val="20"/>
          <w:lang w:val="es-ES"/>
        </w:rPr>
      </w:pPr>
      <w:r w:rsidRPr="00526311">
        <w:rPr>
          <w:i/>
          <w:iCs/>
          <w:sz w:val="20"/>
          <w:szCs w:val="20"/>
          <w:lang w:val="es-ES"/>
        </w:rPr>
        <w:t>(</w:t>
      </w:r>
      <w:proofErr w:type="gramStart"/>
      <w:r w:rsidRPr="00526311">
        <w:rPr>
          <w:i/>
          <w:iCs/>
          <w:sz w:val="20"/>
          <w:szCs w:val="20"/>
          <w:lang w:val="es-ES"/>
        </w:rPr>
        <w:t>en</w:t>
      </w:r>
      <w:proofErr w:type="gramEnd"/>
      <w:r w:rsidRPr="00526311">
        <w:rPr>
          <w:i/>
          <w:iCs/>
          <w:sz w:val="20"/>
          <w:szCs w:val="20"/>
          <w:lang w:val="es-ES"/>
        </w:rPr>
        <w:t xml:space="preserve"> miles de francos suizos)</w:t>
      </w:r>
    </w:p>
    <w:p w:rsidR="00221F0B" w:rsidRPr="00526311" w:rsidRDefault="00221F0B" w:rsidP="00DC1333">
      <w:pPr>
        <w:pStyle w:val="NormalWeb"/>
        <w:spacing w:before="0" w:beforeAutospacing="0" w:after="0" w:afterAutospacing="0"/>
        <w:jc w:val="center"/>
        <w:rPr>
          <w:sz w:val="20"/>
          <w:szCs w:val="20"/>
          <w:lang w:val="es-ES"/>
        </w:rPr>
      </w:pPr>
    </w:p>
    <w:p w:rsidR="00221F0B" w:rsidRPr="00526311" w:rsidRDefault="00221F0B" w:rsidP="00DC1333">
      <w:pPr>
        <w:jc w:val="center"/>
      </w:pPr>
      <w:bookmarkStart w:id="196" w:name="Bm26"/>
      <w:bookmarkStart w:id="197" w:name="Punto26"/>
      <w:r>
        <w:rPr>
          <w:noProof/>
          <w:lang w:val="en-US" w:eastAsia="en-US"/>
        </w:rPr>
        <w:drawing>
          <wp:inline distT="0" distB="0" distL="0" distR="0" wp14:anchorId="7FE5F893" wp14:editId="347E29A5">
            <wp:extent cx="5676900" cy="1362075"/>
            <wp:effectExtent l="0" t="0" r="0" b="9525"/>
            <wp:docPr id="813" name="Picture 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5676900" cy="1362075"/>
                    </a:xfrm>
                    <a:prstGeom prst="rect">
                      <a:avLst/>
                    </a:prstGeom>
                    <a:noFill/>
                    <a:ln>
                      <a:noFill/>
                    </a:ln>
                  </pic:spPr>
                </pic:pic>
              </a:graphicData>
            </a:graphic>
          </wp:inline>
        </w:drawing>
      </w:r>
      <w:bookmarkEnd w:id="196"/>
      <w:bookmarkEnd w:id="197"/>
    </w:p>
    <w:p w:rsidR="00221F0B" w:rsidRPr="00526311" w:rsidRDefault="00221F0B" w:rsidP="00DC1333"/>
    <w:p w:rsidR="00221F0B" w:rsidRPr="00526311" w:rsidRDefault="00221F0B" w:rsidP="00DC1333">
      <w:pPr>
        <w:pStyle w:val="NormalWeb"/>
        <w:spacing w:before="0" w:beforeAutospacing="0" w:after="0" w:afterAutospacing="0"/>
        <w:jc w:val="center"/>
        <w:rPr>
          <w:sz w:val="20"/>
          <w:szCs w:val="20"/>
          <w:lang w:val="es-ES"/>
        </w:rPr>
      </w:pPr>
      <w:r w:rsidRPr="00526311">
        <w:rPr>
          <w:sz w:val="20"/>
          <w:szCs w:val="20"/>
          <w:lang w:val="es-ES"/>
        </w:rPr>
        <w:t xml:space="preserve">Presupuesto y gastos reales (de personal y no relativos a personal) </w:t>
      </w:r>
    </w:p>
    <w:p w:rsidR="00221F0B" w:rsidRPr="00526311" w:rsidRDefault="00221F0B" w:rsidP="00DC1333">
      <w:pPr>
        <w:pStyle w:val="NormalWeb"/>
        <w:spacing w:before="0" w:beforeAutospacing="0" w:after="0" w:afterAutospacing="0"/>
        <w:jc w:val="center"/>
        <w:rPr>
          <w:i/>
          <w:iCs/>
          <w:sz w:val="20"/>
          <w:szCs w:val="20"/>
          <w:lang w:val="es-ES"/>
        </w:rPr>
      </w:pPr>
      <w:r w:rsidRPr="00526311">
        <w:rPr>
          <w:i/>
          <w:iCs/>
          <w:sz w:val="20"/>
          <w:szCs w:val="20"/>
          <w:lang w:val="es-ES"/>
        </w:rPr>
        <w:t>(</w:t>
      </w:r>
      <w:proofErr w:type="gramStart"/>
      <w:r w:rsidRPr="00526311">
        <w:rPr>
          <w:i/>
          <w:iCs/>
          <w:sz w:val="20"/>
          <w:szCs w:val="20"/>
          <w:lang w:val="es-ES"/>
        </w:rPr>
        <w:t>en</w:t>
      </w:r>
      <w:proofErr w:type="gramEnd"/>
      <w:r w:rsidRPr="00526311">
        <w:rPr>
          <w:i/>
          <w:iCs/>
          <w:sz w:val="20"/>
          <w:szCs w:val="20"/>
          <w:lang w:val="es-ES"/>
        </w:rPr>
        <w:t xml:space="preserve"> miles de francos suizos)</w:t>
      </w:r>
    </w:p>
    <w:p w:rsidR="00221F0B" w:rsidRPr="00526311" w:rsidRDefault="00221F0B" w:rsidP="00DC1333">
      <w:pPr>
        <w:pStyle w:val="NormalWeb"/>
        <w:spacing w:before="0" w:beforeAutospacing="0" w:after="0" w:afterAutospacing="0"/>
        <w:jc w:val="center"/>
        <w:rPr>
          <w:lang w:val="es-ES"/>
        </w:rPr>
      </w:pPr>
    </w:p>
    <w:p w:rsidR="00221F0B" w:rsidRPr="00526311" w:rsidRDefault="00221F0B" w:rsidP="00DC1333">
      <w:pPr>
        <w:jc w:val="center"/>
      </w:pPr>
      <w:bookmarkStart w:id="198" w:name="Point26"/>
      <w:r>
        <w:rPr>
          <w:noProof/>
          <w:lang w:val="en-US" w:eastAsia="en-US"/>
        </w:rPr>
        <w:drawing>
          <wp:inline distT="0" distB="0" distL="0" distR="0" wp14:anchorId="67107DB9" wp14:editId="7EB419CA">
            <wp:extent cx="5940425" cy="1038940"/>
            <wp:effectExtent l="0" t="0" r="3175" b="8890"/>
            <wp:docPr id="814" name="Picture 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5940425" cy="1038940"/>
                    </a:xfrm>
                    <a:prstGeom prst="rect">
                      <a:avLst/>
                    </a:prstGeom>
                    <a:noFill/>
                    <a:ln>
                      <a:noFill/>
                    </a:ln>
                  </pic:spPr>
                </pic:pic>
              </a:graphicData>
            </a:graphic>
          </wp:inline>
        </w:drawing>
      </w:r>
      <w:bookmarkEnd w:id="198"/>
    </w:p>
    <w:p w:rsidR="00221F0B" w:rsidRPr="00526311" w:rsidRDefault="00221F0B" w:rsidP="00DC1333">
      <w:pPr>
        <w:autoSpaceDE w:val="0"/>
        <w:autoSpaceDN w:val="0"/>
        <w:adjustRightInd w:val="0"/>
        <w:rPr>
          <w:sz w:val="20"/>
        </w:rPr>
      </w:pPr>
    </w:p>
    <w:p w:rsidR="00221F0B" w:rsidRPr="00526311" w:rsidRDefault="00403D2C" w:rsidP="00D02BF6">
      <w:pPr>
        <w:keepNext/>
        <w:tabs>
          <w:tab w:val="left" w:pos="709"/>
        </w:tabs>
        <w:rPr>
          <w:sz w:val="20"/>
          <w:u w:val="single"/>
        </w:rPr>
      </w:pPr>
      <w:r w:rsidRPr="00403D2C">
        <w:rPr>
          <w:sz w:val="20"/>
        </w:rPr>
        <w:lastRenderedPageBreak/>
        <w:t>A.</w:t>
      </w:r>
      <w:r w:rsidRPr="00403D2C">
        <w:rPr>
          <w:sz w:val="20"/>
        </w:rPr>
        <w:tab/>
      </w:r>
      <w:r w:rsidRPr="00403D2C">
        <w:rPr>
          <w:sz w:val="20"/>
          <w:u w:val="single"/>
        </w:rPr>
        <w:t>Presupuesto final de 2014/15 tras las transferencias</w:t>
      </w:r>
    </w:p>
    <w:p w:rsidR="00221F0B" w:rsidRPr="00526311" w:rsidRDefault="00221F0B" w:rsidP="009E4D02">
      <w:pPr>
        <w:keepNext/>
        <w:jc w:val="both"/>
        <w:rPr>
          <w:sz w:val="20"/>
          <w:u w:val="single"/>
          <w:lang w:eastAsia="ko-KR"/>
        </w:rPr>
      </w:pPr>
    </w:p>
    <w:p w:rsidR="00221F0B" w:rsidRPr="00526311" w:rsidRDefault="00221F0B" w:rsidP="00EB45DE">
      <w:pPr>
        <w:pStyle w:val="ListParagraph"/>
        <w:keepNext/>
        <w:numPr>
          <w:ilvl w:val="0"/>
          <w:numId w:val="114"/>
        </w:numPr>
        <w:tabs>
          <w:tab w:val="left" w:pos="709"/>
        </w:tabs>
        <w:ind w:left="0" w:firstLine="0"/>
        <w:jc w:val="both"/>
        <w:rPr>
          <w:rFonts w:ascii="Calibri" w:hAnsi="Calibri"/>
          <w:lang w:val="es-ES"/>
        </w:rPr>
      </w:pPr>
      <w:r w:rsidRPr="00526311">
        <w:rPr>
          <w:rFonts w:cs="Arial"/>
          <w:iCs/>
          <w:lang w:val="es-ES"/>
        </w:rPr>
        <w:t xml:space="preserve">El presupuesto </w:t>
      </w:r>
      <w:r>
        <w:rPr>
          <w:rFonts w:cs="Arial"/>
          <w:iCs/>
          <w:lang w:val="es-ES"/>
        </w:rPr>
        <w:t xml:space="preserve">final </w:t>
      </w:r>
      <w:r w:rsidRPr="00526311">
        <w:rPr>
          <w:rFonts w:cs="Arial"/>
          <w:iCs/>
          <w:lang w:val="es-ES"/>
        </w:rPr>
        <w:t>de 2014/15 tras las transferencias refleja los leves ajustes a la baja efectuados para aumentar la eficacia en función de los costos</w:t>
      </w:r>
      <w:r w:rsidRPr="00526311">
        <w:rPr>
          <w:rFonts w:cs="Arial"/>
          <w:lang w:val="es-ES"/>
        </w:rPr>
        <w:t>.</w:t>
      </w:r>
    </w:p>
    <w:p w:rsidR="00221F0B" w:rsidRPr="00526311" w:rsidRDefault="00221F0B" w:rsidP="009E4D02">
      <w:pPr>
        <w:keepNext/>
        <w:jc w:val="both"/>
        <w:rPr>
          <w:sz w:val="20"/>
          <w:lang w:eastAsia="ko-KR"/>
        </w:rPr>
      </w:pPr>
    </w:p>
    <w:p w:rsidR="00221F0B" w:rsidRPr="00526311" w:rsidRDefault="00403D2C" w:rsidP="00D02BF6">
      <w:pPr>
        <w:keepNext/>
        <w:tabs>
          <w:tab w:val="left" w:pos="709"/>
        </w:tabs>
        <w:jc w:val="both"/>
        <w:rPr>
          <w:sz w:val="20"/>
          <w:u w:val="single"/>
          <w:lang w:eastAsia="ko-KR"/>
        </w:rPr>
      </w:pPr>
      <w:r w:rsidRPr="00403D2C">
        <w:rPr>
          <w:sz w:val="20"/>
          <w:lang w:eastAsia="ko-KR"/>
        </w:rPr>
        <w:t>B.</w:t>
      </w:r>
      <w:r w:rsidRPr="00403D2C">
        <w:rPr>
          <w:sz w:val="20"/>
          <w:lang w:eastAsia="ko-KR"/>
        </w:rPr>
        <w:tab/>
      </w:r>
      <w:r w:rsidRPr="00403D2C">
        <w:rPr>
          <w:sz w:val="20"/>
          <w:u w:val="single"/>
          <w:lang w:eastAsia="ko-KR"/>
        </w:rPr>
        <w:t>Utilización del presupuesto en 2014/15</w:t>
      </w:r>
    </w:p>
    <w:p w:rsidR="00221F0B" w:rsidRPr="0001752B" w:rsidRDefault="00221F0B" w:rsidP="009E4D02">
      <w:pPr>
        <w:pStyle w:val="ListParagraph"/>
        <w:keepNext/>
        <w:tabs>
          <w:tab w:val="left" w:pos="567"/>
        </w:tabs>
        <w:ind w:left="0"/>
        <w:jc w:val="both"/>
        <w:rPr>
          <w:rFonts w:cs="Arial"/>
          <w:lang w:val="es-ES"/>
        </w:rPr>
      </w:pPr>
    </w:p>
    <w:p w:rsidR="00221F0B" w:rsidRDefault="00221F0B" w:rsidP="00D02BF6">
      <w:pPr>
        <w:keepNext/>
        <w:tabs>
          <w:tab w:val="left" w:pos="709"/>
        </w:tabs>
        <w:jc w:val="both"/>
        <w:rPr>
          <w:sz w:val="20"/>
          <w:lang w:eastAsia="ko-KR"/>
        </w:rPr>
      </w:pPr>
      <w:r w:rsidRPr="00E06CAF">
        <w:rPr>
          <w:sz w:val="20"/>
          <w:lang w:eastAsia="ko-KR"/>
        </w:rPr>
        <w:t>26.11</w:t>
      </w:r>
      <w:r w:rsidRPr="00E06CAF">
        <w:rPr>
          <w:sz w:val="20"/>
          <w:lang w:eastAsia="ko-KR"/>
        </w:rPr>
        <w:tab/>
        <w:t xml:space="preserve">La utilización del presupuesto </w:t>
      </w:r>
      <w:r>
        <w:rPr>
          <w:sz w:val="20"/>
          <w:lang w:eastAsia="ko-KR"/>
        </w:rPr>
        <w:t>destinado a recursos de personal fue ligeramente inferior a lo previsto debido fundamentalmente a la marcha del Director de la DSI al final de abril de 2015.  La utilización de los recursos no relativos a personal refleja el aplazamiento hasta 2016 del pago de una investigación importante subcontratada a un tercero, que inicialmente estaba previsto para 2015.</w:t>
      </w:r>
    </w:p>
    <w:p w:rsidR="004334DE" w:rsidRDefault="004334DE">
      <w:pPr>
        <w:rPr>
          <w:b/>
          <w:bCs/>
          <w:iCs/>
          <w:caps/>
          <w:szCs w:val="28"/>
        </w:rPr>
      </w:pPr>
      <w:bookmarkStart w:id="199" w:name="_Toc422927441"/>
      <w:r>
        <w:rPr>
          <w:b/>
        </w:rPr>
        <w:br w:type="page"/>
      </w:r>
    </w:p>
    <w:p w:rsidR="00221F0B" w:rsidRPr="00B449F8" w:rsidRDefault="00221F0B" w:rsidP="00DC1333">
      <w:pPr>
        <w:pStyle w:val="Heading2"/>
        <w:keepNext w:val="0"/>
        <w:tabs>
          <w:tab w:val="left" w:pos="2410"/>
        </w:tabs>
        <w:jc w:val="both"/>
        <w:rPr>
          <w:b/>
        </w:rPr>
      </w:pPr>
      <w:bookmarkStart w:id="200" w:name="_Toc455159109"/>
      <w:r w:rsidRPr="00B449F8">
        <w:rPr>
          <w:b/>
        </w:rPr>
        <w:lastRenderedPageBreak/>
        <w:t>PROGRAMA 27</w:t>
      </w:r>
      <w:r w:rsidRPr="00B449F8">
        <w:rPr>
          <w:b/>
        </w:rPr>
        <w:tab/>
        <w:t>SERVICIOS DE CONFERENCIAS Y LINGÜÍSTICOS</w:t>
      </w:r>
      <w:bookmarkEnd w:id="199"/>
      <w:bookmarkEnd w:id="200"/>
    </w:p>
    <w:p w:rsidR="00221F0B" w:rsidRPr="00B449F8" w:rsidRDefault="00221F0B" w:rsidP="00DC1333">
      <w:pPr>
        <w:jc w:val="both"/>
        <w:rPr>
          <w:sz w:val="20"/>
        </w:rPr>
      </w:pPr>
    </w:p>
    <w:p w:rsidR="00221F0B" w:rsidRPr="00B449F8" w:rsidRDefault="00221F0B" w:rsidP="00DC1333">
      <w:pPr>
        <w:tabs>
          <w:tab w:val="left" w:pos="2410"/>
        </w:tabs>
        <w:jc w:val="both"/>
        <w:rPr>
          <w:b/>
          <w:sz w:val="20"/>
        </w:rPr>
      </w:pPr>
      <w:r w:rsidRPr="00B449F8">
        <w:rPr>
          <w:b/>
          <w:sz w:val="20"/>
        </w:rPr>
        <w:t>Director de programa</w:t>
      </w:r>
      <w:r w:rsidRPr="00B449F8">
        <w:rPr>
          <w:sz w:val="20"/>
        </w:rPr>
        <w:tab/>
      </w:r>
      <w:r w:rsidRPr="00B449F8">
        <w:rPr>
          <w:b/>
          <w:sz w:val="20"/>
        </w:rPr>
        <w:t>Sr. A. Sundaram</w:t>
      </w:r>
    </w:p>
    <w:p w:rsidR="00221F0B" w:rsidRPr="00B449F8" w:rsidRDefault="00221F0B" w:rsidP="00DC1333">
      <w:pPr>
        <w:jc w:val="both"/>
        <w:rPr>
          <w:sz w:val="20"/>
        </w:rPr>
      </w:pPr>
    </w:p>
    <w:p w:rsidR="00221F0B" w:rsidRPr="00B449F8" w:rsidRDefault="00221F0B" w:rsidP="00DC1333">
      <w:pPr>
        <w:jc w:val="both"/>
        <w:rPr>
          <w:sz w:val="20"/>
        </w:rPr>
      </w:pPr>
    </w:p>
    <w:p w:rsidR="00221F0B" w:rsidRPr="00B449F8" w:rsidRDefault="008F7CBE" w:rsidP="00DC1333">
      <w:pPr>
        <w:jc w:val="both"/>
        <w:rPr>
          <w:bCs/>
          <w:szCs w:val="22"/>
        </w:rPr>
      </w:pPr>
      <w:r w:rsidRPr="008F7CBE">
        <w:rPr>
          <w:bCs/>
          <w:sz w:val="20"/>
          <w:szCs w:val="22"/>
        </w:rPr>
        <w:t>LOGROS ALCANZADOS EN EL BIENIO 2014/15</w:t>
      </w:r>
    </w:p>
    <w:p w:rsidR="00221F0B" w:rsidRPr="00B449F8" w:rsidRDefault="00221F0B" w:rsidP="00DC1333">
      <w:pPr>
        <w:jc w:val="both"/>
      </w:pPr>
    </w:p>
    <w:p w:rsidR="00221F0B" w:rsidRPr="00B449F8" w:rsidRDefault="00221F0B" w:rsidP="00EB45DE">
      <w:pPr>
        <w:pStyle w:val="ListParagraph"/>
        <w:numPr>
          <w:ilvl w:val="0"/>
          <w:numId w:val="115"/>
        </w:numPr>
        <w:tabs>
          <w:tab w:val="left" w:pos="709"/>
        </w:tabs>
        <w:ind w:left="0" w:firstLine="0"/>
        <w:jc w:val="both"/>
        <w:rPr>
          <w:rFonts w:cs="Arial"/>
          <w:bCs/>
          <w:lang w:val="es-ES" w:eastAsia="zh-CN"/>
        </w:rPr>
      </w:pPr>
      <w:r w:rsidRPr="00B449F8">
        <w:rPr>
          <w:rFonts w:cs="Arial"/>
          <w:bCs/>
          <w:lang w:val="es-ES" w:eastAsia="zh-CN"/>
        </w:rPr>
        <w:t>Durante el bienio la Secretaría siguió aplicando eficazmente la Política lingüística de la OMPI al incluir los grupos de trabajo en la cobertura lingüística que se ofrece en seis idiomas, mediante un enfoque gradual y eficaz en función de los costos.  Con arreglo al calendario establecido por los Estados miembros, durante el bienio 2014/15 se amplió la cobertura para dar cabida a:  i) el Grupo de Trabajo del PCT;  ii) el Grupo de Trabajo sobre el Desarrollo Jurídico del Sistema de La Haya para el Registro Internacional de Dibujos y Modelos Industriales;  iii) el Grupo de Trabajo sobre el Desarrollo Jurídico del Sistema de Madrid para el Registro Internacional de Marcas, y iv) el Grupo de Trabajo sobre la Revisión de la CIP.</w:t>
      </w:r>
    </w:p>
    <w:p w:rsidR="00221F0B" w:rsidRPr="00B449F8" w:rsidRDefault="00221F0B" w:rsidP="00DC1333">
      <w:pPr>
        <w:tabs>
          <w:tab w:val="left" w:pos="709"/>
        </w:tabs>
        <w:jc w:val="both"/>
        <w:rPr>
          <w:bCs/>
        </w:rPr>
      </w:pPr>
    </w:p>
    <w:p w:rsidR="00221F0B" w:rsidRPr="00B449F8" w:rsidRDefault="00221F0B" w:rsidP="00EB45DE">
      <w:pPr>
        <w:pStyle w:val="ListParagraph"/>
        <w:numPr>
          <w:ilvl w:val="0"/>
          <w:numId w:val="115"/>
        </w:numPr>
        <w:tabs>
          <w:tab w:val="left" w:pos="709"/>
        </w:tabs>
        <w:ind w:left="0" w:firstLine="0"/>
        <w:jc w:val="both"/>
        <w:rPr>
          <w:rFonts w:cs="Arial"/>
          <w:bCs/>
          <w:lang w:val="es-ES" w:eastAsia="zh-CN"/>
        </w:rPr>
      </w:pPr>
      <w:r w:rsidRPr="00B449F8">
        <w:rPr>
          <w:rFonts w:cs="Arial"/>
          <w:bCs/>
          <w:lang w:val="es-ES" w:eastAsia="zh-CN"/>
        </w:rPr>
        <w:t>Durante el bienio los servicios lingüísticos siguieron recurriendo en gran medida a la subcontratación de los servicios de traducción, y el 59% y el 54% del volumen de trabajo se subcontrató a profesionales autónomos y empresas de traducción en 2014 y 2015 respectivamente, en comparación con el 56% de 2013.  A fin de velar por la calidad de la traducción, se fomentaron las medidas de control de calidad gracias a la contribución del equipo básico interno de traduct</w:t>
      </w:r>
      <w:r>
        <w:rPr>
          <w:rFonts w:cs="Arial"/>
          <w:bCs/>
          <w:lang w:val="es-ES" w:eastAsia="zh-CN"/>
        </w:rPr>
        <w:t>ores y revisores.  En el bienio </w:t>
      </w:r>
      <w:r w:rsidRPr="00B449F8">
        <w:rPr>
          <w:rFonts w:cs="Arial"/>
          <w:bCs/>
          <w:lang w:val="es-ES" w:eastAsia="zh-CN"/>
        </w:rPr>
        <w:t>2014/15 se establecieron nuevas medidas y procedimientos de trabajo agilizados en todos los idiomas.</w:t>
      </w:r>
    </w:p>
    <w:p w:rsidR="00221F0B" w:rsidRPr="00B449F8" w:rsidRDefault="00221F0B" w:rsidP="00DC1333">
      <w:pPr>
        <w:tabs>
          <w:tab w:val="left" w:pos="709"/>
        </w:tabs>
        <w:jc w:val="both"/>
        <w:rPr>
          <w:bCs/>
        </w:rPr>
      </w:pPr>
    </w:p>
    <w:p w:rsidR="00221F0B" w:rsidRPr="00B449F8" w:rsidRDefault="00221F0B" w:rsidP="00EB45DE">
      <w:pPr>
        <w:pStyle w:val="ListParagraph"/>
        <w:numPr>
          <w:ilvl w:val="0"/>
          <w:numId w:val="115"/>
        </w:numPr>
        <w:tabs>
          <w:tab w:val="left" w:pos="709"/>
        </w:tabs>
        <w:ind w:left="0" w:firstLine="0"/>
        <w:jc w:val="both"/>
        <w:rPr>
          <w:rFonts w:cs="Arial"/>
          <w:bCs/>
          <w:lang w:val="es-ES" w:eastAsia="zh-CN"/>
        </w:rPr>
      </w:pPr>
      <w:r w:rsidRPr="00B449F8">
        <w:rPr>
          <w:rFonts w:cs="Arial"/>
          <w:bCs/>
          <w:lang w:val="es-ES" w:eastAsia="zh-CN"/>
        </w:rPr>
        <w:t>Además, durante el bienio se siguieron intensificando los procedimientos de control de la calidad de las traducciones, con inclusión del concepto de “calidad en el origen” mediante la revisión general de las relaciones contractuales con los traductores externos.  A la vez que se mantuvo la relación exclusivamente con los traductores que cumplían con los patrones establecidos, se contrataron nuevos traductores por cuenta propia únicamente después de llevar a cabo un proceso de examen intensivo.  Además, se introdujeron sistemas de vinculación de los pagos con la calidad y la entrega puntual de las traducciones subcontratadas.  Gracias a ello, el índice general de traducciones sometidas a revisión para controlar la calidad ascendió de menos del 10% antes de la aplicación de la Política lingüística (a finales de 2011) al 39% en 2014 y el 60% al finalizar el bienio.</w:t>
      </w:r>
    </w:p>
    <w:p w:rsidR="00221F0B" w:rsidRPr="00B449F8" w:rsidRDefault="00221F0B" w:rsidP="00DC1333">
      <w:pPr>
        <w:rPr>
          <w:bCs/>
        </w:rPr>
      </w:pPr>
    </w:p>
    <w:p w:rsidR="00221F0B" w:rsidRPr="00B449F8" w:rsidRDefault="00221F0B" w:rsidP="00EB45DE">
      <w:pPr>
        <w:pStyle w:val="ListParagraph"/>
        <w:numPr>
          <w:ilvl w:val="0"/>
          <w:numId w:val="115"/>
        </w:numPr>
        <w:tabs>
          <w:tab w:val="left" w:pos="709"/>
        </w:tabs>
        <w:ind w:left="0" w:firstLine="0"/>
        <w:jc w:val="both"/>
        <w:rPr>
          <w:rFonts w:cs="Arial"/>
          <w:bCs/>
          <w:lang w:val="es-ES" w:eastAsia="zh-CN"/>
        </w:rPr>
      </w:pPr>
      <w:r w:rsidRPr="00B449F8">
        <w:rPr>
          <w:rFonts w:cs="Arial"/>
          <w:bCs/>
          <w:lang w:val="es-ES" w:eastAsia="zh-CN"/>
        </w:rPr>
        <w:t>Se seleccionaron asimismo otras agencias de traducción mediante licitaciones internacionales para las traducciones al árabe, al chino y al ruso, tomando en consideración la experiencia adquirida en la subcontratación de traducciones al español y al francés.</w:t>
      </w:r>
    </w:p>
    <w:p w:rsidR="00221F0B" w:rsidRPr="00B449F8" w:rsidRDefault="00221F0B" w:rsidP="00DC1333">
      <w:pPr>
        <w:rPr>
          <w:bCs/>
        </w:rPr>
      </w:pPr>
    </w:p>
    <w:p w:rsidR="00221F0B" w:rsidRPr="00B449F8" w:rsidRDefault="00221F0B" w:rsidP="00EB45DE">
      <w:pPr>
        <w:pStyle w:val="ListParagraph"/>
        <w:numPr>
          <w:ilvl w:val="0"/>
          <w:numId w:val="115"/>
        </w:numPr>
        <w:tabs>
          <w:tab w:val="left" w:pos="709"/>
        </w:tabs>
        <w:ind w:left="0" w:firstLine="0"/>
        <w:jc w:val="both"/>
        <w:rPr>
          <w:rFonts w:cs="Arial"/>
          <w:bCs/>
          <w:lang w:val="es-ES" w:eastAsia="zh-CN"/>
        </w:rPr>
      </w:pPr>
      <w:r w:rsidRPr="00B449F8">
        <w:rPr>
          <w:rFonts w:cs="Arial"/>
          <w:bCs/>
          <w:lang w:val="es-ES" w:eastAsia="zh-CN"/>
        </w:rPr>
        <w:t>Haciendo uso de las herramientas de terminología y traducción asistida por computadora, que se introdujeron en 2014, el programa emprendió un proyecto destinado a publicar terminología, por primera vez, en los seis idiomas de las Naciones Unidas mediante la plataforma de terminología WIPO Pearl puesta en marcha recientemente, que actualmente solo contiene las entradas terminológicas del PCT.  En 2015 se llevó a cabo una labor considerable para crear, validar y ampliar su base de datos terminológica.  Al final del bienio se había efectuado una validación previa de 12.704 términos en los seis idiomas de las Naciones Unidas, para su publicación en la plataforma terminológica común, con sujeción a que se ultimaran las labores de diseño técnico y pruebas.</w:t>
      </w:r>
    </w:p>
    <w:p w:rsidR="00221F0B" w:rsidRPr="00B449F8" w:rsidRDefault="00221F0B" w:rsidP="00DC1333">
      <w:pPr>
        <w:pStyle w:val="ListParagraph"/>
        <w:ind w:left="0"/>
        <w:rPr>
          <w:rFonts w:cs="Arial"/>
          <w:bCs/>
          <w:lang w:val="es-ES" w:eastAsia="zh-CN"/>
        </w:rPr>
      </w:pPr>
    </w:p>
    <w:p w:rsidR="00221F0B" w:rsidRDefault="00221F0B" w:rsidP="00EB45DE">
      <w:pPr>
        <w:pStyle w:val="ListParagraph"/>
        <w:numPr>
          <w:ilvl w:val="0"/>
          <w:numId w:val="115"/>
        </w:numPr>
        <w:tabs>
          <w:tab w:val="left" w:pos="709"/>
        </w:tabs>
        <w:ind w:left="0" w:firstLine="0"/>
        <w:jc w:val="both"/>
        <w:rPr>
          <w:rFonts w:cs="Arial"/>
          <w:bCs/>
          <w:lang w:val="es-ES" w:eastAsia="zh-CN"/>
        </w:rPr>
      </w:pPr>
      <w:r w:rsidRPr="00B449F8">
        <w:rPr>
          <w:rFonts w:cs="Arial"/>
          <w:bCs/>
          <w:lang w:val="es-ES" w:eastAsia="zh-CN"/>
        </w:rPr>
        <w:t>Por último, al seguir aplicando rigurosamente durante el bienio las medidas de racionalización y control al número y al tamaño de los documentos de todas las reuniones, el volumen de traducción disminuyó un 8,5% (30,35 millones de palabras durante el bieni</w:t>
      </w:r>
      <w:r>
        <w:rPr>
          <w:rFonts w:cs="Arial"/>
          <w:bCs/>
          <w:lang w:val="es-ES" w:eastAsia="zh-CN"/>
        </w:rPr>
        <w:t>o 2014/15 en comparación con lo</w:t>
      </w:r>
      <w:r w:rsidRPr="00B449F8">
        <w:rPr>
          <w:rFonts w:cs="Arial"/>
          <w:bCs/>
          <w:lang w:val="es-ES" w:eastAsia="zh-CN"/>
        </w:rPr>
        <w:t xml:space="preserve">s 33,17 millones de palabras traducidas durante el bienio 2012/13), a pesar de que durante el bienio se amplió la cobertura lingüística a cuatro grupos de trabajo importantes.  Esas medidas e iniciativas contribuyeron a lograr una mayor eficacia en función de los costos durante el bienio, y se redujo considerablemente el costo por palabra traducida, que pasó de 0,63 francos suizos en 2013 a 0,59 y 0,57 </w:t>
      </w:r>
      <w:r>
        <w:rPr>
          <w:rFonts w:cs="Arial"/>
          <w:bCs/>
          <w:lang w:val="es-ES" w:eastAsia="zh-CN"/>
        </w:rPr>
        <w:t>francos suizos en </w:t>
      </w:r>
      <w:r w:rsidRPr="00B449F8">
        <w:rPr>
          <w:rFonts w:cs="Arial"/>
          <w:bCs/>
          <w:lang w:val="es-ES" w:eastAsia="zh-CN"/>
        </w:rPr>
        <w:t>2014 y 2015 respectivamente.</w:t>
      </w:r>
    </w:p>
    <w:p w:rsidR="00221F0B" w:rsidRDefault="00221F0B" w:rsidP="00DC1333">
      <w:pPr>
        <w:pStyle w:val="ListParagraph"/>
        <w:tabs>
          <w:tab w:val="left" w:pos="709"/>
        </w:tabs>
        <w:ind w:left="0"/>
        <w:jc w:val="both"/>
        <w:rPr>
          <w:rFonts w:cs="Arial"/>
          <w:bCs/>
          <w:lang w:val="es-ES" w:eastAsia="zh-CN"/>
        </w:rPr>
      </w:pPr>
    </w:p>
    <w:p w:rsidR="00221F0B" w:rsidRPr="0011118D" w:rsidRDefault="00221F0B" w:rsidP="00DC1333">
      <w:pPr>
        <w:pStyle w:val="ListParagraph"/>
        <w:keepNext/>
        <w:jc w:val="center"/>
        <w:rPr>
          <w:rFonts w:cs="Arial"/>
          <w:bCs/>
          <w:lang w:val="es-ES" w:eastAsia="zh-CN"/>
        </w:rPr>
      </w:pPr>
      <w:r w:rsidRPr="0011118D">
        <w:rPr>
          <w:i/>
          <w:sz w:val="16"/>
          <w:szCs w:val="16"/>
          <w:lang w:val="es-ES"/>
        </w:rPr>
        <w:lastRenderedPageBreak/>
        <w:t>Volumen de traducción 2012-2015</w:t>
      </w:r>
      <w:r w:rsidRPr="0011118D">
        <w:rPr>
          <w:lang w:val="es-ES"/>
        </w:rPr>
        <w:tab/>
      </w:r>
      <w:r w:rsidRPr="0011118D">
        <w:rPr>
          <w:i/>
          <w:sz w:val="16"/>
          <w:szCs w:val="16"/>
          <w:lang w:val="es-ES"/>
        </w:rPr>
        <w:t>Costo por palabra traducida 2013-2015</w:t>
      </w:r>
    </w:p>
    <w:p w:rsidR="00221F0B" w:rsidRPr="0011118D" w:rsidRDefault="00221F0B" w:rsidP="00DC1333">
      <w:pPr>
        <w:pStyle w:val="ListParagraph"/>
        <w:keepNext/>
        <w:tabs>
          <w:tab w:val="left" w:pos="709"/>
        </w:tabs>
        <w:ind w:left="0"/>
        <w:jc w:val="center"/>
        <w:rPr>
          <w:rFonts w:cs="Arial"/>
          <w:bCs/>
          <w:lang w:val="es-ES" w:eastAsia="zh-CN"/>
        </w:rPr>
      </w:pPr>
      <w:r w:rsidRPr="00705631">
        <w:rPr>
          <w:noProof/>
        </w:rPr>
        <w:drawing>
          <wp:inline distT="0" distB="0" distL="0" distR="0" wp14:anchorId="5E4E56B0" wp14:editId="7E6084F6">
            <wp:extent cx="5216683" cy="1604729"/>
            <wp:effectExtent l="0" t="0" r="3175" b="0"/>
            <wp:docPr id="815" name="Picture 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5217531" cy="1604990"/>
                    </a:xfrm>
                    <a:prstGeom prst="rect">
                      <a:avLst/>
                    </a:prstGeom>
                    <a:noFill/>
                    <a:ln>
                      <a:noFill/>
                    </a:ln>
                  </pic:spPr>
                </pic:pic>
              </a:graphicData>
            </a:graphic>
          </wp:inline>
        </w:drawing>
      </w:r>
    </w:p>
    <w:p w:rsidR="00221F0B" w:rsidRPr="0011118D" w:rsidRDefault="00221F0B" w:rsidP="00DC1333">
      <w:pPr>
        <w:keepNext/>
        <w:tabs>
          <w:tab w:val="left" w:pos="709"/>
        </w:tabs>
        <w:jc w:val="both"/>
        <w:rPr>
          <w:bCs/>
        </w:rPr>
      </w:pPr>
    </w:p>
    <w:p w:rsidR="00221F0B" w:rsidRPr="00B449F8" w:rsidRDefault="00221F0B" w:rsidP="00EB45DE">
      <w:pPr>
        <w:pStyle w:val="ListParagraph"/>
        <w:numPr>
          <w:ilvl w:val="0"/>
          <w:numId w:val="115"/>
        </w:numPr>
        <w:tabs>
          <w:tab w:val="left" w:pos="709"/>
        </w:tabs>
        <w:ind w:left="0" w:firstLine="0"/>
        <w:jc w:val="both"/>
        <w:rPr>
          <w:rFonts w:cs="Arial"/>
          <w:bCs/>
          <w:lang w:val="es-ES"/>
        </w:rPr>
      </w:pPr>
      <w:r w:rsidRPr="00B449F8">
        <w:rPr>
          <w:rFonts w:cs="Arial"/>
          <w:bCs/>
          <w:lang w:val="es-ES" w:eastAsia="zh-CN"/>
        </w:rPr>
        <w:t>Se continuó suministrando servicios de interpretación eficaces y de calidad para todas las reuniones de la OMPI y otras actividades llevadas a cabo en la sede y en otras ubicaciones, según las necesidades.</w:t>
      </w:r>
    </w:p>
    <w:p w:rsidR="00221F0B" w:rsidRPr="00B449F8" w:rsidRDefault="00221F0B" w:rsidP="00DC1333">
      <w:pPr>
        <w:tabs>
          <w:tab w:val="left" w:pos="709"/>
        </w:tabs>
        <w:jc w:val="both"/>
        <w:rPr>
          <w:bCs/>
        </w:rPr>
      </w:pPr>
    </w:p>
    <w:p w:rsidR="00221F0B" w:rsidRPr="00B449F8" w:rsidRDefault="00221F0B" w:rsidP="00EB45DE">
      <w:pPr>
        <w:pStyle w:val="ListParagraph"/>
        <w:numPr>
          <w:ilvl w:val="0"/>
          <w:numId w:val="115"/>
        </w:numPr>
        <w:tabs>
          <w:tab w:val="left" w:pos="709"/>
        </w:tabs>
        <w:ind w:left="0" w:firstLine="0"/>
        <w:jc w:val="both"/>
        <w:rPr>
          <w:lang w:val="es-ES"/>
        </w:rPr>
      </w:pPr>
      <w:r w:rsidRPr="00B449F8">
        <w:rPr>
          <w:lang w:val="es-ES"/>
        </w:rPr>
        <w:t xml:space="preserve">Tras varios años de acusado crecimiento, durante el bienio 2014/15 se estabilizó el número de reuniones organizadas en Ginebra, con 209 reuniones principales, incluida la conferencia diplomática para la adopción de una nueva Acta del Arreglo de Lisboa para la Protección de las Denominaciones de Origen y su Registro Internacional, en comparación con las 260 celebradas durante el bienio anterior.  También se prestó apoyo anualmente a una media de 5.600 (unas 5.400 en 2014 y 5.800 en 2015) reuniones </w:t>
      </w:r>
      <w:r w:rsidRPr="00B449F8">
        <w:rPr>
          <w:i/>
          <w:lang w:val="es-ES"/>
        </w:rPr>
        <w:t>ad hoc</w:t>
      </w:r>
      <w:r w:rsidRPr="00B449F8">
        <w:rPr>
          <w:lang w:val="es-ES"/>
        </w:rPr>
        <w:t xml:space="preserve"> (consultas informales, reuniones bilaterales, presentación de ponencias, actos paralelos, visitas oficiales y reuniones internas) en las instalaciones de la OMPI en Ginebra;  cifra que se mantiene estable en relación con las 11.200 registradas en el bienio 2012/13.  Alrededor de 140 de esas reuniones se atendieron fuera del horario normal, es decir, después de las 18.30 horas o en fines de semana, mientras que en el bienio anterior la cifra fue 167.</w:t>
      </w:r>
    </w:p>
    <w:p w:rsidR="00221F0B" w:rsidRPr="00B449F8" w:rsidRDefault="00221F0B" w:rsidP="00DC1333">
      <w:pPr>
        <w:pStyle w:val="ListParagraph"/>
        <w:ind w:left="0"/>
        <w:rPr>
          <w:lang w:val="es-ES"/>
        </w:rPr>
      </w:pPr>
    </w:p>
    <w:p w:rsidR="00221F0B" w:rsidRPr="00B449F8" w:rsidRDefault="00221F0B" w:rsidP="00EB45DE">
      <w:pPr>
        <w:pStyle w:val="Default"/>
        <w:numPr>
          <w:ilvl w:val="0"/>
          <w:numId w:val="115"/>
        </w:numPr>
        <w:tabs>
          <w:tab w:val="left" w:pos="709"/>
        </w:tabs>
        <w:ind w:left="0" w:firstLine="0"/>
        <w:jc w:val="both"/>
        <w:rPr>
          <w:sz w:val="20"/>
          <w:szCs w:val="20"/>
          <w:lang w:val="es-ES"/>
        </w:rPr>
      </w:pPr>
      <w:r w:rsidRPr="00B449F8">
        <w:rPr>
          <w:sz w:val="20"/>
          <w:szCs w:val="20"/>
          <w:lang w:val="es-ES"/>
        </w:rPr>
        <w:t>Cabe destacar especialmente del bienio la transición sin dificultades a las nuevas instalaciones de conferencias e infraestructuras relacionadas con la inscripción, inaugu</w:t>
      </w:r>
      <w:r>
        <w:rPr>
          <w:sz w:val="20"/>
          <w:szCs w:val="20"/>
          <w:lang w:val="es-ES"/>
        </w:rPr>
        <w:t>radas en el último trimestre de </w:t>
      </w:r>
      <w:r w:rsidRPr="00B449F8">
        <w:rPr>
          <w:sz w:val="20"/>
          <w:szCs w:val="20"/>
          <w:lang w:val="es-ES"/>
        </w:rPr>
        <w:t>2014.  En 2015, tras efectuar varias consultas con partes interesadas internas pertinentes, se establecieron las condiciones de uso para el alquiler a los Estados miembros o entidades externas de la nueva sala de conferencias de la OMPI y las instalaciones adyacentes para llevar a cabo actividades distintas de las reuniones de la Organización, y se acogieron cinco actividades de ese tipo.</w:t>
      </w:r>
      <w:r w:rsidRPr="00B449F8">
        <w:rPr>
          <w:rStyle w:val="FootnoteReference"/>
          <w:sz w:val="20"/>
          <w:szCs w:val="20"/>
          <w:lang w:val="es-ES"/>
        </w:rPr>
        <w:footnoteReference w:id="146"/>
      </w:r>
    </w:p>
    <w:p w:rsidR="00221F0B" w:rsidRPr="00B449F8" w:rsidRDefault="00221F0B" w:rsidP="00DC1333">
      <w:pPr>
        <w:pStyle w:val="ListParagraph"/>
        <w:ind w:left="0"/>
        <w:rPr>
          <w:lang w:val="es-ES"/>
        </w:rPr>
      </w:pPr>
    </w:p>
    <w:p w:rsidR="00221F0B" w:rsidRPr="00B449F8" w:rsidRDefault="00221F0B" w:rsidP="00EB45DE">
      <w:pPr>
        <w:pStyle w:val="ListParagraph"/>
        <w:numPr>
          <w:ilvl w:val="0"/>
          <w:numId w:val="115"/>
        </w:numPr>
        <w:tabs>
          <w:tab w:val="left" w:pos="709"/>
        </w:tabs>
        <w:ind w:left="0" w:firstLine="0"/>
        <w:jc w:val="both"/>
        <w:rPr>
          <w:rFonts w:cs="Arial"/>
          <w:lang w:val="es-ES"/>
        </w:rPr>
      </w:pPr>
      <w:r w:rsidRPr="00B449F8">
        <w:rPr>
          <w:rFonts w:cs="Arial"/>
          <w:lang w:val="es-ES"/>
        </w:rPr>
        <w:t>En lo que atañe a la disponibilidad puntual de los documentos de reuniones, la supervisión de las fechas de publicación aplicada en 2014 y los mecanismos de seguimiento puestos en marcha en colaboración con las secretarías de las reuniones resultaron eficaces para mejorar la puntualidad a lo largo del bienio, llegando a registrarse una mejora de 28 puntos porcentuales en 2015 (69% de los documentos publicados dos meses antes de las reuniones pertinente</w:t>
      </w:r>
      <w:r>
        <w:rPr>
          <w:rFonts w:cs="Arial"/>
          <w:lang w:val="es-ES"/>
        </w:rPr>
        <w:t>s, en comparación con el 41% de </w:t>
      </w:r>
      <w:r w:rsidRPr="00B449F8">
        <w:rPr>
          <w:rFonts w:cs="Arial"/>
          <w:lang w:val="es-ES"/>
        </w:rPr>
        <w:t>2014).</w:t>
      </w:r>
    </w:p>
    <w:p w:rsidR="00221F0B" w:rsidRPr="00B449F8" w:rsidRDefault="00221F0B" w:rsidP="00DC1333"/>
    <w:p w:rsidR="00221F0B" w:rsidRPr="00B449F8" w:rsidRDefault="00221F0B" w:rsidP="00EB45DE">
      <w:pPr>
        <w:pStyle w:val="ListParagraph"/>
        <w:numPr>
          <w:ilvl w:val="0"/>
          <w:numId w:val="115"/>
        </w:numPr>
        <w:tabs>
          <w:tab w:val="left" w:pos="709"/>
        </w:tabs>
        <w:ind w:left="0" w:firstLine="0"/>
        <w:jc w:val="both"/>
        <w:rPr>
          <w:lang w:val="es-ES"/>
        </w:rPr>
      </w:pPr>
      <w:r w:rsidRPr="00B449F8">
        <w:rPr>
          <w:lang w:val="es-ES"/>
        </w:rPr>
        <w:t xml:space="preserve">Tras la adopción de la Política de gestión de los expedientes y archivos en el bienio anterior, durante el bienio 2014/15 se consiguieron avances positivos en relación con el establecimiento de los calendarios de conservación de los expedientes y la mejora de la gestión de los expedientes y archivos.  A tal efecto, en 2015 se actualizó con éxito </w:t>
      </w:r>
      <w:proofErr w:type="spellStart"/>
      <w:r w:rsidRPr="00B449F8">
        <w:rPr>
          <w:lang w:val="es-ES"/>
        </w:rPr>
        <w:t>LiveLink</w:t>
      </w:r>
      <w:proofErr w:type="spellEnd"/>
      <w:r w:rsidRPr="00B449F8">
        <w:rPr>
          <w:lang w:val="es-ES"/>
        </w:rPr>
        <w:t xml:space="preserve">, el </w:t>
      </w:r>
      <w:r w:rsidRPr="00B449F8">
        <w:rPr>
          <w:i/>
          <w:lang w:val="es-ES"/>
        </w:rPr>
        <w:t>software</w:t>
      </w:r>
      <w:r w:rsidRPr="00B449F8">
        <w:rPr>
          <w:lang w:val="es-ES"/>
        </w:rPr>
        <w:t xml:space="preserve"> que se utiliza para gestionar los expedientes y archivos, garantizándose de este modo</w:t>
      </w:r>
      <w:proofErr w:type="gramStart"/>
      <w:r w:rsidRPr="00B449F8">
        <w:rPr>
          <w:lang w:val="es-ES"/>
        </w:rPr>
        <w:t>:  i</w:t>
      </w:r>
      <w:proofErr w:type="gramEnd"/>
      <w:r w:rsidRPr="00B449F8">
        <w:rPr>
          <w:lang w:val="es-ES"/>
        </w:rPr>
        <w:t>) la compatibilidad con Windows 7 y Windows Server 2012;  ii) la continuidad de las operaciones de registro y almacenamiento de los expedientes y archivos de la OMPI, y iii) una solución mejor para archivar los documentos de varios sectores.</w:t>
      </w:r>
    </w:p>
    <w:p w:rsidR="00221F0B" w:rsidRPr="00B449F8" w:rsidRDefault="00221F0B" w:rsidP="00DC1333">
      <w:pPr>
        <w:pStyle w:val="ListParagraph"/>
        <w:tabs>
          <w:tab w:val="left" w:pos="709"/>
        </w:tabs>
        <w:ind w:left="0"/>
        <w:jc w:val="both"/>
        <w:rPr>
          <w:lang w:val="es-ES"/>
        </w:rPr>
      </w:pPr>
    </w:p>
    <w:p w:rsidR="00221F0B" w:rsidRPr="00B449F8" w:rsidRDefault="00221F0B" w:rsidP="00EB45DE">
      <w:pPr>
        <w:pStyle w:val="ListParagraph"/>
        <w:numPr>
          <w:ilvl w:val="0"/>
          <w:numId w:val="115"/>
        </w:numPr>
        <w:tabs>
          <w:tab w:val="left" w:pos="709"/>
        </w:tabs>
        <w:ind w:left="0" w:firstLine="0"/>
        <w:jc w:val="both"/>
        <w:rPr>
          <w:rFonts w:cs="Arial"/>
          <w:lang w:val="es-ES"/>
        </w:rPr>
      </w:pPr>
      <w:r w:rsidRPr="00B449F8">
        <w:rPr>
          <w:rFonts w:cs="Arial"/>
          <w:lang w:val="es-ES"/>
        </w:rPr>
        <w:t xml:space="preserve">En el marco del programa prosiguieron los esfuerzos a fin de reducir los costos de envío de los documentos negociando las tarifas con los proveedores externos de servicios de correo, aumentando la utilización de opciones más eficaces en función de los costos para enviar lo documentos (por ejemplo, por correo certificado en lugar de urgente) y mediante la introducción de un sistema para agrupar las direcciones, lo que dio lugar a una reducción del 4% en el número de documentos enviados en 2015 en comparación con 2014.  En conjunto, gracias a estos esfuerzos concertados se consiguió una reducción </w:t>
      </w:r>
      <w:r w:rsidRPr="00B449F8">
        <w:rPr>
          <w:rFonts w:cs="Arial"/>
          <w:lang w:val="es-ES"/>
        </w:rPr>
        <w:lastRenderedPageBreak/>
        <w:t>general del 7,2% en los costos de envío de los documentos en comparación con 2014, y un 11% en comparación con 2013.</w:t>
      </w:r>
    </w:p>
    <w:p w:rsidR="00221F0B" w:rsidRPr="00B449F8" w:rsidRDefault="00221F0B" w:rsidP="00DC1333">
      <w:pPr>
        <w:pStyle w:val="ListParagraph"/>
        <w:rPr>
          <w:rFonts w:cs="Arial"/>
          <w:lang w:val="es-ES"/>
        </w:rPr>
      </w:pPr>
    </w:p>
    <w:p w:rsidR="00221F0B" w:rsidRPr="00B449F8" w:rsidRDefault="00221F0B" w:rsidP="00EB45DE">
      <w:pPr>
        <w:pStyle w:val="ListParagraph"/>
        <w:numPr>
          <w:ilvl w:val="0"/>
          <w:numId w:val="115"/>
        </w:numPr>
        <w:tabs>
          <w:tab w:val="left" w:pos="709"/>
        </w:tabs>
        <w:ind w:left="0" w:firstLine="0"/>
        <w:jc w:val="both"/>
        <w:rPr>
          <w:rFonts w:cs="Arial"/>
          <w:lang w:val="es-ES"/>
        </w:rPr>
      </w:pPr>
      <w:r w:rsidRPr="00B449F8">
        <w:rPr>
          <w:lang w:val="es-ES"/>
        </w:rPr>
        <w:t>A lo largo del bienio la OMPI siguió proporcionando servicios de impresión de manera eficaz y puntual.  El volumen de impresión permaneció en niveles similares los dos años del bienio.  Además, la disminución del 25% en el costo de impresión por página conseguida en 2014 después de renegociar los servicios de arrendamiento, se mantuvo en 0,15 francos suizos en 2015, e</w:t>
      </w:r>
      <w:r>
        <w:rPr>
          <w:lang w:val="es-ES"/>
        </w:rPr>
        <w:t>n comparación con la cifra de </w:t>
      </w:r>
      <w:r w:rsidRPr="00B449F8">
        <w:rPr>
          <w:lang w:val="es-ES"/>
        </w:rPr>
        <w:t>0,20</w:t>
      </w:r>
      <w:r w:rsidRPr="00B449F8">
        <w:rPr>
          <w:rStyle w:val="FootnoteReference"/>
          <w:lang w:val="es-ES"/>
        </w:rPr>
        <w:footnoteReference w:id="147"/>
      </w:r>
      <w:r w:rsidRPr="00B449F8">
        <w:rPr>
          <w:lang w:val="es-ES"/>
        </w:rPr>
        <w:t xml:space="preserve"> francos suizos registrada a finales de 2013.</w:t>
      </w:r>
    </w:p>
    <w:p w:rsidR="00221F0B" w:rsidRDefault="00221F0B" w:rsidP="00DC1333">
      <w:pPr>
        <w:jc w:val="both"/>
      </w:pPr>
    </w:p>
    <w:p w:rsidR="00221F0B" w:rsidRPr="00B449F8" w:rsidRDefault="00221F0B" w:rsidP="00DC1333">
      <w:pPr>
        <w:jc w:val="both"/>
      </w:pPr>
    </w:p>
    <w:p w:rsidR="00221F0B" w:rsidRPr="00B449F8" w:rsidRDefault="008F7CBE" w:rsidP="00DC1333">
      <w:pPr>
        <w:rPr>
          <w:szCs w:val="22"/>
        </w:rPr>
      </w:pPr>
      <w:r w:rsidRPr="008F7CBE">
        <w:rPr>
          <w:sz w:val="20"/>
          <w:szCs w:val="22"/>
        </w:rPr>
        <w:t>DATOS SOBRE EL RENDIMIENTO</w:t>
      </w:r>
    </w:p>
    <w:p w:rsidR="00221F0B" w:rsidRPr="00B449F8" w:rsidRDefault="00221F0B" w:rsidP="00DC1333">
      <w:pPr>
        <w:jc w:val="both"/>
        <w:rPr>
          <w:sz w:val="24"/>
        </w:rPr>
      </w:pPr>
    </w:p>
    <w:tbl>
      <w:tblPr>
        <w:tblW w:w="4958"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8"/>
        <w:gridCol w:w="2128"/>
        <w:gridCol w:w="1560"/>
        <w:gridCol w:w="2407"/>
        <w:gridCol w:w="1268"/>
      </w:tblGrid>
      <w:tr w:rsidR="00221F0B" w:rsidRPr="00B449F8" w:rsidTr="00DC1333">
        <w:trPr>
          <w:cantSplit/>
        </w:trPr>
        <w:tc>
          <w:tcPr>
            <w:tcW w:w="5000" w:type="pct"/>
            <w:gridSpan w:val="5"/>
            <w:tcBorders>
              <w:top w:val="single" w:sz="4" w:space="0" w:color="auto"/>
              <w:bottom w:val="single" w:sz="4" w:space="0" w:color="auto"/>
            </w:tcBorders>
            <w:shd w:val="clear" w:color="auto" w:fill="C6D9F1" w:themeFill="text2" w:themeFillTint="33"/>
            <w:vAlign w:val="center"/>
          </w:tcPr>
          <w:p w:rsidR="00221F0B" w:rsidRPr="00B449F8" w:rsidRDefault="00221F0B" w:rsidP="00DC1333">
            <w:pPr>
              <w:spacing w:before="120" w:after="120"/>
              <w:ind w:left="2019" w:hanging="2019"/>
              <w:rPr>
                <w:b/>
                <w:bCs/>
                <w:sz w:val="16"/>
                <w:szCs w:val="16"/>
              </w:rPr>
            </w:pPr>
            <w:r w:rsidRPr="00B449F8">
              <w:rPr>
                <w:b/>
                <w:bCs/>
                <w:sz w:val="16"/>
                <w:szCs w:val="16"/>
              </w:rPr>
              <w:t>Resultado previsto:</w:t>
            </w:r>
            <w:r w:rsidRPr="00B449F8">
              <w:rPr>
                <w:b/>
                <w:bCs/>
                <w:sz w:val="16"/>
                <w:szCs w:val="16"/>
              </w:rPr>
              <w:tab/>
            </w:r>
            <w:r w:rsidRPr="00B449F8">
              <w:rPr>
                <w:bCs/>
                <w:sz w:val="16"/>
                <w:szCs w:val="16"/>
              </w:rPr>
              <w:t>IX.1 Servicios de apoyo eficaces, eficientes, de calidad y orientados al cliente, tanto a los clientes internos como a las partes interesadas externas</w:t>
            </w:r>
          </w:p>
        </w:tc>
      </w:tr>
      <w:tr w:rsidR="00221F0B" w:rsidRPr="00B449F8" w:rsidTr="00DC1333">
        <w:trPr>
          <w:cantSplit/>
        </w:trPr>
        <w:tc>
          <w:tcPr>
            <w:tcW w:w="1121" w:type="pct"/>
            <w:tcBorders>
              <w:top w:val="single" w:sz="4" w:space="0" w:color="auto"/>
              <w:bottom w:val="nil"/>
              <w:right w:val="nil"/>
            </w:tcBorders>
            <w:shd w:val="clear" w:color="auto" w:fill="auto"/>
            <w:vAlign w:val="center"/>
          </w:tcPr>
          <w:p w:rsidR="00221F0B" w:rsidRPr="00B449F8" w:rsidRDefault="00221F0B" w:rsidP="00DC1333">
            <w:pPr>
              <w:rPr>
                <w:sz w:val="16"/>
                <w:szCs w:val="16"/>
              </w:rPr>
            </w:pPr>
            <w:r w:rsidRPr="00B449F8">
              <w:rPr>
                <w:b/>
                <w:sz w:val="16"/>
                <w:szCs w:val="16"/>
              </w:rPr>
              <w:t>Indicadores de rendimiento</w:t>
            </w:r>
          </w:p>
        </w:tc>
        <w:tc>
          <w:tcPr>
            <w:tcW w:w="1121" w:type="pct"/>
            <w:tcBorders>
              <w:top w:val="single" w:sz="4" w:space="0" w:color="auto"/>
              <w:left w:val="nil"/>
              <w:bottom w:val="nil"/>
              <w:right w:val="nil"/>
            </w:tcBorders>
            <w:shd w:val="clear" w:color="auto" w:fill="auto"/>
            <w:vAlign w:val="center"/>
          </w:tcPr>
          <w:p w:rsidR="00221F0B" w:rsidRPr="00B449F8" w:rsidRDefault="00221F0B" w:rsidP="00DC1333">
            <w:pPr>
              <w:rPr>
                <w:b/>
                <w:bCs/>
                <w:sz w:val="16"/>
                <w:szCs w:val="16"/>
              </w:rPr>
            </w:pPr>
            <w:r w:rsidRPr="00B449F8">
              <w:rPr>
                <w:b/>
                <w:bCs/>
                <w:sz w:val="16"/>
                <w:szCs w:val="16"/>
              </w:rPr>
              <w:t>Referencia</w:t>
            </w:r>
          </w:p>
        </w:tc>
        <w:tc>
          <w:tcPr>
            <w:tcW w:w="822" w:type="pct"/>
            <w:tcBorders>
              <w:top w:val="single" w:sz="4" w:space="0" w:color="auto"/>
              <w:left w:val="nil"/>
              <w:bottom w:val="nil"/>
              <w:right w:val="nil"/>
            </w:tcBorders>
            <w:shd w:val="clear" w:color="auto" w:fill="auto"/>
            <w:tcMar>
              <w:top w:w="110" w:type="dxa"/>
            </w:tcMar>
            <w:vAlign w:val="center"/>
          </w:tcPr>
          <w:p w:rsidR="00221F0B" w:rsidRPr="00B449F8" w:rsidRDefault="00221F0B" w:rsidP="00DC1333">
            <w:pPr>
              <w:rPr>
                <w:b/>
                <w:sz w:val="16"/>
                <w:szCs w:val="16"/>
              </w:rPr>
            </w:pPr>
            <w:r w:rsidRPr="00B449F8">
              <w:rPr>
                <w:b/>
                <w:sz w:val="16"/>
                <w:szCs w:val="16"/>
              </w:rPr>
              <w:t>Objetivos</w:t>
            </w:r>
          </w:p>
        </w:tc>
        <w:tc>
          <w:tcPr>
            <w:tcW w:w="1268" w:type="pct"/>
            <w:tcBorders>
              <w:top w:val="single" w:sz="4" w:space="0" w:color="auto"/>
              <w:left w:val="nil"/>
              <w:bottom w:val="nil"/>
              <w:right w:val="nil"/>
            </w:tcBorders>
            <w:shd w:val="clear" w:color="auto" w:fill="FFFFFF"/>
            <w:tcMar>
              <w:top w:w="110" w:type="dxa"/>
            </w:tcMar>
            <w:vAlign w:val="center"/>
          </w:tcPr>
          <w:p w:rsidR="00221F0B" w:rsidRPr="00B449F8" w:rsidRDefault="00221F0B" w:rsidP="00DC1333">
            <w:pPr>
              <w:rPr>
                <w:sz w:val="16"/>
                <w:szCs w:val="16"/>
              </w:rPr>
            </w:pPr>
            <w:r w:rsidRPr="00B449F8">
              <w:rPr>
                <w:b/>
                <w:sz w:val="16"/>
                <w:szCs w:val="16"/>
              </w:rPr>
              <w:t>Datos sobre el rendimiento</w:t>
            </w:r>
          </w:p>
        </w:tc>
        <w:tc>
          <w:tcPr>
            <w:tcW w:w="668" w:type="pct"/>
            <w:tcBorders>
              <w:top w:val="single" w:sz="4" w:space="0" w:color="auto"/>
              <w:left w:val="nil"/>
              <w:bottom w:val="nil"/>
            </w:tcBorders>
            <w:shd w:val="clear" w:color="auto" w:fill="auto"/>
            <w:tcMar>
              <w:top w:w="110" w:type="dxa"/>
            </w:tcMar>
            <w:vAlign w:val="center"/>
          </w:tcPr>
          <w:p w:rsidR="00221F0B" w:rsidRPr="00B449F8" w:rsidRDefault="00221F0B" w:rsidP="00DC1333">
            <w:pPr>
              <w:jc w:val="center"/>
              <w:rPr>
                <w:b/>
                <w:bCs/>
                <w:sz w:val="16"/>
                <w:szCs w:val="16"/>
              </w:rPr>
            </w:pPr>
            <w:r w:rsidRPr="00B449F8">
              <w:rPr>
                <w:b/>
                <w:bCs/>
                <w:sz w:val="16"/>
                <w:szCs w:val="16"/>
              </w:rPr>
              <w:t>Clave de colores</w:t>
            </w:r>
          </w:p>
        </w:tc>
      </w:tr>
      <w:tr w:rsidR="00221F0B" w:rsidRPr="00B449F8" w:rsidTr="00DC1333">
        <w:trPr>
          <w:cantSplit/>
        </w:trPr>
        <w:tc>
          <w:tcPr>
            <w:tcW w:w="1121" w:type="pct"/>
            <w:tcBorders>
              <w:top w:val="nil"/>
            </w:tcBorders>
            <w:shd w:val="clear" w:color="auto" w:fill="auto"/>
          </w:tcPr>
          <w:p w:rsidR="00221F0B" w:rsidRPr="00B449F8" w:rsidRDefault="00221F0B" w:rsidP="00DC1333">
            <w:pPr>
              <w:ind w:leftChars="-1" w:left="1" w:hangingChars="2" w:hanging="3"/>
              <w:rPr>
                <w:sz w:val="16"/>
                <w:szCs w:val="16"/>
              </w:rPr>
            </w:pPr>
            <w:r w:rsidRPr="00B449F8">
              <w:rPr>
                <w:sz w:val="16"/>
                <w:szCs w:val="16"/>
              </w:rPr>
              <w:t>Porcentaje de usuarios internos y externos satisfechos de los Servicios de Conferencias de la OMPI</w:t>
            </w:r>
          </w:p>
        </w:tc>
        <w:tc>
          <w:tcPr>
            <w:tcW w:w="1121" w:type="pct"/>
            <w:tcBorders>
              <w:top w:val="nil"/>
            </w:tcBorders>
            <w:shd w:val="clear" w:color="auto" w:fill="auto"/>
          </w:tcPr>
          <w:p w:rsidR="00221F0B" w:rsidRPr="00B449F8" w:rsidRDefault="00221F0B" w:rsidP="00DC1333">
            <w:pPr>
              <w:rPr>
                <w:rFonts w:eastAsia="Batang"/>
                <w:sz w:val="16"/>
                <w:szCs w:val="16"/>
                <w:lang w:eastAsia="ja-JP"/>
              </w:rPr>
            </w:pPr>
            <w:r w:rsidRPr="00B449F8">
              <w:rPr>
                <w:i/>
                <w:color w:val="002060"/>
                <w:sz w:val="16"/>
                <w:szCs w:val="16"/>
              </w:rPr>
              <w:t>Referencia actualizada a fines de 2013</w:t>
            </w:r>
            <w:proofErr w:type="gramStart"/>
            <w:r w:rsidRPr="00B449F8">
              <w:rPr>
                <w:i/>
                <w:color w:val="002060"/>
                <w:sz w:val="16"/>
                <w:szCs w:val="16"/>
              </w:rPr>
              <w:t>:</w:t>
            </w:r>
            <w:r w:rsidRPr="00B449F8">
              <w:rPr>
                <w:i/>
                <w:sz w:val="16"/>
                <w:szCs w:val="16"/>
              </w:rPr>
              <w:t xml:space="preserve">  </w:t>
            </w:r>
            <w:r w:rsidRPr="00B449F8">
              <w:rPr>
                <w:rFonts w:eastAsia="Batang"/>
                <w:sz w:val="16"/>
                <w:szCs w:val="16"/>
                <w:lang w:eastAsia="ja-JP"/>
              </w:rPr>
              <w:t>Los</w:t>
            </w:r>
            <w:proofErr w:type="gramEnd"/>
            <w:r w:rsidRPr="00B449F8">
              <w:rPr>
                <w:rFonts w:eastAsia="Batang"/>
                <w:sz w:val="16"/>
                <w:szCs w:val="16"/>
                <w:lang w:eastAsia="ja-JP"/>
              </w:rPr>
              <w:t xml:space="preserve"> resultados de las encuestas de satisfacción realizadas en 2013 indican que el 98% de los usuarios consideró que la calidad general de los servicios de conferencias de la OMPI es excelente (64%) o buena (34%).</w:t>
            </w:r>
          </w:p>
          <w:p w:rsidR="00221F0B" w:rsidRPr="00B449F8" w:rsidRDefault="00221F0B" w:rsidP="00DC1333">
            <w:pPr>
              <w:rPr>
                <w:rFonts w:eastAsia="Batang"/>
                <w:sz w:val="16"/>
                <w:szCs w:val="16"/>
                <w:lang w:eastAsia="ja-JP"/>
              </w:rPr>
            </w:pPr>
          </w:p>
          <w:p w:rsidR="00221F0B" w:rsidRPr="00B449F8" w:rsidRDefault="00221F0B" w:rsidP="00DC1333">
            <w:pPr>
              <w:rPr>
                <w:sz w:val="16"/>
                <w:szCs w:val="16"/>
              </w:rPr>
            </w:pPr>
            <w:r w:rsidRPr="00B449F8">
              <w:rPr>
                <w:i/>
                <w:sz w:val="16"/>
                <w:szCs w:val="16"/>
              </w:rPr>
              <w:t>Referencia original en el presupuesto de 2014/15:</w:t>
            </w:r>
            <w:r w:rsidRPr="00B449F8">
              <w:rPr>
                <w:sz w:val="16"/>
                <w:szCs w:val="16"/>
              </w:rPr>
              <w:t xml:space="preserve"> Porcentaje a fines de 2013</w:t>
            </w:r>
            <w:r w:rsidRPr="00B449F8">
              <w:rPr>
                <w:sz w:val="16"/>
                <w:szCs w:val="16"/>
              </w:rPr>
              <w:br/>
            </w:r>
          </w:p>
        </w:tc>
        <w:tc>
          <w:tcPr>
            <w:tcW w:w="822" w:type="pct"/>
            <w:tcBorders>
              <w:top w:val="nil"/>
            </w:tcBorders>
            <w:shd w:val="clear" w:color="auto" w:fill="auto"/>
            <w:tcMar>
              <w:top w:w="110" w:type="dxa"/>
            </w:tcMar>
          </w:tcPr>
          <w:p w:rsidR="00221F0B" w:rsidRPr="00B449F8" w:rsidRDefault="00221F0B" w:rsidP="00DC1333">
            <w:pPr>
              <w:rPr>
                <w:sz w:val="16"/>
                <w:szCs w:val="16"/>
              </w:rPr>
            </w:pPr>
            <w:r w:rsidRPr="00B449F8">
              <w:rPr>
                <w:sz w:val="16"/>
                <w:szCs w:val="16"/>
              </w:rPr>
              <w:t>Aumento del 10% antes de 2015</w:t>
            </w:r>
          </w:p>
        </w:tc>
        <w:tc>
          <w:tcPr>
            <w:tcW w:w="1268" w:type="pct"/>
            <w:tcBorders>
              <w:top w:val="nil"/>
            </w:tcBorders>
            <w:shd w:val="clear" w:color="auto" w:fill="FFFFFF"/>
            <w:tcMar>
              <w:top w:w="110" w:type="dxa"/>
            </w:tcMar>
          </w:tcPr>
          <w:p w:rsidR="00221F0B" w:rsidRPr="00B449F8" w:rsidRDefault="00221F0B" w:rsidP="00DC1333">
            <w:pPr>
              <w:rPr>
                <w:sz w:val="16"/>
                <w:szCs w:val="16"/>
              </w:rPr>
            </w:pPr>
            <w:r w:rsidRPr="00B449F8">
              <w:rPr>
                <w:sz w:val="16"/>
                <w:szCs w:val="16"/>
              </w:rPr>
              <w:t>Los resultados de las encuestas de satisfacción realizadas en 2014 y 2015 indican que el 97% de los usuarios consideró que la calidad general de los servicios de conferencias de la OMPI fue excelente o buena en ambos años:</w:t>
            </w:r>
          </w:p>
          <w:p w:rsidR="00221F0B" w:rsidRPr="00B449F8" w:rsidRDefault="00221F0B" w:rsidP="00EB45DE">
            <w:pPr>
              <w:pStyle w:val="ListParagraph"/>
              <w:numPr>
                <w:ilvl w:val="0"/>
                <w:numId w:val="116"/>
              </w:numPr>
              <w:rPr>
                <w:rFonts w:eastAsia="Batang" w:cs="Arial"/>
                <w:sz w:val="16"/>
                <w:szCs w:val="16"/>
                <w:lang w:val="es-ES" w:eastAsia="ja-JP"/>
              </w:rPr>
            </w:pPr>
            <w:r w:rsidRPr="00B449F8">
              <w:rPr>
                <w:rFonts w:eastAsia="Batang" w:cs="Arial"/>
                <w:sz w:val="16"/>
                <w:szCs w:val="16"/>
                <w:lang w:val="es-ES" w:eastAsia="ja-JP"/>
              </w:rPr>
              <w:t>2014</w:t>
            </w:r>
            <w:proofErr w:type="gramStart"/>
            <w:r w:rsidRPr="00B449F8">
              <w:rPr>
                <w:rFonts w:eastAsia="Batang" w:cs="Arial"/>
                <w:sz w:val="16"/>
                <w:szCs w:val="16"/>
                <w:lang w:val="es-ES" w:eastAsia="ja-JP"/>
              </w:rPr>
              <w:t>:  excelente</w:t>
            </w:r>
            <w:proofErr w:type="gramEnd"/>
            <w:r w:rsidRPr="00B449F8">
              <w:rPr>
                <w:rFonts w:eastAsia="Batang" w:cs="Arial"/>
                <w:sz w:val="16"/>
                <w:szCs w:val="16"/>
                <w:lang w:val="es-ES" w:eastAsia="ja-JP"/>
              </w:rPr>
              <w:t xml:space="preserve"> (48%) o buena (49%);</w:t>
            </w:r>
          </w:p>
          <w:p w:rsidR="00221F0B" w:rsidRPr="00B449F8" w:rsidRDefault="00221F0B" w:rsidP="00EB45DE">
            <w:pPr>
              <w:pStyle w:val="ListParagraph"/>
              <w:numPr>
                <w:ilvl w:val="0"/>
                <w:numId w:val="116"/>
              </w:numPr>
              <w:rPr>
                <w:rFonts w:eastAsia="Batang" w:cs="Arial"/>
                <w:color w:val="002060"/>
                <w:sz w:val="16"/>
                <w:szCs w:val="16"/>
                <w:lang w:val="es-ES" w:eastAsia="ja-JP"/>
              </w:rPr>
            </w:pPr>
            <w:r w:rsidRPr="00B449F8">
              <w:rPr>
                <w:rFonts w:eastAsia="Batang" w:cs="Arial"/>
                <w:sz w:val="16"/>
                <w:szCs w:val="16"/>
                <w:lang w:val="es-ES" w:eastAsia="ja-JP"/>
              </w:rPr>
              <w:t>2015</w:t>
            </w:r>
            <w:proofErr w:type="gramStart"/>
            <w:r w:rsidRPr="00B449F8">
              <w:rPr>
                <w:rFonts w:eastAsia="Batang" w:cs="Arial"/>
                <w:sz w:val="16"/>
                <w:szCs w:val="16"/>
                <w:lang w:val="es-ES" w:eastAsia="ja-JP"/>
              </w:rPr>
              <w:t>:  excelente</w:t>
            </w:r>
            <w:proofErr w:type="gramEnd"/>
            <w:r w:rsidRPr="00B449F8">
              <w:rPr>
                <w:rFonts w:eastAsia="Batang" w:cs="Arial"/>
                <w:sz w:val="16"/>
                <w:szCs w:val="16"/>
                <w:lang w:val="es-ES" w:eastAsia="ja-JP"/>
              </w:rPr>
              <w:t xml:space="preserve"> (60%) o buena (37%).</w:t>
            </w:r>
          </w:p>
          <w:p w:rsidR="00221F0B" w:rsidRPr="00B449F8" w:rsidRDefault="00221F0B" w:rsidP="00DC1333">
            <w:pPr>
              <w:rPr>
                <w:sz w:val="16"/>
                <w:szCs w:val="16"/>
              </w:rPr>
            </w:pPr>
          </w:p>
        </w:tc>
        <w:tc>
          <w:tcPr>
            <w:tcW w:w="668" w:type="pct"/>
            <w:tcBorders>
              <w:top w:val="nil"/>
            </w:tcBorders>
            <w:shd w:val="clear" w:color="auto" w:fill="auto"/>
            <w:tcMar>
              <w:top w:w="110" w:type="dxa"/>
            </w:tcMar>
          </w:tcPr>
          <w:p w:rsidR="00221F0B" w:rsidRPr="00B449F8" w:rsidRDefault="00221F0B" w:rsidP="00DC1333">
            <w:pPr>
              <w:ind w:left="-108"/>
              <w:jc w:val="center"/>
              <w:rPr>
                <w:b/>
                <w:bCs/>
                <w:sz w:val="16"/>
                <w:szCs w:val="16"/>
              </w:rPr>
            </w:pPr>
            <w:r w:rsidRPr="00B449F8">
              <w:rPr>
                <w:b/>
                <w:color w:val="00B050"/>
                <w:sz w:val="16"/>
                <w:szCs w:val="16"/>
              </w:rPr>
              <w:t>Plenamente logrado</w:t>
            </w:r>
          </w:p>
        </w:tc>
      </w:tr>
      <w:tr w:rsidR="00221F0B" w:rsidRPr="00B449F8" w:rsidTr="00DC1333">
        <w:trPr>
          <w:cantSplit/>
        </w:trPr>
        <w:tc>
          <w:tcPr>
            <w:tcW w:w="1121" w:type="pct"/>
            <w:shd w:val="clear" w:color="auto" w:fill="auto"/>
          </w:tcPr>
          <w:p w:rsidR="00221F0B" w:rsidRPr="00B449F8" w:rsidRDefault="00221F0B" w:rsidP="00DC1333">
            <w:pPr>
              <w:rPr>
                <w:sz w:val="16"/>
                <w:szCs w:val="16"/>
              </w:rPr>
            </w:pPr>
            <w:r w:rsidRPr="00B449F8">
              <w:rPr>
                <w:sz w:val="16"/>
                <w:szCs w:val="16"/>
              </w:rPr>
              <w:t>Aplicación eficaz de la Política lingüística de la OMPI</w:t>
            </w:r>
          </w:p>
        </w:tc>
        <w:tc>
          <w:tcPr>
            <w:tcW w:w="1121" w:type="pct"/>
            <w:shd w:val="clear" w:color="auto" w:fill="auto"/>
          </w:tcPr>
          <w:p w:rsidR="00221F0B" w:rsidRPr="00B449F8" w:rsidRDefault="00221F0B" w:rsidP="00DC1333">
            <w:pPr>
              <w:rPr>
                <w:i/>
                <w:color w:val="002060"/>
                <w:sz w:val="16"/>
                <w:szCs w:val="16"/>
              </w:rPr>
            </w:pPr>
            <w:r w:rsidRPr="00B449F8">
              <w:rPr>
                <w:i/>
                <w:color w:val="002060"/>
                <w:sz w:val="16"/>
                <w:szCs w:val="16"/>
              </w:rPr>
              <w:t xml:space="preserve">Referencia actualizada a fines de 2013: </w:t>
            </w:r>
          </w:p>
          <w:p w:rsidR="00221F0B" w:rsidRPr="00B449F8" w:rsidRDefault="00221F0B" w:rsidP="00DC1333">
            <w:pPr>
              <w:rPr>
                <w:i/>
                <w:sz w:val="16"/>
                <w:szCs w:val="16"/>
              </w:rPr>
            </w:pPr>
            <w:r w:rsidRPr="00B449F8">
              <w:rPr>
                <w:sz w:val="16"/>
                <w:szCs w:val="16"/>
              </w:rPr>
              <w:t>La Política lingüística se amplió a todos los comités permanentes y órganos principales de la OMPI</w:t>
            </w:r>
          </w:p>
          <w:p w:rsidR="00221F0B" w:rsidRPr="00B449F8" w:rsidRDefault="00221F0B" w:rsidP="00DC1333">
            <w:pPr>
              <w:rPr>
                <w:i/>
                <w:sz w:val="16"/>
                <w:szCs w:val="16"/>
              </w:rPr>
            </w:pPr>
          </w:p>
          <w:p w:rsidR="00221F0B" w:rsidRPr="00B449F8" w:rsidRDefault="00221F0B" w:rsidP="00DC1333">
            <w:pPr>
              <w:autoSpaceDE w:val="0"/>
              <w:autoSpaceDN w:val="0"/>
              <w:adjustRightInd w:val="0"/>
              <w:rPr>
                <w:sz w:val="16"/>
                <w:szCs w:val="16"/>
              </w:rPr>
            </w:pPr>
            <w:r w:rsidRPr="00B449F8">
              <w:rPr>
                <w:i/>
                <w:sz w:val="16"/>
                <w:szCs w:val="16"/>
              </w:rPr>
              <w:t>Referencia original en el presupuesto de 2014/15:</w:t>
            </w:r>
            <w:r w:rsidRPr="00B449F8">
              <w:rPr>
                <w:sz w:val="16"/>
                <w:szCs w:val="16"/>
              </w:rPr>
              <w:br/>
              <w:t>Cobertura de idiomas</w:t>
            </w:r>
          </w:p>
          <w:p w:rsidR="00221F0B" w:rsidRPr="00B449F8" w:rsidRDefault="00221F0B" w:rsidP="00DC1333">
            <w:pPr>
              <w:autoSpaceDE w:val="0"/>
              <w:autoSpaceDN w:val="0"/>
              <w:adjustRightInd w:val="0"/>
              <w:rPr>
                <w:sz w:val="16"/>
                <w:szCs w:val="16"/>
              </w:rPr>
            </w:pPr>
            <w:r w:rsidRPr="00B449F8">
              <w:rPr>
                <w:sz w:val="16"/>
                <w:szCs w:val="16"/>
              </w:rPr>
              <w:t>limitada a determinados</w:t>
            </w:r>
          </w:p>
          <w:p w:rsidR="00221F0B" w:rsidRPr="00B449F8" w:rsidRDefault="00221F0B" w:rsidP="00DC1333">
            <w:pPr>
              <w:autoSpaceDE w:val="0"/>
              <w:autoSpaceDN w:val="0"/>
              <w:adjustRightInd w:val="0"/>
              <w:rPr>
                <w:sz w:val="16"/>
                <w:szCs w:val="16"/>
              </w:rPr>
            </w:pPr>
            <w:r w:rsidRPr="00B449F8">
              <w:rPr>
                <w:sz w:val="16"/>
                <w:szCs w:val="16"/>
              </w:rPr>
              <w:t>Comités/órganos principales; Documentos de longitud</w:t>
            </w:r>
          </w:p>
          <w:p w:rsidR="00221F0B" w:rsidRPr="00B449F8" w:rsidRDefault="00221F0B" w:rsidP="00DC1333">
            <w:pPr>
              <w:rPr>
                <w:sz w:val="16"/>
                <w:szCs w:val="16"/>
              </w:rPr>
            </w:pPr>
            <w:r w:rsidRPr="00B449F8">
              <w:rPr>
                <w:sz w:val="16"/>
                <w:szCs w:val="16"/>
              </w:rPr>
              <w:t>Variable</w:t>
            </w:r>
          </w:p>
        </w:tc>
        <w:tc>
          <w:tcPr>
            <w:tcW w:w="822" w:type="pct"/>
            <w:shd w:val="clear" w:color="auto" w:fill="auto"/>
            <w:tcMar>
              <w:top w:w="110" w:type="dxa"/>
            </w:tcMar>
          </w:tcPr>
          <w:p w:rsidR="00221F0B" w:rsidRPr="00B449F8" w:rsidRDefault="00221F0B" w:rsidP="00DC1333">
            <w:pPr>
              <w:autoSpaceDE w:val="0"/>
              <w:autoSpaceDN w:val="0"/>
              <w:adjustRightInd w:val="0"/>
              <w:rPr>
                <w:sz w:val="16"/>
                <w:szCs w:val="16"/>
              </w:rPr>
            </w:pPr>
            <w:r w:rsidRPr="00B449F8">
              <w:rPr>
                <w:sz w:val="16"/>
                <w:szCs w:val="16"/>
              </w:rPr>
              <w:t>Traducciones de calidad disponibles para todos los Comités/órganos principales;</w:t>
            </w:r>
          </w:p>
          <w:p w:rsidR="00221F0B" w:rsidRPr="00B449F8" w:rsidRDefault="00221F0B" w:rsidP="00DC1333">
            <w:pPr>
              <w:autoSpaceDE w:val="0"/>
              <w:autoSpaceDN w:val="0"/>
              <w:adjustRightInd w:val="0"/>
              <w:rPr>
                <w:sz w:val="16"/>
                <w:szCs w:val="16"/>
              </w:rPr>
            </w:pPr>
          </w:p>
          <w:p w:rsidR="00221F0B" w:rsidRPr="00B449F8" w:rsidRDefault="00221F0B" w:rsidP="00DC1333">
            <w:pPr>
              <w:rPr>
                <w:sz w:val="16"/>
                <w:szCs w:val="16"/>
              </w:rPr>
            </w:pPr>
          </w:p>
        </w:tc>
        <w:tc>
          <w:tcPr>
            <w:tcW w:w="1268" w:type="pct"/>
            <w:shd w:val="clear" w:color="auto" w:fill="FFFFFF"/>
            <w:tcMar>
              <w:top w:w="110" w:type="dxa"/>
            </w:tcMar>
          </w:tcPr>
          <w:p w:rsidR="00221F0B" w:rsidRPr="00B449F8" w:rsidRDefault="00221F0B" w:rsidP="00DC1333">
            <w:pPr>
              <w:rPr>
                <w:sz w:val="16"/>
                <w:szCs w:val="16"/>
                <w:lang w:bidi="th-TH"/>
              </w:rPr>
            </w:pPr>
            <w:r w:rsidRPr="00B449F8">
              <w:rPr>
                <w:sz w:val="16"/>
                <w:szCs w:val="16"/>
                <w:lang w:bidi="th-TH"/>
              </w:rPr>
              <w:t xml:space="preserve">En 2014/15 la cobertura en seis idiomas se amplió, además de a todos los comités u órganos principales, a cuatro grupos de trabajo:  i) el Grupo de Trabajo del PCT;  ii) el Grupo de Trabajo sobre el  Desarrollo Jurídico del Sistema de La Haya para el Registro Internacional de Dibujos y Modelos Industriales;  iii) </w:t>
            </w:r>
            <w:r w:rsidRPr="00B449F8">
              <w:rPr>
                <w:bCs/>
                <w:sz w:val="16"/>
                <w:szCs w:val="16"/>
                <w:lang w:bidi="th-TH"/>
              </w:rPr>
              <w:t>el Grupo de Trabajo sobre el Desarrollo Jurídico del Sistema de Madrid para el Registro Internacional de Marcas, y iv) el Grupo de Trabajo sobre la Revisión de la CIP.</w:t>
            </w:r>
          </w:p>
          <w:p w:rsidR="00221F0B" w:rsidRPr="00B449F8" w:rsidRDefault="00221F0B" w:rsidP="00DC1333">
            <w:pPr>
              <w:rPr>
                <w:sz w:val="16"/>
                <w:szCs w:val="16"/>
                <w:lang w:bidi="th-TH"/>
              </w:rPr>
            </w:pPr>
          </w:p>
          <w:p w:rsidR="00221F0B" w:rsidRPr="00B449F8" w:rsidRDefault="00221F0B" w:rsidP="00DC1333">
            <w:pPr>
              <w:rPr>
                <w:sz w:val="16"/>
                <w:szCs w:val="16"/>
              </w:rPr>
            </w:pPr>
          </w:p>
        </w:tc>
        <w:tc>
          <w:tcPr>
            <w:tcW w:w="668" w:type="pct"/>
            <w:shd w:val="clear" w:color="auto" w:fill="auto"/>
            <w:tcMar>
              <w:top w:w="110" w:type="dxa"/>
            </w:tcMar>
          </w:tcPr>
          <w:p w:rsidR="00221F0B" w:rsidRPr="00B449F8" w:rsidRDefault="00221F0B" w:rsidP="00DC1333">
            <w:pPr>
              <w:ind w:left="-112"/>
              <w:jc w:val="center"/>
              <w:rPr>
                <w:b/>
                <w:bCs/>
                <w:color w:val="00B050"/>
                <w:sz w:val="16"/>
                <w:szCs w:val="16"/>
              </w:rPr>
            </w:pPr>
            <w:r w:rsidRPr="00B449F8">
              <w:rPr>
                <w:b/>
                <w:color w:val="00B050"/>
                <w:sz w:val="16"/>
                <w:szCs w:val="16"/>
              </w:rPr>
              <w:t>Plenamente logrado</w:t>
            </w:r>
          </w:p>
          <w:p w:rsidR="00221F0B" w:rsidRPr="00B449F8" w:rsidRDefault="00221F0B" w:rsidP="00DC1333">
            <w:pPr>
              <w:jc w:val="center"/>
              <w:rPr>
                <w:b/>
                <w:bCs/>
                <w:color w:val="00B050"/>
                <w:sz w:val="16"/>
                <w:szCs w:val="16"/>
              </w:rPr>
            </w:pPr>
          </w:p>
          <w:p w:rsidR="00221F0B" w:rsidRPr="00B449F8" w:rsidRDefault="00221F0B" w:rsidP="00DC1333">
            <w:pPr>
              <w:jc w:val="center"/>
              <w:rPr>
                <w:b/>
                <w:bCs/>
                <w:color w:val="00B050"/>
                <w:sz w:val="16"/>
                <w:szCs w:val="16"/>
              </w:rPr>
            </w:pPr>
          </w:p>
          <w:p w:rsidR="00221F0B" w:rsidRPr="00B449F8" w:rsidRDefault="00221F0B" w:rsidP="00DC1333">
            <w:pPr>
              <w:jc w:val="center"/>
              <w:rPr>
                <w:b/>
                <w:bCs/>
                <w:color w:val="00B050"/>
                <w:sz w:val="16"/>
                <w:szCs w:val="16"/>
              </w:rPr>
            </w:pPr>
          </w:p>
          <w:p w:rsidR="00221F0B" w:rsidRPr="00B449F8" w:rsidRDefault="00221F0B" w:rsidP="00DC1333">
            <w:pPr>
              <w:jc w:val="center"/>
              <w:rPr>
                <w:b/>
                <w:bCs/>
                <w:color w:val="00B050"/>
                <w:sz w:val="16"/>
                <w:szCs w:val="16"/>
              </w:rPr>
            </w:pPr>
          </w:p>
          <w:p w:rsidR="00221F0B" w:rsidRPr="00B449F8" w:rsidRDefault="00221F0B" w:rsidP="00DC1333">
            <w:pPr>
              <w:jc w:val="center"/>
              <w:rPr>
                <w:b/>
                <w:bCs/>
                <w:color w:val="00B050"/>
                <w:sz w:val="16"/>
                <w:szCs w:val="16"/>
              </w:rPr>
            </w:pPr>
          </w:p>
          <w:p w:rsidR="00221F0B" w:rsidRPr="00B449F8" w:rsidRDefault="00221F0B" w:rsidP="00DC1333">
            <w:pPr>
              <w:jc w:val="center"/>
              <w:rPr>
                <w:b/>
                <w:bCs/>
                <w:color w:val="00B050"/>
                <w:sz w:val="16"/>
                <w:szCs w:val="16"/>
              </w:rPr>
            </w:pPr>
          </w:p>
          <w:p w:rsidR="00221F0B" w:rsidRPr="00B449F8" w:rsidRDefault="00221F0B" w:rsidP="00DC1333">
            <w:pPr>
              <w:jc w:val="center"/>
              <w:rPr>
                <w:b/>
                <w:bCs/>
                <w:color w:val="00B050"/>
                <w:sz w:val="16"/>
                <w:szCs w:val="16"/>
              </w:rPr>
            </w:pPr>
          </w:p>
          <w:p w:rsidR="00221F0B" w:rsidRPr="00B449F8" w:rsidRDefault="00221F0B" w:rsidP="00DC1333">
            <w:pPr>
              <w:jc w:val="center"/>
              <w:rPr>
                <w:b/>
                <w:bCs/>
                <w:color w:val="00B050"/>
                <w:sz w:val="16"/>
                <w:szCs w:val="16"/>
              </w:rPr>
            </w:pPr>
          </w:p>
          <w:p w:rsidR="00221F0B" w:rsidRPr="00B449F8" w:rsidRDefault="00221F0B" w:rsidP="00DC1333">
            <w:pPr>
              <w:jc w:val="center"/>
              <w:rPr>
                <w:b/>
                <w:bCs/>
                <w:color w:val="00B050"/>
                <w:sz w:val="16"/>
                <w:szCs w:val="16"/>
              </w:rPr>
            </w:pPr>
          </w:p>
          <w:p w:rsidR="00221F0B" w:rsidRPr="00B449F8" w:rsidRDefault="00221F0B" w:rsidP="00DC1333">
            <w:pPr>
              <w:jc w:val="center"/>
              <w:rPr>
                <w:b/>
                <w:bCs/>
                <w:color w:val="00B050"/>
                <w:sz w:val="16"/>
                <w:szCs w:val="16"/>
              </w:rPr>
            </w:pPr>
          </w:p>
          <w:p w:rsidR="00221F0B" w:rsidRPr="00B449F8" w:rsidRDefault="00221F0B" w:rsidP="00DC1333">
            <w:pPr>
              <w:jc w:val="center"/>
              <w:rPr>
                <w:b/>
                <w:bCs/>
                <w:color w:val="00B050"/>
                <w:sz w:val="16"/>
                <w:szCs w:val="16"/>
              </w:rPr>
            </w:pPr>
          </w:p>
          <w:p w:rsidR="00221F0B" w:rsidRPr="00B449F8" w:rsidRDefault="00221F0B" w:rsidP="00DC1333">
            <w:pPr>
              <w:jc w:val="center"/>
              <w:rPr>
                <w:b/>
                <w:bCs/>
                <w:color w:val="00B050"/>
                <w:sz w:val="16"/>
                <w:szCs w:val="16"/>
              </w:rPr>
            </w:pPr>
          </w:p>
          <w:p w:rsidR="00221F0B" w:rsidRPr="00B449F8" w:rsidRDefault="00221F0B" w:rsidP="00DC1333">
            <w:pPr>
              <w:jc w:val="center"/>
              <w:rPr>
                <w:b/>
                <w:bCs/>
                <w:color w:val="00B050"/>
                <w:sz w:val="16"/>
                <w:szCs w:val="16"/>
              </w:rPr>
            </w:pPr>
          </w:p>
          <w:p w:rsidR="00221F0B" w:rsidRPr="00B449F8" w:rsidRDefault="00221F0B" w:rsidP="00DC1333">
            <w:pPr>
              <w:jc w:val="center"/>
              <w:rPr>
                <w:b/>
                <w:bCs/>
                <w:color w:val="00B050"/>
                <w:sz w:val="16"/>
                <w:szCs w:val="16"/>
              </w:rPr>
            </w:pPr>
          </w:p>
          <w:p w:rsidR="00221F0B" w:rsidRPr="00B449F8" w:rsidRDefault="00221F0B" w:rsidP="00DC1333">
            <w:pPr>
              <w:jc w:val="center"/>
              <w:rPr>
                <w:b/>
                <w:bCs/>
                <w:color w:val="00B050"/>
                <w:sz w:val="16"/>
                <w:szCs w:val="16"/>
              </w:rPr>
            </w:pPr>
          </w:p>
          <w:p w:rsidR="00221F0B" w:rsidRPr="00B449F8" w:rsidRDefault="00221F0B" w:rsidP="00DC1333">
            <w:pPr>
              <w:jc w:val="center"/>
              <w:rPr>
                <w:b/>
                <w:bCs/>
                <w:color w:val="00B050"/>
                <w:sz w:val="16"/>
                <w:szCs w:val="16"/>
              </w:rPr>
            </w:pPr>
          </w:p>
          <w:p w:rsidR="00221F0B" w:rsidRPr="00B449F8" w:rsidRDefault="00221F0B" w:rsidP="00DC1333">
            <w:pPr>
              <w:jc w:val="center"/>
              <w:rPr>
                <w:b/>
                <w:bCs/>
                <w:color w:val="00B050"/>
                <w:sz w:val="16"/>
                <w:szCs w:val="16"/>
              </w:rPr>
            </w:pPr>
          </w:p>
          <w:p w:rsidR="00221F0B" w:rsidRPr="00B449F8" w:rsidRDefault="00221F0B" w:rsidP="00DC1333">
            <w:pPr>
              <w:jc w:val="center"/>
              <w:rPr>
                <w:b/>
                <w:bCs/>
                <w:color w:val="00B050"/>
                <w:sz w:val="16"/>
                <w:szCs w:val="16"/>
              </w:rPr>
            </w:pPr>
          </w:p>
          <w:p w:rsidR="00221F0B" w:rsidRPr="00B449F8" w:rsidRDefault="00221F0B" w:rsidP="00DC1333">
            <w:pPr>
              <w:jc w:val="center"/>
              <w:rPr>
                <w:b/>
                <w:bCs/>
                <w:color w:val="00B050"/>
                <w:sz w:val="16"/>
                <w:szCs w:val="16"/>
              </w:rPr>
            </w:pPr>
          </w:p>
          <w:p w:rsidR="00221F0B" w:rsidRPr="00B449F8" w:rsidRDefault="00221F0B" w:rsidP="00DC1333">
            <w:pPr>
              <w:jc w:val="center"/>
              <w:rPr>
                <w:b/>
                <w:bCs/>
                <w:color w:val="00B050"/>
                <w:sz w:val="16"/>
                <w:szCs w:val="16"/>
              </w:rPr>
            </w:pPr>
          </w:p>
        </w:tc>
      </w:tr>
      <w:tr w:rsidR="00E11BBF" w:rsidRPr="00B449F8" w:rsidTr="00DC1333">
        <w:trPr>
          <w:cantSplit/>
        </w:trPr>
        <w:tc>
          <w:tcPr>
            <w:tcW w:w="1121" w:type="pct"/>
            <w:shd w:val="clear" w:color="auto" w:fill="auto"/>
          </w:tcPr>
          <w:p w:rsidR="00E11BBF" w:rsidRPr="00B449F8" w:rsidRDefault="00E11BBF" w:rsidP="00E11BBF">
            <w:pPr>
              <w:rPr>
                <w:sz w:val="16"/>
                <w:szCs w:val="16"/>
              </w:rPr>
            </w:pPr>
          </w:p>
        </w:tc>
        <w:tc>
          <w:tcPr>
            <w:tcW w:w="1121" w:type="pct"/>
            <w:shd w:val="clear" w:color="auto" w:fill="auto"/>
          </w:tcPr>
          <w:p w:rsidR="00E11BBF" w:rsidRPr="00B449F8" w:rsidRDefault="00E11BBF" w:rsidP="00E11BBF">
            <w:pPr>
              <w:rPr>
                <w:i/>
                <w:color w:val="002060"/>
                <w:sz w:val="16"/>
                <w:szCs w:val="16"/>
              </w:rPr>
            </w:pPr>
          </w:p>
        </w:tc>
        <w:tc>
          <w:tcPr>
            <w:tcW w:w="822" w:type="pct"/>
            <w:shd w:val="clear" w:color="auto" w:fill="auto"/>
            <w:tcMar>
              <w:top w:w="110" w:type="dxa"/>
            </w:tcMar>
          </w:tcPr>
          <w:p w:rsidR="00E11BBF" w:rsidRPr="00B449F8" w:rsidRDefault="00E11BBF" w:rsidP="00E11BBF">
            <w:pPr>
              <w:rPr>
                <w:rFonts w:eastAsia="Batang"/>
                <w:i/>
                <w:color w:val="002060"/>
                <w:sz w:val="16"/>
                <w:szCs w:val="16"/>
                <w:lang w:eastAsia="ja-JP"/>
              </w:rPr>
            </w:pPr>
            <w:r w:rsidRPr="00B449F8">
              <w:rPr>
                <w:sz w:val="16"/>
                <w:szCs w:val="16"/>
              </w:rPr>
              <w:t>La longitud de los documentos de los Comités/órganos principales se reduce a 3.300 palabras</w:t>
            </w:r>
          </w:p>
        </w:tc>
        <w:tc>
          <w:tcPr>
            <w:tcW w:w="1268" w:type="pct"/>
            <w:shd w:val="clear" w:color="auto" w:fill="FFFFFF"/>
            <w:tcMar>
              <w:top w:w="110" w:type="dxa"/>
            </w:tcMar>
          </w:tcPr>
          <w:p w:rsidR="00E11BBF" w:rsidRPr="00B449F8" w:rsidRDefault="00E11BBF" w:rsidP="00E11BBF">
            <w:pPr>
              <w:rPr>
                <w:sz w:val="16"/>
                <w:szCs w:val="16"/>
              </w:rPr>
            </w:pPr>
            <w:r w:rsidRPr="00B449F8">
              <w:rPr>
                <w:sz w:val="16"/>
                <w:szCs w:val="16"/>
                <w:lang w:bidi="th-TH"/>
              </w:rPr>
              <w:t>Aproximadamente el 87% de los documentos recibidos para traducción (3.489 de un total de 4.030 documentos) se mantuvieron por debajo de las 3.300 palabras.  El resto, que excedió este límite de palabras, eran principalmente publicaciones, actas literales u otros informes anuales, documentos que contienen recopilaciones de prácticas en los Estados miembros y documentos preparados en respuesta a solicitudes concretas de los Estados miembros, que no están sujetos a esa limitación de extensión.</w:t>
            </w:r>
          </w:p>
        </w:tc>
        <w:tc>
          <w:tcPr>
            <w:tcW w:w="668" w:type="pct"/>
            <w:shd w:val="clear" w:color="auto" w:fill="auto"/>
            <w:tcMar>
              <w:top w:w="110" w:type="dxa"/>
            </w:tcMar>
          </w:tcPr>
          <w:p w:rsidR="00E11BBF" w:rsidRPr="00B449F8" w:rsidRDefault="00E11BBF" w:rsidP="00E11BBF">
            <w:pPr>
              <w:ind w:left="-112"/>
              <w:jc w:val="center"/>
              <w:rPr>
                <w:b/>
                <w:color w:val="00B050"/>
                <w:sz w:val="16"/>
                <w:szCs w:val="16"/>
              </w:rPr>
            </w:pPr>
            <w:r w:rsidRPr="00B449F8">
              <w:rPr>
                <w:b/>
                <w:color w:val="00B050"/>
                <w:sz w:val="16"/>
                <w:szCs w:val="16"/>
              </w:rPr>
              <w:t>Plenamente logrado</w:t>
            </w:r>
          </w:p>
        </w:tc>
      </w:tr>
      <w:tr w:rsidR="00221F0B" w:rsidRPr="00B449F8" w:rsidTr="00DC1333">
        <w:trPr>
          <w:cantSplit/>
        </w:trPr>
        <w:tc>
          <w:tcPr>
            <w:tcW w:w="1121" w:type="pct"/>
            <w:shd w:val="clear" w:color="auto" w:fill="auto"/>
          </w:tcPr>
          <w:p w:rsidR="00221F0B" w:rsidRPr="00B449F8" w:rsidRDefault="00221F0B" w:rsidP="00E11BBF">
            <w:pPr>
              <w:rPr>
                <w:sz w:val="16"/>
                <w:szCs w:val="16"/>
              </w:rPr>
            </w:pPr>
            <w:r w:rsidRPr="00B449F8">
              <w:rPr>
                <w:sz w:val="16"/>
                <w:szCs w:val="16"/>
              </w:rPr>
              <w:t>Costo por palabra traducida</w:t>
            </w:r>
          </w:p>
        </w:tc>
        <w:tc>
          <w:tcPr>
            <w:tcW w:w="1121" w:type="pct"/>
            <w:shd w:val="clear" w:color="auto" w:fill="auto"/>
          </w:tcPr>
          <w:p w:rsidR="00221F0B" w:rsidRPr="00B449F8" w:rsidRDefault="00221F0B" w:rsidP="00E11BBF">
            <w:pPr>
              <w:rPr>
                <w:i/>
                <w:color w:val="002060"/>
                <w:sz w:val="16"/>
                <w:szCs w:val="16"/>
              </w:rPr>
            </w:pPr>
            <w:r w:rsidRPr="00B449F8">
              <w:rPr>
                <w:i/>
                <w:color w:val="002060"/>
                <w:sz w:val="16"/>
                <w:szCs w:val="16"/>
              </w:rPr>
              <w:t xml:space="preserve">Referencia actualizada a fines de 2013: </w:t>
            </w:r>
          </w:p>
          <w:p w:rsidR="00221F0B" w:rsidRPr="00B449F8" w:rsidRDefault="00221F0B" w:rsidP="00E11BBF">
            <w:pPr>
              <w:autoSpaceDE w:val="0"/>
              <w:autoSpaceDN w:val="0"/>
              <w:adjustRightInd w:val="0"/>
              <w:rPr>
                <w:rFonts w:eastAsia="Batang"/>
                <w:color w:val="002060"/>
                <w:sz w:val="16"/>
                <w:szCs w:val="16"/>
                <w:lang w:eastAsia="ja-JP"/>
              </w:rPr>
            </w:pPr>
            <w:r w:rsidRPr="00B449F8">
              <w:rPr>
                <w:color w:val="002060"/>
                <w:sz w:val="16"/>
                <w:szCs w:val="16"/>
              </w:rPr>
              <w:t xml:space="preserve">0,63 francos suizos por palabra de media </w:t>
            </w:r>
          </w:p>
          <w:p w:rsidR="00221F0B" w:rsidRPr="00B449F8" w:rsidRDefault="00221F0B" w:rsidP="00E11BBF">
            <w:pPr>
              <w:rPr>
                <w:i/>
                <w:sz w:val="8"/>
                <w:szCs w:val="8"/>
              </w:rPr>
            </w:pPr>
          </w:p>
          <w:p w:rsidR="00221F0B" w:rsidRPr="00B449F8" w:rsidRDefault="00221F0B" w:rsidP="00E11BBF">
            <w:pPr>
              <w:rPr>
                <w:sz w:val="16"/>
                <w:szCs w:val="16"/>
              </w:rPr>
            </w:pPr>
            <w:r w:rsidRPr="00B449F8">
              <w:rPr>
                <w:i/>
                <w:sz w:val="16"/>
                <w:szCs w:val="16"/>
              </w:rPr>
              <w:t xml:space="preserve">Referencia original en el presupuesto de 2014/15: </w:t>
            </w:r>
            <w:r w:rsidRPr="00B449F8">
              <w:rPr>
                <w:sz w:val="16"/>
                <w:szCs w:val="16"/>
              </w:rPr>
              <w:t>Por determinar</w:t>
            </w:r>
          </w:p>
          <w:p w:rsidR="00221F0B" w:rsidRPr="00B449F8" w:rsidRDefault="00221F0B" w:rsidP="00E11BBF">
            <w:pPr>
              <w:rPr>
                <w:sz w:val="16"/>
                <w:szCs w:val="16"/>
              </w:rPr>
            </w:pPr>
          </w:p>
        </w:tc>
        <w:tc>
          <w:tcPr>
            <w:tcW w:w="822" w:type="pct"/>
            <w:shd w:val="clear" w:color="auto" w:fill="auto"/>
            <w:tcMar>
              <w:top w:w="110" w:type="dxa"/>
            </w:tcMar>
          </w:tcPr>
          <w:p w:rsidR="00221F0B" w:rsidRPr="00B449F8" w:rsidRDefault="00221F0B" w:rsidP="00E11BBF">
            <w:pPr>
              <w:rPr>
                <w:rFonts w:eastAsia="Batang"/>
                <w:color w:val="002060"/>
                <w:sz w:val="16"/>
                <w:szCs w:val="16"/>
                <w:lang w:eastAsia="ja-JP"/>
              </w:rPr>
            </w:pPr>
            <w:r w:rsidRPr="00B449F8">
              <w:rPr>
                <w:rFonts w:eastAsia="Batang"/>
                <w:i/>
                <w:color w:val="002060"/>
                <w:sz w:val="16"/>
                <w:szCs w:val="16"/>
                <w:lang w:eastAsia="ja-JP"/>
              </w:rPr>
              <w:t xml:space="preserve">Objetivo definido: Mantener la media de traducción </w:t>
            </w:r>
          </w:p>
          <w:p w:rsidR="00221F0B" w:rsidRPr="00B449F8" w:rsidRDefault="00221F0B" w:rsidP="00E11BBF">
            <w:pPr>
              <w:rPr>
                <w:rFonts w:eastAsia="Batang"/>
                <w:color w:val="002060"/>
                <w:sz w:val="16"/>
                <w:szCs w:val="16"/>
                <w:lang w:eastAsia="ja-JP"/>
              </w:rPr>
            </w:pPr>
          </w:p>
          <w:p w:rsidR="00221F0B" w:rsidRPr="00B449F8" w:rsidRDefault="00221F0B" w:rsidP="00E11BBF">
            <w:pPr>
              <w:rPr>
                <w:sz w:val="16"/>
                <w:szCs w:val="16"/>
              </w:rPr>
            </w:pPr>
            <w:r w:rsidRPr="00B449F8">
              <w:rPr>
                <w:rFonts w:eastAsia="Batang"/>
                <w:i/>
                <w:sz w:val="16"/>
                <w:szCs w:val="16"/>
                <w:lang w:eastAsia="ja-JP"/>
              </w:rPr>
              <w:t xml:space="preserve">Objetivo original en el </w:t>
            </w:r>
            <w:proofErr w:type="spellStart"/>
            <w:r w:rsidRPr="00B449F8">
              <w:rPr>
                <w:rFonts w:eastAsia="Batang"/>
                <w:i/>
                <w:sz w:val="16"/>
                <w:szCs w:val="16"/>
                <w:lang w:eastAsia="ja-JP"/>
              </w:rPr>
              <w:t>presup</w:t>
            </w:r>
            <w:proofErr w:type="spellEnd"/>
            <w:r w:rsidRPr="00B449F8">
              <w:rPr>
                <w:rFonts w:eastAsia="Batang"/>
                <w:i/>
                <w:sz w:val="16"/>
                <w:szCs w:val="16"/>
                <w:lang w:eastAsia="ja-JP"/>
              </w:rPr>
              <w:t xml:space="preserve">. 2014/15: </w:t>
            </w:r>
            <w:r w:rsidRPr="00B449F8">
              <w:rPr>
                <w:rFonts w:eastAsia="Batang"/>
                <w:sz w:val="16"/>
                <w:szCs w:val="16"/>
                <w:lang w:eastAsia="ja-JP"/>
              </w:rPr>
              <w:t>por determinar</w:t>
            </w:r>
          </w:p>
        </w:tc>
        <w:tc>
          <w:tcPr>
            <w:tcW w:w="1268" w:type="pct"/>
            <w:shd w:val="clear" w:color="auto" w:fill="FFFFFF"/>
            <w:tcMar>
              <w:top w:w="110" w:type="dxa"/>
            </w:tcMar>
          </w:tcPr>
          <w:p w:rsidR="00221F0B" w:rsidRPr="00B449F8" w:rsidRDefault="00221F0B" w:rsidP="00E11BBF">
            <w:pPr>
              <w:rPr>
                <w:sz w:val="16"/>
                <w:szCs w:val="16"/>
              </w:rPr>
            </w:pPr>
            <w:r w:rsidRPr="00B449F8">
              <w:rPr>
                <w:sz w:val="16"/>
                <w:szCs w:val="16"/>
              </w:rPr>
              <w:t>El costo por palabra traducida fue:</w:t>
            </w:r>
          </w:p>
          <w:p w:rsidR="00221F0B" w:rsidRPr="00B449F8" w:rsidRDefault="00221F0B" w:rsidP="00E11BBF">
            <w:pPr>
              <w:rPr>
                <w:sz w:val="16"/>
                <w:szCs w:val="16"/>
              </w:rPr>
            </w:pPr>
            <w:r w:rsidRPr="00B449F8">
              <w:rPr>
                <w:sz w:val="16"/>
                <w:szCs w:val="16"/>
              </w:rPr>
              <w:t>- 0,59 francos suizos en 2014 (reducción del 6,3% en comparación con 2013)</w:t>
            </w:r>
          </w:p>
          <w:p w:rsidR="00221F0B" w:rsidRPr="00B449F8" w:rsidRDefault="00221F0B" w:rsidP="00E11BBF">
            <w:pPr>
              <w:rPr>
                <w:sz w:val="16"/>
                <w:szCs w:val="16"/>
              </w:rPr>
            </w:pPr>
            <w:r w:rsidRPr="00B449F8">
              <w:rPr>
                <w:sz w:val="16"/>
                <w:szCs w:val="16"/>
              </w:rPr>
              <w:t>- 0,57 francos suizos en 2015 (reducción del 3,4% en comparación con 2014)</w:t>
            </w:r>
          </w:p>
          <w:p w:rsidR="00221F0B" w:rsidRPr="00B449F8" w:rsidRDefault="00221F0B" w:rsidP="00E11BBF">
            <w:pPr>
              <w:rPr>
                <w:sz w:val="16"/>
                <w:szCs w:val="16"/>
              </w:rPr>
            </w:pPr>
          </w:p>
          <w:p w:rsidR="00221F0B" w:rsidRPr="00B449F8" w:rsidRDefault="00221F0B" w:rsidP="00E11BBF">
            <w:pPr>
              <w:rPr>
                <w:sz w:val="16"/>
                <w:szCs w:val="16"/>
              </w:rPr>
            </w:pPr>
          </w:p>
          <w:p w:rsidR="00221F0B" w:rsidRPr="00B449F8" w:rsidRDefault="00221F0B" w:rsidP="00E11BBF">
            <w:pPr>
              <w:rPr>
                <w:sz w:val="16"/>
                <w:szCs w:val="16"/>
              </w:rPr>
            </w:pPr>
            <w:r w:rsidRPr="00B449F8">
              <w:rPr>
                <w:sz w:val="16"/>
                <w:szCs w:val="16"/>
              </w:rPr>
              <w:t>En 2014 se tradujeron un total de 15,03 millones de palabras (45.537 páginas estándar de las Naciones Unidas), y 15,32 millones de palabras (46.420 páginas) en 2015.</w:t>
            </w:r>
          </w:p>
        </w:tc>
        <w:tc>
          <w:tcPr>
            <w:tcW w:w="668" w:type="pct"/>
            <w:shd w:val="clear" w:color="auto" w:fill="auto"/>
            <w:tcMar>
              <w:top w:w="110" w:type="dxa"/>
            </w:tcMar>
          </w:tcPr>
          <w:p w:rsidR="00221F0B" w:rsidRPr="00B449F8" w:rsidRDefault="00221F0B" w:rsidP="00E11BBF">
            <w:pPr>
              <w:ind w:left="-112"/>
              <w:jc w:val="center"/>
              <w:rPr>
                <w:bCs/>
                <w:color w:val="808080"/>
                <w:sz w:val="16"/>
                <w:szCs w:val="16"/>
              </w:rPr>
            </w:pPr>
            <w:r w:rsidRPr="00B449F8">
              <w:rPr>
                <w:b/>
                <w:color w:val="00B050"/>
                <w:sz w:val="16"/>
                <w:szCs w:val="16"/>
              </w:rPr>
              <w:t>Plenamente logrado</w:t>
            </w:r>
          </w:p>
        </w:tc>
      </w:tr>
      <w:tr w:rsidR="00221F0B" w:rsidRPr="00B449F8" w:rsidTr="00DC1333">
        <w:trPr>
          <w:cantSplit/>
        </w:trPr>
        <w:tc>
          <w:tcPr>
            <w:tcW w:w="1121" w:type="pct"/>
            <w:shd w:val="clear" w:color="auto" w:fill="auto"/>
          </w:tcPr>
          <w:p w:rsidR="00221F0B" w:rsidRPr="00B449F8" w:rsidRDefault="00221F0B" w:rsidP="00DC1333">
            <w:pPr>
              <w:rPr>
                <w:sz w:val="16"/>
                <w:szCs w:val="16"/>
              </w:rPr>
            </w:pPr>
            <w:r w:rsidRPr="00B449F8">
              <w:rPr>
                <w:sz w:val="16"/>
                <w:szCs w:val="16"/>
              </w:rPr>
              <w:t>Calidad de las traducciones</w:t>
            </w:r>
          </w:p>
        </w:tc>
        <w:tc>
          <w:tcPr>
            <w:tcW w:w="1121" w:type="pct"/>
            <w:shd w:val="clear" w:color="auto" w:fill="auto"/>
          </w:tcPr>
          <w:p w:rsidR="00221F0B" w:rsidRPr="00B449F8" w:rsidRDefault="00221F0B" w:rsidP="00DC1333">
            <w:pPr>
              <w:rPr>
                <w:i/>
                <w:color w:val="002060"/>
                <w:sz w:val="16"/>
                <w:szCs w:val="16"/>
              </w:rPr>
            </w:pPr>
            <w:r w:rsidRPr="00B449F8">
              <w:rPr>
                <w:i/>
                <w:color w:val="002060"/>
                <w:sz w:val="16"/>
                <w:szCs w:val="16"/>
              </w:rPr>
              <w:t xml:space="preserve">Referencia actualizada a fines de 2013: </w:t>
            </w:r>
          </w:p>
          <w:p w:rsidR="00221F0B" w:rsidRPr="00B449F8" w:rsidRDefault="00221F0B" w:rsidP="00DC1333">
            <w:pPr>
              <w:autoSpaceDE w:val="0"/>
              <w:autoSpaceDN w:val="0"/>
              <w:adjustRightInd w:val="0"/>
              <w:rPr>
                <w:rFonts w:eastAsia="Batang"/>
                <w:color w:val="002060"/>
                <w:sz w:val="16"/>
                <w:szCs w:val="16"/>
                <w:lang w:eastAsia="ja-JP"/>
              </w:rPr>
            </w:pPr>
            <w:r w:rsidRPr="00B449F8">
              <w:rPr>
                <w:rFonts w:eastAsia="Batang"/>
                <w:color w:val="002060"/>
                <w:sz w:val="16"/>
                <w:szCs w:val="16"/>
                <w:lang w:eastAsia="ja-JP"/>
              </w:rPr>
              <w:t>96% de documentos que</w:t>
            </w:r>
          </w:p>
          <w:p w:rsidR="00221F0B" w:rsidRPr="00B449F8" w:rsidRDefault="00221F0B" w:rsidP="00DC1333">
            <w:pPr>
              <w:autoSpaceDE w:val="0"/>
              <w:autoSpaceDN w:val="0"/>
              <w:adjustRightInd w:val="0"/>
              <w:rPr>
                <w:rFonts w:eastAsia="Batang"/>
                <w:color w:val="002060"/>
                <w:sz w:val="16"/>
                <w:szCs w:val="16"/>
                <w:lang w:eastAsia="ja-JP"/>
              </w:rPr>
            </w:pPr>
            <w:r w:rsidRPr="00B449F8">
              <w:rPr>
                <w:rFonts w:eastAsia="Batang"/>
                <w:color w:val="002060"/>
                <w:sz w:val="16"/>
                <w:szCs w:val="16"/>
                <w:lang w:eastAsia="ja-JP"/>
              </w:rPr>
              <w:t>respetan los criterios</w:t>
            </w:r>
          </w:p>
          <w:p w:rsidR="00221F0B" w:rsidRPr="00B449F8" w:rsidRDefault="00221F0B" w:rsidP="00DC1333">
            <w:pPr>
              <w:autoSpaceDE w:val="0"/>
              <w:autoSpaceDN w:val="0"/>
              <w:adjustRightInd w:val="0"/>
              <w:rPr>
                <w:rFonts w:eastAsia="Batang"/>
                <w:color w:val="002060"/>
                <w:sz w:val="16"/>
                <w:szCs w:val="16"/>
                <w:lang w:eastAsia="ja-JP"/>
              </w:rPr>
            </w:pPr>
            <w:r w:rsidRPr="00B449F8">
              <w:rPr>
                <w:rFonts w:eastAsia="Batang"/>
                <w:color w:val="002060"/>
                <w:sz w:val="16"/>
                <w:szCs w:val="16"/>
                <w:lang w:eastAsia="ja-JP"/>
              </w:rPr>
              <w:t xml:space="preserve">de calidad </w:t>
            </w:r>
          </w:p>
          <w:p w:rsidR="00221F0B" w:rsidRPr="00B449F8" w:rsidRDefault="00221F0B" w:rsidP="00DC1333">
            <w:pPr>
              <w:keepNext/>
              <w:rPr>
                <w:i/>
                <w:sz w:val="8"/>
                <w:szCs w:val="8"/>
              </w:rPr>
            </w:pPr>
          </w:p>
          <w:p w:rsidR="00221F0B" w:rsidRPr="00B449F8" w:rsidRDefault="00221F0B" w:rsidP="00DC1333">
            <w:pPr>
              <w:rPr>
                <w:sz w:val="16"/>
                <w:szCs w:val="16"/>
              </w:rPr>
            </w:pPr>
            <w:r w:rsidRPr="00B449F8">
              <w:rPr>
                <w:i/>
                <w:sz w:val="16"/>
                <w:szCs w:val="16"/>
              </w:rPr>
              <w:t xml:space="preserve">Referencia original en el presupuesto de 2014/15: </w:t>
            </w:r>
            <w:r w:rsidRPr="00B449F8">
              <w:rPr>
                <w:sz w:val="16"/>
                <w:szCs w:val="16"/>
              </w:rPr>
              <w:t>Porcentaje de documentos que respetan los criterios</w:t>
            </w:r>
          </w:p>
          <w:p w:rsidR="00221F0B" w:rsidRPr="00B449F8" w:rsidRDefault="00221F0B" w:rsidP="00DC1333">
            <w:pPr>
              <w:rPr>
                <w:sz w:val="16"/>
                <w:szCs w:val="16"/>
              </w:rPr>
            </w:pPr>
            <w:r w:rsidRPr="00B449F8">
              <w:rPr>
                <w:sz w:val="16"/>
                <w:szCs w:val="16"/>
              </w:rPr>
              <w:t>de calidad</w:t>
            </w:r>
          </w:p>
        </w:tc>
        <w:tc>
          <w:tcPr>
            <w:tcW w:w="822" w:type="pct"/>
            <w:shd w:val="clear" w:color="auto" w:fill="auto"/>
            <w:tcMar>
              <w:top w:w="110" w:type="dxa"/>
            </w:tcMar>
          </w:tcPr>
          <w:p w:rsidR="00221F0B" w:rsidRPr="00B449F8" w:rsidRDefault="00221F0B" w:rsidP="00DC1333">
            <w:pPr>
              <w:autoSpaceDE w:val="0"/>
              <w:autoSpaceDN w:val="0"/>
              <w:adjustRightInd w:val="0"/>
              <w:rPr>
                <w:rFonts w:eastAsia="Batang"/>
                <w:sz w:val="16"/>
                <w:szCs w:val="16"/>
                <w:lang w:eastAsia="ja-JP"/>
              </w:rPr>
            </w:pPr>
            <w:r w:rsidRPr="00B449F8">
              <w:rPr>
                <w:rFonts w:eastAsia="Batang"/>
                <w:sz w:val="16"/>
                <w:szCs w:val="16"/>
                <w:lang w:eastAsia="ja-JP"/>
              </w:rPr>
              <w:t>Porcentaje de documentos que respetan los criterios de calidad</w:t>
            </w:r>
          </w:p>
          <w:p w:rsidR="00221F0B" w:rsidRPr="00B449F8" w:rsidRDefault="00221F0B" w:rsidP="00DC1333">
            <w:pPr>
              <w:autoSpaceDE w:val="0"/>
              <w:autoSpaceDN w:val="0"/>
              <w:adjustRightInd w:val="0"/>
              <w:rPr>
                <w:rFonts w:eastAsia="Batang"/>
                <w:sz w:val="16"/>
                <w:szCs w:val="16"/>
                <w:lang w:eastAsia="ja-JP"/>
              </w:rPr>
            </w:pPr>
          </w:p>
        </w:tc>
        <w:tc>
          <w:tcPr>
            <w:tcW w:w="1268" w:type="pct"/>
            <w:shd w:val="clear" w:color="auto" w:fill="FFFFFF"/>
            <w:tcMar>
              <w:top w:w="110" w:type="dxa"/>
            </w:tcMar>
          </w:tcPr>
          <w:p w:rsidR="00221F0B" w:rsidRPr="00B449F8" w:rsidRDefault="00221F0B" w:rsidP="00DC1333">
            <w:pPr>
              <w:rPr>
                <w:sz w:val="16"/>
                <w:szCs w:val="16"/>
              </w:rPr>
            </w:pPr>
            <w:r w:rsidRPr="00B449F8">
              <w:rPr>
                <w:sz w:val="16"/>
                <w:szCs w:val="16"/>
              </w:rPr>
              <w:t>En 2014/15 el grado de satisfacción de los usuarios en relación con la calidad de las traducciones fue del 96%</w:t>
            </w:r>
          </w:p>
        </w:tc>
        <w:tc>
          <w:tcPr>
            <w:tcW w:w="668" w:type="pct"/>
            <w:shd w:val="clear" w:color="auto" w:fill="auto"/>
            <w:tcMar>
              <w:top w:w="110" w:type="dxa"/>
            </w:tcMar>
          </w:tcPr>
          <w:p w:rsidR="00221F0B" w:rsidRPr="00B449F8" w:rsidRDefault="00221F0B" w:rsidP="00DC1333">
            <w:pPr>
              <w:keepNext/>
              <w:keepLines/>
              <w:jc w:val="center"/>
              <w:rPr>
                <w:bCs/>
                <w:color w:val="808080" w:themeColor="background1" w:themeShade="80"/>
                <w:sz w:val="16"/>
                <w:szCs w:val="16"/>
              </w:rPr>
            </w:pPr>
            <w:r w:rsidRPr="00B449F8">
              <w:rPr>
                <w:bCs/>
                <w:color w:val="808080" w:themeColor="background1" w:themeShade="80"/>
                <w:sz w:val="16"/>
                <w:szCs w:val="16"/>
              </w:rPr>
              <w:t xml:space="preserve">No </w:t>
            </w:r>
          </w:p>
          <w:p w:rsidR="00221F0B" w:rsidRPr="00B449F8" w:rsidRDefault="00221F0B" w:rsidP="00DC1333">
            <w:pPr>
              <w:keepNext/>
              <w:keepLines/>
              <w:rPr>
                <w:bCs/>
                <w:color w:val="808080"/>
                <w:sz w:val="12"/>
                <w:szCs w:val="12"/>
              </w:rPr>
            </w:pPr>
            <w:r w:rsidRPr="00B449F8">
              <w:rPr>
                <w:bCs/>
                <w:color w:val="808080" w:themeColor="background1" w:themeShade="80"/>
                <w:sz w:val="16"/>
                <w:szCs w:val="16"/>
              </w:rPr>
              <w:t>mensurable</w:t>
            </w:r>
          </w:p>
        </w:tc>
      </w:tr>
      <w:tr w:rsidR="00221F0B" w:rsidRPr="00B449F8" w:rsidTr="00DC1333">
        <w:trPr>
          <w:cantSplit/>
        </w:trPr>
        <w:tc>
          <w:tcPr>
            <w:tcW w:w="1121" w:type="pct"/>
            <w:shd w:val="clear" w:color="auto" w:fill="auto"/>
          </w:tcPr>
          <w:p w:rsidR="00221F0B" w:rsidRPr="00B449F8" w:rsidRDefault="00221F0B" w:rsidP="00DC1333">
            <w:pPr>
              <w:rPr>
                <w:sz w:val="16"/>
                <w:szCs w:val="16"/>
              </w:rPr>
            </w:pPr>
            <w:r w:rsidRPr="00B449F8">
              <w:rPr>
                <w:sz w:val="16"/>
                <w:szCs w:val="16"/>
              </w:rPr>
              <w:t>Disminución de los costos de impresión (por página)</w:t>
            </w:r>
          </w:p>
        </w:tc>
        <w:tc>
          <w:tcPr>
            <w:tcW w:w="1121" w:type="pct"/>
            <w:shd w:val="clear" w:color="auto" w:fill="auto"/>
          </w:tcPr>
          <w:p w:rsidR="00221F0B" w:rsidRPr="00B449F8" w:rsidRDefault="00221F0B" w:rsidP="00DC1333">
            <w:pPr>
              <w:rPr>
                <w:i/>
                <w:color w:val="002060"/>
                <w:sz w:val="16"/>
                <w:szCs w:val="16"/>
              </w:rPr>
            </w:pPr>
            <w:r w:rsidRPr="00B449F8">
              <w:rPr>
                <w:i/>
                <w:color w:val="002060"/>
                <w:sz w:val="16"/>
                <w:szCs w:val="16"/>
              </w:rPr>
              <w:t xml:space="preserve">Referencia actualizada a fines de 2013: </w:t>
            </w:r>
          </w:p>
          <w:p w:rsidR="00221F0B" w:rsidRPr="00B449F8" w:rsidRDefault="00221F0B" w:rsidP="00DC1333">
            <w:pPr>
              <w:autoSpaceDE w:val="0"/>
              <w:autoSpaceDN w:val="0"/>
              <w:adjustRightInd w:val="0"/>
              <w:rPr>
                <w:rFonts w:eastAsia="Batang"/>
                <w:color w:val="002060"/>
                <w:sz w:val="16"/>
                <w:szCs w:val="16"/>
                <w:lang w:eastAsia="ja-JP"/>
              </w:rPr>
            </w:pPr>
            <w:r w:rsidRPr="00B449F8">
              <w:rPr>
                <w:rFonts w:eastAsia="Batang"/>
                <w:color w:val="002060"/>
                <w:sz w:val="16"/>
                <w:szCs w:val="16"/>
                <w:lang w:eastAsia="ja-JP"/>
              </w:rPr>
              <w:t>0,20 francos suizos de media por página en 2013</w:t>
            </w:r>
            <w:r w:rsidRPr="00B449F8">
              <w:rPr>
                <w:rStyle w:val="FootnoteReference"/>
                <w:rFonts w:eastAsia="Batang"/>
                <w:color w:val="002060"/>
                <w:sz w:val="16"/>
                <w:szCs w:val="16"/>
                <w:lang w:eastAsia="ja-JP"/>
              </w:rPr>
              <w:footnoteReference w:id="148"/>
            </w:r>
          </w:p>
          <w:p w:rsidR="00221F0B" w:rsidRPr="00B449F8" w:rsidRDefault="00221F0B" w:rsidP="00DC1333">
            <w:pPr>
              <w:keepNext/>
              <w:rPr>
                <w:i/>
                <w:sz w:val="8"/>
                <w:szCs w:val="8"/>
              </w:rPr>
            </w:pPr>
          </w:p>
          <w:p w:rsidR="00221F0B" w:rsidRPr="00B449F8" w:rsidRDefault="00221F0B" w:rsidP="00DC1333">
            <w:pPr>
              <w:rPr>
                <w:sz w:val="16"/>
                <w:szCs w:val="16"/>
              </w:rPr>
            </w:pPr>
            <w:r w:rsidRPr="00B449F8">
              <w:rPr>
                <w:i/>
                <w:sz w:val="16"/>
                <w:szCs w:val="16"/>
              </w:rPr>
              <w:t xml:space="preserve">Referencia original en el presupuesto de 2014/15: </w:t>
            </w:r>
            <w:r w:rsidRPr="00B449F8">
              <w:rPr>
                <w:sz w:val="16"/>
                <w:szCs w:val="16"/>
              </w:rPr>
              <w:t>Por determinar</w:t>
            </w:r>
          </w:p>
        </w:tc>
        <w:tc>
          <w:tcPr>
            <w:tcW w:w="822" w:type="pct"/>
            <w:shd w:val="clear" w:color="auto" w:fill="auto"/>
            <w:tcMar>
              <w:top w:w="110" w:type="dxa"/>
            </w:tcMar>
          </w:tcPr>
          <w:p w:rsidR="00221F0B" w:rsidRPr="00B449F8" w:rsidRDefault="00221F0B" w:rsidP="00DC1333">
            <w:pPr>
              <w:rPr>
                <w:rFonts w:eastAsia="Batang"/>
                <w:color w:val="002060"/>
                <w:sz w:val="16"/>
                <w:szCs w:val="16"/>
                <w:lang w:eastAsia="ja-JP"/>
              </w:rPr>
            </w:pPr>
            <w:r w:rsidRPr="00B449F8">
              <w:rPr>
                <w:rFonts w:eastAsia="Batang"/>
                <w:i/>
                <w:color w:val="002060"/>
                <w:sz w:val="16"/>
                <w:szCs w:val="16"/>
                <w:lang w:eastAsia="ja-JP"/>
              </w:rPr>
              <w:t xml:space="preserve">Objetivo definido: </w:t>
            </w:r>
            <w:r w:rsidRPr="00B449F8">
              <w:rPr>
                <w:rFonts w:eastAsia="Batang"/>
                <w:color w:val="002060"/>
                <w:sz w:val="16"/>
                <w:szCs w:val="16"/>
                <w:lang w:eastAsia="ja-JP"/>
              </w:rPr>
              <w:t xml:space="preserve">reducción del 5% en el costo medio por página </w:t>
            </w:r>
          </w:p>
          <w:p w:rsidR="00221F0B" w:rsidRPr="00B449F8" w:rsidRDefault="00221F0B" w:rsidP="00DC1333">
            <w:pPr>
              <w:rPr>
                <w:sz w:val="16"/>
                <w:szCs w:val="16"/>
              </w:rPr>
            </w:pPr>
          </w:p>
          <w:p w:rsidR="00221F0B" w:rsidRPr="00B449F8" w:rsidRDefault="00221F0B" w:rsidP="00DC1333">
            <w:pPr>
              <w:rPr>
                <w:sz w:val="16"/>
                <w:szCs w:val="16"/>
              </w:rPr>
            </w:pPr>
            <w:r w:rsidRPr="00B449F8">
              <w:rPr>
                <w:rFonts w:eastAsia="Batang"/>
                <w:i/>
                <w:sz w:val="16"/>
                <w:szCs w:val="16"/>
                <w:lang w:eastAsia="ja-JP"/>
              </w:rPr>
              <w:t xml:space="preserve">Objetivo original en el </w:t>
            </w:r>
            <w:proofErr w:type="spellStart"/>
            <w:r w:rsidRPr="00B449F8">
              <w:rPr>
                <w:rFonts w:eastAsia="Batang"/>
                <w:i/>
                <w:sz w:val="16"/>
                <w:szCs w:val="16"/>
                <w:lang w:eastAsia="ja-JP"/>
              </w:rPr>
              <w:t>presup</w:t>
            </w:r>
            <w:proofErr w:type="spellEnd"/>
            <w:r w:rsidRPr="00B449F8">
              <w:rPr>
                <w:rFonts w:eastAsia="Batang"/>
                <w:i/>
                <w:sz w:val="16"/>
                <w:szCs w:val="16"/>
                <w:lang w:eastAsia="ja-JP"/>
              </w:rPr>
              <w:t xml:space="preserve">. 2014/15: </w:t>
            </w:r>
            <w:r w:rsidRPr="00B449F8">
              <w:rPr>
                <w:rFonts w:eastAsia="Batang"/>
                <w:sz w:val="16"/>
                <w:szCs w:val="16"/>
                <w:lang w:eastAsia="ja-JP"/>
              </w:rPr>
              <w:t>por determinar</w:t>
            </w:r>
            <w:r w:rsidRPr="00B449F8">
              <w:rPr>
                <w:rFonts w:eastAsia="Batang"/>
                <w:i/>
                <w:sz w:val="16"/>
                <w:szCs w:val="16"/>
                <w:lang w:eastAsia="ja-JP"/>
              </w:rPr>
              <w:t xml:space="preserve"> </w:t>
            </w:r>
          </w:p>
        </w:tc>
        <w:tc>
          <w:tcPr>
            <w:tcW w:w="1268" w:type="pct"/>
            <w:shd w:val="clear" w:color="auto" w:fill="FFFFFF"/>
            <w:tcMar>
              <w:top w:w="110" w:type="dxa"/>
            </w:tcMar>
          </w:tcPr>
          <w:p w:rsidR="00221F0B" w:rsidRPr="00B449F8" w:rsidRDefault="00221F0B" w:rsidP="00DC1333">
            <w:pPr>
              <w:rPr>
                <w:sz w:val="16"/>
                <w:szCs w:val="16"/>
              </w:rPr>
            </w:pPr>
            <w:r w:rsidRPr="00B449F8">
              <w:rPr>
                <w:sz w:val="16"/>
                <w:szCs w:val="16"/>
                <w:lang w:bidi="th-TH"/>
              </w:rPr>
              <w:t>El costo medio por página tanto en 2014</w:t>
            </w:r>
            <w:r w:rsidRPr="00B449F8">
              <w:rPr>
                <w:rStyle w:val="FootnoteReference"/>
                <w:sz w:val="16"/>
                <w:szCs w:val="16"/>
                <w:lang w:bidi="th-TH"/>
              </w:rPr>
              <w:footnoteReference w:id="149"/>
            </w:r>
            <w:r w:rsidRPr="00B449F8">
              <w:rPr>
                <w:sz w:val="16"/>
                <w:szCs w:val="16"/>
                <w:lang w:bidi="th-TH"/>
              </w:rPr>
              <w:t xml:space="preserve"> como en 2015 fue 0,15 francos suizos (reducción del 25%)</w:t>
            </w:r>
          </w:p>
        </w:tc>
        <w:tc>
          <w:tcPr>
            <w:tcW w:w="668" w:type="pct"/>
            <w:shd w:val="clear" w:color="auto" w:fill="auto"/>
            <w:tcMar>
              <w:top w:w="110" w:type="dxa"/>
            </w:tcMar>
          </w:tcPr>
          <w:p w:rsidR="00221F0B" w:rsidRPr="00B449F8" w:rsidRDefault="00221F0B" w:rsidP="00DC1333">
            <w:pPr>
              <w:keepNext/>
              <w:keepLines/>
              <w:ind w:left="-112"/>
              <w:jc w:val="center"/>
              <w:rPr>
                <w:bCs/>
                <w:color w:val="00B050"/>
                <w:sz w:val="16"/>
                <w:szCs w:val="16"/>
              </w:rPr>
            </w:pPr>
            <w:r w:rsidRPr="00B449F8">
              <w:rPr>
                <w:b/>
                <w:color w:val="00B050"/>
                <w:sz w:val="16"/>
                <w:szCs w:val="16"/>
              </w:rPr>
              <w:t>Plenamente logrado</w:t>
            </w:r>
          </w:p>
        </w:tc>
      </w:tr>
      <w:tr w:rsidR="00221F0B" w:rsidRPr="00B449F8" w:rsidTr="00DC1333">
        <w:trPr>
          <w:cantSplit/>
        </w:trPr>
        <w:tc>
          <w:tcPr>
            <w:tcW w:w="1121" w:type="pct"/>
            <w:shd w:val="clear" w:color="auto" w:fill="auto"/>
          </w:tcPr>
          <w:p w:rsidR="00221F0B" w:rsidRPr="00B449F8" w:rsidRDefault="00221F0B" w:rsidP="00DC1333">
            <w:pPr>
              <w:rPr>
                <w:sz w:val="16"/>
                <w:szCs w:val="16"/>
              </w:rPr>
            </w:pPr>
            <w:r w:rsidRPr="00B449F8">
              <w:rPr>
                <w:sz w:val="16"/>
                <w:szCs w:val="16"/>
              </w:rPr>
              <w:t>Publicación a tiempo de los documentos para los comités y grupos de  trabajo</w:t>
            </w:r>
          </w:p>
        </w:tc>
        <w:tc>
          <w:tcPr>
            <w:tcW w:w="1121" w:type="pct"/>
            <w:shd w:val="clear" w:color="auto" w:fill="auto"/>
          </w:tcPr>
          <w:p w:rsidR="00221F0B" w:rsidRPr="00B449F8" w:rsidRDefault="00221F0B" w:rsidP="00DC1333">
            <w:pPr>
              <w:rPr>
                <w:i/>
                <w:color w:val="002060"/>
                <w:sz w:val="16"/>
                <w:szCs w:val="16"/>
              </w:rPr>
            </w:pPr>
            <w:r w:rsidRPr="00B449F8">
              <w:rPr>
                <w:i/>
                <w:color w:val="002060"/>
                <w:sz w:val="16"/>
                <w:szCs w:val="16"/>
              </w:rPr>
              <w:t xml:space="preserve">Referencia actualizada a fines de 2013: </w:t>
            </w:r>
          </w:p>
          <w:p w:rsidR="00221F0B" w:rsidRPr="00B449F8" w:rsidRDefault="00221F0B" w:rsidP="00DC1333">
            <w:pPr>
              <w:autoSpaceDE w:val="0"/>
              <w:autoSpaceDN w:val="0"/>
              <w:adjustRightInd w:val="0"/>
              <w:rPr>
                <w:rFonts w:eastAsia="Batang"/>
                <w:color w:val="002060"/>
                <w:sz w:val="16"/>
                <w:szCs w:val="16"/>
                <w:lang w:eastAsia="ja-JP"/>
              </w:rPr>
            </w:pPr>
            <w:r w:rsidRPr="00B449F8">
              <w:rPr>
                <w:rFonts w:eastAsia="Batang"/>
                <w:color w:val="002060"/>
                <w:sz w:val="16"/>
                <w:szCs w:val="16"/>
                <w:lang w:eastAsia="ja-JP"/>
              </w:rPr>
              <w:t xml:space="preserve">26% de los documentos en todos los idiomas publicados dos meses antes de las reuniones pertinentes </w:t>
            </w:r>
          </w:p>
          <w:p w:rsidR="00221F0B" w:rsidRPr="00B449F8" w:rsidRDefault="00221F0B" w:rsidP="00DC1333">
            <w:pPr>
              <w:keepNext/>
              <w:rPr>
                <w:i/>
                <w:sz w:val="8"/>
                <w:szCs w:val="8"/>
              </w:rPr>
            </w:pPr>
          </w:p>
          <w:p w:rsidR="00221F0B" w:rsidRPr="00B449F8" w:rsidRDefault="00221F0B" w:rsidP="00DC1333">
            <w:pPr>
              <w:autoSpaceDE w:val="0"/>
              <w:autoSpaceDN w:val="0"/>
              <w:adjustRightInd w:val="0"/>
              <w:rPr>
                <w:sz w:val="16"/>
                <w:szCs w:val="16"/>
              </w:rPr>
            </w:pPr>
            <w:r w:rsidRPr="00B449F8">
              <w:rPr>
                <w:i/>
                <w:sz w:val="16"/>
                <w:szCs w:val="16"/>
              </w:rPr>
              <w:t xml:space="preserve">Referencia original en el presupuesto de 2014/15: </w:t>
            </w:r>
            <w:r w:rsidRPr="00B449F8">
              <w:rPr>
                <w:sz w:val="16"/>
                <w:szCs w:val="16"/>
              </w:rPr>
              <w:t>Porcentaje de documentos publicados dos meses antes del evento (por determinar)</w:t>
            </w:r>
            <w:r w:rsidRPr="00B449F8">
              <w:rPr>
                <w:sz w:val="16"/>
                <w:szCs w:val="16"/>
              </w:rPr>
              <w:br/>
            </w:r>
          </w:p>
        </w:tc>
        <w:tc>
          <w:tcPr>
            <w:tcW w:w="822" w:type="pct"/>
            <w:shd w:val="clear" w:color="auto" w:fill="auto"/>
            <w:tcMar>
              <w:top w:w="110" w:type="dxa"/>
            </w:tcMar>
          </w:tcPr>
          <w:p w:rsidR="00221F0B" w:rsidRPr="00B449F8" w:rsidRDefault="00221F0B" w:rsidP="00DC1333">
            <w:pPr>
              <w:rPr>
                <w:sz w:val="16"/>
                <w:szCs w:val="16"/>
              </w:rPr>
            </w:pPr>
            <w:r w:rsidRPr="00B449F8">
              <w:rPr>
                <w:sz w:val="16"/>
                <w:szCs w:val="16"/>
              </w:rPr>
              <w:t>65% de los documentos publicados dos meses antes del evento</w:t>
            </w:r>
          </w:p>
        </w:tc>
        <w:tc>
          <w:tcPr>
            <w:tcW w:w="1268" w:type="pct"/>
            <w:shd w:val="clear" w:color="auto" w:fill="FFFFFF"/>
            <w:tcMar>
              <w:top w:w="110" w:type="dxa"/>
            </w:tcMar>
          </w:tcPr>
          <w:p w:rsidR="00221F0B" w:rsidRPr="00B449F8" w:rsidRDefault="00221F0B" w:rsidP="00DC1333">
            <w:pPr>
              <w:rPr>
                <w:rFonts w:eastAsiaTheme="minorHAnsi"/>
                <w:sz w:val="16"/>
                <w:szCs w:val="16"/>
              </w:rPr>
            </w:pPr>
            <w:r w:rsidRPr="00B449F8">
              <w:rPr>
                <w:rFonts w:eastAsiaTheme="minorHAnsi"/>
                <w:sz w:val="16"/>
                <w:szCs w:val="16"/>
              </w:rPr>
              <w:t>En 2014/15 el 52,6% de los documentos para los comités más importantes se publicaron en todos los idiomas dos meses antes de las reuniones pertinentes</w:t>
            </w:r>
          </w:p>
          <w:p w:rsidR="00221F0B" w:rsidRPr="00B449F8" w:rsidRDefault="00221F0B" w:rsidP="00EB45DE">
            <w:pPr>
              <w:pStyle w:val="ListParagraph"/>
              <w:numPr>
                <w:ilvl w:val="0"/>
                <w:numId w:val="117"/>
              </w:numPr>
              <w:rPr>
                <w:rFonts w:eastAsiaTheme="minorHAnsi"/>
                <w:sz w:val="16"/>
                <w:szCs w:val="16"/>
                <w:lang w:val="es-ES"/>
              </w:rPr>
            </w:pPr>
            <w:r w:rsidRPr="00B449F8">
              <w:rPr>
                <w:rFonts w:eastAsiaTheme="minorHAnsi"/>
                <w:sz w:val="16"/>
                <w:szCs w:val="16"/>
                <w:lang w:val="es-ES"/>
              </w:rPr>
              <w:t>2014:  41%</w:t>
            </w:r>
          </w:p>
          <w:p w:rsidR="00221F0B" w:rsidRPr="00B449F8" w:rsidRDefault="00221F0B" w:rsidP="00EB45DE">
            <w:pPr>
              <w:pStyle w:val="ListParagraph"/>
              <w:numPr>
                <w:ilvl w:val="0"/>
                <w:numId w:val="117"/>
              </w:numPr>
              <w:rPr>
                <w:rFonts w:eastAsiaTheme="minorHAnsi"/>
                <w:sz w:val="16"/>
                <w:szCs w:val="16"/>
                <w:lang w:val="es-ES"/>
              </w:rPr>
            </w:pPr>
            <w:r w:rsidRPr="00B449F8">
              <w:rPr>
                <w:rFonts w:eastAsiaTheme="minorHAnsi"/>
                <w:sz w:val="16"/>
                <w:szCs w:val="16"/>
                <w:lang w:val="es-ES"/>
              </w:rPr>
              <w:t>2015:  69%</w:t>
            </w:r>
          </w:p>
        </w:tc>
        <w:tc>
          <w:tcPr>
            <w:tcW w:w="668" w:type="pct"/>
            <w:shd w:val="clear" w:color="auto" w:fill="auto"/>
            <w:tcMar>
              <w:top w:w="110" w:type="dxa"/>
            </w:tcMar>
          </w:tcPr>
          <w:p w:rsidR="00221F0B" w:rsidRPr="00B449F8" w:rsidRDefault="00221F0B" w:rsidP="00DC1333">
            <w:pPr>
              <w:keepNext/>
              <w:keepLines/>
              <w:ind w:left="-108"/>
              <w:jc w:val="center"/>
              <w:rPr>
                <w:b/>
                <w:bCs/>
                <w:color w:val="FF0000"/>
                <w:sz w:val="16"/>
                <w:szCs w:val="16"/>
              </w:rPr>
            </w:pPr>
            <w:r w:rsidRPr="00B449F8">
              <w:rPr>
                <w:b/>
                <w:color w:val="00B050"/>
                <w:sz w:val="16"/>
                <w:szCs w:val="16"/>
              </w:rPr>
              <w:t>Plenamente logrado</w:t>
            </w:r>
          </w:p>
        </w:tc>
      </w:tr>
    </w:tbl>
    <w:p w:rsidR="00221F0B" w:rsidRPr="00B449F8" w:rsidRDefault="008F7CBE" w:rsidP="00DC1333">
      <w:pPr>
        <w:keepNext/>
        <w:rPr>
          <w:color w:val="000000"/>
          <w:szCs w:val="22"/>
        </w:rPr>
      </w:pPr>
      <w:r w:rsidRPr="008F7CBE">
        <w:rPr>
          <w:color w:val="000000"/>
          <w:sz w:val="20"/>
          <w:szCs w:val="22"/>
        </w:rPr>
        <w:lastRenderedPageBreak/>
        <w:t>INFORMACIÓN SOBRE LOS RIESGOS PLANTEADOS EN EL BIENIO</w:t>
      </w:r>
    </w:p>
    <w:p w:rsidR="00221F0B" w:rsidRPr="00B449F8" w:rsidRDefault="00221F0B" w:rsidP="00DC1333">
      <w:pPr>
        <w:keepNext/>
      </w:pPr>
    </w:p>
    <w:tbl>
      <w:tblPr>
        <w:tblW w:w="9498"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294"/>
        <w:gridCol w:w="1987"/>
        <w:gridCol w:w="2382"/>
        <w:gridCol w:w="2835"/>
      </w:tblGrid>
      <w:tr w:rsidR="00221F0B" w:rsidRPr="00B449F8" w:rsidTr="00DC1333">
        <w:trPr>
          <w:trHeight w:val="380"/>
        </w:trPr>
        <w:tc>
          <w:tcPr>
            <w:tcW w:w="2294" w:type="dxa"/>
            <w:tcBorders>
              <w:top w:val="single" w:sz="4" w:space="0" w:color="auto"/>
              <w:bottom w:val="single" w:sz="4" w:space="0" w:color="auto"/>
            </w:tcBorders>
            <w:shd w:val="clear" w:color="auto" w:fill="C6D9F1" w:themeFill="text2" w:themeFillTint="33"/>
            <w:tcMar>
              <w:top w:w="113" w:type="dxa"/>
              <w:bottom w:w="85" w:type="dxa"/>
            </w:tcMar>
            <w:vAlign w:val="center"/>
          </w:tcPr>
          <w:p w:rsidR="00221F0B" w:rsidRPr="00B449F8" w:rsidRDefault="00221F0B" w:rsidP="00DC1333">
            <w:pPr>
              <w:keepNext/>
              <w:autoSpaceDE w:val="0"/>
              <w:autoSpaceDN w:val="0"/>
              <w:adjustRightInd w:val="0"/>
              <w:ind w:right="-59"/>
              <w:jc w:val="center"/>
              <w:rPr>
                <w:b/>
                <w:bCs/>
                <w:sz w:val="18"/>
                <w:szCs w:val="18"/>
              </w:rPr>
            </w:pPr>
            <w:r w:rsidRPr="00B449F8">
              <w:rPr>
                <w:b/>
                <w:bCs/>
                <w:iCs/>
                <w:sz w:val="18"/>
                <w:szCs w:val="18"/>
              </w:rPr>
              <w:t>Riesgos en el logro de los resultados del programa</w:t>
            </w:r>
          </w:p>
        </w:tc>
        <w:tc>
          <w:tcPr>
            <w:tcW w:w="1987" w:type="dxa"/>
            <w:tcBorders>
              <w:top w:val="single" w:sz="4" w:space="0" w:color="auto"/>
              <w:bottom w:val="single" w:sz="4" w:space="0" w:color="auto"/>
            </w:tcBorders>
            <w:shd w:val="clear" w:color="auto" w:fill="C6D9F1" w:themeFill="text2" w:themeFillTint="33"/>
            <w:tcMar>
              <w:top w:w="113" w:type="dxa"/>
              <w:bottom w:w="85" w:type="dxa"/>
            </w:tcMar>
            <w:vAlign w:val="center"/>
          </w:tcPr>
          <w:p w:rsidR="00221F0B" w:rsidRPr="00B449F8" w:rsidRDefault="00221F0B" w:rsidP="00DC1333">
            <w:pPr>
              <w:keepNext/>
              <w:autoSpaceDE w:val="0"/>
              <w:autoSpaceDN w:val="0"/>
              <w:adjustRightInd w:val="0"/>
              <w:ind w:right="-59"/>
              <w:jc w:val="center"/>
              <w:rPr>
                <w:b/>
                <w:bCs/>
                <w:sz w:val="18"/>
                <w:szCs w:val="18"/>
              </w:rPr>
            </w:pPr>
            <w:r w:rsidRPr="00B449F8">
              <w:rPr>
                <w:b/>
                <w:bCs/>
                <w:iCs/>
                <w:sz w:val="18"/>
                <w:szCs w:val="18"/>
              </w:rPr>
              <w:t>Planes de mitigación ejecutados o en ejecución</w:t>
            </w:r>
          </w:p>
        </w:tc>
        <w:tc>
          <w:tcPr>
            <w:tcW w:w="2382" w:type="dxa"/>
            <w:tcBorders>
              <w:top w:val="single" w:sz="4" w:space="0" w:color="auto"/>
              <w:bottom w:val="single" w:sz="4" w:space="0" w:color="auto"/>
            </w:tcBorders>
            <w:shd w:val="clear" w:color="auto" w:fill="C6D9F1" w:themeFill="text2" w:themeFillTint="33"/>
          </w:tcPr>
          <w:p w:rsidR="00221F0B" w:rsidRPr="00B449F8" w:rsidRDefault="00221F0B" w:rsidP="00DC1333">
            <w:pPr>
              <w:keepNext/>
              <w:jc w:val="center"/>
              <w:rPr>
                <w:b/>
                <w:bCs/>
                <w:sz w:val="18"/>
                <w:szCs w:val="18"/>
              </w:rPr>
            </w:pPr>
            <w:r w:rsidRPr="00B449F8">
              <w:rPr>
                <w:b/>
                <w:bCs/>
                <w:iCs/>
                <w:sz w:val="18"/>
                <w:szCs w:val="18"/>
              </w:rPr>
              <w:t>Evolución de los riesgos y estrategias de mitigación durante el bienio</w:t>
            </w:r>
          </w:p>
        </w:tc>
        <w:tc>
          <w:tcPr>
            <w:tcW w:w="2835" w:type="dxa"/>
            <w:tcBorders>
              <w:top w:val="single" w:sz="4" w:space="0" w:color="auto"/>
              <w:bottom w:val="single" w:sz="4" w:space="0" w:color="auto"/>
            </w:tcBorders>
            <w:shd w:val="clear" w:color="auto" w:fill="C6D9F1" w:themeFill="text2" w:themeFillTint="33"/>
          </w:tcPr>
          <w:p w:rsidR="00221F0B" w:rsidRPr="00B449F8" w:rsidRDefault="00221F0B" w:rsidP="00DC1333">
            <w:pPr>
              <w:keepNext/>
              <w:jc w:val="center"/>
              <w:rPr>
                <w:b/>
                <w:bCs/>
                <w:sz w:val="18"/>
                <w:szCs w:val="18"/>
              </w:rPr>
            </w:pPr>
            <w:r w:rsidRPr="00B449F8">
              <w:rPr>
                <w:b/>
                <w:bCs/>
                <w:sz w:val="18"/>
                <w:szCs w:val="18"/>
              </w:rPr>
              <w:t>Incidencia en el rendimiento del programa</w:t>
            </w:r>
          </w:p>
        </w:tc>
      </w:tr>
      <w:tr w:rsidR="00221F0B" w:rsidRPr="00B449F8" w:rsidTr="00DC1333">
        <w:tc>
          <w:tcPr>
            <w:tcW w:w="2294" w:type="dxa"/>
            <w:tcBorders>
              <w:top w:val="single" w:sz="4" w:space="0" w:color="auto"/>
            </w:tcBorders>
            <w:shd w:val="clear" w:color="auto" w:fill="auto"/>
            <w:tcMar>
              <w:top w:w="113" w:type="dxa"/>
              <w:bottom w:w="85" w:type="dxa"/>
            </w:tcMar>
          </w:tcPr>
          <w:p w:rsidR="00221F0B" w:rsidRPr="00B449F8" w:rsidRDefault="00221F0B" w:rsidP="00DC1333">
            <w:pPr>
              <w:keepNext/>
              <w:rPr>
                <w:iCs/>
                <w:sz w:val="16"/>
                <w:szCs w:val="16"/>
              </w:rPr>
            </w:pPr>
            <w:r w:rsidRPr="00B449F8">
              <w:rPr>
                <w:iCs/>
                <w:sz w:val="16"/>
                <w:szCs w:val="16"/>
              </w:rPr>
              <w:t>Aplicación inadecuada de la Política Lingüística.</w:t>
            </w:r>
          </w:p>
          <w:p w:rsidR="00221F0B" w:rsidRPr="00B449F8" w:rsidRDefault="00221F0B" w:rsidP="00DC1333">
            <w:pPr>
              <w:keepNext/>
              <w:rPr>
                <w:iCs/>
                <w:sz w:val="16"/>
                <w:szCs w:val="16"/>
              </w:rPr>
            </w:pPr>
          </w:p>
          <w:p w:rsidR="00221F0B" w:rsidRPr="00B449F8" w:rsidRDefault="00221F0B" w:rsidP="00DC1333">
            <w:pPr>
              <w:keepNext/>
              <w:rPr>
                <w:sz w:val="16"/>
                <w:szCs w:val="16"/>
              </w:rPr>
            </w:pPr>
            <w:r w:rsidRPr="00B449F8">
              <w:rPr>
                <w:iCs/>
                <w:sz w:val="16"/>
                <w:szCs w:val="16"/>
              </w:rPr>
              <w:t>Debido a las peticiones crecientes de traducciones y a que no se respetan los límites prescritos, el volumen de traducción aumenta significativamente, lo que da lugar a desequilibrios presupuestarios</w:t>
            </w:r>
          </w:p>
        </w:tc>
        <w:tc>
          <w:tcPr>
            <w:tcW w:w="1987" w:type="dxa"/>
            <w:tcBorders>
              <w:top w:val="single" w:sz="4" w:space="0" w:color="auto"/>
            </w:tcBorders>
            <w:shd w:val="clear" w:color="auto" w:fill="auto"/>
            <w:tcMar>
              <w:top w:w="113" w:type="dxa"/>
              <w:bottom w:w="85" w:type="dxa"/>
            </w:tcMar>
          </w:tcPr>
          <w:p w:rsidR="00221F0B" w:rsidRPr="00B449F8" w:rsidRDefault="00221F0B" w:rsidP="00DC1333">
            <w:pPr>
              <w:keepNext/>
              <w:rPr>
                <w:sz w:val="16"/>
                <w:szCs w:val="16"/>
              </w:rPr>
            </w:pPr>
            <w:r w:rsidRPr="00B449F8">
              <w:rPr>
                <w:sz w:val="16"/>
                <w:szCs w:val="16"/>
              </w:rPr>
              <w:t>Supervisar el número y el tamaño de los documentos;  aplicar estrictamente medidas de racionalización y control;  alentar a los sectores interesados a evitar textos repetitivos en los documentos</w:t>
            </w:r>
          </w:p>
        </w:tc>
        <w:tc>
          <w:tcPr>
            <w:tcW w:w="2382" w:type="dxa"/>
            <w:tcBorders>
              <w:top w:val="single" w:sz="4" w:space="0" w:color="auto"/>
            </w:tcBorders>
          </w:tcPr>
          <w:p w:rsidR="00221F0B" w:rsidRPr="00B449F8" w:rsidRDefault="00221F0B" w:rsidP="00DC1333">
            <w:pPr>
              <w:keepNext/>
              <w:rPr>
                <w:sz w:val="16"/>
                <w:szCs w:val="16"/>
              </w:rPr>
            </w:pPr>
            <w:r w:rsidRPr="00B449F8">
              <w:rPr>
                <w:sz w:val="16"/>
                <w:szCs w:val="16"/>
              </w:rPr>
              <w:t>Mediante la realización de controles más específicos y la adopción de medidas proactivas de racionalización, se consiguió alentar a los sectores de actividades a ser más conscientes de la importancia de que la documentación sea concisa, con lo que el volumen de traducción se puede controlar de manera más eficaz.  En cuanto a la aplicación eficaz de la Política Lingüística, entre las medidas de mitigación empleadas se incluye un enfoque de aplicación gradual y una utilización cada vez mayor de la subcontratación y las tecnologías de traducción.</w:t>
            </w:r>
          </w:p>
        </w:tc>
        <w:tc>
          <w:tcPr>
            <w:tcW w:w="2835" w:type="dxa"/>
            <w:tcBorders>
              <w:top w:val="single" w:sz="4" w:space="0" w:color="auto"/>
            </w:tcBorders>
          </w:tcPr>
          <w:p w:rsidR="00221F0B" w:rsidRPr="00B449F8" w:rsidRDefault="00221F0B" w:rsidP="00DC1333">
            <w:pPr>
              <w:keepNext/>
              <w:rPr>
                <w:sz w:val="16"/>
                <w:szCs w:val="16"/>
              </w:rPr>
            </w:pPr>
            <w:r w:rsidRPr="00B449F8">
              <w:rPr>
                <w:sz w:val="16"/>
                <w:szCs w:val="16"/>
              </w:rPr>
              <w:t xml:space="preserve">El riesgo se mitigó de manera eficaz, por lo que no se produjo incidencia alguna en el rendimiento del programa en 2014/15. </w:t>
            </w:r>
          </w:p>
        </w:tc>
      </w:tr>
    </w:tbl>
    <w:p w:rsidR="00221F0B" w:rsidRDefault="00221F0B" w:rsidP="00DC1333">
      <w:pPr>
        <w:keepNext/>
        <w:rPr>
          <w:color w:val="000000"/>
          <w:szCs w:val="22"/>
        </w:rPr>
      </w:pPr>
    </w:p>
    <w:p w:rsidR="00221F0B" w:rsidRPr="00B449F8" w:rsidRDefault="00221F0B" w:rsidP="00DC1333">
      <w:pPr>
        <w:keepNext/>
        <w:rPr>
          <w:color w:val="000000"/>
          <w:szCs w:val="22"/>
        </w:rPr>
      </w:pPr>
    </w:p>
    <w:p w:rsidR="00221F0B" w:rsidRPr="00B449F8" w:rsidRDefault="00403D2C" w:rsidP="00DC1333">
      <w:pPr>
        <w:keepNext/>
        <w:rPr>
          <w:b/>
          <w:sz w:val="18"/>
          <w:szCs w:val="18"/>
        </w:rPr>
      </w:pPr>
      <w:r w:rsidRPr="00403D2C">
        <w:rPr>
          <w:sz w:val="20"/>
          <w:szCs w:val="22"/>
        </w:rPr>
        <w:t>UTILIZACIÓN DE LOS RECURSOS</w:t>
      </w:r>
    </w:p>
    <w:p w:rsidR="00221F0B" w:rsidRPr="00B449F8" w:rsidRDefault="00221F0B" w:rsidP="00DC1333">
      <w:pPr>
        <w:keepNext/>
      </w:pPr>
    </w:p>
    <w:p w:rsidR="00221F0B" w:rsidRPr="00B449F8" w:rsidRDefault="00221F0B" w:rsidP="00DC1333">
      <w:pPr>
        <w:pStyle w:val="NormalWeb"/>
        <w:keepNext/>
        <w:spacing w:before="0" w:beforeAutospacing="0" w:after="0" w:afterAutospacing="0"/>
        <w:jc w:val="center"/>
        <w:rPr>
          <w:sz w:val="20"/>
          <w:szCs w:val="20"/>
          <w:lang w:val="es-ES"/>
        </w:rPr>
      </w:pPr>
      <w:r w:rsidRPr="00B449F8">
        <w:rPr>
          <w:sz w:val="20"/>
          <w:szCs w:val="20"/>
          <w:lang w:val="es-ES"/>
        </w:rPr>
        <w:t>Presupuesto y gastos reales (por resultado)</w:t>
      </w:r>
    </w:p>
    <w:p w:rsidR="00221F0B" w:rsidRPr="00B449F8" w:rsidRDefault="00221F0B" w:rsidP="00DC1333">
      <w:pPr>
        <w:pStyle w:val="NormalWeb"/>
        <w:keepNext/>
        <w:spacing w:before="0" w:beforeAutospacing="0" w:after="0" w:afterAutospacing="0"/>
        <w:jc w:val="center"/>
        <w:rPr>
          <w:i/>
          <w:iCs/>
          <w:sz w:val="20"/>
          <w:szCs w:val="20"/>
          <w:lang w:val="es-ES"/>
        </w:rPr>
      </w:pPr>
      <w:r w:rsidRPr="00B449F8">
        <w:rPr>
          <w:i/>
          <w:iCs/>
          <w:sz w:val="20"/>
          <w:szCs w:val="20"/>
          <w:lang w:val="es-ES"/>
        </w:rPr>
        <w:t>(</w:t>
      </w:r>
      <w:proofErr w:type="gramStart"/>
      <w:r w:rsidRPr="00B449F8">
        <w:rPr>
          <w:i/>
          <w:iCs/>
          <w:sz w:val="20"/>
          <w:szCs w:val="20"/>
          <w:lang w:val="es-ES"/>
        </w:rPr>
        <w:t>en</w:t>
      </w:r>
      <w:proofErr w:type="gramEnd"/>
      <w:r w:rsidRPr="00B449F8">
        <w:rPr>
          <w:i/>
          <w:iCs/>
          <w:sz w:val="20"/>
          <w:szCs w:val="20"/>
          <w:lang w:val="es-ES"/>
        </w:rPr>
        <w:t xml:space="preserve"> miles de francos suizos)</w:t>
      </w:r>
    </w:p>
    <w:p w:rsidR="00221F0B" w:rsidRPr="00B449F8" w:rsidRDefault="00221F0B" w:rsidP="00DC1333">
      <w:pPr>
        <w:pStyle w:val="NormalWeb"/>
        <w:keepNext/>
        <w:spacing w:before="0" w:beforeAutospacing="0" w:after="0" w:afterAutospacing="0"/>
        <w:jc w:val="center"/>
        <w:rPr>
          <w:sz w:val="20"/>
          <w:szCs w:val="20"/>
          <w:lang w:val="es-ES"/>
        </w:rPr>
      </w:pPr>
    </w:p>
    <w:p w:rsidR="00221F0B" w:rsidRPr="00B449F8" w:rsidRDefault="00221F0B" w:rsidP="00DC1333">
      <w:pPr>
        <w:jc w:val="center"/>
      </w:pPr>
      <w:bookmarkStart w:id="201" w:name="Bm27"/>
      <w:bookmarkStart w:id="202" w:name="Punto27"/>
      <w:r>
        <w:rPr>
          <w:noProof/>
          <w:lang w:val="en-US" w:eastAsia="en-US"/>
        </w:rPr>
        <w:drawing>
          <wp:inline distT="0" distB="0" distL="0" distR="0" wp14:anchorId="57D9C834" wp14:editId="58E24FE0">
            <wp:extent cx="5753100" cy="1533525"/>
            <wp:effectExtent l="0" t="0" r="0" b="9525"/>
            <wp:docPr id="816" name="Picture 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5753100" cy="1533525"/>
                    </a:xfrm>
                    <a:prstGeom prst="rect">
                      <a:avLst/>
                    </a:prstGeom>
                    <a:noFill/>
                    <a:ln>
                      <a:noFill/>
                    </a:ln>
                  </pic:spPr>
                </pic:pic>
              </a:graphicData>
            </a:graphic>
          </wp:inline>
        </w:drawing>
      </w:r>
      <w:bookmarkEnd w:id="201"/>
      <w:bookmarkEnd w:id="202"/>
    </w:p>
    <w:p w:rsidR="00221F0B" w:rsidRPr="00B449F8" w:rsidRDefault="00221F0B" w:rsidP="00DC1333"/>
    <w:p w:rsidR="00221F0B" w:rsidRPr="00B449F8" w:rsidRDefault="00221F0B" w:rsidP="00DC1333"/>
    <w:p w:rsidR="00221F0B" w:rsidRPr="00B449F8" w:rsidRDefault="00221F0B" w:rsidP="00DC1333">
      <w:pPr>
        <w:pStyle w:val="NormalWeb"/>
        <w:spacing w:before="0" w:beforeAutospacing="0" w:after="0" w:afterAutospacing="0"/>
        <w:jc w:val="center"/>
        <w:rPr>
          <w:sz w:val="20"/>
          <w:szCs w:val="20"/>
          <w:lang w:val="es-ES"/>
        </w:rPr>
      </w:pPr>
      <w:r w:rsidRPr="00B449F8">
        <w:rPr>
          <w:sz w:val="20"/>
          <w:szCs w:val="20"/>
          <w:lang w:val="es-ES"/>
        </w:rPr>
        <w:t xml:space="preserve">Presupuesto y gastos reales (de personal y no relativos a personal) </w:t>
      </w:r>
    </w:p>
    <w:p w:rsidR="00221F0B" w:rsidRPr="00B449F8" w:rsidRDefault="00221F0B" w:rsidP="00DC1333">
      <w:pPr>
        <w:pStyle w:val="NormalWeb"/>
        <w:spacing w:before="0" w:beforeAutospacing="0" w:after="0" w:afterAutospacing="0"/>
        <w:jc w:val="center"/>
        <w:rPr>
          <w:i/>
          <w:iCs/>
          <w:sz w:val="20"/>
          <w:szCs w:val="20"/>
          <w:lang w:val="es-ES"/>
        </w:rPr>
      </w:pPr>
      <w:r w:rsidRPr="00B449F8">
        <w:rPr>
          <w:i/>
          <w:iCs/>
          <w:sz w:val="20"/>
          <w:szCs w:val="20"/>
          <w:lang w:val="es-ES"/>
        </w:rPr>
        <w:t>(</w:t>
      </w:r>
      <w:proofErr w:type="gramStart"/>
      <w:r w:rsidRPr="00B449F8">
        <w:rPr>
          <w:i/>
          <w:iCs/>
          <w:sz w:val="20"/>
          <w:szCs w:val="20"/>
          <w:lang w:val="es-ES"/>
        </w:rPr>
        <w:t>en</w:t>
      </w:r>
      <w:proofErr w:type="gramEnd"/>
      <w:r w:rsidRPr="00B449F8">
        <w:rPr>
          <w:i/>
          <w:iCs/>
          <w:sz w:val="20"/>
          <w:szCs w:val="20"/>
          <w:lang w:val="es-ES"/>
        </w:rPr>
        <w:t xml:space="preserve"> miles de francos suizos)</w:t>
      </w:r>
    </w:p>
    <w:p w:rsidR="00221F0B" w:rsidRPr="00B449F8" w:rsidRDefault="00221F0B" w:rsidP="00DC1333">
      <w:pPr>
        <w:pStyle w:val="NormalWeb"/>
        <w:spacing w:before="0" w:beforeAutospacing="0" w:after="0" w:afterAutospacing="0"/>
        <w:jc w:val="center"/>
        <w:rPr>
          <w:lang w:val="es-ES"/>
        </w:rPr>
      </w:pPr>
    </w:p>
    <w:p w:rsidR="00221F0B" w:rsidRPr="00B449F8" w:rsidRDefault="00221F0B" w:rsidP="00DC1333">
      <w:pPr>
        <w:jc w:val="center"/>
      </w:pPr>
      <w:bookmarkStart w:id="203" w:name="Point27"/>
      <w:r>
        <w:rPr>
          <w:noProof/>
          <w:lang w:val="en-US" w:eastAsia="en-US"/>
        </w:rPr>
        <w:drawing>
          <wp:inline distT="0" distB="0" distL="0" distR="0" wp14:anchorId="7D1F2E2C" wp14:editId="303B3A1B">
            <wp:extent cx="5940425" cy="1045921"/>
            <wp:effectExtent l="0" t="0" r="3175" b="1905"/>
            <wp:docPr id="817" name="Picture 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5940425" cy="1045921"/>
                    </a:xfrm>
                    <a:prstGeom prst="rect">
                      <a:avLst/>
                    </a:prstGeom>
                    <a:noFill/>
                    <a:ln>
                      <a:noFill/>
                    </a:ln>
                  </pic:spPr>
                </pic:pic>
              </a:graphicData>
            </a:graphic>
          </wp:inline>
        </w:drawing>
      </w:r>
      <w:bookmarkEnd w:id="203"/>
    </w:p>
    <w:p w:rsidR="00221F0B" w:rsidRDefault="00221F0B" w:rsidP="00DC1333">
      <w:pPr>
        <w:widowControl w:val="0"/>
        <w:autoSpaceDE w:val="0"/>
        <w:autoSpaceDN w:val="0"/>
        <w:adjustRightInd w:val="0"/>
        <w:rPr>
          <w:sz w:val="20"/>
        </w:rPr>
      </w:pPr>
    </w:p>
    <w:p w:rsidR="00221F0B" w:rsidRPr="00B449F8" w:rsidRDefault="00221F0B" w:rsidP="00DC1333">
      <w:pPr>
        <w:widowControl w:val="0"/>
        <w:autoSpaceDE w:val="0"/>
        <w:autoSpaceDN w:val="0"/>
        <w:adjustRightInd w:val="0"/>
        <w:rPr>
          <w:sz w:val="20"/>
        </w:rPr>
      </w:pPr>
    </w:p>
    <w:p w:rsidR="00221F0B" w:rsidRPr="00B449F8" w:rsidRDefault="00403D2C" w:rsidP="009C4D7F">
      <w:pPr>
        <w:keepNext/>
        <w:keepLines/>
        <w:jc w:val="both"/>
        <w:rPr>
          <w:sz w:val="20"/>
          <w:u w:val="single"/>
        </w:rPr>
      </w:pPr>
      <w:r w:rsidRPr="00403D2C">
        <w:rPr>
          <w:sz w:val="20"/>
        </w:rPr>
        <w:lastRenderedPageBreak/>
        <w:t>A.</w:t>
      </w:r>
      <w:r w:rsidRPr="00403D2C">
        <w:rPr>
          <w:sz w:val="20"/>
        </w:rPr>
        <w:tab/>
      </w:r>
      <w:r w:rsidRPr="00403D2C">
        <w:rPr>
          <w:sz w:val="20"/>
          <w:u w:val="single"/>
        </w:rPr>
        <w:t>Presupuesto final de 2014/15 tras las transferencias</w:t>
      </w:r>
    </w:p>
    <w:p w:rsidR="00221F0B" w:rsidRPr="00B449F8" w:rsidRDefault="00221F0B" w:rsidP="009C4D7F">
      <w:pPr>
        <w:keepNext/>
        <w:keepLines/>
        <w:jc w:val="both"/>
        <w:rPr>
          <w:sz w:val="20"/>
          <w:u w:val="single"/>
        </w:rPr>
      </w:pPr>
    </w:p>
    <w:p w:rsidR="00221F0B" w:rsidRPr="00B449F8" w:rsidRDefault="00221F0B" w:rsidP="00EB45DE">
      <w:pPr>
        <w:pStyle w:val="ListParagraph"/>
        <w:keepNext/>
        <w:keepLines/>
        <w:numPr>
          <w:ilvl w:val="0"/>
          <w:numId w:val="115"/>
        </w:numPr>
        <w:tabs>
          <w:tab w:val="left" w:pos="709"/>
        </w:tabs>
        <w:ind w:left="0" w:firstLine="0"/>
        <w:jc w:val="both"/>
        <w:rPr>
          <w:rFonts w:cs="Arial"/>
          <w:lang w:val="es-ES"/>
        </w:rPr>
      </w:pPr>
      <w:r w:rsidRPr="00B449F8">
        <w:rPr>
          <w:rFonts w:cs="Arial"/>
          <w:lang w:val="es-ES"/>
        </w:rPr>
        <w:t xml:space="preserve">En el presupuesto final tras las transferencias (recursos no relativos a personal) se refleja un ligero ajuste a la baja efectuado para aumentar la eficacia en </w:t>
      </w:r>
      <w:r w:rsidRPr="00B449F8">
        <w:rPr>
          <w:rFonts w:cs="Arial"/>
          <w:lang w:val="es-ES" w:eastAsia="ko-KR"/>
        </w:rPr>
        <w:t>función</w:t>
      </w:r>
      <w:r w:rsidRPr="00B449F8">
        <w:rPr>
          <w:rFonts w:cs="Arial"/>
          <w:lang w:val="es-ES"/>
        </w:rPr>
        <w:t xml:space="preserve"> de los costos, lo que se ve compensado por la reasignación de recursos de personal como no relativos a personal a fin de contratar asistencia administrativa temporal para los servicios de conferencia e impresión.</w:t>
      </w:r>
    </w:p>
    <w:p w:rsidR="00221F0B" w:rsidRPr="00B449F8" w:rsidRDefault="00221F0B" w:rsidP="00DC1333">
      <w:pPr>
        <w:pStyle w:val="ListParagraph"/>
        <w:tabs>
          <w:tab w:val="left" w:pos="709"/>
        </w:tabs>
        <w:ind w:left="0"/>
        <w:jc w:val="both"/>
        <w:rPr>
          <w:rFonts w:cs="Arial"/>
          <w:lang w:val="es-ES"/>
        </w:rPr>
      </w:pPr>
    </w:p>
    <w:p w:rsidR="00221F0B" w:rsidRPr="00B449F8" w:rsidRDefault="00221F0B" w:rsidP="00EB45DE">
      <w:pPr>
        <w:pStyle w:val="ListParagraph"/>
        <w:numPr>
          <w:ilvl w:val="0"/>
          <w:numId w:val="115"/>
        </w:numPr>
        <w:tabs>
          <w:tab w:val="left" w:pos="709"/>
        </w:tabs>
        <w:ind w:left="0" w:firstLine="0"/>
        <w:jc w:val="both"/>
        <w:rPr>
          <w:rFonts w:cs="Arial"/>
          <w:lang w:val="es-ES"/>
        </w:rPr>
      </w:pPr>
      <w:r w:rsidRPr="00B449F8">
        <w:rPr>
          <w:rFonts w:cs="Arial"/>
          <w:lang w:val="es-ES"/>
        </w:rPr>
        <w:t>La reducción del presupuesto final tras las transferencias (recursos de personal) se debió principalmente a la reasignación de recursos para</w:t>
      </w:r>
      <w:proofErr w:type="gramStart"/>
      <w:r w:rsidRPr="00B449F8">
        <w:rPr>
          <w:rFonts w:cs="Arial"/>
          <w:lang w:val="es-ES"/>
        </w:rPr>
        <w:t>:  i</w:t>
      </w:r>
      <w:proofErr w:type="gramEnd"/>
      <w:r w:rsidRPr="00B449F8">
        <w:rPr>
          <w:rFonts w:cs="Arial"/>
          <w:lang w:val="es-ES"/>
        </w:rPr>
        <w:t>) reforzar los servicios administrativos de la Academia de la OMPI (programa 11);  ii) fortalecer los servicios en materia de infraestructura de locales (programa 24), y iii) las transferencias a recursos no relativos a personal reseñadas con anterioridad.</w:t>
      </w:r>
    </w:p>
    <w:p w:rsidR="00221F0B" w:rsidRPr="00B449F8" w:rsidRDefault="00221F0B" w:rsidP="00DC1333">
      <w:pPr>
        <w:pStyle w:val="ListParagraph"/>
        <w:tabs>
          <w:tab w:val="left" w:pos="709"/>
        </w:tabs>
        <w:ind w:left="0"/>
        <w:jc w:val="both"/>
        <w:rPr>
          <w:rFonts w:cs="Arial"/>
          <w:lang w:val="es-ES"/>
        </w:rPr>
      </w:pPr>
    </w:p>
    <w:p w:rsidR="00221F0B" w:rsidRPr="00B449F8" w:rsidRDefault="00403D2C" w:rsidP="00DC1333">
      <w:pPr>
        <w:jc w:val="both"/>
        <w:rPr>
          <w:sz w:val="20"/>
          <w:u w:val="single"/>
          <w:lang w:eastAsia="ko-KR"/>
        </w:rPr>
      </w:pPr>
      <w:r w:rsidRPr="00403D2C">
        <w:rPr>
          <w:sz w:val="20"/>
          <w:lang w:eastAsia="ko-KR"/>
        </w:rPr>
        <w:t>B.</w:t>
      </w:r>
      <w:r w:rsidRPr="00403D2C">
        <w:rPr>
          <w:sz w:val="20"/>
          <w:lang w:eastAsia="ko-KR"/>
        </w:rPr>
        <w:tab/>
      </w:r>
      <w:r w:rsidRPr="00403D2C">
        <w:rPr>
          <w:sz w:val="20"/>
          <w:u w:val="single"/>
          <w:lang w:eastAsia="ko-KR"/>
        </w:rPr>
        <w:t>Utilización del presupuesto en 2014/15</w:t>
      </w:r>
    </w:p>
    <w:p w:rsidR="00221F0B" w:rsidRPr="00B449F8" w:rsidRDefault="00221F0B" w:rsidP="00DC1333">
      <w:pPr>
        <w:pStyle w:val="ListParagraph"/>
        <w:tabs>
          <w:tab w:val="left" w:pos="709"/>
        </w:tabs>
        <w:ind w:left="0"/>
        <w:jc w:val="both"/>
        <w:rPr>
          <w:rFonts w:cs="Arial"/>
          <w:lang w:val="es-ES"/>
        </w:rPr>
      </w:pPr>
    </w:p>
    <w:p w:rsidR="00221F0B" w:rsidRPr="00B449F8" w:rsidRDefault="00221F0B" w:rsidP="00EB45DE">
      <w:pPr>
        <w:pStyle w:val="ListParagraph"/>
        <w:numPr>
          <w:ilvl w:val="0"/>
          <w:numId w:val="115"/>
        </w:numPr>
        <w:tabs>
          <w:tab w:val="left" w:pos="709"/>
        </w:tabs>
        <w:ind w:left="0" w:firstLine="0"/>
        <w:jc w:val="both"/>
        <w:rPr>
          <w:rFonts w:cs="Arial"/>
          <w:lang w:val="es-ES"/>
        </w:rPr>
      </w:pPr>
      <w:r w:rsidRPr="00B449F8">
        <w:rPr>
          <w:rFonts w:cs="Arial"/>
          <w:lang w:val="es-ES" w:eastAsia="ko-KR"/>
        </w:rPr>
        <w:t>La infrautilización de los recursos no relativos a personal se debió principalmente a un aumento de la eficacia en función de los costos conseguido mediante la reducción de:  i) los costos de traducción, gracias a la renegociación de los contratos con los traductores externos;  ii) los costos de impresión, a raíz de la renegociación de los contratos de arrendamiento de las impresoras;  iii) los costos de envío de los documentos, debido a la negociación de tarifas más bajas con los proveedores externos de correo, y iv) la transferencia de recursos no relativos a personal correspondientes a un pasante (al programa 23 que gestiona las pasantías).</w:t>
      </w:r>
    </w:p>
    <w:p w:rsidR="00221F0B" w:rsidRDefault="00221F0B"/>
    <w:p w:rsidR="00221F0B" w:rsidRPr="00B449F8" w:rsidRDefault="00221F0B"/>
    <w:p w:rsidR="004334DE" w:rsidRDefault="004334DE">
      <w:pPr>
        <w:rPr>
          <w:b/>
          <w:bCs/>
          <w:iCs/>
          <w:caps/>
          <w:szCs w:val="22"/>
        </w:rPr>
      </w:pPr>
      <w:bookmarkStart w:id="204" w:name="_Toc422927442"/>
      <w:r>
        <w:rPr>
          <w:b/>
          <w:szCs w:val="22"/>
        </w:rPr>
        <w:br w:type="page"/>
      </w:r>
    </w:p>
    <w:p w:rsidR="00221F0B" w:rsidRPr="002C21E9" w:rsidRDefault="00221F0B" w:rsidP="00DC1333">
      <w:pPr>
        <w:pStyle w:val="Heading2"/>
        <w:tabs>
          <w:tab w:val="left" w:pos="2410"/>
        </w:tabs>
        <w:rPr>
          <w:b/>
          <w:szCs w:val="22"/>
        </w:rPr>
      </w:pPr>
      <w:bookmarkStart w:id="205" w:name="_Toc455159110"/>
      <w:r w:rsidRPr="002C21E9">
        <w:rPr>
          <w:b/>
          <w:szCs w:val="22"/>
        </w:rPr>
        <w:lastRenderedPageBreak/>
        <w:t>PROGRAMA 28</w:t>
      </w:r>
      <w:r w:rsidRPr="002C21E9">
        <w:rPr>
          <w:b/>
          <w:szCs w:val="22"/>
        </w:rPr>
        <w:tab/>
        <w:t>SEGURIDAD Y VIGILANCIA</w:t>
      </w:r>
      <w:bookmarkEnd w:id="204"/>
      <w:bookmarkEnd w:id="205"/>
    </w:p>
    <w:p w:rsidR="00221F0B" w:rsidRPr="002C21E9" w:rsidRDefault="00221F0B" w:rsidP="00DC1333">
      <w:pPr>
        <w:rPr>
          <w:sz w:val="20"/>
        </w:rPr>
      </w:pPr>
    </w:p>
    <w:p w:rsidR="00221F0B" w:rsidRPr="002C21E9" w:rsidRDefault="00221F0B" w:rsidP="00DC1333">
      <w:pPr>
        <w:tabs>
          <w:tab w:val="left" w:pos="2410"/>
        </w:tabs>
        <w:rPr>
          <w:b/>
          <w:sz w:val="20"/>
        </w:rPr>
      </w:pPr>
      <w:r w:rsidRPr="002C21E9">
        <w:rPr>
          <w:b/>
          <w:sz w:val="20"/>
        </w:rPr>
        <w:t>Director de programa</w:t>
      </w:r>
      <w:r w:rsidRPr="002C21E9">
        <w:rPr>
          <w:sz w:val="20"/>
        </w:rPr>
        <w:tab/>
      </w:r>
      <w:r w:rsidRPr="002C21E9">
        <w:rPr>
          <w:b/>
          <w:sz w:val="20"/>
        </w:rPr>
        <w:t>Sr. A. Sundaram</w:t>
      </w:r>
    </w:p>
    <w:p w:rsidR="00221F0B" w:rsidRPr="002C21E9" w:rsidRDefault="00221F0B" w:rsidP="00DC1333">
      <w:pPr>
        <w:rPr>
          <w:sz w:val="20"/>
        </w:rPr>
      </w:pPr>
    </w:p>
    <w:p w:rsidR="00221F0B" w:rsidRPr="002C21E9" w:rsidRDefault="00221F0B" w:rsidP="00DC1333">
      <w:pPr>
        <w:rPr>
          <w:sz w:val="20"/>
        </w:rPr>
      </w:pPr>
    </w:p>
    <w:p w:rsidR="00221F0B" w:rsidRPr="002C21E9" w:rsidRDefault="008F7CBE" w:rsidP="00DC1333">
      <w:pPr>
        <w:rPr>
          <w:bCs/>
          <w:szCs w:val="22"/>
        </w:rPr>
      </w:pPr>
      <w:r w:rsidRPr="008F7CBE">
        <w:rPr>
          <w:bCs/>
          <w:sz w:val="20"/>
          <w:szCs w:val="22"/>
        </w:rPr>
        <w:t>LOGROS ALCANZADOS EN EL BIENIO 2014/15</w:t>
      </w:r>
    </w:p>
    <w:p w:rsidR="00221F0B" w:rsidRPr="002C21E9" w:rsidRDefault="00221F0B" w:rsidP="00DC1333">
      <w:pPr>
        <w:rPr>
          <w:bCs/>
        </w:rPr>
      </w:pPr>
    </w:p>
    <w:p w:rsidR="00221F0B" w:rsidRPr="002C21E9" w:rsidRDefault="00221F0B" w:rsidP="00EB45DE">
      <w:pPr>
        <w:pStyle w:val="ListParagraph"/>
        <w:numPr>
          <w:ilvl w:val="0"/>
          <w:numId w:val="118"/>
        </w:numPr>
        <w:tabs>
          <w:tab w:val="left" w:pos="0"/>
        </w:tabs>
        <w:ind w:left="0" w:firstLine="0"/>
        <w:jc w:val="both"/>
        <w:rPr>
          <w:bCs/>
          <w:lang w:val="es-ES"/>
        </w:rPr>
      </w:pPr>
      <w:r w:rsidRPr="002C21E9">
        <w:rPr>
          <w:bCs/>
          <w:lang w:val="es-ES"/>
        </w:rPr>
        <w:t>El contexto de seguridad y vigilancia en el que la OMPI llevó a ca</w:t>
      </w:r>
      <w:r w:rsidR="00E046BA">
        <w:rPr>
          <w:bCs/>
          <w:lang w:val="es-ES"/>
        </w:rPr>
        <w:t>bo sus actividades en el bienio </w:t>
      </w:r>
      <w:r w:rsidRPr="002C21E9">
        <w:rPr>
          <w:bCs/>
          <w:lang w:val="es-ES"/>
        </w:rPr>
        <w:t>2014/15 siguió siendo complejo a nivel mundial, pero al mismo tiempo se mantuvo estable por lo general en los países en los que la Organización está presente.  Se siguieron gestionando en el marco del programa todos los sistemas de seguridad y vigilancia de la Organización a lo largo del bienio, incluidos los de las instalaciones de la nueva sala de conferencias de la OMPI, inauguradas en septiembre de 2014.</w:t>
      </w:r>
    </w:p>
    <w:p w:rsidR="00221F0B" w:rsidRPr="002C21E9" w:rsidRDefault="00221F0B" w:rsidP="00DC1333">
      <w:pPr>
        <w:pStyle w:val="ListParagraph"/>
        <w:tabs>
          <w:tab w:val="left" w:pos="0"/>
        </w:tabs>
        <w:ind w:left="0"/>
        <w:jc w:val="both"/>
        <w:rPr>
          <w:bCs/>
          <w:lang w:val="es-ES"/>
        </w:rPr>
      </w:pPr>
    </w:p>
    <w:p w:rsidR="00221F0B" w:rsidRPr="002C21E9" w:rsidRDefault="00221F0B" w:rsidP="00EB45DE">
      <w:pPr>
        <w:pStyle w:val="ListParagraph"/>
        <w:numPr>
          <w:ilvl w:val="0"/>
          <w:numId w:val="118"/>
        </w:numPr>
        <w:tabs>
          <w:tab w:val="left" w:pos="0"/>
        </w:tabs>
        <w:ind w:left="0" w:firstLine="0"/>
        <w:jc w:val="both"/>
        <w:rPr>
          <w:bCs/>
          <w:lang w:val="es-ES"/>
        </w:rPr>
      </w:pPr>
      <w:r w:rsidRPr="002C21E9">
        <w:rPr>
          <w:bCs/>
          <w:lang w:val="es-ES"/>
        </w:rPr>
        <w:t xml:space="preserve">La seguridad de los viajes internacionales de los miembros del personal de la OMPI siguió centrando la atención durante el bienio, ya que en varias de las regiones visitadas se produjeron incidentes relacionados con la inestabilidad y la seguridad, en especial hacia finales de 2015.  Los lamentables actos terroristas perpetrados en París (Francia) en noviembre de 2015 incidieron en los procedimientos de seguridad y vigilancia de la OMPI, que puso en práctica medidas adicionales de seguridad, entre ellas el fortalecimiento de la colaboración con el Gobierno anfitrión.  Estas iniciativas permitieron a la OMPI cumplir sus compromisos de participar en actos y conferencias como la 21ª sesión de la </w:t>
      </w:r>
      <w:r w:rsidRPr="002C21E9">
        <w:rPr>
          <w:rStyle w:val="admitted"/>
          <w:lang w:val="es-ES"/>
        </w:rPr>
        <w:t>Conferencia de las Partes en la Convención Marco de las Naciones Unidas sobre el Cambio Climático (COP 21), que se celebró en París los días 7 y 8 de diciembre de 2015.</w:t>
      </w:r>
    </w:p>
    <w:p w:rsidR="00221F0B" w:rsidRPr="002C21E9" w:rsidRDefault="00221F0B" w:rsidP="00DC1333">
      <w:pPr>
        <w:tabs>
          <w:tab w:val="left" w:pos="709"/>
        </w:tabs>
        <w:jc w:val="both"/>
        <w:rPr>
          <w:bCs/>
        </w:rPr>
      </w:pPr>
    </w:p>
    <w:p w:rsidR="00221F0B" w:rsidRPr="002C21E9" w:rsidRDefault="00221F0B" w:rsidP="00EB45DE">
      <w:pPr>
        <w:pStyle w:val="ListParagraph"/>
        <w:numPr>
          <w:ilvl w:val="0"/>
          <w:numId w:val="118"/>
        </w:numPr>
        <w:tabs>
          <w:tab w:val="left" w:pos="0"/>
        </w:tabs>
        <w:ind w:left="0" w:firstLine="0"/>
        <w:jc w:val="both"/>
        <w:rPr>
          <w:bCs/>
          <w:lang w:val="es-ES"/>
        </w:rPr>
      </w:pPr>
      <w:r w:rsidRPr="002C21E9">
        <w:rPr>
          <w:bCs/>
          <w:lang w:val="es-ES"/>
        </w:rPr>
        <w:t>Durante el bienio 2014/15 se consiguió culminar y avanzar algunos logros importantes en materia de seguridad y vigilancia, entre los que destacó la apertura del nuevo Centro de Acceso de la OMPI (recepción AB) y del Centro de Operaciones de Coordinación en materia de Seguridad (SCOC) en el plazo previsto para brindar un apoyo eficaz a la celebración de la vigesimosegunda sesión del PBC y las Asambleas de los Estados miembros de la OMPI en 2014, así como más</w:t>
      </w:r>
      <w:r w:rsidR="007252A0">
        <w:rPr>
          <w:bCs/>
          <w:lang w:val="es-ES"/>
        </w:rPr>
        <w:t xml:space="preserve"> de 200 conferencias y actos en </w:t>
      </w:r>
      <w:r w:rsidRPr="002C21E9">
        <w:rPr>
          <w:bCs/>
          <w:lang w:val="es-ES"/>
        </w:rPr>
        <w:t>2015</w:t>
      </w:r>
      <w:r>
        <w:rPr>
          <w:bCs/>
          <w:lang w:val="es-ES"/>
        </w:rPr>
        <w:t>,</w:t>
      </w:r>
      <w:r w:rsidRPr="002C21E9">
        <w:rPr>
          <w:bCs/>
          <w:lang w:val="es-ES"/>
        </w:rPr>
        <w:t xml:space="preserve"> que contaron con la asistencia del personal, delegados, visitantes y público en general.  Por otra parte, en 2015 se finalizó el proyecto de Normas mínimas de seguridad operacional para las sedes de las Naciones Unidas (H-MOSS), lo que se tradujo en mejoras que permitieron fortalecer considerablemente la gestión de la seguridad y vigilancia en todo el recinto de la OMPI, y en particular:  i) la puesta en funcionamiento de un nuevo sistema de control del acceso de vehículos y peatones;  ii)  medidas técnicamente avanzadas para impedir el acceso de intrusos;  iii) un sistema de vigilancia por circuito cerrado de televisión (CCTV);  iv) una red de área local (LAN) segura;  v) un sistema de comunicaciones y de respuesta en situaciones de emergencia, y vi) un sistema de detección y control de incendios y gestión de riesgos.  Además, tras un proceso exhaustivo de concurso, la OMPI seleccionó una nueva empresa de guardias de seguridad, que está previsto que comience a prestar sus servicios a principios de 2016, a fin de aumentar la seguridad y vigilancia internas.</w:t>
      </w:r>
    </w:p>
    <w:p w:rsidR="00221F0B" w:rsidRPr="002C21E9" w:rsidRDefault="00221F0B" w:rsidP="00DC1333">
      <w:pPr>
        <w:tabs>
          <w:tab w:val="left" w:pos="709"/>
        </w:tabs>
        <w:jc w:val="both"/>
        <w:rPr>
          <w:bCs/>
        </w:rPr>
      </w:pPr>
    </w:p>
    <w:p w:rsidR="00221F0B" w:rsidRPr="002C21E9" w:rsidRDefault="00221F0B" w:rsidP="00EB45DE">
      <w:pPr>
        <w:pStyle w:val="ListParagraph"/>
        <w:numPr>
          <w:ilvl w:val="0"/>
          <w:numId w:val="118"/>
        </w:numPr>
        <w:ind w:left="0" w:firstLine="0"/>
        <w:jc w:val="both"/>
        <w:rPr>
          <w:bCs/>
          <w:lang w:val="es-ES"/>
        </w:rPr>
      </w:pPr>
      <w:r w:rsidRPr="002C21E9">
        <w:rPr>
          <w:bCs/>
          <w:lang w:val="es-ES"/>
        </w:rPr>
        <w:t xml:space="preserve">Con el fin de seguir optimizando la capacidad operativa del SCOC y de los nuevos sistemas, </w:t>
      </w:r>
      <w:r w:rsidR="00CB2530">
        <w:rPr>
          <w:bCs/>
          <w:lang w:val="es-ES"/>
        </w:rPr>
        <w:t>en </w:t>
      </w:r>
      <w:r w:rsidRPr="002C21E9">
        <w:rPr>
          <w:bCs/>
          <w:lang w:val="es-ES"/>
        </w:rPr>
        <w:t>2014 y 2015 se impartió formación especializada al personal de vigilancia y seguridad y a los miembros del equipo de guardias de seguridad del recinto de la OMPI.  Durante el bienio se introdujeron además nuevos procedimientos de gestión de la seguridad y se actualizaron los procedimientos operativos estándar y otras políticas específicas actuales.  Asimismo, se elaboraron nuevas medidas sobre el desempeño del personal de seguridad, que fueron incorporadas a los procedimientos operativos estándar con el fin de potenciar la eficacia y la capacidad de respuesta en situaciones de emergencia.  Por último, dentro de la Estrategia de gestión de la continuidad de las operaciones y el Plan de gestión de crisis, en 2015 se siguieron introduciendo varias mejoras de seguridad y vigilancia en el edificio CAM de la OMPI (control de acceso, renovación del muro contra incendios y los detectores, e instalación de un sistema de CCTV) con miras a crear un centro de gestión de crisis en el exterior.</w:t>
      </w:r>
    </w:p>
    <w:p w:rsidR="00221F0B" w:rsidRPr="002C21E9" w:rsidRDefault="00221F0B" w:rsidP="00DC1333">
      <w:pPr>
        <w:tabs>
          <w:tab w:val="left" w:pos="709"/>
        </w:tabs>
        <w:jc w:val="both"/>
        <w:rPr>
          <w:bCs/>
        </w:rPr>
      </w:pPr>
    </w:p>
    <w:p w:rsidR="00221F0B" w:rsidRPr="002C21E9" w:rsidRDefault="00221F0B" w:rsidP="00EB45DE">
      <w:pPr>
        <w:pStyle w:val="ListParagraph"/>
        <w:numPr>
          <w:ilvl w:val="0"/>
          <w:numId w:val="118"/>
        </w:numPr>
        <w:ind w:left="0" w:firstLine="0"/>
        <w:jc w:val="both"/>
        <w:rPr>
          <w:bCs/>
          <w:lang w:val="es-ES"/>
        </w:rPr>
      </w:pPr>
      <w:r w:rsidRPr="002C21E9">
        <w:rPr>
          <w:bCs/>
          <w:lang w:val="es-ES"/>
        </w:rPr>
        <w:t>Con objeto de mejorar la seguridad del personal de la OMPI, proteger mejor los activos de la Organización y asegurar la conformidad con los procedimientos de seguridad y vigilancia de las Naciones Unidas, en el bienio 2014/15 se realizaron auditorías de evaluación de la seguridad y vigilancia de las cinco oficinas de la OMPI en el exterior, y al finalizar el bienio se habían dado por aplicadas más del 90% de las recomendaciones de las auditorías.  Además, se estableció un programa de actividades de divulgación en el marco del SCOC para las oficinas de la OMPI en el exterior, destinado a mejorar la gestión de la seguridad y vigilancia mediante una coordinación concertada y un servicio de asistencia en materia de seguridad disponible día y noche.</w:t>
      </w:r>
    </w:p>
    <w:p w:rsidR="00221F0B" w:rsidRPr="002C21E9" w:rsidRDefault="00221F0B" w:rsidP="00EB45DE">
      <w:pPr>
        <w:pStyle w:val="ListParagraph"/>
        <w:numPr>
          <w:ilvl w:val="0"/>
          <w:numId w:val="118"/>
        </w:numPr>
        <w:tabs>
          <w:tab w:val="left" w:pos="0"/>
        </w:tabs>
        <w:ind w:left="0" w:firstLine="0"/>
        <w:jc w:val="both"/>
        <w:rPr>
          <w:bCs/>
          <w:lang w:val="es-ES"/>
        </w:rPr>
      </w:pPr>
      <w:r w:rsidRPr="002C21E9">
        <w:rPr>
          <w:bCs/>
          <w:lang w:val="es-ES"/>
        </w:rPr>
        <w:lastRenderedPageBreak/>
        <w:t>El número total de incidentes de seguridad y vigilancia notificados durante el bienio siguió siendo bajo, ya que solo se produjeron lesiones en 7 de los 616 incidentes regis</w:t>
      </w:r>
      <w:r w:rsidR="007771F8">
        <w:rPr>
          <w:bCs/>
          <w:lang w:val="es-ES"/>
        </w:rPr>
        <w:t>trados (el 1,1%)</w:t>
      </w:r>
      <w:proofErr w:type="gramStart"/>
      <w:r w:rsidR="007771F8">
        <w:rPr>
          <w:bCs/>
          <w:lang w:val="es-ES"/>
        </w:rPr>
        <w:t>:  2</w:t>
      </w:r>
      <w:proofErr w:type="gramEnd"/>
      <w:r w:rsidR="007771F8">
        <w:rPr>
          <w:bCs/>
          <w:lang w:val="es-ES"/>
        </w:rPr>
        <w:t xml:space="preserve"> de 222 (el </w:t>
      </w:r>
      <w:r w:rsidRPr="002C21E9">
        <w:rPr>
          <w:bCs/>
          <w:lang w:val="es-ES"/>
        </w:rPr>
        <w:t>0,9%) en 2014 y 5 de 394 (el 1,3%) en 2015.</w:t>
      </w:r>
    </w:p>
    <w:p w:rsidR="00221F0B" w:rsidRPr="002C21E9" w:rsidRDefault="00221F0B" w:rsidP="00DC1333">
      <w:pPr>
        <w:jc w:val="both"/>
        <w:rPr>
          <w:bCs/>
        </w:rPr>
      </w:pPr>
    </w:p>
    <w:p w:rsidR="00221F0B" w:rsidRPr="002C21E9" w:rsidRDefault="00221F0B" w:rsidP="00DC1333">
      <w:pPr>
        <w:jc w:val="both"/>
        <w:rPr>
          <w:bCs/>
        </w:rPr>
      </w:pPr>
    </w:p>
    <w:p w:rsidR="00221F0B" w:rsidRPr="002C21E9" w:rsidRDefault="008F7CBE" w:rsidP="008A5245">
      <w:pPr>
        <w:jc w:val="both"/>
        <w:rPr>
          <w:szCs w:val="22"/>
        </w:rPr>
      </w:pPr>
      <w:r w:rsidRPr="008F7CBE">
        <w:rPr>
          <w:sz w:val="20"/>
          <w:szCs w:val="22"/>
        </w:rPr>
        <w:t>DATOS SOBRE EL RENDIMIENTO</w:t>
      </w:r>
    </w:p>
    <w:p w:rsidR="00221F0B" w:rsidRPr="002C21E9" w:rsidRDefault="00221F0B" w:rsidP="008A5245">
      <w:pPr>
        <w:rPr>
          <w:bCs/>
          <w:szCs w:val="22"/>
        </w:rPr>
      </w:pPr>
    </w:p>
    <w:tbl>
      <w:tblPr>
        <w:tblW w:w="4962"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7"/>
        <w:gridCol w:w="2266"/>
        <w:gridCol w:w="1277"/>
        <w:gridCol w:w="2551"/>
        <w:gridCol w:w="1277"/>
      </w:tblGrid>
      <w:tr w:rsidR="00221F0B" w:rsidRPr="002C21E9" w:rsidTr="00DC1333">
        <w:trPr>
          <w:cantSplit/>
        </w:trPr>
        <w:tc>
          <w:tcPr>
            <w:tcW w:w="5000" w:type="pct"/>
            <w:gridSpan w:val="5"/>
            <w:tcBorders>
              <w:top w:val="single" w:sz="4" w:space="0" w:color="auto"/>
              <w:bottom w:val="single" w:sz="4" w:space="0" w:color="auto"/>
            </w:tcBorders>
            <w:shd w:val="clear" w:color="auto" w:fill="C6D9F1" w:themeFill="text2" w:themeFillTint="33"/>
            <w:vAlign w:val="center"/>
          </w:tcPr>
          <w:p w:rsidR="00221F0B" w:rsidRPr="002C21E9" w:rsidRDefault="00221F0B" w:rsidP="008A5245">
            <w:pPr>
              <w:spacing w:before="120" w:after="120"/>
              <w:ind w:left="2019" w:hanging="2019"/>
              <w:rPr>
                <w:b/>
                <w:bCs/>
                <w:sz w:val="16"/>
                <w:szCs w:val="16"/>
              </w:rPr>
            </w:pPr>
            <w:r w:rsidRPr="002C21E9">
              <w:rPr>
                <w:b/>
                <w:bCs/>
                <w:sz w:val="16"/>
                <w:szCs w:val="16"/>
              </w:rPr>
              <w:t>Resultado previsto:</w:t>
            </w:r>
            <w:r w:rsidRPr="002C21E9">
              <w:rPr>
                <w:b/>
                <w:bCs/>
                <w:sz w:val="16"/>
                <w:szCs w:val="16"/>
              </w:rPr>
              <w:tab/>
            </w:r>
            <w:r w:rsidRPr="002C21E9">
              <w:rPr>
                <w:bCs/>
                <w:sz w:val="16"/>
                <w:szCs w:val="16"/>
              </w:rPr>
              <w:t>IX.4 Una organización responsable con el medio ambiente y la sociedad en la que se garantiza la seguridad de su personal, los delegados, los visitantes, la información y los activos físicos</w:t>
            </w:r>
          </w:p>
        </w:tc>
      </w:tr>
      <w:tr w:rsidR="00221F0B" w:rsidRPr="002C21E9" w:rsidTr="00DC1333">
        <w:trPr>
          <w:cantSplit/>
        </w:trPr>
        <w:tc>
          <w:tcPr>
            <w:tcW w:w="1120" w:type="pct"/>
            <w:tcBorders>
              <w:top w:val="single" w:sz="4" w:space="0" w:color="auto"/>
            </w:tcBorders>
            <w:shd w:val="clear" w:color="auto" w:fill="auto"/>
            <w:vAlign w:val="center"/>
          </w:tcPr>
          <w:p w:rsidR="00221F0B" w:rsidRPr="002C21E9" w:rsidRDefault="00221F0B" w:rsidP="008A5245">
            <w:pPr>
              <w:rPr>
                <w:sz w:val="16"/>
                <w:szCs w:val="16"/>
              </w:rPr>
            </w:pPr>
            <w:r w:rsidRPr="002C21E9">
              <w:rPr>
                <w:b/>
                <w:sz w:val="16"/>
                <w:szCs w:val="16"/>
              </w:rPr>
              <w:t>Indicadores de rendimiento</w:t>
            </w:r>
          </w:p>
        </w:tc>
        <w:tc>
          <w:tcPr>
            <w:tcW w:w="1193" w:type="pct"/>
            <w:tcBorders>
              <w:top w:val="single" w:sz="4" w:space="0" w:color="auto"/>
            </w:tcBorders>
            <w:shd w:val="clear" w:color="auto" w:fill="auto"/>
            <w:vAlign w:val="center"/>
          </w:tcPr>
          <w:p w:rsidR="00221F0B" w:rsidRPr="002C21E9" w:rsidRDefault="00221F0B" w:rsidP="008A5245">
            <w:pPr>
              <w:rPr>
                <w:b/>
                <w:bCs/>
                <w:sz w:val="16"/>
                <w:szCs w:val="16"/>
              </w:rPr>
            </w:pPr>
            <w:r w:rsidRPr="002C21E9">
              <w:rPr>
                <w:b/>
                <w:bCs/>
                <w:sz w:val="16"/>
                <w:szCs w:val="16"/>
              </w:rPr>
              <w:t>Referencia</w:t>
            </w:r>
          </w:p>
        </w:tc>
        <w:tc>
          <w:tcPr>
            <w:tcW w:w="672" w:type="pct"/>
            <w:tcBorders>
              <w:top w:val="single" w:sz="4" w:space="0" w:color="auto"/>
            </w:tcBorders>
            <w:shd w:val="clear" w:color="auto" w:fill="auto"/>
            <w:tcMar>
              <w:top w:w="110" w:type="dxa"/>
            </w:tcMar>
            <w:vAlign w:val="center"/>
          </w:tcPr>
          <w:p w:rsidR="00221F0B" w:rsidRPr="002C21E9" w:rsidRDefault="00221F0B" w:rsidP="008A5245">
            <w:pPr>
              <w:rPr>
                <w:b/>
                <w:sz w:val="16"/>
                <w:szCs w:val="16"/>
              </w:rPr>
            </w:pPr>
            <w:r w:rsidRPr="002C21E9">
              <w:rPr>
                <w:b/>
                <w:sz w:val="16"/>
                <w:szCs w:val="16"/>
              </w:rPr>
              <w:t>Objetivos</w:t>
            </w:r>
          </w:p>
        </w:tc>
        <w:tc>
          <w:tcPr>
            <w:tcW w:w="1343" w:type="pct"/>
            <w:tcBorders>
              <w:top w:val="single" w:sz="4" w:space="0" w:color="auto"/>
            </w:tcBorders>
            <w:shd w:val="clear" w:color="auto" w:fill="FFFFFF"/>
            <w:tcMar>
              <w:top w:w="110" w:type="dxa"/>
            </w:tcMar>
            <w:vAlign w:val="center"/>
          </w:tcPr>
          <w:p w:rsidR="00221F0B" w:rsidRPr="002C21E9" w:rsidRDefault="00221F0B" w:rsidP="008A5245">
            <w:pPr>
              <w:rPr>
                <w:sz w:val="16"/>
                <w:szCs w:val="16"/>
              </w:rPr>
            </w:pPr>
            <w:r w:rsidRPr="002C21E9">
              <w:rPr>
                <w:b/>
                <w:sz w:val="16"/>
                <w:szCs w:val="16"/>
              </w:rPr>
              <w:t>Datos sobre el rendimiento</w:t>
            </w:r>
          </w:p>
        </w:tc>
        <w:tc>
          <w:tcPr>
            <w:tcW w:w="672" w:type="pct"/>
            <w:tcBorders>
              <w:top w:val="single" w:sz="4" w:space="0" w:color="auto"/>
            </w:tcBorders>
            <w:shd w:val="clear" w:color="auto" w:fill="auto"/>
            <w:tcMar>
              <w:top w:w="110" w:type="dxa"/>
            </w:tcMar>
            <w:vAlign w:val="center"/>
          </w:tcPr>
          <w:p w:rsidR="00221F0B" w:rsidRPr="002C21E9" w:rsidRDefault="00221F0B" w:rsidP="008A5245">
            <w:pPr>
              <w:jc w:val="center"/>
              <w:rPr>
                <w:b/>
                <w:bCs/>
                <w:sz w:val="16"/>
                <w:szCs w:val="16"/>
              </w:rPr>
            </w:pPr>
            <w:r w:rsidRPr="002C21E9">
              <w:rPr>
                <w:b/>
                <w:bCs/>
                <w:sz w:val="16"/>
                <w:szCs w:val="16"/>
              </w:rPr>
              <w:t>Clave de colores</w:t>
            </w:r>
          </w:p>
        </w:tc>
      </w:tr>
      <w:tr w:rsidR="00221F0B" w:rsidRPr="002C21E9" w:rsidTr="00DC1333">
        <w:trPr>
          <w:cantSplit/>
        </w:trPr>
        <w:tc>
          <w:tcPr>
            <w:tcW w:w="1120" w:type="pct"/>
            <w:shd w:val="clear" w:color="auto" w:fill="auto"/>
          </w:tcPr>
          <w:p w:rsidR="00221F0B" w:rsidRPr="002C21E9" w:rsidRDefault="00221F0B" w:rsidP="008A5245">
            <w:pPr>
              <w:rPr>
                <w:sz w:val="16"/>
                <w:szCs w:val="16"/>
              </w:rPr>
            </w:pPr>
            <w:r w:rsidRPr="002C21E9">
              <w:rPr>
                <w:sz w:val="16"/>
                <w:szCs w:val="16"/>
              </w:rPr>
              <w:t>Porcentaje de miembros del personal, delegados y visitantes que notifican lesiones o incidentes relacionados con el entorno laboral</w:t>
            </w:r>
          </w:p>
        </w:tc>
        <w:tc>
          <w:tcPr>
            <w:tcW w:w="1193" w:type="pct"/>
            <w:shd w:val="clear" w:color="auto" w:fill="auto"/>
          </w:tcPr>
          <w:p w:rsidR="00221F0B" w:rsidRPr="002C21E9" w:rsidRDefault="00221F0B" w:rsidP="008A5245">
            <w:pPr>
              <w:rPr>
                <w:color w:val="002060"/>
                <w:sz w:val="16"/>
                <w:szCs w:val="16"/>
              </w:rPr>
            </w:pPr>
            <w:r w:rsidRPr="002C21E9">
              <w:rPr>
                <w:i/>
                <w:color w:val="002060"/>
                <w:sz w:val="16"/>
                <w:szCs w:val="16"/>
              </w:rPr>
              <w:t>Referencia actualizada a fines de 2013</w:t>
            </w:r>
            <w:r>
              <w:rPr>
                <w:color w:val="002060"/>
                <w:sz w:val="16"/>
                <w:szCs w:val="16"/>
              </w:rPr>
              <w:t>:  e</w:t>
            </w:r>
            <w:r w:rsidRPr="002C21E9">
              <w:rPr>
                <w:color w:val="002060"/>
                <w:sz w:val="16"/>
                <w:szCs w:val="16"/>
              </w:rPr>
              <w:t>l porcentaje total de incidentes en los que se han visto implicados miembros del personal y se han producido lesiones fue inferior al 2% en 2012/13 (6 en 2012;  4 en 2013)</w:t>
            </w:r>
          </w:p>
          <w:p w:rsidR="00221F0B" w:rsidRPr="002C21E9" w:rsidRDefault="00221F0B" w:rsidP="008A5245">
            <w:pPr>
              <w:rPr>
                <w:sz w:val="16"/>
                <w:szCs w:val="16"/>
              </w:rPr>
            </w:pPr>
          </w:p>
          <w:p w:rsidR="00221F0B" w:rsidRPr="002C21E9" w:rsidRDefault="00221F0B" w:rsidP="008A5245">
            <w:pPr>
              <w:rPr>
                <w:sz w:val="16"/>
                <w:szCs w:val="16"/>
              </w:rPr>
            </w:pPr>
            <w:r w:rsidRPr="002C21E9">
              <w:rPr>
                <w:i/>
                <w:sz w:val="16"/>
                <w:szCs w:val="16"/>
              </w:rPr>
              <w:t xml:space="preserve">Referencia original en el presupuesto de 2014/15:  </w:t>
            </w:r>
            <w:r w:rsidRPr="002C21E9">
              <w:rPr>
                <w:sz w:val="16"/>
                <w:szCs w:val="16"/>
              </w:rPr>
              <w:t>el 2% o un porcentaje menor del total de partes interesadas / clientes notifican lesiones o incidentes relacionados con el entorno laboral</w:t>
            </w:r>
          </w:p>
        </w:tc>
        <w:tc>
          <w:tcPr>
            <w:tcW w:w="672" w:type="pct"/>
            <w:shd w:val="clear" w:color="auto" w:fill="auto"/>
            <w:tcMar>
              <w:top w:w="110" w:type="dxa"/>
            </w:tcMar>
          </w:tcPr>
          <w:p w:rsidR="00221F0B" w:rsidRPr="002C21E9" w:rsidRDefault="00221F0B" w:rsidP="008A5245">
            <w:pPr>
              <w:rPr>
                <w:sz w:val="16"/>
                <w:szCs w:val="16"/>
              </w:rPr>
            </w:pPr>
            <w:r w:rsidRPr="002C21E9">
              <w:rPr>
                <w:sz w:val="16"/>
                <w:szCs w:val="16"/>
              </w:rPr>
              <w:t>2% o menos</w:t>
            </w:r>
          </w:p>
        </w:tc>
        <w:tc>
          <w:tcPr>
            <w:tcW w:w="1343" w:type="pct"/>
            <w:shd w:val="clear" w:color="auto" w:fill="FFFFFF"/>
            <w:tcMar>
              <w:top w:w="110" w:type="dxa"/>
            </w:tcMar>
          </w:tcPr>
          <w:p w:rsidR="00221F0B" w:rsidRPr="002C21E9" w:rsidRDefault="00221F0B" w:rsidP="008A5245">
            <w:pPr>
              <w:rPr>
                <w:sz w:val="16"/>
                <w:szCs w:val="16"/>
              </w:rPr>
            </w:pPr>
            <w:r w:rsidRPr="002C21E9">
              <w:rPr>
                <w:sz w:val="16"/>
                <w:szCs w:val="16"/>
              </w:rPr>
              <w:t xml:space="preserve">El porcentaje total de incidentes relacionados con la seguridad registrados en 2014/15 que provocaron lesiones fue del 1,1%:  </w:t>
            </w:r>
          </w:p>
          <w:p w:rsidR="00221F0B" w:rsidRPr="002C21E9" w:rsidRDefault="00221F0B" w:rsidP="00EB45DE">
            <w:pPr>
              <w:pStyle w:val="ListParagraph"/>
              <w:numPr>
                <w:ilvl w:val="0"/>
                <w:numId w:val="119"/>
              </w:numPr>
              <w:rPr>
                <w:rFonts w:cs="Arial"/>
                <w:sz w:val="16"/>
                <w:szCs w:val="16"/>
                <w:lang w:val="es-ES"/>
              </w:rPr>
            </w:pPr>
            <w:r w:rsidRPr="002C21E9">
              <w:rPr>
                <w:rFonts w:cs="Arial"/>
                <w:sz w:val="16"/>
                <w:szCs w:val="16"/>
                <w:lang w:val="es-ES"/>
              </w:rPr>
              <w:t xml:space="preserve">2 incidentes relacionados con la seguridad (2014) </w:t>
            </w:r>
          </w:p>
          <w:p w:rsidR="00221F0B" w:rsidRPr="002C21E9" w:rsidRDefault="00221F0B" w:rsidP="00EB45DE">
            <w:pPr>
              <w:pStyle w:val="ListParagraph"/>
              <w:numPr>
                <w:ilvl w:val="0"/>
                <w:numId w:val="119"/>
              </w:numPr>
              <w:rPr>
                <w:sz w:val="16"/>
                <w:szCs w:val="16"/>
                <w:lang w:val="es-ES"/>
              </w:rPr>
            </w:pPr>
            <w:r w:rsidRPr="002C21E9">
              <w:rPr>
                <w:rFonts w:cs="Arial"/>
                <w:sz w:val="16"/>
                <w:szCs w:val="16"/>
                <w:lang w:val="es-ES"/>
              </w:rPr>
              <w:t>5 incidentes relacionados con la seguridad (2015)</w:t>
            </w:r>
          </w:p>
        </w:tc>
        <w:tc>
          <w:tcPr>
            <w:tcW w:w="672" w:type="pct"/>
            <w:shd w:val="clear" w:color="auto" w:fill="auto"/>
            <w:tcMar>
              <w:top w:w="110" w:type="dxa"/>
            </w:tcMar>
          </w:tcPr>
          <w:p w:rsidR="00221F0B" w:rsidRPr="002C21E9" w:rsidRDefault="00221F0B" w:rsidP="008A5245">
            <w:pPr>
              <w:rPr>
                <w:b/>
                <w:bCs/>
                <w:color w:val="00B050"/>
                <w:sz w:val="16"/>
                <w:szCs w:val="16"/>
              </w:rPr>
            </w:pPr>
            <w:r w:rsidRPr="002C21E9">
              <w:rPr>
                <w:b/>
                <w:color w:val="00B050"/>
                <w:sz w:val="16"/>
                <w:szCs w:val="16"/>
              </w:rPr>
              <w:t>Plenamente logrado</w:t>
            </w:r>
          </w:p>
        </w:tc>
      </w:tr>
      <w:tr w:rsidR="00221F0B" w:rsidRPr="002C21E9" w:rsidTr="00DC1333">
        <w:trPr>
          <w:cantSplit/>
        </w:trPr>
        <w:tc>
          <w:tcPr>
            <w:tcW w:w="1120" w:type="pct"/>
            <w:shd w:val="clear" w:color="auto" w:fill="auto"/>
          </w:tcPr>
          <w:p w:rsidR="00221F0B" w:rsidRPr="002C21E9" w:rsidRDefault="00221F0B" w:rsidP="00DC1333">
            <w:pPr>
              <w:rPr>
                <w:sz w:val="16"/>
                <w:szCs w:val="16"/>
              </w:rPr>
            </w:pPr>
            <w:r w:rsidRPr="002C21E9">
              <w:rPr>
                <w:sz w:val="16"/>
                <w:szCs w:val="16"/>
              </w:rPr>
              <w:t>Porcentaje de peticiones de asistencia relativas a la seguridad atendidas puntualmente en las conferencias o actividades organizadas en Ginebra</w:t>
            </w:r>
            <w:r>
              <w:rPr>
                <w:sz w:val="16"/>
                <w:szCs w:val="16"/>
              </w:rPr>
              <w:t xml:space="preserve"> o en el exterior</w:t>
            </w:r>
          </w:p>
        </w:tc>
        <w:tc>
          <w:tcPr>
            <w:tcW w:w="1193" w:type="pct"/>
            <w:shd w:val="clear" w:color="auto" w:fill="auto"/>
          </w:tcPr>
          <w:p w:rsidR="00221F0B" w:rsidRPr="002C21E9" w:rsidRDefault="00221F0B" w:rsidP="00DC1333">
            <w:pPr>
              <w:keepNext/>
              <w:keepLines/>
              <w:rPr>
                <w:i/>
                <w:color w:val="002060"/>
                <w:sz w:val="16"/>
                <w:szCs w:val="16"/>
              </w:rPr>
            </w:pPr>
            <w:r w:rsidRPr="002C21E9">
              <w:rPr>
                <w:i/>
                <w:color w:val="002060"/>
                <w:sz w:val="16"/>
                <w:szCs w:val="16"/>
              </w:rPr>
              <w:t xml:space="preserve">Referencia actualizada a fines de 2013: </w:t>
            </w:r>
          </w:p>
          <w:p w:rsidR="00221F0B" w:rsidRPr="002C21E9" w:rsidRDefault="00221F0B" w:rsidP="00DC1333">
            <w:pPr>
              <w:keepNext/>
              <w:keepLines/>
              <w:rPr>
                <w:color w:val="002060"/>
                <w:sz w:val="16"/>
                <w:szCs w:val="16"/>
              </w:rPr>
            </w:pPr>
            <w:r>
              <w:rPr>
                <w:color w:val="002060"/>
                <w:sz w:val="16"/>
                <w:szCs w:val="16"/>
              </w:rPr>
              <w:t>durante el bienio se realizaron</w:t>
            </w:r>
            <w:r w:rsidRPr="002C21E9">
              <w:rPr>
                <w:color w:val="002060"/>
                <w:sz w:val="16"/>
                <w:szCs w:val="16"/>
              </w:rPr>
              <w:t xml:space="preserve"> un total de siete auditorías de eventos externos (conferencias o actividades) con la ayuda de las respectivas oficinas nacionales del Departamento de Seguridad y Vigilancia de las Naciones Unidas, que cumplieron todas las normas del sistema de gestión de seguridad y vigilancia de NN.UU.:</w:t>
            </w:r>
          </w:p>
          <w:p w:rsidR="00221F0B" w:rsidRPr="002C21E9" w:rsidRDefault="00221F0B" w:rsidP="00DC1333">
            <w:pPr>
              <w:keepNext/>
              <w:keepLines/>
              <w:rPr>
                <w:color w:val="002060"/>
                <w:sz w:val="16"/>
                <w:szCs w:val="16"/>
              </w:rPr>
            </w:pPr>
          </w:p>
          <w:p w:rsidR="00221F0B" w:rsidRPr="002C21E9" w:rsidRDefault="00221F0B" w:rsidP="00DC1333">
            <w:pPr>
              <w:keepNext/>
              <w:keepLines/>
              <w:rPr>
                <w:color w:val="002060"/>
                <w:sz w:val="16"/>
                <w:szCs w:val="16"/>
              </w:rPr>
            </w:pPr>
            <w:r w:rsidRPr="002C21E9">
              <w:rPr>
                <w:color w:val="002060"/>
                <w:sz w:val="16"/>
                <w:szCs w:val="16"/>
              </w:rPr>
              <w:t>-  tres (2012)</w:t>
            </w:r>
          </w:p>
          <w:p w:rsidR="00221F0B" w:rsidRPr="002C21E9" w:rsidRDefault="00221F0B" w:rsidP="00DC1333">
            <w:pPr>
              <w:keepNext/>
              <w:keepLines/>
              <w:rPr>
                <w:color w:val="002060"/>
                <w:sz w:val="16"/>
                <w:szCs w:val="16"/>
              </w:rPr>
            </w:pPr>
            <w:r w:rsidRPr="002C21E9">
              <w:rPr>
                <w:color w:val="002060"/>
                <w:sz w:val="16"/>
                <w:szCs w:val="16"/>
              </w:rPr>
              <w:t>-  cuatro (2013)</w:t>
            </w:r>
          </w:p>
          <w:p w:rsidR="00221F0B" w:rsidRPr="002C21E9" w:rsidRDefault="00221F0B" w:rsidP="00DC1333">
            <w:pPr>
              <w:keepNext/>
              <w:keepLines/>
              <w:rPr>
                <w:color w:val="002060"/>
                <w:sz w:val="16"/>
                <w:szCs w:val="16"/>
              </w:rPr>
            </w:pPr>
          </w:p>
          <w:p w:rsidR="00221F0B" w:rsidRPr="002C21E9" w:rsidRDefault="00221F0B" w:rsidP="00DC1333">
            <w:pPr>
              <w:keepNext/>
              <w:keepLines/>
              <w:rPr>
                <w:color w:val="002060"/>
                <w:sz w:val="16"/>
                <w:szCs w:val="16"/>
              </w:rPr>
            </w:pPr>
            <w:r w:rsidRPr="002C21E9">
              <w:rPr>
                <w:color w:val="002060"/>
                <w:sz w:val="16"/>
                <w:szCs w:val="16"/>
              </w:rPr>
              <w:t>Por otra parte, se llevaron a cabo auditorías de dos eventos externos gestionados directamente por la OMPI (el 100% de las peticiones se atendieron puntualmente)</w:t>
            </w:r>
          </w:p>
          <w:p w:rsidR="00221F0B" w:rsidRPr="002C21E9" w:rsidRDefault="00221F0B" w:rsidP="00DC1333">
            <w:pPr>
              <w:keepNext/>
              <w:keepLines/>
              <w:rPr>
                <w:color w:val="002060"/>
                <w:sz w:val="16"/>
                <w:szCs w:val="16"/>
              </w:rPr>
            </w:pPr>
          </w:p>
          <w:p w:rsidR="00221F0B" w:rsidRPr="002C21E9" w:rsidRDefault="00221F0B" w:rsidP="00DC1333">
            <w:pPr>
              <w:keepNext/>
              <w:keepLines/>
              <w:rPr>
                <w:color w:val="002060"/>
                <w:sz w:val="16"/>
                <w:szCs w:val="16"/>
              </w:rPr>
            </w:pPr>
            <w:r w:rsidRPr="002C21E9">
              <w:rPr>
                <w:color w:val="002060"/>
                <w:sz w:val="16"/>
                <w:szCs w:val="16"/>
              </w:rPr>
              <w:t>En 2012, se emprendieron dos auditorías de las instalaciones de las oficinas de la OMPI en el exterior (Singapur y Tokio).</w:t>
            </w:r>
          </w:p>
          <w:p w:rsidR="00221F0B" w:rsidRPr="002C21E9" w:rsidRDefault="00221F0B" w:rsidP="008A5245">
            <w:pPr>
              <w:rPr>
                <w:sz w:val="16"/>
                <w:szCs w:val="16"/>
              </w:rPr>
            </w:pPr>
          </w:p>
        </w:tc>
        <w:tc>
          <w:tcPr>
            <w:tcW w:w="672" w:type="pct"/>
            <w:shd w:val="clear" w:color="auto" w:fill="auto"/>
            <w:tcMar>
              <w:top w:w="110" w:type="dxa"/>
            </w:tcMar>
          </w:tcPr>
          <w:p w:rsidR="00221F0B" w:rsidRPr="002C21E9" w:rsidRDefault="00221F0B" w:rsidP="00DC1333">
            <w:pPr>
              <w:rPr>
                <w:sz w:val="16"/>
                <w:szCs w:val="16"/>
              </w:rPr>
            </w:pPr>
            <w:r w:rsidRPr="002C21E9">
              <w:rPr>
                <w:rFonts w:ascii="ArialMT" w:hAnsi="ArialMT" w:cs="ArialMT"/>
                <w:sz w:val="16"/>
                <w:szCs w:val="16"/>
              </w:rPr>
              <w:t>80% o más</w:t>
            </w:r>
          </w:p>
        </w:tc>
        <w:tc>
          <w:tcPr>
            <w:tcW w:w="1343" w:type="pct"/>
            <w:shd w:val="clear" w:color="auto" w:fill="FFFFFF"/>
            <w:tcMar>
              <w:top w:w="110" w:type="dxa"/>
            </w:tcMar>
          </w:tcPr>
          <w:p w:rsidR="00221F0B" w:rsidRPr="002C21E9" w:rsidRDefault="00221F0B" w:rsidP="00DC1333">
            <w:pPr>
              <w:rPr>
                <w:sz w:val="16"/>
                <w:szCs w:val="16"/>
                <w:lang w:bidi="th-TH"/>
              </w:rPr>
            </w:pPr>
            <w:r w:rsidRPr="002C21E9">
              <w:rPr>
                <w:sz w:val="16"/>
                <w:szCs w:val="16"/>
                <w:lang w:bidi="th-TH"/>
              </w:rPr>
              <w:t>En 2014 y 2015 se atendieron todas (100%) las peticiones de asistencia relativas a la seguridad y vigilancia en las conferencias o actos organizados en Ginebra o en el exterior.</w:t>
            </w:r>
          </w:p>
          <w:p w:rsidR="00221F0B" w:rsidRPr="002C21E9" w:rsidRDefault="00221F0B" w:rsidP="00DC1333">
            <w:pPr>
              <w:rPr>
                <w:sz w:val="16"/>
                <w:szCs w:val="16"/>
                <w:lang w:bidi="th-TH"/>
              </w:rPr>
            </w:pPr>
          </w:p>
          <w:p w:rsidR="00221F0B" w:rsidRPr="002C21E9" w:rsidRDefault="00221F0B" w:rsidP="00DC1333">
            <w:pPr>
              <w:rPr>
                <w:color w:val="002060"/>
                <w:sz w:val="16"/>
                <w:szCs w:val="16"/>
              </w:rPr>
            </w:pPr>
            <w:r w:rsidRPr="002C21E9">
              <w:rPr>
                <w:sz w:val="16"/>
                <w:szCs w:val="16"/>
              </w:rPr>
              <w:t>En 2014/15 se realizaron auditorías de evaluación de la seguridad y vigilancia en todas las oficinas de la OMPI en el exterior, dándose por aplicadas más del 90% de las recomendaciones de las auditorías al finalizar el bienio.</w:t>
            </w:r>
          </w:p>
        </w:tc>
        <w:tc>
          <w:tcPr>
            <w:tcW w:w="672" w:type="pct"/>
            <w:shd w:val="clear" w:color="auto" w:fill="auto"/>
          </w:tcPr>
          <w:p w:rsidR="00221F0B" w:rsidRPr="002C21E9" w:rsidRDefault="00221F0B" w:rsidP="00DC1333">
            <w:pPr>
              <w:keepNext/>
              <w:keepLines/>
              <w:rPr>
                <w:b/>
                <w:color w:val="00B050"/>
                <w:sz w:val="16"/>
                <w:szCs w:val="16"/>
              </w:rPr>
            </w:pPr>
            <w:r w:rsidRPr="002C21E9">
              <w:rPr>
                <w:b/>
                <w:color w:val="00B050"/>
                <w:sz w:val="16"/>
                <w:szCs w:val="16"/>
              </w:rPr>
              <w:t>Plenamente logrado</w:t>
            </w:r>
          </w:p>
          <w:p w:rsidR="00221F0B" w:rsidRPr="002C21E9" w:rsidRDefault="00221F0B" w:rsidP="00DC1333">
            <w:pPr>
              <w:keepNext/>
              <w:keepLines/>
              <w:rPr>
                <w:b/>
                <w:color w:val="00B050"/>
                <w:sz w:val="16"/>
                <w:szCs w:val="16"/>
              </w:rPr>
            </w:pPr>
          </w:p>
          <w:p w:rsidR="00221F0B" w:rsidRPr="002C21E9" w:rsidRDefault="00221F0B" w:rsidP="00DC1333">
            <w:pPr>
              <w:keepNext/>
              <w:keepLines/>
              <w:rPr>
                <w:b/>
                <w:color w:val="00B050"/>
                <w:sz w:val="16"/>
                <w:szCs w:val="16"/>
              </w:rPr>
            </w:pPr>
          </w:p>
          <w:p w:rsidR="00221F0B" w:rsidRPr="002C21E9" w:rsidRDefault="00221F0B" w:rsidP="00DC1333">
            <w:pPr>
              <w:keepNext/>
              <w:keepLines/>
              <w:rPr>
                <w:b/>
                <w:color w:val="00B050"/>
                <w:sz w:val="16"/>
                <w:szCs w:val="16"/>
              </w:rPr>
            </w:pPr>
          </w:p>
          <w:p w:rsidR="00221F0B" w:rsidRPr="002C21E9" w:rsidRDefault="00221F0B" w:rsidP="00DC1333">
            <w:pPr>
              <w:keepNext/>
              <w:keepLines/>
              <w:rPr>
                <w:b/>
                <w:color w:val="00B050"/>
                <w:sz w:val="16"/>
                <w:szCs w:val="16"/>
              </w:rPr>
            </w:pPr>
          </w:p>
          <w:p w:rsidR="00221F0B" w:rsidRPr="002C21E9" w:rsidRDefault="00221F0B" w:rsidP="00DC1333">
            <w:pPr>
              <w:keepNext/>
              <w:keepLines/>
              <w:rPr>
                <w:b/>
                <w:color w:val="00B050"/>
                <w:sz w:val="16"/>
                <w:szCs w:val="16"/>
              </w:rPr>
            </w:pPr>
          </w:p>
          <w:p w:rsidR="00221F0B" w:rsidRPr="002C21E9" w:rsidRDefault="00221F0B" w:rsidP="00DC1333">
            <w:pPr>
              <w:keepNext/>
              <w:keepLines/>
              <w:rPr>
                <w:b/>
                <w:color w:val="00B050"/>
                <w:sz w:val="16"/>
                <w:szCs w:val="16"/>
              </w:rPr>
            </w:pPr>
          </w:p>
          <w:p w:rsidR="00221F0B" w:rsidRPr="002C21E9" w:rsidRDefault="00221F0B" w:rsidP="00DC1333">
            <w:pPr>
              <w:keepNext/>
              <w:keepLines/>
              <w:rPr>
                <w:b/>
                <w:bCs/>
                <w:color w:val="00B050"/>
                <w:sz w:val="16"/>
                <w:szCs w:val="16"/>
              </w:rPr>
            </w:pPr>
          </w:p>
        </w:tc>
      </w:tr>
      <w:tr w:rsidR="008A5245" w:rsidRPr="002C21E9" w:rsidTr="00DC1333">
        <w:trPr>
          <w:cantSplit/>
        </w:trPr>
        <w:tc>
          <w:tcPr>
            <w:tcW w:w="1120" w:type="pct"/>
            <w:shd w:val="clear" w:color="auto" w:fill="auto"/>
          </w:tcPr>
          <w:p w:rsidR="008A5245" w:rsidRPr="002C21E9" w:rsidRDefault="008A5245" w:rsidP="00DC1333">
            <w:pPr>
              <w:rPr>
                <w:sz w:val="16"/>
                <w:szCs w:val="16"/>
              </w:rPr>
            </w:pPr>
          </w:p>
        </w:tc>
        <w:tc>
          <w:tcPr>
            <w:tcW w:w="1193" w:type="pct"/>
            <w:shd w:val="clear" w:color="auto" w:fill="auto"/>
          </w:tcPr>
          <w:p w:rsidR="008A5245" w:rsidRPr="002C21E9" w:rsidRDefault="008A5245" w:rsidP="00DC1333">
            <w:pPr>
              <w:keepNext/>
              <w:keepLines/>
              <w:rPr>
                <w:i/>
                <w:color w:val="002060"/>
                <w:sz w:val="16"/>
                <w:szCs w:val="16"/>
              </w:rPr>
            </w:pPr>
            <w:r w:rsidRPr="002C21E9">
              <w:rPr>
                <w:i/>
                <w:sz w:val="16"/>
                <w:szCs w:val="16"/>
              </w:rPr>
              <w:t xml:space="preserve">Referencia original en el presupuesto de 2014/15:  </w:t>
            </w:r>
            <w:r>
              <w:rPr>
                <w:sz w:val="16"/>
                <w:szCs w:val="16"/>
              </w:rPr>
              <w:t>e</w:t>
            </w:r>
            <w:r w:rsidRPr="002C21E9">
              <w:rPr>
                <w:sz w:val="16"/>
                <w:szCs w:val="16"/>
              </w:rPr>
              <w:t>l 65% o un porcentaje mayor del total de partes interesadas / clientes reciben puntualmente asistencia relativa a la seguridad en las conferencias o actividades organizadas en Ginebra o en otros lugares</w:t>
            </w:r>
          </w:p>
        </w:tc>
        <w:tc>
          <w:tcPr>
            <w:tcW w:w="672" w:type="pct"/>
            <w:shd w:val="clear" w:color="auto" w:fill="auto"/>
            <w:tcMar>
              <w:top w:w="110" w:type="dxa"/>
            </w:tcMar>
          </w:tcPr>
          <w:p w:rsidR="008A5245" w:rsidRPr="002C21E9" w:rsidRDefault="008A5245" w:rsidP="00DC1333">
            <w:pPr>
              <w:rPr>
                <w:rFonts w:ascii="ArialMT" w:hAnsi="ArialMT" w:cs="ArialMT"/>
                <w:sz w:val="16"/>
                <w:szCs w:val="16"/>
              </w:rPr>
            </w:pPr>
          </w:p>
        </w:tc>
        <w:tc>
          <w:tcPr>
            <w:tcW w:w="1343" w:type="pct"/>
            <w:shd w:val="clear" w:color="auto" w:fill="FFFFFF"/>
            <w:tcMar>
              <w:top w:w="110" w:type="dxa"/>
            </w:tcMar>
          </w:tcPr>
          <w:p w:rsidR="008A5245" w:rsidRPr="002C21E9" w:rsidRDefault="008A5245" w:rsidP="00DC1333">
            <w:pPr>
              <w:rPr>
                <w:sz w:val="16"/>
                <w:szCs w:val="16"/>
                <w:lang w:bidi="th-TH"/>
              </w:rPr>
            </w:pPr>
          </w:p>
        </w:tc>
        <w:tc>
          <w:tcPr>
            <w:tcW w:w="672" w:type="pct"/>
            <w:shd w:val="clear" w:color="auto" w:fill="auto"/>
          </w:tcPr>
          <w:p w:rsidR="008A5245" w:rsidRPr="002C21E9" w:rsidRDefault="008A5245" w:rsidP="00DC1333">
            <w:pPr>
              <w:keepNext/>
              <w:keepLines/>
              <w:rPr>
                <w:b/>
                <w:color w:val="00B050"/>
                <w:sz w:val="16"/>
                <w:szCs w:val="16"/>
              </w:rPr>
            </w:pPr>
          </w:p>
        </w:tc>
      </w:tr>
    </w:tbl>
    <w:p w:rsidR="00221F0B" w:rsidRDefault="00221F0B" w:rsidP="00DC1333">
      <w:pPr>
        <w:rPr>
          <w:color w:val="000000"/>
          <w:szCs w:val="22"/>
        </w:rPr>
      </w:pPr>
    </w:p>
    <w:p w:rsidR="00221F0B" w:rsidRPr="002C21E9" w:rsidRDefault="00221F0B" w:rsidP="00DC1333">
      <w:pPr>
        <w:rPr>
          <w:color w:val="000000"/>
          <w:szCs w:val="22"/>
        </w:rPr>
      </w:pPr>
    </w:p>
    <w:p w:rsidR="00221F0B" w:rsidRPr="002C21E9" w:rsidRDefault="008F7CBE" w:rsidP="00DC1333">
      <w:pPr>
        <w:keepNext/>
        <w:keepLines/>
        <w:rPr>
          <w:color w:val="000000"/>
          <w:szCs w:val="22"/>
        </w:rPr>
      </w:pPr>
      <w:r w:rsidRPr="008F7CBE">
        <w:rPr>
          <w:sz w:val="20"/>
        </w:rPr>
        <w:t>INFORMACIÓN SOBRE LOS RIESGOS PLANTEADOS EN EL BIENIO</w:t>
      </w:r>
    </w:p>
    <w:p w:rsidR="00221F0B" w:rsidRPr="002C21E9" w:rsidRDefault="00221F0B" w:rsidP="00DC1333">
      <w:pPr>
        <w:keepNext/>
        <w:keepLines/>
      </w:pPr>
    </w:p>
    <w:tbl>
      <w:tblPr>
        <w:tblW w:w="0" w:type="auto"/>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443"/>
        <w:gridCol w:w="2110"/>
        <w:gridCol w:w="2436"/>
        <w:gridCol w:w="2582"/>
      </w:tblGrid>
      <w:tr w:rsidR="00221F0B" w:rsidRPr="002C21E9" w:rsidTr="00DC1333">
        <w:trPr>
          <w:trHeight w:val="669"/>
          <w:jc w:val="center"/>
        </w:trPr>
        <w:tc>
          <w:tcPr>
            <w:tcW w:w="2517" w:type="dxa"/>
            <w:tcBorders>
              <w:top w:val="single" w:sz="4" w:space="0" w:color="auto"/>
              <w:bottom w:val="single" w:sz="4" w:space="0" w:color="auto"/>
            </w:tcBorders>
            <w:shd w:val="clear" w:color="auto" w:fill="C6D9F1" w:themeFill="text2" w:themeFillTint="33"/>
            <w:vAlign w:val="center"/>
          </w:tcPr>
          <w:p w:rsidR="00221F0B" w:rsidRPr="002C21E9" w:rsidRDefault="00221F0B" w:rsidP="00DC1333">
            <w:pPr>
              <w:autoSpaceDE w:val="0"/>
              <w:autoSpaceDN w:val="0"/>
              <w:adjustRightInd w:val="0"/>
              <w:ind w:right="-59"/>
              <w:jc w:val="center"/>
              <w:rPr>
                <w:b/>
                <w:sz w:val="18"/>
                <w:szCs w:val="18"/>
              </w:rPr>
            </w:pPr>
            <w:r w:rsidRPr="002C21E9">
              <w:rPr>
                <w:b/>
                <w:bCs/>
                <w:iCs/>
                <w:sz w:val="18"/>
                <w:szCs w:val="18"/>
              </w:rPr>
              <w:t>Riesgos en el logro de los resultados del programa</w:t>
            </w:r>
          </w:p>
        </w:tc>
        <w:tc>
          <w:tcPr>
            <w:tcW w:w="2152" w:type="dxa"/>
            <w:tcBorders>
              <w:top w:val="single" w:sz="4" w:space="0" w:color="auto"/>
              <w:bottom w:val="single" w:sz="4" w:space="0" w:color="auto"/>
            </w:tcBorders>
            <w:shd w:val="clear" w:color="auto" w:fill="C6D9F1" w:themeFill="text2" w:themeFillTint="33"/>
            <w:vAlign w:val="center"/>
          </w:tcPr>
          <w:p w:rsidR="00221F0B" w:rsidRPr="002C21E9" w:rsidRDefault="00221F0B" w:rsidP="00DC1333">
            <w:pPr>
              <w:autoSpaceDE w:val="0"/>
              <w:autoSpaceDN w:val="0"/>
              <w:adjustRightInd w:val="0"/>
              <w:ind w:right="-59"/>
              <w:jc w:val="center"/>
              <w:rPr>
                <w:b/>
                <w:sz w:val="18"/>
                <w:szCs w:val="18"/>
              </w:rPr>
            </w:pPr>
            <w:r w:rsidRPr="002C21E9">
              <w:rPr>
                <w:b/>
                <w:bCs/>
                <w:iCs/>
                <w:sz w:val="18"/>
                <w:szCs w:val="18"/>
              </w:rPr>
              <w:t>Planes de mitigación ejecutados o en ejecución</w:t>
            </w:r>
          </w:p>
        </w:tc>
        <w:tc>
          <w:tcPr>
            <w:tcW w:w="2492" w:type="dxa"/>
            <w:tcBorders>
              <w:top w:val="single" w:sz="4" w:space="0" w:color="auto"/>
              <w:bottom w:val="single" w:sz="4" w:space="0" w:color="auto"/>
            </w:tcBorders>
            <w:shd w:val="clear" w:color="auto" w:fill="C6D9F1" w:themeFill="text2" w:themeFillTint="33"/>
          </w:tcPr>
          <w:p w:rsidR="00221F0B" w:rsidRPr="002C21E9" w:rsidRDefault="00221F0B" w:rsidP="00DC1333">
            <w:pPr>
              <w:jc w:val="center"/>
              <w:rPr>
                <w:b/>
                <w:bCs/>
                <w:sz w:val="18"/>
                <w:szCs w:val="18"/>
              </w:rPr>
            </w:pPr>
            <w:r w:rsidRPr="002C21E9">
              <w:rPr>
                <w:b/>
                <w:bCs/>
                <w:iCs/>
                <w:sz w:val="18"/>
                <w:szCs w:val="18"/>
              </w:rPr>
              <w:t>Evolución de los riesgos y estrategias de mitigación durante el bienio</w:t>
            </w:r>
          </w:p>
        </w:tc>
        <w:tc>
          <w:tcPr>
            <w:tcW w:w="2634" w:type="dxa"/>
            <w:tcBorders>
              <w:top w:val="single" w:sz="4" w:space="0" w:color="auto"/>
              <w:bottom w:val="single" w:sz="4" w:space="0" w:color="auto"/>
            </w:tcBorders>
            <w:shd w:val="clear" w:color="auto" w:fill="C6D9F1" w:themeFill="text2" w:themeFillTint="33"/>
          </w:tcPr>
          <w:p w:rsidR="00221F0B" w:rsidRPr="002C21E9" w:rsidRDefault="00221F0B" w:rsidP="00DC1333">
            <w:pPr>
              <w:jc w:val="center"/>
              <w:rPr>
                <w:b/>
                <w:bCs/>
                <w:sz w:val="18"/>
                <w:szCs w:val="18"/>
              </w:rPr>
            </w:pPr>
            <w:r w:rsidRPr="002C21E9">
              <w:rPr>
                <w:b/>
                <w:bCs/>
                <w:sz w:val="18"/>
                <w:szCs w:val="18"/>
              </w:rPr>
              <w:t>Incidencia en el rendimiento del programa</w:t>
            </w:r>
          </w:p>
        </w:tc>
      </w:tr>
      <w:tr w:rsidR="00221F0B" w:rsidRPr="002C21E9" w:rsidTr="00DC1333">
        <w:trPr>
          <w:trHeight w:val="859"/>
          <w:jc w:val="center"/>
        </w:trPr>
        <w:tc>
          <w:tcPr>
            <w:tcW w:w="2517" w:type="dxa"/>
            <w:tcBorders>
              <w:top w:val="single" w:sz="4" w:space="0" w:color="auto"/>
            </w:tcBorders>
            <w:shd w:val="clear" w:color="auto" w:fill="auto"/>
            <w:tcMar>
              <w:top w:w="113" w:type="dxa"/>
            </w:tcMar>
          </w:tcPr>
          <w:p w:rsidR="00221F0B" w:rsidRPr="002C21E9" w:rsidRDefault="00221F0B" w:rsidP="00DC1333">
            <w:pPr>
              <w:rPr>
                <w:sz w:val="16"/>
                <w:szCs w:val="16"/>
              </w:rPr>
            </w:pPr>
            <w:r w:rsidRPr="002C21E9">
              <w:rPr>
                <w:sz w:val="16"/>
                <w:szCs w:val="16"/>
              </w:rPr>
              <w:t>Si no se sustituyen los sistemas y equipos anticuados u obsoletos de seguridad y vigilancia que están instalados en los locales existentes, pueden producirse incidentes que afecten a la seguridad</w:t>
            </w:r>
          </w:p>
          <w:p w:rsidR="00221F0B" w:rsidRPr="002C21E9" w:rsidRDefault="00221F0B" w:rsidP="00DC1333">
            <w:pPr>
              <w:rPr>
                <w:sz w:val="16"/>
                <w:szCs w:val="16"/>
              </w:rPr>
            </w:pPr>
          </w:p>
          <w:p w:rsidR="00221F0B" w:rsidRPr="002C21E9" w:rsidRDefault="00221F0B" w:rsidP="00DC1333">
            <w:pPr>
              <w:rPr>
                <w:sz w:val="16"/>
                <w:szCs w:val="16"/>
              </w:rPr>
            </w:pPr>
          </w:p>
          <w:p w:rsidR="00221F0B" w:rsidRPr="002C21E9" w:rsidRDefault="00221F0B" w:rsidP="00DC1333">
            <w:pPr>
              <w:rPr>
                <w:sz w:val="16"/>
                <w:szCs w:val="16"/>
              </w:rPr>
            </w:pPr>
          </w:p>
          <w:p w:rsidR="00221F0B" w:rsidRPr="002C21E9" w:rsidRDefault="00221F0B" w:rsidP="00DC1333">
            <w:pPr>
              <w:ind w:firstLine="720"/>
              <w:rPr>
                <w:sz w:val="16"/>
                <w:szCs w:val="16"/>
              </w:rPr>
            </w:pPr>
          </w:p>
        </w:tc>
        <w:tc>
          <w:tcPr>
            <w:tcW w:w="2152" w:type="dxa"/>
            <w:tcBorders>
              <w:top w:val="single" w:sz="4" w:space="0" w:color="auto"/>
            </w:tcBorders>
            <w:shd w:val="clear" w:color="auto" w:fill="auto"/>
            <w:tcMar>
              <w:top w:w="113" w:type="dxa"/>
            </w:tcMar>
          </w:tcPr>
          <w:p w:rsidR="00221F0B" w:rsidRPr="002C21E9" w:rsidRDefault="00221F0B" w:rsidP="00DC1333">
            <w:pPr>
              <w:autoSpaceDE w:val="0"/>
              <w:autoSpaceDN w:val="0"/>
              <w:adjustRightInd w:val="0"/>
              <w:ind w:right="108"/>
              <w:rPr>
                <w:sz w:val="16"/>
                <w:szCs w:val="16"/>
              </w:rPr>
            </w:pPr>
            <w:r w:rsidRPr="002C21E9">
              <w:rPr>
                <w:sz w:val="16"/>
                <w:szCs w:val="16"/>
              </w:rPr>
              <w:t>Gracias al proyecto de mejora de los locales que está en curso de ejecución (2012/13), los sistemas y equipos actuales se irán desactivando gradualmente.  Está previsto que se ejecuten labores de actualización a partir de 2014/15</w:t>
            </w:r>
          </w:p>
        </w:tc>
        <w:tc>
          <w:tcPr>
            <w:tcW w:w="2492" w:type="dxa"/>
            <w:tcBorders>
              <w:top w:val="single" w:sz="4" w:space="0" w:color="auto"/>
            </w:tcBorders>
          </w:tcPr>
          <w:p w:rsidR="00221F0B" w:rsidRPr="002C21E9" w:rsidRDefault="00221F0B" w:rsidP="00DC1333">
            <w:pPr>
              <w:autoSpaceDE w:val="0"/>
              <w:autoSpaceDN w:val="0"/>
              <w:adjustRightInd w:val="0"/>
              <w:ind w:right="108"/>
              <w:rPr>
                <w:sz w:val="16"/>
                <w:szCs w:val="16"/>
              </w:rPr>
            </w:pPr>
            <w:r w:rsidRPr="002C21E9">
              <w:rPr>
                <w:sz w:val="16"/>
                <w:szCs w:val="16"/>
              </w:rPr>
              <w:t>Hacia finales de 2015 se produjo una evolución de la situación de riesgo y amenaza a nivel mundial, regional y local.  No obstante, gracias a la finalización de las actualizaciones de las H</w:t>
            </w:r>
            <w:r w:rsidRPr="002C21E9">
              <w:rPr>
                <w:sz w:val="16"/>
                <w:szCs w:val="16"/>
              </w:rPr>
              <w:noBreakHyphen/>
              <w:t>MOSS y la aplicación de varios sistemas de seguridad y vigilancia se consiguió gestionar los riesgos dentro de un nivel aceptable.</w:t>
            </w:r>
          </w:p>
        </w:tc>
        <w:tc>
          <w:tcPr>
            <w:tcW w:w="2634" w:type="dxa"/>
            <w:tcBorders>
              <w:top w:val="single" w:sz="4" w:space="0" w:color="auto"/>
            </w:tcBorders>
          </w:tcPr>
          <w:p w:rsidR="00221F0B" w:rsidRPr="002C21E9" w:rsidRDefault="00221F0B" w:rsidP="00DC1333">
            <w:pPr>
              <w:autoSpaceDE w:val="0"/>
              <w:autoSpaceDN w:val="0"/>
              <w:adjustRightInd w:val="0"/>
              <w:ind w:right="108"/>
              <w:rPr>
                <w:sz w:val="16"/>
                <w:szCs w:val="16"/>
              </w:rPr>
            </w:pPr>
            <w:r w:rsidRPr="002C21E9">
              <w:rPr>
                <w:sz w:val="16"/>
                <w:szCs w:val="16"/>
              </w:rPr>
              <w:t>En los planes de trabajo y las actividades de registro de riesgos del Servicio de Coordinación en materia de Seguridad y Vigilancia para 2014 y 2015 se abordaba convenientemente la incidencia de los riesgos durante el período objeto del informe.  No hubo ninguna incidencia sustancial en el rendimiento del programa.</w:t>
            </w:r>
          </w:p>
        </w:tc>
      </w:tr>
    </w:tbl>
    <w:p w:rsidR="00221F0B" w:rsidRDefault="00221F0B" w:rsidP="00DC1333">
      <w:pPr>
        <w:keepNext/>
        <w:keepLines/>
        <w:rPr>
          <w:color w:val="000000"/>
          <w:szCs w:val="22"/>
        </w:rPr>
      </w:pPr>
    </w:p>
    <w:p w:rsidR="00221F0B" w:rsidRPr="002C21E9" w:rsidRDefault="00221F0B" w:rsidP="00DC1333">
      <w:pPr>
        <w:keepNext/>
        <w:keepLines/>
        <w:rPr>
          <w:color w:val="000000"/>
          <w:szCs w:val="22"/>
        </w:rPr>
      </w:pPr>
    </w:p>
    <w:p w:rsidR="00221F0B" w:rsidRPr="002C21E9" w:rsidRDefault="00403D2C" w:rsidP="00DC1333">
      <w:pPr>
        <w:keepNext/>
        <w:keepLines/>
        <w:rPr>
          <w:szCs w:val="22"/>
        </w:rPr>
      </w:pPr>
      <w:r w:rsidRPr="00403D2C">
        <w:rPr>
          <w:sz w:val="20"/>
          <w:szCs w:val="22"/>
        </w:rPr>
        <w:t>UTILIZACIÓN DE LOS RECURSOS</w:t>
      </w:r>
    </w:p>
    <w:p w:rsidR="00221F0B" w:rsidRPr="002C21E9" w:rsidRDefault="00221F0B" w:rsidP="00DC1333">
      <w:pPr>
        <w:keepNext/>
        <w:keepLines/>
      </w:pPr>
    </w:p>
    <w:p w:rsidR="00221F0B" w:rsidRPr="002C21E9" w:rsidRDefault="00221F0B" w:rsidP="00DC1333">
      <w:pPr>
        <w:pStyle w:val="NormalWeb"/>
        <w:keepNext/>
        <w:keepLines/>
        <w:spacing w:before="0" w:beforeAutospacing="0" w:after="0" w:afterAutospacing="0"/>
        <w:jc w:val="center"/>
        <w:rPr>
          <w:sz w:val="20"/>
          <w:szCs w:val="20"/>
          <w:lang w:val="es-ES"/>
        </w:rPr>
      </w:pPr>
      <w:r w:rsidRPr="002C21E9">
        <w:rPr>
          <w:sz w:val="20"/>
          <w:szCs w:val="20"/>
          <w:lang w:val="es-ES"/>
        </w:rPr>
        <w:t xml:space="preserve">Presupuesto y gastos reales (por resultado) </w:t>
      </w:r>
    </w:p>
    <w:p w:rsidR="00221F0B" w:rsidRPr="002C21E9" w:rsidRDefault="00221F0B" w:rsidP="00DC1333">
      <w:pPr>
        <w:pStyle w:val="NormalWeb"/>
        <w:keepNext/>
        <w:keepLines/>
        <w:spacing w:before="0" w:beforeAutospacing="0" w:after="0" w:afterAutospacing="0"/>
        <w:jc w:val="center"/>
        <w:rPr>
          <w:i/>
          <w:iCs/>
          <w:sz w:val="20"/>
          <w:szCs w:val="20"/>
          <w:lang w:val="es-ES"/>
        </w:rPr>
      </w:pPr>
      <w:r w:rsidRPr="002C21E9">
        <w:rPr>
          <w:i/>
          <w:iCs/>
          <w:sz w:val="20"/>
          <w:szCs w:val="20"/>
          <w:lang w:val="es-ES"/>
        </w:rPr>
        <w:t>(</w:t>
      </w:r>
      <w:proofErr w:type="gramStart"/>
      <w:r w:rsidRPr="002C21E9">
        <w:rPr>
          <w:i/>
          <w:iCs/>
          <w:sz w:val="20"/>
          <w:szCs w:val="20"/>
          <w:lang w:val="es-ES"/>
        </w:rPr>
        <w:t>en</w:t>
      </w:r>
      <w:proofErr w:type="gramEnd"/>
      <w:r w:rsidRPr="002C21E9">
        <w:rPr>
          <w:i/>
          <w:iCs/>
          <w:sz w:val="20"/>
          <w:szCs w:val="20"/>
          <w:lang w:val="es-ES"/>
        </w:rPr>
        <w:t xml:space="preserve"> miles de francos suizos)</w:t>
      </w:r>
    </w:p>
    <w:p w:rsidR="00221F0B" w:rsidRPr="002C21E9" w:rsidRDefault="00221F0B" w:rsidP="00DC1333">
      <w:pPr>
        <w:pStyle w:val="NormalWeb"/>
        <w:widowControl w:val="0"/>
        <w:spacing w:before="0" w:beforeAutospacing="0" w:after="0" w:afterAutospacing="0"/>
        <w:jc w:val="center"/>
        <w:rPr>
          <w:sz w:val="20"/>
          <w:szCs w:val="20"/>
          <w:lang w:val="es-ES"/>
        </w:rPr>
      </w:pPr>
    </w:p>
    <w:p w:rsidR="00221F0B" w:rsidRPr="002C21E9" w:rsidRDefault="00221F0B" w:rsidP="00DC1333">
      <w:pPr>
        <w:widowControl w:val="0"/>
        <w:jc w:val="center"/>
      </w:pPr>
      <w:bookmarkStart w:id="206" w:name="Bm28"/>
      <w:bookmarkStart w:id="207" w:name="Punto28"/>
      <w:r>
        <w:rPr>
          <w:noProof/>
          <w:lang w:val="en-US" w:eastAsia="en-US"/>
        </w:rPr>
        <w:drawing>
          <wp:inline distT="0" distB="0" distL="0" distR="0" wp14:anchorId="6B30FBD7" wp14:editId="513A65BC">
            <wp:extent cx="5676900" cy="1352550"/>
            <wp:effectExtent l="0" t="0" r="0" b="0"/>
            <wp:docPr id="818" name="Picture 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5676900" cy="1352550"/>
                    </a:xfrm>
                    <a:prstGeom prst="rect">
                      <a:avLst/>
                    </a:prstGeom>
                    <a:noFill/>
                    <a:ln>
                      <a:noFill/>
                    </a:ln>
                  </pic:spPr>
                </pic:pic>
              </a:graphicData>
            </a:graphic>
          </wp:inline>
        </w:drawing>
      </w:r>
      <w:bookmarkEnd w:id="206"/>
      <w:bookmarkEnd w:id="207"/>
    </w:p>
    <w:p w:rsidR="00221F0B" w:rsidRDefault="00221F0B" w:rsidP="00DC1333">
      <w:pPr>
        <w:widowControl w:val="0"/>
      </w:pPr>
    </w:p>
    <w:p w:rsidR="00221F0B" w:rsidRPr="002C21E9" w:rsidRDefault="00221F0B" w:rsidP="00DC1333">
      <w:pPr>
        <w:widowControl w:val="0"/>
      </w:pPr>
    </w:p>
    <w:p w:rsidR="00221F0B" w:rsidRPr="002C21E9" w:rsidRDefault="00221F0B" w:rsidP="00DC1333">
      <w:pPr>
        <w:pStyle w:val="NormalWeb"/>
        <w:widowControl w:val="0"/>
        <w:spacing w:before="0" w:beforeAutospacing="0" w:after="0" w:afterAutospacing="0"/>
        <w:jc w:val="center"/>
        <w:rPr>
          <w:sz w:val="20"/>
          <w:szCs w:val="20"/>
          <w:lang w:val="es-ES"/>
        </w:rPr>
      </w:pPr>
      <w:r w:rsidRPr="002C21E9">
        <w:rPr>
          <w:sz w:val="20"/>
          <w:szCs w:val="20"/>
          <w:lang w:val="es-ES"/>
        </w:rPr>
        <w:t xml:space="preserve">Presupuesto y gastos reales (de personal y no relativos a personal) </w:t>
      </w:r>
    </w:p>
    <w:p w:rsidR="00221F0B" w:rsidRPr="002C21E9" w:rsidRDefault="00221F0B" w:rsidP="00DC1333">
      <w:pPr>
        <w:pStyle w:val="NormalWeb"/>
        <w:widowControl w:val="0"/>
        <w:spacing w:before="0" w:beforeAutospacing="0" w:after="0" w:afterAutospacing="0"/>
        <w:jc w:val="center"/>
        <w:rPr>
          <w:i/>
          <w:iCs/>
          <w:sz w:val="20"/>
          <w:szCs w:val="20"/>
          <w:lang w:val="es-ES"/>
        </w:rPr>
      </w:pPr>
      <w:r w:rsidRPr="002C21E9">
        <w:rPr>
          <w:i/>
          <w:iCs/>
          <w:sz w:val="20"/>
          <w:szCs w:val="20"/>
          <w:lang w:val="es-ES"/>
        </w:rPr>
        <w:t>(</w:t>
      </w:r>
      <w:proofErr w:type="gramStart"/>
      <w:r w:rsidRPr="002C21E9">
        <w:rPr>
          <w:i/>
          <w:iCs/>
          <w:sz w:val="20"/>
          <w:szCs w:val="20"/>
          <w:lang w:val="es-ES"/>
        </w:rPr>
        <w:t>en</w:t>
      </w:r>
      <w:proofErr w:type="gramEnd"/>
      <w:r w:rsidRPr="002C21E9">
        <w:rPr>
          <w:i/>
          <w:iCs/>
          <w:sz w:val="20"/>
          <w:szCs w:val="20"/>
          <w:lang w:val="es-ES"/>
        </w:rPr>
        <w:t xml:space="preserve"> miles de francos suizos)</w:t>
      </w:r>
    </w:p>
    <w:p w:rsidR="00221F0B" w:rsidRPr="002C21E9" w:rsidRDefault="00221F0B" w:rsidP="00DC1333">
      <w:pPr>
        <w:pStyle w:val="NormalWeb"/>
        <w:widowControl w:val="0"/>
        <w:spacing w:before="0" w:beforeAutospacing="0" w:after="0" w:afterAutospacing="0"/>
        <w:jc w:val="center"/>
        <w:rPr>
          <w:lang w:val="es-ES"/>
        </w:rPr>
      </w:pPr>
    </w:p>
    <w:p w:rsidR="00221F0B" w:rsidRPr="002C21E9" w:rsidRDefault="00221F0B" w:rsidP="00DC1333">
      <w:pPr>
        <w:widowControl w:val="0"/>
        <w:jc w:val="center"/>
      </w:pPr>
      <w:bookmarkStart w:id="208" w:name="Point28"/>
      <w:r>
        <w:rPr>
          <w:noProof/>
          <w:lang w:val="en-US" w:eastAsia="en-US"/>
        </w:rPr>
        <w:drawing>
          <wp:inline distT="0" distB="0" distL="0" distR="0" wp14:anchorId="485DB616" wp14:editId="4E1F4D32">
            <wp:extent cx="5940425" cy="1024977"/>
            <wp:effectExtent l="0" t="0" r="3175" b="3810"/>
            <wp:docPr id="819" name="Picture 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5940425" cy="1024977"/>
                    </a:xfrm>
                    <a:prstGeom prst="rect">
                      <a:avLst/>
                    </a:prstGeom>
                    <a:noFill/>
                    <a:ln>
                      <a:noFill/>
                    </a:ln>
                  </pic:spPr>
                </pic:pic>
              </a:graphicData>
            </a:graphic>
          </wp:inline>
        </w:drawing>
      </w:r>
      <w:bookmarkEnd w:id="208"/>
    </w:p>
    <w:p w:rsidR="00221F0B" w:rsidRDefault="00221F0B" w:rsidP="00DC1333">
      <w:pPr>
        <w:widowControl w:val="0"/>
        <w:autoSpaceDE w:val="0"/>
        <w:autoSpaceDN w:val="0"/>
        <w:adjustRightInd w:val="0"/>
        <w:rPr>
          <w:sz w:val="20"/>
        </w:rPr>
      </w:pPr>
    </w:p>
    <w:p w:rsidR="00221F0B" w:rsidRPr="002C21E9" w:rsidRDefault="00221F0B" w:rsidP="00DC1333">
      <w:pPr>
        <w:widowControl w:val="0"/>
        <w:autoSpaceDE w:val="0"/>
        <w:autoSpaceDN w:val="0"/>
        <w:adjustRightInd w:val="0"/>
        <w:rPr>
          <w:sz w:val="20"/>
        </w:rPr>
      </w:pPr>
    </w:p>
    <w:p w:rsidR="00221F0B" w:rsidRPr="002C21E9" w:rsidRDefault="00403D2C" w:rsidP="00D451D0">
      <w:pPr>
        <w:widowControl w:val="0"/>
        <w:tabs>
          <w:tab w:val="left" w:pos="709"/>
        </w:tabs>
        <w:rPr>
          <w:sz w:val="20"/>
          <w:u w:val="single"/>
        </w:rPr>
      </w:pPr>
      <w:r w:rsidRPr="00403D2C">
        <w:rPr>
          <w:sz w:val="20"/>
        </w:rPr>
        <w:t>A.</w:t>
      </w:r>
      <w:r w:rsidRPr="00403D2C">
        <w:rPr>
          <w:sz w:val="20"/>
        </w:rPr>
        <w:tab/>
      </w:r>
      <w:r w:rsidRPr="00403D2C">
        <w:rPr>
          <w:sz w:val="20"/>
          <w:u w:val="single"/>
        </w:rPr>
        <w:t>Presupuesto final de 2014/15 tras las transferencias</w:t>
      </w:r>
    </w:p>
    <w:p w:rsidR="00221F0B" w:rsidRPr="002C21E9" w:rsidRDefault="00221F0B" w:rsidP="00D451D0">
      <w:pPr>
        <w:tabs>
          <w:tab w:val="left" w:pos="709"/>
        </w:tabs>
        <w:rPr>
          <w:sz w:val="20"/>
        </w:rPr>
      </w:pPr>
    </w:p>
    <w:p w:rsidR="00221F0B" w:rsidRPr="002C21E9" w:rsidRDefault="00221F0B" w:rsidP="00D451D0">
      <w:pPr>
        <w:pStyle w:val="ListParagraph"/>
        <w:widowControl w:val="0"/>
        <w:tabs>
          <w:tab w:val="left" w:pos="709"/>
        </w:tabs>
        <w:ind w:left="0"/>
        <w:jc w:val="both"/>
        <w:rPr>
          <w:bCs/>
          <w:lang w:val="es-ES"/>
        </w:rPr>
      </w:pPr>
      <w:r w:rsidRPr="002C21E9">
        <w:rPr>
          <w:lang w:val="es-ES"/>
        </w:rPr>
        <w:t>28.7</w:t>
      </w:r>
      <w:r w:rsidRPr="002C21E9">
        <w:rPr>
          <w:lang w:val="es-ES"/>
        </w:rPr>
        <w:tab/>
        <w:t xml:space="preserve">El aumento neto de los recursos no relativos a personal observado </w:t>
      </w:r>
      <w:r>
        <w:rPr>
          <w:lang w:val="es-ES"/>
        </w:rPr>
        <w:t>en el presupuesto final de </w:t>
      </w:r>
      <w:r w:rsidRPr="002C21E9">
        <w:rPr>
          <w:lang w:val="es-ES"/>
        </w:rPr>
        <w:t xml:space="preserve">2014/15 tras las transferencias se debió principalmente a la asignación de más recursos para cubrir </w:t>
      </w:r>
      <w:r w:rsidRPr="002C21E9">
        <w:rPr>
          <w:lang w:val="es-ES"/>
        </w:rPr>
        <w:lastRenderedPageBreak/>
        <w:t>los costos derivados de:  i) un módulo de supervisión que conecta los sistemas electrónicos de seguridad;  ii) la ampliación del control y vigilancia del edificio CAM de la OMPI (</w:t>
      </w:r>
      <w:r w:rsidRPr="002C21E9">
        <w:rPr>
          <w:bCs/>
          <w:lang w:val="es-ES"/>
        </w:rPr>
        <w:t>control de acceso, renovación del muro contra incendios y los detectores, e instalación de un sistema de CCTV);  iii) aumento de la presencia de seguridad física debido a imprevistos;  iv) mejora de la seguridad y vigilancia en las oficinas de la OMPI en el exterior, y v) instalación de una valla a medida bajo la nueva sala de conferencias para impedir el acceso de intrusos.</w:t>
      </w:r>
    </w:p>
    <w:p w:rsidR="00221F0B" w:rsidRPr="002C21E9" w:rsidRDefault="00221F0B" w:rsidP="00D451D0">
      <w:pPr>
        <w:pStyle w:val="ListParagraph"/>
        <w:widowControl w:val="0"/>
        <w:tabs>
          <w:tab w:val="left" w:pos="567"/>
          <w:tab w:val="left" w:pos="709"/>
        </w:tabs>
        <w:ind w:left="0"/>
        <w:jc w:val="both"/>
        <w:rPr>
          <w:lang w:val="es-ES"/>
        </w:rPr>
      </w:pPr>
    </w:p>
    <w:p w:rsidR="00221F0B" w:rsidRPr="002C21E9" w:rsidRDefault="00221F0B" w:rsidP="00D451D0">
      <w:pPr>
        <w:pStyle w:val="ListParagraph"/>
        <w:widowControl w:val="0"/>
        <w:tabs>
          <w:tab w:val="left" w:pos="709"/>
        </w:tabs>
        <w:ind w:left="0"/>
        <w:jc w:val="both"/>
        <w:rPr>
          <w:lang w:val="es-ES"/>
        </w:rPr>
      </w:pPr>
      <w:r w:rsidRPr="002C21E9">
        <w:rPr>
          <w:lang w:val="es-ES"/>
        </w:rPr>
        <w:t>28.8</w:t>
      </w:r>
      <w:r w:rsidRPr="002C21E9">
        <w:rPr>
          <w:lang w:val="es-ES"/>
        </w:rPr>
        <w:tab/>
        <w:t xml:space="preserve">El aumento general de los recursos de personal observado en el presupuesto final de 2014/15 tras las transferencias se debe, por un lado, a la creación de la función del Oficial de operaciones de Seguridad y una función temporal encargada de apoyar el mantenimiento de los sistemas y equipos relacionados con la seguridad y a la potenciación de las </w:t>
      </w:r>
      <w:r w:rsidRPr="002C21E9">
        <w:rPr>
          <w:bCs/>
          <w:lang w:val="es-ES"/>
        </w:rPr>
        <w:t>normas mínimas de seguridad operacional para las sedes de las Naciones Unidas</w:t>
      </w:r>
      <w:r w:rsidRPr="002C21E9">
        <w:rPr>
          <w:lang w:val="es-ES"/>
        </w:rPr>
        <w:t xml:space="preserve"> y, por otro lado, i) la reclasificación a la baja de un puesto, y ii) el trasvase hacia los recursos no relativos a personal para reforzar la seguridad y vigilancia del Servicio de Coordinación en materia de Seguridad y Vigilancia mediante servicios contractuales individuales.</w:t>
      </w:r>
    </w:p>
    <w:p w:rsidR="00221F0B" w:rsidRPr="002C21E9" w:rsidRDefault="00221F0B" w:rsidP="00D451D0">
      <w:pPr>
        <w:widowControl w:val="0"/>
        <w:tabs>
          <w:tab w:val="left" w:pos="709"/>
        </w:tabs>
        <w:autoSpaceDE w:val="0"/>
        <w:autoSpaceDN w:val="0"/>
        <w:jc w:val="both"/>
        <w:rPr>
          <w:sz w:val="20"/>
          <w:lang w:eastAsia="ko-KR"/>
        </w:rPr>
      </w:pPr>
    </w:p>
    <w:p w:rsidR="00221F0B" w:rsidRPr="002C21E9" w:rsidRDefault="00403D2C" w:rsidP="00D451D0">
      <w:pPr>
        <w:widowControl w:val="0"/>
        <w:tabs>
          <w:tab w:val="left" w:pos="709"/>
        </w:tabs>
        <w:jc w:val="both"/>
        <w:rPr>
          <w:sz w:val="20"/>
          <w:u w:val="single"/>
          <w:lang w:eastAsia="ko-KR"/>
        </w:rPr>
      </w:pPr>
      <w:r w:rsidRPr="00403D2C">
        <w:rPr>
          <w:sz w:val="20"/>
          <w:lang w:eastAsia="ko-KR"/>
        </w:rPr>
        <w:t>B.</w:t>
      </w:r>
      <w:r w:rsidRPr="00403D2C">
        <w:rPr>
          <w:sz w:val="20"/>
          <w:lang w:eastAsia="ko-KR"/>
        </w:rPr>
        <w:tab/>
      </w:r>
      <w:r w:rsidRPr="00403D2C">
        <w:rPr>
          <w:sz w:val="20"/>
          <w:u w:val="single"/>
          <w:lang w:eastAsia="ko-KR"/>
        </w:rPr>
        <w:t>Utilización del presupuesto en 2014/15</w:t>
      </w:r>
    </w:p>
    <w:p w:rsidR="00221F0B" w:rsidRPr="002C21E9" w:rsidRDefault="00221F0B" w:rsidP="00D451D0">
      <w:pPr>
        <w:widowControl w:val="0"/>
        <w:tabs>
          <w:tab w:val="left" w:pos="709"/>
        </w:tabs>
        <w:jc w:val="both"/>
        <w:rPr>
          <w:sz w:val="20"/>
          <w:u w:val="single"/>
          <w:lang w:eastAsia="ko-KR"/>
        </w:rPr>
      </w:pPr>
    </w:p>
    <w:p w:rsidR="00221F0B" w:rsidRPr="002C21E9" w:rsidRDefault="00221F0B" w:rsidP="00D451D0">
      <w:pPr>
        <w:pStyle w:val="ListParagraph"/>
        <w:widowControl w:val="0"/>
        <w:tabs>
          <w:tab w:val="left" w:pos="709"/>
        </w:tabs>
        <w:ind w:left="0"/>
        <w:jc w:val="both"/>
        <w:rPr>
          <w:lang w:val="es-ES"/>
        </w:rPr>
      </w:pPr>
      <w:r w:rsidRPr="002C21E9">
        <w:rPr>
          <w:lang w:val="es-ES"/>
        </w:rPr>
        <w:t>28.9</w:t>
      </w:r>
      <w:r w:rsidRPr="002C21E9">
        <w:rPr>
          <w:lang w:val="es-ES"/>
        </w:rPr>
        <w:tab/>
        <w:t>La utilización del presupuesto se ha mantenido dentro de los límites establecidos durante el bienio.</w:t>
      </w:r>
    </w:p>
    <w:p w:rsidR="00221F0B" w:rsidRDefault="00221F0B"/>
    <w:p w:rsidR="00221F0B" w:rsidRPr="002C21E9" w:rsidRDefault="00221F0B"/>
    <w:p w:rsidR="00785404" w:rsidRDefault="00785404">
      <w:pPr>
        <w:rPr>
          <w:b/>
          <w:bCs/>
          <w:iCs/>
          <w:caps/>
          <w:szCs w:val="28"/>
        </w:rPr>
      </w:pPr>
      <w:bookmarkStart w:id="209" w:name="_Toc422927443"/>
      <w:r>
        <w:rPr>
          <w:b/>
        </w:rPr>
        <w:br w:type="page"/>
      </w:r>
    </w:p>
    <w:p w:rsidR="00221F0B" w:rsidRPr="00526311" w:rsidRDefault="00221F0B" w:rsidP="00DC1333">
      <w:pPr>
        <w:pStyle w:val="Heading2"/>
        <w:keepNext w:val="0"/>
        <w:ind w:left="2410" w:hanging="2410"/>
        <w:rPr>
          <w:b/>
        </w:rPr>
      </w:pPr>
      <w:bookmarkStart w:id="210" w:name="_Toc455159111"/>
      <w:r w:rsidRPr="00526311">
        <w:rPr>
          <w:b/>
        </w:rPr>
        <w:lastRenderedPageBreak/>
        <w:t>PROGRAMA 29</w:t>
      </w:r>
      <w:r w:rsidRPr="00526311">
        <w:rPr>
          <w:b/>
        </w:rPr>
        <w:tab/>
        <w:t>PROYECTOS DE CONSTRUCCIÓN</w:t>
      </w:r>
      <w:bookmarkEnd w:id="209"/>
      <w:bookmarkEnd w:id="210"/>
    </w:p>
    <w:p w:rsidR="00221F0B" w:rsidRPr="00526311" w:rsidRDefault="00221F0B" w:rsidP="00DC1333">
      <w:pPr>
        <w:tabs>
          <w:tab w:val="left" w:pos="1985"/>
        </w:tabs>
        <w:rPr>
          <w:sz w:val="20"/>
        </w:rPr>
      </w:pPr>
    </w:p>
    <w:p w:rsidR="00221F0B" w:rsidRPr="00526311" w:rsidRDefault="00221F0B" w:rsidP="00DC1333">
      <w:pPr>
        <w:ind w:left="2410" w:hanging="2410"/>
        <w:rPr>
          <w:b/>
          <w:sz w:val="20"/>
        </w:rPr>
      </w:pPr>
      <w:r w:rsidRPr="00526311">
        <w:rPr>
          <w:b/>
          <w:sz w:val="20"/>
        </w:rPr>
        <w:t>Director de programa</w:t>
      </w:r>
      <w:r w:rsidRPr="00526311">
        <w:rPr>
          <w:b/>
          <w:sz w:val="20"/>
        </w:rPr>
        <w:tab/>
        <w:t>Sr. A. Sundaram</w:t>
      </w:r>
    </w:p>
    <w:p w:rsidR="00221F0B" w:rsidRPr="00526311" w:rsidRDefault="00221F0B" w:rsidP="00DC1333">
      <w:pPr>
        <w:rPr>
          <w:sz w:val="20"/>
        </w:rPr>
      </w:pPr>
    </w:p>
    <w:p w:rsidR="00221F0B" w:rsidRPr="00526311" w:rsidRDefault="00221F0B" w:rsidP="00DC1333">
      <w:pPr>
        <w:rPr>
          <w:sz w:val="20"/>
        </w:rPr>
      </w:pPr>
    </w:p>
    <w:p w:rsidR="00221F0B" w:rsidRPr="00526311" w:rsidRDefault="008F7CBE" w:rsidP="00DC1333">
      <w:pPr>
        <w:rPr>
          <w:bCs/>
          <w:szCs w:val="22"/>
        </w:rPr>
      </w:pPr>
      <w:r w:rsidRPr="008F7CBE">
        <w:rPr>
          <w:bCs/>
          <w:sz w:val="20"/>
          <w:szCs w:val="22"/>
        </w:rPr>
        <w:t>LOGROS ALCANZADOS EN EL BIENIO 2014/15</w:t>
      </w:r>
    </w:p>
    <w:p w:rsidR="00221F0B" w:rsidRPr="00526311" w:rsidRDefault="00221F0B" w:rsidP="00DC1333">
      <w:pPr>
        <w:rPr>
          <w:sz w:val="20"/>
        </w:rPr>
      </w:pPr>
    </w:p>
    <w:p w:rsidR="00221F0B" w:rsidRPr="00526311" w:rsidRDefault="00221F0B" w:rsidP="00DC1333">
      <w:pPr>
        <w:jc w:val="both"/>
        <w:rPr>
          <w:sz w:val="20"/>
        </w:rPr>
      </w:pPr>
      <w:r w:rsidRPr="00526311">
        <w:rPr>
          <w:sz w:val="20"/>
        </w:rPr>
        <w:t>NUEVO PROYECTO DE CONSTRUCCIÓN</w:t>
      </w:r>
    </w:p>
    <w:p w:rsidR="00221F0B" w:rsidRPr="00526311" w:rsidRDefault="00221F0B" w:rsidP="00DC1333">
      <w:pPr>
        <w:jc w:val="both"/>
        <w:rPr>
          <w:sz w:val="20"/>
        </w:rPr>
      </w:pPr>
    </w:p>
    <w:p w:rsidR="00221F0B" w:rsidRPr="00526311" w:rsidRDefault="00221F0B" w:rsidP="00EB45DE">
      <w:pPr>
        <w:pStyle w:val="ListParagraph"/>
        <w:numPr>
          <w:ilvl w:val="0"/>
          <w:numId w:val="120"/>
        </w:numPr>
        <w:tabs>
          <w:tab w:val="left" w:pos="709"/>
        </w:tabs>
        <w:ind w:left="0" w:firstLine="0"/>
        <w:jc w:val="both"/>
        <w:rPr>
          <w:rFonts w:cs="Arial"/>
          <w:lang w:val="es-ES"/>
        </w:rPr>
      </w:pPr>
      <w:r>
        <w:rPr>
          <w:rFonts w:cs="Arial"/>
          <w:lang w:val="es-ES"/>
        </w:rPr>
        <w:t>T</w:t>
      </w:r>
      <w:r w:rsidRPr="00526311">
        <w:rPr>
          <w:rFonts w:cs="Arial"/>
          <w:lang w:val="es-ES"/>
        </w:rPr>
        <w:t>odas las obras pendientes de reparación, sustitución y acabado que se habían comenzado a mediados de 2011</w:t>
      </w:r>
      <w:r>
        <w:rPr>
          <w:rFonts w:cs="Arial"/>
          <w:lang w:val="es-ES"/>
        </w:rPr>
        <w:t>,</w:t>
      </w:r>
      <w:r w:rsidRPr="00526311">
        <w:rPr>
          <w:rFonts w:cs="Arial"/>
          <w:lang w:val="es-ES"/>
        </w:rPr>
        <w:t xml:space="preserve"> después de la entrega del nuevo edificio por el anterior contratista general,</w:t>
      </w:r>
      <w:r>
        <w:rPr>
          <w:rFonts w:cs="Arial"/>
          <w:lang w:val="es-ES"/>
        </w:rPr>
        <w:t xml:space="preserve"> se terminaron a finales de 2015</w:t>
      </w:r>
      <w:r w:rsidRPr="00526311">
        <w:rPr>
          <w:rFonts w:cs="Arial"/>
          <w:lang w:val="es-ES"/>
        </w:rPr>
        <w:t xml:space="preserve">.  </w:t>
      </w:r>
      <w:r>
        <w:rPr>
          <w:rFonts w:cs="Arial"/>
          <w:lang w:val="es-ES"/>
        </w:rPr>
        <w:t>Las obras para reemplazar</w:t>
      </w:r>
      <w:r w:rsidRPr="00526311">
        <w:rPr>
          <w:rFonts w:cs="Arial"/>
          <w:lang w:val="es-ES"/>
        </w:rPr>
        <w:t xml:space="preserve"> las ventanas de la planta</w:t>
      </w:r>
      <w:r>
        <w:rPr>
          <w:rFonts w:cs="Arial"/>
          <w:lang w:val="es-ES"/>
        </w:rPr>
        <w:t xml:space="preserve"> baja, que se planificaron</w:t>
      </w:r>
      <w:r w:rsidRPr="00526311">
        <w:rPr>
          <w:rFonts w:cs="Arial"/>
          <w:lang w:val="es-ES"/>
        </w:rPr>
        <w:t xml:space="preserve"> en 2014</w:t>
      </w:r>
      <w:r>
        <w:rPr>
          <w:rFonts w:cs="Arial"/>
          <w:lang w:val="es-ES"/>
        </w:rPr>
        <w:t>, se iniciaron cuando finalizó la temporada de invierno, es decir, a partir de junio de 2015, justo después de que se celebrara la conferencia diplomática, y se prolongaron hasta finales de </w:t>
      </w:r>
      <w:r w:rsidRPr="00526311">
        <w:rPr>
          <w:rFonts w:cs="Arial"/>
          <w:lang w:val="es-ES"/>
        </w:rPr>
        <w:t>2015.  La conclusión definitiva del acuerdo de rescisión alcanzado en julio de 2012 con el anterior contratista general tuvo lugar amistosamente a finales de agosto de 2014, lo que permitió resolver todos los puntos pendientes en relación con las obras de sustitución en el nuevo edificio.  Cabe señalar que la OMPI disponía de fondos suficientes par</w:t>
      </w:r>
      <w:r>
        <w:rPr>
          <w:rFonts w:cs="Arial"/>
          <w:lang w:val="es-ES"/>
        </w:rPr>
        <w:t>a cubrir el costo de esas obras y que estos resultados se consiguieron sin que la Secretaría tuviera que recurrir a mecanismos jurídicos ni de solución de controversias, lo que podría haber prolongado el proceso.</w:t>
      </w:r>
    </w:p>
    <w:p w:rsidR="00221F0B" w:rsidRPr="00526311" w:rsidRDefault="00221F0B" w:rsidP="00DC1333">
      <w:pPr>
        <w:rPr>
          <w:bCs/>
          <w:sz w:val="20"/>
        </w:rPr>
      </w:pPr>
    </w:p>
    <w:p w:rsidR="00221F0B" w:rsidRPr="00526311" w:rsidRDefault="00221F0B" w:rsidP="00DC1333">
      <w:pPr>
        <w:jc w:val="both"/>
        <w:rPr>
          <w:sz w:val="20"/>
        </w:rPr>
      </w:pPr>
      <w:r w:rsidRPr="00526311">
        <w:rPr>
          <w:sz w:val="20"/>
        </w:rPr>
        <w:t>PROYECT</w:t>
      </w:r>
      <w:r w:rsidR="009642E7">
        <w:rPr>
          <w:sz w:val="20"/>
        </w:rPr>
        <w:t>O DE NUEVA SALA DE CONFERENCIAS</w:t>
      </w:r>
    </w:p>
    <w:p w:rsidR="00221F0B" w:rsidRPr="00526311" w:rsidRDefault="00221F0B" w:rsidP="00DC1333">
      <w:pPr>
        <w:tabs>
          <w:tab w:val="left" w:pos="4536"/>
        </w:tabs>
        <w:jc w:val="both"/>
        <w:rPr>
          <w:sz w:val="20"/>
        </w:rPr>
      </w:pPr>
    </w:p>
    <w:p w:rsidR="00221F0B" w:rsidRPr="00526311" w:rsidRDefault="00221F0B" w:rsidP="00EB45DE">
      <w:pPr>
        <w:pStyle w:val="ListParagraph"/>
        <w:numPr>
          <w:ilvl w:val="0"/>
          <w:numId w:val="120"/>
        </w:numPr>
        <w:tabs>
          <w:tab w:val="left" w:pos="709"/>
        </w:tabs>
        <w:ind w:left="0" w:firstLine="0"/>
        <w:jc w:val="both"/>
        <w:rPr>
          <w:rFonts w:cs="Arial"/>
          <w:lang w:val="es-ES"/>
        </w:rPr>
      </w:pPr>
      <w:r>
        <w:rPr>
          <w:rFonts w:cs="Arial"/>
          <w:lang w:val="es-ES"/>
        </w:rPr>
        <w:t xml:space="preserve">Como parte </w:t>
      </w:r>
      <w:r w:rsidRPr="00526311">
        <w:rPr>
          <w:rFonts w:cs="Arial"/>
          <w:lang w:val="es-ES"/>
        </w:rPr>
        <w:t xml:space="preserve">del acuerdo de rescisión </w:t>
      </w:r>
      <w:r>
        <w:rPr>
          <w:rFonts w:cs="Arial"/>
          <w:lang w:val="es-ES"/>
        </w:rPr>
        <w:t xml:space="preserve">mencionado con anterioridad, </w:t>
      </w:r>
      <w:r w:rsidRPr="00526311">
        <w:rPr>
          <w:rFonts w:cs="Arial"/>
          <w:lang w:val="es-ES"/>
        </w:rPr>
        <w:t>el anterior contratista general reembolsó a la OMPI el saldo final que adeudaba en relación con el proyecto.  Se recordará que, en agosto de 2012, la Secretaría había asumido la responsabilidad directa del proyecto, se había reforzado el mandato de los arquitectos, los ingenieros y el piloto del proyecto, y se habían aportado modificaciones en la estructura interna de gobernanza y gestión del proyecto, con el fin de asegurar una mayor flexibilidad y agilidad, y</w:t>
      </w:r>
      <w:r w:rsidRPr="00526311">
        <w:rPr>
          <w:lang w:val="es-ES"/>
        </w:rPr>
        <w:t xml:space="preserve"> poder hacer frente activa y oportunamente</w:t>
      </w:r>
      <w:r w:rsidRPr="00526311">
        <w:rPr>
          <w:rFonts w:cs="Arial"/>
          <w:lang w:val="es-ES"/>
        </w:rPr>
        <w:t xml:space="preserve"> a las diferentes modificaciones del proyecto y a algunos imprevistos surgidos durante su ejecución</w:t>
      </w:r>
      <w:r>
        <w:rPr>
          <w:rFonts w:cs="Arial"/>
          <w:bCs/>
          <w:szCs w:val="24"/>
          <w:lang w:val="es-ES" w:eastAsia="zh-CN"/>
        </w:rPr>
        <w:t xml:space="preserve">.  </w:t>
      </w:r>
      <w:r w:rsidRPr="00526311">
        <w:rPr>
          <w:rFonts w:cs="Arial"/>
          <w:bCs/>
          <w:lang w:val="es-ES"/>
        </w:rPr>
        <w:t xml:space="preserve">El proyecto se entregó en varias etapas y se realizaron en paralelo diversas pruebas técnicas y de los sistemas, zona por zona.  El nuevo Centro de Acceso se entregó en julio de 2014 y los elementos paisajísticos exteriores situados entre el nuevo edificio, la nueva sala de conferencias de la OMPI y el edificio AB se entregaron a finales de agosto.  Al ser entregada en agosto de 2014, la nueva sala de conferencias de la OMPI pudo utilizarse para la sesión del PBC, celebrada del 1 al 5 de septiembre </w:t>
      </w:r>
      <w:r>
        <w:rPr>
          <w:rFonts w:cs="Arial"/>
          <w:bCs/>
          <w:lang w:val="es-ES"/>
        </w:rPr>
        <w:t>de 2014;  en septiembre</w:t>
      </w:r>
      <w:r w:rsidRPr="00526311">
        <w:rPr>
          <w:rFonts w:cs="Arial"/>
          <w:bCs/>
          <w:lang w:val="es-ES"/>
        </w:rPr>
        <w:t xml:space="preserve"> se terminaron todas las obras de construcción y renovación en la nueva sala de conferencias de la OMPI y en tres plantas del edificio AB, quedando a disposición para celebrar la</w:t>
      </w:r>
      <w:r>
        <w:rPr>
          <w:rFonts w:cs="Arial"/>
          <w:bCs/>
          <w:lang w:val="es-ES"/>
        </w:rPr>
        <w:t xml:space="preserve"> </w:t>
      </w:r>
      <w:r w:rsidRPr="00526311">
        <w:rPr>
          <w:rFonts w:cs="Arial"/>
          <w:bCs/>
          <w:lang w:val="es-ES"/>
        </w:rPr>
        <w:t>s</w:t>
      </w:r>
      <w:r>
        <w:rPr>
          <w:rFonts w:cs="Arial"/>
          <w:bCs/>
          <w:lang w:val="es-ES"/>
        </w:rPr>
        <w:t>erie de</w:t>
      </w:r>
      <w:r w:rsidRPr="00526311">
        <w:rPr>
          <w:rFonts w:cs="Arial"/>
          <w:bCs/>
          <w:lang w:val="es-ES"/>
        </w:rPr>
        <w:t xml:space="preserve"> reuniones </w:t>
      </w:r>
      <w:r w:rsidR="00777FF3">
        <w:rPr>
          <w:rFonts w:cs="Arial"/>
          <w:bCs/>
          <w:lang w:val="es-ES"/>
        </w:rPr>
        <w:t>de las Asambleas de la OMPI del </w:t>
      </w:r>
      <w:r w:rsidRPr="00526311">
        <w:rPr>
          <w:rFonts w:cs="Arial"/>
          <w:bCs/>
          <w:lang w:val="es-ES"/>
        </w:rPr>
        <w:t>22 al 30 de septiembre de 2014, en las que tuvo lugar la inauguración de la sala de conferencias el día de la apertura de la</w:t>
      </w:r>
      <w:r>
        <w:rPr>
          <w:rFonts w:cs="Arial"/>
          <w:bCs/>
          <w:lang w:val="es-ES"/>
        </w:rPr>
        <w:t xml:space="preserve"> </w:t>
      </w:r>
      <w:r w:rsidRPr="00526311">
        <w:rPr>
          <w:rFonts w:cs="Arial"/>
          <w:bCs/>
          <w:lang w:val="es-ES"/>
        </w:rPr>
        <w:t>s</w:t>
      </w:r>
      <w:r>
        <w:rPr>
          <w:rFonts w:cs="Arial"/>
          <w:bCs/>
          <w:lang w:val="es-ES"/>
        </w:rPr>
        <w:t>erie de</w:t>
      </w:r>
      <w:r w:rsidRPr="00526311">
        <w:rPr>
          <w:rFonts w:cs="Arial"/>
          <w:bCs/>
          <w:lang w:val="es-ES"/>
        </w:rPr>
        <w:t xml:space="preserve"> reuniones en presencia de funcionarios del país anfitrión (de nivel federal, cantonal y municipal), representantes de otros organismos de las </w:t>
      </w:r>
      <w:r>
        <w:rPr>
          <w:rFonts w:cs="Arial"/>
          <w:bCs/>
          <w:lang w:val="es-ES"/>
        </w:rPr>
        <w:t>Naciones Unidas</w:t>
      </w:r>
      <w:r w:rsidRPr="00526311">
        <w:rPr>
          <w:rFonts w:cs="Arial"/>
          <w:bCs/>
          <w:lang w:val="es-ES"/>
        </w:rPr>
        <w:t>, y de unas 70 empresas y entidades que habían contribuido a la construcción y finalización del proyecto</w:t>
      </w:r>
      <w:r>
        <w:rPr>
          <w:rFonts w:cs="Arial"/>
          <w:bCs/>
          <w:lang w:val="es-ES"/>
        </w:rPr>
        <w:t xml:space="preserve">, además de </w:t>
      </w:r>
      <w:r w:rsidRPr="00526311">
        <w:rPr>
          <w:rFonts w:cs="Arial"/>
          <w:bCs/>
          <w:lang w:val="es-ES"/>
        </w:rPr>
        <w:t>los Estados miembr</w:t>
      </w:r>
      <w:r>
        <w:rPr>
          <w:rFonts w:cs="Arial"/>
          <w:bCs/>
          <w:lang w:val="es-ES"/>
        </w:rPr>
        <w:t>os de la OMPI y los observadores</w:t>
      </w:r>
      <w:r w:rsidRPr="00526311">
        <w:rPr>
          <w:rFonts w:cs="Arial"/>
          <w:bCs/>
          <w:lang w:val="es-ES"/>
        </w:rPr>
        <w:t xml:space="preserve">.  </w:t>
      </w:r>
      <w:r>
        <w:rPr>
          <w:rFonts w:cs="Arial"/>
          <w:lang w:val="es-ES"/>
        </w:rPr>
        <w:t>En 2015 hubo que ocuparse de</w:t>
      </w:r>
      <w:r w:rsidRPr="00526311">
        <w:rPr>
          <w:rFonts w:cs="Arial"/>
          <w:lang w:val="es-ES"/>
        </w:rPr>
        <w:t xml:space="preserve"> varios ele</w:t>
      </w:r>
      <w:r>
        <w:rPr>
          <w:rFonts w:cs="Arial"/>
          <w:lang w:val="es-ES"/>
        </w:rPr>
        <w:t>mentos paisajísticos exteriores</w:t>
      </w:r>
      <w:r w:rsidRPr="00526311">
        <w:rPr>
          <w:rFonts w:cs="Arial"/>
          <w:lang w:val="es-ES"/>
        </w:rPr>
        <w:t xml:space="preserve">.  La nueva sala de conferencias de la OMPI y las instalaciones </w:t>
      </w:r>
      <w:r>
        <w:rPr>
          <w:rFonts w:cs="Arial"/>
          <w:lang w:val="es-ES"/>
        </w:rPr>
        <w:t xml:space="preserve">adyacentes </w:t>
      </w:r>
      <w:r w:rsidRPr="00526311">
        <w:rPr>
          <w:rFonts w:cs="Arial"/>
          <w:lang w:val="es-ES"/>
        </w:rPr>
        <w:t xml:space="preserve">nuevas o rehabilitadas se </w:t>
      </w:r>
      <w:r>
        <w:rPr>
          <w:rFonts w:cs="Arial"/>
          <w:lang w:val="es-ES"/>
        </w:rPr>
        <w:t>han utilizado</w:t>
      </w:r>
      <w:r w:rsidRPr="00526311">
        <w:rPr>
          <w:rFonts w:cs="Arial"/>
          <w:lang w:val="es-ES"/>
        </w:rPr>
        <w:t xml:space="preserve"> en varias ocasiones </w:t>
      </w:r>
      <w:r>
        <w:rPr>
          <w:rFonts w:cs="Arial"/>
          <w:lang w:val="es-ES"/>
        </w:rPr>
        <w:t xml:space="preserve">desde finales de 2014 </w:t>
      </w:r>
      <w:r w:rsidRPr="00526311">
        <w:rPr>
          <w:rFonts w:cs="Arial"/>
          <w:lang w:val="es-ES"/>
        </w:rPr>
        <w:t>para reuniones de los Estados miembros de la OMPI y otras</w:t>
      </w:r>
      <w:r>
        <w:rPr>
          <w:rFonts w:cs="Arial"/>
          <w:lang w:val="es-ES"/>
        </w:rPr>
        <w:t>, y se han alquilado asimismo tanto a Estados miembros como entidades externas</w:t>
      </w:r>
      <w:r w:rsidRPr="00526311">
        <w:rPr>
          <w:rFonts w:cs="Arial"/>
          <w:lang w:val="es-ES"/>
        </w:rPr>
        <w:t xml:space="preserve">.  El proyecto se ejecutó en el plazo previsto para la celebración de las Asambleas de la OMPI, aunque tuvo que posponerse de abril a septiembre de 2014, debido a la complejidad del sitio de la obra, sobre todo en los últimos </w:t>
      </w:r>
      <w:r>
        <w:rPr>
          <w:rFonts w:cs="Arial"/>
          <w:lang w:val="es-ES"/>
        </w:rPr>
        <w:t>meses</w:t>
      </w:r>
      <w:r w:rsidRPr="00526311">
        <w:rPr>
          <w:rFonts w:cs="Arial"/>
          <w:lang w:val="es-ES"/>
        </w:rPr>
        <w:t>.  Las cuentas definitivas con algunas empresas y entidades</w:t>
      </w:r>
      <w:r>
        <w:rPr>
          <w:rFonts w:cs="Arial"/>
          <w:lang w:val="es-ES"/>
        </w:rPr>
        <w:t xml:space="preserve"> se validaron a finales de 2014</w:t>
      </w:r>
      <w:r w:rsidRPr="00526311">
        <w:rPr>
          <w:rFonts w:cs="Arial"/>
          <w:lang w:val="es-ES"/>
        </w:rPr>
        <w:t xml:space="preserve"> y la mayoría de las cuentas </w:t>
      </w:r>
      <w:r>
        <w:rPr>
          <w:rFonts w:cs="Arial"/>
          <w:lang w:val="es-ES"/>
        </w:rPr>
        <w:t xml:space="preserve">restantes </w:t>
      </w:r>
      <w:r w:rsidRPr="00526311">
        <w:rPr>
          <w:rFonts w:cs="Arial"/>
          <w:lang w:val="es-ES"/>
        </w:rPr>
        <w:t>se concluy</w:t>
      </w:r>
      <w:r>
        <w:rPr>
          <w:rFonts w:cs="Arial"/>
          <w:lang w:val="es-ES"/>
        </w:rPr>
        <w:t>ero</w:t>
      </w:r>
      <w:r w:rsidRPr="00526311">
        <w:rPr>
          <w:rFonts w:cs="Arial"/>
          <w:lang w:val="es-ES"/>
        </w:rPr>
        <w:t xml:space="preserve">n </w:t>
      </w:r>
      <w:r>
        <w:rPr>
          <w:rFonts w:cs="Arial"/>
          <w:lang w:val="es-ES"/>
        </w:rPr>
        <w:t>a finales</w:t>
      </w:r>
      <w:r w:rsidRPr="00526311">
        <w:rPr>
          <w:rFonts w:cs="Arial"/>
          <w:lang w:val="es-ES"/>
        </w:rPr>
        <w:t xml:space="preserve"> de 2015</w:t>
      </w:r>
      <w:r>
        <w:rPr>
          <w:rFonts w:cs="Arial"/>
          <w:lang w:val="es-ES"/>
        </w:rPr>
        <w:t>, con lo que a principios de 2016 solo habrá que concluir unas pocas</w:t>
      </w:r>
      <w:r w:rsidRPr="00526311">
        <w:rPr>
          <w:rFonts w:cs="Arial"/>
          <w:lang w:val="es-ES"/>
        </w:rPr>
        <w:t>.</w:t>
      </w:r>
    </w:p>
    <w:p w:rsidR="00221F0B" w:rsidRPr="00526311" w:rsidRDefault="00221F0B" w:rsidP="00DC1333">
      <w:pPr>
        <w:rPr>
          <w:bCs/>
          <w:sz w:val="20"/>
        </w:rPr>
      </w:pPr>
    </w:p>
    <w:p w:rsidR="00221F0B" w:rsidRPr="00526311" w:rsidRDefault="00221F0B" w:rsidP="00DC1333">
      <w:pPr>
        <w:rPr>
          <w:sz w:val="20"/>
        </w:rPr>
      </w:pPr>
    </w:p>
    <w:p w:rsidR="00221F0B" w:rsidRPr="00526311" w:rsidRDefault="008F7CBE" w:rsidP="00DC1333">
      <w:pPr>
        <w:keepNext/>
        <w:rPr>
          <w:szCs w:val="22"/>
        </w:rPr>
      </w:pPr>
      <w:r w:rsidRPr="008F7CBE">
        <w:rPr>
          <w:sz w:val="20"/>
          <w:szCs w:val="22"/>
        </w:rPr>
        <w:lastRenderedPageBreak/>
        <w:t>DATOS SOBRE EL RENDIMIENTO</w:t>
      </w:r>
    </w:p>
    <w:p w:rsidR="00221F0B" w:rsidRPr="00526311" w:rsidRDefault="00221F0B" w:rsidP="00DC1333">
      <w:pPr>
        <w:keepNext/>
      </w:pPr>
    </w:p>
    <w:tbl>
      <w:tblPr>
        <w:tblW w:w="4958"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844"/>
        <w:gridCol w:w="425"/>
        <w:gridCol w:w="1101"/>
        <w:gridCol w:w="317"/>
        <w:gridCol w:w="1333"/>
        <w:gridCol w:w="290"/>
        <w:gridCol w:w="2828"/>
        <w:gridCol w:w="87"/>
        <w:gridCol w:w="1266"/>
      </w:tblGrid>
      <w:tr w:rsidR="00221F0B" w:rsidRPr="00526311" w:rsidTr="00DC1333">
        <w:trPr>
          <w:cantSplit/>
          <w:trHeight w:val="677"/>
        </w:trPr>
        <w:tc>
          <w:tcPr>
            <w:tcW w:w="5000" w:type="pct"/>
            <w:gridSpan w:val="9"/>
            <w:tcBorders>
              <w:top w:val="single" w:sz="4" w:space="0" w:color="auto"/>
              <w:left w:val="single" w:sz="4" w:space="0" w:color="auto"/>
              <w:bottom w:val="nil"/>
              <w:right w:val="single" w:sz="4" w:space="0" w:color="auto"/>
            </w:tcBorders>
            <w:shd w:val="clear" w:color="auto" w:fill="C6D9F1" w:themeFill="text2" w:themeFillTint="33"/>
            <w:vAlign w:val="center"/>
          </w:tcPr>
          <w:p w:rsidR="00221F0B" w:rsidRPr="00526311" w:rsidRDefault="00221F0B" w:rsidP="00DC1333">
            <w:pPr>
              <w:keepNext/>
              <w:spacing w:before="120" w:after="120"/>
              <w:ind w:left="2019" w:hanging="2019"/>
              <w:rPr>
                <w:bCs/>
                <w:sz w:val="16"/>
                <w:szCs w:val="16"/>
              </w:rPr>
            </w:pPr>
            <w:r w:rsidRPr="00526311">
              <w:rPr>
                <w:b/>
                <w:bCs/>
                <w:sz w:val="16"/>
                <w:szCs w:val="16"/>
              </w:rPr>
              <w:t>Resultado previsto:</w:t>
            </w:r>
            <w:r w:rsidRPr="00526311">
              <w:rPr>
                <w:bCs/>
                <w:sz w:val="16"/>
                <w:szCs w:val="16"/>
              </w:rPr>
              <w:tab/>
            </w:r>
            <w:r w:rsidRPr="00526311">
              <w:rPr>
                <w:sz w:val="16"/>
                <w:szCs w:val="16"/>
              </w:rPr>
              <w:t>IX.1 Servicios de apoyo eficaces, eficientes, de calidad y orientados al cliente, tanto a los clientes internos como a las partes interesadas externas</w:t>
            </w:r>
          </w:p>
        </w:tc>
      </w:tr>
      <w:tr w:rsidR="00221F0B" w:rsidRPr="00526311" w:rsidTr="00DC1333">
        <w:trPr>
          <w:cantSplit/>
        </w:trPr>
        <w:tc>
          <w:tcPr>
            <w:tcW w:w="1195" w:type="pct"/>
            <w:gridSpan w:val="2"/>
            <w:tcBorders>
              <w:top w:val="single" w:sz="4" w:space="0" w:color="auto"/>
              <w:left w:val="single" w:sz="4" w:space="0" w:color="auto"/>
              <w:bottom w:val="nil"/>
            </w:tcBorders>
            <w:shd w:val="clear" w:color="auto" w:fill="auto"/>
            <w:vAlign w:val="center"/>
          </w:tcPr>
          <w:p w:rsidR="00221F0B" w:rsidRPr="00526311" w:rsidRDefault="00221F0B" w:rsidP="00DC1333">
            <w:pPr>
              <w:keepNext/>
              <w:rPr>
                <w:b/>
                <w:sz w:val="16"/>
                <w:szCs w:val="16"/>
              </w:rPr>
            </w:pPr>
            <w:r w:rsidRPr="00526311">
              <w:rPr>
                <w:b/>
                <w:sz w:val="16"/>
                <w:szCs w:val="16"/>
              </w:rPr>
              <w:t>Indicadores de rendimiento</w:t>
            </w:r>
          </w:p>
        </w:tc>
        <w:tc>
          <w:tcPr>
            <w:tcW w:w="747" w:type="pct"/>
            <w:gridSpan w:val="2"/>
            <w:tcBorders>
              <w:top w:val="single" w:sz="4" w:space="0" w:color="auto"/>
              <w:bottom w:val="nil"/>
            </w:tcBorders>
            <w:shd w:val="clear" w:color="auto" w:fill="auto"/>
            <w:vAlign w:val="center"/>
          </w:tcPr>
          <w:p w:rsidR="00221F0B" w:rsidRPr="00526311" w:rsidRDefault="00221F0B" w:rsidP="00DC1333">
            <w:pPr>
              <w:keepNext/>
              <w:rPr>
                <w:b/>
                <w:bCs/>
                <w:sz w:val="16"/>
                <w:szCs w:val="16"/>
              </w:rPr>
            </w:pPr>
            <w:r w:rsidRPr="00526311">
              <w:rPr>
                <w:b/>
                <w:bCs/>
                <w:sz w:val="16"/>
                <w:szCs w:val="16"/>
              </w:rPr>
              <w:t>Referencia</w:t>
            </w:r>
          </w:p>
        </w:tc>
        <w:tc>
          <w:tcPr>
            <w:tcW w:w="855" w:type="pct"/>
            <w:gridSpan w:val="2"/>
            <w:tcBorders>
              <w:top w:val="single" w:sz="4" w:space="0" w:color="auto"/>
              <w:bottom w:val="nil"/>
            </w:tcBorders>
            <w:shd w:val="clear" w:color="auto" w:fill="auto"/>
            <w:tcMar>
              <w:top w:w="110" w:type="dxa"/>
            </w:tcMar>
            <w:vAlign w:val="center"/>
          </w:tcPr>
          <w:p w:rsidR="00221F0B" w:rsidRPr="00526311" w:rsidRDefault="00221F0B" w:rsidP="00DC1333">
            <w:pPr>
              <w:keepNext/>
              <w:rPr>
                <w:b/>
                <w:sz w:val="16"/>
                <w:szCs w:val="16"/>
              </w:rPr>
            </w:pPr>
            <w:r w:rsidRPr="00526311">
              <w:rPr>
                <w:b/>
                <w:sz w:val="16"/>
                <w:szCs w:val="16"/>
              </w:rPr>
              <w:t>Objetivos</w:t>
            </w:r>
          </w:p>
        </w:tc>
        <w:tc>
          <w:tcPr>
            <w:tcW w:w="1536" w:type="pct"/>
            <w:gridSpan w:val="2"/>
            <w:tcBorders>
              <w:top w:val="single" w:sz="4" w:space="0" w:color="auto"/>
              <w:bottom w:val="nil"/>
            </w:tcBorders>
            <w:shd w:val="clear" w:color="auto" w:fill="FFFFFF"/>
            <w:tcMar>
              <w:top w:w="110" w:type="dxa"/>
            </w:tcMar>
            <w:vAlign w:val="center"/>
          </w:tcPr>
          <w:p w:rsidR="00221F0B" w:rsidRPr="00526311" w:rsidRDefault="00221F0B" w:rsidP="00DC1333">
            <w:pPr>
              <w:keepNext/>
              <w:rPr>
                <w:b/>
                <w:sz w:val="16"/>
                <w:szCs w:val="16"/>
              </w:rPr>
            </w:pPr>
            <w:r w:rsidRPr="00526311">
              <w:rPr>
                <w:b/>
                <w:sz w:val="16"/>
                <w:szCs w:val="16"/>
              </w:rPr>
              <w:t>Datos sobre el rendimiento</w:t>
            </w:r>
          </w:p>
        </w:tc>
        <w:tc>
          <w:tcPr>
            <w:tcW w:w="667" w:type="pct"/>
            <w:tcBorders>
              <w:top w:val="single" w:sz="4" w:space="0" w:color="auto"/>
              <w:bottom w:val="nil"/>
              <w:right w:val="single" w:sz="4" w:space="0" w:color="auto"/>
            </w:tcBorders>
            <w:shd w:val="clear" w:color="auto" w:fill="auto"/>
            <w:tcMar>
              <w:top w:w="110" w:type="dxa"/>
            </w:tcMar>
            <w:vAlign w:val="center"/>
          </w:tcPr>
          <w:p w:rsidR="00221F0B" w:rsidRPr="00526311" w:rsidRDefault="00221F0B" w:rsidP="00DC1333">
            <w:pPr>
              <w:keepNext/>
              <w:ind w:left="-109"/>
              <w:jc w:val="center"/>
              <w:rPr>
                <w:b/>
                <w:bCs/>
                <w:sz w:val="16"/>
                <w:szCs w:val="16"/>
              </w:rPr>
            </w:pPr>
            <w:r w:rsidRPr="00526311">
              <w:rPr>
                <w:b/>
                <w:bCs/>
                <w:sz w:val="16"/>
                <w:szCs w:val="16"/>
              </w:rPr>
              <w:t>Clave de colores</w:t>
            </w:r>
          </w:p>
        </w:tc>
      </w:tr>
      <w:tr w:rsidR="00221F0B" w:rsidRPr="00526311" w:rsidTr="00DC1333">
        <w:trPr>
          <w:cantSplit/>
        </w:trPr>
        <w:tc>
          <w:tcPr>
            <w:tcW w:w="1195" w:type="pct"/>
            <w:gridSpan w:val="2"/>
            <w:tcBorders>
              <w:top w:val="nil"/>
              <w:left w:val="single" w:sz="4" w:space="0" w:color="auto"/>
              <w:bottom w:val="nil"/>
            </w:tcBorders>
            <w:shd w:val="clear" w:color="auto" w:fill="auto"/>
          </w:tcPr>
          <w:p w:rsidR="00221F0B" w:rsidRPr="00526311" w:rsidRDefault="00221F0B" w:rsidP="00DC1333">
            <w:pPr>
              <w:keepNext/>
              <w:rPr>
                <w:sz w:val="16"/>
                <w:szCs w:val="16"/>
              </w:rPr>
            </w:pPr>
            <w:r w:rsidRPr="00526311">
              <w:rPr>
                <w:sz w:val="16"/>
                <w:szCs w:val="16"/>
              </w:rPr>
              <w:t>Finalización del proyecto de construcción de la nueva sala de conferencias atendiendo a los requisitos de calidad, de manera puntual y dentro de los límites presupuestarios</w:t>
            </w:r>
          </w:p>
        </w:tc>
        <w:tc>
          <w:tcPr>
            <w:tcW w:w="747" w:type="pct"/>
            <w:gridSpan w:val="2"/>
            <w:tcBorders>
              <w:top w:val="nil"/>
              <w:bottom w:val="nil"/>
            </w:tcBorders>
            <w:shd w:val="clear" w:color="auto" w:fill="auto"/>
          </w:tcPr>
          <w:p w:rsidR="00221F0B" w:rsidRPr="00526311" w:rsidRDefault="00221F0B" w:rsidP="00DC1333">
            <w:pPr>
              <w:keepNext/>
              <w:ind w:left="-108"/>
              <w:rPr>
                <w:sz w:val="16"/>
                <w:szCs w:val="16"/>
              </w:rPr>
            </w:pPr>
            <w:r w:rsidRPr="00526311">
              <w:rPr>
                <w:sz w:val="16"/>
                <w:szCs w:val="16"/>
              </w:rPr>
              <w:t>Garantizar que se haga entrega de la sala de conferencias dentro de lo presupuestado y en el plazo revisado (debido a la rescisión del contrato con el contratista general) para la celebración de las Asambleas de los Estados miembros de 2014</w:t>
            </w:r>
          </w:p>
        </w:tc>
        <w:tc>
          <w:tcPr>
            <w:tcW w:w="855" w:type="pct"/>
            <w:gridSpan w:val="2"/>
            <w:tcBorders>
              <w:top w:val="nil"/>
              <w:bottom w:val="nil"/>
            </w:tcBorders>
            <w:shd w:val="clear" w:color="auto" w:fill="auto"/>
            <w:tcMar>
              <w:top w:w="110" w:type="dxa"/>
            </w:tcMar>
          </w:tcPr>
          <w:p w:rsidR="00221F0B" w:rsidRPr="00526311" w:rsidRDefault="00221F0B" w:rsidP="00DC1333">
            <w:pPr>
              <w:keepNext/>
              <w:rPr>
                <w:sz w:val="16"/>
                <w:szCs w:val="16"/>
              </w:rPr>
            </w:pPr>
            <w:r w:rsidRPr="00526311">
              <w:rPr>
                <w:sz w:val="16"/>
                <w:szCs w:val="16"/>
              </w:rPr>
              <w:t>Las Asambleas de los Estados miembros de 2014 se celebrarán en la nueva sala de conferencias</w:t>
            </w:r>
          </w:p>
        </w:tc>
        <w:tc>
          <w:tcPr>
            <w:tcW w:w="1536" w:type="pct"/>
            <w:gridSpan w:val="2"/>
            <w:tcBorders>
              <w:top w:val="nil"/>
              <w:bottom w:val="nil"/>
            </w:tcBorders>
            <w:shd w:val="clear" w:color="auto" w:fill="FFFFFF"/>
            <w:tcMar>
              <w:top w:w="110" w:type="dxa"/>
            </w:tcMar>
          </w:tcPr>
          <w:p w:rsidR="00221F0B" w:rsidRPr="00526311" w:rsidRDefault="00221F0B" w:rsidP="00DC1333">
            <w:pPr>
              <w:keepNext/>
              <w:rPr>
                <w:sz w:val="16"/>
                <w:szCs w:val="16"/>
              </w:rPr>
            </w:pPr>
            <w:r w:rsidRPr="00526311">
              <w:rPr>
                <w:sz w:val="16"/>
                <w:szCs w:val="16"/>
              </w:rPr>
              <w:t>La nueva sala de conferencias se finalizó y entregó en el plazo previsto y cumplía los requisitos de calidad prescritos.</w:t>
            </w:r>
          </w:p>
          <w:p w:rsidR="00221F0B" w:rsidRPr="00526311" w:rsidRDefault="00221F0B" w:rsidP="00DC1333">
            <w:pPr>
              <w:keepNext/>
              <w:rPr>
                <w:sz w:val="16"/>
                <w:szCs w:val="16"/>
              </w:rPr>
            </w:pPr>
          </w:p>
          <w:p w:rsidR="00221F0B" w:rsidRPr="00526311" w:rsidRDefault="00221F0B" w:rsidP="00DC1333">
            <w:pPr>
              <w:keepNext/>
              <w:rPr>
                <w:sz w:val="16"/>
                <w:szCs w:val="16"/>
              </w:rPr>
            </w:pPr>
            <w:r w:rsidRPr="00526311">
              <w:rPr>
                <w:sz w:val="16"/>
                <w:szCs w:val="16"/>
              </w:rPr>
              <w:t xml:space="preserve">La primera reunión oficial que se llevó a cabo en la nueva sala de conferencias de la OMPI en 2014 fue la sesión del PBC, que se celebró del 1 al 5 de septiembre de 2014.  </w:t>
            </w:r>
            <w:r>
              <w:rPr>
                <w:sz w:val="16"/>
                <w:szCs w:val="16"/>
              </w:rPr>
              <w:t>L</w:t>
            </w:r>
            <w:r w:rsidRPr="00526311">
              <w:rPr>
                <w:sz w:val="16"/>
                <w:szCs w:val="16"/>
              </w:rPr>
              <w:t>a</w:t>
            </w:r>
            <w:r>
              <w:rPr>
                <w:sz w:val="16"/>
                <w:szCs w:val="16"/>
              </w:rPr>
              <w:t xml:space="preserve"> </w:t>
            </w:r>
            <w:r w:rsidRPr="00526311">
              <w:rPr>
                <w:sz w:val="16"/>
                <w:szCs w:val="16"/>
              </w:rPr>
              <w:t>s</w:t>
            </w:r>
            <w:r>
              <w:rPr>
                <w:sz w:val="16"/>
                <w:szCs w:val="16"/>
              </w:rPr>
              <w:t>erie de</w:t>
            </w:r>
            <w:r w:rsidRPr="00526311">
              <w:rPr>
                <w:sz w:val="16"/>
                <w:szCs w:val="16"/>
              </w:rPr>
              <w:t xml:space="preserve"> reuniones de las Asambleas de los Estados miembros de la OMPI se cele</w:t>
            </w:r>
            <w:r>
              <w:rPr>
                <w:sz w:val="16"/>
                <w:szCs w:val="16"/>
              </w:rPr>
              <w:t>bró</w:t>
            </w:r>
            <w:r w:rsidRPr="00526311">
              <w:rPr>
                <w:sz w:val="16"/>
                <w:szCs w:val="16"/>
              </w:rPr>
              <w:t xml:space="preserve"> del 22 al 30 de septiembre de 2014 y la ceremonia de inauguración tuvo lugar el primer día.</w:t>
            </w:r>
          </w:p>
          <w:p w:rsidR="00221F0B" w:rsidRPr="00526311" w:rsidRDefault="00221F0B" w:rsidP="00DC1333">
            <w:pPr>
              <w:keepNext/>
              <w:rPr>
                <w:sz w:val="16"/>
                <w:szCs w:val="16"/>
              </w:rPr>
            </w:pPr>
          </w:p>
          <w:p w:rsidR="00221F0B" w:rsidRPr="00526311" w:rsidRDefault="00221F0B" w:rsidP="00DC1333">
            <w:pPr>
              <w:keepNext/>
              <w:rPr>
                <w:sz w:val="16"/>
                <w:szCs w:val="16"/>
              </w:rPr>
            </w:pPr>
            <w:r>
              <w:rPr>
                <w:sz w:val="16"/>
                <w:szCs w:val="16"/>
              </w:rPr>
              <w:t>A finales de 2015 estaba previsto que el presupuesto adicional aprobado por los Estados miembros en 2014 y 2015 cubriera completamente la estimación del saldo restante adeudado en todas las cuentas definitivas, y que el costo final del proyecto se fijara en 2016, tras el pago de todos los saldos adeudados.</w:t>
            </w:r>
          </w:p>
        </w:tc>
        <w:tc>
          <w:tcPr>
            <w:tcW w:w="667" w:type="pct"/>
            <w:tcBorders>
              <w:top w:val="nil"/>
              <w:bottom w:val="nil"/>
              <w:right w:val="single" w:sz="4" w:space="0" w:color="auto"/>
            </w:tcBorders>
            <w:shd w:val="clear" w:color="auto" w:fill="auto"/>
            <w:tcMar>
              <w:top w:w="110" w:type="dxa"/>
            </w:tcMar>
          </w:tcPr>
          <w:p w:rsidR="00221F0B" w:rsidRPr="00526311" w:rsidRDefault="00221F0B" w:rsidP="00DC1333">
            <w:pPr>
              <w:keepNext/>
              <w:ind w:left="-109"/>
              <w:jc w:val="center"/>
              <w:rPr>
                <w:b/>
                <w:bCs/>
                <w:color w:val="00B050"/>
                <w:sz w:val="16"/>
                <w:szCs w:val="16"/>
              </w:rPr>
            </w:pPr>
            <w:r>
              <w:rPr>
                <w:b/>
                <w:color w:val="00B050"/>
                <w:sz w:val="16"/>
                <w:szCs w:val="16"/>
              </w:rPr>
              <w:t>Plenamente logrado</w:t>
            </w:r>
          </w:p>
        </w:tc>
      </w:tr>
      <w:tr w:rsidR="00221F0B" w:rsidRPr="00526311" w:rsidTr="00DC1333">
        <w:trPr>
          <w:cantSplit/>
        </w:trPr>
        <w:tc>
          <w:tcPr>
            <w:tcW w:w="1195" w:type="pct"/>
            <w:gridSpan w:val="2"/>
            <w:tcBorders>
              <w:top w:val="nil"/>
              <w:left w:val="single" w:sz="4" w:space="0" w:color="auto"/>
              <w:bottom w:val="single" w:sz="4" w:space="0" w:color="auto"/>
            </w:tcBorders>
            <w:shd w:val="clear" w:color="auto" w:fill="auto"/>
          </w:tcPr>
          <w:p w:rsidR="00221F0B" w:rsidRPr="00526311" w:rsidRDefault="00221F0B" w:rsidP="00DC1333">
            <w:pPr>
              <w:rPr>
                <w:sz w:val="16"/>
                <w:szCs w:val="16"/>
              </w:rPr>
            </w:pPr>
            <w:r w:rsidRPr="00526311">
              <w:rPr>
                <w:sz w:val="16"/>
                <w:szCs w:val="16"/>
              </w:rPr>
              <w:t>Uso de la sala de conferencias como lugar preferido para las reuniones y actividades que organicen los Estados miembros</w:t>
            </w:r>
          </w:p>
        </w:tc>
        <w:tc>
          <w:tcPr>
            <w:tcW w:w="747" w:type="pct"/>
            <w:gridSpan w:val="2"/>
            <w:tcBorders>
              <w:top w:val="nil"/>
              <w:bottom w:val="single" w:sz="4" w:space="0" w:color="auto"/>
            </w:tcBorders>
            <w:shd w:val="clear" w:color="auto" w:fill="auto"/>
          </w:tcPr>
          <w:p w:rsidR="00221F0B" w:rsidRPr="00526311" w:rsidRDefault="00221F0B" w:rsidP="00DC1333">
            <w:pPr>
              <w:ind w:left="-108"/>
              <w:rPr>
                <w:sz w:val="16"/>
                <w:szCs w:val="16"/>
              </w:rPr>
            </w:pPr>
            <w:r w:rsidRPr="00526311">
              <w:rPr>
                <w:sz w:val="16"/>
                <w:szCs w:val="16"/>
              </w:rPr>
              <w:t>A partir de 2015, peticiones de uso de las instalaciones por los Estados miembros (para reuniones y actividades distintas de las organizadas por la OMPI)</w:t>
            </w:r>
          </w:p>
        </w:tc>
        <w:tc>
          <w:tcPr>
            <w:tcW w:w="855" w:type="pct"/>
            <w:gridSpan w:val="2"/>
            <w:tcBorders>
              <w:top w:val="nil"/>
              <w:bottom w:val="single" w:sz="4" w:space="0" w:color="auto"/>
            </w:tcBorders>
            <w:shd w:val="clear" w:color="auto" w:fill="auto"/>
            <w:tcMar>
              <w:top w:w="110" w:type="dxa"/>
            </w:tcMar>
          </w:tcPr>
          <w:p w:rsidR="00221F0B" w:rsidRPr="00526311" w:rsidRDefault="00221F0B" w:rsidP="00DC1333">
            <w:pPr>
              <w:rPr>
                <w:sz w:val="16"/>
                <w:szCs w:val="16"/>
              </w:rPr>
            </w:pPr>
            <w:r>
              <w:rPr>
                <w:sz w:val="16"/>
                <w:szCs w:val="16"/>
              </w:rPr>
              <w:t xml:space="preserve">Al menos dos </w:t>
            </w:r>
            <w:r w:rsidRPr="00526311">
              <w:rPr>
                <w:sz w:val="16"/>
                <w:szCs w:val="16"/>
              </w:rPr>
              <w:t xml:space="preserve">peticiones anuales de uso de las instalaciones por los Estados miembros, u otras </w:t>
            </w:r>
            <w:r>
              <w:rPr>
                <w:sz w:val="16"/>
                <w:szCs w:val="16"/>
              </w:rPr>
              <w:t xml:space="preserve">organizaciones internacionales </w:t>
            </w:r>
            <w:r w:rsidRPr="00526311">
              <w:rPr>
                <w:sz w:val="16"/>
                <w:szCs w:val="16"/>
              </w:rPr>
              <w:t>u otras entidades para la organización de reuniones y/o actividades (distintas de las organizadas por la OMPI)</w:t>
            </w:r>
          </w:p>
          <w:p w:rsidR="00221F0B" w:rsidRPr="00526311" w:rsidRDefault="00221F0B" w:rsidP="00DC1333">
            <w:pPr>
              <w:rPr>
                <w:sz w:val="16"/>
                <w:szCs w:val="16"/>
              </w:rPr>
            </w:pPr>
          </w:p>
        </w:tc>
        <w:tc>
          <w:tcPr>
            <w:tcW w:w="1536" w:type="pct"/>
            <w:gridSpan w:val="2"/>
            <w:tcBorders>
              <w:top w:val="nil"/>
              <w:bottom w:val="single" w:sz="4" w:space="0" w:color="auto"/>
            </w:tcBorders>
            <w:shd w:val="clear" w:color="auto" w:fill="FFFFFF"/>
            <w:tcMar>
              <w:top w:w="110" w:type="dxa"/>
            </w:tcMar>
          </w:tcPr>
          <w:p w:rsidR="00221F0B" w:rsidRDefault="00221F0B" w:rsidP="00DC1333">
            <w:pPr>
              <w:rPr>
                <w:sz w:val="16"/>
                <w:szCs w:val="16"/>
                <w:lang w:bidi="th-TH"/>
              </w:rPr>
            </w:pPr>
            <w:r>
              <w:rPr>
                <w:sz w:val="16"/>
                <w:szCs w:val="16"/>
                <w:lang w:bidi="th-TH"/>
              </w:rPr>
              <w:t>El año 2015 fue el primero en que se pudo alquilar la nueva sala de conferencias de la OMPI y las instalaciones adyacentes a los Estados miembros o entidades externas para actividades distintas de las reuniones de la OMPI.  Se celebraron cinco reuniones</w:t>
            </w:r>
            <w:proofErr w:type="gramStart"/>
            <w:r>
              <w:rPr>
                <w:sz w:val="16"/>
                <w:szCs w:val="16"/>
                <w:lang w:bidi="th-TH"/>
              </w:rPr>
              <w:t>:  i</w:t>
            </w:r>
            <w:proofErr w:type="gramEnd"/>
            <w:r>
              <w:rPr>
                <w:sz w:val="16"/>
                <w:szCs w:val="16"/>
                <w:lang w:bidi="th-TH"/>
              </w:rPr>
              <w:t xml:space="preserve">) el Foro Mundial de la UIT en mayo de 2015;  ii) el Centro Internacional para la Seguridad en el Deporte en septiembre de 2015;  iii) la inauguración por Suiza del Geneva </w:t>
            </w:r>
            <w:proofErr w:type="spellStart"/>
            <w:r>
              <w:rPr>
                <w:sz w:val="16"/>
                <w:szCs w:val="16"/>
                <w:lang w:bidi="th-TH"/>
              </w:rPr>
              <w:t>Water</w:t>
            </w:r>
            <w:proofErr w:type="spellEnd"/>
            <w:r>
              <w:rPr>
                <w:sz w:val="16"/>
                <w:szCs w:val="16"/>
                <w:lang w:bidi="th-TH"/>
              </w:rPr>
              <w:t xml:space="preserve"> </w:t>
            </w:r>
            <w:proofErr w:type="spellStart"/>
            <w:r>
              <w:rPr>
                <w:sz w:val="16"/>
                <w:szCs w:val="16"/>
                <w:lang w:bidi="th-TH"/>
              </w:rPr>
              <w:t>Hub</w:t>
            </w:r>
            <w:proofErr w:type="spellEnd"/>
            <w:r>
              <w:rPr>
                <w:sz w:val="16"/>
                <w:szCs w:val="16"/>
                <w:lang w:bidi="th-TH"/>
              </w:rPr>
              <w:t xml:space="preserve"> en noviembre de 2015;  iv) la ceremonia de entrega de diplomas federales de los bomberos de Suiza (</w:t>
            </w:r>
            <w:proofErr w:type="spellStart"/>
            <w:r w:rsidRPr="000F556D">
              <w:rPr>
                <w:sz w:val="16"/>
                <w:szCs w:val="16"/>
                <w:lang w:bidi="th-TH"/>
              </w:rPr>
              <w:t>Ecole</w:t>
            </w:r>
            <w:proofErr w:type="spellEnd"/>
            <w:r w:rsidRPr="000F556D">
              <w:rPr>
                <w:sz w:val="16"/>
                <w:szCs w:val="16"/>
                <w:lang w:bidi="th-TH"/>
              </w:rPr>
              <w:t xml:space="preserve"> latine)</w:t>
            </w:r>
            <w:r>
              <w:rPr>
                <w:sz w:val="16"/>
                <w:szCs w:val="16"/>
                <w:lang w:bidi="th-TH"/>
              </w:rPr>
              <w:t xml:space="preserve"> en noviembre de 2015;  v) la Reunión Anual de la </w:t>
            </w:r>
            <w:r w:rsidRPr="000F556D">
              <w:rPr>
                <w:sz w:val="16"/>
                <w:szCs w:val="16"/>
                <w:lang w:bidi="th-TH"/>
              </w:rPr>
              <w:t xml:space="preserve">Organización Internacional para las Migraciones </w:t>
            </w:r>
            <w:r w:rsidR="00D17E49">
              <w:rPr>
                <w:sz w:val="16"/>
                <w:szCs w:val="16"/>
                <w:lang w:bidi="th-TH"/>
              </w:rPr>
              <w:t>(OIM) en noviembre de </w:t>
            </w:r>
            <w:r>
              <w:rPr>
                <w:sz w:val="16"/>
                <w:szCs w:val="16"/>
                <w:lang w:bidi="th-TH"/>
              </w:rPr>
              <w:t>2015.</w:t>
            </w:r>
          </w:p>
          <w:p w:rsidR="00221F0B" w:rsidRPr="00526311" w:rsidRDefault="00221F0B" w:rsidP="00DC1333">
            <w:pPr>
              <w:rPr>
                <w:sz w:val="16"/>
                <w:szCs w:val="16"/>
                <w:lang w:bidi="th-TH"/>
              </w:rPr>
            </w:pPr>
          </w:p>
        </w:tc>
        <w:tc>
          <w:tcPr>
            <w:tcW w:w="667" w:type="pct"/>
            <w:tcBorders>
              <w:top w:val="nil"/>
              <w:bottom w:val="single" w:sz="4" w:space="0" w:color="auto"/>
              <w:right w:val="single" w:sz="4" w:space="0" w:color="auto"/>
            </w:tcBorders>
            <w:shd w:val="clear" w:color="auto" w:fill="auto"/>
            <w:tcMar>
              <w:top w:w="110" w:type="dxa"/>
            </w:tcMar>
          </w:tcPr>
          <w:p w:rsidR="00221F0B" w:rsidRPr="00526311" w:rsidRDefault="00221F0B" w:rsidP="00DC1333">
            <w:pPr>
              <w:jc w:val="center"/>
              <w:rPr>
                <w:rStyle w:val="Style5"/>
                <w:b/>
                <w:bCs/>
                <w:color w:val="595959" w:themeColor="text1" w:themeTint="A6"/>
                <w:sz w:val="16"/>
                <w:szCs w:val="16"/>
              </w:rPr>
            </w:pPr>
            <w:r>
              <w:rPr>
                <w:b/>
                <w:color w:val="00B050"/>
                <w:sz w:val="16"/>
                <w:szCs w:val="16"/>
              </w:rPr>
              <w:t>Plenamente logrado</w:t>
            </w:r>
          </w:p>
        </w:tc>
      </w:tr>
      <w:tr w:rsidR="00221F0B" w:rsidRPr="00526311" w:rsidTr="00DC1333">
        <w:trPr>
          <w:cantSplit/>
        </w:trPr>
        <w:tc>
          <w:tcPr>
            <w:tcW w:w="5000" w:type="pct"/>
            <w:gridSpan w:val="9"/>
            <w:tcBorders>
              <w:top w:val="single" w:sz="4" w:space="0" w:color="auto"/>
              <w:left w:val="single" w:sz="4" w:space="0" w:color="auto"/>
              <w:bottom w:val="nil"/>
              <w:right w:val="single" w:sz="4" w:space="0" w:color="auto"/>
            </w:tcBorders>
            <w:shd w:val="clear" w:color="auto" w:fill="C6D9F1" w:themeFill="text2" w:themeFillTint="33"/>
            <w:vAlign w:val="center"/>
          </w:tcPr>
          <w:p w:rsidR="00221F0B" w:rsidRPr="00526311" w:rsidRDefault="00221F0B" w:rsidP="00DC1333">
            <w:pPr>
              <w:keepNext/>
              <w:spacing w:before="120" w:after="120"/>
              <w:ind w:left="2019" w:hanging="2019"/>
              <w:rPr>
                <w:bCs/>
                <w:sz w:val="16"/>
                <w:szCs w:val="16"/>
              </w:rPr>
            </w:pPr>
            <w:r w:rsidRPr="00526311">
              <w:rPr>
                <w:b/>
                <w:bCs/>
                <w:sz w:val="16"/>
                <w:szCs w:val="16"/>
              </w:rPr>
              <w:lastRenderedPageBreak/>
              <w:t>Resultado previsto:</w:t>
            </w:r>
            <w:r w:rsidRPr="00526311">
              <w:rPr>
                <w:bCs/>
                <w:sz w:val="16"/>
                <w:szCs w:val="16"/>
              </w:rPr>
              <w:tab/>
            </w:r>
            <w:r w:rsidRPr="00526311">
              <w:rPr>
                <w:sz w:val="16"/>
                <w:szCs w:val="16"/>
              </w:rPr>
              <w:t>IX.4 Una organización responsable con el medio ambiente y la sociedad en la que se garantiza la seguridad de su personal, los delegados, los visitantes, la información y los activos físicos</w:t>
            </w:r>
          </w:p>
        </w:tc>
      </w:tr>
      <w:tr w:rsidR="00221F0B" w:rsidRPr="00526311" w:rsidTr="00DC1333">
        <w:trPr>
          <w:cantSplit/>
        </w:trPr>
        <w:tc>
          <w:tcPr>
            <w:tcW w:w="971" w:type="pct"/>
            <w:tcBorders>
              <w:top w:val="single" w:sz="4" w:space="0" w:color="auto"/>
              <w:left w:val="single" w:sz="4" w:space="0" w:color="auto"/>
              <w:bottom w:val="nil"/>
            </w:tcBorders>
            <w:shd w:val="clear" w:color="auto" w:fill="auto"/>
            <w:vAlign w:val="center"/>
          </w:tcPr>
          <w:p w:rsidR="00221F0B" w:rsidRPr="00526311" w:rsidRDefault="00221F0B" w:rsidP="00DC1333">
            <w:pPr>
              <w:keepNext/>
              <w:rPr>
                <w:b/>
                <w:sz w:val="16"/>
                <w:szCs w:val="16"/>
              </w:rPr>
            </w:pPr>
            <w:r w:rsidRPr="00526311">
              <w:rPr>
                <w:b/>
                <w:color w:val="000000"/>
                <w:sz w:val="16"/>
                <w:szCs w:val="16"/>
              </w:rPr>
              <w:t>Indicadores de rendimiento</w:t>
            </w:r>
          </w:p>
        </w:tc>
        <w:tc>
          <w:tcPr>
            <w:tcW w:w="804" w:type="pct"/>
            <w:gridSpan w:val="2"/>
            <w:tcBorders>
              <w:top w:val="single" w:sz="4" w:space="0" w:color="auto"/>
              <w:bottom w:val="nil"/>
            </w:tcBorders>
            <w:shd w:val="clear" w:color="auto" w:fill="auto"/>
            <w:vAlign w:val="center"/>
          </w:tcPr>
          <w:p w:rsidR="00221F0B" w:rsidRPr="00526311" w:rsidRDefault="00221F0B" w:rsidP="00DC1333">
            <w:pPr>
              <w:keepNext/>
              <w:rPr>
                <w:b/>
                <w:bCs/>
                <w:sz w:val="16"/>
                <w:szCs w:val="16"/>
              </w:rPr>
            </w:pPr>
            <w:r w:rsidRPr="00526311">
              <w:rPr>
                <w:b/>
                <w:bCs/>
                <w:color w:val="000000"/>
                <w:sz w:val="16"/>
                <w:szCs w:val="16"/>
              </w:rPr>
              <w:t>Referencia</w:t>
            </w:r>
          </w:p>
        </w:tc>
        <w:tc>
          <w:tcPr>
            <w:tcW w:w="869" w:type="pct"/>
            <w:gridSpan w:val="2"/>
            <w:tcBorders>
              <w:top w:val="single" w:sz="4" w:space="0" w:color="auto"/>
              <w:bottom w:val="nil"/>
            </w:tcBorders>
            <w:shd w:val="clear" w:color="auto" w:fill="auto"/>
            <w:tcMar>
              <w:top w:w="110" w:type="dxa"/>
            </w:tcMar>
            <w:vAlign w:val="center"/>
          </w:tcPr>
          <w:p w:rsidR="00221F0B" w:rsidRPr="00526311" w:rsidRDefault="00221F0B" w:rsidP="00DC1333">
            <w:pPr>
              <w:keepNext/>
              <w:rPr>
                <w:b/>
                <w:sz w:val="16"/>
                <w:szCs w:val="16"/>
              </w:rPr>
            </w:pPr>
            <w:r w:rsidRPr="00526311">
              <w:rPr>
                <w:b/>
                <w:color w:val="000000"/>
                <w:sz w:val="16"/>
                <w:szCs w:val="16"/>
              </w:rPr>
              <w:t>Objetivos</w:t>
            </w:r>
          </w:p>
        </w:tc>
        <w:tc>
          <w:tcPr>
            <w:tcW w:w="1643" w:type="pct"/>
            <w:gridSpan w:val="2"/>
            <w:tcBorders>
              <w:top w:val="single" w:sz="4" w:space="0" w:color="auto"/>
              <w:bottom w:val="nil"/>
            </w:tcBorders>
            <w:shd w:val="clear" w:color="auto" w:fill="FFFFFF"/>
            <w:tcMar>
              <w:top w:w="110" w:type="dxa"/>
            </w:tcMar>
            <w:vAlign w:val="center"/>
          </w:tcPr>
          <w:p w:rsidR="00221F0B" w:rsidRPr="00526311" w:rsidRDefault="00221F0B" w:rsidP="00DC1333">
            <w:pPr>
              <w:keepNext/>
              <w:rPr>
                <w:b/>
                <w:sz w:val="16"/>
                <w:szCs w:val="16"/>
              </w:rPr>
            </w:pPr>
            <w:r w:rsidRPr="00526311">
              <w:rPr>
                <w:b/>
                <w:color w:val="000000"/>
                <w:sz w:val="16"/>
                <w:szCs w:val="16"/>
              </w:rPr>
              <w:t>Datos sobre el rendimiento</w:t>
            </w:r>
          </w:p>
        </w:tc>
        <w:tc>
          <w:tcPr>
            <w:tcW w:w="713" w:type="pct"/>
            <w:gridSpan w:val="2"/>
            <w:tcBorders>
              <w:top w:val="single" w:sz="4" w:space="0" w:color="auto"/>
              <w:bottom w:val="nil"/>
              <w:right w:val="single" w:sz="4" w:space="0" w:color="auto"/>
            </w:tcBorders>
            <w:shd w:val="clear" w:color="auto" w:fill="auto"/>
            <w:tcMar>
              <w:top w:w="110" w:type="dxa"/>
            </w:tcMar>
            <w:vAlign w:val="center"/>
          </w:tcPr>
          <w:p w:rsidR="00221F0B" w:rsidRPr="00526311" w:rsidRDefault="00221F0B" w:rsidP="00DC1333">
            <w:pPr>
              <w:keepNext/>
              <w:jc w:val="center"/>
              <w:rPr>
                <w:b/>
                <w:bCs/>
                <w:sz w:val="16"/>
                <w:szCs w:val="16"/>
              </w:rPr>
            </w:pPr>
            <w:r w:rsidRPr="00526311">
              <w:rPr>
                <w:b/>
                <w:bCs/>
                <w:color w:val="000000"/>
                <w:sz w:val="16"/>
                <w:szCs w:val="16"/>
              </w:rPr>
              <w:t>Clave de colores</w:t>
            </w:r>
          </w:p>
        </w:tc>
      </w:tr>
      <w:tr w:rsidR="00221F0B" w:rsidRPr="00526311" w:rsidTr="00DC1333">
        <w:trPr>
          <w:cantSplit/>
        </w:trPr>
        <w:tc>
          <w:tcPr>
            <w:tcW w:w="971" w:type="pct"/>
            <w:tcBorders>
              <w:top w:val="nil"/>
              <w:left w:val="single" w:sz="4" w:space="0" w:color="auto"/>
              <w:bottom w:val="single" w:sz="4" w:space="0" w:color="auto"/>
            </w:tcBorders>
            <w:shd w:val="clear" w:color="auto" w:fill="auto"/>
          </w:tcPr>
          <w:p w:rsidR="00221F0B" w:rsidRPr="00526311" w:rsidRDefault="00221F0B" w:rsidP="00DC1333">
            <w:pPr>
              <w:keepNext/>
              <w:rPr>
                <w:sz w:val="16"/>
                <w:szCs w:val="16"/>
              </w:rPr>
            </w:pPr>
            <w:r w:rsidRPr="00526311">
              <w:rPr>
                <w:sz w:val="16"/>
                <w:szCs w:val="16"/>
              </w:rPr>
              <w:t>Supervisión de las medidas de acceso físico para velar por que se cumplan plenamente las normas aplicables durante el período de construcción de la nueva sala de conferencias y las instalaciones conexas</w:t>
            </w:r>
          </w:p>
        </w:tc>
        <w:tc>
          <w:tcPr>
            <w:tcW w:w="804" w:type="pct"/>
            <w:gridSpan w:val="2"/>
            <w:tcBorders>
              <w:top w:val="nil"/>
              <w:bottom w:val="single" w:sz="4" w:space="0" w:color="auto"/>
            </w:tcBorders>
            <w:shd w:val="clear" w:color="auto" w:fill="auto"/>
          </w:tcPr>
          <w:p w:rsidR="00221F0B" w:rsidRPr="00526311" w:rsidRDefault="00221F0B" w:rsidP="00DC1333">
            <w:pPr>
              <w:keepNext/>
              <w:ind w:left="-108"/>
              <w:rPr>
                <w:color w:val="002060"/>
                <w:sz w:val="16"/>
                <w:szCs w:val="16"/>
              </w:rPr>
            </w:pPr>
            <w:r w:rsidRPr="00526311">
              <w:rPr>
                <w:i/>
                <w:color w:val="002060"/>
                <w:sz w:val="16"/>
                <w:szCs w:val="16"/>
              </w:rPr>
              <w:t xml:space="preserve">Referencia actualizada a fines de 2013: </w:t>
            </w:r>
            <w:proofErr w:type="spellStart"/>
            <w:r w:rsidRPr="00526311">
              <w:rPr>
                <w:color w:val="002060"/>
                <w:sz w:val="16"/>
                <w:szCs w:val="16"/>
              </w:rPr>
              <w:t>n.d</w:t>
            </w:r>
            <w:proofErr w:type="spellEnd"/>
            <w:r w:rsidRPr="00526311">
              <w:rPr>
                <w:color w:val="002060"/>
                <w:sz w:val="16"/>
                <w:szCs w:val="16"/>
              </w:rPr>
              <w:t>.</w:t>
            </w:r>
            <w:r w:rsidRPr="00526311">
              <w:rPr>
                <w:i/>
                <w:color w:val="002060"/>
                <w:sz w:val="16"/>
                <w:szCs w:val="16"/>
              </w:rPr>
              <w:br/>
            </w:r>
          </w:p>
          <w:p w:rsidR="00221F0B" w:rsidRPr="00526311" w:rsidRDefault="00221F0B" w:rsidP="00DC1333">
            <w:pPr>
              <w:keepNext/>
              <w:ind w:left="-108"/>
              <w:rPr>
                <w:color w:val="002060"/>
                <w:sz w:val="16"/>
                <w:szCs w:val="16"/>
              </w:rPr>
            </w:pPr>
          </w:p>
          <w:p w:rsidR="00221F0B" w:rsidRPr="00526311" w:rsidRDefault="00221F0B" w:rsidP="00DC1333">
            <w:pPr>
              <w:keepNext/>
              <w:ind w:left="-108"/>
              <w:rPr>
                <w:sz w:val="16"/>
                <w:szCs w:val="16"/>
              </w:rPr>
            </w:pPr>
            <w:r w:rsidRPr="00526311">
              <w:rPr>
                <w:i/>
                <w:iCs/>
                <w:sz w:val="16"/>
                <w:szCs w:val="16"/>
              </w:rPr>
              <w:t>Referencia original en el presupuesto de 2014/15</w:t>
            </w:r>
            <w:r w:rsidRPr="00526311">
              <w:rPr>
                <w:i/>
                <w:sz w:val="16"/>
                <w:szCs w:val="16"/>
              </w:rPr>
              <w:t>:  se establecerá a comienzos de 2014 cuando se haya hecho entrega de la nueva sala de conferencias y sobre la base de la evaluación específica de carácter arquitectónico y técnico realizada en 2013</w:t>
            </w:r>
          </w:p>
        </w:tc>
        <w:tc>
          <w:tcPr>
            <w:tcW w:w="869" w:type="pct"/>
            <w:gridSpan w:val="2"/>
            <w:tcBorders>
              <w:top w:val="nil"/>
              <w:bottom w:val="single" w:sz="4" w:space="0" w:color="auto"/>
            </w:tcBorders>
            <w:shd w:val="clear" w:color="auto" w:fill="auto"/>
            <w:tcMar>
              <w:top w:w="110" w:type="dxa"/>
            </w:tcMar>
          </w:tcPr>
          <w:p w:rsidR="00221F0B" w:rsidRPr="00526311" w:rsidRDefault="00221F0B" w:rsidP="00DC1333">
            <w:pPr>
              <w:keepNext/>
              <w:rPr>
                <w:bCs/>
                <w:sz w:val="16"/>
                <w:szCs w:val="16"/>
              </w:rPr>
            </w:pPr>
            <w:r w:rsidRPr="00526311">
              <w:rPr>
                <w:bCs/>
                <w:sz w:val="16"/>
                <w:szCs w:val="16"/>
              </w:rPr>
              <w:t>Se establecerá a comienzos de 2014 cuando se haya hecho entrega de la nueva sala de conferencias y sobre la base de la evaluación específica de carácter arquitectónico y técnico realizada en 2013</w:t>
            </w:r>
          </w:p>
        </w:tc>
        <w:tc>
          <w:tcPr>
            <w:tcW w:w="1643" w:type="pct"/>
            <w:gridSpan w:val="2"/>
            <w:tcBorders>
              <w:top w:val="nil"/>
              <w:bottom w:val="single" w:sz="4" w:space="0" w:color="auto"/>
            </w:tcBorders>
            <w:shd w:val="clear" w:color="auto" w:fill="FFFFFF"/>
            <w:tcMar>
              <w:top w:w="110" w:type="dxa"/>
            </w:tcMar>
          </w:tcPr>
          <w:p w:rsidR="00221F0B" w:rsidRPr="00526311" w:rsidRDefault="00221F0B" w:rsidP="00DC1333">
            <w:pPr>
              <w:keepNext/>
              <w:rPr>
                <w:sz w:val="16"/>
                <w:szCs w:val="16"/>
              </w:rPr>
            </w:pPr>
            <w:r w:rsidRPr="00526311">
              <w:rPr>
                <w:sz w:val="16"/>
                <w:szCs w:val="16"/>
              </w:rPr>
              <w:t>Las principales medidas de acceso físico aplicadas durante el periodo de construcción (hasta el final de las obras en agosto de 2014, en vez de comienzos de 2014) fueron, entre otras, las siguientes:  i)  rampas para acceder con silla de ruedas a la tribuna y a todos los asientos de la tribuna (31, si se usa la configuración plena) de la nueva sala de conferencias de la OMPI;  ii) acceso para sillas de ruedas a 26 asientos en tres zonas diferentes reservadas para los delegados;  iii) posibilidad de remoción de la totalidad de los asientos (unos 850) para los delegados, que pueden sustituirse,  previa petición, por cualquier otro asiento adaptado a las necesidades de las personas con discapacidad;  iv) nueva puerta de emergencia en el fondo de la nueva sala de conferencias de la OMPI que posibilite el acceso directo e independiente en silla de ruedas a una rampa exterior que desemboca en la explanada exterior;  v) rampas para acceder a las cabinas de interpretación en silla de ruedas en dos nuevas salas de reuniones en una planta renovada del edificio AB;  vi) salas de descanso con acceso para sillas de ruedas;  vii) bandas antideslizantes en los escalones de todas las escaleras dentro y fuera de la nueva sala de conferencias de la OMPI;  viii) rampa para el acceso en silla de ruedas que parte de las puertas del vestíbulo de la nueva sala de conferencias y conduce a la salida de emergencia del perímetro del recinto de la OMPI;  ix) acceso para sillas de ruedas desde la calle por la nueva entrada principal de la OMPI y puertas interiores de acceso prioritario independiente para sillas de ruedas a los mostra</w:t>
            </w:r>
            <w:r>
              <w:rPr>
                <w:sz w:val="16"/>
                <w:szCs w:val="16"/>
              </w:rPr>
              <w:t xml:space="preserve">dores de recepción y registro, y </w:t>
            </w:r>
            <w:r w:rsidRPr="00526311">
              <w:rPr>
                <w:sz w:val="16"/>
                <w:szCs w:val="16"/>
              </w:rPr>
              <w:t>x) asiento especial amovible para personas con discapacidad, disponible en caso de emergencia, previa solicitud, en la planta en que se encuentran las cabinas de interpretación.</w:t>
            </w:r>
            <w:r w:rsidRPr="00526311">
              <w:rPr>
                <w:sz w:val="16"/>
                <w:szCs w:val="16"/>
              </w:rPr>
              <w:br/>
            </w:r>
          </w:p>
        </w:tc>
        <w:tc>
          <w:tcPr>
            <w:tcW w:w="713" w:type="pct"/>
            <w:gridSpan w:val="2"/>
            <w:tcBorders>
              <w:top w:val="nil"/>
              <w:bottom w:val="single" w:sz="4" w:space="0" w:color="auto"/>
              <w:right w:val="single" w:sz="4" w:space="0" w:color="auto"/>
            </w:tcBorders>
            <w:shd w:val="clear" w:color="auto" w:fill="auto"/>
            <w:tcMar>
              <w:top w:w="110" w:type="dxa"/>
            </w:tcMar>
          </w:tcPr>
          <w:p w:rsidR="00221F0B" w:rsidRPr="00526311" w:rsidRDefault="00221F0B" w:rsidP="00DC1333">
            <w:pPr>
              <w:keepNext/>
              <w:jc w:val="center"/>
              <w:rPr>
                <w:b/>
                <w:color w:val="A6A6A6" w:themeColor="background1" w:themeShade="A6"/>
                <w:sz w:val="16"/>
                <w:szCs w:val="16"/>
              </w:rPr>
            </w:pPr>
            <w:r w:rsidRPr="00526311">
              <w:rPr>
                <w:b/>
                <w:color w:val="A6A6A6" w:themeColor="background1" w:themeShade="A6"/>
                <w:sz w:val="16"/>
                <w:szCs w:val="16"/>
              </w:rPr>
              <w:t>No mensurable</w:t>
            </w:r>
          </w:p>
        </w:tc>
      </w:tr>
      <w:tr w:rsidR="00221F0B" w:rsidRPr="00526311" w:rsidTr="00DC1333">
        <w:trPr>
          <w:cantSplit/>
        </w:trPr>
        <w:tc>
          <w:tcPr>
            <w:tcW w:w="971" w:type="pct"/>
            <w:tcBorders>
              <w:top w:val="single" w:sz="4" w:space="0" w:color="auto"/>
              <w:left w:val="single" w:sz="4" w:space="0" w:color="auto"/>
              <w:bottom w:val="nil"/>
            </w:tcBorders>
            <w:shd w:val="clear" w:color="auto" w:fill="auto"/>
          </w:tcPr>
          <w:p w:rsidR="00221F0B" w:rsidRPr="00526311" w:rsidRDefault="00221F0B" w:rsidP="00DC1333">
            <w:pPr>
              <w:rPr>
                <w:sz w:val="16"/>
                <w:szCs w:val="16"/>
              </w:rPr>
            </w:pPr>
            <w:r w:rsidRPr="00526311">
              <w:rPr>
                <w:sz w:val="16"/>
                <w:szCs w:val="16"/>
              </w:rPr>
              <w:lastRenderedPageBreak/>
              <w:t>Supervisión de las medidas aplicadas durante el período de construcción con el fin de respetar el medio ambiente y reducir el consumo de energía</w:t>
            </w:r>
          </w:p>
        </w:tc>
        <w:tc>
          <w:tcPr>
            <w:tcW w:w="804" w:type="pct"/>
            <w:gridSpan w:val="2"/>
            <w:tcBorders>
              <w:top w:val="single" w:sz="4" w:space="0" w:color="auto"/>
              <w:bottom w:val="nil"/>
            </w:tcBorders>
            <w:shd w:val="clear" w:color="auto" w:fill="auto"/>
          </w:tcPr>
          <w:p w:rsidR="00221F0B" w:rsidRPr="00526311" w:rsidRDefault="00221F0B" w:rsidP="00DC1333">
            <w:pPr>
              <w:ind w:left="-108"/>
              <w:rPr>
                <w:color w:val="002060"/>
                <w:sz w:val="16"/>
                <w:szCs w:val="16"/>
              </w:rPr>
            </w:pPr>
            <w:r w:rsidRPr="00526311">
              <w:rPr>
                <w:i/>
                <w:iCs/>
                <w:color w:val="002060"/>
                <w:sz w:val="16"/>
                <w:szCs w:val="16"/>
              </w:rPr>
              <w:t>Referencia actualizada a fines de 2013</w:t>
            </w:r>
            <w:r w:rsidRPr="00526311">
              <w:rPr>
                <w:i/>
                <w:color w:val="002060"/>
                <w:sz w:val="16"/>
                <w:szCs w:val="16"/>
              </w:rPr>
              <w:t>:</w:t>
            </w:r>
            <w:r w:rsidRPr="00526311">
              <w:rPr>
                <w:color w:val="002060"/>
                <w:sz w:val="16"/>
                <w:szCs w:val="16"/>
              </w:rPr>
              <w:t xml:space="preserve"> </w:t>
            </w:r>
            <w:proofErr w:type="spellStart"/>
            <w:r w:rsidRPr="00526311">
              <w:rPr>
                <w:color w:val="002060"/>
                <w:sz w:val="16"/>
                <w:szCs w:val="16"/>
              </w:rPr>
              <w:t>n.d</w:t>
            </w:r>
            <w:proofErr w:type="spellEnd"/>
            <w:r w:rsidRPr="00526311">
              <w:rPr>
                <w:color w:val="002060"/>
                <w:sz w:val="16"/>
                <w:szCs w:val="16"/>
              </w:rPr>
              <w:t>.</w:t>
            </w:r>
          </w:p>
          <w:p w:rsidR="00221F0B" w:rsidRPr="00526311" w:rsidRDefault="00221F0B" w:rsidP="00DC1333">
            <w:pPr>
              <w:ind w:left="-108"/>
              <w:rPr>
                <w:color w:val="002060"/>
                <w:sz w:val="16"/>
                <w:szCs w:val="16"/>
              </w:rPr>
            </w:pPr>
          </w:p>
          <w:p w:rsidR="00221F0B" w:rsidRPr="00526311" w:rsidRDefault="00221F0B" w:rsidP="00DC1333">
            <w:pPr>
              <w:ind w:left="-108"/>
              <w:rPr>
                <w:sz w:val="16"/>
                <w:szCs w:val="16"/>
              </w:rPr>
            </w:pPr>
            <w:r w:rsidRPr="00526311">
              <w:rPr>
                <w:i/>
                <w:iCs/>
                <w:sz w:val="16"/>
                <w:szCs w:val="16"/>
              </w:rPr>
              <w:t xml:space="preserve">Referencia original en el </w:t>
            </w:r>
            <w:proofErr w:type="spellStart"/>
            <w:r w:rsidRPr="00526311">
              <w:rPr>
                <w:i/>
                <w:iCs/>
                <w:sz w:val="16"/>
                <w:szCs w:val="16"/>
              </w:rPr>
              <w:t>presup</w:t>
            </w:r>
            <w:proofErr w:type="spellEnd"/>
            <w:r w:rsidRPr="00526311">
              <w:rPr>
                <w:i/>
                <w:iCs/>
                <w:sz w:val="16"/>
                <w:szCs w:val="16"/>
              </w:rPr>
              <w:t>. de 2014/15</w:t>
            </w:r>
            <w:r w:rsidRPr="00526311">
              <w:rPr>
                <w:i/>
                <w:sz w:val="16"/>
                <w:szCs w:val="16"/>
              </w:rPr>
              <w:t>:  se establecerá a comienzos de 2014 cuando se haya hecho entrega de la nueva sala de conferencias</w:t>
            </w:r>
          </w:p>
        </w:tc>
        <w:tc>
          <w:tcPr>
            <w:tcW w:w="869" w:type="pct"/>
            <w:gridSpan w:val="2"/>
            <w:tcBorders>
              <w:top w:val="single" w:sz="4" w:space="0" w:color="auto"/>
              <w:bottom w:val="nil"/>
            </w:tcBorders>
            <w:shd w:val="clear" w:color="auto" w:fill="auto"/>
            <w:tcMar>
              <w:top w:w="110" w:type="dxa"/>
            </w:tcMar>
          </w:tcPr>
          <w:p w:rsidR="00221F0B" w:rsidRPr="00526311" w:rsidRDefault="00221F0B" w:rsidP="00DC1333">
            <w:pPr>
              <w:rPr>
                <w:sz w:val="16"/>
                <w:szCs w:val="16"/>
              </w:rPr>
            </w:pPr>
            <w:r w:rsidRPr="00526311">
              <w:rPr>
                <w:sz w:val="16"/>
                <w:szCs w:val="16"/>
              </w:rPr>
              <w:t>Se establecerá a comienzos de 2014 cuando se haya hecho entrega de la nueva sala de conferencias</w:t>
            </w:r>
          </w:p>
        </w:tc>
        <w:tc>
          <w:tcPr>
            <w:tcW w:w="1643" w:type="pct"/>
            <w:gridSpan w:val="2"/>
            <w:tcBorders>
              <w:top w:val="single" w:sz="4" w:space="0" w:color="auto"/>
              <w:bottom w:val="nil"/>
            </w:tcBorders>
            <w:shd w:val="clear" w:color="auto" w:fill="FFFFFF"/>
            <w:tcMar>
              <w:top w:w="110" w:type="dxa"/>
            </w:tcMar>
          </w:tcPr>
          <w:p w:rsidR="00221F0B" w:rsidRPr="00526311" w:rsidRDefault="00221F0B" w:rsidP="00DC1333">
            <w:pPr>
              <w:rPr>
                <w:sz w:val="16"/>
                <w:szCs w:val="16"/>
              </w:rPr>
            </w:pPr>
            <w:r w:rsidRPr="00526311">
              <w:rPr>
                <w:sz w:val="16"/>
                <w:szCs w:val="16"/>
              </w:rPr>
              <w:t>Las p</w:t>
            </w:r>
            <w:r>
              <w:rPr>
                <w:sz w:val="16"/>
                <w:szCs w:val="16"/>
              </w:rPr>
              <w:t xml:space="preserve">rincipales medidas respetuosas con </w:t>
            </w:r>
            <w:r w:rsidRPr="00526311">
              <w:rPr>
                <w:sz w:val="16"/>
                <w:szCs w:val="16"/>
              </w:rPr>
              <w:t>el medio ambiente aplicadas durante el periodo de construcción (hasta el final de las obras en agosto de 2014, en vez de comienzos de 2014) fueron, entre otras, las siguientes:  i) utilización de madera local para la estructura principal y los revestimientos interiores de madera (techos, suelos y paredes) de la nueva sala de conferencias de la OMPI;  ii) gas natural para la calefacción;  iii) sistema de refrigeración que aprovecha el agua fría del lago de Ginebra;  iv) reducción del consumo de luz artificial mediante el uso generalizado de la tecnología LED (en todas las zonas cubiertas por el proyecto) y luz natural gracias a los grandes ventanales y las numerosas claraboyas (en la nueva sala de conferencias de la OMPI);  v) máximo aprovechamiento del aire del exterior gracias a un sistema de ventilación combinado;  vi) cubierta vegetal de la techumbre del Centro de Acceso, que aumenta la capacidad de enfriamiento y de escurrimiento de las aguas de lluvia;  vii) iluminación activada por detectores de presencia fuera del horario de oficina</w:t>
            </w:r>
          </w:p>
        </w:tc>
        <w:tc>
          <w:tcPr>
            <w:tcW w:w="713" w:type="pct"/>
            <w:gridSpan w:val="2"/>
            <w:tcBorders>
              <w:top w:val="single" w:sz="4" w:space="0" w:color="auto"/>
              <w:bottom w:val="nil"/>
              <w:right w:val="single" w:sz="4" w:space="0" w:color="auto"/>
            </w:tcBorders>
            <w:shd w:val="clear" w:color="auto" w:fill="auto"/>
            <w:tcMar>
              <w:top w:w="110" w:type="dxa"/>
            </w:tcMar>
          </w:tcPr>
          <w:p w:rsidR="00221F0B" w:rsidRPr="00526311" w:rsidRDefault="00221F0B" w:rsidP="00DC1333">
            <w:pPr>
              <w:jc w:val="center"/>
              <w:rPr>
                <w:rStyle w:val="Style5"/>
                <w:color w:val="002060"/>
                <w:sz w:val="16"/>
                <w:szCs w:val="16"/>
              </w:rPr>
            </w:pPr>
            <w:r w:rsidRPr="00526311">
              <w:rPr>
                <w:b/>
                <w:color w:val="A6A6A6" w:themeColor="background1" w:themeShade="A6"/>
                <w:sz w:val="16"/>
                <w:szCs w:val="16"/>
              </w:rPr>
              <w:t>No mensurable</w:t>
            </w:r>
          </w:p>
        </w:tc>
      </w:tr>
      <w:tr w:rsidR="00221F0B" w:rsidRPr="00526311" w:rsidTr="00DC1333">
        <w:trPr>
          <w:cantSplit/>
        </w:trPr>
        <w:tc>
          <w:tcPr>
            <w:tcW w:w="971" w:type="pct"/>
            <w:tcBorders>
              <w:top w:val="nil"/>
              <w:left w:val="single" w:sz="4" w:space="0" w:color="auto"/>
              <w:bottom w:val="single" w:sz="4" w:space="0" w:color="auto"/>
            </w:tcBorders>
            <w:shd w:val="clear" w:color="auto" w:fill="auto"/>
          </w:tcPr>
          <w:p w:rsidR="00221F0B" w:rsidRPr="00526311" w:rsidRDefault="00221F0B" w:rsidP="00DC1333">
            <w:pPr>
              <w:rPr>
                <w:sz w:val="16"/>
                <w:szCs w:val="16"/>
              </w:rPr>
            </w:pPr>
            <w:r w:rsidRPr="00526311">
              <w:rPr>
                <w:sz w:val="16"/>
                <w:szCs w:val="16"/>
              </w:rPr>
              <w:t xml:space="preserve">Finalización de la aplicación de las medidas de seguridad del perímetro de la nueva sala de conferencias con arreglo a las normas mínimas operativas de seguridad para las sedes de </w:t>
            </w:r>
            <w:r>
              <w:rPr>
                <w:sz w:val="16"/>
                <w:szCs w:val="16"/>
              </w:rPr>
              <w:t>las Naciones Unidas</w:t>
            </w:r>
          </w:p>
        </w:tc>
        <w:tc>
          <w:tcPr>
            <w:tcW w:w="804" w:type="pct"/>
            <w:gridSpan w:val="2"/>
            <w:tcBorders>
              <w:top w:val="nil"/>
              <w:bottom w:val="single" w:sz="4" w:space="0" w:color="auto"/>
            </w:tcBorders>
            <w:shd w:val="clear" w:color="auto" w:fill="auto"/>
          </w:tcPr>
          <w:p w:rsidR="00221F0B" w:rsidRPr="00526311" w:rsidRDefault="00221F0B" w:rsidP="00DC1333">
            <w:pPr>
              <w:rPr>
                <w:i/>
                <w:sz w:val="16"/>
                <w:szCs w:val="16"/>
              </w:rPr>
            </w:pPr>
            <w:proofErr w:type="spellStart"/>
            <w:r w:rsidRPr="00526311">
              <w:rPr>
                <w:i/>
                <w:sz w:val="16"/>
                <w:szCs w:val="16"/>
              </w:rPr>
              <w:t>n.d</w:t>
            </w:r>
            <w:proofErr w:type="spellEnd"/>
            <w:r w:rsidRPr="00526311">
              <w:rPr>
                <w:i/>
                <w:sz w:val="16"/>
                <w:szCs w:val="16"/>
              </w:rPr>
              <w:t>.</w:t>
            </w:r>
          </w:p>
        </w:tc>
        <w:tc>
          <w:tcPr>
            <w:tcW w:w="869" w:type="pct"/>
            <w:gridSpan w:val="2"/>
            <w:tcBorders>
              <w:top w:val="nil"/>
              <w:bottom w:val="single" w:sz="4" w:space="0" w:color="auto"/>
            </w:tcBorders>
            <w:shd w:val="clear" w:color="auto" w:fill="auto"/>
            <w:tcMar>
              <w:top w:w="110" w:type="dxa"/>
            </w:tcMar>
          </w:tcPr>
          <w:p w:rsidR="00221F0B" w:rsidRPr="00526311" w:rsidRDefault="00221F0B" w:rsidP="00DC1333">
            <w:pPr>
              <w:rPr>
                <w:sz w:val="16"/>
                <w:szCs w:val="16"/>
              </w:rPr>
            </w:pPr>
            <w:r w:rsidRPr="00526311">
              <w:rPr>
                <w:sz w:val="16"/>
                <w:szCs w:val="16"/>
              </w:rPr>
              <w:t xml:space="preserve">Finalización de la aplicación de las medidas de seguridad del perímetro con arreglo a las normas mínimas operativas de seguridad para las sedes de </w:t>
            </w:r>
            <w:r>
              <w:rPr>
                <w:sz w:val="16"/>
                <w:szCs w:val="16"/>
              </w:rPr>
              <w:t>las Naciones Unidas</w:t>
            </w:r>
            <w:r w:rsidRPr="00526311">
              <w:rPr>
                <w:sz w:val="16"/>
                <w:szCs w:val="16"/>
              </w:rPr>
              <w:t xml:space="preserve"> para finales de 2015</w:t>
            </w:r>
          </w:p>
        </w:tc>
        <w:tc>
          <w:tcPr>
            <w:tcW w:w="1643" w:type="pct"/>
            <w:gridSpan w:val="2"/>
            <w:tcBorders>
              <w:top w:val="nil"/>
              <w:bottom w:val="single" w:sz="4" w:space="0" w:color="auto"/>
            </w:tcBorders>
            <w:shd w:val="clear" w:color="auto" w:fill="FFFFFF"/>
            <w:tcMar>
              <w:top w:w="110" w:type="dxa"/>
            </w:tcMar>
          </w:tcPr>
          <w:p w:rsidR="00221F0B" w:rsidRPr="00526311" w:rsidRDefault="00221F0B" w:rsidP="00DC1333">
            <w:pPr>
              <w:rPr>
                <w:sz w:val="16"/>
                <w:szCs w:val="16"/>
              </w:rPr>
            </w:pPr>
            <w:r w:rsidRPr="00526311">
              <w:rPr>
                <w:sz w:val="16"/>
                <w:szCs w:val="16"/>
              </w:rPr>
              <w:t xml:space="preserve">El perímetro de seguridad frente a la nueva sala de conferencias de la OMPI del lado del edificio AB y el muro </w:t>
            </w:r>
            <w:proofErr w:type="spellStart"/>
            <w:r w:rsidRPr="00526311">
              <w:rPr>
                <w:sz w:val="16"/>
                <w:szCs w:val="16"/>
              </w:rPr>
              <w:t>antiexplosión</w:t>
            </w:r>
            <w:proofErr w:type="spellEnd"/>
            <w:r w:rsidRPr="00526311">
              <w:rPr>
                <w:sz w:val="16"/>
                <w:szCs w:val="16"/>
              </w:rPr>
              <w:t xml:space="preserve"> del lado de la </w:t>
            </w:r>
            <w:proofErr w:type="spellStart"/>
            <w:r w:rsidRPr="00526311">
              <w:rPr>
                <w:sz w:val="16"/>
                <w:szCs w:val="16"/>
              </w:rPr>
              <w:t>Route</w:t>
            </w:r>
            <w:proofErr w:type="spellEnd"/>
            <w:r w:rsidRPr="00526311">
              <w:rPr>
                <w:sz w:val="16"/>
                <w:szCs w:val="16"/>
              </w:rPr>
              <w:t xml:space="preserve"> de Ferney se finalizaron en agosto de 2014. </w:t>
            </w:r>
            <w:r>
              <w:rPr>
                <w:sz w:val="16"/>
                <w:szCs w:val="16"/>
              </w:rPr>
              <w:t xml:space="preserve"> Todas las demás medidas de seguridad necesarias para ultimar el proyecto se terminaron de adoptar a finales de 2015.</w:t>
            </w:r>
          </w:p>
        </w:tc>
        <w:tc>
          <w:tcPr>
            <w:tcW w:w="713" w:type="pct"/>
            <w:gridSpan w:val="2"/>
            <w:tcBorders>
              <w:top w:val="nil"/>
              <w:bottom w:val="single" w:sz="4" w:space="0" w:color="auto"/>
              <w:right w:val="single" w:sz="4" w:space="0" w:color="auto"/>
            </w:tcBorders>
            <w:shd w:val="clear" w:color="auto" w:fill="auto"/>
            <w:tcMar>
              <w:top w:w="110" w:type="dxa"/>
            </w:tcMar>
          </w:tcPr>
          <w:p w:rsidR="00221F0B" w:rsidRPr="00526311" w:rsidRDefault="00221F0B" w:rsidP="00DC1333">
            <w:pPr>
              <w:ind w:left="-109"/>
              <w:jc w:val="center"/>
              <w:rPr>
                <w:b/>
                <w:bCs/>
                <w:color w:val="00B050"/>
                <w:sz w:val="16"/>
                <w:szCs w:val="16"/>
              </w:rPr>
            </w:pPr>
            <w:r>
              <w:rPr>
                <w:b/>
                <w:color w:val="00B050"/>
                <w:sz w:val="16"/>
                <w:szCs w:val="16"/>
              </w:rPr>
              <w:t>Plenamente logrado</w:t>
            </w:r>
          </w:p>
        </w:tc>
      </w:tr>
    </w:tbl>
    <w:p w:rsidR="00221F0B" w:rsidRDefault="00221F0B" w:rsidP="00DC1333">
      <w:pPr>
        <w:rPr>
          <w:color w:val="000000"/>
          <w:sz w:val="20"/>
        </w:rPr>
      </w:pPr>
    </w:p>
    <w:p w:rsidR="00221F0B" w:rsidRPr="00526311" w:rsidRDefault="00221F0B" w:rsidP="00DC1333">
      <w:pPr>
        <w:rPr>
          <w:color w:val="000000"/>
          <w:sz w:val="20"/>
        </w:rPr>
      </w:pPr>
    </w:p>
    <w:p w:rsidR="00221F0B" w:rsidRPr="000C6C48" w:rsidRDefault="008F7CBE" w:rsidP="00DC1333">
      <w:pPr>
        <w:rPr>
          <w:color w:val="000000"/>
          <w:szCs w:val="22"/>
        </w:rPr>
      </w:pPr>
      <w:r w:rsidRPr="008F7CBE">
        <w:rPr>
          <w:color w:val="000000"/>
          <w:sz w:val="20"/>
          <w:szCs w:val="22"/>
        </w:rPr>
        <w:t>INFORMACIÓN SOBRE LOS RIESGOS PLANTEADOS EN EL BIENIO</w:t>
      </w:r>
    </w:p>
    <w:p w:rsidR="00221F0B" w:rsidRDefault="00221F0B" w:rsidP="00DC1333">
      <w:pPr>
        <w:keepNext/>
        <w:keepLines/>
      </w:pPr>
    </w:p>
    <w:tbl>
      <w:tblPr>
        <w:tblW w:w="10065" w:type="dxa"/>
        <w:tblInd w:w="-34"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392"/>
        <w:gridCol w:w="2370"/>
        <w:gridCol w:w="2610"/>
        <w:gridCol w:w="2693"/>
      </w:tblGrid>
      <w:tr w:rsidR="00221F0B" w:rsidRPr="00B05276" w:rsidTr="00DC1333">
        <w:trPr>
          <w:trHeight w:val="448"/>
        </w:trPr>
        <w:tc>
          <w:tcPr>
            <w:tcW w:w="2392" w:type="dxa"/>
            <w:tcBorders>
              <w:top w:val="single" w:sz="4" w:space="0" w:color="auto"/>
              <w:bottom w:val="single" w:sz="4" w:space="0" w:color="auto"/>
            </w:tcBorders>
            <w:shd w:val="clear" w:color="auto" w:fill="C6D9F1" w:themeFill="text2" w:themeFillTint="33"/>
            <w:tcMar>
              <w:top w:w="113" w:type="dxa"/>
              <w:bottom w:w="85" w:type="dxa"/>
            </w:tcMar>
            <w:vAlign w:val="center"/>
          </w:tcPr>
          <w:p w:rsidR="00221F0B" w:rsidRPr="0025637A" w:rsidRDefault="00221F0B" w:rsidP="00DC1333">
            <w:pPr>
              <w:autoSpaceDE w:val="0"/>
              <w:autoSpaceDN w:val="0"/>
              <w:adjustRightInd w:val="0"/>
              <w:ind w:right="-59"/>
              <w:jc w:val="center"/>
              <w:rPr>
                <w:b/>
                <w:sz w:val="18"/>
                <w:szCs w:val="18"/>
              </w:rPr>
            </w:pPr>
            <w:r w:rsidRPr="00D10B62">
              <w:rPr>
                <w:b/>
                <w:bCs/>
                <w:iCs/>
                <w:sz w:val="18"/>
                <w:szCs w:val="18"/>
              </w:rPr>
              <w:t>Riesgos en el logro de los resultados del programa</w:t>
            </w:r>
          </w:p>
        </w:tc>
        <w:tc>
          <w:tcPr>
            <w:tcW w:w="2370" w:type="dxa"/>
            <w:tcBorders>
              <w:top w:val="single" w:sz="4" w:space="0" w:color="auto"/>
              <w:bottom w:val="single" w:sz="4" w:space="0" w:color="auto"/>
            </w:tcBorders>
            <w:shd w:val="clear" w:color="auto" w:fill="C6D9F1" w:themeFill="text2" w:themeFillTint="33"/>
            <w:tcMar>
              <w:top w:w="113" w:type="dxa"/>
              <w:bottom w:w="85" w:type="dxa"/>
            </w:tcMar>
            <w:vAlign w:val="center"/>
          </w:tcPr>
          <w:p w:rsidR="00221F0B" w:rsidRPr="00B05276" w:rsidRDefault="00221F0B" w:rsidP="00DC1333">
            <w:pPr>
              <w:autoSpaceDE w:val="0"/>
              <w:autoSpaceDN w:val="0"/>
              <w:adjustRightInd w:val="0"/>
              <w:ind w:right="-59"/>
              <w:jc w:val="center"/>
              <w:rPr>
                <w:b/>
                <w:sz w:val="18"/>
                <w:szCs w:val="18"/>
              </w:rPr>
            </w:pPr>
            <w:r w:rsidRPr="00D10B62">
              <w:rPr>
                <w:b/>
                <w:bCs/>
                <w:iCs/>
                <w:sz w:val="18"/>
                <w:szCs w:val="18"/>
              </w:rPr>
              <w:t>Planes de mitigación ejecutados o en ejecución</w:t>
            </w:r>
            <w:r w:rsidRPr="00B05276">
              <w:rPr>
                <w:b/>
                <w:sz w:val="18"/>
                <w:szCs w:val="18"/>
              </w:rPr>
              <w:t xml:space="preserve"> </w:t>
            </w:r>
          </w:p>
        </w:tc>
        <w:tc>
          <w:tcPr>
            <w:tcW w:w="2610" w:type="dxa"/>
            <w:tcBorders>
              <w:top w:val="single" w:sz="4" w:space="0" w:color="auto"/>
              <w:bottom w:val="single" w:sz="4" w:space="0" w:color="auto"/>
            </w:tcBorders>
            <w:shd w:val="clear" w:color="auto" w:fill="C6D9F1" w:themeFill="text2" w:themeFillTint="33"/>
          </w:tcPr>
          <w:p w:rsidR="00221F0B" w:rsidRPr="00B05276" w:rsidRDefault="00221F0B" w:rsidP="00DC1333">
            <w:pPr>
              <w:jc w:val="center"/>
              <w:rPr>
                <w:b/>
                <w:bCs/>
                <w:sz w:val="18"/>
                <w:szCs w:val="18"/>
              </w:rPr>
            </w:pPr>
            <w:r w:rsidRPr="00D10B62">
              <w:rPr>
                <w:b/>
                <w:bCs/>
                <w:iCs/>
                <w:sz w:val="18"/>
                <w:szCs w:val="18"/>
              </w:rPr>
              <w:t>Evolución de los riesgos y estrategias de mitigación durante el bienio</w:t>
            </w:r>
          </w:p>
        </w:tc>
        <w:tc>
          <w:tcPr>
            <w:tcW w:w="2693" w:type="dxa"/>
            <w:tcBorders>
              <w:top w:val="single" w:sz="4" w:space="0" w:color="auto"/>
              <w:bottom w:val="single" w:sz="4" w:space="0" w:color="auto"/>
            </w:tcBorders>
            <w:shd w:val="clear" w:color="auto" w:fill="C6D9F1" w:themeFill="text2" w:themeFillTint="33"/>
          </w:tcPr>
          <w:p w:rsidR="00221F0B" w:rsidRPr="00B05276" w:rsidRDefault="00221F0B" w:rsidP="00DC1333">
            <w:pPr>
              <w:jc w:val="center"/>
              <w:rPr>
                <w:b/>
                <w:bCs/>
                <w:sz w:val="18"/>
                <w:szCs w:val="18"/>
              </w:rPr>
            </w:pPr>
            <w:r w:rsidRPr="004520ED">
              <w:rPr>
                <w:b/>
                <w:bCs/>
                <w:sz w:val="18"/>
                <w:szCs w:val="18"/>
              </w:rPr>
              <w:t>Incidencia en el rendimiento del programa</w:t>
            </w:r>
          </w:p>
        </w:tc>
      </w:tr>
      <w:tr w:rsidR="00221F0B" w:rsidRPr="0004578F" w:rsidTr="00DC1333">
        <w:trPr>
          <w:trHeight w:val="957"/>
        </w:trPr>
        <w:tc>
          <w:tcPr>
            <w:tcW w:w="2392" w:type="dxa"/>
            <w:tcBorders>
              <w:top w:val="single" w:sz="4" w:space="0" w:color="auto"/>
            </w:tcBorders>
            <w:shd w:val="clear" w:color="auto" w:fill="auto"/>
            <w:tcMar>
              <w:top w:w="113" w:type="dxa"/>
              <w:bottom w:w="85" w:type="dxa"/>
            </w:tcMar>
          </w:tcPr>
          <w:p w:rsidR="00221F0B" w:rsidRPr="00223A23" w:rsidRDefault="00221F0B" w:rsidP="00DC1333">
            <w:pPr>
              <w:autoSpaceDE w:val="0"/>
              <w:autoSpaceDN w:val="0"/>
              <w:adjustRightInd w:val="0"/>
              <w:ind w:right="-59"/>
              <w:rPr>
                <w:sz w:val="16"/>
                <w:szCs w:val="16"/>
              </w:rPr>
            </w:pPr>
            <w:r w:rsidRPr="00223A23">
              <w:rPr>
                <w:sz w:val="16"/>
                <w:szCs w:val="16"/>
              </w:rPr>
              <w:t>Importantes fallos arquitectónicos o de construcción descubiertos durante el período de construcción restante, o posteriormente, impiden o retrasan el uso de la nueva sala de conferencias.</w:t>
            </w:r>
          </w:p>
        </w:tc>
        <w:tc>
          <w:tcPr>
            <w:tcW w:w="2370" w:type="dxa"/>
            <w:tcBorders>
              <w:top w:val="single" w:sz="4" w:space="0" w:color="auto"/>
            </w:tcBorders>
            <w:shd w:val="clear" w:color="auto" w:fill="auto"/>
            <w:tcMar>
              <w:top w:w="113" w:type="dxa"/>
              <w:bottom w:w="85" w:type="dxa"/>
            </w:tcMar>
          </w:tcPr>
          <w:p w:rsidR="00221F0B" w:rsidRPr="00223A23" w:rsidRDefault="00221F0B" w:rsidP="00DC1333">
            <w:pPr>
              <w:autoSpaceDE w:val="0"/>
              <w:autoSpaceDN w:val="0"/>
              <w:adjustRightInd w:val="0"/>
              <w:ind w:right="-59"/>
              <w:rPr>
                <w:sz w:val="16"/>
                <w:szCs w:val="16"/>
              </w:rPr>
            </w:pPr>
            <w:r w:rsidRPr="00223A23">
              <w:rPr>
                <w:sz w:val="16"/>
                <w:szCs w:val="16"/>
              </w:rPr>
              <w:t xml:space="preserve">Se han seleccionado arquitectos </w:t>
            </w:r>
            <w:r>
              <w:rPr>
                <w:sz w:val="16"/>
                <w:szCs w:val="16"/>
              </w:rPr>
              <w:t>y contratistas de alta calidad.  El consorcio</w:t>
            </w:r>
            <w:r w:rsidRPr="00223A23">
              <w:rPr>
                <w:sz w:val="16"/>
                <w:szCs w:val="16"/>
              </w:rPr>
              <w:t xml:space="preserve"> de empresas de la madera</w:t>
            </w:r>
            <w:r>
              <w:rPr>
                <w:sz w:val="16"/>
                <w:szCs w:val="16"/>
              </w:rPr>
              <w:t>,</w:t>
            </w:r>
            <w:r w:rsidRPr="00223A23">
              <w:rPr>
                <w:sz w:val="16"/>
                <w:szCs w:val="16"/>
              </w:rPr>
              <w:t xml:space="preserve"> que cuenta con sus propios ingenieros</w:t>
            </w:r>
            <w:r>
              <w:rPr>
                <w:sz w:val="16"/>
                <w:szCs w:val="16"/>
              </w:rPr>
              <w:t>,</w:t>
            </w:r>
            <w:r w:rsidRPr="00223A23">
              <w:rPr>
                <w:sz w:val="16"/>
                <w:szCs w:val="16"/>
              </w:rPr>
              <w:t xml:space="preserve"> está compuesto por empresas locales altamente</w:t>
            </w:r>
            <w:r>
              <w:rPr>
                <w:sz w:val="16"/>
                <w:szCs w:val="16"/>
              </w:rPr>
              <w:t xml:space="preserve"> cualificadas y experimentadas.  </w:t>
            </w:r>
            <w:r w:rsidRPr="00223A23">
              <w:rPr>
                <w:sz w:val="16"/>
                <w:szCs w:val="16"/>
              </w:rPr>
              <w:t>El jefe de obra ejerce una estrecha supervisión sobre la ejecución del proyecto a intervalos ajustados.</w:t>
            </w:r>
          </w:p>
        </w:tc>
        <w:tc>
          <w:tcPr>
            <w:tcW w:w="2610" w:type="dxa"/>
            <w:tcBorders>
              <w:top w:val="single" w:sz="4" w:space="0" w:color="auto"/>
            </w:tcBorders>
          </w:tcPr>
          <w:p w:rsidR="00221F0B" w:rsidRPr="0004578F" w:rsidRDefault="00221F0B" w:rsidP="00DC1333">
            <w:pPr>
              <w:autoSpaceDE w:val="0"/>
              <w:autoSpaceDN w:val="0"/>
              <w:adjustRightInd w:val="0"/>
              <w:ind w:right="-59"/>
              <w:rPr>
                <w:sz w:val="16"/>
                <w:szCs w:val="16"/>
              </w:rPr>
            </w:pPr>
            <w:r w:rsidRPr="0004578F">
              <w:rPr>
                <w:sz w:val="16"/>
                <w:szCs w:val="16"/>
              </w:rPr>
              <w:t xml:space="preserve">El riesgo </w:t>
            </w:r>
            <w:r>
              <w:rPr>
                <w:sz w:val="16"/>
                <w:szCs w:val="16"/>
              </w:rPr>
              <w:t>cesó</w:t>
            </w:r>
            <w:r w:rsidRPr="0004578F">
              <w:rPr>
                <w:sz w:val="16"/>
                <w:szCs w:val="16"/>
              </w:rPr>
              <w:t xml:space="preserve"> al final del bienio, ya que la nueva sala de conferencias de la OMPI comenzó a utilizarse plenamente a partir de septiembre de 2014 para reuniones de la OMPI, incluidas las Asambleas de 2014 y 2015, y muchas otras reunion</w:t>
            </w:r>
            <w:r>
              <w:rPr>
                <w:sz w:val="16"/>
                <w:szCs w:val="16"/>
              </w:rPr>
              <w:t>e</w:t>
            </w:r>
            <w:r w:rsidRPr="0004578F">
              <w:rPr>
                <w:sz w:val="16"/>
                <w:szCs w:val="16"/>
              </w:rPr>
              <w:t xml:space="preserve">s y actos </w:t>
            </w:r>
            <w:r>
              <w:rPr>
                <w:sz w:val="16"/>
                <w:szCs w:val="16"/>
              </w:rPr>
              <w:t>celebrados a lo largo del resto del bienio.</w:t>
            </w:r>
          </w:p>
        </w:tc>
        <w:tc>
          <w:tcPr>
            <w:tcW w:w="2693" w:type="dxa"/>
            <w:tcBorders>
              <w:top w:val="single" w:sz="4" w:space="0" w:color="auto"/>
            </w:tcBorders>
          </w:tcPr>
          <w:p w:rsidR="00221F0B" w:rsidRPr="0004578F" w:rsidRDefault="00221F0B" w:rsidP="00DC1333">
            <w:pPr>
              <w:autoSpaceDE w:val="0"/>
              <w:autoSpaceDN w:val="0"/>
              <w:adjustRightInd w:val="0"/>
              <w:ind w:right="-59"/>
              <w:rPr>
                <w:sz w:val="16"/>
                <w:szCs w:val="16"/>
              </w:rPr>
            </w:pPr>
            <w:r w:rsidRPr="0004578F">
              <w:rPr>
                <w:sz w:val="16"/>
                <w:szCs w:val="16"/>
              </w:rPr>
              <w:t>Este riesgo y su evolución no incidieron sustancialmente en</w:t>
            </w:r>
            <w:r>
              <w:rPr>
                <w:sz w:val="16"/>
                <w:szCs w:val="16"/>
              </w:rPr>
              <w:t xml:space="preserve"> el rendimiento del programa en </w:t>
            </w:r>
            <w:r w:rsidRPr="0004578F">
              <w:rPr>
                <w:sz w:val="16"/>
                <w:szCs w:val="16"/>
              </w:rPr>
              <w:t>2014/15.</w:t>
            </w:r>
          </w:p>
          <w:p w:rsidR="00221F0B" w:rsidRPr="0004578F" w:rsidRDefault="00221F0B" w:rsidP="00DC1333">
            <w:pPr>
              <w:autoSpaceDE w:val="0"/>
              <w:autoSpaceDN w:val="0"/>
              <w:adjustRightInd w:val="0"/>
              <w:ind w:right="-59"/>
              <w:rPr>
                <w:sz w:val="16"/>
                <w:szCs w:val="16"/>
              </w:rPr>
            </w:pPr>
          </w:p>
        </w:tc>
      </w:tr>
    </w:tbl>
    <w:p w:rsidR="00221F0B" w:rsidRDefault="00221F0B" w:rsidP="00DC1333">
      <w:pPr>
        <w:keepNext/>
        <w:rPr>
          <w:color w:val="000000"/>
          <w:sz w:val="20"/>
        </w:rPr>
      </w:pPr>
    </w:p>
    <w:p w:rsidR="00221F0B" w:rsidRPr="0004578F" w:rsidRDefault="00221F0B" w:rsidP="00DC1333">
      <w:pPr>
        <w:keepNext/>
        <w:rPr>
          <w:color w:val="000000"/>
          <w:sz w:val="20"/>
        </w:rPr>
      </w:pPr>
    </w:p>
    <w:p w:rsidR="00221F0B" w:rsidRPr="00526311" w:rsidRDefault="00403D2C" w:rsidP="00DC1333">
      <w:pPr>
        <w:keepNext/>
        <w:rPr>
          <w:b/>
        </w:rPr>
      </w:pPr>
      <w:r w:rsidRPr="00403D2C">
        <w:rPr>
          <w:sz w:val="20"/>
          <w:szCs w:val="22"/>
        </w:rPr>
        <w:t>UTILIZACIÓN DE LOS RECURSOS</w:t>
      </w:r>
    </w:p>
    <w:p w:rsidR="00221F0B" w:rsidRPr="00526311" w:rsidRDefault="00221F0B" w:rsidP="00DC1333">
      <w:pPr>
        <w:keepNext/>
        <w:rPr>
          <w:sz w:val="20"/>
        </w:rPr>
      </w:pPr>
    </w:p>
    <w:p w:rsidR="00221F0B" w:rsidRPr="00526311" w:rsidRDefault="00221F0B" w:rsidP="00DC1333">
      <w:pPr>
        <w:pStyle w:val="NormalWeb"/>
        <w:keepNext/>
        <w:spacing w:before="0" w:beforeAutospacing="0" w:after="0" w:afterAutospacing="0"/>
        <w:jc w:val="center"/>
        <w:rPr>
          <w:sz w:val="20"/>
          <w:szCs w:val="20"/>
          <w:lang w:val="es-ES"/>
        </w:rPr>
      </w:pPr>
      <w:r w:rsidRPr="00526311">
        <w:rPr>
          <w:sz w:val="20"/>
          <w:szCs w:val="20"/>
          <w:lang w:val="es-ES"/>
        </w:rPr>
        <w:t xml:space="preserve">Presupuesto y gastos reales (por resultado) </w:t>
      </w:r>
    </w:p>
    <w:p w:rsidR="00221F0B" w:rsidRPr="00526311" w:rsidRDefault="00221F0B" w:rsidP="00DC1333">
      <w:pPr>
        <w:pStyle w:val="NormalWeb"/>
        <w:keepNext/>
        <w:spacing w:before="0" w:beforeAutospacing="0" w:after="0" w:afterAutospacing="0"/>
        <w:jc w:val="center"/>
        <w:rPr>
          <w:i/>
          <w:iCs/>
          <w:sz w:val="20"/>
          <w:szCs w:val="20"/>
          <w:lang w:val="es-ES"/>
        </w:rPr>
      </w:pPr>
      <w:r w:rsidRPr="00526311">
        <w:rPr>
          <w:i/>
          <w:iCs/>
          <w:sz w:val="20"/>
          <w:szCs w:val="20"/>
          <w:lang w:val="es-ES"/>
        </w:rPr>
        <w:t>(</w:t>
      </w:r>
      <w:proofErr w:type="gramStart"/>
      <w:r w:rsidRPr="00526311">
        <w:rPr>
          <w:i/>
          <w:iCs/>
          <w:sz w:val="20"/>
          <w:szCs w:val="20"/>
          <w:lang w:val="es-ES"/>
        </w:rPr>
        <w:t>en</w:t>
      </w:r>
      <w:proofErr w:type="gramEnd"/>
      <w:r w:rsidRPr="00526311">
        <w:rPr>
          <w:i/>
          <w:iCs/>
          <w:sz w:val="20"/>
          <w:szCs w:val="20"/>
          <w:lang w:val="es-ES"/>
        </w:rPr>
        <w:t xml:space="preserve"> miles de francos suizos)</w:t>
      </w:r>
    </w:p>
    <w:p w:rsidR="00221F0B" w:rsidRPr="00526311" w:rsidRDefault="00221F0B" w:rsidP="00DC1333">
      <w:pPr>
        <w:pStyle w:val="NormalWeb"/>
        <w:keepNext/>
        <w:spacing w:before="0" w:beforeAutospacing="0" w:after="0" w:afterAutospacing="0"/>
        <w:jc w:val="center"/>
        <w:rPr>
          <w:sz w:val="20"/>
          <w:szCs w:val="20"/>
          <w:lang w:val="es-ES"/>
        </w:rPr>
      </w:pPr>
    </w:p>
    <w:p w:rsidR="00221F0B" w:rsidRPr="00526311" w:rsidRDefault="00221F0B" w:rsidP="00DC1333">
      <w:pPr>
        <w:keepNext/>
        <w:jc w:val="center"/>
      </w:pPr>
      <w:bookmarkStart w:id="211" w:name="Bm29"/>
      <w:bookmarkStart w:id="212" w:name="Punto29"/>
      <w:r>
        <w:rPr>
          <w:noProof/>
          <w:lang w:val="en-US" w:eastAsia="en-US"/>
        </w:rPr>
        <w:drawing>
          <wp:inline distT="0" distB="0" distL="0" distR="0" wp14:anchorId="21E163E3" wp14:editId="5EC1C472">
            <wp:extent cx="5677535" cy="1892300"/>
            <wp:effectExtent l="0" t="0" r="0" b="0"/>
            <wp:docPr id="820" name="Picture 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5677535" cy="1892300"/>
                    </a:xfrm>
                    <a:prstGeom prst="rect">
                      <a:avLst/>
                    </a:prstGeom>
                    <a:noFill/>
                    <a:ln>
                      <a:noFill/>
                    </a:ln>
                  </pic:spPr>
                </pic:pic>
              </a:graphicData>
            </a:graphic>
          </wp:inline>
        </w:drawing>
      </w:r>
      <w:bookmarkEnd w:id="211"/>
      <w:bookmarkEnd w:id="212"/>
    </w:p>
    <w:p w:rsidR="00221F0B" w:rsidRDefault="00221F0B" w:rsidP="00DC1333">
      <w:pPr>
        <w:rPr>
          <w:sz w:val="20"/>
        </w:rPr>
      </w:pPr>
    </w:p>
    <w:p w:rsidR="00221F0B" w:rsidRPr="00E71B6D" w:rsidRDefault="00221F0B" w:rsidP="00DC1333">
      <w:pPr>
        <w:rPr>
          <w:sz w:val="20"/>
        </w:rPr>
      </w:pPr>
    </w:p>
    <w:p w:rsidR="00221F0B" w:rsidRPr="00526311" w:rsidRDefault="00221F0B" w:rsidP="00DC1333">
      <w:pPr>
        <w:pStyle w:val="NormalWeb"/>
        <w:spacing w:before="0" w:beforeAutospacing="0" w:after="0" w:afterAutospacing="0"/>
        <w:jc w:val="center"/>
        <w:rPr>
          <w:sz w:val="20"/>
          <w:szCs w:val="20"/>
          <w:lang w:val="es-ES"/>
        </w:rPr>
      </w:pPr>
      <w:r w:rsidRPr="00526311">
        <w:rPr>
          <w:sz w:val="20"/>
          <w:szCs w:val="20"/>
          <w:lang w:val="es-ES"/>
        </w:rPr>
        <w:t xml:space="preserve">Presupuesto y gastos reales (de personal y no relativos a personal) </w:t>
      </w:r>
    </w:p>
    <w:p w:rsidR="00221F0B" w:rsidRPr="00526311" w:rsidRDefault="00221F0B" w:rsidP="00DC1333">
      <w:pPr>
        <w:pStyle w:val="NormalWeb"/>
        <w:spacing w:before="0" w:beforeAutospacing="0" w:after="0" w:afterAutospacing="0"/>
        <w:jc w:val="center"/>
        <w:rPr>
          <w:i/>
          <w:iCs/>
          <w:sz w:val="20"/>
          <w:szCs w:val="20"/>
          <w:lang w:val="es-ES"/>
        </w:rPr>
      </w:pPr>
      <w:r w:rsidRPr="00526311">
        <w:rPr>
          <w:i/>
          <w:iCs/>
          <w:sz w:val="20"/>
          <w:szCs w:val="20"/>
          <w:lang w:val="es-ES"/>
        </w:rPr>
        <w:t>(</w:t>
      </w:r>
      <w:proofErr w:type="gramStart"/>
      <w:r w:rsidRPr="00526311">
        <w:rPr>
          <w:i/>
          <w:iCs/>
          <w:sz w:val="20"/>
          <w:szCs w:val="20"/>
          <w:lang w:val="es-ES"/>
        </w:rPr>
        <w:t>en</w:t>
      </w:r>
      <w:proofErr w:type="gramEnd"/>
      <w:r w:rsidRPr="00526311">
        <w:rPr>
          <w:i/>
          <w:iCs/>
          <w:sz w:val="20"/>
          <w:szCs w:val="20"/>
          <w:lang w:val="es-ES"/>
        </w:rPr>
        <w:t xml:space="preserve"> miles de francos suizos)</w:t>
      </w:r>
    </w:p>
    <w:p w:rsidR="00221F0B" w:rsidRPr="00526311" w:rsidRDefault="00221F0B" w:rsidP="00DC1333">
      <w:pPr>
        <w:pStyle w:val="NormalWeb"/>
        <w:spacing w:before="0" w:beforeAutospacing="0" w:after="0" w:afterAutospacing="0"/>
        <w:jc w:val="center"/>
        <w:rPr>
          <w:lang w:val="es-ES"/>
        </w:rPr>
      </w:pPr>
    </w:p>
    <w:p w:rsidR="00221F0B" w:rsidRPr="00526311" w:rsidRDefault="00221F0B" w:rsidP="00DC1333">
      <w:pPr>
        <w:jc w:val="center"/>
      </w:pPr>
      <w:bookmarkStart w:id="213" w:name="Point29"/>
      <w:r>
        <w:rPr>
          <w:noProof/>
          <w:lang w:val="en-US" w:eastAsia="en-US"/>
        </w:rPr>
        <w:drawing>
          <wp:inline distT="0" distB="0" distL="0" distR="0" wp14:anchorId="4A9A201B" wp14:editId="15CE8BB8">
            <wp:extent cx="5940425" cy="1004033"/>
            <wp:effectExtent l="0" t="0" r="3175" b="5715"/>
            <wp:docPr id="821" name="Picture 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5940425" cy="1004033"/>
                    </a:xfrm>
                    <a:prstGeom prst="rect">
                      <a:avLst/>
                    </a:prstGeom>
                    <a:noFill/>
                    <a:ln>
                      <a:noFill/>
                    </a:ln>
                  </pic:spPr>
                </pic:pic>
              </a:graphicData>
            </a:graphic>
          </wp:inline>
        </w:drawing>
      </w:r>
      <w:bookmarkEnd w:id="213"/>
    </w:p>
    <w:p w:rsidR="00221F0B" w:rsidRPr="00526311" w:rsidRDefault="00221F0B" w:rsidP="00DC1333">
      <w:pPr>
        <w:autoSpaceDE w:val="0"/>
        <w:autoSpaceDN w:val="0"/>
        <w:adjustRightInd w:val="0"/>
        <w:rPr>
          <w:sz w:val="20"/>
        </w:rPr>
      </w:pPr>
    </w:p>
    <w:p w:rsidR="00221F0B" w:rsidRPr="00526311" w:rsidRDefault="00221F0B" w:rsidP="00DC1333">
      <w:pPr>
        <w:autoSpaceDE w:val="0"/>
        <w:autoSpaceDN w:val="0"/>
        <w:adjustRightInd w:val="0"/>
        <w:rPr>
          <w:sz w:val="20"/>
        </w:rPr>
      </w:pPr>
    </w:p>
    <w:p w:rsidR="00221F0B" w:rsidRPr="00526311" w:rsidRDefault="00403D2C" w:rsidP="005B5C20">
      <w:pPr>
        <w:tabs>
          <w:tab w:val="left" w:pos="709"/>
        </w:tabs>
        <w:rPr>
          <w:sz w:val="20"/>
          <w:u w:val="single"/>
        </w:rPr>
      </w:pPr>
      <w:r w:rsidRPr="00403D2C">
        <w:rPr>
          <w:sz w:val="20"/>
        </w:rPr>
        <w:t>A.</w:t>
      </w:r>
      <w:r w:rsidRPr="00403D2C">
        <w:rPr>
          <w:sz w:val="20"/>
        </w:rPr>
        <w:tab/>
      </w:r>
      <w:r w:rsidRPr="00403D2C">
        <w:rPr>
          <w:sz w:val="20"/>
          <w:u w:val="single"/>
        </w:rPr>
        <w:t>Presupuesto final de 2014/15 tras las transferencias</w:t>
      </w:r>
    </w:p>
    <w:p w:rsidR="00221F0B" w:rsidRPr="00526311" w:rsidRDefault="00221F0B" w:rsidP="005B5C20">
      <w:pPr>
        <w:tabs>
          <w:tab w:val="left" w:pos="709"/>
        </w:tabs>
        <w:rPr>
          <w:sz w:val="20"/>
          <w:u w:val="single"/>
        </w:rPr>
      </w:pPr>
    </w:p>
    <w:p w:rsidR="00221F0B" w:rsidRPr="00526311" w:rsidRDefault="00221F0B" w:rsidP="00EB45DE">
      <w:pPr>
        <w:pStyle w:val="ListParagraph"/>
        <w:numPr>
          <w:ilvl w:val="0"/>
          <w:numId w:val="120"/>
        </w:numPr>
        <w:tabs>
          <w:tab w:val="left" w:pos="709"/>
        </w:tabs>
        <w:ind w:left="0" w:firstLine="0"/>
        <w:jc w:val="both"/>
        <w:rPr>
          <w:rFonts w:cs="Arial"/>
          <w:lang w:val="es-ES"/>
        </w:rPr>
      </w:pPr>
      <w:r>
        <w:rPr>
          <w:rFonts w:cs="Arial"/>
          <w:lang w:val="es-ES"/>
        </w:rPr>
        <w:t>El aumento general</w:t>
      </w:r>
      <w:r w:rsidRPr="00526311">
        <w:rPr>
          <w:rFonts w:cs="Arial"/>
          <w:lang w:val="es-ES"/>
        </w:rPr>
        <w:t xml:space="preserve"> </w:t>
      </w:r>
      <w:r>
        <w:rPr>
          <w:rFonts w:cs="Arial"/>
          <w:lang w:val="es-ES"/>
        </w:rPr>
        <w:t>d</w:t>
      </w:r>
      <w:r w:rsidRPr="00526311">
        <w:rPr>
          <w:rFonts w:cs="Arial"/>
          <w:lang w:val="es-ES"/>
        </w:rPr>
        <w:t xml:space="preserve">el presupuesto </w:t>
      </w:r>
      <w:r>
        <w:rPr>
          <w:rFonts w:cs="Arial"/>
          <w:lang w:val="es-ES"/>
        </w:rPr>
        <w:t xml:space="preserve">final </w:t>
      </w:r>
      <w:r w:rsidRPr="00526311">
        <w:rPr>
          <w:rFonts w:cs="Arial"/>
          <w:lang w:val="es-ES"/>
        </w:rPr>
        <w:t>de 2014/15</w:t>
      </w:r>
      <w:r>
        <w:rPr>
          <w:rFonts w:cs="Arial"/>
          <w:lang w:val="es-ES"/>
        </w:rPr>
        <w:t xml:space="preserve"> tras las transferencias se debió</w:t>
      </w:r>
      <w:r w:rsidRPr="00526311">
        <w:rPr>
          <w:rFonts w:cs="Arial"/>
          <w:lang w:val="es-ES"/>
        </w:rPr>
        <w:t xml:space="preserve"> </w:t>
      </w:r>
      <w:r>
        <w:rPr>
          <w:rFonts w:cs="Arial"/>
          <w:lang w:val="es-ES"/>
        </w:rPr>
        <w:t xml:space="preserve">fundamentalmente </w:t>
      </w:r>
      <w:r w:rsidRPr="00526311">
        <w:rPr>
          <w:rFonts w:cs="Arial"/>
          <w:lang w:val="es-ES"/>
        </w:rPr>
        <w:t>a l</w:t>
      </w:r>
      <w:r>
        <w:rPr>
          <w:rFonts w:cs="Arial"/>
          <w:lang w:val="es-ES"/>
        </w:rPr>
        <w:t>os recursos adicionales proporcionados para cubrir los gastos derivados de la finalización y el cierre del proyecto de construcción de la nueva sala de conferencias, tal como se aprobó en las Asambleas de la OMPI en octubre de 2015.  Esto se refleja en el resultado previsto IX.1.</w:t>
      </w:r>
    </w:p>
    <w:p w:rsidR="00221F0B" w:rsidRPr="00526311" w:rsidRDefault="00221F0B" w:rsidP="005B5C20">
      <w:pPr>
        <w:tabs>
          <w:tab w:val="left" w:pos="709"/>
        </w:tabs>
        <w:autoSpaceDE w:val="0"/>
        <w:autoSpaceDN w:val="0"/>
        <w:jc w:val="both"/>
        <w:rPr>
          <w:sz w:val="20"/>
          <w:lang w:eastAsia="ko-KR"/>
        </w:rPr>
      </w:pPr>
    </w:p>
    <w:p w:rsidR="00221F0B" w:rsidRPr="00526311" w:rsidRDefault="00403D2C" w:rsidP="005B5C20">
      <w:pPr>
        <w:tabs>
          <w:tab w:val="left" w:pos="709"/>
        </w:tabs>
        <w:jc w:val="both"/>
        <w:rPr>
          <w:sz w:val="20"/>
          <w:u w:val="single"/>
          <w:lang w:eastAsia="ko-KR"/>
        </w:rPr>
      </w:pPr>
      <w:r w:rsidRPr="00403D2C">
        <w:rPr>
          <w:sz w:val="20"/>
          <w:lang w:eastAsia="ko-KR"/>
        </w:rPr>
        <w:t>B.</w:t>
      </w:r>
      <w:r w:rsidRPr="00403D2C">
        <w:rPr>
          <w:sz w:val="20"/>
          <w:lang w:eastAsia="ko-KR"/>
        </w:rPr>
        <w:tab/>
      </w:r>
      <w:r w:rsidRPr="00403D2C">
        <w:rPr>
          <w:sz w:val="20"/>
          <w:u w:val="single"/>
          <w:lang w:eastAsia="ko-KR"/>
        </w:rPr>
        <w:t>Utilización del presupuesto en 2014/15</w:t>
      </w:r>
    </w:p>
    <w:p w:rsidR="00221F0B" w:rsidRPr="00A851BE" w:rsidRDefault="00221F0B" w:rsidP="005B5C20">
      <w:pPr>
        <w:tabs>
          <w:tab w:val="left" w:pos="709"/>
        </w:tabs>
        <w:jc w:val="both"/>
        <w:rPr>
          <w:sz w:val="20"/>
          <w:u w:val="single"/>
          <w:lang w:eastAsia="ko-KR"/>
        </w:rPr>
      </w:pPr>
    </w:p>
    <w:p w:rsidR="00221F0B" w:rsidRDefault="00221F0B" w:rsidP="00EB45DE">
      <w:pPr>
        <w:pStyle w:val="ListParagraph"/>
        <w:numPr>
          <w:ilvl w:val="0"/>
          <w:numId w:val="120"/>
        </w:numPr>
        <w:tabs>
          <w:tab w:val="left" w:pos="709"/>
        </w:tabs>
        <w:ind w:left="0" w:firstLine="0"/>
        <w:jc w:val="both"/>
        <w:rPr>
          <w:rFonts w:cs="Arial"/>
          <w:lang w:val="es-ES"/>
        </w:rPr>
      </w:pPr>
      <w:r w:rsidRPr="00595551">
        <w:rPr>
          <w:rFonts w:cs="Arial"/>
          <w:lang w:val="es-ES"/>
        </w:rPr>
        <w:t>La leve infrautilización de los recursos de personal se debe a la diferencia entre la metodología de costo estándar utilizada en el bienio 2014/15 y los gastos de personal reales.</w:t>
      </w:r>
    </w:p>
    <w:p w:rsidR="00221F0B" w:rsidRDefault="00221F0B" w:rsidP="00DC1333">
      <w:pPr>
        <w:pStyle w:val="ListParagraph"/>
        <w:tabs>
          <w:tab w:val="left" w:pos="709"/>
        </w:tabs>
        <w:ind w:left="0"/>
        <w:jc w:val="both"/>
        <w:rPr>
          <w:rFonts w:cs="Arial"/>
          <w:lang w:val="es-ES"/>
        </w:rPr>
      </w:pPr>
    </w:p>
    <w:p w:rsidR="00221F0B" w:rsidRDefault="00221F0B" w:rsidP="00DC1333">
      <w:pPr>
        <w:pStyle w:val="ListParagraph"/>
        <w:tabs>
          <w:tab w:val="left" w:pos="709"/>
        </w:tabs>
        <w:ind w:left="0"/>
        <w:jc w:val="both"/>
        <w:rPr>
          <w:rFonts w:cs="Arial"/>
          <w:lang w:val="es-ES"/>
        </w:rPr>
      </w:pPr>
    </w:p>
    <w:p w:rsidR="00221F0B" w:rsidRPr="00595551" w:rsidRDefault="00221F0B" w:rsidP="00DC1333">
      <w:pPr>
        <w:pStyle w:val="ListParagraph"/>
        <w:tabs>
          <w:tab w:val="left" w:pos="709"/>
        </w:tabs>
        <w:ind w:left="0"/>
        <w:jc w:val="both"/>
        <w:rPr>
          <w:rFonts w:cs="Arial"/>
          <w:lang w:val="es-ES"/>
        </w:rPr>
      </w:pPr>
    </w:p>
    <w:p w:rsidR="00B84891" w:rsidRDefault="00B84891"/>
    <w:p w:rsidR="00C25E4B" w:rsidRDefault="00C25E4B">
      <w:pPr>
        <w:sectPr w:rsidR="00C25E4B" w:rsidSect="00020713">
          <w:headerReference w:type="even" r:id="rId195"/>
          <w:headerReference w:type="default" r:id="rId196"/>
          <w:footerReference w:type="even" r:id="rId197"/>
          <w:footerReference w:type="default" r:id="rId198"/>
          <w:headerReference w:type="first" r:id="rId199"/>
          <w:footerReference w:type="first" r:id="rId200"/>
          <w:pgSz w:w="11907" w:h="16840" w:code="9"/>
          <w:pgMar w:top="567" w:right="1134" w:bottom="1361" w:left="1418" w:header="510" w:footer="1021" w:gutter="0"/>
          <w:pgNumType w:start="1"/>
          <w:cols w:space="720"/>
          <w:titlePg/>
          <w:docGrid w:linePitch="299"/>
        </w:sectPr>
      </w:pPr>
    </w:p>
    <w:p w:rsidR="00217DBF" w:rsidRPr="008842D4" w:rsidRDefault="00217DBF" w:rsidP="00217DBF">
      <w:pPr>
        <w:pStyle w:val="Heading1"/>
        <w:numPr>
          <w:ilvl w:val="0"/>
          <w:numId w:val="0"/>
        </w:numPr>
        <w:rPr>
          <w:rFonts w:eastAsia="Times New Roman"/>
          <w:caps w:val="0"/>
        </w:rPr>
      </w:pPr>
      <w:bookmarkStart w:id="214" w:name="_Toc455159112"/>
      <w:r w:rsidRPr="008842D4">
        <w:rPr>
          <w:rFonts w:eastAsia="Times New Roman"/>
          <w:caps w:val="0"/>
        </w:rPr>
        <w:lastRenderedPageBreak/>
        <w:t>V</w:t>
      </w:r>
      <w:r>
        <w:rPr>
          <w:rFonts w:eastAsia="Times New Roman"/>
          <w:caps w:val="0"/>
        </w:rPr>
        <w:t>II</w:t>
      </w:r>
      <w:r w:rsidRPr="008842D4">
        <w:rPr>
          <w:rFonts w:eastAsia="Times New Roman"/>
          <w:caps w:val="0"/>
        </w:rPr>
        <w:t>.</w:t>
      </w:r>
      <w:r w:rsidRPr="008842D4">
        <w:rPr>
          <w:rFonts w:eastAsia="Times New Roman"/>
          <w:caps w:val="0"/>
        </w:rPr>
        <w:tab/>
        <w:t>APÉNDICES</w:t>
      </w:r>
      <w:bookmarkEnd w:id="214"/>
    </w:p>
    <w:p w:rsidR="00217DBF" w:rsidRPr="008842D4" w:rsidRDefault="00217DBF" w:rsidP="00217DBF">
      <w:pPr>
        <w:rPr>
          <w:b/>
          <w:bCs/>
          <w:szCs w:val="28"/>
        </w:rPr>
      </w:pPr>
    </w:p>
    <w:p w:rsidR="00217DBF" w:rsidRPr="008842D4" w:rsidRDefault="00217DBF" w:rsidP="00217DBF">
      <w:pPr>
        <w:rPr>
          <w:b/>
          <w:bCs/>
          <w:szCs w:val="28"/>
        </w:rPr>
      </w:pPr>
    </w:p>
    <w:p w:rsidR="00217DBF" w:rsidRPr="007F7482" w:rsidRDefault="00217DBF" w:rsidP="00217DBF">
      <w:pPr>
        <w:pStyle w:val="Heading2"/>
        <w:tabs>
          <w:tab w:val="left" w:pos="2268"/>
          <w:tab w:val="right" w:pos="9072"/>
        </w:tabs>
        <w:spacing w:before="0" w:after="0"/>
        <w:rPr>
          <w:rFonts w:eastAsia="Times New Roman"/>
          <w:b/>
          <w:caps w:val="0"/>
        </w:rPr>
      </w:pPr>
      <w:bookmarkStart w:id="215" w:name="_Toc455159113"/>
      <w:r w:rsidRPr="007F7482">
        <w:rPr>
          <w:rFonts w:eastAsia="Times New Roman"/>
          <w:b/>
          <w:caps w:val="0"/>
        </w:rPr>
        <w:t>APÉNDICE I</w:t>
      </w:r>
      <w:r w:rsidRPr="007F7482">
        <w:rPr>
          <w:rFonts w:eastAsia="Times New Roman"/>
          <w:b/>
          <w:caps w:val="0"/>
        </w:rPr>
        <w:br/>
      </w:r>
      <w:r w:rsidRPr="007F7482">
        <w:rPr>
          <w:rFonts w:eastAsia="Times New Roman"/>
          <w:b/>
          <w:caps w:val="0"/>
        </w:rPr>
        <w:br/>
        <w:t>DESGLOSE DE LA EVALUACIÓN DEL RENDIMIENTO DE CADA PROGRAMA</w:t>
      </w:r>
      <w:bookmarkEnd w:id="215"/>
    </w:p>
    <w:p w:rsidR="00217DBF" w:rsidRDefault="00217DBF" w:rsidP="00217DBF"/>
    <w:p w:rsidR="00217DBF" w:rsidRPr="006C3655" w:rsidRDefault="00217DBF" w:rsidP="00217DBF"/>
    <w:p w:rsidR="00217DBF" w:rsidRPr="00B045E5" w:rsidRDefault="00217DBF" w:rsidP="00217DBF">
      <w:pPr>
        <w:jc w:val="both"/>
        <w:rPr>
          <w:sz w:val="20"/>
        </w:rPr>
      </w:pPr>
      <w:r w:rsidRPr="00B045E5">
        <w:rPr>
          <w:sz w:val="20"/>
        </w:rPr>
        <w:t>La evaluación del rendimiento de cada uno de los programas que se incluyen en el documento PPR de 2014/15 comprende las siguientes secciones:</w:t>
      </w:r>
    </w:p>
    <w:p w:rsidR="00217DBF" w:rsidRPr="00B045E5" w:rsidRDefault="00217DBF" w:rsidP="00217DBF">
      <w:pPr>
        <w:jc w:val="both"/>
        <w:rPr>
          <w:i/>
          <w:iCs/>
          <w:sz w:val="20"/>
        </w:rPr>
      </w:pPr>
    </w:p>
    <w:p w:rsidR="00217DBF" w:rsidRPr="00B045E5" w:rsidRDefault="00217DBF" w:rsidP="00217DBF">
      <w:pPr>
        <w:jc w:val="both"/>
        <w:rPr>
          <w:bCs/>
          <w:i/>
          <w:iCs/>
          <w:sz w:val="20"/>
        </w:rPr>
      </w:pPr>
      <w:r w:rsidRPr="00B045E5">
        <w:rPr>
          <w:bCs/>
          <w:i/>
          <w:iCs/>
          <w:sz w:val="20"/>
        </w:rPr>
        <w:t>Sección I</w:t>
      </w:r>
      <w:proofErr w:type="gramStart"/>
      <w:r w:rsidRPr="00B045E5">
        <w:rPr>
          <w:bCs/>
          <w:i/>
          <w:iCs/>
          <w:sz w:val="20"/>
        </w:rPr>
        <w:t>:  Logros</w:t>
      </w:r>
      <w:proofErr w:type="gramEnd"/>
      <w:r w:rsidRPr="00B045E5">
        <w:rPr>
          <w:bCs/>
          <w:i/>
          <w:iCs/>
          <w:sz w:val="20"/>
        </w:rPr>
        <w:t xml:space="preserve"> alcanzados en el bienio 2014/15</w:t>
      </w:r>
    </w:p>
    <w:p w:rsidR="00217DBF" w:rsidRPr="00B045E5" w:rsidRDefault="00217DBF" w:rsidP="00217DBF">
      <w:pPr>
        <w:jc w:val="both"/>
        <w:rPr>
          <w:sz w:val="20"/>
        </w:rPr>
      </w:pPr>
    </w:p>
    <w:p w:rsidR="00217DBF" w:rsidRPr="00B045E5" w:rsidRDefault="00217DBF" w:rsidP="00217DBF">
      <w:pPr>
        <w:jc w:val="both"/>
        <w:rPr>
          <w:sz w:val="20"/>
        </w:rPr>
      </w:pPr>
      <w:r w:rsidRPr="00B045E5">
        <w:rPr>
          <w:sz w:val="20"/>
        </w:rPr>
        <w:t xml:space="preserve">En esta sección se ofrece un resumen analítico de los resultados alcanzados en el bienio 2014/15 por cada programa, y de las dificultades experimentadas durante el período examinado.  Al igual que en 2014, la evaluación de la aplicación de la Agenda para el Desarrollo (A.D.) ha sido integrada en el detalle de los </w:t>
      </w:r>
      <w:r w:rsidRPr="00B045E5">
        <w:rPr>
          <w:i/>
          <w:sz w:val="20"/>
        </w:rPr>
        <w:t>Logros alcanzados en el bienio 2014/15</w:t>
      </w:r>
      <w:r w:rsidRPr="00B045E5">
        <w:rPr>
          <w:sz w:val="20"/>
        </w:rPr>
        <w:t>.  En consonancia con el proceso presupuestario aplicado a los proyectos propuestos por el Comité de Desarrollo y Propiedad Intelectual (CDIP) para dar aplicación a las recomendaciones de la A.D., aprobado por las Asambleas de la OMPI en 2010,</w:t>
      </w:r>
      <w:r w:rsidRPr="00B045E5">
        <w:rPr>
          <w:rStyle w:val="FootnoteReference"/>
          <w:sz w:val="20"/>
        </w:rPr>
        <w:footnoteReference w:id="150"/>
      </w:r>
      <w:r w:rsidRPr="00B045E5">
        <w:rPr>
          <w:sz w:val="20"/>
        </w:rPr>
        <w:t xml:space="preserve"> en la información relativa a la A.D. se siguen incluyendo datos detallados tanto sobre la ejecución de los proyectos de la A.D. como sobre sus recomendaciones.</w:t>
      </w:r>
    </w:p>
    <w:p w:rsidR="00217DBF" w:rsidRPr="00B045E5" w:rsidRDefault="00217DBF" w:rsidP="00217DBF">
      <w:pPr>
        <w:jc w:val="both"/>
        <w:rPr>
          <w:sz w:val="20"/>
        </w:rPr>
      </w:pPr>
    </w:p>
    <w:p w:rsidR="00217DBF" w:rsidRPr="00B045E5" w:rsidRDefault="00217DBF" w:rsidP="00217DBF">
      <w:pPr>
        <w:autoSpaceDE w:val="0"/>
        <w:autoSpaceDN w:val="0"/>
        <w:adjustRightInd w:val="0"/>
        <w:jc w:val="both"/>
        <w:rPr>
          <w:i/>
          <w:iCs/>
          <w:sz w:val="20"/>
        </w:rPr>
      </w:pPr>
      <w:r w:rsidRPr="00B045E5">
        <w:rPr>
          <w:i/>
          <w:iCs/>
          <w:sz w:val="20"/>
        </w:rPr>
        <w:t>Sección II</w:t>
      </w:r>
      <w:proofErr w:type="gramStart"/>
      <w:r w:rsidRPr="00B045E5">
        <w:rPr>
          <w:i/>
          <w:iCs/>
          <w:sz w:val="20"/>
        </w:rPr>
        <w:t>:  Datos</w:t>
      </w:r>
      <w:proofErr w:type="gramEnd"/>
      <w:r w:rsidRPr="00B045E5">
        <w:rPr>
          <w:i/>
          <w:iCs/>
          <w:sz w:val="20"/>
        </w:rPr>
        <w:t xml:space="preserve"> sobre el rendimiento</w:t>
      </w:r>
    </w:p>
    <w:p w:rsidR="00217DBF" w:rsidRPr="00B045E5" w:rsidRDefault="00217DBF" w:rsidP="00217DBF">
      <w:pPr>
        <w:jc w:val="both"/>
        <w:rPr>
          <w:sz w:val="20"/>
        </w:rPr>
      </w:pPr>
    </w:p>
    <w:p w:rsidR="00217DBF" w:rsidRPr="00B045E5" w:rsidRDefault="00217DBF" w:rsidP="00217DBF">
      <w:pPr>
        <w:jc w:val="both"/>
        <w:rPr>
          <w:sz w:val="20"/>
        </w:rPr>
      </w:pPr>
      <w:r w:rsidRPr="00B045E5">
        <w:rPr>
          <w:sz w:val="20"/>
        </w:rPr>
        <w:t xml:space="preserve">En el cuadro que se incluye en esta sección se resumen los resultados previstos a cuya consecución contribuye el programa así como los indicadores de rendimiento, que miden dicha contribución, aprobados por los Estados miembros en el presupuesto por programas del bienio 2014/15.  Se han actualizado, según corresponda, las referencias con el fin de reflejar la situación existente a fines de 2013.  Los cuadros de los datos sobre el rendimiento siguen reflejando las referencias originales (de acuerdo con el presupuesto por programas de 2014/15), las referencias actualizadas (con datos de fines de 2013), y los objetivos (de acuerdo con el presupuesto por programas del bienio 2014/15) a efectos comparativos en relación con los datos y evaluaciones de rendimiento.  En respuesta a la solicitud formulada por los Estados miembros, en 2014/15 se volvieron a ampliar los cuadros.  En el marco de los programas, se pudieron definir objetivos que no habían sido definidos en el presupuesto por programas de 2014/15, es decir, objetivos "por determinar", durante el ejercicio de actualización de las referencias (iniciado el 1 de julio de 2014), utilizando como base los datos de fines de 2013.  Los objetivos no definidos durante ese proceso siguen sin definirse, por consiguiente, los datos sobre el rendimiento figuran como "no mensurables".  En la cuarta columna se presentan los datos sobre el rendimiento en 2014/15 correspondientes a cada indicador.  </w:t>
      </w:r>
      <w:r w:rsidR="00091D73" w:rsidRPr="00091D73">
        <w:rPr>
          <w:sz w:val="20"/>
        </w:rPr>
        <w:t>Por regla general, cuando los datos relativos al rendimiento se midan en variación porcentual (aumento o disminución), y a menos que se indique lo contrario, dicha variación porcentual resultará de una comparación con el año precedente, es decir, que una variación en 2014 resulta de la comparación con 2013, y una variación en 2015 resulta de la comparación con 2014</w:t>
      </w:r>
      <w:r w:rsidRPr="00B045E5">
        <w:rPr>
          <w:sz w:val="20"/>
        </w:rPr>
        <w:t>.  En la quinta columna se evalúa el rendimiento mediante la "clave de colores".</w:t>
      </w:r>
    </w:p>
    <w:p w:rsidR="00217DBF" w:rsidRPr="00B045E5" w:rsidRDefault="00217DBF" w:rsidP="00217DBF">
      <w:pPr>
        <w:jc w:val="both"/>
        <w:rPr>
          <w:iCs/>
          <w:sz w:val="20"/>
        </w:rPr>
      </w:pPr>
    </w:p>
    <w:p w:rsidR="00217DBF" w:rsidRPr="00B045E5" w:rsidRDefault="00217DBF" w:rsidP="00217DBF">
      <w:pPr>
        <w:jc w:val="both"/>
        <w:rPr>
          <w:i/>
          <w:iCs/>
          <w:sz w:val="20"/>
        </w:rPr>
      </w:pPr>
      <w:r w:rsidRPr="00B045E5">
        <w:rPr>
          <w:i/>
          <w:iCs/>
          <w:sz w:val="20"/>
        </w:rPr>
        <w:t>Sección III</w:t>
      </w:r>
      <w:proofErr w:type="gramStart"/>
      <w:r w:rsidRPr="00B045E5">
        <w:rPr>
          <w:i/>
          <w:iCs/>
          <w:sz w:val="20"/>
        </w:rPr>
        <w:t>:  Información</w:t>
      </w:r>
      <w:proofErr w:type="gramEnd"/>
      <w:r w:rsidRPr="00B045E5">
        <w:rPr>
          <w:i/>
          <w:iCs/>
          <w:sz w:val="20"/>
        </w:rPr>
        <w:t xml:space="preserve"> sobre los riesgos planteados en el bienio</w:t>
      </w:r>
    </w:p>
    <w:p w:rsidR="00217DBF" w:rsidRPr="00B045E5" w:rsidRDefault="00217DBF" w:rsidP="00217DBF">
      <w:pPr>
        <w:jc w:val="both"/>
        <w:rPr>
          <w:iCs/>
          <w:sz w:val="20"/>
        </w:rPr>
      </w:pPr>
    </w:p>
    <w:p w:rsidR="00217DBF" w:rsidRPr="00B045E5" w:rsidRDefault="00217DBF" w:rsidP="00217DBF">
      <w:pPr>
        <w:jc w:val="both"/>
        <w:rPr>
          <w:iCs/>
          <w:sz w:val="20"/>
        </w:rPr>
      </w:pPr>
      <w:r w:rsidRPr="00B045E5">
        <w:rPr>
          <w:sz w:val="20"/>
        </w:rPr>
        <w:t xml:space="preserve">En el marco del empeño de la OMPI por reforzar los sistemas de gestión de riesgos, el documento PPR de 2014/15 se ha perfeccionado para incluir, por primera vez, una sección dedicada a la </w:t>
      </w:r>
      <w:r w:rsidRPr="00B045E5">
        <w:rPr>
          <w:i/>
          <w:sz w:val="20"/>
        </w:rPr>
        <w:t>Presentación de informes en materia de riesgos durante el bienio</w:t>
      </w:r>
      <w:r w:rsidRPr="00B045E5">
        <w:rPr>
          <w:sz w:val="20"/>
        </w:rPr>
        <w:t xml:space="preserve">.  El cuadro presenta cuatro columnas.  En las dos primeras - </w:t>
      </w:r>
      <w:r w:rsidRPr="00B045E5">
        <w:rPr>
          <w:i/>
          <w:sz w:val="20"/>
        </w:rPr>
        <w:t>Riesgos en el logro de los resultados del programa</w:t>
      </w:r>
      <w:r w:rsidRPr="00B045E5">
        <w:rPr>
          <w:sz w:val="20"/>
        </w:rPr>
        <w:t xml:space="preserve"> y </w:t>
      </w:r>
      <w:r w:rsidRPr="00B045E5">
        <w:rPr>
          <w:i/>
          <w:sz w:val="20"/>
        </w:rPr>
        <w:t>Planes de mitigación ejecutados o en ejecución</w:t>
      </w:r>
      <w:r w:rsidRPr="00B045E5">
        <w:rPr>
          <w:sz w:val="20"/>
        </w:rPr>
        <w:t xml:space="preserve"> - se mencionan los riesgos y las estrategias para mitigarlos, respectivamente, tal como fueron aprobadas en el presupuesto por programas de 2014/15.  En la tercera columna - </w:t>
      </w:r>
      <w:r w:rsidRPr="00B045E5">
        <w:rPr>
          <w:i/>
          <w:sz w:val="20"/>
        </w:rPr>
        <w:t>Evolución de los riesgos y estrategias de mitigación durante el bienio</w:t>
      </w:r>
      <w:r w:rsidRPr="00B045E5">
        <w:rPr>
          <w:sz w:val="20"/>
        </w:rPr>
        <w:t xml:space="preserve"> - queda reflejada la evolución que tuvo el riesgo durante el bienio, así como el hecho de que el riesgo se materializara, y la ejecución de las estrategias para mitigarlo que habían sido previstas o las que se añadieron para hacerle frente.  En la cuarta </w:t>
      </w:r>
      <w:r w:rsidRPr="00B045E5">
        <w:rPr>
          <w:sz w:val="20"/>
        </w:rPr>
        <w:lastRenderedPageBreak/>
        <w:t xml:space="preserve">columna - </w:t>
      </w:r>
      <w:r w:rsidRPr="00B045E5">
        <w:rPr>
          <w:i/>
          <w:sz w:val="20"/>
        </w:rPr>
        <w:t>Incidencia en el rendimiento del programa</w:t>
      </w:r>
      <w:r w:rsidRPr="00B045E5">
        <w:rPr>
          <w:sz w:val="20"/>
        </w:rPr>
        <w:t xml:space="preserve"> - se describe la incidencia que tuvo la evolución del riesgo y la estrategia para mitigarlo en el rendimiento del programa durante el bienio.</w:t>
      </w:r>
    </w:p>
    <w:p w:rsidR="00217DBF" w:rsidRPr="00B045E5" w:rsidRDefault="00217DBF" w:rsidP="00217DBF">
      <w:pPr>
        <w:jc w:val="both"/>
        <w:rPr>
          <w:iCs/>
          <w:sz w:val="20"/>
        </w:rPr>
      </w:pPr>
    </w:p>
    <w:p w:rsidR="00217DBF" w:rsidRPr="00B045E5" w:rsidRDefault="00217DBF" w:rsidP="00217DBF">
      <w:pPr>
        <w:jc w:val="both"/>
        <w:rPr>
          <w:i/>
          <w:iCs/>
          <w:sz w:val="20"/>
        </w:rPr>
      </w:pPr>
      <w:r w:rsidRPr="00B045E5">
        <w:rPr>
          <w:i/>
          <w:iCs/>
          <w:sz w:val="20"/>
        </w:rPr>
        <w:t>Sección IV</w:t>
      </w:r>
      <w:proofErr w:type="gramStart"/>
      <w:r w:rsidRPr="00B045E5">
        <w:rPr>
          <w:i/>
          <w:iCs/>
          <w:sz w:val="20"/>
        </w:rPr>
        <w:t>:  Utilización</w:t>
      </w:r>
      <w:proofErr w:type="gramEnd"/>
      <w:r w:rsidRPr="00B045E5">
        <w:rPr>
          <w:i/>
          <w:iCs/>
          <w:sz w:val="20"/>
        </w:rPr>
        <w:t xml:space="preserve"> de los recursos en 2014/15</w:t>
      </w:r>
    </w:p>
    <w:p w:rsidR="00217DBF" w:rsidRPr="00B045E5" w:rsidRDefault="00217DBF" w:rsidP="00217DBF">
      <w:pPr>
        <w:jc w:val="both"/>
        <w:rPr>
          <w:sz w:val="20"/>
        </w:rPr>
      </w:pPr>
    </w:p>
    <w:p w:rsidR="00217DBF" w:rsidRPr="00B045E5" w:rsidRDefault="00217DBF" w:rsidP="00217DBF">
      <w:pPr>
        <w:tabs>
          <w:tab w:val="left" w:pos="851"/>
        </w:tabs>
        <w:jc w:val="both"/>
        <w:rPr>
          <w:sz w:val="20"/>
        </w:rPr>
      </w:pPr>
      <w:r w:rsidRPr="00B045E5">
        <w:rPr>
          <w:sz w:val="20"/>
        </w:rPr>
        <w:t>En la última sección se ofrece información sobre el presupuesto aprobado de 2014/15, el presupuesto final de 2014/15 tras las transferencias, y los gastos reales y la utilización del presupuesto en 2014/15.  La información relativa a esta sección está organizada en dos cuadros:</w:t>
      </w:r>
    </w:p>
    <w:p w:rsidR="00217DBF" w:rsidRPr="00B045E5" w:rsidRDefault="00217DBF" w:rsidP="00217DBF">
      <w:pPr>
        <w:jc w:val="both"/>
        <w:rPr>
          <w:sz w:val="20"/>
        </w:rPr>
      </w:pPr>
    </w:p>
    <w:p w:rsidR="00217DBF" w:rsidRPr="00B045E5" w:rsidRDefault="00217DBF" w:rsidP="00217DBF">
      <w:pPr>
        <w:pStyle w:val="ListParagraph"/>
        <w:ind w:left="0"/>
        <w:jc w:val="both"/>
        <w:rPr>
          <w:rFonts w:cs="Arial"/>
          <w:lang w:val="es-ES" w:eastAsia="ko-KR"/>
        </w:rPr>
      </w:pPr>
      <w:r w:rsidRPr="00B045E5">
        <w:rPr>
          <w:lang w:val="es-ES"/>
        </w:rPr>
        <w:t xml:space="preserve">En el cuadro de </w:t>
      </w:r>
      <w:r w:rsidRPr="00B045E5">
        <w:rPr>
          <w:i/>
          <w:lang w:val="es-ES"/>
        </w:rPr>
        <w:t>presupuesto y gastos reales (por resultado)</w:t>
      </w:r>
      <w:r w:rsidRPr="00B045E5">
        <w:rPr>
          <w:lang w:val="es-ES"/>
        </w:rPr>
        <w:t xml:space="preserve"> se ofrece información sobre el presupuesto aprobado de 2014/15, el presupuesto final de 2014/15 tras las transferencias, y los gastos reales (por resultado) en 2014/15.  En 2014, se llevaron a cabo mejoras en el sistema de gestión del rendimiento institucional con el fin de apoyar el cambio en la Organización hacia una planificación basada en los cargos.  </w:t>
      </w:r>
      <w:r w:rsidRPr="00B045E5">
        <w:rPr>
          <w:rFonts w:cs="Arial"/>
          <w:lang w:val="es-ES" w:eastAsia="ko-KR"/>
        </w:rPr>
        <w:t>Los ajustes efectuados respecto de los resultados de los programas en el presupuesto de 2014/15 tras las transferencias reflejan esa nueva metodología más precisa de asignación de recursos de personal.</w:t>
      </w:r>
    </w:p>
    <w:p w:rsidR="00217DBF" w:rsidRPr="00B045E5" w:rsidRDefault="00217DBF" w:rsidP="00217DBF">
      <w:pPr>
        <w:jc w:val="both"/>
        <w:rPr>
          <w:sz w:val="20"/>
        </w:rPr>
      </w:pPr>
    </w:p>
    <w:p w:rsidR="00217DBF" w:rsidRPr="00B045E5" w:rsidRDefault="00217DBF" w:rsidP="00217DBF">
      <w:pPr>
        <w:autoSpaceDE w:val="0"/>
        <w:autoSpaceDN w:val="0"/>
        <w:adjustRightInd w:val="0"/>
        <w:jc w:val="both"/>
        <w:rPr>
          <w:sz w:val="20"/>
        </w:rPr>
      </w:pPr>
      <w:r w:rsidRPr="00B045E5">
        <w:rPr>
          <w:sz w:val="20"/>
        </w:rPr>
        <w:t xml:space="preserve">En el cuadro de </w:t>
      </w:r>
      <w:r w:rsidRPr="00B045E5">
        <w:rPr>
          <w:i/>
          <w:sz w:val="20"/>
        </w:rPr>
        <w:t xml:space="preserve">presupuesto y gastos reales (de personal y no relativos a personal) </w:t>
      </w:r>
      <w:r w:rsidRPr="00B045E5">
        <w:rPr>
          <w:sz w:val="20"/>
        </w:rPr>
        <w:t>se ofrece información acerca del presupuesto aprobado de 2014/15, el presupuesto final de 2014/15 tras las transferencias y los gastos reales (de personal y no relativos a personal) realizados en 2014/15.  Se incluyen explicaciones de las diferencias entre el presupuesto aprobado y el presupuesto final tras las trasferencias, así como de la utilización del presupuesto, teniendo en cuenta tanto una perspectiva de resultados como una perspectiva del tipo de gastos (de personal y no relativos a personal).</w:t>
      </w:r>
    </w:p>
    <w:p w:rsidR="00217DBF" w:rsidRPr="00B045E5" w:rsidRDefault="00217DBF" w:rsidP="00217DBF">
      <w:pPr>
        <w:autoSpaceDE w:val="0"/>
        <w:autoSpaceDN w:val="0"/>
        <w:adjustRightInd w:val="0"/>
        <w:jc w:val="both"/>
        <w:rPr>
          <w:sz w:val="20"/>
        </w:rPr>
      </w:pPr>
    </w:p>
    <w:p w:rsidR="00217DBF" w:rsidRPr="00B045E5" w:rsidRDefault="00217DBF" w:rsidP="00217DBF">
      <w:pPr>
        <w:autoSpaceDE w:val="0"/>
        <w:autoSpaceDN w:val="0"/>
        <w:adjustRightInd w:val="0"/>
        <w:jc w:val="both"/>
        <w:rPr>
          <w:sz w:val="20"/>
        </w:rPr>
      </w:pPr>
    </w:p>
    <w:p w:rsidR="00217DBF" w:rsidRPr="003E311F" w:rsidRDefault="00217DBF" w:rsidP="006319EF">
      <w:pPr>
        <w:pStyle w:val="Endofdocument-Annex"/>
        <w:rPr>
          <w:sz w:val="20"/>
          <w:lang w:val="es-ES"/>
        </w:rPr>
      </w:pPr>
      <w:r w:rsidRPr="003E311F">
        <w:rPr>
          <w:sz w:val="20"/>
          <w:lang w:val="es-ES"/>
        </w:rPr>
        <w:t>[Sigue el Apéndice II]</w:t>
      </w:r>
    </w:p>
    <w:p w:rsidR="00217DBF" w:rsidRPr="003E311F" w:rsidRDefault="00217DBF" w:rsidP="00217DBF">
      <w:pPr>
        <w:rPr>
          <w:rFonts w:eastAsiaTheme="minorHAnsi"/>
          <w:sz w:val="20"/>
        </w:rPr>
      </w:pPr>
    </w:p>
    <w:p w:rsidR="00217DBF" w:rsidRPr="003E311F" w:rsidRDefault="00217DBF" w:rsidP="00217DBF">
      <w:pPr>
        <w:rPr>
          <w:rFonts w:eastAsiaTheme="minorHAnsi"/>
          <w:sz w:val="20"/>
        </w:rPr>
      </w:pPr>
    </w:p>
    <w:p w:rsidR="00217DBF" w:rsidRPr="003E311F" w:rsidRDefault="00217DBF">
      <w:pPr>
        <w:rPr>
          <w:sz w:val="20"/>
        </w:rPr>
      </w:pPr>
    </w:p>
    <w:p w:rsidR="00217DBF" w:rsidRPr="003E311F" w:rsidRDefault="00217DBF">
      <w:pPr>
        <w:rPr>
          <w:sz w:val="20"/>
        </w:rPr>
      </w:pPr>
    </w:p>
    <w:p w:rsidR="00C25E4B" w:rsidRPr="003E311F" w:rsidRDefault="00C25E4B">
      <w:pPr>
        <w:rPr>
          <w:sz w:val="20"/>
        </w:rPr>
      </w:pPr>
      <w:r w:rsidRPr="003E311F">
        <w:rPr>
          <w:sz w:val="20"/>
        </w:rPr>
        <w:br w:type="page"/>
      </w:r>
    </w:p>
    <w:p w:rsidR="003E311F" w:rsidRPr="003E311F" w:rsidRDefault="003E311F" w:rsidP="003E311F">
      <w:pPr>
        <w:pStyle w:val="Heading2"/>
        <w:rPr>
          <w:b/>
          <w:bCs w:val="0"/>
          <w:szCs w:val="22"/>
        </w:rPr>
      </w:pPr>
      <w:bookmarkStart w:id="216" w:name="_Toc422210521"/>
      <w:bookmarkStart w:id="217" w:name="_Toc455159114"/>
      <w:bookmarkEnd w:id="16"/>
      <w:r w:rsidRPr="003E311F">
        <w:rPr>
          <w:b/>
          <w:bCs w:val="0"/>
          <w:szCs w:val="22"/>
        </w:rPr>
        <w:lastRenderedPageBreak/>
        <w:t xml:space="preserve">APÉNDICE II </w:t>
      </w:r>
      <w:r w:rsidRPr="003E311F">
        <w:rPr>
          <w:b/>
          <w:bCs w:val="0"/>
          <w:szCs w:val="22"/>
        </w:rPr>
        <w:br/>
      </w:r>
      <w:r w:rsidRPr="003E311F">
        <w:rPr>
          <w:b/>
          <w:bCs w:val="0"/>
          <w:szCs w:val="22"/>
        </w:rPr>
        <w:br/>
      </w:r>
      <w:bookmarkEnd w:id="216"/>
      <w:r w:rsidRPr="003E311F">
        <w:rPr>
          <w:b/>
          <w:szCs w:val="22"/>
        </w:rPr>
        <w:t xml:space="preserve">ACTIVIDADES </w:t>
      </w:r>
      <w:r w:rsidRPr="003E311F">
        <w:rPr>
          <w:b/>
          <w:bCs w:val="0"/>
          <w:szCs w:val="22"/>
        </w:rPr>
        <w:t>REALIZADAS CON CARGO A LOS FONDOS FIDUCIARIOS</w:t>
      </w:r>
      <w:r w:rsidRPr="003E311F">
        <w:rPr>
          <w:b/>
          <w:szCs w:val="22"/>
        </w:rPr>
        <w:t xml:space="preserve"> EN </w:t>
      </w:r>
      <w:r w:rsidRPr="003E311F">
        <w:rPr>
          <w:b/>
          <w:bCs w:val="0"/>
          <w:szCs w:val="22"/>
        </w:rPr>
        <w:t>2015</w:t>
      </w:r>
      <w:bookmarkEnd w:id="217"/>
    </w:p>
    <w:p w:rsidR="003E311F" w:rsidRPr="003E311F" w:rsidRDefault="003E311F" w:rsidP="003E311F">
      <w:pPr>
        <w:rPr>
          <w:sz w:val="20"/>
        </w:rPr>
      </w:pPr>
    </w:p>
    <w:p w:rsidR="003E311F" w:rsidRPr="003E311F" w:rsidRDefault="003E311F" w:rsidP="003E311F">
      <w:pPr>
        <w:jc w:val="both"/>
        <w:rPr>
          <w:sz w:val="20"/>
        </w:rPr>
      </w:pPr>
      <w:r w:rsidRPr="003E311F">
        <w:rPr>
          <w:sz w:val="20"/>
        </w:rPr>
        <w:t xml:space="preserve">Como parte de los esfuerzos realizados por la Organización para mejorar la integración de todas sus actividades en un mismo marco de gestión por resultados, indistintamente de las fuentes de procedencia de los fondos, el presente Apéndice proporciona un panorama general sobre las actividades llevadas a cabo con cargo a los fondos fiduciarios de la OMPI.  Al mismo tiempo, este informe responde a la petición realizada por los donantes en relación con la elaboración de un informe más completo sobre todos los fondos fiduciarios, que incluya tanto datos programáticos como financieros.  Con vistas a agilizar la presentación de información, el presente informe sobre fondos fiduciarios forma parte del Informe sobre el rendimiento de los programas, y en él se expone un panorama anual de las actividades realizadas en 2015.  El próximo informe anual sobre los fondos fiduciarios se incluirá en el documento PPR </w:t>
      </w:r>
      <w:r w:rsidR="00DA3508">
        <w:rPr>
          <w:sz w:val="20"/>
        </w:rPr>
        <w:t xml:space="preserve">de </w:t>
      </w:r>
      <w:r w:rsidRPr="003E311F">
        <w:rPr>
          <w:sz w:val="20"/>
        </w:rPr>
        <w:t>2016.  En este Apéndice se informa sobre los fondos fiduciarios enumerados en el siguiente cuadro y se excluyen los fondos fiduciarios para funcionarios subalternos del cuadro orgánico.</w:t>
      </w:r>
    </w:p>
    <w:p w:rsidR="003E311F" w:rsidRPr="00515D00" w:rsidRDefault="003E311F" w:rsidP="003E311F">
      <w:pPr>
        <w:jc w:val="both"/>
      </w:pPr>
    </w:p>
    <w:tbl>
      <w:tblPr>
        <w:tblpPr w:leftFromText="180" w:rightFromText="180" w:vertAnchor="page" w:horzAnchor="margin" w:tblpXSpec="center" w:tblpY="5385"/>
        <w:tblW w:w="8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10"/>
        <w:gridCol w:w="4580"/>
      </w:tblGrid>
      <w:tr w:rsidR="003E311F" w:rsidRPr="00515D00" w:rsidTr="007A358B">
        <w:trPr>
          <w:trHeight w:val="293"/>
        </w:trPr>
        <w:tc>
          <w:tcPr>
            <w:tcW w:w="4310" w:type="dxa"/>
            <w:shd w:val="clear" w:color="auto" w:fill="C6D9F1" w:themeFill="text2" w:themeFillTint="33"/>
            <w:tcMar>
              <w:top w:w="57" w:type="dxa"/>
              <w:left w:w="57" w:type="dxa"/>
              <w:bottom w:w="57" w:type="dxa"/>
              <w:right w:w="57" w:type="dxa"/>
            </w:tcMar>
          </w:tcPr>
          <w:p w:rsidR="003E311F" w:rsidRPr="00515D00" w:rsidRDefault="003E311F" w:rsidP="007A358B">
            <w:pPr>
              <w:jc w:val="center"/>
              <w:rPr>
                <w:b/>
                <w:bCs/>
                <w:sz w:val="18"/>
                <w:szCs w:val="18"/>
              </w:rPr>
            </w:pPr>
            <w:r w:rsidRPr="00515D00">
              <w:rPr>
                <w:b/>
                <w:bCs/>
                <w:sz w:val="18"/>
                <w:szCs w:val="18"/>
              </w:rPr>
              <w:t>FONDO FIDUCIARIO</w:t>
            </w:r>
          </w:p>
        </w:tc>
        <w:tc>
          <w:tcPr>
            <w:tcW w:w="4580" w:type="dxa"/>
            <w:shd w:val="clear" w:color="auto" w:fill="C6D9F1" w:themeFill="text2" w:themeFillTint="33"/>
            <w:tcMar>
              <w:top w:w="57" w:type="dxa"/>
              <w:left w:w="57" w:type="dxa"/>
              <w:bottom w:w="57" w:type="dxa"/>
              <w:right w:w="57" w:type="dxa"/>
            </w:tcMar>
          </w:tcPr>
          <w:p w:rsidR="003E311F" w:rsidRPr="00515D00" w:rsidRDefault="003E311F" w:rsidP="007A358B">
            <w:pPr>
              <w:jc w:val="center"/>
              <w:rPr>
                <w:b/>
                <w:bCs/>
                <w:sz w:val="18"/>
                <w:szCs w:val="18"/>
              </w:rPr>
            </w:pPr>
            <w:r w:rsidRPr="00515D00">
              <w:rPr>
                <w:b/>
                <w:bCs/>
                <w:sz w:val="18"/>
                <w:szCs w:val="18"/>
              </w:rPr>
              <w:t>SECTOR DE APLICACIÓN</w:t>
            </w:r>
          </w:p>
        </w:tc>
      </w:tr>
      <w:tr w:rsidR="003E311F" w:rsidRPr="00515D00" w:rsidTr="007A358B">
        <w:tc>
          <w:tcPr>
            <w:tcW w:w="4310" w:type="dxa"/>
            <w:tcMar>
              <w:top w:w="57" w:type="dxa"/>
              <w:left w:w="57" w:type="dxa"/>
              <w:bottom w:w="57" w:type="dxa"/>
              <w:right w:w="57" w:type="dxa"/>
            </w:tcMar>
          </w:tcPr>
          <w:p w:rsidR="003E311F" w:rsidRPr="00515D00" w:rsidRDefault="003E311F" w:rsidP="007A358B">
            <w:pPr>
              <w:rPr>
                <w:sz w:val="18"/>
                <w:szCs w:val="18"/>
              </w:rPr>
            </w:pPr>
            <w:r w:rsidRPr="00515D00">
              <w:rPr>
                <w:sz w:val="18"/>
                <w:szCs w:val="18"/>
              </w:rPr>
              <w:t>Australia</w:t>
            </w:r>
          </w:p>
        </w:tc>
        <w:tc>
          <w:tcPr>
            <w:tcW w:w="4580" w:type="dxa"/>
            <w:tcMar>
              <w:top w:w="57" w:type="dxa"/>
              <w:left w:w="57" w:type="dxa"/>
              <w:bottom w:w="57" w:type="dxa"/>
              <w:right w:w="57" w:type="dxa"/>
            </w:tcMar>
          </w:tcPr>
          <w:p w:rsidR="003E311F" w:rsidRPr="00515D00" w:rsidRDefault="003E311F" w:rsidP="007A358B">
            <w:pPr>
              <w:rPr>
                <w:sz w:val="18"/>
                <w:szCs w:val="18"/>
              </w:rPr>
            </w:pPr>
            <w:r w:rsidRPr="00515D00">
              <w:rPr>
                <w:sz w:val="18"/>
                <w:szCs w:val="18"/>
              </w:rPr>
              <w:t>Oficina del Director General</w:t>
            </w:r>
          </w:p>
        </w:tc>
      </w:tr>
      <w:tr w:rsidR="003E311F" w:rsidRPr="00515D00" w:rsidTr="007A358B">
        <w:tc>
          <w:tcPr>
            <w:tcW w:w="4310" w:type="dxa"/>
            <w:tcMar>
              <w:top w:w="57" w:type="dxa"/>
              <w:left w:w="57" w:type="dxa"/>
              <w:bottom w:w="57" w:type="dxa"/>
              <w:right w:w="57" w:type="dxa"/>
            </w:tcMar>
          </w:tcPr>
          <w:p w:rsidR="003E311F" w:rsidRPr="00515D00" w:rsidRDefault="003E311F" w:rsidP="007A358B">
            <w:pPr>
              <w:rPr>
                <w:sz w:val="18"/>
                <w:szCs w:val="18"/>
              </w:rPr>
            </w:pPr>
            <w:r w:rsidRPr="00515D00">
              <w:rPr>
                <w:sz w:val="18"/>
                <w:szCs w:val="18"/>
              </w:rPr>
              <w:t>Brasil</w:t>
            </w:r>
          </w:p>
        </w:tc>
        <w:tc>
          <w:tcPr>
            <w:tcW w:w="4580" w:type="dxa"/>
            <w:tcMar>
              <w:top w:w="57" w:type="dxa"/>
              <w:left w:w="57" w:type="dxa"/>
              <w:bottom w:w="57" w:type="dxa"/>
              <w:right w:w="57" w:type="dxa"/>
            </w:tcMar>
          </w:tcPr>
          <w:p w:rsidR="003E311F" w:rsidRPr="00515D00" w:rsidRDefault="003E311F" w:rsidP="007A358B">
            <w:pPr>
              <w:rPr>
                <w:sz w:val="18"/>
                <w:szCs w:val="18"/>
              </w:rPr>
            </w:pPr>
            <w:r w:rsidRPr="00515D00">
              <w:rPr>
                <w:sz w:val="18"/>
                <w:szCs w:val="18"/>
              </w:rPr>
              <w:t>Oficina del Director General</w:t>
            </w:r>
          </w:p>
        </w:tc>
      </w:tr>
      <w:tr w:rsidR="003E311F" w:rsidRPr="00515D00" w:rsidTr="007A358B">
        <w:tc>
          <w:tcPr>
            <w:tcW w:w="4310" w:type="dxa"/>
            <w:tcMar>
              <w:top w:w="57" w:type="dxa"/>
              <w:left w:w="57" w:type="dxa"/>
              <w:bottom w:w="57" w:type="dxa"/>
              <w:right w:w="57" w:type="dxa"/>
            </w:tcMar>
            <w:vAlign w:val="center"/>
          </w:tcPr>
          <w:p w:rsidR="003E311F" w:rsidRPr="00515D00" w:rsidRDefault="003E311F" w:rsidP="007A358B">
            <w:pPr>
              <w:rPr>
                <w:sz w:val="18"/>
                <w:szCs w:val="18"/>
              </w:rPr>
            </w:pPr>
            <w:r w:rsidRPr="00515D00">
              <w:rPr>
                <w:sz w:val="18"/>
                <w:szCs w:val="18"/>
              </w:rPr>
              <w:t>Brasil Sur</w:t>
            </w:r>
          </w:p>
        </w:tc>
        <w:tc>
          <w:tcPr>
            <w:tcW w:w="4580" w:type="dxa"/>
            <w:tcMar>
              <w:top w:w="57" w:type="dxa"/>
              <w:left w:w="57" w:type="dxa"/>
              <w:bottom w:w="57" w:type="dxa"/>
              <w:right w:w="57" w:type="dxa"/>
            </w:tcMar>
          </w:tcPr>
          <w:p w:rsidR="003E311F" w:rsidRPr="00515D00" w:rsidRDefault="003E311F" w:rsidP="007A358B">
            <w:pPr>
              <w:rPr>
                <w:sz w:val="18"/>
                <w:szCs w:val="18"/>
              </w:rPr>
            </w:pPr>
            <w:r w:rsidRPr="00515D00">
              <w:rPr>
                <w:sz w:val="18"/>
                <w:szCs w:val="18"/>
              </w:rPr>
              <w:t>Oficina del Director General</w:t>
            </w:r>
          </w:p>
        </w:tc>
      </w:tr>
      <w:tr w:rsidR="003E311F" w:rsidRPr="00515D00" w:rsidTr="007A358B">
        <w:tc>
          <w:tcPr>
            <w:tcW w:w="4310" w:type="dxa"/>
            <w:tcMar>
              <w:top w:w="57" w:type="dxa"/>
              <w:left w:w="57" w:type="dxa"/>
              <w:bottom w:w="57" w:type="dxa"/>
              <w:right w:w="57" w:type="dxa"/>
            </w:tcMar>
            <w:vAlign w:val="center"/>
          </w:tcPr>
          <w:p w:rsidR="003E311F" w:rsidRPr="00515D00" w:rsidRDefault="00123A02" w:rsidP="00123A02">
            <w:pPr>
              <w:rPr>
                <w:sz w:val="18"/>
                <w:szCs w:val="18"/>
              </w:rPr>
            </w:pPr>
            <w:r>
              <w:rPr>
                <w:sz w:val="18"/>
                <w:szCs w:val="18"/>
              </w:rPr>
              <w:t>Brasil P</w:t>
            </w:r>
            <w:r w:rsidR="003E311F" w:rsidRPr="00515D00">
              <w:rPr>
                <w:sz w:val="18"/>
                <w:szCs w:val="18"/>
              </w:rPr>
              <w:t>NUD</w:t>
            </w:r>
          </w:p>
        </w:tc>
        <w:tc>
          <w:tcPr>
            <w:tcW w:w="4580" w:type="dxa"/>
            <w:tcMar>
              <w:top w:w="57" w:type="dxa"/>
              <w:left w:w="57" w:type="dxa"/>
              <w:bottom w:w="57" w:type="dxa"/>
              <w:right w:w="57" w:type="dxa"/>
            </w:tcMar>
          </w:tcPr>
          <w:p w:rsidR="003E311F" w:rsidRPr="00515D00" w:rsidRDefault="003E311F" w:rsidP="007A358B">
            <w:pPr>
              <w:rPr>
                <w:sz w:val="18"/>
                <w:szCs w:val="18"/>
              </w:rPr>
            </w:pPr>
            <w:r w:rsidRPr="00515D00">
              <w:rPr>
                <w:sz w:val="18"/>
                <w:szCs w:val="18"/>
              </w:rPr>
              <w:t>Oficina del Director General</w:t>
            </w:r>
          </w:p>
        </w:tc>
      </w:tr>
      <w:tr w:rsidR="003E311F" w:rsidRPr="00515D00" w:rsidTr="007A358B">
        <w:tc>
          <w:tcPr>
            <w:tcW w:w="4310" w:type="dxa"/>
            <w:tcMar>
              <w:top w:w="57" w:type="dxa"/>
              <w:left w:w="57" w:type="dxa"/>
              <w:bottom w:w="57" w:type="dxa"/>
              <w:right w:w="57" w:type="dxa"/>
            </w:tcMar>
            <w:vAlign w:val="center"/>
          </w:tcPr>
          <w:p w:rsidR="003E311F" w:rsidRPr="00515D00" w:rsidRDefault="003E311F" w:rsidP="007A358B">
            <w:pPr>
              <w:rPr>
                <w:sz w:val="18"/>
                <w:szCs w:val="18"/>
              </w:rPr>
            </w:pPr>
            <w:r w:rsidRPr="00515D00">
              <w:rPr>
                <w:sz w:val="18"/>
                <w:szCs w:val="18"/>
              </w:rPr>
              <w:t>UE / Pakistán</w:t>
            </w:r>
          </w:p>
        </w:tc>
        <w:tc>
          <w:tcPr>
            <w:tcW w:w="4580" w:type="dxa"/>
            <w:tcMar>
              <w:top w:w="57" w:type="dxa"/>
              <w:left w:w="57" w:type="dxa"/>
              <w:bottom w:w="57" w:type="dxa"/>
              <w:right w:w="57" w:type="dxa"/>
            </w:tcMar>
            <w:vAlign w:val="center"/>
          </w:tcPr>
          <w:p w:rsidR="003E311F" w:rsidRPr="00515D00" w:rsidRDefault="003E311F" w:rsidP="007A358B">
            <w:pPr>
              <w:rPr>
                <w:sz w:val="18"/>
                <w:szCs w:val="18"/>
              </w:rPr>
            </w:pPr>
            <w:r w:rsidRPr="00515D00">
              <w:rPr>
                <w:sz w:val="18"/>
                <w:szCs w:val="18"/>
              </w:rPr>
              <w:t>Sector de Desarrollo</w:t>
            </w:r>
          </w:p>
        </w:tc>
      </w:tr>
      <w:tr w:rsidR="003E311F" w:rsidRPr="00057B87" w:rsidTr="007A358B">
        <w:tc>
          <w:tcPr>
            <w:tcW w:w="4310" w:type="dxa"/>
            <w:tcMar>
              <w:top w:w="57" w:type="dxa"/>
              <w:left w:w="57" w:type="dxa"/>
              <w:bottom w:w="57" w:type="dxa"/>
              <w:right w:w="57" w:type="dxa"/>
            </w:tcMar>
          </w:tcPr>
          <w:p w:rsidR="003E311F" w:rsidRPr="00515D00" w:rsidRDefault="003E311F" w:rsidP="007A358B">
            <w:pPr>
              <w:rPr>
                <w:sz w:val="18"/>
                <w:szCs w:val="18"/>
              </w:rPr>
            </w:pPr>
            <w:r w:rsidRPr="00515D00">
              <w:rPr>
                <w:sz w:val="18"/>
                <w:szCs w:val="18"/>
              </w:rPr>
              <w:t>Finlandia – Derecho de autor</w:t>
            </w:r>
          </w:p>
        </w:tc>
        <w:tc>
          <w:tcPr>
            <w:tcW w:w="4580" w:type="dxa"/>
            <w:tcMar>
              <w:top w:w="57" w:type="dxa"/>
              <w:left w:w="57" w:type="dxa"/>
              <w:bottom w:w="57" w:type="dxa"/>
              <w:right w:w="57" w:type="dxa"/>
            </w:tcMar>
          </w:tcPr>
          <w:p w:rsidR="003E311F" w:rsidRPr="00515D00" w:rsidRDefault="003E311F" w:rsidP="007A358B">
            <w:pPr>
              <w:rPr>
                <w:sz w:val="18"/>
                <w:szCs w:val="18"/>
              </w:rPr>
            </w:pPr>
            <w:r w:rsidRPr="00515D00">
              <w:rPr>
                <w:sz w:val="18"/>
                <w:szCs w:val="18"/>
              </w:rPr>
              <w:t>Sector de Cultura e Industrias Creativas</w:t>
            </w:r>
          </w:p>
        </w:tc>
      </w:tr>
      <w:tr w:rsidR="003E311F" w:rsidRPr="00515D00" w:rsidTr="007A358B">
        <w:tc>
          <w:tcPr>
            <w:tcW w:w="4310" w:type="dxa"/>
            <w:tcMar>
              <w:top w:w="57" w:type="dxa"/>
              <w:left w:w="57" w:type="dxa"/>
              <w:bottom w:w="57" w:type="dxa"/>
              <w:right w:w="57" w:type="dxa"/>
            </w:tcMar>
          </w:tcPr>
          <w:p w:rsidR="003E311F" w:rsidRPr="00515D00" w:rsidRDefault="003E311F" w:rsidP="007A358B">
            <w:pPr>
              <w:rPr>
                <w:sz w:val="18"/>
                <w:szCs w:val="18"/>
              </w:rPr>
            </w:pPr>
            <w:r w:rsidRPr="00515D00">
              <w:rPr>
                <w:sz w:val="18"/>
                <w:szCs w:val="18"/>
              </w:rPr>
              <w:t>Francia – P.I.</w:t>
            </w:r>
          </w:p>
        </w:tc>
        <w:tc>
          <w:tcPr>
            <w:tcW w:w="4580" w:type="dxa"/>
            <w:tcMar>
              <w:top w:w="57" w:type="dxa"/>
              <w:left w:w="57" w:type="dxa"/>
              <w:bottom w:w="57" w:type="dxa"/>
              <w:right w:w="57" w:type="dxa"/>
            </w:tcMar>
            <w:vAlign w:val="center"/>
          </w:tcPr>
          <w:p w:rsidR="003E311F" w:rsidRPr="00515D00" w:rsidRDefault="003E311F" w:rsidP="007A358B">
            <w:pPr>
              <w:rPr>
                <w:sz w:val="18"/>
                <w:szCs w:val="18"/>
              </w:rPr>
            </w:pPr>
            <w:r w:rsidRPr="00515D00">
              <w:rPr>
                <w:sz w:val="18"/>
                <w:szCs w:val="18"/>
              </w:rPr>
              <w:t>Sector de Desarrollo</w:t>
            </w:r>
          </w:p>
        </w:tc>
      </w:tr>
      <w:tr w:rsidR="003E311F" w:rsidRPr="00515D00" w:rsidTr="007A358B">
        <w:tc>
          <w:tcPr>
            <w:tcW w:w="4310" w:type="dxa"/>
            <w:tcMar>
              <w:top w:w="57" w:type="dxa"/>
              <w:left w:w="57" w:type="dxa"/>
              <w:bottom w:w="57" w:type="dxa"/>
              <w:right w:w="57" w:type="dxa"/>
            </w:tcMar>
          </w:tcPr>
          <w:p w:rsidR="003E311F" w:rsidRPr="00515D00" w:rsidRDefault="003E311F" w:rsidP="007A358B">
            <w:pPr>
              <w:rPr>
                <w:sz w:val="18"/>
                <w:szCs w:val="18"/>
              </w:rPr>
            </w:pPr>
            <w:r w:rsidRPr="00515D00">
              <w:rPr>
                <w:sz w:val="18"/>
                <w:szCs w:val="18"/>
              </w:rPr>
              <w:t>Programa Iberoamericano de propiedad industrial</w:t>
            </w:r>
          </w:p>
        </w:tc>
        <w:tc>
          <w:tcPr>
            <w:tcW w:w="4580" w:type="dxa"/>
            <w:tcMar>
              <w:top w:w="57" w:type="dxa"/>
              <w:left w:w="57" w:type="dxa"/>
              <w:bottom w:w="57" w:type="dxa"/>
              <w:right w:w="57" w:type="dxa"/>
            </w:tcMar>
            <w:vAlign w:val="center"/>
          </w:tcPr>
          <w:p w:rsidR="003E311F" w:rsidRPr="00515D00" w:rsidRDefault="003E311F" w:rsidP="007A358B">
            <w:pPr>
              <w:rPr>
                <w:sz w:val="18"/>
                <w:szCs w:val="18"/>
              </w:rPr>
            </w:pPr>
            <w:r w:rsidRPr="00515D00">
              <w:rPr>
                <w:sz w:val="18"/>
                <w:szCs w:val="18"/>
              </w:rPr>
              <w:t>Sector de Desarrollo</w:t>
            </w:r>
          </w:p>
        </w:tc>
      </w:tr>
      <w:tr w:rsidR="003E311F" w:rsidRPr="00515D00" w:rsidTr="007A358B">
        <w:tc>
          <w:tcPr>
            <w:tcW w:w="4310" w:type="dxa"/>
            <w:tcMar>
              <w:top w:w="57" w:type="dxa"/>
              <w:left w:w="57" w:type="dxa"/>
              <w:bottom w:w="57" w:type="dxa"/>
              <w:right w:w="57" w:type="dxa"/>
            </w:tcMar>
          </w:tcPr>
          <w:p w:rsidR="003E311F" w:rsidRPr="00515D00" w:rsidRDefault="003E311F" w:rsidP="007A358B">
            <w:pPr>
              <w:rPr>
                <w:sz w:val="18"/>
                <w:szCs w:val="18"/>
              </w:rPr>
            </w:pPr>
            <w:r w:rsidRPr="00515D00">
              <w:rPr>
                <w:sz w:val="18"/>
                <w:szCs w:val="18"/>
              </w:rPr>
              <w:t>Italia</w:t>
            </w:r>
          </w:p>
        </w:tc>
        <w:tc>
          <w:tcPr>
            <w:tcW w:w="4580" w:type="dxa"/>
            <w:tcMar>
              <w:top w:w="57" w:type="dxa"/>
              <w:left w:w="57" w:type="dxa"/>
              <w:bottom w:w="57" w:type="dxa"/>
              <w:right w:w="57" w:type="dxa"/>
            </w:tcMar>
            <w:vAlign w:val="center"/>
          </w:tcPr>
          <w:p w:rsidR="003E311F" w:rsidRPr="00515D00" w:rsidRDefault="003E311F" w:rsidP="007A358B">
            <w:pPr>
              <w:rPr>
                <w:sz w:val="18"/>
                <w:szCs w:val="18"/>
              </w:rPr>
            </w:pPr>
            <w:r w:rsidRPr="00515D00">
              <w:rPr>
                <w:sz w:val="18"/>
                <w:szCs w:val="18"/>
              </w:rPr>
              <w:t>Sector de Desarrollo</w:t>
            </w:r>
          </w:p>
        </w:tc>
      </w:tr>
      <w:tr w:rsidR="003E311F" w:rsidRPr="00057B87" w:rsidTr="007A358B">
        <w:tc>
          <w:tcPr>
            <w:tcW w:w="4310" w:type="dxa"/>
            <w:tcMar>
              <w:top w:w="57" w:type="dxa"/>
              <w:left w:w="57" w:type="dxa"/>
              <w:bottom w:w="57" w:type="dxa"/>
              <w:right w:w="57" w:type="dxa"/>
            </w:tcMar>
          </w:tcPr>
          <w:p w:rsidR="003E311F" w:rsidRPr="00515D00" w:rsidRDefault="003E311F" w:rsidP="007A358B">
            <w:pPr>
              <w:rPr>
                <w:sz w:val="18"/>
                <w:szCs w:val="18"/>
              </w:rPr>
            </w:pPr>
            <w:r w:rsidRPr="00515D00">
              <w:rPr>
                <w:sz w:val="18"/>
                <w:szCs w:val="18"/>
              </w:rPr>
              <w:t>Japón – Derecho de autor</w:t>
            </w:r>
          </w:p>
        </w:tc>
        <w:tc>
          <w:tcPr>
            <w:tcW w:w="4580" w:type="dxa"/>
            <w:tcMar>
              <w:top w:w="57" w:type="dxa"/>
              <w:left w:w="57" w:type="dxa"/>
              <w:bottom w:w="57" w:type="dxa"/>
              <w:right w:w="57" w:type="dxa"/>
            </w:tcMar>
          </w:tcPr>
          <w:p w:rsidR="003E311F" w:rsidRPr="00515D00" w:rsidRDefault="003E311F" w:rsidP="007A358B">
            <w:pPr>
              <w:rPr>
                <w:sz w:val="18"/>
                <w:szCs w:val="18"/>
              </w:rPr>
            </w:pPr>
            <w:r w:rsidRPr="00515D00">
              <w:rPr>
                <w:sz w:val="18"/>
                <w:szCs w:val="18"/>
              </w:rPr>
              <w:t>Sector de Cultura e Industrias Creativas</w:t>
            </w:r>
          </w:p>
        </w:tc>
      </w:tr>
      <w:tr w:rsidR="003E311F" w:rsidRPr="00515D00" w:rsidTr="007A358B">
        <w:tc>
          <w:tcPr>
            <w:tcW w:w="4310" w:type="dxa"/>
            <w:tcMar>
              <w:top w:w="57" w:type="dxa"/>
              <w:left w:w="57" w:type="dxa"/>
              <w:bottom w:w="57" w:type="dxa"/>
              <w:right w:w="57" w:type="dxa"/>
            </w:tcMar>
          </w:tcPr>
          <w:p w:rsidR="003E311F" w:rsidRPr="00515D00" w:rsidRDefault="003E311F" w:rsidP="007A358B">
            <w:pPr>
              <w:rPr>
                <w:sz w:val="18"/>
                <w:szCs w:val="18"/>
              </w:rPr>
            </w:pPr>
            <w:r w:rsidRPr="00515D00">
              <w:rPr>
                <w:sz w:val="18"/>
                <w:szCs w:val="18"/>
              </w:rPr>
              <w:t>Japón – P.I.</w:t>
            </w:r>
          </w:p>
        </w:tc>
        <w:tc>
          <w:tcPr>
            <w:tcW w:w="4580" w:type="dxa"/>
            <w:tcMar>
              <w:top w:w="57" w:type="dxa"/>
              <w:left w:w="57" w:type="dxa"/>
              <w:bottom w:w="57" w:type="dxa"/>
              <w:right w:w="57" w:type="dxa"/>
            </w:tcMar>
          </w:tcPr>
          <w:p w:rsidR="003E311F" w:rsidRPr="00515D00" w:rsidRDefault="003E311F" w:rsidP="007A358B">
            <w:pPr>
              <w:rPr>
                <w:sz w:val="18"/>
                <w:szCs w:val="18"/>
              </w:rPr>
            </w:pPr>
            <w:r w:rsidRPr="00515D00">
              <w:rPr>
                <w:sz w:val="18"/>
                <w:szCs w:val="18"/>
              </w:rPr>
              <w:t>Sector de Desarrollo</w:t>
            </w:r>
          </w:p>
        </w:tc>
      </w:tr>
      <w:tr w:rsidR="003E311F" w:rsidRPr="00515D00" w:rsidTr="007A358B">
        <w:tc>
          <w:tcPr>
            <w:tcW w:w="4310" w:type="dxa"/>
            <w:tcMar>
              <w:top w:w="57" w:type="dxa"/>
              <w:left w:w="57" w:type="dxa"/>
              <w:bottom w:w="57" w:type="dxa"/>
              <w:right w:w="57" w:type="dxa"/>
            </w:tcMar>
          </w:tcPr>
          <w:p w:rsidR="003E311F" w:rsidRPr="00515D00" w:rsidRDefault="003E311F" w:rsidP="007A358B">
            <w:pPr>
              <w:rPr>
                <w:sz w:val="18"/>
                <w:szCs w:val="18"/>
              </w:rPr>
            </w:pPr>
            <w:r w:rsidRPr="00515D00">
              <w:rPr>
                <w:sz w:val="18"/>
                <w:szCs w:val="18"/>
              </w:rPr>
              <w:t>Japón – P.I. / África</w:t>
            </w:r>
          </w:p>
        </w:tc>
        <w:tc>
          <w:tcPr>
            <w:tcW w:w="4580" w:type="dxa"/>
            <w:tcMar>
              <w:top w:w="57" w:type="dxa"/>
              <w:left w:w="57" w:type="dxa"/>
              <w:bottom w:w="57" w:type="dxa"/>
              <w:right w:w="57" w:type="dxa"/>
            </w:tcMar>
          </w:tcPr>
          <w:p w:rsidR="003E311F" w:rsidRPr="00515D00" w:rsidRDefault="003E311F" w:rsidP="007A358B">
            <w:pPr>
              <w:rPr>
                <w:sz w:val="18"/>
                <w:szCs w:val="18"/>
              </w:rPr>
            </w:pPr>
            <w:r w:rsidRPr="00515D00">
              <w:rPr>
                <w:sz w:val="18"/>
                <w:szCs w:val="18"/>
              </w:rPr>
              <w:t>Sector de Desarrollo</w:t>
            </w:r>
          </w:p>
        </w:tc>
      </w:tr>
      <w:tr w:rsidR="003E311F" w:rsidRPr="00515D00" w:rsidTr="007A358B">
        <w:tc>
          <w:tcPr>
            <w:tcW w:w="4310" w:type="dxa"/>
            <w:tcMar>
              <w:top w:w="57" w:type="dxa"/>
              <w:left w:w="57" w:type="dxa"/>
              <w:bottom w:w="57" w:type="dxa"/>
              <w:right w:w="57" w:type="dxa"/>
            </w:tcMar>
          </w:tcPr>
          <w:p w:rsidR="003E311F" w:rsidRPr="00515D00" w:rsidRDefault="003E311F" w:rsidP="007A358B">
            <w:pPr>
              <w:rPr>
                <w:sz w:val="18"/>
                <w:szCs w:val="18"/>
              </w:rPr>
            </w:pPr>
            <w:r w:rsidRPr="00515D00">
              <w:rPr>
                <w:sz w:val="18"/>
                <w:szCs w:val="18"/>
              </w:rPr>
              <w:t>República de Corea – Fomentar el respeto por la P.I.</w:t>
            </w:r>
          </w:p>
        </w:tc>
        <w:tc>
          <w:tcPr>
            <w:tcW w:w="4580" w:type="dxa"/>
            <w:tcMar>
              <w:top w:w="57" w:type="dxa"/>
              <w:left w:w="57" w:type="dxa"/>
              <w:bottom w:w="57" w:type="dxa"/>
              <w:right w:w="57" w:type="dxa"/>
            </w:tcMar>
          </w:tcPr>
          <w:p w:rsidR="003E311F" w:rsidRPr="00515D00" w:rsidRDefault="003E311F" w:rsidP="007A358B">
            <w:pPr>
              <w:rPr>
                <w:sz w:val="18"/>
                <w:szCs w:val="18"/>
              </w:rPr>
            </w:pPr>
            <w:r w:rsidRPr="00515D00">
              <w:rPr>
                <w:sz w:val="18"/>
                <w:szCs w:val="18"/>
              </w:rPr>
              <w:t>Sector de Cuestiones Mundiales</w:t>
            </w:r>
          </w:p>
        </w:tc>
      </w:tr>
      <w:tr w:rsidR="003E311F" w:rsidRPr="00057B87" w:rsidTr="007A358B">
        <w:tc>
          <w:tcPr>
            <w:tcW w:w="4310" w:type="dxa"/>
            <w:tcMar>
              <w:top w:w="57" w:type="dxa"/>
              <w:left w:w="57" w:type="dxa"/>
              <w:bottom w:w="57" w:type="dxa"/>
              <w:right w:w="57" w:type="dxa"/>
            </w:tcMar>
          </w:tcPr>
          <w:p w:rsidR="003E311F" w:rsidRPr="00515D00" w:rsidRDefault="003E311F" w:rsidP="007A358B">
            <w:pPr>
              <w:rPr>
                <w:sz w:val="18"/>
                <w:szCs w:val="18"/>
              </w:rPr>
            </w:pPr>
            <w:r w:rsidRPr="00515D00">
              <w:rPr>
                <w:sz w:val="18"/>
                <w:szCs w:val="18"/>
              </w:rPr>
              <w:t>República de Corea – Derecho de autor</w:t>
            </w:r>
          </w:p>
        </w:tc>
        <w:tc>
          <w:tcPr>
            <w:tcW w:w="4580" w:type="dxa"/>
            <w:tcMar>
              <w:top w:w="57" w:type="dxa"/>
              <w:left w:w="57" w:type="dxa"/>
              <w:bottom w:w="57" w:type="dxa"/>
              <w:right w:w="57" w:type="dxa"/>
            </w:tcMar>
          </w:tcPr>
          <w:p w:rsidR="003E311F" w:rsidRPr="00515D00" w:rsidRDefault="003E311F" w:rsidP="007A358B">
            <w:pPr>
              <w:rPr>
                <w:sz w:val="18"/>
                <w:szCs w:val="18"/>
              </w:rPr>
            </w:pPr>
            <w:r w:rsidRPr="00515D00">
              <w:rPr>
                <w:sz w:val="18"/>
                <w:szCs w:val="18"/>
              </w:rPr>
              <w:t>Sector de Cultura e Industrias Creativas</w:t>
            </w:r>
          </w:p>
        </w:tc>
      </w:tr>
      <w:tr w:rsidR="003E311F" w:rsidRPr="00515D00" w:rsidTr="007A358B">
        <w:tc>
          <w:tcPr>
            <w:tcW w:w="4310" w:type="dxa"/>
            <w:tcMar>
              <w:top w:w="57" w:type="dxa"/>
              <w:left w:w="57" w:type="dxa"/>
              <w:bottom w:w="57" w:type="dxa"/>
              <w:right w:w="57" w:type="dxa"/>
            </w:tcMar>
          </w:tcPr>
          <w:p w:rsidR="003E311F" w:rsidRPr="00515D00" w:rsidRDefault="003E311F" w:rsidP="007A358B">
            <w:pPr>
              <w:rPr>
                <w:sz w:val="18"/>
                <w:szCs w:val="18"/>
              </w:rPr>
            </w:pPr>
            <w:r w:rsidRPr="00515D00">
              <w:rPr>
                <w:sz w:val="18"/>
                <w:szCs w:val="18"/>
              </w:rPr>
              <w:t>República de Corea – Educación</w:t>
            </w:r>
          </w:p>
        </w:tc>
        <w:tc>
          <w:tcPr>
            <w:tcW w:w="4580" w:type="dxa"/>
            <w:tcMar>
              <w:top w:w="57" w:type="dxa"/>
              <w:left w:w="57" w:type="dxa"/>
              <w:bottom w:w="57" w:type="dxa"/>
              <w:right w:w="57" w:type="dxa"/>
            </w:tcMar>
          </w:tcPr>
          <w:p w:rsidR="003E311F" w:rsidRPr="00515D00" w:rsidRDefault="003E311F" w:rsidP="007A358B">
            <w:pPr>
              <w:rPr>
                <w:sz w:val="18"/>
                <w:szCs w:val="18"/>
              </w:rPr>
            </w:pPr>
            <w:r w:rsidRPr="00515D00">
              <w:rPr>
                <w:sz w:val="18"/>
                <w:szCs w:val="18"/>
              </w:rPr>
              <w:t>Sector de Desarrollo</w:t>
            </w:r>
          </w:p>
        </w:tc>
      </w:tr>
      <w:tr w:rsidR="003E311F" w:rsidRPr="00515D00" w:rsidTr="007A358B">
        <w:trPr>
          <w:trHeight w:val="238"/>
        </w:trPr>
        <w:tc>
          <w:tcPr>
            <w:tcW w:w="4310" w:type="dxa"/>
            <w:tcMar>
              <w:top w:w="57" w:type="dxa"/>
              <w:left w:w="57" w:type="dxa"/>
              <w:bottom w:w="57" w:type="dxa"/>
              <w:right w:w="57" w:type="dxa"/>
            </w:tcMar>
          </w:tcPr>
          <w:p w:rsidR="003E311F" w:rsidRPr="00515D00" w:rsidRDefault="003E311F" w:rsidP="007A358B">
            <w:pPr>
              <w:rPr>
                <w:sz w:val="18"/>
                <w:szCs w:val="18"/>
              </w:rPr>
            </w:pPr>
            <w:r w:rsidRPr="00515D00">
              <w:rPr>
                <w:sz w:val="18"/>
                <w:szCs w:val="18"/>
              </w:rPr>
              <w:t>República de Corea – P.I.</w:t>
            </w:r>
          </w:p>
        </w:tc>
        <w:tc>
          <w:tcPr>
            <w:tcW w:w="4580" w:type="dxa"/>
            <w:tcMar>
              <w:top w:w="57" w:type="dxa"/>
              <w:left w:w="57" w:type="dxa"/>
              <w:bottom w:w="57" w:type="dxa"/>
              <w:right w:w="57" w:type="dxa"/>
            </w:tcMar>
          </w:tcPr>
          <w:p w:rsidR="003E311F" w:rsidRPr="00515D00" w:rsidRDefault="003E311F" w:rsidP="007A358B">
            <w:pPr>
              <w:rPr>
                <w:sz w:val="18"/>
                <w:szCs w:val="18"/>
              </w:rPr>
            </w:pPr>
            <w:r w:rsidRPr="00515D00">
              <w:rPr>
                <w:sz w:val="18"/>
                <w:szCs w:val="18"/>
              </w:rPr>
              <w:t>Sector de Desarrollo</w:t>
            </w:r>
          </w:p>
        </w:tc>
      </w:tr>
      <w:tr w:rsidR="003E311F" w:rsidRPr="00515D00" w:rsidTr="007A358B">
        <w:trPr>
          <w:trHeight w:val="238"/>
        </w:trPr>
        <w:tc>
          <w:tcPr>
            <w:tcW w:w="4310" w:type="dxa"/>
            <w:tcMar>
              <w:top w:w="57" w:type="dxa"/>
              <w:left w:w="57" w:type="dxa"/>
              <w:bottom w:w="57" w:type="dxa"/>
              <w:right w:w="57" w:type="dxa"/>
            </w:tcMar>
          </w:tcPr>
          <w:p w:rsidR="003E311F" w:rsidRPr="00515D00" w:rsidRDefault="003E311F" w:rsidP="007A358B">
            <w:pPr>
              <w:rPr>
                <w:sz w:val="18"/>
                <w:szCs w:val="18"/>
              </w:rPr>
            </w:pPr>
            <w:r w:rsidRPr="00515D00">
              <w:rPr>
                <w:sz w:val="18"/>
                <w:szCs w:val="18"/>
              </w:rPr>
              <w:t>México</w:t>
            </w:r>
          </w:p>
        </w:tc>
        <w:tc>
          <w:tcPr>
            <w:tcW w:w="4580" w:type="dxa"/>
            <w:tcMar>
              <w:top w:w="57" w:type="dxa"/>
              <w:left w:w="57" w:type="dxa"/>
              <w:bottom w:w="57" w:type="dxa"/>
              <w:right w:w="57" w:type="dxa"/>
            </w:tcMar>
          </w:tcPr>
          <w:p w:rsidR="003E311F" w:rsidRPr="00515D00" w:rsidRDefault="003E311F" w:rsidP="007A358B">
            <w:pPr>
              <w:rPr>
                <w:sz w:val="18"/>
                <w:szCs w:val="18"/>
              </w:rPr>
            </w:pPr>
            <w:r w:rsidRPr="00515D00">
              <w:rPr>
                <w:sz w:val="18"/>
                <w:szCs w:val="18"/>
              </w:rPr>
              <w:t>Sector de Desarrollo</w:t>
            </w:r>
          </w:p>
        </w:tc>
      </w:tr>
      <w:tr w:rsidR="003E311F" w:rsidRPr="00515D00" w:rsidTr="007A358B">
        <w:trPr>
          <w:trHeight w:val="238"/>
        </w:trPr>
        <w:tc>
          <w:tcPr>
            <w:tcW w:w="4310" w:type="dxa"/>
            <w:tcMar>
              <w:top w:w="57" w:type="dxa"/>
              <w:left w:w="57" w:type="dxa"/>
              <w:bottom w:w="57" w:type="dxa"/>
              <w:right w:w="57" w:type="dxa"/>
            </w:tcMar>
          </w:tcPr>
          <w:p w:rsidR="003E311F" w:rsidRPr="00515D00" w:rsidRDefault="003E311F" w:rsidP="007A358B">
            <w:pPr>
              <w:rPr>
                <w:sz w:val="18"/>
                <w:szCs w:val="18"/>
              </w:rPr>
            </w:pPr>
            <w:r w:rsidRPr="00515D00">
              <w:rPr>
                <w:sz w:val="18"/>
                <w:szCs w:val="18"/>
              </w:rPr>
              <w:t>España</w:t>
            </w:r>
          </w:p>
        </w:tc>
        <w:tc>
          <w:tcPr>
            <w:tcW w:w="4580" w:type="dxa"/>
            <w:tcMar>
              <w:top w:w="57" w:type="dxa"/>
              <w:left w:w="57" w:type="dxa"/>
              <w:bottom w:w="57" w:type="dxa"/>
              <w:right w:w="57" w:type="dxa"/>
            </w:tcMar>
          </w:tcPr>
          <w:p w:rsidR="003E311F" w:rsidRPr="00515D00" w:rsidRDefault="003E311F" w:rsidP="007A358B">
            <w:pPr>
              <w:rPr>
                <w:sz w:val="18"/>
                <w:szCs w:val="18"/>
              </w:rPr>
            </w:pPr>
            <w:r w:rsidRPr="00515D00">
              <w:rPr>
                <w:sz w:val="18"/>
                <w:szCs w:val="18"/>
              </w:rPr>
              <w:t>Sector de Desarrollo</w:t>
            </w:r>
          </w:p>
        </w:tc>
      </w:tr>
      <w:tr w:rsidR="003E311F" w:rsidRPr="00515D00" w:rsidTr="007A358B">
        <w:trPr>
          <w:trHeight w:val="238"/>
        </w:trPr>
        <w:tc>
          <w:tcPr>
            <w:tcW w:w="4310" w:type="dxa"/>
            <w:tcMar>
              <w:top w:w="57" w:type="dxa"/>
              <w:left w:w="57" w:type="dxa"/>
              <w:bottom w:w="57" w:type="dxa"/>
              <w:right w:w="57" w:type="dxa"/>
            </w:tcMar>
          </w:tcPr>
          <w:p w:rsidR="003E311F" w:rsidRPr="00515D00" w:rsidRDefault="003E311F" w:rsidP="007A358B">
            <w:pPr>
              <w:rPr>
                <w:sz w:val="18"/>
                <w:szCs w:val="18"/>
              </w:rPr>
            </w:pPr>
            <w:r w:rsidRPr="00515D00">
              <w:rPr>
                <w:sz w:val="18"/>
                <w:szCs w:val="18"/>
              </w:rPr>
              <w:t>Uruguay</w:t>
            </w:r>
          </w:p>
        </w:tc>
        <w:tc>
          <w:tcPr>
            <w:tcW w:w="4580" w:type="dxa"/>
            <w:tcMar>
              <w:top w:w="57" w:type="dxa"/>
              <w:left w:w="57" w:type="dxa"/>
              <w:bottom w:w="57" w:type="dxa"/>
              <w:right w:w="57" w:type="dxa"/>
            </w:tcMar>
          </w:tcPr>
          <w:p w:rsidR="003E311F" w:rsidRPr="00515D00" w:rsidRDefault="003E311F" w:rsidP="007A358B">
            <w:pPr>
              <w:rPr>
                <w:sz w:val="18"/>
                <w:szCs w:val="18"/>
              </w:rPr>
            </w:pPr>
            <w:r w:rsidRPr="00515D00">
              <w:rPr>
                <w:sz w:val="18"/>
                <w:szCs w:val="18"/>
              </w:rPr>
              <w:t>Sector de Desarrollo</w:t>
            </w:r>
          </w:p>
        </w:tc>
      </w:tr>
    </w:tbl>
    <w:p w:rsidR="003E311F" w:rsidRPr="00515D00" w:rsidRDefault="003E311F" w:rsidP="003E311F">
      <w:pPr>
        <w:jc w:val="both"/>
      </w:pPr>
    </w:p>
    <w:p w:rsidR="003E311F" w:rsidRPr="00515D00" w:rsidRDefault="003E311F" w:rsidP="003E311F">
      <w:pPr>
        <w:ind w:left="567"/>
        <w:jc w:val="center"/>
      </w:pPr>
    </w:p>
    <w:p w:rsidR="003E311F" w:rsidRPr="00515D00" w:rsidRDefault="003E311F" w:rsidP="003E311F">
      <w:pPr>
        <w:rPr>
          <w:b/>
        </w:rPr>
      </w:pPr>
    </w:p>
    <w:p w:rsidR="003E311F" w:rsidRPr="00515D00" w:rsidRDefault="003E311F" w:rsidP="003E311F">
      <w:pPr>
        <w:rPr>
          <w:b/>
        </w:rPr>
      </w:pPr>
    </w:p>
    <w:p w:rsidR="003E311F" w:rsidRPr="00515D00" w:rsidRDefault="003E311F" w:rsidP="003E311F">
      <w:pPr>
        <w:rPr>
          <w:b/>
        </w:rPr>
      </w:pPr>
    </w:p>
    <w:p w:rsidR="003E311F" w:rsidRPr="00515D00" w:rsidRDefault="003E311F" w:rsidP="003E311F">
      <w:pPr>
        <w:rPr>
          <w:b/>
        </w:rPr>
      </w:pPr>
    </w:p>
    <w:p w:rsidR="003E311F" w:rsidRPr="00515D00" w:rsidRDefault="003E311F" w:rsidP="003E311F">
      <w:pPr>
        <w:spacing w:after="200" w:line="276" w:lineRule="auto"/>
        <w:rPr>
          <w:b/>
        </w:rPr>
      </w:pPr>
      <w:r w:rsidRPr="00515D00">
        <w:rPr>
          <w:b/>
        </w:rPr>
        <w:br w:type="page"/>
      </w:r>
    </w:p>
    <w:p w:rsidR="003E311F" w:rsidRPr="007329AC" w:rsidRDefault="003E311F" w:rsidP="003E311F">
      <w:pPr>
        <w:rPr>
          <w:b/>
          <w:sz w:val="20"/>
        </w:rPr>
      </w:pPr>
      <w:r w:rsidRPr="007329AC">
        <w:rPr>
          <w:b/>
          <w:sz w:val="20"/>
        </w:rPr>
        <w:lastRenderedPageBreak/>
        <w:t>AUSTRALIA</w:t>
      </w:r>
    </w:p>
    <w:p w:rsidR="003E311F" w:rsidRPr="007329AC" w:rsidRDefault="003E311F" w:rsidP="003E311F">
      <w:pPr>
        <w:rPr>
          <w:b/>
          <w:sz w:val="20"/>
        </w:rPr>
      </w:pPr>
    </w:p>
    <w:tbl>
      <w:tblPr>
        <w:tblW w:w="9781" w:type="dxa"/>
        <w:tblInd w:w="10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43"/>
        <w:gridCol w:w="1134"/>
        <w:gridCol w:w="142"/>
        <w:gridCol w:w="1417"/>
        <w:gridCol w:w="284"/>
        <w:gridCol w:w="130"/>
        <w:gridCol w:w="12"/>
        <w:gridCol w:w="4819"/>
      </w:tblGrid>
      <w:tr w:rsidR="003E311F" w:rsidRPr="00057B87" w:rsidTr="007A358B">
        <w:trPr>
          <w:cantSplit/>
        </w:trPr>
        <w:tc>
          <w:tcPr>
            <w:tcW w:w="9781" w:type="dxa"/>
            <w:gridSpan w:val="8"/>
            <w:tcBorders>
              <w:top w:val="single" w:sz="4" w:space="0" w:color="000000"/>
              <w:bottom w:val="single" w:sz="4" w:space="0" w:color="000000"/>
            </w:tcBorders>
            <w:shd w:val="clear" w:color="auto" w:fill="C6D9F1" w:themeFill="text2" w:themeFillTint="33"/>
            <w:vAlign w:val="center"/>
          </w:tcPr>
          <w:p w:rsidR="003E311F" w:rsidRPr="00515D00" w:rsidRDefault="003E311F" w:rsidP="007A358B">
            <w:pPr>
              <w:widowControl w:val="0"/>
              <w:tabs>
                <w:tab w:val="left" w:pos="1740"/>
              </w:tabs>
              <w:spacing w:before="120" w:after="120"/>
              <w:ind w:left="1740" w:hanging="1740"/>
              <w:rPr>
                <w:b/>
                <w:bCs/>
                <w:sz w:val="16"/>
                <w:szCs w:val="16"/>
              </w:rPr>
            </w:pPr>
            <w:r w:rsidRPr="00515D00">
              <w:rPr>
                <w:b/>
                <w:bCs/>
                <w:sz w:val="16"/>
                <w:szCs w:val="16"/>
              </w:rPr>
              <w:t>RESULTADO:</w:t>
            </w:r>
            <w:r w:rsidRPr="00515D00">
              <w:rPr>
                <w:b/>
                <w:bCs/>
                <w:sz w:val="16"/>
                <w:szCs w:val="16"/>
              </w:rPr>
              <w:tab/>
            </w:r>
            <w:r w:rsidRPr="00515D00">
              <w:rPr>
                <w:rFonts w:eastAsia="MS Mincho"/>
                <w:bCs/>
                <w:sz w:val="16"/>
                <w:szCs w:val="16"/>
                <w:lang w:eastAsia="ja-JP" w:bidi="th-TH"/>
              </w:rPr>
              <w:t>II.1</w:t>
            </w:r>
            <w:r>
              <w:rPr>
                <w:rFonts w:eastAsia="MS Mincho"/>
                <w:bCs/>
                <w:sz w:val="16"/>
                <w:szCs w:val="16"/>
                <w:lang w:eastAsia="ja-JP" w:bidi="th-TH"/>
              </w:rPr>
              <w:t xml:space="preserve"> </w:t>
            </w:r>
            <w:r w:rsidRPr="00515D00">
              <w:rPr>
                <w:rFonts w:eastAsia="MS Mincho"/>
                <w:bCs/>
                <w:sz w:val="16"/>
                <w:szCs w:val="16"/>
                <w:lang w:eastAsia="ja-JP" w:bidi="th-TH"/>
              </w:rPr>
              <w:t xml:space="preserve"> Fomento del uso de la vía del PCT para la presentación de solicitudes internacionales de patente</w:t>
            </w:r>
          </w:p>
        </w:tc>
      </w:tr>
      <w:tr w:rsidR="003E311F" w:rsidRPr="00515D00" w:rsidTr="007A358B">
        <w:trPr>
          <w:cantSplit/>
        </w:trPr>
        <w:tc>
          <w:tcPr>
            <w:tcW w:w="1843" w:type="dxa"/>
            <w:tcBorders>
              <w:top w:val="single" w:sz="4" w:space="0" w:color="000000"/>
            </w:tcBorders>
            <w:vAlign w:val="center"/>
          </w:tcPr>
          <w:p w:rsidR="003E311F" w:rsidRPr="00515D00" w:rsidRDefault="003E311F" w:rsidP="007A358B">
            <w:pPr>
              <w:keepNext/>
              <w:keepLines/>
              <w:spacing w:before="60" w:after="60"/>
              <w:rPr>
                <w:b/>
                <w:bCs/>
                <w:sz w:val="16"/>
                <w:szCs w:val="16"/>
              </w:rPr>
            </w:pPr>
            <w:r w:rsidRPr="00515D00">
              <w:rPr>
                <w:b/>
                <w:bCs/>
                <w:sz w:val="16"/>
                <w:szCs w:val="16"/>
              </w:rPr>
              <w:t>Actividad</w:t>
            </w:r>
          </w:p>
        </w:tc>
        <w:tc>
          <w:tcPr>
            <w:tcW w:w="1276" w:type="dxa"/>
            <w:gridSpan w:val="2"/>
            <w:tcBorders>
              <w:top w:val="single" w:sz="4" w:space="0" w:color="000000"/>
            </w:tcBorders>
            <w:shd w:val="clear" w:color="auto" w:fill="auto"/>
            <w:tcMar>
              <w:top w:w="110" w:type="dxa"/>
            </w:tcMar>
            <w:vAlign w:val="center"/>
          </w:tcPr>
          <w:p w:rsidR="003E311F" w:rsidRPr="00515D00" w:rsidRDefault="003E311F" w:rsidP="007A358B">
            <w:pPr>
              <w:keepNext/>
              <w:keepLines/>
              <w:spacing w:before="60" w:after="60"/>
              <w:rPr>
                <w:sz w:val="16"/>
                <w:szCs w:val="16"/>
              </w:rPr>
            </w:pPr>
            <w:r w:rsidRPr="00515D00">
              <w:rPr>
                <w:b/>
                <w:bCs/>
                <w:sz w:val="16"/>
                <w:szCs w:val="16"/>
              </w:rPr>
              <w:t>Fecha</w:t>
            </w:r>
          </w:p>
        </w:tc>
        <w:tc>
          <w:tcPr>
            <w:tcW w:w="1843" w:type="dxa"/>
            <w:gridSpan w:val="4"/>
            <w:tcBorders>
              <w:top w:val="single" w:sz="4" w:space="0" w:color="000000"/>
            </w:tcBorders>
            <w:shd w:val="clear" w:color="auto" w:fill="auto"/>
            <w:tcMar>
              <w:top w:w="110" w:type="dxa"/>
            </w:tcMar>
            <w:vAlign w:val="center"/>
          </w:tcPr>
          <w:p w:rsidR="003E311F" w:rsidRPr="00515D00" w:rsidRDefault="003E311F" w:rsidP="007A358B">
            <w:pPr>
              <w:widowControl w:val="0"/>
              <w:rPr>
                <w:sz w:val="16"/>
                <w:szCs w:val="16"/>
              </w:rPr>
            </w:pPr>
            <w:r w:rsidRPr="00515D00">
              <w:rPr>
                <w:b/>
                <w:sz w:val="16"/>
                <w:szCs w:val="16"/>
              </w:rPr>
              <w:t>País anfitrión / Beneficiarios</w:t>
            </w:r>
          </w:p>
        </w:tc>
        <w:tc>
          <w:tcPr>
            <w:tcW w:w="4819" w:type="dxa"/>
            <w:tcBorders>
              <w:top w:val="single" w:sz="4" w:space="0" w:color="000000"/>
            </w:tcBorders>
            <w:shd w:val="clear" w:color="auto" w:fill="FFFFFF"/>
            <w:tcMar>
              <w:top w:w="110" w:type="dxa"/>
            </w:tcMar>
            <w:vAlign w:val="center"/>
          </w:tcPr>
          <w:p w:rsidR="003E311F" w:rsidRPr="00515D00" w:rsidRDefault="003E311F" w:rsidP="007A358B">
            <w:pPr>
              <w:widowControl w:val="0"/>
              <w:rPr>
                <w:sz w:val="16"/>
                <w:szCs w:val="16"/>
              </w:rPr>
            </w:pPr>
            <w:r w:rsidRPr="00515D00">
              <w:rPr>
                <w:b/>
                <w:sz w:val="16"/>
                <w:szCs w:val="16"/>
              </w:rPr>
              <w:t>Propósito(s)/Descripción</w:t>
            </w:r>
          </w:p>
        </w:tc>
      </w:tr>
      <w:tr w:rsidR="003E311F" w:rsidRPr="00057B87" w:rsidTr="007A358B">
        <w:trPr>
          <w:cantSplit/>
          <w:trHeight w:val="495"/>
        </w:trPr>
        <w:tc>
          <w:tcPr>
            <w:tcW w:w="1843" w:type="dxa"/>
          </w:tcPr>
          <w:p w:rsidR="003E311F" w:rsidRPr="00515D00" w:rsidRDefault="003E311F" w:rsidP="007A358B">
            <w:pPr>
              <w:autoSpaceDE w:val="0"/>
              <w:autoSpaceDN w:val="0"/>
              <w:adjustRightInd w:val="0"/>
              <w:spacing w:before="60" w:after="60"/>
              <w:rPr>
                <w:color w:val="000000"/>
                <w:sz w:val="16"/>
                <w:szCs w:val="16"/>
              </w:rPr>
            </w:pPr>
            <w:r w:rsidRPr="00515D00">
              <w:rPr>
                <w:sz w:val="16"/>
                <w:szCs w:val="16"/>
              </w:rPr>
              <w:t>Seminarios itinerantes sobre el PCT para universidades</w:t>
            </w:r>
          </w:p>
        </w:tc>
        <w:tc>
          <w:tcPr>
            <w:tcW w:w="1276" w:type="dxa"/>
            <w:gridSpan w:val="2"/>
          </w:tcPr>
          <w:p w:rsidR="003E311F" w:rsidRPr="00515D00" w:rsidRDefault="003E311F" w:rsidP="007A358B">
            <w:pPr>
              <w:autoSpaceDE w:val="0"/>
              <w:autoSpaceDN w:val="0"/>
              <w:adjustRightInd w:val="0"/>
              <w:spacing w:before="60" w:after="60"/>
              <w:rPr>
                <w:sz w:val="16"/>
                <w:szCs w:val="16"/>
              </w:rPr>
            </w:pPr>
            <w:r w:rsidRPr="00515D00">
              <w:rPr>
                <w:sz w:val="16"/>
                <w:szCs w:val="16"/>
              </w:rPr>
              <w:t>25 a 26 de marzo de 2015</w:t>
            </w:r>
          </w:p>
        </w:tc>
        <w:tc>
          <w:tcPr>
            <w:tcW w:w="1843" w:type="dxa"/>
            <w:gridSpan w:val="4"/>
          </w:tcPr>
          <w:p w:rsidR="003E311F" w:rsidRPr="00515D00" w:rsidRDefault="003E311F" w:rsidP="007A358B">
            <w:pPr>
              <w:autoSpaceDE w:val="0"/>
              <w:autoSpaceDN w:val="0"/>
              <w:adjustRightInd w:val="0"/>
              <w:spacing w:before="60" w:after="60"/>
              <w:rPr>
                <w:color w:val="000000"/>
                <w:sz w:val="16"/>
                <w:szCs w:val="16"/>
              </w:rPr>
            </w:pPr>
            <w:r w:rsidRPr="00515D00">
              <w:rPr>
                <w:sz w:val="16"/>
                <w:szCs w:val="16"/>
              </w:rPr>
              <w:t>Sudáfrica / 52 participantes</w:t>
            </w:r>
          </w:p>
        </w:tc>
        <w:tc>
          <w:tcPr>
            <w:tcW w:w="4819" w:type="dxa"/>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Los seminarios aportaron conocimientos a los participantes acerca de cómo se puede utilizar el PCT y el sistema internacional de patentes en general para la transferencia de conocimiento, a partir de ejemplos reales.</w:t>
            </w:r>
          </w:p>
        </w:tc>
      </w:tr>
      <w:tr w:rsidR="003E311F" w:rsidRPr="00057B87" w:rsidTr="007A358B">
        <w:trPr>
          <w:cantSplit/>
          <w:trHeight w:val="495"/>
        </w:trPr>
        <w:tc>
          <w:tcPr>
            <w:tcW w:w="1843" w:type="dxa"/>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 xml:space="preserve">Formación sobre el PCT y el </w:t>
            </w:r>
            <w:proofErr w:type="spellStart"/>
            <w:r w:rsidRPr="00515D00">
              <w:rPr>
                <w:color w:val="000000"/>
                <w:sz w:val="16"/>
                <w:szCs w:val="16"/>
              </w:rPr>
              <w:t>ePCT</w:t>
            </w:r>
            <w:proofErr w:type="spellEnd"/>
            <w:r w:rsidRPr="00515D00">
              <w:rPr>
                <w:color w:val="000000"/>
                <w:sz w:val="16"/>
                <w:szCs w:val="16"/>
              </w:rPr>
              <w:t xml:space="preserve"> para los países de la ASEAN</w:t>
            </w:r>
          </w:p>
        </w:tc>
        <w:tc>
          <w:tcPr>
            <w:tcW w:w="1276" w:type="dxa"/>
            <w:gridSpan w:val="2"/>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24 a 25 de marzo de 2015</w:t>
            </w:r>
          </w:p>
        </w:tc>
        <w:tc>
          <w:tcPr>
            <w:tcW w:w="1843" w:type="dxa"/>
            <w:gridSpan w:val="4"/>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 xml:space="preserve">Singapur/ 18 participantes de Brunei Darussalam, Camboya, Indonesia, República Democrática Popular Lao, Malasia, Myanmar, Filipinas, Tailandia, </w:t>
            </w:r>
            <w:proofErr w:type="spellStart"/>
            <w:r w:rsidRPr="00515D00">
              <w:rPr>
                <w:color w:val="000000"/>
                <w:sz w:val="16"/>
                <w:szCs w:val="16"/>
              </w:rPr>
              <w:t>Viet</w:t>
            </w:r>
            <w:proofErr w:type="spellEnd"/>
            <w:r w:rsidRPr="00515D00">
              <w:rPr>
                <w:color w:val="000000"/>
                <w:sz w:val="16"/>
                <w:szCs w:val="16"/>
              </w:rPr>
              <w:t xml:space="preserve"> </w:t>
            </w:r>
            <w:proofErr w:type="spellStart"/>
            <w:r w:rsidRPr="00515D00">
              <w:rPr>
                <w:color w:val="000000"/>
                <w:sz w:val="16"/>
                <w:szCs w:val="16"/>
              </w:rPr>
              <w:t>Nam</w:t>
            </w:r>
            <w:proofErr w:type="spellEnd"/>
          </w:p>
        </w:tc>
        <w:tc>
          <w:tcPr>
            <w:tcW w:w="4819" w:type="dxa"/>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 xml:space="preserve">La formación sirvió para presentar las funciones y procedimientos básicos del PCT y el </w:t>
            </w:r>
            <w:proofErr w:type="spellStart"/>
            <w:r w:rsidRPr="00515D00">
              <w:rPr>
                <w:color w:val="000000"/>
                <w:sz w:val="16"/>
                <w:szCs w:val="16"/>
              </w:rPr>
              <w:t>ePCT</w:t>
            </w:r>
            <w:proofErr w:type="spellEnd"/>
            <w:r w:rsidRPr="00515D00">
              <w:rPr>
                <w:color w:val="000000"/>
                <w:sz w:val="16"/>
                <w:szCs w:val="16"/>
              </w:rPr>
              <w:t xml:space="preserve"> que deben aplicar esas Oficinas.  También fue una valiosa oportunidad para que los participantes intercambiaran experiencias.  El taller subregional también fue una buena ocasión para obtener información actualizada sobre cuestiones relacionadas con el PCT, en especial sobre el </w:t>
            </w:r>
            <w:proofErr w:type="spellStart"/>
            <w:r w:rsidRPr="00515D00">
              <w:rPr>
                <w:color w:val="000000"/>
                <w:sz w:val="16"/>
                <w:szCs w:val="16"/>
              </w:rPr>
              <w:t>ePCT</w:t>
            </w:r>
            <w:proofErr w:type="spellEnd"/>
            <w:r w:rsidRPr="00515D00">
              <w:rPr>
                <w:color w:val="000000"/>
                <w:sz w:val="16"/>
                <w:szCs w:val="16"/>
              </w:rPr>
              <w:t>.</w:t>
            </w:r>
          </w:p>
        </w:tc>
      </w:tr>
      <w:tr w:rsidR="003E311F" w:rsidRPr="00057B87" w:rsidTr="007A358B">
        <w:trPr>
          <w:cantSplit/>
        </w:trPr>
        <w:tc>
          <w:tcPr>
            <w:tcW w:w="9781" w:type="dxa"/>
            <w:gridSpan w:val="8"/>
            <w:tcBorders>
              <w:top w:val="single" w:sz="4" w:space="0" w:color="000000"/>
              <w:bottom w:val="single" w:sz="4" w:space="0" w:color="000000"/>
            </w:tcBorders>
            <w:shd w:val="clear" w:color="auto" w:fill="C6D9F1" w:themeFill="text2" w:themeFillTint="33"/>
            <w:vAlign w:val="center"/>
          </w:tcPr>
          <w:p w:rsidR="003E311F" w:rsidRPr="00515D00" w:rsidRDefault="003E311F" w:rsidP="007A358B">
            <w:pPr>
              <w:keepNext/>
              <w:keepLines/>
              <w:tabs>
                <w:tab w:val="left" w:pos="1740"/>
              </w:tabs>
              <w:spacing w:before="120" w:after="120"/>
              <w:ind w:left="1741" w:hanging="1741"/>
              <w:rPr>
                <w:b/>
                <w:bCs/>
                <w:sz w:val="16"/>
                <w:szCs w:val="16"/>
              </w:rPr>
            </w:pPr>
            <w:r w:rsidRPr="00515D00">
              <w:rPr>
                <w:b/>
                <w:bCs/>
                <w:color w:val="000000"/>
                <w:sz w:val="16"/>
                <w:szCs w:val="16"/>
              </w:rPr>
              <w:t>RESULTADO</w:t>
            </w:r>
            <w:r w:rsidRPr="00515D00">
              <w:rPr>
                <w:b/>
                <w:bCs/>
                <w:sz w:val="16"/>
                <w:szCs w:val="16"/>
              </w:rPr>
              <w:t>:</w:t>
            </w:r>
            <w:r w:rsidRPr="00515D00">
              <w:rPr>
                <w:b/>
                <w:bCs/>
                <w:sz w:val="16"/>
                <w:szCs w:val="16"/>
              </w:rPr>
              <w:tab/>
            </w:r>
            <w:r w:rsidRPr="00515D00">
              <w:rPr>
                <w:bCs/>
                <w:sz w:val="16"/>
                <w:szCs w:val="16"/>
              </w:rPr>
              <w:t>III.1  Estrategias y planes nacionales de innovación y de P.I. que estén en sintonía con los objetivos nacionales de desarrollo</w:t>
            </w:r>
          </w:p>
        </w:tc>
      </w:tr>
      <w:tr w:rsidR="003E311F" w:rsidRPr="00515D00" w:rsidTr="007A358B">
        <w:trPr>
          <w:cantSplit/>
        </w:trPr>
        <w:tc>
          <w:tcPr>
            <w:tcW w:w="1843" w:type="dxa"/>
            <w:tcBorders>
              <w:top w:val="single" w:sz="4" w:space="0" w:color="000000"/>
            </w:tcBorders>
            <w:vAlign w:val="center"/>
          </w:tcPr>
          <w:p w:rsidR="003E311F" w:rsidRPr="00515D00" w:rsidRDefault="003E311F" w:rsidP="007A358B">
            <w:pPr>
              <w:keepNext/>
              <w:keepLines/>
              <w:spacing w:before="60" w:after="60"/>
              <w:rPr>
                <w:b/>
                <w:bCs/>
                <w:sz w:val="16"/>
                <w:szCs w:val="16"/>
              </w:rPr>
            </w:pPr>
            <w:r w:rsidRPr="00515D00">
              <w:rPr>
                <w:b/>
                <w:bCs/>
                <w:sz w:val="16"/>
                <w:szCs w:val="16"/>
              </w:rPr>
              <w:t>Actividad</w:t>
            </w:r>
          </w:p>
        </w:tc>
        <w:tc>
          <w:tcPr>
            <w:tcW w:w="1276" w:type="dxa"/>
            <w:gridSpan w:val="2"/>
            <w:tcBorders>
              <w:top w:val="single" w:sz="4" w:space="0" w:color="000000"/>
            </w:tcBorders>
            <w:shd w:val="clear" w:color="auto" w:fill="auto"/>
            <w:tcMar>
              <w:top w:w="110" w:type="dxa"/>
            </w:tcMar>
            <w:vAlign w:val="center"/>
          </w:tcPr>
          <w:p w:rsidR="003E311F" w:rsidRPr="00515D00" w:rsidRDefault="003E311F" w:rsidP="007A358B">
            <w:pPr>
              <w:keepNext/>
              <w:keepLines/>
              <w:spacing w:before="60" w:after="60"/>
              <w:rPr>
                <w:sz w:val="16"/>
                <w:szCs w:val="16"/>
              </w:rPr>
            </w:pPr>
            <w:r w:rsidRPr="00515D00">
              <w:rPr>
                <w:b/>
                <w:bCs/>
                <w:sz w:val="16"/>
                <w:szCs w:val="16"/>
              </w:rPr>
              <w:t>Fecha</w:t>
            </w:r>
          </w:p>
        </w:tc>
        <w:tc>
          <w:tcPr>
            <w:tcW w:w="1843" w:type="dxa"/>
            <w:gridSpan w:val="4"/>
            <w:tcBorders>
              <w:top w:val="single" w:sz="4" w:space="0" w:color="000000"/>
            </w:tcBorders>
            <w:shd w:val="clear" w:color="auto" w:fill="auto"/>
            <w:tcMar>
              <w:top w:w="110" w:type="dxa"/>
            </w:tcMar>
            <w:vAlign w:val="center"/>
          </w:tcPr>
          <w:p w:rsidR="003E311F" w:rsidRPr="00515D00" w:rsidRDefault="003E311F" w:rsidP="007A358B">
            <w:pPr>
              <w:widowControl w:val="0"/>
              <w:rPr>
                <w:sz w:val="16"/>
                <w:szCs w:val="16"/>
              </w:rPr>
            </w:pPr>
            <w:r w:rsidRPr="00515D00">
              <w:rPr>
                <w:b/>
                <w:sz w:val="16"/>
                <w:szCs w:val="16"/>
              </w:rPr>
              <w:t>País anfitrión / Beneficiarios</w:t>
            </w:r>
          </w:p>
        </w:tc>
        <w:tc>
          <w:tcPr>
            <w:tcW w:w="4819" w:type="dxa"/>
            <w:tcBorders>
              <w:top w:val="single" w:sz="4" w:space="0" w:color="000000"/>
            </w:tcBorders>
            <w:shd w:val="clear" w:color="auto" w:fill="FFFFFF"/>
            <w:tcMar>
              <w:top w:w="110" w:type="dxa"/>
            </w:tcMar>
            <w:vAlign w:val="center"/>
          </w:tcPr>
          <w:p w:rsidR="003E311F" w:rsidRPr="00515D00" w:rsidRDefault="003E311F" w:rsidP="007A358B">
            <w:pPr>
              <w:widowControl w:val="0"/>
              <w:rPr>
                <w:sz w:val="16"/>
                <w:szCs w:val="16"/>
              </w:rPr>
            </w:pPr>
            <w:r w:rsidRPr="00515D00">
              <w:rPr>
                <w:b/>
                <w:sz w:val="16"/>
                <w:szCs w:val="16"/>
              </w:rPr>
              <w:t>Propósito(s)/Descripción</w:t>
            </w:r>
          </w:p>
        </w:tc>
      </w:tr>
      <w:tr w:rsidR="003E311F" w:rsidRPr="00057B87" w:rsidTr="007A358B">
        <w:trPr>
          <w:cantSplit/>
          <w:trHeight w:val="473"/>
        </w:trPr>
        <w:tc>
          <w:tcPr>
            <w:tcW w:w="1843" w:type="dxa"/>
            <w:tcBorders>
              <w:bottom w:val="nil"/>
            </w:tcBorders>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 xml:space="preserve">Consulta nacional sobre el </w:t>
            </w:r>
            <w:r w:rsidRPr="00515D00">
              <w:rPr>
                <w:sz w:val="16"/>
                <w:szCs w:val="16"/>
              </w:rPr>
              <w:t>proyecto de estrategia nacional de P.I.</w:t>
            </w:r>
          </w:p>
        </w:tc>
        <w:tc>
          <w:tcPr>
            <w:tcW w:w="1276" w:type="dxa"/>
            <w:gridSpan w:val="2"/>
            <w:tcBorders>
              <w:bottom w:val="nil"/>
            </w:tcBorders>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9 y 10 de abril de 2015</w:t>
            </w:r>
          </w:p>
        </w:tc>
        <w:tc>
          <w:tcPr>
            <w:tcW w:w="1831" w:type="dxa"/>
            <w:gridSpan w:val="3"/>
            <w:tcBorders>
              <w:bottom w:val="nil"/>
            </w:tcBorders>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Islas Cook</w:t>
            </w:r>
          </w:p>
        </w:tc>
        <w:tc>
          <w:tcPr>
            <w:tcW w:w="4831" w:type="dxa"/>
            <w:gridSpan w:val="2"/>
            <w:tcBorders>
              <w:bottom w:val="nil"/>
            </w:tcBorders>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Celebrar reuniones con los principales sectores interesados para presentar y debatir con detalle la estrategia nacional de P.I. Sobre la base de los debates mantenidos, se presentó al Gobierno una estrategia revisada de P.I. para su aprobación.</w:t>
            </w:r>
          </w:p>
        </w:tc>
      </w:tr>
      <w:tr w:rsidR="003E311F" w:rsidRPr="00057B87" w:rsidTr="007A358B">
        <w:trPr>
          <w:cantSplit/>
          <w:trHeight w:val="473"/>
        </w:trPr>
        <w:tc>
          <w:tcPr>
            <w:tcW w:w="1843" w:type="dxa"/>
            <w:tcBorders>
              <w:top w:val="nil"/>
              <w:bottom w:val="nil"/>
            </w:tcBorders>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 xml:space="preserve">Consulta nacional sobre el </w:t>
            </w:r>
            <w:r w:rsidRPr="00515D00">
              <w:rPr>
                <w:sz w:val="16"/>
                <w:szCs w:val="16"/>
              </w:rPr>
              <w:t>proyecto de estrategia nacional de P.I.</w:t>
            </w:r>
          </w:p>
        </w:tc>
        <w:tc>
          <w:tcPr>
            <w:tcW w:w="1276" w:type="dxa"/>
            <w:gridSpan w:val="2"/>
            <w:tcBorders>
              <w:top w:val="nil"/>
              <w:bottom w:val="nil"/>
            </w:tcBorders>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14 a 16 de abril de 2015</w:t>
            </w:r>
          </w:p>
        </w:tc>
        <w:tc>
          <w:tcPr>
            <w:tcW w:w="1831" w:type="dxa"/>
            <w:gridSpan w:val="3"/>
            <w:tcBorders>
              <w:top w:val="nil"/>
              <w:bottom w:val="nil"/>
            </w:tcBorders>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Islas Salomón</w:t>
            </w:r>
          </w:p>
        </w:tc>
        <w:tc>
          <w:tcPr>
            <w:tcW w:w="4831" w:type="dxa"/>
            <w:gridSpan w:val="2"/>
            <w:tcBorders>
              <w:top w:val="nil"/>
              <w:bottom w:val="nil"/>
            </w:tcBorders>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 xml:space="preserve">Celebrar consultas presenciales con los sectores nacionales interesados sobre el proyecto actual de estrategia nacional de P.I. e introducir las últimas revisiones antes de presentar al Gobierno una estrategia revisada de P.I. para su aprobación.  </w:t>
            </w:r>
          </w:p>
        </w:tc>
      </w:tr>
      <w:tr w:rsidR="003E311F" w:rsidRPr="00057B87" w:rsidTr="007A358B">
        <w:trPr>
          <w:cantSplit/>
          <w:trHeight w:val="473"/>
        </w:trPr>
        <w:tc>
          <w:tcPr>
            <w:tcW w:w="1843" w:type="dxa"/>
            <w:tcBorders>
              <w:top w:val="nil"/>
              <w:bottom w:val="single" w:sz="4" w:space="0" w:color="auto"/>
            </w:tcBorders>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 xml:space="preserve">Taller de consulta nacional para elaborar una estrategia nacional de P.I. </w:t>
            </w:r>
          </w:p>
        </w:tc>
        <w:tc>
          <w:tcPr>
            <w:tcW w:w="1276" w:type="dxa"/>
            <w:gridSpan w:val="2"/>
            <w:tcBorders>
              <w:top w:val="nil"/>
              <w:bottom w:val="single" w:sz="4" w:space="0" w:color="auto"/>
            </w:tcBorders>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13 de febrero de 2015</w:t>
            </w:r>
          </w:p>
        </w:tc>
        <w:tc>
          <w:tcPr>
            <w:tcW w:w="1831" w:type="dxa"/>
            <w:gridSpan w:val="3"/>
            <w:tcBorders>
              <w:top w:val="nil"/>
              <w:bottom w:val="single" w:sz="4" w:space="0" w:color="auto"/>
            </w:tcBorders>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Myanmar</w:t>
            </w:r>
          </w:p>
        </w:tc>
        <w:tc>
          <w:tcPr>
            <w:tcW w:w="4831" w:type="dxa"/>
            <w:gridSpan w:val="2"/>
            <w:tcBorders>
              <w:top w:val="nil"/>
              <w:bottom w:val="single" w:sz="4" w:space="0" w:color="auto"/>
            </w:tcBorders>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Mejorar el conocimiento de la metodología y el proceso de formulación y aplicación de una estrategia nacional de P.I. y debatir cuestiones relativas a las políticas que deberá abordar y a los posibles elementos que deberá incorporar dicha estrategia, teniendo en cuenta las metas y los objetivos de desarrollo del país.  El Taller de consulta nacional sentó las bases para iniciar el proceso de formulación y para que el equipo del proyecto, integrado por dos asesores internacionales y un experto nacional, llevara a cabo una investigación documental exhaustiva, elaborara una encuesta de referencia y presentara un informe con sus conclusiones preliminares, las cuales sirvieron, a su vez, como base para ulteriores reuniones de consulta a nivel nacional.</w:t>
            </w:r>
          </w:p>
        </w:tc>
      </w:tr>
      <w:tr w:rsidR="003E311F" w:rsidRPr="00057B87" w:rsidTr="007A358B">
        <w:trPr>
          <w:cantSplit/>
          <w:trHeight w:val="315"/>
        </w:trPr>
        <w:tc>
          <w:tcPr>
            <w:tcW w:w="9781" w:type="dxa"/>
            <w:gridSpan w:val="8"/>
            <w:tcBorders>
              <w:top w:val="single" w:sz="4" w:space="0" w:color="auto"/>
              <w:bottom w:val="single" w:sz="4" w:space="0" w:color="000000"/>
            </w:tcBorders>
            <w:shd w:val="clear" w:color="auto" w:fill="C6D9F1" w:themeFill="text2" w:themeFillTint="33"/>
          </w:tcPr>
          <w:p w:rsidR="003E311F" w:rsidRPr="00515D00" w:rsidRDefault="003E311F" w:rsidP="007A358B">
            <w:pPr>
              <w:keepNext/>
              <w:keepLines/>
              <w:tabs>
                <w:tab w:val="left" w:pos="1740"/>
              </w:tabs>
              <w:spacing w:before="60" w:after="60"/>
              <w:ind w:left="1740" w:hanging="1740"/>
              <w:rPr>
                <w:color w:val="000000"/>
                <w:sz w:val="16"/>
                <w:szCs w:val="16"/>
              </w:rPr>
            </w:pPr>
            <w:r w:rsidRPr="00515D00">
              <w:rPr>
                <w:b/>
                <w:bCs/>
                <w:color w:val="000000"/>
                <w:sz w:val="16"/>
                <w:szCs w:val="16"/>
              </w:rPr>
              <w:t>RESULTADO:</w:t>
            </w:r>
            <w:r w:rsidRPr="00515D00">
              <w:rPr>
                <w:bCs/>
                <w:sz w:val="16"/>
                <w:szCs w:val="16"/>
              </w:rPr>
              <w:tab/>
              <w:t xml:space="preserve">III.2  Aumento de las capacidades en recursos humanos para hacer frente a la gran diversidad de exigencias que supone la utilización eficaz de la P.I. para fomentar el desarrollo en los países en desarrollo, </w:t>
            </w:r>
            <w:r>
              <w:rPr>
                <w:bCs/>
                <w:sz w:val="16"/>
                <w:szCs w:val="16"/>
              </w:rPr>
              <w:t>PMA</w:t>
            </w:r>
            <w:r w:rsidRPr="00515D00">
              <w:rPr>
                <w:bCs/>
                <w:sz w:val="16"/>
                <w:szCs w:val="16"/>
              </w:rPr>
              <w:t xml:space="preserve"> y países con economías en transición</w:t>
            </w:r>
          </w:p>
        </w:tc>
      </w:tr>
      <w:tr w:rsidR="003E311F" w:rsidRPr="00515D00" w:rsidTr="007A358B">
        <w:trPr>
          <w:cantSplit/>
          <w:trHeight w:val="405"/>
        </w:trPr>
        <w:tc>
          <w:tcPr>
            <w:tcW w:w="1843" w:type="dxa"/>
            <w:tcBorders>
              <w:top w:val="single" w:sz="4" w:space="0" w:color="000000"/>
            </w:tcBorders>
            <w:vAlign w:val="center"/>
          </w:tcPr>
          <w:p w:rsidR="003E311F" w:rsidRPr="00515D00" w:rsidRDefault="003E311F" w:rsidP="007A358B">
            <w:pPr>
              <w:keepNext/>
              <w:keepLines/>
              <w:spacing w:before="60" w:after="60"/>
              <w:rPr>
                <w:b/>
                <w:bCs/>
                <w:sz w:val="16"/>
                <w:szCs w:val="16"/>
              </w:rPr>
            </w:pPr>
            <w:r w:rsidRPr="00515D00">
              <w:rPr>
                <w:b/>
                <w:bCs/>
                <w:sz w:val="16"/>
                <w:szCs w:val="16"/>
              </w:rPr>
              <w:t>Actividad</w:t>
            </w:r>
          </w:p>
        </w:tc>
        <w:tc>
          <w:tcPr>
            <w:tcW w:w="1276" w:type="dxa"/>
            <w:gridSpan w:val="2"/>
            <w:tcBorders>
              <w:top w:val="single" w:sz="4" w:space="0" w:color="000000"/>
            </w:tcBorders>
            <w:vAlign w:val="center"/>
          </w:tcPr>
          <w:p w:rsidR="003E311F" w:rsidRPr="00515D00" w:rsidRDefault="003E311F" w:rsidP="007A358B">
            <w:pPr>
              <w:keepNext/>
              <w:keepLines/>
              <w:spacing w:before="60" w:after="60"/>
              <w:rPr>
                <w:sz w:val="16"/>
                <w:szCs w:val="16"/>
              </w:rPr>
            </w:pPr>
            <w:r w:rsidRPr="00515D00">
              <w:rPr>
                <w:b/>
                <w:bCs/>
                <w:sz w:val="16"/>
                <w:szCs w:val="16"/>
              </w:rPr>
              <w:t>Fecha</w:t>
            </w:r>
          </w:p>
        </w:tc>
        <w:tc>
          <w:tcPr>
            <w:tcW w:w="1701" w:type="dxa"/>
            <w:gridSpan w:val="2"/>
            <w:tcBorders>
              <w:top w:val="single" w:sz="4" w:space="0" w:color="000000"/>
            </w:tcBorders>
            <w:vAlign w:val="center"/>
          </w:tcPr>
          <w:p w:rsidR="003E311F" w:rsidRPr="00515D00" w:rsidRDefault="003E311F" w:rsidP="007A358B">
            <w:pPr>
              <w:widowControl w:val="0"/>
              <w:rPr>
                <w:sz w:val="16"/>
                <w:szCs w:val="16"/>
              </w:rPr>
            </w:pPr>
            <w:r w:rsidRPr="00515D00">
              <w:rPr>
                <w:b/>
                <w:sz w:val="16"/>
                <w:szCs w:val="16"/>
              </w:rPr>
              <w:t>País anfitrión / Beneficiarios</w:t>
            </w:r>
          </w:p>
        </w:tc>
        <w:tc>
          <w:tcPr>
            <w:tcW w:w="4961" w:type="dxa"/>
            <w:gridSpan w:val="3"/>
            <w:tcBorders>
              <w:top w:val="single" w:sz="4" w:space="0" w:color="000000"/>
            </w:tcBorders>
            <w:vAlign w:val="center"/>
          </w:tcPr>
          <w:p w:rsidR="003E311F" w:rsidRPr="00515D00" w:rsidRDefault="003E311F" w:rsidP="007A358B">
            <w:pPr>
              <w:widowControl w:val="0"/>
              <w:rPr>
                <w:sz w:val="16"/>
                <w:szCs w:val="16"/>
              </w:rPr>
            </w:pPr>
            <w:r w:rsidRPr="00515D00">
              <w:rPr>
                <w:b/>
                <w:sz w:val="16"/>
                <w:szCs w:val="16"/>
              </w:rPr>
              <w:t>Propósito(s)/Descripción</w:t>
            </w:r>
          </w:p>
        </w:tc>
      </w:tr>
      <w:tr w:rsidR="003E311F" w:rsidRPr="00057B87" w:rsidTr="007A358B">
        <w:trPr>
          <w:cantSplit/>
          <w:trHeight w:val="1242"/>
        </w:trPr>
        <w:tc>
          <w:tcPr>
            <w:tcW w:w="1843" w:type="dxa"/>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 xml:space="preserve">Taller nacional de la OMPI y del Fondo </w:t>
            </w:r>
            <w:r>
              <w:rPr>
                <w:color w:val="000000"/>
                <w:sz w:val="16"/>
                <w:szCs w:val="16"/>
              </w:rPr>
              <w:t>F</w:t>
            </w:r>
            <w:r w:rsidRPr="00515D00">
              <w:rPr>
                <w:color w:val="000000"/>
                <w:sz w:val="16"/>
                <w:szCs w:val="16"/>
              </w:rPr>
              <w:t>iduciario de Australia sobre redacción de solicitudes de patente y utilización del sistema de patentes</w:t>
            </w:r>
          </w:p>
        </w:tc>
        <w:tc>
          <w:tcPr>
            <w:tcW w:w="1276" w:type="dxa"/>
            <w:gridSpan w:val="2"/>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26 a 29 de mayo de 2015</w:t>
            </w:r>
          </w:p>
        </w:tc>
        <w:tc>
          <w:tcPr>
            <w:tcW w:w="1701" w:type="dxa"/>
            <w:gridSpan w:val="2"/>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Indonesia</w:t>
            </w:r>
          </w:p>
        </w:tc>
        <w:tc>
          <w:tcPr>
            <w:tcW w:w="4961" w:type="dxa"/>
            <w:gridSpan w:val="3"/>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 xml:space="preserve">Al término de esta formación, los profesionales </w:t>
            </w:r>
            <w:r>
              <w:rPr>
                <w:color w:val="000000"/>
                <w:sz w:val="16"/>
                <w:szCs w:val="16"/>
              </w:rPr>
              <w:t>habían desarrollado</w:t>
            </w:r>
            <w:r w:rsidRPr="00515D00">
              <w:rPr>
                <w:color w:val="000000"/>
                <w:sz w:val="16"/>
                <w:szCs w:val="16"/>
              </w:rPr>
              <w:t xml:space="preserve"> una mejor comprensión de la utilización del sistema de patentes </w:t>
            </w:r>
            <w:r>
              <w:rPr>
                <w:color w:val="000000"/>
                <w:sz w:val="16"/>
                <w:szCs w:val="16"/>
              </w:rPr>
              <w:t xml:space="preserve">en el marco </w:t>
            </w:r>
            <w:r w:rsidRPr="00515D00">
              <w:rPr>
                <w:color w:val="000000"/>
                <w:sz w:val="16"/>
                <w:szCs w:val="16"/>
              </w:rPr>
              <w:t xml:space="preserve">de su estrategia de comercialización de P.I.;  </w:t>
            </w:r>
            <w:r>
              <w:rPr>
                <w:color w:val="000000"/>
                <w:sz w:val="16"/>
                <w:szCs w:val="16"/>
              </w:rPr>
              <w:t xml:space="preserve">las </w:t>
            </w:r>
            <w:r w:rsidRPr="00515D00">
              <w:rPr>
                <w:color w:val="000000"/>
                <w:sz w:val="16"/>
                <w:szCs w:val="16"/>
              </w:rPr>
              <w:t xml:space="preserve">competencias </w:t>
            </w:r>
            <w:r>
              <w:rPr>
                <w:color w:val="000000"/>
                <w:sz w:val="16"/>
                <w:szCs w:val="16"/>
              </w:rPr>
              <w:t xml:space="preserve">necesarias </w:t>
            </w:r>
            <w:r w:rsidRPr="00515D00">
              <w:rPr>
                <w:color w:val="000000"/>
                <w:sz w:val="16"/>
                <w:szCs w:val="16"/>
              </w:rPr>
              <w:t>para ayudar a un abogado de patentes a redactar reivindicaciones de patentes relacionadas con tecnologías específicas;  y una mejor comprensión de las ventajas de la vía de presentación del PCT.</w:t>
            </w:r>
          </w:p>
        </w:tc>
      </w:tr>
      <w:tr w:rsidR="003E311F" w:rsidRPr="00057B87" w:rsidTr="007A358B">
        <w:trPr>
          <w:cantSplit/>
          <w:trHeight w:val="315"/>
        </w:trPr>
        <w:tc>
          <w:tcPr>
            <w:tcW w:w="1843" w:type="dxa"/>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Programa avanzado de fo</w:t>
            </w:r>
            <w:r>
              <w:rPr>
                <w:color w:val="000000"/>
                <w:sz w:val="16"/>
                <w:szCs w:val="16"/>
              </w:rPr>
              <w:t>rmación de la OMPI y del Fondo F</w:t>
            </w:r>
            <w:r w:rsidRPr="00515D00">
              <w:rPr>
                <w:color w:val="000000"/>
                <w:sz w:val="16"/>
                <w:szCs w:val="16"/>
              </w:rPr>
              <w:t>iduciario de Australia sobre negociación eficaz de licencias de tecnología</w:t>
            </w:r>
          </w:p>
        </w:tc>
        <w:tc>
          <w:tcPr>
            <w:tcW w:w="1276" w:type="dxa"/>
            <w:gridSpan w:val="2"/>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9 a 12 de junio de 2015</w:t>
            </w:r>
          </w:p>
        </w:tc>
        <w:tc>
          <w:tcPr>
            <w:tcW w:w="1701" w:type="dxa"/>
            <w:gridSpan w:val="2"/>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Indonesia</w:t>
            </w:r>
          </w:p>
        </w:tc>
        <w:tc>
          <w:tcPr>
            <w:tcW w:w="4961" w:type="dxa"/>
            <w:gridSpan w:val="3"/>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 xml:space="preserve">Los participantes actualizaron sus conocimientos sobre negociación de licencias de P.I. para poder realizar contribuciones relevantes en esta clase de negociaciones y redactar el primer borrador de un acuerdo de licencia.  </w:t>
            </w:r>
          </w:p>
        </w:tc>
      </w:tr>
      <w:tr w:rsidR="003E311F" w:rsidRPr="00057B87" w:rsidTr="007A358B">
        <w:trPr>
          <w:cantSplit/>
          <w:trHeight w:val="315"/>
        </w:trPr>
        <w:tc>
          <w:tcPr>
            <w:tcW w:w="1843" w:type="dxa"/>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lastRenderedPageBreak/>
              <w:t xml:space="preserve">Programa avanzado de formación </w:t>
            </w:r>
            <w:r>
              <w:rPr>
                <w:color w:val="000000"/>
                <w:sz w:val="16"/>
                <w:szCs w:val="16"/>
              </w:rPr>
              <w:t>de la OMPI y del Fondo F</w:t>
            </w:r>
            <w:r w:rsidRPr="00515D00">
              <w:rPr>
                <w:color w:val="000000"/>
                <w:sz w:val="16"/>
                <w:szCs w:val="16"/>
              </w:rPr>
              <w:t>iduciario de Australia sobre comercialización y valoración de P.I.</w:t>
            </w:r>
          </w:p>
        </w:tc>
        <w:tc>
          <w:tcPr>
            <w:tcW w:w="1276" w:type="dxa"/>
            <w:gridSpan w:val="2"/>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15 a 18 de junio de 2015</w:t>
            </w:r>
          </w:p>
        </w:tc>
        <w:tc>
          <w:tcPr>
            <w:tcW w:w="1701" w:type="dxa"/>
            <w:gridSpan w:val="2"/>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Filipinas</w:t>
            </w:r>
          </w:p>
        </w:tc>
        <w:tc>
          <w:tcPr>
            <w:tcW w:w="4961" w:type="dxa"/>
            <w:gridSpan w:val="3"/>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 xml:space="preserve">Los participantes </w:t>
            </w:r>
            <w:r>
              <w:rPr>
                <w:color w:val="000000"/>
                <w:sz w:val="16"/>
                <w:szCs w:val="16"/>
              </w:rPr>
              <w:t>adquirieron</w:t>
            </w:r>
            <w:r w:rsidRPr="00515D00">
              <w:rPr>
                <w:color w:val="000000"/>
                <w:sz w:val="16"/>
                <w:szCs w:val="16"/>
              </w:rPr>
              <w:t xml:space="preserve"> una mejor comprensión de las interrelaciones entre la comercialización y la valoración de P.I., así como los conocimientos necesarios para identificar mercados potenciales de </w:t>
            </w:r>
            <w:r>
              <w:rPr>
                <w:color w:val="000000"/>
                <w:sz w:val="16"/>
                <w:szCs w:val="16"/>
              </w:rPr>
              <w:t xml:space="preserve">los </w:t>
            </w:r>
            <w:r w:rsidRPr="00515D00">
              <w:rPr>
                <w:color w:val="000000"/>
                <w:sz w:val="16"/>
                <w:szCs w:val="16"/>
              </w:rPr>
              <w:t xml:space="preserve">conocimientos y </w:t>
            </w:r>
            <w:r>
              <w:rPr>
                <w:color w:val="000000"/>
                <w:sz w:val="16"/>
                <w:szCs w:val="16"/>
              </w:rPr>
              <w:t xml:space="preserve">las </w:t>
            </w:r>
            <w:r w:rsidRPr="00515D00">
              <w:rPr>
                <w:color w:val="000000"/>
                <w:sz w:val="16"/>
                <w:szCs w:val="16"/>
              </w:rPr>
              <w:t xml:space="preserve">tecnologías desarrollados en sus instituciones de investigación.  En general, </w:t>
            </w:r>
            <w:r>
              <w:rPr>
                <w:color w:val="000000"/>
                <w:sz w:val="16"/>
                <w:szCs w:val="16"/>
              </w:rPr>
              <w:t>adquirieron</w:t>
            </w:r>
            <w:r w:rsidRPr="00515D00">
              <w:rPr>
                <w:color w:val="000000"/>
                <w:sz w:val="16"/>
                <w:szCs w:val="16"/>
              </w:rPr>
              <w:t xml:space="preserve"> las competencias necesarias para determinar el valor de los activos intelectuales que constituyen el objeto de las negociaciones de licencias.</w:t>
            </w:r>
          </w:p>
        </w:tc>
      </w:tr>
      <w:tr w:rsidR="003E311F" w:rsidRPr="00057B87" w:rsidTr="007A358B">
        <w:trPr>
          <w:cantSplit/>
          <w:trHeight w:val="315"/>
        </w:trPr>
        <w:tc>
          <w:tcPr>
            <w:tcW w:w="1843" w:type="dxa"/>
            <w:tcBorders>
              <w:left w:val="single" w:sz="4" w:space="0" w:color="000000"/>
            </w:tcBorders>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Taller nacional sobre el derecho de autor y los derechos conexos</w:t>
            </w:r>
          </w:p>
        </w:tc>
        <w:tc>
          <w:tcPr>
            <w:tcW w:w="1276" w:type="dxa"/>
            <w:gridSpan w:val="2"/>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22 a 24 de abril de 2015</w:t>
            </w:r>
          </w:p>
        </w:tc>
        <w:tc>
          <w:tcPr>
            <w:tcW w:w="1701" w:type="dxa"/>
            <w:gridSpan w:val="2"/>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Islas Cook</w:t>
            </w:r>
          </w:p>
        </w:tc>
        <w:tc>
          <w:tcPr>
            <w:tcW w:w="4961" w:type="dxa"/>
            <w:gridSpan w:val="3"/>
            <w:tcBorders>
              <w:right w:val="single" w:sz="4" w:space="0" w:color="000000"/>
            </w:tcBorders>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 xml:space="preserve">Se trataba del primer taller nacional sobre derechos de autor organizado por la OMPI en las Islas Cook.  El </w:t>
            </w:r>
            <w:r>
              <w:rPr>
                <w:color w:val="000000"/>
                <w:sz w:val="16"/>
                <w:szCs w:val="16"/>
              </w:rPr>
              <w:t>T</w:t>
            </w:r>
            <w:r w:rsidRPr="00515D00">
              <w:rPr>
                <w:color w:val="000000"/>
                <w:sz w:val="16"/>
                <w:szCs w:val="16"/>
              </w:rPr>
              <w:t xml:space="preserve">aller, orientado a funcionarios gubernamentales y otras partes interesadas, aportó información sobre el derecho de autor y los derechos conexos, sobre su </w:t>
            </w:r>
            <w:r>
              <w:rPr>
                <w:color w:val="000000"/>
                <w:sz w:val="16"/>
                <w:szCs w:val="16"/>
              </w:rPr>
              <w:t>relevancia</w:t>
            </w:r>
            <w:r w:rsidRPr="00515D00">
              <w:rPr>
                <w:color w:val="000000"/>
                <w:sz w:val="16"/>
                <w:szCs w:val="16"/>
              </w:rPr>
              <w:t xml:space="preserve"> cultural y económica y sobre la importancia de establecer un sistema nacional de protección y gestión del derecho de autor y los derechos conexos.</w:t>
            </w:r>
          </w:p>
        </w:tc>
      </w:tr>
      <w:tr w:rsidR="003E311F" w:rsidRPr="00057B87" w:rsidTr="007A358B">
        <w:trPr>
          <w:cantSplit/>
          <w:trHeight w:val="315"/>
        </w:trPr>
        <w:tc>
          <w:tcPr>
            <w:tcW w:w="1843" w:type="dxa"/>
            <w:tcBorders>
              <w:left w:val="single" w:sz="4" w:space="0" w:color="000000"/>
            </w:tcBorders>
          </w:tcPr>
          <w:p w:rsidR="003E311F" w:rsidRPr="00515D00" w:rsidRDefault="003E311F" w:rsidP="007A358B">
            <w:pPr>
              <w:autoSpaceDE w:val="0"/>
              <w:autoSpaceDN w:val="0"/>
              <w:adjustRightInd w:val="0"/>
              <w:spacing w:before="120" w:after="120"/>
              <w:rPr>
                <w:color w:val="000000"/>
                <w:sz w:val="16"/>
                <w:szCs w:val="16"/>
              </w:rPr>
            </w:pPr>
            <w:r w:rsidRPr="00515D00">
              <w:rPr>
                <w:color w:val="000000"/>
                <w:sz w:val="16"/>
                <w:szCs w:val="16"/>
              </w:rPr>
              <w:t>Taller subregional sobre derecho de autor y desarrollo destinado a los encargados de la toma de decisiones</w:t>
            </w:r>
          </w:p>
        </w:tc>
        <w:tc>
          <w:tcPr>
            <w:tcW w:w="1276" w:type="dxa"/>
            <w:gridSpan w:val="2"/>
          </w:tcPr>
          <w:p w:rsidR="003E311F" w:rsidRPr="00515D00" w:rsidRDefault="003E311F" w:rsidP="007A358B">
            <w:pPr>
              <w:autoSpaceDE w:val="0"/>
              <w:autoSpaceDN w:val="0"/>
              <w:adjustRightInd w:val="0"/>
              <w:spacing w:before="120" w:after="120"/>
              <w:rPr>
                <w:color w:val="000000"/>
                <w:sz w:val="16"/>
                <w:szCs w:val="16"/>
              </w:rPr>
            </w:pPr>
            <w:r w:rsidRPr="00515D00">
              <w:rPr>
                <w:color w:val="000000"/>
                <w:sz w:val="16"/>
                <w:szCs w:val="16"/>
              </w:rPr>
              <w:t>19 y 20 de enero de 2015</w:t>
            </w:r>
          </w:p>
        </w:tc>
        <w:tc>
          <w:tcPr>
            <w:tcW w:w="1701" w:type="dxa"/>
            <w:gridSpan w:val="2"/>
          </w:tcPr>
          <w:p w:rsidR="003E311F" w:rsidRPr="00515D00" w:rsidRDefault="003E311F" w:rsidP="007A358B">
            <w:pPr>
              <w:autoSpaceDE w:val="0"/>
              <w:autoSpaceDN w:val="0"/>
              <w:adjustRightInd w:val="0"/>
              <w:spacing w:before="120" w:after="120"/>
              <w:rPr>
                <w:color w:val="000000"/>
                <w:sz w:val="16"/>
                <w:szCs w:val="16"/>
              </w:rPr>
            </w:pPr>
            <w:proofErr w:type="spellStart"/>
            <w:r w:rsidRPr="00515D00">
              <w:rPr>
                <w:color w:val="000000"/>
                <w:sz w:val="16"/>
                <w:szCs w:val="16"/>
              </w:rPr>
              <w:t>Fiji</w:t>
            </w:r>
            <w:proofErr w:type="spellEnd"/>
            <w:r w:rsidRPr="00515D00">
              <w:rPr>
                <w:color w:val="000000"/>
                <w:sz w:val="16"/>
                <w:szCs w:val="16"/>
              </w:rPr>
              <w:t xml:space="preserve">, Niue, </w:t>
            </w:r>
            <w:proofErr w:type="spellStart"/>
            <w:r w:rsidRPr="00515D00">
              <w:rPr>
                <w:color w:val="000000"/>
                <w:sz w:val="16"/>
                <w:szCs w:val="16"/>
              </w:rPr>
              <w:t>Papua</w:t>
            </w:r>
            <w:proofErr w:type="spellEnd"/>
            <w:r w:rsidRPr="00515D00">
              <w:rPr>
                <w:color w:val="000000"/>
                <w:sz w:val="16"/>
                <w:szCs w:val="16"/>
              </w:rPr>
              <w:t xml:space="preserve"> Nueva Guinea, Samoa, Islas Salomón, Tonga, Tuvalu, Vanuatu</w:t>
            </w:r>
          </w:p>
        </w:tc>
        <w:tc>
          <w:tcPr>
            <w:tcW w:w="4961" w:type="dxa"/>
            <w:gridSpan w:val="3"/>
            <w:tcBorders>
              <w:right w:val="single" w:sz="4" w:space="0" w:color="000000"/>
            </w:tcBorders>
          </w:tcPr>
          <w:p w:rsidR="003E311F" w:rsidRPr="00515D00" w:rsidRDefault="003E311F" w:rsidP="007A358B">
            <w:pPr>
              <w:autoSpaceDE w:val="0"/>
              <w:autoSpaceDN w:val="0"/>
              <w:adjustRightInd w:val="0"/>
              <w:spacing w:before="120" w:after="120"/>
              <w:rPr>
                <w:color w:val="000000"/>
                <w:sz w:val="16"/>
                <w:szCs w:val="16"/>
              </w:rPr>
            </w:pPr>
            <w:r>
              <w:rPr>
                <w:color w:val="000000"/>
                <w:sz w:val="16"/>
                <w:szCs w:val="16"/>
              </w:rPr>
              <w:t>El T</w:t>
            </w:r>
            <w:r w:rsidRPr="00515D00">
              <w:rPr>
                <w:color w:val="000000"/>
                <w:sz w:val="16"/>
                <w:szCs w:val="16"/>
              </w:rPr>
              <w:t>aller se centró en fomentar la sensibilización y la comprensión de los encargados de la formulación de políticas de los países participantes y de la Secretaría del Foro de las Islas del Pacífico acerca de la importancia y el valor del derecho de autor para el desarrollo cultural y económico.</w:t>
            </w:r>
          </w:p>
        </w:tc>
      </w:tr>
      <w:tr w:rsidR="003E311F" w:rsidRPr="00057B87" w:rsidTr="007A358B">
        <w:trPr>
          <w:cantSplit/>
          <w:trHeight w:val="315"/>
        </w:trPr>
        <w:tc>
          <w:tcPr>
            <w:tcW w:w="1843" w:type="dxa"/>
          </w:tcPr>
          <w:p w:rsidR="003E311F" w:rsidRPr="00515D00" w:rsidRDefault="003E311F" w:rsidP="007A358B">
            <w:pPr>
              <w:autoSpaceDE w:val="0"/>
              <w:autoSpaceDN w:val="0"/>
              <w:adjustRightInd w:val="0"/>
              <w:spacing w:before="120" w:after="120"/>
              <w:rPr>
                <w:color w:val="000000"/>
                <w:sz w:val="16"/>
                <w:szCs w:val="16"/>
              </w:rPr>
            </w:pPr>
            <w:r w:rsidRPr="00515D00">
              <w:rPr>
                <w:color w:val="000000"/>
                <w:sz w:val="16"/>
                <w:szCs w:val="16"/>
              </w:rPr>
              <w:t>Seminario nacional sobre el derecho de autor y los derechos conexos</w:t>
            </w:r>
          </w:p>
        </w:tc>
        <w:tc>
          <w:tcPr>
            <w:tcW w:w="1276" w:type="dxa"/>
            <w:gridSpan w:val="2"/>
          </w:tcPr>
          <w:p w:rsidR="003E311F" w:rsidRPr="00515D00" w:rsidRDefault="003E311F" w:rsidP="007A358B">
            <w:pPr>
              <w:autoSpaceDE w:val="0"/>
              <w:autoSpaceDN w:val="0"/>
              <w:adjustRightInd w:val="0"/>
              <w:spacing w:before="120" w:after="120"/>
              <w:rPr>
                <w:color w:val="000000"/>
                <w:sz w:val="16"/>
                <w:szCs w:val="16"/>
              </w:rPr>
            </w:pPr>
            <w:r w:rsidRPr="00515D00">
              <w:rPr>
                <w:color w:val="000000"/>
                <w:sz w:val="16"/>
                <w:szCs w:val="16"/>
              </w:rPr>
              <w:t>21 y 22 de enero de 2015</w:t>
            </w:r>
          </w:p>
        </w:tc>
        <w:tc>
          <w:tcPr>
            <w:tcW w:w="1701" w:type="dxa"/>
            <w:gridSpan w:val="2"/>
          </w:tcPr>
          <w:p w:rsidR="003E311F" w:rsidRPr="00515D00" w:rsidRDefault="003E311F" w:rsidP="007A358B">
            <w:pPr>
              <w:autoSpaceDE w:val="0"/>
              <w:autoSpaceDN w:val="0"/>
              <w:adjustRightInd w:val="0"/>
              <w:spacing w:before="120" w:after="120"/>
              <w:rPr>
                <w:color w:val="000000"/>
                <w:sz w:val="16"/>
                <w:szCs w:val="16"/>
              </w:rPr>
            </w:pPr>
            <w:r w:rsidRPr="00515D00">
              <w:rPr>
                <w:color w:val="000000"/>
                <w:sz w:val="16"/>
                <w:szCs w:val="16"/>
              </w:rPr>
              <w:t>Vanuatu</w:t>
            </w:r>
          </w:p>
        </w:tc>
        <w:tc>
          <w:tcPr>
            <w:tcW w:w="4961" w:type="dxa"/>
            <w:gridSpan w:val="3"/>
          </w:tcPr>
          <w:p w:rsidR="003E311F" w:rsidRPr="00515D00" w:rsidRDefault="003E311F" w:rsidP="007A358B">
            <w:pPr>
              <w:autoSpaceDE w:val="0"/>
              <w:autoSpaceDN w:val="0"/>
              <w:adjustRightInd w:val="0"/>
              <w:spacing w:before="120" w:after="120"/>
              <w:rPr>
                <w:color w:val="000000"/>
                <w:sz w:val="16"/>
                <w:szCs w:val="16"/>
              </w:rPr>
            </w:pPr>
            <w:r w:rsidRPr="00515D00">
              <w:rPr>
                <w:color w:val="000000"/>
                <w:sz w:val="16"/>
                <w:szCs w:val="16"/>
              </w:rPr>
              <w:t xml:space="preserve">Celebrado consecutivamente a la actividad arriba mencionada, este seminario proporcionó información sobre el derecho de autor y los derechos conexos, así como sobre el funcionamiento práctico del sistema, a una audiencia de funcionarios gubernamentales y otras partes interesadas nacionales.  </w:t>
            </w:r>
          </w:p>
        </w:tc>
      </w:tr>
      <w:tr w:rsidR="003E311F" w:rsidRPr="00057B87" w:rsidTr="007A358B">
        <w:trPr>
          <w:cantSplit/>
          <w:trHeight w:val="315"/>
        </w:trPr>
        <w:tc>
          <w:tcPr>
            <w:tcW w:w="9781" w:type="dxa"/>
            <w:gridSpan w:val="8"/>
            <w:tcBorders>
              <w:top w:val="single" w:sz="4" w:space="0" w:color="000000"/>
              <w:bottom w:val="single" w:sz="4" w:space="0" w:color="000000"/>
            </w:tcBorders>
            <w:shd w:val="clear" w:color="auto" w:fill="C6D9F1" w:themeFill="text2" w:themeFillTint="33"/>
          </w:tcPr>
          <w:p w:rsidR="003E311F" w:rsidRPr="00515D00" w:rsidRDefault="003E311F" w:rsidP="007A358B">
            <w:pPr>
              <w:keepNext/>
              <w:keepLines/>
              <w:tabs>
                <w:tab w:val="left" w:pos="1740"/>
              </w:tabs>
              <w:spacing w:before="120" w:after="120"/>
              <w:ind w:left="1740" w:hanging="1740"/>
              <w:rPr>
                <w:color w:val="000000"/>
                <w:sz w:val="16"/>
                <w:szCs w:val="16"/>
              </w:rPr>
            </w:pPr>
            <w:r w:rsidRPr="00515D00">
              <w:rPr>
                <w:b/>
                <w:bCs/>
                <w:color w:val="000000"/>
                <w:sz w:val="16"/>
                <w:szCs w:val="16"/>
              </w:rPr>
              <w:t>RESULTADO:</w:t>
            </w:r>
            <w:r w:rsidRPr="00515D00">
              <w:rPr>
                <w:bCs/>
                <w:sz w:val="16"/>
                <w:szCs w:val="16"/>
              </w:rPr>
              <w:tab/>
              <w:t>IV.2  Mejora del acceso y uso de información de P.I. por parte de instituciones de P.I. y el público para fomentar la innovación y la creatividad</w:t>
            </w:r>
          </w:p>
        </w:tc>
      </w:tr>
      <w:tr w:rsidR="003E311F" w:rsidRPr="00515D00" w:rsidTr="007A358B">
        <w:trPr>
          <w:cantSplit/>
          <w:trHeight w:val="429"/>
        </w:trPr>
        <w:tc>
          <w:tcPr>
            <w:tcW w:w="1843" w:type="dxa"/>
            <w:tcBorders>
              <w:top w:val="single" w:sz="4" w:space="0" w:color="000000"/>
            </w:tcBorders>
            <w:vAlign w:val="center"/>
          </w:tcPr>
          <w:p w:rsidR="003E311F" w:rsidRPr="00515D00" w:rsidRDefault="003E311F" w:rsidP="007A358B">
            <w:pPr>
              <w:keepNext/>
              <w:keepLines/>
              <w:spacing w:before="60" w:after="60"/>
              <w:rPr>
                <w:b/>
                <w:bCs/>
                <w:sz w:val="16"/>
                <w:szCs w:val="16"/>
              </w:rPr>
            </w:pPr>
            <w:r w:rsidRPr="00515D00">
              <w:rPr>
                <w:b/>
                <w:bCs/>
                <w:sz w:val="16"/>
                <w:szCs w:val="16"/>
              </w:rPr>
              <w:t>Actividad</w:t>
            </w:r>
          </w:p>
        </w:tc>
        <w:tc>
          <w:tcPr>
            <w:tcW w:w="1134" w:type="dxa"/>
            <w:tcBorders>
              <w:top w:val="single" w:sz="4" w:space="0" w:color="000000"/>
            </w:tcBorders>
            <w:vAlign w:val="center"/>
          </w:tcPr>
          <w:p w:rsidR="003E311F" w:rsidRPr="00515D00" w:rsidRDefault="003E311F" w:rsidP="007A358B">
            <w:pPr>
              <w:keepNext/>
              <w:keepLines/>
              <w:spacing w:before="60" w:after="60"/>
              <w:rPr>
                <w:sz w:val="16"/>
                <w:szCs w:val="16"/>
              </w:rPr>
            </w:pPr>
            <w:r w:rsidRPr="00515D00">
              <w:rPr>
                <w:b/>
                <w:bCs/>
                <w:sz w:val="16"/>
                <w:szCs w:val="16"/>
              </w:rPr>
              <w:t>Fecha</w:t>
            </w:r>
          </w:p>
        </w:tc>
        <w:tc>
          <w:tcPr>
            <w:tcW w:w="1559" w:type="dxa"/>
            <w:gridSpan w:val="2"/>
            <w:tcBorders>
              <w:top w:val="single" w:sz="4" w:space="0" w:color="000000"/>
            </w:tcBorders>
            <w:vAlign w:val="center"/>
          </w:tcPr>
          <w:p w:rsidR="003E311F" w:rsidRPr="00515D00" w:rsidRDefault="003E311F" w:rsidP="007A358B">
            <w:pPr>
              <w:widowControl w:val="0"/>
              <w:rPr>
                <w:sz w:val="16"/>
                <w:szCs w:val="16"/>
              </w:rPr>
            </w:pPr>
            <w:r w:rsidRPr="00515D00">
              <w:rPr>
                <w:b/>
                <w:sz w:val="16"/>
                <w:szCs w:val="16"/>
              </w:rPr>
              <w:t>País anfitrión / Beneficiarios</w:t>
            </w:r>
          </w:p>
        </w:tc>
        <w:tc>
          <w:tcPr>
            <w:tcW w:w="5245" w:type="dxa"/>
            <w:gridSpan w:val="4"/>
            <w:tcBorders>
              <w:top w:val="single" w:sz="4" w:space="0" w:color="000000"/>
            </w:tcBorders>
            <w:vAlign w:val="center"/>
          </w:tcPr>
          <w:p w:rsidR="003E311F" w:rsidRPr="00515D00" w:rsidRDefault="003E311F" w:rsidP="007A358B">
            <w:pPr>
              <w:widowControl w:val="0"/>
              <w:rPr>
                <w:sz w:val="16"/>
                <w:szCs w:val="16"/>
              </w:rPr>
            </w:pPr>
            <w:r w:rsidRPr="00515D00">
              <w:rPr>
                <w:b/>
                <w:sz w:val="16"/>
                <w:szCs w:val="16"/>
              </w:rPr>
              <w:t>Propósito(s)/Descripción</w:t>
            </w:r>
          </w:p>
        </w:tc>
      </w:tr>
      <w:tr w:rsidR="003E311F" w:rsidRPr="00057B87" w:rsidTr="007A358B">
        <w:trPr>
          <w:cantSplit/>
          <w:trHeight w:val="315"/>
        </w:trPr>
        <w:tc>
          <w:tcPr>
            <w:tcW w:w="1843" w:type="dxa"/>
          </w:tcPr>
          <w:p w:rsidR="003E311F" w:rsidRPr="00515D00" w:rsidRDefault="003E311F" w:rsidP="007A358B">
            <w:pPr>
              <w:autoSpaceDE w:val="0"/>
              <w:autoSpaceDN w:val="0"/>
              <w:spacing w:before="60" w:after="60"/>
              <w:rPr>
                <w:color w:val="000000"/>
                <w:sz w:val="16"/>
                <w:szCs w:val="16"/>
              </w:rPr>
            </w:pPr>
            <w:r w:rsidRPr="00515D00">
              <w:rPr>
                <w:color w:val="000000"/>
                <w:sz w:val="16"/>
                <w:szCs w:val="16"/>
              </w:rPr>
              <w:t>Fortalecimiento de la capacidad (mediante un memorando de entendimiento)</w:t>
            </w:r>
          </w:p>
        </w:tc>
        <w:tc>
          <w:tcPr>
            <w:tcW w:w="1134" w:type="dxa"/>
          </w:tcPr>
          <w:p w:rsidR="003E311F" w:rsidRPr="00515D00" w:rsidRDefault="003E311F" w:rsidP="007A358B">
            <w:pPr>
              <w:autoSpaceDE w:val="0"/>
              <w:autoSpaceDN w:val="0"/>
              <w:spacing w:before="60" w:after="60"/>
              <w:rPr>
                <w:color w:val="000000"/>
                <w:sz w:val="16"/>
                <w:szCs w:val="16"/>
              </w:rPr>
            </w:pPr>
            <w:r>
              <w:rPr>
                <w:color w:val="000000"/>
                <w:sz w:val="16"/>
                <w:szCs w:val="16"/>
              </w:rPr>
              <w:t>En curso desde</w:t>
            </w:r>
            <w:r w:rsidRPr="00515D00">
              <w:rPr>
                <w:color w:val="000000"/>
                <w:sz w:val="16"/>
                <w:szCs w:val="16"/>
              </w:rPr>
              <w:t xml:space="preserve"> 2014 y </w:t>
            </w:r>
            <w:r>
              <w:rPr>
                <w:color w:val="000000"/>
                <w:sz w:val="16"/>
                <w:szCs w:val="16"/>
              </w:rPr>
              <w:t>finalizado en</w:t>
            </w:r>
            <w:r w:rsidRPr="00515D00">
              <w:rPr>
                <w:color w:val="000000"/>
                <w:sz w:val="16"/>
                <w:szCs w:val="16"/>
              </w:rPr>
              <w:t xml:space="preserve"> mayo de 2015</w:t>
            </w:r>
          </w:p>
        </w:tc>
        <w:tc>
          <w:tcPr>
            <w:tcW w:w="1559" w:type="dxa"/>
            <w:gridSpan w:val="2"/>
          </w:tcPr>
          <w:p w:rsidR="003E311F" w:rsidRPr="00515D00" w:rsidRDefault="003E311F" w:rsidP="007A358B">
            <w:pPr>
              <w:autoSpaceDE w:val="0"/>
              <w:autoSpaceDN w:val="0"/>
              <w:spacing w:before="60" w:after="60"/>
              <w:rPr>
                <w:color w:val="000000"/>
                <w:sz w:val="16"/>
                <w:szCs w:val="16"/>
              </w:rPr>
            </w:pPr>
            <w:r w:rsidRPr="00515D00">
              <w:rPr>
                <w:color w:val="000000"/>
                <w:sz w:val="16"/>
                <w:szCs w:val="16"/>
              </w:rPr>
              <w:t xml:space="preserve">Bangladesh </w:t>
            </w:r>
          </w:p>
        </w:tc>
        <w:tc>
          <w:tcPr>
            <w:tcW w:w="5245" w:type="dxa"/>
            <w:gridSpan w:val="4"/>
          </w:tcPr>
          <w:p w:rsidR="003E311F" w:rsidRPr="00515D00" w:rsidRDefault="003E311F" w:rsidP="007A358B">
            <w:pPr>
              <w:autoSpaceDE w:val="0"/>
              <w:autoSpaceDN w:val="0"/>
              <w:spacing w:before="60" w:after="60"/>
              <w:rPr>
                <w:color w:val="000000"/>
                <w:sz w:val="16"/>
                <w:szCs w:val="16"/>
              </w:rPr>
            </w:pPr>
            <w:r w:rsidRPr="00515D00">
              <w:rPr>
                <w:color w:val="000000"/>
                <w:sz w:val="16"/>
                <w:szCs w:val="16"/>
              </w:rPr>
              <w:t xml:space="preserve">Proporcionar a una organización local, la </w:t>
            </w:r>
            <w:r w:rsidRPr="00124FA2">
              <w:rPr>
                <w:i/>
                <w:color w:val="000000"/>
                <w:sz w:val="16"/>
                <w:szCs w:val="16"/>
              </w:rPr>
              <w:t xml:space="preserve">Young </w:t>
            </w:r>
            <w:proofErr w:type="spellStart"/>
            <w:r w:rsidRPr="00124FA2">
              <w:rPr>
                <w:i/>
                <w:color w:val="000000"/>
                <w:sz w:val="16"/>
                <w:szCs w:val="16"/>
              </w:rPr>
              <w:t>Power</w:t>
            </w:r>
            <w:proofErr w:type="spellEnd"/>
            <w:r w:rsidRPr="00124FA2">
              <w:rPr>
                <w:i/>
                <w:color w:val="000000"/>
                <w:sz w:val="16"/>
                <w:szCs w:val="16"/>
              </w:rPr>
              <w:t xml:space="preserve"> in Social </w:t>
            </w:r>
            <w:proofErr w:type="spellStart"/>
            <w:r w:rsidRPr="00124FA2">
              <w:rPr>
                <w:i/>
                <w:color w:val="000000"/>
                <w:sz w:val="16"/>
                <w:szCs w:val="16"/>
              </w:rPr>
              <w:t>Action</w:t>
            </w:r>
            <w:proofErr w:type="spellEnd"/>
            <w:r w:rsidRPr="00515D00">
              <w:rPr>
                <w:color w:val="000000"/>
                <w:sz w:val="16"/>
                <w:szCs w:val="16"/>
              </w:rPr>
              <w:t xml:space="preserve"> (YPSA), los conocimientos especializados y la financiación necesarios para llevar a cabo actividades de fortalecimiento de capacidades en Bangladesh.</w:t>
            </w:r>
          </w:p>
          <w:p w:rsidR="003E311F" w:rsidRPr="00515D00" w:rsidRDefault="003E311F" w:rsidP="007A358B">
            <w:pPr>
              <w:autoSpaceDE w:val="0"/>
              <w:autoSpaceDN w:val="0"/>
              <w:spacing w:before="60" w:after="60"/>
              <w:rPr>
                <w:color w:val="000000"/>
                <w:sz w:val="16"/>
                <w:szCs w:val="16"/>
              </w:rPr>
            </w:pPr>
            <w:r w:rsidRPr="00515D00">
              <w:rPr>
                <w:color w:val="000000"/>
                <w:sz w:val="16"/>
                <w:szCs w:val="16"/>
              </w:rPr>
              <w:t>Entre las actividades figuran i) la formación de editores locales, públicos y privados, así como de ONG locales, en la producción</w:t>
            </w:r>
            <w:r>
              <w:rPr>
                <w:color w:val="000000"/>
                <w:sz w:val="16"/>
                <w:szCs w:val="16"/>
              </w:rPr>
              <w:t xml:space="preserve"> de libros en formato accesible; </w:t>
            </w:r>
            <w:r w:rsidRPr="00515D00">
              <w:rPr>
                <w:color w:val="000000"/>
                <w:sz w:val="16"/>
                <w:szCs w:val="16"/>
              </w:rPr>
              <w:t xml:space="preserve"> ii) la producción de 162 libros educativos en formato accesible en bengalí</w:t>
            </w:r>
            <w:r>
              <w:rPr>
                <w:color w:val="000000"/>
                <w:sz w:val="16"/>
                <w:szCs w:val="16"/>
              </w:rPr>
              <w:t xml:space="preserve">; </w:t>
            </w:r>
            <w:r w:rsidRPr="00515D00">
              <w:rPr>
                <w:color w:val="000000"/>
                <w:sz w:val="16"/>
                <w:szCs w:val="16"/>
              </w:rPr>
              <w:t xml:space="preserve"> y iii) la compra de 35 dispositivos Android que se prestarán a estudiantes discapacitados visuales para que puedan leer </w:t>
            </w:r>
            <w:r>
              <w:rPr>
                <w:color w:val="000000"/>
                <w:sz w:val="16"/>
                <w:szCs w:val="16"/>
              </w:rPr>
              <w:t>dichos</w:t>
            </w:r>
            <w:r w:rsidRPr="00515D00">
              <w:rPr>
                <w:color w:val="000000"/>
                <w:sz w:val="16"/>
                <w:szCs w:val="16"/>
              </w:rPr>
              <w:t xml:space="preserve"> libros.</w:t>
            </w:r>
          </w:p>
        </w:tc>
      </w:tr>
      <w:tr w:rsidR="003E311F" w:rsidRPr="00057B87" w:rsidTr="007A358B">
        <w:trPr>
          <w:cantSplit/>
          <w:trHeight w:val="315"/>
        </w:trPr>
        <w:tc>
          <w:tcPr>
            <w:tcW w:w="1843" w:type="dxa"/>
          </w:tcPr>
          <w:p w:rsidR="003E311F" w:rsidRPr="00515D00" w:rsidRDefault="003E311F" w:rsidP="007A358B">
            <w:pPr>
              <w:autoSpaceDE w:val="0"/>
              <w:autoSpaceDN w:val="0"/>
              <w:spacing w:before="60" w:after="60"/>
              <w:rPr>
                <w:color w:val="000000"/>
                <w:sz w:val="16"/>
                <w:szCs w:val="16"/>
              </w:rPr>
            </w:pPr>
            <w:r w:rsidRPr="00515D00">
              <w:rPr>
                <w:color w:val="000000"/>
                <w:sz w:val="16"/>
                <w:szCs w:val="16"/>
              </w:rPr>
              <w:t>Fortalecimiento de la capacidad (mediante un memorando de entendimiento)</w:t>
            </w:r>
          </w:p>
        </w:tc>
        <w:tc>
          <w:tcPr>
            <w:tcW w:w="1134" w:type="dxa"/>
          </w:tcPr>
          <w:p w:rsidR="003E311F" w:rsidRPr="00515D00" w:rsidRDefault="003E311F" w:rsidP="007A358B">
            <w:pPr>
              <w:autoSpaceDE w:val="0"/>
              <w:autoSpaceDN w:val="0"/>
              <w:spacing w:before="60" w:after="60"/>
              <w:rPr>
                <w:color w:val="000000"/>
                <w:sz w:val="16"/>
                <w:szCs w:val="16"/>
              </w:rPr>
            </w:pPr>
            <w:r>
              <w:rPr>
                <w:color w:val="000000"/>
                <w:sz w:val="16"/>
                <w:szCs w:val="16"/>
              </w:rPr>
              <w:t>En curso desde</w:t>
            </w:r>
            <w:r w:rsidRPr="00515D00">
              <w:rPr>
                <w:color w:val="000000"/>
                <w:sz w:val="16"/>
                <w:szCs w:val="16"/>
              </w:rPr>
              <w:t xml:space="preserve"> 2014 y </w:t>
            </w:r>
            <w:r>
              <w:rPr>
                <w:color w:val="000000"/>
                <w:sz w:val="16"/>
                <w:szCs w:val="16"/>
              </w:rPr>
              <w:t>finalizado en</w:t>
            </w:r>
            <w:r w:rsidRPr="00515D00">
              <w:rPr>
                <w:color w:val="000000"/>
                <w:sz w:val="16"/>
                <w:szCs w:val="16"/>
              </w:rPr>
              <w:t xml:space="preserve"> mayo de 2015</w:t>
            </w:r>
          </w:p>
        </w:tc>
        <w:tc>
          <w:tcPr>
            <w:tcW w:w="1559" w:type="dxa"/>
            <w:gridSpan w:val="2"/>
          </w:tcPr>
          <w:p w:rsidR="003E311F" w:rsidRPr="00515D00" w:rsidRDefault="003E311F" w:rsidP="007A358B">
            <w:pPr>
              <w:autoSpaceDE w:val="0"/>
              <w:autoSpaceDN w:val="0"/>
              <w:spacing w:before="60" w:after="60"/>
              <w:rPr>
                <w:color w:val="000000"/>
                <w:sz w:val="16"/>
                <w:szCs w:val="16"/>
              </w:rPr>
            </w:pPr>
            <w:r w:rsidRPr="00515D00">
              <w:rPr>
                <w:color w:val="000000"/>
                <w:sz w:val="16"/>
                <w:szCs w:val="16"/>
              </w:rPr>
              <w:t>Sri Lanka</w:t>
            </w:r>
          </w:p>
        </w:tc>
        <w:tc>
          <w:tcPr>
            <w:tcW w:w="5245" w:type="dxa"/>
            <w:gridSpan w:val="4"/>
          </w:tcPr>
          <w:p w:rsidR="003E311F" w:rsidRPr="00515D00" w:rsidRDefault="003E311F" w:rsidP="007A358B">
            <w:pPr>
              <w:autoSpaceDE w:val="0"/>
              <w:autoSpaceDN w:val="0"/>
              <w:spacing w:before="60" w:after="60"/>
              <w:rPr>
                <w:color w:val="000000"/>
                <w:sz w:val="16"/>
                <w:szCs w:val="16"/>
              </w:rPr>
            </w:pPr>
            <w:r w:rsidRPr="00515D00">
              <w:rPr>
                <w:color w:val="000000"/>
                <w:sz w:val="16"/>
                <w:szCs w:val="16"/>
              </w:rPr>
              <w:t xml:space="preserve">I) Proporcionar a una organización local, la </w:t>
            </w:r>
            <w:r w:rsidRPr="00124FA2">
              <w:rPr>
                <w:i/>
                <w:color w:val="000000"/>
                <w:sz w:val="16"/>
                <w:szCs w:val="16"/>
              </w:rPr>
              <w:t xml:space="preserve">DAISY Lanka </w:t>
            </w:r>
            <w:proofErr w:type="spellStart"/>
            <w:r w:rsidRPr="00124FA2">
              <w:rPr>
                <w:i/>
                <w:color w:val="000000"/>
                <w:sz w:val="16"/>
                <w:szCs w:val="16"/>
              </w:rPr>
              <w:t>Foundation</w:t>
            </w:r>
            <w:proofErr w:type="spellEnd"/>
            <w:r w:rsidRPr="00515D00">
              <w:rPr>
                <w:color w:val="000000"/>
                <w:sz w:val="16"/>
                <w:szCs w:val="16"/>
              </w:rPr>
              <w:t xml:space="preserve"> (DLF), los conocimientos especializados y la financiación necesarios para llevar a cabo actividades de fortalecimiento de capacidades en Sri Lanka.  </w:t>
            </w:r>
          </w:p>
          <w:p w:rsidR="003E311F" w:rsidRPr="00515D00" w:rsidRDefault="003E311F" w:rsidP="007A358B">
            <w:pPr>
              <w:autoSpaceDE w:val="0"/>
              <w:autoSpaceDN w:val="0"/>
              <w:spacing w:before="60" w:after="60"/>
              <w:rPr>
                <w:sz w:val="16"/>
                <w:szCs w:val="16"/>
              </w:rPr>
            </w:pPr>
            <w:r w:rsidRPr="00515D00">
              <w:rPr>
                <w:color w:val="000000"/>
                <w:sz w:val="16"/>
                <w:szCs w:val="16"/>
              </w:rPr>
              <w:t>Entre las actividades figuran i) la formación de editores locales, públicos y privados, así como de ONG locales, en la producción</w:t>
            </w:r>
            <w:r>
              <w:rPr>
                <w:color w:val="000000"/>
                <w:sz w:val="16"/>
                <w:szCs w:val="16"/>
              </w:rPr>
              <w:t xml:space="preserve"> de libros en formato accesible; </w:t>
            </w:r>
            <w:r w:rsidRPr="00515D00">
              <w:rPr>
                <w:color w:val="000000"/>
                <w:sz w:val="16"/>
                <w:szCs w:val="16"/>
              </w:rPr>
              <w:t xml:space="preserve"> ii) la producción de 1.069 libros educativos en formato accesible en cingalés</w:t>
            </w:r>
            <w:r>
              <w:rPr>
                <w:color w:val="000000"/>
                <w:sz w:val="16"/>
                <w:szCs w:val="16"/>
              </w:rPr>
              <w:t xml:space="preserve">; </w:t>
            </w:r>
            <w:r w:rsidRPr="00515D00">
              <w:rPr>
                <w:color w:val="000000"/>
                <w:sz w:val="16"/>
                <w:szCs w:val="16"/>
              </w:rPr>
              <w:t xml:space="preserve"> y iii) la compra de 80 dispositivos DAISY de lectura que se prestarán a estudiantes discapacitados visuales para que puedan leer esos libros.  Se prevé que se beneficien de ellos 10.000 estudiantes discapacitados visuales.</w:t>
            </w:r>
          </w:p>
        </w:tc>
      </w:tr>
      <w:tr w:rsidR="003E311F" w:rsidRPr="00057B87" w:rsidTr="007A358B">
        <w:trPr>
          <w:cantSplit/>
          <w:trHeight w:val="315"/>
        </w:trPr>
        <w:tc>
          <w:tcPr>
            <w:tcW w:w="1843" w:type="dxa"/>
          </w:tcPr>
          <w:p w:rsidR="003E311F" w:rsidRPr="00515D00" w:rsidRDefault="003E311F" w:rsidP="007A358B">
            <w:pPr>
              <w:autoSpaceDE w:val="0"/>
              <w:autoSpaceDN w:val="0"/>
              <w:spacing w:before="60" w:after="60"/>
              <w:rPr>
                <w:color w:val="000000"/>
                <w:sz w:val="16"/>
                <w:szCs w:val="16"/>
              </w:rPr>
            </w:pPr>
            <w:r w:rsidRPr="00515D00">
              <w:rPr>
                <w:color w:val="000000"/>
                <w:sz w:val="16"/>
                <w:szCs w:val="16"/>
              </w:rPr>
              <w:t>Fortalecimiento de la capacidad (mediante un memorando de entendimiento)</w:t>
            </w:r>
          </w:p>
        </w:tc>
        <w:tc>
          <w:tcPr>
            <w:tcW w:w="1134" w:type="dxa"/>
          </w:tcPr>
          <w:p w:rsidR="003E311F" w:rsidRPr="00515D00" w:rsidRDefault="003E311F" w:rsidP="007A358B">
            <w:pPr>
              <w:autoSpaceDE w:val="0"/>
              <w:autoSpaceDN w:val="0"/>
              <w:spacing w:before="60" w:after="60"/>
              <w:rPr>
                <w:color w:val="000000"/>
                <w:sz w:val="16"/>
                <w:szCs w:val="16"/>
              </w:rPr>
            </w:pPr>
            <w:r>
              <w:rPr>
                <w:color w:val="000000"/>
                <w:sz w:val="16"/>
                <w:szCs w:val="16"/>
              </w:rPr>
              <w:t>En curso desde</w:t>
            </w:r>
            <w:r w:rsidRPr="00515D00">
              <w:rPr>
                <w:color w:val="000000"/>
                <w:sz w:val="16"/>
                <w:szCs w:val="16"/>
              </w:rPr>
              <w:t xml:space="preserve"> 2014 y </w:t>
            </w:r>
            <w:r>
              <w:rPr>
                <w:color w:val="000000"/>
                <w:sz w:val="16"/>
                <w:szCs w:val="16"/>
              </w:rPr>
              <w:t>finalizado en</w:t>
            </w:r>
            <w:r w:rsidRPr="00515D00">
              <w:rPr>
                <w:color w:val="000000"/>
                <w:sz w:val="16"/>
                <w:szCs w:val="16"/>
              </w:rPr>
              <w:t xml:space="preserve"> mayo de 2015</w:t>
            </w:r>
          </w:p>
        </w:tc>
        <w:tc>
          <w:tcPr>
            <w:tcW w:w="1559" w:type="dxa"/>
            <w:gridSpan w:val="2"/>
          </w:tcPr>
          <w:p w:rsidR="003E311F" w:rsidRPr="00515D00" w:rsidRDefault="003E311F" w:rsidP="007A358B">
            <w:pPr>
              <w:autoSpaceDE w:val="0"/>
              <w:autoSpaceDN w:val="0"/>
              <w:spacing w:before="60" w:after="60"/>
              <w:rPr>
                <w:color w:val="000000"/>
                <w:sz w:val="16"/>
                <w:szCs w:val="16"/>
              </w:rPr>
            </w:pPr>
            <w:r w:rsidRPr="00515D00">
              <w:rPr>
                <w:color w:val="000000"/>
                <w:sz w:val="16"/>
                <w:szCs w:val="16"/>
              </w:rPr>
              <w:t>Sri Lanka</w:t>
            </w:r>
          </w:p>
        </w:tc>
        <w:tc>
          <w:tcPr>
            <w:tcW w:w="5245" w:type="dxa"/>
            <w:gridSpan w:val="4"/>
          </w:tcPr>
          <w:p w:rsidR="003E311F" w:rsidRPr="00515D00" w:rsidRDefault="003E311F" w:rsidP="007A358B">
            <w:pPr>
              <w:autoSpaceDE w:val="0"/>
              <w:autoSpaceDN w:val="0"/>
              <w:spacing w:before="60" w:after="60"/>
              <w:rPr>
                <w:sz w:val="16"/>
                <w:szCs w:val="16"/>
              </w:rPr>
            </w:pPr>
            <w:r w:rsidRPr="00515D00">
              <w:rPr>
                <w:color w:val="000000"/>
                <w:sz w:val="16"/>
                <w:szCs w:val="16"/>
              </w:rPr>
              <w:t>Se elaboró una aplicación de lectura de texto mejorada en cingalés para que los discapacitados visuales pudieran leer libros en formato accesible.  Previamente solo existía una aplicación de lectura de texto en cingalés de sonido sumamente sintético.  La aplicación fue desarrollada por la Facultad de Informática de la Universidad de Colombo.</w:t>
            </w:r>
          </w:p>
        </w:tc>
      </w:tr>
      <w:tr w:rsidR="003E311F" w:rsidRPr="00057B87" w:rsidTr="007A358B">
        <w:trPr>
          <w:cantSplit/>
          <w:trHeight w:val="315"/>
        </w:trPr>
        <w:tc>
          <w:tcPr>
            <w:tcW w:w="1843" w:type="dxa"/>
          </w:tcPr>
          <w:p w:rsidR="003E311F" w:rsidRPr="00515D00" w:rsidRDefault="003E311F" w:rsidP="007A358B">
            <w:pPr>
              <w:autoSpaceDE w:val="0"/>
              <w:autoSpaceDN w:val="0"/>
              <w:spacing w:before="60" w:after="60"/>
              <w:rPr>
                <w:color w:val="000000"/>
                <w:sz w:val="16"/>
                <w:szCs w:val="16"/>
              </w:rPr>
            </w:pPr>
            <w:r w:rsidRPr="00515D00">
              <w:rPr>
                <w:color w:val="000000"/>
                <w:sz w:val="16"/>
                <w:szCs w:val="16"/>
              </w:rPr>
              <w:lastRenderedPageBreak/>
              <w:t>Fortalecimiento de la capacidad (mediante un memorando de entendimiento)</w:t>
            </w:r>
          </w:p>
        </w:tc>
        <w:tc>
          <w:tcPr>
            <w:tcW w:w="1134" w:type="dxa"/>
          </w:tcPr>
          <w:p w:rsidR="003E311F" w:rsidRPr="00515D00" w:rsidRDefault="003E311F" w:rsidP="007A358B">
            <w:pPr>
              <w:autoSpaceDE w:val="0"/>
              <w:autoSpaceDN w:val="0"/>
              <w:spacing w:before="60" w:after="60"/>
              <w:rPr>
                <w:color w:val="000000"/>
                <w:sz w:val="16"/>
                <w:szCs w:val="16"/>
              </w:rPr>
            </w:pPr>
            <w:r>
              <w:rPr>
                <w:color w:val="000000"/>
                <w:sz w:val="16"/>
                <w:szCs w:val="16"/>
              </w:rPr>
              <w:t>En curso desde</w:t>
            </w:r>
            <w:r w:rsidRPr="00515D00">
              <w:rPr>
                <w:color w:val="000000"/>
                <w:sz w:val="16"/>
                <w:szCs w:val="16"/>
              </w:rPr>
              <w:t xml:space="preserve"> 2014 y </w:t>
            </w:r>
            <w:r>
              <w:rPr>
                <w:color w:val="000000"/>
                <w:sz w:val="16"/>
                <w:szCs w:val="16"/>
              </w:rPr>
              <w:t>finalizado en</w:t>
            </w:r>
            <w:r w:rsidRPr="00515D00">
              <w:rPr>
                <w:color w:val="000000"/>
                <w:sz w:val="16"/>
                <w:szCs w:val="16"/>
              </w:rPr>
              <w:t xml:space="preserve"> mayo de 2015</w:t>
            </w:r>
          </w:p>
        </w:tc>
        <w:tc>
          <w:tcPr>
            <w:tcW w:w="1559" w:type="dxa"/>
            <w:gridSpan w:val="2"/>
          </w:tcPr>
          <w:p w:rsidR="003E311F" w:rsidRPr="00515D00" w:rsidRDefault="003E311F" w:rsidP="007A358B">
            <w:pPr>
              <w:autoSpaceDE w:val="0"/>
              <w:autoSpaceDN w:val="0"/>
              <w:spacing w:before="60" w:after="60"/>
              <w:rPr>
                <w:color w:val="000000"/>
                <w:sz w:val="16"/>
                <w:szCs w:val="16"/>
              </w:rPr>
            </w:pPr>
            <w:r w:rsidRPr="00515D00">
              <w:rPr>
                <w:color w:val="000000"/>
                <w:sz w:val="16"/>
                <w:szCs w:val="16"/>
              </w:rPr>
              <w:t>Nepal</w:t>
            </w:r>
          </w:p>
        </w:tc>
        <w:tc>
          <w:tcPr>
            <w:tcW w:w="5245" w:type="dxa"/>
            <w:gridSpan w:val="4"/>
          </w:tcPr>
          <w:p w:rsidR="003E311F" w:rsidRPr="00515D00" w:rsidRDefault="003E311F" w:rsidP="007A358B">
            <w:pPr>
              <w:widowControl w:val="0"/>
              <w:autoSpaceDE w:val="0"/>
              <w:autoSpaceDN w:val="0"/>
              <w:adjustRightInd w:val="0"/>
              <w:spacing w:before="120" w:after="120"/>
              <w:rPr>
                <w:sz w:val="16"/>
                <w:szCs w:val="16"/>
              </w:rPr>
            </w:pPr>
            <w:r w:rsidRPr="00515D00">
              <w:rPr>
                <w:sz w:val="16"/>
                <w:szCs w:val="16"/>
              </w:rPr>
              <w:t xml:space="preserve">Proporcionar a una organización local, la </w:t>
            </w:r>
            <w:proofErr w:type="spellStart"/>
            <w:r w:rsidRPr="00124FA2">
              <w:rPr>
                <w:i/>
                <w:sz w:val="16"/>
                <w:szCs w:val="16"/>
              </w:rPr>
              <w:t>Action</w:t>
            </w:r>
            <w:proofErr w:type="spellEnd"/>
            <w:r w:rsidRPr="00124FA2">
              <w:rPr>
                <w:i/>
                <w:sz w:val="16"/>
                <w:szCs w:val="16"/>
              </w:rPr>
              <w:t xml:space="preserve"> </w:t>
            </w:r>
            <w:proofErr w:type="spellStart"/>
            <w:r w:rsidRPr="00124FA2">
              <w:rPr>
                <w:i/>
                <w:sz w:val="16"/>
                <w:szCs w:val="16"/>
              </w:rPr>
              <w:t>on</w:t>
            </w:r>
            <w:proofErr w:type="spellEnd"/>
            <w:r w:rsidRPr="00124FA2">
              <w:rPr>
                <w:i/>
                <w:sz w:val="16"/>
                <w:szCs w:val="16"/>
              </w:rPr>
              <w:t xml:space="preserve"> </w:t>
            </w:r>
            <w:proofErr w:type="spellStart"/>
            <w:r w:rsidRPr="00124FA2">
              <w:rPr>
                <w:i/>
                <w:sz w:val="16"/>
                <w:szCs w:val="16"/>
              </w:rPr>
              <w:t>Disability</w:t>
            </w:r>
            <w:proofErr w:type="spellEnd"/>
            <w:r w:rsidRPr="00124FA2">
              <w:rPr>
                <w:i/>
                <w:sz w:val="16"/>
                <w:szCs w:val="16"/>
              </w:rPr>
              <w:t xml:space="preserve"> </w:t>
            </w:r>
            <w:proofErr w:type="spellStart"/>
            <w:r w:rsidRPr="00124FA2">
              <w:rPr>
                <w:i/>
                <w:sz w:val="16"/>
                <w:szCs w:val="16"/>
              </w:rPr>
              <w:t>Rights</w:t>
            </w:r>
            <w:proofErr w:type="spellEnd"/>
            <w:r w:rsidRPr="00124FA2">
              <w:rPr>
                <w:i/>
                <w:sz w:val="16"/>
                <w:szCs w:val="16"/>
              </w:rPr>
              <w:t xml:space="preserve"> and Development</w:t>
            </w:r>
            <w:r w:rsidRPr="00515D00">
              <w:rPr>
                <w:sz w:val="16"/>
                <w:szCs w:val="16"/>
              </w:rPr>
              <w:t xml:space="preserve"> (ADRAD), los conocimientos especializados y la financiación necesarios para llevar a cabo actividades de fortalecimiento de capacidades en Nepal.</w:t>
            </w:r>
          </w:p>
          <w:p w:rsidR="003E311F" w:rsidRPr="00515D00" w:rsidRDefault="003E311F" w:rsidP="007A358B">
            <w:pPr>
              <w:autoSpaceDE w:val="0"/>
              <w:autoSpaceDN w:val="0"/>
              <w:spacing w:before="60" w:after="60"/>
              <w:rPr>
                <w:color w:val="000000"/>
                <w:sz w:val="16"/>
                <w:szCs w:val="16"/>
              </w:rPr>
            </w:pPr>
            <w:r w:rsidRPr="00515D00">
              <w:rPr>
                <w:sz w:val="16"/>
                <w:szCs w:val="16"/>
              </w:rPr>
              <w:t>Entre las actividades figuran i) la formación de editores locales, públicos y privados, así como de ONG locales, en la producción</w:t>
            </w:r>
            <w:r>
              <w:rPr>
                <w:sz w:val="16"/>
                <w:szCs w:val="16"/>
              </w:rPr>
              <w:t xml:space="preserve"> de libros en formato accesible; </w:t>
            </w:r>
            <w:r w:rsidRPr="00515D00">
              <w:rPr>
                <w:sz w:val="16"/>
                <w:szCs w:val="16"/>
              </w:rPr>
              <w:t xml:space="preserve"> ii) la producción de 140 libros educativos en formato accesible en inglés y nepalés</w:t>
            </w:r>
            <w:r>
              <w:rPr>
                <w:sz w:val="16"/>
                <w:szCs w:val="16"/>
              </w:rPr>
              <w:t xml:space="preserve">; </w:t>
            </w:r>
            <w:r w:rsidRPr="00515D00">
              <w:rPr>
                <w:sz w:val="16"/>
                <w:szCs w:val="16"/>
              </w:rPr>
              <w:t xml:space="preserve"> y iii) la compra de 100 dispositivos Android que se prestarán a estudiantes discapacitados visuales para que puedan leer esos libros.  </w:t>
            </w:r>
            <w:r w:rsidRPr="00515D00">
              <w:rPr>
                <w:color w:val="000000"/>
                <w:sz w:val="16"/>
                <w:szCs w:val="16"/>
              </w:rPr>
              <w:t>Se prevé que se beneficien de ellos 1.500 estudiantes discapacitados visuales.</w:t>
            </w:r>
          </w:p>
        </w:tc>
      </w:tr>
      <w:tr w:rsidR="003E311F" w:rsidRPr="00057B87" w:rsidTr="007A358B">
        <w:trPr>
          <w:cantSplit/>
          <w:trHeight w:val="315"/>
        </w:trPr>
        <w:tc>
          <w:tcPr>
            <w:tcW w:w="1843" w:type="dxa"/>
          </w:tcPr>
          <w:p w:rsidR="003E311F" w:rsidRPr="00515D00" w:rsidRDefault="003E311F" w:rsidP="007A358B">
            <w:pPr>
              <w:autoSpaceDE w:val="0"/>
              <w:autoSpaceDN w:val="0"/>
              <w:spacing w:before="60" w:after="60"/>
              <w:rPr>
                <w:color w:val="000000"/>
                <w:sz w:val="16"/>
                <w:szCs w:val="16"/>
              </w:rPr>
            </w:pPr>
            <w:r w:rsidRPr="00515D00">
              <w:rPr>
                <w:color w:val="000000"/>
                <w:sz w:val="16"/>
                <w:szCs w:val="16"/>
              </w:rPr>
              <w:t>Fortalecimiento de la capacidad – Kit de iniciación DAISY</w:t>
            </w:r>
          </w:p>
        </w:tc>
        <w:tc>
          <w:tcPr>
            <w:tcW w:w="1134" w:type="dxa"/>
          </w:tcPr>
          <w:p w:rsidR="003E311F" w:rsidRPr="00515D00" w:rsidRDefault="003E311F" w:rsidP="007A358B">
            <w:pPr>
              <w:autoSpaceDE w:val="0"/>
              <w:autoSpaceDN w:val="0"/>
              <w:spacing w:before="60" w:after="60"/>
              <w:rPr>
                <w:color w:val="000000"/>
                <w:sz w:val="16"/>
                <w:szCs w:val="16"/>
              </w:rPr>
            </w:pPr>
            <w:r>
              <w:rPr>
                <w:color w:val="000000"/>
                <w:sz w:val="16"/>
                <w:szCs w:val="16"/>
              </w:rPr>
              <w:t>En curso desde</w:t>
            </w:r>
            <w:r w:rsidRPr="00515D00">
              <w:rPr>
                <w:color w:val="000000"/>
                <w:sz w:val="16"/>
                <w:szCs w:val="16"/>
              </w:rPr>
              <w:t xml:space="preserve"> 2014 y </w:t>
            </w:r>
            <w:r>
              <w:rPr>
                <w:color w:val="000000"/>
                <w:sz w:val="16"/>
                <w:szCs w:val="16"/>
              </w:rPr>
              <w:t>finalizado en</w:t>
            </w:r>
            <w:r w:rsidRPr="00515D00">
              <w:rPr>
                <w:color w:val="000000"/>
                <w:sz w:val="16"/>
                <w:szCs w:val="16"/>
              </w:rPr>
              <w:t xml:space="preserve"> mayo de 2015</w:t>
            </w:r>
          </w:p>
        </w:tc>
        <w:tc>
          <w:tcPr>
            <w:tcW w:w="1559" w:type="dxa"/>
            <w:gridSpan w:val="2"/>
          </w:tcPr>
          <w:p w:rsidR="003E311F" w:rsidRPr="00515D00" w:rsidRDefault="003E311F" w:rsidP="007A358B">
            <w:pPr>
              <w:autoSpaceDE w:val="0"/>
              <w:autoSpaceDN w:val="0"/>
              <w:spacing w:before="60" w:after="60"/>
              <w:rPr>
                <w:color w:val="000000"/>
                <w:sz w:val="16"/>
                <w:szCs w:val="16"/>
              </w:rPr>
            </w:pPr>
            <w:r w:rsidRPr="00515D00">
              <w:rPr>
                <w:color w:val="000000"/>
                <w:sz w:val="16"/>
                <w:szCs w:val="16"/>
              </w:rPr>
              <w:t>India</w:t>
            </w:r>
          </w:p>
        </w:tc>
        <w:tc>
          <w:tcPr>
            <w:tcW w:w="5245" w:type="dxa"/>
            <w:gridSpan w:val="4"/>
          </w:tcPr>
          <w:p w:rsidR="003E311F" w:rsidRPr="00515D00" w:rsidRDefault="003E311F" w:rsidP="007A358B">
            <w:pPr>
              <w:autoSpaceDE w:val="0"/>
              <w:autoSpaceDN w:val="0"/>
              <w:spacing w:before="60" w:after="60"/>
              <w:rPr>
                <w:color w:val="000000"/>
                <w:sz w:val="16"/>
                <w:szCs w:val="16"/>
              </w:rPr>
            </w:pPr>
            <w:r w:rsidRPr="00515D00">
              <w:rPr>
                <w:color w:val="000000"/>
                <w:sz w:val="16"/>
                <w:szCs w:val="16"/>
              </w:rPr>
              <w:t xml:space="preserve">Se proporcionó a una organización asociada, el DAISY </w:t>
            </w:r>
            <w:proofErr w:type="spellStart"/>
            <w:r w:rsidRPr="00515D00">
              <w:rPr>
                <w:color w:val="000000"/>
                <w:sz w:val="16"/>
                <w:szCs w:val="16"/>
              </w:rPr>
              <w:t>Consortium</w:t>
            </w:r>
            <w:proofErr w:type="spellEnd"/>
            <w:r w:rsidRPr="00515D00">
              <w:rPr>
                <w:color w:val="000000"/>
                <w:sz w:val="16"/>
                <w:szCs w:val="16"/>
              </w:rPr>
              <w:t xml:space="preserve">, la financiación necesaria para que produjera un Kit de Iniciación con orientaciones y buenas prácticas para la producción de libros en formato accesible en los países en desarrollo.  </w:t>
            </w:r>
          </w:p>
        </w:tc>
      </w:tr>
      <w:tr w:rsidR="003E311F" w:rsidRPr="00057B87" w:rsidTr="007A358B">
        <w:trPr>
          <w:cantSplit/>
          <w:trHeight w:val="315"/>
        </w:trPr>
        <w:tc>
          <w:tcPr>
            <w:tcW w:w="9781" w:type="dxa"/>
            <w:gridSpan w:val="8"/>
            <w:tcBorders>
              <w:top w:val="single" w:sz="4" w:space="0" w:color="000000"/>
              <w:bottom w:val="single" w:sz="4" w:space="0" w:color="000000"/>
            </w:tcBorders>
            <w:shd w:val="clear" w:color="auto" w:fill="C6D9F1" w:themeFill="text2" w:themeFillTint="33"/>
          </w:tcPr>
          <w:p w:rsidR="003E311F" w:rsidRPr="00515D00" w:rsidRDefault="003E311F" w:rsidP="007A358B">
            <w:pPr>
              <w:keepNext/>
              <w:keepLines/>
              <w:tabs>
                <w:tab w:val="left" w:pos="1740"/>
              </w:tabs>
              <w:spacing w:before="120" w:after="120"/>
              <w:ind w:left="1740" w:hanging="1740"/>
              <w:rPr>
                <w:sz w:val="18"/>
                <w:szCs w:val="18"/>
              </w:rPr>
            </w:pPr>
            <w:r w:rsidRPr="00515D00">
              <w:rPr>
                <w:b/>
                <w:bCs/>
                <w:color w:val="000000"/>
                <w:sz w:val="16"/>
                <w:szCs w:val="16"/>
              </w:rPr>
              <w:t>RESULTADO:</w:t>
            </w:r>
            <w:r w:rsidRPr="00515D00">
              <w:rPr>
                <w:bCs/>
                <w:sz w:val="16"/>
                <w:szCs w:val="16"/>
              </w:rPr>
              <w:tab/>
              <w:t>VII.2  Plataformas y herramientas de P.I. utilizadas para la transferencia de conocimiento y la difusión y adaptación de tecnología de los países desarrollados en los países en desarrollo, en particular en los menos adelantados, con el fin de atender los desafíos mundiales</w:t>
            </w:r>
          </w:p>
        </w:tc>
      </w:tr>
      <w:tr w:rsidR="003E311F" w:rsidRPr="00515D00" w:rsidTr="007A358B">
        <w:trPr>
          <w:cantSplit/>
          <w:trHeight w:val="487"/>
        </w:trPr>
        <w:tc>
          <w:tcPr>
            <w:tcW w:w="1843" w:type="dxa"/>
            <w:tcBorders>
              <w:top w:val="single" w:sz="4" w:space="0" w:color="000000"/>
            </w:tcBorders>
            <w:vAlign w:val="center"/>
          </w:tcPr>
          <w:p w:rsidR="003E311F" w:rsidRPr="00515D00" w:rsidRDefault="003E311F" w:rsidP="007A358B">
            <w:pPr>
              <w:keepNext/>
              <w:keepLines/>
              <w:spacing w:before="60" w:after="60"/>
              <w:rPr>
                <w:b/>
                <w:bCs/>
                <w:sz w:val="16"/>
                <w:szCs w:val="16"/>
              </w:rPr>
            </w:pPr>
            <w:r w:rsidRPr="00515D00">
              <w:rPr>
                <w:b/>
                <w:bCs/>
                <w:sz w:val="16"/>
                <w:szCs w:val="16"/>
              </w:rPr>
              <w:t>Actividad</w:t>
            </w:r>
          </w:p>
        </w:tc>
        <w:tc>
          <w:tcPr>
            <w:tcW w:w="1134" w:type="dxa"/>
            <w:tcBorders>
              <w:top w:val="single" w:sz="4" w:space="0" w:color="000000"/>
            </w:tcBorders>
            <w:vAlign w:val="center"/>
          </w:tcPr>
          <w:p w:rsidR="003E311F" w:rsidRPr="00515D00" w:rsidRDefault="003E311F" w:rsidP="007A358B">
            <w:pPr>
              <w:keepNext/>
              <w:keepLines/>
              <w:spacing w:before="60" w:after="60"/>
              <w:rPr>
                <w:sz w:val="16"/>
                <w:szCs w:val="16"/>
              </w:rPr>
            </w:pPr>
            <w:r w:rsidRPr="00515D00">
              <w:rPr>
                <w:b/>
                <w:bCs/>
                <w:sz w:val="16"/>
                <w:szCs w:val="16"/>
              </w:rPr>
              <w:t>Fecha</w:t>
            </w:r>
          </w:p>
        </w:tc>
        <w:tc>
          <w:tcPr>
            <w:tcW w:w="1559" w:type="dxa"/>
            <w:gridSpan w:val="2"/>
            <w:tcBorders>
              <w:top w:val="single" w:sz="4" w:space="0" w:color="000000"/>
            </w:tcBorders>
            <w:vAlign w:val="center"/>
          </w:tcPr>
          <w:p w:rsidR="003E311F" w:rsidRPr="00515D00" w:rsidRDefault="003E311F" w:rsidP="007A358B">
            <w:pPr>
              <w:widowControl w:val="0"/>
              <w:rPr>
                <w:sz w:val="16"/>
                <w:szCs w:val="16"/>
              </w:rPr>
            </w:pPr>
            <w:r w:rsidRPr="00515D00">
              <w:rPr>
                <w:b/>
                <w:sz w:val="16"/>
                <w:szCs w:val="16"/>
              </w:rPr>
              <w:t>País anfitrión / Beneficiarios</w:t>
            </w:r>
          </w:p>
        </w:tc>
        <w:tc>
          <w:tcPr>
            <w:tcW w:w="5245" w:type="dxa"/>
            <w:gridSpan w:val="4"/>
            <w:tcBorders>
              <w:top w:val="single" w:sz="4" w:space="0" w:color="000000"/>
            </w:tcBorders>
            <w:vAlign w:val="center"/>
          </w:tcPr>
          <w:p w:rsidR="003E311F" w:rsidRPr="00515D00" w:rsidRDefault="003E311F" w:rsidP="007A358B">
            <w:pPr>
              <w:widowControl w:val="0"/>
              <w:rPr>
                <w:sz w:val="16"/>
                <w:szCs w:val="16"/>
              </w:rPr>
            </w:pPr>
            <w:r w:rsidRPr="00515D00">
              <w:rPr>
                <w:b/>
                <w:sz w:val="16"/>
                <w:szCs w:val="16"/>
              </w:rPr>
              <w:t>Propósito(s)/Descripción</w:t>
            </w:r>
          </w:p>
        </w:tc>
      </w:tr>
      <w:tr w:rsidR="003E311F" w:rsidRPr="00057B87" w:rsidTr="007A358B">
        <w:trPr>
          <w:cantSplit/>
          <w:trHeight w:val="1362"/>
        </w:trPr>
        <w:tc>
          <w:tcPr>
            <w:tcW w:w="1843" w:type="dxa"/>
          </w:tcPr>
          <w:p w:rsidR="003E311F" w:rsidRPr="00515D00" w:rsidRDefault="003E311F" w:rsidP="007A358B">
            <w:pPr>
              <w:spacing w:before="120" w:after="120"/>
              <w:rPr>
                <w:color w:val="000000"/>
                <w:sz w:val="16"/>
                <w:szCs w:val="16"/>
              </w:rPr>
            </w:pPr>
            <w:r w:rsidRPr="00515D00">
              <w:rPr>
                <w:sz w:val="16"/>
                <w:szCs w:val="16"/>
              </w:rPr>
              <w:t>Continuación de los acuerdos de acogida de científicos biomédicos africanos en instituciones de investigación fuera de África</w:t>
            </w:r>
          </w:p>
        </w:tc>
        <w:tc>
          <w:tcPr>
            <w:tcW w:w="1134" w:type="dxa"/>
          </w:tcPr>
          <w:p w:rsidR="003E311F" w:rsidRPr="00515D00" w:rsidRDefault="003E311F" w:rsidP="007A358B">
            <w:pPr>
              <w:spacing w:before="120" w:after="120"/>
              <w:rPr>
                <w:color w:val="000000"/>
                <w:sz w:val="16"/>
                <w:szCs w:val="16"/>
              </w:rPr>
            </w:pPr>
            <w:r w:rsidRPr="00515D00">
              <w:rPr>
                <w:color w:val="000000"/>
                <w:sz w:val="16"/>
                <w:szCs w:val="16"/>
              </w:rPr>
              <w:t>Octubre a diciembre de 2015</w:t>
            </w:r>
            <w:r w:rsidRPr="00515D00">
              <w:rPr>
                <w:rStyle w:val="FootnoteReference"/>
                <w:color w:val="000000"/>
                <w:sz w:val="16"/>
                <w:szCs w:val="16"/>
              </w:rPr>
              <w:footnoteReference w:id="151"/>
            </w:r>
          </w:p>
        </w:tc>
        <w:tc>
          <w:tcPr>
            <w:tcW w:w="1559" w:type="dxa"/>
            <w:gridSpan w:val="2"/>
          </w:tcPr>
          <w:p w:rsidR="003E311F" w:rsidRPr="00515D00" w:rsidRDefault="003E311F" w:rsidP="007A358B">
            <w:pPr>
              <w:spacing w:before="120" w:after="120" w:line="276" w:lineRule="auto"/>
              <w:rPr>
                <w:color w:val="000000"/>
                <w:sz w:val="16"/>
                <w:szCs w:val="16"/>
              </w:rPr>
            </w:pPr>
            <w:r w:rsidRPr="00515D00">
              <w:rPr>
                <w:color w:val="000000"/>
                <w:sz w:val="16"/>
                <w:szCs w:val="16"/>
              </w:rPr>
              <w:t>Universidad de California en Sa</w:t>
            </w:r>
            <w:r w:rsidRPr="00515D00">
              <w:rPr>
                <w:sz w:val="16"/>
                <w:szCs w:val="16"/>
              </w:rPr>
              <w:t>n Diego</w:t>
            </w:r>
            <w:r w:rsidRPr="00515D00">
              <w:rPr>
                <w:color w:val="000000"/>
                <w:sz w:val="16"/>
                <w:szCs w:val="16"/>
              </w:rPr>
              <w:t xml:space="preserve">, (EE.UU) / Dr. Christian </w:t>
            </w:r>
            <w:proofErr w:type="spellStart"/>
            <w:r w:rsidRPr="00515D00">
              <w:rPr>
                <w:color w:val="000000"/>
                <w:sz w:val="16"/>
                <w:szCs w:val="16"/>
              </w:rPr>
              <w:t>Agyare</w:t>
            </w:r>
            <w:proofErr w:type="spellEnd"/>
            <w:r w:rsidRPr="00515D00">
              <w:rPr>
                <w:color w:val="000000"/>
                <w:sz w:val="16"/>
                <w:szCs w:val="16"/>
              </w:rPr>
              <w:t xml:space="preserve"> y </w:t>
            </w:r>
            <w:r w:rsidRPr="00D41AF2">
              <w:rPr>
                <w:color w:val="000000"/>
                <w:sz w:val="16"/>
                <w:szCs w:val="16"/>
              </w:rPr>
              <w:t>Srta</w:t>
            </w:r>
            <w:r w:rsidRPr="00515D00">
              <w:rPr>
                <w:color w:val="000000"/>
                <w:sz w:val="16"/>
                <w:szCs w:val="16"/>
              </w:rPr>
              <w:t xml:space="preserve">.  </w:t>
            </w:r>
            <w:proofErr w:type="spellStart"/>
            <w:r w:rsidRPr="00515D00">
              <w:rPr>
                <w:color w:val="000000"/>
                <w:sz w:val="16"/>
                <w:szCs w:val="16"/>
              </w:rPr>
              <w:t>Kyere</w:t>
            </w:r>
            <w:proofErr w:type="spellEnd"/>
            <w:r w:rsidRPr="00515D00">
              <w:rPr>
                <w:color w:val="000000"/>
                <w:sz w:val="16"/>
                <w:szCs w:val="16"/>
              </w:rPr>
              <w:t>-Davies.</w:t>
            </w:r>
          </w:p>
        </w:tc>
        <w:tc>
          <w:tcPr>
            <w:tcW w:w="5245" w:type="dxa"/>
            <w:gridSpan w:val="4"/>
          </w:tcPr>
          <w:p w:rsidR="003E311F" w:rsidRPr="00515D00" w:rsidRDefault="003E311F" w:rsidP="007A358B">
            <w:pPr>
              <w:spacing w:before="120" w:after="120"/>
              <w:rPr>
                <w:color w:val="000000"/>
                <w:sz w:val="16"/>
                <w:szCs w:val="16"/>
              </w:rPr>
            </w:pPr>
            <w:r w:rsidRPr="00515D00">
              <w:rPr>
                <w:sz w:val="16"/>
                <w:szCs w:val="16"/>
              </w:rPr>
              <w:t xml:space="preserve">Promover i) el uso eficaz de la P.I. para abordar un problema de salud mundial (enfermedades tropicales desatendidas), que afecta a muchos PMA y ii) la transferencia de conocimientos </w:t>
            </w:r>
            <w:r>
              <w:rPr>
                <w:sz w:val="16"/>
                <w:szCs w:val="16"/>
              </w:rPr>
              <w:t>a</w:t>
            </w:r>
            <w:r w:rsidRPr="00515D00">
              <w:rPr>
                <w:sz w:val="16"/>
                <w:szCs w:val="16"/>
              </w:rPr>
              <w:t xml:space="preserve"> los científicos, especialmente de PMA.  Se han puesto a punto programas de investigación específicos para velar por que los participantes mejoren las capacidades de investigación y sean capaces de efectuar una contribución </w:t>
            </w:r>
            <w:r>
              <w:rPr>
                <w:sz w:val="16"/>
                <w:szCs w:val="16"/>
              </w:rPr>
              <w:t>relevante en su</w:t>
            </w:r>
            <w:r w:rsidRPr="00515D00">
              <w:rPr>
                <w:sz w:val="16"/>
                <w:szCs w:val="16"/>
              </w:rPr>
              <w:t>s países de procedencia en el ámbito de las enfermedades tropicales desatendidas.</w:t>
            </w:r>
          </w:p>
        </w:tc>
      </w:tr>
    </w:tbl>
    <w:p w:rsidR="003E311F" w:rsidRPr="00515D00" w:rsidRDefault="003E311F" w:rsidP="003E311F"/>
    <w:p w:rsidR="003E311F" w:rsidRDefault="003E311F" w:rsidP="003E311F">
      <w:pPr>
        <w:rPr>
          <w:b/>
        </w:rPr>
      </w:pPr>
    </w:p>
    <w:p w:rsidR="00DA3508" w:rsidRPr="00DA3508" w:rsidRDefault="00DA3508" w:rsidP="00DA3508">
      <w:pPr>
        <w:rPr>
          <w:b/>
          <w:bCs/>
          <w:color w:val="000000"/>
        </w:rPr>
      </w:pPr>
      <w:r w:rsidRPr="00DA3508">
        <w:rPr>
          <w:b/>
          <w:szCs w:val="16"/>
        </w:rPr>
        <w:t xml:space="preserve">AUSTRALIA </w:t>
      </w:r>
      <w:r w:rsidRPr="007329AC">
        <w:rPr>
          <w:b/>
          <w:sz w:val="20"/>
        </w:rPr>
        <w:t xml:space="preserve">- Contribuciones de donantes y gastos de </w:t>
      </w:r>
      <w:r w:rsidRPr="007329AC">
        <w:rPr>
          <w:b/>
          <w:bCs/>
          <w:color w:val="000000"/>
          <w:sz w:val="20"/>
        </w:rPr>
        <w:t>2015</w:t>
      </w:r>
    </w:p>
    <w:p w:rsidR="00DA3508" w:rsidRPr="00DA3508" w:rsidRDefault="00DA3508" w:rsidP="00DA3508"/>
    <w:tbl>
      <w:tblPr>
        <w:tblW w:w="9792" w:type="dxa"/>
        <w:tblInd w:w="98" w:type="dxa"/>
        <w:tblLook w:val="04A0" w:firstRow="1" w:lastRow="0" w:firstColumn="1" w:lastColumn="0" w:noHBand="0" w:noVBand="1"/>
      </w:tblPr>
      <w:tblGrid>
        <w:gridCol w:w="2040"/>
        <w:gridCol w:w="1640"/>
        <w:gridCol w:w="1860"/>
        <w:gridCol w:w="1780"/>
        <w:gridCol w:w="2472"/>
      </w:tblGrid>
      <w:tr w:rsidR="00DA3508" w:rsidRPr="000B5656" w:rsidTr="00DA3508">
        <w:trPr>
          <w:trHeight w:val="450"/>
        </w:trPr>
        <w:tc>
          <w:tcPr>
            <w:tcW w:w="2040" w:type="dxa"/>
            <w:tcBorders>
              <w:top w:val="single" w:sz="8" w:space="0" w:color="auto"/>
              <w:left w:val="single" w:sz="8" w:space="0" w:color="auto"/>
              <w:bottom w:val="nil"/>
              <w:right w:val="single" w:sz="8" w:space="0" w:color="auto"/>
            </w:tcBorders>
            <w:shd w:val="clear" w:color="000000" w:fill="C5D9F1"/>
            <w:vAlign w:val="center"/>
            <w:hideMark/>
          </w:tcPr>
          <w:p w:rsidR="00DA3508" w:rsidRPr="000B5656" w:rsidRDefault="00DA3508" w:rsidP="00DA3508">
            <w:pPr>
              <w:jc w:val="center"/>
              <w:rPr>
                <w:b/>
                <w:bCs/>
                <w:color w:val="000000"/>
                <w:sz w:val="16"/>
                <w:szCs w:val="16"/>
              </w:rPr>
            </w:pPr>
            <w:r>
              <w:rPr>
                <w:b/>
                <w:bCs/>
                <w:sz w:val="16"/>
                <w:szCs w:val="16"/>
              </w:rPr>
              <w:t>Saldo el</w:t>
            </w:r>
            <w:r w:rsidRPr="00515D00">
              <w:rPr>
                <w:b/>
                <w:bCs/>
                <w:sz w:val="16"/>
                <w:szCs w:val="16"/>
              </w:rPr>
              <w:t xml:space="preserve"> 31 de diciembre de </w:t>
            </w:r>
            <w:r w:rsidRPr="00515D00">
              <w:rPr>
                <w:b/>
                <w:bCs/>
                <w:color w:val="000000"/>
                <w:sz w:val="16"/>
                <w:szCs w:val="16"/>
              </w:rPr>
              <w:t>2014</w:t>
            </w:r>
          </w:p>
        </w:tc>
        <w:tc>
          <w:tcPr>
            <w:tcW w:w="1640" w:type="dxa"/>
            <w:tcBorders>
              <w:top w:val="single" w:sz="8" w:space="0" w:color="auto"/>
              <w:left w:val="nil"/>
              <w:bottom w:val="nil"/>
              <w:right w:val="single" w:sz="8" w:space="0" w:color="auto"/>
            </w:tcBorders>
            <w:shd w:val="clear" w:color="000000" w:fill="C5D9F1"/>
            <w:vAlign w:val="center"/>
            <w:hideMark/>
          </w:tcPr>
          <w:p w:rsidR="00DA3508" w:rsidRPr="000B5656" w:rsidRDefault="00DA3508" w:rsidP="00B573D2">
            <w:pPr>
              <w:jc w:val="center"/>
              <w:rPr>
                <w:b/>
                <w:bCs/>
                <w:color w:val="000000"/>
                <w:sz w:val="16"/>
                <w:szCs w:val="16"/>
              </w:rPr>
            </w:pPr>
            <w:r w:rsidRPr="00515D00">
              <w:rPr>
                <w:b/>
                <w:bCs/>
                <w:sz w:val="16"/>
                <w:szCs w:val="16"/>
              </w:rPr>
              <w:t xml:space="preserve">Ingresos en </w:t>
            </w:r>
            <w:r w:rsidRPr="00515D00">
              <w:rPr>
                <w:b/>
                <w:bCs/>
                <w:color w:val="000000"/>
                <w:sz w:val="16"/>
                <w:szCs w:val="16"/>
              </w:rPr>
              <w:t>2015</w:t>
            </w:r>
          </w:p>
        </w:tc>
        <w:tc>
          <w:tcPr>
            <w:tcW w:w="1860" w:type="dxa"/>
            <w:tcBorders>
              <w:top w:val="single" w:sz="8" w:space="0" w:color="auto"/>
              <w:left w:val="nil"/>
              <w:bottom w:val="nil"/>
              <w:right w:val="single" w:sz="8" w:space="0" w:color="auto"/>
            </w:tcBorders>
            <w:shd w:val="clear" w:color="000000" w:fill="C5D9F1"/>
            <w:vAlign w:val="center"/>
            <w:hideMark/>
          </w:tcPr>
          <w:p w:rsidR="00DA3508" w:rsidRPr="000B5656" w:rsidRDefault="00DA3508" w:rsidP="00B573D2">
            <w:pPr>
              <w:jc w:val="center"/>
              <w:rPr>
                <w:b/>
                <w:bCs/>
                <w:color w:val="000000"/>
                <w:sz w:val="16"/>
                <w:szCs w:val="16"/>
              </w:rPr>
            </w:pPr>
            <w:r w:rsidRPr="00515D00">
              <w:rPr>
                <w:b/>
                <w:bCs/>
                <w:sz w:val="16"/>
                <w:szCs w:val="16"/>
              </w:rPr>
              <w:t xml:space="preserve">Gastos en </w:t>
            </w:r>
            <w:r w:rsidRPr="00515D00">
              <w:rPr>
                <w:b/>
                <w:bCs/>
                <w:color w:val="000000"/>
                <w:sz w:val="16"/>
                <w:szCs w:val="16"/>
              </w:rPr>
              <w:t>2015</w:t>
            </w:r>
          </w:p>
        </w:tc>
        <w:tc>
          <w:tcPr>
            <w:tcW w:w="1780" w:type="dxa"/>
            <w:tcBorders>
              <w:top w:val="single" w:sz="8" w:space="0" w:color="auto"/>
              <w:left w:val="nil"/>
              <w:bottom w:val="nil"/>
              <w:right w:val="single" w:sz="8" w:space="0" w:color="auto"/>
            </w:tcBorders>
            <w:shd w:val="clear" w:color="000000" w:fill="C5D9F1"/>
            <w:vAlign w:val="center"/>
            <w:hideMark/>
          </w:tcPr>
          <w:p w:rsidR="00DA3508" w:rsidRPr="000B5656" w:rsidRDefault="00DA3508" w:rsidP="00B573D2">
            <w:pPr>
              <w:jc w:val="center"/>
              <w:rPr>
                <w:b/>
                <w:bCs/>
                <w:color w:val="000000"/>
                <w:sz w:val="16"/>
                <w:szCs w:val="16"/>
              </w:rPr>
            </w:pPr>
            <w:r w:rsidRPr="00515D00">
              <w:rPr>
                <w:b/>
                <w:bCs/>
                <w:sz w:val="16"/>
                <w:szCs w:val="16"/>
              </w:rPr>
              <w:t>Reembolsos</w:t>
            </w:r>
          </w:p>
        </w:tc>
        <w:tc>
          <w:tcPr>
            <w:tcW w:w="2472" w:type="dxa"/>
            <w:tcBorders>
              <w:top w:val="single" w:sz="8" w:space="0" w:color="auto"/>
              <w:left w:val="nil"/>
              <w:bottom w:val="nil"/>
              <w:right w:val="single" w:sz="8" w:space="0" w:color="auto"/>
            </w:tcBorders>
            <w:shd w:val="clear" w:color="000000" w:fill="C5D9F1"/>
            <w:vAlign w:val="center"/>
            <w:hideMark/>
          </w:tcPr>
          <w:p w:rsidR="00DA3508" w:rsidRPr="000B5656" w:rsidRDefault="00DA3508" w:rsidP="00B573D2">
            <w:pPr>
              <w:jc w:val="center"/>
              <w:rPr>
                <w:b/>
                <w:bCs/>
                <w:color w:val="000000"/>
                <w:sz w:val="16"/>
                <w:szCs w:val="16"/>
              </w:rPr>
            </w:pPr>
            <w:r>
              <w:rPr>
                <w:b/>
                <w:bCs/>
                <w:sz w:val="16"/>
                <w:szCs w:val="16"/>
              </w:rPr>
              <w:t>Saldo el</w:t>
            </w:r>
            <w:r w:rsidRPr="00515D00">
              <w:rPr>
                <w:b/>
                <w:bCs/>
                <w:sz w:val="16"/>
                <w:szCs w:val="16"/>
              </w:rPr>
              <w:t xml:space="preserve"> 31 de diciembre de</w:t>
            </w:r>
            <w:r>
              <w:rPr>
                <w:b/>
                <w:bCs/>
                <w:sz w:val="16"/>
                <w:szCs w:val="16"/>
              </w:rPr>
              <w:t> </w:t>
            </w:r>
            <w:r w:rsidRPr="00515D00">
              <w:rPr>
                <w:b/>
                <w:bCs/>
                <w:color w:val="000000"/>
                <w:sz w:val="16"/>
                <w:szCs w:val="16"/>
              </w:rPr>
              <w:t>2015</w:t>
            </w:r>
          </w:p>
        </w:tc>
      </w:tr>
      <w:tr w:rsidR="00DA3508" w:rsidRPr="000B5656" w:rsidTr="00DA3508">
        <w:trPr>
          <w:trHeight w:val="255"/>
        </w:trPr>
        <w:tc>
          <w:tcPr>
            <w:tcW w:w="2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3508" w:rsidRPr="000B5656" w:rsidRDefault="00DA3508" w:rsidP="00123A02">
            <w:pPr>
              <w:jc w:val="center"/>
              <w:rPr>
                <w:color w:val="000000"/>
                <w:sz w:val="16"/>
                <w:szCs w:val="16"/>
              </w:rPr>
            </w:pPr>
            <w:r>
              <w:rPr>
                <w:color w:val="000000"/>
                <w:sz w:val="16"/>
                <w:szCs w:val="16"/>
              </w:rPr>
              <w:t>493</w:t>
            </w:r>
            <w:r w:rsidR="00123A02">
              <w:rPr>
                <w:color w:val="000000"/>
                <w:sz w:val="16"/>
                <w:szCs w:val="16"/>
              </w:rPr>
              <w:t>.</w:t>
            </w:r>
            <w:r>
              <w:rPr>
                <w:color w:val="000000"/>
                <w:sz w:val="16"/>
                <w:szCs w:val="16"/>
              </w:rPr>
              <w:t>374</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DA3508" w:rsidRPr="000B5656" w:rsidRDefault="00DA3508" w:rsidP="00B573D2">
            <w:pPr>
              <w:jc w:val="center"/>
              <w:rPr>
                <w:color w:val="000000"/>
                <w:sz w:val="16"/>
                <w:szCs w:val="16"/>
              </w:rPr>
            </w:pPr>
            <w:r>
              <w:rPr>
                <w:color w:val="000000"/>
                <w:sz w:val="16"/>
                <w:szCs w:val="16"/>
              </w:rPr>
              <w:t>727</w:t>
            </w:r>
          </w:p>
        </w:tc>
        <w:tc>
          <w:tcPr>
            <w:tcW w:w="1860" w:type="dxa"/>
            <w:tcBorders>
              <w:top w:val="single" w:sz="4" w:space="0" w:color="auto"/>
              <w:left w:val="nil"/>
              <w:bottom w:val="single" w:sz="4" w:space="0" w:color="auto"/>
              <w:right w:val="single" w:sz="4" w:space="0" w:color="auto"/>
            </w:tcBorders>
            <w:shd w:val="clear" w:color="auto" w:fill="auto"/>
            <w:vAlign w:val="center"/>
            <w:hideMark/>
          </w:tcPr>
          <w:p w:rsidR="00DA3508" w:rsidRPr="000B5656" w:rsidRDefault="00DA3508" w:rsidP="00123A02">
            <w:pPr>
              <w:jc w:val="center"/>
              <w:rPr>
                <w:color w:val="000000"/>
                <w:sz w:val="16"/>
                <w:szCs w:val="16"/>
              </w:rPr>
            </w:pPr>
            <w:r>
              <w:rPr>
                <w:color w:val="000000"/>
                <w:sz w:val="16"/>
                <w:szCs w:val="16"/>
              </w:rPr>
              <w:t>383</w:t>
            </w:r>
            <w:r w:rsidR="00123A02">
              <w:rPr>
                <w:color w:val="000000"/>
                <w:sz w:val="16"/>
                <w:szCs w:val="16"/>
              </w:rPr>
              <w:t>.</w:t>
            </w:r>
            <w:r>
              <w:rPr>
                <w:color w:val="000000"/>
                <w:sz w:val="16"/>
                <w:szCs w:val="16"/>
              </w:rPr>
              <w:t>882</w:t>
            </w:r>
          </w:p>
        </w:tc>
        <w:tc>
          <w:tcPr>
            <w:tcW w:w="1780" w:type="dxa"/>
            <w:tcBorders>
              <w:top w:val="single" w:sz="4" w:space="0" w:color="auto"/>
              <w:left w:val="nil"/>
              <w:bottom w:val="single" w:sz="4" w:space="0" w:color="auto"/>
              <w:right w:val="single" w:sz="4" w:space="0" w:color="auto"/>
            </w:tcBorders>
            <w:shd w:val="clear" w:color="auto" w:fill="auto"/>
            <w:noWrap/>
            <w:vAlign w:val="center"/>
            <w:hideMark/>
          </w:tcPr>
          <w:p w:rsidR="00DA3508" w:rsidRPr="00EF296D" w:rsidRDefault="00DA3508" w:rsidP="00B573D2">
            <w:pPr>
              <w:jc w:val="center"/>
              <w:rPr>
                <w:color w:val="000000"/>
                <w:sz w:val="16"/>
                <w:szCs w:val="16"/>
              </w:rPr>
            </w:pPr>
            <w:r>
              <w:rPr>
                <w:color w:val="000000"/>
                <w:sz w:val="16"/>
                <w:szCs w:val="16"/>
              </w:rPr>
              <w:t>-</w:t>
            </w:r>
          </w:p>
        </w:tc>
        <w:tc>
          <w:tcPr>
            <w:tcW w:w="2472" w:type="dxa"/>
            <w:tcBorders>
              <w:top w:val="single" w:sz="4" w:space="0" w:color="auto"/>
              <w:left w:val="nil"/>
              <w:bottom w:val="single" w:sz="4" w:space="0" w:color="auto"/>
              <w:right w:val="single" w:sz="4" w:space="0" w:color="auto"/>
            </w:tcBorders>
            <w:shd w:val="clear" w:color="auto" w:fill="auto"/>
            <w:vAlign w:val="center"/>
            <w:hideMark/>
          </w:tcPr>
          <w:p w:rsidR="00DA3508" w:rsidRPr="000B5656" w:rsidRDefault="00DA3508" w:rsidP="00123A02">
            <w:pPr>
              <w:jc w:val="center"/>
              <w:rPr>
                <w:color w:val="000000"/>
                <w:sz w:val="16"/>
                <w:szCs w:val="16"/>
              </w:rPr>
            </w:pPr>
            <w:r>
              <w:rPr>
                <w:color w:val="000000"/>
                <w:sz w:val="16"/>
                <w:szCs w:val="16"/>
              </w:rPr>
              <w:t>110</w:t>
            </w:r>
            <w:r w:rsidR="00123A02">
              <w:rPr>
                <w:color w:val="000000"/>
                <w:sz w:val="16"/>
                <w:szCs w:val="16"/>
              </w:rPr>
              <w:t>.</w:t>
            </w:r>
            <w:r>
              <w:rPr>
                <w:color w:val="000000"/>
                <w:sz w:val="16"/>
                <w:szCs w:val="16"/>
              </w:rPr>
              <w:t>219</w:t>
            </w:r>
          </w:p>
        </w:tc>
      </w:tr>
    </w:tbl>
    <w:p w:rsidR="00DA3508" w:rsidRDefault="00DA3508" w:rsidP="00DA3508">
      <w:pPr>
        <w:rPr>
          <w:b/>
        </w:rPr>
      </w:pPr>
    </w:p>
    <w:p w:rsidR="00DA3508" w:rsidRPr="00515D00" w:rsidRDefault="00DA3508" w:rsidP="003E311F">
      <w:pPr>
        <w:rPr>
          <w:b/>
        </w:rPr>
      </w:pPr>
    </w:p>
    <w:p w:rsidR="003E311F" w:rsidRPr="007329AC" w:rsidRDefault="003E311F" w:rsidP="003E311F">
      <w:pPr>
        <w:rPr>
          <w:b/>
          <w:sz w:val="20"/>
        </w:rPr>
      </w:pPr>
      <w:r w:rsidRPr="007329AC">
        <w:rPr>
          <w:b/>
          <w:sz w:val="20"/>
        </w:rPr>
        <w:t>BRASIL</w:t>
      </w:r>
    </w:p>
    <w:p w:rsidR="003E311F" w:rsidRPr="007329AC" w:rsidRDefault="003E311F" w:rsidP="003E311F">
      <w:pPr>
        <w:rPr>
          <w:b/>
          <w:sz w:val="20"/>
        </w:rPr>
      </w:pPr>
    </w:p>
    <w:tbl>
      <w:tblPr>
        <w:tblW w:w="9782" w:type="dxa"/>
        <w:tblInd w:w="10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43"/>
        <w:gridCol w:w="1276"/>
        <w:gridCol w:w="1559"/>
        <w:gridCol w:w="5104"/>
      </w:tblGrid>
      <w:tr w:rsidR="003E311F" w:rsidRPr="00057B87" w:rsidTr="007A358B">
        <w:trPr>
          <w:cantSplit/>
          <w:trHeight w:val="315"/>
        </w:trPr>
        <w:tc>
          <w:tcPr>
            <w:tcW w:w="9782" w:type="dxa"/>
            <w:gridSpan w:val="4"/>
            <w:tcBorders>
              <w:top w:val="single" w:sz="4" w:space="0" w:color="000000"/>
              <w:bottom w:val="single" w:sz="4" w:space="0" w:color="000000"/>
            </w:tcBorders>
            <w:shd w:val="clear" w:color="auto" w:fill="C6D9F1" w:themeFill="text2" w:themeFillTint="33"/>
          </w:tcPr>
          <w:p w:rsidR="003E311F" w:rsidRPr="00515D00" w:rsidRDefault="003E311F" w:rsidP="007A358B">
            <w:pPr>
              <w:keepNext/>
              <w:keepLines/>
              <w:tabs>
                <w:tab w:val="left" w:pos="1740"/>
              </w:tabs>
              <w:spacing w:before="120" w:after="120"/>
              <w:ind w:left="1740" w:hanging="1740"/>
              <w:rPr>
                <w:color w:val="000000"/>
                <w:sz w:val="16"/>
                <w:szCs w:val="16"/>
              </w:rPr>
            </w:pPr>
            <w:r w:rsidRPr="00515D00">
              <w:rPr>
                <w:b/>
                <w:bCs/>
                <w:color w:val="000000"/>
                <w:sz w:val="16"/>
                <w:szCs w:val="16"/>
              </w:rPr>
              <w:t>RESULTADO:</w:t>
            </w:r>
            <w:r w:rsidRPr="00515D00">
              <w:rPr>
                <w:bCs/>
                <w:sz w:val="16"/>
                <w:szCs w:val="16"/>
              </w:rPr>
              <w:tab/>
              <w:t>III.2  Aumento de las capacidades en recursos humanos para hacer frente a la gran diversidad de exigencias que supone la utilización eficaz de la P.I. para fomentar el desarrollo en los países en desarrollo, PMA y países con economías en transición</w:t>
            </w:r>
          </w:p>
        </w:tc>
      </w:tr>
      <w:tr w:rsidR="003E311F" w:rsidRPr="00515D00" w:rsidTr="007A358B">
        <w:trPr>
          <w:cantSplit/>
          <w:trHeight w:val="402"/>
        </w:trPr>
        <w:tc>
          <w:tcPr>
            <w:tcW w:w="1843" w:type="dxa"/>
            <w:tcBorders>
              <w:top w:val="single" w:sz="4" w:space="0" w:color="000000"/>
            </w:tcBorders>
            <w:vAlign w:val="center"/>
          </w:tcPr>
          <w:p w:rsidR="003E311F" w:rsidRPr="00515D00" w:rsidRDefault="003E311F" w:rsidP="007A358B">
            <w:pPr>
              <w:keepNext/>
              <w:keepLines/>
              <w:spacing w:before="60" w:after="60"/>
              <w:rPr>
                <w:b/>
                <w:bCs/>
                <w:sz w:val="16"/>
                <w:szCs w:val="16"/>
              </w:rPr>
            </w:pPr>
            <w:r w:rsidRPr="00515D00">
              <w:rPr>
                <w:b/>
                <w:bCs/>
                <w:sz w:val="16"/>
                <w:szCs w:val="16"/>
              </w:rPr>
              <w:t>Actividad</w:t>
            </w:r>
          </w:p>
        </w:tc>
        <w:tc>
          <w:tcPr>
            <w:tcW w:w="1276" w:type="dxa"/>
            <w:tcBorders>
              <w:top w:val="single" w:sz="4" w:space="0" w:color="000000"/>
            </w:tcBorders>
            <w:vAlign w:val="center"/>
          </w:tcPr>
          <w:p w:rsidR="003E311F" w:rsidRPr="00515D00" w:rsidRDefault="003E311F" w:rsidP="007A358B">
            <w:pPr>
              <w:keepNext/>
              <w:keepLines/>
              <w:spacing w:before="60" w:after="60"/>
              <w:rPr>
                <w:sz w:val="16"/>
                <w:szCs w:val="16"/>
              </w:rPr>
            </w:pPr>
            <w:r w:rsidRPr="00515D00">
              <w:rPr>
                <w:b/>
                <w:bCs/>
                <w:sz w:val="16"/>
                <w:szCs w:val="16"/>
              </w:rPr>
              <w:t>Fecha</w:t>
            </w:r>
          </w:p>
        </w:tc>
        <w:tc>
          <w:tcPr>
            <w:tcW w:w="1559" w:type="dxa"/>
            <w:tcBorders>
              <w:top w:val="single" w:sz="4" w:space="0" w:color="000000"/>
            </w:tcBorders>
            <w:vAlign w:val="center"/>
          </w:tcPr>
          <w:p w:rsidR="003E311F" w:rsidRPr="00515D00" w:rsidRDefault="003E311F" w:rsidP="007A358B">
            <w:pPr>
              <w:widowControl w:val="0"/>
              <w:rPr>
                <w:sz w:val="16"/>
                <w:szCs w:val="16"/>
              </w:rPr>
            </w:pPr>
            <w:r w:rsidRPr="00515D00">
              <w:rPr>
                <w:b/>
                <w:sz w:val="16"/>
                <w:szCs w:val="16"/>
              </w:rPr>
              <w:t>País anfitrión / Beneficiarios</w:t>
            </w:r>
          </w:p>
        </w:tc>
        <w:tc>
          <w:tcPr>
            <w:tcW w:w="5104" w:type="dxa"/>
            <w:tcBorders>
              <w:top w:val="single" w:sz="4" w:space="0" w:color="000000"/>
            </w:tcBorders>
            <w:vAlign w:val="center"/>
          </w:tcPr>
          <w:p w:rsidR="003E311F" w:rsidRPr="00515D00" w:rsidRDefault="003E311F" w:rsidP="007A358B">
            <w:pPr>
              <w:widowControl w:val="0"/>
              <w:rPr>
                <w:sz w:val="16"/>
                <w:szCs w:val="16"/>
              </w:rPr>
            </w:pPr>
            <w:r w:rsidRPr="00515D00">
              <w:rPr>
                <w:b/>
                <w:sz w:val="16"/>
                <w:szCs w:val="16"/>
              </w:rPr>
              <w:t>Propósito(s)/Descripción</w:t>
            </w:r>
          </w:p>
        </w:tc>
      </w:tr>
      <w:tr w:rsidR="003E311F" w:rsidRPr="00057B87" w:rsidTr="005E4BCB">
        <w:trPr>
          <w:cantSplit/>
          <w:trHeight w:val="315"/>
        </w:trPr>
        <w:tc>
          <w:tcPr>
            <w:tcW w:w="1843" w:type="dxa"/>
            <w:tcBorders>
              <w:bottom w:val="nil"/>
            </w:tcBorders>
          </w:tcPr>
          <w:p w:rsidR="003E311F" w:rsidRPr="00515D00" w:rsidRDefault="003E311F" w:rsidP="007A358B">
            <w:pPr>
              <w:autoSpaceDE w:val="0"/>
              <w:autoSpaceDN w:val="0"/>
              <w:adjustRightInd w:val="0"/>
              <w:spacing w:before="120" w:after="120"/>
              <w:rPr>
                <w:color w:val="000000"/>
                <w:sz w:val="16"/>
                <w:szCs w:val="16"/>
              </w:rPr>
            </w:pPr>
            <w:r w:rsidRPr="00515D00">
              <w:rPr>
                <w:color w:val="000000"/>
                <w:sz w:val="16"/>
                <w:szCs w:val="16"/>
              </w:rPr>
              <w:t>IX Reunión anual del Foro Nacional de Gestores de Innovación y Transferencia de Tecnología (FORTEC)</w:t>
            </w:r>
          </w:p>
        </w:tc>
        <w:tc>
          <w:tcPr>
            <w:tcW w:w="1276" w:type="dxa"/>
            <w:tcBorders>
              <w:bottom w:val="nil"/>
            </w:tcBorders>
          </w:tcPr>
          <w:p w:rsidR="003E311F" w:rsidRPr="00515D00" w:rsidRDefault="003E311F" w:rsidP="007A358B">
            <w:pPr>
              <w:autoSpaceDE w:val="0"/>
              <w:autoSpaceDN w:val="0"/>
              <w:adjustRightInd w:val="0"/>
              <w:spacing w:before="120" w:after="120"/>
              <w:rPr>
                <w:color w:val="000000"/>
                <w:sz w:val="16"/>
                <w:szCs w:val="16"/>
              </w:rPr>
            </w:pPr>
            <w:r w:rsidRPr="00515D00">
              <w:rPr>
                <w:color w:val="000000"/>
                <w:sz w:val="16"/>
                <w:szCs w:val="16"/>
              </w:rPr>
              <w:t>19 a 22 de mayo de 2015</w:t>
            </w:r>
          </w:p>
        </w:tc>
        <w:tc>
          <w:tcPr>
            <w:tcW w:w="1559" w:type="dxa"/>
            <w:tcBorders>
              <w:bottom w:val="nil"/>
            </w:tcBorders>
          </w:tcPr>
          <w:p w:rsidR="003E311F" w:rsidRPr="00515D00" w:rsidRDefault="003E311F" w:rsidP="007A358B">
            <w:pPr>
              <w:autoSpaceDE w:val="0"/>
              <w:autoSpaceDN w:val="0"/>
              <w:adjustRightInd w:val="0"/>
              <w:spacing w:before="120" w:after="120"/>
              <w:rPr>
                <w:color w:val="000000"/>
                <w:sz w:val="16"/>
                <w:szCs w:val="16"/>
              </w:rPr>
            </w:pPr>
            <w:r w:rsidRPr="00515D00">
              <w:rPr>
                <w:color w:val="000000"/>
                <w:sz w:val="16"/>
                <w:szCs w:val="16"/>
              </w:rPr>
              <w:t>Brasil</w:t>
            </w:r>
          </w:p>
        </w:tc>
        <w:tc>
          <w:tcPr>
            <w:tcW w:w="5104" w:type="dxa"/>
            <w:tcBorders>
              <w:bottom w:val="nil"/>
            </w:tcBorders>
          </w:tcPr>
          <w:p w:rsidR="003E311F" w:rsidRPr="00515D00" w:rsidRDefault="003E311F" w:rsidP="007A358B">
            <w:pPr>
              <w:autoSpaceDE w:val="0"/>
              <w:autoSpaceDN w:val="0"/>
              <w:adjustRightInd w:val="0"/>
              <w:spacing w:before="120" w:after="120"/>
              <w:rPr>
                <w:color w:val="000000"/>
                <w:sz w:val="16"/>
                <w:szCs w:val="16"/>
              </w:rPr>
            </w:pPr>
            <w:r w:rsidRPr="00515D00">
              <w:rPr>
                <w:color w:val="000000"/>
                <w:sz w:val="16"/>
                <w:szCs w:val="16"/>
              </w:rPr>
              <w:t>Debatir temas relacionado</w:t>
            </w:r>
            <w:r>
              <w:rPr>
                <w:color w:val="000000"/>
                <w:sz w:val="16"/>
                <w:szCs w:val="16"/>
              </w:rPr>
              <w:t>s con las políticas y las estrategi</w:t>
            </w:r>
            <w:r w:rsidRPr="00515D00">
              <w:rPr>
                <w:color w:val="000000"/>
                <w:sz w:val="16"/>
                <w:szCs w:val="16"/>
              </w:rPr>
              <w:t>as de innovación y desarrollar compet</w:t>
            </w:r>
            <w:r>
              <w:rPr>
                <w:color w:val="000000"/>
                <w:sz w:val="16"/>
                <w:szCs w:val="16"/>
              </w:rPr>
              <w:t>e</w:t>
            </w:r>
            <w:r w:rsidRPr="00515D00">
              <w:rPr>
                <w:color w:val="000000"/>
                <w:sz w:val="16"/>
                <w:szCs w:val="16"/>
              </w:rPr>
              <w:t>ncias en los campos de la transferencia de tecnología y la gestión de P.I.</w:t>
            </w:r>
          </w:p>
        </w:tc>
      </w:tr>
      <w:tr w:rsidR="003E311F" w:rsidRPr="00057B87" w:rsidTr="00DA3508">
        <w:trPr>
          <w:cantSplit/>
          <w:trHeight w:val="315"/>
        </w:trPr>
        <w:tc>
          <w:tcPr>
            <w:tcW w:w="1843" w:type="dxa"/>
            <w:tcBorders>
              <w:top w:val="nil"/>
              <w:bottom w:val="single" w:sz="4" w:space="0" w:color="000000"/>
            </w:tcBorders>
          </w:tcPr>
          <w:p w:rsidR="003E311F" w:rsidRPr="00515D00" w:rsidRDefault="003E311F" w:rsidP="007A358B">
            <w:pPr>
              <w:autoSpaceDE w:val="0"/>
              <w:autoSpaceDN w:val="0"/>
              <w:adjustRightInd w:val="0"/>
              <w:spacing w:before="120" w:after="120"/>
              <w:rPr>
                <w:color w:val="000000"/>
                <w:sz w:val="16"/>
                <w:szCs w:val="16"/>
              </w:rPr>
            </w:pPr>
            <w:r w:rsidRPr="00515D00">
              <w:rPr>
                <w:color w:val="000000"/>
                <w:sz w:val="16"/>
                <w:szCs w:val="16"/>
              </w:rPr>
              <w:t xml:space="preserve">Taller sobre protección de la P.I. y estrategias de comercialización de los resultados de la investigación </w:t>
            </w:r>
          </w:p>
        </w:tc>
        <w:tc>
          <w:tcPr>
            <w:tcW w:w="1276" w:type="dxa"/>
            <w:tcBorders>
              <w:top w:val="nil"/>
              <w:bottom w:val="single" w:sz="4" w:space="0" w:color="000000"/>
            </w:tcBorders>
          </w:tcPr>
          <w:p w:rsidR="003E311F" w:rsidRPr="00515D00" w:rsidRDefault="003E311F" w:rsidP="007A358B">
            <w:pPr>
              <w:autoSpaceDE w:val="0"/>
              <w:autoSpaceDN w:val="0"/>
              <w:adjustRightInd w:val="0"/>
              <w:spacing w:before="120" w:after="120"/>
              <w:rPr>
                <w:color w:val="000000"/>
                <w:sz w:val="16"/>
                <w:szCs w:val="16"/>
              </w:rPr>
            </w:pPr>
            <w:r w:rsidRPr="00515D00">
              <w:rPr>
                <w:color w:val="000000"/>
                <w:sz w:val="16"/>
                <w:szCs w:val="16"/>
              </w:rPr>
              <w:t>6 a 10 de julio de 2015</w:t>
            </w:r>
          </w:p>
        </w:tc>
        <w:tc>
          <w:tcPr>
            <w:tcW w:w="1559" w:type="dxa"/>
            <w:tcBorders>
              <w:top w:val="nil"/>
              <w:bottom w:val="single" w:sz="4" w:space="0" w:color="000000"/>
            </w:tcBorders>
          </w:tcPr>
          <w:p w:rsidR="003E311F" w:rsidRPr="00515D00" w:rsidRDefault="003E311F" w:rsidP="007A358B">
            <w:pPr>
              <w:autoSpaceDE w:val="0"/>
              <w:autoSpaceDN w:val="0"/>
              <w:adjustRightInd w:val="0"/>
              <w:spacing w:before="120" w:after="120"/>
              <w:rPr>
                <w:color w:val="000000"/>
                <w:sz w:val="16"/>
                <w:szCs w:val="16"/>
              </w:rPr>
            </w:pPr>
            <w:r w:rsidRPr="00515D00">
              <w:rPr>
                <w:color w:val="000000"/>
                <w:sz w:val="16"/>
                <w:szCs w:val="16"/>
              </w:rPr>
              <w:t>Brasil</w:t>
            </w:r>
          </w:p>
        </w:tc>
        <w:tc>
          <w:tcPr>
            <w:tcW w:w="5104" w:type="dxa"/>
            <w:tcBorders>
              <w:top w:val="nil"/>
              <w:bottom w:val="single" w:sz="4" w:space="0" w:color="000000"/>
            </w:tcBorders>
          </w:tcPr>
          <w:p w:rsidR="003E311F" w:rsidRPr="00515D00" w:rsidRDefault="003E311F" w:rsidP="007A358B">
            <w:pPr>
              <w:autoSpaceDE w:val="0"/>
              <w:autoSpaceDN w:val="0"/>
              <w:adjustRightInd w:val="0"/>
              <w:spacing w:before="120" w:after="120"/>
              <w:rPr>
                <w:color w:val="000000"/>
                <w:sz w:val="16"/>
                <w:szCs w:val="16"/>
              </w:rPr>
            </w:pPr>
            <w:r w:rsidRPr="00515D00">
              <w:rPr>
                <w:color w:val="000000"/>
                <w:sz w:val="16"/>
                <w:szCs w:val="16"/>
              </w:rPr>
              <w:t>Proporcionar formación práctica sobre la gesti</w:t>
            </w:r>
            <w:r>
              <w:rPr>
                <w:color w:val="000000"/>
                <w:sz w:val="16"/>
                <w:szCs w:val="16"/>
              </w:rPr>
              <w:t>ó</w:t>
            </w:r>
            <w:r w:rsidRPr="00515D00">
              <w:rPr>
                <w:color w:val="000000"/>
                <w:sz w:val="16"/>
                <w:szCs w:val="16"/>
              </w:rPr>
              <w:t>n y las estrategias de protección de los derechos de propiedad intelectual en las universidades y las instituciones de I+D</w:t>
            </w:r>
            <w:r>
              <w:rPr>
                <w:color w:val="000000"/>
                <w:sz w:val="16"/>
                <w:szCs w:val="16"/>
              </w:rPr>
              <w:t>.</w:t>
            </w:r>
          </w:p>
        </w:tc>
      </w:tr>
      <w:tr w:rsidR="003E311F" w:rsidRPr="00057B87" w:rsidTr="0068415A">
        <w:trPr>
          <w:cantSplit/>
          <w:trHeight w:val="315"/>
        </w:trPr>
        <w:tc>
          <w:tcPr>
            <w:tcW w:w="1843" w:type="dxa"/>
            <w:tcBorders>
              <w:top w:val="single" w:sz="4" w:space="0" w:color="000000"/>
              <w:bottom w:val="nil"/>
            </w:tcBorders>
          </w:tcPr>
          <w:p w:rsidR="003E311F" w:rsidRPr="00515D00" w:rsidRDefault="003E311F" w:rsidP="00EB12D2">
            <w:pPr>
              <w:autoSpaceDE w:val="0"/>
              <w:autoSpaceDN w:val="0"/>
              <w:adjustRightInd w:val="0"/>
              <w:spacing w:before="120" w:after="120"/>
              <w:rPr>
                <w:color w:val="000000"/>
                <w:sz w:val="16"/>
                <w:szCs w:val="16"/>
              </w:rPr>
            </w:pPr>
            <w:r w:rsidRPr="00515D00">
              <w:rPr>
                <w:color w:val="000000"/>
                <w:sz w:val="16"/>
                <w:szCs w:val="16"/>
              </w:rPr>
              <w:lastRenderedPageBreak/>
              <w:t xml:space="preserve">VIII </w:t>
            </w:r>
            <w:r w:rsidR="00EB12D2" w:rsidRPr="00515D00">
              <w:rPr>
                <w:color w:val="000000"/>
                <w:sz w:val="16"/>
                <w:szCs w:val="16"/>
              </w:rPr>
              <w:t xml:space="preserve">Encuentro </w:t>
            </w:r>
            <w:r w:rsidRPr="00515D00">
              <w:rPr>
                <w:color w:val="000000"/>
                <w:sz w:val="16"/>
                <w:szCs w:val="16"/>
              </w:rPr>
              <w:t>académico del ENAPID sobre propiedad intelectual, innovación y desarrollo</w:t>
            </w:r>
          </w:p>
        </w:tc>
        <w:tc>
          <w:tcPr>
            <w:tcW w:w="1276" w:type="dxa"/>
            <w:tcBorders>
              <w:top w:val="single" w:sz="4" w:space="0" w:color="000000"/>
              <w:bottom w:val="nil"/>
            </w:tcBorders>
          </w:tcPr>
          <w:p w:rsidR="003E311F" w:rsidRPr="00515D00" w:rsidRDefault="003E311F" w:rsidP="00EB12D2">
            <w:pPr>
              <w:autoSpaceDE w:val="0"/>
              <w:autoSpaceDN w:val="0"/>
              <w:adjustRightInd w:val="0"/>
              <w:spacing w:before="120" w:after="120"/>
              <w:rPr>
                <w:sz w:val="16"/>
                <w:szCs w:val="16"/>
              </w:rPr>
            </w:pPr>
            <w:r w:rsidRPr="00515D00">
              <w:rPr>
                <w:sz w:val="16"/>
                <w:szCs w:val="16"/>
              </w:rPr>
              <w:t>11 a 14 de agosto de 2015</w:t>
            </w:r>
          </w:p>
        </w:tc>
        <w:tc>
          <w:tcPr>
            <w:tcW w:w="1559" w:type="dxa"/>
            <w:tcBorders>
              <w:top w:val="single" w:sz="4" w:space="0" w:color="000000"/>
              <w:bottom w:val="nil"/>
            </w:tcBorders>
          </w:tcPr>
          <w:p w:rsidR="003E311F" w:rsidRPr="00515D00" w:rsidRDefault="003E311F" w:rsidP="00EB12D2">
            <w:pPr>
              <w:autoSpaceDE w:val="0"/>
              <w:autoSpaceDN w:val="0"/>
              <w:adjustRightInd w:val="0"/>
              <w:spacing w:before="120" w:after="120"/>
              <w:rPr>
                <w:sz w:val="16"/>
                <w:szCs w:val="16"/>
              </w:rPr>
            </w:pPr>
            <w:r w:rsidRPr="00515D00">
              <w:rPr>
                <w:sz w:val="16"/>
                <w:szCs w:val="16"/>
              </w:rPr>
              <w:t>Brasil</w:t>
            </w:r>
          </w:p>
        </w:tc>
        <w:tc>
          <w:tcPr>
            <w:tcW w:w="5104" w:type="dxa"/>
            <w:tcBorders>
              <w:top w:val="single" w:sz="4" w:space="0" w:color="000000"/>
              <w:bottom w:val="nil"/>
            </w:tcBorders>
          </w:tcPr>
          <w:p w:rsidR="003E311F" w:rsidRPr="00515D00" w:rsidRDefault="003E311F" w:rsidP="00EB12D2">
            <w:pPr>
              <w:autoSpaceDE w:val="0"/>
              <w:autoSpaceDN w:val="0"/>
              <w:adjustRightInd w:val="0"/>
              <w:spacing w:before="120" w:after="120"/>
              <w:rPr>
                <w:color w:val="000000"/>
                <w:sz w:val="16"/>
                <w:szCs w:val="16"/>
              </w:rPr>
            </w:pPr>
            <w:r w:rsidRPr="00515D00">
              <w:rPr>
                <w:color w:val="000000"/>
                <w:sz w:val="16"/>
                <w:szCs w:val="16"/>
              </w:rPr>
              <w:t xml:space="preserve">Promover la innovación sostenible y </w:t>
            </w:r>
            <w:r>
              <w:rPr>
                <w:color w:val="000000"/>
                <w:sz w:val="16"/>
                <w:szCs w:val="16"/>
              </w:rPr>
              <w:t>la relevancia</w:t>
            </w:r>
            <w:r w:rsidRPr="00515D00">
              <w:rPr>
                <w:color w:val="000000"/>
                <w:sz w:val="16"/>
                <w:szCs w:val="16"/>
              </w:rPr>
              <w:t xml:space="preserve"> del sistema de P.I. en el contexto económico mundial</w:t>
            </w:r>
            <w:r>
              <w:rPr>
                <w:color w:val="000000"/>
                <w:sz w:val="16"/>
                <w:szCs w:val="16"/>
              </w:rPr>
              <w:t>.</w:t>
            </w:r>
          </w:p>
        </w:tc>
      </w:tr>
      <w:tr w:rsidR="0068415A" w:rsidRPr="00057B87" w:rsidTr="00435151">
        <w:trPr>
          <w:cantSplit/>
          <w:trHeight w:val="315"/>
        </w:trPr>
        <w:tc>
          <w:tcPr>
            <w:tcW w:w="1843" w:type="dxa"/>
            <w:tcBorders>
              <w:top w:val="nil"/>
              <w:bottom w:val="nil"/>
            </w:tcBorders>
          </w:tcPr>
          <w:p w:rsidR="0068415A" w:rsidRPr="00515D00" w:rsidRDefault="0068415A" w:rsidP="00435151">
            <w:pPr>
              <w:autoSpaceDE w:val="0"/>
              <w:autoSpaceDN w:val="0"/>
              <w:adjustRightInd w:val="0"/>
              <w:spacing w:after="120"/>
              <w:rPr>
                <w:color w:val="000000"/>
                <w:sz w:val="16"/>
                <w:szCs w:val="16"/>
              </w:rPr>
            </w:pPr>
            <w:r>
              <w:rPr>
                <w:color w:val="000000"/>
                <w:sz w:val="16"/>
                <w:szCs w:val="16"/>
              </w:rPr>
              <w:t>Seminario sobre franquicias y solución extrajudicial de controversias</w:t>
            </w:r>
          </w:p>
        </w:tc>
        <w:tc>
          <w:tcPr>
            <w:tcW w:w="1276" w:type="dxa"/>
            <w:tcBorders>
              <w:top w:val="nil"/>
              <w:bottom w:val="nil"/>
            </w:tcBorders>
          </w:tcPr>
          <w:p w:rsidR="0068415A" w:rsidRPr="00515D00" w:rsidRDefault="0068415A" w:rsidP="00435151">
            <w:pPr>
              <w:rPr>
                <w:sz w:val="16"/>
                <w:szCs w:val="16"/>
              </w:rPr>
            </w:pPr>
            <w:r>
              <w:rPr>
                <w:sz w:val="16"/>
                <w:szCs w:val="16"/>
              </w:rPr>
              <w:t>3 de septiembre de 2015</w:t>
            </w:r>
          </w:p>
        </w:tc>
        <w:tc>
          <w:tcPr>
            <w:tcW w:w="1559" w:type="dxa"/>
            <w:tcBorders>
              <w:top w:val="nil"/>
              <w:bottom w:val="nil"/>
            </w:tcBorders>
          </w:tcPr>
          <w:p w:rsidR="0068415A" w:rsidRPr="00515D00" w:rsidRDefault="0068415A" w:rsidP="00435151">
            <w:pPr>
              <w:rPr>
                <w:sz w:val="16"/>
                <w:szCs w:val="16"/>
              </w:rPr>
            </w:pPr>
            <w:r>
              <w:rPr>
                <w:sz w:val="16"/>
                <w:szCs w:val="16"/>
              </w:rPr>
              <w:t>Brasil</w:t>
            </w:r>
          </w:p>
        </w:tc>
        <w:tc>
          <w:tcPr>
            <w:tcW w:w="5104" w:type="dxa"/>
            <w:tcBorders>
              <w:top w:val="nil"/>
              <w:bottom w:val="nil"/>
            </w:tcBorders>
          </w:tcPr>
          <w:p w:rsidR="0068415A" w:rsidRPr="00515D00" w:rsidRDefault="0068415A" w:rsidP="00435151">
            <w:pPr>
              <w:autoSpaceDE w:val="0"/>
              <w:autoSpaceDN w:val="0"/>
              <w:adjustRightInd w:val="0"/>
              <w:spacing w:after="120"/>
              <w:rPr>
                <w:color w:val="000000"/>
                <w:sz w:val="16"/>
                <w:szCs w:val="16"/>
              </w:rPr>
            </w:pPr>
            <w:r>
              <w:rPr>
                <w:color w:val="000000"/>
                <w:sz w:val="16"/>
                <w:szCs w:val="16"/>
              </w:rPr>
              <w:t>Fomentar el uso de las cláusulas de la OMPI para la solución extrajudicial de controversias en los contratos de franquicia, entre los miembros de la Asociación Brasileña de Franquicias</w:t>
            </w:r>
            <w:r w:rsidR="00EB12D2">
              <w:rPr>
                <w:color w:val="000000"/>
                <w:sz w:val="16"/>
                <w:szCs w:val="16"/>
              </w:rPr>
              <w:t>.</w:t>
            </w:r>
          </w:p>
        </w:tc>
      </w:tr>
      <w:tr w:rsidR="0068415A" w:rsidRPr="00057B87" w:rsidTr="0068415A">
        <w:trPr>
          <w:cantSplit/>
          <w:trHeight w:val="315"/>
        </w:trPr>
        <w:tc>
          <w:tcPr>
            <w:tcW w:w="1843" w:type="dxa"/>
            <w:tcBorders>
              <w:top w:val="nil"/>
              <w:bottom w:val="nil"/>
            </w:tcBorders>
          </w:tcPr>
          <w:p w:rsidR="0068415A" w:rsidRPr="00515D00" w:rsidRDefault="0068415A" w:rsidP="007A358B">
            <w:pPr>
              <w:autoSpaceDE w:val="0"/>
              <w:autoSpaceDN w:val="0"/>
              <w:adjustRightInd w:val="0"/>
              <w:spacing w:after="120"/>
              <w:rPr>
                <w:color w:val="000000"/>
                <w:sz w:val="16"/>
                <w:szCs w:val="16"/>
              </w:rPr>
            </w:pPr>
            <w:r>
              <w:rPr>
                <w:color w:val="000000"/>
                <w:sz w:val="16"/>
                <w:szCs w:val="16"/>
              </w:rPr>
              <w:t>Seminario sobre Tecnología, Licencias y Solución de Controversias</w:t>
            </w:r>
          </w:p>
        </w:tc>
        <w:tc>
          <w:tcPr>
            <w:tcW w:w="1276" w:type="dxa"/>
            <w:tcBorders>
              <w:top w:val="nil"/>
              <w:bottom w:val="nil"/>
            </w:tcBorders>
          </w:tcPr>
          <w:p w:rsidR="0068415A" w:rsidRPr="00515D00" w:rsidRDefault="0068415A" w:rsidP="007A358B">
            <w:pPr>
              <w:rPr>
                <w:sz w:val="16"/>
                <w:szCs w:val="16"/>
              </w:rPr>
            </w:pPr>
            <w:r>
              <w:rPr>
                <w:sz w:val="16"/>
                <w:szCs w:val="16"/>
              </w:rPr>
              <w:t>4 de septiembre de 2015</w:t>
            </w:r>
          </w:p>
        </w:tc>
        <w:tc>
          <w:tcPr>
            <w:tcW w:w="1559" w:type="dxa"/>
            <w:tcBorders>
              <w:top w:val="nil"/>
              <w:bottom w:val="nil"/>
            </w:tcBorders>
          </w:tcPr>
          <w:p w:rsidR="0068415A" w:rsidRPr="00515D00" w:rsidRDefault="0068415A" w:rsidP="007A358B">
            <w:pPr>
              <w:rPr>
                <w:sz w:val="16"/>
                <w:szCs w:val="16"/>
              </w:rPr>
            </w:pPr>
            <w:r>
              <w:rPr>
                <w:sz w:val="16"/>
                <w:szCs w:val="16"/>
              </w:rPr>
              <w:t>Brasil</w:t>
            </w:r>
          </w:p>
        </w:tc>
        <w:tc>
          <w:tcPr>
            <w:tcW w:w="5104" w:type="dxa"/>
            <w:tcBorders>
              <w:top w:val="nil"/>
              <w:bottom w:val="nil"/>
            </w:tcBorders>
          </w:tcPr>
          <w:p w:rsidR="0068415A" w:rsidRPr="00515D00" w:rsidRDefault="0068415A" w:rsidP="00435151">
            <w:pPr>
              <w:autoSpaceDE w:val="0"/>
              <w:autoSpaceDN w:val="0"/>
              <w:adjustRightInd w:val="0"/>
              <w:spacing w:after="120"/>
              <w:rPr>
                <w:color w:val="000000"/>
                <w:sz w:val="16"/>
                <w:szCs w:val="16"/>
              </w:rPr>
            </w:pPr>
            <w:r>
              <w:rPr>
                <w:color w:val="000000"/>
                <w:sz w:val="16"/>
                <w:szCs w:val="16"/>
              </w:rPr>
              <w:t>Fomentar el uso</w:t>
            </w:r>
            <w:r w:rsidR="00EB12D2">
              <w:rPr>
                <w:color w:val="000000"/>
                <w:sz w:val="16"/>
                <w:szCs w:val="16"/>
              </w:rPr>
              <w:t xml:space="preserve"> de las cláusulas de la OMPI para la solución extrajudicial de controversias entre los abogados y los gerentes de contratos que participan en la negociación de contratos de licencia y de investigación y desarrollo, en el Brasil.</w:t>
            </w:r>
          </w:p>
        </w:tc>
      </w:tr>
      <w:tr w:rsidR="003E311F" w:rsidRPr="00057B87" w:rsidTr="00EB12D2">
        <w:trPr>
          <w:cantSplit/>
          <w:trHeight w:val="315"/>
        </w:trPr>
        <w:tc>
          <w:tcPr>
            <w:tcW w:w="1843" w:type="dxa"/>
            <w:tcBorders>
              <w:top w:val="nil"/>
              <w:bottom w:val="nil"/>
            </w:tcBorders>
          </w:tcPr>
          <w:p w:rsidR="003E311F" w:rsidRPr="00515D00" w:rsidRDefault="003E311F" w:rsidP="007A358B">
            <w:pPr>
              <w:autoSpaceDE w:val="0"/>
              <w:autoSpaceDN w:val="0"/>
              <w:adjustRightInd w:val="0"/>
              <w:spacing w:after="120"/>
              <w:rPr>
                <w:color w:val="000000"/>
                <w:sz w:val="16"/>
                <w:szCs w:val="16"/>
              </w:rPr>
            </w:pPr>
            <w:r w:rsidRPr="00515D00">
              <w:rPr>
                <w:color w:val="000000"/>
                <w:sz w:val="16"/>
                <w:szCs w:val="16"/>
              </w:rPr>
              <w:t>II seminario sobre indicaciones geográficas y marcas colectivas en el sector de la artesanía</w:t>
            </w:r>
          </w:p>
        </w:tc>
        <w:tc>
          <w:tcPr>
            <w:tcW w:w="1276" w:type="dxa"/>
            <w:tcBorders>
              <w:top w:val="nil"/>
              <w:bottom w:val="nil"/>
            </w:tcBorders>
          </w:tcPr>
          <w:p w:rsidR="003E311F" w:rsidRPr="00515D00" w:rsidRDefault="003E311F" w:rsidP="007A358B">
            <w:pPr>
              <w:rPr>
                <w:sz w:val="16"/>
                <w:szCs w:val="16"/>
              </w:rPr>
            </w:pPr>
            <w:r w:rsidRPr="00515D00">
              <w:rPr>
                <w:sz w:val="16"/>
                <w:szCs w:val="16"/>
              </w:rPr>
              <w:t>24 y 25 de septiembre de 2015</w:t>
            </w:r>
          </w:p>
        </w:tc>
        <w:tc>
          <w:tcPr>
            <w:tcW w:w="1559" w:type="dxa"/>
            <w:tcBorders>
              <w:top w:val="nil"/>
              <w:bottom w:val="nil"/>
            </w:tcBorders>
          </w:tcPr>
          <w:p w:rsidR="003E311F" w:rsidRPr="00515D00" w:rsidRDefault="003E311F" w:rsidP="007A358B">
            <w:pPr>
              <w:rPr>
                <w:sz w:val="16"/>
                <w:szCs w:val="16"/>
              </w:rPr>
            </w:pPr>
            <w:r w:rsidRPr="00515D00">
              <w:rPr>
                <w:sz w:val="16"/>
                <w:szCs w:val="16"/>
              </w:rPr>
              <w:t xml:space="preserve">Brasil/ Colombia, México, Perú </w:t>
            </w:r>
          </w:p>
        </w:tc>
        <w:tc>
          <w:tcPr>
            <w:tcW w:w="5104" w:type="dxa"/>
            <w:tcBorders>
              <w:top w:val="nil"/>
              <w:bottom w:val="nil"/>
            </w:tcBorders>
          </w:tcPr>
          <w:p w:rsidR="003E311F" w:rsidRPr="00515D00" w:rsidRDefault="003E311F" w:rsidP="00435151">
            <w:pPr>
              <w:autoSpaceDE w:val="0"/>
              <w:autoSpaceDN w:val="0"/>
              <w:adjustRightInd w:val="0"/>
              <w:spacing w:after="120"/>
              <w:rPr>
                <w:color w:val="000000"/>
                <w:sz w:val="16"/>
                <w:szCs w:val="16"/>
              </w:rPr>
            </w:pPr>
            <w:r w:rsidRPr="00515D00">
              <w:rPr>
                <w:color w:val="000000"/>
                <w:sz w:val="16"/>
                <w:szCs w:val="16"/>
              </w:rPr>
              <w:t xml:space="preserve">Promover un debate sobre las ventajas económicas y sociales que pueden proporcionar las indicaciones geográficas y las marcas colectivas </w:t>
            </w:r>
            <w:r>
              <w:rPr>
                <w:color w:val="000000"/>
                <w:sz w:val="16"/>
                <w:szCs w:val="16"/>
              </w:rPr>
              <w:t>para el</w:t>
            </w:r>
            <w:r w:rsidRPr="00515D00">
              <w:rPr>
                <w:color w:val="000000"/>
                <w:sz w:val="16"/>
                <w:szCs w:val="16"/>
              </w:rPr>
              <w:t xml:space="preserve"> desarrollo nacional y en especial </w:t>
            </w:r>
            <w:r>
              <w:rPr>
                <w:color w:val="000000"/>
                <w:sz w:val="16"/>
                <w:szCs w:val="16"/>
              </w:rPr>
              <w:t>para el</w:t>
            </w:r>
            <w:r w:rsidRPr="00515D00">
              <w:rPr>
                <w:color w:val="000000"/>
                <w:sz w:val="16"/>
                <w:szCs w:val="16"/>
              </w:rPr>
              <w:t xml:space="preserve"> sector de la artesanía.</w:t>
            </w:r>
          </w:p>
        </w:tc>
      </w:tr>
      <w:tr w:rsidR="00EB12D2" w:rsidRPr="00057B87" w:rsidTr="0068415A">
        <w:trPr>
          <w:cantSplit/>
          <w:trHeight w:val="315"/>
        </w:trPr>
        <w:tc>
          <w:tcPr>
            <w:tcW w:w="1843" w:type="dxa"/>
            <w:tcBorders>
              <w:top w:val="nil"/>
              <w:bottom w:val="single" w:sz="4" w:space="0" w:color="000000"/>
            </w:tcBorders>
          </w:tcPr>
          <w:p w:rsidR="00EB12D2" w:rsidRPr="00515D00" w:rsidRDefault="00EB12D2" w:rsidP="00EB12D2">
            <w:pPr>
              <w:autoSpaceDE w:val="0"/>
              <w:autoSpaceDN w:val="0"/>
              <w:adjustRightInd w:val="0"/>
              <w:spacing w:after="120"/>
              <w:rPr>
                <w:color w:val="000000"/>
                <w:sz w:val="16"/>
                <w:szCs w:val="16"/>
              </w:rPr>
            </w:pPr>
            <w:r>
              <w:rPr>
                <w:color w:val="000000"/>
                <w:sz w:val="16"/>
                <w:szCs w:val="16"/>
              </w:rPr>
              <w:t>XVII Reunión sobre Propiedad Intelectual y Comercialización de Tecnología, XVII REPICT</w:t>
            </w:r>
          </w:p>
        </w:tc>
        <w:tc>
          <w:tcPr>
            <w:tcW w:w="1276" w:type="dxa"/>
            <w:tcBorders>
              <w:top w:val="nil"/>
              <w:bottom w:val="single" w:sz="4" w:space="0" w:color="000000"/>
            </w:tcBorders>
          </w:tcPr>
          <w:p w:rsidR="00EB12D2" w:rsidRPr="00515D00" w:rsidRDefault="00EB12D2" w:rsidP="007A358B">
            <w:pPr>
              <w:rPr>
                <w:sz w:val="16"/>
                <w:szCs w:val="16"/>
              </w:rPr>
            </w:pPr>
            <w:r>
              <w:rPr>
                <w:sz w:val="16"/>
                <w:szCs w:val="16"/>
              </w:rPr>
              <w:t>1 de octubre de 2015</w:t>
            </w:r>
          </w:p>
        </w:tc>
        <w:tc>
          <w:tcPr>
            <w:tcW w:w="1559" w:type="dxa"/>
            <w:tcBorders>
              <w:top w:val="nil"/>
              <w:bottom w:val="single" w:sz="4" w:space="0" w:color="000000"/>
            </w:tcBorders>
          </w:tcPr>
          <w:p w:rsidR="00EB12D2" w:rsidRPr="00515D00" w:rsidRDefault="00EB12D2" w:rsidP="007A358B">
            <w:pPr>
              <w:rPr>
                <w:sz w:val="16"/>
                <w:szCs w:val="16"/>
              </w:rPr>
            </w:pPr>
            <w:r>
              <w:rPr>
                <w:sz w:val="16"/>
                <w:szCs w:val="16"/>
              </w:rPr>
              <w:t>Brasil</w:t>
            </w:r>
          </w:p>
        </w:tc>
        <w:tc>
          <w:tcPr>
            <w:tcW w:w="5104" w:type="dxa"/>
            <w:tcBorders>
              <w:top w:val="nil"/>
              <w:bottom w:val="single" w:sz="4" w:space="0" w:color="000000"/>
            </w:tcBorders>
          </w:tcPr>
          <w:p w:rsidR="00EB12D2" w:rsidRPr="00515D00" w:rsidRDefault="00EB12D2" w:rsidP="00435151">
            <w:pPr>
              <w:autoSpaceDE w:val="0"/>
              <w:autoSpaceDN w:val="0"/>
              <w:adjustRightInd w:val="0"/>
              <w:spacing w:after="120"/>
              <w:rPr>
                <w:color w:val="000000"/>
                <w:sz w:val="16"/>
                <w:szCs w:val="16"/>
              </w:rPr>
            </w:pPr>
            <w:r>
              <w:rPr>
                <w:color w:val="000000"/>
                <w:sz w:val="16"/>
                <w:szCs w:val="16"/>
              </w:rPr>
              <w:t xml:space="preserve">Examinar las herramientas de transferencia de tecnología basadas en la protección de los activos intangibles, haciendo hincapié en las </w:t>
            </w:r>
            <w:proofErr w:type="spellStart"/>
            <w:r>
              <w:rPr>
                <w:color w:val="000000"/>
                <w:sz w:val="16"/>
                <w:szCs w:val="16"/>
              </w:rPr>
              <w:t>mipymes</w:t>
            </w:r>
            <w:proofErr w:type="spellEnd"/>
            <w:r>
              <w:rPr>
                <w:color w:val="000000"/>
                <w:sz w:val="16"/>
                <w:szCs w:val="16"/>
              </w:rPr>
              <w:t>.</w:t>
            </w:r>
          </w:p>
        </w:tc>
      </w:tr>
    </w:tbl>
    <w:p w:rsidR="003E311F" w:rsidRPr="007329AC" w:rsidRDefault="003E311F" w:rsidP="003E311F">
      <w:pPr>
        <w:tabs>
          <w:tab w:val="left" w:pos="0"/>
          <w:tab w:val="left" w:pos="9071"/>
        </w:tabs>
        <w:rPr>
          <w:b/>
          <w:sz w:val="20"/>
        </w:rPr>
      </w:pPr>
    </w:p>
    <w:p w:rsidR="003E311F" w:rsidRPr="007329AC" w:rsidRDefault="003E311F" w:rsidP="003E311F">
      <w:pPr>
        <w:rPr>
          <w:b/>
          <w:sz w:val="20"/>
        </w:rPr>
      </w:pPr>
    </w:p>
    <w:p w:rsidR="003E311F" w:rsidRPr="007329AC" w:rsidRDefault="003E311F" w:rsidP="003E311F">
      <w:pPr>
        <w:rPr>
          <w:b/>
          <w:bCs/>
          <w:color w:val="000000"/>
          <w:sz w:val="20"/>
        </w:rPr>
      </w:pPr>
      <w:r w:rsidRPr="007329AC">
        <w:rPr>
          <w:b/>
          <w:sz w:val="20"/>
        </w:rPr>
        <w:t xml:space="preserve">BRASIL - Contribuciones de donantes y gastos de </w:t>
      </w:r>
      <w:r w:rsidRPr="007329AC">
        <w:rPr>
          <w:b/>
          <w:bCs/>
          <w:color w:val="000000"/>
          <w:sz w:val="20"/>
        </w:rPr>
        <w:t>2015</w:t>
      </w:r>
    </w:p>
    <w:p w:rsidR="003E311F" w:rsidRPr="007329AC" w:rsidRDefault="003E311F" w:rsidP="003E311F">
      <w:pPr>
        <w:rPr>
          <w:sz w:val="20"/>
        </w:rPr>
      </w:pPr>
    </w:p>
    <w:tbl>
      <w:tblPr>
        <w:tblW w:w="9649" w:type="dxa"/>
        <w:tblInd w:w="98" w:type="dxa"/>
        <w:tblLook w:val="04A0" w:firstRow="1" w:lastRow="0" w:firstColumn="1" w:lastColumn="0" w:noHBand="0" w:noVBand="1"/>
      </w:tblPr>
      <w:tblGrid>
        <w:gridCol w:w="2040"/>
        <w:gridCol w:w="1640"/>
        <w:gridCol w:w="1860"/>
        <w:gridCol w:w="1780"/>
        <w:gridCol w:w="2329"/>
      </w:tblGrid>
      <w:tr w:rsidR="003E311F" w:rsidRPr="00515D00" w:rsidTr="007A358B">
        <w:trPr>
          <w:trHeight w:val="450"/>
        </w:trPr>
        <w:tc>
          <w:tcPr>
            <w:tcW w:w="2040" w:type="dxa"/>
            <w:tcBorders>
              <w:top w:val="single" w:sz="8" w:space="0" w:color="auto"/>
              <w:left w:val="single" w:sz="8" w:space="0" w:color="auto"/>
              <w:bottom w:val="nil"/>
              <w:right w:val="single" w:sz="8" w:space="0" w:color="auto"/>
            </w:tcBorders>
            <w:shd w:val="clear" w:color="000000" w:fill="C5D9F1"/>
            <w:vAlign w:val="center"/>
            <w:hideMark/>
          </w:tcPr>
          <w:p w:rsidR="003E311F" w:rsidRPr="00515D00" w:rsidRDefault="00DA3508" w:rsidP="007A358B">
            <w:pPr>
              <w:jc w:val="center"/>
              <w:rPr>
                <w:b/>
                <w:bCs/>
                <w:color w:val="000000"/>
                <w:sz w:val="16"/>
                <w:szCs w:val="16"/>
              </w:rPr>
            </w:pPr>
            <w:r>
              <w:rPr>
                <w:b/>
                <w:bCs/>
                <w:sz w:val="16"/>
                <w:szCs w:val="16"/>
              </w:rPr>
              <w:t>Saldo el</w:t>
            </w:r>
            <w:r w:rsidR="003E311F" w:rsidRPr="00515D00">
              <w:rPr>
                <w:b/>
                <w:bCs/>
                <w:sz w:val="16"/>
                <w:szCs w:val="16"/>
              </w:rPr>
              <w:t xml:space="preserve"> 31 de diciembre de </w:t>
            </w:r>
            <w:r w:rsidR="003E311F" w:rsidRPr="00515D00">
              <w:rPr>
                <w:b/>
                <w:bCs/>
                <w:color w:val="000000"/>
                <w:sz w:val="16"/>
                <w:szCs w:val="16"/>
              </w:rPr>
              <w:t>2014</w:t>
            </w:r>
          </w:p>
        </w:tc>
        <w:tc>
          <w:tcPr>
            <w:tcW w:w="1640" w:type="dxa"/>
            <w:tcBorders>
              <w:top w:val="single" w:sz="8" w:space="0" w:color="auto"/>
              <w:left w:val="nil"/>
              <w:bottom w:val="nil"/>
              <w:right w:val="single" w:sz="8" w:space="0" w:color="auto"/>
            </w:tcBorders>
            <w:shd w:val="clear" w:color="000000" w:fill="C5D9F1"/>
            <w:vAlign w:val="center"/>
            <w:hideMark/>
          </w:tcPr>
          <w:p w:rsidR="003E311F" w:rsidRPr="00515D00" w:rsidRDefault="003E311F" w:rsidP="007A358B">
            <w:pPr>
              <w:jc w:val="center"/>
              <w:rPr>
                <w:b/>
                <w:bCs/>
                <w:color w:val="000000"/>
                <w:sz w:val="16"/>
                <w:szCs w:val="16"/>
              </w:rPr>
            </w:pPr>
            <w:r w:rsidRPr="00515D00">
              <w:rPr>
                <w:b/>
                <w:bCs/>
                <w:sz w:val="16"/>
                <w:szCs w:val="16"/>
              </w:rPr>
              <w:t xml:space="preserve">Ingresos en </w:t>
            </w:r>
            <w:r w:rsidRPr="00515D00">
              <w:rPr>
                <w:b/>
                <w:bCs/>
                <w:color w:val="000000"/>
                <w:sz w:val="16"/>
                <w:szCs w:val="16"/>
              </w:rPr>
              <w:t>2015</w:t>
            </w:r>
          </w:p>
        </w:tc>
        <w:tc>
          <w:tcPr>
            <w:tcW w:w="1860" w:type="dxa"/>
            <w:tcBorders>
              <w:top w:val="single" w:sz="8" w:space="0" w:color="auto"/>
              <w:left w:val="nil"/>
              <w:bottom w:val="nil"/>
              <w:right w:val="single" w:sz="8" w:space="0" w:color="auto"/>
            </w:tcBorders>
            <w:shd w:val="clear" w:color="000000" w:fill="C5D9F1"/>
            <w:vAlign w:val="center"/>
            <w:hideMark/>
          </w:tcPr>
          <w:p w:rsidR="003E311F" w:rsidRPr="00515D00" w:rsidRDefault="003E311F" w:rsidP="007A358B">
            <w:pPr>
              <w:jc w:val="center"/>
              <w:rPr>
                <w:b/>
                <w:bCs/>
                <w:color w:val="000000"/>
                <w:sz w:val="16"/>
                <w:szCs w:val="16"/>
              </w:rPr>
            </w:pPr>
            <w:r w:rsidRPr="00515D00">
              <w:rPr>
                <w:b/>
                <w:bCs/>
                <w:sz w:val="16"/>
                <w:szCs w:val="16"/>
              </w:rPr>
              <w:t xml:space="preserve">Gastos en </w:t>
            </w:r>
            <w:r w:rsidRPr="00515D00">
              <w:rPr>
                <w:b/>
                <w:bCs/>
                <w:color w:val="000000"/>
                <w:sz w:val="16"/>
                <w:szCs w:val="16"/>
              </w:rPr>
              <w:t>2015</w:t>
            </w:r>
          </w:p>
        </w:tc>
        <w:tc>
          <w:tcPr>
            <w:tcW w:w="1780" w:type="dxa"/>
            <w:tcBorders>
              <w:top w:val="single" w:sz="8" w:space="0" w:color="auto"/>
              <w:left w:val="nil"/>
              <w:bottom w:val="nil"/>
              <w:right w:val="single" w:sz="8" w:space="0" w:color="auto"/>
            </w:tcBorders>
            <w:shd w:val="clear" w:color="000000" w:fill="C5D9F1"/>
            <w:vAlign w:val="center"/>
            <w:hideMark/>
          </w:tcPr>
          <w:p w:rsidR="003E311F" w:rsidRPr="00515D00" w:rsidRDefault="003E311F" w:rsidP="007A358B">
            <w:pPr>
              <w:jc w:val="center"/>
              <w:rPr>
                <w:b/>
                <w:bCs/>
                <w:color w:val="000000"/>
                <w:sz w:val="16"/>
                <w:szCs w:val="16"/>
              </w:rPr>
            </w:pPr>
            <w:r w:rsidRPr="00515D00">
              <w:rPr>
                <w:b/>
                <w:bCs/>
                <w:sz w:val="16"/>
                <w:szCs w:val="16"/>
              </w:rPr>
              <w:t>Reembolsos</w:t>
            </w:r>
          </w:p>
        </w:tc>
        <w:tc>
          <w:tcPr>
            <w:tcW w:w="2329" w:type="dxa"/>
            <w:tcBorders>
              <w:top w:val="single" w:sz="8" w:space="0" w:color="auto"/>
              <w:left w:val="nil"/>
              <w:bottom w:val="nil"/>
              <w:right w:val="single" w:sz="8" w:space="0" w:color="auto"/>
            </w:tcBorders>
            <w:shd w:val="clear" w:color="000000" w:fill="C5D9F1"/>
            <w:vAlign w:val="center"/>
            <w:hideMark/>
          </w:tcPr>
          <w:p w:rsidR="003E311F" w:rsidRPr="00515D00" w:rsidRDefault="00DA3508" w:rsidP="00DA3508">
            <w:pPr>
              <w:jc w:val="center"/>
              <w:rPr>
                <w:b/>
                <w:bCs/>
                <w:color w:val="000000"/>
                <w:sz w:val="16"/>
                <w:szCs w:val="16"/>
              </w:rPr>
            </w:pPr>
            <w:r>
              <w:rPr>
                <w:b/>
                <w:bCs/>
                <w:sz w:val="16"/>
                <w:szCs w:val="16"/>
              </w:rPr>
              <w:t>Saldo el</w:t>
            </w:r>
            <w:r w:rsidR="003E311F" w:rsidRPr="00515D00">
              <w:rPr>
                <w:b/>
                <w:bCs/>
                <w:sz w:val="16"/>
                <w:szCs w:val="16"/>
              </w:rPr>
              <w:t xml:space="preserve"> 31 de diciembre de</w:t>
            </w:r>
            <w:r>
              <w:rPr>
                <w:b/>
                <w:bCs/>
                <w:sz w:val="16"/>
                <w:szCs w:val="16"/>
              </w:rPr>
              <w:t> </w:t>
            </w:r>
            <w:r w:rsidR="003E311F" w:rsidRPr="00515D00">
              <w:rPr>
                <w:b/>
                <w:bCs/>
                <w:color w:val="000000"/>
                <w:sz w:val="16"/>
                <w:szCs w:val="16"/>
              </w:rPr>
              <w:t>2015</w:t>
            </w:r>
          </w:p>
        </w:tc>
      </w:tr>
      <w:tr w:rsidR="003E311F" w:rsidRPr="00515D00" w:rsidTr="007A358B">
        <w:trPr>
          <w:trHeight w:val="255"/>
        </w:trPr>
        <w:tc>
          <w:tcPr>
            <w:tcW w:w="2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311F" w:rsidRPr="00515D00" w:rsidRDefault="003E311F" w:rsidP="007A358B">
            <w:pPr>
              <w:jc w:val="center"/>
              <w:rPr>
                <w:color w:val="000000"/>
                <w:sz w:val="16"/>
                <w:szCs w:val="16"/>
              </w:rPr>
            </w:pPr>
            <w:r w:rsidRPr="00515D00">
              <w:rPr>
                <w:color w:val="000000"/>
                <w:sz w:val="16"/>
                <w:szCs w:val="16"/>
              </w:rPr>
              <w:t>333.211</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3E311F" w:rsidRPr="00515D00" w:rsidRDefault="003E311F" w:rsidP="007A358B">
            <w:pPr>
              <w:jc w:val="center"/>
              <w:rPr>
                <w:color w:val="000000"/>
                <w:sz w:val="16"/>
                <w:szCs w:val="16"/>
              </w:rPr>
            </w:pPr>
            <w:r w:rsidRPr="00515D00">
              <w:rPr>
                <w:color w:val="000000"/>
                <w:sz w:val="16"/>
                <w:szCs w:val="16"/>
              </w:rPr>
              <w:t>(27)</w:t>
            </w:r>
          </w:p>
        </w:tc>
        <w:tc>
          <w:tcPr>
            <w:tcW w:w="1860" w:type="dxa"/>
            <w:tcBorders>
              <w:top w:val="single" w:sz="4" w:space="0" w:color="auto"/>
              <w:left w:val="nil"/>
              <w:bottom w:val="single" w:sz="4" w:space="0" w:color="auto"/>
              <w:right w:val="single" w:sz="4" w:space="0" w:color="auto"/>
            </w:tcBorders>
            <w:shd w:val="clear" w:color="auto" w:fill="auto"/>
            <w:vAlign w:val="center"/>
            <w:hideMark/>
          </w:tcPr>
          <w:p w:rsidR="003E311F" w:rsidRPr="00515D00" w:rsidRDefault="003E311F" w:rsidP="007A358B">
            <w:pPr>
              <w:jc w:val="center"/>
              <w:rPr>
                <w:color w:val="000000"/>
                <w:sz w:val="16"/>
                <w:szCs w:val="16"/>
              </w:rPr>
            </w:pPr>
            <w:r w:rsidRPr="00515D00">
              <w:rPr>
                <w:color w:val="000000"/>
                <w:sz w:val="16"/>
                <w:szCs w:val="16"/>
              </w:rPr>
              <w:t>102.850</w:t>
            </w:r>
          </w:p>
        </w:tc>
        <w:tc>
          <w:tcPr>
            <w:tcW w:w="1780" w:type="dxa"/>
            <w:tcBorders>
              <w:top w:val="single" w:sz="4" w:space="0" w:color="auto"/>
              <w:left w:val="nil"/>
              <w:bottom w:val="single" w:sz="4" w:space="0" w:color="auto"/>
              <w:right w:val="single" w:sz="4" w:space="0" w:color="auto"/>
            </w:tcBorders>
            <w:shd w:val="clear" w:color="auto" w:fill="auto"/>
            <w:noWrap/>
            <w:vAlign w:val="center"/>
            <w:hideMark/>
          </w:tcPr>
          <w:p w:rsidR="003E311F" w:rsidRPr="00515D00" w:rsidRDefault="003E311F" w:rsidP="007A358B">
            <w:pPr>
              <w:jc w:val="center"/>
              <w:rPr>
                <w:color w:val="000000"/>
                <w:sz w:val="16"/>
                <w:szCs w:val="16"/>
              </w:rPr>
            </w:pPr>
            <w:r w:rsidRPr="00515D00">
              <w:rPr>
                <w:color w:val="000000"/>
                <w:sz w:val="16"/>
                <w:szCs w:val="16"/>
              </w:rPr>
              <w:t>-</w:t>
            </w:r>
          </w:p>
        </w:tc>
        <w:tc>
          <w:tcPr>
            <w:tcW w:w="2329" w:type="dxa"/>
            <w:tcBorders>
              <w:top w:val="single" w:sz="4" w:space="0" w:color="auto"/>
              <w:left w:val="nil"/>
              <w:bottom w:val="single" w:sz="4" w:space="0" w:color="auto"/>
              <w:right w:val="single" w:sz="4" w:space="0" w:color="auto"/>
            </w:tcBorders>
            <w:shd w:val="clear" w:color="auto" w:fill="auto"/>
            <w:vAlign w:val="center"/>
            <w:hideMark/>
          </w:tcPr>
          <w:p w:rsidR="003E311F" w:rsidRPr="00515D00" w:rsidRDefault="003E311F" w:rsidP="007A358B">
            <w:pPr>
              <w:jc w:val="center"/>
              <w:rPr>
                <w:color w:val="000000"/>
                <w:sz w:val="16"/>
                <w:szCs w:val="16"/>
              </w:rPr>
            </w:pPr>
            <w:r w:rsidRPr="00515D00">
              <w:rPr>
                <w:color w:val="000000"/>
                <w:sz w:val="16"/>
                <w:szCs w:val="16"/>
              </w:rPr>
              <w:t>230.334</w:t>
            </w:r>
          </w:p>
        </w:tc>
      </w:tr>
    </w:tbl>
    <w:p w:rsidR="003E311F" w:rsidRPr="007329AC" w:rsidRDefault="003E311F" w:rsidP="003E311F">
      <w:pPr>
        <w:tabs>
          <w:tab w:val="left" w:pos="0"/>
          <w:tab w:val="left" w:pos="9071"/>
        </w:tabs>
        <w:rPr>
          <w:b/>
          <w:sz w:val="20"/>
        </w:rPr>
      </w:pPr>
    </w:p>
    <w:p w:rsidR="003E311F" w:rsidRPr="007329AC" w:rsidRDefault="003E311F" w:rsidP="003E311F">
      <w:pPr>
        <w:tabs>
          <w:tab w:val="left" w:pos="0"/>
          <w:tab w:val="left" w:pos="9071"/>
        </w:tabs>
        <w:rPr>
          <w:b/>
          <w:sz w:val="20"/>
        </w:rPr>
      </w:pPr>
    </w:p>
    <w:p w:rsidR="003E311F" w:rsidRPr="007329AC" w:rsidRDefault="003E311F" w:rsidP="003E311F">
      <w:pPr>
        <w:tabs>
          <w:tab w:val="left" w:pos="0"/>
          <w:tab w:val="left" w:pos="9071"/>
        </w:tabs>
        <w:rPr>
          <w:b/>
          <w:sz w:val="20"/>
        </w:rPr>
      </w:pPr>
      <w:r w:rsidRPr="007329AC">
        <w:rPr>
          <w:b/>
          <w:sz w:val="20"/>
        </w:rPr>
        <w:t>BRASIL SUR</w:t>
      </w:r>
    </w:p>
    <w:p w:rsidR="003E311F" w:rsidRPr="007329AC" w:rsidRDefault="003E311F" w:rsidP="003E311F">
      <w:pPr>
        <w:tabs>
          <w:tab w:val="left" w:pos="0"/>
          <w:tab w:val="left" w:pos="9071"/>
        </w:tabs>
        <w:rPr>
          <w:b/>
          <w:sz w:val="20"/>
        </w:rPr>
      </w:pPr>
    </w:p>
    <w:tbl>
      <w:tblPr>
        <w:tblW w:w="9639" w:type="dxa"/>
        <w:tblInd w:w="10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43"/>
        <w:gridCol w:w="1134"/>
        <w:gridCol w:w="2126"/>
        <w:gridCol w:w="4536"/>
      </w:tblGrid>
      <w:tr w:rsidR="003E311F" w:rsidRPr="00057B87" w:rsidTr="007A358B">
        <w:trPr>
          <w:cantSplit/>
          <w:trHeight w:val="315"/>
        </w:trPr>
        <w:tc>
          <w:tcPr>
            <w:tcW w:w="9639" w:type="dxa"/>
            <w:gridSpan w:val="4"/>
            <w:tcBorders>
              <w:top w:val="single" w:sz="4" w:space="0" w:color="000000"/>
              <w:bottom w:val="single" w:sz="4" w:space="0" w:color="000000"/>
            </w:tcBorders>
            <w:shd w:val="clear" w:color="auto" w:fill="C6D9F1" w:themeFill="text2" w:themeFillTint="33"/>
          </w:tcPr>
          <w:p w:rsidR="003E311F" w:rsidRPr="00515D00" w:rsidRDefault="003E311F" w:rsidP="007A358B">
            <w:pPr>
              <w:keepNext/>
              <w:keepLines/>
              <w:tabs>
                <w:tab w:val="left" w:pos="1740"/>
              </w:tabs>
              <w:spacing w:before="120" w:after="120"/>
              <w:ind w:left="1740" w:hanging="1740"/>
              <w:rPr>
                <w:color w:val="000000"/>
                <w:sz w:val="16"/>
                <w:szCs w:val="16"/>
              </w:rPr>
            </w:pPr>
            <w:r w:rsidRPr="00515D00">
              <w:rPr>
                <w:b/>
                <w:bCs/>
                <w:color w:val="000000"/>
                <w:sz w:val="16"/>
                <w:szCs w:val="16"/>
              </w:rPr>
              <w:t>RESULTADO:</w:t>
            </w:r>
            <w:r w:rsidRPr="00515D00">
              <w:rPr>
                <w:bCs/>
                <w:sz w:val="16"/>
                <w:szCs w:val="16"/>
              </w:rPr>
              <w:tab/>
              <w:t>III.2  Aumento de las capacidades en recursos humanos para hacer frente a la gran diversidad de exigencias que supone la utilización eficaz de la P.I. para fomentar el desarrollo en los países en desarrollo, PMA y países con economías en transición</w:t>
            </w:r>
          </w:p>
        </w:tc>
      </w:tr>
      <w:tr w:rsidR="003E311F" w:rsidRPr="00515D00" w:rsidTr="007A358B">
        <w:trPr>
          <w:cantSplit/>
          <w:trHeight w:val="402"/>
        </w:trPr>
        <w:tc>
          <w:tcPr>
            <w:tcW w:w="1843" w:type="dxa"/>
            <w:tcBorders>
              <w:top w:val="single" w:sz="4" w:space="0" w:color="000000"/>
            </w:tcBorders>
            <w:vAlign w:val="center"/>
          </w:tcPr>
          <w:p w:rsidR="003E311F" w:rsidRPr="00515D00" w:rsidRDefault="003E311F" w:rsidP="007A358B">
            <w:pPr>
              <w:keepNext/>
              <w:keepLines/>
              <w:spacing w:before="60" w:after="60"/>
              <w:rPr>
                <w:b/>
                <w:bCs/>
                <w:sz w:val="16"/>
                <w:szCs w:val="16"/>
              </w:rPr>
            </w:pPr>
            <w:r w:rsidRPr="00515D00">
              <w:rPr>
                <w:b/>
                <w:bCs/>
                <w:sz w:val="16"/>
                <w:szCs w:val="16"/>
              </w:rPr>
              <w:t>Actividad</w:t>
            </w:r>
          </w:p>
        </w:tc>
        <w:tc>
          <w:tcPr>
            <w:tcW w:w="1134" w:type="dxa"/>
            <w:tcBorders>
              <w:top w:val="single" w:sz="4" w:space="0" w:color="000000"/>
            </w:tcBorders>
            <w:vAlign w:val="center"/>
          </w:tcPr>
          <w:p w:rsidR="003E311F" w:rsidRPr="00515D00" w:rsidRDefault="003E311F" w:rsidP="007A358B">
            <w:pPr>
              <w:keepNext/>
              <w:keepLines/>
              <w:spacing w:before="60" w:after="60"/>
              <w:rPr>
                <w:sz w:val="16"/>
                <w:szCs w:val="16"/>
              </w:rPr>
            </w:pPr>
            <w:r w:rsidRPr="00515D00">
              <w:rPr>
                <w:b/>
                <w:bCs/>
                <w:sz w:val="16"/>
                <w:szCs w:val="16"/>
              </w:rPr>
              <w:t>Fecha</w:t>
            </w:r>
          </w:p>
        </w:tc>
        <w:tc>
          <w:tcPr>
            <w:tcW w:w="2126" w:type="dxa"/>
            <w:tcBorders>
              <w:top w:val="single" w:sz="4" w:space="0" w:color="000000"/>
            </w:tcBorders>
            <w:vAlign w:val="center"/>
          </w:tcPr>
          <w:p w:rsidR="003E311F" w:rsidRPr="00515D00" w:rsidRDefault="003E311F" w:rsidP="007A358B">
            <w:pPr>
              <w:widowControl w:val="0"/>
              <w:rPr>
                <w:sz w:val="16"/>
                <w:szCs w:val="16"/>
              </w:rPr>
            </w:pPr>
            <w:r w:rsidRPr="00515D00">
              <w:rPr>
                <w:b/>
                <w:sz w:val="16"/>
                <w:szCs w:val="16"/>
              </w:rPr>
              <w:t>País anfitrión / Beneficiarios</w:t>
            </w:r>
          </w:p>
        </w:tc>
        <w:tc>
          <w:tcPr>
            <w:tcW w:w="4536" w:type="dxa"/>
            <w:tcBorders>
              <w:top w:val="single" w:sz="4" w:space="0" w:color="000000"/>
            </w:tcBorders>
            <w:vAlign w:val="center"/>
          </w:tcPr>
          <w:p w:rsidR="003E311F" w:rsidRPr="00515D00" w:rsidRDefault="003E311F" w:rsidP="007A358B">
            <w:pPr>
              <w:widowControl w:val="0"/>
              <w:rPr>
                <w:sz w:val="16"/>
                <w:szCs w:val="16"/>
              </w:rPr>
            </w:pPr>
            <w:r w:rsidRPr="00515D00">
              <w:rPr>
                <w:b/>
                <w:sz w:val="16"/>
                <w:szCs w:val="16"/>
              </w:rPr>
              <w:t>Propósito(s)/Descripción</w:t>
            </w:r>
          </w:p>
        </w:tc>
      </w:tr>
      <w:tr w:rsidR="003E311F" w:rsidRPr="00057B87" w:rsidTr="007A358B">
        <w:trPr>
          <w:cantSplit/>
          <w:trHeight w:val="315"/>
        </w:trPr>
        <w:tc>
          <w:tcPr>
            <w:tcW w:w="1843" w:type="dxa"/>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II Taller regional sobre P.I. y transferencia de tecnología</w:t>
            </w:r>
          </w:p>
        </w:tc>
        <w:tc>
          <w:tcPr>
            <w:tcW w:w="1134" w:type="dxa"/>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7 a 8 de mayo de 2015</w:t>
            </w:r>
          </w:p>
        </w:tc>
        <w:tc>
          <w:tcPr>
            <w:tcW w:w="2126" w:type="dxa"/>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Perú/ Costa Rica, República Dominicana, Ecuador, México, Perú y Uruguay</w:t>
            </w:r>
          </w:p>
        </w:tc>
        <w:tc>
          <w:tcPr>
            <w:tcW w:w="4536" w:type="dxa"/>
          </w:tcPr>
          <w:p w:rsidR="003E311F" w:rsidRPr="00515D00" w:rsidRDefault="003E311F" w:rsidP="007A358B">
            <w:pPr>
              <w:autoSpaceDE w:val="0"/>
              <w:autoSpaceDN w:val="0"/>
              <w:adjustRightInd w:val="0"/>
              <w:spacing w:before="60" w:after="60"/>
              <w:rPr>
                <w:color w:val="000000"/>
                <w:sz w:val="16"/>
                <w:szCs w:val="16"/>
              </w:rPr>
            </w:pPr>
            <w:r w:rsidRPr="00515D00">
              <w:rPr>
                <w:sz w:val="16"/>
                <w:szCs w:val="16"/>
              </w:rPr>
              <w:t>Examinar</w:t>
            </w:r>
            <w:proofErr w:type="gramStart"/>
            <w:r w:rsidRPr="00515D00">
              <w:rPr>
                <w:sz w:val="16"/>
                <w:szCs w:val="16"/>
              </w:rPr>
              <w:t>:  i</w:t>
            </w:r>
            <w:proofErr w:type="gramEnd"/>
            <w:r w:rsidRPr="00515D00">
              <w:rPr>
                <w:sz w:val="16"/>
                <w:szCs w:val="16"/>
              </w:rPr>
              <w:t>) la estructuración de las estrategias nacio</w:t>
            </w:r>
            <w:r>
              <w:rPr>
                <w:sz w:val="16"/>
                <w:szCs w:val="16"/>
              </w:rPr>
              <w:t xml:space="preserve">nales e institucionales de P.I.; </w:t>
            </w:r>
            <w:r w:rsidRPr="00515D00">
              <w:rPr>
                <w:sz w:val="16"/>
                <w:szCs w:val="16"/>
              </w:rPr>
              <w:t xml:space="preserve"> ii) el establecimiento de oficinas de transferencia de tecnología</w:t>
            </w:r>
            <w:r>
              <w:rPr>
                <w:sz w:val="16"/>
                <w:szCs w:val="16"/>
              </w:rPr>
              <w:t xml:space="preserve">; </w:t>
            </w:r>
            <w:r w:rsidRPr="00515D00">
              <w:rPr>
                <w:sz w:val="16"/>
                <w:szCs w:val="16"/>
              </w:rPr>
              <w:t xml:space="preserve"> y iii) los modelos estratégicos para fomentar la innovación.</w:t>
            </w:r>
          </w:p>
        </w:tc>
      </w:tr>
      <w:tr w:rsidR="00805317" w:rsidRPr="00057B87" w:rsidTr="007A358B">
        <w:trPr>
          <w:cantSplit/>
          <w:trHeight w:val="315"/>
        </w:trPr>
        <w:tc>
          <w:tcPr>
            <w:tcW w:w="1843" w:type="dxa"/>
          </w:tcPr>
          <w:p w:rsidR="00805317" w:rsidRPr="00515D00" w:rsidRDefault="00805317" w:rsidP="00025F0F">
            <w:pPr>
              <w:autoSpaceDE w:val="0"/>
              <w:autoSpaceDN w:val="0"/>
              <w:adjustRightInd w:val="0"/>
              <w:spacing w:before="60" w:after="60"/>
              <w:rPr>
                <w:color w:val="000000"/>
                <w:sz w:val="16"/>
                <w:szCs w:val="16"/>
              </w:rPr>
            </w:pPr>
            <w:r>
              <w:rPr>
                <w:color w:val="000000"/>
                <w:sz w:val="16"/>
                <w:szCs w:val="16"/>
              </w:rPr>
              <w:t xml:space="preserve">Taller regional sobre herramientas </w:t>
            </w:r>
            <w:r w:rsidR="00025F0F">
              <w:rPr>
                <w:color w:val="000000"/>
                <w:sz w:val="16"/>
                <w:szCs w:val="16"/>
              </w:rPr>
              <w:t xml:space="preserve">gratuitas </w:t>
            </w:r>
            <w:r>
              <w:rPr>
                <w:color w:val="000000"/>
                <w:sz w:val="16"/>
                <w:szCs w:val="16"/>
              </w:rPr>
              <w:t>de código abierto para el análisis de patentes</w:t>
            </w:r>
          </w:p>
        </w:tc>
        <w:tc>
          <w:tcPr>
            <w:tcW w:w="1134" w:type="dxa"/>
          </w:tcPr>
          <w:p w:rsidR="00805317" w:rsidRPr="00515D00" w:rsidRDefault="00805317" w:rsidP="007A358B">
            <w:pPr>
              <w:autoSpaceDE w:val="0"/>
              <w:autoSpaceDN w:val="0"/>
              <w:adjustRightInd w:val="0"/>
              <w:spacing w:before="60" w:after="60"/>
              <w:rPr>
                <w:color w:val="000000"/>
                <w:sz w:val="16"/>
                <w:szCs w:val="16"/>
              </w:rPr>
            </w:pPr>
            <w:r>
              <w:rPr>
                <w:color w:val="000000"/>
                <w:sz w:val="16"/>
                <w:szCs w:val="16"/>
              </w:rPr>
              <w:t>27 y 28 de agosto de 2015</w:t>
            </w:r>
          </w:p>
        </w:tc>
        <w:tc>
          <w:tcPr>
            <w:tcW w:w="2126" w:type="dxa"/>
          </w:tcPr>
          <w:p w:rsidR="00805317" w:rsidRPr="00515D00" w:rsidRDefault="00805317" w:rsidP="007A358B">
            <w:pPr>
              <w:autoSpaceDE w:val="0"/>
              <w:autoSpaceDN w:val="0"/>
              <w:adjustRightInd w:val="0"/>
              <w:spacing w:before="60" w:after="60"/>
              <w:rPr>
                <w:color w:val="000000"/>
                <w:sz w:val="16"/>
                <w:szCs w:val="16"/>
              </w:rPr>
            </w:pPr>
            <w:r>
              <w:rPr>
                <w:color w:val="000000"/>
                <w:sz w:val="16"/>
                <w:szCs w:val="16"/>
              </w:rPr>
              <w:t>Brasil/ Chile, Colombia, México y Uruguay</w:t>
            </w:r>
          </w:p>
        </w:tc>
        <w:tc>
          <w:tcPr>
            <w:tcW w:w="4536" w:type="dxa"/>
          </w:tcPr>
          <w:p w:rsidR="00805317" w:rsidRPr="00515D00" w:rsidRDefault="00025F0F" w:rsidP="00025F0F">
            <w:pPr>
              <w:autoSpaceDE w:val="0"/>
              <w:autoSpaceDN w:val="0"/>
              <w:adjustRightInd w:val="0"/>
              <w:spacing w:before="60" w:after="60"/>
              <w:rPr>
                <w:color w:val="000000"/>
                <w:sz w:val="16"/>
                <w:szCs w:val="16"/>
              </w:rPr>
            </w:pPr>
            <w:r>
              <w:rPr>
                <w:color w:val="000000"/>
                <w:sz w:val="16"/>
                <w:szCs w:val="16"/>
              </w:rPr>
              <w:t xml:space="preserve">i) </w:t>
            </w:r>
            <w:proofErr w:type="gramStart"/>
            <w:r>
              <w:rPr>
                <w:color w:val="000000"/>
                <w:sz w:val="16"/>
                <w:szCs w:val="16"/>
              </w:rPr>
              <w:t>complementar</w:t>
            </w:r>
            <w:proofErr w:type="gramEnd"/>
            <w:r>
              <w:rPr>
                <w:color w:val="000000"/>
                <w:sz w:val="16"/>
                <w:szCs w:val="16"/>
              </w:rPr>
              <w:t xml:space="preserve"> la formación proporcionada durante el Taller regional sobre análisis de patentes, celebrado en agosto de 2013 en Rio de Janeiro (Brasil);  y ii) servir de plataforma para el debate e intercambio de opiniones en relación con el Manual sobre Herramientas de Código Abierto para el Análisis de Patentes, actualmente en preparación.</w:t>
            </w:r>
          </w:p>
        </w:tc>
      </w:tr>
      <w:tr w:rsidR="003E311F" w:rsidRPr="00057B87" w:rsidTr="007A358B">
        <w:trPr>
          <w:cantSplit/>
          <w:trHeight w:val="315"/>
        </w:trPr>
        <w:tc>
          <w:tcPr>
            <w:tcW w:w="1843" w:type="dxa"/>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III Taller regional sobre P.I. y transferencia de tecnología</w:t>
            </w:r>
          </w:p>
        </w:tc>
        <w:tc>
          <w:tcPr>
            <w:tcW w:w="1134" w:type="dxa"/>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18 a 20 de noviembre de 2015</w:t>
            </w:r>
          </w:p>
        </w:tc>
        <w:tc>
          <w:tcPr>
            <w:tcW w:w="2126" w:type="dxa"/>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 xml:space="preserve">México/ Colombia, Cuba, El Salvador, Perú </w:t>
            </w:r>
            <w:r>
              <w:rPr>
                <w:color w:val="000000"/>
                <w:sz w:val="16"/>
                <w:szCs w:val="16"/>
              </w:rPr>
              <w:t>y</w:t>
            </w:r>
            <w:r w:rsidRPr="00515D00">
              <w:rPr>
                <w:color w:val="000000"/>
                <w:sz w:val="16"/>
                <w:szCs w:val="16"/>
              </w:rPr>
              <w:t xml:space="preserve"> México </w:t>
            </w:r>
          </w:p>
        </w:tc>
        <w:tc>
          <w:tcPr>
            <w:tcW w:w="4536" w:type="dxa"/>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Examinar</w:t>
            </w:r>
            <w:proofErr w:type="gramStart"/>
            <w:r w:rsidRPr="00515D00">
              <w:rPr>
                <w:color w:val="000000"/>
                <w:sz w:val="16"/>
                <w:szCs w:val="16"/>
              </w:rPr>
              <w:t>:  i</w:t>
            </w:r>
            <w:proofErr w:type="gramEnd"/>
            <w:r w:rsidRPr="00515D00">
              <w:rPr>
                <w:color w:val="000000"/>
                <w:sz w:val="16"/>
                <w:szCs w:val="16"/>
              </w:rPr>
              <w:t>) el establecimiento de políticas de transferencia de tecnología;  y ii) algunas cuestiones prácticas relativas a la negociación y redacción de acuerdos en materia de tecnología.</w:t>
            </w:r>
          </w:p>
        </w:tc>
      </w:tr>
      <w:tr w:rsidR="003E311F" w:rsidRPr="00057B87" w:rsidTr="007A358B">
        <w:trPr>
          <w:cantSplit/>
          <w:trHeight w:val="315"/>
        </w:trPr>
        <w:tc>
          <w:tcPr>
            <w:tcW w:w="1843" w:type="dxa"/>
          </w:tcPr>
          <w:p w:rsidR="003E311F" w:rsidRPr="00515D00" w:rsidRDefault="003E311F" w:rsidP="007A358B">
            <w:pPr>
              <w:autoSpaceDE w:val="0"/>
              <w:autoSpaceDN w:val="0"/>
              <w:adjustRightInd w:val="0"/>
              <w:spacing w:before="60" w:after="60"/>
              <w:rPr>
                <w:sz w:val="16"/>
                <w:szCs w:val="16"/>
              </w:rPr>
            </w:pPr>
            <w:r w:rsidRPr="00515D00">
              <w:rPr>
                <w:sz w:val="16"/>
                <w:szCs w:val="16"/>
              </w:rPr>
              <w:t>XXXIII Seminario para las Oficinas de P.I. de América Latina</w:t>
            </w:r>
          </w:p>
        </w:tc>
        <w:tc>
          <w:tcPr>
            <w:tcW w:w="1134" w:type="dxa"/>
          </w:tcPr>
          <w:p w:rsidR="003E311F" w:rsidRPr="00515D00" w:rsidRDefault="003E311F" w:rsidP="007A358B">
            <w:pPr>
              <w:spacing w:before="60" w:after="60"/>
              <w:rPr>
                <w:sz w:val="16"/>
                <w:szCs w:val="16"/>
              </w:rPr>
            </w:pPr>
            <w:r w:rsidRPr="00515D00">
              <w:rPr>
                <w:sz w:val="16"/>
                <w:szCs w:val="16"/>
              </w:rPr>
              <w:t>31 de agosto a 3 de septiembre de 2015</w:t>
            </w:r>
          </w:p>
        </w:tc>
        <w:tc>
          <w:tcPr>
            <w:tcW w:w="2126" w:type="dxa"/>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 xml:space="preserve">Brasil/ Argentina, Bolivia, Chile, Colombia, Costa Rica, Cuba, República Dominicana, Ecuador, El Salvador, Guatemala, Honduras, México, Nicaragua, Panamá, Paraguay, Perú, Uruguay y Venezuela </w:t>
            </w:r>
          </w:p>
        </w:tc>
        <w:tc>
          <w:tcPr>
            <w:tcW w:w="4536" w:type="dxa"/>
          </w:tcPr>
          <w:p w:rsidR="003E311F" w:rsidRPr="00515D00" w:rsidRDefault="003E311F" w:rsidP="007A358B">
            <w:pPr>
              <w:autoSpaceDE w:val="0"/>
              <w:autoSpaceDN w:val="0"/>
              <w:adjustRightInd w:val="0"/>
              <w:spacing w:before="60" w:after="60"/>
              <w:rPr>
                <w:sz w:val="16"/>
                <w:szCs w:val="16"/>
              </w:rPr>
            </w:pPr>
            <w:r w:rsidRPr="00515D00">
              <w:rPr>
                <w:sz w:val="16"/>
                <w:szCs w:val="16"/>
              </w:rPr>
              <w:t xml:space="preserve">Promover el intercambio de experiencias entre funcionarios de las </w:t>
            </w:r>
            <w:r>
              <w:rPr>
                <w:sz w:val="16"/>
                <w:szCs w:val="16"/>
              </w:rPr>
              <w:t>o</w:t>
            </w:r>
            <w:r w:rsidRPr="00515D00">
              <w:rPr>
                <w:sz w:val="16"/>
                <w:szCs w:val="16"/>
              </w:rPr>
              <w:t>ficinas nacionales de P.I. sobre temas específicos, centrándose en particular en la cooperación internacional en materia de P.I.</w:t>
            </w:r>
          </w:p>
        </w:tc>
      </w:tr>
      <w:tr w:rsidR="003E311F" w:rsidRPr="00057B87" w:rsidTr="007A358B">
        <w:trPr>
          <w:cantSplit/>
          <w:trHeight w:val="315"/>
        </w:trPr>
        <w:tc>
          <w:tcPr>
            <w:tcW w:w="1843" w:type="dxa"/>
          </w:tcPr>
          <w:p w:rsidR="003E311F" w:rsidRPr="00515D00" w:rsidRDefault="003E311F" w:rsidP="007A358B">
            <w:pPr>
              <w:autoSpaceDE w:val="0"/>
              <w:autoSpaceDN w:val="0"/>
              <w:adjustRightInd w:val="0"/>
              <w:spacing w:before="60" w:after="60"/>
              <w:rPr>
                <w:sz w:val="16"/>
                <w:szCs w:val="16"/>
              </w:rPr>
            </w:pPr>
            <w:r w:rsidRPr="00515D00">
              <w:rPr>
                <w:sz w:val="16"/>
                <w:szCs w:val="16"/>
              </w:rPr>
              <w:lastRenderedPageBreak/>
              <w:t>Presentación regional del Índice Mundial de Innovación 2015</w:t>
            </w:r>
          </w:p>
        </w:tc>
        <w:tc>
          <w:tcPr>
            <w:tcW w:w="1134" w:type="dxa"/>
          </w:tcPr>
          <w:p w:rsidR="003E311F" w:rsidRPr="00515D00" w:rsidRDefault="003E311F" w:rsidP="007A358B">
            <w:pPr>
              <w:spacing w:before="60" w:after="60"/>
              <w:rPr>
                <w:sz w:val="16"/>
                <w:szCs w:val="16"/>
              </w:rPr>
            </w:pPr>
            <w:r w:rsidRPr="00515D00">
              <w:rPr>
                <w:sz w:val="16"/>
                <w:szCs w:val="16"/>
              </w:rPr>
              <w:t>30 de septiembre de 2015</w:t>
            </w:r>
          </w:p>
        </w:tc>
        <w:tc>
          <w:tcPr>
            <w:tcW w:w="2126" w:type="dxa"/>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Brasil/ Chile, Colombia, Costa Rica y México</w:t>
            </w:r>
          </w:p>
        </w:tc>
        <w:tc>
          <w:tcPr>
            <w:tcW w:w="4536" w:type="dxa"/>
          </w:tcPr>
          <w:p w:rsidR="003E311F" w:rsidRPr="00515D00" w:rsidRDefault="003E311F" w:rsidP="007A358B">
            <w:pPr>
              <w:autoSpaceDE w:val="0"/>
              <w:autoSpaceDN w:val="0"/>
              <w:adjustRightInd w:val="0"/>
              <w:spacing w:before="60" w:after="60"/>
              <w:rPr>
                <w:sz w:val="16"/>
                <w:szCs w:val="16"/>
              </w:rPr>
            </w:pPr>
            <w:r w:rsidRPr="00515D00">
              <w:rPr>
                <w:sz w:val="16"/>
                <w:szCs w:val="16"/>
              </w:rPr>
              <w:t xml:space="preserve">i) Presentar la edición de 2015 del Índice en la región </w:t>
            </w:r>
            <w:r>
              <w:rPr>
                <w:sz w:val="16"/>
                <w:szCs w:val="16"/>
              </w:rPr>
              <w:t>de América Latina</w:t>
            </w:r>
            <w:r w:rsidRPr="00515D00">
              <w:rPr>
                <w:sz w:val="16"/>
                <w:szCs w:val="16"/>
              </w:rPr>
              <w:t>;  y ii) reunir a expertos y representantes de los gobiernos y de los círculos industriales para debatir cuestiones relacionadas con la economía de la innovación.</w:t>
            </w:r>
          </w:p>
        </w:tc>
      </w:tr>
      <w:tr w:rsidR="00025F0F" w:rsidRPr="00057B87" w:rsidTr="007A358B">
        <w:trPr>
          <w:cantSplit/>
          <w:trHeight w:val="315"/>
        </w:trPr>
        <w:tc>
          <w:tcPr>
            <w:tcW w:w="1843" w:type="dxa"/>
          </w:tcPr>
          <w:p w:rsidR="00025F0F" w:rsidRPr="00515D00" w:rsidRDefault="004D675E" w:rsidP="004D675E">
            <w:pPr>
              <w:autoSpaceDE w:val="0"/>
              <w:autoSpaceDN w:val="0"/>
              <w:adjustRightInd w:val="0"/>
              <w:spacing w:before="60" w:after="60"/>
              <w:rPr>
                <w:sz w:val="16"/>
                <w:szCs w:val="16"/>
              </w:rPr>
            </w:pPr>
            <w:r>
              <w:rPr>
                <w:sz w:val="16"/>
                <w:szCs w:val="16"/>
              </w:rPr>
              <w:t>Programa Regional de Formación de nivel intermedio sobre el examen de patentes para países latinoamericanos</w:t>
            </w:r>
          </w:p>
        </w:tc>
        <w:tc>
          <w:tcPr>
            <w:tcW w:w="1134" w:type="dxa"/>
          </w:tcPr>
          <w:p w:rsidR="00025F0F" w:rsidRPr="00515D00" w:rsidRDefault="004D675E" w:rsidP="007A358B">
            <w:pPr>
              <w:spacing w:before="60" w:after="60"/>
              <w:rPr>
                <w:sz w:val="16"/>
                <w:szCs w:val="16"/>
              </w:rPr>
            </w:pPr>
            <w:r>
              <w:rPr>
                <w:sz w:val="16"/>
                <w:szCs w:val="16"/>
              </w:rPr>
              <w:t>23 de noviembre a 4 de diciembre de 2015</w:t>
            </w:r>
          </w:p>
        </w:tc>
        <w:tc>
          <w:tcPr>
            <w:tcW w:w="2126" w:type="dxa"/>
          </w:tcPr>
          <w:p w:rsidR="00025F0F" w:rsidRPr="00515D00" w:rsidRDefault="004D675E" w:rsidP="007A358B">
            <w:pPr>
              <w:autoSpaceDE w:val="0"/>
              <w:autoSpaceDN w:val="0"/>
              <w:adjustRightInd w:val="0"/>
              <w:spacing w:before="60" w:after="60"/>
              <w:rPr>
                <w:color w:val="000000"/>
                <w:sz w:val="16"/>
                <w:szCs w:val="16"/>
              </w:rPr>
            </w:pPr>
            <w:r>
              <w:rPr>
                <w:color w:val="000000"/>
                <w:sz w:val="16"/>
                <w:szCs w:val="16"/>
              </w:rPr>
              <w:t>Brasil/ Argentina, Bolivia, Colombia, Costa Rica, Cuba, Ecuador, El Salvador, Guatemala, Honduras, México, Nicaragua, Panamá, Paraguay, Perú, República Dominicana y Uruguay</w:t>
            </w:r>
          </w:p>
        </w:tc>
        <w:tc>
          <w:tcPr>
            <w:tcW w:w="4536" w:type="dxa"/>
          </w:tcPr>
          <w:p w:rsidR="00025F0F" w:rsidRPr="00515D00" w:rsidRDefault="004D675E" w:rsidP="007A358B">
            <w:pPr>
              <w:autoSpaceDE w:val="0"/>
              <w:autoSpaceDN w:val="0"/>
              <w:adjustRightInd w:val="0"/>
              <w:spacing w:before="60" w:after="60"/>
              <w:rPr>
                <w:sz w:val="16"/>
                <w:szCs w:val="16"/>
              </w:rPr>
            </w:pPr>
            <w:r>
              <w:rPr>
                <w:sz w:val="16"/>
                <w:szCs w:val="16"/>
              </w:rPr>
              <w:t>Mejorar capacidades en lo relativo al examen de patentes en los países latinoamericanos</w:t>
            </w:r>
          </w:p>
        </w:tc>
      </w:tr>
      <w:tr w:rsidR="003E311F" w:rsidRPr="00057B87" w:rsidTr="007A358B">
        <w:trPr>
          <w:cantSplit/>
          <w:trHeight w:val="315"/>
        </w:trPr>
        <w:tc>
          <w:tcPr>
            <w:tcW w:w="1843" w:type="dxa"/>
          </w:tcPr>
          <w:p w:rsidR="003E311F" w:rsidRPr="00515D00" w:rsidRDefault="003E311F" w:rsidP="007A358B">
            <w:pPr>
              <w:autoSpaceDE w:val="0"/>
              <w:autoSpaceDN w:val="0"/>
              <w:adjustRightInd w:val="0"/>
              <w:spacing w:before="60" w:after="60"/>
              <w:rPr>
                <w:sz w:val="16"/>
                <w:szCs w:val="16"/>
              </w:rPr>
            </w:pPr>
            <w:r w:rsidRPr="00515D00">
              <w:rPr>
                <w:sz w:val="16"/>
                <w:szCs w:val="16"/>
              </w:rPr>
              <w:t>Taller regional sobre negociación eficaz de licencias de tecnología (nivel avanzado)</w:t>
            </w:r>
          </w:p>
        </w:tc>
        <w:tc>
          <w:tcPr>
            <w:tcW w:w="1134" w:type="dxa"/>
          </w:tcPr>
          <w:p w:rsidR="003E311F" w:rsidRPr="00515D00" w:rsidRDefault="003E311F" w:rsidP="007A358B">
            <w:pPr>
              <w:spacing w:before="60" w:after="60"/>
              <w:rPr>
                <w:sz w:val="16"/>
                <w:szCs w:val="16"/>
              </w:rPr>
            </w:pPr>
            <w:r w:rsidRPr="00515D00">
              <w:rPr>
                <w:sz w:val="16"/>
                <w:szCs w:val="16"/>
              </w:rPr>
              <w:t>7 a 11 de diciembre de 2015</w:t>
            </w:r>
          </w:p>
        </w:tc>
        <w:tc>
          <w:tcPr>
            <w:tcW w:w="2126" w:type="dxa"/>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Brasil/ Cuba, Perú y Uruguay</w:t>
            </w:r>
          </w:p>
        </w:tc>
        <w:tc>
          <w:tcPr>
            <w:tcW w:w="4536" w:type="dxa"/>
          </w:tcPr>
          <w:p w:rsidR="003E311F" w:rsidRPr="00515D00" w:rsidRDefault="003E311F" w:rsidP="007A358B">
            <w:pPr>
              <w:autoSpaceDE w:val="0"/>
              <w:autoSpaceDN w:val="0"/>
              <w:adjustRightInd w:val="0"/>
              <w:spacing w:before="60" w:after="60"/>
              <w:rPr>
                <w:sz w:val="16"/>
                <w:szCs w:val="16"/>
              </w:rPr>
            </w:pPr>
            <w:r w:rsidRPr="00515D00">
              <w:rPr>
                <w:sz w:val="16"/>
                <w:szCs w:val="16"/>
              </w:rPr>
              <w:t xml:space="preserve">Actualizar </w:t>
            </w:r>
            <w:r>
              <w:rPr>
                <w:sz w:val="16"/>
                <w:szCs w:val="16"/>
              </w:rPr>
              <w:t>el conocimiento de los administ</w:t>
            </w:r>
            <w:r w:rsidRPr="00515D00">
              <w:rPr>
                <w:sz w:val="16"/>
                <w:szCs w:val="16"/>
              </w:rPr>
              <w:t>radores de tecnologías, los profesionales de la innovación empresarial y los abogados de instituciones académicas y empresas en relación con i) la comercialización de P.I., centrándose en particular en la comercialización y la valoración de la P.I. en relación con la tecnología;  y ii) la negociación y redacción de acuerdos de licencia.</w:t>
            </w:r>
          </w:p>
        </w:tc>
      </w:tr>
    </w:tbl>
    <w:p w:rsidR="003E311F" w:rsidRPr="007329AC" w:rsidRDefault="003E311F" w:rsidP="003E311F">
      <w:pPr>
        <w:tabs>
          <w:tab w:val="left" w:pos="0"/>
          <w:tab w:val="left" w:pos="9071"/>
        </w:tabs>
        <w:rPr>
          <w:b/>
          <w:sz w:val="20"/>
        </w:rPr>
      </w:pPr>
    </w:p>
    <w:p w:rsidR="003E311F" w:rsidRPr="007329AC" w:rsidRDefault="003E311F" w:rsidP="003E311F">
      <w:pPr>
        <w:tabs>
          <w:tab w:val="left" w:pos="0"/>
          <w:tab w:val="left" w:pos="9071"/>
        </w:tabs>
        <w:rPr>
          <w:b/>
          <w:sz w:val="20"/>
        </w:rPr>
      </w:pPr>
    </w:p>
    <w:p w:rsidR="003E311F" w:rsidRPr="007329AC" w:rsidRDefault="003E311F" w:rsidP="003E311F">
      <w:pPr>
        <w:keepNext/>
        <w:rPr>
          <w:b/>
          <w:bCs/>
          <w:color w:val="000000"/>
          <w:sz w:val="20"/>
        </w:rPr>
      </w:pPr>
      <w:r w:rsidRPr="007329AC">
        <w:rPr>
          <w:b/>
          <w:sz w:val="20"/>
        </w:rPr>
        <w:t xml:space="preserve">BRASIL SUR - Contribuciones de donantes y gastos de </w:t>
      </w:r>
      <w:r w:rsidRPr="007329AC">
        <w:rPr>
          <w:b/>
          <w:bCs/>
          <w:color w:val="000000"/>
          <w:sz w:val="20"/>
        </w:rPr>
        <w:t>2015</w:t>
      </w:r>
    </w:p>
    <w:p w:rsidR="003E311F" w:rsidRPr="007329AC" w:rsidRDefault="003E311F" w:rsidP="003E311F">
      <w:pPr>
        <w:keepNext/>
        <w:rPr>
          <w:sz w:val="20"/>
        </w:rPr>
      </w:pPr>
    </w:p>
    <w:tbl>
      <w:tblPr>
        <w:tblW w:w="9649" w:type="dxa"/>
        <w:tblInd w:w="98" w:type="dxa"/>
        <w:tblLook w:val="04A0" w:firstRow="1" w:lastRow="0" w:firstColumn="1" w:lastColumn="0" w:noHBand="0" w:noVBand="1"/>
      </w:tblPr>
      <w:tblGrid>
        <w:gridCol w:w="2040"/>
        <w:gridCol w:w="1640"/>
        <w:gridCol w:w="1860"/>
        <w:gridCol w:w="1841"/>
        <w:gridCol w:w="2268"/>
      </w:tblGrid>
      <w:tr w:rsidR="003E311F" w:rsidRPr="00515D00" w:rsidTr="007A358B">
        <w:trPr>
          <w:trHeight w:val="450"/>
        </w:trPr>
        <w:tc>
          <w:tcPr>
            <w:tcW w:w="2040" w:type="dxa"/>
            <w:tcBorders>
              <w:top w:val="single" w:sz="8" w:space="0" w:color="auto"/>
              <w:left w:val="single" w:sz="8" w:space="0" w:color="auto"/>
              <w:bottom w:val="nil"/>
              <w:right w:val="single" w:sz="8" w:space="0" w:color="auto"/>
            </w:tcBorders>
            <w:shd w:val="clear" w:color="000000" w:fill="C5D9F1"/>
            <w:vAlign w:val="center"/>
            <w:hideMark/>
          </w:tcPr>
          <w:p w:rsidR="003E311F" w:rsidRPr="00515D00" w:rsidRDefault="005C708A" w:rsidP="005C708A">
            <w:pPr>
              <w:keepNext/>
              <w:jc w:val="center"/>
              <w:rPr>
                <w:b/>
                <w:bCs/>
                <w:color w:val="000000"/>
                <w:sz w:val="16"/>
                <w:szCs w:val="16"/>
              </w:rPr>
            </w:pPr>
            <w:r>
              <w:rPr>
                <w:b/>
                <w:bCs/>
                <w:sz w:val="16"/>
                <w:szCs w:val="16"/>
              </w:rPr>
              <w:t>Saldo el</w:t>
            </w:r>
            <w:r w:rsidR="003E311F" w:rsidRPr="00515D00">
              <w:rPr>
                <w:b/>
                <w:bCs/>
                <w:sz w:val="16"/>
                <w:szCs w:val="16"/>
              </w:rPr>
              <w:t xml:space="preserve"> 31 de diciembre de </w:t>
            </w:r>
            <w:r w:rsidR="003E311F" w:rsidRPr="00515D00">
              <w:rPr>
                <w:b/>
                <w:bCs/>
                <w:color w:val="000000"/>
                <w:sz w:val="16"/>
                <w:szCs w:val="16"/>
              </w:rPr>
              <w:t>2014</w:t>
            </w:r>
          </w:p>
        </w:tc>
        <w:tc>
          <w:tcPr>
            <w:tcW w:w="1640" w:type="dxa"/>
            <w:tcBorders>
              <w:top w:val="single" w:sz="8" w:space="0" w:color="auto"/>
              <w:left w:val="nil"/>
              <w:bottom w:val="nil"/>
              <w:right w:val="single" w:sz="8" w:space="0" w:color="auto"/>
            </w:tcBorders>
            <w:shd w:val="clear" w:color="000000" w:fill="C5D9F1"/>
            <w:vAlign w:val="center"/>
            <w:hideMark/>
          </w:tcPr>
          <w:p w:rsidR="003E311F" w:rsidRPr="00515D00" w:rsidRDefault="003E311F" w:rsidP="007A358B">
            <w:pPr>
              <w:keepNext/>
              <w:jc w:val="center"/>
              <w:rPr>
                <w:b/>
                <w:bCs/>
                <w:color w:val="000000"/>
                <w:sz w:val="16"/>
                <w:szCs w:val="16"/>
              </w:rPr>
            </w:pPr>
            <w:r w:rsidRPr="00515D00">
              <w:rPr>
                <w:b/>
                <w:bCs/>
                <w:sz w:val="16"/>
                <w:szCs w:val="16"/>
              </w:rPr>
              <w:t xml:space="preserve">Ingresos en </w:t>
            </w:r>
            <w:r w:rsidRPr="00515D00">
              <w:rPr>
                <w:b/>
                <w:bCs/>
                <w:color w:val="000000"/>
                <w:sz w:val="16"/>
                <w:szCs w:val="16"/>
              </w:rPr>
              <w:t>2015</w:t>
            </w:r>
          </w:p>
        </w:tc>
        <w:tc>
          <w:tcPr>
            <w:tcW w:w="1860" w:type="dxa"/>
            <w:tcBorders>
              <w:top w:val="single" w:sz="8" w:space="0" w:color="auto"/>
              <w:left w:val="nil"/>
              <w:bottom w:val="nil"/>
              <w:right w:val="single" w:sz="8" w:space="0" w:color="auto"/>
            </w:tcBorders>
            <w:shd w:val="clear" w:color="000000" w:fill="C5D9F1"/>
            <w:vAlign w:val="center"/>
            <w:hideMark/>
          </w:tcPr>
          <w:p w:rsidR="003E311F" w:rsidRPr="00515D00" w:rsidRDefault="003E311F" w:rsidP="007A358B">
            <w:pPr>
              <w:keepNext/>
              <w:jc w:val="center"/>
              <w:rPr>
                <w:b/>
                <w:bCs/>
                <w:color w:val="000000"/>
                <w:sz w:val="16"/>
                <w:szCs w:val="16"/>
              </w:rPr>
            </w:pPr>
            <w:r w:rsidRPr="00515D00">
              <w:rPr>
                <w:b/>
                <w:bCs/>
                <w:sz w:val="16"/>
                <w:szCs w:val="16"/>
              </w:rPr>
              <w:t xml:space="preserve">Gastos en </w:t>
            </w:r>
            <w:r w:rsidRPr="00515D00">
              <w:rPr>
                <w:b/>
                <w:bCs/>
                <w:color w:val="000000"/>
                <w:sz w:val="16"/>
                <w:szCs w:val="16"/>
              </w:rPr>
              <w:t>2015</w:t>
            </w:r>
          </w:p>
        </w:tc>
        <w:tc>
          <w:tcPr>
            <w:tcW w:w="1841" w:type="dxa"/>
            <w:tcBorders>
              <w:top w:val="single" w:sz="8" w:space="0" w:color="auto"/>
              <w:left w:val="nil"/>
              <w:bottom w:val="nil"/>
              <w:right w:val="single" w:sz="8" w:space="0" w:color="auto"/>
            </w:tcBorders>
            <w:shd w:val="clear" w:color="000000" w:fill="C5D9F1"/>
            <w:vAlign w:val="center"/>
            <w:hideMark/>
          </w:tcPr>
          <w:p w:rsidR="003E311F" w:rsidRPr="00515D00" w:rsidRDefault="003E311F" w:rsidP="007A358B">
            <w:pPr>
              <w:keepNext/>
              <w:jc w:val="center"/>
              <w:rPr>
                <w:b/>
                <w:bCs/>
                <w:color w:val="000000"/>
                <w:sz w:val="16"/>
                <w:szCs w:val="16"/>
              </w:rPr>
            </w:pPr>
            <w:r w:rsidRPr="00515D00">
              <w:rPr>
                <w:b/>
                <w:bCs/>
                <w:sz w:val="16"/>
                <w:szCs w:val="16"/>
              </w:rPr>
              <w:t>Reembolsos</w:t>
            </w:r>
          </w:p>
        </w:tc>
        <w:tc>
          <w:tcPr>
            <w:tcW w:w="2268" w:type="dxa"/>
            <w:tcBorders>
              <w:top w:val="single" w:sz="8" w:space="0" w:color="auto"/>
              <w:left w:val="nil"/>
              <w:bottom w:val="nil"/>
              <w:right w:val="single" w:sz="8" w:space="0" w:color="auto"/>
            </w:tcBorders>
            <w:shd w:val="clear" w:color="000000" w:fill="C5D9F1"/>
            <w:vAlign w:val="center"/>
            <w:hideMark/>
          </w:tcPr>
          <w:p w:rsidR="003E311F" w:rsidRPr="00515D00" w:rsidRDefault="005C708A" w:rsidP="005C708A">
            <w:pPr>
              <w:keepNext/>
              <w:jc w:val="center"/>
              <w:rPr>
                <w:b/>
                <w:bCs/>
                <w:color w:val="000000"/>
                <w:sz w:val="16"/>
                <w:szCs w:val="16"/>
              </w:rPr>
            </w:pPr>
            <w:r>
              <w:rPr>
                <w:b/>
                <w:bCs/>
                <w:sz w:val="16"/>
                <w:szCs w:val="16"/>
              </w:rPr>
              <w:t>Saldo el</w:t>
            </w:r>
            <w:r w:rsidR="003E311F" w:rsidRPr="00515D00">
              <w:rPr>
                <w:b/>
                <w:bCs/>
                <w:sz w:val="16"/>
                <w:szCs w:val="16"/>
              </w:rPr>
              <w:t xml:space="preserve"> 31 de diciembre de </w:t>
            </w:r>
            <w:r w:rsidR="003E311F" w:rsidRPr="00515D00">
              <w:rPr>
                <w:b/>
                <w:bCs/>
                <w:color w:val="000000"/>
                <w:sz w:val="16"/>
                <w:szCs w:val="16"/>
              </w:rPr>
              <w:t>2015</w:t>
            </w:r>
          </w:p>
        </w:tc>
      </w:tr>
      <w:tr w:rsidR="003E311F" w:rsidRPr="00515D00" w:rsidTr="007A358B">
        <w:trPr>
          <w:trHeight w:val="255"/>
        </w:trPr>
        <w:tc>
          <w:tcPr>
            <w:tcW w:w="2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311F" w:rsidRPr="00515D00" w:rsidRDefault="003E311F" w:rsidP="007A358B">
            <w:pPr>
              <w:keepNext/>
              <w:jc w:val="center"/>
              <w:rPr>
                <w:color w:val="000000"/>
                <w:sz w:val="16"/>
                <w:szCs w:val="16"/>
              </w:rPr>
            </w:pPr>
            <w:r w:rsidRPr="00515D00">
              <w:rPr>
                <w:color w:val="000000"/>
                <w:sz w:val="16"/>
                <w:szCs w:val="16"/>
              </w:rPr>
              <w:t>384.809</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3E311F" w:rsidRPr="00515D00" w:rsidRDefault="003E311F" w:rsidP="007A358B">
            <w:pPr>
              <w:keepNext/>
              <w:jc w:val="center"/>
              <w:rPr>
                <w:color w:val="000000"/>
                <w:sz w:val="16"/>
                <w:szCs w:val="16"/>
              </w:rPr>
            </w:pPr>
            <w:r w:rsidRPr="00515D00">
              <w:rPr>
                <w:color w:val="000000"/>
                <w:sz w:val="16"/>
                <w:szCs w:val="16"/>
              </w:rPr>
              <w:t>(17)</w:t>
            </w:r>
          </w:p>
        </w:tc>
        <w:tc>
          <w:tcPr>
            <w:tcW w:w="1860" w:type="dxa"/>
            <w:tcBorders>
              <w:top w:val="single" w:sz="4" w:space="0" w:color="auto"/>
              <w:left w:val="nil"/>
              <w:bottom w:val="single" w:sz="4" w:space="0" w:color="auto"/>
              <w:right w:val="single" w:sz="4" w:space="0" w:color="auto"/>
            </w:tcBorders>
            <w:shd w:val="clear" w:color="auto" w:fill="auto"/>
            <w:vAlign w:val="center"/>
            <w:hideMark/>
          </w:tcPr>
          <w:p w:rsidR="003E311F" w:rsidRPr="00515D00" w:rsidRDefault="003E311F" w:rsidP="007A358B">
            <w:pPr>
              <w:keepNext/>
              <w:jc w:val="center"/>
              <w:rPr>
                <w:color w:val="000000"/>
                <w:sz w:val="16"/>
                <w:szCs w:val="16"/>
              </w:rPr>
            </w:pPr>
            <w:r w:rsidRPr="00515D00">
              <w:rPr>
                <w:color w:val="000000"/>
                <w:sz w:val="16"/>
                <w:szCs w:val="16"/>
              </w:rPr>
              <w:t>146.478</w:t>
            </w:r>
          </w:p>
        </w:tc>
        <w:tc>
          <w:tcPr>
            <w:tcW w:w="1841" w:type="dxa"/>
            <w:tcBorders>
              <w:top w:val="single" w:sz="4" w:space="0" w:color="auto"/>
              <w:left w:val="nil"/>
              <w:bottom w:val="single" w:sz="4" w:space="0" w:color="auto"/>
              <w:right w:val="single" w:sz="4" w:space="0" w:color="auto"/>
            </w:tcBorders>
            <w:shd w:val="clear" w:color="auto" w:fill="auto"/>
            <w:noWrap/>
            <w:vAlign w:val="center"/>
            <w:hideMark/>
          </w:tcPr>
          <w:p w:rsidR="003E311F" w:rsidRPr="00515D00" w:rsidRDefault="003E311F" w:rsidP="007A358B">
            <w:pPr>
              <w:keepNext/>
              <w:jc w:val="center"/>
              <w:rPr>
                <w:color w:val="000000"/>
                <w:sz w:val="16"/>
                <w:szCs w:val="16"/>
              </w:rPr>
            </w:pPr>
            <w:r w:rsidRPr="00515D00">
              <w:rPr>
                <w:color w:val="000000"/>
                <w:sz w:val="16"/>
                <w:szCs w:val="16"/>
              </w:rPr>
              <w:t>-</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3E311F" w:rsidRPr="00515D00" w:rsidRDefault="003E311F" w:rsidP="007A358B">
            <w:pPr>
              <w:keepNext/>
              <w:jc w:val="center"/>
              <w:rPr>
                <w:color w:val="000000"/>
                <w:sz w:val="16"/>
                <w:szCs w:val="16"/>
              </w:rPr>
            </w:pPr>
            <w:r w:rsidRPr="00515D00">
              <w:rPr>
                <w:color w:val="000000"/>
                <w:sz w:val="16"/>
                <w:szCs w:val="16"/>
              </w:rPr>
              <w:t>238.315</w:t>
            </w:r>
          </w:p>
        </w:tc>
      </w:tr>
    </w:tbl>
    <w:p w:rsidR="003E311F" w:rsidRPr="007329AC" w:rsidRDefault="003E311F" w:rsidP="003E311F">
      <w:pPr>
        <w:rPr>
          <w:b/>
          <w:sz w:val="20"/>
        </w:rPr>
      </w:pPr>
    </w:p>
    <w:p w:rsidR="003E311F" w:rsidRPr="007329AC" w:rsidRDefault="003E311F" w:rsidP="003E311F">
      <w:pPr>
        <w:rPr>
          <w:b/>
          <w:sz w:val="20"/>
        </w:rPr>
      </w:pPr>
    </w:p>
    <w:p w:rsidR="003E311F" w:rsidRPr="007329AC" w:rsidRDefault="00123A02" w:rsidP="003E311F">
      <w:pPr>
        <w:keepNext/>
        <w:keepLines/>
        <w:rPr>
          <w:sz w:val="20"/>
        </w:rPr>
      </w:pPr>
      <w:r>
        <w:rPr>
          <w:b/>
          <w:sz w:val="20"/>
        </w:rPr>
        <w:t>Brasil P</w:t>
      </w:r>
      <w:r w:rsidR="003E311F" w:rsidRPr="007329AC">
        <w:rPr>
          <w:b/>
          <w:sz w:val="20"/>
        </w:rPr>
        <w:t>NUD</w:t>
      </w:r>
      <w:r w:rsidR="003E311F" w:rsidRPr="007329AC">
        <w:rPr>
          <w:rStyle w:val="FootnoteReference"/>
          <w:sz w:val="20"/>
        </w:rPr>
        <w:footnoteReference w:id="152"/>
      </w:r>
    </w:p>
    <w:p w:rsidR="003E311F" w:rsidRPr="007329AC" w:rsidRDefault="003E311F" w:rsidP="003E311F">
      <w:pPr>
        <w:keepNext/>
        <w:keepLines/>
        <w:rPr>
          <w:sz w:val="20"/>
        </w:rPr>
      </w:pPr>
    </w:p>
    <w:tbl>
      <w:tblPr>
        <w:tblW w:w="9640" w:type="dxa"/>
        <w:tblInd w:w="108"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1842"/>
        <w:gridCol w:w="1134"/>
        <w:gridCol w:w="1984"/>
        <w:gridCol w:w="4680"/>
      </w:tblGrid>
      <w:tr w:rsidR="003E311F" w:rsidRPr="00057B87" w:rsidTr="007A358B">
        <w:trPr>
          <w:cantSplit/>
          <w:trHeight w:val="315"/>
        </w:trPr>
        <w:tc>
          <w:tcPr>
            <w:tcW w:w="9640" w:type="dxa"/>
            <w:gridSpan w:val="4"/>
            <w:tcBorders>
              <w:top w:val="single" w:sz="4" w:space="0" w:color="000000"/>
              <w:left w:val="single" w:sz="4" w:space="0" w:color="000000"/>
              <w:bottom w:val="single" w:sz="4" w:space="0" w:color="000000"/>
              <w:right w:val="single" w:sz="4" w:space="0" w:color="000000"/>
            </w:tcBorders>
            <w:shd w:val="clear" w:color="auto" w:fill="C6D9F1" w:themeFill="text2" w:themeFillTint="33"/>
            <w:hideMark/>
          </w:tcPr>
          <w:p w:rsidR="003E311F" w:rsidRPr="00515D00" w:rsidRDefault="003E311F" w:rsidP="007A358B">
            <w:pPr>
              <w:keepNext/>
              <w:keepLines/>
              <w:tabs>
                <w:tab w:val="left" w:pos="1740"/>
              </w:tabs>
              <w:spacing w:before="120" w:after="120" w:line="276" w:lineRule="auto"/>
              <w:ind w:left="1740" w:hanging="1740"/>
              <w:rPr>
                <w:color w:val="000000"/>
                <w:sz w:val="16"/>
                <w:szCs w:val="16"/>
              </w:rPr>
            </w:pPr>
            <w:r w:rsidRPr="00515D00">
              <w:rPr>
                <w:b/>
                <w:bCs/>
                <w:color w:val="000000"/>
                <w:sz w:val="16"/>
                <w:szCs w:val="16"/>
              </w:rPr>
              <w:t>RESULTADO:</w:t>
            </w:r>
            <w:r w:rsidRPr="00515D00">
              <w:rPr>
                <w:bCs/>
                <w:sz w:val="16"/>
                <w:szCs w:val="16"/>
              </w:rPr>
              <w:tab/>
              <w:t>III.2  Aumento de las capacidades en recursos humanos para hacer frente a la gran diversidad de exigencias que supone la utilización eficaz de la P.I. para fomentar el desarrollo en los países en desarrollo, PMA y países con economías en transición</w:t>
            </w:r>
          </w:p>
        </w:tc>
      </w:tr>
      <w:tr w:rsidR="003E311F" w:rsidRPr="00515D00" w:rsidTr="007A358B">
        <w:trPr>
          <w:cantSplit/>
          <w:trHeight w:val="402"/>
        </w:trPr>
        <w:tc>
          <w:tcPr>
            <w:tcW w:w="1842" w:type="dxa"/>
            <w:tcBorders>
              <w:top w:val="single" w:sz="4" w:space="0" w:color="000000"/>
              <w:left w:val="single" w:sz="4" w:space="0" w:color="000000"/>
              <w:bottom w:val="nil"/>
              <w:right w:val="nil"/>
            </w:tcBorders>
            <w:vAlign w:val="center"/>
            <w:hideMark/>
          </w:tcPr>
          <w:p w:rsidR="003E311F" w:rsidRPr="00515D00" w:rsidRDefault="003E311F" w:rsidP="007A358B">
            <w:pPr>
              <w:keepNext/>
              <w:keepLines/>
              <w:spacing w:before="60" w:after="60"/>
              <w:rPr>
                <w:b/>
                <w:bCs/>
                <w:sz w:val="16"/>
                <w:szCs w:val="16"/>
              </w:rPr>
            </w:pPr>
            <w:r w:rsidRPr="00515D00">
              <w:rPr>
                <w:b/>
                <w:bCs/>
                <w:sz w:val="16"/>
                <w:szCs w:val="16"/>
              </w:rPr>
              <w:t>Actividad</w:t>
            </w:r>
          </w:p>
        </w:tc>
        <w:tc>
          <w:tcPr>
            <w:tcW w:w="1134" w:type="dxa"/>
            <w:tcBorders>
              <w:top w:val="single" w:sz="4" w:space="0" w:color="000000"/>
              <w:left w:val="nil"/>
              <w:bottom w:val="nil"/>
              <w:right w:val="nil"/>
            </w:tcBorders>
            <w:vAlign w:val="center"/>
            <w:hideMark/>
          </w:tcPr>
          <w:p w:rsidR="003E311F" w:rsidRPr="00515D00" w:rsidRDefault="003E311F" w:rsidP="007A358B">
            <w:pPr>
              <w:keepNext/>
              <w:keepLines/>
              <w:spacing w:before="60" w:after="60"/>
              <w:rPr>
                <w:sz w:val="16"/>
                <w:szCs w:val="16"/>
              </w:rPr>
            </w:pPr>
            <w:r w:rsidRPr="00515D00">
              <w:rPr>
                <w:b/>
                <w:bCs/>
                <w:sz w:val="16"/>
                <w:szCs w:val="16"/>
              </w:rPr>
              <w:t>Fecha</w:t>
            </w:r>
          </w:p>
        </w:tc>
        <w:tc>
          <w:tcPr>
            <w:tcW w:w="1984" w:type="dxa"/>
            <w:tcBorders>
              <w:top w:val="single" w:sz="4" w:space="0" w:color="000000"/>
              <w:left w:val="nil"/>
              <w:bottom w:val="nil"/>
              <w:right w:val="nil"/>
            </w:tcBorders>
            <w:vAlign w:val="center"/>
            <w:hideMark/>
          </w:tcPr>
          <w:p w:rsidR="003E311F" w:rsidRPr="00515D00" w:rsidRDefault="003E311F" w:rsidP="007A358B">
            <w:pPr>
              <w:widowControl w:val="0"/>
              <w:rPr>
                <w:sz w:val="16"/>
                <w:szCs w:val="16"/>
              </w:rPr>
            </w:pPr>
            <w:r w:rsidRPr="00515D00">
              <w:rPr>
                <w:b/>
                <w:sz w:val="16"/>
                <w:szCs w:val="16"/>
              </w:rPr>
              <w:t>País anfitrión / Beneficiarios</w:t>
            </w:r>
          </w:p>
        </w:tc>
        <w:tc>
          <w:tcPr>
            <w:tcW w:w="4680" w:type="dxa"/>
            <w:tcBorders>
              <w:top w:val="single" w:sz="4" w:space="0" w:color="000000"/>
              <w:left w:val="nil"/>
              <w:bottom w:val="nil"/>
              <w:right w:val="single" w:sz="4" w:space="0" w:color="000000"/>
            </w:tcBorders>
            <w:vAlign w:val="center"/>
            <w:hideMark/>
          </w:tcPr>
          <w:p w:rsidR="003E311F" w:rsidRPr="00515D00" w:rsidRDefault="003E311F" w:rsidP="007A358B">
            <w:pPr>
              <w:widowControl w:val="0"/>
              <w:rPr>
                <w:sz w:val="16"/>
                <w:szCs w:val="16"/>
              </w:rPr>
            </w:pPr>
            <w:r w:rsidRPr="00515D00">
              <w:rPr>
                <w:b/>
                <w:sz w:val="16"/>
                <w:szCs w:val="16"/>
              </w:rPr>
              <w:t>Propósito(s)/Descripción</w:t>
            </w:r>
          </w:p>
        </w:tc>
      </w:tr>
      <w:tr w:rsidR="003E311F" w:rsidRPr="00057B87" w:rsidTr="007A358B">
        <w:trPr>
          <w:cantSplit/>
          <w:trHeight w:val="315"/>
        </w:trPr>
        <w:tc>
          <w:tcPr>
            <w:tcW w:w="1842" w:type="dxa"/>
            <w:tcBorders>
              <w:top w:val="nil"/>
              <w:left w:val="single" w:sz="4" w:space="0" w:color="000000"/>
              <w:bottom w:val="single" w:sz="4" w:space="0" w:color="auto"/>
              <w:right w:val="nil"/>
            </w:tcBorders>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Programa de formación para negociadores de desarrollo de tecnología</w:t>
            </w:r>
          </w:p>
        </w:tc>
        <w:tc>
          <w:tcPr>
            <w:tcW w:w="1134" w:type="dxa"/>
            <w:tcBorders>
              <w:top w:val="nil"/>
              <w:left w:val="nil"/>
              <w:bottom w:val="single" w:sz="4" w:space="0" w:color="auto"/>
              <w:right w:val="nil"/>
            </w:tcBorders>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19 a 30 de octubre de 2015</w:t>
            </w:r>
          </w:p>
        </w:tc>
        <w:tc>
          <w:tcPr>
            <w:tcW w:w="1984" w:type="dxa"/>
            <w:tcBorders>
              <w:top w:val="nil"/>
              <w:left w:val="nil"/>
              <w:bottom w:val="single" w:sz="4" w:space="0" w:color="auto"/>
              <w:right w:val="nil"/>
            </w:tcBorders>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Brasil</w:t>
            </w:r>
          </w:p>
        </w:tc>
        <w:tc>
          <w:tcPr>
            <w:tcW w:w="4680" w:type="dxa"/>
            <w:tcBorders>
              <w:top w:val="nil"/>
              <w:left w:val="nil"/>
              <w:bottom w:val="single" w:sz="4" w:space="0" w:color="auto"/>
              <w:right w:val="single" w:sz="4" w:space="0" w:color="000000"/>
            </w:tcBorders>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Promover la formación de 28 profesionales en el ámbito de la gestión y la negociación de procesos de colaboración, centrándose en particular e las disposiciones relacionadas con la P.I. para el establecimiento de acuerdos de desarrollo de tecnología.</w:t>
            </w:r>
          </w:p>
        </w:tc>
      </w:tr>
    </w:tbl>
    <w:p w:rsidR="003E311F" w:rsidRPr="007329AC" w:rsidRDefault="003E311F" w:rsidP="003E311F">
      <w:pPr>
        <w:rPr>
          <w:sz w:val="20"/>
        </w:rPr>
      </w:pPr>
    </w:p>
    <w:p w:rsidR="003E311F" w:rsidRPr="007329AC" w:rsidRDefault="003E311F" w:rsidP="003E311F">
      <w:pPr>
        <w:rPr>
          <w:sz w:val="20"/>
        </w:rPr>
      </w:pPr>
    </w:p>
    <w:p w:rsidR="003E311F" w:rsidRPr="007329AC" w:rsidRDefault="003E311F" w:rsidP="003E311F">
      <w:pPr>
        <w:rPr>
          <w:b/>
          <w:bCs/>
          <w:color w:val="000000"/>
          <w:sz w:val="20"/>
        </w:rPr>
      </w:pPr>
      <w:r w:rsidRPr="007329AC">
        <w:rPr>
          <w:b/>
          <w:sz w:val="20"/>
        </w:rPr>
        <w:t>BRASIL</w:t>
      </w:r>
      <w:r w:rsidR="00123A02">
        <w:rPr>
          <w:b/>
          <w:sz w:val="20"/>
        </w:rPr>
        <w:t xml:space="preserve"> PNUD</w:t>
      </w:r>
      <w:r w:rsidRPr="007329AC">
        <w:rPr>
          <w:b/>
          <w:sz w:val="20"/>
        </w:rPr>
        <w:t xml:space="preserve"> - Contribuciones de donantes y gastos de </w:t>
      </w:r>
      <w:r w:rsidRPr="007329AC">
        <w:rPr>
          <w:b/>
          <w:bCs/>
          <w:color w:val="000000"/>
          <w:sz w:val="20"/>
        </w:rPr>
        <w:t>2015</w:t>
      </w:r>
    </w:p>
    <w:p w:rsidR="003E311F" w:rsidRPr="007329AC" w:rsidRDefault="003E311F" w:rsidP="003E311F">
      <w:pPr>
        <w:rPr>
          <w:sz w:val="20"/>
        </w:rPr>
      </w:pPr>
    </w:p>
    <w:tbl>
      <w:tblPr>
        <w:tblW w:w="9650" w:type="dxa"/>
        <w:tblInd w:w="98" w:type="dxa"/>
        <w:tblLook w:val="04A0" w:firstRow="1" w:lastRow="0" w:firstColumn="1" w:lastColumn="0" w:noHBand="0" w:noVBand="1"/>
      </w:tblPr>
      <w:tblGrid>
        <w:gridCol w:w="2040"/>
        <w:gridCol w:w="1640"/>
        <w:gridCol w:w="2001"/>
        <w:gridCol w:w="1639"/>
        <w:gridCol w:w="2330"/>
      </w:tblGrid>
      <w:tr w:rsidR="003E311F" w:rsidRPr="00515D00" w:rsidTr="007A358B">
        <w:trPr>
          <w:trHeight w:val="450"/>
        </w:trPr>
        <w:tc>
          <w:tcPr>
            <w:tcW w:w="2040" w:type="dxa"/>
            <w:tcBorders>
              <w:top w:val="single" w:sz="8" w:space="0" w:color="auto"/>
              <w:left w:val="single" w:sz="8" w:space="0" w:color="auto"/>
              <w:bottom w:val="nil"/>
              <w:right w:val="single" w:sz="8" w:space="0" w:color="auto"/>
            </w:tcBorders>
            <w:shd w:val="clear" w:color="000000" w:fill="C5D9F1"/>
            <w:vAlign w:val="center"/>
            <w:hideMark/>
          </w:tcPr>
          <w:p w:rsidR="003E311F" w:rsidRPr="00515D00" w:rsidRDefault="005C708A" w:rsidP="005C708A">
            <w:pPr>
              <w:jc w:val="center"/>
              <w:rPr>
                <w:b/>
                <w:bCs/>
                <w:color w:val="000000"/>
                <w:sz w:val="16"/>
                <w:szCs w:val="16"/>
              </w:rPr>
            </w:pPr>
            <w:r>
              <w:rPr>
                <w:b/>
                <w:bCs/>
                <w:sz w:val="16"/>
                <w:szCs w:val="16"/>
              </w:rPr>
              <w:t>Saldo el</w:t>
            </w:r>
            <w:r w:rsidR="003E311F" w:rsidRPr="00515D00">
              <w:rPr>
                <w:b/>
                <w:bCs/>
                <w:sz w:val="16"/>
                <w:szCs w:val="16"/>
              </w:rPr>
              <w:t xml:space="preserve"> 31 de diciembre de </w:t>
            </w:r>
            <w:r w:rsidR="003E311F" w:rsidRPr="00515D00">
              <w:rPr>
                <w:b/>
                <w:bCs/>
                <w:color w:val="000000"/>
                <w:sz w:val="16"/>
                <w:szCs w:val="16"/>
              </w:rPr>
              <w:t>2014</w:t>
            </w:r>
          </w:p>
        </w:tc>
        <w:tc>
          <w:tcPr>
            <w:tcW w:w="1640" w:type="dxa"/>
            <w:tcBorders>
              <w:top w:val="single" w:sz="8" w:space="0" w:color="auto"/>
              <w:left w:val="nil"/>
              <w:bottom w:val="nil"/>
              <w:right w:val="single" w:sz="8" w:space="0" w:color="auto"/>
            </w:tcBorders>
            <w:shd w:val="clear" w:color="000000" w:fill="C5D9F1"/>
            <w:vAlign w:val="center"/>
            <w:hideMark/>
          </w:tcPr>
          <w:p w:rsidR="003E311F" w:rsidRPr="00515D00" w:rsidRDefault="003E311F" w:rsidP="007A358B">
            <w:pPr>
              <w:jc w:val="center"/>
              <w:rPr>
                <w:b/>
                <w:bCs/>
                <w:color w:val="000000"/>
                <w:sz w:val="16"/>
                <w:szCs w:val="16"/>
              </w:rPr>
            </w:pPr>
            <w:r w:rsidRPr="00515D00">
              <w:rPr>
                <w:b/>
                <w:bCs/>
                <w:sz w:val="16"/>
                <w:szCs w:val="16"/>
              </w:rPr>
              <w:t xml:space="preserve">Ingresos en </w:t>
            </w:r>
            <w:r w:rsidRPr="00515D00">
              <w:rPr>
                <w:b/>
                <w:bCs/>
                <w:color w:val="000000"/>
                <w:sz w:val="16"/>
                <w:szCs w:val="16"/>
              </w:rPr>
              <w:t>2015</w:t>
            </w:r>
          </w:p>
        </w:tc>
        <w:tc>
          <w:tcPr>
            <w:tcW w:w="2001" w:type="dxa"/>
            <w:tcBorders>
              <w:top w:val="single" w:sz="8" w:space="0" w:color="auto"/>
              <w:left w:val="nil"/>
              <w:bottom w:val="nil"/>
              <w:right w:val="single" w:sz="8" w:space="0" w:color="auto"/>
            </w:tcBorders>
            <w:shd w:val="clear" w:color="000000" w:fill="C5D9F1"/>
            <w:vAlign w:val="center"/>
            <w:hideMark/>
          </w:tcPr>
          <w:p w:rsidR="003E311F" w:rsidRPr="00515D00" w:rsidRDefault="003E311F" w:rsidP="007A358B">
            <w:pPr>
              <w:jc w:val="center"/>
              <w:rPr>
                <w:b/>
                <w:bCs/>
                <w:color w:val="000000"/>
                <w:sz w:val="16"/>
                <w:szCs w:val="16"/>
              </w:rPr>
            </w:pPr>
            <w:r w:rsidRPr="00515D00">
              <w:rPr>
                <w:b/>
                <w:bCs/>
                <w:sz w:val="16"/>
                <w:szCs w:val="16"/>
              </w:rPr>
              <w:t xml:space="preserve">Gastos en </w:t>
            </w:r>
            <w:r w:rsidRPr="00515D00">
              <w:rPr>
                <w:b/>
                <w:bCs/>
                <w:color w:val="000000"/>
                <w:sz w:val="16"/>
                <w:szCs w:val="16"/>
              </w:rPr>
              <w:t>2015</w:t>
            </w:r>
          </w:p>
        </w:tc>
        <w:tc>
          <w:tcPr>
            <w:tcW w:w="1639" w:type="dxa"/>
            <w:tcBorders>
              <w:top w:val="single" w:sz="8" w:space="0" w:color="auto"/>
              <w:left w:val="nil"/>
              <w:bottom w:val="nil"/>
              <w:right w:val="single" w:sz="8" w:space="0" w:color="auto"/>
            </w:tcBorders>
            <w:shd w:val="clear" w:color="000000" w:fill="C5D9F1"/>
            <w:vAlign w:val="center"/>
            <w:hideMark/>
          </w:tcPr>
          <w:p w:rsidR="003E311F" w:rsidRPr="00515D00" w:rsidRDefault="003E311F" w:rsidP="007A358B">
            <w:pPr>
              <w:jc w:val="center"/>
              <w:rPr>
                <w:b/>
                <w:bCs/>
                <w:color w:val="000000"/>
                <w:sz w:val="16"/>
                <w:szCs w:val="16"/>
              </w:rPr>
            </w:pPr>
            <w:r w:rsidRPr="00515D00">
              <w:rPr>
                <w:b/>
                <w:bCs/>
                <w:sz w:val="16"/>
                <w:szCs w:val="16"/>
              </w:rPr>
              <w:t>Reembolsos</w:t>
            </w:r>
          </w:p>
        </w:tc>
        <w:tc>
          <w:tcPr>
            <w:tcW w:w="2330" w:type="dxa"/>
            <w:tcBorders>
              <w:top w:val="single" w:sz="8" w:space="0" w:color="auto"/>
              <w:left w:val="nil"/>
              <w:bottom w:val="nil"/>
              <w:right w:val="single" w:sz="8" w:space="0" w:color="auto"/>
            </w:tcBorders>
            <w:shd w:val="clear" w:color="000000" w:fill="C5D9F1"/>
            <w:vAlign w:val="center"/>
            <w:hideMark/>
          </w:tcPr>
          <w:p w:rsidR="003E311F" w:rsidRPr="00515D00" w:rsidRDefault="005C708A" w:rsidP="005C708A">
            <w:pPr>
              <w:jc w:val="center"/>
              <w:rPr>
                <w:b/>
                <w:bCs/>
                <w:color w:val="000000"/>
                <w:sz w:val="16"/>
                <w:szCs w:val="16"/>
              </w:rPr>
            </w:pPr>
            <w:r>
              <w:rPr>
                <w:b/>
                <w:bCs/>
                <w:sz w:val="16"/>
                <w:szCs w:val="16"/>
              </w:rPr>
              <w:t>Saldo el</w:t>
            </w:r>
            <w:r w:rsidR="003E311F" w:rsidRPr="00515D00">
              <w:rPr>
                <w:b/>
                <w:bCs/>
                <w:sz w:val="16"/>
                <w:szCs w:val="16"/>
              </w:rPr>
              <w:t xml:space="preserve"> 31 de diciembre de </w:t>
            </w:r>
            <w:r w:rsidR="003E311F" w:rsidRPr="00515D00">
              <w:rPr>
                <w:b/>
                <w:bCs/>
                <w:color w:val="000000"/>
                <w:sz w:val="16"/>
                <w:szCs w:val="16"/>
              </w:rPr>
              <w:t>2015</w:t>
            </w:r>
          </w:p>
        </w:tc>
      </w:tr>
      <w:tr w:rsidR="003E311F" w:rsidRPr="00515D00" w:rsidTr="007A358B">
        <w:trPr>
          <w:trHeight w:val="255"/>
        </w:trPr>
        <w:tc>
          <w:tcPr>
            <w:tcW w:w="2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311F" w:rsidRPr="00515D00" w:rsidRDefault="003E311F" w:rsidP="007A358B">
            <w:pPr>
              <w:jc w:val="center"/>
              <w:rPr>
                <w:color w:val="000000"/>
                <w:sz w:val="16"/>
                <w:szCs w:val="16"/>
              </w:rPr>
            </w:pPr>
            <w:r w:rsidRPr="00515D00">
              <w:rPr>
                <w:color w:val="000000"/>
                <w:sz w:val="16"/>
                <w:szCs w:val="16"/>
              </w:rPr>
              <w:t>-</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3E311F" w:rsidRPr="00515D00" w:rsidRDefault="003E311F" w:rsidP="007A358B">
            <w:pPr>
              <w:jc w:val="center"/>
              <w:rPr>
                <w:color w:val="000000"/>
                <w:sz w:val="16"/>
                <w:szCs w:val="16"/>
              </w:rPr>
            </w:pPr>
            <w:r w:rsidRPr="00515D00">
              <w:rPr>
                <w:color w:val="000000"/>
                <w:sz w:val="16"/>
                <w:szCs w:val="16"/>
              </w:rPr>
              <w:t>39.489</w:t>
            </w:r>
          </w:p>
        </w:tc>
        <w:tc>
          <w:tcPr>
            <w:tcW w:w="2001" w:type="dxa"/>
            <w:tcBorders>
              <w:top w:val="single" w:sz="4" w:space="0" w:color="auto"/>
              <w:left w:val="nil"/>
              <w:bottom w:val="single" w:sz="4" w:space="0" w:color="auto"/>
              <w:right w:val="single" w:sz="4" w:space="0" w:color="auto"/>
            </w:tcBorders>
            <w:shd w:val="clear" w:color="auto" w:fill="auto"/>
            <w:vAlign w:val="center"/>
            <w:hideMark/>
          </w:tcPr>
          <w:p w:rsidR="003E311F" w:rsidRPr="00515D00" w:rsidRDefault="003E311F" w:rsidP="007A358B">
            <w:pPr>
              <w:jc w:val="center"/>
              <w:rPr>
                <w:color w:val="000000"/>
                <w:sz w:val="16"/>
                <w:szCs w:val="16"/>
              </w:rPr>
            </w:pPr>
            <w:r w:rsidRPr="00515D00">
              <w:rPr>
                <w:color w:val="000000"/>
                <w:sz w:val="16"/>
                <w:szCs w:val="16"/>
              </w:rPr>
              <w:t>39.489</w:t>
            </w:r>
          </w:p>
        </w:tc>
        <w:tc>
          <w:tcPr>
            <w:tcW w:w="1639" w:type="dxa"/>
            <w:tcBorders>
              <w:top w:val="single" w:sz="4" w:space="0" w:color="auto"/>
              <w:left w:val="nil"/>
              <w:bottom w:val="single" w:sz="4" w:space="0" w:color="auto"/>
              <w:right w:val="single" w:sz="4" w:space="0" w:color="auto"/>
            </w:tcBorders>
            <w:shd w:val="clear" w:color="auto" w:fill="auto"/>
            <w:noWrap/>
            <w:vAlign w:val="center"/>
            <w:hideMark/>
          </w:tcPr>
          <w:p w:rsidR="003E311F" w:rsidRPr="00515D00" w:rsidRDefault="003E311F" w:rsidP="007A358B">
            <w:pPr>
              <w:jc w:val="center"/>
              <w:rPr>
                <w:color w:val="000000"/>
                <w:sz w:val="16"/>
                <w:szCs w:val="16"/>
              </w:rPr>
            </w:pPr>
            <w:r w:rsidRPr="00515D00">
              <w:rPr>
                <w:color w:val="000000"/>
                <w:sz w:val="16"/>
                <w:szCs w:val="16"/>
              </w:rPr>
              <w:t>-</w:t>
            </w:r>
          </w:p>
        </w:tc>
        <w:tc>
          <w:tcPr>
            <w:tcW w:w="2330" w:type="dxa"/>
            <w:tcBorders>
              <w:top w:val="single" w:sz="4" w:space="0" w:color="auto"/>
              <w:left w:val="nil"/>
              <w:bottom w:val="single" w:sz="4" w:space="0" w:color="auto"/>
              <w:right w:val="single" w:sz="4" w:space="0" w:color="auto"/>
            </w:tcBorders>
            <w:shd w:val="clear" w:color="auto" w:fill="auto"/>
            <w:vAlign w:val="center"/>
            <w:hideMark/>
          </w:tcPr>
          <w:p w:rsidR="003E311F" w:rsidRPr="00515D00" w:rsidRDefault="003E311F" w:rsidP="007A358B">
            <w:pPr>
              <w:jc w:val="center"/>
              <w:rPr>
                <w:color w:val="000000"/>
                <w:sz w:val="16"/>
                <w:szCs w:val="16"/>
              </w:rPr>
            </w:pPr>
            <w:r w:rsidRPr="00515D00">
              <w:rPr>
                <w:color w:val="000000"/>
                <w:sz w:val="16"/>
                <w:szCs w:val="16"/>
              </w:rPr>
              <w:t>-</w:t>
            </w:r>
          </w:p>
        </w:tc>
      </w:tr>
    </w:tbl>
    <w:p w:rsidR="003E311F" w:rsidRPr="007329AC" w:rsidRDefault="003E311F" w:rsidP="003E311F">
      <w:pPr>
        <w:rPr>
          <w:sz w:val="20"/>
        </w:rPr>
      </w:pPr>
    </w:p>
    <w:p w:rsidR="003E311F" w:rsidRPr="007329AC" w:rsidRDefault="003E311F" w:rsidP="003E311F">
      <w:pPr>
        <w:rPr>
          <w:sz w:val="20"/>
        </w:rPr>
      </w:pPr>
    </w:p>
    <w:p w:rsidR="003E311F" w:rsidRPr="007329AC" w:rsidRDefault="003E311F" w:rsidP="00386789">
      <w:pPr>
        <w:keepNext/>
        <w:keepLines/>
        <w:tabs>
          <w:tab w:val="left" w:pos="0"/>
          <w:tab w:val="left" w:pos="9071"/>
        </w:tabs>
        <w:rPr>
          <w:b/>
          <w:sz w:val="20"/>
        </w:rPr>
      </w:pPr>
      <w:r w:rsidRPr="007329AC">
        <w:rPr>
          <w:b/>
          <w:sz w:val="20"/>
        </w:rPr>
        <w:lastRenderedPageBreak/>
        <w:t>UNIÓN EUROPEA (Proyecto Pakistán)</w:t>
      </w:r>
    </w:p>
    <w:p w:rsidR="003E311F" w:rsidRPr="007329AC" w:rsidRDefault="003E311F" w:rsidP="00386789">
      <w:pPr>
        <w:keepNext/>
        <w:keepLines/>
        <w:tabs>
          <w:tab w:val="left" w:pos="0"/>
          <w:tab w:val="left" w:pos="9071"/>
        </w:tabs>
        <w:rPr>
          <w:b/>
          <w:sz w:val="20"/>
        </w:rPr>
      </w:pPr>
    </w:p>
    <w:tbl>
      <w:tblPr>
        <w:tblW w:w="9640" w:type="dxa"/>
        <w:tblInd w:w="10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43"/>
        <w:gridCol w:w="1134"/>
        <w:gridCol w:w="1985"/>
        <w:gridCol w:w="4678"/>
      </w:tblGrid>
      <w:tr w:rsidR="003E311F" w:rsidRPr="00057B87" w:rsidTr="007A358B">
        <w:trPr>
          <w:cantSplit/>
        </w:trPr>
        <w:tc>
          <w:tcPr>
            <w:tcW w:w="9640" w:type="dxa"/>
            <w:gridSpan w:val="4"/>
            <w:tcBorders>
              <w:top w:val="single" w:sz="4" w:space="0" w:color="000000"/>
              <w:bottom w:val="single" w:sz="4" w:space="0" w:color="000000"/>
            </w:tcBorders>
            <w:shd w:val="clear" w:color="auto" w:fill="C6D9F1" w:themeFill="text2" w:themeFillTint="33"/>
            <w:vAlign w:val="center"/>
          </w:tcPr>
          <w:p w:rsidR="003E311F" w:rsidRPr="00515D00" w:rsidRDefault="003E311F" w:rsidP="00386789">
            <w:pPr>
              <w:keepNext/>
              <w:keepLines/>
              <w:tabs>
                <w:tab w:val="left" w:pos="1740"/>
              </w:tabs>
              <w:spacing w:before="120" w:after="120"/>
              <w:ind w:left="1740" w:hanging="1740"/>
              <w:rPr>
                <w:b/>
                <w:bCs/>
                <w:sz w:val="16"/>
                <w:szCs w:val="16"/>
              </w:rPr>
            </w:pPr>
            <w:r w:rsidRPr="00515D00">
              <w:rPr>
                <w:b/>
                <w:bCs/>
                <w:color w:val="000000"/>
                <w:sz w:val="16"/>
                <w:szCs w:val="16"/>
              </w:rPr>
              <w:t>RESULTADO:</w:t>
            </w:r>
            <w:r w:rsidRPr="00515D00">
              <w:rPr>
                <w:b/>
                <w:bCs/>
                <w:sz w:val="16"/>
                <w:szCs w:val="16"/>
              </w:rPr>
              <w:tab/>
            </w:r>
            <w:r w:rsidRPr="00515D00">
              <w:rPr>
                <w:rFonts w:eastAsia="MS Mincho"/>
                <w:bCs/>
                <w:color w:val="000000"/>
                <w:sz w:val="16"/>
                <w:szCs w:val="16"/>
                <w:lang w:eastAsia="ja-JP" w:bidi="th-TH"/>
              </w:rPr>
              <w:t xml:space="preserve">I.2  </w:t>
            </w:r>
            <w:r w:rsidRPr="00515D00">
              <w:rPr>
                <w:rFonts w:eastAsia="MS Mincho"/>
                <w:bCs/>
                <w:sz w:val="16"/>
                <w:szCs w:val="16"/>
                <w:lang w:eastAsia="ja-JP" w:bidi="th-TH"/>
              </w:rPr>
              <w:t>Marcos de P.I. adaptados y equilibrados en el ámbito legislativo, reglamentario y de política</w:t>
            </w:r>
          </w:p>
        </w:tc>
      </w:tr>
      <w:tr w:rsidR="003E311F" w:rsidRPr="00515D00" w:rsidTr="007A358B">
        <w:trPr>
          <w:cantSplit/>
          <w:trHeight w:val="500"/>
        </w:trPr>
        <w:tc>
          <w:tcPr>
            <w:tcW w:w="1843" w:type="dxa"/>
            <w:tcBorders>
              <w:top w:val="single" w:sz="4" w:space="0" w:color="000000"/>
            </w:tcBorders>
            <w:vAlign w:val="center"/>
          </w:tcPr>
          <w:p w:rsidR="003E311F" w:rsidRPr="00515D00" w:rsidRDefault="003E311F" w:rsidP="007A358B">
            <w:pPr>
              <w:keepNext/>
              <w:keepLines/>
              <w:spacing w:before="60" w:after="60"/>
              <w:rPr>
                <w:b/>
                <w:bCs/>
                <w:sz w:val="16"/>
                <w:szCs w:val="16"/>
              </w:rPr>
            </w:pPr>
            <w:r w:rsidRPr="00515D00">
              <w:rPr>
                <w:b/>
                <w:bCs/>
                <w:sz w:val="16"/>
                <w:szCs w:val="16"/>
              </w:rPr>
              <w:t>Actividad</w:t>
            </w:r>
          </w:p>
        </w:tc>
        <w:tc>
          <w:tcPr>
            <w:tcW w:w="1134" w:type="dxa"/>
            <w:tcBorders>
              <w:top w:val="single" w:sz="4" w:space="0" w:color="000000"/>
            </w:tcBorders>
            <w:shd w:val="clear" w:color="auto" w:fill="auto"/>
            <w:tcMar>
              <w:top w:w="110" w:type="dxa"/>
            </w:tcMar>
            <w:vAlign w:val="center"/>
          </w:tcPr>
          <w:p w:rsidR="003E311F" w:rsidRPr="00515D00" w:rsidRDefault="003E311F" w:rsidP="007A358B">
            <w:pPr>
              <w:keepNext/>
              <w:keepLines/>
              <w:spacing w:before="60" w:after="60"/>
              <w:rPr>
                <w:sz w:val="16"/>
                <w:szCs w:val="16"/>
              </w:rPr>
            </w:pPr>
            <w:r w:rsidRPr="00515D00">
              <w:rPr>
                <w:b/>
                <w:bCs/>
                <w:sz w:val="16"/>
                <w:szCs w:val="16"/>
              </w:rPr>
              <w:t>Fecha</w:t>
            </w:r>
          </w:p>
        </w:tc>
        <w:tc>
          <w:tcPr>
            <w:tcW w:w="1985" w:type="dxa"/>
            <w:tcBorders>
              <w:top w:val="single" w:sz="4" w:space="0" w:color="000000"/>
            </w:tcBorders>
            <w:shd w:val="clear" w:color="auto" w:fill="auto"/>
            <w:tcMar>
              <w:top w:w="110" w:type="dxa"/>
            </w:tcMar>
            <w:vAlign w:val="center"/>
          </w:tcPr>
          <w:p w:rsidR="003E311F" w:rsidRPr="00515D00" w:rsidRDefault="003E311F" w:rsidP="007A358B">
            <w:pPr>
              <w:widowControl w:val="0"/>
              <w:rPr>
                <w:sz w:val="16"/>
                <w:szCs w:val="16"/>
              </w:rPr>
            </w:pPr>
            <w:r w:rsidRPr="00515D00">
              <w:rPr>
                <w:b/>
                <w:sz w:val="16"/>
                <w:szCs w:val="16"/>
              </w:rPr>
              <w:t>País anfitrión / Beneficiarios</w:t>
            </w:r>
          </w:p>
        </w:tc>
        <w:tc>
          <w:tcPr>
            <w:tcW w:w="4678" w:type="dxa"/>
            <w:tcBorders>
              <w:top w:val="single" w:sz="4" w:space="0" w:color="000000"/>
            </w:tcBorders>
            <w:shd w:val="clear" w:color="auto" w:fill="FFFFFF"/>
            <w:tcMar>
              <w:top w:w="110" w:type="dxa"/>
            </w:tcMar>
            <w:vAlign w:val="center"/>
          </w:tcPr>
          <w:p w:rsidR="003E311F" w:rsidRPr="00515D00" w:rsidRDefault="003E311F" w:rsidP="007A358B">
            <w:pPr>
              <w:widowControl w:val="0"/>
              <w:rPr>
                <w:sz w:val="16"/>
                <w:szCs w:val="16"/>
              </w:rPr>
            </w:pPr>
            <w:r w:rsidRPr="00515D00">
              <w:rPr>
                <w:b/>
                <w:sz w:val="16"/>
                <w:szCs w:val="16"/>
              </w:rPr>
              <w:t>Propósito(s)/Descripción</w:t>
            </w:r>
          </w:p>
        </w:tc>
      </w:tr>
      <w:tr w:rsidR="003E311F" w:rsidRPr="00057B87" w:rsidTr="007A358B">
        <w:trPr>
          <w:cantSplit/>
          <w:trHeight w:val="464"/>
        </w:trPr>
        <w:tc>
          <w:tcPr>
            <w:tcW w:w="1843" w:type="dxa"/>
          </w:tcPr>
          <w:p w:rsidR="003E311F" w:rsidRPr="00515D00" w:rsidRDefault="003E311F" w:rsidP="007A358B">
            <w:pPr>
              <w:spacing w:before="60" w:after="60"/>
              <w:rPr>
                <w:bCs/>
                <w:sz w:val="16"/>
                <w:szCs w:val="16"/>
              </w:rPr>
            </w:pPr>
            <w:r w:rsidRPr="00515D00">
              <w:rPr>
                <w:bCs/>
                <w:sz w:val="16"/>
                <w:szCs w:val="16"/>
              </w:rPr>
              <w:t>Mesa redonda sobre el desarrollo de una estrategia nacional de P.I.</w:t>
            </w:r>
          </w:p>
        </w:tc>
        <w:tc>
          <w:tcPr>
            <w:tcW w:w="1134" w:type="dxa"/>
          </w:tcPr>
          <w:p w:rsidR="003E311F" w:rsidRPr="00515D00" w:rsidRDefault="003E311F" w:rsidP="007A358B">
            <w:pPr>
              <w:spacing w:before="60" w:after="60"/>
              <w:rPr>
                <w:bCs/>
                <w:sz w:val="16"/>
                <w:szCs w:val="16"/>
              </w:rPr>
            </w:pPr>
            <w:r w:rsidRPr="00515D00">
              <w:rPr>
                <w:bCs/>
                <w:sz w:val="16"/>
                <w:szCs w:val="16"/>
              </w:rPr>
              <w:t>23 a 24 de abril de 2015</w:t>
            </w:r>
          </w:p>
        </w:tc>
        <w:tc>
          <w:tcPr>
            <w:tcW w:w="1985" w:type="dxa"/>
          </w:tcPr>
          <w:p w:rsidR="003E311F" w:rsidRPr="00515D00" w:rsidRDefault="003E311F" w:rsidP="007A358B">
            <w:pPr>
              <w:spacing w:before="60" w:after="60"/>
              <w:rPr>
                <w:bCs/>
                <w:sz w:val="16"/>
                <w:szCs w:val="16"/>
              </w:rPr>
            </w:pPr>
            <w:r w:rsidRPr="00515D00">
              <w:rPr>
                <w:bCs/>
                <w:sz w:val="16"/>
                <w:szCs w:val="16"/>
              </w:rPr>
              <w:t>Pakistán/ 53 participantes</w:t>
            </w:r>
          </w:p>
        </w:tc>
        <w:tc>
          <w:tcPr>
            <w:tcW w:w="4678" w:type="dxa"/>
          </w:tcPr>
          <w:p w:rsidR="003E311F" w:rsidRPr="00515D00" w:rsidRDefault="003E311F" w:rsidP="007A358B">
            <w:pPr>
              <w:spacing w:before="60" w:after="60"/>
              <w:rPr>
                <w:b/>
                <w:bCs/>
                <w:sz w:val="16"/>
                <w:szCs w:val="16"/>
              </w:rPr>
            </w:pPr>
            <w:r w:rsidRPr="00515D00">
              <w:rPr>
                <w:sz w:val="16"/>
                <w:szCs w:val="16"/>
              </w:rPr>
              <w:t>i) Examinar los objetivos generales y los elementos esenciales de las estrategias de P.I.;  ii) debatir posibles conexiones entre la estrategia nacional de P.I. y las principales esferas normativas (por ejemplo, el comercio, la innovación, la salud);  iii) intercambiar opiniones sobre metodologías para formular y aplicar estrategias de P.I.;  y iv) señalar medidas que pueden adoptar las autoridades para desarrollar una estrategia nacional de P.I.</w:t>
            </w:r>
          </w:p>
        </w:tc>
      </w:tr>
      <w:tr w:rsidR="003E311F" w:rsidRPr="00057B87" w:rsidTr="007A358B">
        <w:trPr>
          <w:cantSplit/>
          <w:trHeight w:val="315"/>
        </w:trPr>
        <w:tc>
          <w:tcPr>
            <w:tcW w:w="9640" w:type="dxa"/>
            <w:gridSpan w:val="4"/>
            <w:tcBorders>
              <w:top w:val="single" w:sz="4" w:space="0" w:color="000000"/>
              <w:bottom w:val="single" w:sz="4" w:space="0" w:color="auto"/>
            </w:tcBorders>
            <w:shd w:val="clear" w:color="auto" w:fill="C6D9F1" w:themeFill="text2" w:themeFillTint="33"/>
          </w:tcPr>
          <w:p w:rsidR="003E311F" w:rsidRPr="00515D00" w:rsidRDefault="003E311F" w:rsidP="007A358B">
            <w:pPr>
              <w:keepNext/>
              <w:keepLines/>
              <w:tabs>
                <w:tab w:val="left" w:pos="1740"/>
              </w:tabs>
              <w:spacing w:before="120" w:after="120"/>
              <w:ind w:left="1740" w:hanging="1740"/>
              <w:rPr>
                <w:color w:val="000000"/>
                <w:sz w:val="16"/>
                <w:szCs w:val="16"/>
              </w:rPr>
            </w:pPr>
            <w:r w:rsidRPr="00515D00">
              <w:rPr>
                <w:b/>
                <w:bCs/>
                <w:color w:val="000000"/>
                <w:sz w:val="16"/>
                <w:szCs w:val="16"/>
                <w:shd w:val="clear" w:color="auto" w:fill="C6D9F1" w:themeFill="text2" w:themeFillTint="33"/>
              </w:rPr>
              <w:t>RESULTADO:</w:t>
            </w:r>
            <w:r w:rsidRPr="00515D00">
              <w:rPr>
                <w:bCs/>
                <w:sz w:val="16"/>
                <w:szCs w:val="16"/>
                <w:shd w:val="clear" w:color="auto" w:fill="C6D9F1" w:themeFill="text2" w:themeFillTint="33"/>
              </w:rPr>
              <w:tab/>
              <w:t xml:space="preserve">IV.4  </w:t>
            </w:r>
            <w:r w:rsidRPr="00515D00">
              <w:rPr>
                <w:bCs/>
                <w:sz w:val="16"/>
                <w:szCs w:val="16"/>
              </w:rPr>
              <w:t>Mejora en la infraestructura técnica y de conocimientos de las Oficinas y demás instituciones de P.I. que les permita prestar mejores servicios (más económicos, más rápidos y de mejor calidad) a sus partes interesadas</w:t>
            </w:r>
          </w:p>
        </w:tc>
      </w:tr>
      <w:tr w:rsidR="003E311F" w:rsidRPr="00515D00" w:rsidTr="007A358B">
        <w:trPr>
          <w:cantSplit/>
          <w:trHeight w:val="399"/>
        </w:trPr>
        <w:tc>
          <w:tcPr>
            <w:tcW w:w="1843" w:type="dxa"/>
            <w:tcBorders>
              <w:top w:val="single" w:sz="4" w:space="0" w:color="auto"/>
              <w:left w:val="single" w:sz="4" w:space="0" w:color="000000"/>
              <w:bottom w:val="nil"/>
            </w:tcBorders>
            <w:vAlign w:val="center"/>
          </w:tcPr>
          <w:p w:rsidR="003E311F" w:rsidRPr="00515D00" w:rsidRDefault="003E311F" w:rsidP="007A358B">
            <w:pPr>
              <w:keepNext/>
              <w:keepLines/>
              <w:spacing w:before="60" w:after="60"/>
              <w:rPr>
                <w:b/>
                <w:bCs/>
                <w:sz w:val="16"/>
                <w:szCs w:val="16"/>
              </w:rPr>
            </w:pPr>
            <w:r w:rsidRPr="00515D00">
              <w:rPr>
                <w:b/>
                <w:bCs/>
                <w:sz w:val="16"/>
                <w:szCs w:val="16"/>
              </w:rPr>
              <w:t>Actividad</w:t>
            </w:r>
          </w:p>
        </w:tc>
        <w:tc>
          <w:tcPr>
            <w:tcW w:w="1134" w:type="dxa"/>
            <w:tcBorders>
              <w:top w:val="single" w:sz="4" w:space="0" w:color="auto"/>
              <w:bottom w:val="nil"/>
            </w:tcBorders>
            <w:vAlign w:val="center"/>
          </w:tcPr>
          <w:p w:rsidR="003E311F" w:rsidRPr="00515D00" w:rsidRDefault="003E311F" w:rsidP="007A358B">
            <w:pPr>
              <w:spacing w:before="60" w:after="60"/>
              <w:rPr>
                <w:sz w:val="16"/>
                <w:szCs w:val="16"/>
              </w:rPr>
            </w:pPr>
            <w:r w:rsidRPr="00515D00">
              <w:rPr>
                <w:b/>
                <w:bCs/>
                <w:sz w:val="16"/>
                <w:szCs w:val="16"/>
              </w:rPr>
              <w:t>Fecha</w:t>
            </w:r>
          </w:p>
        </w:tc>
        <w:tc>
          <w:tcPr>
            <w:tcW w:w="1985" w:type="dxa"/>
            <w:tcBorders>
              <w:top w:val="single" w:sz="4" w:space="0" w:color="auto"/>
              <w:bottom w:val="nil"/>
            </w:tcBorders>
            <w:vAlign w:val="center"/>
          </w:tcPr>
          <w:p w:rsidR="003E311F" w:rsidRPr="00515D00" w:rsidRDefault="003E311F" w:rsidP="007A358B">
            <w:pPr>
              <w:spacing w:before="60" w:after="60"/>
              <w:rPr>
                <w:sz w:val="16"/>
                <w:szCs w:val="16"/>
              </w:rPr>
            </w:pPr>
            <w:r w:rsidRPr="00515D00">
              <w:rPr>
                <w:b/>
                <w:sz w:val="16"/>
                <w:szCs w:val="16"/>
              </w:rPr>
              <w:t>País anfitrión / Beneficiarios</w:t>
            </w:r>
          </w:p>
        </w:tc>
        <w:tc>
          <w:tcPr>
            <w:tcW w:w="4678" w:type="dxa"/>
            <w:tcBorders>
              <w:top w:val="single" w:sz="4" w:space="0" w:color="auto"/>
              <w:bottom w:val="nil"/>
              <w:right w:val="single" w:sz="4" w:space="0" w:color="000000"/>
            </w:tcBorders>
            <w:vAlign w:val="center"/>
          </w:tcPr>
          <w:p w:rsidR="003E311F" w:rsidRPr="00515D00" w:rsidRDefault="003E311F" w:rsidP="007A358B">
            <w:pPr>
              <w:spacing w:before="60" w:after="60"/>
              <w:rPr>
                <w:sz w:val="16"/>
                <w:szCs w:val="16"/>
              </w:rPr>
            </w:pPr>
            <w:r w:rsidRPr="00515D00">
              <w:rPr>
                <w:b/>
                <w:sz w:val="16"/>
                <w:szCs w:val="16"/>
              </w:rPr>
              <w:t>Propósito(s)/Descripción</w:t>
            </w:r>
          </w:p>
        </w:tc>
      </w:tr>
      <w:tr w:rsidR="003E311F" w:rsidRPr="00057B87" w:rsidTr="00DD6D33">
        <w:trPr>
          <w:cantSplit/>
          <w:trHeight w:val="315"/>
        </w:trPr>
        <w:tc>
          <w:tcPr>
            <w:tcW w:w="1843" w:type="dxa"/>
            <w:tcBorders>
              <w:top w:val="nil"/>
              <w:left w:val="single" w:sz="4" w:space="0" w:color="auto"/>
              <w:bottom w:val="nil"/>
            </w:tcBorders>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 xml:space="preserve">Elaboración </w:t>
            </w:r>
            <w:r w:rsidRPr="00515D00">
              <w:rPr>
                <w:sz w:val="16"/>
                <w:szCs w:val="16"/>
              </w:rPr>
              <w:t>del portal de Internet de la Oficina de la P.I. del Pakistán</w:t>
            </w:r>
            <w:r w:rsidRPr="00515D00">
              <w:rPr>
                <w:rStyle w:val="FootnoteReference"/>
                <w:color w:val="000000"/>
                <w:sz w:val="16"/>
                <w:szCs w:val="16"/>
              </w:rPr>
              <w:footnoteReference w:id="153"/>
            </w:r>
          </w:p>
        </w:tc>
        <w:tc>
          <w:tcPr>
            <w:tcW w:w="1134" w:type="dxa"/>
            <w:tcBorders>
              <w:top w:val="nil"/>
              <w:bottom w:val="nil"/>
            </w:tcBorders>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Enero a diciembre de 2015</w:t>
            </w:r>
          </w:p>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(En curso)</w:t>
            </w:r>
          </w:p>
        </w:tc>
        <w:tc>
          <w:tcPr>
            <w:tcW w:w="1985" w:type="dxa"/>
            <w:tcBorders>
              <w:top w:val="nil"/>
              <w:bottom w:val="nil"/>
            </w:tcBorders>
          </w:tcPr>
          <w:p w:rsidR="003E311F" w:rsidRPr="00515D00" w:rsidRDefault="00386789" w:rsidP="007A358B">
            <w:pPr>
              <w:autoSpaceDE w:val="0"/>
              <w:autoSpaceDN w:val="0"/>
              <w:adjustRightInd w:val="0"/>
              <w:spacing w:before="60" w:after="60"/>
              <w:rPr>
                <w:color w:val="000000"/>
                <w:sz w:val="16"/>
                <w:szCs w:val="16"/>
              </w:rPr>
            </w:pPr>
            <w:r>
              <w:rPr>
                <w:sz w:val="16"/>
                <w:szCs w:val="16"/>
              </w:rPr>
              <w:t>Pakistán</w:t>
            </w:r>
            <w:r w:rsidR="003E311F" w:rsidRPr="00515D00">
              <w:rPr>
                <w:sz w:val="16"/>
                <w:szCs w:val="16"/>
              </w:rPr>
              <w:t>/ Oficina de P.I. del Pakistán</w:t>
            </w:r>
          </w:p>
        </w:tc>
        <w:tc>
          <w:tcPr>
            <w:tcW w:w="4678" w:type="dxa"/>
            <w:tcBorders>
              <w:top w:val="nil"/>
              <w:bottom w:val="nil"/>
              <w:right w:val="single" w:sz="4" w:space="0" w:color="auto"/>
            </w:tcBorders>
          </w:tcPr>
          <w:p w:rsidR="003E311F" w:rsidRPr="00515D00" w:rsidRDefault="003E311F" w:rsidP="007A358B">
            <w:pPr>
              <w:autoSpaceDE w:val="0"/>
              <w:autoSpaceDN w:val="0"/>
              <w:adjustRightInd w:val="0"/>
              <w:spacing w:before="60" w:after="60"/>
              <w:rPr>
                <w:color w:val="000000"/>
                <w:sz w:val="16"/>
                <w:szCs w:val="16"/>
              </w:rPr>
            </w:pPr>
            <w:r w:rsidRPr="00515D00">
              <w:rPr>
                <w:sz w:val="16"/>
                <w:szCs w:val="16"/>
              </w:rPr>
              <w:t>Mejorar el sitio web de la Oficina de P.I. del Pakistán introduciendo nuevas funciones como:  i) el acceso en línea a la Gaceta de pat</w:t>
            </w:r>
            <w:r>
              <w:rPr>
                <w:sz w:val="16"/>
                <w:szCs w:val="16"/>
              </w:rPr>
              <w:t xml:space="preserve">entes y a los Diarios de marcas; </w:t>
            </w:r>
            <w:r w:rsidRPr="00515D00">
              <w:rPr>
                <w:sz w:val="16"/>
                <w:szCs w:val="16"/>
              </w:rPr>
              <w:t xml:space="preserve"> ii) el acceso en línea a la verificación de la situación de las</w:t>
            </w:r>
            <w:r>
              <w:rPr>
                <w:sz w:val="16"/>
                <w:szCs w:val="16"/>
              </w:rPr>
              <w:t xml:space="preserve"> solicitudes de títulos de P.I.; </w:t>
            </w:r>
            <w:r w:rsidRPr="00515D00">
              <w:rPr>
                <w:sz w:val="16"/>
                <w:szCs w:val="16"/>
              </w:rPr>
              <w:t xml:space="preserve"> iii) la búsqueda pública de bases de datos de P.I.</w:t>
            </w:r>
            <w:r>
              <w:rPr>
                <w:sz w:val="16"/>
                <w:szCs w:val="16"/>
              </w:rPr>
              <w:t xml:space="preserve">; </w:t>
            </w:r>
            <w:r w:rsidRPr="00515D00">
              <w:rPr>
                <w:sz w:val="16"/>
                <w:szCs w:val="16"/>
              </w:rPr>
              <w:t xml:space="preserve"> y iv) la puesta en marcha de una Intranet para las comunicaciones internas entre las Oficinas de P.I. del Pakistán en Karachi, Lahore e Islamabad.  </w:t>
            </w:r>
          </w:p>
        </w:tc>
      </w:tr>
      <w:tr w:rsidR="003E311F" w:rsidRPr="00057B87" w:rsidTr="00386789">
        <w:trPr>
          <w:cantSplit/>
          <w:trHeight w:val="315"/>
        </w:trPr>
        <w:tc>
          <w:tcPr>
            <w:tcW w:w="1843" w:type="dxa"/>
            <w:tcBorders>
              <w:top w:val="nil"/>
              <w:left w:val="single" w:sz="4" w:space="0" w:color="auto"/>
              <w:bottom w:val="nil"/>
            </w:tcBorders>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 xml:space="preserve">Adaptación de los programas informáticos para los </w:t>
            </w:r>
            <w:r>
              <w:rPr>
                <w:color w:val="000000"/>
                <w:sz w:val="16"/>
                <w:szCs w:val="16"/>
              </w:rPr>
              <w:t>recursos humanos</w:t>
            </w:r>
            <w:r w:rsidRPr="00515D00">
              <w:rPr>
                <w:color w:val="000000"/>
                <w:sz w:val="16"/>
                <w:szCs w:val="16"/>
              </w:rPr>
              <w:t xml:space="preserve"> y la gestión financiera </w:t>
            </w:r>
            <w:r>
              <w:rPr>
                <w:color w:val="000000"/>
                <w:sz w:val="16"/>
                <w:szCs w:val="16"/>
              </w:rPr>
              <w:t>a</w:t>
            </w:r>
            <w:r w:rsidRPr="00515D00">
              <w:rPr>
                <w:color w:val="000000"/>
                <w:sz w:val="16"/>
                <w:szCs w:val="16"/>
              </w:rPr>
              <w:t xml:space="preserve"> la </w:t>
            </w:r>
            <w:r w:rsidRPr="00515D00">
              <w:rPr>
                <w:sz w:val="16"/>
                <w:szCs w:val="16"/>
              </w:rPr>
              <w:t>Oficina de la P.I. del Pakistán</w:t>
            </w:r>
            <w:r w:rsidRPr="00515D00">
              <w:rPr>
                <w:rStyle w:val="FootnoteReference"/>
                <w:color w:val="000000"/>
                <w:sz w:val="16"/>
                <w:szCs w:val="16"/>
              </w:rPr>
              <w:footnoteReference w:id="154"/>
            </w:r>
          </w:p>
        </w:tc>
        <w:tc>
          <w:tcPr>
            <w:tcW w:w="1134" w:type="dxa"/>
            <w:tcBorders>
              <w:top w:val="nil"/>
              <w:bottom w:val="nil"/>
            </w:tcBorders>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Enero a diciembre de 2015</w:t>
            </w:r>
          </w:p>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(En curso)</w:t>
            </w:r>
          </w:p>
        </w:tc>
        <w:tc>
          <w:tcPr>
            <w:tcW w:w="1985" w:type="dxa"/>
            <w:tcBorders>
              <w:top w:val="nil"/>
              <w:bottom w:val="nil"/>
            </w:tcBorders>
          </w:tcPr>
          <w:p w:rsidR="003E311F" w:rsidRPr="00515D00" w:rsidRDefault="003E311F" w:rsidP="00386789">
            <w:pPr>
              <w:autoSpaceDE w:val="0"/>
              <w:autoSpaceDN w:val="0"/>
              <w:adjustRightInd w:val="0"/>
              <w:spacing w:before="60" w:after="60"/>
              <w:rPr>
                <w:color w:val="000000"/>
                <w:sz w:val="16"/>
                <w:szCs w:val="16"/>
              </w:rPr>
            </w:pPr>
            <w:r w:rsidRPr="00515D00">
              <w:rPr>
                <w:sz w:val="16"/>
                <w:szCs w:val="16"/>
              </w:rPr>
              <w:t>Pakistán/ Oficina de P.I. del Pakistán</w:t>
            </w:r>
          </w:p>
        </w:tc>
        <w:tc>
          <w:tcPr>
            <w:tcW w:w="4678" w:type="dxa"/>
            <w:tcBorders>
              <w:top w:val="nil"/>
              <w:bottom w:val="nil"/>
              <w:right w:val="single" w:sz="4" w:space="0" w:color="auto"/>
            </w:tcBorders>
          </w:tcPr>
          <w:p w:rsidR="003E311F" w:rsidRPr="00515D00" w:rsidRDefault="003E311F" w:rsidP="007A358B">
            <w:pPr>
              <w:autoSpaceDE w:val="0"/>
              <w:autoSpaceDN w:val="0"/>
              <w:adjustRightInd w:val="0"/>
              <w:spacing w:before="60" w:after="60"/>
              <w:rPr>
                <w:color w:val="000000"/>
                <w:sz w:val="16"/>
                <w:szCs w:val="16"/>
              </w:rPr>
            </w:pPr>
            <w:r w:rsidRPr="00515D00">
              <w:rPr>
                <w:sz w:val="16"/>
                <w:szCs w:val="16"/>
              </w:rPr>
              <w:t xml:space="preserve">Fomentar la capacidad de la Oficina de P.I. del Pakistán para prestar servicios introduciendo sistemas de automatización para ejecutar las funciones esenciales de gestión financiera y recursos humanos.  </w:t>
            </w:r>
          </w:p>
        </w:tc>
      </w:tr>
      <w:tr w:rsidR="003E311F" w:rsidRPr="00057B87" w:rsidTr="00386789">
        <w:trPr>
          <w:cantSplit/>
          <w:trHeight w:val="1620"/>
        </w:trPr>
        <w:tc>
          <w:tcPr>
            <w:tcW w:w="1843" w:type="dxa"/>
            <w:tcBorders>
              <w:top w:val="nil"/>
              <w:left w:val="single" w:sz="4" w:space="0" w:color="000000"/>
              <w:bottom w:val="single" w:sz="4" w:space="0" w:color="auto"/>
            </w:tcBorders>
          </w:tcPr>
          <w:p w:rsidR="003E311F" w:rsidRPr="00E568AB" w:rsidRDefault="003E311F" w:rsidP="007A358B">
            <w:pPr>
              <w:autoSpaceDE w:val="0"/>
              <w:autoSpaceDN w:val="0"/>
              <w:adjustRightInd w:val="0"/>
              <w:spacing w:before="60" w:after="60"/>
              <w:rPr>
                <w:color w:val="000000"/>
                <w:sz w:val="16"/>
                <w:szCs w:val="16"/>
              </w:rPr>
            </w:pPr>
            <w:r w:rsidRPr="00E568AB">
              <w:rPr>
                <w:color w:val="000000"/>
                <w:sz w:val="16"/>
                <w:szCs w:val="16"/>
              </w:rPr>
              <w:t>Consultas para examinar las actividades en curso del II Programa de asistencia técnica relacionada con el comercio</w:t>
            </w:r>
          </w:p>
        </w:tc>
        <w:tc>
          <w:tcPr>
            <w:tcW w:w="1134" w:type="dxa"/>
            <w:tcBorders>
              <w:top w:val="nil"/>
              <w:bottom w:val="single" w:sz="4" w:space="0" w:color="auto"/>
            </w:tcBorders>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20 a 24 de abril de 2015</w:t>
            </w:r>
          </w:p>
        </w:tc>
        <w:tc>
          <w:tcPr>
            <w:tcW w:w="1985" w:type="dxa"/>
            <w:tcBorders>
              <w:top w:val="nil"/>
              <w:bottom w:val="single" w:sz="4" w:space="0" w:color="auto"/>
            </w:tcBorders>
          </w:tcPr>
          <w:p w:rsidR="003E311F" w:rsidRPr="00515D00" w:rsidRDefault="003E311F" w:rsidP="00386789">
            <w:pPr>
              <w:autoSpaceDE w:val="0"/>
              <w:autoSpaceDN w:val="0"/>
              <w:adjustRightInd w:val="0"/>
              <w:spacing w:before="60" w:after="60"/>
              <w:rPr>
                <w:color w:val="000000"/>
                <w:sz w:val="16"/>
                <w:szCs w:val="16"/>
              </w:rPr>
            </w:pPr>
            <w:r w:rsidRPr="00515D00">
              <w:rPr>
                <w:sz w:val="16"/>
                <w:szCs w:val="16"/>
              </w:rPr>
              <w:t xml:space="preserve">Pakistán/ Oficina de P.I. del Pakistán </w:t>
            </w:r>
            <w:r w:rsidRPr="00515D00">
              <w:rPr>
                <w:color w:val="000000"/>
                <w:sz w:val="16"/>
                <w:szCs w:val="16"/>
              </w:rPr>
              <w:t xml:space="preserve">y </w:t>
            </w:r>
            <w:r>
              <w:rPr>
                <w:color w:val="000000"/>
                <w:sz w:val="16"/>
                <w:szCs w:val="16"/>
              </w:rPr>
              <w:t xml:space="preserve">la </w:t>
            </w:r>
            <w:r w:rsidRPr="00515D00">
              <w:rPr>
                <w:color w:val="000000"/>
                <w:sz w:val="16"/>
                <w:szCs w:val="16"/>
              </w:rPr>
              <w:t>ONUDI</w:t>
            </w:r>
          </w:p>
        </w:tc>
        <w:tc>
          <w:tcPr>
            <w:tcW w:w="4678" w:type="dxa"/>
            <w:tcBorders>
              <w:top w:val="nil"/>
              <w:bottom w:val="single" w:sz="4" w:space="0" w:color="auto"/>
              <w:right w:val="single" w:sz="4" w:space="0" w:color="000000"/>
            </w:tcBorders>
          </w:tcPr>
          <w:p w:rsidR="003E311F" w:rsidRPr="00E568AB" w:rsidRDefault="003E311F" w:rsidP="007A358B">
            <w:pPr>
              <w:autoSpaceDE w:val="0"/>
              <w:autoSpaceDN w:val="0"/>
              <w:adjustRightInd w:val="0"/>
              <w:spacing w:before="60" w:after="60"/>
              <w:rPr>
                <w:color w:val="000000"/>
                <w:sz w:val="16"/>
                <w:szCs w:val="16"/>
              </w:rPr>
            </w:pPr>
            <w:r w:rsidRPr="00E568AB">
              <w:rPr>
                <w:color w:val="000000"/>
                <w:sz w:val="16"/>
                <w:szCs w:val="16"/>
              </w:rPr>
              <w:t>Celebrar consultas con los sectores nacionales interesados (la Oficina de Patentes de la Oficina de P.I., el Registro de Marcas y la Oficina de Derecho de Autor en Karachi, la Oficina Central de P.I. y la Oficina de Gestión de Proyecto de la ONUDI en Islamabad) para examinar el estado de aplicación del II Programa de asistencia técnica relacionada con el comercio y las medidas necesarias para garantizar que el programa se finalice de forma satisfactoria, en particular que se consigan resultados tangibles.</w:t>
            </w:r>
          </w:p>
        </w:tc>
      </w:tr>
    </w:tbl>
    <w:p w:rsidR="003E311F" w:rsidRPr="007329AC" w:rsidRDefault="003E311F" w:rsidP="003E311F">
      <w:pPr>
        <w:rPr>
          <w:sz w:val="20"/>
        </w:rPr>
      </w:pPr>
    </w:p>
    <w:p w:rsidR="003E311F" w:rsidRPr="007329AC" w:rsidRDefault="003E311F" w:rsidP="003E311F">
      <w:pPr>
        <w:rPr>
          <w:sz w:val="20"/>
        </w:rPr>
      </w:pPr>
    </w:p>
    <w:p w:rsidR="003E311F" w:rsidRPr="007329AC" w:rsidRDefault="003E311F" w:rsidP="003E311F">
      <w:pPr>
        <w:rPr>
          <w:b/>
          <w:color w:val="000000"/>
          <w:sz w:val="20"/>
        </w:rPr>
      </w:pPr>
      <w:r w:rsidRPr="007329AC">
        <w:rPr>
          <w:b/>
          <w:sz w:val="20"/>
        </w:rPr>
        <w:t xml:space="preserve">UNIÓN EUROPEA (Proyecto Pakistán) – Contribuciones de donantes y gastos de </w:t>
      </w:r>
      <w:r w:rsidRPr="007329AC">
        <w:rPr>
          <w:b/>
          <w:color w:val="000000"/>
          <w:sz w:val="20"/>
        </w:rPr>
        <w:t>2015</w:t>
      </w:r>
    </w:p>
    <w:p w:rsidR="003E311F" w:rsidRPr="007329AC" w:rsidRDefault="003E311F" w:rsidP="003E311F">
      <w:pPr>
        <w:tabs>
          <w:tab w:val="left" w:pos="0"/>
          <w:tab w:val="left" w:pos="9071"/>
        </w:tabs>
        <w:rPr>
          <w:b/>
          <w:sz w:val="20"/>
        </w:rPr>
      </w:pPr>
    </w:p>
    <w:tbl>
      <w:tblPr>
        <w:tblW w:w="9649" w:type="dxa"/>
        <w:tblInd w:w="98" w:type="dxa"/>
        <w:tblLook w:val="04A0" w:firstRow="1" w:lastRow="0" w:firstColumn="1" w:lastColumn="0" w:noHBand="0" w:noVBand="1"/>
      </w:tblPr>
      <w:tblGrid>
        <w:gridCol w:w="2040"/>
        <w:gridCol w:w="1640"/>
        <w:gridCol w:w="1860"/>
        <w:gridCol w:w="1780"/>
        <w:gridCol w:w="2329"/>
      </w:tblGrid>
      <w:tr w:rsidR="003E311F" w:rsidRPr="00515D00" w:rsidTr="007A358B">
        <w:trPr>
          <w:trHeight w:val="450"/>
        </w:trPr>
        <w:tc>
          <w:tcPr>
            <w:tcW w:w="2040" w:type="dxa"/>
            <w:tcBorders>
              <w:top w:val="single" w:sz="8" w:space="0" w:color="auto"/>
              <w:left w:val="single" w:sz="8" w:space="0" w:color="auto"/>
              <w:bottom w:val="nil"/>
              <w:right w:val="single" w:sz="8" w:space="0" w:color="auto"/>
            </w:tcBorders>
            <w:shd w:val="clear" w:color="auto" w:fill="C6D9F1" w:themeFill="text2" w:themeFillTint="33"/>
            <w:vAlign w:val="center"/>
            <w:hideMark/>
          </w:tcPr>
          <w:p w:rsidR="003E311F" w:rsidRPr="00515D00" w:rsidRDefault="005C708A" w:rsidP="005C708A">
            <w:pPr>
              <w:jc w:val="center"/>
              <w:rPr>
                <w:b/>
                <w:bCs/>
                <w:color w:val="000000"/>
                <w:sz w:val="16"/>
                <w:szCs w:val="16"/>
              </w:rPr>
            </w:pPr>
            <w:r>
              <w:rPr>
                <w:b/>
                <w:bCs/>
                <w:sz w:val="16"/>
                <w:szCs w:val="16"/>
              </w:rPr>
              <w:t>Saldo el</w:t>
            </w:r>
            <w:r w:rsidR="003E311F" w:rsidRPr="00515D00">
              <w:rPr>
                <w:b/>
                <w:bCs/>
                <w:sz w:val="16"/>
                <w:szCs w:val="16"/>
              </w:rPr>
              <w:t xml:space="preserve"> 31 de diciembre de </w:t>
            </w:r>
            <w:r w:rsidR="003E311F" w:rsidRPr="00515D00">
              <w:rPr>
                <w:b/>
                <w:bCs/>
                <w:color w:val="000000"/>
                <w:sz w:val="16"/>
                <w:szCs w:val="16"/>
              </w:rPr>
              <w:t>2014</w:t>
            </w:r>
          </w:p>
        </w:tc>
        <w:tc>
          <w:tcPr>
            <w:tcW w:w="1640" w:type="dxa"/>
            <w:tcBorders>
              <w:top w:val="single" w:sz="8" w:space="0" w:color="auto"/>
              <w:left w:val="nil"/>
              <w:bottom w:val="nil"/>
              <w:right w:val="single" w:sz="8" w:space="0" w:color="auto"/>
            </w:tcBorders>
            <w:shd w:val="clear" w:color="auto" w:fill="C6D9F1" w:themeFill="text2" w:themeFillTint="33"/>
            <w:vAlign w:val="center"/>
            <w:hideMark/>
          </w:tcPr>
          <w:p w:rsidR="003E311F" w:rsidRPr="00515D00" w:rsidRDefault="003E311F" w:rsidP="007A358B">
            <w:pPr>
              <w:jc w:val="center"/>
              <w:rPr>
                <w:b/>
                <w:bCs/>
                <w:color w:val="000000"/>
                <w:sz w:val="16"/>
                <w:szCs w:val="16"/>
              </w:rPr>
            </w:pPr>
            <w:r w:rsidRPr="00515D00">
              <w:rPr>
                <w:b/>
                <w:bCs/>
                <w:sz w:val="16"/>
                <w:szCs w:val="16"/>
              </w:rPr>
              <w:t xml:space="preserve">Ingresos en </w:t>
            </w:r>
            <w:r w:rsidRPr="00515D00">
              <w:rPr>
                <w:b/>
                <w:bCs/>
                <w:color w:val="000000"/>
                <w:sz w:val="16"/>
                <w:szCs w:val="16"/>
              </w:rPr>
              <w:t>2015</w:t>
            </w:r>
          </w:p>
        </w:tc>
        <w:tc>
          <w:tcPr>
            <w:tcW w:w="1860" w:type="dxa"/>
            <w:tcBorders>
              <w:top w:val="single" w:sz="8" w:space="0" w:color="auto"/>
              <w:left w:val="nil"/>
              <w:bottom w:val="nil"/>
              <w:right w:val="single" w:sz="8" w:space="0" w:color="auto"/>
            </w:tcBorders>
            <w:shd w:val="clear" w:color="auto" w:fill="C6D9F1" w:themeFill="text2" w:themeFillTint="33"/>
            <w:vAlign w:val="center"/>
            <w:hideMark/>
          </w:tcPr>
          <w:p w:rsidR="003E311F" w:rsidRPr="00515D00" w:rsidRDefault="003E311F" w:rsidP="007A358B">
            <w:pPr>
              <w:jc w:val="center"/>
              <w:rPr>
                <w:b/>
                <w:bCs/>
                <w:color w:val="000000"/>
                <w:sz w:val="16"/>
                <w:szCs w:val="16"/>
              </w:rPr>
            </w:pPr>
            <w:r w:rsidRPr="00515D00">
              <w:rPr>
                <w:b/>
                <w:bCs/>
                <w:sz w:val="16"/>
                <w:szCs w:val="16"/>
              </w:rPr>
              <w:t xml:space="preserve">Gastos en </w:t>
            </w:r>
            <w:r w:rsidRPr="00515D00">
              <w:rPr>
                <w:b/>
                <w:bCs/>
                <w:color w:val="000000"/>
                <w:sz w:val="16"/>
                <w:szCs w:val="16"/>
              </w:rPr>
              <w:t>2015</w:t>
            </w:r>
          </w:p>
        </w:tc>
        <w:tc>
          <w:tcPr>
            <w:tcW w:w="1780" w:type="dxa"/>
            <w:tcBorders>
              <w:top w:val="single" w:sz="8" w:space="0" w:color="auto"/>
              <w:left w:val="nil"/>
              <w:bottom w:val="nil"/>
              <w:right w:val="single" w:sz="8" w:space="0" w:color="auto"/>
            </w:tcBorders>
            <w:shd w:val="clear" w:color="auto" w:fill="C6D9F1" w:themeFill="text2" w:themeFillTint="33"/>
            <w:vAlign w:val="center"/>
            <w:hideMark/>
          </w:tcPr>
          <w:p w:rsidR="003E311F" w:rsidRPr="00515D00" w:rsidRDefault="003E311F" w:rsidP="007A358B">
            <w:pPr>
              <w:jc w:val="center"/>
              <w:rPr>
                <w:b/>
                <w:bCs/>
                <w:color w:val="000000"/>
                <w:sz w:val="16"/>
                <w:szCs w:val="16"/>
              </w:rPr>
            </w:pPr>
            <w:r w:rsidRPr="00515D00">
              <w:rPr>
                <w:b/>
                <w:bCs/>
                <w:sz w:val="16"/>
                <w:szCs w:val="16"/>
              </w:rPr>
              <w:t>Reembolsos</w:t>
            </w:r>
          </w:p>
        </w:tc>
        <w:tc>
          <w:tcPr>
            <w:tcW w:w="2329" w:type="dxa"/>
            <w:tcBorders>
              <w:top w:val="single" w:sz="8" w:space="0" w:color="auto"/>
              <w:left w:val="nil"/>
              <w:bottom w:val="nil"/>
              <w:right w:val="single" w:sz="8" w:space="0" w:color="auto"/>
            </w:tcBorders>
            <w:shd w:val="clear" w:color="auto" w:fill="C6D9F1" w:themeFill="text2" w:themeFillTint="33"/>
            <w:vAlign w:val="center"/>
            <w:hideMark/>
          </w:tcPr>
          <w:p w:rsidR="003E311F" w:rsidRPr="00515D00" w:rsidRDefault="005C708A" w:rsidP="005C708A">
            <w:pPr>
              <w:jc w:val="center"/>
              <w:rPr>
                <w:b/>
                <w:bCs/>
                <w:color w:val="000000"/>
                <w:sz w:val="16"/>
                <w:szCs w:val="16"/>
              </w:rPr>
            </w:pPr>
            <w:r>
              <w:rPr>
                <w:b/>
                <w:bCs/>
                <w:sz w:val="16"/>
                <w:szCs w:val="16"/>
              </w:rPr>
              <w:t>Saldo el</w:t>
            </w:r>
            <w:r w:rsidR="003E311F" w:rsidRPr="00515D00">
              <w:rPr>
                <w:b/>
                <w:bCs/>
                <w:sz w:val="16"/>
                <w:szCs w:val="16"/>
              </w:rPr>
              <w:t xml:space="preserve"> 31 de diciembre de </w:t>
            </w:r>
            <w:r w:rsidR="003E311F" w:rsidRPr="00515D00">
              <w:rPr>
                <w:b/>
                <w:bCs/>
                <w:color w:val="000000"/>
                <w:sz w:val="16"/>
                <w:szCs w:val="16"/>
              </w:rPr>
              <w:t>2015</w:t>
            </w:r>
          </w:p>
        </w:tc>
      </w:tr>
      <w:tr w:rsidR="003E311F" w:rsidRPr="00515D00" w:rsidTr="007A358B">
        <w:trPr>
          <w:trHeight w:val="255"/>
        </w:trPr>
        <w:tc>
          <w:tcPr>
            <w:tcW w:w="2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311F" w:rsidRPr="00515D00" w:rsidRDefault="003E311F" w:rsidP="007A358B">
            <w:pPr>
              <w:jc w:val="center"/>
              <w:rPr>
                <w:color w:val="000000"/>
                <w:sz w:val="16"/>
                <w:szCs w:val="16"/>
              </w:rPr>
            </w:pPr>
            <w:r w:rsidRPr="00515D00">
              <w:rPr>
                <w:color w:val="000000"/>
                <w:sz w:val="16"/>
                <w:szCs w:val="16"/>
              </w:rPr>
              <w:t>383.115</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3E311F" w:rsidRPr="00515D00" w:rsidRDefault="003E311F" w:rsidP="007A358B">
            <w:pPr>
              <w:jc w:val="center"/>
              <w:rPr>
                <w:color w:val="000000"/>
                <w:sz w:val="16"/>
                <w:szCs w:val="16"/>
              </w:rPr>
            </w:pPr>
            <w:r w:rsidRPr="00515D00">
              <w:rPr>
                <w:color w:val="000000"/>
                <w:sz w:val="16"/>
                <w:szCs w:val="16"/>
              </w:rPr>
              <w:t>(41.520)</w:t>
            </w:r>
          </w:p>
        </w:tc>
        <w:tc>
          <w:tcPr>
            <w:tcW w:w="1860" w:type="dxa"/>
            <w:tcBorders>
              <w:top w:val="single" w:sz="4" w:space="0" w:color="auto"/>
              <w:left w:val="nil"/>
              <w:bottom w:val="single" w:sz="4" w:space="0" w:color="auto"/>
              <w:right w:val="single" w:sz="4" w:space="0" w:color="auto"/>
            </w:tcBorders>
            <w:shd w:val="clear" w:color="auto" w:fill="auto"/>
            <w:vAlign w:val="center"/>
            <w:hideMark/>
          </w:tcPr>
          <w:p w:rsidR="003E311F" w:rsidRPr="00515D00" w:rsidRDefault="003E311F" w:rsidP="007A358B">
            <w:pPr>
              <w:jc w:val="center"/>
              <w:rPr>
                <w:color w:val="000000"/>
                <w:sz w:val="16"/>
                <w:szCs w:val="16"/>
              </w:rPr>
            </w:pPr>
            <w:r w:rsidRPr="00515D00">
              <w:rPr>
                <w:color w:val="000000"/>
                <w:sz w:val="16"/>
                <w:szCs w:val="16"/>
              </w:rPr>
              <w:t>189.256</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3E311F" w:rsidRPr="00515D00" w:rsidRDefault="003E311F" w:rsidP="007A358B">
            <w:pPr>
              <w:jc w:val="center"/>
              <w:rPr>
                <w:color w:val="000000"/>
                <w:sz w:val="16"/>
                <w:szCs w:val="16"/>
              </w:rPr>
            </w:pPr>
            <w:r w:rsidRPr="00515D00">
              <w:rPr>
                <w:color w:val="000000"/>
                <w:sz w:val="16"/>
                <w:szCs w:val="16"/>
              </w:rPr>
              <w:t>99.868</w:t>
            </w:r>
          </w:p>
        </w:tc>
        <w:tc>
          <w:tcPr>
            <w:tcW w:w="2329" w:type="dxa"/>
            <w:tcBorders>
              <w:top w:val="single" w:sz="4" w:space="0" w:color="auto"/>
              <w:left w:val="nil"/>
              <w:bottom w:val="single" w:sz="4" w:space="0" w:color="auto"/>
              <w:right w:val="single" w:sz="4" w:space="0" w:color="auto"/>
            </w:tcBorders>
            <w:shd w:val="clear" w:color="auto" w:fill="auto"/>
            <w:vAlign w:val="center"/>
            <w:hideMark/>
          </w:tcPr>
          <w:p w:rsidR="003E311F" w:rsidRPr="00515D00" w:rsidRDefault="003E311F" w:rsidP="007A358B">
            <w:pPr>
              <w:jc w:val="center"/>
              <w:rPr>
                <w:color w:val="000000"/>
                <w:sz w:val="16"/>
                <w:szCs w:val="16"/>
              </w:rPr>
            </w:pPr>
            <w:r w:rsidRPr="00515D00">
              <w:rPr>
                <w:color w:val="000000"/>
                <w:sz w:val="16"/>
                <w:szCs w:val="16"/>
              </w:rPr>
              <w:t>52.470</w:t>
            </w:r>
          </w:p>
        </w:tc>
      </w:tr>
    </w:tbl>
    <w:p w:rsidR="003E311F" w:rsidRPr="007329AC" w:rsidRDefault="003E311F" w:rsidP="003E311F">
      <w:pPr>
        <w:rPr>
          <w:sz w:val="20"/>
        </w:rPr>
      </w:pPr>
    </w:p>
    <w:p w:rsidR="003E311F" w:rsidRPr="007329AC" w:rsidRDefault="003E311F" w:rsidP="003E311F">
      <w:pPr>
        <w:rPr>
          <w:sz w:val="20"/>
        </w:rPr>
      </w:pPr>
    </w:p>
    <w:p w:rsidR="003E311F" w:rsidRPr="007329AC" w:rsidRDefault="003E311F" w:rsidP="003E311F">
      <w:pPr>
        <w:widowControl w:val="0"/>
        <w:tabs>
          <w:tab w:val="left" w:pos="0"/>
          <w:tab w:val="left" w:pos="9071"/>
        </w:tabs>
        <w:rPr>
          <w:sz w:val="20"/>
        </w:rPr>
      </w:pPr>
      <w:r w:rsidRPr="007329AC">
        <w:rPr>
          <w:b/>
          <w:sz w:val="20"/>
        </w:rPr>
        <w:t>FINLANDIA / DERECHO DE AUTOR</w:t>
      </w:r>
    </w:p>
    <w:p w:rsidR="003E311F" w:rsidRPr="007329AC" w:rsidRDefault="003E311F" w:rsidP="003E311F">
      <w:pPr>
        <w:rPr>
          <w:sz w:val="20"/>
        </w:rPr>
      </w:pPr>
    </w:p>
    <w:tbl>
      <w:tblPr>
        <w:tblW w:w="9786" w:type="dxa"/>
        <w:tblInd w:w="103"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990"/>
        <w:gridCol w:w="1134"/>
        <w:gridCol w:w="1700"/>
        <w:gridCol w:w="4962"/>
      </w:tblGrid>
      <w:tr w:rsidR="003E311F" w:rsidRPr="00057B87" w:rsidTr="007A358B">
        <w:tc>
          <w:tcPr>
            <w:tcW w:w="9786" w:type="dxa"/>
            <w:gridSpan w:val="4"/>
            <w:tcBorders>
              <w:top w:val="single" w:sz="4" w:space="0" w:color="000000"/>
              <w:bottom w:val="single" w:sz="4" w:space="0" w:color="000000"/>
            </w:tcBorders>
            <w:shd w:val="clear" w:color="auto" w:fill="C6D9F1" w:themeFill="text2" w:themeFillTint="33"/>
            <w:vAlign w:val="center"/>
          </w:tcPr>
          <w:p w:rsidR="003E311F" w:rsidRPr="00515D00" w:rsidRDefault="003E311F" w:rsidP="007A358B">
            <w:pPr>
              <w:keepNext/>
              <w:keepLines/>
              <w:spacing w:before="120" w:after="120"/>
              <w:ind w:left="1740" w:hanging="1740"/>
              <w:rPr>
                <w:b/>
                <w:bCs/>
                <w:sz w:val="16"/>
                <w:szCs w:val="16"/>
              </w:rPr>
            </w:pPr>
            <w:r w:rsidRPr="00515D00">
              <w:rPr>
                <w:b/>
                <w:bCs/>
                <w:color w:val="000000"/>
                <w:sz w:val="16"/>
                <w:szCs w:val="16"/>
              </w:rPr>
              <w:t>RESULTADO:</w:t>
            </w:r>
            <w:r>
              <w:rPr>
                <w:b/>
                <w:bCs/>
                <w:sz w:val="16"/>
                <w:szCs w:val="16"/>
              </w:rPr>
              <w:tab/>
            </w:r>
            <w:r w:rsidRPr="00515D00">
              <w:rPr>
                <w:bCs/>
                <w:sz w:val="16"/>
                <w:szCs w:val="16"/>
                <w:shd w:val="clear" w:color="auto" w:fill="C6D9F1" w:themeFill="text2" w:themeFillTint="33"/>
              </w:rPr>
              <w:t>V.2  Ampliación y mejora del uso de los análisis económicos de la OMPI en la formulación de políticas</w:t>
            </w:r>
          </w:p>
        </w:tc>
      </w:tr>
      <w:tr w:rsidR="003E311F" w:rsidRPr="00783374" w:rsidTr="007A358B">
        <w:tc>
          <w:tcPr>
            <w:tcW w:w="1990" w:type="dxa"/>
            <w:tcBorders>
              <w:top w:val="single" w:sz="4" w:space="0" w:color="000000"/>
            </w:tcBorders>
            <w:vAlign w:val="center"/>
          </w:tcPr>
          <w:p w:rsidR="003E311F" w:rsidRPr="00515D00" w:rsidRDefault="003E311F" w:rsidP="007A358B">
            <w:pPr>
              <w:keepNext/>
              <w:keepLines/>
              <w:spacing w:before="60" w:after="60"/>
              <w:rPr>
                <w:b/>
                <w:bCs/>
                <w:sz w:val="16"/>
                <w:szCs w:val="16"/>
              </w:rPr>
            </w:pPr>
            <w:r w:rsidRPr="00515D00">
              <w:rPr>
                <w:b/>
                <w:bCs/>
                <w:sz w:val="16"/>
                <w:szCs w:val="16"/>
              </w:rPr>
              <w:t>Actividad</w:t>
            </w:r>
          </w:p>
        </w:tc>
        <w:tc>
          <w:tcPr>
            <w:tcW w:w="1134" w:type="dxa"/>
            <w:tcBorders>
              <w:top w:val="single" w:sz="4" w:space="0" w:color="000000"/>
            </w:tcBorders>
            <w:shd w:val="clear" w:color="auto" w:fill="auto"/>
            <w:tcMar>
              <w:top w:w="110" w:type="dxa"/>
            </w:tcMar>
            <w:vAlign w:val="center"/>
          </w:tcPr>
          <w:p w:rsidR="003E311F" w:rsidRPr="00515D00" w:rsidRDefault="003E311F" w:rsidP="007A358B">
            <w:pPr>
              <w:keepNext/>
              <w:keepLines/>
              <w:spacing w:before="60" w:after="60"/>
              <w:rPr>
                <w:sz w:val="16"/>
                <w:szCs w:val="16"/>
              </w:rPr>
            </w:pPr>
            <w:r w:rsidRPr="00515D00">
              <w:rPr>
                <w:b/>
                <w:bCs/>
                <w:sz w:val="16"/>
                <w:szCs w:val="16"/>
              </w:rPr>
              <w:t>Fecha</w:t>
            </w:r>
          </w:p>
        </w:tc>
        <w:tc>
          <w:tcPr>
            <w:tcW w:w="1700" w:type="dxa"/>
            <w:tcBorders>
              <w:top w:val="single" w:sz="4" w:space="0" w:color="000000"/>
            </w:tcBorders>
            <w:shd w:val="clear" w:color="auto" w:fill="auto"/>
            <w:tcMar>
              <w:top w:w="110" w:type="dxa"/>
            </w:tcMar>
            <w:vAlign w:val="center"/>
          </w:tcPr>
          <w:p w:rsidR="003E311F" w:rsidRPr="00515D00" w:rsidRDefault="003E311F" w:rsidP="007A358B">
            <w:pPr>
              <w:widowControl w:val="0"/>
              <w:rPr>
                <w:sz w:val="16"/>
                <w:szCs w:val="16"/>
              </w:rPr>
            </w:pPr>
            <w:r w:rsidRPr="00515D00">
              <w:rPr>
                <w:b/>
                <w:sz w:val="16"/>
                <w:szCs w:val="16"/>
              </w:rPr>
              <w:t>País anfitrión / Beneficiarios</w:t>
            </w:r>
          </w:p>
        </w:tc>
        <w:tc>
          <w:tcPr>
            <w:tcW w:w="4962" w:type="dxa"/>
            <w:tcBorders>
              <w:top w:val="single" w:sz="4" w:space="0" w:color="000000"/>
            </w:tcBorders>
            <w:shd w:val="clear" w:color="auto" w:fill="FFFFFF"/>
            <w:tcMar>
              <w:top w:w="110" w:type="dxa"/>
            </w:tcMar>
            <w:vAlign w:val="center"/>
          </w:tcPr>
          <w:p w:rsidR="003E311F" w:rsidRPr="00515D00" w:rsidRDefault="003E311F" w:rsidP="007A358B">
            <w:pPr>
              <w:widowControl w:val="0"/>
              <w:rPr>
                <w:sz w:val="16"/>
                <w:szCs w:val="16"/>
              </w:rPr>
            </w:pPr>
            <w:r w:rsidRPr="00515D00">
              <w:rPr>
                <w:b/>
                <w:sz w:val="16"/>
                <w:szCs w:val="16"/>
              </w:rPr>
              <w:t>Propósito(s)/Descripción</w:t>
            </w:r>
          </w:p>
        </w:tc>
      </w:tr>
      <w:tr w:rsidR="003E311F" w:rsidRPr="00057B87" w:rsidTr="007A358B">
        <w:tc>
          <w:tcPr>
            <w:tcW w:w="1990" w:type="dxa"/>
          </w:tcPr>
          <w:p w:rsidR="003E311F" w:rsidRPr="00515D00" w:rsidRDefault="003E311F" w:rsidP="007A358B">
            <w:pPr>
              <w:autoSpaceDE w:val="0"/>
              <w:autoSpaceDN w:val="0"/>
              <w:adjustRightInd w:val="0"/>
              <w:spacing w:before="60" w:after="60"/>
              <w:rPr>
                <w:rFonts w:eastAsia="MS Mincho"/>
                <w:color w:val="000000"/>
                <w:sz w:val="16"/>
                <w:szCs w:val="16"/>
                <w:lang w:eastAsia="ja-JP" w:bidi="th-TH"/>
              </w:rPr>
            </w:pPr>
            <w:r w:rsidRPr="00515D00">
              <w:rPr>
                <w:rFonts w:eastAsia="MS Mincho"/>
                <w:color w:val="000000"/>
                <w:sz w:val="16"/>
                <w:szCs w:val="16"/>
                <w:lang w:eastAsia="ja-JP" w:bidi="th-TH"/>
              </w:rPr>
              <w:t xml:space="preserve">Publicación de la segunda edición de la </w:t>
            </w:r>
            <w:r w:rsidRPr="0092786B">
              <w:rPr>
                <w:rFonts w:eastAsia="MS Mincho"/>
                <w:sz w:val="16"/>
                <w:szCs w:val="16"/>
                <w:lang w:eastAsia="ja-JP" w:bidi="th-TH"/>
              </w:rPr>
              <w:lastRenderedPageBreak/>
              <w:t>Guía de la OMPI para determinar la contribución económica de las industrias relacionadas con el derecho de autor</w:t>
            </w:r>
            <w:r w:rsidRPr="00515D00">
              <w:rPr>
                <w:rStyle w:val="FootnoteReference"/>
                <w:rFonts w:eastAsia="MS Mincho"/>
                <w:i/>
                <w:color w:val="000000"/>
                <w:sz w:val="16"/>
                <w:szCs w:val="16"/>
                <w:lang w:eastAsia="ja-JP" w:bidi="th-TH"/>
              </w:rPr>
              <w:footnoteReference w:id="155"/>
            </w:r>
          </w:p>
        </w:tc>
        <w:tc>
          <w:tcPr>
            <w:tcW w:w="1134" w:type="dxa"/>
          </w:tcPr>
          <w:p w:rsidR="003E311F" w:rsidRPr="00515D00" w:rsidRDefault="003E311F" w:rsidP="007A358B">
            <w:pPr>
              <w:autoSpaceDE w:val="0"/>
              <w:autoSpaceDN w:val="0"/>
              <w:adjustRightInd w:val="0"/>
              <w:spacing w:before="60" w:after="60"/>
              <w:rPr>
                <w:rFonts w:eastAsia="MS Mincho"/>
                <w:color w:val="000000"/>
                <w:sz w:val="16"/>
                <w:szCs w:val="16"/>
                <w:lang w:eastAsia="ja-JP" w:bidi="th-TH"/>
              </w:rPr>
            </w:pPr>
            <w:r w:rsidRPr="00515D00">
              <w:rPr>
                <w:rFonts w:eastAsia="MS Mincho"/>
                <w:color w:val="000000"/>
                <w:sz w:val="16"/>
                <w:szCs w:val="16"/>
                <w:lang w:eastAsia="ja-JP" w:bidi="th-TH"/>
              </w:rPr>
              <w:lastRenderedPageBreak/>
              <w:t xml:space="preserve">Marzo a junio de </w:t>
            </w:r>
            <w:r w:rsidRPr="00515D00">
              <w:rPr>
                <w:rFonts w:eastAsia="MS Mincho"/>
                <w:color w:val="000000"/>
                <w:sz w:val="16"/>
                <w:szCs w:val="16"/>
                <w:lang w:eastAsia="ja-JP" w:bidi="th-TH"/>
              </w:rPr>
              <w:lastRenderedPageBreak/>
              <w:t>2015</w:t>
            </w:r>
          </w:p>
        </w:tc>
        <w:tc>
          <w:tcPr>
            <w:tcW w:w="1700" w:type="dxa"/>
          </w:tcPr>
          <w:p w:rsidR="003E311F" w:rsidRPr="00515D00" w:rsidRDefault="003E311F" w:rsidP="007A358B">
            <w:pPr>
              <w:autoSpaceDE w:val="0"/>
              <w:autoSpaceDN w:val="0"/>
              <w:adjustRightInd w:val="0"/>
              <w:spacing w:before="60" w:after="60"/>
              <w:rPr>
                <w:rFonts w:eastAsia="MS Mincho"/>
                <w:color w:val="000000"/>
                <w:sz w:val="16"/>
                <w:szCs w:val="16"/>
                <w:lang w:eastAsia="ja-JP" w:bidi="th-TH"/>
              </w:rPr>
            </w:pPr>
            <w:r w:rsidRPr="00515D00">
              <w:rPr>
                <w:rFonts w:eastAsia="MS Mincho"/>
                <w:color w:val="000000"/>
                <w:sz w:val="16"/>
                <w:szCs w:val="16"/>
                <w:lang w:eastAsia="ja-JP" w:bidi="th-TH"/>
              </w:rPr>
              <w:lastRenderedPageBreak/>
              <w:t>Todos los países</w:t>
            </w:r>
          </w:p>
        </w:tc>
        <w:tc>
          <w:tcPr>
            <w:tcW w:w="4962" w:type="dxa"/>
          </w:tcPr>
          <w:p w:rsidR="003E311F" w:rsidRPr="00515D00" w:rsidRDefault="003E311F" w:rsidP="007A358B">
            <w:pPr>
              <w:autoSpaceDE w:val="0"/>
              <w:autoSpaceDN w:val="0"/>
              <w:adjustRightInd w:val="0"/>
              <w:spacing w:before="60" w:after="60"/>
              <w:rPr>
                <w:rFonts w:eastAsia="MS Mincho"/>
                <w:color w:val="000000"/>
                <w:sz w:val="16"/>
                <w:szCs w:val="16"/>
                <w:lang w:eastAsia="ja-JP" w:bidi="th-TH"/>
              </w:rPr>
            </w:pPr>
            <w:r w:rsidRPr="00515D00">
              <w:rPr>
                <w:rFonts w:eastAsia="MS Mincho"/>
                <w:sz w:val="16"/>
                <w:szCs w:val="16"/>
                <w:lang w:eastAsia="ja-JP" w:bidi="th-TH"/>
              </w:rPr>
              <w:t xml:space="preserve">Actualizar la herramienta de la OMPI para determinar la contribución económica de las industrias relacionadas con el </w:t>
            </w:r>
            <w:r w:rsidRPr="00515D00">
              <w:rPr>
                <w:rFonts w:eastAsia="MS Mincho"/>
                <w:sz w:val="16"/>
                <w:szCs w:val="16"/>
                <w:lang w:eastAsia="ja-JP" w:bidi="th-TH"/>
              </w:rPr>
              <w:lastRenderedPageBreak/>
              <w:t>derecho de autor</w:t>
            </w:r>
            <w:r w:rsidRPr="00515D00">
              <w:rPr>
                <w:rFonts w:eastAsia="MS Mincho"/>
                <w:color w:val="000000"/>
                <w:sz w:val="16"/>
                <w:szCs w:val="16"/>
                <w:lang w:eastAsia="ja-JP" w:bidi="th-TH"/>
              </w:rPr>
              <w:t>.</w:t>
            </w:r>
          </w:p>
        </w:tc>
      </w:tr>
      <w:tr w:rsidR="003E311F" w:rsidRPr="00057B87" w:rsidTr="007A358B">
        <w:tc>
          <w:tcPr>
            <w:tcW w:w="1990" w:type="dxa"/>
          </w:tcPr>
          <w:p w:rsidR="003E311F" w:rsidRPr="00515D00" w:rsidRDefault="003E311F" w:rsidP="007A358B">
            <w:pPr>
              <w:keepNext/>
              <w:autoSpaceDE w:val="0"/>
              <w:autoSpaceDN w:val="0"/>
              <w:adjustRightInd w:val="0"/>
              <w:spacing w:before="60" w:after="60"/>
              <w:rPr>
                <w:rFonts w:eastAsia="MS Mincho"/>
                <w:color w:val="000000"/>
                <w:sz w:val="16"/>
                <w:szCs w:val="16"/>
                <w:lang w:eastAsia="ja-JP" w:bidi="th-TH"/>
              </w:rPr>
            </w:pPr>
            <w:r w:rsidRPr="00515D00">
              <w:rPr>
                <w:rFonts w:eastAsia="MS Mincho"/>
                <w:color w:val="000000"/>
                <w:sz w:val="16"/>
                <w:szCs w:val="16"/>
                <w:lang w:eastAsia="ja-JP" w:bidi="th-TH"/>
              </w:rPr>
              <w:lastRenderedPageBreak/>
              <w:t>Elaborar directrices para evaluar la incidencia económica, social y cultural del derecho de autor en las industrias creativas</w:t>
            </w:r>
          </w:p>
        </w:tc>
        <w:tc>
          <w:tcPr>
            <w:tcW w:w="1134" w:type="dxa"/>
          </w:tcPr>
          <w:p w:rsidR="003E311F" w:rsidRPr="00515D00" w:rsidRDefault="003E311F" w:rsidP="007A358B">
            <w:pPr>
              <w:keepNext/>
              <w:autoSpaceDE w:val="0"/>
              <w:autoSpaceDN w:val="0"/>
              <w:adjustRightInd w:val="0"/>
              <w:spacing w:before="60" w:after="60"/>
              <w:rPr>
                <w:rFonts w:eastAsia="MS Mincho"/>
                <w:color w:val="000000"/>
                <w:sz w:val="16"/>
                <w:szCs w:val="16"/>
                <w:lang w:eastAsia="ja-JP" w:bidi="th-TH"/>
              </w:rPr>
            </w:pPr>
            <w:r w:rsidRPr="00515D00">
              <w:rPr>
                <w:rFonts w:eastAsia="MS Mincho"/>
                <w:color w:val="000000"/>
                <w:sz w:val="16"/>
                <w:szCs w:val="16"/>
                <w:lang w:eastAsia="ja-JP" w:bidi="th-TH"/>
              </w:rPr>
              <w:t>1 de mayo a 31 de diciembre de 2015</w:t>
            </w:r>
          </w:p>
        </w:tc>
        <w:tc>
          <w:tcPr>
            <w:tcW w:w="1700" w:type="dxa"/>
          </w:tcPr>
          <w:p w:rsidR="003E311F" w:rsidRPr="00515D00" w:rsidRDefault="003E311F" w:rsidP="007A358B">
            <w:pPr>
              <w:keepNext/>
              <w:autoSpaceDE w:val="0"/>
              <w:autoSpaceDN w:val="0"/>
              <w:adjustRightInd w:val="0"/>
              <w:spacing w:before="60" w:after="60"/>
              <w:rPr>
                <w:rFonts w:eastAsia="MS Mincho"/>
                <w:color w:val="000000"/>
                <w:sz w:val="16"/>
                <w:szCs w:val="16"/>
                <w:lang w:eastAsia="ja-JP" w:bidi="th-TH"/>
              </w:rPr>
            </w:pPr>
            <w:r w:rsidRPr="00515D00">
              <w:rPr>
                <w:rFonts w:eastAsia="MS Mincho"/>
                <w:color w:val="000000"/>
                <w:sz w:val="16"/>
                <w:szCs w:val="16"/>
                <w:lang w:eastAsia="ja-JP" w:bidi="th-TH"/>
              </w:rPr>
              <w:t>Finlandia/ Todos los países</w:t>
            </w:r>
          </w:p>
        </w:tc>
        <w:tc>
          <w:tcPr>
            <w:tcW w:w="4962" w:type="dxa"/>
          </w:tcPr>
          <w:p w:rsidR="003E311F" w:rsidRPr="00515D00" w:rsidRDefault="003E311F" w:rsidP="007A358B">
            <w:pPr>
              <w:keepNext/>
              <w:autoSpaceDE w:val="0"/>
              <w:autoSpaceDN w:val="0"/>
              <w:adjustRightInd w:val="0"/>
              <w:spacing w:before="60" w:after="60"/>
              <w:rPr>
                <w:rFonts w:eastAsia="MS Mincho"/>
                <w:color w:val="000000"/>
                <w:sz w:val="16"/>
                <w:szCs w:val="16"/>
                <w:lang w:eastAsia="ja-JP" w:bidi="th-TH"/>
              </w:rPr>
            </w:pPr>
            <w:r w:rsidRPr="00515D00">
              <w:rPr>
                <w:rFonts w:eastAsia="MS Mincho"/>
                <w:sz w:val="16"/>
                <w:szCs w:val="16"/>
                <w:lang w:eastAsia="ja-JP" w:bidi="th-TH"/>
              </w:rPr>
              <w:t>Poner en marcha un proyecto para poner a prueba y completar la herramienta de la OMPI para analizar la incidencia general del derecho de autor.</w:t>
            </w:r>
          </w:p>
          <w:p w:rsidR="003E311F" w:rsidRPr="00515D00" w:rsidRDefault="003E311F" w:rsidP="007A358B">
            <w:pPr>
              <w:keepNext/>
              <w:autoSpaceDE w:val="0"/>
              <w:autoSpaceDN w:val="0"/>
              <w:adjustRightInd w:val="0"/>
              <w:spacing w:before="60" w:after="60"/>
              <w:rPr>
                <w:rFonts w:eastAsia="MS Mincho"/>
                <w:color w:val="000000"/>
                <w:sz w:val="16"/>
                <w:szCs w:val="16"/>
                <w:lang w:eastAsia="ja-JP" w:bidi="th-TH"/>
              </w:rPr>
            </w:pPr>
          </w:p>
        </w:tc>
      </w:tr>
      <w:tr w:rsidR="003E311F" w:rsidRPr="00057B87" w:rsidTr="007A358B">
        <w:tc>
          <w:tcPr>
            <w:tcW w:w="1990" w:type="dxa"/>
          </w:tcPr>
          <w:p w:rsidR="003E311F" w:rsidRPr="00515D00" w:rsidRDefault="003E311F" w:rsidP="007A358B">
            <w:pPr>
              <w:keepNext/>
              <w:autoSpaceDE w:val="0"/>
              <w:autoSpaceDN w:val="0"/>
              <w:adjustRightInd w:val="0"/>
              <w:spacing w:before="60" w:after="60"/>
              <w:rPr>
                <w:rFonts w:eastAsia="MS Mincho"/>
                <w:color w:val="000000"/>
                <w:sz w:val="16"/>
                <w:szCs w:val="16"/>
                <w:lang w:eastAsia="ja-JP" w:bidi="th-TH"/>
              </w:rPr>
            </w:pPr>
            <w:r w:rsidRPr="00515D00">
              <w:rPr>
                <w:rFonts w:eastAsia="MS Mincho"/>
                <w:sz w:val="16"/>
                <w:szCs w:val="16"/>
                <w:lang w:eastAsia="ja-JP" w:bidi="th-TH"/>
              </w:rPr>
              <w:t>Estudios sobre la contribución económica de las industrias del derecho de autor y evaluación de la piratería del derecho de autor</w:t>
            </w:r>
          </w:p>
        </w:tc>
        <w:tc>
          <w:tcPr>
            <w:tcW w:w="1134" w:type="dxa"/>
          </w:tcPr>
          <w:p w:rsidR="003E311F" w:rsidRPr="00515D00" w:rsidRDefault="003E311F" w:rsidP="007A358B">
            <w:pPr>
              <w:keepNext/>
              <w:autoSpaceDE w:val="0"/>
              <w:autoSpaceDN w:val="0"/>
              <w:adjustRightInd w:val="0"/>
              <w:spacing w:before="60" w:after="60"/>
              <w:rPr>
                <w:rFonts w:eastAsia="MS Mincho"/>
                <w:color w:val="000000"/>
                <w:sz w:val="16"/>
                <w:szCs w:val="16"/>
                <w:lang w:eastAsia="ja-JP" w:bidi="th-TH"/>
              </w:rPr>
            </w:pPr>
            <w:r w:rsidRPr="00515D00">
              <w:rPr>
                <w:rFonts w:eastAsia="MS Mincho"/>
                <w:color w:val="000000"/>
                <w:sz w:val="16"/>
                <w:szCs w:val="16"/>
                <w:lang w:eastAsia="ja-JP" w:bidi="th-TH"/>
              </w:rPr>
              <w:t>Enero a mayo de 2015</w:t>
            </w:r>
          </w:p>
        </w:tc>
        <w:tc>
          <w:tcPr>
            <w:tcW w:w="1700" w:type="dxa"/>
          </w:tcPr>
          <w:p w:rsidR="003E311F" w:rsidRPr="00515D00" w:rsidRDefault="003E311F" w:rsidP="007A358B">
            <w:pPr>
              <w:keepNext/>
              <w:autoSpaceDE w:val="0"/>
              <w:autoSpaceDN w:val="0"/>
              <w:adjustRightInd w:val="0"/>
              <w:spacing w:before="60" w:after="60"/>
              <w:rPr>
                <w:rFonts w:eastAsia="MS Mincho"/>
                <w:color w:val="000000"/>
                <w:sz w:val="16"/>
                <w:szCs w:val="16"/>
                <w:lang w:eastAsia="ja-JP" w:bidi="th-TH"/>
              </w:rPr>
            </w:pPr>
            <w:r w:rsidRPr="00515D00">
              <w:rPr>
                <w:rFonts w:eastAsia="MS Mincho"/>
                <w:color w:val="000000"/>
                <w:sz w:val="16"/>
                <w:szCs w:val="16"/>
                <w:lang w:eastAsia="ja-JP" w:bidi="th-TH"/>
              </w:rPr>
              <w:t xml:space="preserve">Etiopía, República de </w:t>
            </w:r>
            <w:proofErr w:type="spellStart"/>
            <w:r w:rsidRPr="00515D00">
              <w:rPr>
                <w:rFonts w:eastAsia="MS Mincho"/>
                <w:color w:val="000000"/>
                <w:sz w:val="16"/>
                <w:szCs w:val="16"/>
                <w:lang w:eastAsia="ja-JP" w:bidi="th-TH"/>
              </w:rPr>
              <w:t>Moldova</w:t>
            </w:r>
            <w:proofErr w:type="spellEnd"/>
            <w:r w:rsidRPr="00515D00">
              <w:rPr>
                <w:rFonts w:eastAsia="MS Mincho"/>
                <w:color w:val="000000"/>
                <w:sz w:val="16"/>
                <w:szCs w:val="16"/>
                <w:lang w:eastAsia="ja-JP" w:bidi="th-TH"/>
              </w:rPr>
              <w:t xml:space="preserve"> </w:t>
            </w:r>
          </w:p>
        </w:tc>
        <w:tc>
          <w:tcPr>
            <w:tcW w:w="4962" w:type="dxa"/>
          </w:tcPr>
          <w:p w:rsidR="003E311F" w:rsidRPr="00515D00" w:rsidRDefault="003E311F" w:rsidP="007A358B">
            <w:pPr>
              <w:keepNext/>
              <w:autoSpaceDE w:val="0"/>
              <w:autoSpaceDN w:val="0"/>
              <w:adjustRightInd w:val="0"/>
              <w:spacing w:before="60" w:after="60"/>
              <w:rPr>
                <w:rFonts w:eastAsia="MS Mincho"/>
                <w:color w:val="000000"/>
                <w:sz w:val="16"/>
                <w:szCs w:val="16"/>
                <w:lang w:eastAsia="ja-JP" w:bidi="th-TH"/>
              </w:rPr>
            </w:pPr>
            <w:r>
              <w:rPr>
                <w:rFonts w:eastAsia="MS Mincho"/>
                <w:color w:val="000000"/>
                <w:sz w:val="16"/>
                <w:szCs w:val="16"/>
                <w:lang w:eastAsia="ja-JP" w:bidi="th-TH"/>
              </w:rPr>
              <w:t>Finalización de d</w:t>
            </w:r>
            <w:r w:rsidRPr="00515D00">
              <w:rPr>
                <w:rFonts w:eastAsia="MS Mincho"/>
                <w:color w:val="000000"/>
                <w:sz w:val="16"/>
                <w:szCs w:val="16"/>
                <w:lang w:eastAsia="ja-JP" w:bidi="th-TH"/>
              </w:rPr>
              <w:t xml:space="preserve">os </w:t>
            </w:r>
            <w:r>
              <w:rPr>
                <w:rFonts w:eastAsia="MS Mincho"/>
                <w:color w:val="000000"/>
                <w:sz w:val="16"/>
                <w:szCs w:val="16"/>
                <w:lang w:eastAsia="ja-JP" w:bidi="th-TH"/>
              </w:rPr>
              <w:t xml:space="preserve">nuevos </w:t>
            </w:r>
            <w:r w:rsidRPr="00515D00">
              <w:rPr>
                <w:rFonts w:eastAsia="MS Mincho"/>
                <w:sz w:val="16"/>
                <w:szCs w:val="16"/>
                <w:lang w:eastAsia="ja-JP" w:bidi="th-TH"/>
              </w:rPr>
              <w:t>estudios de la OMPI sobre la contribución económica de las industrias del derecho de autor (</w:t>
            </w:r>
            <w:r w:rsidRPr="00515D00">
              <w:rPr>
                <w:rFonts w:eastAsia="MS Mincho"/>
                <w:color w:val="000000"/>
                <w:sz w:val="16"/>
                <w:szCs w:val="16"/>
                <w:lang w:eastAsia="ja-JP" w:bidi="th-TH"/>
              </w:rPr>
              <w:t xml:space="preserve">Etiopía y República de </w:t>
            </w:r>
            <w:proofErr w:type="spellStart"/>
            <w:r w:rsidRPr="00515D00">
              <w:rPr>
                <w:rFonts w:eastAsia="MS Mincho"/>
                <w:color w:val="000000"/>
                <w:sz w:val="16"/>
                <w:szCs w:val="16"/>
                <w:lang w:eastAsia="ja-JP" w:bidi="th-TH"/>
              </w:rPr>
              <w:t>Moldova</w:t>
            </w:r>
            <w:proofErr w:type="spellEnd"/>
            <w:r w:rsidRPr="00515D00">
              <w:rPr>
                <w:rFonts w:eastAsia="MS Mincho"/>
                <w:color w:val="000000"/>
                <w:sz w:val="16"/>
                <w:szCs w:val="16"/>
                <w:lang w:eastAsia="ja-JP" w:bidi="th-TH"/>
              </w:rPr>
              <w:t>) para su publicación.</w:t>
            </w:r>
          </w:p>
          <w:p w:rsidR="003E311F" w:rsidRPr="00515D00" w:rsidRDefault="003E311F" w:rsidP="007A358B">
            <w:pPr>
              <w:keepNext/>
              <w:autoSpaceDE w:val="0"/>
              <w:autoSpaceDN w:val="0"/>
              <w:adjustRightInd w:val="0"/>
              <w:spacing w:before="60" w:after="60"/>
              <w:rPr>
                <w:rFonts w:eastAsia="MS Mincho"/>
                <w:color w:val="000000"/>
                <w:sz w:val="16"/>
                <w:szCs w:val="16"/>
                <w:lang w:eastAsia="ja-JP" w:bidi="th-TH"/>
              </w:rPr>
            </w:pPr>
          </w:p>
        </w:tc>
      </w:tr>
    </w:tbl>
    <w:p w:rsidR="003E311F" w:rsidRPr="00515D00" w:rsidRDefault="003E311F" w:rsidP="003E311F"/>
    <w:p w:rsidR="003E311F" w:rsidRPr="00515D00" w:rsidRDefault="003E311F" w:rsidP="003E311F">
      <w:pPr>
        <w:rPr>
          <w:b/>
        </w:rPr>
      </w:pPr>
    </w:p>
    <w:p w:rsidR="003E311F" w:rsidRPr="007329AC" w:rsidRDefault="003E311F" w:rsidP="003E311F">
      <w:pPr>
        <w:rPr>
          <w:b/>
          <w:bCs/>
          <w:color w:val="000000"/>
          <w:sz w:val="20"/>
        </w:rPr>
      </w:pPr>
      <w:r w:rsidRPr="007329AC">
        <w:rPr>
          <w:b/>
          <w:sz w:val="20"/>
        </w:rPr>
        <w:t xml:space="preserve">FINLANDIA / DERECHO DE AUTOR Contribuciones de donantes y gastos de </w:t>
      </w:r>
      <w:r w:rsidRPr="007329AC">
        <w:rPr>
          <w:b/>
          <w:bCs/>
          <w:color w:val="000000"/>
          <w:sz w:val="20"/>
        </w:rPr>
        <w:t>2015</w:t>
      </w:r>
    </w:p>
    <w:p w:rsidR="003E311F" w:rsidRPr="00515D00" w:rsidRDefault="003E311F" w:rsidP="003E311F"/>
    <w:tbl>
      <w:tblPr>
        <w:tblW w:w="9791" w:type="dxa"/>
        <w:tblInd w:w="98" w:type="dxa"/>
        <w:tblLook w:val="04A0" w:firstRow="1" w:lastRow="0" w:firstColumn="1" w:lastColumn="0" w:noHBand="0" w:noVBand="1"/>
      </w:tblPr>
      <w:tblGrid>
        <w:gridCol w:w="2040"/>
        <w:gridCol w:w="1640"/>
        <w:gridCol w:w="1860"/>
        <w:gridCol w:w="1780"/>
        <w:gridCol w:w="2471"/>
      </w:tblGrid>
      <w:tr w:rsidR="003E311F" w:rsidRPr="00515D00" w:rsidTr="007A358B">
        <w:trPr>
          <w:trHeight w:val="450"/>
        </w:trPr>
        <w:tc>
          <w:tcPr>
            <w:tcW w:w="2040" w:type="dxa"/>
            <w:tcBorders>
              <w:top w:val="single" w:sz="8" w:space="0" w:color="auto"/>
              <w:left w:val="single" w:sz="8" w:space="0" w:color="auto"/>
              <w:bottom w:val="nil"/>
              <w:right w:val="single" w:sz="8" w:space="0" w:color="auto"/>
            </w:tcBorders>
            <w:shd w:val="clear" w:color="000000" w:fill="C5D9F1"/>
            <w:vAlign w:val="center"/>
            <w:hideMark/>
          </w:tcPr>
          <w:p w:rsidR="003E311F" w:rsidRPr="00515D00" w:rsidRDefault="005C708A" w:rsidP="005C708A">
            <w:pPr>
              <w:jc w:val="center"/>
              <w:rPr>
                <w:b/>
                <w:bCs/>
                <w:color w:val="000000"/>
                <w:sz w:val="16"/>
                <w:szCs w:val="16"/>
              </w:rPr>
            </w:pPr>
            <w:r>
              <w:rPr>
                <w:b/>
                <w:bCs/>
                <w:sz w:val="16"/>
                <w:szCs w:val="16"/>
              </w:rPr>
              <w:t>Saldo el</w:t>
            </w:r>
            <w:r w:rsidR="003E311F" w:rsidRPr="00515D00">
              <w:rPr>
                <w:b/>
                <w:bCs/>
                <w:sz w:val="16"/>
                <w:szCs w:val="16"/>
              </w:rPr>
              <w:t xml:space="preserve"> 31 de diciembre de </w:t>
            </w:r>
            <w:r w:rsidR="003E311F" w:rsidRPr="00515D00">
              <w:rPr>
                <w:b/>
                <w:bCs/>
                <w:color w:val="000000"/>
                <w:sz w:val="16"/>
                <w:szCs w:val="16"/>
              </w:rPr>
              <w:t>2014</w:t>
            </w:r>
          </w:p>
        </w:tc>
        <w:tc>
          <w:tcPr>
            <w:tcW w:w="1640" w:type="dxa"/>
            <w:tcBorders>
              <w:top w:val="single" w:sz="8" w:space="0" w:color="auto"/>
              <w:left w:val="nil"/>
              <w:bottom w:val="nil"/>
              <w:right w:val="single" w:sz="8" w:space="0" w:color="auto"/>
            </w:tcBorders>
            <w:shd w:val="clear" w:color="000000" w:fill="C5D9F1"/>
            <w:vAlign w:val="center"/>
            <w:hideMark/>
          </w:tcPr>
          <w:p w:rsidR="003E311F" w:rsidRPr="00515D00" w:rsidRDefault="003E311F" w:rsidP="007A358B">
            <w:pPr>
              <w:jc w:val="center"/>
              <w:rPr>
                <w:b/>
                <w:bCs/>
                <w:color w:val="000000"/>
                <w:sz w:val="16"/>
                <w:szCs w:val="16"/>
              </w:rPr>
            </w:pPr>
            <w:r w:rsidRPr="00515D00">
              <w:rPr>
                <w:b/>
                <w:bCs/>
                <w:sz w:val="16"/>
                <w:szCs w:val="16"/>
              </w:rPr>
              <w:t xml:space="preserve">Ingresos en </w:t>
            </w:r>
            <w:r w:rsidRPr="00515D00">
              <w:rPr>
                <w:b/>
                <w:bCs/>
                <w:color w:val="000000"/>
                <w:sz w:val="16"/>
                <w:szCs w:val="16"/>
              </w:rPr>
              <w:t>2015</w:t>
            </w:r>
          </w:p>
        </w:tc>
        <w:tc>
          <w:tcPr>
            <w:tcW w:w="1860" w:type="dxa"/>
            <w:tcBorders>
              <w:top w:val="single" w:sz="8" w:space="0" w:color="auto"/>
              <w:left w:val="nil"/>
              <w:bottom w:val="nil"/>
              <w:right w:val="single" w:sz="8" w:space="0" w:color="auto"/>
            </w:tcBorders>
            <w:shd w:val="clear" w:color="000000" w:fill="C5D9F1"/>
            <w:vAlign w:val="center"/>
            <w:hideMark/>
          </w:tcPr>
          <w:p w:rsidR="003E311F" w:rsidRPr="00515D00" w:rsidRDefault="003E311F" w:rsidP="007A358B">
            <w:pPr>
              <w:jc w:val="center"/>
              <w:rPr>
                <w:b/>
                <w:bCs/>
                <w:color w:val="000000"/>
                <w:sz w:val="16"/>
                <w:szCs w:val="16"/>
              </w:rPr>
            </w:pPr>
            <w:r w:rsidRPr="00515D00">
              <w:rPr>
                <w:b/>
                <w:bCs/>
                <w:sz w:val="16"/>
                <w:szCs w:val="16"/>
              </w:rPr>
              <w:t xml:space="preserve">Gastos en </w:t>
            </w:r>
            <w:r w:rsidRPr="00515D00">
              <w:rPr>
                <w:b/>
                <w:bCs/>
                <w:color w:val="000000"/>
                <w:sz w:val="16"/>
                <w:szCs w:val="16"/>
              </w:rPr>
              <w:t>2015</w:t>
            </w:r>
          </w:p>
        </w:tc>
        <w:tc>
          <w:tcPr>
            <w:tcW w:w="1780" w:type="dxa"/>
            <w:tcBorders>
              <w:top w:val="single" w:sz="8" w:space="0" w:color="auto"/>
              <w:left w:val="nil"/>
              <w:bottom w:val="nil"/>
              <w:right w:val="single" w:sz="8" w:space="0" w:color="auto"/>
            </w:tcBorders>
            <w:shd w:val="clear" w:color="000000" w:fill="C5D9F1"/>
            <w:vAlign w:val="center"/>
            <w:hideMark/>
          </w:tcPr>
          <w:p w:rsidR="003E311F" w:rsidRPr="00515D00" w:rsidRDefault="003E311F" w:rsidP="007A358B">
            <w:pPr>
              <w:jc w:val="center"/>
              <w:rPr>
                <w:b/>
                <w:bCs/>
                <w:color w:val="000000"/>
                <w:sz w:val="16"/>
                <w:szCs w:val="16"/>
              </w:rPr>
            </w:pPr>
            <w:r w:rsidRPr="00515D00">
              <w:rPr>
                <w:b/>
                <w:bCs/>
                <w:sz w:val="16"/>
                <w:szCs w:val="16"/>
              </w:rPr>
              <w:t>Reembolsos</w:t>
            </w:r>
          </w:p>
        </w:tc>
        <w:tc>
          <w:tcPr>
            <w:tcW w:w="2471" w:type="dxa"/>
            <w:tcBorders>
              <w:top w:val="single" w:sz="8" w:space="0" w:color="auto"/>
              <w:left w:val="nil"/>
              <w:bottom w:val="nil"/>
              <w:right w:val="single" w:sz="8" w:space="0" w:color="auto"/>
            </w:tcBorders>
            <w:shd w:val="clear" w:color="000000" w:fill="C5D9F1"/>
            <w:vAlign w:val="center"/>
            <w:hideMark/>
          </w:tcPr>
          <w:p w:rsidR="003E311F" w:rsidRPr="00515D00" w:rsidRDefault="005C708A" w:rsidP="005C708A">
            <w:pPr>
              <w:jc w:val="center"/>
              <w:rPr>
                <w:b/>
                <w:bCs/>
                <w:color w:val="000000"/>
                <w:sz w:val="16"/>
                <w:szCs w:val="16"/>
              </w:rPr>
            </w:pPr>
            <w:r>
              <w:rPr>
                <w:b/>
                <w:bCs/>
                <w:sz w:val="16"/>
                <w:szCs w:val="16"/>
              </w:rPr>
              <w:t>Saldo el</w:t>
            </w:r>
            <w:r w:rsidR="003E311F" w:rsidRPr="00515D00">
              <w:rPr>
                <w:b/>
                <w:bCs/>
                <w:sz w:val="16"/>
                <w:szCs w:val="16"/>
              </w:rPr>
              <w:t xml:space="preserve"> 31 de diciembre de </w:t>
            </w:r>
            <w:r w:rsidR="003E311F" w:rsidRPr="00515D00">
              <w:rPr>
                <w:b/>
                <w:bCs/>
                <w:color w:val="000000"/>
                <w:sz w:val="16"/>
                <w:szCs w:val="16"/>
              </w:rPr>
              <w:t>2015</w:t>
            </w:r>
          </w:p>
        </w:tc>
      </w:tr>
      <w:tr w:rsidR="003E311F" w:rsidRPr="00515D00" w:rsidTr="007A358B">
        <w:trPr>
          <w:trHeight w:val="255"/>
        </w:trPr>
        <w:tc>
          <w:tcPr>
            <w:tcW w:w="2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311F" w:rsidRPr="00515D00" w:rsidRDefault="003E311F" w:rsidP="007A358B">
            <w:pPr>
              <w:jc w:val="center"/>
              <w:rPr>
                <w:color w:val="000000"/>
                <w:sz w:val="16"/>
                <w:szCs w:val="16"/>
              </w:rPr>
            </w:pPr>
            <w:r w:rsidRPr="00515D00">
              <w:rPr>
                <w:color w:val="000000"/>
                <w:sz w:val="16"/>
                <w:szCs w:val="16"/>
              </w:rPr>
              <w:t>66.020</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3E311F" w:rsidRPr="00515D00" w:rsidRDefault="003E311F" w:rsidP="007A358B">
            <w:pPr>
              <w:jc w:val="center"/>
              <w:rPr>
                <w:color w:val="000000"/>
                <w:sz w:val="16"/>
                <w:szCs w:val="16"/>
              </w:rPr>
            </w:pPr>
            <w:r w:rsidRPr="00515D00">
              <w:rPr>
                <w:color w:val="000000"/>
                <w:sz w:val="16"/>
                <w:szCs w:val="16"/>
              </w:rPr>
              <w:t>-</w:t>
            </w:r>
          </w:p>
        </w:tc>
        <w:tc>
          <w:tcPr>
            <w:tcW w:w="1860" w:type="dxa"/>
            <w:tcBorders>
              <w:top w:val="single" w:sz="4" w:space="0" w:color="auto"/>
              <w:left w:val="nil"/>
              <w:bottom w:val="single" w:sz="4" w:space="0" w:color="auto"/>
              <w:right w:val="single" w:sz="4" w:space="0" w:color="auto"/>
            </w:tcBorders>
            <w:shd w:val="clear" w:color="auto" w:fill="auto"/>
            <w:vAlign w:val="center"/>
            <w:hideMark/>
          </w:tcPr>
          <w:p w:rsidR="003E311F" w:rsidRPr="00515D00" w:rsidRDefault="003E311F" w:rsidP="007A358B">
            <w:pPr>
              <w:jc w:val="center"/>
              <w:rPr>
                <w:color w:val="000000"/>
                <w:sz w:val="16"/>
                <w:szCs w:val="16"/>
              </w:rPr>
            </w:pPr>
            <w:r w:rsidRPr="00515D00">
              <w:rPr>
                <w:color w:val="000000"/>
                <w:sz w:val="16"/>
                <w:szCs w:val="16"/>
              </w:rPr>
              <w:t>51.660</w:t>
            </w:r>
          </w:p>
        </w:tc>
        <w:tc>
          <w:tcPr>
            <w:tcW w:w="1780" w:type="dxa"/>
            <w:tcBorders>
              <w:top w:val="single" w:sz="4" w:space="0" w:color="auto"/>
              <w:left w:val="nil"/>
              <w:bottom w:val="single" w:sz="4" w:space="0" w:color="auto"/>
              <w:right w:val="single" w:sz="4" w:space="0" w:color="auto"/>
            </w:tcBorders>
            <w:shd w:val="clear" w:color="auto" w:fill="auto"/>
            <w:noWrap/>
            <w:vAlign w:val="center"/>
            <w:hideMark/>
          </w:tcPr>
          <w:p w:rsidR="003E311F" w:rsidRPr="00515D00" w:rsidRDefault="003E311F" w:rsidP="007A358B">
            <w:pPr>
              <w:jc w:val="center"/>
              <w:rPr>
                <w:color w:val="000000"/>
                <w:sz w:val="16"/>
                <w:szCs w:val="16"/>
              </w:rPr>
            </w:pPr>
            <w:r w:rsidRPr="00515D00">
              <w:rPr>
                <w:color w:val="000000"/>
                <w:sz w:val="16"/>
                <w:szCs w:val="16"/>
              </w:rPr>
              <w:t>-</w:t>
            </w:r>
          </w:p>
        </w:tc>
        <w:tc>
          <w:tcPr>
            <w:tcW w:w="2471" w:type="dxa"/>
            <w:tcBorders>
              <w:top w:val="single" w:sz="4" w:space="0" w:color="auto"/>
              <w:left w:val="nil"/>
              <w:bottom w:val="single" w:sz="4" w:space="0" w:color="auto"/>
              <w:right w:val="single" w:sz="4" w:space="0" w:color="auto"/>
            </w:tcBorders>
            <w:shd w:val="clear" w:color="auto" w:fill="auto"/>
            <w:vAlign w:val="center"/>
            <w:hideMark/>
          </w:tcPr>
          <w:p w:rsidR="003E311F" w:rsidRPr="00515D00" w:rsidRDefault="003E311F" w:rsidP="007A358B">
            <w:pPr>
              <w:jc w:val="center"/>
              <w:rPr>
                <w:color w:val="000000"/>
                <w:sz w:val="16"/>
                <w:szCs w:val="16"/>
              </w:rPr>
            </w:pPr>
            <w:r w:rsidRPr="00515D00">
              <w:rPr>
                <w:color w:val="000000"/>
                <w:sz w:val="16"/>
                <w:szCs w:val="16"/>
              </w:rPr>
              <w:t>14.360</w:t>
            </w:r>
          </w:p>
        </w:tc>
      </w:tr>
    </w:tbl>
    <w:p w:rsidR="003E311F" w:rsidRPr="007329AC" w:rsidRDefault="003E311F" w:rsidP="003E311F">
      <w:pPr>
        <w:rPr>
          <w:sz w:val="20"/>
        </w:rPr>
      </w:pPr>
    </w:p>
    <w:p w:rsidR="003E311F" w:rsidRPr="007329AC" w:rsidRDefault="003E311F" w:rsidP="003E311F">
      <w:pPr>
        <w:rPr>
          <w:b/>
          <w:sz w:val="20"/>
        </w:rPr>
      </w:pPr>
    </w:p>
    <w:p w:rsidR="003E311F" w:rsidRPr="007329AC" w:rsidRDefault="003E311F" w:rsidP="008C6B61">
      <w:pPr>
        <w:keepNext/>
        <w:widowControl w:val="0"/>
        <w:tabs>
          <w:tab w:val="left" w:pos="0"/>
          <w:tab w:val="left" w:pos="9071"/>
        </w:tabs>
        <w:rPr>
          <w:b/>
          <w:sz w:val="20"/>
        </w:rPr>
      </w:pPr>
      <w:r w:rsidRPr="00BC05F0">
        <w:rPr>
          <w:b/>
          <w:sz w:val="20"/>
        </w:rPr>
        <w:t>FRANCIA – PROPIEDAD INDUSTRIAL</w:t>
      </w:r>
    </w:p>
    <w:p w:rsidR="003E311F" w:rsidRPr="007329AC" w:rsidRDefault="003E311F" w:rsidP="008C6B61">
      <w:pPr>
        <w:keepNext/>
        <w:keepLines/>
        <w:rPr>
          <w:b/>
          <w:sz w:val="20"/>
        </w:rPr>
      </w:pPr>
    </w:p>
    <w:tbl>
      <w:tblPr>
        <w:tblW w:w="978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80"/>
        <w:gridCol w:w="1260"/>
        <w:gridCol w:w="1530"/>
        <w:gridCol w:w="5012"/>
      </w:tblGrid>
      <w:tr w:rsidR="003E311F" w:rsidRPr="00057B87" w:rsidTr="007A358B">
        <w:tc>
          <w:tcPr>
            <w:tcW w:w="9782" w:type="dxa"/>
            <w:gridSpan w:val="4"/>
            <w:tcBorders>
              <w:top w:val="single" w:sz="4" w:space="0" w:color="auto"/>
              <w:bottom w:val="single" w:sz="4" w:space="0" w:color="auto"/>
            </w:tcBorders>
            <w:shd w:val="clear" w:color="auto" w:fill="C6D9F1" w:themeFill="text2" w:themeFillTint="33"/>
            <w:vAlign w:val="center"/>
          </w:tcPr>
          <w:p w:rsidR="003E311F" w:rsidRPr="00515D00" w:rsidRDefault="003E311F" w:rsidP="008C6B61">
            <w:pPr>
              <w:keepNext/>
              <w:keepLines/>
              <w:tabs>
                <w:tab w:val="left" w:pos="1740"/>
              </w:tabs>
              <w:spacing w:before="120" w:after="60"/>
              <w:ind w:left="1741" w:hanging="1741"/>
              <w:rPr>
                <w:b/>
                <w:bCs/>
                <w:sz w:val="16"/>
                <w:szCs w:val="16"/>
              </w:rPr>
            </w:pPr>
            <w:r w:rsidRPr="00515D00">
              <w:rPr>
                <w:b/>
                <w:bCs/>
                <w:color w:val="000000"/>
                <w:sz w:val="16"/>
                <w:szCs w:val="16"/>
              </w:rPr>
              <w:t>RESULTADO:</w:t>
            </w:r>
            <w:r w:rsidRPr="00515D00">
              <w:rPr>
                <w:b/>
                <w:bCs/>
                <w:sz w:val="16"/>
                <w:szCs w:val="16"/>
              </w:rPr>
              <w:tab/>
            </w:r>
            <w:r w:rsidRPr="00515D00">
              <w:rPr>
                <w:rFonts w:eastAsia="MS Mincho"/>
                <w:bCs/>
                <w:color w:val="000000"/>
                <w:sz w:val="16"/>
                <w:szCs w:val="16"/>
                <w:lang w:eastAsia="ja-JP" w:bidi="th-TH"/>
              </w:rPr>
              <w:t>III.2  Aumento de las capacidades en recursos humanos para hacer frente a la gran diversidad de exigencias que supone la utilización eficaz de la P.I. para fomentar el desarrollo en los países en desarrollo, PMA y países con economías en transición</w:t>
            </w:r>
          </w:p>
        </w:tc>
      </w:tr>
      <w:tr w:rsidR="003E311F" w:rsidRPr="00515D00" w:rsidTr="007A358B">
        <w:tc>
          <w:tcPr>
            <w:tcW w:w="1980" w:type="dxa"/>
            <w:tcBorders>
              <w:top w:val="single" w:sz="4" w:space="0" w:color="auto"/>
            </w:tcBorders>
            <w:vAlign w:val="center"/>
          </w:tcPr>
          <w:p w:rsidR="003E311F" w:rsidRPr="00515D00" w:rsidRDefault="003E311F" w:rsidP="008C6B61">
            <w:pPr>
              <w:keepNext/>
              <w:keepLines/>
              <w:spacing w:before="60" w:after="60"/>
              <w:rPr>
                <w:b/>
                <w:bCs/>
                <w:sz w:val="16"/>
                <w:szCs w:val="16"/>
              </w:rPr>
            </w:pPr>
            <w:r w:rsidRPr="00515D00">
              <w:rPr>
                <w:b/>
                <w:bCs/>
                <w:sz w:val="16"/>
                <w:szCs w:val="16"/>
              </w:rPr>
              <w:t>Actividad</w:t>
            </w:r>
          </w:p>
        </w:tc>
        <w:tc>
          <w:tcPr>
            <w:tcW w:w="1260" w:type="dxa"/>
            <w:tcBorders>
              <w:top w:val="single" w:sz="4" w:space="0" w:color="auto"/>
            </w:tcBorders>
            <w:shd w:val="clear" w:color="auto" w:fill="auto"/>
            <w:tcMar>
              <w:top w:w="110" w:type="dxa"/>
            </w:tcMar>
            <w:vAlign w:val="center"/>
          </w:tcPr>
          <w:p w:rsidR="003E311F" w:rsidRPr="00515D00" w:rsidRDefault="003E311F" w:rsidP="008C6B61">
            <w:pPr>
              <w:keepNext/>
              <w:keepLines/>
              <w:spacing w:before="60" w:after="60"/>
              <w:rPr>
                <w:sz w:val="16"/>
                <w:szCs w:val="16"/>
              </w:rPr>
            </w:pPr>
            <w:r w:rsidRPr="00515D00">
              <w:rPr>
                <w:b/>
                <w:bCs/>
                <w:sz w:val="16"/>
                <w:szCs w:val="16"/>
              </w:rPr>
              <w:t>Fecha</w:t>
            </w:r>
          </w:p>
        </w:tc>
        <w:tc>
          <w:tcPr>
            <w:tcW w:w="1530" w:type="dxa"/>
            <w:tcBorders>
              <w:top w:val="single" w:sz="4" w:space="0" w:color="auto"/>
            </w:tcBorders>
            <w:shd w:val="clear" w:color="auto" w:fill="auto"/>
            <w:tcMar>
              <w:top w:w="110" w:type="dxa"/>
            </w:tcMar>
            <w:vAlign w:val="center"/>
          </w:tcPr>
          <w:p w:rsidR="003E311F" w:rsidRPr="00515D00" w:rsidRDefault="003E311F" w:rsidP="008C6B61">
            <w:pPr>
              <w:keepNext/>
              <w:widowControl w:val="0"/>
              <w:rPr>
                <w:sz w:val="16"/>
                <w:szCs w:val="16"/>
              </w:rPr>
            </w:pPr>
            <w:r w:rsidRPr="00515D00">
              <w:rPr>
                <w:b/>
                <w:sz w:val="16"/>
                <w:szCs w:val="16"/>
              </w:rPr>
              <w:t>País anfitrión / Beneficiarios</w:t>
            </w:r>
          </w:p>
        </w:tc>
        <w:tc>
          <w:tcPr>
            <w:tcW w:w="5012" w:type="dxa"/>
            <w:tcBorders>
              <w:top w:val="single" w:sz="4" w:space="0" w:color="auto"/>
            </w:tcBorders>
            <w:shd w:val="clear" w:color="auto" w:fill="FFFFFF"/>
            <w:tcMar>
              <w:top w:w="110" w:type="dxa"/>
            </w:tcMar>
            <w:vAlign w:val="center"/>
          </w:tcPr>
          <w:p w:rsidR="003E311F" w:rsidRPr="00515D00" w:rsidRDefault="003E311F" w:rsidP="008C6B61">
            <w:pPr>
              <w:keepNext/>
              <w:widowControl w:val="0"/>
              <w:rPr>
                <w:sz w:val="16"/>
                <w:szCs w:val="16"/>
              </w:rPr>
            </w:pPr>
            <w:r w:rsidRPr="00515D00">
              <w:rPr>
                <w:b/>
                <w:sz w:val="16"/>
                <w:szCs w:val="16"/>
              </w:rPr>
              <w:t>Propósito(s)/Descripción</w:t>
            </w:r>
          </w:p>
        </w:tc>
      </w:tr>
      <w:tr w:rsidR="003E311F" w:rsidRPr="00057B87" w:rsidTr="007A358B">
        <w:tc>
          <w:tcPr>
            <w:tcW w:w="1980" w:type="dxa"/>
          </w:tcPr>
          <w:p w:rsidR="003E311F" w:rsidRPr="00515D00" w:rsidRDefault="003E311F" w:rsidP="007A358B">
            <w:pPr>
              <w:autoSpaceDE w:val="0"/>
              <w:autoSpaceDN w:val="0"/>
              <w:adjustRightInd w:val="0"/>
              <w:spacing w:before="60" w:after="60"/>
              <w:rPr>
                <w:rFonts w:eastAsia="MS Mincho"/>
                <w:color w:val="000000"/>
                <w:sz w:val="16"/>
                <w:szCs w:val="16"/>
                <w:lang w:eastAsia="ja-JP" w:bidi="th-TH"/>
              </w:rPr>
            </w:pPr>
            <w:r w:rsidRPr="00515D00">
              <w:rPr>
                <w:rFonts w:eastAsia="MS Mincho"/>
                <w:color w:val="000000"/>
                <w:sz w:val="16"/>
                <w:szCs w:val="16"/>
                <w:lang w:eastAsia="ja-JP" w:bidi="th-TH"/>
              </w:rPr>
              <w:t>Taller regional:  "Innovar a través de patentes"</w:t>
            </w:r>
          </w:p>
          <w:p w:rsidR="003E311F" w:rsidRPr="00515D00" w:rsidRDefault="003E311F" w:rsidP="007A358B">
            <w:pPr>
              <w:autoSpaceDE w:val="0"/>
              <w:autoSpaceDN w:val="0"/>
              <w:adjustRightInd w:val="0"/>
              <w:spacing w:before="60" w:after="60"/>
              <w:rPr>
                <w:rFonts w:eastAsia="MS Mincho"/>
                <w:color w:val="000000"/>
                <w:sz w:val="16"/>
                <w:szCs w:val="16"/>
                <w:lang w:eastAsia="ja-JP" w:bidi="th-TH"/>
              </w:rPr>
            </w:pPr>
          </w:p>
        </w:tc>
        <w:tc>
          <w:tcPr>
            <w:tcW w:w="1260" w:type="dxa"/>
          </w:tcPr>
          <w:p w:rsidR="003E311F" w:rsidRPr="00515D00" w:rsidRDefault="003E311F" w:rsidP="007A358B">
            <w:pPr>
              <w:autoSpaceDE w:val="0"/>
              <w:autoSpaceDN w:val="0"/>
              <w:adjustRightInd w:val="0"/>
              <w:spacing w:before="60" w:after="60"/>
              <w:rPr>
                <w:rFonts w:eastAsia="MS Mincho"/>
                <w:color w:val="000000"/>
                <w:sz w:val="16"/>
                <w:szCs w:val="16"/>
                <w:lang w:eastAsia="ja-JP" w:bidi="th-TH"/>
              </w:rPr>
            </w:pPr>
            <w:r w:rsidRPr="00515D00">
              <w:rPr>
                <w:rFonts w:eastAsia="MS Mincho"/>
                <w:color w:val="000000"/>
                <w:sz w:val="16"/>
                <w:szCs w:val="16"/>
                <w:lang w:eastAsia="ja-JP" w:bidi="th-TH"/>
              </w:rPr>
              <w:t>19 a 20 de mayo de 2015</w:t>
            </w:r>
          </w:p>
        </w:tc>
        <w:tc>
          <w:tcPr>
            <w:tcW w:w="1530" w:type="dxa"/>
          </w:tcPr>
          <w:p w:rsidR="003E311F" w:rsidRPr="00515D00" w:rsidRDefault="003E311F" w:rsidP="007A358B">
            <w:pPr>
              <w:autoSpaceDE w:val="0"/>
              <w:autoSpaceDN w:val="0"/>
              <w:adjustRightInd w:val="0"/>
              <w:spacing w:before="60" w:after="60"/>
              <w:rPr>
                <w:rFonts w:eastAsia="MS Mincho"/>
                <w:color w:val="000000"/>
                <w:sz w:val="16"/>
                <w:szCs w:val="16"/>
                <w:lang w:eastAsia="ja-JP" w:bidi="th-TH"/>
              </w:rPr>
            </w:pPr>
            <w:r w:rsidRPr="00515D00">
              <w:rPr>
                <w:rFonts w:eastAsia="MS Mincho"/>
                <w:color w:val="000000"/>
                <w:sz w:val="16"/>
                <w:szCs w:val="16"/>
                <w:lang w:eastAsia="ja-JP" w:bidi="th-TH"/>
              </w:rPr>
              <w:t>Marruecos/ 15 participantes de Argelia,</w:t>
            </w:r>
            <w:r w:rsidRPr="00515D00">
              <w:t xml:space="preserve"> </w:t>
            </w:r>
            <w:r w:rsidRPr="00515D00">
              <w:rPr>
                <w:rFonts w:eastAsia="MS Mincho"/>
                <w:color w:val="000000"/>
                <w:sz w:val="16"/>
                <w:szCs w:val="16"/>
                <w:lang w:eastAsia="ja-JP" w:bidi="th-TH"/>
              </w:rPr>
              <w:t>la OAPI, y Túnez</w:t>
            </w:r>
          </w:p>
        </w:tc>
        <w:tc>
          <w:tcPr>
            <w:tcW w:w="5012" w:type="dxa"/>
          </w:tcPr>
          <w:p w:rsidR="003E311F" w:rsidRPr="00515D00" w:rsidRDefault="003E311F" w:rsidP="007A358B">
            <w:pPr>
              <w:autoSpaceDE w:val="0"/>
              <w:autoSpaceDN w:val="0"/>
              <w:adjustRightInd w:val="0"/>
              <w:spacing w:before="60" w:after="60"/>
              <w:rPr>
                <w:rFonts w:eastAsia="MS Mincho"/>
                <w:bCs/>
                <w:color w:val="000000"/>
                <w:sz w:val="16"/>
                <w:szCs w:val="16"/>
                <w:lang w:eastAsia="ja-JP" w:bidi="th-TH"/>
              </w:rPr>
            </w:pPr>
            <w:r w:rsidRPr="00515D00">
              <w:rPr>
                <w:rFonts w:eastAsia="MS Mincho"/>
                <w:bCs/>
                <w:color w:val="000000"/>
                <w:sz w:val="16"/>
                <w:szCs w:val="16"/>
                <w:lang w:eastAsia="ja-JP" w:bidi="th-TH"/>
              </w:rPr>
              <w:t>Alen</w:t>
            </w:r>
            <w:r>
              <w:rPr>
                <w:rFonts w:eastAsia="MS Mincho"/>
                <w:bCs/>
                <w:color w:val="000000"/>
                <w:sz w:val="16"/>
                <w:szCs w:val="16"/>
                <w:lang w:eastAsia="ja-JP" w:bidi="th-TH"/>
              </w:rPr>
              <w:t>tar a empresas, universidades, o</w:t>
            </w:r>
            <w:r w:rsidRPr="00515D00">
              <w:rPr>
                <w:rFonts w:eastAsia="MS Mincho"/>
                <w:bCs/>
                <w:color w:val="000000"/>
                <w:sz w:val="16"/>
                <w:szCs w:val="16"/>
                <w:lang w:eastAsia="ja-JP" w:bidi="th-TH"/>
              </w:rPr>
              <w:t xml:space="preserve">ficinas de P.I., instituciones de I+D y </w:t>
            </w:r>
            <w:r>
              <w:rPr>
                <w:rFonts w:eastAsia="MS Mincho"/>
                <w:bCs/>
                <w:color w:val="000000"/>
                <w:sz w:val="16"/>
                <w:szCs w:val="16"/>
                <w:lang w:eastAsia="ja-JP" w:bidi="th-TH"/>
              </w:rPr>
              <w:t>e</w:t>
            </w:r>
            <w:r w:rsidRPr="00515D00">
              <w:rPr>
                <w:rFonts w:eastAsia="MS Mincho"/>
                <w:bCs/>
                <w:color w:val="000000"/>
                <w:sz w:val="16"/>
                <w:szCs w:val="16"/>
                <w:lang w:eastAsia="ja-JP" w:bidi="th-TH"/>
              </w:rPr>
              <w:t>l sector privado a utilizar información sobre patentes</w:t>
            </w:r>
            <w:proofErr w:type="gramStart"/>
            <w:r w:rsidRPr="00515D00">
              <w:rPr>
                <w:rFonts w:eastAsia="MS Mincho"/>
                <w:bCs/>
                <w:color w:val="000000"/>
                <w:sz w:val="16"/>
                <w:szCs w:val="16"/>
                <w:lang w:eastAsia="ja-JP" w:bidi="th-TH"/>
              </w:rPr>
              <w:t>:  i</w:t>
            </w:r>
            <w:proofErr w:type="gramEnd"/>
            <w:r w:rsidRPr="00515D00">
              <w:rPr>
                <w:rFonts w:eastAsia="MS Mincho"/>
                <w:bCs/>
                <w:color w:val="000000"/>
                <w:sz w:val="16"/>
                <w:szCs w:val="16"/>
                <w:lang w:eastAsia="ja-JP" w:bidi="th-TH"/>
              </w:rPr>
              <w:t xml:space="preserve">) </w:t>
            </w:r>
            <w:r>
              <w:rPr>
                <w:rFonts w:eastAsia="MS Mincho"/>
                <w:bCs/>
                <w:color w:val="000000"/>
                <w:sz w:val="16"/>
                <w:szCs w:val="16"/>
                <w:lang w:eastAsia="ja-JP" w:bidi="th-TH"/>
              </w:rPr>
              <w:t xml:space="preserve">en el proceso de innovación; </w:t>
            </w:r>
            <w:r w:rsidRPr="00515D00">
              <w:rPr>
                <w:rFonts w:eastAsia="MS Mincho"/>
                <w:bCs/>
                <w:color w:val="000000"/>
                <w:sz w:val="16"/>
                <w:szCs w:val="16"/>
                <w:lang w:eastAsia="ja-JP" w:bidi="th-TH"/>
              </w:rPr>
              <w:t xml:space="preserve"> ii) p</w:t>
            </w:r>
            <w:r>
              <w:rPr>
                <w:rFonts w:eastAsia="MS Mincho"/>
                <w:bCs/>
                <w:color w:val="000000"/>
                <w:sz w:val="16"/>
                <w:szCs w:val="16"/>
                <w:lang w:eastAsia="ja-JP" w:bidi="th-TH"/>
              </w:rPr>
              <w:t xml:space="preserve">ara capitalizar el conocimiento; </w:t>
            </w:r>
            <w:r w:rsidRPr="00515D00">
              <w:rPr>
                <w:rFonts w:eastAsia="MS Mincho"/>
                <w:bCs/>
                <w:color w:val="000000"/>
                <w:sz w:val="16"/>
                <w:szCs w:val="16"/>
                <w:lang w:eastAsia="ja-JP" w:bidi="th-TH"/>
              </w:rPr>
              <w:t xml:space="preserve"> iii) para desarrollar ideas nuevas</w:t>
            </w:r>
            <w:r>
              <w:rPr>
                <w:rFonts w:eastAsia="MS Mincho"/>
                <w:bCs/>
                <w:color w:val="000000"/>
                <w:sz w:val="16"/>
                <w:szCs w:val="16"/>
                <w:lang w:eastAsia="ja-JP" w:bidi="th-TH"/>
              </w:rPr>
              <w:t xml:space="preserve">; </w:t>
            </w:r>
            <w:r w:rsidRPr="00515D00">
              <w:rPr>
                <w:rFonts w:eastAsia="MS Mincho"/>
                <w:bCs/>
                <w:color w:val="000000"/>
                <w:sz w:val="16"/>
                <w:szCs w:val="16"/>
                <w:lang w:eastAsia="ja-JP" w:bidi="th-TH"/>
              </w:rPr>
              <w:t xml:space="preserve"> y iv) en el proceso de protección y explotación de sus invenciones.</w:t>
            </w:r>
          </w:p>
        </w:tc>
      </w:tr>
      <w:tr w:rsidR="003E311F" w:rsidRPr="00057B87" w:rsidTr="007A358B">
        <w:tc>
          <w:tcPr>
            <w:tcW w:w="1980" w:type="dxa"/>
          </w:tcPr>
          <w:p w:rsidR="003E311F" w:rsidRPr="00515D00" w:rsidRDefault="003E311F" w:rsidP="007A358B">
            <w:pPr>
              <w:autoSpaceDE w:val="0"/>
              <w:autoSpaceDN w:val="0"/>
              <w:adjustRightInd w:val="0"/>
              <w:spacing w:before="60" w:after="60"/>
              <w:rPr>
                <w:rFonts w:eastAsia="MS Mincho"/>
                <w:color w:val="000000"/>
                <w:sz w:val="16"/>
                <w:szCs w:val="16"/>
                <w:lang w:eastAsia="ja-JP" w:bidi="th-TH"/>
              </w:rPr>
            </w:pPr>
            <w:r w:rsidRPr="00515D00">
              <w:rPr>
                <w:rFonts w:eastAsia="MS Mincho"/>
                <w:color w:val="000000"/>
                <w:sz w:val="16"/>
                <w:szCs w:val="16"/>
                <w:lang w:eastAsia="ja-JP" w:bidi="th-TH"/>
              </w:rPr>
              <w:t xml:space="preserve">Taller nacional de la OMPI para jueces sobre el fomento del respeto por la P.I. </w:t>
            </w:r>
          </w:p>
          <w:p w:rsidR="003E311F" w:rsidRPr="00515D00" w:rsidRDefault="003E311F" w:rsidP="007A358B">
            <w:pPr>
              <w:autoSpaceDE w:val="0"/>
              <w:autoSpaceDN w:val="0"/>
              <w:adjustRightInd w:val="0"/>
              <w:spacing w:before="60" w:after="60"/>
              <w:rPr>
                <w:rFonts w:eastAsia="MS Mincho"/>
                <w:color w:val="000000"/>
                <w:sz w:val="16"/>
                <w:szCs w:val="16"/>
                <w:lang w:eastAsia="ja-JP" w:bidi="th-TH"/>
              </w:rPr>
            </w:pPr>
          </w:p>
          <w:p w:rsidR="003E311F" w:rsidRPr="00515D00" w:rsidRDefault="003E311F" w:rsidP="007A358B">
            <w:pPr>
              <w:autoSpaceDE w:val="0"/>
              <w:autoSpaceDN w:val="0"/>
              <w:adjustRightInd w:val="0"/>
              <w:spacing w:before="60" w:after="60"/>
              <w:rPr>
                <w:rFonts w:eastAsia="MS Mincho"/>
                <w:color w:val="000000"/>
                <w:sz w:val="16"/>
                <w:szCs w:val="16"/>
                <w:lang w:eastAsia="ja-JP" w:bidi="th-TH"/>
              </w:rPr>
            </w:pPr>
            <w:r w:rsidRPr="00515D00">
              <w:rPr>
                <w:rFonts w:eastAsia="MS Mincho"/>
                <w:color w:val="000000"/>
                <w:sz w:val="16"/>
                <w:szCs w:val="16"/>
                <w:lang w:eastAsia="ja-JP" w:bidi="th-TH"/>
              </w:rPr>
              <w:t>Taller nacional de la OMPI para funcionarios de aduanas sobre el fomento del respeto por la P.I.</w:t>
            </w:r>
          </w:p>
        </w:tc>
        <w:tc>
          <w:tcPr>
            <w:tcW w:w="1260" w:type="dxa"/>
          </w:tcPr>
          <w:p w:rsidR="003E311F" w:rsidRPr="00515D00" w:rsidRDefault="003E311F" w:rsidP="007A358B">
            <w:pPr>
              <w:autoSpaceDE w:val="0"/>
              <w:autoSpaceDN w:val="0"/>
              <w:adjustRightInd w:val="0"/>
              <w:spacing w:before="60" w:after="60"/>
              <w:rPr>
                <w:rFonts w:eastAsia="MS Mincho"/>
                <w:color w:val="000000"/>
                <w:sz w:val="16"/>
                <w:szCs w:val="16"/>
                <w:lang w:eastAsia="ja-JP" w:bidi="th-TH"/>
              </w:rPr>
            </w:pPr>
            <w:r w:rsidRPr="00515D00">
              <w:rPr>
                <w:rFonts w:eastAsia="MS Mincho"/>
                <w:color w:val="000000"/>
                <w:sz w:val="16"/>
                <w:szCs w:val="16"/>
                <w:lang w:eastAsia="ja-JP" w:bidi="th-TH"/>
              </w:rPr>
              <w:t>30 de junio a 2 de julio de 2015</w:t>
            </w:r>
          </w:p>
          <w:p w:rsidR="003E311F" w:rsidRPr="00515D00" w:rsidRDefault="003E311F" w:rsidP="007A358B">
            <w:pPr>
              <w:autoSpaceDE w:val="0"/>
              <w:autoSpaceDN w:val="0"/>
              <w:adjustRightInd w:val="0"/>
              <w:spacing w:before="60" w:after="60"/>
              <w:rPr>
                <w:rFonts w:eastAsia="MS Mincho"/>
                <w:color w:val="000000"/>
                <w:sz w:val="16"/>
                <w:szCs w:val="16"/>
                <w:lang w:eastAsia="ja-JP" w:bidi="th-TH"/>
              </w:rPr>
            </w:pPr>
          </w:p>
          <w:p w:rsidR="003E311F" w:rsidRPr="00515D00" w:rsidRDefault="003E311F" w:rsidP="007A358B">
            <w:pPr>
              <w:autoSpaceDE w:val="0"/>
              <w:autoSpaceDN w:val="0"/>
              <w:adjustRightInd w:val="0"/>
              <w:spacing w:before="60" w:after="60"/>
              <w:rPr>
                <w:rFonts w:eastAsia="MS Mincho"/>
                <w:color w:val="000000"/>
                <w:sz w:val="16"/>
                <w:szCs w:val="16"/>
                <w:lang w:eastAsia="ja-JP" w:bidi="th-TH"/>
              </w:rPr>
            </w:pPr>
          </w:p>
          <w:p w:rsidR="003E311F" w:rsidRPr="00515D00" w:rsidRDefault="003E311F" w:rsidP="007A358B">
            <w:pPr>
              <w:autoSpaceDE w:val="0"/>
              <w:autoSpaceDN w:val="0"/>
              <w:adjustRightInd w:val="0"/>
              <w:spacing w:before="60" w:after="60"/>
              <w:rPr>
                <w:rFonts w:eastAsia="MS Mincho"/>
                <w:color w:val="000000"/>
                <w:sz w:val="16"/>
                <w:szCs w:val="16"/>
                <w:lang w:eastAsia="ja-JP" w:bidi="th-TH"/>
              </w:rPr>
            </w:pPr>
          </w:p>
          <w:p w:rsidR="003E311F" w:rsidRPr="00515D00" w:rsidRDefault="003E311F" w:rsidP="007A358B">
            <w:pPr>
              <w:autoSpaceDE w:val="0"/>
              <w:autoSpaceDN w:val="0"/>
              <w:adjustRightInd w:val="0"/>
              <w:spacing w:before="60" w:after="60"/>
              <w:rPr>
                <w:rFonts w:eastAsia="MS Mincho"/>
                <w:color w:val="000000"/>
                <w:sz w:val="16"/>
                <w:szCs w:val="16"/>
                <w:lang w:eastAsia="ja-JP" w:bidi="th-TH"/>
              </w:rPr>
            </w:pPr>
          </w:p>
          <w:p w:rsidR="003E311F" w:rsidRPr="00515D00" w:rsidRDefault="003E311F" w:rsidP="007A358B">
            <w:pPr>
              <w:autoSpaceDE w:val="0"/>
              <w:autoSpaceDN w:val="0"/>
              <w:adjustRightInd w:val="0"/>
              <w:spacing w:before="60" w:after="60"/>
              <w:rPr>
                <w:rFonts w:eastAsia="MS Mincho"/>
                <w:color w:val="000000"/>
                <w:sz w:val="16"/>
                <w:szCs w:val="16"/>
                <w:lang w:eastAsia="ja-JP" w:bidi="th-TH"/>
              </w:rPr>
            </w:pPr>
            <w:r w:rsidRPr="00515D00">
              <w:rPr>
                <w:rFonts w:eastAsia="MS Mincho"/>
                <w:color w:val="000000"/>
                <w:sz w:val="16"/>
                <w:szCs w:val="16"/>
                <w:lang w:eastAsia="ja-JP" w:bidi="th-TH"/>
              </w:rPr>
              <w:t>30 de junio a 1 de julio de 2015</w:t>
            </w:r>
          </w:p>
        </w:tc>
        <w:tc>
          <w:tcPr>
            <w:tcW w:w="1530" w:type="dxa"/>
          </w:tcPr>
          <w:p w:rsidR="003E311F" w:rsidRPr="00515D00" w:rsidRDefault="003E311F" w:rsidP="007A358B">
            <w:pPr>
              <w:autoSpaceDE w:val="0"/>
              <w:autoSpaceDN w:val="0"/>
              <w:adjustRightInd w:val="0"/>
              <w:spacing w:before="60" w:after="60"/>
              <w:rPr>
                <w:rFonts w:eastAsia="MS Mincho"/>
                <w:color w:val="000000"/>
                <w:sz w:val="16"/>
                <w:szCs w:val="16"/>
                <w:lang w:eastAsia="ja-JP" w:bidi="th-TH"/>
              </w:rPr>
            </w:pPr>
            <w:proofErr w:type="spellStart"/>
            <w:r w:rsidRPr="00515D00">
              <w:rPr>
                <w:rFonts w:eastAsia="MS Mincho"/>
                <w:color w:val="000000"/>
                <w:sz w:val="16"/>
                <w:szCs w:val="16"/>
                <w:lang w:eastAsia="ja-JP" w:bidi="th-TH"/>
              </w:rPr>
              <w:t>Benin</w:t>
            </w:r>
            <w:proofErr w:type="spellEnd"/>
            <w:r w:rsidRPr="00515D00">
              <w:rPr>
                <w:rFonts w:eastAsia="MS Mincho"/>
                <w:color w:val="000000"/>
                <w:sz w:val="16"/>
                <w:szCs w:val="16"/>
                <w:lang w:eastAsia="ja-JP" w:bidi="th-TH"/>
              </w:rPr>
              <w:t>/30 jueces</w:t>
            </w:r>
          </w:p>
          <w:p w:rsidR="003E311F" w:rsidRPr="00515D00" w:rsidRDefault="003E311F" w:rsidP="007A358B">
            <w:pPr>
              <w:autoSpaceDE w:val="0"/>
              <w:autoSpaceDN w:val="0"/>
              <w:adjustRightInd w:val="0"/>
              <w:spacing w:before="60" w:after="60"/>
              <w:rPr>
                <w:rFonts w:eastAsia="MS Mincho"/>
                <w:color w:val="000000"/>
                <w:sz w:val="16"/>
                <w:szCs w:val="16"/>
                <w:lang w:eastAsia="ja-JP" w:bidi="th-TH"/>
              </w:rPr>
            </w:pPr>
          </w:p>
          <w:p w:rsidR="003E311F" w:rsidRPr="00515D00" w:rsidRDefault="003E311F" w:rsidP="007A358B">
            <w:pPr>
              <w:autoSpaceDE w:val="0"/>
              <w:autoSpaceDN w:val="0"/>
              <w:adjustRightInd w:val="0"/>
              <w:spacing w:before="60" w:after="60"/>
              <w:rPr>
                <w:rFonts w:eastAsia="MS Mincho"/>
                <w:color w:val="000000"/>
                <w:sz w:val="16"/>
                <w:szCs w:val="16"/>
                <w:lang w:eastAsia="ja-JP" w:bidi="th-TH"/>
              </w:rPr>
            </w:pPr>
          </w:p>
          <w:p w:rsidR="003E311F" w:rsidRPr="00515D00" w:rsidRDefault="003E311F" w:rsidP="007A358B">
            <w:pPr>
              <w:autoSpaceDE w:val="0"/>
              <w:autoSpaceDN w:val="0"/>
              <w:adjustRightInd w:val="0"/>
              <w:spacing w:before="60" w:after="60"/>
              <w:rPr>
                <w:rFonts w:eastAsia="MS Mincho"/>
                <w:color w:val="000000"/>
                <w:sz w:val="16"/>
                <w:szCs w:val="16"/>
                <w:lang w:eastAsia="ja-JP" w:bidi="th-TH"/>
              </w:rPr>
            </w:pPr>
          </w:p>
          <w:p w:rsidR="003E311F" w:rsidRPr="00515D00" w:rsidRDefault="003E311F" w:rsidP="007A358B">
            <w:pPr>
              <w:autoSpaceDE w:val="0"/>
              <w:autoSpaceDN w:val="0"/>
              <w:adjustRightInd w:val="0"/>
              <w:spacing w:before="60" w:after="60"/>
              <w:rPr>
                <w:rFonts w:eastAsia="MS Mincho"/>
                <w:color w:val="000000"/>
                <w:sz w:val="16"/>
                <w:szCs w:val="16"/>
                <w:lang w:eastAsia="ja-JP" w:bidi="th-TH"/>
              </w:rPr>
            </w:pPr>
            <w:proofErr w:type="spellStart"/>
            <w:r w:rsidRPr="00515D00">
              <w:rPr>
                <w:rFonts w:eastAsia="MS Mincho"/>
                <w:color w:val="000000"/>
                <w:sz w:val="16"/>
                <w:szCs w:val="16"/>
                <w:lang w:eastAsia="ja-JP" w:bidi="th-TH"/>
              </w:rPr>
              <w:t>Benin</w:t>
            </w:r>
            <w:proofErr w:type="spellEnd"/>
            <w:r w:rsidRPr="00515D00">
              <w:rPr>
                <w:rFonts w:eastAsia="MS Mincho"/>
                <w:color w:val="000000"/>
                <w:sz w:val="16"/>
                <w:szCs w:val="16"/>
                <w:lang w:eastAsia="ja-JP" w:bidi="th-TH"/>
              </w:rPr>
              <w:t>/ 15 funcionarios de aduanas</w:t>
            </w:r>
          </w:p>
        </w:tc>
        <w:tc>
          <w:tcPr>
            <w:tcW w:w="5012" w:type="dxa"/>
          </w:tcPr>
          <w:p w:rsidR="003E311F" w:rsidRPr="00515D00" w:rsidRDefault="003E311F" w:rsidP="007A358B">
            <w:pPr>
              <w:autoSpaceDE w:val="0"/>
              <w:autoSpaceDN w:val="0"/>
              <w:adjustRightInd w:val="0"/>
              <w:spacing w:before="60" w:after="60"/>
              <w:rPr>
                <w:rFonts w:eastAsia="MS Mincho"/>
                <w:bCs/>
                <w:color w:val="000000"/>
                <w:sz w:val="16"/>
                <w:szCs w:val="16"/>
                <w:lang w:eastAsia="ja-JP" w:bidi="th-TH"/>
              </w:rPr>
            </w:pPr>
            <w:r w:rsidRPr="00515D00">
              <w:rPr>
                <w:rFonts w:eastAsia="MS Mincho"/>
                <w:bCs/>
                <w:color w:val="000000"/>
                <w:sz w:val="16"/>
                <w:szCs w:val="16"/>
                <w:lang w:eastAsia="ja-JP" w:bidi="th-TH"/>
              </w:rPr>
              <w:t xml:space="preserve">i) Desarrollar y reforzar las capacidades de los jueces y los funcionarios de aduanas de </w:t>
            </w:r>
            <w:proofErr w:type="spellStart"/>
            <w:r w:rsidRPr="00515D00">
              <w:rPr>
                <w:rFonts w:eastAsia="MS Mincho"/>
                <w:bCs/>
                <w:color w:val="000000"/>
                <w:sz w:val="16"/>
                <w:szCs w:val="16"/>
                <w:lang w:eastAsia="ja-JP" w:bidi="th-TH"/>
              </w:rPr>
              <w:t>Benin</w:t>
            </w:r>
            <w:proofErr w:type="spellEnd"/>
            <w:r w:rsidRPr="00515D00">
              <w:rPr>
                <w:rFonts w:eastAsia="MS Mincho"/>
                <w:bCs/>
                <w:color w:val="000000"/>
                <w:sz w:val="16"/>
                <w:szCs w:val="16"/>
                <w:lang w:eastAsia="ja-JP" w:bidi="th-TH"/>
              </w:rPr>
              <w:t xml:space="preserve"> para velar por la observancia de los derechos de propiedad intelectual y fomentar el respeto por la P.I., ii) mejorar las conocimientos y las competencias de los participantes en relación con los procedimientos jurídicos y la gestión de los litigios en materia de P.I. y con la aplicación de medidas aduaneras dirigidas a fomentar el uso de los procedimientos descritos en la Parte III del Acuerdo sobre los ADPIC, iii) dar ocasión a los grupos participantes para intercambiar experiencias y debatir acerca de los retos que plantea la aplicación de las disposiciones legales y reglamentarias relativas a la observancia de los derechos de P.I. y iv) familiarizar a los jueces con las herramientas jurisprudenciales elaboradas respectivamente por la OMPI y la OAPI.</w:t>
            </w:r>
          </w:p>
        </w:tc>
      </w:tr>
      <w:tr w:rsidR="003E311F" w:rsidRPr="00057B87" w:rsidTr="007A358B">
        <w:tc>
          <w:tcPr>
            <w:tcW w:w="1980" w:type="dxa"/>
          </w:tcPr>
          <w:p w:rsidR="003E311F" w:rsidRPr="00515D00" w:rsidRDefault="003E311F" w:rsidP="007A358B">
            <w:pPr>
              <w:autoSpaceDE w:val="0"/>
              <w:autoSpaceDN w:val="0"/>
              <w:adjustRightInd w:val="0"/>
              <w:spacing w:before="60" w:after="60"/>
              <w:rPr>
                <w:rFonts w:eastAsia="MS Mincho"/>
                <w:color w:val="000000"/>
                <w:sz w:val="16"/>
                <w:szCs w:val="16"/>
                <w:lang w:eastAsia="ja-JP" w:bidi="th-TH"/>
              </w:rPr>
            </w:pPr>
            <w:r w:rsidRPr="00515D00">
              <w:rPr>
                <w:rFonts w:eastAsia="MS Mincho"/>
                <w:color w:val="000000"/>
                <w:sz w:val="16"/>
                <w:szCs w:val="16"/>
                <w:lang w:eastAsia="ja-JP" w:bidi="th-TH"/>
              </w:rPr>
              <w:t>Seminario regional sobre innovación colectiva y propiedad intelectual:  "</w:t>
            </w:r>
            <w:r w:rsidRPr="00906300">
              <w:rPr>
                <w:rFonts w:eastAsia="MS Mincho"/>
                <w:color w:val="000000"/>
                <w:sz w:val="16"/>
                <w:szCs w:val="16"/>
                <w:lang w:eastAsia="ja-JP" w:bidi="th-TH"/>
              </w:rPr>
              <w:t>Desarrollar alianzas entre universidades y empresas</w:t>
            </w:r>
            <w:r w:rsidRPr="00515D00">
              <w:rPr>
                <w:rFonts w:eastAsia="MS Mincho"/>
                <w:color w:val="000000"/>
                <w:sz w:val="16"/>
                <w:szCs w:val="16"/>
                <w:lang w:eastAsia="ja-JP" w:bidi="th-TH"/>
              </w:rPr>
              <w:t xml:space="preserve">" </w:t>
            </w:r>
          </w:p>
        </w:tc>
        <w:tc>
          <w:tcPr>
            <w:tcW w:w="1260" w:type="dxa"/>
          </w:tcPr>
          <w:p w:rsidR="003E311F" w:rsidRPr="00515D00" w:rsidRDefault="003E311F" w:rsidP="007A358B">
            <w:pPr>
              <w:autoSpaceDE w:val="0"/>
              <w:autoSpaceDN w:val="0"/>
              <w:adjustRightInd w:val="0"/>
              <w:spacing w:before="60" w:after="60"/>
              <w:rPr>
                <w:rFonts w:eastAsia="MS Mincho"/>
                <w:color w:val="000000"/>
                <w:sz w:val="16"/>
                <w:szCs w:val="16"/>
                <w:lang w:eastAsia="ja-JP" w:bidi="th-TH"/>
              </w:rPr>
            </w:pPr>
            <w:r w:rsidRPr="00515D00">
              <w:rPr>
                <w:rFonts w:eastAsia="MS Mincho"/>
                <w:color w:val="000000"/>
                <w:sz w:val="16"/>
                <w:szCs w:val="16"/>
                <w:lang w:eastAsia="ja-JP" w:bidi="th-TH"/>
              </w:rPr>
              <w:t>2 a 3 de julio de 2015</w:t>
            </w:r>
          </w:p>
        </w:tc>
        <w:tc>
          <w:tcPr>
            <w:tcW w:w="1530" w:type="dxa"/>
          </w:tcPr>
          <w:p w:rsidR="003E311F" w:rsidRPr="00515D00" w:rsidRDefault="003E311F" w:rsidP="007A358B">
            <w:pPr>
              <w:autoSpaceDE w:val="0"/>
              <w:autoSpaceDN w:val="0"/>
              <w:adjustRightInd w:val="0"/>
              <w:spacing w:before="60" w:after="60"/>
              <w:rPr>
                <w:rFonts w:eastAsia="MS Mincho"/>
                <w:color w:val="000000"/>
                <w:sz w:val="16"/>
                <w:szCs w:val="16"/>
                <w:lang w:eastAsia="ja-JP" w:bidi="th-TH"/>
              </w:rPr>
            </w:pPr>
            <w:r w:rsidRPr="00515D00">
              <w:rPr>
                <w:rFonts w:eastAsia="MS Mincho"/>
                <w:color w:val="000000"/>
                <w:sz w:val="16"/>
                <w:szCs w:val="16"/>
                <w:lang w:eastAsia="ja-JP" w:bidi="th-TH"/>
              </w:rPr>
              <w:t>Vietnam/ 70 participantes, entre ellos nueve de Camboya, República Democrática Popular de Lao y Myanmar</w:t>
            </w:r>
          </w:p>
        </w:tc>
        <w:tc>
          <w:tcPr>
            <w:tcW w:w="5012" w:type="dxa"/>
          </w:tcPr>
          <w:p w:rsidR="003E311F" w:rsidRPr="00515D00" w:rsidRDefault="003E311F" w:rsidP="007A358B">
            <w:pPr>
              <w:autoSpaceDE w:val="0"/>
              <w:autoSpaceDN w:val="0"/>
              <w:adjustRightInd w:val="0"/>
              <w:spacing w:before="60" w:after="60"/>
              <w:rPr>
                <w:rFonts w:eastAsia="MS Mincho"/>
                <w:bCs/>
                <w:color w:val="000000"/>
                <w:sz w:val="16"/>
                <w:szCs w:val="16"/>
                <w:lang w:eastAsia="ja-JP" w:bidi="th-TH"/>
              </w:rPr>
            </w:pPr>
            <w:r w:rsidRPr="00515D00">
              <w:rPr>
                <w:rFonts w:eastAsia="MS Mincho"/>
                <w:bCs/>
                <w:color w:val="000000"/>
                <w:sz w:val="16"/>
                <w:szCs w:val="16"/>
                <w:lang w:eastAsia="ja-JP" w:bidi="th-TH"/>
              </w:rPr>
              <w:t>i) Presentar varios modelos que ayudan a crear un entorno propicio para la innovación y la protección de los derechos de P.I., ii) desarrollar la capacidad de innovación a través de un uso eficiente del sistema de P.I., y iii) abordar los temas de la innovación colectiva y la innovación abierta.</w:t>
            </w:r>
          </w:p>
        </w:tc>
      </w:tr>
      <w:tr w:rsidR="003E311F" w:rsidRPr="00057B87" w:rsidTr="007A358B">
        <w:tc>
          <w:tcPr>
            <w:tcW w:w="1980" w:type="dxa"/>
          </w:tcPr>
          <w:p w:rsidR="003E311F" w:rsidRPr="00515D00" w:rsidRDefault="003E311F" w:rsidP="007A358B">
            <w:pPr>
              <w:autoSpaceDE w:val="0"/>
              <w:autoSpaceDN w:val="0"/>
              <w:adjustRightInd w:val="0"/>
              <w:spacing w:before="60" w:after="60"/>
              <w:rPr>
                <w:rFonts w:eastAsia="MS Mincho"/>
                <w:color w:val="000000"/>
                <w:sz w:val="16"/>
                <w:szCs w:val="16"/>
                <w:lang w:eastAsia="ja-JP" w:bidi="th-TH"/>
              </w:rPr>
            </w:pPr>
            <w:r w:rsidRPr="00515D00">
              <w:rPr>
                <w:rFonts w:eastAsia="MS Mincho"/>
                <w:color w:val="000000"/>
                <w:sz w:val="16"/>
                <w:szCs w:val="16"/>
                <w:lang w:eastAsia="ja-JP" w:bidi="th-TH"/>
              </w:rPr>
              <w:t xml:space="preserve">Formación regional </w:t>
            </w:r>
            <w:r w:rsidRPr="00515D00">
              <w:rPr>
                <w:rFonts w:eastAsia="MS Mincho"/>
                <w:color w:val="000000"/>
                <w:sz w:val="16"/>
                <w:szCs w:val="16"/>
                <w:lang w:eastAsia="ja-JP" w:bidi="th-TH"/>
              </w:rPr>
              <w:lastRenderedPageBreak/>
              <w:t>sobre m</w:t>
            </w:r>
            <w:r>
              <w:rPr>
                <w:rFonts w:eastAsia="MS Mincho"/>
                <w:color w:val="000000"/>
                <w:sz w:val="16"/>
                <w:szCs w:val="16"/>
                <w:lang w:eastAsia="ja-JP" w:bidi="th-TH"/>
              </w:rPr>
              <w:t>a</w:t>
            </w:r>
            <w:r w:rsidRPr="00515D00">
              <w:rPr>
                <w:rFonts w:eastAsia="MS Mincho"/>
                <w:color w:val="000000"/>
                <w:sz w:val="16"/>
                <w:szCs w:val="16"/>
                <w:lang w:eastAsia="ja-JP" w:bidi="th-TH"/>
              </w:rPr>
              <w:t>rcas y falsificación para jueces de los países miembros del Consejo de Cooperación de los Estados Árabes del Golfo</w:t>
            </w:r>
          </w:p>
        </w:tc>
        <w:tc>
          <w:tcPr>
            <w:tcW w:w="1260" w:type="dxa"/>
          </w:tcPr>
          <w:p w:rsidR="003E311F" w:rsidRPr="00515D00" w:rsidRDefault="003E311F" w:rsidP="007A358B">
            <w:pPr>
              <w:autoSpaceDE w:val="0"/>
              <w:autoSpaceDN w:val="0"/>
              <w:adjustRightInd w:val="0"/>
              <w:spacing w:before="60" w:after="60"/>
              <w:rPr>
                <w:rFonts w:eastAsia="MS Mincho"/>
                <w:color w:val="000000"/>
                <w:sz w:val="16"/>
                <w:szCs w:val="16"/>
                <w:lang w:eastAsia="ja-JP" w:bidi="th-TH"/>
              </w:rPr>
            </w:pPr>
            <w:r w:rsidRPr="00515D00">
              <w:rPr>
                <w:rFonts w:eastAsia="MS Mincho"/>
                <w:color w:val="000000"/>
                <w:sz w:val="16"/>
                <w:szCs w:val="16"/>
                <w:lang w:eastAsia="ja-JP" w:bidi="th-TH"/>
              </w:rPr>
              <w:lastRenderedPageBreak/>
              <w:t xml:space="preserve">25 a 26 de </w:t>
            </w:r>
            <w:r w:rsidRPr="00515D00">
              <w:rPr>
                <w:rFonts w:eastAsia="MS Mincho"/>
                <w:color w:val="000000"/>
                <w:sz w:val="16"/>
                <w:szCs w:val="16"/>
                <w:lang w:eastAsia="ja-JP" w:bidi="th-TH"/>
              </w:rPr>
              <w:lastRenderedPageBreak/>
              <w:t>octubre de 2015</w:t>
            </w:r>
          </w:p>
        </w:tc>
        <w:tc>
          <w:tcPr>
            <w:tcW w:w="1530" w:type="dxa"/>
          </w:tcPr>
          <w:p w:rsidR="003E311F" w:rsidRPr="00515D00" w:rsidRDefault="003E311F" w:rsidP="007A358B">
            <w:pPr>
              <w:autoSpaceDE w:val="0"/>
              <w:autoSpaceDN w:val="0"/>
              <w:adjustRightInd w:val="0"/>
              <w:spacing w:before="60" w:after="60"/>
              <w:rPr>
                <w:rFonts w:eastAsia="MS Mincho"/>
                <w:color w:val="000000"/>
                <w:sz w:val="16"/>
                <w:szCs w:val="16"/>
                <w:lang w:eastAsia="ja-JP" w:bidi="th-TH"/>
              </w:rPr>
            </w:pPr>
            <w:r w:rsidRPr="00515D00">
              <w:rPr>
                <w:rFonts w:eastAsia="MS Mincho"/>
                <w:color w:val="000000"/>
                <w:sz w:val="16"/>
                <w:szCs w:val="16"/>
                <w:lang w:eastAsia="ja-JP" w:bidi="th-TH"/>
              </w:rPr>
              <w:lastRenderedPageBreak/>
              <w:t xml:space="preserve">Emiratos Árabes </w:t>
            </w:r>
            <w:r w:rsidRPr="00515D00">
              <w:rPr>
                <w:rFonts w:eastAsia="MS Mincho"/>
                <w:color w:val="000000"/>
                <w:sz w:val="16"/>
                <w:szCs w:val="16"/>
                <w:lang w:eastAsia="ja-JP" w:bidi="th-TH"/>
              </w:rPr>
              <w:lastRenderedPageBreak/>
              <w:t xml:space="preserve">Unidos/ 23 participantes de </w:t>
            </w:r>
            <w:proofErr w:type="spellStart"/>
            <w:r w:rsidRPr="00515D00">
              <w:rPr>
                <w:rFonts w:eastAsia="MS Mincho"/>
                <w:color w:val="000000"/>
                <w:sz w:val="16"/>
                <w:szCs w:val="16"/>
                <w:lang w:eastAsia="ja-JP" w:bidi="th-TH"/>
              </w:rPr>
              <w:t>Bahrein</w:t>
            </w:r>
            <w:proofErr w:type="spellEnd"/>
            <w:r w:rsidRPr="00515D00">
              <w:rPr>
                <w:rFonts w:eastAsia="MS Mincho"/>
                <w:color w:val="000000"/>
                <w:sz w:val="16"/>
                <w:szCs w:val="16"/>
                <w:lang w:eastAsia="ja-JP" w:bidi="th-TH"/>
              </w:rPr>
              <w:t xml:space="preserve">, Kuwait, Líbano, Omán, Qatar, Arabia Saudita y Emiratos Árabes Unidos </w:t>
            </w:r>
          </w:p>
        </w:tc>
        <w:tc>
          <w:tcPr>
            <w:tcW w:w="5012" w:type="dxa"/>
          </w:tcPr>
          <w:p w:rsidR="003E311F" w:rsidRPr="00515D00" w:rsidRDefault="003E311F" w:rsidP="007A358B">
            <w:pPr>
              <w:autoSpaceDE w:val="0"/>
              <w:autoSpaceDN w:val="0"/>
              <w:adjustRightInd w:val="0"/>
              <w:spacing w:before="60" w:after="60"/>
              <w:rPr>
                <w:rFonts w:eastAsia="MS Mincho"/>
                <w:bCs/>
                <w:color w:val="000000"/>
                <w:sz w:val="16"/>
                <w:szCs w:val="16"/>
                <w:lang w:eastAsia="ja-JP" w:bidi="th-TH"/>
              </w:rPr>
            </w:pPr>
            <w:r w:rsidRPr="00515D00">
              <w:rPr>
                <w:rFonts w:eastAsia="MS Mincho"/>
                <w:bCs/>
                <w:color w:val="000000"/>
                <w:sz w:val="16"/>
                <w:szCs w:val="16"/>
                <w:lang w:eastAsia="ja-JP" w:bidi="th-TH"/>
              </w:rPr>
              <w:lastRenderedPageBreak/>
              <w:t>i) Sensibilizar a los jueces ac</w:t>
            </w:r>
            <w:r>
              <w:rPr>
                <w:rFonts w:eastAsia="MS Mincho"/>
                <w:bCs/>
                <w:color w:val="000000"/>
                <w:sz w:val="16"/>
                <w:szCs w:val="16"/>
                <w:lang w:eastAsia="ja-JP" w:bidi="th-TH"/>
              </w:rPr>
              <w:t xml:space="preserve">erca de la propiedad industrial; </w:t>
            </w:r>
            <w:r w:rsidRPr="00515D00">
              <w:rPr>
                <w:rFonts w:eastAsia="MS Mincho"/>
                <w:bCs/>
                <w:color w:val="000000"/>
                <w:sz w:val="16"/>
                <w:szCs w:val="16"/>
                <w:lang w:eastAsia="ja-JP" w:bidi="th-TH"/>
              </w:rPr>
              <w:t xml:space="preserve"> ii) </w:t>
            </w:r>
            <w:r w:rsidRPr="00515D00">
              <w:rPr>
                <w:rFonts w:eastAsia="MS Mincho"/>
                <w:bCs/>
                <w:color w:val="000000"/>
                <w:sz w:val="16"/>
                <w:szCs w:val="16"/>
                <w:lang w:eastAsia="ja-JP" w:bidi="th-TH"/>
              </w:rPr>
              <w:lastRenderedPageBreak/>
              <w:t>garantizar que las decisiones judiciales se ajusten a las disposiciones de la legislación nacional y a los tratados internacionales de los que sean parte sus respectivos</w:t>
            </w:r>
            <w:r>
              <w:rPr>
                <w:rFonts w:eastAsia="MS Mincho"/>
                <w:bCs/>
                <w:color w:val="000000"/>
                <w:sz w:val="16"/>
                <w:szCs w:val="16"/>
                <w:lang w:eastAsia="ja-JP" w:bidi="th-TH"/>
              </w:rPr>
              <w:t xml:space="preserve"> países; </w:t>
            </w:r>
            <w:r w:rsidRPr="00515D00">
              <w:rPr>
                <w:rFonts w:eastAsia="MS Mincho"/>
                <w:bCs/>
                <w:color w:val="000000"/>
                <w:sz w:val="16"/>
                <w:szCs w:val="16"/>
                <w:lang w:eastAsia="ja-JP" w:bidi="th-TH"/>
              </w:rPr>
              <w:t xml:space="preserve"> y iii) aumentar la coherencia de las decisiones adoptadas por los jueces a nivel tanto nacional como regional.  </w:t>
            </w:r>
          </w:p>
        </w:tc>
      </w:tr>
      <w:tr w:rsidR="003E311F" w:rsidRPr="00057B87" w:rsidTr="007A358B">
        <w:tc>
          <w:tcPr>
            <w:tcW w:w="1980" w:type="dxa"/>
          </w:tcPr>
          <w:p w:rsidR="003E311F" w:rsidRPr="00515D00" w:rsidRDefault="003E311F" w:rsidP="007A358B">
            <w:pPr>
              <w:autoSpaceDE w:val="0"/>
              <w:autoSpaceDN w:val="0"/>
              <w:adjustRightInd w:val="0"/>
              <w:spacing w:before="60" w:after="60"/>
              <w:rPr>
                <w:rFonts w:eastAsia="MS Mincho"/>
                <w:color w:val="000000"/>
                <w:sz w:val="16"/>
                <w:szCs w:val="16"/>
                <w:lang w:eastAsia="ja-JP" w:bidi="th-TH"/>
              </w:rPr>
            </w:pPr>
            <w:r w:rsidRPr="00515D00">
              <w:rPr>
                <w:rFonts w:eastAsia="MS Mincho"/>
                <w:color w:val="000000"/>
                <w:sz w:val="16"/>
                <w:szCs w:val="16"/>
                <w:lang w:eastAsia="ja-JP" w:bidi="th-TH"/>
              </w:rPr>
              <w:lastRenderedPageBreak/>
              <w:t>Actividades paralelas a la COP21</w:t>
            </w:r>
          </w:p>
        </w:tc>
        <w:tc>
          <w:tcPr>
            <w:tcW w:w="1260" w:type="dxa"/>
          </w:tcPr>
          <w:p w:rsidR="003E311F" w:rsidRPr="00515D00" w:rsidRDefault="003E311F" w:rsidP="007A358B">
            <w:pPr>
              <w:autoSpaceDE w:val="0"/>
              <w:autoSpaceDN w:val="0"/>
              <w:adjustRightInd w:val="0"/>
              <w:spacing w:before="60" w:after="60"/>
              <w:rPr>
                <w:rFonts w:eastAsia="MS Mincho"/>
                <w:color w:val="000000"/>
                <w:sz w:val="16"/>
                <w:szCs w:val="16"/>
                <w:lang w:eastAsia="ja-JP" w:bidi="th-TH"/>
              </w:rPr>
            </w:pPr>
            <w:r w:rsidRPr="00515D00">
              <w:rPr>
                <w:rFonts w:eastAsia="MS Mincho"/>
                <w:color w:val="000000"/>
                <w:sz w:val="16"/>
                <w:szCs w:val="16"/>
                <w:lang w:eastAsia="ja-JP" w:bidi="th-TH"/>
              </w:rPr>
              <w:t>30 de noviembre a 11 de diciembre de 2015</w:t>
            </w:r>
          </w:p>
        </w:tc>
        <w:tc>
          <w:tcPr>
            <w:tcW w:w="1530" w:type="dxa"/>
          </w:tcPr>
          <w:p w:rsidR="003E311F" w:rsidRPr="00515D00" w:rsidRDefault="003E311F" w:rsidP="007A358B">
            <w:pPr>
              <w:autoSpaceDE w:val="0"/>
              <w:autoSpaceDN w:val="0"/>
              <w:adjustRightInd w:val="0"/>
              <w:spacing w:before="60" w:after="60"/>
              <w:rPr>
                <w:rFonts w:eastAsia="MS Mincho"/>
                <w:color w:val="000000"/>
                <w:sz w:val="16"/>
                <w:szCs w:val="16"/>
                <w:lang w:eastAsia="ja-JP" w:bidi="th-TH"/>
              </w:rPr>
            </w:pPr>
            <w:r w:rsidRPr="00515D00">
              <w:rPr>
                <w:rFonts w:eastAsia="MS Mincho"/>
                <w:color w:val="000000"/>
                <w:sz w:val="16"/>
                <w:szCs w:val="16"/>
                <w:lang w:eastAsia="ja-JP" w:bidi="th-TH"/>
              </w:rPr>
              <w:t>Francia</w:t>
            </w:r>
          </w:p>
        </w:tc>
        <w:tc>
          <w:tcPr>
            <w:tcW w:w="5012" w:type="dxa"/>
          </w:tcPr>
          <w:p w:rsidR="003E311F" w:rsidRPr="00515D00" w:rsidRDefault="003E311F" w:rsidP="007A358B">
            <w:pPr>
              <w:autoSpaceDE w:val="0"/>
              <w:autoSpaceDN w:val="0"/>
              <w:adjustRightInd w:val="0"/>
              <w:spacing w:before="60" w:after="60"/>
              <w:rPr>
                <w:rFonts w:eastAsia="MS Mincho"/>
                <w:bCs/>
                <w:color w:val="000000"/>
                <w:sz w:val="16"/>
                <w:szCs w:val="16"/>
                <w:lang w:eastAsia="ja-JP" w:bidi="th-TH"/>
              </w:rPr>
            </w:pPr>
            <w:r w:rsidRPr="00515D00">
              <w:rPr>
                <w:rFonts w:eastAsia="MS Mincho"/>
                <w:bCs/>
                <w:color w:val="000000"/>
                <w:sz w:val="16"/>
                <w:szCs w:val="16"/>
                <w:lang w:eastAsia="ja-JP" w:bidi="th-TH"/>
              </w:rPr>
              <w:t xml:space="preserve">Para dar ocasión a las </w:t>
            </w:r>
            <w:r>
              <w:rPr>
                <w:rFonts w:eastAsia="MS Mincho"/>
                <w:bCs/>
                <w:color w:val="000000"/>
                <w:sz w:val="16"/>
                <w:szCs w:val="16"/>
                <w:lang w:eastAsia="ja-JP" w:bidi="th-TH"/>
              </w:rPr>
              <w:t>pymes</w:t>
            </w:r>
            <w:r w:rsidRPr="00515D00">
              <w:rPr>
                <w:rFonts w:eastAsia="MS Mincho"/>
                <w:bCs/>
                <w:color w:val="000000"/>
                <w:sz w:val="16"/>
                <w:szCs w:val="16"/>
                <w:lang w:eastAsia="ja-JP" w:bidi="th-TH"/>
              </w:rPr>
              <w:t xml:space="preserve"> francesas e internacionales de demostrar</w:t>
            </w:r>
            <w:proofErr w:type="gramStart"/>
            <w:r w:rsidRPr="00515D00">
              <w:rPr>
                <w:rFonts w:eastAsia="MS Mincho"/>
                <w:bCs/>
                <w:color w:val="000000"/>
                <w:sz w:val="16"/>
                <w:szCs w:val="16"/>
                <w:lang w:eastAsia="ja-JP" w:bidi="th-TH"/>
              </w:rPr>
              <w:t>:  i</w:t>
            </w:r>
            <w:proofErr w:type="gramEnd"/>
            <w:r w:rsidRPr="00515D00">
              <w:rPr>
                <w:rFonts w:eastAsia="MS Mincho"/>
                <w:bCs/>
                <w:color w:val="000000"/>
                <w:sz w:val="16"/>
                <w:szCs w:val="16"/>
                <w:lang w:eastAsia="ja-JP" w:bidi="th-TH"/>
              </w:rPr>
              <w:t>) que la propiedad industrial no es un obstáculo para el desarrollo sostenible y para la protección del clima</w:t>
            </w:r>
            <w:r>
              <w:rPr>
                <w:rFonts w:eastAsia="MS Mincho"/>
                <w:bCs/>
                <w:color w:val="000000"/>
                <w:sz w:val="16"/>
                <w:szCs w:val="16"/>
                <w:lang w:eastAsia="ja-JP" w:bidi="th-TH"/>
              </w:rPr>
              <w:t xml:space="preserve">; </w:t>
            </w:r>
            <w:r w:rsidRPr="00515D00">
              <w:rPr>
                <w:rFonts w:eastAsia="MS Mincho"/>
                <w:bCs/>
                <w:color w:val="000000"/>
                <w:sz w:val="16"/>
                <w:szCs w:val="16"/>
                <w:lang w:eastAsia="ja-JP" w:bidi="th-TH"/>
              </w:rPr>
              <w:t xml:space="preserve"> y ii) que la propiedad industrial puede contribuir al desarrollo de innovaciones que mitiguen, entre otros, los efectos negativos del cambio climático.</w:t>
            </w:r>
          </w:p>
        </w:tc>
      </w:tr>
      <w:tr w:rsidR="003E311F" w:rsidRPr="00057B87" w:rsidTr="007A358B">
        <w:tc>
          <w:tcPr>
            <w:tcW w:w="1980" w:type="dxa"/>
          </w:tcPr>
          <w:p w:rsidR="003E311F" w:rsidRPr="00B8059D" w:rsidRDefault="003E311F" w:rsidP="00B8059D">
            <w:pPr>
              <w:autoSpaceDE w:val="0"/>
              <w:autoSpaceDN w:val="0"/>
              <w:adjustRightInd w:val="0"/>
              <w:spacing w:before="60" w:after="60"/>
              <w:rPr>
                <w:rFonts w:eastAsia="MS Mincho"/>
                <w:color w:val="000000"/>
                <w:sz w:val="16"/>
                <w:szCs w:val="16"/>
                <w:lang w:eastAsia="ja-JP" w:bidi="th-TH"/>
              </w:rPr>
            </w:pPr>
            <w:r w:rsidRPr="00B8059D">
              <w:rPr>
                <w:rFonts w:eastAsia="MS Mincho"/>
                <w:color w:val="000000"/>
                <w:sz w:val="16"/>
                <w:szCs w:val="16"/>
                <w:lang w:eastAsia="ja-JP" w:bidi="th-TH"/>
              </w:rPr>
              <w:t>Programa de formación CAPI (</w:t>
            </w:r>
            <w:proofErr w:type="spellStart"/>
            <w:r w:rsidRPr="00B8059D">
              <w:rPr>
                <w:rFonts w:eastAsia="MS Mincho"/>
                <w:i/>
                <w:color w:val="000000"/>
                <w:sz w:val="16"/>
                <w:szCs w:val="16"/>
                <w:lang w:eastAsia="ja-JP" w:bidi="th-TH"/>
              </w:rPr>
              <w:t>Certificat</w:t>
            </w:r>
            <w:proofErr w:type="spellEnd"/>
            <w:r w:rsidRPr="00B8059D">
              <w:rPr>
                <w:rFonts w:eastAsia="MS Mincho"/>
                <w:i/>
                <w:color w:val="000000"/>
                <w:sz w:val="16"/>
                <w:szCs w:val="16"/>
                <w:lang w:eastAsia="ja-JP" w:bidi="th-TH"/>
              </w:rPr>
              <w:t xml:space="preserve"> </w:t>
            </w:r>
            <w:proofErr w:type="spellStart"/>
            <w:r w:rsidRPr="00B8059D">
              <w:rPr>
                <w:rFonts w:eastAsia="MS Mincho"/>
                <w:i/>
                <w:color w:val="000000"/>
                <w:sz w:val="16"/>
                <w:szCs w:val="16"/>
                <w:lang w:eastAsia="ja-JP" w:bidi="th-TH"/>
              </w:rPr>
              <w:t>d’animateur</w:t>
            </w:r>
            <w:proofErr w:type="spellEnd"/>
            <w:r w:rsidRPr="00B8059D">
              <w:rPr>
                <w:rFonts w:eastAsia="MS Mincho"/>
                <w:i/>
                <w:color w:val="000000"/>
                <w:sz w:val="16"/>
                <w:szCs w:val="16"/>
                <w:lang w:eastAsia="ja-JP" w:bidi="th-TH"/>
              </w:rPr>
              <w:t xml:space="preserve"> </w:t>
            </w:r>
            <w:proofErr w:type="spellStart"/>
            <w:r w:rsidRPr="00B8059D">
              <w:rPr>
                <w:rFonts w:eastAsia="MS Mincho"/>
                <w:i/>
                <w:color w:val="000000"/>
                <w:sz w:val="16"/>
                <w:szCs w:val="16"/>
                <w:lang w:eastAsia="ja-JP" w:bidi="th-TH"/>
              </w:rPr>
              <w:t>propriété</w:t>
            </w:r>
            <w:proofErr w:type="spellEnd"/>
            <w:r w:rsidRPr="00B8059D">
              <w:rPr>
                <w:rFonts w:eastAsia="MS Mincho"/>
                <w:i/>
                <w:color w:val="000000"/>
                <w:sz w:val="16"/>
                <w:szCs w:val="16"/>
                <w:lang w:eastAsia="ja-JP" w:bidi="th-TH"/>
              </w:rPr>
              <w:t xml:space="preserve"> </w:t>
            </w:r>
            <w:proofErr w:type="spellStart"/>
            <w:r w:rsidRPr="00B8059D">
              <w:rPr>
                <w:rFonts w:eastAsia="MS Mincho"/>
                <w:i/>
                <w:color w:val="000000"/>
                <w:sz w:val="16"/>
                <w:szCs w:val="16"/>
                <w:lang w:eastAsia="ja-JP" w:bidi="th-TH"/>
              </w:rPr>
              <w:t>intellectuelle</w:t>
            </w:r>
            <w:proofErr w:type="spellEnd"/>
            <w:r w:rsidRPr="00B8059D">
              <w:rPr>
                <w:rFonts w:eastAsia="MS Mincho"/>
                <w:color w:val="000000"/>
                <w:sz w:val="16"/>
                <w:szCs w:val="16"/>
                <w:lang w:eastAsia="ja-JP" w:bidi="th-TH"/>
              </w:rPr>
              <w:t xml:space="preserve">) con el Instituto Nacional de la Propiedad Industrial (INPI) francés y la </w:t>
            </w:r>
            <w:r w:rsidR="00B8059D" w:rsidRPr="00B8059D">
              <w:rPr>
                <w:rFonts w:eastAsia="MS Mincho"/>
                <w:color w:val="000000"/>
                <w:sz w:val="16"/>
                <w:szCs w:val="16"/>
                <w:lang w:eastAsia="ja-JP" w:bidi="th-TH"/>
              </w:rPr>
              <w:t>Oficina Marroqu</w:t>
            </w:r>
            <w:r w:rsidR="00B8059D">
              <w:rPr>
                <w:rFonts w:eastAsia="MS Mincho"/>
                <w:color w:val="000000"/>
                <w:sz w:val="16"/>
                <w:szCs w:val="16"/>
                <w:lang w:eastAsia="ja-JP" w:bidi="th-TH"/>
              </w:rPr>
              <w:t>í de la Propiedad Industrial y Comercial</w:t>
            </w:r>
            <w:r w:rsidRPr="00B8059D">
              <w:rPr>
                <w:rFonts w:eastAsia="MS Mincho"/>
                <w:color w:val="000000"/>
                <w:sz w:val="16"/>
                <w:szCs w:val="16"/>
                <w:lang w:eastAsia="ja-JP" w:bidi="th-TH"/>
              </w:rPr>
              <w:t xml:space="preserve"> (OMPIC)</w:t>
            </w:r>
          </w:p>
        </w:tc>
        <w:tc>
          <w:tcPr>
            <w:tcW w:w="1260" w:type="dxa"/>
          </w:tcPr>
          <w:p w:rsidR="003E311F" w:rsidRPr="00515D00" w:rsidRDefault="003E311F" w:rsidP="007A358B">
            <w:pPr>
              <w:autoSpaceDE w:val="0"/>
              <w:autoSpaceDN w:val="0"/>
              <w:adjustRightInd w:val="0"/>
              <w:spacing w:before="60" w:after="60"/>
              <w:rPr>
                <w:rFonts w:eastAsia="MS Mincho"/>
                <w:color w:val="000000"/>
                <w:sz w:val="16"/>
                <w:szCs w:val="16"/>
                <w:lang w:eastAsia="ja-JP" w:bidi="th-TH"/>
              </w:rPr>
            </w:pPr>
            <w:r w:rsidRPr="00515D00">
              <w:rPr>
                <w:rFonts w:eastAsia="MS Mincho"/>
                <w:color w:val="000000"/>
                <w:sz w:val="16"/>
                <w:szCs w:val="16"/>
                <w:lang w:eastAsia="ja-JP" w:bidi="th-TH"/>
              </w:rPr>
              <w:t>12 a 31 de diciembre de 2015</w:t>
            </w:r>
          </w:p>
          <w:p w:rsidR="003E311F" w:rsidRPr="00515D00" w:rsidRDefault="003E311F" w:rsidP="007A358B">
            <w:pPr>
              <w:autoSpaceDE w:val="0"/>
              <w:autoSpaceDN w:val="0"/>
              <w:adjustRightInd w:val="0"/>
              <w:spacing w:before="60" w:after="60"/>
              <w:rPr>
                <w:rFonts w:eastAsia="MS Mincho"/>
                <w:color w:val="000000"/>
                <w:sz w:val="16"/>
                <w:szCs w:val="16"/>
                <w:lang w:eastAsia="ja-JP" w:bidi="th-TH"/>
              </w:rPr>
            </w:pPr>
          </w:p>
          <w:p w:rsidR="003E311F" w:rsidRPr="00515D00" w:rsidRDefault="003E311F" w:rsidP="007A358B">
            <w:pPr>
              <w:autoSpaceDE w:val="0"/>
              <w:autoSpaceDN w:val="0"/>
              <w:adjustRightInd w:val="0"/>
              <w:spacing w:before="60" w:after="60"/>
              <w:rPr>
                <w:rFonts w:eastAsia="MS Mincho"/>
                <w:color w:val="000000"/>
                <w:sz w:val="16"/>
                <w:szCs w:val="16"/>
                <w:lang w:eastAsia="ja-JP" w:bidi="th-TH"/>
              </w:rPr>
            </w:pPr>
            <w:r w:rsidRPr="00515D00">
              <w:rPr>
                <w:rFonts w:eastAsia="MS Mincho"/>
                <w:color w:val="000000"/>
                <w:sz w:val="16"/>
                <w:szCs w:val="16"/>
                <w:lang w:eastAsia="ja-JP" w:bidi="th-TH"/>
              </w:rPr>
              <w:t>(Finalización prevista el 8 de abril de 2016)</w:t>
            </w:r>
          </w:p>
        </w:tc>
        <w:tc>
          <w:tcPr>
            <w:tcW w:w="1530" w:type="dxa"/>
          </w:tcPr>
          <w:p w:rsidR="003E311F" w:rsidRPr="00515D00" w:rsidRDefault="003E311F" w:rsidP="007A358B">
            <w:pPr>
              <w:autoSpaceDE w:val="0"/>
              <w:autoSpaceDN w:val="0"/>
              <w:adjustRightInd w:val="0"/>
              <w:spacing w:before="60" w:after="60"/>
              <w:rPr>
                <w:rFonts w:eastAsia="MS Mincho"/>
                <w:color w:val="000000"/>
                <w:sz w:val="16"/>
                <w:szCs w:val="16"/>
                <w:lang w:eastAsia="ja-JP" w:bidi="th-TH"/>
              </w:rPr>
            </w:pPr>
            <w:r w:rsidRPr="00515D00">
              <w:rPr>
                <w:rFonts w:eastAsia="MS Mincho"/>
                <w:color w:val="000000"/>
                <w:sz w:val="16"/>
                <w:szCs w:val="16"/>
                <w:lang w:eastAsia="ja-JP" w:bidi="th-TH"/>
              </w:rPr>
              <w:t xml:space="preserve">Marruecos/ 10 participantes de Argelia, Camerún, </w:t>
            </w:r>
            <w:proofErr w:type="spellStart"/>
            <w:r w:rsidRPr="00515D00">
              <w:rPr>
                <w:rFonts w:eastAsia="MS Mincho"/>
                <w:color w:val="000000"/>
                <w:sz w:val="16"/>
                <w:szCs w:val="16"/>
                <w:lang w:eastAsia="ja-JP" w:bidi="th-TH"/>
              </w:rPr>
              <w:t>Côte</w:t>
            </w:r>
            <w:proofErr w:type="spellEnd"/>
            <w:r w:rsidRPr="00515D00">
              <w:rPr>
                <w:rFonts w:eastAsia="MS Mincho"/>
                <w:color w:val="000000"/>
                <w:sz w:val="16"/>
                <w:szCs w:val="16"/>
                <w:lang w:eastAsia="ja-JP" w:bidi="th-TH"/>
              </w:rPr>
              <w:t xml:space="preserve"> </w:t>
            </w:r>
            <w:proofErr w:type="spellStart"/>
            <w:r w:rsidRPr="00515D00">
              <w:rPr>
                <w:rFonts w:eastAsia="MS Mincho"/>
                <w:color w:val="000000"/>
                <w:sz w:val="16"/>
                <w:szCs w:val="16"/>
                <w:lang w:eastAsia="ja-JP" w:bidi="th-TH"/>
              </w:rPr>
              <w:t>d’Ivoire</w:t>
            </w:r>
            <w:proofErr w:type="spellEnd"/>
            <w:r w:rsidRPr="00515D00">
              <w:rPr>
                <w:rFonts w:eastAsia="MS Mincho"/>
                <w:color w:val="000000"/>
                <w:sz w:val="16"/>
                <w:szCs w:val="16"/>
                <w:lang w:eastAsia="ja-JP" w:bidi="th-TH"/>
              </w:rPr>
              <w:t xml:space="preserve">, Senegal y Túnez </w:t>
            </w:r>
          </w:p>
        </w:tc>
        <w:tc>
          <w:tcPr>
            <w:tcW w:w="5012" w:type="dxa"/>
          </w:tcPr>
          <w:p w:rsidR="003E311F" w:rsidRPr="00515D00" w:rsidRDefault="003E311F" w:rsidP="007A358B">
            <w:pPr>
              <w:spacing w:before="60" w:after="60"/>
              <w:rPr>
                <w:rFonts w:eastAsia="MS Mincho"/>
                <w:bCs/>
                <w:color w:val="000000"/>
                <w:sz w:val="16"/>
                <w:szCs w:val="16"/>
                <w:lang w:eastAsia="ja-JP" w:bidi="th-TH"/>
              </w:rPr>
            </w:pPr>
            <w:r w:rsidRPr="00515D00">
              <w:rPr>
                <w:rFonts w:eastAsia="MS Mincho"/>
                <w:bCs/>
                <w:color w:val="000000"/>
                <w:sz w:val="16"/>
                <w:szCs w:val="16"/>
                <w:lang w:eastAsia="ja-JP" w:bidi="th-TH"/>
              </w:rPr>
              <w:t>Un programa de formación cer</w:t>
            </w:r>
            <w:r>
              <w:rPr>
                <w:rFonts w:eastAsia="MS Mincho"/>
                <w:bCs/>
                <w:color w:val="000000"/>
                <w:sz w:val="16"/>
                <w:szCs w:val="16"/>
                <w:lang w:eastAsia="ja-JP" w:bidi="th-TH"/>
              </w:rPr>
              <w:t>t</w:t>
            </w:r>
            <w:r w:rsidRPr="00515D00">
              <w:rPr>
                <w:rFonts w:eastAsia="MS Mincho"/>
                <w:bCs/>
                <w:color w:val="000000"/>
                <w:sz w:val="16"/>
                <w:szCs w:val="16"/>
                <w:lang w:eastAsia="ja-JP" w:bidi="th-TH"/>
              </w:rPr>
              <w:t xml:space="preserve">ificado </w:t>
            </w:r>
            <w:r>
              <w:rPr>
                <w:rFonts w:eastAsia="MS Mincho"/>
                <w:bCs/>
                <w:color w:val="000000"/>
                <w:sz w:val="16"/>
                <w:szCs w:val="16"/>
                <w:lang w:eastAsia="ja-JP" w:bidi="th-TH"/>
              </w:rPr>
              <w:t>dirigido a</w:t>
            </w:r>
            <w:r w:rsidRPr="00515D00">
              <w:rPr>
                <w:rFonts w:eastAsia="MS Mincho"/>
                <w:bCs/>
                <w:color w:val="000000"/>
                <w:sz w:val="16"/>
                <w:szCs w:val="16"/>
                <w:lang w:eastAsia="ja-JP" w:bidi="th-TH"/>
              </w:rPr>
              <w:t xml:space="preserve"> cubrir las necesidades de las empresas y los profesionales interesados en:    i) adquirir conocimientos especializados en la gestión de los d</w:t>
            </w:r>
            <w:r>
              <w:rPr>
                <w:rFonts w:eastAsia="MS Mincho"/>
                <w:bCs/>
                <w:color w:val="000000"/>
                <w:sz w:val="16"/>
                <w:szCs w:val="16"/>
                <w:lang w:eastAsia="ja-JP" w:bidi="th-TH"/>
              </w:rPr>
              <w:t xml:space="preserve">erechos de propiedad industrial; </w:t>
            </w:r>
            <w:r w:rsidRPr="00515D00">
              <w:rPr>
                <w:rFonts w:eastAsia="MS Mincho"/>
                <w:bCs/>
                <w:color w:val="000000"/>
                <w:sz w:val="16"/>
                <w:szCs w:val="16"/>
                <w:lang w:eastAsia="ja-JP" w:bidi="th-TH"/>
              </w:rPr>
              <w:t xml:space="preserve"> ii) comprender las dificultades que entraña</w:t>
            </w:r>
            <w:r>
              <w:rPr>
                <w:rFonts w:eastAsia="MS Mincho"/>
                <w:bCs/>
                <w:color w:val="000000"/>
                <w:sz w:val="16"/>
                <w:szCs w:val="16"/>
                <w:lang w:eastAsia="ja-JP" w:bidi="th-TH"/>
              </w:rPr>
              <w:t xml:space="preserve"> la propiedad industrial; </w:t>
            </w:r>
            <w:r w:rsidRPr="00515D00">
              <w:rPr>
                <w:rFonts w:eastAsia="MS Mincho"/>
                <w:bCs/>
                <w:color w:val="000000"/>
                <w:sz w:val="16"/>
                <w:szCs w:val="16"/>
                <w:lang w:eastAsia="ja-JP" w:bidi="th-TH"/>
              </w:rPr>
              <w:t xml:space="preserve"> iii) mejorar la eficiencia de la gestión y la valoración de los </w:t>
            </w:r>
            <w:r>
              <w:rPr>
                <w:rFonts w:eastAsia="MS Mincho"/>
                <w:bCs/>
                <w:color w:val="000000"/>
                <w:sz w:val="16"/>
                <w:szCs w:val="16"/>
                <w:lang w:eastAsia="ja-JP" w:bidi="th-TH"/>
              </w:rPr>
              <w:t xml:space="preserve">activos intangibles; </w:t>
            </w:r>
            <w:r w:rsidRPr="00515D00">
              <w:rPr>
                <w:rFonts w:eastAsia="MS Mincho"/>
                <w:bCs/>
                <w:color w:val="000000"/>
                <w:sz w:val="16"/>
                <w:szCs w:val="16"/>
                <w:lang w:eastAsia="ja-JP" w:bidi="th-TH"/>
              </w:rPr>
              <w:t xml:space="preserve"> y iv) dominar el uso de las herramientas de protección y búsqueda.</w:t>
            </w:r>
          </w:p>
        </w:tc>
      </w:tr>
    </w:tbl>
    <w:p w:rsidR="003E311F" w:rsidRPr="007329AC" w:rsidRDefault="003E311F" w:rsidP="003E311F">
      <w:pPr>
        <w:rPr>
          <w:b/>
          <w:sz w:val="20"/>
        </w:rPr>
      </w:pPr>
    </w:p>
    <w:p w:rsidR="003E311F" w:rsidRPr="007329AC" w:rsidRDefault="003E311F" w:rsidP="003E311F">
      <w:pPr>
        <w:rPr>
          <w:b/>
          <w:sz w:val="20"/>
        </w:rPr>
      </w:pPr>
    </w:p>
    <w:p w:rsidR="003E311F" w:rsidRPr="007329AC" w:rsidRDefault="003E311F" w:rsidP="003E311F">
      <w:pPr>
        <w:rPr>
          <w:b/>
          <w:color w:val="000000"/>
          <w:sz w:val="20"/>
        </w:rPr>
      </w:pPr>
      <w:r w:rsidRPr="007329AC">
        <w:rPr>
          <w:b/>
          <w:sz w:val="20"/>
        </w:rPr>
        <w:t>FRANCIA – PROPIEDAD INDUSTRIAL – Contribuciones de donantes y gastos en</w:t>
      </w:r>
      <w:r w:rsidRPr="007329AC">
        <w:rPr>
          <w:b/>
          <w:color w:val="000000"/>
          <w:sz w:val="20"/>
        </w:rPr>
        <w:t xml:space="preserve"> 2015</w:t>
      </w:r>
    </w:p>
    <w:p w:rsidR="003E311F" w:rsidRPr="007329AC" w:rsidRDefault="003E311F" w:rsidP="003E311F">
      <w:pPr>
        <w:rPr>
          <w:b/>
          <w:color w:val="000000"/>
          <w:sz w:val="20"/>
        </w:rPr>
      </w:pPr>
    </w:p>
    <w:tbl>
      <w:tblPr>
        <w:tblW w:w="9792" w:type="dxa"/>
        <w:tblInd w:w="98" w:type="dxa"/>
        <w:tblLook w:val="04A0" w:firstRow="1" w:lastRow="0" w:firstColumn="1" w:lastColumn="0" w:noHBand="0" w:noVBand="1"/>
      </w:tblPr>
      <w:tblGrid>
        <w:gridCol w:w="2040"/>
        <w:gridCol w:w="1640"/>
        <w:gridCol w:w="1860"/>
        <w:gridCol w:w="1780"/>
        <w:gridCol w:w="2472"/>
      </w:tblGrid>
      <w:tr w:rsidR="003E311F" w:rsidRPr="00515D00" w:rsidTr="007A358B">
        <w:trPr>
          <w:trHeight w:val="450"/>
        </w:trPr>
        <w:tc>
          <w:tcPr>
            <w:tcW w:w="2040" w:type="dxa"/>
            <w:tcBorders>
              <w:top w:val="single" w:sz="8" w:space="0" w:color="auto"/>
              <w:left w:val="single" w:sz="8" w:space="0" w:color="auto"/>
              <w:bottom w:val="nil"/>
              <w:right w:val="single" w:sz="8" w:space="0" w:color="auto"/>
            </w:tcBorders>
            <w:shd w:val="clear" w:color="auto" w:fill="C6D9F1" w:themeFill="text2" w:themeFillTint="33"/>
            <w:vAlign w:val="center"/>
            <w:hideMark/>
          </w:tcPr>
          <w:p w:rsidR="003E311F" w:rsidRPr="00515D00" w:rsidRDefault="005C708A" w:rsidP="007A358B">
            <w:pPr>
              <w:jc w:val="center"/>
              <w:rPr>
                <w:b/>
                <w:bCs/>
                <w:color w:val="000000"/>
                <w:sz w:val="16"/>
                <w:szCs w:val="16"/>
              </w:rPr>
            </w:pPr>
            <w:r>
              <w:rPr>
                <w:b/>
                <w:bCs/>
                <w:sz w:val="16"/>
                <w:szCs w:val="16"/>
              </w:rPr>
              <w:t>Saldo el</w:t>
            </w:r>
            <w:r w:rsidR="003E311F" w:rsidRPr="00515D00">
              <w:rPr>
                <w:b/>
                <w:bCs/>
                <w:sz w:val="16"/>
                <w:szCs w:val="16"/>
              </w:rPr>
              <w:t xml:space="preserve"> 31 de diciembre de </w:t>
            </w:r>
            <w:r w:rsidR="003E311F" w:rsidRPr="00515D00">
              <w:rPr>
                <w:b/>
                <w:bCs/>
                <w:color w:val="000000"/>
                <w:sz w:val="16"/>
                <w:szCs w:val="16"/>
              </w:rPr>
              <w:t>2014</w:t>
            </w:r>
          </w:p>
        </w:tc>
        <w:tc>
          <w:tcPr>
            <w:tcW w:w="1640" w:type="dxa"/>
            <w:tcBorders>
              <w:top w:val="single" w:sz="8" w:space="0" w:color="auto"/>
              <w:left w:val="nil"/>
              <w:bottom w:val="nil"/>
              <w:right w:val="single" w:sz="8" w:space="0" w:color="auto"/>
            </w:tcBorders>
            <w:shd w:val="clear" w:color="auto" w:fill="C6D9F1" w:themeFill="text2" w:themeFillTint="33"/>
            <w:vAlign w:val="center"/>
            <w:hideMark/>
          </w:tcPr>
          <w:p w:rsidR="003E311F" w:rsidRPr="00515D00" w:rsidRDefault="003E311F" w:rsidP="007A358B">
            <w:pPr>
              <w:jc w:val="center"/>
              <w:rPr>
                <w:b/>
                <w:bCs/>
                <w:color w:val="000000"/>
                <w:sz w:val="16"/>
                <w:szCs w:val="16"/>
              </w:rPr>
            </w:pPr>
            <w:r w:rsidRPr="00515D00">
              <w:rPr>
                <w:b/>
                <w:bCs/>
                <w:sz w:val="16"/>
                <w:szCs w:val="16"/>
              </w:rPr>
              <w:t xml:space="preserve">Ingresos en </w:t>
            </w:r>
            <w:r w:rsidRPr="00515D00">
              <w:rPr>
                <w:b/>
                <w:bCs/>
                <w:color w:val="000000"/>
                <w:sz w:val="16"/>
                <w:szCs w:val="16"/>
              </w:rPr>
              <w:t>2015</w:t>
            </w:r>
          </w:p>
        </w:tc>
        <w:tc>
          <w:tcPr>
            <w:tcW w:w="1860" w:type="dxa"/>
            <w:tcBorders>
              <w:top w:val="single" w:sz="8" w:space="0" w:color="auto"/>
              <w:left w:val="nil"/>
              <w:bottom w:val="nil"/>
              <w:right w:val="single" w:sz="8" w:space="0" w:color="auto"/>
            </w:tcBorders>
            <w:shd w:val="clear" w:color="auto" w:fill="C6D9F1" w:themeFill="text2" w:themeFillTint="33"/>
            <w:vAlign w:val="center"/>
            <w:hideMark/>
          </w:tcPr>
          <w:p w:rsidR="003E311F" w:rsidRPr="00515D00" w:rsidRDefault="003E311F" w:rsidP="007A358B">
            <w:pPr>
              <w:jc w:val="center"/>
              <w:rPr>
                <w:b/>
                <w:bCs/>
                <w:color w:val="000000"/>
                <w:sz w:val="16"/>
                <w:szCs w:val="16"/>
              </w:rPr>
            </w:pPr>
            <w:r w:rsidRPr="00515D00">
              <w:rPr>
                <w:b/>
                <w:bCs/>
                <w:sz w:val="16"/>
                <w:szCs w:val="16"/>
              </w:rPr>
              <w:t xml:space="preserve">Gastos en </w:t>
            </w:r>
            <w:r w:rsidRPr="00515D00">
              <w:rPr>
                <w:b/>
                <w:bCs/>
                <w:color w:val="000000"/>
                <w:sz w:val="16"/>
                <w:szCs w:val="16"/>
              </w:rPr>
              <w:t>2015</w:t>
            </w:r>
          </w:p>
        </w:tc>
        <w:tc>
          <w:tcPr>
            <w:tcW w:w="1780" w:type="dxa"/>
            <w:tcBorders>
              <w:top w:val="single" w:sz="8" w:space="0" w:color="auto"/>
              <w:left w:val="nil"/>
              <w:bottom w:val="nil"/>
              <w:right w:val="single" w:sz="8" w:space="0" w:color="auto"/>
            </w:tcBorders>
            <w:shd w:val="clear" w:color="auto" w:fill="C6D9F1" w:themeFill="text2" w:themeFillTint="33"/>
            <w:vAlign w:val="center"/>
            <w:hideMark/>
          </w:tcPr>
          <w:p w:rsidR="003E311F" w:rsidRPr="00515D00" w:rsidRDefault="003E311F" w:rsidP="007A358B">
            <w:pPr>
              <w:jc w:val="center"/>
              <w:rPr>
                <w:b/>
                <w:bCs/>
                <w:color w:val="000000"/>
                <w:sz w:val="16"/>
                <w:szCs w:val="16"/>
              </w:rPr>
            </w:pPr>
            <w:r w:rsidRPr="00515D00">
              <w:rPr>
                <w:b/>
                <w:bCs/>
                <w:sz w:val="16"/>
                <w:szCs w:val="16"/>
              </w:rPr>
              <w:t>Reembolsos</w:t>
            </w:r>
          </w:p>
        </w:tc>
        <w:tc>
          <w:tcPr>
            <w:tcW w:w="2472" w:type="dxa"/>
            <w:tcBorders>
              <w:top w:val="single" w:sz="8" w:space="0" w:color="auto"/>
              <w:left w:val="nil"/>
              <w:bottom w:val="nil"/>
              <w:right w:val="single" w:sz="8" w:space="0" w:color="auto"/>
            </w:tcBorders>
            <w:shd w:val="clear" w:color="auto" w:fill="C6D9F1" w:themeFill="text2" w:themeFillTint="33"/>
            <w:vAlign w:val="center"/>
            <w:hideMark/>
          </w:tcPr>
          <w:p w:rsidR="003E311F" w:rsidRPr="00515D00" w:rsidRDefault="005C708A" w:rsidP="007A358B">
            <w:pPr>
              <w:jc w:val="center"/>
              <w:rPr>
                <w:b/>
                <w:bCs/>
                <w:color w:val="000000"/>
                <w:sz w:val="16"/>
                <w:szCs w:val="16"/>
              </w:rPr>
            </w:pPr>
            <w:r>
              <w:rPr>
                <w:b/>
                <w:bCs/>
                <w:sz w:val="16"/>
                <w:szCs w:val="16"/>
              </w:rPr>
              <w:t>Saldo el</w:t>
            </w:r>
            <w:r w:rsidR="003E311F" w:rsidRPr="00515D00">
              <w:rPr>
                <w:b/>
                <w:bCs/>
                <w:sz w:val="16"/>
                <w:szCs w:val="16"/>
              </w:rPr>
              <w:t xml:space="preserve"> 31 de diciembre de </w:t>
            </w:r>
            <w:r w:rsidR="003E311F" w:rsidRPr="00515D00">
              <w:rPr>
                <w:b/>
                <w:bCs/>
                <w:color w:val="000000"/>
                <w:sz w:val="16"/>
                <w:szCs w:val="16"/>
              </w:rPr>
              <w:t>2015</w:t>
            </w:r>
          </w:p>
        </w:tc>
      </w:tr>
      <w:tr w:rsidR="003E311F" w:rsidRPr="00515D00" w:rsidTr="007A358B">
        <w:trPr>
          <w:trHeight w:val="255"/>
        </w:trPr>
        <w:tc>
          <w:tcPr>
            <w:tcW w:w="2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311F" w:rsidRPr="00515D00" w:rsidRDefault="003E311F" w:rsidP="007A358B">
            <w:pPr>
              <w:jc w:val="center"/>
              <w:rPr>
                <w:color w:val="000000"/>
                <w:sz w:val="16"/>
                <w:szCs w:val="16"/>
              </w:rPr>
            </w:pPr>
            <w:r w:rsidRPr="00515D00">
              <w:rPr>
                <w:color w:val="000000"/>
                <w:sz w:val="16"/>
                <w:szCs w:val="16"/>
              </w:rPr>
              <w:t>1.027.640</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3E311F" w:rsidRPr="00515D00" w:rsidRDefault="003E311F" w:rsidP="007A358B">
            <w:pPr>
              <w:jc w:val="center"/>
              <w:rPr>
                <w:color w:val="000000"/>
                <w:sz w:val="16"/>
                <w:szCs w:val="16"/>
              </w:rPr>
            </w:pPr>
            <w:r w:rsidRPr="00515D00">
              <w:rPr>
                <w:color w:val="000000"/>
                <w:sz w:val="16"/>
                <w:szCs w:val="16"/>
              </w:rPr>
              <w:t>292.662</w:t>
            </w:r>
          </w:p>
        </w:tc>
        <w:tc>
          <w:tcPr>
            <w:tcW w:w="1860" w:type="dxa"/>
            <w:tcBorders>
              <w:top w:val="single" w:sz="4" w:space="0" w:color="auto"/>
              <w:left w:val="nil"/>
              <w:bottom w:val="single" w:sz="4" w:space="0" w:color="auto"/>
              <w:right w:val="single" w:sz="4" w:space="0" w:color="auto"/>
            </w:tcBorders>
            <w:shd w:val="clear" w:color="auto" w:fill="auto"/>
            <w:vAlign w:val="center"/>
            <w:hideMark/>
          </w:tcPr>
          <w:p w:rsidR="003E311F" w:rsidRPr="00515D00" w:rsidRDefault="003E311F" w:rsidP="007A358B">
            <w:pPr>
              <w:jc w:val="center"/>
              <w:rPr>
                <w:color w:val="000000"/>
                <w:sz w:val="16"/>
                <w:szCs w:val="16"/>
              </w:rPr>
            </w:pPr>
            <w:r w:rsidRPr="00515D00">
              <w:rPr>
                <w:color w:val="000000"/>
                <w:sz w:val="16"/>
                <w:szCs w:val="16"/>
              </w:rPr>
              <w:t>359.804</w:t>
            </w:r>
          </w:p>
        </w:tc>
        <w:tc>
          <w:tcPr>
            <w:tcW w:w="1780" w:type="dxa"/>
            <w:tcBorders>
              <w:top w:val="single" w:sz="4" w:space="0" w:color="auto"/>
              <w:left w:val="nil"/>
              <w:bottom w:val="single" w:sz="4" w:space="0" w:color="auto"/>
              <w:right w:val="single" w:sz="4" w:space="0" w:color="auto"/>
            </w:tcBorders>
            <w:shd w:val="clear" w:color="auto" w:fill="auto"/>
            <w:noWrap/>
            <w:vAlign w:val="center"/>
            <w:hideMark/>
          </w:tcPr>
          <w:p w:rsidR="003E311F" w:rsidRPr="00515D00" w:rsidRDefault="003E311F" w:rsidP="007A358B">
            <w:pPr>
              <w:jc w:val="center"/>
              <w:rPr>
                <w:color w:val="000000"/>
                <w:sz w:val="16"/>
                <w:szCs w:val="16"/>
              </w:rPr>
            </w:pPr>
            <w:r w:rsidRPr="00515D00">
              <w:rPr>
                <w:color w:val="000000"/>
                <w:sz w:val="16"/>
                <w:szCs w:val="16"/>
              </w:rPr>
              <w:t>-</w:t>
            </w:r>
          </w:p>
        </w:tc>
        <w:tc>
          <w:tcPr>
            <w:tcW w:w="2472" w:type="dxa"/>
            <w:tcBorders>
              <w:top w:val="single" w:sz="4" w:space="0" w:color="auto"/>
              <w:left w:val="nil"/>
              <w:bottom w:val="single" w:sz="4" w:space="0" w:color="auto"/>
              <w:right w:val="single" w:sz="4" w:space="0" w:color="auto"/>
            </w:tcBorders>
            <w:shd w:val="clear" w:color="auto" w:fill="auto"/>
            <w:vAlign w:val="center"/>
            <w:hideMark/>
          </w:tcPr>
          <w:p w:rsidR="003E311F" w:rsidRPr="00515D00" w:rsidRDefault="003E311F" w:rsidP="007A358B">
            <w:pPr>
              <w:jc w:val="center"/>
              <w:rPr>
                <w:color w:val="000000"/>
                <w:sz w:val="16"/>
                <w:szCs w:val="16"/>
              </w:rPr>
            </w:pPr>
            <w:r w:rsidRPr="00515D00">
              <w:rPr>
                <w:color w:val="000000"/>
                <w:sz w:val="16"/>
                <w:szCs w:val="16"/>
              </w:rPr>
              <w:t>960.497</w:t>
            </w:r>
          </w:p>
        </w:tc>
      </w:tr>
    </w:tbl>
    <w:p w:rsidR="003E311F" w:rsidRPr="00515D00" w:rsidRDefault="003E311F" w:rsidP="003E311F">
      <w:pPr>
        <w:rPr>
          <w:b/>
        </w:rPr>
      </w:pPr>
    </w:p>
    <w:p w:rsidR="003E311F" w:rsidRPr="007329AC" w:rsidRDefault="003E311F" w:rsidP="003E311F">
      <w:pPr>
        <w:rPr>
          <w:b/>
          <w:sz w:val="20"/>
        </w:rPr>
      </w:pPr>
    </w:p>
    <w:p w:rsidR="003E311F" w:rsidRPr="007329AC" w:rsidRDefault="003E311F" w:rsidP="003E311F">
      <w:pPr>
        <w:rPr>
          <w:b/>
          <w:sz w:val="20"/>
          <w:u w:val="single"/>
        </w:rPr>
      </w:pPr>
      <w:r w:rsidRPr="007329AC">
        <w:rPr>
          <w:b/>
          <w:sz w:val="20"/>
        </w:rPr>
        <w:t>PROGRAMA IBEROAMERICANO DE PROPIEDAD INDUSTRIAL</w:t>
      </w:r>
      <w:r w:rsidRPr="007329AC">
        <w:rPr>
          <w:rStyle w:val="FootnoteReference"/>
          <w:b/>
          <w:sz w:val="20"/>
          <w:u w:val="single"/>
        </w:rPr>
        <w:footnoteReference w:id="156"/>
      </w:r>
    </w:p>
    <w:p w:rsidR="003E311F" w:rsidRPr="007329AC" w:rsidRDefault="003E311F" w:rsidP="003E311F">
      <w:pPr>
        <w:rPr>
          <w:b/>
          <w:sz w:val="20"/>
          <w:u w:val="single"/>
        </w:rPr>
      </w:pPr>
    </w:p>
    <w:tbl>
      <w:tblPr>
        <w:tblW w:w="9781" w:type="dxa"/>
        <w:tblInd w:w="10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43"/>
        <w:gridCol w:w="1134"/>
        <w:gridCol w:w="2126"/>
        <w:gridCol w:w="4678"/>
      </w:tblGrid>
      <w:tr w:rsidR="003E311F" w:rsidRPr="00057B87" w:rsidTr="007A358B">
        <w:tc>
          <w:tcPr>
            <w:tcW w:w="9781" w:type="dxa"/>
            <w:gridSpan w:val="4"/>
            <w:tcBorders>
              <w:top w:val="single" w:sz="4" w:space="0" w:color="000000"/>
              <w:bottom w:val="single" w:sz="4" w:space="0" w:color="000000"/>
            </w:tcBorders>
            <w:shd w:val="clear" w:color="auto" w:fill="C6D9F1"/>
            <w:vAlign w:val="center"/>
          </w:tcPr>
          <w:p w:rsidR="003E311F" w:rsidRPr="00515D00" w:rsidRDefault="003E311F" w:rsidP="007A358B">
            <w:pPr>
              <w:keepNext/>
              <w:keepLines/>
              <w:tabs>
                <w:tab w:val="left" w:pos="1740"/>
              </w:tabs>
              <w:spacing w:before="120" w:after="120"/>
              <w:ind w:left="1740" w:hanging="1740"/>
              <w:rPr>
                <w:b/>
                <w:bCs/>
                <w:sz w:val="16"/>
                <w:szCs w:val="16"/>
              </w:rPr>
            </w:pPr>
            <w:r w:rsidRPr="00515D00">
              <w:rPr>
                <w:b/>
                <w:bCs/>
                <w:color w:val="000000"/>
                <w:sz w:val="16"/>
                <w:szCs w:val="16"/>
              </w:rPr>
              <w:t>RESULTADO:</w:t>
            </w:r>
            <w:r w:rsidRPr="00515D00">
              <w:rPr>
                <w:b/>
                <w:bCs/>
                <w:sz w:val="16"/>
                <w:szCs w:val="16"/>
              </w:rPr>
              <w:tab/>
            </w:r>
            <w:r w:rsidRPr="00515D00">
              <w:rPr>
                <w:bCs/>
                <w:color w:val="000000"/>
                <w:sz w:val="16"/>
                <w:szCs w:val="16"/>
              </w:rPr>
              <w:t>III.2  Aumento de las capacidades en recursos humanos para hacer frente a la gran diversidad de exigencias que supone la utilización eficaz de la P.I. para fomentar el desarrollo en los países en desarrollo, PMA y países con economías en transición</w:t>
            </w:r>
          </w:p>
        </w:tc>
      </w:tr>
      <w:tr w:rsidR="003E311F" w:rsidRPr="00515D00" w:rsidTr="007A358B">
        <w:tc>
          <w:tcPr>
            <w:tcW w:w="1843" w:type="dxa"/>
            <w:tcBorders>
              <w:top w:val="single" w:sz="4" w:space="0" w:color="000000"/>
            </w:tcBorders>
            <w:vAlign w:val="center"/>
          </w:tcPr>
          <w:p w:rsidR="003E311F" w:rsidRPr="00515D00" w:rsidRDefault="003E311F" w:rsidP="007A358B">
            <w:pPr>
              <w:keepNext/>
              <w:keepLines/>
              <w:spacing w:before="60" w:after="60"/>
              <w:rPr>
                <w:b/>
                <w:bCs/>
                <w:sz w:val="16"/>
                <w:szCs w:val="16"/>
              </w:rPr>
            </w:pPr>
            <w:r w:rsidRPr="00515D00">
              <w:rPr>
                <w:b/>
                <w:bCs/>
                <w:sz w:val="16"/>
                <w:szCs w:val="16"/>
              </w:rPr>
              <w:t>Actividad</w:t>
            </w:r>
          </w:p>
        </w:tc>
        <w:tc>
          <w:tcPr>
            <w:tcW w:w="1134" w:type="dxa"/>
            <w:tcBorders>
              <w:top w:val="single" w:sz="4" w:space="0" w:color="000000"/>
            </w:tcBorders>
            <w:shd w:val="clear" w:color="auto" w:fill="auto"/>
            <w:tcMar>
              <w:top w:w="110" w:type="dxa"/>
            </w:tcMar>
            <w:vAlign w:val="center"/>
          </w:tcPr>
          <w:p w:rsidR="003E311F" w:rsidRPr="00515D00" w:rsidRDefault="003E311F" w:rsidP="007A358B">
            <w:pPr>
              <w:keepNext/>
              <w:keepLines/>
              <w:spacing w:before="60" w:after="60"/>
              <w:rPr>
                <w:sz w:val="16"/>
                <w:szCs w:val="16"/>
              </w:rPr>
            </w:pPr>
            <w:r w:rsidRPr="00515D00">
              <w:rPr>
                <w:b/>
                <w:bCs/>
                <w:sz w:val="16"/>
                <w:szCs w:val="16"/>
              </w:rPr>
              <w:t>Fecha</w:t>
            </w:r>
          </w:p>
        </w:tc>
        <w:tc>
          <w:tcPr>
            <w:tcW w:w="2126" w:type="dxa"/>
            <w:tcBorders>
              <w:top w:val="single" w:sz="4" w:space="0" w:color="000000"/>
            </w:tcBorders>
            <w:shd w:val="clear" w:color="auto" w:fill="auto"/>
            <w:tcMar>
              <w:top w:w="110" w:type="dxa"/>
            </w:tcMar>
            <w:vAlign w:val="center"/>
          </w:tcPr>
          <w:p w:rsidR="003E311F" w:rsidRPr="00515D00" w:rsidRDefault="003E311F" w:rsidP="007A358B">
            <w:pPr>
              <w:widowControl w:val="0"/>
              <w:rPr>
                <w:sz w:val="16"/>
                <w:szCs w:val="16"/>
              </w:rPr>
            </w:pPr>
            <w:r w:rsidRPr="00515D00">
              <w:rPr>
                <w:b/>
                <w:sz w:val="16"/>
                <w:szCs w:val="16"/>
              </w:rPr>
              <w:t>País anfitrión / Beneficiarios</w:t>
            </w:r>
          </w:p>
        </w:tc>
        <w:tc>
          <w:tcPr>
            <w:tcW w:w="4678" w:type="dxa"/>
            <w:tcBorders>
              <w:top w:val="single" w:sz="4" w:space="0" w:color="000000"/>
            </w:tcBorders>
            <w:shd w:val="clear" w:color="auto" w:fill="FFFFFF"/>
            <w:tcMar>
              <w:top w:w="110" w:type="dxa"/>
            </w:tcMar>
            <w:vAlign w:val="center"/>
          </w:tcPr>
          <w:p w:rsidR="003E311F" w:rsidRPr="00515D00" w:rsidRDefault="003E311F" w:rsidP="007A358B">
            <w:pPr>
              <w:widowControl w:val="0"/>
              <w:rPr>
                <w:sz w:val="16"/>
                <w:szCs w:val="16"/>
              </w:rPr>
            </w:pPr>
            <w:r w:rsidRPr="00515D00">
              <w:rPr>
                <w:b/>
                <w:sz w:val="16"/>
                <w:szCs w:val="16"/>
              </w:rPr>
              <w:t>Propósito(s)/Descripción</w:t>
            </w:r>
          </w:p>
        </w:tc>
      </w:tr>
      <w:tr w:rsidR="003E311F" w:rsidRPr="00057B87" w:rsidTr="007A358B">
        <w:trPr>
          <w:trHeight w:val="520"/>
        </w:trPr>
        <w:tc>
          <w:tcPr>
            <w:tcW w:w="1843" w:type="dxa"/>
            <w:tcBorders>
              <w:bottom w:val="nil"/>
            </w:tcBorders>
          </w:tcPr>
          <w:p w:rsidR="003E311F" w:rsidRPr="00515D00" w:rsidDel="009E0498" w:rsidRDefault="003E311F" w:rsidP="007A358B">
            <w:pPr>
              <w:autoSpaceDE w:val="0"/>
              <w:autoSpaceDN w:val="0"/>
              <w:adjustRightInd w:val="0"/>
              <w:spacing w:before="60" w:after="60"/>
              <w:rPr>
                <w:color w:val="000000"/>
                <w:sz w:val="16"/>
                <w:szCs w:val="16"/>
              </w:rPr>
            </w:pPr>
            <w:r w:rsidRPr="00515D00">
              <w:rPr>
                <w:sz w:val="16"/>
                <w:szCs w:val="16"/>
              </w:rPr>
              <w:t xml:space="preserve">Plataforma en español sobre servicios y contenidos de P.I. adaptada a las necesidades del sector empresarial de América Latina, </w:t>
            </w:r>
            <w:r>
              <w:rPr>
                <w:sz w:val="16"/>
                <w:szCs w:val="16"/>
              </w:rPr>
              <w:t>con atención especial a</w:t>
            </w:r>
            <w:r w:rsidRPr="00515D00">
              <w:rPr>
                <w:sz w:val="16"/>
                <w:szCs w:val="16"/>
              </w:rPr>
              <w:t xml:space="preserve"> las </w:t>
            </w:r>
            <w:r>
              <w:rPr>
                <w:sz w:val="16"/>
                <w:szCs w:val="16"/>
              </w:rPr>
              <w:t>pymes</w:t>
            </w:r>
            <w:r w:rsidRPr="00515D00">
              <w:rPr>
                <w:sz w:val="16"/>
                <w:szCs w:val="16"/>
              </w:rPr>
              <w:t xml:space="preserve"> (CIBEPYME).</w:t>
            </w:r>
          </w:p>
        </w:tc>
        <w:tc>
          <w:tcPr>
            <w:tcW w:w="1134" w:type="dxa"/>
            <w:tcBorders>
              <w:bottom w:val="nil"/>
            </w:tcBorders>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Enero a diciembre de 2015</w:t>
            </w:r>
          </w:p>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(En curso)</w:t>
            </w:r>
          </w:p>
        </w:tc>
        <w:tc>
          <w:tcPr>
            <w:tcW w:w="2126" w:type="dxa"/>
            <w:tcBorders>
              <w:bottom w:val="nil"/>
            </w:tcBorders>
          </w:tcPr>
          <w:p w:rsidR="003E311F" w:rsidRPr="00515D00" w:rsidRDefault="003E311F" w:rsidP="007A358B">
            <w:pPr>
              <w:autoSpaceDE w:val="0"/>
              <w:autoSpaceDN w:val="0"/>
              <w:adjustRightInd w:val="0"/>
              <w:spacing w:before="60" w:after="60"/>
              <w:rPr>
                <w:color w:val="000000"/>
                <w:sz w:val="16"/>
                <w:szCs w:val="16"/>
              </w:rPr>
            </w:pPr>
            <w:r w:rsidRPr="00515D00">
              <w:rPr>
                <w:sz w:val="16"/>
                <w:szCs w:val="16"/>
              </w:rPr>
              <w:t>Todos los países de América Latina</w:t>
            </w:r>
          </w:p>
        </w:tc>
        <w:tc>
          <w:tcPr>
            <w:tcW w:w="4678" w:type="dxa"/>
            <w:tcBorders>
              <w:bottom w:val="nil"/>
            </w:tcBorders>
          </w:tcPr>
          <w:p w:rsidR="003E311F" w:rsidRPr="00515D00" w:rsidDel="00152E3E" w:rsidRDefault="003E311F" w:rsidP="007A358B">
            <w:pPr>
              <w:autoSpaceDE w:val="0"/>
              <w:autoSpaceDN w:val="0"/>
              <w:adjustRightInd w:val="0"/>
              <w:spacing w:before="60" w:after="60"/>
              <w:rPr>
                <w:color w:val="000000"/>
                <w:sz w:val="16"/>
                <w:szCs w:val="16"/>
              </w:rPr>
            </w:pPr>
            <w:r w:rsidRPr="00515D00">
              <w:rPr>
                <w:sz w:val="16"/>
                <w:szCs w:val="16"/>
              </w:rPr>
              <w:t xml:space="preserve">Fortalecer la capacidad y promover el uso de la P.I. </w:t>
            </w:r>
            <w:r>
              <w:rPr>
                <w:sz w:val="16"/>
                <w:szCs w:val="16"/>
              </w:rPr>
              <w:t>como</w:t>
            </w:r>
            <w:r w:rsidRPr="00515D00">
              <w:rPr>
                <w:sz w:val="16"/>
                <w:szCs w:val="16"/>
              </w:rPr>
              <w:t xml:space="preserve"> herramienta </w:t>
            </w:r>
            <w:r>
              <w:rPr>
                <w:sz w:val="16"/>
                <w:szCs w:val="16"/>
              </w:rPr>
              <w:t>importante para las empresas</w:t>
            </w:r>
            <w:r w:rsidRPr="00515D00">
              <w:rPr>
                <w:sz w:val="16"/>
                <w:szCs w:val="16"/>
              </w:rPr>
              <w:t>.</w:t>
            </w:r>
          </w:p>
        </w:tc>
      </w:tr>
      <w:tr w:rsidR="003E311F" w:rsidRPr="00057B87" w:rsidTr="007A358B">
        <w:trPr>
          <w:trHeight w:val="520"/>
        </w:trPr>
        <w:tc>
          <w:tcPr>
            <w:tcW w:w="9781" w:type="dxa"/>
            <w:gridSpan w:val="4"/>
            <w:tcBorders>
              <w:top w:val="single" w:sz="4" w:space="0" w:color="000000"/>
              <w:bottom w:val="single" w:sz="4" w:space="0" w:color="000000"/>
            </w:tcBorders>
            <w:shd w:val="clear" w:color="auto" w:fill="C6D9F1"/>
          </w:tcPr>
          <w:p w:rsidR="003E311F" w:rsidRPr="00515D00" w:rsidDel="00152E3E" w:rsidRDefault="003E311F" w:rsidP="007A358B">
            <w:pPr>
              <w:keepNext/>
              <w:keepLines/>
              <w:tabs>
                <w:tab w:val="left" w:pos="1740"/>
              </w:tabs>
              <w:spacing w:before="120" w:after="120"/>
              <w:ind w:left="1740" w:hanging="1740"/>
              <w:rPr>
                <w:color w:val="000000"/>
                <w:sz w:val="16"/>
                <w:szCs w:val="16"/>
              </w:rPr>
            </w:pPr>
            <w:r w:rsidRPr="00515D00">
              <w:rPr>
                <w:b/>
                <w:bCs/>
                <w:color w:val="000000"/>
                <w:sz w:val="16"/>
                <w:szCs w:val="16"/>
              </w:rPr>
              <w:t>RESULTADO:</w:t>
            </w:r>
            <w:r w:rsidRPr="00515D00">
              <w:rPr>
                <w:bCs/>
                <w:color w:val="000000"/>
                <w:sz w:val="16"/>
                <w:szCs w:val="16"/>
              </w:rPr>
              <w:tab/>
              <w:t xml:space="preserve">III.4  </w:t>
            </w:r>
            <w:r w:rsidRPr="00515D00">
              <w:rPr>
                <w:bCs/>
                <w:sz w:val="16"/>
                <w:szCs w:val="16"/>
              </w:rPr>
              <w:t>Fortalecimiento de los mecanismos y de los programas de cooperación conforme a las necesidades de los países en desarrollo y los PMA</w:t>
            </w:r>
          </w:p>
        </w:tc>
      </w:tr>
      <w:tr w:rsidR="003E311F" w:rsidRPr="00515D00" w:rsidTr="007A358B">
        <w:trPr>
          <w:trHeight w:val="520"/>
        </w:trPr>
        <w:tc>
          <w:tcPr>
            <w:tcW w:w="1843" w:type="dxa"/>
            <w:tcBorders>
              <w:top w:val="single" w:sz="4" w:space="0" w:color="000000"/>
            </w:tcBorders>
            <w:vAlign w:val="center"/>
          </w:tcPr>
          <w:p w:rsidR="003E311F" w:rsidRPr="00515D00" w:rsidRDefault="003E311F" w:rsidP="007A358B">
            <w:pPr>
              <w:keepNext/>
              <w:keepLines/>
              <w:spacing w:before="60" w:after="60"/>
              <w:rPr>
                <w:b/>
                <w:bCs/>
                <w:sz w:val="16"/>
                <w:szCs w:val="16"/>
              </w:rPr>
            </w:pPr>
            <w:r w:rsidRPr="00515D00">
              <w:rPr>
                <w:b/>
                <w:bCs/>
                <w:sz w:val="16"/>
                <w:szCs w:val="16"/>
              </w:rPr>
              <w:t>Actividad</w:t>
            </w:r>
          </w:p>
        </w:tc>
        <w:tc>
          <w:tcPr>
            <w:tcW w:w="1134" w:type="dxa"/>
            <w:tcBorders>
              <w:top w:val="single" w:sz="4" w:space="0" w:color="000000"/>
            </w:tcBorders>
            <w:vAlign w:val="center"/>
          </w:tcPr>
          <w:p w:rsidR="003E311F" w:rsidRPr="00515D00" w:rsidRDefault="003E311F" w:rsidP="007A358B">
            <w:pPr>
              <w:keepNext/>
              <w:keepLines/>
              <w:spacing w:before="60" w:after="60"/>
              <w:rPr>
                <w:sz w:val="16"/>
                <w:szCs w:val="16"/>
              </w:rPr>
            </w:pPr>
            <w:r w:rsidRPr="00515D00">
              <w:rPr>
                <w:b/>
                <w:bCs/>
                <w:sz w:val="16"/>
                <w:szCs w:val="16"/>
              </w:rPr>
              <w:t>Fecha</w:t>
            </w:r>
          </w:p>
        </w:tc>
        <w:tc>
          <w:tcPr>
            <w:tcW w:w="2126" w:type="dxa"/>
            <w:tcBorders>
              <w:top w:val="single" w:sz="4" w:space="0" w:color="000000"/>
            </w:tcBorders>
            <w:vAlign w:val="center"/>
          </w:tcPr>
          <w:p w:rsidR="003E311F" w:rsidRPr="00515D00" w:rsidRDefault="003E311F" w:rsidP="007A358B">
            <w:pPr>
              <w:widowControl w:val="0"/>
              <w:rPr>
                <w:sz w:val="16"/>
                <w:szCs w:val="16"/>
              </w:rPr>
            </w:pPr>
            <w:r w:rsidRPr="00515D00">
              <w:rPr>
                <w:b/>
                <w:sz w:val="16"/>
                <w:szCs w:val="16"/>
              </w:rPr>
              <w:t>País anfitrión / Beneficiarios</w:t>
            </w:r>
          </w:p>
        </w:tc>
        <w:tc>
          <w:tcPr>
            <w:tcW w:w="4678" w:type="dxa"/>
            <w:tcBorders>
              <w:top w:val="single" w:sz="4" w:space="0" w:color="000000"/>
            </w:tcBorders>
            <w:vAlign w:val="center"/>
          </w:tcPr>
          <w:p w:rsidR="003E311F" w:rsidRPr="00515D00" w:rsidRDefault="003E311F" w:rsidP="007A358B">
            <w:pPr>
              <w:widowControl w:val="0"/>
              <w:rPr>
                <w:sz w:val="16"/>
                <w:szCs w:val="16"/>
              </w:rPr>
            </w:pPr>
            <w:r w:rsidRPr="00515D00">
              <w:rPr>
                <w:b/>
                <w:sz w:val="16"/>
                <w:szCs w:val="16"/>
              </w:rPr>
              <w:t>Propósito(s)/Descripción</w:t>
            </w:r>
          </w:p>
        </w:tc>
      </w:tr>
      <w:tr w:rsidR="003E311F" w:rsidRPr="00057B87" w:rsidTr="007A358B">
        <w:trPr>
          <w:trHeight w:val="315"/>
        </w:trPr>
        <w:tc>
          <w:tcPr>
            <w:tcW w:w="1843" w:type="dxa"/>
          </w:tcPr>
          <w:p w:rsidR="003E311F" w:rsidRPr="00515D00" w:rsidRDefault="003E311F" w:rsidP="007A358B">
            <w:pPr>
              <w:autoSpaceDE w:val="0"/>
              <w:autoSpaceDN w:val="0"/>
              <w:adjustRightInd w:val="0"/>
              <w:spacing w:before="60" w:after="60"/>
              <w:rPr>
                <w:color w:val="000000"/>
                <w:sz w:val="16"/>
                <w:szCs w:val="16"/>
              </w:rPr>
            </w:pPr>
            <w:r w:rsidRPr="00515D00">
              <w:rPr>
                <w:sz w:val="16"/>
                <w:szCs w:val="16"/>
              </w:rPr>
              <w:t>Elaboración de un análisis de situación y una propuesta de plan de acción por un asesor experto externo</w:t>
            </w:r>
            <w:r w:rsidRPr="00515D00">
              <w:rPr>
                <w:color w:val="000000"/>
                <w:sz w:val="16"/>
                <w:szCs w:val="16"/>
              </w:rPr>
              <w:t xml:space="preserve"> </w:t>
            </w:r>
          </w:p>
        </w:tc>
        <w:tc>
          <w:tcPr>
            <w:tcW w:w="1134" w:type="dxa"/>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Enero a diciembre de 2015</w:t>
            </w:r>
          </w:p>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(En curso)</w:t>
            </w:r>
          </w:p>
        </w:tc>
        <w:tc>
          <w:tcPr>
            <w:tcW w:w="2126" w:type="dxa"/>
          </w:tcPr>
          <w:p w:rsidR="003E311F" w:rsidRPr="00515D00" w:rsidRDefault="003E311F" w:rsidP="007A358B">
            <w:pPr>
              <w:autoSpaceDE w:val="0"/>
              <w:autoSpaceDN w:val="0"/>
              <w:adjustRightInd w:val="0"/>
              <w:spacing w:before="60" w:after="60"/>
              <w:rPr>
                <w:color w:val="000000"/>
                <w:sz w:val="16"/>
                <w:szCs w:val="16"/>
              </w:rPr>
            </w:pPr>
            <w:r w:rsidRPr="00515D00">
              <w:rPr>
                <w:sz w:val="16"/>
                <w:szCs w:val="16"/>
              </w:rPr>
              <w:t>Todos los países de América Latina</w:t>
            </w:r>
          </w:p>
        </w:tc>
        <w:tc>
          <w:tcPr>
            <w:tcW w:w="4678" w:type="dxa"/>
          </w:tcPr>
          <w:p w:rsidR="003E311F" w:rsidRPr="00515D00" w:rsidRDefault="003E311F" w:rsidP="007A358B">
            <w:pPr>
              <w:autoSpaceDE w:val="0"/>
              <w:autoSpaceDN w:val="0"/>
              <w:adjustRightInd w:val="0"/>
              <w:spacing w:before="120" w:after="120"/>
              <w:rPr>
                <w:sz w:val="16"/>
                <w:szCs w:val="16"/>
              </w:rPr>
            </w:pPr>
            <w:r>
              <w:rPr>
                <w:sz w:val="16"/>
                <w:szCs w:val="16"/>
              </w:rPr>
              <w:t>Diseñar</w:t>
            </w:r>
            <w:r w:rsidRPr="00515D00">
              <w:rPr>
                <w:sz w:val="16"/>
                <w:szCs w:val="16"/>
              </w:rPr>
              <w:t xml:space="preserve"> un plan para fortalecer y desarrollar</w:t>
            </w:r>
            <w:r>
              <w:rPr>
                <w:sz w:val="16"/>
                <w:szCs w:val="16"/>
              </w:rPr>
              <w:t xml:space="preserve"> los</w:t>
            </w:r>
            <w:r w:rsidRPr="00515D00">
              <w:rPr>
                <w:sz w:val="16"/>
                <w:szCs w:val="16"/>
              </w:rPr>
              <w:t xml:space="preserve"> servicios nacionales de información y un calendario </w:t>
            </w:r>
            <w:r>
              <w:rPr>
                <w:sz w:val="16"/>
                <w:szCs w:val="16"/>
              </w:rPr>
              <w:t>para su</w:t>
            </w:r>
            <w:r w:rsidRPr="00515D00">
              <w:rPr>
                <w:sz w:val="16"/>
                <w:szCs w:val="16"/>
              </w:rPr>
              <w:t xml:space="preserve"> ejecución, con el fin de fomentar las capacidades nacionales.</w:t>
            </w:r>
          </w:p>
          <w:p w:rsidR="003E311F" w:rsidRPr="00515D00" w:rsidRDefault="003E311F" w:rsidP="007A358B">
            <w:pPr>
              <w:autoSpaceDE w:val="0"/>
              <w:autoSpaceDN w:val="0"/>
              <w:adjustRightInd w:val="0"/>
              <w:spacing w:before="60" w:after="60"/>
              <w:rPr>
                <w:color w:val="000000"/>
                <w:sz w:val="16"/>
                <w:szCs w:val="16"/>
              </w:rPr>
            </w:pPr>
            <w:r w:rsidRPr="00515D00">
              <w:rPr>
                <w:sz w:val="16"/>
                <w:szCs w:val="16"/>
              </w:rPr>
              <w:t xml:space="preserve">Cooperación horizontal entre oficinas de P.I. para reducir asimetrías en la gestión de la calidad en las tecnologías de la información.  Las funciones del asesor son:  i) detectar asimetrías entre las oficinas de P.I. en lo que atañe a la </w:t>
            </w:r>
            <w:r w:rsidRPr="00515D00">
              <w:rPr>
                <w:sz w:val="16"/>
                <w:szCs w:val="16"/>
              </w:rPr>
              <w:lastRenderedPageBreak/>
              <w:t>gestión de la calidad y las tecnologías de la información</w:t>
            </w:r>
            <w:r>
              <w:rPr>
                <w:sz w:val="16"/>
                <w:szCs w:val="16"/>
              </w:rPr>
              <w:t xml:space="preserve">; </w:t>
            </w:r>
            <w:r w:rsidRPr="00515D00">
              <w:rPr>
                <w:sz w:val="16"/>
                <w:szCs w:val="16"/>
              </w:rPr>
              <w:t xml:space="preserve"> ii) </w:t>
            </w:r>
            <w:r>
              <w:rPr>
                <w:sz w:val="16"/>
                <w:szCs w:val="16"/>
              </w:rPr>
              <w:t>idear</w:t>
            </w:r>
            <w:r w:rsidRPr="00515D00">
              <w:rPr>
                <w:sz w:val="16"/>
                <w:szCs w:val="16"/>
              </w:rPr>
              <w:t xml:space="preserve"> un programa de acción destinado a eliminar asimetrí</w:t>
            </w:r>
            <w:r>
              <w:rPr>
                <w:sz w:val="16"/>
                <w:szCs w:val="16"/>
              </w:rPr>
              <w:t xml:space="preserve">as mediante cursos de formación; </w:t>
            </w:r>
            <w:r w:rsidRPr="00515D00">
              <w:rPr>
                <w:sz w:val="16"/>
                <w:szCs w:val="16"/>
              </w:rPr>
              <w:t xml:space="preserve"> y iii) coordinar la ejecución de este proyecto</w:t>
            </w:r>
            <w:r w:rsidRPr="00515D00">
              <w:rPr>
                <w:color w:val="000000"/>
                <w:sz w:val="16"/>
                <w:szCs w:val="16"/>
              </w:rPr>
              <w:t xml:space="preserve">.  </w:t>
            </w:r>
          </w:p>
        </w:tc>
      </w:tr>
      <w:tr w:rsidR="003E311F" w:rsidRPr="00092F2E" w:rsidTr="007A358B">
        <w:trPr>
          <w:trHeight w:val="315"/>
        </w:trPr>
        <w:tc>
          <w:tcPr>
            <w:tcW w:w="1843" w:type="dxa"/>
          </w:tcPr>
          <w:p w:rsidR="003E311F" w:rsidRPr="00515D00" w:rsidRDefault="003E311F" w:rsidP="007A358B">
            <w:pPr>
              <w:autoSpaceDE w:val="0"/>
              <w:autoSpaceDN w:val="0"/>
              <w:adjustRightInd w:val="0"/>
              <w:spacing w:before="60" w:after="60"/>
              <w:rPr>
                <w:color w:val="000000"/>
                <w:sz w:val="16"/>
                <w:szCs w:val="16"/>
              </w:rPr>
            </w:pPr>
            <w:r w:rsidRPr="00515D00">
              <w:rPr>
                <w:sz w:val="16"/>
                <w:szCs w:val="16"/>
              </w:rPr>
              <w:lastRenderedPageBreak/>
              <w:t xml:space="preserve">Fomentar la cooperación entre las </w:t>
            </w:r>
            <w:r>
              <w:rPr>
                <w:sz w:val="16"/>
                <w:szCs w:val="16"/>
              </w:rPr>
              <w:t>oficinas de P.I.</w:t>
            </w:r>
            <w:r w:rsidRPr="00515D00">
              <w:rPr>
                <w:sz w:val="16"/>
                <w:szCs w:val="16"/>
              </w:rPr>
              <w:t xml:space="preserve"> de América Latina</w:t>
            </w:r>
            <w:r>
              <w:rPr>
                <w:sz w:val="16"/>
                <w:szCs w:val="16"/>
              </w:rPr>
              <w:t xml:space="preserve"> a fin de crear </w:t>
            </w:r>
            <w:r w:rsidRPr="00515D00">
              <w:rPr>
                <w:sz w:val="16"/>
                <w:szCs w:val="16"/>
              </w:rPr>
              <w:t xml:space="preserve">una plataforma para los países miembros </w:t>
            </w:r>
            <w:r>
              <w:rPr>
                <w:sz w:val="16"/>
                <w:szCs w:val="16"/>
              </w:rPr>
              <w:t xml:space="preserve">que facilite </w:t>
            </w:r>
            <w:r w:rsidRPr="00515D00">
              <w:rPr>
                <w:sz w:val="16"/>
                <w:szCs w:val="16"/>
              </w:rPr>
              <w:t>el intercambio de experiencias y mejores prácticas entre las oficinas</w:t>
            </w:r>
          </w:p>
        </w:tc>
        <w:tc>
          <w:tcPr>
            <w:tcW w:w="1134" w:type="dxa"/>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Enero a diciembre de 2015</w:t>
            </w:r>
          </w:p>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(En curso)</w:t>
            </w:r>
          </w:p>
        </w:tc>
        <w:tc>
          <w:tcPr>
            <w:tcW w:w="2126" w:type="dxa"/>
          </w:tcPr>
          <w:p w:rsidR="003E311F" w:rsidRPr="00515D00" w:rsidRDefault="003E311F" w:rsidP="007A358B">
            <w:pPr>
              <w:autoSpaceDE w:val="0"/>
              <w:autoSpaceDN w:val="0"/>
              <w:adjustRightInd w:val="0"/>
              <w:spacing w:before="60" w:after="60"/>
              <w:rPr>
                <w:color w:val="000000"/>
                <w:sz w:val="16"/>
                <w:szCs w:val="16"/>
              </w:rPr>
            </w:pPr>
            <w:r w:rsidRPr="00515D00">
              <w:rPr>
                <w:sz w:val="16"/>
                <w:szCs w:val="16"/>
              </w:rPr>
              <w:t>Todos los países de América Latina</w:t>
            </w:r>
          </w:p>
        </w:tc>
        <w:tc>
          <w:tcPr>
            <w:tcW w:w="4678" w:type="dxa"/>
          </w:tcPr>
          <w:p w:rsidR="003E311F" w:rsidRPr="00515D00" w:rsidRDefault="003E311F" w:rsidP="007A358B">
            <w:pPr>
              <w:autoSpaceDE w:val="0"/>
              <w:autoSpaceDN w:val="0"/>
              <w:adjustRightInd w:val="0"/>
              <w:spacing w:before="60" w:after="60"/>
              <w:rPr>
                <w:color w:val="000000"/>
                <w:sz w:val="16"/>
                <w:szCs w:val="16"/>
              </w:rPr>
            </w:pPr>
            <w:r w:rsidRPr="00515D00">
              <w:rPr>
                <w:sz w:val="16"/>
                <w:szCs w:val="16"/>
              </w:rPr>
              <w:t xml:space="preserve">Promover el intercambio virtual de mejores prácticas entre las </w:t>
            </w:r>
            <w:r>
              <w:rPr>
                <w:sz w:val="16"/>
                <w:szCs w:val="16"/>
              </w:rPr>
              <w:t>oficinas de P.I.</w:t>
            </w:r>
            <w:r w:rsidRPr="00515D00">
              <w:rPr>
                <w:sz w:val="16"/>
                <w:szCs w:val="16"/>
              </w:rPr>
              <w:t xml:space="preserve"> en cuestiones como</w:t>
            </w:r>
            <w:proofErr w:type="gramStart"/>
            <w:r w:rsidRPr="00515D00">
              <w:rPr>
                <w:sz w:val="16"/>
                <w:szCs w:val="16"/>
              </w:rPr>
              <w:t xml:space="preserve">:  </w:t>
            </w:r>
            <w:r>
              <w:rPr>
                <w:sz w:val="16"/>
                <w:szCs w:val="16"/>
              </w:rPr>
              <w:t>i</w:t>
            </w:r>
            <w:proofErr w:type="gramEnd"/>
            <w:r>
              <w:rPr>
                <w:sz w:val="16"/>
                <w:szCs w:val="16"/>
              </w:rPr>
              <w:t xml:space="preserve">) la gestión de la calidad; </w:t>
            </w:r>
            <w:r w:rsidRPr="00515D00">
              <w:rPr>
                <w:sz w:val="16"/>
                <w:szCs w:val="16"/>
              </w:rPr>
              <w:t xml:space="preserve"> ii) la organización de servicios de registro e información en línea</w:t>
            </w:r>
            <w:r>
              <w:rPr>
                <w:sz w:val="16"/>
                <w:szCs w:val="16"/>
              </w:rPr>
              <w:t xml:space="preserve">; </w:t>
            </w:r>
            <w:r w:rsidRPr="00515D00">
              <w:rPr>
                <w:sz w:val="16"/>
                <w:szCs w:val="16"/>
              </w:rPr>
              <w:t xml:space="preserve"> iii) el suministro de bases de datos</w:t>
            </w:r>
            <w:r>
              <w:rPr>
                <w:sz w:val="16"/>
                <w:szCs w:val="16"/>
              </w:rPr>
              <w:t xml:space="preserve">; </w:t>
            </w:r>
            <w:r w:rsidRPr="00515D00">
              <w:rPr>
                <w:sz w:val="16"/>
                <w:szCs w:val="16"/>
              </w:rPr>
              <w:t xml:space="preserve"> iv) el examen de patentes, diseños y marcas</w:t>
            </w:r>
            <w:r>
              <w:rPr>
                <w:sz w:val="16"/>
                <w:szCs w:val="16"/>
              </w:rPr>
              <w:t xml:space="preserve">; </w:t>
            </w:r>
            <w:r w:rsidRPr="00515D00">
              <w:rPr>
                <w:sz w:val="16"/>
                <w:szCs w:val="16"/>
              </w:rPr>
              <w:t xml:space="preserve"> v) la organización de servicios de info</w:t>
            </w:r>
            <w:r>
              <w:rPr>
                <w:sz w:val="16"/>
                <w:szCs w:val="16"/>
              </w:rPr>
              <w:t xml:space="preserve">rmación tecnológica y comercial; </w:t>
            </w:r>
            <w:r w:rsidRPr="00515D00">
              <w:rPr>
                <w:sz w:val="16"/>
                <w:szCs w:val="16"/>
              </w:rPr>
              <w:t xml:space="preserve"> vi) la organización de programas de formación</w:t>
            </w:r>
            <w:r>
              <w:rPr>
                <w:sz w:val="16"/>
                <w:szCs w:val="16"/>
              </w:rPr>
              <w:t xml:space="preserve">; </w:t>
            </w:r>
            <w:r w:rsidRPr="00515D00">
              <w:rPr>
                <w:sz w:val="16"/>
                <w:szCs w:val="16"/>
              </w:rPr>
              <w:t xml:space="preserve"> y vii) la prestación de servicios de mediación o arbitraje.</w:t>
            </w:r>
          </w:p>
        </w:tc>
      </w:tr>
    </w:tbl>
    <w:p w:rsidR="003E311F" w:rsidRPr="007329AC" w:rsidRDefault="003E311F" w:rsidP="003E311F">
      <w:pPr>
        <w:rPr>
          <w:sz w:val="20"/>
        </w:rPr>
      </w:pPr>
    </w:p>
    <w:p w:rsidR="003E311F" w:rsidRPr="007329AC" w:rsidRDefault="003E311F" w:rsidP="003E311F">
      <w:pPr>
        <w:rPr>
          <w:sz w:val="20"/>
        </w:rPr>
      </w:pPr>
    </w:p>
    <w:p w:rsidR="003E311F" w:rsidRPr="007329AC" w:rsidRDefault="003E311F" w:rsidP="003E311F">
      <w:pPr>
        <w:rPr>
          <w:b/>
          <w:color w:val="000000"/>
          <w:sz w:val="20"/>
        </w:rPr>
      </w:pPr>
      <w:r w:rsidRPr="007329AC">
        <w:rPr>
          <w:b/>
          <w:sz w:val="20"/>
        </w:rPr>
        <w:t xml:space="preserve">PROGRAMA IBEROAMERICANO DE PROPIEDAD INDUSTRIAL – Contribuciones de donantes y gastos en </w:t>
      </w:r>
      <w:r w:rsidRPr="007329AC">
        <w:rPr>
          <w:b/>
          <w:color w:val="000000"/>
          <w:sz w:val="20"/>
        </w:rPr>
        <w:t>2015</w:t>
      </w:r>
    </w:p>
    <w:p w:rsidR="003E311F" w:rsidRPr="007329AC" w:rsidRDefault="003E311F" w:rsidP="003E311F">
      <w:pPr>
        <w:rPr>
          <w:sz w:val="20"/>
        </w:rPr>
      </w:pPr>
    </w:p>
    <w:tbl>
      <w:tblPr>
        <w:tblW w:w="9791" w:type="dxa"/>
        <w:tblInd w:w="98" w:type="dxa"/>
        <w:tblLook w:val="04A0" w:firstRow="1" w:lastRow="0" w:firstColumn="1" w:lastColumn="0" w:noHBand="0" w:noVBand="1"/>
      </w:tblPr>
      <w:tblGrid>
        <w:gridCol w:w="2040"/>
        <w:gridCol w:w="1640"/>
        <w:gridCol w:w="1860"/>
        <w:gridCol w:w="1780"/>
        <w:gridCol w:w="2471"/>
      </w:tblGrid>
      <w:tr w:rsidR="003E311F" w:rsidRPr="00515D00" w:rsidTr="007A358B">
        <w:trPr>
          <w:trHeight w:val="450"/>
        </w:trPr>
        <w:tc>
          <w:tcPr>
            <w:tcW w:w="2040" w:type="dxa"/>
            <w:tcBorders>
              <w:top w:val="single" w:sz="8" w:space="0" w:color="auto"/>
              <w:left w:val="single" w:sz="8" w:space="0" w:color="auto"/>
              <w:bottom w:val="nil"/>
              <w:right w:val="single" w:sz="8" w:space="0" w:color="auto"/>
            </w:tcBorders>
            <w:shd w:val="clear" w:color="auto" w:fill="C6D9F1"/>
            <w:vAlign w:val="center"/>
            <w:hideMark/>
          </w:tcPr>
          <w:p w:rsidR="003E311F" w:rsidRPr="00515D00" w:rsidRDefault="005C708A" w:rsidP="007A358B">
            <w:pPr>
              <w:jc w:val="center"/>
              <w:rPr>
                <w:b/>
                <w:bCs/>
                <w:color w:val="000000"/>
                <w:sz w:val="16"/>
                <w:szCs w:val="16"/>
              </w:rPr>
            </w:pPr>
            <w:r>
              <w:rPr>
                <w:b/>
                <w:bCs/>
                <w:sz w:val="16"/>
                <w:szCs w:val="16"/>
              </w:rPr>
              <w:t>Saldo el</w:t>
            </w:r>
            <w:r w:rsidR="003E311F" w:rsidRPr="00515D00">
              <w:rPr>
                <w:b/>
                <w:bCs/>
                <w:sz w:val="16"/>
                <w:szCs w:val="16"/>
              </w:rPr>
              <w:t xml:space="preserve"> 31 de diciembre de </w:t>
            </w:r>
            <w:r w:rsidR="003E311F" w:rsidRPr="00515D00">
              <w:rPr>
                <w:b/>
                <w:bCs/>
                <w:color w:val="000000"/>
                <w:sz w:val="16"/>
                <w:szCs w:val="16"/>
              </w:rPr>
              <w:t>2014</w:t>
            </w:r>
          </w:p>
        </w:tc>
        <w:tc>
          <w:tcPr>
            <w:tcW w:w="1640" w:type="dxa"/>
            <w:tcBorders>
              <w:top w:val="single" w:sz="8" w:space="0" w:color="auto"/>
              <w:left w:val="nil"/>
              <w:bottom w:val="nil"/>
              <w:right w:val="single" w:sz="8" w:space="0" w:color="auto"/>
            </w:tcBorders>
            <w:shd w:val="clear" w:color="auto" w:fill="C6D9F1"/>
            <w:vAlign w:val="center"/>
            <w:hideMark/>
          </w:tcPr>
          <w:p w:rsidR="003E311F" w:rsidRPr="00515D00" w:rsidRDefault="003E311F" w:rsidP="007A358B">
            <w:pPr>
              <w:jc w:val="center"/>
              <w:rPr>
                <w:b/>
                <w:bCs/>
                <w:color w:val="000000"/>
                <w:sz w:val="16"/>
                <w:szCs w:val="16"/>
              </w:rPr>
            </w:pPr>
            <w:r w:rsidRPr="00515D00">
              <w:rPr>
                <w:b/>
                <w:bCs/>
                <w:sz w:val="16"/>
                <w:szCs w:val="16"/>
              </w:rPr>
              <w:t xml:space="preserve">Ingresos en </w:t>
            </w:r>
            <w:r w:rsidRPr="00515D00">
              <w:rPr>
                <w:b/>
                <w:bCs/>
                <w:color w:val="000000"/>
                <w:sz w:val="16"/>
                <w:szCs w:val="16"/>
              </w:rPr>
              <w:t>2015</w:t>
            </w:r>
          </w:p>
        </w:tc>
        <w:tc>
          <w:tcPr>
            <w:tcW w:w="1860" w:type="dxa"/>
            <w:tcBorders>
              <w:top w:val="single" w:sz="8" w:space="0" w:color="auto"/>
              <w:left w:val="nil"/>
              <w:bottom w:val="nil"/>
              <w:right w:val="single" w:sz="8" w:space="0" w:color="auto"/>
            </w:tcBorders>
            <w:shd w:val="clear" w:color="auto" w:fill="C6D9F1"/>
            <w:vAlign w:val="center"/>
            <w:hideMark/>
          </w:tcPr>
          <w:p w:rsidR="003E311F" w:rsidRPr="00515D00" w:rsidRDefault="003E311F" w:rsidP="007A358B">
            <w:pPr>
              <w:jc w:val="center"/>
              <w:rPr>
                <w:b/>
                <w:bCs/>
                <w:color w:val="000000"/>
                <w:sz w:val="16"/>
                <w:szCs w:val="16"/>
              </w:rPr>
            </w:pPr>
            <w:r w:rsidRPr="00515D00">
              <w:rPr>
                <w:b/>
                <w:bCs/>
                <w:sz w:val="16"/>
                <w:szCs w:val="16"/>
              </w:rPr>
              <w:t xml:space="preserve">Gastos en </w:t>
            </w:r>
            <w:r w:rsidRPr="00515D00">
              <w:rPr>
                <w:b/>
                <w:bCs/>
                <w:color w:val="000000"/>
                <w:sz w:val="16"/>
                <w:szCs w:val="16"/>
              </w:rPr>
              <w:t>2015</w:t>
            </w:r>
          </w:p>
        </w:tc>
        <w:tc>
          <w:tcPr>
            <w:tcW w:w="1780" w:type="dxa"/>
            <w:tcBorders>
              <w:top w:val="single" w:sz="8" w:space="0" w:color="auto"/>
              <w:left w:val="nil"/>
              <w:bottom w:val="nil"/>
              <w:right w:val="single" w:sz="8" w:space="0" w:color="auto"/>
            </w:tcBorders>
            <w:shd w:val="clear" w:color="auto" w:fill="C6D9F1"/>
            <w:vAlign w:val="center"/>
            <w:hideMark/>
          </w:tcPr>
          <w:p w:rsidR="003E311F" w:rsidRPr="00515D00" w:rsidRDefault="003E311F" w:rsidP="007A358B">
            <w:pPr>
              <w:jc w:val="center"/>
              <w:rPr>
                <w:b/>
                <w:bCs/>
                <w:color w:val="000000"/>
                <w:sz w:val="16"/>
                <w:szCs w:val="16"/>
              </w:rPr>
            </w:pPr>
            <w:r w:rsidRPr="00515D00">
              <w:rPr>
                <w:b/>
                <w:bCs/>
                <w:sz w:val="16"/>
                <w:szCs w:val="16"/>
              </w:rPr>
              <w:t>Reembolsos</w:t>
            </w:r>
          </w:p>
        </w:tc>
        <w:tc>
          <w:tcPr>
            <w:tcW w:w="2471" w:type="dxa"/>
            <w:tcBorders>
              <w:top w:val="single" w:sz="8" w:space="0" w:color="auto"/>
              <w:left w:val="nil"/>
              <w:bottom w:val="nil"/>
              <w:right w:val="single" w:sz="8" w:space="0" w:color="auto"/>
            </w:tcBorders>
            <w:shd w:val="clear" w:color="auto" w:fill="C6D9F1"/>
            <w:vAlign w:val="center"/>
            <w:hideMark/>
          </w:tcPr>
          <w:p w:rsidR="003E311F" w:rsidRPr="00515D00" w:rsidRDefault="005C708A" w:rsidP="007A358B">
            <w:pPr>
              <w:jc w:val="center"/>
              <w:rPr>
                <w:b/>
                <w:bCs/>
                <w:color w:val="000000"/>
                <w:sz w:val="16"/>
                <w:szCs w:val="16"/>
              </w:rPr>
            </w:pPr>
            <w:r>
              <w:rPr>
                <w:b/>
                <w:bCs/>
                <w:sz w:val="16"/>
                <w:szCs w:val="16"/>
              </w:rPr>
              <w:t>Saldo el</w:t>
            </w:r>
            <w:r w:rsidR="003E311F" w:rsidRPr="00515D00">
              <w:rPr>
                <w:b/>
                <w:bCs/>
                <w:sz w:val="16"/>
                <w:szCs w:val="16"/>
              </w:rPr>
              <w:t xml:space="preserve"> 31 de diciembre de </w:t>
            </w:r>
            <w:r w:rsidR="003E311F" w:rsidRPr="00515D00">
              <w:rPr>
                <w:b/>
                <w:bCs/>
                <w:color w:val="000000"/>
                <w:sz w:val="16"/>
                <w:szCs w:val="16"/>
              </w:rPr>
              <w:t>2015</w:t>
            </w:r>
          </w:p>
        </w:tc>
      </w:tr>
      <w:tr w:rsidR="003E311F" w:rsidRPr="00515D00" w:rsidTr="007A358B">
        <w:trPr>
          <w:trHeight w:val="255"/>
        </w:trPr>
        <w:tc>
          <w:tcPr>
            <w:tcW w:w="2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311F" w:rsidRPr="00515D00" w:rsidRDefault="003E311F" w:rsidP="007A358B">
            <w:pPr>
              <w:jc w:val="center"/>
              <w:rPr>
                <w:color w:val="000000"/>
                <w:sz w:val="16"/>
                <w:szCs w:val="16"/>
              </w:rPr>
            </w:pPr>
            <w:r w:rsidRPr="00515D00">
              <w:rPr>
                <w:color w:val="000000"/>
                <w:sz w:val="16"/>
                <w:szCs w:val="16"/>
              </w:rPr>
              <w:t>232.961</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3E311F" w:rsidRPr="00515D00" w:rsidRDefault="003E311F" w:rsidP="007A358B">
            <w:pPr>
              <w:jc w:val="center"/>
              <w:rPr>
                <w:color w:val="000000"/>
                <w:sz w:val="16"/>
                <w:szCs w:val="16"/>
              </w:rPr>
            </w:pPr>
            <w:r w:rsidRPr="00515D00">
              <w:rPr>
                <w:color w:val="000000"/>
                <w:sz w:val="16"/>
                <w:szCs w:val="16"/>
              </w:rPr>
              <w:t>13.103</w:t>
            </w:r>
          </w:p>
        </w:tc>
        <w:tc>
          <w:tcPr>
            <w:tcW w:w="1860" w:type="dxa"/>
            <w:tcBorders>
              <w:top w:val="single" w:sz="4" w:space="0" w:color="auto"/>
              <w:left w:val="nil"/>
              <w:bottom w:val="single" w:sz="4" w:space="0" w:color="auto"/>
              <w:right w:val="single" w:sz="4" w:space="0" w:color="auto"/>
            </w:tcBorders>
            <w:shd w:val="clear" w:color="auto" w:fill="auto"/>
            <w:vAlign w:val="center"/>
            <w:hideMark/>
          </w:tcPr>
          <w:p w:rsidR="003E311F" w:rsidRPr="00515D00" w:rsidRDefault="003E311F" w:rsidP="007A358B">
            <w:pPr>
              <w:jc w:val="center"/>
              <w:rPr>
                <w:color w:val="000000"/>
                <w:sz w:val="16"/>
                <w:szCs w:val="16"/>
              </w:rPr>
            </w:pPr>
            <w:r w:rsidRPr="00515D00">
              <w:rPr>
                <w:color w:val="000000"/>
                <w:sz w:val="16"/>
                <w:szCs w:val="16"/>
              </w:rPr>
              <w:t>6.110</w:t>
            </w:r>
          </w:p>
        </w:tc>
        <w:tc>
          <w:tcPr>
            <w:tcW w:w="1780" w:type="dxa"/>
            <w:tcBorders>
              <w:top w:val="single" w:sz="4" w:space="0" w:color="auto"/>
              <w:left w:val="nil"/>
              <w:bottom w:val="single" w:sz="4" w:space="0" w:color="auto"/>
              <w:right w:val="single" w:sz="4" w:space="0" w:color="auto"/>
            </w:tcBorders>
            <w:shd w:val="clear" w:color="auto" w:fill="auto"/>
            <w:noWrap/>
            <w:vAlign w:val="center"/>
            <w:hideMark/>
          </w:tcPr>
          <w:p w:rsidR="003E311F" w:rsidRPr="00515D00" w:rsidRDefault="003E311F" w:rsidP="007A358B">
            <w:pPr>
              <w:jc w:val="center"/>
              <w:rPr>
                <w:color w:val="000000"/>
                <w:sz w:val="16"/>
                <w:szCs w:val="16"/>
              </w:rPr>
            </w:pPr>
            <w:r w:rsidRPr="00515D00">
              <w:rPr>
                <w:color w:val="000000"/>
                <w:sz w:val="16"/>
                <w:szCs w:val="16"/>
              </w:rPr>
              <w:t>-</w:t>
            </w:r>
          </w:p>
        </w:tc>
        <w:tc>
          <w:tcPr>
            <w:tcW w:w="2471" w:type="dxa"/>
            <w:tcBorders>
              <w:top w:val="single" w:sz="4" w:space="0" w:color="auto"/>
              <w:left w:val="nil"/>
              <w:bottom w:val="single" w:sz="4" w:space="0" w:color="auto"/>
              <w:right w:val="single" w:sz="4" w:space="0" w:color="auto"/>
            </w:tcBorders>
            <w:shd w:val="clear" w:color="auto" w:fill="auto"/>
            <w:vAlign w:val="center"/>
            <w:hideMark/>
          </w:tcPr>
          <w:p w:rsidR="003E311F" w:rsidRPr="00515D00" w:rsidRDefault="003E311F" w:rsidP="007A358B">
            <w:pPr>
              <w:jc w:val="center"/>
              <w:rPr>
                <w:color w:val="000000"/>
                <w:sz w:val="16"/>
                <w:szCs w:val="16"/>
              </w:rPr>
            </w:pPr>
            <w:r w:rsidRPr="00515D00">
              <w:rPr>
                <w:color w:val="000000"/>
                <w:sz w:val="16"/>
                <w:szCs w:val="16"/>
              </w:rPr>
              <w:t>239.955</w:t>
            </w:r>
          </w:p>
        </w:tc>
      </w:tr>
    </w:tbl>
    <w:p w:rsidR="003E311F" w:rsidRPr="007329AC" w:rsidRDefault="003E311F" w:rsidP="003E311F">
      <w:pPr>
        <w:keepNext/>
        <w:widowControl w:val="0"/>
        <w:tabs>
          <w:tab w:val="left" w:pos="0"/>
          <w:tab w:val="left" w:pos="9071"/>
        </w:tabs>
        <w:rPr>
          <w:b/>
          <w:sz w:val="20"/>
        </w:rPr>
      </w:pPr>
    </w:p>
    <w:p w:rsidR="003E311F" w:rsidRPr="007329AC" w:rsidRDefault="003E311F" w:rsidP="003E311F">
      <w:pPr>
        <w:keepNext/>
        <w:widowControl w:val="0"/>
        <w:tabs>
          <w:tab w:val="left" w:pos="0"/>
          <w:tab w:val="left" w:pos="9071"/>
        </w:tabs>
        <w:rPr>
          <w:b/>
          <w:sz w:val="20"/>
        </w:rPr>
      </w:pPr>
    </w:p>
    <w:p w:rsidR="003E311F" w:rsidRPr="007329AC" w:rsidRDefault="003E311F" w:rsidP="003E311F">
      <w:pPr>
        <w:keepNext/>
        <w:widowControl w:val="0"/>
        <w:tabs>
          <w:tab w:val="left" w:pos="0"/>
          <w:tab w:val="left" w:pos="9071"/>
        </w:tabs>
        <w:rPr>
          <w:b/>
          <w:sz w:val="20"/>
        </w:rPr>
      </w:pPr>
      <w:r w:rsidRPr="007329AC">
        <w:rPr>
          <w:b/>
          <w:sz w:val="20"/>
        </w:rPr>
        <w:t>ITALIA</w:t>
      </w:r>
    </w:p>
    <w:p w:rsidR="003E311F" w:rsidRPr="007329AC" w:rsidRDefault="003E311F" w:rsidP="003E311F">
      <w:pPr>
        <w:keepNext/>
        <w:keepLines/>
        <w:rPr>
          <w:b/>
          <w:sz w:val="20"/>
        </w:rPr>
      </w:pPr>
    </w:p>
    <w:tbl>
      <w:tblPr>
        <w:tblW w:w="9528" w:type="dxa"/>
        <w:tblInd w:w="7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73"/>
        <w:gridCol w:w="1276"/>
        <w:gridCol w:w="1984"/>
        <w:gridCol w:w="4395"/>
      </w:tblGrid>
      <w:tr w:rsidR="003E311F" w:rsidRPr="00092F2E" w:rsidTr="007A358B">
        <w:trPr>
          <w:cantSplit/>
        </w:trPr>
        <w:tc>
          <w:tcPr>
            <w:tcW w:w="9528" w:type="dxa"/>
            <w:gridSpan w:val="4"/>
            <w:tcBorders>
              <w:top w:val="single" w:sz="4" w:space="0" w:color="000000"/>
              <w:bottom w:val="single" w:sz="4" w:space="0" w:color="000000"/>
            </w:tcBorders>
            <w:shd w:val="clear" w:color="auto" w:fill="C6D9F1" w:themeFill="text2" w:themeFillTint="33"/>
            <w:vAlign w:val="center"/>
          </w:tcPr>
          <w:p w:rsidR="003E311F" w:rsidRPr="00515D00" w:rsidRDefault="003E311F" w:rsidP="007A358B">
            <w:pPr>
              <w:keepNext/>
              <w:keepLines/>
              <w:tabs>
                <w:tab w:val="left" w:pos="1740"/>
              </w:tabs>
              <w:spacing w:before="120" w:after="120"/>
              <w:ind w:left="1740" w:hanging="1740"/>
              <w:rPr>
                <w:b/>
                <w:bCs/>
                <w:sz w:val="16"/>
                <w:szCs w:val="16"/>
              </w:rPr>
            </w:pPr>
            <w:r w:rsidRPr="00515D00">
              <w:rPr>
                <w:b/>
                <w:bCs/>
                <w:color w:val="000000"/>
                <w:sz w:val="16"/>
                <w:szCs w:val="16"/>
              </w:rPr>
              <w:t>RESULTADO:</w:t>
            </w:r>
            <w:r w:rsidRPr="00515D00">
              <w:rPr>
                <w:b/>
                <w:bCs/>
                <w:sz w:val="16"/>
                <w:szCs w:val="16"/>
              </w:rPr>
              <w:tab/>
            </w:r>
            <w:r w:rsidRPr="00515D00">
              <w:rPr>
                <w:bCs/>
                <w:sz w:val="16"/>
                <w:szCs w:val="16"/>
              </w:rPr>
              <w:t>IV.2  Mejora del acceso y uso de información de P.I. por parte de instituciones de P.I. y el público para fomentar la innovación y la creatividad</w:t>
            </w:r>
          </w:p>
        </w:tc>
      </w:tr>
      <w:tr w:rsidR="003E311F" w:rsidRPr="00515D00" w:rsidTr="007A358B">
        <w:trPr>
          <w:cantSplit/>
        </w:trPr>
        <w:tc>
          <w:tcPr>
            <w:tcW w:w="1873" w:type="dxa"/>
            <w:tcBorders>
              <w:top w:val="single" w:sz="4" w:space="0" w:color="000000"/>
            </w:tcBorders>
            <w:vAlign w:val="center"/>
          </w:tcPr>
          <w:p w:rsidR="003E311F" w:rsidRPr="00515D00" w:rsidRDefault="003E311F" w:rsidP="007A358B">
            <w:pPr>
              <w:keepNext/>
              <w:keepLines/>
              <w:spacing w:before="60" w:after="60"/>
              <w:rPr>
                <w:b/>
                <w:bCs/>
                <w:sz w:val="16"/>
                <w:szCs w:val="16"/>
              </w:rPr>
            </w:pPr>
            <w:r w:rsidRPr="00515D00">
              <w:rPr>
                <w:b/>
                <w:bCs/>
                <w:sz w:val="16"/>
                <w:szCs w:val="16"/>
              </w:rPr>
              <w:t>Actividad</w:t>
            </w:r>
          </w:p>
        </w:tc>
        <w:tc>
          <w:tcPr>
            <w:tcW w:w="1276" w:type="dxa"/>
            <w:tcBorders>
              <w:top w:val="single" w:sz="4" w:space="0" w:color="000000"/>
            </w:tcBorders>
            <w:tcMar>
              <w:top w:w="110" w:type="dxa"/>
            </w:tcMar>
            <w:vAlign w:val="center"/>
          </w:tcPr>
          <w:p w:rsidR="003E311F" w:rsidRPr="00515D00" w:rsidRDefault="003E311F" w:rsidP="007A358B">
            <w:pPr>
              <w:keepNext/>
              <w:keepLines/>
              <w:spacing w:before="60" w:after="60"/>
              <w:rPr>
                <w:sz w:val="16"/>
                <w:szCs w:val="16"/>
              </w:rPr>
            </w:pPr>
            <w:r w:rsidRPr="00515D00">
              <w:rPr>
                <w:b/>
                <w:bCs/>
                <w:sz w:val="16"/>
                <w:szCs w:val="16"/>
              </w:rPr>
              <w:t>Fecha</w:t>
            </w:r>
          </w:p>
        </w:tc>
        <w:tc>
          <w:tcPr>
            <w:tcW w:w="1984" w:type="dxa"/>
            <w:tcBorders>
              <w:top w:val="single" w:sz="4" w:space="0" w:color="000000"/>
            </w:tcBorders>
            <w:tcMar>
              <w:top w:w="110" w:type="dxa"/>
            </w:tcMar>
            <w:vAlign w:val="center"/>
          </w:tcPr>
          <w:p w:rsidR="003E311F" w:rsidRPr="00515D00" w:rsidRDefault="003E311F" w:rsidP="007A358B">
            <w:pPr>
              <w:widowControl w:val="0"/>
              <w:rPr>
                <w:sz w:val="16"/>
                <w:szCs w:val="16"/>
              </w:rPr>
            </w:pPr>
            <w:r w:rsidRPr="00515D00">
              <w:rPr>
                <w:b/>
                <w:sz w:val="16"/>
                <w:szCs w:val="16"/>
              </w:rPr>
              <w:t>País anfitrión / Beneficiarios</w:t>
            </w:r>
          </w:p>
        </w:tc>
        <w:tc>
          <w:tcPr>
            <w:tcW w:w="4395" w:type="dxa"/>
            <w:tcBorders>
              <w:top w:val="single" w:sz="4" w:space="0" w:color="000000"/>
            </w:tcBorders>
            <w:shd w:val="clear" w:color="auto" w:fill="FFFFFF"/>
            <w:tcMar>
              <w:top w:w="110" w:type="dxa"/>
            </w:tcMar>
            <w:vAlign w:val="center"/>
          </w:tcPr>
          <w:p w:rsidR="003E311F" w:rsidRPr="00515D00" w:rsidRDefault="003E311F" w:rsidP="007A358B">
            <w:pPr>
              <w:widowControl w:val="0"/>
              <w:rPr>
                <w:sz w:val="16"/>
                <w:szCs w:val="16"/>
              </w:rPr>
            </w:pPr>
            <w:r w:rsidRPr="00515D00">
              <w:rPr>
                <w:b/>
                <w:sz w:val="16"/>
                <w:szCs w:val="16"/>
              </w:rPr>
              <w:t>Propósito(s)/Descripción</w:t>
            </w:r>
          </w:p>
        </w:tc>
      </w:tr>
      <w:tr w:rsidR="003E311F" w:rsidRPr="00092F2E" w:rsidTr="007A358B">
        <w:trPr>
          <w:cantSplit/>
        </w:trPr>
        <w:tc>
          <w:tcPr>
            <w:tcW w:w="1873" w:type="dxa"/>
          </w:tcPr>
          <w:p w:rsidR="003E311F" w:rsidRPr="00515D00" w:rsidRDefault="003E311F" w:rsidP="007A358B">
            <w:pPr>
              <w:spacing w:before="60" w:after="60"/>
              <w:rPr>
                <w:color w:val="000000"/>
                <w:sz w:val="16"/>
                <w:szCs w:val="16"/>
              </w:rPr>
            </w:pPr>
            <w:r w:rsidRPr="00515D00">
              <w:rPr>
                <w:sz w:val="16"/>
                <w:szCs w:val="16"/>
              </w:rPr>
              <w:t>Creación de una base de datos nacional de patentes en línea en la Oficina de Patentes y Marcas de Italia (DGLC-UIBM)</w:t>
            </w:r>
          </w:p>
          <w:p w:rsidR="003E311F" w:rsidRPr="00515D00" w:rsidRDefault="003E311F" w:rsidP="007A358B">
            <w:pPr>
              <w:spacing w:before="60" w:after="60"/>
              <w:rPr>
                <w:color w:val="000000"/>
                <w:sz w:val="16"/>
                <w:szCs w:val="16"/>
              </w:rPr>
            </w:pPr>
          </w:p>
        </w:tc>
        <w:tc>
          <w:tcPr>
            <w:tcW w:w="1276" w:type="dxa"/>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Enero a diciembre de 2015</w:t>
            </w:r>
          </w:p>
          <w:p w:rsidR="003E311F" w:rsidRPr="00515D00" w:rsidRDefault="003E311F" w:rsidP="007A358B">
            <w:pPr>
              <w:keepNext/>
              <w:keepLines/>
              <w:autoSpaceDE w:val="0"/>
              <w:autoSpaceDN w:val="0"/>
              <w:adjustRightInd w:val="0"/>
              <w:spacing w:before="60" w:after="60"/>
              <w:rPr>
                <w:color w:val="000000"/>
                <w:sz w:val="16"/>
                <w:szCs w:val="16"/>
              </w:rPr>
            </w:pPr>
            <w:r w:rsidRPr="00515D00">
              <w:rPr>
                <w:color w:val="000000"/>
                <w:sz w:val="16"/>
                <w:szCs w:val="16"/>
              </w:rPr>
              <w:t>(En curso)</w:t>
            </w:r>
            <w:r w:rsidRPr="00515D00">
              <w:rPr>
                <w:rStyle w:val="FootnoteReference"/>
                <w:color w:val="000000"/>
                <w:sz w:val="16"/>
                <w:szCs w:val="16"/>
              </w:rPr>
              <w:footnoteReference w:id="157"/>
            </w:r>
          </w:p>
        </w:tc>
        <w:tc>
          <w:tcPr>
            <w:tcW w:w="1984" w:type="dxa"/>
          </w:tcPr>
          <w:p w:rsidR="003E311F" w:rsidRPr="00515D00" w:rsidRDefault="003E311F" w:rsidP="007A358B">
            <w:pPr>
              <w:keepNext/>
              <w:keepLines/>
              <w:spacing w:before="60" w:after="60"/>
              <w:rPr>
                <w:color w:val="000000"/>
                <w:sz w:val="16"/>
                <w:szCs w:val="16"/>
              </w:rPr>
            </w:pPr>
            <w:r w:rsidRPr="00515D00">
              <w:rPr>
                <w:color w:val="000000"/>
                <w:sz w:val="16"/>
                <w:szCs w:val="16"/>
              </w:rPr>
              <w:t xml:space="preserve">Italia </w:t>
            </w:r>
          </w:p>
        </w:tc>
        <w:tc>
          <w:tcPr>
            <w:tcW w:w="4395" w:type="dxa"/>
          </w:tcPr>
          <w:p w:rsidR="003E311F" w:rsidRPr="00515D00" w:rsidRDefault="003E311F" w:rsidP="007A358B">
            <w:pPr>
              <w:keepNext/>
              <w:keepLines/>
              <w:spacing w:before="60" w:after="60"/>
              <w:rPr>
                <w:color w:val="000000"/>
                <w:sz w:val="16"/>
                <w:szCs w:val="16"/>
              </w:rPr>
            </w:pPr>
            <w:r w:rsidRPr="00515D00">
              <w:rPr>
                <w:sz w:val="16"/>
                <w:szCs w:val="16"/>
              </w:rPr>
              <w:t>i) Facilitar la participación de Italia en los acuerdos multilaterales existentes para el intercambio de documentos e informac</w:t>
            </w:r>
            <w:r>
              <w:rPr>
                <w:sz w:val="16"/>
                <w:szCs w:val="16"/>
              </w:rPr>
              <w:t xml:space="preserve">ión contenida en las patentes; </w:t>
            </w:r>
            <w:r w:rsidRPr="00515D00">
              <w:rPr>
                <w:sz w:val="16"/>
                <w:szCs w:val="16"/>
              </w:rPr>
              <w:t xml:space="preserve"> ii) sentar las bases de la participación de Italia en PATENTSCOPE y en otras bases de datos de patentes a nivel internacional (por ejemplo, </w:t>
            </w:r>
            <w:proofErr w:type="spellStart"/>
            <w:r w:rsidRPr="00515D00">
              <w:rPr>
                <w:sz w:val="16"/>
                <w:szCs w:val="16"/>
              </w:rPr>
              <w:t>Espacenet</w:t>
            </w:r>
            <w:proofErr w:type="spellEnd"/>
            <w:r w:rsidRPr="00515D00">
              <w:rPr>
                <w:sz w:val="16"/>
                <w:szCs w:val="16"/>
              </w:rPr>
              <w:t>)</w:t>
            </w:r>
            <w:r>
              <w:rPr>
                <w:sz w:val="16"/>
                <w:szCs w:val="16"/>
              </w:rPr>
              <w:t xml:space="preserve">; </w:t>
            </w:r>
            <w:r w:rsidRPr="00515D00">
              <w:rPr>
                <w:sz w:val="16"/>
                <w:szCs w:val="16"/>
              </w:rPr>
              <w:t xml:space="preserve"> y iii) contribuir a fomentar la difusión de colecciones de patentes digitalizadas en beneficio de todos los Estados miembros de la OMPI, incluidos los países en desarrollo.</w:t>
            </w:r>
          </w:p>
        </w:tc>
      </w:tr>
      <w:tr w:rsidR="003E311F" w:rsidRPr="00092F2E" w:rsidTr="007A358B">
        <w:trPr>
          <w:cantSplit/>
        </w:trPr>
        <w:tc>
          <w:tcPr>
            <w:tcW w:w="1873" w:type="dxa"/>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Revisión del contenido y publicación de una guía sobre propiedad intelectual para pequeñas y medianas empresas agroalimentarias</w:t>
            </w:r>
            <w:r w:rsidRPr="00515D00">
              <w:rPr>
                <w:rStyle w:val="FootnoteReference"/>
                <w:color w:val="000000"/>
                <w:sz w:val="16"/>
                <w:szCs w:val="16"/>
              </w:rPr>
              <w:footnoteReference w:id="158"/>
            </w:r>
          </w:p>
        </w:tc>
        <w:tc>
          <w:tcPr>
            <w:tcW w:w="1276" w:type="dxa"/>
          </w:tcPr>
          <w:p w:rsidR="003E311F" w:rsidRPr="00515D00" w:rsidRDefault="003E311F" w:rsidP="007A358B">
            <w:pPr>
              <w:keepNext/>
              <w:keepLines/>
              <w:spacing w:before="60" w:after="60"/>
              <w:rPr>
                <w:color w:val="000000"/>
                <w:sz w:val="16"/>
                <w:szCs w:val="16"/>
              </w:rPr>
            </w:pPr>
            <w:r w:rsidRPr="00515D00">
              <w:rPr>
                <w:bCs/>
                <w:sz w:val="16"/>
                <w:szCs w:val="16"/>
              </w:rPr>
              <w:t>Enero a julio de 2015</w:t>
            </w:r>
            <w:r w:rsidRPr="00515D00">
              <w:rPr>
                <w:rStyle w:val="FootnoteReference"/>
                <w:bCs/>
                <w:sz w:val="16"/>
                <w:szCs w:val="16"/>
              </w:rPr>
              <w:footnoteReference w:id="159"/>
            </w:r>
          </w:p>
        </w:tc>
        <w:tc>
          <w:tcPr>
            <w:tcW w:w="1984" w:type="dxa"/>
          </w:tcPr>
          <w:p w:rsidR="003E311F" w:rsidRPr="00515D00" w:rsidRDefault="003E311F" w:rsidP="007A358B">
            <w:pPr>
              <w:keepNext/>
              <w:keepLines/>
              <w:spacing w:before="60" w:after="60"/>
              <w:rPr>
                <w:color w:val="000000"/>
                <w:sz w:val="16"/>
                <w:szCs w:val="16"/>
              </w:rPr>
            </w:pPr>
            <w:r w:rsidRPr="00515D00">
              <w:rPr>
                <w:color w:val="000000"/>
                <w:sz w:val="16"/>
                <w:szCs w:val="16"/>
              </w:rPr>
              <w:t>Italia</w:t>
            </w:r>
          </w:p>
        </w:tc>
        <w:tc>
          <w:tcPr>
            <w:tcW w:w="4395" w:type="dxa"/>
          </w:tcPr>
          <w:p w:rsidR="003E311F" w:rsidRPr="00515D00" w:rsidRDefault="003E311F" w:rsidP="007A358B">
            <w:pPr>
              <w:keepNext/>
              <w:keepLines/>
              <w:autoSpaceDE w:val="0"/>
              <w:autoSpaceDN w:val="0"/>
              <w:adjustRightInd w:val="0"/>
              <w:spacing w:before="60" w:after="60"/>
              <w:rPr>
                <w:color w:val="000000"/>
                <w:sz w:val="16"/>
                <w:szCs w:val="16"/>
              </w:rPr>
            </w:pPr>
            <w:r w:rsidRPr="00515D00">
              <w:rPr>
                <w:color w:val="000000"/>
                <w:sz w:val="16"/>
                <w:szCs w:val="16"/>
              </w:rPr>
              <w:t xml:space="preserve">Publicación y difusión de la guía en la Exposición Mundial de Milán 2015, centrada en el tema </w:t>
            </w:r>
            <w:r>
              <w:rPr>
                <w:color w:val="000000"/>
                <w:sz w:val="16"/>
                <w:szCs w:val="16"/>
              </w:rPr>
              <w:t>"</w:t>
            </w:r>
            <w:r w:rsidRPr="00515D00">
              <w:rPr>
                <w:color w:val="000000"/>
                <w:sz w:val="16"/>
                <w:szCs w:val="16"/>
              </w:rPr>
              <w:t>Alimentar al planeta, energía para la vida</w:t>
            </w:r>
            <w:r>
              <w:rPr>
                <w:color w:val="000000"/>
                <w:sz w:val="16"/>
                <w:szCs w:val="16"/>
              </w:rPr>
              <w:t>"</w:t>
            </w:r>
            <w:r w:rsidRPr="00515D00">
              <w:rPr>
                <w:color w:val="000000"/>
                <w:sz w:val="16"/>
                <w:szCs w:val="16"/>
              </w:rPr>
              <w:t xml:space="preserve">, como contribución a la reflexión sobre el uso de </w:t>
            </w:r>
            <w:r>
              <w:rPr>
                <w:color w:val="000000"/>
                <w:sz w:val="16"/>
                <w:szCs w:val="16"/>
              </w:rPr>
              <w:t xml:space="preserve">la </w:t>
            </w:r>
            <w:r w:rsidRPr="00515D00">
              <w:rPr>
                <w:color w:val="000000"/>
                <w:sz w:val="16"/>
                <w:szCs w:val="16"/>
              </w:rPr>
              <w:t>P.I. en el sector de las empresas agroalimentarias.</w:t>
            </w:r>
          </w:p>
        </w:tc>
      </w:tr>
    </w:tbl>
    <w:p w:rsidR="003E311F" w:rsidRPr="007329AC" w:rsidRDefault="003E311F" w:rsidP="003E311F">
      <w:pPr>
        <w:rPr>
          <w:sz w:val="20"/>
        </w:rPr>
      </w:pPr>
    </w:p>
    <w:p w:rsidR="003E311F" w:rsidRPr="007329AC" w:rsidRDefault="003E311F" w:rsidP="003E311F">
      <w:pPr>
        <w:rPr>
          <w:sz w:val="20"/>
        </w:rPr>
      </w:pPr>
    </w:p>
    <w:p w:rsidR="003E311F" w:rsidRPr="007329AC" w:rsidRDefault="003E311F" w:rsidP="003E311F">
      <w:pPr>
        <w:rPr>
          <w:b/>
          <w:color w:val="000000"/>
          <w:sz w:val="20"/>
        </w:rPr>
      </w:pPr>
      <w:r w:rsidRPr="007329AC">
        <w:rPr>
          <w:b/>
          <w:sz w:val="20"/>
        </w:rPr>
        <w:t>ITALIA – Contribuciones de donantes y gastos en </w:t>
      </w:r>
      <w:r w:rsidRPr="007329AC">
        <w:rPr>
          <w:b/>
          <w:color w:val="000000"/>
          <w:sz w:val="20"/>
        </w:rPr>
        <w:t>2015</w:t>
      </w:r>
    </w:p>
    <w:p w:rsidR="003E311F" w:rsidRPr="007329AC" w:rsidRDefault="003E311F" w:rsidP="003E311F">
      <w:pPr>
        <w:rPr>
          <w:color w:val="000000"/>
          <w:sz w:val="20"/>
        </w:rPr>
      </w:pPr>
    </w:p>
    <w:tbl>
      <w:tblPr>
        <w:tblW w:w="9792" w:type="dxa"/>
        <w:tblInd w:w="98" w:type="dxa"/>
        <w:tblLook w:val="04A0" w:firstRow="1" w:lastRow="0" w:firstColumn="1" w:lastColumn="0" w:noHBand="0" w:noVBand="1"/>
      </w:tblPr>
      <w:tblGrid>
        <w:gridCol w:w="2040"/>
        <w:gridCol w:w="1640"/>
        <w:gridCol w:w="1860"/>
        <w:gridCol w:w="1780"/>
        <w:gridCol w:w="2472"/>
      </w:tblGrid>
      <w:tr w:rsidR="003E311F" w:rsidRPr="00515D00" w:rsidTr="007A358B">
        <w:trPr>
          <w:trHeight w:val="450"/>
        </w:trPr>
        <w:tc>
          <w:tcPr>
            <w:tcW w:w="2040" w:type="dxa"/>
            <w:tcBorders>
              <w:top w:val="single" w:sz="8" w:space="0" w:color="auto"/>
              <w:left w:val="single" w:sz="8" w:space="0" w:color="auto"/>
              <w:bottom w:val="nil"/>
              <w:right w:val="single" w:sz="8" w:space="0" w:color="auto"/>
            </w:tcBorders>
            <w:shd w:val="clear" w:color="auto" w:fill="C6D9F1" w:themeFill="text2" w:themeFillTint="33"/>
            <w:vAlign w:val="center"/>
            <w:hideMark/>
          </w:tcPr>
          <w:p w:rsidR="003E311F" w:rsidRPr="00515D00" w:rsidRDefault="005C708A" w:rsidP="007A358B">
            <w:pPr>
              <w:jc w:val="center"/>
              <w:rPr>
                <w:b/>
                <w:bCs/>
                <w:color w:val="000000"/>
                <w:sz w:val="16"/>
                <w:szCs w:val="16"/>
              </w:rPr>
            </w:pPr>
            <w:r>
              <w:rPr>
                <w:b/>
                <w:bCs/>
                <w:sz w:val="16"/>
                <w:szCs w:val="16"/>
              </w:rPr>
              <w:t>Saldo el</w:t>
            </w:r>
            <w:r w:rsidR="003E311F" w:rsidRPr="00515D00">
              <w:rPr>
                <w:b/>
                <w:bCs/>
                <w:sz w:val="16"/>
                <w:szCs w:val="16"/>
              </w:rPr>
              <w:t xml:space="preserve"> 31 de diciembre de </w:t>
            </w:r>
            <w:r w:rsidR="003E311F" w:rsidRPr="00515D00">
              <w:rPr>
                <w:b/>
                <w:bCs/>
                <w:color w:val="000000"/>
                <w:sz w:val="16"/>
                <w:szCs w:val="16"/>
              </w:rPr>
              <w:t>2014</w:t>
            </w:r>
          </w:p>
        </w:tc>
        <w:tc>
          <w:tcPr>
            <w:tcW w:w="1640" w:type="dxa"/>
            <w:tcBorders>
              <w:top w:val="single" w:sz="8" w:space="0" w:color="auto"/>
              <w:left w:val="nil"/>
              <w:bottom w:val="nil"/>
              <w:right w:val="single" w:sz="8" w:space="0" w:color="auto"/>
            </w:tcBorders>
            <w:shd w:val="clear" w:color="auto" w:fill="C6D9F1" w:themeFill="text2" w:themeFillTint="33"/>
            <w:vAlign w:val="center"/>
            <w:hideMark/>
          </w:tcPr>
          <w:p w:rsidR="003E311F" w:rsidRPr="00515D00" w:rsidRDefault="003E311F" w:rsidP="007A358B">
            <w:pPr>
              <w:jc w:val="center"/>
              <w:rPr>
                <w:b/>
                <w:bCs/>
                <w:color w:val="000000"/>
                <w:sz w:val="16"/>
                <w:szCs w:val="16"/>
              </w:rPr>
            </w:pPr>
            <w:r w:rsidRPr="00515D00">
              <w:rPr>
                <w:b/>
                <w:bCs/>
                <w:sz w:val="16"/>
                <w:szCs w:val="16"/>
              </w:rPr>
              <w:t xml:space="preserve">Ingresos en </w:t>
            </w:r>
            <w:r w:rsidRPr="00515D00">
              <w:rPr>
                <w:b/>
                <w:bCs/>
                <w:color w:val="000000"/>
                <w:sz w:val="16"/>
                <w:szCs w:val="16"/>
              </w:rPr>
              <w:t>2015</w:t>
            </w:r>
          </w:p>
        </w:tc>
        <w:tc>
          <w:tcPr>
            <w:tcW w:w="1860" w:type="dxa"/>
            <w:tcBorders>
              <w:top w:val="single" w:sz="8" w:space="0" w:color="auto"/>
              <w:left w:val="nil"/>
              <w:bottom w:val="nil"/>
              <w:right w:val="single" w:sz="8" w:space="0" w:color="auto"/>
            </w:tcBorders>
            <w:shd w:val="clear" w:color="auto" w:fill="C6D9F1" w:themeFill="text2" w:themeFillTint="33"/>
            <w:vAlign w:val="center"/>
            <w:hideMark/>
          </w:tcPr>
          <w:p w:rsidR="003E311F" w:rsidRPr="00515D00" w:rsidRDefault="003E311F" w:rsidP="007A358B">
            <w:pPr>
              <w:jc w:val="center"/>
              <w:rPr>
                <w:b/>
                <w:bCs/>
                <w:color w:val="000000"/>
                <w:sz w:val="16"/>
                <w:szCs w:val="16"/>
              </w:rPr>
            </w:pPr>
            <w:r w:rsidRPr="00515D00">
              <w:rPr>
                <w:b/>
                <w:bCs/>
                <w:sz w:val="16"/>
                <w:szCs w:val="16"/>
              </w:rPr>
              <w:t xml:space="preserve">Gastos en </w:t>
            </w:r>
            <w:r w:rsidRPr="00515D00">
              <w:rPr>
                <w:b/>
                <w:bCs/>
                <w:color w:val="000000"/>
                <w:sz w:val="16"/>
                <w:szCs w:val="16"/>
              </w:rPr>
              <w:t>2015</w:t>
            </w:r>
          </w:p>
        </w:tc>
        <w:tc>
          <w:tcPr>
            <w:tcW w:w="1780" w:type="dxa"/>
            <w:tcBorders>
              <w:top w:val="single" w:sz="8" w:space="0" w:color="auto"/>
              <w:left w:val="nil"/>
              <w:bottom w:val="nil"/>
              <w:right w:val="single" w:sz="8" w:space="0" w:color="auto"/>
            </w:tcBorders>
            <w:shd w:val="clear" w:color="auto" w:fill="C6D9F1" w:themeFill="text2" w:themeFillTint="33"/>
            <w:vAlign w:val="center"/>
            <w:hideMark/>
          </w:tcPr>
          <w:p w:rsidR="003E311F" w:rsidRPr="00515D00" w:rsidRDefault="003E311F" w:rsidP="007A358B">
            <w:pPr>
              <w:jc w:val="center"/>
              <w:rPr>
                <w:b/>
                <w:bCs/>
                <w:color w:val="000000"/>
                <w:sz w:val="16"/>
                <w:szCs w:val="16"/>
              </w:rPr>
            </w:pPr>
            <w:r w:rsidRPr="00515D00">
              <w:rPr>
                <w:b/>
                <w:bCs/>
                <w:sz w:val="16"/>
                <w:szCs w:val="16"/>
              </w:rPr>
              <w:t>Reembolsos</w:t>
            </w:r>
          </w:p>
        </w:tc>
        <w:tc>
          <w:tcPr>
            <w:tcW w:w="2472" w:type="dxa"/>
            <w:tcBorders>
              <w:top w:val="single" w:sz="8" w:space="0" w:color="auto"/>
              <w:left w:val="nil"/>
              <w:bottom w:val="nil"/>
              <w:right w:val="single" w:sz="8" w:space="0" w:color="auto"/>
            </w:tcBorders>
            <w:shd w:val="clear" w:color="auto" w:fill="C6D9F1" w:themeFill="text2" w:themeFillTint="33"/>
            <w:vAlign w:val="center"/>
            <w:hideMark/>
          </w:tcPr>
          <w:p w:rsidR="003E311F" w:rsidRPr="00515D00" w:rsidRDefault="005C708A" w:rsidP="007A358B">
            <w:pPr>
              <w:jc w:val="center"/>
              <w:rPr>
                <w:b/>
                <w:bCs/>
                <w:color w:val="000000"/>
                <w:sz w:val="16"/>
                <w:szCs w:val="16"/>
              </w:rPr>
            </w:pPr>
            <w:r>
              <w:rPr>
                <w:b/>
                <w:bCs/>
                <w:sz w:val="16"/>
                <w:szCs w:val="16"/>
              </w:rPr>
              <w:t>Saldo el</w:t>
            </w:r>
            <w:r w:rsidR="003E311F" w:rsidRPr="00515D00">
              <w:rPr>
                <w:b/>
                <w:bCs/>
                <w:sz w:val="16"/>
                <w:szCs w:val="16"/>
              </w:rPr>
              <w:t xml:space="preserve"> 31 de diciembre de </w:t>
            </w:r>
            <w:r w:rsidR="003E311F" w:rsidRPr="00515D00">
              <w:rPr>
                <w:b/>
                <w:bCs/>
                <w:color w:val="000000"/>
                <w:sz w:val="16"/>
                <w:szCs w:val="16"/>
              </w:rPr>
              <w:t>2015</w:t>
            </w:r>
          </w:p>
        </w:tc>
      </w:tr>
      <w:tr w:rsidR="003E311F" w:rsidRPr="00515D00" w:rsidTr="007A358B">
        <w:trPr>
          <w:trHeight w:val="255"/>
        </w:trPr>
        <w:tc>
          <w:tcPr>
            <w:tcW w:w="2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311F" w:rsidRPr="00515D00" w:rsidRDefault="003E311F" w:rsidP="007A358B">
            <w:pPr>
              <w:jc w:val="center"/>
              <w:rPr>
                <w:color w:val="000000"/>
                <w:sz w:val="16"/>
                <w:szCs w:val="16"/>
              </w:rPr>
            </w:pPr>
            <w:r w:rsidRPr="00515D00">
              <w:rPr>
                <w:color w:val="000000"/>
                <w:sz w:val="16"/>
                <w:szCs w:val="16"/>
              </w:rPr>
              <w:t>1.233.536</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3E311F" w:rsidRPr="00515D00" w:rsidRDefault="003E311F" w:rsidP="007A358B">
            <w:pPr>
              <w:jc w:val="center"/>
              <w:rPr>
                <w:color w:val="000000"/>
                <w:sz w:val="16"/>
                <w:szCs w:val="16"/>
              </w:rPr>
            </w:pPr>
            <w:r w:rsidRPr="00515D00">
              <w:rPr>
                <w:color w:val="000000"/>
                <w:sz w:val="16"/>
                <w:szCs w:val="16"/>
              </w:rPr>
              <w:t>-</w:t>
            </w:r>
          </w:p>
        </w:tc>
        <w:tc>
          <w:tcPr>
            <w:tcW w:w="1860" w:type="dxa"/>
            <w:tcBorders>
              <w:top w:val="single" w:sz="4" w:space="0" w:color="auto"/>
              <w:left w:val="nil"/>
              <w:bottom w:val="single" w:sz="4" w:space="0" w:color="auto"/>
              <w:right w:val="single" w:sz="4" w:space="0" w:color="auto"/>
            </w:tcBorders>
            <w:shd w:val="clear" w:color="auto" w:fill="auto"/>
            <w:vAlign w:val="center"/>
            <w:hideMark/>
          </w:tcPr>
          <w:p w:rsidR="003E311F" w:rsidRPr="00515D00" w:rsidRDefault="003E311F" w:rsidP="007A358B">
            <w:pPr>
              <w:jc w:val="center"/>
              <w:rPr>
                <w:color w:val="000000"/>
                <w:sz w:val="16"/>
                <w:szCs w:val="16"/>
              </w:rPr>
            </w:pPr>
            <w:r w:rsidRPr="00515D00">
              <w:rPr>
                <w:color w:val="000000"/>
                <w:sz w:val="16"/>
                <w:szCs w:val="16"/>
              </w:rPr>
              <w:t>436.938</w:t>
            </w:r>
          </w:p>
        </w:tc>
        <w:tc>
          <w:tcPr>
            <w:tcW w:w="1780" w:type="dxa"/>
            <w:tcBorders>
              <w:top w:val="single" w:sz="4" w:space="0" w:color="auto"/>
              <w:left w:val="nil"/>
              <w:bottom w:val="single" w:sz="4" w:space="0" w:color="auto"/>
              <w:right w:val="single" w:sz="4" w:space="0" w:color="auto"/>
            </w:tcBorders>
            <w:shd w:val="clear" w:color="auto" w:fill="auto"/>
            <w:noWrap/>
            <w:vAlign w:val="center"/>
            <w:hideMark/>
          </w:tcPr>
          <w:p w:rsidR="003E311F" w:rsidRPr="00515D00" w:rsidRDefault="003E311F" w:rsidP="007A358B">
            <w:pPr>
              <w:jc w:val="center"/>
              <w:rPr>
                <w:color w:val="000000"/>
                <w:sz w:val="16"/>
                <w:szCs w:val="16"/>
              </w:rPr>
            </w:pPr>
            <w:r w:rsidRPr="00515D00">
              <w:rPr>
                <w:color w:val="000000"/>
                <w:sz w:val="16"/>
                <w:szCs w:val="16"/>
              </w:rPr>
              <w:t>-</w:t>
            </w:r>
          </w:p>
        </w:tc>
        <w:tc>
          <w:tcPr>
            <w:tcW w:w="2472" w:type="dxa"/>
            <w:tcBorders>
              <w:top w:val="single" w:sz="4" w:space="0" w:color="auto"/>
              <w:left w:val="nil"/>
              <w:bottom w:val="single" w:sz="4" w:space="0" w:color="auto"/>
              <w:right w:val="single" w:sz="4" w:space="0" w:color="auto"/>
            </w:tcBorders>
            <w:shd w:val="clear" w:color="auto" w:fill="auto"/>
            <w:vAlign w:val="center"/>
            <w:hideMark/>
          </w:tcPr>
          <w:p w:rsidR="003E311F" w:rsidRPr="00515D00" w:rsidRDefault="003E311F" w:rsidP="007A358B">
            <w:pPr>
              <w:jc w:val="center"/>
              <w:rPr>
                <w:color w:val="000000"/>
                <w:sz w:val="16"/>
                <w:szCs w:val="16"/>
              </w:rPr>
            </w:pPr>
            <w:r w:rsidRPr="00515D00">
              <w:rPr>
                <w:color w:val="000000"/>
                <w:sz w:val="16"/>
                <w:szCs w:val="16"/>
              </w:rPr>
              <w:t>796.598</w:t>
            </w:r>
          </w:p>
        </w:tc>
      </w:tr>
    </w:tbl>
    <w:p w:rsidR="003E311F" w:rsidRPr="007329AC" w:rsidRDefault="003E311F" w:rsidP="003E311F">
      <w:pPr>
        <w:rPr>
          <w:b/>
          <w:sz w:val="20"/>
        </w:rPr>
      </w:pPr>
    </w:p>
    <w:p w:rsidR="003E311F" w:rsidRPr="007329AC" w:rsidRDefault="003E311F" w:rsidP="003E311F">
      <w:pPr>
        <w:rPr>
          <w:b/>
          <w:sz w:val="20"/>
        </w:rPr>
      </w:pPr>
    </w:p>
    <w:p w:rsidR="003E311F" w:rsidRPr="007329AC" w:rsidRDefault="003E311F" w:rsidP="00386789">
      <w:pPr>
        <w:keepNext/>
        <w:keepLines/>
        <w:rPr>
          <w:b/>
          <w:sz w:val="20"/>
        </w:rPr>
      </w:pPr>
      <w:r w:rsidRPr="007329AC">
        <w:rPr>
          <w:b/>
          <w:sz w:val="20"/>
        </w:rPr>
        <w:lastRenderedPageBreak/>
        <w:t>JAPÓN – DERECHO DE AUTOR</w:t>
      </w:r>
    </w:p>
    <w:p w:rsidR="003E311F" w:rsidRPr="007329AC" w:rsidRDefault="003E311F" w:rsidP="00386789">
      <w:pPr>
        <w:keepNext/>
        <w:keepLines/>
        <w:rPr>
          <w:b/>
          <w:sz w:val="20"/>
          <w:lang w:eastAsia="ja-JP"/>
        </w:rPr>
      </w:pPr>
    </w:p>
    <w:tbl>
      <w:tblPr>
        <w:tblW w:w="9782" w:type="dxa"/>
        <w:tblInd w:w="10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43"/>
        <w:gridCol w:w="1134"/>
        <w:gridCol w:w="2126"/>
        <w:gridCol w:w="4679"/>
      </w:tblGrid>
      <w:tr w:rsidR="003E311F" w:rsidRPr="00092F2E" w:rsidTr="007A358B">
        <w:tc>
          <w:tcPr>
            <w:tcW w:w="9782" w:type="dxa"/>
            <w:gridSpan w:val="4"/>
            <w:tcBorders>
              <w:top w:val="single" w:sz="4" w:space="0" w:color="000000"/>
              <w:bottom w:val="single" w:sz="4" w:space="0" w:color="000000"/>
            </w:tcBorders>
            <w:shd w:val="clear" w:color="auto" w:fill="C6D9F1" w:themeFill="text2" w:themeFillTint="33"/>
            <w:vAlign w:val="center"/>
          </w:tcPr>
          <w:p w:rsidR="003E311F" w:rsidRPr="00515D00" w:rsidRDefault="003E311F" w:rsidP="00386789">
            <w:pPr>
              <w:keepNext/>
              <w:keepLines/>
              <w:tabs>
                <w:tab w:val="left" w:pos="1740"/>
              </w:tabs>
              <w:spacing w:before="120" w:after="120"/>
              <w:ind w:left="1740" w:hanging="1740"/>
              <w:rPr>
                <w:b/>
                <w:bCs/>
                <w:sz w:val="16"/>
                <w:szCs w:val="16"/>
              </w:rPr>
            </w:pPr>
            <w:r w:rsidRPr="00515D00">
              <w:rPr>
                <w:b/>
                <w:bCs/>
                <w:color w:val="000000"/>
                <w:sz w:val="16"/>
                <w:szCs w:val="16"/>
                <w:shd w:val="clear" w:color="auto" w:fill="C6D9F1" w:themeFill="text2" w:themeFillTint="33"/>
              </w:rPr>
              <w:t>RESULTADO:</w:t>
            </w:r>
            <w:r w:rsidRPr="00515D00">
              <w:rPr>
                <w:b/>
                <w:bCs/>
                <w:sz w:val="16"/>
                <w:szCs w:val="16"/>
                <w:shd w:val="clear" w:color="auto" w:fill="C6D9F1" w:themeFill="text2" w:themeFillTint="33"/>
              </w:rPr>
              <w:tab/>
            </w:r>
            <w:r w:rsidRPr="00515D00">
              <w:rPr>
                <w:bCs/>
                <w:color w:val="000000"/>
                <w:sz w:val="16"/>
                <w:szCs w:val="16"/>
                <w:shd w:val="clear" w:color="auto" w:fill="C6D9F1" w:themeFill="text2" w:themeFillTint="33"/>
              </w:rPr>
              <w:t>III.2  Aumento de las capacidades en recursos humanos para hacer frente a la gran diversidad de exigencias que supone la utilización eficaz de la P.I. para fomentar el desarrollo en los países en desarrollo, PMA y países con economías en transición</w:t>
            </w:r>
          </w:p>
        </w:tc>
      </w:tr>
      <w:tr w:rsidR="003E311F" w:rsidRPr="00515D00" w:rsidTr="007A358B">
        <w:tc>
          <w:tcPr>
            <w:tcW w:w="1843" w:type="dxa"/>
            <w:tcBorders>
              <w:top w:val="single" w:sz="4" w:space="0" w:color="000000"/>
            </w:tcBorders>
            <w:vAlign w:val="center"/>
          </w:tcPr>
          <w:p w:rsidR="003E311F" w:rsidRPr="00515D00" w:rsidRDefault="003E311F" w:rsidP="007A358B">
            <w:pPr>
              <w:keepNext/>
              <w:keepLines/>
              <w:spacing w:before="60" w:after="60"/>
              <w:rPr>
                <w:b/>
                <w:bCs/>
                <w:sz w:val="16"/>
                <w:szCs w:val="16"/>
              </w:rPr>
            </w:pPr>
            <w:r w:rsidRPr="00515D00">
              <w:rPr>
                <w:b/>
                <w:bCs/>
                <w:sz w:val="16"/>
                <w:szCs w:val="16"/>
              </w:rPr>
              <w:t>Actividad</w:t>
            </w:r>
          </w:p>
        </w:tc>
        <w:tc>
          <w:tcPr>
            <w:tcW w:w="1134" w:type="dxa"/>
            <w:tcBorders>
              <w:top w:val="single" w:sz="4" w:space="0" w:color="000000"/>
            </w:tcBorders>
            <w:shd w:val="clear" w:color="auto" w:fill="auto"/>
            <w:tcMar>
              <w:top w:w="110" w:type="dxa"/>
            </w:tcMar>
            <w:vAlign w:val="center"/>
          </w:tcPr>
          <w:p w:rsidR="003E311F" w:rsidRPr="00515D00" w:rsidRDefault="003E311F" w:rsidP="007A358B">
            <w:pPr>
              <w:keepNext/>
              <w:keepLines/>
              <w:spacing w:before="60" w:after="60"/>
              <w:rPr>
                <w:sz w:val="16"/>
                <w:szCs w:val="16"/>
              </w:rPr>
            </w:pPr>
            <w:r w:rsidRPr="00515D00">
              <w:rPr>
                <w:b/>
                <w:bCs/>
                <w:sz w:val="16"/>
                <w:szCs w:val="16"/>
              </w:rPr>
              <w:t>Fecha</w:t>
            </w:r>
          </w:p>
        </w:tc>
        <w:tc>
          <w:tcPr>
            <w:tcW w:w="2126" w:type="dxa"/>
            <w:tcBorders>
              <w:top w:val="single" w:sz="4" w:space="0" w:color="000000"/>
            </w:tcBorders>
            <w:shd w:val="clear" w:color="auto" w:fill="auto"/>
            <w:tcMar>
              <w:top w:w="110" w:type="dxa"/>
            </w:tcMar>
            <w:vAlign w:val="center"/>
          </w:tcPr>
          <w:p w:rsidR="003E311F" w:rsidRPr="00515D00" w:rsidRDefault="003E311F" w:rsidP="007A358B">
            <w:pPr>
              <w:widowControl w:val="0"/>
              <w:rPr>
                <w:sz w:val="16"/>
                <w:szCs w:val="16"/>
              </w:rPr>
            </w:pPr>
            <w:r w:rsidRPr="00515D00">
              <w:rPr>
                <w:b/>
                <w:sz w:val="16"/>
                <w:szCs w:val="16"/>
              </w:rPr>
              <w:t>País anfitrión / Beneficiarios</w:t>
            </w:r>
          </w:p>
        </w:tc>
        <w:tc>
          <w:tcPr>
            <w:tcW w:w="4679" w:type="dxa"/>
            <w:tcBorders>
              <w:top w:val="single" w:sz="4" w:space="0" w:color="000000"/>
            </w:tcBorders>
            <w:shd w:val="clear" w:color="auto" w:fill="FFFFFF"/>
            <w:tcMar>
              <w:top w:w="110" w:type="dxa"/>
            </w:tcMar>
            <w:vAlign w:val="center"/>
          </w:tcPr>
          <w:p w:rsidR="003E311F" w:rsidRPr="00515D00" w:rsidRDefault="003E311F" w:rsidP="007A358B">
            <w:pPr>
              <w:widowControl w:val="0"/>
              <w:rPr>
                <w:sz w:val="16"/>
                <w:szCs w:val="16"/>
              </w:rPr>
            </w:pPr>
            <w:r w:rsidRPr="00515D00">
              <w:rPr>
                <w:b/>
                <w:sz w:val="16"/>
                <w:szCs w:val="16"/>
              </w:rPr>
              <w:t>Propósito(s)/Descripción</w:t>
            </w:r>
          </w:p>
        </w:tc>
      </w:tr>
      <w:tr w:rsidR="003E311F" w:rsidRPr="00092F2E" w:rsidTr="007A358B">
        <w:trPr>
          <w:trHeight w:val="520"/>
        </w:trPr>
        <w:tc>
          <w:tcPr>
            <w:tcW w:w="1843" w:type="dxa"/>
            <w:tcBorders>
              <w:bottom w:val="nil"/>
            </w:tcBorders>
          </w:tcPr>
          <w:p w:rsidR="003E311F" w:rsidRPr="00515D00" w:rsidDel="009E0498" w:rsidRDefault="003E311F" w:rsidP="007A358B">
            <w:pPr>
              <w:autoSpaceDE w:val="0"/>
              <w:autoSpaceDN w:val="0"/>
              <w:adjustRightInd w:val="0"/>
              <w:spacing w:before="60" w:after="60"/>
              <w:rPr>
                <w:color w:val="000000"/>
                <w:sz w:val="16"/>
                <w:szCs w:val="16"/>
              </w:rPr>
            </w:pPr>
            <w:r w:rsidRPr="00515D00">
              <w:rPr>
                <w:sz w:val="16"/>
                <w:szCs w:val="16"/>
              </w:rPr>
              <w:t>Taller nacional sobre el derecho de autor y los derechos conexos</w:t>
            </w:r>
          </w:p>
        </w:tc>
        <w:tc>
          <w:tcPr>
            <w:tcW w:w="1134" w:type="dxa"/>
            <w:tcBorders>
              <w:bottom w:val="nil"/>
            </w:tcBorders>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3 a 4 de marzo de 2015</w:t>
            </w:r>
          </w:p>
        </w:tc>
        <w:tc>
          <w:tcPr>
            <w:tcW w:w="2126" w:type="dxa"/>
            <w:tcBorders>
              <w:bottom w:val="nil"/>
            </w:tcBorders>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Bangladesh/ más de 50 participantes locales</w:t>
            </w:r>
          </w:p>
        </w:tc>
        <w:tc>
          <w:tcPr>
            <w:tcW w:w="4679" w:type="dxa"/>
            <w:tcBorders>
              <w:bottom w:val="nil"/>
            </w:tcBorders>
          </w:tcPr>
          <w:p w:rsidR="003E311F" w:rsidRPr="00515D00" w:rsidDel="00152E3E" w:rsidRDefault="003E311F" w:rsidP="007A358B">
            <w:pPr>
              <w:autoSpaceDE w:val="0"/>
              <w:autoSpaceDN w:val="0"/>
              <w:adjustRightInd w:val="0"/>
              <w:spacing w:before="60" w:after="60"/>
              <w:rPr>
                <w:color w:val="000000"/>
                <w:sz w:val="16"/>
                <w:szCs w:val="16"/>
              </w:rPr>
            </w:pPr>
            <w:r w:rsidRPr="00515D00">
              <w:rPr>
                <w:color w:val="000000"/>
                <w:sz w:val="16"/>
                <w:szCs w:val="16"/>
              </w:rPr>
              <w:t xml:space="preserve">Promover una mayor concienciación sobre el derecho de autor y los derechos conexos y </w:t>
            </w:r>
            <w:r>
              <w:rPr>
                <w:color w:val="000000"/>
                <w:sz w:val="16"/>
                <w:szCs w:val="16"/>
              </w:rPr>
              <w:t xml:space="preserve">sobre </w:t>
            </w:r>
            <w:r w:rsidRPr="00515D00">
              <w:rPr>
                <w:color w:val="000000"/>
                <w:sz w:val="16"/>
                <w:szCs w:val="16"/>
              </w:rPr>
              <w:t>su contribución al desarrollo cultural y económico</w:t>
            </w:r>
            <w:r>
              <w:rPr>
                <w:color w:val="000000"/>
                <w:sz w:val="16"/>
                <w:szCs w:val="16"/>
              </w:rPr>
              <w:t>.</w:t>
            </w:r>
          </w:p>
        </w:tc>
      </w:tr>
      <w:tr w:rsidR="003E311F" w:rsidRPr="00092F2E" w:rsidTr="007A358B">
        <w:trPr>
          <w:trHeight w:val="520"/>
        </w:trPr>
        <w:tc>
          <w:tcPr>
            <w:tcW w:w="1843" w:type="dxa"/>
            <w:tcBorders>
              <w:bottom w:val="nil"/>
            </w:tcBorders>
          </w:tcPr>
          <w:p w:rsidR="003E311F" w:rsidRPr="00515D00" w:rsidDel="009E0498" w:rsidRDefault="003E311F" w:rsidP="007A358B">
            <w:pPr>
              <w:autoSpaceDE w:val="0"/>
              <w:autoSpaceDN w:val="0"/>
              <w:adjustRightInd w:val="0"/>
              <w:spacing w:before="60" w:after="60"/>
              <w:rPr>
                <w:color w:val="000000"/>
                <w:sz w:val="16"/>
                <w:szCs w:val="16"/>
              </w:rPr>
            </w:pPr>
            <w:r w:rsidRPr="00515D00">
              <w:rPr>
                <w:color w:val="000000"/>
                <w:sz w:val="16"/>
                <w:szCs w:val="16"/>
              </w:rPr>
              <w:t>Taller nacional sobre el papel del derecho de autor y los derechos conexos en el desarrollo económico y cultural</w:t>
            </w:r>
          </w:p>
        </w:tc>
        <w:tc>
          <w:tcPr>
            <w:tcW w:w="1134" w:type="dxa"/>
            <w:tcBorders>
              <w:bottom w:val="nil"/>
            </w:tcBorders>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6 a 7 de julio de 2015</w:t>
            </w:r>
          </w:p>
        </w:tc>
        <w:tc>
          <w:tcPr>
            <w:tcW w:w="2126" w:type="dxa"/>
            <w:tcBorders>
              <w:bottom w:val="nil"/>
            </w:tcBorders>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Myanmar/</w:t>
            </w:r>
            <w:r w:rsidRPr="00515D00">
              <w:rPr>
                <w:sz w:val="16"/>
                <w:szCs w:val="16"/>
              </w:rPr>
              <w:t xml:space="preserve"> </w:t>
            </w:r>
            <w:r w:rsidRPr="00515D00">
              <w:rPr>
                <w:color w:val="000000"/>
                <w:sz w:val="16"/>
                <w:szCs w:val="16"/>
              </w:rPr>
              <w:t>cerca de 90 participantes locales</w:t>
            </w:r>
          </w:p>
        </w:tc>
        <w:tc>
          <w:tcPr>
            <w:tcW w:w="4679" w:type="dxa"/>
            <w:tcBorders>
              <w:bottom w:val="nil"/>
            </w:tcBorders>
          </w:tcPr>
          <w:p w:rsidR="003E311F" w:rsidRPr="00515D00" w:rsidDel="00152E3E" w:rsidRDefault="003E311F" w:rsidP="007A358B">
            <w:pPr>
              <w:autoSpaceDE w:val="0"/>
              <w:autoSpaceDN w:val="0"/>
              <w:adjustRightInd w:val="0"/>
              <w:spacing w:before="60" w:after="60"/>
              <w:rPr>
                <w:color w:val="000000"/>
                <w:sz w:val="16"/>
                <w:szCs w:val="16"/>
              </w:rPr>
            </w:pPr>
            <w:r w:rsidRPr="00515D00">
              <w:rPr>
                <w:color w:val="000000"/>
                <w:sz w:val="16"/>
                <w:szCs w:val="16"/>
              </w:rPr>
              <w:t>i) Promover una mejor comprensión del papel del derecho de autor y los derechos conexos en el desarrollo cultural y económico</w:t>
            </w:r>
            <w:r>
              <w:rPr>
                <w:color w:val="000000"/>
                <w:sz w:val="16"/>
                <w:szCs w:val="16"/>
              </w:rPr>
              <w:t xml:space="preserve">; </w:t>
            </w:r>
            <w:r w:rsidRPr="00515D00">
              <w:rPr>
                <w:color w:val="000000"/>
                <w:sz w:val="16"/>
                <w:szCs w:val="16"/>
              </w:rPr>
              <w:t xml:space="preserve"> y ii) alentar una explotación eficiente de las obras culturales a través del derecho de autor y los derechos conexos</w:t>
            </w:r>
            <w:r>
              <w:rPr>
                <w:color w:val="000000"/>
                <w:sz w:val="16"/>
                <w:szCs w:val="16"/>
              </w:rPr>
              <w:t>.</w:t>
            </w:r>
          </w:p>
        </w:tc>
      </w:tr>
      <w:tr w:rsidR="003E311F" w:rsidRPr="00092F2E" w:rsidTr="007A358B">
        <w:trPr>
          <w:trHeight w:val="520"/>
        </w:trPr>
        <w:tc>
          <w:tcPr>
            <w:tcW w:w="1843" w:type="dxa"/>
            <w:tcBorders>
              <w:top w:val="nil"/>
              <w:bottom w:val="single" w:sz="4" w:space="0" w:color="auto"/>
            </w:tcBorders>
          </w:tcPr>
          <w:p w:rsidR="003E311F" w:rsidRPr="00515D00" w:rsidDel="009E0498" w:rsidRDefault="003E311F" w:rsidP="007A358B">
            <w:pPr>
              <w:autoSpaceDE w:val="0"/>
              <w:autoSpaceDN w:val="0"/>
              <w:adjustRightInd w:val="0"/>
              <w:spacing w:before="60" w:after="60"/>
              <w:rPr>
                <w:color w:val="000000"/>
                <w:sz w:val="16"/>
                <w:szCs w:val="16"/>
              </w:rPr>
            </w:pPr>
            <w:r w:rsidRPr="00515D00">
              <w:rPr>
                <w:sz w:val="16"/>
                <w:szCs w:val="16"/>
              </w:rPr>
              <w:t>Taller nacional sobre el derecho de autor y los derechos conexos</w:t>
            </w:r>
            <w:r w:rsidRPr="00515D00">
              <w:rPr>
                <w:color w:val="000000"/>
                <w:sz w:val="16"/>
                <w:szCs w:val="16"/>
              </w:rPr>
              <w:t xml:space="preserve"> y nuevas cuestiones</w:t>
            </w:r>
          </w:p>
        </w:tc>
        <w:tc>
          <w:tcPr>
            <w:tcW w:w="1134" w:type="dxa"/>
            <w:tcBorders>
              <w:top w:val="nil"/>
              <w:bottom w:val="single" w:sz="4" w:space="0" w:color="auto"/>
            </w:tcBorders>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5 a 6 de agosto de 2015</w:t>
            </w:r>
          </w:p>
        </w:tc>
        <w:tc>
          <w:tcPr>
            <w:tcW w:w="2126" w:type="dxa"/>
            <w:tcBorders>
              <w:top w:val="nil"/>
              <w:bottom w:val="single" w:sz="4" w:space="0" w:color="auto"/>
            </w:tcBorders>
          </w:tcPr>
          <w:p w:rsidR="003E311F" w:rsidRPr="00515D00" w:rsidRDefault="003E311F" w:rsidP="007A358B">
            <w:pPr>
              <w:autoSpaceDE w:val="0"/>
              <w:autoSpaceDN w:val="0"/>
              <w:adjustRightInd w:val="0"/>
              <w:spacing w:before="60" w:after="60"/>
              <w:rPr>
                <w:color w:val="000000"/>
                <w:sz w:val="16"/>
                <w:szCs w:val="16"/>
              </w:rPr>
            </w:pPr>
            <w:proofErr w:type="spellStart"/>
            <w:r w:rsidRPr="00515D00">
              <w:rPr>
                <w:color w:val="000000"/>
                <w:sz w:val="16"/>
                <w:szCs w:val="16"/>
              </w:rPr>
              <w:t>Viet</w:t>
            </w:r>
            <w:proofErr w:type="spellEnd"/>
            <w:r w:rsidRPr="00515D00">
              <w:rPr>
                <w:color w:val="000000"/>
                <w:sz w:val="16"/>
                <w:szCs w:val="16"/>
              </w:rPr>
              <w:t xml:space="preserve"> </w:t>
            </w:r>
            <w:proofErr w:type="spellStart"/>
            <w:r w:rsidRPr="00515D00">
              <w:rPr>
                <w:color w:val="000000"/>
                <w:sz w:val="16"/>
                <w:szCs w:val="16"/>
              </w:rPr>
              <w:t>Nam</w:t>
            </w:r>
            <w:proofErr w:type="spellEnd"/>
            <w:r w:rsidRPr="00515D00">
              <w:rPr>
                <w:color w:val="000000"/>
                <w:sz w:val="16"/>
                <w:szCs w:val="16"/>
              </w:rPr>
              <w:t>/</w:t>
            </w:r>
            <w:r w:rsidRPr="00515D00">
              <w:rPr>
                <w:sz w:val="16"/>
                <w:szCs w:val="16"/>
              </w:rPr>
              <w:t xml:space="preserve"> </w:t>
            </w:r>
            <w:r w:rsidRPr="00515D00">
              <w:rPr>
                <w:color w:val="000000"/>
                <w:sz w:val="16"/>
                <w:szCs w:val="16"/>
              </w:rPr>
              <w:t>cerca de 100 participantes locales</w:t>
            </w:r>
          </w:p>
        </w:tc>
        <w:tc>
          <w:tcPr>
            <w:tcW w:w="4679" w:type="dxa"/>
            <w:tcBorders>
              <w:top w:val="nil"/>
              <w:bottom w:val="single" w:sz="4" w:space="0" w:color="auto"/>
            </w:tcBorders>
          </w:tcPr>
          <w:p w:rsidR="003E311F" w:rsidRPr="00515D00" w:rsidDel="00152E3E" w:rsidRDefault="003E311F" w:rsidP="007A358B">
            <w:pPr>
              <w:autoSpaceDE w:val="0"/>
              <w:autoSpaceDN w:val="0"/>
              <w:adjustRightInd w:val="0"/>
              <w:spacing w:before="60" w:after="60"/>
              <w:rPr>
                <w:color w:val="000000"/>
                <w:sz w:val="16"/>
                <w:szCs w:val="16"/>
              </w:rPr>
            </w:pPr>
            <w:r w:rsidRPr="00515D00">
              <w:rPr>
                <w:color w:val="000000"/>
                <w:sz w:val="16"/>
                <w:szCs w:val="16"/>
              </w:rPr>
              <w:t xml:space="preserve">i) Mejorar la comprensión de </w:t>
            </w:r>
            <w:r>
              <w:rPr>
                <w:color w:val="000000"/>
                <w:sz w:val="16"/>
                <w:szCs w:val="16"/>
              </w:rPr>
              <w:t>las novedades recientes en el ámbito</w:t>
            </w:r>
            <w:r w:rsidRPr="00515D00">
              <w:rPr>
                <w:color w:val="000000"/>
                <w:sz w:val="16"/>
                <w:szCs w:val="16"/>
              </w:rPr>
              <w:t xml:space="preserve"> del derecho de autor y los derechos conexos</w:t>
            </w:r>
            <w:r>
              <w:rPr>
                <w:color w:val="000000"/>
                <w:sz w:val="16"/>
                <w:szCs w:val="16"/>
              </w:rPr>
              <w:t>,</w:t>
            </w:r>
            <w:r w:rsidRPr="00515D00">
              <w:rPr>
                <w:color w:val="000000"/>
                <w:sz w:val="16"/>
                <w:szCs w:val="16"/>
              </w:rPr>
              <w:t xml:space="preserve"> así como </w:t>
            </w:r>
            <w:r>
              <w:rPr>
                <w:color w:val="000000"/>
                <w:sz w:val="16"/>
                <w:szCs w:val="16"/>
              </w:rPr>
              <w:t xml:space="preserve">de </w:t>
            </w:r>
            <w:r w:rsidRPr="00515D00">
              <w:rPr>
                <w:color w:val="000000"/>
                <w:sz w:val="16"/>
                <w:szCs w:val="16"/>
              </w:rPr>
              <w:t xml:space="preserve">las implicaciones de la tecnología para </w:t>
            </w:r>
            <w:r>
              <w:rPr>
                <w:color w:val="000000"/>
                <w:sz w:val="16"/>
                <w:szCs w:val="16"/>
              </w:rPr>
              <w:t xml:space="preserve">el sistema del derecho de autor; </w:t>
            </w:r>
            <w:r w:rsidRPr="00515D00">
              <w:rPr>
                <w:color w:val="000000"/>
                <w:sz w:val="16"/>
                <w:szCs w:val="16"/>
              </w:rPr>
              <w:t xml:space="preserve"> y ii) debatir cuestiones y dificultades en el ámbito del derecho de autor y los derechos conexos en el entorno digital.</w:t>
            </w:r>
          </w:p>
        </w:tc>
      </w:tr>
      <w:tr w:rsidR="003E311F" w:rsidRPr="00092F2E" w:rsidTr="007A358B">
        <w:trPr>
          <w:trHeight w:val="520"/>
        </w:trPr>
        <w:tc>
          <w:tcPr>
            <w:tcW w:w="9782" w:type="dxa"/>
            <w:gridSpan w:val="4"/>
            <w:tcBorders>
              <w:top w:val="single" w:sz="4" w:space="0" w:color="auto"/>
              <w:bottom w:val="single" w:sz="4" w:space="0" w:color="000000"/>
            </w:tcBorders>
            <w:shd w:val="clear" w:color="auto" w:fill="C6D9F1" w:themeFill="text2" w:themeFillTint="33"/>
          </w:tcPr>
          <w:p w:rsidR="003E311F" w:rsidRPr="00515D00" w:rsidDel="00152E3E" w:rsidRDefault="003E311F" w:rsidP="007A358B">
            <w:pPr>
              <w:keepNext/>
              <w:keepLines/>
              <w:tabs>
                <w:tab w:val="left" w:pos="1740"/>
              </w:tabs>
              <w:spacing w:before="120" w:after="120"/>
              <w:ind w:left="1740" w:hanging="1740"/>
              <w:rPr>
                <w:color w:val="000000"/>
                <w:sz w:val="16"/>
                <w:szCs w:val="16"/>
              </w:rPr>
            </w:pPr>
            <w:r w:rsidRPr="00515D00">
              <w:rPr>
                <w:b/>
                <w:bCs/>
                <w:color w:val="000000"/>
                <w:sz w:val="16"/>
                <w:szCs w:val="16"/>
              </w:rPr>
              <w:t>RESULTADO:</w:t>
            </w:r>
            <w:r w:rsidRPr="00515D00">
              <w:rPr>
                <w:bCs/>
                <w:color w:val="000000"/>
                <w:sz w:val="16"/>
                <w:szCs w:val="16"/>
              </w:rPr>
              <w:tab/>
              <w:t xml:space="preserve">IV.4  </w:t>
            </w:r>
            <w:r w:rsidRPr="00515D00">
              <w:rPr>
                <w:bCs/>
                <w:sz w:val="16"/>
                <w:szCs w:val="16"/>
              </w:rPr>
              <w:t>Mejora en la infraestructura técnica y de conocimientos de las Oficinas y demás instituciones de P.I. que les permita prestar mejores servicios (más económicos, más rápidos y de mejor calidad) a sus partes interesadas</w:t>
            </w:r>
          </w:p>
        </w:tc>
      </w:tr>
      <w:tr w:rsidR="003E311F" w:rsidRPr="00515D00" w:rsidTr="007A358B">
        <w:trPr>
          <w:trHeight w:val="520"/>
        </w:trPr>
        <w:tc>
          <w:tcPr>
            <w:tcW w:w="1843" w:type="dxa"/>
            <w:tcBorders>
              <w:top w:val="single" w:sz="4" w:space="0" w:color="000000"/>
            </w:tcBorders>
            <w:vAlign w:val="center"/>
          </w:tcPr>
          <w:p w:rsidR="003E311F" w:rsidRPr="00515D00" w:rsidRDefault="003E311F" w:rsidP="007A358B">
            <w:pPr>
              <w:keepNext/>
              <w:keepLines/>
              <w:spacing w:before="60" w:after="60"/>
              <w:rPr>
                <w:b/>
                <w:bCs/>
                <w:sz w:val="16"/>
                <w:szCs w:val="16"/>
              </w:rPr>
            </w:pPr>
            <w:r w:rsidRPr="00515D00">
              <w:rPr>
                <w:b/>
                <w:bCs/>
                <w:sz w:val="16"/>
                <w:szCs w:val="16"/>
              </w:rPr>
              <w:t>Actividad</w:t>
            </w:r>
          </w:p>
        </w:tc>
        <w:tc>
          <w:tcPr>
            <w:tcW w:w="1134" w:type="dxa"/>
            <w:tcBorders>
              <w:top w:val="single" w:sz="4" w:space="0" w:color="000000"/>
            </w:tcBorders>
            <w:vAlign w:val="center"/>
          </w:tcPr>
          <w:p w:rsidR="003E311F" w:rsidRPr="00515D00" w:rsidRDefault="003E311F" w:rsidP="007A358B">
            <w:pPr>
              <w:keepNext/>
              <w:keepLines/>
              <w:spacing w:before="60" w:after="60"/>
              <w:rPr>
                <w:sz w:val="16"/>
                <w:szCs w:val="16"/>
              </w:rPr>
            </w:pPr>
            <w:r w:rsidRPr="00515D00">
              <w:rPr>
                <w:b/>
                <w:bCs/>
                <w:sz w:val="16"/>
                <w:szCs w:val="16"/>
              </w:rPr>
              <w:t>Fecha</w:t>
            </w:r>
          </w:p>
        </w:tc>
        <w:tc>
          <w:tcPr>
            <w:tcW w:w="2126" w:type="dxa"/>
            <w:tcBorders>
              <w:top w:val="single" w:sz="4" w:space="0" w:color="000000"/>
            </w:tcBorders>
            <w:vAlign w:val="center"/>
          </w:tcPr>
          <w:p w:rsidR="003E311F" w:rsidRPr="00515D00" w:rsidRDefault="003E311F" w:rsidP="007A358B">
            <w:pPr>
              <w:widowControl w:val="0"/>
              <w:rPr>
                <w:sz w:val="16"/>
                <w:szCs w:val="16"/>
              </w:rPr>
            </w:pPr>
            <w:r w:rsidRPr="00515D00">
              <w:rPr>
                <w:b/>
                <w:sz w:val="16"/>
                <w:szCs w:val="16"/>
              </w:rPr>
              <w:t>País anfitrión / Beneficiarios</w:t>
            </w:r>
          </w:p>
        </w:tc>
        <w:tc>
          <w:tcPr>
            <w:tcW w:w="4679" w:type="dxa"/>
            <w:tcBorders>
              <w:top w:val="single" w:sz="4" w:space="0" w:color="000000"/>
            </w:tcBorders>
            <w:vAlign w:val="center"/>
          </w:tcPr>
          <w:p w:rsidR="003E311F" w:rsidRPr="00515D00" w:rsidRDefault="003E311F" w:rsidP="007A358B">
            <w:pPr>
              <w:widowControl w:val="0"/>
              <w:rPr>
                <w:sz w:val="16"/>
                <w:szCs w:val="16"/>
              </w:rPr>
            </w:pPr>
            <w:r w:rsidRPr="00515D00">
              <w:rPr>
                <w:b/>
                <w:sz w:val="16"/>
                <w:szCs w:val="16"/>
              </w:rPr>
              <w:t>Propósito(s)/Descripción</w:t>
            </w:r>
          </w:p>
        </w:tc>
      </w:tr>
      <w:tr w:rsidR="003E311F" w:rsidRPr="00092F2E" w:rsidTr="007A358B">
        <w:trPr>
          <w:trHeight w:val="315"/>
        </w:trPr>
        <w:tc>
          <w:tcPr>
            <w:tcW w:w="1843" w:type="dxa"/>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Taller nacional sobre protección del derecho de autor y los derechos conexos</w:t>
            </w:r>
          </w:p>
        </w:tc>
        <w:tc>
          <w:tcPr>
            <w:tcW w:w="1134" w:type="dxa"/>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2 a 13 de febrero de 2015</w:t>
            </w:r>
          </w:p>
        </w:tc>
        <w:tc>
          <w:tcPr>
            <w:tcW w:w="2126" w:type="dxa"/>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Japón/</w:t>
            </w:r>
            <w:r w:rsidRPr="00515D00">
              <w:rPr>
                <w:sz w:val="16"/>
                <w:szCs w:val="16"/>
              </w:rPr>
              <w:t xml:space="preserve"> </w:t>
            </w:r>
            <w:r w:rsidRPr="00515D00">
              <w:rPr>
                <w:sz w:val="16"/>
                <w:szCs w:val="16"/>
                <w:lang w:eastAsia="ja-JP"/>
              </w:rPr>
              <w:t xml:space="preserve">11 </w:t>
            </w:r>
            <w:r w:rsidRPr="00515D00">
              <w:rPr>
                <w:color w:val="000000"/>
                <w:sz w:val="16"/>
                <w:szCs w:val="16"/>
              </w:rPr>
              <w:t xml:space="preserve">participantes </w:t>
            </w:r>
            <w:r w:rsidRPr="00515D00">
              <w:rPr>
                <w:color w:val="000000"/>
                <w:sz w:val="16"/>
                <w:szCs w:val="16"/>
                <w:lang w:eastAsia="ja-JP"/>
              </w:rPr>
              <w:t xml:space="preserve">de </w:t>
            </w:r>
            <w:r w:rsidRPr="00515D00">
              <w:rPr>
                <w:color w:val="000000"/>
                <w:sz w:val="16"/>
                <w:szCs w:val="16"/>
              </w:rPr>
              <w:t>China, India, Malasia, Filipinas, Sri Lanka y Tailandia</w:t>
            </w:r>
          </w:p>
        </w:tc>
        <w:tc>
          <w:tcPr>
            <w:tcW w:w="4679" w:type="dxa"/>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Informar a los funcionarios de las oficinas de derecho de autor y otras instituciones relacionadas de la región de Asia y el Pacífico de la importancia de la protección del derecho de autor y los derechos conexos.</w:t>
            </w:r>
          </w:p>
        </w:tc>
      </w:tr>
      <w:tr w:rsidR="003E311F" w:rsidRPr="00092F2E" w:rsidTr="007A358B">
        <w:trPr>
          <w:trHeight w:val="315"/>
        </w:trPr>
        <w:tc>
          <w:tcPr>
            <w:tcW w:w="1843" w:type="dxa"/>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Visita de estudio a organismos de gestión colectiva del derecho de autor</w:t>
            </w:r>
          </w:p>
        </w:tc>
        <w:tc>
          <w:tcPr>
            <w:tcW w:w="1134" w:type="dxa"/>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9 a 13 de febrero de 2015</w:t>
            </w:r>
          </w:p>
        </w:tc>
        <w:tc>
          <w:tcPr>
            <w:tcW w:w="2126" w:type="dxa"/>
          </w:tcPr>
          <w:p w:rsidR="003E311F" w:rsidRPr="00515D00" w:rsidRDefault="003E311F" w:rsidP="007A358B">
            <w:pPr>
              <w:autoSpaceDE w:val="0"/>
              <w:autoSpaceDN w:val="0"/>
              <w:adjustRightInd w:val="0"/>
              <w:spacing w:before="60" w:after="60"/>
              <w:rPr>
                <w:color w:val="000000"/>
                <w:sz w:val="16"/>
                <w:szCs w:val="16"/>
                <w:lang w:eastAsia="ja-JP"/>
              </w:rPr>
            </w:pPr>
            <w:r w:rsidRPr="00515D00">
              <w:rPr>
                <w:color w:val="000000"/>
                <w:sz w:val="16"/>
                <w:szCs w:val="16"/>
              </w:rPr>
              <w:t>Japón</w:t>
            </w:r>
            <w:r w:rsidRPr="00515D00">
              <w:rPr>
                <w:color w:val="000000"/>
                <w:sz w:val="16"/>
                <w:szCs w:val="16"/>
                <w:lang w:eastAsia="ja-JP"/>
              </w:rPr>
              <w:t>/ 8</w:t>
            </w:r>
            <w:r w:rsidRPr="00515D00">
              <w:rPr>
                <w:sz w:val="16"/>
                <w:szCs w:val="16"/>
              </w:rPr>
              <w:t xml:space="preserve"> </w:t>
            </w:r>
            <w:r w:rsidRPr="00515D00">
              <w:rPr>
                <w:color w:val="000000"/>
                <w:sz w:val="16"/>
                <w:szCs w:val="16"/>
              </w:rPr>
              <w:t xml:space="preserve">participantes </w:t>
            </w:r>
            <w:r w:rsidRPr="00515D00">
              <w:rPr>
                <w:color w:val="000000"/>
                <w:sz w:val="16"/>
                <w:szCs w:val="16"/>
                <w:lang w:eastAsia="ja-JP"/>
              </w:rPr>
              <w:t xml:space="preserve">de </w:t>
            </w:r>
            <w:proofErr w:type="spellStart"/>
            <w:r w:rsidRPr="00515D00">
              <w:rPr>
                <w:color w:val="000000"/>
                <w:sz w:val="16"/>
                <w:szCs w:val="16"/>
                <w:lang w:eastAsia="ja-JP"/>
              </w:rPr>
              <w:t>Bhután</w:t>
            </w:r>
            <w:proofErr w:type="spellEnd"/>
            <w:r w:rsidRPr="00515D00">
              <w:rPr>
                <w:color w:val="000000"/>
                <w:sz w:val="16"/>
                <w:szCs w:val="16"/>
                <w:lang w:eastAsia="ja-JP"/>
              </w:rPr>
              <w:t>, Camboya, República Democrática Popular Lao y Myanmar</w:t>
            </w:r>
          </w:p>
        </w:tc>
        <w:tc>
          <w:tcPr>
            <w:tcW w:w="4679" w:type="dxa"/>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 xml:space="preserve">i) </w:t>
            </w:r>
            <w:r>
              <w:rPr>
                <w:color w:val="000000"/>
                <w:sz w:val="16"/>
                <w:szCs w:val="16"/>
              </w:rPr>
              <w:t>Mejorar</w:t>
            </w:r>
            <w:r w:rsidRPr="00515D00">
              <w:rPr>
                <w:color w:val="000000"/>
                <w:sz w:val="16"/>
                <w:szCs w:val="16"/>
              </w:rPr>
              <w:t xml:space="preserve"> el conocimiento y la comprensión de los participantes sobre cuestiones relativas a </w:t>
            </w:r>
            <w:r>
              <w:rPr>
                <w:color w:val="000000"/>
                <w:sz w:val="16"/>
                <w:szCs w:val="16"/>
              </w:rPr>
              <w:t xml:space="preserve">la gestión del derecho de autor; </w:t>
            </w:r>
            <w:r w:rsidRPr="00515D00">
              <w:rPr>
                <w:color w:val="000000"/>
                <w:sz w:val="16"/>
                <w:szCs w:val="16"/>
              </w:rPr>
              <w:t xml:space="preserve"> ii) facilitar la colaboración y coordinación entre las oficinas de derecho de autor y los organismos de gestión col</w:t>
            </w:r>
            <w:r>
              <w:rPr>
                <w:color w:val="000000"/>
                <w:sz w:val="16"/>
                <w:szCs w:val="16"/>
              </w:rPr>
              <w:t xml:space="preserve">ectiva de este tipo de derechos; </w:t>
            </w:r>
            <w:r w:rsidRPr="00515D00">
              <w:rPr>
                <w:color w:val="000000"/>
                <w:sz w:val="16"/>
                <w:szCs w:val="16"/>
              </w:rPr>
              <w:t xml:space="preserve"> y iii) estudiar la experiencia japonesa en el ámbito d</w:t>
            </w:r>
            <w:r>
              <w:rPr>
                <w:color w:val="000000"/>
                <w:sz w:val="16"/>
                <w:szCs w:val="16"/>
              </w:rPr>
              <w:t>el derecho de autor y los derechos conexos</w:t>
            </w:r>
            <w:r w:rsidRPr="00515D00">
              <w:rPr>
                <w:color w:val="000000"/>
                <w:sz w:val="16"/>
                <w:szCs w:val="16"/>
              </w:rPr>
              <w:t>.</w:t>
            </w:r>
          </w:p>
        </w:tc>
      </w:tr>
      <w:tr w:rsidR="003E311F" w:rsidRPr="00092F2E" w:rsidTr="007A358B">
        <w:trPr>
          <w:trHeight w:val="315"/>
        </w:trPr>
        <w:tc>
          <w:tcPr>
            <w:tcW w:w="1843" w:type="dxa"/>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Taller sobre protección del derecho de autor y los derechos conexos</w:t>
            </w:r>
          </w:p>
        </w:tc>
        <w:tc>
          <w:tcPr>
            <w:tcW w:w="1134" w:type="dxa"/>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19 a 30 de octubre de 2015</w:t>
            </w:r>
          </w:p>
        </w:tc>
        <w:tc>
          <w:tcPr>
            <w:tcW w:w="2126" w:type="dxa"/>
          </w:tcPr>
          <w:p w:rsidR="003E311F" w:rsidRPr="00515D00" w:rsidRDefault="003E311F" w:rsidP="007A358B">
            <w:pPr>
              <w:autoSpaceDE w:val="0"/>
              <w:autoSpaceDN w:val="0"/>
              <w:adjustRightInd w:val="0"/>
              <w:spacing w:before="60" w:after="60"/>
              <w:rPr>
                <w:color w:val="000000"/>
                <w:sz w:val="16"/>
                <w:szCs w:val="16"/>
                <w:lang w:eastAsia="ja-JP"/>
              </w:rPr>
            </w:pPr>
            <w:r w:rsidRPr="00515D00">
              <w:rPr>
                <w:color w:val="000000"/>
                <w:sz w:val="16"/>
                <w:szCs w:val="16"/>
              </w:rPr>
              <w:t>Japón</w:t>
            </w:r>
            <w:r w:rsidRPr="00515D00">
              <w:rPr>
                <w:color w:val="000000"/>
                <w:sz w:val="16"/>
                <w:szCs w:val="16"/>
                <w:lang w:eastAsia="ja-JP"/>
              </w:rPr>
              <w:t xml:space="preserve">/ 10 </w:t>
            </w:r>
            <w:r w:rsidRPr="00515D00">
              <w:rPr>
                <w:color w:val="000000"/>
                <w:sz w:val="16"/>
                <w:szCs w:val="16"/>
              </w:rPr>
              <w:t xml:space="preserve">participantes </w:t>
            </w:r>
            <w:r w:rsidRPr="00515D00">
              <w:rPr>
                <w:color w:val="000000"/>
                <w:sz w:val="16"/>
                <w:szCs w:val="16"/>
                <w:lang w:eastAsia="ja-JP"/>
              </w:rPr>
              <w:t xml:space="preserve">de Indonesia, Malasia, Filipinas, Tailandia </w:t>
            </w:r>
            <w:r>
              <w:rPr>
                <w:color w:val="000000"/>
                <w:sz w:val="16"/>
                <w:szCs w:val="16"/>
                <w:lang w:eastAsia="ja-JP"/>
              </w:rPr>
              <w:t>y</w:t>
            </w:r>
            <w:r w:rsidRPr="00515D00">
              <w:rPr>
                <w:color w:val="000000"/>
                <w:sz w:val="16"/>
                <w:szCs w:val="16"/>
                <w:lang w:eastAsia="ja-JP"/>
              </w:rPr>
              <w:t xml:space="preserve"> </w:t>
            </w:r>
            <w:proofErr w:type="spellStart"/>
            <w:r w:rsidRPr="00515D00">
              <w:rPr>
                <w:color w:val="000000"/>
                <w:sz w:val="16"/>
                <w:szCs w:val="16"/>
                <w:lang w:eastAsia="ja-JP"/>
              </w:rPr>
              <w:t>Viet</w:t>
            </w:r>
            <w:proofErr w:type="spellEnd"/>
            <w:r w:rsidRPr="00515D00">
              <w:rPr>
                <w:color w:val="000000"/>
                <w:sz w:val="16"/>
                <w:szCs w:val="16"/>
                <w:lang w:eastAsia="ja-JP"/>
              </w:rPr>
              <w:t xml:space="preserve"> </w:t>
            </w:r>
            <w:proofErr w:type="spellStart"/>
            <w:r w:rsidRPr="00515D00">
              <w:rPr>
                <w:color w:val="000000"/>
                <w:sz w:val="16"/>
                <w:szCs w:val="16"/>
                <w:lang w:eastAsia="ja-JP"/>
              </w:rPr>
              <w:t>Nam</w:t>
            </w:r>
            <w:proofErr w:type="spellEnd"/>
          </w:p>
        </w:tc>
        <w:tc>
          <w:tcPr>
            <w:tcW w:w="4679" w:type="dxa"/>
          </w:tcPr>
          <w:p w:rsidR="003E311F" w:rsidRPr="00515D00" w:rsidRDefault="003E311F" w:rsidP="007A358B">
            <w:pPr>
              <w:autoSpaceDE w:val="0"/>
              <w:autoSpaceDN w:val="0"/>
              <w:adjustRightInd w:val="0"/>
              <w:spacing w:before="60" w:after="60"/>
              <w:rPr>
                <w:color w:val="000000"/>
                <w:sz w:val="16"/>
                <w:szCs w:val="16"/>
                <w:lang w:eastAsia="ja-JP"/>
              </w:rPr>
            </w:pPr>
            <w:r w:rsidRPr="00515D00">
              <w:rPr>
                <w:color w:val="000000"/>
                <w:sz w:val="16"/>
                <w:szCs w:val="16"/>
              </w:rPr>
              <w:t xml:space="preserve">i) Informar a los funcionarios de las oficinas de derecho de autor y otras instituciones relacionadas de la región de Asia y el Pacífico de la importancia de la protección del derecho </w:t>
            </w:r>
            <w:r>
              <w:rPr>
                <w:color w:val="000000"/>
                <w:sz w:val="16"/>
                <w:szCs w:val="16"/>
              </w:rPr>
              <w:t xml:space="preserve">de autor y los derechos conexos; </w:t>
            </w:r>
            <w:r w:rsidRPr="00515D00">
              <w:rPr>
                <w:color w:val="000000"/>
                <w:sz w:val="16"/>
                <w:szCs w:val="16"/>
              </w:rPr>
              <w:t xml:space="preserve"> </w:t>
            </w:r>
            <w:proofErr w:type="gramStart"/>
            <w:r w:rsidRPr="00515D00">
              <w:rPr>
                <w:color w:val="000000"/>
                <w:sz w:val="16"/>
                <w:szCs w:val="16"/>
              </w:rPr>
              <w:t>y</w:t>
            </w:r>
            <w:proofErr w:type="gramEnd"/>
            <w:r w:rsidRPr="00515D00">
              <w:rPr>
                <w:color w:val="000000"/>
                <w:sz w:val="16"/>
                <w:szCs w:val="16"/>
              </w:rPr>
              <w:t xml:space="preserve"> </w:t>
            </w:r>
            <w:r w:rsidRPr="00515D00">
              <w:rPr>
                <w:color w:val="000000"/>
                <w:sz w:val="16"/>
                <w:szCs w:val="16"/>
                <w:lang w:eastAsia="ja-JP"/>
              </w:rPr>
              <w:t xml:space="preserve">ii) intercambiar experiencias con colegas japoneses.  </w:t>
            </w:r>
          </w:p>
        </w:tc>
      </w:tr>
      <w:tr w:rsidR="003E311F" w:rsidRPr="00092F2E" w:rsidTr="007A358B">
        <w:trPr>
          <w:trHeight w:val="315"/>
        </w:trPr>
        <w:tc>
          <w:tcPr>
            <w:tcW w:w="1843" w:type="dxa"/>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Visita de estudio a organismos de gestión colectiva del derecho de autor</w:t>
            </w:r>
          </w:p>
        </w:tc>
        <w:tc>
          <w:tcPr>
            <w:tcW w:w="1134" w:type="dxa"/>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26 a 30 de octubre de 2015</w:t>
            </w:r>
          </w:p>
        </w:tc>
        <w:tc>
          <w:tcPr>
            <w:tcW w:w="2126" w:type="dxa"/>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 xml:space="preserve">Japón/ </w:t>
            </w:r>
            <w:r w:rsidRPr="00515D00">
              <w:rPr>
                <w:color w:val="000000"/>
                <w:sz w:val="16"/>
                <w:szCs w:val="16"/>
                <w:lang w:eastAsia="ja-JP"/>
              </w:rPr>
              <w:t xml:space="preserve">6 </w:t>
            </w:r>
            <w:r w:rsidRPr="00515D00">
              <w:rPr>
                <w:color w:val="000000"/>
                <w:sz w:val="16"/>
                <w:szCs w:val="16"/>
              </w:rPr>
              <w:t xml:space="preserve">participantes </w:t>
            </w:r>
            <w:r w:rsidRPr="00515D00">
              <w:rPr>
                <w:color w:val="000000"/>
                <w:sz w:val="16"/>
                <w:szCs w:val="16"/>
                <w:lang w:eastAsia="ja-JP"/>
              </w:rPr>
              <w:t xml:space="preserve">de </w:t>
            </w:r>
            <w:r w:rsidRPr="00515D00">
              <w:rPr>
                <w:color w:val="000000"/>
                <w:sz w:val="16"/>
                <w:szCs w:val="16"/>
              </w:rPr>
              <w:t xml:space="preserve">Bangladesh, Mongolia </w:t>
            </w:r>
            <w:r>
              <w:rPr>
                <w:color w:val="000000"/>
                <w:sz w:val="16"/>
                <w:szCs w:val="16"/>
              </w:rPr>
              <w:t>y</w:t>
            </w:r>
            <w:r w:rsidRPr="00515D00">
              <w:rPr>
                <w:color w:val="000000"/>
                <w:sz w:val="16"/>
                <w:szCs w:val="16"/>
              </w:rPr>
              <w:t xml:space="preserve"> Sri Lanka</w:t>
            </w:r>
          </w:p>
        </w:tc>
        <w:tc>
          <w:tcPr>
            <w:tcW w:w="4679" w:type="dxa"/>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 xml:space="preserve">i) </w:t>
            </w:r>
            <w:r>
              <w:rPr>
                <w:color w:val="000000"/>
                <w:sz w:val="16"/>
                <w:szCs w:val="16"/>
              </w:rPr>
              <w:t>Mejorar</w:t>
            </w:r>
            <w:r w:rsidRPr="00515D00">
              <w:rPr>
                <w:color w:val="000000"/>
                <w:sz w:val="16"/>
                <w:szCs w:val="16"/>
              </w:rPr>
              <w:t xml:space="preserve"> el conocimiento y la comprensión de los participantes sobre cuestiones relativas a </w:t>
            </w:r>
            <w:r>
              <w:rPr>
                <w:color w:val="000000"/>
                <w:sz w:val="16"/>
                <w:szCs w:val="16"/>
              </w:rPr>
              <w:t xml:space="preserve">la gestión del derecho de autor; </w:t>
            </w:r>
            <w:r w:rsidRPr="00515D00">
              <w:rPr>
                <w:color w:val="000000"/>
                <w:sz w:val="16"/>
                <w:szCs w:val="16"/>
              </w:rPr>
              <w:t xml:space="preserve"> ii) facilitar la colaboración y coordinación entre las oficinas de derecho de autor y los organismos de gestión colectiva de este</w:t>
            </w:r>
            <w:r>
              <w:rPr>
                <w:color w:val="000000"/>
                <w:sz w:val="16"/>
                <w:szCs w:val="16"/>
              </w:rPr>
              <w:t xml:space="preserve"> tipo de derechos; </w:t>
            </w:r>
            <w:r w:rsidRPr="00515D00">
              <w:rPr>
                <w:color w:val="000000"/>
                <w:sz w:val="16"/>
                <w:szCs w:val="16"/>
              </w:rPr>
              <w:t xml:space="preserve"> y iii) estudiar la experiencia japonesa en el ámbito d</w:t>
            </w:r>
            <w:r>
              <w:rPr>
                <w:color w:val="000000"/>
                <w:sz w:val="16"/>
                <w:szCs w:val="16"/>
              </w:rPr>
              <w:t>el derecho de autor y los derechos conexos</w:t>
            </w:r>
            <w:r w:rsidRPr="00515D00">
              <w:rPr>
                <w:color w:val="000000"/>
                <w:sz w:val="16"/>
                <w:szCs w:val="16"/>
              </w:rPr>
              <w:t>.</w:t>
            </w:r>
          </w:p>
        </w:tc>
      </w:tr>
    </w:tbl>
    <w:p w:rsidR="003E311F" w:rsidRPr="007329AC" w:rsidRDefault="003E311F" w:rsidP="003E311F">
      <w:pPr>
        <w:rPr>
          <w:b/>
          <w:sz w:val="20"/>
        </w:rPr>
      </w:pPr>
    </w:p>
    <w:p w:rsidR="003E311F" w:rsidRPr="007329AC" w:rsidRDefault="003E311F" w:rsidP="003E311F">
      <w:pPr>
        <w:rPr>
          <w:b/>
          <w:sz w:val="20"/>
        </w:rPr>
      </w:pPr>
    </w:p>
    <w:p w:rsidR="003E311F" w:rsidRPr="007329AC" w:rsidRDefault="003E311F" w:rsidP="003E311F">
      <w:pPr>
        <w:rPr>
          <w:b/>
          <w:bCs/>
          <w:color w:val="000000"/>
          <w:sz w:val="20"/>
        </w:rPr>
      </w:pPr>
      <w:r w:rsidRPr="007329AC">
        <w:rPr>
          <w:b/>
          <w:sz w:val="20"/>
        </w:rPr>
        <w:t xml:space="preserve">JAPÓN – DERECHO DE AUTOR – Contribuciones de donantes y gastos en </w:t>
      </w:r>
      <w:r w:rsidRPr="007329AC">
        <w:rPr>
          <w:b/>
          <w:bCs/>
          <w:color w:val="000000"/>
          <w:sz w:val="20"/>
        </w:rPr>
        <w:t>2015</w:t>
      </w:r>
    </w:p>
    <w:p w:rsidR="003E311F" w:rsidRPr="007329AC" w:rsidRDefault="003E311F" w:rsidP="003E311F">
      <w:pPr>
        <w:rPr>
          <w:b/>
          <w:bCs/>
          <w:color w:val="000000"/>
          <w:sz w:val="20"/>
        </w:rPr>
      </w:pPr>
    </w:p>
    <w:tbl>
      <w:tblPr>
        <w:tblW w:w="9791" w:type="dxa"/>
        <w:tblInd w:w="98" w:type="dxa"/>
        <w:tblLook w:val="04A0" w:firstRow="1" w:lastRow="0" w:firstColumn="1" w:lastColumn="0" w:noHBand="0" w:noVBand="1"/>
      </w:tblPr>
      <w:tblGrid>
        <w:gridCol w:w="2040"/>
        <w:gridCol w:w="1640"/>
        <w:gridCol w:w="1860"/>
        <w:gridCol w:w="1780"/>
        <w:gridCol w:w="2471"/>
      </w:tblGrid>
      <w:tr w:rsidR="003E311F" w:rsidRPr="00515D00" w:rsidTr="007A358B">
        <w:trPr>
          <w:trHeight w:val="450"/>
        </w:trPr>
        <w:tc>
          <w:tcPr>
            <w:tcW w:w="2040" w:type="dxa"/>
            <w:tcBorders>
              <w:top w:val="single" w:sz="8" w:space="0" w:color="auto"/>
              <w:left w:val="single" w:sz="8" w:space="0" w:color="auto"/>
              <w:bottom w:val="nil"/>
              <w:right w:val="single" w:sz="8" w:space="0" w:color="auto"/>
            </w:tcBorders>
            <w:shd w:val="clear" w:color="000000" w:fill="C5D9F1"/>
            <w:vAlign w:val="center"/>
            <w:hideMark/>
          </w:tcPr>
          <w:p w:rsidR="003E311F" w:rsidRPr="00515D00" w:rsidRDefault="005C708A" w:rsidP="007A358B">
            <w:pPr>
              <w:jc w:val="center"/>
              <w:rPr>
                <w:b/>
                <w:bCs/>
                <w:color w:val="000000"/>
                <w:sz w:val="16"/>
                <w:szCs w:val="16"/>
              </w:rPr>
            </w:pPr>
            <w:r>
              <w:rPr>
                <w:b/>
                <w:bCs/>
                <w:sz w:val="16"/>
                <w:szCs w:val="16"/>
              </w:rPr>
              <w:t>Saldo el</w:t>
            </w:r>
            <w:r w:rsidR="003E311F" w:rsidRPr="00515D00">
              <w:rPr>
                <w:b/>
                <w:bCs/>
                <w:sz w:val="16"/>
                <w:szCs w:val="16"/>
              </w:rPr>
              <w:t xml:space="preserve"> 31 de diciembre de </w:t>
            </w:r>
            <w:r w:rsidR="003E311F" w:rsidRPr="00515D00">
              <w:rPr>
                <w:b/>
                <w:bCs/>
                <w:color w:val="000000"/>
                <w:sz w:val="16"/>
                <w:szCs w:val="16"/>
              </w:rPr>
              <w:t>2014</w:t>
            </w:r>
          </w:p>
        </w:tc>
        <w:tc>
          <w:tcPr>
            <w:tcW w:w="1640" w:type="dxa"/>
            <w:tcBorders>
              <w:top w:val="single" w:sz="8" w:space="0" w:color="auto"/>
              <w:left w:val="nil"/>
              <w:bottom w:val="nil"/>
              <w:right w:val="single" w:sz="8" w:space="0" w:color="auto"/>
            </w:tcBorders>
            <w:shd w:val="clear" w:color="000000" w:fill="C5D9F1"/>
            <w:vAlign w:val="center"/>
            <w:hideMark/>
          </w:tcPr>
          <w:p w:rsidR="003E311F" w:rsidRPr="00515D00" w:rsidRDefault="003E311F" w:rsidP="007A358B">
            <w:pPr>
              <w:jc w:val="center"/>
              <w:rPr>
                <w:b/>
                <w:bCs/>
                <w:color w:val="000000"/>
                <w:sz w:val="16"/>
                <w:szCs w:val="16"/>
              </w:rPr>
            </w:pPr>
            <w:r w:rsidRPr="00515D00">
              <w:rPr>
                <w:b/>
                <w:bCs/>
                <w:sz w:val="16"/>
                <w:szCs w:val="16"/>
              </w:rPr>
              <w:t xml:space="preserve">Ingresos en </w:t>
            </w:r>
            <w:r w:rsidRPr="00515D00">
              <w:rPr>
                <w:b/>
                <w:bCs/>
                <w:color w:val="000000"/>
                <w:sz w:val="16"/>
                <w:szCs w:val="16"/>
              </w:rPr>
              <w:t>2015</w:t>
            </w:r>
          </w:p>
        </w:tc>
        <w:tc>
          <w:tcPr>
            <w:tcW w:w="1860" w:type="dxa"/>
            <w:tcBorders>
              <w:top w:val="single" w:sz="8" w:space="0" w:color="auto"/>
              <w:left w:val="nil"/>
              <w:bottom w:val="nil"/>
              <w:right w:val="single" w:sz="8" w:space="0" w:color="auto"/>
            </w:tcBorders>
            <w:shd w:val="clear" w:color="000000" w:fill="C5D9F1"/>
            <w:vAlign w:val="center"/>
            <w:hideMark/>
          </w:tcPr>
          <w:p w:rsidR="003E311F" w:rsidRPr="00515D00" w:rsidRDefault="003E311F" w:rsidP="007A358B">
            <w:pPr>
              <w:jc w:val="center"/>
              <w:rPr>
                <w:b/>
                <w:bCs/>
                <w:color w:val="000000"/>
                <w:sz w:val="16"/>
                <w:szCs w:val="16"/>
              </w:rPr>
            </w:pPr>
            <w:r w:rsidRPr="00515D00">
              <w:rPr>
                <w:b/>
                <w:bCs/>
                <w:sz w:val="16"/>
                <w:szCs w:val="16"/>
              </w:rPr>
              <w:t xml:space="preserve">Gastos en </w:t>
            </w:r>
            <w:r w:rsidRPr="00515D00">
              <w:rPr>
                <w:b/>
                <w:bCs/>
                <w:color w:val="000000"/>
                <w:sz w:val="16"/>
                <w:szCs w:val="16"/>
              </w:rPr>
              <w:t>2015</w:t>
            </w:r>
          </w:p>
        </w:tc>
        <w:tc>
          <w:tcPr>
            <w:tcW w:w="1780" w:type="dxa"/>
            <w:tcBorders>
              <w:top w:val="single" w:sz="8" w:space="0" w:color="auto"/>
              <w:left w:val="nil"/>
              <w:bottom w:val="nil"/>
              <w:right w:val="single" w:sz="8" w:space="0" w:color="auto"/>
            </w:tcBorders>
            <w:shd w:val="clear" w:color="000000" w:fill="C5D9F1"/>
            <w:vAlign w:val="center"/>
            <w:hideMark/>
          </w:tcPr>
          <w:p w:rsidR="003E311F" w:rsidRPr="00515D00" w:rsidRDefault="003E311F" w:rsidP="007A358B">
            <w:pPr>
              <w:jc w:val="center"/>
              <w:rPr>
                <w:b/>
                <w:bCs/>
                <w:color w:val="000000"/>
                <w:sz w:val="16"/>
                <w:szCs w:val="16"/>
              </w:rPr>
            </w:pPr>
            <w:r w:rsidRPr="00515D00">
              <w:rPr>
                <w:b/>
                <w:bCs/>
                <w:sz w:val="16"/>
                <w:szCs w:val="16"/>
              </w:rPr>
              <w:t>Reembolsos</w:t>
            </w:r>
          </w:p>
        </w:tc>
        <w:tc>
          <w:tcPr>
            <w:tcW w:w="2471" w:type="dxa"/>
            <w:tcBorders>
              <w:top w:val="single" w:sz="8" w:space="0" w:color="auto"/>
              <w:left w:val="nil"/>
              <w:bottom w:val="nil"/>
              <w:right w:val="single" w:sz="8" w:space="0" w:color="auto"/>
            </w:tcBorders>
            <w:shd w:val="clear" w:color="000000" w:fill="C5D9F1"/>
            <w:vAlign w:val="center"/>
            <w:hideMark/>
          </w:tcPr>
          <w:p w:rsidR="003E311F" w:rsidRPr="00515D00" w:rsidRDefault="005C708A" w:rsidP="007A358B">
            <w:pPr>
              <w:jc w:val="center"/>
              <w:rPr>
                <w:b/>
                <w:bCs/>
                <w:color w:val="000000"/>
                <w:sz w:val="16"/>
                <w:szCs w:val="16"/>
              </w:rPr>
            </w:pPr>
            <w:r>
              <w:rPr>
                <w:b/>
                <w:bCs/>
                <w:sz w:val="16"/>
                <w:szCs w:val="16"/>
              </w:rPr>
              <w:t>Saldo el</w:t>
            </w:r>
            <w:r w:rsidR="003E311F" w:rsidRPr="00515D00">
              <w:rPr>
                <w:b/>
                <w:bCs/>
                <w:sz w:val="16"/>
                <w:szCs w:val="16"/>
              </w:rPr>
              <w:t xml:space="preserve"> 31 de diciembre de </w:t>
            </w:r>
            <w:r w:rsidR="003E311F" w:rsidRPr="00515D00">
              <w:rPr>
                <w:b/>
                <w:bCs/>
                <w:color w:val="000000"/>
                <w:sz w:val="16"/>
                <w:szCs w:val="16"/>
              </w:rPr>
              <w:t>2015</w:t>
            </w:r>
          </w:p>
        </w:tc>
      </w:tr>
      <w:tr w:rsidR="003E311F" w:rsidRPr="00515D00" w:rsidTr="007A358B">
        <w:trPr>
          <w:trHeight w:val="255"/>
        </w:trPr>
        <w:tc>
          <w:tcPr>
            <w:tcW w:w="2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311F" w:rsidRPr="00515D00" w:rsidRDefault="003E311F" w:rsidP="007A358B">
            <w:pPr>
              <w:jc w:val="center"/>
              <w:rPr>
                <w:color w:val="000000"/>
                <w:sz w:val="16"/>
                <w:szCs w:val="16"/>
              </w:rPr>
            </w:pPr>
            <w:r w:rsidRPr="00515D00">
              <w:rPr>
                <w:color w:val="000000"/>
                <w:sz w:val="16"/>
                <w:szCs w:val="16"/>
              </w:rPr>
              <w:t>339.511</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3E311F" w:rsidRPr="00515D00" w:rsidRDefault="003E311F" w:rsidP="007A358B">
            <w:pPr>
              <w:jc w:val="center"/>
              <w:rPr>
                <w:color w:val="000000"/>
                <w:sz w:val="16"/>
                <w:szCs w:val="16"/>
              </w:rPr>
            </w:pPr>
            <w:r w:rsidRPr="00515D00">
              <w:rPr>
                <w:color w:val="000000"/>
                <w:sz w:val="16"/>
                <w:szCs w:val="16"/>
              </w:rPr>
              <w:t>469.462</w:t>
            </w:r>
          </w:p>
        </w:tc>
        <w:tc>
          <w:tcPr>
            <w:tcW w:w="1860" w:type="dxa"/>
            <w:tcBorders>
              <w:top w:val="single" w:sz="4" w:space="0" w:color="auto"/>
              <w:left w:val="nil"/>
              <w:bottom w:val="single" w:sz="4" w:space="0" w:color="auto"/>
              <w:right w:val="single" w:sz="4" w:space="0" w:color="auto"/>
            </w:tcBorders>
            <w:shd w:val="clear" w:color="auto" w:fill="auto"/>
            <w:vAlign w:val="center"/>
            <w:hideMark/>
          </w:tcPr>
          <w:p w:rsidR="003E311F" w:rsidRPr="00515D00" w:rsidRDefault="003E311F" w:rsidP="007A358B">
            <w:pPr>
              <w:jc w:val="center"/>
              <w:rPr>
                <w:color w:val="000000"/>
                <w:sz w:val="16"/>
                <w:szCs w:val="16"/>
              </w:rPr>
            </w:pPr>
            <w:r w:rsidRPr="00515D00">
              <w:rPr>
                <w:color w:val="000000"/>
                <w:sz w:val="16"/>
                <w:szCs w:val="16"/>
              </w:rPr>
              <w:t>464.038</w:t>
            </w:r>
          </w:p>
        </w:tc>
        <w:tc>
          <w:tcPr>
            <w:tcW w:w="1780" w:type="dxa"/>
            <w:tcBorders>
              <w:top w:val="single" w:sz="4" w:space="0" w:color="auto"/>
              <w:left w:val="nil"/>
              <w:bottom w:val="single" w:sz="4" w:space="0" w:color="auto"/>
              <w:right w:val="single" w:sz="4" w:space="0" w:color="auto"/>
            </w:tcBorders>
            <w:shd w:val="clear" w:color="auto" w:fill="auto"/>
            <w:noWrap/>
            <w:vAlign w:val="center"/>
            <w:hideMark/>
          </w:tcPr>
          <w:p w:rsidR="003E311F" w:rsidRPr="00515D00" w:rsidRDefault="003E311F" w:rsidP="007A358B">
            <w:pPr>
              <w:jc w:val="center"/>
              <w:rPr>
                <w:color w:val="000000"/>
                <w:sz w:val="16"/>
                <w:szCs w:val="16"/>
              </w:rPr>
            </w:pPr>
            <w:r w:rsidRPr="00515D00">
              <w:rPr>
                <w:color w:val="000000"/>
                <w:sz w:val="16"/>
                <w:szCs w:val="16"/>
              </w:rPr>
              <w:t>-</w:t>
            </w:r>
          </w:p>
        </w:tc>
        <w:tc>
          <w:tcPr>
            <w:tcW w:w="2471" w:type="dxa"/>
            <w:tcBorders>
              <w:top w:val="single" w:sz="4" w:space="0" w:color="auto"/>
              <w:left w:val="nil"/>
              <w:bottom w:val="single" w:sz="4" w:space="0" w:color="auto"/>
              <w:right w:val="single" w:sz="4" w:space="0" w:color="auto"/>
            </w:tcBorders>
            <w:shd w:val="clear" w:color="auto" w:fill="auto"/>
            <w:vAlign w:val="center"/>
            <w:hideMark/>
          </w:tcPr>
          <w:p w:rsidR="003E311F" w:rsidRPr="00515D00" w:rsidRDefault="003E311F" w:rsidP="007A358B">
            <w:pPr>
              <w:jc w:val="center"/>
              <w:rPr>
                <w:color w:val="000000"/>
                <w:sz w:val="16"/>
                <w:szCs w:val="16"/>
              </w:rPr>
            </w:pPr>
            <w:r w:rsidRPr="00515D00">
              <w:rPr>
                <w:color w:val="000000"/>
                <w:sz w:val="16"/>
                <w:szCs w:val="16"/>
              </w:rPr>
              <w:t>344.935</w:t>
            </w:r>
          </w:p>
        </w:tc>
      </w:tr>
    </w:tbl>
    <w:p w:rsidR="003E311F" w:rsidRPr="007329AC" w:rsidRDefault="003E311F" w:rsidP="003E311F">
      <w:pPr>
        <w:rPr>
          <w:b/>
          <w:sz w:val="20"/>
          <w:lang w:eastAsia="ja-JP"/>
        </w:rPr>
      </w:pPr>
    </w:p>
    <w:p w:rsidR="003E311F" w:rsidRPr="007329AC" w:rsidRDefault="003E311F" w:rsidP="003E311F">
      <w:pPr>
        <w:rPr>
          <w:b/>
          <w:sz w:val="20"/>
        </w:rPr>
      </w:pPr>
    </w:p>
    <w:p w:rsidR="003E311F" w:rsidRPr="007329AC" w:rsidRDefault="003E311F" w:rsidP="00386789">
      <w:pPr>
        <w:keepNext/>
        <w:keepLines/>
        <w:rPr>
          <w:b/>
          <w:sz w:val="20"/>
        </w:rPr>
      </w:pPr>
      <w:r w:rsidRPr="007329AC">
        <w:rPr>
          <w:b/>
          <w:sz w:val="20"/>
        </w:rPr>
        <w:lastRenderedPageBreak/>
        <w:t>JAPÓN – PROPIEDAD INDUSTRIAL</w:t>
      </w:r>
    </w:p>
    <w:p w:rsidR="003E311F" w:rsidRPr="007329AC" w:rsidRDefault="003E311F" w:rsidP="00386789">
      <w:pPr>
        <w:keepNext/>
        <w:keepLines/>
        <w:rPr>
          <w:b/>
          <w:sz w:val="20"/>
        </w:rPr>
      </w:pPr>
    </w:p>
    <w:tbl>
      <w:tblPr>
        <w:tblW w:w="9781" w:type="dxa"/>
        <w:tblInd w:w="10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701"/>
        <w:gridCol w:w="99"/>
        <w:gridCol w:w="43"/>
        <w:gridCol w:w="1134"/>
        <w:gridCol w:w="1973"/>
        <w:gridCol w:w="13"/>
        <w:gridCol w:w="4818"/>
      </w:tblGrid>
      <w:tr w:rsidR="003E311F" w:rsidRPr="00092F2E" w:rsidTr="007A358B">
        <w:trPr>
          <w:cantSplit/>
          <w:trHeight w:val="315"/>
        </w:trPr>
        <w:tc>
          <w:tcPr>
            <w:tcW w:w="9781" w:type="dxa"/>
            <w:gridSpan w:val="7"/>
            <w:tcBorders>
              <w:top w:val="single" w:sz="4" w:space="0" w:color="auto"/>
              <w:bottom w:val="single" w:sz="4" w:space="0" w:color="auto"/>
            </w:tcBorders>
            <w:shd w:val="clear" w:color="auto" w:fill="C6D9F1" w:themeFill="text2" w:themeFillTint="33"/>
          </w:tcPr>
          <w:p w:rsidR="003E311F" w:rsidRPr="00515D00" w:rsidRDefault="003E311F" w:rsidP="00386789">
            <w:pPr>
              <w:keepNext/>
              <w:keepLines/>
              <w:tabs>
                <w:tab w:val="left" w:pos="1740"/>
              </w:tabs>
              <w:spacing w:before="120" w:after="120"/>
              <w:ind w:left="1740" w:hanging="1740"/>
              <w:rPr>
                <w:color w:val="000000"/>
                <w:sz w:val="16"/>
                <w:szCs w:val="16"/>
              </w:rPr>
            </w:pPr>
            <w:r w:rsidRPr="00515D00">
              <w:rPr>
                <w:b/>
                <w:bCs/>
                <w:color w:val="000000"/>
                <w:sz w:val="16"/>
                <w:szCs w:val="16"/>
              </w:rPr>
              <w:t>RESULTADO:</w:t>
            </w:r>
            <w:r w:rsidRPr="00515D00">
              <w:rPr>
                <w:bCs/>
                <w:sz w:val="16"/>
                <w:szCs w:val="16"/>
              </w:rPr>
              <w:tab/>
              <w:t>III.2  Aumento de las capacidades en recursos humanos para hacer frente a la gran diversidad de exigencias que supone la utilización eficaz de la P.I. para fomentar el desarrollo en los países en desarrollo, PMA y países con economías en transición</w:t>
            </w:r>
          </w:p>
        </w:tc>
      </w:tr>
      <w:tr w:rsidR="003E311F" w:rsidRPr="00515D00" w:rsidTr="007A358B">
        <w:trPr>
          <w:cantSplit/>
          <w:trHeight w:val="402"/>
        </w:trPr>
        <w:tc>
          <w:tcPr>
            <w:tcW w:w="1843" w:type="dxa"/>
            <w:gridSpan w:val="3"/>
            <w:tcBorders>
              <w:top w:val="single" w:sz="4" w:space="0" w:color="auto"/>
              <w:left w:val="single" w:sz="4" w:space="0" w:color="auto"/>
              <w:bottom w:val="nil"/>
            </w:tcBorders>
            <w:vAlign w:val="center"/>
          </w:tcPr>
          <w:p w:rsidR="003E311F" w:rsidRPr="00515D00" w:rsidRDefault="003E311F" w:rsidP="007A358B">
            <w:pPr>
              <w:keepNext/>
              <w:keepLines/>
              <w:spacing w:before="60" w:after="60"/>
              <w:rPr>
                <w:b/>
                <w:bCs/>
                <w:sz w:val="16"/>
                <w:szCs w:val="16"/>
              </w:rPr>
            </w:pPr>
            <w:r w:rsidRPr="00515D00">
              <w:rPr>
                <w:b/>
                <w:bCs/>
                <w:sz w:val="16"/>
                <w:szCs w:val="16"/>
              </w:rPr>
              <w:t>Actividad</w:t>
            </w:r>
          </w:p>
        </w:tc>
        <w:tc>
          <w:tcPr>
            <w:tcW w:w="1134" w:type="dxa"/>
            <w:tcBorders>
              <w:top w:val="single" w:sz="4" w:space="0" w:color="auto"/>
              <w:bottom w:val="nil"/>
            </w:tcBorders>
            <w:vAlign w:val="center"/>
          </w:tcPr>
          <w:p w:rsidR="003E311F" w:rsidRPr="00515D00" w:rsidRDefault="003E311F" w:rsidP="007A358B">
            <w:pPr>
              <w:keepNext/>
              <w:keepLines/>
              <w:spacing w:before="60" w:after="60"/>
              <w:rPr>
                <w:sz w:val="16"/>
                <w:szCs w:val="16"/>
              </w:rPr>
            </w:pPr>
            <w:r w:rsidRPr="00515D00">
              <w:rPr>
                <w:b/>
                <w:bCs/>
                <w:sz w:val="16"/>
                <w:szCs w:val="16"/>
              </w:rPr>
              <w:t>Fecha</w:t>
            </w:r>
          </w:p>
        </w:tc>
        <w:tc>
          <w:tcPr>
            <w:tcW w:w="1985" w:type="dxa"/>
            <w:gridSpan w:val="2"/>
            <w:tcBorders>
              <w:top w:val="single" w:sz="4" w:space="0" w:color="auto"/>
              <w:bottom w:val="nil"/>
            </w:tcBorders>
            <w:vAlign w:val="center"/>
          </w:tcPr>
          <w:p w:rsidR="003E311F" w:rsidRPr="00515D00" w:rsidRDefault="003E311F" w:rsidP="007A358B">
            <w:pPr>
              <w:widowControl w:val="0"/>
              <w:rPr>
                <w:sz w:val="16"/>
                <w:szCs w:val="16"/>
              </w:rPr>
            </w:pPr>
            <w:r w:rsidRPr="00515D00">
              <w:rPr>
                <w:b/>
                <w:sz w:val="16"/>
                <w:szCs w:val="16"/>
              </w:rPr>
              <w:t>País anfitrión / Beneficiarios</w:t>
            </w:r>
          </w:p>
        </w:tc>
        <w:tc>
          <w:tcPr>
            <w:tcW w:w="4819" w:type="dxa"/>
            <w:tcBorders>
              <w:top w:val="single" w:sz="4" w:space="0" w:color="auto"/>
              <w:bottom w:val="nil"/>
              <w:right w:val="single" w:sz="4" w:space="0" w:color="auto"/>
            </w:tcBorders>
            <w:vAlign w:val="center"/>
          </w:tcPr>
          <w:p w:rsidR="003E311F" w:rsidRPr="00515D00" w:rsidRDefault="003E311F" w:rsidP="007A358B">
            <w:pPr>
              <w:widowControl w:val="0"/>
              <w:rPr>
                <w:sz w:val="16"/>
                <w:szCs w:val="16"/>
              </w:rPr>
            </w:pPr>
            <w:r w:rsidRPr="00515D00">
              <w:rPr>
                <w:b/>
                <w:sz w:val="16"/>
                <w:szCs w:val="16"/>
              </w:rPr>
              <w:t>Propósito(s)/Descripción</w:t>
            </w:r>
          </w:p>
        </w:tc>
      </w:tr>
      <w:tr w:rsidR="003E311F" w:rsidRPr="00092F2E" w:rsidTr="007A358B">
        <w:trPr>
          <w:cantSplit/>
          <w:trHeight w:val="315"/>
        </w:trPr>
        <w:tc>
          <w:tcPr>
            <w:tcW w:w="1800" w:type="dxa"/>
            <w:gridSpan w:val="2"/>
          </w:tcPr>
          <w:p w:rsidR="003E311F" w:rsidRPr="00515D00" w:rsidRDefault="003E311F" w:rsidP="007A358B">
            <w:pPr>
              <w:autoSpaceDE w:val="0"/>
              <w:autoSpaceDN w:val="0"/>
              <w:adjustRightInd w:val="0"/>
              <w:spacing w:before="60" w:after="60"/>
              <w:rPr>
                <w:rFonts w:eastAsia="MS Mincho"/>
                <w:sz w:val="16"/>
                <w:szCs w:val="16"/>
                <w:lang w:eastAsia="ja-JP"/>
              </w:rPr>
            </w:pPr>
            <w:r w:rsidRPr="00515D00">
              <w:rPr>
                <w:rFonts w:eastAsia="MS Mincho"/>
                <w:color w:val="000000" w:themeColor="text1"/>
                <w:sz w:val="16"/>
                <w:szCs w:val="16"/>
                <w:lang w:eastAsia="ja-JP"/>
              </w:rPr>
              <w:t xml:space="preserve">Curso de formación sobre prácticas de examen del programa básico de propiedad industrial </w:t>
            </w:r>
          </w:p>
        </w:tc>
        <w:tc>
          <w:tcPr>
            <w:tcW w:w="1177" w:type="dxa"/>
            <w:gridSpan w:val="2"/>
          </w:tcPr>
          <w:p w:rsidR="003E311F" w:rsidRPr="00515D00" w:rsidRDefault="003E311F" w:rsidP="007A358B">
            <w:pPr>
              <w:spacing w:before="60" w:after="60"/>
              <w:rPr>
                <w:rFonts w:eastAsia="MS Mincho"/>
                <w:sz w:val="16"/>
                <w:szCs w:val="16"/>
                <w:lang w:eastAsia="ja-JP"/>
              </w:rPr>
            </w:pPr>
            <w:r w:rsidRPr="00515D00">
              <w:rPr>
                <w:rFonts w:eastAsia="MS Mincho"/>
                <w:sz w:val="16"/>
                <w:szCs w:val="16"/>
                <w:lang w:eastAsia="ja-JP"/>
              </w:rPr>
              <w:t>19 a 30 de enero de 2015</w:t>
            </w:r>
          </w:p>
        </w:tc>
        <w:tc>
          <w:tcPr>
            <w:tcW w:w="1985" w:type="dxa"/>
            <w:gridSpan w:val="2"/>
          </w:tcPr>
          <w:p w:rsidR="003E311F" w:rsidRPr="00515D00" w:rsidRDefault="003E311F" w:rsidP="007A358B">
            <w:pPr>
              <w:autoSpaceDE w:val="0"/>
              <w:autoSpaceDN w:val="0"/>
              <w:adjustRightInd w:val="0"/>
              <w:spacing w:before="60" w:after="60"/>
              <w:rPr>
                <w:rFonts w:eastAsia="MS Mincho"/>
                <w:color w:val="000000"/>
                <w:sz w:val="16"/>
                <w:szCs w:val="16"/>
                <w:lang w:eastAsia="ja-JP"/>
              </w:rPr>
            </w:pPr>
            <w:r w:rsidRPr="00515D00">
              <w:rPr>
                <w:rFonts w:eastAsia="MS Mincho"/>
                <w:color w:val="000000"/>
                <w:sz w:val="16"/>
                <w:szCs w:val="16"/>
                <w:lang w:eastAsia="ja-JP"/>
              </w:rPr>
              <w:t xml:space="preserve">Japón/ Afganistán, Argelia, Brunei Darussalam, Camboya, Chile, Indonesia, </w:t>
            </w:r>
            <w:proofErr w:type="spellStart"/>
            <w:r w:rsidRPr="00515D00">
              <w:rPr>
                <w:rFonts w:eastAsia="MS Mincho"/>
                <w:color w:val="000000"/>
                <w:sz w:val="16"/>
                <w:szCs w:val="16"/>
                <w:lang w:eastAsia="ja-JP"/>
              </w:rPr>
              <w:t>Kenya</w:t>
            </w:r>
            <w:proofErr w:type="spellEnd"/>
            <w:r w:rsidRPr="00515D00">
              <w:rPr>
                <w:rFonts w:eastAsia="MS Mincho"/>
                <w:color w:val="000000"/>
                <w:sz w:val="16"/>
                <w:szCs w:val="16"/>
                <w:lang w:eastAsia="ja-JP"/>
              </w:rPr>
              <w:t xml:space="preserve">, República Democrática Popular Lao, Madagascar, Malasia, Myanmar, Pakistán, Perú, Singapur, Sri Lanka, Tayikistán, República Unida de </w:t>
            </w:r>
            <w:proofErr w:type="spellStart"/>
            <w:r w:rsidRPr="00515D00">
              <w:rPr>
                <w:rFonts w:eastAsia="MS Mincho"/>
                <w:color w:val="000000"/>
                <w:sz w:val="16"/>
                <w:szCs w:val="16"/>
                <w:lang w:eastAsia="ja-JP"/>
              </w:rPr>
              <w:t>Tanzanía</w:t>
            </w:r>
            <w:proofErr w:type="spellEnd"/>
            <w:r w:rsidRPr="00515D00">
              <w:rPr>
                <w:rFonts w:eastAsia="MS Mincho"/>
                <w:color w:val="000000"/>
                <w:sz w:val="16"/>
                <w:szCs w:val="16"/>
                <w:lang w:eastAsia="ja-JP"/>
              </w:rPr>
              <w:t xml:space="preserve">, </w:t>
            </w:r>
            <w:proofErr w:type="spellStart"/>
            <w:r w:rsidRPr="00515D00">
              <w:rPr>
                <w:rFonts w:eastAsia="MS Mincho"/>
                <w:color w:val="000000"/>
                <w:sz w:val="16"/>
                <w:szCs w:val="16"/>
                <w:lang w:eastAsia="ja-JP"/>
              </w:rPr>
              <w:t>Viet</w:t>
            </w:r>
            <w:proofErr w:type="spellEnd"/>
            <w:r w:rsidRPr="00515D00">
              <w:rPr>
                <w:rFonts w:eastAsia="MS Mincho"/>
                <w:color w:val="000000"/>
                <w:sz w:val="16"/>
                <w:szCs w:val="16"/>
                <w:lang w:eastAsia="ja-JP"/>
              </w:rPr>
              <w:t xml:space="preserve"> </w:t>
            </w:r>
            <w:proofErr w:type="spellStart"/>
            <w:r w:rsidRPr="00515D00">
              <w:rPr>
                <w:rFonts w:eastAsia="MS Mincho"/>
                <w:color w:val="000000"/>
                <w:sz w:val="16"/>
                <w:szCs w:val="16"/>
                <w:lang w:eastAsia="ja-JP"/>
              </w:rPr>
              <w:t>Nam</w:t>
            </w:r>
            <w:proofErr w:type="spellEnd"/>
            <w:r w:rsidRPr="00515D00">
              <w:rPr>
                <w:rFonts w:eastAsia="MS Mincho"/>
                <w:color w:val="000000"/>
                <w:sz w:val="16"/>
                <w:szCs w:val="16"/>
                <w:lang w:eastAsia="ja-JP"/>
              </w:rPr>
              <w:t xml:space="preserve"> y la ARIPO</w:t>
            </w:r>
          </w:p>
        </w:tc>
        <w:tc>
          <w:tcPr>
            <w:tcW w:w="4819" w:type="dxa"/>
          </w:tcPr>
          <w:p w:rsidR="003E311F" w:rsidRPr="00515D00" w:rsidRDefault="003E311F" w:rsidP="007A358B">
            <w:pPr>
              <w:autoSpaceDE w:val="0"/>
              <w:autoSpaceDN w:val="0"/>
              <w:adjustRightInd w:val="0"/>
              <w:spacing w:before="60" w:after="60"/>
              <w:ind w:left="-108"/>
              <w:rPr>
                <w:rFonts w:eastAsia="MS Mincho"/>
                <w:sz w:val="16"/>
                <w:szCs w:val="16"/>
                <w:lang w:eastAsia="ja-JP"/>
              </w:rPr>
            </w:pPr>
            <w:r w:rsidRPr="00515D00">
              <w:rPr>
                <w:rFonts w:eastAsia="MS Mincho"/>
                <w:sz w:val="16"/>
                <w:szCs w:val="16"/>
                <w:lang w:eastAsia="ja-JP"/>
              </w:rPr>
              <w:t>Mejorar los conocimientos básicos fundamentales sobre las leyes y los procedimientos</w:t>
            </w:r>
            <w:r>
              <w:rPr>
                <w:rFonts w:eastAsia="MS Mincho"/>
                <w:sz w:val="16"/>
                <w:szCs w:val="16"/>
                <w:lang w:eastAsia="ja-JP"/>
              </w:rPr>
              <w:t xml:space="preserve"> </w:t>
            </w:r>
            <w:r w:rsidRPr="00515D00">
              <w:rPr>
                <w:rFonts w:eastAsia="MS Mincho"/>
                <w:sz w:val="16"/>
                <w:szCs w:val="16"/>
                <w:lang w:eastAsia="ja-JP"/>
              </w:rPr>
              <w:t xml:space="preserve">de examen </w:t>
            </w:r>
            <w:r>
              <w:rPr>
                <w:rFonts w:eastAsia="MS Mincho"/>
                <w:sz w:val="16"/>
                <w:szCs w:val="16"/>
                <w:lang w:eastAsia="ja-JP"/>
              </w:rPr>
              <w:t>sustantivo</w:t>
            </w:r>
            <w:r w:rsidRPr="00515D00">
              <w:rPr>
                <w:rFonts w:eastAsia="MS Mincho"/>
                <w:sz w:val="16"/>
                <w:szCs w:val="16"/>
                <w:lang w:eastAsia="ja-JP"/>
              </w:rPr>
              <w:t xml:space="preserve"> en el ámbito del examen de los derechos de propiedad industrial.  </w:t>
            </w:r>
          </w:p>
        </w:tc>
      </w:tr>
      <w:tr w:rsidR="003E311F" w:rsidRPr="00092F2E" w:rsidTr="007A358B">
        <w:trPr>
          <w:cantSplit/>
          <w:trHeight w:val="315"/>
        </w:trPr>
        <w:tc>
          <w:tcPr>
            <w:tcW w:w="1800" w:type="dxa"/>
            <w:gridSpan w:val="2"/>
          </w:tcPr>
          <w:p w:rsidR="003E311F" w:rsidRPr="00515D00" w:rsidRDefault="003E311F" w:rsidP="007A358B">
            <w:pPr>
              <w:autoSpaceDE w:val="0"/>
              <w:autoSpaceDN w:val="0"/>
              <w:adjustRightInd w:val="0"/>
              <w:spacing w:before="60" w:after="60"/>
              <w:rPr>
                <w:rFonts w:eastAsia="MS Mincho"/>
                <w:sz w:val="16"/>
                <w:szCs w:val="16"/>
                <w:lang w:eastAsia="ja-JP"/>
              </w:rPr>
            </w:pPr>
            <w:r w:rsidRPr="00515D00">
              <w:rPr>
                <w:rFonts w:eastAsia="MS Mincho"/>
                <w:sz w:val="16"/>
                <w:szCs w:val="16"/>
                <w:lang w:eastAsia="ja-JP"/>
              </w:rPr>
              <w:t xml:space="preserve">Curso de formación sobre gestión de P.I. y formulación y aplicación de planes de oficina de P.I. basados en resultados </w:t>
            </w:r>
          </w:p>
        </w:tc>
        <w:tc>
          <w:tcPr>
            <w:tcW w:w="1177" w:type="dxa"/>
            <w:gridSpan w:val="2"/>
          </w:tcPr>
          <w:p w:rsidR="003E311F" w:rsidRPr="00515D00" w:rsidRDefault="003E311F" w:rsidP="007A358B">
            <w:pPr>
              <w:spacing w:before="60" w:after="60"/>
              <w:rPr>
                <w:rFonts w:eastAsia="MS Mincho"/>
                <w:sz w:val="16"/>
                <w:szCs w:val="16"/>
                <w:lang w:eastAsia="ja-JP"/>
              </w:rPr>
            </w:pPr>
            <w:r w:rsidRPr="00515D00">
              <w:rPr>
                <w:rFonts w:eastAsia="MS Mincho"/>
                <w:sz w:val="16"/>
                <w:szCs w:val="16"/>
                <w:lang w:eastAsia="ja-JP"/>
              </w:rPr>
              <w:t>6 a 13 de febrero de 2015</w:t>
            </w:r>
          </w:p>
        </w:tc>
        <w:tc>
          <w:tcPr>
            <w:tcW w:w="1985" w:type="dxa"/>
            <w:gridSpan w:val="2"/>
          </w:tcPr>
          <w:p w:rsidR="003E311F" w:rsidRPr="00515D00" w:rsidRDefault="003E311F" w:rsidP="007A358B">
            <w:pPr>
              <w:autoSpaceDE w:val="0"/>
              <w:autoSpaceDN w:val="0"/>
              <w:adjustRightInd w:val="0"/>
              <w:spacing w:before="60" w:after="60"/>
              <w:rPr>
                <w:rFonts w:eastAsia="MS Mincho"/>
                <w:color w:val="000000"/>
                <w:sz w:val="16"/>
                <w:szCs w:val="16"/>
                <w:lang w:eastAsia="ja-JP"/>
              </w:rPr>
            </w:pPr>
            <w:r w:rsidRPr="00515D00">
              <w:rPr>
                <w:rFonts w:eastAsia="MS Mincho"/>
                <w:color w:val="000000"/>
                <w:sz w:val="16"/>
                <w:szCs w:val="16"/>
                <w:lang w:eastAsia="ja-JP"/>
              </w:rPr>
              <w:t xml:space="preserve">Japón/ Bangladesh, Brasil, Brunei Darussalam, Camboya, Chile, India, Indonesia, República Democrática Popular Lao, Malasia, México, Marruecos, Myanmar, Nigeria, Pakistán, Perú, Filipinas, Singapur, Sudáfrica, Tailandia y </w:t>
            </w:r>
            <w:proofErr w:type="spellStart"/>
            <w:r w:rsidRPr="00515D00">
              <w:rPr>
                <w:rFonts w:eastAsia="MS Mincho"/>
                <w:color w:val="000000"/>
                <w:sz w:val="16"/>
                <w:szCs w:val="16"/>
                <w:lang w:eastAsia="ja-JP"/>
              </w:rPr>
              <w:t>Viet</w:t>
            </w:r>
            <w:proofErr w:type="spellEnd"/>
            <w:r w:rsidRPr="00515D00">
              <w:rPr>
                <w:rFonts w:eastAsia="MS Mincho"/>
                <w:color w:val="000000"/>
                <w:sz w:val="16"/>
                <w:szCs w:val="16"/>
                <w:lang w:eastAsia="ja-JP"/>
              </w:rPr>
              <w:t xml:space="preserve"> </w:t>
            </w:r>
            <w:proofErr w:type="spellStart"/>
            <w:r w:rsidRPr="00515D00">
              <w:rPr>
                <w:rFonts w:eastAsia="MS Mincho"/>
                <w:color w:val="000000"/>
                <w:sz w:val="16"/>
                <w:szCs w:val="16"/>
                <w:lang w:eastAsia="ja-JP"/>
              </w:rPr>
              <w:t>Nam</w:t>
            </w:r>
            <w:proofErr w:type="spellEnd"/>
          </w:p>
        </w:tc>
        <w:tc>
          <w:tcPr>
            <w:tcW w:w="4819" w:type="dxa"/>
          </w:tcPr>
          <w:p w:rsidR="003E311F" w:rsidRPr="00515D00" w:rsidRDefault="003E311F" w:rsidP="007A358B">
            <w:pPr>
              <w:autoSpaceDE w:val="0"/>
              <w:autoSpaceDN w:val="0"/>
              <w:adjustRightInd w:val="0"/>
              <w:spacing w:before="60" w:after="60"/>
              <w:ind w:left="-108"/>
              <w:rPr>
                <w:rFonts w:eastAsia="MS Mincho"/>
                <w:sz w:val="16"/>
                <w:szCs w:val="16"/>
                <w:lang w:eastAsia="ja-JP"/>
              </w:rPr>
            </w:pPr>
            <w:r w:rsidRPr="00515D00">
              <w:rPr>
                <w:rFonts w:eastAsia="MS Mincho"/>
                <w:sz w:val="16"/>
                <w:szCs w:val="16"/>
                <w:lang w:eastAsia="ja-JP"/>
              </w:rPr>
              <w:t>i) Ampliar los conocimientos de los participantes sobre prácticas modernas de gestión de P.I., entre ellas sobre la forma de elaborar políticas, estrategias y planes para el fortalecimiento de la capacidad de los examinadores de patentes</w:t>
            </w:r>
            <w:r>
              <w:rPr>
                <w:rFonts w:eastAsia="MS Mincho"/>
                <w:sz w:val="16"/>
                <w:szCs w:val="16"/>
                <w:lang w:eastAsia="ja-JP"/>
              </w:rPr>
              <w:t xml:space="preserve">; </w:t>
            </w:r>
            <w:r w:rsidRPr="00515D00">
              <w:rPr>
                <w:rFonts w:eastAsia="MS Mincho"/>
                <w:sz w:val="16"/>
                <w:szCs w:val="16"/>
                <w:lang w:eastAsia="ja-JP"/>
              </w:rPr>
              <w:t xml:space="preserve"> y ii) mejorar la capacidad de los participantes de formular, aplicar y evaluar planes de oficina de P.I. sujetos a plazo, orientados a resultados y con efectos mensurables.</w:t>
            </w:r>
          </w:p>
        </w:tc>
      </w:tr>
      <w:tr w:rsidR="003E311F" w:rsidRPr="00092F2E" w:rsidTr="007A358B">
        <w:trPr>
          <w:cantSplit/>
          <w:trHeight w:val="315"/>
        </w:trPr>
        <w:tc>
          <w:tcPr>
            <w:tcW w:w="1800" w:type="dxa"/>
            <w:gridSpan w:val="2"/>
          </w:tcPr>
          <w:p w:rsidR="003E311F" w:rsidRPr="00515D00" w:rsidRDefault="003E311F" w:rsidP="007A358B">
            <w:pPr>
              <w:autoSpaceDE w:val="0"/>
              <w:autoSpaceDN w:val="0"/>
              <w:adjustRightInd w:val="0"/>
              <w:spacing w:before="60" w:after="60"/>
              <w:rPr>
                <w:rFonts w:eastAsia="MS Mincho"/>
                <w:sz w:val="16"/>
                <w:szCs w:val="16"/>
                <w:lang w:eastAsia="ja-JP"/>
              </w:rPr>
            </w:pPr>
            <w:r w:rsidRPr="00515D00">
              <w:rPr>
                <w:rFonts w:eastAsia="MS Mincho"/>
                <w:sz w:val="16"/>
                <w:szCs w:val="16"/>
                <w:lang w:eastAsia="ja-JP"/>
              </w:rPr>
              <w:t>Curso de formación para examinadores de patentes sobre tecnologías específicas (productos farmacéuticos)</w:t>
            </w:r>
          </w:p>
        </w:tc>
        <w:tc>
          <w:tcPr>
            <w:tcW w:w="1177" w:type="dxa"/>
            <w:gridSpan w:val="2"/>
          </w:tcPr>
          <w:p w:rsidR="003E311F" w:rsidRPr="00515D00" w:rsidRDefault="003E311F" w:rsidP="007A358B">
            <w:pPr>
              <w:spacing w:before="60" w:after="60"/>
              <w:rPr>
                <w:rFonts w:eastAsia="MS Mincho"/>
                <w:sz w:val="16"/>
                <w:szCs w:val="16"/>
                <w:lang w:eastAsia="ja-JP"/>
              </w:rPr>
            </w:pPr>
            <w:r w:rsidRPr="00515D00">
              <w:rPr>
                <w:rFonts w:eastAsia="MS Mincho"/>
                <w:sz w:val="16"/>
                <w:szCs w:val="16"/>
                <w:lang w:eastAsia="ja-JP"/>
              </w:rPr>
              <w:t>19 a 26 de febrero de 2015</w:t>
            </w:r>
          </w:p>
        </w:tc>
        <w:tc>
          <w:tcPr>
            <w:tcW w:w="1985" w:type="dxa"/>
            <w:gridSpan w:val="2"/>
          </w:tcPr>
          <w:p w:rsidR="003E311F" w:rsidRPr="00515D00" w:rsidRDefault="003E311F" w:rsidP="007A358B">
            <w:pPr>
              <w:autoSpaceDE w:val="0"/>
              <w:autoSpaceDN w:val="0"/>
              <w:adjustRightInd w:val="0"/>
              <w:spacing w:before="60" w:after="60"/>
              <w:rPr>
                <w:rFonts w:eastAsia="MS Mincho"/>
                <w:color w:val="000000"/>
                <w:sz w:val="16"/>
                <w:szCs w:val="16"/>
                <w:lang w:eastAsia="ja-JP"/>
              </w:rPr>
            </w:pPr>
            <w:r w:rsidRPr="00515D00">
              <w:rPr>
                <w:rFonts w:eastAsia="MS Mincho"/>
                <w:color w:val="000000"/>
                <w:sz w:val="16"/>
                <w:szCs w:val="16"/>
                <w:lang w:eastAsia="ja-JP"/>
              </w:rPr>
              <w:t xml:space="preserve">Japón/ China, Egipto, India, Indonesia, Malasia, Pakistán, Filipinas, Tailandia, Turquía, </w:t>
            </w:r>
            <w:proofErr w:type="spellStart"/>
            <w:r w:rsidRPr="00515D00">
              <w:rPr>
                <w:rFonts w:eastAsia="MS Mincho"/>
                <w:color w:val="000000"/>
                <w:sz w:val="16"/>
                <w:szCs w:val="16"/>
                <w:lang w:eastAsia="ja-JP"/>
              </w:rPr>
              <w:t>Viet</w:t>
            </w:r>
            <w:proofErr w:type="spellEnd"/>
            <w:r w:rsidRPr="00515D00">
              <w:rPr>
                <w:rFonts w:eastAsia="MS Mincho"/>
                <w:color w:val="000000"/>
                <w:sz w:val="16"/>
                <w:szCs w:val="16"/>
                <w:lang w:eastAsia="ja-JP"/>
              </w:rPr>
              <w:t xml:space="preserve"> </w:t>
            </w:r>
            <w:proofErr w:type="spellStart"/>
            <w:r w:rsidRPr="00515D00">
              <w:rPr>
                <w:rFonts w:eastAsia="MS Mincho"/>
                <w:color w:val="000000"/>
                <w:sz w:val="16"/>
                <w:szCs w:val="16"/>
                <w:lang w:eastAsia="ja-JP"/>
              </w:rPr>
              <w:t>Nam</w:t>
            </w:r>
            <w:proofErr w:type="spellEnd"/>
            <w:r w:rsidRPr="00515D00">
              <w:rPr>
                <w:rFonts w:eastAsia="MS Mincho"/>
                <w:color w:val="000000"/>
                <w:sz w:val="16"/>
                <w:szCs w:val="16"/>
                <w:lang w:eastAsia="ja-JP"/>
              </w:rPr>
              <w:t xml:space="preserve"> y la ARIPO</w:t>
            </w:r>
          </w:p>
        </w:tc>
        <w:tc>
          <w:tcPr>
            <w:tcW w:w="4819" w:type="dxa"/>
          </w:tcPr>
          <w:p w:rsidR="003E311F" w:rsidRPr="00515D00" w:rsidRDefault="003E311F" w:rsidP="007A358B">
            <w:pPr>
              <w:autoSpaceDE w:val="0"/>
              <w:autoSpaceDN w:val="0"/>
              <w:adjustRightInd w:val="0"/>
              <w:spacing w:before="60" w:after="60"/>
              <w:ind w:left="-108"/>
              <w:rPr>
                <w:rFonts w:eastAsia="MS Mincho"/>
                <w:sz w:val="16"/>
                <w:szCs w:val="16"/>
                <w:lang w:eastAsia="ja-JP"/>
              </w:rPr>
            </w:pPr>
            <w:r w:rsidRPr="00515D00">
              <w:rPr>
                <w:rFonts w:eastAsia="MS Mincho"/>
                <w:sz w:val="16"/>
                <w:szCs w:val="16"/>
                <w:lang w:eastAsia="ja-JP"/>
              </w:rPr>
              <w:t>i) Poner al día a los participantes en las tendencias actuales y las prácticas modernas de examen de patentes relacionadas con los productos farmacéuticos</w:t>
            </w:r>
            <w:r>
              <w:rPr>
                <w:rFonts w:eastAsia="MS Mincho"/>
                <w:sz w:val="16"/>
                <w:szCs w:val="16"/>
                <w:lang w:eastAsia="ja-JP"/>
              </w:rPr>
              <w:t xml:space="preserve">; </w:t>
            </w:r>
            <w:r w:rsidRPr="00515D00">
              <w:rPr>
                <w:rFonts w:eastAsia="MS Mincho"/>
                <w:sz w:val="16"/>
                <w:szCs w:val="16"/>
                <w:lang w:eastAsia="ja-JP"/>
              </w:rPr>
              <w:t xml:space="preserve"> ii) impartir conocimientos prácticos sobre met</w:t>
            </w:r>
            <w:r>
              <w:rPr>
                <w:rFonts w:eastAsia="MS Mincho"/>
                <w:sz w:val="16"/>
                <w:szCs w:val="16"/>
                <w:lang w:eastAsia="ja-JP"/>
              </w:rPr>
              <w:t xml:space="preserve">odologías de examen de patentes; </w:t>
            </w:r>
            <w:r w:rsidRPr="00515D00">
              <w:rPr>
                <w:rFonts w:eastAsia="MS Mincho"/>
                <w:sz w:val="16"/>
                <w:szCs w:val="16"/>
                <w:lang w:eastAsia="ja-JP"/>
              </w:rPr>
              <w:t xml:space="preserve"> iii) ofrecer la oportunidad de compartir experiencias y opiniones entre los participantes en asuntos relativos al examen de patentes</w:t>
            </w:r>
            <w:r>
              <w:rPr>
                <w:rFonts w:eastAsia="MS Mincho"/>
                <w:sz w:val="16"/>
                <w:szCs w:val="16"/>
                <w:lang w:eastAsia="ja-JP"/>
              </w:rPr>
              <w:t xml:space="preserve">; </w:t>
            </w:r>
            <w:r w:rsidRPr="00515D00">
              <w:rPr>
                <w:rFonts w:eastAsia="MS Mincho"/>
                <w:sz w:val="16"/>
                <w:szCs w:val="16"/>
                <w:lang w:eastAsia="ja-JP"/>
              </w:rPr>
              <w:t xml:space="preserve"> y iv) fomentar las capacidades profesionales de los participantes para el examen de patentes de productos farmacéuticos.</w:t>
            </w:r>
          </w:p>
        </w:tc>
      </w:tr>
      <w:tr w:rsidR="003E311F" w:rsidRPr="00092F2E" w:rsidTr="007A358B">
        <w:trPr>
          <w:cantSplit/>
          <w:trHeight w:val="315"/>
        </w:trPr>
        <w:tc>
          <w:tcPr>
            <w:tcW w:w="1800" w:type="dxa"/>
            <w:gridSpan w:val="2"/>
          </w:tcPr>
          <w:p w:rsidR="003E311F" w:rsidRPr="00515D00" w:rsidRDefault="003E311F" w:rsidP="007A358B">
            <w:pPr>
              <w:autoSpaceDE w:val="0"/>
              <w:autoSpaceDN w:val="0"/>
              <w:adjustRightInd w:val="0"/>
              <w:spacing w:before="60" w:after="60"/>
              <w:rPr>
                <w:rFonts w:eastAsia="MS Mincho"/>
                <w:sz w:val="16"/>
                <w:szCs w:val="16"/>
                <w:lang w:eastAsia="ja-JP"/>
              </w:rPr>
            </w:pPr>
            <w:r w:rsidRPr="00515D00">
              <w:rPr>
                <w:rFonts w:eastAsia="MS Mincho"/>
                <w:sz w:val="16"/>
                <w:szCs w:val="16"/>
                <w:lang w:eastAsia="ja-JP"/>
              </w:rPr>
              <w:t xml:space="preserve">Curso de formación en el uso de las tecnologías de la información para la administración de la propiedad industrial </w:t>
            </w:r>
          </w:p>
        </w:tc>
        <w:tc>
          <w:tcPr>
            <w:tcW w:w="1177" w:type="dxa"/>
            <w:gridSpan w:val="2"/>
          </w:tcPr>
          <w:p w:rsidR="003E311F" w:rsidRPr="00515D00" w:rsidRDefault="003E311F" w:rsidP="007A358B">
            <w:pPr>
              <w:spacing w:before="60" w:after="60"/>
              <w:rPr>
                <w:rFonts w:eastAsia="MS Mincho"/>
                <w:sz w:val="16"/>
                <w:szCs w:val="16"/>
                <w:lang w:eastAsia="ja-JP"/>
              </w:rPr>
            </w:pPr>
            <w:r w:rsidRPr="00515D00">
              <w:rPr>
                <w:rFonts w:eastAsia="MS Mincho"/>
                <w:sz w:val="16"/>
                <w:szCs w:val="16"/>
                <w:lang w:eastAsia="ja-JP"/>
              </w:rPr>
              <w:t>26 de octubre a 6 de noviembre de 2015</w:t>
            </w:r>
          </w:p>
        </w:tc>
        <w:tc>
          <w:tcPr>
            <w:tcW w:w="1985" w:type="dxa"/>
            <w:gridSpan w:val="2"/>
          </w:tcPr>
          <w:p w:rsidR="003E311F" w:rsidRPr="00515D00" w:rsidRDefault="003E311F" w:rsidP="007A358B">
            <w:pPr>
              <w:autoSpaceDE w:val="0"/>
              <w:autoSpaceDN w:val="0"/>
              <w:adjustRightInd w:val="0"/>
              <w:spacing w:before="60" w:after="60"/>
              <w:rPr>
                <w:rFonts w:eastAsia="MS Mincho"/>
                <w:color w:val="000000"/>
                <w:sz w:val="16"/>
                <w:szCs w:val="16"/>
                <w:lang w:eastAsia="ja-JP"/>
              </w:rPr>
            </w:pPr>
            <w:r w:rsidRPr="00515D00">
              <w:rPr>
                <w:rFonts w:eastAsia="MS Mincho"/>
                <w:color w:val="000000"/>
                <w:sz w:val="16"/>
                <w:szCs w:val="16"/>
                <w:lang w:eastAsia="ja-JP"/>
              </w:rPr>
              <w:t xml:space="preserve">Japón/ Argelia, Argentina, Brunei Darussalam, Camboya, Chile, India, Indonesia, República Democrática Popular Lao, Malasia, México, Myanmar, </w:t>
            </w:r>
            <w:proofErr w:type="spellStart"/>
            <w:r w:rsidRPr="00515D00">
              <w:rPr>
                <w:rFonts w:eastAsia="MS Mincho"/>
                <w:color w:val="000000"/>
                <w:sz w:val="16"/>
                <w:szCs w:val="16"/>
                <w:lang w:eastAsia="ja-JP"/>
              </w:rPr>
              <w:t>Papua</w:t>
            </w:r>
            <w:proofErr w:type="spellEnd"/>
            <w:r w:rsidRPr="00515D00">
              <w:rPr>
                <w:rFonts w:eastAsia="MS Mincho"/>
                <w:color w:val="000000"/>
                <w:sz w:val="16"/>
                <w:szCs w:val="16"/>
                <w:lang w:eastAsia="ja-JP"/>
              </w:rPr>
              <w:t xml:space="preserve"> Nueva Guinea, Perú, Filipinas, Sudáfrica, Tailandia, </w:t>
            </w:r>
            <w:proofErr w:type="spellStart"/>
            <w:r w:rsidRPr="00515D00">
              <w:rPr>
                <w:rFonts w:eastAsia="MS Mincho"/>
                <w:color w:val="000000"/>
                <w:sz w:val="16"/>
                <w:szCs w:val="16"/>
                <w:lang w:eastAsia="ja-JP"/>
              </w:rPr>
              <w:t>Viet</w:t>
            </w:r>
            <w:proofErr w:type="spellEnd"/>
            <w:r w:rsidRPr="00515D00">
              <w:rPr>
                <w:rFonts w:eastAsia="MS Mincho"/>
                <w:color w:val="000000"/>
                <w:sz w:val="16"/>
                <w:szCs w:val="16"/>
                <w:lang w:eastAsia="ja-JP"/>
              </w:rPr>
              <w:t> </w:t>
            </w:r>
            <w:proofErr w:type="spellStart"/>
            <w:r w:rsidRPr="00515D00">
              <w:rPr>
                <w:rFonts w:eastAsia="MS Mincho"/>
                <w:color w:val="000000"/>
                <w:sz w:val="16"/>
                <w:szCs w:val="16"/>
                <w:lang w:eastAsia="ja-JP"/>
              </w:rPr>
              <w:t>Nam</w:t>
            </w:r>
            <w:proofErr w:type="spellEnd"/>
            <w:r w:rsidRPr="00515D00">
              <w:rPr>
                <w:rFonts w:eastAsia="MS Mincho"/>
                <w:color w:val="000000"/>
                <w:sz w:val="16"/>
                <w:szCs w:val="16"/>
                <w:lang w:eastAsia="ja-JP"/>
              </w:rPr>
              <w:t xml:space="preserve"> y la ARIPO</w:t>
            </w:r>
          </w:p>
        </w:tc>
        <w:tc>
          <w:tcPr>
            <w:tcW w:w="4819" w:type="dxa"/>
          </w:tcPr>
          <w:p w:rsidR="003E311F" w:rsidRPr="00515D00" w:rsidRDefault="003E311F" w:rsidP="007A358B">
            <w:pPr>
              <w:autoSpaceDE w:val="0"/>
              <w:autoSpaceDN w:val="0"/>
              <w:adjustRightInd w:val="0"/>
              <w:spacing w:before="60" w:after="60"/>
              <w:ind w:left="-108"/>
              <w:rPr>
                <w:rFonts w:eastAsia="MS Mincho"/>
                <w:sz w:val="16"/>
                <w:szCs w:val="16"/>
                <w:lang w:eastAsia="ja-JP"/>
              </w:rPr>
            </w:pPr>
            <w:r w:rsidRPr="00515D00">
              <w:rPr>
                <w:rFonts w:eastAsia="MS Mincho"/>
                <w:sz w:val="16"/>
                <w:szCs w:val="16"/>
                <w:lang w:eastAsia="ja-JP"/>
              </w:rPr>
              <w:t>i) Familiarizar a los participantes con las novedades recientes en tecnologías de la información para la administración de la propiedad industrial, la difusión de información sobre propiedad industrial y el s</w:t>
            </w:r>
            <w:r>
              <w:rPr>
                <w:rFonts w:eastAsia="MS Mincho"/>
                <w:sz w:val="16"/>
                <w:szCs w:val="16"/>
                <w:lang w:eastAsia="ja-JP"/>
              </w:rPr>
              <w:t xml:space="preserve">uministro de servicios en línea; </w:t>
            </w:r>
            <w:r w:rsidRPr="00515D00">
              <w:rPr>
                <w:rFonts w:eastAsia="MS Mincho"/>
                <w:sz w:val="16"/>
                <w:szCs w:val="16"/>
                <w:lang w:eastAsia="ja-JP"/>
              </w:rPr>
              <w:t xml:space="preserve"> ii) impartir conocimientos prácticos sobre las herramientas y tecnologías más recientes por medio de sesiones interactivas, así como mediante visitas a entidades privadas que resulten pertinentes</w:t>
            </w:r>
            <w:r>
              <w:rPr>
                <w:rFonts w:eastAsia="MS Mincho"/>
                <w:sz w:val="16"/>
                <w:szCs w:val="16"/>
                <w:lang w:eastAsia="ja-JP"/>
              </w:rPr>
              <w:t xml:space="preserve">; </w:t>
            </w:r>
            <w:r w:rsidRPr="00515D00">
              <w:rPr>
                <w:rFonts w:eastAsia="MS Mincho"/>
                <w:sz w:val="16"/>
                <w:szCs w:val="16"/>
                <w:lang w:eastAsia="ja-JP"/>
              </w:rPr>
              <w:t xml:space="preserve"> y iii) proporcionar a los participantes la oportunidad de intercambiar opiniones e inquietudes sobre cuestiones relacionadas con el tema del curso y fomentar sus capacidades profesionales para la planificación y la gestión del uso de las tecnologías de la información en la administración de la propiedad industrial.</w:t>
            </w:r>
          </w:p>
        </w:tc>
      </w:tr>
      <w:tr w:rsidR="003E311F" w:rsidRPr="00092F2E" w:rsidTr="007A358B">
        <w:trPr>
          <w:cantSplit/>
          <w:trHeight w:val="315"/>
        </w:trPr>
        <w:tc>
          <w:tcPr>
            <w:tcW w:w="1800" w:type="dxa"/>
            <w:gridSpan w:val="2"/>
          </w:tcPr>
          <w:p w:rsidR="003E311F" w:rsidRPr="00515D00" w:rsidRDefault="003E311F" w:rsidP="007A358B">
            <w:pPr>
              <w:autoSpaceDE w:val="0"/>
              <w:autoSpaceDN w:val="0"/>
              <w:adjustRightInd w:val="0"/>
              <w:spacing w:before="60" w:after="60"/>
              <w:rPr>
                <w:rFonts w:eastAsia="MS Mincho"/>
                <w:sz w:val="16"/>
                <w:szCs w:val="16"/>
                <w:lang w:eastAsia="ja-JP"/>
              </w:rPr>
            </w:pPr>
            <w:r w:rsidRPr="00515D00">
              <w:rPr>
                <w:rFonts w:eastAsia="MS Mincho"/>
                <w:sz w:val="16"/>
                <w:szCs w:val="16"/>
                <w:lang w:eastAsia="ja-JP"/>
              </w:rPr>
              <w:t>Curso de formación sobre la observancia de los derechos de propiedad intelectual</w:t>
            </w:r>
          </w:p>
        </w:tc>
        <w:tc>
          <w:tcPr>
            <w:tcW w:w="1177" w:type="dxa"/>
            <w:gridSpan w:val="2"/>
          </w:tcPr>
          <w:p w:rsidR="003E311F" w:rsidRPr="00515D00" w:rsidRDefault="003E311F" w:rsidP="007A358B">
            <w:pPr>
              <w:spacing w:before="60" w:after="60"/>
              <w:rPr>
                <w:rFonts w:eastAsia="MS Mincho"/>
                <w:sz w:val="16"/>
                <w:szCs w:val="16"/>
                <w:lang w:eastAsia="ja-JP"/>
              </w:rPr>
            </w:pPr>
            <w:r w:rsidRPr="00515D00">
              <w:rPr>
                <w:rFonts w:eastAsia="MS Mincho"/>
                <w:sz w:val="16"/>
                <w:szCs w:val="16"/>
                <w:lang w:eastAsia="ja-JP"/>
              </w:rPr>
              <w:t>30 de noviembre a 10 de diciembre de 2015</w:t>
            </w:r>
          </w:p>
        </w:tc>
        <w:tc>
          <w:tcPr>
            <w:tcW w:w="1985" w:type="dxa"/>
            <w:gridSpan w:val="2"/>
          </w:tcPr>
          <w:p w:rsidR="003E311F" w:rsidRPr="00515D00" w:rsidRDefault="003E311F" w:rsidP="007A358B">
            <w:pPr>
              <w:autoSpaceDE w:val="0"/>
              <w:autoSpaceDN w:val="0"/>
              <w:adjustRightInd w:val="0"/>
              <w:spacing w:before="60" w:after="60"/>
              <w:rPr>
                <w:rFonts w:eastAsia="MS Mincho"/>
                <w:color w:val="000000"/>
                <w:sz w:val="16"/>
                <w:szCs w:val="16"/>
                <w:lang w:eastAsia="ja-JP"/>
              </w:rPr>
            </w:pPr>
            <w:r w:rsidRPr="00515D00">
              <w:rPr>
                <w:rFonts w:eastAsia="MS Mincho"/>
                <w:color w:val="000000"/>
                <w:sz w:val="16"/>
                <w:szCs w:val="16"/>
                <w:lang w:eastAsia="ja-JP"/>
              </w:rPr>
              <w:t xml:space="preserve">Japón/ China, Indonesia, Malasia, Filipinas, Tailandia, Emiratos Árabes Unidos y </w:t>
            </w:r>
            <w:proofErr w:type="spellStart"/>
            <w:r w:rsidRPr="00515D00">
              <w:rPr>
                <w:rFonts w:eastAsia="MS Mincho"/>
                <w:color w:val="000000"/>
                <w:sz w:val="16"/>
                <w:szCs w:val="16"/>
                <w:lang w:eastAsia="ja-JP"/>
              </w:rPr>
              <w:t>Viet</w:t>
            </w:r>
            <w:proofErr w:type="spellEnd"/>
            <w:r w:rsidRPr="00515D00">
              <w:rPr>
                <w:rFonts w:eastAsia="MS Mincho"/>
                <w:color w:val="000000"/>
                <w:sz w:val="16"/>
                <w:szCs w:val="16"/>
                <w:lang w:eastAsia="ja-JP"/>
              </w:rPr>
              <w:t xml:space="preserve"> </w:t>
            </w:r>
            <w:proofErr w:type="spellStart"/>
            <w:r w:rsidRPr="00515D00">
              <w:rPr>
                <w:rFonts w:eastAsia="MS Mincho"/>
                <w:color w:val="000000"/>
                <w:sz w:val="16"/>
                <w:szCs w:val="16"/>
                <w:lang w:eastAsia="ja-JP"/>
              </w:rPr>
              <w:t>Nam</w:t>
            </w:r>
            <w:proofErr w:type="spellEnd"/>
          </w:p>
        </w:tc>
        <w:tc>
          <w:tcPr>
            <w:tcW w:w="4819" w:type="dxa"/>
          </w:tcPr>
          <w:p w:rsidR="003E311F" w:rsidRPr="00515D00" w:rsidRDefault="003E311F" w:rsidP="007A358B">
            <w:pPr>
              <w:tabs>
                <w:tab w:val="left" w:pos="403"/>
              </w:tabs>
              <w:spacing w:before="60" w:after="60"/>
              <w:ind w:left="-108"/>
              <w:rPr>
                <w:rFonts w:eastAsia="MS Mincho"/>
                <w:sz w:val="16"/>
                <w:szCs w:val="16"/>
                <w:lang w:eastAsia="ja-JP"/>
              </w:rPr>
            </w:pPr>
            <w:r w:rsidRPr="00515D00">
              <w:rPr>
                <w:rFonts w:eastAsia="MS Mincho"/>
                <w:sz w:val="16"/>
                <w:szCs w:val="16"/>
                <w:lang w:eastAsia="ja-JP"/>
              </w:rPr>
              <w:t xml:space="preserve">i) Fomentar el respeto por la P.I. a través del examen y el debate de las normas mínimas y las flexibilidades en la observancia de la P.I. contenidas en la </w:t>
            </w:r>
            <w:r>
              <w:rPr>
                <w:rFonts w:eastAsia="MS Mincho"/>
                <w:sz w:val="16"/>
                <w:szCs w:val="16"/>
                <w:lang w:eastAsia="ja-JP"/>
              </w:rPr>
              <w:t>p</w:t>
            </w:r>
            <w:r w:rsidRPr="00515D00">
              <w:rPr>
                <w:rFonts w:eastAsia="MS Mincho"/>
                <w:sz w:val="16"/>
                <w:szCs w:val="16"/>
                <w:lang w:eastAsia="ja-JP"/>
              </w:rPr>
              <w:t xml:space="preserve">arte </w:t>
            </w:r>
            <w:r>
              <w:rPr>
                <w:rFonts w:eastAsia="MS Mincho"/>
                <w:sz w:val="16"/>
                <w:szCs w:val="16"/>
                <w:lang w:eastAsia="ja-JP"/>
              </w:rPr>
              <w:t xml:space="preserve">III del Acuerdo sobre los ADPIC; </w:t>
            </w:r>
            <w:r w:rsidRPr="00515D00">
              <w:rPr>
                <w:rFonts w:eastAsia="MS Mincho"/>
                <w:sz w:val="16"/>
                <w:szCs w:val="16"/>
                <w:lang w:eastAsia="ja-JP"/>
              </w:rPr>
              <w:t xml:space="preserve"> ii) </w:t>
            </w:r>
            <w:r>
              <w:rPr>
                <w:rFonts w:eastAsia="MS Mincho"/>
                <w:sz w:val="16"/>
                <w:szCs w:val="16"/>
                <w:lang w:eastAsia="ja-JP"/>
              </w:rPr>
              <w:t>brindar</w:t>
            </w:r>
            <w:r w:rsidRPr="00515D00">
              <w:rPr>
                <w:rFonts w:eastAsia="MS Mincho"/>
                <w:sz w:val="16"/>
                <w:szCs w:val="16"/>
                <w:lang w:eastAsia="ja-JP"/>
              </w:rPr>
              <w:t xml:space="preserve"> a los participantes la oportunidad de demostrar sus competencias </w:t>
            </w:r>
            <w:r>
              <w:rPr>
                <w:rFonts w:eastAsia="MS Mincho"/>
                <w:sz w:val="16"/>
                <w:szCs w:val="16"/>
                <w:lang w:eastAsia="ja-JP"/>
              </w:rPr>
              <w:t>en la valoración de</w:t>
            </w:r>
            <w:r w:rsidRPr="00515D00">
              <w:rPr>
                <w:rFonts w:eastAsia="MS Mincho"/>
                <w:sz w:val="16"/>
                <w:szCs w:val="16"/>
                <w:lang w:eastAsia="ja-JP"/>
              </w:rPr>
              <w:t xml:space="preserve"> pruebas y </w:t>
            </w:r>
            <w:r>
              <w:rPr>
                <w:rFonts w:eastAsia="MS Mincho"/>
                <w:sz w:val="16"/>
                <w:szCs w:val="16"/>
                <w:lang w:eastAsia="ja-JP"/>
              </w:rPr>
              <w:t>la resolución de</w:t>
            </w:r>
            <w:r w:rsidRPr="00515D00">
              <w:rPr>
                <w:rFonts w:eastAsia="MS Mincho"/>
                <w:sz w:val="16"/>
                <w:szCs w:val="16"/>
                <w:lang w:eastAsia="ja-JP"/>
              </w:rPr>
              <w:t xml:space="preserve"> casos relacionados con la P.I., y evaluar las novedades recientes en jurisprudencia y las cuestiones debatidas por el Comité Ases</w:t>
            </w:r>
            <w:r>
              <w:rPr>
                <w:rFonts w:eastAsia="MS Mincho"/>
                <w:sz w:val="16"/>
                <w:szCs w:val="16"/>
                <w:lang w:eastAsia="ja-JP"/>
              </w:rPr>
              <w:t xml:space="preserve">or sobre Observancia de la OMPI; </w:t>
            </w:r>
            <w:r w:rsidRPr="00515D00">
              <w:rPr>
                <w:rFonts w:eastAsia="MS Mincho"/>
                <w:sz w:val="16"/>
                <w:szCs w:val="16"/>
                <w:lang w:eastAsia="ja-JP"/>
              </w:rPr>
              <w:t xml:space="preserve"> iii) </w:t>
            </w:r>
            <w:r>
              <w:rPr>
                <w:rFonts w:eastAsia="MS Mincho"/>
                <w:sz w:val="16"/>
                <w:szCs w:val="16"/>
                <w:lang w:eastAsia="ja-JP"/>
              </w:rPr>
              <w:t>facilitar</w:t>
            </w:r>
            <w:r w:rsidRPr="00515D00">
              <w:rPr>
                <w:rFonts w:eastAsia="MS Mincho"/>
                <w:sz w:val="16"/>
                <w:szCs w:val="16"/>
                <w:lang w:eastAsia="ja-JP"/>
              </w:rPr>
              <w:t xml:space="preserve"> que los participantes amplíen sus conocimientos sobre cuestiones relativas a la propiedad intelectual y a los sistemas jurisdiccionales</w:t>
            </w:r>
            <w:r>
              <w:rPr>
                <w:rFonts w:eastAsia="MS Mincho"/>
                <w:sz w:val="16"/>
                <w:szCs w:val="16"/>
                <w:lang w:eastAsia="ja-JP"/>
              </w:rPr>
              <w:t xml:space="preserve">; </w:t>
            </w:r>
            <w:r w:rsidRPr="00515D00">
              <w:rPr>
                <w:rFonts w:eastAsia="MS Mincho"/>
                <w:sz w:val="16"/>
                <w:szCs w:val="16"/>
                <w:lang w:eastAsia="ja-JP"/>
              </w:rPr>
              <w:t xml:space="preserve"> iv) </w:t>
            </w:r>
            <w:r>
              <w:rPr>
                <w:rFonts w:eastAsia="MS Mincho"/>
                <w:sz w:val="16"/>
                <w:szCs w:val="16"/>
                <w:lang w:eastAsia="ja-JP"/>
              </w:rPr>
              <w:t>facilitar</w:t>
            </w:r>
            <w:r w:rsidRPr="00515D00">
              <w:rPr>
                <w:rFonts w:eastAsia="MS Mincho"/>
                <w:sz w:val="16"/>
                <w:szCs w:val="16"/>
                <w:lang w:eastAsia="ja-JP"/>
              </w:rPr>
              <w:t xml:space="preserve"> que profundicen su comprensión de los procedimientos relativos a los litigios y los métodos de en</w:t>
            </w:r>
            <w:r>
              <w:rPr>
                <w:rFonts w:eastAsia="MS Mincho"/>
                <w:sz w:val="16"/>
                <w:szCs w:val="16"/>
                <w:lang w:eastAsia="ja-JP"/>
              </w:rPr>
              <w:t xml:space="preserve">juiciamiento en materia de P.I.; </w:t>
            </w:r>
            <w:r w:rsidRPr="00515D00">
              <w:rPr>
                <w:rFonts w:eastAsia="MS Mincho"/>
                <w:sz w:val="16"/>
                <w:szCs w:val="16"/>
                <w:lang w:eastAsia="ja-JP"/>
              </w:rPr>
              <w:t xml:space="preserve"> y v) aumentar su capacidad profesional en relación con los litigios por infracciones.</w:t>
            </w:r>
          </w:p>
        </w:tc>
      </w:tr>
      <w:tr w:rsidR="003E311F" w:rsidRPr="00092F2E" w:rsidTr="007A358B">
        <w:trPr>
          <w:cantSplit/>
          <w:trHeight w:val="315"/>
        </w:trPr>
        <w:tc>
          <w:tcPr>
            <w:tcW w:w="1800" w:type="dxa"/>
            <w:gridSpan w:val="2"/>
            <w:tcBorders>
              <w:bottom w:val="nil"/>
            </w:tcBorders>
          </w:tcPr>
          <w:p w:rsidR="003E311F" w:rsidRPr="00515D00" w:rsidRDefault="003E311F" w:rsidP="007A358B">
            <w:pPr>
              <w:autoSpaceDE w:val="0"/>
              <w:autoSpaceDN w:val="0"/>
              <w:adjustRightInd w:val="0"/>
              <w:spacing w:before="60" w:after="60"/>
              <w:rPr>
                <w:rFonts w:eastAsia="MS Mincho"/>
                <w:sz w:val="16"/>
                <w:szCs w:val="16"/>
                <w:lang w:eastAsia="ja-JP"/>
              </w:rPr>
            </w:pPr>
            <w:r w:rsidRPr="00515D00">
              <w:rPr>
                <w:rFonts w:eastAsia="MS Mincho"/>
                <w:sz w:val="16"/>
                <w:szCs w:val="16"/>
                <w:lang w:eastAsia="ja-JP"/>
              </w:rPr>
              <w:lastRenderedPageBreak/>
              <w:t>Becas de estudios superiores de larga duración en la Oficina Japonesa de Patentes</w:t>
            </w:r>
          </w:p>
        </w:tc>
        <w:tc>
          <w:tcPr>
            <w:tcW w:w="1177" w:type="dxa"/>
            <w:gridSpan w:val="2"/>
            <w:tcBorders>
              <w:bottom w:val="nil"/>
            </w:tcBorders>
          </w:tcPr>
          <w:p w:rsidR="003E311F" w:rsidRPr="00515D00" w:rsidRDefault="003E311F" w:rsidP="007A358B">
            <w:pPr>
              <w:spacing w:before="60" w:after="60"/>
              <w:rPr>
                <w:rFonts w:eastAsia="MS Mincho"/>
                <w:sz w:val="16"/>
                <w:szCs w:val="16"/>
                <w:lang w:eastAsia="ja-JP"/>
              </w:rPr>
            </w:pPr>
            <w:r w:rsidRPr="00515D00">
              <w:rPr>
                <w:rFonts w:eastAsia="MS Mincho"/>
                <w:sz w:val="16"/>
                <w:szCs w:val="16"/>
                <w:lang w:eastAsia="ja-JP"/>
              </w:rPr>
              <w:t>Mayo a septiembre de 2015</w:t>
            </w:r>
          </w:p>
        </w:tc>
        <w:tc>
          <w:tcPr>
            <w:tcW w:w="1985" w:type="dxa"/>
            <w:gridSpan w:val="2"/>
            <w:tcBorders>
              <w:bottom w:val="nil"/>
            </w:tcBorders>
          </w:tcPr>
          <w:p w:rsidR="003E311F" w:rsidRPr="00515D00" w:rsidRDefault="003E311F" w:rsidP="007A358B">
            <w:pPr>
              <w:autoSpaceDE w:val="0"/>
              <w:autoSpaceDN w:val="0"/>
              <w:adjustRightInd w:val="0"/>
              <w:spacing w:before="60" w:after="60"/>
              <w:rPr>
                <w:rFonts w:eastAsia="MS Mincho"/>
                <w:color w:val="000000"/>
                <w:sz w:val="16"/>
                <w:szCs w:val="16"/>
                <w:lang w:eastAsia="ja-JP"/>
              </w:rPr>
            </w:pPr>
            <w:r w:rsidRPr="00515D00">
              <w:rPr>
                <w:rFonts w:eastAsia="MS Mincho"/>
                <w:color w:val="000000"/>
                <w:sz w:val="16"/>
                <w:szCs w:val="16"/>
                <w:lang w:eastAsia="ja-JP"/>
              </w:rPr>
              <w:t xml:space="preserve">Japón/ </w:t>
            </w:r>
            <w:proofErr w:type="spellStart"/>
            <w:r w:rsidRPr="00515D00">
              <w:rPr>
                <w:rFonts w:eastAsia="MS Mincho"/>
                <w:color w:val="000000"/>
                <w:sz w:val="16"/>
                <w:szCs w:val="16"/>
                <w:lang w:eastAsia="ja-JP"/>
              </w:rPr>
              <w:t>Viet</w:t>
            </w:r>
            <w:proofErr w:type="spellEnd"/>
            <w:r w:rsidRPr="00515D00">
              <w:rPr>
                <w:rFonts w:eastAsia="MS Mincho"/>
                <w:color w:val="000000"/>
                <w:sz w:val="16"/>
                <w:szCs w:val="16"/>
                <w:lang w:eastAsia="ja-JP"/>
              </w:rPr>
              <w:t xml:space="preserve"> </w:t>
            </w:r>
            <w:proofErr w:type="spellStart"/>
            <w:r w:rsidRPr="00515D00">
              <w:rPr>
                <w:rFonts w:eastAsia="MS Mincho"/>
                <w:color w:val="000000"/>
                <w:sz w:val="16"/>
                <w:szCs w:val="16"/>
                <w:lang w:eastAsia="ja-JP"/>
              </w:rPr>
              <w:t>Nam</w:t>
            </w:r>
            <w:proofErr w:type="spellEnd"/>
          </w:p>
        </w:tc>
        <w:tc>
          <w:tcPr>
            <w:tcW w:w="4819" w:type="dxa"/>
            <w:tcBorders>
              <w:bottom w:val="nil"/>
            </w:tcBorders>
          </w:tcPr>
          <w:p w:rsidR="003E311F" w:rsidRPr="00515D00" w:rsidRDefault="003E311F" w:rsidP="007A358B">
            <w:pPr>
              <w:autoSpaceDE w:val="0"/>
              <w:autoSpaceDN w:val="0"/>
              <w:adjustRightInd w:val="0"/>
              <w:spacing w:before="60" w:after="60"/>
              <w:ind w:left="-108"/>
              <w:rPr>
                <w:rFonts w:eastAsia="MS Mincho"/>
                <w:sz w:val="16"/>
                <w:szCs w:val="16"/>
                <w:lang w:eastAsia="ja-JP"/>
              </w:rPr>
            </w:pPr>
            <w:r>
              <w:rPr>
                <w:rFonts w:eastAsia="MS Mincho"/>
                <w:sz w:val="16"/>
                <w:szCs w:val="16"/>
                <w:lang w:eastAsia="ja-JP"/>
              </w:rPr>
              <w:t>Mejorar</w:t>
            </w:r>
            <w:r w:rsidRPr="00515D00">
              <w:rPr>
                <w:rFonts w:eastAsia="MS Mincho"/>
                <w:sz w:val="16"/>
                <w:szCs w:val="16"/>
                <w:lang w:eastAsia="ja-JP"/>
              </w:rPr>
              <w:t xml:space="preserve"> el conocimiento y la comprensión de los becarios sobre temas específicos en el ámbito de la propiedad industrial, principalmente a través de la oportunidad de realizar investigaciones independientes sobre temas de su elección.  El candidato de la Oficina Nacional de Propiedad Intelectual de </w:t>
            </w:r>
            <w:proofErr w:type="spellStart"/>
            <w:r w:rsidRPr="00515D00">
              <w:rPr>
                <w:rFonts w:eastAsia="MS Mincho"/>
                <w:sz w:val="16"/>
                <w:szCs w:val="16"/>
                <w:lang w:eastAsia="ja-JP"/>
              </w:rPr>
              <w:t>Viet</w:t>
            </w:r>
            <w:proofErr w:type="spellEnd"/>
            <w:r w:rsidRPr="00515D00">
              <w:rPr>
                <w:rFonts w:eastAsia="MS Mincho"/>
                <w:sz w:val="16"/>
                <w:szCs w:val="16"/>
                <w:lang w:eastAsia="ja-JP"/>
              </w:rPr>
              <w:t> </w:t>
            </w:r>
            <w:proofErr w:type="spellStart"/>
            <w:r w:rsidRPr="00515D00">
              <w:rPr>
                <w:rFonts w:eastAsia="MS Mincho"/>
                <w:sz w:val="16"/>
                <w:szCs w:val="16"/>
                <w:lang w:eastAsia="ja-JP"/>
              </w:rPr>
              <w:t>Nam</w:t>
            </w:r>
            <w:proofErr w:type="spellEnd"/>
            <w:r w:rsidRPr="00515D00">
              <w:rPr>
                <w:rFonts w:eastAsia="MS Mincho"/>
                <w:sz w:val="16"/>
                <w:szCs w:val="16"/>
                <w:lang w:eastAsia="ja-JP"/>
              </w:rPr>
              <w:t xml:space="preserve"> eligió el tema "Promoción eficaz de la P.I. en un país en desarrollo".</w:t>
            </w:r>
          </w:p>
        </w:tc>
      </w:tr>
      <w:tr w:rsidR="003E311F" w:rsidRPr="00092F2E" w:rsidTr="007A358B">
        <w:trPr>
          <w:cantSplit/>
          <w:trHeight w:val="473"/>
        </w:trPr>
        <w:tc>
          <w:tcPr>
            <w:tcW w:w="1800" w:type="dxa"/>
            <w:gridSpan w:val="2"/>
            <w:tcBorders>
              <w:top w:val="nil"/>
              <w:bottom w:val="single" w:sz="4" w:space="0" w:color="auto"/>
            </w:tcBorders>
          </w:tcPr>
          <w:p w:rsidR="003E311F" w:rsidRPr="00515D00" w:rsidRDefault="003E311F" w:rsidP="007A358B">
            <w:pPr>
              <w:autoSpaceDE w:val="0"/>
              <w:autoSpaceDN w:val="0"/>
              <w:adjustRightInd w:val="0"/>
              <w:spacing w:before="60" w:after="60"/>
              <w:rPr>
                <w:rFonts w:eastAsia="MS Mincho"/>
                <w:color w:val="000000"/>
                <w:sz w:val="16"/>
                <w:szCs w:val="16"/>
                <w:lang w:eastAsia="ja-JP"/>
              </w:rPr>
            </w:pPr>
            <w:r w:rsidRPr="00515D00">
              <w:rPr>
                <w:rFonts w:eastAsia="MS Mincho"/>
                <w:color w:val="000000"/>
                <w:sz w:val="16"/>
                <w:szCs w:val="16"/>
                <w:lang w:eastAsia="ja-JP"/>
              </w:rPr>
              <w:t>Prácticas de corta duración en despachos de abogados de patentes</w:t>
            </w:r>
          </w:p>
        </w:tc>
        <w:tc>
          <w:tcPr>
            <w:tcW w:w="1177" w:type="dxa"/>
            <w:gridSpan w:val="2"/>
            <w:tcBorders>
              <w:top w:val="nil"/>
              <w:bottom w:val="single" w:sz="4" w:space="0" w:color="auto"/>
            </w:tcBorders>
          </w:tcPr>
          <w:p w:rsidR="003E311F" w:rsidRPr="00515D00" w:rsidRDefault="003E311F" w:rsidP="007A358B">
            <w:pPr>
              <w:autoSpaceDE w:val="0"/>
              <w:autoSpaceDN w:val="0"/>
              <w:adjustRightInd w:val="0"/>
              <w:spacing w:before="60" w:after="60"/>
              <w:rPr>
                <w:rFonts w:eastAsia="MS Mincho"/>
                <w:color w:val="000000"/>
                <w:sz w:val="16"/>
                <w:szCs w:val="16"/>
                <w:lang w:eastAsia="ja-JP"/>
              </w:rPr>
            </w:pPr>
            <w:r w:rsidRPr="00515D00">
              <w:rPr>
                <w:rFonts w:eastAsia="MS Mincho"/>
                <w:color w:val="000000"/>
                <w:sz w:val="16"/>
                <w:szCs w:val="16"/>
                <w:lang w:eastAsia="ja-JP"/>
              </w:rPr>
              <w:t>2 a 13 de noviembre 2015</w:t>
            </w:r>
          </w:p>
        </w:tc>
        <w:tc>
          <w:tcPr>
            <w:tcW w:w="1973" w:type="dxa"/>
            <w:tcBorders>
              <w:top w:val="nil"/>
              <w:bottom w:val="single" w:sz="4" w:space="0" w:color="auto"/>
            </w:tcBorders>
          </w:tcPr>
          <w:p w:rsidR="003E311F" w:rsidRPr="00515D00" w:rsidRDefault="003E311F" w:rsidP="007A358B">
            <w:pPr>
              <w:autoSpaceDE w:val="0"/>
              <w:autoSpaceDN w:val="0"/>
              <w:adjustRightInd w:val="0"/>
              <w:spacing w:before="60" w:after="60"/>
              <w:rPr>
                <w:rFonts w:eastAsia="MS Mincho"/>
                <w:color w:val="000000"/>
                <w:sz w:val="16"/>
                <w:szCs w:val="16"/>
                <w:lang w:eastAsia="ja-JP"/>
              </w:rPr>
            </w:pPr>
            <w:r w:rsidRPr="00515D00">
              <w:rPr>
                <w:rFonts w:eastAsia="MS Mincho"/>
                <w:color w:val="000000"/>
                <w:sz w:val="16"/>
                <w:szCs w:val="16"/>
                <w:lang w:eastAsia="ja-JP"/>
              </w:rPr>
              <w:t>Japón/ Nepal</w:t>
            </w:r>
          </w:p>
        </w:tc>
        <w:tc>
          <w:tcPr>
            <w:tcW w:w="4831" w:type="dxa"/>
            <w:gridSpan w:val="2"/>
            <w:tcBorders>
              <w:top w:val="nil"/>
              <w:bottom w:val="single" w:sz="4" w:space="0" w:color="auto"/>
            </w:tcBorders>
          </w:tcPr>
          <w:p w:rsidR="003E311F" w:rsidRPr="00515D00" w:rsidRDefault="003E311F" w:rsidP="007A358B">
            <w:pPr>
              <w:autoSpaceDE w:val="0"/>
              <w:autoSpaceDN w:val="0"/>
              <w:adjustRightInd w:val="0"/>
              <w:spacing w:before="60" w:after="60"/>
              <w:ind w:left="-96"/>
              <w:rPr>
                <w:rFonts w:eastAsia="MS Mincho"/>
                <w:color w:val="000000"/>
                <w:sz w:val="16"/>
                <w:szCs w:val="16"/>
                <w:lang w:eastAsia="ja-JP"/>
              </w:rPr>
            </w:pPr>
            <w:r>
              <w:rPr>
                <w:rFonts w:eastAsia="MS Mincho"/>
                <w:color w:val="000000"/>
                <w:sz w:val="16"/>
                <w:szCs w:val="16"/>
                <w:lang w:eastAsia="ja-JP"/>
              </w:rPr>
              <w:t>Facilitar que</w:t>
            </w:r>
            <w:r w:rsidRPr="00515D00">
              <w:rPr>
                <w:rFonts w:eastAsia="MS Mincho"/>
                <w:color w:val="000000"/>
                <w:sz w:val="16"/>
                <w:szCs w:val="16"/>
                <w:lang w:eastAsia="ja-JP"/>
              </w:rPr>
              <w:t xml:space="preserve"> los graduados en propiedad intelectual </w:t>
            </w:r>
            <w:r>
              <w:rPr>
                <w:rFonts w:eastAsia="MS Mincho"/>
                <w:color w:val="000000"/>
                <w:sz w:val="16"/>
                <w:szCs w:val="16"/>
                <w:lang w:eastAsia="ja-JP"/>
              </w:rPr>
              <w:t xml:space="preserve">adquieran </w:t>
            </w:r>
            <w:r w:rsidRPr="00515D00">
              <w:rPr>
                <w:rFonts w:eastAsia="MS Mincho"/>
                <w:color w:val="000000"/>
                <w:sz w:val="16"/>
                <w:szCs w:val="16"/>
                <w:lang w:eastAsia="ja-JP"/>
              </w:rPr>
              <w:t>conocimientos, competencias e impresiones del mundo real de la IP a través de la combinación del aprendizaje en el aula con formación práctica y experiencia real de trabajo.</w:t>
            </w:r>
          </w:p>
        </w:tc>
      </w:tr>
      <w:tr w:rsidR="003E311F" w:rsidRPr="00092F2E" w:rsidTr="007A358B">
        <w:trPr>
          <w:cantSplit/>
          <w:trHeight w:val="315"/>
        </w:trPr>
        <w:tc>
          <w:tcPr>
            <w:tcW w:w="9781" w:type="dxa"/>
            <w:gridSpan w:val="7"/>
            <w:tcBorders>
              <w:top w:val="single" w:sz="4" w:space="0" w:color="auto"/>
              <w:bottom w:val="single" w:sz="4" w:space="0" w:color="auto"/>
            </w:tcBorders>
            <w:shd w:val="clear" w:color="auto" w:fill="C6D9F1" w:themeFill="text2" w:themeFillTint="33"/>
          </w:tcPr>
          <w:p w:rsidR="003E311F" w:rsidRPr="00515D00" w:rsidRDefault="003E311F" w:rsidP="007A358B">
            <w:pPr>
              <w:keepNext/>
              <w:keepLines/>
              <w:tabs>
                <w:tab w:val="left" w:pos="1740"/>
              </w:tabs>
              <w:spacing w:before="120" w:after="120"/>
              <w:ind w:left="1740" w:hanging="1740"/>
              <w:rPr>
                <w:color w:val="000000"/>
                <w:sz w:val="16"/>
                <w:szCs w:val="16"/>
              </w:rPr>
            </w:pPr>
            <w:r w:rsidRPr="00515D00">
              <w:rPr>
                <w:b/>
                <w:bCs/>
                <w:color w:val="000000"/>
                <w:sz w:val="16"/>
                <w:szCs w:val="16"/>
              </w:rPr>
              <w:t>RESULTADO:</w:t>
            </w:r>
            <w:r w:rsidRPr="00515D00">
              <w:rPr>
                <w:bCs/>
                <w:sz w:val="16"/>
                <w:szCs w:val="16"/>
              </w:rPr>
              <w:tab/>
              <w:t>III.</w:t>
            </w:r>
            <w:r w:rsidRPr="00515D00">
              <w:rPr>
                <w:bCs/>
                <w:sz w:val="16"/>
                <w:szCs w:val="16"/>
                <w:lang w:eastAsia="ja-JP"/>
              </w:rPr>
              <w:t>4</w:t>
            </w:r>
            <w:r w:rsidRPr="00515D00">
              <w:rPr>
                <w:bCs/>
                <w:sz w:val="16"/>
                <w:szCs w:val="16"/>
              </w:rPr>
              <w:t xml:space="preserve">  </w:t>
            </w:r>
            <w:r w:rsidR="007A358B" w:rsidRPr="007A358B">
              <w:rPr>
                <w:bCs/>
                <w:sz w:val="16"/>
                <w:szCs w:val="16"/>
              </w:rPr>
              <w:t>Fortalecimiento de los mecanismos y de los programas de cooperación conforme a las necesidades de los países en desarrollo y los PMA</w:t>
            </w:r>
          </w:p>
        </w:tc>
      </w:tr>
      <w:tr w:rsidR="003E311F" w:rsidRPr="00515D00" w:rsidTr="007A358B">
        <w:trPr>
          <w:cantSplit/>
          <w:trHeight w:val="500"/>
        </w:trPr>
        <w:tc>
          <w:tcPr>
            <w:tcW w:w="1843" w:type="dxa"/>
            <w:gridSpan w:val="3"/>
            <w:tcBorders>
              <w:top w:val="single" w:sz="4" w:space="0" w:color="auto"/>
              <w:left w:val="single" w:sz="4" w:space="0" w:color="auto"/>
              <w:bottom w:val="nil"/>
            </w:tcBorders>
            <w:vAlign w:val="center"/>
          </w:tcPr>
          <w:p w:rsidR="003E311F" w:rsidRPr="00515D00" w:rsidRDefault="003E311F" w:rsidP="007A358B">
            <w:pPr>
              <w:keepNext/>
              <w:keepLines/>
              <w:spacing w:before="60" w:after="60"/>
              <w:rPr>
                <w:b/>
                <w:bCs/>
                <w:sz w:val="16"/>
                <w:szCs w:val="16"/>
              </w:rPr>
            </w:pPr>
            <w:r w:rsidRPr="00515D00">
              <w:rPr>
                <w:b/>
                <w:bCs/>
                <w:sz w:val="16"/>
                <w:szCs w:val="16"/>
              </w:rPr>
              <w:t>Actividad</w:t>
            </w:r>
          </w:p>
        </w:tc>
        <w:tc>
          <w:tcPr>
            <w:tcW w:w="1134" w:type="dxa"/>
            <w:tcBorders>
              <w:top w:val="single" w:sz="4" w:space="0" w:color="auto"/>
              <w:bottom w:val="nil"/>
            </w:tcBorders>
            <w:vAlign w:val="center"/>
          </w:tcPr>
          <w:p w:rsidR="003E311F" w:rsidRPr="00515D00" w:rsidRDefault="003E311F" w:rsidP="007A358B">
            <w:pPr>
              <w:keepNext/>
              <w:keepLines/>
              <w:spacing w:before="60" w:after="60"/>
              <w:rPr>
                <w:sz w:val="16"/>
                <w:szCs w:val="16"/>
              </w:rPr>
            </w:pPr>
            <w:r w:rsidRPr="00515D00">
              <w:rPr>
                <w:b/>
                <w:bCs/>
                <w:sz w:val="16"/>
                <w:szCs w:val="16"/>
              </w:rPr>
              <w:t>Fecha</w:t>
            </w:r>
          </w:p>
        </w:tc>
        <w:tc>
          <w:tcPr>
            <w:tcW w:w="1985" w:type="dxa"/>
            <w:gridSpan w:val="2"/>
            <w:tcBorders>
              <w:top w:val="single" w:sz="4" w:space="0" w:color="auto"/>
              <w:bottom w:val="nil"/>
            </w:tcBorders>
            <w:vAlign w:val="center"/>
          </w:tcPr>
          <w:p w:rsidR="003E311F" w:rsidRPr="00515D00" w:rsidRDefault="003E311F" w:rsidP="007A358B">
            <w:pPr>
              <w:widowControl w:val="0"/>
              <w:rPr>
                <w:sz w:val="16"/>
                <w:szCs w:val="16"/>
              </w:rPr>
            </w:pPr>
            <w:r w:rsidRPr="00515D00">
              <w:rPr>
                <w:b/>
                <w:sz w:val="16"/>
                <w:szCs w:val="16"/>
              </w:rPr>
              <w:t>País anfitrión / Beneficiarios</w:t>
            </w:r>
          </w:p>
        </w:tc>
        <w:tc>
          <w:tcPr>
            <w:tcW w:w="4819" w:type="dxa"/>
            <w:tcBorders>
              <w:top w:val="single" w:sz="4" w:space="0" w:color="auto"/>
              <w:bottom w:val="nil"/>
              <w:right w:val="single" w:sz="4" w:space="0" w:color="auto"/>
            </w:tcBorders>
            <w:vAlign w:val="center"/>
          </w:tcPr>
          <w:p w:rsidR="003E311F" w:rsidRPr="00515D00" w:rsidRDefault="003E311F" w:rsidP="007A358B">
            <w:pPr>
              <w:widowControl w:val="0"/>
              <w:rPr>
                <w:sz w:val="16"/>
                <w:szCs w:val="16"/>
              </w:rPr>
            </w:pPr>
            <w:r w:rsidRPr="00515D00">
              <w:rPr>
                <w:b/>
                <w:sz w:val="16"/>
                <w:szCs w:val="16"/>
              </w:rPr>
              <w:t>Propósito(s)/Descripción</w:t>
            </w:r>
          </w:p>
        </w:tc>
      </w:tr>
      <w:tr w:rsidR="003E311F" w:rsidRPr="00092F2E" w:rsidTr="007A358B">
        <w:trPr>
          <w:cantSplit/>
          <w:trHeight w:val="315"/>
        </w:trPr>
        <w:tc>
          <w:tcPr>
            <w:tcW w:w="1701" w:type="dxa"/>
          </w:tcPr>
          <w:p w:rsidR="003E311F" w:rsidRPr="00515D00" w:rsidRDefault="003E311F" w:rsidP="007A358B">
            <w:pPr>
              <w:keepNext/>
              <w:keepLines/>
              <w:autoSpaceDE w:val="0"/>
              <w:autoSpaceDN w:val="0"/>
              <w:adjustRightInd w:val="0"/>
              <w:spacing w:before="60" w:after="60"/>
              <w:rPr>
                <w:rFonts w:eastAsia="MS Mincho"/>
                <w:sz w:val="16"/>
                <w:szCs w:val="16"/>
                <w:lang w:eastAsia="ja-JP"/>
              </w:rPr>
            </w:pPr>
            <w:r w:rsidRPr="00515D00">
              <w:rPr>
                <w:rFonts w:eastAsia="MS Mincho"/>
                <w:sz w:val="16"/>
                <w:szCs w:val="16"/>
                <w:lang w:eastAsia="ja-JP"/>
              </w:rPr>
              <w:t>Conferencia de jefes de oficinas de propiedad intelectual</w:t>
            </w:r>
          </w:p>
        </w:tc>
        <w:tc>
          <w:tcPr>
            <w:tcW w:w="1276" w:type="dxa"/>
            <w:gridSpan w:val="3"/>
          </w:tcPr>
          <w:p w:rsidR="003E311F" w:rsidRPr="00515D00" w:rsidRDefault="003E311F" w:rsidP="007A358B">
            <w:pPr>
              <w:spacing w:before="60" w:after="60"/>
              <w:rPr>
                <w:rFonts w:eastAsia="MS Mincho"/>
                <w:sz w:val="16"/>
                <w:szCs w:val="16"/>
                <w:lang w:eastAsia="ja-JP"/>
              </w:rPr>
            </w:pPr>
            <w:r w:rsidRPr="00515D00">
              <w:rPr>
                <w:rFonts w:eastAsia="MS Mincho"/>
                <w:sz w:val="16"/>
                <w:szCs w:val="16"/>
                <w:lang w:eastAsia="ja-JP"/>
              </w:rPr>
              <w:t>29 a 30 de junio de 2015</w:t>
            </w:r>
          </w:p>
        </w:tc>
        <w:tc>
          <w:tcPr>
            <w:tcW w:w="1985" w:type="dxa"/>
            <w:gridSpan w:val="2"/>
          </w:tcPr>
          <w:p w:rsidR="003E311F" w:rsidRPr="00515D00" w:rsidRDefault="003E311F" w:rsidP="007A358B">
            <w:pPr>
              <w:autoSpaceDE w:val="0"/>
              <w:autoSpaceDN w:val="0"/>
              <w:adjustRightInd w:val="0"/>
              <w:spacing w:before="60" w:after="60"/>
              <w:rPr>
                <w:rFonts w:eastAsia="MS Mincho"/>
                <w:color w:val="000000"/>
                <w:sz w:val="16"/>
                <w:szCs w:val="16"/>
                <w:lang w:eastAsia="ja-JP"/>
              </w:rPr>
            </w:pPr>
            <w:r w:rsidRPr="00515D00">
              <w:rPr>
                <w:sz w:val="16"/>
                <w:szCs w:val="16"/>
                <w:lang w:eastAsia="ja-JP"/>
              </w:rPr>
              <w:t xml:space="preserve">Japón/ </w:t>
            </w:r>
            <w:r w:rsidRPr="00515D00">
              <w:rPr>
                <w:sz w:val="16"/>
                <w:szCs w:val="16"/>
              </w:rPr>
              <w:t xml:space="preserve">Bangladesh, </w:t>
            </w:r>
            <w:proofErr w:type="spellStart"/>
            <w:r w:rsidRPr="00515D00">
              <w:rPr>
                <w:sz w:val="16"/>
                <w:szCs w:val="16"/>
              </w:rPr>
              <w:t>Bhután</w:t>
            </w:r>
            <w:proofErr w:type="spellEnd"/>
            <w:r w:rsidRPr="00515D00">
              <w:rPr>
                <w:sz w:val="16"/>
                <w:szCs w:val="16"/>
              </w:rPr>
              <w:t xml:space="preserve">, Camboya, India, </w:t>
            </w:r>
            <w:r w:rsidRPr="00515D00">
              <w:rPr>
                <w:rFonts w:eastAsia="MS Mincho"/>
                <w:color w:val="000000"/>
                <w:sz w:val="16"/>
                <w:szCs w:val="16"/>
                <w:lang w:eastAsia="ja-JP"/>
              </w:rPr>
              <w:t>República Democrática Popular Lao</w:t>
            </w:r>
            <w:r w:rsidRPr="00515D00">
              <w:rPr>
                <w:sz w:val="16"/>
                <w:szCs w:val="16"/>
              </w:rPr>
              <w:t>, Malasia, Myanmar, Nepal, Pakistán, Filipinas, Singapur, Sri Lanka y Tailandia</w:t>
            </w:r>
          </w:p>
        </w:tc>
        <w:tc>
          <w:tcPr>
            <w:tcW w:w="4819" w:type="dxa"/>
          </w:tcPr>
          <w:p w:rsidR="003E311F" w:rsidRPr="00515D00" w:rsidRDefault="003E311F" w:rsidP="007A358B">
            <w:pPr>
              <w:autoSpaceDE w:val="0"/>
              <w:autoSpaceDN w:val="0"/>
              <w:adjustRightInd w:val="0"/>
              <w:spacing w:before="60" w:after="60"/>
              <w:ind w:left="-108"/>
              <w:rPr>
                <w:rFonts w:eastAsia="MS Mincho"/>
                <w:sz w:val="16"/>
                <w:szCs w:val="16"/>
                <w:lang w:eastAsia="ja-JP"/>
              </w:rPr>
            </w:pPr>
            <w:r w:rsidRPr="00515D00">
              <w:rPr>
                <w:rFonts w:eastAsia="MS Mincho"/>
                <w:color w:val="000000"/>
                <w:sz w:val="16"/>
                <w:szCs w:val="16"/>
                <w:lang w:eastAsia="ja-JP"/>
              </w:rPr>
              <w:t xml:space="preserve">i) Sensibilizar a los nuevos directores generales acerca del mundo de la P.I. y proporcionales una enseñanza ejecutiva para mejorar su comprensión de la P.I. </w:t>
            </w:r>
            <w:r>
              <w:rPr>
                <w:rFonts w:eastAsia="MS Mincho"/>
                <w:color w:val="000000"/>
                <w:sz w:val="16"/>
                <w:szCs w:val="16"/>
                <w:lang w:eastAsia="ja-JP"/>
              </w:rPr>
              <w:t xml:space="preserve">y el desarrollo; </w:t>
            </w:r>
            <w:r w:rsidRPr="00515D00">
              <w:rPr>
                <w:rFonts w:eastAsia="MS Mincho"/>
                <w:color w:val="000000"/>
                <w:sz w:val="16"/>
                <w:szCs w:val="16"/>
                <w:lang w:eastAsia="ja-JP"/>
              </w:rPr>
              <w:t xml:space="preserve"> ii) debatir la aplicación de la estrategia de asistencia técnica de la OMPI, prestando una atención especial a</w:t>
            </w:r>
            <w:r>
              <w:rPr>
                <w:rFonts w:eastAsia="MS Mincho"/>
                <w:color w:val="000000"/>
                <w:sz w:val="16"/>
                <w:szCs w:val="16"/>
                <w:lang w:eastAsia="ja-JP"/>
              </w:rPr>
              <w:t xml:space="preserve"> la sostenibilidad; </w:t>
            </w:r>
            <w:r w:rsidRPr="00515D00">
              <w:rPr>
                <w:rFonts w:eastAsia="MS Mincho"/>
                <w:color w:val="000000"/>
                <w:sz w:val="16"/>
                <w:szCs w:val="16"/>
                <w:lang w:eastAsia="ja-JP"/>
              </w:rPr>
              <w:t xml:space="preserve"> iii) ofrecer un entorno seguro para que los jefes de las oficinas de P.I. </w:t>
            </w:r>
            <w:r w:rsidRPr="00515D00">
              <w:rPr>
                <w:rFonts w:eastAsia="MS Mincho"/>
                <w:sz w:val="16"/>
                <w:szCs w:val="16"/>
                <w:lang w:eastAsia="ja-JP"/>
              </w:rPr>
              <w:t>puedan intercambiar opiniones y experiencias</w:t>
            </w:r>
            <w:r>
              <w:rPr>
                <w:rFonts w:eastAsia="MS Mincho"/>
                <w:sz w:val="16"/>
                <w:szCs w:val="16"/>
                <w:lang w:eastAsia="ja-JP"/>
              </w:rPr>
              <w:t xml:space="preserve">; </w:t>
            </w:r>
            <w:r w:rsidRPr="00515D00">
              <w:rPr>
                <w:rFonts w:eastAsia="MS Mincho"/>
                <w:sz w:val="16"/>
                <w:szCs w:val="16"/>
                <w:lang w:eastAsia="ja-JP"/>
              </w:rPr>
              <w:t xml:space="preserve"> y iv) facilitar la cooperación sur-sur </w:t>
            </w:r>
            <w:r>
              <w:rPr>
                <w:rFonts w:eastAsia="MS Mincho"/>
                <w:sz w:val="16"/>
                <w:szCs w:val="16"/>
                <w:lang w:eastAsia="ja-JP"/>
              </w:rPr>
              <w:t>mediante el fortalecimiento de</w:t>
            </w:r>
            <w:r w:rsidRPr="00515D00">
              <w:rPr>
                <w:rFonts w:eastAsia="MS Mincho"/>
                <w:sz w:val="16"/>
                <w:szCs w:val="16"/>
                <w:lang w:eastAsia="ja-JP"/>
              </w:rPr>
              <w:t xml:space="preserve"> los lazos entre los jefes de las oficinas de P.I. de la región.</w:t>
            </w:r>
          </w:p>
        </w:tc>
      </w:tr>
      <w:tr w:rsidR="003E311F" w:rsidRPr="00092F2E" w:rsidTr="007A358B">
        <w:trPr>
          <w:cantSplit/>
          <w:trHeight w:val="315"/>
        </w:trPr>
        <w:tc>
          <w:tcPr>
            <w:tcW w:w="9781" w:type="dxa"/>
            <w:gridSpan w:val="7"/>
            <w:tcBorders>
              <w:top w:val="single" w:sz="4" w:space="0" w:color="auto"/>
              <w:bottom w:val="single" w:sz="4" w:space="0" w:color="auto"/>
            </w:tcBorders>
            <w:shd w:val="clear" w:color="auto" w:fill="C6D9F1" w:themeFill="text2" w:themeFillTint="33"/>
          </w:tcPr>
          <w:p w:rsidR="003E311F" w:rsidRPr="00515D00" w:rsidRDefault="003E311F" w:rsidP="007A358B">
            <w:pPr>
              <w:keepNext/>
              <w:keepLines/>
              <w:tabs>
                <w:tab w:val="left" w:pos="1740"/>
              </w:tabs>
              <w:spacing w:before="120" w:after="120"/>
              <w:ind w:left="1740" w:hanging="1740"/>
              <w:rPr>
                <w:color w:val="000000"/>
                <w:sz w:val="16"/>
                <w:szCs w:val="16"/>
              </w:rPr>
            </w:pPr>
            <w:r w:rsidRPr="00515D00">
              <w:rPr>
                <w:b/>
                <w:bCs/>
                <w:color w:val="000000"/>
                <w:sz w:val="16"/>
                <w:szCs w:val="16"/>
              </w:rPr>
              <w:t>RESULTADO:</w:t>
            </w:r>
            <w:r w:rsidRPr="00515D00">
              <w:rPr>
                <w:bCs/>
                <w:sz w:val="16"/>
                <w:szCs w:val="16"/>
              </w:rPr>
              <w:tab/>
              <w:t>I</w:t>
            </w:r>
            <w:r w:rsidRPr="00515D00">
              <w:rPr>
                <w:bCs/>
                <w:sz w:val="16"/>
                <w:szCs w:val="16"/>
                <w:lang w:eastAsia="ja-JP"/>
              </w:rPr>
              <w:t>V</w:t>
            </w:r>
            <w:r w:rsidRPr="00515D00">
              <w:rPr>
                <w:bCs/>
                <w:sz w:val="16"/>
                <w:szCs w:val="16"/>
              </w:rPr>
              <w:t>.2  Mejora del acceso y uso de información de P.I. por parte de instituciones de P.I. y el público para fomentar la innovación y la creatividad</w:t>
            </w:r>
          </w:p>
        </w:tc>
      </w:tr>
      <w:tr w:rsidR="003E311F" w:rsidRPr="00515D00" w:rsidTr="007A358B">
        <w:trPr>
          <w:cantSplit/>
          <w:trHeight w:val="402"/>
        </w:trPr>
        <w:tc>
          <w:tcPr>
            <w:tcW w:w="1843" w:type="dxa"/>
            <w:gridSpan w:val="3"/>
            <w:tcBorders>
              <w:top w:val="single" w:sz="4" w:space="0" w:color="auto"/>
              <w:left w:val="single" w:sz="4" w:space="0" w:color="auto"/>
              <w:bottom w:val="nil"/>
            </w:tcBorders>
            <w:vAlign w:val="center"/>
          </w:tcPr>
          <w:p w:rsidR="003E311F" w:rsidRPr="00515D00" w:rsidRDefault="003E311F" w:rsidP="007A358B">
            <w:pPr>
              <w:keepNext/>
              <w:keepLines/>
              <w:spacing w:before="60" w:after="60"/>
              <w:rPr>
                <w:b/>
                <w:bCs/>
                <w:sz w:val="16"/>
                <w:szCs w:val="16"/>
              </w:rPr>
            </w:pPr>
            <w:r w:rsidRPr="00515D00">
              <w:rPr>
                <w:b/>
                <w:bCs/>
                <w:sz w:val="16"/>
                <w:szCs w:val="16"/>
              </w:rPr>
              <w:t>Actividad</w:t>
            </w:r>
          </w:p>
        </w:tc>
        <w:tc>
          <w:tcPr>
            <w:tcW w:w="1134" w:type="dxa"/>
            <w:tcBorders>
              <w:top w:val="single" w:sz="4" w:space="0" w:color="auto"/>
              <w:bottom w:val="nil"/>
            </w:tcBorders>
            <w:vAlign w:val="center"/>
          </w:tcPr>
          <w:p w:rsidR="003E311F" w:rsidRPr="00515D00" w:rsidRDefault="003E311F" w:rsidP="007A358B">
            <w:pPr>
              <w:keepNext/>
              <w:keepLines/>
              <w:spacing w:before="60" w:after="60"/>
              <w:rPr>
                <w:sz w:val="16"/>
                <w:szCs w:val="16"/>
              </w:rPr>
            </w:pPr>
            <w:r w:rsidRPr="00515D00">
              <w:rPr>
                <w:b/>
                <w:bCs/>
                <w:sz w:val="16"/>
                <w:szCs w:val="16"/>
              </w:rPr>
              <w:t>Fecha</w:t>
            </w:r>
          </w:p>
        </w:tc>
        <w:tc>
          <w:tcPr>
            <w:tcW w:w="1985" w:type="dxa"/>
            <w:gridSpan w:val="2"/>
            <w:tcBorders>
              <w:top w:val="single" w:sz="4" w:space="0" w:color="auto"/>
              <w:bottom w:val="nil"/>
            </w:tcBorders>
            <w:vAlign w:val="center"/>
          </w:tcPr>
          <w:p w:rsidR="003E311F" w:rsidRPr="00515D00" w:rsidRDefault="003E311F" w:rsidP="007A358B">
            <w:pPr>
              <w:widowControl w:val="0"/>
              <w:rPr>
                <w:sz w:val="16"/>
                <w:szCs w:val="16"/>
              </w:rPr>
            </w:pPr>
            <w:r w:rsidRPr="00515D00">
              <w:rPr>
                <w:b/>
                <w:sz w:val="16"/>
                <w:szCs w:val="16"/>
              </w:rPr>
              <w:t>País anfitrión / Beneficiarios</w:t>
            </w:r>
          </w:p>
        </w:tc>
        <w:tc>
          <w:tcPr>
            <w:tcW w:w="4819" w:type="dxa"/>
            <w:tcBorders>
              <w:top w:val="single" w:sz="4" w:space="0" w:color="auto"/>
              <w:bottom w:val="nil"/>
              <w:right w:val="single" w:sz="4" w:space="0" w:color="auto"/>
            </w:tcBorders>
            <w:vAlign w:val="center"/>
          </w:tcPr>
          <w:p w:rsidR="003E311F" w:rsidRPr="00515D00" w:rsidRDefault="003E311F" w:rsidP="007A358B">
            <w:pPr>
              <w:widowControl w:val="0"/>
              <w:rPr>
                <w:sz w:val="16"/>
                <w:szCs w:val="16"/>
              </w:rPr>
            </w:pPr>
            <w:r w:rsidRPr="00515D00">
              <w:rPr>
                <w:b/>
                <w:sz w:val="16"/>
                <w:szCs w:val="16"/>
              </w:rPr>
              <w:t>Propósito(s)/Descripción</w:t>
            </w:r>
          </w:p>
        </w:tc>
      </w:tr>
      <w:tr w:rsidR="003E311F" w:rsidRPr="00092F2E" w:rsidTr="007A358B">
        <w:trPr>
          <w:cantSplit/>
          <w:trHeight w:val="315"/>
        </w:trPr>
        <w:tc>
          <w:tcPr>
            <w:tcW w:w="1701" w:type="dxa"/>
          </w:tcPr>
          <w:p w:rsidR="003E311F" w:rsidRPr="00515D00" w:rsidRDefault="003E311F" w:rsidP="007A358B">
            <w:pPr>
              <w:autoSpaceDE w:val="0"/>
              <w:autoSpaceDN w:val="0"/>
              <w:adjustRightInd w:val="0"/>
              <w:spacing w:before="60" w:after="60"/>
              <w:rPr>
                <w:rFonts w:eastAsia="MS Mincho"/>
                <w:sz w:val="16"/>
                <w:szCs w:val="16"/>
                <w:lang w:eastAsia="ja-JP"/>
              </w:rPr>
            </w:pPr>
            <w:r w:rsidRPr="00515D00">
              <w:rPr>
                <w:rFonts w:eastAsia="MS Mincho"/>
                <w:sz w:val="16"/>
                <w:szCs w:val="16"/>
                <w:lang w:eastAsia="ja-JP"/>
              </w:rPr>
              <w:t xml:space="preserve">Seminario regional sobre difusión y uso eficaz de la información sobre patentes </w:t>
            </w:r>
          </w:p>
        </w:tc>
        <w:tc>
          <w:tcPr>
            <w:tcW w:w="1276" w:type="dxa"/>
            <w:gridSpan w:val="3"/>
          </w:tcPr>
          <w:p w:rsidR="003E311F" w:rsidRPr="00515D00" w:rsidRDefault="003E311F" w:rsidP="007A358B">
            <w:pPr>
              <w:spacing w:before="60" w:after="60"/>
              <w:rPr>
                <w:rFonts w:eastAsia="MS Mincho"/>
                <w:sz w:val="16"/>
                <w:szCs w:val="16"/>
                <w:lang w:eastAsia="ja-JP"/>
              </w:rPr>
            </w:pPr>
            <w:r w:rsidRPr="00515D00">
              <w:rPr>
                <w:rFonts w:eastAsia="MS Mincho"/>
                <w:sz w:val="16"/>
                <w:szCs w:val="16"/>
                <w:lang w:eastAsia="ja-JP"/>
              </w:rPr>
              <w:t>5 a 6 de noviembre de 2015</w:t>
            </w:r>
          </w:p>
        </w:tc>
        <w:tc>
          <w:tcPr>
            <w:tcW w:w="1985" w:type="dxa"/>
            <w:gridSpan w:val="2"/>
          </w:tcPr>
          <w:p w:rsidR="003E311F" w:rsidRPr="00515D00" w:rsidRDefault="003E311F" w:rsidP="007A358B">
            <w:pPr>
              <w:autoSpaceDE w:val="0"/>
              <w:autoSpaceDN w:val="0"/>
              <w:adjustRightInd w:val="0"/>
              <w:spacing w:before="60" w:after="60"/>
              <w:rPr>
                <w:rFonts w:eastAsia="MS Mincho"/>
                <w:color w:val="000000"/>
                <w:sz w:val="16"/>
                <w:szCs w:val="16"/>
                <w:lang w:eastAsia="ja-JP"/>
              </w:rPr>
            </w:pPr>
            <w:r w:rsidRPr="00515D00">
              <w:rPr>
                <w:rFonts w:eastAsia="MS Mincho"/>
                <w:color w:val="000000"/>
                <w:sz w:val="16"/>
                <w:szCs w:val="16"/>
                <w:lang w:eastAsia="ja-JP"/>
              </w:rPr>
              <w:t xml:space="preserve">Japón/ Indonesia, Malasia, Filipinas, Tailandia y </w:t>
            </w:r>
            <w:proofErr w:type="spellStart"/>
            <w:r w:rsidRPr="00515D00">
              <w:rPr>
                <w:rFonts w:eastAsia="MS Mincho"/>
                <w:color w:val="000000"/>
                <w:sz w:val="16"/>
                <w:szCs w:val="16"/>
                <w:lang w:eastAsia="ja-JP"/>
              </w:rPr>
              <w:t>Viet</w:t>
            </w:r>
            <w:proofErr w:type="spellEnd"/>
            <w:r w:rsidRPr="00515D00">
              <w:rPr>
                <w:rFonts w:eastAsia="MS Mincho"/>
                <w:color w:val="000000"/>
                <w:sz w:val="16"/>
                <w:szCs w:val="16"/>
                <w:lang w:eastAsia="ja-JP"/>
              </w:rPr>
              <w:t xml:space="preserve"> </w:t>
            </w:r>
            <w:proofErr w:type="spellStart"/>
            <w:r w:rsidRPr="00515D00">
              <w:rPr>
                <w:rFonts w:eastAsia="MS Mincho"/>
                <w:color w:val="000000"/>
                <w:sz w:val="16"/>
                <w:szCs w:val="16"/>
                <w:lang w:eastAsia="ja-JP"/>
              </w:rPr>
              <w:t>Nam</w:t>
            </w:r>
            <w:proofErr w:type="spellEnd"/>
          </w:p>
        </w:tc>
        <w:tc>
          <w:tcPr>
            <w:tcW w:w="4819" w:type="dxa"/>
          </w:tcPr>
          <w:p w:rsidR="003E311F" w:rsidRPr="00515D00" w:rsidRDefault="003E311F" w:rsidP="007A358B">
            <w:pPr>
              <w:autoSpaceDE w:val="0"/>
              <w:autoSpaceDN w:val="0"/>
              <w:adjustRightInd w:val="0"/>
              <w:spacing w:before="60" w:after="60"/>
              <w:ind w:left="-108"/>
              <w:rPr>
                <w:rFonts w:eastAsia="MS Mincho"/>
                <w:sz w:val="16"/>
                <w:szCs w:val="16"/>
                <w:lang w:eastAsia="ja-JP"/>
              </w:rPr>
            </w:pPr>
            <w:r w:rsidRPr="00515D00">
              <w:rPr>
                <w:rFonts w:eastAsia="MS Mincho"/>
                <w:sz w:val="16"/>
                <w:szCs w:val="16"/>
                <w:lang w:eastAsia="ja-JP"/>
              </w:rPr>
              <w:t xml:space="preserve">Ofrecer a los participantes una oportunidad para conocer i) las ventajas económicas de la información sobre patentes y ii) la tendencia general de intercambio de datos sobre patentes entre oficinas de P.I. </w:t>
            </w:r>
          </w:p>
        </w:tc>
      </w:tr>
      <w:tr w:rsidR="003E311F" w:rsidRPr="00092F2E" w:rsidTr="007A358B">
        <w:trPr>
          <w:cantSplit/>
          <w:trHeight w:val="315"/>
        </w:trPr>
        <w:tc>
          <w:tcPr>
            <w:tcW w:w="1701" w:type="dxa"/>
          </w:tcPr>
          <w:p w:rsidR="003E311F" w:rsidRPr="00515D00" w:rsidRDefault="003E311F" w:rsidP="007A358B">
            <w:pPr>
              <w:autoSpaceDE w:val="0"/>
              <w:autoSpaceDN w:val="0"/>
              <w:adjustRightInd w:val="0"/>
              <w:spacing w:before="60" w:after="60"/>
              <w:rPr>
                <w:rFonts w:eastAsia="MS Mincho"/>
                <w:color w:val="000000"/>
                <w:sz w:val="16"/>
                <w:szCs w:val="16"/>
                <w:lang w:eastAsia="ja-JP"/>
              </w:rPr>
            </w:pPr>
            <w:r w:rsidRPr="00515D00">
              <w:rPr>
                <w:rFonts w:eastAsia="MS Mincho"/>
                <w:color w:val="000000"/>
                <w:sz w:val="16"/>
                <w:szCs w:val="16"/>
                <w:lang w:eastAsia="ja-JP"/>
              </w:rPr>
              <w:t>Manual sobre herramientas de código abierto</w:t>
            </w:r>
            <w:r w:rsidR="007A358B">
              <w:rPr>
                <w:rFonts w:eastAsia="MS Mincho"/>
                <w:color w:val="000000"/>
                <w:sz w:val="16"/>
                <w:szCs w:val="16"/>
                <w:lang w:eastAsia="ja-JP"/>
              </w:rPr>
              <w:t xml:space="preserve"> para el análisis de patentes</w:t>
            </w:r>
          </w:p>
        </w:tc>
        <w:tc>
          <w:tcPr>
            <w:tcW w:w="1276" w:type="dxa"/>
            <w:gridSpan w:val="3"/>
          </w:tcPr>
          <w:p w:rsidR="003E311F" w:rsidRPr="00515D00" w:rsidRDefault="003E311F" w:rsidP="007A358B">
            <w:pPr>
              <w:spacing w:before="60" w:after="60"/>
              <w:rPr>
                <w:rFonts w:eastAsia="MS Mincho"/>
                <w:sz w:val="16"/>
                <w:szCs w:val="16"/>
                <w:lang w:eastAsia="ja-JP"/>
              </w:rPr>
            </w:pPr>
            <w:r w:rsidRPr="00515D00">
              <w:rPr>
                <w:rFonts w:eastAsia="MS Mincho"/>
                <w:sz w:val="16"/>
                <w:szCs w:val="16"/>
                <w:lang w:eastAsia="ja-JP"/>
              </w:rPr>
              <w:t>Marzo a diciembre de 2015</w:t>
            </w:r>
          </w:p>
        </w:tc>
        <w:tc>
          <w:tcPr>
            <w:tcW w:w="1985" w:type="dxa"/>
            <w:gridSpan w:val="2"/>
          </w:tcPr>
          <w:p w:rsidR="003E311F" w:rsidRPr="00515D00" w:rsidRDefault="003E311F" w:rsidP="007A358B">
            <w:pPr>
              <w:autoSpaceDE w:val="0"/>
              <w:autoSpaceDN w:val="0"/>
              <w:adjustRightInd w:val="0"/>
              <w:spacing w:before="60" w:after="60"/>
              <w:rPr>
                <w:rFonts w:eastAsia="MS Mincho"/>
                <w:color w:val="000000"/>
                <w:sz w:val="16"/>
                <w:szCs w:val="16"/>
                <w:lang w:eastAsia="ja-JP"/>
              </w:rPr>
            </w:pPr>
            <w:r w:rsidRPr="00515D00">
              <w:rPr>
                <w:rFonts w:eastAsia="MS Mincho"/>
                <w:color w:val="000000"/>
                <w:sz w:val="16"/>
                <w:szCs w:val="16"/>
                <w:lang w:eastAsia="ja-JP"/>
              </w:rPr>
              <w:t>Todos los Estados miembros de la OMPI</w:t>
            </w:r>
          </w:p>
        </w:tc>
        <w:tc>
          <w:tcPr>
            <w:tcW w:w="4819" w:type="dxa"/>
          </w:tcPr>
          <w:p w:rsidR="003E311F" w:rsidRPr="00515D00" w:rsidRDefault="003E311F" w:rsidP="007A358B">
            <w:pPr>
              <w:autoSpaceDE w:val="0"/>
              <w:autoSpaceDN w:val="0"/>
              <w:adjustRightInd w:val="0"/>
              <w:spacing w:before="60" w:after="60"/>
              <w:ind w:left="-108"/>
              <w:rPr>
                <w:rFonts w:eastAsia="MS Mincho"/>
                <w:color w:val="000000"/>
                <w:sz w:val="16"/>
                <w:szCs w:val="16"/>
                <w:lang w:eastAsia="ja-JP"/>
              </w:rPr>
            </w:pPr>
            <w:r w:rsidRPr="00515D00">
              <w:rPr>
                <w:rFonts w:eastAsia="MS Mincho"/>
                <w:color w:val="000000"/>
                <w:sz w:val="16"/>
                <w:szCs w:val="16"/>
                <w:lang w:eastAsia="ja-JP"/>
              </w:rPr>
              <w:t xml:space="preserve">Fortalecer las capacidades de los especialistas en la información contenida en patentes de las oficinas de P.I. y otras instituciones públicas en la preparación de informes de </w:t>
            </w:r>
            <w:proofErr w:type="spellStart"/>
            <w:r w:rsidRPr="00515D00">
              <w:rPr>
                <w:rFonts w:eastAsia="MS Mincho"/>
                <w:color w:val="000000"/>
                <w:sz w:val="16"/>
                <w:szCs w:val="16"/>
                <w:lang w:eastAsia="ja-JP"/>
              </w:rPr>
              <w:t>patentamiento</w:t>
            </w:r>
            <w:proofErr w:type="spellEnd"/>
            <w:r w:rsidRPr="00515D00">
              <w:rPr>
                <w:rFonts w:eastAsia="MS Mincho"/>
                <w:color w:val="000000"/>
                <w:sz w:val="16"/>
                <w:szCs w:val="16"/>
                <w:lang w:eastAsia="ja-JP"/>
              </w:rPr>
              <w:t>.</w:t>
            </w:r>
          </w:p>
        </w:tc>
      </w:tr>
      <w:tr w:rsidR="003E311F" w:rsidRPr="00092F2E" w:rsidTr="007A358B">
        <w:trPr>
          <w:cantSplit/>
          <w:trHeight w:val="315"/>
        </w:trPr>
        <w:tc>
          <w:tcPr>
            <w:tcW w:w="1701" w:type="dxa"/>
          </w:tcPr>
          <w:p w:rsidR="003E311F" w:rsidRPr="00515D00" w:rsidRDefault="003E311F" w:rsidP="007A358B">
            <w:pPr>
              <w:autoSpaceDE w:val="0"/>
              <w:autoSpaceDN w:val="0"/>
              <w:adjustRightInd w:val="0"/>
              <w:spacing w:before="60" w:after="60"/>
              <w:rPr>
                <w:rFonts w:eastAsia="MS Mincho"/>
                <w:color w:val="000000"/>
                <w:sz w:val="16"/>
                <w:szCs w:val="16"/>
                <w:lang w:eastAsia="ja-JP"/>
              </w:rPr>
            </w:pPr>
            <w:r w:rsidRPr="00515D00">
              <w:rPr>
                <w:rFonts w:eastAsia="MS Mincho"/>
                <w:color w:val="000000"/>
                <w:sz w:val="16"/>
                <w:szCs w:val="16"/>
                <w:lang w:eastAsia="ja-JP"/>
              </w:rPr>
              <w:t>Taller interregional sobre herramientas de código abierto para el análisis de patentes</w:t>
            </w:r>
          </w:p>
        </w:tc>
        <w:tc>
          <w:tcPr>
            <w:tcW w:w="1276" w:type="dxa"/>
            <w:gridSpan w:val="3"/>
          </w:tcPr>
          <w:p w:rsidR="003E311F" w:rsidRPr="00515D00" w:rsidRDefault="003E311F" w:rsidP="007A358B">
            <w:pPr>
              <w:spacing w:before="60" w:after="60"/>
              <w:rPr>
                <w:rFonts w:eastAsia="MS Mincho"/>
                <w:sz w:val="16"/>
                <w:szCs w:val="16"/>
                <w:lang w:eastAsia="ja-JP"/>
              </w:rPr>
            </w:pPr>
            <w:r w:rsidRPr="00515D00">
              <w:rPr>
                <w:rFonts w:eastAsia="MS Mincho"/>
                <w:sz w:val="16"/>
                <w:szCs w:val="16"/>
                <w:lang w:eastAsia="ja-JP"/>
              </w:rPr>
              <w:t>25 a 27 de noviembre de 2015</w:t>
            </w:r>
          </w:p>
        </w:tc>
        <w:tc>
          <w:tcPr>
            <w:tcW w:w="1985" w:type="dxa"/>
            <w:gridSpan w:val="2"/>
          </w:tcPr>
          <w:p w:rsidR="003E311F" w:rsidRPr="00515D00" w:rsidRDefault="003E311F" w:rsidP="007A358B">
            <w:pPr>
              <w:autoSpaceDE w:val="0"/>
              <w:autoSpaceDN w:val="0"/>
              <w:adjustRightInd w:val="0"/>
              <w:spacing w:before="60" w:after="60"/>
              <w:rPr>
                <w:rFonts w:eastAsia="MS Mincho"/>
                <w:color w:val="000000"/>
                <w:sz w:val="16"/>
                <w:szCs w:val="16"/>
                <w:lang w:eastAsia="ja-JP"/>
              </w:rPr>
            </w:pPr>
            <w:r w:rsidRPr="00515D00">
              <w:rPr>
                <w:rFonts w:eastAsia="MS Mincho"/>
                <w:color w:val="000000"/>
                <w:sz w:val="16"/>
                <w:szCs w:val="16"/>
                <w:lang w:eastAsia="ja-JP"/>
              </w:rPr>
              <w:t xml:space="preserve">Filipinas/ Brasil, Chile, Brunei Darussalam, India, Indonesia.  Malasia, Mongolia, Pakistán, Filipinas y </w:t>
            </w:r>
            <w:proofErr w:type="spellStart"/>
            <w:r w:rsidRPr="00515D00">
              <w:rPr>
                <w:rFonts w:eastAsia="MS Mincho"/>
                <w:color w:val="000000"/>
                <w:sz w:val="16"/>
                <w:szCs w:val="16"/>
                <w:lang w:eastAsia="ja-JP"/>
              </w:rPr>
              <w:t>Viet</w:t>
            </w:r>
            <w:proofErr w:type="spellEnd"/>
            <w:r w:rsidRPr="00515D00">
              <w:rPr>
                <w:rFonts w:eastAsia="MS Mincho"/>
                <w:color w:val="000000"/>
                <w:sz w:val="16"/>
                <w:szCs w:val="16"/>
                <w:lang w:eastAsia="ja-JP"/>
              </w:rPr>
              <w:t xml:space="preserve"> </w:t>
            </w:r>
            <w:proofErr w:type="spellStart"/>
            <w:r w:rsidRPr="00515D00">
              <w:rPr>
                <w:rFonts w:eastAsia="MS Mincho"/>
                <w:color w:val="000000"/>
                <w:sz w:val="16"/>
                <w:szCs w:val="16"/>
                <w:lang w:eastAsia="ja-JP"/>
              </w:rPr>
              <w:t>Nam</w:t>
            </w:r>
            <w:proofErr w:type="spellEnd"/>
          </w:p>
        </w:tc>
        <w:tc>
          <w:tcPr>
            <w:tcW w:w="4819" w:type="dxa"/>
          </w:tcPr>
          <w:p w:rsidR="003E311F" w:rsidRPr="00515D00" w:rsidRDefault="003E311F" w:rsidP="007A358B">
            <w:pPr>
              <w:autoSpaceDE w:val="0"/>
              <w:autoSpaceDN w:val="0"/>
              <w:adjustRightInd w:val="0"/>
              <w:spacing w:before="60" w:after="60"/>
              <w:ind w:left="-108"/>
              <w:rPr>
                <w:rFonts w:eastAsia="MS Mincho"/>
                <w:color w:val="000000"/>
                <w:sz w:val="16"/>
                <w:szCs w:val="16"/>
                <w:lang w:eastAsia="ja-JP"/>
              </w:rPr>
            </w:pPr>
            <w:r w:rsidRPr="00515D00">
              <w:rPr>
                <w:rFonts w:eastAsia="MS Mincho"/>
                <w:color w:val="000000"/>
                <w:sz w:val="16"/>
                <w:szCs w:val="16"/>
                <w:lang w:eastAsia="ja-JP"/>
              </w:rPr>
              <w:t>i) Presentar el ma</w:t>
            </w:r>
            <w:r>
              <w:rPr>
                <w:rFonts w:eastAsia="MS Mincho"/>
                <w:color w:val="000000"/>
                <w:sz w:val="16"/>
                <w:szCs w:val="16"/>
                <w:lang w:eastAsia="ja-JP"/>
              </w:rPr>
              <w:t xml:space="preserve">nual a sus usuarios potenciales; </w:t>
            </w:r>
            <w:r w:rsidRPr="00515D00">
              <w:rPr>
                <w:rFonts w:eastAsia="MS Mincho"/>
                <w:color w:val="000000"/>
                <w:sz w:val="16"/>
                <w:szCs w:val="16"/>
                <w:lang w:eastAsia="ja-JP"/>
              </w:rPr>
              <w:t xml:space="preserve"> ii) proporcionar formación práctica sobre herramientas específicas de código abierto y gratuitas para diversas tareas de análisis de patentes</w:t>
            </w:r>
            <w:r>
              <w:rPr>
                <w:rFonts w:eastAsia="MS Mincho"/>
                <w:color w:val="000000"/>
                <w:sz w:val="16"/>
                <w:szCs w:val="16"/>
                <w:lang w:eastAsia="ja-JP"/>
              </w:rPr>
              <w:t xml:space="preserve">; </w:t>
            </w:r>
            <w:r w:rsidRPr="00515D00">
              <w:rPr>
                <w:rFonts w:eastAsia="MS Mincho"/>
                <w:color w:val="000000"/>
                <w:sz w:val="16"/>
                <w:szCs w:val="16"/>
                <w:lang w:eastAsia="ja-JP"/>
              </w:rPr>
              <w:t xml:space="preserve"> y iii) facilitar la colaboración entre las oficinas de P.I. y otras instituciones que trabajan en el análisis de patentes para intercambiar opiniones y prácticas óptimas.  </w:t>
            </w:r>
          </w:p>
        </w:tc>
      </w:tr>
      <w:tr w:rsidR="003E311F" w:rsidRPr="00092F2E" w:rsidTr="007A358B">
        <w:trPr>
          <w:cantSplit/>
          <w:trHeight w:val="315"/>
        </w:trPr>
        <w:tc>
          <w:tcPr>
            <w:tcW w:w="1701" w:type="dxa"/>
          </w:tcPr>
          <w:p w:rsidR="003E311F" w:rsidRPr="00515D00" w:rsidRDefault="003E311F" w:rsidP="007A358B">
            <w:pPr>
              <w:autoSpaceDE w:val="0"/>
              <w:autoSpaceDN w:val="0"/>
              <w:adjustRightInd w:val="0"/>
              <w:spacing w:before="60" w:after="60"/>
              <w:rPr>
                <w:rFonts w:eastAsia="MS Mincho"/>
                <w:sz w:val="16"/>
                <w:szCs w:val="16"/>
                <w:lang w:eastAsia="ja-JP"/>
              </w:rPr>
            </w:pPr>
            <w:r w:rsidRPr="00515D00">
              <w:rPr>
                <w:rFonts w:eastAsia="MS Mincho"/>
                <w:sz w:val="16"/>
                <w:szCs w:val="16"/>
                <w:lang w:eastAsia="ja-JP"/>
              </w:rPr>
              <w:t>Investigación a cargo de la Oficina de la OMPI en el Japón de casos de éxito que vinculan la actividad empresarial y la P.I.</w:t>
            </w:r>
          </w:p>
        </w:tc>
        <w:tc>
          <w:tcPr>
            <w:tcW w:w="1276" w:type="dxa"/>
            <w:gridSpan w:val="3"/>
          </w:tcPr>
          <w:p w:rsidR="003E311F" w:rsidRPr="00515D00" w:rsidRDefault="003E311F" w:rsidP="007A358B">
            <w:pPr>
              <w:spacing w:before="60" w:after="60"/>
              <w:rPr>
                <w:rFonts w:eastAsia="MS Mincho"/>
                <w:sz w:val="16"/>
                <w:szCs w:val="16"/>
                <w:lang w:eastAsia="ja-JP"/>
              </w:rPr>
            </w:pPr>
            <w:r w:rsidRPr="00515D00">
              <w:rPr>
                <w:rFonts w:eastAsia="MS Mincho"/>
                <w:sz w:val="16"/>
                <w:szCs w:val="16"/>
                <w:lang w:eastAsia="ja-JP"/>
              </w:rPr>
              <w:t>Enero a marzo de 2015</w:t>
            </w:r>
          </w:p>
        </w:tc>
        <w:tc>
          <w:tcPr>
            <w:tcW w:w="1985" w:type="dxa"/>
            <w:gridSpan w:val="2"/>
          </w:tcPr>
          <w:p w:rsidR="003E311F" w:rsidRPr="00515D00" w:rsidRDefault="003E311F" w:rsidP="007A358B">
            <w:pPr>
              <w:autoSpaceDE w:val="0"/>
              <w:autoSpaceDN w:val="0"/>
              <w:adjustRightInd w:val="0"/>
              <w:spacing w:before="60" w:after="60"/>
              <w:rPr>
                <w:rFonts w:eastAsia="MS Mincho"/>
                <w:color w:val="000000" w:themeColor="text1"/>
                <w:sz w:val="16"/>
                <w:szCs w:val="16"/>
                <w:lang w:eastAsia="ja-JP"/>
              </w:rPr>
            </w:pPr>
            <w:r w:rsidRPr="00515D00">
              <w:rPr>
                <w:rFonts w:eastAsia="MS Mincho"/>
                <w:color w:val="000000" w:themeColor="text1"/>
                <w:sz w:val="16"/>
                <w:szCs w:val="16"/>
                <w:lang w:eastAsia="ja-JP"/>
              </w:rPr>
              <w:t>Grecia, Jordania y Malasia/ Todos los Estados miembros de la OMPI</w:t>
            </w:r>
          </w:p>
        </w:tc>
        <w:tc>
          <w:tcPr>
            <w:tcW w:w="4819" w:type="dxa"/>
          </w:tcPr>
          <w:p w:rsidR="003E311F" w:rsidRPr="00515D00" w:rsidRDefault="003E311F" w:rsidP="007A358B">
            <w:pPr>
              <w:autoSpaceDE w:val="0"/>
              <w:autoSpaceDN w:val="0"/>
              <w:adjustRightInd w:val="0"/>
              <w:spacing w:before="60" w:after="60"/>
              <w:ind w:left="-108"/>
              <w:rPr>
                <w:rFonts w:eastAsia="MS Mincho"/>
                <w:color w:val="000000" w:themeColor="text1"/>
                <w:sz w:val="16"/>
                <w:szCs w:val="16"/>
                <w:lang w:eastAsia="ja-JP"/>
              </w:rPr>
            </w:pPr>
            <w:r w:rsidRPr="00515D00">
              <w:rPr>
                <w:rFonts w:eastAsia="MS Mincho"/>
                <w:sz w:val="16"/>
                <w:szCs w:val="16"/>
                <w:lang w:eastAsia="ja-JP"/>
              </w:rPr>
              <w:t xml:space="preserve">La Oficina de la OMPI en el Japón </w:t>
            </w:r>
            <w:r w:rsidRPr="00515D00">
              <w:rPr>
                <w:rFonts w:eastAsia="MS Mincho"/>
                <w:color w:val="000000" w:themeColor="text1"/>
                <w:sz w:val="16"/>
                <w:szCs w:val="16"/>
                <w:lang w:eastAsia="ja-JP"/>
              </w:rPr>
              <w:t>llevó a cabo una investigación y recopiló casos de éxito que vincul</w:t>
            </w:r>
            <w:r>
              <w:rPr>
                <w:rFonts w:eastAsia="MS Mincho"/>
                <w:color w:val="000000" w:themeColor="text1"/>
                <w:sz w:val="16"/>
                <w:szCs w:val="16"/>
                <w:lang w:eastAsia="ja-JP"/>
              </w:rPr>
              <w:t>aban</w:t>
            </w:r>
            <w:r w:rsidRPr="00515D00">
              <w:rPr>
                <w:rFonts w:eastAsia="MS Mincho"/>
                <w:color w:val="000000" w:themeColor="text1"/>
                <w:sz w:val="16"/>
                <w:szCs w:val="16"/>
                <w:lang w:eastAsia="ja-JP"/>
              </w:rPr>
              <w:t xml:space="preserve"> la actividad empresarial y la P.I., </w:t>
            </w:r>
            <w:r>
              <w:rPr>
                <w:rFonts w:eastAsia="MS Mincho"/>
                <w:color w:val="000000" w:themeColor="text1"/>
                <w:sz w:val="16"/>
                <w:szCs w:val="16"/>
                <w:lang w:eastAsia="ja-JP"/>
              </w:rPr>
              <w:t>dedicando una atención especial</w:t>
            </w:r>
            <w:r w:rsidRPr="00515D00">
              <w:rPr>
                <w:rFonts w:eastAsia="MS Mincho"/>
                <w:color w:val="000000" w:themeColor="text1"/>
                <w:sz w:val="16"/>
                <w:szCs w:val="16"/>
                <w:lang w:eastAsia="ja-JP"/>
              </w:rPr>
              <w:t xml:space="preserve"> </w:t>
            </w:r>
            <w:r>
              <w:rPr>
                <w:rFonts w:eastAsia="MS Mincho"/>
                <w:color w:val="000000" w:themeColor="text1"/>
                <w:sz w:val="16"/>
                <w:szCs w:val="16"/>
                <w:lang w:eastAsia="ja-JP"/>
              </w:rPr>
              <w:t xml:space="preserve">a </w:t>
            </w:r>
            <w:r w:rsidRPr="00515D00">
              <w:rPr>
                <w:rFonts w:eastAsia="MS Mincho"/>
                <w:color w:val="000000" w:themeColor="text1"/>
                <w:sz w:val="16"/>
                <w:szCs w:val="16"/>
                <w:lang w:eastAsia="ja-JP"/>
              </w:rPr>
              <w:t xml:space="preserve">los casos relacionados con los países en vías de desarrollo, que contribuyeron a enriquecer la base de datos IP </w:t>
            </w:r>
            <w:proofErr w:type="spellStart"/>
            <w:r w:rsidRPr="00515D00">
              <w:rPr>
                <w:rFonts w:eastAsia="MS Mincho"/>
                <w:color w:val="000000" w:themeColor="text1"/>
                <w:sz w:val="16"/>
                <w:szCs w:val="16"/>
                <w:lang w:eastAsia="ja-JP"/>
              </w:rPr>
              <w:t>Advantage</w:t>
            </w:r>
            <w:proofErr w:type="spellEnd"/>
            <w:r w:rsidRPr="00515D00">
              <w:rPr>
                <w:rFonts w:eastAsia="MS Mincho"/>
                <w:color w:val="000000" w:themeColor="text1"/>
                <w:sz w:val="16"/>
                <w:szCs w:val="16"/>
                <w:lang w:eastAsia="ja-JP"/>
              </w:rPr>
              <w:t>:</w:t>
            </w:r>
          </w:p>
          <w:p w:rsidR="003E311F" w:rsidRPr="00515D00" w:rsidRDefault="003E311F" w:rsidP="003E311F">
            <w:pPr>
              <w:pStyle w:val="ListParagraph"/>
              <w:numPr>
                <w:ilvl w:val="0"/>
                <w:numId w:val="121"/>
              </w:numPr>
              <w:autoSpaceDE w:val="0"/>
              <w:autoSpaceDN w:val="0"/>
              <w:adjustRightInd w:val="0"/>
              <w:spacing w:before="60" w:after="60"/>
              <w:rPr>
                <w:rFonts w:eastAsia="MS Mincho" w:cs="Arial"/>
                <w:color w:val="000000" w:themeColor="text1"/>
                <w:sz w:val="16"/>
                <w:szCs w:val="16"/>
                <w:lang w:val="es-ES"/>
              </w:rPr>
            </w:pPr>
            <w:r w:rsidRPr="00515D00">
              <w:rPr>
                <w:rFonts w:eastAsia="MS Mincho" w:cs="Arial"/>
                <w:color w:val="000000" w:themeColor="text1"/>
                <w:sz w:val="16"/>
                <w:szCs w:val="16"/>
                <w:lang w:val="es-ES"/>
              </w:rPr>
              <w:t>El caso de</w:t>
            </w:r>
            <w:r>
              <w:rPr>
                <w:rFonts w:eastAsia="MS Mincho" w:cs="Arial"/>
                <w:color w:val="000000" w:themeColor="text1"/>
                <w:sz w:val="16"/>
                <w:szCs w:val="16"/>
                <w:lang w:val="es-ES"/>
              </w:rPr>
              <w:t>l f</w:t>
            </w:r>
            <w:r w:rsidRPr="00515D00">
              <w:rPr>
                <w:rFonts w:eastAsia="MS Mincho" w:cs="Arial"/>
                <w:color w:val="000000" w:themeColor="text1"/>
                <w:sz w:val="16"/>
                <w:szCs w:val="16"/>
                <w:lang w:val="es-ES"/>
              </w:rPr>
              <w:t xml:space="preserve">eta (Grecia);  </w:t>
            </w:r>
          </w:p>
          <w:p w:rsidR="003E311F" w:rsidRPr="00515D00" w:rsidRDefault="003E311F" w:rsidP="003E311F">
            <w:pPr>
              <w:pStyle w:val="ListParagraph"/>
              <w:numPr>
                <w:ilvl w:val="0"/>
                <w:numId w:val="121"/>
              </w:numPr>
              <w:autoSpaceDE w:val="0"/>
              <w:autoSpaceDN w:val="0"/>
              <w:adjustRightInd w:val="0"/>
              <w:spacing w:before="60" w:after="60"/>
              <w:rPr>
                <w:rFonts w:eastAsia="MS Mincho" w:cs="Arial"/>
                <w:color w:val="000000" w:themeColor="text1"/>
                <w:sz w:val="16"/>
                <w:szCs w:val="16"/>
                <w:lang w:val="es-ES"/>
              </w:rPr>
            </w:pPr>
            <w:r w:rsidRPr="00515D00">
              <w:rPr>
                <w:rFonts w:eastAsia="MS Mincho" w:cs="Arial"/>
                <w:color w:val="000000" w:themeColor="text1"/>
                <w:sz w:val="16"/>
                <w:szCs w:val="16"/>
                <w:lang w:val="es-ES"/>
              </w:rPr>
              <w:t>(i) Desarrollar programas informáticos asequibles para la pequeña empresa;  (ii) La innovación evoluciona gracias al impulso de la propiedad intelectual (Jordania);  y</w:t>
            </w:r>
          </w:p>
          <w:p w:rsidR="003E311F" w:rsidRPr="00515D00" w:rsidRDefault="003E311F" w:rsidP="003E311F">
            <w:pPr>
              <w:pStyle w:val="ListParagraph"/>
              <w:numPr>
                <w:ilvl w:val="0"/>
                <w:numId w:val="121"/>
              </w:numPr>
              <w:autoSpaceDE w:val="0"/>
              <w:autoSpaceDN w:val="0"/>
              <w:adjustRightInd w:val="0"/>
              <w:spacing w:before="60" w:after="60"/>
              <w:rPr>
                <w:rFonts w:eastAsia="MS Mincho" w:cs="Arial"/>
                <w:color w:val="000000" w:themeColor="text1"/>
                <w:sz w:val="16"/>
                <w:szCs w:val="16"/>
                <w:lang w:val="es-ES"/>
              </w:rPr>
            </w:pPr>
            <w:r w:rsidRPr="00515D00">
              <w:rPr>
                <w:rFonts w:eastAsia="MS Mincho" w:cs="Arial"/>
                <w:color w:val="000000" w:themeColor="text1"/>
                <w:sz w:val="16"/>
                <w:szCs w:val="16"/>
                <w:lang w:val="es-ES"/>
              </w:rPr>
              <w:t xml:space="preserve">La tecnología, la negociación de licencias y la I+D de la Universidad de </w:t>
            </w:r>
            <w:proofErr w:type="spellStart"/>
            <w:r w:rsidRPr="00515D00">
              <w:rPr>
                <w:rFonts w:eastAsia="MS Mincho" w:cs="Arial"/>
                <w:color w:val="000000" w:themeColor="text1"/>
                <w:sz w:val="16"/>
                <w:szCs w:val="16"/>
                <w:lang w:val="es-ES"/>
              </w:rPr>
              <w:t>Treesand</w:t>
            </w:r>
            <w:proofErr w:type="spellEnd"/>
            <w:r w:rsidRPr="00515D00">
              <w:rPr>
                <w:rFonts w:eastAsia="MS Mincho" w:cs="Arial"/>
                <w:color w:val="000000" w:themeColor="text1"/>
                <w:sz w:val="16"/>
                <w:szCs w:val="16"/>
                <w:lang w:val="es-ES"/>
              </w:rPr>
              <w:t xml:space="preserve"> para alimentar un país (Malasia)</w:t>
            </w:r>
          </w:p>
        </w:tc>
      </w:tr>
      <w:tr w:rsidR="003E311F" w:rsidRPr="00092F2E" w:rsidTr="007A358B">
        <w:trPr>
          <w:cantSplit/>
          <w:trHeight w:val="315"/>
        </w:trPr>
        <w:tc>
          <w:tcPr>
            <w:tcW w:w="1701" w:type="dxa"/>
          </w:tcPr>
          <w:p w:rsidR="003E311F" w:rsidRPr="00515D00" w:rsidRDefault="003E311F" w:rsidP="007A358B">
            <w:pPr>
              <w:autoSpaceDE w:val="0"/>
              <w:autoSpaceDN w:val="0"/>
              <w:adjustRightInd w:val="0"/>
              <w:spacing w:before="60" w:after="60"/>
              <w:rPr>
                <w:rFonts w:eastAsia="MS Mincho"/>
                <w:sz w:val="16"/>
                <w:szCs w:val="16"/>
                <w:lang w:eastAsia="ja-JP"/>
              </w:rPr>
            </w:pPr>
            <w:r w:rsidRPr="00515D00">
              <w:rPr>
                <w:rFonts w:eastAsia="MS Mincho"/>
                <w:sz w:val="16"/>
                <w:szCs w:val="16"/>
                <w:lang w:eastAsia="ja-JP"/>
              </w:rPr>
              <w:t xml:space="preserve">Traducción de publicaciones de la OMPI </w:t>
            </w:r>
          </w:p>
        </w:tc>
        <w:tc>
          <w:tcPr>
            <w:tcW w:w="1276" w:type="dxa"/>
            <w:gridSpan w:val="3"/>
          </w:tcPr>
          <w:p w:rsidR="003E311F" w:rsidRPr="00515D00" w:rsidRDefault="003E311F" w:rsidP="007A358B">
            <w:pPr>
              <w:spacing w:before="60" w:after="60"/>
              <w:rPr>
                <w:rFonts w:eastAsia="MS Mincho"/>
                <w:sz w:val="16"/>
                <w:szCs w:val="16"/>
                <w:lang w:eastAsia="ja-JP"/>
              </w:rPr>
            </w:pPr>
            <w:r w:rsidRPr="00515D00">
              <w:rPr>
                <w:rFonts w:eastAsia="MS Mincho"/>
                <w:sz w:val="16"/>
                <w:szCs w:val="16"/>
                <w:lang w:eastAsia="ja-JP"/>
              </w:rPr>
              <w:t>2015 (Iniciado)</w:t>
            </w:r>
          </w:p>
        </w:tc>
        <w:tc>
          <w:tcPr>
            <w:tcW w:w="1985" w:type="dxa"/>
            <w:gridSpan w:val="2"/>
          </w:tcPr>
          <w:p w:rsidR="003E311F" w:rsidRPr="00515D00" w:rsidRDefault="003E311F" w:rsidP="007A358B">
            <w:pPr>
              <w:autoSpaceDE w:val="0"/>
              <w:autoSpaceDN w:val="0"/>
              <w:adjustRightInd w:val="0"/>
              <w:spacing w:before="60" w:after="60"/>
              <w:rPr>
                <w:rFonts w:eastAsia="MS Mincho"/>
                <w:color w:val="000000"/>
                <w:sz w:val="16"/>
                <w:szCs w:val="16"/>
                <w:lang w:eastAsia="ja-JP"/>
              </w:rPr>
            </w:pPr>
            <w:r w:rsidRPr="00515D00">
              <w:rPr>
                <w:rFonts w:eastAsia="MS Mincho"/>
                <w:color w:val="000000"/>
                <w:sz w:val="16"/>
                <w:szCs w:val="16"/>
                <w:lang w:eastAsia="ja-JP"/>
              </w:rPr>
              <w:t>Myanmar</w:t>
            </w:r>
          </w:p>
        </w:tc>
        <w:tc>
          <w:tcPr>
            <w:tcW w:w="4819" w:type="dxa"/>
          </w:tcPr>
          <w:p w:rsidR="003E311F" w:rsidRPr="00515D00" w:rsidRDefault="003E311F" w:rsidP="007A358B">
            <w:pPr>
              <w:autoSpaceDE w:val="0"/>
              <w:autoSpaceDN w:val="0"/>
              <w:adjustRightInd w:val="0"/>
              <w:spacing w:before="60" w:after="60"/>
              <w:ind w:left="-108"/>
              <w:rPr>
                <w:rFonts w:eastAsia="MS Mincho"/>
                <w:sz w:val="16"/>
                <w:szCs w:val="16"/>
                <w:lang w:eastAsia="ja-JP"/>
              </w:rPr>
            </w:pPr>
            <w:r w:rsidRPr="00515D00">
              <w:rPr>
                <w:sz w:val="16"/>
                <w:szCs w:val="16"/>
                <w:lang w:eastAsia="ja-JP"/>
              </w:rPr>
              <w:t>Se están traduciendo al birmano las siguientes publicaciones de la OMPI</w:t>
            </w:r>
            <w:proofErr w:type="gramStart"/>
            <w:r w:rsidRPr="00515D00">
              <w:rPr>
                <w:sz w:val="16"/>
                <w:szCs w:val="16"/>
                <w:lang w:eastAsia="ja-JP"/>
              </w:rPr>
              <w:t>::</w:t>
            </w:r>
            <w:proofErr w:type="gramEnd"/>
            <w:r w:rsidRPr="00515D00">
              <w:rPr>
                <w:sz w:val="16"/>
                <w:szCs w:val="16"/>
                <w:lang w:eastAsia="ja-JP"/>
              </w:rPr>
              <w:t xml:space="preserve">  </w:t>
            </w:r>
            <w:r w:rsidRPr="00515D00">
              <w:rPr>
                <w:sz w:val="16"/>
                <w:szCs w:val="16"/>
              </w:rPr>
              <w:t>i)</w:t>
            </w:r>
            <w:r w:rsidRPr="00515D00">
              <w:rPr>
                <w:sz w:val="16"/>
                <w:szCs w:val="16"/>
                <w:lang w:eastAsia="ja-JP"/>
              </w:rPr>
              <w:t xml:space="preserve"> </w:t>
            </w:r>
            <w:r>
              <w:rPr>
                <w:sz w:val="16"/>
                <w:szCs w:val="16"/>
                <w:lang w:eastAsia="ja-JP"/>
              </w:rPr>
              <w:t>"</w:t>
            </w:r>
            <w:r w:rsidRPr="00515D00">
              <w:rPr>
                <w:sz w:val="16"/>
                <w:szCs w:val="16"/>
              </w:rPr>
              <w:t>El secreto está en la marca:  Introducción a las marcas dirigida a las pequeñas y medianas empresas</w:t>
            </w:r>
            <w:r>
              <w:rPr>
                <w:sz w:val="16"/>
                <w:szCs w:val="16"/>
              </w:rPr>
              <w:t>"</w:t>
            </w:r>
            <w:r w:rsidRPr="00515D00">
              <w:rPr>
                <w:sz w:val="16"/>
                <w:szCs w:val="16"/>
              </w:rPr>
              <w:t>;  ii)</w:t>
            </w:r>
            <w:r w:rsidRPr="00515D00">
              <w:rPr>
                <w:sz w:val="16"/>
                <w:szCs w:val="16"/>
                <w:lang w:eastAsia="ja-JP"/>
              </w:rPr>
              <w:t xml:space="preserve"> </w:t>
            </w:r>
            <w:r>
              <w:rPr>
                <w:sz w:val="16"/>
                <w:szCs w:val="16"/>
                <w:lang w:eastAsia="ja-JP"/>
              </w:rPr>
              <w:t>"</w:t>
            </w:r>
            <w:r w:rsidRPr="00515D00">
              <w:rPr>
                <w:sz w:val="16"/>
                <w:szCs w:val="16"/>
              </w:rPr>
              <w:t>Inventar el futuro:  Introducción a las patentes dirigida a las pequeñas y medianas empresas</w:t>
            </w:r>
            <w:r>
              <w:rPr>
                <w:sz w:val="16"/>
                <w:szCs w:val="16"/>
              </w:rPr>
              <w:t>"</w:t>
            </w:r>
            <w:r w:rsidRPr="00515D00">
              <w:rPr>
                <w:sz w:val="16"/>
                <w:szCs w:val="16"/>
              </w:rPr>
              <w:t>;  y</w:t>
            </w:r>
            <w:r w:rsidRPr="00515D00">
              <w:rPr>
                <w:sz w:val="16"/>
                <w:szCs w:val="16"/>
                <w:lang w:eastAsia="ja-JP"/>
              </w:rPr>
              <w:t xml:space="preserve"> </w:t>
            </w:r>
            <w:r w:rsidRPr="00515D00">
              <w:rPr>
                <w:sz w:val="16"/>
                <w:szCs w:val="16"/>
              </w:rPr>
              <w:t xml:space="preserve">iii) </w:t>
            </w:r>
            <w:r>
              <w:rPr>
                <w:sz w:val="16"/>
                <w:szCs w:val="16"/>
              </w:rPr>
              <w:t>"</w:t>
            </w:r>
            <w:r w:rsidRPr="00515D00">
              <w:rPr>
                <w:sz w:val="16"/>
                <w:szCs w:val="16"/>
              </w:rPr>
              <w:t>Expresión creativa:  Introducción al derecho de autor y los derechos conexos para las pequeñas y medianas empresas</w:t>
            </w:r>
            <w:r>
              <w:rPr>
                <w:sz w:val="16"/>
                <w:szCs w:val="16"/>
              </w:rPr>
              <w:t>"</w:t>
            </w:r>
            <w:r w:rsidRPr="00515D00">
              <w:rPr>
                <w:sz w:val="16"/>
                <w:szCs w:val="16"/>
              </w:rPr>
              <w:t xml:space="preserve">.  </w:t>
            </w:r>
          </w:p>
        </w:tc>
      </w:tr>
      <w:tr w:rsidR="003E311F" w:rsidRPr="00092F2E" w:rsidTr="007A358B">
        <w:trPr>
          <w:cantSplit/>
          <w:trHeight w:val="315"/>
        </w:trPr>
        <w:tc>
          <w:tcPr>
            <w:tcW w:w="1701" w:type="dxa"/>
            <w:tcBorders>
              <w:bottom w:val="single" w:sz="4" w:space="0" w:color="auto"/>
            </w:tcBorders>
          </w:tcPr>
          <w:p w:rsidR="003E311F" w:rsidRPr="00515D00" w:rsidRDefault="003E311F" w:rsidP="007A358B">
            <w:pPr>
              <w:autoSpaceDE w:val="0"/>
              <w:autoSpaceDN w:val="0"/>
              <w:adjustRightInd w:val="0"/>
              <w:spacing w:before="60" w:after="60"/>
              <w:rPr>
                <w:rFonts w:eastAsia="MS Mincho"/>
                <w:sz w:val="16"/>
                <w:szCs w:val="16"/>
                <w:lang w:eastAsia="ja-JP"/>
              </w:rPr>
            </w:pPr>
            <w:r w:rsidRPr="00515D00">
              <w:rPr>
                <w:rFonts w:eastAsia="MS Mincho"/>
                <w:sz w:val="16"/>
                <w:szCs w:val="16"/>
                <w:lang w:eastAsia="ja-JP"/>
              </w:rPr>
              <w:t>Suministro de material de referencia sobre P.I.</w:t>
            </w:r>
          </w:p>
        </w:tc>
        <w:tc>
          <w:tcPr>
            <w:tcW w:w="1276" w:type="dxa"/>
            <w:gridSpan w:val="3"/>
            <w:tcBorders>
              <w:bottom w:val="single" w:sz="4" w:space="0" w:color="auto"/>
            </w:tcBorders>
          </w:tcPr>
          <w:p w:rsidR="003E311F" w:rsidRPr="00515D00" w:rsidRDefault="003E311F" w:rsidP="007A358B">
            <w:pPr>
              <w:spacing w:before="60" w:after="60"/>
              <w:rPr>
                <w:rFonts w:eastAsia="MS Mincho"/>
                <w:sz w:val="16"/>
                <w:szCs w:val="16"/>
                <w:lang w:eastAsia="ja-JP"/>
              </w:rPr>
            </w:pPr>
            <w:r w:rsidRPr="00515D00">
              <w:rPr>
                <w:rFonts w:eastAsia="MS Mincho"/>
                <w:sz w:val="16"/>
                <w:szCs w:val="16"/>
                <w:lang w:eastAsia="ja-JP"/>
              </w:rPr>
              <w:t>2015</w:t>
            </w:r>
          </w:p>
        </w:tc>
        <w:tc>
          <w:tcPr>
            <w:tcW w:w="1985" w:type="dxa"/>
            <w:gridSpan w:val="2"/>
            <w:tcBorders>
              <w:bottom w:val="single" w:sz="4" w:space="0" w:color="auto"/>
            </w:tcBorders>
          </w:tcPr>
          <w:p w:rsidR="003E311F" w:rsidRPr="00515D00" w:rsidRDefault="003E311F" w:rsidP="007A358B">
            <w:pPr>
              <w:autoSpaceDE w:val="0"/>
              <w:autoSpaceDN w:val="0"/>
              <w:adjustRightInd w:val="0"/>
              <w:spacing w:before="60" w:after="60"/>
              <w:rPr>
                <w:rFonts w:eastAsia="MS Mincho"/>
                <w:color w:val="000000"/>
                <w:sz w:val="16"/>
                <w:szCs w:val="16"/>
                <w:lang w:eastAsia="ja-JP"/>
              </w:rPr>
            </w:pPr>
            <w:r w:rsidRPr="00515D00">
              <w:rPr>
                <w:rFonts w:eastAsia="MS Mincho"/>
                <w:color w:val="000000"/>
                <w:sz w:val="16"/>
                <w:szCs w:val="16"/>
                <w:lang w:eastAsia="ja-JP"/>
              </w:rPr>
              <w:t>Tailandia</w:t>
            </w:r>
          </w:p>
        </w:tc>
        <w:tc>
          <w:tcPr>
            <w:tcW w:w="4819" w:type="dxa"/>
            <w:tcBorders>
              <w:bottom w:val="single" w:sz="4" w:space="0" w:color="auto"/>
            </w:tcBorders>
          </w:tcPr>
          <w:p w:rsidR="003E311F" w:rsidRPr="001C15D9" w:rsidRDefault="003E311F" w:rsidP="007A358B">
            <w:pPr>
              <w:pStyle w:val="std"/>
              <w:spacing w:before="40" w:after="40"/>
            </w:pPr>
            <w:r>
              <w:rPr>
                <w:rFonts w:ascii="Arial" w:hAnsi="Arial" w:cs="Arial"/>
                <w:sz w:val="16"/>
                <w:szCs w:val="16"/>
                <w:lang w:eastAsia="en-US"/>
              </w:rPr>
              <w:t>Suministro de</w:t>
            </w:r>
            <w:r w:rsidRPr="001C15D9">
              <w:rPr>
                <w:rFonts w:ascii="Arial" w:hAnsi="Arial" w:cs="Arial"/>
                <w:sz w:val="16"/>
                <w:szCs w:val="16"/>
                <w:lang w:eastAsia="en-US"/>
              </w:rPr>
              <w:t xml:space="preserve"> un conjunto de publicaciones esenciales sobre P.I.</w:t>
            </w:r>
            <w:r>
              <w:rPr>
                <w:rFonts w:ascii="Arial" w:hAnsi="Arial" w:cs="Arial"/>
                <w:sz w:val="16"/>
                <w:szCs w:val="16"/>
                <w:lang w:eastAsia="en-US"/>
              </w:rPr>
              <w:t xml:space="preserve"> </w:t>
            </w:r>
            <w:r w:rsidRPr="001C15D9">
              <w:rPr>
                <w:rFonts w:ascii="Arial" w:hAnsi="Arial" w:cs="Arial"/>
                <w:sz w:val="16"/>
                <w:szCs w:val="16"/>
                <w:lang w:eastAsia="en-US"/>
              </w:rPr>
              <w:t xml:space="preserve">al </w:t>
            </w:r>
            <w:r>
              <w:rPr>
                <w:rFonts w:ascii="Arial" w:hAnsi="Arial" w:cs="Arial"/>
                <w:sz w:val="16"/>
                <w:szCs w:val="16"/>
                <w:lang w:eastAsia="en-US"/>
              </w:rPr>
              <w:t>Tribunal Central de la Propiedad Intelectual y del Comercio Internacional de Tailandia.</w:t>
            </w:r>
          </w:p>
        </w:tc>
      </w:tr>
      <w:tr w:rsidR="003E311F" w:rsidRPr="00092F2E" w:rsidTr="007A358B">
        <w:trPr>
          <w:cantSplit/>
          <w:trHeight w:val="315"/>
        </w:trPr>
        <w:tc>
          <w:tcPr>
            <w:tcW w:w="9781" w:type="dxa"/>
            <w:gridSpan w:val="7"/>
            <w:tcBorders>
              <w:top w:val="single" w:sz="4" w:space="0" w:color="auto"/>
              <w:bottom w:val="single" w:sz="4" w:space="0" w:color="000000"/>
            </w:tcBorders>
            <w:shd w:val="clear" w:color="auto" w:fill="C6D9F1" w:themeFill="text2" w:themeFillTint="33"/>
          </w:tcPr>
          <w:p w:rsidR="003E311F" w:rsidRPr="00515D00" w:rsidRDefault="003E311F" w:rsidP="007A358B">
            <w:pPr>
              <w:keepNext/>
              <w:keepLines/>
              <w:tabs>
                <w:tab w:val="left" w:pos="1740"/>
              </w:tabs>
              <w:spacing w:before="120" w:after="120"/>
              <w:ind w:left="1740" w:hanging="1740"/>
              <w:rPr>
                <w:color w:val="000000"/>
                <w:sz w:val="16"/>
                <w:szCs w:val="16"/>
              </w:rPr>
            </w:pPr>
            <w:r w:rsidRPr="00515D00">
              <w:rPr>
                <w:b/>
                <w:bCs/>
                <w:color w:val="000000"/>
                <w:sz w:val="16"/>
                <w:szCs w:val="16"/>
              </w:rPr>
              <w:lastRenderedPageBreak/>
              <w:t>RESULTADO:</w:t>
            </w:r>
            <w:r w:rsidRPr="00515D00">
              <w:rPr>
                <w:bCs/>
                <w:sz w:val="16"/>
                <w:szCs w:val="16"/>
              </w:rPr>
              <w:tab/>
              <w:t>IV.4  Mejora en la infraestructura técnica y de conocimientos de las Oficinas y demás instituciones de P.I. que les permita prestar mejores servicios (más económicos, más rápidos y de mejor calidad) a sus partes interesadas</w:t>
            </w:r>
          </w:p>
        </w:tc>
      </w:tr>
      <w:tr w:rsidR="003E311F" w:rsidRPr="00515D00" w:rsidTr="007A358B">
        <w:trPr>
          <w:cantSplit/>
          <w:trHeight w:val="429"/>
        </w:trPr>
        <w:tc>
          <w:tcPr>
            <w:tcW w:w="1843" w:type="dxa"/>
            <w:gridSpan w:val="3"/>
            <w:tcBorders>
              <w:top w:val="single" w:sz="4" w:space="0" w:color="000000"/>
            </w:tcBorders>
            <w:vAlign w:val="center"/>
          </w:tcPr>
          <w:p w:rsidR="003E311F" w:rsidRPr="00515D00" w:rsidRDefault="003E311F" w:rsidP="007A358B">
            <w:pPr>
              <w:keepNext/>
              <w:keepLines/>
              <w:spacing w:before="60" w:after="60"/>
              <w:rPr>
                <w:b/>
                <w:bCs/>
                <w:sz w:val="16"/>
                <w:szCs w:val="16"/>
              </w:rPr>
            </w:pPr>
            <w:r w:rsidRPr="00515D00">
              <w:rPr>
                <w:b/>
                <w:bCs/>
                <w:sz w:val="16"/>
                <w:szCs w:val="16"/>
              </w:rPr>
              <w:t>Actividad</w:t>
            </w:r>
          </w:p>
        </w:tc>
        <w:tc>
          <w:tcPr>
            <w:tcW w:w="1134" w:type="dxa"/>
            <w:tcBorders>
              <w:top w:val="single" w:sz="4" w:space="0" w:color="000000"/>
            </w:tcBorders>
            <w:vAlign w:val="center"/>
          </w:tcPr>
          <w:p w:rsidR="003E311F" w:rsidRPr="00515D00" w:rsidRDefault="003E311F" w:rsidP="007A358B">
            <w:pPr>
              <w:keepNext/>
              <w:keepLines/>
              <w:spacing w:before="60" w:after="60"/>
              <w:rPr>
                <w:sz w:val="16"/>
                <w:szCs w:val="16"/>
              </w:rPr>
            </w:pPr>
            <w:r w:rsidRPr="00515D00">
              <w:rPr>
                <w:b/>
                <w:bCs/>
                <w:sz w:val="16"/>
                <w:szCs w:val="16"/>
              </w:rPr>
              <w:t>Fecha</w:t>
            </w:r>
          </w:p>
        </w:tc>
        <w:tc>
          <w:tcPr>
            <w:tcW w:w="1986" w:type="dxa"/>
            <w:gridSpan w:val="2"/>
            <w:tcBorders>
              <w:top w:val="single" w:sz="4" w:space="0" w:color="000000"/>
            </w:tcBorders>
            <w:vAlign w:val="center"/>
          </w:tcPr>
          <w:p w:rsidR="003E311F" w:rsidRPr="00515D00" w:rsidRDefault="003E311F" w:rsidP="007A358B">
            <w:pPr>
              <w:widowControl w:val="0"/>
              <w:rPr>
                <w:sz w:val="16"/>
                <w:szCs w:val="16"/>
              </w:rPr>
            </w:pPr>
            <w:r w:rsidRPr="00515D00">
              <w:rPr>
                <w:b/>
                <w:sz w:val="16"/>
                <w:szCs w:val="16"/>
              </w:rPr>
              <w:t>País anfitrión / Beneficiarios</w:t>
            </w:r>
          </w:p>
        </w:tc>
        <w:tc>
          <w:tcPr>
            <w:tcW w:w="4818" w:type="dxa"/>
            <w:tcBorders>
              <w:top w:val="single" w:sz="4" w:space="0" w:color="000000"/>
            </w:tcBorders>
            <w:vAlign w:val="center"/>
          </w:tcPr>
          <w:p w:rsidR="003E311F" w:rsidRPr="00515D00" w:rsidRDefault="003E311F" w:rsidP="007A358B">
            <w:pPr>
              <w:widowControl w:val="0"/>
              <w:rPr>
                <w:sz w:val="16"/>
                <w:szCs w:val="16"/>
              </w:rPr>
            </w:pPr>
            <w:r w:rsidRPr="00515D00">
              <w:rPr>
                <w:b/>
                <w:sz w:val="16"/>
                <w:szCs w:val="16"/>
              </w:rPr>
              <w:t>Propósito(s)/Descripción</w:t>
            </w:r>
          </w:p>
        </w:tc>
      </w:tr>
      <w:tr w:rsidR="003E311F" w:rsidRPr="00092F2E" w:rsidTr="007A358B">
        <w:trPr>
          <w:cantSplit/>
          <w:trHeight w:val="80"/>
        </w:trPr>
        <w:tc>
          <w:tcPr>
            <w:tcW w:w="1843" w:type="dxa"/>
            <w:gridSpan w:val="3"/>
          </w:tcPr>
          <w:p w:rsidR="003E311F" w:rsidRPr="00515D00" w:rsidRDefault="003E311F" w:rsidP="007A358B">
            <w:pPr>
              <w:autoSpaceDE w:val="0"/>
              <w:autoSpaceDN w:val="0"/>
              <w:adjustRightInd w:val="0"/>
              <w:spacing w:before="60" w:after="60"/>
              <w:rPr>
                <w:rFonts w:eastAsia="MS Mincho"/>
                <w:color w:val="000000"/>
                <w:sz w:val="16"/>
                <w:szCs w:val="16"/>
                <w:lang w:eastAsia="ja-JP"/>
              </w:rPr>
            </w:pPr>
            <w:r w:rsidRPr="00515D00">
              <w:rPr>
                <w:rFonts w:eastAsia="MS Mincho"/>
                <w:color w:val="000000"/>
                <w:sz w:val="16"/>
                <w:szCs w:val="16"/>
                <w:lang w:eastAsia="ja-JP"/>
              </w:rPr>
              <w:t xml:space="preserve">Taller sobre la utilización de la plataforma CASE y la división eficiente y eficaz del trabajo en la ASEAN </w:t>
            </w:r>
          </w:p>
        </w:tc>
        <w:tc>
          <w:tcPr>
            <w:tcW w:w="1134" w:type="dxa"/>
          </w:tcPr>
          <w:p w:rsidR="003E311F" w:rsidRPr="00515D00" w:rsidRDefault="003E311F" w:rsidP="007A358B">
            <w:pPr>
              <w:spacing w:before="60" w:after="60"/>
              <w:rPr>
                <w:rFonts w:eastAsia="MS Mincho"/>
                <w:color w:val="000000"/>
                <w:sz w:val="16"/>
                <w:szCs w:val="16"/>
                <w:lang w:eastAsia="ja-JP"/>
              </w:rPr>
            </w:pPr>
            <w:r w:rsidRPr="00515D00">
              <w:rPr>
                <w:rFonts w:eastAsia="MS Mincho"/>
                <w:color w:val="000000"/>
                <w:sz w:val="16"/>
                <w:szCs w:val="16"/>
                <w:lang w:eastAsia="ja-JP"/>
              </w:rPr>
              <w:t>Febrero de 2015</w:t>
            </w:r>
          </w:p>
        </w:tc>
        <w:tc>
          <w:tcPr>
            <w:tcW w:w="1986" w:type="dxa"/>
            <w:gridSpan w:val="2"/>
          </w:tcPr>
          <w:p w:rsidR="003E311F" w:rsidRPr="00515D00" w:rsidRDefault="003E311F" w:rsidP="007A358B">
            <w:pPr>
              <w:autoSpaceDE w:val="0"/>
              <w:autoSpaceDN w:val="0"/>
              <w:adjustRightInd w:val="0"/>
              <w:spacing w:before="60" w:after="60"/>
              <w:rPr>
                <w:rFonts w:eastAsia="MS Mincho"/>
                <w:color w:val="000000"/>
                <w:sz w:val="16"/>
                <w:szCs w:val="16"/>
                <w:lang w:eastAsia="ja-JP"/>
              </w:rPr>
            </w:pPr>
            <w:r w:rsidRPr="00515D00">
              <w:rPr>
                <w:rFonts w:eastAsia="MS Mincho"/>
                <w:color w:val="000000"/>
                <w:sz w:val="16"/>
                <w:szCs w:val="16"/>
                <w:lang w:eastAsia="ja-JP"/>
              </w:rPr>
              <w:t>Singapur/ Estados miembros de la ASEAN</w:t>
            </w:r>
          </w:p>
        </w:tc>
        <w:tc>
          <w:tcPr>
            <w:tcW w:w="4818" w:type="dxa"/>
          </w:tcPr>
          <w:p w:rsidR="003E311F" w:rsidRPr="00515D00" w:rsidRDefault="003E311F" w:rsidP="007A358B">
            <w:pPr>
              <w:autoSpaceDE w:val="0"/>
              <w:autoSpaceDN w:val="0"/>
              <w:adjustRightInd w:val="0"/>
              <w:spacing w:before="60" w:after="60"/>
              <w:ind w:left="-108"/>
              <w:rPr>
                <w:sz w:val="16"/>
                <w:szCs w:val="16"/>
              </w:rPr>
            </w:pPr>
            <w:r w:rsidRPr="00515D00">
              <w:rPr>
                <w:sz w:val="16"/>
                <w:szCs w:val="16"/>
              </w:rPr>
              <w:t xml:space="preserve">Ayudar a los miembros de la ASEAN a impulsar la iniciativa de división del trabajo desde una clara comprensión de las necesidades de las empresas y mejorar la calidad de la búsqueda y el examen a nivel nacional.  Los objetivos del seminario eran:  i) mejorar las prácticas </w:t>
            </w:r>
            <w:r w:rsidRPr="001960A4">
              <w:rPr>
                <w:sz w:val="16"/>
                <w:szCs w:val="16"/>
              </w:rPr>
              <w:t xml:space="preserve">operativas del programa de cooperación para el examen de patentes </w:t>
            </w:r>
            <w:r w:rsidRPr="00515D00">
              <w:rPr>
                <w:sz w:val="16"/>
                <w:szCs w:val="16"/>
              </w:rPr>
              <w:t xml:space="preserve">(ASPEC) </w:t>
            </w:r>
            <w:r w:rsidRPr="001960A4">
              <w:rPr>
                <w:sz w:val="16"/>
                <w:szCs w:val="16"/>
              </w:rPr>
              <w:t>de l</w:t>
            </w:r>
            <w:r w:rsidRPr="00515D00">
              <w:rPr>
                <w:sz w:val="16"/>
                <w:szCs w:val="16"/>
              </w:rPr>
              <w:t>a ASEAN a partir de un enfoque más est</w:t>
            </w:r>
            <w:r>
              <w:rPr>
                <w:sz w:val="16"/>
                <w:szCs w:val="16"/>
              </w:rPr>
              <w:t xml:space="preserve">ratégico y orientado al negocio; </w:t>
            </w:r>
            <w:r w:rsidRPr="00515D00">
              <w:rPr>
                <w:sz w:val="16"/>
                <w:szCs w:val="16"/>
              </w:rPr>
              <w:t xml:space="preserve"> ii) examinar el nivel actual de las prácticas del ASPEC y la </w:t>
            </w:r>
            <w:r>
              <w:rPr>
                <w:sz w:val="16"/>
                <w:szCs w:val="16"/>
              </w:rPr>
              <w:t>eficacia</w:t>
            </w:r>
            <w:r w:rsidRPr="00515D00">
              <w:rPr>
                <w:sz w:val="16"/>
                <w:szCs w:val="16"/>
              </w:rPr>
              <w:t xml:space="preserve"> y eficiencia de la plataforma WIPO CASE como instrumento para facilitar los procesos propios del ASPEC</w:t>
            </w:r>
            <w:r>
              <w:rPr>
                <w:sz w:val="16"/>
                <w:szCs w:val="16"/>
              </w:rPr>
              <w:t xml:space="preserve">; </w:t>
            </w:r>
            <w:r w:rsidRPr="00515D00">
              <w:rPr>
                <w:sz w:val="16"/>
                <w:szCs w:val="16"/>
              </w:rPr>
              <w:t xml:space="preserve"> iii) convertir WIPO CASE en una plataforma útil para que los examinadores de patentes aprendan acerca de las prácticas de examen de patentes en diferentes oficinas de P.I. y la</w:t>
            </w:r>
            <w:r>
              <w:rPr>
                <w:sz w:val="16"/>
                <w:szCs w:val="16"/>
              </w:rPr>
              <w:t xml:space="preserve">s apliquen en su trabajo actual; </w:t>
            </w:r>
            <w:r w:rsidRPr="00515D00">
              <w:rPr>
                <w:sz w:val="16"/>
                <w:szCs w:val="16"/>
              </w:rPr>
              <w:t xml:space="preserve"> y iv) ofrecer recomendaciones para potenciar y mejorar la eficiencia del proceso de trabajo del ASPEC, entre ellas medidas específicas.</w:t>
            </w:r>
          </w:p>
        </w:tc>
      </w:tr>
      <w:tr w:rsidR="003E311F" w:rsidRPr="00092F2E" w:rsidTr="007A358B">
        <w:trPr>
          <w:cantSplit/>
          <w:trHeight w:val="80"/>
        </w:trPr>
        <w:tc>
          <w:tcPr>
            <w:tcW w:w="1843" w:type="dxa"/>
            <w:gridSpan w:val="3"/>
          </w:tcPr>
          <w:p w:rsidR="003E311F" w:rsidRPr="00515D00" w:rsidRDefault="003E311F" w:rsidP="007A358B">
            <w:pPr>
              <w:autoSpaceDE w:val="0"/>
              <w:autoSpaceDN w:val="0"/>
              <w:adjustRightInd w:val="0"/>
              <w:spacing w:before="60" w:after="60"/>
              <w:rPr>
                <w:rFonts w:eastAsia="MS Mincho"/>
                <w:color w:val="000000"/>
                <w:sz w:val="16"/>
                <w:szCs w:val="16"/>
                <w:lang w:eastAsia="ja-JP"/>
              </w:rPr>
            </w:pPr>
            <w:r w:rsidRPr="00515D00">
              <w:rPr>
                <w:rFonts w:eastAsia="MS Mincho"/>
                <w:color w:val="000000"/>
                <w:sz w:val="16"/>
                <w:szCs w:val="16"/>
                <w:lang w:eastAsia="ja-JP"/>
              </w:rPr>
              <w:t xml:space="preserve">Proyecto </w:t>
            </w:r>
            <w:r>
              <w:rPr>
                <w:rFonts w:eastAsia="MS Mincho"/>
                <w:color w:val="000000"/>
                <w:sz w:val="16"/>
                <w:szCs w:val="16"/>
                <w:lang w:eastAsia="ja-JP"/>
              </w:rPr>
              <w:t>sobre el</w:t>
            </w:r>
            <w:r w:rsidRPr="00515D00">
              <w:rPr>
                <w:rFonts w:eastAsia="MS Mincho"/>
                <w:color w:val="000000"/>
                <w:sz w:val="16"/>
                <w:szCs w:val="16"/>
                <w:lang w:eastAsia="ja-JP"/>
              </w:rPr>
              <w:t xml:space="preserve"> fortalecimiento de la infraestructura de las oficinas de P.I. de la ASEAN para respaldar la cooperación regional en la división del trabajo en materia de patentes</w:t>
            </w:r>
          </w:p>
        </w:tc>
        <w:tc>
          <w:tcPr>
            <w:tcW w:w="1134" w:type="dxa"/>
          </w:tcPr>
          <w:p w:rsidR="003E311F" w:rsidRPr="00515D00" w:rsidRDefault="003E311F" w:rsidP="007A358B">
            <w:pPr>
              <w:spacing w:before="60" w:after="60"/>
              <w:rPr>
                <w:rFonts w:eastAsia="MS Mincho"/>
                <w:color w:val="000000"/>
                <w:sz w:val="16"/>
                <w:szCs w:val="16"/>
                <w:lang w:eastAsia="ja-JP"/>
              </w:rPr>
            </w:pPr>
            <w:r w:rsidRPr="00515D00">
              <w:rPr>
                <w:rFonts w:eastAsia="MS Mincho"/>
                <w:color w:val="000000"/>
                <w:sz w:val="16"/>
                <w:szCs w:val="16"/>
                <w:lang w:eastAsia="ja-JP"/>
              </w:rPr>
              <w:t>Abril de 2015 (iniciado)</w:t>
            </w:r>
          </w:p>
        </w:tc>
        <w:tc>
          <w:tcPr>
            <w:tcW w:w="1986" w:type="dxa"/>
            <w:gridSpan w:val="2"/>
          </w:tcPr>
          <w:p w:rsidR="003E311F" w:rsidRPr="00515D00" w:rsidRDefault="003E311F" w:rsidP="007A358B">
            <w:pPr>
              <w:autoSpaceDE w:val="0"/>
              <w:autoSpaceDN w:val="0"/>
              <w:adjustRightInd w:val="0"/>
              <w:spacing w:before="60" w:after="60"/>
              <w:rPr>
                <w:rFonts w:eastAsia="MS Mincho"/>
                <w:color w:val="000000"/>
                <w:sz w:val="16"/>
                <w:szCs w:val="16"/>
                <w:lang w:eastAsia="ja-JP"/>
              </w:rPr>
            </w:pPr>
            <w:r w:rsidRPr="00515D00">
              <w:rPr>
                <w:rFonts w:eastAsia="MS Mincho"/>
                <w:color w:val="000000"/>
                <w:sz w:val="16"/>
                <w:szCs w:val="16"/>
                <w:lang w:eastAsia="ja-JP"/>
              </w:rPr>
              <w:t>Estados miembros de la ASEAN</w:t>
            </w:r>
          </w:p>
        </w:tc>
        <w:tc>
          <w:tcPr>
            <w:tcW w:w="4818" w:type="dxa"/>
          </w:tcPr>
          <w:p w:rsidR="003E311F" w:rsidRPr="00515D00" w:rsidRDefault="003E311F" w:rsidP="007A358B">
            <w:pPr>
              <w:autoSpaceDE w:val="0"/>
              <w:autoSpaceDN w:val="0"/>
              <w:adjustRightInd w:val="0"/>
              <w:spacing w:before="60" w:after="60"/>
              <w:ind w:left="-108"/>
              <w:rPr>
                <w:sz w:val="16"/>
                <w:szCs w:val="16"/>
              </w:rPr>
            </w:pPr>
            <w:r w:rsidRPr="00515D00">
              <w:rPr>
                <w:sz w:val="16"/>
                <w:szCs w:val="16"/>
              </w:rPr>
              <w:t>i) Ampliar y mejorar los procesos de las oficinas de P.I. de la ASEAN dirigidos a compartir con otras oficinas de P.I. la información contenida en sus expedientes, incluidos los resultados de la búsqueda y el examen de patentes, a través de la red WIPO CASE</w:t>
            </w:r>
            <w:r>
              <w:rPr>
                <w:sz w:val="16"/>
                <w:szCs w:val="16"/>
              </w:rPr>
              <w:t xml:space="preserve">; </w:t>
            </w:r>
            <w:r w:rsidRPr="00515D00">
              <w:rPr>
                <w:sz w:val="16"/>
                <w:szCs w:val="16"/>
              </w:rPr>
              <w:t xml:space="preserve"> ii) desarrollar sistemas de información a nivel regional que empleen de forma eficaz una plataforma informática</w:t>
            </w:r>
            <w:r>
              <w:rPr>
                <w:sz w:val="16"/>
                <w:szCs w:val="16"/>
              </w:rPr>
              <w:t xml:space="preserve">; </w:t>
            </w:r>
            <w:r w:rsidRPr="00515D00">
              <w:rPr>
                <w:sz w:val="16"/>
                <w:szCs w:val="16"/>
              </w:rPr>
              <w:t xml:space="preserve"> y iii) ofrecer la asistencia técnica necesaria para que las oficinas de P.I. de la ASEAN puedan respaldar los procesos dirigidos a compartir la información contenida en sus expedientes y otros recursos de información sobre P.I. a través de la mejora de los sistemas de gestión de P.I.</w:t>
            </w:r>
          </w:p>
        </w:tc>
      </w:tr>
      <w:tr w:rsidR="003E311F" w:rsidRPr="00092F2E" w:rsidTr="007A358B">
        <w:trPr>
          <w:cantSplit/>
          <w:trHeight w:val="80"/>
        </w:trPr>
        <w:tc>
          <w:tcPr>
            <w:tcW w:w="1843" w:type="dxa"/>
            <w:gridSpan w:val="3"/>
          </w:tcPr>
          <w:p w:rsidR="003E311F" w:rsidRPr="00515D00" w:rsidRDefault="003E311F" w:rsidP="007A358B">
            <w:pPr>
              <w:autoSpaceDE w:val="0"/>
              <w:autoSpaceDN w:val="0"/>
              <w:adjustRightInd w:val="0"/>
              <w:spacing w:before="60" w:after="60"/>
              <w:rPr>
                <w:rFonts w:eastAsia="MS Mincho"/>
                <w:color w:val="000000"/>
                <w:sz w:val="16"/>
                <w:szCs w:val="16"/>
                <w:lang w:eastAsia="ja-JP"/>
              </w:rPr>
            </w:pPr>
            <w:r w:rsidRPr="00515D00">
              <w:rPr>
                <w:color w:val="000000"/>
                <w:sz w:val="16"/>
                <w:szCs w:val="16"/>
              </w:rPr>
              <w:t xml:space="preserve">Visita de estudio a la Oficina Japonesa de Patentes de la </w:t>
            </w:r>
            <w:r w:rsidRPr="00515D00">
              <w:rPr>
                <w:rFonts w:eastAsia="MS Mincho"/>
                <w:color w:val="000000"/>
                <w:sz w:val="16"/>
                <w:szCs w:val="16"/>
                <w:lang w:eastAsia="ja-JP"/>
              </w:rPr>
              <w:t xml:space="preserve">Dirección General de Derechos de Propiedad Intelectual de Indonesia (DGIPR) </w:t>
            </w:r>
          </w:p>
        </w:tc>
        <w:tc>
          <w:tcPr>
            <w:tcW w:w="1134" w:type="dxa"/>
          </w:tcPr>
          <w:p w:rsidR="003E311F" w:rsidRPr="00515D00" w:rsidRDefault="003E311F" w:rsidP="007A358B">
            <w:pPr>
              <w:spacing w:before="60" w:after="60"/>
              <w:rPr>
                <w:rFonts w:eastAsia="MS Mincho"/>
                <w:color w:val="000000"/>
                <w:sz w:val="16"/>
                <w:szCs w:val="16"/>
                <w:lang w:eastAsia="ja-JP"/>
              </w:rPr>
            </w:pPr>
            <w:r w:rsidRPr="00515D00">
              <w:rPr>
                <w:rFonts w:eastAsia="MS Mincho"/>
                <w:color w:val="000000"/>
                <w:sz w:val="16"/>
                <w:szCs w:val="16"/>
                <w:lang w:eastAsia="ja-JP"/>
              </w:rPr>
              <w:t>Septiembre de 2015</w:t>
            </w:r>
          </w:p>
        </w:tc>
        <w:tc>
          <w:tcPr>
            <w:tcW w:w="1986" w:type="dxa"/>
            <w:gridSpan w:val="2"/>
          </w:tcPr>
          <w:p w:rsidR="003E311F" w:rsidRPr="00515D00" w:rsidRDefault="003E311F" w:rsidP="007A358B">
            <w:pPr>
              <w:autoSpaceDE w:val="0"/>
              <w:autoSpaceDN w:val="0"/>
              <w:adjustRightInd w:val="0"/>
              <w:spacing w:before="60" w:after="60"/>
              <w:rPr>
                <w:rFonts w:eastAsia="MS Mincho"/>
                <w:color w:val="000000"/>
                <w:sz w:val="16"/>
                <w:szCs w:val="16"/>
                <w:lang w:eastAsia="ja-JP"/>
              </w:rPr>
            </w:pPr>
            <w:r w:rsidRPr="00515D00">
              <w:rPr>
                <w:rFonts w:eastAsia="MS Mincho"/>
                <w:color w:val="000000"/>
                <w:sz w:val="16"/>
                <w:szCs w:val="16"/>
                <w:lang w:eastAsia="ja-JP"/>
              </w:rPr>
              <w:t>Indonesia</w:t>
            </w:r>
          </w:p>
        </w:tc>
        <w:tc>
          <w:tcPr>
            <w:tcW w:w="4818" w:type="dxa"/>
          </w:tcPr>
          <w:p w:rsidR="003E311F" w:rsidRPr="00515D00" w:rsidRDefault="003E311F" w:rsidP="007A358B">
            <w:pPr>
              <w:autoSpaceDE w:val="0"/>
              <w:autoSpaceDN w:val="0"/>
              <w:adjustRightInd w:val="0"/>
              <w:spacing w:before="60" w:after="60"/>
              <w:ind w:left="-108"/>
              <w:rPr>
                <w:sz w:val="16"/>
                <w:szCs w:val="16"/>
              </w:rPr>
            </w:pPr>
            <w:r w:rsidRPr="00515D00">
              <w:rPr>
                <w:sz w:val="16"/>
                <w:szCs w:val="16"/>
              </w:rPr>
              <w:t>Tomar la Oficina Japonesa de Patentes como referencia en cuanto a la reestructuración de los procesos institucionales y de las prácticas de examen basada en el uso de sistemas de información.</w:t>
            </w:r>
          </w:p>
        </w:tc>
      </w:tr>
      <w:tr w:rsidR="003E311F" w:rsidRPr="00092F2E" w:rsidTr="007A358B">
        <w:trPr>
          <w:cantSplit/>
          <w:trHeight w:val="80"/>
        </w:trPr>
        <w:tc>
          <w:tcPr>
            <w:tcW w:w="1843" w:type="dxa"/>
            <w:gridSpan w:val="3"/>
          </w:tcPr>
          <w:p w:rsidR="003E311F" w:rsidRPr="00515D00" w:rsidRDefault="003E311F" w:rsidP="007A358B">
            <w:pPr>
              <w:autoSpaceDE w:val="0"/>
              <w:autoSpaceDN w:val="0"/>
              <w:adjustRightInd w:val="0"/>
              <w:spacing w:before="60" w:after="60"/>
              <w:rPr>
                <w:rFonts w:eastAsia="MS Mincho"/>
                <w:color w:val="000000"/>
                <w:sz w:val="16"/>
                <w:szCs w:val="16"/>
                <w:lang w:eastAsia="ja-JP"/>
              </w:rPr>
            </w:pPr>
            <w:r w:rsidRPr="00515D00">
              <w:rPr>
                <w:rFonts w:eastAsia="MS Mincho"/>
                <w:color w:val="000000"/>
                <w:sz w:val="16"/>
                <w:szCs w:val="16"/>
                <w:lang w:eastAsia="ja-JP"/>
              </w:rPr>
              <w:t>Taller de la ASEAN sobre las tecnologías de la información y los servicios empresariales por Internet en Camboya</w:t>
            </w:r>
          </w:p>
        </w:tc>
        <w:tc>
          <w:tcPr>
            <w:tcW w:w="1134" w:type="dxa"/>
          </w:tcPr>
          <w:p w:rsidR="003E311F" w:rsidRPr="00515D00" w:rsidRDefault="003E311F" w:rsidP="007A358B">
            <w:pPr>
              <w:spacing w:before="60" w:after="60"/>
              <w:rPr>
                <w:rFonts w:eastAsia="MS Mincho"/>
                <w:color w:val="000000"/>
                <w:sz w:val="16"/>
                <w:szCs w:val="16"/>
                <w:lang w:eastAsia="ja-JP"/>
              </w:rPr>
            </w:pPr>
            <w:r w:rsidRPr="00515D00">
              <w:rPr>
                <w:rFonts w:eastAsia="MS Mincho"/>
                <w:color w:val="000000"/>
                <w:sz w:val="16"/>
                <w:szCs w:val="16"/>
                <w:lang w:eastAsia="ja-JP"/>
              </w:rPr>
              <w:t>2 a 6 de noviembre de 2015</w:t>
            </w:r>
          </w:p>
        </w:tc>
        <w:tc>
          <w:tcPr>
            <w:tcW w:w="1986" w:type="dxa"/>
            <w:gridSpan w:val="2"/>
          </w:tcPr>
          <w:p w:rsidR="003E311F" w:rsidRPr="00515D00" w:rsidRDefault="003E311F" w:rsidP="007A358B">
            <w:pPr>
              <w:autoSpaceDE w:val="0"/>
              <w:autoSpaceDN w:val="0"/>
              <w:adjustRightInd w:val="0"/>
              <w:spacing w:before="60" w:after="60"/>
              <w:rPr>
                <w:rFonts w:eastAsia="MS Mincho"/>
                <w:color w:val="000000"/>
                <w:sz w:val="16"/>
                <w:szCs w:val="16"/>
                <w:lang w:eastAsia="ja-JP"/>
              </w:rPr>
            </w:pPr>
            <w:r w:rsidRPr="00515D00">
              <w:rPr>
                <w:rFonts w:eastAsia="MS Mincho"/>
                <w:color w:val="000000"/>
                <w:sz w:val="16"/>
                <w:szCs w:val="16"/>
                <w:lang w:eastAsia="ja-JP"/>
              </w:rPr>
              <w:t xml:space="preserve">Camboya/ Brunei Darussalam, Indonesia, República Democrática Popular Lao, Malasia, Myanmar, Filipinas, Singapur, Tailandia y </w:t>
            </w:r>
            <w:proofErr w:type="spellStart"/>
            <w:r w:rsidRPr="00515D00">
              <w:rPr>
                <w:rFonts w:eastAsia="MS Mincho"/>
                <w:color w:val="000000"/>
                <w:sz w:val="16"/>
                <w:szCs w:val="16"/>
                <w:lang w:eastAsia="ja-JP"/>
              </w:rPr>
              <w:t>Viet</w:t>
            </w:r>
            <w:proofErr w:type="spellEnd"/>
            <w:r w:rsidRPr="00515D00">
              <w:rPr>
                <w:rFonts w:eastAsia="MS Mincho"/>
                <w:color w:val="000000"/>
                <w:sz w:val="16"/>
                <w:szCs w:val="16"/>
                <w:lang w:eastAsia="ja-JP"/>
              </w:rPr>
              <w:t xml:space="preserve"> </w:t>
            </w:r>
            <w:proofErr w:type="spellStart"/>
            <w:r w:rsidRPr="00515D00">
              <w:rPr>
                <w:rFonts w:eastAsia="MS Mincho"/>
                <w:color w:val="000000"/>
                <w:sz w:val="16"/>
                <w:szCs w:val="16"/>
                <w:lang w:eastAsia="ja-JP"/>
              </w:rPr>
              <w:t>Nam</w:t>
            </w:r>
            <w:proofErr w:type="spellEnd"/>
          </w:p>
        </w:tc>
        <w:tc>
          <w:tcPr>
            <w:tcW w:w="4818" w:type="dxa"/>
          </w:tcPr>
          <w:p w:rsidR="003E311F" w:rsidRPr="00515D00" w:rsidRDefault="003E311F" w:rsidP="007A358B">
            <w:pPr>
              <w:autoSpaceDE w:val="0"/>
              <w:autoSpaceDN w:val="0"/>
              <w:adjustRightInd w:val="0"/>
              <w:spacing w:before="60" w:after="60"/>
              <w:ind w:left="-108"/>
              <w:rPr>
                <w:sz w:val="16"/>
                <w:szCs w:val="16"/>
              </w:rPr>
            </w:pPr>
            <w:r w:rsidRPr="00515D00">
              <w:rPr>
                <w:sz w:val="16"/>
                <w:szCs w:val="16"/>
              </w:rPr>
              <w:t xml:space="preserve">Apoyar el desarrollo técnico de los servicios empresariales por Internet en la región de la ASEAN y fomentar con este fin una mejor utilización del </w:t>
            </w:r>
            <w:r w:rsidRPr="001960A4">
              <w:rPr>
                <w:sz w:val="16"/>
                <w:szCs w:val="16"/>
              </w:rPr>
              <w:t>Sistema de Automatización de la Propiedad Industrial</w:t>
            </w:r>
            <w:r w:rsidRPr="00515D00">
              <w:rPr>
                <w:sz w:val="16"/>
                <w:szCs w:val="16"/>
              </w:rPr>
              <w:t xml:space="preserve"> (IPAS).</w:t>
            </w:r>
          </w:p>
        </w:tc>
      </w:tr>
      <w:tr w:rsidR="003E311F" w:rsidRPr="00092F2E" w:rsidTr="007A358B">
        <w:trPr>
          <w:cantSplit/>
          <w:trHeight w:val="80"/>
        </w:trPr>
        <w:tc>
          <w:tcPr>
            <w:tcW w:w="1843" w:type="dxa"/>
            <w:gridSpan w:val="3"/>
          </w:tcPr>
          <w:p w:rsidR="003E311F" w:rsidRPr="00515D00" w:rsidRDefault="003E311F" w:rsidP="007A358B">
            <w:pPr>
              <w:autoSpaceDE w:val="0"/>
              <w:autoSpaceDN w:val="0"/>
              <w:adjustRightInd w:val="0"/>
              <w:spacing w:before="60" w:after="60"/>
              <w:rPr>
                <w:rFonts w:eastAsia="MS Mincho"/>
                <w:color w:val="000000"/>
                <w:sz w:val="16"/>
                <w:szCs w:val="16"/>
                <w:lang w:eastAsia="ja-JP"/>
              </w:rPr>
            </w:pPr>
            <w:r w:rsidRPr="00515D00">
              <w:rPr>
                <w:rFonts w:eastAsia="MS Mincho"/>
                <w:color w:val="000000"/>
                <w:sz w:val="16"/>
                <w:szCs w:val="16"/>
                <w:lang w:eastAsia="ja-JP"/>
              </w:rPr>
              <w:t xml:space="preserve">Proyecto de digitalización </w:t>
            </w:r>
            <w:r>
              <w:rPr>
                <w:rFonts w:eastAsia="MS Mincho"/>
                <w:color w:val="000000"/>
                <w:sz w:val="16"/>
                <w:szCs w:val="16"/>
                <w:lang w:eastAsia="ja-JP"/>
              </w:rPr>
              <w:t>y uso</w:t>
            </w:r>
            <w:r w:rsidRPr="001960A4">
              <w:rPr>
                <w:rFonts w:eastAsia="MS Mincho"/>
                <w:color w:val="000000"/>
                <w:sz w:val="16"/>
                <w:szCs w:val="16"/>
                <w:lang w:eastAsia="ja-JP"/>
              </w:rPr>
              <w:t xml:space="preserve"> del</w:t>
            </w:r>
            <w:r w:rsidRPr="00515D00">
              <w:rPr>
                <w:rFonts w:eastAsia="MS Mincho"/>
                <w:color w:val="000000"/>
                <w:sz w:val="16"/>
                <w:szCs w:val="16"/>
                <w:lang w:eastAsia="ja-JP"/>
              </w:rPr>
              <w:t xml:space="preserve"> Sistema de Gestión Electrónica de Documentos</w:t>
            </w:r>
            <w:r>
              <w:rPr>
                <w:rFonts w:eastAsia="MS Mincho"/>
                <w:color w:val="000000"/>
                <w:sz w:val="16"/>
                <w:szCs w:val="16"/>
                <w:lang w:eastAsia="ja-JP"/>
              </w:rPr>
              <w:t xml:space="preserve"> </w:t>
            </w:r>
            <w:r w:rsidRPr="00515D00">
              <w:rPr>
                <w:rFonts w:eastAsia="MS Mincho"/>
                <w:color w:val="000000"/>
                <w:sz w:val="16"/>
                <w:szCs w:val="16"/>
                <w:lang w:eastAsia="ja-JP"/>
              </w:rPr>
              <w:t xml:space="preserve">(SGED) en Camboya </w:t>
            </w:r>
          </w:p>
        </w:tc>
        <w:tc>
          <w:tcPr>
            <w:tcW w:w="1134" w:type="dxa"/>
          </w:tcPr>
          <w:p w:rsidR="003E311F" w:rsidRPr="00515D00" w:rsidRDefault="003E311F" w:rsidP="007A358B">
            <w:pPr>
              <w:spacing w:before="60" w:after="60"/>
              <w:rPr>
                <w:rFonts w:eastAsia="MS Mincho"/>
                <w:color w:val="000000"/>
                <w:sz w:val="16"/>
                <w:szCs w:val="16"/>
                <w:lang w:eastAsia="ja-JP"/>
              </w:rPr>
            </w:pPr>
            <w:r w:rsidRPr="00515D00">
              <w:rPr>
                <w:rFonts w:eastAsia="MS Mincho"/>
                <w:color w:val="000000"/>
                <w:sz w:val="16"/>
                <w:szCs w:val="16"/>
                <w:lang w:eastAsia="ja-JP"/>
              </w:rPr>
              <w:t>Febrero a diciembre de 2015</w:t>
            </w:r>
          </w:p>
        </w:tc>
        <w:tc>
          <w:tcPr>
            <w:tcW w:w="1986" w:type="dxa"/>
            <w:gridSpan w:val="2"/>
          </w:tcPr>
          <w:p w:rsidR="003E311F" w:rsidRPr="00515D00" w:rsidRDefault="003E311F" w:rsidP="007A358B">
            <w:pPr>
              <w:autoSpaceDE w:val="0"/>
              <w:autoSpaceDN w:val="0"/>
              <w:adjustRightInd w:val="0"/>
              <w:spacing w:before="60" w:after="60"/>
              <w:rPr>
                <w:rFonts w:eastAsia="MS Mincho"/>
                <w:color w:val="000000"/>
                <w:sz w:val="16"/>
                <w:szCs w:val="16"/>
                <w:lang w:eastAsia="ja-JP"/>
              </w:rPr>
            </w:pPr>
            <w:r w:rsidRPr="00515D00">
              <w:rPr>
                <w:rFonts w:eastAsia="MS Mincho"/>
                <w:color w:val="000000"/>
                <w:sz w:val="16"/>
                <w:szCs w:val="16"/>
                <w:lang w:eastAsia="ja-JP"/>
              </w:rPr>
              <w:t>Camboya</w:t>
            </w:r>
          </w:p>
        </w:tc>
        <w:tc>
          <w:tcPr>
            <w:tcW w:w="4818" w:type="dxa"/>
          </w:tcPr>
          <w:p w:rsidR="003E311F" w:rsidRPr="00515D00" w:rsidRDefault="003E311F" w:rsidP="007A358B">
            <w:pPr>
              <w:autoSpaceDE w:val="0"/>
              <w:autoSpaceDN w:val="0"/>
              <w:adjustRightInd w:val="0"/>
              <w:spacing w:before="60" w:after="60"/>
              <w:ind w:left="-108"/>
              <w:rPr>
                <w:sz w:val="16"/>
                <w:szCs w:val="16"/>
              </w:rPr>
            </w:pPr>
            <w:r w:rsidRPr="00515D00">
              <w:rPr>
                <w:sz w:val="16"/>
                <w:szCs w:val="16"/>
              </w:rPr>
              <w:t>Digitalización de los documentos de patente del Departamento de Propiedad Industrial del Ministerio de Industria, Minería y Energía de los documentos de marca del Departamento de Derechos de Propiedad Intelectual del Ministerio de Comercio de Camboya.</w:t>
            </w:r>
          </w:p>
        </w:tc>
      </w:tr>
      <w:tr w:rsidR="003E311F" w:rsidRPr="00092F2E" w:rsidTr="007A358B">
        <w:trPr>
          <w:cantSplit/>
          <w:trHeight w:val="80"/>
        </w:trPr>
        <w:tc>
          <w:tcPr>
            <w:tcW w:w="1843" w:type="dxa"/>
            <w:gridSpan w:val="3"/>
          </w:tcPr>
          <w:p w:rsidR="003E311F" w:rsidRPr="00515D00" w:rsidRDefault="003E311F" w:rsidP="007A358B">
            <w:pPr>
              <w:autoSpaceDE w:val="0"/>
              <w:autoSpaceDN w:val="0"/>
              <w:adjustRightInd w:val="0"/>
              <w:spacing w:before="60" w:after="60"/>
              <w:rPr>
                <w:rFonts w:eastAsia="MS Mincho"/>
                <w:color w:val="000000"/>
                <w:sz w:val="16"/>
                <w:szCs w:val="16"/>
                <w:lang w:eastAsia="ja-JP"/>
              </w:rPr>
            </w:pPr>
            <w:r w:rsidRPr="00515D00">
              <w:rPr>
                <w:rFonts w:eastAsia="MS Mincho"/>
                <w:color w:val="000000"/>
                <w:sz w:val="16"/>
                <w:szCs w:val="16"/>
                <w:lang w:eastAsia="ja-JP"/>
              </w:rPr>
              <w:t>Actividades de desarrollo del acceso centralizado a la búsqueda y el examen (CASE)</w:t>
            </w:r>
          </w:p>
        </w:tc>
        <w:tc>
          <w:tcPr>
            <w:tcW w:w="1134" w:type="dxa"/>
          </w:tcPr>
          <w:p w:rsidR="003E311F" w:rsidRPr="00515D00" w:rsidRDefault="003E311F" w:rsidP="007A358B">
            <w:pPr>
              <w:spacing w:before="60" w:after="60"/>
              <w:rPr>
                <w:rFonts w:eastAsia="MS Mincho"/>
                <w:color w:val="000000"/>
                <w:sz w:val="16"/>
                <w:szCs w:val="16"/>
                <w:lang w:eastAsia="ja-JP"/>
              </w:rPr>
            </w:pPr>
            <w:r w:rsidRPr="00515D00">
              <w:rPr>
                <w:rFonts w:eastAsia="MS Mincho"/>
                <w:color w:val="000000"/>
                <w:sz w:val="16"/>
                <w:szCs w:val="16"/>
                <w:lang w:eastAsia="ja-JP"/>
              </w:rPr>
              <w:t>Enero a diciembre de 2015</w:t>
            </w:r>
          </w:p>
        </w:tc>
        <w:tc>
          <w:tcPr>
            <w:tcW w:w="1986" w:type="dxa"/>
            <w:gridSpan w:val="2"/>
          </w:tcPr>
          <w:p w:rsidR="003E311F" w:rsidRPr="00515D00" w:rsidRDefault="003E311F" w:rsidP="007A358B">
            <w:pPr>
              <w:autoSpaceDE w:val="0"/>
              <w:autoSpaceDN w:val="0"/>
              <w:adjustRightInd w:val="0"/>
              <w:spacing w:before="60" w:after="60"/>
              <w:rPr>
                <w:rFonts w:eastAsia="MS Mincho"/>
                <w:color w:val="000000"/>
                <w:sz w:val="16"/>
                <w:szCs w:val="16"/>
                <w:lang w:eastAsia="ja-JP"/>
              </w:rPr>
            </w:pPr>
            <w:r w:rsidRPr="00515D00">
              <w:rPr>
                <w:rFonts w:eastAsia="MS Mincho"/>
                <w:color w:val="000000"/>
                <w:sz w:val="16"/>
                <w:szCs w:val="16"/>
                <w:lang w:eastAsia="ja-JP"/>
              </w:rPr>
              <w:t>Oficinas participantes en el CASE</w:t>
            </w:r>
          </w:p>
        </w:tc>
        <w:tc>
          <w:tcPr>
            <w:tcW w:w="4818" w:type="dxa"/>
          </w:tcPr>
          <w:p w:rsidR="003E311F" w:rsidRPr="00515D00" w:rsidRDefault="003E311F" w:rsidP="007A358B">
            <w:pPr>
              <w:autoSpaceDE w:val="0"/>
              <w:autoSpaceDN w:val="0"/>
              <w:adjustRightInd w:val="0"/>
              <w:spacing w:before="60" w:after="60"/>
              <w:ind w:left="-108"/>
              <w:rPr>
                <w:sz w:val="16"/>
                <w:szCs w:val="16"/>
              </w:rPr>
            </w:pPr>
            <w:r w:rsidRPr="00515D00">
              <w:rPr>
                <w:sz w:val="16"/>
                <w:szCs w:val="16"/>
              </w:rPr>
              <w:t>Crear un nuevo portal para los usuarios de oficina y terminar la integración de WIPO CASE con la plataforma OPD.</w:t>
            </w:r>
          </w:p>
        </w:tc>
      </w:tr>
      <w:tr w:rsidR="003E311F" w:rsidRPr="00092F2E" w:rsidTr="007A358B">
        <w:trPr>
          <w:cantSplit/>
          <w:trHeight w:val="80"/>
        </w:trPr>
        <w:tc>
          <w:tcPr>
            <w:tcW w:w="1843" w:type="dxa"/>
            <w:gridSpan w:val="3"/>
            <w:tcBorders>
              <w:bottom w:val="single" w:sz="4" w:space="0" w:color="auto"/>
            </w:tcBorders>
          </w:tcPr>
          <w:p w:rsidR="003E311F" w:rsidRPr="00515D00" w:rsidRDefault="003E311F" w:rsidP="007A358B">
            <w:pPr>
              <w:autoSpaceDE w:val="0"/>
              <w:autoSpaceDN w:val="0"/>
              <w:adjustRightInd w:val="0"/>
              <w:spacing w:before="60" w:after="60"/>
              <w:rPr>
                <w:rFonts w:eastAsia="MS Mincho"/>
                <w:color w:val="000000"/>
                <w:sz w:val="16"/>
                <w:szCs w:val="16"/>
                <w:lang w:eastAsia="ja-JP"/>
              </w:rPr>
            </w:pPr>
            <w:r w:rsidRPr="00515D00">
              <w:rPr>
                <w:rFonts w:eastAsia="MS Mincho"/>
                <w:color w:val="000000"/>
                <w:sz w:val="16"/>
                <w:szCs w:val="16"/>
                <w:lang w:eastAsia="ja-JP"/>
              </w:rPr>
              <w:t xml:space="preserve">Actividades de desarrollo de </w:t>
            </w:r>
            <w:r>
              <w:rPr>
                <w:rFonts w:eastAsia="MS Mincho"/>
                <w:color w:val="000000"/>
                <w:sz w:val="16"/>
                <w:szCs w:val="16"/>
                <w:lang w:eastAsia="ja-JP"/>
              </w:rPr>
              <w:t>s</w:t>
            </w:r>
            <w:r w:rsidRPr="00515D00">
              <w:rPr>
                <w:rFonts w:eastAsia="MS Mincho"/>
                <w:color w:val="000000"/>
                <w:sz w:val="16"/>
                <w:szCs w:val="16"/>
                <w:lang w:eastAsia="ja-JP"/>
              </w:rPr>
              <w:t xml:space="preserve">oluciones </w:t>
            </w:r>
            <w:r>
              <w:rPr>
                <w:rFonts w:eastAsia="MS Mincho"/>
                <w:color w:val="000000"/>
                <w:sz w:val="16"/>
                <w:szCs w:val="16"/>
                <w:lang w:eastAsia="ja-JP"/>
              </w:rPr>
              <w:t>o</w:t>
            </w:r>
            <w:r w:rsidRPr="00515D00">
              <w:rPr>
                <w:rFonts w:eastAsia="MS Mincho"/>
                <w:color w:val="000000"/>
                <w:sz w:val="16"/>
                <w:szCs w:val="16"/>
                <w:lang w:eastAsia="ja-JP"/>
              </w:rPr>
              <w:t>perativas para las Oficinas de P.I.</w:t>
            </w:r>
          </w:p>
        </w:tc>
        <w:tc>
          <w:tcPr>
            <w:tcW w:w="1134" w:type="dxa"/>
            <w:tcBorders>
              <w:bottom w:val="single" w:sz="4" w:space="0" w:color="auto"/>
            </w:tcBorders>
          </w:tcPr>
          <w:p w:rsidR="003E311F" w:rsidRPr="00515D00" w:rsidRDefault="003E311F" w:rsidP="007A358B">
            <w:pPr>
              <w:spacing w:before="60" w:after="60"/>
              <w:rPr>
                <w:rFonts w:eastAsia="MS Mincho"/>
                <w:color w:val="000000"/>
                <w:sz w:val="16"/>
                <w:szCs w:val="16"/>
                <w:lang w:eastAsia="ja-JP"/>
              </w:rPr>
            </w:pPr>
            <w:r w:rsidRPr="00515D00">
              <w:rPr>
                <w:rFonts w:eastAsia="MS Mincho"/>
                <w:color w:val="000000"/>
                <w:sz w:val="16"/>
                <w:szCs w:val="16"/>
                <w:lang w:eastAsia="ja-JP"/>
              </w:rPr>
              <w:t>Enero a diciembre de 2015</w:t>
            </w:r>
          </w:p>
        </w:tc>
        <w:tc>
          <w:tcPr>
            <w:tcW w:w="1986" w:type="dxa"/>
            <w:gridSpan w:val="2"/>
            <w:tcBorders>
              <w:bottom w:val="single" w:sz="4" w:space="0" w:color="auto"/>
            </w:tcBorders>
          </w:tcPr>
          <w:p w:rsidR="003E311F" w:rsidRPr="00515D00" w:rsidRDefault="003E311F" w:rsidP="007A358B">
            <w:pPr>
              <w:autoSpaceDE w:val="0"/>
              <w:autoSpaceDN w:val="0"/>
              <w:adjustRightInd w:val="0"/>
              <w:spacing w:before="60" w:after="60"/>
              <w:rPr>
                <w:rFonts w:eastAsia="MS Mincho"/>
                <w:color w:val="000000"/>
                <w:sz w:val="16"/>
                <w:szCs w:val="16"/>
                <w:lang w:eastAsia="ja-JP"/>
              </w:rPr>
            </w:pPr>
            <w:r w:rsidRPr="00515D00">
              <w:rPr>
                <w:rFonts w:eastAsia="MS Mincho"/>
                <w:color w:val="000000"/>
                <w:sz w:val="16"/>
                <w:szCs w:val="16"/>
                <w:lang w:eastAsia="ja-JP"/>
              </w:rPr>
              <w:t>Estados miembros de la ASEAN y del ASPAC</w:t>
            </w:r>
          </w:p>
        </w:tc>
        <w:tc>
          <w:tcPr>
            <w:tcW w:w="4818" w:type="dxa"/>
            <w:tcBorders>
              <w:bottom w:val="single" w:sz="4" w:space="0" w:color="auto"/>
            </w:tcBorders>
          </w:tcPr>
          <w:p w:rsidR="003E311F" w:rsidRPr="00515D00" w:rsidRDefault="003E311F" w:rsidP="007A358B">
            <w:pPr>
              <w:spacing w:before="60" w:after="60"/>
              <w:rPr>
                <w:sz w:val="16"/>
                <w:szCs w:val="16"/>
              </w:rPr>
            </w:pPr>
            <w:r w:rsidRPr="00515D00">
              <w:rPr>
                <w:sz w:val="16"/>
                <w:szCs w:val="16"/>
              </w:rPr>
              <w:t xml:space="preserve">Mejorar los sistemas de extracción de datos mediante el desarrollo y la puesta a prueba del sistema WIPO </w:t>
            </w:r>
            <w:proofErr w:type="spellStart"/>
            <w:r w:rsidRPr="00515D00">
              <w:rPr>
                <w:sz w:val="16"/>
                <w:szCs w:val="16"/>
              </w:rPr>
              <w:t>Publish</w:t>
            </w:r>
            <w:proofErr w:type="spellEnd"/>
            <w:r w:rsidRPr="00515D00">
              <w:rPr>
                <w:sz w:val="16"/>
                <w:szCs w:val="16"/>
              </w:rPr>
              <w:t xml:space="preserve"> para extraer, formatear y difundir datos.</w:t>
            </w:r>
          </w:p>
        </w:tc>
      </w:tr>
      <w:tr w:rsidR="003E311F" w:rsidRPr="00092F2E" w:rsidTr="007A358B">
        <w:trPr>
          <w:cantSplit/>
          <w:trHeight w:val="746"/>
        </w:trPr>
        <w:tc>
          <w:tcPr>
            <w:tcW w:w="9781" w:type="dxa"/>
            <w:gridSpan w:val="7"/>
            <w:tcBorders>
              <w:top w:val="single" w:sz="4" w:space="0" w:color="auto"/>
              <w:bottom w:val="single" w:sz="4" w:space="0" w:color="auto"/>
            </w:tcBorders>
            <w:shd w:val="clear" w:color="auto" w:fill="C6D9F1" w:themeFill="text2" w:themeFillTint="33"/>
            <w:vAlign w:val="center"/>
          </w:tcPr>
          <w:p w:rsidR="003E311F" w:rsidRPr="00515D00" w:rsidRDefault="003E311F" w:rsidP="007A358B">
            <w:pPr>
              <w:keepNext/>
              <w:keepLines/>
              <w:ind w:left="1735" w:hanging="1735"/>
              <w:rPr>
                <w:sz w:val="16"/>
                <w:szCs w:val="16"/>
              </w:rPr>
            </w:pPr>
            <w:r w:rsidRPr="00515D00">
              <w:rPr>
                <w:b/>
                <w:bCs/>
                <w:color w:val="000000"/>
                <w:sz w:val="16"/>
                <w:szCs w:val="16"/>
              </w:rPr>
              <w:lastRenderedPageBreak/>
              <w:t xml:space="preserve">RESULTADO:  </w:t>
            </w:r>
            <w:r w:rsidRPr="00515D00">
              <w:rPr>
                <w:bCs/>
                <w:sz w:val="16"/>
                <w:szCs w:val="16"/>
              </w:rPr>
              <w:tab/>
              <w:t xml:space="preserve">VII.2  </w:t>
            </w:r>
            <w:r w:rsidRPr="001960A4">
              <w:rPr>
                <w:bCs/>
                <w:sz w:val="16"/>
                <w:szCs w:val="16"/>
              </w:rPr>
              <w:t>Plataformas y herramientas de P.I. utilizadas para la transferencia de conocimiento y la difusión y adaptación de tecnología de los países desarrollados en los países en desarrollo, en particular en los menos adelantados, con el fin de atender los desafíos mundiales</w:t>
            </w:r>
            <w:r w:rsidRPr="00515D00">
              <w:rPr>
                <w:rFonts w:ascii="Calibri" w:hAnsi="Calibri"/>
                <w:sz w:val="16"/>
                <w:szCs w:val="16"/>
              </w:rPr>
              <w:t xml:space="preserve"> </w:t>
            </w:r>
          </w:p>
        </w:tc>
      </w:tr>
      <w:tr w:rsidR="003E311F" w:rsidRPr="00515D00" w:rsidTr="007A358B">
        <w:trPr>
          <w:cantSplit/>
          <w:trHeight w:val="80"/>
        </w:trPr>
        <w:tc>
          <w:tcPr>
            <w:tcW w:w="1843" w:type="dxa"/>
            <w:gridSpan w:val="3"/>
            <w:tcBorders>
              <w:top w:val="single" w:sz="4" w:space="0" w:color="auto"/>
            </w:tcBorders>
            <w:vAlign w:val="center"/>
          </w:tcPr>
          <w:p w:rsidR="003E311F" w:rsidRPr="00515D00" w:rsidRDefault="003E311F" w:rsidP="007A358B">
            <w:pPr>
              <w:keepNext/>
              <w:keepLines/>
              <w:spacing w:before="60" w:after="60"/>
              <w:rPr>
                <w:b/>
                <w:bCs/>
                <w:sz w:val="16"/>
                <w:szCs w:val="16"/>
              </w:rPr>
            </w:pPr>
            <w:r w:rsidRPr="00515D00">
              <w:rPr>
                <w:b/>
                <w:bCs/>
                <w:sz w:val="16"/>
                <w:szCs w:val="16"/>
              </w:rPr>
              <w:t>Actividad</w:t>
            </w:r>
          </w:p>
        </w:tc>
        <w:tc>
          <w:tcPr>
            <w:tcW w:w="1134" w:type="dxa"/>
            <w:tcBorders>
              <w:top w:val="single" w:sz="4" w:space="0" w:color="auto"/>
            </w:tcBorders>
            <w:vAlign w:val="center"/>
          </w:tcPr>
          <w:p w:rsidR="003E311F" w:rsidRPr="00515D00" w:rsidRDefault="003E311F" w:rsidP="007A358B">
            <w:pPr>
              <w:keepNext/>
              <w:keepLines/>
              <w:spacing w:before="60" w:after="60"/>
              <w:rPr>
                <w:sz w:val="16"/>
                <w:szCs w:val="16"/>
              </w:rPr>
            </w:pPr>
            <w:r w:rsidRPr="00515D00">
              <w:rPr>
                <w:b/>
                <w:bCs/>
                <w:sz w:val="16"/>
                <w:szCs w:val="16"/>
              </w:rPr>
              <w:t>Fecha</w:t>
            </w:r>
          </w:p>
        </w:tc>
        <w:tc>
          <w:tcPr>
            <w:tcW w:w="1985" w:type="dxa"/>
            <w:gridSpan w:val="2"/>
            <w:tcBorders>
              <w:top w:val="single" w:sz="4" w:space="0" w:color="auto"/>
            </w:tcBorders>
            <w:vAlign w:val="center"/>
          </w:tcPr>
          <w:p w:rsidR="003E311F" w:rsidRPr="00515D00" w:rsidRDefault="003E311F" w:rsidP="007A358B">
            <w:pPr>
              <w:widowControl w:val="0"/>
              <w:rPr>
                <w:sz w:val="16"/>
                <w:szCs w:val="16"/>
              </w:rPr>
            </w:pPr>
            <w:r w:rsidRPr="00515D00">
              <w:rPr>
                <w:b/>
                <w:sz w:val="16"/>
                <w:szCs w:val="16"/>
              </w:rPr>
              <w:t>País anfitrión / Beneficiarios</w:t>
            </w:r>
          </w:p>
        </w:tc>
        <w:tc>
          <w:tcPr>
            <w:tcW w:w="4819" w:type="dxa"/>
            <w:tcBorders>
              <w:top w:val="single" w:sz="4" w:space="0" w:color="auto"/>
            </w:tcBorders>
            <w:vAlign w:val="center"/>
          </w:tcPr>
          <w:p w:rsidR="003E311F" w:rsidRPr="00515D00" w:rsidRDefault="003E311F" w:rsidP="007A358B">
            <w:pPr>
              <w:widowControl w:val="0"/>
              <w:rPr>
                <w:sz w:val="16"/>
                <w:szCs w:val="16"/>
              </w:rPr>
            </w:pPr>
            <w:r w:rsidRPr="00515D00">
              <w:rPr>
                <w:b/>
                <w:sz w:val="16"/>
                <w:szCs w:val="16"/>
              </w:rPr>
              <w:t>Propósito(s)/Descripción</w:t>
            </w:r>
          </w:p>
        </w:tc>
      </w:tr>
      <w:tr w:rsidR="003E311F" w:rsidRPr="00092F2E" w:rsidTr="007A358B">
        <w:trPr>
          <w:cantSplit/>
          <w:trHeight w:val="80"/>
        </w:trPr>
        <w:tc>
          <w:tcPr>
            <w:tcW w:w="1843" w:type="dxa"/>
            <w:gridSpan w:val="3"/>
          </w:tcPr>
          <w:p w:rsidR="003E311F" w:rsidRPr="00515D00" w:rsidRDefault="003E311F" w:rsidP="007A358B">
            <w:pPr>
              <w:autoSpaceDE w:val="0"/>
              <w:autoSpaceDN w:val="0"/>
              <w:adjustRightInd w:val="0"/>
              <w:spacing w:before="60" w:after="60"/>
              <w:rPr>
                <w:rFonts w:eastAsia="MS Mincho"/>
                <w:color w:val="000000"/>
                <w:sz w:val="16"/>
                <w:szCs w:val="16"/>
                <w:lang w:eastAsia="ja-JP"/>
              </w:rPr>
            </w:pPr>
            <w:r w:rsidRPr="00515D00">
              <w:rPr>
                <w:rFonts w:eastAsia="MS Mincho"/>
                <w:sz w:val="16"/>
                <w:szCs w:val="16"/>
                <w:lang w:eastAsia="ja-JP"/>
              </w:rPr>
              <w:t>Elaboración de un estudio monográfico sobre las necesidades y las oportunidades de las tecn</w:t>
            </w:r>
            <w:r w:rsidR="007A358B">
              <w:rPr>
                <w:rFonts w:eastAsia="MS Mincho"/>
                <w:sz w:val="16"/>
                <w:szCs w:val="16"/>
                <w:lang w:eastAsia="ja-JP"/>
              </w:rPr>
              <w:t>ologías ecológicas</w:t>
            </w:r>
          </w:p>
        </w:tc>
        <w:tc>
          <w:tcPr>
            <w:tcW w:w="1134" w:type="dxa"/>
          </w:tcPr>
          <w:p w:rsidR="003E311F" w:rsidRPr="00515D00" w:rsidRDefault="003E311F" w:rsidP="007A358B">
            <w:pPr>
              <w:spacing w:before="60" w:after="60"/>
              <w:rPr>
                <w:rFonts w:eastAsia="MS Mincho"/>
                <w:color w:val="000000"/>
                <w:sz w:val="16"/>
                <w:szCs w:val="16"/>
                <w:lang w:eastAsia="ja-JP"/>
              </w:rPr>
            </w:pPr>
            <w:r w:rsidRPr="00515D00">
              <w:rPr>
                <w:rFonts w:eastAsia="MS Mincho"/>
                <w:sz w:val="16"/>
                <w:szCs w:val="16"/>
                <w:lang w:eastAsia="ja-JP"/>
              </w:rPr>
              <w:t>Enero a marzo de 2015</w:t>
            </w:r>
          </w:p>
        </w:tc>
        <w:tc>
          <w:tcPr>
            <w:tcW w:w="1985" w:type="dxa"/>
            <w:gridSpan w:val="2"/>
          </w:tcPr>
          <w:p w:rsidR="003E311F" w:rsidRPr="00515D00" w:rsidRDefault="003E311F" w:rsidP="007A358B">
            <w:pPr>
              <w:autoSpaceDE w:val="0"/>
              <w:autoSpaceDN w:val="0"/>
              <w:adjustRightInd w:val="0"/>
              <w:spacing w:before="60" w:after="60"/>
              <w:rPr>
                <w:rFonts w:eastAsia="MS Mincho"/>
                <w:color w:val="000000"/>
                <w:sz w:val="16"/>
                <w:szCs w:val="16"/>
                <w:lang w:eastAsia="ja-JP"/>
              </w:rPr>
            </w:pPr>
            <w:r w:rsidRPr="00515D00">
              <w:rPr>
                <w:rFonts w:eastAsia="MS Mincho"/>
                <w:color w:val="000000"/>
                <w:sz w:val="16"/>
                <w:szCs w:val="16"/>
                <w:lang w:eastAsia="ja-JP"/>
              </w:rPr>
              <w:t xml:space="preserve">Filipinas/ Indonesia, Filipinas y </w:t>
            </w:r>
            <w:proofErr w:type="spellStart"/>
            <w:r w:rsidRPr="00515D00">
              <w:rPr>
                <w:rFonts w:eastAsia="MS Mincho"/>
                <w:color w:val="000000"/>
                <w:sz w:val="16"/>
                <w:szCs w:val="16"/>
                <w:lang w:eastAsia="ja-JP"/>
              </w:rPr>
              <w:t>Viet</w:t>
            </w:r>
            <w:proofErr w:type="spellEnd"/>
            <w:r w:rsidRPr="00515D00">
              <w:rPr>
                <w:rFonts w:eastAsia="MS Mincho"/>
                <w:color w:val="000000"/>
                <w:sz w:val="16"/>
                <w:szCs w:val="16"/>
                <w:lang w:eastAsia="ja-JP"/>
              </w:rPr>
              <w:t> </w:t>
            </w:r>
            <w:proofErr w:type="spellStart"/>
            <w:r w:rsidRPr="00515D00">
              <w:rPr>
                <w:rFonts w:eastAsia="MS Mincho"/>
                <w:color w:val="000000"/>
                <w:sz w:val="16"/>
                <w:szCs w:val="16"/>
                <w:lang w:eastAsia="ja-JP"/>
              </w:rPr>
              <w:t>Nam</w:t>
            </w:r>
            <w:proofErr w:type="spellEnd"/>
          </w:p>
        </w:tc>
        <w:tc>
          <w:tcPr>
            <w:tcW w:w="4819" w:type="dxa"/>
          </w:tcPr>
          <w:p w:rsidR="003E311F" w:rsidRPr="00515D00" w:rsidRDefault="003E311F" w:rsidP="007A358B">
            <w:pPr>
              <w:tabs>
                <w:tab w:val="left" w:pos="317"/>
              </w:tabs>
              <w:spacing w:before="60" w:after="60"/>
              <w:rPr>
                <w:sz w:val="16"/>
                <w:szCs w:val="16"/>
              </w:rPr>
            </w:pPr>
            <w:r w:rsidRPr="00515D00">
              <w:rPr>
                <w:sz w:val="16"/>
                <w:szCs w:val="16"/>
              </w:rPr>
              <w:t xml:space="preserve">i) Determinar las necesidades específicas de </w:t>
            </w:r>
            <w:r w:rsidRPr="00515D00">
              <w:rPr>
                <w:bCs/>
                <w:sz w:val="16"/>
                <w:szCs w:val="16"/>
                <w:lang w:eastAsia="ja-JP"/>
              </w:rPr>
              <w:t xml:space="preserve">Indonesia, Filipinas y </w:t>
            </w:r>
            <w:proofErr w:type="spellStart"/>
            <w:r w:rsidRPr="00515D00">
              <w:rPr>
                <w:bCs/>
                <w:sz w:val="16"/>
                <w:szCs w:val="16"/>
                <w:lang w:eastAsia="ja-JP"/>
              </w:rPr>
              <w:t>Viet</w:t>
            </w:r>
            <w:proofErr w:type="spellEnd"/>
            <w:r w:rsidRPr="00515D00">
              <w:rPr>
                <w:bCs/>
                <w:sz w:val="16"/>
                <w:szCs w:val="16"/>
                <w:lang w:eastAsia="ja-JP"/>
              </w:rPr>
              <w:t xml:space="preserve"> </w:t>
            </w:r>
            <w:proofErr w:type="spellStart"/>
            <w:r w:rsidRPr="00515D00">
              <w:rPr>
                <w:bCs/>
                <w:sz w:val="16"/>
                <w:szCs w:val="16"/>
                <w:lang w:eastAsia="ja-JP"/>
              </w:rPr>
              <w:t>Nam</w:t>
            </w:r>
            <w:proofErr w:type="spellEnd"/>
            <w:r w:rsidRPr="00515D00">
              <w:rPr>
                <w:bCs/>
                <w:sz w:val="16"/>
                <w:szCs w:val="16"/>
                <w:lang w:eastAsia="ja-JP"/>
              </w:rPr>
              <w:t xml:space="preserve"> </w:t>
            </w:r>
            <w:r w:rsidRPr="00515D00">
              <w:rPr>
                <w:bCs/>
                <w:sz w:val="16"/>
                <w:szCs w:val="16"/>
              </w:rPr>
              <w:t xml:space="preserve">en </w:t>
            </w:r>
            <w:r>
              <w:rPr>
                <w:bCs/>
                <w:sz w:val="16"/>
                <w:szCs w:val="16"/>
              </w:rPr>
              <w:t xml:space="preserve">materia de tecnología ecológica; </w:t>
            </w:r>
            <w:r w:rsidRPr="00515D00">
              <w:rPr>
                <w:bCs/>
                <w:sz w:val="16"/>
                <w:szCs w:val="16"/>
              </w:rPr>
              <w:t xml:space="preserve"> ii) reconocer las oportunidades de colaboración en relación con las necesidades señaladas, haciendo hincapié en la capacidad nacional y las aportaciones de las </w:t>
            </w:r>
            <w:r>
              <w:rPr>
                <w:bCs/>
                <w:sz w:val="16"/>
                <w:szCs w:val="16"/>
              </w:rPr>
              <w:t xml:space="preserve">pymes; </w:t>
            </w:r>
            <w:r w:rsidRPr="00515D00">
              <w:rPr>
                <w:bCs/>
                <w:sz w:val="16"/>
                <w:szCs w:val="16"/>
              </w:rPr>
              <w:t xml:space="preserve"> iii) facilitar la elaboración de un acuerdo</w:t>
            </w:r>
            <w:r>
              <w:rPr>
                <w:bCs/>
                <w:sz w:val="16"/>
                <w:szCs w:val="16"/>
              </w:rPr>
              <w:t xml:space="preserve"> de transferencia de tecnología; </w:t>
            </w:r>
            <w:r w:rsidRPr="00515D00">
              <w:rPr>
                <w:bCs/>
                <w:sz w:val="16"/>
                <w:szCs w:val="16"/>
              </w:rPr>
              <w:t xml:space="preserve"> iv) elaborar un estudio monográfico sobre las conclusiones y las pruebas obtenidas en el análisis de la transferencia de tecnología, en el que se abordará también la contribución de WIPO G</w:t>
            </w:r>
            <w:r>
              <w:rPr>
                <w:bCs/>
                <w:sz w:val="16"/>
                <w:szCs w:val="16"/>
              </w:rPr>
              <w:t xml:space="preserve">REEN a la solución de problemas; </w:t>
            </w:r>
            <w:r w:rsidRPr="00515D00">
              <w:rPr>
                <w:bCs/>
                <w:sz w:val="16"/>
                <w:szCs w:val="16"/>
              </w:rPr>
              <w:t xml:space="preserve"> y v) poner de relieve la eficacia de WIPO GREEN como herramienta de mercado para hallar y exponer necesidades y soluciones tecnológicas.  </w:t>
            </w:r>
          </w:p>
        </w:tc>
      </w:tr>
      <w:tr w:rsidR="003E311F" w:rsidRPr="00092F2E" w:rsidTr="007A358B">
        <w:trPr>
          <w:cantSplit/>
          <w:trHeight w:val="80"/>
        </w:trPr>
        <w:tc>
          <w:tcPr>
            <w:tcW w:w="1843" w:type="dxa"/>
            <w:gridSpan w:val="3"/>
          </w:tcPr>
          <w:p w:rsidR="003E311F" w:rsidRPr="00515D00" w:rsidRDefault="003E311F" w:rsidP="007A358B">
            <w:pPr>
              <w:autoSpaceDE w:val="0"/>
              <w:autoSpaceDN w:val="0"/>
              <w:adjustRightInd w:val="0"/>
              <w:spacing w:before="60" w:after="60"/>
              <w:rPr>
                <w:rFonts w:eastAsia="MS Mincho"/>
                <w:color w:val="000000"/>
                <w:sz w:val="16"/>
                <w:szCs w:val="16"/>
                <w:lang w:eastAsia="ja-JP"/>
              </w:rPr>
            </w:pPr>
            <w:r w:rsidRPr="00515D00">
              <w:rPr>
                <w:sz w:val="16"/>
                <w:szCs w:val="16"/>
              </w:rPr>
              <w:t xml:space="preserve">Seminario regional sobre facilitación de la transferencia y la difusión de tecnología limpia:  oportunidades de un proyecto piloto sobre tratamiento de aguas residuales en </w:t>
            </w:r>
            <w:r>
              <w:rPr>
                <w:sz w:val="16"/>
                <w:szCs w:val="16"/>
              </w:rPr>
              <w:t>Asia Sudoriental</w:t>
            </w:r>
          </w:p>
        </w:tc>
        <w:tc>
          <w:tcPr>
            <w:tcW w:w="1134" w:type="dxa"/>
          </w:tcPr>
          <w:p w:rsidR="003E311F" w:rsidRPr="00515D00" w:rsidRDefault="003E311F" w:rsidP="007A358B">
            <w:pPr>
              <w:spacing w:before="60" w:after="60"/>
              <w:rPr>
                <w:rFonts w:eastAsia="MS Mincho"/>
                <w:color w:val="000000"/>
                <w:sz w:val="16"/>
                <w:szCs w:val="16"/>
                <w:lang w:eastAsia="ja-JP"/>
              </w:rPr>
            </w:pPr>
            <w:r w:rsidRPr="00515D00">
              <w:rPr>
                <w:rFonts w:eastAsia="MS Mincho"/>
                <w:sz w:val="16"/>
                <w:szCs w:val="16"/>
                <w:lang w:eastAsia="ja-JP"/>
              </w:rPr>
              <w:t>23 a 24 de abril de 2015</w:t>
            </w:r>
          </w:p>
        </w:tc>
        <w:tc>
          <w:tcPr>
            <w:tcW w:w="1985" w:type="dxa"/>
            <w:gridSpan w:val="2"/>
          </w:tcPr>
          <w:p w:rsidR="003E311F" w:rsidRPr="00515D00" w:rsidRDefault="003E311F" w:rsidP="007A358B">
            <w:pPr>
              <w:autoSpaceDE w:val="0"/>
              <w:autoSpaceDN w:val="0"/>
              <w:adjustRightInd w:val="0"/>
              <w:spacing w:before="60" w:after="60"/>
              <w:rPr>
                <w:rFonts w:eastAsia="MS Mincho"/>
                <w:color w:val="000000"/>
                <w:sz w:val="16"/>
                <w:szCs w:val="16"/>
                <w:lang w:eastAsia="ja-JP"/>
              </w:rPr>
            </w:pPr>
            <w:r w:rsidRPr="00515D00">
              <w:rPr>
                <w:rFonts w:eastAsia="MS Mincho"/>
                <w:color w:val="000000"/>
                <w:sz w:val="16"/>
                <w:szCs w:val="16"/>
                <w:lang w:eastAsia="ja-JP"/>
              </w:rPr>
              <w:t xml:space="preserve">Filipinas/ Indonesia, Filipinas y </w:t>
            </w:r>
            <w:proofErr w:type="spellStart"/>
            <w:r w:rsidRPr="00515D00">
              <w:rPr>
                <w:rFonts w:eastAsia="MS Mincho"/>
                <w:color w:val="000000"/>
                <w:sz w:val="16"/>
                <w:szCs w:val="16"/>
                <w:lang w:eastAsia="ja-JP"/>
              </w:rPr>
              <w:t>Viet</w:t>
            </w:r>
            <w:proofErr w:type="spellEnd"/>
            <w:r w:rsidRPr="00515D00">
              <w:rPr>
                <w:rFonts w:eastAsia="MS Mincho"/>
                <w:color w:val="000000"/>
                <w:sz w:val="16"/>
                <w:szCs w:val="16"/>
                <w:lang w:eastAsia="ja-JP"/>
              </w:rPr>
              <w:t> </w:t>
            </w:r>
            <w:proofErr w:type="spellStart"/>
            <w:r w:rsidRPr="00515D00">
              <w:rPr>
                <w:rFonts w:eastAsia="MS Mincho"/>
                <w:color w:val="000000"/>
                <w:sz w:val="16"/>
                <w:szCs w:val="16"/>
                <w:lang w:eastAsia="ja-JP"/>
              </w:rPr>
              <w:t>Nam</w:t>
            </w:r>
            <w:proofErr w:type="spellEnd"/>
          </w:p>
        </w:tc>
        <w:tc>
          <w:tcPr>
            <w:tcW w:w="4819" w:type="dxa"/>
          </w:tcPr>
          <w:p w:rsidR="003E311F" w:rsidRPr="00515D00" w:rsidRDefault="003E311F" w:rsidP="007A358B">
            <w:pPr>
              <w:tabs>
                <w:tab w:val="left" w:pos="317"/>
              </w:tabs>
              <w:spacing w:before="60" w:after="60"/>
              <w:rPr>
                <w:sz w:val="16"/>
                <w:szCs w:val="16"/>
              </w:rPr>
            </w:pPr>
            <w:r w:rsidRPr="00515D00">
              <w:rPr>
                <w:bCs/>
                <w:sz w:val="16"/>
                <w:szCs w:val="16"/>
              </w:rPr>
              <w:t>Al término del proyecto se organizó un seminario regional en Manila, en colaboración con el Banco Asiático de Desarrollo y la Oficina de la Propiedad Intelectual de Filipinas, uno de cuyos objetivos era facilitar los contactos para reforzar los lazos existentes con el Centro y Red de Tecnología del Clima y el establecimiento de vínculos estratégicos con las entidades nacionales designadas.</w:t>
            </w:r>
          </w:p>
        </w:tc>
      </w:tr>
    </w:tbl>
    <w:p w:rsidR="003E311F" w:rsidRPr="007329AC" w:rsidRDefault="003E311F" w:rsidP="003E311F">
      <w:pPr>
        <w:rPr>
          <w:b/>
          <w:sz w:val="20"/>
        </w:rPr>
      </w:pPr>
    </w:p>
    <w:p w:rsidR="003E311F" w:rsidRPr="007329AC" w:rsidRDefault="003E311F" w:rsidP="003E311F">
      <w:pPr>
        <w:rPr>
          <w:b/>
          <w:sz w:val="20"/>
        </w:rPr>
      </w:pPr>
    </w:p>
    <w:p w:rsidR="003E311F" w:rsidRPr="007329AC" w:rsidRDefault="003E311F" w:rsidP="003E311F">
      <w:pPr>
        <w:rPr>
          <w:b/>
          <w:sz w:val="20"/>
        </w:rPr>
      </w:pPr>
      <w:r w:rsidRPr="007329AC">
        <w:rPr>
          <w:b/>
          <w:sz w:val="20"/>
        </w:rPr>
        <w:t>JAPÓN / PROPIEDAD INDUSTRIAL</w:t>
      </w:r>
    </w:p>
    <w:p w:rsidR="003E311F" w:rsidRPr="007329AC" w:rsidRDefault="003E311F" w:rsidP="003E311F">
      <w:pPr>
        <w:rPr>
          <w:b/>
          <w:sz w:val="20"/>
        </w:rPr>
      </w:pPr>
    </w:p>
    <w:tbl>
      <w:tblPr>
        <w:tblW w:w="9791" w:type="dxa"/>
        <w:tblInd w:w="98" w:type="dxa"/>
        <w:tblLook w:val="04A0" w:firstRow="1" w:lastRow="0" w:firstColumn="1" w:lastColumn="0" w:noHBand="0" w:noVBand="1"/>
      </w:tblPr>
      <w:tblGrid>
        <w:gridCol w:w="2040"/>
        <w:gridCol w:w="1640"/>
        <w:gridCol w:w="1860"/>
        <w:gridCol w:w="1780"/>
        <w:gridCol w:w="2471"/>
      </w:tblGrid>
      <w:tr w:rsidR="003E311F" w:rsidRPr="00515D00" w:rsidTr="007A358B">
        <w:trPr>
          <w:trHeight w:val="450"/>
        </w:trPr>
        <w:tc>
          <w:tcPr>
            <w:tcW w:w="2040" w:type="dxa"/>
            <w:tcBorders>
              <w:top w:val="single" w:sz="8" w:space="0" w:color="auto"/>
              <w:left w:val="single" w:sz="8" w:space="0" w:color="auto"/>
              <w:bottom w:val="nil"/>
              <w:right w:val="single" w:sz="8" w:space="0" w:color="auto"/>
            </w:tcBorders>
            <w:shd w:val="clear" w:color="000000" w:fill="C5D9F1"/>
            <w:vAlign w:val="center"/>
            <w:hideMark/>
          </w:tcPr>
          <w:p w:rsidR="003E311F" w:rsidRPr="00515D00" w:rsidRDefault="005C708A" w:rsidP="007A358B">
            <w:pPr>
              <w:jc w:val="center"/>
              <w:rPr>
                <w:b/>
                <w:bCs/>
                <w:color w:val="000000"/>
                <w:sz w:val="16"/>
                <w:szCs w:val="16"/>
              </w:rPr>
            </w:pPr>
            <w:r>
              <w:rPr>
                <w:b/>
                <w:bCs/>
                <w:sz w:val="16"/>
                <w:szCs w:val="16"/>
              </w:rPr>
              <w:t>Saldo el</w:t>
            </w:r>
            <w:r w:rsidR="003E311F" w:rsidRPr="00515D00">
              <w:rPr>
                <w:b/>
                <w:bCs/>
                <w:sz w:val="16"/>
                <w:szCs w:val="16"/>
              </w:rPr>
              <w:t xml:space="preserve"> 31 de diciembre de </w:t>
            </w:r>
            <w:r w:rsidR="003E311F" w:rsidRPr="00515D00">
              <w:rPr>
                <w:b/>
                <w:bCs/>
                <w:color w:val="000000"/>
                <w:sz w:val="16"/>
                <w:szCs w:val="16"/>
              </w:rPr>
              <w:t>2014</w:t>
            </w:r>
          </w:p>
        </w:tc>
        <w:tc>
          <w:tcPr>
            <w:tcW w:w="1640" w:type="dxa"/>
            <w:tcBorders>
              <w:top w:val="single" w:sz="8" w:space="0" w:color="auto"/>
              <w:left w:val="nil"/>
              <w:bottom w:val="nil"/>
              <w:right w:val="single" w:sz="8" w:space="0" w:color="auto"/>
            </w:tcBorders>
            <w:shd w:val="clear" w:color="000000" w:fill="C5D9F1"/>
            <w:vAlign w:val="center"/>
            <w:hideMark/>
          </w:tcPr>
          <w:p w:rsidR="003E311F" w:rsidRPr="00515D00" w:rsidRDefault="003E311F" w:rsidP="007A358B">
            <w:pPr>
              <w:jc w:val="center"/>
              <w:rPr>
                <w:b/>
                <w:bCs/>
                <w:color w:val="000000"/>
                <w:sz w:val="16"/>
                <w:szCs w:val="16"/>
              </w:rPr>
            </w:pPr>
            <w:r w:rsidRPr="00515D00">
              <w:rPr>
                <w:b/>
                <w:bCs/>
                <w:sz w:val="16"/>
                <w:szCs w:val="16"/>
              </w:rPr>
              <w:t xml:space="preserve">Ingresos en </w:t>
            </w:r>
            <w:r w:rsidRPr="00515D00">
              <w:rPr>
                <w:b/>
                <w:bCs/>
                <w:color w:val="000000"/>
                <w:sz w:val="16"/>
                <w:szCs w:val="16"/>
              </w:rPr>
              <w:t>2015</w:t>
            </w:r>
          </w:p>
        </w:tc>
        <w:tc>
          <w:tcPr>
            <w:tcW w:w="1860" w:type="dxa"/>
            <w:tcBorders>
              <w:top w:val="single" w:sz="8" w:space="0" w:color="auto"/>
              <w:left w:val="nil"/>
              <w:bottom w:val="nil"/>
              <w:right w:val="single" w:sz="8" w:space="0" w:color="auto"/>
            </w:tcBorders>
            <w:shd w:val="clear" w:color="000000" w:fill="C5D9F1"/>
            <w:vAlign w:val="center"/>
            <w:hideMark/>
          </w:tcPr>
          <w:p w:rsidR="003E311F" w:rsidRPr="00515D00" w:rsidRDefault="003E311F" w:rsidP="007A358B">
            <w:pPr>
              <w:jc w:val="center"/>
              <w:rPr>
                <w:b/>
                <w:bCs/>
                <w:color w:val="000000"/>
                <w:sz w:val="16"/>
                <w:szCs w:val="16"/>
              </w:rPr>
            </w:pPr>
            <w:r w:rsidRPr="00515D00">
              <w:rPr>
                <w:b/>
                <w:bCs/>
                <w:sz w:val="16"/>
                <w:szCs w:val="16"/>
              </w:rPr>
              <w:t xml:space="preserve">Gastos en </w:t>
            </w:r>
            <w:r w:rsidRPr="00515D00">
              <w:rPr>
                <w:b/>
                <w:bCs/>
                <w:color w:val="000000"/>
                <w:sz w:val="16"/>
                <w:szCs w:val="16"/>
              </w:rPr>
              <w:t>2015</w:t>
            </w:r>
          </w:p>
        </w:tc>
        <w:tc>
          <w:tcPr>
            <w:tcW w:w="1780" w:type="dxa"/>
            <w:tcBorders>
              <w:top w:val="single" w:sz="8" w:space="0" w:color="auto"/>
              <w:left w:val="nil"/>
              <w:bottom w:val="nil"/>
              <w:right w:val="single" w:sz="8" w:space="0" w:color="auto"/>
            </w:tcBorders>
            <w:shd w:val="clear" w:color="000000" w:fill="C5D9F1"/>
            <w:vAlign w:val="center"/>
            <w:hideMark/>
          </w:tcPr>
          <w:p w:rsidR="003E311F" w:rsidRPr="00515D00" w:rsidRDefault="003E311F" w:rsidP="007A358B">
            <w:pPr>
              <w:jc w:val="center"/>
              <w:rPr>
                <w:b/>
                <w:bCs/>
                <w:color w:val="000000"/>
                <w:sz w:val="16"/>
                <w:szCs w:val="16"/>
              </w:rPr>
            </w:pPr>
            <w:r w:rsidRPr="00515D00">
              <w:rPr>
                <w:b/>
                <w:bCs/>
                <w:sz w:val="16"/>
                <w:szCs w:val="16"/>
              </w:rPr>
              <w:t>Reembolsos</w:t>
            </w:r>
          </w:p>
        </w:tc>
        <w:tc>
          <w:tcPr>
            <w:tcW w:w="2471" w:type="dxa"/>
            <w:tcBorders>
              <w:top w:val="single" w:sz="8" w:space="0" w:color="auto"/>
              <w:left w:val="nil"/>
              <w:bottom w:val="nil"/>
              <w:right w:val="single" w:sz="8" w:space="0" w:color="auto"/>
            </w:tcBorders>
            <w:shd w:val="clear" w:color="000000" w:fill="C5D9F1"/>
            <w:vAlign w:val="center"/>
            <w:hideMark/>
          </w:tcPr>
          <w:p w:rsidR="003E311F" w:rsidRPr="00515D00" w:rsidRDefault="005C708A" w:rsidP="007A358B">
            <w:pPr>
              <w:jc w:val="center"/>
              <w:rPr>
                <w:b/>
                <w:bCs/>
                <w:color w:val="000000"/>
                <w:sz w:val="16"/>
                <w:szCs w:val="16"/>
              </w:rPr>
            </w:pPr>
            <w:r>
              <w:rPr>
                <w:b/>
                <w:bCs/>
                <w:sz w:val="16"/>
                <w:szCs w:val="16"/>
              </w:rPr>
              <w:t>Saldo el</w:t>
            </w:r>
            <w:r w:rsidR="003E311F" w:rsidRPr="00515D00">
              <w:rPr>
                <w:b/>
                <w:bCs/>
                <w:sz w:val="16"/>
                <w:szCs w:val="16"/>
              </w:rPr>
              <w:t xml:space="preserve"> 31 de diciembre de </w:t>
            </w:r>
            <w:r w:rsidR="003E311F" w:rsidRPr="00515D00">
              <w:rPr>
                <w:b/>
                <w:bCs/>
                <w:color w:val="000000"/>
                <w:sz w:val="16"/>
                <w:szCs w:val="16"/>
              </w:rPr>
              <w:t>2015</w:t>
            </w:r>
          </w:p>
        </w:tc>
      </w:tr>
      <w:tr w:rsidR="003E311F" w:rsidRPr="00515D00" w:rsidTr="007A358B">
        <w:trPr>
          <w:trHeight w:val="255"/>
        </w:trPr>
        <w:tc>
          <w:tcPr>
            <w:tcW w:w="2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311F" w:rsidRPr="00515D00" w:rsidRDefault="003E311F" w:rsidP="007A358B">
            <w:pPr>
              <w:jc w:val="center"/>
              <w:rPr>
                <w:color w:val="000000"/>
                <w:sz w:val="16"/>
                <w:szCs w:val="16"/>
              </w:rPr>
            </w:pPr>
            <w:r w:rsidRPr="00515D00">
              <w:rPr>
                <w:color w:val="000000"/>
                <w:sz w:val="16"/>
                <w:szCs w:val="16"/>
              </w:rPr>
              <w:t>4.912.335</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3E311F" w:rsidRPr="00515D00" w:rsidRDefault="003E311F" w:rsidP="007A358B">
            <w:pPr>
              <w:jc w:val="center"/>
              <w:rPr>
                <w:color w:val="000000"/>
                <w:sz w:val="16"/>
                <w:szCs w:val="16"/>
              </w:rPr>
            </w:pPr>
            <w:r w:rsidRPr="00515D00">
              <w:rPr>
                <w:color w:val="000000"/>
                <w:sz w:val="16"/>
                <w:szCs w:val="16"/>
              </w:rPr>
              <w:t>3.828.469</w:t>
            </w:r>
          </w:p>
        </w:tc>
        <w:tc>
          <w:tcPr>
            <w:tcW w:w="1860" w:type="dxa"/>
            <w:tcBorders>
              <w:top w:val="single" w:sz="4" w:space="0" w:color="auto"/>
              <w:left w:val="nil"/>
              <w:bottom w:val="single" w:sz="4" w:space="0" w:color="auto"/>
              <w:right w:val="single" w:sz="4" w:space="0" w:color="auto"/>
            </w:tcBorders>
            <w:shd w:val="clear" w:color="auto" w:fill="auto"/>
            <w:vAlign w:val="center"/>
            <w:hideMark/>
          </w:tcPr>
          <w:p w:rsidR="003E311F" w:rsidRPr="00515D00" w:rsidRDefault="003E311F" w:rsidP="007A358B">
            <w:pPr>
              <w:jc w:val="center"/>
              <w:rPr>
                <w:color w:val="000000"/>
                <w:sz w:val="16"/>
                <w:szCs w:val="16"/>
              </w:rPr>
            </w:pPr>
            <w:r w:rsidRPr="00515D00">
              <w:rPr>
                <w:color w:val="000000"/>
                <w:sz w:val="16"/>
                <w:szCs w:val="16"/>
              </w:rPr>
              <w:t>3.770.805</w:t>
            </w:r>
          </w:p>
        </w:tc>
        <w:tc>
          <w:tcPr>
            <w:tcW w:w="1780" w:type="dxa"/>
            <w:tcBorders>
              <w:top w:val="single" w:sz="4" w:space="0" w:color="auto"/>
              <w:left w:val="nil"/>
              <w:bottom w:val="single" w:sz="4" w:space="0" w:color="auto"/>
              <w:right w:val="single" w:sz="4" w:space="0" w:color="auto"/>
            </w:tcBorders>
            <w:shd w:val="clear" w:color="auto" w:fill="auto"/>
            <w:noWrap/>
            <w:vAlign w:val="center"/>
            <w:hideMark/>
          </w:tcPr>
          <w:p w:rsidR="003E311F" w:rsidRPr="00515D00" w:rsidRDefault="003E311F" w:rsidP="007A358B">
            <w:pPr>
              <w:jc w:val="center"/>
              <w:rPr>
                <w:color w:val="000000"/>
                <w:sz w:val="16"/>
                <w:szCs w:val="16"/>
              </w:rPr>
            </w:pPr>
            <w:r w:rsidRPr="00515D00">
              <w:rPr>
                <w:color w:val="000000"/>
                <w:sz w:val="16"/>
                <w:szCs w:val="16"/>
              </w:rPr>
              <w:t>-</w:t>
            </w:r>
          </w:p>
        </w:tc>
        <w:tc>
          <w:tcPr>
            <w:tcW w:w="2471" w:type="dxa"/>
            <w:tcBorders>
              <w:top w:val="single" w:sz="4" w:space="0" w:color="auto"/>
              <w:left w:val="nil"/>
              <w:bottom w:val="single" w:sz="4" w:space="0" w:color="auto"/>
              <w:right w:val="single" w:sz="4" w:space="0" w:color="auto"/>
            </w:tcBorders>
            <w:shd w:val="clear" w:color="auto" w:fill="auto"/>
            <w:vAlign w:val="center"/>
            <w:hideMark/>
          </w:tcPr>
          <w:p w:rsidR="003E311F" w:rsidRPr="00515D00" w:rsidRDefault="003E311F" w:rsidP="007A358B">
            <w:pPr>
              <w:jc w:val="center"/>
              <w:rPr>
                <w:color w:val="000000"/>
                <w:sz w:val="16"/>
                <w:szCs w:val="16"/>
              </w:rPr>
            </w:pPr>
            <w:r w:rsidRPr="00515D00">
              <w:rPr>
                <w:color w:val="000000"/>
                <w:sz w:val="16"/>
                <w:szCs w:val="16"/>
              </w:rPr>
              <w:t>4.969.999</w:t>
            </w:r>
          </w:p>
        </w:tc>
      </w:tr>
    </w:tbl>
    <w:p w:rsidR="003E311F" w:rsidRDefault="003E311F" w:rsidP="003E311F">
      <w:pPr>
        <w:rPr>
          <w:b/>
          <w:sz w:val="20"/>
        </w:rPr>
      </w:pPr>
    </w:p>
    <w:p w:rsidR="009111DF" w:rsidRPr="007329AC" w:rsidRDefault="009111DF" w:rsidP="003E311F">
      <w:pPr>
        <w:rPr>
          <w:b/>
          <w:sz w:val="20"/>
        </w:rPr>
      </w:pPr>
    </w:p>
    <w:p w:rsidR="003E311F" w:rsidRPr="007329AC" w:rsidRDefault="003E311F" w:rsidP="009111DF">
      <w:pPr>
        <w:widowControl w:val="0"/>
        <w:rPr>
          <w:b/>
          <w:sz w:val="20"/>
        </w:rPr>
      </w:pPr>
      <w:r w:rsidRPr="007329AC">
        <w:rPr>
          <w:b/>
          <w:sz w:val="20"/>
        </w:rPr>
        <w:t>JAPÓN – P.I. / ÁFRICA–PMA</w:t>
      </w:r>
    </w:p>
    <w:p w:rsidR="003E311F" w:rsidRPr="007329AC" w:rsidRDefault="003E311F" w:rsidP="009111DF">
      <w:pPr>
        <w:widowControl w:val="0"/>
        <w:rPr>
          <w:b/>
          <w:sz w:val="20"/>
        </w:rPr>
      </w:pPr>
    </w:p>
    <w:tbl>
      <w:tblPr>
        <w:tblW w:w="9781" w:type="dxa"/>
        <w:tblInd w:w="10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43"/>
        <w:gridCol w:w="1134"/>
        <w:gridCol w:w="1985"/>
        <w:gridCol w:w="4819"/>
      </w:tblGrid>
      <w:tr w:rsidR="003E311F" w:rsidRPr="00092F2E" w:rsidTr="007A358B">
        <w:trPr>
          <w:cantSplit/>
          <w:trHeight w:val="315"/>
        </w:trPr>
        <w:tc>
          <w:tcPr>
            <w:tcW w:w="9781" w:type="dxa"/>
            <w:gridSpan w:val="4"/>
            <w:tcBorders>
              <w:top w:val="single" w:sz="4" w:space="0" w:color="000000"/>
              <w:bottom w:val="single" w:sz="4" w:space="0" w:color="000000"/>
            </w:tcBorders>
            <w:shd w:val="clear" w:color="auto" w:fill="C6D9F1" w:themeFill="text2" w:themeFillTint="33"/>
          </w:tcPr>
          <w:p w:rsidR="003E311F" w:rsidRPr="00515D00" w:rsidRDefault="003E311F" w:rsidP="009111DF">
            <w:pPr>
              <w:widowControl w:val="0"/>
              <w:tabs>
                <w:tab w:val="left" w:pos="1740"/>
              </w:tabs>
              <w:spacing w:before="120" w:after="120"/>
              <w:ind w:left="1740" w:hanging="1740"/>
              <w:rPr>
                <w:color w:val="000000"/>
                <w:sz w:val="16"/>
                <w:szCs w:val="16"/>
              </w:rPr>
            </w:pPr>
            <w:r w:rsidRPr="00515D00">
              <w:rPr>
                <w:b/>
                <w:bCs/>
                <w:color w:val="000000"/>
                <w:sz w:val="16"/>
                <w:szCs w:val="16"/>
              </w:rPr>
              <w:t>RESULTADO:</w:t>
            </w:r>
            <w:r w:rsidRPr="00515D00">
              <w:rPr>
                <w:bCs/>
                <w:sz w:val="16"/>
                <w:szCs w:val="16"/>
              </w:rPr>
              <w:tab/>
              <w:t xml:space="preserve">III.1  </w:t>
            </w:r>
            <w:r w:rsidRPr="001960A4">
              <w:rPr>
                <w:bCs/>
                <w:sz w:val="16"/>
                <w:szCs w:val="16"/>
              </w:rPr>
              <w:t>Estrategias y planes nacionales de innovación y de P.I. que estén en sintonía con los objetivos nacionales de desarrollo</w:t>
            </w:r>
          </w:p>
        </w:tc>
      </w:tr>
      <w:tr w:rsidR="003E311F" w:rsidRPr="00515D00" w:rsidTr="007A358B">
        <w:trPr>
          <w:cantSplit/>
          <w:trHeight w:val="402"/>
        </w:trPr>
        <w:tc>
          <w:tcPr>
            <w:tcW w:w="1843" w:type="dxa"/>
            <w:tcBorders>
              <w:top w:val="single" w:sz="4" w:space="0" w:color="000000"/>
            </w:tcBorders>
            <w:vAlign w:val="center"/>
          </w:tcPr>
          <w:p w:rsidR="003E311F" w:rsidRPr="00515D00" w:rsidRDefault="003E311F" w:rsidP="009111DF">
            <w:pPr>
              <w:widowControl w:val="0"/>
              <w:spacing w:before="60" w:after="60"/>
              <w:rPr>
                <w:b/>
                <w:bCs/>
                <w:sz w:val="16"/>
                <w:szCs w:val="16"/>
              </w:rPr>
            </w:pPr>
            <w:r w:rsidRPr="00515D00">
              <w:rPr>
                <w:b/>
                <w:bCs/>
                <w:sz w:val="16"/>
                <w:szCs w:val="16"/>
              </w:rPr>
              <w:t>Actividad</w:t>
            </w:r>
          </w:p>
        </w:tc>
        <w:tc>
          <w:tcPr>
            <w:tcW w:w="1134" w:type="dxa"/>
            <w:tcBorders>
              <w:top w:val="single" w:sz="4" w:space="0" w:color="000000"/>
            </w:tcBorders>
            <w:vAlign w:val="center"/>
          </w:tcPr>
          <w:p w:rsidR="003E311F" w:rsidRPr="00515D00" w:rsidRDefault="003E311F" w:rsidP="009111DF">
            <w:pPr>
              <w:widowControl w:val="0"/>
              <w:spacing w:before="60" w:after="60"/>
              <w:rPr>
                <w:sz w:val="16"/>
                <w:szCs w:val="16"/>
              </w:rPr>
            </w:pPr>
            <w:r w:rsidRPr="00515D00">
              <w:rPr>
                <w:b/>
                <w:bCs/>
                <w:sz w:val="16"/>
                <w:szCs w:val="16"/>
              </w:rPr>
              <w:t>Fecha</w:t>
            </w:r>
          </w:p>
        </w:tc>
        <w:tc>
          <w:tcPr>
            <w:tcW w:w="1985" w:type="dxa"/>
            <w:tcBorders>
              <w:top w:val="single" w:sz="4" w:space="0" w:color="000000"/>
            </w:tcBorders>
            <w:vAlign w:val="center"/>
          </w:tcPr>
          <w:p w:rsidR="003E311F" w:rsidRPr="00515D00" w:rsidRDefault="003E311F" w:rsidP="009111DF">
            <w:pPr>
              <w:widowControl w:val="0"/>
              <w:rPr>
                <w:sz w:val="16"/>
                <w:szCs w:val="16"/>
              </w:rPr>
            </w:pPr>
            <w:r w:rsidRPr="00515D00">
              <w:rPr>
                <w:b/>
                <w:sz w:val="16"/>
                <w:szCs w:val="16"/>
              </w:rPr>
              <w:t>País anfitrión / Beneficiarios</w:t>
            </w:r>
          </w:p>
        </w:tc>
        <w:tc>
          <w:tcPr>
            <w:tcW w:w="4819" w:type="dxa"/>
            <w:tcBorders>
              <w:top w:val="single" w:sz="4" w:space="0" w:color="000000"/>
            </w:tcBorders>
            <w:vAlign w:val="center"/>
          </w:tcPr>
          <w:p w:rsidR="003E311F" w:rsidRPr="00515D00" w:rsidRDefault="003E311F" w:rsidP="009111DF">
            <w:pPr>
              <w:widowControl w:val="0"/>
              <w:rPr>
                <w:sz w:val="16"/>
                <w:szCs w:val="16"/>
              </w:rPr>
            </w:pPr>
            <w:r w:rsidRPr="00515D00">
              <w:rPr>
                <w:b/>
                <w:sz w:val="16"/>
                <w:szCs w:val="16"/>
              </w:rPr>
              <w:t>Propósito(s)/Descripción</w:t>
            </w:r>
          </w:p>
        </w:tc>
      </w:tr>
      <w:tr w:rsidR="003E311F" w:rsidRPr="00092F2E" w:rsidTr="007A358B">
        <w:trPr>
          <w:cantSplit/>
          <w:trHeight w:val="315"/>
        </w:trPr>
        <w:tc>
          <w:tcPr>
            <w:tcW w:w="1843" w:type="dxa"/>
          </w:tcPr>
          <w:p w:rsidR="003E311F" w:rsidRPr="00515D00" w:rsidRDefault="003E311F" w:rsidP="009111DF">
            <w:pPr>
              <w:widowControl w:val="0"/>
              <w:autoSpaceDE w:val="0"/>
              <w:autoSpaceDN w:val="0"/>
              <w:adjustRightInd w:val="0"/>
              <w:spacing w:before="60" w:after="60"/>
              <w:rPr>
                <w:color w:val="000000"/>
                <w:sz w:val="16"/>
                <w:szCs w:val="16"/>
              </w:rPr>
            </w:pPr>
            <w:r w:rsidRPr="00515D00">
              <w:rPr>
                <w:color w:val="000000"/>
                <w:sz w:val="16"/>
                <w:szCs w:val="16"/>
              </w:rPr>
              <w:t xml:space="preserve">Reunión de partes interesadas para la integración de las políticas de innovación en el ámbito de la P.I. </w:t>
            </w:r>
          </w:p>
        </w:tc>
        <w:tc>
          <w:tcPr>
            <w:tcW w:w="1134" w:type="dxa"/>
          </w:tcPr>
          <w:p w:rsidR="003E311F" w:rsidRPr="00515D00" w:rsidRDefault="003E311F" w:rsidP="009111DF">
            <w:pPr>
              <w:widowControl w:val="0"/>
              <w:autoSpaceDE w:val="0"/>
              <w:autoSpaceDN w:val="0"/>
              <w:adjustRightInd w:val="0"/>
              <w:spacing w:before="60" w:after="60"/>
              <w:rPr>
                <w:color w:val="000000"/>
                <w:sz w:val="16"/>
                <w:szCs w:val="16"/>
              </w:rPr>
            </w:pPr>
            <w:r w:rsidRPr="00515D00">
              <w:rPr>
                <w:color w:val="000000"/>
                <w:sz w:val="16"/>
                <w:szCs w:val="16"/>
              </w:rPr>
              <w:t>4 a 5 de mayo de 2015</w:t>
            </w:r>
          </w:p>
        </w:tc>
        <w:tc>
          <w:tcPr>
            <w:tcW w:w="1985" w:type="dxa"/>
          </w:tcPr>
          <w:p w:rsidR="003E311F" w:rsidRPr="00515D00" w:rsidRDefault="003E311F" w:rsidP="009111DF">
            <w:pPr>
              <w:widowControl w:val="0"/>
              <w:autoSpaceDE w:val="0"/>
              <w:autoSpaceDN w:val="0"/>
              <w:adjustRightInd w:val="0"/>
              <w:spacing w:before="60" w:after="60"/>
              <w:rPr>
                <w:color w:val="000000"/>
                <w:sz w:val="16"/>
                <w:szCs w:val="16"/>
              </w:rPr>
            </w:pPr>
            <w:proofErr w:type="spellStart"/>
            <w:r w:rsidRPr="00515D00">
              <w:rPr>
                <w:color w:val="000000"/>
                <w:sz w:val="16"/>
                <w:szCs w:val="16"/>
              </w:rPr>
              <w:t>Rwanda</w:t>
            </w:r>
            <w:proofErr w:type="spellEnd"/>
          </w:p>
        </w:tc>
        <w:tc>
          <w:tcPr>
            <w:tcW w:w="4819" w:type="dxa"/>
          </w:tcPr>
          <w:p w:rsidR="003E311F" w:rsidRPr="00515D00" w:rsidRDefault="003E311F" w:rsidP="009111DF">
            <w:pPr>
              <w:widowControl w:val="0"/>
              <w:autoSpaceDE w:val="0"/>
              <w:autoSpaceDN w:val="0"/>
              <w:adjustRightInd w:val="0"/>
              <w:spacing w:before="60" w:after="60"/>
              <w:rPr>
                <w:color w:val="000000"/>
                <w:sz w:val="16"/>
                <w:szCs w:val="16"/>
              </w:rPr>
            </w:pPr>
            <w:r w:rsidRPr="00515D00">
              <w:rPr>
                <w:color w:val="000000"/>
                <w:sz w:val="16"/>
                <w:szCs w:val="16"/>
              </w:rPr>
              <w:t xml:space="preserve">Presentar a las partes interesadas en el sistema de innovación del país las constataciones y conclusiones de un informe sobre Integración de la P.I. en la política de formulación de innovaciones en </w:t>
            </w:r>
            <w:proofErr w:type="spellStart"/>
            <w:r w:rsidRPr="00515D00">
              <w:rPr>
                <w:color w:val="000000"/>
                <w:sz w:val="16"/>
                <w:szCs w:val="16"/>
              </w:rPr>
              <w:t>Rwanda</w:t>
            </w:r>
            <w:proofErr w:type="spellEnd"/>
            <w:r w:rsidRPr="00515D00">
              <w:rPr>
                <w:color w:val="000000"/>
                <w:sz w:val="16"/>
                <w:szCs w:val="16"/>
              </w:rPr>
              <w:t xml:space="preserve"> para su consideración y validación.</w:t>
            </w:r>
          </w:p>
        </w:tc>
      </w:tr>
      <w:tr w:rsidR="003E311F" w:rsidRPr="00092F2E" w:rsidTr="007A358B">
        <w:trPr>
          <w:cantSplit/>
          <w:trHeight w:val="315"/>
        </w:trPr>
        <w:tc>
          <w:tcPr>
            <w:tcW w:w="1843" w:type="dxa"/>
          </w:tcPr>
          <w:p w:rsidR="003E311F" w:rsidRPr="00515D00" w:rsidRDefault="003E311F" w:rsidP="009111DF">
            <w:pPr>
              <w:widowControl w:val="0"/>
              <w:autoSpaceDE w:val="0"/>
              <w:autoSpaceDN w:val="0"/>
              <w:adjustRightInd w:val="0"/>
              <w:spacing w:before="60" w:after="60"/>
              <w:rPr>
                <w:color w:val="000000"/>
                <w:sz w:val="16"/>
                <w:szCs w:val="16"/>
              </w:rPr>
            </w:pPr>
            <w:r w:rsidRPr="00515D00">
              <w:rPr>
                <w:color w:val="000000"/>
                <w:sz w:val="16"/>
                <w:szCs w:val="16"/>
              </w:rPr>
              <w:t xml:space="preserve">Conferencia Ministerial Africana de 2015:  </w:t>
            </w:r>
            <w:r>
              <w:rPr>
                <w:color w:val="000000"/>
                <w:sz w:val="16"/>
                <w:szCs w:val="16"/>
              </w:rPr>
              <w:t>"La p</w:t>
            </w:r>
            <w:r w:rsidRPr="00515D00">
              <w:rPr>
                <w:color w:val="000000"/>
                <w:sz w:val="16"/>
                <w:szCs w:val="16"/>
              </w:rPr>
              <w:t>r</w:t>
            </w:r>
            <w:r>
              <w:rPr>
                <w:color w:val="000000"/>
                <w:sz w:val="16"/>
                <w:szCs w:val="16"/>
              </w:rPr>
              <w:t>opiedad i</w:t>
            </w:r>
            <w:r w:rsidRPr="00515D00">
              <w:rPr>
                <w:color w:val="000000"/>
                <w:sz w:val="16"/>
                <w:szCs w:val="16"/>
              </w:rPr>
              <w:t>ntelectual (P.I.) para un África emergente</w:t>
            </w:r>
            <w:r>
              <w:rPr>
                <w:color w:val="000000"/>
                <w:sz w:val="16"/>
                <w:szCs w:val="16"/>
              </w:rPr>
              <w:t>"</w:t>
            </w:r>
          </w:p>
        </w:tc>
        <w:tc>
          <w:tcPr>
            <w:tcW w:w="1134" w:type="dxa"/>
          </w:tcPr>
          <w:p w:rsidR="003E311F" w:rsidRPr="00515D00" w:rsidRDefault="003E311F" w:rsidP="009111DF">
            <w:pPr>
              <w:widowControl w:val="0"/>
              <w:autoSpaceDE w:val="0"/>
              <w:autoSpaceDN w:val="0"/>
              <w:adjustRightInd w:val="0"/>
              <w:spacing w:before="60" w:after="60"/>
              <w:rPr>
                <w:color w:val="000000"/>
                <w:sz w:val="16"/>
                <w:szCs w:val="16"/>
              </w:rPr>
            </w:pPr>
            <w:r w:rsidRPr="00515D00">
              <w:rPr>
                <w:color w:val="000000"/>
                <w:sz w:val="16"/>
                <w:szCs w:val="16"/>
              </w:rPr>
              <w:t>3 a 5 de noviembre de 2015</w:t>
            </w:r>
          </w:p>
        </w:tc>
        <w:tc>
          <w:tcPr>
            <w:tcW w:w="1985" w:type="dxa"/>
          </w:tcPr>
          <w:p w:rsidR="003E311F" w:rsidRPr="00515D00" w:rsidRDefault="003E311F" w:rsidP="009111DF">
            <w:pPr>
              <w:widowControl w:val="0"/>
              <w:autoSpaceDE w:val="0"/>
              <w:autoSpaceDN w:val="0"/>
              <w:adjustRightInd w:val="0"/>
              <w:spacing w:before="60" w:after="60"/>
              <w:rPr>
                <w:color w:val="000000"/>
                <w:sz w:val="16"/>
                <w:szCs w:val="16"/>
              </w:rPr>
            </w:pPr>
            <w:r w:rsidRPr="00515D00">
              <w:rPr>
                <w:color w:val="000000"/>
                <w:sz w:val="16"/>
                <w:szCs w:val="16"/>
              </w:rPr>
              <w:t>Senegal/</w:t>
            </w:r>
            <w:r w:rsidRPr="00515D00">
              <w:rPr>
                <w:sz w:val="16"/>
                <w:szCs w:val="16"/>
              </w:rPr>
              <w:t xml:space="preserve"> </w:t>
            </w:r>
            <w:r w:rsidRPr="00515D00">
              <w:rPr>
                <w:color w:val="000000"/>
                <w:sz w:val="16"/>
                <w:szCs w:val="16"/>
              </w:rPr>
              <w:t>400 participantes, entre ellos cerca de 50 ministros africanos</w:t>
            </w:r>
          </w:p>
        </w:tc>
        <w:tc>
          <w:tcPr>
            <w:tcW w:w="4819" w:type="dxa"/>
          </w:tcPr>
          <w:p w:rsidR="003E311F" w:rsidRPr="00515D00" w:rsidRDefault="003E311F" w:rsidP="009111DF">
            <w:pPr>
              <w:widowControl w:val="0"/>
              <w:autoSpaceDE w:val="0"/>
              <w:autoSpaceDN w:val="0"/>
              <w:adjustRightInd w:val="0"/>
              <w:spacing w:before="60" w:after="60"/>
              <w:rPr>
                <w:color w:val="000000"/>
                <w:sz w:val="16"/>
                <w:szCs w:val="16"/>
              </w:rPr>
            </w:pPr>
            <w:r w:rsidRPr="00515D00">
              <w:rPr>
                <w:color w:val="000000"/>
                <w:sz w:val="16"/>
                <w:szCs w:val="16"/>
              </w:rPr>
              <w:t>i) Poner de relieve la importancia de la P.I. como herramienta para transformar las economías africanas a través de la ciencia</w:t>
            </w:r>
            <w:r>
              <w:rPr>
                <w:color w:val="000000"/>
                <w:sz w:val="16"/>
                <w:szCs w:val="16"/>
              </w:rPr>
              <w:t xml:space="preserve">, la tecnología y la innovación; </w:t>
            </w:r>
            <w:r w:rsidRPr="00515D00">
              <w:rPr>
                <w:color w:val="000000"/>
                <w:sz w:val="16"/>
                <w:szCs w:val="16"/>
              </w:rPr>
              <w:t xml:space="preserve"> y ii) </w:t>
            </w:r>
            <w:r>
              <w:rPr>
                <w:color w:val="000000"/>
                <w:sz w:val="16"/>
                <w:szCs w:val="16"/>
              </w:rPr>
              <w:t>brindar</w:t>
            </w:r>
            <w:r w:rsidRPr="00515D00">
              <w:rPr>
                <w:color w:val="000000"/>
                <w:sz w:val="16"/>
                <w:szCs w:val="16"/>
              </w:rPr>
              <w:t xml:space="preserve"> un foro para que los encargados de formular políticas y los expertos regionales puedan reunirse e intercambiar opiniones acerca del modo de aprovechar las posibilidades que ofrece el sistema de P.I. para promover la innovación y la creatividad orientadas a la transformación económica.</w:t>
            </w:r>
          </w:p>
        </w:tc>
      </w:tr>
      <w:tr w:rsidR="003E311F" w:rsidRPr="00092F2E" w:rsidTr="007A358B">
        <w:trPr>
          <w:cantSplit/>
          <w:trHeight w:val="315"/>
        </w:trPr>
        <w:tc>
          <w:tcPr>
            <w:tcW w:w="9781" w:type="dxa"/>
            <w:gridSpan w:val="4"/>
            <w:tcBorders>
              <w:top w:val="single" w:sz="4" w:space="0" w:color="000000"/>
              <w:bottom w:val="single" w:sz="4" w:space="0" w:color="auto"/>
            </w:tcBorders>
            <w:shd w:val="clear" w:color="auto" w:fill="C6D9F1" w:themeFill="text2" w:themeFillTint="33"/>
          </w:tcPr>
          <w:p w:rsidR="003E311F" w:rsidRPr="00515D00" w:rsidRDefault="003E311F" w:rsidP="007A358B">
            <w:pPr>
              <w:keepNext/>
              <w:keepLines/>
              <w:tabs>
                <w:tab w:val="left" w:pos="1740"/>
              </w:tabs>
              <w:spacing w:before="120" w:after="120"/>
              <w:ind w:left="1740" w:hanging="1740"/>
              <w:rPr>
                <w:color w:val="000000"/>
                <w:sz w:val="16"/>
                <w:szCs w:val="16"/>
              </w:rPr>
            </w:pPr>
            <w:r w:rsidRPr="00515D00">
              <w:rPr>
                <w:b/>
                <w:bCs/>
                <w:color w:val="000000"/>
                <w:sz w:val="16"/>
                <w:szCs w:val="16"/>
              </w:rPr>
              <w:lastRenderedPageBreak/>
              <w:t>RESULTADO:</w:t>
            </w:r>
            <w:r w:rsidRPr="00515D00">
              <w:rPr>
                <w:bCs/>
                <w:sz w:val="16"/>
                <w:szCs w:val="16"/>
              </w:rPr>
              <w:tab/>
              <w:t>III.2  Aumento de las capacidades en recursos humanos para hacer frente a la gran diversidad de exigencias que supone la utilización eficaz de la P.I. para fomentar el desarrollo en los países en desarrollo, PMA y países con economías en transición</w:t>
            </w:r>
          </w:p>
        </w:tc>
      </w:tr>
      <w:tr w:rsidR="003E311F" w:rsidRPr="00515D00" w:rsidTr="007A358B">
        <w:trPr>
          <w:cantSplit/>
          <w:trHeight w:val="429"/>
        </w:trPr>
        <w:tc>
          <w:tcPr>
            <w:tcW w:w="1843" w:type="dxa"/>
            <w:tcBorders>
              <w:top w:val="single" w:sz="4" w:space="0" w:color="auto"/>
              <w:left w:val="single" w:sz="4" w:space="0" w:color="auto"/>
              <w:bottom w:val="nil"/>
            </w:tcBorders>
            <w:vAlign w:val="center"/>
          </w:tcPr>
          <w:p w:rsidR="003E311F" w:rsidRPr="00515D00" w:rsidRDefault="003E311F" w:rsidP="007A358B">
            <w:pPr>
              <w:keepNext/>
              <w:keepLines/>
              <w:spacing w:before="60" w:after="60"/>
              <w:rPr>
                <w:b/>
                <w:bCs/>
                <w:sz w:val="16"/>
                <w:szCs w:val="16"/>
              </w:rPr>
            </w:pPr>
            <w:r w:rsidRPr="00515D00">
              <w:rPr>
                <w:b/>
                <w:bCs/>
                <w:sz w:val="16"/>
                <w:szCs w:val="16"/>
              </w:rPr>
              <w:t>Actividad</w:t>
            </w:r>
          </w:p>
        </w:tc>
        <w:tc>
          <w:tcPr>
            <w:tcW w:w="1134" w:type="dxa"/>
            <w:tcBorders>
              <w:top w:val="single" w:sz="4" w:space="0" w:color="auto"/>
              <w:bottom w:val="nil"/>
            </w:tcBorders>
            <w:vAlign w:val="center"/>
          </w:tcPr>
          <w:p w:rsidR="003E311F" w:rsidRPr="00515D00" w:rsidRDefault="003E311F" w:rsidP="007A358B">
            <w:pPr>
              <w:keepNext/>
              <w:keepLines/>
              <w:spacing w:before="60" w:after="60"/>
              <w:rPr>
                <w:sz w:val="16"/>
                <w:szCs w:val="16"/>
              </w:rPr>
            </w:pPr>
            <w:r w:rsidRPr="00515D00">
              <w:rPr>
                <w:b/>
                <w:bCs/>
                <w:sz w:val="16"/>
                <w:szCs w:val="16"/>
              </w:rPr>
              <w:t>Fecha</w:t>
            </w:r>
          </w:p>
        </w:tc>
        <w:tc>
          <w:tcPr>
            <w:tcW w:w="1985" w:type="dxa"/>
            <w:tcBorders>
              <w:top w:val="single" w:sz="4" w:space="0" w:color="auto"/>
              <w:bottom w:val="nil"/>
            </w:tcBorders>
            <w:vAlign w:val="center"/>
          </w:tcPr>
          <w:p w:rsidR="003E311F" w:rsidRPr="00515D00" w:rsidRDefault="003E311F" w:rsidP="007A358B">
            <w:pPr>
              <w:widowControl w:val="0"/>
              <w:rPr>
                <w:sz w:val="16"/>
                <w:szCs w:val="16"/>
              </w:rPr>
            </w:pPr>
            <w:r w:rsidRPr="00515D00">
              <w:rPr>
                <w:b/>
                <w:sz w:val="16"/>
                <w:szCs w:val="16"/>
              </w:rPr>
              <w:t>País anfitrión / Beneficiarios</w:t>
            </w:r>
          </w:p>
        </w:tc>
        <w:tc>
          <w:tcPr>
            <w:tcW w:w="4819" w:type="dxa"/>
            <w:tcBorders>
              <w:top w:val="single" w:sz="4" w:space="0" w:color="auto"/>
              <w:bottom w:val="nil"/>
              <w:right w:val="single" w:sz="4" w:space="0" w:color="auto"/>
            </w:tcBorders>
            <w:vAlign w:val="center"/>
          </w:tcPr>
          <w:p w:rsidR="003E311F" w:rsidRPr="00515D00" w:rsidRDefault="003E311F" w:rsidP="007A358B">
            <w:pPr>
              <w:widowControl w:val="0"/>
              <w:rPr>
                <w:sz w:val="16"/>
                <w:szCs w:val="16"/>
              </w:rPr>
            </w:pPr>
            <w:r w:rsidRPr="00515D00">
              <w:rPr>
                <w:b/>
                <w:sz w:val="16"/>
                <w:szCs w:val="16"/>
              </w:rPr>
              <w:t>Propósito(s)/Descripción</w:t>
            </w:r>
          </w:p>
        </w:tc>
      </w:tr>
      <w:tr w:rsidR="003E311F" w:rsidRPr="00092F2E" w:rsidTr="007A358B">
        <w:trPr>
          <w:cantSplit/>
          <w:trHeight w:val="315"/>
        </w:trPr>
        <w:tc>
          <w:tcPr>
            <w:tcW w:w="1843" w:type="dxa"/>
            <w:tcBorders>
              <w:top w:val="nil"/>
              <w:left w:val="single" w:sz="4" w:space="0" w:color="auto"/>
              <w:bottom w:val="nil"/>
            </w:tcBorders>
          </w:tcPr>
          <w:p w:rsidR="003E311F" w:rsidRPr="00515D00" w:rsidRDefault="003E311F" w:rsidP="007A358B">
            <w:pPr>
              <w:autoSpaceDE w:val="0"/>
              <w:autoSpaceDN w:val="0"/>
              <w:adjustRightInd w:val="0"/>
              <w:spacing w:before="60" w:after="60"/>
              <w:rPr>
                <w:color w:val="000000"/>
                <w:sz w:val="16"/>
                <w:szCs w:val="16"/>
              </w:rPr>
            </w:pPr>
            <w:r w:rsidRPr="00515D00">
              <w:rPr>
                <w:sz w:val="16"/>
                <w:szCs w:val="16"/>
              </w:rPr>
              <w:t>Examen de solicitudes de P.I. (nivel básico) – Patentes, Curso de formación sobre examen de solicitudes de propiedad industrial (programa básico)</w:t>
            </w:r>
          </w:p>
        </w:tc>
        <w:tc>
          <w:tcPr>
            <w:tcW w:w="1134" w:type="dxa"/>
            <w:tcBorders>
              <w:top w:val="nil"/>
              <w:bottom w:val="nil"/>
            </w:tcBorders>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19 a 30 de enero de 2015</w:t>
            </w:r>
          </w:p>
        </w:tc>
        <w:tc>
          <w:tcPr>
            <w:tcW w:w="1985" w:type="dxa"/>
            <w:tcBorders>
              <w:top w:val="nil"/>
              <w:bottom w:val="nil"/>
            </w:tcBorders>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 xml:space="preserve">Japón/ Argelia, </w:t>
            </w:r>
            <w:proofErr w:type="spellStart"/>
            <w:r w:rsidRPr="00515D00">
              <w:rPr>
                <w:color w:val="000000"/>
                <w:sz w:val="16"/>
                <w:szCs w:val="16"/>
              </w:rPr>
              <w:t>Kenya</w:t>
            </w:r>
            <w:proofErr w:type="spellEnd"/>
            <w:r w:rsidRPr="00515D00">
              <w:rPr>
                <w:color w:val="000000"/>
                <w:sz w:val="16"/>
                <w:szCs w:val="16"/>
              </w:rPr>
              <w:t xml:space="preserve">, Madagascar, República Unida de </w:t>
            </w:r>
            <w:proofErr w:type="spellStart"/>
            <w:r w:rsidRPr="00515D00">
              <w:rPr>
                <w:color w:val="000000"/>
                <w:sz w:val="16"/>
                <w:szCs w:val="16"/>
              </w:rPr>
              <w:t>Tanzanía</w:t>
            </w:r>
            <w:proofErr w:type="spellEnd"/>
            <w:r w:rsidRPr="00515D00">
              <w:rPr>
                <w:color w:val="000000"/>
                <w:sz w:val="16"/>
                <w:szCs w:val="16"/>
              </w:rPr>
              <w:t xml:space="preserve"> y la ARIPO</w:t>
            </w:r>
          </w:p>
        </w:tc>
        <w:tc>
          <w:tcPr>
            <w:tcW w:w="4819" w:type="dxa"/>
            <w:tcBorders>
              <w:top w:val="nil"/>
              <w:bottom w:val="nil"/>
              <w:right w:val="single" w:sz="4" w:space="0" w:color="auto"/>
            </w:tcBorders>
          </w:tcPr>
          <w:p w:rsidR="003E311F" w:rsidRPr="00515D00" w:rsidRDefault="003E311F" w:rsidP="007A358B">
            <w:pPr>
              <w:autoSpaceDE w:val="0"/>
              <w:autoSpaceDN w:val="0"/>
              <w:adjustRightInd w:val="0"/>
              <w:spacing w:before="60" w:after="60"/>
              <w:rPr>
                <w:color w:val="000000"/>
                <w:sz w:val="16"/>
                <w:szCs w:val="16"/>
              </w:rPr>
            </w:pPr>
            <w:r w:rsidRPr="00515D00">
              <w:rPr>
                <w:sz w:val="16"/>
                <w:szCs w:val="16"/>
              </w:rPr>
              <w:t>Asistir a los participantes en la adquisición de conocimientos básicos sobre la legislación y los procedimientos de examen de fondo en el ámbito de los derechos de propiedad industrial.</w:t>
            </w:r>
          </w:p>
        </w:tc>
      </w:tr>
      <w:tr w:rsidR="003E311F" w:rsidRPr="00092F2E" w:rsidTr="007A358B">
        <w:trPr>
          <w:cantSplit/>
          <w:trHeight w:val="315"/>
        </w:trPr>
        <w:tc>
          <w:tcPr>
            <w:tcW w:w="1843" w:type="dxa"/>
            <w:tcBorders>
              <w:top w:val="nil"/>
              <w:left w:val="single" w:sz="4" w:space="0" w:color="auto"/>
              <w:bottom w:val="nil"/>
            </w:tcBorders>
          </w:tcPr>
          <w:p w:rsidR="003E311F" w:rsidRPr="00515D00" w:rsidRDefault="003E311F" w:rsidP="007A358B">
            <w:pPr>
              <w:autoSpaceDE w:val="0"/>
              <w:autoSpaceDN w:val="0"/>
              <w:adjustRightInd w:val="0"/>
              <w:spacing w:before="60" w:after="60"/>
              <w:rPr>
                <w:color w:val="000000"/>
                <w:sz w:val="16"/>
                <w:szCs w:val="16"/>
              </w:rPr>
            </w:pPr>
            <w:r w:rsidRPr="00515D00">
              <w:rPr>
                <w:sz w:val="16"/>
                <w:szCs w:val="16"/>
              </w:rPr>
              <w:t>Curso de formación sobre gestión de la P.I.</w:t>
            </w:r>
          </w:p>
        </w:tc>
        <w:tc>
          <w:tcPr>
            <w:tcW w:w="1134" w:type="dxa"/>
            <w:tcBorders>
              <w:top w:val="nil"/>
              <w:bottom w:val="nil"/>
            </w:tcBorders>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6 a 13 de febrero de 2015</w:t>
            </w:r>
          </w:p>
        </w:tc>
        <w:tc>
          <w:tcPr>
            <w:tcW w:w="1985" w:type="dxa"/>
            <w:tcBorders>
              <w:top w:val="nil"/>
              <w:bottom w:val="nil"/>
            </w:tcBorders>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Japón/ Marruecos, Nigeria y Sudáfrica</w:t>
            </w:r>
          </w:p>
        </w:tc>
        <w:tc>
          <w:tcPr>
            <w:tcW w:w="4819" w:type="dxa"/>
            <w:tcBorders>
              <w:top w:val="nil"/>
              <w:bottom w:val="nil"/>
              <w:right w:val="single" w:sz="4" w:space="0" w:color="auto"/>
            </w:tcBorders>
          </w:tcPr>
          <w:p w:rsidR="003E311F" w:rsidRPr="00515D00" w:rsidRDefault="003E311F" w:rsidP="007A358B">
            <w:pPr>
              <w:autoSpaceDE w:val="0"/>
              <w:autoSpaceDN w:val="0"/>
              <w:adjustRightInd w:val="0"/>
              <w:spacing w:before="60" w:after="60"/>
              <w:rPr>
                <w:color w:val="000000"/>
                <w:sz w:val="16"/>
                <w:szCs w:val="16"/>
              </w:rPr>
            </w:pPr>
            <w:r w:rsidRPr="00515D00">
              <w:rPr>
                <w:sz w:val="16"/>
                <w:szCs w:val="16"/>
              </w:rPr>
              <w:t>i) Ampliar los conocimientos de los participantes sobre prácticas modernas de gestión de la P.I., entre ellas una metodología para elaborar políticas, estrategias y planes relativos al fortalecimiento de las capacidades de los examinadores de patentes y a la gestión de la calidad de los exámenes de patent</w:t>
            </w:r>
            <w:r>
              <w:rPr>
                <w:sz w:val="16"/>
                <w:szCs w:val="16"/>
              </w:rPr>
              <w:t xml:space="preserve">es; </w:t>
            </w:r>
            <w:r w:rsidRPr="00515D00">
              <w:rPr>
                <w:sz w:val="16"/>
                <w:szCs w:val="16"/>
              </w:rPr>
              <w:t xml:space="preserve"> y ii) mejorar la capacidad de los participantes de formular, aplicar y evaluar planes de oficina de P.I. sujetos a plazo, orientados a resultados y con efectos mensurables</w:t>
            </w:r>
            <w:r w:rsidRPr="00515D00">
              <w:rPr>
                <w:color w:val="000000"/>
                <w:sz w:val="16"/>
                <w:szCs w:val="16"/>
              </w:rPr>
              <w:t>.</w:t>
            </w:r>
          </w:p>
        </w:tc>
      </w:tr>
      <w:tr w:rsidR="003E311F" w:rsidRPr="00092F2E" w:rsidTr="009111DF">
        <w:trPr>
          <w:cantSplit/>
          <w:trHeight w:val="315"/>
        </w:trPr>
        <w:tc>
          <w:tcPr>
            <w:tcW w:w="1843" w:type="dxa"/>
            <w:tcBorders>
              <w:top w:val="nil"/>
              <w:left w:val="single" w:sz="4" w:space="0" w:color="auto"/>
              <w:bottom w:val="nil"/>
            </w:tcBorders>
          </w:tcPr>
          <w:p w:rsidR="003E311F" w:rsidRPr="00515D00" w:rsidRDefault="003E311F" w:rsidP="007A358B">
            <w:pPr>
              <w:autoSpaceDE w:val="0"/>
              <w:autoSpaceDN w:val="0"/>
              <w:adjustRightInd w:val="0"/>
              <w:spacing w:before="60" w:after="60"/>
              <w:rPr>
                <w:color w:val="000000"/>
                <w:sz w:val="16"/>
                <w:szCs w:val="16"/>
              </w:rPr>
            </w:pPr>
            <w:r w:rsidRPr="00515D00">
              <w:rPr>
                <w:sz w:val="16"/>
                <w:szCs w:val="16"/>
              </w:rPr>
              <w:t>Curso de formación para examinadores de patentes sobre tecnologías específicas (productos farmacéuticos)</w:t>
            </w:r>
          </w:p>
        </w:tc>
        <w:tc>
          <w:tcPr>
            <w:tcW w:w="1134" w:type="dxa"/>
            <w:tcBorders>
              <w:top w:val="nil"/>
              <w:bottom w:val="nil"/>
            </w:tcBorders>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19 a 26 de febrero de 2015</w:t>
            </w:r>
          </w:p>
        </w:tc>
        <w:tc>
          <w:tcPr>
            <w:tcW w:w="1985" w:type="dxa"/>
            <w:tcBorders>
              <w:top w:val="nil"/>
              <w:bottom w:val="nil"/>
            </w:tcBorders>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Japón/ Egipto y la ARIPO</w:t>
            </w:r>
          </w:p>
        </w:tc>
        <w:tc>
          <w:tcPr>
            <w:tcW w:w="4819" w:type="dxa"/>
            <w:tcBorders>
              <w:top w:val="nil"/>
              <w:bottom w:val="nil"/>
              <w:right w:val="single" w:sz="4" w:space="0" w:color="auto"/>
            </w:tcBorders>
          </w:tcPr>
          <w:p w:rsidR="003E311F" w:rsidRPr="00515D00" w:rsidRDefault="003E311F" w:rsidP="007A358B">
            <w:pPr>
              <w:autoSpaceDE w:val="0"/>
              <w:autoSpaceDN w:val="0"/>
              <w:adjustRightInd w:val="0"/>
              <w:spacing w:before="60" w:after="60"/>
              <w:rPr>
                <w:color w:val="000000"/>
                <w:sz w:val="16"/>
                <w:szCs w:val="16"/>
              </w:rPr>
            </w:pPr>
            <w:r w:rsidRPr="00515D00">
              <w:rPr>
                <w:sz w:val="16"/>
                <w:szCs w:val="16"/>
              </w:rPr>
              <w:t>i) Familiarizar a los participantes con las tendencias actuales y las nuevas prácticas para el examen de patentes en lo concernient</w:t>
            </w:r>
            <w:r>
              <w:rPr>
                <w:sz w:val="16"/>
                <w:szCs w:val="16"/>
              </w:rPr>
              <w:t xml:space="preserve">e a los productos farmacéuticos; </w:t>
            </w:r>
            <w:r w:rsidRPr="00515D00">
              <w:rPr>
                <w:sz w:val="16"/>
                <w:szCs w:val="16"/>
              </w:rPr>
              <w:t xml:space="preserve"> ii) ofrecer ideas y conocimientos práctic</w:t>
            </w:r>
            <w:r>
              <w:rPr>
                <w:sz w:val="16"/>
                <w:szCs w:val="16"/>
              </w:rPr>
              <w:t xml:space="preserve">os sobre metodologías de examen; </w:t>
            </w:r>
            <w:r w:rsidRPr="00515D00">
              <w:rPr>
                <w:sz w:val="16"/>
                <w:szCs w:val="16"/>
              </w:rPr>
              <w:t xml:space="preserve"> iii) brindar a los participantes la oportunidad de compartir experiencias y opiniones sobre cuestiones relativas al examen de patentes;  y iv) fortalecer las capacidades profesionales de los participantes para el examen de patentes en el ámbito de la industria farmacéutica.</w:t>
            </w:r>
          </w:p>
        </w:tc>
      </w:tr>
      <w:tr w:rsidR="003E311F" w:rsidRPr="00092F2E" w:rsidTr="009111DF">
        <w:trPr>
          <w:cantSplit/>
          <w:trHeight w:val="315"/>
        </w:trPr>
        <w:tc>
          <w:tcPr>
            <w:tcW w:w="1843" w:type="dxa"/>
            <w:tcBorders>
              <w:top w:val="nil"/>
              <w:left w:val="single" w:sz="4" w:space="0" w:color="auto"/>
              <w:bottom w:val="nil"/>
            </w:tcBorders>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 xml:space="preserve">Reunión de partes interesadas y Taller de formación para un </w:t>
            </w:r>
            <w:r>
              <w:rPr>
                <w:color w:val="000000"/>
                <w:sz w:val="16"/>
                <w:szCs w:val="16"/>
              </w:rPr>
              <w:t>proyecto de desarrollo de marca</w:t>
            </w:r>
            <w:r w:rsidRPr="00515D00">
              <w:rPr>
                <w:color w:val="000000"/>
                <w:sz w:val="16"/>
                <w:szCs w:val="16"/>
              </w:rPr>
              <w:t xml:space="preserve"> para </w:t>
            </w:r>
            <w:proofErr w:type="spellStart"/>
            <w:r w:rsidRPr="00515D00">
              <w:rPr>
                <w:color w:val="000000"/>
                <w:sz w:val="16"/>
                <w:szCs w:val="16"/>
              </w:rPr>
              <w:t>Kisii</w:t>
            </w:r>
            <w:proofErr w:type="spellEnd"/>
            <w:r w:rsidRPr="00515D00">
              <w:rPr>
                <w:color w:val="000000"/>
                <w:sz w:val="16"/>
                <w:szCs w:val="16"/>
              </w:rPr>
              <w:t xml:space="preserve"> </w:t>
            </w:r>
            <w:proofErr w:type="spellStart"/>
            <w:r w:rsidRPr="00515D00">
              <w:rPr>
                <w:color w:val="000000"/>
                <w:sz w:val="16"/>
                <w:szCs w:val="16"/>
              </w:rPr>
              <w:t>Soapstone</w:t>
            </w:r>
            <w:proofErr w:type="spellEnd"/>
          </w:p>
        </w:tc>
        <w:tc>
          <w:tcPr>
            <w:tcW w:w="1134" w:type="dxa"/>
            <w:tcBorders>
              <w:top w:val="nil"/>
              <w:bottom w:val="nil"/>
            </w:tcBorders>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16 a 20 de marzo de 2015</w:t>
            </w:r>
          </w:p>
        </w:tc>
        <w:tc>
          <w:tcPr>
            <w:tcW w:w="1985" w:type="dxa"/>
            <w:tcBorders>
              <w:top w:val="nil"/>
              <w:bottom w:val="nil"/>
            </w:tcBorders>
          </w:tcPr>
          <w:p w:rsidR="003E311F" w:rsidRPr="00515D00" w:rsidRDefault="003E311F" w:rsidP="007A358B">
            <w:pPr>
              <w:autoSpaceDE w:val="0"/>
              <w:autoSpaceDN w:val="0"/>
              <w:adjustRightInd w:val="0"/>
              <w:spacing w:before="60" w:after="60"/>
              <w:rPr>
                <w:color w:val="000000"/>
                <w:sz w:val="16"/>
                <w:szCs w:val="16"/>
              </w:rPr>
            </w:pPr>
            <w:proofErr w:type="spellStart"/>
            <w:r w:rsidRPr="00515D00">
              <w:rPr>
                <w:color w:val="000000"/>
                <w:sz w:val="16"/>
                <w:szCs w:val="16"/>
              </w:rPr>
              <w:t>Kenya</w:t>
            </w:r>
            <w:proofErr w:type="spellEnd"/>
          </w:p>
        </w:tc>
        <w:tc>
          <w:tcPr>
            <w:tcW w:w="4819" w:type="dxa"/>
            <w:tcBorders>
              <w:top w:val="nil"/>
              <w:bottom w:val="nil"/>
              <w:right w:val="single" w:sz="4" w:space="0" w:color="auto"/>
            </w:tcBorders>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 xml:space="preserve">Poner en marcha un proyecto de desarrollo de marca que aproveche el potencial de mercado y el activo intangible de </w:t>
            </w:r>
            <w:proofErr w:type="spellStart"/>
            <w:r w:rsidRPr="00515D00">
              <w:rPr>
                <w:color w:val="000000"/>
                <w:sz w:val="16"/>
                <w:szCs w:val="16"/>
              </w:rPr>
              <w:t>Kisii</w:t>
            </w:r>
            <w:proofErr w:type="spellEnd"/>
            <w:r w:rsidRPr="00515D00">
              <w:rPr>
                <w:color w:val="000000"/>
                <w:sz w:val="16"/>
                <w:szCs w:val="16"/>
              </w:rPr>
              <w:t xml:space="preserve"> </w:t>
            </w:r>
            <w:proofErr w:type="spellStart"/>
            <w:r w:rsidRPr="00515D00">
              <w:rPr>
                <w:color w:val="000000"/>
                <w:sz w:val="16"/>
                <w:szCs w:val="16"/>
              </w:rPr>
              <w:t>Soapstone</w:t>
            </w:r>
            <w:proofErr w:type="spellEnd"/>
            <w:r w:rsidRPr="00515D00">
              <w:rPr>
                <w:color w:val="000000"/>
                <w:sz w:val="16"/>
                <w:szCs w:val="16"/>
              </w:rPr>
              <w:t xml:space="preserve"> a través de la innovación y la P.I.</w:t>
            </w:r>
          </w:p>
        </w:tc>
      </w:tr>
      <w:tr w:rsidR="003E311F" w:rsidRPr="00092F2E" w:rsidTr="009111DF">
        <w:trPr>
          <w:cantSplit/>
          <w:trHeight w:val="315"/>
        </w:trPr>
        <w:tc>
          <w:tcPr>
            <w:tcW w:w="1843" w:type="dxa"/>
            <w:tcBorders>
              <w:top w:val="nil"/>
              <w:left w:val="single" w:sz="4" w:space="0" w:color="auto"/>
              <w:bottom w:val="nil"/>
            </w:tcBorders>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 xml:space="preserve">Reunión de Alto Nivel de parlamentarios de Estados miembros de la ARIPO:  Uso estratégico del sistema de P.I. para el desarrollo económico, cultural, social y tecnológico </w:t>
            </w:r>
          </w:p>
        </w:tc>
        <w:tc>
          <w:tcPr>
            <w:tcW w:w="1134" w:type="dxa"/>
            <w:tcBorders>
              <w:top w:val="nil"/>
              <w:bottom w:val="nil"/>
            </w:tcBorders>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25 a 27 de marzo de 2015</w:t>
            </w:r>
          </w:p>
        </w:tc>
        <w:tc>
          <w:tcPr>
            <w:tcW w:w="1985" w:type="dxa"/>
            <w:tcBorders>
              <w:top w:val="nil"/>
              <w:bottom w:val="nil"/>
            </w:tcBorders>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 xml:space="preserve">Uganda/ 28 parlamentarios de Gambia, Ghana, </w:t>
            </w:r>
            <w:proofErr w:type="spellStart"/>
            <w:r w:rsidRPr="00515D00">
              <w:rPr>
                <w:color w:val="000000"/>
                <w:sz w:val="16"/>
                <w:szCs w:val="16"/>
              </w:rPr>
              <w:t>Kenya</w:t>
            </w:r>
            <w:proofErr w:type="spellEnd"/>
            <w:r w:rsidRPr="00515D00">
              <w:rPr>
                <w:color w:val="000000"/>
                <w:sz w:val="16"/>
                <w:szCs w:val="16"/>
              </w:rPr>
              <w:t xml:space="preserve">, Malawi, Mozambique, Santo Tomé y Príncipe, </w:t>
            </w:r>
            <w:proofErr w:type="spellStart"/>
            <w:r w:rsidRPr="00515D00">
              <w:rPr>
                <w:color w:val="000000"/>
                <w:sz w:val="16"/>
                <w:szCs w:val="16"/>
              </w:rPr>
              <w:t>Swazilandia</w:t>
            </w:r>
            <w:proofErr w:type="spellEnd"/>
            <w:r w:rsidRPr="00515D00">
              <w:rPr>
                <w:color w:val="000000"/>
                <w:sz w:val="16"/>
                <w:szCs w:val="16"/>
              </w:rPr>
              <w:t xml:space="preserve">, Uganda, Zambia y </w:t>
            </w:r>
            <w:proofErr w:type="spellStart"/>
            <w:r w:rsidRPr="00515D00">
              <w:rPr>
                <w:color w:val="000000"/>
                <w:sz w:val="16"/>
                <w:szCs w:val="16"/>
              </w:rPr>
              <w:t>Zimbabwe</w:t>
            </w:r>
            <w:proofErr w:type="spellEnd"/>
          </w:p>
        </w:tc>
        <w:tc>
          <w:tcPr>
            <w:tcW w:w="4819" w:type="dxa"/>
            <w:tcBorders>
              <w:top w:val="nil"/>
              <w:bottom w:val="nil"/>
              <w:right w:val="single" w:sz="4" w:space="0" w:color="auto"/>
            </w:tcBorders>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i) Ofrecer una plataforma que permita a los parlamentarios comprender mejor la importancia del sistema de P.I. como pilar del desarrollo económico,</w:t>
            </w:r>
            <w:r>
              <w:rPr>
                <w:color w:val="000000"/>
                <w:sz w:val="16"/>
                <w:szCs w:val="16"/>
              </w:rPr>
              <w:t xml:space="preserve"> cultural, social y tecnológico; </w:t>
            </w:r>
            <w:r w:rsidRPr="00515D00">
              <w:rPr>
                <w:color w:val="000000"/>
                <w:sz w:val="16"/>
                <w:szCs w:val="16"/>
              </w:rPr>
              <w:t xml:space="preserve"> ii) sensibilizarlos </w:t>
            </w:r>
            <w:r>
              <w:rPr>
                <w:color w:val="000000"/>
                <w:sz w:val="16"/>
                <w:szCs w:val="16"/>
              </w:rPr>
              <w:t>acerca de</w:t>
            </w:r>
            <w:r w:rsidRPr="00515D00">
              <w:rPr>
                <w:color w:val="000000"/>
                <w:sz w:val="16"/>
                <w:szCs w:val="16"/>
              </w:rPr>
              <w:t xml:space="preserve"> la diversidad de perspectivas e intereses políticos presentes en los tratados de la</w:t>
            </w:r>
            <w:r>
              <w:rPr>
                <w:color w:val="000000"/>
                <w:sz w:val="16"/>
                <w:szCs w:val="16"/>
              </w:rPr>
              <w:t xml:space="preserve"> OMPI; </w:t>
            </w:r>
            <w:r w:rsidRPr="00515D00">
              <w:rPr>
                <w:color w:val="000000"/>
                <w:sz w:val="16"/>
                <w:szCs w:val="16"/>
              </w:rPr>
              <w:t xml:space="preserve"> iii) concienciarlos de la necesidad de incrementar y fortalecer el uso del sistema de P.I. </w:t>
            </w:r>
            <w:r>
              <w:rPr>
                <w:color w:val="000000"/>
                <w:sz w:val="16"/>
                <w:szCs w:val="16"/>
              </w:rPr>
              <w:t xml:space="preserve">en sus respectivos países; </w:t>
            </w:r>
            <w:r w:rsidRPr="00515D00">
              <w:rPr>
                <w:color w:val="000000"/>
                <w:sz w:val="16"/>
                <w:szCs w:val="16"/>
              </w:rPr>
              <w:t xml:space="preserve"> y iv) dotarlos de las herramientas necesarias para tener un papel influyente en la elaboración y adopción de una legislación nacional sobre P.I. adaptada a los objetivos de desarrollo</w:t>
            </w:r>
            <w:r>
              <w:rPr>
                <w:color w:val="000000"/>
                <w:sz w:val="16"/>
                <w:szCs w:val="16"/>
              </w:rPr>
              <w:t xml:space="preserve"> de sus respectivos</w:t>
            </w:r>
            <w:r w:rsidRPr="00515D00">
              <w:rPr>
                <w:color w:val="000000"/>
                <w:sz w:val="16"/>
                <w:szCs w:val="16"/>
              </w:rPr>
              <w:t xml:space="preserve"> país</w:t>
            </w:r>
            <w:r>
              <w:rPr>
                <w:color w:val="000000"/>
                <w:sz w:val="16"/>
                <w:szCs w:val="16"/>
              </w:rPr>
              <w:t>es</w:t>
            </w:r>
            <w:r w:rsidRPr="00515D00">
              <w:rPr>
                <w:color w:val="000000"/>
                <w:sz w:val="16"/>
                <w:szCs w:val="16"/>
              </w:rPr>
              <w:t>.</w:t>
            </w:r>
          </w:p>
        </w:tc>
      </w:tr>
      <w:tr w:rsidR="003E311F" w:rsidRPr="00092F2E" w:rsidTr="007A358B">
        <w:trPr>
          <w:cantSplit/>
          <w:trHeight w:val="315"/>
        </w:trPr>
        <w:tc>
          <w:tcPr>
            <w:tcW w:w="1843" w:type="dxa"/>
            <w:tcBorders>
              <w:top w:val="nil"/>
              <w:left w:val="single" w:sz="4" w:space="0" w:color="auto"/>
              <w:bottom w:val="nil"/>
            </w:tcBorders>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Misión de expertos sobre transferencia de tecnología y comercialización de P.I.</w:t>
            </w:r>
          </w:p>
        </w:tc>
        <w:tc>
          <w:tcPr>
            <w:tcW w:w="1134" w:type="dxa"/>
            <w:tcBorders>
              <w:top w:val="nil"/>
              <w:bottom w:val="nil"/>
            </w:tcBorders>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6 a 10 de abril de 2015</w:t>
            </w:r>
          </w:p>
        </w:tc>
        <w:tc>
          <w:tcPr>
            <w:tcW w:w="1985" w:type="dxa"/>
            <w:tcBorders>
              <w:top w:val="nil"/>
              <w:bottom w:val="nil"/>
            </w:tcBorders>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Marruecos</w:t>
            </w:r>
          </w:p>
        </w:tc>
        <w:tc>
          <w:tcPr>
            <w:tcW w:w="4819" w:type="dxa"/>
            <w:tcBorders>
              <w:top w:val="nil"/>
              <w:bottom w:val="nil"/>
              <w:right w:val="single" w:sz="4" w:space="0" w:color="auto"/>
            </w:tcBorders>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i) Compartir los conocimientos y la experiencia del Japón en la promoción de la transferencia de tecnología y la comercialización de los resultados de las investigaciones realizadas por las universidades y las</w:t>
            </w:r>
            <w:r>
              <w:rPr>
                <w:color w:val="000000"/>
                <w:sz w:val="16"/>
                <w:szCs w:val="16"/>
              </w:rPr>
              <w:t xml:space="preserve"> instituciones de investigación; </w:t>
            </w:r>
            <w:r w:rsidRPr="00515D00">
              <w:rPr>
                <w:color w:val="000000"/>
                <w:sz w:val="16"/>
                <w:szCs w:val="16"/>
              </w:rPr>
              <w:t xml:space="preserve"> ii) determinar las cuestiones que debían abordarse</w:t>
            </w:r>
            <w:r>
              <w:rPr>
                <w:color w:val="000000"/>
                <w:sz w:val="16"/>
                <w:szCs w:val="16"/>
              </w:rPr>
              <w:t xml:space="preserve">; </w:t>
            </w:r>
            <w:r w:rsidRPr="00515D00">
              <w:rPr>
                <w:color w:val="000000"/>
                <w:sz w:val="16"/>
                <w:szCs w:val="16"/>
              </w:rPr>
              <w:t xml:space="preserve"> y iii) proponer posibles soluciones para el país.</w:t>
            </w:r>
          </w:p>
        </w:tc>
      </w:tr>
      <w:tr w:rsidR="003E311F" w:rsidRPr="00092F2E" w:rsidTr="009111DF">
        <w:trPr>
          <w:cantSplit/>
          <w:trHeight w:val="315"/>
        </w:trPr>
        <w:tc>
          <w:tcPr>
            <w:tcW w:w="1843" w:type="dxa"/>
            <w:tcBorders>
              <w:top w:val="nil"/>
              <w:left w:val="single" w:sz="4" w:space="0" w:color="auto"/>
              <w:bottom w:val="nil"/>
            </w:tcBorders>
          </w:tcPr>
          <w:p w:rsidR="003E311F" w:rsidRPr="00515D00" w:rsidRDefault="003E311F" w:rsidP="007A358B">
            <w:pPr>
              <w:autoSpaceDE w:val="0"/>
              <w:autoSpaceDN w:val="0"/>
              <w:adjustRightInd w:val="0"/>
              <w:spacing w:before="60" w:after="60"/>
              <w:rPr>
                <w:color w:val="000000"/>
                <w:sz w:val="16"/>
                <w:szCs w:val="16"/>
              </w:rPr>
            </w:pPr>
            <w:r w:rsidRPr="00515D00">
              <w:rPr>
                <w:sz w:val="16"/>
                <w:szCs w:val="16"/>
              </w:rPr>
              <w:t>Asociación entre la OMPI / OAPI y la Universidad de Yaundé II</w:t>
            </w:r>
          </w:p>
        </w:tc>
        <w:tc>
          <w:tcPr>
            <w:tcW w:w="1134" w:type="dxa"/>
            <w:tcBorders>
              <w:top w:val="nil"/>
              <w:bottom w:val="nil"/>
            </w:tcBorders>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Enero a junio de 2015 (En curso)</w:t>
            </w:r>
          </w:p>
        </w:tc>
        <w:tc>
          <w:tcPr>
            <w:tcW w:w="1985" w:type="dxa"/>
            <w:tcBorders>
              <w:top w:val="nil"/>
              <w:bottom w:val="nil"/>
            </w:tcBorders>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 xml:space="preserve">Camerún/ 10 becas otorgadas a estudiantes seleccionados de </w:t>
            </w:r>
            <w:proofErr w:type="spellStart"/>
            <w:r w:rsidRPr="00515D00">
              <w:rPr>
                <w:color w:val="000000"/>
                <w:sz w:val="16"/>
                <w:szCs w:val="16"/>
              </w:rPr>
              <w:t>Benin</w:t>
            </w:r>
            <w:proofErr w:type="spellEnd"/>
            <w:r w:rsidRPr="00515D00">
              <w:rPr>
                <w:color w:val="000000"/>
                <w:sz w:val="16"/>
                <w:szCs w:val="16"/>
              </w:rPr>
              <w:t>, Burkina Faso, Camerún, Comoras, Congo, Gabón, Guinea, Madagascar, Níger y Togo</w:t>
            </w:r>
          </w:p>
        </w:tc>
        <w:tc>
          <w:tcPr>
            <w:tcW w:w="4819" w:type="dxa"/>
            <w:tcBorders>
              <w:top w:val="nil"/>
              <w:bottom w:val="nil"/>
              <w:right w:val="single" w:sz="4" w:space="0" w:color="auto"/>
            </w:tcBorders>
          </w:tcPr>
          <w:p w:rsidR="003E311F" w:rsidRPr="00515D00" w:rsidRDefault="003E311F" w:rsidP="007A358B">
            <w:pPr>
              <w:autoSpaceDE w:val="0"/>
              <w:autoSpaceDN w:val="0"/>
              <w:adjustRightInd w:val="0"/>
              <w:spacing w:before="60" w:after="60"/>
              <w:rPr>
                <w:color w:val="000000"/>
                <w:sz w:val="16"/>
                <w:szCs w:val="16"/>
              </w:rPr>
            </w:pPr>
            <w:r w:rsidRPr="00515D00">
              <w:rPr>
                <w:sz w:val="16"/>
                <w:szCs w:val="16"/>
              </w:rPr>
              <w:t xml:space="preserve">i) Impartir formación general y especializada sobre P.I. a los funcionarios gubernamentales y profesionales </w:t>
            </w:r>
            <w:r>
              <w:rPr>
                <w:sz w:val="16"/>
                <w:szCs w:val="16"/>
              </w:rPr>
              <w:t>que trabajan en este ámbito</w:t>
            </w:r>
            <w:r w:rsidRPr="00515D00">
              <w:rPr>
                <w:sz w:val="16"/>
                <w:szCs w:val="16"/>
              </w:rPr>
              <w:t xml:space="preserve">;  y ii) </w:t>
            </w:r>
            <w:r>
              <w:rPr>
                <w:sz w:val="16"/>
                <w:szCs w:val="16"/>
              </w:rPr>
              <w:t>brindar</w:t>
            </w:r>
            <w:r w:rsidRPr="00515D00">
              <w:rPr>
                <w:sz w:val="16"/>
                <w:szCs w:val="16"/>
              </w:rPr>
              <w:t xml:space="preserve"> oportunidades para el desarrollo de los recursos humanos y el fortalecimiento de las capacidades </w:t>
            </w:r>
            <w:r>
              <w:rPr>
                <w:sz w:val="16"/>
                <w:szCs w:val="16"/>
              </w:rPr>
              <w:t>a través de cursos de</w:t>
            </w:r>
            <w:r w:rsidRPr="00515D00">
              <w:rPr>
                <w:sz w:val="16"/>
                <w:szCs w:val="16"/>
              </w:rPr>
              <w:t xml:space="preserve"> formación y enseñanza </w:t>
            </w:r>
            <w:r>
              <w:rPr>
                <w:sz w:val="16"/>
                <w:szCs w:val="16"/>
              </w:rPr>
              <w:t>sobre</w:t>
            </w:r>
            <w:r w:rsidRPr="00515D00">
              <w:rPr>
                <w:sz w:val="16"/>
                <w:szCs w:val="16"/>
              </w:rPr>
              <w:t xml:space="preserve"> P.I. </w:t>
            </w:r>
            <w:r>
              <w:rPr>
                <w:sz w:val="16"/>
                <w:szCs w:val="16"/>
              </w:rPr>
              <w:t>dirigidos a</w:t>
            </w:r>
            <w:r w:rsidRPr="00515D00">
              <w:rPr>
                <w:sz w:val="16"/>
                <w:szCs w:val="16"/>
              </w:rPr>
              <w:t xml:space="preserve"> personas que se dedican a la enseñanza y la investigación en</w:t>
            </w:r>
            <w:r>
              <w:rPr>
                <w:sz w:val="16"/>
                <w:szCs w:val="16"/>
              </w:rPr>
              <w:t xml:space="preserve"> esta</w:t>
            </w:r>
            <w:r w:rsidRPr="00515D00">
              <w:rPr>
                <w:sz w:val="16"/>
                <w:szCs w:val="16"/>
              </w:rPr>
              <w:t xml:space="preserve"> materia en las universidades y otras instituciones.</w:t>
            </w:r>
          </w:p>
        </w:tc>
      </w:tr>
      <w:tr w:rsidR="003E311F" w:rsidRPr="00092F2E" w:rsidTr="009111DF">
        <w:trPr>
          <w:cantSplit/>
          <w:trHeight w:val="315"/>
        </w:trPr>
        <w:tc>
          <w:tcPr>
            <w:tcW w:w="1843" w:type="dxa"/>
            <w:tcBorders>
              <w:top w:val="nil"/>
              <w:left w:val="single" w:sz="4" w:space="0" w:color="auto"/>
              <w:bottom w:val="single" w:sz="4" w:space="0" w:color="auto"/>
            </w:tcBorders>
          </w:tcPr>
          <w:p w:rsidR="003E311F" w:rsidRPr="00515D00" w:rsidRDefault="003E311F" w:rsidP="007A358B">
            <w:pPr>
              <w:autoSpaceDE w:val="0"/>
              <w:autoSpaceDN w:val="0"/>
              <w:adjustRightInd w:val="0"/>
              <w:spacing w:before="60" w:after="60"/>
              <w:rPr>
                <w:color w:val="000000"/>
                <w:sz w:val="16"/>
                <w:szCs w:val="16"/>
              </w:rPr>
            </w:pPr>
            <w:r w:rsidRPr="00515D00">
              <w:rPr>
                <w:sz w:val="16"/>
                <w:szCs w:val="16"/>
              </w:rPr>
              <w:t xml:space="preserve">Asociación entre la OMPI / ARIPO y la </w:t>
            </w:r>
            <w:proofErr w:type="spellStart"/>
            <w:r w:rsidRPr="00515D00">
              <w:rPr>
                <w:i/>
                <w:sz w:val="16"/>
                <w:szCs w:val="16"/>
              </w:rPr>
              <w:t>Africa</w:t>
            </w:r>
            <w:proofErr w:type="spellEnd"/>
            <w:r w:rsidRPr="00515D00">
              <w:rPr>
                <w:i/>
                <w:sz w:val="16"/>
                <w:szCs w:val="16"/>
              </w:rPr>
              <w:t xml:space="preserve"> </w:t>
            </w:r>
            <w:proofErr w:type="spellStart"/>
            <w:r w:rsidRPr="00515D00">
              <w:rPr>
                <w:i/>
                <w:sz w:val="16"/>
                <w:szCs w:val="16"/>
              </w:rPr>
              <w:t>University</w:t>
            </w:r>
            <w:proofErr w:type="spellEnd"/>
            <w:r w:rsidRPr="00515D00">
              <w:rPr>
                <w:sz w:val="16"/>
                <w:szCs w:val="16"/>
              </w:rPr>
              <w:t>, en Mutare (</w:t>
            </w:r>
            <w:proofErr w:type="spellStart"/>
            <w:r w:rsidRPr="00515D00">
              <w:rPr>
                <w:sz w:val="16"/>
                <w:szCs w:val="16"/>
              </w:rPr>
              <w:t>Zimbabwe</w:t>
            </w:r>
            <w:proofErr w:type="spellEnd"/>
            <w:r w:rsidRPr="00515D00">
              <w:rPr>
                <w:sz w:val="16"/>
                <w:szCs w:val="16"/>
              </w:rPr>
              <w:t>)</w:t>
            </w:r>
          </w:p>
        </w:tc>
        <w:tc>
          <w:tcPr>
            <w:tcW w:w="1134" w:type="dxa"/>
            <w:tcBorders>
              <w:top w:val="nil"/>
              <w:bottom w:val="single" w:sz="4" w:space="0" w:color="auto"/>
            </w:tcBorders>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Mayo a diciembre de 2015</w:t>
            </w:r>
          </w:p>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(En curso)</w:t>
            </w:r>
          </w:p>
        </w:tc>
        <w:tc>
          <w:tcPr>
            <w:tcW w:w="1985" w:type="dxa"/>
            <w:tcBorders>
              <w:top w:val="nil"/>
              <w:bottom w:val="single" w:sz="4" w:space="0" w:color="auto"/>
            </w:tcBorders>
          </w:tcPr>
          <w:p w:rsidR="003E311F" w:rsidRPr="00515D00" w:rsidRDefault="003E311F" w:rsidP="007A358B">
            <w:pPr>
              <w:autoSpaceDE w:val="0"/>
              <w:autoSpaceDN w:val="0"/>
              <w:adjustRightInd w:val="0"/>
              <w:spacing w:before="60" w:after="60"/>
              <w:rPr>
                <w:color w:val="000000"/>
                <w:sz w:val="16"/>
                <w:szCs w:val="16"/>
              </w:rPr>
            </w:pPr>
            <w:proofErr w:type="spellStart"/>
            <w:r w:rsidRPr="00515D00">
              <w:rPr>
                <w:color w:val="000000"/>
                <w:sz w:val="16"/>
                <w:szCs w:val="16"/>
              </w:rPr>
              <w:t>Zimbabwe</w:t>
            </w:r>
            <w:proofErr w:type="spellEnd"/>
            <w:r w:rsidRPr="00515D00">
              <w:rPr>
                <w:color w:val="000000"/>
                <w:sz w:val="16"/>
                <w:szCs w:val="16"/>
              </w:rPr>
              <w:t xml:space="preserve">/ 9 becas otorgadas a estudiantes seleccionados de Ghana, </w:t>
            </w:r>
            <w:proofErr w:type="spellStart"/>
            <w:r w:rsidRPr="00515D00">
              <w:rPr>
                <w:color w:val="000000"/>
                <w:sz w:val="16"/>
                <w:szCs w:val="16"/>
              </w:rPr>
              <w:t>Kenya</w:t>
            </w:r>
            <w:proofErr w:type="spellEnd"/>
            <w:r w:rsidRPr="00515D00">
              <w:rPr>
                <w:color w:val="000000"/>
                <w:sz w:val="16"/>
                <w:szCs w:val="16"/>
              </w:rPr>
              <w:t xml:space="preserve">, Namibia, Nigeria, </w:t>
            </w:r>
            <w:proofErr w:type="spellStart"/>
            <w:r w:rsidRPr="00515D00">
              <w:rPr>
                <w:color w:val="000000"/>
                <w:sz w:val="16"/>
                <w:szCs w:val="16"/>
              </w:rPr>
              <w:t>Rwanda</w:t>
            </w:r>
            <w:proofErr w:type="spellEnd"/>
            <w:r w:rsidRPr="00515D00">
              <w:rPr>
                <w:color w:val="000000"/>
                <w:sz w:val="16"/>
                <w:szCs w:val="16"/>
              </w:rPr>
              <w:t xml:space="preserve">, Sierra Leona, Uganda, República Unida de </w:t>
            </w:r>
            <w:proofErr w:type="spellStart"/>
            <w:r w:rsidRPr="00515D00">
              <w:rPr>
                <w:color w:val="000000"/>
                <w:sz w:val="16"/>
                <w:szCs w:val="16"/>
              </w:rPr>
              <w:t>Tanzanía</w:t>
            </w:r>
            <w:proofErr w:type="spellEnd"/>
            <w:r w:rsidRPr="00515D00">
              <w:rPr>
                <w:color w:val="000000"/>
                <w:sz w:val="16"/>
                <w:szCs w:val="16"/>
              </w:rPr>
              <w:t xml:space="preserve"> y </w:t>
            </w:r>
            <w:proofErr w:type="spellStart"/>
            <w:r w:rsidRPr="00515D00">
              <w:rPr>
                <w:color w:val="000000"/>
                <w:sz w:val="16"/>
                <w:szCs w:val="16"/>
              </w:rPr>
              <w:t>Zimbabwe</w:t>
            </w:r>
            <w:proofErr w:type="spellEnd"/>
          </w:p>
        </w:tc>
        <w:tc>
          <w:tcPr>
            <w:tcW w:w="4819" w:type="dxa"/>
            <w:tcBorders>
              <w:top w:val="nil"/>
              <w:bottom w:val="single" w:sz="4" w:space="0" w:color="auto"/>
              <w:right w:val="single" w:sz="4" w:space="0" w:color="auto"/>
            </w:tcBorders>
          </w:tcPr>
          <w:p w:rsidR="003E311F" w:rsidRPr="00515D00" w:rsidRDefault="003E311F" w:rsidP="007A358B">
            <w:pPr>
              <w:autoSpaceDE w:val="0"/>
              <w:autoSpaceDN w:val="0"/>
              <w:adjustRightInd w:val="0"/>
              <w:spacing w:before="60" w:after="60"/>
              <w:rPr>
                <w:color w:val="000000"/>
                <w:sz w:val="16"/>
                <w:szCs w:val="16"/>
              </w:rPr>
            </w:pPr>
            <w:r w:rsidRPr="00515D00">
              <w:rPr>
                <w:sz w:val="16"/>
                <w:szCs w:val="16"/>
              </w:rPr>
              <w:t>i) Impartir formación general y especializada sobre P.I. a los funcionarios gubernamentales y profesionales</w:t>
            </w:r>
            <w:r>
              <w:rPr>
                <w:sz w:val="16"/>
                <w:szCs w:val="16"/>
              </w:rPr>
              <w:t xml:space="preserve"> que trabajan en este ámbito</w:t>
            </w:r>
            <w:r w:rsidRPr="00515D00">
              <w:rPr>
                <w:sz w:val="16"/>
                <w:szCs w:val="16"/>
              </w:rPr>
              <w:t xml:space="preserve">;  y ii) </w:t>
            </w:r>
            <w:r>
              <w:rPr>
                <w:sz w:val="16"/>
                <w:szCs w:val="16"/>
              </w:rPr>
              <w:t>brindar</w:t>
            </w:r>
            <w:r w:rsidRPr="00515D00">
              <w:rPr>
                <w:sz w:val="16"/>
                <w:szCs w:val="16"/>
              </w:rPr>
              <w:t xml:space="preserve"> oportunidades para el desarrollo de los recursos humanos y el fortalecimiento de las capacidades </w:t>
            </w:r>
            <w:r>
              <w:rPr>
                <w:sz w:val="16"/>
                <w:szCs w:val="16"/>
              </w:rPr>
              <w:t>a través de cursos de</w:t>
            </w:r>
            <w:r w:rsidRPr="00515D00">
              <w:rPr>
                <w:sz w:val="16"/>
                <w:szCs w:val="16"/>
              </w:rPr>
              <w:t xml:space="preserve"> formación y enseñanza </w:t>
            </w:r>
            <w:r>
              <w:rPr>
                <w:sz w:val="16"/>
                <w:szCs w:val="16"/>
              </w:rPr>
              <w:t>sobre</w:t>
            </w:r>
            <w:r w:rsidRPr="00515D00">
              <w:rPr>
                <w:sz w:val="16"/>
                <w:szCs w:val="16"/>
              </w:rPr>
              <w:t xml:space="preserve"> P.I. </w:t>
            </w:r>
            <w:r>
              <w:rPr>
                <w:sz w:val="16"/>
                <w:szCs w:val="16"/>
              </w:rPr>
              <w:t>dirigidos a</w:t>
            </w:r>
            <w:r w:rsidRPr="00515D00">
              <w:rPr>
                <w:sz w:val="16"/>
                <w:szCs w:val="16"/>
              </w:rPr>
              <w:t xml:space="preserve"> personas que se dedican a la enseñanza y la investigación en</w:t>
            </w:r>
            <w:r>
              <w:rPr>
                <w:sz w:val="16"/>
                <w:szCs w:val="16"/>
              </w:rPr>
              <w:t xml:space="preserve"> esta</w:t>
            </w:r>
            <w:r w:rsidRPr="00515D00">
              <w:rPr>
                <w:sz w:val="16"/>
                <w:szCs w:val="16"/>
              </w:rPr>
              <w:t xml:space="preserve"> materia en las universidades y otras instituciones.</w:t>
            </w:r>
          </w:p>
        </w:tc>
      </w:tr>
      <w:tr w:rsidR="003E311F" w:rsidRPr="00092F2E" w:rsidTr="009111DF">
        <w:trPr>
          <w:cantSplit/>
          <w:trHeight w:val="315"/>
        </w:trPr>
        <w:tc>
          <w:tcPr>
            <w:tcW w:w="1843" w:type="dxa"/>
            <w:tcBorders>
              <w:top w:val="single" w:sz="4" w:space="0" w:color="auto"/>
              <w:left w:val="single" w:sz="4" w:space="0" w:color="auto"/>
              <w:bottom w:val="nil"/>
            </w:tcBorders>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lastRenderedPageBreak/>
              <w:t>Producción de una película que muestre el éxito de la industria del clavo en Zanzíbar</w:t>
            </w:r>
          </w:p>
        </w:tc>
        <w:tc>
          <w:tcPr>
            <w:tcW w:w="1134" w:type="dxa"/>
            <w:tcBorders>
              <w:top w:val="single" w:sz="4" w:space="0" w:color="auto"/>
              <w:bottom w:val="nil"/>
            </w:tcBorders>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Agosto a noviembre de 2015</w:t>
            </w:r>
          </w:p>
        </w:tc>
        <w:tc>
          <w:tcPr>
            <w:tcW w:w="1985" w:type="dxa"/>
            <w:tcBorders>
              <w:top w:val="single" w:sz="4" w:space="0" w:color="auto"/>
              <w:bottom w:val="nil"/>
            </w:tcBorders>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 xml:space="preserve">República Unida de </w:t>
            </w:r>
            <w:proofErr w:type="spellStart"/>
            <w:r w:rsidRPr="00515D00">
              <w:rPr>
                <w:color w:val="000000"/>
                <w:sz w:val="16"/>
                <w:szCs w:val="16"/>
              </w:rPr>
              <w:t>Tanzanía</w:t>
            </w:r>
            <w:proofErr w:type="spellEnd"/>
          </w:p>
        </w:tc>
        <w:tc>
          <w:tcPr>
            <w:tcW w:w="4819" w:type="dxa"/>
            <w:tcBorders>
              <w:top w:val="single" w:sz="4" w:space="0" w:color="auto"/>
              <w:bottom w:val="nil"/>
              <w:right w:val="single" w:sz="4" w:space="0" w:color="auto"/>
            </w:tcBorders>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Destacar la importancia de la P.I. y de la implicación del gobierno nacional y otros socios en un proyecto de desarrollo de marca</w:t>
            </w:r>
            <w:r>
              <w:rPr>
                <w:color w:val="000000"/>
                <w:sz w:val="16"/>
                <w:szCs w:val="16"/>
              </w:rPr>
              <w:t>.</w:t>
            </w:r>
          </w:p>
        </w:tc>
      </w:tr>
      <w:tr w:rsidR="003E311F" w:rsidRPr="00092F2E" w:rsidTr="007A358B">
        <w:trPr>
          <w:cantSplit/>
          <w:trHeight w:val="315"/>
        </w:trPr>
        <w:tc>
          <w:tcPr>
            <w:tcW w:w="1843" w:type="dxa"/>
            <w:tcBorders>
              <w:top w:val="nil"/>
              <w:left w:val="single" w:sz="4" w:space="0" w:color="auto"/>
              <w:bottom w:val="nil"/>
            </w:tcBorders>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Curso de redacción de solicitudes de patentes para agentes de patentes</w:t>
            </w:r>
          </w:p>
        </w:tc>
        <w:tc>
          <w:tcPr>
            <w:tcW w:w="1134" w:type="dxa"/>
            <w:tcBorders>
              <w:top w:val="nil"/>
              <w:bottom w:val="nil"/>
            </w:tcBorders>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7 de septiembre a 9 de octubre de 2015</w:t>
            </w:r>
          </w:p>
        </w:tc>
        <w:tc>
          <w:tcPr>
            <w:tcW w:w="1985" w:type="dxa"/>
            <w:tcBorders>
              <w:top w:val="nil"/>
              <w:bottom w:val="nil"/>
            </w:tcBorders>
          </w:tcPr>
          <w:p w:rsidR="003E311F" w:rsidRPr="00515D00" w:rsidRDefault="003E311F" w:rsidP="007A358B">
            <w:pPr>
              <w:autoSpaceDE w:val="0"/>
              <w:autoSpaceDN w:val="0"/>
              <w:adjustRightInd w:val="0"/>
              <w:spacing w:before="60" w:after="60"/>
              <w:rPr>
                <w:color w:val="000000"/>
                <w:sz w:val="16"/>
                <w:szCs w:val="16"/>
              </w:rPr>
            </w:pPr>
            <w:proofErr w:type="spellStart"/>
            <w:r w:rsidRPr="00515D00">
              <w:rPr>
                <w:color w:val="000000"/>
                <w:sz w:val="16"/>
                <w:szCs w:val="16"/>
              </w:rPr>
              <w:t>Zimbabwe</w:t>
            </w:r>
            <w:proofErr w:type="spellEnd"/>
            <w:r w:rsidRPr="00515D00">
              <w:rPr>
                <w:color w:val="000000"/>
                <w:sz w:val="16"/>
                <w:szCs w:val="16"/>
              </w:rPr>
              <w:t xml:space="preserve">/ 22 participantes de Gambia, Ghana, </w:t>
            </w:r>
            <w:proofErr w:type="spellStart"/>
            <w:r w:rsidRPr="00515D00">
              <w:rPr>
                <w:color w:val="000000"/>
                <w:sz w:val="16"/>
                <w:szCs w:val="16"/>
              </w:rPr>
              <w:t>Kenya</w:t>
            </w:r>
            <w:proofErr w:type="spellEnd"/>
            <w:r w:rsidRPr="00515D00">
              <w:rPr>
                <w:color w:val="000000"/>
                <w:sz w:val="16"/>
                <w:szCs w:val="16"/>
              </w:rPr>
              <w:t xml:space="preserve">, Malawi, Mozambique, Namibia, Nigeria, </w:t>
            </w:r>
            <w:proofErr w:type="spellStart"/>
            <w:r w:rsidRPr="00515D00">
              <w:rPr>
                <w:color w:val="000000"/>
                <w:sz w:val="16"/>
                <w:szCs w:val="16"/>
              </w:rPr>
              <w:t>Rwanda</w:t>
            </w:r>
            <w:proofErr w:type="spellEnd"/>
            <w:r w:rsidRPr="00515D00">
              <w:rPr>
                <w:color w:val="000000"/>
                <w:sz w:val="16"/>
                <w:szCs w:val="16"/>
              </w:rPr>
              <w:t xml:space="preserve">, Santo Tomé y Príncipe, Sierra Leona, </w:t>
            </w:r>
            <w:proofErr w:type="spellStart"/>
            <w:r w:rsidRPr="00515D00">
              <w:rPr>
                <w:color w:val="000000"/>
                <w:sz w:val="16"/>
                <w:szCs w:val="16"/>
              </w:rPr>
              <w:t>Swazilandia</w:t>
            </w:r>
            <w:proofErr w:type="spellEnd"/>
            <w:r w:rsidRPr="00515D00">
              <w:rPr>
                <w:color w:val="000000"/>
                <w:sz w:val="16"/>
                <w:szCs w:val="16"/>
              </w:rPr>
              <w:t xml:space="preserve">, República Unida de </w:t>
            </w:r>
            <w:proofErr w:type="spellStart"/>
            <w:r w:rsidRPr="00515D00">
              <w:rPr>
                <w:color w:val="000000"/>
                <w:sz w:val="16"/>
                <w:szCs w:val="16"/>
              </w:rPr>
              <w:t>Tanzanía</w:t>
            </w:r>
            <w:proofErr w:type="spellEnd"/>
            <w:r w:rsidRPr="00515D00">
              <w:rPr>
                <w:color w:val="000000"/>
                <w:sz w:val="16"/>
                <w:szCs w:val="16"/>
              </w:rPr>
              <w:t xml:space="preserve">, Zambia y </w:t>
            </w:r>
            <w:proofErr w:type="spellStart"/>
            <w:r w:rsidRPr="00515D00">
              <w:rPr>
                <w:color w:val="000000"/>
                <w:sz w:val="16"/>
                <w:szCs w:val="16"/>
              </w:rPr>
              <w:t>Zimbabwe</w:t>
            </w:r>
            <w:proofErr w:type="spellEnd"/>
          </w:p>
        </w:tc>
        <w:tc>
          <w:tcPr>
            <w:tcW w:w="4819" w:type="dxa"/>
            <w:tcBorders>
              <w:top w:val="nil"/>
              <w:bottom w:val="nil"/>
              <w:right w:val="single" w:sz="4" w:space="0" w:color="auto"/>
            </w:tcBorders>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i) Mejorar las capacidades de redacción de los profesionales y agentes de patentes de los Estados miembros de la ARIPO y Estados observadores;  y ii) familiarizarlos con nuevas técnicas que les permitan definir mejor el alcance y la naturaleza de las reivindicaciones.</w:t>
            </w:r>
          </w:p>
        </w:tc>
      </w:tr>
      <w:tr w:rsidR="003E311F" w:rsidRPr="00092F2E" w:rsidTr="009111DF">
        <w:trPr>
          <w:cantSplit/>
          <w:trHeight w:val="315"/>
        </w:trPr>
        <w:tc>
          <w:tcPr>
            <w:tcW w:w="1843" w:type="dxa"/>
            <w:tcBorders>
              <w:top w:val="nil"/>
              <w:left w:val="single" w:sz="4" w:space="0" w:color="auto"/>
              <w:bottom w:val="nil"/>
            </w:tcBorders>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Misión de estudio de la viabilidad de un proyecto de desarrollo de marca</w:t>
            </w:r>
          </w:p>
        </w:tc>
        <w:tc>
          <w:tcPr>
            <w:tcW w:w="1134" w:type="dxa"/>
            <w:tcBorders>
              <w:top w:val="nil"/>
              <w:bottom w:val="nil"/>
            </w:tcBorders>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21 a 25 de septiembre de 2015</w:t>
            </w:r>
          </w:p>
        </w:tc>
        <w:tc>
          <w:tcPr>
            <w:tcW w:w="1985" w:type="dxa"/>
            <w:tcBorders>
              <w:top w:val="nil"/>
              <w:bottom w:val="nil"/>
            </w:tcBorders>
          </w:tcPr>
          <w:p w:rsidR="003E311F" w:rsidRPr="00515D00" w:rsidRDefault="003E311F" w:rsidP="007A358B">
            <w:pPr>
              <w:autoSpaceDE w:val="0"/>
              <w:autoSpaceDN w:val="0"/>
              <w:adjustRightInd w:val="0"/>
              <w:spacing w:before="60" w:after="60"/>
              <w:rPr>
                <w:color w:val="000000"/>
                <w:sz w:val="16"/>
                <w:szCs w:val="16"/>
              </w:rPr>
            </w:pPr>
            <w:proofErr w:type="spellStart"/>
            <w:r w:rsidRPr="00515D00">
              <w:rPr>
                <w:color w:val="000000"/>
                <w:sz w:val="16"/>
                <w:szCs w:val="16"/>
              </w:rPr>
              <w:t>Kenya</w:t>
            </w:r>
            <w:proofErr w:type="spellEnd"/>
          </w:p>
        </w:tc>
        <w:tc>
          <w:tcPr>
            <w:tcW w:w="4819" w:type="dxa"/>
            <w:tcBorders>
              <w:top w:val="nil"/>
              <w:bottom w:val="nil"/>
              <w:right w:val="single" w:sz="4" w:space="0" w:color="auto"/>
            </w:tcBorders>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 xml:space="preserve">Evaluar la viabilidad de un proyecto de desarrollo de marca basado en P.I. para Taita </w:t>
            </w:r>
            <w:proofErr w:type="spellStart"/>
            <w:r w:rsidRPr="00515D00">
              <w:rPr>
                <w:color w:val="000000"/>
                <w:sz w:val="16"/>
                <w:szCs w:val="16"/>
              </w:rPr>
              <w:t>Basket</w:t>
            </w:r>
            <w:proofErr w:type="spellEnd"/>
            <w:r w:rsidRPr="00515D00">
              <w:rPr>
                <w:color w:val="000000"/>
                <w:sz w:val="16"/>
                <w:szCs w:val="16"/>
              </w:rPr>
              <w:t xml:space="preserve">, en </w:t>
            </w:r>
            <w:proofErr w:type="spellStart"/>
            <w:r w:rsidRPr="00515D00">
              <w:rPr>
                <w:color w:val="000000"/>
                <w:sz w:val="16"/>
                <w:szCs w:val="16"/>
              </w:rPr>
              <w:t>Kenya</w:t>
            </w:r>
            <w:proofErr w:type="spellEnd"/>
            <w:r w:rsidRPr="00515D00">
              <w:rPr>
                <w:color w:val="000000"/>
                <w:sz w:val="16"/>
                <w:szCs w:val="16"/>
              </w:rPr>
              <w:t>.</w:t>
            </w:r>
          </w:p>
        </w:tc>
      </w:tr>
      <w:tr w:rsidR="003E311F" w:rsidRPr="00092F2E" w:rsidTr="009111DF">
        <w:trPr>
          <w:cantSplit/>
          <w:trHeight w:val="315"/>
        </w:trPr>
        <w:tc>
          <w:tcPr>
            <w:tcW w:w="1843" w:type="dxa"/>
            <w:tcBorders>
              <w:top w:val="nil"/>
              <w:left w:val="single" w:sz="4" w:space="0" w:color="auto"/>
              <w:bottom w:val="nil"/>
            </w:tcBorders>
          </w:tcPr>
          <w:p w:rsidR="003E311F" w:rsidRPr="00515D00" w:rsidRDefault="003E311F" w:rsidP="007A358B">
            <w:pPr>
              <w:autoSpaceDE w:val="0"/>
              <w:autoSpaceDN w:val="0"/>
              <w:adjustRightInd w:val="0"/>
              <w:spacing w:before="60" w:after="60"/>
              <w:rPr>
                <w:color w:val="000000"/>
                <w:sz w:val="16"/>
                <w:szCs w:val="16"/>
              </w:rPr>
            </w:pPr>
            <w:r w:rsidRPr="00515D00">
              <w:rPr>
                <w:sz w:val="16"/>
                <w:szCs w:val="16"/>
              </w:rPr>
              <w:t>Curso de formación en el uso de las tecnologías de la información para la administración de la propiedad industrial</w:t>
            </w:r>
          </w:p>
        </w:tc>
        <w:tc>
          <w:tcPr>
            <w:tcW w:w="1134" w:type="dxa"/>
            <w:tcBorders>
              <w:top w:val="nil"/>
              <w:bottom w:val="nil"/>
            </w:tcBorders>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26 de octubre a 6 de noviembre de 2015</w:t>
            </w:r>
          </w:p>
        </w:tc>
        <w:tc>
          <w:tcPr>
            <w:tcW w:w="1985" w:type="dxa"/>
            <w:tcBorders>
              <w:top w:val="nil"/>
              <w:bottom w:val="nil"/>
            </w:tcBorders>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Japón/ Argelia, Sudáfrica y la ARIPO</w:t>
            </w:r>
          </w:p>
        </w:tc>
        <w:tc>
          <w:tcPr>
            <w:tcW w:w="4819" w:type="dxa"/>
            <w:tcBorders>
              <w:top w:val="nil"/>
              <w:bottom w:val="nil"/>
              <w:right w:val="single" w:sz="4" w:space="0" w:color="auto"/>
            </w:tcBorders>
          </w:tcPr>
          <w:p w:rsidR="003E311F" w:rsidRPr="00515D00" w:rsidRDefault="003E311F" w:rsidP="007A358B">
            <w:pPr>
              <w:autoSpaceDE w:val="0"/>
              <w:autoSpaceDN w:val="0"/>
              <w:adjustRightInd w:val="0"/>
              <w:spacing w:before="60" w:after="60"/>
              <w:rPr>
                <w:color w:val="000000"/>
                <w:sz w:val="16"/>
                <w:szCs w:val="16"/>
              </w:rPr>
            </w:pPr>
            <w:r w:rsidRPr="00515D00">
              <w:rPr>
                <w:sz w:val="16"/>
                <w:szCs w:val="16"/>
              </w:rPr>
              <w:t>i) Familiarizar a los participantes con las últimas novedades en materia de tecnologías de la información en relación con la administración de la propiedad industrial, la difusión de información sobre propiedad industrial y la prestación de servicios en línea;  ii) impartir conocimientos prácticos sobre las herramientas y tecnologías más recientes mediante sesiones interactivas, así como a través de visitas a las instituciones privadas pertinentes;  y iii) brindar una oportunidad para que los participantes intercambien opiniones y manifiesten sus preocupaciones sobre cuestiones conexas, ampliando así las capacidades profesionales de los participantes en la planificación del uso de las tecnologías de información para la administración de la propiedad industrial.</w:t>
            </w:r>
          </w:p>
        </w:tc>
      </w:tr>
      <w:tr w:rsidR="003E311F" w:rsidRPr="00092F2E" w:rsidTr="009111DF">
        <w:trPr>
          <w:cantSplit/>
          <w:trHeight w:val="315"/>
        </w:trPr>
        <w:tc>
          <w:tcPr>
            <w:tcW w:w="1843" w:type="dxa"/>
            <w:tcBorders>
              <w:top w:val="nil"/>
              <w:left w:val="single" w:sz="4" w:space="0" w:color="auto"/>
              <w:bottom w:val="nil"/>
            </w:tcBorders>
          </w:tcPr>
          <w:p w:rsidR="003E311F" w:rsidRPr="00515D00" w:rsidRDefault="003E311F" w:rsidP="007A358B">
            <w:pPr>
              <w:autoSpaceDE w:val="0"/>
              <w:autoSpaceDN w:val="0"/>
              <w:adjustRightInd w:val="0"/>
              <w:spacing w:before="60" w:after="60"/>
              <w:rPr>
                <w:color w:val="000000"/>
                <w:sz w:val="16"/>
                <w:szCs w:val="16"/>
              </w:rPr>
            </w:pPr>
            <w:r w:rsidRPr="00515D00">
              <w:rPr>
                <w:sz w:val="16"/>
                <w:szCs w:val="16"/>
              </w:rPr>
              <w:t>Examen de solicitudes de P.I. (nivel avanzado) – Curso de formación sobre examen de solicitudes de propiedad industrial – Patente I</w:t>
            </w:r>
          </w:p>
        </w:tc>
        <w:tc>
          <w:tcPr>
            <w:tcW w:w="1134" w:type="dxa"/>
            <w:tcBorders>
              <w:top w:val="nil"/>
              <w:bottom w:val="nil"/>
            </w:tcBorders>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9 a 20 de noviembre de 2015</w:t>
            </w:r>
          </w:p>
        </w:tc>
        <w:tc>
          <w:tcPr>
            <w:tcW w:w="1985" w:type="dxa"/>
            <w:tcBorders>
              <w:top w:val="nil"/>
              <w:bottom w:val="nil"/>
            </w:tcBorders>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Japón/ Egipto</w:t>
            </w:r>
          </w:p>
        </w:tc>
        <w:tc>
          <w:tcPr>
            <w:tcW w:w="4819" w:type="dxa"/>
            <w:tcBorders>
              <w:top w:val="nil"/>
              <w:bottom w:val="nil"/>
              <w:right w:val="single" w:sz="4" w:space="0" w:color="auto"/>
            </w:tcBorders>
          </w:tcPr>
          <w:p w:rsidR="003E311F" w:rsidRPr="00515D00" w:rsidRDefault="003E311F" w:rsidP="007A358B">
            <w:pPr>
              <w:autoSpaceDE w:val="0"/>
              <w:autoSpaceDN w:val="0"/>
              <w:adjustRightInd w:val="0"/>
              <w:spacing w:before="60" w:after="60"/>
              <w:rPr>
                <w:color w:val="000000"/>
                <w:sz w:val="16"/>
                <w:szCs w:val="16"/>
              </w:rPr>
            </w:pPr>
            <w:r w:rsidRPr="00515D00">
              <w:rPr>
                <w:sz w:val="16"/>
                <w:szCs w:val="16"/>
              </w:rPr>
              <w:t xml:space="preserve">i) Impartir a los participantes conocimientos básicos acerca de la legislación y los procedimientos de examen de derechos de propiedad industrial;  </w:t>
            </w:r>
            <w:proofErr w:type="gramStart"/>
            <w:r w:rsidRPr="00515D00">
              <w:rPr>
                <w:sz w:val="16"/>
                <w:szCs w:val="16"/>
              </w:rPr>
              <w:t>y</w:t>
            </w:r>
            <w:proofErr w:type="gramEnd"/>
            <w:r w:rsidRPr="00515D00">
              <w:rPr>
                <w:sz w:val="16"/>
                <w:szCs w:val="16"/>
              </w:rPr>
              <w:t xml:space="preserve"> ii) intercambiar opiniones sobre cuestiones relacionadas con el ámbito de la propiedad intelectual.</w:t>
            </w:r>
          </w:p>
        </w:tc>
      </w:tr>
      <w:tr w:rsidR="003E311F" w:rsidRPr="00092F2E" w:rsidTr="007A358B">
        <w:trPr>
          <w:cantSplit/>
          <w:trHeight w:val="315"/>
        </w:trPr>
        <w:tc>
          <w:tcPr>
            <w:tcW w:w="1843" w:type="dxa"/>
            <w:tcBorders>
              <w:top w:val="nil"/>
              <w:left w:val="single" w:sz="4" w:space="0" w:color="auto"/>
              <w:bottom w:val="nil"/>
            </w:tcBorders>
          </w:tcPr>
          <w:p w:rsidR="003E311F" w:rsidRPr="00515D00" w:rsidRDefault="003E311F" w:rsidP="007A358B">
            <w:pPr>
              <w:autoSpaceDE w:val="0"/>
              <w:autoSpaceDN w:val="0"/>
              <w:adjustRightInd w:val="0"/>
              <w:spacing w:before="60" w:after="60"/>
              <w:rPr>
                <w:color w:val="000000"/>
                <w:sz w:val="16"/>
                <w:szCs w:val="16"/>
              </w:rPr>
            </w:pPr>
            <w:r w:rsidRPr="00515D00">
              <w:rPr>
                <w:sz w:val="16"/>
                <w:szCs w:val="16"/>
              </w:rPr>
              <w:t>Curso avanzado de verano OMPI-Sudáfrica sobre propiedad intelectual y transferencia de tecnología</w:t>
            </w:r>
          </w:p>
        </w:tc>
        <w:tc>
          <w:tcPr>
            <w:tcW w:w="1134" w:type="dxa"/>
            <w:tcBorders>
              <w:top w:val="nil"/>
              <w:bottom w:val="nil"/>
            </w:tcBorders>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30 de noviembre a 11 de diciembre de 2015</w:t>
            </w:r>
          </w:p>
        </w:tc>
        <w:tc>
          <w:tcPr>
            <w:tcW w:w="1985" w:type="dxa"/>
            <w:tcBorders>
              <w:top w:val="nil"/>
              <w:bottom w:val="nil"/>
            </w:tcBorders>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 xml:space="preserve">Sudáfrica/ </w:t>
            </w:r>
            <w:r w:rsidRPr="00515D00">
              <w:rPr>
                <w:sz w:val="16"/>
                <w:szCs w:val="16"/>
              </w:rPr>
              <w:t>10 becas otorgadas a estudiantes de</w:t>
            </w:r>
            <w:r w:rsidRPr="00515D00">
              <w:rPr>
                <w:color w:val="000000"/>
                <w:sz w:val="16"/>
                <w:szCs w:val="16"/>
              </w:rPr>
              <w:t xml:space="preserve"> </w:t>
            </w:r>
            <w:proofErr w:type="spellStart"/>
            <w:r w:rsidRPr="00515D00">
              <w:rPr>
                <w:color w:val="000000"/>
                <w:sz w:val="16"/>
                <w:szCs w:val="16"/>
              </w:rPr>
              <w:t>Botswana</w:t>
            </w:r>
            <w:proofErr w:type="spellEnd"/>
            <w:r w:rsidRPr="00515D00">
              <w:rPr>
                <w:color w:val="000000"/>
                <w:sz w:val="16"/>
                <w:szCs w:val="16"/>
              </w:rPr>
              <w:t xml:space="preserve">, </w:t>
            </w:r>
            <w:proofErr w:type="spellStart"/>
            <w:r w:rsidRPr="00515D00">
              <w:rPr>
                <w:color w:val="000000"/>
                <w:sz w:val="16"/>
                <w:szCs w:val="16"/>
              </w:rPr>
              <w:t>Kenya</w:t>
            </w:r>
            <w:proofErr w:type="spellEnd"/>
            <w:r w:rsidRPr="00515D00">
              <w:rPr>
                <w:color w:val="000000"/>
                <w:sz w:val="16"/>
                <w:szCs w:val="16"/>
              </w:rPr>
              <w:t xml:space="preserve">, </w:t>
            </w:r>
            <w:proofErr w:type="spellStart"/>
            <w:r w:rsidRPr="00515D00">
              <w:rPr>
                <w:color w:val="000000"/>
                <w:sz w:val="16"/>
                <w:szCs w:val="16"/>
              </w:rPr>
              <w:t>Lesotho</w:t>
            </w:r>
            <w:proofErr w:type="spellEnd"/>
            <w:r w:rsidRPr="00515D00">
              <w:rPr>
                <w:color w:val="000000"/>
                <w:sz w:val="16"/>
                <w:szCs w:val="16"/>
              </w:rPr>
              <w:t xml:space="preserve">, Malawi, Namibia, Nigeria y </w:t>
            </w:r>
            <w:proofErr w:type="spellStart"/>
            <w:r w:rsidRPr="00515D00">
              <w:rPr>
                <w:color w:val="000000"/>
                <w:sz w:val="16"/>
                <w:szCs w:val="16"/>
              </w:rPr>
              <w:t>Zimbabwe</w:t>
            </w:r>
            <w:proofErr w:type="spellEnd"/>
          </w:p>
        </w:tc>
        <w:tc>
          <w:tcPr>
            <w:tcW w:w="4819" w:type="dxa"/>
            <w:tcBorders>
              <w:top w:val="nil"/>
              <w:bottom w:val="nil"/>
              <w:right w:val="single" w:sz="4" w:space="0" w:color="auto"/>
            </w:tcBorders>
          </w:tcPr>
          <w:p w:rsidR="003E311F" w:rsidRPr="00515D00" w:rsidRDefault="003E311F" w:rsidP="007A358B">
            <w:pPr>
              <w:autoSpaceDE w:val="0"/>
              <w:autoSpaceDN w:val="0"/>
              <w:adjustRightInd w:val="0"/>
              <w:spacing w:before="60" w:after="60"/>
              <w:rPr>
                <w:color w:val="000000"/>
                <w:sz w:val="16"/>
                <w:szCs w:val="16"/>
              </w:rPr>
            </w:pPr>
            <w:r w:rsidRPr="00515D00">
              <w:rPr>
                <w:sz w:val="16"/>
                <w:szCs w:val="16"/>
              </w:rPr>
              <w:t>Brindar la oportunidad a estudiantes universitarios avanzados (de grado y posgrado) y profesionales jóvenes de i) adquirir conocimientos profundos sobre la propiedad intelectual y la transferencia de tecnología;  y ii) debatir cuestiones de P.I. relacionadas con las negociaciones de licencia a través de casos prácticos y ejercicios de simulación.</w:t>
            </w:r>
          </w:p>
        </w:tc>
      </w:tr>
      <w:tr w:rsidR="003E311F" w:rsidRPr="00092F2E" w:rsidTr="007A358B">
        <w:trPr>
          <w:cantSplit/>
          <w:trHeight w:val="315"/>
        </w:trPr>
        <w:tc>
          <w:tcPr>
            <w:tcW w:w="9781" w:type="dxa"/>
            <w:gridSpan w:val="4"/>
            <w:tcBorders>
              <w:top w:val="single" w:sz="4" w:space="0" w:color="auto"/>
              <w:bottom w:val="single" w:sz="4" w:space="0" w:color="auto"/>
            </w:tcBorders>
            <w:shd w:val="clear" w:color="auto" w:fill="C6D9F1" w:themeFill="text2" w:themeFillTint="33"/>
          </w:tcPr>
          <w:p w:rsidR="003E311F" w:rsidRPr="00515D00" w:rsidRDefault="003E311F" w:rsidP="007A358B">
            <w:pPr>
              <w:keepNext/>
              <w:keepLines/>
              <w:tabs>
                <w:tab w:val="left" w:pos="1740"/>
              </w:tabs>
              <w:spacing w:before="120" w:after="120"/>
              <w:ind w:left="1740" w:hanging="1740"/>
              <w:rPr>
                <w:sz w:val="16"/>
                <w:szCs w:val="16"/>
              </w:rPr>
            </w:pPr>
            <w:r w:rsidRPr="00515D00">
              <w:rPr>
                <w:b/>
                <w:bCs/>
                <w:color w:val="000000"/>
                <w:sz w:val="16"/>
                <w:szCs w:val="16"/>
              </w:rPr>
              <w:t>RESULTADO:</w:t>
            </w:r>
            <w:r w:rsidRPr="00515D00">
              <w:rPr>
                <w:b/>
                <w:bCs/>
                <w:color w:val="000000"/>
                <w:sz w:val="16"/>
                <w:szCs w:val="16"/>
              </w:rPr>
              <w:tab/>
            </w:r>
            <w:r w:rsidRPr="00515D00">
              <w:rPr>
                <w:bCs/>
                <w:sz w:val="16"/>
                <w:szCs w:val="16"/>
              </w:rPr>
              <w:t xml:space="preserve">III.6  Mayor capacidad de las </w:t>
            </w:r>
            <w:r>
              <w:rPr>
                <w:bCs/>
                <w:sz w:val="16"/>
                <w:szCs w:val="16"/>
              </w:rPr>
              <w:t>pymes</w:t>
            </w:r>
            <w:r w:rsidRPr="00515D00">
              <w:rPr>
                <w:bCs/>
                <w:sz w:val="16"/>
                <w:szCs w:val="16"/>
              </w:rPr>
              <w:t xml:space="preserve"> para utilizar con éxito la P.I. con el fin de apoyar la innovación</w:t>
            </w:r>
          </w:p>
        </w:tc>
      </w:tr>
      <w:tr w:rsidR="003E311F" w:rsidRPr="00515D00" w:rsidTr="007A358B">
        <w:trPr>
          <w:cantSplit/>
          <w:trHeight w:val="315"/>
        </w:trPr>
        <w:tc>
          <w:tcPr>
            <w:tcW w:w="1843" w:type="dxa"/>
            <w:tcBorders>
              <w:top w:val="single" w:sz="4" w:space="0" w:color="auto"/>
            </w:tcBorders>
            <w:vAlign w:val="center"/>
          </w:tcPr>
          <w:p w:rsidR="003E311F" w:rsidRPr="00515D00" w:rsidRDefault="003E311F" w:rsidP="007A358B">
            <w:pPr>
              <w:keepNext/>
              <w:keepLines/>
              <w:spacing w:before="60" w:after="60"/>
              <w:rPr>
                <w:b/>
                <w:bCs/>
                <w:sz w:val="16"/>
                <w:szCs w:val="16"/>
              </w:rPr>
            </w:pPr>
            <w:r w:rsidRPr="00515D00">
              <w:rPr>
                <w:b/>
                <w:bCs/>
                <w:sz w:val="16"/>
                <w:szCs w:val="16"/>
              </w:rPr>
              <w:t>Actividad</w:t>
            </w:r>
          </w:p>
        </w:tc>
        <w:tc>
          <w:tcPr>
            <w:tcW w:w="1134" w:type="dxa"/>
            <w:tcBorders>
              <w:top w:val="single" w:sz="4" w:space="0" w:color="auto"/>
            </w:tcBorders>
            <w:vAlign w:val="center"/>
          </w:tcPr>
          <w:p w:rsidR="003E311F" w:rsidRPr="00515D00" w:rsidRDefault="003E311F" w:rsidP="007A358B">
            <w:pPr>
              <w:keepNext/>
              <w:keepLines/>
              <w:spacing w:before="60" w:after="60"/>
              <w:rPr>
                <w:sz w:val="16"/>
                <w:szCs w:val="16"/>
              </w:rPr>
            </w:pPr>
            <w:r w:rsidRPr="00515D00">
              <w:rPr>
                <w:b/>
                <w:bCs/>
                <w:sz w:val="16"/>
                <w:szCs w:val="16"/>
              </w:rPr>
              <w:t>Fecha</w:t>
            </w:r>
          </w:p>
        </w:tc>
        <w:tc>
          <w:tcPr>
            <w:tcW w:w="1985" w:type="dxa"/>
            <w:tcBorders>
              <w:top w:val="single" w:sz="4" w:space="0" w:color="auto"/>
            </w:tcBorders>
            <w:vAlign w:val="center"/>
          </w:tcPr>
          <w:p w:rsidR="003E311F" w:rsidRPr="00515D00" w:rsidRDefault="003E311F" w:rsidP="007A358B">
            <w:pPr>
              <w:widowControl w:val="0"/>
              <w:rPr>
                <w:sz w:val="16"/>
                <w:szCs w:val="16"/>
              </w:rPr>
            </w:pPr>
            <w:r w:rsidRPr="00515D00">
              <w:rPr>
                <w:b/>
                <w:sz w:val="16"/>
                <w:szCs w:val="16"/>
              </w:rPr>
              <w:t>País anfitrión / Beneficiarios</w:t>
            </w:r>
          </w:p>
        </w:tc>
        <w:tc>
          <w:tcPr>
            <w:tcW w:w="4819" w:type="dxa"/>
            <w:tcBorders>
              <w:top w:val="single" w:sz="4" w:space="0" w:color="auto"/>
            </w:tcBorders>
            <w:vAlign w:val="center"/>
          </w:tcPr>
          <w:p w:rsidR="003E311F" w:rsidRPr="00515D00" w:rsidRDefault="003E311F" w:rsidP="007A358B">
            <w:pPr>
              <w:widowControl w:val="0"/>
              <w:rPr>
                <w:sz w:val="16"/>
                <w:szCs w:val="16"/>
              </w:rPr>
            </w:pPr>
            <w:r w:rsidRPr="00515D00">
              <w:rPr>
                <w:b/>
                <w:sz w:val="16"/>
                <w:szCs w:val="16"/>
              </w:rPr>
              <w:t>Propósito(s)/Descripción</w:t>
            </w:r>
          </w:p>
        </w:tc>
      </w:tr>
      <w:tr w:rsidR="003E311F" w:rsidRPr="00092F2E" w:rsidTr="007A358B">
        <w:trPr>
          <w:cantSplit/>
          <w:trHeight w:val="315"/>
        </w:trPr>
        <w:tc>
          <w:tcPr>
            <w:tcW w:w="1843" w:type="dxa"/>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 xml:space="preserve">Taller regional sobre modelos de utilidad y diseño industrial para </w:t>
            </w:r>
            <w:r>
              <w:rPr>
                <w:color w:val="000000"/>
                <w:sz w:val="16"/>
                <w:szCs w:val="16"/>
              </w:rPr>
              <w:t>pymes</w:t>
            </w:r>
            <w:r w:rsidRPr="00515D00">
              <w:rPr>
                <w:color w:val="000000"/>
                <w:sz w:val="16"/>
                <w:szCs w:val="16"/>
              </w:rPr>
              <w:t xml:space="preserve"> en los Estados miembros de ARIPO</w:t>
            </w:r>
          </w:p>
        </w:tc>
        <w:tc>
          <w:tcPr>
            <w:tcW w:w="1134" w:type="dxa"/>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24 a 26 de junio de 2015</w:t>
            </w:r>
          </w:p>
        </w:tc>
        <w:tc>
          <w:tcPr>
            <w:tcW w:w="1985" w:type="dxa"/>
          </w:tcPr>
          <w:p w:rsidR="003E311F" w:rsidRPr="00515D00" w:rsidRDefault="003E311F" w:rsidP="007A358B">
            <w:pPr>
              <w:autoSpaceDE w:val="0"/>
              <w:autoSpaceDN w:val="0"/>
              <w:adjustRightInd w:val="0"/>
              <w:spacing w:before="60" w:after="60"/>
              <w:rPr>
                <w:color w:val="000000"/>
                <w:sz w:val="16"/>
                <w:szCs w:val="16"/>
              </w:rPr>
            </w:pPr>
            <w:proofErr w:type="spellStart"/>
            <w:r w:rsidRPr="00515D00">
              <w:rPr>
                <w:color w:val="000000"/>
                <w:sz w:val="16"/>
                <w:szCs w:val="16"/>
              </w:rPr>
              <w:t>Zimbabwe</w:t>
            </w:r>
            <w:proofErr w:type="spellEnd"/>
            <w:r w:rsidRPr="00515D00">
              <w:rPr>
                <w:color w:val="000000"/>
                <w:sz w:val="16"/>
                <w:szCs w:val="16"/>
              </w:rPr>
              <w:t xml:space="preserve">/ 25 participantes de </w:t>
            </w:r>
            <w:proofErr w:type="spellStart"/>
            <w:r w:rsidRPr="00515D00">
              <w:rPr>
                <w:color w:val="000000"/>
                <w:sz w:val="16"/>
                <w:szCs w:val="16"/>
              </w:rPr>
              <w:t>Botswana</w:t>
            </w:r>
            <w:proofErr w:type="spellEnd"/>
            <w:r w:rsidRPr="00515D00">
              <w:rPr>
                <w:color w:val="000000"/>
                <w:sz w:val="16"/>
                <w:szCs w:val="16"/>
              </w:rPr>
              <w:t xml:space="preserve">, Gambia, Ghana, </w:t>
            </w:r>
            <w:proofErr w:type="spellStart"/>
            <w:r w:rsidRPr="00515D00">
              <w:rPr>
                <w:color w:val="000000"/>
                <w:sz w:val="16"/>
                <w:szCs w:val="16"/>
              </w:rPr>
              <w:t>Kenya</w:t>
            </w:r>
            <w:proofErr w:type="spellEnd"/>
            <w:r w:rsidRPr="00515D00">
              <w:rPr>
                <w:color w:val="000000"/>
                <w:sz w:val="16"/>
                <w:szCs w:val="16"/>
              </w:rPr>
              <w:t xml:space="preserve">, Malawi, Namibia, Uganda, República Unida de </w:t>
            </w:r>
            <w:proofErr w:type="spellStart"/>
            <w:r w:rsidRPr="00515D00">
              <w:rPr>
                <w:color w:val="000000"/>
                <w:sz w:val="16"/>
                <w:szCs w:val="16"/>
              </w:rPr>
              <w:t>Tanzanía</w:t>
            </w:r>
            <w:proofErr w:type="spellEnd"/>
            <w:r w:rsidRPr="00515D00">
              <w:rPr>
                <w:color w:val="000000"/>
                <w:sz w:val="16"/>
                <w:szCs w:val="16"/>
              </w:rPr>
              <w:t xml:space="preserve"> y Zambia</w:t>
            </w:r>
          </w:p>
        </w:tc>
        <w:tc>
          <w:tcPr>
            <w:tcW w:w="4819" w:type="dxa"/>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 xml:space="preserve">i) Brindar una plataforma para que los funcionarios de oficinas de P.I., las </w:t>
            </w:r>
            <w:r>
              <w:rPr>
                <w:color w:val="000000"/>
                <w:sz w:val="16"/>
                <w:szCs w:val="16"/>
              </w:rPr>
              <w:t>pymes</w:t>
            </w:r>
            <w:r w:rsidRPr="00515D00">
              <w:rPr>
                <w:color w:val="000000"/>
                <w:sz w:val="16"/>
                <w:szCs w:val="16"/>
              </w:rPr>
              <w:t xml:space="preserve">, los inventores, las instituciones de investigación, las universidades, los centros de innovación, las cámaras de comercio, las asociaciones de </w:t>
            </w:r>
            <w:r>
              <w:rPr>
                <w:color w:val="000000"/>
                <w:sz w:val="16"/>
                <w:szCs w:val="16"/>
              </w:rPr>
              <w:t>pymes</w:t>
            </w:r>
            <w:r w:rsidRPr="00515D00">
              <w:rPr>
                <w:color w:val="000000"/>
                <w:sz w:val="16"/>
                <w:szCs w:val="16"/>
              </w:rPr>
              <w:t xml:space="preserve"> y los diseñadores de la región puedan saber más acerca del modelo de utilidad y los sistemas de diseño industrial;  y ii) intercambiar opiniones con expertos internacionales y nacionales sobre las ventajas de los modelos de utilidad y los diseños para las </w:t>
            </w:r>
            <w:r>
              <w:rPr>
                <w:color w:val="000000"/>
                <w:sz w:val="16"/>
                <w:szCs w:val="16"/>
              </w:rPr>
              <w:t>pymes y las microempresas</w:t>
            </w:r>
            <w:r w:rsidRPr="00515D00">
              <w:rPr>
                <w:color w:val="000000"/>
                <w:sz w:val="16"/>
                <w:szCs w:val="16"/>
              </w:rPr>
              <w:t>.</w:t>
            </w:r>
          </w:p>
        </w:tc>
      </w:tr>
      <w:tr w:rsidR="003E311F" w:rsidRPr="00092F2E" w:rsidTr="007A358B">
        <w:trPr>
          <w:cantSplit/>
          <w:trHeight w:val="315"/>
        </w:trPr>
        <w:tc>
          <w:tcPr>
            <w:tcW w:w="9781"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tcPr>
          <w:p w:rsidR="003E311F" w:rsidRPr="00515D00" w:rsidRDefault="003E311F" w:rsidP="007A358B">
            <w:pPr>
              <w:keepNext/>
              <w:keepLines/>
              <w:tabs>
                <w:tab w:val="left" w:pos="1740"/>
              </w:tabs>
              <w:spacing w:before="120" w:after="120"/>
              <w:ind w:left="1740" w:hanging="1740"/>
              <w:rPr>
                <w:b/>
                <w:bCs/>
                <w:color w:val="000000"/>
                <w:sz w:val="16"/>
                <w:szCs w:val="16"/>
              </w:rPr>
            </w:pPr>
            <w:r w:rsidRPr="00515D00">
              <w:rPr>
                <w:b/>
                <w:bCs/>
                <w:color w:val="000000"/>
                <w:sz w:val="16"/>
                <w:szCs w:val="16"/>
              </w:rPr>
              <w:t>RESULTADO:</w:t>
            </w:r>
            <w:r w:rsidRPr="00515D00">
              <w:rPr>
                <w:b/>
                <w:bCs/>
                <w:color w:val="000000"/>
                <w:sz w:val="16"/>
                <w:szCs w:val="16"/>
              </w:rPr>
              <w:tab/>
            </w:r>
            <w:r w:rsidRPr="00515D00">
              <w:rPr>
                <w:bCs/>
                <w:color w:val="000000"/>
                <w:sz w:val="16"/>
                <w:szCs w:val="16"/>
              </w:rPr>
              <w:t>IV.2  Mejora del acceso y uso de información de P.I. por parte de instituciones de P.I. y el público para fomentar la innovación y la creatividad</w:t>
            </w:r>
          </w:p>
        </w:tc>
      </w:tr>
      <w:tr w:rsidR="003E311F" w:rsidRPr="00515D00" w:rsidTr="009111DF">
        <w:trPr>
          <w:cantSplit/>
          <w:trHeight w:val="315"/>
        </w:trPr>
        <w:tc>
          <w:tcPr>
            <w:tcW w:w="1843" w:type="dxa"/>
            <w:tcBorders>
              <w:top w:val="single" w:sz="4" w:space="0" w:color="auto"/>
              <w:left w:val="single" w:sz="4" w:space="0" w:color="auto"/>
              <w:bottom w:val="nil"/>
            </w:tcBorders>
            <w:vAlign w:val="center"/>
          </w:tcPr>
          <w:p w:rsidR="003E311F" w:rsidRPr="00515D00" w:rsidRDefault="003E311F" w:rsidP="007A358B">
            <w:pPr>
              <w:keepNext/>
              <w:keepLines/>
              <w:spacing w:before="60" w:after="60"/>
              <w:rPr>
                <w:b/>
                <w:bCs/>
                <w:sz w:val="16"/>
                <w:szCs w:val="16"/>
              </w:rPr>
            </w:pPr>
            <w:r w:rsidRPr="00515D00">
              <w:rPr>
                <w:b/>
                <w:bCs/>
                <w:sz w:val="16"/>
                <w:szCs w:val="16"/>
              </w:rPr>
              <w:t>Actividad</w:t>
            </w:r>
          </w:p>
        </w:tc>
        <w:tc>
          <w:tcPr>
            <w:tcW w:w="1134" w:type="dxa"/>
            <w:tcBorders>
              <w:top w:val="single" w:sz="4" w:space="0" w:color="auto"/>
              <w:bottom w:val="nil"/>
            </w:tcBorders>
            <w:vAlign w:val="center"/>
          </w:tcPr>
          <w:p w:rsidR="003E311F" w:rsidRPr="00515D00" w:rsidRDefault="003E311F" w:rsidP="007A358B">
            <w:pPr>
              <w:keepNext/>
              <w:keepLines/>
              <w:spacing w:before="60" w:after="60"/>
              <w:rPr>
                <w:sz w:val="16"/>
                <w:szCs w:val="16"/>
              </w:rPr>
            </w:pPr>
            <w:r w:rsidRPr="00515D00">
              <w:rPr>
                <w:b/>
                <w:bCs/>
                <w:sz w:val="16"/>
                <w:szCs w:val="16"/>
              </w:rPr>
              <w:t>Fecha</w:t>
            </w:r>
          </w:p>
        </w:tc>
        <w:tc>
          <w:tcPr>
            <w:tcW w:w="1985" w:type="dxa"/>
            <w:tcBorders>
              <w:top w:val="single" w:sz="4" w:space="0" w:color="auto"/>
              <w:bottom w:val="nil"/>
            </w:tcBorders>
            <w:vAlign w:val="center"/>
          </w:tcPr>
          <w:p w:rsidR="003E311F" w:rsidRPr="00515D00" w:rsidRDefault="003E311F" w:rsidP="007A358B">
            <w:pPr>
              <w:widowControl w:val="0"/>
              <w:rPr>
                <w:sz w:val="16"/>
                <w:szCs w:val="16"/>
              </w:rPr>
            </w:pPr>
            <w:r w:rsidRPr="00515D00">
              <w:rPr>
                <w:b/>
                <w:sz w:val="16"/>
                <w:szCs w:val="16"/>
              </w:rPr>
              <w:t>País anfitrión / Beneficiarios</w:t>
            </w:r>
          </w:p>
        </w:tc>
        <w:tc>
          <w:tcPr>
            <w:tcW w:w="4819" w:type="dxa"/>
            <w:tcBorders>
              <w:top w:val="single" w:sz="4" w:space="0" w:color="auto"/>
              <w:bottom w:val="nil"/>
              <w:right w:val="single" w:sz="4" w:space="0" w:color="auto"/>
            </w:tcBorders>
            <w:vAlign w:val="center"/>
          </w:tcPr>
          <w:p w:rsidR="003E311F" w:rsidRPr="00515D00" w:rsidRDefault="003E311F" w:rsidP="007A358B">
            <w:pPr>
              <w:widowControl w:val="0"/>
              <w:rPr>
                <w:sz w:val="16"/>
                <w:szCs w:val="16"/>
              </w:rPr>
            </w:pPr>
            <w:r w:rsidRPr="00515D00">
              <w:rPr>
                <w:b/>
                <w:sz w:val="16"/>
                <w:szCs w:val="16"/>
              </w:rPr>
              <w:t>Propósito(s)/Descripción</w:t>
            </w:r>
          </w:p>
        </w:tc>
      </w:tr>
      <w:tr w:rsidR="003E311F" w:rsidRPr="00092F2E" w:rsidTr="009111DF">
        <w:trPr>
          <w:cantSplit/>
          <w:trHeight w:val="432"/>
        </w:trPr>
        <w:tc>
          <w:tcPr>
            <w:tcW w:w="1843" w:type="dxa"/>
            <w:tcBorders>
              <w:top w:val="nil"/>
              <w:left w:val="single" w:sz="4" w:space="0" w:color="auto"/>
              <w:bottom w:val="single" w:sz="4" w:space="0" w:color="auto"/>
            </w:tcBorders>
          </w:tcPr>
          <w:p w:rsidR="003E311F" w:rsidRPr="00515D00" w:rsidRDefault="003E311F" w:rsidP="007A358B">
            <w:pPr>
              <w:spacing w:before="60" w:after="60"/>
              <w:rPr>
                <w:color w:val="000000"/>
                <w:sz w:val="16"/>
                <w:szCs w:val="16"/>
              </w:rPr>
            </w:pPr>
            <w:r w:rsidRPr="00515D00">
              <w:rPr>
                <w:sz w:val="16"/>
                <w:szCs w:val="16"/>
              </w:rPr>
              <w:t>CATI – Segundo taller sobre la utilización eficaz de la información técnica y científica</w:t>
            </w:r>
          </w:p>
        </w:tc>
        <w:tc>
          <w:tcPr>
            <w:tcW w:w="1134" w:type="dxa"/>
            <w:tcBorders>
              <w:top w:val="nil"/>
              <w:bottom w:val="single" w:sz="4" w:space="0" w:color="auto"/>
            </w:tcBorders>
          </w:tcPr>
          <w:p w:rsidR="003E311F" w:rsidRPr="00515D00" w:rsidRDefault="003E311F" w:rsidP="007A358B">
            <w:pPr>
              <w:spacing w:before="60" w:after="60"/>
              <w:rPr>
                <w:color w:val="000000"/>
                <w:sz w:val="16"/>
                <w:szCs w:val="16"/>
              </w:rPr>
            </w:pPr>
            <w:r w:rsidRPr="00515D00">
              <w:rPr>
                <w:color w:val="000000"/>
                <w:sz w:val="16"/>
                <w:szCs w:val="16"/>
              </w:rPr>
              <w:t>24 a 26 de febrero de 2015</w:t>
            </w:r>
          </w:p>
        </w:tc>
        <w:tc>
          <w:tcPr>
            <w:tcW w:w="1985" w:type="dxa"/>
            <w:tcBorders>
              <w:top w:val="nil"/>
              <w:bottom w:val="single" w:sz="4" w:space="0" w:color="auto"/>
            </w:tcBorders>
          </w:tcPr>
          <w:p w:rsidR="003E311F" w:rsidRPr="00515D00" w:rsidRDefault="003E311F" w:rsidP="007A358B">
            <w:pPr>
              <w:spacing w:before="60" w:after="60"/>
              <w:rPr>
                <w:color w:val="000000"/>
                <w:sz w:val="16"/>
                <w:szCs w:val="16"/>
              </w:rPr>
            </w:pPr>
            <w:r w:rsidRPr="00515D00">
              <w:rPr>
                <w:color w:val="000000"/>
                <w:sz w:val="16"/>
                <w:szCs w:val="16"/>
              </w:rPr>
              <w:t>Ghana/ Aproximadamente 50 participantes locales</w:t>
            </w:r>
          </w:p>
        </w:tc>
        <w:tc>
          <w:tcPr>
            <w:tcW w:w="4819" w:type="dxa"/>
            <w:tcBorders>
              <w:top w:val="nil"/>
              <w:bottom w:val="single" w:sz="4" w:space="0" w:color="auto"/>
              <w:right w:val="single" w:sz="4" w:space="0" w:color="auto"/>
            </w:tcBorders>
          </w:tcPr>
          <w:p w:rsidR="003E311F" w:rsidRPr="00515D00" w:rsidRDefault="003E311F" w:rsidP="007A358B">
            <w:pPr>
              <w:spacing w:before="60" w:after="60"/>
              <w:rPr>
                <w:color w:val="000000"/>
                <w:sz w:val="16"/>
                <w:szCs w:val="16"/>
              </w:rPr>
            </w:pPr>
            <w:r w:rsidRPr="00515D00">
              <w:rPr>
                <w:sz w:val="16"/>
                <w:szCs w:val="16"/>
              </w:rPr>
              <w:t>Fortalecer las capacidades de los participantes en materia de búsqueda y aprovechamiento la información técnica y científica para mejorar el desempeño de sus actividades.</w:t>
            </w:r>
          </w:p>
        </w:tc>
      </w:tr>
      <w:tr w:rsidR="003E311F" w:rsidRPr="00092F2E" w:rsidTr="009111DF">
        <w:trPr>
          <w:cantSplit/>
          <w:trHeight w:val="315"/>
        </w:trPr>
        <w:tc>
          <w:tcPr>
            <w:tcW w:w="1843" w:type="dxa"/>
            <w:tcBorders>
              <w:top w:val="single" w:sz="4" w:space="0" w:color="auto"/>
              <w:left w:val="single" w:sz="4" w:space="0" w:color="auto"/>
              <w:bottom w:val="nil"/>
            </w:tcBorders>
          </w:tcPr>
          <w:p w:rsidR="003E311F" w:rsidRPr="00515D00" w:rsidRDefault="003E311F" w:rsidP="007A358B">
            <w:pPr>
              <w:autoSpaceDE w:val="0"/>
              <w:autoSpaceDN w:val="0"/>
              <w:adjustRightInd w:val="0"/>
              <w:spacing w:before="60" w:after="60"/>
              <w:rPr>
                <w:color w:val="000000"/>
                <w:sz w:val="16"/>
                <w:szCs w:val="16"/>
              </w:rPr>
            </w:pPr>
            <w:r w:rsidRPr="00515D00">
              <w:rPr>
                <w:sz w:val="16"/>
                <w:szCs w:val="16"/>
              </w:rPr>
              <w:lastRenderedPageBreak/>
              <w:t>CATI – Seminario sobre la utilización de la información técnica y científica</w:t>
            </w:r>
          </w:p>
        </w:tc>
        <w:tc>
          <w:tcPr>
            <w:tcW w:w="1134" w:type="dxa"/>
            <w:tcBorders>
              <w:top w:val="single" w:sz="4" w:space="0" w:color="auto"/>
              <w:bottom w:val="nil"/>
            </w:tcBorders>
          </w:tcPr>
          <w:p w:rsidR="003E311F" w:rsidRPr="00515D00" w:rsidRDefault="003E311F" w:rsidP="007A358B">
            <w:pPr>
              <w:spacing w:before="60" w:after="60"/>
              <w:rPr>
                <w:color w:val="000000"/>
                <w:sz w:val="16"/>
                <w:szCs w:val="16"/>
              </w:rPr>
            </w:pPr>
            <w:r w:rsidRPr="00515D00">
              <w:rPr>
                <w:color w:val="000000"/>
                <w:sz w:val="16"/>
                <w:szCs w:val="16"/>
              </w:rPr>
              <w:t>23 a 27 de marzo de 2015</w:t>
            </w:r>
          </w:p>
        </w:tc>
        <w:tc>
          <w:tcPr>
            <w:tcW w:w="1985" w:type="dxa"/>
            <w:tcBorders>
              <w:top w:val="single" w:sz="4" w:space="0" w:color="auto"/>
              <w:bottom w:val="nil"/>
            </w:tcBorders>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Burkina Faso/ Aproximadamente 50 participantes locales</w:t>
            </w:r>
          </w:p>
        </w:tc>
        <w:tc>
          <w:tcPr>
            <w:tcW w:w="4819" w:type="dxa"/>
            <w:tcBorders>
              <w:top w:val="single" w:sz="4" w:space="0" w:color="auto"/>
              <w:bottom w:val="nil"/>
              <w:right w:val="single" w:sz="4" w:space="0" w:color="auto"/>
            </w:tcBorders>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Formar a investigadores, profesores y estudiantes en la búsqueda y utilización de información sobre patentes y bibliografía ajena a las patentes</w:t>
            </w:r>
          </w:p>
        </w:tc>
      </w:tr>
      <w:tr w:rsidR="003E311F" w:rsidRPr="00092F2E" w:rsidTr="007A358B">
        <w:trPr>
          <w:cantSplit/>
          <w:trHeight w:val="315"/>
        </w:trPr>
        <w:tc>
          <w:tcPr>
            <w:tcW w:w="1843" w:type="dxa"/>
            <w:tcBorders>
              <w:top w:val="nil"/>
              <w:left w:val="single" w:sz="4" w:space="0" w:color="auto"/>
              <w:bottom w:val="single" w:sz="4" w:space="0" w:color="auto"/>
            </w:tcBorders>
          </w:tcPr>
          <w:p w:rsidR="003E311F" w:rsidRPr="00515D00" w:rsidRDefault="003E311F" w:rsidP="007A358B">
            <w:pPr>
              <w:autoSpaceDE w:val="0"/>
              <w:autoSpaceDN w:val="0"/>
              <w:adjustRightInd w:val="0"/>
              <w:spacing w:before="60" w:after="60"/>
              <w:rPr>
                <w:color w:val="000000"/>
                <w:sz w:val="16"/>
                <w:szCs w:val="16"/>
              </w:rPr>
            </w:pPr>
            <w:r w:rsidRPr="00515D00">
              <w:rPr>
                <w:sz w:val="16"/>
                <w:szCs w:val="16"/>
              </w:rPr>
              <w:t>Seminario sobre la utilización eficaz de la información técnica y científica</w:t>
            </w:r>
            <w:r w:rsidRPr="00515D00">
              <w:rPr>
                <w:color w:val="000000"/>
                <w:sz w:val="16"/>
                <w:szCs w:val="16"/>
              </w:rPr>
              <w:t xml:space="preserve"> </w:t>
            </w:r>
            <w:r w:rsidRPr="00515D00">
              <w:rPr>
                <w:sz w:val="16"/>
                <w:szCs w:val="16"/>
              </w:rPr>
              <w:t>e inauguración de CATI</w:t>
            </w:r>
          </w:p>
        </w:tc>
        <w:tc>
          <w:tcPr>
            <w:tcW w:w="1134" w:type="dxa"/>
            <w:tcBorders>
              <w:top w:val="nil"/>
              <w:bottom w:val="single" w:sz="4" w:space="0" w:color="auto"/>
            </w:tcBorders>
          </w:tcPr>
          <w:p w:rsidR="003E311F" w:rsidRPr="00515D00" w:rsidRDefault="003E311F" w:rsidP="007A358B">
            <w:pPr>
              <w:spacing w:before="60" w:after="60"/>
              <w:rPr>
                <w:color w:val="000000"/>
                <w:sz w:val="16"/>
                <w:szCs w:val="16"/>
              </w:rPr>
            </w:pPr>
            <w:r w:rsidRPr="00515D00">
              <w:rPr>
                <w:color w:val="000000"/>
                <w:sz w:val="16"/>
                <w:szCs w:val="16"/>
              </w:rPr>
              <w:t>1 a 5 de junio de 2015</w:t>
            </w:r>
          </w:p>
        </w:tc>
        <w:tc>
          <w:tcPr>
            <w:tcW w:w="1985" w:type="dxa"/>
            <w:tcBorders>
              <w:top w:val="nil"/>
              <w:bottom w:val="single" w:sz="4" w:space="0" w:color="auto"/>
            </w:tcBorders>
          </w:tcPr>
          <w:p w:rsidR="003E311F" w:rsidRPr="00515D00" w:rsidRDefault="003E311F" w:rsidP="007A358B">
            <w:pPr>
              <w:autoSpaceDE w:val="0"/>
              <w:autoSpaceDN w:val="0"/>
              <w:adjustRightInd w:val="0"/>
              <w:spacing w:before="60" w:after="60"/>
              <w:rPr>
                <w:color w:val="000000"/>
                <w:sz w:val="16"/>
                <w:szCs w:val="16"/>
              </w:rPr>
            </w:pPr>
            <w:proofErr w:type="spellStart"/>
            <w:r w:rsidRPr="00515D00">
              <w:rPr>
                <w:color w:val="000000"/>
                <w:sz w:val="16"/>
                <w:szCs w:val="16"/>
              </w:rPr>
              <w:t>Rwanda</w:t>
            </w:r>
            <w:proofErr w:type="spellEnd"/>
            <w:r w:rsidRPr="00515D00">
              <w:rPr>
                <w:color w:val="000000"/>
                <w:sz w:val="16"/>
                <w:szCs w:val="16"/>
              </w:rPr>
              <w:t>/ Aproximadamente 350 participantes locales</w:t>
            </w:r>
          </w:p>
        </w:tc>
        <w:tc>
          <w:tcPr>
            <w:tcW w:w="4819" w:type="dxa"/>
            <w:tcBorders>
              <w:top w:val="nil"/>
              <w:bottom w:val="single" w:sz="4" w:space="0" w:color="auto"/>
              <w:right w:val="single" w:sz="4" w:space="0" w:color="auto"/>
            </w:tcBorders>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Presentar el proyecto CATI y sus ventajas en dos instituciones de educación superior del país.</w:t>
            </w:r>
          </w:p>
        </w:tc>
      </w:tr>
      <w:tr w:rsidR="003E311F" w:rsidRPr="00092F2E" w:rsidTr="007A358B">
        <w:trPr>
          <w:cantSplit/>
          <w:trHeight w:val="315"/>
        </w:trPr>
        <w:tc>
          <w:tcPr>
            <w:tcW w:w="9781"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tcPr>
          <w:p w:rsidR="003E311F" w:rsidRPr="00515D00" w:rsidRDefault="003E311F" w:rsidP="007A358B">
            <w:pPr>
              <w:keepNext/>
              <w:keepLines/>
              <w:tabs>
                <w:tab w:val="left" w:pos="1740"/>
              </w:tabs>
              <w:spacing w:before="120" w:after="120"/>
              <w:ind w:left="1740" w:hanging="1740"/>
              <w:rPr>
                <w:b/>
                <w:bCs/>
                <w:color w:val="000000"/>
                <w:sz w:val="16"/>
                <w:szCs w:val="16"/>
              </w:rPr>
            </w:pPr>
            <w:r w:rsidRPr="00515D00">
              <w:rPr>
                <w:b/>
                <w:bCs/>
                <w:color w:val="000000"/>
                <w:sz w:val="16"/>
                <w:szCs w:val="16"/>
              </w:rPr>
              <w:t>RESULTADO:</w:t>
            </w:r>
            <w:r w:rsidRPr="00515D00">
              <w:rPr>
                <w:b/>
                <w:bCs/>
                <w:color w:val="000000"/>
                <w:sz w:val="16"/>
                <w:szCs w:val="16"/>
              </w:rPr>
              <w:tab/>
            </w:r>
            <w:r w:rsidRPr="00515D00">
              <w:rPr>
                <w:bCs/>
                <w:color w:val="000000"/>
                <w:sz w:val="16"/>
                <w:szCs w:val="16"/>
              </w:rPr>
              <w:t>IV.4  Mejora en la infraestructura técnica y de conocimientos de las Oficinas y demás instituciones de P.I. que les permita prestar mejores servicios (más económicos, más rápidos y de mejor calidad) a sus partes interesadas</w:t>
            </w:r>
          </w:p>
        </w:tc>
      </w:tr>
      <w:tr w:rsidR="003E311F" w:rsidRPr="00515D00" w:rsidTr="007A358B">
        <w:trPr>
          <w:cantSplit/>
          <w:trHeight w:val="315"/>
        </w:trPr>
        <w:tc>
          <w:tcPr>
            <w:tcW w:w="1843" w:type="dxa"/>
            <w:tcBorders>
              <w:top w:val="single" w:sz="4" w:space="0" w:color="auto"/>
              <w:bottom w:val="nil"/>
            </w:tcBorders>
            <w:vAlign w:val="center"/>
          </w:tcPr>
          <w:p w:rsidR="003E311F" w:rsidRPr="00515D00" w:rsidRDefault="003E311F" w:rsidP="007A358B">
            <w:pPr>
              <w:keepNext/>
              <w:keepLines/>
              <w:spacing w:before="60" w:after="60"/>
              <w:rPr>
                <w:b/>
                <w:bCs/>
                <w:sz w:val="16"/>
                <w:szCs w:val="16"/>
              </w:rPr>
            </w:pPr>
            <w:r w:rsidRPr="00515D00">
              <w:rPr>
                <w:b/>
                <w:bCs/>
                <w:sz w:val="16"/>
                <w:szCs w:val="16"/>
              </w:rPr>
              <w:t>Actividad</w:t>
            </w:r>
          </w:p>
        </w:tc>
        <w:tc>
          <w:tcPr>
            <w:tcW w:w="1134" w:type="dxa"/>
            <w:tcBorders>
              <w:top w:val="single" w:sz="4" w:space="0" w:color="auto"/>
              <w:bottom w:val="nil"/>
            </w:tcBorders>
            <w:vAlign w:val="center"/>
          </w:tcPr>
          <w:p w:rsidR="003E311F" w:rsidRPr="00515D00" w:rsidRDefault="003E311F" w:rsidP="007A358B">
            <w:pPr>
              <w:keepNext/>
              <w:keepLines/>
              <w:spacing w:before="60" w:after="60"/>
              <w:rPr>
                <w:sz w:val="16"/>
                <w:szCs w:val="16"/>
              </w:rPr>
            </w:pPr>
            <w:r w:rsidRPr="00515D00">
              <w:rPr>
                <w:b/>
                <w:bCs/>
                <w:sz w:val="16"/>
                <w:szCs w:val="16"/>
              </w:rPr>
              <w:t>Fecha</w:t>
            </w:r>
          </w:p>
        </w:tc>
        <w:tc>
          <w:tcPr>
            <w:tcW w:w="1985" w:type="dxa"/>
            <w:tcBorders>
              <w:top w:val="single" w:sz="4" w:space="0" w:color="auto"/>
              <w:bottom w:val="nil"/>
            </w:tcBorders>
            <w:vAlign w:val="center"/>
          </w:tcPr>
          <w:p w:rsidR="003E311F" w:rsidRPr="00515D00" w:rsidRDefault="003E311F" w:rsidP="007A358B">
            <w:pPr>
              <w:widowControl w:val="0"/>
              <w:rPr>
                <w:sz w:val="16"/>
                <w:szCs w:val="16"/>
              </w:rPr>
            </w:pPr>
            <w:r w:rsidRPr="00515D00">
              <w:rPr>
                <w:b/>
                <w:sz w:val="16"/>
                <w:szCs w:val="16"/>
              </w:rPr>
              <w:t>País anfitrión / Beneficiarios</w:t>
            </w:r>
          </w:p>
        </w:tc>
        <w:tc>
          <w:tcPr>
            <w:tcW w:w="4819" w:type="dxa"/>
            <w:tcBorders>
              <w:top w:val="single" w:sz="4" w:space="0" w:color="auto"/>
              <w:bottom w:val="nil"/>
            </w:tcBorders>
            <w:vAlign w:val="center"/>
          </w:tcPr>
          <w:p w:rsidR="003E311F" w:rsidRPr="00515D00" w:rsidRDefault="003E311F" w:rsidP="007A358B">
            <w:pPr>
              <w:widowControl w:val="0"/>
              <w:rPr>
                <w:sz w:val="16"/>
                <w:szCs w:val="16"/>
              </w:rPr>
            </w:pPr>
            <w:r w:rsidRPr="00515D00">
              <w:rPr>
                <w:b/>
                <w:sz w:val="16"/>
                <w:szCs w:val="16"/>
              </w:rPr>
              <w:t>Propósito(s)/Descripción</w:t>
            </w:r>
          </w:p>
        </w:tc>
      </w:tr>
      <w:tr w:rsidR="003E311F" w:rsidRPr="00092F2E" w:rsidTr="00872371">
        <w:trPr>
          <w:cantSplit/>
          <w:trHeight w:val="315"/>
        </w:trPr>
        <w:tc>
          <w:tcPr>
            <w:tcW w:w="1843" w:type="dxa"/>
            <w:tcBorders>
              <w:top w:val="nil"/>
              <w:bottom w:val="nil"/>
            </w:tcBorders>
          </w:tcPr>
          <w:p w:rsidR="003E311F" w:rsidRPr="00515D00" w:rsidRDefault="003E311F" w:rsidP="007A358B">
            <w:pPr>
              <w:autoSpaceDE w:val="0"/>
              <w:autoSpaceDN w:val="0"/>
              <w:adjustRightInd w:val="0"/>
              <w:spacing w:before="60" w:after="60"/>
              <w:rPr>
                <w:sz w:val="16"/>
                <w:szCs w:val="16"/>
              </w:rPr>
            </w:pPr>
            <w:r w:rsidRPr="00515D00">
              <w:rPr>
                <w:sz w:val="16"/>
                <w:szCs w:val="16"/>
              </w:rPr>
              <w:t>Digitalización de documentos de P.I. para ARIPO</w:t>
            </w:r>
          </w:p>
        </w:tc>
        <w:tc>
          <w:tcPr>
            <w:tcW w:w="1134" w:type="dxa"/>
            <w:tcBorders>
              <w:top w:val="nil"/>
              <w:bottom w:val="nil"/>
            </w:tcBorders>
          </w:tcPr>
          <w:p w:rsidR="003E311F" w:rsidRPr="00515D00" w:rsidRDefault="003E311F" w:rsidP="007A358B">
            <w:pPr>
              <w:spacing w:before="60" w:after="60"/>
              <w:rPr>
                <w:sz w:val="16"/>
                <w:szCs w:val="16"/>
              </w:rPr>
            </w:pPr>
            <w:r w:rsidRPr="00515D00">
              <w:rPr>
                <w:sz w:val="16"/>
                <w:szCs w:val="16"/>
              </w:rPr>
              <w:t>Abril a diciembre de 2015</w:t>
            </w:r>
          </w:p>
          <w:p w:rsidR="003E311F" w:rsidRPr="00515D00" w:rsidRDefault="003E311F" w:rsidP="007A358B">
            <w:pPr>
              <w:spacing w:before="60" w:after="60"/>
              <w:rPr>
                <w:sz w:val="16"/>
                <w:szCs w:val="16"/>
              </w:rPr>
            </w:pPr>
            <w:r w:rsidRPr="00515D00">
              <w:rPr>
                <w:sz w:val="16"/>
                <w:szCs w:val="16"/>
              </w:rPr>
              <w:t>(En curso)</w:t>
            </w:r>
          </w:p>
        </w:tc>
        <w:tc>
          <w:tcPr>
            <w:tcW w:w="1985" w:type="dxa"/>
            <w:tcBorders>
              <w:top w:val="nil"/>
              <w:bottom w:val="nil"/>
            </w:tcBorders>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ARIPO</w:t>
            </w:r>
          </w:p>
        </w:tc>
        <w:tc>
          <w:tcPr>
            <w:tcW w:w="4819" w:type="dxa"/>
            <w:tcBorders>
              <w:top w:val="nil"/>
              <w:bottom w:val="nil"/>
            </w:tcBorders>
          </w:tcPr>
          <w:p w:rsidR="003E311F" w:rsidRPr="00515D00" w:rsidRDefault="003E311F" w:rsidP="007A358B">
            <w:pPr>
              <w:autoSpaceDE w:val="0"/>
              <w:autoSpaceDN w:val="0"/>
              <w:adjustRightInd w:val="0"/>
              <w:spacing w:before="60" w:after="60"/>
              <w:rPr>
                <w:sz w:val="16"/>
                <w:szCs w:val="16"/>
              </w:rPr>
            </w:pPr>
            <w:r w:rsidRPr="00515D00">
              <w:rPr>
                <w:sz w:val="16"/>
                <w:szCs w:val="16"/>
              </w:rPr>
              <w:t xml:space="preserve">i) Facilitar los procedimientos de examen y procesamiento de solicitudes y registros;  ii) asegurar y preservar los archivos de P.I. </w:t>
            </w:r>
            <w:r>
              <w:rPr>
                <w:sz w:val="16"/>
                <w:szCs w:val="16"/>
              </w:rPr>
              <w:t>mediante su disponibilidad</w:t>
            </w:r>
            <w:r w:rsidRPr="00515D00">
              <w:rPr>
                <w:sz w:val="16"/>
                <w:szCs w:val="16"/>
              </w:rPr>
              <w:t xml:space="preserve"> en formato físico y digital;  iii) facilitar el intercambio de datos de P.I. a nivel tanto nacional como internacional;  y iv) mejorar la gobernanza, la transparencia y la rendición de cuentas en el proceso de la P.I.</w:t>
            </w:r>
          </w:p>
        </w:tc>
      </w:tr>
      <w:tr w:rsidR="003E311F" w:rsidRPr="00092F2E" w:rsidTr="00872371">
        <w:trPr>
          <w:cantSplit/>
          <w:trHeight w:val="315"/>
        </w:trPr>
        <w:tc>
          <w:tcPr>
            <w:tcW w:w="1843" w:type="dxa"/>
            <w:tcBorders>
              <w:top w:val="nil"/>
              <w:bottom w:val="nil"/>
            </w:tcBorders>
          </w:tcPr>
          <w:p w:rsidR="003E311F" w:rsidRPr="00515D00" w:rsidRDefault="003E311F" w:rsidP="007A358B">
            <w:pPr>
              <w:autoSpaceDE w:val="0"/>
              <w:autoSpaceDN w:val="0"/>
              <w:adjustRightInd w:val="0"/>
              <w:spacing w:before="60" w:after="60"/>
              <w:rPr>
                <w:sz w:val="16"/>
                <w:szCs w:val="16"/>
              </w:rPr>
            </w:pPr>
            <w:r w:rsidRPr="00515D00">
              <w:rPr>
                <w:sz w:val="16"/>
                <w:szCs w:val="16"/>
              </w:rPr>
              <w:t xml:space="preserve">Digitalización de documentos de P.I. para el Instituto de Propiedad Industrial de </w:t>
            </w:r>
            <w:proofErr w:type="spellStart"/>
            <w:r w:rsidRPr="00515D00">
              <w:rPr>
                <w:sz w:val="16"/>
                <w:szCs w:val="16"/>
              </w:rPr>
              <w:t>Kenya</w:t>
            </w:r>
            <w:proofErr w:type="spellEnd"/>
            <w:r w:rsidRPr="00515D00">
              <w:rPr>
                <w:sz w:val="16"/>
                <w:szCs w:val="16"/>
              </w:rPr>
              <w:t xml:space="preserve"> (KIPI)</w:t>
            </w:r>
          </w:p>
        </w:tc>
        <w:tc>
          <w:tcPr>
            <w:tcW w:w="1134" w:type="dxa"/>
            <w:tcBorders>
              <w:top w:val="nil"/>
              <w:bottom w:val="nil"/>
            </w:tcBorders>
          </w:tcPr>
          <w:p w:rsidR="003E311F" w:rsidRPr="00515D00" w:rsidRDefault="003E311F" w:rsidP="007A358B">
            <w:pPr>
              <w:spacing w:before="60" w:after="60"/>
              <w:rPr>
                <w:sz w:val="16"/>
                <w:szCs w:val="16"/>
              </w:rPr>
            </w:pPr>
            <w:r w:rsidRPr="00515D00">
              <w:rPr>
                <w:sz w:val="16"/>
                <w:szCs w:val="16"/>
              </w:rPr>
              <w:t>Abril a diciembre de 2015</w:t>
            </w:r>
          </w:p>
          <w:p w:rsidR="003E311F" w:rsidRPr="00515D00" w:rsidRDefault="003E311F" w:rsidP="007A358B">
            <w:pPr>
              <w:spacing w:before="60" w:after="60"/>
              <w:rPr>
                <w:sz w:val="16"/>
                <w:szCs w:val="16"/>
              </w:rPr>
            </w:pPr>
            <w:r w:rsidRPr="00515D00">
              <w:rPr>
                <w:sz w:val="16"/>
                <w:szCs w:val="16"/>
              </w:rPr>
              <w:t>(En curso)</w:t>
            </w:r>
          </w:p>
        </w:tc>
        <w:tc>
          <w:tcPr>
            <w:tcW w:w="1985" w:type="dxa"/>
            <w:tcBorders>
              <w:top w:val="nil"/>
              <w:bottom w:val="nil"/>
            </w:tcBorders>
          </w:tcPr>
          <w:p w:rsidR="003E311F" w:rsidRPr="00515D00" w:rsidRDefault="003E311F" w:rsidP="007A358B">
            <w:pPr>
              <w:autoSpaceDE w:val="0"/>
              <w:autoSpaceDN w:val="0"/>
              <w:adjustRightInd w:val="0"/>
              <w:spacing w:before="60" w:after="60"/>
              <w:rPr>
                <w:color w:val="000000"/>
                <w:sz w:val="16"/>
                <w:szCs w:val="16"/>
              </w:rPr>
            </w:pPr>
            <w:proofErr w:type="spellStart"/>
            <w:r w:rsidRPr="00515D00">
              <w:rPr>
                <w:color w:val="000000"/>
                <w:sz w:val="16"/>
                <w:szCs w:val="16"/>
              </w:rPr>
              <w:t>Kenya</w:t>
            </w:r>
            <w:proofErr w:type="spellEnd"/>
          </w:p>
        </w:tc>
        <w:tc>
          <w:tcPr>
            <w:tcW w:w="4819" w:type="dxa"/>
            <w:tcBorders>
              <w:top w:val="nil"/>
              <w:bottom w:val="nil"/>
            </w:tcBorders>
          </w:tcPr>
          <w:p w:rsidR="003E311F" w:rsidRPr="00515D00" w:rsidRDefault="003E311F" w:rsidP="007A358B">
            <w:pPr>
              <w:autoSpaceDE w:val="0"/>
              <w:autoSpaceDN w:val="0"/>
              <w:adjustRightInd w:val="0"/>
              <w:spacing w:before="60" w:after="60"/>
              <w:rPr>
                <w:sz w:val="16"/>
                <w:szCs w:val="16"/>
              </w:rPr>
            </w:pPr>
            <w:r w:rsidRPr="00515D00">
              <w:rPr>
                <w:sz w:val="16"/>
                <w:szCs w:val="16"/>
              </w:rPr>
              <w:t xml:space="preserve">i) Facilitar los procedimientos de examen y procesamiento de solicitudes y registros;  ii) asegurar y preservar los archivos de P.I. </w:t>
            </w:r>
            <w:r>
              <w:rPr>
                <w:sz w:val="16"/>
                <w:szCs w:val="16"/>
              </w:rPr>
              <w:t>mediante su disponibilidad</w:t>
            </w:r>
            <w:r w:rsidRPr="00515D00">
              <w:rPr>
                <w:sz w:val="16"/>
                <w:szCs w:val="16"/>
              </w:rPr>
              <w:t xml:space="preserve"> en formato físico y digital;  iii) facilitar el intercambio de datos de P.I. a nivel tanto nacional como internacional;  y iv) mejorar la gobernanza, la transparencia y la rendición de cuentas en el proceso de la P.I.</w:t>
            </w:r>
          </w:p>
        </w:tc>
      </w:tr>
      <w:tr w:rsidR="003E311F" w:rsidRPr="00092F2E" w:rsidTr="00872371">
        <w:trPr>
          <w:cantSplit/>
          <w:trHeight w:val="315"/>
        </w:trPr>
        <w:tc>
          <w:tcPr>
            <w:tcW w:w="1843" w:type="dxa"/>
            <w:tcBorders>
              <w:top w:val="nil"/>
              <w:bottom w:val="nil"/>
            </w:tcBorders>
          </w:tcPr>
          <w:p w:rsidR="003E311F" w:rsidRPr="00515D00" w:rsidRDefault="003E311F" w:rsidP="007A358B">
            <w:pPr>
              <w:autoSpaceDE w:val="0"/>
              <w:autoSpaceDN w:val="0"/>
              <w:adjustRightInd w:val="0"/>
              <w:spacing w:before="60" w:after="60"/>
              <w:rPr>
                <w:sz w:val="16"/>
                <w:szCs w:val="16"/>
              </w:rPr>
            </w:pPr>
            <w:r w:rsidRPr="00515D00">
              <w:rPr>
                <w:sz w:val="16"/>
                <w:szCs w:val="16"/>
              </w:rPr>
              <w:t xml:space="preserve">Proyecto de digitalización de patentes y marcas para la Oficina de Propiedad Intelectual de </w:t>
            </w:r>
            <w:proofErr w:type="spellStart"/>
            <w:r w:rsidRPr="00515D00">
              <w:rPr>
                <w:sz w:val="16"/>
                <w:szCs w:val="16"/>
              </w:rPr>
              <w:t>Zimbabwe</w:t>
            </w:r>
            <w:proofErr w:type="spellEnd"/>
          </w:p>
        </w:tc>
        <w:tc>
          <w:tcPr>
            <w:tcW w:w="1134" w:type="dxa"/>
            <w:tcBorders>
              <w:top w:val="nil"/>
              <w:bottom w:val="nil"/>
            </w:tcBorders>
          </w:tcPr>
          <w:p w:rsidR="003E311F" w:rsidRPr="00515D00" w:rsidRDefault="003E311F" w:rsidP="007A358B">
            <w:pPr>
              <w:spacing w:before="60" w:after="60"/>
              <w:rPr>
                <w:sz w:val="16"/>
                <w:szCs w:val="16"/>
              </w:rPr>
            </w:pPr>
            <w:r w:rsidRPr="00515D00">
              <w:rPr>
                <w:sz w:val="16"/>
                <w:szCs w:val="16"/>
              </w:rPr>
              <w:t>Abril a diciembre de 2015</w:t>
            </w:r>
          </w:p>
          <w:p w:rsidR="003E311F" w:rsidRPr="00515D00" w:rsidRDefault="003E311F" w:rsidP="007A358B">
            <w:pPr>
              <w:spacing w:before="60" w:after="60"/>
              <w:rPr>
                <w:sz w:val="16"/>
                <w:szCs w:val="16"/>
              </w:rPr>
            </w:pPr>
            <w:r w:rsidRPr="00515D00">
              <w:rPr>
                <w:sz w:val="16"/>
                <w:szCs w:val="16"/>
              </w:rPr>
              <w:t>(En curso)</w:t>
            </w:r>
          </w:p>
        </w:tc>
        <w:tc>
          <w:tcPr>
            <w:tcW w:w="1985" w:type="dxa"/>
            <w:tcBorders>
              <w:top w:val="nil"/>
              <w:bottom w:val="nil"/>
            </w:tcBorders>
          </w:tcPr>
          <w:p w:rsidR="003E311F" w:rsidRPr="00515D00" w:rsidRDefault="003E311F" w:rsidP="007A358B">
            <w:pPr>
              <w:autoSpaceDE w:val="0"/>
              <w:autoSpaceDN w:val="0"/>
              <w:adjustRightInd w:val="0"/>
              <w:spacing w:before="60" w:after="60"/>
              <w:rPr>
                <w:color w:val="000000"/>
                <w:sz w:val="16"/>
                <w:szCs w:val="16"/>
              </w:rPr>
            </w:pPr>
            <w:proofErr w:type="spellStart"/>
            <w:r w:rsidRPr="00515D00">
              <w:rPr>
                <w:color w:val="000000"/>
                <w:sz w:val="16"/>
                <w:szCs w:val="16"/>
              </w:rPr>
              <w:t>Zimbabwe</w:t>
            </w:r>
            <w:proofErr w:type="spellEnd"/>
          </w:p>
        </w:tc>
        <w:tc>
          <w:tcPr>
            <w:tcW w:w="4819" w:type="dxa"/>
            <w:tcBorders>
              <w:top w:val="nil"/>
              <w:bottom w:val="nil"/>
            </w:tcBorders>
          </w:tcPr>
          <w:p w:rsidR="003E311F" w:rsidRPr="00515D00" w:rsidRDefault="003E311F" w:rsidP="007A358B">
            <w:pPr>
              <w:autoSpaceDE w:val="0"/>
              <w:autoSpaceDN w:val="0"/>
              <w:adjustRightInd w:val="0"/>
              <w:spacing w:before="60" w:after="60"/>
              <w:rPr>
                <w:sz w:val="16"/>
                <w:szCs w:val="16"/>
              </w:rPr>
            </w:pPr>
            <w:r w:rsidRPr="00515D00">
              <w:rPr>
                <w:sz w:val="16"/>
                <w:szCs w:val="16"/>
              </w:rPr>
              <w:t>i) Crear expedientes electrónicos de todas las patentes y marcas;  ii) acelerar los procesos de administración y examen en la oficina de P.I.;  iii) mejorar la accesibilidad de la información sobre P.I.;  y iv) mejorar el la gobernanza, la transparencia y la rendición de cuentas garantizando que toda la información sea fácilmente accesible y esté disponible en formato digital.</w:t>
            </w:r>
          </w:p>
        </w:tc>
      </w:tr>
      <w:tr w:rsidR="003E311F" w:rsidRPr="00092F2E" w:rsidTr="007A358B">
        <w:trPr>
          <w:cantSplit/>
          <w:trHeight w:val="315"/>
        </w:trPr>
        <w:tc>
          <w:tcPr>
            <w:tcW w:w="1843" w:type="dxa"/>
            <w:tcBorders>
              <w:top w:val="nil"/>
              <w:bottom w:val="nil"/>
            </w:tcBorders>
          </w:tcPr>
          <w:p w:rsidR="003E311F" w:rsidRPr="00515D00" w:rsidRDefault="003E311F" w:rsidP="007A358B">
            <w:pPr>
              <w:autoSpaceDE w:val="0"/>
              <w:autoSpaceDN w:val="0"/>
              <w:adjustRightInd w:val="0"/>
              <w:spacing w:before="60" w:after="60"/>
              <w:rPr>
                <w:sz w:val="16"/>
                <w:szCs w:val="16"/>
              </w:rPr>
            </w:pPr>
            <w:r w:rsidRPr="00515D00">
              <w:rPr>
                <w:sz w:val="16"/>
                <w:szCs w:val="16"/>
              </w:rPr>
              <w:t xml:space="preserve">Taller regional de formación de la OMPI sobre el IPAS para </w:t>
            </w:r>
            <w:r w:rsidRPr="00A210DE">
              <w:rPr>
                <w:sz w:val="16"/>
                <w:szCs w:val="16"/>
              </w:rPr>
              <w:t>supervisores del proceso y la gobernanza de la P.I.</w:t>
            </w:r>
          </w:p>
        </w:tc>
        <w:tc>
          <w:tcPr>
            <w:tcW w:w="1134" w:type="dxa"/>
            <w:tcBorders>
              <w:top w:val="nil"/>
              <w:bottom w:val="nil"/>
            </w:tcBorders>
          </w:tcPr>
          <w:p w:rsidR="003E311F" w:rsidRPr="00515D00" w:rsidRDefault="003E311F" w:rsidP="007A358B">
            <w:pPr>
              <w:spacing w:before="60" w:after="60"/>
              <w:rPr>
                <w:sz w:val="16"/>
                <w:szCs w:val="16"/>
              </w:rPr>
            </w:pPr>
            <w:r w:rsidRPr="00515D00">
              <w:rPr>
                <w:color w:val="000000"/>
                <w:sz w:val="16"/>
                <w:szCs w:val="16"/>
              </w:rPr>
              <w:t>13 a 17 de abril de 2015</w:t>
            </w:r>
          </w:p>
        </w:tc>
        <w:tc>
          <w:tcPr>
            <w:tcW w:w="1985" w:type="dxa"/>
            <w:tcBorders>
              <w:top w:val="nil"/>
              <w:bottom w:val="nil"/>
            </w:tcBorders>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 xml:space="preserve">Namibia/ 24 participantes de </w:t>
            </w:r>
            <w:proofErr w:type="spellStart"/>
            <w:r w:rsidRPr="00515D00">
              <w:rPr>
                <w:color w:val="000000"/>
                <w:sz w:val="16"/>
                <w:szCs w:val="16"/>
              </w:rPr>
              <w:t>Botswana</w:t>
            </w:r>
            <w:proofErr w:type="spellEnd"/>
            <w:r w:rsidRPr="00515D00">
              <w:rPr>
                <w:color w:val="000000"/>
                <w:sz w:val="16"/>
                <w:szCs w:val="16"/>
              </w:rPr>
              <w:t xml:space="preserve">, Etiopía, Gambia, Ghana, </w:t>
            </w:r>
            <w:proofErr w:type="spellStart"/>
            <w:r w:rsidRPr="00515D00">
              <w:rPr>
                <w:color w:val="000000"/>
                <w:sz w:val="16"/>
                <w:szCs w:val="16"/>
              </w:rPr>
              <w:t>Kenya</w:t>
            </w:r>
            <w:proofErr w:type="spellEnd"/>
            <w:r w:rsidRPr="00515D00">
              <w:rPr>
                <w:color w:val="000000"/>
                <w:sz w:val="16"/>
                <w:szCs w:val="16"/>
              </w:rPr>
              <w:t xml:space="preserve">, </w:t>
            </w:r>
            <w:proofErr w:type="spellStart"/>
            <w:r w:rsidRPr="00515D00">
              <w:rPr>
                <w:color w:val="000000"/>
                <w:sz w:val="16"/>
                <w:szCs w:val="16"/>
              </w:rPr>
              <w:t>Lesotho</w:t>
            </w:r>
            <w:proofErr w:type="spellEnd"/>
            <w:r w:rsidRPr="00515D00">
              <w:rPr>
                <w:color w:val="000000"/>
                <w:sz w:val="16"/>
                <w:szCs w:val="16"/>
              </w:rPr>
              <w:t xml:space="preserve">, Madagascar, Malawi, Mauricio, Mozambique, Namibia, Nigeria, </w:t>
            </w:r>
            <w:proofErr w:type="spellStart"/>
            <w:r w:rsidRPr="00515D00">
              <w:rPr>
                <w:color w:val="000000"/>
                <w:sz w:val="16"/>
                <w:szCs w:val="16"/>
              </w:rPr>
              <w:t>Rwanda</w:t>
            </w:r>
            <w:proofErr w:type="spellEnd"/>
            <w:r w:rsidRPr="00515D00">
              <w:rPr>
                <w:color w:val="000000"/>
                <w:sz w:val="16"/>
                <w:szCs w:val="16"/>
              </w:rPr>
              <w:t xml:space="preserve">, Seychelles, </w:t>
            </w:r>
            <w:proofErr w:type="spellStart"/>
            <w:r w:rsidRPr="00515D00">
              <w:rPr>
                <w:color w:val="000000"/>
                <w:sz w:val="16"/>
                <w:szCs w:val="16"/>
              </w:rPr>
              <w:t>Swazilandia</w:t>
            </w:r>
            <w:proofErr w:type="spellEnd"/>
            <w:r w:rsidRPr="00515D00">
              <w:rPr>
                <w:color w:val="000000"/>
                <w:sz w:val="16"/>
                <w:szCs w:val="16"/>
              </w:rPr>
              <w:t xml:space="preserve">, Uganda, República Unida de </w:t>
            </w:r>
            <w:proofErr w:type="spellStart"/>
            <w:r w:rsidRPr="00515D00">
              <w:rPr>
                <w:color w:val="000000"/>
                <w:sz w:val="16"/>
                <w:szCs w:val="16"/>
              </w:rPr>
              <w:t>Tanzanía</w:t>
            </w:r>
            <w:proofErr w:type="spellEnd"/>
            <w:r w:rsidRPr="00515D00">
              <w:rPr>
                <w:color w:val="000000"/>
                <w:sz w:val="16"/>
                <w:szCs w:val="16"/>
              </w:rPr>
              <w:t xml:space="preserve">, Zambia, </w:t>
            </w:r>
            <w:proofErr w:type="spellStart"/>
            <w:r w:rsidRPr="00515D00">
              <w:rPr>
                <w:color w:val="000000"/>
                <w:sz w:val="16"/>
                <w:szCs w:val="16"/>
              </w:rPr>
              <w:t>Zimbabwe</w:t>
            </w:r>
            <w:proofErr w:type="spellEnd"/>
            <w:r w:rsidRPr="00515D00">
              <w:rPr>
                <w:color w:val="000000"/>
                <w:sz w:val="16"/>
                <w:szCs w:val="16"/>
              </w:rPr>
              <w:t xml:space="preserve">, </w:t>
            </w:r>
            <w:r>
              <w:rPr>
                <w:color w:val="000000"/>
                <w:sz w:val="16"/>
                <w:szCs w:val="16"/>
              </w:rPr>
              <w:t xml:space="preserve">la </w:t>
            </w:r>
            <w:r w:rsidRPr="00515D00">
              <w:rPr>
                <w:color w:val="000000"/>
                <w:sz w:val="16"/>
                <w:szCs w:val="16"/>
              </w:rPr>
              <w:t xml:space="preserve">ARIPO y </w:t>
            </w:r>
            <w:r>
              <w:rPr>
                <w:color w:val="000000"/>
                <w:sz w:val="16"/>
                <w:szCs w:val="16"/>
              </w:rPr>
              <w:t xml:space="preserve">la </w:t>
            </w:r>
            <w:r w:rsidRPr="00515D00">
              <w:rPr>
                <w:color w:val="000000"/>
                <w:sz w:val="16"/>
                <w:szCs w:val="16"/>
              </w:rPr>
              <w:t>OAPI</w:t>
            </w:r>
          </w:p>
        </w:tc>
        <w:tc>
          <w:tcPr>
            <w:tcW w:w="4819" w:type="dxa"/>
            <w:tcBorders>
              <w:top w:val="nil"/>
              <w:bottom w:val="nil"/>
            </w:tcBorders>
          </w:tcPr>
          <w:p w:rsidR="003E311F" w:rsidRPr="00515D00" w:rsidRDefault="003E311F" w:rsidP="007A358B">
            <w:pPr>
              <w:autoSpaceDE w:val="0"/>
              <w:autoSpaceDN w:val="0"/>
              <w:adjustRightInd w:val="0"/>
              <w:spacing w:before="60" w:after="60"/>
              <w:rPr>
                <w:sz w:val="16"/>
                <w:szCs w:val="16"/>
              </w:rPr>
            </w:pPr>
            <w:r w:rsidRPr="00515D00">
              <w:rPr>
                <w:sz w:val="16"/>
                <w:szCs w:val="16"/>
              </w:rPr>
              <w:t>i) Presentar a los participantes los conceptos básicos y las herramientas del IPAS para la gobernanza, la rendición de cuentas, la transparencia y la supervisión del proceso interno;  y ii) mejorar la comprensión de las capacidades y herramientas del IPAS para producir informes estadísticos, informes sobre gobernanza del proceso y rendición de cuentas para su supervisión, e informes sobre productividad en relación con el procesamiento administrativo de las solicitudes y los registros de P.I.</w:t>
            </w:r>
          </w:p>
        </w:tc>
      </w:tr>
      <w:tr w:rsidR="003E311F" w:rsidRPr="00092F2E" w:rsidTr="007A358B">
        <w:trPr>
          <w:cantSplit/>
          <w:trHeight w:val="315"/>
        </w:trPr>
        <w:tc>
          <w:tcPr>
            <w:tcW w:w="1843" w:type="dxa"/>
            <w:tcBorders>
              <w:top w:val="nil"/>
              <w:bottom w:val="single" w:sz="4" w:space="0" w:color="auto"/>
            </w:tcBorders>
          </w:tcPr>
          <w:p w:rsidR="003E311F" w:rsidRPr="00515D00" w:rsidRDefault="003E311F" w:rsidP="007A358B">
            <w:pPr>
              <w:autoSpaceDE w:val="0"/>
              <w:autoSpaceDN w:val="0"/>
              <w:adjustRightInd w:val="0"/>
              <w:spacing w:before="60" w:after="60"/>
              <w:rPr>
                <w:sz w:val="16"/>
                <w:szCs w:val="16"/>
              </w:rPr>
            </w:pPr>
            <w:r w:rsidRPr="00515D00">
              <w:rPr>
                <w:sz w:val="16"/>
                <w:szCs w:val="16"/>
              </w:rPr>
              <w:t xml:space="preserve">Taller regional de formación de la OMPI sobre validación e intercambio de datos </w:t>
            </w:r>
            <w:r>
              <w:rPr>
                <w:sz w:val="16"/>
                <w:szCs w:val="16"/>
              </w:rPr>
              <w:t>en materia de</w:t>
            </w:r>
            <w:r w:rsidRPr="00515D00">
              <w:rPr>
                <w:sz w:val="16"/>
                <w:szCs w:val="16"/>
              </w:rPr>
              <w:t xml:space="preserve"> P.I.</w:t>
            </w:r>
          </w:p>
        </w:tc>
        <w:tc>
          <w:tcPr>
            <w:tcW w:w="1134" w:type="dxa"/>
            <w:tcBorders>
              <w:top w:val="nil"/>
              <w:bottom w:val="single" w:sz="4" w:space="0" w:color="auto"/>
            </w:tcBorders>
          </w:tcPr>
          <w:p w:rsidR="003E311F" w:rsidRPr="00515D00" w:rsidRDefault="003E311F" w:rsidP="007A358B">
            <w:pPr>
              <w:spacing w:before="60" w:after="60"/>
              <w:rPr>
                <w:sz w:val="16"/>
                <w:szCs w:val="16"/>
              </w:rPr>
            </w:pPr>
            <w:r w:rsidRPr="00515D00">
              <w:rPr>
                <w:color w:val="000000"/>
                <w:sz w:val="16"/>
                <w:szCs w:val="16"/>
              </w:rPr>
              <w:t>19 a 23 de octubre de 2015</w:t>
            </w:r>
          </w:p>
        </w:tc>
        <w:tc>
          <w:tcPr>
            <w:tcW w:w="1985" w:type="dxa"/>
            <w:tcBorders>
              <w:top w:val="nil"/>
              <w:bottom w:val="single" w:sz="4" w:space="0" w:color="auto"/>
            </w:tcBorders>
          </w:tcPr>
          <w:p w:rsidR="003E311F" w:rsidRPr="00515D00" w:rsidRDefault="003E311F" w:rsidP="007A358B">
            <w:pPr>
              <w:autoSpaceDE w:val="0"/>
              <w:autoSpaceDN w:val="0"/>
              <w:adjustRightInd w:val="0"/>
              <w:spacing w:before="60" w:after="60"/>
              <w:rPr>
                <w:color w:val="000000"/>
                <w:sz w:val="16"/>
                <w:szCs w:val="16"/>
              </w:rPr>
            </w:pPr>
            <w:proofErr w:type="spellStart"/>
            <w:r w:rsidRPr="00515D00">
              <w:rPr>
                <w:color w:val="000000"/>
                <w:sz w:val="16"/>
                <w:szCs w:val="16"/>
              </w:rPr>
              <w:t>Zimbabwe</w:t>
            </w:r>
            <w:proofErr w:type="spellEnd"/>
            <w:r w:rsidRPr="00515D00">
              <w:rPr>
                <w:color w:val="000000"/>
                <w:sz w:val="16"/>
                <w:szCs w:val="16"/>
              </w:rPr>
              <w:t xml:space="preserve">/ 33 participantes de </w:t>
            </w:r>
            <w:proofErr w:type="spellStart"/>
            <w:r w:rsidRPr="00515D00">
              <w:rPr>
                <w:color w:val="000000"/>
                <w:sz w:val="16"/>
                <w:szCs w:val="16"/>
              </w:rPr>
              <w:t>Botswana</w:t>
            </w:r>
            <w:proofErr w:type="spellEnd"/>
            <w:r w:rsidRPr="00515D00">
              <w:rPr>
                <w:color w:val="000000"/>
                <w:sz w:val="16"/>
                <w:szCs w:val="16"/>
              </w:rPr>
              <w:t xml:space="preserve">, Etiopía, Gambia, Ghana, </w:t>
            </w:r>
            <w:proofErr w:type="spellStart"/>
            <w:r w:rsidRPr="00515D00">
              <w:rPr>
                <w:color w:val="000000"/>
                <w:sz w:val="16"/>
                <w:szCs w:val="16"/>
              </w:rPr>
              <w:t>Kenya</w:t>
            </w:r>
            <w:proofErr w:type="spellEnd"/>
            <w:r w:rsidRPr="00515D00">
              <w:rPr>
                <w:color w:val="000000"/>
                <w:sz w:val="16"/>
                <w:szCs w:val="16"/>
              </w:rPr>
              <w:t xml:space="preserve">, </w:t>
            </w:r>
            <w:proofErr w:type="spellStart"/>
            <w:r w:rsidRPr="00515D00">
              <w:rPr>
                <w:color w:val="000000"/>
                <w:sz w:val="16"/>
                <w:szCs w:val="16"/>
              </w:rPr>
              <w:t>Lesotho</w:t>
            </w:r>
            <w:proofErr w:type="spellEnd"/>
            <w:r w:rsidRPr="00515D00">
              <w:rPr>
                <w:color w:val="000000"/>
                <w:sz w:val="16"/>
                <w:szCs w:val="16"/>
              </w:rPr>
              <w:t xml:space="preserve">, Madagascar, Malawi, Mauricio, Mozambique, Namibia, </w:t>
            </w:r>
            <w:proofErr w:type="spellStart"/>
            <w:r w:rsidRPr="00515D00">
              <w:rPr>
                <w:color w:val="000000"/>
                <w:sz w:val="16"/>
                <w:szCs w:val="16"/>
              </w:rPr>
              <w:t>Rwanda</w:t>
            </w:r>
            <w:proofErr w:type="spellEnd"/>
            <w:r w:rsidRPr="00515D00">
              <w:rPr>
                <w:color w:val="000000"/>
                <w:sz w:val="16"/>
                <w:szCs w:val="16"/>
              </w:rPr>
              <w:t xml:space="preserve">, Seychelles, </w:t>
            </w:r>
            <w:proofErr w:type="spellStart"/>
            <w:r w:rsidRPr="00515D00">
              <w:rPr>
                <w:color w:val="000000"/>
                <w:sz w:val="16"/>
                <w:szCs w:val="16"/>
              </w:rPr>
              <w:t>Swazilandia</w:t>
            </w:r>
            <w:proofErr w:type="spellEnd"/>
            <w:r w:rsidRPr="00515D00">
              <w:rPr>
                <w:color w:val="000000"/>
                <w:sz w:val="16"/>
                <w:szCs w:val="16"/>
              </w:rPr>
              <w:t xml:space="preserve">, Uganda, República Unida de </w:t>
            </w:r>
            <w:proofErr w:type="spellStart"/>
            <w:r w:rsidRPr="00515D00">
              <w:rPr>
                <w:color w:val="000000"/>
                <w:sz w:val="16"/>
                <w:szCs w:val="16"/>
              </w:rPr>
              <w:t>Tanzanía</w:t>
            </w:r>
            <w:proofErr w:type="spellEnd"/>
            <w:r w:rsidRPr="00515D00">
              <w:rPr>
                <w:color w:val="000000"/>
                <w:sz w:val="16"/>
                <w:szCs w:val="16"/>
              </w:rPr>
              <w:t xml:space="preserve">, Zambia, </w:t>
            </w:r>
            <w:proofErr w:type="spellStart"/>
            <w:r w:rsidRPr="00515D00">
              <w:rPr>
                <w:color w:val="000000"/>
                <w:sz w:val="16"/>
                <w:szCs w:val="16"/>
              </w:rPr>
              <w:t>Zimbabwe</w:t>
            </w:r>
            <w:proofErr w:type="spellEnd"/>
            <w:r w:rsidRPr="00515D00">
              <w:rPr>
                <w:color w:val="000000"/>
                <w:sz w:val="16"/>
                <w:szCs w:val="16"/>
              </w:rPr>
              <w:t>, la ARIPO y la OAPI.</w:t>
            </w:r>
          </w:p>
        </w:tc>
        <w:tc>
          <w:tcPr>
            <w:tcW w:w="4819" w:type="dxa"/>
            <w:tcBorders>
              <w:top w:val="nil"/>
              <w:bottom w:val="single" w:sz="4" w:space="0" w:color="auto"/>
            </w:tcBorders>
          </w:tcPr>
          <w:p w:rsidR="003E311F" w:rsidRPr="00515D00" w:rsidRDefault="003E311F" w:rsidP="007A358B">
            <w:pPr>
              <w:autoSpaceDE w:val="0"/>
              <w:autoSpaceDN w:val="0"/>
              <w:adjustRightInd w:val="0"/>
              <w:spacing w:before="60" w:after="60"/>
              <w:rPr>
                <w:sz w:val="16"/>
                <w:szCs w:val="16"/>
              </w:rPr>
            </w:pPr>
            <w:r w:rsidRPr="00515D00">
              <w:rPr>
                <w:sz w:val="16"/>
                <w:szCs w:val="16"/>
              </w:rPr>
              <w:t>i) Presentar a los participantes las normas técnicas de la OMPI sobre datos de P.I. y prácticas óptimas;  ii) presentar el sistema IPAS y sus funciones automáticas de validación y verificación de datos;  iii) presentar las funciones y herramientas del sistema para la supervisión, la producción y la gobernanza del proceso;  y iv) mostrar a los participantes el modo de generar informes de control de calidad de datos para realizar verificaciones y controles aleatorios.</w:t>
            </w:r>
          </w:p>
        </w:tc>
      </w:tr>
    </w:tbl>
    <w:p w:rsidR="003E311F" w:rsidRPr="007329AC" w:rsidRDefault="003E311F" w:rsidP="003E311F">
      <w:pPr>
        <w:rPr>
          <w:b/>
          <w:sz w:val="20"/>
        </w:rPr>
      </w:pPr>
    </w:p>
    <w:p w:rsidR="003E311F" w:rsidRPr="007329AC" w:rsidRDefault="003E311F" w:rsidP="003E311F">
      <w:pPr>
        <w:rPr>
          <w:b/>
          <w:sz w:val="20"/>
        </w:rPr>
      </w:pPr>
    </w:p>
    <w:p w:rsidR="003E311F" w:rsidRPr="007329AC" w:rsidRDefault="003E311F" w:rsidP="003E311F">
      <w:pPr>
        <w:rPr>
          <w:b/>
          <w:bCs/>
          <w:color w:val="000000"/>
          <w:sz w:val="20"/>
        </w:rPr>
      </w:pPr>
      <w:r w:rsidRPr="007329AC">
        <w:rPr>
          <w:b/>
          <w:bCs/>
          <w:sz w:val="20"/>
        </w:rPr>
        <w:t>JAPÓN – P.I. / ÁFRICA–PMA – Contribuciones de donantes y gastos en</w:t>
      </w:r>
      <w:r w:rsidRPr="007329AC">
        <w:rPr>
          <w:b/>
          <w:bCs/>
          <w:color w:val="000000"/>
          <w:sz w:val="20"/>
        </w:rPr>
        <w:t xml:space="preserve"> 2015</w:t>
      </w:r>
    </w:p>
    <w:p w:rsidR="003E311F" w:rsidRPr="007329AC" w:rsidRDefault="003E311F" w:rsidP="003E311F">
      <w:pPr>
        <w:rPr>
          <w:sz w:val="20"/>
        </w:rPr>
      </w:pPr>
    </w:p>
    <w:tbl>
      <w:tblPr>
        <w:tblW w:w="9792" w:type="dxa"/>
        <w:tblInd w:w="98" w:type="dxa"/>
        <w:tblLook w:val="04A0" w:firstRow="1" w:lastRow="0" w:firstColumn="1" w:lastColumn="0" w:noHBand="0" w:noVBand="1"/>
      </w:tblPr>
      <w:tblGrid>
        <w:gridCol w:w="2040"/>
        <w:gridCol w:w="1640"/>
        <w:gridCol w:w="1860"/>
        <w:gridCol w:w="1780"/>
        <w:gridCol w:w="2472"/>
      </w:tblGrid>
      <w:tr w:rsidR="003E311F" w:rsidRPr="00515D00" w:rsidTr="007A358B">
        <w:trPr>
          <w:trHeight w:val="450"/>
        </w:trPr>
        <w:tc>
          <w:tcPr>
            <w:tcW w:w="2040" w:type="dxa"/>
            <w:tcBorders>
              <w:top w:val="single" w:sz="8" w:space="0" w:color="auto"/>
              <w:left w:val="single" w:sz="8" w:space="0" w:color="auto"/>
              <w:bottom w:val="nil"/>
              <w:right w:val="single" w:sz="8" w:space="0" w:color="auto"/>
            </w:tcBorders>
            <w:shd w:val="clear" w:color="000000" w:fill="C5D9F1"/>
            <w:vAlign w:val="center"/>
            <w:hideMark/>
          </w:tcPr>
          <w:p w:rsidR="003E311F" w:rsidRPr="00515D00" w:rsidRDefault="005C708A" w:rsidP="007A358B">
            <w:pPr>
              <w:jc w:val="center"/>
              <w:rPr>
                <w:b/>
                <w:bCs/>
                <w:color w:val="000000"/>
                <w:sz w:val="16"/>
                <w:szCs w:val="16"/>
              </w:rPr>
            </w:pPr>
            <w:r>
              <w:rPr>
                <w:b/>
                <w:bCs/>
                <w:sz w:val="16"/>
                <w:szCs w:val="16"/>
              </w:rPr>
              <w:t>Saldo el</w:t>
            </w:r>
            <w:r w:rsidR="003E311F" w:rsidRPr="00515D00">
              <w:rPr>
                <w:b/>
                <w:bCs/>
                <w:sz w:val="16"/>
                <w:szCs w:val="16"/>
              </w:rPr>
              <w:t xml:space="preserve"> 31 de diciembre de </w:t>
            </w:r>
            <w:r w:rsidR="003E311F" w:rsidRPr="00515D00">
              <w:rPr>
                <w:b/>
                <w:bCs/>
                <w:color w:val="000000"/>
                <w:sz w:val="16"/>
                <w:szCs w:val="16"/>
              </w:rPr>
              <w:t>2014</w:t>
            </w:r>
          </w:p>
        </w:tc>
        <w:tc>
          <w:tcPr>
            <w:tcW w:w="1640" w:type="dxa"/>
            <w:tcBorders>
              <w:top w:val="single" w:sz="8" w:space="0" w:color="auto"/>
              <w:left w:val="nil"/>
              <w:bottom w:val="nil"/>
              <w:right w:val="single" w:sz="8" w:space="0" w:color="auto"/>
            </w:tcBorders>
            <w:shd w:val="clear" w:color="000000" w:fill="C5D9F1"/>
            <w:vAlign w:val="center"/>
            <w:hideMark/>
          </w:tcPr>
          <w:p w:rsidR="003E311F" w:rsidRPr="00515D00" w:rsidRDefault="003E311F" w:rsidP="007A358B">
            <w:pPr>
              <w:jc w:val="center"/>
              <w:rPr>
                <w:b/>
                <w:bCs/>
                <w:color w:val="000000"/>
                <w:sz w:val="16"/>
                <w:szCs w:val="16"/>
              </w:rPr>
            </w:pPr>
            <w:r w:rsidRPr="00515D00">
              <w:rPr>
                <w:b/>
                <w:bCs/>
                <w:sz w:val="16"/>
                <w:szCs w:val="16"/>
              </w:rPr>
              <w:t xml:space="preserve">Ingresos en </w:t>
            </w:r>
            <w:r w:rsidRPr="00515D00">
              <w:rPr>
                <w:b/>
                <w:bCs/>
                <w:color w:val="000000"/>
                <w:sz w:val="16"/>
                <w:szCs w:val="16"/>
              </w:rPr>
              <w:t>2015</w:t>
            </w:r>
          </w:p>
        </w:tc>
        <w:tc>
          <w:tcPr>
            <w:tcW w:w="1860" w:type="dxa"/>
            <w:tcBorders>
              <w:top w:val="single" w:sz="8" w:space="0" w:color="auto"/>
              <w:left w:val="nil"/>
              <w:bottom w:val="nil"/>
              <w:right w:val="single" w:sz="8" w:space="0" w:color="auto"/>
            </w:tcBorders>
            <w:shd w:val="clear" w:color="000000" w:fill="C5D9F1"/>
            <w:vAlign w:val="center"/>
            <w:hideMark/>
          </w:tcPr>
          <w:p w:rsidR="003E311F" w:rsidRPr="00515D00" w:rsidRDefault="003E311F" w:rsidP="007A358B">
            <w:pPr>
              <w:jc w:val="center"/>
              <w:rPr>
                <w:b/>
                <w:bCs/>
                <w:color w:val="000000"/>
                <w:sz w:val="16"/>
                <w:szCs w:val="16"/>
              </w:rPr>
            </w:pPr>
            <w:r w:rsidRPr="00515D00">
              <w:rPr>
                <w:b/>
                <w:bCs/>
                <w:sz w:val="16"/>
                <w:szCs w:val="16"/>
              </w:rPr>
              <w:t xml:space="preserve">Gastos en </w:t>
            </w:r>
            <w:r w:rsidRPr="00515D00">
              <w:rPr>
                <w:b/>
                <w:bCs/>
                <w:color w:val="000000"/>
                <w:sz w:val="16"/>
                <w:szCs w:val="16"/>
              </w:rPr>
              <w:t>2015</w:t>
            </w:r>
          </w:p>
        </w:tc>
        <w:tc>
          <w:tcPr>
            <w:tcW w:w="1780" w:type="dxa"/>
            <w:tcBorders>
              <w:top w:val="single" w:sz="8" w:space="0" w:color="auto"/>
              <w:left w:val="nil"/>
              <w:bottom w:val="nil"/>
              <w:right w:val="single" w:sz="8" w:space="0" w:color="auto"/>
            </w:tcBorders>
            <w:shd w:val="clear" w:color="000000" w:fill="C5D9F1"/>
            <w:vAlign w:val="center"/>
            <w:hideMark/>
          </w:tcPr>
          <w:p w:rsidR="003E311F" w:rsidRPr="00515D00" w:rsidRDefault="003E311F" w:rsidP="007A358B">
            <w:pPr>
              <w:jc w:val="center"/>
              <w:rPr>
                <w:b/>
                <w:bCs/>
                <w:color w:val="000000"/>
                <w:sz w:val="16"/>
                <w:szCs w:val="16"/>
              </w:rPr>
            </w:pPr>
            <w:r w:rsidRPr="00515D00">
              <w:rPr>
                <w:b/>
                <w:bCs/>
                <w:sz w:val="16"/>
                <w:szCs w:val="16"/>
              </w:rPr>
              <w:t>Reembolsos</w:t>
            </w:r>
          </w:p>
        </w:tc>
        <w:tc>
          <w:tcPr>
            <w:tcW w:w="2472" w:type="dxa"/>
            <w:tcBorders>
              <w:top w:val="single" w:sz="8" w:space="0" w:color="auto"/>
              <w:left w:val="nil"/>
              <w:bottom w:val="nil"/>
              <w:right w:val="single" w:sz="8" w:space="0" w:color="auto"/>
            </w:tcBorders>
            <w:shd w:val="clear" w:color="000000" w:fill="C5D9F1"/>
            <w:vAlign w:val="center"/>
            <w:hideMark/>
          </w:tcPr>
          <w:p w:rsidR="003E311F" w:rsidRPr="00515D00" w:rsidRDefault="005C708A" w:rsidP="007A358B">
            <w:pPr>
              <w:jc w:val="center"/>
              <w:rPr>
                <w:b/>
                <w:bCs/>
                <w:color w:val="000000"/>
                <w:sz w:val="16"/>
                <w:szCs w:val="16"/>
              </w:rPr>
            </w:pPr>
            <w:r>
              <w:rPr>
                <w:b/>
                <w:bCs/>
                <w:sz w:val="16"/>
                <w:szCs w:val="16"/>
              </w:rPr>
              <w:t>Saldo el</w:t>
            </w:r>
            <w:r w:rsidR="003E311F" w:rsidRPr="00515D00">
              <w:rPr>
                <w:b/>
                <w:bCs/>
                <w:sz w:val="16"/>
                <w:szCs w:val="16"/>
              </w:rPr>
              <w:t xml:space="preserve"> 31 de diciembre de </w:t>
            </w:r>
            <w:r w:rsidR="003E311F" w:rsidRPr="00515D00">
              <w:rPr>
                <w:b/>
                <w:bCs/>
                <w:color w:val="000000"/>
                <w:sz w:val="16"/>
                <w:szCs w:val="16"/>
              </w:rPr>
              <w:t>2015</w:t>
            </w:r>
          </w:p>
        </w:tc>
      </w:tr>
      <w:tr w:rsidR="003E311F" w:rsidRPr="00515D00" w:rsidTr="007A358B">
        <w:trPr>
          <w:trHeight w:val="255"/>
        </w:trPr>
        <w:tc>
          <w:tcPr>
            <w:tcW w:w="2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311F" w:rsidRPr="00515D00" w:rsidRDefault="003E311F" w:rsidP="007A358B">
            <w:pPr>
              <w:jc w:val="center"/>
              <w:rPr>
                <w:color w:val="000000"/>
                <w:sz w:val="16"/>
                <w:szCs w:val="16"/>
              </w:rPr>
            </w:pPr>
            <w:r w:rsidRPr="00515D00">
              <w:rPr>
                <w:color w:val="000000"/>
                <w:sz w:val="16"/>
                <w:szCs w:val="16"/>
              </w:rPr>
              <w:t>1.435.090</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3E311F" w:rsidRPr="00515D00" w:rsidRDefault="003E311F" w:rsidP="007A358B">
            <w:pPr>
              <w:jc w:val="center"/>
              <w:rPr>
                <w:color w:val="000000"/>
                <w:sz w:val="16"/>
                <w:szCs w:val="16"/>
              </w:rPr>
            </w:pPr>
            <w:r w:rsidRPr="00515D00">
              <w:rPr>
                <w:color w:val="000000"/>
                <w:sz w:val="16"/>
                <w:szCs w:val="16"/>
              </w:rPr>
              <w:t>1.602.617</w:t>
            </w:r>
          </w:p>
        </w:tc>
        <w:tc>
          <w:tcPr>
            <w:tcW w:w="1860" w:type="dxa"/>
            <w:tcBorders>
              <w:top w:val="single" w:sz="4" w:space="0" w:color="auto"/>
              <w:left w:val="nil"/>
              <w:bottom w:val="single" w:sz="4" w:space="0" w:color="auto"/>
              <w:right w:val="single" w:sz="4" w:space="0" w:color="auto"/>
            </w:tcBorders>
            <w:shd w:val="clear" w:color="auto" w:fill="auto"/>
            <w:vAlign w:val="center"/>
            <w:hideMark/>
          </w:tcPr>
          <w:p w:rsidR="003E311F" w:rsidRPr="00515D00" w:rsidRDefault="003E311F" w:rsidP="007A358B">
            <w:pPr>
              <w:jc w:val="center"/>
              <w:rPr>
                <w:color w:val="000000"/>
                <w:sz w:val="16"/>
                <w:szCs w:val="16"/>
              </w:rPr>
            </w:pPr>
            <w:r w:rsidRPr="00515D00">
              <w:rPr>
                <w:color w:val="000000"/>
                <w:sz w:val="16"/>
                <w:szCs w:val="16"/>
              </w:rPr>
              <w:t>1.386.067</w:t>
            </w:r>
          </w:p>
        </w:tc>
        <w:tc>
          <w:tcPr>
            <w:tcW w:w="1780" w:type="dxa"/>
            <w:tcBorders>
              <w:top w:val="single" w:sz="4" w:space="0" w:color="auto"/>
              <w:left w:val="nil"/>
              <w:bottom w:val="single" w:sz="4" w:space="0" w:color="auto"/>
              <w:right w:val="single" w:sz="4" w:space="0" w:color="auto"/>
            </w:tcBorders>
            <w:shd w:val="clear" w:color="auto" w:fill="auto"/>
            <w:noWrap/>
            <w:vAlign w:val="center"/>
            <w:hideMark/>
          </w:tcPr>
          <w:p w:rsidR="003E311F" w:rsidRPr="00515D00" w:rsidRDefault="003E311F" w:rsidP="007A358B">
            <w:pPr>
              <w:jc w:val="center"/>
              <w:rPr>
                <w:color w:val="000000"/>
                <w:sz w:val="16"/>
                <w:szCs w:val="16"/>
              </w:rPr>
            </w:pPr>
            <w:r w:rsidRPr="00515D00">
              <w:rPr>
                <w:color w:val="000000"/>
                <w:sz w:val="16"/>
                <w:szCs w:val="16"/>
              </w:rPr>
              <w:t>-</w:t>
            </w:r>
          </w:p>
        </w:tc>
        <w:tc>
          <w:tcPr>
            <w:tcW w:w="2472" w:type="dxa"/>
            <w:tcBorders>
              <w:top w:val="single" w:sz="4" w:space="0" w:color="auto"/>
              <w:left w:val="nil"/>
              <w:bottom w:val="single" w:sz="4" w:space="0" w:color="auto"/>
              <w:right w:val="single" w:sz="4" w:space="0" w:color="auto"/>
            </w:tcBorders>
            <w:shd w:val="clear" w:color="auto" w:fill="auto"/>
            <w:vAlign w:val="center"/>
            <w:hideMark/>
          </w:tcPr>
          <w:p w:rsidR="003E311F" w:rsidRPr="00515D00" w:rsidRDefault="003E311F" w:rsidP="007A358B">
            <w:pPr>
              <w:jc w:val="center"/>
              <w:rPr>
                <w:color w:val="000000"/>
                <w:sz w:val="16"/>
                <w:szCs w:val="16"/>
              </w:rPr>
            </w:pPr>
            <w:r w:rsidRPr="00515D00">
              <w:rPr>
                <w:color w:val="000000"/>
                <w:sz w:val="16"/>
                <w:szCs w:val="16"/>
              </w:rPr>
              <w:t>1.651.640</w:t>
            </w:r>
          </w:p>
        </w:tc>
      </w:tr>
    </w:tbl>
    <w:p w:rsidR="003E311F" w:rsidRPr="007329AC" w:rsidRDefault="003E311F" w:rsidP="003E311F">
      <w:pPr>
        <w:rPr>
          <w:b/>
          <w:sz w:val="20"/>
        </w:rPr>
      </w:pPr>
    </w:p>
    <w:p w:rsidR="003E311F" w:rsidRPr="007329AC" w:rsidRDefault="003E311F" w:rsidP="003E311F">
      <w:pPr>
        <w:rPr>
          <w:b/>
          <w:sz w:val="20"/>
        </w:rPr>
      </w:pPr>
    </w:p>
    <w:p w:rsidR="003E311F" w:rsidRPr="007329AC" w:rsidRDefault="003E311F" w:rsidP="003E311F">
      <w:pPr>
        <w:keepNext/>
        <w:keepLines/>
        <w:rPr>
          <w:b/>
          <w:sz w:val="20"/>
        </w:rPr>
      </w:pPr>
      <w:r w:rsidRPr="007329AC">
        <w:rPr>
          <w:b/>
          <w:sz w:val="20"/>
        </w:rPr>
        <w:lastRenderedPageBreak/>
        <w:t>REPÚBLICA DE COREA/ FOMENTAR EL RESPETO POR LA PROPIEDAD INTELECTUAL</w:t>
      </w:r>
    </w:p>
    <w:p w:rsidR="003E311F" w:rsidRPr="007329AC" w:rsidRDefault="003E311F" w:rsidP="003E311F">
      <w:pPr>
        <w:keepNext/>
        <w:keepLines/>
        <w:rPr>
          <w:b/>
          <w:sz w:val="20"/>
        </w:rPr>
      </w:pPr>
    </w:p>
    <w:tbl>
      <w:tblPr>
        <w:tblW w:w="9811" w:type="dxa"/>
        <w:tblInd w:w="7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73"/>
        <w:gridCol w:w="1134"/>
        <w:gridCol w:w="1843"/>
        <w:gridCol w:w="4961"/>
      </w:tblGrid>
      <w:tr w:rsidR="003E311F" w:rsidRPr="00092F2E" w:rsidTr="007A358B">
        <w:tc>
          <w:tcPr>
            <w:tcW w:w="9811" w:type="dxa"/>
            <w:gridSpan w:val="4"/>
            <w:tcBorders>
              <w:top w:val="single" w:sz="4" w:space="0" w:color="000000"/>
              <w:bottom w:val="single" w:sz="4" w:space="0" w:color="000000"/>
            </w:tcBorders>
            <w:shd w:val="clear" w:color="auto" w:fill="C6D9F1" w:themeFill="text2" w:themeFillTint="33"/>
            <w:vAlign w:val="center"/>
          </w:tcPr>
          <w:p w:rsidR="003E311F" w:rsidRPr="00515D00" w:rsidRDefault="003E311F" w:rsidP="007A358B">
            <w:pPr>
              <w:keepNext/>
              <w:keepLines/>
              <w:spacing w:before="120" w:after="60"/>
              <w:ind w:left="1701" w:hanging="1701"/>
              <w:rPr>
                <w:bCs/>
                <w:sz w:val="16"/>
                <w:szCs w:val="16"/>
              </w:rPr>
            </w:pPr>
            <w:r w:rsidRPr="00515D00">
              <w:rPr>
                <w:b/>
                <w:bCs/>
                <w:color w:val="000000"/>
                <w:sz w:val="16"/>
                <w:szCs w:val="16"/>
              </w:rPr>
              <w:t>RESULTADO:</w:t>
            </w:r>
            <w:r w:rsidRPr="00515D00">
              <w:rPr>
                <w:b/>
                <w:bCs/>
                <w:sz w:val="16"/>
                <w:szCs w:val="16"/>
              </w:rPr>
              <w:tab/>
            </w:r>
            <w:r w:rsidRPr="00515D00">
              <w:rPr>
                <w:bCs/>
                <w:sz w:val="16"/>
                <w:szCs w:val="16"/>
              </w:rPr>
              <w:t>III.2  Aumento de las capacidades en recursos humanos para hacer frente a la gran diversidad de exigencias que supone la utilización eficaz de la P.I. para fomentar el desarrollo en los países en desarrollo, PMA y países con economías en transición</w:t>
            </w:r>
          </w:p>
        </w:tc>
      </w:tr>
      <w:tr w:rsidR="003E311F" w:rsidRPr="00515D00" w:rsidTr="00872371">
        <w:trPr>
          <w:trHeight w:val="438"/>
        </w:trPr>
        <w:tc>
          <w:tcPr>
            <w:tcW w:w="1873" w:type="dxa"/>
            <w:tcBorders>
              <w:top w:val="single" w:sz="4" w:space="0" w:color="000000"/>
              <w:bottom w:val="nil"/>
            </w:tcBorders>
            <w:vAlign w:val="center"/>
          </w:tcPr>
          <w:p w:rsidR="003E311F" w:rsidRPr="00515D00" w:rsidRDefault="003E311F" w:rsidP="007A358B">
            <w:pPr>
              <w:keepNext/>
              <w:keepLines/>
              <w:spacing w:before="60" w:after="60"/>
              <w:rPr>
                <w:b/>
                <w:bCs/>
                <w:sz w:val="16"/>
                <w:szCs w:val="16"/>
              </w:rPr>
            </w:pPr>
            <w:r w:rsidRPr="00515D00">
              <w:rPr>
                <w:b/>
                <w:bCs/>
                <w:sz w:val="16"/>
                <w:szCs w:val="16"/>
              </w:rPr>
              <w:t>Actividad</w:t>
            </w:r>
          </w:p>
        </w:tc>
        <w:tc>
          <w:tcPr>
            <w:tcW w:w="1134" w:type="dxa"/>
            <w:tcBorders>
              <w:top w:val="single" w:sz="4" w:space="0" w:color="000000"/>
              <w:bottom w:val="nil"/>
            </w:tcBorders>
            <w:shd w:val="clear" w:color="auto" w:fill="auto"/>
            <w:tcMar>
              <w:top w:w="110" w:type="dxa"/>
            </w:tcMar>
            <w:vAlign w:val="center"/>
          </w:tcPr>
          <w:p w:rsidR="003E311F" w:rsidRPr="00515D00" w:rsidRDefault="003E311F" w:rsidP="007A358B">
            <w:pPr>
              <w:keepNext/>
              <w:keepLines/>
              <w:spacing w:before="60" w:after="60"/>
              <w:rPr>
                <w:sz w:val="16"/>
                <w:szCs w:val="16"/>
              </w:rPr>
            </w:pPr>
            <w:r w:rsidRPr="00515D00">
              <w:rPr>
                <w:b/>
                <w:bCs/>
                <w:sz w:val="16"/>
                <w:szCs w:val="16"/>
              </w:rPr>
              <w:t>Fecha</w:t>
            </w:r>
          </w:p>
        </w:tc>
        <w:tc>
          <w:tcPr>
            <w:tcW w:w="1843" w:type="dxa"/>
            <w:tcBorders>
              <w:top w:val="single" w:sz="4" w:space="0" w:color="000000"/>
              <w:bottom w:val="nil"/>
            </w:tcBorders>
            <w:shd w:val="clear" w:color="auto" w:fill="auto"/>
            <w:tcMar>
              <w:top w:w="110" w:type="dxa"/>
            </w:tcMar>
            <w:vAlign w:val="center"/>
          </w:tcPr>
          <w:p w:rsidR="003E311F" w:rsidRPr="00515D00" w:rsidRDefault="003E311F" w:rsidP="007A358B">
            <w:pPr>
              <w:widowControl w:val="0"/>
              <w:rPr>
                <w:sz w:val="16"/>
                <w:szCs w:val="16"/>
              </w:rPr>
            </w:pPr>
            <w:r w:rsidRPr="00515D00">
              <w:rPr>
                <w:b/>
                <w:sz w:val="16"/>
                <w:szCs w:val="16"/>
              </w:rPr>
              <w:t>País anfitrión / Beneficiarios</w:t>
            </w:r>
          </w:p>
        </w:tc>
        <w:tc>
          <w:tcPr>
            <w:tcW w:w="4961" w:type="dxa"/>
            <w:tcBorders>
              <w:top w:val="single" w:sz="4" w:space="0" w:color="000000"/>
              <w:bottom w:val="nil"/>
            </w:tcBorders>
            <w:shd w:val="clear" w:color="auto" w:fill="FFFFFF"/>
            <w:tcMar>
              <w:top w:w="110" w:type="dxa"/>
            </w:tcMar>
            <w:vAlign w:val="center"/>
          </w:tcPr>
          <w:p w:rsidR="003E311F" w:rsidRPr="00515D00" w:rsidRDefault="003E311F" w:rsidP="007A358B">
            <w:pPr>
              <w:widowControl w:val="0"/>
              <w:rPr>
                <w:sz w:val="16"/>
                <w:szCs w:val="16"/>
              </w:rPr>
            </w:pPr>
            <w:r w:rsidRPr="00515D00">
              <w:rPr>
                <w:b/>
                <w:sz w:val="16"/>
                <w:szCs w:val="16"/>
              </w:rPr>
              <w:t>Propósito(s)/Descripción</w:t>
            </w:r>
          </w:p>
        </w:tc>
      </w:tr>
      <w:tr w:rsidR="003E311F" w:rsidRPr="00092F2E" w:rsidTr="00872371">
        <w:trPr>
          <w:trHeight w:val="420"/>
        </w:trPr>
        <w:tc>
          <w:tcPr>
            <w:tcW w:w="1873" w:type="dxa"/>
            <w:tcBorders>
              <w:top w:val="nil"/>
              <w:bottom w:val="nil"/>
            </w:tcBorders>
          </w:tcPr>
          <w:p w:rsidR="003E311F" w:rsidRPr="00515D00" w:rsidRDefault="003E311F" w:rsidP="007A358B">
            <w:pPr>
              <w:spacing w:before="60" w:after="60"/>
              <w:rPr>
                <w:bCs/>
                <w:sz w:val="16"/>
                <w:szCs w:val="16"/>
              </w:rPr>
            </w:pPr>
            <w:r w:rsidRPr="00515D00">
              <w:rPr>
                <w:rFonts w:eastAsia="Batang"/>
                <w:sz w:val="16"/>
                <w:szCs w:val="16"/>
                <w:lang w:eastAsia="ko-KR"/>
              </w:rPr>
              <w:t>Taller interregional sobre observancia del derecho de autor</w:t>
            </w:r>
          </w:p>
        </w:tc>
        <w:tc>
          <w:tcPr>
            <w:tcW w:w="1134" w:type="dxa"/>
            <w:tcBorders>
              <w:top w:val="nil"/>
              <w:bottom w:val="nil"/>
            </w:tcBorders>
            <w:shd w:val="clear" w:color="auto" w:fill="auto"/>
            <w:tcMar>
              <w:top w:w="110" w:type="dxa"/>
            </w:tcMar>
          </w:tcPr>
          <w:p w:rsidR="003E311F" w:rsidRPr="00515D00" w:rsidRDefault="003E311F" w:rsidP="007A358B">
            <w:pPr>
              <w:spacing w:before="60" w:after="60"/>
              <w:rPr>
                <w:bCs/>
                <w:sz w:val="16"/>
                <w:szCs w:val="16"/>
              </w:rPr>
            </w:pPr>
            <w:r w:rsidRPr="00515D00">
              <w:rPr>
                <w:bCs/>
                <w:sz w:val="16"/>
                <w:szCs w:val="16"/>
              </w:rPr>
              <w:t>14 a 18 de septiembre de 2015</w:t>
            </w:r>
          </w:p>
        </w:tc>
        <w:tc>
          <w:tcPr>
            <w:tcW w:w="1843" w:type="dxa"/>
            <w:tcBorders>
              <w:top w:val="nil"/>
              <w:bottom w:val="nil"/>
            </w:tcBorders>
            <w:shd w:val="clear" w:color="auto" w:fill="auto"/>
            <w:tcMar>
              <w:top w:w="110" w:type="dxa"/>
            </w:tcMar>
          </w:tcPr>
          <w:p w:rsidR="003E311F" w:rsidRPr="00515D00" w:rsidRDefault="003E311F" w:rsidP="007A358B">
            <w:pPr>
              <w:spacing w:before="60" w:after="60"/>
              <w:rPr>
                <w:bCs/>
                <w:sz w:val="16"/>
                <w:szCs w:val="16"/>
              </w:rPr>
            </w:pPr>
            <w:r w:rsidRPr="00515D00">
              <w:rPr>
                <w:bCs/>
                <w:sz w:val="16"/>
                <w:szCs w:val="16"/>
              </w:rPr>
              <w:t>República de Corea/ 20 participantes extranjeros de 10 países</w:t>
            </w:r>
          </w:p>
        </w:tc>
        <w:tc>
          <w:tcPr>
            <w:tcW w:w="4961" w:type="dxa"/>
            <w:tcBorders>
              <w:top w:val="nil"/>
              <w:bottom w:val="nil"/>
            </w:tcBorders>
            <w:shd w:val="clear" w:color="auto" w:fill="FFFFFF"/>
            <w:tcMar>
              <w:top w:w="110" w:type="dxa"/>
            </w:tcMar>
          </w:tcPr>
          <w:p w:rsidR="003E311F" w:rsidRPr="00515D00" w:rsidRDefault="003E311F" w:rsidP="007A358B">
            <w:pPr>
              <w:spacing w:before="60" w:after="60"/>
              <w:rPr>
                <w:bCs/>
                <w:sz w:val="16"/>
                <w:szCs w:val="16"/>
              </w:rPr>
            </w:pPr>
            <w:r w:rsidRPr="00515D00">
              <w:rPr>
                <w:sz w:val="16"/>
                <w:szCs w:val="16"/>
                <w:lang w:eastAsia="ko-KR"/>
              </w:rPr>
              <w:t xml:space="preserve">En el marco de la meta estratégica VI de la OMPI:  </w:t>
            </w:r>
            <w:r w:rsidRPr="00515D00">
              <w:rPr>
                <w:bCs/>
                <w:sz w:val="16"/>
                <w:szCs w:val="16"/>
              </w:rPr>
              <w:t xml:space="preserve">i) </w:t>
            </w:r>
            <w:r w:rsidRPr="00515D00">
              <w:rPr>
                <w:sz w:val="16"/>
                <w:szCs w:val="16"/>
                <w:lang w:eastAsia="ko-KR"/>
              </w:rPr>
              <w:t xml:space="preserve">examinar el valor de la protección y la observancia del derecho de autor y los derechos conexos para el desarrollo social, económico y cultural de los países participantes;  </w:t>
            </w:r>
            <w:r w:rsidRPr="00515D00">
              <w:rPr>
                <w:bCs/>
                <w:sz w:val="16"/>
                <w:szCs w:val="16"/>
              </w:rPr>
              <w:t xml:space="preserve">ii) </w:t>
            </w:r>
            <w:r w:rsidRPr="00515D00">
              <w:rPr>
                <w:sz w:val="16"/>
                <w:szCs w:val="16"/>
                <w:lang w:eastAsia="ko-KR"/>
              </w:rPr>
              <w:t xml:space="preserve">impartir formación básica sobre las vías de recurso y las medidas de observancia del derecho de autor y los derechos conexos, centrando la atención, en particular, en el entorno digital;  </w:t>
            </w:r>
            <w:r w:rsidRPr="00515D00">
              <w:rPr>
                <w:bCs/>
                <w:sz w:val="16"/>
                <w:szCs w:val="16"/>
              </w:rPr>
              <w:t xml:space="preserve">iii) </w:t>
            </w:r>
            <w:r w:rsidRPr="00515D00">
              <w:rPr>
                <w:sz w:val="16"/>
                <w:szCs w:val="16"/>
                <w:lang w:eastAsia="ko-KR"/>
              </w:rPr>
              <w:t>examinar diversas cuestiones relacionadas con el fomento del respeto por el derecho de autor y los derechos conexos;  y</w:t>
            </w:r>
            <w:r w:rsidRPr="00515D00">
              <w:rPr>
                <w:bCs/>
                <w:sz w:val="16"/>
                <w:szCs w:val="16"/>
              </w:rPr>
              <w:t xml:space="preserve"> iv) </w:t>
            </w:r>
            <w:r w:rsidRPr="00515D00">
              <w:rPr>
                <w:sz w:val="16"/>
                <w:szCs w:val="16"/>
                <w:lang w:eastAsia="ko-KR"/>
              </w:rPr>
              <w:t>elaborar estrategias nacionales y transnacionales de cooperación eficaz para fomentar el respeto por la propiedad intelectual</w:t>
            </w:r>
            <w:r w:rsidRPr="00515D00">
              <w:rPr>
                <w:bCs/>
                <w:sz w:val="16"/>
                <w:szCs w:val="16"/>
              </w:rPr>
              <w:t>.</w:t>
            </w:r>
          </w:p>
        </w:tc>
      </w:tr>
      <w:tr w:rsidR="003E311F" w:rsidRPr="00092F2E" w:rsidTr="00872371">
        <w:trPr>
          <w:trHeight w:val="340"/>
        </w:trPr>
        <w:tc>
          <w:tcPr>
            <w:tcW w:w="1873" w:type="dxa"/>
            <w:tcBorders>
              <w:top w:val="nil"/>
            </w:tcBorders>
          </w:tcPr>
          <w:p w:rsidR="003E311F" w:rsidRPr="00515D00" w:rsidRDefault="003E311F" w:rsidP="007A358B">
            <w:pPr>
              <w:spacing w:before="60" w:after="60"/>
              <w:rPr>
                <w:rFonts w:eastAsia="Batang"/>
                <w:sz w:val="16"/>
                <w:szCs w:val="16"/>
                <w:lang w:eastAsia="ko-KR"/>
              </w:rPr>
            </w:pPr>
            <w:r w:rsidRPr="00515D00">
              <w:rPr>
                <w:sz w:val="16"/>
                <w:szCs w:val="16"/>
                <w:lang w:eastAsia="ko-KR"/>
              </w:rPr>
              <w:t xml:space="preserve">Materiales didácticos sobre el respeto del derecho de autor elaborados por la OMPI y el </w:t>
            </w:r>
            <w:r w:rsidRPr="00515D00">
              <w:rPr>
                <w:rFonts w:eastAsia="Batang"/>
                <w:sz w:val="16"/>
                <w:szCs w:val="16"/>
                <w:lang w:eastAsia="ko-KR"/>
              </w:rPr>
              <w:t>Ministerio de Cultura, Deporte y Turismo</w:t>
            </w:r>
          </w:p>
        </w:tc>
        <w:tc>
          <w:tcPr>
            <w:tcW w:w="1134" w:type="dxa"/>
            <w:tcBorders>
              <w:top w:val="nil"/>
            </w:tcBorders>
            <w:shd w:val="clear" w:color="auto" w:fill="auto"/>
            <w:tcMar>
              <w:top w:w="110" w:type="dxa"/>
            </w:tcMar>
          </w:tcPr>
          <w:p w:rsidR="003E311F" w:rsidRPr="00515D00" w:rsidRDefault="003E311F" w:rsidP="007A358B">
            <w:pPr>
              <w:spacing w:before="60" w:after="60"/>
              <w:rPr>
                <w:bCs/>
                <w:sz w:val="16"/>
                <w:szCs w:val="16"/>
              </w:rPr>
            </w:pPr>
            <w:r w:rsidRPr="00515D00">
              <w:rPr>
                <w:bCs/>
                <w:sz w:val="16"/>
                <w:szCs w:val="16"/>
              </w:rPr>
              <w:t>Enero a octubre de 2015</w:t>
            </w:r>
          </w:p>
        </w:tc>
        <w:tc>
          <w:tcPr>
            <w:tcW w:w="1843" w:type="dxa"/>
            <w:tcBorders>
              <w:top w:val="nil"/>
            </w:tcBorders>
            <w:shd w:val="clear" w:color="auto" w:fill="auto"/>
            <w:tcMar>
              <w:top w:w="110" w:type="dxa"/>
            </w:tcMar>
          </w:tcPr>
          <w:p w:rsidR="003E311F" w:rsidRPr="00515D00" w:rsidRDefault="003E311F" w:rsidP="007A358B">
            <w:pPr>
              <w:spacing w:before="60" w:after="60"/>
              <w:rPr>
                <w:bCs/>
                <w:kern w:val="36"/>
                <w:sz w:val="16"/>
                <w:szCs w:val="16"/>
                <w:lang w:eastAsia="ko-KR"/>
              </w:rPr>
            </w:pPr>
            <w:r w:rsidRPr="00515D00">
              <w:rPr>
                <w:bCs/>
                <w:kern w:val="36"/>
                <w:sz w:val="16"/>
                <w:szCs w:val="16"/>
                <w:lang w:eastAsia="ko-KR"/>
              </w:rPr>
              <w:t>Todos los Estados miembros de la OMPI</w:t>
            </w:r>
          </w:p>
        </w:tc>
        <w:tc>
          <w:tcPr>
            <w:tcW w:w="4961" w:type="dxa"/>
            <w:tcBorders>
              <w:top w:val="nil"/>
            </w:tcBorders>
            <w:shd w:val="clear" w:color="auto" w:fill="FFFFFF"/>
            <w:tcMar>
              <w:top w:w="110" w:type="dxa"/>
            </w:tcMar>
          </w:tcPr>
          <w:p w:rsidR="003E311F" w:rsidRPr="00515D00" w:rsidRDefault="003E311F" w:rsidP="007A358B">
            <w:pPr>
              <w:spacing w:before="60" w:after="60"/>
              <w:rPr>
                <w:sz w:val="16"/>
                <w:szCs w:val="16"/>
                <w:lang w:eastAsia="ko-KR"/>
              </w:rPr>
            </w:pPr>
            <w:r w:rsidRPr="00515D00">
              <w:rPr>
                <w:sz w:val="16"/>
                <w:szCs w:val="16"/>
                <w:lang w:eastAsia="ko-KR"/>
              </w:rPr>
              <w:t xml:space="preserve">Elaboración de una herramienta de divulgación para ayudar a los docentes a </w:t>
            </w:r>
            <w:r>
              <w:rPr>
                <w:sz w:val="16"/>
                <w:szCs w:val="16"/>
                <w:lang w:eastAsia="ko-KR"/>
              </w:rPr>
              <w:t>educar</w:t>
            </w:r>
            <w:r w:rsidRPr="00515D00">
              <w:rPr>
                <w:sz w:val="16"/>
                <w:szCs w:val="16"/>
                <w:lang w:eastAsia="ko-KR"/>
              </w:rPr>
              <w:t xml:space="preserve"> a los niños </w:t>
            </w:r>
            <w:r>
              <w:rPr>
                <w:sz w:val="16"/>
                <w:szCs w:val="16"/>
                <w:lang w:eastAsia="ko-KR"/>
              </w:rPr>
              <w:t>acerca del</w:t>
            </w:r>
            <w:r w:rsidRPr="00515D00">
              <w:rPr>
                <w:sz w:val="16"/>
                <w:szCs w:val="16"/>
                <w:lang w:eastAsia="ko-KR"/>
              </w:rPr>
              <w:t xml:space="preserve"> derecho de autor, </w:t>
            </w:r>
            <w:r>
              <w:rPr>
                <w:sz w:val="16"/>
                <w:szCs w:val="16"/>
                <w:lang w:eastAsia="ko-KR"/>
              </w:rPr>
              <w:t>integrada por</w:t>
            </w:r>
            <w:r w:rsidRPr="00515D00">
              <w:rPr>
                <w:sz w:val="16"/>
                <w:szCs w:val="16"/>
                <w:lang w:eastAsia="ko-KR"/>
              </w:rPr>
              <w:t xml:space="preserve"> cinco guiones de clase </w:t>
            </w:r>
            <w:r>
              <w:rPr>
                <w:sz w:val="16"/>
                <w:szCs w:val="16"/>
                <w:lang w:eastAsia="ko-KR"/>
              </w:rPr>
              <w:t>para</w:t>
            </w:r>
            <w:r w:rsidRPr="00515D00">
              <w:rPr>
                <w:sz w:val="16"/>
                <w:szCs w:val="16"/>
                <w:lang w:eastAsia="ko-KR"/>
              </w:rPr>
              <w:t xml:space="preserve"> alumnos de edades comprendidas entre 10 y 15 años.</w:t>
            </w:r>
          </w:p>
        </w:tc>
      </w:tr>
    </w:tbl>
    <w:p w:rsidR="003E311F" w:rsidRPr="007329AC" w:rsidRDefault="003E311F" w:rsidP="003E311F">
      <w:pPr>
        <w:rPr>
          <w:sz w:val="20"/>
        </w:rPr>
      </w:pPr>
    </w:p>
    <w:p w:rsidR="003E311F" w:rsidRPr="007329AC" w:rsidRDefault="003E311F" w:rsidP="003E311F">
      <w:pPr>
        <w:rPr>
          <w:sz w:val="20"/>
        </w:rPr>
      </w:pPr>
    </w:p>
    <w:p w:rsidR="003E311F" w:rsidRPr="007329AC" w:rsidRDefault="003E311F" w:rsidP="003E311F">
      <w:pPr>
        <w:rPr>
          <w:b/>
          <w:bCs/>
          <w:color w:val="000000"/>
          <w:sz w:val="20"/>
        </w:rPr>
      </w:pPr>
      <w:r w:rsidRPr="007329AC">
        <w:rPr>
          <w:b/>
          <w:sz w:val="20"/>
        </w:rPr>
        <w:t xml:space="preserve">REPÚBLICA DE COREA / FOMENTAR EL RESPETO POR LA PROPIEDAD INTELECTUAL - Contribuciones de donantes y gastos en </w:t>
      </w:r>
      <w:r w:rsidRPr="007329AC">
        <w:rPr>
          <w:b/>
          <w:bCs/>
          <w:color w:val="000000"/>
          <w:sz w:val="20"/>
        </w:rPr>
        <w:t>2015</w:t>
      </w:r>
    </w:p>
    <w:p w:rsidR="003E311F" w:rsidRPr="007329AC" w:rsidRDefault="003E311F" w:rsidP="003E311F">
      <w:pPr>
        <w:rPr>
          <w:b/>
          <w:bCs/>
          <w:color w:val="000000"/>
          <w:sz w:val="20"/>
        </w:rPr>
      </w:pPr>
    </w:p>
    <w:tbl>
      <w:tblPr>
        <w:tblW w:w="9791" w:type="dxa"/>
        <w:tblInd w:w="98" w:type="dxa"/>
        <w:tblLook w:val="04A0" w:firstRow="1" w:lastRow="0" w:firstColumn="1" w:lastColumn="0" w:noHBand="0" w:noVBand="1"/>
      </w:tblPr>
      <w:tblGrid>
        <w:gridCol w:w="2040"/>
        <w:gridCol w:w="1640"/>
        <w:gridCol w:w="1860"/>
        <w:gridCol w:w="1780"/>
        <w:gridCol w:w="2471"/>
      </w:tblGrid>
      <w:tr w:rsidR="003E311F" w:rsidRPr="00515D00" w:rsidTr="007A358B">
        <w:trPr>
          <w:trHeight w:val="450"/>
        </w:trPr>
        <w:tc>
          <w:tcPr>
            <w:tcW w:w="2040" w:type="dxa"/>
            <w:tcBorders>
              <w:top w:val="single" w:sz="8" w:space="0" w:color="auto"/>
              <w:left w:val="single" w:sz="8" w:space="0" w:color="auto"/>
              <w:bottom w:val="nil"/>
              <w:right w:val="single" w:sz="8" w:space="0" w:color="auto"/>
            </w:tcBorders>
            <w:shd w:val="clear" w:color="auto" w:fill="C6D9F1" w:themeFill="text2" w:themeFillTint="33"/>
            <w:vAlign w:val="center"/>
            <w:hideMark/>
          </w:tcPr>
          <w:p w:rsidR="003E311F" w:rsidRPr="00515D00" w:rsidRDefault="005C708A" w:rsidP="007A358B">
            <w:pPr>
              <w:jc w:val="center"/>
              <w:rPr>
                <w:b/>
                <w:bCs/>
                <w:color w:val="000000"/>
                <w:sz w:val="16"/>
                <w:szCs w:val="16"/>
              </w:rPr>
            </w:pPr>
            <w:r>
              <w:rPr>
                <w:b/>
                <w:bCs/>
                <w:sz w:val="16"/>
                <w:szCs w:val="16"/>
              </w:rPr>
              <w:t>Saldo el</w:t>
            </w:r>
            <w:r w:rsidR="003E311F" w:rsidRPr="00515D00">
              <w:rPr>
                <w:b/>
                <w:bCs/>
                <w:sz w:val="16"/>
                <w:szCs w:val="16"/>
              </w:rPr>
              <w:t xml:space="preserve"> 31 de diciembre de </w:t>
            </w:r>
            <w:r w:rsidR="003E311F" w:rsidRPr="00515D00">
              <w:rPr>
                <w:b/>
                <w:bCs/>
                <w:color w:val="000000"/>
                <w:sz w:val="16"/>
                <w:szCs w:val="16"/>
              </w:rPr>
              <w:t>2014</w:t>
            </w:r>
          </w:p>
        </w:tc>
        <w:tc>
          <w:tcPr>
            <w:tcW w:w="1640" w:type="dxa"/>
            <w:tcBorders>
              <w:top w:val="single" w:sz="8" w:space="0" w:color="auto"/>
              <w:left w:val="nil"/>
              <w:bottom w:val="nil"/>
              <w:right w:val="single" w:sz="8" w:space="0" w:color="auto"/>
            </w:tcBorders>
            <w:shd w:val="clear" w:color="auto" w:fill="C6D9F1" w:themeFill="text2" w:themeFillTint="33"/>
            <w:vAlign w:val="center"/>
            <w:hideMark/>
          </w:tcPr>
          <w:p w:rsidR="003E311F" w:rsidRPr="00515D00" w:rsidRDefault="003E311F" w:rsidP="007A358B">
            <w:pPr>
              <w:jc w:val="center"/>
              <w:rPr>
                <w:b/>
                <w:bCs/>
                <w:color w:val="000000"/>
                <w:sz w:val="16"/>
                <w:szCs w:val="16"/>
              </w:rPr>
            </w:pPr>
            <w:r w:rsidRPr="00515D00">
              <w:rPr>
                <w:b/>
                <w:bCs/>
                <w:sz w:val="16"/>
                <w:szCs w:val="16"/>
              </w:rPr>
              <w:t xml:space="preserve">Ingresos en </w:t>
            </w:r>
            <w:r w:rsidRPr="00515D00">
              <w:rPr>
                <w:b/>
                <w:bCs/>
                <w:color w:val="000000"/>
                <w:sz w:val="16"/>
                <w:szCs w:val="16"/>
              </w:rPr>
              <w:t>2015</w:t>
            </w:r>
          </w:p>
        </w:tc>
        <w:tc>
          <w:tcPr>
            <w:tcW w:w="1860" w:type="dxa"/>
            <w:tcBorders>
              <w:top w:val="single" w:sz="8" w:space="0" w:color="auto"/>
              <w:left w:val="nil"/>
              <w:bottom w:val="nil"/>
              <w:right w:val="single" w:sz="8" w:space="0" w:color="auto"/>
            </w:tcBorders>
            <w:shd w:val="clear" w:color="auto" w:fill="C6D9F1" w:themeFill="text2" w:themeFillTint="33"/>
            <w:vAlign w:val="center"/>
            <w:hideMark/>
          </w:tcPr>
          <w:p w:rsidR="003E311F" w:rsidRPr="00515D00" w:rsidRDefault="003E311F" w:rsidP="007A358B">
            <w:pPr>
              <w:jc w:val="center"/>
              <w:rPr>
                <w:b/>
                <w:bCs/>
                <w:color w:val="000000"/>
                <w:sz w:val="16"/>
                <w:szCs w:val="16"/>
              </w:rPr>
            </w:pPr>
            <w:r w:rsidRPr="00515D00">
              <w:rPr>
                <w:b/>
                <w:bCs/>
                <w:sz w:val="16"/>
                <w:szCs w:val="16"/>
              </w:rPr>
              <w:t xml:space="preserve">Gastos en </w:t>
            </w:r>
            <w:r w:rsidRPr="00515D00">
              <w:rPr>
                <w:b/>
                <w:bCs/>
                <w:color w:val="000000"/>
                <w:sz w:val="16"/>
                <w:szCs w:val="16"/>
              </w:rPr>
              <w:t>2015</w:t>
            </w:r>
          </w:p>
        </w:tc>
        <w:tc>
          <w:tcPr>
            <w:tcW w:w="1780" w:type="dxa"/>
            <w:tcBorders>
              <w:top w:val="single" w:sz="8" w:space="0" w:color="auto"/>
              <w:left w:val="nil"/>
              <w:bottom w:val="nil"/>
              <w:right w:val="single" w:sz="8" w:space="0" w:color="auto"/>
            </w:tcBorders>
            <w:shd w:val="clear" w:color="auto" w:fill="C6D9F1" w:themeFill="text2" w:themeFillTint="33"/>
            <w:vAlign w:val="center"/>
            <w:hideMark/>
          </w:tcPr>
          <w:p w:rsidR="003E311F" w:rsidRPr="00515D00" w:rsidRDefault="003E311F" w:rsidP="007A358B">
            <w:pPr>
              <w:jc w:val="center"/>
              <w:rPr>
                <w:b/>
                <w:bCs/>
                <w:color w:val="000000"/>
                <w:sz w:val="16"/>
                <w:szCs w:val="16"/>
              </w:rPr>
            </w:pPr>
            <w:r w:rsidRPr="00515D00">
              <w:rPr>
                <w:b/>
                <w:bCs/>
                <w:sz w:val="16"/>
                <w:szCs w:val="16"/>
              </w:rPr>
              <w:t>Reembolsos</w:t>
            </w:r>
          </w:p>
        </w:tc>
        <w:tc>
          <w:tcPr>
            <w:tcW w:w="2471" w:type="dxa"/>
            <w:tcBorders>
              <w:top w:val="single" w:sz="8" w:space="0" w:color="auto"/>
              <w:left w:val="nil"/>
              <w:bottom w:val="nil"/>
              <w:right w:val="single" w:sz="8" w:space="0" w:color="auto"/>
            </w:tcBorders>
            <w:shd w:val="clear" w:color="auto" w:fill="C6D9F1" w:themeFill="text2" w:themeFillTint="33"/>
            <w:vAlign w:val="center"/>
            <w:hideMark/>
          </w:tcPr>
          <w:p w:rsidR="003E311F" w:rsidRPr="00515D00" w:rsidRDefault="005C708A" w:rsidP="007A358B">
            <w:pPr>
              <w:jc w:val="center"/>
              <w:rPr>
                <w:b/>
                <w:bCs/>
                <w:color w:val="000000"/>
                <w:sz w:val="16"/>
                <w:szCs w:val="16"/>
              </w:rPr>
            </w:pPr>
            <w:r>
              <w:rPr>
                <w:b/>
                <w:bCs/>
                <w:sz w:val="16"/>
                <w:szCs w:val="16"/>
              </w:rPr>
              <w:t>Saldo el</w:t>
            </w:r>
            <w:r w:rsidR="003E311F" w:rsidRPr="00515D00">
              <w:rPr>
                <w:b/>
                <w:bCs/>
                <w:sz w:val="16"/>
                <w:szCs w:val="16"/>
              </w:rPr>
              <w:t xml:space="preserve"> 31 de diciembre de </w:t>
            </w:r>
            <w:r w:rsidR="003E311F" w:rsidRPr="00515D00">
              <w:rPr>
                <w:b/>
                <w:bCs/>
                <w:color w:val="000000"/>
                <w:sz w:val="16"/>
                <w:szCs w:val="16"/>
              </w:rPr>
              <w:t>2015</w:t>
            </w:r>
          </w:p>
        </w:tc>
      </w:tr>
      <w:tr w:rsidR="003E311F" w:rsidRPr="00515D00" w:rsidTr="007A358B">
        <w:trPr>
          <w:trHeight w:val="255"/>
        </w:trPr>
        <w:tc>
          <w:tcPr>
            <w:tcW w:w="2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311F" w:rsidRPr="00515D00" w:rsidRDefault="003E311F" w:rsidP="007A358B">
            <w:pPr>
              <w:jc w:val="center"/>
              <w:rPr>
                <w:color w:val="000000"/>
                <w:sz w:val="16"/>
                <w:szCs w:val="16"/>
              </w:rPr>
            </w:pPr>
            <w:r w:rsidRPr="00515D00">
              <w:rPr>
                <w:color w:val="000000"/>
                <w:sz w:val="16"/>
                <w:szCs w:val="16"/>
              </w:rPr>
              <w:t>42.310</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3E311F" w:rsidRPr="00515D00" w:rsidRDefault="003E311F" w:rsidP="007A358B">
            <w:pPr>
              <w:jc w:val="center"/>
              <w:rPr>
                <w:color w:val="000000"/>
                <w:sz w:val="16"/>
                <w:szCs w:val="16"/>
              </w:rPr>
            </w:pPr>
            <w:r w:rsidRPr="00515D00">
              <w:rPr>
                <w:color w:val="000000"/>
                <w:sz w:val="16"/>
                <w:szCs w:val="16"/>
              </w:rPr>
              <w:t>122.960</w:t>
            </w:r>
          </w:p>
        </w:tc>
        <w:tc>
          <w:tcPr>
            <w:tcW w:w="1860" w:type="dxa"/>
            <w:tcBorders>
              <w:top w:val="single" w:sz="4" w:space="0" w:color="auto"/>
              <w:left w:val="nil"/>
              <w:bottom w:val="single" w:sz="4" w:space="0" w:color="auto"/>
              <w:right w:val="single" w:sz="4" w:space="0" w:color="auto"/>
            </w:tcBorders>
            <w:shd w:val="clear" w:color="auto" w:fill="auto"/>
            <w:vAlign w:val="center"/>
            <w:hideMark/>
          </w:tcPr>
          <w:p w:rsidR="003E311F" w:rsidRPr="00515D00" w:rsidRDefault="003E311F" w:rsidP="007A358B">
            <w:pPr>
              <w:jc w:val="center"/>
              <w:rPr>
                <w:color w:val="000000"/>
                <w:sz w:val="16"/>
                <w:szCs w:val="16"/>
              </w:rPr>
            </w:pPr>
            <w:r w:rsidRPr="00515D00">
              <w:rPr>
                <w:color w:val="000000"/>
                <w:sz w:val="16"/>
                <w:szCs w:val="16"/>
              </w:rPr>
              <w:t>114.795</w:t>
            </w:r>
          </w:p>
        </w:tc>
        <w:tc>
          <w:tcPr>
            <w:tcW w:w="1780" w:type="dxa"/>
            <w:tcBorders>
              <w:top w:val="single" w:sz="4" w:space="0" w:color="auto"/>
              <w:left w:val="nil"/>
              <w:bottom w:val="single" w:sz="4" w:space="0" w:color="auto"/>
              <w:right w:val="single" w:sz="4" w:space="0" w:color="auto"/>
            </w:tcBorders>
            <w:shd w:val="clear" w:color="auto" w:fill="auto"/>
            <w:noWrap/>
            <w:vAlign w:val="center"/>
            <w:hideMark/>
          </w:tcPr>
          <w:p w:rsidR="003E311F" w:rsidRPr="00515D00" w:rsidRDefault="003E311F" w:rsidP="007A358B">
            <w:pPr>
              <w:jc w:val="center"/>
              <w:rPr>
                <w:color w:val="000000"/>
                <w:sz w:val="16"/>
                <w:szCs w:val="16"/>
              </w:rPr>
            </w:pPr>
            <w:r w:rsidRPr="00515D00">
              <w:rPr>
                <w:color w:val="000000"/>
                <w:sz w:val="16"/>
                <w:szCs w:val="16"/>
              </w:rPr>
              <w:t>-</w:t>
            </w:r>
          </w:p>
        </w:tc>
        <w:tc>
          <w:tcPr>
            <w:tcW w:w="2471" w:type="dxa"/>
            <w:tcBorders>
              <w:top w:val="single" w:sz="4" w:space="0" w:color="auto"/>
              <w:left w:val="nil"/>
              <w:bottom w:val="single" w:sz="4" w:space="0" w:color="auto"/>
              <w:right w:val="single" w:sz="4" w:space="0" w:color="auto"/>
            </w:tcBorders>
            <w:shd w:val="clear" w:color="auto" w:fill="auto"/>
            <w:vAlign w:val="center"/>
            <w:hideMark/>
          </w:tcPr>
          <w:p w:rsidR="003E311F" w:rsidRPr="00515D00" w:rsidRDefault="003E311F" w:rsidP="007A358B">
            <w:pPr>
              <w:jc w:val="center"/>
              <w:rPr>
                <w:color w:val="000000"/>
                <w:sz w:val="16"/>
                <w:szCs w:val="16"/>
              </w:rPr>
            </w:pPr>
            <w:r w:rsidRPr="00515D00">
              <w:rPr>
                <w:color w:val="000000"/>
                <w:sz w:val="16"/>
                <w:szCs w:val="16"/>
              </w:rPr>
              <w:t>50.475</w:t>
            </w:r>
          </w:p>
        </w:tc>
      </w:tr>
    </w:tbl>
    <w:p w:rsidR="003E311F" w:rsidRPr="007329AC" w:rsidRDefault="003E311F" w:rsidP="003E311F">
      <w:pPr>
        <w:keepNext/>
        <w:keepLines/>
        <w:rPr>
          <w:b/>
          <w:sz w:val="20"/>
        </w:rPr>
      </w:pPr>
    </w:p>
    <w:p w:rsidR="003E311F" w:rsidRPr="007329AC" w:rsidRDefault="003E311F" w:rsidP="003E311F">
      <w:pPr>
        <w:rPr>
          <w:sz w:val="20"/>
        </w:rPr>
      </w:pPr>
    </w:p>
    <w:p w:rsidR="003E311F" w:rsidRPr="007329AC" w:rsidRDefault="003E311F" w:rsidP="003E311F">
      <w:pPr>
        <w:widowControl w:val="0"/>
        <w:rPr>
          <w:b/>
          <w:sz w:val="20"/>
        </w:rPr>
      </w:pPr>
      <w:r w:rsidRPr="007329AC">
        <w:rPr>
          <w:b/>
          <w:sz w:val="20"/>
        </w:rPr>
        <w:t>REPÚBLICA DE COREA – DERECHO DE AUTOR</w:t>
      </w:r>
    </w:p>
    <w:p w:rsidR="003E311F" w:rsidRPr="007329AC" w:rsidRDefault="003E311F" w:rsidP="003E311F">
      <w:pPr>
        <w:keepNext/>
        <w:keepLines/>
        <w:rPr>
          <w:b/>
          <w:sz w:val="20"/>
        </w:rPr>
      </w:pPr>
    </w:p>
    <w:tbl>
      <w:tblPr>
        <w:tblW w:w="9811" w:type="dxa"/>
        <w:tblInd w:w="7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73"/>
        <w:gridCol w:w="1134"/>
        <w:gridCol w:w="1985"/>
        <w:gridCol w:w="4819"/>
      </w:tblGrid>
      <w:tr w:rsidR="003E311F" w:rsidRPr="00092F2E" w:rsidTr="007A358B">
        <w:trPr>
          <w:trHeight w:val="755"/>
        </w:trPr>
        <w:tc>
          <w:tcPr>
            <w:tcW w:w="9811" w:type="dxa"/>
            <w:gridSpan w:val="4"/>
            <w:tcBorders>
              <w:top w:val="single" w:sz="4" w:space="0" w:color="000000"/>
              <w:bottom w:val="single" w:sz="4" w:space="0" w:color="000000"/>
            </w:tcBorders>
            <w:shd w:val="clear" w:color="auto" w:fill="C6D9F1" w:themeFill="text2" w:themeFillTint="33"/>
            <w:vAlign w:val="center"/>
          </w:tcPr>
          <w:p w:rsidR="003E311F" w:rsidRPr="00515D00" w:rsidRDefault="003E311F" w:rsidP="007A358B">
            <w:pPr>
              <w:keepNext/>
              <w:keepLines/>
              <w:spacing w:before="120" w:after="60"/>
              <w:ind w:left="1701" w:hanging="1701"/>
              <w:rPr>
                <w:bCs/>
                <w:sz w:val="16"/>
                <w:szCs w:val="16"/>
              </w:rPr>
            </w:pPr>
            <w:r w:rsidRPr="00515D00">
              <w:rPr>
                <w:b/>
                <w:bCs/>
                <w:color w:val="000000"/>
                <w:sz w:val="16"/>
                <w:szCs w:val="16"/>
              </w:rPr>
              <w:t>RESULTADO:</w:t>
            </w:r>
            <w:r w:rsidRPr="00515D00">
              <w:rPr>
                <w:b/>
                <w:bCs/>
                <w:sz w:val="16"/>
                <w:szCs w:val="16"/>
              </w:rPr>
              <w:tab/>
            </w:r>
            <w:r w:rsidRPr="00515D00">
              <w:rPr>
                <w:bCs/>
                <w:sz w:val="16"/>
                <w:szCs w:val="16"/>
              </w:rPr>
              <w:t>III.2  Aumento de las capacidades en recursos humanos para hacer frente a la gran diversidad de exigencias que supone la utilización eficaz de la P.I. para fomentar el desarrollo en los países en desarrollo, PMA y países con economías en transición</w:t>
            </w:r>
          </w:p>
        </w:tc>
      </w:tr>
      <w:tr w:rsidR="003E311F" w:rsidRPr="00515D00" w:rsidTr="007A358B">
        <w:trPr>
          <w:trHeight w:val="457"/>
        </w:trPr>
        <w:tc>
          <w:tcPr>
            <w:tcW w:w="1873" w:type="dxa"/>
            <w:tcBorders>
              <w:top w:val="single" w:sz="4" w:space="0" w:color="000000"/>
            </w:tcBorders>
            <w:vAlign w:val="center"/>
          </w:tcPr>
          <w:p w:rsidR="003E311F" w:rsidRPr="00515D00" w:rsidRDefault="003E311F" w:rsidP="007A358B">
            <w:pPr>
              <w:keepNext/>
              <w:keepLines/>
              <w:spacing w:before="60" w:after="60"/>
              <w:rPr>
                <w:b/>
                <w:bCs/>
                <w:sz w:val="16"/>
                <w:szCs w:val="16"/>
              </w:rPr>
            </w:pPr>
            <w:r w:rsidRPr="00515D00">
              <w:rPr>
                <w:b/>
                <w:bCs/>
                <w:sz w:val="16"/>
                <w:szCs w:val="16"/>
              </w:rPr>
              <w:t>Actividad</w:t>
            </w:r>
          </w:p>
        </w:tc>
        <w:tc>
          <w:tcPr>
            <w:tcW w:w="1134" w:type="dxa"/>
            <w:tcBorders>
              <w:top w:val="single" w:sz="4" w:space="0" w:color="000000"/>
            </w:tcBorders>
            <w:shd w:val="clear" w:color="auto" w:fill="auto"/>
            <w:tcMar>
              <w:top w:w="110" w:type="dxa"/>
            </w:tcMar>
            <w:vAlign w:val="center"/>
          </w:tcPr>
          <w:p w:rsidR="003E311F" w:rsidRPr="00515D00" w:rsidRDefault="003E311F" w:rsidP="007A358B">
            <w:pPr>
              <w:keepNext/>
              <w:keepLines/>
              <w:spacing w:before="60" w:after="60"/>
              <w:rPr>
                <w:sz w:val="16"/>
                <w:szCs w:val="16"/>
              </w:rPr>
            </w:pPr>
            <w:r w:rsidRPr="00515D00">
              <w:rPr>
                <w:b/>
                <w:bCs/>
                <w:sz w:val="16"/>
                <w:szCs w:val="16"/>
              </w:rPr>
              <w:t>Fecha</w:t>
            </w:r>
          </w:p>
        </w:tc>
        <w:tc>
          <w:tcPr>
            <w:tcW w:w="1985" w:type="dxa"/>
            <w:tcBorders>
              <w:top w:val="single" w:sz="4" w:space="0" w:color="000000"/>
            </w:tcBorders>
            <w:shd w:val="clear" w:color="auto" w:fill="auto"/>
            <w:tcMar>
              <w:top w:w="110" w:type="dxa"/>
            </w:tcMar>
            <w:vAlign w:val="center"/>
          </w:tcPr>
          <w:p w:rsidR="003E311F" w:rsidRPr="00515D00" w:rsidRDefault="003E311F" w:rsidP="007A358B">
            <w:pPr>
              <w:widowControl w:val="0"/>
              <w:rPr>
                <w:sz w:val="16"/>
                <w:szCs w:val="16"/>
              </w:rPr>
            </w:pPr>
            <w:r w:rsidRPr="00515D00">
              <w:rPr>
                <w:b/>
                <w:sz w:val="16"/>
                <w:szCs w:val="16"/>
              </w:rPr>
              <w:t>País anfitrión / Beneficiarios</w:t>
            </w:r>
          </w:p>
        </w:tc>
        <w:tc>
          <w:tcPr>
            <w:tcW w:w="4819" w:type="dxa"/>
            <w:tcBorders>
              <w:top w:val="single" w:sz="4" w:space="0" w:color="000000"/>
            </w:tcBorders>
            <w:shd w:val="clear" w:color="auto" w:fill="FFFFFF"/>
            <w:tcMar>
              <w:top w:w="110" w:type="dxa"/>
            </w:tcMar>
            <w:vAlign w:val="center"/>
          </w:tcPr>
          <w:p w:rsidR="003E311F" w:rsidRPr="00515D00" w:rsidRDefault="003E311F" w:rsidP="007A358B">
            <w:pPr>
              <w:widowControl w:val="0"/>
              <w:rPr>
                <w:sz w:val="16"/>
                <w:szCs w:val="16"/>
              </w:rPr>
            </w:pPr>
            <w:r w:rsidRPr="00515D00">
              <w:rPr>
                <w:b/>
                <w:sz w:val="16"/>
                <w:szCs w:val="16"/>
              </w:rPr>
              <w:t>Propósito(s)/Descripción</w:t>
            </w:r>
          </w:p>
        </w:tc>
      </w:tr>
      <w:tr w:rsidR="003E311F" w:rsidRPr="00092F2E" w:rsidTr="007A358B">
        <w:trPr>
          <w:trHeight w:val="670"/>
        </w:trPr>
        <w:tc>
          <w:tcPr>
            <w:tcW w:w="1873" w:type="dxa"/>
          </w:tcPr>
          <w:p w:rsidR="003E311F" w:rsidRPr="00515D00" w:rsidDel="009E0498" w:rsidRDefault="003E311F" w:rsidP="007A358B">
            <w:pPr>
              <w:autoSpaceDE w:val="0"/>
              <w:autoSpaceDN w:val="0"/>
              <w:adjustRightInd w:val="0"/>
              <w:spacing w:before="60" w:after="60"/>
              <w:rPr>
                <w:color w:val="000000"/>
                <w:sz w:val="16"/>
                <w:szCs w:val="16"/>
              </w:rPr>
            </w:pPr>
            <w:r w:rsidRPr="00515D00">
              <w:rPr>
                <w:color w:val="000000"/>
                <w:sz w:val="16"/>
                <w:szCs w:val="16"/>
              </w:rPr>
              <w:t>Taller nacional sobre el derecho de autor y los derechos conexos</w:t>
            </w:r>
          </w:p>
        </w:tc>
        <w:tc>
          <w:tcPr>
            <w:tcW w:w="1134" w:type="dxa"/>
            <w:shd w:val="clear" w:color="auto" w:fill="auto"/>
            <w:tcMar>
              <w:top w:w="110" w:type="dxa"/>
            </w:tcMar>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31 de agosto a 1 de septiembre de 2015</w:t>
            </w:r>
          </w:p>
        </w:tc>
        <w:tc>
          <w:tcPr>
            <w:tcW w:w="1985" w:type="dxa"/>
            <w:shd w:val="clear" w:color="auto" w:fill="auto"/>
            <w:tcMar>
              <w:top w:w="110" w:type="dxa"/>
            </w:tcMar>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Camboya / cerca de 100 participantes locales</w:t>
            </w:r>
          </w:p>
        </w:tc>
        <w:tc>
          <w:tcPr>
            <w:tcW w:w="4819" w:type="dxa"/>
            <w:shd w:val="clear" w:color="auto" w:fill="FFFFFF"/>
            <w:tcMar>
              <w:top w:w="110" w:type="dxa"/>
            </w:tcMar>
          </w:tcPr>
          <w:p w:rsidR="003E311F" w:rsidRPr="00515D00" w:rsidDel="00152E3E" w:rsidRDefault="003E311F" w:rsidP="007A358B">
            <w:pPr>
              <w:autoSpaceDE w:val="0"/>
              <w:autoSpaceDN w:val="0"/>
              <w:adjustRightInd w:val="0"/>
              <w:spacing w:before="60" w:after="60"/>
              <w:rPr>
                <w:color w:val="000000"/>
                <w:sz w:val="16"/>
                <w:szCs w:val="16"/>
              </w:rPr>
            </w:pPr>
            <w:r w:rsidRPr="00515D00">
              <w:rPr>
                <w:kern w:val="2"/>
                <w:sz w:val="16"/>
                <w:szCs w:val="16"/>
              </w:rPr>
              <w:t>Fomentar la sensibilización de los encargados de formular políticas y</w:t>
            </w:r>
            <w:r>
              <w:rPr>
                <w:kern w:val="2"/>
                <w:sz w:val="16"/>
                <w:szCs w:val="16"/>
              </w:rPr>
              <w:t xml:space="preserve"> de</w:t>
            </w:r>
            <w:r w:rsidRPr="00515D00">
              <w:rPr>
                <w:kern w:val="2"/>
                <w:sz w:val="16"/>
                <w:szCs w:val="16"/>
              </w:rPr>
              <w:t xml:space="preserve"> los principales sectores interesados acerca de la importancia del derecho de autor y los derechos conexos.</w:t>
            </w:r>
          </w:p>
        </w:tc>
      </w:tr>
      <w:tr w:rsidR="003E311F" w:rsidRPr="00092F2E" w:rsidTr="007A358B">
        <w:trPr>
          <w:trHeight w:val="820"/>
        </w:trPr>
        <w:tc>
          <w:tcPr>
            <w:tcW w:w="1873" w:type="dxa"/>
          </w:tcPr>
          <w:p w:rsidR="003E311F" w:rsidRPr="00515D00" w:rsidRDefault="003E311F" w:rsidP="007A358B">
            <w:pPr>
              <w:keepNext/>
              <w:keepLines/>
              <w:spacing w:before="60" w:after="60"/>
              <w:rPr>
                <w:b/>
                <w:bCs/>
                <w:sz w:val="16"/>
                <w:szCs w:val="16"/>
              </w:rPr>
            </w:pPr>
            <w:r w:rsidRPr="00515D00">
              <w:rPr>
                <w:color w:val="000000"/>
                <w:sz w:val="16"/>
                <w:szCs w:val="16"/>
              </w:rPr>
              <w:t xml:space="preserve">Proyecto nacional de aumento de la concienciación sobre </w:t>
            </w:r>
            <w:r>
              <w:rPr>
                <w:color w:val="000000"/>
                <w:sz w:val="16"/>
                <w:szCs w:val="16"/>
              </w:rPr>
              <w:t>el derecho de autor y los derechos conexos</w:t>
            </w:r>
            <w:r w:rsidRPr="00515D00">
              <w:rPr>
                <w:color w:val="000000"/>
                <w:sz w:val="16"/>
                <w:szCs w:val="16"/>
              </w:rPr>
              <w:t xml:space="preserve"> </w:t>
            </w:r>
          </w:p>
        </w:tc>
        <w:tc>
          <w:tcPr>
            <w:tcW w:w="1134" w:type="dxa"/>
            <w:shd w:val="clear" w:color="auto" w:fill="auto"/>
            <w:tcMar>
              <w:top w:w="110" w:type="dxa"/>
            </w:tcMar>
          </w:tcPr>
          <w:p w:rsidR="003E311F" w:rsidRPr="00515D00" w:rsidRDefault="003E311F" w:rsidP="007A358B">
            <w:pPr>
              <w:keepNext/>
              <w:keepLines/>
              <w:spacing w:before="60" w:after="60"/>
              <w:rPr>
                <w:sz w:val="16"/>
                <w:szCs w:val="16"/>
              </w:rPr>
            </w:pPr>
            <w:r w:rsidRPr="00515D00">
              <w:rPr>
                <w:sz w:val="16"/>
                <w:szCs w:val="16"/>
              </w:rPr>
              <w:t>Febrero a junio de 2015</w:t>
            </w:r>
          </w:p>
        </w:tc>
        <w:tc>
          <w:tcPr>
            <w:tcW w:w="1985" w:type="dxa"/>
            <w:shd w:val="clear" w:color="auto" w:fill="auto"/>
            <w:tcMar>
              <w:top w:w="110" w:type="dxa"/>
            </w:tcMar>
          </w:tcPr>
          <w:p w:rsidR="003E311F" w:rsidRPr="00515D00" w:rsidRDefault="003E311F" w:rsidP="007A358B">
            <w:pPr>
              <w:keepNext/>
              <w:keepLines/>
              <w:spacing w:before="60" w:after="60"/>
              <w:rPr>
                <w:sz w:val="16"/>
                <w:szCs w:val="16"/>
              </w:rPr>
            </w:pPr>
            <w:r w:rsidRPr="00515D00">
              <w:rPr>
                <w:sz w:val="16"/>
                <w:szCs w:val="16"/>
              </w:rPr>
              <w:t>Malawi / cerca de 350participantes locales en cinco programas</w:t>
            </w:r>
          </w:p>
        </w:tc>
        <w:tc>
          <w:tcPr>
            <w:tcW w:w="4819" w:type="dxa"/>
            <w:shd w:val="clear" w:color="auto" w:fill="FFFFFF"/>
            <w:tcMar>
              <w:top w:w="110" w:type="dxa"/>
            </w:tcMar>
          </w:tcPr>
          <w:p w:rsidR="003E311F" w:rsidRPr="00515D00" w:rsidRDefault="003E311F" w:rsidP="007A358B">
            <w:pPr>
              <w:spacing w:before="60" w:after="60"/>
              <w:rPr>
                <w:sz w:val="16"/>
                <w:szCs w:val="16"/>
              </w:rPr>
            </w:pPr>
            <w:r w:rsidRPr="00515D00">
              <w:rPr>
                <w:sz w:val="16"/>
                <w:szCs w:val="16"/>
              </w:rPr>
              <w:t>Ayudar a Malawi en sus esfuerzos por crear una infraestructura viable de derecho de autor y fortalecer la capacidad del país para llevar a cabo programas de concienciación pública en el ámbito d</w:t>
            </w:r>
            <w:r>
              <w:rPr>
                <w:sz w:val="16"/>
                <w:szCs w:val="16"/>
              </w:rPr>
              <w:t>el derecho de autor y los derechos conexos</w:t>
            </w:r>
            <w:r w:rsidRPr="00515D00">
              <w:rPr>
                <w:sz w:val="16"/>
                <w:szCs w:val="16"/>
              </w:rPr>
              <w:t>.</w:t>
            </w:r>
          </w:p>
        </w:tc>
      </w:tr>
      <w:tr w:rsidR="003E311F" w:rsidRPr="00092F2E" w:rsidTr="007A358B">
        <w:trPr>
          <w:trHeight w:val="842"/>
        </w:trPr>
        <w:tc>
          <w:tcPr>
            <w:tcW w:w="1873" w:type="dxa"/>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Proyecto de Consorcio de Libros Accesibles (ABC)</w:t>
            </w:r>
          </w:p>
        </w:tc>
        <w:tc>
          <w:tcPr>
            <w:tcW w:w="1134" w:type="dxa"/>
            <w:shd w:val="clear" w:color="auto" w:fill="auto"/>
            <w:tcMar>
              <w:top w:w="110" w:type="dxa"/>
            </w:tcMar>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1 de enero a 31 de julio de 2015</w:t>
            </w:r>
            <w:r w:rsidRPr="00515D00">
              <w:rPr>
                <w:rStyle w:val="FootnoteReference"/>
                <w:color w:val="000000"/>
                <w:sz w:val="16"/>
                <w:szCs w:val="16"/>
              </w:rPr>
              <w:footnoteReference w:id="160"/>
            </w:r>
          </w:p>
        </w:tc>
        <w:tc>
          <w:tcPr>
            <w:tcW w:w="1985" w:type="dxa"/>
            <w:shd w:val="clear" w:color="auto" w:fill="auto"/>
            <w:tcMar>
              <w:top w:w="110" w:type="dxa"/>
            </w:tcMar>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 xml:space="preserve">India </w:t>
            </w:r>
          </w:p>
        </w:tc>
        <w:tc>
          <w:tcPr>
            <w:tcW w:w="4819" w:type="dxa"/>
            <w:shd w:val="clear" w:color="auto" w:fill="FFFFFF"/>
            <w:tcMar>
              <w:top w:w="110" w:type="dxa"/>
            </w:tcMar>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 xml:space="preserve">i) Poner fin a la carestía de libros que padecen los estudiantes de secundaria con dificultades para acceder al texto impreso en Madhya Pradesh, Bihar y </w:t>
            </w:r>
            <w:proofErr w:type="spellStart"/>
            <w:r w:rsidRPr="00515D00">
              <w:rPr>
                <w:color w:val="000000"/>
                <w:sz w:val="16"/>
                <w:szCs w:val="16"/>
              </w:rPr>
              <w:t>Rajasthan</w:t>
            </w:r>
            <w:proofErr w:type="spellEnd"/>
            <w:r w:rsidRPr="00515D00">
              <w:rPr>
                <w:color w:val="000000"/>
                <w:sz w:val="16"/>
                <w:szCs w:val="16"/>
              </w:rPr>
              <w:t xml:space="preserve"> (India);  y ii) fortalecer la capacidad de los editores públicos de libros de texto para que los libros que se produzcan en el futuro sean accesibles.</w:t>
            </w:r>
          </w:p>
        </w:tc>
      </w:tr>
      <w:tr w:rsidR="003E311F" w:rsidRPr="00092F2E" w:rsidTr="007A358B">
        <w:trPr>
          <w:trHeight w:val="912"/>
        </w:trPr>
        <w:tc>
          <w:tcPr>
            <w:tcW w:w="1873" w:type="dxa"/>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lastRenderedPageBreak/>
              <w:t xml:space="preserve">Proyecto nacional de traducción y publicación </w:t>
            </w:r>
          </w:p>
        </w:tc>
        <w:tc>
          <w:tcPr>
            <w:tcW w:w="1134" w:type="dxa"/>
            <w:shd w:val="clear" w:color="auto" w:fill="auto"/>
            <w:tcMar>
              <w:top w:w="110" w:type="dxa"/>
            </w:tcMar>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Enero a diciembre de 2015</w:t>
            </w:r>
            <w:r w:rsidRPr="00515D00">
              <w:rPr>
                <w:rStyle w:val="FootnoteReference"/>
                <w:color w:val="000000"/>
                <w:sz w:val="16"/>
                <w:szCs w:val="16"/>
              </w:rPr>
              <w:footnoteReference w:id="161"/>
            </w:r>
          </w:p>
          <w:p w:rsidR="003E311F" w:rsidRPr="00515D00" w:rsidRDefault="003E311F" w:rsidP="007A358B">
            <w:pPr>
              <w:autoSpaceDE w:val="0"/>
              <w:autoSpaceDN w:val="0"/>
              <w:adjustRightInd w:val="0"/>
              <w:spacing w:before="60" w:after="60"/>
              <w:rPr>
                <w:color w:val="000000"/>
                <w:sz w:val="16"/>
                <w:szCs w:val="16"/>
              </w:rPr>
            </w:pPr>
          </w:p>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(En curso)</w:t>
            </w:r>
          </w:p>
        </w:tc>
        <w:tc>
          <w:tcPr>
            <w:tcW w:w="1985" w:type="dxa"/>
            <w:shd w:val="clear" w:color="auto" w:fill="auto"/>
            <w:tcMar>
              <w:top w:w="110" w:type="dxa"/>
            </w:tcMar>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 xml:space="preserve">Tonga </w:t>
            </w:r>
          </w:p>
        </w:tc>
        <w:tc>
          <w:tcPr>
            <w:tcW w:w="4819" w:type="dxa"/>
            <w:shd w:val="clear" w:color="auto" w:fill="FFFFFF"/>
            <w:tcMar>
              <w:top w:w="110" w:type="dxa"/>
            </w:tcMar>
          </w:tcPr>
          <w:p w:rsidR="003E311F" w:rsidRPr="00515D00" w:rsidRDefault="003E311F" w:rsidP="007A358B">
            <w:pPr>
              <w:pStyle w:val="ListParagraph"/>
              <w:tabs>
                <w:tab w:val="center" w:pos="4536"/>
                <w:tab w:val="right" w:pos="9072"/>
              </w:tabs>
              <w:spacing w:before="60" w:after="60"/>
              <w:ind w:left="0"/>
              <w:rPr>
                <w:rFonts w:eastAsia="Batang" w:cs="Arial"/>
                <w:sz w:val="16"/>
                <w:szCs w:val="16"/>
                <w:lang w:val="es-ES"/>
              </w:rPr>
            </w:pPr>
            <w:r w:rsidRPr="00515D00">
              <w:rPr>
                <w:rFonts w:cs="Arial"/>
                <w:sz w:val="16"/>
                <w:szCs w:val="16"/>
                <w:lang w:val="es-ES"/>
              </w:rPr>
              <w:t>Mejorar la capacidad de la Oficina de P.I. para llevar a cabo programas de divulgación pública, creando así el ambiente propicio para la utilización y protección eficaz del derecho de autor y los derechos conexos</w:t>
            </w:r>
            <w:r w:rsidRPr="00515D00">
              <w:rPr>
                <w:rFonts w:cs="Arial"/>
                <w:kern w:val="2"/>
                <w:sz w:val="16"/>
                <w:szCs w:val="16"/>
                <w:lang w:val="es-ES"/>
              </w:rPr>
              <w:t>.</w:t>
            </w:r>
          </w:p>
        </w:tc>
      </w:tr>
      <w:tr w:rsidR="003E311F" w:rsidRPr="00092F2E" w:rsidTr="007A358B">
        <w:tc>
          <w:tcPr>
            <w:tcW w:w="9811" w:type="dxa"/>
            <w:gridSpan w:val="4"/>
            <w:tcBorders>
              <w:top w:val="single" w:sz="4" w:space="0" w:color="000000"/>
              <w:bottom w:val="single" w:sz="4" w:space="0" w:color="000000"/>
            </w:tcBorders>
            <w:shd w:val="clear" w:color="auto" w:fill="C6D9F1" w:themeFill="text2" w:themeFillTint="33"/>
            <w:vAlign w:val="center"/>
          </w:tcPr>
          <w:p w:rsidR="003E311F" w:rsidRPr="00515D00" w:rsidRDefault="003E311F" w:rsidP="007A358B">
            <w:pPr>
              <w:keepNext/>
              <w:keepLines/>
              <w:tabs>
                <w:tab w:val="left" w:pos="1740"/>
              </w:tabs>
              <w:spacing w:before="120" w:after="120"/>
              <w:ind w:left="1701" w:hanging="1701"/>
              <w:rPr>
                <w:bCs/>
                <w:color w:val="000000"/>
                <w:sz w:val="16"/>
                <w:szCs w:val="16"/>
              </w:rPr>
            </w:pPr>
            <w:r w:rsidRPr="00515D00">
              <w:rPr>
                <w:b/>
                <w:bCs/>
                <w:color w:val="000000"/>
                <w:sz w:val="16"/>
                <w:szCs w:val="16"/>
              </w:rPr>
              <w:t>RESULTADO:</w:t>
            </w:r>
            <w:r w:rsidRPr="00515D00">
              <w:rPr>
                <w:b/>
                <w:bCs/>
                <w:sz w:val="16"/>
                <w:szCs w:val="16"/>
              </w:rPr>
              <w:tab/>
            </w:r>
            <w:r w:rsidRPr="00515D00">
              <w:rPr>
                <w:bCs/>
                <w:color w:val="000000"/>
                <w:sz w:val="16"/>
                <w:szCs w:val="16"/>
              </w:rPr>
              <w:t>IV.4  Mejora en la infraestructura técnica y de conocimientos de las Oficinas y demás instituciones de P.I. que les permita prestar mejores servicios (más económicos, más rápidos y de mejor calidad) a sus partes interesadas</w:t>
            </w:r>
          </w:p>
        </w:tc>
      </w:tr>
      <w:tr w:rsidR="003E311F" w:rsidRPr="00515D00" w:rsidTr="007A358B">
        <w:tc>
          <w:tcPr>
            <w:tcW w:w="1873" w:type="dxa"/>
            <w:tcBorders>
              <w:top w:val="single" w:sz="4" w:space="0" w:color="000000"/>
            </w:tcBorders>
            <w:vAlign w:val="center"/>
          </w:tcPr>
          <w:p w:rsidR="003E311F" w:rsidRPr="00515D00" w:rsidRDefault="003E311F" w:rsidP="007A358B">
            <w:pPr>
              <w:keepNext/>
              <w:keepLines/>
              <w:spacing w:before="60" w:after="60"/>
              <w:rPr>
                <w:b/>
                <w:bCs/>
                <w:sz w:val="16"/>
                <w:szCs w:val="16"/>
              </w:rPr>
            </w:pPr>
            <w:r w:rsidRPr="00515D00">
              <w:rPr>
                <w:b/>
                <w:bCs/>
                <w:sz w:val="16"/>
                <w:szCs w:val="16"/>
              </w:rPr>
              <w:t>Actividad</w:t>
            </w:r>
          </w:p>
        </w:tc>
        <w:tc>
          <w:tcPr>
            <w:tcW w:w="1134" w:type="dxa"/>
            <w:tcBorders>
              <w:top w:val="single" w:sz="4" w:space="0" w:color="000000"/>
            </w:tcBorders>
            <w:shd w:val="clear" w:color="auto" w:fill="auto"/>
            <w:tcMar>
              <w:top w:w="110" w:type="dxa"/>
            </w:tcMar>
            <w:vAlign w:val="center"/>
          </w:tcPr>
          <w:p w:rsidR="003E311F" w:rsidRPr="00515D00" w:rsidRDefault="003E311F" w:rsidP="007A358B">
            <w:pPr>
              <w:keepNext/>
              <w:keepLines/>
              <w:spacing w:before="60" w:after="60"/>
              <w:rPr>
                <w:sz w:val="16"/>
                <w:szCs w:val="16"/>
              </w:rPr>
            </w:pPr>
            <w:r w:rsidRPr="00515D00">
              <w:rPr>
                <w:b/>
                <w:bCs/>
                <w:sz w:val="16"/>
                <w:szCs w:val="16"/>
              </w:rPr>
              <w:t>Fecha</w:t>
            </w:r>
          </w:p>
        </w:tc>
        <w:tc>
          <w:tcPr>
            <w:tcW w:w="1985" w:type="dxa"/>
            <w:tcBorders>
              <w:top w:val="single" w:sz="4" w:space="0" w:color="000000"/>
            </w:tcBorders>
            <w:shd w:val="clear" w:color="auto" w:fill="auto"/>
            <w:tcMar>
              <w:top w:w="110" w:type="dxa"/>
            </w:tcMar>
            <w:vAlign w:val="center"/>
          </w:tcPr>
          <w:p w:rsidR="003E311F" w:rsidRPr="00515D00" w:rsidRDefault="003E311F" w:rsidP="007A358B">
            <w:pPr>
              <w:widowControl w:val="0"/>
              <w:rPr>
                <w:sz w:val="16"/>
                <w:szCs w:val="16"/>
              </w:rPr>
            </w:pPr>
            <w:r w:rsidRPr="00515D00">
              <w:rPr>
                <w:b/>
                <w:sz w:val="16"/>
                <w:szCs w:val="16"/>
              </w:rPr>
              <w:t>País anfitrión / Beneficiarios</w:t>
            </w:r>
          </w:p>
        </w:tc>
        <w:tc>
          <w:tcPr>
            <w:tcW w:w="4819" w:type="dxa"/>
            <w:tcBorders>
              <w:top w:val="single" w:sz="4" w:space="0" w:color="000000"/>
            </w:tcBorders>
            <w:shd w:val="clear" w:color="auto" w:fill="FFFFFF"/>
            <w:tcMar>
              <w:top w:w="110" w:type="dxa"/>
            </w:tcMar>
            <w:vAlign w:val="center"/>
          </w:tcPr>
          <w:p w:rsidR="003E311F" w:rsidRPr="00515D00" w:rsidRDefault="003E311F" w:rsidP="007A358B">
            <w:pPr>
              <w:widowControl w:val="0"/>
              <w:rPr>
                <w:sz w:val="16"/>
                <w:szCs w:val="16"/>
              </w:rPr>
            </w:pPr>
            <w:r w:rsidRPr="00515D00">
              <w:rPr>
                <w:b/>
                <w:sz w:val="16"/>
                <w:szCs w:val="16"/>
              </w:rPr>
              <w:t>Propósito(s)/Descripción</w:t>
            </w:r>
          </w:p>
        </w:tc>
      </w:tr>
      <w:tr w:rsidR="003E311F" w:rsidRPr="00092F2E" w:rsidTr="007A358B">
        <w:trPr>
          <w:trHeight w:val="1063"/>
        </w:trPr>
        <w:tc>
          <w:tcPr>
            <w:tcW w:w="1873" w:type="dxa"/>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Taller interregional de jefes de oficina de derecho de autor sobre fortalecimiento de capacidades en esta materia</w:t>
            </w:r>
          </w:p>
        </w:tc>
        <w:tc>
          <w:tcPr>
            <w:tcW w:w="1134" w:type="dxa"/>
            <w:shd w:val="clear" w:color="auto" w:fill="auto"/>
            <w:tcMar>
              <w:top w:w="110" w:type="dxa"/>
            </w:tcMar>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3 a 5 de febrero de 2015</w:t>
            </w:r>
          </w:p>
        </w:tc>
        <w:tc>
          <w:tcPr>
            <w:tcW w:w="1985" w:type="dxa"/>
            <w:shd w:val="clear" w:color="auto" w:fill="auto"/>
            <w:tcMar>
              <w:top w:w="110" w:type="dxa"/>
            </w:tcMar>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 xml:space="preserve">República de Corea/ 27 participantes de China, Ecuador, </w:t>
            </w:r>
            <w:proofErr w:type="spellStart"/>
            <w:r w:rsidRPr="00515D00">
              <w:rPr>
                <w:color w:val="000000"/>
                <w:sz w:val="16"/>
                <w:szCs w:val="16"/>
              </w:rPr>
              <w:t>Kenya</w:t>
            </w:r>
            <w:proofErr w:type="spellEnd"/>
            <w:r w:rsidRPr="00515D00">
              <w:rPr>
                <w:color w:val="000000"/>
                <w:sz w:val="16"/>
                <w:szCs w:val="16"/>
              </w:rPr>
              <w:t xml:space="preserve">, Líbano, Malawi, México, Mongolia, Paraguay, Filipinas, Qatar, Arabia Saudita, Tailandia, </w:t>
            </w:r>
            <w:proofErr w:type="spellStart"/>
            <w:r w:rsidRPr="00515D00">
              <w:rPr>
                <w:color w:val="000000"/>
                <w:sz w:val="16"/>
                <w:szCs w:val="16"/>
              </w:rPr>
              <w:t>Viet</w:t>
            </w:r>
            <w:proofErr w:type="spellEnd"/>
            <w:r w:rsidRPr="00515D00">
              <w:rPr>
                <w:color w:val="000000"/>
                <w:sz w:val="16"/>
                <w:szCs w:val="16"/>
              </w:rPr>
              <w:t xml:space="preserve"> </w:t>
            </w:r>
            <w:proofErr w:type="spellStart"/>
            <w:r w:rsidRPr="00515D00">
              <w:rPr>
                <w:color w:val="000000"/>
                <w:sz w:val="16"/>
                <w:szCs w:val="16"/>
              </w:rPr>
              <w:t>Nam</w:t>
            </w:r>
            <w:proofErr w:type="spellEnd"/>
            <w:r w:rsidRPr="00515D00">
              <w:rPr>
                <w:color w:val="000000"/>
                <w:sz w:val="16"/>
                <w:szCs w:val="16"/>
              </w:rPr>
              <w:t xml:space="preserve"> y la ARIPO</w:t>
            </w:r>
          </w:p>
        </w:tc>
        <w:tc>
          <w:tcPr>
            <w:tcW w:w="4819" w:type="dxa"/>
            <w:shd w:val="clear" w:color="auto" w:fill="FFFFFF"/>
            <w:tcMar>
              <w:top w:w="110" w:type="dxa"/>
            </w:tcMar>
          </w:tcPr>
          <w:p w:rsidR="003E311F" w:rsidRPr="00515D00" w:rsidRDefault="003E311F" w:rsidP="007A358B">
            <w:pPr>
              <w:pStyle w:val="Header"/>
              <w:spacing w:before="60" w:after="60"/>
              <w:rPr>
                <w:kern w:val="2"/>
                <w:sz w:val="16"/>
                <w:szCs w:val="16"/>
                <w:lang w:eastAsia="ko-KR"/>
              </w:rPr>
            </w:pPr>
            <w:r w:rsidRPr="00515D00">
              <w:rPr>
                <w:sz w:val="16"/>
                <w:szCs w:val="16"/>
                <w:lang w:eastAsia="ko-KR"/>
              </w:rPr>
              <w:t xml:space="preserve">Actualizar conocimientos, compartir experiencias sobre fortalecimiento de capacidades en materia de derecho de autor, intercambiar opiniones sobre las metodologías aplicadas en diversos programas de fortalecimiento de capacidades en esta materia, y debatir sobre el modo de mejorar estos programas a nivel nacional, regional e internacional.  </w:t>
            </w:r>
          </w:p>
        </w:tc>
      </w:tr>
      <w:tr w:rsidR="003E311F" w:rsidRPr="00092F2E" w:rsidTr="007A358B">
        <w:trPr>
          <w:trHeight w:val="670"/>
        </w:trPr>
        <w:tc>
          <w:tcPr>
            <w:tcW w:w="1873" w:type="dxa"/>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Taller subregional sobre cooperación en materia de derecho de autor y derechos conexos</w:t>
            </w:r>
          </w:p>
        </w:tc>
        <w:tc>
          <w:tcPr>
            <w:tcW w:w="1134" w:type="dxa"/>
            <w:shd w:val="clear" w:color="auto" w:fill="auto"/>
            <w:tcMar>
              <w:top w:w="110" w:type="dxa"/>
            </w:tcMar>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18 a 20 de junio de 2015</w:t>
            </w:r>
          </w:p>
        </w:tc>
        <w:tc>
          <w:tcPr>
            <w:tcW w:w="1985" w:type="dxa"/>
            <w:shd w:val="clear" w:color="auto" w:fill="auto"/>
            <w:tcMar>
              <w:top w:w="110" w:type="dxa"/>
            </w:tcMar>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Mongolia/ 15 participantes de China, Mongolia, República de Corea y Federación de Rusia</w:t>
            </w:r>
          </w:p>
        </w:tc>
        <w:tc>
          <w:tcPr>
            <w:tcW w:w="4819" w:type="dxa"/>
            <w:shd w:val="clear" w:color="auto" w:fill="FFFFFF"/>
            <w:tcMar>
              <w:top w:w="110" w:type="dxa"/>
            </w:tcMar>
          </w:tcPr>
          <w:p w:rsidR="003E311F" w:rsidRPr="00515D00" w:rsidRDefault="003E311F" w:rsidP="007A358B">
            <w:pPr>
              <w:spacing w:before="60" w:after="60"/>
              <w:rPr>
                <w:sz w:val="16"/>
                <w:szCs w:val="16"/>
                <w:lang w:eastAsia="ko-KR"/>
              </w:rPr>
            </w:pPr>
            <w:r w:rsidRPr="00515D00">
              <w:rPr>
                <w:sz w:val="16"/>
                <w:szCs w:val="16"/>
                <w:lang w:eastAsia="ko-KR"/>
              </w:rPr>
              <w:t xml:space="preserve">Intercambiar información y experiencias entre los países participantes en relación con el desarrollo del sistema de derecho de autor y explorar posibles colaboraciones entre dichos países en el ámbito del derecho de autor y los derechos conexos.  </w:t>
            </w:r>
          </w:p>
        </w:tc>
      </w:tr>
      <w:tr w:rsidR="003E311F" w:rsidRPr="00092F2E" w:rsidTr="007A358B">
        <w:trPr>
          <w:trHeight w:val="883"/>
        </w:trPr>
        <w:tc>
          <w:tcPr>
            <w:tcW w:w="1873" w:type="dxa"/>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Taller subregional sobre derecho de autor y derechos conexos</w:t>
            </w:r>
          </w:p>
        </w:tc>
        <w:tc>
          <w:tcPr>
            <w:tcW w:w="1134" w:type="dxa"/>
            <w:shd w:val="clear" w:color="auto" w:fill="auto"/>
            <w:tcMar>
              <w:top w:w="110" w:type="dxa"/>
            </w:tcMar>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2 a 4 de septiembre de 2015</w:t>
            </w:r>
          </w:p>
        </w:tc>
        <w:tc>
          <w:tcPr>
            <w:tcW w:w="1985" w:type="dxa"/>
            <w:shd w:val="clear" w:color="auto" w:fill="auto"/>
            <w:tcMar>
              <w:top w:w="110" w:type="dxa"/>
            </w:tcMar>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 xml:space="preserve">Camboya/ 15 participantes de Camboya, República Democrática Popular Lao, Myanmar, Tailandia y </w:t>
            </w:r>
            <w:proofErr w:type="spellStart"/>
            <w:r w:rsidRPr="00515D00">
              <w:rPr>
                <w:color w:val="000000"/>
                <w:sz w:val="16"/>
                <w:szCs w:val="16"/>
              </w:rPr>
              <w:t>Viet</w:t>
            </w:r>
            <w:proofErr w:type="spellEnd"/>
            <w:r w:rsidRPr="00515D00">
              <w:rPr>
                <w:color w:val="000000"/>
                <w:sz w:val="16"/>
                <w:szCs w:val="16"/>
              </w:rPr>
              <w:t xml:space="preserve"> </w:t>
            </w:r>
            <w:proofErr w:type="spellStart"/>
            <w:r w:rsidRPr="00515D00">
              <w:rPr>
                <w:color w:val="000000"/>
                <w:sz w:val="16"/>
                <w:szCs w:val="16"/>
              </w:rPr>
              <w:t>Nam</w:t>
            </w:r>
            <w:proofErr w:type="spellEnd"/>
          </w:p>
        </w:tc>
        <w:tc>
          <w:tcPr>
            <w:tcW w:w="4819" w:type="dxa"/>
            <w:shd w:val="clear" w:color="auto" w:fill="FFFFFF"/>
            <w:tcMar>
              <w:top w:w="110" w:type="dxa"/>
            </w:tcMar>
          </w:tcPr>
          <w:p w:rsidR="003E311F" w:rsidRPr="00515D00" w:rsidRDefault="003E311F" w:rsidP="007A358B">
            <w:pPr>
              <w:spacing w:before="60" w:after="60"/>
              <w:rPr>
                <w:sz w:val="16"/>
                <w:szCs w:val="16"/>
                <w:lang w:eastAsia="ko-KR"/>
              </w:rPr>
            </w:pPr>
            <w:r w:rsidRPr="00515D00">
              <w:rPr>
                <w:sz w:val="16"/>
                <w:szCs w:val="16"/>
                <w:lang w:eastAsia="ko-KR"/>
              </w:rPr>
              <w:t>Intercambiar información y experiencias entre los países participantes en relación con el desarrollo de las políticas y los sistemas de derecho de autor, con especial hincapié en el fortalecimiento de capacidades</w:t>
            </w:r>
          </w:p>
        </w:tc>
      </w:tr>
      <w:tr w:rsidR="003E311F" w:rsidRPr="00092F2E" w:rsidTr="007A358B">
        <w:trPr>
          <w:trHeight w:val="1330"/>
        </w:trPr>
        <w:tc>
          <w:tcPr>
            <w:tcW w:w="1873" w:type="dxa"/>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Visita de estudio a la Comisión de Derecho de Autor de la República de Corea</w:t>
            </w:r>
          </w:p>
        </w:tc>
        <w:tc>
          <w:tcPr>
            <w:tcW w:w="1134" w:type="dxa"/>
            <w:shd w:val="clear" w:color="auto" w:fill="auto"/>
            <w:tcMar>
              <w:top w:w="110" w:type="dxa"/>
            </w:tcMar>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2 a 6 de noviembre de 2015</w:t>
            </w:r>
          </w:p>
        </w:tc>
        <w:tc>
          <w:tcPr>
            <w:tcW w:w="1985" w:type="dxa"/>
            <w:shd w:val="clear" w:color="auto" w:fill="auto"/>
            <w:tcMar>
              <w:top w:w="110" w:type="dxa"/>
            </w:tcMar>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 xml:space="preserve">República de Corea/ 13 participantes de Camboya, China, Islas Cook, Costa Rica, </w:t>
            </w:r>
            <w:proofErr w:type="spellStart"/>
            <w:r w:rsidRPr="00515D00">
              <w:rPr>
                <w:color w:val="000000"/>
                <w:sz w:val="16"/>
                <w:szCs w:val="16"/>
              </w:rPr>
              <w:t>Côte</w:t>
            </w:r>
            <w:proofErr w:type="spellEnd"/>
            <w:r w:rsidRPr="00515D00">
              <w:rPr>
                <w:color w:val="000000"/>
                <w:sz w:val="16"/>
                <w:szCs w:val="16"/>
              </w:rPr>
              <w:t xml:space="preserve"> </w:t>
            </w:r>
            <w:proofErr w:type="spellStart"/>
            <w:r w:rsidRPr="00515D00">
              <w:rPr>
                <w:color w:val="000000"/>
                <w:sz w:val="16"/>
                <w:szCs w:val="16"/>
              </w:rPr>
              <w:t>d’Ivoire</w:t>
            </w:r>
            <w:proofErr w:type="spellEnd"/>
            <w:r w:rsidRPr="00515D00">
              <w:rPr>
                <w:color w:val="000000"/>
                <w:sz w:val="16"/>
                <w:szCs w:val="16"/>
              </w:rPr>
              <w:t xml:space="preserve">, El Salvador, Ghana, Honduras, India, Filipinas, Tonga, Túnez y República Unida de </w:t>
            </w:r>
            <w:proofErr w:type="spellStart"/>
            <w:r w:rsidRPr="00515D00">
              <w:rPr>
                <w:color w:val="000000"/>
                <w:sz w:val="16"/>
                <w:szCs w:val="16"/>
              </w:rPr>
              <w:t>Tanzanía</w:t>
            </w:r>
            <w:proofErr w:type="spellEnd"/>
          </w:p>
        </w:tc>
        <w:tc>
          <w:tcPr>
            <w:tcW w:w="4819" w:type="dxa"/>
            <w:shd w:val="clear" w:color="auto" w:fill="FFFFFF"/>
            <w:tcMar>
              <w:top w:w="110" w:type="dxa"/>
            </w:tcMar>
          </w:tcPr>
          <w:p w:rsidR="003E311F" w:rsidRPr="00515D00" w:rsidRDefault="003E311F" w:rsidP="007A358B">
            <w:pPr>
              <w:spacing w:before="60" w:after="60"/>
              <w:rPr>
                <w:color w:val="000000"/>
                <w:sz w:val="16"/>
                <w:szCs w:val="16"/>
              </w:rPr>
            </w:pPr>
            <w:r w:rsidRPr="00515D00">
              <w:rPr>
                <w:sz w:val="16"/>
                <w:szCs w:val="16"/>
                <w:lang w:eastAsia="ko-KR"/>
              </w:rPr>
              <w:t xml:space="preserve">Compartir la experiencia de la República de Corea en la administración del derecho de autor y los derechos conexos para fortalecer la capacidad de los participantes de formular políticas en materia de derecho de autor, modernizar los marcos legislativo y administrativo y mejorar el funcionamiento de las organizaciones de derecho de autor en sus respectivos países.  </w:t>
            </w:r>
          </w:p>
        </w:tc>
      </w:tr>
    </w:tbl>
    <w:p w:rsidR="003E311F" w:rsidRPr="007329AC" w:rsidRDefault="003E311F" w:rsidP="003E311F">
      <w:pPr>
        <w:keepNext/>
        <w:keepLines/>
        <w:rPr>
          <w:b/>
          <w:sz w:val="20"/>
        </w:rPr>
      </w:pPr>
    </w:p>
    <w:p w:rsidR="003E311F" w:rsidRPr="007329AC" w:rsidRDefault="003E311F" w:rsidP="003E311F">
      <w:pPr>
        <w:keepNext/>
        <w:keepLines/>
        <w:rPr>
          <w:b/>
          <w:sz w:val="20"/>
        </w:rPr>
      </w:pPr>
    </w:p>
    <w:p w:rsidR="003E311F" w:rsidRPr="007329AC" w:rsidRDefault="003E311F" w:rsidP="003E311F">
      <w:pPr>
        <w:rPr>
          <w:b/>
          <w:bCs/>
          <w:color w:val="000000"/>
          <w:sz w:val="20"/>
        </w:rPr>
      </w:pPr>
      <w:r w:rsidRPr="007329AC">
        <w:rPr>
          <w:b/>
          <w:bCs/>
          <w:sz w:val="20"/>
        </w:rPr>
        <w:t xml:space="preserve">REPÚBLICA DE COREA / DERECHO DE AUTOR – Contribuciones de donantes y gastos en </w:t>
      </w:r>
      <w:r w:rsidRPr="007329AC">
        <w:rPr>
          <w:b/>
          <w:bCs/>
          <w:color w:val="000000"/>
          <w:sz w:val="20"/>
        </w:rPr>
        <w:t>2015</w:t>
      </w:r>
    </w:p>
    <w:p w:rsidR="003E311F" w:rsidRPr="007329AC" w:rsidRDefault="003E311F" w:rsidP="003E311F">
      <w:pPr>
        <w:rPr>
          <w:b/>
          <w:bCs/>
          <w:color w:val="000000"/>
          <w:sz w:val="20"/>
        </w:rPr>
      </w:pPr>
    </w:p>
    <w:tbl>
      <w:tblPr>
        <w:tblW w:w="9792" w:type="dxa"/>
        <w:tblInd w:w="98" w:type="dxa"/>
        <w:tblLook w:val="04A0" w:firstRow="1" w:lastRow="0" w:firstColumn="1" w:lastColumn="0" w:noHBand="0" w:noVBand="1"/>
      </w:tblPr>
      <w:tblGrid>
        <w:gridCol w:w="2040"/>
        <w:gridCol w:w="1640"/>
        <w:gridCol w:w="1860"/>
        <w:gridCol w:w="1780"/>
        <w:gridCol w:w="2472"/>
      </w:tblGrid>
      <w:tr w:rsidR="003E311F" w:rsidRPr="00515D00" w:rsidTr="007A358B">
        <w:trPr>
          <w:trHeight w:val="450"/>
        </w:trPr>
        <w:tc>
          <w:tcPr>
            <w:tcW w:w="2040" w:type="dxa"/>
            <w:tcBorders>
              <w:top w:val="single" w:sz="8" w:space="0" w:color="auto"/>
              <w:left w:val="single" w:sz="8" w:space="0" w:color="auto"/>
              <w:bottom w:val="nil"/>
              <w:right w:val="single" w:sz="8" w:space="0" w:color="auto"/>
            </w:tcBorders>
            <w:shd w:val="clear" w:color="000000" w:fill="C5D9F1"/>
            <w:vAlign w:val="center"/>
            <w:hideMark/>
          </w:tcPr>
          <w:p w:rsidR="003E311F" w:rsidRPr="00515D00" w:rsidRDefault="005C708A" w:rsidP="007A358B">
            <w:pPr>
              <w:jc w:val="center"/>
              <w:rPr>
                <w:b/>
                <w:bCs/>
                <w:color w:val="000000"/>
                <w:sz w:val="16"/>
                <w:szCs w:val="16"/>
              </w:rPr>
            </w:pPr>
            <w:r>
              <w:rPr>
                <w:b/>
                <w:bCs/>
                <w:sz w:val="16"/>
                <w:szCs w:val="16"/>
              </w:rPr>
              <w:t>Saldo el</w:t>
            </w:r>
            <w:r w:rsidR="003E311F" w:rsidRPr="00515D00">
              <w:rPr>
                <w:b/>
                <w:bCs/>
                <w:sz w:val="16"/>
                <w:szCs w:val="16"/>
              </w:rPr>
              <w:t xml:space="preserve"> 31 de diciembre de </w:t>
            </w:r>
            <w:r w:rsidR="003E311F" w:rsidRPr="00515D00">
              <w:rPr>
                <w:b/>
                <w:bCs/>
                <w:color w:val="000000"/>
                <w:sz w:val="16"/>
                <w:szCs w:val="16"/>
              </w:rPr>
              <w:t>2014</w:t>
            </w:r>
          </w:p>
        </w:tc>
        <w:tc>
          <w:tcPr>
            <w:tcW w:w="1640" w:type="dxa"/>
            <w:tcBorders>
              <w:top w:val="single" w:sz="8" w:space="0" w:color="auto"/>
              <w:left w:val="nil"/>
              <w:bottom w:val="nil"/>
              <w:right w:val="single" w:sz="8" w:space="0" w:color="auto"/>
            </w:tcBorders>
            <w:shd w:val="clear" w:color="000000" w:fill="C5D9F1"/>
            <w:vAlign w:val="center"/>
            <w:hideMark/>
          </w:tcPr>
          <w:p w:rsidR="003E311F" w:rsidRPr="00515D00" w:rsidRDefault="003E311F" w:rsidP="007A358B">
            <w:pPr>
              <w:jc w:val="center"/>
              <w:rPr>
                <w:b/>
                <w:bCs/>
                <w:color w:val="000000"/>
                <w:sz w:val="16"/>
                <w:szCs w:val="16"/>
              </w:rPr>
            </w:pPr>
            <w:r w:rsidRPr="00515D00">
              <w:rPr>
                <w:b/>
                <w:bCs/>
                <w:sz w:val="16"/>
                <w:szCs w:val="16"/>
              </w:rPr>
              <w:t xml:space="preserve">Ingresos en </w:t>
            </w:r>
            <w:r w:rsidRPr="00515D00">
              <w:rPr>
                <w:b/>
                <w:bCs/>
                <w:color w:val="000000"/>
                <w:sz w:val="16"/>
                <w:szCs w:val="16"/>
              </w:rPr>
              <w:t>2015</w:t>
            </w:r>
          </w:p>
        </w:tc>
        <w:tc>
          <w:tcPr>
            <w:tcW w:w="1860" w:type="dxa"/>
            <w:tcBorders>
              <w:top w:val="single" w:sz="8" w:space="0" w:color="auto"/>
              <w:left w:val="nil"/>
              <w:bottom w:val="nil"/>
              <w:right w:val="single" w:sz="8" w:space="0" w:color="auto"/>
            </w:tcBorders>
            <w:shd w:val="clear" w:color="000000" w:fill="C5D9F1"/>
            <w:vAlign w:val="center"/>
            <w:hideMark/>
          </w:tcPr>
          <w:p w:rsidR="003E311F" w:rsidRPr="00515D00" w:rsidRDefault="003E311F" w:rsidP="007A358B">
            <w:pPr>
              <w:jc w:val="center"/>
              <w:rPr>
                <w:b/>
                <w:bCs/>
                <w:color w:val="000000"/>
                <w:sz w:val="16"/>
                <w:szCs w:val="16"/>
              </w:rPr>
            </w:pPr>
            <w:r w:rsidRPr="00515D00">
              <w:rPr>
                <w:b/>
                <w:bCs/>
                <w:sz w:val="16"/>
                <w:szCs w:val="16"/>
              </w:rPr>
              <w:t xml:space="preserve">Gastos en </w:t>
            </w:r>
            <w:r w:rsidRPr="00515D00">
              <w:rPr>
                <w:b/>
                <w:bCs/>
                <w:color w:val="000000"/>
                <w:sz w:val="16"/>
                <w:szCs w:val="16"/>
              </w:rPr>
              <w:t>2015</w:t>
            </w:r>
          </w:p>
        </w:tc>
        <w:tc>
          <w:tcPr>
            <w:tcW w:w="1780" w:type="dxa"/>
            <w:tcBorders>
              <w:top w:val="single" w:sz="8" w:space="0" w:color="auto"/>
              <w:left w:val="nil"/>
              <w:bottom w:val="nil"/>
              <w:right w:val="single" w:sz="8" w:space="0" w:color="auto"/>
            </w:tcBorders>
            <w:shd w:val="clear" w:color="000000" w:fill="C5D9F1"/>
            <w:vAlign w:val="center"/>
            <w:hideMark/>
          </w:tcPr>
          <w:p w:rsidR="003E311F" w:rsidRPr="00515D00" w:rsidRDefault="003E311F" w:rsidP="007A358B">
            <w:pPr>
              <w:jc w:val="center"/>
              <w:rPr>
                <w:b/>
                <w:bCs/>
                <w:color w:val="000000"/>
                <w:sz w:val="16"/>
                <w:szCs w:val="16"/>
              </w:rPr>
            </w:pPr>
            <w:r w:rsidRPr="00515D00">
              <w:rPr>
                <w:b/>
                <w:bCs/>
                <w:sz w:val="16"/>
                <w:szCs w:val="16"/>
              </w:rPr>
              <w:t>Reembolsos</w:t>
            </w:r>
          </w:p>
        </w:tc>
        <w:tc>
          <w:tcPr>
            <w:tcW w:w="2472" w:type="dxa"/>
            <w:tcBorders>
              <w:top w:val="single" w:sz="8" w:space="0" w:color="auto"/>
              <w:left w:val="nil"/>
              <w:bottom w:val="nil"/>
              <w:right w:val="single" w:sz="8" w:space="0" w:color="auto"/>
            </w:tcBorders>
            <w:shd w:val="clear" w:color="000000" w:fill="C5D9F1"/>
            <w:vAlign w:val="center"/>
            <w:hideMark/>
          </w:tcPr>
          <w:p w:rsidR="003E311F" w:rsidRPr="00515D00" w:rsidRDefault="005C708A" w:rsidP="007A358B">
            <w:pPr>
              <w:jc w:val="center"/>
              <w:rPr>
                <w:b/>
                <w:bCs/>
                <w:color w:val="000000"/>
                <w:sz w:val="16"/>
                <w:szCs w:val="16"/>
              </w:rPr>
            </w:pPr>
            <w:r>
              <w:rPr>
                <w:b/>
                <w:bCs/>
                <w:sz w:val="16"/>
                <w:szCs w:val="16"/>
              </w:rPr>
              <w:t>Saldo el</w:t>
            </w:r>
            <w:r w:rsidR="003E311F" w:rsidRPr="00515D00">
              <w:rPr>
                <w:b/>
                <w:bCs/>
                <w:sz w:val="16"/>
                <w:szCs w:val="16"/>
              </w:rPr>
              <w:t xml:space="preserve"> 31 de diciembre de </w:t>
            </w:r>
            <w:r w:rsidR="003E311F" w:rsidRPr="00515D00">
              <w:rPr>
                <w:b/>
                <w:bCs/>
                <w:color w:val="000000"/>
                <w:sz w:val="16"/>
                <w:szCs w:val="16"/>
              </w:rPr>
              <w:t>2015</w:t>
            </w:r>
          </w:p>
        </w:tc>
      </w:tr>
      <w:tr w:rsidR="003E311F" w:rsidRPr="00515D00" w:rsidTr="007A358B">
        <w:trPr>
          <w:trHeight w:val="255"/>
        </w:trPr>
        <w:tc>
          <w:tcPr>
            <w:tcW w:w="2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311F" w:rsidRPr="00515D00" w:rsidRDefault="003E311F" w:rsidP="007A358B">
            <w:pPr>
              <w:jc w:val="center"/>
              <w:rPr>
                <w:color w:val="000000"/>
                <w:sz w:val="16"/>
                <w:szCs w:val="16"/>
              </w:rPr>
            </w:pPr>
            <w:r w:rsidRPr="00515D00">
              <w:rPr>
                <w:color w:val="000000"/>
                <w:sz w:val="16"/>
                <w:szCs w:val="16"/>
              </w:rPr>
              <w:t>579.780</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3E311F" w:rsidRPr="00515D00" w:rsidRDefault="003E311F" w:rsidP="007A358B">
            <w:pPr>
              <w:jc w:val="center"/>
              <w:rPr>
                <w:color w:val="000000"/>
                <w:sz w:val="16"/>
                <w:szCs w:val="16"/>
              </w:rPr>
            </w:pPr>
            <w:r w:rsidRPr="00515D00">
              <w:rPr>
                <w:color w:val="000000"/>
                <w:sz w:val="16"/>
                <w:szCs w:val="16"/>
              </w:rPr>
              <w:t>310.768</w:t>
            </w:r>
          </w:p>
        </w:tc>
        <w:tc>
          <w:tcPr>
            <w:tcW w:w="1860" w:type="dxa"/>
            <w:tcBorders>
              <w:top w:val="single" w:sz="4" w:space="0" w:color="auto"/>
              <w:left w:val="nil"/>
              <w:bottom w:val="single" w:sz="4" w:space="0" w:color="auto"/>
              <w:right w:val="single" w:sz="4" w:space="0" w:color="auto"/>
            </w:tcBorders>
            <w:shd w:val="clear" w:color="auto" w:fill="auto"/>
            <w:vAlign w:val="center"/>
            <w:hideMark/>
          </w:tcPr>
          <w:p w:rsidR="003E311F" w:rsidRPr="00515D00" w:rsidRDefault="003E311F" w:rsidP="007A358B">
            <w:pPr>
              <w:jc w:val="center"/>
              <w:rPr>
                <w:color w:val="000000"/>
                <w:sz w:val="16"/>
                <w:szCs w:val="16"/>
              </w:rPr>
            </w:pPr>
            <w:r w:rsidRPr="00515D00">
              <w:rPr>
                <w:color w:val="000000"/>
                <w:sz w:val="16"/>
                <w:szCs w:val="16"/>
              </w:rPr>
              <w:t>360.896</w:t>
            </w:r>
          </w:p>
        </w:tc>
        <w:tc>
          <w:tcPr>
            <w:tcW w:w="1780" w:type="dxa"/>
            <w:tcBorders>
              <w:top w:val="single" w:sz="4" w:space="0" w:color="auto"/>
              <w:left w:val="nil"/>
              <w:bottom w:val="single" w:sz="4" w:space="0" w:color="auto"/>
              <w:right w:val="single" w:sz="4" w:space="0" w:color="auto"/>
            </w:tcBorders>
            <w:shd w:val="clear" w:color="auto" w:fill="auto"/>
            <w:noWrap/>
            <w:vAlign w:val="center"/>
            <w:hideMark/>
          </w:tcPr>
          <w:p w:rsidR="003E311F" w:rsidRPr="00515D00" w:rsidRDefault="003E311F" w:rsidP="007A358B">
            <w:pPr>
              <w:jc w:val="center"/>
              <w:rPr>
                <w:color w:val="000000"/>
                <w:sz w:val="16"/>
                <w:szCs w:val="16"/>
              </w:rPr>
            </w:pPr>
            <w:r w:rsidRPr="00515D00">
              <w:rPr>
                <w:color w:val="000000"/>
                <w:sz w:val="16"/>
                <w:szCs w:val="16"/>
              </w:rPr>
              <w:t>-</w:t>
            </w:r>
          </w:p>
        </w:tc>
        <w:tc>
          <w:tcPr>
            <w:tcW w:w="2472" w:type="dxa"/>
            <w:tcBorders>
              <w:top w:val="single" w:sz="4" w:space="0" w:color="auto"/>
              <w:left w:val="nil"/>
              <w:bottom w:val="single" w:sz="4" w:space="0" w:color="auto"/>
              <w:right w:val="single" w:sz="4" w:space="0" w:color="auto"/>
            </w:tcBorders>
            <w:shd w:val="clear" w:color="auto" w:fill="auto"/>
            <w:vAlign w:val="center"/>
            <w:hideMark/>
          </w:tcPr>
          <w:p w:rsidR="003E311F" w:rsidRPr="00515D00" w:rsidRDefault="003E311F" w:rsidP="007A358B">
            <w:pPr>
              <w:jc w:val="center"/>
              <w:rPr>
                <w:color w:val="000000"/>
                <w:sz w:val="16"/>
                <w:szCs w:val="16"/>
              </w:rPr>
            </w:pPr>
            <w:r w:rsidRPr="00515D00">
              <w:rPr>
                <w:color w:val="000000"/>
                <w:sz w:val="16"/>
                <w:szCs w:val="16"/>
              </w:rPr>
              <w:t>529.652</w:t>
            </w:r>
          </w:p>
        </w:tc>
      </w:tr>
    </w:tbl>
    <w:p w:rsidR="003E311F" w:rsidRPr="00515D00" w:rsidRDefault="003E311F" w:rsidP="003E311F"/>
    <w:p w:rsidR="003E311F" w:rsidRPr="00515D00" w:rsidRDefault="003E311F" w:rsidP="003E311F">
      <w:pPr>
        <w:spacing w:after="200" w:line="276" w:lineRule="auto"/>
        <w:rPr>
          <w:b/>
        </w:rPr>
      </w:pPr>
      <w:r w:rsidRPr="00515D00">
        <w:rPr>
          <w:b/>
        </w:rPr>
        <w:br w:type="page"/>
      </w:r>
    </w:p>
    <w:p w:rsidR="003E311F" w:rsidRPr="007329AC" w:rsidRDefault="003E311F" w:rsidP="003E311F">
      <w:pPr>
        <w:keepNext/>
        <w:keepLines/>
        <w:rPr>
          <w:b/>
          <w:sz w:val="20"/>
        </w:rPr>
      </w:pPr>
      <w:r w:rsidRPr="007329AC">
        <w:rPr>
          <w:b/>
          <w:sz w:val="20"/>
        </w:rPr>
        <w:lastRenderedPageBreak/>
        <w:t>REPÚBLICA DE COREA (EDUCACIÓN) – Becas en P.I. (Academia)</w:t>
      </w:r>
    </w:p>
    <w:p w:rsidR="003E311F" w:rsidRPr="007329AC" w:rsidRDefault="003E311F" w:rsidP="003E311F">
      <w:pPr>
        <w:rPr>
          <w:b/>
          <w:sz w:val="20"/>
        </w:rPr>
      </w:pPr>
    </w:p>
    <w:tbl>
      <w:tblPr>
        <w:tblW w:w="9781" w:type="dxa"/>
        <w:tblInd w:w="10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43"/>
        <w:gridCol w:w="1134"/>
        <w:gridCol w:w="2333"/>
        <w:gridCol w:w="4471"/>
      </w:tblGrid>
      <w:tr w:rsidR="003E311F" w:rsidRPr="00092F2E" w:rsidTr="007A358B">
        <w:trPr>
          <w:trHeight w:val="694"/>
        </w:trPr>
        <w:tc>
          <w:tcPr>
            <w:tcW w:w="9781" w:type="dxa"/>
            <w:gridSpan w:val="4"/>
            <w:tcBorders>
              <w:top w:val="single" w:sz="4" w:space="0" w:color="000000"/>
              <w:bottom w:val="single" w:sz="4" w:space="0" w:color="auto"/>
            </w:tcBorders>
            <w:shd w:val="clear" w:color="auto" w:fill="C6D9F1" w:themeFill="text2" w:themeFillTint="33"/>
            <w:vAlign w:val="center"/>
          </w:tcPr>
          <w:p w:rsidR="003E311F" w:rsidRPr="00515D00" w:rsidRDefault="003E311F" w:rsidP="007A358B">
            <w:pPr>
              <w:keepNext/>
              <w:keepLines/>
              <w:tabs>
                <w:tab w:val="left" w:pos="1740"/>
              </w:tabs>
              <w:spacing w:before="120" w:after="120"/>
              <w:ind w:left="1740" w:hanging="1740"/>
              <w:rPr>
                <w:b/>
                <w:bCs/>
                <w:sz w:val="16"/>
                <w:szCs w:val="16"/>
              </w:rPr>
            </w:pPr>
            <w:r w:rsidRPr="00515D00">
              <w:rPr>
                <w:b/>
                <w:bCs/>
                <w:color w:val="000000"/>
                <w:sz w:val="16"/>
                <w:szCs w:val="16"/>
              </w:rPr>
              <w:t>RESULTADO:</w:t>
            </w:r>
            <w:r w:rsidRPr="00515D00">
              <w:rPr>
                <w:b/>
                <w:bCs/>
                <w:sz w:val="16"/>
                <w:szCs w:val="16"/>
              </w:rPr>
              <w:tab/>
            </w:r>
            <w:r w:rsidRPr="00515D00">
              <w:rPr>
                <w:bCs/>
                <w:sz w:val="16"/>
                <w:szCs w:val="16"/>
              </w:rPr>
              <w:t>III.2  Aumento de las capacidades en recursos humanos para hacer frente a la gran diversidad de exigencias que supone la utilización eficaz de la P.I. para fomentar el desarrollo en los países en desarrollo, PMA y países con economías en transición</w:t>
            </w:r>
          </w:p>
        </w:tc>
      </w:tr>
      <w:tr w:rsidR="003E311F" w:rsidRPr="00515D00" w:rsidTr="007A358B">
        <w:tc>
          <w:tcPr>
            <w:tcW w:w="1843" w:type="dxa"/>
            <w:tcBorders>
              <w:top w:val="single" w:sz="4" w:space="0" w:color="auto"/>
              <w:left w:val="single" w:sz="4" w:space="0" w:color="auto"/>
              <w:bottom w:val="nil"/>
            </w:tcBorders>
            <w:vAlign w:val="center"/>
          </w:tcPr>
          <w:p w:rsidR="003E311F" w:rsidRPr="00515D00" w:rsidRDefault="003E311F" w:rsidP="007A358B">
            <w:pPr>
              <w:keepNext/>
              <w:keepLines/>
              <w:spacing w:before="60" w:after="60"/>
              <w:rPr>
                <w:b/>
                <w:bCs/>
                <w:sz w:val="16"/>
                <w:szCs w:val="16"/>
              </w:rPr>
            </w:pPr>
            <w:r w:rsidRPr="00515D00">
              <w:rPr>
                <w:b/>
                <w:bCs/>
                <w:sz w:val="16"/>
                <w:szCs w:val="16"/>
              </w:rPr>
              <w:t>Actividad</w:t>
            </w:r>
          </w:p>
        </w:tc>
        <w:tc>
          <w:tcPr>
            <w:tcW w:w="1134" w:type="dxa"/>
            <w:tcBorders>
              <w:top w:val="single" w:sz="4" w:space="0" w:color="auto"/>
              <w:bottom w:val="nil"/>
            </w:tcBorders>
            <w:shd w:val="clear" w:color="auto" w:fill="auto"/>
            <w:tcMar>
              <w:top w:w="110" w:type="dxa"/>
            </w:tcMar>
            <w:vAlign w:val="center"/>
          </w:tcPr>
          <w:p w:rsidR="003E311F" w:rsidRPr="00515D00" w:rsidRDefault="003E311F" w:rsidP="007A358B">
            <w:pPr>
              <w:keepNext/>
              <w:keepLines/>
              <w:spacing w:before="60" w:after="60"/>
              <w:rPr>
                <w:sz w:val="16"/>
                <w:szCs w:val="16"/>
              </w:rPr>
            </w:pPr>
            <w:r w:rsidRPr="00515D00">
              <w:rPr>
                <w:b/>
                <w:bCs/>
                <w:sz w:val="16"/>
                <w:szCs w:val="16"/>
              </w:rPr>
              <w:t>Fecha</w:t>
            </w:r>
          </w:p>
        </w:tc>
        <w:tc>
          <w:tcPr>
            <w:tcW w:w="2333" w:type="dxa"/>
            <w:tcBorders>
              <w:top w:val="single" w:sz="4" w:space="0" w:color="auto"/>
              <w:bottom w:val="nil"/>
            </w:tcBorders>
            <w:shd w:val="clear" w:color="auto" w:fill="auto"/>
            <w:tcMar>
              <w:top w:w="110" w:type="dxa"/>
            </w:tcMar>
            <w:vAlign w:val="center"/>
          </w:tcPr>
          <w:p w:rsidR="003E311F" w:rsidRPr="00515D00" w:rsidRDefault="003E311F" w:rsidP="007A358B">
            <w:pPr>
              <w:widowControl w:val="0"/>
              <w:rPr>
                <w:sz w:val="16"/>
                <w:szCs w:val="16"/>
              </w:rPr>
            </w:pPr>
            <w:r w:rsidRPr="00515D00">
              <w:rPr>
                <w:b/>
                <w:sz w:val="16"/>
                <w:szCs w:val="16"/>
              </w:rPr>
              <w:t>País anfitrión / Beneficiarios</w:t>
            </w:r>
          </w:p>
        </w:tc>
        <w:tc>
          <w:tcPr>
            <w:tcW w:w="4471" w:type="dxa"/>
            <w:tcBorders>
              <w:top w:val="single" w:sz="4" w:space="0" w:color="auto"/>
              <w:bottom w:val="nil"/>
              <w:right w:val="single" w:sz="4" w:space="0" w:color="auto"/>
            </w:tcBorders>
            <w:shd w:val="clear" w:color="auto" w:fill="FFFFFF"/>
            <w:tcMar>
              <w:top w:w="110" w:type="dxa"/>
            </w:tcMar>
            <w:vAlign w:val="center"/>
          </w:tcPr>
          <w:p w:rsidR="003E311F" w:rsidRPr="00515D00" w:rsidRDefault="003E311F" w:rsidP="007A358B">
            <w:pPr>
              <w:widowControl w:val="0"/>
              <w:rPr>
                <w:sz w:val="16"/>
                <w:szCs w:val="16"/>
              </w:rPr>
            </w:pPr>
            <w:r w:rsidRPr="00515D00">
              <w:rPr>
                <w:b/>
                <w:sz w:val="16"/>
                <w:szCs w:val="16"/>
              </w:rPr>
              <w:t>Propósito(s)/Descripción</w:t>
            </w:r>
          </w:p>
        </w:tc>
      </w:tr>
      <w:tr w:rsidR="003E311F" w:rsidRPr="00092F2E" w:rsidTr="007A358B">
        <w:trPr>
          <w:trHeight w:val="495"/>
        </w:trPr>
        <w:tc>
          <w:tcPr>
            <w:tcW w:w="1843" w:type="dxa"/>
            <w:tcBorders>
              <w:top w:val="nil"/>
              <w:left w:val="single" w:sz="4" w:space="0" w:color="auto"/>
              <w:bottom w:val="nil"/>
            </w:tcBorders>
          </w:tcPr>
          <w:p w:rsidR="003E311F" w:rsidRPr="00515D00" w:rsidRDefault="003E311F" w:rsidP="007A358B">
            <w:pPr>
              <w:autoSpaceDE w:val="0"/>
              <w:autoSpaceDN w:val="0"/>
              <w:adjustRightInd w:val="0"/>
              <w:spacing w:before="60" w:after="60"/>
              <w:rPr>
                <w:color w:val="000000"/>
                <w:sz w:val="16"/>
                <w:szCs w:val="16"/>
              </w:rPr>
            </w:pPr>
            <w:r w:rsidRPr="00515D00">
              <w:rPr>
                <w:sz w:val="16"/>
                <w:szCs w:val="16"/>
              </w:rPr>
              <w:t>Becas para el Programa de Máster en Derecho de P.I. (MIP) de la Academia de la OMPI – </w:t>
            </w:r>
            <w:r w:rsidRPr="00515D00">
              <w:rPr>
                <w:i/>
                <w:sz w:val="16"/>
                <w:szCs w:val="16"/>
              </w:rPr>
              <w:t xml:space="preserve">Queensland </w:t>
            </w:r>
            <w:proofErr w:type="spellStart"/>
            <w:r w:rsidRPr="00515D00">
              <w:rPr>
                <w:i/>
                <w:sz w:val="16"/>
                <w:szCs w:val="16"/>
              </w:rPr>
              <w:t>University</w:t>
            </w:r>
            <w:proofErr w:type="spellEnd"/>
            <w:r w:rsidRPr="00515D00">
              <w:rPr>
                <w:i/>
                <w:sz w:val="16"/>
                <w:szCs w:val="16"/>
              </w:rPr>
              <w:t xml:space="preserve"> of </w:t>
            </w:r>
            <w:proofErr w:type="spellStart"/>
            <w:r w:rsidRPr="00515D00">
              <w:rPr>
                <w:i/>
                <w:sz w:val="16"/>
                <w:szCs w:val="16"/>
              </w:rPr>
              <w:t>Technology</w:t>
            </w:r>
            <w:proofErr w:type="spellEnd"/>
            <w:r w:rsidRPr="00515D00">
              <w:rPr>
                <w:sz w:val="16"/>
                <w:szCs w:val="16"/>
              </w:rPr>
              <w:t xml:space="preserve"> (OMPI-QUT)</w:t>
            </w:r>
          </w:p>
        </w:tc>
        <w:tc>
          <w:tcPr>
            <w:tcW w:w="1134" w:type="dxa"/>
            <w:tcBorders>
              <w:top w:val="nil"/>
              <w:bottom w:val="nil"/>
            </w:tcBorders>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3 de febrero a 30 de octubre de 2015</w:t>
            </w:r>
          </w:p>
        </w:tc>
        <w:tc>
          <w:tcPr>
            <w:tcW w:w="2333" w:type="dxa"/>
            <w:tcBorders>
              <w:top w:val="nil"/>
              <w:bottom w:val="nil"/>
            </w:tcBorders>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Australia/ 6 estudiantes de Bangladesh (1) y República de Corea (5)</w:t>
            </w:r>
          </w:p>
        </w:tc>
        <w:tc>
          <w:tcPr>
            <w:tcW w:w="4471" w:type="dxa"/>
            <w:tcBorders>
              <w:top w:val="nil"/>
              <w:bottom w:val="nil"/>
              <w:right w:val="single" w:sz="4" w:space="0" w:color="auto"/>
            </w:tcBorders>
          </w:tcPr>
          <w:p w:rsidR="003E311F" w:rsidRPr="00515D00" w:rsidRDefault="003E311F" w:rsidP="007A358B">
            <w:pPr>
              <w:autoSpaceDE w:val="0"/>
              <w:autoSpaceDN w:val="0"/>
              <w:adjustRightInd w:val="0"/>
              <w:spacing w:before="60" w:after="60"/>
              <w:rPr>
                <w:color w:val="000000"/>
                <w:sz w:val="16"/>
                <w:szCs w:val="16"/>
              </w:rPr>
            </w:pPr>
            <w:r w:rsidRPr="00515D00">
              <w:rPr>
                <w:sz w:val="16"/>
                <w:szCs w:val="16"/>
              </w:rPr>
              <w:t>Impartir educación superior a los funcionarios gubernamentales y otros expertos en P.I. para mejorar su capacidad de utilizar la P.I. y administrar derechos de P.I.</w:t>
            </w:r>
          </w:p>
        </w:tc>
      </w:tr>
      <w:tr w:rsidR="003E311F" w:rsidRPr="00092F2E" w:rsidTr="007A358B">
        <w:trPr>
          <w:trHeight w:val="495"/>
        </w:trPr>
        <w:tc>
          <w:tcPr>
            <w:tcW w:w="1843" w:type="dxa"/>
            <w:tcBorders>
              <w:top w:val="nil"/>
              <w:left w:val="single" w:sz="4" w:space="0" w:color="auto"/>
              <w:bottom w:val="nil"/>
            </w:tcBorders>
          </w:tcPr>
          <w:p w:rsidR="003E311F" w:rsidRPr="00515D00" w:rsidRDefault="003E311F" w:rsidP="007A358B">
            <w:pPr>
              <w:autoSpaceDE w:val="0"/>
              <w:autoSpaceDN w:val="0"/>
              <w:adjustRightInd w:val="0"/>
              <w:spacing w:before="60" w:after="60"/>
              <w:rPr>
                <w:color w:val="000000"/>
                <w:sz w:val="16"/>
                <w:szCs w:val="16"/>
              </w:rPr>
            </w:pPr>
            <w:r w:rsidRPr="00515D00">
              <w:rPr>
                <w:sz w:val="16"/>
                <w:szCs w:val="16"/>
              </w:rPr>
              <w:t>Becas para el Programa MIP de la Academia de la OMPI – Universidad Nacional de Seúl (OMPI-SNU)</w:t>
            </w:r>
          </w:p>
        </w:tc>
        <w:tc>
          <w:tcPr>
            <w:tcW w:w="1134" w:type="dxa"/>
            <w:tcBorders>
              <w:top w:val="nil"/>
              <w:bottom w:val="nil"/>
            </w:tcBorders>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Marzo de 2015 a diciembre de 2016</w:t>
            </w:r>
          </w:p>
        </w:tc>
        <w:tc>
          <w:tcPr>
            <w:tcW w:w="2333" w:type="dxa"/>
            <w:tcBorders>
              <w:top w:val="nil"/>
              <w:bottom w:val="nil"/>
            </w:tcBorders>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 xml:space="preserve">República de Corea/ 2 estudiantes de India (1) y Pakistán (1) </w:t>
            </w:r>
          </w:p>
        </w:tc>
        <w:tc>
          <w:tcPr>
            <w:tcW w:w="4471" w:type="dxa"/>
            <w:tcBorders>
              <w:top w:val="nil"/>
              <w:bottom w:val="nil"/>
              <w:right w:val="single" w:sz="4" w:space="0" w:color="auto"/>
            </w:tcBorders>
          </w:tcPr>
          <w:p w:rsidR="003E311F" w:rsidRPr="00515D00" w:rsidRDefault="003E311F" w:rsidP="007A358B">
            <w:pPr>
              <w:autoSpaceDE w:val="0"/>
              <w:autoSpaceDN w:val="0"/>
              <w:adjustRightInd w:val="0"/>
              <w:spacing w:before="60" w:after="60"/>
              <w:rPr>
                <w:color w:val="000000"/>
                <w:sz w:val="16"/>
                <w:szCs w:val="16"/>
              </w:rPr>
            </w:pPr>
            <w:r w:rsidRPr="00515D00">
              <w:rPr>
                <w:sz w:val="16"/>
                <w:szCs w:val="16"/>
              </w:rPr>
              <w:t>Impartir educación superior a los funcionarios gubernamentales y otros expertos en P.I. para mejorar su capacidad de utilizar la P.I. y administrar derechos de P.I.</w:t>
            </w:r>
          </w:p>
        </w:tc>
      </w:tr>
      <w:tr w:rsidR="003E311F" w:rsidRPr="00092F2E" w:rsidTr="007A358B">
        <w:trPr>
          <w:trHeight w:val="495"/>
        </w:trPr>
        <w:tc>
          <w:tcPr>
            <w:tcW w:w="1843" w:type="dxa"/>
            <w:tcBorders>
              <w:top w:val="nil"/>
              <w:left w:val="single" w:sz="4" w:space="0" w:color="auto"/>
              <w:bottom w:val="single" w:sz="4" w:space="0" w:color="auto"/>
            </w:tcBorders>
          </w:tcPr>
          <w:p w:rsidR="003E311F" w:rsidRPr="00515D00" w:rsidRDefault="003E311F" w:rsidP="007A358B">
            <w:pPr>
              <w:autoSpaceDE w:val="0"/>
              <w:autoSpaceDN w:val="0"/>
              <w:adjustRightInd w:val="0"/>
              <w:spacing w:before="60" w:after="60"/>
              <w:rPr>
                <w:color w:val="000000"/>
                <w:sz w:val="16"/>
                <w:szCs w:val="16"/>
              </w:rPr>
            </w:pPr>
            <w:r w:rsidRPr="00515D00">
              <w:rPr>
                <w:sz w:val="16"/>
                <w:szCs w:val="16"/>
              </w:rPr>
              <w:t>Becas para el Curso de verano OMPI-República de Corea</w:t>
            </w:r>
          </w:p>
        </w:tc>
        <w:tc>
          <w:tcPr>
            <w:tcW w:w="1134" w:type="dxa"/>
            <w:tcBorders>
              <w:top w:val="nil"/>
              <w:bottom w:val="single" w:sz="4" w:space="0" w:color="auto"/>
            </w:tcBorders>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13 a 24 de julio de 2015</w:t>
            </w:r>
          </w:p>
        </w:tc>
        <w:tc>
          <w:tcPr>
            <w:tcW w:w="2333" w:type="dxa"/>
            <w:tcBorders>
              <w:top w:val="nil"/>
              <w:bottom w:val="single" w:sz="4" w:space="0" w:color="auto"/>
            </w:tcBorders>
          </w:tcPr>
          <w:p w:rsidR="003E311F" w:rsidRPr="00515D00" w:rsidRDefault="003E311F" w:rsidP="007A358B">
            <w:pPr>
              <w:autoSpaceDE w:val="0"/>
              <w:autoSpaceDN w:val="0"/>
              <w:adjustRightInd w:val="0"/>
              <w:spacing w:before="60" w:after="60"/>
              <w:ind w:right="-108"/>
              <w:rPr>
                <w:color w:val="000000"/>
                <w:sz w:val="16"/>
                <w:szCs w:val="16"/>
              </w:rPr>
            </w:pPr>
            <w:r w:rsidRPr="00515D00">
              <w:rPr>
                <w:color w:val="000000"/>
                <w:sz w:val="16"/>
                <w:szCs w:val="16"/>
              </w:rPr>
              <w:t xml:space="preserve">República de Corea/ 6 participantes de Brasil, Bangladesh, India, Mongolia, Rumania y </w:t>
            </w:r>
            <w:proofErr w:type="spellStart"/>
            <w:r w:rsidRPr="00515D00">
              <w:rPr>
                <w:color w:val="000000"/>
                <w:sz w:val="16"/>
                <w:szCs w:val="16"/>
              </w:rPr>
              <w:t>Zimbabwe</w:t>
            </w:r>
            <w:proofErr w:type="spellEnd"/>
          </w:p>
        </w:tc>
        <w:tc>
          <w:tcPr>
            <w:tcW w:w="4471" w:type="dxa"/>
            <w:tcBorders>
              <w:top w:val="nil"/>
              <w:bottom w:val="single" w:sz="4" w:space="0" w:color="auto"/>
              <w:right w:val="single" w:sz="4" w:space="0" w:color="auto"/>
            </w:tcBorders>
          </w:tcPr>
          <w:p w:rsidR="003E311F" w:rsidRPr="00515D00" w:rsidRDefault="003E311F" w:rsidP="007A358B">
            <w:pPr>
              <w:autoSpaceDE w:val="0"/>
              <w:autoSpaceDN w:val="0"/>
              <w:adjustRightInd w:val="0"/>
              <w:spacing w:before="60" w:after="60"/>
              <w:rPr>
                <w:color w:val="000000"/>
                <w:sz w:val="16"/>
                <w:szCs w:val="16"/>
              </w:rPr>
            </w:pPr>
            <w:r w:rsidRPr="00515D00">
              <w:rPr>
                <w:sz w:val="16"/>
                <w:szCs w:val="16"/>
              </w:rPr>
              <w:t>i) Fortalecer las capacidades de estudiantes universitarios avanzados y jóvenes profesionales mediante un conocimiento más profundo de los campos relacionados con los derechos de P.I.;  y ii) mejorar su comprensión del papel y la función del sistema de P.I.</w:t>
            </w:r>
          </w:p>
        </w:tc>
      </w:tr>
    </w:tbl>
    <w:p w:rsidR="003E311F" w:rsidRPr="007329AC" w:rsidRDefault="003E311F" w:rsidP="003E311F">
      <w:pPr>
        <w:rPr>
          <w:b/>
          <w:sz w:val="20"/>
        </w:rPr>
      </w:pPr>
    </w:p>
    <w:p w:rsidR="003E311F" w:rsidRPr="007329AC" w:rsidRDefault="003E311F" w:rsidP="003E311F">
      <w:pPr>
        <w:rPr>
          <w:b/>
          <w:sz w:val="20"/>
        </w:rPr>
      </w:pPr>
    </w:p>
    <w:p w:rsidR="003E311F" w:rsidRPr="007329AC" w:rsidRDefault="003E311F" w:rsidP="003E311F">
      <w:pPr>
        <w:rPr>
          <w:b/>
          <w:sz w:val="20"/>
        </w:rPr>
      </w:pPr>
      <w:r w:rsidRPr="007329AC">
        <w:rPr>
          <w:b/>
          <w:sz w:val="20"/>
        </w:rPr>
        <w:t>REPÚBLICA DE COREA (EDUCACIÓN) – Becas en P.I. (Academia) – Contribuciones de donantes y gastos en 2015</w:t>
      </w:r>
    </w:p>
    <w:p w:rsidR="003E311F" w:rsidRPr="007329AC" w:rsidRDefault="003E311F" w:rsidP="003E311F">
      <w:pPr>
        <w:rPr>
          <w:b/>
          <w:bCs/>
          <w:color w:val="000000"/>
          <w:sz w:val="20"/>
        </w:rPr>
      </w:pPr>
    </w:p>
    <w:tbl>
      <w:tblPr>
        <w:tblW w:w="9791" w:type="dxa"/>
        <w:tblInd w:w="98" w:type="dxa"/>
        <w:tblLook w:val="04A0" w:firstRow="1" w:lastRow="0" w:firstColumn="1" w:lastColumn="0" w:noHBand="0" w:noVBand="1"/>
      </w:tblPr>
      <w:tblGrid>
        <w:gridCol w:w="2040"/>
        <w:gridCol w:w="1640"/>
        <w:gridCol w:w="1860"/>
        <w:gridCol w:w="1780"/>
        <w:gridCol w:w="2471"/>
      </w:tblGrid>
      <w:tr w:rsidR="003E311F" w:rsidRPr="00515D00" w:rsidTr="007A358B">
        <w:trPr>
          <w:trHeight w:val="450"/>
        </w:trPr>
        <w:tc>
          <w:tcPr>
            <w:tcW w:w="2040" w:type="dxa"/>
            <w:tcBorders>
              <w:top w:val="single" w:sz="8" w:space="0" w:color="auto"/>
              <w:left w:val="single" w:sz="8" w:space="0" w:color="auto"/>
              <w:bottom w:val="nil"/>
              <w:right w:val="single" w:sz="8" w:space="0" w:color="auto"/>
            </w:tcBorders>
            <w:shd w:val="clear" w:color="auto" w:fill="C6D9F1" w:themeFill="text2" w:themeFillTint="33"/>
            <w:vAlign w:val="center"/>
            <w:hideMark/>
          </w:tcPr>
          <w:p w:rsidR="003E311F" w:rsidRPr="00515D00" w:rsidRDefault="005C708A" w:rsidP="007A358B">
            <w:pPr>
              <w:jc w:val="center"/>
              <w:rPr>
                <w:b/>
                <w:bCs/>
                <w:color w:val="000000"/>
                <w:sz w:val="16"/>
                <w:szCs w:val="16"/>
              </w:rPr>
            </w:pPr>
            <w:r>
              <w:rPr>
                <w:b/>
                <w:bCs/>
                <w:sz w:val="16"/>
                <w:szCs w:val="16"/>
              </w:rPr>
              <w:t>Saldo el</w:t>
            </w:r>
            <w:r w:rsidR="003E311F" w:rsidRPr="00515D00">
              <w:rPr>
                <w:b/>
                <w:bCs/>
                <w:sz w:val="16"/>
                <w:szCs w:val="16"/>
              </w:rPr>
              <w:t xml:space="preserve"> 31 de diciembre de </w:t>
            </w:r>
            <w:r w:rsidR="003E311F" w:rsidRPr="00515D00">
              <w:rPr>
                <w:b/>
                <w:bCs/>
                <w:color w:val="000000"/>
                <w:sz w:val="16"/>
                <w:szCs w:val="16"/>
              </w:rPr>
              <w:t>2014</w:t>
            </w:r>
          </w:p>
        </w:tc>
        <w:tc>
          <w:tcPr>
            <w:tcW w:w="1640" w:type="dxa"/>
            <w:tcBorders>
              <w:top w:val="single" w:sz="8" w:space="0" w:color="auto"/>
              <w:left w:val="nil"/>
              <w:bottom w:val="nil"/>
              <w:right w:val="single" w:sz="8" w:space="0" w:color="auto"/>
            </w:tcBorders>
            <w:shd w:val="clear" w:color="auto" w:fill="C6D9F1" w:themeFill="text2" w:themeFillTint="33"/>
            <w:vAlign w:val="center"/>
            <w:hideMark/>
          </w:tcPr>
          <w:p w:rsidR="003E311F" w:rsidRPr="00515D00" w:rsidRDefault="003E311F" w:rsidP="007A358B">
            <w:pPr>
              <w:jc w:val="center"/>
              <w:rPr>
                <w:b/>
                <w:bCs/>
                <w:color w:val="000000"/>
                <w:sz w:val="16"/>
                <w:szCs w:val="16"/>
              </w:rPr>
            </w:pPr>
            <w:r w:rsidRPr="00515D00">
              <w:rPr>
                <w:b/>
                <w:bCs/>
                <w:sz w:val="16"/>
                <w:szCs w:val="16"/>
              </w:rPr>
              <w:t xml:space="preserve">Ingresos en </w:t>
            </w:r>
            <w:r w:rsidRPr="00515D00">
              <w:rPr>
                <w:b/>
                <w:bCs/>
                <w:color w:val="000000"/>
                <w:sz w:val="16"/>
                <w:szCs w:val="16"/>
              </w:rPr>
              <w:t>2015</w:t>
            </w:r>
          </w:p>
        </w:tc>
        <w:tc>
          <w:tcPr>
            <w:tcW w:w="1860" w:type="dxa"/>
            <w:tcBorders>
              <w:top w:val="single" w:sz="8" w:space="0" w:color="auto"/>
              <w:left w:val="nil"/>
              <w:bottom w:val="nil"/>
              <w:right w:val="single" w:sz="8" w:space="0" w:color="auto"/>
            </w:tcBorders>
            <w:shd w:val="clear" w:color="auto" w:fill="C6D9F1" w:themeFill="text2" w:themeFillTint="33"/>
            <w:vAlign w:val="center"/>
            <w:hideMark/>
          </w:tcPr>
          <w:p w:rsidR="003E311F" w:rsidRPr="00515D00" w:rsidRDefault="003E311F" w:rsidP="007A358B">
            <w:pPr>
              <w:jc w:val="center"/>
              <w:rPr>
                <w:b/>
                <w:bCs/>
                <w:color w:val="000000"/>
                <w:sz w:val="16"/>
                <w:szCs w:val="16"/>
              </w:rPr>
            </w:pPr>
            <w:r w:rsidRPr="00515D00">
              <w:rPr>
                <w:b/>
                <w:bCs/>
                <w:sz w:val="16"/>
                <w:szCs w:val="16"/>
              </w:rPr>
              <w:t xml:space="preserve">Gastos en </w:t>
            </w:r>
            <w:r w:rsidRPr="00515D00">
              <w:rPr>
                <w:b/>
                <w:bCs/>
                <w:color w:val="000000"/>
                <w:sz w:val="16"/>
                <w:szCs w:val="16"/>
              </w:rPr>
              <w:t>2015</w:t>
            </w:r>
          </w:p>
        </w:tc>
        <w:tc>
          <w:tcPr>
            <w:tcW w:w="1780" w:type="dxa"/>
            <w:tcBorders>
              <w:top w:val="single" w:sz="8" w:space="0" w:color="auto"/>
              <w:left w:val="nil"/>
              <w:bottom w:val="nil"/>
              <w:right w:val="single" w:sz="8" w:space="0" w:color="auto"/>
            </w:tcBorders>
            <w:shd w:val="clear" w:color="auto" w:fill="C6D9F1" w:themeFill="text2" w:themeFillTint="33"/>
            <w:vAlign w:val="center"/>
            <w:hideMark/>
          </w:tcPr>
          <w:p w:rsidR="003E311F" w:rsidRPr="00515D00" w:rsidRDefault="003E311F" w:rsidP="007A358B">
            <w:pPr>
              <w:jc w:val="center"/>
              <w:rPr>
                <w:b/>
                <w:bCs/>
                <w:color w:val="000000"/>
                <w:sz w:val="16"/>
                <w:szCs w:val="16"/>
              </w:rPr>
            </w:pPr>
            <w:r w:rsidRPr="00515D00">
              <w:rPr>
                <w:b/>
                <w:bCs/>
                <w:sz w:val="16"/>
                <w:szCs w:val="16"/>
              </w:rPr>
              <w:t>Reembolsos</w:t>
            </w:r>
          </w:p>
        </w:tc>
        <w:tc>
          <w:tcPr>
            <w:tcW w:w="2471" w:type="dxa"/>
            <w:tcBorders>
              <w:top w:val="single" w:sz="8" w:space="0" w:color="auto"/>
              <w:left w:val="nil"/>
              <w:bottom w:val="nil"/>
              <w:right w:val="single" w:sz="8" w:space="0" w:color="auto"/>
            </w:tcBorders>
            <w:shd w:val="clear" w:color="auto" w:fill="C6D9F1" w:themeFill="text2" w:themeFillTint="33"/>
            <w:vAlign w:val="center"/>
            <w:hideMark/>
          </w:tcPr>
          <w:p w:rsidR="003E311F" w:rsidRPr="00515D00" w:rsidRDefault="005C708A" w:rsidP="007A358B">
            <w:pPr>
              <w:jc w:val="center"/>
              <w:rPr>
                <w:b/>
                <w:bCs/>
                <w:color w:val="000000"/>
                <w:sz w:val="16"/>
                <w:szCs w:val="16"/>
              </w:rPr>
            </w:pPr>
            <w:r>
              <w:rPr>
                <w:b/>
                <w:bCs/>
                <w:sz w:val="16"/>
                <w:szCs w:val="16"/>
              </w:rPr>
              <w:t>Saldo el</w:t>
            </w:r>
            <w:r w:rsidR="003E311F" w:rsidRPr="00515D00">
              <w:rPr>
                <w:b/>
                <w:bCs/>
                <w:sz w:val="16"/>
                <w:szCs w:val="16"/>
              </w:rPr>
              <w:t xml:space="preserve"> 31 de diciembre de </w:t>
            </w:r>
            <w:r w:rsidR="003E311F" w:rsidRPr="00515D00">
              <w:rPr>
                <w:b/>
                <w:bCs/>
                <w:color w:val="000000"/>
                <w:sz w:val="16"/>
                <w:szCs w:val="16"/>
              </w:rPr>
              <w:t>2015</w:t>
            </w:r>
          </w:p>
        </w:tc>
      </w:tr>
      <w:tr w:rsidR="003E311F" w:rsidRPr="00515D00" w:rsidTr="007A358B">
        <w:trPr>
          <w:trHeight w:val="255"/>
        </w:trPr>
        <w:tc>
          <w:tcPr>
            <w:tcW w:w="2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311F" w:rsidRPr="00515D00" w:rsidRDefault="003E311F" w:rsidP="007A358B">
            <w:pPr>
              <w:jc w:val="center"/>
              <w:rPr>
                <w:color w:val="000000"/>
                <w:sz w:val="16"/>
                <w:szCs w:val="16"/>
              </w:rPr>
            </w:pPr>
            <w:r w:rsidRPr="00515D00">
              <w:rPr>
                <w:color w:val="000000"/>
                <w:sz w:val="16"/>
                <w:szCs w:val="16"/>
              </w:rPr>
              <w:t>276.726</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3E311F" w:rsidRPr="00515D00" w:rsidRDefault="003E311F" w:rsidP="007A358B">
            <w:pPr>
              <w:jc w:val="center"/>
              <w:rPr>
                <w:color w:val="000000"/>
                <w:sz w:val="16"/>
                <w:szCs w:val="16"/>
              </w:rPr>
            </w:pPr>
            <w:r w:rsidRPr="00515D00">
              <w:rPr>
                <w:color w:val="000000"/>
                <w:sz w:val="16"/>
                <w:szCs w:val="16"/>
              </w:rPr>
              <w:t>164.735</w:t>
            </w:r>
          </w:p>
        </w:tc>
        <w:tc>
          <w:tcPr>
            <w:tcW w:w="1860" w:type="dxa"/>
            <w:tcBorders>
              <w:top w:val="single" w:sz="4" w:space="0" w:color="auto"/>
              <w:left w:val="nil"/>
              <w:bottom w:val="single" w:sz="4" w:space="0" w:color="auto"/>
              <w:right w:val="single" w:sz="4" w:space="0" w:color="auto"/>
            </w:tcBorders>
            <w:shd w:val="clear" w:color="auto" w:fill="auto"/>
            <w:vAlign w:val="center"/>
            <w:hideMark/>
          </w:tcPr>
          <w:p w:rsidR="003E311F" w:rsidRPr="00515D00" w:rsidRDefault="003E311F" w:rsidP="007A358B">
            <w:pPr>
              <w:jc w:val="center"/>
              <w:rPr>
                <w:color w:val="000000"/>
                <w:sz w:val="16"/>
                <w:szCs w:val="16"/>
              </w:rPr>
            </w:pPr>
            <w:r w:rsidRPr="00515D00">
              <w:rPr>
                <w:color w:val="000000"/>
                <w:sz w:val="16"/>
                <w:szCs w:val="16"/>
              </w:rPr>
              <w:t>124.143</w:t>
            </w:r>
          </w:p>
        </w:tc>
        <w:tc>
          <w:tcPr>
            <w:tcW w:w="1780" w:type="dxa"/>
            <w:tcBorders>
              <w:top w:val="single" w:sz="4" w:space="0" w:color="auto"/>
              <w:left w:val="nil"/>
              <w:bottom w:val="single" w:sz="4" w:space="0" w:color="auto"/>
              <w:right w:val="single" w:sz="4" w:space="0" w:color="auto"/>
            </w:tcBorders>
            <w:shd w:val="clear" w:color="auto" w:fill="auto"/>
            <w:noWrap/>
            <w:vAlign w:val="center"/>
            <w:hideMark/>
          </w:tcPr>
          <w:p w:rsidR="003E311F" w:rsidRPr="00515D00" w:rsidRDefault="003E311F" w:rsidP="007A358B">
            <w:pPr>
              <w:jc w:val="center"/>
              <w:rPr>
                <w:color w:val="000000"/>
                <w:sz w:val="16"/>
                <w:szCs w:val="16"/>
              </w:rPr>
            </w:pPr>
            <w:r w:rsidRPr="00515D00">
              <w:rPr>
                <w:color w:val="000000"/>
                <w:sz w:val="16"/>
                <w:szCs w:val="16"/>
              </w:rPr>
              <w:t>-</w:t>
            </w:r>
          </w:p>
        </w:tc>
        <w:tc>
          <w:tcPr>
            <w:tcW w:w="2471" w:type="dxa"/>
            <w:tcBorders>
              <w:top w:val="single" w:sz="4" w:space="0" w:color="auto"/>
              <w:left w:val="nil"/>
              <w:bottom w:val="single" w:sz="4" w:space="0" w:color="auto"/>
              <w:right w:val="single" w:sz="4" w:space="0" w:color="auto"/>
            </w:tcBorders>
            <w:shd w:val="clear" w:color="auto" w:fill="auto"/>
            <w:vAlign w:val="center"/>
            <w:hideMark/>
          </w:tcPr>
          <w:p w:rsidR="003E311F" w:rsidRPr="00515D00" w:rsidRDefault="003E311F" w:rsidP="007A358B">
            <w:pPr>
              <w:jc w:val="center"/>
              <w:rPr>
                <w:color w:val="000000"/>
                <w:sz w:val="16"/>
                <w:szCs w:val="16"/>
              </w:rPr>
            </w:pPr>
            <w:r w:rsidRPr="00515D00">
              <w:rPr>
                <w:color w:val="000000"/>
                <w:sz w:val="16"/>
                <w:szCs w:val="16"/>
              </w:rPr>
              <w:t>317.318</w:t>
            </w:r>
          </w:p>
        </w:tc>
      </w:tr>
    </w:tbl>
    <w:p w:rsidR="003E311F" w:rsidRPr="007329AC" w:rsidRDefault="003E311F" w:rsidP="003E311F">
      <w:pPr>
        <w:rPr>
          <w:sz w:val="20"/>
        </w:rPr>
      </w:pPr>
    </w:p>
    <w:p w:rsidR="003E311F" w:rsidRPr="007329AC" w:rsidRDefault="003E311F" w:rsidP="003E311F">
      <w:pPr>
        <w:rPr>
          <w:sz w:val="20"/>
        </w:rPr>
      </w:pPr>
    </w:p>
    <w:p w:rsidR="003E311F" w:rsidRPr="007329AC" w:rsidRDefault="003E311F" w:rsidP="003E311F">
      <w:pPr>
        <w:keepNext/>
        <w:keepLines/>
        <w:rPr>
          <w:b/>
          <w:sz w:val="20"/>
        </w:rPr>
      </w:pPr>
      <w:r w:rsidRPr="007329AC">
        <w:rPr>
          <w:b/>
          <w:sz w:val="20"/>
        </w:rPr>
        <w:t>REPÚBLICA DE COREA – PROPIEDAD IN</w:t>
      </w:r>
      <w:r w:rsidR="00386789">
        <w:rPr>
          <w:b/>
          <w:sz w:val="20"/>
        </w:rPr>
        <w:t>DUSTRIAL</w:t>
      </w:r>
    </w:p>
    <w:p w:rsidR="003E311F" w:rsidRPr="007329AC" w:rsidRDefault="003E311F" w:rsidP="003E311F">
      <w:pPr>
        <w:keepNext/>
        <w:keepLines/>
        <w:rPr>
          <w:b/>
          <w:sz w:val="20"/>
        </w:rPr>
      </w:pPr>
    </w:p>
    <w:tbl>
      <w:tblPr>
        <w:tblW w:w="9811" w:type="dxa"/>
        <w:tblInd w:w="7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30"/>
        <w:gridCol w:w="43"/>
        <w:gridCol w:w="1134"/>
        <w:gridCol w:w="1843"/>
        <w:gridCol w:w="4961"/>
      </w:tblGrid>
      <w:tr w:rsidR="003E311F" w:rsidRPr="00092F2E" w:rsidTr="007A358B">
        <w:trPr>
          <w:trHeight w:val="328"/>
        </w:trPr>
        <w:tc>
          <w:tcPr>
            <w:tcW w:w="9811" w:type="dxa"/>
            <w:gridSpan w:val="5"/>
            <w:tcBorders>
              <w:top w:val="single" w:sz="4" w:space="0" w:color="000000"/>
              <w:bottom w:val="single" w:sz="4" w:space="0" w:color="000000"/>
            </w:tcBorders>
            <w:shd w:val="clear" w:color="auto" w:fill="C6D9F1" w:themeFill="text2" w:themeFillTint="33"/>
            <w:vAlign w:val="center"/>
          </w:tcPr>
          <w:p w:rsidR="003E311F" w:rsidRPr="00515D00" w:rsidRDefault="003E311F" w:rsidP="007A358B">
            <w:pPr>
              <w:keepNext/>
              <w:keepLines/>
              <w:tabs>
                <w:tab w:val="left" w:pos="1740"/>
              </w:tabs>
              <w:spacing w:before="120" w:after="120"/>
              <w:ind w:left="1740" w:hanging="1740"/>
              <w:rPr>
                <w:b/>
                <w:bCs/>
                <w:sz w:val="16"/>
                <w:szCs w:val="16"/>
              </w:rPr>
            </w:pPr>
            <w:r w:rsidRPr="00515D00">
              <w:rPr>
                <w:b/>
                <w:bCs/>
                <w:color w:val="000000"/>
                <w:sz w:val="16"/>
                <w:szCs w:val="16"/>
                <w:shd w:val="clear" w:color="auto" w:fill="C6D9F1" w:themeFill="text2" w:themeFillTint="33"/>
              </w:rPr>
              <w:t>RESULTADO:</w:t>
            </w:r>
            <w:r w:rsidRPr="00515D00">
              <w:rPr>
                <w:b/>
                <w:bCs/>
                <w:sz w:val="16"/>
                <w:szCs w:val="16"/>
                <w:shd w:val="clear" w:color="auto" w:fill="C6D9F1" w:themeFill="text2" w:themeFillTint="33"/>
              </w:rPr>
              <w:tab/>
            </w:r>
            <w:r w:rsidRPr="00515D00">
              <w:rPr>
                <w:bCs/>
                <w:sz w:val="16"/>
                <w:szCs w:val="16"/>
                <w:shd w:val="clear" w:color="auto" w:fill="C6D9F1" w:themeFill="text2" w:themeFillTint="33"/>
              </w:rPr>
              <w:t>I</w:t>
            </w:r>
            <w:r w:rsidRPr="00515D00">
              <w:rPr>
                <w:bCs/>
                <w:color w:val="000000"/>
                <w:sz w:val="16"/>
                <w:szCs w:val="16"/>
                <w:shd w:val="clear" w:color="auto" w:fill="C6D9F1" w:themeFill="text2" w:themeFillTint="33"/>
              </w:rPr>
              <w:t>.2  Marcos de P.I. adaptados y equilibrados en el ámbito legislativo, reglamentario y de política</w:t>
            </w:r>
          </w:p>
        </w:tc>
      </w:tr>
      <w:tr w:rsidR="003E311F" w:rsidRPr="00515D00" w:rsidTr="007A358B">
        <w:trPr>
          <w:trHeight w:val="483"/>
        </w:trPr>
        <w:tc>
          <w:tcPr>
            <w:tcW w:w="1873" w:type="dxa"/>
            <w:gridSpan w:val="2"/>
            <w:tcBorders>
              <w:top w:val="single" w:sz="4" w:space="0" w:color="000000"/>
            </w:tcBorders>
            <w:vAlign w:val="center"/>
          </w:tcPr>
          <w:p w:rsidR="003E311F" w:rsidRPr="00515D00" w:rsidRDefault="003E311F" w:rsidP="007A358B">
            <w:pPr>
              <w:keepNext/>
              <w:keepLines/>
              <w:spacing w:before="60" w:after="60"/>
              <w:rPr>
                <w:b/>
                <w:bCs/>
                <w:sz w:val="16"/>
                <w:szCs w:val="16"/>
              </w:rPr>
            </w:pPr>
            <w:r w:rsidRPr="00515D00">
              <w:rPr>
                <w:b/>
                <w:bCs/>
                <w:sz w:val="16"/>
                <w:szCs w:val="16"/>
              </w:rPr>
              <w:t>Actividad</w:t>
            </w:r>
          </w:p>
        </w:tc>
        <w:tc>
          <w:tcPr>
            <w:tcW w:w="1134" w:type="dxa"/>
            <w:tcBorders>
              <w:top w:val="single" w:sz="4" w:space="0" w:color="000000"/>
            </w:tcBorders>
            <w:shd w:val="clear" w:color="auto" w:fill="auto"/>
            <w:tcMar>
              <w:top w:w="110" w:type="dxa"/>
            </w:tcMar>
            <w:vAlign w:val="center"/>
          </w:tcPr>
          <w:p w:rsidR="003E311F" w:rsidRPr="00515D00" w:rsidRDefault="003E311F" w:rsidP="007A358B">
            <w:pPr>
              <w:keepNext/>
              <w:keepLines/>
              <w:spacing w:before="60" w:after="60"/>
              <w:rPr>
                <w:sz w:val="16"/>
                <w:szCs w:val="16"/>
              </w:rPr>
            </w:pPr>
            <w:r w:rsidRPr="00515D00">
              <w:rPr>
                <w:b/>
                <w:bCs/>
                <w:sz w:val="16"/>
                <w:szCs w:val="16"/>
              </w:rPr>
              <w:t>Fecha</w:t>
            </w:r>
          </w:p>
        </w:tc>
        <w:tc>
          <w:tcPr>
            <w:tcW w:w="1843" w:type="dxa"/>
            <w:tcBorders>
              <w:top w:val="single" w:sz="4" w:space="0" w:color="000000"/>
            </w:tcBorders>
            <w:shd w:val="clear" w:color="auto" w:fill="auto"/>
            <w:tcMar>
              <w:top w:w="110" w:type="dxa"/>
            </w:tcMar>
            <w:vAlign w:val="center"/>
          </w:tcPr>
          <w:p w:rsidR="003E311F" w:rsidRPr="00515D00" w:rsidRDefault="003E311F" w:rsidP="007A358B">
            <w:pPr>
              <w:widowControl w:val="0"/>
              <w:rPr>
                <w:sz w:val="16"/>
                <w:szCs w:val="16"/>
              </w:rPr>
            </w:pPr>
            <w:r w:rsidRPr="00515D00">
              <w:rPr>
                <w:b/>
                <w:sz w:val="16"/>
                <w:szCs w:val="16"/>
              </w:rPr>
              <w:t>País anfitrión / Beneficiarios</w:t>
            </w:r>
          </w:p>
        </w:tc>
        <w:tc>
          <w:tcPr>
            <w:tcW w:w="4961" w:type="dxa"/>
            <w:tcBorders>
              <w:top w:val="single" w:sz="4" w:space="0" w:color="000000"/>
            </w:tcBorders>
            <w:shd w:val="clear" w:color="auto" w:fill="FFFFFF"/>
            <w:tcMar>
              <w:top w:w="110" w:type="dxa"/>
            </w:tcMar>
            <w:vAlign w:val="center"/>
          </w:tcPr>
          <w:p w:rsidR="003E311F" w:rsidRPr="00515D00" w:rsidRDefault="003E311F" w:rsidP="007A358B">
            <w:pPr>
              <w:widowControl w:val="0"/>
              <w:rPr>
                <w:sz w:val="16"/>
                <w:szCs w:val="16"/>
              </w:rPr>
            </w:pPr>
            <w:r w:rsidRPr="00515D00">
              <w:rPr>
                <w:b/>
                <w:sz w:val="16"/>
                <w:szCs w:val="16"/>
              </w:rPr>
              <w:t>Propósito(s)/Descripción</w:t>
            </w:r>
          </w:p>
        </w:tc>
      </w:tr>
      <w:tr w:rsidR="003E311F" w:rsidRPr="00092F2E" w:rsidTr="007A358B">
        <w:tc>
          <w:tcPr>
            <w:tcW w:w="1873" w:type="dxa"/>
            <w:gridSpan w:val="2"/>
          </w:tcPr>
          <w:p w:rsidR="003E311F" w:rsidRPr="00515D00" w:rsidRDefault="003E311F" w:rsidP="007A358B">
            <w:pPr>
              <w:spacing w:before="60" w:after="60"/>
              <w:rPr>
                <w:color w:val="000000"/>
                <w:sz w:val="16"/>
                <w:szCs w:val="16"/>
                <w:lang w:eastAsia="ko-KR"/>
              </w:rPr>
            </w:pPr>
            <w:r w:rsidRPr="00515D00">
              <w:rPr>
                <w:color w:val="000000"/>
                <w:sz w:val="16"/>
                <w:szCs w:val="16"/>
                <w:lang w:eastAsia="ko-KR"/>
              </w:rPr>
              <w:t>Estudio sobre el diseño industrial en los países de Asia Sudoriental</w:t>
            </w:r>
          </w:p>
        </w:tc>
        <w:tc>
          <w:tcPr>
            <w:tcW w:w="1134" w:type="dxa"/>
          </w:tcPr>
          <w:p w:rsidR="003E311F" w:rsidRPr="00515D00" w:rsidRDefault="003E311F" w:rsidP="007A358B">
            <w:pPr>
              <w:spacing w:before="60" w:after="60"/>
              <w:rPr>
                <w:color w:val="000000"/>
                <w:sz w:val="16"/>
                <w:szCs w:val="16"/>
              </w:rPr>
            </w:pPr>
            <w:r w:rsidRPr="00515D00">
              <w:rPr>
                <w:rFonts w:eastAsia="Malgun Gothic"/>
                <w:color w:val="000000"/>
                <w:sz w:val="16"/>
                <w:szCs w:val="16"/>
                <w:lang w:eastAsia="ko-KR"/>
              </w:rPr>
              <w:t>Mayo de</w:t>
            </w:r>
            <w:r w:rsidRPr="00515D00">
              <w:rPr>
                <w:color w:val="000000"/>
                <w:sz w:val="16"/>
                <w:szCs w:val="16"/>
                <w:lang w:eastAsia="ko-KR"/>
              </w:rPr>
              <w:t xml:space="preserve"> 2015 </w:t>
            </w:r>
            <w:r w:rsidRPr="008458B0">
              <w:rPr>
                <w:color w:val="000000"/>
                <w:sz w:val="14"/>
                <w:szCs w:val="14"/>
                <w:lang w:eastAsia="ko-KR"/>
              </w:rPr>
              <w:t>(comenzado)</w:t>
            </w:r>
          </w:p>
        </w:tc>
        <w:tc>
          <w:tcPr>
            <w:tcW w:w="1843" w:type="dxa"/>
          </w:tcPr>
          <w:p w:rsidR="003E311F" w:rsidRPr="00515D00" w:rsidRDefault="003E311F" w:rsidP="007A358B">
            <w:pPr>
              <w:autoSpaceDE w:val="0"/>
              <w:autoSpaceDN w:val="0"/>
              <w:adjustRightInd w:val="0"/>
              <w:spacing w:before="60" w:after="60"/>
              <w:rPr>
                <w:rFonts w:eastAsia="Malgun Gothic"/>
                <w:bCs/>
                <w:sz w:val="16"/>
                <w:szCs w:val="16"/>
                <w:lang w:eastAsia="ko-KR"/>
              </w:rPr>
            </w:pPr>
            <w:r w:rsidRPr="00515D00">
              <w:rPr>
                <w:rFonts w:eastAsia="Malgun Gothic"/>
                <w:color w:val="000000"/>
                <w:sz w:val="16"/>
                <w:szCs w:val="16"/>
                <w:lang w:eastAsia="ko-KR"/>
              </w:rPr>
              <w:t>Indonesia, Filipinas y Tailandia</w:t>
            </w:r>
          </w:p>
        </w:tc>
        <w:tc>
          <w:tcPr>
            <w:tcW w:w="4961" w:type="dxa"/>
          </w:tcPr>
          <w:p w:rsidR="003E311F" w:rsidRPr="00515D00" w:rsidRDefault="003E311F" w:rsidP="007A358B">
            <w:pPr>
              <w:spacing w:before="60" w:after="60"/>
              <w:ind w:left="60"/>
              <w:rPr>
                <w:rFonts w:eastAsia="Malgun Gothic"/>
                <w:color w:val="000000"/>
                <w:sz w:val="16"/>
                <w:szCs w:val="16"/>
              </w:rPr>
            </w:pPr>
            <w:r w:rsidRPr="00515D00">
              <w:rPr>
                <w:rFonts w:eastAsia="Malgun Gothic"/>
                <w:color w:val="000000"/>
                <w:sz w:val="16"/>
                <w:szCs w:val="16"/>
              </w:rPr>
              <w:t xml:space="preserve">i) Crear registros unitarios de datos sobre solicitudes de diseños industriales en diversos países de Asia Sudoriental;  ii) elaborar un examen comparativo de la utilización de los diseños industriales;  iii) examinar las principales tendencias históricas;  iv) desglosar los datos por tipo de usuario, sector y otras características;  y v) analizar las tasas de concesión </w:t>
            </w:r>
            <w:r w:rsidRPr="00A210DE">
              <w:rPr>
                <w:rFonts w:eastAsia="Malgun Gothic"/>
                <w:color w:val="000000"/>
                <w:sz w:val="16"/>
                <w:szCs w:val="16"/>
              </w:rPr>
              <w:t>y</w:t>
            </w:r>
            <w:r>
              <w:rPr>
                <w:rFonts w:eastAsia="Malgun Gothic"/>
                <w:color w:val="000000"/>
                <w:sz w:val="16"/>
                <w:szCs w:val="16"/>
              </w:rPr>
              <w:t xml:space="preserve"> las tendencias en materia de</w:t>
            </w:r>
            <w:r w:rsidRPr="00A210DE">
              <w:rPr>
                <w:rFonts w:eastAsia="Malgun Gothic"/>
                <w:color w:val="000000"/>
                <w:sz w:val="16"/>
                <w:szCs w:val="16"/>
              </w:rPr>
              <w:t xml:space="preserve"> renovación</w:t>
            </w:r>
            <w:r w:rsidRPr="00515D00">
              <w:rPr>
                <w:rFonts w:eastAsia="Malgun Gothic"/>
                <w:color w:val="000000"/>
                <w:sz w:val="16"/>
                <w:szCs w:val="16"/>
              </w:rPr>
              <w:t xml:space="preserve"> en base a los datos disponibles.</w:t>
            </w:r>
          </w:p>
        </w:tc>
      </w:tr>
      <w:tr w:rsidR="003E311F" w:rsidRPr="00092F2E" w:rsidTr="007A358B">
        <w:tc>
          <w:tcPr>
            <w:tcW w:w="1873" w:type="dxa"/>
            <w:gridSpan w:val="2"/>
          </w:tcPr>
          <w:p w:rsidR="003E311F" w:rsidRPr="00515D00" w:rsidRDefault="003E311F" w:rsidP="007A358B">
            <w:pPr>
              <w:spacing w:before="60" w:after="60"/>
              <w:rPr>
                <w:color w:val="000000"/>
                <w:sz w:val="16"/>
                <w:szCs w:val="16"/>
                <w:lang w:eastAsia="ko-KR"/>
              </w:rPr>
            </w:pPr>
            <w:r w:rsidRPr="00515D00">
              <w:rPr>
                <w:sz w:val="16"/>
                <w:szCs w:val="16"/>
              </w:rPr>
              <w:t>Producción de una Guía sobre procedimientos extrajudiciales de solución de controversias</w:t>
            </w:r>
          </w:p>
        </w:tc>
        <w:tc>
          <w:tcPr>
            <w:tcW w:w="1134" w:type="dxa"/>
          </w:tcPr>
          <w:p w:rsidR="003E311F" w:rsidRPr="00515D00" w:rsidRDefault="003E311F" w:rsidP="007A358B">
            <w:pPr>
              <w:spacing w:before="60" w:after="60"/>
              <w:rPr>
                <w:rFonts w:eastAsia="Malgun Gothic"/>
                <w:color w:val="000000"/>
                <w:sz w:val="16"/>
                <w:szCs w:val="16"/>
                <w:lang w:eastAsia="ko-KR"/>
              </w:rPr>
            </w:pPr>
            <w:r w:rsidRPr="00515D00">
              <w:rPr>
                <w:color w:val="000000"/>
                <w:sz w:val="16"/>
                <w:szCs w:val="16"/>
                <w:lang w:eastAsia="ko-KR"/>
              </w:rPr>
              <w:t>Enero a julio de 2015</w:t>
            </w:r>
            <w:r w:rsidRPr="00515D00">
              <w:rPr>
                <w:rStyle w:val="FootnoteReference"/>
                <w:color w:val="000000"/>
                <w:sz w:val="16"/>
                <w:szCs w:val="16"/>
                <w:lang w:eastAsia="ko-KR"/>
              </w:rPr>
              <w:footnoteReference w:id="162"/>
            </w:r>
          </w:p>
        </w:tc>
        <w:tc>
          <w:tcPr>
            <w:tcW w:w="1843" w:type="dxa"/>
          </w:tcPr>
          <w:p w:rsidR="003E311F" w:rsidRPr="00515D00" w:rsidRDefault="003E311F" w:rsidP="007A358B">
            <w:pPr>
              <w:autoSpaceDE w:val="0"/>
              <w:autoSpaceDN w:val="0"/>
              <w:adjustRightInd w:val="0"/>
              <w:spacing w:before="60" w:after="60"/>
              <w:rPr>
                <w:rFonts w:eastAsia="Malgun Gothic"/>
                <w:color w:val="000000"/>
                <w:sz w:val="16"/>
                <w:szCs w:val="16"/>
                <w:lang w:eastAsia="ko-KR"/>
              </w:rPr>
            </w:pPr>
            <w:r w:rsidRPr="00515D00">
              <w:rPr>
                <w:bCs/>
                <w:sz w:val="16"/>
                <w:szCs w:val="16"/>
                <w:lang w:eastAsia="ko-KR"/>
              </w:rPr>
              <w:t>Todos los Estados miembros de la OMPI</w:t>
            </w:r>
          </w:p>
        </w:tc>
        <w:tc>
          <w:tcPr>
            <w:tcW w:w="4961" w:type="dxa"/>
          </w:tcPr>
          <w:p w:rsidR="003E311F" w:rsidRPr="00515D00" w:rsidDel="0018277F" w:rsidRDefault="003E311F" w:rsidP="007A358B">
            <w:pPr>
              <w:spacing w:before="60" w:after="60"/>
              <w:ind w:left="60"/>
              <w:rPr>
                <w:rFonts w:eastAsia="Malgun Gothic"/>
                <w:color w:val="000000"/>
                <w:sz w:val="16"/>
                <w:szCs w:val="16"/>
              </w:rPr>
            </w:pPr>
            <w:r w:rsidRPr="00515D00">
              <w:rPr>
                <w:sz w:val="16"/>
                <w:szCs w:val="16"/>
                <w:lang w:eastAsia="ko-KR"/>
              </w:rPr>
              <w:t>i) Mejorar la comprensión de los procedimientos de solución extrajudicial de controversias en los litigios sobre P.I.</w:t>
            </w:r>
            <w:r w:rsidRPr="00515D00">
              <w:rPr>
                <w:rFonts w:eastAsia="Malgun Gothic"/>
                <w:sz w:val="16"/>
                <w:szCs w:val="16"/>
                <w:lang w:eastAsia="ko-KR"/>
              </w:rPr>
              <w:t>;  ii)</w:t>
            </w:r>
            <w:r w:rsidRPr="00515D00">
              <w:rPr>
                <w:sz w:val="16"/>
                <w:szCs w:val="16"/>
                <w:lang w:eastAsia="ko-KR"/>
              </w:rPr>
              <w:t xml:space="preserve"> compartir con las autoridades nacionales en la materia la experiencia del Centro de Arbitraje y Mediación de la OMPI en solución extrajudicial de controversias</w:t>
            </w:r>
            <w:r w:rsidRPr="00515D00">
              <w:rPr>
                <w:rFonts w:eastAsia="Malgun Gothic"/>
                <w:sz w:val="16"/>
                <w:szCs w:val="16"/>
                <w:lang w:eastAsia="ko-KR"/>
              </w:rPr>
              <w:t>;  y iii)</w:t>
            </w:r>
            <w:r w:rsidRPr="00515D00">
              <w:rPr>
                <w:sz w:val="16"/>
                <w:szCs w:val="16"/>
                <w:lang w:eastAsia="ko-KR"/>
              </w:rPr>
              <w:t xml:space="preserve"> alentar a los países en desarrollo a elaborar y aplicar procedimientos adecuados de solución extrajudicial de controversias.  </w:t>
            </w:r>
          </w:p>
        </w:tc>
      </w:tr>
      <w:tr w:rsidR="003E311F" w:rsidRPr="00092F2E" w:rsidTr="007A358B">
        <w:tc>
          <w:tcPr>
            <w:tcW w:w="9811" w:type="dxa"/>
            <w:gridSpan w:val="5"/>
            <w:tcBorders>
              <w:top w:val="single" w:sz="4" w:space="0" w:color="000000"/>
              <w:bottom w:val="single" w:sz="4" w:space="0" w:color="000000"/>
            </w:tcBorders>
            <w:shd w:val="clear" w:color="auto" w:fill="C6D9F1" w:themeFill="text2" w:themeFillTint="33"/>
            <w:vAlign w:val="center"/>
          </w:tcPr>
          <w:p w:rsidR="003E311F" w:rsidRPr="00515D00" w:rsidRDefault="003E311F" w:rsidP="007A358B">
            <w:pPr>
              <w:keepNext/>
              <w:keepLines/>
              <w:tabs>
                <w:tab w:val="left" w:pos="1740"/>
              </w:tabs>
              <w:spacing w:before="120" w:after="120"/>
              <w:ind w:left="1740" w:hanging="1740"/>
              <w:rPr>
                <w:b/>
                <w:bCs/>
                <w:sz w:val="16"/>
                <w:szCs w:val="16"/>
              </w:rPr>
            </w:pPr>
            <w:r w:rsidRPr="00515D00">
              <w:rPr>
                <w:b/>
                <w:bCs/>
                <w:color w:val="000000"/>
                <w:sz w:val="16"/>
                <w:szCs w:val="16"/>
              </w:rPr>
              <w:lastRenderedPageBreak/>
              <w:t>RESULTADO:</w:t>
            </w:r>
            <w:r w:rsidRPr="00515D00">
              <w:rPr>
                <w:b/>
                <w:bCs/>
                <w:sz w:val="16"/>
                <w:szCs w:val="16"/>
              </w:rPr>
              <w:tab/>
            </w:r>
            <w:r w:rsidRPr="00515D00">
              <w:rPr>
                <w:bCs/>
                <w:color w:val="000000"/>
                <w:sz w:val="16"/>
                <w:szCs w:val="16"/>
              </w:rPr>
              <w:t>III.1  Estrategias y planes nacionales de innovación y de P.I. que estén en sintonía con los objetivos nacionales de desarrollo</w:t>
            </w:r>
          </w:p>
        </w:tc>
      </w:tr>
      <w:tr w:rsidR="003E311F" w:rsidRPr="00515D00" w:rsidTr="007A358B">
        <w:tc>
          <w:tcPr>
            <w:tcW w:w="1873" w:type="dxa"/>
            <w:gridSpan w:val="2"/>
            <w:tcBorders>
              <w:top w:val="single" w:sz="4" w:space="0" w:color="000000"/>
            </w:tcBorders>
            <w:vAlign w:val="center"/>
          </w:tcPr>
          <w:p w:rsidR="003E311F" w:rsidRPr="00515D00" w:rsidRDefault="003E311F" w:rsidP="007A358B">
            <w:pPr>
              <w:keepNext/>
              <w:keepLines/>
              <w:spacing w:before="60" w:after="60"/>
              <w:rPr>
                <w:b/>
                <w:bCs/>
                <w:sz w:val="16"/>
                <w:szCs w:val="16"/>
              </w:rPr>
            </w:pPr>
            <w:r w:rsidRPr="00515D00">
              <w:rPr>
                <w:b/>
                <w:bCs/>
                <w:sz w:val="16"/>
                <w:szCs w:val="16"/>
              </w:rPr>
              <w:t>Actividad</w:t>
            </w:r>
          </w:p>
        </w:tc>
        <w:tc>
          <w:tcPr>
            <w:tcW w:w="1134" w:type="dxa"/>
            <w:tcBorders>
              <w:top w:val="single" w:sz="4" w:space="0" w:color="000000"/>
            </w:tcBorders>
            <w:shd w:val="clear" w:color="auto" w:fill="auto"/>
            <w:tcMar>
              <w:top w:w="110" w:type="dxa"/>
            </w:tcMar>
            <w:vAlign w:val="center"/>
          </w:tcPr>
          <w:p w:rsidR="003E311F" w:rsidRPr="00515D00" w:rsidRDefault="003E311F" w:rsidP="007A358B">
            <w:pPr>
              <w:keepNext/>
              <w:keepLines/>
              <w:spacing w:before="60" w:after="60"/>
              <w:rPr>
                <w:sz w:val="16"/>
                <w:szCs w:val="16"/>
              </w:rPr>
            </w:pPr>
            <w:r w:rsidRPr="00515D00">
              <w:rPr>
                <w:b/>
                <w:bCs/>
                <w:sz w:val="16"/>
                <w:szCs w:val="16"/>
              </w:rPr>
              <w:t>Fecha</w:t>
            </w:r>
          </w:p>
        </w:tc>
        <w:tc>
          <w:tcPr>
            <w:tcW w:w="1843" w:type="dxa"/>
            <w:tcBorders>
              <w:top w:val="single" w:sz="4" w:space="0" w:color="000000"/>
            </w:tcBorders>
            <w:shd w:val="clear" w:color="auto" w:fill="auto"/>
            <w:tcMar>
              <w:top w:w="110" w:type="dxa"/>
            </w:tcMar>
            <w:vAlign w:val="center"/>
          </w:tcPr>
          <w:p w:rsidR="003E311F" w:rsidRPr="00515D00" w:rsidRDefault="003E311F" w:rsidP="007A358B">
            <w:pPr>
              <w:widowControl w:val="0"/>
              <w:rPr>
                <w:sz w:val="16"/>
                <w:szCs w:val="16"/>
              </w:rPr>
            </w:pPr>
            <w:r w:rsidRPr="00515D00">
              <w:rPr>
                <w:b/>
                <w:sz w:val="16"/>
                <w:szCs w:val="16"/>
              </w:rPr>
              <w:t>País anfitrión / Beneficiarios</w:t>
            </w:r>
          </w:p>
        </w:tc>
        <w:tc>
          <w:tcPr>
            <w:tcW w:w="4961" w:type="dxa"/>
            <w:tcBorders>
              <w:top w:val="single" w:sz="4" w:space="0" w:color="000000"/>
            </w:tcBorders>
            <w:shd w:val="clear" w:color="auto" w:fill="FFFFFF"/>
            <w:tcMar>
              <w:top w:w="110" w:type="dxa"/>
            </w:tcMar>
            <w:vAlign w:val="center"/>
          </w:tcPr>
          <w:p w:rsidR="003E311F" w:rsidRPr="00515D00" w:rsidRDefault="003E311F" w:rsidP="007A358B">
            <w:pPr>
              <w:widowControl w:val="0"/>
              <w:rPr>
                <w:sz w:val="16"/>
                <w:szCs w:val="16"/>
              </w:rPr>
            </w:pPr>
            <w:r w:rsidRPr="00515D00">
              <w:rPr>
                <w:b/>
                <w:sz w:val="16"/>
                <w:szCs w:val="16"/>
              </w:rPr>
              <w:t>Propósito(s)/Descripción</w:t>
            </w:r>
          </w:p>
        </w:tc>
      </w:tr>
      <w:tr w:rsidR="003E311F" w:rsidRPr="00092F2E" w:rsidTr="007A358B">
        <w:tc>
          <w:tcPr>
            <w:tcW w:w="1873" w:type="dxa"/>
            <w:gridSpan w:val="2"/>
          </w:tcPr>
          <w:p w:rsidR="003E311F" w:rsidRPr="00515D00" w:rsidRDefault="003E311F" w:rsidP="007A358B">
            <w:pPr>
              <w:keepNext/>
              <w:keepLines/>
              <w:spacing w:before="60" w:after="60"/>
              <w:rPr>
                <w:color w:val="000000"/>
                <w:sz w:val="16"/>
                <w:szCs w:val="16"/>
                <w:lang w:eastAsia="ko-KR"/>
              </w:rPr>
            </w:pPr>
            <w:r w:rsidRPr="00515D00">
              <w:rPr>
                <w:sz w:val="16"/>
                <w:szCs w:val="16"/>
              </w:rPr>
              <w:t>Visita de estudio sobre la gestión de la P.I. en la cadena de valor de la innovación para un número limitado de funcionarios africanos</w:t>
            </w:r>
          </w:p>
        </w:tc>
        <w:tc>
          <w:tcPr>
            <w:tcW w:w="1134" w:type="dxa"/>
            <w:shd w:val="clear" w:color="auto" w:fill="auto"/>
            <w:tcMar>
              <w:top w:w="110" w:type="dxa"/>
            </w:tcMar>
          </w:tcPr>
          <w:p w:rsidR="003E311F" w:rsidRPr="00515D00" w:rsidRDefault="003E311F" w:rsidP="007A358B">
            <w:pPr>
              <w:spacing w:before="60" w:after="60"/>
              <w:rPr>
                <w:color w:val="000000"/>
                <w:sz w:val="16"/>
                <w:szCs w:val="16"/>
              </w:rPr>
            </w:pPr>
            <w:r w:rsidRPr="00515D00">
              <w:rPr>
                <w:rFonts w:eastAsia="Malgun Gothic"/>
                <w:color w:val="000000"/>
                <w:sz w:val="16"/>
                <w:szCs w:val="16"/>
                <w:lang w:eastAsia="ko-KR"/>
              </w:rPr>
              <w:t>2 a 5 de junio de 2015</w:t>
            </w:r>
          </w:p>
        </w:tc>
        <w:tc>
          <w:tcPr>
            <w:tcW w:w="1843" w:type="dxa"/>
            <w:shd w:val="clear" w:color="auto" w:fill="auto"/>
            <w:tcMar>
              <w:top w:w="110" w:type="dxa"/>
            </w:tcMar>
          </w:tcPr>
          <w:p w:rsidR="003E311F" w:rsidRPr="00515D00" w:rsidRDefault="003E311F" w:rsidP="007A358B">
            <w:pPr>
              <w:autoSpaceDE w:val="0"/>
              <w:autoSpaceDN w:val="0"/>
              <w:adjustRightInd w:val="0"/>
              <w:spacing w:before="60" w:after="60"/>
              <w:rPr>
                <w:rFonts w:eastAsia="Malgun Gothic"/>
                <w:bCs/>
                <w:sz w:val="16"/>
                <w:szCs w:val="16"/>
                <w:lang w:eastAsia="ko-KR"/>
              </w:rPr>
            </w:pPr>
            <w:r w:rsidRPr="00515D00">
              <w:rPr>
                <w:rFonts w:eastAsia="Malgun Gothic"/>
                <w:color w:val="000000"/>
                <w:sz w:val="16"/>
                <w:szCs w:val="16"/>
                <w:lang w:eastAsia="ko-KR"/>
              </w:rPr>
              <w:t xml:space="preserve">República de Corea/ </w:t>
            </w:r>
            <w:proofErr w:type="spellStart"/>
            <w:r w:rsidRPr="00515D00">
              <w:rPr>
                <w:rFonts w:eastAsia="Malgun Gothic"/>
                <w:color w:val="000000"/>
                <w:sz w:val="16"/>
                <w:szCs w:val="16"/>
                <w:lang w:eastAsia="ko-KR"/>
              </w:rPr>
              <w:t>Botswana</w:t>
            </w:r>
            <w:proofErr w:type="spellEnd"/>
            <w:r w:rsidRPr="00515D00">
              <w:rPr>
                <w:rFonts w:eastAsia="Malgun Gothic"/>
                <w:color w:val="000000"/>
                <w:sz w:val="16"/>
                <w:szCs w:val="16"/>
                <w:lang w:eastAsia="ko-KR"/>
              </w:rPr>
              <w:t xml:space="preserve">, </w:t>
            </w:r>
            <w:proofErr w:type="spellStart"/>
            <w:r w:rsidRPr="00515D00">
              <w:rPr>
                <w:rFonts w:eastAsia="Malgun Gothic"/>
                <w:color w:val="000000"/>
                <w:sz w:val="16"/>
                <w:szCs w:val="16"/>
                <w:lang w:eastAsia="ko-KR"/>
              </w:rPr>
              <w:t>Rwanda</w:t>
            </w:r>
            <w:proofErr w:type="spellEnd"/>
            <w:r w:rsidRPr="00515D00">
              <w:rPr>
                <w:rFonts w:eastAsia="Malgun Gothic"/>
                <w:color w:val="000000"/>
                <w:sz w:val="16"/>
                <w:szCs w:val="16"/>
                <w:lang w:eastAsia="ko-KR"/>
              </w:rPr>
              <w:t xml:space="preserve"> y República Unida de </w:t>
            </w:r>
            <w:proofErr w:type="spellStart"/>
            <w:r w:rsidRPr="00515D00">
              <w:rPr>
                <w:rFonts w:eastAsia="Malgun Gothic"/>
                <w:color w:val="000000"/>
                <w:sz w:val="16"/>
                <w:szCs w:val="16"/>
                <w:lang w:eastAsia="ko-KR"/>
              </w:rPr>
              <w:t>Tanzanía</w:t>
            </w:r>
            <w:proofErr w:type="spellEnd"/>
          </w:p>
        </w:tc>
        <w:tc>
          <w:tcPr>
            <w:tcW w:w="4961" w:type="dxa"/>
            <w:shd w:val="clear" w:color="auto" w:fill="FFFFFF"/>
            <w:tcMar>
              <w:top w:w="110" w:type="dxa"/>
            </w:tcMar>
          </w:tcPr>
          <w:p w:rsidR="003E311F" w:rsidRPr="00515D00" w:rsidRDefault="003E311F" w:rsidP="007A358B">
            <w:pPr>
              <w:spacing w:before="60" w:after="60"/>
              <w:contextualSpacing/>
              <w:rPr>
                <w:rFonts w:eastAsia="Malgun Gothic"/>
                <w:color w:val="000000"/>
                <w:sz w:val="16"/>
                <w:szCs w:val="16"/>
                <w:lang w:eastAsia="ko-KR"/>
              </w:rPr>
            </w:pPr>
            <w:r w:rsidRPr="00515D00">
              <w:rPr>
                <w:rFonts w:eastAsia="Malgun Gothic"/>
                <w:sz w:val="16"/>
                <w:szCs w:val="16"/>
              </w:rPr>
              <w:t xml:space="preserve">Dar a conocer i) la experiencia de la República de Corea en la transformación del conocimiento en productos comercialmente viables;  ii) el papel que desempeñan las políticas públicas en el proceso;  iii) </w:t>
            </w:r>
            <w:r>
              <w:rPr>
                <w:rFonts w:eastAsia="Malgun Gothic"/>
                <w:sz w:val="16"/>
                <w:szCs w:val="16"/>
              </w:rPr>
              <w:t>la función</w:t>
            </w:r>
            <w:r w:rsidRPr="00515D00">
              <w:rPr>
                <w:rFonts w:eastAsia="Malgun Gothic"/>
                <w:sz w:val="16"/>
                <w:szCs w:val="16"/>
              </w:rPr>
              <w:t xml:space="preserve"> de las oficinas de transferencia de tecnología como puntos de contacto entre la investigación y la industria;  y iv) la organización del conjunto de la cadena de valor de la innovación (desde el laboratorio hasta el mercado).</w:t>
            </w:r>
          </w:p>
        </w:tc>
      </w:tr>
      <w:tr w:rsidR="003E311F" w:rsidRPr="00092F2E" w:rsidTr="007A358B">
        <w:trPr>
          <w:trHeight w:val="1442"/>
        </w:trPr>
        <w:tc>
          <w:tcPr>
            <w:tcW w:w="1873" w:type="dxa"/>
            <w:gridSpan w:val="2"/>
          </w:tcPr>
          <w:p w:rsidR="003E311F" w:rsidRPr="00515D00" w:rsidRDefault="003E311F" w:rsidP="007A358B">
            <w:pPr>
              <w:spacing w:before="60" w:after="60"/>
              <w:rPr>
                <w:color w:val="000000"/>
                <w:sz w:val="16"/>
                <w:szCs w:val="16"/>
                <w:lang w:eastAsia="ko-KR"/>
              </w:rPr>
            </w:pPr>
            <w:r w:rsidRPr="00515D00">
              <w:rPr>
                <w:sz w:val="16"/>
                <w:szCs w:val="16"/>
                <w:lang w:eastAsia="ko-KR"/>
              </w:rPr>
              <w:t xml:space="preserve">Visita de estudio de la delegación indonesia sobre la formulación de una estrategia nacional de propiedad intelectual (P.I.) para el desarrollo de un ecosistema eficaz de P.I. </w:t>
            </w:r>
          </w:p>
        </w:tc>
        <w:tc>
          <w:tcPr>
            <w:tcW w:w="1134" w:type="dxa"/>
            <w:shd w:val="clear" w:color="auto" w:fill="auto"/>
            <w:tcMar>
              <w:top w:w="110" w:type="dxa"/>
            </w:tcMar>
          </w:tcPr>
          <w:p w:rsidR="003E311F" w:rsidRPr="00515D00" w:rsidRDefault="003E311F" w:rsidP="007A358B">
            <w:pPr>
              <w:spacing w:before="60" w:after="60"/>
              <w:rPr>
                <w:color w:val="000000"/>
                <w:sz w:val="16"/>
                <w:szCs w:val="16"/>
              </w:rPr>
            </w:pPr>
            <w:r w:rsidRPr="00515D00">
              <w:rPr>
                <w:sz w:val="16"/>
                <w:szCs w:val="16"/>
                <w:lang w:eastAsia="ko-KR"/>
              </w:rPr>
              <w:t>21 a 24 de diciembre de 2015</w:t>
            </w:r>
          </w:p>
        </w:tc>
        <w:tc>
          <w:tcPr>
            <w:tcW w:w="1843" w:type="dxa"/>
            <w:shd w:val="clear" w:color="auto" w:fill="auto"/>
            <w:tcMar>
              <w:top w:w="110" w:type="dxa"/>
            </w:tcMar>
          </w:tcPr>
          <w:p w:rsidR="003E311F" w:rsidRPr="00515D00" w:rsidRDefault="003E311F" w:rsidP="007A358B">
            <w:pPr>
              <w:autoSpaceDE w:val="0"/>
              <w:autoSpaceDN w:val="0"/>
              <w:adjustRightInd w:val="0"/>
              <w:spacing w:before="60" w:after="60"/>
              <w:rPr>
                <w:rFonts w:eastAsia="Malgun Gothic"/>
                <w:bCs/>
                <w:sz w:val="16"/>
                <w:szCs w:val="16"/>
                <w:lang w:eastAsia="ko-KR"/>
              </w:rPr>
            </w:pPr>
            <w:r w:rsidRPr="00515D00">
              <w:rPr>
                <w:sz w:val="16"/>
                <w:szCs w:val="16"/>
                <w:lang w:eastAsia="ko-KR"/>
              </w:rPr>
              <w:t>República de Corea/ Indonesia</w:t>
            </w:r>
          </w:p>
        </w:tc>
        <w:tc>
          <w:tcPr>
            <w:tcW w:w="4961" w:type="dxa"/>
            <w:shd w:val="clear" w:color="auto" w:fill="FFFFFF"/>
            <w:tcMar>
              <w:top w:w="110" w:type="dxa"/>
            </w:tcMar>
          </w:tcPr>
          <w:p w:rsidR="003E311F" w:rsidRPr="00515D00" w:rsidRDefault="003E311F" w:rsidP="007A358B">
            <w:pPr>
              <w:spacing w:before="60" w:after="60"/>
              <w:rPr>
                <w:rFonts w:eastAsia="Malgun Gothic"/>
                <w:color w:val="000000"/>
                <w:sz w:val="16"/>
                <w:szCs w:val="16"/>
              </w:rPr>
            </w:pPr>
            <w:r w:rsidRPr="00515D00">
              <w:rPr>
                <w:sz w:val="16"/>
                <w:szCs w:val="16"/>
              </w:rPr>
              <w:t>i) Mejorar el conocimiento de los funcionarios y profesionales gubernamentales en el ámbito de la P.I. de las iniciativas y enfoques de política que pueden adoptarse para fortalecer los sistemas de P.I.;  y ii) ayudar a desarrollar las capacidades de las oficinas y organizaciones nacionales de P.I. para poner en marcha programas que utilicen de forma eficaz la P.I. al servicio del desarrollo.</w:t>
            </w:r>
          </w:p>
        </w:tc>
      </w:tr>
      <w:tr w:rsidR="003E311F" w:rsidRPr="00092F2E" w:rsidTr="007A358B">
        <w:tc>
          <w:tcPr>
            <w:tcW w:w="1873" w:type="dxa"/>
            <w:gridSpan w:val="2"/>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Misión de expertos</w:t>
            </w:r>
          </w:p>
        </w:tc>
        <w:tc>
          <w:tcPr>
            <w:tcW w:w="1134" w:type="dxa"/>
            <w:shd w:val="clear" w:color="auto" w:fill="auto"/>
            <w:tcMar>
              <w:top w:w="110" w:type="dxa"/>
            </w:tcMar>
          </w:tcPr>
          <w:p w:rsidR="003E311F" w:rsidRPr="00515D00" w:rsidRDefault="003E311F" w:rsidP="007A358B">
            <w:pPr>
              <w:pStyle w:val="Normal-table"/>
              <w:spacing w:before="60" w:after="60"/>
              <w:rPr>
                <w:rFonts w:cs="Arial"/>
                <w:sz w:val="16"/>
                <w:szCs w:val="16"/>
                <w:lang w:val="es-ES" w:eastAsia="ko-KR"/>
              </w:rPr>
            </w:pPr>
            <w:r w:rsidRPr="00515D00">
              <w:rPr>
                <w:rFonts w:cs="Arial"/>
                <w:sz w:val="16"/>
                <w:szCs w:val="16"/>
                <w:lang w:val="es-ES" w:eastAsia="ko-KR"/>
              </w:rPr>
              <w:t>4 a 5 de noviembre de 2015</w:t>
            </w:r>
          </w:p>
        </w:tc>
        <w:tc>
          <w:tcPr>
            <w:tcW w:w="1843" w:type="dxa"/>
            <w:shd w:val="clear" w:color="auto" w:fill="auto"/>
            <w:tcMar>
              <w:top w:w="110" w:type="dxa"/>
            </w:tcMar>
          </w:tcPr>
          <w:p w:rsidR="003E311F" w:rsidRPr="00515D00" w:rsidRDefault="003E311F" w:rsidP="007A358B">
            <w:pPr>
              <w:spacing w:before="60" w:after="60"/>
              <w:contextualSpacing/>
              <w:rPr>
                <w:color w:val="000000"/>
                <w:sz w:val="16"/>
                <w:szCs w:val="16"/>
              </w:rPr>
            </w:pPr>
            <w:r w:rsidRPr="00515D00">
              <w:rPr>
                <w:color w:val="000000"/>
                <w:sz w:val="16"/>
                <w:szCs w:val="16"/>
              </w:rPr>
              <w:t>República de Corea</w:t>
            </w:r>
          </w:p>
        </w:tc>
        <w:tc>
          <w:tcPr>
            <w:tcW w:w="4961" w:type="dxa"/>
            <w:shd w:val="clear" w:color="auto" w:fill="FFFFFF"/>
            <w:tcMar>
              <w:top w:w="110" w:type="dxa"/>
            </w:tcMar>
          </w:tcPr>
          <w:p w:rsidR="003E311F" w:rsidRPr="00515D00" w:rsidRDefault="003E311F" w:rsidP="007A358B">
            <w:pPr>
              <w:keepNext/>
              <w:keepLines/>
              <w:autoSpaceDE w:val="0"/>
              <w:autoSpaceDN w:val="0"/>
              <w:adjustRightInd w:val="0"/>
              <w:spacing w:before="60" w:after="60"/>
              <w:rPr>
                <w:sz w:val="16"/>
                <w:szCs w:val="16"/>
                <w:lang w:eastAsia="ko-KR"/>
              </w:rPr>
            </w:pPr>
            <w:r w:rsidRPr="00515D00">
              <w:rPr>
                <w:sz w:val="16"/>
                <w:szCs w:val="16"/>
                <w:lang w:eastAsia="ko-KR"/>
              </w:rPr>
              <w:t xml:space="preserve">i) Evaluar el progreso realizado en las operaciones del PCT;  y ii) fortalecer la cooperación entre la OMPI y la Oficina Coreana de Propiedad Intelectual.  </w:t>
            </w:r>
          </w:p>
        </w:tc>
      </w:tr>
      <w:tr w:rsidR="003E311F" w:rsidRPr="00092F2E" w:rsidTr="007A358B">
        <w:tc>
          <w:tcPr>
            <w:tcW w:w="9811" w:type="dxa"/>
            <w:gridSpan w:val="5"/>
            <w:tcBorders>
              <w:top w:val="single" w:sz="4" w:space="0" w:color="000000"/>
              <w:bottom w:val="single" w:sz="4" w:space="0" w:color="000000"/>
            </w:tcBorders>
            <w:shd w:val="clear" w:color="auto" w:fill="C6D9F1" w:themeFill="text2" w:themeFillTint="33"/>
            <w:vAlign w:val="center"/>
          </w:tcPr>
          <w:p w:rsidR="003E311F" w:rsidRPr="00515D00" w:rsidRDefault="003E311F" w:rsidP="007A358B">
            <w:pPr>
              <w:keepNext/>
              <w:keepLines/>
              <w:tabs>
                <w:tab w:val="left" w:pos="1740"/>
              </w:tabs>
              <w:spacing w:before="60" w:after="60"/>
              <w:ind w:left="1741" w:hanging="1741"/>
              <w:rPr>
                <w:b/>
                <w:bCs/>
                <w:sz w:val="16"/>
                <w:szCs w:val="16"/>
              </w:rPr>
            </w:pPr>
            <w:r w:rsidRPr="00515D00">
              <w:rPr>
                <w:b/>
                <w:bCs/>
                <w:color w:val="000000"/>
                <w:sz w:val="16"/>
                <w:szCs w:val="16"/>
              </w:rPr>
              <w:t>RESULTADO:</w:t>
            </w:r>
            <w:r w:rsidRPr="00515D00">
              <w:rPr>
                <w:b/>
                <w:bCs/>
                <w:sz w:val="16"/>
                <w:szCs w:val="16"/>
              </w:rPr>
              <w:tab/>
            </w:r>
            <w:r w:rsidRPr="00515D00">
              <w:rPr>
                <w:bCs/>
                <w:color w:val="000000"/>
                <w:sz w:val="16"/>
                <w:szCs w:val="16"/>
              </w:rPr>
              <w:t>III.2  Aumento de las capacidades en recursos humanos para hacer frente a la gran diversidad de exigencias que supone la utilización eficaz de la P.I. para fomentar el desarrollo en los países en desarrollo, PMA y países con economías en transición</w:t>
            </w:r>
          </w:p>
        </w:tc>
      </w:tr>
      <w:tr w:rsidR="003E311F" w:rsidRPr="00515D00" w:rsidTr="007A358B">
        <w:trPr>
          <w:trHeight w:val="402"/>
        </w:trPr>
        <w:tc>
          <w:tcPr>
            <w:tcW w:w="1873" w:type="dxa"/>
            <w:gridSpan w:val="2"/>
            <w:tcBorders>
              <w:top w:val="single" w:sz="4" w:space="0" w:color="000000"/>
            </w:tcBorders>
            <w:vAlign w:val="center"/>
          </w:tcPr>
          <w:p w:rsidR="003E311F" w:rsidRPr="00515D00" w:rsidRDefault="003E311F" w:rsidP="007A358B">
            <w:pPr>
              <w:keepNext/>
              <w:keepLines/>
              <w:spacing w:before="60" w:after="60"/>
              <w:rPr>
                <w:b/>
                <w:bCs/>
                <w:sz w:val="16"/>
                <w:szCs w:val="16"/>
              </w:rPr>
            </w:pPr>
            <w:r w:rsidRPr="00515D00">
              <w:rPr>
                <w:b/>
                <w:bCs/>
                <w:sz w:val="16"/>
                <w:szCs w:val="16"/>
              </w:rPr>
              <w:t>Actividad</w:t>
            </w:r>
          </w:p>
        </w:tc>
        <w:tc>
          <w:tcPr>
            <w:tcW w:w="1134" w:type="dxa"/>
            <w:tcBorders>
              <w:top w:val="single" w:sz="4" w:space="0" w:color="000000"/>
            </w:tcBorders>
            <w:shd w:val="clear" w:color="auto" w:fill="auto"/>
            <w:tcMar>
              <w:top w:w="110" w:type="dxa"/>
            </w:tcMar>
            <w:vAlign w:val="center"/>
          </w:tcPr>
          <w:p w:rsidR="003E311F" w:rsidRPr="00515D00" w:rsidRDefault="003E311F" w:rsidP="007A358B">
            <w:pPr>
              <w:keepNext/>
              <w:keepLines/>
              <w:spacing w:before="60" w:after="60"/>
              <w:rPr>
                <w:sz w:val="16"/>
                <w:szCs w:val="16"/>
              </w:rPr>
            </w:pPr>
            <w:r w:rsidRPr="00515D00">
              <w:rPr>
                <w:b/>
                <w:bCs/>
                <w:sz w:val="16"/>
                <w:szCs w:val="16"/>
              </w:rPr>
              <w:t>Fecha</w:t>
            </w:r>
          </w:p>
        </w:tc>
        <w:tc>
          <w:tcPr>
            <w:tcW w:w="1843" w:type="dxa"/>
            <w:tcBorders>
              <w:top w:val="single" w:sz="4" w:space="0" w:color="000000"/>
            </w:tcBorders>
            <w:shd w:val="clear" w:color="auto" w:fill="auto"/>
            <w:tcMar>
              <w:top w:w="110" w:type="dxa"/>
            </w:tcMar>
            <w:vAlign w:val="center"/>
          </w:tcPr>
          <w:p w:rsidR="003E311F" w:rsidRPr="00515D00" w:rsidRDefault="003E311F" w:rsidP="007A358B">
            <w:pPr>
              <w:widowControl w:val="0"/>
              <w:rPr>
                <w:sz w:val="16"/>
                <w:szCs w:val="16"/>
              </w:rPr>
            </w:pPr>
            <w:r w:rsidRPr="00515D00">
              <w:rPr>
                <w:b/>
                <w:sz w:val="16"/>
                <w:szCs w:val="16"/>
              </w:rPr>
              <w:t>País anfitrión / Beneficiarios</w:t>
            </w:r>
          </w:p>
        </w:tc>
        <w:tc>
          <w:tcPr>
            <w:tcW w:w="4961" w:type="dxa"/>
            <w:tcBorders>
              <w:top w:val="single" w:sz="4" w:space="0" w:color="000000"/>
            </w:tcBorders>
            <w:shd w:val="clear" w:color="auto" w:fill="FFFFFF"/>
            <w:tcMar>
              <w:top w:w="110" w:type="dxa"/>
            </w:tcMar>
            <w:vAlign w:val="center"/>
          </w:tcPr>
          <w:p w:rsidR="003E311F" w:rsidRPr="00515D00" w:rsidRDefault="003E311F" w:rsidP="007A358B">
            <w:pPr>
              <w:widowControl w:val="0"/>
              <w:rPr>
                <w:sz w:val="16"/>
                <w:szCs w:val="16"/>
              </w:rPr>
            </w:pPr>
            <w:r w:rsidRPr="00515D00">
              <w:rPr>
                <w:b/>
                <w:sz w:val="16"/>
                <w:szCs w:val="16"/>
              </w:rPr>
              <w:t>Propósito(s)/Descripción</w:t>
            </w:r>
          </w:p>
        </w:tc>
      </w:tr>
      <w:tr w:rsidR="003E311F" w:rsidRPr="00092F2E" w:rsidTr="007A358B">
        <w:tc>
          <w:tcPr>
            <w:tcW w:w="1873" w:type="dxa"/>
            <w:gridSpan w:val="2"/>
            <w:tcBorders>
              <w:bottom w:val="nil"/>
            </w:tcBorders>
          </w:tcPr>
          <w:p w:rsidR="003E311F" w:rsidRPr="00515D00" w:rsidRDefault="003E311F" w:rsidP="007A358B">
            <w:pPr>
              <w:autoSpaceDE w:val="0"/>
              <w:autoSpaceDN w:val="0"/>
              <w:adjustRightInd w:val="0"/>
              <w:spacing w:before="60" w:after="60"/>
              <w:rPr>
                <w:color w:val="000000"/>
                <w:sz w:val="16"/>
                <w:szCs w:val="16"/>
              </w:rPr>
            </w:pPr>
            <w:r w:rsidRPr="00515D00">
              <w:rPr>
                <w:sz w:val="16"/>
                <w:szCs w:val="16"/>
              </w:rPr>
              <w:t>Coloquio regional</w:t>
            </w:r>
            <w:r>
              <w:rPr>
                <w:sz w:val="16"/>
                <w:szCs w:val="16"/>
              </w:rPr>
              <w:t xml:space="preserve"> de</w:t>
            </w:r>
            <w:r w:rsidRPr="00515D00">
              <w:rPr>
                <w:sz w:val="16"/>
                <w:szCs w:val="16"/>
              </w:rPr>
              <w:t xml:space="preserve"> la OMPI, la</w:t>
            </w:r>
            <w:r w:rsidRPr="00515D00">
              <w:rPr>
                <w:sz w:val="16"/>
                <w:szCs w:val="16"/>
                <w:lang w:eastAsia="ko-KR"/>
              </w:rPr>
              <w:t xml:space="preserve"> Oficina Coreana de Propiedad Intelectual</w:t>
            </w:r>
            <w:r w:rsidRPr="00515D00">
              <w:rPr>
                <w:sz w:val="16"/>
                <w:szCs w:val="16"/>
              </w:rPr>
              <w:t xml:space="preserve"> y el Departamento de Propiedad Intelectual de Tailandia sobre la observancia de la P.I. para jueces y fiscales</w:t>
            </w:r>
          </w:p>
        </w:tc>
        <w:tc>
          <w:tcPr>
            <w:tcW w:w="1134" w:type="dxa"/>
            <w:tcBorders>
              <w:bottom w:val="nil"/>
            </w:tcBorders>
          </w:tcPr>
          <w:p w:rsidR="003E311F" w:rsidRPr="00515D00" w:rsidRDefault="003E311F" w:rsidP="007A358B">
            <w:pPr>
              <w:keepNext/>
              <w:spacing w:before="60" w:after="60"/>
              <w:rPr>
                <w:bCs/>
                <w:sz w:val="16"/>
                <w:szCs w:val="16"/>
              </w:rPr>
            </w:pPr>
            <w:r w:rsidRPr="00515D00">
              <w:rPr>
                <w:bCs/>
                <w:sz w:val="16"/>
                <w:szCs w:val="16"/>
              </w:rPr>
              <w:t>28 a 29 de octubre de 2015</w:t>
            </w:r>
          </w:p>
        </w:tc>
        <w:tc>
          <w:tcPr>
            <w:tcW w:w="1843" w:type="dxa"/>
            <w:tcBorders>
              <w:bottom w:val="nil"/>
            </w:tcBorders>
          </w:tcPr>
          <w:p w:rsidR="003E311F" w:rsidRPr="00515D00" w:rsidRDefault="003E311F" w:rsidP="007A358B">
            <w:pPr>
              <w:keepNext/>
              <w:spacing w:before="60" w:after="60"/>
              <w:rPr>
                <w:bCs/>
                <w:sz w:val="16"/>
                <w:szCs w:val="16"/>
              </w:rPr>
            </w:pPr>
            <w:r w:rsidRPr="00515D00">
              <w:rPr>
                <w:bCs/>
                <w:sz w:val="16"/>
                <w:szCs w:val="16"/>
              </w:rPr>
              <w:t xml:space="preserve">Tailandia/Brunei Darussalam, Camboya, China, Indonesia, </w:t>
            </w:r>
            <w:r w:rsidRPr="00515D00">
              <w:rPr>
                <w:sz w:val="16"/>
                <w:szCs w:val="16"/>
                <w:lang w:eastAsia="ko-KR"/>
              </w:rPr>
              <w:t>República Democrática Popular Lao</w:t>
            </w:r>
            <w:r w:rsidRPr="00515D00">
              <w:rPr>
                <w:rFonts w:eastAsia="Malgun Gothic"/>
                <w:sz w:val="16"/>
                <w:szCs w:val="16"/>
                <w:lang w:eastAsia="ko-KR"/>
              </w:rPr>
              <w:t>,</w:t>
            </w:r>
            <w:r w:rsidRPr="00515D00">
              <w:rPr>
                <w:bCs/>
                <w:sz w:val="16"/>
                <w:szCs w:val="16"/>
              </w:rPr>
              <w:t xml:space="preserve"> Malasia, Myanmar, Filipinas, República de Corea, Singapur, Tailandia y </w:t>
            </w:r>
            <w:proofErr w:type="spellStart"/>
            <w:r w:rsidRPr="00515D00">
              <w:rPr>
                <w:bCs/>
                <w:sz w:val="16"/>
                <w:szCs w:val="16"/>
              </w:rPr>
              <w:t>Viet</w:t>
            </w:r>
            <w:proofErr w:type="spellEnd"/>
            <w:r w:rsidRPr="00515D00">
              <w:rPr>
                <w:bCs/>
                <w:sz w:val="16"/>
                <w:szCs w:val="16"/>
              </w:rPr>
              <w:t xml:space="preserve"> </w:t>
            </w:r>
            <w:proofErr w:type="spellStart"/>
            <w:r w:rsidRPr="00515D00">
              <w:rPr>
                <w:bCs/>
                <w:sz w:val="16"/>
                <w:szCs w:val="16"/>
              </w:rPr>
              <w:t>Nam</w:t>
            </w:r>
            <w:proofErr w:type="spellEnd"/>
          </w:p>
        </w:tc>
        <w:tc>
          <w:tcPr>
            <w:tcW w:w="4961" w:type="dxa"/>
            <w:tcBorders>
              <w:bottom w:val="nil"/>
            </w:tcBorders>
          </w:tcPr>
          <w:p w:rsidR="003E311F" w:rsidRPr="00515D00" w:rsidRDefault="003E311F" w:rsidP="007A358B">
            <w:pPr>
              <w:keepNext/>
              <w:spacing w:before="60" w:after="60"/>
              <w:rPr>
                <w:bCs/>
                <w:sz w:val="16"/>
                <w:szCs w:val="16"/>
              </w:rPr>
            </w:pPr>
            <w:r w:rsidRPr="00515D00">
              <w:rPr>
                <w:bCs/>
                <w:sz w:val="16"/>
                <w:szCs w:val="16"/>
              </w:rPr>
              <w:t>i) Ampliar el conocimiento sobre la observancia de la P.I. y sus dificultades;  ii) aumentar la eficacia de los procedimientos civiles y penales sobre P.I. en aras del desarrollo y la protección del consumidor;  y iii) crear una red internacional de expertos de P.I. del poder judicial que permita el intercambio y la colaboración permanentes.</w:t>
            </w:r>
          </w:p>
        </w:tc>
      </w:tr>
      <w:tr w:rsidR="003E311F" w:rsidRPr="00092F2E" w:rsidTr="007A358B">
        <w:trPr>
          <w:trHeight w:val="2101"/>
        </w:trPr>
        <w:tc>
          <w:tcPr>
            <w:tcW w:w="1873" w:type="dxa"/>
            <w:gridSpan w:val="2"/>
            <w:tcBorders>
              <w:bottom w:val="nil"/>
            </w:tcBorders>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Taller sobre derecho de patentes y examen de patentes</w:t>
            </w:r>
          </w:p>
        </w:tc>
        <w:tc>
          <w:tcPr>
            <w:tcW w:w="1134" w:type="dxa"/>
            <w:tcBorders>
              <w:bottom w:val="nil"/>
            </w:tcBorders>
          </w:tcPr>
          <w:p w:rsidR="003E311F" w:rsidRPr="00515D00" w:rsidRDefault="003E311F" w:rsidP="007A358B">
            <w:pPr>
              <w:keepNext/>
              <w:keepLines/>
              <w:autoSpaceDE w:val="0"/>
              <w:autoSpaceDN w:val="0"/>
              <w:adjustRightInd w:val="0"/>
              <w:spacing w:before="60" w:after="60"/>
              <w:rPr>
                <w:color w:val="000000"/>
                <w:sz w:val="16"/>
                <w:szCs w:val="16"/>
                <w:lang w:eastAsia="ko-KR"/>
              </w:rPr>
            </w:pPr>
            <w:r w:rsidRPr="00515D00">
              <w:rPr>
                <w:color w:val="000000"/>
                <w:sz w:val="16"/>
                <w:szCs w:val="16"/>
                <w:lang w:eastAsia="ko-KR"/>
              </w:rPr>
              <w:t>3 a 12 de marzo de 2015</w:t>
            </w:r>
          </w:p>
          <w:p w:rsidR="003E311F" w:rsidRPr="00515D00" w:rsidRDefault="003E311F" w:rsidP="007A358B">
            <w:pPr>
              <w:autoSpaceDE w:val="0"/>
              <w:autoSpaceDN w:val="0"/>
              <w:adjustRightInd w:val="0"/>
              <w:spacing w:before="60" w:after="60"/>
              <w:rPr>
                <w:rFonts w:eastAsia="Malgun Gothic"/>
                <w:color w:val="000000"/>
                <w:sz w:val="16"/>
                <w:szCs w:val="16"/>
                <w:lang w:eastAsia="ko-KR"/>
              </w:rPr>
            </w:pPr>
            <w:r w:rsidRPr="00515D00">
              <w:rPr>
                <w:color w:val="000000"/>
                <w:sz w:val="16"/>
                <w:szCs w:val="16"/>
              </w:rPr>
              <w:t>(programa piloto de capacitación práctica en el trabajo</w:t>
            </w:r>
            <w:r w:rsidRPr="00515D00">
              <w:rPr>
                <w:sz w:val="16"/>
                <w:szCs w:val="16"/>
                <w:lang w:eastAsia="ko-KR"/>
              </w:rPr>
              <w:t>;  16 a 27 de marzo de 2015)</w:t>
            </w:r>
          </w:p>
        </w:tc>
        <w:tc>
          <w:tcPr>
            <w:tcW w:w="1843" w:type="dxa"/>
            <w:tcBorders>
              <w:bottom w:val="nil"/>
            </w:tcBorders>
          </w:tcPr>
          <w:p w:rsidR="003E311F" w:rsidRPr="00515D00" w:rsidRDefault="003E311F" w:rsidP="007A358B">
            <w:pPr>
              <w:keepNext/>
              <w:keepLines/>
              <w:autoSpaceDE w:val="0"/>
              <w:autoSpaceDN w:val="0"/>
              <w:adjustRightInd w:val="0"/>
              <w:spacing w:before="60" w:after="60"/>
              <w:rPr>
                <w:rFonts w:eastAsia="Malgun Gothic"/>
                <w:color w:val="000000"/>
                <w:sz w:val="16"/>
                <w:szCs w:val="16"/>
                <w:lang w:eastAsia="ko-KR"/>
              </w:rPr>
            </w:pPr>
            <w:r w:rsidRPr="00515D00">
              <w:rPr>
                <w:color w:val="000000"/>
                <w:sz w:val="16"/>
                <w:szCs w:val="16"/>
              </w:rPr>
              <w:t xml:space="preserve">República de Corea/ </w:t>
            </w:r>
            <w:r w:rsidRPr="00515D00">
              <w:rPr>
                <w:rFonts w:eastAsia="Batang"/>
                <w:sz w:val="16"/>
                <w:szCs w:val="16"/>
                <w:lang w:eastAsia="ko-KR"/>
              </w:rPr>
              <w:t>Bangladesh, Camboya,</w:t>
            </w:r>
            <w:r w:rsidRPr="00515D00">
              <w:rPr>
                <w:sz w:val="16"/>
                <w:szCs w:val="16"/>
                <w:lang w:eastAsia="ko-KR"/>
              </w:rPr>
              <w:t xml:space="preserve"> Colombia, Ghana, India, Indonesia, República Democrática Popular Lao</w:t>
            </w:r>
            <w:r w:rsidRPr="00515D00">
              <w:rPr>
                <w:rFonts w:eastAsia="Malgun Gothic"/>
                <w:sz w:val="16"/>
                <w:szCs w:val="16"/>
                <w:lang w:eastAsia="ko-KR"/>
              </w:rPr>
              <w:t xml:space="preserve">, </w:t>
            </w:r>
            <w:r w:rsidRPr="00515D00">
              <w:rPr>
                <w:rFonts w:eastAsia="Batang"/>
                <w:sz w:val="16"/>
                <w:szCs w:val="16"/>
                <w:lang w:eastAsia="ko-KR"/>
              </w:rPr>
              <w:t xml:space="preserve">Malasia, </w:t>
            </w:r>
            <w:r w:rsidRPr="00515D00">
              <w:rPr>
                <w:sz w:val="16"/>
                <w:szCs w:val="16"/>
                <w:lang w:eastAsia="ko-KR"/>
              </w:rPr>
              <w:t>Mongolia,</w:t>
            </w:r>
            <w:r w:rsidRPr="00515D00">
              <w:rPr>
                <w:rFonts w:eastAsia="Batang"/>
                <w:sz w:val="16"/>
                <w:szCs w:val="16"/>
                <w:lang w:eastAsia="ko-KR"/>
              </w:rPr>
              <w:t xml:space="preserve"> </w:t>
            </w:r>
            <w:r w:rsidRPr="00515D00">
              <w:rPr>
                <w:sz w:val="16"/>
                <w:szCs w:val="16"/>
                <w:lang w:eastAsia="ko-KR"/>
              </w:rPr>
              <w:t>Pakistán, Perú, Filipinas</w:t>
            </w:r>
            <w:r w:rsidRPr="00515D00">
              <w:rPr>
                <w:rFonts w:eastAsia="Batang"/>
                <w:sz w:val="16"/>
                <w:szCs w:val="16"/>
                <w:lang w:eastAsia="ko-KR"/>
              </w:rPr>
              <w:t xml:space="preserve">, Sri Lanka, </w:t>
            </w:r>
            <w:r w:rsidRPr="00515D00">
              <w:rPr>
                <w:sz w:val="16"/>
                <w:szCs w:val="16"/>
                <w:lang w:eastAsia="ko-KR"/>
              </w:rPr>
              <w:t>Tailandia,</w:t>
            </w:r>
            <w:r w:rsidRPr="00515D00">
              <w:rPr>
                <w:rFonts w:eastAsia="Malgun Gothic"/>
                <w:sz w:val="16"/>
                <w:szCs w:val="16"/>
                <w:lang w:eastAsia="ko-KR"/>
              </w:rPr>
              <w:t xml:space="preserve"> Túnez y </w:t>
            </w:r>
            <w:proofErr w:type="spellStart"/>
            <w:r w:rsidRPr="00515D00">
              <w:rPr>
                <w:sz w:val="16"/>
                <w:szCs w:val="16"/>
                <w:lang w:eastAsia="ko-KR"/>
              </w:rPr>
              <w:t>Viet</w:t>
            </w:r>
            <w:proofErr w:type="spellEnd"/>
            <w:r w:rsidRPr="00515D00">
              <w:rPr>
                <w:sz w:val="16"/>
                <w:szCs w:val="16"/>
                <w:lang w:eastAsia="ko-KR"/>
              </w:rPr>
              <w:t xml:space="preserve"> </w:t>
            </w:r>
            <w:proofErr w:type="spellStart"/>
            <w:r w:rsidRPr="00515D00">
              <w:rPr>
                <w:sz w:val="16"/>
                <w:szCs w:val="16"/>
                <w:lang w:eastAsia="ko-KR"/>
              </w:rPr>
              <w:t>Nam</w:t>
            </w:r>
            <w:proofErr w:type="spellEnd"/>
          </w:p>
        </w:tc>
        <w:tc>
          <w:tcPr>
            <w:tcW w:w="4961" w:type="dxa"/>
            <w:tcBorders>
              <w:bottom w:val="nil"/>
            </w:tcBorders>
          </w:tcPr>
          <w:p w:rsidR="003E311F" w:rsidRPr="00515D00" w:rsidRDefault="003E311F" w:rsidP="007A358B">
            <w:pPr>
              <w:spacing w:before="60" w:after="60"/>
              <w:rPr>
                <w:color w:val="000000"/>
                <w:sz w:val="16"/>
                <w:szCs w:val="16"/>
                <w:lang w:eastAsia="ko-KR"/>
              </w:rPr>
            </w:pPr>
            <w:r w:rsidRPr="00515D00">
              <w:rPr>
                <w:color w:val="000000"/>
                <w:sz w:val="16"/>
                <w:szCs w:val="16"/>
                <w:lang w:eastAsia="ko-KR"/>
              </w:rPr>
              <w:t xml:space="preserve">i) Mejorar el conocimiento y las competencias de los examinadores de patentes en relación con los procedimientos de examen;  ii) realizar prácticas sobre el acceso a los resultados de exámenes extranjeros y su utilización;  iii) brindar a los participantes un foro donde compartir opiniones y descubrir </w:t>
            </w:r>
            <w:r>
              <w:rPr>
                <w:color w:val="000000"/>
                <w:sz w:val="16"/>
                <w:szCs w:val="16"/>
                <w:lang w:eastAsia="ko-KR"/>
              </w:rPr>
              <w:t>los aspectos comunes y divergentes en</w:t>
            </w:r>
            <w:r w:rsidRPr="00515D00">
              <w:rPr>
                <w:color w:val="000000"/>
                <w:sz w:val="16"/>
                <w:szCs w:val="16"/>
                <w:lang w:eastAsia="ko-KR"/>
              </w:rPr>
              <w:t xml:space="preserve"> la práctica del examen sustantivo de patentes entre distintas oficinas nacionales de patentes;  y iv) mejorar la credibilidad del examen de patentes mediante un control de calidad de las patentes.</w:t>
            </w:r>
          </w:p>
        </w:tc>
      </w:tr>
      <w:tr w:rsidR="003E311F" w:rsidRPr="00092F2E" w:rsidTr="007A358B">
        <w:tc>
          <w:tcPr>
            <w:tcW w:w="1873" w:type="dxa"/>
            <w:gridSpan w:val="2"/>
            <w:tcBorders>
              <w:top w:val="nil"/>
              <w:bottom w:val="single" w:sz="4" w:space="0" w:color="auto"/>
            </w:tcBorders>
          </w:tcPr>
          <w:p w:rsidR="003E311F" w:rsidRPr="00515D00" w:rsidRDefault="003E311F" w:rsidP="007A358B">
            <w:pPr>
              <w:autoSpaceDE w:val="0"/>
              <w:autoSpaceDN w:val="0"/>
              <w:adjustRightInd w:val="0"/>
              <w:spacing w:before="60" w:after="60"/>
              <w:rPr>
                <w:color w:val="000000"/>
                <w:sz w:val="16"/>
                <w:szCs w:val="16"/>
              </w:rPr>
            </w:pPr>
            <w:r w:rsidRPr="00515D00">
              <w:rPr>
                <w:rFonts w:eastAsia="Malgun Gothic"/>
                <w:sz w:val="16"/>
                <w:szCs w:val="16"/>
                <w:lang w:eastAsia="ko-KR"/>
              </w:rPr>
              <w:t>Exposición sobre IP IGNITE</w:t>
            </w:r>
          </w:p>
        </w:tc>
        <w:tc>
          <w:tcPr>
            <w:tcW w:w="1134" w:type="dxa"/>
            <w:tcBorders>
              <w:top w:val="nil"/>
              <w:bottom w:val="single" w:sz="4" w:space="0" w:color="auto"/>
            </w:tcBorders>
          </w:tcPr>
          <w:p w:rsidR="003E311F" w:rsidRPr="00515D00" w:rsidRDefault="003E311F" w:rsidP="007A358B">
            <w:pPr>
              <w:autoSpaceDE w:val="0"/>
              <w:autoSpaceDN w:val="0"/>
              <w:adjustRightInd w:val="0"/>
              <w:spacing w:before="60" w:after="60"/>
              <w:rPr>
                <w:rFonts w:eastAsia="Malgun Gothic"/>
                <w:color w:val="000000"/>
                <w:sz w:val="16"/>
                <w:szCs w:val="16"/>
                <w:lang w:eastAsia="ko-KR"/>
              </w:rPr>
            </w:pPr>
            <w:r w:rsidRPr="00515D00">
              <w:rPr>
                <w:rFonts w:eastAsia="Malgun Gothic"/>
                <w:color w:val="000000"/>
                <w:sz w:val="16"/>
                <w:szCs w:val="16"/>
                <w:lang w:eastAsia="ko-KR"/>
              </w:rPr>
              <w:t>20 de abril de 2015</w:t>
            </w:r>
          </w:p>
        </w:tc>
        <w:tc>
          <w:tcPr>
            <w:tcW w:w="1843" w:type="dxa"/>
            <w:tcBorders>
              <w:top w:val="nil"/>
              <w:bottom w:val="single" w:sz="4" w:space="0" w:color="auto"/>
            </w:tcBorders>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Todos los Estados miembros de la OMPI</w:t>
            </w:r>
          </w:p>
        </w:tc>
        <w:tc>
          <w:tcPr>
            <w:tcW w:w="4961" w:type="dxa"/>
            <w:tcBorders>
              <w:top w:val="nil"/>
              <w:bottom w:val="single" w:sz="4" w:space="0" w:color="auto"/>
            </w:tcBorders>
          </w:tcPr>
          <w:p w:rsidR="003E311F" w:rsidRPr="00515D00" w:rsidRDefault="003E311F" w:rsidP="007A358B">
            <w:pPr>
              <w:autoSpaceDE w:val="0"/>
              <w:autoSpaceDN w:val="0"/>
              <w:adjustRightInd w:val="0"/>
              <w:spacing w:before="60" w:after="60"/>
              <w:rPr>
                <w:color w:val="000000"/>
                <w:sz w:val="16"/>
                <w:szCs w:val="16"/>
                <w:lang w:eastAsia="ko-KR"/>
              </w:rPr>
            </w:pPr>
            <w:r w:rsidRPr="00515D00">
              <w:rPr>
                <w:sz w:val="16"/>
                <w:szCs w:val="16"/>
                <w:lang w:eastAsia="ko-KR"/>
              </w:rPr>
              <w:t>Conmemoración de la inauguración de IP IGNITE, una plataforma desarrollada por la Oficina Coreana de Propiedad Intelectual en colaboración con la Academia de la OMPI para ofrecer un curso general acerca de la propiedad intelectual basado en los contenidos del curso DL-101 de la OMPI y reforzado con elementos sonoros y visuales.</w:t>
            </w:r>
          </w:p>
        </w:tc>
      </w:tr>
      <w:tr w:rsidR="003E311F" w:rsidRPr="00092F2E" w:rsidTr="007A358B">
        <w:tc>
          <w:tcPr>
            <w:tcW w:w="1873" w:type="dxa"/>
            <w:gridSpan w:val="2"/>
            <w:tcBorders>
              <w:top w:val="single" w:sz="4" w:space="0" w:color="auto"/>
              <w:bottom w:val="nil"/>
            </w:tcBorders>
          </w:tcPr>
          <w:p w:rsidR="003E311F" w:rsidRPr="00515D00" w:rsidRDefault="003E311F" w:rsidP="007A358B">
            <w:pPr>
              <w:keepNext/>
              <w:autoSpaceDE w:val="0"/>
              <w:autoSpaceDN w:val="0"/>
              <w:adjustRightInd w:val="0"/>
              <w:spacing w:before="60" w:after="60"/>
              <w:rPr>
                <w:rFonts w:eastAsia="Malgun Gothic"/>
                <w:sz w:val="16"/>
                <w:szCs w:val="16"/>
                <w:lang w:eastAsia="ko-KR"/>
              </w:rPr>
            </w:pPr>
            <w:r w:rsidRPr="00515D00">
              <w:rPr>
                <w:color w:val="000000"/>
                <w:sz w:val="16"/>
                <w:szCs w:val="16"/>
              </w:rPr>
              <w:lastRenderedPageBreak/>
              <w:t>Seminario regional sobre formulación y aplicación de políticas nacionales de propiedad intelectual</w:t>
            </w:r>
          </w:p>
        </w:tc>
        <w:tc>
          <w:tcPr>
            <w:tcW w:w="1134" w:type="dxa"/>
            <w:tcBorders>
              <w:top w:val="single" w:sz="4" w:space="0" w:color="auto"/>
              <w:bottom w:val="nil"/>
            </w:tcBorders>
          </w:tcPr>
          <w:p w:rsidR="003E311F" w:rsidRPr="00515D00" w:rsidRDefault="003E311F" w:rsidP="007A358B">
            <w:pPr>
              <w:keepNext/>
              <w:autoSpaceDE w:val="0"/>
              <w:autoSpaceDN w:val="0"/>
              <w:adjustRightInd w:val="0"/>
              <w:spacing w:before="60" w:after="60"/>
              <w:rPr>
                <w:rFonts w:eastAsia="Malgun Gothic"/>
                <w:color w:val="000000"/>
                <w:sz w:val="16"/>
                <w:szCs w:val="16"/>
                <w:lang w:eastAsia="ko-KR"/>
              </w:rPr>
            </w:pPr>
            <w:r w:rsidRPr="00515D00">
              <w:rPr>
                <w:rFonts w:eastAsia="Malgun Gothic"/>
                <w:color w:val="000000"/>
                <w:sz w:val="16"/>
                <w:szCs w:val="16"/>
                <w:lang w:eastAsia="ko-KR"/>
              </w:rPr>
              <w:t>9 a 11 de junio de 2015</w:t>
            </w:r>
          </w:p>
        </w:tc>
        <w:tc>
          <w:tcPr>
            <w:tcW w:w="1843" w:type="dxa"/>
            <w:tcBorders>
              <w:top w:val="single" w:sz="4" w:space="0" w:color="auto"/>
              <w:bottom w:val="nil"/>
            </w:tcBorders>
          </w:tcPr>
          <w:p w:rsidR="003E311F" w:rsidRPr="00515D00" w:rsidRDefault="003E311F" w:rsidP="00386789">
            <w:pPr>
              <w:keepNext/>
              <w:spacing w:before="120" w:after="60"/>
              <w:contextualSpacing/>
              <w:rPr>
                <w:sz w:val="16"/>
                <w:szCs w:val="16"/>
              </w:rPr>
            </w:pPr>
            <w:r w:rsidRPr="00515D00">
              <w:rPr>
                <w:color w:val="000000"/>
                <w:sz w:val="16"/>
                <w:szCs w:val="16"/>
              </w:rPr>
              <w:t>República de Corea/</w:t>
            </w:r>
            <w:r w:rsidRPr="00515D00">
              <w:rPr>
                <w:sz w:val="16"/>
                <w:szCs w:val="16"/>
                <w:lang w:eastAsia="ko-KR"/>
              </w:rPr>
              <w:t xml:space="preserve"> </w:t>
            </w:r>
            <w:r w:rsidRPr="00515D00">
              <w:rPr>
                <w:sz w:val="16"/>
                <w:szCs w:val="16"/>
              </w:rPr>
              <w:t xml:space="preserve">Camboya, Camerún, República Dominicana, Gambia, Ghana, India, México, Mongolia, Myanmar, Paraguay, Filipinas, Arabia Saudita, </w:t>
            </w:r>
            <w:proofErr w:type="spellStart"/>
            <w:r w:rsidRPr="00515D00">
              <w:rPr>
                <w:sz w:val="16"/>
                <w:szCs w:val="16"/>
              </w:rPr>
              <w:t>Viet</w:t>
            </w:r>
            <w:proofErr w:type="spellEnd"/>
            <w:r w:rsidRPr="00515D00">
              <w:rPr>
                <w:sz w:val="16"/>
                <w:szCs w:val="16"/>
              </w:rPr>
              <w:t xml:space="preserve"> </w:t>
            </w:r>
            <w:proofErr w:type="spellStart"/>
            <w:r w:rsidRPr="00515D00">
              <w:rPr>
                <w:sz w:val="16"/>
                <w:szCs w:val="16"/>
              </w:rPr>
              <w:t>Nam</w:t>
            </w:r>
            <w:proofErr w:type="spellEnd"/>
            <w:r w:rsidRPr="00515D00">
              <w:rPr>
                <w:sz w:val="16"/>
                <w:szCs w:val="16"/>
              </w:rPr>
              <w:t xml:space="preserve">, Zambia y </w:t>
            </w:r>
            <w:proofErr w:type="spellStart"/>
            <w:r w:rsidRPr="00515D00">
              <w:rPr>
                <w:sz w:val="16"/>
                <w:szCs w:val="16"/>
              </w:rPr>
              <w:t>Zimbabwe</w:t>
            </w:r>
            <w:proofErr w:type="spellEnd"/>
          </w:p>
          <w:p w:rsidR="003E311F" w:rsidRPr="00515D00" w:rsidRDefault="003E311F" w:rsidP="007A358B">
            <w:pPr>
              <w:keepNext/>
              <w:spacing w:before="60" w:after="60"/>
              <w:contextualSpacing/>
              <w:rPr>
                <w:color w:val="000000"/>
                <w:sz w:val="16"/>
                <w:szCs w:val="16"/>
              </w:rPr>
            </w:pPr>
          </w:p>
        </w:tc>
        <w:tc>
          <w:tcPr>
            <w:tcW w:w="4961" w:type="dxa"/>
            <w:tcBorders>
              <w:top w:val="single" w:sz="4" w:space="0" w:color="auto"/>
              <w:bottom w:val="nil"/>
            </w:tcBorders>
          </w:tcPr>
          <w:p w:rsidR="003E311F" w:rsidRPr="00515D00" w:rsidRDefault="003E311F" w:rsidP="007A358B">
            <w:pPr>
              <w:keepNext/>
              <w:spacing w:before="60" w:after="60"/>
              <w:rPr>
                <w:sz w:val="16"/>
                <w:szCs w:val="16"/>
                <w:lang w:eastAsia="ko-KR"/>
              </w:rPr>
            </w:pPr>
            <w:r w:rsidRPr="00515D00">
              <w:rPr>
                <w:rFonts w:eastAsia="Malgun Gothic"/>
                <w:sz w:val="16"/>
                <w:szCs w:val="16"/>
              </w:rPr>
              <w:t xml:space="preserve">i) Compartir la experiencia de la </w:t>
            </w:r>
            <w:r w:rsidRPr="00515D00">
              <w:rPr>
                <w:sz w:val="16"/>
                <w:szCs w:val="16"/>
                <w:lang w:eastAsia="ko-KR"/>
              </w:rPr>
              <w:t xml:space="preserve">Oficina Coreana de Propiedad Intelectual </w:t>
            </w:r>
            <w:r w:rsidRPr="00515D00">
              <w:rPr>
                <w:rFonts w:eastAsia="Malgun Gothic"/>
                <w:sz w:val="16"/>
                <w:szCs w:val="16"/>
              </w:rPr>
              <w:t>en la formulación y aplicación de políticas en materia de P.I.;  ii) examinar las dificultades a las que se enfrentan los países en desarrollo en el ámbito de las políticas de P.I.;  iii) debatir posibles metodologías para formular y aplicar políticas de P.I. en los países en desarrollo.</w:t>
            </w:r>
          </w:p>
        </w:tc>
      </w:tr>
      <w:tr w:rsidR="003E311F" w:rsidRPr="00092F2E" w:rsidTr="007A358B">
        <w:tc>
          <w:tcPr>
            <w:tcW w:w="1873" w:type="dxa"/>
            <w:gridSpan w:val="2"/>
            <w:tcBorders>
              <w:top w:val="nil"/>
              <w:bottom w:val="nil"/>
            </w:tcBorders>
          </w:tcPr>
          <w:p w:rsidR="003E311F" w:rsidRPr="00515D00" w:rsidRDefault="003E311F" w:rsidP="007A358B">
            <w:pPr>
              <w:keepNext/>
              <w:autoSpaceDE w:val="0"/>
              <w:autoSpaceDN w:val="0"/>
              <w:adjustRightInd w:val="0"/>
              <w:spacing w:before="60" w:after="60"/>
              <w:rPr>
                <w:rFonts w:eastAsia="Malgun Gothic"/>
                <w:sz w:val="16"/>
                <w:szCs w:val="16"/>
                <w:lang w:eastAsia="ko-KR"/>
              </w:rPr>
            </w:pPr>
            <w:r w:rsidRPr="00515D00">
              <w:rPr>
                <w:color w:val="000000"/>
                <w:sz w:val="16"/>
                <w:szCs w:val="16"/>
              </w:rPr>
              <w:t>Instrumento multimedios IP PANORAMA</w:t>
            </w:r>
          </w:p>
        </w:tc>
        <w:tc>
          <w:tcPr>
            <w:tcW w:w="1134" w:type="dxa"/>
            <w:tcBorders>
              <w:top w:val="nil"/>
              <w:bottom w:val="nil"/>
            </w:tcBorders>
          </w:tcPr>
          <w:p w:rsidR="003E311F" w:rsidRPr="00515D00" w:rsidRDefault="003E311F" w:rsidP="007A358B">
            <w:pPr>
              <w:keepNext/>
              <w:autoSpaceDE w:val="0"/>
              <w:autoSpaceDN w:val="0"/>
              <w:adjustRightInd w:val="0"/>
              <w:spacing w:before="60" w:after="60"/>
              <w:rPr>
                <w:rFonts w:eastAsia="Malgun Gothic"/>
                <w:color w:val="000000"/>
                <w:sz w:val="16"/>
                <w:szCs w:val="16"/>
                <w:lang w:eastAsia="ko-KR"/>
              </w:rPr>
            </w:pPr>
            <w:r w:rsidRPr="00515D00">
              <w:rPr>
                <w:color w:val="000000"/>
                <w:sz w:val="16"/>
                <w:szCs w:val="16"/>
                <w:lang w:eastAsia="ko-KR"/>
              </w:rPr>
              <w:t>Enero a diciembre de 2015</w:t>
            </w:r>
            <w:r w:rsidRPr="00515D00">
              <w:rPr>
                <w:rStyle w:val="FootnoteReference"/>
                <w:color w:val="000000"/>
                <w:sz w:val="16"/>
                <w:szCs w:val="16"/>
                <w:lang w:eastAsia="ko-KR"/>
              </w:rPr>
              <w:footnoteReference w:id="163"/>
            </w:r>
          </w:p>
        </w:tc>
        <w:tc>
          <w:tcPr>
            <w:tcW w:w="1843" w:type="dxa"/>
            <w:tcBorders>
              <w:top w:val="nil"/>
              <w:bottom w:val="nil"/>
            </w:tcBorders>
          </w:tcPr>
          <w:p w:rsidR="003E311F" w:rsidRPr="00515D00" w:rsidRDefault="003E311F" w:rsidP="007A358B">
            <w:pPr>
              <w:keepNext/>
              <w:autoSpaceDE w:val="0"/>
              <w:autoSpaceDN w:val="0"/>
              <w:adjustRightInd w:val="0"/>
              <w:spacing w:before="60" w:after="60"/>
              <w:rPr>
                <w:color w:val="000000"/>
                <w:sz w:val="16"/>
                <w:szCs w:val="16"/>
              </w:rPr>
            </w:pPr>
            <w:r w:rsidRPr="00515D00">
              <w:rPr>
                <w:color w:val="000000"/>
                <w:sz w:val="16"/>
                <w:szCs w:val="16"/>
              </w:rPr>
              <w:t xml:space="preserve">Camboya, </w:t>
            </w:r>
            <w:r w:rsidRPr="00515D00">
              <w:rPr>
                <w:sz w:val="16"/>
                <w:szCs w:val="16"/>
                <w:lang w:eastAsia="ko-KR"/>
              </w:rPr>
              <w:t xml:space="preserve">República Democrática Popular Lao y </w:t>
            </w:r>
            <w:r w:rsidRPr="00515D00">
              <w:rPr>
                <w:color w:val="000000"/>
                <w:sz w:val="16"/>
                <w:szCs w:val="16"/>
              </w:rPr>
              <w:t xml:space="preserve">Myanmar </w:t>
            </w:r>
          </w:p>
        </w:tc>
        <w:tc>
          <w:tcPr>
            <w:tcW w:w="4961" w:type="dxa"/>
            <w:tcBorders>
              <w:top w:val="nil"/>
              <w:bottom w:val="nil"/>
            </w:tcBorders>
          </w:tcPr>
          <w:p w:rsidR="003E311F" w:rsidRPr="00515D00" w:rsidRDefault="003E311F" w:rsidP="007A358B">
            <w:pPr>
              <w:keepNext/>
              <w:autoSpaceDE w:val="0"/>
              <w:autoSpaceDN w:val="0"/>
              <w:adjustRightInd w:val="0"/>
              <w:spacing w:before="60" w:after="60"/>
              <w:rPr>
                <w:sz w:val="16"/>
                <w:szCs w:val="16"/>
                <w:lang w:eastAsia="ko-KR"/>
              </w:rPr>
            </w:pPr>
            <w:r w:rsidRPr="00515D00">
              <w:rPr>
                <w:color w:val="000000"/>
                <w:sz w:val="16"/>
                <w:szCs w:val="16"/>
              </w:rPr>
              <w:t xml:space="preserve">Traducción de los 12 módulos del instrumento multimedios IP PANORAMA de la OMPI en tres países, concretamente Camboya, la </w:t>
            </w:r>
            <w:r w:rsidRPr="00515D00">
              <w:rPr>
                <w:sz w:val="16"/>
                <w:szCs w:val="16"/>
                <w:lang w:eastAsia="ko-KR"/>
              </w:rPr>
              <w:t xml:space="preserve">República Democrática Popular Lao y </w:t>
            </w:r>
            <w:r w:rsidRPr="00515D00">
              <w:rPr>
                <w:color w:val="000000"/>
                <w:sz w:val="16"/>
                <w:szCs w:val="16"/>
              </w:rPr>
              <w:t>Myanmar.</w:t>
            </w:r>
          </w:p>
        </w:tc>
      </w:tr>
      <w:tr w:rsidR="003E311F" w:rsidRPr="00092F2E" w:rsidTr="007A358B">
        <w:tc>
          <w:tcPr>
            <w:tcW w:w="1873" w:type="dxa"/>
            <w:gridSpan w:val="2"/>
            <w:tcBorders>
              <w:top w:val="nil"/>
              <w:bottom w:val="nil"/>
            </w:tcBorders>
          </w:tcPr>
          <w:p w:rsidR="003E311F" w:rsidRPr="00515D00" w:rsidRDefault="003E311F" w:rsidP="007A358B">
            <w:pPr>
              <w:autoSpaceDE w:val="0"/>
              <w:autoSpaceDN w:val="0"/>
              <w:adjustRightInd w:val="0"/>
              <w:spacing w:before="60" w:after="60"/>
              <w:rPr>
                <w:rFonts w:eastAsia="Malgun Gothic"/>
                <w:sz w:val="16"/>
                <w:szCs w:val="16"/>
                <w:lang w:eastAsia="ko-KR"/>
              </w:rPr>
            </w:pPr>
            <w:r w:rsidRPr="00515D00">
              <w:rPr>
                <w:color w:val="000000"/>
                <w:sz w:val="16"/>
                <w:szCs w:val="16"/>
              </w:rPr>
              <w:t xml:space="preserve">Elaboración de una guía de animación de </w:t>
            </w:r>
            <w:proofErr w:type="spellStart"/>
            <w:r w:rsidRPr="00515D00">
              <w:rPr>
                <w:color w:val="000000"/>
                <w:sz w:val="16"/>
                <w:szCs w:val="16"/>
              </w:rPr>
              <w:t>Póroro</w:t>
            </w:r>
            <w:proofErr w:type="spellEnd"/>
            <w:r w:rsidRPr="00515D00">
              <w:rPr>
                <w:color w:val="000000"/>
                <w:sz w:val="16"/>
                <w:szCs w:val="16"/>
              </w:rPr>
              <w:t xml:space="preserve"> en español y francés</w:t>
            </w:r>
          </w:p>
        </w:tc>
        <w:tc>
          <w:tcPr>
            <w:tcW w:w="1134" w:type="dxa"/>
            <w:tcBorders>
              <w:top w:val="nil"/>
              <w:bottom w:val="nil"/>
            </w:tcBorders>
          </w:tcPr>
          <w:p w:rsidR="003E311F" w:rsidRPr="00515D00" w:rsidRDefault="003E311F" w:rsidP="007A358B">
            <w:pPr>
              <w:autoSpaceDE w:val="0"/>
              <w:autoSpaceDN w:val="0"/>
              <w:adjustRightInd w:val="0"/>
              <w:spacing w:before="60" w:after="60"/>
              <w:rPr>
                <w:rFonts w:eastAsia="Malgun Gothic"/>
                <w:color w:val="000000"/>
                <w:sz w:val="16"/>
                <w:szCs w:val="16"/>
                <w:lang w:eastAsia="ko-KR"/>
              </w:rPr>
            </w:pPr>
            <w:r w:rsidRPr="00515D00">
              <w:rPr>
                <w:rFonts w:eastAsia="Malgun Gothic"/>
                <w:color w:val="000000"/>
                <w:sz w:val="16"/>
                <w:szCs w:val="16"/>
                <w:lang w:eastAsia="ko-KR"/>
              </w:rPr>
              <w:t>Febrero a abril de</w:t>
            </w:r>
            <w:r w:rsidRPr="00515D00">
              <w:rPr>
                <w:color w:val="000000"/>
                <w:sz w:val="16"/>
                <w:szCs w:val="16"/>
                <w:lang w:eastAsia="ko-KR"/>
              </w:rPr>
              <w:t xml:space="preserve"> 2015</w:t>
            </w:r>
          </w:p>
        </w:tc>
        <w:tc>
          <w:tcPr>
            <w:tcW w:w="1843" w:type="dxa"/>
            <w:tcBorders>
              <w:top w:val="nil"/>
              <w:bottom w:val="nil"/>
            </w:tcBorders>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República de Corea/ Todos los Estados miembros de la OMPI</w:t>
            </w:r>
          </w:p>
        </w:tc>
        <w:tc>
          <w:tcPr>
            <w:tcW w:w="4961" w:type="dxa"/>
            <w:tcBorders>
              <w:top w:val="nil"/>
              <w:bottom w:val="nil"/>
            </w:tcBorders>
          </w:tcPr>
          <w:p w:rsidR="003E311F" w:rsidRPr="00515D00" w:rsidRDefault="003E311F" w:rsidP="007A358B">
            <w:pPr>
              <w:autoSpaceDE w:val="0"/>
              <w:autoSpaceDN w:val="0"/>
              <w:adjustRightInd w:val="0"/>
              <w:spacing w:before="60" w:after="60"/>
              <w:rPr>
                <w:sz w:val="16"/>
                <w:szCs w:val="16"/>
                <w:lang w:eastAsia="ko-KR"/>
              </w:rPr>
            </w:pPr>
            <w:r w:rsidRPr="00515D00">
              <w:rPr>
                <w:sz w:val="16"/>
                <w:szCs w:val="16"/>
                <w:lang w:eastAsia="ko-KR"/>
              </w:rPr>
              <w:t>i) Elaborar material educativo sobre propiedad intelectual que resulte accesible para los no expertos en la materia;  ii) estimular el interés del público en cuestiones relacionadas con la P.I.;  y iii) ayudar a los colegios y otros centros educativos a elaborar planes de estudios que estimulen la creatividad;  y (iv) mejorar el acceso de los usuarios de P.I. a materiales en idiomas locales.</w:t>
            </w:r>
          </w:p>
        </w:tc>
      </w:tr>
      <w:tr w:rsidR="003E311F" w:rsidRPr="00092F2E" w:rsidTr="007A358B">
        <w:tc>
          <w:tcPr>
            <w:tcW w:w="1873" w:type="dxa"/>
            <w:gridSpan w:val="2"/>
            <w:tcBorders>
              <w:top w:val="nil"/>
              <w:bottom w:val="single" w:sz="4" w:space="0" w:color="000000"/>
            </w:tcBorders>
          </w:tcPr>
          <w:p w:rsidR="003E311F" w:rsidRPr="00515D00" w:rsidRDefault="003E311F" w:rsidP="007A358B">
            <w:pPr>
              <w:autoSpaceDE w:val="0"/>
              <w:autoSpaceDN w:val="0"/>
              <w:adjustRightInd w:val="0"/>
              <w:spacing w:before="60" w:after="60"/>
              <w:rPr>
                <w:rFonts w:eastAsia="Malgun Gothic"/>
                <w:sz w:val="16"/>
                <w:szCs w:val="16"/>
                <w:lang w:eastAsia="ko-KR"/>
              </w:rPr>
            </w:pPr>
            <w:r w:rsidRPr="00515D00">
              <w:rPr>
                <w:color w:val="000000"/>
                <w:sz w:val="16"/>
                <w:szCs w:val="16"/>
              </w:rPr>
              <w:t>Elaboración de material educativo sobre propiedad intelectual</w:t>
            </w:r>
          </w:p>
        </w:tc>
        <w:tc>
          <w:tcPr>
            <w:tcW w:w="1134" w:type="dxa"/>
            <w:tcBorders>
              <w:top w:val="nil"/>
              <w:bottom w:val="single" w:sz="4" w:space="0" w:color="000000"/>
            </w:tcBorders>
          </w:tcPr>
          <w:p w:rsidR="003E311F" w:rsidRPr="00515D00" w:rsidRDefault="003E311F" w:rsidP="007A358B">
            <w:pPr>
              <w:autoSpaceDE w:val="0"/>
              <w:autoSpaceDN w:val="0"/>
              <w:adjustRightInd w:val="0"/>
              <w:spacing w:before="60" w:after="60"/>
              <w:rPr>
                <w:rFonts w:eastAsia="Malgun Gothic"/>
                <w:color w:val="000000"/>
                <w:sz w:val="16"/>
                <w:szCs w:val="16"/>
                <w:lang w:eastAsia="ko-KR"/>
              </w:rPr>
            </w:pPr>
            <w:r w:rsidRPr="00515D00">
              <w:rPr>
                <w:color w:val="000000"/>
                <w:sz w:val="16"/>
                <w:szCs w:val="16"/>
                <w:lang w:eastAsia="ko-KR"/>
              </w:rPr>
              <w:t>Enero a diciembre de 2015</w:t>
            </w:r>
            <w:r w:rsidRPr="00515D00">
              <w:rPr>
                <w:rStyle w:val="FootnoteReference"/>
                <w:color w:val="000000"/>
                <w:sz w:val="16"/>
                <w:szCs w:val="16"/>
                <w:lang w:eastAsia="ko-KR"/>
              </w:rPr>
              <w:footnoteReference w:id="164"/>
            </w:r>
          </w:p>
        </w:tc>
        <w:tc>
          <w:tcPr>
            <w:tcW w:w="1843" w:type="dxa"/>
            <w:tcBorders>
              <w:top w:val="nil"/>
              <w:bottom w:val="single" w:sz="4" w:space="0" w:color="000000"/>
            </w:tcBorders>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República de Corea</w:t>
            </w:r>
          </w:p>
        </w:tc>
        <w:tc>
          <w:tcPr>
            <w:tcW w:w="4961" w:type="dxa"/>
            <w:tcBorders>
              <w:top w:val="nil"/>
              <w:bottom w:val="single" w:sz="4" w:space="0" w:color="000000"/>
            </w:tcBorders>
          </w:tcPr>
          <w:p w:rsidR="003E311F" w:rsidRPr="00515D00" w:rsidRDefault="003E311F" w:rsidP="007A358B">
            <w:pPr>
              <w:autoSpaceDE w:val="0"/>
              <w:autoSpaceDN w:val="0"/>
              <w:adjustRightInd w:val="0"/>
              <w:spacing w:before="60" w:after="60"/>
              <w:rPr>
                <w:sz w:val="16"/>
                <w:szCs w:val="16"/>
                <w:lang w:eastAsia="ko-KR"/>
              </w:rPr>
            </w:pPr>
            <w:r w:rsidRPr="00515D00">
              <w:rPr>
                <w:sz w:val="16"/>
                <w:szCs w:val="16"/>
                <w:lang w:eastAsia="ko-KR"/>
              </w:rPr>
              <w:t>i) Elaborar material educativo sobre propiedad intelectual dirigido a estudiantes de secundaria que explique el proceso de invención y la transformación de las ideas en propiedad intelectual;  ii) estimular el interés del público en cuestiones relacionadas con la P.I.;  y iii) ayudar a los colegios y otros centros educativos a elaborar planes de estudios que estimulen la creatividad.</w:t>
            </w:r>
          </w:p>
        </w:tc>
      </w:tr>
      <w:tr w:rsidR="003E311F" w:rsidRPr="00092F2E" w:rsidTr="007A358B">
        <w:tc>
          <w:tcPr>
            <w:tcW w:w="9811" w:type="dxa"/>
            <w:gridSpan w:val="5"/>
            <w:tcBorders>
              <w:top w:val="single" w:sz="4" w:space="0" w:color="000000"/>
              <w:bottom w:val="single" w:sz="4" w:space="0" w:color="000000"/>
            </w:tcBorders>
            <w:shd w:val="clear" w:color="auto" w:fill="C6D9F1" w:themeFill="text2" w:themeFillTint="33"/>
          </w:tcPr>
          <w:p w:rsidR="003E311F" w:rsidRPr="00515D00" w:rsidRDefault="003E311F" w:rsidP="007A358B">
            <w:pPr>
              <w:keepNext/>
              <w:keepLines/>
              <w:tabs>
                <w:tab w:val="left" w:pos="1740"/>
              </w:tabs>
              <w:spacing w:before="120" w:after="120"/>
              <w:ind w:left="1740" w:hanging="1740"/>
              <w:rPr>
                <w:rFonts w:eastAsia="Malgun Gothic"/>
                <w:color w:val="000000"/>
                <w:sz w:val="16"/>
                <w:szCs w:val="16"/>
                <w:lang w:eastAsia="ko-KR"/>
              </w:rPr>
            </w:pPr>
            <w:r w:rsidRPr="00515D00">
              <w:rPr>
                <w:b/>
                <w:bCs/>
                <w:color w:val="000000"/>
                <w:sz w:val="16"/>
                <w:szCs w:val="16"/>
              </w:rPr>
              <w:t>RESULTADO:</w:t>
            </w:r>
            <w:r w:rsidRPr="00515D00">
              <w:rPr>
                <w:b/>
                <w:bCs/>
                <w:color w:val="000000"/>
                <w:sz w:val="16"/>
                <w:szCs w:val="16"/>
              </w:rPr>
              <w:tab/>
            </w:r>
            <w:r w:rsidRPr="00D64282">
              <w:rPr>
                <w:bCs/>
                <w:color w:val="000000"/>
                <w:sz w:val="16"/>
                <w:szCs w:val="16"/>
              </w:rPr>
              <w:t>IV.2  Mejora del acceso y uso de información de P.I. por parte de instituciones de P.I. y el público para fomentar la innovación y la creatividad</w:t>
            </w:r>
          </w:p>
        </w:tc>
      </w:tr>
      <w:tr w:rsidR="003E311F" w:rsidRPr="00515D00" w:rsidTr="007A358B">
        <w:trPr>
          <w:trHeight w:val="500"/>
        </w:trPr>
        <w:tc>
          <w:tcPr>
            <w:tcW w:w="1830" w:type="dxa"/>
            <w:tcBorders>
              <w:top w:val="single" w:sz="4" w:space="0" w:color="000000"/>
              <w:bottom w:val="nil"/>
            </w:tcBorders>
            <w:vAlign w:val="center"/>
          </w:tcPr>
          <w:p w:rsidR="003E311F" w:rsidRPr="00515D00" w:rsidRDefault="003E311F" w:rsidP="007A358B">
            <w:pPr>
              <w:keepNext/>
              <w:keepLines/>
              <w:spacing w:before="60" w:after="60"/>
              <w:rPr>
                <w:b/>
                <w:bCs/>
                <w:sz w:val="16"/>
                <w:szCs w:val="16"/>
              </w:rPr>
            </w:pPr>
            <w:r w:rsidRPr="00515D00">
              <w:rPr>
                <w:b/>
                <w:bCs/>
                <w:sz w:val="16"/>
                <w:szCs w:val="16"/>
              </w:rPr>
              <w:t>Actividad</w:t>
            </w:r>
          </w:p>
        </w:tc>
        <w:tc>
          <w:tcPr>
            <w:tcW w:w="1177" w:type="dxa"/>
            <w:gridSpan w:val="2"/>
            <w:tcBorders>
              <w:top w:val="single" w:sz="4" w:space="0" w:color="000000"/>
              <w:bottom w:val="nil"/>
            </w:tcBorders>
            <w:vAlign w:val="center"/>
          </w:tcPr>
          <w:p w:rsidR="003E311F" w:rsidRPr="00515D00" w:rsidRDefault="003E311F" w:rsidP="007A358B">
            <w:pPr>
              <w:keepNext/>
              <w:keepLines/>
              <w:spacing w:before="60" w:after="60"/>
              <w:rPr>
                <w:sz w:val="16"/>
                <w:szCs w:val="16"/>
              </w:rPr>
            </w:pPr>
            <w:r w:rsidRPr="00515D00">
              <w:rPr>
                <w:b/>
                <w:bCs/>
                <w:sz w:val="16"/>
                <w:szCs w:val="16"/>
              </w:rPr>
              <w:t>Fecha</w:t>
            </w:r>
          </w:p>
        </w:tc>
        <w:tc>
          <w:tcPr>
            <w:tcW w:w="1843" w:type="dxa"/>
            <w:tcBorders>
              <w:top w:val="single" w:sz="4" w:space="0" w:color="000000"/>
              <w:bottom w:val="nil"/>
            </w:tcBorders>
            <w:vAlign w:val="center"/>
          </w:tcPr>
          <w:p w:rsidR="003E311F" w:rsidRPr="00515D00" w:rsidRDefault="003E311F" w:rsidP="007A358B">
            <w:pPr>
              <w:widowControl w:val="0"/>
              <w:rPr>
                <w:sz w:val="16"/>
                <w:szCs w:val="16"/>
              </w:rPr>
            </w:pPr>
            <w:r w:rsidRPr="00515D00">
              <w:rPr>
                <w:b/>
                <w:sz w:val="16"/>
                <w:szCs w:val="16"/>
              </w:rPr>
              <w:t>País anfitrión / Beneficiarios</w:t>
            </w:r>
          </w:p>
        </w:tc>
        <w:tc>
          <w:tcPr>
            <w:tcW w:w="4961" w:type="dxa"/>
            <w:tcBorders>
              <w:top w:val="single" w:sz="4" w:space="0" w:color="000000"/>
              <w:bottom w:val="nil"/>
            </w:tcBorders>
            <w:vAlign w:val="center"/>
          </w:tcPr>
          <w:p w:rsidR="003E311F" w:rsidRPr="00515D00" w:rsidRDefault="003E311F" w:rsidP="007A358B">
            <w:pPr>
              <w:widowControl w:val="0"/>
              <w:rPr>
                <w:sz w:val="16"/>
                <w:szCs w:val="16"/>
              </w:rPr>
            </w:pPr>
            <w:r w:rsidRPr="00515D00">
              <w:rPr>
                <w:b/>
                <w:sz w:val="16"/>
                <w:szCs w:val="16"/>
              </w:rPr>
              <w:t>Propósito(s)/Descripción</w:t>
            </w:r>
          </w:p>
        </w:tc>
      </w:tr>
      <w:tr w:rsidR="003E311F" w:rsidRPr="00092F2E" w:rsidTr="007A358B">
        <w:tc>
          <w:tcPr>
            <w:tcW w:w="1830" w:type="dxa"/>
            <w:tcBorders>
              <w:bottom w:val="nil"/>
            </w:tcBorders>
          </w:tcPr>
          <w:p w:rsidR="003E311F" w:rsidRPr="00515D00" w:rsidRDefault="003E311F" w:rsidP="007A358B">
            <w:pPr>
              <w:autoSpaceDE w:val="0"/>
              <w:autoSpaceDN w:val="0"/>
              <w:adjustRightInd w:val="0"/>
              <w:spacing w:before="60" w:after="60"/>
              <w:rPr>
                <w:color w:val="000000"/>
                <w:sz w:val="16"/>
                <w:szCs w:val="16"/>
              </w:rPr>
            </w:pPr>
            <w:r w:rsidRPr="00515D00">
              <w:rPr>
                <w:sz w:val="16"/>
                <w:szCs w:val="16"/>
                <w:lang w:eastAsia="ko-KR"/>
              </w:rPr>
              <w:t>Seminario regional sobre difusión de invenciones de tecnologías apropiadas</w:t>
            </w:r>
          </w:p>
        </w:tc>
        <w:tc>
          <w:tcPr>
            <w:tcW w:w="1177" w:type="dxa"/>
            <w:gridSpan w:val="2"/>
            <w:tcBorders>
              <w:bottom w:val="nil"/>
            </w:tcBorders>
          </w:tcPr>
          <w:p w:rsidR="003E311F" w:rsidRPr="00515D00" w:rsidRDefault="003E311F" w:rsidP="007A358B">
            <w:pPr>
              <w:autoSpaceDE w:val="0"/>
              <w:autoSpaceDN w:val="0"/>
              <w:adjustRightInd w:val="0"/>
              <w:spacing w:before="60" w:after="60"/>
              <w:rPr>
                <w:rFonts w:eastAsia="Malgun Gothic"/>
                <w:color w:val="000000"/>
                <w:sz w:val="16"/>
                <w:szCs w:val="16"/>
                <w:lang w:eastAsia="ko-KR"/>
              </w:rPr>
            </w:pPr>
            <w:r w:rsidRPr="00515D00">
              <w:rPr>
                <w:sz w:val="16"/>
                <w:szCs w:val="16"/>
                <w:lang w:eastAsia="ko-KR"/>
              </w:rPr>
              <w:t>29 a 30 de abril de 2015</w:t>
            </w:r>
          </w:p>
        </w:tc>
        <w:tc>
          <w:tcPr>
            <w:tcW w:w="1843" w:type="dxa"/>
            <w:tcBorders>
              <w:bottom w:val="nil"/>
            </w:tcBorders>
          </w:tcPr>
          <w:p w:rsidR="003E311F" w:rsidRPr="00515D00" w:rsidRDefault="003E311F" w:rsidP="007A358B">
            <w:pPr>
              <w:keepNext/>
              <w:keepLines/>
              <w:spacing w:before="60" w:after="60"/>
              <w:rPr>
                <w:color w:val="000000"/>
                <w:sz w:val="16"/>
                <w:szCs w:val="16"/>
              </w:rPr>
            </w:pPr>
            <w:r w:rsidRPr="00515D00">
              <w:rPr>
                <w:sz w:val="16"/>
                <w:szCs w:val="16"/>
              </w:rPr>
              <w:t xml:space="preserve">República de Corea/ Etiopía, </w:t>
            </w:r>
            <w:r w:rsidRPr="00515D00">
              <w:rPr>
                <w:rFonts w:eastAsiaTheme="minorEastAsia"/>
                <w:sz w:val="16"/>
                <w:szCs w:val="16"/>
                <w:lang w:eastAsia="ko-KR"/>
              </w:rPr>
              <w:t xml:space="preserve">México, Mongolia, Filipinas and </w:t>
            </w:r>
            <w:proofErr w:type="spellStart"/>
            <w:r w:rsidRPr="00515D00">
              <w:rPr>
                <w:rFonts w:eastAsiaTheme="minorEastAsia"/>
                <w:sz w:val="16"/>
                <w:szCs w:val="16"/>
                <w:lang w:eastAsia="ko-KR"/>
              </w:rPr>
              <w:t>Viet</w:t>
            </w:r>
            <w:proofErr w:type="spellEnd"/>
            <w:r w:rsidRPr="00515D00">
              <w:rPr>
                <w:rFonts w:eastAsiaTheme="minorEastAsia"/>
                <w:sz w:val="16"/>
                <w:szCs w:val="16"/>
                <w:lang w:eastAsia="ko-KR"/>
              </w:rPr>
              <w:t xml:space="preserve"> </w:t>
            </w:r>
            <w:proofErr w:type="spellStart"/>
            <w:r w:rsidRPr="00515D00">
              <w:rPr>
                <w:rFonts w:eastAsiaTheme="minorEastAsia"/>
                <w:sz w:val="16"/>
                <w:szCs w:val="16"/>
                <w:lang w:eastAsia="ko-KR"/>
              </w:rPr>
              <w:t>Nam</w:t>
            </w:r>
            <w:proofErr w:type="spellEnd"/>
            <w:r w:rsidRPr="00515D00">
              <w:rPr>
                <w:rFonts w:eastAsiaTheme="minorEastAsia"/>
                <w:sz w:val="16"/>
                <w:szCs w:val="16"/>
                <w:lang w:eastAsia="ko-KR"/>
              </w:rPr>
              <w:t>.</w:t>
            </w:r>
          </w:p>
        </w:tc>
        <w:tc>
          <w:tcPr>
            <w:tcW w:w="4961" w:type="dxa"/>
            <w:tcBorders>
              <w:bottom w:val="nil"/>
            </w:tcBorders>
          </w:tcPr>
          <w:p w:rsidR="003E311F" w:rsidRPr="00515D00" w:rsidRDefault="003E311F" w:rsidP="007A358B">
            <w:pPr>
              <w:autoSpaceDE w:val="0"/>
              <w:autoSpaceDN w:val="0"/>
              <w:adjustRightInd w:val="0"/>
              <w:spacing w:before="60" w:after="60"/>
              <w:rPr>
                <w:color w:val="000000"/>
                <w:sz w:val="16"/>
                <w:szCs w:val="16"/>
                <w:lang w:eastAsia="ko-KR"/>
              </w:rPr>
            </w:pPr>
            <w:r w:rsidRPr="00515D00">
              <w:rPr>
                <w:sz w:val="16"/>
                <w:szCs w:val="16"/>
                <w:lang w:eastAsia="ko-KR"/>
              </w:rPr>
              <w:t>i) Compartir experiencias en el ámbito del desarrollo y la difusión de invenciones de tecnologías apropiadas;  ii) mejorar la comprensión de las cuestiones relacionadas con la propiedad local y la sostenibilidad de las tecnologías apropiadas;  iii) debatir posibles medidas para propiciar una estrecha colaboración entre el sector privado, las instituciones de investigación/universidades y los gobiernos para elaborar y difundir tecnologías apropiadas;  y iv) determinar los obstáculos que se oponen a la difusión de las tecnologías apropiadas y buscar formas de superarlos.</w:t>
            </w:r>
          </w:p>
        </w:tc>
      </w:tr>
      <w:tr w:rsidR="003E311F" w:rsidRPr="00092F2E" w:rsidTr="007A358B">
        <w:tc>
          <w:tcPr>
            <w:tcW w:w="1830" w:type="dxa"/>
            <w:tcBorders>
              <w:top w:val="nil"/>
              <w:left w:val="single" w:sz="4" w:space="0" w:color="auto"/>
              <w:bottom w:val="nil"/>
            </w:tcBorders>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Concurso sobre tecnologías apropiadas</w:t>
            </w:r>
          </w:p>
        </w:tc>
        <w:tc>
          <w:tcPr>
            <w:tcW w:w="1177" w:type="dxa"/>
            <w:gridSpan w:val="2"/>
            <w:tcBorders>
              <w:top w:val="nil"/>
              <w:bottom w:val="nil"/>
            </w:tcBorders>
          </w:tcPr>
          <w:p w:rsidR="003E311F" w:rsidRPr="00515D00" w:rsidRDefault="003E311F" w:rsidP="007A358B">
            <w:pPr>
              <w:autoSpaceDE w:val="0"/>
              <w:autoSpaceDN w:val="0"/>
              <w:adjustRightInd w:val="0"/>
              <w:spacing w:before="60" w:after="60"/>
              <w:rPr>
                <w:rFonts w:eastAsia="Malgun Gothic"/>
                <w:color w:val="000000"/>
                <w:sz w:val="16"/>
                <w:szCs w:val="16"/>
                <w:lang w:eastAsia="ko-KR"/>
              </w:rPr>
            </w:pPr>
            <w:r w:rsidRPr="00515D00">
              <w:rPr>
                <w:rFonts w:eastAsia="Malgun Gothic"/>
                <w:color w:val="000000"/>
                <w:sz w:val="16"/>
                <w:szCs w:val="16"/>
                <w:lang w:eastAsia="ko-KR"/>
              </w:rPr>
              <w:t>1</w:t>
            </w:r>
            <w:r w:rsidRPr="00515D00">
              <w:rPr>
                <w:color w:val="000000"/>
                <w:sz w:val="16"/>
                <w:szCs w:val="16"/>
              </w:rPr>
              <w:t xml:space="preserve"> de abril a </w:t>
            </w:r>
            <w:r w:rsidRPr="00515D00">
              <w:rPr>
                <w:color w:val="000000"/>
                <w:sz w:val="16"/>
                <w:szCs w:val="16"/>
                <w:lang w:eastAsia="ko-KR"/>
              </w:rPr>
              <w:t>18 de diciembre de 2015</w:t>
            </w:r>
          </w:p>
        </w:tc>
        <w:tc>
          <w:tcPr>
            <w:tcW w:w="1843" w:type="dxa"/>
            <w:tcBorders>
              <w:top w:val="nil"/>
              <w:bottom w:val="nil"/>
            </w:tcBorders>
          </w:tcPr>
          <w:p w:rsidR="003E311F" w:rsidRPr="00515D00" w:rsidRDefault="003E311F" w:rsidP="007A358B">
            <w:pPr>
              <w:autoSpaceDE w:val="0"/>
              <w:autoSpaceDN w:val="0"/>
              <w:adjustRightInd w:val="0"/>
              <w:spacing w:before="60" w:after="60"/>
              <w:rPr>
                <w:color w:val="000000"/>
                <w:sz w:val="16"/>
                <w:szCs w:val="16"/>
              </w:rPr>
            </w:pPr>
            <w:r w:rsidRPr="00515D00">
              <w:rPr>
                <w:rFonts w:eastAsia="Malgun Gothic"/>
                <w:color w:val="000000"/>
                <w:sz w:val="16"/>
                <w:szCs w:val="16"/>
                <w:lang w:eastAsia="ko-KR"/>
              </w:rPr>
              <w:t>Mongolia</w:t>
            </w:r>
          </w:p>
        </w:tc>
        <w:tc>
          <w:tcPr>
            <w:tcW w:w="4961" w:type="dxa"/>
            <w:tcBorders>
              <w:top w:val="nil"/>
              <w:bottom w:val="nil"/>
              <w:right w:val="single" w:sz="4" w:space="0" w:color="auto"/>
            </w:tcBorders>
          </w:tcPr>
          <w:p w:rsidR="003E311F" w:rsidRPr="00515D00" w:rsidRDefault="003E311F" w:rsidP="007A358B">
            <w:pPr>
              <w:spacing w:before="60" w:after="60"/>
              <w:contextualSpacing/>
              <w:rPr>
                <w:sz w:val="16"/>
                <w:szCs w:val="16"/>
              </w:rPr>
            </w:pPr>
            <w:r w:rsidRPr="00515D00">
              <w:rPr>
                <w:sz w:val="16"/>
                <w:szCs w:val="16"/>
              </w:rPr>
              <w:t xml:space="preserve">i) Fomentar y recompensar la excelencia en la invención de tecnologías apropiadas que permitan a las comunidades locales cubrir sus necesidades de forma fácil y asequible;  y ii) </w:t>
            </w:r>
            <w:r w:rsidRPr="00515D00">
              <w:rPr>
                <w:rFonts w:eastAsia="Malgun Gothic"/>
                <w:sz w:val="16"/>
                <w:szCs w:val="16"/>
                <w:lang w:eastAsia="ko-KR"/>
              </w:rPr>
              <w:t>contribuir al desarrollo sostenible de las comunidades locales</w:t>
            </w:r>
            <w:r w:rsidRPr="00515D00">
              <w:rPr>
                <w:sz w:val="16"/>
                <w:szCs w:val="16"/>
              </w:rPr>
              <w:t>.</w:t>
            </w:r>
          </w:p>
          <w:p w:rsidR="003E311F" w:rsidRPr="00515D00" w:rsidRDefault="003E311F" w:rsidP="007A358B">
            <w:pPr>
              <w:spacing w:before="60" w:after="60"/>
              <w:contextualSpacing/>
              <w:rPr>
                <w:sz w:val="16"/>
                <w:szCs w:val="16"/>
              </w:rPr>
            </w:pPr>
          </w:p>
          <w:p w:rsidR="003E311F" w:rsidRPr="00515D00" w:rsidRDefault="003E311F" w:rsidP="007A358B">
            <w:pPr>
              <w:spacing w:before="60" w:after="60"/>
              <w:contextualSpacing/>
              <w:rPr>
                <w:sz w:val="16"/>
                <w:szCs w:val="16"/>
                <w:lang w:eastAsia="ko-KR"/>
              </w:rPr>
            </w:pPr>
            <w:r w:rsidRPr="00515D00">
              <w:rPr>
                <w:sz w:val="16"/>
                <w:szCs w:val="16"/>
              </w:rPr>
              <w:t>La utilización de la información contenida en las patentes para diseñar las soluciones constituyó un elemento fundamental del concurso</w:t>
            </w:r>
          </w:p>
        </w:tc>
      </w:tr>
      <w:tr w:rsidR="003E311F" w:rsidRPr="00092F2E" w:rsidTr="007A358B">
        <w:trPr>
          <w:trHeight w:val="80"/>
        </w:trPr>
        <w:tc>
          <w:tcPr>
            <w:tcW w:w="1830" w:type="dxa"/>
            <w:tcBorders>
              <w:top w:val="nil"/>
              <w:left w:val="single" w:sz="4" w:space="0" w:color="auto"/>
              <w:bottom w:val="single" w:sz="4" w:space="0" w:color="auto"/>
            </w:tcBorders>
          </w:tcPr>
          <w:p w:rsidR="003E311F" w:rsidRPr="00515D00" w:rsidRDefault="003E311F" w:rsidP="007A358B">
            <w:pPr>
              <w:autoSpaceDE w:val="0"/>
              <w:autoSpaceDN w:val="0"/>
              <w:adjustRightInd w:val="0"/>
              <w:spacing w:before="60" w:after="60"/>
              <w:rPr>
                <w:color w:val="000000"/>
                <w:sz w:val="16"/>
                <w:szCs w:val="16"/>
                <w:highlight w:val="yellow"/>
              </w:rPr>
            </w:pPr>
            <w:r w:rsidRPr="00515D00">
              <w:rPr>
                <w:color w:val="000000"/>
                <w:sz w:val="16"/>
                <w:szCs w:val="16"/>
              </w:rPr>
              <w:t>Concurso sobre tecnologías apropiadas</w:t>
            </w:r>
          </w:p>
        </w:tc>
        <w:tc>
          <w:tcPr>
            <w:tcW w:w="1177" w:type="dxa"/>
            <w:gridSpan w:val="2"/>
            <w:tcBorders>
              <w:top w:val="nil"/>
              <w:bottom w:val="single" w:sz="4" w:space="0" w:color="auto"/>
            </w:tcBorders>
          </w:tcPr>
          <w:p w:rsidR="003E311F" w:rsidRPr="00515D00" w:rsidRDefault="003E311F" w:rsidP="007A358B">
            <w:pPr>
              <w:spacing w:before="60" w:after="60"/>
              <w:rPr>
                <w:color w:val="000000"/>
                <w:sz w:val="16"/>
                <w:szCs w:val="16"/>
                <w:lang w:eastAsia="ko-KR"/>
              </w:rPr>
            </w:pPr>
            <w:r w:rsidRPr="00515D00">
              <w:rPr>
                <w:rFonts w:eastAsia="Malgun Gothic"/>
                <w:color w:val="000000"/>
                <w:sz w:val="16"/>
                <w:szCs w:val="16"/>
                <w:lang w:eastAsia="ko-KR"/>
              </w:rPr>
              <w:t>Julio de</w:t>
            </w:r>
            <w:r w:rsidRPr="00515D00">
              <w:rPr>
                <w:color w:val="000000"/>
                <w:sz w:val="16"/>
                <w:szCs w:val="16"/>
                <w:lang w:eastAsia="ko-KR"/>
              </w:rPr>
              <w:t xml:space="preserve"> 2015 (comenzado)</w:t>
            </w:r>
          </w:p>
          <w:p w:rsidR="003E311F" w:rsidRPr="00515D00" w:rsidRDefault="003E311F" w:rsidP="007A358B">
            <w:pPr>
              <w:autoSpaceDE w:val="0"/>
              <w:autoSpaceDN w:val="0"/>
              <w:adjustRightInd w:val="0"/>
              <w:spacing w:before="60" w:after="60"/>
              <w:rPr>
                <w:rFonts w:eastAsia="Malgun Gothic"/>
                <w:color w:val="000000"/>
                <w:sz w:val="16"/>
                <w:szCs w:val="16"/>
                <w:highlight w:val="yellow"/>
                <w:lang w:eastAsia="ko-KR"/>
              </w:rPr>
            </w:pPr>
          </w:p>
        </w:tc>
        <w:tc>
          <w:tcPr>
            <w:tcW w:w="1843" w:type="dxa"/>
            <w:tcBorders>
              <w:top w:val="nil"/>
              <w:bottom w:val="single" w:sz="4" w:space="0" w:color="auto"/>
            </w:tcBorders>
          </w:tcPr>
          <w:p w:rsidR="003E311F" w:rsidRPr="00515D00" w:rsidRDefault="003E311F" w:rsidP="007A358B">
            <w:pPr>
              <w:spacing w:before="60" w:after="60"/>
              <w:contextualSpacing/>
              <w:rPr>
                <w:color w:val="000000"/>
                <w:sz w:val="16"/>
                <w:szCs w:val="16"/>
                <w:highlight w:val="yellow"/>
              </w:rPr>
            </w:pPr>
            <w:r w:rsidRPr="00515D00">
              <w:rPr>
                <w:rFonts w:eastAsia="Malgun Gothic"/>
                <w:color w:val="000000"/>
                <w:sz w:val="16"/>
                <w:szCs w:val="16"/>
                <w:lang w:eastAsia="ko-KR"/>
              </w:rPr>
              <w:t>República Dominicana</w:t>
            </w:r>
          </w:p>
        </w:tc>
        <w:tc>
          <w:tcPr>
            <w:tcW w:w="4961" w:type="dxa"/>
            <w:tcBorders>
              <w:top w:val="nil"/>
              <w:bottom w:val="single" w:sz="4" w:space="0" w:color="auto"/>
              <w:right w:val="single" w:sz="4" w:space="0" w:color="auto"/>
            </w:tcBorders>
          </w:tcPr>
          <w:p w:rsidR="003E311F" w:rsidRPr="00515D00" w:rsidRDefault="003E311F" w:rsidP="007A358B">
            <w:pPr>
              <w:spacing w:before="60" w:after="60"/>
              <w:contextualSpacing/>
              <w:rPr>
                <w:sz w:val="16"/>
                <w:szCs w:val="16"/>
              </w:rPr>
            </w:pPr>
            <w:r w:rsidRPr="00515D00">
              <w:rPr>
                <w:sz w:val="16"/>
                <w:szCs w:val="16"/>
              </w:rPr>
              <w:t xml:space="preserve">Fomentar y recompensar la excelencia en la invención de tecnologías apropiadas para la agricultura que permitan a las comunidades locales cubrir sus necesidades de forma fácil y asequible;  y ii) </w:t>
            </w:r>
            <w:r w:rsidRPr="00515D00">
              <w:rPr>
                <w:rFonts w:eastAsia="Malgun Gothic"/>
                <w:sz w:val="16"/>
                <w:szCs w:val="16"/>
                <w:lang w:eastAsia="ko-KR"/>
              </w:rPr>
              <w:t>contribuir al desarrollo sostenible de las comunidades locales</w:t>
            </w:r>
            <w:r w:rsidRPr="00515D00">
              <w:rPr>
                <w:sz w:val="16"/>
                <w:szCs w:val="16"/>
              </w:rPr>
              <w:t xml:space="preserve">.  </w:t>
            </w:r>
          </w:p>
          <w:p w:rsidR="003E311F" w:rsidRPr="00515D00" w:rsidRDefault="003E311F" w:rsidP="007A358B">
            <w:pPr>
              <w:spacing w:before="60" w:after="60"/>
              <w:contextualSpacing/>
              <w:rPr>
                <w:sz w:val="16"/>
                <w:szCs w:val="16"/>
              </w:rPr>
            </w:pPr>
          </w:p>
          <w:p w:rsidR="003E311F" w:rsidRPr="00515D00" w:rsidRDefault="003E311F" w:rsidP="007A358B">
            <w:pPr>
              <w:spacing w:before="60" w:after="60"/>
              <w:contextualSpacing/>
              <w:rPr>
                <w:sz w:val="16"/>
                <w:szCs w:val="16"/>
                <w:highlight w:val="yellow"/>
                <w:lang w:eastAsia="ko-KR"/>
              </w:rPr>
            </w:pPr>
            <w:r w:rsidRPr="00515D00">
              <w:rPr>
                <w:sz w:val="16"/>
                <w:szCs w:val="16"/>
              </w:rPr>
              <w:t>La utilización de la información contenida en las patentes para diseñar las soluciones constituyó un elemento fundamental del concurso</w:t>
            </w:r>
          </w:p>
        </w:tc>
      </w:tr>
    </w:tbl>
    <w:p w:rsidR="003E311F" w:rsidRPr="007329AC" w:rsidRDefault="003E311F" w:rsidP="003E311F">
      <w:pPr>
        <w:rPr>
          <w:sz w:val="20"/>
        </w:rPr>
      </w:pPr>
    </w:p>
    <w:p w:rsidR="003E311F" w:rsidRPr="007329AC" w:rsidRDefault="003E311F" w:rsidP="003E311F">
      <w:pPr>
        <w:rPr>
          <w:sz w:val="20"/>
        </w:rPr>
      </w:pPr>
    </w:p>
    <w:p w:rsidR="003E311F" w:rsidRPr="007329AC" w:rsidRDefault="003E311F" w:rsidP="003E311F">
      <w:pPr>
        <w:keepNext/>
        <w:rPr>
          <w:b/>
          <w:bCs/>
          <w:color w:val="000000"/>
          <w:sz w:val="20"/>
        </w:rPr>
      </w:pPr>
      <w:r w:rsidRPr="007329AC">
        <w:rPr>
          <w:b/>
          <w:bCs/>
          <w:sz w:val="20"/>
        </w:rPr>
        <w:t>REPÚBLICA DE COREA – PROPIEDAD IN</w:t>
      </w:r>
      <w:r w:rsidR="00386789">
        <w:rPr>
          <w:b/>
          <w:bCs/>
          <w:sz w:val="20"/>
        </w:rPr>
        <w:t>DUSTRI</w:t>
      </w:r>
      <w:r w:rsidRPr="007329AC">
        <w:rPr>
          <w:b/>
          <w:bCs/>
          <w:sz w:val="20"/>
        </w:rPr>
        <w:t xml:space="preserve">AL </w:t>
      </w:r>
      <w:r w:rsidRPr="007329AC">
        <w:rPr>
          <w:b/>
          <w:sz w:val="20"/>
        </w:rPr>
        <w:t>– Contribuciones de donantes y gastos en </w:t>
      </w:r>
      <w:r w:rsidRPr="007329AC">
        <w:rPr>
          <w:b/>
          <w:bCs/>
          <w:color w:val="000000"/>
          <w:sz w:val="20"/>
        </w:rPr>
        <w:t>2015</w:t>
      </w:r>
    </w:p>
    <w:p w:rsidR="003E311F" w:rsidRPr="007329AC" w:rsidRDefault="003E311F" w:rsidP="003E311F">
      <w:pPr>
        <w:keepNext/>
        <w:rPr>
          <w:b/>
          <w:bCs/>
          <w:color w:val="000000"/>
          <w:sz w:val="20"/>
        </w:rPr>
      </w:pPr>
    </w:p>
    <w:tbl>
      <w:tblPr>
        <w:tblW w:w="9791" w:type="dxa"/>
        <w:tblInd w:w="98" w:type="dxa"/>
        <w:tblLook w:val="04A0" w:firstRow="1" w:lastRow="0" w:firstColumn="1" w:lastColumn="0" w:noHBand="0" w:noVBand="1"/>
      </w:tblPr>
      <w:tblGrid>
        <w:gridCol w:w="2040"/>
        <w:gridCol w:w="1640"/>
        <w:gridCol w:w="1860"/>
        <w:gridCol w:w="1780"/>
        <w:gridCol w:w="2471"/>
      </w:tblGrid>
      <w:tr w:rsidR="003E311F" w:rsidRPr="00515D00" w:rsidTr="007A358B">
        <w:trPr>
          <w:trHeight w:val="450"/>
        </w:trPr>
        <w:tc>
          <w:tcPr>
            <w:tcW w:w="2040" w:type="dxa"/>
            <w:tcBorders>
              <w:top w:val="single" w:sz="8" w:space="0" w:color="auto"/>
              <w:left w:val="single" w:sz="8" w:space="0" w:color="auto"/>
              <w:bottom w:val="nil"/>
              <w:right w:val="single" w:sz="8" w:space="0" w:color="auto"/>
            </w:tcBorders>
            <w:shd w:val="clear" w:color="auto" w:fill="C6D9F1" w:themeFill="text2" w:themeFillTint="33"/>
            <w:vAlign w:val="center"/>
            <w:hideMark/>
          </w:tcPr>
          <w:p w:rsidR="003E311F" w:rsidRPr="00515D00" w:rsidRDefault="005C708A" w:rsidP="007A358B">
            <w:pPr>
              <w:keepNext/>
              <w:jc w:val="center"/>
              <w:rPr>
                <w:b/>
                <w:bCs/>
                <w:color w:val="000000"/>
                <w:sz w:val="16"/>
                <w:szCs w:val="16"/>
              </w:rPr>
            </w:pPr>
            <w:r>
              <w:rPr>
                <w:b/>
                <w:bCs/>
                <w:sz w:val="16"/>
                <w:szCs w:val="16"/>
              </w:rPr>
              <w:t>Saldo el</w:t>
            </w:r>
            <w:r w:rsidR="003E311F" w:rsidRPr="00515D00">
              <w:rPr>
                <w:b/>
                <w:bCs/>
                <w:sz w:val="16"/>
                <w:szCs w:val="16"/>
              </w:rPr>
              <w:t xml:space="preserve"> 31 de diciembre de </w:t>
            </w:r>
            <w:r w:rsidR="003E311F" w:rsidRPr="00515D00">
              <w:rPr>
                <w:b/>
                <w:bCs/>
                <w:color w:val="000000"/>
                <w:sz w:val="16"/>
                <w:szCs w:val="16"/>
              </w:rPr>
              <w:t>2014</w:t>
            </w:r>
          </w:p>
        </w:tc>
        <w:tc>
          <w:tcPr>
            <w:tcW w:w="1640" w:type="dxa"/>
            <w:tcBorders>
              <w:top w:val="single" w:sz="8" w:space="0" w:color="auto"/>
              <w:left w:val="nil"/>
              <w:bottom w:val="nil"/>
              <w:right w:val="single" w:sz="8" w:space="0" w:color="auto"/>
            </w:tcBorders>
            <w:shd w:val="clear" w:color="auto" w:fill="C6D9F1" w:themeFill="text2" w:themeFillTint="33"/>
            <w:vAlign w:val="center"/>
            <w:hideMark/>
          </w:tcPr>
          <w:p w:rsidR="003E311F" w:rsidRPr="00515D00" w:rsidRDefault="003E311F" w:rsidP="007A358B">
            <w:pPr>
              <w:keepNext/>
              <w:jc w:val="center"/>
              <w:rPr>
                <w:b/>
                <w:bCs/>
                <w:color w:val="000000"/>
                <w:sz w:val="16"/>
                <w:szCs w:val="16"/>
              </w:rPr>
            </w:pPr>
            <w:r w:rsidRPr="00515D00">
              <w:rPr>
                <w:b/>
                <w:bCs/>
                <w:sz w:val="16"/>
                <w:szCs w:val="16"/>
              </w:rPr>
              <w:t xml:space="preserve">Ingresos en </w:t>
            </w:r>
            <w:r w:rsidRPr="00515D00">
              <w:rPr>
                <w:b/>
                <w:bCs/>
                <w:color w:val="000000"/>
                <w:sz w:val="16"/>
                <w:szCs w:val="16"/>
              </w:rPr>
              <w:t>2015</w:t>
            </w:r>
          </w:p>
        </w:tc>
        <w:tc>
          <w:tcPr>
            <w:tcW w:w="1860" w:type="dxa"/>
            <w:tcBorders>
              <w:top w:val="single" w:sz="8" w:space="0" w:color="auto"/>
              <w:left w:val="nil"/>
              <w:bottom w:val="nil"/>
              <w:right w:val="single" w:sz="8" w:space="0" w:color="auto"/>
            </w:tcBorders>
            <w:shd w:val="clear" w:color="auto" w:fill="C6D9F1" w:themeFill="text2" w:themeFillTint="33"/>
            <w:vAlign w:val="center"/>
            <w:hideMark/>
          </w:tcPr>
          <w:p w:rsidR="003E311F" w:rsidRPr="00515D00" w:rsidRDefault="003E311F" w:rsidP="007A358B">
            <w:pPr>
              <w:keepNext/>
              <w:jc w:val="center"/>
              <w:rPr>
                <w:b/>
                <w:bCs/>
                <w:color w:val="000000"/>
                <w:sz w:val="16"/>
                <w:szCs w:val="16"/>
              </w:rPr>
            </w:pPr>
            <w:r w:rsidRPr="00515D00">
              <w:rPr>
                <w:b/>
                <w:bCs/>
                <w:sz w:val="16"/>
                <w:szCs w:val="16"/>
              </w:rPr>
              <w:t xml:space="preserve">Gastos en </w:t>
            </w:r>
            <w:r w:rsidRPr="00515D00">
              <w:rPr>
                <w:b/>
                <w:bCs/>
                <w:color w:val="000000"/>
                <w:sz w:val="16"/>
                <w:szCs w:val="16"/>
              </w:rPr>
              <w:t>2015</w:t>
            </w:r>
          </w:p>
        </w:tc>
        <w:tc>
          <w:tcPr>
            <w:tcW w:w="1780" w:type="dxa"/>
            <w:tcBorders>
              <w:top w:val="single" w:sz="8" w:space="0" w:color="auto"/>
              <w:left w:val="nil"/>
              <w:bottom w:val="nil"/>
              <w:right w:val="single" w:sz="8" w:space="0" w:color="auto"/>
            </w:tcBorders>
            <w:shd w:val="clear" w:color="auto" w:fill="C6D9F1" w:themeFill="text2" w:themeFillTint="33"/>
            <w:vAlign w:val="center"/>
            <w:hideMark/>
          </w:tcPr>
          <w:p w:rsidR="003E311F" w:rsidRPr="00515D00" w:rsidRDefault="003E311F" w:rsidP="007A358B">
            <w:pPr>
              <w:keepNext/>
              <w:jc w:val="center"/>
              <w:rPr>
                <w:b/>
                <w:bCs/>
                <w:color w:val="000000"/>
                <w:sz w:val="16"/>
                <w:szCs w:val="16"/>
              </w:rPr>
            </w:pPr>
            <w:r w:rsidRPr="00515D00">
              <w:rPr>
                <w:b/>
                <w:bCs/>
                <w:sz w:val="16"/>
                <w:szCs w:val="16"/>
              </w:rPr>
              <w:t>Reembolsos</w:t>
            </w:r>
          </w:p>
        </w:tc>
        <w:tc>
          <w:tcPr>
            <w:tcW w:w="2471" w:type="dxa"/>
            <w:tcBorders>
              <w:top w:val="single" w:sz="8" w:space="0" w:color="auto"/>
              <w:left w:val="nil"/>
              <w:bottom w:val="nil"/>
              <w:right w:val="single" w:sz="8" w:space="0" w:color="auto"/>
            </w:tcBorders>
            <w:shd w:val="clear" w:color="auto" w:fill="C6D9F1" w:themeFill="text2" w:themeFillTint="33"/>
            <w:vAlign w:val="center"/>
            <w:hideMark/>
          </w:tcPr>
          <w:p w:rsidR="003E311F" w:rsidRPr="00515D00" w:rsidRDefault="005C708A" w:rsidP="007A358B">
            <w:pPr>
              <w:keepNext/>
              <w:jc w:val="center"/>
              <w:rPr>
                <w:b/>
                <w:bCs/>
                <w:color w:val="000000"/>
                <w:sz w:val="16"/>
                <w:szCs w:val="16"/>
              </w:rPr>
            </w:pPr>
            <w:r>
              <w:rPr>
                <w:b/>
                <w:bCs/>
                <w:sz w:val="16"/>
                <w:szCs w:val="16"/>
              </w:rPr>
              <w:t>Saldo el</w:t>
            </w:r>
            <w:r w:rsidR="003E311F" w:rsidRPr="00515D00">
              <w:rPr>
                <w:b/>
                <w:bCs/>
                <w:sz w:val="16"/>
                <w:szCs w:val="16"/>
              </w:rPr>
              <w:t xml:space="preserve"> 31 de diciembre de </w:t>
            </w:r>
            <w:r w:rsidR="003E311F" w:rsidRPr="00515D00">
              <w:rPr>
                <w:b/>
                <w:bCs/>
                <w:color w:val="000000"/>
                <w:sz w:val="16"/>
                <w:szCs w:val="16"/>
              </w:rPr>
              <w:t>2015</w:t>
            </w:r>
          </w:p>
        </w:tc>
      </w:tr>
      <w:tr w:rsidR="003E311F" w:rsidRPr="00515D00" w:rsidTr="007A358B">
        <w:trPr>
          <w:trHeight w:val="255"/>
        </w:trPr>
        <w:tc>
          <w:tcPr>
            <w:tcW w:w="2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311F" w:rsidRPr="00515D00" w:rsidRDefault="003E311F" w:rsidP="007A358B">
            <w:pPr>
              <w:jc w:val="center"/>
              <w:rPr>
                <w:color w:val="000000"/>
                <w:sz w:val="16"/>
                <w:szCs w:val="16"/>
              </w:rPr>
            </w:pPr>
            <w:r w:rsidRPr="00515D00">
              <w:rPr>
                <w:color w:val="000000"/>
                <w:sz w:val="16"/>
                <w:szCs w:val="16"/>
              </w:rPr>
              <w:t>1.180.774</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3E311F" w:rsidRPr="00515D00" w:rsidRDefault="003E311F" w:rsidP="007A358B">
            <w:pPr>
              <w:jc w:val="center"/>
              <w:rPr>
                <w:color w:val="000000"/>
                <w:sz w:val="16"/>
                <w:szCs w:val="16"/>
              </w:rPr>
            </w:pPr>
            <w:r w:rsidRPr="00515D00">
              <w:rPr>
                <w:color w:val="000000"/>
                <w:sz w:val="16"/>
                <w:szCs w:val="16"/>
              </w:rPr>
              <w:t>659.148</w:t>
            </w:r>
          </w:p>
        </w:tc>
        <w:tc>
          <w:tcPr>
            <w:tcW w:w="1860" w:type="dxa"/>
            <w:tcBorders>
              <w:top w:val="single" w:sz="4" w:space="0" w:color="auto"/>
              <w:left w:val="nil"/>
              <w:bottom w:val="single" w:sz="4" w:space="0" w:color="auto"/>
              <w:right w:val="single" w:sz="4" w:space="0" w:color="auto"/>
            </w:tcBorders>
            <w:shd w:val="clear" w:color="auto" w:fill="auto"/>
            <w:vAlign w:val="center"/>
            <w:hideMark/>
          </w:tcPr>
          <w:p w:rsidR="003E311F" w:rsidRPr="00515D00" w:rsidRDefault="003E311F" w:rsidP="007A358B">
            <w:pPr>
              <w:jc w:val="center"/>
              <w:rPr>
                <w:color w:val="000000"/>
                <w:sz w:val="16"/>
                <w:szCs w:val="16"/>
              </w:rPr>
            </w:pPr>
            <w:r w:rsidRPr="00515D00">
              <w:rPr>
                <w:color w:val="000000"/>
                <w:sz w:val="16"/>
                <w:szCs w:val="16"/>
              </w:rPr>
              <w:t>786.531</w:t>
            </w:r>
          </w:p>
        </w:tc>
        <w:tc>
          <w:tcPr>
            <w:tcW w:w="1780" w:type="dxa"/>
            <w:tcBorders>
              <w:top w:val="single" w:sz="4" w:space="0" w:color="auto"/>
              <w:left w:val="nil"/>
              <w:bottom w:val="single" w:sz="4" w:space="0" w:color="auto"/>
              <w:right w:val="single" w:sz="4" w:space="0" w:color="auto"/>
            </w:tcBorders>
            <w:shd w:val="clear" w:color="auto" w:fill="auto"/>
            <w:noWrap/>
            <w:vAlign w:val="center"/>
            <w:hideMark/>
          </w:tcPr>
          <w:p w:rsidR="003E311F" w:rsidRPr="00515D00" w:rsidRDefault="003E311F" w:rsidP="007A358B">
            <w:pPr>
              <w:jc w:val="center"/>
              <w:rPr>
                <w:color w:val="000000"/>
                <w:sz w:val="16"/>
                <w:szCs w:val="16"/>
              </w:rPr>
            </w:pPr>
            <w:r w:rsidRPr="00515D00">
              <w:rPr>
                <w:color w:val="000000"/>
                <w:sz w:val="16"/>
                <w:szCs w:val="16"/>
              </w:rPr>
              <w:t>-</w:t>
            </w:r>
          </w:p>
        </w:tc>
        <w:tc>
          <w:tcPr>
            <w:tcW w:w="2471" w:type="dxa"/>
            <w:tcBorders>
              <w:top w:val="single" w:sz="4" w:space="0" w:color="auto"/>
              <w:left w:val="nil"/>
              <w:bottom w:val="single" w:sz="4" w:space="0" w:color="auto"/>
              <w:right w:val="single" w:sz="4" w:space="0" w:color="auto"/>
            </w:tcBorders>
            <w:shd w:val="clear" w:color="auto" w:fill="auto"/>
            <w:vAlign w:val="center"/>
            <w:hideMark/>
          </w:tcPr>
          <w:p w:rsidR="003E311F" w:rsidRPr="00515D00" w:rsidRDefault="003E311F" w:rsidP="007A358B">
            <w:pPr>
              <w:jc w:val="center"/>
              <w:rPr>
                <w:color w:val="000000"/>
                <w:sz w:val="16"/>
                <w:szCs w:val="16"/>
              </w:rPr>
            </w:pPr>
            <w:r w:rsidRPr="00515D00">
              <w:rPr>
                <w:color w:val="000000"/>
                <w:sz w:val="16"/>
                <w:szCs w:val="16"/>
              </w:rPr>
              <w:t>1.053.391</w:t>
            </w:r>
          </w:p>
        </w:tc>
      </w:tr>
    </w:tbl>
    <w:p w:rsidR="003E311F" w:rsidRPr="007329AC" w:rsidRDefault="003E311F" w:rsidP="003E311F">
      <w:pPr>
        <w:keepNext/>
        <w:keepLines/>
        <w:rPr>
          <w:b/>
          <w:sz w:val="20"/>
        </w:rPr>
      </w:pPr>
      <w:r w:rsidRPr="007329AC">
        <w:rPr>
          <w:b/>
          <w:sz w:val="20"/>
        </w:rPr>
        <w:lastRenderedPageBreak/>
        <w:t>MÉXICO</w:t>
      </w:r>
      <w:r w:rsidRPr="00386789">
        <w:rPr>
          <w:rStyle w:val="FootnoteReference"/>
          <w:b/>
          <w:sz w:val="20"/>
        </w:rPr>
        <w:footnoteReference w:id="165"/>
      </w:r>
    </w:p>
    <w:p w:rsidR="003E311F" w:rsidRPr="007329AC" w:rsidRDefault="003E311F" w:rsidP="003E311F">
      <w:pPr>
        <w:keepNext/>
        <w:keepLines/>
        <w:rPr>
          <w:b/>
          <w:sz w:val="20"/>
        </w:rPr>
      </w:pPr>
    </w:p>
    <w:tbl>
      <w:tblPr>
        <w:tblW w:w="9812" w:type="dxa"/>
        <w:tblInd w:w="7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73"/>
        <w:gridCol w:w="1276"/>
        <w:gridCol w:w="1984"/>
        <w:gridCol w:w="4679"/>
      </w:tblGrid>
      <w:tr w:rsidR="003E311F" w:rsidRPr="00092F2E" w:rsidTr="007A358B">
        <w:trPr>
          <w:cantSplit/>
        </w:trPr>
        <w:tc>
          <w:tcPr>
            <w:tcW w:w="9812" w:type="dxa"/>
            <w:gridSpan w:val="4"/>
            <w:tcBorders>
              <w:top w:val="single" w:sz="4" w:space="0" w:color="000000"/>
              <w:bottom w:val="single" w:sz="4" w:space="0" w:color="000000"/>
            </w:tcBorders>
            <w:shd w:val="clear" w:color="auto" w:fill="C6D9F1"/>
            <w:vAlign w:val="center"/>
          </w:tcPr>
          <w:p w:rsidR="003E311F" w:rsidRPr="00515D00" w:rsidRDefault="003E311F" w:rsidP="007A358B">
            <w:pPr>
              <w:keepNext/>
              <w:keepLines/>
              <w:tabs>
                <w:tab w:val="left" w:pos="1740"/>
              </w:tabs>
              <w:spacing w:before="120" w:after="120"/>
              <w:ind w:left="1740" w:hanging="1740"/>
              <w:rPr>
                <w:b/>
                <w:bCs/>
                <w:sz w:val="16"/>
                <w:szCs w:val="16"/>
              </w:rPr>
            </w:pPr>
            <w:r w:rsidRPr="00515D00">
              <w:rPr>
                <w:b/>
                <w:bCs/>
                <w:color w:val="000000"/>
                <w:sz w:val="16"/>
                <w:szCs w:val="16"/>
              </w:rPr>
              <w:t>RESULTADO:</w:t>
            </w:r>
            <w:r w:rsidRPr="00515D00">
              <w:rPr>
                <w:b/>
                <w:bCs/>
                <w:sz w:val="16"/>
                <w:szCs w:val="16"/>
              </w:rPr>
              <w:tab/>
            </w:r>
            <w:r w:rsidRPr="00515D00">
              <w:rPr>
                <w:bCs/>
                <w:sz w:val="16"/>
                <w:szCs w:val="16"/>
              </w:rPr>
              <w:t>III.1  Estrategias y planes nacionales de innovación y de P.I. que estén en sintonía con los objetivos nacionales de desarrollo</w:t>
            </w:r>
          </w:p>
        </w:tc>
      </w:tr>
      <w:tr w:rsidR="003E311F" w:rsidRPr="00515D00" w:rsidTr="007A358B">
        <w:trPr>
          <w:cantSplit/>
        </w:trPr>
        <w:tc>
          <w:tcPr>
            <w:tcW w:w="1873" w:type="dxa"/>
            <w:tcBorders>
              <w:top w:val="single" w:sz="4" w:space="0" w:color="000000"/>
            </w:tcBorders>
            <w:vAlign w:val="center"/>
          </w:tcPr>
          <w:p w:rsidR="003E311F" w:rsidRPr="00515D00" w:rsidRDefault="003E311F" w:rsidP="007A358B">
            <w:pPr>
              <w:keepNext/>
              <w:keepLines/>
              <w:spacing w:before="60" w:after="60"/>
              <w:rPr>
                <w:b/>
                <w:bCs/>
                <w:sz w:val="16"/>
                <w:szCs w:val="16"/>
              </w:rPr>
            </w:pPr>
            <w:r w:rsidRPr="00515D00">
              <w:rPr>
                <w:b/>
                <w:bCs/>
                <w:sz w:val="16"/>
                <w:szCs w:val="16"/>
              </w:rPr>
              <w:t>Actividad</w:t>
            </w:r>
          </w:p>
        </w:tc>
        <w:tc>
          <w:tcPr>
            <w:tcW w:w="1276" w:type="dxa"/>
            <w:tcBorders>
              <w:top w:val="single" w:sz="4" w:space="0" w:color="000000"/>
            </w:tcBorders>
            <w:tcMar>
              <w:top w:w="110" w:type="dxa"/>
            </w:tcMar>
            <w:vAlign w:val="center"/>
          </w:tcPr>
          <w:p w:rsidR="003E311F" w:rsidRPr="00515D00" w:rsidRDefault="003E311F" w:rsidP="007A358B">
            <w:pPr>
              <w:keepNext/>
              <w:keepLines/>
              <w:spacing w:before="60" w:after="60"/>
              <w:rPr>
                <w:sz w:val="16"/>
                <w:szCs w:val="16"/>
              </w:rPr>
            </w:pPr>
            <w:r w:rsidRPr="00515D00">
              <w:rPr>
                <w:b/>
                <w:bCs/>
                <w:sz w:val="16"/>
                <w:szCs w:val="16"/>
              </w:rPr>
              <w:t>Fecha</w:t>
            </w:r>
          </w:p>
        </w:tc>
        <w:tc>
          <w:tcPr>
            <w:tcW w:w="1984" w:type="dxa"/>
            <w:tcBorders>
              <w:top w:val="single" w:sz="4" w:space="0" w:color="000000"/>
            </w:tcBorders>
            <w:tcMar>
              <w:top w:w="110" w:type="dxa"/>
            </w:tcMar>
            <w:vAlign w:val="center"/>
          </w:tcPr>
          <w:p w:rsidR="003E311F" w:rsidRPr="00515D00" w:rsidRDefault="003E311F" w:rsidP="007A358B">
            <w:pPr>
              <w:widowControl w:val="0"/>
              <w:rPr>
                <w:sz w:val="16"/>
                <w:szCs w:val="16"/>
              </w:rPr>
            </w:pPr>
            <w:r w:rsidRPr="00515D00">
              <w:rPr>
                <w:b/>
                <w:sz w:val="16"/>
                <w:szCs w:val="16"/>
              </w:rPr>
              <w:t>País anfitrión / Beneficiarios</w:t>
            </w:r>
          </w:p>
        </w:tc>
        <w:tc>
          <w:tcPr>
            <w:tcW w:w="4679" w:type="dxa"/>
            <w:tcBorders>
              <w:top w:val="single" w:sz="4" w:space="0" w:color="000000"/>
            </w:tcBorders>
            <w:shd w:val="clear" w:color="auto" w:fill="FFFFFF"/>
            <w:tcMar>
              <w:top w:w="110" w:type="dxa"/>
            </w:tcMar>
            <w:vAlign w:val="center"/>
          </w:tcPr>
          <w:p w:rsidR="003E311F" w:rsidRPr="00515D00" w:rsidRDefault="003E311F" w:rsidP="007A358B">
            <w:pPr>
              <w:widowControl w:val="0"/>
              <w:rPr>
                <w:sz w:val="16"/>
                <w:szCs w:val="16"/>
              </w:rPr>
            </w:pPr>
            <w:r w:rsidRPr="00515D00">
              <w:rPr>
                <w:b/>
                <w:sz w:val="16"/>
                <w:szCs w:val="16"/>
              </w:rPr>
              <w:t>Propósito(s)/Descripción</w:t>
            </w:r>
          </w:p>
        </w:tc>
      </w:tr>
      <w:tr w:rsidR="003E311F" w:rsidRPr="00092F2E" w:rsidTr="007A358B">
        <w:trPr>
          <w:cantSplit/>
        </w:trPr>
        <w:tc>
          <w:tcPr>
            <w:tcW w:w="1873" w:type="dxa"/>
          </w:tcPr>
          <w:p w:rsidR="003E311F" w:rsidRPr="00515D00" w:rsidDel="000B184E" w:rsidRDefault="003E311F" w:rsidP="007A358B">
            <w:pPr>
              <w:keepNext/>
              <w:keepLines/>
              <w:autoSpaceDE w:val="0"/>
              <w:autoSpaceDN w:val="0"/>
              <w:adjustRightInd w:val="0"/>
              <w:spacing w:before="60" w:after="60"/>
              <w:rPr>
                <w:color w:val="000000"/>
                <w:sz w:val="16"/>
                <w:szCs w:val="16"/>
              </w:rPr>
            </w:pPr>
            <w:r w:rsidRPr="00515D00">
              <w:rPr>
                <w:color w:val="000000"/>
                <w:sz w:val="16"/>
                <w:szCs w:val="16"/>
              </w:rPr>
              <w:t>Reunión consultiva de los países de la Alianza del Pacífico y otros países invitados, celebrada en Ginebra</w:t>
            </w:r>
          </w:p>
        </w:tc>
        <w:tc>
          <w:tcPr>
            <w:tcW w:w="1276" w:type="dxa"/>
          </w:tcPr>
          <w:p w:rsidR="003E311F" w:rsidRPr="00515D00" w:rsidRDefault="003E311F" w:rsidP="007A358B">
            <w:pPr>
              <w:keepNext/>
              <w:keepLines/>
              <w:autoSpaceDE w:val="0"/>
              <w:autoSpaceDN w:val="0"/>
              <w:adjustRightInd w:val="0"/>
              <w:spacing w:before="60" w:after="60"/>
              <w:rPr>
                <w:color w:val="000000"/>
                <w:sz w:val="16"/>
                <w:szCs w:val="16"/>
              </w:rPr>
            </w:pPr>
            <w:r w:rsidRPr="00515D00">
              <w:rPr>
                <w:color w:val="000000"/>
                <w:sz w:val="16"/>
                <w:szCs w:val="16"/>
              </w:rPr>
              <w:t>6 de octubre de 2015</w:t>
            </w:r>
          </w:p>
        </w:tc>
        <w:tc>
          <w:tcPr>
            <w:tcW w:w="1984" w:type="dxa"/>
          </w:tcPr>
          <w:p w:rsidR="003E311F" w:rsidRPr="00515D00" w:rsidRDefault="003E311F" w:rsidP="007A358B">
            <w:pPr>
              <w:keepNext/>
              <w:keepLines/>
              <w:autoSpaceDE w:val="0"/>
              <w:autoSpaceDN w:val="0"/>
              <w:adjustRightInd w:val="0"/>
              <w:spacing w:before="60" w:after="60"/>
              <w:rPr>
                <w:color w:val="000000"/>
                <w:sz w:val="16"/>
                <w:szCs w:val="16"/>
              </w:rPr>
            </w:pPr>
            <w:r w:rsidRPr="00515D00">
              <w:rPr>
                <w:color w:val="000000"/>
                <w:sz w:val="16"/>
                <w:szCs w:val="16"/>
              </w:rPr>
              <w:t>México/ Chile, Colombia, Cuba, Perú, la Oficina Europea de Patentes (OEB), y la Oficina Española de Patentes y Marcas.</w:t>
            </w:r>
          </w:p>
        </w:tc>
        <w:tc>
          <w:tcPr>
            <w:tcW w:w="4679" w:type="dxa"/>
          </w:tcPr>
          <w:p w:rsidR="003E311F" w:rsidRPr="00515D00" w:rsidDel="000B184E" w:rsidRDefault="003E311F" w:rsidP="007A358B">
            <w:pPr>
              <w:keepNext/>
              <w:keepLines/>
              <w:autoSpaceDE w:val="0"/>
              <w:autoSpaceDN w:val="0"/>
              <w:adjustRightInd w:val="0"/>
              <w:spacing w:before="60" w:after="60"/>
              <w:rPr>
                <w:color w:val="000000"/>
                <w:sz w:val="16"/>
                <w:szCs w:val="16"/>
              </w:rPr>
            </w:pPr>
            <w:r w:rsidRPr="00515D00">
              <w:rPr>
                <w:color w:val="000000"/>
                <w:sz w:val="16"/>
                <w:szCs w:val="16"/>
              </w:rPr>
              <w:t>Promover el diálogo sobre temas comunes en la esfera de la propiedad industrial entre los países de la Alianza del Pacífico y otros países invitados.</w:t>
            </w:r>
          </w:p>
        </w:tc>
      </w:tr>
    </w:tbl>
    <w:p w:rsidR="003E311F" w:rsidRPr="007329AC" w:rsidRDefault="003E311F" w:rsidP="003E311F">
      <w:pPr>
        <w:rPr>
          <w:b/>
          <w:sz w:val="20"/>
        </w:rPr>
      </w:pPr>
    </w:p>
    <w:p w:rsidR="003E311F" w:rsidRPr="007329AC" w:rsidRDefault="003E311F" w:rsidP="003E311F">
      <w:pPr>
        <w:rPr>
          <w:sz w:val="20"/>
        </w:rPr>
      </w:pPr>
    </w:p>
    <w:p w:rsidR="003E311F" w:rsidRPr="007329AC" w:rsidRDefault="003E311F" w:rsidP="003E311F">
      <w:pPr>
        <w:rPr>
          <w:b/>
          <w:bCs/>
          <w:color w:val="000000"/>
          <w:sz w:val="20"/>
        </w:rPr>
      </w:pPr>
      <w:r w:rsidRPr="007329AC">
        <w:rPr>
          <w:b/>
          <w:sz w:val="20"/>
        </w:rPr>
        <w:t>MÉXICO</w:t>
      </w:r>
      <w:r w:rsidRPr="007329AC">
        <w:rPr>
          <w:b/>
          <w:bCs/>
          <w:color w:val="000000"/>
          <w:sz w:val="20"/>
        </w:rPr>
        <w:t xml:space="preserve"> </w:t>
      </w:r>
      <w:r w:rsidRPr="007329AC">
        <w:rPr>
          <w:b/>
          <w:sz w:val="20"/>
        </w:rPr>
        <w:t xml:space="preserve">– Contribuciones de donantes y gastos en </w:t>
      </w:r>
      <w:r w:rsidRPr="007329AC">
        <w:rPr>
          <w:b/>
          <w:bCs/>
          <w:color w:val="000000"/>
          <w:sz w:val="20"/>
        </w:rPr>
        <w:t>2015</w:t>
      </w:r>
    </w:p>
    <w:p w:rsidR="003E311F" w:rsidRPr="007329AC" w:rsidRDefault="003E311F" w:rsidP="003E311F">
      <w:pPr>
        <w:keepNext/>
        <w:keepLines/>
        <w:rPr>
          <w:b/>
          <w:sz w:val="20"/>
        </w:rPr>
      </w:pPr>
    </w:p>
    <w:tbl>
      <w:tblPr>
        <w:tblW w:w="9792" w:type="dxa"/>
        <w:tblInd w:w="98" w:type="dxa"/>
        <w:tblLook w:val="04A0" w:firstRow="1" w:lastRow="0" w:firstColumn="1" w:lastColumn="0" w:noHBand="0" w:noVBand="1"/>
      </w:tblPr>
      <w:tblGrid>
        <w:gridCol w:w="2040"/>
        <w:gridCol w:w="1640"/>
        <w:gridCol w:w="1860"/>
        <w:gridCol w:w="1780"/>
        <w:gridCol w:w="2472"/>
      </w:tblGrid>
      <w:tr w:rsidR="003E311F" w:rsidRPr="00515D00" w:rsidTr="007A358B">
        <w:trPr>
          <w:trHeight w:val="450"/>
        </w:trPr>
        <w:tc>
          <w:tcPr>
            <w:tcW w:w="2040" w:type="dxa"/>
            <w:tcBorders>
              <w:top w:val="single" w:sz="8" w:space="0" w:color="auto"/>
              <w:left w:val="single" w:sz="8" w:space="0" w:color="auto"/>
              <w:bottom w:val="nil"/>
              <w:right w:val="single" w:sz="8" w:space="0" w:color="auto"/>
            </w:tcBorders>
            <w:shd w:val="clear" w:color="auto" w:fill="C6D9F1"/>
            <w:vAlign w:val="center"/>
            <w:hideMark/>
          </w:tcPr>
          <w:p w:rsidR="003E311F" w:rsidRPr="00515D00" w:rsidRDefault="005C708A" w:rsidP="007A358B">
            <w:pPr>
              <w:jc w:val="center"/>
              <w:rPr>
                <w:b/>
                <w:bCs/>
                <w:color w:val="000000"/>
                <w:sz w:val="16"/>
                <w:szCs w:val="16"/>
              </w:rPr>
            </w:pPr>
            <w:r>
              <w:rPr>
                <w:b/>
                <w:bCs/>
                <w:sz w:val="16"/>
                <w:szCs w:val="16"/>
              </w:rPr>
              <w:t>Saldo el</w:t>
            </w:r>
            <w:r w:rsidR="003E311F" w:rsidRPr="00515D00">
              <w:rPr>
                <w:b/>
                <w:bCs/>
                <w:sz w:val="16"/>
                <w:szCs w:val="16"/>
              </w:rPr>
              <w:t xml:space="preserve"> 31 de diciembre de </w:t>
            </w:r>
            <w:r w:rsidR="003E311F" w:rsidRPr="00515D00">
              <w:rPr>
                <w:b/>
                <w:bCs/>
                <w:color w:val="000000"/>
                <w:sz w:val="16"/>
                <w:szCs w:val="16"/>
              </w:rPr>
              <w:t>2014</w:t>
            </w:r>
          </w:p>
        </w:tc>
        <w:tc>
          <w:tcPr>
            <w:tcW w:w="1640" w:type="dxa"/>
            <w:tcBorders>
              <w:top w:val="single" w:sz="8" w:space="0" w:color="auto"/>
              <w:left w:val="nil"/>
              <w:bottom w:val="nil"/>
              <w:right w:val="single" w:sz="8" w:space="0" w:color="auto"/>
            </w:tcBorders>
            <w:shd w:val="clear" w:color="auto" w:fill="C6D9F1"/>
            <w:vAlign w:val="center"/>
            <w:hideMark/>
          </w:tcPr>
          <w:p w:rsidR="003E311F" w:rsidRPr="00515D00" w:rsidRDefault="003E311F" w:rsidP="007A358B">
            <w:pPr>
              <w:jc w:val="center"/>
              <w:rPr>
                <w:b/>
                <w:bCs/>
                <w:color w:val="000000"/>
                <w:sz w:val="16"/>
                <w:szCs w:val="16"/>
              </w:rPr>
            </w:pPr>
            <w:r w:rsidRPr="00515D00">
              <w:rPr>
                <w:b/>
                <w:bCs/>
                <w:sz w:val="16"/>
                <w:szCs w:val="16"/>
              </w:rPr>
              <w:t xml:space="preserve">Ingresos en </w:t>
            </w:r>
            <w:r w:rsidRPr="00515D00">
              <w:rPr>
                <w:b/>
                <w:bCs/>
                <w:color w:val="000000"/>
                <w:sz w:val="16"/>
                <w:szCs w:val="16"/>
              </w:rPr>
              <w:t>2015</w:t>
            </w:r>
          </w:p>
        </w:tc>
        <w:tc>
          <w:tcPr>
            <w:tcW w:w="1860" w:type="dxa"/>
            <w:tcBorders>
              <w:top w:val="single" w:sz="8" w:space="0" w:color="auto"/>
              <w:left w:val="nil"/>
              <w:bottom w:val="nil"/>
              <w:right w:val="single" w:sz="8" w:space="0" w:color="auto"/>
            </w:tcBorders>
            <w:shd w:val="clear" w:color="auto" w:fill="C6D9F1"/>
            <w:vAlign w:val="center"/>
            <w:hideMark/>
          </w:tcPr>
          <w:p w:rsidR="003E311F" w:rsidRPr="00515D00" w:rsidRDefault="003E311F" w:rsidP="007A358B">
            <w:pPr>
              <w:jc w:val="center"/>
              <w:rPr>
                <w:b/>
                <w:bCs/>
                <w:color w:val="000000"/>
                <w:sz w:val="16"/>
                <w:szCs w:val="16"/>
              </w:rPr>
            </w:pPr>
            <w:r w:rsidRPr="00515D00">
              <w:rPr>
                <w:b/>
                <w:bCs/>
                <w:sz w:val="16"/>
                <w:szCs w:val="16"/>
              </w:rPr>
              <w:t xml:space="preserve">Gastos en </w:t>
            </w:r>
            <w:r w:rsidRPr="00515D00">
              <w:rPr>
                <w:b/>
                <w:bCs/>
                <w:color w:val="000000"/>
                <w:sz w:val="16"/>
                <w:szCs w:val="16"/>
              </w:rPr>
              <w:t>2015</w:t>
            </w:r>
          </w:p>
        </w:tc>
        <w:tc>
          <w:tcPr>
            <w:tcW w:w="1780" w:type="dxa"/>
            <w:tcBorders>
              <w:top w:val="single" w:sz="8" w:space="0" w:color="auto"/>
              <w:left w:val="nil"/>
              <w:bottom w:val="nil"/>
              <w:right w:val="single" w:sz="8" w:space="0" w:color="auto"/>
            </w:tcBorders>
            <w:shd w:val="clear" w:color="auto" w:fill="C6D9F1"/>
            <w:vAlign w:val="center"/>
            <w:hideMark/>
          </w:tcPr>
          <w:p w:rsidR="003E311F" w:rsidRPr="00515D00" w:rsidRDefault="003E311F" w:rsidP="007A358B">
            <w:pPr>
              <w:jc w:val="center"/>
              <w:rPr>
                <w:b/>
                <w:bCs/>
                <w:color w:val="000000"/>
                <w:sz w:val="16"/>
                <w:szCs w:val="16"/>
              </w:rPr>
            </w:pPr>
            <w:r w:rsidRPr="00515D00">
              <w:rPr>
                <w:b/>
                <w:bCs/>
                <w:sz w:val="16"/>
                <w:szCs w:val="16"/>
              </w:rPr>
              <w:t>Reembolsos</w:t>
            </w:r>
          </w:p>
        </w:tc>
        <w:tc>
          <w:tcPr>
            <w:tcW w:w="2472" w:type="dxa"/>
            <w:tcBorders>
              <w:top w:val="single" w:sz="8" w:space="0" w:color="auto"/>
              <w:left w:val="nil"/>
              <w:bottom w:val="nil"/>
              <w:right w:val="single" w:sz="8" w:space="0" w:color="auto"/>
            </w:tcBorders>
            <w:shd w:val="clear" w:color="auto" w:fill="C6D9F1"/>
            <w:vAlign w:val="center"/>
            <w:hideMark/>
          </w:tcPr>
          <w:p w:rsidR="003E311F" w:rsidRPr="00515D00" w:rsidRDefault="005C708A" w:rsidP="007A358B">
            <w:pPr>
              <w:jc w:val="center"/>
              <w:rPr>
                <w:b/>
                <w:bCs/>
                <w:color w:val="000000"/>
                <w:sz w:val="16"/>
                <w:szCs w:val="16"/>
              </w:rPr>
            </w:pPr>
            <w:r>
              <w:rPr>
                <w:b/>
                <w:bCs/>
                <w:sz w:val="16"/>
                <w:szCs w:val="16"/>
              </w:rPr>
              <w:t>Saldo el</w:t>
            </w:r>
            <w:r w:rsidR="003E311F" w:rsidRPr="00515D00">
              <w:rPr>
                <w:b/>
                <w:bCs/>
                <w:sz w:val="16"/>
                <w:szCs w:val="16"/>
              </w:rPr>
              <w:t xml:space="preserve"> 31 de diciembre de </w:t>
            </w:r>
            <w:r w:rsidR="003E311F" w:rsidRPr="00515D00">
              <w:rPr>
                <w:b/>
                <w:bCs/>
                <w:color w:val="000000"/>
                <w:sz w:val="16"/>
                <w:szCs w:val="16"/>
              </w:rPr>
              <w:t>2015</w:t>
            </w:r>
          </w:p>
        </w:tc>
      </w:tr>
      <w:tr w:rsidR="003E311F" w:rsidRPr="00515D00" w:rsidTr="007A358B">
        <w:trPr>
          <w:trHeight w:val="255"/>
        </w:trPr>
        <w:tc>
          <w:tcPr>
            <w:tcW w:w="2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311F" w:rsidRPr="00515D00" w:rsidRDefault="003E311F" w:rsidP="007A358B">
            <w:pPr>
              <w:jc w:val="center"/>
              <w:rPr>
                <w:color w:val="000000"/>
                <w:sz w:val="16"/>
                <w:szCs w:val="16"/>
              </w:rPr>
            </w:pPr>
            <w:r w:rsidRPr="00515D00">
              <w:rPr>
                <w:color w:val="000000"/>
                <w:sz w:val="16"/>
                <w:szCs w:val="16"/>
              </w:rPr>
              <w:t>163.131</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3E311F" w:rsidRPr="00515D00" w:rsidRDefault="003E311F" w:rsidP="007A358B">
            <w:pPr>
              <w:jc w:val="center"/>
              <w:rPr>
                <w:color w:val="000000"/>
                <w:sz w:val="16"/>
                <w:szCs w:val="16"/>
              </w:rPr>
            </w:pPr>
            <w:r w:rsidRPr="00515D00">
              <w:rPr>
                <w:color w:val="000000"/>
                <w:sz w:val="16"/>
                <w:szCs w:val="16"/>
              </w:rPr>
              <w:t>53</w:t>
            </w:r>
          </w:p>
        </w:tc>
        <w:tc>
          <w:tcPr>
            <w:tcW w:w="1860" w:type="dxa"/>
            <w:tcBorders>
              <w:top w:val="single" w:sz="4" w:space="0" w:color="auto"/>
              <w:left w:val="nil"/>
              <w:bottom w:val="single" w:sz="4" w:space="0" w:color="auto"/>
              <w:right w:val="single" w:sz="4" w:space="0" w:color="auto"/>
            </w:tcBorders>
            <w:shd w:val="clear" w:color="auto" w:fill="auto"/>
            <w:vAlign w:val="center"/>
            <w:hideMark/>
          </w:tcPr>
          <w:p w:rsidR="003E311F" w:rsidRPr="00515D00" w:rsidRDefault="003E311F" w:rsidP="007A358B">
            <w:pPr>
              <w:jc w:val="center"/>
              <w:rPr>
                <w:color w:val="000000"/>
                <w:sz w:val="16"/>
                <w:szCs w:val="16"/>
              </w:rPr>
            </w:pPr>
            <w:r w:rsidRPr="00515D00">
              <w:rPr>
                <w:color w:val="000000"/>
                <w:sz w:val="16"/>
                <w:szCs w:val="16"/>
              </w:rPr>
              <w:t>18.758</w:t>
            </w:r>
          </w:p>
        </w:tc>
        <w:tc>
          <w:tcPr>
            <w:tcW w:w="1780" w:type="dxa"/>
            <w:tcBorders>
              <w:top w:val="single" w:sz="4" w:space="0" w:color="auto"/>
              <w:left w:val="nil"/>
              <w:bottom w:val="single" w:sz="4" w:space="0" w:color="auto"/>
              <w:right w:val="single" w:sz="4" w:space="0" w:color="auto"/>
            </w:tcBorders>
            <w:shd w:val="clear" w:color="auto" w:fill="auto"/>
            <w:noWrap/>
            <w:vAlign w:val="center"/>
            <w:hideMark/>
          </w:tcPr>
          <w:p w:rsidR="003E311F" w:rsidRPr="00515D00" w:rsidRDefault="003E311F" w:rsidP="007A358B">
            <w:pPr>
              <w:jc w:val="center"/>
              <w:rPr>
                <w:color w:val="000000"/>
                <w:sz w:val="16"/>
                <w:szCs w:val="16"/>
              </w:rPr>
            </w:pPr>
            <w:r w:rsidRPr="00515D00">
              <w:rPr>
                <w:color w:val="000000"/>
                <w:sz w:val="16"/>
                <w:szCs w:val="16"/>
              </w:rPr>
              <w:t>-</w:t>
            </w:r>
          </w:p>
        </w:tc>
        <w:tc>
          <w:tcPr>
            <w:tcW w:w="2472" w:type="dxa"/>
            <w:tcBorders>
              <w:top w:val="single" w:sz="4" w:space="0" w:color="auto"/>
              <w:left w:val="nil"/>
              <w:bottom w:val="single" w:sz="4" w:space="0" w:color="auto"/>
              <w:right w:val="single" w:sz="4" w:space="0" w:color="auto"/>
            </w:tcBorders>
            <w:shd w:val="clear" w:color="auto" w:fill="auto"/>
            <w:vAlign w:val="center"/>
            <w:hideMark/>
          </w:tcPr>
          <w:p w:rsidR="003E311F" w:rsidRPr="00515D00" w:rsidRDefault="003E311F" w:rsidP="007A358B">
            <w:pPr>
              <w:jc w:val="center"/>
              <w:rPr>
                <w:color w:val="000000"/>
                <w:sz w:val="16"/>
                <w:szCs w:val="16"/>
              </w:rPr>
            </w:pPr>
            <w:r w:rsidRPr="00515D00">
              <w:rPr>
                <w:color w:val="000000"/>
                <w:sz w:val="16"/>
                <w:szCs w:val="16"/>
              </w:rPr>
              <w:t>144.426</w:t>
            </w:r>
          </w:p>
        </w:tc>
      </w:tr>
    </w:tbl>
    <w:p w:rsidR="003E311F" w:rsidRPr="007329AC" w:rsidRDefault="003E311F" w:rsidP="003E311F">
      <w:pPr>
        <w:keepNext/>
        <w:keepLines/>
        <w:rPr>
          <w:b/>
          <w:sz w:val="20"/>
        </w:rPr>
      </w:pPr>
    </w:p>
    <w:p w:rsidR="003E311F" w:rsidRPr="007329AC" w:rsidRDefault="003E311F" w:rsidP="003E311F">
      <w:pPr>
        <w:keepNext/>
        <w:keepLines/>
        <w:rPr>
          <w:b/>
          <w:sz w:val="20"/>
        </w:rPr>
      </w:pPr>
    </w:p>
    <w:p w:rsidR="003E311F" w:rsidRPr="007329AC" w:rsidRDefault="003E311F" w:rsidP="003E311F">
      <w:pPr>
        <w:rPr>
          <w:b/>
          <w:sz w:val="20"/>
        </w:rPr>
      </w:pPr>
      <w:r w:rsidRPr="007329AC">
        <w:rPr>
          <w:b/>
          <w:sz w:val="20"/>
        </w:rPr>
        <w:t>ESPAÑA</w:t>
      </w:r>
      <w:r w:rsidRPr="007329AC">
        <w:rPr>
          <w:rStyle w:val="FootnoteReference"/>
          <w:b/>
          <w:sz w:val="20"/>
        </w:rPr>
        <w:footnoteReference w:id="166"/>
      </w:r>
    </w:p>
    <w:p w:rsidR="003E311F" w:rsidRPr="007329AC" w:rsidRDefault="003E311F" w:rsidP="003E311F">
      <w:pPr>
        <w:rPr>
          <w:b/>
          <w:sz w:val="20"/>
        </w:rPr>
      </w:pPr>
    </w:p>
    <w:tbl>
      <w:tblPr>
        <w:tblW w:w="978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80"/>
        <w:gridCol w:w="90"/>
        <w:gridCol w:w="57"/>
        <w:gridCol w:w="142"/>
        <w:gridCol w:w="971"/>
        <w:gridCol w:w="163"/>
        <w:gridCol w:w="1699"/>
        <w:gridCol w:w="28"/>
        <w:gridCol w:w="116"/>
        <w:gridCol w:w="4536"/>
      </w:tblGrid>
      <w:tr w:rsidR="003E311F" w:rsidRPr="00092F2E" w:rsidTr="007A358B">
        <w:trPr>
          <w:cantSplit/>
        </w:trPr>
        <w:tc>
          <w:tcPr>
            <w:tcW w:w="9782" w:type="dxa"/>
            <w:gridSpan w:val="10"/>
            <w:tcBorders>
              <w:top w:val="single" w:sz="4" w:space="0" w:color="auto"/>
              <w:bottom w:val="single" w:sz="4" w:space="0" w:color="auto"/>
            </w:tcBorders>
            <w:shd w:val="clear" w:color="auto" w:fill="C6D9F1"/>
            <w:vAlign w:val="center"/>
          </w:tcPr>
          <w:p w:rsidR="003E311F" w:rsidRPr="00515D00" w:rsidRDefault="003E311F" w:rsidP="007A358B">
            <w:pPr>
              <w:keepNext/>
              <w:keepLines/>
              <w:tabs>
                <w:tab w:val="left" w:pos="1740"/>
              </w:tabs>
              <w:spacing w:before="120" w:after="120"/>
              <w:ind w:left="1740" w:hanging="1740"/>
              <w:rPr>
                <w:b/>
                <w:bCs/>
                <w:sz w:val="16"/>
                <w:szCs w:val="16"/>
              </w:rPr>
            </w:pPr>
            <w:r w:rsidRPr="00515D00">
              <w:rPr>
                <w:b/>
                <w:bCs/>
                <w:color w:val="000000"/>
                <w:sz w:val="16"/>
                <w:szCs w:val="16"/>
              </w:rPr>
              <w:t>RESULTADO:</w:t>
            </w:r>
            <w:r w:rsidRPr="00515D00">
              <w:rPr>
                <w:b/>
                <w:bCs/>
                <w:sz w:val="16"/>
                <w:szCs w:val="16"/>
              </w:rPr>
              <w:tab/>
            </w:r>
            <w:r w:rsidRPr="00515D00">
              <w:rPr>
                <w:bCs/>
                <w:color w:val="000000"/>
                <w:sz w:val="16"/>
                <w:szCs w:val="16"/>
              </w:rPr>
              <w:t>III.2  Aumento de las capacidades en recursos humanos para hacer frente a la gran diversidad de exigencias que supone la utilización eficaz de la P.I. para fomentar el desarrollo en los países en desarrollo, PMA y países con economías en transición</w:t>
            </w:r>
          </w:p>
        </w:tc>
      </w:tr>
      <w:tr w:rsidR="003E311F" w:rsidRPr="00515D00" w:rsidTr="007A358B">
        <w:trPr>
          <w:cantSplit/>
        </w:trPr>
        <w:tc>
          <w:tcPr>
            <w:tcW w:w="2269" w:type="dxa"/>
            <w:gridSpan w:val="4"/>
            <w:tcBorders>
              <w:top w:val="single" w:sz="4" w:space="0" w:color="auto"/>
              <w:bottom w:val="nil"/>
            </w:tcBorders>
            <w:vAlign w:val="center"/>
          </w:tcPr>
          <w:p w:rsidR="003E311F" w:rsidRPr="00515D00" w:rsidRDefault="003E311F" w:rsidP="007A358B">
            <w:pPr>
              <w:keepNext/>
              <w:keepLines/>
              <w:spacing w:before="60" w:after="60"/>
              <w:rPr>
                <w:b/>
                <w:bCs/>
                <w:sz w:val="16"/>
                <w:szCs w:val="16"/>
              </w:rPr>
            </w:pPr>
            <w:r w:rsidRPr="00515D00">
              <w:rPr>
                <w:b/>
                <w:bCs/>
                <w:sz w:val="16"/>
                <w:szCs w:val="16"/>
              </w:rPr>
              <w:t>Actividad</w:t>
            </w:r>
          </w:p>
        </w:tc>
        <w:tc>
          <w:tcPr>
            <w:tcW w:w="1134" w:type="dxa"/>
            <w:gridSpan w:val="2"/>
            <w:tcBorders>
              <w:top w:val="single" w:sz="4" w:space="0" w:color="auto"/>
              <w:bottom w:val="nil"/>
            </w:tcBorders>
            <w:shd w:val="clear" w:color="auto" w:fill="auto"/>
            <w:tcMar>
              <w:top w:w="110" w:type="dxa"/>
            </w:tcMar>
            <w:vAlign w:val="center"/>
          </w:tcPr>
          <w:p w:rsidR="003E311F" w:rsidRPr="00515D00" w:rsidRDefault="003E311F" w:rsidP="007A358B">
            <w:pPr>
              <w:keepNext/>
              <w:keepLines/>
              <w:spacing w:before="60" w:after="60"/>
              <w:rPr>
                <w:sz w:val="16"/>
                <w:szCs w:val="16"/>
              </w:rPr>
            </w:pPr>
            <w:r w:rsidRPr="00515D00">
              <w:rPr>
                <w:b/>
                <w:bCs/>
                <w:sz w:val="16"/>
                <w:szCs w:val="16"/>
              </w:rPr>
              <w:t>Fecha</w:t>
            </w:r>
          </w:p>
        </w:tc>
        <w:tc>
          <w:tcPr>
            <w:tcW w:w="1843" w:type="dxa"/>
            <w:gridSpan w:val="3"/>
            <w:tcBorders>
              <w:top w:val="single" w:sz="4" w:space="0" w:color="auto"/>
              <w:bottom w:val="nil"/>
            </w:tcBorders>
            <w:shd w:val="clear" w:color="auto" w:fill="auto"/>
            <w:tcMar>
              <w:top w:w="110" w:type="dxa"/>
            </w:tcMar>
            <w:vAlign w:val="center"/>
          </w:tcPr>
          <w:p w:rsidR="003E311F" w:rsidRPr="00515D00" w:rsidRDefault="003E311F" w:rsidP="007A358B">
            <w:pPr>
              <w:widowControl w:val="0"/>
              <w:rPr>
                <w:sz w:val="16"/>
                <w:szCs w:val="16"/>
              </w:rPr>
            </w:pPr>
            <w:r w:rsidRPr="00515D00">
              <w:rPr>
                <w:b/>
                <w:sz w:val="16"/>
                <w:szCs w:val="16"/>
              </w:rPr>
              <w:t>País anfitrión / Beneficiarios</w:t>
            </w:r>
          </w:p>
        </w:tc>
        <w:tc>
          <w:tcPr>
            <w:tcW w:w="4536" w:type="dxa"/>
            <w:tcBorders>
              <w:top w:val="single" w:sz="4" w:space="0" w:color="auto"/>
              <w:bottom w:val="nil"/>
            </w:tcBorders>
            <w:shd w:val="clear" w:color="auto" w:fill="FFFFFF"/>
            <w:tcMar>
              <w:top w:w="110" w:type="dxa"/>
            </w:tcMar>
            <w:vAlign w:val="center"/>
          </w:tcPr>
          <w:p w:rsidR="003E311F" w:rsidRPr="00515D00" w:rsidRDefault="003E311F" w:rsidP="007A358B">
            <w:pPr>
              <w:widowControl w:val="0"/>
              <w:rPr>
                <w:sz w:val="16"/>
                <w:szCs w:val="16"/>
              </w:rPr>
            </w:pPr>
            <w:r w:rsidRPr="00515D00">
              <w:rPr>
                <w:b/>
                <w:sz w:val="16"/>
                <w:szCs w:val="16"/>
              </w:rPr>
              <w:t>Propósito(s)/Descripción</w:t>
            </w:r>
          </w:p>
        </w:tc>
      </w:tr>
      <w:tr w:rsidR="003E311F" w:rsidRPr="00092F2E" w:rsidTr="007A358B">
        <w:trPr>
          <w:cantSplit/>
        </w:trPr>
        <w:tc>
          <w:tcPr>
            <w:tcW w:w="2269" w:type="dxa"/>
            <w:gridSpan w:val="4"/>
            <w:tcBorders>
              <w:top w:val="nil"/>
              <w:bottom w:val="single" w:sz="4" w:space="0" w:color="auto"/>
            </w:tcBorders>
          </w:tcPr>
          <w:p w:rsidR="003E311F" w:rsidRPr="00515D00" w:rsidRDefault="003E311F" w:rsidP="007A358B">
            <w:pPr>
              <w:spacing w:before="60" w:after="60"/>
              <w:rPr>
                <w:sz w:val="16"/>
                <w:szCs w:val="16"/>
              </w:rPr>
            </w:pPr>
            <w:r w:rsidRPr="00515D00">
              <w:rPr>
                <w:sz w:val="16"/>
                <w:szCs w:val="16"/>
              </w:rPr>
              <w:t>III Seminario regional OMPI / OEPM / AECID sobre las marcas y los diseños industriales como factores y activos empresariales:  Crear una estrategia nacional de desarrollo de marcas</w:t>
            </w:r>
          </w:p>
        </w:tc>
        <w:tc>
          <w:tcPr>
            <w:tcW w:w="1134" w:type="dxa"/>
            <w:gridSpan w:val="2"/>
            <w:tcBorders>
              <w:top w:val="nil"/>
              <w:bottom w:val="single" w:sz="4" w:space="0" w:color="auto"/>
            </w:tcBorders>
            <w:shd w:val="clear" w:color="auto" w:fill="auto"/>
            <w:tcMar>
              <w:top w:w="110" w:type="dxa"/>
            </w:tcMar>
          </w:tcPr>
          <w:p w:rsidR="003E311F" w:rsidRPr="00515D00" w:rsidRDefault="003E311F" w:rsidP="007A358B">
            <w:pPr>
              <w:spacing w:before="60" w:after="60"/>
              <w:rPr>
                <w:sz w:val="16"/>
                <w:szCs w:val="16"/>
              </w:rPr>
            </w:pPr>
            <w:r w:rsidRPr="00515D00">
              <w:rPr>
                <w:sz w:val="16"/>
                <w:szCs w:val="16"/>
              </w:rPr>
              <w:t>26 a 29 de octubre de 2015</w:t>
            </w:r>
          </w:p>
        </w:tc>
        <w:tc>
          <w:tcPr>
            <w:tcW w:w="1843" w:type="dxa"/>
            <w:gridSpan w:val="3"/>
            <w:tcBorders>
              <w:top w:val="nil"/>
              <w:bottom w:val="single" w:sz="4" w:space="0" w:color="auto"/>
            </w:tcBorders>
            <w:shd w:val="clear" w:color="auto" w:fill="auto"/>
            <w:tcMar>
              <w:top w:w="110" w:type="dxa"/>
            </w:tcMar>
          </w:tcPr>
          <w:p w:rsidR="003E311F" w:rsidRPr="00515D00" w:rsidRDefault="003E311F" w:rsidP="007A358B">
            <w:pPr>
              <w:spacing w:before="60" w:after="60"/>
              <w:rPr>
                <w:sz w:val="16"/>
                <w:szCs w:val="16"/>
              </w:rPr>
            </w:pPr>
            <w:r w:rsidRPr="00515D00">
              <w:rPr>
                <w:sz w:val="16"/>
                <w:szCs w:val="16"/>
              </w:rPr>
              <w:t>Colombia / Todos los países de América Latina</w:t>
            </w:r>
          </w:p>
        </w:tc>
        <w:tc>
          <w:tcPr>
            <w:tcW w:w="4536" w:type="dxa"/>
            <w:tcBorders>
              <w:top w:val="nil"/>
              <w:bottom w:val="single" w:sz="4" w:space="0" w:color="auto"/>
            </w:tcBorders>
            <w:shd w:val="clear" w:color="auto" w:fill="FFFFFF"/>
            <w:tcMar>
              <w:top w:w="110" w:type="dxa"/>
            </w:tcMar>
          </w:tcPr>
          <w:p w:rsidR="003E311F" w:rsidRPr="00515D00" w:rsidRDefault="003E311F" w:rsidP="007A358B">
            <w:pPr>
              <w:spacing w:before="60" w:after="60"/>
              <w:rPr>
                <w:sz w:val="16"/>
                <w:szCs w:val="16"/>
              </w:rPr>
            </w:pPr>
            <w:r w:rsidRPr="00515D00">
              <w:rPr>
                <w:sz w:val="16"/>
                <w:szCs w:val="16"/>
              </w:rPr>
              <w:t>i) Alentar la creación de programas nacionales de desarrollo de marcas;  ii) brindar un foro de debate sobre la naturaleza jurídica de dichos programas y promover un enfoque regional a la cuestión;  iii) promover el intercambio de experiencias y la presentación de prácticas óptimas.</w:t>
            </w:r>
          </w:p>
        </w:tc>
      </w:tr>
      <w:tr w:rsidR="003E311F" w:rsidRPr="00092F2E" w:rsidTr="007A358B">
        <w:trPr>
          <w:cantSplit/>
        </w:trPr>
        <w:tc>
          <w:tcPr>
            <w:tcW w:w="9782" w:type="dxa"/>
            <w:gridSpan w:val="10"/>
            <w:tcBorders>
              <w:top w:val="single" w:sz="4" w:space="0" w:color="auto"/>
              <w:bottom w:val="single" w:sz="4" w:space="0" w:color="auto"/>
            </w:tcBorders>
            <w:shd w:val="clear" w:color="auto" w:fill="C6D9F1"/>
            <w:vAlign w:val="center"/>
          </w:tcPr>
          <w:p w:rsidR="003E311F" w:rsidRPr="00515D00" w:rsidRDefault="003E311F" w:rsidP="007A358B">
            <w:pPr>
              <w:keepNext/>
              <w:keepLines/>
              <w:tabs>
                <w:tab w:val="left" w:pos="1740"/>
              </w:tabs>
              <w:spacing w:before="120" w:after="120"/>
              <w:ind w:left="1740" w:hanging="1740"/>
              <w:rPr>
                <w:b/>
                <w:bCs/>
                <w:sz w:val="16"/>
                <w:szCs w:val="16"/>
              </w:rPr>
            </w:pPr>
            <w:r w:rsidRPr="00515D00">
              <w:rPr>
                <w:b/>
                <w:bCs/>
                <w:color w:val="000000"/>
                <w:sz w:val="16"/>
                <w:szCs w:val="16"/>
              </w:rPr>
              <w:lastRenderedPageBreak/>
              <w:t>RESULTADO:</w:t>
            </w:r>
            <w:r w:rsidRPr="00515D00">
              <w:rPr>
                <w:b/>
                <w:bCs/>
                <w:sz w:val="16"/>
                <w:szCs w:val="16"/>
              </w:rPr>
              <w:tab/>
            </w:r>
            <w:r w:rsidRPr="00515D00">
              <w:rPr>
                <w:bCs/>
                <w:color w:val="000000"/>
                <w:sz w:val="16"/>
                <w:szCs w:val="16"/>
              </w:rPr>
              <w:t>III.4  Fortalecimiento de los mecanismos y de los programas de cooperación conforme a las necesidades de los países en desarrollo y los PMA</w:t>
            </w:r>
          </w:p>
        </w:tc>
      </w:tr>
      <w:tr w:rsidR="003E311F" w:rsidRPr="00515D00" w:rsidTr="007A358B">
        <w:trPr>
          <w:cantSplit/>
        </w:trPr>
        <w:tc>
          <w:tcPr>
            <w:tcW w:w="2070" w:type="dxa"/>
            <w:gridSpan w:val="2"/>
            <w:tcBorders>
              <w:top w:val="single" w:sz="4" w:space="0" w:color="auto"/>
            </w:tcBorders>
            <w:vAlign w:val="center"/>
          </w:tcPr>
          <w:p w:rsidR="003E311F" w:rsidRPr="00515D00" w:rsidRDefault="003E311F" w:rsidP="007A358B">
            <w:pPr>
              <w:keepNext/>
              <w:keepLines/>
              <w:spacing w:before="60" w:after="60"/>
              <w:rPr>
                <w:b/>
                <w:bCs/>
                <w:sz w:val="16"/>
                <w:szCs w:val="16"/>
              </w:rPr>
            </w:pPr>
            <w:r w:rsidRPr="00515D00">
              <w:rPr>
                <w:b/>
                <w:bCs/>
                <w:sz w:val="16"/>
                <w:szCs w:val="16"/>
              </w:rPr>
              <w:t>Actividad</w:t>
            </w:r>
          </w:p>
        </w:tc>
        <w:tc>
          <w:tcPr>
            <w:tcW w:w="1170" w:type="dxa"/>
            <w:gridSpan w:val="3"/>
            <w:tcBorders>
              <w:top w:val="single" w:sz="4" w:space="0" w:color="auto"/>
            </w:tcBorders>
            <w:shd w:val="clear" w:color="auto" w:fill="auto"/>
            <w:tcMar>
              <w:top w:w="110" w:type="dxa"/>
            </w:tcMar>
            <w:vAlign w:val="center"/>
          </w:tcPr>
          <w:p w:rsidR="003E311F" w:rsidRPr="00515D00" w:rsidRDefault="003E311F" w:rsidP="007A358B">
            <w:pPr>
              <w:keepNext/>
              <w:keepLines/>
              <w:spacing w:before="60" w:after="60"/>
              <w:rPr>
                <w:sz w:val="16"/>
                <w:szCs w:val="16"/>
              </w:rPr>
            </w:pPr>
            <w:r w:rsidRPr="00515D00">
              <w:rPr>
                <w:b/>
                <w:bCs/>
                <w:sz w:val="16"/>
                <w:szCs w:val="16"/>
              </w:rPr>
              <w:t>Fecha</w:t>
            </w:r>
          </w:p>
        </w:tc>
        <w:tc>
          <w:tcPr>
            <w:tcW w:w="1862" w:type="dxa"/>
            <w:gridSpan w:val="2"/>
            <w:tcBorders>
              <w:top w:val="single" w:sz="4" w:space="0" w:color="auto"/>
            </w:tcBorders>
            <w:shd w:val="clear" w:color="auto" w:fill="auto"/>
            <w:tcMar>
              <w:top w:w="110" w:type="dxa"/>
            </w:tcMar>
            <w:vAlign w:val="center"/>
          </w:tcPr>
          <w:p w:rsidR="003E311F" w:rsidRPr="00515D00" w:rsidRDefault="003E311F" w:rsidP="007A358B">
            <w:pPr>
              <w:widowControl w:val="0"/>
              <w:rPr>
                <w:sz w:val="16"/>
                <w:szCs w:val="16"/>
              </w:rPr>
            </w:pPr>
            <w:r w:rsidRPr="00515D00">
              <w:rPr>
                <w:b/>
                <w:sz w:val="16"/>
                <w:szCs w:val="16"/>
              </w:rPr>
              <w:t>País anfitrión / Beneficiarios</w:t>
            </w:r>
          </w:p>
        </w:tc>
        <w:tc>
          <w:tcPr>
            <w:tcW w:w="4680" w:type="dxa"/>
            <w:gridSpan w:val="3"/>
            <w:tcBorders>
              <w:top w:val="single" w:sz="4" w:space="0" w:color="auto"/>
            </w:tcBorders>
            <w:shd w:val="clear" w:color="auto" w:fill="FFFFFF"/>
            <w:tcMar>
              <w:top w:w="110" w:type="dxa"/>
            </w:tcMar>
            <w:vAlign w:val="center"/>
          </w:tcPr>
          <w:p w:rsidR="003E311F" w:rsidRPr="00515D00" w:rsidRDefault="003E311F" w:rsidP="007A358B">
            <w:pPr>
              <w:widowControl w:val="0"/>
              <w:rPr>
                <w:sz w:val="16"/>
                <w:szCs w:val="16"/>
              </w:rPr>
            </w:pPr>
            <w:r w:rsidRPr="00515D00">
              <w:rPr>
                <w:b/>
                <w:sz w:val="16"/>
                <w:szCs w:val="16"/>
              </w:rPr>
              <w:t>Propósito(s)/Descripción</w:t>
            </w:r>
          </w:p>
        </w:tc>
      </w:tr>
      <w:tr w:rsidR="003E311F" w:rsidRPr="00092F2E" w:rsidTr="007A358B">
        <w:trPr>
          <w:cantSplit/>
          <w:trHeight w:val="1155"/>
        </w:trPr>
        <w:tc>
          <w:tcPr>
            <w:tcW w:w="2070" w:type="dxa"/>
            <w:gridSpan w:val="2"/>
            <w:tcBorders>
              <w:top w:val="nil"/>
              <w:bottom w:val="nil"/>
            </w:tcBorders>
          </w:tcPr>
          <w:p w:rsidR="003E311F" w:rsidRPr="00515D00" w:rsidRDefault="003E311F" w:rsidP="007A358B">
            <w:pPr>
              <w:keepNext/>
              <w:keepLines/>
              <w:autoSpaceDE w:val="0"/>
              <w:autoSpaceDN w:val="0"/>
              <w:adjustRightInd w:val="0"/>
              <w:spacing w:before="60" w:after="60"/>
              <w:rPr>
                <w:color w:val="000000"/>
                <w:sz w:val="16"/>
                <w:szCs w:val="16"/>
              </w:rPr>
            </w:pPr>
            <w:r w:rsidRPr="00515D00">
              <w:rPr>
                <w:sz w:val="16"/>
                <w:szCs w:val="16"/>
              </w:rPr>
              <w:t>XIV Seminario regional OMPI / OEPM / AECID sobre P.I. para jueces y fiscales de América Latina</w:t>
            </w:r>
            <w:r w:rsidRPr="00515D00">
              <w:rPr>
                <w:color w:val="000000"/>
                <w:sz w:val="16"/>
                <w:szCs w:val="16"/>
              </w:rPr>
              <w:t xml:space="preserve"> </w:t>
            </w:r>
          </w:p>
        </w:tc>
        <w:tc>
          <w:tcPr>
            <w:tcW w:w="1170" w:type="dxa"/>
            <w:gridSpan w:val="3"/>
            <w:tcBorders>
              <w:top w:val="nil"/>
              <w:bottom w:val="nil"/>
            </w:tcBorders>
          </w:tcPr>
          <w:p w:rsidR="003E311F" w:rsidRPr="00515D00" w:rsidRDefault="003E311F" w:rsidP="007A358B">
            <w:pPr>
              <w:keepNext/>
              <w:keepLines/>
              <w:autoSpaceDE w:val="0"/>
              <w:autoSpaceDN w:val="0"/>
              <w:adjustRightInd w:val="0"/>
              <w:spacing w:before="60" w:after="60"/>
              <w:rPr>
                <w:color w:val="000000"/>
                <w:sz w:val="16"/>
                <w:szCs w:val="16"/>
              </w:rPr>
            </w:pPr>
            <w:r w:rsidRPr="00515D00">
              <w:rPr>
                <w:color w:val="000000"/>
                <w:sz w:val="16"/>
                <w:szCs w:val="16"/>
              </w:rPr>
              <w:t>16 a 20 de febrero de 2015</w:t>
            </w:r>
          </w:p>
        </w:tc>
        <w:tc>
          <w:tcPr>
            <w:tcW w:w="1862" w:type="dxa"/>
            <w:gridSpan w:val="2"/>
            <w:tcBorders>
              <w:top w:val="nil"/>
              <w:bottom w:val="nil"/>
            </w:tcBorders>
          </w:tcPr>
          <w:p w:rsidR="003E311F" w:rsidRPr="00515D00" w:rsidRDefault="003E311F" w:rsidP="007A358B">
            <w:pPr>
              <w:keepNext/>
              <w:keepLines/>
              <w:autoSpaceDE w:val="0"/>
              <w:autoSpaceDN w:val="0"/>
              <w:adjustRightInd w:val="0"/>
              <w:spacing w:before="60" w:after="60"/>
              <w:rPr>
                <w:color w:val="000000"/>
                <w:sz w:val="16"/>
                <w:szCs w:val="16"/>
              </w:rPr>
            </w:pPr>
            <w:r w:rsidRPr="00515D00">
              <w:rPr>
                <w:sz w:val="16"/>
                <w:szCs w:val="16"/>
              </w:rPr>
              <w:t>Todos los países de América Latina y el Tribunal de la Comunidad Andina</w:t>
            </w:r>
          </w:p>
        </w:tc>
        <w:tc>
          <w:tcPr>
            <w:tcW w:w="4680" w:type="dxa"/>
            <w:gridSpan w:val="3"/>
            <w:tcBorders>
              <w:top w:val="nil"/>
              <w:bottom w:val="nil"/>
            </w:tcBorders>
          </w:tcPr>
          <w:p w:rsidR="003E311F" w:rsidRPr="00515D00" w:rsidRDefault="003E311F" w:rsidP="007A358B">
            <w:pPr>
              <w:keepNext/>
              <w:keepLines/>
              <w:autoSpaceDE w:val="0"/>
              <w:autoSpaceDN w:val="0"/>
              <w:adjustRightInd w:val="0"/>
              <w:spacing w:before="60" w:after="60"/>
              <w:rPr>
                <w:color w:val="000000"/>
                <w:sz w:val="16"/>
                <w:szCs w:val="16"/>
              </w:rPr>
            </w:pPr>
            <w:r w:rsidRPr="00515D00">
              <w:rPr>
                <w:sz w:val="16"/>
                <w:szCs w:val="16"/>
              </w:rPr>
              <w:t xml:space="preserve">i) Impartir formación sobre cuestiones de P.I. a los jueces y fiscales </w:t>
            </w:r>
            <w:r>
              <w:rPr>
                <w:sz w:val="16"/>
                <w:szCs w:val="16"/>
              </w:rPr>
              <w:t>con responsabilidades en esta materia</w:t>
            </w:r>
            <w:r w:rsidRPr="00515D00">
              <w:rPr>
                <w:sz w:val="16"/>
                <w:szCs w:val="16"/>
              </w:rPr>
              <w:t xml:space="preserve"> en los países de América Latina, con el fin de mejorar el proceso de toma de decisiones en la </w:t>
            </w:r>
            <w:r>
              <w:rPr>
                <w:sz w:val="16"/>
                <w:szCs w:val="16"/>
              </w:rPr>
              <w:t>re</w:t>
            </w:r>
            <w:r w:rsidRPr="00515D00">
              <w:rPr>
                <w:sz w:val="16"/>
                <w:szCs w:val="16"/>
              </w:rPr>
              <w:t>solución de litigios;  y ii) dar información actualizada e impartir formación práctica a los participantes en el ámbito de las patentes, las marcas y el derecho de autor, así como en contenciosos relacionados con la observancia.</w:t>
            </w:r>
          </w:p>
        </w:tc>
      </w:tr>
      <w:tr w:rsidR="003E311F" w:rsidRPr="00092F2E" w:rsidTr="007A358B">
        <w:tblPrEx>
          <w:tblBorders>
            <w:top w:val="single" w:sz="4" w:space="0" w:color="000000"/>
            <w:left w:val="single" w:sz="4" w:space="0" w:color="000000"/>
            <w:bottom w:val="single" w:sz="4" w:space="0" w:color="000000"/>
            <w:right w:val="single" w:sz="4" w:space="0" w:color="000000"/>
          </w:tblBorders>
        </w:tblPrEx>
        <w:trPr>
          <w:cantSplit/>
          <w:trHeight w:val="1388"/>
        </w:trPr>
        <w:tc>
          <w:tcPr>
            <w:tcW w:w="2070" w:type="dxa"/>
            <w:gridSpan w:val="2"/>
            <w:tcBorders>
              <w:top w:val="nil"/>
              <w:bottom w:val="nil"/>
            </w:tcBorders>
          </w:tcPr>
          <w:p w:rsidR="003E311F" w:rsidRPr="00515D00" w:rsidRDefault="003E311F" w:rsidP="007A358B">
            <w:pPr>
              <w:autoSpaceDE w:val="0"/>
              <w:autoSpaceDN w:val="0"/>
              <w:adjustRightInd w:val="0"/>
              <w:spacing w:before="60" w:after="60"/>
              <w:rPr>
                <w:color w:val="000000"/>
                <w:sz w:val="16"/>
                <w:szCs w:val="16"/>
              </w:rPr>
            </w:pPr>
            <w:r w:rsidRPr="00515D00">
              <w:rPr>
                <w:sz w:val="16"/>
                <w:szCs w:val="16"/>
              </w:rPr>
              <w:t xml:space="preserve">Plataforma en español sobre servicios y contenidos de P.I. adaptada a las necesidades del sector empresarial de América Latina, con especial hincapié en las </w:t>
            </w:r>
            <w:r>
              <w:rPr>
                <w:sz w:val="16"/>
                <w:szCs w:val="16"/>
              </w:rPr>
              <w:t>pymes</w:t>
            </w:r>
            <w:r w:rsidRPr="00515D00">
              <w:rPr>
                <w:sz w:val="16"/>
                <w:szCs w:val="16"/>
              </w:rPr>
              <w:t xml:space="preserve"> (CIBEPYME)</w:t>
            </w:r>
          </w:p>
        </w:tc>
        <w:tc>
          <w:tcPr>
            <w:tcW w:w="1170" w:type="dxa"/>
            <w:gridSpan w:val="3"/>
            <w:tcBorders>
              <w:top w:val="nil"/>
              <w:bottom w:val="nil"/>
            </w:tcBorders>
            <w:shd w:val="clear" w:color="auto" w:fill="auto"/>
            <w:tcMar>
              <w:top w:w="110" w:type="dxa"/>
            </w:tcMar>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Enero a diciembre de 2015</w:t>
            </w:r>
          </w:p>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(Proyecto en curso desde 2010)</w:t>
            </w:r>
          </w:p>
        </w:tc>
        <w:tc>
          <w:tcPr>
            <w:tcW w:w="1890" w:type="dxa"/>
            <w:gridSpan w:val="3"/>
            <w:tcBorders>
              <w:top w:val="nil"/>
              <w:bottom w:val="nil"/>
            </w:tcBorders>
            <w:shd w:val="clear" w:color="auto" w:fill="auto"/>
            <w:tcMar>
              <w:top w:w="110" w:type="dxa"/>
            </w:tcMar>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Todos los países de América Latina</w:t>
            </w:r>
          </w:p>
        </w:tc>
        <w:tc>
          <w:tcPr>
            <w:tcW w:w="4652" w:type="dxa"/>
            <w:gridSpan w:val="2"/>
            <w:tcBorders>
              <w:top w:val="nil"/>
              <w:bottom w:val="nil"/>
            </w:tcBorders>
            <w:shd w:val="clear" w:color="auto" w:fill="FFFFFF"/>
            <w:tcMar>
              <w:top w:w="110" w:type="dxa"/>
            </w:tcMar>
          </w:tcPr>
          <w:p w:rsidR="003E311F" w:rsidRPr="00515D00" w:rsidRDefault="003E311F" w:rsidP="007A358B">
            <w:pPr>
              <w:autoSpaceDE w:val="0"/>
              <w:autoSpaceDN w:val="0"/>
              <w:adjustRightInd w:val="0"/>
              <w:spacing w:before="60" w:after="60"/>
              <w:rPr>
                <w:color w:val="000000"/>
                <w:sz w:val="16"/>
                <w:szCs w:val="16"/>
              </w:rPr>
            </w:pPr>
            <w:r>
              <w:rPr>
                <w:sz w:val="16"/>
                <w:szCs w:val="16"/>
              </w:rPr>
              <w:t>Proseguir el proceso de diseño y creación de</w:t>
            </w:r>
            <w:r w:rsidRPr="00515D00">
              <w:rPr>
                <w:sz w:val="16"/>
                <w:szCs w:val="16"/>
              </w:rPr>
              <w:t xml:space="preserve"> una plataforma dirigida al sector privado para i) proporcionar asistencia y servicios relacionados con </w:t>
            </w:r>
            <w:r>
              <w:rPr>
                <w:sz w:val="16"/>
                <w:szCs w:val="16"/>
              </w:rPr>
              <w:t>el</w:t>
            </w:r>
            <w:r w:rsidRPr="00515D00">
              <w:rPr>
                <w:sz w:val="16"/>
                <w:szCs w:val="16"/>
              </w:rPr>
              <w:t xml:space="preserve"> uso </w:t>
            </w:r>
            <w:r>
              <w:rPr>
                <w:sz w:val="16"/>
                <w:szCs w:val="16"/>
              </w:rPr>
              <w:t xml:space="preserve">que hace este sector </w:t>
            </w:r>
            <w:r w:rsidRPr="00515D00">
              <w:rPr>
                <w:sz w:val="16"/>
                <w:szCs w:val="16"/>
              </w:rPr>
              <w:t xml:space="preserve">de la P.I.;  ii) aumentar el valor de sus negocios;  y iii) ofrecer un foro para </w:t>
            </w:r>
            <w:r>
              <w:rPr>
                <w:sz w:val="16"/>
                <w:szCs w:val="16"/>
              </w:rPr>
              <w:t>el intercambio de</w:t>
            </w:r>
            <w:r w:rsidRPr="00515D00">
              <w:rPr>
                <w:sz w:val="16"/>
                <w:szCs w:val="16"/>
              </w:rPr>
              <w:t xml:space="preserve"> ideas y experiencias.</w:t>
            </w:r>
          </w:p>
        </w:tc>
      </w:tr>
      <w:tr w:rsidR="003E311F" w:rsidRPr="00092F2E" w:rsidTr="007A358B">
        <w:tblPrEx>
          <w:tblBorders>
            <w:top w:val="single" w:sz="4" w:space="0" w:color="000000"/>
            <w:left w:val="single" w:sz="4" w:space="0" w:color="000000"/>
            <w:bottom w:val="single" w:sz="4" w:space="0" w:color="000000"/>
            <w:right w:val="single" w:sz="4" w:space="0" w:color="000000"/>
          </w:tblBorders>
        </w:tblPrEx>
        <w:trPr>
          <w:cantSplit/>
        </w:trPr>
        <w:tc>
          <w:tcPr>
            <w:tcW w:w="2070" w:type="dxa"/>
            <w:gridSpan w:val="2"/>
            <w:tcBorders>
              <w:top w:val="nil"/>
              <w:bottom w:val="nil"/>
            </w:tcBorders>
          </w:tcPr>
          <w:p w:rsidR="003E311F" w:rsidRPr="00515D00" w:rsidRDefault="003E311F" w:rsidP="007A358B">
            <w:pPr>
              <w:autoSpaceDE w:val="0"/>
              <w:autoSpaceDN w:val="0"/>
              <w:adjustRightInd w:val="0"/>
              <w:spacing w:before="60" w:after="60"/>
              <w:rPr>
                <w:color w:val="000000"/>
                <w:sz w:val="16"/>
                <w:szCs w:val="16"/>
              </w:rPr>
            </w:pPr>
            <w:r w:rsidRPr="00515D00">
              <w:rPr>
                <w:sz w:val="16"/>
                <w:szCs w:val="16"/>
              </w:rPr>
              <w:t>Proyecto regional de automatización para la traducción al español del nivel avanzado de la Clasificación Internacional de Patentes (CIP)</w:t>
            </w:r>
          </w:p>
        </w:tc>
        <w:tc>
          <w:tcPr>
            <w:tcW w:w="1170" w:type="dxa"/>
            <w:gridSpan w:val="3"/>
            <w:tcBorders>
              <w:top w:val="nil"/>
              <w:bottom w:val="nil"/>
            </w:tcBorders>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Enero a diciembre de 2015</w:t>
            </w:r>
          </w:p>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(Proyecto en curso desde 2010)</w:t>
            </w:r>
          </w:p>
        </w:tc>
        <w:tc>
          <w:tcPr>
            <w:tcW w:w="1890" w:type="dxa"/>
            <w:gridSpan w:val="3"/>
            <w:tcBorders>
              <w:top w:val="nil"/>
              <w:bottom w:val="nil"/>
            </w:tcBorders>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Todos los países de América Latina</w:t>
            </w:r>
          </w:p>
        </w:tc>
        <w:tc>
          <w:tcPr>
            <w:tcW w:w="4652" w:type="dxa"/>
            <w:gridSpan w:val="2"/>
            <w:tcBorders>
              <w:top w:val="nil"/>
              <w:bottom w:val="nil"/>
            </w:tcBorders>
          </w:tcPr>
          <w:p w:rsidR="003E311F" w:rsidRPr="00515D00" w:rsidRDefault="003E311F" w:rsidP="007A358B">
            <w:pPr>
              <w:autoSpaceDE w:val="0"/>
              <w:autoSpaceDN w:val="0"/>
              <w:adjustRightInd w:val="0"/>
              <w:spacing w:before="60" w:after="60"/>
              <w:rPr>
                <w:color w:val="000000"/>
                <w:sz w:val="16"/>
                <w:szCs w:val="16"/>
              </w:rPr>
            </w:pPr>
            <w:r w:rsidRPr="00515D00">
              <w:rPr>
                <w:sz w:val="16"/>
                <w:szCs w:val="16"/>
              </w:rPr>
              <w:t>i) Instrumentar la automatización de la traducción al español del nivel avanzado de la CIP, puesto que se encargó inicialmente solo al francés e inglés;  y ii) ponerla a disposición de las oficinas de propiedad industrial de los países de América Latina.</w:t>
            </w:r>
          </w:p>
        </w:tc>
      </w:tr>
      <w:tr w:rsidR="003E311F" w:rsidRPr="00092F2E" w:rsidTr="007A358B">
        <w:tblPrEx>
          <w:tblBorders>
            <w:top w:val="single" w:sz="4" w:space="0" w:color="000000"/>
            <w:left w:val="single" w:sz="4" w:space="0" w:color="000000"/>
            <w:bottom w:val="single" w:sz="4" w:space="0" w:color="000000"/>
            <w:right w:val="single" w:sz="4" w:space="0" w:color="000000"/>
          </w:tblBorders>
        </w:tblPrEx>
        <w:trPr>
          <w:cantSplit/>
        </w:trPr>
        <w:tc>
          <w:tcPr>
            <w:tcW w:w="2127" w:type="dxa"/>
            <w:gridSpan w:val="3"/>
            <w:tcBorders>
              <w:bottom w:val="nil"/>
            </w:tcBorders>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Seminario regional del PCT y el Tratado de Budapest para los países de América Latina</w:t>
            </w:r>
          </w:p>
        </w:tc>
        <w:tc>
          <w:tcPr>
            <w:tcW w:w="1113" w:type="dxa"/>
            <w:gridSpan w:val="2"/>
            <w:tcBorders>
              <w:bottom w:val="nil"/>
            </w:tcBorders>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28 a 31 de julio de 2015</w:t>
            </w:r>
          </w:p>
        </w:tc>
        <w:tc>
          <w:tcPr>
            <w:tcW w:w="1890" w:type="dxa"/>
            <w:gridSpan w:val="3"/>
            <w:tcBorders>
              <w:bottom w:val="nil"/>
            </w:tcBorders>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Ecuador/ Todos los países de América Latina</w:t>
            </w:r>
          </w:p>
        </w:tc>
        <w:tc>
          <w:tcPr>
            <w:tcW w:w="4652" w:type="dxa"/>
            <w:gridSpan w:val="2"/>
            <w:tcBorders>
              <w:bottom w:val="nil"/>
            </w:tcBorders>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Compartir experiencias y mantener informadas a las oficinas nacionales acerca de las novedades recientes en el sistema del PCT.</w:t>
            </w:r>
          </w:p>
        </w:tc>
      </w:tr>
      <w:tr w:rsidR="003E311F" w:rsidRPr="00092F2E" w:rsidTr="007A358B">
        <w:tblPrEx>
          <w:tblBorders>
            <w:top w:val="single" w:sz="4" w:space="0" w:color="000000"/>
            <w:left w:val="single" w:sz="4" w:space="0" w:color="000000"/>
            <w:bottom w:val="single" w:sz="4" w:space="0" w:color="000000"/>
            <w:right w:val="single" w:sz="4" w:space="0" w:color="000000"/>
          </w:tblBorders>
        </w:tblPrEx>
        <w:trPr>
          <w:cantSplit/>
        </w:trPr>
        <w:tc>
          <w:tcPr>
            <w:tcW w:w="2070" w:type="dxa"/>
            <w:gridSpan w:val="2"/>
            <w:tcBorders>
              <w:top w:val="nil"/>
              <w:bottom w:val="nil"/>
            </w:tcBorders>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Seminario sobre observancia de derechos de propiedad intelectual</w:t>
            </w:r>
            <w:r w:rsidR="005871AE" w:rsidRPr="00386789">
              <w:rPr>
                <w:rStyle w:val="FootnoteReference"/>
                <w:color w:val="000000"/>
                <w:sz w:val="16"/>
                <w:szCs w:val="16"/>
              </w:rPr>
              <w:footnoteReference w:id="167"/>
            </w:r>
          </w:p>
        </w:tc>
        <w:tc>
          <w:tcPr>
            <w:tcW w:w="1170" w:type="dxa"/>
            <w:gridSpan w:val="3"/>
            <w:tcBorders>
              <w:top w:val="nil"/>
              <w:bottom w:val="nil"/>
            </w:tcBorders>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27 a 28 de julio de 2015</w:t>
            </w:r>
          </w:p>
        </w:tc>
        <w:tc>
          <w:tcPr>
            <w:tcW w:w="1890" w:type="dxa"/>
            <w:gridSpan w:val="3"/>
            <w:tcBorders>
              <w:top w:val="nil"/>
              <w:bottom w:val="nil"/>
            </w:tcBorders>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México/ Ecuador, Honduras, Paraguay, Perú, México y España</w:t>
            </w:r>
          </w:p>
        </w:tc>
        <w:tc>
          <w:tcPr>
            <w:tcW w:w="4652" w:type="dxa"/>
            <w:gridSpan w:val="2"/>
            <w:tcBorders>
              <w:top w:val="nil"/>
              <w:bottom w:val="nil"/>
            </w:tcBorders>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 xml:space="preserve">i) </w:t>
            </w:r>
            <w:r>
              <w:rPr>
                <w:color w:val="000000"/>
                <w:sz w:val="16"/>
                <w:szCs w:val="16"/>
              </w:rPr>
              <w:t>Proporcionar</w:t>
            </w:r>
            <w:r w:rsidRPr="00515D00">
              <w:rPr>
                <w:color w:val="000000"/>
                <w:sz w:val="16"/>
                <w:szCs w:val="16"/>
              </w:rPr>
              <w:t xml:space="preserve"> información actualizada a las autoridades responsables de la P.I. sobre diferentes enfoques de la observancia de los derechos de P.I.;  ii) brindar un foro donde las oficinas nacionales de P.I. de los países de América Latina puedan intercambiar experiencias sobre la promoción y el desarrollo del respeto a los derechos de P.I.;  </w:t>
            </w:r>
            <w:r>
              <w:rPr>
                <w:color w:val="000000"/>
                <w:sz w:val="16"/>
                <w:szCs w:val="16"/>
              </w:rPr>
              <w:t>iii</w:t>
            </w:r>
            <w:r w:rsidRPr="00515D00">
              <w:rPr>
                <w:color w:val="000000"/>
                <w:sz w:val="16"/>
                <w:szCs w:val="16"/>
              </w:rPr>
              <w:t>) fortalecer los lazos de colaboración territorial e institucional en el ámbito de la observancia.</w:t>
            </w:r>
          </w:p>
        </w:tc>
      </w:tr>
      <w:tr w:rsidR="003E311F" w:rsidRPr="00092F2E" w:rsidTr="00F8003C">
        <w:tblPrEx>
          <w:tblBorders>
            <w:top w:val="single" w:sz="4" w:space="0" w:color="000000"/>
            <w:left w:val="single" w:sz="4" w:space="0" w:color="000000"/>
            <w:bottom w:val="single" w:sz="4" w:space="0" w:color="000000"/>
            <w:right w:val="single" w:sz="4" w:space="0" w:color="000000"/>
          </w:tblBorders>
        </w:tblPrEx>
        <w:trPr>
          <w:cantSplit/>
        </w:trPr>
        <w:tc>
          <w:tcPr>
            <w:tcW w:w="2070" w:type="dxa"/>
            <w:gridSpan w:val="2"/>
            <w:tcBorders>
              <w:top w:val="nil"/>
              <w:bottom w:val="nil"/>
            </w:tcBorders>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Día contra la falsificación para las cámaras de comercio y los empresarios</w:t>
            </w:r>
            <w:r w:rsidRPr="00386789">
              <w:rPr>
                <w:rStyle w:val="FootnoteReference"/>
                <w:color w:val="000000"/>
                <w:sz w:val="16"/>
                <w:szCs w:val="16"/>
              </w:rPr>
              <w:footnoteReference w:id="168"/>
            </w:r>
          </w:p>
        </w:tc>
        <w:tc>
          <w:tcPr>
            <w:tcW w:w="1170" w:type="dxa"/>
            <w:gridSpan w:val="3"/>
            <w:tcBorders>
              <w:top w:val="nil"/>
              <w:bottom w:val="nil"/>
            </w:tcBorders>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29 de julio de 2015</w:t>
            </w:r>
          </w:p>
        </w:tc>
        <w:tc>
          <w:tcPr>
            <w:tcW w:w="1890" w:type="dxa"/>
            <w:gridSpan w:val="3"/>
            <w:tcBorders>
              <w:top w:val="nil"/>
              <w:bottom w:val="nil"/>
            </w:tcBorders>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México/ Ecuador, Honduras, Paraguay, Perú, México y España</w:t>
            </w:r>
          </w:p>
        </w:tc>
        <w:tc>
          <w:tcPr>
            <w:tcW w:w="4652" w:type="dxa"/>
            <w:gridSpan w:val="2"/>
            <w:tcBorders>
              <w:top w:val="nil"/>
              <w:bottom w:val="nil"/>
            </w:tcBorders>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i) Reunir a funcionarios gubernamentales de alto nivel y a líderes empresariales para que pongan su experiencia al servicio de mejorar la coordinación y la cooperación internacional con el fin de desarrollar soluciones más eficaces en la lucha contra la falsificación;  y ii) ofrecer una visión de conjunto de los servicios y el apoyo público disponibles en el ámbito de la observancia de los derechos de P.I.</w:t>
            </w:r>
          </w:p>
        </w:tc>
      </w:tr>
      <w:tr w:rsidR="003E311F" w:rsidRPr="00092F2E" w:rsidTr="00F8003C">
        <w:tblPrEx>
          <w:tblBorders>
            <w:top w:val="single" w:sz="4" w:space="0" w:color="000000"/>
            <w:left w:val="single" w:sz="4" w:space="0" w:color="000000"/>
            <w:bottom w:val="single" w:sz="4" w:space="0" w:color="000000"/>
            <w:right w:val="single" w:sz="4" w:space="0" w:color="000000"/>
          </w:tblBorders>
        </w:tblPrEx>
        <w:trPr>
          <w:cantSplit/>
        </w:trPr>
        <w:tc>
          <w:tcPr>
            <w:tcW w:w="2070" w:type="dxa"/>
            <w:gridSpan w:val="2"/>
            <w:tcBorders>
              <w:top w:val="nil"/>
              <w:bottom w:val="nil"/>
            </w:tcBorders>
          </w:tcPr>
          <w:p w:rsidR="003E311F" w:rsidRPr="00515D00" w:rsidRDefault="003E311F" w:rsidP="007A358B">
            <w:pPr>
              <w:autoSpaceDE w:val="0"/>
              <w:autoSpaceDN w:val="0"/>
              <w:adjustRightInd w:val="0"/>
              <w:spacing w:before="60" w:after="60"/>
              <w:rPr>
                <w:color w:val="000000"/>
                <w:sz w:val="16"/>
                <w:szCs w:val="16"/>
              </w:rPr>
            </w:pPr>
            <w:r w:rsidRPr="00515D00">
              <w:rPr>
                <w:sz w:val="16"/>
                <w:szCs w:val="16"/>
              </w:rPr>
              <w:t>Reunión subregional sobre patentes para países de América Central, Panamá y la República Dominicana para el examen y la aprobación de un manual sobre el examen de solicitudes de patente y el fortalecimiento de los mecanismos de cooperación</w:t>
            </w:r>
          </w:p>
        </w:tc>
        <w:tc>
          <w:tcPr>
            <w:tcW w:w="1170" w:type="dxa"/>
            <w:gridSpan w:val="3"/>
            <w:tcBorders>
              <w:top w:val="nil"/>
              <w:bottom w:val="nil"/>
            </w:tcBorders>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30 de junio a 2 de julio de 2015</w:t>
            </w:r>
          </w:p>
        </w:tc>
        <w:tc>
          <w:tcPr>
            <w:tcW w:w="1890" w:type="dxa"/>
            <w:gridSpan w:val="3"/>
            <w:tcBorders>
              <w:top w:val="nil"/>
              <w:bottom w:val="nil"/>
            </w:tcBorders>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 xml:space="preserve">Panamá/ </w:t>
            </w:r>
            <w:r w:rsidRPr="00515D00">
              <w:rPr>
                <w:sz w:val="16"/>
                <w:szCs w:val="16"/>
              </w:rPr>
              <w:t>países de América Central</w:t>
            </w:r>
            <w:r w:rsidRPr="00515D00">
              <w:rPr>
                <w:color w:val="000000"/>
                <w:sz w:val="16"/>
                <w:szCs w:val="16"/>
              </w:rPr>
              <w:t xml:space="preserve"> y República Dominicana</w:t>
            </w:r>
          </w:p>
        </w:tc>
        <w:tc>
          <w:tcPr>
            <w:tcW w:w="4652" w:type="dxa"/>
            <w:gridSpan w:val="2"/>
            <w:tcBorders>
              <w:top w:val="nil"/>
              <w:bottom w:val="nil"/>
            </w:tcBorders>
          </w:tcPr>
          <w:p w:rsidR="003E311F" w:rsidRPr="00515D00" w:rsidRDefault="003E311F" w:rsidP="007A358B">
            <w:pPr>
              <w:autoSpaceDE w:val="0"/>
              <w:autoSpaceDN w:val="0"/>
              <w:adjustRightInd w:val="0"/>
              <w:spacing w:before="60" w:after="60"/>
              <w:rPr>
                <w:color w:val="000000"/>
                <w:sz w:val="16"/>
                <w:szCs w:val="16"/>
              </w:rPr>
            </w:pPr>
            <w:r w:rsidRPr="00515D00">
              <w:rPr>
                <w:sz w:val="16"/>
                <w:szCs w:val="16"/>
              </w:rPr>
              <w:t>i) Brindar la oportunidad de actualizar el manual sobre el examen de patentes para países de América Central, Panamá y la República Dominicana;  ii) proponer medidas conducentes a la utilización futura del manual en los procedimientos de examen de esos países;  y iii) establecer medidas para fortalecer los mecanismos de cooperación con miras a lograr el consenso para que el manual siga siendo de utilidad.</w:t>
            </w:r>
          </w:p>
        </w:tc>
      </w:tr>
      <w:tr w:rsidR="003E311F" w:rsidRPr="00092F2E" w:rsidTr="00F8003C">
        <w:trPr>
          <w:cantSplit/>
        </w:trPr>
        <w:tc>
          <w:tcPr>
            <w:tcW w:w="2070" w:type="dxa"/>
            <w:gridSpan w:val="2"/>
            <w:tcBorders>
              <w:top w:val="nil"/>
            </w:tcBorders>
          </w:tcPr>
          <w:p w:rsidR="003E311F" w:rsidRPr="00515D00" w:rsidRDefault="003E311F" w:rsidP="007A358B">
            <w:pPr>
              <w:autoSpaceDE w:val="0"/>
              <w:autoSpaceDN w:val="0"/>
              <w:adjustRightInd w:val="0"/>
              <w:spacing w:before="60" w:after="60"/>
              <w:rPr>
                <w:color w:val="000000"/>
                <w:sz w:val="16"/>
                <w:szCs w:val="16"/>
              </w:rPr>
            </w:pPr>
            <w:r w:rsidRPr="00515D00">
              <w:rPr>
                <w:sz w:val="16"/>
                <w:szCs w:val="16"/>
              </w:rPr>
              <w:t>Programa Iberoamericano de P.I. (IBEPI)</w:t>
            </w:r>
          </w:p>
        </w:tc>
        <w:tc>
          <w:tcPr>
            <w:tcW w:w="1170" w:type="dxa"/>
            <w:gridSpan w:val="3"/>
            <w:tcBorders>
              <w:top w:val="nil"/>
            </w:tcBorders>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Enero a diciembre de 2015</w:t>
            </w:r>
          </w:p>
        </w:tc>
        <w:tc>
          <w:tcPr>
            <w:tcW w:w="1862" w:type="dxa"/>
            <w:gridSpan w:val="2"/>
            <w:tcBorders>
              <w:top w:val="nil"/>
            </w:tcBorders>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Todos los países de América Latina</w:t>
            </w:r>
          </w:p>
        </w:tc>
        <w:tc>
          <w:tcPr>
            <w:tcW w:w="4680" w:type="dxa"/>
            <w:gridSpan w:val="3"/>
            <w:tcBorders>
              <w:top w:val="nil"/>
            </w:tcBorders>
          </w:tcPr>
          <w:p w:rsidR="003E311F" w:rsidRPr="00515D00" w:rsidRDefault="003E311F" w:rsidP="007A358B">
            <w:pPr>
              <w:autoSpaceDE w:val="0"/>
              <w:autoSpaceDN w:val="0"/>
              <w:adjustRightInd w:val="0"/>
              <w:spacing w:before="60" w:after="60"/>
              <w:rPr>
                <w:color w:val="000000"/>
                <w:sz w:val="16"/>
                <w:szCs w:val="16"/>
              </w:rPr>
            </w:pPr>
            <w:r w:rsidRPr="00515D00">
              <w:rPr>
                <w:sz w:val="16"/>
                <w:szCs w:val="16"/>
              </w:rPr>
              <w:t>Fomentar el desarrollo social y económico en la región, en el marco de la Cumbre Iberoamericana de Jefes de Estado y de Gobierno.</w:t>
            </w:r>
          </w:p>
        </w:tc>
      </w:tr>
      <w:tr w:rsidR="003E311F" w:rsidRPr="00092F2E" w:rsidTr="007A358B">
        <w:trPr>
          <w:cantSplit/>
        </w:trPr>
        <w:tc>
          <w:tcPr>
            <w:tcW w:w="2070" w:type="dxa"/>
            <w:gridSpan w:val="2"/>
            <w:tcBorders>
              <w:bottom w:val="single" w:sz="4" w:space="0" w:color="auto"/>
            </w:tcBorders>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lastRenderedPageBreak/>
              <w:t xml:space="preserve">Reunión del Comité Intergubernamental del IBEPI </w:t>
            </w:r>
          </w:p>
        </w:tc>
        <w:tc>
          <w:tcPr>
            <w:tcW w:w="1170" w:type="dxa"/>
            <w:gridSpan w:val="3"/>
            <w:tcBorders>
              <w:bottom w:val="single" w:sz="4" w:space="0" w:color="auto"/>
            </w:tcBorders>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 xml:space="preserve">1 </w:t>
            </w:r>
            <w:r>
              <w:rPr>
                <w:color w:val="000000"/>
                <w:sz w:val="16"/>
                <w:szCs w:val="16"/>
              </w:rPr>
              <w:t>a</w:t>
            </w:r>
            <w:r w:rsidRPr="00515D00">
              <w:rPr>
                <w:color w:val="000000"/>
                <w:sz w:val="16"/>
                <w:szCs w:val="16"/>
              </w:rPr>
              <w:t xml:space="preserve"> 2 de octubre de 2015</w:t>
            </w:r>
          </w:p>
        </w:tc>
        <w:tc>
          <w:tcPr>
            <w:tcW w:w="1862" w:type="dxa"/>
            <w:gridSpan w:val="2"/>
            <w:tcBorders>
              <w:bottom w:val="single" w:sz="4" w:space="0" w:color="auto"/>
            </w:tcBorders>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España/ Todos los países de América Latina</w:t>
            </w:r>
          </w:p>
        </w:tc>
        <w:tc>
          <w:tcPr>
            <w:tcW w:w="4680" w:type="dxa"/>
            <w:gridSpan w:val="3"/>
            <w:tcBorders>
              <w:bottom w:val="single" w:sz="4" w:space="0" w:color="auto"/>
            </w:tcBorders>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Facilitar la organización de la reunión del Comité Intergubernamental del IBEPI, organizado en colaboración con la Secretaría del IBEPI.</w:t>
            </w:r>
          </w:p>
        </w:tc>
      </w:tr>
      <w:tr w:rsidR="003E311F" w:rsidRPr="00092F2E" w:rsidTr="007A358B">
        <w:trPr>
          <w:cantSplit/>
        </w:trPr>
        <w:tc>
          <w:tcPr>
            <w:tcW w:w="9782" w:type="dxa"/>
            <w:gridSpan w:val="10"/>
            <w:tcBorders>
              <w:top w:val="single" w:sz="4" w:space="0" w:color="auto"/>
              <w:bottom w:val="single" w:sz="4" w:space="0" w:color="auto"/>
            </w:tcBorders>
            <w:shd w:val="clear" w:color="auto" w:fill="C6D9F1"/>
            <w:vAlign w:val="center"/>
          </w:tcPr>
          <w:p w:rsidR="003E311F" w:rsidRPr="00515D00" w:rsidRDefault="003E311F" w:rsidP="007A358B">
            <w:pPr>
              <w:keepNext/>
              <w:keepLines/>
              <w:tabs>
                <w:tab w:val="left" w:pos="1740"/>
              </w:tabs>
              <w:spacing w:before="120" w:after="120"/>
              <w:ind w:left="1740" w:hanging="1740"/>
              <w:rPr>
                <w:b/>
                <w:bCs/>
                <w:sz w:val="16"/>
                <w:szCs w:val="16"/>
              </w:rPr>
            </w:pPr>
            <w:r w:rsidRPr="00515D00">
              <w:rPr>
                <w:b/>
                <w:bCs/>
                <w:color w:val="000000"/>
                <w:sz w:val="16"/>
                <w:szCs w:val="16"/>
              </w:rPr>
              <w:t>RESULTADO:</w:t>
            </w:r>
            <w:r w:rsidRPr="00515D00">
              <w:rPr>
                <w:b/>
                <w:bCs/>
                <w:sz w:val="16"/>
                <w:szCs w:val="16"/>
              </w:rPr>
              <w:tab/>
            </w:r>
            <w:r w:rsidRPr="00515D00">
              <w:rPr>
                <w:bCs/>
                <w:color w:val="000000"/>
                <w:sz w:val="16"/>
                <w:szCs w:val="16"/>
              </w:rPr>
              <w:t>IV.4  Mejora en la infraestructura técnica y de conocimientos de las Oficinas y demás instituciones de P.I. que les permita prestar mejores servicios (más económicos, más rápidos y de mejor calidad) a sus partes interesadas</w:t>
            </w:r>
          </w:p>
        </w:tc>
      </w:tr>
      <w:tr w:rsidR="003E311F" w:rsidRPr="00515D00" w:rsidTr="007A358B">
        <w:trPr>
          <w:cantSplit/>
        </w:trPr>
        <w:tc>
          <w:tcPr>
            <w:tcW w:w="1980" w:type="dxa"/>
            <w:tcBorders>
              <w:top w:val="single" w:sz="4" w:space="0" w:color="auto"/>
            </w:tcBorders>
            <w:vAlign w:val="center"/>
          </w:tcPr>
          <w:p w:rsidR="003E311F" w:rsidRPr="00515D00" w:rsidRDefault="003E311F" w:rsidP="007A358B">
            <w:pPr>
              <w:keepNext/>
              <w:keepLines/>
              <w:spacing w:before="60" w:after="60"/>
              <w:rPr>
                <w:b/>
                <w:bCs/>
                <w:sz w:val="16"/>
                <w:szCs w:val="16"/>
              </w:rPr>
            </w:pPr>
            <w:r w:rsidRPr="00515D00">
              <w:rPr>
                <w:b/>
                <w:bCs/>
                <w:sz w:val="16"/>
                <w:szCs w:val="16"/>
              </w:rPr>
              <w:t>Actividad</w:t>
            </w:r>
          </w:p>
        </w:tc>
        <w:tc>
          <w:tcPr>
            <w:tcW w:w="1260" w:type="dxa"/>
            <w:gridSpan w:val="4"/>
            <w:tcBorders>
              <w:top w:val="single" w:sz="4" w:space="0" w:color="auto"/>
            </w:tcBorders>
            <w:shd w:val="clear" w:color="auto" w:fill="auto"/>
            <w:tcMar>
              <w:top w:w="110" w:type="dxa"/>
            </w:tcMar>
            <w:vAlign w:val="center"/>
          </w:tcPr>
          <w:p w:rsidR="003E311F" w:rsidRPr="00515D00" w:rsidRDefault="003E311F" w:rsidP="007A358B">
            <w:pPr>
              <w:keepNext/>
              <w:keepLines/>
              <w:spacing w:before="60" w:after="60"/>
              <w:rPr>
                <w:sz w:val="16"/>
                <w:szCs w:val="16"/>
              </w:rPr>
            </w:pPr>
            <w:r w:rsidRPr="00515D00">
              <w:rPr>
                <w:b/>
                <w:bCs/>
                <w:sz w:val="16"/>
                <w:szCs w:val="16"/>
              </w:rPr>
              <w:t>Fecha</w:t>
            </w:r>
          </w:p>
        </w:tc>
        <w:tc>
          <w:tcPr>
            <w:tcW w:w="1862" w:type="dxa"/>
            <w:gridSpan w:val="2"/>
            <w:tcBorders>
              <w:top w:val="single" w:sz="4" w:space="0" w:color="auto"/>
            </w:tcBorders>
            <w:shd w:val="clear" w:color="auto" w:fill="auto"/>
            <w:tcMar>
              <w:top w:w="110" w:type="dxa"/>
            </w:tcMar>
            <w:vAlign w:val="center"/>
          </w:tcPr>
          <w:p w:rsidR="003E311F" w:rsidRPr="00515D00" w:rsidRDefault="003E311F" w:rsidP="007A358B">
            <w:pPr>
              <w:widowControl w:val="0"/>
              <w:rPr>
                <w:sz w:val="16"/>
                <w:szCs w:val="16"/>
              </w:rPr>
            </w:pPr>
            <w:r w:rsidRPr="00515D00">
              <w:rPr>
                <w:b/>
                <w:sz w:val="16"/>
                <w:szCs w:val="16"/>
              </w:rPr>
              <w:t>País anfitrión / Beneficiarios</w:t>
            </w:r>
          </w:p>
        </w:tc>
        <w:tc>
          <w:tcPr>
            <w:tcW w:w="4680" w:type="dxa"/>
            <w:gridSpan w:val="3"/>
            <w:tcBorders>
              <w:top w:val="single" w:sz="4" w:space="0" w:color="auto"/>
            </w:tcBorders>
            <w:shd w:val="clear" w:color="auto" w:fill="FFFFFF"/>
            <w:tcMar>
              <w:top w:w="110" w:type="dxa"/>
            </w:tcMar>
            <w:vAlign w:val="center"/>
          </w:tcPr>
          <w:p w:rsidR="003E311F" w:rsidRPr="00515D00" w:rsidRDefault="003E311F" w:rsidP="007A358B">
            <w:pPr>
              <w:widowControl w:val="0"/>
              <w:rPr>
                <w:sz w:val="16"/>
                <w:szCs w:val="16"/>
              </w:rPr>
            </w:pPr>
            <w:r w:rsidRPr="00515D00">
              <w:rPr>
                <w:b/>
                <w:sz w:val="16"/>
                <w:szCs w:val="16"/>
              </w:rPr>
              <w:t>Propósito(s)/Descripción</w:t>
            </w:r>
          </w:p>
        </w:tc>
      </w:tr>
      <w:tr w:rsidR="003E311F" w:rsidRPr="00092F2E" w:rsidTr="007A358B">
        <w:trPr>
          <w:cantSplit/>
          <w:trHeight w:val="1517"/>
        </w:trPr>
        <w:tc>
          <w:tcPr>
            <w:tcW w:w="1980" w:type="dxa"/>
          </w:tcPr>
          <w:p w:rsidR="003E311F" w:rsidRPr="00515D00" w:rsidRDefault="003E311F" w:rsidP="007A358B">
            <w:pPr>
              <w:keepNext/>
              <w:keepLines/>
              <w:autoSpaceDE w:val="0"/>
              <w:autoSpaceDN w:val="0"/>
              <w:adjustRightInd w:val="0"/>
              <w:spacing w:before="60" w:after="60"/>
              <w:rPr>
                <w:sz w:val="16"/>
                <w:szCs w:val="16"/>
              </w:rPr>
            </w:pPr>
            <w:r w:rsidRPr="00515D00">
              <w:rPr>
                <w:color w:val="000000"/>
                <w:sz w:val="16"/>
                <w:szCs w:val="16"/>
              </w:rPr>
              <w:t xml:space="preserve">VI </w:t>
            </w:r>
            <w:r w:rsidRPr="00515D00">
              <w:rPr>
                <w:sz w:val="16"/>
                <w:szCs w:val="16"/>
              </w:rPr>
              <w:t xml:space="preserve">Seminario regional sobre gestión </w:t>
            </w:r>
            <w:r>
              <w:rPr>
                <w:sz w:val="16"/>
                <w:szCs w:val="16"/>
              </w:rPr>
              <w:t xml:space="preserve">de </w:t>
            </w:r>
            <w:r w:rsidRPr="00515D00">
              <w:rPr>
                <w:sz w:val="16"/>
                <w:szCs w:val="16"/>
              </w:rPr>
              <w:t>oficinas de propiedad industrial</w:t>
            </w:r>
            <w:r>
              <w:rPr>
                <w:sz w:val="16"/>
                <w:szCs w:val="16"/>
              </w:rPr>
              <w:t>: la importancia de los programas de división del trabajo</w:t>
            </w:r>
          </w:p>
        </w:tc>
        <w:tc>
          <w:tcPr>
            <w:tcW w:w="1260" w:type="dxa"/>
            <w:gridSpan w:val="4"/>
          </w:tcPr>
          <w:p w:rsidR="003E311F" w:rsidRPr="00515D00" w:rsidRDefault="003E311F" w:rsidP="007A358B">
            <w:pPr>
              <w:keepNext/>
              <w:keepLines/>
              <w:autoSpaceDE w:val="0"/>
              <w:autoSpaceDN w:val="0"/>
              <w:adjustRightInd w:val="0"/>
              <w:spacing w:before="60" w:after="60"/>
              <w:rPr>
                <w:color w:val="000000"/>
                <w:sz w:val="16"/>
                <w:szCs w:val="16"/>
                <w:lang w:eastAsia="ja-JP"/>
              </w:rPr>
            </w:pPr>
            <w:r w:rsidRPr="00515D00">
              <w:rPr>
                <w:color w:val="000000"/>
                <w:sz w:val="16"/>
                <w:szCs w:val="16"/>
                <w:lang w:eastAsia="ja-JP"/>
              </w:rPr>
              <w:t>16 a 19 de marzo de 2015</w:t>
            </w:r>
          </w:p>
        </w:tc>
        <w:tc>
          <w:tcPr>
            <w:tcW w:w="1862" w:type="dxa"/>
            <w:gridSpan w:val="2"/>
          </w:tcPr>
          <w:p w:rsidR="003E311F" w:rsidRPr="00515D00" w:rsidRDefault="003E311F" w:rsidP="007A358B">
            <w:pPr>
              <w:keepNext/>
              <w:keepLines/>
              <w:autoSpaceDE w:val="0"/>
              <w:autoSpaceDN w:val="0"/>
              <w:adjustRightInd w:val="0"/>
              <w:spacing w:before="60" w:after="60"/>
              <w:rPr>
                <w:color w:val="000000"/>
                <w:sz w:val="16"/>
                <w:szCs w:val="16"/>
                <w:lang w:eastAsia="ja-JP"/>
              </w:rPr>
            </w:pPr>
            <w:r w:rsidRPr="00515D00">
              <w:rPr>
                <w:color w:val="000000"/>
                <w:sz w:val="16"/>
                <w:szCs w:val="16"/>
                <w:lang w:eastAsia="ja-JP"/>
              </w:rPr>
              <w:t xml:space="preserve">Colombia / </w:t>
            </w:r>
            <w:r w:rsidRPr="00515D00">
              <w:rPr>
                <w:color w:val="000000"/>
                <w:sz w:val="16"/>
                <w:szCs w:val="16"/>
              </w:rPr>
              <w:t>Todos los países de América Latina</w:t>
            </w:r>
          </w:p>
        </w:tc>
        <w:tc>
          <w:tcPr>
            <w:tcW w:w="4680" w:type="dxa"/>
            <w:gridSpan w:val="3"/>
          </w:tcPr>
          <w:p w:rsidR="003E311F" w:rsidRPr="00515D00" w:rsidRDefault="003E311F" w:rsidP="007A358B">
            <w:pPr>
              <w:keepNext/>
              <w:keepLines/>
              <w:autoSpaceDE w:val="0"/>
              <w:autoSpaceDN w:val="0"/>
              <w:adjustRightInd w:val="0"/>
              <w:spacing w:before="60" w:after="60"/>
              <w:rPr>
                <w:color w:val="000000"/>
                <w:sz w:val="16"/>
                <w:szCs w:val="16"/>
                <w:lang w:eastAsia="ja-JP"/>
              </w:rPr>
            </w:pPr>
            <w:r w:rsidRPr="00515D00">
              <w:rPr>
                <w:sz w:val="16"/>
                <w:szCs w:val="16"/>
              </w:rPr>
              <w:t>i) Ofrecer a los participantes información actualizada, formación práctica e instrumentos útiles para la gestión de las oficinas nacionales;  ii) brindar un foro para compartir prácticas óptimas;  y iii) desarrollar entre los administradores de las oficinas de P.I. de los países de América Latina el concepto de gestión orientada a la prestación de servicios.</w:t>
            </w:r>
          </w:p>
        </w:tc>
      </w:tr>
      <w:tr w:rsidR="003E311F" w:rsidRPr="00092F2E" w:rsidTr="007A358B">
        <w:trPr>
          <w:cantSplit/>
          <w:trHeight w:val="1656"/>
        </w:trPr>
        <w:tc>
          <w:tcPr>
            <w:tcW w:w="1980" w:type="dxa"/>
          </w:tcPr>
          <w:p w:rsidR="003E311F" w:rsidRPr="00515D00" w:rsidRDefault="003E311F" w:rsidP="007A358B">
            <w:pPr>
              <w:autoSpaceDE w:val="0"/>
              <w:autoSpaceDN w:val="0"/>
              <w:adjustRightInd w:val="0"/>
              <w:spacing w:before="60" w:after="60"/>
              <w:rPr>
                <w:color w:val="000000"/>
                <w:sz w:val="16"/>
                <w:szCs w:val="16"/>
              </w:rPr>
            </w:pPr>
            <w:r w:rsidRPr="00515D00">
              <w:rPr>
                <w:sz w:val="16"/>
                <w:szCs w:val="16"/>
              </w:rPr>
              <w:t>PROYECTO LATIPAT</w:t>
            </w:r>
            <w:r w:rsidRPr="00515D00">
              <w:rPr>
                <w:sz w:val="16"/>
                <w:szCs w:val="16"/>
              </w:rPr>
              <w:br/>
              <w:t>XI Reunión regional OMPI / OEPM / OEP de especialistas en TI y gestión de la información contenida en patentes de las oficinas de propiedad industrial de América Latina</w:t>
            </w:r>
          </w:p>
        </w:tc>
        <w:tc>
          <w:tcPr>
            <w:tcW w:w="1260" w:type="dxa"/>
            <w:gridSpan w:val="4"/>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4 a 6 de noviembre de 2016</w:t>
            </w:r>
          </w:p>
        </w:tc>
        <w:tc>
          <w:tcPr>
            <w:tcW w:w="1862" w:type="dxa"/>
            <w:gridSpan w:val="2"/>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México/ Todos los países de América Latina</w:t>
            </w:r>
          </w:p>
        </w:tc>
        <w:tc>
          <w:tcPr>
            <w:tcW w:w="4680" w:type="dxa"/>
            <w:gridSpan w:val="3"/>
          </w:tcPr>
          <w:p w:rsidR="003E311F" w:rsidRPr="00515D00" w:rsidRDefault="003E311F" w:rsidP="007A358B">
            <w:pPr>
              <w:autoSpaceDE w:val="0"/>
              <w:autoSpaceDN w:val="0"/>
              <w:adjustRightInd w:val="0"/>
              <w:spacing w:before="60" w:after="60"/>
              <w:rPr>
                <w:color w:val="000000"/>
                <w:sz w:val="16"/>
                <w:szCs w:val="16"/>
              </w:rPr>
            </w:pPr>
            <w:r w:rsidRPr="00515D00">
              <w:rPr>
                <w:sz w:val="16"/>
                <w:szCs w:val="16"/>
                <w:lang w:eastAsia="ja-JP"/>
              </w:rPr>
              <w:t>El proyecto LATIPAT se concibió para crear y ofrecer una base de datos con información de patentes de todos los países de América Latina.  En la actualidad, tanto en los países de América Latina como en distintos foros internacionales relacionados con la información contenida en las patentes, el proyecto LATIPAT constituye un ejemplo de dedicación, perseverancia y trabajo en equipo.  Gracias a una labor de 15 años, la base de datos contiene más de 2 millones de documentos y recibe una media de 14.000 visitas al mes</w:t>
            </w:r>
            <w:r w:rsidRPr="00515D00">
              <w:rPr>
                <w:color w:val="000000"/>
                <w:sz w:val="16"/>
                <w:szCs w:val="16"/>
              </w:rPr>
              <w:t>.</w:t>
            </w:r>
          </w:p>
        </w:tc>
      </w:tr>
    </w:tbl>
    <w:p w:rsidR="003E311F" w:rsidRPr="007329AC" w:rsidRDefault="003E311F" w:rsidP="003E311F">
      <w:pPr>
        <w:keepNext/>
        <w:keepLines/>
        <w:rPr>
          <w:b/>
          <w:sz w:val="20"/>
        </w:rPr>
      </w:pPr>
    </w:p>
    <w:p w:rsidR="003E311F" w:rsidRPr="007329AC" w:rsidRDefault="003E311F" w:rsidP="003E311F">
      <w:pPr>
        <w:keepNext/>
        <w:keepLines/>
        <w:rPr>
          <w:b/>
          <w:sz w:val="20"/>
        </w:rPr>
      </w:pPr>
    </w:p>
    <w:p w:rsidR="003E311F" w:rsidRPr="007329AC" w:rsidRDefault="003E311F" w:rsidP="003E311F">
      <w:pPr>
        <w:rPr>
          <w:b/>
          <w:bCs/>
          <w:color w:val="000000"/>
          <w:sz w:val="20"/>
        </w:rPr>
      </w:pPr>
      <w:r w:rsidRPr="007329AC">
        <w:rPr>
          <w:b/>
          <w:sz w:val="20"/>
        </w:rPr>
        <w:t xml:space="preserve">ESPAÑA </w:t>
      </w:r>
      <w:r w:rsidRPr="007329AC">
        <w:rPr>
          <w:b/>
          <w:bCs/>
          <w:sz w:val="20"/>
        </w:rPr>
        <w:t xml:space="preserve">– Contribuciones de donantes y gastos en </w:t>
      </w:r>
      <w:r w:rsidRPr="007329AC">
        <w:rPr>
          <w:b/>
          <w:bCs/>
          <w:color w:val="000000"/>
          <w:sz w:val="20"/>
        </w:rPr>
        <w:t>2015</w:t>
      </w:r>
    </w:p>
    <w:p w:rsidR="003E311F" w:rsidRPr="007329AC" w:rsidRDefault="003E311F" w:rsidP="003E311F">
      <w:pPr>
        <w:keepNext/>
        <w:keepLines/>
        <w:rPr>
          <w:b/>
          <w:sz w:val="20"/>
        </w:rPr>
      </w:pPr>
    </w:p>
    <w:tbl>
      <w:tblPr>
        <w:tblW w:w="9792" w:type="dxa"/>
        <w:tblInd w:w="98" w:type="dxa"/>
        <w:tblLook w:val="04A0" w:firstRow="1" w:lastRow="0" w:firstColumn="1" w:lastColumn="0" w:noHBand="0" w:noVBand="1"/>
      </w:tblPr>
      <w:tblGrid>
        <w:gridCol w:w="2040"/>
        <w:gridCol w:w="1640"/>
        <w:gridCol w:w="1860"/>
        <w:gridCol w:w="1780"/>
        <w:gridCol w:w="2472"/>
      </w:tblGrid>
      <w:tr w:rsidR="003E311F" w:rsidRPr="00515D00" w:rsidTr="007A358B">
        <w:trPr>
          <w:trHeight w:val="450"/>
        </w:trPr>
        <w:tc>
          <w:tcPr>
            <w:tcW w:w="2040" w:type="dxa"/>
            <w:tcBorders>
              <w:top w:val="single" w:sz="8" w:space="0" w:color="auto"/>
              <w:left w:val="single" w:sz="8" w:space="0" w:color="auto"/>
              <w:bottom w:val="nil"/>
              <w:right w:val="single" w:sz="8" w:space="0" w:color="auto"/>
            </w:tcBorders>
            <w:shd w:val="clear" w:color="000000" w:fill="C5D9F1"/>
            <w:vAlign w:val="center"/>
            <w:hideMark/>
          </w:tcPr>
          <w:p w:rsidR="003E311F" w:rsidRPr="00515D00" w:rsidRDefault="005C708A" w:rsidP="007A358B">
            <w:pPr>
              <w:jc w:val="center"/>
              <w:rPr>
                <w:b/>
                <w:bCs/>
                <w:color w:val="000000"/>
                <w:sz w:val="16"/>
                <w:szCs w:val="16"/>
              </w:rPr>
            </w:pPr>
            <w:r>
              <w:rPr>
                <w:b/>
                <w:bCs/>
                <w:sz w:val="16"/>
                <w:szCs w:val="16"/>
              </w:rPr>
              <w:t>Saldo el</w:t>
            </w:r>
            <w:r w:rsidR="003E311F" w:rsidRPr="00515D00">
              <w:rPr>
                <w:b/>
                <w:bCs/>
                <w:sz w:val="16"/>
                <w:szCs w:val="16"/>
              </w:rPr>
              <w:t xml:space="preserve"> 31 de diciembre de </w:t>
            </w:r>
            <w:r w:rsidR="003E311F" w:rsidRPr="00515D00">
              <w:rPr>
                <w:b/>
                <w:bCs/>
                <w:color w:val="000000"/>
                <w:sz w:val="16"/>
                <w:szCs w:val="16"/>
              </w:rPr>
              <w:t>2014</w:t>
            </w:r>
          </w:p>
        </w:tc>
        <w:tc>
          <w:tcPr>
            <w:tcW w:w="1640" w:type="dxa"/>
            <w:tcBorders>
              <w:top w:val="single" w:sz="8" w:space="0" w:color="auto"/>
              <w:left w:val="nil"/>
              <w:bottom w:val="nil"/>
              <w:right w:val="single" w:sz="8" w:space="0" w:color="auto"/>
            </w:tcBorders>
            <w:shd w:val="clear" w:color="000000" w:fill="C5D9F1"/>
            <w:vAlign w:val="center"/>
            <w:hideMark/>
          </w:tcPr>
          <w:p w:rsidR="003E311F" w:rsidRPr="00515D00" w:rsidRDefault="003E311F" w:rsidP="007A358B">
            <w:pPr>
              <w:jc w:val="center"/>
              <w:rPr>
                <w:b/>
                <w:bCs/>
                <w:color w:val="000000"/>
                <w:sz w:val="16"/>
                <w:szCs w:val="16"/>
              </w:rPr>
            </w:pPr>
            <w:r w:rsidRPr="00515D00">
              <w:rPr>
                <w:b/>
                <w:bCs/>
                <w:sz w:val="16"/>
                <w:szCs w:val="16"/>
              </w:rPr>
              <w:t xml:space="preserve">Ingresos en </w:t>
            </w:r>
            <w:r w:rsidRPr="00515D00">
              <w:rPr>
                <w:b/>
                <w:bCs/>
                <w:color w:val="000000"/>
                <w:sz w:val="16"/>
                <w:szCs w:val="16"/>
              </w:rPr>
              <w:t>2015</w:t>
            </w:r>
          </w:p>
        </w:tc>
        <w:tc>
          <w:tcPr>
            <w:tcW w:w="1860" w:type="dxa"/>
            <w:tcBorders>
              <w:top w:val="single" w:sz="8" w:space="0" w:color="auto"/>
              <w:left w:val="nil"/>
              <w:bottom w:val="nil"/>
              <w:right w:val="single" w:sz="8" w:space="0" w:color="auto"/>
            </w:tcBorders>
            <w:shd w:val="clear" w:color="000000" w:fill="C5D9F1"/>
            <w:vAlign w:val="center"/>
            <w:hideMark/>
          </w:tcPr>
          <w:p w:rsidR="003E311F" w:rsidRPr="00515D00" w:rsidRDefault="003E311F" w:rsidP="007A358B">
            <w:pPr>
              <w:jc w:val="center"/>
              <w:rPr>
                <w:b/>
                <w:bCs/>
                <w:color w:val="000000"/>
                <w:sz w:val="16"/>
                <w:szCs w:val="16"/>
              </w:rPr>
            </w:pPr>
            <w:r w:rsidRPr="00515D00">
              <w:rPr>
                <w:b/>
                <w:bCs/>
                <w:sz w:val="16"/>
                <w:szCs w:val="16"/>
              </w:rPr>
              <w:t xml:space="preserve">Gastos en </w:t>
            </w:r>
            <w:r w:rsidRPr="00515D00">
              <w:rPr>
                <w:b/>
                <w:bCs/>
                <w:color w:val="000000"/>
                <w:sz w:val="16"/>
                <w:szCs w:val="16"/>
              </w:rPr>
              <w:t>2015</w:t>
            </w:r>
          </w:p>
        </w:tc>
        <w:tc>
          <w:tcPr>
            <w:tcW w:w="1780" w:type="dxa"/>
            <w:tcBorders>
              <w:top w:val="single" w:sz="8" w:space="0" w:color="auto"/>
              <w:left w:val="nil"/>
              <w:bottom w:val="nil"/>
              <w:right w:val="single" w:sz="8" w:space="0" w:color="auto"/>
            </w:tcBorders>
            <w:shd w:val="clear" w:color="000000" w:fill="C5D9F1"/>
            <w:vAlign w:val="center"/>
            <w:hideMark/>
          </w:tcPr>
          <w:p w:rsidR="003E311F" w:rsidRPr="00515D00" w:rsidRDefault="003E311F" w:rsidP="007A358B">
            <w:pPr>
              <w:jc w:val="center"/>
              <w:rPr>
                <w:b/>
                <w:bCs/>
                <w:color w:val="000000"/>
                <w:sz w:val="16"/>
                <w:szCs w:val="16"/>
              </w:rPr>
            </w:pPr>
            <w:r w:rsidRPr="00515D00">
              <w:rPr>
                <w:b/>
                <w:bCs/>
                <w:sz w:val="16"/>
                <w:szCs w:val="16"/>
              </w:rPr>
              <w:t>Reembolsos</w:t>
            </w:r>
          </w:p>
        </w:tc>
        <w:tc>
          <w:tcPr>
            <w:tcW w:w="2472" w:type="dxa"/>
            <w:tcBorders>
              <w:top w:val="single" w:sz="8" w:space="0" w:color="auto"/>
              <w:left w:val="nil"/>
              <w:bottom w:val="nil"/>
              <w:right w:val="single" w:sz="8" w:space="0" w:color="auto"/>
            </w:tcBorders>
            <w:shd w:val="clear" w:color="000000" w:fill="C5D9F1"/>
            <w:vAlign w:val="center"/>
            <w:hideMark/>
          </w:tcPr>
          <w:p w:rsidR="003E311F" w:rsidRPr="00515D00" w:rsidRDefault="005C708A" w:rsidP="007A358B">
            <w:pPr>
              <w:jc w:val="center"/>
              <w:rPr>
                <w:b/>
                <w:bCs/>
                <w:color w:val="000000"/>
                <w:sz w:val="16"/>
                <w:szCs w:val="16"/>
              </w:rPr>
            </w:pPr>
            <w:r>
              <w:rPr>
                <w:b/>
                <w:bCs/>
                <w:sz w:val="16"/>
                <w:szCs w:val="16"/>
              </w:rPr>
              <w:t>Saldo el</w:t>
            </w:r>
            <w:r w:rsidR="003E311F" w:rsidRPr="00515D00">
              <w:rPr>
                <w:b/>
                <w:bCs/>
                <w:sz w:val="16"/>
                <w:szCs w:val="16"/>
              </w:rPr>
              <w:t xml:space="preserve"> 31 de diciembre de </w:t>
            </w:r>
            <w:r w:rsidR="003E311F" w:rsidRPr="00515D00">
              <w:rPr>
                <w:b/>
                <w:bCs/>
                <w:color w:val="000000"/>
                <w:sz w:val="16"/>
                <w:szCs w:val="16"/>
              </w:rPr>
              <w:t>2015</w:t>
            </w:r>
          </w:p>
        </w:tc>
      </w:tr>
      <w:tr w:rsidR="003E311F" w:rsidRPr="00515D00" w:rsidTr="007A358B">
        <w:trPr>
          <w:trHeight w:val="463"/>
        </w:trPr>
        <w:tc>
          <w:tcPr>
            <w:tcW w:w="2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311F" w:rsidRPr="00515D00" w:rsidRDefault="003E311F" w:rsidP="007A358B">
            <w:pPr>
              <w:jc w:val="center"/>
              <w:rPr>
                <w:color w:val="000000"/>
                <w:sz w:val="16"/>
                <w:szCs w:val="16"/>
              </w:rPr>
            </w:pPr>
            <w:r w:rsidRPr="00515D00">
              <w:rPr>
                <w:color w:val="000000"/>
                <w:sz w:val="16"/>
                <w:szCs w:val="16"/>
              </w:rPr>
              <w:t>120.153</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3E311F" w:rsidRPr="00515D00" w:rsidRDefault="003E311F" w:rsidP="007A358B">
            <w:pPr>
              <w:jc w:val="center"/>
              <w:rPr>
                <w:color w:val="000000"/>
                <w:sz w:val="16"/>
                <w:szCs w:val="16"/>
              </w:rPr>
            </w:pPr>
            <w:r w:rsidRPr="00515D00">
              <w:rPr>
                <w:color w:val="000000"/>
                <w:sz w:val="16"/>
                <w:szCs w:val="16"/>
              </w:rPr>
              <w:t>169.146</w:t>
            </w:r>
          </w:p>
        </w:tc>
        <w:tc>
          <w:tcPr>
            <w:tcW w:w="1860" w:type="dxa"/>
            <w:tcBorders>
              <w:top w:val="single" w:sz="4" w:space="0" w:color="auto"/>
              <w:left w:val="nil"/>
              <w:bottom w:val="single" w:sz="4" w:space="0" w:color="auto"/>
              <w:right w:val="single" w:sz="4" w:space="0" w:color="auto"/>
            </w:tcBorders>
            <w:shd w:val="clear" w:color="auto" w:fill="auto"/>
            <w:vAlign w:val="center"/>
            <w:hideMark/>
          </w:tcPr>
          <w:p w:rsidR="003E311F" w:rsidRPr="00515D00" w:rsidRDefault="003E311F" w:rsidP="007A358B">
            <w:pPr>
              <w:jc w:val="center"/>
              <w:rPr>
                <w:color w:val="000000"/>
                <w:sz w:val="16"/>
                <w:szCs w:val="16"/>
              </w:rPr>
            </w:pPr>
            <w:r w:rsidRPr="00515D00">
              <w:rPr>
                <w:color w:val="000000"/>
                <w:sz w:val="16"/>
                <w:szCs w:val="16"/>
              </w:rPr>
              <w:t>182.078</w:t>
            </w:r>
          </w:p>
        </w:tc>
        <w:tc>
          <w:tcPr>
            <w:tcW w:w="1780" w:type="dxa"/>
            <w:tcBorders>
              <w:top w:val="single" w:sz="4" w:space="0" w:color="auto"/>
              <w:left w:val="nil"/>
              <w:bottom w:val="single" w:sz="4" w:space="0" w:color="auto"/>
              <w:right w:val="single" w:sz="4" w:space="0" w:color="auto"/>
            </w:tcBorders>
            <w:shd w:val="clear" w:color="auto" w:fill="auto"/>
            <w:noWrap/>
            <w:vAlign w:val="center"/>
            <w:hideMark/>
          </w:tcPr>
          <w:p w:rsidR="003E311F" w:rsidRPr="00515D00" w:rsidRDefault="003E311F" w:rsidP="007A358B">
            <w:pPr>
              <w:jc w:val="center"/>
              <w:rPr>
                <w:color w:val="000000"/>
                <w:sz w:val="16"/>
                <w:szCs w:val="16"/>
              </w:rPr>
            </w:pPr>
            <w:r w:rsidRPr="00515D00">
              <w:rPr>
                <w:color w:val="000000"/>
                <w:sz w:val="16"/>
                <w:szCs w:val="16"/>
              </w:rPr>
              <w:t>-</w:t>
            </w:r>
          </w:p>
        </w:tc>
        <w:tc>
          <w:tcPr>
            <w:tcW w:w="2472" w:type="dxa"/>
            <w:tcBorders>
              <w:top w:val="single" w:sz="4" w:space="0" w:color="auto"/>
              <w:left w:val="nil"/>
              <w:bottom w:val="single" w:sz="4" w:space="0" w:color="auto"/>
              <w:right w:val="single" w:sz="4" w:space="0" w:color="auto"/>
            </w:tcBorders>
            <w:shd w:val="clear" w:color="auto" w:fill="auto"/>
            <w:vAlign w:val="center"/>
            <w:hideMark/>
          </w:tcPr>
          <w:p w:rsidR="003E311F" w:rsidRPr="00515D00" w:rsidRDefault="003E311F" w:rsidP="007A358B">
            <w:pPr>
              <w:jc w:val="center"/>
              <w:rPr>
                <w:color w:val="000000"/>
                <w:sz w:val="16"/>
                <w:szCs w:val="16"/>
              </w:rPr>
            </w:pPr>
            <w:r w:rsidRPr="00515D00">
              <w:rPr>
                <w:color w:val="000000"/>
                <w:sz w:val="16"/>
                <w:szCs w:val="16"/>
              </w:rPr>
              <w:t>107.221</w:t>
            </w:r>
          </w:p>
        </w:tc>
      </w:tr>
    </w:tbl>
    <w:p w:rsidR="003E311F" w:rsidRPr="007329AC" w:rsidRDefault="003E311F" w:rsidP="003E311F">
      <w:pPr>
        <w:rPr>
          <w:sz w:val="20"/>
        </w:rPr>
      </w:pPr>
    </w:p>
    <w:p w:rsidR="003E311F" w:rsidRPr="007329AC" w:rsidRDefault="003E311F" w:rsidP="003E311F">
      <w:pPr>
        <w:rPr>
          <w:sz w:val="20"/>
        </w:rPr>
      </w:pPr>
    </w:p>
    <w:p w:rsidR="003E311F" w:rsidRPr="007329AC" w:rsidRDefault="003E311F" w:rsidP="00E26DA7">
      <w:pPr>
        <w:rPr>
          <w:b/>
          <w:sz w:val="20"/>
        </w:rPr>
      </w:pPr>
      <w:r w:rsidRPr="007329AC">
        <w:rPr>
          <w:b/>
          <w:sz w:val="20"/>
        </w:rPr>
        <w:t>URUGUAY</w:t>
      </w:r>
    </w:p>
    <w:p w:rsidR="003E311F" w:rsidRPr="007329AC" w:rsidRDefault="003E311F" w:rsidP="00E26DA7">
      <w:pPr>
        <w:keepLines/>
        <w:rPr>
          <w:b/>
          <w:sz w:val="20"/>
        </w:rPr>
      </w:pPr>
    </w:p>
    <w:tbl>
      <w:tblPr>
        <w:tblW w:w="978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81"/>
        <w:gridCol w:w="1260"/>
        <w:gridCol w:w="1862"/>
        <w:gridCol w:w="4679"/>
      </w:tblGrid>
      <w:tr w:rsidR="003E311F" w:rsidRPr="00092F2E" w:rsidTr="007A358B">
        <w:trPr>
          <w:cantSplit/>
        </w:trPr>
        <w:tc>
          <w:tcPr>
            <w:tcW w:w="9782" w:type="dxa"/>
            <w:gridSpan w:val="4"/>
            <w:tcBorders>
              <w:top w:val="single" w:sz="4" w:space="0" w:color="auto"/>
              <w:bottom w:val="single" w:sz="4" w:space="0" w:color="auto"/>
            </w:tcBorders>
            <w:shd w:val="clear" w:color="auto" w:fill="C6D9F1"/>
            <w:vAlign w:val="center"/>
          </w:tcPr>
          <w:p w:rsidR="003E311F" w:rsidRPr="00515D00" w:rsidRDefault="003E311F" w:rsidP="00E26DA7">
            <w:pPr>
              <w:tabs>
                <w:tab w:val="left" w:pos="1740"/>
              </w:tabs>
              <w:spacing w:before="120" w:after="120"/>
              <w:ind w:left="1740" w:hanging="1740"/>
              <w:rPr>
                <w:b/>
                <w:bCs/>
                <w:sz w:val="16"/>
                <w:szCs w:val="16"/>
              </w:rPr>
            </w:pPr>
            <w:r w:rsidRPr="00515D00">
              <w:rPr>
                <w:b/>
                <w:bCs/>
                <w:color w:val="000000"/>
                <w:sz w:val="16"/>
                <w:szCs w:val="16"/>
              </w:rPr>
              <w:t>RESULTADO:</w:t>
            </w:r>
            <w:r w:rsidRPr="00515D00">
              <w:rPr>
                <w:b/>
                <w:bCs/>
                <w:sz w:val="16"/>
                <w:szCs w:val="16"/>
              </w:rPr>
              <w:tab/>
            </w:r>
            <w:r w:rsidRPr="00515D00">
              <w:rPr>
                <w:bCs/>
                <w:color w:val="000000"/>
                <w:sz w:val="16"/>
                <w:szCs w:val="16"/>
              </w:rPr>
              <w:t>III.2  Aumento de las capacidades en recursos humanos para hacer frente a la gran diversidad de exigencias que supone la utilización eficaz de la P.I. para fomentar el desarrollo en los países en desarrollo, PMA y países con economías en transición</w:t>
            </w:r>
          </w:p>
        </w:tc>
      </w:tr>
      <w:tr w:rsidR="003E311F" w:rsidRPr="00515D00" w:rsidTr="007A358B">
        <w:trPr>
          <w:cantSplit/>
          <w:trHeight w:val="440"/>
        </w:trPr>
        <w:tc>
          <w:tcPr>
            <w:tcW w:w="1981" w:type="dxa"/>
            <w:tcBorders>
              <w:top w:val="single" w:sz="4" w:space="0" w:color="auto"/>
            </w:tcBorders>
            <w:vAlign w:val="center"/>
          </w:tcPr>
          <w:p w:rsidR="003E311F" w:rsidRPr="00515D00" w:rsidRDefault="003E311F" w:rsidP="00E26DA7">
            <w:pPr>
              <w:spacing w:before="60" w:after="60"/>
              <w:rPr>
                <w:b/>
                <w:bCs/>
                <w:sz w:val="16"/>
                <w:szCs w:val="16"/>
              </w:rPr>
            </w:pPr>
            <w:r w:rsidRPr="00515D00">
              <w:rPr>
                <w:b/>
                <w:bCs/>
                <w:sz w:val="16"/>
                <w:szCs w:val="16"/>
              </w:rPr>
              <w:t>Actividad</w:t>
            </w:r>
          </w:p>
        </w:tc>
        <w:tc>
          <w:tcPr>
            <w:tcW w:w="1260" w:type="dxa"/>
            <w:tcBorders>
              <w:top w:val="single" w:sz="4" w:space="0" w:color="auto"/>
            </w:tcBorders>
            <w:shd w:val="clear" w:color="auto" w:fill="auto"/>
            <w:tcMar>
              <w:top w:w="110" w:type="dxa"/>
            </w:tcMar>
            <w:vAlign w:val="center"/>
          </w:tcPr>
          <w:p w:rsidR="003E311F" w:rsidRPr="00515D00" w:rsidRDefault="003E311F" w:rsidP="00E26DA7">
            <w:pPr>
              <w:spacing w:before="60" w:after="60"/>
              <w:rPr>
                <w:sz w:val="16"/>
                <w:szCs w:val="16"/>
              </w:rPr>
            </w:pPr>
            <w:r w:rsidRPr="00515D00">
              <w:rPr>
                <w:b/>
                <w:bCs/>
                <w:sz w:val="16"/>
                <w:szCs w:val="16"/>
              </w:rPr>
              <w:t>Fecha</w:t>
            </w:r>
          </w:p>
        </w:tc>
        <w:tc>
          <w:tcPr>
            <w:tcW w:w="1862" w:type="dxa"/>
            <w:tcBorders>
              <w:top w:val="single" w:sz="4" w:space="0" w:color="auto"/>
            </w:tcBorders>
            <w:shd w:val="clear" w:color="auto" w:fill="auto"/>
            <w:tcMar>
              <w:top w:w="110" w:type="dxa"/>
            </w:tcMar>
            <w:vAlign w:val="center"/>
          </w:tcPr>
          <w:p w:rsidR="003E311F" w:rsidRPr="00515D00" w:rsidRDefault="003E311F" w:rsidP="00E26DA7">
            <w:pPr>
              <w:rPr>
                <w:sz w:val="16"/>
                <w:szCs w:val="16"/>
              </w:rPr>
            </w:pPr>
            <w:r w:rsidRPr="00515D00">
              <w:rPr>
                <w:b/>
                <w:sz w:val="16"/>
                <w:szCs w:val="16"/>
              </w:rPr>
              <w:t>País anfitrión / Beneficiarios</w:t>
            </w:r>
          </w:p>
        </w:tc>
        <w:tc>
          <w:tcPr>
            <w:tcW w:w="4679" w:type="dxa"/>
            <w:tcBorders>
              <w:top w:val="single" w:sz="4" w:space="0" w:color="auto"/>
            </w:tcBorders>
            <w:shd w:val="clear" w:color="auto" w:fill="FFFFFF"/>
            <w:tcMar>
              <w:top w:w="110" w:type="dxa"/>
            </w:tcMar>
            <w:vAlign w:val="center"/>
          </w:tcPr>
          <w:p w:rsidR="003E311F" w:rsidRPr="00515D00" w:rsidRDefault="003E311F" w:rsidP="00E26DA7">
            <w:pPr>
              <w:rPr>
                <w:sz w:val="16"/>
                <w:szCs w:val="16"/>
              </w:rPr>
            </w:pPr>
            <w:r w:rsidRPr="00515D00">
              <w:rPr>
                <w:b/>
                <w:sz w:val="16"/>
                <w:szCs w:val="16"/>
              </w:rPr>
              <w:t>Propósito(s)/Descripción</w:t>
            </w:r>
          </w:p>
        </w:tc>
      </w:tr>
      <w:tr w:rsidR="003E311F" w:rsidRPr="00092F2E" w:rsidTr="007A358B">
        <w:trPr>
          <w:cantSplit/>
        </w:trPr>
        <w:tc>
          <w:tcPr>
            <w:tcW w:w="1981" w:type="dxa"/>
          </w:tcPr>
          <w:p w:rsidR="003E311F" w:rsidRPr="00515D00" w:rsidRDefault="003E311F" w:rsidP="00E26DA7">
            <w:pPr>
              <w:autoSpaceDE w:val="0"/>
              <w:autoSpaceDN w:val="0"/>
              <w:adjustRightInd w:val="0"/>
              <w:spacing w:before="60" w:after="60"/>
              <w:rPr>
                <w:color w:val="000000"/>
                <w:sz w:val="16"/>
                <w:szCs w:val="16"/>
              </w:rPr>
            </w:pPr>
            <w:r w:rsidRPr="00515D00">
              <w:rPr>
                <w:sz w:val="16"/>
                <w:szCs w:val="16"/>
              </w:rPr>
              <w:t xml:space="preserve">Suministro de financiación a un profesional de la P.I. para un Programa de Maestría en Dirección Estratégica en Tecnologías de la Información, en el marco de la Fundación Universitaria </w:t>
            </w:r>
            <w:r w:rsidR="00E26DA7">
              <w:rPr>
                <w:sz w:val="16"/>
                <w:szCs w:val="16"/>
              </w:rPr>
              <w:t>Ibero</w:t>
            </w:r>
            <w:r w:rsidRPr="00515D00">
              <w:rPr>
                <w:sz w:val="16"/>
                <w:szCs w:val="16"/>
              </w:rPr>
              <w:t>americana (FUNIBER)</w:t>
            </w:r>
          </w:p>
        </w:tc>
        <w:tc>
          <w:tcPr>
            <w:tcW w:w="1260" w:type="dxa"/>
            <w:shd w:val="clear" w:color="auto" w:fill="auto"/>
            <w:tcMar>
              <w:top w:w="110" w:type="dxa"/>
            </w:tcMar>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Enero a diciembre de 2015</w:t>
            </w:r>
          </w:p>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w:t>
            </w:r>
            <w:r>
              <w:rPr>
                <w:color w:val="000000"/>
                <w:sz w:val="16"/>
                <w:szCs w:val="16"/>
              </w:rPr>
              <w:t>E</w:t>
            </w:r>
            <w:r w:rsidRPr="00515D00">
              <w:rPr>
                <w:color w:val="000000"/>
                <w:sz w:val="16"/>
                <w:szCs w:val="16"/>
              </w:rPr>
              <w:t>n curso)</w:t>
            </w:r>
            <w:r w:rsidRPr="00515D00">
              <w:rPr>
                <w:rStyle w:val="FootnoteReference"/>
                <w:color w:val="000000"/>
                <w:sz w:val="16"/>
                <w:szCs w:val="16"/>
              </w:rPr>
              <w:footnoteReference w:id="169"/>
            </w:r>
          </w:p>
        </w:tc>
        <w:tc>
          <w:tcPr>
            <w:tcW w:w="1862" w:type="dxa"/>
            <w:shd w:val="clear" w:color="auto" w:fill="auto"/>
            <w:tcMar>
              <w:top w:w="110" w:type="dxa"/>
            </w:tcMar>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Uruguay</w:t>
            </w:r>
            <w:r w:rsidRPr="00515D00" w:rsidDel="00D70E5A">
              <w:rPr>
                <w:color w:val="000000"/>
                <w:sz w:val="16"/>
                <w:szCs w:val="16"/>
              </w:rPr>
              <w:t xml:space="preserve"> </w:t>
            </w:r>
          </w:p>
        </w:tc>
        <w:tc>
          <w:tcPr>
            <w:tcW w:w="4679" w:type="dxa"/>
            <w:shd w:val="clear" w:color="auto" w:fill="FFFFFF"/>
            <w:tcMar>
              <w:top w:w="110" w:type="dxa"/>
            </w:tcMar>
          </w:tcPr>
          <w:p w:rsidR="003E311F" w:rsidRPr="00515D00" w:rsidRDefault="003E311F" w:rsidP="007A358B">
            <w:pPr>
              <w:autoSpaceDE w:val="0"/>
              <w:autoSpaceDN w:val="0"/>
              <w:adjustRightInd w:val="0"/>
              <w:spacing w:before="60" w:after="60"/>
              <w:rPr>
                <w:color w:val="000000"/>
                <w:sz w:val="16"/>
                <w:szCs w:val="16"/>
              </w:rPr>
            </w:pPr>
            <w:r w:rsidRPr="00515D00">
              <w:rPr>
                <w:sz w:val="16"/>
                <w:szCs w:val="16"/>
              </w:rPr>
              <w:t xml:space="preserve">Mejorar la capacidad de un profesional de la P.I., haciendo hincapié en el papel de las tecnologías de la información y la gestión estratégica de los procesos de trabajo.  </w:t>
            </w:r>
          </w:p>
        </w:tc>
      </w:tr>
      <w:tr w:rsidR="003E311F" w:rsidRPr="00092F2E" w:rsidTr="007A358B">
        <w:trPr>
          <w:cantSplit/>
        </w:trPr>
        <w:tc>
          <w:tcPr>
            <w:tcW w:w="9782" w:type="dxa"/>
            <w:gridSpan w:val="4"/>
            <w:tcBorders>
              <w:top w:val="single" w:sz="4" w:space="0" w:color="auto"/>
              <w:bottom w:val="single" w:sz="4" w:space="0" w:color="auto"/>
            </w:tcBorders>
            <w:shd w:val="clear" w:color="auto" w:fill="C6D9F1"/>
            <w:vAlign w:val="center"/>
          </w:tcPr>
          <w:p w:rsidR="003E311F" w:rsidRPr="00515D00" w:rsidRDefault="003E311F" w:rsidP="00E26DA7">
            <w:pPr>
              <w:keepNext/>
              <w:keepLines/>
              <w:tabs>
                <w:tab w:val="left" w:pos="1740"/>
              </w:tabs>
              <w:spacing w:before="120" w:after="120"/>
              <w:ind w:left="1740" w:hanging="1740"/>
              <w:rPr>
                <w:b/>
                <w:bCs/>
                <w:sz w:val="16"/>
                <w:szCs w:val="16"/>
              </w:rPr>
            </w:pPr>
            <w:r w:rsidRPr="00515D00">
              <w:rPr>
                <w:b/>
                <w:bCs/>
                <w:color w:val="000000"/>
                <w:sz w:val="16"/>
                <w:szCs w:val="16"/>
              </w:rPr>
              <w:lastRenderedPageBreak/>
              <w:t>RESULTADO:</w:t>
            </w:r>
            <w:r w:rsidRPr="00515D00">
              <w:rPr>
                <w:b/>
                <w:bCs/>
                <w:sz w:val="16"/>
                <w:szCs w:val="16"/>
              </w:rPr>
              <w:tab/>
            </w:r>
            <w:r w:rsidRPr="00515D00">
              <w:rPr>
                <w:bCs/>
                <w:color w:val="000000"/>
                <w:sz w:val="16"/>
                <w:szCs w:val="16"/>
              </w:rPr>
              <w:t>III.4  Fortalecimiento de los mecanismos y de los programas de cooperación conforme a las necesidades de los países en desarrollo y los PMA</w:t>
            </w:r>
          </w:p>
        </w:tc>
      </w:tr>
      <w:tr w:rsidR="003E311F" w:rsidRPr="00515D00" w:rsidTr="007A358B">
        <w:trPr>
          <w:cantSplit/>
          <w:trHeight w:val="330"/>
        </w:trPr>
        <w:tc>
          <w:tcPr>
            <w:tcW w:w="1981" w:type="dxa"/>
            <w:tcBorders>
              <w:top w:val="single" w:sz="4" w:space="0" w:color="auto"/>
            </w:tcBorders>
            <w:vAlign w:val="center"/>
          </w:tcPr>
          <w:p w:rsidR="003E311F" w:rsidRPr="00515D00" w:rsidRDefault="003E311F" w:rsidP="00E26DA7">
            <w:pPr>
              <w:keepNext/>
              <w:keepLines/>
              <w:spacing w:before="60" w:after="60"/>
              <w:rPr>
                <w:b/>
                <w:bCs/>
                <w:sz w:val="16"/>
                <w:szCs w:val="16"/>
              </w:rPr>
            </w:pPr>
            <w:r w:rsidRPr="00515D00">
              <w:rPr>
                <w:b/>
                <w:bCs/>
                <w:sz w:val="16"/>
                <w:szCs w:val="16"/>
              </w:rPr>
              <w:t>Actividad</w:t>
            </w:r>
          </w:p>
        </w:tc>
        <w:tc>
          <w:tcPr>
            <w:tcW w:w="1260" w:type="dxa"/>
            <w:tcBorders>
              <w:top w:val="single" w:sz="4" w:space="0" w:color="auto"/>
            </w:tcBorders>
            <w:shd w:val="clear" w:color="auto" w:fill="auto"/>
            <w:tcMar>
              <w:top w:w="110" w:type="dxa"/>
            </w:tcMar>
            <w:vAlign w:val="center"/>
          </w:tcPr>
          <w:p w:rsidR="003E311F" w:rsidRPr="00515D00" w:rsidRDefault="003E311F" w:rsidP="00E26DA7">
            <w:pPr>
              <w:keepNext/>
              <w:keepLines/>
              <w:spacing w:before="60" w:after="60"/>
              <w:rPr>
                <w:sz w:val="16"/>
                <w:szCs w:val="16"/>
              </w:rPr>
            </w:pPr>
            <w:r w:rsidRPr="00515D00">
              <w:rPr>
                <w:b/>
                <w:bCs/>
                <w:sz w:val="16"/>
                <w:szCs w:val="16"/>
              </w:rPr>
              <w:t>Fecha</w:t>
            </w:r>
          </w:p>
        </w:tc>
        <w:tc>
          <w:tcPr>
            <w:tcW w:w="1862" w:type="dxa"/>
            <w:tcBorders>
              <w:top w:val="single" w:sz="4" w:space="0" w:color="auto"/>
            </w:tcBorders>
            <w:shd w:val="clear" w:color="auto" w:fill="auto"/>
            <w:tcMar>
              <w:top w:w="110" w:type="dxa"/>
            </w:tcMar>
            <w:vAlign w:val="center"/>
          </w:tcPr>
          <w:p w:rsidR="003E311F" w:rsidRPr="00515D00" w:rsidRDefault="003E311F" w:rsidP="00E26DA7">
            <w:pPr>
              <w:keepNext/>
              <w:keepLines/>
              <w:rPr>
                <w:sz w:val="16"/>
                <w:szCs w:val="16"/>
              </w:rPr>
            </w:pPr>
            <w:r w:rsidRPr="00515D00">
              <w:rPr>
                <w:b/>
                <w:sz w:val="16"/>
                <w:szCs w:val="16"/>
              </w:rPr>
              <w:t>País anfitrión / Beneficiarios</w:t>
            </w:r>
          </w:p>
        </w:tc>
        <w:tc>
          <w:tcPr>
            <w:tcW w:w="4679" w:type="dxa"/>
            <w:tcBorders>
              <w:top w:val="single" w:sz="4" w:space="0" w:color="auto"/>
            </w:tcBorders>
            <w:shd w:val="clear" w:color="auto" w:fill="FFFFFF"/>
            <w:tcMar>
              <w:top w:w="110" w:type="dxa"/>
            </w:tcMar>
            <w:vAlign w:val="center"/>
          </w:tcPr>
          <w:p w:rsidR="003E311F" w:rsidRPr="00515D00" w:rsidRDefault="003E311F" w:rsidP="00E26DA7">
            <w:pPr>
              <w:keepNext/>
              <w:keepLines/>
              <w:rPr>
                <w:sz w:val="16"/>
                <w:szCs w:val="16"/>
              </w:rPr>
            </w:pPr>
            <w:r w:rsidRPr="00515D00">
              <w:rPr>
                <w:b/>
                <w:sz w:val="16"/>
                <w:szCs w:val="16"/>
              </w:rPr>
              <w:t>Propósito(s)/Descripción</w:t>
            </w:r>
          </w:p>
        </w:tc>
      </w:tr>
      <w:tr w:rsidR="003E311F" w:rsidRPr="00092F2E" w:rsidTr="007A358B">
        <w:trPr>
          <w:cantSplit/>
        </w:trPr>
        <w:tc>
          <w:tcPr>
            <w:tcW w:w="1981" w:type="dxa"/>
          </w:tcPr>
          <w:p w:rsidR="003E311F" w:rsidRPr="00515D00" w:rsidRDefault="003E311F" w:rsidP="00E26DA7">
            <w:pPr>
              <w:keepNext/>
              <w:keepLines/>
              <w:autoSpaceDE w:val="0"/>
              <w:autoSpaceDN w:val="0"/>
              <w:adjustRightInd w:val="0"/>
              <w:spacing w:before="60" w:after="60"/>
              <w:rPr>
                <w:color w:val="000000"/>
                <w:sz w:val="16"/>
                <w:szCs w:val="16"/>
              </w:rPr>
            </w:pPr>
            <w:r w:rsidRPr="00515D00">
              <w:rPr>
                <w:sz w:val="16"/>
                <w:szCs w:val="16"/>
              </w:rPr>
              <w:t>Participación de funcionarios gubernamentales en las Asambleas de la OMPI</w:t>
            </w:r>
          </w:p>
        </w:tc>
        <w:tc>
          <w:tcPr>
            <w:tcW w:w="1260" w:type="dxa"/>
          </w:tcPr>
          <w:p w:rsidR="003E311F" w:rsidRPr="00515D00" w:rsidRDefault="003E311F" w:rsidP="00E26DA7">
            <w:pPr>
              <w:keepNext/>
              <w:keepLines/>
              <w:autoSpaceDE w:val="0"/>
              <w:autoSpaceDN w:val="0"/>
              <w:adjustRightInd w:val="0"/>
              <w:spacing w:before="60" w:after="60"/>
              <w:rPr>
                <w:color w:val="000000"/>
                <w:sz w:val="16"/>
                <w:szCs w:val="16"/>
              </w:rPr>
            </w:pPr>
            <w:r w:rsidRPr="00515D00">
              <w:rPr>
                <w:color w:val="000000"/>
                <w:sz w:val="16"/>
                <w:szCs w:val="16"/>
              </w:rPr>
              <w:t>Enero a diciembre de 2015</w:t>
            </w:r>
          </w:p>
        </w:tc>
        <w:tc>
          <w:tcPr>
            <w:tcW w:w="1862" w:type="dxa"/>
          </w:tcPr>
          <w:p w:rsidR="003E311F" w:rsidRPr="00515D00" w:rsidRDefault="003E311F" w:rsidP="00E26DA7">
            <w:pPr>
              <w:keepNext/>
              <w:keepLines/>
              <w:autoSpaceDE w:val="0"/>
              <w:autoSpaceDN w:val="0"/>
              <w:adjustRightInd w:val="0"/>
              <w:spacing w:before="60" w:after="60"/>
              <w:rPr>
                <w:color w:val="000000"/>
                <w:sz w:val="16"/>
                <w:szCs w:val="16"/>
              </w:rPr>
            </w:pPr>
            <w:r w:rsidRPr="00515D00">
              <w:rPr>
                <w:color w:val="000000"/>
                <w:sz w:val="16"/>
                <w:szCs w:val="16"/>
              </w:rPr>
              <w:t>Suiza/ Uruguay</w:t>
            </w:r>
          </w:p>
        </w:tc>
        <w:tc>
          <w:tcPr>
            <w:tcW w:w="4679" w:type="dxa"/>
          </w:tcPr>
          <w:p w:rsidR="003E311F" w:rsidRPr="00515D00" w:rsidRDefault="003E311F" w:rsidP="00E26DA7">
            <w:pPr>
              <w:keepNext/>
              <w:keepLines/>
              <w:autoSpaceDE w:val="0"/>
              <w:autoSpaceDN w:val="0"/>
              <w:adjustRightInd w:val="0"/>
              <w:spacing w:before="60" w:after="60"/>
              <w:rPr>
                <w:color w:val="000000"/>
                <w:sz w:val="16"/>
                <w:szCs w:val="16"/>
              </w:rPr>
            </w:pPr>
            <w:r w:rsidRPr="00515D00">
              <w:rPr>
                <w:sz w:val="16"/>
                <w:szCs w:val="16"/>
              </w:rPr>
              <w:t>Representar al Gobierno en distintos foros en los que se analizan diferentes cuestiones y programas sobre P.I.</w:t>
            </w:r>
          </w:p>
        </w:tc>
      </w:tr>
      <w:tr w:rsidR="003E311F" w:rsidRPr="009E37FC" w:rsidTr="007A358B">
        <w:trPr>
          <w:cantSplit/>
        </w:trPr>
        <w:tc>
          <w:tcPr>
            <w:tcW w:w="9782" w:type="dxa"/>
            <w:gridSpan w:val="4"/>
            <w:tcBorders>
              <w:top w:val="single" w:sz="4" w:space="0" w:color="auto"/>
              <w:bottom w:val="single" w:sz="4" w:space="0" w:color="auto"/>
            </w:tcBorders>
            <w:shd w:val="clear" w:color="auto" w:fill="C6D9F1"/>
            <w:vAlign w:val="center"/>
          </w:tcPr>
          <w:p w:rsidR="003E311F" w:rsidRPr="00515D00" w:rsidRDefault="003E311F" w:rsidP="007A358B">
            <w:pPr>
              <w:tabs>
                <w:tab w:val="left" w:pos="1740"/>
              </w:tabs>
              <w:spacing w:before="120" w:after="120"/>
              <w:ind w:left="1740" w:hanging="1740"/>
              <w:rPr>
                <w:b/>
                <w:bCs/>
                <w:sz w:val="16"/>
                <w:szCs w:val="16"/>
              </w:rPr>
            </w:pPr>
            <w:r w:rsidRPr="00515D00">
              <w:rPr>
                <w:b/>
                <w:bCs/>
                <w:color w:val="000000"/>
                <w:sz w:val="16"/>
                <w:szCs w:val="16"/>
              </w:rPr>
              <w:t>RESULTADO:</w:t>
            </w:r>
            <w:r w:rsidRPr="00515D00">
              <w:rPr>
                <w:b/>
                <w:bCs/>
                <w:sz w:val="16"/>
                <w:szCs w:val="16"/>
              </w:rPr>
              <w:tab/>
            </w:r>
            <w:r w:rsidRPr="00515D00">
              <w:rPr>
                <w:bCs/>
                <w:color w:val="000000"/>
                <w:sz w:val="16"/>
                <w:szCs w:val="16"/>
              </w:rPr>
              <w:t>IV.4  Mejora en la infraestructura técnica y de conocimientos de las Oficinas y demás instituciones de P.I. que les permita prestar mejores servicios (más económicos, más rápidos y de mejor calidad) a sus partes interesadas</w:t>
            </w:r>
          </w:p>
        </w:tc>
      </w:tr>
      <w:tr w:rsidR="003E311F" w:rsidRPr="00515D00" w:rsidTr="007A358B">
        <w:trPr>
          <w:cantSplit/>
          <w:trHeight w:val="440"/>
        </w:trPr>
        <w:tc>
          <w:tcPr>
            <w:tcW w:w="1981" w:type="dxa"/>
            <w:tcBorders>
              <w:top w:val="single" w:sz="4" w:space="0" w:color="auto"/>
            </w:tcBorders>
            <w:vAlign w:val="center"/>
          </w:tcPr>
          <w:p w:rsidR="003E311F" w:rsidRPr="00515D00" w:rsidRDefault="003E311F" w:rsidP="007A358B">
            <w:pPr>
              <w:spacing w:before="60" w:after="60"/>
              <w:rPr>
                <w:b/>
                <w:bCs/>
                <w:sz w:val="16"/>
                <w:szCs w:val="16"/>
              </w:rPr>
            </w:pPr>
            <w:r w:rsidRPr="00515D00">
              <w:rPr>
                <w:b/>
                <w:bCs/>
                <w:sz w:val="16"/>
                <w:szCs w:val="16"/>
              </w:rPr>
              <w:t>Actividad</w:t>
            </w:r>
          </w:p>
        </w:tc>
        <w:tc>
          <w:tcPr>
            <w:tcW w:w="1260" w:type="dxa"/>
            <w:tcBorders>
              <w:top w:val="single" w:sz="4" w:space="0" w:color="auto"/>
            </w:tcBorders>
            <w:shd w:val="clear" w:color="auto" w:fill="auto"/>
            <w:tcMar>
              <w:top w:w="110" w:type="dxa"/>
            </w:tcMar>
            <w:vAlign w:val="center"/>
          </w:tcPr>
          <w:p w:rsidR="003E311F" w:rsidRPr="00515D00" w:rsidRDefault="003E311F" w:rsidP="007A358B">
            <w:pPr>
              <w:spacing w:before="60" w:after="60"/>
              <w:rPr>
                <w:sz w:val="16"/>
                <w:szCs w:val="16"/>
              </w:rPr>
            </w:pPr>
            <w:r w:rsidRPr="00515D00">
              <w:rPr>
                <w:b/>
                <w:bCs/>
                <w:sz w:val="16"/>
                <w:szCs w:val="16"/>
              </w:rPr>
              <w:t>Fecha</w:t>
            </w:r>
          </w:p>
        </w:tc>
        <w:tc>
          <w:tcPr>
            <w:tcW w:w="1862" w:type="dxa"/>
            <w:tcBorders>
              <w:top w:val="single" w:sz="4" w:space="0" w:color="auto"/>
            </w:tcBorders>
            <w:shd w:val="clear" w:color="auto" w:fill="auto"/>
            <w:tcMar>
              <w:top w:w="110" w:type="dxa"/>
            </w:tcMar>
            <w:vAlign w:val="center"/>
          </w:tcPr>
          <w:p w:rsidR="003E311F" w:rsidRPr="00515D00" w:rsidRDefault="003E311F" w:rsidP="007A358B">
            <w:pPr>
              <w:rPr>
                <w:sz w:val="16"/>
                <w:szCs w:val="16"/>
              </w:rPr>
            </w:pPr>
            <w:r w:rsidRPr="00515D00">
              <w:rPr>
                <w:b/>
                <w:sz w:val="16"/>
                <w:szCs w:val="16"/>
              </w:rPr>
              <w:t>País anfitrión / Beneficiarios</w:t>
            </w:r>
          </w:p>
        </w:tc>
        <w:tc>
          <w:tcPr>
            <w:tcW w:w="4679" w:type="dxa"/>
            <w:tcBorders>
              <w:top w:val="single" w:sz="4" w:space="0" w:color="auto"/>
            </w:tcBorders>
            <w:shd w:val="clear" w:color="auto" w:fill="FFFFFF"/>
            <w:tcMar>
              <w:top w:w="110" w:type="dxa"/>
            </w:tcMar>
            <w:vAlign w:val="center"/>
          </w:tcPr>
          <w:p w:rsidR="003E311F" w:rsidRPr="00515D00" w:rsidRDefault="003E311F" w:rsidP="007A358B">
            <w:pPr>
              <w:rPr>
                <w:sz w:val="16"/>
                <w:szCs w:val="16"/>
              </w:rPr>
            </w:pPr>
            <w:r w:rsidRPr="00515D00">
              <w:rPr>
                <w:b/>
                <w:sz w:val="16"/>
                <w:szCs w:val="16"/>
              </w:rPr>
              <w:t>Propósito(s)/Descripción</w:t>
            </w:r>
          </w:p>
        </w:tc>
      </w:tr>
      <w:tr w:rsidR="003E311F" w:rsidRPr="009E37FC" w:rsidTr="007A358B">
        <w:trPr>
          <w:cantSplit/>
        </w:trPr>
        <w:tc>
          <w:tcPr>
            <w:tcW w:w="1981" w:type="dxa"/>
          </w:tcPr>
          <w:p w:rsidR="003E311F" w:rsidRPr="00515D00" w:rsidRDefault="003E311F" w:rsidP="007A358B">
            <w:pPr>
              <w:spacing w:before="60" w:after="60"/>
              <w:rPr>
                <w:sz w:val="16"/>
                <w:szCs w:val="16"/>
              </w:rPr>
            </w:pPr>
            <w:r w:rsidRPr="00515D00">
              <w:rPr>
                <w:sz w:val="16"/>
                <w:szCs w:val="16"/>
              </w:rPr>
              <w:t>Renovación de la suscripción a la base de datos Thomson-Reuters sobre P.I.</w:t>
            </w:r>
          </w:p>
        </w:tc>
        <w:tc>
          <w:tcPr>
            <w:tcW w:w="1260" w:type="dxa"/>
          </w:tcPr>
          <w:p w:rsidR="003E311F" w:rsidRPr="00515D00" w:rsidRDefault="003E311F" w:rsidP="00E26DA7">
            <w:pPr>
              <w:spacing w:before="60" w:after="60"/>
              <w:ind w:right="-128"/>
              <w:rPr>
                <w:sz w:val="16"/>
                <w:szCs w:val="16"/>
              </w:rPr>
            </w:pPr>
            <w:r w:rsidRPr="00515D00">
              <w:rPr>
                <w:color w:val="000000"/>
                <w:sz w:val="16"/>
                <w:szCs w:val="16"/>
              </w:rPr>
              <w:t xml:space="preserve">Enero a octubre de 2015 </w:t>
            </w:r>
            <w:r w:rsidRPr="00515D00">
              <w:rPr>
                <w:sz w:val="16"/>
                <w:szCs w:val="16"/>
              </w:rPr>
              <w:t>(en curso desde 2013)</w:t>
            </w:r>
          </w:p>
        </w:tc>
        <w:tc>
          <w:tcPr>
            <w:tcW w:w="1862" w:type="dxa"/>
          </w:tcPr>
          <w:p w:rsidR="003E311F" w:rsidRPr="00515D00" w:rsidDel="00E54910" w:rsidRDefault="003E311F" w:rsidP="007A358B">
            <w:pPr>
              <w:autoSpaceDE w:val="0"/>
              <w:autoSpaceDN w:val="0"/>
              <w:adjustRightInd w:val="0"/>
              <w:spacing w:before="60" w:after="60"/>
              <w:rPr>
                <w:color w:val="000000"/>
                <w:sz w:val="16"/>
                <w:szCs w:val="16"/>
              </w:rPr>
            </w:pPr>
            <w:r w:rsidRPr="00515D00">
              <w:rPr>
                <w:color w:val="000000"/>
                <w:sz w:val="16"/>
                <w:szCs w:val="16"/>
              </w:rPr>
              <w:t>Todos los países de América Latina</w:t>
            </w:r>
          </w:p>
        </w:tc>
        <w:tc>
          <w:tcPr>
            <w:tcW w:w="4679" w:type="dxa"/>
          </w:tcPr>
          <w:p w:rsidR="003E311F" w:rsidRPr="00515D00" w:rsidRDefault="003E311F" w:rsidP="007A358B">
            <w:pPr>
              <w:autoSpaceDE w:val="0"/>
              <w:autoSpaceDN w:val="0"/>
              <w:adjustRightInd w:val="0"/>
              <w:spacing w:before="60" w:after="60"/>
              <w:rPr>
                <w:sz w:val="16"/>
                <w:szCs w:val="16"/>
              </w:rPr>
            </w:pPr>
            <w:r w:rsidRPr="00515D00">
              <w:rPr>
                <w:sz w:val="16"/>
                <w:szCs w:val="16"/>
              </w:rPr>
              <w:t>Ampliar la cobertura y la calidad de la información contenida en la base de datos de la Dirección Nacional de la Propiedad Industrial</w:t>
            </w:r>
            <w:r w:rsidRPr="00515D00">
              <w:rPr>
                <w:color w:val="000000"/>
                <w:sz w:val="16"/>
                <w:szCs w:val="16"/>
              </w:rPr>
              <w:t xml:space="preserve"> (DNPI).</w:t>
            </w:r>
          </w:p>
        </w:tc>
      </w:tr>
      <w:tr w:rsidR="003E311F" w:rsidRPr="009E37FC" w:rsidTr="007A358B">
        <w:trPr>
          <w:cantSplit/>
        </w:trPr>
        <w:tc>
          <w:tcPr>
            <w:tcW w:w="1981" w:type="dxa"/>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Visita de estudio del Sistema de Automatización de la Propiedad Industrial (IPAS)</w:t>
            </w:r>
          </w:p>
          <w:p w:rsidR="003E311F" w:rsidRPr="00515D00" w:rsidRDefault="003E311F" w:rsidP="007A358B">
            <w:pPr>
              <w:spacing w:before="60" w:after="60"/>
              <w:rPr>
                <w:sz w:val="16"/>
                <w:szCs w:val="16"/>
              </w:rPr>
            </w:pPr>
          </w:p>
          <w:p w:rsidR="003E311F" w:rsidRPr="00515D00" w:rsidRDefault="003E311F" w:rsidP="007A358B">
            <w:pPr>
              <w:spacing w:before="60" w:after="60"/>
              <w:rPr>
                <w:sz w:val="16"/>
                <w:szCs w:val="16"/>
              </w:rPr>
            </w:pPr>
            <w:r w:rsidRPr="00515D00">
              <w:rPr>
                <w:sz w:val="16"/>
                <w:szCs w:val="16"/>
              </w:rPr>
              <w:t xml:space="preserve">Renovación de la suscripción a la Base de Datos </w:t>
            </w:r>
            <w:r w:rsidRPr="006D762E">
              <w:rPr>
                <w:sz w:val="16"/>
                <w:szCs w:val="16"/>
              </w:rPr>
              <w:t>Mundial</w:t>
            </w:r>
            <w:r w:rsidRPr="00515D00">
              <w:rPr>
                <w:sz w:val="16"/>
                <w:szCs w:val="16"/>
              </w:rPr>
              <w:t xml:space="preserve"> de la OEP </w:t>
            </w:r>
          </w:p>
        </w:tc>
        <w:tc>
          <w:tcPr>
            <w:tcW w:w="1260" w:type="dxa"/>
          </w:tcPr>
          <w:p w:rsidR="003E311F" w:rsidRPr="00515D00" w:rsidRDefault="003E311F" w:rsidP="00E26DA7">
            <w:pPr>
              <w:autoSpaceDE w:val="0"/>
              <w:autoSpaceDN w:val="0"/>
              <w:adjustRightInd w:val="0"/>
              <w:spacing w:before="60" w:after="60"/>
              <w:ind w:right="-128"/>
              <w:rPr>
                <w:color w:val="000000"/>
                <w:sz w:val="16"/>
                <w:szCs w:val="16"/>
              </w:rPr>
            </w:pPr>
            <w:r w:rsidRPr="00515D00">
              <w:rPr>
                <w:color w:val="000000"/>
                <w:sz w:val="16"/>
                <w:szCs w:val="16"/>
              </w:rPr>
              <w:t>16 a 20 de febrero de 2015</w:t>
            </w:r>
          </w:p>
          <w:p w:rsidR="003E311F" w:rsidRPr="00515D00" w:rsidRDefault="003E311F" w:rsidP="007A358B">
            <w:pPr>
              <w:spacing w:before="60" w:after="60"/>
              <w:rPr>
                <w:sz w:val="16"/>
                <w:szCs w:val="16"/>
              </w:rPr>
            </w:pPr>
          </w:p>
          <w:p w:rsidR="003E311F" w:rsidRDefault="003E311F" w:rsidP="007A358B">
            <w:pPr>
              <w:spacing w:before="60" w:after="60"/>
              <w:rPr>
                <w:sz w:val="16"/>
                <w:szCs w:val="16"/>
              </w:rPr>
            </w:pPr>
          </w:p>
          <w:p w:rsidR="00E26DA7" w:rsidRPr="00515D00" w:rsidRDefault="00E26DA7" w:rsidP="007A358B">
            <w:pPr>
              <w:spacing w:before="60" w:after="60"/>
              <w:rPr>
                <w:sz w:val="16"/>
                <w:szCs w:val="16"/>
              </w:rPr>
            </w:pPr>
          </w:p>
          <w:p w:rsidR="003E311F" w:rsidRPr="00515D00" w:rsidRDefault="003E311F" w:rsidP="007A358B">
            <w:pPr>
              <w:spacing w:before="60" w:after="60"/>
              <w:rPr>
                <w:sz w:val="16"/>
                <w:szCs w:val="16"/>
              </w:rPr>
            </w:pPr>
            <w:r w:rsidRPr="00515D00">
              <w:rPr>
                <w:sz w:val="16"/>
                <w:szCs w:val="16"/>
              </w:rPr>
              <w:t>Enero a diciembre de 2015</w:t>
            </w:r>
          </w:p>
          <w:p w:rsidR="003E311F" w:rsidRPr="00515D00" w:rsidRDefault="003E311F" w:rsidP="007A358B">
            <w:pPr>
              <w:spacing w:before="60" w:after="60"/>
              <w:rPr>
                <w:sz w:val="16"/>
                <w:szCs w:val="16"/>
              </w:rPr>
            </w:pPr>
            <w:r w:rsidRPr="00515D00">
              <w:rPr>
                <w:sz w:val="16"/>
                <w:szCs w:val="16"/>
              </w:rPr>
              <w:t>(en curso)</w:t>
            </w:r>
          </w:p>
        </w:tc>
        <w:tc>
          <w:tcPr>
            <w:tcW w:w="1862" w:type="dxa"/>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 xml:space="preserve">Perú/ </w:t>
            </w:r>
            <w:r w:rsidRPr="006D762E">
              <w:rPr>
                <w:color w:val="000000"/>
                <w:sz w:val="16"/>
                <w:szCs w:val="16"/>
              </w:rPr>
              <w:t>DNPI</w:t>
            </w:r>
          </w:p>
          <w:p w:rsidR="003E311F" w:rsidRPr="00515D00" w:rsidRDefault="003E311F" w:rsidP="007A358B">
            <w:pPr>
              <w:autoSpaceDE w:val="0"/>
              <w:autoSpaceDN w:val="0"/>
              <w:adjustRightInd w:val="0"/>
              <w:spacing w:before="60" w:after="60"/>
              <w:rPr>
                <w:color w:val="000000"/>
                <w:sz w:val="16"/>
                <w:szCs w:val="16"/>
              </w:rPr>
            </w:pPr>
          </w:p>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 xml:space="preserve">Todos los países de América Latina </w:t>
            </w:r>
          </w:p>
        </w:tc>
        <w:tc>
          <w:tcPr>
            <w:tcW w:w="4679" w:type="dxa"/>
          </w:tcPr>
          <w:p w:rsidR="003E311F" w:rsidRPr="00515D00" w:rsidRDefault="003E311F" w:rsidP="007A358B">
            <w:pPr>
              <w:autoSpaceDE w:val="0"/>
              <w:autoSpaceDN w:val="0"/>
              <w:adjustRightInd w:val="0"/>
              <w:spacing w:before="60" w:after="60"/>
              <w:rPr>
                <w:color w:val="000000"/>
                <w:sz w:val="16"/>
                <w:szCs w:val="16"/>
              </w:rPr>
            </w:pPr>
            <w:r w:rsidRPr="00515D00">
              <w:rPr>
                <w:color w:val="000000"/>
                <w:sz w:val="16"/>
                <w:szCs w:val="16"/>
              </w:rPr>
              <w:t>Mejorar la eficiencia de los procesos internos de la DNPI.</w:t>
            </w:r>
          </w:p>
          <w:p w:rsidR="003E311F" w:rsidRPr="00515D00" w:rsidRDefault="003E311F" w:rsidP="007A358B">
            <w:pPr>
              <w:autoSpaceDE w:val="0"/>
              <w:autoSpaceDN w:val="0"/>
              <w:adjustRightInd w:val="0"/>
              <w:spacing w:before="60" w:after="60"/>
              <w:rPr>
                <w:color w:val="000000"/>
                <w:sz w:val="16"/>
                <w:szCs w:val="16"/>
              </w:rPr>
            </w:pPr>
          </w:p>
          <w:p w:rsidR="003E311F" w:rsidRPr="00515D00" w:rsidRDefault="003E311F" w:rsidP="007A358B">
            <w:pPr>
              <w:autoSpaceDE w:val="0"/>
              <w:autoSpaceDN w:val="0"/>
              <w:adjustRightInd w:val="0"/>
              <w:spacing w:before="60" w:after="60"/>
              <w:rPr>
                <w:color w:val="000000"/>
                <w:sz w:val="16"/>
                <w:szCs w:val="16"/>
              </w:rPr>
            </w:pPr>
            <w:r w:rsidRPr="00515D00">
              <w:rPr>
                <w:sz w:val="16"/>
                <w:szCs w:val="16"/>
              </w:rPr>
              <w:t>Ampliar la cobertura y la calidad de la información contenida en la base de datos de la DNPI.</w:t>
            </w:r>
          </w:p>
          <w:p w:rsidR="003E311F" w:rsidRPr="00515D00" w:rsidRDefault="003E311F" w:rsidP="007A358B">
            <w:pPr>
              <w:autoSpaceDE w:val="0"/>
              <w:autoSpaceDN w:val="0"/>
              <w:adjustRightInd w:val="0"/>
              <w:spacing w:before="60" w:after="60"/>
              <w:rPr>
                <w:color w:val="000000"/>
                <w:sz w:val="16"/>
                <w:szCs w:val="16"/>
              </w:rPr>
            </w:pPr>
          </w:p>
        </w:tc>
      </w:tr>
    </w:tbl>
    <w:p w:rsidR="003E311F" w:rsidRPr="007329AC" w:rsidRDefault="003E311F" w:rsidP="003E311F">
      <w:pPr>
        <w:rPr>
          <w:b/>
          <w:sz w:val="20"/>
        </w:rPr>
      </w:pPr>
    </w:p>
    <w:p w:rsidR="003E311F" w:rsidRPr="007329AC" w:rsidRDefault="003E311F" w:rsidP="003E311F">
      <w:pPr>
        <w:rPr>
          <w:sz w:val="20"/>
        </w:rPr>
      </w:pPr>
    </w:p>
    <w:p w:rsidR="003E311F" w:rsidRPr="007329AC" w:rsidRDefault="003E311F" w:rsidP="003E311F">
      <w:pPr>
        <w:keepNext/>
        <w:rPr>
          <w:b/>
          <w:bCs/>
          <w:color w:val="000000"/>
          <w:sz w:val="20"/>
        </w:rPr>
      </w:pPr>
      <w:r w:rsidRPr="007329AC">
        <w:rPr>
          <w:b/>
          <w:sz w:val="20"/>
        </w:rPr>
        <w:t xml:space="preserve">URUGUAY </w:t>
      </w:r>
      <w:r w:rsidRPr="007329AC">
        <w:rPr>
          <w:b/>
          <w:bCs/>
          <w:sz w:val="20"/>
        </w:rPr>
        <w:t xml:space="preserve">– Contribuciones de donantes y gastos en </w:t>
      </w:r>
      <w:r w:rsidRPr="007329AC">
        <w:rPr>
          <w:b/>
          <w:bCs/>
          <w:color w:val="000000"/>
          <w:sz w:val="20"/>
        </w:rPr>
        <w:t>2015</w:t>
      </w:r>
    </w:p>
    <w:p w:rsidR="003E311F" w:rsidRPr="007329AC" w:rsidRDefault="003E311F" w:rsidP="003E311F">
      <w:pPr>
        <w:keepNext/>
        <w:rPr>
          <w:sz w:val="20"/>
        </w:rPr>
      </w:pPr>
    </w:p>
    <w:tbl>
      <w:tblPr>
        <w:tblW w:w="9791" w:type="dxa"/>
        <w:tblInd w:w="98" w:type="dxa"/>
        <w:tblLook w:val="04A0" w:firstRow="1" w:lastRow="0" w:firstColumn="1" w:lastColumn="0" w:noHBand="0" w:noVBand="1"/>
      </w:tblPr>
      <w:tblGrid>
        <w:gridCol w:w="2040"/>
        <w:gridCol w:w="1640"/>
        <w:gridCol w:w="1860"/>
        <w:gridCol w:w="1780"/>
        <w:gridCol w:w="2471"/>
      </w:tblGrid>
      <w:tr w:rsidR="003E311F" w:rsidRPr="00515D00" w:rsidTr="007A358B">
        <w:trPr>
          <w:trHeight w:val="450"/>
        </w:trPr>
        <w:tc>
          <w:tcPr>
            <w:tcW w:w="2040" w:type="dxa"/>
            <w:tcBorders>
              <w:top w:val="single" w:sz="8" w:space="0" w:color="auto"/>
              <w:left w:val="single" w:sz="8" w:space="0" w:color="auto"/>
              <w:bottom w:val="nil"/>
              <w:right w:val="single" w:sz="8" w:space="0" w:color="auto"/>
            </w:tcBorders>
            <w:shd w:val="clear" w:color="auto" w:fill="C6D9F1"/>
            <w:vAlign w:val="center"/>
            <w:hideMark/>
          </w:tcPr>
          <w:p w:rsidR="003E311F" w:rsidRPr="00515D00" w:rsidRDefault="005C708A" w:rsidP="007A358B">
            <w:pPr>
              <w:keepNext/>
              <w:jc w:val="center"/>
              <w:rPr>
                <w:b/>
                <w:bCs/>
                <w:color w:val="000000"/>
                <w:sz w:val="16"/>
                <w:szCs w:val="16"/>
              </w:rPr>
            </w:pPr>
            <w:r>
              <w:rPr>
                <w:b/>
                <w:bCs/>
                <w:sz w:val="16"/>
                <w:szCs w:val="16"/>
              </w:rPr>
              <w:t>Saldo el</w:t>
            </w:r>
            <w:r w:rsidR="003E311F" w:rsidRPr="00515D00">
              <w:rPr>
                <w:b/>
                <w:bCs/>
                <w:sz w:val="16"/>
                <w:szCs w:val="16"/>
              </w:rPr>
              <w:t xml:space="preserve"> 31 de diciembre de </w:t>
            </w:r>
            <w:r w:rsidR="003E311F" w:rsidRPr="00515D00">
              <w:rPr>
                <w:b/>
                <w:bCs/>
                <w:color w:val="000000"/>
                <w:sz w:val="16"/>
                <w:szCs w:val="16"/>
              </w:rPr>
              <w:t>2014</w:t>
            </w:r>
          </w:p>
        </w:tc>
        <w:tc>
          <w:tcPr>
            <w:tcW w:w="1640" w:type="dxa"/>
            <w:tcBorders>
              <w:top w:val="single" w:sz="8" w:space="0" w:color="auto"/>
              <w:left w:val="nil"/>
              <w:bottom w:val="nil"/>
              <w:right w:val="single" w:sz="8" w:space="0" w:color="auto"/>
            </w:tcBorders>
            <w:shd w:val="clear" w:color="auto" w:fill="C6D9F1"/>
            <w:vAlign w:val="center"/>
            <w:hideMark/>
          </w:tcPr>
          <w:p w:rsidR="003E311F" w:rsidRPr="00515D00" w:rsidRDefault="003E311F" w:rsidP="007A358B">
            <w:pPr>
              <w:keepNext/>
              <w:jc w:val="center"/>
              <w:rPr>
                <w:b/>
                <w:bCs/>
                <w:color w:val="000000"/>
                <w:sz w:val="16"/>
                <w:szCs w:val="16"/>
              </w:rPr>
            </w:pPr>
            <w:r w:rsidRPr="00515D00">
              <w:rPr>
                <w:b/>
                <w:bCs/>
                <w:sz w:val="16"/>
                <w:szCs w:val="16"/>
              </w:rPr>
              <w:t xml:space="preserve">Ingresos en </w:t>
            </w:r>
            <w:r w:rsidRPr="00515D00">
              <w:rPr>
                <w:b/>
                <w:bCs/>
                <w:color w:val="000000"/>
                <w:sz w:val="16"/>
                <w:szCs w:val="16"/>
              </w:rPr>
              <w:t>2015</w:t>
            </w:r>
          </w:p>
        </w:tc>
        <w:tc>
          <w:tcPr>
            <w:tcW w:w="1860" w:type="dxa"/>
            <w:tcBorders>
              <w:top w:val="single" w:sz="8" w:space="0" w:color="auto"/>
              <w:left w:val="nil"/>
              <w:bottom w:val="nil"/>
              <w:right w:val="single" w:sz="8" w:space="0" w:color="auto"/>
            </w:tcBorders>
            <w:shd w:val="clear" w:color="auto" w:fill="C6D9F1"/>
            <w:vAlign w:val="center"/>
            <w:hideMark/>
          </w:tcPr>
          <w:p w:rsidR="003E311F" w:rsidRPr="00515D00" w:rsidRDefault="003E311F" w:rsidP="007A358B">
            <w:pPr>
              <w:keepNext/>
              <w:jc w:val="center"/>
              <w:rPr>
                <w:b/>
                <w:bCs/>
                <w:color w:val="000000"/>
                <w:sz w:val="16"/>
                <w:szCs w:val="16"/>
              </w:rPr>
            </w:pPr>
            <w:r w:rsidRPr="00515D00">
              <w:rPr>
                <w:b/>
                <w:bCs/>
                <w:sz w:val="16"/>
                <w:szCs w:val="16"/>
              </w:rPr>
              <w:t xml:space="preserve">Gastos en </w:t>
            </w:r>
            <w:r w:rsidRPr="00515D00">
              <w:rPr>
                <w:b/>
                <w:bCs/>
                <w:color w:val="000000"/>
                <w:sz w:val="16"/>
                <w:szCs w:val="16"/>
              </w:rPr>
              <w:t>2015</w:t>
            </w:r>
          </w:p>
        </w:tc>
        <w:tc>
          <w:tcPr>
            <w:tcW w:w="1780" w:type="dxa"/>
            <w:tcBorders>
              <w:top w:val="single" w:sz="8" w:space="0" w:color="auto"/>
              <w:left w:val="nil"/>
              <w:bottom w:val="nil"/>
              <w:right w:val="single" w:sz="8" w:space="0" w:color="auto"/>
            </w:tcBorders>
            <w:shd w:val="clear" w:color="auto" w:fill="C6D9F1"/>
            <w:vAlign w:val="center"/>
            <w:hideMark/>
          </w:tcPr>
          <w:p w:rsidR="003E311F" w:rsidRPr="00515D00" w:rsidRDefault="003E311F" w:rsidP="007A358B">
            <w:pPr>
              <w:keepNext/>
              <w:jc w:val="center"/>
              <w:rPr>
                <w:b/>
                <w:bCs/>
                <w:color w:val="000000"/>
                <w:sz w:val="16"/>
                <w:szCs w:val="16"/>
              </w:rPr>
            </w:pPr>
            <w:r w:rsidRPr="00515D00">
              <w:rPr>
                <w:b/>
                <w:bCs/>
                <w:sz w:val="16"/>
                <w:szCs w:val="16"/>
              </w:rPr>
              <w:t>Reembolsos</w:t>
            </w:r>
          </w:p>
        </w:tc>
        <w:tc>
          <w:tcPr>
            <w:tcW w:w="2471" w:type="dxa"/>
            <w:tcBorders>
              <w:top w:val="single" w:sz="8" w:space="0" w:color="auto"/>
              <w:left w:val="nil"/>
              <w:bottom w:val="nil"/>
              <w:right w:val="single" w:sz="8" w:space="0" w:color="auto"/>
            </w:tcBorders>
            <w:shd w:val="clear" w:color="auto" w:fill="C6D9F1"/>
            <w:vAlign w:val="center"/>
            <w:hideMark/>
          </w:tcPr>
          <w:p w:rsidR="003E311F" w:rsidRPr="00515D00" w:rsidRDefault="005C708A" w:rsidP="007A358B">
            <w:pPr>
              <w:keepNext/>
              <w:jc w:val="center"/>
              <w:rPr>
                <w:b/>
                <w:bCs/>
                <w:color w:val="000000"/>
                <w:sz w:val="16"/>
                <w:szCs w:val="16"/>
              </w:rPr>
            </w:pPr>
            <w:r>
              <w:rPr>
                <w:b/>
                <w:bCs/>
                <w:sz w:val="16"/>
                <w:szCs w:val="16"/>
              </w:rPr>
              <w:t>Saldo el</w:t>
            </w:r>
            <w:r w:rsidR="003E311F" w:rsidRPr="00515D00">
              <w:rPr>
                <w:b/>
                <w:bCs/>
                <w:sz w:val="16"/>
                <w:szCs w:val="16"/>
              </w:rPr>
              <w:t xml:space="preserve"> 31 de diciembre de </w:t>
            </w:r>
            <w:r w:rsidR="003E311F" w:rsidRPr="00515D00">
              <w:rPr>
                <w:b/>
                <w:bCs/>
                <w:color w:val="000000"/>
                <w:sz w:val="16"/>
                <w:szCs w:val="16"/>
              </w:rPr>
              <w:t>2015</w:t>
            </w:r>
          </w:p>
        </w:tc>
      </w:tr>
      <w:tr w:rsidR="003E311F" w:rsidRPr="00515D00" w:rsidTr="007A358B">
        <w:trPr>
          <w:trHeight w:val="255"/>
        </w:trPr>
        <w:tc>
          <w:tcPr>
            <w:tcW w:w="2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311F" w:rsidRPr="00515D00" w:rsidRDefault="003E311F" w:rsidP="007A358B">
            <w:pPr>
              <w:keepNext/>
              <w:jc w:val="center"/>
              <w:rPr>
                <w:color w:val="000000"/>
                <w:sz w:val="16"/>
                <w:szCs w:val="16"/>
              </w:rPr>
            </w:pPr>
            <w:r w:rsidRPr="00515D00">
              <w:rPr>
                <w:color w:val="000000"/>
                <w:sz w:val="16"/>
                <w:szCs w:val="16"/>
              </w:rPr>
              <w:t>157.932</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3E311F" w:rsidRPr="00515D00" w:rsidRDefault="003E311F" w:rsidP="007A358B">
            <w:pPr>
              <w:keepNext/>
              <w:jc w:val="center"/>
              <w:rPr>
                <w:color w:val="000000"/>
                <w:sz w:val="16"/>
                <w:szCs w:val="16"/>
              </w:rPr>
            </w:pPr>
            <w:r w:rsidRPr="00515D00">
              <w:rPr>
                <w:color w:val="000000"/>
                <w:sz w:val="16"/>
                <w:szCs w:val="16"/>
              </w:rPr>
              <w:t>(144)</w:t>
            </w:r>
          </w:p>
        </w:tc>
        <w:tc>
          <w:tcPr>
            <w:tcW w:w="1860" w:type="dxa"/>
            <w:tcBorders>
              <w:top w:val="single" w:sz="4" w:space="0" w:color="auto"/>
              <w:left w:val="nil"/>
              <w:bottom w:val="single" w:sz="4" w:space="0" w:color="auto"/>
              <w:right w:val="single" w:sz="4" w:space="0" w:color="auto"/>
            </w:tcBorders>
            <w:shd w:val="clear" w:color="auto" w:fill="auto"/>
            <w:vAlign w:val="center"/>
            <w:hideMark/>
          </w:tcPr>
          <w:p w:rsidR="003E311F" w:rsidRPr="00515D00" w:rsidRDefault="003E311F" w:rsidP="007A358B">
            <w:pPr>
              <w:keepNext/>
              <w:jc w:val="center"/>
              <w:rPr>
                <w:color w:val="000000"/>
                <w:sz w:val="16"/>
                <w:szCs w:val="16"/>
              </w:rPr>
            </w:pPr>
            <w:r w:rsidRPr="00515D00">
              <w:rPr>
                <w:color w:val="000000"/>
                <w:sz w:val="16"/>
                <w:szCs w:val="16"/>
              </w:rPr>
              <w:t>9.164</w:t>
            </w:r>
          </w:p>
        </w:tc>
        <w:tc>
          <w:tcPr>
            <w:tcW w:w="1780" w:type="dxa"/>
            <w:tcBorders>
              <w:top w:val="single" w:sz="4" w:space="0" w:color="auto"/>
              <w:left w:val="nil"/>
              <w:bottom w:val="single" w:sz="4" w:space="0" w:color="auto"/>
              <w:right w:val="single" w:sz="4" w:space="0" w:color="auto"/>
            </w:tcBorders>
            <w:shd w:val="clear" w:color="auto" w:fill="auto"/>
            <w:noWrap/>
            <w:vAlign w:val="center"/>
            <w:hideMark/>
          </w:tcPr>
          <w:p w:rsidR="003E311F" w:rsidRPr="00515D00" w:rsidRDefault="003E311F" w:rsidP="007A358B">
            <w:pPr>
              <w:keepNext/>
              <w:jc w:val="center"/>
              <w:rPr>
                <w:color w:val="000000"/>
                <w:sz w:val="16"/>
                <w:szCs w:val="16"/>
              </w:rPr>
            </w:pPr>
            <w:r w:rsidRPr="00515D00">
              <w:rPr>
                <w:color w:val="000000"/>
                <w:sz w:val="16"/>
                <w:szCs w:val="16"/>
              </w:rPr>
              <w:t>-</w:t>
            </w:r>
          </w:p>
        </w:tc>
        <w:tc>
          <w:tcPr>
            <w:tcW w:w="2471" w:type="dxa"/>
            <w:tcBorders>
              <w:top w:val="single" w:sz="4" w:space="0" w:color="auto"/>
              <w:left w:val="nil"/>
              <w:bottom w:val="single" w:sz="4" w:space="0" w:color="auto"/>
              <w:right w:val="single" w:sz="4" w:space="0" w:color="auto"/>
            </w:tcBorders>
            <w:shd w:val="clear" w:color="auto" w:fill="auto"/>
            <w:vAlign w:val="center"/>
            <w:hideMark/>
          </w:tcPr>
          <w:p w:rsidR="003E311F" w:rsidRPr="00515D00" w:rsidRDefault="003E311F" w:rsidP="007A358B">
            <w:pPr>
              <w:keepNext/>
              <w:jc w:val="center"/>
              <w:rPr>
                <w:color w:val="000000"/>
                <w:sz w:val="16"/>
                <w:szCs w:val="16"/>
              </w:rPr>
            </w:pPr>
            <w:r w:rsidRPr="00515D00">
              <w:rPr>
                <w:color w:val="000000"/>
                <w:sz w:val="16"/>
                <w:szCs w:val="16"/>
              </w:rPr>
              <w:t>148.624</w:t>
            </w:r>
          </w:p>
        </w:tc>
      </w:tr>
    </w:tbl>
    <w:p w:rsidR="003E311F" w:rsidRPr="007329AC" w:rsidRDefault="003E311F" w:rsidP="003E311F">
      <w:pPr>
        <w:rPr>
          <w:sz w:val="20"/>
        </w:rPr>
      </w:pPr>
    </w:p>
    <w:p w:rsidR="003E311F" w:rsidRPr="007329AC" w:rsidRDefault="003E311F" w:rsidP="003E311F">
      <w:pPr>
        <w:rPr>
          <w:b/>
          <w:sz w:val="20"/>
        </w:rPr>
      </w:pPr>
    </w:p>
    <w:p w:rsidR="003E311F" w:rsidRPr="007329AC" w:rsidRDefault="003E311F" w:rsidP="003E311F">
      <w:pPr>
        <w:rPr>
          <w:b/>
          <w:sz w:val="20"/>
        </w:rPr>
      </w:pPr>
    </w:p>
    <w:p w:rsidR="003E311F" w:rsidRPr="007329AC" w:rsidRDefault="003E311F" w:rsidP="003E311F">
      <w:pPr>
        <w:pStyle w:val="Endofdocument-Annex"/>
        <w:rPr>
          <w:sz w:val="20"/>
          <w:lang w:val="es-ES"/>
        </w:rPr>
      </w:pPr>
      <w:r w:rsidRPr="007329AC">
        <w:rPr>
          <w:sz w:val="20"/>
          <w:lang w:val="es-ES"/>
        </w:rPr>
        <w:t>[Sigue el A</w:t>
      </w:r>
      <w:r w:rsidR="00E26DA7">
        <w:rPr>
          <w:sz w:val="20"/>
          <w:lang w:val="es-ES"/>
        </w:rPr>
        <w:t>péndice</w:t>
      </w:r>
      <w:r w:rsidRPr="007329AC">
        <w:rPr>
          <w:sz w:val="20"/>
          <w:lang w:val="es-ES"/>
        </w:rPr>
        <w:t xml:space="preserve"> III]</w:t>
      </w:r>
    </w:p>
    <w:p w:rsidR="00221F0B" w:rsidRPr="007329AC" w:rsidRDefault="00221F0B">
      <w:pPr>
        <w:rPr>
          <w:sz w:val="20"/>
        </w:rPr>
      </w:pPr>
    </w:p>
    <w:p w:rsidR="00BC2324" w:rsidRDefault="00BC2324">
      <w:pPr>
        <w:rPr>
          <w:sz w:val="20"/>
        </w:rPr>
      </w:pPr>
      <w:r>
        <w:rPr>
          <w:sz w:val="20"/>
        </w:rPr>
        <w:br w:type="page"/>
      </w:r>
    </w:p>
    <w:p w:rsidR="00CA682E" w:rsidRPr="00CA682E" w:rsidRDefault="00CA682E" w:rsidP="00CA682E">
      <w:pPr>
        <w:keepNext/>
        <w:tabs>
          <w:tab w:val="right" w:pos="9072"/>
        </w:tabs>
        <w:outlineLvl w:val="1"/>
        <w:rPr>
          <w:rFonts w:eastAsia="Times New Roman"/>
          <w:b/>
          <w:bCs/>
          <w:iCs/>
          <w:szCs w:val="28"/>
          <w:lang w:eastAsia="en-US"/>
        </w:rPr>
      </w:pPr>
      <w:bookmarkStart w:id="218" w:name="_Toc455159115"/>
      <w:r w:rsidRPr="00CA682E">
        <w:rPr>
          <w:b/>
          <w:bCs/>
          <w:iCs/>
          <w:szCs w:val="28"/>
          <w:lang w:eastAsia="en-US"/>
        </w:rPr>
        <w:lastRenderedPageBreak/>
        <w:t>APÉNDICE III</w:t>
      </w:r>
      <w:r w:rsidRPr="00CA682E">
        <w:rPr>
          <w:b/>
          <w:bCs/>
          <w:iCs/>
          <w:szCs w:val="28"/>
          <w:lang w:eastAsia="en-US"/>
        </w:rPr>
        <w:br/>
      </w:r>
      <w:r w:rsidRPr="00CA682E">
        <w:rPr>
          <w:b/>
          <w:bCs/>
          <w:iCs/>
          <w:szCs w:val="28"/>
          <w:lang w:eastAsia="en-US"/>
        </w:rPr>
        <w:br/>
      </w:r>
      <w:r w:rsidRPr="00CA682E">
        <w:rPr>
          <w:rFonts w:eastAsia="Times New Roman"/>
          <w:b/>
          <w:bCs/>
          <w:iCs/>
          <w:szCs w:val="28"/>
          <w:lang w:eastAsia="en-US"/>
        </w:rPr>
        <w:t>INFORME SOBRE LA MARCHA DEL PLAN MAESTRO DE MEJORAS DE INFRAESTRUCTURA EN</w:t>
      </w:r>
      <w:r w:rsidR="00E26DA7">
        <w:rPr>
          <w:b/>
          <w:bCs/>
          <w:iCs/>
          <w:szCs w:val="28"/>
          <w:lang w:eastAsia="en-US"/>
        </w:rPr>
        <w:t xml:space="preserve"> </w:t>
      </w:r>
      <w:r w:rsidRPr="00CA682E">
        <w:rPr>
          <w:b/>
          <w:bCs/>
          <w:iCs/>
          <w:szCs w:val="28"/>
          <w:lang w:eastAsia="en-US"/>
        </w:rPr>
        <w:t>201</w:t>
      </w:r>
      <w:r w:rsidR="00E26DA7">
        <w:rPr>
          <w:b/>
          <w:bCs/>
          <w:iCs/>
          <w:szCs w:val="28"/>
          <w:lang w:eastAsia="en-US"/>
        </w:rPr>
        <w:t>4/1</w:t>
      </w:r>
      <w:r w:rsidRPr="00CA682E">
        <w:rPr>
          <w:b/>
          <w:bCs/>
          <w:iCs/>
          <w:szCs w:val="28"/>
          <w:lang w:eastAsia="en-US"/>
        </w:rPr>
        <w:t>5</w:t>
      </w:r>
      <w:bookmarkEnd w:id="218"/>
    </w:p>
    <w:p w:rsidR="00CA682E" w:rsidRPr="00CA682E" w:rsidRDefault="00CA682E" w:rsidP="00CA682E">
      <w:pPr>
        <w:rPr>
          <w:rFonts w:eastAsia="Times New Roman" w:cs="Times New Roman"/>
          <w:color w:val="000000" w:themeColor="text1"/>
          <w:sz w:val="20"/>
          <w:szCs w:val="24"/>
          <w:lang w:eastAsia="en-US"/>
        </w:rPr>
      </w:pPr>
    </w:p>
    <w:p w:rsidR="00CA682E" w:rsidRPr="00CA682E" w:rsidRDefault="00CA682E" w:rsidP="00CA682E">
      <w:pPr>
        <w:rPr>
          <w:rFonts w:eastAsia="Times New Roman" w:cs="Times New Roman"/>
          <w:color w:val="000000" w:themeColor="text1"/>
          <w:sz w:val="20"/>
          <w:szCs w:val="24"/>
          <w:lang w:eastAsia="en-US"/>
        </w:rPr>
      </w:pPr>
    </w:p>
    <w:p w:rsidR="00CA682E" w:rsidRPr="00CA682E" w:rsidRDefault="00CA682E" w:rsidP="00CA682E">
      <w:pPr>
        <w:rPr>
          <w:rFonts w:eastAsia="Times New Roman" w:cs="Times New Roman"/>
          <w:b/>
          <w:bCs/>
          <w:color w:val="000000" w:themeColor="text1"/>
          <w:sz w:val="20"/>
          <w:szCs w:val="24"/>
          <w:lang w:eastAsia="en-US"/>
        </w:rPr>
      </w:pPr>
      <w:r w:rsidRPr="00CA682E">
        <w:rPr>
          <w:rFonts w:eastAsia="Times New Roman" w:cs="Times New Roman"/>
          <w:b/>
          <w:bCs/>
          <w:color w:val="000000" w:themeColor="text1"/>
          <w:sz w:val="20"/>
          <w:szCs w:val="24"/>
          <w:lang w:eastAsia="en-US"/>
        </w:rPr>
        <w:t>I.</w:t>
      </w:r>
      <w:r w:rsidRPr="00CA682E">
        <w:rPr>
          <w:rFonts w:eastAsia="Times New Roman" w:cs="Times New Roman"/>
          <w:b/>
          <w:bCs/>
          <w:color w:val="000000" w:themeColor="text1"/>
          <w:sz w:val="20"/>
          <w:szCs w:val="24"/>
          <w:lang w:eastAsia="en-US"/>
        </w:rPr>
        <w:tab/>
        <w:t>INTRODUCCIÓN</w:t>
      </w:r>
    </w:p>
    <w:p w:rsidR="00CA682E" w:rsidRPr="00CA682E" w:rsidRDefault="00CA682E" w:rsidP="00CA682E">
      <w:pPr>
        <w:tabs>
          <w:tab w:val="left" w:pos="720"/>
        </w:tabs>
        <w:rPr>
          <w:color w:val="000000" w:themeColor="text1"/>
          <w:sz w:val="20"/>
        </w:rPr>
      </w:pPr>
    </w:p>
    <w:p w:rsidR="00CA682E" w:rsidRPr="00CA682E" w:rsidRDefault="00CA682E" w:rsidP="00CA682E">
      <w:pPr>
        <w:tabs>
          <w:tab w:val="left" w:pos="720"/>
        </w:tabs>
        <w:jc w:val="both"/>
        <w:rPr>
          <w:color w:val="000000" w:themeColor="text1"/>
          <w:sz w:val="20"/>
        </w:rPr>
      </w:pPr>
      <w:r w:rsidRPr="00CA682E">
        <w:rPr>
          <w:color w:val="000000" w:themeColor="text1"/>
          <w:sz w:val="20"/>
        </w:rPr>
        <w:t>En su 51ª serie de reuniones, celebrada en septiembre de 2013, las Asambleas de la OMPI suscribieron los principios que rigen la inclusión de proyectos en el Plan maestro de mejoras de infraestructura, y aprobaron la financiación de un importe total estimado de 11,2 millones de francos suizos, con cargo a las reservas disponibles, para siete proyectos (documento A/51/16</w:t>
      </w:r>
      <w:r w:rsidRPr="00CA682E">
        <w:rPr>
          <w:color w:val="000000" w:themeColor="text1"/>
          <w:sz w:val="20"/>
          <w:vertAlign w:val="superscript"/>
        </w:rPr>
        <w:footnoteReference w:id="170"/>
      </w:r>
      <w:r w:rsidRPr="00CA682E">
        <w:rPr>
          <w:color w:val="000000" w:themeColor="text1"/>
          <w:sz w:val="20"/>
        </w:rPr>
        <w:t>).</w:t>
      </w:r>
    </w:p>
    <w:p w:rsidR="00CA682E" w:rsidRPr="00CA682E" w:rsidRDefault="00CA682E" w:rsidP="00CA682E">
      <w:pPr>
        <w:tabs>
          <w:tab w:val="left" w:pos="720"/>
        </w:tabs>
        <w:jc w:val="both"/>
        <w:rPr>
          <w:color w:val="000000" w:themeColor="text1"/>
          <w:sz w:val="20"/>
        </w:rPr>
      </w:pPr>
    </w:p>
    <w:p w:rsidR="00CA682E" w:rsidRPr="00CA682E" w:rsidRDefault="00CA682E" w:rsidP="00CA682E">
      <w:pPr>
        <w:tabs>
          <w:tab w:val="left" w:pos="720"/>
        </w:tabs>
        <w:spacing w:after="220"/>
        <w:jc w:val="both"/>
        <w:rPr>
          <w:color w:val="000000" w:themeColor="text1"/>
          <w:sz w:val="20"/>
        </w:rPr>
      </w:pPr>
      <w:r w:rsidRPr="00CA682E">
        <w:rPr>
          <w:color w:val="000000" w:themeColor="text1"/>
          <w:sz w:val="20"/>
        </w:rPr>
        <w:t>En el marco de las iniciativas encaminadas a agilizar la presentación de informes en la Organización, el Informe sobre la marcha del Plan maestro de mejoras de infraestructura en 2015 se anexa al documento PPR 2014/2015.  Se trata del tercer informe sobre la marcha de dicho Plan presentado al PBC y ofrece a los Estados miembros un panorama de los progresos realizados, las etapas alcanzadas y la utilización de los recursos durante el período de enero a diciembre de 2015, en el marco de los proyectos siguientes:</w:t>
      </w:r>
    </w:p>
    <w:p w:rsidR="00CA682E" w:rsidRPr="00CA682E" w:rsidRDefault="00CA682E" w:rsidP="00CA682E">
      <w:pPr>
        <w:numPr>
          <w:ilvl w:val="1"/>
          <w:numId w:val="122"/>
        </w:numPr>
        <w:spacing w:after="220"/>
        <w:rPr>
          <w:color w:val="000000" w:themeColor="text1"/>
          <w:sz w:val="20"/>
          <w:u w:val="single"/>
        </w:rPr>
      </w:pPr>
      <w:r w:rsidRPr="00CA682E">
        <w:rPr>
          <w:color w:val="000000" w:themeColor="text1"/>
          <w:sz w:val="20"/>
          <w:u w:val="single"/>
        </w:rPr>
        <w:t>Proyectos relacionados con las TIC</w:t>
      </w:r>
    </w:p>
    <w:p w:rsidR="00CA682E" w:rsidRPr="00CA682E" w:rsidRDefault="00CA682E" w:rsidP="00CA682E">
      <w:pPr>
        <w:numPr>
          <w:ilvl w:val="2"/>
          <w:numId w:val="122"/>
        </w:numPr>
        <w:spacing w:after="220"/>
        <w:rPr>
          <w:color w:val="000000" w:themeColor="text1"/>
          <w:sz w:val="20"/>
        </w:rPr>
      </w:pPr>
      <w:r w:rsidRPr="00CA682E">
        <w:rPr>
          <w:color w:val="000000" w:themeColor="text1"/>
          <w:sz w:val="20"/>
        </w:rPr>
        <w:t>Mejora de la seguridad:  cifrado de datos y gestión de usuarios (PMM 1)</w:t>
      </w:r>
    </w:p>
    <w:p w:rsidR="00CA682E" w:rsidRPr="00CA682E" w:rsidRDefault="00CA682E" w:rsidP="00CA682E">
      <w:pPr>
        <w:numPr>
          <w:ilvl w:val="2"/>
          <w:numId w:val="122"/>
        </w:numPr>
        <w:spacing w:after="220"/>
        <w:rPr>
          <w:color w:val="000000" w:themeColor="text1"/>
          <w:sz w:val="20"/>
        </w:rPr>
      </w:pPr>
      <w:r w:rsidRPr="00CA682E">
        <w:rPr>
          <w:color w:val="000000" w:themeColor="text1"/>
          <w:sz w:val="20"/>
        </w:rPr>
        <w:t>Aplicación de la gestión de contenidos institucionales (PMM 2)</w:t>
      </w:r>
    </w:p>
    <w:p w:rsidR="00CA682E" w:rsidRPr="00CA682E" w:rsidRDefault="00CA682E" w:rsidP="00CA682E">
      <w:pPr>
        <w:numPr>
          <w:ilvl w:val="1"/>
          <w:numId w:val="122"/>
        </w:numPr>
        <w:spacing w:after="220"/>
        <w:rPr>
          <w:color w:val="000000" w:themeColor="text1"/>
          <w:sz w:val="20"/>
          <w:u w:val="single"/>
        </w:rPr>
      </w:pPr>
      <w:r w:rsidRPr="00CA682E">
        <w:rPr>
          <w:color w:val="000000" w:themeColor="text1"/>
          <w:sz w:val="20"/>
          <w:u w:val="single"/>
        </w:rPr>
        <w:t>Proyectos relacionados con los edificios</w:t>
      </w:r>
    </w:p>
    <w:p w:rsidR="00CA682E" w:rsidRPr="00CA682E" w:rsidRDefault="00CA682E" w:rsidP="00CA682E">
      <w:pPr>
        <w:numPr>
          <w:ilvl w:val="2"/>
          <w:numId w:val="134"/>
        </w:numPr>
        <w:spacing w:after="220"/>
        <w:ind w:left="1710" w:hanging="576"/>
        <w:rPr>
          <w:color w:val="000000" w:themeColor="text1"/>
          <w:sz w:val="20"/>
        </w:rPr>
      </w:pPr>
      <w:r w:rsidRPr="00CA682E">
        <w:rPr>
          <w:color w:val="000000" w:themeColor="text1"/>
          <w:sz w:val="20"/>
        </w:rPr>
        <w:t>Renovación de las fachadas e instalación de refrigeración/calefacción en el edificio PCT (PMM 3)</w:t>
      </w:r>
    </w:p>
    <w:p w:rsidR="00CA682E" w:rsidRPr="00CA682E" w:rsidRDefault="00CA682E" w:rsidP="00CA682E">
      <w:pPr>
        <w:numPr>
          <w:ilvl w:val="2"/>
          <w:numId w:val="122"/>
        </w:numPr>
        <w:spacing w:after="220"/>
        <w:ind w:left="1710" w:hanging="576"/>
        <w:rPr>
          <w:color w:val="000000" w:themeColor="text1"/>
          <w:sz w:val="20"/>
        </w:rPr>
      </w:pPr>
      <w:r w:rsidRPr="00CA682E">
        <w:rPr>
          <w:color w:val="000000" w:themeColor="text1"/>
          <w:sz w:val="20"/>
        </w:rPr>
        <w:t>Instalación en los edificios AB y PCT de un sistema de refrigeración que utiliza el agua del lago de Ginebra (“GLN”) (PMM 4)</w:t>
      </w:r>
    </w:p>
    <w:p w:rsidR="00CA682E" w:rsidRPr="00CA682E" w:rsidRDefault="00CA682E" w:rsidP="00CA682E">
      <w:pPr>
        <w:numPr>
          <w:ilvl w:val="2"/>
          <w:numId w:val="122"/>
        </w:numPr>
        <w:spacing w:after="220"/>
        <w:rPr>
          <w:color w:val="000000" w:themeColor="text1"/>
          <w:sz w:val="20"/>
        </w:rPr>
      </w:pPr>
      <w:r w:rsidRPr="00CA682E">
        <w:rPr>
          <w:color w:val="000000" w:themeColor="text1"/>
          <w:sz w:val="20"/>
        </w:rPr>
        <w:t xml:space="preserve">Edificio Arpad </w:t>
      </w:r>
      <w:proofErr w:type="spellStart"/>
      <w:r w:rsidRPr="00CA682E">
        <w:rPr>
          <w:color w:val="000000" w:themeColor="text1"/>
          <w:sz w:val="20"/>
        </w:rPr>
        <w:t>Bogsch</w:t>
      </w:r>
      <w:proofErr w:type="spellEnd"/>
      <w:r w:rsidRPr="00CA682E">
        <w:rPr>
          <w:color w:val="000000" w:themeColor="text1"/>
          <w:sz w:val="20"/>
        </w:rPr>
        <w:t xml:space="preserve"> – fase 1 de la renovación del subsuelo (adaptación de las dimensiones del centro de datos y renovación de la imprenta) (PMM 5)</w:t>
      </w:r>
    </w:p>
    <w:p w:rsidR="00CA682E" w:rsidRPr="00CA682E" w:rsidRDefault="00CA682E" w:rsidP="00CA682E">
      <w:pPr>
        <w:numPr>
          <w:ilvl w:val="2"/>
          <w:numId w:val="122"/>
        </w:numPr>
        <w:spacing w:after="220"/>
        <w:rPr>
          <w:color w:val="000000" w:themeColor="text1"/>
          <w:sz w:val="20"/>
        </w:rPr>
      </w:pPr>
      <w:r w:rsidRPr="00CA682E">
        <w:rPr>
          <w:color w:val="000000" w:themeColor="text1"/>
          <w:sz w:val="20"/>
        </w:rPr>
        <w:t xml:space="preserve">Edificio Arpad </w:t>
      </w:r>
      <w:proofErr w:type="spellStart"/>
      <w:r w:rsidRPr="00CA682E">
        <w:rPr>
          <w:color w:val="000000" w:themeColor="text1"/>
          <w:sz w:val="20"/>
        </w:rPr>
        <w:t>Bogsch</w:t>
      </w:r>
      <w:proofErr w:type="spellEnd"/>
      <w:r w:rsidRPr="00CA682E">
        <w:rPr>
          <w:color w:val="000000" w:themeColor="text1"/>
          <w:sz w:val="20"/>
        </w:rPr>
        <w:t xml:space="preserve"> – sustitución de determinadas ventanas (PMM 6)</w:t>
      </w:r>
    </w:p>
    <w:p w:rsidR="00CA682E" w:rsidRPr="00CA682E" w:rsidRDefault="00CA682E" w:rsidP="00CA682E">
      <w:pPr>
        <w:numPr>
          <w:ilvl w:val="1"/>
          <w:numId w:val="122"/>
        </w:numPr>
        <w:spacing w:after="220"/>
        <w:rPr>
          <w:color w:val="000000" w:themeColor="text1"/>
          <w:sz w:val="20"/>
          <w:u w:val="single"/>
        </w:rPr>
      </w:pPr>
      <w:r w:rsidRPr="00CA682E">
        <w:rPr>
          <w:color w:val="000000" w:themeColor="text1"/>
          <w:sz w:val="20"/>
          <w:u w:val="single"/>
        </w:rPr>
        <w:t>Proyectos relacionados con la seguridad y la vigilancia</w:t>
      </w:r>
    </w:p>
    <w:p w:rsidR="00CA682E" w:rsidRPr="00CA682E" w:rsidRDefault="00CA682E" w:rsidP="00CA682E">
      <w:pPr>
        <w:numPr>
          <w:ilvl w:val="2"/>
          <w:numId w:val="135"/>
        </w:numPr>
        <w:spacing w:after="220"/>
        <w:rPr>
          <w:color w:val="000000" w:themeColor="text1"/>
          <w:sz w:val="20"/>
        </w:rPr>
      </w:pPr>
      <w:r w:rsidRPr="00CA682E">
        <w:rPr>
          <w:color w:val="000000" w:themeColor="text1"/>
          <w:sz w:val="20"/>
        </w:rPr>
        <w:t>Medidas de seguridad y protección contra incendios (PMM 7)</w:t>
      </w:r>
    </w:p>
    <w:p w:rsidR="00CA682E" w:rsidRPr="00CA682E" w:rsidRDefault="00CA682E" w:rsidP="00CA682E">
      <w:pPr>
        <w:rPr>
          <w:rFonts w:eastAsia="Times New Roman" w:cs="Times New Roman"/>
          <w:b/>
          <w:bCs/>
          <w:color w:val="000000" w:themeColor="text1"/>
          <w:sz w:val="20"/>
          <w:szCs w:val="24"/>
          <w:lang w:eastAsia="en-US"/>
        </w:rPr>
      </w:pPr>
    </w:p>
    <w:p w:rsidR="00CA682E" w:rsidRPr="00CA682E" w:rsidRDefault="00CA682E" w:rsidP="00CA682E">
      <w:pPr>
        <w:rPr>
          <w:rFonts w:eastAsia="Times New Roman" w:cs="Times New Roman"/>
          <w:b/>
          <w:bCs/>
          <w:color w:val="000000" w:themeColor="text1"/>
          <w:szCs w:val="22"/>
          <w:lang w:eastAsia="en-US"/>
        </w:rPr>
      </w:pPr>
      <w:r w:rsidRPr="00CA682E">
        <w:rPr>
          <w:rFonts w:eastAsia="Times New Roman" w:cs="Times New Roman"/>
          <w:b/>
          <w:bCs/>
          <w:color w:val="000000" w:themeColor="text1"/>
          <w:szCs w:val="22"/>
          <w:lang w:eastAsia="en-US"/>
        </w:rPr>
        <w:t>II.</w:t>
      </w:r>
      <w:r w:rsidRPr="00CA682E">
        <w:rPr>
          <w:rFonts w:eastAsia="Times New Roman" w:cs="Times New Roman"/>
          <w:b/>
          <w:bCs/>
          <w:color w:val="000000" w:themeColor="text1"/>
          <w:szCs w:val="22"/>
          <w:lang w:eastAsia="en-US"/>
        </w:rPr>
        <w:tab/>
      </w:r>
      <w:r w:rsidRPr="00CA682E">
        <w:rPr>
          <w:rFonts w:eastAsia="Times New Roman" w:cs="Times New Roman"/>
          <w:b/>
          <w:bCs/>
          <w:color w:val="000000" w:themeColor="text1"/>
          <w:sz w:val="20"/>
          <w:szCs w:val="24"/>
          <w:lang w:eastAsia="en-US"/>
        </w:rPr>
        <w:t>ESTRUCTURA DE GOBERNANZA APROBADA</w:t>
      </w:r>
    </w:p>
    <w:p w:rsidR="00CA682E" w:rsidRPr="00CA682E" w:rsidRDefault="00CA682E" w:rsidP="00CA682E">
      <w:pPr>
        <w:rPr>
          <w:rFonts w:eastAsia="Times New Roman" w:cs="Times New Roman"/>
          <w:color w:val="000000" w:themeColor="text1"/>
          <w:sz w:val="20"/>
          <w:szCs w:val="24"/>
          <w:lang w:eastAsia="en-US"/>
        </w:rPr>
      </w:pPr>
    </w:p>
    <w:p w:rsidR="00CA682E" w:rsidRPr="00CA682E" w:rsidRDefault="00CA682E" w:rsidP="00CA682E">
      <w:pPr>
        <w:tabs>
          <w:tab w:val="left" w:pos="720"/>
        </w:tabs>
        <w:spacing w:after="220"/>
        <w:jc w:val="both"/>
        <w:rPr>
          <w:color w:val="000000" w:themeColor="text1"/>
          <w:sz w:val="20"/>
        </w:rPr>
      </w:pPr>
      <w:r w:rsidRPr="00CA682E">
        <w:rPr>
          <w:color w:val="000000" w:themeColor="text1"/>
          <w:sz w:val="20"/>
        </w:rPr>
        <w:t>En sintonía con las mejores prácticas en materia de gestión de proyectos, se aplicó en 2014 un marco de gobernanza para el Plan maestro de mejoras de infraestructura con el fin de</w:t>
      </w:r>
      <w:proofErr w:type="gramStart"/>
      <w:r w:rsidRPr="00CA682E">
        <w:rPr>
          <w:color w:val="000000" w:themeColor="text1"/>
          <w:sz w:val="20"/>
        </w:rPr>
        <w:t>:  i</w:t>
      </w:r>
      <w:proofErr w:type="gramEnd"/>
      <w:r w:rsidRPr="00CA682E">
        <w:rPr>
          <w:color w:val="000000" w:themeColor="text1"/>
          <w:sz w:val="20"/>
        </w:rPr>
        <w:t>) definir las estructuras y procesos de gestión y supervisión de las actividades de los proyectos encaminadas al logro de sus objetivos, y ii) velar por que se establezcan y se comuniquen claramente las responsabilidades y la rendición de cuentas.</w:t>
      </w:r>
    </w:p>
    <w:p w:rsidR="00CA682E" w:rsidRPr="00CA682E" w:rsidRDefault="00CA682E" w:rsidP="00CA682E">
      <w:pPr>
        <w:tabs>
          <w:tab w:val="left" w:pos="720"/>
        </w:tabs>
        <w:spacing w:after="220"/>
        <w:jc w:val="both"/>
        <w:rPr>
          <w:color w:val="000000" w:themeColor="text1"/>
          <w:sz w:val="20"/>
        </w:rPr>
      </w:pPr>
      <w:r w:rsidRPr="00CA682E">
        <w:rPr>
          <w:color w:val="000000" w:themeColor="text1"/>
          <w:sz w:val="20"/>
        </w:rPr>
        <w:t>El PBC, en su vigesimosegunda sesión, celebrada en septiembre de 2014, tomó nota de la estructura de gobernanza establecida para gestionar, supervisar y presentar informes sobre la ejecución de la cartera de proyectos del Plan maestro de mejoras de infraestructura, que se expone en el documento WO/PBC/22/21</w:t>
      </w:r>
      <w:r w:rsidRPr="00CA682E">
        <w:rPr>
          <w:color w:val="000000" w:themeColor="text1"/>
          <w:sz w:val="20"/>
          <w:vertAlign w:val="superscript"/>
        </w:rPr>
        <w:footnoteReference w:id="171"/>
      </w:r>
      <w:r w:rsidRPr="00CA682E">
        <w:rPr>
          <w:color w:val="000000" w:themeColor="text1"/>
          <w:sz w:val="20"/>
        </w:rPr>
        <w:t>.</w:t>
      </w:r>
    </w:p>
    <w:p w:rsidR="00CA682E" w:rsidRPr="00CA682E" w:rsidRDefault="00CA682E" w:rsidP="00CA682E">
      <w:pPr>
        <w:rPr>
          <w:rFonts w:eastAsia="Times New Roman" w:cs="Times New Roman"/>
          <w:b/>
          <w:color w:val="000000" w:themeColor="text1"/>
          <w:szCs w:val="22"/>
          <w:lang w:eastAsia="en-US"/>
        </w:rPr>
      </w:pPr>
      <w:r w:rsidRPr="00CA682E">
        <w:rPr>
          <w:rFonts w:eastAsia="Times New Roman" w:cs="Times New Roman"/>
          <w:b/>
          <w:color w:val="000000" w:themeColor="text1"/>
          <w:szCs w:val="22"/>
          <w:lang w:eastAsia="en-US"/>
        </w:rPr>
        <w:lastRenderedPageBreak/>
        <w:t>PROYECTOS RELACIONADOS CON LAS TIC</w:t>
      </w:r>
    </w:p>
    <w:p w:rsidR="00CA682E" w:rsidRPr="00CA682E" w:rsidRDefault="00CA682E" w:rsidP="00CA682E">
      <w:pPr>
        <w:rPr>
          <w:rFonts w:eastAsia="Times New Roman" w:cs="Times New Roman"/>
          <w:sz w:val="20"/>
          <w:szCs w:val="24"/>
          <w:lang w:eastAsia="en-US"/>
        </w:rPr>
      </w:pPr>
      <w:bookmarkStart w:id="219" w:name="_Toc422927448"/>
    </w:p>
    <w:p w:rsidR="00CA682E" w:rsidRPr="00CA682E" w:rsidRDefault="00CA682E" w:rsidP="00A013AC">
      <w:pPr>
        <w:keepNext/>
        <w:ind w:left="1701" w:hanging="1701"/>
        <w:outlineLvl w:val="2"/>
        <w:rPr>
          <w:b/>
          <w:bCs/>
          <w:i/>
          <w:color w:val="000000" w:themeColor="text1"/>
          <w:sz w:val="20"/>
          <w:lang w:eastAsia="en-US"/>
        </w:rPr>
      </w:pPr>
      <w:bookmarkStart w:id="220" w:name="_Toc455159116"/>
      <w:r w:rsidRPr="00CA682E">
        <w:rPr>
          <w:b/>
          <w:bCs/>
          <w:i/>
          <w:color w:val="000000" w:themeColor="text1"/>
          <w:sz w:val="20"/>
          <w:lang w:eastAsia="en-US"/>
        </w:rPr>
        <w:t>PROYECTO 1:</w:t>
      </w:r>
      <w:r w:rsidR="00A013AC">
        <w:rPr>
          <w:b/>
          <w:bCs/>
          <w:i/>
          <w:color w:val="000000" w:themeColor="text1"/>
          <w:sz w:val="20"/>
          <w:lang w:eastAsia="en-US"/>
        </w:rPr>
        <w:tab/>
      </w:r>
      <w:r w:rsidRPr="00CA682E">
        <w:rPr>
          <w:b/>
          <w:bCs/>
          <w:i/>
          <w:color w:val="000000" w:themeColor="text1"/>
          <w:sz w:val="20"/>
          <w:lang w:eastAsia="en-US"/>
        </w:rPr>
        <w:t>MEJORA DE LA SEGURIDAD</w:t>
      </w:r>
      <w:proofErr w:type="gramStart"/>
      <w:r w:rsidRPr="00CA682E">
        <w:rPr>
          <w:b/>
          <w:bCs/>
          <w:i/>
          <w:color w:val="000000" w:themeColor="text1"/>
          <w:sz w:val="20"/>
          <w:lang w:eastAsia="en-US"/>
        </w:rPr>
        <w:t>:  CIFRADO</w:t>
      </w:r>
      <w:proofErr w:type="gramEnd"/>
      <w:r w:rsidRPr="00CA682E">
        <w:rPr>
          <w:b/>
          <w:bCs/>
          <w:i/>
          <w:color w:val="000000" w:themeColor="text1"/>
          <w:sz w:val="20"/>
          <w:lang w:eastAsia="en-US"/>
        </w:rPr>
        <w:t xml:space="preserve"> DE DATOS Y GESTIÓN DE USUARIOS (PMM 1)</w:t>
      </w:r>
      <w:bookmarkEnd w:id="219"/>
      <w:bookmarkEnd w:id="220"/>
    </w:p>
    <w:p w:rsidR="00CA682E" w:rsidRPr="00CA682E" w:rsidRDefault="00CA682E" w:rsidP="00CA682E">
      <w:pPr>
        <w:rPr>
          <w:rFonts w:eastAsia="Times New Roman" w:cs="Times New Roman"/>
          <w:color w:val="000000" w:themeColor="text1"/>
          <w:sz w:val="20"/>
          <w:lang w:eastAsia="en-US"/>
        </w:rPr>
      </w:pPr>
    </w:p>
    <w:p w:rsidR="00CA682E" w:rsidRPr="00CA682E" w:rsidRDefault="00CA682E" w:rsidP="00CA682E">
      <w:pPr>
        <w:rPr>
          <w:rFonts w:eastAsia="Times New Roman" w:cs="Times New Roman"/>
          <w:b/>
          <w:color w:val="000000" w:themeColor="text1"/>
          <w:sz w:val="20"/>
          <w:lang w:eastAsia="en-US"/>
        </w:rPr>
      </w:pPr>
      <w:r w:rsidRPr="00CA682E">
        <w:rPr>
          <w:rFonts w:eastAsia="Times New Roman" w:cs="Times New Roman"/>
          <w:b/>
          <w:color w:val="000000" w:themeColor="text1"/>
          <w:sz w:val="20"/>
          <w:lang w:eastAsia="en-US"/>
        </w:rPr>
        <w:t>Director de proyecto</w:t>
      </w:r>
      <w:r w:rsidRPr="00CA682E">
        <w:rPr>
          <w:rFonts w:eastAsia="Times New Roman" w:cs="Times New Roman"/>
          <w:b/>
          <w:color w:val="000000" w:themeColor="text1"/>
          <w:sz w:val="20"/>
          <w:lang w:eastAsia="en-US"/>
        </w:rPr>
        <w:tab/>
        <w:t>Sr. R. LANE</w:t>
      </w:r>
    </w:p>
    <w:p w:rsidR="00CA682E" w:rsidRPr="00CA682E" w:rsidRDefault="00CA682E" w:rsidP="00CA682E">
      <w:pPr>
        <w:rPr>
          <w:rFonts w:eastAsia="Times New Roman" w:cs="Times New Roman"/>
          <w:color w:val="000000" w:themeColor="text1"/>
          <w:sz w:val="20"/>
          <w:lang w:eastAsia="en-US"/>
        </w:rPr>
      </w:pPr>
    </w:p>
    <w:p w:rsidR="00CA682E" w:rsidRPr="00CA682E" w:rsidRDefault="00CA682E" w:rsidP="00CA682E">
      <w:pPr>
        <w:rPr>
          <w:rFonts w:eastAsia="Times New Roman" w:cs="Times New Roman"/>
          <w:bCs/>
          <w:color w:val="000000" w:themeColor="text1"/>
          <w:sz w:val="20"/>
          <w:lang w:eastAsia="en-US"/>
        </w:rPr>
      </w:pPr>
    </w:p>
    <w:p w:rsidR="00CA682E" w:rsidRPr="00CA682E" w:rsidRDefault="00CA682E" w:rsidP="00CA682E">
      <w:pPr>
        <w:rPr>
          <w:rFonts w:eastAsia="Times New Roman" w:cs="Times New Roman"/>
          <w:bCs/>
          <w:color w:val="000000" w:themeColor="text1"/>
          <w:sz w:val="20"/>
          <w:lang w:eastAsia="en-US"/>
        </w:rPr>
      </w:pPr>
      <w:r w:rsidRPr="00CA682E">
        <w:rPr>
          <w:rFonts w:eastAsia="Times New Roman" w:cs="Times New Roman"/>
          <w:bCs/>
          <w:color w:val="000000" w:themeColor="text1"/>
          <w:sz w:val="20"/>
          <w:lang w:eastAsia="en-US"/>
        </w:rPr>
        <w:t>RESULTADO PREVISTO</w:t>
      </w:r>
    </w:p>
    <w:p w:rsidR="00CA682E" w:rsidRPr="00CA682E" w:rsidRDefault="00CA682E" w:rsidP="00CA682E">
      <w:pPr>
        <w:rPr>
          <w:rFonts w:eastAsia="Times New Roman" w:cs="Times New Roman"/>
          <w:bCs/>
          <w:color w:val="000000" w:themeColor="text1"/>
          <w:sz w:val="20"/>
          <w:lang w:eastAsia="en-US"/>
        </w:rPr>
      </w:pPr>
    </w:p>
    <w:p w:rsidR="00CA682E" w:rsidRPr="00CA682E" w:rsidRDefault="00CA682E" w:rsidP="00CA682E">
      <w:pPr>
        <w:jc w:val="both"/>
        <w:rPr>
          <w:rFonts w:eastAsia="Times New Roman" w:cs="Times New Roman"/>
          <w:i/>
          <w:iCs/>
          <w:color w:val="000000" w:themeColor="text1"/>
          <w:sz w:val="20"/>
          <w:lang w:eastAsia="en-US"/>
        </w:rPr>
      </w:pPr>
      <w:r w:rsidRPr="00CA682E">
        <w:rPr>
          <w:rFonts w:eastAsia="Times New Roman" w:cs="Times New Roman"/>
          <w:i/>
          <w:iCs/>
          <w:color w:val="000000" w:themeColor="text1"/>
          <w:sz w:val="20"/>
          <w:lang w:eastAsia="en-US"/>
        </w:rPr>
        <w:t xml:space="preserve">IX.1  </w:t>
      </w:r>
      <w:r w:rsidRPr="00CA682E">
        <w:rPr>
          <w:rFonts w:eastAsia="Times New Roman" w:cs="Times New Roman"/>
          <w:i/>
          <w:iCs/>
          <w:color w:val="000000" w:themeColor="text1"/>
          <w:sz w:val="20"/>
          <w:szCs w:val="24"/>
          <w:lang w:eastAsia="en-US"/>
        </w:rPr>
        <w:t xml:space="preserve">Servicios de </w:t>
      </w:r>
      <w:proofErr w:type="gramStart"/>
      <w:r w:rsidRPr="00CA682E">
        <w:rPr>
          <w:rFonts w:eastAsia="Times New Roman" w:cs="Times New Roman"/>
          <w:i/>
          <w:iCs/>
          <w:color w:val="000000" w:themeColor="text1"/>
          <w:sz w:val="20"/>
          <w:szCs w:val="24"/>
          <w:lang w:eastAsia="en-US"/>
        </w:rPr>
        <w:t>apoyo eficaces, eficientes, de calidad y orientados</w:t>
      </w:r>
      <w:proofErr w:type="gramEnd"/>
      <w:r w:rsidRPr="00CA682E">
        <w:rPr>
          <w:rFonts w:eastAsia="Times New Roman" w:cs="Times New Roman"/>
          <w:i/>
          <w:iCs/>
          <w:color w:val="000000" w:themeColor="text1"/>
          <w:sz w:val="20"/>
          <w:szCs w:val="24"/>
          <w:lang w:eastAsia="en-US"/>
        </w:rPr>
        <w:t xml:space="preserve"> al cliente, tanto a los clientes internos como a las partes interesadas externas</w:t>
      </w:r>
    </w:p>
    <w:p w:rsidR="00CA682E" w:rsidRPr="00CA682E" w:rsidRDefault="00CA682E" w:rsidP="00CA682E">
      <w:pPr>
        <w:jc w:val="both"/>
        <w:rPr>
          <w:rFonts w:eastAsia="Times New Roman" w:cs="Times New Roman"/>
          <w:i/>
          <w:iCs/>
          <w:color w:val="000000" w:themeColor="text1"/>
          <w:sz w:val="20"/>
          <w:lang w:eastAsia="en-US"/>
        </w:rPr>
      </w:pPr>
    </w:p>
    <w:p w:rsidR="00CA682E" w:rsidRPr="00CA682E" w:rsidRDefault="00CA682E" w:rsidP="00CA682E">
      <w:pPr>
        <w:numPr>
          <w:ilvl w:val="0"/>
          <w:numId w:val="125"/>
        </w:numPr>
        <w:tabs>
          <w:tab w:val="left" w:pos="567"/>
        </w:tabs>
        <w:ind w:left="0" w:firstLine="0"/>
        <w:jc w:val="both"/>
        <w:rPr>
          <w:iCs/>
          <w:color w:val="000000" w:themeColor="text1"/>
          <w:sz w:val="20"/>
        </w:rPr>
      </w:pPr>
      <w:r w:rsidRPr="00CA682E">
        <w:rPr>
          <w:iCs/>
          <w:color w:val="000000" w:themeColor="text1"/>
          <w:sz w:val="20"/>
        </w:rPr>
        <w:t xml:space="preserve">Aplicar el cifrado de datos y la gestión de usuarios mejorará la capacidad de la OMPI de hacer frente al creciente número de amenazas en materia de seguridad de la información, permitiendo al mismo tiempo, por una parte, tomar en consideración más opciones </w:t>
      </w:r>
      <w:proofErr w:type="spellStart"/>
      <w:r w:rsidRPr="00CA682E">
        <w:rPr>
          <w:iCs/>
          <w:color w:val="000000" w:themeColor="text1"/>
          <w:sz w:val="20"/>
        </w:rPr>
        <w:t>costoeficaces</w:t>
      </w:r>
      <w:proofErr w:type="spellEnd"/>
      <w:r w:rsidRPr="00CA682E">
        <w:rPr>
          <w:iCs/>
          <w:color w:val="000000" w:themeColor="text1"/>
          <w:sz w:val="20"/>
        </w:rPr>
        <w:t xml:space="preserve"> de selección de proveedores y, por otra, administrar de forma integrada un número cada vez mayor de derechos de acceso de los usuarios.</w:t>
      </w:r>
    </w:p>
    <w:p w:rsidR="00CA682E" w:rsidRPr="00CA682E" w:rsidRDefault="00CA682E" w:rsidP="00CA682E">
      <w:pPr>
        <w:tabs>
          <w:tab w:val="left" w:pos="567"/>
        </w:tabs>
        <w:jc w:val="both"/>
        <w:rPr>
          <w:iCs/>
          <w:color w:val="000000" w:themeColor="text1"/>
          <w:sz w:val="20"/>
        </w:rPr>
      </w:pPr>
    </w:p>
    <w:p w:rsidR="00CA682E" w:rsidRPr="00CA682E" w:rsidRDefault="00CA682E" w:rsidP="00CA682E">
      <w:pPr>
        <w:tabs>
          <w:tab w:val="left" w:pos="567"/>
        </w:tabs>
        <w:jc w:val="both"/>
        <w:rPr>
          <w:iCs/>
          <w:color w:val="000000" w:themeColor="text1"/>
          <w:sz w:val="20"/>
        </w:rPr>
      </w:pPr>
    </w:p>
    <w:p w:rsidR="00CA682E" w:rsidRPr="00CA682E" w:rsidRDefault="00CA682E" w:rsidP="00CA682E">
      <w:pPr>
        <w:rPr>
          <w:rFonts w:eastAsia="Times New Roman" w:cs="Times New Roman"/>
          <w:bCs/>
          <w:color w:val="000000" w:themeColor="text1"/>
          <w:sz w:val="20"/>
          <w:szCs w:val="22"/>
          <w:lang w:eastAsia="en-US"/>
        </w:rPr>
      </w:pPr>
      <w:r w:rsidRPr="00CA682E">
        <w:rPr>
          <w:rFonts w:eastAsia="Times New Roman" w:cs="Times New Roman"/>
          <w:bCs/>
          <w:color w:val="000000" w:themeColor="text1"/>
          <w:sz w:val="20"/>
          <w:szCs w:val="24"/>
          <w:lang w:eastAsia="en-US"/>
        </w:rPr>
        <w:t>OBJETIVOS, ALCANCE Y ENFOQUE</w:t>
      </w:r>
      <w:proofErr w:type="gramStart"/>
      <w:r w:rsidRPr="00CA682E">
        <w:rPr>
          <w:rFonts w:eastAsia="Times New Roman" w:cs="Times New Roman"/>
          <w:bCs/>
          <w:color w:val="000000" w:themeColor="text1"/>
          <w:sz w:val="20"/>
          <w:szCs w:val="24"/>
          <w:lang w:eastAsia="en-US"/>
        </w:rPr>
        <w:t>:  ANTECEDENTES</w:t>
      </w:r>
      <w:proofErr w:type="gramEnd"/>
    </w:p>
    <w:p w:rsidR="00CA682E" w:rsidRPr="00CA682E" w:rsidRDefault="00CA682E" w:rsidP="00CA682E">
      <w:pPr>
        <w:rPr>
          <w:rFonts w:eastAsia="Times New Roman" w:cs="Times New Roman"/>
          <w:bCs/>
          <w:color w:val="000000" w:themeColor="text1"/>
          <w:sz w:val="20"/>
          <w:lang w:eastAsia="en-US"/>
        </w:rPr>
      </w:pPr>
    </w:p>
    <w:p w:rsidR="00CA682E" w:rsidRPr="00CA682E" w:rsidRDefault="00CA682E" w:rsidP="00CA682E">
      <w:pPr>
        <w:numPr>
          <w:ilvl w:val="0"/>
          <w:numId w:val="125"/>
        </w:numPr>
        <w:tabs>
          <w:tab w:val="left" w:pos="567"/>
        </w:tabs>
        <w:spacing w:after="220"/>
        <w:ind w:left="0" w:firstLine="0"/>
        <w:jc w:val="both"/>
        <w:rPr>
          <w:color w:val="000000" w:themeColor="text1"/>
          <w:sz w:val="20"/>
        </w:rPr>
      </w:pPr>
      <w:r w:rsidRPr="00CA682E">
        <w:rPr>
          <w:color w:val="000000" w:themeColor="text1"/>
          <w:sz w:val="20"/>
        </w:rPr>
        <w:t>Este proyecto tiene tres objetivos principales</w:t>
      </w:r>
      <w:proofErr w:type="gramStart"/>
      <w:r w:rsidRPr="00CA682E">
        <w:rPr>
          <w:color w:val="000000" w:themeColor="text1"/>
          <w:sz w:val="20"/>
        </w:rPr>
        <w:t>:  proteger</w:t>
      </w:r>
      <w:proofErr w:type="gramEnd"/>
      <w:r w:rsidRPr="00CA682E">
        <w:rPr>
          <w:color w:val="000000" w:themeColor="text1"/>
          <w:sz w:val="20"/>
        </w:rPr>
        <w:t xml:space="preserve"> los datos fundamentales, presentar opciones más </w:t>
      </w:r>
      <w:proofErr w:type="spellStart"/>
      <w:r w:rsidRPr="00CA682E">
        <w:rPr>
          <w:color w:val="000000" w:themeColor="text1"/>
          <w:sz w:val="20"/>
        </w:rPr>
        <w:t>costoeficaces</w:t>
      </w:r>
      <w:proofErr w:type="spellEnd"/>
      <w:r w:rsidRPr="00CA682E">
        <w:rPr>
          <w:color w:val="000000" w:themeColor="text1"/>
          <w:sz w:val="20"/>
        </w:rPr>
        <w:t xml:space="preserve"> de selección de proveedores y administrar de forma global los derechos de acceso de los usuarios</w:t>
      </w:r>
      <w:r w:rsidRPr="00CA682E">
        <w:rPr>
          <w:bCs/>
          <w:color w:val="000000" w:themeColor="text1"/>
          <w:sz w:val="20"/>
        </w:rPr>
        <w:t>.</w:t>
      </w:r>
    </w:p>
    <w:p w:rsidR="00CA682E" w:rsidRPr="00CA682E" w:rsidRDefault="00CA682E" w:rsidP="00CA682E">
      <w:pPr>
        <w:numPr>
          <w:ilvl w:val="0"/>
          <w:numId w:val="125"/>
        </w:numPr>
        <w:tabs>
          <w:tab w:val="left" w:pos="567"/>
        </w:tabs>
        <w:spacing w:after="220"/>
        <w:ind w:left="0" w:firstLine="0"/>
        <w:jc w:val="both"/>
        <w:rPr>
          <w:color w:val="000000" w:themeColor="text1"/>
          <w:sz w:val="20"/>
        </w:rPr>
      </w:pPr>
      <w:r w:rsidRPr="00CA682E">
        <w:rPr>
          <w:bCs/>
          <w:color w:val="000000" w:themeColor="text1"/>
          <w:sz w:val="20"/>
        </w:rPr>
        <w:t>La OMPI ya ha adoptado variados enfoques para proteger la información confidencial;  entre ellos cabe señalar mecanismos tradicionales de protección perimetral, sistemas de gestión de la información y los sucesos en materia de seguridad, y detección y prevención de intrusiones.  Sin embargo, en respuesta a amenazas cada vez más complejas a la seguridad, las mejores prácticas en materia de seguridad de la información también hacen hincapié actualmente en la protección directa de las fuentes.</w:t>
      </w:r>
    </w:p>
    <w:p w:rsidR="00CA682E" w:rsidRPr="00CA682E" w:rsidRDefault="00CA682E" w:rsidP="00CA682E">
      <w:pPr>
        <w:numPr>
          <w:ilvl w:val="0"/>
          <w:numId w:val="125"/>
        </w:numPr>
        <w:tabs>
          <w:tab w:val="left" w:pos="567"/>
        </w:tabs>
        <w:spacing w:after="220"/>
        <w:ind w:left="0" w:firstLine="0"/>
        <w:jc w:val="both"/>
        <w:rPr>
          <w:color w:val="000000" w:themeColor="text1"/>
          <w:sz w:val="20"/>
        </w:rPr>
      </w:pPr>
      <w:r w:rsidRPr="00CA682E">
        <w:rPr>
          <w:bCs/>
          <w:color w:val="000000" w:themeColor="text1"/>
          <w:sz w:val="20"/>
        </w:rPr>
        <w:t xml:space="preserve">Además, hoy en día, disponer de opciones </w:t>
      </w:r>
      <w:proofErr w:type="spellStart"/>
      <w:r w:rsidRPr="00CA682E">
        <w:rPr>
          <w:bCs/>
          <w:color w:val="000000" w:themeColor="text1"/>
          <w:sz w:val="20"/>
        </w:rPr>
        <w:t>costoeficaces</w:t>
      </w:r>
      <w:proofErr w:type="spellEnd"/>
      <w:r w:rsidRPr="00CA682E">
        <w:rPr>
          <w:bCs/>
          <w:color w:val="000000" w:themeColor="text1"/>
          <w:sz w:val="20"/>
        </w:rPr>
        <w:t xml:space="preserve"> de selección de proveedores es una necesidad en el ámbito de la gestión de las tecnologías de la información, en el que se espera poder, por una parte, contar con competencias diversificadas y ágiles y, por otra, con la posibilidad de movilizar rápidamente al personal para responder a las cambiantes prioridades de trabajo. Sin embargo, el aumento de las opciones de selección de proveedores también expone a un mayor riesgo la seguridad de la información.</w:t>
      </w:r>
    </w:p>
    <w:p w:rsidR="00CA682E" w:rsidRPr="00CA682E" w:rsidRDefault="00CA682E" w:rsidP="00CA682E">
      <w:pPr>
        <w:numPr>
          <w:ilvl w:val="0"/>
          <w:numId w:val="125"/>
        </w:numPr>
        <w:tabs>
          <w:tab w:val="left" w:pos="567"/>
        </w:tabs>
        <w:spacing w:after="220"/>
        <w:ind w:left="0" w:firstLine="0"/>
        <w:jc w:val="both"/>
        <w:rPr>
          <w:bCs/>
          <w:color w:val="000000" w:themeColor="text1"/>
          <w:sz w:val="20"/>
        </w:rPr>
      </w:pPr>
      <w:r w:rsidRPr="00CA682E">
        <w:rPr>
          <w:bCs/>
          <w:color w:val="000000" w:themeColor="text1"/>
          <w:sz w:val="20"/>
        </w:rPr>
        <w:t xml:space="preserve">Las tecnologías de cifrado de datos institucionales pueden brindar soluciones eficaces a esos dos desafíos. Esas soluciones complementan otras medidas de seguridad de la información mediante el cifrado de la fuente de los datos.  También permiten mayor flexibilidad para elegir proveedores de servicios </w:t>
      </w:r>
      <w:proofErr w:type="spellStart"/>
      <w:r w:rsidRPr="00CA682E">
        <w:rPr>
          <w:bCs/>
          <w:color w:val="000000" w:themeColor="text1"/>
          <w:sz w:val="20"/>
        </w:rPr>
        <w:t>costoeficaces</w:t>
      </w:r>
      <w:proofErr w:type="spellEnd"/>
      <w:r w:rsidRPr="00CA682E">
        <w:rPr>
          <w:bCs/>
          <w:color w:val="000000" w:themeColor="text1"/>
          <w:sz w:val="20"/>
        </w:rPr>
        <w:t>, por mantener el cifrado bajo estricto control, permitiendo al mismo tiempo a los proveedores de servicios realizar sus funciones de apoyo.</w:t>
      </w:r>
    </w:p>
    <w:p w:rsidR="00CA682E" w:rsidRPr="00CA682E" w:rsidRDefault="00CA682E" w:rsidP="00CA682E">
      <w:pPr>
        <w:numPr>
          <w:ilvl w:val="0"/>
          <w:numId w:val="125"/>
        </w:numPr>
        <w:tabs>
          <w:tab w:val="left" w:pos="567"/>
        </w:tabs>
        <w:spacing w:after="220"/>
        <w:ind w:left="0" w:firstLine="0"/>
        <w:jc w:val="both"/>
        <w:rPr>
          <w:bCs/>
          <w:color w:val="000000" w:themeColor="text1"/>
          <w:sz w:val="20"/>
        </w:rPr>
      </w:pPr>
      <w:r w:rsidRPr="00CA682E">
        <w:rPr>
          <w:bCs/>
          <w:color w:val="000000" w:themeColor="text1"/>
          <w:sz w:val="20"/>
        </w:rPr>
        <w:t xml:space="preserve">La eficacia en la gestión de los derechos de acceso es otro complemento de las inversiones en mecanismos de cifrado de datos institucionales.  Tradicionalmente, la gestión de los derechos de acceso ha girado en torno a los sistemas;  es decir que, en un determinado sistema, debe resultar claro quién tiene acceso a qué.  Ese mecanismo puede ser eficaz cuando el número de usuarios y de aplicaciones informáticas es relativamente pequeño. </w:t>
      </w:r>
    </w:p>
    <w:p w:rsidR="00CA682E" w:rsidRPr="00CA682E" w:rsidRDefault="00CA682E" w:rsidP="00CA682E">
      <w:pPr>
        <w:numPr>
          <w:ilvl w:val="0"/>
          <w:numId w:val="125"/>
        </w:numPr>
        <w:tabs>
          <w:tab w:val="left" w:pos="567"/>
        </w:tabs>
        <w:spacing w:after="220"/>
        <w:ind w:left="0" w:firstLine="0"/>
        <w:jc w:val="both"/>
        <w:rPr>
          <w:iCs/>
          <w:color w:val="000000" w:themeColor="text1"/>
          <w:sz w:val="20"/>
        </w:rPr>
      </w:pPr>
      <w:r w:rsidRPr="00CA682E">
        <w:rPr>
          <w:iCs/>
          <w:color w:val="000000" w:themeColor="text1"/>
          <w:sz w:val="20"/>
        </w:rPr>
        <w:t>Sin embargo, en la medida en que la OMPI siga ampliando sus servicios en línea, se prevé que el número de usuarios aumentará constantemente en los próximos años.  Es necesario invertir en mecanismos que centren los derechos de acceso en los usuarios.  Es decir, debe ser claro qué derechos de acceso tiene un determinado usuario en todo el espectro de sistemas.</w:t>
      </w:r>
    </w:p>
    <w:p w:rsidR="00CA682E" w:rsidRPr="00CA682E" w:rsidRDefault="00CA682E" w:rsidP="00CA682E">
      <w:pPr>
        <w:numPr>
          <w:ilvl w:val="0"/>
          <w:numId w:val="125"/>
        </w:numPr>
        <w:tabs>
          <w:tab w:val="left" w:pos="567"/>
        </w:tabs>
        <w:ind w:left="0" w:firstLine="0"/>
        <w:jc w:val="both"/>
        <w:rPr>
          <w:iCs/>
          <w:color w:val="000000" w:themeColor="text1"/>
          <w:sz w:val="20"/>
        </w:rPr>
      </w:pPr>
      <w:r w:rsidRPr="00CA682E">
        <w:rPr>
          <w:iCs/>
          <w:color w:val="000000" w:themeColor="text1"/>
          <w:sz w:val="20"/>
        </w:rPr>
        <w:t>En el futuro, es posible que las tecnologías estén en mejores condiciones de administrar los derechos de acceso según las funciones de los usuarios en sistemas complejos, por ejemplo, el de PRI, y entre esos sistemas.  Actualmente, es difícil pronosticar cómo y hacía dónde evolucionarán esas tecnologías.  Por lo tanto, ello no forma parte del alcance de este proyecto.</w:t>
      </w:r>
    </w:p>
    <w:p w:rsidR="00CA682E" w:rsidRPr="00CA682E" w:rsidRDefault="00CA682E" w:rsidP="00CA682E">
      <w:pPr>
        <w:tabs>
          <w:tab w:val="left" w:pos="567"/>
        </w:tabs>
        <w:jc w:val="both"/>
        <w:rPr>
          <w:iCs/>
          <w:color w:val="000000" w:themeColor="text1"/>
          <w:sz w:val="20"/>
        </w:rPr>
      </w:pPr>
    </w:p>
    <w:p w:rsidR="00CA682E" w:rsidRPr="00CA682E" w:rsidRDefault="00CA682E" w:rsidP="00CA682E">
      <w:pPr>
        <w:keepNext/>
        <w:keepLines/>
        <w:rPr>
          <w:rFonts w:eastAsia="Times New Roman" w:cs="Times New Roman"/>
          <w:bCs/>
          <w:color w:val="000000" w:themeColor="text1"/>
          <w:sz w:val="20"/>
          <w:lang w:eastAsia="en-US"/>
        </w:rPr>
      </w:pPr>
      <w:r w:rsidRPr="00CA682E">
        <w:rPr>
          <w:rFonts w:eastAsia="Times New Roman" w:cs="Times New Roman"/>
          <w:bCs/>
          <w:color w:val="000000" w:themeColor="text1"/>
          <w:sz w:val="20"/>
          <w:szCs w:val="24"/>
          <w:lang w:eastAsia="en-US"/>
        </w:rPr>
        <w:lastRenderedPageBreak/>
        <w:t>RESEÑA DE LOS AVANCES LOGRADOS EN 2015 (ETAPAS FUNDAMENTALES</w:t>
      </w:r>
    </w:p>
    <w:p w:rsidR="00CA682E" w:rsidRPr="00CA682E" w:rsidRDefault="00CA682E" w:rsidP="00CA682E">
      <w:pPr>
        <w:keepNext/>
        <w:keepLines/>
        <w:rPr>
          <w:rFonts w:eastAsia="Times New Roman" w:cs="Times New Roman"/>
          <w:bCs/>
          <w:color w:val="000000" w:themeColor="text1"/>
          <w:sz w:val="20"/>
          <w:lang w:eastAsia="en-US"/>
        </w:rPr>
      </w:pPr>
    </w:p>
    <w:p w:rsidR="00CA682E" w:rsidRPr="00CA682E" w:rsidRDefault="00CA682E" w:rsidP="00CA682E">
      <w:pPr>
        <w:numPr>
          <w:ilvl w:val="0"/>
          <w:numId w:val="125"/>
        </w:numPr>
        <w:tabs>
          <w:tab w:val="left" w:pos="567"/>
        </w:tabs>
        <w:ind w:left="0" w:firstLine="0"/>
        <w:jc w:val="both"/>
        <w:rPr>
          <w:bCs/>
          <w:color w:val="000000" w:themeColor="text1"/>
          <w:sz w:val="20"/>
        </w:rPr>
      </w:pPr>
      <w:r w:rsidRPr="00CA682E">
        <w:rPr>
          <w:bCs/>
          <w:color w:val="000000" w:themeColor="text1"/>
          <w:sz w:val="20"/>
        </w:rPr>
        <w:t>En 2015, los progresos en este proyecto fueron limitados debido a determinados requisitos operativos en materia de seguridad de la información y al establecimiento, en febrero de 2015, de una División de Seguridad y Aseguramiento de la Información.  Bajo la dirección del nuevo Oficial Principal de Seguridad, a mediados de 2015 se emprendió un proceso de selección de un experto independiente para efectuar una evaluación de la situación en materia de cifrado de datos y gestión de usuarios (gestión de la identidad y del acceso), a los fines de adoptar una arquitectura de referencia y una hoja de ruta para la aplicación de soluciones técnicas y de procedimiento. La evaluación se inició en noviembre de 2015.  Se espera finalizar la primera etapa a mediados de 2016, lo que será un punto de partida para definir con mayor detalle la ejecución del proyecto.</w:t>
      </w:r>
    </w:p>
    <w:p w:rsidR="00CA682E" w:rsidRPr="00CA682E" w:rsidRDefault="00CA682E" w:rsidP="00CA682E">
      <w:pPr>
        <w:jc w:val="both"/>
        <w:rPr>
          <w:rFonts w:eastAsia="Times New Roman" w:cs="Times New Roman"/>
          <w:bCs/>
          <w:color w:val="000000" w:themeColor="text1"/>
          <w:sz w:val="20"/>
          <w:lang w:eastAsia="en-US"/>
        </w:rPr>
      </w:pPr>
    </w:p>
    <w:p w:rsidR="00CA682E" w:rsidRPr="00CA682E" w:rsidRDefault="00CA682E" w:rsidP="00CA682E">
      <w:pPr>
        <w:numPr>
          <w:ilvl w:val="0"/>
          <w:numId w:val="125"/>
        </w:numPr>
        <w:tabs>
          <w:tab w:val="left" w:pos="567"/>
        </w:tabs>
        <w:ind w:left="0" w:firstLine="0"/>
        <w:jc w:val="both"/>
        <w:rPr>
          <w:bCs/>
          <w:color w:val="000000" w:themeColor="text1"/>
          <w:sz w:val="20"/>
        </w:rPr>
      </w:pPr>
      <w:r w:rsidRPr="00CA682E">
        <w:rPr>
          <w:bCs/>
          <w:color w:val="000000" w:themeColor="text1"/>
          <w:sz w:val="20"/>
        </w:rPr>
        <w:t xml:space="preserve">Dadas las medidas adicionales de diligencia debida, incluido un procedimiento más riguroso de aprobación a nivel interno, el proceso de selección del experto independiente llevó más tiempo de lo previsto, con el consiguiente retraso en el calendario del proyecto, que ha sido actualizado en consecuencia. </w:t>
      </w:r>
    </w:p>
    <w:p w:rsidR="00CA682E" w:rsidRPr="00CA682E" w:rsidRDefault="00CA682E" w:rsidP="00CA682E">
      <w:pPr>
        <w:keepNext/>
        <w:keepLines/>
        <w:rPr>
          <w:rFonts w:eastAsia="Times New Roman" w:cs="Times New Roman"/>
          <w:bCs/>
          <w:color w:val="000000" w:themeColor="text1"/>
          <w:sz w:val="20"/>
          <w:szCs w:val="22"/>
          <w:lang w:eastAsia="en-US"/>
        </w:rPr>
      </w:pPr>
    </w:p>
    <w:p w:rsidR="00CA682E" w:rsidRPr="00CA682E" w:rsidRDefault="00CA682E" w:rsidP="00CA682E">
      <w:pPr>
        <w:keepNext/>
        <w:keepLines/>
        <w:rPr>
          <w:rFonts w:eastAsia="Times New Roman" w:cs="Times New Roman"/>
          <w:bCs/>
          <w:color w:val="000000" w:themeColor="text1"/>
          <w:sz w:val="20"/>
          <w:szCs w:val="22"/>
          <w:lang w:eastAsia="en-US"/>
        </w:rPr>
      </w:pPr>
    </w:p>
    <w:p w:rsidR="00CA682E" w:rsidRPr="00CA682E" w:rsidRDefault="00CA682E" w:rsidP="00CA682E">
      <w:pPr>
        <w:keepNext/>
        <w:keepLines/>
        <w:rPr>
          <w:rFonts w:eastAsia="Times New Roman"/>
          <w:color w:val="000000" w:themeColor="text1"/>
          <w:sz w:val="20"/>
          <w:szCs w:val="22"/>
          <w:lang w:eastAsia="en-US"/>
        </w:rPr>
      </w:pPr>
      <w:r w:rsidRPr="00CA682E">
        <w:rPr>
          <w:rFonts w:eastAsia="Times New Roman" w:cs="Times New Roman"/>
          <w:bCs/>
          <w:color w:val="000000" w:themeColor="text1"/>
          <w:sz w:val="20"/>
          <w:szCs w:val="22"/>
          <w:lang w:eastAsia="en-US"/>
        </w:rPr>
        <w:t>OBTENCIÓN DE BENEFICIOS</w:t>
      </w:r>
    </w:p>
    <w:p w:rsidR="00CA682E" w:rsidRPr="00CA682E" w:rsidRDefault="00CA682E" w:rsidP="00CA682E">
      <w:pPr>
        <w:keepNext/>
        <w:keepLines/>
        <w:rPr>
          <w:rFonts w:eastAsia="Times New Roman"/>
          <w:color w:val="000000" w:themeColor="text1"/>
          <w:szCs w:val="22"/>
          <w:lang w:eastAsia="en-US"/>
        </w:rPr>
      </w:pPr>
    </w:p>
    <w:tbl>
      <w:tblPr>
        <w:tblW w:w="3693" w:type="pct"/>
        <w:jc w:val="center"/>
        <w:tblInd w:w="-2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69"/>
      </w:tblGrid>
      <w:tr w:rsidR="00CA682E" w:rsidRPr="00CA682E" w:rsidTr="007B1DE4">
        <w:trPr>
          <w:trHeight w:val="535"/>
          <w:tblHeader/>
          <w:jc w:val="center"/>
        </w:trPr>
        <w:tc>
          <w:tcPr>
            <w:tcW w:w="5000" w:type="pct"/>
            <w:shd w:val="clear" w:color="auto" w:fill="C6D9F1" w:themeFill="text2" w:themeFillTint="33"/>
            <w:vAlign w:val="center"/>
          </w:tcPr>
          <w:p w:rsidR="00CA682E" w:rsidRPr="00CA682E" w:rsidRDefault="00CA682E" w:rsidP="00CA682E">
            <w:pPr>
              <w:jc w:val="center"/>
              <w:rPr>
                <w:rFonts w:eastAsia="Times New Roman" w:cs="Times New Roman"/>
                <w:b/>
                <w:bCs/>
                <w:color w:val="000000" w:themeColor="text1"/>
                <w:sz w:val="16"/>
                <w:szCs w:val="16"/>
                <w:lang w:eastAsia="en-US"/>
              </w:rPr>
            </w:pPr>
            <w:r w:rsidRPr="00CA682E">
              <w:rPr>
                <w:rFonts w:eastAsia="Times New Roman" w:cs="Times New Roman"/>
                <w:b/>
                <w:bCs/>
                <w:color w:val="000000" w:themeColor="text1"/>
                <w:sz w:val="16"/>
                <w:szCs w:val="16"/>
                <w:lang w:eastAsia="en-US"/>
              </w:rPr>
              <w:t>Beneficios previstos para 2017</w:t>
            </w:r>
          </w:p>
        </w:tc>
      </w:tr>
      <w:tr w:rsidR="00CA682E" w:rsidRPr="00CA682E" w:rsidTr="007B1DE4">
        <w:trPr>
          <w:trHeight w:val="564"/>
          <w:jc w:val="center"/>
        </w:trPr>
        <w:tc>
          <w:tcPr>
            <w:tcW w:w="5000" w:type="pct"/>
            <w:shd w:val="clear" w:color="auto" w:fill="auto"/>
          </w:tcPr>
          <w:p w:rsidR="00CA682E" w:rsidRPr="00CA682E" w:rsidRDefault="00CA682E" w:rsidP="00CA682E">
            <w:pPr>
              <w:rPr>
                <w:rFonts w:eastAsia="Times New Roman" w:cs="Times New Roman"/>
                <w:bCs/>
                <w:iCs/>
                <w:color w:val="000000" w:themeColor="text1"/>
                <w:sz w:val="16"/>
                <w:szCs w:val="16"/>
                <w:lang w:eastAsia="en-US"/>
              </w:rPr>
            </w:pPr>
          </w:p>
          <w:p w:rsidR="00CA682E" w:rsidRPr="00CA682E" w:rsidRDefault="00CA682E" w:rsidP="00CA682E">
            <w:pPr>
              <w:rPr>
                <w:rFonts w:eastAsia="Times New Roman" w:cs="Times New Roman"/>
                <w:bCs/>
                <w:iCs/>
                <w:color w:val="000000" w:themeColor="text1"/>
                <w:sz w:val="16"/>
                <w:szCs w:val="16"/>
                <w:lang w:eastAsia="en-US"/>
              </w:rPr>
            </w:pPr>
            <w:r w:rsidRPr="00CA682E">
              <w:rPr>
                <w:rFonts w:eastAsia="Times New Roman" w:cs="Times New Roman"/>
                <w:bCs/>
                <w:iCs/>
                <w:color w:val="000000" w:themeColor="text1"/>
                <w:sz w:val="16"/>
                <w:szCs w:val="16"/>
                <w:lang w:eastAsia="en-US"/>
              </w:rPr>
              <w:t>La puesta en práctica de soluciones técnicas, y de arquitectura y procedimiento para mejorar la gestión de la identidad y el acceso y el cifrado tendrá las siguientes consecuencias:</w:t>
            </w:r>
          </w:p>
          <w:p w:rsidR="00CA682E" w:rsidRPr="00CA682E" w:rsidRDefault="00CA682E" w:rsidP="00CA682E">
            <w:pPr>
              <w:rPr>
                <w:rFonts w:eastAsia="Times New Roman" w:cs="Times New Roman"/>
                <w:bCs/>
                <w:iCs/>
                <w:color w:val="000000" w:themeColor="text1"/>
                <w:sz w:val="16"/>
                <w:szCs w:val="16"/>
                <w:lang w:eastAsia="en-US"/>
              </w:rPr>
            </w:pPr>
          </w:p>
          <w:p w:rsidR="00CA682E" w:rsidRPr="00CA682E" w:rsidRDefault="00CA682E" w:rsidP="00CA682E">
            <w:pPr>
              <w:numPr>
                <w:ilvl w:val="0"/>
                <w:numId w:val="132"/>
              </w:numPr>
              <w:rPr>
                <w:rFonts w:eastAsia="Times New Roman" w:cs="Times New Roman"/>
                <w:bCs/>
                <w:iCs/>
                <w:color w:val="000000" w:themeColor="text1"/>
                <w:sz w:val="16"/>
                <w:szCs w:val="16"/>
                <w:lang w:eastAsia="en-US"/>
              </w:rPr>
            </w:pPr>
            <w:r w:rsidRPr="00CA682E">
              <w:rPr>
                <w:rFonts w:eastAsia="Times New Roman" w:cs="Times New Roman"/>
                <w:bCs/>
                <w:iCs/>
                <w:color w:val="000000" w:themeColor="text1"/>
                <w:sz w:val="16"/>
                <w:szCs w:val="16"/>
                <w:lang w:eastAsia="en-US"/>
              </w:rPr>
              <w:t>la normalización y reutilización de la arquitectura de seguridad de referencia en los principales sistemas y aplicaciones de la OMPI;  y</w:t>
            </w:r>
          </w:p>
          <w:p w:rsidR="00CA682E" w:rsidRPr="00CA682E" w:rsidRDefault="00CA682E" w:rsidP="00CA682E">
            <w:pPr>
              <w:numPr>
                <w:ilvl w:val="0"/>
                <w:numId w:val="132"/>
              </w:numPr>
              <w:rPr>
                <w:rFonts w:eastAsia="Times New Roman" w:cs="Times New Roman"/>
                <w:bCs/>
                <w:iCs/>
                <w:color w:val="000000" w:themeColor="text1"/>
                <w:sz w:val="16"/>
                <w:szCs w:val="16"/>
                <w:lang w:eastAsia="en-US"/>
              </w:rPr>
            </w:pPr>
            <w:r w:rsidRPr="00CA682E">
              <w:rPr>
                <w:rFonts w:eastAsia="Times New Roman" w:cs="Times New Roman"/>
                <w:bCs/>
                <w:iCs/>
                <w:color w:val="000000" w:themeColor="text1"/>
                <w:sz w:val="16"/>
                <w:szCs w:val="16"/>
                <w:lang w:eastAsia="en-US"/>
              </w:rPr>
              <w:t xml:space="preserve">el aumento de la protección de los activos de información confidencial contra el acceso y/o la divulgación no autorizados. </w:t>
            </w:r>
          </w:p>
        </w:tc>
      </w:tr>
    </w:tbl>
    <w:p w:rsidR="00CA682E" w:rsidRPr="00CA682E" w:rsidRDefault="00CA682E" w:rsidP="00CA682E">
      <w:pPr>
        <w:keepNext/>
        <w:keepLines/>
        <w:rPr>
          <w:rFonts w:eastAsia="Times New Roman"/>
          <w:color w:val="000000" w:themeColor="text1"/>
          <w:sz w:val="20"/>
          <w:szCs w:val="22"/>
          <w:lang w:eastAsia="en-US"/>
        </w:rPr>
      </w:pPr>
    </w:p>
    <w:p w:rsidR="00CA682E" w:rsidRPr="00CA682E" w:rsidRDefault="00CA682E" w:rsidP="00CA682E">
      <w:pPr>
        <w:keepNext/>
        <w:keepLines/>
        <w:rPr>
          <w:rFonts w:eastAsia="Times New Roman"/>
          <w:color w:val="000000" w:themeColor="text1"/>
          <w:sz w:val="20"/>
          <w:szCs w:val="22"/>
          <w:lang w:eastAsia="en-US"/>
        </w:rPr>
      </w:pPr>
    </w:p>
    <w:p w:rsidR="00CA682E" w:rsidRPr="00CA682E" w:rsidRDefault="00CA682E" w:rsidP="00CA682E">
      <w:pPr>
        <w:rPr>
          <w:rFonts w:eastAsia="Times New Roman"/>
          <w:color w:val="000000" w:themeColor="text1"/>
          <w:sz w:val="20"/>
          <w:lang w:eastAsia="en-US"/>
        </w:rPr>
      </w:pPr>
      <w:r w:rsidRPr="00CA682E">
        <w:rPr>
          <w:rFonts w:eastAsia="Times New Roman" w:cs="Times New Roman"/>
          <w:color w:val="000000" w:themeColor="text1"/>
          <w:sz w:val="20"/>
          <w:szCs w:val="24"/>
          <w:lang w:eastAsia="en-US"/>
        </w:rPr>
        <w:t>UTILIZACIÓN DE LOS RECURSOS</w:t>
      </w:r>
      <w:r w:rsidRPr="00CA682E">
        <w:rPr>
          <w:rFonts w:eastAsia="Times New Roman" w:cs="Times New Roman"/>
          <w:color w:val="000000" w:themeColor="text1"/>
          <w:sz w:val="20"/>
          <w:vertAlign w:val="superscript"/>
          <w:lang w:eastAsia="en-US"/>
        </w:rPr>
        <w:footnoteReference w:id="172"/>
      </w:r>
    </w:p>
    <w:p w:rsidR="00CA682E" w:rsidRPr="00CA682E" w:rsidRDefault="00CA682E" w:rsidP="00CA682E">
      <w:pPr>
        <w:keepNext/>
        <w:keepLines/>
        <w:rPr>
          <w:rFonts w:eastAsia="Times New Roman"/>
          <w:color w:val="000000" w:themeColor="text1"/>
          <w:sz w:val="20"/>
          <w:lang w:eastAsia="en-US"/>
        </w:rPr>
      </w:pPr>
    </w:p>
    <w:p w:rsidR="00CA682E" w:rsidRPr="00CA682E" w:rsidRDefault="00CA682E" w:rsidP="00CA682E">
      <w:pPr>
        <w:keepNext/>
        <w:keepLines/>
        <w:tabs>
          <w:tab w:val="left" w:pos="3261"/>
        </w:tabs>
        <w:autoSpaceDE w:val="0"/>
        <w:autoSpaceDN w:val="0"/>
        <w:adjustRightInd w:val="0"/>
        <w:jc w:val="center"/>
        <w:rPr>
          <w:rFonts w:eastAsia="Times New Roman" w:cs="Times New Roman"/>
          <w:b/>
          <w:color w:val="000000" w:themeColor="text1"/>
          <w:sz w:val="20"/>
          <w:szCs w:val="22"/>
          <w:lang w:eastAsia="en-US"/>
        </w:rPr>
      </w:pPr>
      <w:r w:rsidRPr="00CA682E">
        <w:rPr>
          <w:rFonts w:eastAsia="Times New Roman" w:cs="Times New Roman"/>
          <w:b/>
          <w:color w:val="000000" w:themeColor="text1"/>
          <w:sz w:val="20"/>
          <w:szCs w:val="22"/>
          <w:lang w:eastAsia="en-US"/>
        </w:rPr>
        <w:t>Utilización del presupuesto del proyecto</w:t>
      </w:r>
    </w:p>
    <w:p w:rsidR="00CA682E" w:rsidRPr="00CA682E" w:rsidRDefault="00CA682E" w:rsidP="00CA682E">
      <w:pPr>
        <w:keepNext/>
        <w:keepLines/>
        <w:tabs>
          <w:tab w:val="left" w:pos="3261"/>
        </w:tabs>
        <w:autoSpaceDE w:val="0"/>
        <w:autoSpaceDN w:val="0"/>
        <w:adjustRightInd w:val="0"/>
        <w:spacing w:after="120"/>
        <w:jc w:val="center"/>
        <w:rPr>
          <w:rFonts w:eastAsia="Times New Roman"/>
          <w:color w:val="000000" w:themeColor="text1"/>
          <w:szCs w:val="22"/>
          <w:lang w:eastAsia="en-US"/>
        </w:rPr>
      </w:pPr>
      <w:r w:rsidRPr="00CA682E">
        <w:rPr>
          <w:rFonts w:eastAsia="Times New Roman" w:cs="Times New Roman"/>
          <w:i/>
          <w:iCs/>
          <w:color w:val="000000" w:themeColor="text1"/>
          <w:sz w:val="18"/>
          <w:szCs w:val="18"/>
          <w:lang w:eastAsia="en-US"/>
        </w:rPr>
        <w:t>(</w:t>
      </w:r>
      <w:proofErr w:type="gramStart"/>
      <w:r w:rsidRPr="00CA682E">
        <w:rPr>
          <w:rFonts w:eastAsia="Times New Roman" w:cs="Times New Roman"/>
          <w:i/>
          <w:iCs/>
          <w:color w:val="000000" w:themeColor="text1"/>
          <w:sz w:val="18"/>
          <w:szCs w:val="18"/>
          <w:lang w:eastAsia="en-US"/>
        </w:rPr>
        <w:t>en</w:t>
      </w:r>
      <w:proofErr w:type="gramEnd"/>
      <w:r w:rsidRPr="00CA682E">
        <w:rPr>
          <w:rFonts w:eastAsia="Times New Roman" w:cs="Times New Roman"/>
          <w:i/>
          <w:iCs/>
          <w:color w:val="000000" w:themeColor="text1"/>
          <w:sz w:val="18"/>
          <w:szCs w:val="18"/>
          <w:lang w:eastAsia="en-US"/>
        </w:rPr>
        <w:t xml:space="preserve"> francos suizos, al 31 de diciembre de 2015)</w:t>
      </w:r>
    </w:p>
    <w:tbl>
      <w:tblPr>
        <w:tblpPr w:leftFromText="180" w:rightFromText="180" w:vertAnchor="text" w:horzAnchor="margin" w:tblpX="182" w:tblpY="17"/>
        <w:tblW w:w="48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6"/>
        <w:gridCol w:w="1418"/>
        <w:gridCol w:w="1565"/>
        <w:gridCol w:w="1565"/>
        <w:gridCol w:w="1564"/>
      </w:tblGrid>
      <w:tr w:rsidR="00CA682E" w:rsidRPr="00CA682E" w:rsidTr="007B1DE4">
        <w:trPr>
          <w:trHeight w:val="410"/>
        </w:trPr>
        <w:tc>
          <w:tcPr>
            <w:tcW w:w="1677"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keepNext/>
              <w:keepLines/>
              <w:autoSpaceDE w:val="0"/>
              <w:autoSpaceDN w:val="0"/>
              <w:adjustRightInd w:val="0"/>
              <w:spacing w:before="40" w:after="40"/>
              <w:ind w:left="-74" w:right="-60"/>
              <w:jc w:val="center"/>
              <w:rPr>
                <w:rFonts w:eastAsia="Times New Roman" w:cs="Times New Roman"/>
                <w:b/>
                <w:bCs/>
                <w:color w:val="000000" w:themeColor="text1"/>
                <w:sz w:val="16"/>
                <w:szCs w:val="16"/>
                <w:lang w:eastAsia="en-US"/>
              </w:rPr>
            </w:pPr>
            <w:r w:rsidRPr="00CA682E">
              <w:rPr>
                <w:rFonts w:eastAsia="Times New Roman" w:cs="Times New Roman"/>
                <w:b/>
                <w:bCs/>
                <w:color w:val="000000" w:themeColor="text1"/>
                <w:sz w:val="16"/>
                <w:szCs w:val="16"/>
                <w:lang w:eastAsia="en-US"/>
              </w:rPr>
              <w:t>Nombre del proyecto</w:t>
            </w:r>
          </w:p>
        </w:tc>
        <w:tc>
          <w:tcPr>
            <w:tcW w:w="77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keepNext/>
              <w:keepLines/>
              <w:autoSpaceDE w:val="0"/>
              <w:autoSpaceDN w:val="0"/>
              <w:adjustRightInd w:val="0"/>
              <w:spacing w:before="40" w:after="40"/>
              <w:ind w:left="-107" w:right="-108"/>
              <w:jc w:val="center"/>
              <w:rPr>
                <w:rFonts w:eastAsia="Times New Roman" w:cs="Times New Roman"/>
                <w:b/>
                <w:bCs/>
                <w:color w:val="000000" w:themeColor="text1"/>
                <w:sz w:val="16"/>
                <w:szCs w:val="16"/>
                <w:lang w:eastAsia="en-US"/>
              </w:rPr>
            </w:pPr>
            <w:r w:rsidRPr="00CA682E">
              <w:rPr>
                <w:rFonts w:eastAsia="Times New Roman" w:cs="Times New Roman"/>
                <w:b/>
                <w:bCs/>
                <w:color w:val="000000" w:themeColor="text1"/>
                <w:sz w:val="16"/>
                <w:szCs w:val="16"/>
                <w:lang w:eastAsia="en-US"/>
              </w:rPr>
              <w:t>Presupuesto del proyecto</w:t>
            </w:r>
          </w:p>
        </w:tc>
        <w:tc>
          <w:tcPr>
            <w:tcW w:w="85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keepNext/>
              <w:keepLines/>
              <w:autoSpaceDE w:val="0"/>
              <w:autoSpaceDN w:val="0"/>
              <w:adjustRightInd w:val="0"/>
              <w:spacing w:before="40" w:after="40"/>
              <w:ind w:left="-108" w:right="-106"/>
              <w:jc w:val="center"/>
              <w:rPr>
                <w:rFonts w:eastAsia="Times New Roman" w:cs="Times New Roman"/>
                <w:b/>
                <w:bCs/>
                <w:color w:val="000000" w:themeColor="text1"/>
                <w:sz w:val="16"/>
                <w:szCs w:val="16"/>
                <w:lang w:eastAsia="en-US"/>
              </w:rPr>
            </w:pPr>
            <w:r w:rsidRPr="00CA682E">
              <w:rPr>
                <w:rFonts w:eastAsia="Times New Roman" w:cs="Times New Roman"/>
                <w:b/>
                <w:bCs/>
                <w:color w:val="000000" w:themeColor="text1"/>
                <w:sz w:val="16"/>
                <w:szCs w:val="16"/>
                <w:lang w:eastAsia="en-US"/>
              </w:rPr>
              <w:t>Gasto real hasta la fecha</w:t>
            </w:r>
          </w:p>
        </w:tc>
        <w:tc>
          <w:tcPr>
            <w:tcW w:w="85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keepNext/>
              <w:keepLines/>
              <w:autoSpaceDE w:val="0"/>
              <w:autoSpaceDN w:val="0"/>
              <w:adjustRightInd w:val="0"/>
              <w:spacing w:before="40" w:after="40"/>
              <w:ind w:left="-109" w:right="-108"/>
              <w:jc w:val="center"/>
              <w:rPr>
                <w:rFonts w:eastAsia="Times New Roman" w:cs="Times New Roman"/>
                <w:b/>
                <w:bCs/>
                <w:color w:val="000000" w:themeColor="text1"/>
                <w:sz w:val="16"/>
                <w:szCs w:val="16"/>
                <w:lang w:eastAsia="en-US"/>
              </w:rPr>
            </w:pPr>
            <w:r w:rsidRPr="00CA682E">
              <w:rPr>
                <w:rFonts w:eastAsia="Times New Roman" w:cs="Times New Roman"/>
                <w:b/>
                <w:bCs/>
                <w:color w:val="000000" w:themeColor="text1"/>
                <w:sz w:val="16"/>
                <w:szCs w:val="16"/>
                <w:lang w:eastAsia="en-US"/>
              </w:rPr>
              <w:t>Utilización real del presupuesto</w:t>
            </w:r>
          </w:p>
        </w:tc>
        <w:tc>
          <w:tcPr>
            <w:tcW w:w="85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keepNext/>
              <w:keepLines/>
              <w:autoSpaceDE w:val="0"/>
              <w:autoSpaceDN w:val="0"/>
              <w:adjustRightInd w:val="0"/>
              <w:spacing w:before="40" w:after="40"/>
              <w:ind w:left="-109" w:right="-73" w:firstLine="1"/>
              <w:jc w:val="center"/>
              <w:rPr>
                <w:rFonts w:eastAsia="Times New Roman" w:cs="Times New Roman"/>
                <w:b/>
                <w:bCs/>
                <w:color w:val="000000" w:themeColor="text1"/>
                <w:sz w:val="16"/>
                <w:szCs w:val="16"/>
                <w:lang w:eastAsia="en-US"/>
              </w:rPr>
            </w:pPr>
            <w:r w:rsidRPr="00CA682E">
              <w:rPr>
                <w:rFonts w:eastAsia="Times New Roman" w:cs="Times New Roman"/>
                <w:b/>
                <w:bCs/>
                <w:color w:val="000000" w:themeColor="text1"/>
                <w:sz w:val="16"/>
                <w:szCs w:val="16"/>
                <w:lang w:eastAsia="en-US"/>
              </w:rPr>
              <w:t>Índice de avance en la ejecución del proyecto</w:t>
            </w:r>
          </w:p>
        </w:tc>
      </w:tr>
      <w:tr w:rsidR="00CA682E" w:rsidRPr="00CA682E" w:rsidTr="007B1DE4">
        <w:trPr>
          <w:trHeight w:val="389"/>
        </w:trPr>
        <w:tc>
          <w:tcPr>
            <w:tcW w:w="1677"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Mejora de la seguridad:  cifrado de datos y gestión de usuarios</w:t>
            </w:r>
          </w:p>
          <w:p w:rsidR="00CA682E" w:rsidRPr="00CA682E" w:rsidRDefault="00CA682E" w:rsidP="00CA682E">
            <w:pPr>
              <w:keepNext/>
              <w:keepLines/>
              <w:autoSpaceDE w:val="0"/>
              <w:autoSpaceDN w:val="0"/>
              <w:adjustRightInd w:val="0"/>
              <w:spacing w:before="40" w:after="40"/>
              <w:rPr>
                <w:rFonts w:eastAsia="Times New Roman" w:cs="Times New Roman"/>
                <w:color w:val="000000" w:themeColor="text1"/>
                <w:sz w:val="16"/>
                <w:szCs w:val="16"/>
                <w:lang w:eastAsia="en-US"/>
              </w:rPr>
            </w:pPr>
          </w:p>
        </w:tc>
        <w:tc>
          <w:tcPr>
            <w:tcW w:w="771"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700.000</w:t>
            </w:r>
          </w:p>
        </w:tc>
        <w:tc>
          <w:tcPr>
            <w:tcW w:w="851"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0</w:t>
            </w:r>
          </w:p>
        </w:tc>
        <w:tc>
          <w:tcPr>
            <w:tcW w:w="851"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0%</w:t>
            </w:r>
          </w:p>
        </w:tc>
        <w:tc>
          <w:tcPr>
            <w:tcW w:w="850"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15%</w:t>
            </w:r>
          </w:p>
        </w:tc>
      </w:tr>
    </w:tbl>
    <w:p w:rsidR="00CA682E" w:rsidRPr="00CA682E" w:rsidRDefault="00CA682E" w:rsidP="00CA682E">
      <w:pPr>
        <w:keepNext/>
        <w:keepLines/>
        <w:tabs>
          <w:tab w:val="left" w:pos="3261"/>
        </w:tabs>
        <w:autoSpaceDE w:val="0"/>
        <w:autoSpaceDN w:val="0"/>
        <w:adjustRightInd w:val="0"/>
        <w:jc w:val="center"/>
        <w:rPr>
          <w:rFonts w:eastAsia="Times New Roman" w:cs="Times New Roman"/>
          <w:b/>
          <w:color w:val="000000" w:themeColor="text1"/>
          <w:sz w:val="20"/>
          <w:lang w:eastAsia="en-US"/>
        </w:rPr>
      </w:pPr>
    </w:p>
    <w:p w:rsidR="00CA682E" w:rsidRPr="00CA682E" w:rsidRDefault="00CA682E" w:rsidP="00CA682E">
      <w:pPr>
        <w:tabs>
          <w:tab w:val="left" w:pos="3261"/>
        </w:tabs>
        <w:autoSpaceDE w:val="0"/>
        <w:autoSpaceDN w:val="0"/>
        <w:adjustRightInd w:val="0"/>
        <w:jc w:val="center"/>
        <w:rPr>
          <w:rFonts w:eastAsia="Times New Roman" w:cs="Times New Roman"/>
          <w:b/>
          <w:color w:val="000000" w:themeColor="text1"/>
          <w:sz w:val="20"/>
          <w:szCs w:val="24"/>
          <w:lang w:eastAsia="en-US"/>
        </w:rPr>
      </w:pPr>
      <w:r w:rsidRPr="00CA682E">
        <w:rPr>
          <w:rFonts w:eastAsia="Times New Roman" w:cs="Times New Roman"/>
          <w:b/>
          <w:color w:val="000000" w:themeColor="text1"/>
          <w:sz w:val="20"/>
          <w:szCs w:val="24"/>
          <w:lang w:eastAsia="en-US"/>
        </w:rPr>
        <w:t>Utilización del presupuesto del proyecto (por etapa)</w:t>
      </w:r>
    </w:p>
    <w:p w:rsidR="00CA682E" w:rsidRPr="00CA682E" w:rsidRDefault="00CA682E" w:rsidP="00CA682E">
      <w:pPr>
        <w:keepNext/>
        <w:keepLines/>
        <w:tabs>
          <w:tab w:val="left" w:pos="3261"/>
        </w:tabs>
        <w:autoSpaceDE w:val="0"/>
        <w:autoSpaceDN w:val="0"/>
        <w:adjustRightInd w:val="0"/>
        <w:spacing w:after="120"/>
        <w:jc w:val="center"/>
        <w:rPr>
          <w:rFonts w:eastAsia="Times New Roman" w:cs="Times New Roman"/>
          <w:i/>
          <w:iCs/>
          <w:color w:val="000000" w:themeColor="text1"/>
          <w:sz w:val="18"/>
          <w:szCs w:val="18"/>
          <w:lang w:eastAsia="en-US"/>
        </w:rPr>
      </w:pPr>
      <w:r w:rsidRPr="00CA682E">
        <w:rPr>
          <w:rFonts w:eastAsia="Times New Roman" w:cs="Times New Roman"/>
          <w:i/>
          <w:iCs/>
          <w:color w:val="000000" w:themeColor="text1"/>
          <w:sz w:val="18"/>
          <w:szCs w:val="18"/>
          <w:lang w:eastAsia="en-US"/>
        </w:rPr>
        <w:t>(</w:t>
      </w:r>
      <w:proofErr w:type="gramStart"/>
      <w:r w:rsidRPr="00CA682E">
        <w:rPr>
          <w:rFonts w:eastAsia="Times New Roman" w:cs="Times New Roman"/>
          <w:i/>
          <w:iCs/>
          <w:color w:val="000000" w:themeColor="text1"/>
          <w:sz w:val="18"/>
          <w:szCs w:val="18"/>
          <w:lang w:eastAsia="en-US"/>
        </w:rPr>
        <w:t>en</w:t>
      </w:r>
      <w:proofErr w:type="gramEnd"/>
      <w:r w:rsidRPr="00CA682E">
        <w:rPr>
          <w:rFonts w:eastAsia="Times New Roman" w:cs="Times New Roman"/>
          <w:i/>
          <w:iCs/>
          <w:color w:val="000000" w:themeColor="text1"/>
          <w:sz w:val="18"/>
          <w:szCs w:val="18"/>
          <w:lang w:eastAsia="en-US"/>
        </w:rPr>
        <w:t xml:space="preserve"> francos suizos, al 31 de diciembre de 2015)</w:t>
      </w:r>
    </w:p>
    <w:tbl>
      <w:tblPr>
        <w:tblpPr w:leftFromText="180" w:rightFromText="180" w:vertAnchor="text" w:horzAnchor="margin" w:tblpX="182" w:tblpY="17"/>
        <w:tblW w:w="48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4"/>
        <w:gridCol w:w="1389"/>
        <w:gridCol w:w="1575"/>
        <w:gridCol w:w="1575"/>
        <w:gridCol w:w="1575"/>
      </w:tblGrid>
      <w:tr w:rsidR="00CA682E" w:rsidRPr="00CA682E" w:rsidTr="007B1DE4">
        <w:trPr>
          <w:trHeight w:val="410"/>
        </w:trPr>
        <w:tc>
          <w:tcPr>
            <w:tcW w:w="1677"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keepNext/>
              <w:keepLines/>
              <w:autoSpaceDE w:val="0"/>
              <w:autoSpaceDN w:val="0"/>
              <w:adjustRightInd w:val="0"/>
              <w:spacing w:before="40" w:after="40"/>
              <w:ind w:left="-74" w:right="-60"/>
              <w:jc w:val="center"/>
              <w:rPr>
                <w:rFonts w:eastAsia="Times New Roman" w:cs="Times New Roman"/>
                <w:b/>
                <w:bCs/>
                <w:color w:val="000000" w:themeColor="text1"/>
                <w:sz w:val="16"/>
                <w:szCs w:val="16"/>
                <w:lang w:eastAsia="en-US"/>
              </w:rPr>
            </w:pPr>
            <w:r w:rsidRPr="00CA682E">
              <w:rPr>
                <w:rFonts w:eastAsia="Times New Roman" w:cs="Times New Roman"/>
                <w:b/>
                <w:bCs/>
                <w:color w:val="000000" w:themeColor="text1"/>
                <w:sz w:val="16"/>
                <w:szCs w:val="16"/>
                <w:lang w:eastAsia="en-US"/>
              </w:rPr>
              <w:t>Etapa fundamental</w:t>
            </w:r>
          </w:p>
        </w:tc>
        <w:tc>
          <w:tcPr>
            <w:tcW w:w="755"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keepNext/>
              <w:keepLines/>
              <w:autoSpaceDE w:val="0"/>
              <w:autoSpaceDN w:val="0"/>
              <w:adjustRightInd w:val="0"/>
              <w:spacing w:before="40" w:after="40"/>
              <w:ind w:left="-107" w:right="-108"/>
              <w:jc w:val="center"/>
              <w:rPr>
                <w:rFonts w:eastAsia="Times New Roman" w:cs="Times New Roman"/>
                <w:b/>
                <w:bCs/>
                <w:color w:val="000000" w:themeColor="text1"/>
                <w:sz w:val="16"/>
                <w:szCs w:val="16"/>
                <w:lang w:eastAsia="en-US"/>
              </w:rPr>
            </w:pPr>
            <w:r w:rsidRPr="00CA682E">
              <w:rPr>
                <w:rFonts w:eastAsia="Times New Roman" w:cs="Times New Roman"/>
                <w:b/>
                <w:bCs/>
                <w:color w:val="000000" w:themeColor="text1"/>
                <w:sz w:val="16"/>
                <w:szCs w:val="16"/>
                <w:lang w:eastAsia="en-US"/>
              </w:rPr>
              <w:t>Presupuesto del proyecto</w:t>
            </w:r>
          </w:p>
        </w:tc>
        <w:tc>
          <w:tcPr>
            <w:tcW w:w="85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keepNext/>
              <w:keepLines/>
              <w:autoSpaceDE w:val="0"/>
              <w:autoSpaceDN w:val="0"/>
              <w:adjustRightInd w:val="0"/>
              <w:spacing w:before="40" w:after="40"/>
              <w:ind w:left="-108" w:right="-106"/>
              <w:jc w:val="center"/>
              <w:rPr>
                <w:rFonts w:eastAsia="Times New Roman" w:cs="Times New Roman"/>
                <w:b/>
                <w:bCs/>
                <w:color w:val="000000" w:themeColor="text1"/>
                <w:sz w:val="16"/>
                <w:szCs w:val="16"/>
                <w:lang w:eastAsia="en-US"/>
              </w:rPr>
            </w:pPr>
            <w:r w:rsidRPr="00CA682E">
              <w:rPr>
                <w:rFonts w:eastAsia="Times New Roman" w:cs="Times New Roman"/>
                <w:b/>
                <w:bCs/>
                <w:color w:val="000000" w:themeColor="text1"/>
                <w:sz w:val="16"/>
                <w:szCs w:val="16"/>
                <w:lang w:eastAsia="en-US"/>
              </w:rPr>
              <w:t>Gasto real hasta la fecha</w:t>
            </w:r>
          </w:p>
        </w:tc>
        <w:tc>
          <w:tcPr>
            <w:tcW w:w="85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keepNext/>
              <w:keepLines/>
              <w:autoSpaceDE w:val="0"/>
              <w:autoSpaceDN w:val="0"/>
              <w:adjustRightInd w:val="0"/>
              <w:spacing w:before="40" w:after="40"/>
              <w:ind w:left="-109" w:right="-108"/>
              <w:jc w:val="center"/>
              <w:rPr>
                <w:rFonts w:eastAsia="Times New Roman" w:cs="Times New Roman"/>
                <w:b/>
                <w:bCs/>
                <w:color w:val="000000" w:themeColor="text1"/>
                <w:sz w:val="16"/>
                <w:szCs w:val="16"/>
                <w:lang w:eastAsia="en-US"/>
              </w:rPr>
            </w:pPr>
            <w:r w:rsidRPr="00CA682E">
              <w:rPr>
                <w:rFonts w:eastAsia="Times New Roman" w:cs="Times New Roman"/>
                <w:b/>
                <w:bCs/>
                <w:color w:val="000000" w:themeColor="text1"/>
                <w:sz w:val="16"/>
                <w:szCs w:val="16"/>
                <w:lang w:eastAsia="en-US"/>
              </w:rPr>
              <w:t>Utilización real del presupuesto</w:t>
            </w:r>
          </w:p>
        </w:tc>
        <w:tc>
          <w:tcPr>
            <w:tcW w:w="85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keepNext/>
              <w:keepLines/>
              <w:autoSpaceDE w:val="0"/>
              <w:autoSpaceDN w:val="0"/>
              <w:adjustRightInd w:val="0"/>
              <w:spacing w:before="40" w:after="40"/>
              <w:ind w:left="-109" w:right="-73" w:firstLine="1"/>
              <w:jc w:val="center"/>
              <w:rPr>
                <w:rFonts w:eastAsia="Times New Roman" w:cs="Times New Roman"/>
                <w:b/>
                <w:bCs/>
                <w:color w:val="000000" w:themeColor="text1"/>
                <w:sz w:val="16"/>
                <w:szCs w:val="16"/>
                <w:lang w:eastAsia="en-US"/>
              </w:rPr>
            </w:pPr>
            <w:r w:rsidRPr="00CA682E">
              <w:rPr>
                <w:rFonts w:eastAsia="Times New Roman" w:cs="Times New Roman"/>
                <w:b/>
                <w:bCs/>
                <w:color w:val="000000" w:themeColor="text1"/>
                <w:sz w:val="16"/>
                <w:szCs w:val="16"/>
                <w:lang w:eastAsia="en-US"/>
              </w:rPr>
              <w:t>Índice de avance en la ejecución, por etapa</w:t>
            </w:r>
          </w:p>
        </w:tc>
      </w:tr>
      <w:tr w:rsidR="00CA682E" w:rsidRPr="00CA682E" w:rsidTr="007B1DE4">
        <w:trPr>
          <w:trHeight w:val="389"/>
        </w:trPr>
        <w:tc>
          <w:tcPr>
            <w:tcW w:w="1677"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Evaluación de la situación, concepción de una solución de arquitectura de referencia y elaboración de una hora de ruta para la aplicación</w:t>
            </w:r>
          </w:p>
        </w:tc>
        <w:tc>
          <w:tcPr>
            <w:tcW w:w="755"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130.000</w:t>
            </w:r>
          </w:p>
        </w:tc>
        <w:tc>
          <w:tcPr>
            <w:tcW w:w="856"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0</w:t>
            </w:r>
          </w:p>
        </w:tc>
        <w:tc>
          <w:tcPr>
            <w:tcW w:w="856"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0%</w:t>
            </w:r>
          </w:p>
        </w:tc>
        <w:tc>
          <w:tcPr>
            <w:tcW w:w="856"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30%</w:t>
            </w:r>
          </w:p>
        </w:tc>
      </w:tr>
      <w:tr w:rsidR="00CA682E" w:rsidRPr="00CA682E" w:rsidTr="007B1DE4">
        <w:trPr>
          <w:trHeight w:val="389"/>
        </w:trPr>
        <w:tc>
          <w:tcPr>
            <w:tcW w:w="1677"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Aplicación prioritaria de una hoja de ruta relativa a las capacidades y situaciones de uso respecto de la gestión de la identidad y el acceso, y el cifrado</w:t>
            </w:r>
          </w:p>
        </w:tc>
        <w:tc>
          <w:tcPr>
            <w:tcW w:w="755"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570.000</w:t>
            </w:r>
          </w:p>
        </w:tc>
        <w:tc>
          <w:tcPr>
            <w:tcW w:w="856"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0</w:t>
            </w:r>
          </w:p>
        </w:tc>
        <w:tc>
          <w:tcPr>
            <w:tcW w:w="856"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0%</w:t>
            </w:r>
          </w:p>
        </w:tc>
        <w:tc>
          <w:tcPr>
            <w:tcW w:w="856"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w:t>
            </w:r>
          </w:p>
        </w:tc>
      </w:tr>
      <w:tr w:rsidR="00CA682E" w:rsidRPr="00CA682E" w:rsidTr="007B1DE4">
        <w:trPr>
          <w:trHeight w:val="389"/>
        </w:trPr>
        <w:tc>
          <w:tcPr>
            <w:tcW w:w="1677"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keepNext/>
              <w:keepLines/>
              <w:autoSpaceDE w:val="0"/>
              <w:autoSpaceDN w:val="0"/>
              <w:adjustRightInd w:val="0"/>
              <w:spacing w:before="40" w:after="40"/>
              <w:rPr>
                <w:rFonts w:eastAsia="Times New Roman" w:cs="Times New Roman"/>
                <w:b/>
                <w:color w:val="000000" w:themeColor="text1"/>
                <w:sz w:val="16"/>
                <w:szCs w:val="16"/>
                <w:lang w:eastAsia="en-US"/>
              </w:rPr>
            </w:pPr>
            <w:r w:rsidRPr="00CA682E">
              <w:rPr>
                <w:rFonts w:eastAsia="Times New Roman" w:cs="Times New Roman"/>
                <w:b/>
                <w:color w:val="000000" w:themeColor="text1"/>
                <w:sz w:val="16"/>
                <w:szCs w:val="16"/>
                <w:lang w:eastAsia="en-US"/>
              </w:rPr>
              <w:t>Total</w:t>
            </w:r>
          </w:p>
        </w:tc>
        <w:tc>
          <w:tcPr>
            <w:tcW w:w="755"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keepNext/>
              <w:keepLines/>
              <w:autoSpaceDE w:val="0"/>
              <w:autoSpaceDN w:val="0"/>
              <w:adjustRightInd w:val="0"/>
              <w:spacing w:before="40" w:after="40"/>
              <w:jc w:val="center"/>
              <w:rPr>
                <w:rFonts w:eastAsia="Times New Roman" w:cs="Times New Roman"/>
                <w:b/>
                <w:color w:val="000000" w:themeColor="text1"/>
                <w:sz w:val="16"/>
                <w:szCs w:val="16"/>
                <w:lang w:eastAsia="en-US"/>
              </w:rPr>
            </w:pPr>
            <w:r w:rsidRPr="00CA682E">
              <w:rPr>
                <w:rFonts w:eastAsia="Times New Roman" w:cs="Times New Roman"/>
                <w:b/>
                <w:color w:val="000000" w:themeColor="text1"/>
                <w:sz w:val="16"/>
                <w:szCs w:val="16"/>
                <w:lang w:eastAsia="en-US"/>
              </w:rPr>
              <w:t>700.000</w:t>
            </w:r>
          </w:p>
        </w:tc>
        <w:tc>
          <w:tcPr>
            <w:tcW w:w="856"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CA682E" w:rsidRPr="00CA682E" w:rsidRDefault="00CA682E" w:rsidP="00CA682E">
            <w:pPr>
              <w:keepNext/>
              <w:keepLines/>
              <w:autoSpaceDE w:val="0"/>
              <w:autoSpaceDN w:val="0"/>
              <w:adjustRightInd w:val="0"/>
              <w:spacing w:before="40" w:after="40"/>
              <w:jc w:val="center"/>
              <w:rPr>
                <w:rFonts w:eastAsia="Times New Roman" w:cs="Times New Roman"/>
                <w:b/>
                <w:color w:val="000000" w:themeColor="text1"/>
                <w:sz w:val="16"/>
                <w:szCs w:val="16"/>
                <w:lang w:eastAsia="en-US"/>
              </w:rPr>
            </w:pPr>
            <w:r w:rsidRPr="00CA682E">
              <w:rPr>
                <w:rFonts w:eastAsia="Times New Roman" w:cs="Times New Roman"/>
                <w:b/>
                <w:color w:val="000000" w:themeColor="text1"/>
                <w:sz w:val="16"/>
                <w:szCs w:val="16"/>
                <w:lang w:eastAsia="en-US"/>
              </w:rPr>
              <w:t>0</w:t>
            </w:r>
          </w:p>
        </w:tc>
        <w:tc>
          <w:tcPr>
            <w:tcW w:w="856"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CA682E" w:rsidRPr="00CA682E" w:rsidRDefault="00CA682E" w:rsidP="00CA682E">
            <w:pPr>
              <w:keepNext/>
              <w:keepLines/>
              <w:autoSpaceDE w:val="0"/>
              <w:autoSpaceDN w:val="0"/>
              <w:adjustRightInd w:val="0"/>
              <w:spacing w:before="40" w:after="40"/>
              <w:jc w:val="center"/>
              <w:rPr>
                <w:rFonts w:eastAsia="Times New Roman" w:cs="Times New Roman"/>
                <w:b/>
                <w:color w:val="000000" w:themeColor="text1"/>
                <w:sz w:val="16"/>
                <w:szCs w:val="16"/>
                <w:lang w:eastAsia="en-US"/>
              </w:rPr>
            </w:pPr>
          </w:p>
        </w:tc>
        <w:tc>
          <w:tcPr>
            <w:tcW w:w="856"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CA682E" w:rsidRPr="00CA682E" w:rsidRDefault="00CA682E" w:rsidP="00CA682E">
            <w:pPr>
              <w:keepNext/>
              <w:keepLines/>
              <w:autoSpaceDE w:val="0"/>
              <w:autoSpaceDN w:val="0"/>
              <w:adjustRightInd w:val="0"/>
              <w:spacing w:before="40" w:after="40"/>
              <w:jc w:val="center"/>
              <w:rPr>
                <w:rFonts w:eastAsia="Times New Roman" w:cs="Times New Roman"/>
                <w:b/>
                <w:color w:val="000000" w:themeColor="text1"/>
                <w:sz w:val="16"/>
                <w:szCs w:val="16"/>
                <w:lang w:eastAsia="en-US"/>
              </w:rPr>
            </w:pPr>
          </w:p>
        </w:tc>
      </w:tr>
    </w:tbl>
    <w:p w:rsidR="00CA682E" w:rsidRPr="00CA682E" w:rsidRDefault="00CA682E" w:rsidP="00CA682E">
      <w:pPr>
        <w:tabs>
          <w:tab w:val="left" w:pos="3261"/>
        </w:tabs>
        <w:autoSpaceDE w:val="0"/>
        <w:autoSpaceDN w:val="0"/>
        <w:adjustRightInd w:val="0"/>
        <w:jc w:val="center"/>
        <w:rPr>
          <w:rFonts w:eastAsia="Times New Roman" w:cs="Times New Roman"/>
          <w:b/>
          <w:color w:val="000000" w:themeColor="text1"/>
          <w:sz w:val="20"/>
          <w:szCs w:val="22"/>
          <w:lang w:eastAsia="en-US"/>
        </w:rPr>
      </w:pPr>
    </w:p>
    <w:p w:rsidR="00CA682E" w:rsidRPr="00CA682E" w:rsidRDefault="00CA682E" w:rsidP="00CA682E">
      <w:pPr>
        <w:tabs>
          <w:tab w:val="left" w:pos="3261"/>
        </w:tabs>
        <w:autoSpaceDE w:val="0"/>
        <w:autoSpaceDN w:val="0"/>
        <w:adjustRightInd w:val="0"/>
        <w:jc w:val="center"/>
        <w:rPr>
          <w:rFonts w:eastAsia="Times New Roman" w:cs="Times New Roman"/>
          <w:b/>
          <w:color w:val="000000" w:themeColor="text1"/>
          <w:sz w:val="20"/>
          <w:szCs w:val="22"/>
          <w:lang w:eastAsia="en-US"/>
        </w:rPr>
      </w:pPr>
    </w:p>
    <w:p w:rsidR="00CA682E" w:rsidRPr="00CA682E" w:rsidRDefault="00CA682E" w:rsidP="00CA682E">
      <w:pPr>
        <w:tabs>
          <w:tab w:val="left" w:pos="3261"/>
        </w:tabs>
        <w:autoSpaceDE w:val="0"/>
        <w:autoSpaceDN w:val="0"/>
        <w:adjustRightInd w:val="0"/>
        <w:jc w:val="center"/>
        <w:rPr>
          <w:rFonts w:eastAsia="Times New Roman" w:cs="Times New Roman"/>
          <w:b/>
          <w:color w:val="000000" w:themeColor="text1"/>
          <w:sz w:val="20"/>
          <w:szCs w:val="24"/>
          <w:lang w:eastAsia="en-US"/>
        </w:rPr>
      </w:pPr>
      <w:r w:rsidRPr="00CA682E">
        <w:rPr>
          <w:rFonts w:eastAsia="Times New Roman" w:cs="Times New Roman"/>
          <w:b/>
          <w:color w:val="000000" w:themeColor="text1"/>
          <w:sz w:val="20"/>
          <w:szCs w:val="24"/>
          <w:lang w:eastAsia="en-US"/>
        </w:rPr>
        <w:t>Utilización del presupuesto del proyecto (por categoría de costo)</w:t>
      </w:r>
    </w:p>
    <w:p w:rsidR="00CA682E" w:rsidRPr="00CA682E" w:rsidRDefault="00CA682E" w:rsidP="00CA682E">
      <w:pPr>
        <w:keepNext/>
        <w:keepLines/>
        <w:tabs>
          <w:tab w:val="left" w:pos="3261"/>
        </w:tabs>
        <w:autoSpaceDE w:val="0"/>
        <w:autoSpaceDN w:val="0"/>
        <w:adjustRightInd w:val="0"/>
        <w:spacing w:after="120"/>
        <w:jc w:val="center"/>
        <w:rPr>
          <w:rFonts w:eastAsia="Times New Roman" w:cs="Times New Roman"/>
          <w:i/>
          <w:iCs/>
          <w:color w:val="000000" w:themeColor="text1"/>
          <w:sz w:val="18"/>
          <w:szCs w:val="18"/>
          <w:lang w:eastAsia="en-US"/>
        </w:rPr>
      </w:pPr>
      <w:r w:rsidRPr="00CA682E">
        <w:rPr>
          <w:rFonts w:eastAsia="Times New Roman" w:cs="Times New Roman"/>
          <w:i/>
          <w:iCs/>
          <w:color w:val="000000" w:themeColor="text1"/>
          <w:sz w:val="18"/>
          <w:szCs w:val="18"/>
          <w:lang w:eastAsia="en-US"/>
        </w:rPr>
        <w:t>(</w:t>
      </w:r>
      <w:proofErr w:type="gramStart"/>
      <w:r w:rsidRPr="00CA682E">
        <w:rPr>
          <w:rFonts w:eastAsia="Times New Roman" w:cs="Times New Roman"/>
          <w:i/>
          <w:iCs/>
          <w:color w:val="000000" w:themeColor="text1"/>
          <w:sz w:val="18"/>
          <w:szCs w:val="18"/>
          <w:lang w:eastAsia="en-US"/>
        </w:rPr>
        <w:t>en</w:t>
      </w:r>
      <w:proofErr w:type="gramEnd"/>
      <w:r w:rsidRPr="00CA682E">
        <w:rPr>
          <w:rFonts w:eastAsia="Times New Roman" w:cs="Times New Roman"/>
          <w:i/>
          <w:iCs/>
          <w:color w:val="000000" w:themeColor="text1"/>
          <w:sz w:val="18"/>
          <w:szCs w:val="18"/>
          <w:lang w:eastAsia="en-US"/>
        </w:rPr>
        <w:t xml:space="preserve"> francos suizos, al 31 de diciembre de 2015)</w:t>
      </w:r>
    </w:p>
    <w:tbl>
      <w:tblPr>
        <w:tblW w:w="484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6"/>
        <w:gridCol w:w="1839"/>
        <w:gridCol w:w="1839"/>
        <w:gridCol w:w="2056"/>
      </w:tblGrid>
      <w:tr w:rsidR="00CA682E" w:rsidRPr="00CA682E" w:rsidTr="007B1DE4">
        <w:trPr>
          <w:trHeight w:val="569"/>
        </w:trPr>
        <w:tc>
          <w:tcPr>
            <w:tcW w:w="1907"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keepNext/>
              <w:keepLines/>
              <w:autoSpaceDE w:val="0"/>
              <w:autoSpaceDN w:val="0"/>
              <w:adjustRightInd w:val="0"/>
              <w:spacing w:before="40" w:after="40" w:line="260" w:lineRule="exact"/>
              <w:ind w:left="-74" w:right="-60"/>
              <w:jc w:val="center"/>
              <w:rPr>
                <w:rFonts w:eastAsia="Times New Roman" w:cs="Times New Roman"/>
                <w:b/>
                <w:bCs/>
                <w:color w:val="000000" w:themeColor="text1"/>
                <w:sz w:val="16"/>
                <w:szCs w:val="16"/>
                <w:lang w:eastAsia="en-US"/>
              </w:rPr>
            </w:pPr>
            <w:r w:rsidRPr="00CA682E">
              <w:rPr>
                <w:rFonts w:eastAsia="Times New Roman" w:cs="Times New Roman"/>
                <w:b/>
                <w:bCs/>
                <w:color w:val="000000" w:themeColor="text1"/>
                <w:sz w:val="16"/>
                <w:szCs w:val="16"/>
                <w:lang w:eastAsia="en-US"/>
              </w:rPr>
              <w:t>Categoría de costo</w:t>
            </w:r>
          </w:p>
        </w:tc>
        <w:tc>
          <w:tcPr>
            <w:tcW w:w="992"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keepNext/>
              <w:keepLines/>
              <w:autoSpaceDE w:val="0"/>
              <w:autoSpaceDN w:val="0"/>
              <w:adjustRightInd w:val="0"/>
              <w:spacing w:before="40" w:after="40" w:line="260" w:lineRule="exact"/>
              <w:ind w:left="-107" w:right="-108"/>
              <w:jc w:val="center"/>
              <w:rPr>
                <w:rFonts w:eastAsia="Times New Roman" w:cs="Times New Roman"/>
                <w:b/>
                <w:bCs/>
                <w:color w:val="000000" w:themeColor="text1"/>
                <w:sz w:val="16"/>
                <w:szCs w:val="16"/>
                <w:lang w:eastAsia="en-US"/>
              </w:rPr>
            </w:pPr>
            <w:r w:rsidRPr="00CA682E">
              <w:rPr>
                <w:rFonts w:eastAsia="Times New Roman" w:cs="Times New Roman"/>
                <w:b/>
                <w:bCs/>
                <w:color w:val="000000" w:themeColor="text1"/>
                <w:sz w:val="16"/>
                <w:szCs w:val="16"/>
                <w:lang w:eastAsia="en-US"/>
              </w:rPr>
              <w:t>Presupuesto del proyecto</w:t>
            </w:r>
          </w:p>
        </w:tc>
        <w:tc>
          <w:tcPr>
            <w:tcW w:w="992"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keepNext/>
              <w:keepLines/>
              <w:autoSpaceDE w:val="0"/>
              <w:autoSpaceDN w:val="0"/>
              <w:adjustRightInd w:val="0"/>
              <w:spacing w:before="40" w:after="40" w:line="260" w:lineRule="exact"/>
              <w:ind w:left="-108"/>
              <w:jc w:val="center"/>
              <w:rPr>
                <w:rFonts w:eastAsia="Times New Roman" w:cs="Times New Roman"/>
                <w:b/>
                <w:bCs/>
                <w:color w:val="000000" w:themeColor="text1"/>
                <w:sz w:val="16"/>
                <w:szCs w:val="16"/>
                <w:lang w:eastAsia="en-US"/>
              </w:rPr>
            </w:pPr>
            <w:r w:rsidRPr="00CA682E">
              <w:rPr>
                <w:rFonts w:eastAsia="Times New Roman" w:cs="Times New Roman"/>
                <w:b/>
                <w:bCs/>
                <w:color w:val="000000" w:themeColor="text1"/>
                <w:sz w:val="16"/>
                <w:szCs w:val="16"/>
                <w:lang w:eastAsia="en-US"/>
              </w:rPr>
              <w:t>Gasto real hasta la fecha</w:t>
            </w:r>
          </w:p>
        </w:tc>
        <w:tc>
          <w:tcPr>
            <w:tcW w:w="110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keepNext/>
              <w:keepLines/>
              <w:autoSpaceDE w:val="0"/>
              <w:autoSpaceDN w:val="0"/>
              <w:adjustRightInd w:val="0"/>
              <w:spacing w:before="40" w:after="40" w:line="260" w:lineRule="exact"/>
              <w:ind w:left="-109"/>
              <w:jc w:val="center"/>
              <w:rPr>
                <w:rFonts w:eastAsia="Times New Roman" w:cs="Times New Roman"/>
                <w:b/>
                <w:bCs/>
                <w:color w:val="000000" w:themeColor="text1"/>
                <w:sz w:val="16"/>
                <w:szCs w:val="16"/>
                <w:lang w:eastAsia="en-US"/>
              </w:rPr>
            </w:pPr>
            <w:r w:rsidRPr="00CA682E">
              <w:rPr>
                <w:rFonts w:eastAsia="Times New Roman" w:cs="Times New Roman"/>
                <w:b/>
                <w:bCs/>
                <w:color w:val="000000" w:themeColor="text1"/>
                <w:sz w:val="16"/>
                <w:szCs w:val="16"/>
                <w:lang w:eastAsia="en-US"/>
              </w:rPr>
              <w:t>Utilización real del presupuesto</w:t>
            </w:r>
          </w:p>
        </w:tc>
      </w:tr>
      <w:tr w:rsidR="00CA682E" w:rsidRPr="00CA682E" w:rsidTr="007B1DE4">
        <w:tc>
          <w:tcPr>
            <w:tcW w:w="1907"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line="260" w:lineRule="exact"/>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Servicios contractuales</w:t>
            </w:r>
          </w:p>
        </w:tc>
        <w:tc>
          <w:tcPr>
            <w:tcW w:w="992"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line="260" w:lineRule="exact"/>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130.000</w:t>
            </w:r>
          </w:p>
        </w:tc>
        <w:tc>
          <w:tcPr>
            <w:tcW w:w="992"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line="260" w:lineRule="exact"/>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0</w:t>
            </w:r>
          </w:p>
        </w:tc>
        <w:tc>
          <w:tcPr>
            <w:tcW w:w="1109"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line="260" w:lineRule="exact"/>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0%</w:t>
            </w:r>
          </w:p>
        </w:tc>
      </w:tr>
      <w:tr w:rsidR="00CA682E" w:rsidRPr="00CA682E" w:rsidTr="007B1DE4">
        <w:tc>
          <w:tcPr>
            <w:tcW w:w="1907"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line="260" w:lineRule="exact"/>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Por determinar</w:t>
            </w:r>
            <w:r w:rsidRPr="00CA682E">
              <w:rPr>
                <w:rFonts w:eastAsia="Times New Roman" w:cs="Times New Roman"/>
                <w:color w:val="000000" w:themeColor="text1"/>
                <w:sz w:val="16"/>
                <w:szCs w:val="16"/>
                <w:vertAlign w:val="superscript"/>
                <w:lang w:eastAsia="en-US"/>
              </w:rPr>
              <w:footnoteReference w:id="173"/>
            </w:r>
          </w:p>
        </w:tc>
        <w:tc>
          <w:tcPr>
            <w:tcW w:w="992"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line="260" w:lineRule="exact"/>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570.000</w:t>
            </w:r>
          </w:p>
        </w:tc>
        <w:tc>
          <w:tcPr>
            <w:tcW w:w="992"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line="260" w:lineRule="exact"/>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0</w:t>
            </w:r>
          </w:p>
        </w:tc>
        <w:tc>
          <w:tcPr>
            <w:tcW w:w="1109"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line="260" w:lineRule="exact"/>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0%</w:t>
            </w:r>
          </w:p>
        </w:tc>
      </w:tr>
      <w:tr w:rsidR="00CA682E" w:rsidRPr="00CA682E" w:rsidTr="007B1DE4">
        <w:tc>
          <w:tcPr>
            <w:tcW w:w="1907"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autoSpaceDE w:val="0"/>
              <w:autoSpaceDN w:val="0"/>
              <w:adjustRightInd w:val="0"/>
              <w:spacing w:before="40" w:after="40" w:line="260" w:lineRule="exact"/>
              <w:rPr>
                <w:rFonts w:eastAsia="Times New Roman" w:cs="Times New Roman"/>
                <w:b/>
                <w:color w:val="000000" w:themeColor="text1"/>
                <w:sz w:val="16"/>
                <w:szCs w:val="16"/>
                <w:lang w:eastAsia="en-US"/>
              </w:rPr>
            </w:pPr>
            <w:r w:rsidRPr="00CA682E">
              <w:rPr>
                <w:rFonts w:eastAsia="Times New Roman" w:cs="Times New Roman"/>
                <w:b/>
                <w:color w:val="000000" w:themeColor="text1"/>
                <w:sz w:val="16"/>
                <w:szCs w:val="16"/>
                <w:lang w:eastAsia="en-US"/>
              </w:rPr>
              <w:t>Total</w:t>
            </w:r>
          </w:p>
        </w:tc>
        <w:tc>
          <w:tcPr>
            <w:tcW w:w="992"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autoSpaceDE w:val="0"/>
              <w:autoSpaceDN w:val="0"/>
              <w:adjustRightInd w:val="0"/>
              <w:spacing w:before="40" w:after="40" w:line="260" w:lineRule="exact"/>
              <w:jc w:val="center"/>
              <w:rPr>
                <w:rFonts w:eastAsia="Times New Roman" w:cs="Times New Roman"/>
                <w:b/>
                <w:color w:val="000000" w:themeColor="text1"/>
                <w:sz w:val="16"/>
                <w:szCs w:val="16"/>
                <w:lang w:eastAsia="en-US"/>
              </w:rPr>
            </w:pPr>
            <w:r w:rsidRPr="00CA682E">
              <w:rPr>
                <w:rFonts w:eastAsia="Times New Roman" w:cs="Times New Roman"/>
                <w:b/>
                <w:color w:val="000000" w:themeColor="text1"/>
                <w:sz w:val="16"/>
                <w:szCs w:val="16"/>
                <w:lang w:eastAsia="en-US"/>
              </w:rPr>
              <w:t>700.000</w:t>
            </w:r>
          </w:p>
        </w:tc>
        <w:tc>
          <w:tcPr>
            <w:tcW w:w="992"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autoSpaceDE w:val="0"/>
              <w:autoSpaceDN w:val="0"/>
              <w:adjustRightInd w:val="0"/>
              <w:spacing w:before="40" w:after="40" w:line="260" w:lineRule="exact"/>
              <w:jc w:val="center"/>
              <w:rPr>
                <w:rFonts w:eastAsia="Times New Roman" w:cs="Times New Roman"/>
                <w:b/>
                <w:color w:val="000000" w:themeColor="text1"/>
                <w:sz w:val="16"/>
                <w:szCs w:val="16"/>
                <w:lang w:eastAsia="en-US"/>
              </w:rPr>
            </w:pPr>
            <w:r w:rsidRPr="00CA682E">
              <w:rPr>
                <w:rFonts w:eastAsia="Times New Roman" w:cs="Times New Roman"/>
                <w:b/>
                <w:color w:val="000000" w:themeColor="text1"/>
                <w:sz w:val="16"/>
                <w:szCs w:val="16"/>
                <w:lang w:eastAsia="en-US"/>
              </w:rPr>
              <w:t>0</w:t>
            </w:r>
          </w:p>
        </w:tc>
        <w:tc>
          <w:tcPr>
            <w:tcW w:w="1109"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CA682E" w:rsidRPr="00CA682E" w:rsidRDefault="00CA682E" w:rsidP="00CA682E">
            <w:pPr>
              <w:autoSpaceDE w:val="0"/>
              <w:autoSpaceDN w:val="0"/>
              <w:adjustRightInd w:val="0"/>
              <w:spacing w:before="40" w:after="40" w:line="260" w:lineRule="exact"/>
              <w:jc w:val="center"/>
              <w:rPr>
                <w:rFonts w:eastAsia="Times New Roman" w:cs="Times New Roman"/>
                <w:b/>
                <w:color w:val="000000" w:themeColor="text1"/>
                <w:sz w:val="16"/>
                <w:szCs w:val="16"/>
                <w:lang w:eastAsia="en-US"/>
              </w:rPr>
            </w:pPr>
          </w:p>
        </w:tc>
      </w:tr>
    </w:tbl>
    <w:p w:rsidR="00CA682E" w:rsidRPr="00CA682E" w:rsidRDefault="00CA682E" w:rsidP="00CA682E">
      <w:pPr>
        <w:rPr>
          <w:rFonts w:eastAsia="Times New Roman"/>
          <w:color w:val="000000" w:themeColor="text1"/>
          <w:sz w:val="20"/>
          <w:lang w:eastAsia="en-US"/>
        </w:rPr>
      </w:pPr>
    </w:p>
    <w:p w:rsidR="00CA682E" w:rsidRPr="00CA682E" w:rsidRDefault="00CA682E" w:rsidP="00CA682E">
      <w:pPr>
        <w:rPr>
          <w:rFonts w:eastAsia="Times New Roman"/>
          <w:color w:val="000000" w:themeColor="text1"/>
          <w:sz w:val="20"/>
          <w:lang w:eastAsia="en-US"/>
        </w:rPr>
      </w:pPr>
    </w:p>
    <w:p w:rsidR="00CA682E" w:rsidRPr="00CA682E" w:rsidRDefault="00CA682E" w:rsidP="00CA682E">
      <w:pPr>
        <w:rPr>
          <w:rFonts w:eastAsia="Times New Roman"/>
          <w:color w:val="000000" w:themeColor="text1"/>
          <w:sz w:val="20"/>
          <w:lang w:eastAsia="en-US"/>
        </w:rPr>
      </w:pPr>
      <w:r w:rsidRPr="00CA682E">
        <w:rPr>
          <w:rFonts w:eastAsia="Times New Roman"/>
          <w:color w:val="000000" w:themeColor="text1"/>
          <w:sz w:val="20"/>
          <w:lang w:eastAsia="en-US"/>
        </w:rPr>
        <w:t>RIESGOS Y ESTRATEGIAS DE MITIGACIÓN</w:t>
      </w:r>
    </w:p>
    <w:p w:rsidR="00CA682E" w:rsidRPr="00CA682E" w:rsidRDefault="00CA682E" w:rsidP="00CA682E">
      <w:pPr>
        <w:rPr>
          <w:rFonts w:eastAsia="Times New Roman"/>
          <w:color w:val="000000" w:themeColor="text1"/>
          <w:sz w:val="20"/>
          <w:lang w:eastAsia="en-US"/>
        </w:rPr>
      </w:pPr>
    </w:p>
    <w:tbl>
      <w:tblPr>
        <w:tblW w:w="4814" w:type="pct"/>
        <w:jc w:val="center"/>
        <w:tblInd w:w="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1"/>
        <w:gridCol w:w="3072"/>
        <w:gridCol w:w="3072"/>
      </w:tblGrid>
      <w:tr w:rsidR="00CA682E" w:rsidRPr="00CA682E" w:rsidTr="007B1DE4">
        <w:trPr>
          <w:trHeight w:val="507"/>
          <w:tblHeader/>
          <w:jc w:val="center"/>
        </w:trPr>
        <w:tc>
          <w:tcPr>
            <w:tcW w:w="1666" w:type="pct"/>
            <w:shd w:val="clear" w:color="auto" w:fill="C6D9F1" w:themeFill="text2" w:themeFillTint="33"/>
            <w:vAlign w:val="center"/>
          </w:tcPr>
          <w:p w:rsidR="00CA682E" w:rsidRPr="00CA682E" w:rsidRDefault="00CA682E" w:rsidP="00CA682E">
            <w:pPr>
              <w:autoSpaceDE w:val="0"/>
              <w:autoSpaceDN w:val="0"/>
              <w:adjustRightInd w:val="0"/>
              <w:spacing w:before="40" w:after="40" w:line="260" w:lineRule="exact"/>
              <w:ind w:left="-74" w:right="-60"/>
              <w:jc w:val="center"/>
              <w:rPr>
                <w:rFonts w:eastAsia="Times New Roman" w:cs="Times New Roman"/>
                <w:b/>
                <w:bCs/>
                <w:color w:val="000000" w:themeColor="text1"/>
                <w:sz w:val="16"/>
                <w:szCs w:val="16"/>
                <w:lang w:eastAsia="en-US"/>
              </w:rPr>
            </w:pPr>
            <w:r w:rsidRPr="00CA682E">
              <w:rPr>
                <w:rFonts w:eastAsia="Times New Roman" w:cs="Times New Roman"/>
                <w:b/>
                <w:bCs/>
                <w:color w:val="000000" w:themeColor="text1"/>
                <w:sz w:val="16"/>
                <w:szCs w:val="16"/>
                <w:lang w:eastAsia="en-US"/>
              </w:rPr>
              <w:t>Riesgo/Descripción del riesgo</w:t>
            </w:r>
          </w:p>
        </w:tc>
        <w:tc>
          <w:tcPr>
            <w:tcW w:w="1667" w:type="pct"/>
            <w:shd w:val="clear" w:color="auto" w:fill="C6D9F1" w:themeFill="text2" w:themeFillTint="33"/>
            <w:vAlign w:val="center"/>
          </w:tcPr>
          <w:p w:rsidR="00CA682E" w:rsidRPr="00CA682E" w:rsidRDefault="00CA682E" w:rsidP="00CA682E">
            <w:pPr>
              <w:autoSpaceDE w:val="0"/>
              <w:autoSpaceDN w:val="0"/>
              <w:adjustRightInd w:val="0"/>
              <w:spacing w:before="40" w:after="40" w:line="260" w:lineRule="exact"/>
              <w:ind w:left="-107" w:right="-108"/>
              <w:jc w:val="center"/>
              <w:rPr>
                <w:rFonts w:eastAsia="Times New Roman" w:cs="Times New Roman"/>
                <w:b/>
                <w:bCs/>
                <w:color w:val="000000" w:themeColor="text1"/>
                <w:sz w:val="16"/>
                <w:szCs w:val="16"/>
                <w:lang w:eastAsia="en-US"/>
              </w:rPr>
            </w:pPr>
            <w:r w:rsidRPr="00CA682E">
              <w:rPr>
                <w:rFonts w:eastAsia="Times New Roman" w:cs="Times New Roman"/>
                <w:b/>
                <w:bCs/>
                <w:color w:val="000000" w:themeColor="text1"/>
                <w:sz w:val="16"/>
                <w:szCs w:val="16"/>
                <w:lang w:eastAsia="en-US"/>
              </w:rPr>
              <w:t>Mitigación del riesgo</w:t>
            </w:r>
          </w:p>
        </w:tc>
        <w:tc>
          <w:tcPr>
            <w:tcW w:w="1667" w:type="pct"/>
            <w:shd w:val="clear" w:color="auto" w:fill="C6D9F1" w:themeFill="text2" w:themeFillTint="33"/>
          </w:tcPr>
          <w:p w:rsidR="00CA682E" w:rsidRPr="00CA682E" w:rsidRDefault="00CA682E" w:rsidP="00CA682E">
            <w:pPr>
              <w:autoSpaceDE w:val="0"/>
              <w:autoSpaceDN w:val="0"/>
              <w:adjustRightInd w:val="0"/>
              <w:spacing w:before="40" w:after="40" w:line="260" w:lineRule="exact"/>
              <w:ind w:left="-107" w:right="-108"/>
              <w:jc w:val="center"/>
              <w:rPr>
                <w:rFonts w:eastAsia="Times New Roman" w:cs="Times New Roman"/>
                <w:b/>
                <w:bCs/>
                <w:color w:val="000000" w:themeColor="text1"/>
                <w:sz w:val="16"/>
                <w:szCs w:val="16"/>
                <w:lang w:eastAsia="en-US"/>
              </w:rPr>
            </w:pPr>
            <w:r w:rsidRPr="00CA682E">
              <w:rPr>
                <w:rFonts w:eastAsia="Times New Roman" w:cs="Times New Roman"/>
                <w:b/>
                <w:bCs/>
                <w:color w:val="000000" w:themeColor="text1"/>
                <w:sz w:val="16"/>
                <w:szCs w:val="16"/>
                <w:lang w:eastAsia="en-US"/>
              </w:rPr>
              <w:t>Comentario</w:t>
            </w:r>
          </w:p>
        </w:tc>
      </w:tr>
      <w:tr w:rsidR="00CA682E" w:rsidRPr="00CA682E" w:rsidTr="007B1DE4">
        <w:trPr>
          <w:trHeight w:val="776"/>
          <w:jc w:val="center"/>
        </w:trPr>
        <w:tc>
          <w:tcPr>
            <w:tcW w:w="1666" w:type="pct"/>
            <w:shd w:val="clear" w:color="auto" w:fill="auto"/>
          </w:tcPr>
          <w:p w:rsidR="00CA682E" w:rsidRPr="00CA682E" w:rsidRDefault="00CA682E" w:rsidP="00CA682E">
            <w:pPr>
              <w:autoSpaceDE w:val="0"/>
              <w:autoSpaceDN w:val="0"/>
              <w:adjustRightInd w:val="0"/>
              <w:spacing w:before="40" w:after="40"/>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Falta de presupuesto adecuado para poner en práctica la hoja de ruta relativa a la gestión de la identidad y el acceso y el cifrado</w:t>
            </w:r>
          </w:p>
        </w:tc>
        <w:tc>
          <w:tcPr>
            <w:tcW w:w="1667" w:type="pct"/>
            <w:shd w:val="clear" w:color="auto" w:fill="auto"/>
          </w:tcPr>
          <w:p w:rsidR="00CA682E" w:rsidRPr="00CA682E" w:rsidRDefault="00CA682E" w:rsidP="00CA682E">
            <w:pPr>
              <w:autoSpaceDE w:val="0"/>
              <w:autoSpaceDN w:val="0"/>
              <w:adjustRightInd w:val="0"/>
              <w:spacing w:before="40" w:after="40"/>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Dar prioridad a la hoja de ruta, en particular, tomar medidas en donde se planteen riesgos elevados</w:t>
            </w:r>
          </w:p>
        </w:tc>
        <w:tc>
          <w:tcPr>
            <w:tcW w:w="1667" w:type="pct"/>
          </w:tcPr>
          <w:p w:rsidR="00CA682E" w:rsidRPr="00CA682E" w:rsidRDefault="00CA682E" w:rsidP="00CA682E">
            <w:pPr>
              <w:autoSpaceDE w:val="0"/>
              <w:autoSpaceDN w:val="0"/>
              <w:adjustRightInd w:val="0"/>
              <w:spacing w:before="40" w:after="40"/>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La evaluación sobre la situación permitirá determinar qué lagunas hay en la actualidad en la OMPI en materia de gestión de la identidad y del acceso, y de cifrado, y recomendar una hoja de ruta prioritaria para subsanar esas lagunas.  Dado que todavía están por determinarse esas lagunas y medidas para subsanarlas, puede que el actual presupuesto del proyecto no sea suficiente</w:t>
            </w:r>
          </w:p>
        </w:tc>
      </w:tr>
    </w:tbl>
    <w:p w:rsidR="00CA682E" w:rsidRPr="00CA682E" w:rsidRDefault="00CA682E" w:rsidP="00CA682E">
      <w:pPr>
        <w:rPr>
          <w:rFonts w:eastAsia="Times New Roman" w:cs="Times New Roman"/>
          <w:color w:val="000000" w:themeColor="text1"/>
          <w:sz w:val="20"/>
          <w:szCs w:val="24"/>
          <w:lang w:eastAsia="en-US"/>
        </w:rPr>
      </w:pPr>
    </w:p>
    <w:p w:rsidR="00CA682E" w:rsidRPr="00CA682E" w:rsidRDefault="00CA682E" w:rsidP="00CA682E">
      <w:pPr>
        <w:rPr>
          <w:rFonts w:eastAsia="Times New Roman" w:cs="Times New Roman"/>
          <w:color w:val="000000" w:themeColor="text1"/>
          <w:sz w:val="20"/>
          <w:szCs w:val="24"/>
          <w:lang w:eastAsia="en-US"/>
        </w:rPr>
      </w:pPr>
    </w:p>
    <w:p w:rsidR="00CA682E" w:rsidRPr="00CA682E" w:rsidRDefault="00CA682E" w:rsidP="00CA682E">
      <w:pPr>
        <w:rPr>
          <w:rFonts w:eastAsia="Times New Roman"/>
          <w:color w:val="000000" w:themeColor="text1"/>
          <w:sz w:val="20"/>
          <w:lang w:eastAsia="en-US"/>
        </w:rPr>
      </w:pPr>
      <w:r w:rsidRPr="00CA682E">
        <w:rPr>
          <w:rFonts w:eastAsia="Times New Roman" w:cs="Times New Roman"/>
          <w:color w:val="000000" w:themeColor="text1"/>
          <w:sz w:val="20"/>
          <w:szCs w:val="24"/>
          <w:lang w:eastAsia="en-US"/>
        </w:rPr>
        <w:t>CALENDARIO DEL PROYECTO, POR ETAPA</w:t>
      </w:r>
    </w:p>
    <w:p w:rsidR="00CA682E" w:rsidRPr="00CA682E" w:rsidRDefault="00CA682E" w:rsidP="00CA682E">
      <w:pPr>
        <w:rPr>
          <w:rFonts w:eastAsia="Times New Roman" w:cs="Times New Roman"/>
          <w:color w:val="000000" w:themeColor="text1"/>
          <w:sz w:val="20"/>
          <w:szCs w:val="24"/>
          <w:lang w:eastAsia="en-US"/>
        </w:rPr>
      </w:pPr>
    </w:p>
    <w:tbl>
      <w:tblPr>
        <w:tblW w:w="8424" w:type="dxa"/>
        <w:jc w:val="center"/>
        <w:tblInd w:w="93" w:type="dxa"/>
        <w:tblLayout w:type="fixed"/>
        <w:tblLook w:val="04A0" w:firstRow="1" w:lastRow="0" w:firstColumn="1" w:lastColumn="0" w:noHBand="0" w:noVBand="1"/>
      </w:tblPr>
      <w:tblGrid>
        <w:gridCol w:w="1985"/>
        <w:gridCol w:w="517"/>
        <w:gridCol w:w="517"/>
        <w:gridCol w:w="518"/>
        <w:gridCol w:w="520"/>
        <w:gridCol w:w="571"/>
        <w:gridCol w:w="572"/>
        <w:gridCol w:w="572"/>
        <w:gridCol w:w="574"/>
        <w:gridCol w:w="518"/>
        <w:gridCol w:w="518"/>
        <w:gridCol w:w="518"/>
        <w:gridCol w:w="518"/>
        <w:gridCol w:w="6"/>
      </w:tblGrid>
      <w:tr w:rsidR="00CA682E" w:rsidRPr="00CA682E" w:rsidTr="007B1DE4">
        <w:trPr>
          <w:trHeight w:val="290"/>
          <w:tblHeader/>
          <w:jc w:val="center"/>
        </w:trPr>
        <w:tc>
          <w:tcPr>
            <w:tcW w:w="1985" w:type="dxa"/>
            <w:tcBorders>
              <w:top w:val="nil"/>
              <w:left w:val="nil"/>
              <w:bottom w:val="nil"/>
              <w:right w:val="nil"/>
            </w:tcBorders>
            <w:shd w:val="clear" w:color="auto" w:fill="auto"/>
            <w:noWrap/>
            <w:vAlign w:val="bottom"/>
            <w:hideMark/>
          </w:tcPr>
          <w:p w:rsidR="00CA682E" w:rsidRPr="00CA682E" w:rsidRDefault="00CA682E" w:rsidP="00CA682E">
            <w:pPr>
              <w:rPr>
                <w:rFonts w:eastAsia="Times New Roman"/>
                <w:color w:val="000000" w:themeColor="text1"/>
                <w:sz w:val="16"/>
                <w:szCs w:val="16"/>
                <w:lang w:eastAsia="en-US"/>
              </w:rPr>
            </w:pPr>
          </w:p>
        </w:tc>
        <w:tc>
          <w:tcPr>
            <w:tcW w:w="2072" w:type="dxa"/>
            <w:gridSpan w:val="4"/>
            <w:tcBorders>
              <w:top w:val="single" w:sz="8" w:space="0" w:color="auto"/>
              <w:left w:val="single" w:sz="8" w:space="0" w:color="auto"/>
              <w:bottom w:val="single" w:sz="4" w:space="0" w:color="auto"/>
              <w:right w:val="single" w:sz="8" w:space="0" w:color="000000"/>
            </w:tcBorders>
            <w:shd w:val="clear" w:color="auto" w:fill="C6D9F1" w:themeFill="text2" w:themeFillTint="33"/>
            <w:noWrap/>
            <w:vAlign w:val="bottom"/>
            <w:hideMark/>
          </w:tcPr>
          <w:p w:rsidR="00CA682E" w:rsidRPr="00CA682E" w:rsidRDefault="00CA682E" w:rsidP="00CA682E">
            <w:pPr>
              <w:jc w:val="center"/>
              <w:rPr>
                <w:rFonts w:eastAsia="Times New Roman"/>
                <w:b/>
                <w:bCs/>
                <w:color w:val="000000" w:themeColor="text1"/>
                <w:sz w:val="16"/>
                <w:szCs w:val="16"/>
                <w:lang w:eastAsia="en-US"/>
              </w:rPr>
            </w:pPr>
            <w:r w:rsidRPr="00CA682E">
              <w:rPr>
                <w:rFonts w:eastAsia="Times New Roman"/>
                <w:b/>
                <w:bCs/>
                <w:color w:val="000000" w:themeColor="text1"/>
                <w:sz w:val="16"/>
                <w:szCs w:val="16"/>
                <w:lang w:eastAsia="en-US"/>
              </w:rPr>
              <w:t>2015</w:t>
            </w:r>
          </w:p>
        </w:tc>
        <w:tc>
          <w:tcPr>
            <w:tcW w:w="2289" w:type="dxa"/>
            <w:gridSpan w:val="4"/>
            <w:tcBorders>
              <w:top w:val="single" w:sz="8" w:space="0" w:color="auto"/>
              <w:left w:val="nil"/>
              <w:bottom w:val="single" w:sz="4" w:space="0" w:color="auto"/>
              <w:right w:val="single" w:sz="8" w:space="0" w:color="000000"/>
            </w:tcBorders>
            <w:shd w:val="clear" w:color="auto" w:fill="C6D9F1" w:themeFill="text2" w:themeFillTint="33"/>
            <w:noWrap/>
            <w:vAlign w:val="bottom"/>
            <w:hideMark/>
          </w:tcPr>
          <w:p w:rsidR="00CA682E" w:rsidRPr="00CA682E" w:rsidRDefault="00CA682E" w:rsidP="00CA682E">
            <w:pPr>
              <w:jc w:val="center"/>
              <w:rPr>
                <w:rFonts w:eastAsia="Times New Roman"/>
                <w:b/>
                <w:bCs/>
                <w:color w:val="000000" w:themeColor="text1"/>
                <w:sz w:val="16"/>
                <w:szCs w:val="16"/>
                <w:lang w:eastAsia="en-US"/>
              </w:rPr>
            </w:pPr>
            <w:r w:rsidRPr="00CA682E">
              <w:rPr>
                <w:rFonts w:eastAsia="Times New Roman"/>
                <w:b/>
                <w:bCs/>
                <w:color w:val="000000" w:themeColor="text1"/>
                <w:sz w:val="16"/>
                <w:szCs w:val="16"/>
                <w:lang w:eastAsia="en-US"/>
              </w:rPr>
              <w:t>2016</w:t>
            </w:r>
          </w:p>
        </w:tc>
        <w:tc>
          <w:tcPr>
            <w:tcW w:w="2078" w:type="dxa"/>
            <w:gridSpan w:val="5"/>
            <w:tcBorders>
              <w:top w:val="single" w:sz="8" w:space="0" w:color="auto"/>
              <w:left w:val="nil"/>
              <w:bottom w:val="single" w:sz="4" w:space="0" w:color="auto"/>
              <w:right w:val="single" w:sz="8" w:space="0" w:color="000000"/>
            </w:tcBorders>
            <w:shd w:val="clear" w:color="auto" w:fill="C6D9F1" w:themeFill="text2" w:themeFillTint="33"/>
            <w:noWrap/>
            <w:vAlign w:val="bottom"/>
            <w:hideMark/>
          </w:tcPr>
          <w:p w:rsidR="00CA682E" w:rsidRPr="00CA682E" w:rsidRDefault="00CA682E" w:rsidP="00CA682E">
            <w:pPr>
              <w:jc w:val="center"/>
              <w:rPr>
                <w:rFonts w:eastAsia="Times New Roman"/>
                <w:b/>
                <w:bCs/>
                <w:color w:val="000000" w:themeColor="text1"/>
                <w:sz w:val="16"/>
                <w:szCs w:val="16"/>
                <w:lang w:eastAsia="en-US"/>
              </w:rPr>
            </w:pPr>
            <w:r w:rsidRPr="00CA682E">
              <w:rPr>
                <w:rFonts w:eastAsia="Times New Roman"/>
                <w:b/>
                <w:bCs/>
                <w:color w:val="000000" w:themeColor="text1"/>
                <w:sz w:val="16"/>
                <w:szCs w:val="16"/>
                <w:lang w:eastAsia="en-US"/>
              </w:rPr>
              <w:t>2017</w:t>
            </w:r>
          </w:p>
        </w:tc>
      </w:tr>
      <w:tr w:rsidR="00CA682E" w:rsidRPr="00CA682E" w:rsidTr="007B1DE4">
        <w:trPr>
          <w:gridAfter w:val="1"/>
          <w:wAfter w:w="6" w:type="dxa"/>
          <w:trHeight w:val="403"/>
          <w:tblHeader/>
          <w:jc w:val="center"/>
        </w:trPr>
        <w:tc>
          <w:tcPr>
            <w:tcW w:w="1985" w:type="dxa"/>
            <w:tcBorders>
              <w:top w:val="single" w:sz="8" w:space="0" w:color="auto"/>
              <w:left w:val="single" w:sz="8" w:space="0" w:color="auto"/>
              <w:bottom w:val="single" w:sz="4" w:space="0" w:color="auto"/>
              <w:right w:val="single" w:sz="8" w:space="0" w:color="auto"/>
            </w:tcBorders>
            <w:shd w:val="clear" w:color="auto" w:fill="C6D9F1" w:themeFill="text2" w:themeFillTint="33"/>
            <w:noWrap/>
            <w:vAlign w:val="bottom"/>
            <w:hideMark/>
          </w:tcPr>
          <w:p w:rsidR="00CA682E" w:rsidRPr="00CA682E" w:rsidRDefault="00CA682E" w:rsidP="00CA682E">
            <w:pPr>
              <w:rPr>
                <w:rFonts w:eastAsia="Times New Roman"/>
                <w:b/>
                <w:bCs/>
                <w:color w:val="000000" w:themeColor="text1"/>
                <w:sz w:val="16"/>
                <w:szCs w:val="16"/>
                <w:lang w:eastAsia="en-US"/>
              </w:rPr>
            </w:pPr>
            <w:r w:rsidRPr="00CA682E">
              <w:rPr>
                <w:rFonts w:eastAsia="Times New Roman"/>
                <w:b/>
                <w:bCs/>
                <w:color w:val="000000" w:themeColor="text1"/>
                <w:sz w:val="16"/>
                <w:szCs w:val="16"/>
                <w:lang w:eastAsia="en-US"/>
              </w:rPr>
              <w:t>Etapa fundamental</w:t>
            </w:r>
          </w:p>
        </w:tc>
        <w:tc>
          <w:tcPr>
            <w:tcW w:w="517" w:type="dxa"/>
            <w:tcBorders>
              <w:top w:val="nil"/>
              <w:left w:val="nil"/>
              <w:bottom w:val="single" w:sz="4" w:space="0" w:color="auto"/>
              <w:right w:val="single" w:sz="4" w:space="0" w:color="auto"/>
            </w:tcBorders>
            <w:shd w:val="clear" w:color="auto" w:fill="C6D9F1" w:themeFill="text2" w:themeFillTint="33"/>
            <w:noWrap/>
            <w:vAlign w:val="bottom"/>
            <w:hideMark/>
          </w:tcPr>
          <w:p w:rsidR="00CA682E" w:rsidRPr="00CA682E" w:rsidRDefault="00CA682E" w:rsidP="00CA682E">
            <w:pPr>
              <w:rPr>
                <w:rFonts w:eastAsia="Times New Roman"/>
                <w:b/>
                <w:bCs/>
                <w:color w:val="000000" w:themeColor="text1"/>
                <w:sz w:val="16"/>
                <w:szCs w:val="16"/>
                <w:lang w:eastAsia="en-US"/>
              </w:rPr>
            </w:pPr>
            <w:r w:rsidRPr="00CA682E">
              <w:rPr>
                <w:rFonts w:eastAsia="Times New Roman"/>
                <w:b/>
                <w:bCs/>
                <w:color w:val="000000" w:themeColor="text1"/>
                <w:sz w:val="16"/>
                <w:szCs w:val="16"/>
                <w:lang w:eastAsia="en-US"/>
              </w:rPr>
              <w:t>T1</w:t>
            </w:r>
          </w:p>
        </w:tc>
        <w:tc>
          <w:tcPr>
            <w:tcW w:w="517" w:type="dxa"/>
            <w:tcBorders>
              <w:top w:val="nil"/>
              <w:left w:val="nil"/>
              <w:bottom w:val="single" w:sz="4" w:space="0" w:color="auto"/>
              <w:right w:val="single" w:sz="4" w:space="0" w:color="auto"/>
            </w:tcBorders>
            <w:shd w:val="clear" w:color="auto" w:fill="C6D9F1" w:themeFill="text2" w:themeFillTint="33"/>
            <w:noWrap/>
            <w:vAlign w:val="bottom"/>
            <w:hideMark/>
          </w:tcPr>
          <w:p w:rsidR="00CA682E" w:rsidRPr="00CA682E" w:rsidRDefault="00CA682E" w:rsidP="00CA682E">
            <w:pPr>
              <w:rPr>
                <w:rFonts w:eastAsia="Times New Roman"/>
                <w:b/>
                <w:bCs/>
                <w:color w:val="000000" w:themeColor="text1"/>
                <w:sz w:val="16"/>
                <w:szCs w:val="16"/>
                <w:lang w:eastAsia="en-US"/>
              </w:rPr>
            </w:pPr>
            <w:r w:rsidRPr="00CA682E">
              <w:rPr>
                <w:rFonts w:eastAsia="Times New Roman"/>
                <w:b/>
                <w:bCs/>
                <w:color w:val="000000" w:themeColor="text1"/>
                <w:sz w:val="16"/>
                <w:szCs w:val="16"/>
                <w:lang w:eastAsia="en-US"/>
              </w:rPr>
              <w:t>T2</w:t>
            </w:r>
          </w:p>
        </w:tc>
        <w:tc>
          <w:tcPr>
            <w:tcW w:w="518" w:type="dxa"/>
            <w:tcBorders>
              <w:top w:val="nil"/>
              <w:left w:val="nil"/>
              <w:bottom w:val="single" w:sz="4" w:space="0" w:color="auto"/>
              <w:right w:val="single" w:sz="4" w:space="0" w:color="auto"/>
            </w:tcBorders>
            <w:shd w:val="clear" w:color="auto" w:fill="C6D9F1" w:themeFill="text2" w:themeFillTint="33"/>
            <w:noWrap/>
            <w:vAlign w:val="bottom"/>
            <w:hideMark/>
          </w:tcPr>
          <w:p w:rsidR="00CA682E" w:rsidRPr="00CA682E" w:rsidRDefault="00CA682E" w:rsidP="00CA682E">
            <w:pPr>
              <w:rPr>
                <w:rFonts w:eastAsia="Times New Roman"/>
                <w:b/>
                <w:bCs/>
                <w:color w:val="000000" w:themeColor="text1"/>
                <w:sz w:val="16"/>
                <w:szCs w:val="16"/>
                <w:lang w:eastAsia="en-US"/>
              </w:rPr>
            </w:pPr>
            <w:r w:rsidRPr="00CA682E">
              <w:rPr>
                <w:rFonts w:eastAsia="Times New Roman"/>
                <w:b/>
                <w:bCs/>
                <w:color w:val="000000" w:themeColor="text1"/>
                <w:sz w:val="16"/>
                <w:szCs w:val="16"/>
                <w:lang w:eastAsia="en-US"/>
              </w:rPr>
              <w:t>T3</w:t>
            </w:r>
          </w:p>
        </w:tc>
        <w:tc>
          <w:tcPr>
            <w:tcW w:w="520" w:type="dxa"/>
            <w:tcBorders>
              <w:top w:val="nil"/>
              <w:left w:val="nil"/>
              <w:bottom w:val="single" w:sz="4" w:space="0" w:color="auto"/>
              <w:right w:val="single" w:sz="8" w:space="0" w:color="auto"/>
            </w:tcBorders>
            <w:shd w:val="clear" w:color="auto" w:fill="C6D9F1" w:themeFill="text2" w:themeFillTint="33"/>
            <w:noWrap/>
            <w:vAlign w:val="bottom"/>
            <w:hideMark/>
          </w:tcPr>
          <w:p w:rsidR="00CA682E" w:rsidRPr="00CA682E" w:rsidRDefault="00CA682E" w:rsidP="00CA682E">
            <w:pPr>
              <w:rPr>
                <w:rFonts w:eastAsia="Times New Roman"/>
                <w:b/>
                <w:bCs/>
                <w:color w:val="000000" w:themeColor="text1"/>
                <w:sz w:val="16"/>
                <w:szCs w:val="16"/>
                <w:lang w:eastAsia="en-US"/>
              </w:rPr>
            </w:pPr>
            <w:r w:rsidRPr="00CA682E">
              <w:rPr>
                <w:rFonts w:eastAsia="Times New Roman"/>
                <w:b/>
                <w:bCs/>
                <w:color w:val="000000" w:themeColor="text1"/>
                <w:sz w:val="16"/>
                <w:szCs w:val="16"/>
                <w:lang w:eastAsia="en-US"/>
              </w:rPr>
              <w:t>T4</w:t>
            </w:r>
          </w:p>
        </w:tc>
        <w:tc>
          <w:tcPr>
            <w:tcW w:w="571" w:type="dxa"/>
            <w:tcBorders>
              <w:top w:val="nil"/>
              <w:left w:val="nil"/>
              <w:bottom w:val="single" w:sz="4" w:space="0" w:color="auto"/>
              <w:right w:val="single" w:sz="4" w:space="0" w:color="auto"/>
            </w:tcBorders>
            <w:shd w:val="clear" w:color="auto" w:fill="C6D9F1" w:themeFill="text2" w:themeFillTint="33"/>
            <w:noWrap/>
            <w:vAlign w:val="bottom"/>
            <w:hideMark/>
          </w:tcPr>
          <w:p w:rsidR="00CA682E" w:rsidRPr="00CA682E" w:rsidRDefault="00CA682E" w:rsidP="00CA682E">
            <w:pPr>
              <w:rPr>
                <w:rFonts w:eastAsia="Times New Roman"/>
                <w:b/>
                <w:bCs/>
                <w:color w:val="000000" w:themeColor="text1"/>
                <w:sz w:val="16"/>
                <w:szCs w:val="16"/>
                <w:lang w:eastAsia="en-US"/>
              </w:rPr>
            </w:pPr>
            <w:r w:rsidRPr="00CA682E">
              <w:rPr>
                <w:rFonts w:eastAsia="Times New Roman"/>
                <w:b/>
                <w:bCs/>
                <w:color w:val="000000" w:themeColor="text1"/>
                <w:sz w:val="16"/>
                <w:szCs w:val="16"/>
                <w:lang w:eastAsia="en-US"/>
              </w:rPr>
              <w:t>T1</w:t>
            </w:r>
          </w:p>
        </w:tc>
        <w:tc>
          <w:tcPr>
            <w:tcW w:w="572" w:type="dxa"/>
            <w:tcBorders>
              <w:top w:val="nil"/>
              <w:left w:val="nil"/>
              <w:bottom w:val="single" w:sz="4" w:space="0" w:color="auto"/>
              <w:right w:val="single" w:sz="4" w:space="0" w:color="auto"/>
            </w:tcBorders>
            <w:shd w:val="clear" w:color="auto" w:fill="C6D9F1" w:themeFill="text2" w:themeFillTint="33"/>
            <w:noWrap/>
            <w:vAlign w:val="bottom"/>
            <w:hideMark/>
          </w:tcPr>
          <w:p w:rsidR="00CA682E" w:rsidRPr="00CA682E" w:rsidRDefault="00CA682E" w:rsidP="00CA682E">
            <w:pPr>
              <w:rPr>
                <w:rFonts w:eastAsia="Times New Roman"/>
                <w:b/>
                <w:bCs/>
                <w:color w:val="000000" w:themeColor="text1"/>
                <w:sz w:val="16"/>
                <w:szCs w:val="16"/>
                <w:lang w:eastAsia="en-US"/>
              </w:rPr>
            </w:pPr>
            <w:r w:rsidRPr="00CA682E">
              <w:rPr>
                <w:rFonts w:eastAsia="Times New Roman"/>
                <w:b/>
                <w:bCs/>
                <w:color w:val="000000" w:themeColor="text1"/>
                <w:sz w:val="16"/>
                <w:szCs w:val="16"/>
                <w:lang w:eastAsia="en-US"/>
              </w:rPr>
              <w:t>T2</w:t>
            </w:r>
          </w:p>
        </w:tc>
        <w:tc>
          <w:tcPr>
            <w:tcW w:w="572" w:type="dxa"/>
            <w:tcBorders>
              <w:top w:val="nil"/>
              <w:left w:val="nil"/>
              <w:bottom w:val="single" w:sz="4" w:space="0" w:color="auto"/>
              <w:right w:val="single" w:sz="4" w:space="0" w:color="auto"/>
            </w:tcBorders>
            <w:shd w:val="clear" w:color="auto" w:fill="C6D9F1" w:themeFill="text2" w:themeFillTint="33"/>
            <w:noWrap/>
            <w:vAlign w:val="bottom"/>
            <w:hideMark/>
          </w:tcPr>
          <w:p w:rsidR="00CA682E" w:rsidRPr="00CA682E" w:rsidRDefault="00CA682E" w:rsidP="00CA682E">
            <w:pPr>
              <w:rPr>
                <w:rFonts w:eastAsia="Times New Roman"/>
                <w:b/>
                <w:bCs/>
                <w:color w:val="000000" w:themeColor="text1"/>
                <w:sz w:val="16"/>
                <w:szCs w:val="16"/>
                <w:lang w:eastAsia="en-US"/>
              </w:rPr>
            </w:pPr>
            <w:r w:rsidRPr="00CA682E">
              <w:rPr>
                <w:rFonts w:eastAsia="Times New Roman"/>
                <w:b/>
                <w:bCs/>
                <w:color w:val="000000" w:themeColor="text1"/>
                <w:sz w:val="16"/>
                <w:szCs w:val="16"/>
                <w:lang w:eastAsia="en-US"/>
              </w:rPr>
              <w:t>T3</w:t>
            </w:r>
          </w:p>
        </w:tc>
        <w:tc>
          <w:tcPr>
            <w:tcW w:w="574" w:type="dxa"/>
            <w:tcBorders>
              <w:top w:val="nil"/>
              <w:left w:val="nil"/>
              <w:bottom w:val="single" w:sz="4" w:space="0" w:color="auto"/>
              <w:right w:val="single" w:sz="8" w:space="0" w:color="auto"/>
            </w:tcBorders>
            <w:shd w:val="clear" w:color="auto" w:fill="C6D9F1" w:themeFill="text2" w:themeFillTint="33"/>
            <w:noWrap/>
            <w:vAlign w:val="bottom"/>
            <w:hideMark/>
          </w:tcPr>
          <w:p w:rsidR="00CA682E" w:rsidRPr="00CA682E" w:rsidRDefault="00CA682E" w:rsidP="00CA682E">
            <w:pPr>
              <w:rPr>
                <w:rFonts w:eastAsia="Times New Roman"/>
                <w:b/>
                <w:bCs/>
                <w:color w:val="000000" w:themeColor="text1"/>
                <w:sz w:val="16"/>
                <w:szCs w:val="16"/>
                <w:lang w:eastAsia="en-US"/>
              </w:rPr>
            </w:pPr>
            <w:r w:rsidRPr="00CA682E">
              <w:rPr>
                <w:rFonts w:eastAsia="Times New Roman"/>
                <w:b/>
                <w:bCs/>
                <w:color w:val="000000" w:themeColor="text1"/>
                <w:sz w:val="16"/>
                <w:szCs w:val="16"/>
                <w:lang w:eastAsia="en-US"/>
              </w:rPr>
              <w:t>T4</w:t>
            </w:r>
          </w:p>
        </w:tc>
        <w:tc>
          <w:tcPr>
            <w:tcW w:w="518" w:type="dxa"/>
            <w:tcBorders>
              <w:top w:val="nil"/>
              <w:left w:val="nil"/>
              <w:bottom w:val="single" w:sz="4" w:space="0" w:color="auto"/>
              <w:right w:val="single" w:sz="4" w:space="0" w:color="auto"/>
            </w:tcBorders>
            <w:shd w:val="clear" w:color="auto" w:fill="C6D9F1" w:themeFill="text2" w:themeFillTint="33"/>
            <w:noWrap/>
            <w:vAlign w:val="bottom"/>
            <w:hideMark/>
          </w:tcPr>
          <w:p w:rsidR="00CA682E" w:rsidRPr="00CA682E" w:rsidRDefault="00CA682E" w:rsidP="00CA682E">
            <w:pPr>
              <w:rPr>
                <w:rFonts w:eastAsia="Times New Roman"/>
                <w:b/>
                <w:bCs/>
                <w:color w:val="000000" w:themeColor="text1"/>
                <w:sz w:val="16"/>
                <w:szCs w:val="16"/>
                <w:lang w:eastAsia="en-US"/>
              </w:rPr>
            </w:pPr>
            <w:r w:rsidRPr="00CA682E">
              <w:rPr>
                <w:rFonts w:eastAsia="Times New Roman"/>
                <w:b/>
                <w:bCs/>
                <w:color w:val="000000" w:themeColor="text1"/>
                <w:sz w:val="16"/>
                <w:szCs w:val="16"/>
                <w:lang w:eastAsia="en-US"/>
              </w:rPr>
              <w:t>T1</w:t>
            </w:r>
          </w:p>
        </w:tc>
        <w:tc>
          <w:tcPr>
            <w:tcW w:w="518" w:type="dxa"/>
            <w:tcBorders>
              <w:top w:val="nil"/>
              <w:left w:val="nil"/>
              <w:bottom w:val="single" w:sz="4" w:space="0" w:color="auto"/>
              <w:right w:val="single" w:sz="4" w:space="0" w:color="auto"/>
            </w:tcBorders>
            <w:shd w:val="clear" w:color="auto" w:fill="C6D9F1" w:themeFill="text2" w:themeFillTint="33"/>
            <w:noWrap/>
            <w:vAlign w:val="bottom"/>
            <w:hideMark/>
          </w:tcPr>
          <w:p w:rsidR="00CA682E" w:rsidRPr="00CA682E" w:rsidRDefault="00CA682E" w:rsidP="00CA682E">
            <w:pPr>
              <w:rPr>
                <w:rFonts w:eastAsia="Times New Roman"/>
                <w:b/>
                <w:bCs/>
                <w:color w:val="000000" w:themeColor="text1"/>
                <w:sz w:val="16"/>
                <w:szCs w:val="16"/>
                <w:lang w:eastAsia="en-US"/>
              </w:rPr>
            </w:pPr>
            <w:r w:rsidRPr="00CA682E">
              <w:rPr>
                <w:rFonts w:eastAsia="Times New Roman"/>
                <w:b/>
                <w:bCs/>
                <w:color w:val="000000" w:themeColor="text1"/>
                <w:sz w:val="16"/>
                <w:szCs w:val="16"/>
                <w:lang w:eastAsia="en-US"/>
              </w:rPr>
              <w:t>T2</w:t>
            </w:r>
          </w:p>
        </w:tc>
        <w:tc>
          <w:tcPr>
            <w:tcW w:w="518" w:type="dxa"/>
            <w:tcBorders>
              <w:top w:val="nil"/>
              <w:left w:val="nil"/>
              <w:bottom w:val="single" w:sz="4" w:space="0" w:color="auto"/>
              <w:right w:val="single" w:sz="4" w:space="0" w:color="auto"/>
            </w:tcBorders>
            <w:shd w:val="clear" w:color="auto" w:fill="C6D9F1" w:themeFill="text2" w:themeFillTint="33"/>
            <w:noWrap/>
            <w:vAlign w:val="bottom"/>
            <w:hideMark/>
          </w:tcPr>
          <w:p w:rsidR="00CA682E" w:rsidRPr="00CA682E" w:rsidRDefault="00CA682E" w:rsidP="00CA682E">
            <w:pPr>
              <w:rPr>
                <w:rFonts w:eastAsia="Times New Roman"/>
                <w:b/>
                <w:bCs/>
                <w:color w:val="000000" w:themeColor="text1"/>
                <w:sz w:val="16"/>
                <w:szCs w:val="16"/>
                <w:lang w:eastAsia="en-US"/>
              </w:rPr>
            </w:pPr>
            <w:r w:rsidRPr="00CA682E">
              <w:rPr>
                <w:rFonts w:eastAsia="Times New Roman"/>
                <w:b/>
                <w:bCs/>
                <w:color w:val="000000" w:themeColor="text1"/>
                <w:sz w:val="16"/>
                <w:szCs w:val="16"/>
                <w:lang w:eastAsia="en-US"/>
              </w:rPr>
              <w:t>T3</w:t>
            </w:r>
          </w:p>
        </w:tc>
        <w:tc>
          <w:tcPr>
            <w:tcW w:w="518" w:type="dxa"/>
            <w:tcBorders>
              <w:top w:val="nil"/>
              <w:left w:val="nil"/>
              <w:bottom w:val="single" w:sz="4" w:space="0" w:color="auto"/>
              <w:right w:val="single" w:sz="8" w:space="0" w:color="auto"/>
            </w:tcBorders>
            <w:shd w:val="clear" w:color="auto" w:fill="C6D9F1" w:themeFill="text2" w:themeFillTint="33"/>
            <w:noWrap/>
            <w:vAlign w:val="bottom"/>
            <w:hideMark/>
          </w:tcPr>
          <w:p w:rsidR="00CA682E" w:rsidRPr="00CA682E" w:rsidRDefault="00CA682E" w:rsidP="00CA682E">
            <w:pPr>
              <w:rPr>
                <w:rFonts w:eastAsia="Times New Roman"/>
                <w:b/>
                <w:bCs/>
                <w:color w:val="000000" w:themeColor="text1"/>
                <w:sz w:val="16"/>
                <w:szCs w:val="16"/>
                <w:lang w:eastAsia="en-US"/>
              </w:rPr>
            </w:pPr>
            <w:r w:rsidRPr="00CA682E">
              <w:rPr>
                <w:rFonts w:eastAsia="Times New Roman"/>
                <w:b/>
                <w:bCs/>
                <w:color w:val="000000" w:themeColor="text1"/>
                <w:sz w:val="16"/>
                <w:szCs w:val="16"/>
                <w:lang w:eastAsia="en-US"/>
              </w:rPr>
              <w:t>T4</w:t>
            </w:r>
          </w:p>
        </w:tc>
      </w:tr>
      <w:tr w:rsidR="00CA682E" w:rsidRPr="00CA682E" w:rsidTr="007B1DE4">
        <w:trPr>
          <w:gridAfter w:val="1"/>
          <w:wAfter w:w="6" w:type="dxa"/>
          <w:trHeight w:val="661"/>
          <w:jc w:val="center"/>
        </w:trPr>
        <w:tc>
          <w:tcPr>
            <w:tcW w:w="1985" w:type="dxa"/>
            <w:tcBorders>
              <w:top w:val="nil"/>
              <w:left w:val="single" w:sz="8" w:space="0" w:color="auto"/>
              <w:bottom w:val="single" w:sz="4" w:space="0" w:color="auto"/>
              <w:right w:val="single" w:sz="8" w:space="0" w:color="auto"/>
            </w:tcBorders>
            <w:shd w:val="clear" w:color="auto" w:fill="auto"/>
            <w:noWrap/>
            <w:vAlign w:val="bottom"/>
          </w:tcPr>
          <w:p w:rsidR="00CA682E" w:rsidRPr="00CA682E" w:rsidRDefault="00CA682E" w:rsidP="00CA682E">
            <w:pPr>
              <w:spacing w:before="40" w:after="40"/>
              <w:rPr>
                <w:rFonts w:eastAsia="Times New Roman"/>
                <w:color w:val="000000" w:themeColor="text1"/>
                <w:sz w:val="16"/>
                <w:szCs w:val="16"/>
                <w:lang w:eastAsia="en-US"/>
              </w:rPr>
            </w:pPr>
            <w:r w:rsidRPr="00CA682E">
              <w:rPr>
                <w:rFonts w:eastAsia="Times New Roman"/>
                <w:color w:val="000000" w:themeColor="text1"/>
                <w:sz w:val="16"/>
                <w:szCs w:val="16"/>
                <w:lang w:eastAsia="en-US"/>
              </w:rPr>
              <w:t>Evaluación de la situación y hoja de ruta relativa a una arquitectura de referencia y a la aplicación</w:t>
            </w:r>
          </w:p>
        </w:tc>
        <w:tc>
          <w:tcPr>
            <w:tcW w:w="517" w:type="dxa"/>
            <w:tcBorders>
              <w:top w:val="nil"/>
              <w:left w:val="nil"/>
              <w:bottom w:val="single" w:sz="4" w:space="0" w:color="auto"/>
              <w:right w:val="single" w:sz="4" w:space="0" w:color="auto"/>
            </w:tcBorders>
            <w:shd w:val="clear" w:color="auto" w:fill="auto"/>
            <w:noWrap/>
            <w:vAlign w:val="bottom"/>
          </w:tcPr>
          <w:p w:rsidR="00CA682E" w:rsidRPr="00CA682E" w:rsidRDefault="00CA682E" w:rsidP="00CA682E">
            <w:pPr>
              <w:spacing w:before="40" w:after="40"/>
              <w:rPr>
                <w:rFonts w:eastAsia="Times New Roman"/>
                <w:color w:val="000000" w:themeColor="text1"/>
                <w:sz w:val="16"/>
                <w:szCs w:val="16"/>
                <w:lang w:eastAsia="en-US"/>
              </w:rPr>
            </w:pPr>
          </w:p>
        </w:tc>
        <w:tc>
          <w:tcPr>
            <w:tcW w:w="517" w:type="dxa"/>
            <w:tcBorders>
              <w:top w:val="nil"/>
              <w:left w:val="nil"/>
              <w:bottom w:val="single" w:sz="4" w:space="0" w:color="auto"/>
              <w:right w:val="single" w:sz="4" w:space="0" w:color="auto"/>
            </w:tcBorders>
            <w:shd w:val="clear" w:color="auto" w:fill="auto"/>
            <w:noWrap/>
            <w:vAlign w:val="bottom"/>
          </w:tcPr>
          <w:p w:rsidR="00CA682E" w:rsidRPr="00CA682E" w:rsidRDefault="00CA682E" w:rsidP="00CA682E">
            <w:pPr>
              <w:spacing w:before="40" w:after="40"/>
              <w:rPr>
                <w:rFonts w:eastAsia="Times New Roman"/>
                <w:color w:val="000000" w:themeColor="text1"/>
                <w:sz w:val="16"/>
                <w:szCs w:val="16"/>
                <w:lang w:eastAsia="en-US"/>
              </w:rPr>
            </w:pPr>
          </w:p>
        </w:tc>
        <w:tc>
          <w:tcPr>
            <w:tcW w:w="518" w:type="dxa"/>
            <w:tcBorders>
              <w:top w:val="nil"/>
              <w:left w:val="nil"/>
              <w:bottom w:val="single" w:sz="4" w:space="0" w:color="auto"/>
              <w:right w:val="single" w:sz="4" w:space="0" w:color="auto"/>
            </w:tcBorders>
            <w:shd w:val="clear" w:color="auto" w:fill="auto"/>
            <w:noWrap/>
            <w:vAlign w:val="bottom"/>
          </w:tcPr>
          <w:p w:rsidR="00CA682E" w:rsidRPr="00CA682E" w:rsidRDefault="00CA682E" w:rsidP="00CA682E">
            <w:pPr>
              <w:spacing w:before="40" w:after="40"/>
              <w:rPr>
                <w:rFonts w:eastAsia="Times New Roman"/>
                <w:color w:val="000000" w:themeColor="text1"/>
                <w:sz w:val="16"/>
                <w:szCs w:val="16"/>
                <w:lang w:eastAsia="en-US"/>
              </w:rPr>
            </w:pPr>
          </w:p>
        </w:tc>
        <w:tc>
          <w:tcPr>
            <w:tcW w:w="520" w:type="dxa"/>
            <w:tcBorders>
              <w:top w:val="nil"/>
              <w:left w:val="nil"/>
              <w:bottom w:val="single" w:sz="4" w:space="0" w:color="auto"/>
              <w:right w:val="single" w:sz="8" w:space="0" w:color="auto"/>
            </w:tcBorders>
            <w:shd w:val="clear" w:color="auto" w:fill="auto"/>
            <w:noWrap/>
            <w:vAlign w:val="center"/>
          </w:tcPr>
          <w:p w:rsidR="00CA682E" w:rsidRPr="00CA682E" w:rsidRDefault="00CA682E" w:rsidP="00CA682E">
            <w:pPr>
              <w:spacing w:before="40" w:after="40"/>
              <w:jc w:val="center"/>
              <w:rPr>
                <w:rFonts w:eastAsia="Times New Roman"/>
                <w:color w:val="000000" w:themeColor="text1"/>
                <w:sz w:val="16"/>
                <w:szCs w:val="16"/>
                <w:lang w:eastAsia="en-US"/>
              </w:rPr>
            </w:pPr>
            <w:r w:rsidRPr="00CA682E">
              <w:rPr>
                <w:rFonts w:eastAsia="Times New Roman"/>
                <w:color w:val="000000" w:themeColor="text1"/>
                <w:sz w:val="16"/>
                <w:szCs w:val="16"/>
                <w:lang w:eastAsia="en-US"/>
              </w:rPr>
              <w:t>X</w:t>
            </w:r>
          </w:p>
        </w:tc>
        <w:tc>
          <w:tcPr>
            <w:tcW w:w="571" w:type="dxa"/>
            <w:tcBorders>
              <w:top w:val="nil"/>
              <w:left w:val="nil"/>
              <w:bottom w:val="single" w:sz="4" w:space="0" w:color="auto"/>
              <w:right w:val="single" w:sz="4" w:space="0" w:color="auto"/>
            </w:tcBorders>
            <w:shd w:val="clear" w:color="auto" w:fill="auto"/>
            <w:noWrap/>
            <w:vAlign w:val="center"/>
          </w:tcPr>
          <w:p w:rsidR="00CA682E" w:rsidRPr="00CA682E" w:rsidRDefault="00CA682E" w:rsidP="00CA682E">
            <w:pPr>
              <w:spacing w:before="40" w:after="40"/>
              <w:jc w:val="center"/>
              <w:rPr>
                <w:rFonts w:eastAsia="Times New Roman"/>
                <w:color w:val="000000" w:themeColor="text1"/>
                <w:sz w:val="16"/>
                <w:szCs w:val="16"/>
                <w:lang w:eastAsia="en-US"/>
              </w:rPr>
            </w:pPr>
            <w:r w:rsidRPr="00CA682E">
              <w:rPr>
                <w:rFonts w:eastAsia="Times New Roman"/>
                <w:color w:val="000000" w:themeColor="text1"/>
                <w:sz w:val="16"/>
                <w:szCs w:val="16"/>
                <w:lang w:eastAsia="en-US"/>
              </w:rPr>
              <w:t>X</w:t>
            </w:r>
          </w:p>
        </w:tc>
        <w:tc>
          <w:tcPr>
            <w:tcW w:w="572" w:type="dxa"/>
            <w:tcBorders>
              <w:top w:val="nil"/>
              <w:left w:val="nil"/>
              <w:bottom w:val="single" w:sz="4" w:space="0" w:color="auto"/>
              <w:right w:val="single" w:sz="4" w:space="0" w:color="auto"/>
            </w:tcBorders>
            <w:shd w:val="clear" w:color="auto" w:fill="auto"/>
            <w:noWrap/>
            <w:vAlign w:val="center"/>
          </w:tcPr>
          <w:p w:rsidR="00CA682E" w:rsidRPr="00CA682E" w:rsidRDefault="00CA682E" w:rsidP="00CA682E">
            <w:pPr>
              <w:spacing w:before="40" w:after="40"/>
              <w:jc w:val="center"/>
              <w:rPr>
                <w:rFonts w:eastAsia="Times New Roman"/>
                <w:color w:val="000000" w:themeColor="text1"/>
                <w:sz w:val="16"/>
                <w:szCs w:val="16"/>
                <w:lang w:eastAsia="en-US"/>
              </w:rPr>
            </w:pPr>
            <w:r w:rsidRPr="00CA682E">
              <w:rPr>
                <w:rFonts w:eastAsia="Times New Roman"/>
                <w:color w:val="000000" w:themeColor="text1"/>
                <w:sz w:val="16"/>
                <w:szCs w:val="16"/>
                <w:lang w:eastAsia="en-US"/>
              </w:rPr>
              <w:t>X</w:t>
            </w:r>
          </w:p>
        </w:tc>
        <w:tc>
          <w:tcPr>
            <w:tcW w:w="572" w:type="dxa"/>
            <w:tcBorders>
              <w:top w:val="nil"/>
              <w:left w:val="nil"/>
              <w:bottom w:val="single" w:sz="4" w:space="0" w:color="auto"/>
              <w:right w:val="single" w:sz="4" w:space="0" w:color="auto"/>
            </w:tcBorders>
            <w:shd w:val="clear" w:color="auto" w:fill="auto"/>
            <w:noWrap/>
            <w:vAlign w:val="center"/>
          </w:tcPr>
          <w:p w:rsidR="00CA682E" w:rsidRPr="00CA682E" w:rsidRDefault="00CA682E" w:rsidP="00CA682E">
            <w:pPr>
              <w:spacing w:before="40" w:after="40"/>
              <w:jc w:val="center"/>
              <w:rPr>
                <w:rFonts w:eastAsia="Times New Roman"/>
                <w:color w:val="000000" w:themeColor="text1"/>
                <w:sz w:val="16"/>
                <w:szCs w:val="16"/>
                <w:lang w:eastAsia="en-US"/>
              </w:rPr>
            </w:pPr>
          </w:p>
        </w:tc>
        <w:tc>
          <w:tcPr>
            <w:tcW w:w="574" w:type="dxa"/>
            <w:tcBorders>
              <w:top w:val="nil"/>
              <w:left w:val="nil"/>
              <w:bottom w:val="single" w:sz="4" w:space="0" w:color="auto"/>
              <w:right w:val="single" w:sz="8" w:space="0" w:color="auto"/>
            </w:tcBorders>
            <w:shd w:val="clear" w:color="auto" w:fill="auto"/>
            <w:noWrap/>
            <w:vAlign w:val="center"/>
          </w:tcPr>
          <w:p w:rsidR="00CA682E" w:rsidRPr="00CA682E" w:rsidRDefault="00CA682E" w:rsidP="00CA682E">
            <w:pPr>
              <w:spacing w:before="40" w:after="40"/>
              <w:jc w:val="center"/>
              <w:rPr>
                <w:rFonts w:eastAsia="Times New Roman"/>
                <w:color w:val="000000" w:themeColor="text1"/>
                <w:sz w:val="16"/>
                <w:szCs w:val="16"/>
                <w:lang w:eastAsia="en-US"/>
              </w:rPr>
            </w:pPr>
          </w:p>
        </w:tc>
        <w:tc>
          <w:tcPr>
            <w:tcW w:w="518" w:type="dxa"/>
            <w:tcBorders>
              <w:top w:val="nil"/>
              <w:left w:val="nil"/>
              <w:bottom w:val="single" w:sz="4" w:space="0" w:color="auto"/>
              <w:right w:val="single" w:sz="4" w:space="0" w:color="auto"/>
            </w:tcBorders>
            <w:shd w:val="clear" w:color="auto" w:fill="auto"/>
            <w:noWrap/>
            <w:vAlign w:val="center"/>
          </w:tcPr>
          <w:p w:rsidR="00CA682E" w:rsidRPr="00CA682E" w:rsidRDefault="00CA682E" w:rsidP="00CA682E">
            <w:pPr>
              <w:spacing w:before="40" w:after="40"/>
              <w:jc w:val="center"/>
              <w:rPr>
                <w:rFonts w:eastAsia="Times New Roman"/>
                <w:color w:val="000000" w:themeColor="text1"/>
                <w:sz w:val="16"/>
                <w:szCs w:val="16"/>
                <w:lang w:eastAsia="en-US"/>
              </w:rPr>
            </w:pPr>
          </w:p>
        </w:tc>
        <w:tc>
          <w:tcPr>
            <w:tcW w:w="518" w:type="dxa"/>
            <w:tcBorders>
              <w:top w:val="nil"/>
              <w:left w:val="nil"/>
              <w:bottom w:val="single" w:sz="4" w:space="0" w:color="auto"/>
              <w:right w:val="single" w:sz="4" w:space="0" w:color="auto"/>
            </w:tcBorders>
            <w:shd w:val="clear" w:color="auto" w:fill="auto"/>
            <w:noWrap/>
            <w:vAlign w:val="center"/>
          </w:tcPr>
          <w:p w:rsidR="00CA682E" w:rsidRPr="00CA682E" w:rsidRDefault="00CA682E" w:rsidP="00CA682E">
            <w:pPr>
              <w:spacing w:before="40" w:after="40"/>
              <w:jc w:val="center"/>
              <w:rPr>
                <w:rFonts w:eastAsia="Times New Roman"/>
                <w:color w:val="000000" w:themeColor="text1"/>
                <w:sz w:val="16"/>
                <w:szCs w:val="16"/>
                <w:lang w:eastAsia="en-US"/>
              </w:rPr>
            </w:pPr>
          </w:p>
        </w:tc>
        <w:tc>
          <w:tcPr>
            <w:tcW w:w="518" w:type="dxa"/>
            <w:tcBorders>
              <w:top w:val="nil"/>
              <w:left w:val="nil"/>
              <w:bottom w:val="single" w:sz="4" w:space="0" w:color="auto"/>
              <w:right w:val="single" w:sz="4" w:space="0" w:color="auto"/>
            </w:tcBorders>
            <w:shd w:val="clear" w:color="auto" w:fill="auto"/>
            <w:noWrap/>
            <w:vAlign w:val="center"/>
          </w:tcPr>
          <w:p w:rsidR="00CA682E" w:rsidRPr="00CA682E" w:rsidRDefault="00CA682E" w:rsidP="00CA682E">
            <w:pPr>
              <w:spacing w:before="40" w:after="40"/>
              <w:jc w:val="center"/>
              <w:rPr>
                <w:rFonts w:eastAsia="Times New Roman"/>
                <w:color w:val="000000" w:themeColor="text1"/>
                <w:sz w:val="16"/>
                <w:szCs w:val="16"/>
                <w:lang w:eastAsia="en-US"/>
              </w:rPr>
            </w:pPr>
          </w:p>
        </w:tc>
        <w:tc>
          <w:tcPr>
            <w:tcW w:w="518" w:type="dxa"/>
            <w:tcBorders>
              <w:top w:val="nil"/>
              <w:left w:val="nil"/>
              <w:bottom w:val="single" w:sz="4" w:space="0" w:color="auto"/>
              <w:right w:val="single" w:sz="8" w:space="0" w:color="auto"/>
            </w:tcBorders>
            <w:shd w:val="clear" w:color="auto" w:fill="auto"/>
            <w:noWrap/>
            <w:vAlign w:val="center"/>
          </w:tcPr>
          <w:p w:rsidR="00CA682E" w:rsidRPr="00CA682E" w:rsidRDefault="00CA682E" w:rsidP="00CA682E">
            <w:pPr>
              <w:spacing w:before="40" w:after="40"/>
              <w:jc w:val="center"/>
              <w:rPr>
                <w:rFonts w:eastAsia="Times New Roman"/>
                <w:color w:val="000000" w:themeColor="text1"/>
                <w:sz w:val="16"/>
                <w:szCs w:val="16"/>
                <w:lang w:eastAsia="en-US"/>
              </w:rPr>
            </w:pPr>
          </w:p>
        </w:tc>
      </w:tr>
      <w:tr w:rsidR="00CA682E" w:rsidRPr="00CA682E" w:rsidTr="007B1DE4">
        <w:trPr>
          <w:gridAfter w:val="1"/>
          <w:wAfter w:w="6" w:type="dxa"/>
          <w:trHeight w:val="661"/>
          <w:jc w:val="center"/>
        </w:trPr>
        <w:tc>
          <w:tcPr>
            <w:tcW w:w="1985" w:type="dxa"/>
            <w:tcBorders>
              <w:top w:val="nil"/>
              <w:left w:val="single" w:sz="8" w:space="0" w:color="auto"/>
              <w:bottom w:val="single" w:sz="4" w:space="0" w:color="auto"/>
              <w:right w:val="single" w:sz="8" w:space="0" w:color="auto"/>
            </w:tcBorders>
            <w:shd w:val="clear" w:color="auto" w:fill="auto"/>
            <w:noWrap/>
            <w:vAlign w:val="center"/>
          </w:tcPr>
          <w:p w:rsidR="00CA682E" w:rsidRPr="00CA682E" w:rsidRDefault="00CA682E" w:rsidP="00CA682E">
            <w:pPr>
              <w:spacing w:before="40" w:after="40"/>
              <w:rPr>
                <w:rFonts w:eastAsia="Times New Roman" w:cs="Times New Roman"/>
                <w:color w:val="000000" w:themeColor="text1"/>
                <w:sz w:val="20"/>
                <w:szCs w:val="24"/>
                <w:lang w:eastAsia="en-US"/>
              </w:rPr>
            </w:pPr>
            <w:r w:rsidRPr="00CA682E">
              <w:rPr>
                <w:rFonts w:eastAsia="Times New Roman"/>
                <w:color w:val="000000" w:themeColor="text1"/>
                <w:sz w:val="16"/>
                <w:szCs w:val="16"/>
                <w:lang w:eastAsia="en-US"/>
              </w:rPr>
              <w:t>Aplicación prioritaria de una hoja de ruta relativa a las capacidades y situaciones de uso respecto de la gestión de la identidad y el acceso, y el cifrado</w:t>
            </w:r>
          </w:p>
        </w:tc>
        <w:tc>
          <w:tcPr>
            <w:tcW w:w="517" w:type="dxa"/>
            <w:tcBorders>
              <w:top w:val="nil"/>
              <w:left w:val="nil"/>
              <w:bottom w:val="single" w:sz="4" w:space="0" w:color="auto"/>
              <w:right w:val="single" w:sz="4" w:space="0" w:color="auto"/>
            </w:tcBorders>
            <w:shd w:val="clear" w:color="auto" w:fill="auto"/>
            <w:noWrap/>
            <w:vAlign w:val="bottom"/>
          </w:tcPr>
          <w:p w:rsidR="00CA682E" w:rsidRPr="00CA682E" w:rsidRDefault="00CA682E" w:rsidP="00CA682E">
            <w:pPr>
              <w:spacing w:before="40" w:after="40"/>
              <w:rPr>
                <w:rFonts w:eastAsia="Times New Roman"/>
                <w:color w:val="000000" w:themeColor="text1"/>
                <w:sz w:val="16"/>
                <w:szCs w:val="16"/>
                <w:lang w:eastAsia="en-US"/>
              </w:rPr>
            </w:pPr>
          </w:p>
        </w:tc>
        <w:tc>
          <w:tcPr>
            <w:tcW w:w="517" w:type="dxa"/>
            <w:tcBorders>
              <w:top w:val="nil"/>
              <w:left w:val="nil"/>
              <w:bottom w:val="single" w:sz="4" w:space="0" w:color="auto"/>
              <w:right w:val="single" w:sz="4" w:space="0" w:color="auto"/>
            </w:tcBorders>
            <w:shd w:val="clear" w:color="auto" w:fill="auto"/>
            <w:noWrap/>
            <w:vAlign w:val="bottom"/>
          </w:tcPr>
          <w:p w:rsidR="00CA682E" w:rsidRPr="00CA682E" w:rsidRDefault="00CA682E" w:rsidP="00CA682E">
            <w:pPr>
              <w:spacing w:before="40" w:after="40"/>
              <w:rPr>
                <w:rFonts w:eastAsia="Times New Roman"/>
                <w:color w:val="000000" w:themeColor="text1"/>
                <w:sz w:val="16"/>
                <w:szCs w:val="16"/>
                <w:lang w:eastAsia="en-US"/>
              </w:rPr>
            </w:pPr>
          </w:p>
        </w:tc>
        <w:tc>
          <w:tcPr>
            <w:tcW w:w="518" w:type="dxa"/>
            <w:tcBorders>
              <w:top w:val="nil"/>
              <w:left w:val="nil"/>
              <w:bottom w:val="single" w:sz="4" w:space="0" w:color="auto"/>
              <w:right w:val="single" w:sz="4" w:space="0" w:color="auto"/>
            </w:tcBorders>
            <w:shd w:val="clear" w:color="auto" w:fill="auto"/>
            <w:noWrap/>
            <w:vAlign w:val="bottom"/>
          </w:tcPr>
          <w:p w:rsidR="00CA682E" w:rsidRPr="00CA682E" w:rsidRDefault="00CA682E" w:rsidP="00CA682E">
            <w:pPr>
              <w:spacing w:before="40" w:after="40"/>
              <w:rPr>
                <w:rFonts w:eastAsia="Times New Roman"/>
                <w:color w:val="000000" w:themeColor="text1"/>
                <w:sz w:val="16"/>
                <w:szCs w:val="16"/>
                <w:lang w:eastAsia="en-US"/>
              </w:rPr>
            </w:pPr>
          </w:p>
        </w:tc>
        <w:tc>
          <w:tcPr>
            <w:tcW w:w="520" w:type="dxa"/>
            <w:tcBorders>
              <w:top w:val="nil"/>
              <w:left w:val="nil"/>
              <w:bottom w:val="single" w:sz="4" w:space="0" w:color="auto"/>
              <w:right w:val="single" w:sz="8" w:space="0" w:color="auto"/>
            </w:tcBorders>
            <w:shd w:val="clear" w:color="auto" w:fill="auto"/>
            <w:noWrap/>
            <w:vAlign w:val="center"/>
          </w:tcPr>
          <w:p w:rsidR="00CA682E" w:rsidRPr="00CA682E" w:rsidRDefault="00CA682E" w:rsidP="00CA682E">
            <w:pPr>
              <w:spacing w:before="40" w:after="40"/>
              <w:jc w:val="center"/>
              <w:rPr>
                <w:rFonts w:eastAsia="Times New Roman"/>
                <w:color w:val="000000" w:themeColor="text1"/>
                <w:sz w:val="16"/>
                <w:szCs w:val="16"/>
                <w:lang w:eastAsia="en-US"/>
              </w:rPr>
            </w:pPr>
          </w:p>
        </w:tc>
        <w:tc>
          <w:tcPr>
            <w:tcW w:w="571" w:type="dxa"/>
            <w:tcBorders>
              <w:top w:val="nil"/>
              <w:left w:val="nil"/>
              <w:bottom w:val="single" w:sz="4" w:space="0" w:color="auto"/>
              <w:right w:val="single" w:sz="4" w:space="0" w:color="auto"/>
            </w:tcBorders>
            <w:shd w:val="clear" w:color="auto" w:fill="auto"/>
            <w:noWrap/>
            <w:vAlign w:val="center"/>
          </w:tcPr>
          <w:p w:rsidR="00CA682E" w:rsidRPr="00CA682E" w:rsidRDefault="00CA682E" w:rsidP="00CA682E">
            <w:pPr>
              <w:spacing w:before="40" w:after="40"/>
              <w:jc w:val="center"/>
              <w:rPr>
                <w:rFonts w:eastAsia="Times New Roman"/>
                <w:color w:val="000000" w:themeColor="text1"/>
                <w:sz w:val="16"/>
                <w:szCs w:val="16"/>
                <w:lang w:eastAsia="en-US"/>
              </w:rPr>
            </w:pPr>
          </w:p>
        </w:tc>
        <w:tc>
          <w:tcPr>
            <w:tcW w:w="572" w:type="dxa"/>
            <w:tcBorders>
              <w:top w:val="nil"/>
              <w:left w:val="nil"/>
              <w:bottom w:val="single" w:sz="4" w:space="0" w:color="auto"/>
              <w:right w:val="single" w:sz="4" w:space="0" w:color="auto"/>
            </w:tcBorders>
            <w:shd w:val="clear" w:color="auto" w:fill="auto"/>
            <w:noWrap/>
            <w:vAlign w:val="center"/>
          </w:tcPr>
          <w:p w:rsidR="00CA682E" w:rsidRPr="00CA682E" w:rsidRDefault="00CA682E" w:rsidP="00CA682E">
            <w:pPr>
              <w:spacing w:before="40" w:after="40"/>
              <w:jc w:val="center"/>
              <w:rPr>
                <w:rFonts w:eastAsia="Times New Roman"/>
                <w:color w:val="000000" w:themeColor="text1"/>
                <w:sz w:val="16"/>
                <w:szCs w:val="16"/>
                <w:lang w:eastAsia="en-US"/>
              </w:rPr>
            </w:pPr>
          </w:p>
        </w:tc>
        <w:tc>
          <w:tcPr>
            <w:tcW w:w="572" w:type="dxa"/>
            <w:tcBorders>
              <w:top w:val="nil"/>
              <w:left w:val="nil"/>
              <w:bottom w:val="single" w:sz="4" w:space="0" w:color="auto"/>
              <w:right w:val="single" w:sz="4" w:space="0" w:color="auto"/>
            </w:tcBorders>
            <w:shd w:val="clear" w:color="auto" w:fill="auto"/>
            <w:noWrap/>
            <w:vAlign w:val="center"/>
          </w:tcPr>
          <w:p w:rsidR="00CA682E" w:rsidRPr="00CA682E" w:rsidRDefault="00CA682E" w:rsidP="00CA682E">
            <w:pPr>
              <w:spacing w:before="40" w:after="40"/>
              <w:jc w:val="center"/>
              <w:rPr>
                <w:rFonts w:eastAsia="Times New Roman"/>
                <w:color w:val="000000" w:themeColor="text1"/>
                <w:sz w:val="16"/>
                <w:szCs w:val="16"/>
                <w:lang w:eastAsia="en-US"/>
              </w:rPr>
            </w:pPr>
            <w:r w:rsidRPr="00CA682E">
              <w:rPr>
                <w:rFonts w:eastAsia="Times New Roman"/>
                <w:color w:val="000000" w:themeColor="text1"/>
                <w:sz w:val="16"/>
                <w:szCs w:val="16"/>
                <w:lang w:eastAsia="en-US"/>
              </w:rPr>
              <w:t>X</w:t>
            </w:r>
          </w:p>
        </w:tc>
        <w:tc>
          <w:tcPr>
            <w:tcW w:w="574" w:type="dxa"/>
            <w:tcBorders>
              <w:top w:val="nil"/>
              <w:left w:val="nil"/>
              <w:bottom w:val="single" w:sz="4" w:space="0" w:color="auto"/>
              <w:right w:val="single" w:sz="8" w:space="0" w:color="auto"/>
            </w:tcBorders>
            <w:shd w:val="clear" w:color="auto" w:fill="auto"/>
            <w:noWrap/>
            <w:vAlign w:val="center"/>
          </w:tcPr>
          <w:p w:rsidR="00CA682E" w:rsidRPr="00CA682E" w:rsidRDefault="00CA682E" w:rsidP="00CA682E">
            <w:pPr>
              <w:spacing w:before="40" w:after="40"/>
              <w:jc w:val="center"/>
              <w:rPr>
                <w:rFonts w:eastAsia="Times New Roman"/>
                <w:color w:val="000000" w:themeColor="text1"/>
                <w:sz w:val="16"/>
                <w:szCs w:val="16"/>
                <w:lang w:eastAsia="en-US"/>
              </w:rPr>
            </w:pPr>
            <w:r w:rsidRPr="00CA682E">
              <w:rPr>
                <w:rFonts w:eastAsia="Times New Roman"/>
                <w:color w:val="000000" w:themeColor="text1"/>
                <w:sz w:val="16"/>
                <w:szCs w:val="16"/>
                <w:lang w:eastAsia="en-US"/>
              </w:rPr>
              <w:t>X</w:t>
            </w:r>
          </w:p>
        </w:tc>
        <w:tc>
          <w:tcPr>
            <w:tcW w:w="518" w:type="dxa"/>
            <w:tcBorders>
              <w:top w:val="nil"/>
              <w:left w:val="nil"/>
              <w:bottom w:val="single" w:sz="4" w:space="0" w:color="auto"/>
              <w:right w:val="single" w:sz="4" w:space="0" w:color="auto"/>
            </w:tcBorders>
            <w:shd w:val="clear" w:color="auto" w:fill="auto"/>
            <w:noWrap/>
            <w:vAlign w:val="center"/>
          </w:tcPr>
          <w:p w:rsidR="00CA682E" w:rsidRPr="00CA682E" w:rsidRDefault="00CA682E" w:rsidP="00CA682E">
            <w:pPr>
              <w:spacing w:before="40" w:after="40"/>
              <w:jc w:val="center"/>
              <w:rPr>
                <w:rFonts w:eastAsia="Times New Roman"/>
                <w:color w:val="000000" w:themeColor="text1"/>
                <w:sz w:val="16"/>
                <w:szCs w:val="16"/>
                <w:lang w:eastAsia="en-US"/>
              </w:rPr>
            </w:pPr>
            <w:r w:rsidRPr="00CA682E">
              <w:rPr>
                <w:rFonts w:eastAsia="Times New Roman"/>
                <w:color w:val="000000" w:themeColor="text1"/>
                <w:sz w:val="16"/>
                <w:szCs w:val="16"/>
                <w:lang w:eastAsia="en-US"/>
              </w:rPr>
              <w:t>X</w:t>
            </w:r>
          </w:p>
        </w:tc>
        <w:tc>
          <w:tcPr>
            <w:tcW w:w="518" w:type="dxa"/>
            <w:tcBorders>
              <w:top w:val="nil"/>
              <w:left w:val="nil"/>
              <w:bottom w:val="single" w:sz="4" w:space="0" w:color="auto"/>
              <w:right w:val="single" w:sz="4" w:space="0" w:color="auto"/>
            </w:tcBorders>
            <w:shd w:val="clear" w:color="auto" w:fill="auto"/>
            <w:noWrap/>
            <w:vAlign w:val="center"/>
          </w:tcPr>
          <w:p w:rsidR="00CA682E" w:rsidRPr="00CA682E" w:rsidRDefault="00CA682E" w:rsidP="00CA682E">
            <w:pPr>
              <w:spacing w:before="40" w:after="40"/>
              <w:jc w:val="center"/>
              <w:rPr>
                <w:rFonts w:eastAsia="Times New Roman"/>
                <w:color w:val="000000" w:themeColor="text1"/>
                <w:sz w:val="16"/>
                <w:szCs w:val="16"/>
                <w:lang w:eastAsia="en-US"/>
              </w:rPr>
            </w:pPr>
            <w:r w:rsidRPr="00CA682E">
              <w:rPr>
                <w:rFonts w:eastAsia="Times New Roman"/>
                <w:color w:val="000000" w:themeColor="text1"/>
                <w:sz w:val="16"/>
                <w:szCs w:val="16"/>
                <w:lang w:eastAsia="en-US"/>
              </w:rPr>
              <w:t>X</w:t>
            </w:r>
          </w:p>
        </w:tc>
        <w:tc>
          <w:tcPr>
            <w:tcW w:w="518" w:type="dxa"/>
            <w:tcBorders>
              <w:top w:val="nil"/>
              <w:left w:val="nil"/>
              <w:bottom w:val="single" w:sz="4" w:space="0" w:color="auto"/>
              <w:right w:val="single" w:sz="4" w:space="0" w:color="auto"/>
            </w:tcBorders>
            <w:shd w:val="clear" w:color="auto" w:fill="auto"/>
            <w:noWrap/>
            <w:vAlign w:val="center"/>
          </w:tcPr>
          <w:p w:rsidR="00CA682E" w:rsidRPr="00CA682E" w:rsidRDefault="00CA682E" w:rsidP="00CA682E">
            <w:pPr>
              <w:spacing w:before="40" w:after="40"/>
              <w:jc w:val="center"/>
              <w:rPr>
                <w:rFonts w:eastAsia="Times New Roman"/>
                <w:color w:val="000000" w:themeColor="text1"/>
                <w:sz w:val="16"/>
                <w:szCs w:val="16"/>
                <w:lang w:eastAsia="en-US"/>
              </w:rPr>
            </w:pPr>
            <w:r w:rsidRPr="00CA682E">
              <w:rPr>
                <w:rFonts w:eastAsia="Times New Roman"/>
                <w:color w:val="000000" w:themeColor="text1"/>
                <w:sz w:val="16"/>
                <w:szCs w:val="16"/>
                <w:lang w:eastAsia="en-US"/>
              </w:rPr>
              <w:t>X</w:t>
            </w:r>
          </w:p>
        </w:tc>
        <w:tc>
          <w:tcPr>
            <w:tcW w:w="518" w:type="dxa"/>
            <w:tcBorders>
              <w:top w:val="nil"/>
              <w:left w:val="nil"/>
              <w:bottom w:val="single" w:sz="4" w:space="0" w:color="auto"/>
              <w:right w:val="single" w:sz="8" w:space="0" w:color="auto"/>
            </w:tcBorders>
            <w:shd w:val="clear" w:color="auto" w:fill="auto"/>
            <w:noWrap/>
            <w:vAlign w:val="center"/>
          </w:tcPr>
          <w:p w:rsidR="00CA682E" w:rsidRPr="00CA682E" w:rsidRDefault="00CA682E" w:rsidP="00CA682E">
            <w:pPr>
              <w:spacing w:before="40" w:after="40"/>
              <w:jc w:val="center"/>
              <w:rPr>
                <w:rFonts w:eastAsia="Times New Roman"/>
                <w:color w:val="000000" w:themeColor="text1"/>
                <w:sz w:val="16"/>
                <w:szCs w:val="16"/>
                <w:lang w:eastAsia="en-US"/>
              </w:rPr>
            </w:pPr>
            <w:r w:rsidRPr="00CA682E">
              <w:rPr>
                <w:rFonts w:eastAsia="Times New Roman"/>
                <w:color w:val="000000" w:themeColor="text1"/>
                <w:sz w:val="16"/>
                <w:szCs w:val="16"/>
                <w:lang w:eastAsia="en-US"/>
              </w:rPr>
              <w:t>X</w:t>
            </w:r>
          </w:p>
        </w:tc>
      </w:tr>
    </w:tbl>
    <w:p w:rsidR="00CA682E" w:rsidRPr="00CA682E" w:rsidRDefault="00CA682E" w:rsidP="00CA682E">
      <w:pPr>
        <w:rPr>
          <w:rFonts w:eastAsia="Times New Roman" w:cs="Times New Roman"/>
          <w:color w:val="000000" w:themeColor="text1"/>
          <w:sz w:val="20"/>
          <w:szCs w:val="24"/>
          <w:lang w:eastAsia="en-US"/>
        </w:rPr>
      </w:pPr>
    </w:p>
    <w:p w:rsidR="00CA682E" w:rsidRPr="00CA682E" w:rsidRDefault="00CA682E" w:rsidP="00CA682E">
      <w:pPr>
        <w:rPr>
          <w:rFonts w:eastAsia="Times New Roman" w:cs="Times New Roman"/>
          <w:color w:val="000000" w:themeColor="text1"/>
          <w:sz w:val="20"/>
          <w:szCs w:val="24"/>
          <w:lang w:eastAsia="en-US"/>
        </w:rPr>
      </w:pPr>
    </w:p>
    <w:p w:rsidR="00CA682E" w:rsidRPr="00CA682E" w:rsidRDefault="00CA682E" w:rsidP="00CA682E">
      <w:pPr>
        <w:spacing w:after="200" w:line="276" w:lineRule="auto"/>
        <w:rPr>
          <w:rFonts w:eastAsia="Times New Roman" w:cs="Times New Roman"/>
          <w:color w:val="000000" w:themeColor="text1"/>
          <w:sz w:val="20"/>
          <w:szCs w:val="24"/>
          <w:lang w:eastAsia="en-US"/>
        </w:rPr>
      </w:pPr>
      <w:r w:rsidRPr="00CA682E">
        <w:rPr>
          <w:rFonts w:eastAsia="Times New Roman" w:cs="Times New Roman"/>
          <w:color w:val="000000" w:themeColor="text1"/>
          <w:sz w:val="20"/>
          <w:szCs w:val="24"/>
          <w:lang w:eastAsia="en-US"/>
        </w:rPr>
        <w:br w:type="page"/>
      </w:r>
    </w:p>
    <w:p w:rsidR="00CA682E" w:rsidRPr="00CA682E" w:rsidRDefault="00CA682E" w:rsidP="00CA682E">
      <w:pPr>
        <w:rPr>
          <w:rFonts w:eastAsia="Times New Roman" w:cs="Times New Roman"/>
          <w:b/>
          <w:color w:val="000000" w:themeColor="text1"/>
          <w:szCs w:val="22"/>
          <w:lang w:eastAsia="en-US"/>
        </w:rPr>
      </w:pPr>
      <w:r w:rsidRPr="00CA682E">
        <w:rPr>
          <w:rFonts w:eastAsia="Times New Roman" w:cs="Times New Roman"/>
          <w:b/>
          <w:color w:val="000000" w:themeColor="text1"/>
          <w:szCs w:val="22"/>
          <w:lang w:eastAsia="en-US"/>
        </w:rPr>
        <w:lastRenderedPageBreak/>
        <w:t>PROYECTOS RELACIONADOS CON LAS TIC</w:t>
      </w:r>
    </w:p>
    <w:p w:rsidR="00CA682E" w:rsidRPr="00CA682E" w:rsidRDefault="00CA682E" w:rsidP="00CA682E">
      <w:pPr>
        <w:rPr>
          <w:rFonts w:eastAsia="Times New Roman" w:cs="Times New Roman"/>
          <w:color w:val="000000" w:themeColor="text1"/>
          <w:sz w:val="20"/>
          <w:lang w:eastAsia="en-US"/>
        </w:rPr>
      </w:pPr>
    </w:p>
    <w:p w:rsidR="00CA682E" w:rsidRPr="00CA682E" w:rsidRDefault="00DD172C" w:rsidP="00DD172C">
      <w:pPr>
        <w:keepNext/>
        <w:ind w:left="567" w:hanging="567"/>
        <w:outlineLvl w:val="2"/>
        <w:rPr>
          <w:b/>
          <w:bCs/>
          <w:i/>
          <w:color w:val="000000" w:themeColor="text1"/>
          <w:sz w:val="20"/>
          <w:lang w:eastAsia="en-US"/>
        </w:rPr>
      </w:pPr>
      <w:bookmarkStart w:id="221" w:name="_Toc422210524"/>
      <w:bookmarkStart w:id="222" w:name="_Toc422927449"/>
      <w:bookmarkStart w:id="223" w:name="_Toc455159117"/>
      <w:r>
        <w:rPr>
          <w:b/>
          <w:bCs/>
          <w:i/>
          <w:color w:val="000000" w:themeColor="text1"/>
          <w:sz w:val="20"/>
          <w:lang w:eastAsia="en-US"/>
        </w:rPr>
        <w:t>PROYECTO 2:</w:t>
      </w:r>
      <w:r>
        <w:rPr>
          <w:b/>
          <w:bCs/>
          <w:i/>
          <w:color w:val="000000" w:themeColor="text1"/>
          <w:sz w:val="20"/>
          <w:lang w:eastAsia="en-US"/>
        </w:rPr>
        <w:tab/>
      </w:r>
      <w:r w:rsidR="00CA682E" w:rsidRPr="00CA682E">
        <w:rPr>
          <w:b/>
          <w:bCs/>
          <w:i/>
          <w:color w:val="000000" w:themeColor="text1"/>
          <w:sz w:val="20"/>
          <w:lang w:eastAsia="en-US"/>
        </w:rPr>
        <w:t>APLICACIÓN DE LA GESTIÓN DE CONTENIDOS INSTITUCIONALES</w:t>
      </w:r>
      <w:bookmarkEnd w:id="221"/>
      <w:r w:rsidR="00CA682E" w:rsidRPr="00CA682E">
        <w:rPr>
          <w:b/>
          <w:bCs/>
          <w:i/>
          <w:color w:val="000000" w:themeColor="text1"/>
          <w:sz w:val="20"/>
          <w:lang w:eastAsia="en-US"/>
        </w:rPr>
        <w:t xml:space="preserve"> (PMM 2)</w:t>
      </w:r>
      <w:bookmarkEnd w:id="222"/>
      <w:bookmarkEnd w:id="223"/>
    </w:p>
    <w:p w:rsidR="00CA682E" w:rsidRPr="00CA682E" w:rsidRDefault="00CA682E" w:rsidP="00CA682E">
      <w:pPr>
        <w:rPr>
          <w:rFonts w:eastAsia="Times New Roman"/>
          <w:b/>
          <w:color w:val="000000" w:themeColor="text1"/>
          <w:sz w:val="20"/>
          <w:lang w:eastAsia="en-US"/>
        </w:rPr>
      </w:pPr>
    </w:p>
    <w:p w:rsidR="00CA682E" w:rsidRPr="00CA682E" w:rsidRDefault="00CA682E" w:rsidP="00CA682E">
      <w:pPr>
        <w:rPr>
          <w:rFonts w:eastAsia="Times New Roman"/>
          <w:b/>
          <w:color w:val="000000" w:themeColor="text1"/>
          <w:sz w:val="20"/>
          <w:lang w:eastAsia="en-US"/>
        </w:rPr>
      </w:pPr>
      <w:r w:rsidRPr="00CA682E">
        <w:rPr>
          <w:rFonts w:eastAsia="Times New Roman" w:cs="Times New Roman"/>
          <w:b/>
          <w:color w:val="000000" w:themeColor="text1"/>
          <w:sz w:val="20"/>
          <w:szCs w:val="24"/>
          <w:lang w:eastAsia="en-US"/>
        </w:rPr>
        <w:t>Director de proyecto</w:t>
      </w:r>
      <w:r w:rsidRPr="00CA682E">
        <w:rPr>
          <w:rFonts w:eastAsia="Times New Roman"/>
          <w:b/>
          <w:color w:val="000000" w:themeColor="text1"/>
          <w:sz w:val="20"/>
          <w:lang w:eastAsia="en-US"/>
        </w:rPr>
        <w:tab/>
        <w:t>Sr. G. BEAVER</w:t>
      </w:r>
    </w:p>
    <w:p w:rsidR="00CA682E" w:rsidRPr="00CA682E" w:rsidRDefault="00CA682E" w:rsidP="00CA682E">
      <w:pPr>
        <w:rPr>
          <w:rFonts w:eastAsia="Times New Roman"/>
          <w:b/>
          <w:color w:val="000000" w:themeColor="text1"/>
          <w:sz w:val="20"/>
          <w:lang w:eastAsia="en-US"/>
        </w:rPr>
      </w:pPr>
    </w:p>
    <w:p w:rsidR="00CA682E" w:rsidRPr="00CA682E" w:rsidRDefault="00CA682E" w:rsidP="00CA682E">
      <w:pPr>
        <w:rPr>
          <w:rFonts w:eastAsia="Times New Roman"/>
          <w:b/>
          <w:color w:val="000000" w:themeColor="text1"/>
          <w:sz w:val="20"/>
          <w:lang w:eastAsia="en-US"/>
        </w:rPr>
      </w:pPr>
    </w:p>
    <w:p w:rsidR="00CA682E" w:rsidRPr="00CA682E" w:rsidRDefault="00CA682E" w:rsidP="00CA682E">
      <w:pPr>
        <w:rPr>
          <w:rFonts w:eastAsia="Times New Roman"/>
          <w:bCs/>
          <w:color w:val="000000" w:themeColor="text1"/>
          <w:sz w:val="20"/>
          <w:lang w:eastAsia="en-US"/>
        </w:rPr>
      </w:pPr>
      <w:r w:rsidRPr="00CA682E">
        <w:rPr>
          <w:rFonts w:eastAsia="Times New Roman"/>
          <w:bCs/>
          <w:color w:val="000000" w:themeColor="text1"/>
          <w:sz w:val="20"/>
          <w:lang w:eastAsia="en-US"/>
        </w:rPr>
        <w:t>RESULTADO PREVISTO</w:t>
      </w:r>
    </w:p>
    <w:p w:rsidR="00CA682E" w:rsidRPr="00CA682E" w:rsidRDefault="00CA682E" w:rsidP="00CA682E">
      <w:pPr>
        <w:rPr>
          <w:rFonts w:eastAsia="Times New Roman"/>
          <w:bCs/>
          <w:color w:val="000000" w:themeColor="text1"/>
          <w:sz w:val="20"/>
          <w:lang w:eastAsia="en-US"/>
        </w:rPr>
      </w:pPr>
    </w:p>
    <w:p w:rsidR="00CA682E" w:rsidRPr="00CA682E" w:rsidRDefault="00CA682E" w:rsidP="00CA682E">
      <w:pPr>
        <w:rPr>
          <w:rFonts w:eastAsia="Times New Roman"/>
          <w:bCs/>
          <w:color w:val="000000" w:themeColor="text1"/>
          <w:sz w:val="20"/>
          <w:lang w:eastAsia="en-US"/>
        </w:rPr>
      </w:pPr>
      <w:r w:rsidRPr="00CA682E">
        <w:rPr>
          <w:rFonts w:eastAsia="Times New Roman" w:cs="Times New Roman"/>
          <w:bCs/>
          <w:i/>
          <w:color w:val="000000" w:themeColor="text1"/>
          <w:sz w:val="20"/>
          <w:szCs w:val="24"/>
          <w:lang w:eastAsia="en-US"/>
        </w:rPr>
        <w:t xml:space="preserve">IX.2  Funcionamiento sin contratiempos de la Secretaría, provista de un personal bien dirigido, dotado de </w:t>
      </w:r>
      <w:proofErr w:type="gramStart"/>
      <w:r w:rsidRPr="00CA682E">
        <w:rPr>
          <w:rFonts w:eastAsia="Times New Roman" w:cs="Times New Roman"/>
          <w:bCs/>
          <w:i/>
          <w:color w:val="000000" w:themeColor="text1"/>
          <w:sz w:val="20"/>
          <w:szCs w:val="24"/>
          <w:lang w:eastAsia="en-US"/>
        </w:rPr>
        <w:t>las competencias adecuadas y capaz</w:t>
      </w:r>
      <w:proofErr w:type="gramEnd"/>
      <w:r w:rsidRPr="00CA682E">
        <w:rPr>
          <w:rFonts w:eastAsia="Times New Roman" w:cs="Times New Roman"/>
          <w:bCs/>
          <w:i/>
          <w:color w:val="000000" w:themeColor="text1"/>
          <w:sz w:val="20"/>
          <w:szCs w:val="24"/>
          <w:lang w:eastAsia="en-US"/>
        </w:rPr>
        <w:t xml:space="preserve"> de conseguir resultados</w:t>
      </w:r>
    </w:p>
    <w:p w:rsidR="00CA682E" w:rsidRPr="00CA682E" w:rsidRDefault="00CA682E" w:rsidP="00CA682E">
      <w:pPr>
        <w:rPr>
          <w:rFonts w:eastAsia="Times New Roman"/>
          <w:bCs/>
          <w:color w:val="000000" w:themeColor="text1"/>
          <w:sz w:val="20"/>
          <w:lang w:eastAsia="en-US"/>
        </w:rPr>
      </w:pPr>
    </w:p>
    <w:p w:rsidR="00CA682E" w:rsidRPr="00CA682E" w:rsidRDefault="00CA682E" w:rsidP="00CA682E">
      <w:pPr>
        <w:rPr>
          <w:rFonts w:eastAsia="Times New Roman"/>
          <w:bCs/>
          <w:color w:val="000000" w:themeColor="text1"/>
          <w:sz w:val="20"/>
          <w:lang w:eastAsia="en-US"/>
        </w:rPr>
      </w:pPr>
    </w:p>
    <w:p w:rsidR="00CA682E" w:rsidRPr="00CA682E" w:rsidRDefault="00CA682E" w:rsidP="00CA682E">
      <w:pPr>
        <w:rPr>
          <w:rFonts w:eastAsia="Times New Roman" w:cs="Times New Roman"/>
          <w:bCs/>
          <w:color w:val="000000" w:themeColor="text1"/>
          <w:sz w:val="20"/>
          <w:szCs w:val="24"/>
          <w:lang w:eastAsia="en-US"/>
        </w:rPr>
      </w:pPr>
      <w:r w:rsidRPr="00CA682E">
        <w:rPr>
          <w:rFonts w:eastAsia="Times New Roman" w:cs="Times New Roman"/>
          <w:bCs/>
          <w:color w:val="000000" w:themeColor="text1"/>
          <w:sz w:val="20"/>
          <w:szCs w:val="24"/>
          <w:lang w:eastAsia="en-US"/>
        </w:rPr>
        <w:t>OBJETIVOS, ALCANCE Y ENFOQUE</w:t>
      </w:r>
      <w:proofErr w:type="gramStart"/>
      <w:r w:rsidRPr="00CA682E">
        <w:rPr>
          <w:rFonts w:eastAsia="Times New Roman" w:cs="Times New Roman"/>
          <w:bCs/>
          <w:color w:val="000000" w:themeColor="text1"/>
          <w:sz w:val="20"/>
          <w:szCs w:val="24"/>
          <w:lang w:eastAsia="en-US"/>
        </w:rPr>
        <w:t>:  ANTECEDENTES</w:t>
      </w:r>
      <w:proofErr w:type="gramEnd"/>
    </w:p>
    <w:p w:rsidR="00CA682E" w:rsidRPr="00CA682E" w:rsidRDefault="00CA682E" w:rsidP="00CA682E">
      <w:pPr>
        <w:rPr>
          <w:rFonts w:eastAsia="Times New Roman" w:cs="Times New Roman"/>
          <w:bCs/>
          <w:color w:val="000000" w:themeColor="text1"/>
          <w:sz w:val="20"/>
          <w:szCs w:val="24"/>
          <w:lang w:eastAsia="en-US"/>
        </w:rPr>
      </w:pPr>
    </w:p>
    <w:p w:rsidR="00CA682E" w:rsidRPr="00CA682E" w:rsidRDefault="00CA682E" w:rsidP="00197920">
      <w:pPr>
        <w:numPr>
          <w:ilvl w:val="0"/>
          <w:numId w:val="126"/>
        </w:numPr>
        <w:tabs>
          <w:tab w:val="left" w:pos="567"/>
        </w:tabs>
        <w:spacing w:after="220"/>
        <w:ind w:left="0" w:firstLine="0"/>
        <w:jc w:val="both"/>
        <w:rPr>
          <w:iCs/>
          <w:color w:val="000000" w:themeColor="text1"/>
          <w:sz w:val="20"/>
        </w:rPr>
      </w:pPr>
      <w:r w:rsidRPr="00CA682E">
        <w:rPr>
          <w:iCs/>
          <w:color w:val="000000" w:themeColor="text1"/>
          <w:sz w:val="20"/>
        </w:rPr>
        <w:t>El proyecto consiste en establecer un depósito institucional central para almacenar documentos.  Ello permitirá a los usuarios trabajar juntos (colaborar) en la creación de documentos, buscar información y acceder a ella con mayor facilidad, y permitirá vincular los documentos a las distintas transacciones que se realizan en el sistema de PRI.</w:t>
      </w:r>
    </w:p>
    <w:p w:rsidR="00CA682E" w:rsidRPr="00CA682E" w:rsidRDefault="00CA682E" w:rsidP="00197920">
      <w:pPr>
        <w:numPr>
          <w:ilvl w:val="0"/>
          <w:numId w:val="126"/>
        </w:numPr>
        <w:tabs>
          <w:tab w:val="left" w:pos="567"/>
        </w:tabs>
        <w:spacing w:after="220"/>
        <w:ind w:left="0" w:firstLine="0"/>
        <w:jc w:val="both"/>
        <w:rPr>
          <w:iCs/>
          <w:color w:val="000000" w:themeColor="text1"/>
          <w:sz w:val="20"/>
        </w:rPr>
      </w:pPr>
      <w:r w:rsidRPr="00CA682E">
        <w:rPr>
          <w:iCs/>
          <w:color w:val="000000" w:themeColor="text1"/>
          <w:sz w:val="20"/>
        </w:rPr>
        <w:t xml:space="preserve">Durante la fase de planificación de la ejecución del proyecto de gestión de contenidos institucionales (ECM, por sus siglas en inglés), se propuso introducir modificaciones en el enfoque y el alcance del proyecto, aunque manteniendo los objetivos originales.  Dichas modificaciones sirven para seguir incrementando la probabilidad de éxito en lo relativo tanto a los cambios que conciernen a la Organización, como a los elementos técnicos necesarios para implantar la ECM.  El enfoque revisado se basa en una aplicación gradual, con una serie de “logros iniciales” (detallados </w:t>
      </w:r>
      <w:r w:rsidRPr="00CA682E">
        <w:rPr>
          <w:i/>
          <w:iCs/>
          <w:color w:val="000000" w:themeColor="text1"/>
          <w:sz w:val="20"/>
        </w:rPr>
        <w:t>infra</w:t>
      </w:r>
      <w:r w:rsidRPr="00CA682E">
        <w:rPr>
          <w:iCs/>
          <w:color w:val="000000" w:themeColor="text1"/>
          <w:sz w:val="20"/>
        </w:rPr>
        <w:t>), en la que el trabajo de distintos sectores se verá beneficiado por la automatización de varios de los procesos centrados en documentos, aun antes de la puesta en funcionamiento de la ECM a escala institucional.</w:t>
      </w:r>
    </w:p>
    <w:p w:rsidR="00CA682E" w:rsidRPr="00CA682E" w:rsidRDefault="00CA682E" w:rsidP="00197920">
      <w:pPr>
        <w:numPr>
          <w:ilvl w:val="0"/>
          <w:numId w:val="126"/>
        </w:numPr>
        <w:tabs>
          <w:tab w:val="left" w:pos="567"/>
        </w:tabs>
        <w:spacing w:after="220"/>
        <w:ind w:left="0" w:firstLine="0"/>
        <w:jc w:val="both"/>
        <w:rPr>
          <w:iCs/>
          <w:color w:val="000000" w:themeColor="text1"/>
          <w:sz w:val="20"/>
        </w:rPr>
      </w:pPr>
      <w:r w:rsidRPr="00CA682E">
        <w:rPr>
          <w:iCs/>
          <w:color w:val="000000" w:themeColor="text1"/>
          <w:sz w:val="20"/>
        </w:rPr>
        <w:t>Los objetivos del proyecto de ECM son los siguientes:</w:t>
      </w:r>
    </w:p>
    <w:p w:rsidR="00CA682E" w:rsidRPr="00CA682E" w:rsidRDefault="00CA682E" w:rsidP="00CA682E">
      <w:pPr>
        <w:numPr>
          <w:ilvl w:val="0"/>
          <w:numId w:val="124"/>
        </w:numPr>
        <w:spacing w:after="120"/>
        <w:ind w:left="1134" w:hanging="567"/>
        <w:jc w:val="both"/>
        <w:rPr>
          <w:rFonts w:eastAsia="Times New Roman"/>
          <w:color w:val="000000" w:themeColor="text1"/>
          <w:sz w:val="20"/>
          <w:lang w:eastAsia="en-US"/>
        </w:rPr>
      </w:pPr>
      <w:r w:rsidRPr="00CA682E">
        <w:rPr>
          <w:rFonts w:eastAsia="Times New Roman"/>
          <w:color w:val="000000" w:themeColor="text1"/>
          <w:sz w:val="20"/>
          <w:lang w:eastAsia="en-US"/>
        </w:rPr>
        <w:t>la implantación en toda la Organización de un sistema de almacenamiento, recuperación y gestión de los documentos, expedientes y archivos de la OMPI (la aplicación ECM);</w:t>
      </w:r>
    </w:p>
    <w:p w:rsidR="00CA682E" w:rsidRPr="00CA682E" w:rsidRDefault="00CA682E" w:rsidP="00CA682E">
      <w:pPr>
        <w:numPr>
          <w:ilvl w:val="0"/>
          <w:numId w:val="124"/>
        </w:numPr>
        <w:spacing w:after="120"/>
        <w:ind w:left="1134" w:hanging="567"/>
        <w:jc w:val="both"/>
        <w:rPr>
          <w:rFonts w:eastAsia="Times New Roman"/>
          <w:color w:val="000000" w:themeColor="text1"/>
          <w:sz w:val="20"/>
          <w:lang w:eastAsia="en-US"/>
        </w:rPr>
      </w:pPr>
      <w:r w:rsidRPr="00CA682E">
        <w:rPr>
          <w:rFonts w:eastAsia="Times New Roman"/>
          <w:color w:val="000000" w:themeColor="text1"/>
          <w:sz w:val="20"/>
          <w:lang w:eastAsia="en-US"/>
        </w:rPr>
        <w:t>la implantación en la aplicación ECM de las configuraciones, específicas para cada proceso, correspondientes a los procesos de la ECM, para respaldar los procesos de trabajo que son ricos en contenidos;  podrá tratarse de procesos específicos de determinados sectores o generales de la Organización;</w:t>
      </w:r>
    </w:p>
    <w:p w:rsidR="00CA682E" w:rsidRPr="00CA682E" w:rsidRDefault="00CA682E" w:rsidP="00CA682E">
      <w:pPr>
        <w:numPr>
          <w:ilvl w:val="0"/>
          <w:numId w:val="124"/>
        </w:numPr>
        <w:spacing w:after="120"/>
        <w:ind w:left="1134" w:hanging="567"/>
        <w:jc w:val="both"/>
        <w:rPr>
          <w:rFonts w:eastAsia="Times New Roman"/>
          <w:color w:val="000000" w:themeColor="text1"/>
          <w:sz w:val="20"/>
          <w:lang w:eastAsia="en-US"/>
        </w:rPr>
      </w:pPr>
      <w:r w:rsidRPr="00CA682E">
        <w:rPr>
          <w:rFonts w:eastAsia="Times New Roman"/>
          <w:color w:val="000000" w:themeColor="text1"/>
          <w:sz w:val="20"/>
          <w:lang w:eastAsia="en-US"/>
        </w:rPr>
        <w:t>cuando sea necesario, la integración con los subcomponentes de la PRI, para permitir la creación de vínculos entre el contenido de que se trate (que esté incluido en la ECM) y los registros de transacciones (que estén incluidos en la PRI), cuando así lo exija el funcionamiento de la PRI;</w:t>
      </w:r>
    </w:p>
    <w:p w:rsidR="00CA682E" w:rsidRPr="00CA682E" w:rsidRDefault="00CA682E" w:rsidP="00CA682E">
      <w:pPr>
        <w:numPr>
          <w:ilvl w:val="0"/>
          <w:numId w:val="124"/>
        </w:numPr>
        <w:spacing w:after="120"/>
        <w:ind w:left="1134" w:hanging="567"/>
        <w:jc w:val="both"/>
        <w:rPr>
          <w:rFonts w:eastAsia="Times New Roman"/>
          <w:color w:val="000000" w:themeColor="text1"/>
          <w:sz w:val="20"/>
          <w:lang w:eastAsia="en-US"/>
        </w:rPr>
      </w:pPr>
      <w:r w:rsidRPr="00CA682E">
        <w:rPr>
          <w:rFonts w:eastAsia="Times New Roman"/>
          <w:color w:val="000000" w:themeColor="text1"/>
          <w:sz w:val="20"/>
          <w:lang w:eastAsia="en-US"/>
        </w:rPr>
        <w:t>la aplicación ECM y la infraestructura de apoyo se alojarán y administrarán de manera que cumplan con los criterios de disponibilidad del servicio y los objetivos de seguridad de un sistema de esa índole, en función de su carácter vital para el trabajo;</w:t>
      </w:r>
    </w:p>
    <w:p w:rsidR="00CA682E" w:rsidRPr="00CA682E" w:rsidRDefault="00CA682E" w:rsidP="00CA682E">
      <w:pPr>
        <w:numPr>
          <w:ilvl w:val="0"/>
          <w:numId w:val="124"/>
        </w:numPr>
        <w:spacing w:after="120"/>
        <w:ind w:left="1134" w:hanging="567"/>
        <w:jc w:val="both"/>
        <w:rPr>
          <w:rFonts w:eastAsia="Times New Roman"/>
          <w:color w:val="000000" w:themeColor="text1"/>
          <w:sz w:val="20"/>
          <w:lang w:eastAsia="en-US"/>
        </w:rPr>
      </w:pPr>
      <w:r w:rsidRPr="00CA682E">
        <w:rPr>
          <w:rFonts w:eastAsia="Times New Roman"/>
          <w:color w:val="000000" w:themeColor="text1"/>
          <w:sz w:val="20"/>
          <w:lang w:eastAsia="en-US"/>
        </w:rPr>
        <w:t>la implantación de los componentes de expedientes y archivos de la aplicación ECM y los procesos correspondientes cumplirán con la Política de la OMPI de gestión de los expedientes y archivos (Orden de servicio 15/2013);</w:t>
      </w:r>
    </w:p>
    <w:p w:rsidR="00CA682E" w:rsidRPr="00CA682E" w:rsidRDefault="00CA682E" w:rsidP="00CA682E">
      <w:pPr>
        <w:numPr>
          <w:ilvl w:val="0"/>
          <w:numId w:val="124"/>
        </w:numPr>
        <w:spacing w:after="120"/>
        <w:ind w:left="1134" w:hanging="567"/>
        <w:jc w:val="both"/>
        <w:rPr>
          <w:rFonts w:eastAsia="Times New Roman"/>
          <w:color w:val="000000" w:themeColor="text1"/>
          <w:sz w:val="20"/>
          <w:lang w:eastAsia="en-US"/>
        </w:rPr>
      </w:pPr>
      <w:r w:rsidRPr="00CA682E">
        <w:rPr>
          <w:rFonts w:eastAsia="Times New Roman"/>
          <w:color w:val="000000" w:themeColor="text1"/>
          <w:sz w:val="20"/>
          <w:lang w:eastAsia="en-US"/>
        </w:rPr>
        <w:t>se impartirá formación a los usuarios finales sobre el uso del sistema, así como sobre los procesos y procedimientos, para velar por que no deje de cumplirse lo dispuesto en la Orden de servicio de la OMPI 15/2013 (procesos de la ECM);</w:t>
      </w:r>
    </w:p>
    <w:p w:rsidR="00CA682E" w:rsidRPr="00CA682E" w:rsidRDefault="00CA682E" w:rsidP="00CA682E">
      <w:pPr>
        <w:numPr>
          <w:ilvl w:val="0"/>
          <w:numId w:val="124"/>
        </w:numPr>
        <w:spacing w:after="120"/>
        <w:ind w:left="1134" w:hanging="567"/>
        <w:jc w:val="both"/>
        <w:rPr>
          <w:rFonts w:eastAsia="Times New Roman"/>
          <w:color w:val="000000" w:themeColor="text1"/>
          <w:sz w:val="20"/>
          <w:lang w:eastAsia="en-US"/>
        </w:rPr>
      </w:pPr>
      <w:r w:rsidRPr="00CA682E">
        <w:rPr>
          <w:rFonts w:eastAsia="Times New Roman"/>
          <w:color w:val="000000" w:themeColor="text1"/>
          <w:sz w:val="20"/>
          <w:lang w:eastAsia="en-US"/>
        </w:rPr>
        <w:t>en el marco del sistema, se aplicarán controles de seguridad suficientes para mantener el cumplimiento con las políticas de seguridad de la OMPI;  y</w:t>
      </w:r>
    </w:p>
    <w:p w:rsidR="00CA682E" w:rsidRPr="00CA682E" w:rsidRDefault="00CA682E" w:rsidP="00CA682E">
      <w:pPr>
        <w:numPr>
          <w:ilvl w:val="0"/>
          <w:numId w:val="124"/>
        </w:numPr>
        <w:ind w:left="1134" w:hanging="567"/>
        <w:contextualSpacing/>
        <w:jc w:val="both"/>
        <w:rPr>
          <w:rFonts w:eastAsia="Times New Roman"/>
          <w:color w:val="000000" w:themeColor="text1"/>
          <w:sz w:val="20"/>
          <w:lang w:eastAsia="en-US"/>
        </w:rPr>
      </w:pPr>
      <w:r w:rsidRPr="00CA682E">
        <w:rPr>
          <w:rFonts w:eastAsia="Times New Roman"/>
          <w:color w:val="000000" w:themeColor="text1"/>
          <w:sz w:val="20"/>
          <w:lang w:eastAsia="en-US"/>
        </w:rPr>
        <w:t xml:space="preserve">en relación con la aplicación ECM, el diseño, la adquisición de licencias, la implantación, la configuración de base, cada una de las configuraciones específicas del proyecto relativas a los “logros iniciales”, la capacidad básica de utilización de la ECM en toda la Organización, la formación que se imparta a los usuarios y la transición hacia el pleno funcionamiento se </w:t>
      </w:r>
      <w:r w:rsidRPr="00CA682E">
        <w:rPr>
          <w:rFonts w:eastAsia="Times New Roman"/>
          <w:color w:val="000000" w:themeColor="text1"/>
          <w:sz w:val="20"/>
          <w:lang w:eastAsia="en-US"/>
        </w:rPr>
        <w:lastRenderedPageBreak/>
        <w:t>llevarán a cabo con arreglo al presupuesto asignado al proyecto en el marco del Plan maestro de mejoras de infraestructura (véase WO/PBC/21/18, 31 de julio de 2013).</w:t>
      </w:r>
    </w:p>
    <w:p w:rsidR="00CA682E" w:rsidRPr="00CA682E" w:rsidRDefault="00CA682E" w:rsidP="00A53BE5">
      <w:pPr>
        <w:contextualSpacing/>
        <w:jc w:val="both"/>
        <w:rPr>
          <w:rFonts w:eastAsia="Times New Roman"/>
          <w:color w:val="000000" w:themeColor="text1"/>
          <w:sz w:val="20"/>
          <w:lang w:eastAsia="en-US"/>
        </w:rPr>
      </w:pPr>
    </w:p>
    <w:p w:rsidR="00CA682E" w:rsidRPr="00CA682E" w:rsidRDefault="00CA682E" w:rsidP="00A53BE5">
      <w:pPr>
        <w:numPr>
          <w:ilvl w:val="0"/>
          <w:numId w:val="126"/>
        </w:numPr>
        <w:tabs>
          <w:tab w:val="left" w:pos="567"/>
        </w:tabs>
        <w:spacing w:after="220"/>
        <w:ind w:left="0" w:firstLine="0"/>
        <w:jc w:val="both"/>
        <w:rPr>
          <w:color w:val="000000" w:themeColor="text1"/>
          <w:sz w:val="20"/>
        </w:rPr>
      </w:pPr>
      <w:r w:rsidRPr="00CA682E">
        <w:rPr>
          <w:color w:val="000000" w:themeColor="text1"/>
          <w:sz w:val="20"/>
        </w:rPr>
        <w:t>El proyecto se repartirá en varias fases/</w:t>
      </w:r>
      <w:proofErr w:type="spellStart"/>
      <w:r w:rsidRPr="00CA682E">
        <w:rPr>
          <w:color w:val="000000" w:themeColor="text1"/>
          <w:sz w:val="20"/>
        </w:rPr>
        <w:t>subproyectos</w:t>
      </w:r>
      <w:proofErr w:type="spellEnd"/>
      <w:r w:rsidRPr="00CA682E">
        <w:rPr>
          <w:color w:val="000000" w:themeColor="text1"/>
          <w:sz w:val="20"/>
        </w:rPr>
        <w:t xml:space="preserve">, cada uno de los cuales redundará en una serie de beneficios para una o más esferas de trabajo.  Cada uno de los </w:t>
      </w:r>
      <w:proofErr w:type="spellStart"/>
      <w:r w:rsidRPr="00CA682E">
        <w:rPr>
          <w:color w:val="000000" w:themeColor="text1"/>
          <w:sz w:val="20"/>
        </w:rPr>
        <w:t>subproyectos</w:t>
      </w:r>
      <w:proofErr w:type="spellEnd"/>
      <w:r w:rsidRPr="00CA682E">
        <w:rPr>
          <w:color w:val="000000" w:themeColor="text1"/>
          <w:sz w:val="20"/>
        </w:rPr>
        <w:t xml:space="preserve"> incluirá lo siguiente:</w:t>
      </w:r>
    </w:p>
    <w:p w:rsidR="00CA682E" w:rsidRPr="00CA682E" w:rsidRDefault="00CA682E" w:rsidP="00622B91">
      <w:pPr>
        <w:numPr>
          <w:ilvl w:val="0"/>
          <w:numId w:val="124"/>
        </w:numPr>
        <w:spacing w:after="120"/>
        <w:ind w:left="1134" w:hanging="567"/>
        <w:jc w:val="both"/>
        <w:rPr>
          <w:rFonts w:eastAsia="Times New Roman"/>
          <w:color w:val="000000" w:themeColor="text1"/>
          <w:sz w:val="20"/>
          <w:lang w:eastAsia="en-US"/>
        </w:rPr>
      </w:pPr>
      <w:r w:rsidRPr="00CA682E">
        <w:rPr>
          <w:rFonts w:eastAsia="Times New Roman"/>
          <w:color w:val="000000" w:themeColor="text1"/>
          <w:sz w:val="20"/>
          <w:lang w:eastAsia="en-US"/>
        </w:rPr>
        <w:t>el análisis de las tareas necesario para especificar el proceso de trabajo que será respaldado por la solución de ECM;</w:t>
      </w:r>
    </w:p>
    <w:p w:rsidR="00CA682E" w:rsidRPr="00CA682E" w:rsidRDefault="00CA682E" w:rsidP="00622B91">
      <w:pPr>
        <w:numPr>
          <w:ilvl w:val="0"/>
          <w:numId w:val="124"/>
        </w:numPr>
        <w:spacing w:after="120"/>
        <w:ind w:left="1134" w:hanging="567"/>
        <w:jc w:val="both"/>
        <w:rPr>
          <w:rFonts w:eastAsia="Times New Roman"/>
          <w:color w:val="000000" w:themeColor="text1"/>
          <w:sz w:val="20"/>
          <w:lang w:eastAsia="en-US"/>
        </w:rPr>
      </w:pPr>
      <w:r w:rsidRPr="00CA682E">
        <w:rPr>
          <w:rFonts w:eastAsia="Times New Roman"/>
          <w:color w:val="000000" w:themeColor="text1"/>
          <w:sz w:val="20"/>
          <w:lang w:eastAsia="en-US"/>
        </w:rPr>
        <w:t>el reconocimiento y la catalogación de la interrelación con los sistemas existentes, entre otros, el sistema de PRI, cuando sea necesario;</w:t>
      </w:r>
    </w:p>
    <w:p w:rsidR="00CA682E" w:rsidRPr="00CA682E" w:rsidRDefault="00CA682E" w:rsidP="00622B91">
      <w:pPr>
        <w:numPr>
          <w:ilvl w:val="0"/>
          <w:numId w:val="124"/>
        </w:numPr>
        <w:spacing w:after="120"/>
        <w:ind w:left="1134" w:hanging="567"/>
        <w:jc w:val="both"/>
        <w:rPr>
          <w:rFonts w:eastAsia="Times New Roman"/>
          <w:color w:val="000000" w:themeColor="text1"/>
          <w:sz w:val="20"/>
          <w:lang w:eastAsia="en-US"/>
        </w:rPr>
      </w:pPr>
      <w:r w:rsidRPr="00CA682E">
        <w:rPr>
          <w:rFonts w:eastAsia="Times New Roman"/>
          <w:color w:val="000000" w:themeColor="text1"/>
          <w:sz w:val="20"/>
          <w:lang w:eastAsia="en-US"/>
        </w:rPr>
        <w:t>el diseño de la configuración de la ECM, sobre la base del proceso de trabajo;</w:t>
      </w:r>
    </w:p>
    <w:p w:rsidR="00CA682E" w:rsidRPr="00CA682E" w:rsidRDefault="00CA682E" w:rsidP="00622B91">
      <w:pPr>
        <w:numPr>
          <w:ilvl w:val="0"/>
          <w:numId w:val="124"/>
        </w:numPr>
        <w:spacing w:after="120"/>
        <w:ind w:left="1134" w:hanging="567"/>
        <w:jc w:val="both"/>
        <w:rPr>
          <w:rFonts w:eastAsia="Times New Roman"/>
          <w:color w:val="000000" w:themeColor="text1"/>
          <w:sz w:val="20"/>
          <w:lang w:eastAsia="en-US"/>
        </w:rPr>
      </w:pPr>
      <w:r w:rsidRPr="00CA682E">
        <w:rPr>
          <w:rFonts w:eastAsia="Times New Roman"/>
          <w:color w:val="000000" w:themeColor="text1"/>
          <w:sz w:val="20"/>
          <w:lang w:eastAsia="en-US"/>
        </w:rPr>
        <w:t>la implantación de la configuración del sistema de ECM para respaldar el proceso de trabajo;</w:t>
      </w:r>
    </w:p>
    <w:p w:rsidR="00CA682E" w:rsidRPr="00CA682E" w:rsidRDefault="00CA682E" w:rsidP="00622B91">
      <w:pPr>
        <w:numPr>
          <w:ilvl w:val="0"/>
          <w:numId w:val="124"/>
        </w:numPr>
        <w:spacing w:after="120"/>
        <w:ind w:left="1134" w:hanging="567"/>
        <w:jc w:val="both"/>
        <w:rPr>
          <w:rFonts w:eastAsia="Times New Roman"/>
          <w:color w:val="000000" w:themeColor="text1"/>
          <w:sz w:val="20"/>
          <w:lang w:eastAsia="en-US"/>
        </w:rPr>
      </w:pPr>
      <w:r w:rsidRPr="00CA682E">
        <w:rPr>
          <w:rFonts w:eastAsia="Times New Roman"/>
          <w:color w:val="000000" w:themeColor="text1"/>
          <w:sz w:val="20"/>
          <w:lang w:eastAsia="en-US"/>
        </w:rPr>
        <w:t>la prueba del sistema y de la aceptación de la configuración del sistema ECM por los usuarios para respaldar el proceso de trabajo;  y</w:t>
      </w:r>
    </w:p>
    <w:p w:rsidR="00CA682E" w:rsidRPr="00CA682E" w:rsidRDefault="00CA682E" w:rsidP="00622B91">
      <w:pPr>
        <w:numPr>
          <w:ilvl w:val="0"/>
          <w:numId w:val="124"/>
        </w:numPr>
        <w:spacing w:after="120"/>
        <w:ind w:left="1134" w:hanging="567"/>
        <w:jc w:val="both"/>
        <w:rPr>
          <w:rFonts w:eastAsia="Times New Roman"/>
          <w:color w:val="000000" w:themeColor="text1"/>
          <w:sz w:val="20"/>
          <w:lang w:eastAsia="en-US"/>
        </w:rPr>
      </w:pPr>
      <w:r w:rsidRPr="00CA682E">
        <w:rPr>
          <w:rFonts w:eastAsia="Times New Roman"/>
          <w:color w:val="000000" w:themeColor="text1"/>
          <w:sz w:val="20"/>
          <w:lang w:eastAsia="en-US"/>
        </w:rPr>
        <w:t>la formación de los usuarios finales en la configuración de la ECM específica para el proceso de trabajo.</w:t>
      </w:r>
    </w:p>
    <w:p w:rsidR="00CA682E" w:rsidRPr="00CA682E" w:rsidRDefault="00CA682E" w:rsidP="00A53BE5">
      <w:pPr>
        <w:contextualSpacing/>
        <w:jc w:val="both"/>
        <w:rPr>
          <w:rFonts w:eastAsia="Times New Roman"/>
          <w:color w:val="000000" w:themeColor="text1"/>
          <w:sz w:val="20"/>
          <w:lang w:eastAsia="en-US"/>
        </w:rPr>
      </w:pPr>
    </w:p>
    <w:p w:rsidR="00CA682E" w:rsidRPr="00CA682E" w:rsidRDefault="00CA682E" w:rsidP="00A53BE5">
      <w:pPr>
        <w:numPr>
          <w:ilvl w:val="0"/>
          <w:numId w:val="126"/>
        </w:numPr>
        <w:tabs>
          <w:tab w:val="left" w:pos="567"/>
        </w:tabs>
        <w:ind w:left="0" w:firstLine="0"/>
        <w:jc w:val="both"/>
        <w:rPr>
          <w:color w:val="000000" w:themeColor="text1"/>
          <w:sz w:val="20"/>
        </w:rPr>
      </w:pPr>
      <w:r w:rsidRPr="00CA682E">
        <w:rPr>
          <w:color w:val="000000" w:themeColor="text1"/>
          <w:sz w:val="20"/>
        </w:rPr>
        <w:t xml:space="preserve">Los </w:t>
      </w:r>
      <w:proofErr w:type="spellStart"/>
      <w:r w:rsidRPr="00CA682E">
        <w:rPr>
          <w:color w:val="000000" w:themeColor="text1"/>
          <w:sz w:val="20"/>
        </w:rPr>
        <w:t>subproyectos</w:t>
      </w:r>
      <w:proofErr w:type="spellEnd"/>
      <w:r w:rsidRPr="00CA682E">
        <w:rPr>
          <w:color w:val="000000" w:themeColor="text1"/>
          <w:sz w:val="20"/>
        </w:rPr>
        <w:t xml:space="preserve"> que se han identificado de momento son, por orden de ejecución:</w:t>
      </w:r>
    </w:p>
    <w:p w:rsidR="00CA682E" w:rsidRPr="00CA682E" w:rsidRDefault="00CA682E" w:rsidP="00A53BE5">
      <w:pPr>
        <w:tabs>
          <w:tab w:val="left" w:pos="567"/>
        </w:tabs>
        <w:jc w:val="both"/>
        <w:rPr>
          <w:color w:val="000000" w:themeColor="text1"/>
          <w:sz w:val="20"/>
        </w:rPr>
      </w:pPr>
    </w:p>
    <w:p w:rsidR="00CA682E" w:rsidRPr="00CA682E" w:rsidRDefault="00CA682E" w:rsidP="00CA682E">
      <w:pPr>
        <w:ind w:left="567"/>
        <w:contextualSpacing/>
        <w:jc w:val="both"/>
        <w:rPr>
          <w:rFonts w:eastAsia="Times New Roman"/>
          <w:color w:val="000000" w:themeColor="text1"/>
          <w:sz w:val="20"/>
          <w:lang w:eastAsia="en-US"/>
        </w:rPr>
      </w:pPr>
      <w:r w:rsidRPr="00CA682E">
        <w:rPr>
          <w:rFonts w:eastAsia="Times New Roman" w:cs="Times New Roman"/>
          <w:b/>
          <w:color w:val="000000" w:themeColor="text1"/>
          <w:sz w:val="20"/>
          <w:szCs w:val="24"/>
          <w:lang w:eastAsia="en-US"/>
        </w:rPr>
        <w:t>Expedientes y archivos institucionales</w:t>
      </w:r>
      <w:r w:rsidRPr="00CA682E">
        <w:rPr>
          <w:rFonts w:eastAsia="Times New Roman" w:cs="Times New Roman"/>
          <w:color w:val="000000" w:themeColor="text1"/>
          <w:sz w:val="20"/>
          <w:szCs w:val="24"/>
          <w:lang w:eastAsia="en-US"/>
        </w:rPr>
        <w:t xml:space="preserve"> – </w:t>
      </w:r>
      <w:proofErr w:type="spellStart"/>
      <w:r w:rsidRPr="00CA682E">
        <w:rPr>
          <w:rFonts w:eastAsia="Times New Roman" w:cs="Times New Roman"/>
          <w:color w:val="000000" w:themeColor="text1"/>
          <w:sz w:val="20"/>
          <w:szCs w:val="24"/>
          <w:lang w:eastAsia="en-US"/>
        </w:rPr>
        <w:t>subproyecto</w:t>
      </w:r>
      <w:proofErr w:type="spellEnd"/>
      <w:r w:rsidRPr="00CA682E">
        <w:rPr>
          <w:rFonts w:eastAsia="Times New Roman" w:cs="Times New Roman"/>
          <w:color w:val="000000" w:themeColor="text1"/>
          <w:sz w:val="20"/>
          <w:szCs w:val="24"/>
          <w:lang w:eastAsia="en-US"/>
        </w:rPr>
        <w:t xml:space="preserve"> destinado a incrementar la funcionalidad del servicio de expedientes y archivos, que incluye el mejoramiento/la sustitución de los procesos de escaneo de documentos, así como la implantación de un proceso de escaneo y seguimiento del correo entrante y saliente (escaneo y flujo de trabajo), y la implantación de un mecanismo de archivo en las distintas secciones, sobre la base de la política de la OMPI de gestión de expedientes (gestión de expedientes y archivos).</w:t>
      </w:r>
      <w:r w:rsidRPr="00CA682E">
        <w:rPr>
          <w:rFonts w:eastAsia="Times New Roman"/>
          <w:color w:val="000000" w:themeColor="text1"/>
          <w:sz w:val="20"/>
          <w:lang w:eastAsia="en-US"/>
        </w:rPr>
        <w:t xml:space="preserve"> </w:t>
      </w:r>
    </w:p>
    <w:p w:rsidR="00CA682E" w:rsidRPr="00CA682E" w:rsidRDefault="00CA682E" w:rsidP="00CA682E">
      <w:pPr>
        <w:ind w:left="567"/>
        <w:contextualSpacing/>
        <w:jc w:val="both"/>
        <w:rPr>
          <w:rFonts w:eastAsia="Times New Roman" w:cs="Times New Roman"/>
          <w:b/>
          <w:color w:val="000000" w:themeColor="text1"/>
          <w:sz w:val="20"/>
          <w:szCs w:val="24"/>
          <w:lang w:eastAsia="en-US"/>
        </w:rPr>
      </w:pPr>
    </w:p>
    <w:p w:rsidR="00CA682E" w:rsidRPr="00CA682E" w:rsidRDefault="00CA682E" w:rsidP="00CA682E">
      <w:pPr>
        <w:ind w:left="567"/>
        <w:contextualSpacing/>
        <w:jc w:val="both"/>
        <w:rPr>
          <w:rFonts w:eastAsia="Times New Roman" w:cs="Times New Roman"/>
          <w:color w:val="000000" w:themeColor="text1"/>
          <w:sz w:val="20"/>
          <w:szCs w:val="24"/>
          <w:lang w:eastAsia="en-US"/>
        </w:rPr>
      </w:pPr>
      <w:r w:rsidRPr="00CA682E">
        <w:rPr>
          <w:rFonts w:eastAsia="Times New Roman" w:cs="Times New Roman"/>
          <w:b/>
          <w:color w:val="000000" w:themeColor="text1"/>
          <w:sz w:val="20"/>
          <w:szCs w:val="24"/>
          <w:lang w:eastAsia="en-US"/>
        </w:rPr>
        <w:t xml:space="preserve">Peticiones de traducción </w:t>
      </w:r>
      <w:r w:rsidRPr="00CA682E">
        <w:rPr>
          <w:rFonts w:eastAsia="Times New Roman" w:cs="Times New Roman"/>
          <w:color w:val="000000" w:themeColor="text1"/>
          <w:sz w:val="20"/>
          <w:szCs w:val="24"/>
          <w:lang w:eastAsia="en-US"/>
        </w:rPr>
        <w:t>– automatización del flujo de trabajo relativo a documentos, con rastreo y presentación de informes, para la asignación de los documentos que ha de traducir la División Lingüística.</w:t>
      </w:r>
    </w:p>
    <w:p w:rsidR="00CA682E" w:rsidRPr="00CA682E" w:rsidRDefault="00CA682E" w:rsidP="00CA682E">
      <w:pPr>
        <w:ind w:left="567"/>
        <w:contextualSpacing/>
        <w:jc w:val="both"/>
        <w:rPr>
          <w:rFonts w:eastAsia="Times New Roman"/>
          <w:color w:val="000000" w:themeColor="text1"/>
          <w:sz w:val="20"/>
          <w:lang w:eastAsia="en-US"/>
        </w:rPr>
      </w:pPr>
    </w:p>
    <w:p w:rsidR="00CA682E" w:rsidRPr="00CA682E" w:rsidRDefault="00CA682E" w:rsidP="00CA682E">
      <w:pPr>
        <w:ind w:left="567"/>
        <w:contextualSpacing/>
        <w:jc w:val="both"/>
        <w:rPr>
          <w:rFonts w:eastAsia="Times New Roman" w:cs="Times New Roman"/>
          <w:color w:val="000000" w:themeColor="text1"/>
          <w:sz w:val="20"/>
          <w:szCs w:val="24"/>
          <w:lang w:eastAsia="en-US"/>
        </w:rPr>
      </w:pPr>
      <w:r w:rsidRPr="00CA682E">
        <w:rPr>
          <w:rFonts w:eastAsia="Times New Roman" w:cs="Times New Roman"/>
          <w:b/>
          <w:color w:val="000000" w:themeColor="text1"/>
          <w:sz w:val="20"/>
          <w:szCs w:val="24"/>
          <w:lang w:eastAsia="en-US"/>
        </w:rPr>
        <w:t>Correo entrante en la Oficina del Director General</w:t>
      </w:r>
      <w:r w:rsidRPr="00CA682E">
        <w:rPr>
          <w:rFonts w:eastAsia="Times New Roman" w:cs="Times New Roman"/>
          <w:color w:val="000000" w:themeColor="text1"/>
          <w:sz w:val="20"/>
          <w:szCs w:val="24"/>
          <w:lang w:eastAsia="en-US"/>
        </w:rPr>
        <w:t xml:space="preserve"> – escaneo y flujo de documentos del correo entrante en la Oficina del Director General, con enlaces a las correspondientes respuestas, y seguimiento de la evolución para asegurarse de que la respuesta se redacta y envía dentro de los plazos adecuados.</w:t>
      </w:r>
    </w:p>
    <w:p w:rsidR="00CA682E" w:rsidRPr="00CA682E" w:rsidRDefault="00CA682E" w:rsidP="00CA682E">
      <w:pPr>
        <w:ind w:left="567"/>
        <w:contextualSpacing/>
        <w:jc w:val="both"/>
        <w:rPr>
          <w:rFonts w:eastAsia="Times New Roman"/>
          <w:color w:val="000000" w:themeColor="text1"/>
          <w:sz w:val="20"/>
          <w:lang w:eastAsia="en-US"/>
        </w:rPr>
      </w:pPr>
    </w:p>
    <w:p w:rsidR="00CA682E" w:rsidRPr="00CA682E" w:rsidRDefault="00CA682E" w:rsidP="00CA682E">
      <w:pPr>
        <w:ind w:left="567"/>
        <w:contextualSpacing/>
        <w:jc w:val="both"/>
        <w:rPr>
          <w:rFonts w:eastAsia="Times New Roman"/>
          <w:color w:val="000000" w:themeColor="text1"/>
          <w:sz w:val="20"/>
          <w:lang w:eastAsia="en-US"/>
        </w:rPr>
      </w:pPr>
      <w:r w:rsidRPr="00CA682E">
        <w:rPr>
          <w:rFonts w:eastAsia="Times New Roman" w:cs="Times New Roman"/>
          <w:b/>
          <w:color w:val="000000" w:themeColor="text1"/>
          <w:sz w:val="20"/>
          <w:szCs w:val="24"/>
          <w:lang w:eastAsia="en-US"/>
        </w:rPr>
        <w:t xml:space="preserve">Sistema de gestión de proveedores y contratos </w:t>
      </w:r>
      <w:r w:rsidRPr="00CA682E">
        <w:rPr>
          <w:rFonts w:eastAsia="Times New Roman" w:cs="Times New Roman"/>
          <w:color w:val="000000" w:themeColor="text1"/>
          <w:sz w:val="20"/>
          <w:szCs w:val="24"/>
          <w:lang w:eastAsia="en-US"/>
        </w:rPr>
        <w:t xml:space="preserve">– </w:t>
      </w:r>
      <w:proofErr w:type="spellStart"/>
      <w:r w:rsidRPr="00CA682E">
        <w:rPr>
          <w:rFonts w:eastAsia="Times New Roman" w:cs="Times New Roman"/>
          <w:color w:val="000000" w:themeColor="text1"/>
          <w:sz w:val="20"/>
          <w:szCs w:val="24"/>
          <w:lang w:eastAsia="en-US"/>
        </w:rPr>
        <w:t>subproyecto</w:t>
      </w:r>
      <w:proofErr w:type="spellEnd"/>
      <w:r w:rsidRPr="00CA682E">
        <w:rPr>
          <w:rFonts w:eastAsia="Times New Roman" w:cs="Times New Roman"/>
          <w:color w:val="000000" w:themeColor="text1"/>
          <w:sz w:val="20"/>
          <w:szCs w:val="24"/>
          <w:lang w:eastAsia="en-US"/>
        </w:rPr>
        <w:t xml:space="preserve"> que dará “logros iniciales”, encaminado a implantar una solución o procesos para gestionar la información sobre contratos, permitiendo crear documentos contractuales (gestión de documentos), almacenar documentos relacionados con un contrato (gestión de carpetas), disponer de informes y alertas sobre los distintos acontecimientos que se producen durante el ciclo de un contrato (flujo de trabajo y gestión de carpetas), así como realizar búsquedas en relación con los contratos (búsqueda).</w:t>
      </w:r>
      <w:r w:rsidRPr="00CA682E">
        <w:rPr>
          <w:rFonts w:eastAsia="Times New Roman"/>
          <w:color w:val="000000" w:themeColor="text1"/>
          <w:sz w:val="20"/>
          <w:lang w:eastAsia="en-US"/>
        </w:rPr>
        <w:t xml:space="preserve"> </w:t>
      </w:r>
    </w:p>
    <w:p w:rsidR="00CA682E" w:rsidRPr="00CA682E" w:rsidRDefault="00CA682E" w:rsidP="00CA682E">
      <w:pPr>
        <w:ind w:left="567"/>
        <w:contextualSpacing/>
        <w:jc w:val="both"/>
        <w:rPr>
          <w:rFonts w:eastAsia="Times New Roman"/>
          <w:color w:val="000000" w:themeColor="text1"/>
          <w:sz w:val="20"/>
          <w:lang w:eastAsia="en-US"/>
        </w:rPr>
      </w:pPr>
    </w:p>
    <w:p w:rsidR="00CA682E" w:rsidRPr="00CA682E" w:rsidRDefault="00CA682E" w:rsidP="00CA682E">
      <w:pPr>
        <w:ind w:left="567"/>
        <w:contextualSpacing/>
        <w:jc w:val="both"/>
        <w:rPr>
          <w:rFonts w:eastAsia="Times New Roman"/>
          <w:color w:val="000000" w:themeColor="text1"/>
          <w:sz w:val="20"/>
          <w:lang w:eastAsia="en-US"/>
        </w:rPr>
      </w:pPr>
      <w:r w:rsidRPr="00CA682E">
        <w:rPr>
          <w:rFonts w:eastAsia="Times New Roman" w:cs="Times New Roman"/>
          <w:b/>
          <w:color w:val="000000" w:themeColor="text1"/>
          <w:sz w:val="20"/>
          <w:szCs w:val="24"/>
          <w:lang w:eastAsia="en-US"/>
        </w:rPr>
        <w:t xml:space="preserve">Informes de misión </w:t>
      </w:r>
      <w:r w:rsidRPr="00CA682E">
        <w:rPr>
          <w:rFonts w:eastAsia="Times New Roman" w:cs="Times New Roman"/>
          <w:color w:val="000000" w:themeColor="text1"/>
          <w:sz w:val="20"/>
          <w:szCs w:val="24"/>
          <w:lang w:eastAsia="en-US"/>
        </w:rPr>
        <w:t>– gestión de la creación de informes de misión (gestión de documentos), procesos de revisión y publicación del informe de misión (flujo de trabajo), y búsqueda de informes de misión anteriores (búsqueda) sobre la base de la categorización (lugar, miembros del personal, tema y organizaciones visitadas).</w:t>
      </w:r>
    </w:p>
    <w:p w:rsidR="00CA682E" w:rsidRPr="00CA682E" w:rsidRDefault="00CA682E" w:rsidP="00CA682E">
      <w:pPr>
        <w:ind w:left="567"/>
        <w:contextualSpacing/>
        <w:jc w:val="both"/>
        <w:rPr>
          <w:rFonts w:eastAsia="Times New Roman"/>
          <w:color w:val="000000" w:themeColor="text1"/>
          <w:sz w:val="20"/>
          <w:lang w:eastAsia="en-US"/>
        </w:rPr>
      </w:pPr>
    </w:p>
    <w:p w:rsidR="00CA682E" w:rsidRPr="00CA682E" w:rsidRDefault="00CA682E" w:rsidP="00CA682E">
      <w:pPr>
        <w:ind w:left="567"/>
        <w:contextualSpacing/>
        <w:jc w:val="both"/>
        <w:rPr>
          <w:rFonts w:eastAsia="Times New Roman"/>
          <w:color w:val="000000" w:themeColor="text1"/>
          <w:sz w:val="20"/>
          <w:lang w:eastAsia="en-US"/>
        </w:rPr>
      </w:pPr>
      <w:r w:rsidRPr="00CA682E">
        <w:rPr>
          <w:rFonts w:eastAsia="Times New Roman" w:cs="Times New Roman"/>
          <w:b/>
          <w:color w:val="000000" w:themeColor="text1"/>
          <w:sz w:val="20"/>
          <w:szCs w:val="24"/>
          <w:lang w:eastAsia="en-US"/>
        </w:rPr>
        <w:t xml:space="preserve">Recursos humanos (archivo electrónico del personal) </w:t>
      </w:r>
      <w:r w:rsidRPr="00CA682E">
        <w:rPr>
          <w:rFonts w:eastAsia="Times New Roman" w:cs="Times New Roman"/>
          <w:color w:val="000000" w:themeColor="text1"/>
          <w:sz w:val="20"/>
          <w:szCs w:val="24"/>
          <w:lang w:eastAsia="en-US"/>
        </w:rPr>
        <w:t>– creación de ficheros seguros (carpetas) de RRHH para cada empleado, con los documentos electrónicos y los registros correspondientes al empleado, previéndose la digitalización de los registros existentes en papel (creación de imágenes y escaneo).  El personal del Departamento de Gestión de los Recursos Humanos estará en condiciones de realizar búsquedas entre los archivos electrónicos para localizar y recuperar cualquier archivo que se necesite (búsqueda).</w:t>
      </w:r>
    </w:p>
    <w:p w:rsidR="00CA682E" w:rsidRPr="00CA682E" w:rsidRDefault="00CA682E" w:rsidP="00CA682E">
      <w:pPr>
        <w:ind w:left="567"/>
        <w:contextualSpacing/>
        <w:jc w:val="both"/>
        <w:rPr>
          <w:rFonts w:eastAsia="Times New Roman"/>
          <w:color w:val="000000" w:themeColor="text1"/>
          <w:sz w:val="20"/>
          <w:lang w:eastAsia="en-US"/>
        </w:rPr>
      </w:pPr>
    </w:p>
    <w:p w:rsidR="00CA682E" w:rsidRPr="00CA682E" w:rsidRDefault="00CA682E" w:rsidP="00BA6940">
      <w:pPr>
        <w:keepNext/>
        <w:keepLines/>
        <w:ind w:left="567"/>
        <w:contextualSpacing/>
        <w:jc w:val="both"/>
        <w:rPr>
          <w:rFonts w:eastAsia="Times New Roman"/>
          <w:color w:val="000000" w:themeColor="text1"/>
          <w:sz w:val="20"/>
          <w:lang w:eastAsia="en-US"/>
        </w:rPr>
      </w:pPr>
      <w:r w:rsidRPr="00CA682E">
        <w:rPr>
          <w:rFonts w:eastAsia="Times New Roman" w:cs="Times New Roman"/>
          <w:b/>
          <w:color w:val="000000" w:themeColor="text1"/>
          <w:sz w:val="20"/>
          <w:szCs w:val="24"/>
          <w:lang w:eastAsia="en-US"/>
        </w:rPr>
        <w:lastRenderedPageBreak/>
        <w:t xml:space="preserve">Capacidad de ECM en toda la Organización </w:t>
      </w:r>
      <w:r w:rsidRPr="00CA682E">
        <w:rPr>
          <w:rFonts w:eastAsia="Times New Roman" w:cs="Times New Roman"/>
          <w:color w:val="000000" w:themeColor="text1"/>
          <w:sz w:val="20"/>
          <w:szCs w:val="24"/>
          <w:lang w:eastAsia="en-US"/>
        </w:rPr>
        <w:t>– la integración de la ECM en la interfaz estándar de escritorio de la OMPI, para que los usuarios de la OMPI puedan realizar tareas de gestión de documentos (almacenamiento, categorización, búsqueda y recuperación, y control de las versiones) respecto del contenido creado en distintos niveles</w:t>
      </w:r>
      <w:proofErr w:type="gramStart"/>
      <w:r w:rsidRPr="00CA682E">
        <w:rPr>
          <w:rFonts w:eastAsia="Times New Roman" w:cs="Times New Roman"/>
          <w:color w:val="000000" w:themeColor="text1"/>
          <w:sz w:val="20"/>
          <w:szCs w:val="24"/>
          <w:lang w:eastAsia="en-US"/>
        </w:rPr>
        <w:t>:  usuarios</w:t>
      </w:r>
      <w:proofErr w:type="gramEnd"/>
      <w:r w:rsidRPr="00CA682E">
        <w:rPr>
          <w:rFonts w:eastAsia="Times New Roman" w:cs="Times New Roman"/>
          <w:color w:val="000000" w:themeColor="text1"/>
          <w:sz w:val="20"/>
          <w:szCs w:val="24"/>
          <w:lang w:eastAsia="en-US"/>
        </w:rPr>
        <w:t>, unidades y Organización.  Entre esos tipos de contenido figurará el que se cree en las computadoras de escritorio, como los archivos de tratamiento de texto (por ejemplo, documentos Microsoft Word y PDF), las hojas de cálculo (por ejemplo, Microsoft Excel), las presentaciones (por ejemplo, Microsoft PowerPoint), los diagramas (por ejemplo, Microsoft Visio), los mensajes de correo–e sobre planes de proyecto (por ejemplo Microsoft Project).</w:t>
      </w:r>
    </w:p>
    <w:p w:rsidR="00CA682E" w:rsidRPr="00CA682E" w:rsidRDefault="00CA682E" w:rsidP="00CA682E">
      <w:pPr>
        <w:rPr>
          <w:rFonts w:eastAsia="Times New Roman"/>
          <w:bCs/>
          <w:color w:val="000000" w:themeColor="text1"/>
          <w:sz w:val="20"/>
          <w:lang w:eastAsia="en-US"/>
        </w:rPr>
      </w:pPr>
    </w:p>
    <w:p w:rsidR="00CA682E" w:rsidRPr="00CA682E" w:rsidRDefault="00CA682E" w:rsidP="00CA682E">
      <w:pPr>
        <w:rPr>
          <w:rFonts w:eastAsia="Times New Roman"/>
          <w:bCs/>
          <w:color w:val="000000" w:themeColor="text1"/>
          <w:sz w:val="20"/>
          <w:lang w:eastAsia="en-US"/>
        </w:rPr>
      </w:pPr>
    </w:p>
    <w:p w:rsidR="00CA682E" w:rsidRPr="00CA682E" w:rsidRDefault="00CA682E" w:rsidP="00CA682E">
      <w:pPr>
        <w:rPr>
          <w:rFonts w:eastAsia="Times New Roman"/>
          <w:bCs/>
          <w:color w:val="000000" w:themeColor="text1"/>
          <w:sz w:val="20"/>
          <w:lang w:eastAsia="en-US"/>
        </w:rPr>
      </w:pPr>
      <w:r w:rsidRPr="00CA682E">
        <w:rPr>
          <w:rFonts w:eastAsia="Times New Roman" w:cs="Times New Roman"/>
          <w:bCs/>
          <w:color w:val="000000" w:themeColor="text1"/>
          <w:sz w:val="20"/>
          <w:szCs w:val="24"/>
          <w:lang w:eastAsia="en-US"/>
        </w:rPr>
        <w:t>RESEÑA DE LOS AVANCES LOGRADOS EN 2015 (ETAPAS FUNDAMENTALES)</w:t>
      </w:r>
    </w:p>
    <w:p w:rsidR="00CA682E" w:rsidRPr="00CA682E" w:rsidRDefault="00CA682E" w:rsidP="00CA682E">
      <w:pPr>
        <w:rPr>
          <w:rFonts w:eastAsia="Times New Roman"/>
          <w:bCs/>
          <w:color w:val="000000" w:themeColor="text1"/>
          <w:sz w:val="20"/>
          <w:lang w:eastAsia="en-US"/>
        </w:rPr>
      </w:pPr>
    </w:p>
    <w:p w:rsidR="00CA682E" w:rsidRPr="00CA682E" w:rsidRDefault="00CA682E" w:rsidP="000F09B8">
      <w:pPr>
        <w:numPr>
          <w:ilvl w:val="0"/>
          <w:numId w:val="126"/>
        </w:numPr>
        <w:tabs>
          <w:tab w:val="left" w:pos="567"/>
        </w:tabs>
        <w:ind w:left="0" w:firstLine="0"/>
        <w:jc w:val="both"/>
        <w:rPr>
          <w:bCs/>
          <w:color w:val="000000" w:themeColor="text1"/>
          <w:sz w:val="20"/>
        </w:rPr>
      </w:pPr>
      <w:r w:rsidRPr="00CA682E">
        <w:rPr>
          <w:bCs/>
          <w:color w:val="000000" w:themeColor="text1"/>
          <w:sz w:val="20"/>
        </w:rPr>
        <w:t>El enfoque revisado del proyecto de ECM fue aprobado por la Junta de TIC de la OMPI en abril de 2015, incluida una redefinición de las prioridades respecto de los “proyectos de logros iniciales”.</w:t>
      </w:r>
    </w:p>
    <w:p w:rsidR="00CA682E" w:rsidRPr="00CA682E" w:rsidRDefault="00CA682E" w:rsidP="000F09B8">
      <w:pPr>
        <w:rPr>
          <w:rFonts w:eastAsia="Times New Roman"/>
          <w:bCs/>
          <w:color w:val="000000" w:themeColor="text1"/>
          <w:sz w:val="20"/>
          <w:lang w:eastAsia="en-US"/>
        </w:rPr>
      </w:pPr>
    </w:p>
    <w:p w:rsidR="00CA682E" w:rsidRPr="00CA682E" w:rsidRDefault="00CA682E" w:rsidP="000F09B8">
      <w:pPr>
        <w:numPr>
          <w:ilvl w:val="0"/>
          <w:numId w:val="126"/>
        </w:numPr>
        <w:tabs>
          <w:tab w:val="left" w:pos="567"/>
        </w:tabs>
        <w:ind w:left="0" w:firstLine="0"/>
        <w:jc w:val="both"/>
        <w:rPr>
          <w:bCs/>
          <w:color w:val="000000" w:themeColor="text1"/>
          <w:sz w:val="20"/>
        </w:rPr>
      </w:pPr>
      <w:r w:rsidRPr="00CA682E">
        <w:rPr>
          <w:color w:val="000000" w:themeColor="text1"/>
          <w:sz w:val="20"/>
        </w:rPr>
        <w:t>En</w:t>
      </w:r>
      <w:r w:rsidRPr="00CA682E">
        <w:rPr>
          <w:bCs/>
          <w:color w:val="000000" w:themeColor="text1"/>
          <w:sz w:val="20"/>
        </w:rPr>
        <w:t xml:space="preserve"> 2015 se realizaron los siguientes progresos:</w:t>
      </w:r>
    </w:p>
    <w:p w:rsidR="00CA682E" w:rsidRPr="00CA682E" w:rsidRDefault="00CA682E" w:rsidP="00CA682E">
      <w:pPr>
        <w:tabs>
          <w:tab w:val="left" w:pos="993"/>
        </w:tabs>
        <w:ind w:left="993" w:hanging="426"/>
        <w:rPr>
          <w:rFonts w:eastAsia="Times New Roman"/>
          <w:bCs/>
          <w:color w:val="000000" w:themeColor="text1"/>
          <w:sz w:val="20"/>
          <w:lang w:eastAsia="en-US"/>
        </w:rPr>
      </w:pPr>
    </w:p>
    <w:p w:rsidR="00CA682E" w:rsidRPr="00CA682E" w:rsidRDefault="00CA682E" w:rsidP="00CA682E">
      <w:pPr>
        <w:numPr>
          <w:ilvl w:val="0"/>
          <w:numId w:val="133"/>
        </w:numPr>
        <w:tabs>
          <w:tab w:val="left" w:pos="993"/>
        </w:tabs>
        <w:spacing w:after="120"/>
        <w:ind w:left="992" w:hanging="425"/>
        <w:rPr>
          <w:rFonts w:eastAsia="Times New Roman"/>
          <w:bCs/>
          <w:color w:val="000000" w:themeColor="text1"/>
          <w:sz w:val="20"/>
          <w:lang w:eastAsia="en-US"/>
        </w:rPr>
      </w:pPr>
      <w:r w:rsidRPr="00CA682E">
        <w:rPr>
          <w:rFonts w:eastAsia="Times New Roman"/>
          <w:bCs/>
          <w:color w:val="000000" w:themeColor="text1"/>
          <w:sz w:val="20"/>
          <w:lang w:eastAsia="en-US"/>
        </w:rPr>
        <w:t xml:space="preserve">Durante el tercer trimestre, tras las recomendaciones de un consultor independiente y de un nuevo análisis del mercado, finalizó el proceso para seleccionar la opción tecnológica, </w:t>
      </w:r>
      <w:proofErr w:type="spellStart"/>
      <w:r w:rsidRPr="00CA682E">
        <w:rPr>
          <w:rFonts w:eastAsia="Times New Roman"/>
          <w:bCs/>
          <w:i/>
          <w:color w:val="000000" w:themeColor="text1"/>
          <w:sz w:val="20"/>
          <w:lang w:eastAsia="en-US"/>
        </w:rPr>
        <w:t>OpenText</w:t>
      </w:r>
      <w:proofErr w:type="spellEnd"/>
      <w:r w:rsidRPr="00CA682E">
        <w:rPr>
          <w:rFonts w:eastAsia="Times New Roman"/>
          <w:bCs/>
          <w:i/>
          <w:color w:val="000000" w:themeColor="text1"/>
          <w:sz w:val="20"/>
          <w:lang w:eastAsia="en-US"/>
        </w:rPr>
        <w:t xml:space="preserve">, </w:t>
      </w:r>
      <w:r w:rsidRPr="00CA682E">
        <w:rPr>
          <w:rFonts w:eastAsia="Times New Roman"/>
          <w:bCs/>
          <w:color w:val="000000" w:themeColor="text1"/>
          <w:sz w:val="20"/>
          <w:lang w:eastAsia="en-US"/>
        </w:rPr>
        <w:t>para implantar  la ECM;</w:t>
      </w:r>
    </w:p>
    <w:p w:rsidR="00CA682E" w:rsidRPr="00CA682E" w:rsidRDefault="00CA682E" w:rsidP="00CA682E">
      <w:pPr>
        <w:numPr>
          <w:ilvl w:val="0"/>
          <w:numId w:val="133"/>
        </w:numPr>
        <w:tabs>
          <w:tab w:val="left" w:pos="993"/>
        </w:tabs>
        <w:spacing w:after="120"/>
        <w:ind w:left="992" w:hanging="425"/>
        <w:rPr>
          <w:rFonts w:eastAsia="Times New Roman"/>
          <w:color w:val="000000" w:themeColor="text1"/>
          <w:sz w:val="20"/>
          <w:lang w:eastAsia="en-US"/>
        </w:rPr>
      </w:pPr>
      <w:r w:rsidRPr="00CA682E">
        <w:rPr>
          <w:rFonts w:eastAsia="Times New Roman"/>
          <w:color w:val="000000" w:themeColor="text1"/>
          <w:sz w:val="20"/>
          <w:lang w:eastAsia="en-US"/>
        </w:rPr>
        <w:t xml:space="preserve">El sistema existente de expedientes y archivos institucionales fue adaptado a la nueva plataforma de </w:t>
      </w:r>
      <w:proofErr w:type="spellStart"/>
      <w:r w:rsidRPr="00CA682E">
        <w:rPr>
          <w:rFonts w:eastAsia="Times New Roman"/>
          <w:i/>
          <w:color w:val="000000" w:themeColor="text1"/>
          <w:sz w:val="20"/>
          <w:lang w:eastAsia="en-US"/>
        </w:rPr>
        <w:t>OpenText</w:t>
      </w:r>
      <w:proofErr w:type="spellEnd"/>
      <w:r w:rsidRPr="00CA682E">
        <w:rPr>
          <w:rFonts w:eastAsia="Times New Roman"/>
          <w:color w:val="000000" w:themeColor="text1"/>
          <w:sz w:val="20"/>
          <w:lang w:eastAsia="en-US"/>
        </w:rPr>
        <w:t xml:space="preserve"> durante el cuarto trimestre, dos trimestres antes que lo que se había previsto originalmente, debido a que a mediados de septiembre de 2015 se dejó de contar con Microsoft para apoyar la plataforma existente;  </w:t>
      </w:r>
    </w:p>
    <w:p w:rsidR="00CA682E" w:rsidRPr="00CA682E" w:rsidRDefault="00CA682E" w:rsidP="00CA682E">
      <w:pPr>
        <w:numPr>
          <w:ilvl w:val="0"/>
          <w:numId w:val="133"/>
        </w:numPr>
        <w:tabs>
          <w:tab w:val="left" w:pos="993"/>
        </w:tabs>
        <w:spacing w:after="120"/>
        <w:ind w:left="992" w:hanging="425"/>
        <w:rPr>
          <w:rFonts w:eastAsia="Times New Roman"/>
          <w:color w:val="000000" w:themeColor="text1"/>
          <w:sz w:val="20"/>
          <w:lang w:eastAsia="en-US"/>
        </w:rPr>
      </w:pPr>
      <w:r w:rsidRPr="00CA682E">
        <w:rPr>
          <w:rFonts w:eastAsia="Times New Roman"/>
          <w:bCs/>
          <w:color w:val="000000" w:themeColor="text1"/>
          <w:sz w:val="20"/>
          <w:lang w:eastAsia="en-US"/>
        </w:rPr>
        <w:t xml:space="preserve">En noviembre de 2015, tras lanzar una solicitud de información, se iniciaron las actividades encaminadas a designar un proveedor que preste servicios de diseño, configuración, ejecución y apoyo en relación con el proyecto de ECM.  Las compañías preseleccionadas tras el proceso de solicitud de información serán invitadas a participar en el proceso de solicitud de propuestas de marzo de 2016.  </w:t>
      </w:r>
    </w:p>
    <w:p w:rsidR="00CA682E" w:rsidRPr="00CA682E" w:rsidRDefault="00CA682E" w:rsidP="00CA682E">
      <w:pPr>
        <w:rPr>
          <w:rFonts w:eastAsia="Times New Roman"/>
          <w:bCs/>
          <w:color w:val="000000" w:themeColor="text1"/>
          <w:sz w:val="20"/>
          <w:szCs w:val="24"/>
          <w:lang w:eastAsia="en-US"/>
        </w:rPr>
      </w:pPr>
    </w:p>
    <w:p w:rsidR="00CA682E" w:rsidRPr="00CA682E" w:rsidRDefault="00CA682E" w:rsidP="000F09B8">
      <w:pPr>
        <w:numPr>
          <w:ilvl w:val="0"/>
          <w:numId w:val="126"/>
        </w:numPr>
        <w:tabs>
          <w:tab w:val="left" w:pos="567"/>
        </w:tabs>
        <w:ind w:left="0" w:firstLine="0"/>
        <w:jc w:val="both"/>
        <w:rPr>
          <w:bCs/>
          <w:color w:val="000000" w:themeColor="text1"/>
          <w:sz w:val="20"/>
        </w:rPr>
      </w:pPr>
      <w:r w:rsidRPr="00CA682E">
        <w:rPr>
          <w:bCs/>
          <w:color w:val="000000" w:themeColor="text1"/>
          <w:sz w:val="20"/>
        </w:rPr>
        <w:t>Dadas las medidas adicionales de diligencia debida, incluido un procedimiento más riguroso de aprobación a nivel interno, el proceso de selección de la solución técnica llevó más tiempo de lo previsto, con el consiguiente retraso en el calendario del proyecto, que ha sido actualizado en consecuencia.</w:t>
      </w:r>
    </w:p>
    <w:p w:rsidR="00CA682E" w:rsidRPr="00CA682E" w:rsidRDefault="00CA682E" w:rsidP="00CA682E">
      <w:pPr>
        <w:rPr>
          <w:rFonts w:eastAsia="Times New Roman"/>
          <w:color w:val="000000" w:themeColor="text1"/>
          <w:sz w:val="20"/>
          <w:szCs w:val="24"/>
          <w:lang w:eastAsia="en-US"/>
        </w:rPr>
      </w:pPr>
    </w:p>
    <w:p w:rsidR="00CA682E" w:rsidRPr="00CA682E" w:rsidRDefault="00CA682E" w:rsidP="00CA682E">
      <w:pPr>
        <w:rPr>
          <w:rFonts w:eastAsia="Times New Roman"/>
          <w:bCs/>
          <w:color w:val="000000" w:themeColor="text1"/>
          <w:sz w:val="20"/>
          <w:lang w:eastAsia="en-US"/>
        </w:rPr>
      </w:pPr>
    </w:p>
    <w:p w:rsidR="00CA682E" w:rsidRPr="00CA682E" w:rsidRDefault="00CA682E" w:rsidP="00CA682E">
      <w:pPr>
        <w:rPr>
          <w:rFonts w:eastAsia="Times New Roman"/>
          <w:bCs/>
          <w:color w:val="000000" w:themeColor="text1"/>
          <w:sz w:val="20"/>
          <w:lang w:eastAsia="en-US"/>
        </w:rPr>
      </w:pPr>
      <w:r w:rsidRPr="00CA682E">
        <w:rPr>
          <w:rFonts w:eastAsia="Times New Roman"/>
          <w:bCs/>
          <w:color w:val="000000" w:themeColor="text1"/>
          <w:sz w:val="20"/>
          <w:lang w:eastAsia="en-US"/>
        </w:rPr>
        <w:t>OBTENCIÓN DE BENEFICIOS</w:t>
      </w:r>
    </w:p>
    <w:p w:rsidR="00CA682E" w:rsidRPr="00CA682E" w:rsidRDefault="00CA682E" w:rsidP="00CA682E">
      <w:pPr>
        <w:tabs>
          <w:tab w:val="left" w:pos="567"/>
        </w:tabs>
        <w:jc w:val="both"/>
        <w:rPr>
          <w:color w:val="000000" w:themeColor="text1"/>
          <w:sz w:val="20"/>
        </w:rPr>
      </w:pPr>
    </w:p>
    <w:tbl>
      <w:tblPr>
        <w:tblW w:w="4990" w:type="pct"/>
        <w:jc w:val="center"/>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73"/>
        <w:gridCol w:w="3473"/>
        <w:gridCol w:w="2606"/>
      </w:tblGrid>
      <w:tr w:rsidR="00CA682E" w:rsidRPr="00CA682E" w:rsidTr="007B1DE4">
        <w:trPr>
          <w:trHeight w:val="535"/>
          <w:tblHeader/>
          <w:jc w:val="center"/>
        </w:trPr>
        <w:tc>
          <w:tcPr>
            <w:tcW w:w="1818" w:type="pct"/>
            <w:shd w:val="clear" w:color="auto" w:fill="C6D9F1" w:themeFill="text2" w:themeFillTint="33"/>
            <w:vAlign w:val="center"/>
          </w:tcPr>
          <w:p w:rsidR="00CA682E" w:rsidRPr="00CA682E" w:rsidRDefault="00CA682E" w:rsidP="00CA682E">
            <w:pPr>
              <w:jc w:val="center"/>
              <w:rPr>
                <w:rFonts w:eastAsia="Times New Roman" w:cs="Times New Roman"/>
                <w:b/>
                <w:bCs/>
                <w:color w:val="000000" w:themeColor="text1"/>
                <w:sz w:val="16"/>
                <w:szCs w:val="16"/>
                <w:lang w:eastAsia="en-US"/>
              </w:rPr>
            </w:pPr>
            <w:r w:rsidRPr="00CA682E">
              <w:rPr>
                <w:rFonts w:eastAsia="Times New Roman" w:cs="Times New Roman"/>
                <w:b/>
                <w:bCs/>
                <w:color w:val="000000" w:themeColor="text1"/>
                <w:sz w:val="16"/>
                <w:szCs w:val="16"/>
                <w:lang w:eastAsia="en-US"/>
              </w:rPr>
              <w:t>Beneficios previstos para 2016</w:t>
            </w:r>
          </w:p>
        </w:tc>
        <w:tc>
          <w:tcPr>
            <w:tcW w:w="1818" w:type="pct"/>
            <w:shd w:val="clear" w:color="auto" w:fill="C6D9F1" w:themeFill="text2" w:themeFillTint="33"/>
            <w:vAlign w:val="center"/>
          </w:tcPr>
          <w:p w:rsidR="00CA682E" w:rsidRPr="00CA682E" w:rsidRDefault="00CA682E" w:rsidP="00CA682E">
            <w:pPr>
              <w:jc w:val="center"/>
              <w:rPr>
                <w:rFonts w:eastAsia="Times New Roman" w:cs="Times New Roman"/>
                <w:b/>
                <w:bCs/>
                <w:color w:val="000000" w:themeColor="text1"/>
                <w:sz w:val="16"/>
                <w:szCs w:val="16"/>
                <w:lang w:eastAsia="en-US"/>
              </w:rPr>
            </w:pPr>
            <w:r w:rsidRPr="00CA682E">
              <w:rPr>
                <w:rFonts w:eastAsia="Times New Roman" w:cs="Times New Roman"/>
                <w:b/>
                <w:bCs/>
                <w:color w:val="000000" w:themeColor="text1"/>
                <w:sz w:val="16"/>
                <w:szCs w:val="16"/>
                <w:lang w:eastAsia="en-US"/>
              </w:rPr>
              <w:t>Beneficios previstos para 2017</w:t>
            </w:r>
          </w:p>
        </w:tc>
        <w:tc>
          <w:tcPr>
            <w:tcW w:w="1364" w:type="pct"/>
            <w:shd w:val="clear" w:color="auto" w:fill="C6D9F1" w:themeFill="text2" w:themeFillTint="33"/>
          </w:tcPr>
          <w:p w:rsidR="00CA682E" w:rsidRPr="00CA682E" w:rsidRDefault="00CA682E" w:rsidP="00CA682E">
            <w:pPr>
              <w:jc w:val="center"/>
              <w:rPr>
                <w:rFonts w:eastAsia="Times New Roman" w:cs="Times New Roman"/>
                <w:b/>
                <w:bCs/>
                <w:color w:val="000000" w:themeColor="text1"/>
                <w:sz w:val="16"/>
                <w:szCs w:val="16"/>
                <w:lang w:eastAsia="en-US"/>
              </w:rPr>
            </w:pPr>
          </w:p>
          <w:p w:rsidR="00CA682E" w:rsidRPr="00CA682E" w:rsidRDefault="00CA682E" w:rsidP="00CA682E">
            <w:pPr>
              <w:jc w:val="center"/>
              <w:rPr>
                <w:rFonts w:eastAsia="Times New Roman" w:cs="Times New Roman"/>
                <w:b/>
                <w:bCs/>
                <w:color w:val="000000" w:themeColor="text1"/>
                <w:sz w:val="16"/>
                <w:szCs w:val="16"/>
                <w:lang w:eastAsia="en-US"/>
              </w:rPr>
            </w:pPr>
            <w:r w:rsidRPr="00CA682E">
              <w:rPr>
                <w:rFonts w:eastAsia="Times New Roman" w:cs="Times New Roman"/>
                <w:b/>
                <w:bCs/>
                <w:color w:val="000000" w:themeColor="text1"/>
                <w:sz w:val="16"/>
                <w:szCs w:val="16"/>
                <w:lang w:eastAsia="en-US"/>
              </w:rPr>
              <w:t>Beneficios previstos para 2018</w:t>
            </w:r>
          </w:p>
        </w:tc>
      </w:tr>
      <w:tr w:rsidR="00CA682E" w:rsidRPr="00CA682E" w:rsidTr="007B1DE4">
        <w:trPr>
          <w:trHeight w:val="564"/>
          <w:jc w:val="center"/>
        </w:trPr>
        <w:tc>
          <w:tcPr>
            <w:tcW w:w="1818" w:type="pct"/>
            <w:shd w:val="clear" w:color="auto" w:fill="auto"/>
          </w:tcPr>
          <w:p w:rsidR="00CA682E" w:rsidRPr="00CA682E" w:rsidRDefault="00CA682E" w:rsidP="00CA682E">
            <w:pPr>
              <w:rPr>
                <w:rFonts w:eastAsia="Times New Roman" w:cs="Times New Roman"/>
                <w:b/>
                <w:bCs/>
                <w:i/>
                <w:iCs/>
                <w:color w:val="000000" w:themeColor="text1"/>
                <w:sz w:val="16"/>
                <w:szCs w:val="16"/>
                <w:lang w:eastAsia="en-US"/>
              </w:rPr>
            </w:pPr>
            <w:r w:rsidRPr="00CA682E">
              <w:rPr>
                <w:rFonts w:eastAsia="Times New Roman" w:cs="Times New Roman"/>
                <w:b/>
                <w:bCs/>
                <w:i/>
                <w:iCs/>
                <w:color w:val="000000" w:themeColor="text1"/>
                <w:sz w:val="16"/>
                <w:szCs w:val="16"/>
                <w:lang w:eastAsia="en-US"/>
              </w:rPr>
              <w:t>Tras las mejoras introducidas en los expedientes y archivos institucionales:</w:t>
            </w:r>
          </w:p>
          <w:p w:rsidR="00CA682E" w:rsidRPr="00CA682E" w:rsidRDefault="00CA682E" w:rsidP="00CA682E">
            <w:pPr>
              <w:contextualSpacing/>
              <w:jc w:val="both"/>
              <w:rPr>
                <w:rFonts w:eastAsia="Times New Roman" w:cs="Times New Roman"/>
                <w:color w:val="000000" w:themeColor="text1"/>
                <w:sz w:val="16"/>
                <w:szCs w:val="24"/>
                <w:lang w:eastAsia="en-US"/>
              </w:rPr>
            </w:pPr>
            <w:r w:rsidRPr="00CA682E">
              <w:rPr>
                <w:rFonts w:eastAsia="Times New Roman" w:cs="Times New Roman"/>
                <w:color w:val="000000" w:themeColor="text1"/>
                <w:sz w:val="16"/>
                <w:szCs w:val="24"/>
                <w:lang w:eastAsia="en-US"/>
              </w:rPr>
              <w:t>Uno de los beneficios de los “logros iniciales” será el aumento de la eficacia en el escaneo de documentos, también en el escaneo de la correspondencia entrante, con la consiguiente reducción del tiempo que debe invertir el personal en esa tarea.</w:t>
            </w:r>
          </w:p>
          <w:p w:rsidR="00CA682E" w:rsidRPr="00CA682E" w:rsidRDefault="00CA682E" w:rsidP="00CA682E">
            <w:pPr>
              <w:contextualSpacing/>
              <w:jc w:val="both"/>
              <w:rPr>
                <w:rFonts w:eastAsia="Times New Roman" w:cs="Times New Roman"/>
                <w:color w:val="000000" w:themeColor="text1"/>
                <w:sz w:val="16"/>
                <w:szCs w:val="24"/>
                <w:lang w:eastAsia="en-US"/>
              </w:rPr>
            </w:pPr>
          </w:p>
          <w:p w:rsidR="00CA682E" w:rsidRPr="00CA682E" w:rsidRDefault="00CA682E" w:rsidP="00CA682E">
            <w:pPr>
              <w:contextualSpacing/>
              <w:jc w:val="both"/>
              <w:rPr>
                <w:rFonts w:eastAsia="Times New Roman" w:cs="Times New Roman"/>
                <w:color w:val="000000" w:themeColor="text1"/>
                <w:sz w:val="16"/>
                <w:szCs w:val="24"/>
                <w:lang w:eastAsia="en-US"/>
              </w:rPr>
            </w:pPr>
            <w:r w:rsidRPr="00CA682E">
              <w:rPr>
                <w:rFonts w:eastAsia="Times New Roman" w:cs="Times New Roman"/>
                <w:color w:val="000000" w:themeColor="text1"/>
                <w:sz w:val="16"/>
                <w:szCs w:val="24"/>
                <w:lang w:eastAsia="en-US"/>
              </w:rPr>
              <w:t>Se obtendrán beneficios a largo plazo en 2018, con la puesta en funcionamiento en toda la Organización de la configuración del sistema de ECM.</w:t>
            </w:r>
          </w:p>
          <w:p w:rsidR="00CA682E" w:rsidRPr="00CA682E" w:rsidRDefault="00CA682E" w:rsidP="00CA682E">
            <w:pPr>
              <w:rPr>
                <w:rFonts w:eastAsia="Times New Roman" w:cs="Times New Roman"/>
                <w:color w:val="000000" w:themeColor="text1"/>
                <w:sz w:val="20"/>
                <w:szCs w:val="24"/>
                <w:lang w:eastAsia="en-US"/>
              </w:rPr>
            </w:pPr>
          </w:p>
        </w:tc>
        <w:tc>
          <w:tcPr>
            <w:tcW w:w="1818" w:type="pct"/>
            <w:shd w:val="clear" w:color="auto" w:fill="auto"/>
          </w:tcPr>
          <w:p w:rsidR="00CA682E" w:rsidRPr="00CA682E" w:rsidRDefault="00CA682E" w:rsidP="00CA682E">
            <w:pPr>
              <w:rPr>
                <w:rFonts w:eastAsia="Times New Roman" w:cs="Times New Roman"/>
                <w:b/>
                <w:bCs/>
                <w:i/>
                <w:iCs/>
                <w:color w:val="000000" w:themeColor="text1"/>
                <w:sz w:val="16"/>
                <w:szCs w:val="16"/>
                <w:lang w:eastAsia="en-US"/>
              </w:rPr>
            </w:pPr>
            <w:r w:rsidRPr="00CA682E">
              <w:rPr>
                <w:rFonts w:eastAsia="Times New Roman" w:cs="Times New Roman"/>
                <w:b/>
                <w:bCs/>
                <w:i/>
                <w:iCs/>
                <w:color w:val="000000" w:themeColor="text1"/>
                <w:sz w:val="16"/>
                <w:szCs w:val="16"/>
                <w:lang w:eastAsia="en-US"/>
              </w:rPr>
              <w:t>Tras la puesta en funcionamiento de la configuración del sistema de ECM para el correo entrante (</w:t>
            </w:r>
            <w:proofErr w:type="spellStart"/>
            <w:r w:rsidRPr="00CA682E">
              <w:rPr>
                <w:rFonts w:eastAsia="Times New Roman" w:cs="Times New Roman"/>
                <w:b/>
                <w:bCs/>
                <w:i/>
                <w:iCs/>
                <w:color w:val="000000" w:themeColor="text1"/>
                <w:sz w:val="16"/>
                <w:szCs w:val="16"/>
                <w:lang w:eastAsia="en-US"/>
              </w:rPr>
              <w:t>eCourier</w:t>
            </w:r>
            <w:proofErr w:type="spellEnd"/>
            <w:r w:rsidRPr="00CA682E">
              <w:rPr>
                <w:rFonts w:eastAsia="Times New Roman" w:cs="Times New Roman"/>
                <w:b/>
                <w:bCs/>
                <w:i/>
                <w:iCs/>
                <w:color w:val="000000" w:themeColor="text1"/>
                <w:sz w:val="16"/>
                <w:szCs w:val="16"/>
                <w:lang w:eastAsia="en-US"/>
              </w:rPr>
              <w:t>)</w:t>
            </w:r>
          </w:p>
          <w:p w:rsidR="00CA682E" w:rsidRPr="00CA682E" w:rsidRDefault="00CA682E" w:rsidP="00CA682E">
            <w:pPr>
              <w:jc w:val="both"/>
              <w:rPr>
                <w:rFonts w:eastAsia="Times New Roman" w:cs="Times New Roman"/>
                <w:color w:val="000000" w:themeColor="text1"/>
                <w:sz w:val="16"/>
                <w:szCs w:val="24"/>
                <w:lang w:eastAsia="en-US"/>
              </w:rPr>
            </w:pPr>
            <w:r w:rsidRPr="00CA682E">
              <w:rPr>
                <w:rFonts w:eastAsia="Times New Roman" w:cs="Times New Roman"/>
                <w:color w:val="000000" w:themeColor="text1"/>
                <w:sz w:val="16"/>
                <w:szCs w:val="24"/>
                <w:lang w:eastAsia="en-US"/>
              </w:rPr>
              <w:t>La Oficina del Director General y el Equipo Directivo Superior dispondrán de un único sistema para la distribución y el seguimiento de la creación de respuestas a los mensajes externos de correo;  en consecuencia:</w:t>
            </w:r>
          </w:p>
          <w:p w:rsidR="00CA682E" w:rsidRPr="00CA682E" w:rsidRDefault="00CA682E" w:rsidP="00CA682E">
            <w:pPr>
              <w:numPr>
                <w:ilvl w:val="0"/>
                <w:numId w:val="123"/>
              </w:numPr>
              <w:ind w:left="318" w:hanging="318"/>
              <w:contextualSpacing/>
              <w:jc w:val="both"/>
              <w:rPr>
                <w:rFonts w:eastAsia="Times New Roman" w:cs="Times New Roman"/>
                <w:color w:val="000000" w:themeColor="text1"/>
                <w:sz w:val="16"/>
                <w:lang w:eastAsia="en-US"/>
              </w:rPr>
            </w:pPr>
            <w:r w:rsidRPr="00CA682E">
              <w:rPr>
                <w:rFonts w:eastAsia="Times New Roman" w:cs="Times New Roman"/>
                <w:color w:val="000000" w:themeColor="text1"/>
                <w:sz w:val="16"/>
                <w:lang w:eastAsia="en-US"/>
              </w:rPr>
              <w:t>se reducirá el tiempo necesario para redactar las respuestas a los mensajes externos de correo, pues no será necesario distribuir materialmente los mensajes y las respuestas entre los edificios de la OMPI, lo que contribuirá al logro de los objetivos relativos a los tiempos de respuesta;</w:t>
            </w:r>
          </w:p>
          <w:p w:rsidR="00CA682E" w:rsidRPr="00CA682E" w:rsidRDefault="00CA682E" w:rsidP="00CA682E">
            <w:pPr>
              <w:rPr>
                <w:rFonts w:eastAsia="Times New Roman" w:cs="Times New Roman"/>
                <w:b/>
                <w:bCs/>
                <w:i/>
                <w:iCs/>
                <w:color w:val="000000" w:themeColor="text1"/>
                <w:sz w:val="16"/>
                <w:szCs w:val="16"/>
                <w:lang w:eastAsia="en-US"/>
              </w:rPr>
            </w:pPr>
            <w:proofErr w:type="gramStart"/>
            <w:r w:rsidRPr="00CA682E">
              <w:rPr>
                <w:rFonts w:eastAsia="Times New Roman" w:cs="Times New Roman"/>
                <w:color w:val="000000" w:themeColor="text1"/>
                <w:sz w:val="16"/>
                <w:szCs w:val="24"/>
                <w:lang w:eastAsia="en-US"/>
              </w:rPr>
              <w:t>será</w:t>
            </w:r>
            <w:proofErr w:type="gramEnd"/>
            <w:r w:rsidRPr="00CA682E">
              <w:rPr>
                <w:rFonts w:eastAsia="Times New Roman" w:cs="Times New Roman"/>
                <w:color w:val="000000" w:themeColor="text1"/>
                <w:sz w:val="16"/>
                <w:szCs w:val="24"/>
                <w:lang w:eastAsia="en-US"/>
              </w:rPr>
              <w:t xml:space="preserve"> posible utilizar un tablero único de gestión para conocer la situación y el progreso de cada respuesta a un mensaje externo, lo que reducirá el esfuerzo necesario para que el personal realice el seguimiento de las respuestas con miras al cumplimiento de los objetivos, permitiendo al personal administrativo centrarse en otras actividades.</w:t>
            </w:r>
          </w:p>
        </w:tc>
        <w:tc>
          <w:tcPr>
            <w:tcW w:w="1364" w:type="pct"/>
          </w:tcPr>
          <w:p w:rsidR="00CA682E" w:rsidRPr="00CA682E" w:rsidRDefault="00CA682E" w:rsidP="00CA682E">
            <w:pPr>
              <w:rPr>
                <w:rFonts w:eastAsia="Times New Roman" w:cs="Times New Roman"/>
                <w:b/>
                <w:bCs/>
                <w:i/>
                <w:iCs/>
                <w:color w:val="000000" w:themeColor="text1"/>
                <w:sz w:val="16"/>
                <w:szCs w:val="16"/>
                <w:lang w:eastAsia="en-US"/>
              </w:rPr>
            </w:pPr>
            <w:r w:rsidRPr="00CA682E">
              <w:rPr>
                <w:rFonts w:eastAsia="Times New Roman" w:cs="Times New Roman"/>
                <w:b/>
                <w:bCs/>
                <w:i/>
                <w:iCs/>
                <w:color w:val="000000" w:themeColor="text1"/>
                <w:sz w:val="16"/>
                <w:szCs w:val="16"/>
                <w:lang w:eastAsia="en-US"/>
              </w:rPr>
              <w:t>Tras la puesta en funcionamiento de la configuración del sistema de ECM para toda la Organización:</w:t>
            </w:r>
          </w:p>
          <w:p w:rsidR="00CA682E" w:rsidRPr="00CA682E" w:rsidRDefault="00CA682E" w:rsidP="00CA682E">
            <w:pPr>
              <w:contextualSpacing/>
              <w:jc w:val="both"/>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 xml:space="preserve">La implantación de la gestión de contenidos institucionales en la OMPI en su conjunto, al respaldar los cambios culturales relativos al intercambio de conocimientos y la gestión de la información en la Organización, además del </w:t>
            </w:r>
            <w:proofErr w:type="spellStart"/>
            <w:r w:rsidRPr="00CA682E">
              <w:rPr>
                <w:rFonts w:eastAsia="Times New Roman" w:cs="Times New Roman"/>
                <w:color w:val="000000" w:themeColor="text1"/>
                <w:sz w:val="16"/>
                <w:szCs w:val="16"/>
                <w:lang w:eastAsia="en-US"/>
              </w:rPr>
              <w:t>subproyecto</w:t>
            </w:r>
            <w:proofErr w:type="spellEnd"/>
            <w:r w:rsidRPr="00CA682E">
              <w:rPr>
                <w:rFonts w:eastAsia="Times New Roman" w:cs="Times New Roman"/>
                <w:color w:val="000000" w:themeColor="text1"/>
                <w:sz w:val="16"/>
                <w:szCs w:val="16"/>
                <w:lang w:eastAsia="en-US"/>
              </w:rPr>
              <w:t xml:space="preserve"> que dará “logros iniciales”, tendrá como consecuencia:</w:t>
            </w:r>
          </w:p>
          <w:p w:rsidR="00CA682E" w:rsidRPr="00CA682E" w:rsidRDefault="00CA682E" w:rsidP="00CA682E">
            <w:pPr>
              <w:numPr>
                <w:ilvl w:val="0"/>
                <w:numId w:val="123"/>
              </w:numPr>
              <w:ind w:left="335" w:hanging="283"/>
              <w:contextualSpacing/>
              <w:jc w:val="both"/>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la capacidad de realizar búsquedas en la totalidad de la base de conocimientos de la OMPI, reduciendo el volumen de creación y el registro por duplicado de conocimientos, gracias al intercambio de información;</w:t>
            </w:r>
          </w:p>
          <w:p w:rsidR="00CA682E" w:rsidRPr="00CA682E" w:rsidRDefault="00CA682E" w:rsidP="00CA682E">
            <w:pPr>
              <w:numPr>
                <w:ilvl w:val="0"/>
                <w:numId w:val="123"/>
              </w:numPr>
              <w:ind w:left="335" w:hanging="283"/>
              <w:contextualSpacing/>
              <w:jc w:val="both"/>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 xml:space="preserve">la capacidad de extender la </w:t>
            </w:r>
            <w:r w:rsidRPr="00CA682E">
              <w:rPr>
                <w:rFonts w:eastAsia="Times New Roman" w:cs="Times New Roman"/>
                <w:color w:val="000000" w:themeColor="text1"/>
                <w:sz w:val="16"/>
                <w:szCs w:val="16"/>
                <w:lang w:eastAsia="en-US"/>
              </w:rPr>
              <w:lastRenderedPageBreak/>
              <w:t>aplicación efectiva de la Política de gestión de los expedientes y archivos (orden de servicio 15/2013) a un número mayor de unidades operativas;</w:t>
            </w:r>
          </w:p>
          <w:p w:rsidR="00CA682E" w:rsidRPr="00CA682E" w:rsidRDefault="00CA682E" w:rsidP="00CA682E">
            <w:pPr>
              <w:numPr>
                <w:ilvl w:val="0"/>
                <w:numId w:val="123"/>
              </w:numPr>
              <w:ind w:left="335" w:hanging="283"/>
              <w:contextualSpacing/>
              <w:jc w:val="both"/>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la capacidad de reducir los costos actuales de archivo físico de documentos, a medida que esos documentos pasan al formato electrónico;</w:t>
            </w:r>
          </w:p>
          <w:p w:rsidR="00CA682E" w:rsidRPr="00CA682E" w:rsidRDefault="00CA682E" w:rsidP="00CA682E">
            <w:pPr>
              <w:numPr>
                <w:ilvl w:val="0"/>
                <w:numId w:val="123"/>
              </w:numPr>
              <w:ind w:left="335" w:hanging="283"/>
              <w:contextualSpacing/>
              <w:jc w:val="both"/>
              <w:rPr>
                <w:rFonts w:eastAsia="Times New Roman" w:cs="Times New Roman"/>
                <w:b/>
                <w:bCs/>
                <w:i/>
                <w:iCs/>
                <w:color w:val="000000" w:themeColor="text1"/>
                <w:sz w:val="16"/>
                <w:szCs w:val="16"/>
                <w:lang w:eastAsia="en-US"/>
              </w:rPr>
            </w:pPr>
            <w:r w:rsidRPr="00CA682E">
              <w:rPr>
                <w:rFonts w:eastAsia="Times New Roman" w:cs="Times New Roman"/>
                <w:color w:val="000000" w:themeColor="text1"/>
                <w:sz w:val="16"/>
                <w:szCs w:val="16"/>
                <w:lang w:eastAsia="en-US"/>
              </w:rPr>
              <w:t>la capacidad de reducir los costos de almacenamiento electrónico de documentos, pues la capacidad de realizar búsquedas en la totalidad del acervo de conocimientos de la Organización debería reducir el nivel de modificaciones introducidas y de registro por duplicado de conocimientos.</w:t>
            </w:r>
          </w:p>
        </w:tc>
      </w:tr>
      <w:tr w:rsidR="00CA682E" w:rsidRPr="00CA682E" w:rsidTr="007B1DE4">
        <w:trPr>
          <w:trHeight w:val="564"/>
          <w:jc w:val="center"/>
        </w:trPr>
        <w:tc>
          <w:tcPr>
            <w:tcW w:w="1818" w:type="pct"/>
            <w:shd w:val="clear" w:color="auto" w:fill="auto"/>
          </w:tcPr>
          <w:p w:rsidR="00CA682E" w:rsidRPr="00CA682E" w:rsidRDefault="00CA682E" w:rsidP="00CA682E">
            <w:pPr>
              <w:rPr>
                <w:rFonts w:eastAsia="Times New Roman" w:cs="Times New Roman"/>
                <w:b/>
                <w:bCs/>
                <w:i/>
                <w:iCs/>
                <w:color w:val="000000" w:themeColor="text1"/>
                <w:sz w:val="16"/>
                <w:szCs w:val="16"/>
                <w:lang w:eastAsia="en-US"/>
              </w:rPr>
            </w:pPr>
            <w:r w:rsidRPr="00CA682E">
              <w:rPr>
                <w:rFonts w:eastAsia="Times New Roman" w:cs="Times New Roman"/>
                <w:b/>
                <w:bCs/>
                <w:i/>
                <w:iCs/>
                <w:color w:val="000000" w:themeColor="text1"/>
                <w:sz w:val="16"/>
                <w:szCs w:val="16"/>
                <w:lang w:eastAsia="en-US"/>
              </w:rPr>
              <w:lastRenderedPageBreak/>
              <w:t>Tras la puesta en funcionamiento de la configuración del sistema de ECM para el flujo de trabajo y la situación de las peticiones de traducción:</w:t>
            </w:r>
          </w:p>
          <w:p w:rsidR="00CA682E" w:rsidRPr="00CA682E" w:rsidRDefault="00CA682E" w:rsidP="00CA682E">
            <w:pPr>
              <w:contextualSpacing/>
              <w:jc w:val="both"/>
              <w:rPr>
                <w:rFonts w:eastAsia="Times New Roman" w:cs="Times New Roman"/>
                <w:color w:val="000000" w:themeColor="text1"/>
                <w:sz w:val="16"/>
                <w:szCs w:val="24"/>
                <w:lang w:eastAsia="en-US"/>
              </w:rPr>
            </w:pPr>
            <w:r w:rsidRPr="00CA682E">
              <w:rPr>
                <w:rFonts w:eastAsia="Times New Roman" w:cs="Times New Roman"/>
                <w:color w:val="000000" w:themeColor="text1"/>
                <w:sz w:val="16"/>
                <w:szCs w:val="24"/>
                <w:lang w:eastAsia="en-US"/>
              </w:rPr>
              <w:t>La creación del sistema de flujo de trabajo y seguimiento de la situación de los documentos por traducir, para la División Lingüística, tendrá como consecuencia:</w:t>
            </w:r>
          </w:p>
          <w:p w:rsidR="00CA682E" w:rsidRPr="00CA682E" w:rsidRDefault="00CA682E" w:rsidP="00CA682E">
            <w:pPr>
              <w:numPr>
                <w:ilvl w:val="0"/>
                <w:numId w:val="123"/>
              </w:numPr>
              <w:ind w:left="335" w:hanging="283"/>
              <w:contextualSpacing/>
              <w:jc w:val="both"/>
              <w:rPr>
                <w:rFonts w:eastAsia="Times New Roman" w:cs="Times New Roman"/>
                <w:color w:val="000000" w:themeColor="text1"/>
                <w:sz w:val="16"/>
                <w:lang w:eastAsia="en-US"/>
              </w:rPr>
            </w:pPr>
            <w:r w:rsidRPr="00CA682E">
              <w:rPr>
                <w:rFonts w:eastAsia="Times New Roman" w:cs="Times New Roman"/>
                <w:color w:val="000000" w:themeColor="text1"/>
                <w:sz w:val="16"/>
                <w:lang w:eastAsia="en-US"/>
              </w:rPr>
              <w:t>la disminución de los esfuerzos necesarios para que el personal informe sobre la situación de las peticiones de traducción, puesto que el sistema producirá informes automatizados;</w:t>
            </w:r>
          </w:p>
          <w:p w:rsidR="00CA682E" w:rsidRPr="00CA682E" w:rsidRDefault="00CA682E" w:rsidP="00CA682E">
            <w:pPr>
              <w:numPr>
                <w:ilvl w:val="0"/>
                <w:numId w:val="123"/>
              </w:numPr>
              <w:ind w:left="335" w:hanging="283"/>
              <w:contextualSpacing/>
              <w:jc w:val="both"/>
              <w:rPr>
                <w:rFonts w:eastAsia="Times New Roman" w:cs="Times New Roman"/>
                <w:color w:val="000000" w:themeColor="text1"/>
                <w:sz w:val="16"/>
                <w:lang w:eastAsia="en-US"/>
              </w:rPr>
            </w:pPr>
            <w:r w:rsidRPr="00CA682E">
              <w:rPr>
                <w:rFonts w:eastAsia="Times New Roman" w:cs="Times New Roman"/>
                <w:color w:val="000000" w:themeColor="text1"/>
                <w:sz w:val="16"/>
                <w:lang w:eastAsia="en-US"/>
              </w:rPr>
              <w:t>la capacidad de velar por que se alcancen los niveles de traducción previstos, gracias a la supervisión activa y la presentación de informes sobre la situación de cada petición de traducción.</w:t>
            </w:r>
          </w:p>
        </w:tc>
        <w:tc>
          <w:tcPr>
            <w:tcW w:w="1818" w:type="pct"/>
            <w:shd w:val="clear" w:color="auto" w:fill="auto"/>
          </w:tcPr>
          <w:p w:rsidR="00CA682E" w:rsidRPr="00CA682E" w:rsidRDefault="00CA682E" w:rsidP="00CA682E">
            <w:pPr>
              <w:rPr>
                <w:rFonts w:eastAsia="Times New Roman" w:cs="Times New Roman"/>
                <w:b/>
                <w:bCs/>
                <w:i/>
                <w:iCs/>
                <w:color w:val="000000" w:themeColor="text1"/>
                <w:sz w:val="16"/>
                <w:szCs w:val="16"/>
                <w:lang w:eastAsia="en-US"/>
              </w:rPr>
            </w:pPr>
            <w:r w:rsidRPr="00CA682E">
              <w:rPr>
                <w:rFonts w:eastAsia="Times New Roman" w:cs="Times New Roman"/>
                <w:b/>
                <w:bCs/>
                <w:i/>
                <w:iCs/>
                <w:color w:val="000000" w:themeColor="text1"/>
                <w:sz w:val="16"/>
                <w:szCs w:val="16"/>
                <w:lang w:eastAsia="en-US"/>
              </w:rPr>
              <w:t>Tras la puesta en funcionamiento de la configuración del sistema de ECM para la gestión de proveedores y contratos:</w:t>
            </w:r>
          </w:p>
          <w:p w:rsidR="00CA682E" w:rsidRPr="00CA682E" w:rsidRDefault="00CA682E" w:rsidP="00CA682E">
            <w:pPr>
              <w:rPr>
                <w:rFonts w:eastAsia="Times New Roman" w:cs="Times New Roman"/>
                <w:b/>
                <w:bCs/>
                <w:i/>
                <w:iCs/>
                <w:color w:val="000000" w:themeColor="text1"/>
                <w:sz w:val="16"/>
                <w:szCs w:val="16"/>
                <w:lang w:eastAsia="en-US"/>
              </w:rPr>
            </w:pPr>
          </w:p>
          <w:p w:rsidR="00CA682E" w:rsidRPr="00CA682E" w:rsidRDefault="00CA682E" w:rsidP="00CA682E">
            <w:pPr>
              <w:jc w:val="both"/>
              <w:rPr>
                <w:rFonts w:eastAsia="Times New Roman" w:cs="Times New Roman"/>
                <w:color w:val="000000" w:themeColor="text1"/>
                <w:sz w:val="16"/>
                <w:szCs w:val="24"/>
                <w:lang w:eastAsia="en-US"/>
              </w:rPr>
            </w:pPr>
            <w:r w:rsidRPr="00CA682E">
              <w:rPr>
                <w:rFonts w:eastAsia="Times New Roman" w:cs="Times New Roman"/>
                <w:color w:val="000000" w:themeColor="text1"/>
                <w:sz w:val="16"/>
                <w:szCs w:val="24"/>
                <w:lang w:eastAsia="en-US"/>
              </w:rPr>
              <w:t>La Sección de Adquisiciones dispondrá de una única fuente para la búsqueda de información relativa a las licitaciones en curso y finalizadas;  en consecuencia:</w:t>
            </w:r>
          </w:p>
          <w:p w:rsidR="00CA682E" w:rsidRPr="00CA682E" w:rsidRDefault="00CA682E" w:rsidP="00CA682E">
            <w:pPr>
              <w:numPr>
                <w:ilvl w:val="0"/>
                <w:numId w:val="123"/>
              </w:numPr>
              <w:contextualSpacing/>
              <w:jc w:val="both"/>
              <w:rPr>
                <w:rFonts w:eastAsia="Times New Roman" w:cs="Times New Roman"/>
                <w:color w:val="000000" w:themeColor="text1"/>
                <w:sz w:val="16"/>
                <w:lang w:eastAsia="en-US"/>
              </w:rPr>
            </w:pPr>
            <w:r w:rsidRPr="00CA682E">
              <w:rPr>
                <w:rFonts w:eastAsia="Times New Roman" w:cs="Times New Roman"/>
                <w:color w:val="000000" w:themeColor="text1"/>
                <w:sz w:val="16"/>
                <w:lang w:eastAsia="en-US"/>
              </w:rPr>
              <w:t>disminuirá el tiempo necesario para encontrar y recuperar información de actualidad;</w:t>
            </w:r>
          </w:p>
          <w:p w:rsidR="00CA682E" w:rsidRPr="00CA682E" w:rsidRDefault="00CA682E" w:rsidP="00CA682E">
            <w:pPr>
              <w:numPr>
                <w:ilvl w:val="0"/>
                <w:numId w:val="123"/>
              </w:numPr>
              <w:contextualSpacing/>
              <w:jc w:val="both"/>
              <w:rPr>
                <w:rFonts w:eastAsia="Times New Roman" w:cs="Times New Roman"/>
                <w:color w:val="000000" w:themeColor="text1"/>
                <w:sz w:val="16"/>
                <w:lang w:eastAsia="en-US"/>
              </w:rPr>
            </w:pPr>
            <w:r w:rsidRPr="00CA682E">
              <w:rPr>
                <w:rFonts w:eastAsia="Times New Roman" w:cs="Times New Roman"/>
                <w:color w:val="000000" w:themeColor="text1"/>
                <w:sz w:val="16"/>
                <w:lang w:eastAsia="en-US"/>
              </w:rPr>
              <w:t xml:space="preserve">disminuirán tanto el número de errores como la necesidad de modificación, debido a que la última versión de cada documento podrá reconocerse claramente. </w:t>
            </w:r>
          </w:p>
          <w:p w:rsidR="00CA682E" w:rsidRPr="00CA682E" w:rsidRDefault="00CA682E" w:rsidP="00CA682E">
            <w:pPr>
              <w:jc w:val="both"/>
              <w:rPr>
                <w:rFonts w:eastAsia="Times New Roman" w:cs="Times New Roman"/>
                <w:color w:val="000000" w:themeColor="text1"/>
                <w:sz w:val="16"/>
                <w:szCs w:val="24"/>
                <w:lang w:eastAsia="en-US"/>
              </w:rPr>
            </w:pPr>
            <w:r w:rsidRPr="00CA682E">
              <w:rPr>
                <w:rFonts w:eastAsia="Times New Roman" w:cs="Times New Roman"/>
                <w:color w:val="000000" w:themeColor="text1"/>
                <w:sz w:val="16"/>
                <w:szCs w:val="24"/>
                <w:lang w:eastAsia="en-US"/>
              </w:rPr>
              <w:t>La Sección de Adquisiciones dispondrá de un tablero único en el que se indicará el avance de las licitaciones activas y la información acerca de los plazos para volver a licitar los contratos existentes;  en consecuencia:</w:t>
            </w:r>
          </w:p>
          <w:p w:rsidR="00CA682E" w:rsidRPr="00CA682E" w:rsidRDefault="00CA682E" w:rsidP="00CA682E">
            <w:pPr>
              <w:numPr>
                <w:ilvl w:val="0"/>
                <w:numId w:val="123"/>
              </w:numPr>
              <w:contextualSpacing/>
              <w:jc w:val="both"/>
              <w:rPr>
                <w:rFonts w:eastAsia="Times New Roman" w:cs="Times New Roman"/>
                <w:b/>
                <w:bCs/>
                <w:i/>
                <w:iCs/>
                <w:color w:val="000000" w:themeColor="text1"/>
                <w:sz w:val="16"/>
                <w:szCs w:val="16"/>
                <w:lang w:eastAsia="en-US"/>
              </w:rPr>
            </w:pPr>
            <w:r w:rsidRPr="00CA682E">
              <w:rPr>
                <w:rFonts w:eastAsia="Times New Roman" w:cs="Times New Roman"/>
                <w:color w:val="000000" w:themeColor="text1"/>
                <w:sz w:val="16"/>
                <w:lang w:eastAsia="en-US"/>
              </w:rPr>
              <w:t>el personal podrá realizar un número mayor de tareas productivas gracias a una mejor planificación de las actividades de adquisición.</w:t>
            </w:r>
          </w:p>
        </w:tc>
        <w:tc>
          <w:tcPr>
            <w:tcW w:w="1364" w:type="pct"/>
          </w:tcPr>
          <w:p w:rsidR="00CA682E" w:rsidRPr="00CA682E" w:rsidRDefault="00CA682E" w:rsidP="00CA682E">
            <w:pPr>
              <w:rPr>
                <w:rFonts w:eastAsia="Times New Roman" w:cs="Times New Roman"/>
                <w:b/>
                <w:bCs/>
                <w:i/>
                <w:iCs/>
                <w:color w:val="000000" w:themeColor="text1"/>
                <w:sz w:val="16"/>
                <w:szCs w:val="16"/>
                <w:lang w:eastAsia="en-US"/>
              </w:rPr>
            </w:pPr>
          </w:p>
        </w:tc>
      </w:tr>
      <w:tr w:rsidR="00CA682E" w:rsidRPr="00CA682E" w:rsidTr="007B1DE4">
        <w:trPr>
          <w:trHeight w:val="564"/>
          <w:jc w:val="center"/>
        </w:trPr>
        <w:tc>
          <w:tcPr>
            <w:tcW w:w="1818" w:type="pct"/>
            <w:shd w:val="clear" w:color="auto" w:fill="auto"/>
          </w:tcPr>
          <w:p w:rsidR="00CA682E" w:rsidRPr="00CA682E" w:rsidRDefault="00CA682E" w:rsidP="00CA682E">
            <w:pPr>
              <w:ind w:left="318"/>
              <w:contextualSpacing/>
              <w:jc w:val="both"/>
              <w:rPr>
                <w:rFonts w:eastAsia="Times New Roman" w:cs="Times New Roman"/>
                <w:b/>
                <w:bCs/>
                <w:i/>
                <w:iCs/>
                <w:color w:val="000000" w:themeColor="text1"/>
                <w:sz w:val="16"/>
                <w:szCs w:val="16"/>
                <w:lang w:eastAsia="en-US"/>
              </w:rPr>
            </w:pPr>
          </w:p>
        </w:tc>
        <w:tc>
          <w:tcPr>
            <w:tcW w:w="1818" w:type="pct"/>
            <w:shd w:val="clear" w:color="auto" w:fill="auto"/>
          </w:tcPr>
          <w:p w:rsidR="00CA682E" w:rsidRPr="00CA682E" w:rsidRDefault="00CA682E" w:rsidP="00CA682E">
            <w:pPr>
              <w:rPr>
                <w:rFonts w:eastAsia="Times New Roman" w:cs="Times New Roman"/>
                <w:b/>
                <w:bCs/>
                <w:i/>
                <w:iCs/>
                <w:color w:val="000000" w:themeColor="text1"/>
                <w:sz w:val="16"/>
                <w:szCs w:val="16"/>
                <w:lang w:eastAsia="en-US"/>
              </w:rPr>
            </w:pPr>
            <w:r w:rsidRPr="00CA682E">
              <w:rPr>
                <w:rFonts w:eastAsia="Times New Roman" w:cs="Times New Roman"/>
                <w:b/>
                <w:bCs/>
                <w:i/>
                <w:iCs/>
                <w:color w:val="000000" w:themeColor="text1"/>
                <w:sz w:val="16"/>
                <w:szCs w:val="16"/>
                <w:lang w:eastAsia="en-US"/>
              </w:rPr>
              <w:t>Tras la puesta en funcionamiento de la configuración del sistema de ECM para los informes de misión</w:t>
            </w:r>
          </w:p>
          <w:p w:rsidR="00CA682E" w:rsidRPr="00CA682E" w:rsidRDefault="00CA682E" w:rsidP="00CA682E">
            <w:pPr>
              <w:jc w:val="both"/>
              <w:rPr>
                <w:rFonts w:eastAsia="Times New Roman" w:cs="Times New Roman"/>
                <w:color w:val="000000" w:themeColor="text1"/>
                <w:sz w:val="16"/>
                <w:szCs w:val="24"/>
                <w:lang w:eastAsia="en-US"/>
              </w:rPr>
            </w:pPr>
            <w:r w:rsidRPr="00CA682E">
              <w:rPr>
                <w:rFonts w:eastAsia="Times New Roman" w:cs="Times New Roman"/>
                <w:color w:val="000000" w:themeColor="text1"/>
                <w:sz w:val="16"/>
                <w:szCs w:val="24"/>
                <w:lang w:eastAsia="en-US"/>
              </w:rPr>
              <w:t>El contenido de los informes de misión, así como la información relativa a las misiones previstas, será susceptible de búsqueda en toda la Organización;  en consecuencia;</w:t>
            </w:r>
          </w:p>
          <w:p w:rsidR="00CA682E" w:rsidRPr="00CA682E" w:rsidRDefault="00CA682E" w:rsidP="00CA682E">
            <w:pPr>
              <w:numPr>
                <w:ilvl w:val="0"/>
                <w:numId w:val="123"/>
              </w:numPr>
              <w:ind w:left="318" w:hanging="318"/>
              <w:contextualSpacing/>
              <w:jc w:val="both"/>
              <w:rPr>
                <w:rFonts w:eastAsia="Times New Roman" w:cs="Times New Roman"/>
                <w:color w:val="000000" w:themeColor="text1"/>
                <w:sz w:val="16"/>
                <w:lang w:eastAsia="en-US"/>
              </w:rPr>
            </w:pPr>
            <w:r w:rsidRPr="00CA682E">
              <w:rPr>
                <w:rFonts w:eastAsia="Times New Roman" w:cs="Times New Roman"/>
                <w:color w:val="000000" w:themeColor="text1"/>
                <w:sz w:val="16"/>
                <w:lang w:eastAsia="en-US"/>
              </w:rPr>
              <w:t>podría reducirse el número de misiones, en el caso de que se superpongan los viajes o los puntos a tratar que figuran en las agendas de misión, lo que permitiría reducir los costos;</w:t>
            </w:r>
          </w:p>
          <w:p w:rsidR="00CA682E" w:rsidRPr="00CA682E" w:rsidRDefault="00CA682E" w:rsidP="00CA682E">
            <w:pPr>
              <w:numPr>
                <w:ilvl w:val="0"/>
                <w:numId w:val="123"/>
              </w:numPr>
              <w:ind w:left="318" w:hanging="318"/>
              <w:contextualSpacing/>
              <w:jc w:val="both"/>
              <w:rPr>
                <w:rFonts w:eastAsia="Times New Roman" w:cs="Times New Roman"/>
                <w:b/>
                <w:bCs/>
                <w:i/>
                <w:iCs/>
                <w:color w:val="000000" w:themeColor="text1"/>
                <w:sz w:val="16"/>
                <w:szCs w:val="16"/>
                <w:lang w:eastAsia="en-US"/>
              </w:rPr>
            </w:pPr>
            <w:r w:rsidRPr="00CA682E">
              <w:rPr>
                <w:rFonts w:eastAsia="Times New Roman" w:cs="Times New Roman"/>
                <w:color w:val="000000" w:themeColor="text1"/>
                <w:sz w:val="16"/>
                <w:lang w:eastAsia="en-US"/>
              </w:rPr>
              <w:t>las misiones resultarán más productivas porque el personal de la OMPI tendrá acceso a mayor cantidad de información relativa a misiones anteriores a un país u organización determinados, y estará preparado para responder a las preguntas pendientes que puedan haber sido formuladas en una misión anterior.</w:t>
            </w:r>
            <w:r w:rsidRPr="00CA682E">
              <w:rPr>
                <w:rFonts w:eastAsia="Times New Roman" w:cs="Times New Roman"/>
                <w:b/>
                <w:bCs/>
                <w:i/>
                <w:iCs/>
                <w:color w:val="000000" w:themeColor="text1"/>
                <w:sz w:val="16"/>
                <w:szCs w:val="16"/>
                <w:lang w:eastAsia="en-US"/>
              </w:rPr>
              <w:t xml:space="preserve">  </w:t>
            </w:r>
          </w:p>
        </w:tc>
        <w:tc>
          <w:tcPr>
            <w:tcW w:w="1364" w:type="pct"/>
          </w:tcPr>
          <w:p w:rsidR="00CA682E" w:rsidRPr="00CA682E" w:rsidRDefault="00CA682E" w:rsidP="00CA682E">
            <w:pPr>
              <w:rPr>
                <w:rFonts w:eastAsia="Times New Roman" w:cs="Times New Roman"/>
                <w:b/>
                <w:bCs/>
                <w:i/>
                <w:iCs/>
                <w:color w:val="000000" w:themeColor="text1"/>
                <w:sz w:val="16"/>
                <w:szCs w:val="16"/>
                <w:lang w:eastAsia="en-US"/>
              </w:rPr>
            </w:pPr>
          </w:p>
        </w:tc>
      </w:tr>
      <w:tr w:rsidR="00CA682E" w:rsidRPr="00CA682E" w:rsidTr="007B1DE4">
        <w:trPr>
          <w:trHeight w:val="564"/>
          <w:jc w:val="center"/>
        </w:trPr>
        <w:tc>
          <w:tcPr>
            <w:tcW w:w="1818" w:type="pct"/>
            <w:shd w:val="clear" w:color="auto" w:fill="auto"/>
          </w:tcPr>
          <w:p w:rsidR="00CA682E" w:rsidRPr="00CA682E" w:rsidRDefault="00CA682E" w:rsidP="000F09B8">
            <w:pPr>
              <w:keepNext/>
              <w:contextualSpacing/>
              <w:jc w:val="both"/>
              <w:rPr>
                <w:rFonts w:eastAsia="Times New Roman" w:cs="Times New Roman"/>
                <w:b/>
                <w:bCs/>
                <w:i/>
                <w:iCs/>
                <w:color w:val="000000" w:themeColor="text1"/>
                <w:sz w:val="16"/>
                <w:szCs w:val="16"/>
                <w:lang w:eastAsia="en-US"/>
              </w:rPr>
            </w:pPr>
          </w:p>
        </w:tc>
        <w:tc>
          <w:tcPr>
            <w:tcW w:w="1818" w:type="pct"/>
            <w:shd w:val="clear" w:color="auto" w:fill="auto"/>
          </w:tcPr>
          <w:p w:rsidR="00CA682E" w:rsidRPr="00CA682E" w:rsidRDefault="00CA682E" w:rsidP="000F09B8">
            <w:pPr>
              <w:keepNext/>
              <w:rPr>
                <w:rFonts w:eastAsia="Times New Roman" w:cs="Times New Roman"/>
                <w:b/>
                <w:bCs/>
                <w:i/>
                <w:iCs/>
                <w:color w:val="000000" w:themeColor="text1"/>
                <w:sz w:val="16"/>
                <w:szCs w:val="16"/>
                <w:lang w:eastAsia="en-US"/>
              </w:rPr>
            </w:pPr>
            <w:r w:rsidRPr="00CA682E">
              <w:rPr>
                <w:rFonts w:eastAsia="Times New Roman" w:cs="Times New Roman"/>
                <w:b/>
                <w:bCs/>
                <w:i/>
                <w:iCs/>
                <w:color w:val="000000" w:themeColor="text1"/>
                <w:sz w:val="16"/>
                <w:szCs w:val="16"/>
                <w:lang w:eastAsia="en-US"/>
              </w:rPr>
              <w:t>Tras la puesta en funcionamiento de la configuración del sistema de ECM para los registros electrónicos de RRHH del personal</w:t>
            </w:r>
          </w:p>
          <w:p w:rsidR="00CA682E" w:rsidRPr="00CA682E" w:rsidRDefault="00CA682E" w:rsidP="000F09B8">
            <w:pPr>
              <w:keepNext/>
              <w:ind w:left="35"/>
              <w:contextualSpacing/>
              <w:jc w:val="both"/>
              <w:rPr>
                <w:rFonts w:eastAsia="Times New Roman" w:cs="Times New Roman"/>
                <w:color w:val="000000" w:themeColor="text1"/>
                <w:sz w:val="16"/>
                <w:lang w:eastAsia="en-US"/>
              </w:rPr>
            </w:pPr>
            <w:r w:rsidRPr="00CA682E">
              <w:rPr>
                <w:rFonts w:eastAsia="Times New Roman" w:cs="Times New Roman"/>
                <w:color w:val="000000" w:themeColor="text1"/>
                <w:sz w:val="16"/>
                <w:lang w:eastAsia="en-US"/>
              </w:rPr>
              <w:t>El Departamento de Gestión de los Recursos Humanos dispondrá de un depósito único para almacenar los documentos relativos al personal, tanto para los documentos antiguos, que serán escaneados, como para la captura de documentos recientemente creados;  en consecuencia:</w:t>
            </w:r>
          </w:p>
          <w:p w:rsidR="00CA682E" w:rsidRPr="00CA682E" w:rsidRDefault="00CA682E" w:rsidP="000F09B8">
            <w:pPr>
              <w:keepNext/>
              <w:numPr>
                <w:ilvl w:val="0"/>
                <w:numId w:val="123"/>
              </w:numPr>
              <w:ind w:left="318" w:hanging="283"/>
              <w:contextualSpacing/>
              <w:jc w:val="both"/>
              <w:rPr>
                <w:rFonts w:eastAsia="Times New Roman" w:cs="Times New Roman"/>
                <w:color w:val="000000" w:themeColor="text1"/>
                <w:sz w:val="16"/>
                <w:lang w:eastAsia="en-US"/>
              </w:rPr>
            </w:pPr>
            <w:r w:rsidRPr="00CA682E">
              <w:rPr>
                <w:rFonts w:eastAsia="Times New Roman" w:cs="Times New Roman"/>
                <w:color w:val="000000" w:themeColor="text1"/>
                <w:sz w:val="16"/>
                <w:lang w:eastAsia="en-US"/>
              </w:rPr>
              <w:t>habrá continuidad en la captura, gestión y preservación de archivos clave de RRHH y documentos conexos.  El depósito único de información permitirá reducir el tiempo y los esfuerzos necesarios para que el personal de RRHH reconozca y recupere los documentos pertinentes necesarios para procesos esenciales en la Organización;</w:t>
            </w:r>
          </w:p>
          <w:p w:rsidR="00CA682E" w:rsidRPr="00CA682E" w:rsidRDefault="00CA682E" w:rsidP="000F09B8">
            <w:pPr>
              <w:keepNext/>
              <w:numPr>
                <w:ilvl w:val="0"/>
                <w:numId w:val="123"/>
              </w:numPr>
              <w:ind w:left="335" w:hanging="283"/>
              <w:contextualSpacing/>
              <w:jc w:val="both"/>
              <w:rPr>
                <w:rFonts w:eastAsia="Times New Roman" w:cs="Times New Roman"/>
                <w:b/>
                <w:bCs/>
                <w:i/>
                <w:iCs/>
                <w:color w:val="000000" w:themeColor="text1"/>
                <w:sz w:val="16"/>
                <w:szCs w:val="16"/>
                <w:lang w:eastAsia="en-US"/>
              </w:rPr>
            </w:pPr>
            <w:r w:rsidRPr="00CA682E">
              <w:rPr>
                <w:rFonts w:eastAsia="Times New Roman" w:cs="Times New Roman"/>
                <w:color w:val="000000" w:themeColor="text1"/>
                <w:sz w:val="16"/>
                <w:lang w:eastAsia="en-US"/>
              </w:rPr>
              <w:t>será posible reconocer claramente la versión más reciente de cada documento de RRHH relacionado con el personal de la OMPI, lo que reducirá el tiempo y el esfuerzo necesarios para reconocer la versión más reciente de cada documento, al igual que la necesidad de introducir modificaciones.</w:t>
            </w:r>
          </w:p>
        </w:tc>
        <w:tc>
          <w:tcPr>
            <w:tcW w:w="1364" w:type="pct"/>
          </w:tcPr>
          <w:p w:rsidR="00CA682E" w:rsidRPr="00CA682E" w:rsidRDefault="00CA682E" w:rsidP="000F09B8">
            <w:pPr>
              <w:keepNext/>
              <w:rPr>
                <w:rFonts w:eastAsia="Times New Roman" w:cs="Times New Roman"/>
                <w:b/>
                <w:bCs/>
                <w:i/>
                <w:iCs/>
                <w:color w:val="000000" w:themeColor="text1"/>
                <w:sz w:val="16"/>
                <w:szCs w:val="16"/>
                <w:lang w:eastAsia="en-US"/>
              </w:rPr>
            </w:pPr>
          </w:p>
        </w:tc>
      </w:tr>
    </w:tbl>
    <w:p w:rsidR="00CA682E" w:rsidRPr="00CA682E" w:rsidRDefault="00CA682E" w:rsidP="000F09B8">
      <w:pPr>
        <w:keepNext/>
        <w:rPr>
          <w:rFonts w:eastAsia="Times New Roman"/>
          <w:color w:val="000000" w:themeColor="text1"/>
          <w:szCs w:val="22"/>
          <w:lang w:eastAsia="en-US"/>
        </w:rPr>
      </w:pPr>
    </w:p>
    <w:p w:rsidR="00CA682E" w:rsidRPr="00CA682E" w:rsidRDefault="00CA682E" w:rsidP="00CA682E">
      <w:pPr>
        <w:rPr>
          <w:rFonts w:eastAsia="Times New Roman"/>
          <w:color w:val="000000" w:themeColor="text1"/>
          <w:szCs w:val="22"/>
          <w:lang w:eastAsia="en-US"/>
        </w:rPr>
      </w:pPr>
    </w:p>
    <w:p w:rsidR="00CA682E" w:rsidRPr="00CA682E" w:rsidRDefault="00CA682E" w:rsidP="00CA682E">
      <w:pPr>
        <w:rPr>
          <w:rFonts w:eastAsia="Times New Roman" w:cs="Times New Roman"/>
          <w:color w:val="000000" w:themeColor="text1"/>
          <w:sz w:val="20"/>
          <w:szCs w:val="24"/>
          <w:lang w:eastAsia="en-US"/>
        </w:rPr>
      </w:pPr>
      <w:r w:rsidRPr="00CA682E">
        <w:rPr>
          <w:rFonts w:eastAsia="Times New Roman" w:cs="Times New Roman"/>
          <w:color w:val="000000" w:themeColor="text1"/>
          <w:sz w:val="20"/>
          <w:szCs w:val="24"/>
          <w:lang w:eastAsia="en-US"/>
        </w:rPr>
        <w:t>UTILIZACIÓN DE LOS RECURSOS</w:t>
      </w:r>
      <w:r w:rsidRPr="00CA682E">
        <w:rPr>
          <w:rFonts w:eastAsia="Times New Roman" w:cs="Times New Roman"/>
          <w:color w:val="000000" w:themeColor="text1"/>
          <w:sz w:val="20"/>
          <w:szCs w:val="24"/>
          <w:vertAlign w:val="superscript"/>
          <w:lang w:eastAsia="en-US"/>
        </w:rPr>
        <w:footnoteReference w:id="174"/>
      </w:r>
    </w:p>
    <w:p w:rsidR="00CA682E" w:rsidRPr="00CA682E" w:rsidRDefault="00CA682E" w:rsidP="00CA682E">
      <w:pPr>
        <w:rPr>
          <w:rFonts w:eastAsia="Times New Roman" w:cs="Times New Roman"/>
          <w:color w:val="000000" w:themeColor="text1"/>
          <w:sz w:val="20"/>
          <w:szCs w:val="24"/>
          <w:lang w:eastAsia="en-US"/>
        </w:rPr>
      </w:pPr>
    </w:p>
    <w:p w:rsidR="00CA682E" w:rsidRPr="00CA682E" w:rsidRDefault="00CA682E" w:rsidP="00CA682E">
      <w:pPr>
        <w:keepNext/>
        <w:keepLines/>
        <w:tabs>
          <w:tab w:val="left" w:pos="3261"/>
        </w:tabs>
        <w:autoSpaceDE w:val="0"/>
        <w:autoSpaceDN w:val="0"/>
        <w:adjustRightInd w:val="0"/>
        <w:jc w:val="center"/>
        <w:rPr>
          <w:rFonts w:eastAsia="Times New Roman" w:cs="Times New Roman"/>
          <w:b/>
          <w:color w:val="000000" w:themeColor="text1"/>
          <w:sz w:val="20"/>
          <w:szCs w:val="22"/>
          <w:lang w:eastAsia="en-US"/>
        </w:rPr>
      </w:pPr>
      <w:r w:rsidRPr="00CA682E">
        <w:rPr>
          <w:rFonts w:eastAsia="Times New Roman" w:cs="Times New Roman"/>
          <w:b/>
          <w:color w:val="000000" w:themeColor="text1"/>
          <w:sz w:val="20"/>
          <w:szCs w:val="24"/>
          <w:lang w:eastAsia="en-US"/>
        </w:rPr>
        <w:t>Utilización del presupuesto del proyecto</w:t>
      </w:r>
      <w:r w:rsidRPr="00CA682E">
        <w:rPr>
          <w:rFonts w:eastAsia="Times New Roman" w:cs="Times New Roman"/>
          <w:b/>
          <w:color w:val="000000" w:themeColor="text1"/>
          <w:sz w:val="20"/>
          <w:szCs w:val="22"/>
          <w:lang w:eastAsia="en-US"/>
        </w:rPr>
        <w:t xml:space="preserve"> </w:t>
      </w:r>
    </w:p>
    <w:p w:rsidR="00CA682E" w:rsidRPr="00CA682E" w:rsidRDefault="00CA682E" w:rsidP="00CA682E">
      <w:pPr>
        <w:keepNext/>
        <w:keepLines/>
        <w:tabs>
          <w:tab w:val="left" w:pos="3261"/>
        </w:tabs>
        <w:autoSpaceDE w:val="0"/>
        <w:autoSpaceDN w:val="0"/>
        <w:adjustRightInd w:val="0"/>
        <w:spacing w:after="120"/>
        <w:jc w:val="center"/>
        <w:rPr>
          <w:rFonts w:eastAsia="Times New Roman" w:cs="Times New Roman"/>
          <w:i/>
          <w:iCs/>
          <w:color w:val="000000" w:themeColor="text1"/>
          <w:sz w:val="18"/>
          <w:szCs w:val="18"/>
          <w:lang w:eastAsia="en-US"/>
        </w:rPr>
      </w:pPr>
      <w:r w:rsidRPr="00CA682E">
        <w:rPr>
          <w:rFonts w:eastAsia="Times New Roman" w:cs="Times New Roman"/>
          <w:i/>
          <w:iCs/>
          <w:color w:val="000000" w:themeColor="text1"/>
          <w:sz w:val="18"/>
          <w:szCs w:val="18"/>
          <w:lang w:eastAsia="en-US"/>
        </w:rPr>
        <w:t>(</w:t>
      </w:r>
      <w:proofErr w:type="gramStart"/>
      <w:r w:rsidRPr="00CA682E">
        <w:rPr>
          <w:rFonts w:eastAsia="Times New Roman" w:cs="Times New Roman"/>
          <w:i/>
          <w:iCs/>
          <w:color w:val="000000" w:themeColor="text1"/>
          <w:sz w:val="18"/>
          <w:szCs w:val="18"/>
          <w:lang w:eastAsia="en-US"/>
        </w:rPr>
        <w:t>en</w:t>
      </w:r>
      <w:proofErr w:type="gramEnd"/>
      <w:r w:rsidRPr="00CA682E">
        <w:rPr>
          <w:rFonts w:eastAsia="Times New Roman" w:cs="Times New Roman"/>
          <w:i/>
          <w:iCs/>
          <w:color w:val="000000" w:themeColor="text1"/>
          <w:sz w:val="18"/>
          <w:szCs w:val="18"/>
          <w:lang w:eastAsia="en-US"/>
        </w:rPr>
        <w:t xml:space="preserve"> francos suizos, al 31 de diciembre de 2015)</w:t>
      </w:r>
    </w:p>
    <w:tbl>
      <w:tblPr>
        <w:tblpPr w:leftFromText="180" w:rightFromText="180" w:vertAnchor="text" w:horzAnchor="margin" w:tblpX="182" w:tblpY="17"/>
        <w:tblW w:w="48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39"/>
        <w:gridCol w:w="1562"/>
        <w:gridCol w:w="1564"/>
        <w:gridCol w:w="1564"/>
        <w:gridCol w:w="1714"/>
      </w:tblGrid>
      <w:tr w:rsidR="00CA682E" w:rsidRPr="00CA682E" w:rsidTr="007B1DE4">
        <w:trPr>
          <w:trHeight w:val="431"/>
        </w:trPr>
        <w:tc>
          <w:tcPr>
            <w:tcW w:w="157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keepNext/>
              <w:keepLines/>
              <w:autoSpaceDE w:val="0"/>
              <w:autoSpaceDN w:val="0"/>
              <w:adjustRightInd w:val="0"/>
              <w:spacing w:before="40" w:after="40"/>
              <w:ind w:left="-74" w:right="-60"/>
              <w:jc w:val="center"/>
              <w:rPr>
                <w:rFonts w:eastAsia="Times New Roman" w:cs="Times New Roman"/>
                <w:b/>
                <w:bCs/>
                <w:color w:val="000000" w:themeColor="text1"/>
                <w:sz w:val="16"/>
                <w:szCs w:val="16"/>
                <w:lang w:eastAsia="en-US"/>
              </w:rPr>
            </w:pPr>
            <w:r w:rsidRPr="00CA682E">
              <w:rPr>
                <w:rFonts w:eastAsia="Times New Roman" w:cs="Times New Roman"/>
                <w:b/>
                <w:bCs/>
                <w:color w:val="000000" w:themeColor="text1"/>
                <w:sz w:val="16"/>
                <w:szCs w:val="16"/>
                <w:lang w:eastAsia="en-US"/>
              </w:rPr>
              <w:t>Nombre del proyecto</w:t>
            </w:r>
          </w:p>
        </w:tc>
        <w:tc>
          <w:tcPr>
            <w:tcW w:w="83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keepNext/>
              <w:keepLines/>
              <w:autoSpaceDE w:val="0"/>
              <w:autoSpaceDN w:val="0"/>
              <w:adjustRightInd w:val="0"/>
              <w:spacing w:before="40" w:after="40"/>
              <w:ind w:left="-107" w:right="-108"/>
              <w:jc w:val="center"/>
              <w:rPr>
                <w:rFonts w:eastAsia="Times New Roman" w:cs="Times New Roman"/>
                <w:b/>
                <w:bCs/>
                <w:color w:val="000000" w:themeColor="text1"/>
                <w:sz w:val="16"/>
                <w:szCs w:val="16"/>
                <w:lang w:eastAsia="en-US"/>
              </w:rPr>
            </w:pPr>
            <w:r w:rsidRPr="00CA682E">
              <w:rPr>
                <w:rFonts w:eastAsia="Times New Roman" w:cs="Times New Roman"/>
                <w:b/>
                <w:bCs/>
                <w:color w:val="000000" w:themeColor="text1"/>
                <w:sz w:val="16"/>
                <w:szCs w:val="16"/>
                <w:lang w:eastAsia="en-US"/>
              </w:rPr>
              <w:t>Presupuesto del proyecto</w:t>
            </w:r>
          </w:p>
        </w:tc>
        <w:tc>
          <w:tcPr>
            <w:tcW w:w="837"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keepNext/>
              <w:keepLines/>
              <w:autoSpaceDE w:val="0"/>
              <w:autoSpaceDN w:val="0"/>
              <w:adjustRightInd w:val="0"/>
              <w:spacing w:before="40" w:after="40"/>
              <w:ind w:left="-108" w:right="-106"/>
              <w:jc w:val="center"/>
              <w:rPr>
                <w:rFonts w:eastAsia="Times New Roman" w:cs="Times New Roman"/>
                <w:b/>
                <w:bCs/>
                <w:color w:val="000000" w:themeColor="text1"/>
                <w:sz w:val="16"/>
                <w:szCs w:val="16"/>
                <w:lang w:eastAsia="en-US"/>
              </w:rPr>
            </w:pPr>
            <w:r w:rsidRPr="00CA682E">
              <w:rPr>
                <w:rFonts w:eastAsia="Times New Roman" w:cs="Times New Roman"/>
                <w:b/>
                <w:bCs/>
                <w:color w:val="000000" w:themeColor="text1"/>
                <w:sz w:val="16"/>
                <w:szCs w:val="16"/>
                <w:lang w:eastAsia="en-US"/>
              </w:rPr>
              <w:t>Gasto real hasta la fecha</w:t>
            </w:r>
          </w:p>
        </w:tc>
        <w:tc>
          <w:tcPr>
            <w:tcW w:w="837"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keepNext/>
              <w:keepLines/>
              <w:autoSpaceDE w:val="0"/>
              <w:autoSpaceDN w:val="0"/>
              <w:adjustRightInd w:val="0"/>
              <w:spacing w:before="40" w:after="40"/>
              <w:ind w:left="-109" w:right="-108"/>
              <w:jc w:val="center"/>
              <w:rPr>
                <w:rFonts w:eastAsia="Times New Roman" w:cs="Times New Roman"/>
                <w:b/>
                <w:bCs/>
                <w:color w:val="000000" w:themeColor="text1"/>
                <w:sz w:val="16"/>
                <w:szCs w:val="16"/>
                <w:lang w:eastAsia="en-US"/>
              </w:rPr>
            </w:pPr>
            <w:r w:rsidRPr="00CA682E">
              <w:rPr>
                <w:rFonts w:eastAsia="Times New Roman" w:cs="Times New Roman"/>
                <w:b/>
                <w:bCs/>
                <w:color w:val="000000" w:themeColor="text1"/>
                <w:sz w:val="16"/>
                <w:szCs w:val="16"/>
                <w:lang w:eastAsia="en-US"/>
              </w:rPr>
              <w:t>Utilización real del presupuesto</w:t>
            </w:r>
          </w:p>
        </w:tc>
        <w:tc>
          <w:tcPr>
            <w:tcW w:w="917"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keepNext/>
              <w:keepLines/>
              <w:autoSpaceDE w:val="0"/>
              <w:autoSpaceDN w:val="0"/>
              <w:adjustRightInd w:val="0"/>
              <w:spacing w:before="40" w:after="40"/>
              <w:ind w:left="-109" w:right="-73" w:firstLine="1"/>
              <w:jc w:val="center"/>
              <w:rPr>
                <w:rFonts w:eastAsia="Times New Roman" w:cs="Times New Roman"/>
                <w:b/>
                <w:bCs/>
                <w:color w:val="000000" w:themeColor="text1"/>
                <w:sz w:val="16"/>
                <w:szCs w:val="16"/>
                <w:lang w:eastAsia="en-US"/>
              </w:rPr>
            </w:pPr>
            <w:r w:rsidRPr="00CA682E">
              <w:rPr>
                <w:rFonts w:eastAsia="Times New Roman" w:cs="Times New Roman"/>
                <w:b/>
                <w:bCs/>
                <w:color w:val="000000" w:themeColor="text1"/>
                <w:sz w:val="16"/>
                <w:szCs w:val="16"/>
                <w:lang w:eastAsia="en-US"/>
              </w:rPr>
              <w:t>Índice de avance en la ejecución del proyecto</w:t>
            </w:r>
          </w:p>
        </w:tc>
      </w:tr>
      <w:tr w:rsidR="00CA682E" w:rsidRPr="00CA682E" w:rsidTr="007B1DE4">
        <w:trPr>
          <w:trHeight w:val="409"/>
        </w:trPr>
        <w:tc>
          <w:tcPr>
            <w:tcW w:w="1573"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line="260" w:lineRule="exact"/>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Proyecto de aplicación de la ECM</w:t>
            </w:r>
          </w:p>
        </w:tc>
        <w:tc>
          <w:tcPr>
            <w:tcW w:w="836"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line="260" w:lineRule="exact"/>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2.068.000</w:t>
            </w:r>
          </w:p>
        </w:tc>
        <w:tc>
          <w:tcPr>
            <w:tcW w:w="837"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line="260" w:lineRule="exact"/>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75.170</w:t>
            </w:r>
          </w:p>
        </w:tc>
        <w:tc>
          <w:tcPr>
            <w:tcW w:w="837"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line="260" w:lineRule="exact"/>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3,6%</w:t>
            </w:r>
          </w:p>
        </w:tc>
        <w:tc>
          <w:tcPr>
            <w:tcW w:w="917"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line="260" w:lineRule="exact"/>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3%</w:t>
            </w:r>
          </w:p>
        </w:tc>
      </w:tr>
    </w:tbl>
    <w:p w:rsidR="00CA682E" w:rsidRPr="00CA682E" w:rsidRDefault="00CA682E" w:rsidP="00CA682E">
      <w:pPr>
        <w:rPr>
          <w:rFonts w:eastAsia="Times New Roman"/>
          <w:color w:val="000000" w:themeColor="text1"/>
          <w:szCs w:val="22"/>
          <w:lang w:eastAsia="en-US"/>
        </w:rPr>
      </w:pPr>
    </w:p>
    <w:p w:rsidR="00CA682E" w:rsidRPr="00CA682E" w:rsidRDefault="00CA682E" w:rsidP="00CA682E">
      <w:pPr>
        <w:jc w:val="center"/>
        <w:rPr>
          <w:rFonts w:eastAsia="Times New Roman" w:cs="Times New Roman"/>
          <w:b/>
          <w:color w:val="000000" w:themeColor="text1"/>
          <w:sz w:val="20"/>
          <w:szCs w:val="22"/>
          <w:lang w:eastAsia="en-US"/>
        </w:rPr>
      </w:pPr>
      <w:r w:rsidRPr="00CA682E">
        <w:rPr>
          <w:rFonts w:eastAsia="Times New Roman" w:cs="Times New Roman"/>
          <w:b/>
          <w:color w:val="000000" w:themeColor="text1"/>
          <w:sz w:val="20"/>
          <w:szCs w:val="24"/>
          <w:lang w:eastAsia="en-US"/>
        </w:rPr>
        <w:t>Utilización del presupuesto del proyecto (por etapa)</w:t>
      </w:r>
    </w:p>
    <w:p w:rsidR="00CA682E" w:rsidRPr="00CA682E" w:rsidRDefault="00CA682E" w:rsidP="00CA682E">
      <w:pPr>
        <w:keepNext/>
        <w:keepLines/>
        <w:autoSpaceDE w:val="0"/>
        <w:autoSpaceDN w:val="0"/>
        <w:adjustRightInd w:val="0"/>
        <w:spacing w:after="120"/>
        <w:jc w:val="center"/>
        <w:rPr>
          <w:rFonts w:eastAsia="Times New Roman" w:cs="Times New Roman"/>
          <w:i/>
          <w:iCs/>
          <w:color w:val="000000" w:themeColor="text1"/>
          <w:sz w:val="18"/>
          <w:szCs w:val="18"/>
          <w:lang w:eastAsia="en-US"/>
        </w:rPr>
      </w:pPr>
      <w:r w:rsidRPr="00CA682E">
        <w:rPr>
          <w:rFonts w:eastAsia="Times New Roman" w:cs="Times New Roman"/>
          <w:i/>
          <w:iCs/>
          <w:color w:val="000000" w:themeColor="text1"/>
          <w:sz w:val="18"/>
          <w:szCs w:val="18"/>
          <w:lang w:eastAsia="en-US"/>
        </w:rPr>
        <w:t>(</w:t>
      </w:r>
      <w:proofErr w:type="gramStart"/>
      <w:r w:rsidRPr="00CA682E">
        <w:rPr>
          <w:rFonts w:eastAsia="Times New Roman" w:cs="Times New Roman"/>
          <w:i/>
          <w:iCs/>
          <w:color w:val="000000" w:themeColor="text1"/>
          <w:sz w:val="18"/>
          <w:szCs w:val="18"/>
          <w:lang w:eastAsia="en-US"/>
        </w:rPr>
        <w:t>en</w:t>
      </w:r>
      <w:proofErr w:type="gramEnd"/>
      <w:r w:rsidRPr="00CA682E">
        <w:rPr>
          <w:rFonts w:eastAsia="Times New Roman" w:cs="Times New Roman"/>
          <w:i/>
          <w:iCs/>
          <w:color w:val="000000" w:themeColor="text1"/>
          <w:sz w:val="18"/>
          <w:szCs w:val="18"/>
          <w:lang w:eastAsia="en-US"/>
        </w:rPr>
        <w:t xml:space="preserve"> francos suizos, al 31 de diciembre de 2015)</w:t>
      </w:r>
    </w:p>
    <w:tbl>
      <w:tblPr>
        <w:tblpPr w:leftFromText="180" w:rightFromText="180" w:vertAnchor="text" w:horzAnchor="margin" w:tblpX="182" w:tblpY="17"/>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99"/>
        <w:gridCol w:w="1577"/>
        <w:gridCol w:w="1575"/>
        <w:gridCol w:w="1575"/>
        <w:gridCol w:w="1838"/>
      </w:tblGrid>
      <w:tr w:rsidR="00CA682E" w:rsidRPr="00CA682E" w:rsidTr="007B1DE4">
        <w:trPr>
          <w:trHeight w:val="410"/>
        </w:trPr>
        <w:tc>
          <w:tcPr>
            <w:tcW w:w="1532"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keepNext/>
              <w:keepLines/>
              <w:autoSpaceDE w:val="0"/>
              <w:autoSpaceDN w:val="0"/>
              <w:adjustRightInd w:val="0"/>
              <w:spacing w:before="40" w:after="40"/>
              <w:ind w:left="-74" w:right="-60"/>
              <w:jc w:val="center"/>
              <w:rPr>
                <w:rFonts w:eastAsia="Times New Roman" w:cs="Times New Roman"/>
                <w:b/>
                <w:bCs/>
                <w:color w:val="000000" w:themeColor="text1"/>
                <w:sz w:val="16"/>
                <w:szCs w:val="16"/>
                <w:lang w:eastAsia="en-US"/>
              </w:rPr>
            </w:pPr>
            <w:r w:rsidRPr="00CA682E">
              <w:rPr>
                <w:rFonts w:eastAsia="Times New Roman" w:cs="Times New Roman"/>
                <w:b/>
                <w:bCs/>
                <w:color w:val="000000" w:themeColor="text1"/>
                <w:sz w:val="16"/>
                <w:szCs w:val="16"/>
                <w:lang w:eastAsia="en-US"/>
              </w:rPr>
              <w:t>Etapa fundamental</w:t>
            </w:r>
          </w:p>
        </w:tc>
        <w:tc>
          <w:tcPr>
            <w:tcW w:w="83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keepNext/>
              <w:keepLines/>
              <w:autoSpaceDE w:val="0"/>
              <w:autoSpaceDN w:val="0"/>
              <w:adjustRightInd w:val="0"/>
              <w:spacing w:before="40" w:after="40"/>
              <w:ind w:left="-107" w:right="-108"/>
              <w:jc w:val="center"/>
              <w:rPr>
                <w:rFonts w:eastAsia="Times New Roman" w:cs="Times New Roman"/>
                <w:b/>
                <w:bCs/>
                <w:color w:val="000000" w:themeColor="text1"/>
                <w:sz w:val="16"/>
                <w:szCs w:val="16"/>
                <w:lang w:eastAsia="en-US"/>
              </w:rPr>
            </w:pPr>
            <w:r w:rsidRPr="00CA682E">
              <w:rPr>
                <w:rFonts w:eastAsia="Times New Roman" w:cs="Times New Roman"/>
                <w:b/>
                <w:bCs/>
                <w:color w:val="000000" w:themeColor="text1"/>
                <w:sz w:val="16"/>
                <w:szCs w:val="16"/>
                <w:lang w:eastAsia="en-US"/>
              </w:rPr>
              <w:t>Presupuesto del proyecto</w:t>
            </w:r>
          </w:p>
        </w:tc>
        <w:tc>
          <w:tcPr>
            <w:tcW w:w="832"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keepNext/>
              <w:keepLines/>
              <w:autoSpaceDE w:val="0"/>
              <w:autoSpaceDN w:val="0"/>
              <w:adjustRightInd w:val="0"/>
              <w:spacing w:before="40" w:after="40"/>
              <w:ind w:left="-108" w:right="-106"/>
              <w:jc w:val="center"/>
              <w:rPr>
                <w:rFonts w:eastAsia="Times New Roman" w:cs="Times New Roman"/>
                <w:b/>
                <w:bCs/>
                <w:color w:val="000000" w:themeColor="text1"/>
                <w:sz w:val="16"/>
                <w:szCs w:val="16"/>
                <w:lang w:eastAsia="en-US"/>
              </w:rPr>
            </w:pPr>
            <w:r w:rsidRPr="00CA682E">
              <w:rPr>
                <w:rFonts w:eastAsia="Times New Roman" w:cs="Times New Roman"/>
                <w:b/>
                <w:bCs/>
                <w:color w:val="000000" w:themeColor="text1"/>
                <w:sz w:val="16"/>
                <w:szCs w:val="16"/>
                <w:lang w:eastAsia="en-US"/>
              </w:rPr>
              <w:t>Gasto real hasta la fecha</w:t>
            </w:r>
          </w:p>
        </w:tc>
        <w:tc>
          <w:tcPr>
            <w:tcW w:w="832"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keepNext/>
              <w:keepLines/>
              <w:autoSpaceDE w:val="0"/>
              <w:autoSpaceDN w:val="0"/>
              <w:adjustRightInd w:val="0"/>
              <w:spacing w:before="40" w:after="40"/>
              <w:ind w:left="-109" w:right="-108"/>
              <w:jc w:val="center"/>
              <w:rPr>
                <w:rFonts w:eastAsia="Times New Roman" w:cs="Times New Roman"/>
                <w:b/>
                <w:bCs/>
                <w:color w:val="000000" w:themeColor="text1"/>
                <w:sz w:val="16"/>
                <w:szCs w:val="16"/>
                <w:lang w:eastAsia="en-US"/>
              </w:rPr>
            </w:pPr>
            <w:r w:rsidRPr="00CA682E">
              <w:rPr>
                <w:rFonts w:eastAsia="Times New Roman" w:cs="Times New Roman"/>
                <w:b/>
                <w:bCs/>
                <w:color w:val="000000" w:themeColor="text1"/>
                <w:sz w:val="16"/>
                <w:szCs w:val="16"/>
                <w:lang w:eastAsia="en-US"/>
              </w:rPr>
              <w:t>Utilización real del presupuesto</w:t>
            </w:r>
          </w:p>
        </w:tc>
        <w:tc>
          <w:tcPr>
            <w:tcW w:w="97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keepNext/>
              <w:keepLines/>
              <w:autoSpaceDE w:val="0"/>
              <w:autoSpaceDN w:val="0"/>
              <w:adjustRightInd w:val="0"/>
              <w:spacing w:before="40" w:after="40"/>
              <w:ind w:left="-109" w:right="-73" w:firstLine="1"/>
              <w:jc w:val="center"/>
              <w:rPr>
                <w:rFonts w:eastAsia="Times New Roman" w:cs="Times New Roman"/>
                <w:b/>
                <w:bCs/>
                <w:color w:val="000000" w:themeColor="text1"/>
                <w:sz w:val="16"/>
                <w:szCs w:val="16"/>
                <w:lang w:eastAsia="en-US"/>
              </w:rPr>
            </w:pPr>
            <w:r w:rsidRPr="00CA682E">
              <w:rPr>
                <w:rFonts w:eastAsia="Times New Roman" w:cs="Times New Roman"/>
                <w:b/>
                <w:bCs/>
                <w:color w:val="000000" w:themeColor="text1"/>
                <w:sz w:val="16"/>
                <w:szCs w:val="16"/>
                <w:lang w:eastAsia="en-US"/>
              </w:rPr>
              <w:t>Índice de avance en la ejecución, por etapa</w:t>
            </w:r>
          </w:p>
        </w:tc>
      </w:tr>
      <w:tr w:rsidR="00CA682E" w:rsidRPr="00CA682E" w:rsidTr="007B1DE4">
        <w:trPr>
          <w:trHeight w:val="389"/>
        </w:trPr>
        <w:tc>
          <w:tcPr>
            <w:tcW w:w="1532"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Estudio y desarrollo del enfoque, incluida la selección de la tecnología para el sistema de ECM</w:t>
            </w:r>
          </w:p>
        </w:tc>
        <w:tc>
          <w:tcPr>
            <w:tcW w:w="833"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36.000</w:t>
            </w:r>
          </w:p>
        </w:tc>
        <w:tc>
          <w:tcPr>
            <w:tcW w:w="832"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36.000</w:t>
            </w:r>
          </w:p>
        </w:tc>
        <w:tc>
          <w:tcPr>
            <w:tcW w:w="832"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100%</w:t>
            </w:r>
          </w:p>
        </w:tc>
        <w:tc>
          <w:tcPr>
            <w:tcW w:w="971"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100%</w:t>
            </w:r>
          </w:p>
        </w:tc>
      </w:tr>
      <w:tr w:rsidR="00CA682E" w:rsidRPr="00CA682E" w:rsidTr="007B1DE4">
        <w:trPr>
          <w:trHeight w:val="389"/>
        </w:trPr>
        <w:tc>
          <w:tcPr>
            <w:tcW w:w="1532"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rPr>
                <w:rFonts w:eastAsia="Times New Roman" w:cs="Times New Roman"/>
                <w:color w:val="000000" w:themeColor="text1"/>
                <w:sz w:val="16"/>
                <w:szCs w:val="16"/>
                <w:lang w:eastAsia="en-US"/>
              </w:rPr>
            </w:pPr>
            <w:r w:rsidRPr="00CA682E">
              <w:rPr>
                <w:rFonts w:eastAsia="Times New Roman"/>
                <w:color w:val="000000" w:themeColor="text1"/>
                <w:sz w:val="16"/>
                <w:szCs w:val="16"/>
                <w:lang w:eastAsia="en-US"/>
              </w:rPr>
              <w:t>Creación de una nueva plataforma y actualización de la versión relativa a los expedientes y archivos existentes</w:t>
            </w:r>
          </w:p>
        </w:tc>
        <w:tc>
          <w:tcPr>
            <w:tcW w:w="833"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42.000</w:t>
            </w:r>
          </w:p>
        </w:tc>
        <w:tc>
          <w:tcPr>
            <w:tcW w:w="832"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39.170</w:t>
            </w:r>
          </w:p>
        </w:tc>
        <w:tc>
          <w:tcPr>
            <w:tcW w:w="832"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93%</w:t>
            </w:r>
          </w:p>
        </w:tc>
        <w:tc>
          <w:tcPr>
            <w:tcW w:w="971"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100%</w:t>
            </w:r>
          </w:p>
        </w:tc>
      </w:tr>
      <w:tr w:rsidR="00CA682E" w:rsidRPr="00CA682E" w:rsidTr="007B1DE4">
        <w:trPr>
          <w:trHeight w:val="389"/>
        </w:trPr>
        <w:tc>
          <w:tcPr>
            <w:tcW w:w="1532"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Adjudicación del contrato respecto del jefe del proyecto en el lado cliente y especialista en ECM</w:t>
            </w:r>
          </w:p>
        </w:tc>
        <w:tc>
          <w:tcPr>
            <w:tcW w:w="833"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400.000</w:t>
            </w:r>
          </w:p>
        </w:tc>
        <w:tc>
          <w:tcPr>
            <w:tcW w:w="832"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0</w:t>
            </w:r>
          </w:p>
        </w:tc>
        <w:tc>
          <w:tcPr>
            <w:tcW w:w="832"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0%</w:t>
            </w:r>
          </w:p>
        </w:tc>
        <w:tc>
          <w:tcPr>
            <w:tcW w:w="971"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w:t>
            </w:r>
          </w:p>
        </w:tc>
      </w:tr>
      <w:tr w:rsidR="00CA682E" w:rsidRPr="00CA682E" w:rsidTr="007B1DE4">
        <w:trPr>
          <w:trHeight w:val="389"/>
        </w:trPr>
        <w:tc>
          <w:tcPr>
            <w:tcW w:w="1532"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Gastos de alojamiento y mantenimiento del sistema a de ECM</w:t>
            </w:r>
          </w:p>
        </w:tc>
        <w:tc>
          <w:tcPr>
            <w:tcW w:w="833"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1.298.000</w:t>
            </w:r>
          </w:p>
        </w:tc>
        <w:tc>
          <w:tcPr>
            <w:tcW w:w="832"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0</w:t>
            </w:r>
          </w:p>
        </w:tc>
        <w:tc>
          <w:tcPr>
            <w:tcW w:w="832"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0%</w:t>
            </w:r>
          </w:p>
        </w:tc>
        <w:tc>
          <w:tcPr>
            <w:tcW w:w="971"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w:t>
            </w:r>
          </w:p>
        </w:tc>
      </w:tr>
      <w:tr w:rsidR="00CA682E" w:rsidRPr="00CA682E" w:rsidTr="007B1DE4">
        <w:trPr>
          <w:trHeight w:val="389"/>
        </w:trPr>
        <w:tc>
          <w:tcPr>
            <w:tcW w:w="1532"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 xml:space="preserve">Instalación &amp; configuración de base </w:t>
            </w:r>
          </w:p>
        </w:tc>
        <w:tc>
          <w:tcPr>
            <w:tcW w:w="833"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205.000</w:t>
            </w:r>
          </w:p>
        </w:tc>
        <w:tc>
          <w:tcPr>
            <w:tcW w:w="832"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0</w:t>
            </w:r>
          </w:p>
        </w:tc>
        <w:tc>
          <w:tcPr>
            <w:tcW w:w="832"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0%</w:t>
            </w:r>
          </w:p>
        </w:tc>
        <w:tc>
          <w:tcPr>
            <w:tcW w:w="971"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w:t>
            </w:r>
          </w:p>
        </w:tc>
      </w:tr>
      <w:tr w:rsidR="00CA682E" w:rsidRPr="00CA682E" w:rsidTr="007B1DE4">
        <w:trPr>
          <w:trHeight w:val="389"/>
        </w:trPr>
        <w:tc>
          <w:tcPr>
            <w:tcW w:w="1532"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Proyecto 1:  Gestión de peticiones de traducción</w:t>
            </w:r>
          </w:p>
        </w:tc>
        <w:tc>
          <w:tcPr>
            <w:tcW w:w="833"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58.000</w:t>
            </w:r>
          </w:p>
        </w:tc>
        <w:tc>
          <w:tcPr>
            <w:tcW w:w="832"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0</w:t>
            </w:r>
          </w:p>
        </w:tc>
        <w:tc>
          <w:tcPr>
            <w:tcW w:w="832"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0%</w:t>
            </w:r>
          </w:p>
        </w:tc>
        <w:tc>
          <w:tcPr>
            <w:tcW w:w="971"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w:t>
            </w:r>
          </w:p>
        </w:tc>
      </w:tr>
      <w:tr w:rsidR="00CA682E" w:rsidRPr="00CA682E" w:rsidTr="007B1DE4">
        <w:trPr>
          <w:trHeight w:val="389"/>
        </w:trPr>
        <w:tc>
          <w:tcPr>
            <w:tcW w:w="1532"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 xml:space="preserve">Proyecto 2:  Correspondencia </w:t>
            </w:r>
            <w:r w:rsidRPr="00CA682E">
              <w:rPr>
                <w:rFonts w:eastAsia="Times New Roman" w:cs="Times New Roman"/>
                <w:color w:val="000000" w:themeColor="text1"/>
                <w:sz w:val="16"/>
                <w:szCs w:val="16"/>
                <w:lang w:eastAsia="en-US"/>
              </w:rPr>
              <w:lastRenderedPageBreak/>
              <w:t xml:space="preserve">entrante de la Oficina del Director General </w:t>
            </w:r>
          </w:p>
        </w:tc>
        <w:tc>
          <w:tcPr>
            <w:tcW w:w="833"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lastRenderedPageBreak/>
              <w:t>80.000</w:t>
            </w:r>
          </w:p>
        </w:tc>
        <w:tc>
          <w:tcPr>
            <w:tcW w:w="832"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0</w:t>
            </w:r>
          </w:p>
        </w:tc>
        <w:tc>
          <w:tcPr>
            <w:tcW w:w="832"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0%</w:t>
            </w:r>
          </w:p>
        </w:tc>
        <w:tc>
          <w:tcPr>
            <w:tcW w:w="971"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w:t>
            </w:r>
          </w:p>
        </w:tc>
      </w:tr>
      <w:tr w:rsidR="00CA682E" w:rsidRPr="00CA682E" w:rsidTr="007B1DE4">
        <w:trPr>
          <w:trHeight w:val="389"/>
        </w:trPr>
        <w:tc>
          <w:tcPr>
            <w:tcW w:w="1532"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lastRenderedPageBreak/>
              <w:t xml:space="preserve">Proyecto 3:  Gestión de proveedores y contratos </w:t>
            </w:r>
          </w:p>
        </w:tc>
        <w:tc>
          <w:tcPr>
            <w:tcW w:w="833"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46.000</w:t>
            </w:r>
          </w:p>
        </w:tc>
        <w:tc>
          <w:tcPr>
            <w:tcW w:w="832"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0</w:t>
            </w:r>
          </w:p>
        </w:tc>
        <w:tc>
          <w:tcPr>
            <w:tcW w:w="832"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0%</w:t>
            </w:r>
          </w:p>
        </w:tc>
        <w:tc>
          <w:tcPr>
            <w:tcW w:w="971"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w:t>
            </w:r>
          </w:p>
        </w:tc>
      </w:tr>
      <w:tr w:rsidR="00CA682E" w:rsidRPr="00CA682E" w:rsidTr="007B1DE4">
        <w:trPr>
          <w:trHeight w:val="389"/>
        </w:trPr>
        <w:tc>
          <w:tcPr>
            <w:tcW w:w="1532"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 xml:space="preserve">Proyecto 4:  Informes de misión </w:t>
            </w:r>
          </w:p>
        </w:tc>
        <w:tc>
          <w:tcPr>
            <w:tcW w:w="833"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37.000</w:t>
            </w:r>
          </w:p>
        </w:tc>
        <w:tc>
          <w:tcPr>
            <w:tcW w:w="832"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0</w:t>
            </w:r>
          </w:p>
        </w:tc>
        <w:tc>
          <w:tcPr>
            <w:tcW w:w="832"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0%</w:t>
            </w:r>
          </w:p>
        </w:tc>
        <w:tc>
          <w:tcPr>
            <w:tcW w:w="971"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w:t>
            </w:r>
          </w:p>
        </w:tc>
      </w:tr>
      <w:tr w:rsidR="00CA682E" w:rsidRPr="00CA682E" w:rsidTr="007B1DE4">
        <w:trPr>
          <w:trHeight w:val="389"/>
        </w:trPr>
        <w:tc>
          <w:tcPr>
            <w:tcW w:w="1532"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Proyecto 5:   expedientes de RRHH del personal</w:t>
            </w:r>
          </w:p>
        </w:tc>
        <w:tc>
          <w:tcPr>
            <w:tcW w:w="833"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140.000</w:t>
            </w:r>
          </w:p>
        </w:tc>
        <w:tc>
          <w:tcPr>
            <w:tcW w:w="832"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0</w:t>
            </w:r>
          </w:p>
        </w:tc>
        <w:tc>
          <w:tcPr>
            <w:tcW w:w="832"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0%</w:t>
            </w:r>
          </w:p>
        </w:tc>
        <w:tc>
          <w:tcPr>
            <w:tcW w:w="971"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w:t>
            </w:r>
          </w:p>
        </w:tc>
      </w:tr>
      <w:tr w:rsidR="00CA682E" w:rsidRPr="00CA682E" w:rsidTr="007B1DE4">
        <w:trPr>
          <w:trHeight w:val="389"/>
        </w:trPr>
        <w:tc>
          <w:tcPr>
            <w:tcW w:w="1532"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 xml:space="preserve">Proyecto 6:  Capacidades de ECM en toda la Organización </w:t>
            </w:r>
          </w:p>
        </w:tc>
        <w:tc>
          <w:tcPr>
            <w:tcW w:w="833"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46.000</w:t>
            </w:r>
          </w:p>
        </w:tc>
        <w:tc>
          <w:tcPr>
            <w:tcW w:w="832"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0</w:t>
            </w:r>
          </w:p>
        </w:tc>
        <w:tc>
          <w:tcPr>
            <w:tcW w:w="832"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0%</w:t>
            </w:r>
          </w:p>
        </w:tc>
        <w:tc>
          <w:tcPr>
            <w:tcW w:w="971"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w:t>
            </w:r>
          </w:p>
        </w:tc>
      </w:tr>
      <w:tr w:rsidR="00CA682E" w:rsidRPr="00CA682E" w:rsidTr="007B1DE4">
        <w:trPr>
          <w:trHeight w:val="389"/>
        </w:trPr>
        <w:tc>
          <w:tcPr>
            <w:tcW w:w="1532"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keepNext/>
              <w:keepLines/>
              <w:autoSpaceDE w:val="0"/>
              <w:autoSpaceDN w:val="0"/>
              <w:adjustRightInd w:val="0"/>
              <w:spacing w:after="40"/>
              <w:rPr>
                <w:rFonts w:eastAsia="Times New Roman" w:cs="Times New Roman"/>
                <w:b/>
                <w:color w:val="000000" w:themeColor="text1"/>
                <w:sz w:val="16"/>
                <w:szCs w:val="16"/>
                <w:lang w:eastAsia="en-US"/>
              </w:rPr>
            </w:pPr>
            <w:r w:rsidRPr="00CA682E">
              <w:rPr>
                <w:rFonts w:eastAsia="Times New Roman" w:cs="Times New Roman"/>
                <w:b/>
                <w:color w:val="000000" w:themeColor="text1"/>
                <w:sz w:val="16"/>
                <w:szCs w:val="16"/>
                <w:lang w:eastAsia="en-US"/>
              </w:rPr>
              <w:t>Total</w:t>
            </w:r>
          </w:p>
        </w:tc>
        <w:tc>
          <w:tcPr>
            <w:tcW w:w="83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keepNext/>
              <w:keepLines/>
              <w:autoSpaceDE w:val="0"/>
              <w:autoSpaceDN w:val="0"/>
              <w:adjustRightInd w:val="0"/>
              <w:spacing w:after="40"/>
              <w:jc w:val="center"/>
              <w:rPr>
                <w:rFonts w:eastAsia="Times New Roman" w:cs="Times New Roman"/>
                <w:b/>
                <w:color w:val="000000" w:themeColor="text1"/>
                <w:sz w:val="16"/>
                <w:szCs w:val="16"/>
                <w:lang w:eastAsia="en-US"/>
              </w:rPr>
            </w:pPr>
            <w:r w:rsidRPr="00CA682E">
              <w:rPr>
                <w:rFonts w:eastAsia="Times New Roman" w:cs="Times New Roman"/>
                <w:b/>
                <w:color w:val="000000" w:themeColor="text1"/>
                <w:sz w:val="16"/>
                <w:szCs w:val="16"/>
                <w:lang w:eastAsia="en-US"/>
              </w:rPr>
              <w:t>2.068.000</w:t>
            </w:r>
          </w:p>
        </w:tc>
        <w:tc>
          <w:tcPr>
            <w:tcW w:w="832"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keepNext/>
              <w:keepLines/>
              <w:autoSpaceDE w:val="0"/>
              <w:autoSpaceDN w:val="0"/>
              <w:adjustRightInd w:val="0"/>
              <w:spacing w:after="40"/>
              <w:jc w:val="center"/>
              <w:rPr>
                <w:rFonts w:eastAsia="Times New Roman" w:cs="Times New Roman"/>
                <w:b/>
                <w:color w:val="000000" w:themeColor="text1"/>
                <w:sz w:val="16"/>
                <w:szCs w:val="16"/>
                <w:lang w:eastAsia="en-US"/>
              </w:rPr>
            </w:pPr>
            <w:r w:rsidRPr="00CA682E">
              <w:rPr>
                <w:rFonts w:eastAsia="Times New Roman" w:cs="Times New Roman"/>
                <w:b/>
                <w:color w:val="000000" w:themeColor="text1"/>
                <w:sz w:val="16"/>
                <w:szCs w:val="16"/>
                <w:lang w:eastAsia="en-US"/>
              </w:rPr>
              <w:t>75.170</w:t>
            </w:r>
          </w:p>
        </w:tc>
        <w:tc>
          <w:tcPr>
            <w:tcW w:w="832"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CA682E" w:rsidRPr="00CA682E" w:rsidRDefault="00CA682E" w:rsidP="00CA682E">
            <w:pPr>
              <w:keepNext/>
              <w:keepLines/>
              <w:autoSpaceDE w:val="0"/>
              <w:autoSpaceDN w:val="0"/>
              <w:adjustRightInd w:val="0"/>
              <w:spacing w:after="40"/>
              <w:jc w:val="center"/>
              <w:rPr>
                <w:rFonts w:eastAsia="Times New Roman" w:cs="Times New Roman"/>
                <w:b/>
                <w:color w:val="000000" w:themeColor="text1"/>
                <w:sz w:val="16"/>
                <w:szCs w:val="16"/>
                <w:lang w:eastAsia="en-US"/>
              </w:rPr>
            </w:pPr>
          </w:p>
        </w:tc>
        <w:tc>
          <w:tcPr>
            <w:tcW w:w="971"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CA682E" w:rsidRPr="00CA682E" w:rsidRDefault="00CA682E" w:rsidP="00CA682E">
            <w:pPr>
              <w:keepNext/>
              <w:keepLines/>
              <w:autoSpaceDE w:val="0"/>
              <w:autoSpaceDN w:val="0"/>
              <w:adjustRightInd w:val="0"/>
              <w:spacing w:after="40"/>
              <w:jc w:val="center"/>
              <w:rPr>
                <w:rFonts w:eastAsia="Times New Roman" w:cs="Times New Roman"/>
                <w:b/>
                <w:color w:val="000000" w:themeColor="text1"/>
                <w:sz w:val="16"/>
                <w:szCs w:val="16"/>
                <w:lang w:eastAsia="en-US"/>
              </w:rPr>
            </w:pPr>
          </w:p>
        </w:tc>
      </w:tr>
    </w:tbl>
    <w:p w:rsidR="00CA682E" w:rsidRPr="00CA682E" w:rsidRDefault="00CA682E" w:rsidP="00CA682E">
      <w:pPr>
        <w:rPr>
          <w:rFonts w:eastAsia="Times New Roman"/>
          <w:color w:val="000000" w:themeColor="text1"/>
          <w:szCs w:val="22"/>
          <w:lang w:eastAsia="en-US"/>
        </w:rPr>
      </w:pPr>
    </w:p>
    <w:p w:rsidR="00CA682E" w:rsidRPr="00CA682E" w:rsidRDefault="00CA682E" w:rsidP="00CA682E">
      <w:pPr>
        <w:keepNext/>
        <w:keepLines/>
        <w:tabs>
          <w:tab w:val="left" w:pos="3261"/>
        </w:tabs>
        <w:autoSpaceDE w:val="0"/>
        <w:autoSpaceDN w:val="0"/>
        <w:adjustRightInd w:val="0"/>
        <w:jc w:val="center"/>
        <w:rPr>
          <w:rFonts w:eastAsia="Times New Roman" w:cs="Times New Roman"/>
          <w:b/>
          <w:color w:val="000000" w:themeColor="text1"/>
          <w:sz w:val="20"/>
          <w:szCs w:val="22"/>
          <w:lang w:eastAsia="en-US"/>
        </w:rPr>
      </w:pPr>
    </w:p>
    <w:p w:rsidR="00CA682E" w:rsidRPr="00CA682E" w:rsidRDefault="00CA682E" w:rsidP="00CA682E">
      <w:pPr>
        <w:keepNext/>
        <w:keepLines/>
        <w:tabs>
          <w:tab w:val="left" w:pos="3261"/>
        </w:tabs>
        <w:autoSpaceDE w:val="0"/>
        <w:autoSpaceDN w:val="0"/>
        <w:adjustRightInd w:val="0"/>
        <w:jc w:val="center"/>
        <w:rPr>
          <w:rFonts w:eastAsia="Times New Roman" w:cs="Times New Roman"/>
          <w:b/>
          <w:color w:val="000000" w:themeColor="text1"/>
          <w:sz w:val="20"/>
          <w:szCs w:val="22"/>
          <w:lang w:eastAsia="en-US"/>
        </w:rPr>
      </w:pPr>
      <w:r w:rsidRPr="00CA682E">
        <w:rPr>
          <w:rFonts w:eastAsia="Times New Roman" w:cs="Times New Roman"/>
          <w:b/>
          <w:color w:val="000000" w:themeColor="text1"/>
          <w:sz w:val="20"/>
          <w:szCs w:val="24"/>
          <w:lang w:eastAsia="en-US"/>
        </w:rPr>
        <w:t>Utilización del presupuesto del proyecto (por categoría de costo)</w:t>
      </w:r>
    </w:p>
    <w:p w:rsidR="00CA682E" w:rsidRPr="00CA682E" w:rsidRDefault="00CA682E" w:rsidP="00CA682E">
      <w:pPr>
        <w:keepNext/>
        <w:keepLines/>
        <w:tabs>
          <w:tab w:val="left" w:pos="3261"/>
        </w:tabs>
        <w:autoSpaceDE w:val="0"/>
        <w:autoSpaceDN w:val="0"/>
        <w:adjustRightInd w:val="0"/>
        <w:spacing w:after="120"/>
        <w:jc w:val="center"/>
        <w:rPr>
          <w:rFonts w:eastAsia="Times New Roman" w:cs="Times New Roman"/>
          <w:i/>
          <w:iCs/>
          <w:color w:val="000000" w:themeColor="text1"/>
          <w:sz w:val="18"/>
          <w:szCs w:val="18"/>
          <w:lang w:eastAsia="en-US"/>
        </w:rPr>
      </w:pPr>
      <w:r w:rsidRPr="00CA682E">
        <w:rPr>
          <w:rFonts w:eastAsia="Times New Roman" w:cs="Times New Roman"/>
          <w:i/>
          <w:iCs/>
          <w:color w:val="000000" w:themeColor="text1"/>
          <w:sz w:val="18"/>
          <w:szCs w:val="18"/>
          <w:lang w:eastAsia="en-US"/>
        </w:rPr>
        <w:t>(</w:t>
      </w:r>
      <w:proofErr w:type="gramStart"/>
      <w:r w:rsidRPr="00CA682E">
        <w:rPr>
          <w:rFonts w:eastAsia="Times New Roman" w:cs="Times New Roman"/>
          <w:i/>
          <w:iCs/>
          <w:color w:val="000000" w:themeColor="text1"/>
          <w:sz w:val="18"/>
          <w:szCs w:val="18"/>
          <w:lang w:eastAsia="en-US"/>
        </w:rPr>
        <w:t>en</w:t>
      </w:r>
      <w:proofErr w:type="gramEnd"/>
      <w:r w:rsidRPr="00CA682E">
        <w:rPr>
          <w:rFonts w:eastAsia="Times New Roman" w:cs="Times New Roman"/>
          <w:i/>
          <w:iCs/>
          <w:color w:val="000000" w:themeColor="text1"/>
          <w:sz w:val="18"/>
          <w:szCs w:val="18"/>
          <w:lang w:eastAsia="en-US"/>
        </w:rPr>
        <w:t xml:space="preserve"> francos suizo, al 31 de diciembre de 2015)</w:t>
      </w:r>
    </w:p>
    <w:tbl>
      <w:tblPr>
        <w:tblW w:w="4665"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1"/>
        <w:gridCol w:w="1840"/>
        <w:gridCol w:w="1840"/>
        <w:gridCol w:w="1999"/>
      </w:tblGrid>
      <w:tr w:rsidR="00CA682E" w:rsidRPr="00CA682E" w:rsidTr="007B1DE4">
        <w:trPr>
          <w:trHeight w:val="569"/>
        </w:trPr>
        <w:tc>
          <w:tcPr>
            <w:tcW w:w="182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keepNext/>
              <w:keepLines/>
              <w:autoSpaceDE w:val="0"/>
              <w:autoSpaceDN w:val="0"/>
              <w:adjustRightInd w:val="0"/>
              <w:spacing w:before="40" w:after="40" w:line="260" w:lineRule="exact"/>
              <w:ind w:left="-74" w:right="-60"/>
              <w:jc w:val="center"/>
              <w:rPr>
                <w:rFonts w:eastAsia="Times New Roman" w:cs="Times New Roman"/>
                <w:b/>
                <w:bCs/>
                <w:color w:val="000000" w:themeColor="text1"/>
                <w:sz w:val="16"/>
                <w:szCs w:val="16"/>
                <w:lang w:eastAsia="en-US"/>
              </w:rPr>
            </w:pPr>
            <w:r w:rsidRPr="00CA682E">
              <w:rPr>
                <w:rFonts w:eastAsia="Times New Roman" w:cs="Times New Roman"/>
                <w:b/>
                <w:bCs/>
                <w:color w:val="000000" w:themeColor="text1"/>
                <w:sz w:val="16"/>
                <w:szCs w:val="16"/>
                <w:lang w:eastAsia="en-US"/>
              </w:rPr>
              <w:t>Categoría de costo</w:t>
            </w:r>
          </w:p>
        </w:tc>
        <w:tc>
          <w:tcPr>
            <w:tcW w:w="103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keepNext/>
              <w:keepLines/>
              <w:autoSpaceDE w:val="0"/>
              <w:autoSpaceDN w:val="0"/>
              <w:adjustRightInd w:val="0"/>
              <w:spacing w:before="40" w:after="40" w:line="260" w:lineRule="exact"/>
              <w:ind w:left="-107" w:right="-108"/>
              <w:jc w:val="center"/>
              <w:rPr>
                <w:rFonts w:eastAsia="Times New Roman" w:cs="Times New Roman"/>
                <w:b/>
                <w:bCs/>
                <w:color w:val="000000" w:themeColor="text1"/>
                <w:sz w:val="16"/>
                <w:szCs w:val="16"/>
                <w:lang w:eastAsia="en-US"/>
              </w:rPr>
            </w:pPr>
            <w:r w:rsidRPr="00CA682E">
              <w:rPr>
                <w:rFonts w:eastAsia="Times New Roman" w:cs="Times New Roman"/>
                <w:b/>
                <w:bCs/>
                <w:color w:val="000000" w:themeColor="text1"/>
                <w:sz w:val="16"/>
                <w:szCs w:val="16"/>
                <w:lang w:eastAsia="en-US"/>
              </w:rPr>
              <w:t>Presupuesto del proyecto</w:t>
            </w:r>
          </w:p>
        </w:tc>
        <w:tc>
          <w:tcPr>
            <w:tcW w:w="103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keepNext/>
              <w:keepLines/>
              <w:autoSpaceDE w:val="0"/>
              <w:autoSpaceDN w:val="0"/>
              <w:adjustRightInd w:val="0"/>
              <w:spacing w:before="40" w:after="40" w:line="260" w:lineRule="exact"/>
              <w:ind w:left="-108"/>
              <w:jc w:val="center"/>
              <w:rPr>
                <w:rFonts w:eastAsia="Times New Roman" w:cs="Times New Roman"/>
                <w:b/>
                <w:bCs/>
                <w:color w:val="000000" w:themeColor="text1"/>
                <w:sz w:val="16"/>
                <w:szCs w:val="16"/>
                <w:lang w:eastAsia="en-US"/>
              </w:rPr>
            </w:pPr>
            <w:r w:rsidRPr="00CA682E">
              <w:rPr>
                <w:rFonts w:eastAsia="Times New Roman" w:cs="Times New Roman"/>
                <w:b/>
                <w:bCs/>
                <w:color w:val="000000" w:themeColor="text1"/>
                <w:sz w:val="16"/>
                <w:szCs w:val="16"/>
                <w:lang w:eastAsia="en-US"/>
              </w:rPr>
              <w:t>Gasto real hasta la fecha</w:t>
            </w:r>
          </w:p>
        </w:tc>
        <w:tc>
          <w:tcPr>
            <w:tcW w:w="111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keepNext/>
              <w:keepLines/>
              <w:autoSpaceDE w:val="0"/>
              <w:autoSpaceDN w:val="0"/>
              <w:adjustRightInd w:val="0"/>
              <w:spacing w:before="40" w:after="40" w:line="260" w:lineRule="exact"/>
              <w:ind w:left="-109"/>
              <w:jc w:val="center"/>
              <w:rPr>
                <w:rFonts w:eastAsia="Times New Roman" w:cs="Times New Roman"/>
                <w:b/>
                <w:bCs/>
                <w:color w:val="000000" w:themeColor="text1"/>
                <w:sz w:val="16"/>
                <w:szCs w:val="16"/>
                <w:lang w:eastAsia="en-US"/>
              </w:rPr>
            </w:pPr>
            <w:r w:rsidRPr="00CA682E">
              <w:rPr>
                <w:rFonts w:eastAsia="Times New Roman" w:cs="Times New Roman"/>
                <w:b/>
                <w:bCs/>
                <w:color w:val="000000" w:themeColor="text1"/>
                <w:sz w:val="16"/>
                <w:szCs w:val="16"/>
                <w:lang w:eastAsia="en-US"/>
              </w:rPr>
              <w:t>Utilización real del presupuesto</w:t>
            </w:r>
          </w:p>
        </w:tc>
      </w:tr>
      <w:tr w:rsidR="00CA682E" w:rsidRPr="00CA682E" w:rsidTr="007B1DE4">
        <w:tc>
          <w:tcPr>
            <w:tcW w:w="1820"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autoSpaceDE w:val="0"/>
              <w:autoSpaceDN w:val="0"/>
              <w:adjustRightInd w:val="0"/>
              <w:spacing w:before="40" w:after="40"/>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Servicios contractuales individuales</w:t>
            </w:r>
          </w:p>
        </w:tc>
        <w:tc>
          <w:tcPr>
            <w:tcW w:w="1030"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autoSpaceDE w:val="0"/>
              <w:autoSpaceDN w:val="0"/>
              <w:adjustRightInd w:val="0"/>
              <w:spacing w:before="40" w:after="40" w:line="260" w:lineRule="exact"/>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400.000</w:t>
            </w:r>
          </w:p>
        </w:tc>
        <w:tc>
          <w:tcPr>
            <w:tcW w:w="1030"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autoSpaceDE w:val="0"/>
              <w:autoSpaceDN w:val="0"/>
              <w:adjustRightInd w:val="0"/>
              <w:spacing w:before="40" w:after="40" w:line="260" w:lineRule="exact"/>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36.000</w:t>
            </w:r>
          </w:p>
        </w:tc>
        <w:tc>
          <w:tcPr>
            <w:tcW w:w="1119"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autoSpaceDE w:val="0"/>
              <w:autoSpaceDN w:val="0"/>
              <w:adjustRightInd w:val="0"/>
              <w:spacing w:before="40" w:after="40" w:line="260" w:lineRule="exact"/>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9%</w:t>
            </w:r>
          </w:p>
        </w:tc>
      </w:tr>
      <w:tr w:rsidR="00CA682E" w:rsidRPr="00CA682E" w:rsidTr="007B1DE4">
        <w:tc>
          <w:tcPr>
            <w:tcW w:w="1820"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autoSpaceDE w:val="0"/>
              <w:autoSpaceDN w:val="0"/>
              <w:adjustRightInd w:val="0"/>
              <w:spacing w:before="40" w:after="40"/>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Servicios contractuales</w:t>
            </w:r>
          </w:p>
        </w:tc>
        <w:tc>
          <w:tcPr>
            <w:tcW w:w="1030"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autoSpaceDE w:val="0"/>
              <w:autoSpaceDN w:val="0"/>
              <w:adjustRightInd w:val="0"/>
              <w:spacing w:before="40" w:after="40" w:line="260" w:lineRule="exact"/>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690.000</w:t>
            </w:r>
          </w:p>
        </w:tc>
        <w:tc>
          <w:tcPr>
            <w:tcW w:w="1030"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39.170</w:t>
            </w:r>
          </w:p>
        </w:tc>
        <w:tc>
          <w:tcPr>
            <w:tcW w:w="1119"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6%</w:t>
            </w:r>
          </w:p>
        </w:tc>
      </w:tr>
      <w:tr w:rsidR="00CA682E" w:rsidRPr="00CA682E" w:rsidTr="007B1DE4">
        <w:tc>
          <w:tcPr>
            <w:tcW w:w="1820"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autoSpaceDE w:val="0"/>
              <w:autoSpaceDN w:val="0"/>
              <w:adjustRightInd w:val="0"/>
              <w:spacing w:before="40" w:after="40"/>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 xml:space="preserve">Apoyo del programa informático </w:t>
            </w:r>
            <w:proofErr w:type="spellStart"/>
            <w:r w:rsidRPr="00CA682E">
              <w:rPr>
                <w:rFonts w:eastAsia="Times New Roman" w:cs="Times New Roman"/>
                <w:color w:val="000000" w:themeColor="text1"/>
                <w:sz w:val="16"/>
                <w:szCs w:val="16"/>
                <w:lang w:eastAsia="en-US"/>
              </w:rPr>
              <w:t>OpenText</w:t>
            </w:r>
            <w:proofErr w:type="spellEnd"/>
            <w:r w:rsidRPr="00CA682E">
              <w:rPr>
                <w:rFonts w:eastAsia="Times New Roman" w:cs="Times New Roman"/>
                <w:color w:val="000000" w:themeColor="text1"/>
                <w:sz w:val="16"/>
                <w:szCs w:val="16"/>
                <w:lang w:eastAsia="en-US"/>
              </w:rPr>
              <w:t xml:space="preserve"> (gastos de mantenimiento) </w:t>
            </w:r>
          </w:p>
        </w:tc>
        <w:tc>
          <w:tcPr>
            <w:tcW w:w="1030"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autoSpaceDE w:val="0"/>
              <w:autoSpaceDN w:val="0"/>
              <w:adjustRightInd w:val="0"/>
              <w:spacing w:before="40" w:after="40" w:line="260" w:lineRule="exact"/>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514.000</w:t>
            </w:r>
          </w:p>
        </w:tc>
        <w:tc>
          <w:tcPr>
            <w:tcW w:w="1030"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0</w:t>
            </w:r>
          </w:p>
        </w:tc>
        <w:tc>
          <w:tcPr>
            <w:tcW w:w="1119"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0%</w:t>
            </w:r>
          </w:p>
        </w:tc>
      </w:tr>
      <w:tr w:rsidR="00CA682E" w:rsidRPr="00CA682E" w:rsidTr="007B1DE4">
        <w:tc>
          <w:tcPr>
            <w:tcW w:w="1820"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autoSpaceDE w:val="0"/>
              <w:autoSpaceDN w:val="0"/>
              <w:adjustRightInd w:val="0"/>
              <w:spacing w:before="40" w:after="40"/>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Alojamiento (CICE)</w:t>
            </w:r>
          </w:p>
        </w:tc>
        <w:tc>
          <w:tcPr>
            <w:tcW w:w="1030"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autoSpaceDE w:val="0"/>
              <w:autoSpaceDN w:val="0"/>
              <w:adjustRightInd w:val="0"/>
              <w:spacing w:before="40" w:after="40" w:line="260" w:lineRule="exact"/>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144.000</w:t>
            </w:r>
          </w:p>
        </w:tc>
        <w:tc>
          <w:tcPr>
            <w:tcW w:w="1030"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0</w:t>
            </w:r>
          </w:p>
        </w:tc>
        <w:tc>
          <w:tcPr>
            <w:tcW w:w="1119"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0%</w:t>
            </w:r>
          </w:p>
        </w:tc>
      </w:tr>
      <w:tr w:rsidR="00CA682E" w:rsidRPr="00CA682E" w:rsidTr="007B1DE4">
        <w:tc>
          <w:tcPr>
            <w:tcW w:w="1820"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autoSpaceDE w:val="0"/>
              <w:autoSpaceDN w:val="0"/>
              <w:adjustRightInd w:val="0"/>
              <w:rPr>
                <w:rFonts w:eastAsia="Batang"/>
                <w:color w:val="000000" w:themeColor="text1"/>
                <w:sz w:val="16"/>
                <w:szCs w:val="16"/>
                <w:lang w:eastAsia="ja-JP"/>
              </w:rPr>
            </w:pPr>
            <w:r w:rsidRPr="00CA682E">
              <w:rPr>
                <w:rFonts w:eastAsia="Batang"/>
                <w:color w:val="000000" w:themeColor="text1"/>
                <w:sz w:val="16"/>
                <w:szCs w:val="16"/>
                <w:lang w:eastAsia="ja-JP"/>
              </w:rPr>
              <w:t>Diversos e imprevistos</w:t>
            </w:r>
          </w:p>
          <w:p w:rsidR="00CA682E" w:rsidRPr="00CA682E" w:rsidRDefault="00CA682E" w:rsidP="00CA682E">
            <w:pPr>
              <w:autoSpaceDE w:val="0"/>
              <w:autoSpaceDN w:val="0"/>
              <w:adjustRightInd w:val="0"/>
              <w:spacing w:before="40" w:after="40"/>
              <w:rPr>
                <w:rFonts w:eastAsia="Times New Roman" w:cs="Times New Roman"/>
                <w:color w:val="000000" w:themeColor="text1"/>
                <w:sz w:val="16"/>
                <w:szCs w:val="16"/>
                <w:lang w:eastAsia="en-US"/>
              </w:rPr>
            </w:pPr>
          </w:p>
        </w:tc>
        <w:tc>
          <w:tcPr>
            <w:tcW w:w="1030"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autoSpaceDE w:val="0"/>
              <w:autoSpaceDN w:val="0"/>
              <w:adjustRightInd w:val="0"/>
              <w:spacing w:before="40" w:after="40" w:line="260" w:lineRule="exact"/>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320.000</w:t>
            </w:r>
          </w:p>
        </w:tc>
        <w:tc>
          <w:tcPr>
            <w:tcW w:w="1030"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0</w:t>
            </w:r>
          </w:p>
        </w:tc>
        <w:tc>
          <w:tcPr>
            <w:tcW w:w="1119"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0%</w:t>
            </w:r>
          </w:p>
        </w:tc>
      </w:tr>
      <w:tr w:rsidR="00CA682E" w:rsidRPr="00CA682E" w:rsidTr="007B1DE4">
        <w:tc>
          <w:tcPr>
            <w:tcW w:w="182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autoSpaceDE w:val="0"/>
              <w:autoSpaceDN w:val="0"/>
              <w:adjustRightInd w:val="0"/>
              <w:spacing w:before="40" w:after="40" w:line="260" w:lineRule="exact"/>
              <w:rPr>
                <w:rFonts w:eastAsia="Times New Roman" w:cs="Times New Roman"/>
                <w:b/>
                <w:color w:val="000000" w:themeColor="text1"/>
                <w:sz w:val="16"/>
                <w:szCs w:val="16"/>
                <w:lang w:eastAsia="en-US"/>
              </w:rPr>
            </w:pPr>
            <w:r w:rsidRPr="00CA682E">
              <w:rPr>
                <w:rFonts w:eastAsia="Times New Roman" w:cs="Times New Roman"/>
                <w:b/>
                <w:color w:val="000000" w:themeColor="text1"/>
                <w:sz w:val="16"/>
                <w:szCs w:val="16"/>
                <w:lang w:eastAsia="en-US"/>
              </w:rPr>
              <w:t>Total</w:t>
            </w:r>
          </w:p>
        </w:tc>
        <w:tc>
          <w:tcPr>
            <w:tcW w:w="103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autoSpaceDE w:val="0"/>
              <w:autoSpaceDN w:val="0"/>
              <w:adjustRightInd w:val="0"/>
              <w:spacing w:before="40" w:after="40" w:line="260" w:lineRule="exact"/>
              <w:jc w:val="center"/>
              <w:rPr>
                <w:rFonts w:eastAsia="Times New Roman" w:cs="Times New Roman"/>
                <w:b/>
                <w:color w:val="000000" w:themeColor="text1"/>
                <w:sz w:val="16"/>
                <w:szCs w:val="16"/>
                <w:lang w:eastAsia="en-US"/>
              </w:rPr>
            </w:pPr>
            <w:r w:rsidRPr="00CA682E">
              <w:rPr>
                <w:rFonts w:eastAsia="Times New Roman" w:cs="Times New Roman"/>
                <w:b/>
                <w:color w:val="000000" w:themeColor="text1"/>
                <w:sz w:val="16"/>
                <w:szCs w:val="16"/>
                <w:lang w:eastAsia="en-US"/>
              </w:rPr>
              <w:t>2.068.000</w:t>
            </w:r>
          </w:p>
        </w:tc>
        <w:tc>
          <w:tcPr>
            <w:tcW w:w="103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autoSpaceDE w:val="0"/>
              <w:autoSpaceDN w:val="0"/>
              <w:adjustRightInd w:val="0"/>
              <w:spacing w:before="40" w:after="40" w:line="260" w:lineRule="exact"/>
              <w:jc w:val="center"/>
              <w:rPr>
                <w:rFonts w:eastAsia="Times New Roman" w:cs="Times New Roman"/>
                <w:b/>
                <w:color w:val="000000" w:themeColor="text1"/>
                <w:sz w:val="16"/>
                <w:szCs w:val="16"/>
                <w:lang w:eastAsia="en-US"/>
              </w:rPr>
            </w:pPr>
            <w:r w:rsidRPr="00CA682E">
              <w:rPr>
                <w:rFonts w:eastAsia="Times New Roman" w:cs="Times New Roman"/>
                <w:b/>
                <w:color w:val="000000" w:themeColor="text1"/>
                <w:sz w:val="16"/>
                <w:szCs w:val="16"/>
                <w:lang w:eastAsia="en-US"/>
              </w:rPr>
              <w:t>75.170</w:t>
            </w:r>
          </w:p>
        </w:tc>
        <w:tc>
          <w:tcPr>
            <w:tcW w:w="1119"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CA682E" w:rsidRPr="00CA682E" w:rsidRDefault="00CA682E" w:rsidP="00CA682E">
            <w:pPr>
              <w:autoSpaceDE w:val="0"/>
              <w:autoSpaceDN w:val="0"/>
              <w:adjustRightInd w:val="0"/>
              <w:spacing w:before="40" w:after="40" w:line="260" w:lineRule="exact"/>
              <w:jc w:val="center"/>
              <w:rPr>
                <w:rFonts w:eastAsia="Times New Roman" w:cs="Times New Roman"/>
                <w:b/>
                <w:color w:val="000000" w:themeColor="text1"/>
                <w:sz w:val="16"/>
                <w:szCs w:val="16"/>
                <w:lang w:eastAsia="en-US"/>
              </w:rPr>
            </w:pPr>
          </w:p>
        </w:tc>
      </w:tr>
    </w:tbl>
    <w:p w:rsidR="00CA682E" w:rsidRPr="00CA682E" w:rsidRDefault="00CA682E" w:rsidP="00CA682E">
      <w:pPr>
        <w:spacing w:after="200" w:line="276" w:lineRule="auto"/>
        <w:rPr>
          <w:rFonts w:eastAsia="Times New Roman"/>
          <w:color w:val="000000" w:themeColor="text1"/>
          <w:szCs w:val="22"/>
          <w:lang w:eastAsia="en-US"/>
        </w:rPr>
      </w:pPr>
      <w:r w:rsidRPr="00CA682E">
        <w:rPr>
          <w:rFonts w:eastAsia="Times New Roman"/>
          <w:color w:val="000000" w:themeColor="text1"/>
          <w:szCs w:val="22"/>
          <w:lang w:eastAsia="en-US"/>
        </w:rPr>
        <w:br w:type="page"/>
      </w:r>
    </w:p>
    <w:p w:rsidR="00CA682E" w:rsidRPr="00CA682E" w:rsidRDefault="00CA682E" w:rsidP="00CA682E">
      <w:pPr>
        <w:rPr>
          <w:rFonts w:eastAsia="Times New Roman"/>
          <w:color w:val="000000" w:themeColor="text1"/>
          <w:sz w:val="20"/>
          <w:lang w:eastAsia="en-US"/>
        </w:rPr>
      </w:pPr>
      <w:r w:rsidRPr="00CA682E">
        <w:rPr>
          <w:rFonts w:eastAsia="Times New Roman"/>
          <w:color w:val="000000" w:themeColor="text1"/>
          <w:sz w:val="20"/>
          <w:lang w:eastAsia="en-US"/>
        </w:rPr>
        <w:lastRenderedPageBreak/>
        <w:t>CALENDARIO DEL PROYECTO, POR ETAPA</w:t>
      </w:r>
    </w:p>
    <w:p w:rsidR="00CA682E" w:rsidRPr="00CA682E" w:rsidRDefault="00CA682E" w:rsidP="00CA682E">
      <w:pPr>
        <w:autoSpaceDE w:val="0"/>
        <w:autoSpaceDN w:val="0"/>
        <w:jc w:val="both"/>
        <w:rPr>
          <w:rFonts w:eastAsia="Times New Roman" w:cs="Times New Roman"/>
          <w:color w:val="000000" w:themeColor="text1"/>
          <w:sz w:val="20"/>
          <w:szCs w:val="24"/>
          <w:lang w:eastAsia="en-US"/>
        </w:rPr>
      </w:pPr>
    </w:p>
    <w:tbl>
      <w:tblPr>
        <w:tblW w:w="9520" w:type="dxa"/>
        <w:jc w:val="center"/>
        <w:tblInd w:w="93" w:type="dxa"/>
        <w:tblLook w:val="04A0" w:firstRow="1" w:lastRow="0" w:firstColumn="1" w:lastColumn="0" w:noHBand="0" w:noVBand="1"/>
      </w:tblPr>
      <w:tblGrid>
        <w:gridCol w:w="2060"/>
        <w:gridCol w:w="403"/>
        <w:gridCol w:w="480"/>
        <w:gridCol w:w="480"/>
        <w:gridCol w:w="480"/>
        <w:gridCol w:w="480"/>
        <w:gridCol w:w="480"/>
        <w:gridCol w:w="480"/>
        <w:gridCol w:w="480"/>
        <w:gridCol w:w="480"/>
        <w:gridCol w:w="480"/>
        <w:gridCol w:w="480"/>
        <w:gridCol w:w="480"/>
        <w:gridCol w:w="480"/>
        <w:gridCol w:w="480"/>
        <w:gridCol w:w="480"/>
        <w:gridCol w:w="480"/>
      </w:tblGrid>
      <w:tr w:rsidR="00CA682E" w:rsidRPr="00CA682E" w:rsidTr="007B1DE4">
        <w:trPr>
          <w:trHeight w:val="270"/>
          <w:tblHeader/>
          <w:jc w:val="center"/>
        </w:trPr>
        <w:tc>
          <w:tcPr>
            <w:tcW w:w="2060" w:type="dxa"/>
            <w:tcBorders>
              <w:top w:val="nil"/>
              <w:left w:val="nil"/>
              <w:bottom w:val="nil"/>
              <w:right w:val="nil"/>
            </w:tcBorders>
            <w:shd w:val="clear" w:color="auto" w:fill="auto"/>
            <w:noWrap/>
            <w:vAlign w:val="bottom"/>
            <w:hideMark/>
          </w:tcPr>
          <w:p w:rsidR="00CA682E" w:rsidRPr="00CA682E" w:rsidRDefault="00CA682E" w:rsidP="00CA682E">
            <w:pPr>
              <w:rPr>
                <w:rFonts w:eastAsia="Times New Roman"/>
                <w:color w:val="000000" w:themeColor="text1"/>
                <w:sz w:val="16"/>
                <w:szCs w:val="16"/>
                <w:lang w:eastAsia="en-US"/>
              </w:rPr>
            </w:pPr>
          </w:p>
        </w:tc>
        <w:tc>
          <w:tcPr>
            <w:tcW w:w="1700" w:type="dxa"/>
            <w:gridSpan w:val="4"/>
            <w:tcBorders>
              <w:top w:val="single" w:sz="8" w:space="0" w:color="auto"/>
              <w:left w:val="single" w:sz="8" w:space="0" w:color="auto"/>
              <w:bottom w:val="single" w:sz="4" w:space="0" w:color="auto"/>
              <w:right w:val="single" w:sz="8" w:space="0" w:color="000000"/>
            </w:tcBorders>
            <w:shd w:val="clear" w:color="auto" w:fill="C6D9F1" w:themeFill="text2" w:themeFillTint="33"/>
            <w:noWrap/>
            <w:vAlign w:val="bottom"/>
            <w:hideMark/>
          </w:tcPr>
          <w:p w:rsidR="00CA682E" w:rsidRPr="00CA682E" w:rsidRDefault="00CA682E" w:rsidP="00CA682E">
            <w:pPr>
              <w:jc w:val="center"/>
              <w:rPr>
                <w:rFonts w:eastAsia="Times New Roman"/>
                <w:b/>
                <w:bCs/>
                <w:color w:val="000000" w:themeColor="text1"/>
                <w:sz w:val="16"/>
                <w:szCs w:val="16"/>
                <w:lang w:eastAsia="en-US"/>
              </w:rPr>
            </w:pPr>
            <w:r w:rsidRPr="00CA682E">
              <w:rPr>
                <w:rFonts w:eastAsia="Times New Roman"/>
                <w:b/>
                <w:bCs/>
                <w:color w:val="000000" w:themeColor="text1"/>
                <w:sz w:val="16"/>
                <w:szCs w:val="16"/>
                <w:lang w:eastAsia="en-US"/>
              </w:rPr>
              <w:t>2014</w:t>
            </w:r>
          </w:p>
        </w:tc>
        <w:tc>
          <w:tcPr>
            <w:tcW w:w="1920" w:type="dxa"/>
            <w:gridSpan w:val="4"/>
            <w:tcBorders>
              <w:top w:val="single" w:sz="8" w:space="0" w:color="auto"/>
              <w:left w:val="nil"/>
              <w:bottom w:val="single" w:sz="4" w:space="0" w:color="auto"/>
              <w:right w:val="single" w:sz="8" w:space="0" w:color="000000"/>
            </w:tcBorders>
            <w:shd w:val="clear" w:color="auto" w:fill="C6D9F1" w:themeFill="text2" w:themeFillTint="33"/>
            <w:noWrap/>
            <w:vAlign w:val="bottom"/>
            <w:hideMark/>
          </w:tcPr>
          <w:p w:rsidR="00CA682E" w:rsidRPr="00CA682E" w:rsidRDefault="00CA682E" w:rsidP="00CA682E">
            <w:pPr>
              <w:jc w:val="center"/>
              <w:rPr>
                <w:rFonts w:eastAsia="Times New Roman"/>
                <w:b/>
                <w:bCs/>
                <w:color w:val="000000" w:themeColor="text1"/>
                <w:sz w:val="16"/>
                <w:szCs w:val="16"/>
                <w:lang w:eastAsia="en-US"/>
              </w:rPr>
            </w:pPr>
            <w:r w:rsidRPr="00CA682E">
              <w:rPr>
                <w:rFonts w:eastAsia="Times New Roman"/>
                <w:b/>
                <w:bCs/>
                <w:color w:val="000000" w:themeColor="text1"/>
                <w:sz w:val="16"/>
                <w:szCs w:val="16"/>
                <w:lang w:eastAsia="en-US"/>
              </w:rPr>
              <w:t>2015</w:t>
            </w:r>
          </w:p>
        </w:tc>
        <w:tc>
          <w:tcPr>
            <w:tcW w:w="1920" w:type="dxa"/>
            <w:gridSpan w:val="4"/>
            <w:tcBorders>
              <w:top w:val="single" w:sz="8" w:space="0" w:color="auto"/>
              <w:left w:val="nil"/>
              <w:bottom w:val="single" w:sz="4" w:space="0" w:color="auto"/>
              <w:right w:val="single" w:sz="8" w:space="0" w:color="000000"/>
            </w:tcBorders>
            <w:shd w:val="clear" w:color="auto" w:fill="C6D9F1" w:themeFill="text2" w:themeFillTint="33"/>
            <w:noWrap/>
            <w:vAlign w:val="bottom"/>
            <w:hideMark/>
          </w:tcPr>
          <w:p w:rsidR="00CA682E" w:rsidRPr="00CA682E" w:rsidRDefault="00CA682E" w:rsidP="00CA682E">
            <w:pPr>
              <w:jc w:val="center"/>
              <w:rPr>
                <w:rFonts w:eastAsia="Times New Roman"/>
                <w:b/>
                <w:bCs/>
                <w:color w:val="000000" w:themeColor="text1"/>
                <w:sz w:val="16"/>
                <w:szCs w:val="16"/>
                <w:lang w:eastAsia="en-US"/>
              </w:rPr>
            </w:pPr>
            <w:r w:rsidRPr="00CA682E">
              <w:rPr>
                <w:rFonts w:eastAsia="Times New Roman"/>
                <w:b/>
                <w:bCs/>
                <w:color w:val="000000" w:themeColor="text1"/>
                <w:sz w:val="16"/>
                <w:szCs w:val="16"/>
                <w:lang w:eastAsia="en-US"/>
              </w:rPr>
              <w:t>2016</w:t>
            </w:r>
          </w:p>
        </w:tc>
        <w:tc>
          <w:tcPr>
            <w:tcW w:w="1920" w:type="dxa"/>
            <w:gridSpan w:val="4"/>
            <w:tcBorders>
              <w:top w:val="single" w:sz="8" w:space="0" w:color="auto"/>
              <w:left w:val="nil"/>
              <w:bottom w:val="single" w:sz="4" w:space="0" w:color="auto"/>
              <w:right w:val="single" w:sz="8" w:space="0" w:color="000000"/>
            </w:tcBorders>
            <w:shd w:val="clear" w:color="auto" w:fill="C6D9F1" w:themeFill="text2" w:themeFillTint="33"/>
            <w:noWrap/>
            <w:vAlign w:val="bottom"/>
            <w:hideMark/>
          </w:tcPr>
          <w:p w:rsidR="00CA682E" w:rsidRPr="00CA682E" w:rsidRDefault="00CA682E" w:rsidP="00CA682E">
            <w:pPr>
              <w:jc w:val="center"/>
              <w:rPr>
                <w:rFonts w:eastAsia="Times New Roman"/>
                <w:b/>
                <w:bCs/>
                <w:color w:val="000000" w:themeColor="text1"/>
                <w:sz w:val="16"/>
                <w:szCs w:val="16"/>
                <w:lang w:eastAsia="en-US"/>
              </w:rPr>
            </w:pPr>
            <w:r w:rsidRPr="00CA682E">
              <w:rPr>
                <w:rFonts w:eastAsia="Times New Roman"/>
                <w:b/>
                <w:bCs/>
                <w:color w:val="000000" w:themeColor="text1"/>
                <w:sz w:val="16"/>
                <w:szCs w:val="16"/>
                <w:lang w:eastAsia="en-US"/>
              </w:rPr>
              <w:t>2017</w:t>
            </w:r>
          </w:p>
        </w:tc>
      </w:tr>
      <w:tr w:rsidR="00CA682E" w:rsidRPr="00CA682E" w:rsidTr="007B1DE4">
        <w:trPr>
          <w:trHeight w:val="375"/>
          <w:tblHeader/>
          <w:jc w:val="center"/>
        </w:trPr>
        <w:tc>
          <w:tcPr>
            <w:tcW w:w="2060" w:type="dxa"/>
            <w:tcBorders>
              <w:top w:val="single" w:sz="8" w:space="0" w:color="auto"/>
              <w:left w:val="single" w:sz="8" w:space="0" w:color="auto"/>
              <w:bottom w:val="single" w:sz="4" w:space="0" w:color="auto"/>
              <w:right w:val="single" w:sz="8" w:space="0" w:color="auto"/>
            </w:tcBorders>
            <w:shd w:val="clear" w:color="auto" w:fill="C6D9F1" w:themeFill="text2" w:themeFillTint="33"/>
            <w:noWrap/>
            <w:vAlign w:val="bottom"/>
            <w:hideMark/>
          </w:tcPr>
          <w:p w:rsidR="00CA682E" w:rsidRPr="00CA682E" w:rsidRDefault="00CA682E" w:rsidP="00CA682E">
            <w:pPr>
              <w:rPr>
                <w:rFonts w:eastAsia="Times New Roman"/>
                <w:b/>
                <w:bCs/>
                <w:color w:val="000000" w:themeColor="text1"/>
                <w:sz w:val="16"/>
                <w:szCs w:val="16"/>
                <w:lang w:eastAsia="en-US"/>
              </w:rPr>
            </w:pPr>
            <w:r w:rsidRPr="00CA682E">
              <w:rPr>
                <w:rFonts w:eastAsia="Times New Roman"/>
                <w:b/>
                <w:bCs/>
                <w:color w:val="000000" w:themeColor="text1"/>
                <w:sz w:val="16"/>
                <w:szCs w:val="16"/>
                <w:lang w:eastAsia="en-US"/>
              </w:rPr>
              <w:t>Etapa fundamental</w:t>
            </w:r>
          </w:p>
        </w:tc>
        <w:tc>
          <w:tcPr>
            <w:tcW w:w="260" w:type="dxa"/>
            <w:tcBorders>
              <w:top w:val="nil"/>
              <w:left w:val="nil"/>
              <w:bottom w:val="single" w:sz="4" w:space="0" w:color="auto"/>
              <w:right w:val="single" w:sz="4" w:space="0" w:color="auto"/>
            </w:tcBorders>
            <w:shd w:val="clear" w:color="auto" w:fill="C6D9F1" w:themeFill="text2" w:themeFillTint="33"/>
            <w:noWrap/>
            <w:vAlign w:val="bottom"/>
            <w:hideMark/>
          </w:tcPr>
          <w:p w:rsidR="00CA682E" w:rsidRPr="00CA682E" w:rsidRDefault="00CA682E" w:rsidP="00CA682E">
            <w:pPr>
              <w:rPr>
                <w:rFonts w:eastAsia="Times New Roman"/>
                <w:b/>
                <w:bCs/>
                <w:color w:val="000000" w:themeColor="text1"/>
                <w:sz w:val="16"/>
                <w:szCs w:val="16"/>
                <w:lang w:eastAsia="en-US"/>
              </w:rPr>
            </w:pPr>
            <w:r w:rsidRPr="00CA682E">
              <w:rPr>
                <w:rFonts w:eastAsia="Times New Roman"/>
                <w:b/>
                <w:bCs/>
                <w:color w:val="000000" w:themeColor="text1"/>
                <w:sz w:val="16"/>
                <w:szCs w:val="16"/>
                <w:lang w:eastAsia="en-US"/>
              </w:rPr>
              <w:t>T1</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CA682E" w:rsidRPr="00CA682E" w:rsidRDefault="00CA682E" w:rsidP="00CA682E">
            <w:pPr>
              <w:rPr>
                <w:rFonts w:eastAsia="Times New Roman"/>
                <w:b/>
                <w:bCs/>
                <w:color w:val="000000" w:themeColor="text1"/>
                <w:sz w:val="16"/>
                <w:szCs w:val="16"/>
                <w:lang w:eastAsia="en-US"/>
              </w:rPr>
            </w:pPr>
            <w:r w:rsidRPr="00CA682E">
              <w:rPr>
                <w:rFonts w:eastAsia="Times New Roman"/>
                <w:b/>
                <w:bCs/>
                <w:color w:val="000000" w:themeColor="text1"/>
                <w:sz w:val="16"/>
                <w:szCs w:val="16"/>
                <w:lang w:eastAsia="en-US"/>
              </w:rPr>
              <w:t>T2</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CA682E" w:rsidRPr="00CA682E" w:rsidRDefault="00CA682E" w:rsidP="00CA682E">
            <w:pPr>
              <w:rPr>
                <w:rFonts w:eastAsia="Times New Roman"/>
                <w:b/>
                <w:bCs/>
                <w:color w:val="000000" w:themeColor="text1"/>
                <w:sz w:val="16"/>
                <w:szCs w:val="16"/>
                <w:lang w:eastAsia="en-US"/>
              </w:rPr>
            </w:pPr>
            <w:r w:rsidRPr="00CA682E">
              <w:rPr>
                <w:rFonts w:eastAsia="Times New Roman"/>
                <w:b/>
                <w:bCs/>
                <w:color w:val="000000" w:themeColor="text1"/>
                <w:sz w:val="16"/>
                <w:szCs w:val="16"/>
                <w:lang w:eastAsia="en-US"/>
              </w:rPr>
              <w:t>T3</w:t>
            </w:r>
          </w:p>
        </w:tc>
        <w:tc>
          <w:tcPr>
            <w:tcW w:w="480" w:type="dxa"/>
            <w:tcBorders>
              <w:top w:val="nil"/>
              <w:left w:val="nil"/>
              <w:bottom w:val="single" w:sz="4" w:space="0" w:color="auto"/>
              <w:right w:val="single" w:sz="8" w:space="0" w:color="auto"/>
            </w:tcBorders>
            <w:shd w:val="clear" w:color="auto" w:fill="C6D9F1" w:themeFill="text2" w:themeFillTint="33"/>
            <w:noWrap/>
            <w:vAlign w:val="bottom"/>
            <w:hideMark/>
          </w:tcPr>
          <w:p w:rsidR="00CA682E" w:rsidRPr="00CA682E" w:rsidRDefault="00CA682E" w:rsidP="00CA682E">
            <w:pPr>
              <w:rPr>
                <w:rFonts w:eastAsia="Times New Roman"/>
                <w:b/>
                <w:bCs/>
                <w:color w:val="000000" w:themeColor="text1"/>
                <w:sz w:val="16"/>
                <w:szCs w:val="16"/>
                <w:lang w:eastAsia="en-US"/>
              </w:rPr>
            </w:pPr>
            <w:r w:rsidRPr="00CA682E">
              <w:rPr>
                <w:rFonts w:eastAsia="Times New Roman"/>
                <w:b/>
                <w:bCs/>
                <w:color w:val="000000" w:themeColor="text1"/>
                <w:sz w:val="16"/>
                <w:szCs w:val="16"/>
                <w:lang w:eastAsia="en-US"/>
              </w:rPr>
              <w:t>T4</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CA682E" w:rsidRPr="00CA682E" w:rsidRDefault="00CA682E" w:rsidP="00CA682E">
            <w:pPr>
              <w:rPr>
                <w:rFonts w:eastAsia="Times New Roman"/>
                <w:b/>
                <w:bCs/>
                <w:color w:val="000000" w:themeColor="text1"/>
                <w:sz w:val="16"/>
                <w:szCs w:val="16"/>
                <w:lang w:eastAsia="en-US"/>
              </w:rPr>
            </w:pPr>
            <w:r w:rsidRPr="00CA682E">
              <w:rPr>
                <w:rFonts w:eastAsia="Times New Roman"/>
                <w:b/>
                <w:bCs/>
                <w:color w:val="000000" w:themeColor="text1"/>
                <w:sz w:val="16"/>
                <w:szCs w:val="16"/>
                <w:lang w:eastAsia="en-US"/>
              </w:rPr>
              <w:t>T1</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CA682E" w:rsidRPr="00CA682E" w:rsidRDefault="00CA682E" w:rsidP="00CA682E">
            <w:pPr>
              <w:rPr>
                <w:rFonts w:eastAsia="Times New Roman"/>
                <w:b/>
                <w:bCs/>
                <w:color w:val="000000" w:themeColor="text1"/>
                <w:sz w:val="16"/>
                <w:szCs w:val="16"/>
                <w:lang w:eastAsia="en-US"/>
              </w:rPr>
            </w:pPr>
            <w:r w:rsidRPr="00CA682E">
              <w:rPr>
                <w:rFonts w:eastAsia="Times New Roman"/>
                <w:b/>
                <w:bCs/>
                <w:color w:val="000000" w:themeColor="text1"/>
                <w:sz w:val="16"/>
                <w:szCs w:val="16"/>
                <w:lang w:eastAsia="en-US"/>
              </w:rPr>
              <w:t>T2</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CA682E" w:rsidRPr="00CA682E" w:rsidRDefault="00CA682E" w:rsidP="00CA682E">
            <w:pPr>
              <w:rPr>
                <w:rFonts w:eastAsia="Times New Roman"/>
                <w:b/>
                <w:bCs/>
                <w:color w:val="000000" w:themeColor="text1"/>
                <w:sz w:val="16"/>
                <w:szCs w:val="16"/>
                <w:lang w:eastAsia="en-US"/>
              </w:rPr>
            </w:pPr>
            <w:r w:rsidRPr="00CA682E">
              <w:rPr>
                <w:rFonts w:eastAsia="Times New Roman"/>
                <w:b/>
                <w:bCs/>
                <w:color w:val="000000" w:themeColor="text1"/>
                <w:sz w:val="16"/>
                <w:szCs w:val="16"/>
                <w:lang w:eastAsia="en-US"/>
              </w:rPr>
              <w:t>T3</w:t>
            </w:r>
          </w:p>
        </w:tc>
        <w:tc>
          <w:tcPr>
            <w:tcW w:w="480" w:type="dxa"/>
            <w:tcBorders>
              <w:top w:val="nil"/>
              <w:left w:val="nil"/>
              <w:bottom w:val="single" w:sz="4" w:space="0" w:color="auto"/>
              <w:right w:val="single" w:sz="8" w:space="0" w:color="auto"/>
            </w:tcBorders>
            <w:shd w:val="clear" w:color="auto" w:fill="C6D9F1" w:themeFill="text2" w:themeFillTint="33"/>
            <w:noWrap/>
            <w:vAlign w:val="bottom"/>
            <w:hideMark/>
          </w:tcPr>
          <w:p w:rsidR="00CA682E" w:rsidRPr="00CA682E" w:rsidRDefault="00CA682E" w:rsidP="00CA682E">
            <w:pPr>
              <w:rPr>
                <w:rFonts w:eastAsia="Times New Roman"/>
                <w:b/>
                <w:bCs/>
                <w:color w:val="000000" w:themeColor="text1"/>
                <w:sz w:val="16"/>
                <w:szCs w:val="16"/>
                <w:lang w:eastAsia="en-US"/>
              </w:rPr>
            </w:pPr>
            <w:r w:rsidRPr="00CA682E">
              <w:rPr>
                <w:rFonts w:eastAsia="Times New Roman"/>
                <w:b/>
                <w:bCs/>
                <w:color w:val="000000" w:themeColor="text1"/>
                <w:sz w:val="16"/>
                <w:szCs w:val="16"/>
                <w:lang w:eastAsia="en-US"/>
              </w:rPr>
              <w:t>T4</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CA682E" w:rsidRPr="00CA682E" w:rsidRDefault="00CA682E" w:rsidP="00CA682E">
            <w:pPr>
              <w:rPr>
                <w:rFonts w:eastAsia="Times New Roman"/>
                <w:b/>
                <w:bCs/>
                <w:color w:val="000000" w:themeColor="text1"/>
                <w:sz w:val="16"/>
                <w:szCs w:val="16"/>
                <w:lang w:eastAsia="en-US"/>
              </w:rPr>
            </w:pPr>
            <w:r w:rsidRPr="00CA682E">
              <w:rPr>
                <w:rFonts w:eastAsia="Times New Roman"/>
                <w:b/>
                <w:bCs/>
                <w:color w:val="000000" w:themeColor="text1"/>
                <w:sz w:val="16"/>
                <w:szCs w:val="16"/>
                <w:lang w:eastAsia="en-US"/>
              </w:rPr>
              <w:t>T1</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CA682E" w:rsidRPr="00CA682E" w:rsidRDefault="00CA682E" w:rsidP="00CA682E">
            <w:pPr>
              <w:rPr>
                <w:rFonts w:eastAsia="Times New Roman"/>
                <w:b/>
                <w:bCs/>
                <w:color w:val="000000" w:themeColor="text1"/>
                <w:sz w:val="16"/>
                <w:szCs w:val="16"/>
                <w:lang w:eastAsia="en-US"/>
              </w:rPr>
            </w:pPr>
            <w:r w:rsidRPr="00CA682E">
              <w:rPr>
                <w:rFonts w:eastAsia="Times New Roman"/>
                <w:b/>
                <w:bCs/>
                <w:color w:val="000000" w:themeColor="text1"/>
                <w:sz w:val="16"/>
                <w:szCs w:val="16"/>
                <w:lang w:eastAsia="en-US"/>
              </w:rPr>
              <w:t>T2</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CA682E" w:rsidRPr="00CA682E" w:rsidRDefault="00CA682E" w:rsidP="00CA682E">
            <w:pPr>
              <w:rPr>
                <w:rFonts w:eastAsia="Times New Roman"/>
                <w:b/>
                <w:bCs/>
                <w:color w:val="000000" w:themeColor="text1"/>
                <w:sz w:val="16"/>
                <w:szCs w:val="16"/>
                <w:lang w:eastAsia="en-US"/>
              </w:rPr>
            </w:pPr>
            <w:r w:rsidRPr="00CA682E">
              <w:rPr>
                <w:rFonts w:eastAsia="Times New Roman"/>
                <w:b/>
                <w:bCs/>
                <w:color w:val="000000" w:themeColor="text1"/>
                <w:sz w:val="16"/>
                <w:szCs w:val="16"/>
                <w:lang w:eastAsia="en-US"/>
              </w:rPr>
              <w:t>T3</w:t>
            </w:r>
          </w:p>
        </w:tc>
        <w:tc>
          <w:tcPr>
            <w:tcW w:w="480" w:type="dxa"/>
            <w:tcBorders>
              <w:top w:val="nil"/>
              <w:left w:val="nil"/>
              <w:bottom w:val="single" w:sz="4" w:space="0" w:color="auto"/>
              <w:right w:val="single" w:sz="8" w:space="0" w:color="auto"/>
            </w:tcBorders>
            <w:shd w:val="clear" w:color="auto" w:fill="C6D9F1" w:themeFill="text2" w:themeFillTint="33"/>
            <w:noWrap/>
            <w:vAlign w:val="bottom"/>
            <w:hideMark/>
          </w:tcPr>
          <w:p w:rsidR="00CA682E" w:rsidRPr="00CA682E" w:rsidRDefault="00CA682E" w:rsidP="00CA682E">
            <w:pPr>
              <w:rPr>
                <w:rFonts w:eastAsia="Times New Roman"/>
                <w:b/>
                <w:bCs/>
                <w:color w:val="000000" w:themeColor="text1"/>
                <w:sz w:val="16"/>
                <w:szCs w:val="16"/>
                <w:lang w:eastAsia="en-US"/>
              </w:rPr>
            </w:pPr>
            <w:r w:rsidRPr="00CA682E">
              <w:rPr>
                <w:rFonts w:eastAsia="Times New Roman"/>
                <w:b/>
                <w:bCs/>
                <w:color w:val="000000" w:themeColor="text1"/>
                <w:sz w:val="16"/>
                <w:szCs w:val="16"/>
                <w:lang w:eastAsia="en-US"/>
              </w:rPr>
              <w:t>T4</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CA682E" w:rsidRPr="00CA682E" w:rsidRDefault="00CA682E" w:rsidP="00CA682E">
            <w:pPr>
              <w:rPr>
                <w:rFonts w:eastAsia="Times New Roman"/>
                <w:b/>
                <w:bCs/>
                <w:color w:val="000000" w:themeColor="text1"/>
                <w:sz w:val="16"/>
                <w:szCs w:val="16"/>
                <w:lang w:eastAsia="en-US"/>
              </w:rPr>
            </w:pPr>
            <w:r w:rsidRPr="00CA682E">
              <w:rPr>
                <w:rFonts w:eastAsia="Times New Roman"/>
                <w:b/>
                <w:bCs/>
                <w:color w:val="000000" w:themeColor="text1"/>
                <w:sz w:val="16"/>
                <w:szCs w:val="16"/>
                <w:lang w:eastAsia="en-US"/>
              </w:rPr>
              <w:t>T1</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CA682E" w:rsidRPr="00CA682E" w:rsidRDefault="00CA682E" w:rsidP="00CA682E">
            <w:pPr>
              <w:rPr>
                <w:rFonts w:eastAsia="Times New Roman"/>
                <w:b/>
                <w:bCs/>
                <w:color w:val="000000" w:themeColor="text1"/>
                <w:sz w:val="16"/>
                <w:szCs w:val="16"/>
                <w:lang w:eastAsia="en-US"/>
              </w:rPr>
            </w:pPr>
            <w:r w:rsidRPr="00CA682E">
              <w:rPr>
                <w:rFonts w:eastAsia="Times New Roman"/>
                <w:b/>
                <w:bCs/>
                <w:color w:val="000000" w:themeColor="text1"/>
                <w:sz w:val="16"/>
                <w:szCs w:val="16"/>
                <w:lang w:eastAsia="en-US"/>
              </w:rPr>
              <w:t>T2</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CA682E" w:rsidRPr="00CA682E" w:rsidRDefault="00CA682E" w:rsidP="00CA682E">
            <w:pPr>
              <w:rPr>
                <w:rFonts w:eastAsia="Times New Roman"/>
                <w:b/>
                <w:bCs/>
                <w:color w:val="000000" w:themeColor="text1"/>
                <w:sz w:val="16"/>
                <w:szCs w:val="16"/>
                <w:lang w:eastAsia="en-US"/>
              </w:rPr>
            </w:pPr>
            <w:r w:rsidRPr="00CA682E">
              <w:rPr>
                <w:rFonts w:eastAsia="Times New Roman"/>
                <w:b/>
                <w:bCs/>
                <w:color w:val="000000" w:themeColor="text1"/>
                <w:sz w:val="16"/>
                <w:szCs w:val="16"/>
                <w:lang w:eastAsia="en-US"/>
              </w:rPr>
              <w:t>T3</w:t>
            </w:r>
          </w:p>
        </w:tc>
        <w:tc>
          <w:tcPr>
            <w:tcW w:w="480" w:type="dxa"/>
            <w:tcBorders>
              <w:top w:val="nil"/>
              <w:left w:val="nil"/>
              <w:bottom w:val="single" w:sz="4" w:space="0" w:color="auto"/>
              <w:right w:val="single" w:sz="8" w:space="0" w:color="auto"/>
            </w:tcBorders>
            <w:shd w:val="clear" w:color="auto" w:fill="C6D9F1" w:themeFill="text2" w:themeFillTint="33"/>
            <w:noWrap/>
            <w:vAlign w:val="bottom"/>
            <w:hideMark/>
          </w:tcPr>
          <w:p w:rsidR="00CA682E" w:rsidRPr="00CA682E" w:rsidRDefault="00CA682E" w:rsidP="00CA682E">
            <w:pPr>
              <w:rPr>
                <w:rFonts w:eastAsia="Times New Roman"/>
                <w:b/>
                <w:bCs/>
                <w:color w:val="000000" w:themeColor="text1"/>
                <w:sz w:val="16"/>
                <w:szCs w:val="16"/>
                <w:lang w:eastAsia="en-US"/>
              </w:rPr>
            </w:pPr>
            <w:r w:rsidRPr="00CA682E">
              <w:rPr>
                <w:rFonts w:eastAsia="Times New Roman"/>
                <w:b/>
                <w:bCs/>
                <w:color w:val="000000" w:themeColor="text1"/>
                <w:sz w:val="16"/>
                <w:szCs w:val="16"/>
                <w:lang w:eastAsia="en-US"/>
              </w:rPr>
              <w:t>T4</w:t>
            </w:r>
          </w:p>
        </w:tc>
      </w:tr>
      <w:tr w:rsidR="00CA682E" w:rsidRPr="00CA682E" w:rsidTr="007B1DE4">
        <w:trPr>
          <w:trHeight w:val="539"/>
          <w:jc w:val="center"/>
        </w:trPr>
        <w:tc>
          <w:tcPr>
            <w:tcW w:w="2060" w:type="dxa"/>
            <w:tcBorders>
              <w:top w:val="nil"/>
              <w:left w:val="single" w:sz="8" w:space="0" w:color="auto"/>
              <w:bottom w:val="single" w:sz="4" w:space="0" w:color="auto"/>
              <w:right w:val="single" w:sz="8" w:space="0" w:color="auto"/>
            </w:tcBorders>
            <w:shd w:val="clear" w:color="auto" w:fill="auto"/>
            <w:noWrap/>
            <w:vAlign w:val="bottom"/>
          </w:tcPr>
          <w:p w:rsidR="00CA682E" w:rsidRPr="00CA682E" w:rsidRDefault="00CA682E" w:rsidP="00CA682E">
            <w:pPr>
              <w:keepNext/>
              <w:keepLines/>
              <w:autoSpaceDE w:val="0"/>
              <w:autoSpaceDN w:val="0"/>
              <w:adjustRightInd w:val="0"/>
              <w:spacing w:before="40" w:after="40"/>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Estudio y desarrollo de enfoque</w:t>
            </w:r>
          </w:p>
        </w:tc>
        <w:tc>
          <w:tcPr>
            <w:tcW w:w="260" w:type="dxa"/>
            <w:tcBorders>
              <w:top w:val="nil"/>
              <w:left w:val="nil"/>
              <w:bottom w:val="single" w:sz="4" w:space="0" w:color="auto"/>
              <w:right w:val="single" w:sz="4" w:space="0" w:color="auto"/>
            </w:tcBorders>
            <w:shd w:val="clear" w:color="auto" w:fill="auto"/>
            <w:noWrap/>
            <w:vAlign w:val="bottom"/>
          </w:tcPr>
          <w:p w:rsidR="00CA682E" w:rsidRPr="00CA682E" w:rsidRDefault="00CA682E" w:rsidP="00CA682E">
            <w:pPr>
              <w:rPr>
                <w:rFonts w:eastAsia="Times New Roman"/>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bottom"/>
          </w:tcPr>
          <w:p w:rsidR="00CA682E" w:rsidRPr="00CA682E" w:rsidRDefault="00CA682E" w:rsidP="00CA682E">
            <w:pPr>
              <w:rPr>
                <w:rFonts w:eastAsia="Times New Roman"/>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bottom"/>
          </w:tcPr>
          <w:p w:rsidR="00CA682E" w:rsidRPr="00CA682E" w:rsidRDefault="00CA682E" w:rsidP="00CA682E">
            <w:pPr>
              <w:rPr>
                <w:rFonts w:eastAsia="Times New Roman"/>
                <w:color w:val="000000" w:themeColor="text1"/>
                <w:sz w:val="16"/>
                <w:szCs w:val="16"/>
                <w:lang w:eastAsia="en-US"/>
              </w:rPr>
            </w:pPr>
          </w:p>
        </w:tc>
        <w:tc>
          <w:tcPr>
            <w:tcW w:w="480" w:type="dxa"/>
            <w:tcBorders>
              <w:top w:val="nil"/>
              <w:left w:val="nil"/>
              <w:bottom w:val="single" w:sz="4" w:space="0" w:color="auto"/>
              <w:right w:val="single" w:sz="8" w:space="0" w:color="auto"/>
            </w:tcBorders>
            <w:shd w:val="clear" w:color="auto" w:fill="auto"/>
            <w:noWrap/>
            <w:vAlign w:val="center"/>
          </w:tcPr>
          <w:p w:rsidR="00CA682E" w:rsidRPr="00CA682E" w:rsidRDefault="00CA682E" w:rsidP="00CA682E">
            <w:pPr>
              <w:jc w:val="center"/>
              <w:rPr>
                <w:rFonts w:eastAsia="Times New Roman"/>
                <w:color w:val="000000" w:themeColor="text1"/>
                <w:sz w:val="16"/>
                <w:szCs w:val="16"/>
                <w:lang w:eastAsia="en-US"/>
              </w:rPr>
            </w:pPr>
            <w:r w:rsidRPr="00CA682E">
              <w:rPr>
                <w:rFonts w:eastAsia="Times New Roman"/>
                <w:color w:val="000000" w:themeColor="text1"/>
                <w:sz w:val="16"/>
                <w:szCs w:val="16"/>
                <w:lang w:eastAsia="en-US"/>
              </w:rPr>
              <w:t>X</w:t>
            </w:r>
          </w:p>
        </w:tc>
        <w:tc>
          <w:tcPr>
            <w:tcW w:w="480" w:type="dxa"/>
            <w:tcBorders>
              <w:top w:val="nil"/>
              <w:left w:val="nil"/>
              <w:bottom w:val="single" w:sz="4" w:space="0" w:color="auto"/>
              <w:right w:val="single" w:sz="4" w:space="0" w:color="auto"/>
            </w:tcBorders>
            <w:shd w:val="clear" w:color="auto" w:fill="auto"/>
            <w:noWrap/>
            <w:vAlign w:val="center"/>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8" w:space="0" w:color="auto"/>
            </w:tcBorders>
            <w:shd w:val="clear" w:color="auto" w:fill="auto"/>
            <w:noWrap/>
            <w:vAlign w:val="center"/>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8" w:space="0" w:color="auto"/>
            </w:tcBorders>
            <w:shd w:val="clear" w:color="auto" w:fill="auto"/>
            <w:noWrap/>
            <w:vAlign w:val="center"/>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8" w:space="0" w:color="auto"/>
            </w:tcBorders>
            <w:shd w:val="clear" w:color="auto" w:fill="auto"/>
            <w:noWrap/>
            <w:vAlign w:val="center"/>
          </w:tcPr>
          <w:p w:rsidR="00CA682E" w:rsidRPr="00CA682E" w:rsidRDefault="00CA682E" w:rsidP="00CA682E">
            <w:pPr>
              <w:jc w:val="center"/>
              <w:rPr>
                <w:rFonts w:eastAsia="Times New Roman"/>
                <w:color w:val="000000" w:themeColor="text1"/>
                <w:sz w:val="16"/>
                <w:szCs w:val="16"/>
                <w:lang w:eastAsia="en-US"/>
              </w:rPr>
            </w:pPr>
          </w:p>
        </w:tc>
      </w:tr>
      <w:tr w:rsidR="00CA682E" w:rsidRPr="00CA682E" w:rsidTr="007B1DE4">
        <w:trPr>
          <w:trHeight w:val="440"/>
          <w:jc w:val="center"/>
        </w:trPr>
        <w:tc>
          <w:tcPr>
            <w:tcW w:w="2060" w:type="dxa"/>
            <w:tcBorders>
              <w:top w:val="nil"/>
              <w:left w:val="single" w:sz="8" w:space="0" w:color="auto"/>
              <w:bottom w:val="single" w:sz="4" w:space="0" w:color="auto"/>
              <w:right w:val="single" w:sz="8" w:space="0" w:color="auto"/>
            </w:tcBorders>
            <w:shd w:val="clear" w:color="auto" w:fill="auto"/>
            <w:noWrap/>
            <w:vAlign w:val="bottom"/>
            <w:hideMark/>
          </w:tcPr>
          <w:p w:rsidR="00CA682E" w:rsidRPr="00CA682E" w:rsidRDefault="00CA682E" w:rsidP="00CA682E">
            <w:pPr>
              <w:keepNext/>
              <w:keepLines/>
              <w:autoSpaceDE w:val="0"/>
              <w:autoSpaceDN w:val="0"/>
              <w:adjustRightInd w:val="0"/>
              <w:spacing w:before="40" w:after="40"/>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Selección de tecnología de ECM</w:t>
            </w:r>
          </w:p>
        </w:tc>
        <w:tc>
          <w:tcPr>
            <w:tcW w:w="260" w:type="dxa"/>
            <w:tcBorders>
              <w:top w:val="nil"/>
              <w:left w:val="nil"/>
              <w:bottom w:val="single" w:sz="4" w:space="0" w:color="auto"/>
              <w:right w:val="single" w:sz="4" w:space="0" w:color="auto"/>
            </w:tcBorders>
            <w:shd w:val="clear" w:color="auto" w:fill="auto"/>
            <w:noWrap/>
            <w:vAlign w:val="bottom"/>
            <w:hideMark/>
          </w:tcPr>
          <w:p w:rsidR="00CA682E" w:rsidRPr="00CA682E" w:rsidRDefault="00CA682E" w:rsidP="00CA682E">
            <w:pPr>
              <w:rPr>
                <w:rFonts w:eastAsia="Times New Roman"/>
                <w:color w:val="000000" w:themeColor="text1"/>
                <w:sz w:val="16"/>
                <w:szCs w:val="16"/>
                <w:lang w:eastAsia="en-US"/>
              </w:rPr>
            </w:pPr>
            <w:r w:rsidRPr="00CA682E">
              <w:rPr>
                <w:rFonts w:eastAsia="Times New Roman"/>
                <w:color w:val="000000" w:themeColor="text1"/>
                <w:sz w:val="16"/>
                <w:szCs w:val="16"/>
                <w:lang w:eastAsia="en-US"/>
              </w:rPr>
              <w:t> </w:t>
            </w:r>
          </w:p>
        </w:tc>
        <w:tc>
          <w:tcPr>
            <w:tcW w:w="480" w:type="dxa"/>
            <w:tcBorders>
              <w:top w:val="nil"/>
              <w:left w:val="nil"/>
              <w:bottom w:val="single" w:sz="4" w:space="0" w:color="auto"/>
              <w:right w:val="single" w:sz="4" w:space="0" w:color="auto"/>
            </w:tcBorders>
            <w:shd w:val="clear" w:color="auto" w:fill="auto"/>
            <w:noWrap/>
            <w:vAlign w:val="bottom"/>
            <w:hideMark/>
          </w:tcPr>
          <w:p w:rsidR="00CA682E" w:rsidRPr="00CA682E" w:rsidRDefault="00CA682E" w:rsidP="00CA682E">
            <w:pPr>
              <w:rPr>
                <w:rFonts w:eastAsia="Times New Roman"/>
                <w:color w:val="000000" w:themeColor="text1"/>
                <w:sz w:val="16"/>
                <w:szCs w:val="16"/>
                <w:lang w:eastAsia="en-US"/>
              </w:rPr>
            </w:pPr>
            <w:r w:rsidRPr="00CA682E">
              <w:rPr>
                <w:rFonts w:eastAsia="Times New Roman"/>
                <w:color w:val="000000" w:themeColor="text1"/>
                <w:sz w:val="16"/>
                <w:szCs w:val="16"/>
                <w:lang w:eastAsia="en-US"/>
              </w:rPr>
              <w:t> </w:t>
            </w:r>
          </w:p>
        </w:tc>
        <w:tc>
          <w:tcPr>
            <w:tcW w:w="480" w:type="dxa"/>
            <w:tcBorders>
              <w:top w:val="nil"/>
              <w:left w:val="nil"/>
              <w:bottom w:val="single" w:sz="4" w:space="0" w:color="auto"/>
              <w:right w:val="single" w:sz="4" w:space="0" w:color="auto"/>
            </w:tcBorders>
            <w:shd w:val="clear" w:color="auto" w:fill="auto"/>
            <w:noWrap/>
            <w:vAlign w:val="bottom"/>
            <w:hideMark/>
          </w:tcPr>
          <w:p w:rsidR="00CA682E" w:rsidRPr="00CA682E" w:rsidRDefault="00CA682E" w:rsidP="00CA682E">
            <w:pPr>
              <w:rPr>
                <w:rFonts w:eastAsia="Times New Roman"/>
                <w:color w:val="000000" w:themeColor="text1"/>
                <w:sz w:val="16"/>
                <w:szCs w:val="16"/>
                <w:lang w:eastAsia="en-US"/>
              </w:rPr>
            </w:pPr>
            <w:r w:rsidRPr="00CA682E">
              <w:rPr>
                <w:rFonts w:eastAsia="Times New Roman"/>
                <w:color w:val="000000" w:themeColor="text1"/>
                <w:sz w:val="16"/>
                <w:szCs w:val="16"/>
                <w:lang w:eastAsia="en-US"/>
              </w:rPr>
              <w:t> </w:t>
            </w:r>
          </w:p>
        </w:tc>
        <w:tc>
          <w:tcPr>
            <w:tcW w:w="480" w:type="dxa"/>
            <w:tcBorders>
              <w:top w:val="nil"/>
              <w:left w:val="nil"/>
              <w:bottom w:val="single" w:sz="4" w:space="0" w:color="auto"/>
              <w:right w:val="single" w:sz="8" w:space="0" w:color="auto"/>
            </w:tcBorders>
            <w:shd w:val="clear" w:color="auto" w:fill="auto"/>
            <w:noWrap/>
            <w:vAlign w:val="center"/>
            <w:hideMark/>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jc w:val="center"/>
              <w:rPr>
                <w:rFonts w:eastAsia="Times New Roman"/>
                <w:color w:val="000000" w:themeColor="text1"/>
                <w:sz w:val="16"/>
                <w:szCs w:val="16"/>
                <w:lang w:eastAsia="en-US"/>
              </w:rPr>
            </w:pPr>
            <w:r w:rsidRPr="00CA682E">
              <w:rPr>
                <w:rFonts w:eastAsia="Times New Roman"/>
                <w:color w:val="000000" w:themeColor="text1"/>
                <w:sz w:val="16"/>
                <w:szCs w:val="16"/>
                <w:lang w:eastAsia="en-US"/>
              </w:rPr>
              <w:t>X</w:t>
            </w:r>
          </w:p>
        </w:tc>
        <w:tc>
          <w:tcPr>
            <w:tcW w:w="480" w:type="dxa"/>
            <w:tcBorders>
              <w:top w:val="nil"/>
              <w:left w:val="nil"/>
              <w:bottom w:val="single" w:sz="4" w:space="0" w:color="auto"/>
              <w:right w:val="single" w:sz="8" w:space="0" w:color="auto"/>
            </w:tcBorders>
            <w:shd w:val="clear" w:color="auto" w:fill="auto"/>
            <w:noWrap/>
            <w:vAlign w:val="center"/>
            <w:hideMark/>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8" w:space="0" w:color="auto"/>
            </w:tcBorders>
            <w:shd w:val="clear" w:color="auto" w:fill="auto"/>
            <w:noWrap/>
            <w:vAlign w:val="center"/>
            <w:hideMark/>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8" w:space="0" w:color="auto"/>
            </w:tcBorders>
            <w:shd w:val="clear" w:color="auto" w:fill="auto"/>
            <w:noWrap/>
            <w:vAlign w:val="center"/>
            <w:hideMark/>
          </w:tcPr>
          <w:p w:rsidR="00CA682E" w:rsidRPr="00CA682E" w:rsidRDefault="00CA682E" w:rsidP="00CA682E">
            <w:pPr>
              <w:jc w:val="center"/>
              <w:rPr>
                <w:rFonts w:eastAsia="Times New Roman"/>
                <w:color w:val="000000" w:themeColor="text1"/>
                <w:sz w:val="16"/>
                <w:szCs w:val="16"/>
                <w:lang w:eastAsia="en-US"/>
              </w:rPr>
            </w:pPr>
          </w:p>
        </w:tc>
      </w:tr>
      <w:tr w:rsidR="00CA682E" w:rsidRPr="00CA682E" w:rsidTr="007B1DE4">
        <w:trPr>
          <w:trHeight w:val="615"/>
          <w:jc w:val="center"/>
        </w:trPr>
        <w:tc>
          <w:tcPr>
            <w:tcW w:w="2060" w:type="dxa"/>
            <w:tcBorders>
              <w:top w:val="nil"/>
              <w:left w:val="single" w:sz="8" w:space="0" w:color="auto"/>
              <w:bottom w:val="single" w:sz="4" w:space="0" w:color="auto"/>
              <w:right w:val="single" w:sz="8" w:space="0" w:color="auto"/>
            </w:tcBorders>
            <w:shd w:val="clear" w:color="auto" w:fill="auto"/>
            <w:noWrap/>
            <w:vAlign w:val="bottom"/>
          </w:tcPr>
          <w:p w:rsidR="00CA682E" w:rsidRPr="00CA682E" w:rsidRDefault="00CA682E" w:rsidP="00CA682E">
            <w:pPr>
              <w:keepNext/>
              <w:keepLines/>
              <w:autoSpaceDE w:val="0"/>
              <w:autoSpaceDN w:val="0"/>
              <w:adjustRightInd w:val="0"/>
              <w:spacing w:before="40" w:after="40"/>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 xml:space="preserve">Creación de una nueva plataforma y actualización de la versión relativa a los expedientes y archivos institucionales existentes </w:t>
            </w:r>
          </w:p>
        </w:tc>
        <w:tc>
          <w:tcPr>
            <w:tcW w:w="260" w:type="dxa"/>
            <w:tcBorders>
              <w:top w:val="nil"/>
              <w:left w:val="nil"/>
              <w:bottom w:val="single" w:sz="4" w:space="0" w:color="auto"/>
              <w:right w:val="single" w:sz="4" w:space="0" w:color="auto"/>
            </w:tcBorders>
            <w:shd w:val="clear" w:color="auto" w:fill="auto"/>
            <w:noWrap/>
            <w:vAlign w:val="bottom"/>
          </w:tcPr>
          <w:p w:rsidR="00CA682E" w:rsidRPr="00CA682E" w:rsidRDefault="00CA682E" w:rsidP="00CA682E">
            <w:pPr>
              <w:rPr>
                <w:rFonts w:eastAsia="Times New Roman"/>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bottom"/>
          </w:tcPr>
          <w:p w:rsidR="00CA682E" w:rsidRPr="00CA682E" w:rsidRDefault="00CA682E" w:rsidP="00CA682E">
            <w:pPr>
              <w:rPr>
                <w:rFonts w:eastAsia="Times New Roman"/>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bottom"/>
          </w:tcPr>
          <w:p w:rsidR="00CA682E" w:rsidRPr="00CA682E" w:rsidRDefault="00CA682E" w:rsidP="00CA682E">
            <w:pPr>
              <w:rPr>
                <w:rFonts w:eastAsia="Times New Roman"/>
                <w:color w:val="000000" w:themeColor="text1"/>
                <w:sz w:val="16"/>
                <w:szCs w:val="16"/>
                <w:lang w:eastAsia="en-US"/>
              </w:rPr>
            </w:pPr>
          </w:p>
        </w:tc>
        <w:tc>
          <w:tcPr>
            <w:tcW w:w="480" w:type="dxa"/>
            <w:tcBorders>
              <w:top w:val="nil"/>
              <w:left w:val="nil"/>
              <w:bottom w:val="single" w:sz="4" w:space="0" w:color="auto"/>
              <w:right w:val="single" w:sz="8" w:space="0" w:color="auto"/>
            </w:tcBorders>
            <w:shd w:val="clear" w:color="auto" w:fill="auto"/>
            <w:noWrap/>
            <w:vAlign w:val="center"/>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8" w:space="0" w:color="auto"/>
            </w:tcBorders>
            <w:shd w:val="clear" w:color="auto" w:fill="auto"/>
            <w:noWrap/>
            <w:vAlign w:val="center"/>
          </w:tcPr>
          <w:p w:rsidR="00CA682E" w:rsidRPr="00CA682E" w:rsidRDefault="00CA682E" w:rsidP="00CA682E">
            <w:pPr>
              <w:jc w:val="center"/>
              <w:rPr>
                <w:rFonts w:eastAsia="Times New Roman"/>
                <w:color w:val="000000" w:themeColor="text1"/>
                <w:sz w:val="16"/>
                <w:szCs w:val="16"/>
                <w:lang w:eastAsia="en-US"/>
              </w:rPr>
            </w:pPr>
            <w:r w:rsidRPr="00CA682E">
              <w:rPr>
                <w:rFonts w:eastAsia="Times New Roman"/>
                <w:color w:val="000000" w:themeColor="text1"/>
                <w:sz w:val="16"/>
                <w:szCs w:val="16"/>
                <w:lang w:eastAsia="en-US"/>
              </w:rPr>
              <w:t>X</w:t>
            </w:r>
          </w:p>
        </w:tc>
        <w:tc>
          <w:tcPr>
            <w:tcW w:w="480" w:type="dxa"/>
            <w:tcBorders>
              <w:top w:val="nil"/>
              <w:left w:val="nil"/>
              <w:bottom w:val="single" w:sz="4" w:space="0" w:color="auto"/>
              <w:right w:val="single" w:sz="4" w:space="0" w:color="auto"/>
            </w:tcBorders>
            <w:shd w:val="clear" w:color="auto" w:fill="auto"/>
            <w:noWrap/>
            <w:vAlign w:val="center"/>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8" w:space="0" w:color="auto"/>
            </w:tcBorders>
            <w:shd w:val="clear" w:color="auto" w:fill="auto"/>
            <w:noWrap/>
            <w:vAlign w:val="center"/>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8" w:space="0" w:color="auto"/>
            </w:tcBorders>
            <w:shd w:val="clear" w:color="auto" w:fill="auto"/>
            <w:noWrap/>
            <w:vAlign w:val="center"/>
          </w:tcPr>
          <w:p w:rsidR="00CA682E" w:rsidRPr="00CA682E" w:rsidRDefault="00CA682E" w:rsidP="00CA682E">
            <w:pPr>
              <w:jc w:val="center"/>
              <w:rPr>
                <w:rFonts w:eastAsia="Times New Roman"/>
                <w:color w:val="000000" w:themeColor="text1"/>
                <w:sz w:val="16"/>
                <w:szCs w:val="16"/>
                <w:lang w:eastAsia="en-US"/>
              </w:rPr>
            </w:pPr>
          </w:p>
        </w:tc>
      </w:tr>
      <w:tr w:rsidR="00CA682E" w:rsidRPr="00CA682E" w:rsidTr="007B1DE4">
        <w:trPr>
          <w:trHeight w:val="404"/>
          <w:jc w:val="center"/>
        </w:trPr>
        <w:tc>
          <w:tcPr>
            <w:tcW w:w="2060" w:type="dxa"/>
            <w:tcBorders>
              <w:top w:val="nil"/>
              <w:left w:val="single" w:sz="8" w:space="0" w:color="auto"/>
              <w:bottom w:val="single" w:sz="4" w:space="0" w:color="auto"/>
              <w:right w:val="single" w:sz="8" w:space="0" w:color="auto"/>
            </w:tcBorders>
            <w:shd w:val="clear" w:color="auto" w:fill="auto"/>
            <w:noWrap/>
            <w:vAlign w:val="bottom"/>
            <w:hideMark/>
          </w:tcPr>
          <w:p w:rsidR="00CA682E" w:rsidRPr="00CA682E" w:rsidRDefault="00CA682E" w:rsidP="00CA682E">
            <w:pPr>
              <w:keepNext/>
              <w:keepLines/>
              <w:autoSpaceDE w:val="0"/>
              <w:autoSpaceDN w:val="0"/>
              <w:adjustRightInd w:val="0"/>
              <w:spacing w:before="40" w:after="40"/>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Finalización de la licitación relativa al socio externo encargado de la ejecución</w:t>
            </w:r>
          </w:p>
        </w:tc>
        <w:tc>
          <w:tcPr>
            <w:tcW w:w="260" w:type="dxa"/>
            <w:tcBorders>
              <w:top w:val="nil"/>
              <w:left w:val="nil"/>
              <w:bottom w:val="single" w:sz="4" w:space="0" w:color="auto"/>
              <w:right w:val="single" w:sz="4" w:space="0" w:color="auto"/>
            </w:tcBorders>
            <w:shd w:val="clear" w:color="auto" w:fill="auto"/>
            <w:noWrap/>
            <w:vAlign w:val="bottom"/>
            <w:hideMark/>
          </w:tcPr>
          <w:p w:rsidR="00CA682E" w:rsidRPr="00CA682E" w:rsidRDefault="00CA682E" w:rsidP="00CA682E">
            <w:pPr>
              <w:rPr>
                <w:rFonts w:eastAsia="Times New Roman"/>
                <w:color w:val="000000" w:themeColor="text1"/>
                <w:sz w:val="16"/>
                <w:szCs w:val="16"/>
                <w:lang w:eastAsia="en-US"/>
              </w:rPr>
            </w:pPr>
            <w:r w:rsidRPr="00CA682E">
              <w:rPr>
                <w:rFonts w:eastAsia="Times New Roman"/>
                <w:color w:val="000000" w:themeColor="text1"/>
                <w:sz w:val="16"/>
                <w:szCs w:val="16"/>
                <w:lang w:eastAsia="en-US"/>
              </w:rPr>
              <w:t> </w:t>
            </w:r>
          </w:p>
        </w:tc>
        <w:tc>
          <w:tcPr>
            <w:tcW w:w="480" w:type="dxa"/>
            <w:tcBorders>
              <w:top w:val="nil"/>
              <w:left w:val="nil"/>
              <w:bottom w:val="single" w:sz="4" w:space="0" w:color="auto"/>
              <w:right w:val="single" w:sz="4" w:space="0" w:color="auto"/>
            </w:tcBorders>
            <w:shd w:val="clear" w:color="auto" w:fill="auto"/>
            <w:noWrap/>
            <w:vAlign w:val="bottom"/>
            <w:hideMark/>
          </w:tcPr>
          <w:p w:rsidR="00CA682E" w:rsidRPr="00CA682E" w:rsidRDefault="00CA682E" w:rsidP="00CA682E">
            <w:pPr>
              <w:rPr>
                <w:rFonts w:eastAsia="Times New Roman"/>
                <w:color w:val="000000" w:themeColor="text1"/>
                <w:sz w:val="16"/>
                <w:szCs w:val="16"/>
                <w:lang w:eastAsia="en-US"/>
              </w:rPr>
            </w:pPr>
            <w:r w:rsidRPr="00CA682E">
              <w:rPr>
                <w:rFonts w:eastAsia="Times New Roman"/>
                <w:color w:val="000000" w:themeColor="text1"/>
                <w:sz w:val="16"/>
                <w:szCs w:val="16"/>
                <w:lang w:eastAsia="en-US"/>
              </w:rPr>
              <w:t> </w:t>
            </w:r>
          </w:p>
        </w:tc>
        <w:tc>
          <w:tcPr>
            <w:tcW w:w="480" w:type="dxa"/>
            <w:tcBorders>
              <w:top w:val="nil"/>
              <w:left w:val="nil"/>
              <w:bottom w:val="single" w:sz="4" w:space="0" w:color="auto"/>
              <w:right w:val="single" w:sz="4" w:space="0" w:color="auto"/>
            </w:tcBorders>
            <w:shd w:val="clear" w:color="auto" w:fill="auto"/>
            <w:noWrap/>
            <w:vAlign w:val="bottom"/>
            <w:hideMark/>
          </w:tcPr>
          <w:p w:rsidR="00CA682E" w:rsidRPr="00CA682E" w:rsidRDefault="00CA682E" w:rsidP="00CA682E">
            <w:pPr>
              <w:rPr>
                <w:rFonts w:eastAsia="Times New Roman"/>
                <w:color w:val="000000" w:themeColor="text1"/>
                <w:sz w:val="16"/>
                <w:szCs w:val="16"/>
                <w:lang w:eastAsia="en-US"/>
              </w:rPr>
            </w:pPr>
            <w:r w:rsidRPr="00CA682E">
              <w:rPr>
                <w:rFonts w:eastAsia="Times New Roman"/>
                <w:color w:val="000000" w:themeColor="text1"/>
                <w:sz w:val="16"/>
                <w:szCs w:val="16"/>
                <w:lang w:eastAsia="en-US"/>
              </w:rPr>
              <w:t> </w:t>
            </w:r>
          </w:p>
        </w:tc>
        <w:tc>
          <w:tcPr>
            <w:tcW w:w="480" w:type="dxa"/>
            <w:tcBorders>
              <w:top w:val="nil"/>
              <w:left w:val="nil"/>
              <w:bottom w:val="single" w:sz="4" w:space="0" w:color="auto"/>
              <w:right w:val="single" w:sz="8" w:space="0" w:color="auto"/>
            </w:tcBorders>
            <w:shd w:val="clear" w:color="auto" w:fill="auto"/>
            <w:noWrap/>
            <w:vAlign w:val="center"/>
            <w:hideMark/>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8" w:space="0" w:color="auto"/>
            </w:tcBorders>
            <w:shd w:val="clear" w:color="auto" w:fill="auto"/>
            <w:noWrap/>
            <w:vAlign w:val="center"/>
            <w:hideMark/>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jc w:val="center"/>
              <w:rPr>
                <w:rFonts w:eastAsia="Times New Roman"/>
                <w:color w:val="000000" w:themeColor="text1"/>
                <w:sz w:val="16"/>
                <w:szCs w:val="16"/>
                <w:lang w:eastAsia="en-US"/>
              </w:rPr>
            </w:pPr>
            <w:r w:rsidRPr="00CA682E">
              <w:rPr>
                <w:rFonts w:eastAsia="Times New Roman"/>
                <w:color w:val="000000" w:themeColor="text1"/>
                <w:sz w:val="16"/>
                <w:szCs w:val="16"/>
                <w:lang w:eastAsia="en-US"/>
              </w:rPr>
              <w:t>X</w:t>
            </w: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8" w:space="0" w:color="auto"/>
            </w:tcBorders>
            <w:shd w:val="clear" w:color="auto" w:fill="auto"/>
            <w:noWrap/>
            <w:vAlign w:val="center"/>
            <w:hideMark/>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8" w:space="0" w:color="auto"/>
            </w:tcBorders>
            <w:shd w:val="clear" w:color="auto" w:fill="auto"/>
            <w:noWrap/>
            <w:vAlign w:val="center"/>
            <w:hideMark/>
          </w:tcPr>
          <w:p w:rsidR="00CA682E" w:rsidRPr="00CA682E" w:rsidRDefault="00CA682E" w:rsidP="00CA682E">
            <w:pPr>
              <w:jc w:val="center"/>
              <w:rPr>
                <w:rFonts w:eastAsia="Times New Roman"/>
                <w:color w:val="000000" w:themeColor="text1"/>
                <w:sz w:val="16"/>
                <w:szCs w:val="16"/>
                <w:lang w:eastAsia="en-US"/>
              </w:rPr>
            </w:pPr>
          </w:p>
        </w:tc>
      </w:tr>
      <w:tr w:rsidR="00CA682E" w:rsidRPr="00CA682E" w:rsidTr="007B1DE4">
        <w:trPr>
          <w:trHeight w:val="449"/>
          <w:jc w:val="center"/>
        </w:trPr>
        <w:tc>
          <w:tcPr>
            <w:tcW w:w="2060" w:type="dxa"/>
            <w:tcBorders>
              <w:top w:val="nil"/>
              <w:left w:val="single" w:sz="8" w:space="0" w:color="auto"/>
              <w:bottom w:val="single" w:sz="4" w:space="0" w:color="auto"/>
              <w:right w:val="single" w:sz="8" w:space="0" w:color="auto"/>
            </w:tcBorders>
            <w:shd w:val="clear" w:color="auto" w:fill="auto"/>
            <w:noWrap/>
            <w:vAlign w:val="bottom"/>
            <w:hideMark/>
          </w:tcPr>
          <w:p w:rsidR="00CA682E" w:rsidRPr="00CA682E" w:rsidRDefault="00CA682E" w:rsidP="00CA682E">
            <w:pPr>
              <w:keepNext/>
              <w:keepLines/>
              <w:autoSpaceDE w:val="0"/>
              <w:autoSpaceDN w:val="0"/>
              <w:adjustRightInd w:val="0"/>
              <w:spacing w:before="40" w:after="40"/>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Aceptación de la configuración de base de la ECM</w:t>
            </w:r>
          </w:p>
        </w:tc>
        <w:tc>
          <w:tcPr>
            <w:tcW w:w="260" w:type="dxa"/>
            <w:tcBorders>
              <w:top w:val="nil"/>
              <w:left w:val="nil"/>
              <w:bottom w:val="single" w:sz="4" w:space="0" w:color="auto"/>
              <w:right w:val="single" w:sz="4" w:space="0" w:color="auto"/>
            </w:tcBorders>
            <w:shd w:val="clear" w:color="auto" w:fill="auto"/>
            <w:noWrap/>
            <w:vAlign w:val="bottom"/>
            <w:hideMark/>
          </w:tcPr>
          <w:p w:rsidR="00CA682E" w:rsidRPr="00CA682E" w:rsidRDefault="00CA682E" w:rsidP="00CA682E">
            <w:pPr>
              <w:rPr>
                <w:rFonts w:eastAsia="Times New Roman"/>
                <w:color w:val="000000" w:themeColor="text1"/>
                <w:sz w:val="16"/>
                <w:szCs w:val="16"/>
                <w:lang w:eastAsia="en-US"/>
              </w:rPr>
            </w:pPr>
            <w:r w:rsidRPr="00CA682E">
              <w:rPr>
                <w:rFonts w:eastAsia="Times New Roman"/>
                <w:color w:val="000000" w:themeColor="text1"/>
                <w:sz w:val="16"/>
                <w:szCs w:val="16"/>
                <w:lang w:eastAsia="en-US"/>
              </w:rPr>
              <w:t> </w:t>
            </w:r>
          </w:p>
        </w:tc>
        <w:tc>
          <w:tcPr>
            <w:tcW w:w="480" w:type="dxa"/>
            <w:tcBorders>
              <w:top w:val="nil"/>
              <w:left w:val="nil"/>
              <w:bottom w:val="single" w:sz="4" w:space="0" w:color="auto"/>
              <w:right w:val="single" w:sz="4" w:space="0" w:color="auto"/>
            </w:tcBorders>
            <w:shd w:val="clear" w:color="auto" w:fill="auto"/>
            <w:noWrap/>
            <w:vAlign w:val="bottom"/>
            <w:hideMark/>
          </w:tcPr>
          <w:p w:rsidR="00CA682E" w:rsidRPr="00CA682E" w:rsidRDefault="00CA682E" w:rsidP="00CA682E">
            <w:pPr>
              <w:rPr>
                <w:rFonts w:eastAsia="Times New Roman"/>
                <w:color w:val="000000" w:themeColor="text1"/>
                <w:sz w:val="16"/>
                <w:szCs w:val="16"/>
                <w:lang w:eastAsia="en-US"/>
              </w:rPr>
            </w:pPr>
            <w:r w:rsidRPr="00CA682E">
              <w:rPr>
                <w:rFonts w:eastAsia="Times New Roman"/>
                <w:color w:val="000000" w:themeColor="text1"/>
                <w:sz w:val="16"/>
                <w:szCs w:val="16"/>
                <w:lang w:eastAsia="en-US"/>
              </w:rPr>
              <w:t> </w:t>
            </w:r>
          </w:p>
        </w:tc>
        <w:tc>
          <w:tcPr>
            <w:tcW w:w="480" w:type="dxa"/>
            <w:tcBorders>
              <w:top w:val="nil"/>
              <w:left w:val="nil"/>
              <w:bottom w:val="single" w:sz="4" w:space="0" w:color="auto"/>
              <w:right w:val="single" w:sz="4" w:space="0" w:color="auto"/>
            </w:tcBorders>
            <w:shd w:val="clear" w:color="auto" w:fill="auto"/>
            <w:noWrap/>
            <w:vAlign w:val="bottom"/>
            <w:hideMark/>
          </w:tcPr>
          <w:p w:rsidR="00CA682E" w:rsidRPr="00CA682E" w:rsidRDefault="00CA682E" w:rsidP="00CA682E">
            <w:pPr>
              <w:rPr>
                <w:rFonts w:eastAsia="Times New Roman"/>
                <w:color w:val="000000" w:themeColor="text1"/>
                <w:sz w:val="16"/>
                <w:szCs w:val="16"/>
                <w:lang w:eastAsia="en-US"/>
              </w:rPr>
            </w:pPr>
            <w:r w:rsidRPr="00CA682E">
              <w:rPr>
                <w:rFonts w:eastAsia="Times New Roman"/>
                <w:color w:val="000000" w:themeColor="text1"/>
                <w:sz w:val="16"/>
                <w:szCs w:val="16"/>
                <w:lang w:eastAsia="en-US"/>
              </w:rPr>
              <w:t> </w:t>
            </w:r>
          </w:p>
        </w:tc>
        <w:tc>
          <w:tcPr>
            <w:tcW w:w="480" w:type="dxa"/>
            <w:tcBorders>
              <w:top w:val="nil"/>
              <w:left w:val="nil"/>
              <w:bottom w:val="single" w:sz="4" w:space="0" w:color="auto"/>
              <w:right w:val="single" w:sz="8" w:space="0" w:color="auto"/>
            </w:tcBorders>
            <w:shd w:val="clear" w:color="auto" w:fill="auto"/>
            <w:noWrap/>
            <w:vAlign w:val="center"/>
            <w:hideMark/>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8" w:space="0" w:color="auto"/>
            </w:tcBorders>
            <w:shd w:val="clear" w:color="auto" w:fill="auto"/>
            <w:noWrap/>
            <w:vAlign w:val="center"/>
            <w:hideMark/>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tcPr>
          <w:p w:rsidR="00CA682E" w:rsidRPr="00CA682E" w:rsidRDefault="00CA682E" w:rsidP="00CA682E">
            <w:pPr>
              <w:jc w:val="center"/>
              <w:rPr>
                <w:rFonts w:eastAsia="Times New Roman"/>
                <w:color w:val="000000" w:themeColor="text1"/>
                <w:sz w:val="16"/>
                <w:szCs w:val="16"/>
                <w:lang w:eastAsia="en-US"/>
              </w:rPr>
            </w:pPr>
            <w:r w:rsidRPr="00CA682E">
              <w:rPr>
                <w:rFonts w:eastAsia="Times New Roman"/>
                <w:color w:val="000000" w:themeColor="text1"/>
                <w:sz w:val="16"/>
                <w:szCs w:val="16"/>
                <w:lang w:eastAsia="en-US"/>
              </w:rPr>
              <w:t>X</w:t>
            </w: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8" w:space="0" w:color="auto"/>
            </w:tcBorders>
            <w:shd w:val="clear" w:color="auto" w:fill="auto"/>
            <w:noWrap/>
            <w:vAlign w:val="center"/>
            <w:hideMark/>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8" w:space="0" w:color="auto"/>
            </w:tcBorders>
            <w:shd w:val="clear" w:color="auto" w:fill="auto"/>
            <w:noWrap/>
            <w:vAlign w:val="center"/>
            <w:hideMark/>
          </w:tcPr>
          <w:p w:rsidR="00CA682E" w:rsidRPr="00CA682E" w:rsidRDefault="00CA682E" w:rsidP="00CA682E">
            <w:pPr>
              <w:jc w:val="center"/>
              <w:rPr>
                <w:rFonts w:eastAsia="Times New Roman"/>
                <w:color w:val="000000" w:themeColor="text1"/>
                <w:sz w:val="16"/>
                <w:szCs w:val="16"/>
                <w:lang w:eastAsia="en-US"/>
              </w:rPr>
            </w:pPr>
          </w:p>
        </w:tc>
      </w:tr>
      <w:tr w:rsidR="00CA682E" w:rsidRPr="00CA682E" w:rsidTr="007B1DE4">
        <w:trPr>
          <w:trHeight w:val="615"/>
          <w:jc w:val="center"/>
        </w:trPr>
        <w:tc>
          <w:tcPr>
            <w:tcW w:w="2060" w:type="dxa"/>
            <w:tcBorders>
              <w:top w:val="nil"/>
              <w:left w:val="single" w:sz="8" w:space="0" w:color="auto"/>
              <w:bottom w:val="single" w:sz="4" w:space="0" w:color="auto"/>
              <w:right w:val="single" w:sz="8" w:space="0" w:color="auto"/>
            </w:tcBorders>
            <w:shd w:val="clear" w:color="auto" w:fill="auto"/>
            <w:noWrap/>
            <w:vAlign w:val="bottom"/>
            <w:hideMark/>
          </w:tcPr>
          <w:p w:rsidR="00CA682E" w:rsidRPr="00CA682E" w:rsidRDefault="00CA682E" w:rsidP="00CA682E">
            <w:pPr>
              <w:keepNext/>
              <w:keepLines/>
              <w:autoSpaceDE w:val="0"/>
              <w:autoSpaceDN w:val="0"/>
              <w:adjustRightInd w:val="0"/>
              <w:spacing w:before="40" w:after="40"/>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Aceptación de la configuración perfeccionada para expedientes y archivos</w:t>
            </w:r>
          </w:p>
        </w:tc>
        <w:tc>
          <w:tcPr>
            <w:tcW w:w="260" w:type="dxa"/>
            <w:tcBorders>
              <w:top w:val="nil"/>
              <w:left w:val="nil"/>
              <w:bottom w:val="single" w:sz="4" w:space="0" w:color="auto"/>
              <w:right w:val="single" w:sz="4" w:space="0" w:color="auto"/>
            </w:tcBorders>
            <w:shd w:val="clear" w:color="auto" w:fill="auto"/>
            <w:noWrap/>
            <w:vAlign w:val="bottom"/>
            <w:hideMark/>
          </w:tcPr>
          <w:p w:rsidR="00CA682E" w:rsidRPr="00CA682E" w:rsidRDefault="00CA682E" w:rsidP="00CA682E">
            <w:pPr>
              <w:rPr>
                <w:rFonts w:eastAsia="Times New Roman"/>
                <w:color w:val="000000" w:themeColor="text1"/>
                <w:sz w:val="16"/>
                <w:szCs w:val="16"/>
                <w:lang w:eastAsia="en-US"/>
              </w:rPr>
            </w:pPr>
            <w:r w:rsidRPr="00CA682E">
              <w:rPr>
                <w:rFonts w:eastAsia="Times New Roman"/>
                <w:color w:val="000000" w:themeColor="text1"/>
                <w:sz w:val="16"/>
                <w:szCs w:val="16"/>
                <w:lang w:eastAsia="en-US"/>
              </w:rPr>
              <w:t> </w:t>
            </w:r>
          </w:p>
        </w:tc>
        <w:tc>
          <w:tcPr>
            <w:tcW w:w="480" w:type="dxa"/>
            <w:tcBorders>
              <w:top w:val="nil"/>
              <w:left w:val="nil"/>
              <w:bottom w:val="single" w:sz="4" w:space="0" w:color="auto"/>
              <w:right w:val="single" w:sz="4" w:space="0" w:color="auto"/>
            </w:tcBorders>
            <w:shd w:val="clear" w:color="auto" w:fill="auto"/>
            <w:noWrap/>
            <w:vAlign w:val="bottom"/>
            <w:hideMark/>
          </w:tcPr>
          <w:p w:rsidR="00CA682E" w:rsidRPr="00CA682E" w:rsidRDefault="00CA682E" w:rsidP="00CA682E">
            <w:pPr>
              <w:rPr>
                <w:rFonts w:eastAsia="Times New Roman"/>
                <w:color w:val="000000" w:themeColor="text1"/>
                <w:sz w:val="16"/>
                <w:szCs w:val="16"/>
                <w:lang w:eastAsia="en-US"/>
              </w:rPr>
            </w:pPr>
            <w:r w:rsidRPr="00CA682E">
              <w:rPr>
                <w:rFonts w:eastAsia="Times New Roman"/>
                <w:color w:val="000000" w:themeColor="text1"/>
                <w:sz w:val="16"/>
                <w:szCs w:val="16"/>
                <w:lang w:eastAsia="en-US"/>
              </w:rPr>
              <w:t> </w:t>
            </w:r>
          </w:p>
        </w:tc>
        <w:tc>
          <w:tcPr>
            <w:tcW w:w="480" w:type="dxa"/>
            <w:tcBorders>
              <w:top w:val="nil"/>
              <w:left w:val="nil"/>
              <w:bottom w:val="single" w:sz="4" w:space="0" w:color="auto"/>
              <w:right w:val="single" w:sz="4" w:space="0" w:color="auto"/>
            </w:tcBorders>
            <w:shd w:val="clear" w:color="auto" w:fill="auto"/>
            <w:noWrap/>
            <w:vAlign w:val="bottom"/>
            <w:hideMark/>
          </w:tcPr>
          <w:p w:rsidR="00CA682E" w:rsidRPr="00CA682E" w:rsidRDefault="00CA682E" w:rsidP="00CA682E">
            <w:pPr>
              <w:rPr>
                <w:rFonts w:eastAsia="Times New Roman"/>
                <w:color w:val="000000" w:themeColor="text1"/>
                <w:sz w:val="16"/>
                <w:szCs w:val="16"/>
                <w:lang w:eastAsia="en-US"/>
              </w:rPr>
            </w:pPr>
            <w:r w:rsidRPr="00CA682E">
              <w:rPr>
                <w:rFonts w:eastAsia="Times New Roman"/>
                <w:color w:val="000000" w:themeColor="text1"/>
                <w:sz w:val="16"/>
                <w:szCs w:val="16"/>
                <w:lang w:eastAsia="en-US"/>
              </w:rPr>
              <w:t> </w:t>
            </w:r>
          </w:p>
        </w:tc>
        <w:tc>
          <w:tcPr>
            <w:tcW w:w="480" w:type="dxa"/>
            <w:tcBorders>
              <w:top w:val="nil"/>
              <w:left w:val="nil"/>
              <w:bottom w:val="single" w:sz="4" w:space="0" w:color="auto"/>
              <w:right w:val="single" w:sz="8" w:space="0" w:color="auto"/>
            </w:tcBorders>
            <w:shd w:val="clear" w:color="auto" w:fill="auto"/>
            <w:noWrap/>
            <w:vAlign w:val="center"/>
            <w:hideMark/>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8" w:space="0" w:color="auto"/>
            </w:tcBorders>
            <w:shd w:val="clear" w:color="auto" w:fill="auto"/>
            <w:noWrap/>
            <w:vAlign w:val="center"/>
            <w:hideMark/>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jc w:val="center"/>
              <w:rPr>
                <w:rFonts w:eastAsia="Times New Roman"/>
                <w:color w:val="000000" w:themeColor="text1"/>
                <w:sz w:val="16"/>
                <w:szCs w:val="16"/>
                <w:lang w:eastAsia="en-US"/>
              </w:rPr>
            </w:pPr>
            <w:r w:rsidRPr="00CA682E">
              <w:rPr>
                <w:rFonts w:eastAsia="Times New Roman"/>
                <w:color w:val="000000" w:themeColor="text1"/>
                <w:sz w:val="16"/>
                <w:szCs w:val="16"/>
                <w:lang w:eastAsia="en-US"/>
              </w:rPr>
              <w:t>X</w:t>
            </w:r>
          </w:p>
        </w:tc>
        <w:tc>
          <w:tcPr>
            <w:tcW w:w="480" w:type="dxa"/>
            <w:tcBorders>
              <w:top w:val="nil"/>
              <w:left w:val="nil"/>
              <w:bottom w:val="single" w:sz="4" w:space="0" w:color="auto"/>
              <w:right w:val="single" w:sz="8" w:space="0" w:color="auto"/>
            </w:tcBorders>
            <w:shd w:val="clear" w:color="auto" w:fill="auto"/>
            <w:noWrap/>
            <w:vAlign w:val="center"/>
            <w:hideMark/>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8" w:space="0" w:color="auto"/>
            </w:tcBorders>
            <w:shd w:val="clear" w:color="auto" w:fill="auto"/>
            <w:noWrap/>
            <w:vAlign w:val="center"/>
            <w:hideMark/>
          </w:tcPr>
          <w:p w:rsidR="00CA682E" w:rsidRPr="00CA682E" w:rsidRDefault="00CA682E" w:rsidP="00CA682E">
            <w:pPr>
              <w:jc w:val="center"/>
              <w:rPr>
                <w:rFonts w:eastAsia="Times New Roman"/>
                <w:color w:val="000000" w:themeColor="text1"/>
                <w:sz w:val="16"/>
                <w:szCs w:val="16"/>
                <w:lang w:eastAsia="en-US"/>
              </w:rPr>
            </w:pPr>
          </w:p>
        </w:tc>
      </w:tr>
      <w:tr w:rsidR="00CA682E" w:rsidRPr="00CA682E" w:rsidTr="007B1DE4">
        <w:trPr>
          <w:trHeight w:val="615"/>
          <w:jc w:val="center"/>
        </w:trPr>
        <w:tc>
          <w:tcPr>
            <w:tcW w:w="2060" w:type="dxa"/>
            <w:tcBorders>
              <w:top w:val="single" w:sz="4" w:space="0" w:color="auto"/>
              <w:left w:val="single" w:sz="8" w:space="0" w:color="auto"/>
              <w:bottom w:val="single" w:sz="4" w:space="0" w:color="auto"/>
              <w:right w:val="single" w:sz="8" w:space="0" w:color="auto"/>
            </w:tcBorders>
            <w:shd w:val="clear" w:color="auto" w:fill="auto"/>
            <w:noWrap/>
            <w:vAlign w:val="bottom"/>
          </w:tcPr>
          <w:p w:rsidR="00CA682E" w:rsidRPr="00CA682E" w:rsidRDefault="00CA682E" w:rsidP="00CA682E">
            <w:pPr>
              <w:keepNext/>
              <w:keepLines/>
              <w:autoSpaceDE w:val="0"/>
              <w:autoSpaceDN w:val="0"/>
              <w:adjustRightInd w:val="0"/>
              <w:spacing w:before="40" w:after="40"/>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 xml:space="preserve">Puesta en funcionamiento de la configuración de ECM </w:t>
            </w:r>
          </w:p>
          <w:p w:rsidR="00CA682E" w:rsidRPr="00CA682E" w:rsidRDefault="00CA682E" w:rsidP="00CA682E">
            <w:pPr>
              <w:autoSpaceDE w:val="0"/>
              <w:autoSpaceDN w:val="0"/>
              <w:adjustRightInd w:val="0"/>
              <w:rPr>
                <w:rFonts w:eastAsia="Batang"/>
                <w:color w:val="000000" w:themeColor="text1"/>
                <w:sz w:val="16"/>
                <w:szCs w:val="16"/>
                <w:lang w:eastAsia="ja-JP"/>
              </w:rPr>
            </w:pPr>
            <w:r w:rsidRPr="00CA682E">
              <w:rPr>
                <w:rFonts w:eastAsia="Batang"/>
                <w:color w:val="000000" w:themeColor="text1"/>
                <w:sz w:val="16"/>
                <w:szCs w:val="16"/>
                <w:lang w:eastAsia="ja-JP"/>
              </w:rPr>
              <w:t>para el flujo de trabajo y la situación de las peticiones de traducción</w:t>
            </w:r>
          </w:p>
        </w:tc>
        <w:tc>
          <w:tcPr>
            <w:tcW w:w="260" w:type="dxa"/>
            <w:tcBorders>
              <w:top w:val="single" w:sz="4" w:space="0" w:color="auto"/>
              <w:left w:val="nil"/>
              <w:bottom w:val="single" w:sz="4" w:space="0" w:color="auto"/>
              <w:right w:val="single" w:sz="4" w:space="0" w:color="auto"/>
            </w:tcBorders>
            <w:shd w:val="clear" w:color="auto" w:fill="auto"/>
            <w:noWrap/>
            <w:vAlign w:val="bottom"/>
          </w:tcPr>
          <w:p w:rsidR="00CA682E" w:rsidRPr="00CA682E" w:rsidRDefault="00CA682E" w:rsidP="00CA682E">
            <w:pPr>
              <w:rPr>
                <w:rFonts w:eastAsia="Times New Roman"/>
                <w:color w:val="000000" w:themeColor="text1"/>
                <w:sz w:val="16"/>
                <w:szCs w:val="16"/>
                <w:lang w:eastAsia="en-US"/>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CA682E" w:rsidRPr="00CA682E" w:rsidRDefault="00CA682E" w:rsidP="00CA682E">
            <w:pPr>
              <w:rPr>
                <w:rFonts w:eastAsia="Times New Roman"/>
                <w:color w:val="000000" w:themeColor="text1"/>
                <w:sz w:val="16"/>
                <w:szCs w:val="16"/>
                <w:lang w:eastAsia="en-US"/>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CA682E" w:rsidRPr="00CA682E" w:rsidRDefault="00CA682E" w:rsidP="00CA682E">
            <w:pPr>
              <w:rPr>
                <w:rFonts w:eastAsia="Times New Roman"/>
                <w:color w:val="000000" w:themeColor="text1"/>
                <w:sz w:val="16"/>
                <w:szCs w:val="16"/>
                <w:lang w:eastAsia="en-US"/>
              </w:rPr>
            </w:pPr>
          </w:p>
        </w:tc>
        <w:tc>
          <w:tcPr>
            <w:tcW w:w="480" w:type="dxa"/>
            <w:tcBorders>
              <w:top w:val="single" w:sz="4" w:space="0" w:color="auto"/>
              <w:left w:val="nil"/>
              <w:bottom w:val="single" w:sz="4" w:space="0" w:color="auto"/>
              <w:right w:val="single" w:sz="8" w:space="0" w:color="auto"/>
            </w:tcBorders>
            <w:shd w:val="clear" w:color="auto" w:fill="auto"/>
            <w:noWrap/>
            <w:vAlign w:val="center"/>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single" w:sz="4" w:space="0" w:color="auto"/>
              <w:left w:val="nil"/>
              <w:bottom w:val="single" w:sz="4" w:space="0" w:color="auto"/>
              <w:right w:val="single" w:sz="8" w:space="0" w:color="auto"/>
            </w:tcBorders>
            <w:shd w:val="clear" w:color="auto" w:fill="auto"/>
            <w:noWrap/>
            <w:vAlign w:val="center"/>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single" w:sz="4" w:space="0" w:color="auto"/>
              <w:left w:val="nil"/>
              <w:bottom w:val="single" w:sz="4" w:space="0" w:color="auto"/>
              <w:right w:val="single" w:sz="8" w:space="0" w:color="auto"/>
            </w:tcBorders>
            <w:shd w:val="clear" w:color="auto" w:fill="auto"/>
            <w:noWrap/>
            <w:vAlign w:val="center"/>
          </w:tcPr>
          <w:p w:rsidR="00CA682E" w:rsidRPr="00CA682E" w:rsidRDefault="00CA682E" w:rsidP="00CA682E">
            <w:pPr>
              <w:jc w:val="center"/>
              <w:rPr>
                <w:rFonts w:eastAsia="Times New Roman"/>
                <w:color w:val="000000" w:themeColor="text1"/>
                <w:sz w:val="16"/>
                <w:szCs w:val="16"/>
                <w:lang w:eastAsia="en-US"/>
              </w:rPr>
            </w:pPr>
            <w:r w:rsidRPr="00CA682E">
              <w:rPr>
                <w:rFonts w:eastAsia="Times New Roman"/>
                <w:color w:val="000000" w:themeColor="text1"/>
                <w:sz w:val="16"/>
                <w:szCs w:val="16"/>
                <w:lang w:eastAsia="en-US"/>
              </w:rPr>
              <w:t>X</w:t>
            </w: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single" w:sz="4" w:space="0" w:color="auto"/>
              <w:left w:val="nil"/>
              <w:bottom w:val="single" w:sz="4" w:space="0" w:color="auto"/>
              <w:right w:val="single" w:sz="8" w:space="0" w:color="auto"/>
            </w:tcBorders>
            <w:shd w:val="clear" w:color="auto" w:fill="auto"/>
            <w:noWrap/>
            <w:vAlign w:val="center"/>
          </w:tcPr>
          <w:p w:rsidR="00CA682E" w:rsidRPr="00CA682E" w:rsidRDefault="00CA682E" w:rsidP="00CA682E">
            <w:pPr>
              <w:jc w:val="center"/>
              <w:rPr>
                <w:rFonts w:eastAsia="Times New Roman"/>
                <w:color w:val="000000" w:themeColor="text1"/>
                <w:sz w:val="16"/>
                <w:szCs w:val="16"/>
                <w:lang w:eastAsia="en-US"/>
              </w:rPr>
            </w:pPr>
          </w:p>
        </w:tc>
      </w:tr>
      <w:tr w:rsidR="00CA682E" w:rsidRPr="00CA682E" w:rsidTr="007B1DE4">
        <w:trPr>
          <w:trHeight w:val="440"/>
          <w:jc w:val="center"/>
        </w:trPr>
        <w:tc>
          <w:tcPr>
            <w:tcW w:w="2060" w:type="dxa"/>
            <w:tcBorders>
              <w:top w:val="single" w:sz="4" w:space="0" w:color="auto"/>
              <w:left w:val="single" w:sz="8" w:space="0" w:color="auto"/>
              <w:bottom w:val="single" w:sz="4" w:space="0" w:color="auto"/>
              <w:right w:val="single" w:sz="8" w:space="0" w:color="auto"/>
            </w:tcBorders>
            <w:shd w:val="clear" w:color="auto" w:fill="auto"/>
            <w:noWrap/>
            <w:vAlign w:val="bottom"/>
          </w:tcPr>
          <w:p w:rsidR="00CA682E" w:rsidRPr="00CA682E" w:rsidRDefault="00CA682E" w:rsidP="00CA682E">
            <w:pPr>
              <w:keepNext/>
              <w:keepLines/>
              <w:autoSpaceDE w:val="0"/>
              <w:autoSpaceDN w:val="0"/>
              <w:adjustRightInd w:val="0"/>
              <w:spacing w:before="40" w:after="40"/>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Puesta en funcionamiento de la configuración de ECM para correo entrante en la Oficina del Director General</w:t>
            </w:r>
          </w:p>
        </w:tc>
        <w:tc>
          <w:tcPr>
            <w:tcW w:w="260" w:type="dxa"/>
            <w:tcBorders>
              <w:top w:val="single" w:sz="4" w:space="0" w:color="auto"/>
              <w:left w:val="nil"/>
              <w:bottom w:val="single" w:sz="4" w:space="0" w:color="auto"/>
              <w:right w:val="single" w:sz="4" w:space="0" w:color="auto"/>
            </w:tcBorders>
            <w:shd w:val="clear" w:color="auto" w:fill="auto"/>
            <w:noWrap/>
            <w:vAlign w:val="bottom"/>
          </w:tcPr>
          <w:p w:rsidR="00CA682E" w:rsidRPr="00CA682E" w:rsidRDefault="00CA682E" w:rsidP="00CA682E">
            <w:pPr>
              <w:rPr>
                <w:rFonts w:eastAsia="Times New Roman"/>
                <w:color w:val="000000" w:themeColor="text1"/>
                <w:sz w:val="16"/>
                <w:szCs w:val="16"/>
                <w:lang w:eastAsia="en-US"/>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CA682E" w:rsidRPr="00CA682E" w:rsidRDefault="00CA682E" w:rsidP="00CA682E">
            <w:pPr>
              <w:rPr>
                <w:rFonts w:eastAsia="Times New Roman"/>
                <w:color w:val="000000" w:themeColor="text1"/>
                <w:sz w:val="16"/>
                <w:szCs w:val="16"/>
                <w:lang w:eastAsia="en-US"/>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CA682E" w:rsidRPr="00CA682E" w:rsidRDefault="00CA682E" w:rsidP="00CA682E">
            <w:pPr>
              <w:rPr>
                <w:rFonts w:eastAsia="Times New Roman"/>
                <w:color w:val="000000" w:themeColor="text1"/>
                <w:sz w:val="16"/>
                <w:szCs w:val="16"/>
                <w:lang w:eastAsia="en-US"/>
              </w:rPr>
            </w:pPr>
          </w:p>
        </w:tc>
        <w:tc>
          <w:tcPr>
            <w:tcW w:w="480" w:type="dxa"/>
            <w:tcBorders>
              <w:top w:val="single" w:sz="4" w:space="0" w:color="auto"/>
              <w:left w:val="nil"/>
              <w:bottom w:val="single" w:sz="4" w:space="0" w:color="auto"/>
              <w:right w:val="single" w:sz="8" w:space="0" w:color="auto"/>
            </w:tcBorders>
            <w:shd w:val="clear" w:color="auto" w:fill="auto"/>
            <w:noWrap/>
            <w:vAlign w:val="center"/>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single" w:sz="4" w:space="0" w:color="auto"/>
              <w:left w:val="nil"/>
              <w:bottom w:val="single" w:sz="4" w:space="0" w:color="auto"/>
              <w:right w:val="single" w:sz="8" w:space="0" w:color="auto"/>
            </w:tcBorders>
            <w:shd w:val="clear" w:color="auto" w:fill="auto"/>
            <w:noWrap/>
            <w:vAlign w:val="center"/>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single" w:sz="4" w:space="0" w:color="auto"/>
              <w:left w:val="nil"/>
              <w:bottom w:val="single" w:sz="4" w:space="0" w:color="auto"/>
              <w:right w:val="single" w:sz="8" w:space="0" w:color="auto"/>
            </w:tcBorders>
            <w:shd w:val="clear" w:color="auto" w:fill="auto"/>
            <w:noWrap/>
            <w:vAlign w:val="center"/>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CA682E" w:rsidRPr="00CA682E" w:rsidRDefault="00CA682E" w:rsidP="00CA682E">
            <w:pPr>
              <w:jc w:val="center"/>
              <w:rPr>
                <w:rFonts w:eastAsia="Times New Roman"/>
                <w:color w:val="000000" w:themeColor="text1"/>
                <w:sz w:val="16"/>
                <w:szCs w:val="16"/>
                <w:lang w:eastAsia="en-US"/>
              </w:rPr>
            </w:pPr>
            <w:r w:rsidRPr="00CA682E">
              <w:rPr>
                <w:rFonts w:eastAsia="Times New Roman"/>
                <w:color w:val="000000" w:themeColor="text1"/>
                <w:sz w:val="16"/>
                <w:szCs w:val="16"/>
                <w:lang w:eastAsia="en-US"/>
              </w:rPr>
              <w:t>X</w:t>
            </w: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single" w:sz="4" w:space="0" w:color="auto"/>
              <w:left w:val="nil"/>
              <w:bottom w:val="single" w:sz="4" w:space="0" w:color="auto"/>
              <w:right w:val="single" w:sz="8" w:space="0" w:color="auto"/>
            </w:tcBorders>
            <w:shd w:val="clear" w:color="auto" w:fill="auto"/>
            <w:noWrap/>
            <w:vAlign w:val="center"/>
          </w:tcPr>
          <w:p w:rsidR="00CA682E" w:rsidRPr="00CA682E" w:rsidRDefault="00CA682E" w:rsidP="00CA682E">
            <w:pPr>
              <w:jc w:val="center"/>
              <w:rPr>
                <w:rFonts w:eastAsia="Times New Roman"/>
                <w:color w:val="000000" w:themeColor="text1"/>
                <w:sz w:val="16"/>
                <w:szCs w:val="16"/>
                <w:lang w:eastAsia="en-US"/>
              </w:rPr>
            </w:pPr>
          </w:p>
        </w:tc>
      </w:tr>
      <w:tr w:rsidR="00CA682E" w:rsidRPr="00CA682E" w:rsidTr="007B1DE4">
        <w:trPr>
          <w:trHeight w:val="615"/>
          <w:jc w:val="center"/>
        </w:trPr>
        <w:tc>
          <w:tcPr>
            <w:tcW w:w="2060"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CA682E" w:rsidRPr="00CA682E" w:rsidRDefault="00CA682E" w:rsidP="00CA682E">
            <w:pPr>
              <w:keepNext/>
              <w:keepLines/>
              <w:autoSpaceDE w:val="0"/>
              <w:autoSpaceDN w:val="0"/>
              <w:adjustRightInd w:val="0"/>
              <w:spacing w:before="40" w:after="40"/>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 Puesta en funcionamiento de la configuración de ECM para la gestión de proveedores y contratos</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CA682E" w:rsidRPr="00CA682E" w:rsidRDefault="00CA682E" w:rsidP="00CA682E">
            <w:pPr>
              <w:rPr>
                <w:rFonts w:eastAsia="Times New Roman"/>
                <w:color w:val="000000" w:themeColor="text1"/>
                <w:sz w:val="16"/>
                <w:szCs w:val="16"/>
                <w:lang w:eastAsia="en-US"/>
              </w:rPr>
            </w:pPr>
            <w:r w:rsidRPr="00CA682E">
              <w:rPr>
                <w:rFonts w:eastAsia="Times New Roman"/>
                <w:color w:val="000000" w:themeColor="text1"/>
                <w:sz w:val="16"/>
                <w:szCs w:val="16"/>
                <w:lang w:eastAsia="en-US"/>
              </w:rPr>
              <w:t> </w:t>
            </w:r>
          </w:p>
        </w:tc>
        <w:tc>
          <w:tcPr>
            <w:tcW w:w="480" w:type="dxa"/>
            <w:tcBorders>
              <w:top w:val="single" w:sz="4" w:space="0" w:color="auto"/>
              <w:left w:val="nil"/>
              <w:bottom w:val="single" w:sz="4" w:space="0" w:color="auto"/>
              <w:right w:val="single" w:sz="4" w:space="0" w:color="auto"/>
            </w:tcBorders>
            <w:shd w:val="clear" w:color="auto" w:fill="auto"/>
            <w:noWrap/>
            <w:vAlign w:val="bottom"/>
            <w:hideMark/>
          </w:tcPr>
          <w:p w:rsidR="00CA682E" w:rsidRPr="00CA682E" w:rsidRDefault="00CA682E" w:rsidP="00CA682E">
            <w:pPr>
              <w:rPr>
                <w:rFonts w:eastAsia="Times New Roman"/>
                <w:color w:val="000000" w:themeColor="text1"/>
                <w:sz w:val="16"/>
                <w:szCs w:val="16"/>
                <w:lang w:eastAsia="en-US"/>
              </w:rPr>
            </w:pPr>
            <w:r w:rsidRPr="00CA682E">
              <w:rPr>
                <w:rFonts w:eastAsia="Times New Roman"/>
                <w:color w:val="000000" w:themeColor="text1"/>
                <w:sz w:val="16"/>
                <w:szCs w:val="16"/>
                <w:lang w:eastAsia="en-US"/>
              </w:rPr>
              <w:t> </w:t>
            </w:r>
          </w:p>
        </w:tc>
        <w:tc>
          <w:tcPr>
            <w:tcW w:w="480" w:type="dxa"/>
            <w:tcBorders>
              <w:top w:val="single" w:sz="4" w:space="0" w:color="auto"/>
              <w:left w:val="nil"/>
              <w:bottom w:val="single" w:sz="4" w:space="0" w:color="auto"/>
              <w:right w:val="single" w:sz="4" w:space="0" w:color="auto"/>
            </w:tcBorders>
            <w:shd w:val="clear" w:color="auto" w:fill="auto"/>
            <w:noWrap/>
            <w:vAlign w:val="bottom"/>
            <w:hideMark/>
          </w:tcPr>
          <w:p w:rsidR="00CA682E" w:rsidRPr="00CA682E" w:rsidRDefault="00CA682E" w:rsidP="00CA682E">
            <w:pPr>
              <w:rPr>
                <w:rFonts w:eastAsia="Times New Roman"/>
                <w:color w:val="000000" w:themeColor="text1"/>
                <w:sz w:val="16"/>
                <w:szCs w:val="16"/>
                <w:lang w:eastAsia="en-US"/>
              </w:rPr>
            </w:pPr>
            <w:r w:rsidRPr="00CA682E">
              <w:rPr>
                <w:rFonts w:eastAsia="Times New Roman"/>
                <w:color w:val="000000" w:themeColor="text1"/>
                <w:sz w:val="16"/>
                <w:szCs w:val="16"/>
                <w:lang w:eastAsia="en-US"/>
              </w:rPr>
              <w:t> </w:t>
            </w:r>
          </w:p>
        </w:tc>
        <w:tc>
          <w:tcPr>
            <w:tcW w:w="480" w:type="dxa"/>
            <w:tcBorders>
              <w:top w:val="single" w:sz="4" w:space="0" w:color="auto"/>
              <w:left w:val="nil"/>
              <w:bottom w:val="single" w:sz="4" w:space="0" w:color="auto"/>
              <w:right w:val="single" w:sz="8" w:space="0" w:color="auto"/>
            </w:tcBorders>
            <w:shd w:val="clear" w:color="auto" w:fill="auto"/>
            <w:noWrap/>
            <w:vAlign w:val="center"/>
            <w:hideMark/>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single" w:sz="4" w:space="0" w:color="auto"/>
              <w:left w:val="nil"/>
              <w:bottom w:val="single" w:sz="4" w:space="0" w:color="auto"/>
              <w:right w:val="single" w:sz="4" w:space="0" w:color="auto"/>
            </w:tcBorders>
            <w:shd w:val="clear" w:color="auto" w:fill="auto"/>
            <w:noWrap/>
            <w:vAlign w:val="center"/>
            <w:hideMark/>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single" w:sz="4" w:space="0" w:color="auto"/>
              <w:left w:val="nil"/>
              <w:bottom w:val="single" w:sz="4" w:space="0" w:color="auto"/>
              <w:right w:val="single" w:sz="4" w:space="0" w:color="auto"/>
            </w:tcBorders>
            <w:shd w:val="clear" w:color="auto" w:fill="auto"/>
            <w:noWrap/>
            <w:vAlign w:val="center"/>
            <w:hideMark/>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single" w:sz="4" w:space="0" w:color="auto"/>
              <w:left w:val="nil"/>
              <w:bottom w:val="single" w:sz="4" w:space="0" w:color="auto"/>
              <w:right w:val="single" w:sz="4" w:space="0" w:color="auto"/>
            </w:tcBorders>
            <w:shd w:val="clear" w:color="auto" w:fill="auto"/>
            <w:noWrap/>
            <w:vAlign w:val="center"/>
            <w:hideMark/>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single" w:sz="4" w:space="0" w:color="auto"/>
              <w:left w:val="nil"/>
              <w:bottom w:val="single" w:sz="4" w:space="0" w:color="auto"/>
              <w:right w:val="single" w:sz="8" w:space="0" w:color="auto"/>
            </w:tcBorders>
            <w:shd w:val="clear" w:color="auto" w:fill="auto"/>
            <w:noWrap/>
            <w:vAlign w:val="center"/>
            <w:hideMark/>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single" w:sz="4" w:space="0" w:color="auto"/>
              <w:left w:val="nil"/>
              <w:bottom w:val="single" w:sz="4" w:space="0" w:color="auto"/>
              <w:right w:val="single" w:sz="4" w:space="0" w:color="auto"/>
            </w:tcBorders>
            <w:shd w:val="clear" w:color="auto" w:fill="auto"/>
            <w:noWrap/>
            <w:vAlign w:val="center"/>
            <w:hideMark/>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single" w:sz="4" w:space="0" w:color="auto"/>
              <w:left w:val="nil"/>
              <w:bottom w:val="single" w:sz="4" w:space="0" w:color="auto"/>
              <w:right w:val="single" w:sz="4" w:space="0" w:color="auto"/>
            </w:tcBorders>
            <w:shd w:val="clear" w:color="auto" w:fill="auto"/>
            <w:noWrap/>
            <w:vAlign w:val="center"/>
            <w:hideMark/>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single" w:sz="4" w:space="0" w:color="auto"/>
              <w:left w:val="nil"/>
              <w:bottom w:val="single" w:sz="4" w:space="0" w:color="auto"/>
              <w:right w:val="single" w:sz="4" w:space="0" w:color="auto"/>
            </w:tcBorders>
            <w:shd w:val="clear" w:color="auto" w:fill="auto"/>
            <w:noWrap/>
            <w:vAlign w:val="center"/>
            <w:hideMark/>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single" w:sz="4" w:space="0" w:color="auto"/>
              <w:left w:val="nil"/>
              <w:bottom w:val="single" w:sz="4" w:space="0" w:color="auto"/>
              <w:right w:val="single" w:sz="8" w:space="0" w:color="auto"/>
            </w:tcBorders>
            <w:shd w:val="clear" w:color="auto" w:fill="auto"/>
            <w:noWrap/>
            <w:vAlign w:val="center"/>
            <w:hideMark/>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single" w:sz="4" w:space="0" w:color="auto"/>
              <w:left w:val="nil"/>
              <w:bottom w:val="single" w:sz="4" w:space="0" w:color="auto"/>
              <w:right w:val="single" w:sz="4" w:space="0" w:color="auto"/>
            </w:tcBorders>
            <w:shd w:val="clear" w:color="auto" w:fill="auto"/>
            <w:noWrap/>
            <w:vAlign w:val="center"/>
            <w:hideMark/>
          </w:tcPr>
          <w:p w:rsidR="00CA682E" w:rsidRPr="00CA682E" w:rsidRDefault="00CA682E" w:rsidP="00CA682E">
            <w:pPr>
              <w:jc w:val="center"/>
              <w:rPr>
                <w:rFonts w:eastAsia="Times New Roman"/>
                <w:color w:val="000000" w:themeColor="text1"/>
                <w:sz w:val="16"/>
                <w:szCs w:val="16"/>
                <w:lang w:eastAsia="en-US"/>
              </w:rPr>
            </w:pPr>
            <w:r w:rsidRPr="00CA682E">
              <w:rPr>
                <w:rFonts w:eastAsia="Times New Roman"/>
                <w:color w:val="000000" w:themeColor="text1"/>
                <w:sz w:val="16"/>
                <w:szCs w:val="16"/>
                <w:lang w:eastAsia="en-US"/>
              </w:rPr>
              <w:t>X</w:t>
            </w:r>
          </w:p>
        </w:tc>
        <w:tc>
          <w:tcPr>
            <w:tcW w:w="480" w:type="dxa"/>
            <w:tcBorders>
              <w:top w:val="single" w:sz="4" w:space="0" w:color="auto"/>
              <w:left w:val="nil"/>
              <w:bottom w:val="single" w:sz="4" w:space="0" w:color="auto"/>
              <w:right w:val="single" w:sz="4" w:space="0" w:color="auto"/>
            </w:tcBorders>
            <w:shd w:val="clear" w:color="auto" w:fill="auto"/>
            <w:noWrap/>
            <w:vAlign w:val="center"/>
            <w:hideMark/>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single" w:sz="4" w:space="0" w:color="auto"/>
              <w:left w:val="nil"/>
              <w:bottom w:val="single" w:sz="4" w:space="0" w:color="auto"/>
              <w:right w:val="single" w:sz="4" w:space="0" w:color="auto"/>
            </w:tcBorders>
            <w:shd w:val="clear" w:color="auto" w:fill="auto"/>
            <w:noWrap/>
            <w:vAlign w:val="center"/>
            <w:hideMark/>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single" w:sz="4" w:space="0" w:color="auto"/>
              <w:left w:val="nil"/>
              <w:bottom w:val="single" w:sz="4" w:space="0" w:color="auto"/>
              <w:right w:val="single" w:sz="8" w:space="0" w:color="auto"/>
            </w:tcBorders>
            <w:shd w:val="clear" w:color="auto" w:fill="auto"/>
            <w:noWrap/>
            <w:vAlign w:val="center"/>
            <w:hideMark/>
          </w:tcPr>
          <w:p w:rsidR="00CA682E" w:rsidRPr="00CA682E" w:rsidRDefault="00CA682E" w:rsidP="00CA682E">
            <w:pPr>
              <w:jc w:val="center"/>
              <w:rPr>
                <w:rFonts w:eastAsia="Times New Roman"/>
                <w:color w:val="000000" w:themeColor="text1"/>
                <w:sz w:val="16"/>
                <w:szCs w:val="16"/>
                <w:lang w:eastAsia="en-US"/>
              </w:rPr>
            </w:pPr>
          </w:p>
        </w:tc>
      </w:tr>
      <w:tr w:rsidR="00CA682E" w:rsidRPr="00CA682E" w:rsidTr="007B1DE4">
        <w:trPr>
          <w:trHeight w:val="449"/>
          <w:jc w:val="center"/>
        </w:trPr>
        <w:tc>
          <w:tcPr>
            <w:tcW w:w="2060" w:type="dxa"/>
            <w:tcBorders>
              <w:top w:val="single" w:sz="4" w:space="0" w:color="auto"/>
              <w:left w:val="single" w:sz="8" w:space="0" w:color="auto"/>
              <w:bottom w:val="single" w:sz="4" w:space="0" w:color="auto"/>
              <w:right w:val="single" w:sz="8" w:space="0" w:color="auto"/>
            </w:tcBorders>
            <w:shd w:val="clear" w:color="auto" w:fill="auto"/>
            <w:noWrap/>
            <w:vAlign w:val="bottom"/>
          </w:tcPr>
          <w:p w:rsidR="00CA682E" w:rsidRPr="00CA682E" w:rsidRDefault="00CA682E" w:rsidP="00CA682E">
            <w:pPr>
              <w:keepNext/>
              <w:keepLines/>
              <w:autoSpaceDE w:val="0"/>
              <w:autoSpaceDN w:val="0"/>
              <w:adjustRightInd w:val="0"/>
              <w:spacing w:before="40" w:after="40"/>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Puesta en funcionamiento de la configuración de ECM para informes de misión</w:t>
            </w:r>
          </w:p>
        </w:tc>
        <w:tc>
          <w:tcPr>
            <w:tcW w:w="260" w:type="dxa"/>
            <w:tcBorders>
              <w:top w:val="single" w:sz="4" w:space="0" w:color="auto"/>
              <w:left w:val="nil"/>
              <w:bottom w:val="single" w:sz="4" w:space="0" w:color="auto"/>
              <w:right w:val="single" w:sz="4" w:space="0" w:color="auto"/>
            </w:tcBorders>
            <w:shd w:val="clear" w:color="auto" w:fill="auto"/>
            <w:noWrap/>
            <w:vAlign w:val="bottom"/>
          </w:tcPr>
          <w:p w:rsidR="00CA682E" w:rsidRPr="00CA682E" w:rsidRDefault="00CA682E" w:rsidP="00CA682E">
            <w:pPr>
              <w:rPr>
                <w:rFonts w:eastAsia="Times New Roman"/>
                <w:color w:val="000000" w:themeColor="text1"/>
                <w:sz w:val="16"/>
                <w:szCs w:val="16"/>
                <w:lang w:eastAsia="en-US"/>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CA682E" w:rsidRPr="00CA682E" w:rsidRDefault="00CA682E" w:rsidP="00CA682E">
            <w:pPr>
              <w:rPr>
                <w:rFonts w:eastAsia="Times New Roman"/>
                <w:color w:val="000000" w:themeColor="text1"/>
                <w:sz w:val="16"/>
                <w:szCs w:val="16"/>
                <w:lang w:eastAsia="en-US"/>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CA682E" w:rsidRPr="00CA682E" w:rsidRDefault="00CA682E" w:rsidP="00CA682E">
            <w:pPr>
              <w:rPr>
                <w:rFonts w:eastAsia="Times New Roman"/>
                <w:color w:val="000000" w:themeColor="text1"/>
                <w:sz w:val="16"/>
                <w:szCs w:val="16"/>
                <w:lang w:eastAsia="en-US"/>
              </w:rPr>
            </w:pPr>
          </w:p>
        </w:tc>
        <w:tc>
          <w:tcPr>
            <w:tcW w:w="480" w:type="dxa"/>
            <w:tcBorders>
              <w:top w:val="single" w:sz="4" w:space="0" w:color="auto"/>
              <w:left w:val="nil"/>
              <w:bottom w:val="single" w:sz="4" w:space="0" w:color="auto"/>
              <w:right w:val="single" w:sz="8" w:space="0" w:color="auto"/>
            </w:tcBorders>
            <w:shd w:val="clear" w:color="auto" w:fill="auto"/>
            <w:noWrap/>
            <w:vAlign w:val="center"/>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single" w:sz="4" w:space="0" w:color="auto"/>
              <w:left w:val="nil"/>
              <w:bottom w:val="single" w:sz="4" w:space="0" w:color="auto"/>
              <w:right w:val="single" w:sz="8" w:space="0" w:color="auto"/>
            </w:tcBorders>
            <w:shd w:val="clear" w:color="auto" w:fill="auto"/>
            <w:noWrap/>
            <w:vAlign w:val="center"/>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single" w:sz="4" w:space="0" w:color="auto"/>
              <w:left w:val="nil"/>
              <w:bottom w:val="single" w:sz="4" w:space="0" w:color="auto"/>
              <w:right w:val="single" w:sz="8" w:space="0" w:color="auto"/>
            </w:tcBorders>
            <w:shd w:val="clear" w:color="auto" w:fill="auto"/>
            <w:noWrap/>
            <w:vAlign w:val="center"/>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CA682E" w:rsidRPr="00CA682E" w:rsidRDefault="00CA682E" w:rsidP="00CA682E">
            <w:pPr>
              <w:jc w:val="center"/>
              <w:rPr>
                <w:rFonts w:eastAsia="Times New Roman"/>
                <w:color w:val="000000" w:themeColor="text1"/>
                <w:sz w:val="16"/>
                <w:szCs w:val="16"/>
                <w:lang w:eastAsia="en-US"/>
              </w:rPr>
            </w:pPr>
            <w:r w:rsidRPr="00CA682E">
              <w:rPr>
                <w:rFonts w:eastAsia="Times New Roman"/>
                <w:color w:val="000000" w:themeColor="text1"/>
                <w:sz w:val="16"/>
                <w:szCs w:val="16"/>
                <w:lang w:eastAsia="en-US"/>
              </w:rPr>
              <w:t>X</w:t>
            </w: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single" w:sz="4" w:space="0" w:color="auto"/>
              <w:left w:val="nil"/>
              <w:bottom w:val="single" w:sz="4" w:space="0" w:color="auto"/>
              <w:right w:val="single" w:sz="8" w:space="0" w:color="auto"/>
            </w:tcBorders>
            <w:shd w:val="clear" w:color="auto" w:fill="auto"/>
            <w:noWrap/>
            <w:vAlign w:val="center"/>
          </w:tcPr>
          <w:p w:rsidR="00CA682E" w:rsidRPr="00CA682E" w:rsidRDefault="00CA682E" w:rsidP="00CA682E">
            <w:pPr>
              <w:jc w:val="center"/>
              <w:rPr>
                <w:rFonts w:eastAsia="Times New Roman"/>
                <w:color w:val="000000" w:themeColor="text1"/>
                <w:sz w:val="16"/>
                <w:szCs w:val="16"/>
                <w:lang w:eastAsia="en-US"/>
              </w:rPr>
            </w:pPr>
          </w:p>
        </w:tc>
      </w:tr>
      <w:tr w:rsidR="00CA682E" w:rsidRPr="00CA682E" w:rsidTr="007B1DE4">
        <w:trPr>
          <w:trHeight w:val="530"/>
          <w:jc w:val="center"/>
        </w:trPr>
        <w:tc>
          <w:tcPr>
            <w:tcW w:w="2060" w:type="dxa"/>
            <w:tcBorders>
              <w:top w:val="single" w:sz="4" w:space="0" w:color="auto"/>
              <w:left w:val="single" w:sz="8" w:space="0" w:color="auto"/>
              <w:bottom w:val="single" w:sz="4" w:space="0" w:color="auto"/>
              <w:right w:val="single" w:sz="8" w:space="0" w:color="auto"/>
            </w:tcBorders>
            <w:shd w:val="clear" w:color="auto" w:fill="auto"/>
            <w:noWrap/>
            <w:vAlign w:val="bottom"/>
          </w:tcPr>
          <w:p w:rsidR="00CA682E" w:rsidRPr="00CA682E" w:rsidRDefault="00CA682E" w:rsidP="00CA682E">
            <w:pPr>
              <w:keepNext/>
              <w:keepLines/>
              <w:autoSpaceDE w:val="0"/>
              <w:autoSpaceDN w:val="0"/>
              <w:adjustRightInd w:val="0"/>
              <w:spacing w:before="40" w:after="40"/>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 xml:space="preserve">Puesta en funcionamiento de la configuración de ECM para los expedientes electrónicos de RRHH del personal </w:t>
            </w:r>
          </w:p>
        </w:tc>
        <w:tc>
          <w:tcPr>
            <w:tcW w:w="260" w:type="dxa"/>
            <w:tcBorders>
              <w:top w:val="single" w:sz="4" w:space="0" w:color="auto"/>
              <w:left w:val="nil"/>
              <w:bottom w:val="single" w:sz="4" w:space="0" w:color="auto"/>
              <w:right w:val="single" w:sz="4" w:space="0" w:color="auto"/>
            </w:tcBorders>
            <w:shd w:val="clear" w:color="auto" w:fill="auto"/>
            <w:noWrap/>
            <w:vAlign w:val="bottom"/>
          </w:tcPr>
          <w:p w:rsidR="00CA682E" w:rsidRPr="00CA682E" w:rsidRDefault="00CA682E" w:rsidP="00CA682E">
            <w:pPr>
              <w:rPr>
                <w:rFonts w:eastAsia="Times New Roman"/>
                <w:color w:val="000000" w:themeColor="text1"/>
                <w:sz w:val="16"/>
                <w:szCs w:val="16"/>
                <w:lang w:eastAsia="en-US"/>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CA682E" w:rsidRPr="00CA682E" w:rsidRDefault="00CA682E" w:rsidP="00CA682E">
            <w:pPr>
              <w:rPr>
                <w:rFonts w:eastAsia="Times New Roman"/>
                <w:color w:val="000000" w:themeColor="text1"/>
                <w:sz w:val="16"/>
                <w:szCs w:val="16"/>
                <w:lang w:eastAsia="en-US"/>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CA682E" w:rsidRPr="00CA682E" w:rsidRDefault="00CA682E" w:rsidP="00CA682E">
            <w:pPr>
              <w:rPr>
                <w:rFonts w:eastAsia="Times New Roman"/>
                <w:color w:val="000000" w:themeColor="text1"/>
                <w:sz w:val="16"/>
                <w:szCs w:val="16"/>
                <w:lang w:eastAsia="en-US"/>
              </w:rPr>
            </w:pPr>
          </w:p>
        </w:tc>
        <w:tc>
          <w:tcPr>
            <w:tcW w:w="480" w:type="dxa"/>
            <w:tcBorders>
              <w:top w:val="single" w:sz="4" w:space="0" w:color="auto"/>
              <w:left w:val="nil"/>
              <w:bottom w:val="single" w:sz="4" w:space="0" w:color="auto"/>
              <w:right w:val="single" w:sz="8" w:space="0" w:color="auto"/>
            </w:tcBorders>
            <w:shd w:val="clear" w:color="auto" w:fill="auto"/>
            <w:noWrap/>
            <w:vAlign w:val="center"/>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single" w:sz="4" w:space="0" w:color="auto"/>
              <w:left w:val="nil"/>
              <w:bottom w:val="single" w:sz="4" w:space="0" w:color="auto"/>
              <w:right w:val="single" w:sz="8" w:space="0" w:color="auto"/>
            </w:tcBorders>
            <w:shd w:val="clear" w:color="auto" w:fill="auto"/>
            <w:noWrap/>
            <w:vAlign w:val="center"/>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single" w:sz="4" w:space="0" w:color="auto"/>
              <w:left w:val="nil"/>
              <w:bottom w:val="single" w:sz="4" w:space="0" w:color="auto"/>
              <w:right w:val="single" w:sz="8" w:space="0" w:color="auto"/>
            </w:tcBorders>
            <w:shd w:val="clear" w:color="auto" w:fill="auto"/>
            <w:noWrap/>
            <w:vAlign w:val="center"/>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CA682E" w:rsidRPr="00CA682E" w:rsidRDefault="00CA682E" w:rsidP="00CA682E">
            <w:pPr>
              <w:jc w:val="center"/>
              <w:rPr>
                <w:rFonts w:eastAsia="Times New Roman"/>
                <w:color w:val="000000" w:themeColor="text1"/>
                <w:sz w:val="16"/>
                <w:szCs w:val="16"/>
                <w:lang w:eastAsia="en-US"/>
              </w:rPr>
            </w:pPr>
            <w:r w:rsidRPr="00CA682E">
              <w:rPr>
                <w:rFonts w:eastAsia="Times New Roman"/>
                <w:color w:val="000000" w:themeColor="text1"/>
                <w:sz w:val="16"/>
                <w:szCs w:val="16"/>
                <w:lang w:eastAsia="en-US"/>
              </w:rPr>
              <w:t>X</w:t>
            </w:r>
          </w:p>
        </w:tc>
        <w:tc>
          <w:tcPr>
            <w:tcW w:w="480" w:type="dxa"/>
            <w:tcBorders>
              <w:top w:val="single" w:sz="4" w:space="0" w:color="auto"/>
              <w:left w:val="nil"/>
              <w:bottom w:val="single" w:sz="4" w:space="0" w:color="auto"/>
              <w:right w:val="single" w:sz="8" w:space="0" w:color="auto"/>
            </w:tcBorders>
            <w:shd w:val="clear" w:color="auto" w:fill="auto"/>
            <w:noWrap/>
            <w:vAlign w:val="center"/>
          </w:tcPr>
          <w:p w:rsidR="00CA682E" w:rsidRPr="00CA682E" w:rsidRDefault="00CA682E" w:rsidP="00CA682E">
            <w:pPr>
              <w:jc w:val="center"/>
              <w:rPr>
                <w:rFonts w:eastAsia="Times New Roman"/>
                <w:color w:val="000000" w:themeColor="text1"/>
                <w:sz w:val="16"/>
                <w:szCs w:val="16"/>
                <w:lang w:eastAsia="en-US"/>
              </w:rPr>
            </w:pPr>
          </w:p>
        </w:tc>
      </w:tr>
      <w:tr w:rsidR="00CA682E" w:rsidRPr="00CA682E" w:rsidTr="007B1DE4">
        <w:trPr>
          <w:trHeight w:val="890"/>
          <w:jc w:val="center"/>
        </w:trPr>
        <w:tc>
          <w:tcPr>
            <w:tcW w:w="2060" w:type="dxa"/>
            <w:tcBorders>
              <w:top w:val="single" w:sz="4" w:space="0" w:color="auto"/>
              <w:left w:val="single" w:sz="8" w:space="0" w:color="auto"/>
              <w:bottom w:val="single" w:sz="4" w:space="0" w:color="auto"/>
              <w:right w:val="single" w:sz="8" w:space="0" w:color="auto"/>
            </w:tcBorders>
            <w:shd w:val="clear" w:color="auto" w:fill="auto"/>
            <w:noWrap/>
            <w:vAlign w:val="center"/>
          </w:tcPr>
          <w:p w:rsidR="00CA682E" w:rsidRPr="00CA682E" w:rsidRDefault="00CA682E" w:rsidP="00CA682E">
            <w:pPr>
              <w:keepNext/>
              <w:keepLines/>
              <w:autoSpaceDE w:val="0"/>
              <w:autoSpaceDN w:val="0"/>
              <w:adjustRightInd w:val="0"/>
              <w:spacing w:before="40" w:after="40"/>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Puesta en funcionamiento de la configuración del sistema de ECM para toda la Organización</w:t>
            </w:r>
          </w:p>
        </w:tc>
        <w:tc>
          <w:tcPr>
            <w:tcW w:w="260" w:type="dxa"/>
            <w:tcBorders>
              <w:top w:val="single" w:sz="4" w:space="0" w:color="auto"/>
              <w:left w:val="nil"/>
              <w:bottom w:val="single" w:sz="4" w:space="0" w:color="auto"/>
              <w:right w:val="single" w:sz="4" w:space="0" w:color="auto"/>
            </w:tcBorders>
            <w:shd w:val="clear" w:color="auto" w:fill="auto"/>
            <w:noWrap/>
            <w:vAlign w:val="bottom"/>
          </w:tcPr>
          <w:p w:rsidR="00CA682E" w:rsidRPr="00CA682E" w:rsidRDefault="00CA682E" w:rsidP="00CA682E">
            <w:pPr>
              <w:rPr>
                <w:rFonts w:eastAsia="Times New Roman"/>
                <w:color w:val="000000" w:themeColor="text1"/>
                <w:sz w:val="16"/>
                <w:szCs w:val="16"/>
                <w:lang w:eastAsia="en-US"/>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CA682E" w:rsidRPr="00CA682E" w:rsidRDefault="00CA682E" w:rsidP="00CA682E">
            <w:pPr>
              <w:rPr>
                <w:rFonts w:eastAsia="Times New Roman"/>
                <w:color w:val="000000" w:themeColor="text1"/>
                <w:sz w:val="16"/>
                <w:szCs w:val="16"/>
                <w:lang w:eastAsia="en-US"/>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CA682E" w:rsidRPr="00CA682E" w:rsidRDefault="00CA682E" w:rsidP="00CA682E">
            <w:pPr>
              <w:rPr>
                <w:rFonts w:eastAsia="Times New Roman"/>
                <w:color w:val="000000" w:themeColor="text1"/>
                <w:sz w:val="16"/>
                <w:szCs w:val="16"/>
                <w:lang w:eastAsia="en-US"/>
              </w:rPr>
            </w:pPr>
          </w:p>
        </w:tc>
        <w:tc>
          <w:tcPr>
            <w:tcW w:w="480" w:type="dxa"/>
            <w:tcBorders>
              <w:top w:val="single" w:sz="4" w:space="0" w:color="auto"/>
              <w:left w:val="nil"/>
              <w:bottom w:val="single" w:sz="4" w:space="0" w:color="auto"/>
              <w:right w:val="single" w:sz="8" w:space="0" w:color="auto"/>
            </w:tcBorders>
            <w:shd w:val="clear" w:color="auto" w:fill="auto"/>
            <w:noWrap/>
            <w:vAlign w:val="center"/>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single" w:sz="4" w:space="0" w:color="auto"/>
              <w:left w:val="nil"/>
              <w:bottom w:val="single" w:sz="4" w:space="0" w:color="auto"/>
              <w:right w:val="single" w:sz="8" w:space="0" w:color="auto"/>
            </w:tcBorders>
            <w:shd w:val="clear" w:color="auto" w:fill="auto"/>
            <w:noWrap/>
            <w:vAlign w:val="center"/>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single" w:sz="4" w:space="0" w:color="auto"/>
              <w:left w:val="nil"/>
              <w:bottom w:val="single" w:sz="4" w:space="0" w:color="auto"/>
              <w:right w:val="single" w:sz="8" w:space="0" w:color="auto"/>
            </w:tcBorders>
            <w:shd w:val="clear" w:color="auto" w:fill="auto"/>
            <w:noWrap/>
            <w:vAlign w:val="center"/>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CA682E" w:rsidRPr="00CA682E" w:rsidRDefault="00CA682E" w:rsidP="00CA682E">
            <w:pPr>
              <w:jc w:val="center"/>
              <w:rPr>
                <w:rFonts w:eastAsia="Times New Roman"/>
                <w:color w:val="000000" w:themeColor="text1"/>
                <w:sz w:val="16"/>
                <w:szCs w:val="16"/>
                <w:lang w:eastAsia="en-US"/>
              </w:rPr>
            </w:pPr>
          </w:p>
        </w:tc>
        <w:tc>
          <w:tcPr>
            <w:tcW w:w="480" w:type="dxa"/>
            <w:tcBorders>
              <w:top w:val="single" w:sz="4" w:space="0" w:color="auto"/>
              <w:left w:val="nil"/>
              <w:bottom w:val="single" w:sz="4" w:space="0" w:color="auto"/>
              <w:right w:val="single" w:sz="8" w:space="0" w:color="auto"/>
            </w:tcBorders>
            <w:shd w:val="clear" w:color="auto" w:fill="auto"/>
            <w:noWrap/>
            <w:vAlign w:val="center"/>
          </w:tcPr>
          <w:p w:rsidR="00CA682E" w:rsidRPr="00CA682E" w:rsidRDefault="00CA682E" w:rsidP="00CA682E">
            <w:pPr>
              <w:jc w:val="center"/>
              <w:rPr>
                <w:rFonts w:eastAsia="Times New Roman"/>
                <w:color w:val="000000" w:themeColor="text1"/>
                <w:sz w:val="16"/>
                <w:szCs w:val="16"/>
                <w:lang w:eastAsia="en-US"/>
              </w:rPr>
            </w:pPr>
            <w:r w:rsidRPr="00CA682E">
              <w:rPr>
                <w:rFonts w:eastAsia="Times New Roman"/>
                <w:color w:val="000000" w:themeColor="text1"/>
                <w:sz w:val="16"/>
                <w:szCs w:val="16"/>
                <w:lang w:eastAsia="en-US"/>
              </w:rPr>
              <w:t>X</w:t>
            </w:r>
          </w:p>
        </w:tc>
      </w:tr>
    </w:tbl>
    <w:p w:rsidR="00CA682E" w:rsidRPr="00CA682E" w:rsidRDefault="00CA682E" w:rsidP="00CA682E">
      <w:pPr>
        <w:rPr>
          <w:rFonts w:eastAsia="Times New Roman" w:cs="Times New Roman"/>
          <w:color w:val="000000" w:themeColor="text1"/>
          <w:sz w:val="20"/>
          <w:szCs w:val="24"/>
          <w:lang w:eastAsia="en-US"/>
        </w:rPr>
      </w:pPr>
    </w:p>
    <w:p w:rsidR="00CA682E" w:rsidRPr="00CA682E" w:rsidRDefault="00CA682E" w:rsidP="00CA682E">
      <w:pPr>
        <w:rPr>
          <w:rFonts w:eastAsia="Times New Roman" w:cs="Times New Roman"/>
          <w:color w:val="000000" w:themeColor="text1"/>
          <w:sz w:val="20"/>
          <w:szCs w:val="24"/>
          <w:lang w:eastAsia="en-US"/>
        </w:rPr>
      </w:pPr>
    </w:p>
    <w:p w:rsidR="00CA682E" w:rsidRPr="00CA682E" w:rsidRDefault="00CA682E" w:rsidP="00CA682E">
      <w:pPr>
        <w:spacing w:after="200" w:line="276" w:lineRule="auto"/>
        <w:rPr>
          <w:rFonts w:eastAsia="Times New Roman" w:cs="Times New Roman"/>
          <w:b/>
          <w:color w:val="000000" w:themeColor="text1"/>
          <w:sz w:val="20"/>
          <w:lang w:eastAsia="en-US"/>
        </w:rPr>
      </w:pPr>
      <w:r w:rsidRPr="00CA682E">
        <w:rPr>
          <w:rFonts w:eastAsia="Times New Roman" w:cs="Times New Roman"/>
          <w:b/>
          <w:color w:val="000000" w:themeColor="text1"/>
          <w:sz w:val="20"/>
          <w:lang w:eastAsia="en-US"/>
        </w:rPr>
        <w:br w:type="page"/>
      </w:r>
    </w:p>
    <w:p w:rsidR="00CA682E" w:rsidRPr="00CA682E" w:rsidRDefault="00CA682E" w:rsidP="00CA682E">
      <w:pPr>
        <w:rPr>
          <w:rFonts w:eastAsia="Times New Roman" w:cs="Times New Roman"/>
          <w:b/>
          <w:color w:val="000000" w:themeColor="text1"/>
          <w:szCs w:val="22"/>
          <w:lang w:eastAsia="en-US"/>
        </w:rPr>
      </w:pPr>
      <w:r w:rsidRPr="00CA682E">
        <w:rPr>
          <w:rFonts w:eastAsia="Times New Roman" w:cs="Times New Roman"/>
          <w:b/>
          <w:color w:val="000000" w:themeColor="text1"/>
          <w:szCs w:val="22"/>
          <w:lang w:eastAsia="en-US"/>
        </w:rPr>
        <w:lastRenderedPageBreak/>
        <w:t>PROYECTOS RELACIONADOS CON LOS EDIFICIOS</w:t>
      </w:r>
    </w:p>
    <w:p w:rsidR="00CA682E" w:rsidRPr="00CA682E" w:rsidRDefault="00CA682E" w:rsidP="00CA682E">
      <w:pPr>
        <w:rPr>
          <w:rFonts w:eastAsia="Times New Roman" w:cs="Times New Roman"/>
          <w:b/>
          <w:color w:val="000000" w:themeColor="text1"/>
          <w:sz w:val="20"/>
          <w:lang w:eastAsia="en-US"/>
        </w:rPr>
      </w:pPr>
    </w:p>
    <w:p w:rsidR="00CA682E" w:rsidRPr="00CA682E" w:rsidRDefault="00CA682E" w:rsidP="00DD172C">
      <w:pPr>
        <w:keepNext/>
        <w:ind w:left="1701" w:hanging="1701"/>
        <w:outlineLvl w:val="2"/>
        <w:rPr>
          <w:b/>
          <w:bCs/>
          <w:i/>
          <w:color w:val="000000" w:themeColor="text1"/>
          <w:sz w:val="20"/>
          <w:lang w:eastAsia="en-US"/>
        </w:rPr>
      </w:pPr>
      <w:bookmarkStart w:id="224" w:name="_Toc422210525"/>
      <w:bookmarkStart w:id="225" w:name="_Toc422927450"/>
      <w:bookmarkStart w:id="226" w:name="_Toc455159118"/>
      <w:r w:rsidRPr="00CA682E">
        <w:rPr>
          <w:b/>
          <w:bCs/>
          <w:i/>
          <w:color w:val="000000" w:themeColor="text1"/>
          <w:sz w:val="20"/>
          <w:lang w:eastAsia="en-US"/>
        </w:rPr>
        <w:t>PROYECTO 3:</w:t>
      </w:r>
      <w:bookmarkEnd w:id="224"/>
      <w:r w:rsidR="00DD172C">
        <w:rPr>
          <w:b/>
          <w:bCs/>
          <w:i/>
          <w:color w:val="000000" w:themeColor="text1"/>
          <w:sz w:val="20"/>
          <w:lang w:eastAsia="en-US"/>
        </w:rPr>
        <w:tab/>
      </w:r>
      <w:r w:rsidRPr="00CA682E">
        <w:rPr>
          <w:b/>
          <w:bCs/>
          <w:i/>
          <w:color w:val="000000" w:themeColor="text1"/>
          <w:sz w:val="20"/>
          <w:lang w:eastAsia="en-US"/>
        </w:rPr>
        <w:t>RENOVACIÓN DE LAS FACHADAS E INSTALACIÓN DE REFRIGERACIÓN/CALEFACCIÓN EN EL EDIFICIO PCT (PMM 3)</w:t>
      </w:r>
      <w:bookmarkEnd w:id="225"/>
      <w:bookmarkEnd w:id="226"/>
    </w:p>
    <w:p w:rsidR="00CA682E" w:rsidRPr="00CA682E" w:rsidRDefault="00CA682E" w:rsidP="00CA682E">
      <w:pPr>
        <w:rPr>
          <w:rFonts w:eastAsia="Times New Roman" w:cs="Times New Roman"/>
          <w:b/>
          <w:color w:val="000000" w:themeColor="text1"/>
          <w:sz w:val="20"/>
          <w:szCs w:val="24"/>
          <w:lang w:eastAsia="en-US"/>
        </w:rPr>
      </w:pPr>
    </w:p>
    <w:p w:rsidR="00CA682E" w:rsidRPr="00CA682E" w:rsidRDefault="00CA682E" w:rsidP="00CA682E">
      <w:pPr>
        <w:rPr>
          <w:rFonts w:eastAsia="Times New Roman" w:cs="Times New Roman"/>
          <w:b/>
          <w:color w:val="000000" w:themeColor="text1"/>
          <w:sz w:val="20"/>
          <w:szCs w:val="24"/>
          <w:lang w:eastAsia="en-US"/>
        </w:rPr>
      </w:pPr>
      <w:r w:rsidRPr="00CA682E">
        <w:rPr>
          <w:rFonts w:eastAsia="Times New Roman" w:cs="Times New Roman"/>
          <w:b/>
          <w:color w:val="000000" w:themeColor="text1"/>
          <w:sz w:val="20"/>
          <w:szCs w:val="24"/>
          <w:lang w:eastAsia="en-US"/>
        </w:rPr>
        <w:t xml:space="preserve">Director de proyecto </w:t>
      </w:r>
      <w:r w:rsidRPr="00CA682E">
        <w:rPr>
          <w:rFonts w:eastAsia="Times New Roman" w:cs="Times New Roman"/>
          <w:b/>
          <w:color w:val="000000" w:themeColor="text1"/>
          <w:sz w:val="20"/>
          <w:szCs w:val="24"/>
          <w:lang w:eastAsia="en-US"/>
        </w:rPr>
        <w:tab/>
        <w:t>Sr. A. FAVERO</w:t>
      </w:r>
    </w:p>
    <w:p w:rsidR="00CA682E" w:rsidRPr="00CA682E" w:rsidRDefault="00CA682E" w:rsidP="00CA682E">
      <w:pPr>
        <w:rPr>
          <w:rFonts w:eastAsia="Times New Roman" w:cs="Times New Roman"/>
          <w:b/>
          <w:color w:val="000000" w:themeColor="text1"/>
          <w:sz w:val="20"/>
          <w:szCs w:val="24"/>
          <w:lang w:eastAsia="en-US"/>
        </w:rPr>
      </w:pPr>
    </w:p>
    <w:p w:rsidR="00CA682E" w:rsidRPr="00CA682E" w:rsidRDefault="00CA682E" w:rsidP="00CA682E">
      <w:pPr>
        <w:rPr>
          <w:rFonts w:eastAsia="Times New Roman" w:cs="Times New Roman"/>
          <w:bCs/>
          <w:color w:val="000000" w:themeColor="text1"/>
          <w:sz w:val="20"/>
          <w:szCs w:val="24"/>
          <w:lang w:eastAsia="en-US"/>
        </w:rPr>
      </w:pPr>
    </w:p>
    <w:p w:rsidR="00CA682E" w:rsidRPr="00CA682E" w:rsidRDefault="00CA682E" w:rsidP="00CA682E">
      <w:pPr>
        <w:rPr>
          <w:rFonts w:eastAsia="Times New Roman" w:cs="Times New Roman"/>
          <w:bCs/>
          <w:color w:val="000000" w:themeColor="text1"/>
          <w:sz w:val="20"/>
          <w:szCs w:val="24"/>
          <w:lang w:eastAsia="en-US"/>
        </w:rPr>
      </w:pPr>
      <w:r w:rsidRPr="00CA682E">
        <w:rPr>
          <w:rFonts w:eastAsia="Times New Roman" w:cs="Times New Roman"/>
          <w:bCs/>
          <w:color w:val="000000" w:themeColor="text1"/>
          <w:sz w:val="20"/>
          <w:szCs w:val="24"/>
          <w:lang w:eastAsia="en-US"/>
        </w:rPr>
        <w:t>RESULTADO PREVISTO</w:t>
      </w:r>
    </w:p>
    <w:p w:rsidR="00CA682E" w:rsidRPr="00CA682E" w:rsidRDefault="00CA682E" w:rsidP="00CA682E">
      <w:pPr>
        <w:rPr>
          <w:rFonts w:eastAsia="Times New Roman" w:cs="Times New Roman"/>
          <w:bCs/>
          <w:color w:val="000000" w:themeColor="text1"/>
          <w:sz w:val="20"/>
          <w:szCs w:val="24"/>
          <w:lang w:eastAsia="en-US"/>
        </w:rPr>
      </w:pPr>
    </w:p>
    <w:p w:rsidR="00CA682E" w:rsidRPr="00CA682E" w:rsidRDefault="00CA682E" w:rsidP="00CA682E">
      <w:pPr>
        <w:rPr>
          <w:rFonts w:eastAsia="Times New Roman" w:cs="Times New Roman"/>
          <w:i/>
          <w:iCs/>
          <w:color w:val="000000" w:themeColor="text1"/>
          <w:sz w:val="20"/>
          <w:szCs w:val="24"/>
          <w:lang w:eastAsia="en-US"/>
        </w:rPr>
      </w:pPr>
      <w:r w:rsidRPr="00CA682E">
        <w:rPr>
          <w:rFonts w:eastAsia="Times New Roman" w:cs="Times New Roman"/>
          <w:i/>
          <w:iCs/>
          <w:color w:val="000000" w:themeColor="text1"/>
          <w:sz w:val="20"/>
          <w:szCs w:val="24"/>
          <w:lang w:eastAsia="en-US"/>
        </w:rPr>
        <w:t xml:space="preserve">IX.1  Servicios de </w:t>
      </w:r>
      <w:proofErr w:type="gramStart"/>
      <w:r w:rsidRPr="00CA682E">
        <w:rPr>
          <w:rFonts w:eastAsia="Times New Roman" w:cs="Times New Roman"/>
          <w:i/>
          <w:iCs/>
          <w:color w:val="000000" w:themeColor="text1"/>
          <w:sz w:val="20"/>
          <w:szCs w:val="24"/>
          <w:lang w:eastAsia="en-US"/>
        </w:rPr>
        <w:t>apoyo eficaces, eficientes, de calidad y orientados</w:t>
      </w:r>
      <w:proofErr w:type="gramEnd"/>
      <w:r w:rsidRPr="00CA682E">
        <w:rPr>
          <w:rFonts w:eastAsia="Times New Roman" w:cs="Times New Roman"/>
          <w:i/>
          <w:iCs/>
          <w:color w:val="000000" w:themeColor="text1"/>
          <w:sz w:val="20"/>
          <w:szCs w:val="24"/>
          <w:lang w:eastAsia="en-US"/>
        </w:rPr>
        <w:t xml:space="preserve"> al cliente, tanto a los clientes internos como a las partes interesadas externas.</w:t>
      </w:r>
    </w:p>
    <w:p w:rsidR="00CA682E" w:rsidRPr="00CA682E" w:rsidRDefault="00CA682E" w:rsidP="00CA682E">
      <w:pPr>
        <w:rPr>
          <w:rFonts w:eastAsia="Times New Roman" w:cs="Times New Roman"/>
          <w:bCs/>
          <w:color w:val="000000" w:themeColor="text1"/>
          <w:sz w:val="20"/>
          <w:szCs w:val="24"/>
          <w:lang w:eastAsia="en-US"/>
        </w:rPr>
      </w:pPr>
    </w:p>
    <w:p w:rsidR="00CA682E" w:rsidRPr="00CA682E" w:rsidRDefault="00CA682E" w:rsidP="00CA682E">
      <w:pPr>
        <w:rPr>
          <w:rFonts w:eastAsia="Times New Roman" w:cs="Times New Roman"/>
          <w:bCs/>
          <w:color w:val="000000" w:themeColor="text1"/>
          <w:sz w:val="20"/>
          <w:szCs w:val="24"/>
          <w:lang w:eastAsia="en-US"/>
        </w:rPr>
      </w:pPr>
    </w:p>
    <w:p w:rsidR="00CA682E" w:rsidRPr="00CA682E" w:rsidRDefault="00CA682E" w:rsidP="00CA682E">
      <w:pPr>
        <w:rPr>
          <w:rFonts w:eastAsia="Times New Roman" w:cs="Times New Roman"/>
          <w:bCs/>
          <w:color w:val="000000" w:themeColor="text1"/>
          <w:sz w:val="20"/>
          <w:szCs w:val="24"/>
          <w:lang w:eastAsia="en-US"/>
        </w:rPr>
      </w:pPr>
      <w:r w:rsidRPr="00CA682E">
        <w:rPr>
          <w:rFonts w:eastAsia="Times New Roman" w:cs="Times New Roman"/>
          <w:bCs/>
          <w:color w:val="000000" w:themeColor="text1"/>
          <w:sz w:val="20"/>
          <w:szCs w:val="24"/>
          <w:lang w:eastAsia="en-US"/>
        </w:rPr>
        <w:t>OBJETIVOS, ALCANCE Y ENFOQUE</w:t>
      </w:r>
      <w:proofErr w:type="gramStart"/>
      <w:r w:rsidRPr="00CA682E">
        <w:rPr>
          <w:rFonts w:eastAsia="Times New Roman" w:cs="Times New Roman"/>
          <w:bCs/>
          <w:color w:val="000000" w:themeColor="text1"/>
          <w:sz w:val="20"/>
          <w:szCs w:val="24"/>
          <w:lang w:eastAsia="en-US"/>
        </w:rPr>
        <w:t>:  ANTECEDENTES</w:t>
      </w:r>
      <w:proofErr w:type="gramEnd"/>
    </w:p>
    <w:p w:rsidR="00CA682E" w:rsidRPr="00CA682E" w:rsidRDefault="00CA682E" w:rsidP="00CA682E">
      <w:pPr>
        <w:rPr>
          <w:rFonts w:eastAsia="Times New Roman" w:cs="Times New Roman"/>
          <w:bCs/>
          <w:color w:val="000000" w:themeColor="text1"/>
          <w:sz w:val="20"/>
          <w:szCs w:val="24"/>
          <w:lang w:eastAsia="en-US"/>
        </w:rPr>
      </w:pPr>
    </w:p>
    <w:p w:rsidR="00CA682E" w:rsidRPr="00CA682E" w:rsidRDefault="00CA682E" w:rsidP="00CA682E">
      <w:pPr>
        <w:numPr>
          <w:ilvl w:val="0"/>
          <w:numId w:val="127"/>
        </w:numPr>
        <w:tabs>
          <w:tab w:val="left" w:pos="567"/>
        </w:tabs>
        <w:spacing w:after="220"/>
        <w:ind w:left="0" w:firstLine="0"/>
        <w:jc w:val="both"/>
        <w:rPr>
          <w:color w:val="000000" w:themeColor="text1"/>
          <w:sz w:val="20"/>
        </w:rPr>
      </w:pPr>
      <w:r w:rsidRPr="00CA682E">
        <w:rPr>
          <w:color w:val="000000" w:themeColor="text1"/>
          <w:sz w:val="20"/>
        </w:rPr>
        <w:t>Este proyecto tiene dos objetivos</w:t>
      </w:r>
      <w:proofErr w:type="gramStart"/>
      <w:r w:rsidRPr="00CA682E">
        <w:rPr>
          <w:color w:val="000000" w:themeColor="text1"/>
          <w:sz w:val="20"/>
        </w:rPr>
        <w:t>:  i</w:t>
      </w:r>
      <w:proofErr w:type="gramEnd"/>
      <w:r w:rsidRPr="00CA682E">
        <w:rPr>
          <w:color w:val="000000" w:themeColor="text1"/>
          <w:sz w:val="20"/>
        </w:rPr>
        <w:t xml:space="preserve">) sustituir totalmente la instalación del sistema de refrigeración y calefacción en el falso techo de los pisos superiores del edificio PCT, y ii) realizar una importante renovación de los elementos estructurales de todas las fachadas de ese edificio (es decir, dejando de lado, por lo general, las ventanas).  En los últimos años, se ha determinado que ya no eran sostenibles las pequeñas reparaciones menores </w:t>
      </w:r>
      <w:r w:rsidRPr="00CA682E">
        <w:rPr>
          <w:i/>
          <w:color w:val="000000" w:themeColor="text1"/>
          <w:sz w:val="20"/>
        </w:rPr>
        <w:t>ad hoc</w:t>
      </w:r>
      <w:r w:rsidRPr="00CA682E">
        <w:rPr>
          <w:color w:val="000000" w:themeColor="text1"/>
          <w:sz w:val="20"/>
        </w:rPr>
        <w:t xml:space="preserve"> que se han hecho durante unos 10 años, para eventualidades como averías e imposibilidad de controlar la temperatura, demasiado alta o baja, en las oficinas.  Además, varios componentes de la instalación actual de refrigeración y calefacción ya no están disponibles en el comercio, al igual que los repuestos, lo que pondría en riesgo, a corto plazo, la viabilidad de toda la instalación de refrigeración y calefacción del edificio.  El desperdicio de energía causado por los sistemas e instalaciones defectuosos y por los elementos estructurales defectuosos de las fachadas es significativo y no hará más que aumentar año tras año.  En 2011, se realizó una auditoría técnica de la instalación de refrigeración y calefacción;  en el primer semestre de 2013 se realizó una auditoría técnica de las fachadas.</w:t>
      </w:r>
    </w:p>
    <w:p w:rsidR="00CA682E" w:rsidRPr="00CA682E" w:rsidRDefault="00CA682E" w:rsidP="00CA682E">
      <w:pPr>
        <w:numPr>
          <w:ilvl w:val="0"/>
          <w:numId w:val="127"/>
        </w:numPr>
        <w:tabs>
          <w:tab w:val="left" w:pos="567"/>
        </w:tabs>
        <w:spacing w:after="220"/>
        <w:ind w:left="0" w:firstLine="0"/>
        <w:jc w:val="both"/>
        <w:rPr>
          <w:color w:val="000000" w:themeColor="text1"/>
          <w:sz w:val="20"/>
        </w:rPr>
      </w:pPr>
      <w:r w:rsidRPr="00CA682E">
        <w:rPr>
          <w:color w:val="000000" w:themeColor="text1"/>
          <w:sz w:val="20"/>
        </w:rPr>
        <w:t xml:space="preserve">Los resultados previstos de la renovación son el pleno funcionamiento y la fiabilidad de la instalación de refrigeración y calefacción y de las fachadas, así como una significativa reducción del consumo de energía, poniendo fin al desperdicio actual.  </w:t>
      </w:r>
    </w:p>
    <w:p w:rsidR="00CA682E" w:rsidRPr="00CA682E" w:rsidRDefault="00CA682E" w:rsidP="00CA682E">
      <w:pPr>
        <w:numPr>
          <w:ilvl w:val="0"/>
          <w:numId w:val="127"/>
        </w:numPr>
        <w:tabs>
          <w:tab w:val="left" w:pos="567"/>
        </w:tabs>
        <w:ind w:left="0" w:firstLine="0"/>
        <w:jc w:val="both"/>
        <w:rPr>
          <w:bCs/>
          <w:color w:val="000000" w:themeColor="text1"/>
          <w:sz w:val="20"/>
        </w:rPr>
      </w:pPr>
      <w:r w:rsidRPr="00CA682E">
        <w:rPr>
          <w:color w:val="000000" w:themeColor="text1"/>
          <w:sz w:val="20"/>
        </w:rPr>
        <w:t>Los objetivos del proyecto son</w:t>
      </w:r>
      <w:proofErr w:type="gramStart"/>
      <w:r w:rsidRPr="00CA682E">
        <w:rPr>
          <w:color w:val="000000" w:themeColor="text1"/>
          <w:sz w:val="20"/>
        </w:rPr>
        <w:t>:  i</w:t>
      </w:r>
      <w:proofErr w:type="gramEnd"/>
      <w:r w:rsidRPr="00CA682E">
        <w:rPr>
          <w:color w:val="000000" w:themeColor="text1"/>
          <w:sz w:val="20"/>
        </w:rPr>
        <w:t xml:space="preserve">) reducir el desperdicio de energía (fachadas);  ii) reducir el consumo de energía (falso techo térmico y fachadas);  iii) mejorar las instalaciones técnicas para reducir la necesidad de mantenimiento (falso techo térmico y fachadas);  iv) mejorar la comodidad de los ocupantes;  v) utilizar </w:t>
      </w:r>
      <w:r w:rsidRPr="00CA682E">
        <w:rPr>
          <w:bCs/>
          <w:color w:val="000000" w:themeColor="text1"/>
          <w:sz w:val="20"/>
        </w:rPr>
        <w:t>tecnologías modernas y respetuosas del medio amiente;  y vi) modernizar las instalaciones para alargar sus ciclos de vida útil (falso techo térmico).</w:t>
      </w:r>
    </w:p>
    <w:p w:rsidR="00CA682E" w:rsidRPr="00CA682E" w:rsidRDefault="00CA682E" w:rsidP="00CA682E">
      <w:pPr>
        <w:rPr>
          <w:rFonts w:eastAsia="Times New Roman" w:cs="Times New Roman"/>
          <w:bCs/>
          <w:color w:val="000000" w:themeColor="text1"/>
          <w:sz w:val="20"/>
          <w:szCs w:val="24"/>
          <w:lang w:eastAsia="en-US"/>
        </w:rPr>
      </w:pPr>
    </w:p>
    <w:p w:rsidR="00CA682E" w:rsidRPr="00CA682E" w:rsidRDefault="00CA682E" w:rsidP="00CA682E">
      <w:pPr>
        <w:rPr>
          <w:rFonts w:eastAsia="Times New Roman" w:cs="Times New Roman"/>
          <w:bCs/>
          <w:color w:val="000000" w:themeColor="text1"/>
          <w:sz w:val="20"/>
          <w:szCs w:val="24"/>
          <w:lang w:eastAsia="en-US"/>
        </w:rPr>
      </w:pPr>
    </w:p>
    <w:p w:rsidR="00CA682E" w:rsidRPr="00CA682E" w:rsidRDefault="00CA682E" w:rsidP="00CA682E">
      <w:pPr>
        <w:rPr>
          <w:rFonts w:eastAsia="Times New Roman" w:cs="Times New Roman"/>
          <w:bCs/>
          <w:color w:val="000000" w:themeColor="text1"/>
          <w:sz w:val="20"/>
          <w:szCs w:val="24"/>
          <w:lang w:eastAsia="en-US"/>
        </w:rPr>
      </w:pPr>
      <w:r w:rsidRPr="00CA682E">
        <w:rPr>
          <w:rFonts w:eastAsia="Times New Roman" w:cs="Times New Roman"/>
          <w:bCs/>
          <w:color w:val="000000" w:themeColor="text1"/>
          <w:sz w:val="20"/>
          <w:szCs w:val="24"/>
          <w:lang w:eastAsia="en-US"/>
        </w:rPr>
        <w:t>RESEÑA DE LOS AVANCES LOGRADOS EN 2015 (ETAPAS FUNDAMENTALES)</w:t>
      </w:r>
    </w:p>
    <w:p w:rsidR="00CA682E" w:rsidRPr="00CA682E" w:rsidRDefault="00CA682E" w:rsidP="00CA682E">
      <w:pPr>
        <w:rPr>
          <w:rFonts w:eastAsia="Times New Roman" w:cs="Times New Roman"/>
          <w:bCs/>
          <w:color w:val="000000" w:themeColor="text1"/>
          <w:sz w:val="20"/>
          <w:szCs w:val="24"/>
          <w:lang w:eastAsia="en-US"/>
        </w:rPr>
      </w:pPr>
    </w:p>
    <w:p w:rsidR="00CA682E" w:rsidRPr="00CA682E" w:rsidRDefault="00CA682E" w:rsidP="00CA682E">
      <w:pPr>
        <w:numPr>
          <w:ilvl w:val="0"/>
          <w:numId w:val="127"/>
        </w:numPr>
        <w:tabs>
          <w:tab w:val="left" w:pos="567"/>
        </w:tabs>
        <w:spacing w:after="220"/>
        <w:ind w:left="0" w:firstLine="0"/>
        <w:jc w:val="both"/>
        <w:rPr>
          <w:bCs/>
          <w:color w:val="000000" w:themeColor="text1"/>
          <w:sz w:val="20"/>
        </w:rPr>
      </w:pPr>
      <w:r w:rsidRPr="00CA682E">
        <w:rPr>
          <w:bCs/>
          <w:color w:val="000000" w:themeColor="text1"/>
          <w:sz w:val="20"/>
        </w:rPr>
        <w:t>En 2014, se realizaron los avances siguientes:</w:t>
      </w:r>
    </w:p>
    <w:p w:rsidR="00CA682E" w:rsidRPr="00CA682E" w:rsidRDefault="00CA682E" w:rsidP="00CA682E">
      <w:pPr>
        <w:numPr>
          <w:ilvl w:val="0"/>
          <w:numId w:val="136"/>
        </w:numPr>
        <w:autoSpaceDE w:val="0"/>
        <w:autoSpaceDN w:val="0"/>
        <w:adjustRightInd w:val="0"/>
        <w:spacing w:after="120"/>
        <w:ind w:left="1134" w:hanging="567"/>
        <w:rPr>
          <w:rFonts w:eastAsia="Times New Roman" w:cs="Times New Roman"/>
          <w:bCs/>
          <w:color w:val="000000" w:themeColor="text1"/>
          <w:sz w:val="20"/>
          <w:lang w:eastAsia="en-US"/>
        </w:rPr>
      </w:pPr>
      <w:r w:rsidRPr="00CA682E">
        <w:rPr>
          <w:rFonts w:eastAsia="Times New Roman" w:cs="Times New Roman"/>
          <w:bCs/>
          <w:color w:val="000000" w:themeColor="text1"/>
          <w:sz w:val="20"/>
          <w:lang w:eastAsia="en-US"/>
        </w:rPr>
        <w:t>redacción y publicación de la convocatoria a presentar expresiones de interés para el piloto/arquitecto;</w:t>
      </w:r>
    </w:p>
    <w:p w:rsidR="00CA682E" w:rsidRPr="00CA682E" w:rsidRDefault="00CA682E" w:rsidP="00CA682E">
      <w:pPr>
        <w:numPr>
          <w:ilvl w:val="0"/>
          <w:numId w:val="136"/>
        </w:numPr>
        <w:autoSpaceDE w:val="0"/>
        <w:autoSpaceDN w:val="0"/>
        <w:adjustRightInd w:val="0"/>
        <w:spacing w:after="120"/>
        <w:ind w:left="1134" w:hanging="567"/>
        <w:rPr>
          <w:rFonts w:eastAsia="Times New Roman" w:cs="Times New Roman"/>
          <w:bCs/>
          <w:color w:val="000000" w:themeColor="text1"/>
          <w:sz w:val="20"/>
          <w:lang w:eastAsia="en-US"/>
        </w:rPr>
      </w:pPr>
      <w:r w:rsidRPr="00CA682E">
        <w:rPr>
          <w:rFonts w:eastAsia="Times New Roman" w:cs="Times New Roman"/>
          <w:bCs/>
          <w:color w:val="000000" w:themeColor="text1"/>
          <w:sz w:val="20"/>
          <w:lang w:eastAsia="en-US"/>
        </w:rPr>
        <w:t>finalización de la preselección de candidatos y evaluación de la convocatoria a presentar expresiones de interés para el mandato del piloto/arquitecto;  y</w:t>
      </w:r>
    </w:p>
    <w:p w:rsidR="00CA682E" w:rsidRPr="00CA682E" w:rsidRDefault="00CA682E" w:rsidP="00CA682E">
      <w:pPr>
        <w:numPr>
          <w:ilvl w:val="0"/>
          <w:numId w:val="136"/>
        </w:numPr>
        <w:autoSpaceDE w:val="0"/>
        <w:autoSpaceDN w:val="0"/>
        <w:adjustRightInd w:val="0"/>
        <w:spacing w:after="120"/>
        <w:ind w:left="1134" w:hanging="567"/>
        <w:rPr>
          <w:rFonts w:eastAsia="Times New Roman" w:cs="Times New Roman"/>
          <w:bCs/>
          <w:color w:val="000000" w:themeColor="text1"/>
          <w:sz w:val="20"/>
          <w:lang w:eastAsia="en-US"/>
        </w:rPr>
      </w:pPr>
      <w:r w:rsidRPr="00CA682E">
        <w:rPr>
          <w:rFonts w:eastAsia="Times New Roman" w:cs="Times New Roman"/>
          <w:bCs/>
          <w:color w:val="000000" w:themeColor="text1"/>
          <w:sz w:val="20"/>
          <w:lang w:eastAsia="en-US"/>
        </w:rPr>
        <w:t>redacción de las especificaciones técnicas del llamado a licitación para el piloto/arquitecto.</w:t>
      </w:r>
    </w:p>
    <w:p w:rsidR="00CA682E" w:rsidRPr="00CA682E" w:rsidRDefault="00CA682E" w:rsidP="00CA682E">
      <w:pPr>
        <w:shd w:val="clear" w:color="auto" w:fill="FFFFFF" w:themeFill="background1"/>
        <w:ind w:left="720"/>
        <w:rPr>
          <w:rFonts w:eastAsia="Times New Roman" w:cs="Times New Roman"/>
          <w:bCs/>
          <w:color w:val="000000" w:themeColor="text1"/>
          <w:sz w:val="20"/>
          <w:lang w:eastAsia="en-US"/>
        </w:rPr>
      </w:pPr>
    </w:p>
    <w:p w:rsidR="00CA682E" w:rsidRPr="00CA682E" w:rsidRDefault="00CA682E" w:rsidP="00CA682E">
      <w:pPr>
        <w:numPr>
          <w:ilvl w:val="0"/>
          <w:numId w:val="127"/>
        </w:numPr>
        <w:tabs>
          <w:tab w:val="left" w:pos="567"/>
        </w:tabs>
        <w:spacing w:after="220"/>
        <w:ind w:left="0" w:firstLine="0"/>
        <w:jc w:val="both"/>
        <w:rPr>
          <w:rFonts w:eastAsiaTheme="minorHAnsi"/>
          <w:color w:val="000000" w:themeColor="text1"/>
          <w:sz w:val="20"/>
        </w:rPr>
      </w:pPr>
      <w:r w:rsidRPr="00CA682E">
        <w:rPr>
          <w:bCs/>
          <w:color w:val="000000" w:themeColor="text1"/>
          <w:sz w:val="20"/>
        </w:rPr>
        <w:t>Debido a la demora en la finalización (desde comienzos de 2014 hasta septiembre del mismo año) de la nueva sala de conferencias de la OMPI, el inicio del proyecto se pospuso de nueve meses en relación con el plan original.  El calendario del proyecto se extendió hasta 2018.</w:t>
      </w:r>
    </w:p>
    <w:p w:rsidR="00CA682E" w:rsidRPr="00CA682E" w:rsidRDefault="00CA682E" w:rsidP="00CA682E">
      <w:pPr>
        <w:numPr>
          <w:ilvl w:val="0"/>
          <w:numId w:val="127"/>
        </w:numPr>
        <w:tabs>
          <w:tab w:val="left" w:pos="567"/>
        </w:tabs>
        <w:spacing w:after="220"/>
        <w:ind w:left="0" w:firstLine="0"/>
        <w:jc w:val="both"/>
        <w:rPr>
          <w:rFonts w:eastAsiaTheme="minorHAnsi"/>
          <w:color w:val="000000" w:themeColor="text1"/>
          <w:sz w:val="20"/>
        </w:rPr>
      </w:pPr>
      <w:r w:rsidRPr="00CA682E">
        <w:rPr>
          <w:rFonts w:eastAsiaTheme="minorHAnsi"/>
          <w:color w:val="000000" w:themeColor="text1"/>
          <w:sz w:val="20"/>
        </w:rPr>
        <w:t>En 2015, se realizaron los avances siguientes:</w:t>
      </w:r>
    </w:p>
    <w:p w:rsidR="00CA682E" w:rsidRPr="00CA682E" w:rsidRDefault="00022991" w:rsidP="00CA682E">
      <w:pPr>
        <w:numPr>
          <w:ilvl w:val="0"/>
          <w:numId w:val="136"/>
        </w:numPr>
        <w:autoSpaceDE w:val="0"/>
        <w:autoSpaceDN w:val="0"/>
        <w:adjustRightInd w:val="0"/>
        <w:spacing w:after="120"/>
        <w:ind w:left="1134" w:hanging="567"/>
        <w:rPr>
          <w:rFonts w:eastAsia="Times New Roman" w:cs="Times New Roman"/>
          <w:bCs/>
          <w:color w:val="000000" w:themeColor="text1"/>
          <w:sz w:val="20"/>
          <w:lang w:eastAsia="en-US"/>
        </w:rPr>
      </w:pPr>
      <w:r w:rsidRPr="00CA682E">
        <w:rPr>
          <w:rFonts w:eastAsia="Times New Roman" w:cs="Times New Roman"/>
          <w:bCs/>
          <w:color w:val="000000" w:themeColor="text1"/>
          <w:sz w:val="20"/>
          <w:lang w:eastAsia="en-US"/>
        </w:rPr>
        <w:t xml:space="preserve">licitación </w:t>
      </w:r>
      <w:r w:rsidR="00CA682E" w:rsidRPr="00CA682E">
        <w:rPr>
          <w:rFonts w:eastAsia="Times New Roman" w:cs="Times New Roman"/>
          <w:bCs/>
          <w:color w:val="000000" w:themeColor="text1"/>
          <w:sz w:val="20"/>
          <w:lang w:eastAsia="en-US"/>
        </w:rPr>
        <w:t>relativa al piloto/arquitecto;</w:t>
      </w:r>
    </w:p>
    <w:p w:rsidR="00CA682E" w:rsidRPr="00CA682E" w:rsidRDefault="00022991" w:rsidP="00CA682E">
      <w:pPr>
        <w:numPr>
          <w:ilvl w:val="0"/>
          <w:numId w:val="136"/>
        </w:numPr>
        <w:autoSpaceDE w:val="0"/>
        <w:autoSpaceDN w:val="0"/>
        <w:adjustRightInd w:val="0"/>
        <w:spacing w:after="120"/>
        <w:ind w:left="1134" w:hanging="567"/>
        <w:rPr>
          <w:rFonts w:eastAsia="Times New Roman" w:cs="Times New Roman"/>
          <w:bCs/>
          <w:color w:val="000000" w:themeColor="text1"/>
          <w:sz w:val="20"/>
          <w:lang w:eastAsia="en-US"/>
        </w:rPr>
      </w:pPr>
      <w:r w:rsidRPr="00CA682E">
        <w:rPr>
          <w:rFonts w:eastAsia="Times New Roman" w:cs="Times New Roman"/>
          <w:bCs/>
          <w:color w:val="000000" w:themeColor="text1"/>
          <w:sz w:val="20"/>
          <w:lang w:eastAsia="en-US"/>
        </w:rPr>
        <w:lastRenderedPageBreak/>
        <w:t xml:space="preserve">adjudicación </w:t>
      </w:r>
      <w:r w:rsidR="00CA682E" w:rsidRPr="00CA682E">
        <w:rPr>
          <w:rFonts w:eastAsia="Times New Roman" w:cs="Times New Roman"/>
          <w:bCs/>
          <w:color w:val="000000" w:themeColor="text1"/>
          <w:sz w:val="20"/>
          <w:lang w:eastAsia="en-US"/>
        </w:rPr>
        <w:t>del contrato al piloto /arquitecto en diciembre de 2015, que sufrió un retraso respecto de la fecha prevista originalmente en el calendario, segundo trimestre de 2015, debido a la finalización del proyecto de construcción de la nueva sala de conferencias;</w:t>
      </w:r>
    </w:p>
    <w:p w:rsidR="00CA682E" w:rsidRPr="00CA682E" w:rsidRDefault="00022991" w:rsidP="00CA682E">
      <w:pPr>
        <w:numPr>
          <w:ilvl w:val="0"/>
          <w:numId w:val="136"/>
        </w:numPr>
        <w:autoSpaceDE w:val="0"/>
        <w:autoSpaceDN w:val="0"/>
        <w:adjustRightInd w:val="0"/>
        <w:spacing w:after="120"/>
        <w:ind w:left="1134" w:hanging="567"/>
        <w:rPr>
          <w:rFonts w:eastAsia="Times New Roman" w:cs="Times New Roman"/>
          <w:bCs/>
          <w:color w:val="000000" w:themeColor="text1"/>
          <w:sz w:val="20"/>
          <w:lang w:eastAsia="en-US"/>
        </w:rPr>
      </w:pPr>
      <w:r w:rsidRPr="00CA682E">
        <w:rPr>
          <w:rFonts w:eastAsia="Times New Roman" w:cs="Times New Roman"/>
          <w:bCs/>
          <w:color w:val="000000" w:themeColor="text1"/>
          <w:sz w:val="20"/>
          <w:lang w:eastAsia="en-US"/>
        </w:rPr>
        <w:t xml:space="preserve">preparación </w:t>
      </w:r>
      <w:r w:rsidR="00CA682E" w:rsidRPr="00CA682E">
        <w:rPr>
          <w:rFonts w:eastAsia="Times New Roman" w:cs="Times New Roman"/>
          <w:bCs/>
          <w:color w:val="000000" w:themeColor="text1"/>
          <w:sz w:val="20"/>
          <w:lang w:eastAsia="en-US"/>
        </w:rPr>
        <w:t>de las especificaciones preliminares para los ingenieros de calefacción, ventilación y aire acondicionado;  y</w:t>
      </w:r>
    </w:p>
    <w:p w:rsidR="00CA682E" w:rsidRPr="00CA682E" w:rsidRDefault="00022991" w:rsidP="00CA682E">
      <w:pPr>
        <w:numPr>
          <w:ilvl w:val="0"/>
          <w:numId w:val="136"/>
        </w:numPr>
        <w:autoSpaceDE w:val="0"/>
        <w:autoSpaceDN w:val="0"/>
        <w:adjustRightInd w:val="0"/>
        <w:ind w:left="1134" w:hanging="567"/>
        <w:rPr>
          <w:rFonts w:eastAsia="Times New Roman" w:cs="Times New Roman"/>
          <w:bCs/>
          <w:color w:val="000000" w:themeColor="text1"/>
          <w:sz w:val="20"/>
          <w:lang w:eastAsia="en-US"/>
        </w:rPr>
      </w:pPr>
      <w:r w:rsidRPr="00CA682E">
        <w:rPr>
          <w:rFonts w:eastAsia="Times New Roman" w:cs="Times New Roman"/>
          <w:bCs/>
          <w:color w:val="000000" w:themeColor="text1"/>
          <w:sz w:val="20"/>
          <w:lang w:eastAsia="en-US"/>
        </w:rPr>
        <w:t xml:space="preserve">inicio </w:t>
      </w:r>
      <w:r w:rsidR="00CA682E" w:rsidRPr="00CA682E">
        <w:rPr>
          <w:rFonts w:eastAsia="Times New Roman" w:cs="Times New Roman"/>
          <w:bCs/>
          <w:color w:val="000000" w:themeColor="text1"/>
          <w:sz w:val="20"/>
          <w:lang w:eastAsia="en-US"/>
        </w:rPr>
        <w:t>del proceso de licitación de los ingenieros en climatización y de fachadas.   Con el fin de que el piloto/arquitecto participen plenamente en este proceso</w:t>
      </w:r>
      <w:r w:rsidR="00CA682E" w:rsidRPr="00CA682E">
        <w:rPr>
          <w:rFonts w:eastAsia="Times New Roman" w:cs="Times New Roman"/>
          <w:bCs/>
          <w:color w:val="000000" w:themeColor="text1"/>
          <w:sz w:val="20"/>
          <w:lang w:eastAsia="en-US"/>
        </w:rPr>
        <w:footnoteReference w:id="175"/>
      </w:r>
      <w:r w:rsidR="00CA682E" w:rsidRPr="00CA682E">
        <w:rPr>
          <w:rFonts w:eastAsia="Times New Roman" w:cs="Times New Roman"/>
          <w:bCs/>
          <w:color w:val="000000" w:themeColor="text1"/>
          <w:sz w:val="20"/>
          <w:lang w:eastAsia="en-US"/>
        </w:rPr>
        <w:t>, se pospuso la finalización del plazo relativo a la licitación.</w:t>
      </w:r>
    </w:p>
    <w:p w:rsidR="00CA682E" w:rsidRPr="00CA682E" w:rsidRDefault="00CA682E" w:rsidP="00CA682E">
      <w:pPr>
        <w:autoSpaceDE w:val="0"/>
        <w:autoSpaceDN w:val="0"/>
        <w:adjustRightInd w:val="0"/>
        <w:ind w:left="1134"/>
        <w:rPr>
          <w:rFonts w:eastAsia="Times New Roman" w:cs="Times New Roman"/>
          <w:bCs/>
          <w:color w:val="000000" w:themeColor="text1"/>
          <w:sz w:val="20"/>
          <w:lang w:eastAsia="en-US"/>
        </w:rPr>
      </w:pPr>
    </w:p>
    <w:p w:rsidR="00CA682E" w:rsidRPr="00CA682E" w:rsidRDefault="00CA682E" w:rsidP="00CA682E">
      <w:pPr>
        <w:numPr>
          <w:ilvl w:val="0"/>
          <w:numId w:val="127"/>
        </w:numPr>
        <w:tabs>
          <w:tab w:val="left" w:pos="567"/>
        </w:tabs>
        <w:ind w:left="0" w:firstLine="0"/>
        <w:jc w:val="both"/>
        <w:rPr>
          <w:color w:val="000000" w:themeColor="text1"/>
          <w:sz w:val="20"/>
        </w:rPr>
      </w:pPr>
      <w:r w:rsidRPr="00CA682E">
        <w:rPr>
          <w:color w:val="000000" w:themeColor="text1"/>
          <w:sz w:val="20"/>
        </w:rPr>
        <w:t>Se ha vuelto a actualizar el calendario del proyecto para reflejar los cambios de planes anteriormente mencionados.</w:t>
      </w:r>
    </w:p>
    <w:p w:rsidR="00CA682E" w:rsidRPr="00CA682E" w:rsidRDefault="00CA682E" w:rsidP="00CA682E">
      <w:pPr>
        <w:keepNext/>
        <w:keepLines/>
        <w:rPr>
          <w:rFonts w:eastAsia="Times New Roman" w:cs="Times New Roman"/>
          <w:bCs/>
          <w:color w:val="000000" w:themeColor="text1"/>
          <w:sz w:val="18"/>
          <w:lang w:eastAsia="en-US"/>
        </w:rPr>
      </w:pPr>
    </w:p>
    <w:p w:rsidR="00CA682E" w:rsidRPr="00CA682E" w:rsidRDefault="00CA682E" w:rsidP="00CA682E">
      <w:pPr>
        <w:keepNext/>
        <w:keepLines/>
        <w:rPr>
          <w:rFonts w:eastAsia="Times New Roman" w:cs="Times New Roman"/>
          <w:bCs/>
          <w:color w:val="000000" w:themeColor="text1"/>
          <w:sz w:val="18"/>
          <w:lang w:eastAsia="en-US"/>
        </w:rPr>
      </w:pPr>
    </w:p>
    <w:p w:rsidR="00CA682E" w:rsidRPr="00CA682E" w:rsidRDefault="00CA682E" w:rsidP="00CA682E">
      <w:pPr>
        <w:keepNext/>
        <w:keepLines/>
        <w:rPr>
          <w:rFonts w:eastAsia="Times New Roman" w:cs="Times New Roman"/>
          <w:bCs/>
          <w:color w:val="000000" w:themeColor="text1"/>
          <w:sz w:val="20"/>
          <w:lang w:eastAsia="en-US"/>
        </w:rPr>
      </w:pPr>
      <w:r w:rsidRPr="00CA682E">
        <w:rPr>
          <w:rFonts w:eastAsia="Times New Roman" w:cs="Times New Roman"/>
          <w:bCs/>
          <w:color w:val="000000" w:themeColor="text1"/>
          <w:sz w:val="20"/>
          <w:lang w:eastAsia="en-US"/>
        </w:rPr>
        <w:t>OBTENCIÓN DE BENEFICIOS</w:t>
      </w:r>
    </w:p>
    <w:p w:rsidR="00CA682E" w:rsidRPr="00CA682E" w:rsidRDefault="00CA682E" w:rsidP="00CA682E">
      <w:pPr>
        <w:keepNext/>
        <w:keepLines/>
        <w:rPr>
          <w:rFonts w:eastAsia="Times New Roman" w:cs="Times New Roman"/>
          <w:color w:val="000000" w:themeColor="text1"/>
          <w:sz w:val="20"/>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3"/>
        <w:gridCol w:w="5105"/>
      </w:tblGrid>
      <w:tr w:rsidR="00CA682E" w:rsidRPr="00CA682E" w:rsidTr="007B1DE4">
        <w:trPr>
          <w:trHeight w:val="552"/>
          <w:tblHeader/>
          <w:jc w:val="center"/>
        </w:trPr>
        <w:tc>
          <w:tcPr>
            <w:tcW w:w="3973" w:type="dxa"/>
            <w:shd w:val="clear" w:color="auto" w:fill="C6D9F1" w:themeFill="text2" w:themeFillTint="33"/>
            <w:vAlign w:val="center"/>
          </w:tcPr>
          <w:p w:rsidR="00CA682E" w:rsidRPr="00CA682E" w:rsidRDefault="00CA682E" w:rsidP="00CA682E">
            <w:pPr>
              <w:keepNext/>
              <w:keepLines/>
              <w:jc w:val="center"/>
              <w:rPr>
                <w:rFonts w:eastAsia="Times New Roman" w:cs="Times New Roman"/>
                <w:b/>
                <w:bCs/>
                <w:color w:val="000000" w:themeColor="text1"/>
                <w:sz w:val="16"/>
                <w:szCs w:val="16"/>
                <w:lang w:eastAsia="en-US"/>
              </w:rPr>
            </w:pPr>
            <w:r w:rsidRPr="00CA682E">
              <w:rPr>
                <w:rFonts w:eastAsia="Times New Roman" w:cs="Times New Roman"/>
                <w:b/>
                <w:bCs/>
                <w:color w:val="000000" w:themeColor="text1"/>
                <w:sz w:val="16"/>
                <w:szCs w:val="16"/>
                <w:lang w:eastAsia="en-US"/>
              </w:rPr>
              <w:t>Beneficios previstos para 2017</w:t>
            </w:r>
          </w:p>
        </w:tc>
        <w:tc>
          <w:tcPr>
            <w:tcW w:w="5105" w:type="dxa"/>
            <w:shd w:val="clear" w:color="auto" w:fill="C6D9F1" w:themeFill="text2" w:themeFillTint="33"/>
            <w:vAlign w:val="center"/>
          </w:tcPr>
          <w:p w:rsidR="00CA682E" w:rsidRPr="00CA682E" w:rsidRDefault="00CA682E" w:rsidP="00CA682E">
            <w:pPr>
              <w:keepNext/>
              <w:keepLines/>
              <w:jc w:val="center"/>
              <w:rPr>
                <w:rFonts w:eastAsia="Times New Roman" w:cs="Times New Roman"/>
                <w:b/>
                <w:bCs/>
                <w:color w:val="000000" w:themeColor="text1"/>
                <w:sz w:val="16"/>
                <w:szCs w:val="16"/>
                <w:lang w:eastAsia="en-US"/>
              </w:rPr>
            </w:pPr>
            <w:r w:rsidRPr="00CA682E">
              <w:rPr>
                <w:rFonts w:eastAsia="Times New Roman" w:cs="Times New Roman"/>
                <w:b/>
                <w:bCs/>
                <w:color w:val="000000" w:themeColor="text1"/>
                <w:sz w:val="16"/>
                <w:szCs w:val="16"/>
                <w:lang w:eastAsia="en-US"/>
              </w:rPr>
              <w:t>Beneficios previstos para 2018</w:t>
            </w:r>
          </w:p>
        </w:tc>
      </w:tr>
      <w:tr w:rsidR="00CA682E" w:rsidRPr="00CA682E" w:rsidTr="007B1DE4">
        <w:trPr>
          <w:trHeight w:val="417"/>
          <w:jc w:val="center"/>
        </w:trPr>
        <w:tc>
          <w:tcPr>
            <w:tcW w:w="3973" w:type="dxa"/>
            <w:shd w:val="clear" w:color="auto" w:fill="auto"/>
            <w:vAlign w:val="center"/>
          </w:tcPr>
          <w:p w:rsidR="00CA682E" w:rsidRPr="00CA682E" w:rsidRDefault="00CA682E" w:rsidP="00CA682E">
            <w:pPr>
              <w:keepNext/>
              <w:keepLines/>
              <w:rPr>
                <w:rFonts w:eastAsia="Times New Roman" w:cs="Times New Roman"/>
                <w:bCs/>
                <w:iCs/>
                <w:color w:val="000000" w:themeColor="text1"/>
                <w:sz w:val="16"/>
                <w:szCs w:val="16"/>
                <w:lang w:eastAsia="en-US"/>
              </w:rPr>
            </w:pPr>
            <w:r w:rsidRPr="00CA682E">
              <w:rPr>
                <w:rFonts w:eastAsia="Times New Roman" w:cs="Times New Roman"/>
                <w:bCs/>
                <w:iCs/>
                <w:color w:val="000000" w:themeColor="text1"/>
                <w:sz w:val="16"/>
                <w:szCs w:val="16"/>
                <w:lang w:eastAsia="en-US"/>
              </w:rPr>
              <w:t>Mejoras parciales en las instalaciones técnicas</w:t>
            </w:r>
          </w:p>
        </w:tc>
        <w:tc>
          <w:tcPr>
            <w:tcW w:w="5105" w:type="dxa"/>
            <w:shd w:val="clear" w:color="auto" w:fill="auto"/>
            <w:vAlign w:val="center"/>
          </w:tcPr>
          <w:p w:rsidR="00CA682E" w:rsidRPr="00CA682E" w:rsidRDefault="00CA682E" w:rsidP="00CA682E">
            <w:pPr>
              <w:keepNext/>
              <w:keepLines/>
              <w:rPr>
                <w:rFonts w:eastAsia="Times New Roman" w:cs="Times New Roman"/>
                <w:bCs/>
                <w:iCs/>
                <w:color w:val="000000" w:themeColor="text1"/>
                <w:sz w:val="16"/>
                <w:szCs w:val="16"/>
                <w:lang w:eastAsia="en-US"/>
              </w:rPr>
            </w:pPr>
            <w:r w:rsidRPr="00CA682E">
              <w:rPr>
                <w:rFonts w:eastAsia="Times New Roman" w:cs="Times New Roman"/>
                <w:bCs/>
                <w:iCs/>
                <w:color w:val="000000" w:themeColor="text1"/>
                <w:sz w:val="16"/>
                <w:szCs w:val="16"/>
                <w:lang w:eastAsia="en-US"/>
              </w:rPr>
              <w:t>Mejora total de las instalaciones técnicas</w:t>
            </w:r>
          </w:p>
        </w:tc>
      </w:tr>
      <w:tr w:rsidR="00CA682E" w:rsidRPr="00CA682E" w:rsidTr="007B1DE4">
        <w:trPr>
          <w:trHeight w:val="423"/>
          <w:jc w:val="center"/>
        </w:trPr>
        <w:tc>
          <w:tcPr>
            <w:tcW w:w="3973" w:type="dxa"/>
            <w:shd w:val="clear" w:color="auto" w:fill="auto"/>
            <w:vAlign w:val="center"/>
          </w:tcPr>
          <w:p w:rsidR="00CA682E" w:rsidRPr="00CA682E" w:rsidRDefault="00CA682E" w:rsidP="00CA682E">
            <w:pPr>
              <w:keepNext/>
              <w:keepLines/>
              <w:rPr>
                <w:rFonts w:eastAsia="Times New Roman" w:cs="Times New Roman"/>
                <w:bCs/>
                <w:iCs/>
                <w:color w:val="000000" w:themeColor="text1"/>
                <w:sz w:val="16"/>
                <w:szCs w:val="16"/>
                <w:lang w:eastAsia="en-US"/>
              </w:rPr>
            </w:pPr>
            <w:r w:rsidRPr="00CA682E">
              <w:rPr>
                <w:rFonts w:eastAsia="Times New Roman" w:cs="Times New Roman"/>
                <w:bCs/>
                <w:iCs/>
                <w:color w:val="000000" w:themeColor="text1"/>
                <w:sz w:val="16"/>
                <w:szCs w:val="16"/>
                <w:lang w:eastAsia="en-US"/>
              </w:rPr>
              <w:t>Mejora parcial de la comodidad de los ocupantes</w:t>
            </w:r>
          </w:p>
        </w:tc>
        <w:tc>
          <w:tcPr>
            <w:tcW w:w="5105" w:type="dxa"/>
            <w:shd w:val="clear" w:color="auto" w:fill="auto"/>
            <w:vAlign w:val="center"/>
          </w:tcPr>
          <w:p w:rsidR="00CA682E" w:rsidRPr="00CA682E" w:rsidRDefault="00CA682E" w:rsidP="00CA682E">
            <w:pPr>
              <w:keepNext/>
              <w:keepLines/>
              <w:rPr>
                <w:rFonts w:eastAsia="Times New Roman" w:cs="Times New Roman"/>
                <w:bCs/>
                <w:iCs/>
                <w:color w:val="000000" w:themeColor="text1"/>
                <w:sz w:val="16"/>
                <w:szCs w:val="16"/>
                <w:lang w:eastAsia="en-US"/>
              </w:rPr>
            </w:pPr>
            <w:r w:rsidRPr="00CA682E">
              <w:rPr>
                <w:rFonts w:eastAsia="Times New Roman" w:cs="Times New Roman"/>
                <w:bCs/>
                <w:iCs/>
                <w:color w:val="000000" w:themeColor="text1"/>
                <w:sz w:val="16"/>
                <w:szCs w:val="16"/>
                <w:lang w:eastAsia="en-US"/>
              </w:rPr>
              <w:t>Mejora total de la comodidad de los ocupantes</w:t>
            </w:r>
          </w:p>
        </w:tc>
      </w:tr>
      <w:tr w:rsidR="00CA682E" w:rsidRPr="00CA682E" w:rsidTr="007B1DE4">
        <w:trPr>
          <w:trHeight w:val="416"/>
          <w:jc w:val="center"/>
        </w:trPr>
        <w:tc>
          <w:tcPr>
            <w:tcW w:w="3973" w:type="dxa"/>
            <w:shd w:val="clear" w:color="auto" w:fill="auto"/>
            <w:vAlign w:val="center"/>
          </w:tcPr>
          <w:p w:rsidR="00CA682E" w:rsidRPr="00CA682E" w:rsidRDefault="00CA682E" w:rsidP="00CA682E">
            <w:pPr>
              <w:rPr>
                <w:rFonts w:eastAsia="Times New Roman" w:cs="Times New Roman"/>
                <w:bCs/>
                <w:iCs/>
                <w:color w:val="000000" w:themeColor="text1"/>
                <w:sz w:val="16"/>
                <w:szCs w:val="16"/>
                <w:lang w:eastAsia="en-US"/>
              </w:rPr>
            </w:pPr>
          </w:p>
        </w:tc>
        <w:tc>
          <w:tcPr>
            <w:tcW w:w="5105" w:type="dxa"/>
            <w:shd w:val="clear" w:color="auto" w:fill="auto"/>
            <w:vAlign w:val="center"/>
          </w:tcPr>
          <w:p w:rsidR="00CA682E" w:rsidRPr="00CA682E" w:rsidRDefault="00CA682E" w:rsidP="00CA682E">
            <w:pPr>
              <w:rPr>
                <w:rFonts w:eastAsia="Times New Roman" w:cs="Times New Roman"/>
                <w:bCs/>
                <w:iCs/>
                <w:color w:val="000000" w:themeColor="text1"/>
                <w:sz w:val="16"/>
                <w:szCs w:val="16"/>
                <w:lang w:eastAsia="en-US"/>
              </w:rPr>
            </w:pPr>
            <w:r w:rsidRPr="00CA682E">
              <w:rPr>
                <w:rFonts w:eastAsia="Times New Roman" w:cs="Times New Roman"/>
                <w:bCs/>
                <w:iCs/>
                <w:color w:val="000000" w:themeColor="text1"/>
                <w:sz w:val="16"/>
                <w:szCs w:val="16"/>
                <w:lang w:eastAsia="en-US"/>
              </w:rPr>
              <w:t>Reducción parcial del desperdicio de energía gracias a la mejora de las fachadas</w:t>
            </w:r>
          </w:p>
        </w:tc>
      </w:tr>
      <w:tr w:rsidR="00CA682E" w:rsidRPr="00CA682E" w:rsidTr="007B1DE4">
        <w:trPr>
          <w:trHeight w:val="552"/>
          <w:jc w:val="center"/>
        </w:trPr>
        <w:tc>
          <w:tcPr>
            <w:tcW w:w="3973" w:type="dxa"/>
            <w:shd w:val="clear" w:color="auto" w:fill="auto"/>
            <w:vAlign w:val="center"/>
          </w:tcPr>
          <w:p w:rsidR="00CA682E" w:rsidRPr="00CA682E" w:rsidRDefault="00CA682E" w:rsidP="00CA682E">
            <w:pPr>
              <w:rPr>
                <w:rFonts w:eastAsia="Times New Roman" w:cs="Times New Roman"/>
                <w:bCs/>
                <w:iCs/>
                <w:color w:val="000000" w:themeColor="text1"/>
                <w:sz w:val="16"/>
                <w:szCs w:val="16"/>
                <w:lang w:eastAsia="en-US"/>
              </w:rPr>
            </w:pPr>
          </w:p>
        </w:tc>
        <w:tc>
          <w:tcPr>
            <w:tcW w:w="5105" w:type="dxa"/>
            <w:shd w:val="clear" w:color="auto" w:fill="auto"/>
            <w:vAlign w:val="center"/>
          </w:tcPr>
          <w:p w:rsidR="00CA682E" w:rsidRPr="00CA682E" w:rsidRDefault="00CA682E" w:rsidP="00CA682E">
            <w:pPr>
              <w:rPr>
                <w:rFonts w:eastAsia="Times New Roman" w:cs="Times New Roman"/>
                <w:bCs/>
                <w:iCs/>
                <w:color w:val="000000" w:themeColor="text1"/>
                <w:sz w:val="16"/>
                <w:szCs w:val="16"/>
                <w:lang w:eastAsia="en-US"/>
              </w:rPr>
            </w:pPr>
            <w:r w:rsidRPr="00CA682E">
              <w:rPr>
                <w:rFonts w:eastAsia="Times New Roman" w:cs="Times New Roman"/>
                <w:bCs/>
                <w:iCs/>
                <w:color w:val="000000" w:themeColor="text1"/>
                <w:sz w:val="16"/>
                <w:szCs w:val="16"/>
                <w:lang w:eastAsia="en-US"/>
              </w:rPr>
              <w:t>Reducción parcial del consumo de energía gracias al nuevo falso techo térmico</w:t>
            </w:r>
          </w:p>
        </w:tc>
      </w:tr>
      <w:tr w:rsidR="00CA682E" w:rsidRPr="00CA682E" w:rsidTr="007B1DE4">
        <w:trPr>
          <w:trHeight w:val="427"/>
          <w:jc w:val="center"/>
        </w:trPr>
        <w:tc>
          <w:tcPr>
            <w:tcW w:w="3973" w:type="dxa"/>
            <w:shd w:val="clear" w:color="auto" w:fill="auto"/>
            <w:vAlign w:val="center"/>
          </w:tcPr>
          <w:p w:rsidR="00CA682E" w:rsidRPr="00CA682E" w:rsidRDefault="00CA682E" w:rsidP="00CA682E">
            <w:pPr>
              <w:rPr>
                <w:rFonts w:eastAsia="Times New Roman" w:cs="Times New Roman"/>
                <w:b/>
                <w:bCs/>
                <w:i/>
                <w:iCs/>
                <w:color w:val="000000" w:themeColor="text1"/>
                <w:sz w:val="16"/>
                <w:szCs w:val="16"/>
                <w:lang w:eastAsia="en-US"/>
              </w:rPr>
            </w:pPr>
          </w:p>
        </w:tc>
        <w:tc>
          <w:tcPr>
            <w:tcW w:w="5105" w:type="dxa"/>
            <w:shd w:val="clear" w:color="auto" w:fill="auto"/>
            <w:vAlign w:val="center"/>
          </w:tcPr>
          <w:p w:rsidR="00CA682E" w:rsidRPr="00CA682E" w:rsidRDefault="00CA682E" w:rsidP="00CA682E">
            <w:pPr>
              <w:rPr>
                <w:rFonts w:eastAsia="Times New Roman" w:cs="Times New Roman"/>
                <w:bCs/>
                <w:iCs/>
                <w:color w:val="000000" w:themeColor="text1"/>
                <w:sz w:val="16"/>
                <w:szCs w:val="16"/>
                <w:lang w:eastAsia="en-US"/>
              </w:rPr>
            </w:pPr>
            <w:r w:rsidRPr="00CA682E">
              <w:rPr>
                <w:rFonts w:eastAsia="Times New Roman" w:cs="Times New Roman"/>
                <w:bCs/>
                <w:iCs/>
                <w:color w:val="000000" w:themeColor="text1"/>
                <w:sz w:val="16"/>
                <w:szCs w:val="16"/>
                <w:lang w:eastAsia="en-US"/>
              </w:rPr>
              <w:t>Aumento del ciclo de vida útil del nuevo falso techo térmico</w:t>
            </w:r>
          </w:p>
        </w:tc>
      </w:tr>
      <w:tr w:rsidR="00CA682E" w:rsidRPr="00CA682E" w:rsidTr="007B1DE4">
        <w:trPr>
          <w:trHeight w:val="552"/>
          <w:jc w:val="center"/>
        </w:trPr>
        <w:tc>
          <w:tcPr>
            <w:tcW w:w="3973" w:type="dxa"/>
            <w:shd w:val="clear" w:color="auto" w:fill="auto"/>
            <w:vAlign w:val="center"/>
          </w:tcPr>
          <w:p w:rsidR="00CA682E" w:rsidRPr="00CA682E" w:rsidRDefault="00CA682E" w:rsidP="00CA682E">
            <w:pPr>
              <w:rPr>
                <w:rFonts w:eastAsia="Times New Roman" w:cs="Times New Roman"/>
                <w:b/>
                <w:bCs/>
                <w:i/>
                <w:iCs/>
                <w:color w:val="000000" w:themeColor="text1"/>
                <w:sz w:val="16"/>
                <w:szCs w:val="16"/>
                <w:lang w:eastAsia="en-US"/>
              </w:rPr>
            </w:pPr>
          </w:p>
        </w:tc>
        <w:tc>
          <w:tcPr>
            <w:tcW w:w="5105" w:type="dxa"/>
            <w:shd w:val="clear" w:color="auto" w:fill="auto"/>
            <w:vAlign w:val="center"/>
          </w:tcPr>
          <w:p w:rsidR="00CA682E" w:rsidRPr="00CA682E" w:rsidRDefault="00CA682E" w:rsidP="00CA682E">
            <w:pPr>
              <w:rPr>
                <w:rFonts w:eastAsia="Times New Roman" w:cs="Times New Roman"/>
                <w:bCs/>
                <w:iCs/>
                <w:color w:val="000000" w:themeColor="text1"/>
                <w:sz w:val="16"/>
                <w:szCs w:val="16"/>
                <w:lang w:eastAsia="en-US"/>
              </w:rPr>
            </w:pPr>
            <w:r w:rsidRPr="00CA682E">
              <w:rPr>
                <w:rFonts w:eastAsia="Times New Roman" w:cs="Times New Roman"/>
                <w:bCs/>
                <w:iCs/>
                <w:color w:val="000000" w:themeColor="text1"/>
                <w:sz w:val="16"/>
                <w:szCs w:val="16"/>
                <w:lang w:eastAsia="en-US"/>
              </w:rPr>
              <w:t>Reducción de los costos de mantenimiento correctivo gracias al nuevo falso techo térmico</w:t>
            </w:r>
          </w:p>
        </w:tc>
      </w:tr>
    </w:tbl>
    <w:p w:rsidR="00CA682E" w:rsidRPr="00CA682E" w:rsidRDefault="00CA682E" w:rsidP="00CA682E">
      <w:pPr>
        <w:rPr>
          <w:rFonts w:eastAsia="Times New Roman" w:cs="Times New Roman"/>
          <w:b/>
          <w:color w:val="000000" w:themeColor="text1"/>
          <w:sz w:val="18"/>
          <w:lang w:eastAsia="en-US"/>
        </w:rPr>
      </w:pPr>
    </w:p>
    <w:p w:rsidR="00CA682E" w:rsidRPr="00CA682E" w:rsidRDefault="00CA682E" w:rsidP="00CA682E">
      <w:pPr>
        <w:rPr>
          <w:rFonts w:eastAsia="Times New Roman"/>
          <w:color w:val="000000" w:themeColor="text1"/>
          <w:sz w:val="20"/>
          <w:szCs w:val="22"/>
          <w:lang w:eastAsia="en-US"/>
        </w:rPr>
      </w:pPr>
    </w:p>
    <w:p w:rsidR="00CA682E" w:rsidRPr="00CA682E" w:rsidRDefault="00CA682E" w:rsidP="00CA682E">
      <w:pPr>
        <w:rPr>
          <w:rFonts w:eastAsia="Times New Roman"/>
          <w:color w:val="000000" w:themeColor="text1"/>
          <w:sz w:val="20"/>
          <w:lang w:eastAsia="en-US"/>
        </w:rPr>
      </w:pPr>
      <w:r w:rsidRPr="00CA682E">
        <w:rPr>
          <w:rFonts w:eastAsia="Times New Roman"/>
          <w:color w:val="000000" w:themeColor="text1"/>
          <w:sz w:val="20"/>
          <w:lang w:eastAsia="en-US"/>
        </w:rPr>
        <w:t>UTILIZACIÓN DE LOS RECURSOS</w:t>
      </w:r>
      <w:r w:rsidRPr="00CA682E">
        <w:rPr>
          <w:rFonts w:eastAsia="Times New Roman"/>
          <w:color w:val="000000" w:themeColor="text1"/>
          <w:sz w:val="20"/>
          <w:vertAlign w:val="superscript"/>
          <w:lang w:eastAsia="en-US"/>
        </w:rPr>
        <w:footnoteReference w:id="176"/>
      </w:r>
    </w:p>
    <w:p w:rsidR="00CA682E" w:rsidRPr="00CA682E" w:rsidRDefault="00CA682E" w:rsidP="00CA682E">
      <w:pPr>
        <w:rPr>
          <w:rFonts w:eastAsia="Times New Roman"/>
          <w:color w:val="000000" w:themeColor="text1"/>
          <w:sz w:val="20"/>
          <w:lang w:eastAsia="en-US"/>
        </w:rPr>
      </w:pPr>
    </w:p>
    <w:p w:rsidR="00CA682E" w:rsidRPr="00CA682E" w:rsidRDefault="00CA682E" w:rsidP="00CA682E">
      <w:pPr>
        <w:keepNext/>
        <w:keepLines/>
        <w:tabs>
          <w:tab w:val="left" w:pos="3261"/>
        </w:tabs>
        <w:autoSpaceDE w:val="0"/>
        <w:autoSpaceDN w:val="0"/>
        <w:adjustRightInd w:val="0"/>
        <w:jc w:val="center"/>
        <w:rPr>
          <w:rFonts w:eastAsia="Times New Roman" w:cs="Times New Roman"/>
          <w:b/>
          <w:color w:val="000000" w:themeColor="text1"/>
          <w:sz w:val="20"/>
          <w:szCs w:val="22"/>
          <w:lang w:eastAsia="en-US"/>
        </w:rPr>
      </w:pPr>
      <w:r w:rsidRPr="00CA682E">
        <w:rPr>
          <w:rFonts w:eastAsia="Times New Roman" w:cs="Times New Roman"/>
          <w:b/>
          <w:color w:val="000000" w:themeColor="text1"/>
          <w:sz w:val="20"/>
          <w:szCs w:val="22"/>
          <w:lang w:eastAsia="en-US"/>
        </w:rPr>
        <w:t xml:space="preserve">Utilización del presupuesto del proyecto </w:t>
      </w:r>
    </w:p>
    <w:p w:rsidR="00CA682E" w:rsidRPr="00CA682E" w:rsidRDefault="00CA682E" w:rsidP="00CA682E">
      <w:pPr>
        <w:keepNext/>
        <w:keepLines/>
        <w:tabs>
          <w:tab w:val="left" w:pos="3261"/>
        </w:tabs>
        <w:autoSpaceDE w:val="0"/>
        <w:autoSpaceDN w:val="0"/>
        <w:adjustRightInd w:val="0"/>
        <w:spacing w:after="120"/>
        <w:jc w:val="center"/>
        <w:rPr>
          <w:rFonts w:eastAsia="Times New Roman" w:cs="Times New Roman"/>
          <w:i/>
          <w:iCs/>
          <w:color w:val="000000" w:themeColor="text1"/>
          <w:sz w:val="18"/>
          <w:szCs w:val="18"/>
          <w:lang w:eastAsia="en-US"/>
        </w:rPr>
      </w:pPr>
      <w:r w:rsidRPr="00CA682E">
        <w:rPr>
          <w:rFonts w:eastAsia="Times New Roman" w:cs="Times New Roman"/>
          <w:i/>
          <w:iCs/>
          <w:color w:val="000000" w:themeColor="text1"/>
          <w:sz w:val="18"/>
          <w:szCs w:val="18"/>
          <w:lang w:eastAsia="en-US"/>
        </w:rPr>
        <w:t>(</w:t>
      </w:r>
      <w:proofErr w:type="gramStart"/>
      <w:r w:rsidRPr="00CA682E">
        <w:rPr>
          <w:rFonts w:eastAsia="Times New Roman" w:cs="Times New Roman"/>
          <w:i/>
          <w:iCs/>
          <w:color w:val="000000" w:themeColor="text1"/>
          <w:sz w:val="18"/>
          <w:szCs w:val="18"/>
          <w:lang w:eastAsia="en-US"/>
        </w:rPr>
        <w:t>en</w:t>
      </w:r>
      <w:proofErr w:type="gramEnd"/>
      <w:r w:rsidRPr="00CA682E">
        <w:rPr>
          <w:rFonts w:eastAsia="Times New Roman" w:cs="Times New Roman"/>
          <w:i/>
          <w:iCs/>
          <w:color w:val="000000" w:themeColor="text1"/>
          <w:sz w:val="18"/>
          <w:szCs w:val="18"/>
          <w:lang w:eastAsia="en-US"/>
        </w:rPr>
        <w:t xml:space="preserve"> francos suizos, al 31 de diciembre de 2015)</w:t>
      </w:r>
    </w:p>
    <w:tbl>
      <w:tblPr>
        <w:tblpPr w:leftFromText="180" w:rightFromText="180" w:vertAnchor="text" w:horzAnchor="margin" w:tblpX="182" w:tblpY="17"/>
        <w:tblW w:w="48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0"/>
        <w:gridCol w:w="1564"/>
        <w:gridCol w:w="1565"/>
        <w:gridCol w:w="1565"/>
        <w:gridCol w:w="1564"/>
      </w:tblGrid>
      <w:tr w:rsidR="00CA682E" w:rsidRPr="00CA682E" w:rsidTr="007B1DE4">
        <w:trPr>
          <w:trHeight w:val="410"/>
        </w:trPr>
        <w:tc>
          <w:tcPr>
            <w:tcW w:w="159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keepNext/>
              <w:keepLines/>
              <w:autoSpaceDE w:val="0"/>
              <w:autoSpaceDN w:val="0"/>
              <w:adjustRightInd w:val="0"/>
              <w:spacing w:before="40" w:after="40"/>
              <w:ind w:left="-74" w:right="-60"/>
              <w:jc w:val="center"/>
              <w:rPr>
                <w:rFonts w:eastAsia="Times New Roman" w:cs="Times New Roman"/>
                <w:b/>
                <w:bCs/>
                <w:color w:val="000000" w:themeColor="text1"/>
                <w:sz w:val="16"/>
                <w:szCs w:val="16"/>
                <w:lang w:eastAsia="en-US"/>
              </w:rPr>
            </w:pPr>
            <w:r w:rsidRPr="00CA682E">
              <w:rPr>
                <w:rFonts w:eastAsia="Times New Roman" w:cs="Times New Roman"/>
                <w:b/>
                <w:bCs/>
                <w:color w:val="000000" w:themeColor="text1"/>
                <w:sz w:val="16"/>
                <w:szCs w:val="16"/>
                <w:lang w:eastAsia="en-US"/>
              </w:rPr>
              <w:t>Nombre del proyecto</w:t>
            </w:r>
          </w:p>
        </w:tc>
        <w:tc>
          <w:tcPr>
            <w:tcW w:w="85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keepNext/>
              <w:keepLines/>
              <w:autoSpaceDE w:val="0"/>
              <w:autoSpaceDN w:val="0"/>
              <w:adjustRightInd w:val="0"/>
              <w:spacing w:before="40" w:after="40"/>
              <w:ind w:left="-107" w:right="-108"/>
              <w:jc w:val="center"/>
              <w:rPr>
                <w:rFonts w:eastAsia="Times New Roman" w:cs="Times New Roman"/>
                <w:b/>
                <w:bCs/>
                <w:color w:val="000000" w:themeColor="text1"/>
                <w:sz w:val="16"/>
                <w:szCs w:val="16"/>
                <w:lang w:eastAsia="en-US"/>
              </w:rPr>
            </w:pPr>
            <w:r w:rsidRPr="00CA682E">
              <w:rPr>
                <w:rFonts w:eastAsia="Times New Roman" w:cs="Times New Roman"/>
                <w:b/>
                <w:bCs/>
                <w:color w:val="000000" w:themeColor="text1"/>
                <w:sz w:val="16"/>
                <w:szCs w:val="16"/>
                <w:lang w:eastAsia="en-US"/>
              </w:rPr>
              <w:t>Presupuesto del proyecto</w:t>
            </w:r>
          </w:p>
        </w:tc>
        <w:tc>
          <w:tcPr>
            <w:tcW w:w="85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keepNext/>
              <w:keepLines/>
              <w:autoSpaceDE w:val="0"/>
              <w:autoSpaceDN w:val="0"/>
              <w:adjustRightInd w:val="0"/>
              <w:spacing w:before="40" w:after="40"/>
              <w:ind w:left="-108" w:right="-106"/>
              <w:jc w:val="center"/>
              <w:rPr>
                <w:rFonts w:eastAsia="Times New Roman" w:cs="Times New Roman"/>
                <w:b/>
                <w:bCs/>
                <w:color w:val="000000" w:themeColor="text1"/>
                <w:sz w:val="16"/>
                <w:szCs w:val="16"/>
                <w:lang w:eastAsia="en-US"/>
              </w:rPr>
            </w:pPr>
            <w:r w:rsidRPr="00CA682E">
              <w:rPr>
                <w:rFonts w:eastAsia="Times New Roman" w:cs="Times New Roman"/>
                <w:b/>
                <w:bCs/>
                <w:color w:val="000000" w:themeColor="text1"/>
                <w:sz w:val="16"/>
                <w:szCs w:val="16"/>
                <w:lang w:eastAsia="en-US"/>
              </w:rPr>
              <w:t>Gasto real hasta la fecha</w:t>
            </w:r>
          </w:p>
        </w:tc>
        <w:tc>
          <w:tcPr>
            <w:tcW w:w="85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keepNext/>
              <w:keepLines/>
              <w:autoSpaceDE w:val="0"/>
              <w:autoSpaceDN w:val="0"/>
              <w:adjustRightInd w:val="0"/>
              <w:spacing w:before="40" w:after="40"/>
              <w:ind w:left="-109" w:right="-108"/>
              <w:jc w:val="center"/>
              <w:rPr>
                <w:rFonts w:eastAsia="Times New Roman" w:cs="Times New Roman"/>
                <w:b/>
                <w:bCs/>
                <w:color w:val="000000" w:themeColor="text1"/>
                <w:sz w:val="16"/>
                <w:szCs w:val="16"/>
                <w:lang w:eastAsia="en-US"/>
              </w:rPr>
            </w:pPr>
            <w:r w:rsidRPr="00CA682E">
              <w:rPr>
                <w:rFonts w:eastAsia="Times New Roman" w:cs="Times New Roman"/>
                <w:b/>
                <w:bCs/>
                <w:color w:val="000000" w:themeColor="text1"/>
                <w:sz w:val="16"/>
                <w:szCs w:val="16"/>
                <w:lang w:eastAsia="en-US"/>
              </w:rPr>
              <w:t>Utilización real del presupuesto</w:t>
            </w:r>
          </w:p>
        </w:tc>
        <w:tc>
          <w:tcPr>
            <w:tcW w:w="85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keepNext/>
              <w:keepLines/>
              <w:autoSpaceDE w:val="0"/>
              <w:autoSpaceDN w:val="0"/>
              <w:adjustRightInd w:val="0"/>
              <w:spacing w:before="40" w:after="40"/>
              <w:ind w:left="-109" w:right="-73" w:firstLine="1"/>
              <w:jc w:val="center"/>
              <w:rPr>
                <w:rFonts w:eastAsia="Times New Roman" w:cs="Times New Roman"/>
                <w:b/>
                <w:bCs/>
                <w:color w:val="000000" w:themeColor="text1"/>
                <w:sz w:val="16"/>
                <w:szCs w:val="16"/>
                <w:lang w:eastAsia="en-US"/>
              </w:rPr>
            </w:pPr>
            <w:r w:rsidRPr="00CA682E">
              <w:rPr>
                <w:rFonts w:eastAsia="Times New Roman" w:cs="Times New Roman"/>
                <w:b/>
                <w:bCs/>
                <w:color w:val="000000" w:themeColor="text1"/>
                <w:sz w:val="16"/>
                <w:szCs w:val="16"/>
                <w:lang w:eastAsia="en-US"/>
              </w:rPr>
              <w:t>Índice de avance en la ejecución del proyecto</w:t>
            </w:r>
          </w:p>
        </w:tc>
      </w:tr>
      <w:tr w:rsidR="00CA682E" w:rsidRPr="00CA682E" w:rsidTr="007B1DE4">
        <w:trPr>
          <w:trHeight w:val="389"/>
        </w:trPr>
        <w:tc>
          <w:tcPr>
            <w:tcW w:w="1598"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rPr>
                <w:rFonts w:eastAsia="Times New Roman" w:cs="Times New Roman"/>
                <w:color w:val="000000" w:themeColor="text1"/>
                <w:sz w:val="16"/>
                <w:szCs w:val="16"/>
                <w:lang w:eastAsia="en-US"/>
              </w:rPr>
            </w:pPr>
            <w:r w:rsidRPr="00CA682E">
              <w:rPr>
                <w:rFonts w:eastAsia="Times New Roman" w:cs="Times New Roman"/>
                <w:b/>
                <w:bCs/>
                <w:color w:val="000000" w:themeColor="text1"/>
                <w:sz w:val="16"/>
                <w:szCs w:val="16"/>
                <w:lang w:eastAsia="en-US"/>
              </w:rPr>
              <w:t>Renovación de las fachadas e instalación de refrigeración/calefacción en el edificio PCT (PMM 3)</w:t>
            </w:r>
          </w:p>
        </w:tc>
        <w:tc>
          <w:tcPr>
            <w:tcW w:w="850"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6.000.000</w:t>
            </w:r>
          </w:p>
        </w:tc>
        <w:tc>
          <w:tcPr>
            <w:tcW w:w="851"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83.651</w:t>
            </w:r>
          </w:p>
        </w:tc>
        <w:tc>
          <w:tcPr>
            <w:tcW w:w="851"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1,4%</w:t>
            </w:r>
          </w:p>
        </w:tc>
        <w:tc>
          <w:tcPr>
            <w:tcW w:w="850"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10%</w:t>
            </w:r>
          </w:p>
        </w:tc>
      </w:tr>
    </w:tbl>
    <w:p w:rsidR="00CA682E" w:rsidRPr="00CA682E" w:rsidRDefault="00CA682E" w:rsidP="00CA682E">
      <w:pPr>
        <w:rPr>
          <w:rFonts w:eastAsia="Times New Roman" w:cs="Times New Roman"/>
          <w:b/>
          <w:color w:val="000000" w:themeColor="text1"/>
          <w:sz w:val="20"/>
          <w:szCs w:val="22"/>
          <w:lang w:eastAsia="en-US"/>
        </w:rPr>
      </w:pPr>
    </w:p>
    <w:p w:rsidR="00CA682E" w:rsidRPr="00CA682E" w:rsidRDefault="00CA682E" w:rsidP="00CA682E">
      <w:pPr>
        <w:spacing w:after="200" w:line="276" w:lineRule="auto"/>
        <w:rPr>
          <w:rFonts w:eastAsia="Times New Roman" w:cs="Times New Roman"/>
          <w:b/>
          <w:color w:val="000000" w:themeColor="text1"/>
          <w:sz w:val="20"/>
          <w:szCs w:val="22"/>
          <w:lang w:eastAsia="en-US"/>
        </w:rPr>
      </w:pPr>
      <w:r w:rsidRPr="00CA682E">
        <w:rPr>
          <w:rFonts w:eastAsia="Times New Roman" w:cs="Times New Roman"/>
          <w:b/>
          <w:color w:val="000000" w:themeColor="text1"/>
          <w:sz w:val="20"/>
          <w:szCs w:val="22"/>
          <w:lang w:eastAsia="en-US"/>
        </w:rPr>
        <w:br w:type="page"/>
      </w:r>
    </w:p>
    <w:p w:rsidR="00CA682E" w:rsidRPr="00CA682E" w:rsidRDefault="00CA682E" w:rsidP="00CA682E">
      <w:pPr>
        <w:keepNext/>
        <w:keepLines/>
        <w:tabs>
          <w:tab w:val="left" w:pos="3261"/>
        </w:tabs>
        <w:autoSpaceDE w:val="0"/>
        <w:autoSpaceDN w:val="0"/>
        <w:adjustRightInd w:val="0"/>
        <w:jc w:val="center"/>
        <w:rPr>
          <w:rFonts w:eastAsia="Times New Roman" w:cs="Times New Roman"/>
          <w:b/>
          <w:color w:val="000000" w:themeColor="text1"/>
          <w:sz w:val="20"/>
          <w:szCs w:val="22"/>
          <w:lang w:eastAsia="en-US"/>
        </w:rPr>
      </w:pPr>
      <w:r w:rsidRPr="00CA682E">
        <w:rPr>
          <w:rFonts w:eastAsia="Times New Roman" w:cs="Times New Roman"/>
          <w:b/>
          <w:color w:val="000000" w:themeColor="text1"/>
          <w:sz w:val="20"/>
          <w:szCs w:val="22"/>
          <w:lang w:eastAsia="en-US"/>
        </w:rPr>
        <w:lastRenderedPageBreak/>
        <w:t>Utilización del presupuesto del proyecto (por etapa)</w:t>
      </w:r>
    </w:p>
    <w:p w:rsidR="00CA682E" w:rsidRPr="00CA682E" w:rsidRDefault="00CA682E" w:rsidP="00CA682E">
      <w:pPr>
        <w:keepNext/>
        <w:keepLines/>
        <w:tabs>
          <w:tab w:val="left" w:pos="3261"/>
        </w:tabs>
        <w:autoSpaceDE w:val="0"/>
        <w:autoSpaceDN w:val="0"/>
        <w:adjustRightInd w:val="0"/>
        <w:spacing w:after="120"/>
        <w:jc w:val="center"/>
        <w:rPr>
          <w:rFonts w:eastAsia="Times New Roman" w:cs="Times New Roman"/>
          <w:i/>
          <w:iCs/>
          <w:color w:val="000000" w:themeColor="text1"/>
          <w:sz w:val="18"/>
          <w:szCs w:val="18"/>
          <w:lang w:eastAsia="en-US"/>
        </w:rPr>
      </w:pPr>
      <w:r w:rsidRPr="00CA682E">
        <w:rPr>
          <w:rFonts w:eastAsia="Times New Roman" w:cs="Times New Roman"/>
          <w:i/>
          <w:iCs/>
          <w:color w:val="000000" w:themeColor="text1"/>
          <w:sz w:val="18"/>
          <w:szCs w:val="18"/>
          <w:lang w:eastAsia="en-US"/>
        </w:rPr>
        <w:t>(</w:t>
      </w:r>
      <w:proofErr w:type="gramStart"/>
      <w:r w:rsidRPr="00CA682E">
        <w:rPr>
          <w:rFonts w:eastAsia="Times New Roman" w:cs="Times New Roman"/>
          <w:i/>
          <w:iCs/>
          <w:color w:val="000000" w:themeColor="text1"/>
          <w:sz w:val="18"/>
          <w:szCs w:val="18"/>
          <w:lang w:eastAsia="en-US"/>
        </w:rPr>
        <w:t>en</w:t>
      </w:r>
      <w:proofErr w:type="gramEnd"/>
      <w:r w:rsidRPr="00CA682E">
        <w:rPr>
          <w:rFonts w:eastAsia="Times New Roman" w:cs="Times New Roman"/>
          <w:i/>
          <w:iCs/>
          <w:color w:val="000000" w:themeColor="text1"/>
          <w:sz w:val="18"/>
          <w:szCs w:val="18"/>
          <w:lang w:eastAsia="en-US"/>
        </w:rPr>
        <w:t xml:space="preserve"> francos suizos, al 31 de diciembre de 2015)</w:t>
      </w:r>
    </w:p>
    <w:tbl>
      <w:tblPr>
        <w:tblpPr w:leftFromText="180" w:rightFromText="180" w:vertAnchor="text" w:horzAnchor="margin" w:tblpX="182" w:tblpY="17"/>
        <w:tblW w:w="48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98"/>
        <w:gridCol w:w="1575"/>
        <w:gridCol w:w="1575"/>
        <w:gridCol w:w="1575"/>
        <w:gridCol w:w="1575"/>
      </w:tblGrid>
      <w:tr w:rsidR="00CA682E" w:rsidRPr="00CA682E" w:rsidTr="007B1DE4">
        <w:trPr>
          <w:trHeight w:val="410"/>
        </w:trPr>
        <w:tc>
          <w:tcPr>
            <w:tcW w:w="1575"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keepNext/>
              <w:keepLines/>
              <w:autoSpaceDE w:val="0"/>
              <w:autoSpaceDN w:val="0"/>
              <w:adjustRightInd w:val="0"/>
              <w:spacing w:before="40" w:after="40"/>
              <w:ind w:left="-74" w:right="-60"/>
              <w:jc w:val="center"/>
              <w:rPr>
                <w:rFonts w:eastAsia="Times New Roman" w:cs="Times New Roman"/>
                <w:b/>
                <w:bCs/>
                <w:color w:val="000000" w:themeColor="text1"/>
                <w:sz w:val="16"/>
                <w:szCs w:val="16"/>
                <w:lang w:eastAsia="en-US"/>
              </w:rPr>
            </w:pPr>
            <w:r w:rsidRPr="00CA682E">
              <w:rPr>
                <w:rFonts w:eastAsia="Times New Roman" w:cs="Times New Roman"/>
                <w:b/>
                <w:bCs/>
                <w:color w:val="000000" w:themeColor="text1"/>
                <w:sz w:val="16"/>
                <w:szCs w:val="16"/>
                <w:lang w:eastAsia="en-US"/>
              </w:rPr>
              <w:t>Etapas fundamentales</w:t>
            </w:r>
          </w:p>
        </w:tc>
        <w:tc>
          <w:tcPr>
            <w:tcW w:w="85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keepNext/>
              <w:keepLines/>
              <w:autoSpaceDE w:val="0"/>
              <w:autoSpaceDN w:val="0"/>
              <w:adjustRightInd w:val="0"/>
              <w:spacing w:before="40" w:after="40"/>
              <w:ind w:left="-107" w:right="-108"/>
              <w:jc w:val="center"/>
              <w:rPr>
                <w:rFonts w:eastAsia="Times New Roman" w:cs="Times New Roman"/>
                <w:b/>
                <w:bCs/>
                <w:color w:val="000000" w:themeColor="text1"/>
                <w:sz w:val="16"/>
                <w:szCs w:val="16"/>
                <w:lang w:eastAsia="en-US"/>
              </w:rPr>
            </w:pPr>
            <w:r w:rsidRPr="00CA682E">
              <w:rPr>
                <w:rFonts w:eastAsia="Times New Roman" w:cs="Times New Roman"/>
                <w:b/>
                <w:bCs/>
                <w:color w:val="000000" w:themeColor="text1"/>
                <w:sz w:val="16"/>
                <w:szCs w:val="16"/>
                <w:lang w:eastAsia="en-US"/>
              </w:rPr>
              <w:t>Presupuesto del proyecto</w:t>
            </w:r>
          </w:p>
        </w:tc>
        <w:tc>
          <w:tcPr>
            <w:tcW w:w="85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keepNext/>
              <w:keepLines/>
              <w:autoSpaceDE w:val="0"/>
              <w:autoSpaceDN w:val="0"/>
              <w:adjustRightInd w:val="0"/>
              <w:spacing w:before="40" w:after="40"/>
              <w:ind w:left="-108" w:right="-106"/>
              <w:jc w:val="center"/>
              <w:rPr>
                <w:rFonts w:eastAsia="Times New Roman" w:cs="Times New Roman"/>
                <w:b/>
                <w:bCs/>
                <w:color w:val="000000" w:themeColor="text1"/>
                <w:sz w:val="16"/>
                <w:szCs w:val="16"/>
                <w:lang w:eastAsia="en-US"/>
              </w:rPr>
            </w:pPr>
            <w:r w:rsidRPr="00CA682E">
              <w:rPr>
                <w:rFonts w:eastAsia="Times New Roman" w:cs="Times New Roman"/>
                <w:b/>
                <w:bCs/>
                <w:color w:val="000000" w:themeColor="text1"/>
                <w:sz w:val="16"/>
                <w:szCs w:val="16"/>
                <w:lang w:eastAsia="en-US"/>
              </w:rPr>
              <w:t>Gasto real hasta la fecha</w:t>
            </w:r>
          </w:p>
        </w:tc>
        <w:tc>
          <w:tcPr>
            <w:tcW w:w="85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keepNext/>
              <w:keepLines/>
              <w:autoSpaceDE w:val="0"/>
              <w:autoSpaceDN w:val="0"/>
              <w:adjustRightInd w:val="0"/>
              <w:spacing w:before="40" w:after="40"/>
              <w:ind w:left="-109" w:right="-108"/>
              <w:jc w:val="center"/>
              <w:rPr>
                <w:rFonts w:eastAsia="Times New Roman" w:cs="Times New Roman"/>
                <w:b/>
                <w:bCs/>
                <w:color w:val="000000" w:themeColor="text1"/>
                <w:sz w:val="16"/>
                <w:szCs w:val="16"/>
                <w:lang w:eastAsia="en-US"/>
              </w:rPr>
            </w:pPr>
            <w:r w:rsidRPr="00CA682E">
              <w:rPr>
                <w:rFonts w:eastAsia="Times New Roman" w:cs="Times New Roman"/>
                <w:b/>
                <w:bCs/>
                <w:color w:val="000000" w:themeColor="text1"/>
                <w:sz w:val="16"/>
                <w:szCs w:val="16"/>
                <w:lang w:eastAsia="en-US"/>
              </w:rPr>
              <w:t>Utilización real del presupuesto</w:t>
            </w:r>
          </w:p>
        </w:tc>
        <w:tc>
          <w:tcPr>
            <w:tcW w:w="85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keepNext/>
              <w:keepLines/>
              <w:autoSpaceDE w:val="0"/>
              <w:autoSpaceDN w:val="0"/>
              <w:adjustRightInd w:val="0"/>
              <w:spacing w:before="40" w:after="40"/>
              <w:ind w:left="-109" w:right="-73" w:firstLine="1"/>
              <w:jc w:val="center"/>
              <w:rPr>
                <w:rFonts w:eastAsia="Times New Roman" w:cs="Times New Roman"/>
                <w:b/>
                <w:bCs/>
                <w:color w:val="000000" w:themeColor="text1"/>
                <w:sz w:val="16"/>
                <w:szCs w:val="16"/>
                <w:lang w:eastAsia="en-US"/>
              </w:rPr>
            </w:pPr>
            <w:r w:rsidRPr="00CA682E">
              <w:rPr>
                <w:rFonts w:eastAsia="Times New Roman" w:cs="Times New Roman"/>
                <w:b/>
                <w:bCs/>
                <w:color w:val="000000" w:themeColor="text1"/>
                <w:sz w:val="16"/>
                <w:szCs w:val="16"/>
                <w:lang w:eastAsia="en-US"/>
              </w:rPr>
              <w:t>Índice de avance en la ejecución del proyecto</w:t>
            </w:r>
          </w:p>
        </w:tc>
      </w:tr>
      <w:tr w:rsidR="00CA682E" w:rsidRPr="00CA682E" w:rsidTr="007B1DE4">
        <w:trPr>
          <w:trHeight w:val="389"/>
        </w:trPr>
        <w:tc>
          <w:tcPr>
            <w:tcW w:w="1575"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Adjudicación del contrato al piloto/arquitecto</w:t>
            </w:r>
          </w:p>
        </w:tc>
        <w:tc>
          <w:tcPr>
            <w:tcW w:w="856"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124.000</w:t>
            </w:r>
          </w:p>
        </w:tc>
        <w:tc>
          <w:tcPr>
            <w:tcW w:w="856"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0</w:t>
            </w:r>
          </w:p>
        </w:tc>
        <w:tc>
          <w:tcPr>
            <w:tcW w:w="856"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0%</w:t>
            </w:r>
          </w:p>
        </w:tc>
        <w:tc>
          <w:tcPr>
            <w:tcW w:w="856"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100%</w:t>
            </w:r>
          </w:p>
        </w:tc>
      </w:tr>
      <w:tr w:rsidR="00CA682E" w:rsidRPr="00CA682E" w:rsidTr="007B1DE4">
        <w:trPr>
          <w:trHeight w:val="389"/>
        </w:trPr>
        <w:tc>
          <w:tcPr>
            <w:tcW w:w="1575"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Adjudicación de contratos a los agentes</w:t>
            </w:r>
          </w:p>
        </w:tc>
        <w:tc>
          <w:tcPr>
            <w:tcW w:w="856"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900.000</w:t>
            </w:r>
          </w:p>
        </w:tc>
        <w:tc>
          <w:tcPr>
            <w:tcW w:w="856"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0</w:t>
            </w:r>
          </w:p>
        </w:tc>
        <w:tc>
          <w:tcPr>
            <w:tcW w:w="856"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0%</w:t>
            </w:r>
          </w:p>
        </w:tc>
        <w:tc>
          <w:tcPr>
            <w:tcW w:w="856"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30%</w:t>
            </w:r>
          </w:p>
        </w:tc>
      </w:tr>
      <w:tr w:rsidR="00CA682E" w:rsidRPr="00CA682E" w:rsidTr="007B1DE4">
        <w:trPr>
          <w:trHeight w:val="389"/>
        </w:trPr>
        <w:tc>
          <w:tcPr>
            <w:tcW w:w="1575"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Compromiso de recursos, internos y externos</w:t>
            </w:r>
          </w:p>
        </w:tc>
        <w:tc>
          <w:tcPr>
            <w:tcW w:w="856"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867.000</w:t>
            </w:r>
          </w:p>
        </w:tc>
        <w:tc>
          <w:tcPr>
            <w:tcW w:w="856"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83.651</w:t>
            </w:r>
          </w:p>
        </w:tc>
        <w:tc>
          <w:tcPr>
            <w:tcW w:w="856"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9,6%</w:t>
            </w:r>
          </w:p>
        </w:tc>
        <w:tc>
          <w:tcPr>
            <w:tcW w:w="856"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15%</w:t>
            </w:r>
          </w:p>
        </w:tc>
      </w:tr>
      <w:tr w:rsidR="00CA682E" w:rsidRPr="00CA682E" w:rsidTr="007B1DE4">
        <w:trPr>
          <w:trHeight w:val="389"/>
        </w:trPr>
        <w:tc>
          <w:tcPr>
            <w:tcW w:w="1575"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Obra y puesta en servicio</w:t>
            </w:r>
          </w:p>
        </w:tc>
        <w:tc>
          <w:tcPr>
            <w:tcW w:w="856"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4.109.000</w:t>
            </w:r>
          </w:p>
        </w:tc>
        <w:tc>
          <w:tcPr>
            <w:tcW w:w="856"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0</w:t>
            </w:r>
          </w:p>
        </w:tc>
        <w:tc>
          <w:tcPr>
            <w:tcW w:w="856"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0%</w:t>
            </w:r>
          </w:p>
        </w:tc>
        <w:tc>
          <w:tcPr>
            <w:tcW w:w="856"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w:t>
            </w:r>
          </w:p>
        </w:tc>
      </w:tr>
      <w:tr w:rsidR="00CA682E" w:rsidRPr="00CA682E" w:rsidTr="007B1DE4">
        <w:trPr>
          <w:trHeight w:val="389"/>
        </w:trPr>
        <w:tc>
          <w:tcPr>
            <w:tcW w:w="1575"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keepNext/>
              <w:keepLines/>
              <w:autoSpaceDE w:val="0"/>
              <w:autoSpaceDN w:val="0"/>
              <w:adjustRightInd w:val="0"/>
              <w:spacing w:before="40" w:after="40"/>
              <w:rPr>
                <w:rFonts w:eastAsia="Times New Roman" w:cs="Times New Roman"/>
                <w:b/>
                <w:color w:val="000000" w:themeColor="text1"/>
                <w:sz w:val="16"/>
                <w:szCs w:val="16"/>
                <w:lang w:eastAsia="en-US"/>
              </w:rPr>
            </w:pPr>
            <w:r w:rsidRPr="00CA682E">
              <w:rPr>
                <w:rFonts w:eastAsia="Times New Roman" w:cs="Times New Roman"/>
                <w:b/>
                <w:color w:val="000000" w:themeColor="text1"/>
                <w:sz w:val="16"/>
                <w:szCs w:val="16"/>
                <w:lang w:eastAsia="en-US"/>
              </w:rPr>
              <w:t>Total</w:t>
            </w:r>
          </w:p>
        </w:tc>
        <w:tc>
          <w:tcPr>
            <w:tcW w:w="85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keepNext/>
              <w:keepLines/>
              <w:autoSpaceDE w:val="0"/>
              <w:autoSpaceDN w:val="0"/>
              <w:adjustRightInd w:val="0"/>
              <w:spacing w:before="40" w:after="40"/>
              <w:jc w:val="center"/>
              <w:rPr>
                <w:rFonts w:eastAsia="Times New Roman" w:cs="Times New Roman"/>
                <w:b/>
                <w:color w:val="000000" w:themeColor="text1"/>
                <w:sz w:val="16"/>
                <w:szCs w:val="16"/>
                <w:lang w:eastAsia="en-US"/>
              </w:rPr>
            </w:pPr>
            <w:r w:rsidRPr="00CA682E">
              <w:rPr>
                <w:rFonts w:eastAsia="Times New Roman" w:cs="Times New Roman"/>
                <w:b/>
                <w:color w:val="000000" w:themeColor="text1"/>
                <w:sz w:val="16"/>
                <w:szCs w:val="16"/>
                <w:lang w:eastAsia="en-US"/>
              </w:rPr>
              <w:t>6.000.000</w:t>
            </w:r>
          </w:p>
        </w:tc>
        <w:tc>
          <w:tcPr>
            <w:tcW w:w="85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keepNext/>
              <w:keepLines/>
              <w:autoSpaceDE w:val="0"/>
              <w:autoSpaceDN w:val="0"/>
              <w:adjustRightInd w:val="0"/>
              <w:spacing w:before="40" w:after="40"/>
              <w:jc w:val="center"/>
              <w:rPr>
                <w:rFonts w:eastAsia="Times New Roman" w:cs="Times New Roman"/>
                <w:b/>
                <w:color w:val="000000" w:themeColor="text1"/>
                <w:sz w:val="16"/>
                <w:szCs w:val="16"/>
                <w:lang w:eastAsia="en-US"/>
              </w:rPr>
            </w:pPr>
            <w:r w:rsidRPr="00CA682E">
              <w:rPr>
                <w:rFonts w:eastAsia="Times New Roman" w:cs="Times New Roman"/>
                <w:b/>
                <w:color w:val="000000" w:themeColor="text1"/>
                <w:sz w:val="16"/>
                <w:szCs w:val="16"/>
                <w:lang w:eastAsia="en-US"/>
              </w:rPr>
              <w:t>83.651</w:t>
            </w:r>
          </w:p>
        </w:tc>
        <w:tc>
          <w:tcPr>
            <w:tcW w:w="85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keepNext/>
              <w:keepLines/>
              <w:autoSpaceDE w:val="0"/>
              <w:autoSpaceDN w:val="0"/>
              <w:adjustRightInd w:val="0"/>
              <w:spacing w:before="40" w:after="40"/>
              <w:rPr>
                <w:rFonts w:eastAsia="Times New Roman" w:cs="Times New Roman"/>
                <w:b/>
                <w:color w:val="000000" w:themeColor="text1"/>
                <w:sz w:val="16"/>
                <w:szCs w:val="16"/>
                <w:lang w:eastAsia="en-US"/>
              </w:rPr>
            </w:pPr>
          </w:p>
        </w:tc>
        <w:tc>
          <w:tcPr>
            <w:tcW w:w="85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keepNext/>
              <w:keepLines/>
              <w:autoSpaceDE w:val="0"/>
              <w:autoSpaceDN w:val="0"/>
              <w:adjustRightInd w:val="0"/>
              <w:spacing w:before="40" w:after="40"/>
              <w:rPr>
                <w:rFonts w:eastAsia="Times New Roman" w:cs="Times New Roman"/>
                <w:b/>
                <w:color w:val="000000" w:themeColor="text1"/>
                <w:sz w:val="16"/>
                <w:szCs w:val="16"/>
                <w:lang w:eastAsia="en-US"/>
              </w:rPr>
            </w:pPr>
          </w:p>
        </w:tc>
      </w:tr>
    </w:tbl>
    <w:p w:rsidR="00CA682E" w:rsidRPr="00CA682E" w:rsidRDefault="00CA682E" w:rsidP="00CA682E">
      <w:pPr>
        <w:keepNext/>
        <w:keepLines/>
        <w:tabs>
          <w:tab w:val="left" w:pos="3261"/>
        </w:tabs>
        <w:autoSpaceDE w:val="0"/>
        <w:autoSpaceDN w:val="0"/>
        <w:adjustRightInd w:val="0"/>
        <w:jc w:val="center"/>
        <w:rPr>
          <w:rFonts w:eastAsia="Times New Roman" w:cs="Times New Roman"/>
          <w:b/>
          <w:color w:val="000000" w:themeColor="text1"/>
          <w:sz w:val="20"/>
          <w:szCs w:val="22"/>
          <w:lang w:eastAsia="en-US"/>
        </w:rPr>
      </w:pPr>
    </w:p>
    <w:p w:rsidR="00CA682E" w:rsidRPr="00CA682E" w:rsidRDefault="00CA682E" w:rsidP="00CA682E">
      <w:pPr>
        <w:keepNext/>
        <w:keepLines/>
        <w:tabs>
          <w:tab w:val="left" w:pos="3261"/>
        </w:tabs>
        <w:autoSpaceDE w:val="0"/>
        <w:autoSpaceDN w:val="0"/>
        <w:adjustRightInd w:val="0"/>
        <w:jc w:val="center"/>
        <w:rPr>
          <w:rFonts w:eastAsia="Times New Roman" w:cs="Times New Roman"/>
          <w:b/>
          <w:color w:val="000000" w:themeColor="text1"/>
          <w:sz w:val="20"/>
          <w:szCs w:val="22"/>
          <w:lang w:eastAsia="en-US"/>
        </w:rPr>
      </w:pPr>
      <w:bookmarkStart w:id="227" w:name="_GoBack"/>
      <w:bookmarkEnd w:id="227"/>
    </w:p>
    <w:p w:rsidR="00CA682E" w:rsidRPr="00CA682E" w:rsidRDefault="00CA682E" w:rsidP="00CA682E">
      <w:pPr>
        <w:keepNext/>
        <w:keepLines/>
        <w:tabs>
          <w:tab w:val="left" w:pos="3261"/>
        </w:tabs>
        <w:autoSpaceDE w:val="0"/>
        <w:autoSpaceDN w:val="0"/>
        <w:adjustRightInd w:val="0"/>
        <w:jc w:val="center"/>
        <w:rPr>
          <w:rFonts w:eastAsia="Times New Roman" w:cs="Times New Roman"/>
          <w:b/>
          <w:color w:val="000000" w:themeColor="text1"/>
          <w:sz w:val="20"/>
          <w:szCs w:val="22"/>
          <w:lang w:eastAsia="en-US"/>
        </w:rPr>
      </w:pPr>
      <w:r w:rsidRPr="00CA682E">
        <w:rPr>
          <w:rFonts w:eastAsia="Times New Roman" w:cs="Times New Roman"/>
          <w:b/>
          <w:color w:val="000000" w:themeColor="text1"/>
          <w:sz w:val="20"/>
          <w:szCs w:val="22"/>
          <w:lang w:eastAsia="en-US"/>
        </w:rPr>
        <w:t>Utilización del presupuesto del proyecto (por categoría de costo)</w:t>
      </w:r>
    </w:p>
    <w:p w:rsidR="00CA682E" w:rsidRPr="00CA682E" w:rsidRDefault="00CA682E" w:rsidP="00CA682E">
      <w:pPr>
        <w:keepNext/>
        <w:keepLines/>
        <w:tabs>
          <w:tab w:val="left" w:pos="3261"/>
        </w:tabs>
        <w:autoSpaceDE w:val="0"/>
        <w:autoSpaceDN w:val="0"/>
        <w:adjustRightInd w:val="0"/>
        <w:spacing w:after="120"/>
        <w:jc w:val="center"/>
        <w:rPr>
          <w:rFonts w:eastAsia="Times New Roman" w:cs="Times New Roman"/>
          <w:i/>
          <w:iCs/>
          <w:color w:val="000000" w:themeColor="text1"/>
          <w:sz w:val="18"/>
          <w:szCs w:val="18"/>
          <w:lang w:eastAsia="en-US"/>
        </w:rPr>
      </w:pPr>
      <w:r w:rsidRPr="00CA682E">
        <w:rPr>
          <w:rFonts w:eastAsia="Times New Roman" w:cs="Times New Roman"/>
          <w:i/>
          <w:iCs/>
          <w:color w:val="000000" w:themeColor="text1"/>
          <w:sz w:val="18"/>
          <w:szCs w:val="18"/>
          <w:lang w:eastAsia="en-US"/>
        </w:rPr>
        <w:t>(</w:t>
      </w:r>
      <w:proofErr w:type="gramStart"/>
      <w:r w:rsidRPr="00CA682E">
        <w:rPr>
          <w:rFonts w:eastAsia="Times New Roman" w:cs="Times New Roman"/>
          <w:i/>
          <w:iCs/>
          <w:color w:val="000000" w:themeColor="text1"/>
          <w:sz w:val="18"/>
          <w:szCs w:val="18"/>
          <w:lang w:eastAsia="en-US"/>
        </w:rPr>
        <w:t>en</w:t>
      </w:r>
      <w:proofErr w:type="gramEnd"/>
      <w:r w:rsidRPr="00CA682E">
        <w:rPr>
          <w:rFonts w:eastAsia="Times New Roman" w:cs="Times New Roman"/>
          <w:i/>
          <w:iCs/>
          <w:color w:val="000000" w:themeColor="text1"/>
          <w:sz w:val="18"/>
          <w:szCs w:val="18"/>
          <w:lang w:eastAsia="en-US"/>
        </w:rPr>
        <w:t xml:space="preserve"> francos suizos, al 31 de diciembre de 2015)</w:t>
      </w:r>
    </w:p>
    <w:tbl>
      <w:tblPr>
        <w:tblW w:w="4739"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0"/>
        <w:gridCol w:w="1840"/>
        <w:gridCol w:w="1840"/>
        <w:gridCol w:w="2141"/>
      </w:tblGrid>
      <w:tr w:rsidR="00CA682E" w:rsidRPr="00CA682E" w:rsidTr="007B1DE4">
        <w:trPr>
          <w:trHeight w:val="569"/>
        </w:trPr>
        <w:tc>
          <w:tcPr>
            <w:tcW w:w="179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keepNext/>
              <w:keepLines/>
              <w:autoSpaceDE w:val="0"/>
              <w:autoSpaceDN w:val="0"/>
              <w:adjustRightInd w:val="0"/>
              <w:spacing w:before="40" w:after="40" w:line="260" w:lineRule="exact"/>
              <w:ind w:left="-74" w:right="-60"/>
              <w:jc w:val="center"/>
              <w:rPr>
                <w:rFonts w:eastAsia="Times New Roman" w:cs="Times New Roman"/>
                <w:b/>
                <w:bCs/>
                <w:color w:val="000000" w:themeColor="text1"/>
                <w:sz w:val="16"/>
                <w:szCs w:val="16"/>
                <w:lang w:eastAsia="en-US"/>
              </w:rPr>
            </w:pPr>
            <w:r w:rsidRPr="00CA682E">
              <w:rPr>
                <w:rFonts w:eastAsia="Times New Roman" w:cs="Times New Roman"/>
                <w:b/>
                <w:bCs/>
                <w:color w:val="000000" w:themeColor="text1"/>
                <w:sz w:val="16"/>
                <w:szCs w:val="16"/>
                <w:lang w:eastAsia="en-US"/>
              </w:rPr>
              <w:t>Categoría de costo</w:t>
            </w:r>
          </w:p>
        </w:tc>
        <w:tc>
          <w:tcPr>
            <w:tcW w:w="1014"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keepNext/>
              <w:keepLines/>
              <w:autoSpaceDE w:val="0"/>
              <w:autoSpaceDN w:val="0"/>
              <w:adjustRightInd w:val="0"/>
              <w:spacing w:before="40" w:after="40" w:line="260" w:lineRule="exact"/>
              <w:ind w:left="-107" w:right="-108"/>
              <w:jc w:val="center"/>
              <w:rPr>
                <w:rFonts w:eastAsia="Times New Roman" w:cs="Times New Roman"/>
                <w:b/>
                <w:bCs/>
                <w:color w:val="000000" w:themeColor="text1"/>
                <w:sz w:val="16"/>
                <w:szCs w:val="16"/>
                <w:lang w:eastAsia="en-US"/>
              </w:rPr>
            </w:pPr>
            <w:r w:rsidRPr="00CA682E">
              <w:rPr>
                <w:rFonts w:eastAsia="Times New Roman" w:cs="Times New Roman"/>
                <w:b/>
                <w:bCs/>
                <w:color w:val="000000" w:themeColor="text1"/>
                <w:sz w:val="16"/>
                <w:szCs w:val="16"/>
                <w:lang w:eastAsia="en-US"/>
              </w:rPr>
              <w:t>Presupuesto del proyecto</w:t>
            </w:r>
          </w:p>
        </w:tc>
        <w:tc>
          <w:tcPr>
            <w:tcW w:w="1014"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keepNext/>
              <w:keepLines/>
              <w:autoSpaceDE w:val="0"/>
              <w:autoSpaceDN w:val="0"/>
              <w:adjustRightInd w:val="0"/>
              <w:spacing w:before="40" w:after="40" w:line="260" w:lineRule="exact"/>
              <w:ind w:left="-108"/>
              <w:jc w:val="center"/>
              <w:rPr>
                <w:rFonts w:eastAsia="Times New Roman" w:cs="Times New Roman"/>
                <w:b/>
                <w:bCs/>
                <w:color w:val="000000" w:themeColor="text1"/>
                <w:sz w:val="16"/>
                <w:szCs w:val="16"/>
                <w:lang w:eastAsia="en-US"/>
              </w:rPr>
            </w:pPr>
            <w:r w:rsidRPr="00CA682E">
              <w:rPr>
                <w:rFonts w:eastAsia="Times New Roman" w:cs="Times New Roman"/>
                <w:b/>
                <w:bCs/>
                <w:color w:val="000000" w:themeColor="text1"/>
                <w:sz w:val="16"/>
                <w:szCs w:val="16"/>
                <w:lang w:eastAsia="en-US"/>
              </w:rPr>
              <w:t xml:space="preserve">Gasto real hasta la fecha </w:t>
            </w:r>
          </w:p>
        </w:tc>
        <w:tc>
          <w:tcPr>
            <w:tcW w:w="118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keepNext/>
              <w:keepLines/>
              <w:autoSpaceDE w:val="0"/>
              <w:autoSpaceDN w:val="0"/>
              <w:adjustRightInd w:val="0"/>
              <w:spacing w:before="40" w:after="40" w:line="260" w:lineRule="exact"/>
              <w:ind w:left="-109"/>
              <w:jc w:val="center"/>
              <w:rPr>
                <w:rFonts w:eastAsia="Times New Roman" w:cs="Times New Roman"/>
                <w:b/>
                <w:bCs/>
                <w:color w:val="000000" w:themeColor="text1"/>
                <w:sz w:val="16"/>
                <w:szCs w:val="16"/>
                <w:lang w:eastAsia="en-US"/>
              </w:rPr>
            </w:pPr>
            <w:r w:rsidRPr="00CA682E">
              <w:rPr>
                <w:rFonts w:eastAsia="Times New Roman" w:cs="Times New Roman"/>
                <w:b/>
                <w:bCs/>
                <w:color w:val="000000" w:themeColor="text1"/>
                <w:sz w:val="16"/>
                <w:szCs w:val="16"/>
                <w:lang w:eastAsia="en-US"/>
              </w:rPr>
              <w:t>Utilización real del presupuesto</w:t>
            </w:r>
          </w:p>
        </w:tc>
      </w:tr>
      <w:tr w:rsidR="00CA682E" w:rsidRPr="00CA682E" w:rsidTr="007B1DE4">
        <w:tc>
          <w:tcPr>
            <w:tcW w:w="1791"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line="260" w:lineRule="exact"/>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Costos relacionados con las obras</w:t>
            </w:r>
          </w:p>
        </w:tc>
        <w:tc>
          <w:tcPr>
            <w:tcW w:w="1014"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line="260" w:lineRule="exact"/>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3.569.000</w:t>
            </w:r>
          </w:p>
        </w:tc>
        <w:tc>
          <w:tcPr>
            <w:tcW w:w="1014"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line="260" w:lineRule="exact"/>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0</w:t>
            </w:r>
          </w:p>
        </w:tc>
        <w:tc>
          <w:tcPr>
            <w:tcW w:w="1180"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line="260" w:lineRule="exact"/>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0%</w:t>
            </w:r>
          </w:p>
        </w:tc>
      </w:tr>
      <w:tr w:rsidR="00CA682E" w:rsidRPr="00CA682E" w:rsidTr="007B1DE4">
        <w:tc>
          <w:tcPr>
            <w:tcW w:w="1791"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autoSpaceDE w:val="0"/>
              <w:autoSpaceDN w:val="0"/>
              <w:adjustRightInd w:val="0"/>
              <w:spacing w:before="40" w:after="40" w:line="260" w:lineRule="exact"/>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Honorarios</w:t>
            </w:r>
          </w:p>
        </w:tc>
        <w:tc>
          <w:tcPr>
            <w:tcW w:w="1014"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autoSpaceDE w:val="0"/>
              <w:autoSpaceDN w:val="0"/>
              <w:adjustRightInd w:val="0"/>
              <w:spacing w:before="40" w:after="40" w:line="260" w:lineRule="exact"/>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1.024.000</w:t>
            </w:r>
          </w:p>
        </w:tc>
        <w:tc>
          <w:tcPr>
            <w:tcW w:w="1014"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0</w:t>
            </w:r>
          </w:p>
        </w:tc>
        <w:tc>
          <w:tcPr>
            <w:tcW w:w="1180"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0%</w:t>
            </w:r>
          </w:p>
        </w:tc>
      </w:tr>
      <w:tr w:rsidR="00CA682E" w:rsidRPr="00CA682E" w:rsidTr="007B1DE4">
        <w:tc>
          <w:tcPr>
            <w:tcW w:w="1791"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autoSpaceDE w:val="0"/>
              <w:autoSpaceDN w:val="0"/>
              <w:adjustRightInd w:val="0"/>
              <w:spacing w:before="40" w:after="40" w:line="260" w:lineRule="exact"/>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Recursos internos/externos</w:t>
            </w:r>
          </w:p>
        </w:tc>
        <w:tc>
          <w:tcPr>
            <w:tcW w:w="1014"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autoSpaceDE w:val="0"/>
              <w:autoSpaceDN w:val="0"/>
              <w:adjustRightInd w:val="0"/>
              <w:spacing w:before="40" w:after="40" w:line="260" w:lineRule="exact"/>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867.000</w:t>
            </w:r>
          </w:p>
        </w:tc>
        <w:tc>
          <w:tcPr>
            <w:tcW w:w="1014"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83.651</w:t>
            </w:r>
          </w:p>
        </w:tc>
        <w:tc>
          <w:tcPr>
            <w:tcW w:w="1180"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9,6%</w:t>
            </w:r>
          </w:p>
        </w:tc>
      </w:tr>
      <w:tr w:rsidR="00CA682E" w:rsidRPr="00CA682E" w:rsidTr="007B1DE4">
        <w:tc>
          <w:tcPr>
            <w:tcW w:w="1791"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autoSpaceDE w:val="0"/>
              <w:autoSpaceDN w:val="0"/>
              <w:adjustRightInd w:val="0"/>
              <w:spacing w:before="40" w:after="40" w:line="260" w:lineRule="exact"/>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Tasas</w:t>
            </w:r>
          </w:p>
        </w:tc>
        <w:tc>
          <w:tcPr>
            <w:tcW w:w="1014"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autoSpaceDE w:val="0"/>
              <w:autoSpaceDN w:val="0"/>
              <w:adjustRightInd w:val="0"/>
              <w:spacing w:before="40" w:after="40" w:line="260" w:lineRule="exact"/>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120.000</w:t>
            </w:r>
          </w:p>
        </w:tc>
        <w:tc>
          <w:tcPr>
            <w:tcW w:w="1014"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0</w:t>
            </w:r>
          </w:p>
        </w:tc>
        <w:tc>
          <w:tcPr>
            <w:tcW w:w="1180"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0%</w:t>
            </w:r>
          </w:p>
        </w:tc>
      </w:tr>
      <w:tr w:rsidR="00CA682E" w:rsidRPr="00CA682E" w:rsidTr="007B1DE4">
        <w:tc>
          <w:tcPr>
            <w:tcW w:w="1791"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autoSpaceDE w:val="0"/>
              <w:autoSpaceDN w:val="0"/>
              <w:adjustRightInd w:val="0"/>
              <w:spacing w:before="40" w:after="40" w:line="260" w:lineRule="exact"/>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Diversos e imprevistos</w:t>
            </w:r>
          </w:p>
        </w:tc>
        <w:tc>
          <w:tcPr>
            <w:tcW w:w="1014"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autoSpaceDE w:val="0"/>
              <w:autoSpaceDN w:val="0"/>
              <w:adjustRightInd w:val="0"/>
              <w:spacing w:before="40" w:after="40" w:line="260" w:lineRule="exact"/>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420.000</w:t>
            </w:r>
          </w:p>
        </w:tc>
        <w:tc>
          <w:tcPr>
            <w:tcW w:w="1014"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0</w:t>
            </w:r>
          </w:p>
        </w:tc>
        <w:tc>
          <w:tcPr>
            <w:tcW w:w="1180"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0%</w:t>
            </w:r>
          </w:p>
        </w:tc>
      </w:tr>
      <w:tr w:rsidR="00CA682E" w:rsidRPr="00CA682E" w:rsidTr="007B1DE4">
        <w:tc>
          <w:tcPr>
            <w:tcW w:w="179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autoSpaceDE w:val="0"/>
              <w:autoSpaceDN w:val="0"/>
              <w:adjustRightInd w:val="0"/>
              <w:spacing w:before="40" w:after="40" w:line="260" w:lineRule="exact"/>
              <w:rPr>
                <w:rFonts w:eastAsia="Times New Roman" w:cs="Times New Roman"/>
                <w:b/>
                <w:color w:val="000000" w:themeColor="text1"/>
                <w:sz w:val="16"/>
                <w:szCs w:val="16"/>
                <w:lang w:eastAsia="en-US"/>
              </w:rPr>
            </w:pPr>
            <w:r w:rsidRPr="00CA682E">
              <w:rPr>
                <w:rFonts w:eastAsia="Times New Roman" w:cs="Times New Roman"/>
                <w:b/>
                <w:color w:val="000000" w:themeColor="text1"/>
                <w:sz w:val="16"/>
                <w:szCs w:val="16"/>
                <w:lang w:eastAsia="en-US"/>
              </w:rPr>
              <w:t>Total</w:t>
            </w:r>
          </w:p>
        </w:tc>
        <w:tc>
          <w:tcPr>
            <w:tcW w:w="1014"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autoSpaceDE w:val="0"/>
              <w:autoSpaceDN w:val="0"/>
              <w:adjustRightInd w:val="0"/>
              <w:spacing w:before="40" w:after="40" w:line="260" w:lineRule="exact"/>
              <w:jc w:val="center"/>
              <w:rPr>
                <w:rFonts w:eastAsia="Times New Roman" w:cs="Times New Roman"/>
                <w:b/>
                <w:color w:val="000000" w:themeColor="text1"/>
                <w:sz w:val="16"/>
                <w:szCs w:val="16"/>
                <w:lang w:eastAsia="en-US"/>
              </w:rPr>
            </w:pPr>
            <w:r w:rsidRPr="00CA682E">
              <w:rPr>
                <w:rFonts w:eastAsia="Times New Roman" w:cs="Times New Roman"/>
                <w:b/>
                <w:color w:val="000000" w:themeColor="text1"/>
                <w:sz w:val="16"/>
                <w:szCs w:val="16"/>
                <w:lang w:eastAsia="en-US"/>
              </w:rPr>
              <w:t>6.000.000</w:t>
            </w:r>
          </w:p>
        </w:tc>
        <w:tc>
          <w:tcPr>
            <w:tcW w:w="1014"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autoSpaceDE w:val="0"/>
              <w:autoSpaceDN w:val="0"/>
              <w:adjustRightInd w:val="0"/>
              <w:spacing w:before="40" w:after="40" w:line="260" w:lineRule="exact"/>
              <w:jc w:val="center"/>
              <w:rPr>
                <w:rFonts w:eastAsia="Times New Roman" w:cs="Times New Roman"/>
                <w:b/>
                <w:color w:val="000000" w:themeColor="text1"/>
                <w:sz w:val="16"/>
                <w:szCs w:val="16"/>
                <w:lang w:eastAsia="en-US"/>
              </w:rPr>
            </w:pPr>
            <w:r w:rsidRPr="00CA682E">
              <w:rPr>
                <w:rFonts w:eastAsia="Times New Roman" w:cs="Times New Roman"/>
                <w:b/>
                <w:color w:val="000000" w:themeColor="text1"/>
                <w:sz w:val="16"/>
                <w:szCs w:val="16"/>
                <w:lang w:eastAsia="en-US"/>
              </w:rPr>
              <w:t>83.651</w:t>
            </w:r>
          </w:p>
        </w:tc>
        <w:tc>
          <w:tcPr>
            <w:tcW w:w="1180"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CA682E" w:rsidRPr="00CA682E" w:rsidRDefault="00CA682E" w:rsidP="00CA682E">
            <w:pPr>
              <w:autoSpaceDE w:val="0"/>
              <w:autoSpaceDN w:val="0"/>
              <w:adjustRightInd w:val="0"/>
              <w:spacing w:before="40" w:after="40" w:line="260" w:lineRule="exact"/>
              <w:jc w:val="center"/>
              <w:rPr>
                <w:rFonts w:eastAsia="Times New Roman" w:cs="Times New Roman"/>
                <w:b/>
                <w:color w:val="000000" w:themeColor="text1"/>
                <w:sz w:val="16"/>
                <w:szCs w:val="16"/>
                <w:lang w:eastAsia="en-US"/>
              </w:rPr>
            </w:pPr>
          </w:p>
        </w:tc>
      </w:tr>
    </w:tbl>
    <w:p w:rsidR="00CA682E" w:rsidRPr="00CA682E" w:rsidRDefault="00CA682E" w:rsidP="00CA682E">
      <w:pPr>
        <w:rPr>
          <w:rFonts w:eastAsia="Times New Roman"/>
          <w:color w:val="000000" w:themeColor="text1"/>
          <w:sz w:val="20"/>
          <w:szCs w:val="22"/>
          <w:lang w:eastAsia="en-US"/>
        </w:rPr>
      </w:pPr>
    </w:p>
    <w:p w:rsidR="00CA682E" w:rsidRPr="00CA682E" w:rsidRDefault="00CA682E" w:rsidP="00CA682E">
      <w:pPr>
        <w:rPr>
          <w:rFonts w:eastAsia="Times New Roman"/>
          <w:color w:val="000000" w:themeColor="text1"/>
          <w:sz w:val="20"/>
          <w:szCs w:val="22"/>
          <w:lang w:eastAsia="en-US"/>
        </w:rPr>
      </w:pPr>
    </w:p>
    <w:p w:rsidR="00CA682E" w:rsidRPr="00CA682E" w:rsidRDefault="00CA682E" w:rsidP="00CA682E">
      <w:pPr>
        <w:rPr>
          <w:rFonts w:eastAsia="Times New Roman"/>
          <w:color w:val="000000" w:themeColor="text1"/>
          <w:sz w:val="20"/>
          <w:szCs w:val="22"/>
          <w:lang w:eastAsia="en-US"/>
        </w:rPr>
      </w:pPr>
      <w:r w:rsidRPr="00CA682E">
        <w:rPr>
          <w:rFonts w:eastAsia="Times New Roman"/>
          <w:color w:val="000000" w:themeColor="text1"/>
          <w:sz w:val="20"/>
          <w:szCs w:val="22"/>
          <w:lang w:eastAsia="en-US"/>
        </w:rPr>
        <w:t>RIESGOS Y ESTRATEGIAS DE MITIGACIÓN</w:t>
      </w:r>
    </w:p>
    <w:p w:rsidR="00CA682E" w:rsidRPr="00CA682E" w:rsidRDefault="00CA682E" w:rsidP="00CA682E">
      <w:pPr>
        <w:rPr>
          <w:rFonts w:eastAsia="Times New Roman"/>
          <w:color w:val="000000" w:themeColor="text1"/>
          <w:sz w:val="20"/>
          <w:szCs w:val="22"/>
          <w:lang w:eastAsia="en-US"/>
        </w:rPr>
      </w:pPr>
    </w:p>
    <w:tbl>
      <w:tblPr>
        <w:tblW w:w="4858" w:type="pct"/>
        <w:jc w:val="center"/>
        <w:tblInd w:w="-1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5"/>
        <w:gridCol w:w="3059"/>
        <w:gridCol w:w="3145"/>
      </w:tblGrid>
      <w:tr w:rsidR="00CA682E" w:rsidRPr="00CA682E" w:rsidTr="007B1DE4">
        <w:trPr>
          <w:trHeight w:val="507"/>
          <w:tblHeader/>
          <w:jc w:val="center"/>
        </w:trPr>
        <w:tc>
          <w:tcPr>
            <w:tcW w:w="1664" w:type="pct"/>
            <w:shd w:val="clear" w:color="auto" w:fill="C6D9F1" w:themeFill="text2" w:themeFillTint="33"/>
            <w:vAlign w:val="center"/>
          </w:tcPr>
          <w:p w:rsidR="00CA682E" w:rsidRPr="00CA682E" w:rsidRDefault="00CA682E" w:rsidP="00CA682E">
            <w:pPr>
              <w:autoSpaceDE w:val="0"/>
              <w:autoSpaceDN w:val="0"/>
              <w:adjustRightInd w:val="0"/>
              <w:spacing w:before="40" w:after="40" w:line="260" w:lineRule="exact"/>
              <w:ind w:left="-74" w:right="-60"/>
              <w:jc w:val="center"/>
              <w:rPr>
                <w:rFonts w:eastAsia="Times New Roman" w:cs="Times New Roman"/>
                <w:b/>
                <w:bCs/>
                <w:color w:val="000000" w:themeColor="text1"/>
                <w:sz w:val="16"/>
                <w:szCs w:val="16"/>
                <w:lang w:eastAsia="en-US"/>
              </w:rPr>
            </w:pPr>
            <w:r w:rsidRPr="00CA682E">
              <w:rPr>
                <w:rFonts w:eastAsia="Times New Roman" w:cs="Times New Roman"/>
                <w:b/>
                <w:bCs/>
                <w:iCs/>
                <w:color w:val="000000" w:themeColor="text1"/>
                <w:sz w:val="18"/>
                <w:szCs w:val="18"/>
                <w:lang w:eastAsia="en-US"/>
              </w:rPr>
              <w:t>Riesgo /Descripción del riesgo</w:t>
            </w:r>
            <w:r w:rsidRPr="00CA682E" w:rsidDel="009F2067">
              <w:rPr>
                <w:rFonts w:eastAsia="Times New Roman" w:cs="Times New Roman"/>
                <w:b/>
                <w:bCs/>
                <w:color w:val="000000" w:themeColor="text1"/>
                <w:sz w:val="16"/>
                <w:szCs w:val="16"/>
                <w:lang w:eastAsia="en-US"/>
              </w:rPr>
              <w:t xml:space="preserve"> </w:t>
            </w:r>
          </w:p>
        </w:tc>
        <w:tc>
          <w:tcPr>
            <w:tcW w:w="1645" w:type="pct"/>
            <w:shd w:val="clear" w:color="auto" w:fill="C6D9F1" w:themeFill="text2" w:themeFillTint="33"/>
            <w:vAlign w:val="center"/>
          </w:tcPr>
          <w:p w:rsidR="00CA682E" w:rsidRPr="00CA682E" w:rsidRDefault="00CA682E" w:rsidP="00CA682E">
            <w:pPr>
              <w:autoSpaceDE w:val="0"/>
              <w:autoSpaceDN w:val="0"/>
              <w:adjustRightInd w:val="0"/>
              <w:spacing w:before="40" w:after="40" w:line="260" w:lineRule="exact"/>
              <w:ind w:left="-107" w:right="-108"/>
              <w:jc w:val="center"/>
              <w:rPr>
                <w:rFonts w:eastAsia="Times New Roman" w:cs="Times New Roman"/>
                <w:b/>
                <w:bCs/>
                <w:color w:val="000000" w:themeColor="text1"/>
                <w:sz w:val="16"/>
                <w:szCs w:val="16"/>
                <w:lang w:eastAsia="en-US"/>
              </w:rPr>
            </w:pPr>
            <w:r w:rsidRPr="00CA682E">
              <w:rPr>
                <w:rFonts w:eastAsia="Times New Roman" w:cs="Times New Roman"/>
                <w:b/>
                <w:bCs/>
                <w:iCs/>
                <w:color w:val="000000" w:themeColor="text1"/>
                <w:sz w:val="18"/>
                <w:szCs w:val="18"/>
                <w:lang w:eastAsia="en-US"/>
              </w:rPr>
              <w:t xml:space="preserve">Mitigación del riesgo </w:t>
            </w:r>
          </w:p>
        </w:tc>
        <w:tc>
          <w:tcPr>
            <w:tcW w:w="1691" w:type="pct"/>
            <w:shd w:val="clear" w:color="auto" w:fill="C6D9F1" w:themeFill="text2" w:themeFillTint="33"/>
          </w:tcPr>
          <w:p w:rsidR="00CA682E" w:rsidRPr="00CA682E" w:rsidDel="005B0FC6" w:rsidRDefault="00CA682E" w:rsidP="00CA682E">
            <w:pPr>
              <w:autoSpaceDE w:val="0"/>
              <w:autoSpaceDN w:val="0"/>
              <w:adjustRightInd w:val="0"/>
              <w:spacing w:before="40" w:after="40" w:line="260" w:lineRule="exact"/>
              <w:ind w:left="-109"/>
              <w:jc w:val="center"/>
              <w:rPr>
                <w:rFonts w:eastAsia="Times New Roman" w:cs="Times New Roman"/>
                <w:b/>
                <w:bCs/>
                <w:color w:val="000000" w:themeColor="text1"/>
                <w:sz w:val="16"/>
                <w:szCs w:val="16"/>
                <w:lang w:eastAsia="en-US"/>
              </w:rPr>
            </w:pPr>
            <w:r w:rsidRPr="00CA682E">
              <w:rPr>
                <w:rFonts w:eastAsia="Times New Roman" w:cs="Times New Roman"/>
                <w:b/>
                <w:bCs/>
                <w:iCs/>
                <w:color w:val="000000" w:themeColor="text1"/>
                <w:sz w:val="18"/>
                <w:szCs w:val="18"/>
                <w:lang w:eastAsia="en-US"/>
              </w:rPr>
              <w:t xml:space="preserve">Comentario </w:t>
            </w:r>
          </w:p>
        </w:tc>
      </w:tr>
      <w:tr w:rsidR="00CA682E" w:rsidRPr="00CA682E" w:rsidTr="007B1DE4">
        <w:trPr>
          <w:trHeight w:val="776"/>
          <w:jc w:val="center"/>
        </w:trPr>
        <w:tc>
          <w:tcPr>
            <w:tcW w:w="1664" w:type="pct"/>
            <w:shd w:val="clear" w:color="auto" w:fill="auto"/>
          </w:tcPr>
          <w:p w:rsidR="00CA682E" w:rsidRPr="00CA682E" w:rsidRDefault="00CA682E" w:rsidP="00CA682E">
            <w:pPr>
              <w:autoSpaceDE w:val="0"/>
              <w:autoSpaceDN w:val="0"/>
              <w:adjustRightInd w:val="0"/>
              <w:spacing w:before="40" w:after="40"/>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Demora de hasta un año en el comienzo del proyecto debido al retraso en la finalización de la nueva sala de conferencias de la OMPI</w:t>
            </w:r>
          </w:p>
          <w:p w:rsidR="00CA682E" w:rsidRPr="00CA682E" w:rsidRDefault="00CA682E" w:rsidP="00CA682E">
            <w:pPr>
              <w:autoSpaceDE w:val="0"/>
              <w:autoSpaceDN w:val="0"/>
              <w:adjustRightInd w:val="0"/>
              <w:spacing w:before="40" w:after="40"/>
              <w:rPr>
                <w:rFonts w:eastAsia="Times New Roman" w:cs="Times New Roman"/>
                <w:color w:val="000000" w:themeColor="text1"/>
                <w:sz w:val="16"/>
                <w:szCs w:val="16"/>
                <w:lang w:eastAsia="en-US"/>
              </w:rPr>
            </w:pPr>
          </w:p>
        </w:tc>
        <w:tc>
          <w:tcPr>
            <w:tcW w:w="1645" w:type="pct"/>
            <w:shd w:val="clear" w:color="auto" w:fill="auto"/>
          </w:tcPr>
          <w:p w:rsidR="00CA682E" w:rsidRPr="00CA682E" w:rsidRDefault="00CA682E" w:rsidP="00CA682E">
            <w:pPr>
              <w:autoSpaceDE w:val="0"/>
              <w:autoSpaceDN w:val="0"/>
              <w:adjustRightInd w:val="0"/>
              <w:spacing w:before="40" w:after="40"/>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Modificar el calendario general del proyecto</w:t>
            </w:r>
          </w:p>
          <w:p w:rsidR="00CA682E" w:rsidRPr="00CA682E" w:rsidRDefault="00CA682E" w:rsidP="00CA682E">
            <w:pPr>
              <w:autoSpaceDE w:val="0"/>
              <w:autoSpaceDN w:val="0"/>
              <w:adjustRightInd w:val="0"/>
              <w:spacing w:before="40" w:after="40"/>
              <w:rPr>
                <w:rFonts w:eastAsia="Times New Roman" w:cs="Times New Roman"/>
                <w:color w:val="000000" w:themeColor="text1"/>
                <w:sz w:val="16"/>
                <w:szCs w:val="16"/>
                <w:lang w:eastAsia="en-US"/>
              </w:rPr>
            </w:pPr>
          </w:p>
        </w:tc>
        <w:tc>
          <w:tcPr>
            <w:tcW w:w="1691" w:type="pct"/>
            <w:shd w:val="clear" w:color="auto" w:fill="auto"/>
          </w:tcPr>
          <w:p w:rsidR="00CA682E" w:rsidRPr="00CA682E" w:rsidRDefault="00CA682E" w:rsidP="00CA682E">
            <w:pPr>
              <w:autoSpaceDE w:val="0"/>
              <w:autoSpaceDN w:val="0"/>
              <w:adjustRightInd w:val="0"/>
              <w:spacing w:before="40" w:after="40"/>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El riesgo se materializó en 2014.  El calendario general del proyecto fue alargado nueve meses en relación con el plan original.  Se alargó el plazo para el proyecto hasta 2018, conforme a la medida prevista para mitigar el riesgo.  No hubo incidencia tangible en los aportes concretos del proyecto.</w:t>
            </w:r>
          </w:p>
          <w:p w:rsidR="00CA682E" w:rsidRPr="00CA682E" w:rsidRDefault="00CA682E" w:rsidP="00CA682E">
            <w:pPr>
              <w:autoSpaceDE w:val="0"/>
              <w:autoSpaceDN w:val="0"/>
              <w:adjustRightInd w:val="0"/>
              <w:spacing w:before="40" w:after="40"/>
              <w:rPr>
                <w:rFonts w:eastAsia="Times New Roman" w:cs="Times New Roman"/>
                <w:color w:val="000000" w:themeColor="text1"/>
                <w:sz w:val="16"/>
                <w:szCs w:val="16"/>
                <w:lang w:eastAsia="en-US"/>
              </w:rPr>
            </w:pPr>
          </w:p>
          <w:p w:rsidR="00CA682E" w:rsidRPr="00CA682E" w:rsidDel="005B0FC6" w:rsidRDefault="00CA682E" w:rsidP="00CA682E">
            <w:pPr>
              <w:keepNext/>
              <w:autoSpaceDE w:val="0"/>
              <w:autoSpaceDN w:val="0"/>
              <w:adjustRightInd w:val="0"/>
              <w:spacing w:before="40" w:after="40"/>
              <w:outlineLvl w:val="3"/>
              <w:rPr>
                <w:rFonts w:eastAsia="Times New Roman" w:cs="Times New Roman"/>
                <w:b/>
                <w:bCs/>
                <w:color w:val="000000" w:themeColor="text1"/>
                <w:sz w:val="16"/>
                <w:szCs w:val="16"/>
                <w:lang w:eastAsia="en-US"/>
              </w:rPr>
            </w:pPr>
            <w:r w:rsidRPr="00CA682E">
              <w:rPr>
                <w:rFonts w:eastAsia="Times New Roman" w:cs="Times New Roman"/>
                <w:i/>
                <w:color w:val="000000" w:themeColor="text1"/>
                <w:sz w:val="16"/>
                <w:szCs w:val="16"/>
                <w:lang w:eastAsia="en-US"/>
              </w:rPr>
              <w:t>Ese riesgo se ha dado por concluido.</w:t>
            </w:r>
          </w:p>
        </w:tc>
      </w:tr>
      <w:tr w:rsidR="00CA682E" w:rsidRPr="00CA682E" w:rsidTr="007B1DE4">
        <w:trPr>
          <w:trHeight w:val="776"/>
          <w:jc w:val="center"/>
        </w:trPr>
        <w:tc>
          <w:tcPr>
            <w:tcW w:w="1664" w:type="pct"/>
            <w:shd w:val="clear" w:color="auto" w:fill="auto"/>
          </w:tcPr>
          <w:p w:rsidR="00CA682E" w:rsidRPr="00CA682E" w:rsidRDefault="00CA682E" w:rsidP="00CA682E">
            <w:pPr>
              <w:autoSpaceDE w:val="0"/>
              <w:autoSpaceDN w:val="0"/>
              <w:adjustRightInd w:val="0"/>
              <w:spacing w:before="40" w:after="40"/>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Demora en el inicio de las obras al depender del tiempo necesario para elegir la solución técnica</w:t>
            </w:r>
          </w:p>
        </w:tc>
        <w:tc>
          <w:tcPr>
            <w:tcW w:w="1645" w:type="pct"/>
            <w:shd w:val="clear" w:color="auto" w:fill="auto"/>
          </w:tcPr>
          <w:p w:rsidR="00CA682E" w:rsidRPr="00CA682E" w:rsidRDefault="00CA682E" w:rsidP="00CA682E">
            <w:pPr>
              <w:autoSpaceDE w:val="0"/>
              <w:autoSpaceDN w:val="0"/>
              <w:adjustRightInd w:val="0"/>
              <w:spacing w:before="40" w:after="40"/>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Modificar el calendario de las obras</w:t>
            </w:r>
            <w:r w:rsidRPr="00CA682E" w:rsidDel="005B0FC6">
              <w:rPr>
                <w:rFonts w:eastAsia="Times New Roman" w:cs="Times New Roman"/>
                <w:color w:val="000000" w:themeColor="text1"/>
                <w:sz w:val="16"/>
                <w:szCs w:val="16"/>
                <w:lang w:eastAsia="en-US"/>
              </w:rPr>
              <w:t xml:space="preserve"> </w:t>
            </w:r>
          </w:p>
        </w:tc>
        <w:tc>
          <w:tcPr>
            <w:tcW w:w="1691" w:type="pct"/>
            <w:shd w:val="clear" w:color="auto" w:fill="auto"/>
          </w:tcPr>
          <w:p w:rsidR="00CA682E" w:rsidRPr="00CA682E" w:rsidRDefault="00CA682E" w:rsidP="00CA682E">
            <w:pPr>
              <w:autoSpaceDE w:val="0"/>
              <w:autoSpaceDN w:val="0"/>
              <w:adjustRightInd w:val="0"/>
              <w:spacing w:before="40" w:after="40"/>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Dado que la finalización del proyecto relativo a la nueva sala de conferencias tardó más de lo previsto el plazo del proyecto sufrió todavía más demoras, estimándose el inicio de las obras en el tercer trimestre de 2017 y no en el primer trimestre de ese año, como se había informado anteriormente.  No hubo incidencia en los aportes concretos</w:t>
            </w:r>
          </w:p>
        </w:tc>
      </w:tr>
      <w:tr w:rsidR="00CA682E" w:rsidRPr="00CA682E" w:rsidTr="007B1DE4">
        <w:trPr>
          <w:trHeight w:val="639"/>
          <w:jc w:val="center"/>
        </w:trPr>
        <w:tc>
          <w:tcPr>
            <w:tcW w:w="1664" w:type="pct"/>
            <w:shd w:val="clear" w:color="auto" w:fill="auto"/>
          </w:tcPr>
          <w:p w:rsidR="00CA682E" w:rsidRPr="00CA682E" w:rsidRDefault="00CA682E" w:rsidP="00CA682E">
            <w:pPr>
              <w:autoSpaceDE w:val="0"/>
              <w:autoSpaceDN w:val="0"/>
              <w:adjustRightInd w:val="0"/>
              <w:spacing w:before="40" w:after="40"/>
              <w:rPr>
                <w:rFonts w:eastAsia="Times New Roman" w:cs="Times New Roman"/>
                <w:b/>
                <w:bCs/>
                <w:color w:val="000000" w:themeColor="text1"/>
                <w:sz w:val="16"/>
                <w:szCs w:val="16"/>
                <w:lang w:eastAsia="en-US"/>
              </w:rPr>
            </w:pPr>
            <w:r w:rsidRPr="00CA682E">
              <w:rPr>
                <w:rFonts w:eastAsia="Times New Roman" w:cs="Times New Roman"/>
                <w:color w:val="000000" w:themeColor="text1"/>
                <w:sz w:val="16"/>
                <w:szCs w:val="16"/>
                <w:lang w:eastAsia="en-US"/>
              </w:rPr>
              <w:t>Demora en la puesta en servicio de la renovación  debido a la solución técnica elegida y/o la logística interna de redistribución de oficinas</w:t>
            </w:r>
          </w:p>
        </w:tc>
        <w:tc>
          <w:tcPr>
            <w:tcW w:w="1645" w:type="pct"/>
            <w:shd w:val="clear" w:color="auto" w:fill="auto"/>
          </w:tcPr>
          <w:p w:rsidR="00CA682E" w:rsidRPr="00CA682E" w:rsidRDefault="00CA682E" w:rsidP="00CA682E">
            <w:pPr>
              <w:numPr>
                <w:ilvl w:val="0"/>
                <w:numId w:val="137"/>
              </w:numPr>
              <w:autoSpaceDE w:val="0"/>
              <w:autoSpaceDN w:val="0"/>
              <w:adjustRightInd w:val="0"/>
              <w:spacing w:before="40" w:after="40"/>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Evaluar la elección de la solución técnica</w:t>
            </w:r>
          </w:p>
          <w:p w:rsidR="00CA682E" w:rsidRPr="00CA682E" w:rsidRDefault="00CA682E" w:rsidP="00CA682E">
            <w:pPr>
              <w:numPr>
                <w:ilvl w:val="0"/>
                <w:numId w:val="137"/>
              </w:numPr>
              <w:autoSpaceDE w:val="0"/>
              <w:autoSpaceDN w:val="0"/>
              <w:adjustRightInd w:val="0"/>
              <w:spacing w:before="40" w:after="40"/>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Evaluar la posibilidad de acortar el calendario</w:t>
            </w:r>
          </w:p>
          <w:p w:rsidR="00CA682E" w:rsidRPr="00CA682E" w:rsidRDefault="00CA682E" w:rsidP="00CA682E">
            <w:pPr>
              <w:numPr>
                <w:ilvl w:val="0"/>
                <w:numId w:val="137"/>
              </w:numPr>
              <w:autoSpaceDE w:val="0"/>
              <w:autoSpaceDN w:val="0"/>
              <w:adjustRightInd w:val="0"/>
              <w:spacing w:before="40" w:after="40"/>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 xml:space="preserve">Planificar con el PCT, el Departamento de Tecnologías de la Información y las </w:t>
            </w:r>
            <w:r w:rsidRPr="00CA682E">
              <w:rPr>
                <w:rFonts w:eastAsia="Times New Roman" w:cs="Times New Roman"/>
                <w:color w:val="000000" w:themeColor="text1"/>
                <w:sz w:val="16"/>
                <w:szCs w:val="16"/>
                <w:lang w:eastAsia="en-US"/>
              </w:rPr>
              <w:lastRenderedPageBreak/>
              <w:t>Comunicaciones (TIC) y el Servicio de Coordinación en materia de Seguridad y Vigilancia</w:t>
            </w:r>
          </w:p>
        </w:tc>
        <w:tc>
          <w:tcPr>
            <w:tcW w:w="1691" w:type="pct"/>
            <w:shd w:val="clear" w:color="auto" w:fill="auto"/>
          </w:tcPr>
          <w:p w:rsidR="00CA682E" w:rsidRPr="00CA682E" w:rsidRDefault="00CA682E" w:rsidP="00CA682E">
            <w:pPr>
              <w:autoSpaceDE w:val="0"/>
              <w:autoSpaceDN w:val="0"/>
              <w:adjustRightInd w:val="0"/>
              <w:spacing w:before="40" w:after="40"/>
              <w:rPr>
                <w:rFonts w:eastAsia="Times New Roman" w:cs="Times New Roman"/>
                <w:color w:val="000000" w:themeColor="text1"/>
                <w:sz w:val="16"/>
                <w:szCs w:val="16"/>
                <w:lang w:eastAsia="en-US"/>
              </w:rPr>
            </w:pPr>
          </w:p>
        </w:tc>
      </w:tr>
      <w:tr w:rsidR="00CA682E" w:rsidRPr="00CA682E" w:rsidTr="007B1DE4">
        <w:trPr>
          <w:trHeight w:val="776"/>
          <w:jc w:val="center"/>
        </w:trPr>
        <w:tc>
          <w:tcPr>
            <w:tcW w:w="1664" w:type="pct"/>
            <w:shd w:val="clear" w:color="auto" w:fill="auto"/>
          </w:tcPr>
          <w:p w:rsidR="00CA682E" w:rsidRPr="00CA682E" w:rsidRDefault="00CA682E" w:rsidP="00CA682E">
            <w:pPr>
              <w:autoSpaceDE w:val="0"/>
              <w:autoSpaceDN w:val="0"/>
              <w:adjustRightInd w:val="0"/>
              <w:spacing w:before="40" w:after="40"/>
              <w:rPr>
                <w:rFonts w:eastAsia="Times New Roman" w:cs="Times New Roman"/>
                <w:b/>
                <w:bCs/>
                <w:color w:val="000000" w:themeColor="text1"/>
                <w:sz w:val="16"/>
                <w:szCs w:val="16"/>
                <w:lang w:eastAsia="en-US"/>
              </w:rPr>
            </w:pPr>
            <w:r w:rsidRPr="00CA682E">
              <w:rPr>
                <w:rFonts w:eastAsia="Times New Roman" w:cs="Times New Roman"/>
                <w:color w:val="000000" w:themeColor="text1"/>
                <w:sz w:val="16"/>
                <w:szCs w:val="16"/>
                <w:lang w:eastAsia="en-US"/>
              </w:rPr>
              <w:lastRenderedPageBreak/>
              <w:t>Riesgo financiero por no conocerse el costo de la solución técnica que será elegida.  El costo del proyecto puede ser superior que el presupuestado debido a la situación el mercado de la construcción durante el llamado a licitación de empresas en 2016</w:t>
            </w:r>
          </w:p>
        </w:tc>
        <w:tc>
          <w:tcPr>
            <w:tcW w:w="1645" w:type="pct"/>
            <w:shd w:val="clear" w:color="auto" w:fill="auto"/>
          </w:tcPr>
          <w:p w:rsidR="00CA682E" w:rsidRPr="00CA682E" w:rsidRDefault="00CA682E" w:rsidP="00CA682E">
            <w:pPr>
              <w:autoSpaceDE w:val="0"/>
              <w:autoSpaceDN w:val="0"/>
              <w:adjustRightInd w:val="0"/>
              <w:spacing w:before="40" w:after="40"/>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Revisar la elección de la solución técnica y supervisar la situación del mercado – según proceda, incluir cláusulas de mitigación en los contratos</w:t>
            </w:r>
          </w:p>
          <w:p w:rsidR="00CA682E" w:rsidRPr="00CA682E" w:rsidRDefault="00CA682E" w:rsidP="00CA682E">
            <w:pPr>
              <w:autoSpaceDE w:val="0"/>
              <w:autoSpaceDN w:val="0"/>
              <w:adjustRightInd w:val="0"/>
              <w:spacing w:before="40" w:after="40"/>
              <w:rPr>
                <w:rFonts w:eastAsia="Times New Roman" w:cs="Times New Roman"/>
                <w:color w:val="000000" w:themeColor="text1"/>
                <w:sz w:val="16"/>
                <w:szCs w:val="16"/>
                <w:lang w:eastAsia="en-US"/>
              </w:rPr>
            </w:pPr>
          </w:p>
        </w:tc>
        <w:tc>
          <w:tcPr>
            <w:tcW w:w="1691" w:type="pct"/>
            <w:shd w:val="clear" w:color="auto" w:fill="auto"/>
          </w:tcPr>
          <w:p w:rsidR="00CA682E" w:rsidRPr="00CA682E" w:rsidRDefault="00CA682E" w:rsidP="00CA682E">
            <w:pPr>
              <w:autoSpaceDE w:val="0"/>
              <w:autoSpaceDN w:val="0"/>
              <w:adjustRightInd w:val="0"/>
              <w:spacing w:before="40" w:after="40"/>
              <w:rPr>
                <w:rFonts w:eastAsia="Times New Roman" w:cs="Times New Roman"/>
                <w:color w:val="000000" w:themeColor="text1"/>
                <w:sz w:val="16"/>
                <w:szCs w:val="16"/>
                <w:lang w:eastAsia="en-US"/>
              </w:rPr>
            </w:pPr>
          </w:p>
        </w:tc>
      </w:tr>
    </w:tbl>
    <w:p w:rsidR="00CA682E" w:rsidRPr="00CA682E" w:rsidRDefault="00CA682E" w:rsidP="00CA682E">
      <w:pPr>
        <w:rPr>
          <w:rFonts w:eastAsia="Times New Roman"/>
          <w:color w:val="000000" w:themeColor="text1"/>
          <w:szCs w:val="22"/>
          <w:lang w:eastAsia="en-US"/>
        </w:rPr>
      </w:pPr>
    </w:p>
    <w:p w:rsidR="00CA682E" w:rsidRPr="00CA682E" w:rsidRDefault="00CA682E" w:rsidP="00CA682E">
      <w:pPr>
        <w:rPr>
          <w:rFonts w:eastAsia="Times New Roman"/>
          <w:color w:val="000000" w:themeColor="text1"/>
          <w:szCs w:val="22"/>
          <w:lang w:eastAsia="en-US"/>
        </w:rPr>
      </w:pPr>
    </w:p>
    <w:p w:rsidR="00CA682E" w:rsidRPr="00CA682E" w:rsidRDefault="00CA682E" w:rsidP="00CA682E">
      <w:pPr>
        <w:keepNext/>
        <w:keepLines/>
        <w:rPr>
          <w:rFonts w:eastAsia="Times New Roman"/>
          <w:color w:val="000000" w:themeColor="text1"/>
          <w:sz w:val="20"/>
          <w:szCs w:val="22"/>
          <w:lang w:eastAsia="en-US"/>
        </w:rPr>
      </w:pPr>
      <w:r w:rsidRPr="00CA682E">
        <w:rPr>
          <w:rFonts w:eastAsia="Times New Roman"/>
          <w:color w:val="000000" w:themeColor="text1"/>
          <w:sz w:val="20"/>
          <w:szCs w:val="22"/>
          <w:lang w:eastAsia="en-US"/>
        </w:rPr>
        <w:t>CALENDARIO DEL PROYECTO, POR ETAPA</w:t>
      </w:r>
    </w:p>
    <w:p w:rsidR="00CA682E" w:rsidRPr="00CA682E" w:rsidRDefault="00CA682E" w:rsidP="00CA682E">
      <w:pPr>
        <w:keepNext/>
        <w:keepLines/>
        <w:rPr>
          <w:rFonts w:eastAsia="Times New Roman"/>
          <w:color w:val="000000" w:themeColor="text1"/>
          <w:sz w:val="20"/>
          <w:szCs w:val="22"/>
          <w:lang w:eastAsia="en-US"/>
        </w:rPr>
      </w:pPr>
    </w:p>
    <w:tbl>
      <w:tblPr>
        <w:tblW w:w="9666" w:type="dxa"/>
        <w:jc w:val="center"/>
        <w:tblLook w:val="04A0" w:firstRow="1" w:lastRow="0" w:firstColumn="1" w:lastColumn="0" w:noHBand="0" w:noVBand="1"/>
      </w:tblPr>
      <w:tblGrid>
        <w:gridCol w:w="1999"/>
        <w:gridCol w:w="391"/>
        <w:gridCol w:w="384"/>
        <w:gridCol w:w="384"/>
        <w:gridCol w:w="374"/>
        <w:gridCol w:w="10"/>
        <w:gridCol w:w="384"/>
        <w:gridCol w:w="352"/>
        <w:gridCol w:w="384"/>
        <w:gridCol w:w="384"/>
        <w:gridCol w:w="19"/>
        <w:gridCol w:w="366"/>
        <w:gridCol w:w="385"/>
        <w:gridCol w:w="385"/>
        <w:gridCol w:w="385"/>
        <w:gridCol w:w="13"/>
        <w:gridCol w:w="372"/>
        <w:gridCol w:w="385"/>
        <w:gridCol w:w="385"/>
        <w:gridCol w:w="385"/>
        <w:gridCol w:w="6"/>
        <w:gridCol w:w="323"/>
        <w:gridCol w:w="383"/>
        <w:gridCol w:w="403"/>
        <w:gridCol w:w="425"/>
      </w:tblGrid>
      <w:tr w:rsidR="00CA682E" w:rsidRPr="00CA682E" w:rsidTr="007B1DE4">
        <w:trPr>
          <w:trHeight w:val="270"/>
          <w:tblHeader/>
          <w:jc w:val="center"/>
        </w:trPr>
        <w:tc>
          <w:tcPr>
            <w:tcW w:w="1999" w:type="dxa"/>
            <w:tcBorders>
              <w:top w:val="nil"/>
              <w:left w:val="nil"/>
              <w:bottom w:val="nil"/>
              <w:right w:val="nil"/>
            </w:tcBorders>
            <w:shd w:val="clear" w:color="auto" w:fill="auto"/>
            <w:noWrap/>
            <w:vAlign w:val="bottom"/>
            <w:hideMark/>
          </w:tcPr>
          <w:p w:rsidR="00CA682E" w:rsidRPr="00CA682E" w:rsidRDefault="00CA682E" w:rsidP="00CA682E">
            <w:pPr>
              <w:keepNext/>
              <w:keepLines/>
              <w:rPr>
                <w:rFonts w:eastAsia="Times New Roman"/>
                <w:color w:val="000000" w:themeColor="text1"/>
                <w:sz w:val="16"/>
                <w:szCs w:val="16"/>
                <w:lang w:eastAsia="en-US"/>
              </w:rPr>
            </w:pPr>
          </w:p>
        </w:tc>
        <w:tc>
          <w:tcPr>
            <w:tcW w:w="1533" w:type="dxa"/>
            <w:gridSpan w:val="4"/>
            <w:tcBorders>
              <w:top w:val="single" w:sz="8" w:space="0" w:color="auto"/>
              <w:left w:val="single" w:sz="8" w:space="0" w:color="auto"/>
              <w:bottom w:val="single" w:sz="4" w:space="0" w:color="auto"/>
              <w:right w:val="single" w:sz="4" w:space="0" w:color="auto"/>
            </w:tcBorders>
            <w:shd w:val="clear" w:color="auto" w:fill="C6D9F1" w:themeFill="text2" w:themeFillTint="33"/>
            <w:noWrap/>
            <w:tcMar>
              <w:left w:w="0" w:type="dxa"/>
              <w:right w:w="0" w:type="dxa"/>
            </w:tcMar>
            <w:vAlign w:val="bottom"/>
            <w:hideMark/>
          </w:tcPr>
          <w:p w:rsidR="00CA682E" w:rsidRPr="00CA682E" w:rsidRDefault="00CA682E" w:rsidP="00CA682E">
            <w:pPr>
              <w:keepNext/>
              <w:keepLines/>
              <w:jc w:val="center"/>
              <w:rPr>
                <w:rFonts w:eastAsia="Times New Roman"/>
                <w:b/>
                <w:bCs/>
                <w:color w:val="000000" w:themeColor="text1"/>
                <w:sz w:val="16"/>
                <w:szCs w:val="16"/>
                <w:lang w:eastAsia="en-US"/>
              </w:rPr>
            </w:pPr>
            <w:r w:rsidRPr="00CA682E">
              <w:rPr>
                <w:rFonts w:eastAsia="Times New Roman"/>
                <w:b/>
                <w:bCs/>
                <w:color w:val="000000" w:themeColor="text1"/>
                <w:sz w:val="16"/>
                <w:szCs w:val="16"/>
                <w:lang w:eastAsia="en-US"/>
              </w:rPr>
              <w:t>2014</w:t>
            </w:r>
          </w:p>
        </w:tc>
        <w:tc>
          <w:tcPr>
            <w:tcW w:w="1533" w:type="dxa"/>
            <w:gridSpan w:val="6"/>
            <w:tcBorders>
              <w:top w:val="single" w:sz="8" w:space="0" w:color="auto"/>
              <w:left w:val="single" w:sz="8" w:space="0" w:color="auto"/>
              <w:bottom w:val="single" w:sz="4" w:space="0" w:color="auto"/>
              <w:right w:val="single" w:sz="4" w:space="0" w:color="auto"/>
            </w:tcBorders>
            <w:shd w:val="clear" w:color="auto" w:fill="C6D9F1" w:themeFill="text2" w:themeFillTint="33"/>
            <w:vAlign w:val="bottom"/>
          </w:tcPr>
          <w:p w:rsidR="00CA682E" w:rsidRPr="00CA682E" w:rsidRDefault="00CA682E" w:rsidP="00CA682E">
            <w:pPr>
              <w:keepNext/>
              <w:keepLines/>
              <w:jc w:val="center"/>
              <w:rPr>
                <w:rFonts w:eastAsia="Times New Roman"/>
                <w:b/>
                <w:bCs/>
                <w:color w:val="000000" w:themeColor="text1"/>
                <w:sz w:val="16"/>
                <w:szCs w:val="16"/>
                <w:lang w:eastAsia="en-US"/>
              </w:rPr>
            </w:pPr>
            <w:r w:rsidRPr="00CA682E">
              <w:rPr>
                <w:rFonts w:eastAsia="Times New Roman"/>
                <w:b/>
                <w:bCs/>
                <w:color w:val="000000" w:themeColor="text1"/>
                <w:sz w:val="16"/>
                <w:szCs w:val="16"/>
                <w:lang w:eastAsia="en-US"/>
              </w:rPr>
              <w:t>2015</w:t>
            </w:r>
          </w:p>
        </w:tc>
        <w:tc>
          <w:tcPr>
            <w:tcW w:w="1534" w:type="dxa"/>
            <w:gridSpan w:val="5"/>
            <w:tcBorders>
              <w:top w:val="single" w:sz="8" w:space="0" w:color="auto"/>
              <w:left w:val="single" w:sz="8" w:space="0" w:color="auto"/>
              <w:bottom w:val="single" w:sz="4" w:space="0" w:color="auto"/>
              <w:right w:val="single" w:sz="4" w:space="0" w:color="auto"/>
            </w:tcBorders>
            <w:shd w:val="clear" w:color="auto" w:fill="C6D9F1" w:themeFill="text2" w:themeFillTint="33"/>
            <w:vAlign w:val="bottom"/>
          </w:tcPr>
          <w:p w:rsidR="00CA682E" w:rsidRPr="00CA682E" w:rsidRDefault="00CA682E" w:rsidP="00CA682E">
            <w:pPr>
              <w:keepNext/>
              <w:keepLines/>
              <w:jc w:val="center"/>
              <w:rPr>
                <w:rFonts w:eastAsia="Times New Roman"/>
                <w:b/>
                <w:bCs/>
                <w:color w:val="000000" w:themeColor="text1"/>
                <w:sz w:val="16"/>
                <w:szCs w:val="16"/>
                <w:lang w:eastAsia="en-US"/>
              </w:rPr>
            </w:pPr>
            <w:r w:rsidRPr="00CA682E">
              <w:rPr>
                <w:rFonts w:eastAsia="Times New Roman"/>
                <w:b/>
                <w:bCs/>
                <w:color w:val="000000" w:themeColor="text1"/>
                <w:sz w:val="16"/>
                <w:szCs w:val="16"/>
                <w:lang w:eastAsia="en-US"/>
              </w:rPr>
              <w:t>2016</w:t>
            </w:r>
          </w:p>
        </w:tc>
        <w:tc>
          <w:tcPr>
            <w:tcW w:w="1533" w:type="dxa"/>
            <w:gridSpan w:val="5"/>
            <w:tcBorders>
              <w:top w:val="single" w:sz="8" w:space="0" w:color="auto"/>
              <w:left w:val="single" w:sz="8" w:space="0" w:color="auto"/>
              <w:bottom w:val="single" w:sz="4" w:space="0" w:color="auto"/>
              <w:right w:val="single" w:sz="4" w:space="0" w:color="auto"/>
            </w:tcBorders>
            <w:shd w:val="clear" w:color="auto" w:fill="C6D9F1" w:themeFill="text2" w:themeFillTint="33"/>
            <w:vAlign w:val="bottom"/>
          </w:tcPr>
          <w:p w:rsidR="00CA682E" w:rsidRPr="00CA682E" w:rsidRDefault="00CA682E" w:rsidP="00CA682E">
            <w:pPr>
              <w:keepNext/>
              <w:keepLines/>
              <w:jc w:val="center"/>
              <w:rPr>
                <w:rFonts w:eastAsia="Times New Roman"/>
                <w:b/>
                <w:bCs/>
                <w:color w:val="000000" w:themeColor="text1"/>
                <w:sz w:val="16"/>
                <w:szCs w:val="16"/>
                <w:lang w:eastAsia="en-US"/>
              </w:rPr>
            </w:pPr>
            <w:r w:rsidRPr="00CA682E">
              <w:rPr>
                <w:rFonts w:eastAsia="Times New Roman"/>
                <w:b/>
                <w:bCs/>
                <w:color w:val="000000" w:themeColor="text1"/>
                <w:sz w:val="16"/>
                <w:szCs w:val="16"/>
                <w:lang w:eastAsia="en-US"/>
              </w:rPr>
              <w:t>2017</w:t>
            </w:r>
          </w:p>
        </w:tc>
        <w:tc>
          <w:tcPr>
            <w:tcW w:w="1534" w:type="dxa"/>
            <w:gridSpan w:val="4"/>
            <w:tcBorders>
              <w:top w:val="single" w:sz="8" w:space="0" w:color="auto"/>
              <w:left w:val="single" w:sz="8" w:space="0" w:color="auto"/>
              <w:bottom w:val="single" w:sz="4" w:space="0" w:color="auto"/>
              <w:right w:val="single" w:sz="4" w:space="0" w:color="auto"/>
            </w:tcBorders>
            <w:shd w:val="clear" w:color="auto" w:fill="C6D9F1" w:themeFill="text2" w:themeFillTint="33"/>
            <w:vAlign w:val="bottom"/>
          </w:tcPr>
          <w:p w:rsidR="00CA682E" w:rsidRPr="00CA682E" w:rsidRDefault="00CA682E" w:rsidP="00CA682E">
            <w:pPr>
              <w:keepNext/>
              <w:keepLines/>
              <w:jc w:val="center"/>
              <w:rPr>
                <w:rFonts w:eastAsia="Times New Roman"/>
                <w:b/>
                <w:bCs/>
                <w:color w:val="000000" w:themeColor="text1"/>
                <w:sz w:val="16"/>
                <w:szCs w:val="16"/>
                <w:lang w:eastAsia="en-US"/>
              </w:rPr>
            </w:pPr>
            <w:r w:rsidRPr="00CA682E">
              <w:rPr>
                <w:rFonts w:eastAsia="Times New Roman"/>
                <w:b/>
                <w:bCs/>
                <w:color w:val="000000" w:themeColor="text1"/>
                <w:sz w:val="16"/>
                <w:szCs w:val="16"/>
                <w:lang w:eastAsia="en-US"/>
              </w:rPr>
              <w:t>2018</w:t>
            </w:r>
          </w:p>
        </w:tc>
      </w:tr>
      <w:tr w:rsidR="00CA682E" w:rsidRPr="00CA682E" w:rsidTr="007B1DE4">
        <w:trPr>
          <w:trHeight w:val="375"/>
          <w:tblHeader/>
          <w:jc w:val="center"/>
        </w:trPr>
        <w:tc>
          <w:tcPr>
            <w:tcW w:w="1999" w:type="dxa"/>
            <w:tcBorders>
              <w:top w:val="single" w:sz="8" w:space="0" w:color="auto"/>
              <w:left w:val="single" w:sz="4" w:space="0" w:color="auto"/>
              <w:bottom w:val="single" w:sz="4" w:space="0" w:color="auto"/>
              <w:right w:val="single" w:sz="8" w:space="0" w:color="auto"/>
            </w:tcBorders>
            <w:shd w:val="clear" w:color="auto" w:fill="C6D9F1" w:themeFill="text2" w:themeFillTint="33"/>
            <w:noWrap/>
            <w:vAlign w:val="bottom"/>
            <w:hideMark/>
          </w:tcPr>
          <w:p w:rsidR="00CA682E" w:rsidRPr="00CA682E" w:rsidRDefault="00CA682E" w:rsidP="00CA682E">
            <w:pPr>
              <w:keepNext/>
              <w:keepLines/>
              <w:rPr>
                <w:rFonts w:eastAsia="Times New Roman"/>
                <w:b/>
                <w:bCs/>
                <w:color w:val="000000" w:themeColor="text1"/>
                <w:sz w:val="16"/>
                <w:szCs w:val="16"/>
                <w:lang w:eastAsia="en-US"/>
              </w:rPr>
            </w:pPr>
            <w:r w:rsidRPr="00CA682E">
              <w:rPr>
                <w:rFonts w:eastAsia="Times New Roman"/>
                <w:b/>
                <w:bCs/>
                <w:color w:val="000000" w:themeColor="text1"/>
                <w:sz w:val="16"/>
                <w:szCs w:val="16"/>
                <w:lang w:eastAsia="en-US"/>
              </w:rPr>
              <w:t>Etapas fundamentales</w:t>
            </w:r>
          </w:p>
        </w:tc>
        <w:tc>
          <w:tcPr>
            <w:tcW w:w="391" w:type="dxa"/>
            <w:tcBorders>
              <w:top w:val="nil"/>
              <w:left w:val="nil"/>
              <w:bottom w:val="single" w:sz="4" w:space="0" w:color="auto"/>
              <w:right w:val="single" w:sz="4" w:space="0" w:color="auto"/>
            </w:tcBorders>
            <w:shd w:val="clear" w:color="auto" w:fill="C6D9F1" w:themeFill="text2" w:themeFillTint="33"/>
            <w:noWrap/>
            <w:tcMar>
              <w:left w:w="0" w:type="dxa"/>
              <w:right w:w="0" w:type="dxa"/>
            </w:tcMar>
            <w:vAlign w:val="bottom"/>
            <w:hideMark/>
          </w:tcPr>
          <w:p w:rsidR="00CA682E" w:rsidRPr="00CA682E" w:rsidRDefault="00CA682E" w:rsidP="00CA682E">
            <w:pPr>
              <w:keepNext/>
              <w:keepLines/>
              <w:jc w:val="center"/>
              <w:rPr>
                <w:rFonts w:eastAsia="Times New Roman"/>
                <w:b/>
                <w:bCs/>
                <w:color w:val="000000" w:themeColor="text1"/>
                <w:sz w:val="16"/>
                <w:szCs w:val="16"/>
                <w:lang w:eastAsia="en-US"/>
              </w:rPr>
            </w:pPr>
            <w:r w:rsidRPr="00CA682E">
              <w:rPr>
                <w:rFonts w:eastAsia="Times New Roman"/>
                <w:b/>
                <w:bCs/>
                <w:color w:val="000000" w:themeColor="text1"/>
                <w:sz w:val="16"/>
                <w:szCs w:val="16"/>
                <w:lang w:eastAsia="en-US"/>
              </w:rPr>
              <w:t>T1.</w:t>
            </w:r>
          </w:p>
        </w:tc>
        <w:tc>
          <w:tcPr>
            <w:tcW w:w="384" w:type="dxa"/>
            <w:tcBorders>
              <w:top w:val="nil"/>
              <w:left w:val="nil"/>
              <w:bottom w:val="single" w:sz="4" w:space="0" w:color="auto"/>
              <w:right w:val="single" w:sz="4" w:space="0" w:color="auto"/>
            </w:tcBorders>
            <w:shd w:val="clear" w:color="auto" w:fill="C6D9F1" w:themeFill="text2" w:themeFillTint="33"/>
            <w:noWrap/>
            <w:tcMar>
              <w:left w:w="0" w:type="dxa"/>
              <w:right w:w="0" w:type="dxa"/>
            </w:tcMar>
            <w:vAlign w:val="bottom"/>
            <w:hideMark/>
          </w:tcPr>
          <w:p w:rsidR="00CA682E" w:rsidRPr="00CA682E" w:rsidRDefault="00CA682E" w:rsidP="00CA682E">
            <w:pPr>
              <w:keepNext/>
              <w:keepLines/>
              <w:jc w:val="center"/>
              <w:rPr>
                <w:rFonts w:eastAsia="Times New Roman"/>
                <w:b/>
                <w:bCs/>
                <w:color w:val="000000" w:themeColor="text1"/>
                <w:sz w:val="16"/>
                <w:szCs w:val="16"/>
                <w:lang w:eastAsia="en-US"/>
              </w:rPr>
            </w:pPr>
            <w:r w:rsidRPr="00CA682E">
              <w:rPr>
                <w:rFonts w:eastAsia="Times New Roman"/>
                <w:b/>
                <w:bCs/>
                <w:color w:val="000000" w:themeColor="text1"/>
                <w:sz w:val="16"/>
                <w:szCs w:val="16"/>
                <w:lang w:eastAsia="en-US"/>
              </w:rPr>
              <w:t>T2.</w:t>
            </w:r>
          </w:p>
        </w:tc>
        <w:tc>
          <w:tcPr>
            <w:tcW w:w="384" w:type="dxa"/>
            <w:tcBorders>
              <w:top w:val="nil"/>
              <w:left w:val="nil"/>
              <w:bottom w:val="single" w:sz="4" w:space="0" w:color="auto"/>
              <w:right w:val="single" w:sz="4" w:space="0" w:color="auto"/>
            </w:tcBorders>
            <w:shd w:val="clear" w:color="auto" w:fill="C6D9F1" w:themeFill="text2" w:themeFillTint="33"/>
            <w:noWrap/>
            <w:tcMar>
              <w:left w:w="0" w:type="dxa"/>
              <w:right w:w="0" w:type="dxa"/>
            </w:tcMar>
            <w:vAlign w:val="bottom"/>
            <w:hideMark/>
          </w:tcPr>
          <w:p w:rsidR="00CA682E" w:rsidRPr="00CA682E" w:rsidRDefault="00CA682E" w:rsidP="00CA682E">
            <w:pPr>
              <w:keepNext/>
              <w:keepLines/>
              <w:jc w:val="center"/>
              <w:rPr>
                <w:rFonts w:eastAsia="Times New Roman"/>
                <w:b/>
                <w:bCs/>
                <w:color w:val="000000" w:themeColor="text1"/>
                <w:sz w:val="16"/>
                <w:szCs w:val="16"/>
                <w:lang w:eastAsia="en-US"/>
              </w:rPr>
            </w:pPr>
            <w:r w:rsidRPr="00CA682E">
              <w:rPr>
                <w:rFonts w:eastAsia="Times New Roman"/>
                <w:b/>
                <w:bCs/>
                <w:color w:val="000000" w:themeColor="text1"/>
                <w:sz w:val="16"/>
                <w:szCs w:val="16"/>
                <w:lang w:eastAsia="en-US"/>
              </w:rPr>
              <w:t>T3</w:t>
            </w:r>
          </w:p>
        </w:tc>
        <w:tc>
          <w:tcPr>
            <w:tcW w:w="384" w:type="dxa"/>
            <w:gridSpan w:val="2"/>
            <w:tcBorders>
              <w:top w:val="nil"/>
              <w:left w:val="nil"/>
              <w:bottom w:val="single" w:sz="4" w:space="0" w:color="auto"/>
              <w:right w:val="single" w:sz="8" w:space="0" w:color="auto"/>
            </w:tcBorders>
            <w:shd w:val="clear" w:color="auto" w:fill="C6D9F1" w:themeFill="text2" w:themeFillTint="33"/>
            <w:noWrap/>
            <w:tcMar>
              <w:left w:w="0" w:type="dxa"/>
              <w:right w:w="0" w:type="dxa"/>
            </w:tcMar>
            <w:vAlign w:val="bottom"/>
            <w:hideMark/>
          </w:tcPr>
          <w:p w:rsidR="00CA682E" w:rsidRPr="00CA682E" w:rsidRDefault="00CA682E" w:rsidP="00CA682E">
            <w:pPr>
              <w:keepNext/>
              <w:keepLines/>
              <w:jc w:val="center"/>
              <w:rPr>
                <w:rFonts w:eastAsia="Times New Roman"/>
                <w:b/>
                <w:bCs/>
                <w:color w:val="000000" w:themeColor="text1"/>
                <w:sz w:val="16"/>
                <w:szCs w:val="16"/>
                <w:lang w:eastAsia="en-US"/>
              </w:rPr>
            </w:pPr>
            <w:r w:rsidRPr="00CA682E">
              <w:rPr>
                <w:rFonts w:eastAsia="Times New Roman"/>
                <w:b/>
                <w:bCs/>
                <w:color w:val="000000" w:themeColor="text1"/>
                <w:sz w:val="16"/>
                <w:szCs w:val="16"/>
                <w:lang w:eastAsia="en-US"/>
              </w:rPr>
              <w:t>T4</w:t>
            </w:r>
          </w:p>
        </w:tc>
        <w:tc>
          <w:tcPr>
            <w:tcW w:w="384" w:type="dxa"/>
            <w:tcBorders>
              <w:top w:val="nil"/>
              <w:left w:val="nil"/>
              <w:bottom w:val="single" w:sz="4" w:space="0" w:color="auto"/>
              <w:right w:val="single" w:sz="4" w:space="0" w:color="auto"/>
            </w:tcBorders>
            <w:shd w:val="clear" w:color="auto" w:fill="C6D9F1" w:themeFill="text2" w:themeFillTint="33"/>
            <w:noWrap/>
            <w:tcMar>
              <w:left w:w="0" w:type="dxa"/>
              <w:right w:w="0" w:type="dxa"/>
            </w:tcMar>
            <w:vAlign w:val="bottom"/>
            <w:hideMark/>
          </w:tcPr>
          <w:p w:rsidR="00CA682E" w:rsidRPr="00CA682E" w:rsidRDefault="00CA682E" w:rsidP="00CA682E">
            <w:pPr>
              <w:keepNext/>
              <w:keepLines/>
              <w:jc w:val="center"/>
              <w:rPr>
                <w:rFonts w:eastAsia="Times New Roman"/>
                <w:b/>
                <w:bCs/>
                <w:color w:val="000000" w:themeColor="text1"/>
                <w:sz w:val="16"/>
                <w:szCs w:val="16"/>
                <w:lang w:eastAsia="en-US"/>
              </w:rPr>
            </w:pPr>
            <w:r w:rsidRPr="00CA682E">
              <w:rPr>
                <w:rFonts w:eastAsia="Times New Roman"/>
                <w:b/>
                <w:bCs/>
                <w:color w:val="000000" w:themeColor="text1"/>
                <w:sz w:val="16"/>
                <w:szCs w:val="16"/>
                <w:lang w:eastAsia="en-US"/>
              </w:rPr>
              <w:t>T1.</w:t>
            </w:r>
          </w:p>
        </w:tc>
        <w:tc>
          <w:tcPr>
            <w:tcW w:w="352" w:type="dxa"/>
            <w:tcBorders>
              <w:top w:val="nil"/>
              <w:left w:val="nil"/>
              <w:bottom w:val="single" w:sz="4" w:space="0" w:color="auto"/>
              <w:right w:val="single" w:sz="4" w:space="0" w:color="auto"/>
            </w:tcBorders>
            <w:shd w:val="clear" w:color="auto" w:fill="C6D9F1" w:themeFill="text2" w:themeFillTint="33"/>
            <w:noWrap/>
            <w:tcMar>
              <w:left w:w="0" w:type="dxa"/>
              <w:right w:w="0" w:type="dxa"/>
            </w:tcMar>
            <w:vAlign w:val="bottom"/>
            <w:hideMark/>
          </w:tcPr>
          <w:p w:rsidR="00CA682E" w:rsidRPr="00CA682E" w:rsidRDefault="00CA682E" w:rsidP="00CA682E">
            <w:pPr>
              <w:keepNext/>
              <w:keepLines/>
              <w:jc w:val="center"/>
              <w:rPr>
                <w:rFonts w:eastAsia="Times New Roman"/>
                <w:b/>
                <w:bCs/>
                <w:color w:val="000000" w:themeColor="text1"/>
                <w:sz w:val="16"/>
                <w:szCs w:val="16"/>
                <w:lang w:eastAsia="en-US"/>
              </w:rPr>
            </w:pPr>
            <w:r w:rsidRPr="00CA682E">
              <w:rPr>
                <w:rFonts w:eastAsia="Times New Roman"/>
                <w:b/>
                <w:bCs/>
                <w:color w:val="000000" w:themeColor="text1"/>
                <w:sz w:val="16"/>
                <w:szCs w:val="16"/>
                <w:lang w:eastAsia="en-US"/>
              </w:rPr>
              <w:t>2.</w:t>
            </w:r>
          </w:p>
        </w:tc>
        <w:tc>
          <w:tcPr>
            <w:tcW w:w="384" w:type="dxa"/>
            <w:tcBorders>
              <w:top w:val="nil"/>
              <w:left w:val="nil"/>
              <w:bottom w:val="single" w:sz="4" w:space="0" w:color="auto"/>
              <w:right w:val="single" w:sz="4" w:space="0" w:color="auto"/>
            </w:tcBorders>
            <w:shd w:val="clear" w:color="auto" w:fill="C6D9F1" w:themeFill="text2" w:themeFillTint="33"/>
            <w:noWrap/>
            <w:tcMar>
              <w:left w:w="0" w:type="dxa"/>
              <w:right w:w="0" w:type="dxa"/>
            </w:tcMar>
            <w:vAlign w:val="bottom"/>
            <w:hideMark/>
          </w:tcPr>
          <w:p w:rsidR="00CA682E" w:rsidRPr="00CA682E" w:rsidRDefault="00CA682E" w:rsidP="00CA682E">
            <w:pPr>
              <w:keepNext/>
              <w:keepLines/>
              <w:jc w:val="center"/>
              <w:rPr>
                <w:rFonts w:eastAsia="Times New Roman"/>
                <w:b/>
                <w:bCs/>
                <w:color w:val="000000" w:themeColor="text1"/>
                <w:sz w:val="16"/>
                <w:szCs w:val="16"/>
                <w:lang w:eastAsia="en-US"/>
              </w:rPr>
            </w:pPr>
            <w:r w:rsidRPr="00CA682E">
              <w:rPr>
                <w:rFonts w:eastAsia="Times New Roman"/>
                <w:b/>
                <w:bCs/>
                <w:color w:val="000000" w:themeColor="text1"/>
                <w:sz w:val="16"/>
                <w:szCs w:val="16"/>
                <w:lang w:eastAsia="en-US"/>
              </w:rPr>
              <w:t>T3</w:t>
            </w:r>
          </w:p>
        </w:tc>
        <w:tc>
          <w:tcPr>
            <w:tcW w:w="384" w:type="dxa"/>
            <w:tcBorders>
              <w:top w:val="nil"/>
              <w:left w:val="nil"/>
              <w:bottom w:val="single" w:sz="4" w:space="0" w:color="auto"/>
              <w:right w:val="single" w:sz="8" w:space="0" w:color="auto"/>
            </w:tcBorders>
            <w:shd w:val="clear" w:color="auto" w:fill="C6D9F1" w:themeFill="text2" w:themeFillTint="33"/>
            <w:noWrap/>
            <w:tcMar>
              <w:left w:w="0" w:type="dxa"/>
              <w:right w:w="0" w:type="dxa"/>
            </w:tcMar>
            <w:vAlign w:val="bottom"/>
            <w:hideMark/>
          </w:tcPr>
          <w:p w:rsidR="00CA682E" w:rsidRPr="00CA682E" w:rsidRDefault="00CA682E" w:rsidP="00CA682E">
            <w:pPr>
              <w:keepNext/>
              <w:keepLines/>
              <w:jc w:val="center"/>
              <w:rPr>
                <w:rFonts w:eastAsia="Times New Roman"/>
                <w:b/>
                <w:bCs/>
                <w:color w:val="000000" w:themeColor="text1"/>
                <w:sz w:val="16"/>
                <w:szCs w:val="16"/>
                <w:lang w:eastAsia="en-US"/>
              </w:rPr>
            </w:pPr>
            <w:r w:rsidRPr="00CA682E">
              <w:rPr>
                <w:rFonts w:eastAsia="Times New Roman"/>
                <w:b/>
                <w:bCs/>
                <w:color w:val="000000" w:themeColor="text1"/>
                <w:sz w:val="16"/>
                <w:szCs w:val="16"/>
                <w:lang w:eastAsia="en-US"/>
              </w:rPr>
              <w:t>T4</w:t>
            </w:r>
          </w:p>
        </w:tc>
        <w:tc>
          <w:tcPr>
            <w:tcW w:w="385" w:type="dxa"/>
            <w:gridSpan w:val="2"/>
            <w:tcBorders>
              <w:top w:val="nil"/>
              <w:left w:val="nil"/>
              <w:bottom w:val="single" w:sz="4" w:space="0" w:color="auto"/>
              <w:right w:val="single" w:sz="4" w:space="0" w:color="auto"/>
            </w:tcBorders>
            <w:shd w:val="clear" w:color="auto" w:fill="C6D9F1" w:themeFill="text2" w:themeFillTint="33"/>
            <w:noWrap/>
            <w:tcMar>
              <w:left w:w="0" w:type="dxa"/>
              <w:right w:w="0" w:type="dxa"/>
            </w:tcMar>
            <w:vAlign w:val="bottom"/>
            <w:hideMark/>
          </w:tcPr>
          <w:p w:rsidR="00CA682E" w:rsidRPr="00CA682E" w:rsidRDefault="00CA682E" w:rsidP="00CA682E">
            <w:pPr>
              <w:keepNext/>
              <w:keepLines/>
              <w:jc w:val="center"/>
              <w:rPr>
                <w:rFonts w:eastAsia="Times New Roman"/>
                <w:b/>
                <w:bCs/>
                <w:color w:val="000000" w:themeColor="text1"/>
                <w:sz w:val="16"/>
                <w:szCs w:val="16"/>
                <w:lang w:eastAsia="en-US"/>
              </w:rPr>
            </w:pPr>
            <w:r w:rsidRPr="00CA682E">
              <w:rPr>
                <w:rFonts w:eastAsia="Times New Roman"/>
                <w:b/>
                <w:bCs/>
                <w:color w:val="000000" w:themeColor="text1"/>
                <w:sz w:val="16"/>
                <w:szCs w:val="16"/>
                <w:lang w:eastAsia="en-US"/>
              </w:rPr>
              <w:t>T1.</w:t>
            </w:r>
          </w:p>
        </w:tc>
        <w:tc>
          <w:tcPr>
            <w:tcW w:w="385" w:type="dxa"/>
            <w:tcBorders>
              <w:top w:val="nil"/>
              <w:left w:val="nil"/>
              <w:bottom w:val="single" w:sz="4" w:space="0" w:color="auto"/>
              <w:right w:val="single" w:sz="4" w:space="0" w:color="auto"/>
            </w:tcBorders>
            <w:shd w:val="clear" w:color="auto" w:fill="C6D9F1" w:themeFill="text2" w:themeFillTint="33"/>
            <w:noWrap/>
            <w:tcMar>
              <w:left w:w="0" w:type="dxa"/>
              <w:right w:w="0" w:type="dxa"/>
            </w:tcMar>
            <w:vAlign w:val="bottom"/>
            <w:hideMark/>
          </w:tcPr>
          <w:p w:rsidR="00CA682E" w:rsidRPr="00CA682E" w:rsidRDefault="00CA682E" w:rsidP="00CA682E">
            <w:pPr>
              <w:keepNext/>
              <w:keepLines/>
              <w:jc w:val="center"/>
              <w:rPr>
                <w:rFonts w:eastAsia="Times New Roman"/>
                <w:b/>
                <w:bCs/>
                <w:color w:val="000000" w:themeColor="text1"/>
                <w:sz w:val="16"/>
                <w:szCs w:val="16"/>
                <w:lang w:eastAsia="en-US"/>
              </w:rPr>
            </w:pPr>
            <w:r w:rsidRPr="00CA682E">
              <w:rPr>
                <w:rFonts w:eastAsia="Times New Roman"/>
                <w:b/>
                <w:bCs/>
                <w:color w:val="000000" w:themeColor="text1"/>
                <w:sz w:val="16"/>
                <w:szCs w:val="16"/>
                <w:lang w:eastAsia="en-US"/>
              </w:rPr>
              <w:t>T2.</w:t>
            </w:r>
          </w:p>
        </w:tc>
        <w:tc>
          <w:tcPr>
            <w:tcW w:w="385" w:type="dxa"/>
            <w:tcBorders>
              <w:top w:val="nil"/>
              <w:left w:val="nil"/>
              <w:bottom w:val="single" w:sz="4" w:space="0" w:color="auto"/>
              <w:right w:val="single" w:sz="4" w:space="0" w:color="auto"/>
            </w:tcBorders>
            <w:shd w:val="clear" w:color="auto" w:fill="C6D9F1" w:themeFill="text2" w:themeFillTint="33"/>
            <w:noWrap/>
            <w:tcMar>
              <w:left w:w="0" w:type="dxa"/>
              <w:right w:w="0" w:type="dxa"/>
            </w:tcMar>
            <w:vAlign w:val="bottom"/>
            <w:hideMark/>
          </w:tcPr>
          <w:p w:rsidR="00CA682E" w:rsidRPr="00CA682E" w:rsidRDefault="00CA682E" w:rsidP="00CA682E">
            <w:pPr>
              <w:keepNext/>
              <w:keepLines/>
              <w:jc w:val="center"/>
              <w:rPr>
                <w:rFonts w:eastAsia="Times New Roman"/>
                <w:b/>
                <w:bCs/>
                <w:color w:val="000000" w:themeColor="text1"/>
                <w:sz w:val="16"/>
                <w:szCs w:val="16"/>
                <w:lang w:eastAsia="en-US"/>
              </w:rPr>
            </w:pPr>
            <w:r w:rsidRPr="00CA682E">
              <w:rPr>
                <w:rFonts w:eastAsia="Times New Roman"/>
                <w:b/>
                <w:bCs/>
                <w:color w:val="000000" w:themeColor="text1"/>
                <w:sz w:val="16"/>
                <w:szCs w:val="16"/>
                <w:lang w:eastAsia="en-US"/>
              </w:rPr>
              <w:t>T3</w:t>
            </w:r>
          </w:p>
        </w:tc>
        <w:tc>
          <w:tcPr>
            <w:tcW w:w="385" w:type="dxa"/>
            <w:tcBorders>
              <w:top w:val="nil"/>
              <w:left w:val="nil"/>
              <w:bottom w:val="single" w:sz="4" w:space="0" w:color="auto"/>
              <w:right w:val="single" w:sz="8" w:space="0" w:color="auto"/>
            </w:tcBorders>
            <w:shd w:val="clear" w:color="auto" w:fill="C6D9F1" w:themeFill="text2" w:themeFillTint="33"/>
            <w:noWrap/>
            <w:tcMar>
              <w:left w:w="0" w:type="dxa"/>
              <w:right w:w="0" w:type="dxa"/>
            </w:tcMar>
            <w:vAlign w:val="bottom"/>
            <w:hideMark/>
          </w:tcPr>
          <w:p w:rsidR="00CA682E" w:rsidRPr="00CA682E" w:rsidRDefault="00CA682E" w:rsidP="00CA682E">
            <w:pPr>
              <w:keepNext/>
              <w:keepLines/>
              <w:jc w:val="center"/>
              <w:rPr>
                <w:rFonts w:eastAsia="Times New Roman"/>
                <w:b/>
                <w:bCs/>
                <w:color w:val="000000" w:themeColor="text1"/>
                <w:sz w:val="16"/>
                <w:szCs w:val="16"/>
                <w:lang w:eastAsia="en-US"/>
              </w:rPr>
            </w:pPr>
            <w:r w:rsidRPr="00CA682E">
              <w:rPr>
                <w:rFonts w:eastAsia="Times New Roman"/>
                <w:b/>
                <w:bCs/>
                <w:color w:val="000000" w:themeColor="text1"/>
                <w:sz w:val="16"/>
                <w:szCs w:val="16"/>
                <w:lang w:eastAsia="en-US"/>
              </w:rPr>
              <w:t>T4</w:t>
            </w:r>
          </w:p>
        </w:tc>
        <w:tc>
          <w:tcPr>
            <w:tcW w:w="385" w:type="dxa"/>
            <w:gridSpan w:val="2"/>
            <w:tcBorders>
              <w:top w:val="nil"/>
              <w:left w:val="nil"/>
              <w:bottom w:val="single" w:sz="4" w:space="0" w:color="auto"/>
              <w:right w:val="single" w:sz="4" w:space="0" w:color="auto"/>
            </w:tcBorders>
            <w:shd w:val="clear" w:color="auto" w:fill="C6D9F1" w:themeFill="text2" w:themeFillTint="33"/>
            <w:noWrap/>
            <w:tcMar>
              <w:left w:w="0" w:type="dxa"/>
              <w:right w:w="0" w:type="dxa"/>
            </w:tcMar>
            <w:vAlign w:val="bottom"/>
            <w:hideMark/>
          </w:tcPr>
          <w:p w:rsidR="00CA682E" w:rsidRPr="00CA682E" w:rsidRDefault="00CA682E" w:rsidP="00CA682E">
            <w:pPr>
              <w:keepNext/>
              <w:keepLines/>
              <w:jc w:val="center"/>
              <w:rPr>
                <w:rFonts w:eastAsia="Times New Roman"/>
                <w:b/>
                <w:bCs/>
                <w:color w:val="000000" w:themeColor="text1"/>
                <w:sz w:val="16"/>
                <w:szCs w:val="16"/>
                <w:lang w:eastAsia="en-US"/>
              </w:rPr>
            </w:pPr>
            <w:r w:rsidRPr="00CA682E">
              <w:rPr>
                <w:rFonts w:eastAsia="Times New Roman"/>
                <w:b/>
                <w:bCs/>
                <w:color w:val="000000" w:themeColor="text1"/>
                <w:sz w:val="16"/>
                <w:szCs w:val="16"/>
                <w:lang w:eastAsia="en-US"/>
              </w:rPr>
              <w:t>T1.</w:t>
            </w:r>
          </w:p>
        </w:tc>
        <w:tc>
          <w:tcPr>
            <w:tcW w:w="385" w:type="dxa"/>
            <w:tcBorders>
              <w:top w:val="nil"/>
              <w:left w:val="nil"/>
              <w:bottom w:val="single" w:sz="4" w:space="0" w:color="auto"/>
              <w:right w:val="single" w:sz="4" w:space="0" w:color="auto"/>
            </w:tcBorders>
            <w:shd w:val="clear" w:color="auto" w:fill="C6D9F1" w:themeFill="text2" w:themeFillTint="33"/>
            <w:noWrap/>
            <w:tcMar>
              <w:left w:w="0" w:type="dxa"/>
              <w:right w:w="0" w:type="dxa"/>
            </w:tcMar>
            <w:vAlign w:val="bottom"/>
            <w:hideMark/>
          </w:tcPr>
          <w:p w:rsidR="00CA682E" w:rsidRPr="00CA682E" w:rsidRDefault="00CA682E" w:rsidP="00CA682E">
            <w:pPr>
              <w:keepNext/>
              <w:keepLines/>
              <w:jc w:val="center"/>
              <w:rPr>
                <w:rFonts w:eastAsia="Times New Roman"/>
                <w:b/>
                <w:bCs/>
                <w:color w:val="000000" w:themeColor="text1"/>
                <w:sz w:val="16"/>
                <w:szCs w:val="16"/>
                <w:lang w:eastAsia="en-US"/>
              </w:rPr>
            </w:pPr>
            <w:r w:rsidRPr="00CA682E">
              <w:rPr>
                <w:rFonts w:eastAsia="Times New Roman"/>
                <w:b/>
                <w:bCs/>
                <w:color w:val="000000" w:themeColor="text1"/>
                <w:sz w:val="16"/>
                <w:szCs w:val="16"/>
                <w:lang w:eastAsia="en-US"/>
              </w:rPr>
              <w:t>T2.</w:t>
            </w:r>
          </w:p>
        </w:tc>
        <w:tc>
          <w:tcPr>
            <w:tcW w:w="385" w:type="dxa"/>
            <w:tcBorders>
              <w:top w:val="nil"/>
              <w:left w:val="nil"/>
              <w:bottom w:val="single" w:sz="4" w:space="0" w:color="auto"/>
              <w:right w:val="single" w:sz="4" w:space="0" w:color="auto"/>
            </w:tcBorders>
            <w:shd w:val="clear" w:color="auto" w:fill="C6D9F1" w:themeFill="text2" w:themeFillTint="33"/>
            <w:noWrap/>
            <w:tcMar>
              <w:left w:w="0" w:type="dxa"/>
              <w:right w:w="0" w:type="dxa"/>
            </w:tcMar>
            <w:vAlign w:val="bottom"/>
            <w:hideMark/>
          </w:tcPr>
          <w:p w:rsidR="00CA682E" w:rsidRPr="00CA682E" w:rsidRDefault="00CA682E" w:rsidP="00CA682E">
            <w:pPr>
              <w:keepNext/>
              <w:keepLines/>
              <w:jc w:val="center"/>
              <w:rPr>
                <w:rFonts w:eastAsia="Times New Roman"/>
                <w:b/>
                <w:bCs/>
                <w:color w:val="000000" w:themeColor="text1"/>
                <w:sz w:val="16"/>
                <w:szCs w:val="16"/>
                <w:lang w:eastAsia="en-US"/>
              </w:rPr>
            </w:pPr>
            <w:r w:rsidRPr="00CA682E">
              <w:rPr>
                <w:rFonts w:eastAsia="Times New Roman"/>
                <w:b/>
                <w:bCs/>
                <w:color w:val="000000" w:themeColor="text1"/>
                <w:sz w:val="16"/>
                <w:szCs w:val="16"/>
                <w:lang w:eastAsia="en-US"/>
              </w:rPr>
              <w:t>T3</w:t>
            </w:r>
          </w:p>
        </w:tc>
        <w:tc>
          <w:tcPr>
            <w:tcW w:w="385" w:type="dxa"/>
            <w:tcBorders>
              <w:top w:val="nil"/>
              <w:left w:val="nil"/>
              <w:bottom w:val="single" w:sz="4" w:space="0" w:color="auto"/>
              <w:right w:val="single" w:sz="8" w:space="0" w:color="auto"/>
            </w:tcBorders>
            <w:shd w:val="clear" w:color="auto" w:fill="C6D9F1" w:themeFill="text2" w:themeFillTint="33"/>
            <w:noWrap/>
            <w:tcMar>
              <w:left w:w="0" w:type="dxa"/>
              <w:right w:w="0" w:type="dxa"/>
            </w:tcMar>
            <w:vAlign w:val="bottom"/>
            <w:hideMark/>
          </w:tcPr>
          <w:p w:rsidR="00CA682E" w:rsidRPr="00CA682E" w:rsidRDefault="00CA682E" w:rsidP="00CA682E">
            <w:pPr>
              <w:keepNext/>
              <w:keepLines/>
              <w:jc w:val="center"/>
              <w:rPr>
                <w:rFonts w:eastAsia="Times New Roman"/>
                <w:b/>
                <w:bCs/>
                <w:color w:val="000000" w:themeColor="text1"/>
                <w:sz w:val="16"/>
                <w:szCs w:val="16"/>
                <w:lang w:eastAsia="en-US"/>
              </w:rPr>
            </w:pPr>
            <w:r w:rsidRPr="00CA682E">
              <w:rPr>
                <w:rFonts w:eastAsia="Times New Roman"/>
                <w:b/>
                <w:bCs/>
                <w:color w:val="000000" w:themeColor="text1"/>
                <w:sz w:val="16"/>
                <w:szCs w:val="16"/>
                <w:lang w:eastAsia="en-US"/>
              </w:rPr>
              <w:t>T4</w:t>
            </w:r>
          </w:p>
        </w:tc>
        <w:tc>
          <w:tcPr>
            <w:tcW w:w="347" w:type="dxa"/>
            <w:gridSpan w:val="2"/>
            <w:tcBorders>
              <w:top w:val="nil"/>
              <w:left w:val="nil"/>
              <w:bottom w:val="single" w:sz="4" w:space="0" w:color="auto"/>
              <w:right w:val="single" w:sz="8" w:space="0" w:color="auto"/>
            </w:tcBorders>
            <w:shd w:val="clear" w:color="auto" w:fill="C6D9F1" w:themeFill="text2" w:themeFillTint="33"/>
            <w:tcMar>
              <w:left w:w="0" w:type="dxa"/>
              <w:right w:w="0" w:type="dxa"/>
            </w:tcMar>
            <w:vAlign w:val="bottom"/>
          </w:tcPr>
          <w:p w:rsidR="00CA682E" w:rsidRPr="00CA682E" w:rsidRDefault="00CA682E" w:rsidP="00CA682E">
            <w:pPr>
              <w:keepNext/>
              <w:keepLines/>
              <w:jc w:val="center"/>
              <w:rPr>
                <w:rFonts w:eastAsia="Times New Roman"/>
                <w:b/>
                <w:bCs/>
                <w:color w:val="000000" w:themeColor="text1"/>
                <w:sz w:val="16"/>
                <w:szCs w:val="16"/>
                <w:lang w:eastAsia="en-US"/>
              </w:rPr>
            </w:pPr>
            <w:r w:rsidRPr="00CA682E">
              <w:rPr>
                <w:rFonts w:eastAsia="Times New Roman"/>
                <w:b/>
                <w:bCs/>
                <w:color w:val="000000" w:themeColor="text1"/>
                <w:sz w:val="16"/>
                <w:szCs w:val="16"/>
                <w:lang w:eastAsia="en-US"/>
              </w:rPr>
              <w:t>T1.</w:t>
            </w:r>
          </w:p>
        </w:tc>
        <w:tc>
          <w:tcPr>
            <w:tcW w:w="413" w:type="dxa"/>
            <w:tcBorders>
              <w:top w:val="nil"/>
              <w:left w:val="nil"/>
              <w:bottom w:val="single" w:sz="4" w:space="0" w:color="auto"/>
              <w:right w:val="single" w:sz="8" w:space="0" w:color="auto"/>
            </w:tcBorders>
            <w:shd w:val="clear" w:color="auto" w:fill="C6D9F1" w:themeFill="text2" w:themeFillTint="33"/>
            <w:tcMar>
              <w:left w:w="0" w:type="dxa"/>
              <w:right w:w="0" w:type="dxa"/>
            </w:tcMar>
            <w:vAlign w:val="bottom"/>
          </w:tcPr>
          <w:p w:rsidR="00CA682E" w:rsidRPr="00CA682E" w:rsidRDefault="00CA682E" w:rsidP="00CA682E">
            <w:pPr>
              <w:keepNext/>
              <w:keepLines/>
              <w:jc w:val="center"/>
              <w:rPr>
                <w:rFonts w:eastAsia="Times New Roman"/>
                <w:b/>
                <w:bCs/>
                <w:color w:val="000000" w:themeColor="text1"/>
                <w:sz w:val="16"/>
                <w:szCs w:val="16"/>
                <w:lang w:eastAsia="en-US"/>
              </w:rPr>
            </w:pPr>
            <w:r w:rsidRPr="00CA682E">
              <w:rPr>
                <w:rFonts w:eastAsia="Times New Roman"/>
                <w:b/>
                <w:bCs/>
                <w:color w:val="000000" w:themeColor="text1"/>
                <w:sz w:val="16"/>
                <w:szCs w:val="16"/>
                <w:lang w:eastAsia="en-US"/>
              </w:rPr>
              <w:t>T2.</w:t>
            </w:r>
          </w:p>
        </w:tc>
        <w:tc>
          <w:tcPr>
            <w:tcW w:w="350" w:type="dxa"/>
            <w:tcBorders>
              <w:top w:val="nil"/>
              <w:left w:val="nil"/>
              <w:bottom w:val="single" w:sz="4" w:space="0" w:color="auto"/>
              <w:right w:val="single" w:sz="8" w:space="0" w:color="auto"/>
            </w:tcBorders>
            <w:shd w:val="clear" w:color="auto" w:fill="C6D9F1" w:themeFill="text2" w:themeFillTint="33"/>
            <w:vAlign w:val="bottom"/>
          </w:tcPr>
          <w:p w:rsidR="00CA682E" w:rsidRPr="00CA682E" w:rsidRDefault="00CA682E" w:rsidP="00CA682E">
            <w:pPr>
              <w:keepNext/>
              <w:keepLines/>
              <w:jc w:val="center"/>
              <w:rPr>
                <w:rFonts w:eastAsia="Times New Roman"/>
                <w:b/>
                <w:bCs/>
                <w:color w:val="000000" w:themeColor="text1"/>
                <w:sz w:val="16"/>
                <w:szCs w:val="16"/>
                <w:lang w:eastAsia="en-US"/>
              </w:rPr>
            </w:pPr>
            <w:r w:rsidRPr="00CA682E">
              <w:rPr>
                <w:rFonts w:eastAsia="Times New Roman"/>
                <w:b/>
                <w:bCs/>
                <w:color w:val="000000" w:themeColor="text1"/>
                <w:sz w:val="16"/>
                <w:szCs w:val="16"/>
                <w:lang w:eastAsia="en-US"/>
              </w:rPr>
              <w:t>T3</w:t>
            </w:r>
          </w:p>
        </w:tc>
        <w:tc>
          <w:tcPr>
            <w:tcW w:w="430" w:type="dxa"/>
            <w:tcBorders>
              <w:top w:val="nil"/>
              <w:left w:val="nil"/>
              <w:bottom w:val="single" w:sz="4" w:space="0" w:color="auto"/>
              <w:right w:val="single" w:sz="4" w:space="0" w:color="auto"/>
            </w:tcBorders>
            <w:shd w:val="clear" w:color="auto" w:fill="C6D9F1" w:themeFill="text2" w:themeFillTint="33"/>
            <w:vAlign w:val="bottom"/>
          </w:tcPr>
          <w:p w:rsidR="00CA682E" w:rsidRPr="00CA682E" w:rsidRDefault="00CA682E" w:rsidP="00CA682E">
            <w:pPr>
              <w:keepNext/>
              <w:keepLines/>
              <w:jc w:val="center"/>
              <w:rPr>
                <w:rFonts w:eastAsia="Times New Roman"/>
                <w:b/>
                <w:bCs/>
                <w:color w:val="000000" w:themeColor="text1"/>
                <w:sz w:val="16"/>
                <w:szCs w:val="16"/>
                <w:lang w:eastAsia="en-US"/>
              </w:rPr>
            </w:pPr>
            <w:r w:rsidRPr="00CA682E">
              <w:rPr>
                <w:rFonts w:eastAsia="Times New Roman"/>
                <w:b/>
                <w:bCs/>
                <w:color w:val="000000" w:themeColor="text1"/>
                <w:sz w:val="16"/>
                <w:szCs w:val="16"/>
                <w:lang w:eastAsia="en-US"/>
              </w:rPr>
              <w:t>T4</w:t>
            </w:r>
          </w:p>
        </w:tc>
      </w:tr>
      <w:tr w:rsidR="00CA682E" w:rsidRPr="00CA682E" w:rsidTr="007B1DE4">
        <w:trPr>
          <w:trHeight w:val="512"/>
          <w:jc w:val="center"/>
        </w:trPr>
        <w:tc>
          <w:tcPr>
            <w:tcW w:w="1999" w:type="dxa"/>
            <w:tcBorders>
              <w:top w:val="nil"/>
              <w:left w:val="single" w:sz="4" w:space="0" w:color="auto"/>
              <w:bottom w:val="single" w:sz="4" w:space="0" w:color="auto"/>
              <w:right w:val="single" w:sz="8" w:space="0" w:color="auto"/>
            </w:tcBorders>
            <w:shd w:val="clear" w:color="auto" w:fill="auto"/>
            <w:noWrap/>
            <w:vAlign w:val="center"/>
            <w:hideMark/>
          </w:tcPr>
          <w:p w:rsidR="00CA682E" w:rsidRPr="00CA682E" w:rsidRDefault="00CA682E" w:rsidP="00CA682E">
            <w:pPr>
              <w:autoSpaceDE w:val="0"/>
              <w:autoSpaceDN w:val="0"/>
              <w:adjustRightInd w:val="0"/>
              <w:spacing w:before="40" w:after="40"/>
              <w:rPr>
                <w:rFonts w:eastAsia="Times New Roman"/>
                <w:color w:val="000000" w:themeColor="text1"/>
                <w:sz w:val="16"/>
                <w:szCs w:val="16"/>
                <w:lang w:eastAsia="en-US"/>
              </w:rPr>
            </w:pPr>
            <w:r w:rsidRPr="00CA682E">
              <w:rPr>
                <w:rFonts w:eastAsia="Times New Roman"/>
                <w:color w:val="000000" w:themeColor="text1"/>
                <w:sz w:val="16"/>
                <w:szCs w:val="16"/>
                <w:lang w:eastAsia="en-US"/>
              </w:rPr>
              <w:t>Convocación a presentar expresiones de interés para el piloto/arquitecto</w:t>
            </w:r>
          </w:p>
        </w:tc>
        <w:tc>
          <w:tcPr>
            <w:tcW w:w="391"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A682E" w:rsidRPr="00CA682E" w:rsidRDefault="00CA682E" w:rsidP="00CA682E">
            <w:pPr>
              <w:jc w:val="center"/>
              <w:rPr>
                <w:rFonts w:eastAsia="Times New Roman"/>
                <w:color w:val="000000" w:themeColor="text1"/>
                <w:sz w:val="16"/>
                <w:szCs w:val="16"/>
                <w:lang w:eastAsia="en-US"/>
              </w:rPr>
            </w:pP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A682E" w:rsidRPr="00CA682E" w:rsidRDefault="00CA682E" w:rsidP="00CA682E">
            <w:pPr>
              <w:jc w:val="center"/>
              <w:rPr>
                <w:rFonts w:eastAsia="Times New Roman"/>
                <w:color w:val="000000" w:themeColor="text1"/>
                <w:sz w:val="16"/>
                <w:szCs w:val="16"/>
                <w:lang w:eastAsia="en-US"/>
              </w:rPr>
            </w:pP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A682E" w:rsidRPr="00CA682E" w:rsidRDefault="00CA682E" w:rsidP="00CA682E">
            <w:pPr>
              <w:jc w:val="center"/>
              <w:rPr>
                <w:rFonts w:eastAsia="Times New Roman"/>
                <w:color w:val="000000" w:themeColor="text1"/>
                <w:sz w:val="16"/>
                <w:szCs w:val="16"/>
                <w:lang w:eastAsia="en-US"/>
              </w:rPr>
            </w:pPr>
          </w:p>
        </w:tc>
        <w:tc>
          <w:tcPr>
            <w:tcW w:w="384" w:type="dxa"/>
            <w:gridSpan w:val="2"/>
            <w:tcBorders>
              <w:top w:val="nil"/>
              <w:left w:val="nil"/>
              <w:bottom w:val="single" w:sz="4" w:space="0" w:color="auto"/>
              <w:right w:val="single" w:sz="8" w:space="0" w:color="auto"/>
            </w:tcBorders>
            <w:shd w:val="clear" w:color="auto" w:fill="auto"/>
            <w:noWrap/>
            <w:tcMar>
              <w:left w:w="0" w:type="dxa"/>
              <w:right w:w="0" w:type="dxa"/>
            </w:tcMar>
            <w:vAlign w:val="center"/>
            <w:hideMark/>
          </w:tcPr>
          <w:p w:rsidR="00CA682E" w:rsidRPr="00CA682E" w:rsidRDefault="00CA682E" w:rsidP="00CA682E">
            <w:pPr>
              <w:jc w:val="center"/>
              <w:rPr>
                <w:rFonts w:eastAsia="Times New Roman"/>
                <w:color w:val="000000" w:themeColor="text1"/>
                <w:sz w:val="16"/>
                <w:szCs w:val="16"/>
                <w:lang w:eastAsia="en-US"/>
              </w:rPr>
            </w:pPr>
            <w:r w:rsidRPr="00CA682E">
              <w:rPr>
                <w:rFonts w:eastAsia="Times New Roman"/>
                <w:color w:val="000000" w:themeColor="text1"/>
                <w:sz w:val="16"/>
                <w:szCs w:val="16"/>
                <w:lang w:eastAsia="en-US"/>
              </w:rPr>
              <w:t>X</w:t>
            </w: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A682E" w:rsidRPr="00CA682E" w:rsidRDefault="00CA682E" w:rsidP="00CA682E">
            <w:pPr>
              <w:jc w:val="center"/>
              <w:rPr>
                <w:rFonts w:eastAsia="Times New Roman"/>
                <w:color w:val="000000" w:themeColor="text1"/>
                <w:sz w:val="16"/>
                <w:szCs w:val="16"/>
                <w:lang w:eastAsia="en-US"/>
              </w:rPr>
            </w:pPr>
          </w:p>
        </w:tc>
        <w:tc>
          <w:tcPr>
            <w:tcW w:w="35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A682E" w:rsidRPr="00CA682E" w:rsidRDefault="00CA682E" w:rsidP="00CA682E">
            <w:pPr>
              <w:jc w:val="center"/>
              <w:rPr>
                <w:rFonts w:eastAsia="Times New Roman"/>
                <w:color w:val="000000" w:themeColor="text1"/>
                <w:sz w:val="16"/>
                <w:szCs w:val="16"/>
                <w:lang w:eastAsia="en-US"/>
              </w:rPr>
            </w:pP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A682E" w:rsidRPr="00CA682E" w:rsidRDefault="00CA682E" w:rsidP="00CA682E">
            <w:pPr>
              <w:jc w:val="center"/>
              <w:rPr>
                <w:rFonts w:eastAsia="Times New Roman"/>
                <w:color w:val="000000" w:themeColor="text1"/>
                <w:sz w:val="16"/>
                <w:szCs w:val="16"/>
                <w:lang w:eastAsia="en-US"/>
              </w:rPr>
            </w:pPr>
          </w:p>
        </w:tc>
        <w:tc>
          <w:tcPr>
            <w:tcW w:w="384" w:type="dxa"/>
            <w:tcBorders>
              <w:top w:val="nil"/>
              <w:left w:val="nil"/>
              <w:bottom w:val="single" w:sz="4" w:space="0" w:color="auto"/>
              <w:right w:val="single" w:sz="8" w:space="0" w:color="auto"/>
            </w:tcBorders>
            <w:shd w:val="clear" w:color="auto" w:fill="auto"/>
            <w:noWrap/>
            <w:tcMar>
              <w:left w:w="0" w:type="dxa"/>
              <w:right w:w="0" w:type="dxa"/>
            </w:tcMar>
            <w:vAlign w:val="center"/>
            <w:hideMark/>
          </w:tcPr>
          <w:p w:rsidR="00CA682E" w:rsidRPr="00CA682E" w:rsidRDefault="00CA682E" w:rsidP="00CA682E">
            <w:pPr>
              <w:jc w:val="center"/>
              <w:rPr>
                <w:rFonts w:eastAsia="Times New Roman"/>
                <w:color w:val="000000" w:themeColor="text1"/>
                <w:sz w:val="16"/>
                <w:szCs w:val="16"/>
                <w:lang w:eastAsia="en-US"/>
              </w:rPr>
            </w:pPr>
          </w:p>
        </w:tc>
        <w:tc>
          <w:tcPr>
            <w:tcW w:w="385" w:type="dxa"/>
            <w:gridSpan w:val="2"/>
            <w:tcBorders>
              <w:top w:val="nil"/>
              <w:left w:val="nil"/>
              <w:bottom w:val="single" w:sz="4" w:space="0" w:color="auto"/>
              <w:right w:val="single" w:sz="4" w:space="0" w:color="auto"/>
            </w:tcBorders>
            <w:shd w:val="clear" w:color="auto" w:fill="auto"/>
            <w:noWrap/>
            <w:tcMar>
              <w:left w:w="0" w:type="dxa"/>
              <w:right w:w="0" w:type="dxa"/>
            </w:tcMar>
            <w:vAlign w:val="center"/>
            <w:hideMark/>
          </w:tcPr>
          <w:p w:rsidR="00CA682E" w:rsidRPr="00CA682E" w:rsidRDefault="00CA682E" w:rsidP="00CA682E">
            <w:pPr>
              <w:jc w:val="center"/>
              <w:rPr>
                <w:rFonts w:eastAsia="Times New Roman"/>
                <w:color w:val="000000" w:themeColor="text1"/>
                <w:sz w:val="16"/>
                <w:szCs w:val="16"/>
                <w:lang w:eastAsia="en-US"/>
              </w:rPr>
            </w:pP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A682E" w:rsidRPr="00CA682E" w:rsidRDefault="00CA682E" w:rsidP="00CA682E">
            <w:pPr>
              <w:jc w:val="center"/>
              <w:rPr>
                <w:rFonts w:eastAsia="Times New Roman"/>
                <w:color w:val="000000" w:themeColor="text1"/>
                <w:sz w:val="16"/>
                <w:szCs w:val="16"/>
                <w:lang w:eastAsia="en-US"/>
              </w:rPr>
            </w:pP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A682E" w:rsidRPr="00CA682E" w:rsidRDefault="00CA682E" w:rsidP="00CA682E">
            <w:pPr>
              <w:jc w:val="center"/>
              <w:rPr>
                <w:rFonts w:eastAsia="Times New Roman"/>
                <w:color w:val="000000" w:themeColor="text1"/>
                <w:sz w:val="16"/>
                <w:szCs w:val="16"/>
                <w:lang w:eastAsia="en-US"/>
              </w:rPr>
            </w:pPr>
          </w:p>
        </w:tc>
        <w:tc>
          <w:tcPr>
            <w:tcW w:w="385" w:type="dxa"/>
            <w:tcBorders>
              <w:top w:val="nil"/>
              <w:left w:val="nil"/>
              <w:bottom w:val="single" w:sz="4" w:space="0" w:color="auto"/>
              <w:right w:val="single" w:sz="8" w:space="0" w:color="auto"/>
            </w:tcBorders>
            <w:shd w:val="clear" w:color="auto" w:fill="auto"/>
            <w:noWrap/>
            <w:tcMar>
              <w:left w:w="0" w:type="dxa"/>
              <w:right w:w="0" w:type="dxa"/>
            </w:tcMar>
            <w:vAlign w:val="center"/>
            <w:hideMark/>
          </w:tcPr>
          <w:p w:rsidR="00CA682E" w:rsidRPr="00CA682E" w:rsidRDefault="00CA682E" w:rsidP="00CA682E">
            <w:pPr>
              <w:jc w:val="center"/>
              <w:rPr>
                <w:rFonts w:eastAsia="Times New Roman"/>
                <w:color w:val="000000" w:themeColor="text1"/>
                <w:sz w:val="16"/>
                <w:szCs w:val="16"/>
                <w:lang w:eastAsia="en-US"/>
              </w:rPr>
            </w:pPr>
          </w:p>
        </w:tc>
        <w:tc>
          <w:tcPr>
            <w:tcW w:w="385" w:type="dxa"/>
            <w:gridSpan w:val="2"/>
            <w:tcBorders>
              <w:top w:val="nil"/>
              <w:left w:val="nil"/>
              <w:bottom w:val="single" w:sz="4" w:space="0" w:color="auto"/>
              <w:right w:val="single" w:sz="4" w:space="0" w:color="auto"/>
            </w:tcBorders>
            <w:shd w:val="clear" w:color="auto" w:fill="auto"/>
            <w:noWrap/>
            <w:tcMar>
              <w:left w:w="0" w:type="dxa"/>
              <w:right w:w="0" w:type="dxa"/>
            </w:tcMar>
            <w:vAlign w:val="center"/>
            <w:hideMark/>
          </w:tcPr>
          <w:p w:rsidR="00CA682E" w:rsidRPr="00CA682E" w:rsidRDefault="00CA682E" w:rsidP="00CA682E">
            <w:pPr>
              <w:jc w:val="center"/>
              <w:rPr>
                <w:rFonts w:eastAsia="Times New Roman"/>
                <w:color w:val="000000" w:themeColor="text1"/>
                <w:sz w:val="16"/>
                <w:szCs w:val="16"/>
                <w:lang w:eastAsia="en-US"/>
              </w:rPr>
            </w:pP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A682E" w:rsidRPr="00CA682E" w:rsidRDefault="00CA682E" w:rsidP="00CA682E">
            <w:pPr>
              <w:jc w:val="center"/>
              <w:rPr>
                <w:rFonts w:eastAsia="Times New Roman"/>
                <w:color w:val="000000" w:themeColor="text1"/>
                <w:sz w:val="16"/>
                <w:szCs w:val="16"/>
                <w:lang w:eastAsia="en-US"/>
              </w:rPr>
            </w:pP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A682E" w:rsidRPr="00CA682E" w:rsidRDefault="00CA682E" w:rsidP="00CA682E">
            <w:pPr>
              <w:jc w:val="center"/>
              <w:rPr>
                <w:rFonts w:eastAsia="Times New Roman"/>
                <w:color w:val="000000" w:themeColor="text1"/>
                <w:sz w:val="16"/>
                <w:szCs w:val="16"/>
                <w:lang w:eastAsia="en-US"/>
              </w:rPr>
            </w:pPr>
          </w:p>
        </w:tc>
        <w:tc>
          <w:tcPr>
            <w:tcW w:w="385" w:type="dxa"/>
            <w:tcBorders>
              <w:top w:val="nil"/>
              <w:left w:val="nil"/>
              <w:bottom w:val="single" w:sz="4" w:space="0" w:color="auto"/>
              <w:right w:val="single" w:sz="8" w:space="0" w:color="auto"/>
            </w:tcBorders>
            <w:shd w:val="clear" w:color="auto" w:fill="auto"/>
            <w:noWrap/>
            <w:tcMar>
              <w:left w:w="0" w:type="dxa"/>
              <w:right w:w="0" w:type="dxa"/>
            </w:tcMar>
            <w:vAlign w:val="center"/>
            <w:hideMark/>
          </w:tcPr>
          <w:p w:rsidR="00CA682E" w:rsidRPr="00CA682E" w:rsidRDefault="00CA682E" w:rsidP="00CA682E">
            <w:pPr>
              <w:jc w:val="center"/>
              <w:rPr>
                <w:rFonts w:eastAsia="Times New Roman"/>
                <w:color w:val="000000" w:themeColor="text1"/>
                <w:sz w:val="16"/>
                <w:szCs w:val="16"/>
                <w:lang w:eastAsia="en-US"/>
              </w:rPr>
            </w:pPr>
          </w:p>
        </w:tc>
        <w:tc>
          <w:tcPr>
            <w:tcW w:w="347" w:type="dxa"/>
            <w:gridSpan w:val="2"/>
            <w:tcBorders>
              <w:top w:val="nil"/>
              <w:left w:val="nil"/>
              <w:bottom w:val="single" w:sz="4" w:space="0" w:color="auto"/>
              <w:right w:val="single" w:sz="8" w:space="0" w:color="auto"/>
            </w:tcBorders>
            <w:tcMar>
              <w:left w:w="0" w:type="dxa"/>
              <w:right w:w="0" w:type="dxa"/>
            </w:tcMar>
            <w:vAlign w:val="center"/>
          </w:tcPr>
          <w:p w:rsidR="00CA682E" w:rsidRPr="00CA682E" w:rsidRDefault="00CA682E" w:rsidP="00CA682E">
            <w:pPr>
              <w:jc w:val="center"/>
              <w:rPr>
                <w:rFonts w:eastAsia="Times New Roman"/>
                <w:color w:val="000000" w:themeColor="text1"/>
                <w:sz w:val="16"/>
                <w:szCs w:val="16"/>
                <w:lang w:eastAsia="en-US"/>
              </w:rPr>
            </w:pPr>
          </w:p>
        </w:tc>
        <w:tc>
          <w:tcPr>
            <w:tcW w:w="413" w:type="dxa"/>
            <w:tcBorders>
              <w:top w:val="nil"/>
              <w:left w:val="nil"/>
              <w:bottom w:val="single" w:sz="4" w:space="0" w:color="auto"/>
              <w:right w:val="single" w:sz="8" w:space="0" w:color="auto"/>
            </w:tcBorders>
            <w:tcMar>
              <w:left w:w="0" w:type="dxa"/>
              <w:right w:w="0" w:type="dxa"/>
            </w:tcMar>
            <w:vAlign w:val="center"/>
          </w:tcPr>
          <w:p w:rsidR="00CA682E" w:rsidRPr="00CA682E" w:rsidRDefault="00CA682E" w:rsidP="00CA682E">
            <w:pPr>
              <w:jc w:val="center"/>
              <w:rPr>
                <w:rFonts w:eastAsia="Times New Roman"/>
                <w:color w:val="000000" w:themeColor="text1"/>
                <w:sz w:val="16"/>
                <w:szCs w:val="16"/>
                <w:lang w:eastAsia="en-US"/>
              </w:rPr>
            </w:pPr>
          </w:p>
        </w:tc>
        <w:tc>
          <w:tcPr>
            <w:tcW w:w="350" w:type="dxa"/>
            <w:tcBorders>
              <w:top w:val="nil"/>
              <w:left w:val="nil"/>
              <w:bottom w:val="single" w:sz="4" w:space="0" w:color="auto"/>
              <w:right w:val="single" w:sz="8" w:space="0" w:color="auto"/>
            </w:tcBorders>
            <w:vAlign w:val="center"/>
          </w:tcPr>
          <w:p w:rsidR="00CA682E" w:rsidRPr="00CA682E" w:rsidRDefault="00CA682E" w:rsidP="00CA682E">
            <w:pPr>
              <w:jc w:val="center"/>
              <w:rPr>
                <w:rFonts w:eastAsia="Times New Roman"/>
                <w:color w:val="000000" w:themeColor="text1"/>
                <w:sz w:val="16"/>
                <w:szCs w:val="16"/>
                <w:lang w:eastAsia="en-US"/>
              </w:rPr>
            </w:pPr>
          </w:p>
        </w:tc>
        <w:tc>
          <w:tcPr>
            <w:tcW w:w="430" w:type="dxa"/>
            <w:tcBorders>
              <w:top w:val="nil"/>
              <w:left w:val="nil"/>
              <w:bottom w:val="single" w:sz="4" w:space="0" w:color="auto"/>
              <w:right w:val="single" w:sz="4" w:space="0" w:color="auto"/>
            </w:tcBorders>
            <w:vAlign w:val="center"/>
          </w:tcPr>
          <w:p w:rsidR="00CA682E" w:rsidRPr="00CA682E" w:rsidRDefault="00CA682E" w:rsidP="00CA682E">
            <w:pPr>
              <w:jc w:val="center"/>
              <w:rPr>
                <w:rFonts w:eastAsia="Times New Roman"/>
                <w:color w:val="000000" w:themeColor="text1"/>
                <w:sz w:val="16"/>
                <w:szCs w:val="16"/>
                <w:lang w:eastAsia="en-US"/>
              </w:rPr>
            </w:pPr>
          </w:p>
        </w:tc>
      </w:tr>
      <w:tr w:rsidR="00CA682E" w:rsidRPr="00CA682E" w:rsidTr="007B1DE4">
        <w:trPr>
          <w:trHeight w:val="413"/>
          <w:jc w:val="center"/>
        </w:trPr>
        <w:tc>
          <w:tcPr>
            <w:tcW w:w="1999" w:type="dxa"/>
            <w:tcBorders>
              <w:top w:val="nil"/>
              <w:left w:val="single" w:sz="4" w:space="0" w:color="auto"/>
              <w:bottom w:val="single" w:sz="4" w:space="0" w:color="auto"/>
              <w:right w:val="single" w:sz="8" w:space="0" w:color="auto"/>
            </w:tcBorders>
            <w:shd w:val="clear" w:color="auto" w:fill="auto"/>
            <w:noWrap/>
            <w:vAlign w:val="center"/>
            <w:hideMark/>
          </w:tcPr>
          <w:p w:rsidR="00CA682E" w:rsidRPr="00CA682E" w:rsidRDefault="00CA682E" w:rsidP="00CA682E">
            <w:pPr>
              <w:autoSpaceDE w:val="0"/>
              <w:autoSpaceDN w:val="0"/>
              <w:adjustRightInd w:val="0"/>
              <w:spacing w:before="40" w:after="40"/>
              <w:rPr>
                <w:rFonts w:eastAsia="Times New Roman"/>
                <w:color w:val="000000" w:themeColor="text1"/>
                <w:sz w:val="16"/>
                <w:szCs w:val="16"/>
                <w:lang w:eastAsia="en-US"/>
              </w:rPr>
            </w:pPr>
            <w:r w:rsidRPr="00CA682E">
              <w:rPr>
                <w:rFonts w:eastAsia="Times New Roman"/>
                <w:color w:val="000000" w:themeColor="text1"/>
                <w:sz w:val="16"/>
                <w:szCs w:val="16"/>
                <w:lang w:eastAsia="en-US"/>
              </w:rPr>
              <w:t>Llamado a licitación y selección del piloto/arquitecto y los ingenieros</w:t>
            </w:r>
          </w:p>
        </w:tc>
        <w:tc>
          <w:tcPr>
            <w:tcW w:w="391"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A682E" w:rsidRPr="00CA682E" w:rsidRDefault="00CA682E" w:rsidP="00CA682E">
            <w:pPr>
              <w:jc w:val="center"/>
              <w:rPr>
                <w:rFonts w:eastAsia="Times New Roman"/>
                <w:color w:val="000000" w:themeColor="text1"/>
                <w:sz w:val="16"/>
                <w:szCs w:val="16"/>
                <w:lang w:eastAsia="en-US"/>
              </w:rPr>
            </w:pP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A682E" w:rsidRPr="00CA682E" w:rsidRDefault="00CA682E" w:rsidP="00CA682E">
            <w:pPr>
              <w:jc w:val="center"/>
              <w:rPr>
                <w:rFonts w:eastAsia="Times New Roman"/>
                <w:color w:val="000000" w:themeColor="text1"/>
                <w:sz w:val="16"/>
                <w:szCs w:val="16"/>
                <w:lang w:eastAsia="en-US"/>
              </w:rPr>
            </w:pP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A682E" w:rsidRPr="00CA682E" w:rsidRDefault="00CA682E" w:rsidP="00CA682E">
            <w:pPr>
              <w:jc w:val="center"/>
              <w:rPr>
                <w:rFonts w:eastAsia="Times New Roman"/>
                <w:color w:val="000000" w:themeColor="text1"/>
                <w:sz w:val="16"/>
                <w:szCs w:val="16"/>
                <w:lang w:eastAsia="en-US"/>
              </w:rPr>
            </w:pPr>
          </w:p>
        </w:tc>
        <w:tc>
          <w:tcPr>
            <w:tcW w:w="384" w:type="dxa"/>
            <w:gridSpan w:val="2"/>
            <w:tcBorders>
              <w:top w:val="nil"/>
              <w:left w:val="nil"/>
              <w:bottom w:val="single" w:sz="4" w:space="0" w:color="auto"/>
              <w:right w:val="single" w:sz="8" w:space="0" w:color="auto"/>
            </w:tcBorders>
            <w:shd w:val="clear" w:color="auto" w:fill="auto"/>
            <w:noWrap/>
            <w:tcMar>
              <w:left w:w="0" w:type="dxa"/>
              <w:right w:w="0" w:type="dxa"/>
            </w:tcMar>
            <w:vAlign w:val="center"/>
            <w:hideMark/>
          </w:tcPr>
          <w:p w:rsidR="00CA682E" w:rsidRPr="00CA682E" w:rsidRDefault="00CA682E" w:rsidP="00CA682E">
            <w:pPr>
              <w:jc w:val="center"/>
              <w:rPr>
                <w:rFonts w:eastAsia="Times New Roman"/>
                <w:color w:val="000000" w:themeColor="text1"/>
                <w:sz w:val="16"/>
                <w:szCs w:val="16"/>
                <w:lang w:eastAsia="en-US"/>
              </w:rPr>
            </w:pP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A682E" w:rsidRPr="00CA682E" w:rsidRDefault="00CA682E" w:rsidP="00CA682E">
            <w:pPr>
              <w:jc w:val="center"/>
              <w:rPr>
                <w:rFonts w:eastAsia="Times New Roman"/>
                <w:color w:val="000000" w:themeColor="text1"/>
                <w:sz w:val="16"/>
                <w:szCs w:val="16"/>
                <w:lang w:eastAsia="en-US"/>
              </w:rPr>
            </w:pPr>
          </w:p>
        </w:tc>
        <w:tc>
          <w:tcPr>
            <w:tcW w:w="35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A682E" w:rsidRPr="00CA682E" w:rsidRDefault="00CA682E" w:rsidP="00CA682E">
            <w:pPr>
              <w:jc w:val="center"/>
              <w:rPr>
                <w:rFonts w:eastAsia="Times New Roman"/>
                <w:color w:val="000000" w:themeColor="text1"/>
                <w:sz w:val="16"/>
                <w:szCs w:val="16"/>
                <w:lang w:eastAsia="en-US"/>
              </w:rPr>
            </w:pP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center"/>
          </w:tcPr>
          <w:p w:rsidR="00CA682E" w:rsidRPr="00CA682E" w:rsidRDefault="00CA682E" w:rsidP="00CA682E">
            <w:pPr>
              <w:jc w:val="center"/>
              <w:rPr>
                <w:rFonts w:eastAsia="Times New Roman"/>
                <w:color w:val="000000" w:themeColor="text1"/>
                <w:sz w:val="16"/>
                <w:szCs w:val="16"/>
                <w:lang w:eastAsia="en-US"/>
              </w:rPr>
            </w:pPr>
            <w:r w:rsidRPr="00CA682E">
              <w:rPr>
                <w:rFonts w:eastAsia="Times New Roman"/>
                <w:color w:val="000000" w:themeColor="text1"/>
                <w:sz w:val="16"/>
                <w:szCs w:val="16"/>
                <w:lang w:eastAsia="en-US"/>
              </w:rPr>
              <w:t>X</w:t>
            </w:r>
          </w:p>
        </w:tc>
        <w:tc>
          <w:tcPr>
            <w:tcW w:w="384" w:type="dxa"/>
            <w:tcBorders>
              <w:top w:val="nil"/>
              <w:left w:val="nil"/>
              <w:bottom w:val="single" w:sz="4" w:space="0" w:color="auto"/>
              <w:right w:val="single" w:sz="8" w:space="0" w:color="auto"/>
            </w:tcBorders>
            <w:shd w:val="clear" w:color="auto" w:fill="auto"/>
            <w:noWrap/>
            <w:tcMar>
              <w:left w:w="0" w:type="dxa"/>
              <w:right w:w="0" w:type="dxa"/>
            </w:tcMar>
            <w:vAlign w:val="center"/>
          </w:tcPr>
          <w:p w:rsidR="00CA682E" w:rsidRPr="00CA682E" w:rsidRDefault="00CA682E" w:rsidP="00CA682E">
            <w:pPr>
              <w:jc w:val="center"/>
              <w:rPr>
                <w:rFonts w:eastAsia="Times New Roman"/>
                <w:color w:val="000000" w:themeColor="text1"/>
                <w:sz w:val="16"/>
                <w:szCs w:val="16"/>
                <w:lang w:eastAsia="en-US"/>
              </w:rPr>
            </w:pPr>
            <w:r w:rsidRPr="00CA682E">
              <w:rPr>
                <w:rFonts w:eastAsia="Times New Roman"/>
                <w:color w:val="000000" w:themeColor="text1"/>
                <w:sz w:val="16"/>
                <w:szCs w:val="16"/>
                <w:lang w:eastAsia="en-US"/>
              </w:rPr>
              <w:t>X</w:t>
            </w:r>
          </w:p>
        </w:tc>
        <w:tc>
          <w:tcPr>
            <w:tcW w:w="385" w:type="dxa"/>
            <w:gridSpan w:val="2"/>
            <w:tcBorders>
              <w:top w:val="nil"/>
              <w:left w:val="nil"/>
              <w:bottom w:val="single" w:sz="4" w:space="0" w:color="auto"/>
              <w:right w:val="single" w:sz="4" w:space="0" w:color="auto"/>
            </w:tcBorders>
            <w:shd w:val="clear" w:color="auto" w:fill="auto"/>
            <w:noWrap/>
            <w:tcMar>
              <w:left w:w="0" w:type="dxa"/>
              <w:right w:w="0" w:type="dxa"/>
            </w:tcMar>
            <w:vAlign w:val="center"/>
            <w:hideMark/>
          </w:tcPr>
          <w:p w:rsidR="00CA682E" w:rsidRPr="00CA682E" w:rsidRDefault="00CA682E" w:rsidP="00CA682E">
            <w:pPr>
              <w:jc w:val="center"/>
              <w:rPr>
                <w:rFonts w:eastAsia="Times New Roman"/>
                <w:color w:val="000000" w:themeColor="text1"/>
                <w:sz w:val="16"/>
                <w:szCs w:val="16"/>
                <w:lang w:eastAsia="en-US"/>
              </w:rPr>
            </w:pPr>
            <w:r w:rsidRPr="00CA682E">
              <w:rPr>
                <w:rFonts w:eastAsia="Times New Roman"/>
                <w:color w:val="000000" w:themeColor="text1"/>
                <w:sz w:val="16"/>
                <w:szCs w:val="16"/>
                <w:lang w:eastAsia="en-US"/>
              </w:rPr>
              <w:t>X</w:t>
            </w: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A682E" w:rsidRPr="00CA682E" w:rsidRDefault="00CA682E" w:rsidP="00CA682E">
            <w:pPr>
              <w:jc w:val="center"/>
              <w:rPr>
                <w:rFonts w:eastAsia="Times New Roman"/>
                <w:color w:val="000000" w:themeColor="text1"/>
                <w:sz w:val="16"/>
                <w:szCs w:val="16"/>
                <w:lang w:eastAsia="en-US"/>
              </w:rPr>
            </w:pP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A682E" w:rsidRPr="00CA682E" w:rsidRDefault="00CA682E" w:rsidP="00CA682E">
            <w:pPr>
              <w:jc w:val="center"/>
              <w:rPr>
                <w:rFonts w:eastAsia="Times New Roman"/>
                <w:color w:val="000000" w:themeColor="text1"/>
                <w:sz w:val="16"/>
                <w:szCs w:val="16"/>
                <w:lang w:eastAsia="en-US"/>
              </w:rPr>
            </w:pPr>
          </w:p>
        </w:tc>
        <w:tc>
          <w:tcPr>
            <w:tcW w:w="385" w:type="dxa"/>
            <w:tcBorders>
              <w:top w:val="nil"/>
              <w:left w:val="nil"/>
              <w:bottom w:val="single" w:sz="4" w:space="0" w:color="auto"/>
              <w:right w:val="single" w:sz="8" w:space="0" w:color="auto"/>
            </w:tcBorders>
            <w:shd w:val="clear" w:color="auto" w:fill="auto"/>
            <w:noWrap/>
            <w:tcMar>
              <w:left w:w="0" w:type="dxa"/>
              <w:right w:w="0" w:type="dxa"/>
            </w:tcMar>
            <w:vAlign w:val="center"/>
            <w:hideMark/>
          </w:tcPr>
          <w:p w:rsidR="00CA682E" w:rsidRPr="00CA682E" w:rsidRDefault="00CA682E" w:rsidP="00CA682E">
            <w:pPr>
              <w:jc w:val="center"/>
              <w:rPr>
                <w:rFonts w:eastAsia="Times New Roman"/>
                <w:color w:val="000000" w:themeColor="text1"/>
                <w:sz w:val="16"/>
                <w:szCs w:val="16"/>
                <w:lang w:eastAsia="en-US"/>
              </w:rPr>
            </w:pPr>
          </w:p>
        </w:tc>
        <w:tc>
          <w:tcPr>
            <w:tcW w:w="385" w:type="dxa"/>
            <w:gridSpan w:val="2"/>
            <w:tcBorders>
              <w:top w:val="nil"/>
              <w:left w:val="nil"/>
              <w:bottom w:val="single" w:sz="4" w:space="0" w:color="auto"/>
              <w:right w:val="single" w:sz="4" w:space="0" w:color="auto"/>
            </w:tcBorders>
            <w:shd w:val="clear" w:color="auto" w:fill="auto"/>
            <w:noWrap/>
            <w:tcMar>
              <w:left w:w="0" w:type="dxa"/>
              <w:right w:w="0" w:type="dxa"/>
            </w:tcMar>
            <w:vAlign w:val="center"/>
            <w:hideMark/>
          </w:tcPr>
          <w:p w:rsidR="00CA682E" w:rsidRPr="00CA682E" w:rsidRDefault="00CA682E" w:rsidP="00CA682E">
            <w:pPr>
              <w:jc w:val="center"/>
              <w:rPr>
                <w:rFonts w:eastAsia="Times New Roman"/>
                <w:color w:val="000000" w:themeColor="text1"/>
                <w:sz w:val="16"/>
                <w:szCs w:val="16"/>
                <w:lang w:eastAsia="en-US"/>
              </w:rPr>
            </w:pP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A682E" w:rsidRPr="00CA682E" w:rsidRDefault="00CA682E" w:rsidP="00CA682E">
            <w:pPr>
              <w:jc w:val="center"/>
              <w:rPr>
                <w:rFonts w:eastAsia="Times New Roman"/>
                <w:color w:val="000000" w:themeColor="text1"/>
                <w:sz w:val="16"/>
                <w:szCs w:val="16"/>
                <w:lang w:eastAsia="en-US"/>
              </w:rPr>
            </w:pP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A682E" w:rsidRPr="00CA682E" w:rsidRDefault="00CA682E" w:rsidP="00CA682E">
            <w:pPr>
              <w:jc w:val="center"/>
              <w:rPr>
                <w:rFonts w:eastAsia="Times New Roman"/>
                <w:color w:val="000000" w:themeColor="text1"/>
                <w:sz w:val="16"/>
                <w:szCs w:val="16"/>
                <w:lang w:eastAsia="en-US"/>
              </w:rPr>
            </w:pPr>
          </w:p>
        </w:tc>
        <w:tc>
          <w:tcPr>
            <w:tcW w:w="385" w:type="dxa"/>
            <w:tcBorders>
              <w:top w:val="nil"/>
              <w:left w:val="nil"/>
              <w:bottom w:val="single" w:sz="4" w:space="0" w:color="auto"/>
              <w:right w:val="single" w:sz="8" w:space="0" w:color="auto"/>
            </w:tcBorders>
            <w:shd w:val="clear" w:color="auto" w:fill="auto"/>
            <w:noWrap/>
            <w:tcMar>
              <w:left w:w="0" w:type="dxa"/>
              <w:right w:w="0" w:type="dxa"/>
            </w:tcMar>
            <w:vAlign w:val="center"/>
            <w:hideMark/>
          </w:tcPr>
          <w:p w:rsidR="00CA682E" w:rsidRPr="00CA682E" w:rsidRDefault="00CA682E" w:rsidP="00CA682E">
            <w:pPr>
              <w:jc w:val="center"/>
              <w:rPr>
                <w:rFonts w:eastAsia="Times New Roman"/>
                <w:color w:val="000000" w:themeColor="text1"/>
                <w:sz w:val="16"/>
                <w:szCs w:val="16"/>
                <w:lang w:eastAsia="en-US"/>
              </w:rPr>
            </w:pPr>
          </w:p>
        </w:tc>
        <w:tc>
          <w:tcPr>
            <w:tcW w:w="347" w:type="dxa"/>
            <w:gridSpan w:val="2"/>
            <w:tcBorders>
              <w:top w:val="nil"/>
              <w:left w:val="nil"/>
              <w:bottom w:val="single" w:sz="4" w:space="0" w:color="auto"/>
              <w:right w:val="single" w:sz="8" w:space="0" w:color="auto"/>
            </w:tcBorders>
            <w:tcMar>
              <w:left w:w="0" w:type="dxa"/>
              <w:right w:w="0" w:type="dxa"/>
            </w:tcMar>
            <w:vAlign w:val="center"/>
          </w:tcPr>
          <w:p w:rsidR="00CA682E" w:rsidRPr="00CA682E" w:rsidRDefault="00CA682E" w:rsidP="00CA682E">
            <w:pPr>
              <w:jc w:val="center"/>
              <w:rPr>
                <w:rFonts w:eastAsia="Times New Roman"/>
                <w:color w:val="000000" w:themeColor="text1"/>
                <w:sz w:val="16"/>
                <w:szCs w:val="16"/>
                <w:lang w:eastAsia="en-US"/>
              </w:rPr>
            </w:pPr>
          </w:p>
        </w:tc>
        <w:tc>
          <w:tcPr>
            <w:tcW w:w="413" w:type="dxa"/>
            <w:tcBorders>
              <w:top w:val="nil"/>
              <w:left w:val="nil"/>
              <w:bottom w:val="single" w:sz="4" w:space="0" w:color="auto"/>
              <w:right w:val="single" w:sz="8" w:space="0" w:color="auto"/>
            </w:tcBorders>
            <w:tcMar>
              <w:left w:w="0" w:type="dxa"/>
              <w:right w:w="0" w:type="dxa"/>
            </w:tcMar>
            <w:vAlign w:val="center"/>
          </w:tcPr>
          <w:p w:rsidR="00CA682E" w:rsidRPr="00CA682E" w:rsidRDefault="00CA682E" w:rsidP="00CA682E">
            <w:pPr>
              <w:jc w:val="center"/>
              <w:rPr>
                <w:rFonts w:eastAsia="Times New Roman"/>
                <w:color w:val="000000" w:themeColor="text1"/>
                <w:sz w:val="16"/>
                <w:szCs w:val="16"/>
                <w:lang w:eastAsia="en-US"/>
              </w:rPr>
            </w:pPr>
          </w:p>
        </w:tc>
        <w:tc>
          <w:tcPr>
            <w:tcW w:w="350" w:type="dxa"/>
            <w:tcBorders>
              <w:top w:val="nil"/>
              <w:left w:val="nil"/>
              <w:bottom w:val="single" w:sz="4" w:space="0" w:color="auto"/>
              <w:right w:val="single" w:sz="8" w:space="0" w:color="auto"/>
            </w:tcBorders>
            <w:vAlign w:val="center"/>
          </w:tcPr>
          <w:p w:rsidR="00CA682E" w:rsidRPr="00CA682E" w:rsidRDefault="00CA682E" w:rsidP="00CA682E">
            <w:pPr>
              <w:jc w:val="center"/>
              <w:rPr>
                <w:rFonts w:eastAsia="Times New Roman"/>
                <w:color w:val="000000" w:themeColor="text1"/>
                <w:sz w:val="16"/>
                <w:szCs w:val="16"/>
                <w:lang w:eastAsia="en-US"/>
              </w:rPr>
            </w:pPr>
          </w:p>
        </w:tc>
        <w:tc>
          <w:tcPr>
            <w:tcW w:w="430" w:type="dxa"/>
            <w:tcBorders>
              <w:top w:val="nil"/>
              <w:left w:val="nil"/>
              <w:bottom w:val="single" w:sz="4" w:space="0" w:color="auto"/>
              <w:right w:val="single" w:sz="4" w:space="0" w:color="auto"/>
            </w:tcBorders>
            <w:vAlign w:val="center"/>
          </w:tcPr>
          <w:p w:rsidR="00CA682E" w:rsidRPr="00CA682E" w:rsidRDefault="00CA682E" w:rsidP="00CA682E">
            <w:pPr>
              <w:jc w:val="center"/>
              <w:rPr>
                <w:rFonts w:eastAsia="Times New Roman"/>
                <w:color w:val="000000" w:themeColor="text1"/>
                <w:sz w:val="16"/>
                <w:szCs w:val="16"/>
                <w:lang w:eastAsia="en-US"/>
              </w:rPr>
            </w:pPr>
          </w:p>
        </w:tc>
      </w:tr>
      <w:tr w:rsidR="00CA682E" w:rsidRPr="00CA682E" w:rsidTr="007B1DE4">
        <w:trPr>
          <w:trHeight w:val="494"/>
          <w:jc w:val="center"/>
        </w:trPr>
        <w:tc>
          <w:tcPr>
            <w:tcW w:w="1999" w:type="dxa"/>
            <w:tcBorders>
              <w:top w:val="nil"/>
              <w:left w:val="single" w:sz="4" w:space="0" w:color="auto"/>
              <w:bottom w:val="single" w:sz="4" w:space="0" w:color="auto"/>
              <w:right w:val="single" w:sz="8" w:space="0" w:color="auto"/>
            </w:tcBorders>
            <w:shd w:val="clear" w:color="auto" w:fill="auto"/>
            <w:noWrap/>
            <w:vAlign w:val="center"/>
            <w:hideMark/>
          </w:tcPr>
          <w:p w:rsidR="00CA682E" w:rsidRPr="00CA682E" w:rsidRDefault="00CA682E" w:rsidP="00CA682E">
            <w:pPr>
              <w:autoSpaceDE w:val="0"/>
              <w:autoSpaceDN w:val="0"/>
              <w:adjustRightInd w:val="0"/>
              <w:spacing w:before="40" w:after="40"/>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Estudio detallado de la ejecución</w:t>
            </w:r>
          </w:p>
        </w:tc>
        <w:tc>
          <w:tcPr>
            <w:tcW w:w="391"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A682E" w:rsidRPr="00CA682E" w:rsidRDefault="00CA682E" w:rsidP="00CA682E">
            <w:pPr>
              <w:jc w:val="center"/>
              <w:rPr>
                <w:rFonts w:eastAsia="Times New Roman"/>
                <w:color w:val="000000" w:themeColor="text1"/>
                <w:sz w:val="16"/>
                <w:szCs w:val="16"/>
                <w:lang w:eastAsia="en-US"/>
              </w:rPr>
            </w:pP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A682E" w:rsidRPr="00CA682E" w:rsidRDefault="00CA682E" w:rsidP="00CA682E">
            <w:pPr>
              <w:jc w:val="center"/>
              <w:rPr>
                <w:rFonts w:eastAsia="Times New Roman"/>
                <w:color w:val="000000" w:themeColor="text1"/>
                <w:sz w:val="16"/>
                <w:szCs w:val="16"/>
                <w:lang w:eastAsia="en-US"/>
              </w:rPr>
            </w:pP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A682E" w:rsidRPr="00CA682E" w:rsidRDefault="00CA682E" w:rsidP="00CA682E">
            <w:pPr>
              <w:jc w:val="center"/>
              <w:rPr>
                <w:rFonts w:eastAsia="Times New Roman"/>
                <w:color w:val="000000" w:themeColor="text1"/>
                <w:sz w:val="16"/>
                <w:szCs w:val="16"/>
                <w:lang w:eastAsia="en-US"/>
              </w:rPr>
            </w:pPr>
          </w:p>
        </w:tc>
        <w:tc>
          <w:tcPr>
            <w:tcW w:w="384" w:type="dxa"/>
            <w:gridSpan w:val="2"/>
            <w:tcBorders>
              <w:top w:val="nil"/>
              <w:left w:val="nil"/>
              <w:bottom w:val="single" w:sz="4" w:space="0" w:color="auto"/>
              <w:right w:val="single" w:sz="8" w:space="0" w:color="auto"/>
            </w:tcBorders>
            <w:shd w:val="clear" w:color="auto" w:fill="auto"/>
            <w:noWrap/>
            <w:tcMar>
              <w:left w:w="0" w:type="dxa"/>
              <w:right w:w="0" w:type="dxa"/>
            </w:tcMar>
            <w:vAlign w:val="center"/>
            <w:hideMark/>
          </w:tcPr>
          <w:p w:rsidR="00CA682E" w:rsidRPr="00CA682E" w:rsidRDefault="00CA682E" w:rsidP="00CA682E">
            <w:pPr>
              <w:jc w:val="center"/>
              <w:rPr>
                <w:rFonts w:eastAsia="Times New Roman"/>
                <w:color w:val="000000" w:themeColor="text1"/>
                <w:sz w:val="16"/>
                <w:szCs w:val="16"/>
                <w:lang w:eastAsia="en-US"/>
              </w:rPr>
            </w:pP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A682E" w:rsidRPr="00CA682E" w:rsidRDefault="00CA682E" w:rsidP="00CA682E">
            <w:pPr>
              <w:jc w:val="center"/>
              <w:rPr>
                <w:rFonts w:eastAsia="Times New Roman"/>
                <w:color w:val="000000" w:themeColor="text1"/>
                <w:sz w:val="16"/>
                <w:szCs w:val="16"/>
                <w:lang w:eastAsia="en-US"/>
              </w:rPr>
            </w:pPr>
          </w:p>
        </w:tc>
        <w:tc>
          <w:tcPr>
            <w:tcW w:w="35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A682E" w:rsidRPr="00CA682E" w:rsidRDefault="00CA682E" w:rsidP="00CA682E">
            <w:pPr>
              <w:jc w:val="center"/>
              <w:rPr>
                <w:rFonts w:eastAsia="Times New Roman"/>
                <w:color w:val="000000" w:themeColor="text1"/>
                <w:sz w:val="16"/>
                <w:szCs w:val="16"/>
                <w:lang w:eastAsia="en-US"/>
              </w:rPr>
            </w:pP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center"/>
          </w:tcPr>
          <w:p w:rsidR="00CA682E" w:rsidRPr="00CA682E" w:rsidRDefault="00CA682E" w:rsidP="00CA682E">
            <w:pPr>
              <w:jc w:val="center"/>
              <w:rPr>
                <w:rFonts w:eastAsia="Times New Roman"/>
                <w:color w:val="000000" w:themeColor="text1"/>
                <w:sz w:val="16"/>
                <w:szCs w:val="16"/>
                <w:lang w:eastAsia="en-US"/>
              </w:rPr>
            </w:pPr>
          </w:p>
        </w:tc>
        <w:tc>
          <w:tcPr>
            <w:tcW w:w="384" w:type="dxa"/>
            <w:tcBorders>
              <w:top w:val="nil"/>
              <w:left w:val="nil"/>
              <w:bottom w:val="single" w:sz="4" w:space="0" w:color="auto"/>
              <w:right w:val="single" w:sz="8" w:space="0" w:color="auto"/>
            </w:tcBorders>
            <w:shd w:val="clear" w:color="auto" w:fill="auto"/>
            <w:noWrap/>
            <w:tcMar>
              <w:left w:w="0" w:type="dxa"/>
              <w:right w:w="0" w:type="dxa"/>
            </w:tcMar>
            <w:vAlign w:val="center"/>
          </w:tcPr>
          <w:p w:rsidR="00CA682E" w:rsidRPr="00CA682E" w:rsidRDefault="00CA682E" w:rsidP="00CA682E">
            <w:pPr>
              <w:jc w:val="center"/>
              <w:rPr>
                <w:rFonts w:eastAsia="Times New Roman"/>
                <w:color w:val="000000" w:themeColor="text1"/>
                <w:sz w:val="16"/>
                <w:szCs w:val="16"/>
                <w:lang w:eastAsia="en-US"/>
              </w:rPr>
            </w:pPr>
          </w:p>
        </w:tc>
        <w:tc>
          <w:tcPr>
            <w:tcW w:w="385" w:type="dxa"/>
            <w:gridSpan w:val="2"/>
            <w:tcBorders>
              <w:top w:val="nil"/>
              <w:left w:val="nil"/>
              <w:bottom w:val="single" w:sz="4" w:space="0" w:color="auto"/>
              <w:right w:val="single" w:sz="4" w:space="0" w:color="auto"/>
            </w:tcBorders>
            <w:shd w:val="clear" w:color="auto" w:fill="auto"/>
            <w:noWrap/>
            <w:tcMar>
              <w:left w:w="0" w:type="dxa"/>
              <w:right w:w="0" w:type="dxa"/>
            </w:tcMar>
            <w:vAlign w:val="center"/>
            <w:hideMark/>
          </w:tcPr>
          <w:p w:rsidR="00CA682E" w:rsidRPr="00CA682E" w:rsidRDefault="00CA682E" w:rsidP="00CA682E">
            <w:pPr>
              <w:jc w:val="center"/>
              <w:rPr>
                <w:rFonts w:eastAsia="Times New Roman"/>
                <w:color w:val="000000" w:themeColor="text1"/>
                <w:sz w:val="16"/>
                <w:szCs w:val="16"/>
                <w:lang w:eastAsia="en-US"/>
              </w:rPr>
            </w:pP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A682E" w:rsidRPr="00CA682E" w:rsidRDefault="00CA682E" w:rsidP="00CA682E">
            <w:pPr>
              <w:jc w:val="center"/>
              <w:rPr>
                <w:rFonts w:eastAsia="Times New Roman"/>
                <w:color w:val="000000" w:themeColor="text1"/>
                <w:sz w:val="16"/>
                <w:szCs w:val="16"/>
                <w:lang w:eastAsia="en-US"/>
              </w:rPr>
            </w:pPr>
            <w:r w:rsidRPr="00CA682E">
              <w:rPr>
                <w:rFonts w:eastAsia="Times New Roman"/>
                <w:color w:val="000000" w:themeColor="text1"/>
                <w:sz w:val="16"/>
                <w:szCs w:val="16"/>
                <w:lang w:eastAsia="en-US"/>
              </w:rPr>
              <w:t>X</w:t>
            </w: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A682E" w:rsidRPr="00CA682E" w:rsidRDefault="00CA682E" w:rsidP="00CA682E">
            <w:pPr>
              <w:jc w:val="center"/>
              <w:rPr>
                <w:rFonts w:eastAsia="Times New Roman"/>
                <w:color w:val="000000" w:themeColor="text1"/>
                <w:sz w:val="16"/>
                <w:szCs w:val="16"/>
                <w:lang w:eastAsia="en-US"/>
              </w:rPr>
            </w:pPr>
            <w:r w:rsidRPr="00CA682E">
              <w:rPr>
                <w:rFonts w:eastAsia="Times New Roman"/>
                <w:color w:val="000000" w:themeColor="text1"/>
                <w:sz w:val="16"/>
                <w:szCs w:val="16"/>
                <w:lang w:eastAsia="en-US"/>
              </w:rPr>
              <w:t>X</w:t>
            </w:r>
          </w:p>
        </w:tc>
        <w:tc>
          <w:tcPr>
            <w:tcW w:w="385" w:type="dxa"/>
            <w:tcBorders>
              <w:top w:val="nil"/>
              <w:left w:val="nil"/>
              <w:bottom w:val="single" w:sz="4" w:space="0" w:color="auto"/>
              <w:right w:val="single" w:sz="8" w:space="0" w:color="auto"/>
            </w:tcBorders>
            <w:shd w:val="clear" w:color="auto" w:fill="auto"/>
            <w:noWrap/>
            <w:tcMar>
              <w:left w:w="0" w:type="dxa"/>
              <w:right w:w="0" w:type="dxa"/>
            </w:tcMar>
            <w:vAlign w:val="center"/>
            <w:hideMark/>
          </w:tcPr>
          <w:p w:rsidR="00CA682E" w:rsidRPr="00CA682E" w:rsidRDefault="00CA682E" w:rsidP="00CA682E">
            <w:pPr>
              <w:jc w:val="center"/>
              <w:rPr>
                <w:rFonts w:eastAsia="Times New Roman"/>
                <w:color w:val="000000" w:themeColor="text1"/>
                <w:sz w:val="16"/>
                <w:szCs w:val="16"/>
                <w:lang w:eastAsia="en-US"/>
              </w:rPr>
            </w:pPr>
          </w:p>
        </w:tc>
        <w:tc>
          <w:tcPr>
            <w:tcW w:w="385" w:type="dxa"/>
            <w:gridSpan w:val="2"/>
            <w:tcBorders>
              <w:top w:val="nil"/>
              <w:left w:val="nil"/>
              <w:bottom w:val="single" w:sz="4" w:space="0" w:color="auto"/>
              <w:right w:val="single" w:sz="4" w:space="0" w:color="auto"/>
            </w:tcBorders>
            <w:shd w:val="clear" w:color="auto" w:fill="auto"/>
            <w:noWrap/>
            <w:tcMar>
              <w:left w:w="0" w:type="dxa"/>
              <w:right w:w="0" w:type="dxa"/>
            </w:tcMar>
            <w:vAlign w:val="center"/>
            <w:hideMark/>
          </w:tcPr>
          <w:p w:rsidR="00CA682E" w:rsidRPr="00CA682E" w:rsidRDefault="00CA682E" w:rsidP="00CA682E">
            <w:pPr>
              <w:jc w:val="center"/>
              <w:rPr>
                <w:rFonts w:eastAsia="Times New Roman"/>
                <w:color w:val="000000" w:themeColor="text1"/>
                <w:sz w:val="16"/>
                <w:szCs w:val="16"/>
                <w:lang w:eastAsia="en-US"/>
              </w:rPr>
            </w:pP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A682E" w:rsidRPr="00CA682E" w:rsidRDefault="00CA682E" w:rsidP="00CA682E">
            <w:pPr>
              <w:jc w:val="center"/>
              <w:rPr>
                <w:rFonts w:eastAsia="Times New Roman"/>
                <w:color w:val="000000" w:themeColor="text1"/>
                <w:sz w:val="16"/>
                <w:szCs w:val="16"/>
                <w:lang w:eastAsia="en-US"/>
              </w:rPr>
            </w:pP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A682E" w:rsidRPr="00CA682E" w:rsidRDefault="00CA682E" w:rsidP="00CA682E">
            <w:pPr>
              <w:jc w:val="center"/>
              <w:rPr>
                <w:rFonts w:eastAsia="Times New Roman"/>
                <w:color w:val="000000" w:themeColor="text1"/>
                <w:sz w:val="16"/>
                <w:szCs w:val="16"/>
                <w:lang w:eastAsia="en-US"/>
              </w:rPr>
            </w:pPr>
          </w:p>
        </w:tc>
        <w:tc>
          <w:tcPr>
            <w:tcW w:w="385" w:type="dxa"/>
            <w:tcBorders>
              <w:top w:val="nil"/>
              <w:left w:val="nil"/>
              <w:bottom w:val="single" w:sz="4" w:space="0" w:color="auto"/>
              <w:right w:val="single" w:sz="8" w:space="0" w:color="auto"/>
            </w:tcBorders>
            <w:shd w:val="clear" w:color="auto" w:fill="auto"/>
            <w:noWrap/>
            <w:tcMar>
              <w:left w:w="0" w:type="dxa"/>
              <w:right w:w="0" w:type="dxa"/>
            </w:tcMar>
            <w:vAlign w:val="center"/>
            <w:hideMark/>
          </w:tcPr>
          <w:p w:rsidR="00CA682E" w:rsidRPr="00CA682E" w:rsidRDefault="00CA682E" w:rsidP="00CA682E">
            <w:pPr>
              <w:jc w:val="center"/>
              <w:rPr>
                <w:rFonts w:eastAsia="Times New Roman"/>
                <w:color w:val="000000" w:themeColor="text1"/>
                <w:sz w:val="16"/>
                <w:szCs w:val="16"/>
                <w:lang w:eastAsia="en-US"/>
              </w:rPr>
            </w:pPr>
          </w:p>
        </w:tc>
        <w:tc>
          <w:tcPr>
            <w:tcW w:w="347" w:type="dxa"/>
            <w:gridSpan w:val="2"/>
            <w:tcBorders>
              <w:top w:val="nil"/>
              <w:left w:val="nil"/>
              <w:bottom w:val="single" w:sz="4" w:space="0" w:color="auto"/>
              <w:right w:val="single" w:sz="8" w:space="0" w:color="auto"/>
            </w:tcBorders>
            <w:tcMar>
              <w:left w:w="0" w:type="dxa"/>
              <w:right w:w="0" w:type="dxa"/>
            </w:tcMar>
            <w:vAlign w:val="center"/>
          </w:tcPr>
          <w:p w:rsidR="00CA682E" w:rsidRPr="00CA682E" w:rsidRDefault="00CA682E" w:rsidP="00CA682E">
            <w:pPr>
              <w:jc w:val="center"/>
              <w:rPr>
                <w:rFonts w:eastAsia="Times New Roman"/>
                <w:color w:val="000000" w:themeColor="text1"/>
                <w:sz w:val="16"/>
                <w:szCs w:val="16"/>
                <w:lang w:eastAsia="en-US"/>
              </w:rPr>
            </w:pPr>
          </w:p>
        </w:tc>
        <w:tc>
          <w:tcPr>
            <w:tcW w:w="413" w:type="dxa"/>
            <w:tcBorders>
              <w:top w:val="nil"/>
              <w:left w:val="nil"/>
              <w:bottom w:val="single" w:sz="4" w:space="0" w:color="auto"/>
              <w:right w:val="single" w:sz="8" w:space="0" w:color="auto"/>
            </w:tcBorders>
            <w:tcMar>
              <w:left w:w="0" w:type="dxa"/>
              <w:right w:w="0" w:type="dxa"/>
            </w:tcMar>
            <w:vAlign w:val="center"/>
          </w:tcPr>
          <w:p w:rsidR="00CA682E" w:rsidRPr="00CA682E" w:rsidRDefault="00CA682E" w:rsidP="00CA682E">
            <w:pPr>
              <w:jc w:val="center"/>
              <w:rPr>
                <w:rFonts w:eastAsia="Times New Roman"/>
                <w:color w:val="000000" w:themeColor="text1"/>
                <w:sz w:val="16"/>
                <w:szCs w:val="16"/>
                <w:lang w:eastAsia="en-US"/>
              </w:rPr>
            </w:pPr>
          </w:p>
        </w:tc>
        <w:tc>
          <w:tcPr>
            <w:tcW w:w="350" w:type="dxa"/>
            <w:tcBorders>
              <w:top w:val="nil"/>
              <w:left w:val="nil"/>
              <w:bottom w:val="single" w:sz="4" w:space="0" w:color="auto"/>
              <w:right w:val="single" w:sz="8" w:space="0" w:color="auto"/>
            </w:tcBorders>
            <w:vAlign w:val="center"/>
          </w:tcPr>
          <w:p w:rsidR="00CA682E" w:rsidRPr="00CA682E" w:rsidRDefault="00CA682E" w:rsidP="00CA682E">
            <w:pPr>
              <w:jc w:val="center"/>
              <w:rPr>
                <w:rFonts w:eastAsia="Times New Roman"/>
                <w:color w:val="000000" w:themeColor="text1"/>
                <w:sz w:val="16"/>
                <w:szCs w:val="16"/>
                <w:lang w:eastAsia="en-US"/>
              </w:rPr>
            </w:pPr>
          </w:p>
        </w:tc>
        <w:tc>
          <w:tcPr>
            <w:tcW w:w="430" w:type="dxa"/>
            <w:tcBorders>
              <w:top w:val="nil"/>
              <w:left w:val="nil"/>
              <w:bottom w:val="single" w:sz="4" w:space="0" w:color="auto"/>
              <w:right w:val="single" w:sz="4" w:space="0" w:color="auto"/>
            </w:tcBorders>
            <w:vAlign w:val="center"/>
          </w:tcPr>
          <w:p w:rsidR="00CA682E" w:rsidRPr="00CA682E" w:rsidRDefault="00CA682E" w:rsidP="00CA682E">
            <w:pPr>
              <w:jc w:val="center"/>
              <w:rPr>
                <w:rFonts w:eastAsia="Times New Roman"/>
                <w:color w:val="000000" w:themeColor="text1"/>
                <w:sz w:val="16"/>
                <w:szCs w:val="16"/>
                <w:lang w:eastAsia="en-US"/>
              </w:rPr>
            </w:pPr>
          </w:p>
        </w:tc>
      </w:tr>
      <w:tr w:rsidR="00CA682E" w:rsidRPr="00CA682E" w:rsidTr="007B1DE4">
        <w:trPr>
          <w:trHeight w:val="431"/>
          <w:jc w:val="center"/>
        </w:trPr>
        <w:tc>
          <w:tcPr>
            <w:tcW w:w="1999" w:type="dxa"/>
            <w:tcBorders>
              <w:top w:val="nil"/>
              <w:left w:val="single" w:sz="4" w:space="0" w:color="auto"/>
              <w:bottom w:val="single" w:sz="4" w:space="0" w:color="auto"/>
              <w:right w:val="single" w:sz="8" w:space="0" w:color="auto"/>
            </w:tcBorders>
            <w:shd w:val="clear" w:color="auto" w:fill="auto"/>
            <w:noWrap/>
            <w:vAlign w:val="center"/>
            <w:hideMark/>
          </w:tcPr>
          <w:p w:rsidR="00CA682E" w:rsidRPr="00CA682E" w:rsidRDefault="00CA682E" w:rsidP="00CA682E">
            <w:pPr>
              <w:autoSpaceDE w:val="0"/>
              <w:autoSpaceDN w:val="0"/>
              <w:adjustRightInd w:val="0"/>
              <w:spacing w:before="40" w:after="40"/>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Elección de la solución técnica</w:t>
            </w:r>
          </w:p>
        </w:tc>
        <w:tc>
          <w:tcPr>
            <w:tcW w:w="391"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A682E" w:rsidRPr="00CA682E" w:rsidRDefault="00CA682E" w:rsidP="00CA682E">
            <w:pPr>
              <w:jc w:val="center"/>
              <w:rPr>
                <w:rFonts w:eastAsia="Times New Roman"/>
                <w:color w:val="000000" w:themeColor="text1"/>
                <w:sz w:val="16"/>
                <w:szCs w:val="16"/>
                <w:lang w:eastAsia="en-US"/>
              </w:rPr>
            </w:pP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A682E" w:rsidRPr="00CA682E" w:rsidRDefault="00CA682E" w:rsidP="00CA682E">
            <w:pPr>
              <w:jc w:val="center"/>
              <w:rPr>
                <w:rFonts w:eastAsia="Times New Roman"/>
                <w:color w:val="000000" w:themeColor="text1"/>
                <w:sz w:val="16"/>
                <w:szCs w:val="16"/>
                <w:lang w:eastAsia="en-US"/>
              </w:rPr>
            </w:pP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A682E" w:rsidRPr="00CA682E" w:rsidRDefault="00CA682E" w:rsidP="00CA682E">
            <w:pPr>
              <w:jc w:val="center"/>
              <w:rPr>
                <w:rFonts w:eastAsia="Times New Roman"/>
                <w:color w:val="000000" w:themeColor="text1"/>
                <w:sz w:val="16"/>
                <w:szCs w:val="16"/>
                <w:lang w:eastAsia="en-US"/>
              </w:rPr>
            </w:pPr>
          </w:p>
        </w:tc>
        <w:tc>
          <w:tcPr>
            <w:tcW w:w="384" w:type="dxa"/>
            <w:gridSpan w:val="2"/>
            <w:tcBorders>
              <w:top w:val="nil"/>
              <w:left w:val="nil"/>
              <w:bottom w:val="single" w:sz="4" w:space="0" w:color="auto"/>
              <w:right w:val="single" w:sz="8" w:space="0" w:color="auto"/>
            </w:tcBorders>
            <w:shd w:val="clear" w:color="auto" w:fill="auto"/>
            <w:noWrap/>
            <w:tcMar>
              <w:left w:w="0" w:type="dxa"/>
              <w:right w:w="0" w:type="dxa"/>
            </w:tcMar>
            <w:vAlign w:val="center"/>
            <w:hideMark/>
          </w:tcPr>
          <w:p w:rsidR="00CA682E" w:rsidRPr="00CA682E" w:rsidRDefault="00CA682E" w:rsidP="00CA682E">
            <w:pPr>
              <w:jc w:val="center"/>
              <w:rPr>
                <w:rFonts w:eastAsia="Times New Roman"/>
                <w:color w:val="000000" w:themeColor="text1"/>
                <w:sz w:val="16"/>
                <w:szCs w:val="16"/>
                <w:lang w:eastAsia="en-US"/>
              </w:rPr>
            </w:pP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A682E" w:rsidRPr="00CA682E" w:rsidRDefault="00CA682E" w:rsidP="00CA682E">
            <w:pPr>
              <w:jc w:val="center"/>
              <w:rPr>
                <w:rFonts w:eastAsia="Times New Roman"/>
                <w:color w:val="000000" w:themeColor="text1"/>
                <w:sz w:val="16"/>
                <w:szCs w:val="16"/>
                <w:lang w:eastAsia="en-US"/>
              </w:rPr>
            </w:pPr>
          </w:p>
        </w:tc>
        <w:tc>
          <w:tcPr>
            <w:tcW w:w="35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A682E" w:rsidRPr="00CA682E" w:rsidRDefault="00CA682E" w:rsidP="00CA682E">
            <w:pPr>
              <w:jc w:val="center"/>
              <w:rPr>
                <w:rFonts w:eastAsia="Times New Roman"/>
                <w:color w:val="000000" w:themeColor="text1"/>
                <w:sz w:val="16"/>
                <w:szCs w:val="16"/>
                <w:lang w:eastAsia="en-US"/>
              </w:rPr>
            </w:pP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A682E" w:rsidRPr="00CA682E" w:rsidRDefault="00CA682E" w:rsidP="00CA682E">
            <w:pPr>
              <w:jc w:val="center"/>
              <w:rPr>
                <w:rFonts w:eastAsia="Times New Roman"/>
                <w:color w:val="000000" w:themeColor="text1"/>
                <w:sz w:val="16"/>
                <w:szCs w:val="16"/>
                <w:lang w:eastAsia="en-US"/>
              </w:rPr>
            </w:pPr>
          </w:p>
        </w:tc>
        <w:tc>
          <w:tcPr>
            <w:tcW w:w="384" w:type="dxa"/>
            <w:tcBorders>
              <w:top w:val="nil"/>
              <w:left w:val="nil"/>
              <w:bottom w:val="single" w:sz="4" w:space="0" w:color="auto"/>
              <w:right w:val="single" w:sz="8" w:space="0" w:color="auto"/>
            </w:tcBorders>
            <w:shd w:val="clear" w:color="auto" w:fill="auto"/>
            <w:noWrap/>
            <w:tcMar>
              <w:left w:w="0" w:type="dxa"/>
              <w:right w:w="0" w:type="dxa"/>
            </w:tcMar>
            <w:vAlign w:val="center"/>
            <w:hideMark/>
          </w:tcPr>
          <w:p w:rsidR="00CA682E" w:rsidRPr="00CA682E" w:rsidRDefault="00CA682E" w:rsidP="00CA682E">
            <w:pPr>
              <w:jc w:val="center"/>
              <w:rPr>
                <w:rFonts w:eastAsia="Times New Roman"/>
                <w:color w:val="000000" w:themeColor="text1"/>
                <w:sz w:val="16"/>
                <w:szCs w:val="16"/>
                <w:lang w:eastAsia="en-US"/>
              </w:rPr>
            </w:pPr>
          </w:p>
        </w:tc>
        <w:tc>
          <w:tcPr>
            <w:tcW w:w="385" w:type="dxa"/>
            <w:gridSpan w:val="2"/>
            <w:tcBorders>
              <w:top w:val="nil"/>
              <w:left w:val="nil"/>
              <w:bottom w:val="single" w:sz="4" w:space="0" w:color="auto"/>
              <w:right w:val="single" w:sz="4" w:space="0" w:color="auto"/>
            </w:tcBorders>
            <w:shd w:val="clear" w:color="auto" w:fill="auto"/>
            <w:noWrap/>
            <w:tcMar>
              <w:left w:w="0" w:type="dxa"/>
              <w:right w:w="0" w:type="dxa"/>
            </w:tcMar>
            <w:vAlign w:val="center"/>
            <w:hideMark/>
          </w:tcPr>
          <w:p w:rsidR="00CA682E" w:rsidRPr="00CA682E" w:rsidRDefault="00CA682E" w:rsidP="00CA682E">
            <w:pPr>
              <w:jc w:val="center"/>
              <w:rPr>
                <w:rFonts w:eastAsia="Times New Roman"/>
                <w:color w:val="000000" w:themeColor="text1"/>
                <w:sz w:val="16"/>
                <w:szCs w:val="16"/>
                <w:lang w:eastAsia="en-US"/>
              </w:rPr>
            </w:pP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A682E" w:rsidRPr="00CA682E" w:rsidRDefault="00CA682E" w:rsidP="00CA682E">
            <w:pPr>
              <w:jc w:val="center"/>
              <w:rPr>
                <w:rFonts w:eastAsia="Times New Roman"/>
                <w:color w:val="000000" w:themeColor="text1"/>
                <w:sz w:val="16"/>
                <w:szCs w:val="16"/>
                <w:lang w:eastAsia="en-US"/>
              </w:rPr>
            </w:pP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A682E" w:rsidRPr="00CA682E" w:rsidRDefault="00CA682E" w:rsidP="00CA682E">
            <w:pPr>
              <w:jc w:val="center"/>
              <w:rPr>
                <w:rFonts w:eastAsia="Times New Roman"/>
                <w:color w:val="000000" w:themeColor="text1"/>
                <w:sz w:val="16"/>
                <w:szCs w:val="16"/>
                <w:lang w:eastAsia="en-US"/>
              </w:rPr>
            </w:pPr>
          </w:p>
        </w:tc>
        <w:tc>
          <w:tcPr>
            <w:tcW w:w="385" w:type="dxa"/>
            <w:tcBorders>
              <w:top w:val="nil"/>
              <w:left w:val="nil"/>
              <w:bottom w:val="single" w:sz="4" w:space="0" w:color="auto"/>
              <w:right w:val="single" w:sz="8" w:space="0" w:color="auto"/>
            </w:tcBorders>
            <w:shd w:val="clear" w:color="auto" w:fill="auto"/>
            <w:noWrap/>
            <w:tcMar>
              <w:left w:w="0" w:type="dxa"/>
              <w:right w:w="0" w:type="dxa"/>
            </w:tcMar>
            <w:vAlign w:val="center"/>
            <w:hideMark/>
          </w:tcPr>
          <w:p w:rsidR="00CA682E" w:rsidRPr="00CA682E" w:rsidRDefault="00CA682E" w:rsidP="00CA682E">
            <w:pPr>
              <w:jc w:val="center"/>
              <w:rPr>
                <w:rFonts w:eastAsia="Times New Roman"/>
                <w:color w:val="000000" w:themeColor="text1"/>
                <w:sz w:val="16"/>
                <w:szCs w:val="16"/>
                <w:lang w:eastAsia="en-US"/>
              </w:rPr>
            </w:pPr>
            <w:r w:rsidRPr="00CA682E">
              <w:rPr>
                <w:rFonts w:eastAsia="Times New Roman"/>
                <w:color w:val="000000" w:themeColor="text1"/>
                <w:sz w:val="16"/>
                <w:szCs w:val="16"/>
                <w:lang w:eastAsia="en-US"/>
              </w:rPr>
              <w:t>X</w:t>
            </w:r>
          </w:p>
        </w:tc>
        <w:tc>
          <w:tcPr>
            <w:tcW w:w="385" w:type="dxa"/>
            <w:gridSpan w:val="2"/>
            <w:tcBorders>
              <w:top w:val="nil"/>
              <w:left w:val="nil"/>
              <w:bottom w:val="single" w:sz="4" w:space="0" w:color="auto"/>
              <w:right w:val="single" w:sz="4" w:space="0" w:color="auto"/>
            </w:tcBorders>
            <w:shd w:val="clear" w:color="auto" w:fill="auto"/>
            <w:noWrap/>
            <w:tcMar>
              <w:left w:w="0" w:type="dxa"/>
              <w:right w:w="0" w:type="dxa"/>
            </w:tcMar>
            <w:vAlign w:val="center"/>
            <w:hideMark/>
          </w:tcPr>
          <w:p w:rsidR="00CA682E" w:rsidRPr="00CA682E" w:rsidRDefault="00CA682E" w:rsidP="00CA682E">
            <w:pPr>
              <w:jc w:val="center"/>
              <w:rPr>
                <w:rFonts w:eastAsia="Times New Roman"/>
                <w:color w:val="000000" w:themeColor="text1"/>
                <w:sz w:val="16"/>
                <w:szCs w:val="16"/>
                <w:lang w:eastAsia="en-US"/>
              </w:rPr>
            </w:pP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A682E" w:rsidRPr="00CA682E" w:rsidRDefault="00CA682E" w:rsidP="00CA682E">
            <w:pPr>
              <w:jc w:val="center"/>
              <w:rPr>
                <w:rFonts w:eastAsia="Times New Roman"/>
                <w:color w:val="000000" w:themeColor="text1"/>
                <w:sz w:val="16"/>
                <w:szCs w:val="16"/>
                <w:lang w:eastAsia="en-US"/>
              </w:rPr>
            </w:pP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A682E" w:rsidRPr="00CA682E" w:rsidRDefault="00CA682E" w:rsidP="00CA682E">
            <w:pPr>
              <w:jc w:val="center"/>
              <w:rPr>
                <w:rFonts w:eastAsia="Times New Roman"/>
                <w:color w:val="000000" w:themeColor="text1"/>
                <w:sz w:val="16"/>
                <w:szCs w:val="16"/>
                <w:lang w:eastAsia="en-US"/>
              </w:rPr>
            </w:pPr>
          </w:p>
        </w:tc>
        <w:tc>
          <w:tcPr>
            <w:tcW w:w="385" w:type="dxa"/>
            <w:tcBorders>
              <w:top w:val="nil"/>
              <w:left w:val="nil"/>
              <w:bottom w:val="single" w:sz="4" w:space="0" w:color="auto"/>
              <w:right w:val="single" w:sz="8" w:space="0" w:color="auto"/>
            </w:tcBorders>
            <w:shd w:val="clear" w:color="auto" w:fill="auto"/>
            <w:noWrap/>
            <w:tcMar>
              <w:left w:w="0" w:type="dxa"/>
              <w:right w:w="0" w:type="dxa"/>
            </w:tcMar>
            <w:vAlign w:val="center"/>
            <w:hideMark/>
          </w:tcPr>
          <w:p w:rsidR="00CA682E" w:rsidRPr="00CA682E" w:rsidRDefault="00CA682E" w:rsidP="00CA682E">
            <w:pPr>
              <w:jc w:val="center"/>
              <w:rPr>
                <w:rFonts w:eastAsia="Times New Roman"/>
                <w:color w:val="000000" w:themeColor="text1"/>
                <w:sz w:val="16"/>
                <w:szCs w:val="16"/>
                <w:lang w:eastAsia="en-US"/>
              </w:rPr>
            </w:pPr>
          </w:p>
        </w:tc>
        <w:tc>
          <w:tcPr>
            <w:tcW w:w="347" w:type="dxa"/>
            <w:gridSpan w:val="2"/>
            <w:tcBorders>
              <w:top w:val="nil"/>
              <w:left w:val="nil"/>
              <w:bottom w:val="single" w:sz="4" w:space="0" w:color="auto"/>
              <w:right w:val="single" w:sz="8" w:space="0" w:color="auto"/>
            </w:tcBorders>
            <w:tcMar>
              <w:left w:w="0" w:type="dxa"/>
              <w:right w:w="0" w:type="dxa"/>
            </w:tcMar>
            <w:vAlign w:val="center"/>
          </w:tcPr>
          <w:p w:rsidR="00CA682E" w:rsidRPr="00CA682E" w:rsidRDefault="00CA682E" w:rsidP="00CA682E">
            <w:pPr>
              <w:jc w:val="center"/>
              <w:rPr>
                <w:rFonts w:eastAsia="Times New Roman"/>
                <w:color w:val="000000" w:themeColor="text1"/>
                <w:sz w:val="16"/>
                <w:szCs w:val="16"/>
                <w:lang w:eastAsia="en-US"/>
              </w:rPr>
            </w:pPr>
          </w:p>
        </w:tc>
        <w:tc>
          <w:tcPr>
            <w:tcW w:w="413" w:type="dxa"/>
            <w:tcBorders>
              <w:top w:val="nil"/>
              <w:left w:val="nil"/>
              <w:bottom w:val="single" w:sz="4" w:space="0" w:color="auto"/>
              <w:right w:val="single" w:sz="8" w:space="0" w:color="auto"/>
            </w:tcBorders>
            <w:tcMar>
              <w:left w:w="0" w:type="dxa"/>
              <w:right w:w="0" w:type="dxa"/>
            </w:tcMar>
            <w:vAlign w:val="center"/>
          </w:tcPr>
          <w:p w:rsidR="00CA682E" w:rsidRPr="00CA682E" w:rsidRDefault="00CA682E" w:rsidP="00CA682E">
            <w:pPr>
              <w:jc w:val="center"/>
              <w:rPr>
                <w:rFonts w:eastAsia="Times New Roman"/>
                <w:color w:val="000000" w:themeColor="text1"/>
                <w:sz w:val="16"/>
                <w:szCs w:val="16"/>
                <w:lang w:eastAsia="en-US"/>
              </w:rPr>
            </w:pPr>
          </w:p>
        </w:tc>
        <w:tc>
          <w:tcPr>
            <w:tcW w:w="350" w:type="dxa"/>
            <w:tcBorders>
              <w:top w:val="nil"/>
              <w:left w:val="nil"/>
              <w:bottom w:val="single" w:sz="4" w:space="0" w:color="auto"/>
              <w:right w:val="single" w:sz="8" w:space="0" w:color="auto"/>
            </w:tcBorders>
            <w:vAlign w:val="center"/>
          </w:tcPr>
          <w:p w:rsidR="00CA682E" w:rsidRPr="00CA682E" w:rsidRDefault="00CA682E" w:rsidP="00CA682E">
            <w:pPr>
              <w:jc w:val="center"/>
              <w:rPr>
                <w:rFonts w:eastAsia="Times New Roman"/>
                <w:color w:val="000000" w:themeColor="text1"/>
                <w:sz w:val="16"/>
                <w:szCs w:val="16"/>
                <w:lang w:eastAsia="en-US"/>
              </w:rPr>
            </w:pPr>
          </w:p>
        </w:tc>
        <w:tc>
          <w:tcPr>
            <w:tcW w:w="430" w:type="dxa"/>
            <w:tcBorders>
              <w:top w:val="nil"/>
              <w:left w:val="nil"/>
              <w:bottom w:val="single" w:sz="4" w:space="0" w:color="auto"/>
              <w:right w:val="single" w:sz="4" w:space="0" w:color="auto"/>
            </w:tcBorders>
            <w:vAlign w:val="center"/>
          </w:tcPr>
          <w:p w:rsidR="00CA682E" w:rsidRPr="00CA682E" w:rsidRDefault="00CA682E" w:rsidP="00CA682E">
            <w:pPr>
              <w:jc w:val="center"/>
              <w:rPr>
                <w:rFonts w:eastAsia="Times New Roman"/>
                <w:color w:val="000000" w:themeColor="text1"/>
                <w:sz w:val="16"/>
                <w:szCs w:val="16"/>
                <w:lang w:eastAsia="en-US"/>
              </w:rPr>
            </w:pPr>
          </w:p>
        </w:tc>
      </w:tr>
      <w:tr w:rsidR="00CA682E" w:rsidRPr="00CA682E" w:rsidTr="007B1DE4">
        <w:trPr>
          <w:trHeight w:val="431"/>
          <w:jc w:val="center"/>
        </w:trPr>
        <w:tc>
          <w:tcPr>
            <w:tcW w:w="1999" w:type="dxa"/>
            <w:tcBorders>
              <w:top w:val="nil"/>
              <w:left w:val="single" w:sz="4" w:space="0" w:color="auto"/>
              <w:bottom w:val="single" w:sz="4" w:space="0" w:color="auto"/>
              <w:right w:val="single" w:sz="8" w:space="0" w:color="auto"/>
            </w:tcBorders>
            <w:shd w:val="clear" w:color="auto" w:fill="auto"/>
            <w:noWrap/>
            <w:vAlign w:val="center"/>
            <w:hideMark/>
          </w:tcPr>
          <w:p w:rsidR="00CA682E" w:rsidRPr="00CA682E" w:rsidRDefault="00CA682E" w:rsidP="00CA682E">
            <w:pPr>
              <w:autoSpaceDE w:val="0"/>
              <w:autoSpaceDN w:val="0"/>
              <w:adjustRightInd w:val="0"/>
              <w:spacing w:before="40" w:after="40"/>
              <w:rPr>
                <w:rFonts w:eastAsia="Times New Roman"/>
                <w:color w:val="000000" w:themeColor="text1"/>
                <w:sz w:val="16"/>
                <w:szCs w:val="16"/>
                <w:lang w:eastAsia="en-US"/>
              </w:rPr>
            </w:pPr>
            <w:r w:rsidRPr="00CA682E">
              <w:rPr>
                <w:rFonts w:eastAsia="Times New Roman"/>
                <w:color w:val="000000" w:themeColor="text1"/>
                <w:sz w:val="16"/>
                <w:szCs w:val="16"/>
                <w:lang w:eastAsia="en-US"/>
              </w:rPr>
              <w:t>Llamado a licitación para empresas</w:t>
            </w:r>
          </w:p>
        </w:tc>
        <w:tc>
          <w:tcPr>
            <w:tcW w:w="391"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A682E" w:rsidRPr="00CA682E" w:rsidRDefault="00CA682E" w:rsidP="00CA682E">
            <w:pPr>
              <w:jc w:val="center"/>
              <w:rPr>
                <w:rFonts w:eastAsia="Times New Roman"/>
                <w:color w:val="000000" w:themeColor="text1"/>
                <w:sz w:val="16"/>
                <w:szCs w:val="16"/>
                <w:lang w:eastAsia="en-US"/>
              </w:rPr>
            </w:pP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A682E" w:rsidRPr="00CA682E" w:rsidRDefault="00CA682E" w:rsidP="00CA682E">
            <w:pPr>
              <w:jc w:val="center"/>
              <w:rPr>
                <w:rFonts w:eastAsia="Times New Roman"/>
                <w:color w:val="000000" w:themeColor="text1"/>
                <w:sz w:val="16"/>
                <w:szCs w:val="16"/>
                <w:lang w:eastAsia="en-US"/>
              </w:rPr>
            </w:pP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A682E" w:rsidRPr="00CA682E" w:rsidRDefault="00CA682E" w:rsidP="00CA682E">
            <w:pPr>
              <w:jc w:val="center"/>
              <w:rPr>
                <w:rFonts w:eastAsia="Times New Roman"/>
                <w:color w:val="000000" w:themeColor="text1"/>
                <w:sz w:val="16"/>
                <w:szCs w:val="16"/>
                <w:lang w:eastAsia="en-US"/>
              </w:rPr>
            </w:pPr>
          </w:p>
        </w:tc>
        <w:tc>
          <w:tcPr>
            <w:tcW w:w="384" w:type="dxa"/>
            <w:gridSpan w:val="2"/>
            <w:tcBorders>
              <w:top w:val="nil"/>
              <w:left w:val="nil"/>
              <w:bottom w:val="single" w:sz="4" w:space="0" w:color="auto"/>
              <w:right w:val="single" w:sz="8" w:space="0" w:color="auto"/>
            </w:tcBorders>
            <w:shd w:val="clear" w:color="auto" w:fill="auto"/>
            <w:noWrap/>
            <w:tcMar>
              <w:left w:w="0" w:type="dxa"/>
              <w:right w:w="0" w:type="dxa"/>
            </w:tcMar>
            <w:vAlign w:val="center"/>
            <w:hideMark/>
          </w:tcPr>
          <w:p w:rsidR="00CA682E" w:rsidRPr="00CA682E" w:rsidRDefault="00CA682E" w:rsidP="00CA682E">
            <w:pPr>
              <w:jc w:val="center"/>
              <w:rPr>
                <w:rFonts w:eastAsia="Times New Roman"/>
                <w:color w:val="000000" w:themeColor="text1"/>
                <w:sz w:val="16"/>
                <w:szCs w:val="16"/>
                <w:lang w:eastAsia="en-US"/>
              </w:rPr>
            </w:pP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A682E" w:rsidRPr="00CA682E" w:rsidRDefault="00CA682E" w:rsidP="00CA682E">
            <w:pPr>
              <w:jc w:val="center"/>
              <w:rPr>
                <w:rFonts w:eastAsia="Times New Roman"/>
                <w:color w:val="000000" w:themeColor="text1"/>
                <w:sz w:val="16"/>
                <w:szCs w:val="16"/>
                <w:lang w:eastAsia="en-US"/>
              </w:rPr>
            </w:pPr>
          </w:p>
        </w:tc>
        <w:tc>
          <w:tcPr>
            <w:tcW w:w="352"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A682E" w:rsidRPr="00CA682E" w:rsidRDefault="00CA682E" w:rsidP="00CA682E">
            <w:pPr>
              <w:jc w:val="center"/>
              <w:rPr>
                <w:rFonts w:eastAsia="Times New Roman"/>
                <w:color w:val="000000" w:themeColor="text1"/>
                <w:sz w:val="16"/>
                <w:szCs w:val="16"/>
                <w:lang w:eastAsia="en-US"/>
              </w:rPr>
            </w:pP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A682E" w:rsidRPr="00CA682E" w:rsidRDefault="00CA682E" w:rsidP="00CA682E">
            <w:pPr>
              <w:jc w:val="center"/>
              <w:rPr>
                <w:rFonts w:eastAsia="Times New Roman"/>
                <w:color w:val="000000" w:themeColor="text1"/>
                <w:sz w:val="16"/>
                <w:szCs w:val="16"/>
                <w:lang w:eastAsia="en-US"/>
              </w:rPr>
            </w:pPr>
          </w:p>
        </w:tc>
        <w:tc>
          <w:tcPr>
            <w:tcW w:w="384" w:type="dxa"/>
            <w:tcBorders>
              <w:top w:val="nil"/>
              <w:left w:val="nil"/>
              <w:bottom w:val="single" w:sz="4" w:space="0" w:color="auto"/>
              <w:right w:val="single" w:sz="8" w:space="0" w:color="auto"/>
            </w:tcBorders>
            <w:shd w:val="clear" w:color="auto" w:fill="auto"/>
            <w:noWrap/>
            <w:tcMar>
              <w:left w:w="0" w:type="dxa"/>
              <w:right w:w="0" w:type="dxa"/>
            </w:tcMar>
            <w:vAlign w:val="center"/>
            <w:hideMark/>
          </w:tcPr>
          <w:p w:rsidR="00CA682E" w:rsidRPr="00CA682E" w:rsidRDefault="00CA682E" w:rsidP="00CA682E">
            <w:pPr>
              <w:jc w:val="center"/>
              <w:rPr>
                <w:rFonts w:eastAsia="Times New Roman"/>
                <w:color w:val="000000" w:themeColor="text1"/>
                <w:sz w:val="16"/>
                <w:szCs w:val="16"/>
                <w:lang w:eastAsia="en-US"/>
              </w:rPr>
            </w:pPr>
          </w:p>
        </w:tc>
        <w:tc>
          <w:tcPr>
            <w:tcW w:w="385" w:type="dxa"/>
            <w:gridSpan w:val="2"/>
            <w:tcBorders>
              <w:top w:val="nil"/>
              <w:left w:val="nil"/>
              <w:bottom w:val="single" w:sz="4" w:space="0" w:color="auto"/>
              <w:right w:val="single" w:sz="4" w:space="0" w:color="auto"/>
            </w:tcBorders>
            <w:shd w:val="clear" w:color="auto" w:fill="auto"/>
            <w:noWrap/>
            <w:tcMar>
              <w:left w:w="0" w:type="dxa"/>
              <w:right w:w="0" w:type="dxa"/>
            </w:tcMar>
            <w:vAlign w:val="center"/>
            <w:hideMark/>
          </w:tcPr>
          <w:p w:rsidR="00CA682E" w:rsidRPr="00CA682E" w:rsidRDefault="00CA682E" w:rsidP="00CA682E">
            <w:pPr>
              <w:jc w:val="center"/>
              <w:rPr>
                <w:rFonts w:eastAsia="Times New Roman"/>
                <w:color w:val="000000" w:themeColor="text1"/>
                <w:sz w:val="16"/>
                <w:szCs w:val="16"/>
                <w:lang w:eastAsia="en-US"/>
              </w:rPr>
            </w:pP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tcPr>
          <w:p w:rsidR="00CA682E" w:rsidRPr="00CA682E" w:rsidRDefault="00CA682E" w:rsidP="00CA682E">
            <w:pPr>
              <w:jc w:val="center"/>
              <w:rPr>
                <w:rFonts w:eastAsia="Times New Roman"/>
                <w:color w:val="000000" w:themeColor="text1"/>
                <w:sz w:val="16"/>
                <w:szCs w:val="16"/>
                <w:lang w:eastAsia="en-US"/>
              </w:rPr>
            </w:pP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tcPr>
          <w:p w:rsidR="00CA682E" w:rsidRPr="00CA682E" w:rsidRDefault="00CA682E" w:rsidP="00CA682E">
            <w:pPr>
              <w:jc w:val="center"/>
              <w:rPr>
                <w:rFonts w:eastAsia="Times New Roman"/>
                <w:color w:val="000000" w:themeColor="text1"/>
                <w:sz w:val="16"/>
                <w:szCs w:val="16"/>
                <w:lang w:eastAsia="en-US"/>
              </w:rPr>
            </w:pPr>
          </w:p>
        </w:tc>
        <w:tc>
          <w:tcPr>
            <w:tcW w:w="385" w:type="dxa"/>
            <w:tcBorders>
              <w:top w:val="nil"/>
              <w:left w:val="nil"/>
              <w:bottom w:val="single" w:sz="4" w:space="0" w:color="auto"/>
              <w:right w:val="single" w:sz="8" w:space="0" w:color="auto"/>
            </w:tcBorders>
            <w:shd w:val="clear" w:color="auto" w:fill="auto"/>
            <w:noWrap/>
            <w:tcMar>
              <w:left w:w="0" w:type="dxa"/>
              <w:right w:w="0" w:type="dxa"/>
            </w:tcMar>
            <w:vAlign w:val="center"/>
          </w:tcPr>
          <w:p w:rsidR="00CA682E" w:rsidRPr="00CA682E" w:rsidRDefault="00CA682E" w:rsidP="00CA682E">
            <w:pPr>
              <w:jc w:val="center"/>
              <w:rPr>
                <w:rFonts w:eastAsia="Times New Roman"/>
                <w:color w:val="000000" w:themeColor="text1"/>
                <w:sz w:val="16"/>
                <w:szCs w:val="16"/>
                <w:lang w:eastAsia="en-US"/>
              </w:rPr>
            </w:pPr>
          </w:p>
        </w:tc>
        <w:tc>
          <w:tcPr>
            <w:tcW w:w="385" w:type="dxa"/>
            <w:gridSpan w:val="2"/>
            <w:tcBorders>
              <w:top w:val="nil"/>
              <w:left w:val="nil"/>
              <w:bottom w:val="single" w:sz="4" w:space="0" w:color="auto"/>
              <w:right w:val="single" w:sz="4" w:space="0" w:color="auto"/>
            </w:tcBorders>
            <w:shd w:val="clear" w:color="auto" w:fill="auto"/>
            <w:noWrap/>
            <w:tcMar>
              <w:left w:w="0" w:type="dxa"/>
              <w:right w:w="0" w:type="dxa"/>
            </w:tcMar>
            <w:vAlign w:val="center"/>
            <w:hideMark/>
          </w:tcPr>
          <w:p w:rsidR="00CA682E" w:rsidRPr="00CA682E" w:rsidRDefault="00CA682E" w:rsidP="00CA682E">
            <w:pPr>
              <w:jc w:val="center"/>
              <w:rPr>
                <w:rFonts w:eastAsia="Times New Roman"/>
                <w:color w:val="000000" w:themeColor="text1"/>
                <w:sz w:val="16"/>
                <w:szCs w:val="16"/>
                <w:lang w:eastAsia="en-US"/>
              </w:rPr>
            </w:pPr>
            <w:r w:rsidRPr="00CA682E">
              <w:rPr>
                <w:rFonts w:eastAsia="Times New Roman"/>
                <w:color w:val="000000" w:themeColor="text1"/>
                <w:sz w:val="16"/>
                <w:szCs w:val="16"/>
                <w:lang w:eastAsia="en-US"/>
              </w:rPr>
              <w:t>X</w:t>
            </w: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A682E" w:rsidRPr="00CA682E" w:rsidRDefault="00CA682E" w:rsidP="00CA682E">
            <w:pPr>
              <w:jc w:val="center"/>
              <w:rPr>
                <w:rFonts w:eastAsia="Times New Roman"/>
                <w:color w:val="000000" w:themeColor="text1"/>
                <w:sz w:val="16"/>
                <w:szCs w:val="16"/>
                <w:lang w:eastAsia="en-US"/>
              </w:rPr>
            </w:pPr>
            <w:r w:rsidRPr="00CA682E">
              <w:rPr>
                <w:rFonts w:eastAsia="Times New Roman"/>
                <w:color w:val="000000" w:themeColor="text1"/>
                <w:sz w:val="16"/>
                <w:szCs w:val="16"/>
                <w:lang w:eastAsia="en-US"/>
              </w:rPr>
              <w:t>X</w:t>
            </w:r>
          </w:p>
        </w:tc>
        <w:tc>
          <w:tcPr>
            <w:tcW w:w="38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CA682E" w:rsidRPr="00CA682E" w:rsidRDefault="00CA682E" w:rsidP="00CA682E">
            <w:pPr>
              <w:jc w:val="center"/>
              <w:rPr>
                <w:rFonts w:eastAsia="Times New Roman"/>
                <w:color w:val="000000" w:themeColor="text1"/>
                <w:sz w:val="16"/>
                <w:szCs w:val="16"/>
                <w:lang w:eastAsia="en-US"/>
              </w:rPr>
            </w:pPr>
            <w:r w:rsidRPr="00CA682E">
              <w:rPr>
                <w:rFonts w:eastAsia="Times New Roman"/>
                <w:color w:val="000000" w:themeColor="text1"/>
                <w:sz w:val="16"/>
                <w:szCs w:val="16"/>
                <w:lang w:eastAsia="en-US"/>
              </w:rPr>
              <w:t>X</w:t>
            </w:r>
          </w:p>
        </w:tc>
        <w:tc>
          <w:tcPr>
            <w:tcW w:w="385" w:type="dxa"/>
            <w:tcBorders>
              <w:top w:val="nil"/>
              <w:left w:val="nil"/>
              <w:bottom w:val="single" w:sz="4" w:space="0" w:color="auto"/>
              <w:right w:val="single" w:sz="8" w:space="0" w:color="auto"/>
            </w:tcBorders>
            <w:shd w:val="clear" w:color="auto" w:fill="auto"/>
            <w:noWrap/>
            <w:tcMar>
              <w:left w:w="0" w:type="dxa"/>
              <w:right w:w="0" w:type="dxa"/>
            </w:tcMar>
            <w:vAlign w:val="center"/>
            <w:hideMark/>
          </w:tcPr>
          <w:p w:rsidR="00CA682E" w:rsidRPr="00CA682E" w:rsidRDefault="00CA682E" w:rsidP="00CA682E">
            <w:pPr>
              <w:jc w:val="center"/>
              <w:rPr>
                <w:rFonts w:eastAsia="Times New Roman"/>
                <w:color w:val="000000" w:themeColor="text1"/>
                <w:sz w:val="16"/>
                <w:szCs w:val="16"/>
                <w:lang w:eastAsia="en-US"/>
              </w:rPr>
            </w:pPr>
          </w:p>
        </w:tc>
        <w:tc>
          <w:tcPr>
            <w:tcW w:w="347" w:type="dxa"/>
            <w:gridSpan w:val="2"/>
            <w:tcBorders>
              <w:top w:val="nil"/>
              <w:left w:val="nil"/>
              <w:bottom w:val="single" w:sz="4" w:space="0" w:color="auto"/>
              <w:right w:val="single" w:sz="8" w:space="0" w:color="auto"/>
            </w:tcBorders>
            <w:tcMar>
              <w:left w:w="0" w:type="dxa"/>
              <w:right w:w="0" w:type="dxa"/>
            </w:tcMar>
            <w:vAlign w:val="center"/>
          </w:tcPr>
          <w:p w:rsidR="00CA682E" w:rsidRPr="00CA682E" w:rsidRDefault="00CA682E" w:rsidP="00CA682E">
            <w:pPr>
              <w:jc w:val="center"/>
              <w:rPr>
                <w:rFonts w:eastAsia="Times New Roman"/>
                <w:color w:val="000000" w:themeColor="text1"/>
                <w:sz w:val="16"/>
                <w:szCs w:val="16"/>
                <w:lang w:eastAsia="en-US"/>
              </w:rPr>
            </w:pPr>
          </w:p>
        </w:tc>
        <w:tc>
          <w:tcPr>
            <w:tcW w:w="413" w:type="dxa"/>
            <w:tcBorders>
              <w:top w:val="nil"/>
              <w:left w:val="nil"/>
              <w:bottom w:val="single" w:sz="4" w:space="0" w:color="auto"/>
              <w:right w:val="single" w:sz="8" w:space="0" w:color="auto"/>
            </w:tcBorders>
            <w:tcMar>
              <w:left w:w="0" w:type="dxa"/>
              <w:right w:w="0" w:type="dxa"/>
            </w:tcMar>
            <w:vAlign w:val="center"/>
          </w:tcPr>
          <w:p w:rsidR="00CA682E" w:rsidRPr="00CA682E" w:rsidRDefault="00CA682E" w:rsidP="00CA682E">
            <w:pPr>
              <w:jc w:val="center"/>
              <w:rPr>
                <w:rFonts w:eastAsia="Times New Roman"/>
                <w:color w:val="000000" w:themeColor="text1"/>
                <w:sz w:val="16"/>
                <w:szCs w:val="16"/>
                <w:lang w:eastAsia="en-US"/>
              </w:rPr>
            </w:pPr>
          </w:p>
        </w:tc>
        <w:tc>
          <w:tcPr>
            <w:tcW w:w="350" w:type="dxa"/>
            <w:tcBorders>
              <w:top w:val="nil"/>
              <w:left w:val="nil"/>
              <w:bottom w:val="single" w:sz="4" w:space="0" w:color="auto"/>
              <w:right w:val="single" w:sz="8" w:space="0" w:color="auto"/>
            </w:tcBorders>
            <w:vAlign w:val="center"/>
          </w:tcPr>
          <w:p w:rsidR="00CA682E" w:rsidRPr="00CA682E" w:rsidRDefault="00CA682E" w:rsidP="00CA682E">
            <w:pPr>
              <w:jc w:val="center"/>
              <w:rPr>
                <w:rFonts w:eastAsia="Times New Roman"/>
                <w:color w:val="000000" w:themeColor="text1"/>
                <w:sz w:val="16"/>
                <w:szCs w:val="16"/>
                <w:lang w:eastAsia="en-US"/>
              </w:rPr>
            </w:pPr>
          </w:p>
        </w:tc>
        <w:tc>
          <w:tcPr>
            <w:tcW w:w="430" w:type="dxa"/>
            <w:tcBorders>
              <w:top w:val="nil"/>
              <w:left w:val="nil"/>
              <w:bottom w:val="single" w:sz="4" w:space="0" w:color="auto"/>
              <w:right w:val="single" w:sz="4" w:space="0" w:color="auto"/>
            </w:tcBorders>
            <w:vAlign w:val="center"/>
          </w:tcPr>
          <w:p w:rsidR="00CA682E" w:rsidRPr="00CA682E" w:rsidRDefault="00CA682E" w:rsidP="00CA682E">
            <w:pPr>
              <w:jc w:val="center"/>
              <w:rPr>
                <w:rFonts w:eastAsia="Times New Roman"/>
                <w:color w:val="000000" w:themeColor="text1"/>
                <w:sz w:val="16"/>
                <w:szCs w:val="16"/>
                <w:lang w:eastAsia="en-US"/>
              </w:rPr>
            </w:pPr>
          </w:p>
        </w:tc>
      </w:tr>
      <w:tr w:rsidR="00CA682E" w:rsidRPr="00CA682E" w:rsidTr="007B1DE4">
        <w:trPr>
          <w:trHeight w:val="296"/>
          <w:jc w:val="center"/>
        </w:trPr>
        <w:tc>
          <w:tcPr>
            <w:tcW w:w="1999" w:type="dxa"/>
            <w:tcBorders>
              <w:top w:val="single" w:sz="4" w:space="0" w:color="auto"/>
              <w:left w:val="single" w:sz="4" w:space="0" w:color="auto"/>
              <w:bottom w:val="single" w:sz="4" w:space="0" w:color="auto"/>
              <w:right w:val="single" w:sz="8" w:space="0" w:color="auto"/>
            </w:tcBorders>
            <w:shd w:val="clear" w:color="auto" w:fill="auto"/>
            <w:noWrap/>
            <w:vAlign w:val="center"/>
          </w:tcPr>
          <w:p w:rsidR="00CA682E" w:rsidRPr="00CA682E" w:rsidRDefault="00CA682E" w:rsidP="00CA682E">
            <w:pPr>
              <w:autoSpaceDE w:val="0"/>
              <w:autoSpaceDN w:val="0"/>
              <w:adjustRightInd w:val="0"/>
              <w:spacing w:before="40" w:after="40"/>
              <w:rPr>
                <w:rFonts w:eastAsia="Times New Roman"/>
                <w:b/>
                <w:bCs/>
                <w:color w:val="000000" w:themeColor="text1"/>
                <w:sz w:val="16"/>
                <w:szCs w:val="16"/>
                <w:lang w:eastAsia="en-US"/>
              </w:rPr>
            </w:pPr>
            <w:r w:rsidRPr="00CA682E">
              <w:rPr>
                <w:rFonts w:eastAsia="Times New Roman"/>
                <w:b/>
                <w:bCs/>
                <w:color w:val="000000" w:themeColor="text1"/>
                <w:sz w:val="16"/>
                <w:szCs w:val="16"/>
                <w:lang w:eastAsia="en-US"/>
              </w:rPr>
              <w:t>Obras</w:t>
            </w:r>
          </w:p>
        </w:tc>
        <w:tc>
          <w:tcPr>
            <w:tcW w:w="391"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CA682E" w:rsidRPr="00CA682E" w:rsidRDefault="00CA682E" w:rsidP="00CA682E">
            <w:pPr>
              <w:spacing w:before="240"/>
              <w:jc w:val="center"/>
              <w:rPr>
                <w:rFonts w:eastAsia="Times New Roman"/>
                <w:color w:val="000000" w:themeColor="text1"/>
                <w:sz w:val="16"/>
                <w:szCs w:val="16"/>
                <w:lang w:eastAsia="en-US"/>
              </w:rPr>
            </w:pPr>
          </w:p>
        </w:tc>
        <w:tc>
          <w:tcPr>
            <w:tcW w:w="384"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CA682E" w:rsidRPr="00CA682E" w:rsidRDefault="00CA682E" w:rsidP="00CA682E">
            <w:pPr>
              <w:spacing w:before="240"/>
              <w:jc w:val="center"/>
              <w:rPr>
                <w:rFonts w:eastAsia="Times New Roman"/>
                <w:color w:val="000000" w:themeColor="text1"/>
                <w:sz w:val="16"/>
                <w:szCs w:val="16"/>
                <w:lang w:eastAsia="en-US"/>
              </w:rPr>
            </w:pPr>
          </w:p>
        </w:tc>
        <w:tc>
          <w:tcPr>
            <w:tcW w:w="384"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CA682E" w:rsidRPr="00CA682E" w:rsidRDefault="00CA682E" w:rsidP="00CA682E">
            <w:pPr>
              <w:spacing w:before="240"/>
              <w:jc w:val="center"/>
              <w:rPr>
                <w:rFonts w:eastAsia="Times New Roman"/>
                <w:color w:val="000000" w:themeColor="text1"/>
                <w:sz w:val="16"/>
                <w:szCs w:val="16"/>
                <w:lang w:eastAsia="en-US"/>
              </w:rPr>
            </w:pPr>
          </w:p>
        </w:tc>
        <w:tc>
          <w:tcPr>
            <w:tcW w:w="384" w:type="dxa"/>
            <w:gridSpan w:val="2"/>
            <w:tcBorders>
              <w:top w:val="single" w:sz="4" w:space="0" w:color="auto"/>
              <w:left w:val="nil"/>
              <w:bottom w:val="single" w:sz="4" w:space="0" w:color="auto"/>
              <w:right w:val="single" w:sz="8" w:space="0" w:color="auto"/>
            </w:tcBorders>
            <w:shd w:val="clear" w:color="auto" w:fill="auto"/>
            <w:noWrap/>
            <w:tcMar>
              <w:left w:w="0" w:type="dxa"/>
              <w:right w:w="0" w:type="dxa"/>
            </w:tcMar>
            <w:vAlign w:val="center"/>
          </w:tcPr>
          <w:p w:rsidR="00CA682E" w:rsidRPr="00CA682E" w:rsidRDefault="00CA682E" w:rsidP="00CA682E">
            <w:pPr>
              <w:spacing w:before="240"/>
              <w:jc w:val="center"/>
              <w:rPr>
                <w:rFonts w:eastAsia="Times New Roman"/>
                <w:color w:val="000000" w:themeColor="text1"/>
                <w:sz w:val="16"/>
                <w:szCs w:val="16"/>
                <w:lang w:eastAsia="en-US"/>
              </w:rPr>
            </w:pPr>
          </w:p>
        </w:tc>
        <w:tc>
          <w:tcPr>
            <w:tcW w:w="384"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CA682E" w:rsidRPr="00CA682E" w:rsidRDefault="00CA682E" w:rsidP="00CA682E">
            <w:pPr>
              <w:spacing w:before="240"/>
              <w:jc w:val="center"/>
              <w:rPr>
                <w:rFonts w:eastAsia="Times New Roman"/>
                <w:color w:val="000000" w:themeColor="text1"/>
                <w:sz w:val="16"/>
                <w:szCs w:val="16"/>
                <w:lang w:eastAsia="en-US"/>
              </w:rPr>
            </w:pPr>
          </w:p>
        </w:tc>
        <w:tc>
          <w:tcPr>
            <w:tcW w:w="352"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CA682E" w:rsidRPr="00CA682E" w:rsidRDefault="00CA682E" w:rsidP="00CA682E">
            <w:pPr>
              <w:spacing w:before="240"/>
              <w:jc w:val="center"/>
              <w:rPr>
                <w:rFonts w:eastAsia="Times New Roman"/>
                <w:color w:val="000000" w:themeColor="text1"/>
                <w:sz w:val="16"/>
                <w:szCs w:val="16"/>
                <w:lang w:eastAsia="en-US"/>
              </w:rPr>
            </w:pPr>
          </w:p>
        </w:tc>
        <w:tc>
          <w:tcPr>
            <w:tcW w:w="384"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CA682E" w:rsidRPr="00CA682E" w:rsidRDefault="00CA682E" w:rsidP="00CA682E">
            <w:pPr>
              <w:spacing w:before="240"/>
              <w:jc w:val="center"/>
              <w:rPr>
                <w:rFonts w:eastAsia="Times New Roman"/>
                <w:color w:val="000000" w:themeColor="text1"/>
                <w:sz w:val="16"/>
                <w:szCs w:val="16"/>
                <w:lang w:eastAsia="en-US"/>
              </w:rPr>
            </w:pPr>
          </w:p>
        </w:tc>
        <w:tc>
          <w:tcPr>
            <w:tcW w:w="384" w:type="dxa"/>
            <w:tcBorders>
              <w:top w:val="single" w:sz="4" w:space="0" w:color="auto"/>
              <w:left w:val="nil"/>
              <w:bottom w:val="single" w:sz="4" w:space="0" w:color="auto"/>
              <w:right w:val="single" w:sz="8" w:space="0" w:color="auto"/>
            </w:tcBorders>
            <w:shd w:val="clear" w:color="auto" w:fill="auto"/>
            <w:noWrap/>
            <w:tcMar>
              <w:left w:w="0" w:type="dxa"/>
              <w:right w:w="0" w:type="dxa"/>
            </w:tcMar>
            <w:vAlign w:val="center"/>
          </w:tcPr>
          <w:p w:rsidR="00CA682E" w:rsidRPr="00CA682E" w:rsidRDefault="00CA682E" w:rsidP="00CA682E">
            <w:pPr>
              <w:spacing w:before="240"/>
              <w:jc w:val="center"/>
              <w:rPr>
                <w:rFonts w:eastAsia="Times New Roman"/>
                <w:color w:val="000000" w:themeColor="text1"/>
                <w:sz w:val="16"/>
                <w:szCs w:val="16"/>
                <w:lang w:eastAsia="en-US"/>
              </w:rPr>
            </w:pPr>
          </w:p>
        </w:tc>
        <w:tc>
          <w:tcPr>
            <w:tcW w:w="385" w:type="dxa"/>
            <w:gridSpan w:val="2"/>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CA682E" w:rsidRPr="00CA682E" w:rsidRDefault="00CA682E" w:rsidP="00CA682E">
            <w:pPr>
              <w:spacing w:before="240"/>
              <w:jc w:val="center"/>
              <w:rPr>
                <w:rFonts w:eastAsia="Times New Roman"/>
                <w:color w:val="000000" w:themeColor="text1"/>
                <w:sz w:val="16"/>
                <w:szCs w:val="16"/>
                <w:lang w:eastAsia="en-US"/>
              </w:rPr>
            </w:pPr>
          </w:p>
        </w:tc>
        <w:tc>
          <w:tcPr>
            <w:tcW w:w="385"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CA682E" w:rsidRPr="00CA682E" w:rsidRDefault="00CA682E" w:rsidP="00CA682E">
            <w:pPr>
              <w:spacing w:before="240"/>
              <w:jc w:val="center"/>
              <w:rPr>
                <w:rFonts w:eastAsia="Times New Roman"/>
                <w:color w:val="000000" w:themeColor="text1"/>
                <w:sz w:val="16"/>
                <w:szCs w:val="16"/>
                <w:lang w:eastAsia="en-US"/>
              </w:rPr>
            </w:pPr>
          </w:p>
        </w:tc>
        <w:tc>
          <w:tcPr>
            <w:tcW w:w="385"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CA682E" w:rsidRPr="00CA682E" w:rsidRDefault="00CA682E" w:rsidP="00CA682E">
            <w:pPr>
              <w:spacing w:before="240"/>
              <w:jc w:val="center"/>
              <w:rPr>
                <w:rFonts w:eastAsia="Times New Roman"/>
                <w:color w:val="000000" w:themeColor="text1"/>
                <w:sz w:val="16"/>
                <w:szCs w:val="16"/>
                <w:lang w:eastAsia="en-US"/>
              </w:rPr>
            </w:pPr>
          </w:p>
        </w:tc>
        <w:tc>
          <w:tcPr>
            <w:tcW w:w="385" w:type="dxa"/>
            <w:tcBorders>
              <w:top w:val="single" w:sz="4" w:space="0" w:color="auto"/>
              <w:left w:val="nil"/>
              <w:bottom w:val="single" w:sz="4" w:space="0" w:color="auto"/>
              <w:right w:val="single" w:sz="8" w:space="0" w:color="auto"/>
            </w:tcBorders>
            <w:shd w:val="clear" w:color="auto" w:fill="auto"/>
            <w:noWrap/>
            <w:tcMar>
              <w:left w:w="0" w:type="dxa"/>
              <w:right w:w="0" w:type="dxa"/>
            </w:tcMar>
            <w:vAlign w:val="center"/>
          </w:tcPr>
          <w:p w:rsidR="00CA682E" w:rsidRPr="00CA682E" w:rsidRDefault="00CA682E" w:rsidP="00CA682E">
            <w:pPr>
              <w:spacing w:before="240"/>
              <w:jc w:val="center"/>
              <w:rPr>
                <w:rFonts w:eastAsia="Times New Roman"/>
                <w:color w:val="000000" w:themeColor="text1"/>
                <w:sz w:val="16"/>
                <w:szCs w:val="16"/>
                <w:lang w:eastAsia="en-US"/>
              </w:rPr>
            </w:pPr>
          </w:p>
        </w:tc>
        <w:tc>
          <w:tcPr>
            <w:tcW w:w="385" w:type="dxa"/>
            <w:gridSpan w:val="2"/>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CA682E" w:rsidRPr="00CA682E" w:rsidRDefault="00CA682E" w:rsidP="00CA682E">
            <w:pPr>
              <w:spacing w:before="240"/>
              <w:jc w:val="center"/>
              <w:rPr>
                <w:rFonts w:eastAsia="Times New Roman"/>
                <w:color w:val="000000" w:themeColor="text1"/>
                <w:sz w:val="16"/>
                <w:szCs w:val="16"/>
                <w:lang w:eastAsia="en-US"/>
              </w:rPr>
            </w:pPr>
          </w:p>
        </w:tc>
        <w:tc>
          <w:tcPr>
            <w:tcW w:w="385"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CA682E" w:rsidRPr="00CA682E" w:rsidRDefault="00CA682E" w:rsidP="00CA682E">
            <w:pPr>
              <w:spacing w:before="240"/>
              <w:jc w:val="center"/>
              <w:rPr>
                <w:rFonts w:eastAsia="Times New Roman"/>
                <w:color w:val="000000" w:themeColor="text1"/>
                <w:sz w:val="16"/>
                <w:szCs w:val="16"/>
                <w:lang w:eastAsia="en-US"/>
              </w:rPr>
            </w:pPr>
          </w:p>
        </w:tc>
        <w:tc>
          <w:tcPr>
            <w:tcW w:w="385"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CA682E" w:rsidRPr="00CA682E" w:rsidRDefault="00CA682E" w:rsidP="00CA682E">
            <w:pPr>
              <w:spacing w:before="240"/>
              <w:jc w:val="center"/>
              <w:rPr>
                <w:rFonts w:eastAsia="Times New Roman"/>
                <w:color w:val="000000" w:themeColor="text1"/>
                <w:sz w:val="16"/>
                <w:szCs w:val="16"/>
                <w:lang w:eastAsia="en-US"/>
              </w:rPr>
            </w:pPr>
            <w:r w:rsidRPr="00CA682E">
              <w:rPr>
                <w:rFonts w:eastAsia="Times New Roman"/>
                <w:color w:val="000000" w:themeColor="text1"/>
                <w:sz w:val="16"/>
                <w:szCs w:val="16"/>
                <w:lang w:eastAsia="en-US"/>
              </w:rPr>
              <w:t>X</w:t>
            </w:r>
          </w:p>
        </w:tc>
        <w:tc>
          <w:tcPr>
            <w:tcW w:w="385" w:type="dxa"/>
            <w:tcBorders>
              <w:top w:val="single" w:sz="4" w:space="0" w:color="auto"/>
              <w:left w:val="nil"/>
              <w:bottom w:val="single" w:sz="4" w:space="0" w:color="auto"/>
              <w:right w:val="single" w:sz="8" w:space="0" w:color="auto"/>
            </w:tcBorders>
            <w:shd w:val="clear" w:color="auto" w:fill="auto"/>
            <w:noWrap/>
            <w:tcMar>
              <w:left w:w="0" w:type="dxa"/>
              <w:right w:w="0" w:type="dxa"/>
            </w:tcMar>
            <w:vAlign w:val="center"/>
          </w:tcPr>
          <w:p w:rsidR="00CA682E" w:rsidRPr="00CA682E" w:rsidRDefault="00CA682E" w:rsidP="00CA682E">
            <w:pPr>
              <w:spacing w:before="240"/>
              <w:jc w:val="center"/>
              <w:rPr>
                <w:rFonts w:eastAsia="Times New Roman"/>
                <w:color w:val="000000" w:themeColor="text1"/>
                <w:sz w:val="16"/>
                <w:szCs w:val="16"/>
                <w:lang w:eastAsia="en-US"/>
              </w:rPr>
            </w:pPr>
            <w:r w:rsidRPr="00CA682E">
              <w:rPr>
                <w:rFonts w:eastAsia="Times New Roman"/>
                <w:color w:val="000000" w:themeColor="text1"/>
                <w:sz w:val="16"/>
                <w:szCs w:val="16"/>
                <w:lang w:eastAsia="en-US"/>
              </w:rPr>
              <w:t>X</w:t>
            </w:r>
          </w:p>
        </w:tc>
        <w:tc>
          <w:tcPr>
            <w:tcW w:w="347" w:type="dxa"/>
            <w:gridSpan w:val="2"/>
            <w:tcBorders>
              <w:top w:val="single" w:sz="4" w:space="0" w:color="auto"/>
              <w:left w:val="nil"/>
              <w:bottom w:val="single" w:sz="4" w:space="0" w:color="auto"/>
              <w:right w:val="single" w:sz="8" w:space="0" w:color="auto"/>
            </w:tcBorders>
            <w:tcMar>
              <w:left w:w="0" w:type="dxa"/>
              <w:right w:w="0" w:type="dxa"/>
            </w:tcMar>
            <w:vAlign w:val="center"/>
          </w:tcPr>
          <w:p w:rsidR="00CA682E" w:rsidRPr="00CA682E" w:rsidRDefault="00CA682E" w:rsidP="00CA682E">
            <w:pPr>
              <w:spacing w:before="240"/>
              <w:jc w:val="center"/>
              <w:rPr>
                <w:rFonts w:eastAsia="Times New Roman"/>
                <w:color w:val="000000" w:themeColor="text1"/>
                <w:sz w:val="16"/>
                <w:szCs w:val="16"/>
                <w:lang w:eastAsia="en-US"/>
              </w:rPr>
            </w:pPr>
            <w:r w:rsidRPr="00CA682E">
              <w:rPr>
                <w:rFonts w:eastAsia="Times New Roman"/>
                <w:color w:val="000000" w:themeColor="text1"/>
                <w:sz w:val="16"/>
                <w:szCs w:val="16"/>
                <w:lang w:eastAsia="en-US"/>
              </w:rPr>
              <w:t>X</w:t>
            </w:r>
          </w:p>
        </w:tc>
        <w:tc>
          <w:tcPr>
            <w:tcW w:w="413" w:type="dxa"/>
            <w:tcBorders>
              <w:top w:val="single" w:sz="4" w:space="0" w:color="auto"/>
              <w:left w:val="nil"/>
              <w:bottom w:val="single" w:sz="4" w:space="0" w:color="auto"/>
              <w:right w:val="single" w:sz="8" w:space="0" w:color="auto"/>
            </w:tcBorders>
            <w:tcMar>
              <w:left w:w="0" w:type="dxa"/>
              <w:right w:w="0" w:type="dxa"/>
            </w:tcMar>
            <w:vAlign w:val="center"/>
          </w:tcPr>
          <w:p w:rsidR="00CA682E" w:rsidRPr="00CA682E" w:rsidRDefault="00CA682E" w:rsidP="00CA682E">
            <w:pPr>
              <w:spacing w:before="240"/>
              <w:jc w:val="center"/>
              <w:rPr>
                <w:rFonts w:eastAsia="Times New Roman"/>
                <w:color w:val="000000" w:themeColor="text1"/>
                <w:sz w:val="16"/>
                <w:szCs w:val="16"/>
                <w:lang w:eastAsia="en-US"/>
              </w:rPr>
            </w:pPr>
            <w:r w:rsidRPr="00CA682E">
              <w:rPr>
                <w:rFonts w:eastAsia="Times New Roman"/>
                <w:color w:val="000000" w:themeColor="text1"/>
                <w:sz w:val="16"/>
                <w:szCs w:val="16"/>
                <w:lang w:eastAsia="en-US"/>
              </w:rPr>
              <w:t>X</w:t>
            </w:r>
          </w:p>
        </w:tc>
        <w:tc>
          <w:tcPr>
            <w:tcW w:w="350" w:type="dxa"/>
            <w:tcBorders>
              <w:top w:val="single" w:sz="4" w:space="0" w:color="auto"/>
              <w:left w:val="nil"/>
              <w:bottom w:val="single" w:sz="4" w:space="0" w:color="auto"/>
              <w:right w:val="single" w:sz="8" w:space="0" w:color="auto"/>
            </w:tcBorders>
            <w:vAlign w:val="center"/>
          </w:tcPr>
          <w:p w:rsidR="00CA682E" w:rsidRPr="00CA682E" w:rsidRDefault="00CA682E" w:rsidP="00CA682E">
            <w:pPr>
              <w:spacing w:before="240"/>
              <w:jc w:val="center"/>
              <w:rPr>
                <w:rFonts w:eastAsia="Times New Roman"/>
                <w:color w:val="000000" w:themeColor="text1"/>
                <w:sz w:val="16"/>
                <w:szCs w:val="16"/>
                <w:lang w:eastAsia="en-US"/>
              </w:rPr>
            </w:pPr>
          </w:p>
        </w:tc>
        <w:tc>
          <w:tcPr>
            <w:tcW w:w="430" w:type="dxa"/>
            <w:tcBorders>
              <w:top w:val="single" w:sz="4" w:space="0" w:color="auto"/>
              <w:left w:val="nil"/>
              <w:bottom w:val="single" w:sz="4" w:space="0" w:color="auto"/>
              <w:right w:val="single" w:sz="4" w:space="0" w:color="auto"/>
            </w:tcBorders>
            <w:vAlign w:val="center"/>
          </w:tcPr>
          <w:p w:rsidR="00CA682E" w:rsidRPr="00CA682E" w:rsidRDefault="00CA682E" w:rsidP="00CA682E">
            <w:pPr>
              <w:spacing w:before="240"/>
              <w:jc w:val="center"/>
              <w:rPr>
                <w:rFonts w:eastAsia="Times New Roman"/>
                <w:color w:val="000000" w:themeColor="text1"/>
                <w:sz w:val="16"/>
                <w:szCs w:val="16"/>
                <w:lang w:eastAsia="en-US"/>
              </w:rPr>
            </w:pPr>
          </w:p>
        </w:tc>
      </w:tr>
      <w:tr w:rsidR="00CA682E" w:rsidRPr="00CA682E" w:rsidTr="007B1DE4">
        <w:trPr>
          <w:trHeight w:val="305"/>
          <w:jc w:val="center"/>
        </w:trPr>
        <w:tc>
          <w:tcPr>
            <w:tcW w:w="1999" w:type="dxa"/>
            <w:tcBorders>
              <w:top w:val="single" w:sz="4" w:space="0" w:color="auto"/>
              <w:left w:val="single" w:sz="4" w:space="0" w:color="auto"/>
              <w:bottom w:val="single" w:sz="4" w:space="0" w:color="auto"/>
              <w:right w:val="single" w:sz="8" w:space="0" w:color="auto"/>
            </w:tcBorders>
            <w:shd w:val="clear" w:color="auto" w:fill="auto"/>
            <w:noWrap/>
            <w:vAlign w:val="center"/>
          </w:tcPr>
          <w:p w:rsidR="00CA682E" w:rsidRPr="00CA682E" w:rsidRDefault="00CA682E" w:rsidP="00CA682E">
            <w:pPr>
              <w:autoSpaceDE w:val="0"/>
              <w:autoSpaceDN w:val="0"/>
              <w:adjustRightInd w:val="0"/>
              <w:spacing w:before="40" w:after="40"/>
              <w:rPr>
                <w:rFonts w:eastAsia="Times New Roman"/>
                <w:b/>
                <w:bCs/>
                <w:color w:val="000000" w:themeColor="text1"/>
                <w:sz w:val="16"/>
                <w:szCs w:val="16"/>
                <w:lang w:eastAsia="en-US"/>
              </w:rPr>
            </w:pPr>
            <w:r w:rsidRPr="00CA682E">
              <w:rPr>
                <w:rFonts w:eastAsia="Times New Roman"/>
                <w:b/>
                <w:bCs/>
                <w:color w:val="000000" w:themeColor="text1"/>
                <w:sz w:val="16"/>
                <w:szCs w:val="16"/>
                <w:lang w:eastAsia="en-US"/>
              </w:rPr>
              <w:t>Puesta en servicio</w:t>
            </w:r>
          </w:p>
        </w:tc>
        <w:tc>
          <w:tcPr>
            <w:tcW w:w="391"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CA682E" w:rsidRPr="00CA682E" w:rsidRDefault="00CA682E" w:rsidP="00CA682E">
            <w:pPr>
              <w:spacing w:before="240"/>
              <w:jc w:val="center"/>
              <w:rPr>
                <w:rFonts w:eastAsia="Times New Roman"/>
                <w:color w:val="000000" w:themeColor="text1"/>
                <w:sz w:val="16"/>
                <w:szCs w:val="16"/>
                <w:lang w:eastAsia="en-US"/>
              </w:rPr>
            </w:pPr>
          </w:p>
        </w:tc>
        <w:tc>
          <w:tcPr>
            <w:tcW w:w="384"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CA682E" w:rsidRPr="00CA682E" w:rsidRDefault="00CA682E" w:rsidP="00CA682E">
            <w:pPr>
              <w:spacing w:before="240"/>
              <w:jc w:val="center"/>
              <w:rPr>
                <w:rFonts w:eastAsia="Times New Roman"/>
                <w:color w:val="000000" w:themeColor="text1"/>
                <w:sz w:val="16"/>
                <w:szCs w:val="16"/>
                <w:lang w:eastAsia="en-US"/>
              </w:rPr>
            </w:pPr>
          </w:p>
        </w:tc>
        <w:tc>
          <w:tcPr>
            <w:tcW w:w="384"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CA682E" w:rsidRPr="00CA682E" w:rsidRDefault="00CA682E" w:rsidP="00CA682E">
            <w:pPr>
              <w:spacing w:before="240"/>
              <w:jc w:val="center"/>
              <w:rPr>
                <w:rFonts w:eastAsia="Times New Roman"/>
                <w:color w:val="000000" w:themeColor="text1"/>
                <w:sz w:val="16"/>
                <w:szCs w:val="16"/>
                <w:lang w:eastAsia="en-US"/>
              </w:rPr>
            </w:pPr>
          </w:p>
        </w:tc>
        <w:tc>
          <w:tcPr>
            <w:tcW w:w="384" w:type="dxa"/>
            <w:gridSpan w:val="2"/>
            <w:tcBorders>
              <w:top w:val="single" w:sz="4" w:space="0" w:color="auto"/>
              <w:left w:val="nil"/>
              <w:bottom w:val="single" w:sz="4" w:space="0" w:color="auto"/>
              <w:right w:val="single" w:sz="8" w:space="0" w:color="auto"/>
            </w:tcBorders>
            <w:shd w:val="clear" w:color="auto" w:fill="auto"/>
            <w:noWrap/>
            <w:tcMar>
              <w:left w:w="0" w:type="dxa"/>
              <w:right w:w="0" w:type="dxa"/>
            </w:tcMar>
            <w:vAlign w:val="center"/>
          </w:tcPr>
          <w:p w:rsidR="00CA682E" w:rsidRPr="00CA682E" w:rsidRDefault="00CA682E" w:rsidP="00CA682E">
            <w:pPr>
              <w:spacing w:before="240"/>
              <w:jc w:val="center"/>
              <w:rPr>
                <w:rFonts w:eastAsia="Times New Roman"/>
                <w:color w:val="000000" w:themeColor="text1"/>
                <w:sz w:val="16"/>
                <w:szCs w:val="16"/>
                <w:lang w:eastAsia="en-US"/>
              </w:rPr>
            </w:pPr>
          </w:p>
        </w:tc>
        <w:tc>
          <w:tcPr>
            <w:tcW w:w="384"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CA682E" w:rsidRPr="00CA682E" w:rsidRDefault="00CA682E" w:rsidP="00CA682E">
            <w:pPr>
              <w:spacing w:before="240"/>
              <w:jc w:val="center"/>
              <w:rPr>
                <w:rFonts w:eastAsia="Times New Roman"/>
                <w:color w:val="000000" w:themeColor="text1"/>
                <w:sz w:val="16"/>
                <w:szCs w:val="16"/>
                <w:lang w:eastAsia="en-US"/>
              </w:rPr>
            </w:pPr>
          </w:p>
        </w:tc>
        <w:tc>
          <w:tcPr>
            <w:tcW w:w="352"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CA682E" w:rsidRPr="00CA682E" w:rsidRDefault="00CA682E" w:rsidP="00CA682E">
            <w:pPr>
              <w:spacing w:before="240"/>
              <w:jc w:val="center"/>
              <w:rPr>
                <w:rFonts w:eastAsia="Times New Roman"/>
                <w:color w:val="000000" w:themeColor="text1"/>
                <w:sz w:val="16"/>
                <w:szCs w:val="16"/>
                <w:lang w:eastAsia="en-US"/>
              </w:rPr>
            </w:pPr>
          </w:p>
        </w:tc>
        <w:tc>
          <w:tcPr>
            <w:tcW w:w="384"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CA682E" w:rsidRPr="00CA682E" w:rsidRDefault="00CA682E" w:rsidP="00CA682E">
            <w:pPr>
              <w:spacing w:before="240"/>
              <w:jc w:val="center"/>
              <w:rPr>
                <w:rFonts w:eastAsia="Times New Roman"/>
                <w:color w:val="000000" w:themeColor="text1"/>
                <w:sz w:val="16"/>
                <w:szCs w:val="16"/>
                <w:lang w:eastAsia="en-US"/>
              </w:rPr>
            </w:pPr>
          </w:p>
        </w:tc>
        <w:tc>
          <w:tcPr>
            <w:tcW w:w="384" w:type="dxa"/>
            <w:tcBorders>
              <w:top w:val="single" w:sz="4" w:space="0" w:color="auto"/>
              <w:left w:val="nil"/>
              <w:bottom w:val="single" w:sz="4" w:space="0" w:color="auto"/>
              <w:right w:val="single" w:sz="8" w:space="0" w:color="auto"/>
            </w:tcBorders>
            <w:shd w:val="clear" w:color="auto" w:fill="auto"/>
            <w:noWrap/>
            <w:tcMar>
              <w:left w:w="0" w:type="dxa"/>
              <w:right w:w="0" w:type="dxa"/>
            </w:tcMar>
            <w:vAlign w:val="center"/>
          </w:tcPr>
          <w:p w:rsidR="00CA682E" w:rsidRPr="00CA682E" w:rsidRDefault="00CA682E" w:rsidP="00CA682E">
            <w:pPr>
              <w:spacing w:before="240"/>
              <w:jc w:val="center"/>
              <w:rPr>
                <w:rFonts w:eastAsia="Times New Roman"/>
                <w:color w:val="000000" w:themeColor="text1"/>
                <w:sz w:val="16"/>
                <w:szCs w:val="16"/>
                <w:lang w:eastAsia="en-US"/>
              </w:rPr>
            </w:pPr>
          </w:p>
        </w:tc>
        <w:tc>
          <w:tcPr>
            <w:tcW w:w="385" w:type="dxa"/>
            <w:gridSpan w:val="2"/>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CA682E" w:rsidRPr="00CA682E" w:rsidRDefault="00CA682E" w:rsidP="00CA682E">
            <w:pPr>
              <w:spacing w:before="240"/>
              <w:jc w:val="center"/>
              <w:rPr>
                <w:rFonts w:eastAsia="Times New Roman"/>
                <w:color w:val="000000" w:themeColor="text1"/>
                <w:sz w:val="16"/>
                <w:szCs w:val="16"/>
                <w:lang w:eastAsia="en-US"/>
              </w:rPr>
            </w:pPr>
          </w:p>
        </w:tc>
        <w:tc>
          <w:tcPr>
            <w:tcW w:w="385"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CA682E" w:rsidRPr="00CA682E" w:rsidRDefault="00CA682E" w:rsidP="00CA682E">
            <w:pPr>
              <w:spacing w:before="240"/>
              <w:jc w:val="center"/>
              <w:rPr>
                <w:rFonts w:eastAsia="Times New Roman"/>
                <w:color w:val="000000" w:themeColor="text1"/>
                <w:sz w:val="16"/>
                <w:szCs w:val="16"/>
                <w:lang w:eastAsia="en-US"/>
              </w:rPr>
            </w:pPr>
          </w:p>
        </w:tc>
        <w:tc>
          <w:tcPr>
            <w:tcW w:w="385"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CA682E" w:rsidRPr="00CA682E" w:rsidRDefault="00CA682E" w:rsidP="00CA682E">
            <w:pPr>
              <w:spacing w:before="240"/>
              <w:jc w:val="center"/>
              <w:rPr>
                <w:rFonts w:eastAsia="Times New Roman"/>
                <w:color w:val="000000" w:themeColor="text1"/>
                <w:sz w:val="16"/>
                <w:szCs w:val="16"/>
                <w:lang w:eastAsia="en-US"/>
              </w:rPr>
            </w:pPr>
          </w:p>
        </w:tc>
        <w:tc>
          <w:tcPr>
            <w:tcW w:w="385" w:type="dxa"/>
            <w:tcBorders>
              <w:top w:val="single" w:sz="4" w:space="0" w:color="auto"/>
              <w:left w:val="nil"/>
              <w:bottom w:val="single" w:sz="4" w:space="0" w:color="auto"/>
              <w:right w:val="single" w:sz="8" w:space="0" w:color="auto"/>
            </w:tcBorders>
            <w:shd w:val="clear" w:color="auto" w:fill="auto"/>
            <w:noWrap/>
            <w:tcMar>
              <w:left w:w="0" w:type="dxa"/>
              <w:right w:w="0" w:type="dxa"/>
            </w:tcMar>
            <w:vAlign w:val="center"/>
          </w:tcPr>
          <w:p w:rsidR="00CA682E" w:rsidRPr="00CA682E" w:rsidRDefault="00CA682E" w:rsidP="00CA682E">
            <w:pPr>
              <w:spacing w:before="240"/>
              <w:jc w:val="center"/>
              <w:rPr>
                <w:rFonts w:eastAsia="Times New Roman"/>
                <w:color w:val="000000" w:themeColor="text1"/>
                <w:sz w:val="16"/>
                <w:szCs w:val="16"/>
                <w:lang w:eastAsia="en-US"/>
              </w:rPr>
            </w:pPr>
          </w:p>
        </w:tc>
        <w:tc>
          <w:tcPr>
            <w:tcW w:w="385" w:type="dxa"/>
            <w:gridSpan w:val="2"/>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CA682E" w:rsidRPr="00CA682E" w:rsidRDefault="00CA682E" w:rsidP="00CA682E">
            <w:pPr>
              <w:spacing w:before="240"/>
              <w:jc w:val="center"/>
              <w:rPr>
                <w:rFonts w:eastAsia="Times New Roman"/>
                <w:color w:val="000000" w:themeColor="text1"/>
                <w:sz w:val="16"/>
                <w:szCs w:val="16"/>
                <w:lang w:eastAsia="en-US"/>
              </w:rPr>
            </w:pPr>
          </w:p>
        </w:tc>
        <w:tc>
          <w:tcPr>
            <w:tcW w:w="385"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CA682E" w:rsidRPr="00CA682E" w:rsidRDefault="00CA682E" w:rsidP="00CA682E">
            <w:pPr>
              <w:spacing w:before="240"/>
              <w:jc w:val="center"/>
              <w:rPr>
                <w:rFonts w:eastAsia="Times New Roman"/>
                <w:color w:val="000000" w:themeColor="text1"/>
                <w:sz w:val="16"/>
                <w:szCs w:val="16"/>
                <w:lang w:eastAsia="en-US"/>
              </w:rPr>
            </w:pPr>
          </w:p>
        </w:tc>
        <w:tc>
          <w:tcPr>
            <w:tcW w:w="385"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CA682E" w:rsidRPr="00CA682E" w:rsidRDefault="00CA682E" w:rsidP="00CA682E">
            <w:pPr>
              <w:spacing w:before="240"/>
              <w:jc w:val="center"/>
              <w:rPr>
                <w:rFonts w:eastAsia="Times New Roman"/>
                <w:color w:val="000000" w:themeColor="text1"/>
                <w:sz w:val="16"/>
                <w:szCs w:val="16"/>
                <w:lang w:eastAsia="en-US"/>
              </w:rPr>
            </w:pPr>
          </w:p>
        </w:tc>
        <w:tc>
          <w:tcPr>
            <w:tcW w:w="385" w:type="dxa"/>
            <w:tcBorders>
              <w:top w:val="single" w:sz="4" w:space="0" w:color="auto"/>
              <w:left w:val="nil"/>
              <w:bottom w:val="single" w:sz="4" w:space="0" w:color="auto"/>
              <w:right w:val="single" w:sz="8" w:space="0" w:color="auto"/>
            </w:tcBorders>
            <w:shd w:val="clear" w:color="auto" w:fill="auto"/>
            <w:noWrap/>
            <w:tcMar>
              <w:left w:w="0" w:type="dxa"/>
              <w:right w:w="0" w:type="dxa"/>
            </w:tcMar>
            <w:vAlign w:val="center"/>
          </w:tcPr>
          <w:p w:rsidR="00CA682E" w:rsidRPr="00CA682E" w:rsidRDefault="00CA682E" w:rsidP="00CA682E">
            <w:pPr>
              <w:spacing w:before="240"/>
              <w:jc w:val="center"/>
              <w:rPr>
                <w:rFonts w:eastAsia="Times New Roman"/>
                <w:color w:val="000000" w:themeColor="text1"/>
                <w:sz w:val="16"/>
                <w:szCs w:val="16"/>
                <w:lang w:eastAsia="en-US"/>
              </w:rPr>
            </w:pPr>
          </w:p>
        </w:tc>
        <w:tc>
          <w:tcPr>
            <w:tcW w:w="347" w:type="dxa"/>
            <w:gridSpan w:val="2"/>
            <w:tcBorders>
              <w:top w:val="single" w:sz="4" w:space="0" w:color="auto"/>
              <w:left w:val="nil"/>
              <w:bottom w:val="single" w:sz="4" w:space="0" w:color="auto"/>
              <w:right w:val="single" w:sz="8" w:space="0" w:color="auto"/>
            </w:tcBorders>
            <w:shd w:val="clear" w:color="auto" w:fill="auto"/>
            <w:tcMar>
              <w:left w:w="0" w:type="dxa"/>
              <w:right w:w="0" w:type="dxa"/>
            </w:tcMar>
            <w:vAlign w:val="center"/>
          </w:tcPr>
          <w:p w:rsidR="00CA682E" w:rsidRPr="00CA682E" w:rsidRDefault="00CA682E" w:rsidP="00CA682E">
            <w:pPr>
              <w:spacing w:before="240"/>
              <w:jc w:val="center"/>
              <w:rPr>
                <w:rFonts w:eastAsia="Times New Roman"/>
                <w:color w:val="000000" w:themeColor="text1"/>
                <w:sz w:val="16"/>
                <w:szCs w:val="16"/>
                <w:lang w:eastAsia="en-US"/>
              </w:rPr>
            </w:pPr>
          </w:p>
        </w:tc>
        <w:tc>
          <w:tcPr>
            <w:tcW w:w="413" w:type="dxa"/>
            <w:tcBorders>
              <w:top w:val="single" w:sz="4" w:space="0" w:color="auto"/>
              <w:left w:val="nil"/>
              <w:bottom w:val="single" w:sz="4" w:space="0" w:color="auto"/>
              <w:right w:val="single" w:sz="8" w:space="0" w:color="auto"/>
            </w:tcBorders>
            <w:shd w:val="clear" w:color="auto" w:fill="auto"/>
            <w:tcMar>
              <w:left w:w="0" w:type="dxa"/>
              <w:right w:w="0" w:type="dxa"/>
            </w:tcMar>
            <w:vAlign w:val="center"/>
          </w:tcPr>
          <w:p w:rsidR="00CA682E" w:rsidRPr="00CA682E" w:rsidRDefault="00CA682E" w:rsidP="00CA682E">
            <w:pPr>
              <w:spacing w:before="240"/>
              <w:jc w:val="center"/>
              <w:rPr>
                <w:rFonts w:eastAsia="Times New Roman"/>
                <w:color w:val="000000" w:themeColor="text1"/>
                <w:sz w:val="16"/>
                <w:szCs w:val="16"/>
                <w:lang w:eastAsia="en-US"/>
              </w:rPr>
            </w:pPr>
          </w:p>
        </w:tc>
        <w:tc>
          <w:tcPr>
            <w:tcW w:w="350" w:type="dxa"/>
            <w:tcBorders>
              <w:top w:val="single" w:sz="4" w:space="0" w:color="auto"/>
              <w:left w:val="nil"/>
              <w:bottom w:val="single" w:sz="4" w:space="0" w:color="auto"/>
              <w:right w:val="single" w:sz="8" w:space="0" w:color="auto"/>
            </w:tcBorders>
            <w:vAlign w:val="center"/>
          </w:tcPr>
          <w:p w:rsidR="00CA682E" w:rsidRPr="00CA682E" w:rsidRDefault="00CA682E" w:rsidP="00CA682E">
            <w:pPr>
              <w:spacing w:before="240"/>
              <w:jc w:val="center"/>
              <w:rPr>
                <w:rFonts w:eastAsia="Times New Roman"/>
                <w:color w:val="000000" w:themeColor="text1"/>
                <w:sz w:val="16"/>
                <w:szCs w:val="16"/>
                <w:lang w:eastAsia="en-US"/>
              </w:rPr>
            </w:pPr>
            <w:r w:rsidRPr="00CA682E">
              <w:rPr>
                <w:rFonts w:eastAsia="Times New Roman"/>
                <w:color w:val="000000" w:themeColor="text1"/>
                <w:sz w:val="16"/>
                <w:szCs w:val="16"/>
                <w:lang w:eastAsia="en-US"/>
              </w:rPr>
              <w:t>X</w:t>
            </w:r>
          </w:p>
        </w:tc>
        <w:tc>
          <w:tcPr>
            <w:tcW w:w="430" w:type="dxa"/>
            <w:tcBorders>
              <w:top w:val="single" w:sz="4" w:space="0" w:color="auto"/>
              <w:left w:val="nil"/>
              <w:bottom w:val="single" w:sz="4" w:space="0" w:color="auto"/>
              <w:right w:val="single" w:sz="4" w:space="0" w:color="auto"/>
            </w:tcBorders>
            <w:vAlign w:val="center"/>
          </w:tcPr>
          <w:p w:rsidR="00CA682E" w:rsidRPr="00CA682E" w:rsidRDefault="00CA682E" w:rsidP="00CA682E">
            <w:pPr>
              <w:spacing w:before="240"/>
              <w:jc w:val="center"/>
              <w:rPr>
                <w:rFonts w:eastAsia="Times New Roman"/>
                <w:color w:val="000000" w:themeColor="text1"/>
                <w:sz w:val="16"/>
                <w:szCs w:val="16"/>
                <w:lang w:eastAsia="en-US"/>
              </w:rPr>
            </w:pPr>
            <w:r w:rsidRPr="00CA682E">
              <w:rPr>
                <w:rFonts w:eastAsia="Times New Roman"/>
                <w:color w:val="000000" w:themeColor="text1"/>
                <w:sz w:val="16"/>
                <w:szCs w:val="16"/>
                <w:lang w:eastAsia="en-US"/>
              </w:rPr>
              <w:t>X</w:t>
            </w:r>
          </w:p>
        </w:tc>
      </w:tr>
    </w:tbl>
    <w:p w:rsidR="00CA682E" w:rsidRPr="00CA682E" w:rsidRDefault="00CA682E" w:rsidP="00CA682E">
      <w:pPr>
        <w:rPr>
          <w:rFonts w:eastAsia="Times New Roman" w:cs="Times New Roman"/>
          <w:b/>
          <w:color w:val="000000" w:themeColor="text1"/>
          <w:szCs w:val="24"/>
          <w:lang w:eastAsia="en-US"/>
        </w:rPr>
      </w:pPr>
    </w:p>
    <w:p w:rsidR="00CA682E" w:rsidRPr="00CA682E" w:rsidRDefault="00CA682E" w:rsidP="00CA682E">
      <w:pPr>
        <w:spacing w:after="200" w:line="276" w:lineRule="auto"/>
        <w:rPr>
          <w:rFonts w:eastAsia="Times New Roman" w:cs="Times New Roman"/>
          <w:b/>
          <w:color w:val="000000" w:themeColor="text1"/>
          <w:szCs w:val="24"/>
          <w:lang w:eastAsia="en-US"/>
        </w:rPr>
      </w:pPr>
      <w:r w:rsidRPr="00CA682E">
        <w:rPr>
          <w:rFonts w:eastAsia="Times New Roman" w:cs="Times New Roman"/>
          <w:b/>
          <w:color w:val="000000" w:themeColor="text1"/>
          <w:szCs w:val="24"/>
          <w:lang w:eastAsia="en-US"/>
        </w:rPr>
        <w:br w:type="page"/>
      </w:r>
    </w:p>
    <w:p w:rsidR="00CA682E" w:rsidRPr="00CA682E" w:rsidRDefault="00CA682E" w:rsidP="00CA682E">
      <w:pPr>
        <w:rPr>
          <w:rFonts w:eastAsia="Times New Roman" w:cs="Times New Roman"/>
          <w:b/>
          <w:color w:val="000000" w:themeColor="text1"/>
          <w:szCs w:val="24"/>
          <w:lang w:eastAsia="en-US"/>
        </w:rPr>
      </w:pPr>
      <w:r w:rsidRPr="00CA682E">
        <w:rPr>
          <w:rFonts w:eastAsia="Times New Roman" w:cs="Times New Roman"/>
          <w:b/>
          <w:color w:val="000000" w:themeColor="text1"/>
          <w:szCs w:val="24"/>
          <w:lang w:eastAsia="en-US"/>
        </w:rPr>
        <w:lastRenderedPageBreak/>
        <w:t>PROYECTOS RELACIONADOS CON LOS EDIFICIOS</w:t>
      </w:r>
    </w:p>
    <w:p w:rsidR="00CA682E" w:rsidRPr="00CA682E" w:rsidRDefault="00CA682E" w:rsidP="00DD172C">
      <w:pPr>
        <w:keepNext/>
        <w:spacing w:before="240" w:after="60"/>
        <w:ind w:left="1701" w:hanging="1701"/>
        <w:outlineLvl w:val="2"/>
        <w:rPr>
          <w:b/>
          <w:bCs/>
          <w:i/>
          <w:color w:val="000000" w:themeColor="text1"/>
          <w:sz w:val="20"/>
          <w:szCs w:val="26"/>
          <w:lang w:eastAsia="en-US"/>
        </w:rPr>
      </w:pPr>
      <w:bookmarkStart w:id="228" w:name="_Toc455159119"/>
      <w:r w:rsidRPr="00CA682E">
        <w:rPr>
          <w:b/>
          <w:bCs/>
          <w:i/>
          <w:color w:val="000000" w:themeColor="text1"/>
          <w:sz w:val="20"/>
          <w:szCs w:val="26"/>
          <w:lang w:eastAsia="en-US"/>
        </w:rPr>
        <w:t>PROYECTO 4</w:t>
      </w:r>
      <w:r w:rsidR="00DD172C">
        <w:rPr>
          <w:b/>
          <w:bCs/>
          <w:i/>
          <w:color w:val="000000" w:themeColor="text1"/>
          <w:sz w:val="20"/>
          <w:szCs w:val="26"/>
          <w:lang w:eastAsia="en-US"/>
        </w:rPr>
        <w:t>:</w:t>
      </w:r>
      <w:r w:rsidR="00DD172C">
        <w:rPr>
          <w:b/>
          <w:bCs/>
          <w:i/>
          <w:color w:val="000000" w:themeColor="text1"/>
          <w:sz w:val="20"/>
          <w:szCs w:val="26"/>
          <w:lang w:eastAsia="en-US"/>
        </w:rPr>
        <w:tab/>
      </w:r>
      <w:r w:rsidRPr="00CA682E">
        <w:rPr>
          <w:b/>
          <w:bCs/>
          <w:i/>
          <w:color w:val="000000" w:themeColor="text1"/>
          <w:sz w:val="20"/>
          <w:szCs w:val="26"/>
          <w:lang w:eastAsia="en-US"/>
        </w:rPr>
        <w:t>INSTALACIÓN EN LOS EDIFICIOS AB Y PCT DE UN SISTEMA DE REFRIGERACIÓN QUE UTILIZA EL AGUA DEL LAGO DE GINEBRA (“GLN”) (PMM 4)</w:t>
      </w:r>
      <w:bookmarkEnd w:id="228"/>
    </w:p>
    <w:p w:rsidR="00CA682E" w:rsidRPr="00CA682E" w:rsidRDefault="00CA682E" w:rsidP="00CA682E">
      <w:pPr>
        <w:rPr>
          <w:rFonts w:eastAsia="Times New Roman" w:cs="Times New Roman"/>
          <w:b/>
          <w:color w:val="000000" w:themeColor="text1"/>
          <w:sz w:val="20"/>
          <w:lang w:eastAsia="en-US"/>
        </w:rPr>
      </w:pPr>
    </w:p>
    <w:p w:rsidR="00CA682E" w:rsidRPr="00CA682E" w:rsidRDefault="00CA682E" w:rsidP="00CA682E">
      <w:pPr>
        <w:rPr>
          <w:rFonts w:eastAsia="Times New Roman" w:cs="Times New Roman"/>
          <w:b/>
          <w:color w:val="000000" w:themeColor="text1"/>
          <w:sz w:val="20"/>
          <w:lang w:eastAsia="en-US"/>
        </w:rPr>
      </w:pPr>
      <w:r w:rsidRPr="00CA682E">
        <w:rPr>
          <w:rFonts w:eastAsia="Times New Roman" w:cs="Times New Roman"/>
          <w:b/>
          <w:color w:val="000000" w:themeColor="text1"/>
          <w:sz w:val="20"/>
          <w:lang w:eastAsia="en-US"/>
        </w:rPr>
        <w:t>Director de proyecto:</w:t>
      </w:r>
      <w:r w:rsidRPr="00CA682E">
        <w:rPr>
          <w:rFonts w:eastAsia="Times New Roman" w:cs="Times New Roman"/>
          <w:b/>
          <w:color w:val="000000" w:themeColor="text1"/>
          <w:sz w:val="20"/>
          <w:lang w:eastAsia="en-US"/>
        </w:rPr>
        <w:tab/>
        <w:t>Sr. A. FAVERO</w:t>
      </w:r>
    </w:p>
    <w:p w:rsidR="00CA682E" w:rsidRPr="00CA682E" w:rsidRDefault="00CA682E" w:rsidP="00CA682E">
      <w:pPr>
        <w:rPr>
          <w:rFonts w:eastAsia="Times New Roman" w:cs="Times New Roman"/>
          <w:color w:val="000000" w:themeColor="text1"/>
          <w:sz w:val="20"/>
          <w:lang w:eastAsia="en-US"/>
        </w:rPr>
      </w:pPr>
    </w:p>
    <w:p w:rsidR="00CA682E" w:rsidRPr="00CA682E" w:rsidRDefault="00CA682E" w:rsidP="00CA682E">
      <w:pPr>
        <w:rPr>
          <w:rFonts w:eastAsia="Times New Roman" w:cs="Times New Roman"/>
          <w:color w:val="000000" w:themeColor="text1"/>
          <w:sz w:val="20"/>
          <w:lang w:eastAsia="en-US"/>
        </w:rPr>
      </w:pPr>
    </w:p>
    <w:p w:rsidR="00CA682E" w:rsidRPr="00CA682E" w:rsidRDefault="00CA682E" w:rsidP="00CA682E">
      <w:pPr>
        <w:rPr>
          <w:rFonts w:eastAsia="Times New Roman" w:cs="Times New Roman"/>
          <w:bCs/>
          <w:color w:val="000000" w:themeColor="text1"/>
          <w:sz w:val="20"/>
          <w:szCs w:val="22"/>
          <w:lang w:eastAsia="en-US"/>
        </w:rPr>
      </w:pPr>
      <w:r w:rsidRPr="00CA682E">
        <w:rPr>
          <w:rFonts w:eastAsia="Times New Roman" w:cs="Times New Roman"/>
          <w:bCs/>
          <w:color w:val="000000" w:themeColor="text1"/>
          <w:sz w:val="20"/>
          <w:szCs w:val="22"/>
          <w:lang w:eastAsia="en-US"/>
        </w:rPr>
        <w:t>RESULTADO PREVISTO</w:t>
      </w:r>
    </w:p>
    <w:p w:rsidR="00CA682E" w:rsidRPr="00CA682E" w:rsidRDefault="00CA682E" w:rsidP="00CA682E">
      <w:pPr>
        <w:rPr>
          <w:rFonts w:eastAsia="Times New Roman" w:cs="Times New Roman"/>
          <w:bCs/>
          <w:color w:val="000000" w:themeColor="text1"/>
          <w:sz w:val="18"/>
          <w:lang w:eastAsia="en-US"/>
        </w:rPr>
      </w:pPr>
    </w:p>
    <w:p w:rsidR="00CA682E" w:rsidRPr="00CA682E" w:rsidRDefault="00CA682E" w:rsidP="00CA682E">
      <w:pPr>
        <w:rPr>
          <w:rFonts w:eastAsia="Times New Roman" w:cs="Times New Roman"/>
          <w:i/>
          <w:iCs/>
          <w:color w:val="000000" w:themeColor="text1"/>
          <w:sz w:val="20"/>
          <w:lang w:eastAsia="en-US"/>
        </w:rPr>
      </w:pPr>
      <w:r w:rsidRPr="00CA682E">
        <w:rPr>
          <w:rFonts w:eastAsia="Times New Roman" w:cs="Times New Roman"/>
          <w:i/>
          <w:iCs/>
          <w:color w:val="000000" w:themeColor="text1"/>
          <w:sz w:val="20"/>
          <w:lang w:eastAsia="en-US"/>
        </w:rPr>
        <w:t xml:space="preserve">IX.1  Servicios de </w:t>
      </w:r>
      <w:proofErr w:type="gramStart"/>
      <w:r w:rsidRPr="00CA682E">
        <w:rPr>
          <w:rFonts w:eastAsia="Times New Roman" w:cs="Times New Roman"/>
          <w:i/>
          <w:iCs/>
          <w:color w:val="000000" w:themeColor="text1"/>
          <w:sz w:val="20"/>
          <w:lang w:eastAsia="en-US"/>
        </w:rPr>
        <w:t>apoyo eficaces, eficientes, de calidad y orientados</w:t>
      </w:r>
      <w:proofErr w:type="gramEnd"/>
      <w:r w:rsidRPr="00CA682E">
        <w:rPr>
          <w:rFonts w:eastAsia="Times New Roman" w:cs="Times New Roman"/>
          <w:i/>
          <w:iCs/>
          <w:color w:val="000000" w:themeColor="text1"/>
          <w:sz w:val="20"/>
          <w:lang w:eastAsia="en-US"/>
        </w:rPr>
        <w:t xml:space="preserve"> al cliente, tanto a los clientes internos como a las partes interesadas externas</w:t>
      </w:r>
    </w:p>
    <w:p w:rsidR="00CA682E" w:rsidRPr="00CA682E" w:rsidRDefault="00CA682E" w:rsidP="00CA682E">
      <w:pPr>
        <w:rPr>
          <w:rFonts w:eastAsia="Times New Roman" w:cs="Times New Roman"/>
          <w:bCs/>
          <w:color w:val="000000" w:themeColor="text1"/>
          <w:sz w:val="18"/>
          <w:lang w:eastAsia="en-US"/>
        </w:rPr>
      </w:pPr>
    </w:p>
    <w:p w:rsidR="00CA682E" w:rsidRPr="00CA682E" w:rsidRDefault="00CA682E" w:rsidP="00CA682E">
      <w:pPr>
        <w:rPr>
          <w:rFonts w:eastAsia="Times New Roman" w:cs="Times New Roman"/>
          <w:bCs/>
          <w:color w:val="000000" w:themeColor="text1"/>
          <w:sz w:val="18"/>
          <w:lang w:eastAsia="en-US"/>
        </w:rPr>
      </w:pPr>
    </w:p>
    <w:p w:rsidR="00CA682E" w:rsidRPr="00CA682E" w:rsidRDefault="00CA682E" w:rsidP="00CA682E">
      <w:pPr>
        <w:rPr>
          <w:rFonts w:eastAsia="Times New Roman" w:cs="Times New Roman"/>
          <w:bCs/>
          <w:color w:val="000000" w:themeColor="text1"/>
          <w:sz w:val="20"/>
          <w:lang w:eastAsia="en-US"/>
        </w:rPr>
      </w:pPr>
      <w:r w:rsidRPr="00CA682E">
        <w:rPr>
          <w:rFonts w:eastAsia="Times New Roman" w:cs="Times New Roman"/>
          <w:bCs/>
          <w:color w:val="000000" w:themeColor="text1"/>
          <w:sz w:val="20"/>
          <w:lang w:eastAsia="en-US"/>
        </w:rPr>
        <w:t>OBJETIVOS, ALCANCE Y ENFOQUE</w:t>
      </w:r>
      <w:proofErr w:type="gramStart"/>
      <w:r w:rsidRPr="00CA682E">
        <w:rPr>
          <w:rFonts w:eastAsia="Times New Roman" w:cs="Times New Roman"/>
          <w:bCs/>
          <w:color w:val="000000" w:themeColor="text1"/>
          <w:sz w:val="20"/>
          <w:lang w:eastAsia="en-US"/>
        </w:rPr>
        <w:t>:  ANTECEDENTES</w:t>
      </w:r>
      <w:proofErr w:type="gramEnd"/>
    </w:p>
    <w:p w:rsidR="00CA682E" w:rsidRPr="00CA682E" w:rsidRDefault="00CA682E" w:rsidP="00CA682E">
      <w:pPr>
        <w:rPr>
          <w:rFonts w:eastAsia="Times New Roman" w:cs="Times New Roman"/>
          <w:bCs/>
          <w:color w:val="000000" w:themeColor="text1"/>
          <w:sz w:val="20"/>
          <w:lang w:eastAsia="en-US"/>
        </w:rPr>
      </w:pPr>
    </w:p>
    <w:p w:rsidR="00CA682E" w:rsidRPr="00CA682E" w:rsidRDefault="00CA682E" w:rsidP="00CA682E">
      <w:pPr>
        <w:numPr>
          <w:ilvl w:val="0"/>
          <w:numId w:val="128"/>
        </w:numPr>
        <w:tabs>
          <w:tab w:val="left" w:pos="567"/>
        </w:tabs>
        <w:ind w:left="0" w:firstLine="0"/>
        <w:jc w:val="both"/>
        <w:rPr>
          <w:rFonts w:eastAsia="Times New Roman" w:cs="Times New Roman"/>
          <w:bCs/>
          <w:color w:val="000000" w:themeColor="text1"/>
          <w:sz w:val="20"/>
          <w:lang w:eastAsia="en-US"/>
        </w:rPr>
      </w:pPr>
      <w:r w:rsidRPr="00CA682E">
        <w:rPr>
          <w:rFonts w:eastAsia="Times New Roman" w:cs="Times New Roman"/>
          <w:color w:val="000000" w:themeColor="text1"/>
          <w:sz w:val="20"/>
          <w:lang w:eastAsia="en-US"/>
        </w:rPr>
        <w:t>El sistema de refrigeración que utiliza el agua del lago de Ginebra (“GLN”) -creado hace algunos años y administrado y puesto en funcionamiento por la empresa local de suministro de energía (</w:t>
      </w:r>
      <w:proofErr w:type="spellStart"/>
      <w:r w:rsidRPr="00CA682E">
        <w:rPr>
          <w:rFonts w:eastAsia="Times New Roman" w:cs="Times New Roman"/>
          <w:i/>
          <w:color w:val="000000" w:themeColor="text1"/>
          <w:sz w:val="20"/>
          <w:lang w:eastAsia="en-US"/>
        </w:rPr>
        <w:t>Services</w:t>
      </w:r>
      <w:proofErr w:type="spellEnd"/>
      <w:r w:rsidRPr="00CA682E">
        <w:rPr>
          <w:rFonts w:eastAsia="Times New Roman" w:cs="Times New Roman"/>
          <w:i/>
          <w:color w:val="000000" w:themeColor="text1"/>
          <w:sz w:val="20"/>
          <w:lang w:eastAsia="en-US"/>
        </w:rPr>
        <w:t xml:space="preserve"> </w:t>
      </w:r>
      <w:proofErr w:type="spellStart"/>
      <w:r w:rsidRPr="00CA682E">
        <w:rPr>
          <w:rFonts w:eastAsia="Times New Roman" w:cs="Times New Roman"/>
          <w:i/>
          <w:color w:val="000000" w:themeColor="text1"/>
          <w:sz w:val="20"/>
          <w:lang w:eastAsia="en-US"/>
        </w:rPr>
        <w:t>Industriels</w:t>
      </w:r>
      <w:proofErr w:type="spellEnd"/>
      <w:r w:rsidRPr="00CA682E">
        <w:rPr>
          <w:rFonts w:eastAsia="Times New Roman" w:cs="Times New Roman"/>
          <w:i/>
          <w:color w:val="000000" w:themeColor="text1"/>
          <w:sz w:val="20"/>
          <w:lang w:eastAsia="en-US"/>
        </w:rPr>
        <w:t xml:space="preserve"> de </w:t>
      </w:r>
      <w:proofErr w:type="spellStart"/>
      <w:r w:rsidRPr="00CA682E">
        <w:rPr>
          <w:rFonts w:eastAsia="Times New Roman" w:cs="Times New Roman"/>
          <w:i/>
          <w:color w:val="000000" w:themeColor="text1"/>
          <w:sz w:val="20"/>
          <w:lang w:eastAsia="en-US"/>
        </w:rPr>
        <w:t>Genève</w:t>
      </w:r>
      <w:proofErr w:type="spellEnd"/>
      <w:r w:rsidRPr="00CA682E">
        <w:rPr>
          <w:rFonts w:eastAsia="Times New Roman" w:cs="Times New Roman"/>
          <w:color w:val="000000" w:themeColor="text1"/>
          <w:sz w:val="20"/>
          <w:lang w:eastAsia="en-US"/>
        </w:rPr>
        <w:t xml:space="preserve"> – SIG), por el cual se recolecta agua fría de las profundidades del lago de Ginebra que se transporta a la zona Norte de la ciudad para utilizarla en un sistema de refrigeración de varios edificios administrativos en la zona de la Plaza de las Naciones.  Hace algunos años, la OMPI fue uno de los primeros clientes, entre los organismos de las Naciones Unidas, en celebrar un acuerdo con la empresa SIG para reservar la capacidad necesaria para todos sus edificios (incluidos los que entonces eran proyectos de construcción).  A finales de 2013, estaban totalmente conectados al sistema GLN de refrigeración los edificios siguientes del recinto de la OMPI: el nuevo edificio (conectado desde 2011), los edificios GBI y GBII (conectados a mediados de 2013), la nueva sala de conferencias (el sistema se integró durante la fase de construcción y está conectado desde fines de 2013).  Los únicos dos edificios que queda conectar al sistema GLN son el edificio AB y el edificio PCT, que son objeto de esta parte del proyecto del Plan Maestro de mejoras de infraestructura.  También cabe observar que las demás máquinas de refrigeración existentes para los edificios AB y PCT ya han tenido una vida útil que oscila entre los 10 y los 33 años, aproximadamente, teniendo en cuenta que su vida útil prevista es de 30 años.</w:t>
      </w:r>
      <w:r w:rsidRPr="00CA682E">
        <w:rPr>
          <w:rFonts w:eastAsia="Times New Roman" w:cs="Times New Roman"/>
          <w:bCs/>
          <w:color w:val="000000" w:themeColor="text1"/>
          <w:sz w:val="20"/>
          <w:lang w:eastAsia="en-US"/>
        </w:rPr>
        <w:t xml:space="preserve">  </w:t>
      </w:r>
    </w:p>
    <w:p w:rsidR="00CA682E" w:rsidRPr="00CA682E" w:rsidRDefault="00CA682E" w:rsidP="00CA682E">
      <w:pPr>
        <w:tabs>
          <w:tab w:val="left" w:pos="567"/>
        </w:tabs>
        <w:jc w:val="both"/>
        <w:rPr>
          <w:rFonts w:eastAsia="Times New Roman" w:cs="Times New Roman"/>
          <w:bCs/>
          <w:color w:val="000000" w:themeColor="text1"/>
          <w:sz w:val="20"/>
          <w:lang w:eastAsia="en-US"/>
        </w:rPr>
      </w:pPr>
    </w:p>
    <w:p w:rsidR="00CA682E" w:rsidRPr="00CA682E" w:rsidRDefault="00CA682E" w:rsidP="00CA682E">
      <w:pPr>
        <w:numPr>
          <w:ilvl w:val="0"/>
          <w:numId w:val="128"/>
        </w:numPr>
        <w:tabs>
          <w:tab w:val="left" w:pos="567"/>
        </w:tabs>
        <w:ind w:left="0" w:firstLine="0"/>
        <w:jc w:val="both"/>
        <w:rPr>
          <w:rFonts w:eastAsia="Times New Roman" w:cs="Times New Roman"/>
          <w:color w:val="000000" w:themeColor="text1"/>
          <w:sz w:val="20"/>
          <w:lang w:eastAsia="en-US"/>
        </w:rPr>
      </w:pPr>
      <w:r w:rsidRPr="00CA682E">
        <w:rPr>
          <w:rFonts w:eastAsia="Times New Roman" w:cs="Times New Roman"/>
          <w:color w:val="000000" w:themeColor="text1"/>
          <w:sz w:val="20"/>
          <w:lang w:eastAsia="en-US"/>
        </w:rPr>
        <w:t>Los objetivos de este proyecto son i) completar la incorporación de un sistema tecnológico mejorado en el mantenimiento de los edificios, relacionado con las instalaciones de refrigeración que ya están en funcionamiento en más de la mitad de los volúmenes interesados del recinto de la OMPI;  ii) anticipar la necesidad de reemplazar los aparatos clásicos de refrigeración en los otros dos edificios, haciéndolo antes de que se averíen las instalaciones (lo cual ocurrió en 2011 en el edificio GBII);  iii) reducir los costos de mantenimiento de las instalaciones, en comparación con los costos de mantenimiento de las instalaciones clásicas de refrigeración;  y iv) modernizar este tipo de instalación técnica y equipo con sistemas más respetuosos del medio ambiente.</w:t>
      </w:r>
    </w:p>
    <w:p w:rsidR="00CA682E" w:rsidRPr="00CA682E" w:rsidRDefault="00CA682E" w:rsidP="00CA682E">
      <w:pPr>
        <w:rPr>
          <w:rFonts w:eastAsia="Times New Roman" w:cs="Times New Roman"/>
          <w:bCs/>
          <w:color w:val="000000" w:themeColor="text1"/>
          <w:sz w:val="20"/>
          <w:lang w:eastAsia="en-US"/>
        </w:rPr>
      </w:pPr>
    </w:p>
    <w:p w:rsidR="00CA682E" w:rsidRPr="00CA682E" w:rsidRDefault="00CA682E" w:rsidP="00CA682E">
      <w:pPr>
        <w:rPr>
          <w:rFonts w:eastAsia="Times New Roman" w:cs="Times New Roman"/>
          <w:bCs/>
          <w:color w:val="000000" w:themeColor="text1"/>
          <w:sz w:val="20"/>
          <w:lang w:eastAsia="en-US"/>
        </w:rPr>
      </w:pPr>
    </w:p>
    <w:p w:rsidR="00CA682E" w:rsidRPr="00CA682E" w:rsidRDefault="00CA682E" w:rsidP="00CA682E">
      <w:pPr>
        <w:rPr>
          <w:rFonts w:eastAsia="Times New Roman" w:cs="Times New Roman"/>
          <w:bCs/>
          <w:color w:val="000000" w:themeColor="text1"/>
          <w:sz w:val="20"/>
          <w:lang w:eastAsia="en-US"/>
        </w:rPr>
      </w:pPr>
      <w:r w:rsidRPr="00CA682E">
        <w:rPr>
          <w:rFonts w:eastAsia="Times New Roman" w:cs="Times New Roman"/>
          <w:bCs/>
          <w:color w:val="000000" w:themeColor="text1"/>
          <w:sz w:val="20"/>
          <w:lang w:eastAsia="en-US"/>
        </w:rPr>
        <w:t>RESEÑA DE LOS AVANCES LOGRADOS EN 2015 (ETAPAS FUNDAMENTALES)</w:t>
      </w:r>
    </w:p>
    <w:p w:rsidR="00CA682E" w:rsidRPr="00CA682E" w:rsidRDefault="00CA682E" w:rsidP="00CA682E">
      <w:pPr>
        <w:rPr>
          <w:rFonts w:eastAsia="Times New Roman" w:cs="Times New Roman"/>
          <w:bCs/>
          <w:color w:val="000000" w:themeColor="text1"/>
          <w:sz w:val="20"/>
          <w:u w:val="single"/>
          <w:lang w:eastAsia="en-US"/>
        </w:rPr>
      </w:pPr>
    </w:p>
    <w:p w:rsidR="00CA682E" w:rsidRPr="00CA682E" w:rsidRDefault="00CA682E" w:rsidP="00CA682E">
      <w:pPr>
        <w:numPr>
          <w:ilvl w:val="0"/>
          <w:numId w:val="128"/>
        </w:numPr>
        <w:tabs>
          <w:tab w:val="left" w:pos="567"/>
        </w:tabs>
        <w:ind w:left="0" w:firstLine="0"/>
        <w:jc w:val="both"/>
        <w:rPr>
          <w:rFonts w:eastAsiaTheme="minorHAnsi"/>
          <w:color w:val="000000" w:themeColor="text1"/>
          <w:sz w:val="20"/>
          <w:lang w:eastAsia="en-US"/>
        </w:rPr>
      </w:pPr>
      <w:r w:rsidRPr="00CA682E">
        <w:rPr>
          <w:rFonts w:eastAsiaTheme="minorHAnsi"/>
          <w:color w:val="000000" w:themeColor="text1"/>
          <w:sz w:val="20"/>
          <w:lang w:eastAsia="en-US"/>
        </w:rPr>
        <w:t xml:space="preserve">En 2014, se realizaron los siguientes progresos: </w:t>
      </w:r>
    </w:p>
    <w:p w:rsidR="00CA682E" w:rsidRPr="00CA682E" w:rsidRDefault="00CA682E" w:rsidP="00CA682E">
      <w:pPr>
        <w:autoSpaceDE w:val="0"/>
        <w:autoSpaceDN w:val="0"/>
        <w:adjustRightInd w:val="0"/>
        <w:rPr>
          <w:rFonts w:eastAsiaTheme="minorHAnsi"/>
          <w:color w:val="000000" w:themeColor="text1"/>
          <w:sz w:val="20"/>
          <w:u w:val="single"/>
          <w:lang w:eastAsia="en-US"/>
        </w:rPr>
      </w:pPr>
    </w:p>
    <w:p w:rsidR="00CA682E" w:rsidRPr="00CA682E" w:rsidRDefault="00CA682E" w:rsidP="00CA682E">
      <w:pPr>
        <w:tabs>
          <w:tab w:val="left" w:pos="1134"/>
        </w:tabs>
        <w:autoSpaceDE w:val="0"/>
        <w:autoSpaceDN w:val="0"/>
        <w:adjustRightInd w:val="0"/>
        <w:ind w:left="567"/>
        <w:rPr>
          <w:rFonts w:eastAsiaTheme="minorHAnsi"/>
          <w:color w:val="000000" w:themeColor="text1"/>
          <w:sz w:val="20"/>
          <w:u w:val="single"/>
          <w:lang w:eastAsia="en-US"/>
        </w:rPr>
      </w:pPr>
      <w:r w:rsidRPr="00CA682E">
        <w:rPr>
          <w:rFonts w:eastAsiaTheme="minorHAnsi"/>
          <w:color w:val="000000" w:themeColor="text1"/>
          <w:sz w:val="20"/>
          <w:u w:val="single"/>
          <w:lang w:eastAsia="en-US"/>
        </w:rPr>
        <w:t>Edificio AB</w:t>
      </w:r>
    </w:p>
    <w:p w:rsidR="00CA682E" w:rsidRPr="00CA682E" w:rsidRDefault="00CA682E" w:rsidP="00CA682E">
      <w:pPr>
        <w:tabs>
          <w:tab w:val="left" w:pos="1134"/>
        </w:tabs>
        <w:autoSpaceDE w:val="0"/>
        <w:autoSpaceDN w:val="0"/>
        <w:adjustRightInd w:val="0"/>
        <w:ind w:left="567"/>
        <w:rPr>
          <w:rFonts w:eastAsiaTheme="minorHAnsi"/>
          <w:color w:val="000000" w:themeColor="text1"/>
          <w:sz w:val="20"/>
          <w:lang w:eastAsia="en-US"/>
        </w:rPr>
      </w:pPr>
    </w:p>
    <w:p w:rsidR="00CA682E" w:rsidRPr="00CA682E" w:rsidRDefault="00CA682E" w:rsidP="00CA682E">
      <w:pPr>
        <w:numPr>
          <w:ilvl w:val="0"/>
          <w:numId w:val="136"/>
        </w:numPr>
        <w:tabs>
          <w:tab w:val="left" w:pos="1134"/>
        </w:tabs>
        <w:autoSpaceDE w:val="0"/>
        <w:autoSpaceDN w:val="0"/>
        <w:adjustRightInd w:val="0"/>
        <w:spacing w:after="120"/>
        <w:ind w:left="567" w:firstLine="0"/>
        <w:rPr>
          <w:rFonts w:eastAsia="Times New Roman" w:cs="Times New Roman"/>
          <w:bCs/>
          <w:color w:val="000000" w:themeColor="text1"/>
          <w:sz w:val="20"/>
          <w:lang w:eastAsia="en-US"/>
        </w:rPr>
      </w:pPr>
      <w:r w:rsidRPr="00CA682E">
        <w:rPr>
          <w:rFonts w:eastAsia="Times New Roman" w:cs="Times New Roman"/>
          <w:bCs/>
          <w:color w:val="000000" w:themeColor="text1"/>
          <w:sz w:val="20"/>
          <w:lang w:eastAsia="en-US"/>
        </w:rPr>
        <w:t xml:space="preserve">Adjudicación de contrato al ingeniero en climatización </w:t>
      </w:r>
    </w:p>
    <w:p w:rsidR="00CA682E" w:rsidRPr="00CA682E" w:rsidRDefault="00CA682E" w:rsidP="00CA682E">
      <w:pPr>
        <w:numPr>
          <w:ilvl w:val="0"/>
          <w:numId w:val="136"/>
        </w:numPr>
        <w:tabs>
          <w:tab w:val="left" w:pos="1134"/>
        </w:tabs>
        <w:autoSpaceDE w:val="0"/>
        <w:autoSpaceDN w:val="0"/>
        <w:adjustRightInd w:val="0"/>
        <w:spacing w:after="120"/>
        <w:ind w:left="567" w:firstLine="0"/>
        <w:rPr>
          <w:rFonts w:eastAsia="Times New Roman" w:cs="Times New Roman"/>
          <w:bCs/>
          <w:color w:val="000000" w:themeColor="text1"/>
          <w:sz w:val="20"/>
          <w:lang w:eastAsia="en-US"/>
        </w:rPr>
      </w:pPr>
      <w:r w:rsidRPr="00CA682E">
        <w:rPr>
          <w:rFonts w:eastAsia="Times New Roman" w:cs="Times New Roman"/>
          <w:bCs/>
          <w:color w:val="000000" w:themeColor="text1"/>
          <w:sz w:val="20"/>
          <w:lang w:eastAsia="en-US"/>
        </w:rPr>
        <w:t xml:space="preserve">Llamado a presentar ofertas y selección de empresas </w:t>
      </w:r>
    </w:p>
    <w:p w:rsidR="00CA682E" w:rsidRPr="00CA682E" w:rsidRDefault="00CA682E" w:rsidP="00CA682E">
      <w:pPr>
        <w:numPr>
          <w:ilvl w:val="0"/>
          <w:numId w:val="136"/>
        </w:numPr>
        <w:tabs>
          <w:tab w:val="left" w:pos="1134"/>
        </w:tabs>
        <w:autoSpaceDE w:val="0"/>
        <w:autoSpaceDN w:val="0"/>
        <w:adjustRightInd w:val="0"/>
        <w:spacing w:after="120"/>
        <w:ind w:left="567" w:firstLine="0"/>
        <w:rPr>
          <w:rFonts w:eastAsia="Times New Roman" w:cs="Times New Roman"/>
          <w:bCs/>
          <w:color w:val="000000" w:themeColor="text1"/>
          <w:sz w:val="20"/>
          <w:lang w:eastAsia="en-US"/>
        </w:rPr>
      </w:pPr>
      <w:r w:rsidRPr="00CA682E">
        <w:rPr>
          <w:rFonts w:eastAsia="Times New Roman" w:cs="Times New Roman"/>
          <w:bCs/>
          <w:color w:val="000000" w:themeColor="text1"/>
          <w:sz w:val="20"/>
          <w:lang w:eastAsia="en-US"/>
        </w:rPr>
        <w:t>Trabajo realizado</w:t>
      </w:r>
    </w:p>
    <w:p w:rsidR="00CA682E" w:rsidRPr="00CA682E" w:rsidRDefault="00CA682E" w:rsidP="00CA682E">
      <w:pPr>
        <w:numPr>
          <w:ilvl w:val="0"/>
          <w:numId w:val="136"/>
        </w:numPr>
        <w:tabs>
          <w:tab w:val="left" w:pos="1134"/>
        </w:tabs>
        <w:autoSpaceDE w:val="0"/>
        <w:autoSpaceDN w:val="0"/>
        <w:adjustRightInd w:val="0"/>
        <w:spacing w:after="120"/>
        <w:ind w:left="567" w:firstLine="0"/>
        <w:rPr>
          <w:rFonts w:eastAsia="Times New Roman" w:cs="Times New Roman"/>
          <w:bCs/>
          <w:color w:val="000000" w:themeColor="text1"/>
          <w:sz w:val="20"/>
          <w:lang w:eastAsia="en-US"/>
        </w:rPr>
      </w:pPr>
      <w:r w:rsidRPr="00CA682E">
        <w:rPr>
          <w:rFonts w:eastAsia="Times New Roman" w:cs="Times New Roman"/>
          <w:bCs/>
          <w:color w:val="000000" w:themeColor="text1"/>
          <w:sz w:val="20"/>
          <w:lang w:eastAsia="en-US"/>
        </w:rPr>
        <w:t>Proyecto finalizado.</w:t>
      </w:r>
    </w:p>
    <w:p w:rsidR="00CA682E" w:rsidRPr="00CA682E" w:rsidRDefault="00CA682E" w:rsidP="00CA682E">
      <w:pPr>
        <w:tabs>
          <w:tab w:val="left" w:pos="1134"/>
        </w:tabs>
        <w:autoSpaceDE w:val="0"/>
        <w:autoSpaceDN w:val="0"/>
        <w:adjustRightInd w:val="0"/>
        <w:ind w:left="567"/>
        <w:rPr>
          <w:rFonts w:eastAsiaTheme="minorHAnsi"/>
          <w:color w:val="000000" w:themeColor="text1"/>
          <w:sz w:val="20"/>
          <w:lang w:eastAsia="en-US"/>
        </w:rPr>
      </w:pPr>
    </w:p>
    <w:p w:rsidR="00CA682E" w:rsidRPr="00CA682E" w:rsidRDefault="00CA682E" w:rsidP="00CA682E">
      <w:pPr>
        <w:tabs>
          <w:tab w:val="left" w:pos="1134"/>
        </w:tabs>
        <w:autoSpaceDE w:val="0"/>
        <w:autoSpaceDN w:val="0"/>
        <w:adjustRightInd w:val="0"/>
        <w:ind w:left="567"/>
        <w:rPr>
          <w:rFonts w:eastAsiaTheme="minorHAnsi"/>
          <w:color w:val="000000" w:themeColor="text1"/>
          <w:sz w:val="20"/>
          <w:u w:val="single"/>
          <w:lang w:eastAsia="en-US"/>
        </w:rPr>
      </w:pPr>
      <w:r w:rsidRPr="00CA682E">
        <w:rPr>
          <w:rFonts w:eastAsiaTheme="minorHAnsi"/>
          <w:color w:val="000000" w:themeColor="text1"/>
          <w:sz w:val="20"/>
          <w:u w:val="single"/>
          <w:lang w:eastAsia="en-US"/>
        </w:rPr>
        <w:t>Edificio PCT</w:t>
      </w:r>
    </w:p>
    <w:p w:rsidR="00CA682E" w:rsidRPr="00CA682E" w:rsidRDefault="00CA682E" w:rsidP="00CA682E">
      <w:pPr>
        <w:tabs>
          <w:tab w:val="left" w:pos="1134"/>
        </w:tabs>
        <w:autoSpaceDE w:val="0"/>
        <w:autoSpaceDN w:val="0"/>
        <w:adjustRightInd w:val="0"/>
        <w:ind w:left="567"/>
        <w:rPr>
          <w:rFonts w:eastAsiaTheme="minorHAnsi"/>
          <w:color w:val="000000" w:themeColor="text1"/>
          <w:sz w:val="20"/>
          <w:lang w:eastAsia="en-US"/>
        </w:rPr>
      </w:pPr>
    </w:p>
    <w:p w:rsidR="00CA682E" w:rsidRPr="00CA682E" w:rsidRDefault="00CA682E" w:rsidP="00CA682E">
      <w:pPr>
        <w:numPr>
          <w:ilvl w:val="0"/>
          <w:numId w:val="136"/>
        </w:numPr>
        <w:tabs>
          <w:tab w:val="left" w:pos="1134"/>
        </w:tabs>
        <w:autoSpaceDE w:val="0"/>
        <w:autoSpaceDN w:val="0"/>
        <w:adjustRightInd w:val="0"/>
        <w:spacing w:after="120"/>
        <w:ind w:left="567" w:firstLine="0"/>
        <w:rPr>
          <w:rFonts w:eastAsia="Times New Roman" w:cs="Times New Roman"/>
          <w:bCs/>
          <w:color w:val="000000" w:themeColor="text1"/>
          <w:sz w:val="20"/>
          <w:lang w:eastAsia="en-US"/>
        </w:rPr>
      </w:pPr>
      <w:r w:rsidRPr="00CA682E">
        <w:rPr>
          <w:rFonts w:eastAsia="Times New Roman" w:cs="Times New Roman"/>
          <w:bCs/>
          <w:color w:val="000000" w:themeColor="text1"/>
          <w:sz w:val="20"/>
          <w:lang w:eastAsia="en-US"/>
        </w:rPr>
        <w:t xml:space="preserve">Adjudicación de contrato al ingeniero en climatización </w:t>
      </w:r>
    </w:p>
    <w:p w:rsidR="00CA682E" w:rsidRPr="00CA682E" w:rsidRDefault="00CA682E" w:rsidP="00CA682E">
      <w:pPr>
        <w:numPr>
          <w:ilvl w:val="0"/>
          <w:numId w:val="136"/>
        </w:numPr>
        <w:tabs>
          <w:tab w:val="left" w:pos="1134"/>
        </w:tabs>
        <w:autoSpaceDE w:val="0"/>
        <w:autoSpaceDN w:val="0"/>
        <w:adjustRightInd w:val="0"/>
        <w:spacing w:after="120"/>
        <w:ind w:left="567" w:firstLine="0"/>
        <w:rPr>
          <w:rFonts w:eastAsia="Times New Roman" w:cs="Times New Roman"/>
          <w:bCs/>
          <w:color w:val="000000" w:themeColor="text1"/>
          <w:sz w:val="20"/>
          <w:lang w:eastAsia="en-US"/>
        </w:rPr>
      </w:pPr>
      <w:r w:rsidRPr="00CA682E">
        <w:rPr>
          <w:rFonts w:eastAsia="Times New Roman" w:cs="Times New Roman"/>
          <w:bCs/>
          <w:color w:val="000000" w:themeColor="text1"/>
          <w:sz w:val="20"/>
          <w:lang w:eastAsia="en-US"/>
        </w:rPr>
        <w:t xml:space="preserve">Validación del proyecto con el ingeniero en climatización </w:t>
      </w:r>
    </w:p>
    <w:p w:rsidR="00CA682E" w:rsidRPr="00CA682E" w:rsidRDefault="00CA682E" w:rsidP="00CA682E">
      <w:pPr>
        <w:numPr>
          <w:ilvl w:val="0"/>
          <w:numId w:val="136"/>
        </w:numPr>
        <w:tabs>
          <w:tab w:val="left" w:pos="1134"/>
        </w:tabs>
        <w:autoSpaceDE w:val="0"/>
        <w:autoSpaceDN w:val="0"/>
        <w:adjustRightInd w:val="0"/>
        <w:spacing w:after="120"/>
        <w:ind w:left="567" w:firstLine="0"/>
        <w:rPr>
          <w:rFonts w:eastAsia="Times New Roman" w:cs="Times New Roman"/>
          <w:bCs/>
          <w:color w:val="000000" w:themeColor="text1"/>
          <w:sz w:val="20"/>
          <w:lang w:eastAsia="en-US"/>
        </w:rPr>
      </w:pPr>
      <w:r w:rsidRPr="00CA682E">
        <w:rPr>
          <w:rFonts w:eastAsia="Times New Roman" w:cs="Times New Roman"/>
          <w:bCs/>
          <w:color w:val="000000" w:themeColor="text1"/>
          <w:sz w:val="20"/>
          <w:lang w:eastAsia="en-US"/>
        </w:rPr>
        <w:lastRenderedPageBreak/>
        <w:t xml:space="preserve">Tendido de conductos dentro del edificio, por la empresa SIG </w:t>
      </w:r>
    </w:p>
    <w:p w:rsidR="00CA682E" w:rsidRPr="00CA682E" w:rsidRDefault="00CA682E" w:rsidP="00CA682E">
      <w:pPr>
        <w:autoSpaceDE w:val="0"/>
        <w:autoSpaceDN w:val="0"/>
        <w:adjustRightInd w:val="0"/>
        <w:spacing w:after="120"/>
        <w:ind w:left="714"/>
        <w:rPr>
          <w:rFonts w:eastAsia="Times New Roman" w:cs="Times New Roman"/>
          <w:bCs/>
          <w:color w:val="000000" w:themeColor="text1"/>
          <w:sz w:val="20"/>
          <w:lang w:eastAsia="en-US"/>
        </w:rPr>
      </w:pPr>
    </w:p>
    <w:p w:rsidR="00CA682E" w:rsidRPr="00CA682E" w:rsidRDefault="00CA682E" w:rsidP="00CA682E">
      <w:pPr>
        <w:numPr>
          <w:ilvl w:val="0"/>
          <w:numId w:val="128"/>
        </w:numPr>
        <w:tabs>
          <w:tab w:val="left" w:pos="567"/>
        </w:tabs>
        <w:ind w:left="0" w:firstLine="0"/>
        <w:jc w:val="both"/>
        <w:rPr>
          <w:rFonts w:eastAsiaTheme="minorHAnsi"/>
          <w:color w:val="000000" w:themeColor="text1"/>
          <w:sz w:val="20"/>
          <w:lang w:eastAsia="en-US"/>
        </w:rPr>
      </w:pPr>
      <w:r w:rsidRPr="00CA682E">
        <w:rPr>
          <w:rFonts w:eastAsia="Times New Roman" w:cs="Times New Roman"/>
          <w:color w:val="000000" w:themeColor="text1"/>
          <w:sz w:val="20"/>
          <w:lang w:eastAsia="en-US"/>
        </w:rPr>
        <w:t>I</w:t>
      </w:r>
      <w:r w:rsidRPr="00CA682E">
        <w:rPr>
          <w:rFonts w:eastAsiaTheme="minorHAnsi"/>
          <w:color w:val="000000" w:themeColor="text1"/>
          <w:sz w:val="20"/>
          <w:lang w:eastAsia="en-US"/>
        </w:rPr>
        <w:t xml:space="preserve">n 2015, se realizaron los avances siguientes en el edificio PCT: </w:t>
      </w:r>
    </w:p>
    <w:p w:rsidR="00CA682E" w:rsidRPr="00CA682E" w:rsidRDefault="00CA682E" w:rsidP="00CA682E">
      <w:pPr>
        <w:autoSpaceDE w:val="0"/>
        <w:autoSpaceDN w:val="0"/>
        <w:adjustRightInd w:val="0"/>
        <w:rPr>
          <w:rFonts w:eastAsiaTheme="minorHAnsi"/>
          <w:color w:val="000000" w:themeColor="text1"/>
          <w:sz w:val="20"/>
          <w:szCs w:val="24"/>
          <w:lang w:eastAsia="en-US"/>
        </w:rPr>
      </w:pPr>
    </w:p>
    <w:p w:rsidR="00CA682E" w:rsidRPr="00CA682E" w:rsidRDefault="00CA682E" w:rsidP="00CA682E">
      <w:pPr>
        <w:numPr>
          <w:ilvl w:val="0"/>
          <w:numId w:val="136"/>
        </w:numPr>
        <w:autoSpaceDE w:val="0"/>
        <w:autoSpaceDN w:val="0"/>
        <w:adjustRightInd w:val="0"/>
        <w:spacing w:after="120"/>
        <w:ind w:left="1134" w:hanging="567"/>
        <w:rPr>
          <w:rFonts w:eastAsia="Times New Roman" w:cs="Times New Roman"/>
          <w:bCs/>
          <w:color w:val="000000" w:themeColor="text1"/>
          <w:sz w:val="20"/>
          <w:lang w:eastAsia="en-US"/>
        </w:rPr>
      </w:pPr>
      <w:r w:rsidRPr="00CA682E">
        <w:rPr>
          <w:rFonts w:eastAsia="Times New Roman" w:cs="Times New Roman"/>
          <w:bCs/>
          <w:color w:val="000000" w:themeColor="text1"/>
          <w:sz w:val="20"/>
          <w:lang w:eastAsia="en-US"/>
        </w:rPr>
        <w:t>Llamado a presentar ofertas y selección de empresas</w:t>
      </w:r>
    </w:p>
    <w:p w:rsidR="00CA682E" w:rsidRPr="00CA682E" w:rsidRDefault="00CA682E" w:rsidP="00CA682E">
      <w:pPr>
        <w:numPr>
          <w:ilvl w:val="0"/>
          <w:numId w:val="136"/>
        </w:numPr>
        <w:autoSpaceDE w:val="0"/>
        <w:autoSpaceDN w:val="0"/>
        <w:adjustRightInd w:val="0"/>
        <w:spacing w:after="120"/>
        <w:ind w:left="1134" w:hanging="567"/>
        <w:rPr>
          <w:rFonts w:eastAsia="Times New Roman" w:cs="Times New Roman"/>
          <w:bCs/>
          <w:color w:val="000000" w:themeColor="text1"/>
          <w:sz w:val="20"/>
          <w:lang w:eastAsia="en-US"/>
        </w:rPr>
      </w:pPr>
      <w:r w:rsidRPr="00CA682E">
        <w:rPr>
          <w:rFonts w:eastAsia="Times New Roman" w:cs="Times New Roman"/>
          <w:bCs/>
          <w:color w:val="000000" w:themeColor="text1"/>
          <w:sz w:val="20"/>
          <w:lang w:eastAsia="en-US"/>
        </w:rPr>
        <w:t>Trabajo realizado</w:t>
      </w:r>
    </w:p>
    <w:p w:rsidR="00CA682E" w:rsidRPr="00CA682E" w:rsidRDefault="00CA682E" w:rsidP="00CA682E">
      <w:pPr>
        <w:rPr>
          <w:rFonts w:eastAsia="Times New Roman" w:cs="Times New Roman"/>
          <w:bCs/>
          <w:color w:val="000000" w:themeColor="text1"/>
          <w:sz w:val="18"/>
          <w:szCs w:val="24"/>
          <w:lang w:eastAsia="en-US"/>
        </w:rPr>
      </w:pPr>
    </w:p>
    <w:p w:rsidR="00CA682E" w:rsidRPr="00CA682E" w:rsidRDefault="00CA682E" w:rsidP="00CA682E">
      <w:pPr>
        <w:rPr>
          <w:rFonts w:eastAsia="Times New Roman" w:cs="Times New Roman"/>
          <w:bCs/>
          <w:color w:val="000000" w:themeColor="text1"/>
          <w:sz w:val="18"/>
          <w:szCs w:val="24"/>
          <w:lang w:eastAsia="en-US"/>
        </w:rPr>
      </w:pPr>
    </w:p>
    <w:p w:rsidR="00CA682E" w:rsidRPr="00CA682E" w:rsidRDefault="00CA682E" w:rsidP="00CA682E">
      <w:pPr>
        <w:rPr>
          <w:rFonts w:eastAsia="Times New Roman" w:cs="Times New Roman"/>
          <w:bCs/>
          <w:color w:val="000000" w:themeColor="text1"/>
          <w:sz w:val="20"/>
          <w:szCs w:val="22"/>
          <w:lang w:eastAsia="en-US"/>
        </w:rPr>
      </w:pPr>
      <w:r w:rsidRPr="00CA682E">
        <w:rPr>
          <w:rFonts w:eastAsia="Times New Roman" w:cs="Times New Roman"/>
          <w:bCs/>
          <w:color w:val="000000" w:themeColor="text1"/>
          <w:sz w:val="20"/>
          <w:szCs w:val="22"/>
          <w:lang w:eastAsia="en-US"/>
        </w:rPr>
        <w:t>OBTENCIÓN DE BENEFICIOS</w:t>
      </w:r>
    </w:p>
    <w:p w:rsidR="00CA682E" w:rsidRPr="00CA682E" w:rsidRDefault="00CA682E" w:rsidP="00CA682E">
      <w:pPr>
        <w:rPr>
          <w:rFonts w:eastAsia="Times New Roman" w:cs="Times New Roman"/>
          <w:color w:val="000000" w:themeColor="text1"/>
          <w:sz w:val="20"/>
          <w:lang w:eastAsia="en-US"/>
        </w:rPr>
      </w:pPr>
    </w:p>
    <w:tbl>
      <w:tblPr>
        <w:tblW w:w="4740"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3022"/>
        <w:gridCol w:w="3499"/>
      </w:tblGrid>
      <w:tr w:rsidR="00CA682E" w:rsidRPr="00CA682E" w:rsidTr="007B1DE4">
        <w:trPr>
          <w:trHeight w:val="314"/>
          <w:tblHeader/>
        </w:trPr>
        <w:tc>
          <w:tcPr>
            <w:tcW w:w="1406" w:type="pct"/>
            <w:tcBorders>
              <w:bottom w:val="single" w:sz="4" w:space="0" w:color="auto"/>
            </w:tcBorders>
            <w:shd w:val="clear" w:color="auto" w:fill="C6D9F1" w:themeFill="text2" w:themeFillTint="33"/>
            <w:tcMar>
              <w:top w:w="113" w:type="dxa"/>
              <w:bottom w:w="113" w:type="dxa"/>
            </w:tcMar>
            <w:vAlign w:val="center"/>
          </w:tcPr>
          <w:p w:rsidR="00CA682E" w:rsidRPr="00CA682E" w:rsidRDefault="00CA682E" w:rsidP="00CA682E">
            <w:pPr>
              <w:jc w:val="center"/>
              <w:rPr>
                <w:rFonts w:eastAsia="Times New Roman" w:cs="Times New Roman"/>
                <w:b/>
                <w:bCs/>
                <w:color w:val="000000" w:themeColor="text1"/>
                <w:sz w:val="16"/>
                <w:szCs w:val="16"/>
                <w:lang w:eastAsia="en-US"/>
              </w:rPr>
            </w:pPr>
            <w:r w:rsidRPr="00CA682E">
              <w:rPr>
                <w:rFonts w:eastAsia="Times New Roman" w:cs="Times New Roman"/>
                <w:b/>
                <w:bCs/>
                <w:color w:val="000000" w:themeColor="text1"/>
                <w:sz w:val="16"/>
                <w:szCs w:val="16"/>
                <w:lang w:eastAsia="en-US"/>
              </w:rPr>
              <w:t>Beneficios obtenidos en 2014</w:t>
            </w:r>
          </w:p>
        </w:tc>
        <w:tc>
          <w:tcPr>
            <w:tcW w:w="1665" w:type="pct"/>
            <w:tcBorders>
              <w:bottom w:val="single" w:sz="4" w:space="0" w:color="auto"/>
            </w:tcBorders>
            <w:shd w:val="clear" w:color="auto" w:fill="C6D9F1" w:themeFill="text2" w:themeFillTint="33"/>
            <w:vAlign w:val="center"/>
          </w:tcPr>
          <w:p w:rsidR="00CA682E" w:rsidRPr="00CA682E" w:rsidRDefault="00CA682E" w:rsidP="00CA682E">
            <w:pPr>
              <w:jc w:val="center"/>
              <w:rPr>
                <w:rFonts w:eastAsia="Times New Roman" w:cs="Times New Roman"/>
                <w:b/>
                <w:bCs/>
                <w:color w:val="000000" w:themeColor="text1"/>
                <w:sz w:val="16"/>
                <w:szCs w:val="16"/>
                <w:lang w:eastAsia="en-US"/>
              </w:rPr>
            </w:pPr>
            <w:r w:rsidRPr="00CA682E">
              <w:rPr>
                <w:rFonts w:eastAsia="Times New Roman" w:cs="Times New Roman"/>
                <w:b/>
                <w:bCs/>
                <w:color w:val="000000" w:themeColor="text1"/>
                <w:sz w:val="16"/>
                <w:szCs w:val="16"/>
                <w:lang w:eastAsia="en-US"/>
              </w:rPr>
              <w:t>Beneficios obtenidos en 2015</w:t>
            </w:r>
          </w:p>
        </w:tc>
        <w:tc>
          <w:tcPr>
            <w:tcW w:w="1928" w:type="pct"/>
            <w:tcBorders>
              <w:bottom w:val="single" w:sz="4" w:space="0" w:color="auto"/>
            </w:tcBorders>
            <w:shd w:val="clear" w:color="auto" w:fill="C6D9F1" w:themeFill="text2" w:themeFillTint="33"/>
            <w:vAlign w:val="center"/>
          </w:tcPr>
          <w:p w:rsidR="00CA682E" w:rsidRPr="00CA682E" w:rsidRDefault="00CA682E" w:rsidP="00CA682E">
            <w:pPr>
              <w:jc w:val="center"/>
              <w:rPr>
                <w:rFonts w:eastAsia="Times New Roman" w:cs="Times New Roman"/>
                <w:b/>
                <w:bCs/>
                <w:color w:val="000000" w:themeColor="text1"/>
                <w:sz w:val="16"/>
                <w:szCs w:val="16"/>
                <w:lang w:eastAsia="en-US"/>
              </w:rPr>
            </w:pPr>
            <w:r w:rsidRPr="00CA682E">
              <w:rPr>
                <w:rFonts w:eastAsia="Times New Roman" w:cs="Times New Roman"/>
                <w:b/>
                <w:bCs/>
                <w:color w:val="000000" w:themeColor="text1"/>
                <w:sz w:val="16"/>
                <w:szCs w:val="16"/>
                <w:lang w:eastAsia="en-US"/>
              </w:rPr>
              <w:t xml:space="preserve">Beneficios previstos para 2016 </w:t>
            </w:r>
          </w:p>
        </w:tc>
      </w:tr>
      <w:tr w:rsidR="00CA682E" w:rsidRPr="00CA682E" w:rsidTr="007B1DE4">
        <w:trPr>
          <w:trHeight w:val="564"/>
        </w:trPr>
        <w:tc>
          <w:tcPr>
            <w:tcW w:w="1406" w:type="pct"/>
            <w:tcBorders>
              <w:top w:val="single" w:sz="4" w:space="0" w:color="auto"/>
              <w:bottom w:val="single" w:sz="4" w:space="0" w:color="auto"/>
            </w:tcBorders>
            <w:shd w:val="clear" w:color="auto" w:fill="auto"/>
            <w:tcMar>
              <w:top w:w="113" w:type="dxa"/>
              <w:bottom w:w="113" w:type="dxa"/>
            </w:tcMar>
          </w:tcPr>
          <w:p w:rsidR="00CA682E" w:rsidRPr="00CA682E" w:rsidRDefault="00CA682E" w:rsidP="00CA682E">
            <w:pPr>
              <w:rPr>
                <w:rFonts w:eastAsia="Times New Roman" w:cs="Times New Roman"/>
                <w:bCs/>
                <w:color w:val="000000" w:themeColor="text1"/>
                <w:sz w:val="16"/>
                <w:szCs w:val="16"/>
                <w:lang w:eastAsia="en-US"/>
              </w:rPr>
            </w:pPr>
            <w:r w:rsidRPr="00CA682E">
              <w:rPr>
                <w:rFonts w:eastAsia="Times New Roman" w:cs="Times New Roman"/>
                <w:bCs/>
                <w:color w:val="000000" w:themeColor="text1"/>
                <w:sz w:val="16"/>
                <w:szCs w:val="16"/>
                <w:lang w:eastAsia="en-US"/>
              </w:rPr>
              <w:t>Puesta en servicio del sistema de refrigeración del edificio AB el 13 de agosto de 2014;  reducción parcial del consumo de energía eléctrica</w:t>
            </w:r>
          </w:p>
        </w:tc>
        <w:tc>
          <w:tcPr>
            <w:tcW w:w="1665" w:type="pct"/>
            <w:tcBorders>
              <w:top w:val="single" w:sz="4" w:space="0" w:color="auto"/>
              <w:bottom w:val="single" w:sz="4" w:space="0" w:color="auto"/>
            </w:tcBorders>
          </w:tcPr>
          <w:p w:rsidR="00CA682E" w:rsidRPr="00CA682E" w:rsidRDefault="00CA682E" w:rsidP="00CA682E">
            <w:pPr>
              <w:rPr>
                <w:rFonts w:eastAsia="Times New Roman" w:cs="Times New Roman"/>
                <w:bCs/>
                <w:color w:val="000000" w:themeColor="text1"/>
                <w:sz w:val="16"/>
                <w:szCs w:val="16"/>
                <w:lang w:eastAsia="en-US"/>
              </w:rPr>
            </w:pPr>
            <w:r w:rsidRPr="00CA682E">
              <w:rPr>
                <w:rFonts w:eastAsia="Times New Roman" w:cs="Times New Roman"/>
                <w:bCs/>
                <w:color w:val="000000" w:themeColor="text1"/>
                <w:sz w:val="16"/>
                <w:szCs w:val="16"/>
                <w:lang w:eastAsia="en-US"/>
              </w:rPr>
              <w:t>Reducción del uso de energía eléctrica y del impacto medioambiental del consumo de electricidad necesario para refrigerar el edificio AB</w:t>
            </w:r>
          </w:p>
        </w:tc>
        <w:tc>
          <w:tcPr>
            <w:tcW w:w="1928" w:type="pct"/>
            <w:tcBorders>
              <w:bottom w:val="single" w:sz="4" w:space="0" w:color="auto"/>
              <w:tr2bl w:val="nil"/>
            </w:tcBorders>
          </w:tcPr>
          <w:p w:rsidR="00CA682E" w:rsidRPr="00CA682E" w:rsidRDefault="00CA682E" w:rsidP="00CA682E">
            <w:pPr>
              <w:rPr>
                <w:rFonts w:eastAsia="Times New Roman" w:cs="Times New Roman"/>
                <w:bCs/>
                <w:iCs/>
                <w:color w:val="000000" w:themeColor="text1"/>
                <w:sz w:val="16"/>
                <w:szCs w:val="16"/>
                <w:lang w:eastAsia="en-US"/>
              </w:rPr>
            </w:pPr>
            <w:r w:rsidRPr="00CA682E">
              <w:rPr>
                <w:rFonts w:eastAsia="Times New Roman" w:cs="Times New Roman"/>
                <w:bCs/>
                <w:iCs/>
                <w:color w:val="000000" w:themeColor="text1"/>
                <w:sz w:val="16"/>
                <w:szCs w:val="16"/>
                <w:lang w:eastAsia="en-US"/>
              </w:rPr>
              <w:t>Reducción del consumo de electricidad y del impacto medioambiental del uso de electricidad para refrigerar el edificio PCT</w:t>
            </w:r>
          </w:p>
        </w:tc>
      </w:tr>
      <w:tr w:rsidR="00CA682E" w:rsidRPr="00CA682E" w:rsidTr="007B1DE4">
        <w:trPr>
          <w:trHeight w:val="516"/>
        </w:trPr>
        <w:tc>
          <w:tcPr>
            <w:tcW w:w="1406" w:type="pct"/>
            <w:tcBorders>
              <w:top w:val="single" w:sz="4" w:space="0" w:color="auto"/>
              <w:bottom w:val="single" w:sz="4" w:space="0" w:color="auto"/>
            </w:tcBorders>
            <w:shd w:val="clear" w:color="auto" w:fill="auto"/>
            <w:tcMar>
              <w:top w:w="113" w:type="dxa"/>
              <w:bottom w:w="113" w:type="dxa"/>
            </w:tcMar>
          </w:tcPr>
          <w:p w:rsidR="00CA682E" w:rsidRPr="00CA682E" w:rsidRDefault="00CA682E" w:rsidP="00CA682E">
            <w:pPr>
              <w:rPr>
                <w:rFonts w:eastAsia="Times New Roman" w:cs="Times New Roman"/>
                <w:bCs/>
                <w:color w:val="000000" w:themeColor="text1"/>
                <w:sz w:val="16"/>
                <w:szCs w:val="16"/>
                <w:lang w:eastAsia="en-US"/>
              </w:rPr>
            </w:pPr>
          </w:p>
        </w:tc>
        <w:tc>
          <w:tcPr>
            <w:tcW w:w="1665" w:type="pct"/>
            <w:tcBorders>
              <w:top w:val="single" w:sz="4" w:space="0" w:color="auto"/>
              <w:bottom w:val="single" w:sz="4" w:space="0" w:color="auto"/>
            </w:tcBorders>
          </w:tcPr>
          <w:p w:rsidR="00CA682E" w:rsidRPr="00CA682E" w:rsidRDefault="00CA682E" w:rsidP="00CA682E">
            <w:pPr>
              <w:rPr>
                <w:rFonts w:eastAsia="Times New Roman" w:cs="Times New Roman"/>
                <w:bCs/>
                <w:color w:val="000000" w:themeColor="text1"/>
                <w:sz w:val="16"/>
                <w:szCs w:val="16"/>
                <w:lang w:eastAsia="en-US"/>
              </w:rPr>
            </w:pPr>
            <w:r w:rsidRPr="00CA682E">
              <w:rPr>
                <w:rFonts w:eastAsia="Times New Roman" w:cs="Times New Roman"/>
                <w:bCs/>
                <w:color w:val="000000" w:themeColor="text1"/>
                <w:sz w:val="16"/>
                <w:szCs w:val="16"/>
                <w:lang w:eastAsia="en-US"/>
              </w:rPr>
              <w:t>Reducción de los costos de mantenimiento correctivo del sistema de refrigeración del edificio AB</w:t>
            </w:r>
          </w:p>
        </w:tc>
        <w:tc>
          <w:tcPr>
            <w:tcW w:w="1928" w:type="pct"/>
            <w:tcBorders>
              <w:tr2bl w:val="nil"/>
            </w:tcBorders>
          </w:tcPr>
          <w:p w:rsidR="00CA682E" w:rsidRPr="00CA682E" w:rsidRDefault="00CA682E" w:rsidP="00CA682E">
            <w:pPr>
              <w:rPr>
                <w:rFonts w:eastAsia="Times New Roman" w:cs="Times New Roman"/>
                <w:bCs/>
                <w:iCs/>
                <w:color w:val="000000" w:themeColor="text1"/>
                <w:sz w:val="16"/>
                <w:szCs w:val="16"/>
                <w:lang w:eastAsia="en-US"/>
              </w:rPr>
            </w:pPr>
            <w:r w:rsidRPr="00CA682E">
              <w:rPr>
                <w:rFonts w:eastAsia="Times New Roman" w:cs="Times New Roman"/>
                <w:bCs/>
                <w:iCs/>
                <w:color w:val="000000" w:themeColor="text1"/>
                <w:sz w:val="16"/>
                <w:szCs w:val="16"/>
                <w:lang w:eastAsia="en-US"/>
              </w:rPr>
              <w:t>Reducción de los costos de mantenimiento correctivo del sistema de refrigeración del edificio PCT</w:t>
            </w:r>
          </w:p>
        </w:tc>
      </w:tr>
      <w:tr w:rsidR="00CA682E" w:rsidRPr="00CA682E" w:rsidTr="007B1DE4">
        <w:trPr>
          <w:trHeight w:val="414"/>
        </w:trPr>
        <w:tc>
          <w:tcPr>
            <w:tcW w:w="1406" w:type="pct"/>
            <w:tcBorders>
              <w:top w:val="single" w:sz="4" w:space="0" w:color="auto"/>
              <w:bottom w:val="single" w:sz="4" w:space="0" w:color="auto"/>
            </w:tcBorders>
            <w:shd w:val="clear" w:color="auto" w:fill="auto"/>
            <w:tcMar>
              <w:top w:w="113" w:type="dxa"/>
              <w:bottom w:w="113" w:type="dxa"/>
            </w:tcMar>
          </w:tcPr>
          <w:p w:rsidR="00CA682E" w:rsidRPr="00CA682E" w:rsidRDefault="00CA682E" w:rsidP="00CA682E">
            <w:pPr>
              <w:rPr>
                <w:rFonts w:eastAsia="Times New Roman" w:cs="Times New Roman"/>
                <w:b/>
                <w:bCs/>
                <w:color w:val="000000" w:themeColor="text1"/>
                <w:sz w:val="16"/>
                <w:szCs w:val="16"/>
                <w:u w:val="single"/>
                <w:lang w:eastAsia="en-US"/>
              </w:rPr>
            </w:pPr>
          </w:p>
        </w:tc>
        <w:tc>
          <w:tcPr>
            <w:tcW w:w="1665" w:type="pct"/>
            <w:tcBorders>
              <w:top w:val="single" w:sz="4" w:space="0" w:color="auto"/>
              <w:bottom w:val="single" w:sz="4" w:space="0" w:color="auto"/>
            </w:tcBorders>
          </w:tcPr>
          <w:p w:rsidR="00CA682E" w:rsidRPr="00CA682E" w:rsidRDefault="00CA682E" w:rsidP="00CA682E">
            <w:pPr>
              <w:rPr>
                <w:rFonts w:eastAsia="Times New Roman" w:cs="Times New Roman"/>
                <w:bCs/>
                <w:color w:val="000000" w:themeColor="text1"/>
                <w:sz w:val="16"/>
                <w:szCs w:val="16"/>
                <w:lang w:eastAsia="en-US"/>
              </w:rPr>
            </w:pPr>
            <w:r w:rsidRPr="00CA682E">
              <w:rPr>
                <w:rFonts w:eastAsia="Times New Roman" w:cs="Times New Roman"/>
                <w:bCs/>
                <w:color w:val="000000" w:themeColor="text1"/>
                <w:sz w:val="16"/>
                <w:szCs w:val="16"/>
                <w:lang w:eastAsia="en-US"/>
              </w:rPr>
              <w:t>Aumento del ciclo de vida útil del sistema de refrigeración del edificio AB</w:t>
            </w:r>
          </w:p>
        </w:tc>
        <w:tc>
          <w:tcPr>
            <w:tcW w:w="1928" w:type="pct"/>
          </w:tcPr>
          <w:p w:rsidR="00CA682E" w:rsidRPr="00CA682E" w:rsidRDefault="00CA682E" w:rsidP="00CA682E">
            <w:pPr>
              <w:rPr>
                <w:rFonts w:eastAsia="Times New Roman" w:cs="Times New Roman"/>
                <w:bCs/>
                <w:iCs/>
                <w:color w:val="000000" w:themeColor="text1"/>
                <w:sz w:val="16"/>
                <w:szCs w:val="16"/>
                <w:lang w:eastAsia="en-US"/>
              </w:rPr>
            </w:pPr>
            <w:r w:rsidRPr="00CA682E">
              <w:rPr>
                <w:rFonts w:eastAsia="Times New Roman" w:cs="Times New Roman"/>
                <w:bCs/>
                <w:iCs/>
                <w:color w:val="000000" w:themeColor="text1"/>
                <w:sz w:val="16"/>
                <w:szCs w:val="16"/>
                <w:lang w:eastAsia="en-US"/>
              </w:rPr>
              <w:t>Aumento del ciclo de vida útil del sistema de refrigeración del edificio PCT</w:t>
            </w:r>
          </w:p>
        </w:tc>
      </w:tr>
      <w:tr w:rsidR="00CA682E" w:rsidRPr="00CA682E" w:rsidTr="007B1DE4">
        <w:trPr>
          <w:trHeight w:val="564"/>
        </w:trPr>
        <w:tc>
          <w:tcPr>
            <w:tcW w:w="1406" w:type="pct"/>
            <w:tcBorders>
              <w:top w:val="single" w:sz="4" w:space="0" w:color="auto"/>
              <w:bottom w:val="single" w:sz="4" w:space="0" w:color="auto"/>
            </w:tcBorders>
            <w:shd w:val="clear" w:color="auto" w:fill="auto"/>
            <w:tcMar>
              <w:top w:w="113" w:type="dxa"/>
              <w:bottom w:w="113" w:type="dxa"/>
            </w:tcMar>
          </w:tcPr>
          <w:p w:rsidR="00CA682E" w:rsidRPr="00CA682E" w:rsidRDefault="00CA682E" w:rsidP="00CA682E">
            <w:pPr>
              <w:rPr>
                <w:rFonts w:eastAsia="Times New Roman" w:cs="Times New Roman"/>
                <w:b/>
                <w:bCs/>
                <w:color w:val="000000" w:themeColor="text1"/>
                <w:sz w:val="16"/>
                <w:szCs w:val="16"/>
                <w:u w:val="single"/>
                <w:lang w:eastAsia="en-US"/>
              </w:rPr>
            </w:pPr>
          </w:p>
        </w:tc>
        <w:tc>
          <w:tcPr>
            <w:tcW w:w="1665" w:type="pct"/>
            <w:tcBorders>
              <w:top w:val="single" w:sz="4" w:space="0" w:color="auto"/>
              <w:bottom w:val="single" w:sz="4" w:space="0" w:color="auto"/>
            </w:tcBorders>
          </w:tcPr>
          <w:p w:rsidR="00CA682E" w:rsidRPr="00CA682E" w:rsidRDefault="00CA682E" w:rsidP="00CA682E">
            <w:pPr>
              <w:rPr>
                <w:rFonts w:eastAsia="Times New Roman" w:cs="Times New Roman"/>
                <w:bCs/>
                <w:color w:val="000000" w:themeColor="text1"/>
                <w:sz w:val="16"/>
                <w:szCs w:val="16"/>
                <w:lang w:eastAsia="en-US"/>
              </w:rPr>
            </w:pPr>
            <w:r w:rsidRPr="00CA682E">
              <w:rPr>
                <w:rFonts w:eastAsia="Times New Roman" w:cs="Times New Roman"/>
                <w:bCs/>
                <w:color w:val="000000" w:themeColor="text1"/>
                <w:sz w:val="16"/>
                <w:szCs w:val="16"/>
                <w:lang w:eastAsia="en-US"/>
              </w:rPr>
              <w:t>Instalación y mantenimiento de un sistema de refrigeración más respetuoso del medio ambiente en el edificio AB</w:t>
            </w:r>
          </w:p>
        </w:tc>
        <w:tc>
          <w:tcPr>
            <w:tcW w:w="1928" w:type="pct"/>
          </w:tcPr>
          <w:p w:rsidR="00CA682E" w:rsidRPr="00CA682E" w:rsidRDefault="00CA682E" w:rsidP="00CA682E">
            <w:pPr>
              <w:rPr>
                <w:rFonts w:eastAsia="Times New Roman" w:cs="Times New Roman"/>
                <w:bCs/>
                <w:iCs/>
                <w:color w:val="000000" w:themeColor="text1"/>
                <w:sz w:val="16"/>
                <w:szCs w:val="16"/>
                <w:lang w:eastAsia="en-US"/>
              </w:rPr>
            </w:pPr>
            <w:r w:rsidRPr="00CA682E">
              <w:rPr>
                <w:rFonts w:eastAsia="Times New Roman" w:cs="Times New Roman"/>
                <w:bCs/>
                <w:iCs/>
                <w:color w:val="000000" w:themeColor="text1"/>
                <w:sz w:val="16"/>
                <w:szCs w:val="16"/>
                <w:lang w:eastAsia="en-US"/>
              </w:rPr>
              <w:t>Instalación y mantenimiento de un sistema de refrigeración más respetuoso del medio ambiente en el edificio PCT</w:t>
            </w:r>
          </w:p>
        </w:tc>
      </w:tr>
      <w:tr w:rsidR="00CA682E" w:rsidRPr="00CA682E" w:rsidTr="007B1DE4">
        <w:trPr>
          <w:trHeight w:val="564"/>
        </w:trPr>
        <w:tc>
          <w:tcPr>
            <w:tcW w:w="1406" w:type="pct"/>
            <w:tcBorders>
              <w:top w:val="single" w:sz="4" w:space="0" w:color="auto"/>
              <w:bottom w:val="single" w:sz="4" w:space="0" w:color="auto"/>
            </w:tcBorders>
            <w:shd w:val="clear" w:color="auto" w:fill="auto"/>
            <w:tcMar>
              <w:top w:w="113" w:type="dxa"/>
              <w:bottom w:w="113" w:type="dxa"/>
            </w:tcMar>
          </w:tcPr>
          <w:p w:rsidR="00CA682E" w:rsidRPr="00CA682E" w:rsidRDefault="00CA682E" w:rsidP="00CA682E">
            <w:pPr>
              <w:rPr>
                <w:rFonts w:eastAsia="Times New Roman" w:cs="Times New Roman"/>
                <w:b/>
                <w:bCs/>
                <w:color w:val="000000" w:themeColor="text1"/>
                <w:sz w:val="16"/>
                <w:szCs w:val="16"/>
                <w:u w:val="single"/>
                <w:lang w:eastAsia="en-US"/>
              </w:rPr>
            </w:pPr>
          </w:p>
        </w:tc>
        <w:tc>
          <w:tcPr>
            <w:tcW w:w="1665" w:type="pct"/>
            <w:tcBorders>
              <w:top w:val="single" w:sz="4" w:space="0" w:color="auto"/>
              <w:bottom w:val="single" w:sz="4" w:space="0" w:color="auto"/>
            </w:tcBorders>
          </w:tcPr>
          <w:p w:rsidR="00CA682E" w:rsidRPr="00CA682E" w:rsidRDefault="00CA682E" w:rsidP="00CA682E">
            <w:pPr>
              <w:rPr>
                <w:rFonts w:eastAsia="Times New Roman" w:cs="Times New Roman"/>
                <w:bCs/>
                <w:color w:val="000000" w:themeColor="text1"/>
                <w:sz w:val="16"/>
                <w:szCs w:val="16"/>
                <w:lang w:eastAsia="en-US"/>
              </w:rPr>
            </w:pPr>
            <w:r w:rsidRPr="00CA682E">
              <w:rPr>
                <w:rFonts w:eastAsia="Times New Roman" w:cs="Times New Roman"/>
                <w:bCs/>
                <w:color w:val="000000" w:themeColor="text1"/>
                <w:sz w:val="16"/>
                <w:szCs w:val="16"/>
                <w:lang w:eastAsia="en-US"/>
              </w:rPr>
              <w:t>Puesta en servicio del sistema de refrigeración del edificio PCT en octubre de 2015 y reducción parcial del consumo de electricidad</w:t>
            </w:r>
          </w:p>
        </w:tc>
        <w:tc>
          <w:tcPr>
            <w:tcW w:w="1928" w:type="pct"/>
          </w:tcPr>
          <w:p w:rsidR="00CA682E" w:rsidRPr="00CA682E" w:rsidRDefault="00CA682E" w:rsidP="00CA682E">
            <w:pPr>
              <w:rPr>
                <w:rFonts w:eastAsia="Times New Roman" w:cs="Times New Roman"/>
                <w:bCs/>
                <w:iCs/>
                <w:color w:val="000000" w:themeColor="text1"/>
                <w:sz w:val="16"/>
                <w:szCs w:val="16"/>
                <w:lang w:eastAsia="en-US"/>
              </w:rPr>
            </w:pPr>
          </w:p>
        </w:tc>
      </w:tr>
    </w:tbl>
    <w:p w:rsidR="00CA682E" w:rsidRPr="00CA682E" w:rsidRDefault="00CA682E" w:rsidP="00CA682E">
      <w:pPr>
        <w:rPr>
          <w:rFonts w:eastAsia="Times New Roman" w:cs="Times New Roman"/>
          <w:color w:val="000000" w:themeColor="text1"/>
          <w:sz w:val="20"/>
          <w:lang w:eastAsia="en-US"/>
        </w:rPr>
      </w:pPr>
    </w:p>
    <w:p w:rsidR="00CA682E" w:rsidRPr="00CA682E" w:rsidRDefault="00CA682E" w:rsidP="00CA682E">
      <w:pPr>
        <w:rPr>
          <w:rFonts w:eastAsia="Times New Roman" w:cs="Times New Roman"/>
          <w:color w:val="000000" w:themeColor="text1"/>
          <w:sz w:val="20"/>
          <w:lang w:eastAsia="en-US"/>
        </w:rPr>
      </w:pPr>
    </w:p>
    <w:p w:rsidR="00CA682E" w:rsidRPr="00CA682E" w:rsidRDefault="00CA682E" w:rsidP="00CA682E">
      <w:pPr>
        <w:rPr>
          <w:rFonts w:eastAsia="Times New Roman"/>
          <w:color w:val="000000" w:themeColor="text1"/>
          <w:sz w:val="20"/>
          <w:lang w:eastAsia="en-US"/>
        </w:rPr>
      </w:pPr>
      <w:r w:rsidRPr="00CA682E">
        <w:rPr>
          <w:rFonts w:eastAsia="Times New Roman"/>
          <w:color w:val="000000" w:themeColor="text1"/>
          <w:sz w:val="20"/>
          <w:lang w:eastAsia="en-US"/>
        </w:rPr>
        <w:t>UTILIZACIÓN DE LOS RECURSOS</w:t>
      </w:r>
      <w:r w:rsidRPr="00CA682E">
        <w:rPr>
          <w:rFonts w:eastAsia="Times New Roman"/>
          <w:color w:val="000000" w:themeColor="text1"/>
          <w:sz w:val="20"/>
          <w:vertAlign w:val="superscript"/>
          <w:lang w:eastAsia="en-US"/>
        </w:rPr>
        <w:footnoteReference w:id="177"/>
      </w:r>
    </w:p>
    <w:p w:rsidR="00CA682E" w:rsidRPr="00CA682E" w:rsidRDefault="00CA682E" w:rsidP="00CA682E">
      <w:pPr>
        <w:rPr>
          <w:rFonts w:eastAsia="Times New Roman"/>
          <w:color w:val="000000" w:themeColor="text1"/>
          <w:sz w:val="20"/>
          <w:lang w:eastAsia="en-US"/>
        </w:rPr>
      </w:pPr>
    </w:p>
    <w:p w:rsidR="00CA682E" w:rsidRPr="00CA682E" w:rsidRDefault="00CA682E" w:rsidP="00CA682E">
      <w:pPr>
        <w:rPr>
          <w:rFonts w:eastAsia="Times New Roman"/>
          <w:color w:val="000000" w:themeColor="text1"/>
          <w:sz w:val="20"/>
          <w:lang w:eastAsia="en-US"/>
        </w:rPr>
      </w:pPr>
    </w:p>
    <w:p w:rsidR="00CA682E" w:rsidRPr="00CA682E" w:rsidRDefault="00CA682E" w:rsidP="00CA682E">
      <w:pPr>
        <w:keepNext/>
        <w:keepLines/>
        <w:tabs>
          <w:tab w:val="left" w:pos="3261"/>
        </w:tabs>
        <w:autoSpaceDE w:val="0"/>
        <w:autoSpaceDN w:val="0"/>
        <w:adjustRightInd w:val="0"/>
        <w:jc w:val="center"/>
        <w:rPr>
          <w:rFonts w:eastAsia="Times New Roman" w:cs="Times New Roman"/>
          <w:b/>
          <w:color w:val="000000" w:themeColor="text1"/>
          <w:sz w:val="20"/>
          <w:szCs w:val="22"/>
          <w:lang w:eastAsia="en-US"/>
        </w:rPr>
      </w:pPr>
      <w:r w:rsidRPr="00CA682E">
        <w:rPr>
          <w:rFonts w:eastAsia="Times New Roman" w:cs="Times New Roman"/>
          <w:b/>
          <w:color w:val="000000" w:themeColor="text1"/>
          <w:sz w:val="20"/>
          <w:szCs w:val="22"/>
          <w:lang w:eastAsia="en-US"/>
        </w:rPr>
        <w:t>Utilización del presupuesto del proyecto</w:t>
      </w:r>
    </w:p>
    <w:p w:rsidR="00CA682E" w:rsidRPr="00CA682E" w:rsidRDefault="00CA682E" w:rsidP="00CA682E">
      <w:pPr>
        <w:keepNext/>
        <w:keepLines/>
        <w:tabs>
          <w:tab w:val="left" w:pos="3261"/>
        </w:tabs>
        <w:autoSpaceDE w:val="0"/>
        <w:autoSpaceDN w:val="0"/>
        <w:adjustRightInd w:val="0"/>
        <w:spacing w:after="120"/>
        <w:jc w:val="center"/>
        <w:rPr>
          <w:rFonts w:eastAsia="Times New Roman" w:cs="Times New Roman"/>
          <w:i/>
          <w:iCs/>
          <w:color w:val="000000" w:themeColor="text1"/>
          <w:sz w:val="18"/>
          <w:szCs w:val="18"/>
          <w:lang w:eastAsia="en-US"/>
        </w:rPr>
      </w:pPr>
      <w:r w:rsidRPr="00CA682E">
        <w:rPr>
          <w:rFonts w:eastAsia="Times New Roman" w:cs="Times New Roman"/>
          <w:i/>
          <w:iCs/>
          <w:color w:val="000000" w:themeColor="text1"/>
          <w:sz w:val="18"/>
          <w:szCs w:val="18"/>
          <w:lang w:eastAsia="en-US"/>
        </w:rPr>
        <w:t>(</w:t>
      </w:r>
      <w:proofErr w:type="gramStart"/>
      <w:r w:rsidRPr="00CA682E">
        <w:rPr>
          <w:rFonts w:eastAsia="Times New Roman" w:cs="Times New Roman"/>
          <w:i/>
          <w:iCs/>
          <w:color w:val="000000" w:themeColor="text1"/>
          <w:sz w:val="18"/>
          <w:szCs w:val="18"/>
          <w:lang w:eastAsia="en-US"/>
        </w:rPr>
        <w:t>en</w:t>
      </w:r>
      <w:proofErr w:type="gramEnd"/>
      <w:r w:rsidRPr="00CA682E">
        <w:rPr>
          <w:rFonts w:eastAsia="Times New Roman" w:cs="Times New Roman"/>
          <w:i/>
          <w:iCs/>
          <w:color w:val="000000" w:themeColor="text1"/>
          <w:sz w:val="18"/>
          <w:szCs w:val="18"/>
          <w:lang w:eastAsia="en-US"/>
        </w:rPr>
        <w:t xml:space="preserve"> francos suizos, al 31 de diciembre de 2015)</w:t>
      </w:r>
    </w:p>
    <w:tbl>
      <w:tblPr>
        <w:tblpPr w:leftFromText="180" w:rightFromText="180" w:vertAnchor="text" w:horzAnchor="margin" w:tblpX="182" w:tblpY="17"/>
        <w:tblW w:w="48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0"/>
        <w:gridCol w:w="1564"/>
        <w:gridCol w:w="1565"/>
        <w:gridCol w:w="1565"/>
        <w:gridCol w:w="1564"/>
      </w:tblGrid>
      <w:tr w:rsidR="00CA682E" w:rsidRPr="00CA682E" w:rsidTr="007B1DE4">
        <w:trPr>
          <w:trHeight w:val="410"/>
        </w:trPr>
        <w:tc>
          <w:tcPr>
            <w:tcW w:w="159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keepNext/>
              <w:keepLines/>
              <w:autoSpaceDE w:val="0"/>
              <w:autoSpaceDN w:val="0"/>
              <w:adjustRightInd w:val="0"/>
              <w:spacing w:before="40" w:after="40"/>
              <w:ind w:left="-74" w:right="-60"/>
              <w:jc w:val="center"/>
              <w:rPr>
                <w:rFonts w:eastAsia="Times New Roman" w:cs="Times New Roman"/>
                <w:b/>
                <w:bCs/>
                <w:color w:val="000000" w:themeColor="text1"/>
                <w:sz w:val="16"/>
                <w:szCs w:val="16"/>
                <w:lang w:eastAsia="en-US"/>
              </w:rPr>
            </w:pPr>
            <w:r w:rsidRPr="00CA682E">
              <w:rPr>
                <w:rFonts w:eastAsia="Times New Roman" w:cs="Times New Roman"/>
                <w:b/>
                <w:bCs/>
                <w:color w:val="000000" w:themeColor="text1"/>
                <w:sz w:val="16"/>
                <w:szCs w:val="16"/>
                <w:lang w:eastAsia="en-US"/>
              </w:rPr>
              <w:t>Nombre del proyecto</w:t>
            </w:r>
          </w:p>
        </w:tc>
        <w:tc>
          <w:tcPr>
            <w:tcW w:w="85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keepNext/>
              <w:keepLines/>
              <w:autoSpaceDE w:val="0"/>
              <w:autoSpaceDN w:val="0"/>
              <w:adjustRightInd w:val="0"/>
              <w:spacing w:before="40" w:after="40"/>
              <w:ind w:left="-107" w:right="-108"/>
              <w:jc w:val="center"/>
              <w:rPr>
                <w:rFonts w:eastAsia="Times New Roman" w:cs="Times New Roman"/>
                <w:b/>
                <w:bCs/>
                <w:color w:val="000000" w:themeColor="text1"/>
                <w:sz w:val="16"/>
                <w:szCs w:val="16"/>
                <w:lang w:eastAsia="en-US"/>
              </w:rPr>
            </w:pPr>
            <w:r w:rsidRPr="00CA682E">
              <w:rPr>
                <w:rFonts w:eastAsia="Times New Roman" w:cs="Times New Roman"/>
                <w:b/>
                <w:bCs/>
                <w:color w:val="000000" w:themeColor="text1"/>
                <w:sz w:val="16"/>
                <w:szCs w:val="16"/>
                <w:lang w:eastAsia="en-US"/>
              </w:rPr>
              <w:t>Presupuesto del proyecto</w:t>
            </w:r>
          </w:p>
        </w:tc>
        <w:tc>
          <w:tcPr>
            <w:tcW w:w="85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keepNext/>
              <w:keepLines/>
              <w:autoSpaceDE w:val="0"/>
              <w:autoSpaceDN w:val="0"/>
              <w:adjustRightInd w:val="0"/>
              <w:spacing w:before="40" w:after="40"/>
              <w:ind w:left="-108" w:right="-106"/>
              <w:jc w:val="center"/>
              <w:rPr>
                <w:rFonts w:eastAsia="Times New Roman" w:cs="Times New Roman"/>
                <w:b/>
                <w:bCs/>
                <w:color w:val="000000" w:themeColor="text1"/>
                <w:sz w:val="16"/>
                <w:szCs w:val="16"/>
                <w:lang w:eastAsia="en-US"/>
              </w:rPr>
            </w:pPr>
            <w:r w:rsidRPr="00CA682E">
              <w:rPr>
                <w:rFonts w:eastAsia="Times New Roman" w:cs="Times New Roman"/>
                <w:b/>
                <w:bCs/>
                <w:color w:val="000000" w:themeColor="text1"/>
                <w:sz w:val="16"/>
                <w:szCs w:val="16"/>
                <w:lang w:eastAsia="en-US"/>
              </w:rPr>
              <w:t>Gasto real hasta la fecha</w:t>
            </w:r>
          </w:p>
        </w:tc>
        <w:tc>
          <w:tcPr>
            <w:tcW w:w="85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keepNext/>
              <w:keepLines/>
              <w:autoSpaceDE w:val="0"/>
              <w:autoSpaceDN w:val="0"/>
              <w:adjustRightInd w:val="0"/>
              <w:spacing w:before="40" w:after="40"/>
              <w:ind w:left="-109" w:right="-108"/>
              <w:jc w:val="center"/>
              <w:rPr>
                <w:rFonts w:eastAsia="Times New Roman" w:cs="Times New Roman"/>
                <w:b/>
                <w:bCs/>
                <w:color w:val="000000" w:themeColor="text1"/>
                <w:sz w:val="16"/>
                <w:szCs w:val="16"/>
                <w:lang w:eastAsia="en-US"/>
              </w:rPr>
            </w:pPr>
            <w:r w:rsidRPr="00CA682E">
              <w:rPr>
                <w:rFonts w:eastAsia="Times New Roman" w:cs="Times New Roman"/>
                <w:b/>
                <w:bCs/>
                <w:color w:val="000000" w:themeColor="text1"/>
                <w:sz w:val="16"/>
                <w:szCs w:val="16"/>
                <w:lang w:eastAsia="en-US"/>
              </w:rPr>
              <w:t>Utilización real del presupuesto</w:t>
            </w:r>
          </w:p>
        </w:tc>
        <w:tc>
          <w:tcPr>
            <w:tcW w:w="85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keepNext/>
              <w:keepLines/>
              <w:autoSpaceDE w:val="0"/>
              <w:autoSpaceDN w:val="0"/>
              <w:adjustRightInd w:val="0"/>
              <w:spacing w:before="40" w:after="40"/>
              <w:ind w:left="-109" w:right="-73" w:firstLine="1"/>
              <w:jc w:val="center"/>
              <w:rPr>
                <w:rFonts w:eastAsia="Times New Roman" w:cs="Times New Roman"/>
                <w:b/>
                <w:bCs/>
                <w:color w:val="000000" w:themeColor="text1"/>
                <w:sz w:val="16"/>
                <w:szCs w:val="16"/>
                <w:lang w:eastAsia="en-US"/>
              </w:rPr>
            </w:pPr>
            <w:r w:rsidRPr="00CA682E">
              <w:rPr>
                <w:rFonts w:eastAsia="Times New Roman" w:cs="Times New Roman"/>
                <w:b/>
                <w:bCs/>
                <w:color w:val="000000" w:themeColor="text1"/>
                <w:sz w:val="16"/>
                <w:szCs w:val="16"/>
                <w:lang w:eastAsia="en-US"/>
              </w:rPr>
              <w:t>Índice de avance en la ejecución del proyecto</w:t>
            </w:r>
          </w:p>
        </w:tc>
      </w:tr>
      <w:tr w:rsidR="00CA682E" w:rsidRPr="00CA682E" w:rsidTr="007B1DE4">
        <w:trPr>
          <w:trHeight w:val="389"/>
        </w:trPr>
        <w:tc>
          <w:tcPr>
            <w:tcW w:w="1598"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Instalación en los edificios AB y PCT de un sistema de refrigeración que utiliza el agua del lago de Ginebra (“GLN”)</w:t>
            </w:r>
          </w:p>
        </w:tc>
        <w:tc>
          <w:tcPr>
            <w:tcW w:w="850"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750.000</w:t>
            </w:r>
          </w:p>
        </w:tc>
        <w:tc>
          <w:tcPr>
            <w:tcW w:w="851"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262.727</w:t>
            </w:r>
          </w:p>
        </w:tc>
        <w:tc>
          <w:tcPr>
            <w:tcW w:w="851"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35%</w:t>
            </w:r>
          </w:p>
        </w:tc>
        <w:tc>
          <w:tcPr>
            <w:tcW w:w="850"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AB 100%</w:t>
            </w:r>
          </w:p>
          <w:p w:rsidR="00CA682E" w:rsidRPr="00CA682E" w:rsidRDefault="00CA682E" w:rsidP="00CA682E">
            <w:pPr>
              <w:keepNext/>
              <w:keepLines/>
              <w:autoSpaceDE w:val="0"/>
              <w:autoSpaceDN w:val="0"/>
              <w:adjustRightInd w:val="0"/>
              <w:spacing w:before="40"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PCT 90%</w:t>
            </w:r>
          </w:p>
        </w:tc>
      </w:tr>
    </w:tbl>
    <w:p w:rsidR="00CA682E" w:rsidRPr="00CA682E" w:rsidRDefault="00CA682E" w:rsidP="00CA682E">
      <w:pPr>
        <w:keepNext/>
        <w:autoSpaceDE w:val="0"/>
        <w:autoSpaceDN w:val="0"/>
        <w:rPr>
          <w:rFonts w:eastAsia="Times New Roman" w:cs="Times New Roman"/>
          <w:color w:val="000000" w:themeColor="text1"/>
          <w:sz w:val="16"/>
          <w:szCs w:val="16"/>
          <w:lang w:eastAsia="en-US"/>
        </w:rPr>
      </w:pPr>
    </w:p>
    <w:p w:rsidR="00CA682E" w:rsidRPr="00CA682E" w:rsidRDefault="00CA682E" w:rsidP="00CA682E">
      <w:pPr>
        <w:keepNext/>
        <w:autoSpaceDE w:val="0"/>
        <w:autoSpaceDN w:val="0"/>
        <w:rPr>
          <w:rFonts w:eastAsia="Times New Roman" w:cs="Times New Roman"/>
          <w:color w:val="000000" w:themeColor="text1"/>
          <w:sz w:val="16"/>
          <w:szCs w:val="16"/>
          <w:lang w:eastAsia="en-US"/>
        </w:rPr>
      </w:pPr>
    </w:p>
    <w:p w:rsidR="00AD72C1" w:rsidRDefault="00AD72C1">
      <w:pPr>
        <w:rPr>
          <w:rFonts w:eastAsia="Times New Roman" w:cs="Times New Roman"/>
          <w:color w:val="000000" w:themeColor="text1"/>
          <w:sz w:val="16"/>
          <w:szCs w:val="16"/>
          <w:lang w:eastAsia="en-US"/>
        </w:rPr>
      </w:pPr>
      <w:r>
        <w:rPr>
          <w:rFonts w:eastAsia="Times New Roman" w:cs="Times New Roman"/>
          <w:color w:val="000000" w:themeColor="text1"/>
          <w:sz w:val="16"/>
          <w:szCs w:val="16"/>
          <w:lang w:eastAsia="en-US"/>
        </w:rPr>
        <w:br w:type="page"/>
      </w:r>
    </w:p>
    <w:p w:rsidR="00CA682E" w:rsidRPr="00CA682E" w:rsidRDefault="00CA682E" w:rsidP="00CA682E">
      <w:pPr>
        <w:keepNext/>
        <w:autoSpaceDE w:val="0"/>
        <w:autoSpaceDN w:val="0"/>
        <w:rPr>
          <w:rFonts w:eastAsia="Times New Roman" w:cs="Times New Roman"/>
          <w:color w:val="000000" w:themeColor="text1"/>
          <w:sz w:val="16"/>
          <w:szCs w:val="16"/>
          <w:lang w:eastAsia="en-US"/>
        </w:rPr>
      </w:pPr>
    </w:p>
    <w:p w:rsidR="00CA682E" w:rsidRPr="00CA682E" w:rsidRDefault="00CA682E" w:rsidP="00AD72C1">
      <w:pPr>
        <w:keepLines/>
        <w:tabs>
          <w:tab w:val="left" w:pos="3261"/>
        </w:tabs>
        <w:autoSpaceDE w:val="0"/>
        <w:autoSpaceDN w:val="0"/>
        <w:adjustRightInd w:val="0"/>
        <w:jc w:val="center"/>
        <w:rPr>
          <w:rFonts w:eastAsia="Times New Roman" w:cs="Times New Roman"/>
          <w:b/>
          <w:color w:val="000000" w:themeColor="text1"/>
          <w:sz w:val="20"/>
          <w:szCs w:val="22"/>
          <w:lang w:eastAsia="en-US"/>
        </w:rPr>
      </w:pPr>
      <w:r w:rsidRPr="00CA682E">
        <w:rPr>
          <w:rFonts w:eastAsia="Times New Roman" w:cs="Times New Roman"/>
          <w:b/>
          <w:color w:val="000000" w:themeColor="text1"/>
          <w:sz w:val="20"/>
          <w:szCs w:val="22"/>
          <w:lang w:eastAsia="en-US"/>
        </w:rPr>
        <w:t>Utilización del presupuesto del proyecto (por etapa)</w:t>
      </w:r>
    </w:p>
    <w:p w:rsidR="00CA682E" w:rsidRPr="00CA682E" w:rsidRDefault="00CA682E" w:rsidP="00AD72C1">
      <w:pPr>
        <w:keepLines/>
        <w:tabs>
          <w:tab w:val="left" w:pos="3261"/>
        </w:tabs>
        <w:autoSpaceDE w:val="0"/>
        <w:autoSpaceDN w:val="0"/>
        <w:adjustRightInd w:val="0"/>
        <w:spacing w:after="120"/>
        <w:jc w:val="center"/>
        <w:rPr>
          <w:rFonts w:eastAsia="Times New Roman" w:cs="Times New Roman"/>
          <w:i/>
          <w:iCs/>
          <w:color w:val="000000" w:themeColor="text1"/>
          <w:sz w:val="18"/>
          <w:szCs w:val="18"/>
          <w:lang w:eastAsia="en-US"/>
        </w:rPr>
      </w:pPr>
      <w:r w:rsidRPr="00CA682E">
        <w:rPr>
          <w:rFonts w:eastAsia="Times New Roman" w:cs="Times New Roman"/>
          <w:i/>
          <w:iCs/>
          <w:color w:val="000000" w:themeColor="text1"/>
          <w:sz w:val="18"/>
          <w:szCs w:val="18"/>
          <w:lang w:eastAsia="en-US"/>
        </w:rPr>
        <w:t>(</w:t>
      </w:r>
      <w:proofErr w:type="gramStart"/>
      <w:r w:rsidRPr="00CA682E">
        <w:rPr>
          <w:rFonts w:eastAsia="Times New Roman" w:cs="Times New Roman"/>
          <w:i/>
          <w:iCs/>
          <w:color w:val="000000" w:themeColor="text1"/>
          <w:sz w:val="18"/>
          <w:szCs w:val="18"/>
          <w:lang w:eastAsia="en-US"/>
        </w:rPr>
        <w:t>en</w:t>
      </w:r>
      <w:proofErr w:type="gramEnd"/>
      <w:r w:rsidRPr="00CA682E">
        <w:rPr>
          <w:rFonts w:eastAsia="Times New Roman" w:cs="Times New Roman"/>
          <w:i/>
          <w:iCs/>
          <w:color w:val="000000" w:themeColor="text1"/>
          <w:sz w:val="18"/>
          <w:szCs w:val="18"/>
          <w:lang w:eastAsia="en-US"/>
        </w:rPr>
        <w:t xml:space="preserve"> francos suizos, al 31 de diciembre de 2015)</w:t>
      </w:r>
    </w:p>
    <w:tbl>
      <w:tblPr>
        <w:tblpPr w:leftFromText="180" w:rightFromText="180" w:vertAnchor="text" w:horzAnchor="margin" w:tblpX="182" w:tblpY="17"/>
        <w:tblW w:w="47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2"/>
        <w:gridCol w:w="1517"/>
        <w:gridCol w:w="1517"/>
        <w:gridCol w:w="1517"/>
        <w:gridCol w:w="1838"/>
      </w:tblGrid>
      <w:tr w:rsidR="00CA682E" w:rsidRPr="00CA682E" w:rsidTr="007B1DE4">
        <w:trPr>
          <w:trHeight w:val="389"/>
        </w:trPr>
        <w:tc>
          <w:tcPr>
            <w:tcW w:w="152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AD72C1">
            <w:pPr>
              <w:keepLines/>
              <w:autoSpaceDE w:val="0"/>
              <w:autoSpaceDN w:val="0"/>
              <w:adjustRightInd w:val="0"/>
              <w:spacing w:before="40" w:after="40"/>
              <w:ind w:left="-74" w:right="-60"/>
              <w:jc w:val="center"/>
              <w:rPr>
                <w:rFonts w:eastAsia="Times New Roman" w:cs="Times New Roman"/>
                <w:b/>
                <w:bCs/>
                <w:color w:val="000000" w:themeColor="text1"/>
                <w:sz w:val="16"/>
                <w:szCs w:val="16"/>
                <w:lang w:eastAsia="en-US"/>
              </w:rPr>
            </w:pPr>
            <w:r w:rsidRPr="00CA682E">
              <w:rPr>
                <w:rFonts w:eastAsia="Times New Roman" w:cs="Times New Roman"/>
                <w:b/>
                <w:bCs/>
                <w:color w:val="000000" w:themeColor="text1"/>
                <w:sz w:val="16"/>
                <w:szCs w:val="16"/>
                <w:lang w:eastAsia="en-US"/>
              </w:rPr>
              <w:t>Etapa fundamental</w:t>
            </w:r>
          </w:p>
        </w:tc>
        <w:tc>
          <w:tcPr>
            <w:tcW w:w="82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AD72C1">
            <w:pPr>
              <w:keepLines/>
              <w:autoSpaceDE w:val="0"/>
              <w:autoSpaceDN w:val="0"/>
              <w:adjustRightInd w:val="0"/>
              <w:spacing w:before="40" w:after="40"/>
              <w:ind w:left="-107" w:right="-108"/>
              <w:jc w:val="center"/>
              <w:rPr>
                <w:rFonts w:eastAsia="Times New Roman" w:cs="Times New Roman"/>
                <w:b/>
                <w:bCs/>
                <w:color w:val="000000" w:themeColor="text1"/>
                <w:sz w:val="16"/>
                <w:szCs w:val="16"/>
                <w:lang w:eastAsia="en-US"/>
              </w:rPr>
            </w:pPr>
            <w:r w:rsidRPr="00CA682E">
              <w:rPr>
                <w:rFonts w:eastAsia="Times New Roman" w:cs="Times New Roman"/>
                <w:b/>
                <w:bCs/>
                <w:color w:val="000000" w:themeColor="text1"/>
                <w:sz w:val="16"/>
                <w:szCs w:val="16"/>
                <w:lang w:eastAsia="en-US"/>
              </w:rPr>
              <w:t>Presupuesto del proyecto</w:t>
            </w:r>
          </w:p>
        </w:tc>
        <w:tc>
          <w:tcPr>
            <w:tcW w:w="82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AD72C1">
            <w:pPr>
              <w:keepLines/>
              <w:autoSpaceDE w:val="0"/>
              <w:autoSpaceDN w:val="0"/>
              <w:adjustRightInd w:val="0"/>
              <w:spacing w:before="40" w:after="40"/>
              <w:ind w:left="-108" w:right="-106"/>
              <w:jc w:val="center"/>
              <w:rPr>
                <w:rFonts w:eastAsia="Times New Roman" w:cs="Times New Roman"/>
                <w:b/>
                <w:bCs/>
                <w:color w:val="000000" w:themeColor="text1"/>
                <w:sz w:val="16"/>
                <w:szCs w:val="16"/>
                <w:lang w:eastAsia="en-US"/>
              </w:rPr>
            </w:pPr>
            <w:r w:rsidRPr="00CA682E">
              <w:rPr>
                <w:rFonts w:eastAsia="Times New Roman" w:cs="Times New Roman"/>
                <w:b/>
                <w:bCs/>
                <w:color w:val="000000" w:themeColor="text1"/>
                <w:sz w:val="16"/>
                <w:szCs w:val="16"/>
                <w:lang w:eastAsia="en-US"/>
              </w:rPr>
              <w:t>Gasto real hasta la fecha</w:t>
            </w:r>
          </w:p>
        </w:tc>
        <w:tc>
          <w:tcPr>
            <w:tcW w:w="82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AD72C1">
            <w:pPr>
              <w:keepLines/>
              <w:autoSpaceDE w:val="0"/>
              <w:autoSpaceDN w:val="0"/>
              <w:adjustRightInd w:val="0"/>
              <w:spacing w:before="40" w:after="40"/>
              <w:ind w:left="-109" w:right="-108"/>
              <w:jc w:val="center"/>
              <w:rPr>
                <w:rFonts w:eastAsia="Times New Roman" w:cs="Times New Roman"/>
                <w:b/>
                <w:bCs/>
                <w:color w:val="000000" w:themeColor="text1"/>
                <w:sz w:val="16"/>
                <w:szCs w:val="16"/>
                <w:lang w:eastAsia="en-US"/>
              </w:rPr>
            </w:pPr>
            <w:r w:rsidRPr="00CA682E">
              <w:rPr>
                <w:rFonts w:eastAsia="Times New Roman" w:cs="Times New Roman"/>
                <w:b/>
                <w:bCs/>
                <w:color w:val="000000" w:themeColor="text1"/>
                <w:sz w:val="16"/>
                <w:szCs w:val="16"/>
                <w:lang w:eastAsia="en-US"/>
              </w:rPr>
              <w:t>Utilización real del presupuesto</w:t>
            </w:r>
          </w:p>
        </w:tc>
        <w:tc>
          <w:tcPr>
            <w:tcW w:w="100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AD72C1">
            <w:pPr>
              <w:keepLines/>
              <w:autoSpaceDE w:val="0"/>
              <w:autoSpaceDN w:val="0"/>
              <w:adjustRightInd w:val="0"/>
              <w:spacing w:before="40" w:after="40"/>
              <w:ind w:left="-109" w:right="-73" w:firstLine="1"/>
              <w:jc w:val="center"/>
              <w:rPr>
                <w:rFonts w:eastAsia="Times New Roman" w:cs="Times New Roman"/>
                <w:b/>
                <w:bCs/>
                <w:color w:val="000000" w:themeColor="text1"/>
                <w:sz w:val="16"/>
                <w:szCs w:val="16"/>
                <w:lang w:eastAsia="en-US"/>
              </w:rPr>
            </w:pPr>
            <w:r w:rsidRPr="00CA682E">
              <w:rPr>
                <w:rFonts w:eastAsia="Times New Roman" w:cs="Times New Roman"/>
                <w:b/>
                <w:bCs/>
                <w:color w:val="000000" w:themeColor="text1"/>
                <w:sz w:val="16"/>
                <w:szCs w:val="16"/>
                <w:lang w:eastAsia="en-US"/>
              </w:rPr>
              <w:t>Índice de avance en la ejecución del proyecto</w:t>
            </w:r>
          </w:p>
        </w:tc>
      </w:tr>
      <w:tr w:rsidR="00CA682E" w:rsidRPr="00CA682E" w:rsidTr="007B1DE4">
        <w:trPr>
          <w:trHeight w:val="369"/>
        </w:trPr>
        <w:tc>
          <w:tcPr>
            <w:tcW w:w="1521"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AD72C1">
            <w:pPr>
              <w:keepLines/>
              <w:autoSpaceDE w:val="0"/>
              <w:autoSpaceDN w:val="0"/>
              <w:adjustRightInd w:val="0"/>
              <w:spacing w:before="40" w:after="40"/>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Adjudicación del contrato al ingeniero en climatización para el edificio AB</w:t>
            </w:r>
          </w:p>
        </w:tc>
        <w:tc>
          <w:tcPr>
            <w:tcW w:w="826"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AD72C1">
            <w:pPr>
              <w:keepLines/>
              <w:autoSpaceDE w:val="0"/>
              <w:autoSpaceDN w:val="0"/>
              <w:adjustRightInd w:val="0"/>
              <w:spacing w:before="40"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30.000</w:t>
            </w:r>
          </w:p>
        </w:tc>
        <w:tc>
          <w:tcPr>
            <w:tcW w:w="826"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AD72C1">
            <w:pPr>
              <w:keepLines/>
              <w:autoSpaceDE w:val="0"/>
              <w:autoSpaceDN w:val="0"/>
              <w:adjustRightInd w:val="0"/>
              <w:spacing w:before="40"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16.200</w:t>
            </w:r>
          </w:p>
        </w:tc>
        <w:tc>
          <w:tcPr>
            <w:tcW w:w="826"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AD72C1">
            <w:pPr>
              <w:keepLines/>
              <w:autoSpaceDE w:val="0"/>
              <w:autoSpaceDN w:val="0"/>
              <w:adjustRightInd w:val="0"/>
              <w:spacing w:before="40"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54%</w:t>
            </w:r>
          </w:p>
        </w:tc>
        <w:tc>
          <w:tcPr>
            <w:tcW w:w="1001"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AD72C1">
            <w:pPr>
              <w:keepLines/>
              <w:autoSpaceDE w:val="0"/>
              <w:autoSpaceDN w:val="0"/>
              <w:adjustRightInd w:val="0"/>
              <w:spacing w:before="40"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100%</w:t>
            </w:r>
          </w:p>
        </w:tc>
      </w:tr>
      <w:tr w:rsidR="00CA682E" w:rsidRPr="00CA682E" w:rsidTr="007B1DE4">
        <w:trPr>
          <w:trHeight w:val="369"/>
        </w:trPr>
        <w:tc>
          <w:tcPr>
            <w:tcW w:w="1521"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AD72C1">
            <w:pPr>
              <w:keepLines/>
              <w:autoSpaceDE w:val="0"/>
              <w:autoSpaceDN w:val="0"/>
              <w:adjustRightInd w:val="0"/>
              <w:spacing w:before="40" w:after="40"/>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Adjudicación del contrato al ingeniero en climatización para el edificio PCT</w:t>
            </w:r>
          </w:p>
        </w:tc>
        <w:tc>
          <w:tcPr>
            <w:tcW w:w="826"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AD72C1">
            <w:pPr>
              <w:keepLines/>
              <w:autoSpaceDE w:val="0"/>
              <w:autoSpaceDN w:val="0"/>
              <w:adjustRightInd w:val="0"/>
              <w:spacing w:before="40"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83.000</w:t>
            </w:r>
          </w:p>
        </w:tc>
        <w:tc>
          <w:tcPr>
            <w:tcW w:w="826"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AD72C1">
            <w:pPr>
              <w:keepLines/>
              <w:autoSpaceDE w:val="0"/>
              <w:autoSpaceDN w:val="0"/>
              <w:adjustRightInd w:val="0"/>
              <w:spacing w:before="40"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43.440</w:t>
            </w:r>
          </w:p>
        </w:tc>
        <w:tc>
          <w:tcPr>
            <w:tcW w:w="826"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AD72C1">
            <w:pPr>
              <w:keepLines/>
              <w:autoSpaceDE w:val="0"/>
              <w:autoSpaceDN w:val="0"/>
              <w:adjustRightInd w:val="0"/>
              <w:spacing w:before="40"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52,3%</w:t>
            </w:r>
          </w:p>
        </w:tc>
        <w:tc>
          <w:tcPr>
            <w:tcW w:w="1001"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AD72C1">
            <w:pPr>
              <w:keepLines/>
              <w:autoSpaceDE w:val="0"/>
              <w:autoSpaceDN w:val="0"/>
              <w:adjustRightInd w:val="0"/>
              <w:spacing w:before="40"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100%</w:t>
            </w:r>
          </w:p>
        </w:tc>
      </w:tr>
      <w:tr w:rsidR="00CA682E" w:rsidRPr="00CA682E" w:rsidTr="007B1DE4">
        <w:trPr>
          <w:trHeight w:val="369"/>
        </w:trPr>
        <w:tc>
          <w:tcPr>
            <w:tcW w:w="1521"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AD72C1">
            <w:pPr>
              <w:keepLines/>
              <w:autoSpaceDE w:val="0"/>
              <w:autoSpaceDN w:val="0"/>
              <w:adjustRightInd w:val="0"/>
              <w:spacing w:before="40" w:after="40"/>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Puesta en servicio de las instalaciones de GLN en el edificio AB</w:t>
            </w:r>
          </w:p>
        </w:tc>
        <w:tc>
          <w:tcPr>
            <w:tcW w:w="826"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AD72C1">
            <w:pPr>
              <w:keepLines/>
              <w:autoSpaceDE w:val="0"/>
              <w:autoSpaceDN w:val="0"/>
              <w:adjustRightInd w:val="0"/>
              <w:spacing w:before="40"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170.000</w:t>
            </w:r>
          </w:p>
        </w:tc>
        <w:tc>
          <w:tcPr>
            <w:tcW w:w="826"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AD72C1">
            <w:pPr>
              <w:keepLines/>
              <w:autoSpaceDE w:val="0"/>
              <w:autoSpaceDN w:val="0"/>
              <w:adjustRightInd w:val="0"/>
              <w:spacing w:before="40"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61.791</w:t>
            </w:r>
          </w:p>
        </w:tc>
        <w:tc>
          <w:tcPr>
            <w:tcW w:w="826"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AD72C1">
            <w:pPr>
              <w:keepLines/>
              <w:autoSpaceDE w:val="0"/>
              <w:autoSpaceDN w:val="0"/>
              <w:adjustRightInd w:val="0"/>
              <w:spacing w:before="40"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36,3%</w:t>
            </w:r>
          </w:p>
        </w:tc>
        <w:tc>
          <w:tcPr>
            <w:tcW w:w="1001"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AD72C1">
            <w:pPr>
              <w:keepLines/>
              <w:autoSpaceDE w:val="0"/>
              <w:autoSpaceDN w:val="0"/>
              <w:adjustRightInd w:val="0"/>
              <w:spacing w:before="40"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100%</w:t>
            </w:r>
          </w:p>
        </w:tc>
      </w:tr>
      <w:tr w:rsidR="00CA682E" w:rsidRPr="00CA682E" w:rsidTr="007B1DE4">
        <w:trPr>
          <w:trHeight w:val="369"/>
        </w:trPr>
        <w:tc>
          <w:tcPr>
            <w:tcW w:w="1521"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AD72C1">
            <w:pPr>
              <w:keepLines/>
              <w:autoSpaceDE w:val="0"/>
              <w:autoSpaceDN w:val="0"/>
              <w:adjustRightInd w:val="0"/>
              <w:spacing w:before="40" w:after="40"/>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Puesta en servicio de las instalaciones de GLN en el edificio PCT</w:t>
            </w:r>
          </w:p>
        </w:tc>
        <w:tc>
          <w:tcPr>
            <w:tcW w:w="826"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AD72C1">
            <w:pPr>
              <w:keepLines/>
              <w:autoSpaceDE w:val="0"/>
              <w:autoSpaceDN w:val="0"/>
              <w:adjustRightInd w:val="0"/>
              <w:spacing w:before="40"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467.000</w:t>
            </w:r>
          </w:p>
        </w:tc>
        <w:tc>
          <w:tcPr>
            <w:tcW w:w="826"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AD72C1">
            <w:pPr>
              <w:keepLines/>
              <w:autoSpaceDE w:val="0"/>
              <w:autoSpaceDN w:val="0"/>
              <w:adjustRightInd w:val="0"/>
              <w:spacing w:before="40"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141.296</w:t>
            </w:r>
          </w:p>
        </w:tc>
        <w:tc>
          <w:tcPr>
            <w:tcW w:w="826"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AD72C1">
            <w:pPr>
              <w:keepLines/>
              <w:autoSpaceDE w:val="0"/>
              <w:autoSpaceDN w:val="0"/>
              <w:adjustRightInd w:val="0"/>
              <w:spacing w:before="40"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30,3%</w:t>
            </w:r>
          </w:p>
        </w:tc>
        <w:tc>
          <w:tcPr>
            <w:tcW w:w="1001"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AD72C1">
            <w:pPr>
              <w:keepLines/>
              <w:autoSpaceDE w:val="0"/>
              <w:autoSpaceDN w:val="0"/>
              <w:adjustRightInd w:val="0"/>
              <w:spacing w:before="40"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90%</w:t>
            </w:r>
          </w:p>
        </w:tc>
      </w:tr>
      <w:tr w:rsidR="00CA682E" w:rsidRPr="00CA682E" w:rsidTr="007B1DE4">
        <w:trPr>
          <w:trHeight w:val="369"/>
        </w:trPr>
        <w:tc>
          <w:tcPr>
            <w:tcW w:w="152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AD72C1">
            <w:pPr>
              <w:keepLines/>
              <w:autoSpaceDE w:val="0"/>
              <w:autoSpaceDN w:val="0"/>
              <w:adjustRightInd w:val="0"/>
              <w:spacing w:before="40" w:after="40"/>
              <w:rPr>
                <w:rFonts w:eastAsia="Times New Roman" w:cs="Times New Roman"/>
                <w:b/>
                <w:color w:val="000000" w:themeColor="text1"/>
                <w:sz w:val="16"/>
                <w:szCs w:val="16"/>
                <w:lang w:eastAsia="en-US"/>
              </w:rPr>
            </w:pPr>
            <w:r w:rsidRPr="00CA682E">
              <w:rPr>
                <w:rFonts w:eastAsia="Times New Roman" w:cs="Times New Roman"/>
                <w:b/>
                <w:color w:val="000000" w:themeColor="text1"/>
                <w:sz w:val="16"/>
                <w:szCs w:val="16"/>
                <w:lang w:eastAsia="en-US"/>
              </w:rPr>
              <w:t>Total</w:t>
            </w:r>
          </w:p>
        </w:tc>
        <w:tc>
          <w:tcPr>
            <w:tcW w:w="82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AD72C1">
            <w:pPr>
              <w:keepLines/>
              <w:autoSpaceDE w:val="0"/>
              <w:autoSpaceDN w:val="0"/>
              <w:adjustRightInd w:val="0"/>
              <w:spacing w:before="40" w:after="40"/>
              <w:jc w:val="center"/>
              <w:rPr>
                <w:rFonts w:eastAsia="Times New Roman" w:cs="Times New Roman"/>
                <w:b/>
                <w:color w:val="000000" w:themeColor="text1"/>
                <w:sz w:val="16"/>
                <w:szCs w:val="16"/>
                <w:lang w:eastAsia="en-US"/>
              </w:rPr>
            </w:pPr>
            <w:r w:rsidRPr="00CA682E">
              <w:rPr>
                <w:rFonts w:eastAsia="Times New Roman" w:cs="Times New Roman"/>
                <w:b/>
                <w:color w:val="000000" w:themeColor="text1"/>
                <w:sz w:val="16"/>
                <w:szCs w:val="16"/>
                <w:lang w:eastAsia="en-US"/>
              </w:rPr>
              <w:t>750.000</w:t>
            </w:r>
          </w:p>
        </w:tc>
        <w:tc>
          <w:tcPr>
            <w:tcW w:w="82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AD72C1">
            <w:pPr>
              <w:keepLines/>
              <w:autoSpaceDE w:val="0"/>
              <w:autoSpaceDN w:val="0"/>
              <w:adjustRightInd w:val="0"/>
              <w:spacing w:before="40" w:after="40"/>
              <w:jc w:val="center"/>
              <w:rPr>
                <w:rFonts w:eastAsia="Times New Roman" w:cs="Times New Roman"/>
                <w:b/>
                <w:color w:val="000000" w:themeColor="text1"/>
                <w:sz w:val="16"/>
                <w:szCs w:val="16"/>
                <w:lang w:eastAsia="en-US"/>
              </w:rPr>
            </w:pPr>
            <w:r w:rsidRPr="00CA682E">
              <w:rPr>
                <w:rFonts w:eastAsia="Times New Roman" w:cs="Times New Roman"/>
                <w:b/>
                <w:color w:val="000000" w:themeColor="text1"/>
                <w:sz w:val="16"/>
                <w:szCs w:val="16"/>
                <w:lang w:eastAsia="en-US"/>
              </w:rPr>
              <w:t>262.727</w:t>
            </w:r>
          </w:p>
        </w:tc>
        <w:tc>
          <w:tcPr>
            <w:tcW w:w="826"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CA682E" w:rsidRPr="00CA682E" w:rsidRDefault="00CA682E" w:rsidP="00AD72C1">
            <w:pPr>
              <w:keepLines/>
              <w:autoSpaceDE w:val="0"/>
              <w:autoSpaceDN w:val="0"/>
              <w:adjustRightInd w:val="0"/>
              <w:spacing w:before="40" w:after="40"/>
              <w:jc w:val="center"/>
              <w:rPr>
                <w:rFonts w:eastAsia="Times New Roman" w:cs="Times New Roman"/>
                <w:b/>
                <w:color w:val="000000" w:themeColor="text1"/>
                <w:sz w:val="16"/>
                <w:szCs w:val="16"/>
                <w:lang w:eastAsia="en-US"/>
              </w:rPr>
            </w:pPr>
          </w:p>
        </w:tc>
        <w:tc>
          <w:tcPr>
            <w:tcW w:w="1001"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CA682E" w:rsidRPr="00CA682E" w:rsidRDefault="00CA682E" w:rsidP="00AD72C1">
            <w:pPr>
              <w:keepLines/>
              <w:autoSpaceDE w:val="0"/>
              <w:autoSpaceDN w:val="0"/>
              <w:adjustRightInd w:val="0"/>
              <w:spacing w:before="40" w:after="40"/>
              <w:jc w:val="center"/>
              <w:rPr>
                <w:rFonts w:eastAsia="Times New Roman" w:cs="Times New Roman"/>
                <w:b/>
                <w:color w:val="000000" w:themeColor="text1"/>
                <w:sz w:val="16"/>
                <w:szCs w:val="16"/>
                <w:lang w:eastAsia="en-US"/>
              </w:rPr>
            </w:pPr>
          </w:p>
        </w:tc>
      </w:tr>
    </w:tbl>
    <w:p w:rsidR="00CA682E" w:rsidRPr="00CA682E" w:rsidRDefault="00CA682E" w:rsidP="00AD72C1">
      <w:pPr>
        <w:tabs>
          <w:tab w:val="left" w:pos="3261"/>
        </w:tabs>
        <w:autoSpaceDE w:val="0"/>
        <w:autoSpaceDN w:val="0"/>
        <w:adjustRightInd w:val="0"/>
        <w:rPr>
          <w:rFonts w:eastAsia="Times New Roman" w:cs="Times New Roman"/>
          <w:color w:val="000000" w:themeColor="text1"/>
          <w:sz w:val="20"/>
          <w:szCs w:val="22"/>
          <w:lang w:eastAsia="en-US"/>
        </w:rPr>
      </w:pPr>
    </w:p>
    <w:p w:rsidR="00CA682E" w:rsidRPr="00CA682E" w:rsidRDefault="00CA682E" w:rsidP="00CA682E">
      <w:pPr>
        <w:tabs>
          <w:tab w:val="left" w:pos="3261"/>
        </w:tabs>
        <w:autoSpaceDE w:val="0"/>
        <w:autoSpaceDN w:val="0"/>
        <w:adjustRightInd w:val="0"/>
        <w:jc w:val="center"/>
        <w:rPr>
          <w:rFonts w:eastAsia="Times New Roman" w:cs="Times New Roman"/>
          <w:b/>
          <w:color w:val="000000" w:themeColor="text1"/>
          <w:sz w:val="20"/>
          <w:szCs w:val="22"/>
          <w:lang w:eastAsia="en-US"/>
        </w:rPr>
      </w:pPr>
    </w:p>
    <w:p w:rsidR="00CA682E" w:rsidRPr="00CA682E" w:rsidRDefault="00CA682E" w:rsidP="00CA682E">
      <w:pPr>
        <w:tabs>
          <w:tab w:val="left" w:pos="3261"/>
        </w:tabs>
        <w:autoSpaceDE w:val="0"/>
        <w:autoSpaceDN w:val="0"/>
        <w:adjustRightInd w:val="0"/>
        <w:jc w:val="center"/>
        <w:rPr>
          <w:rFonts w:eastAsia="Times New Roman" w:cs="Times New Roman"/>
          <w:b/>
          <w:color w:val="000000" w:themeColor="text1"/>
          <w:sz w:val="20"/>
          <w:szCs w:val="22"/>
          <w:lang w:eastAsia="en-US"/>
        </w:rPr>
      </w:pPr>
      <w:r w:rsidRPr="00CA682E">
        <w:rPr>
          <w:rFonts w:eastAsia="Times New Roman" w:cs="Times New Roman"/>
          <w:b/>
          <w:color w:val="000000" w:themeColor="text1"/>
          <w:sz w:val="20"/>
          <w:szCs w:val="22"/>
          <w:lang w:eastAsia="en-US"/>
        </w:rPr>
        <w:t>Utilización del presupuesto del proyecto (por categoría de costo)</w:t>
      </w:r>
    </w:p>
    <w:p w:rsidR="00CA682E" w:rsidRPr="00CA682E" w:rsidRDefault="00CA682E" w:rsidP="00CA682E">
      <w:pPr>
        <w:keepNext/>
        <w:keepLines/>
        <w:tabs>
          <w:tab w:val="left" w:pos="3261"/>
        </w:tabs>
        <w:autoSpaceDE w:val="0"/>
        <w:autoSpaceDN w:val="0"/>
        <w:adjustRightInd w:val="0"/>
        <w:spacing w:after="120"/>
        <w:jc w:val="center"/>
        <w:rPr>
          <w:rFonts w:eastAsia="Times New Roman" w:cs="Times New Roman"/>
          <w:i/>
          <w:iCs/>
          <w:color w:val="000000" w:themeColor="text1"/>
          <w:sz w:val="18"/>
          <w:szCs w:val="18"/>
          <w:lang w:eastAsia="en-US"/>
        </w:rPr>
      </w:pPr>
      <w:r w:rsidRPr="00CA682E">
        <w:rPr>
          <w:rFonts w:eastAsia="Times New Roman" w:cs="Times New Roman"/>
          <w:i/>
          <w:iCs/>
          <w:color w:val="000000" w:themeColor="text1"/>
          <w:sz w:val="18"/>
          <w:szCs w:val="18"/>
          <w:lang w:eastAsia="en-US"/>
        </w:rPr>
        <w:t>(</w:t>
      </w:r>
      <w:proofErr w:type="gramStart"/>
      <w:r w:rsidRPr="00CA682E">
        <w:rPr>
          <w:rFonts w:eastAsia="Times New Roman" w:cs="Times New Roman"/>
          <w:i/>
          <w:iCs/>
          <w:color w:val="000000" w:themeColor="text1"/>
          <w:sz w:val="18"/>
          <w:szCs w:val="18"/>
          <w:lang w:eastAsia="en-US"/>
        </w:rPr>
        <w:t>en</w:t>
      </w:r>
      <w:proofErr w:type="gramEnd"/>
      <w:r w:rsidRPr="00CA682E">
        <w:rPr>
          <w:rFonts w:eastAsia="Times New Roman" w:cs="Times New Roman"/>
          <w:i/>
          <w:iCs/>
          <w:color w:val="000000" w:themeColor="text1"/>
          <w:sz w:val="18"/>
          <w:szCs w:val="18"/>
          <w:lang w:eastAsia="en-US"/>
        </w:rPr>
        <w:t xml:space="preserve"> francos suizos, al 31 de diciembre de 2015)</w:t>
      </w:r>
    </w:p>
    <w:tbl>
      <w:tblPr>
        <w:tblW w:w="481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5"/>
        <w:gridCol w:w="1840"/>
        <w:gridCol w:w="1839"/>
        <w:gridCol w:w="1999"/>
      </w:tblGrid>
      <w:tr w:rsidR="00CA682E" w:rsidRPr="00CA682E" w:rsidTr="007B1DE4">
        <w:trPr>
          <w:trHeight w:val="569"/>
        </w:trPr>
        <w:tc>
          <w:tcPr>
            <w:tcW w:w="191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keepNext/>
              <w:keepLines/>
              <w:autoSpaceDE w:val="0"/>
              <w:autoSpaceDN w:val="0"/>
              <w:adjustRightInd w:val="0"/>
              <w:spacing w:before="40" w:after="40" w:line="260" w:lineRule="exact"/>
              <w:ind w:left="-74" w:right="-60"/>
              <w:jc w:val="center"/>
              <w:rPr>
                <w:rFonts w:eastAsia="Times New Roman" w:cs="Times New Roman"/>
                <w:b/>
                <w:bCs/>
                <w:color w:val="000000" w:themeColor="text1"/>
                <w:sz w:val="16"/>
                <w:szCs w:val="16"/>
                <w:lang w:eastAsia="en-US"/>
              </w:rPr>
            </w:pPr>
            <w:r w:rsidRPr="00CA682E">
              <w:rPr>
                <w:rFonts w:eastAsia="Times New Roman" w:cs="Times New Roman"/>
                <w:b/>
                <w:bCs/>
                <w:color w:val="000000" w:themeColor="text1"/>
                <w:sz w:val="16"/>
                <w:szCs w:val="16"/>
                <w:lang w:eastAsia="en-US"/>
              </w:rPr>
              <w:t>Categoría de costo</w:t>
            </w:r>
          </w:p>
        </w:tc>
        <w:tc>
          <w:tcPr>
            <w:tcW w:w="99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keepNext/>
              <w:keepLines/>
              <w:autoSpaceDE w:val="0"/>
              <w:autoSpaceDN w:val="0"/>
              <w:adjustRightInd w:val="0"/>
              <w:spacing w:before="40" w:after="40" w:line="260" w:lineRule="exact"/>
              <w:ind w:left="-107" w:right="-108"/>
              <w:jc w:val="center"/>
              <w:rPr>
                <w:rFonts w:eastAsia="Times New Roman" w:cs="Times New Roman"/>
                <w:b/>
                <w:bCs/>
                <w:color w:val="000000" w:themeColor="text1"/>
                <w:sz w:val="16"/>
                <w:szCs w:val="16"/>
                <w:lang w:eastAsia="en-US"/>
              </w:rPr>
            </w:pPr>
            <w:r w:rsidRPr="00CA682E">
              <w:rPr>
                <w:rFonts w:eastAsia="Times New Roman" w:cs="Times New Roman"/>
                <w:b/>
                <w:bCs/>
                <w:color w:val="000000" w:themeColor="text1"/>
                <w:sz w:val="16"/>
                <w:szCs w:val="16"/>
                <w:lang w:eastAsia="en-US"/>
              </w:rPr>
              <w:t>Presupuesto del proyecto</w:t>
            </w:r>
          </w:p>
        </w:tc>
        <w:tc>
          <w:tcPr>
            <w:tcW w:w="99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keepNext/>
              <w:keepLines/>
              <w:autoSpaceDE w:val="0"/>
              <w:autoSpaceDN w:val="0"/>
              <w:adjustRightInd w:val="0"/>
              <w:spacing w:before="40" w:after="40" w:line="260" w:lineRule="exact"/>
              <w:ind w:left="-108"/>
              <w:jc w:val="center"/>
              <w:rPr>
                <w:rFonts w:eastAsia="Times New Roman" w:cs="Times New Roman"/>
                <w:b/>
                <w:bCs/>
                <w:color w:val="000000" w:themeColor="text1"/>
                <w:sz w:val="16"/>
                <w:szCs w:val="16"/>
                <w:lang w:eastAsia="en-US"/>
              </w:rPr>
            </w:pPr>
            <w:r w:rsidRPr="00CA682E">
              <w:rPr>
                <w:rFonts w:eastAsia="Times New Roman" w:cs="Times New Roman"/>
                <w:b/>
                <w:bCs/>
                <w:color w:val="000000" w:themeColor="text1"/>
                <w:sz w:val="16"/>
                <w:szCs w:val="16"/>
                <w:lang w:eastAsia="en-US"/>
              </w:rPr>
              <w:t xml:space="preserve">Gasto real hasta la fecha </w:t>
            </w:r>
          </w:p>
        </w:tc>
        <w:tc>
          <w:tcPr>
            <w:tcW w:w="1085"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keepNext/>
              <w:keepLines/>
              <w:autoSpaceDE w:val="0"/>
              <w:autoSpaceDN w:val="0"/>
              <w:adjustRightInd w:val="0"/>
              <w:spacing w:before="40" w:after="40" w:line="260" w:lineRule="exact"/>
              <w:ind w:left="-109"/>
              <w:jc w:val="center"/>
              <w:rPr>
                <w:rFonts w:eastAsia="Times New Roman" w:cs="Times New Roman"/>
                <w:b/>
                <w:bCs/>
                <w:color w:val="000000" w:themeColor="text1"/>
                <w:sz w:val="16"/>
                <w:szCs w:val="16"/>
                <w:lang w:eastAsia="en-US"/>
              </w:rPr>
            </w:pPr>
            <w:r w:rsidRPr="00CA682E">
              <w:rPr>
                <w:rFonts w:eastAsia="Times New Roman" w:cs="Times New Roman"/>
                <w:b/>
                <w:bCs/>
                <w:color w:val="000000" w:themeColor="text1"/>
                <w:sz w:val="16"/>
                <w:szCs w:val="16"/>
                <w:lang w:eastAsia="en-US"/>
              </w:rPr>
              <w:t>Utilización real del presupuesto</w:t>
            </w:r>
          </w:p>
        </w:tc>
      </w:tr>
      <w:tr w:rsidR="00CA682E" w:rsidRPr="00CA682E" w:rsidTr="007B1DE4">
        <w:tc>
          <w:tcPr>
            <w:tcW w:w="1918"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autoSpaceDE w:val="0"/>
              <w:autoSpaceDN w:val="0"/>
              <w:adjustRightInd w:val="0"/>
              <w:spacing w:before="40" w:after="40" w:line="260" w:lineRule="exact"/>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 xml:space="preserve">Costos relacionados con las obras </w:t>
            </w:r>
          </w:p>
        </w:tc>
        <w:tc>
          <w:tcPr>
            <w:tcW w:w="998"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autoSpaceDE w:val="0"/>
              <w:autoSpaceDN w:val="0"/>
              <w:adjustRightInd w:val="0"/>
              <w:spacing w:before="40" w:after="40" w:line="260" w:lineRule="exact"/>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585.000</w:t>
            </w:r>
          </w:p>
        </w:tc>
        <w:tc>
          <w:tcPr>
            <w:tcW w:w="998"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autoSpaceDE w:val="0"/>
              <w:autoSpaceDN w:val="0"/>
              <w:adjustRightInd w:val="0"/>
              <w:spacing w:before="40" w:after="40" w:line="260" w:lineRule="exact"/>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203.087</w:t>
            </w:r>
          </w:p>
        </w:tc>
        <w:tc>
          <w:tcPr>
            <w:tcW w:w="1085"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autoSpaceDE w:val="0"/>
              <w:autoSpaceDN w:val="0"/>
              <w:adjustRightInd w:val="0"/>
              <w:spacing w:before="40" w:after="40" w:line="260" w:lineRule="exact"/>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34,7%</w:t>
            </w:r>
          </w:p>
        </w:tc>
      </w:tr>
      <w:tr w:rsidR="00CA682E" w:rsidRPr="00CA682E" w:rsidTr="007B1DE4">
        <w:tc>
          <w:tcPr>
            <w:tcW w:w="1918"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autoSpaceDE w:val="0"/>
              <w:autoSpaceDN w:val="0"/>
              <w:adjustRightInd w:val="0"/>
              <w:spacing w:before="40" w:after="40" w:line="260" w:lineRule="exact"/>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Honorarios</w:t>
            </w:r>
          </w:p>
        </w:tc>
        <w:tc>
          <w:tcPr>
            <w:tcW w:w="998"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autoSpaceDE w:val="0"/>
              <w:autoSpaceDN w:val="0"/>
              <w:adjustRightInd w:val="0"/>
              <w:spacing w:before="40" w:after="40" w:line="260" w:lineRule="exact"/>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113.000</w:t>
            </w:r>
          </w:p>
        </w:tc>
        <w:tc>
          <w:tcPr>
            <w:tcW w:w="998" w:type="pct"/>
            <w:tcBorders>
              <w:top w:val="single" w:sz="4" w:space="0" w:color="auto"/>
              <w:left w:val="single" w:sz="4" w:space="0" w:color="auto"/>
              <w:bottom w:val="single" w:sz="4" w:space="0" w:color="auto"/>
              <w:right w:val="single" w:sz="4" w:space="0" w:color="auto"/>
            </w:tcBorders>
          </w:tcPr>
          <w:p w:rsidR="00CA682E" w:rsidRPr="00CA682E" w:rsidRDefault="00CA682E" w:rsidP="00CA682E">
            <w:pPr>
              <w:autoSpaceDE w:val="0"/>
              <w:autoSpaceDN w:val="0"/>
              <w:adjustRightInd w:val="0"/>
              <w:spacing w:before="40" w:after="40" w:line="260" w:lineRule="exact"/>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59.640</w:t>
            </w:r>
          </w:p>
        </w:tc>
        <w:tc>
          <w:tcPr>
            <w:tcW w:w="1085" w:type="pct"/>
            <w:tcBorders>
              <w:top w:val="single" w:sz="4" w:space="0" w:color="auto"/>
              <w:left w:val="single" w:sz="4" w:space="0" w:color="auto"/>
              <w:bottom w:val="single" w:sz="4" w:space="0" w:color="auto"/>
              <w:right w:val="single" w:sz="4" w:space="0" w:color="auto"/>
            </w:tcBorders>
          </w:tcPr>
          <w:p w:rsidR="00CA682E" w:rsidRPr="00CA682E" w:rsidRDefault="00CA682E" w:rsidP="00CA682E">
            <w:pPr>
              <w:autoSpaceDE w:val="0"/>
              <w:autoSpaceDN w:val="0"/>
              <w:adjustRightInd w:val="0"/>
              <w:spacing w:before="40" w:after="40" w:line="260" w:lineRule="exact"/>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52,8%</w:t>
            </w:r>
          </w:p>
        </w:tc>
      </w:tr>
      <w:tr w:rsidR="00CA682E" w:rsidRPr="00CA682E" w:rsidTr="007B1DE4">
        <w:tc>
          <w:tcPr>
            <w:tcW w:w="1918"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autoSpaceDE w:val="0"/>
              <w:autoSpaceDN w:val="0"/>
              <w:adjustRightInd w:val="0"/>
              <w:spacing w:before="40" w:after="40" w:line="260" w:lineRule="exact"/>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 xml:space="preserve">Diversos e imprevistos </w:t>
            </w:r>
          </w:p>
        </w:tc>
        <w:tc>
          <w:tcPr>
            <w:tcW w:w="998"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autoSpaceDE w:val="0"/>
              <w:autoSpaceDN w:val="0"/>
              <w:adjustRightInd w:val="0"/>
              <w:spacing w:before="40" w:after="40" w:line="260" w:lineRule="exact"/>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52.000</w:t>
            </w:r>
          </w:p>
        </w:tc>
        <w:tc>
          <w:tcPr>
            <w:tcW w:w="998"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autoSpaceDE w:val="0"/>
              <w:autoSpaceDN w:val="0"/>
              <w:adjustRightInd w:val="0"/>
              <w:spacing w:before="40" w:after="40" w:line="260" w:lineRule="exact"/>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0</w:t>
            </w:r>
          </w:p>
        </w:tc>
        <w:tc>
          <w:tcPr>
            <w:tcW w:w="1085"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autoSpaceDE w:val="0"/>
              <w:autoSpaceDN w:val="0"/>
              <w:adjustRightInd w:val="0"/>
              <w:spacing w:before="40" w:after="40" w:line="260" w:lineRule="exact"/>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0%</w:t>
            </w:r>
          </w:p>
        </w:tc>
      </w:tr>
      <w:tr w:rsidR="00CA682E" w:rsidRPr="00CA682E" w:rsidTr="007B1DE4">
        <w:tc>
          <w:tcPr>
            <w:tcW w:w="191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autoSpaceDE w:val="0"/>
              <w:autoSpaceDN w:val="0"/>
              <w:adjustRightInd w:val="0"/>
              <w:spacing w:before="40" w:after="40" w:line="260" w:lineRule="exact"/>
              <w:rPr>
                <w:rFonts w:eastAsia="Times New Roman" w:cs="Times New Roman"/>
                <w:b/>
                <w:color w:val="000000" w:themeColor="text1"/>
                <w:sz w:val="16"/>
                <w:szCs w:val="16"/>
                <w:lang w:eastAsia="en-US"/>
              </w:rPr>
            </w:pPr>
            <w:r w:rsidRPr="00CA682E">
              <w:rPr>
                <w:rFonts w:eastAsia="Times New Roman" w:cs="Times New Roman"/>
                <w:b/>
                <w:color w:val="000000" w:themeColor="text1"/>
                <w:sz w:val="16"/>
                <w:szCs w:val="16"/>
                <w:lang w:eastAsia="en-US"/>
              </w:rPr>
              <w:t>Total</w:t>
            </w:r>
          </w:p>
        </w:tc>
        <w:tc>
          <w:tcPr>
            <w:tcW w:w="99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autoSpaceDE w:val="0"/>
              <w:autoSpaceDN w:val="0"/>
              <w:adjustRightInd w:val="0"/>
              <w:spacing w:before="40" w:after="40" w:line="260" w:lineRule="exact"/>
              <w:jc w:val="center"/>
              <w:rPr>
                <w:rFonts w:eastAsia="Times New Roman" w:cs="Times New Roman"/>
                <w:b/>
                <w:color w:val="000000" w:themeColor="text1"/>
                <w:sz w:val="16"/>
                <w:szCs w:val="16"/>
                <w:lang w:eastAsia="en-US"/>
              </w:rPr>
            </w:pPr>
            <w:r w:rsidRPr="00CA682E">
              <w:rPr>
                <w:rFonts w:eastAsia="Times New Roman" w:cs="Times New Roman"/>
                <w:b/>
                <w:color w:val="000000" w:themeColor="text1"/>
                <w:sz w:val="16"/>
                <w:szCs w:val="16"/>
                <w:lang w:eastAsia="en-US"/>
              </w:rPr>
              <w:t>750.000</w:t>
            </w:r>
          </w:p>
        </w:tc>
        <w:tc>
          <w:tcPr>
            <w:tcW w:w="998"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CA682E" w:rsidRPr="00CA682E" w:rsidRDefault="00CA682E" w:rsidP="00CA682E">
            <w:pPr>
              <w:autoSpaceDE w:val="0"/>
              <w:autoSpaceDN w:val="0"/>
              <w:adjustRightInd w:val="0"/>
              <w:spacing w:before="40" w:after="40" w:line="260" w:lineRule="exact"/>
              <w:jc w:val="center"/>
              <w:rPr>
                <w:rFonts w:eastAsia="Times New Roman" w:cs="Times New Roman"/>
                <w:b/>
                <w:color w:val="000000" w:themeColor="text1"/>
                <w:sz w:val="16"/>
                <w:szCs w:val="16"/>
                <w:lang w:eastAsia="en-US"/>
              </w:rPr>
            </w:pPr>
            <w:r w:rsidRPr="00CA682E">
              <w:rPr>
                <w:rFonts w:eastAsia="Times New Roman" w:cs="Times New Roman"/>
                <w:b/>
                <w:color w:val="000000" w:themeColor="text1"/>
                <w:sz w:val="16"/>
                <w:szCs w:val="16"/>
                <w:lang w:eastAsia="en-US"/>
              </w:rPr>
              <w:t>262.727</w:t>
            </w:r>
          </w:p>
        </w:tc>
        <w:tc>
          <w:tcPr>
            <w:tcW w:w="1085"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CA682E" w:rsidRPr="00CA682E" w:rsidRDefault="00CA682E" w:rsidP="00CA682E">
            <w:pPr>
              <w:autoSpaceDE w:val="0"/>
              <w:autoSpaceDN w:val="0"/>
              <w:adjustRightInd w:val="0"/>
              <w:spacing w:before="40" w:after="40" w:line="260" w:lineRule="exact"/>
              <w:jc w:val="center"/>
              <w:rPr>
                <w:rFonts w:eastAsia="Times New Roman" w:cs="Times New Roman"/>
                <w:b/>
                <w:color w:val="000000" w:themeColor="text1"/>
                <w:sz w:val="16"/>
                <w:szCs w:val="16"/>
                <w:lang w:eastAsia="en-US"/>
              </w:rPr>
            </w:pPr>
          </w:p>
        </w:tc>
      </w:tr>
    </w:tbl>
    <w:p w:rsidR="00CA682E" w:rsidRPr="00CA682E" w:rsidRDefault="00CA682E" w:rsidP="00CA682E">
      <w:pPr>
        <w:rPr>
          <w:rFonts w:eastAsia="Times New Roman"/>
          <w:color w:val="000000" w:themeColor="text1"/>
          <w:sz w:val="20"/>
          <w:lang w:eastAsia="en-US"/>
        </w:rPr>
      </w:pPr>
    </w:p>
    <w:p w:rsidR="00CA682E" w:rsidRPr="00CA682E" w:rsidRDefault="00CA682E" w:rsidP="00CA682E">
      <w:pPr>
        <w:rPr>
          <w:rFonts w:eastAsia="Times New Roman"/>
          <w:color w:val="000000" w:themeColor="text1"/>
          <w:sz w:val="20"/>
          <w:lang w:eastAsia="en-US"/>
        </w:rPr>
      </w:pPr>
    </w:p>
    <w:p w:rsidR="00CA682E" w:rsidRPr="00CA682E" w:rsidRDefault="00CA682E" w:rsidP="00CA682E">
      <w:pPr>
        <w:rPr>
          <w:rFonts w:eastAsia="Times New Roman"/>
          <w:color w:val="000000" w:themeColor="text1"/>
          <w:sz w:val="20"/>
          <w:lang w:eastAsia="en-US"/>
        </w:rPr>
      </w:pPr>
      <w:r w:rsidRPr="00CA682E">
        <w:rPr>
          <w:rFonts w:eastAsia="Times New Roman"/>
          <w:color w:val="000000" w:themeColor="text1"/>
          <w:sz w:val="20"/>
          <w:lang w:eastAsia="en-US"/>
        </w:rPr>
        <w:t>RIESGOS Y ESTRATEGIAS DE MITIGACIÓN</w:t>
      </w:r>
    </w:p>
    <w:p w:rsidR="00CA682E" w:rsidRPr="00CA682E" w:rsidRDefault="00CA682E" w:rsidP="00CA682E">
      <w:pPr>
        <w:rPr>
          <w:rFonts w:eastAsia="Times New Roman"/>
          <w:color w:val="000000" w:themeColor="text1"/>
          <w:sz w:val="20"/>
          <w:lang w:eastAsia="en-US"/>
        </w:rPr>
      </w:pPr>
    </w:p>
    <w:tbl>
      <w:tblPr>
        <w:tblW w:w="47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2"/>
        <w:gridCol w:w="3000"/>
      </w:tblGrid>
      <w:tr w:rsidR="00CA682E" w:rsidRPr="00CA682E" w:rsidTr="007B1DE4">
        <w:trPr>
          <w:trHeight w:val="477"/>
          <w:tblHeader/>
          <w:jc w:val="center"/>
        </w:trPr>
        <w:tc>
          <w:tcPr>
            <w:tcW w:w="1679" w:type="pct"/>
            <w:shd w:val="clear" w:color="auto" w:fill="C6D9F1" w:themeFill="text2" w:themeFillTint="33"/>
            <w:vAlign w:val="center"/>
          </w:tcPr>
          <w:p w:rsidR="00CA682E" w:rsidRPr="00CA682E" w:rsidRDefault="00CA682E" w:rsidP="00CA682E">
            <w:pPr>
              <w:autoSpaceDE w:val="0"/>
              <w:autoSpaceDN w:val="0"/>
              <w:adjustRightInd w:val="0"/>
              <w:spacing w:before="40" w:after="40" w:line="260" w:lineRule="exact"/>
              <w:ind w:left="-74" w:right="-60"/>
              <w:jc w:val="center"/>
              <w:rPr>
                <w:rFonts w:eastAsia="Times New Roman" w:cs="Times New Roman"/>
                <w:b/>
                <w:bCs/>
                <w:color w:val="000000" w:themeColor="text1"/>
                <w:sz w:val="16"/>
                <w:szCs w:val="16"/>
                <w:lang w:eastAsia="en-US"/>
              </w:rPr>
            </w:pPr>
            <w:r w:rsidRPr="00CA682E">
              <w:rPr>
                <w:rFonts w:eastAsia="Times New Roman" w:cs="Times New Roman"/>
                <w:b/>
                <w:bCs/>
                <w:color w:val="000000" w:themeColor="text1"/>
                <w:sz w:val="16"/>
                <w:szCs w:val="16"/>
                <w:lang w:eastAsia="en-US"/>
              </w:rPr>
              <w:t>Riesgo/Descripción del riesgo</w:t>
            </w:r>
          </w:p>
        </w:tc>
        <w:tc>
          <w:tcPr>
            <w:tcW w:w="1680" w:type="pct"/>
            <w:tcBorders>
              <w:bottom w:val="single" w:sz="4" w:space="0" w:color="auto"/>
            </w:tcBorders>
            <w:shd w:val="clear" w:color="auto" w:fill="C6D9F1" w:themeFill="text2" w:themeFillTint="33"/>
            <w:vAlign w:val="center"/>
          </w:tcPr>
          <w:p w:rsidR="00CA682E" w:rsidRPr="00CA682E" w:rsidRDefault="00CA682E" w:rsidP="00CA682E">
            <w:pPr>
              <w:autoSpaceDE w:val="0"/>
              <w:autoSpaceDN w:val="0"/>
              <w:adjustRightInd w:val="0"/>
              <w:spacing w:before="40" w:after="40" w:line="260" w:lineRule="exact"/>
              <w:ind w:left="-107" w:right="-108"/>
              <w:jc w:val="center"/>
              <w:rPr>
                <w:rFonts w:eastAsia="Times New Roman" w:cs="Times New Roman"/>
                <w:b/>
                <w:bCs/>
                <w:color w:val="000000" w:themeColor="text1"/>
                <w:sz w:val="16"/>
                <w:szCs w:val="16"/>
                <w:lang w:eastAsia="en-US"/>
              </w:rPr>
            </w:pPr>
            <w:r w:rsidRPr="00CA682E">
              <w:rPr>
                <w:rFonts w:eastAsia="Times New Roman" w:cs="Times New Roman"/>
                <w:b/>
                <w:bCs/>
                <w:color w:val="000000" w:themeColor="text1"/>
                <w:sz w:val="16"/>
                <w:szCs w:val="16"/>
                <w:lang w:eastAsia="en-US"/>
              </w:rPr>
              <w:t>Mitigación del riesgo</w:t>
            </w:r>
            <w:r w:rsidRPr="00CA682E" w:rsidDel="003965B5">
              <w:rPr>
                <w:rFonts w:eastAsia="Times New Roman" w:cs="Times New Roman"/>
                <w:b/>
                <w:bCs/>
                <w:color w:val="000000" w:themeColor="text1"/>
                <w:sz w:val="16"/>
                <w:szCs w:val="16"/>
                <w:lang w:eastAsia="en-US"/>
              </w:rPr>
              <w:t xml:space="preserve"> </w:t>
            </w:r>
          </w:p>
        </w:tc>
        <w:tc>
          <w:tcPr>
            <w:tcW w:w="1641" w:type="pct"/>
            <w:shd w:val="clear" w:color="auto" w:fill="C6D9F1" w:themeFill="text2" w:themeFillTint="33"/>
            <w:vAlign w:val="center"/>
          </w:tcPr>
          <w:p w:rsidR="00CA682E" w:rsidRPr="00CA682E" w:rsidRDefault="00CA682E" w:rsidP="00CA682E">
            <w:pPr>
              <w:autoSpaceDE w:val="0"/>
              <w:autoSpaceDN w:val="0"/>
              <w:adjustRightInd w:val="0"/>
              <w:spacing w:before="40" w:after="40" w:line="260" w:lineRule="exact"/>
              <w:ind w:left="-109"/>
              <w:jc w:val="center"/>
              <w:rPr>
                <w:rFonts w:eastAsia="Times New Roman" w:cs="Times New Roman"/>
                <w:b/>
                <w:bCs/>
                <w:color w:val="000000" w:themeColor="text1"/>
                <w:sz w:val="16"/>
                <w:szCs w:val="16"/>
                <w:lang w:eastAsia="en-US"/>
              </w:rPr>
            </w:pPr>
            <w:r w:rsidRPr="00CA682E">
              <w:rPr>
                <w:rFonts w:eastAsia="Times New Roman" w:cs="Times New Roman"/>
                <w:b/>
                <w:bCs/>
                <w:color w:val="000000" w:themeColor="text1"/>
                <w:sz w:val="16"/>
                <w:szCs w:val="16"/>
                <w:lang w:eastAsia="en-US"/>
              </w:rPr>
              <w:t>Comentario</w:t>
            </w:r>
          </w:p>
        </w:tc>
      </w:tr>
      <w:tr w:rsidR="00CA682E" w:rsidRPr="00CA682E" w:rsidTr="007B1DE4">
        <w:trPr>
          <w:trHeight w:val="881"/>
          <w:jc w:val="center"/>
        </w:trPr>
        <w:tc>
          <w:tcPr>
            <w:tcW w:w="1679" w:type="pct"/>
            <w:shd w:val="clear" w:color="auto" w:fill="auto"/>
          </w:tcPr>
          <w:tbl>
            <w:tblPr>
              <w:tblW w:w="0" w:type="auto"/>
              <w:tblBorders>
                <w:top w:val="nil"/>
                <w:left w:val="nil"/>
                <w:bottom w:val="nil"/>
                <w:right w:val="nil"/>
              </w:tblBorders>
              <w:tblLook w:val="0000" w:firstRow="0" w:lastRow="0" w:firstColumn="0" w:lastColumn="0" w:noHBand="0" w:noVBand="0"/>
            </w:tblPr>
            <w:tblGrid>
              <w:gridCol w:w="2854"/>
            </w:tblGrid>
            <w:tr w:rsidR="00CA682E" w:rsidRPr="00CA682E" w:rsidTr="007B1DE4">
              <w:trPr>
                <w:trHeight w:val="801"/>
              </w:trPr>
              <w:tc>
                <w:tcPr>
                  <w:tcW w:w="0" w:type="auto"/>
                </w:tcPr>
                <w:p w:rsidR="00CA682E" w:rsidRPr="00CA682E" w:rsidRDefault="00CA682E" w:rsidP="00CA682E">
                  <w:pPr>
                    <w:autoSpaceDE w:val="0"/>
                    <w:autoSpaceDN w:val="0"/>
                    <w:adjustRightInd w:val="0"/>
                    <w:rPr>
                      <w:rFonts w:eastAsiaTheme="minorHAnsi"/>
                      <w:b/>
                      <w:bCs/>
                      <w:color w:val="000000" w:themeColor="text1"/>
                      <w:sz w:val="16"/>
                      <w:szCs w:val="16"/>
                      <w:lang w:eastAsia="ja-JP"/>
                    </w:rPr>
                  </w:pPr>
                  <w:r w:rsidRPr="00CA682E">
                    <w:rPr>
                      <w:rFonts w:eastAsia="Batang"/>
                      <w:color w:val="000000" w:themeColor="text1"/>
                      <w:sz w:val="16"/>
                      <w:szCs w:val="16"/>
                      <w:lang w:eastAsia="ja-JP"/>
                    </w:rPr>
                    <w:t>Imposibilidad de realizar obras antes del verano de 2015 en el edificio PCT por no estar disponibles las empresas en la fecha solicitada por la OMPI</w:t>
                  </w:r>
                </w:p>
              </w:tc>
            </w:tr>
          </w:tbl>
          <w:p w:rsidR="00CA682E" w:rsidRPr="00CA682E" w:rsidRDefault="00CA682E" w:rsidP="00CA682E">
            <w:pPr>
              <w:autoSpaceDE w:val="0"/>
              <w:autoSpaceDN w:val="0"/>
              <w:adjustRightInd w:val="0"/>
              <w:spacing w:before="40" w:after="40"/>
              <w:rPr>
                <w:rFonts w:eastAsia="Times New Roman" w:cs="Times New Roman"/>
                <w:color w:val="000000" w:themeColor="text1"/>
                <w:sz w:val="16"/>
                <w:szCs w:val="16"/>
                <w:lang w:eastAsia="en-US"/>
              </w:rPr>
            </w:pPr>
          </w:p>
        </w:tc>
        <w:tc>
          <w:tcPr>
            <w:tcW w:w="1680" w:type="pct"/>
            <w:shd w:val="clear" w:color="auto" w:fill="auto"/>
          </w:tcPr>
          <w:p w:rsidR="00CA682E" w:rsidRPr="00CA682E" w:rsidRDefault="00CA682E" w:rsidP="00CA682E">
            <w:pPr>
              <w:autoSpaceDE w:val="0"/>
              <w:autoSpaceDN w:val="0"/>
              <w:adjustRightInd w:val="0"/>
              <w:rPr>
                <w:rFonts w:eastAsia="Batang"/>
                <w:color w:val="000000" w:themeColor="text1"/>
                <w:sz w:val="16"/>
                <w:szCs w:val="16"/>
                <w:lang w:eastAsia="ja-JP"/>
              </w:rPr>
            </w:pPr>
            <w:r w:rsidRPr="00CA682E">
              <w:rPr>
                <w:rFonts w:eastAsia="Batang"/>
                <w:color w:val="000000" w:themeColor="text1"/>
                <w:sz w:val="16"/>
                <w:szCs w:val="16"/>
                <w:lang w:eastAsia="ja-JP"/>
              </w:rPr>
              <w:t>Aplazar las obras hasta octubre/noviembre de 2015</w:t>
            </w:r>
          </w:p>
        </w:tc>
        <w:tc>
          <w:tcPr>
            <w:tcW w:w="1641" w:type="pct"/>
            <w:shd w:val="clear" w:color="auto" w:fill="auto"/>
          </w:tcPr>
          <w:p w:rsidR="00CA682E" w:rsidRPr="00CA682E" w:rsidRDefault="00CA682E" w:rsidP="00CA682E">
            <w:pPr>
              <w:autoSpaceDE w:val="0"/>
              <w:autoSpaceDN w:val="0"/>
              <w:adjustRightInd w:val="0"/>
              <w:spacing w:before="40" w:after="40"/>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Se materializó el riesgo.  Se aplazó el calendario general del proyecto</w:t>
            </w:r>
          </w:p>
        </w:tc>
      </w:tr>
      <w:tr w:rsidR="00CA682E" w:rsidRPr="00CA682E" w:rsidTr="007B1DE4">
        <w:trPr>
          <w:trHeight w:val="776"/>
          <w:jc w:val="center"/>
        </w:trPr>
        <w:tc>
          <w:tcPr>
            <w:tcW w:w="1679" w:type="pct"/>
            <w:shd w:val="clear" w:color="auto" w:fill="auto"/>
          </w:tcPr>
          <w:p w:rsidR="00CA682E" w:rsidRPr="00CA682E" w:rsidRDefault="00CA682E" w:rsidP="00CA682E">
            <w:pPr>
              <w:autoSpaceDE w:val="0"/>
              <w:autoSpaceDN w:val="0"/>
              <w:adjustRightInd w:val="0"/>
              <w:rPr>
                <w:rFonts w:eastAsia="Batang"/>
                <w:color w:val="000000" w:themeColor="text1"/>
                <w:sz w:val="16"/>
                <w:szCs w:val="16"/>
                <w:lang w:eastAsia="ja-JP"/>
              </w:rPr>
            </w:pPr>
            <w:r w:rsidRPr="00CA682E">
              <w:rPr>
                <w:rFonts w:eastAsia="Batang"/>
                <w:color w:val="000000" w:themeColor="text1"/>
                <w:sz w:val="16"/>
                <w:szCs w:val="16"/>
                <w:lang w:eastAsia="ja-JP"/>
              </w:rPr>
              <w:t>Circunstancias imprevistas en las obras del PCT, como demoras en la instalación por la empresa SIG de equipos internos en el edificio PCT y/o problemas técnicos durante la desinstalación de los conductos existentes o debido a ella</w:t>
            </w:r>
          </w:p>
        </w:tc>
        <w:tc>
          <w:tcPr>
            <w:tcW w:w="1680" w:type="pct"/>
            <w:shd w:val="clear" w:color="auto" w:fill="auto"/>
          </w:tcPr>
          <w:p w:rsidR="00CA682E" w:rsidRPr="00CA682E" w:rsidRDefault="00CA682E" w:rsidP="00CA682E">
            <w:pPr>
              <w:autoSpaceDE w:val="0"/>
              <w:autoSpaceDN w:val="0"/>
              <w:adjustRightInd w:val="0"/>
              <w:rPr>
                <w:rFonts w:eastAsia="Batang"/>
                <w:color w:val="000000" w:themeColor="text1"/>
                <w:sz w:val="16"/>
                <w:szCs w:val="16"/>
                <w:lang w:eastAsia="ja-JP"/>
              </w:rPr>
            </w:pPr>
            <w:r w:rsidRPr="00CA682E">
              <w:rPr>
                <w:rFonts w:eastAsia="Batang"/>
                <w:color w:val="000000" w:themeColor="text1"/>
                <w:sz w:val="16"/>
                <w:szCs w:val="16"/>
                <w:lang w:eastAsia="ja-JP"/>
              </w:rPr>
              <w:t>Realizar reparaciones y actualizar el calendario de las obras, de ser necesario, incluso para 2016</w:t>
            </w:r>
          </w:p>
          <w:p w:rsidR="00CA682E" w:rsidRPr="00CA682E" w:rsidRDefault="00CA682E" w:rsidP="00CA682E">
            <w:pPr>
              <w:autoSpaceDE w:val="0"/>
              <w:autoSpaceDN w:val="0"/>
              <w:adjustRightInd w:val="0"/>
              <w:spacing w:before="40" w:after="40"/>
              <w:rPr>
                <w:rFonts w:eastAsia="Times New Roman" w:cs="Times New Roman"/>
                <w:color w:val="000000" w:themeColor="text1"/>
                <w:sz w:val="16"/>
                <w:szCs w:val="16"/>
                <w:lang w:eastAsia="en-US"/>
              </w:rPr>
            </w:pPr>
          </w:p>
        </w:tc>
        <w:tc>
          <w:tcPr>
            <w:tcW w:w="1641" w:type="pct"/>
            <w:shd w:val="clear" w:color="auto" w:fill="auto"/>
          </w:tcPr>
          <w:p w:rsidR="00CA682E" w:rsidRPr="00CA682E" w:rsidRDefault="00CA682E" w:rsidP="00CA682E">
            <w:pPr>
              <w:autoSpaceDE w:val="0"/>
              <w:autoSpaceDN w:val="0"/>
              <w:adjustRightInd w:val="0"/>
              <w:spacing w:before="40" w:after="40"/>
              <w:rPr>
                <w:rFonts w:eastAsia="Times New Roman" w:cs="Times New Roman"/>
                <w:color w:val="000000" w:themeColor="text1"/>
                <w:sz w:val="16"/>
                <w:szCs w:val="16"/>
                <w:lang w:eastAsia="en-US"/>
              </w:rPr>
            </w:pPr>
          </w:p>
        </w:tc>
      </w:tr>
      <w:tr w:rsidR="00CA682E" w:rsidRPr="00CA682E" w:rsidTr="007B1DE4">
        <w:trPr>
          <w:trHeight w:val="776"/>
          <w:jc w:val="center"/>
        </w:trPr>
        <w:tc>
          <w:tcPr>
            <w:tcW w:w="1679" w:type="pct"/>
            <w:shd w:val="clear" w:color="auto" w:fill="auto"/>
          </w:tcPr>
          <w:p w:rsidR="00CA682E" w:rsidRPr="00CA682E" w:rsidRDefault="00CA682E" w:rsidP="00CA682E">
            <w:pPr>
              <w:autoSpaceDE w:val="0"/>
              <w:autoSpaceDN w:val="0"/>
              <w:adjustRightInd w:val="0"/>
              <w:rPr>
                <w:rFonts w:eastAsia="Batang"/>
                <w:color w:val="000000" w:themeColor="text1"/>
                <w:sz w:val="16"/>
                <w:szCs w:val="16"/>
                <w:lang w:eastAsia="ja-JP"/>
              </w:rPr>
            </w:pPr>
            <w:r w:rsidRPr="00CA682E">
              <w:rPr>
                <w:rFonts w:eastAsia="Batang"/>
                <w:color w:val="000000" w:themeColor="text1"/>
                <w:sz w:val="16"/>
                <w:szCs w:val="16"/>
                <w:lang w:eastAsia="ja-JP"/>
              </w:rPr>
              <w:t>Circunstancias imprevistas durante el período de garantía de las instalaciones, por ejemplo, avería debido al equipo defectuoso o a una instalación deficiente</w:t>
            </w:r>
          </w:p>
        </w:tc>
        <w:tc>
          <w:tcPr>
            <w:tcW w:w="1680" w:type="pct"/>
            <w:shd w:val="clear" w:color="auto" w:fill="auto"/>
          </w:tcPr>
          <w:p w:rsidR="00CA682E" w:rsidRPr="00CA682E" w:rsidRDefault="00CA682E" w:rsidP="00CA682E">
            <w:pPr>
              <w:autoSpaceDE w:val="0"/>
              <w:autoSpaceDN w:val="0"/>
              <w:adjustRightInd w:val="0"/>
              <w:spacing w:before="40" w:after="40"/>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Realizar las reparaciones que sean posibles durante el período de garantía</w:t>
            </w:r>
          </w:p>
        </w:tc>
        <w:tc>
          <w:tcPr>
            <w:tcW w:w="1641" w:type="pct"/>
            <w:shd w:val="clear" w:color="auto" w:fill="auto"/>
          </w:tcPr>
          <w:p w:rsidR="00CA682E" w:rsidRPr="00CA682E" w:rsidRDefault="00CA682E" w:rsidP="00CA682E">
            <w:pPr>
              <w:autoSpaceDE w:val="0"/>
              <w:autoSpaceDN w:val="0"/>
              <w:adjustRightInd w:val="0"/>
              <w:spacing w:before="40" w:after="40"/>
              <w:rPr>
                <w:rFonts w:eastAsia="Times New Roman" w:cs="Times New Roman"/>
                <w:color w:val="000000" w:themeColor="text1"/>
                <w:sz w:val="16"/>
                <w:szCs w:val="16"/>
                <w:lang w:eastAsia="en-US"/>
              </w:rPr>
            </w:pPr>
          </w:p>
        </w:tc>
      </w:tr>
    </w:tbl>
    <w:p w:rsidR="00CA682E" w:rsidRPr="00CA682E" w:rsidRDefault="00CA682E" w:rsidP="00CA682E">
      <w:pPr>
        <w:autoSpaceDE w:val="0"/>
        <w:autoSpaceDN w:val="0"/>
        <w:jc w:val="both"/>
        <w:rPr>
          <w:rFonts w:eastAsia="Times New Roman" w:cs="Times New Roman"/>
          <w:color w:val="000000" w:themeColor="text1"/>
          <w:sz w:val="20"/>
          <w:szCs w:val="24"/>
          <w:lang w:eastAsia="en-US"/>
        </w:rPr>
      </w:pPr>
    </w:p>
    <w:p w:rsidR="00CA682E" w:rsidRPr="00CA682E" w:rsidRDefault="00CA682E" w:rsidP="00CA682E">
      <w:pPr>
        <w:rPr>
          <w:rFonts w:eastAsia="Times New Roman" w:cs="Times New Roman"/>
          <w:color w:val="000000" w:themeColor="text1"/>
          <w:sz w:val="20"/>
          <w:szCs w:val="24"/>
          <w:lang w:eastAsia="en-US"/>
        </w:rPr>
      </w:pPr>
    </w:p>
    <w:p w:rsidR="00CA682E" w:rsidRPr="00CA682E" w:rsidRDefault="00CA682E" w:rsidP="00CA682E">
      <w:pPr>
        <w:rPr>
          <w:rFonts w:eastAsia="Times New Roman"/>
          <w:color w:val="000000" w:themeColor="text1"/>
          <w:szCs w:val="22"/>
          <w:lang w:eastAsia="en-US"/>
        </w:rPr>
      </w:pPr>
      <w:r w:rsidRPr="00CA682E">
        <w:rPr>
          <w:rFonts w:eastAsia="Times New Roman"/>
          <w:color w:val="000000" w:themeColor="text1"/>
          <w:szCs w:val="22"/>
          <w:lang w:eastAsia="en-US"/>
        </w:rPr>
        <w:br w:type="page"/>
      </w:r>
    </w:p>
    <w:p w:rsidR="00CA682E" w:rsidRPr="00CA682E" w:rsidRDefault="00CA682E" w:rsidP="00CA682E">
      <w:pPr>
        <w:rPr>
          <w:rFonts w:eastAsia="Times New Roman"/>
          <w:color w:val="000000" w:themeColor="text1"/>
          <w:sz w:val="20"/>
          <w:szCs w:val="22"/>
          <w:lang w:eastAsia="en-US"/>
        </w:rPr>
      </w:pPr>
      <w:r w:rsidRPr="00CA682E">
        <w:rPr>
          <w:rFonts w:eastAsia="Times New Roman"/>
          <w:color w:val="000000" w:themeColor="text1"/>
          <w:sz w:val="20"/>
          <w:szCs w:val="22"/>
          <w:lang w:eastAsia="en-US"/>
        </w:rPr>
        <w:lastRenderedPageBreak/>
        <w:t>CALENDARIO DEL PROYECTO, POR ETAPA</w:t>
      </w:r>
    </w:p>
    <w:p w:rsidR="00CA682E" w:rsidRPr="00CA682E" w:rsidRDefault="00CA682E" w:rsidP="00CA682E">
      <w:pPr>
        <w:autoSpaceDE w:val="0"/>
        <w:autoSpaceDN w:val="0"/>
        <w:jc w:val="both"/>
        <w:rPr>
          <w:rFonts w:eastAsia="Times New Roman" w:cs="Times New Roman"/>
          <w:color w:val="000000" w:themeColor="text1"/>
          <w:sz w:val="18"/>
          <w:szCs w:val="24"/>
          <w:lang w:eastAsia="en-US"/>
        </w:rPr>
      </w:pPr>
    </w:p>
    <w:tbl>
      <w:tblPr>
        <w:tblW w:w="8968" w:type="dxa"/>
        <w:jc w:val="center"/>
        <w:tblLook w:val="04A0" w:firstRow="1" w:lastRow="0" w:firstColumn="1" w:lastColumn="0" w:noHBand="0" w:noVBand="1"/>
      </w:tblPr>
      <w:tblGrid>
        <w:gridCol w:w="4167"/>
        <w:gridCol w:w="480"/>
        <w:gridCol w:w="480"/>
        <w:gridCol w:w="480"/>
        <w:gridCol w:w="480"/>
        <w:gridCol w:w="480"/>
        <w:gridCol w:w="480"/>
        <w:gridCol w:w="480"/>
        <w:gridCol w:w="560"/>
        <w:gridCol w:w="448"/>
        <w:gridCol w:w="448"/>
      </w:tblGrid>
      <w:tr w:rsidR="00CA682E" w:rsidRPr="00CA682E" w:rsidTr="007B1DE4">
        <w:trPr>
          <w:trHeight w:val="299"/>
          <w:jc w:val="center"/>
        </w:trPr>
        <w:tc>
          <w:tcPr>
            <w:tcW w:w="1418" w:type="dxa"/>
            <w:tcBorders>
              <w:top w:val="nil"/>
              <w:left w:val="nil"/>
              <w:bottom w:val="nil"/>
              <w:right w:val="nil"/>
            </w:tcBorders>
            <w:shd w:val="clear" w:color="auto" w:fill="auto"/>
            <w:noWrap/>
            <w:vAlign w:val="center"/>
            <w:hideMark/>
          </w:tcPr>
          <w:p w:rsidR="00CA682E" w:rsidRPr="00CA682E" w:rsidRDefault="00CA682E" w:rsidP="00CA682E">
            <w:pPr>
              <w:jc w:val="center"/>
              <w:rPr>
                <w:rFonts w:eastAsia="Times New Roman"/>
                <w:b/>
                <w:bCs/>
                <w:color w:val="000000" w:themeColor="text1"/>
                <w:sz w:val="16"/>
                <w:szCs w:val="16"/>
                <w:lang w:eastAsia="en-US"/>
              </w:rPr>
            </w:pPr>
          </w:p>
        </w:tc>
        <w:tc>
          <w:tcPr>
            <w:tcW w:w="1531" w:type="dxa"/>
            <w:gridSpan w:val="4"/>
            <w:tcBorders>
              <w:top w:val="single" w:sz="8" w:space="0" w:color="auto"/>
              <w:left w:val="single" w:sz="8" w:space="0" w:color="auto"/>
              <w:bottom w:val="single" w:sz="4" w:space="0" w:color="auto"/>
              <w:right w:val="single" w:sz="8" w:space="0" w:color="000000"/>
            </w:tcBorders>
            <w:shd w:val="clear" w:color="auto" w:fill="C6D9F1" w:themeFill="text2" w:themeFillTint="33"/>
            <w:noWrap/>
            <w:vAlign w:val="bottom"/>
            <w:hideMark/>
          </w:tcPr>
          <w:p w:rsidR="00CA682E" w:rsidRPr="00CA682E" w:rsidRDefault="00CA682E" w:rsidP="00CA682E">
            <w:pPr>
              <w:jc w:val="center"/>
              <w:rPr>
                <w:rFonts w:eastAsia="Times New Roman"/>
                <w:b/>
                <w:bCs/>
                <w:color w:val="000000" w:themeColor="text1"/>
                <w:sz w:val="16"/>
                <w:szCs w:val="16"/>
                <w:lang w:eastAsia="en-US"/>
              </w:rPr>
            </w:pPr>
            <w:r w:rsidRPr="00CA682E">
              <w:rPr>
                <w:rFonts w:eastAsia="Times New Roman"/>
                <w:b/>
                <w:bCs/>
                <w:color w:val="000000" w:themeColor="text1"/>
                <w:sz w:val="16"/>
                <w:szCs w:val="16"/>
                <w:lang w:eastAsia="en-US"/>
              </w:rPr>
              <w:t>2014</w:t>
            </w:r>
          </w:p>
        </w:tc>
        <w:tc>
          <w:tcPr>
            <w:tcW w:w="1531" w:type="dxa"/>
            <w:gridSpan w:val="4"/>
            <w:tcBorders>
              <w:top w:val="single" w:sz="8" w:space="0" w:color="auto"/>
              <w:left w:val="nil"/>
              <w:bottom w:val="single" w:sz="4" w:space="0" w:color="auto"/>
              <w:right w:val="single" w:sz="8" w:space="0" w:color="000000"/>
            </w:tcBorders>
            <w:shd w:val="clear" w:color="auto" w:fill="C6D9F1" w:themeFill="text2" w:themeFillTint="33"/>
            <w:noWrap/>
            <w:vAlign w:val="bottom"/>
            <w:hideMark/>
          </w:tcPr>
          <w:p w:rsidR="00CA682E" w:rsidRPr="00CA682E" w:rsidRDefault="00CA682E" w:rsidP="00CA682E">
            <w:pPr>
              <w:jc w:val="center"/>
              <w:rPr>
                <w:rFonts w:eastAsia="Times New Roman"/>
                <w:b/>
                <w:bCs/>
                <w:color w:val="000000" w:themeColor="text1"/>
                <w:sz w:val="16"/>
                <w:szCs w:val="16"/>
                <w:lang w:eastAsia="en-US"/>
              </w:rPr>
            </w:pPr>
            <w:r w:rsidRPr="00CA682E">
              <w:rPr>
                <w:rFonts w:eastAsia="Times New Roman"/>
                <w:b/>
                <w:bCs/>
                <w:color w:val="000000" w:themeColor="text1"/>
                <w:sz w:val="16"/>
                <w:szCs w:val="16"/>
                <w:lang w:eastAsia="en-US"/>
              </w:rPr>
              <w:t>2015</w:t>
            </w:r>
          </w:p>
        </w:tc>
        <w:tc>
          <w:tcPr>
            <w:tcW w:w="1531" w:type="dxa"/>
            <w:gridSpan w:val="2"/>
            <w:tcBorders>
              <w:top w:val="single" w:sz="4" w:space="0" w:color="auto"/>
              <w:bottom w:val="single" w:sz="4" w:space="0" w:color="auto"/>
              <w:right w:val="single" w:sz="4" w:space="0" w:color="auto"/>
            </w:tcBorders>
            <w:shd w:val="clear" w:color="auto" w:fill="C6D9F1" w:themeFill="text2" w:themeFillTint="33"/>
            <w:vAlign w:val="bottom"/>
          </w:tcPr>
          <w:p w:rsidR="00CA682E" w:rsidRPr="00CA682E" w:rsidRDefault="00CA682E" w:rsidP="00CA682E">
            <w:pPr>
              <w:jc w:val="center"/>
              <w:rPr>
                <w:rFonts w:eastAsia="Times New Roman" w:cs="Times New Roman"/>
                <w:b/>
                <w:color w:val="000000" w:themeColor="text1"/>
                <w:sz w:val="20"/>
                <w:szCs w:val="24"/>
                <w:lang w:eastAsia="en-US"/>
              </w:rPr>
            </w:pPr>
            <w:r w:rsidRPr="00CA682E">
              <w:rPr>
                <w:rFonts w:eastAsia="Times New Roman" w:cs="Times New Roman"/>
                <w:b/>
                <w:color w:val="000000" w:themeColor="text1"/>
                <w:sz w:val="16"/>
                <w:szCs w:val="24"/>
                <w:lang w:eastAsia="en-US"/>
              </w:rPr>
              <w:t>2016</w:t>
            </w:r>
          </w:p>
        </w:tc>
      </w:tr>
      <w:tr w:rsidR="00CA682E" w:rsidRPr="00CA682E" w:rsidTr="007B1DE4">
        <w:trPr>
          <w:trHeight w:val="375"/>
          <w:jc w:val="center"/>
        </w:trPr>
        <w:tc>
          <w:tcPr>
            <w:tcW w:w="4167" w:type="dxa"/>
            <w:tcBorders>
              <w:top w:val="single" w:sz="8" w:space="0" w:color="auto"/>
              <w:left w:val="single" w:sz="8" w:space="0" w:color="auto"/>
              <w:bottom w:val="single" w:sz="4" w:space="0" w:color="auto"/>
              <w:right w:val="single" w:sz="8" w:space="0" w:color="auto"/>
            </w:tcBorders>
            <w:shd w:val="clear" w:color="auto" w:fill="C6D9F1" w:themeFill="text2" w:themeFillTint="33"/>
            <w:noWrap/>
            <w:vAlign w:val="bottom"/>
            <w:hideMark/>
          </w:tcPr>
          <w:p w:rsidR="00CA682E" w:rsidRPr="00CA682E" w:rsidRDefault="00CA682E" w:rsidP="00CA682E">
            <w:pPr>
              <w:spacing w:after="240"/>
              <w:rPr>
                <w:rFonts w:eastAsia="Times New Roman"/>
                <w:b/>
                <w:bCs/>
                <w:color w:val="000000" w:themeColor="text1"/>
                <w:sz w:val="16"/>
                <w:szCs w:val="16"/>
                <w:lang w:eastAsia="en-US"/>
              </w:rPr>
            </w:pPr>
            <w:r w:rsidRPr="00CA682E">
              <w:rPr>
                <w:rFonts w:eastAsia="Times New Roman"/>
                <w:b/>
                <w:bCs/>
                <w:color w:val="000000" w:themeColor="text1"/>
                <w:sz w:val="16"/>
                <w:szCs w:val="16"/>
                <w:lang w:eastAsia="en-US"/>
              </w:rPr>
              <w:t>Etapa fundamental</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CA682E" w:rsidRPr="00CA682E" w:rsidRDefault="00CA682E" w:rsidP="00CA682E">
            <w:pPr>
              <w:spacing w:after="240"/>
              <w:rPr>
                <w:rFonts w:eastAsia="Times New Roman"/>
                <w:b/>
                <w:bCs/>
                <w:color w:val="000000" w:themeColor="text1"/>
                <w:sz w:val="16"/>
                <w:szCs w:val="16"/>
                <w:lang w:eastAsia="en-US"/>
              </w:rPr>
            </w:pPr>
            <w:r w:rsidRPr="00CA682E">
              <w:rPr>
                <w:rFonts w:eastAsia="Times New Roman"/>
                <w:b/>
                <w:bCs/>
                <w:color w:val="000000" w:themeColor="text1"/>
                <w:sz w:val="16"/>
                <w:szCs w:val="16"/>
                <w:lang w:eastAsia="en-US"/>
              </w:rPr>
              <w:t>T1.</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CA682E" w:rsidRPr="00CA682E" w:rsidRDefault="00CA682E" w:rsidP="00CA682E">
            <w:pPr>
              <w:spacing w:after="240"/>
              <w:rPr>
                <w:rFonts w:eastAsia="Times New Roman"/>
                <w:b/>
                <w:bCs/>
                <w:color w:val="000000" w:themeColor="text1"/>
                <w:sz w:val="16"/>
                <w:szCs w:val="16"/>
                <w:lang w:eastAsia="en-US"/>
              </w:rPr>
            </w:pPr>
            <w:r w:rsidRPr="00CA682E">
              <w:rPr>
                <w:rFonts w:eastAsia="Times New Roman"/>
                <w:b/>
                <w:bCs/>
                <w:color w:val="000000" w:themeColor="text1"/>
                <w:sz w:val="16"/>
                <w:szCs w:val="16"/>
                <w:lang w:eastAsia="en-US"/>
              </w:rPr>
              <w:t>T2.</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CA682E" w:rsidRPr="00CA682E" w:rsidRDefault="00CA682E" w:rsidP="00CA682E">
            <w:pPr>
              <w:spacing w:after="240"/>
              <w:rPr>
                <w:rFonts w:eastAsia="Times New Roman"/>
                <w:b/>
                <w:bCs/>
                <w:color w:val="000000" w:themeColor="text1"/>
                <w:sz w:val="16"/>
                <w:szCs w:val="16"/>
                <w:lang w:eastAsia="en-US"/>
              </w:rPr>
            </w:pPr>
            <w:r w:rsidRPr="00CA682E">
              <w:rPr>
                <w:rFonts w:eastAsia="Times New Roman"/>
                <w:b/>
                <w:bCs/>
                <w:color w:val="000000" w:themeColor="text1"/>
                <w:sz w:val="16"/>
                <w:szCs w:val="16"/>
                <w:lang w:eastAsia="en-US"/>
              </w:rPr>
              <w:t>T3</w:t>
            </w:r>
          </w:p>
        </w:tc>
        <w:tc>
          <w:tcPr>
            <w:tcW w:w="480" w:type="dxa"/>
            <w:tcBorders>
              <w:top w:val="nil"/>
              <w:left w:val="nil"/>
              <w:bottom w:val="single" w:sz="4" w:space="0" w:color="auto"/>
              <w:right w:val="single" w:sz="8" w:space="0" w:color="auto"/>
            </w:tcBorders>
            <w:shd w:val="clear" w:color="auto" w:fill="C6D9F1" w:themeFill="text2" w:themeFillTint="33"/>
            <w:noWrap/>
            <w:vAlign w:val="bottom"/>
            <w:hideMark/>
          </w:tcPr>
          <w:p w:rsidR="00CA682E" w:rsidRPr="00CA682E" w:rsidRDefault="00CA682E" w:rsidP="00CA682E">
            <w:pPr>
              <w:spacing w:after="240"/>
              <w:rPr>
                <w:rFonts w:eastAsia="Times New Roman"/>
                <w:b/>
                <w:bCs/>
                <w:color w:val="000000" w:themeColor="text1"/>
                <w:sz w:val="16"/>
                <w:szCs w:val="16"/>
                <w:lang w:eastAsia="en-US"/>
              </w:rPr>
            </w:pPr>
            <w:r w:rsidRPr="00CA682E">
              <w:rPr>
                <w:rFonts w:eastAsia="Times New Roman"/>
                <w:b/>
                <w:bCs/>
                <w:color w:val="000000" w:themeColor="text1"/>
                <w:sz w:val="16"/>
                <w:szCs w:val="16"/>
                <w:lang w:eastAsia="en-US"/>
              </w:rPr>
              <w:t>T4</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CA682E" w:rsidRPr="00CA682E" w:rsidRDefault="00CA682E" w:rsidP="00CA682E">
            <w:pPr>
              <w:spacing w:after="240"/>
              <w:rPr>
                <w:rFonts w:eastAsia="Times New Roman"/>
                <w:b/>
                <w:bCs/>
                <w:color w:val="000000" w:themeColor="text1"/>
                <w:sz w:val="16"/>
                <w:szCs w:val="16"/>
                <w:lang w:eastAsia="en-US"/>
              </w:rPr>
            </w:pPr>
            <w:r w:rsidRPr="00CA682E">
              <w:rPr>
                <w:rFonts w:eastAsia="Times New Roman"/>
                <w:b/>
                <w:bCs/>
                <w:color w:val="000000" w:themeColor="text1"/>
                <w:sz w:val="16"/>
                <w:szCs w:val="16"/>
                <w:lang w:eastAsia="en-US"/>
              </w:rPr>
              <w:t>T1.</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CA682E" w:rsidRPr="00CA682E" w:rsidRDefault="00CA682E" w:rsidP="00CA682E">
            <w:pPr>
              <w:spacing w:after="240"/>
              <w:rPr>
                <w:rFonts w:eastAsia="Times New Roman"/>
                <w:b/>
                <w:bCs/>
                <w:color w:val="000000" w:themeColor="text1"/>
                <w:sz w:val="16"/>
                <w:szCs w:val="16"/>
                <w:lang w:eastAsia="en-US"/>
              </w:rPr>
            </w:pPr>
            <w:r w:rsidRPr="00CA682E">
              <w:rPr>
                <w:rFonts w:eastAsia="Times New Roman"/>
                <w:b/>
                <w:bCs/>
                <w:color w:val="000000" w:themeColor="text1"/>
                <w:sz w:val="16"/>
                <w:szCs w:val="16"/>
                <w:lang w:eastAsia="en-US"/>
              </w:rPr>
              <w:t>T2.</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CA682E" w:rsidRPr="00CA682E" w:rsidRDefault="00CA682E" w:rsidP="00CA682E">
            <w:pPr>
              <w:spacing w:after="240"/>
              <w:rPr>
                <w:rFonts w:eastAsia="Times New Roman"/>
                <w:b/>
                <w:bCs/>
                <w:color w:val="000000" w:themeColor="text1"/>
                <w:sz w:val="16"/>
                <w:szCs w:val="16"/>
                <w:lang w:eastAsia="en-US"/>
              </w:rPr>
            </w:pPr>
            <w:r w:rsidRPr="00CA682E">
              <w:rPr>
                <w:rFonts w:eastAsia="Times New Roman"/>
                <w:b/>
                <w:bCs/>
                <w:color w:val="000000" w:themeColor="text1"/>
                <w:sz w:val="16"/>
                <w:szCs w:val="16"/>
                <w:lang w:eastAsia="en-US"/>
              </w:rPr>
              <w:t>T3</w:t>
            </w:r>
          </w:p>
        </w:tc>
        <w:tc>
          <w:tcPr>
            <w:tcW w:w="560" w:type="dxa"/>
            <w:tcBorders>
              <w:top w:val="nil"/>
              <w:left w:val="nil"/>
              <w:bottom w:val="single" w:sz="4" w:space="0" w:color="auto"/>
              <w:right w:val="single" w:sz="8" w:space="0" w:color="auto"/>
            </w:tcBorders>
            <w:shd w:val="clear" w:color="auto" w:fill="C6D9F1" w:themeFill="text2" w:themeFillTint="33"/>
            <w:noWrap/>
            <w:vAlign w:val="bottom"/>
            <w:hideMark/>
          </w:tcPr>
          <w:p w:rsidR="00CA682E" w:rsidRPr="00CA682E" w:rsidRDefault="00CA682E" w:rsidP="00CA682E">
            <w:pPr>
              <w:spacing w:after="240"/>
              <w:rPr>
                <w:rFonts w:eastAsia="Times New Roman"/>
                <w:b/>
                <w:bCs/>
                <w:color w:val="000000" w:themeColor="text1"/>
                <w:sz w:val="16"/>
                <w:szCs w:val="16"/>
                <w:lang w:eastAsia="en-US"/>
              </w:rPr>
            </w:pPr>
            <w:r w:rsidRPr="00CA682E">
              <w:rPr>
                <w:rFonts w:eastAsia="Times New Roman"/>
                <w:b/>
                <w:bCs/>
                <w:color w:val="000000" w:themeColor="text1"/>
                <w:sz w:val="16"/>
                <w:szCs w:val="16"/>
                <w:lang w:eastAsia="en-US"/>
              </w:rPr>
              <w:t>T4</w:t>
            </w:r>
          </w:p>
        </w:tc>
        <w:tc>
          <w:tcPr>
            <w:tcW w:w="450" w:type="dxa"/>
            <w:tcBorders>
              <w:top w:val="single" w:sz="4" w:space="0" w:color="auto"/>
              <w:bottom w:val="single" w:sz="4" w:space="0" w:color="auto"/>
              <w:right w:val="single" w:sz="4" w:space="0" w:color="auto"/>
            </w:tcBorders>
            <w:shd w:val="clear" w:color="auto" w:fill="C6D9F1" w:themeFill="text2" w:themeFillTint="33"/>
          </w:tcPr>
          <w:p w:rsidR="00CA682E" w:rsidRPr="00CA682E" w:rsidRDefault="00CA682E" w:rsidP="00CA682E">
            <w:pPr>
              <w:spacing w:before="240" w:after="240"/>
              <w:rPr>
                <w:rFonts w:eastAsia="Times New Roman" w:cs="Times New Roman"/>
                <w:b/>
                <w:color w:val="000000" w:themeColor="text1"/>
                <w:sz w:val="16"/>
                <w:szCs w:val="16"/>
                <w:lang w:eastAsia="en-US"/>
              </w:rPr>
            </w:pPr>
            <w:r w:rsidRPr="00CA682E">
              <w:rPr>
                <w:rFonts w:eastAsia="Times New Roman" w:cs="Times New Roman"/>
                <w:b/>
                <w:color w:val="000000" w:themeColor="text1"/>
                <w:sz w:val="16"/>
                <w:szCs w:val="16"/>
                <w:lang w:eastAsia="en-US"/>
              </w:rPr>
              <w:t>T1.</w:t>
            </w:r>
          </w:p>
        </w:tc>
        <w:tc>
          <w:tcPr>
            <w:tcW w:w="431" w:type="dxa"/>
            <w:tcBorders>
              <w:top w:val="single" w:sz="4" w:space="0" w:color="auto"/>
              <w:bottom w:val="single" w:sz="4" w:space="0" w:color="auto"/>
              <w:right w:val="single" w:sz="4" w:space="0" w:color="auto"/>
            </w:tcBorders>
            <w:shd w:val="clear" w:color="auto" w:fill="C6D9F1" w:themeFill="text2" w:themeFillTint="33"/>
          </w:tcPr>
          <w:p w:rsidR="00CA682E" w:rsidRPr="00CA682E" w:rsidRDefault="00CA682E" w:rsidP="00CA682E">
            <w:pPr>
              <w:spacing w:before="240" w:after="240"/>
              <w:rPr>
                <w:rFonts w:eastAsia="Times New Roman" w:cs="Times New Roman"/>
                <w:b/>
                <w:color w:val="000000" w:themeColor="text1"/>
                <w:sz w:val="16"/>
                <w:szCs w:val="16"/>
                <w:lang w:eastAsia="en-US"/>
              </w:rPr>
            </w:pPr>
            <w:r w:rsidRPr="00CA682E">
              <w:rPr>
                <w:rFonts w:eastAsia="Times New Roman" w:cs="Times New Roman"/>
                <w:b/>
                <w:color w:val="000000" w:themeColor="text1"/>
                <w:sz w:val="16"/>
                <w:szCs w:val="16"/>
                <w:lang w:eastAsia="en-US"/>
              </w:rPr>
              <w:t>T2.</w:t>
            </w:r>
          </w:p>
        </w:tc>
      </w:tr>
      <w:tr w:rsidR="00CA682E" w:rsidRPr="00CA682E" w:rsidTr="007B1DE4">
        <w:trPr>
          <w:trHeight w:val="425"/>
          <w:jc w:val="center"/>
        </w:trPr>
        <w:tc>
          <w:tcPr>
            <w:tcW w:w="4167" w:type="dxa"/>
            <w:tcBorders>
              <w:top w:val="nil"/>
              <w:left w:val="single" w:sz="8" w:space="0" w:color="auto"/>
              <w:bottom w:val="single" w:sz="4" w:space="0" w:color="auto"/>
              <w:right w:val="single" w:sz="8" w:space="0" w:color="auto"/>
            </w:tcBorders>
            <w:shd w:val="clear" w:color="auto" w:fill="auto"/>
            <w:noWrap/>
            <w:vAlign w:val="center"/>
            <w:hideMark/>
          </w:tcPr>
          <w:p w:rsidR="00CA682E" w:rsidRPr="00CA682E" w:rsidRDefault="00CA682E" w:rsidP="00CA682E">
            <w:pPr>
              <w:spacing w:before="40" w:after="40"/>
              <w:rPr>
                <w:rFonts w:eastAsia="Times New Roman"/>
                <w:color w:val="000000" w:themeColor="text1"/>
                <w:sz w:val="16"/>
                <w:szCs w:val="16"/>
                <w:lang w:eastAsia="en-US"/>
              </w:rPr>
            </w:pPr>
            <w:r w:rsidRPr="00CA682E">
              <w:rPr>
                <w:rFonts w:eastAsia="Times New Roman"/>
                <w:color w:val="000000" w:themeColor="text1"/>
                <w:sz w:val="16"/>
                <w:szCs w:val="16"/>
                <w:lang w:eastAsia="en-US"/>
              </w:rPr>
              <w:t>Adjudicación del contrato al ingeniero en climatización (AB y PCT)</w:t>
            </w:r>
          </w:p>
        </w:tc>
        <w:tc>
          <w:tcPr>
            <w:tcW w:w="480" w:type="dxa"/>
            <w:tcBorders>
              <w:top w:val="nil"/>
              <w:left w:val="nil"/>
              <w:bottom w:val="single" w:sz="4" w:space="0" w:color="auto"/>
              <w:right w:val="single" w:sz="4" w:space="0" w:color="auto"/>
            </w:tcBorders>
            <w:shd w:val="clear" w:color="auto" w:fill="auto"/>
            <w:noWrap/>
            <w:vAlign w:val="bottom"/>
            <w:hideMark/>
          </w:tcPr>
          <w:p w:rsidR="00CA682E" w:rsidRPr="00CA682E" w:rsidRDefault="00CA682E" w:rsidP="00CA682E">
            <w:pPr>
              <w:spacing w:before="40" w:after="40"/>
              <w:rPr>
                <w:rFonts w:eastAsia="Times New Roman"/>
                <w:color w:val="000000" w:themeColor="text1"/>
                <w:sz w:val="16"/>
                <w:szCs w:val="16"/>
                <w:lang w:eastAsia="en-US"/>
              </w:rPr>
            </w:pPr>
            <w:r w:rsidRPr="00CA682E">
              <w:rPr>
                <w:rFonts w:eastAsia="Times New Roman"/>
                <w:color w:val="000000" w:themeColor="text1"/>
                <w:sz w:val="16"/>
                <w:szCs w:val="16"/>
                <w:lang w:eastAsia="en-US"/>
              </w:rPr>
              <w:t> </w:t>
            </w: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r w:rsidRPr="00CA682E">
              <w:rPr>
                <w:rFonts w:eastAsia="Times New Roman"/>
                <w:color w:val="000000" w:themeColor="text1"/>
                <w:sz w:val="16"/>
                <w:szCs w:val="16"/>
                <w:lang w:eastAsia="en-US"/>
              </w:rPr>
              <w:t>X</w:t>
            </w: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8"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p>
        </w:tc>
        <w:tc>
          <w:tcPr>
            <w:tcW w:w="560" w:type="dxa"/>
            <w:tcBorders>
              <w:top w:val="nil"/>
              <w:left w:val="nil"/>
              <w:bottom w:val="single" w:sz="4" w:space="0" w:color="auto"/>
              <w:right w:val="single" w:sz="8"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p>
        </w:tc>
        <w:tc>
          <w:tcPr>
            <w:tcW w:w="450" w:type="dxa"/>
            <w:tcBorders>
              <w:top w:val="single" w:sz="4" w:space="0" w:color="auto"/>
              <w:bottom w:val="single" w:sz="4" w:space="0" w:color="auto"/>
              <w:right w:val="single" w:sz="4" w:space="0" w:color="auto"/>
            </w:tcBorders>
            <w:shd w:val="clear" w:color="auto" w:fill="auto"/>
            <w:vAlign w:val="center"/>
          </w:tcPr>
          <w:p w:rsidR="00CA682E" w:rsidRPr="00CA682E" w:rsidRDefault="00CA682E" w:rsidP="00CA682E">
            <w:pPr>
              <w:spacing w:before="40" w:after="40"/>
              <w:jc w:val="center"/>
              <w:rPr>
                <w:rFonts w:eastAsia="Times New Roman" w:cs="Times New Roman"/>
                <w:color w:val="000000" w:themeColor="text1"/>
                <w:sz w:val="20"/>
                <w:szCs w:val="24"/>
                <w:lang w:eastAsia="en-US"/>
              </w:rPr>
            </w:pPr>
          </w:p>
        </w:tc>
        <w:tc>
          <w:tcPr>
            <w:tcW w:w="431" w:type="dxa"/>
            <w:tcBorders>
              <w:top w:val="single" w:sz="4" w:space="0" w:color="auto"/>
              <w:bottom w:val="single" w:sz="4" w:space="0" w:color="auto"/>
              <w:right w:val="single" w:sz="4" w:space="0" w:color="auto"/>
            </w:tcBorders>
            <w:shd w:val="clear" w:color="auto" w:fill="auto"/>
            <w:vAlign w:val="center"/>
          </w:tcPr>
          <w:p w:rsidR="00CA682E" w:rsidRPr="00CA682E" w:rsidRDefault="00CA682E" w:rsidP="00CA682E">
            <w:pPr>
              <w:spacing w:before="40" w:after="40"/>
              <w:jc w:val="center"/>
              <w:rPr>
                <w:rFonts w:eastAsia="Times New Roman" w:cs="Times New Roman"/>
                <w:color w:val="000000" w:themeColor="text1"/>
                <w:sz w:val="20"/>
                <w:szCs w:val="24"/>
                <w:lang w:eastAsia="en-US"/>
              </w:rPr>
            </w:pPr>
          </w:p>
        </w:tc>
      </w:tr>
      <w:tr w:rsidR="00CA682E" w:rsidRPr="00CA682E" w:rsidTr="007B1DE4">
        <w:trPr>
          <w:trHeight w:val="545"/>
          <w:jc w:val="center"/>
        </w:trPr>
        <w:tc>
          <w:tcPr>
            <w:tcW w:w="4167" w:type="dxa"/>
            <w:tcBorders>
              <w:top w:val="nil"/>
              <w:left w:val="single" w:sz="8" w:space="0" w:color="auto"/>
              <w:bottom w:val="single" w:sz="4" w:space="0" w:color="auto"/>
              <w:right w:val="single" w:sz="8" w:space="0" w:color="auto"/>
            </w:tcBorders>
            <w:shd w:val="clear" w:color="auto" w:fill="auto"/>
            <w:noWrap/>
            <w:vAlign w:val="center"/>
            <w:hideMark/>
          </w:tcPr>
          <w:p w:rsidR="00CA682E" w:rsidRPr="00CA682E" w:rsidRDefault="00CA682E" w:rsidP="00CA682E">
            <w:pPr>
              <w:spacing w:before="40" w:after="40"/>
              <w:rPr>
                <w:rFonts w:eastAsia="Times New Roman"/>
                <w:color w:val="000000" w:themeColor="text1"/>
                <w:sz w:val="16"/>
                <w:szCs w:val="16"/>
                <w:lang w:eastAsia="en-US"/>
              </w:rPr>
            </w:pPr>
            <w:r w:rsidRPr="00CA682E">
              <w:rPr>
                <w:rFonts w:eastAsia="Times New Roman"/>
                <w:color w:val="000000" w:themeColor="text1"/>
                <w:sz w:val="16"/>
                <w:szCs w:val="16"/>
                <w:lang w:eastAsia="en-US"/>
              </w:rPr>
              <w:t>Llamado a presentar ofertas para las empresas (AB)</w:t>
            </w:r>
          </w:p>
        </w:tc>
        <w:tc>
          <w:tcPr>
            <w:tcW w:w="480" w:type="dxa"/>
            <w:tcBorders>
              <w:top w:val="nil"/>
              <w:left w:val="nil"/>
              <w:bottom w:val="single" w:sz="4" w:space="0" w:color="auto"/>
              <w:right w:val="single" w:sz="4" w:space="0" w:color="auto"/>
            </w:tcBorders>
            <w:shd w:val="clear" w:color="auto" w:fill="auto"/>
            <w:noWrap/>
            <w:vAlign w:val="bottom"/>
            <w:hideMark/>
          </w:tcPr>
          <w:p w:rsidR="00CA682E" w:rsidRPr="00CA682E" w:rsidRDefault="00CA682E" w:rsidP="00CA682E">
            <w:pPr>
              <w:spacing w:before="40" w:after="40"/>
              <w:rPr>
                <w:rFonts w:eastAsia="Times New Roman"/>
                <w:color w:val="000000" w:themeColor="text1"/>
                <w:sz w:val="16"/>
                <w:szCs w:val="16"/>
                <w:lang w:eastAsia="en-US"/>
              </w:rPr>
            </w:pPr>
            <w:r w:rsidRPr="00CA682E">
              <w:rPr>
                <w:rFonts w:eastAsia="Times New Roman"/>
                <w:color w:val="000000" w:themeColor="text1"/>
                <w:sz w:val="16"/>
                <w:szCs w:val="16"/>
                <w:lang w:eastAsia="en-US"/>
              </w:rPr>
              <w:t> </w:t>
            </w: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r w:rsidRPr="00CA682E">
              <w:rPr>
                <w:rFonts w:eastAsia="Times New Roman"/>
                <w:color w:val="000000" w:themeColor="text1"/>
                <w:sz w:val="16"/>
                <w:szCs w:val="16"/>
                <w:lang w:eastAsia="en-US"/>
              </w:rPr>
              <w:t>X</w:t>
            </w: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8"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p>
        </w:tc>
        <w:tc>
          <w:tcPr>
            <w:tcW w:w="560" w:type="dxa"/>
            <w:tcBorders>
              <w:top w:val="nil"/>
              <w:left w:val="nil"/>
              <w:bottom w:val="single" w:sz="4" w:space="0" w:color="auto"/>
              <w:right w:val="single" w:sz="8"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p>
        </w:tc>
        <w:tc>
          <w:tcPr>
            <w:tcW w:w="450" w:type="dxa"/>
            <w:tcBorders>
              <w:top w:val="single" w:sz="4" w:space="0" w:color="auto"/>
              <w:bottom w:val="single" w:sz="4" w:space="0" w:color="auto"/>
              <w:right w:val="single" w:sz="4" w:space="0" w:color="auto"/>
            </w:tcBorders>
            <w:shd w:val="clear" w:color="auto" w:fill="auto"/>
            <w:vAlign w:val="center"/>
          </w:tcPr>
          <w:p w:rsidR="00CA682E" w:rsidRPr="00CA682E" w:rsidRDefault="00CA682E" w:rsidP="00CA682E">
            <w:pPr>
              <w:spacing w:before="40" w:after="40"/>
              <w:jc w:val="center"/>
              <w:rPr>
                <w:rFonts w:eastAsia="Times New Roman" w:cs="Times New Roman"/>
                <w:color w:val="000000" w:themeColor="text1"/>
                <w:sz w:val="20"/>
                <w:szCs w:val="24"/>
                <w:lang w:eastAsia="en-US"/>
              </w:rPr>
            </w:pPr>
          </w:p>
        </w:tc>
        <w:tc>
          <w:tcPr>
            <w:tcW w:w="431" w:type="dxa"/>
            <w:tcBorders>
              <w:top w:val="single" w:sz="4" w:space="0" w:color="auto"/>
              <w:bottom w:val="single" w:sz="4" w:space="0" w:color="auto"/>
              <w:right w:val="single" w:sz="4" w:space="0" w:color="auto"/>
            </w:tcBorders>
            <w:shd w:val="clear" w:color="auto" w:fill="auto"/>
            <w:vAlign w:val="center"/>
          </w:tcPr>
          <w:p w:rsidR="00CA682E" w:rsidRPr="00CA682E" w:rsidRDefault="00CA682E" w:rsidP="00CA682E">
            <w:pPr>
              <w:spacing w:before="40" w:after="40"/>
              <w:jc w:val="center"/>
              <w:rPr>
                <w:rFonts w:eastAsia="Times New Roman" w:cs="Times New Roman"/>
                <w:color w:val="000000" w:themeColor="text1"/>
                <w:sz w:val="20"/>
                <w:szCs w:val="24"/>
                <w:lang w:eastAsia="en-US"/>
              </w:rPr>
            </w:pPr>
          </w:p>
        </w:tc>
      </w:tr>
      <w:tr w:rsidR="00CA682E" w:rsidRPr="00CA682E" w:rsidTr="007B1DE4">
        <w:trPr>
          <w:trHeight w:val="425"/>
          <w:jc w:val="center"/>
        </w:trPr>
        <w:tc>
          <w:tcPr>
            <w:tcW w:w="4167" w:type="dxa"/>
            <w:tcBorders>
              <w:top w:val="nil"/>
              <w:left w:val="single" w:sz="8" w:space="0" w:color="auto"/>
              <w:bottom w:val="single" w:sz="4" w:space="0" w:color="auto"/>
              <w:right w:val="single" w:sz="8" w:space="0" w:color="auto"/>
            </w:tcBorders>
            <w:shd w:val="clear" w:color="auto" w:fill="auto"/>
            <w:noWrap/>
            <w:vAlign w:val="center"/>
            <w:hideMark/>
          </w:tcPr>
          <w:p w:rsidR="00CA682E" w:rsidRPr="00CA682E" w:rsidRDefault="00CA682E" w:rsidP="00CA682E">
            <w:pPr>
              <w:spacing w:before="40" w:after="40"/>
              <w:rPr>
                <w:rFonts w:eastAsia="Times New Roman"/>
                <w:color w:val="000000" w:themeColor="text1"/>
                <w:sz w:val="16"/>
                <w:szCs w:val="16"/>
                <w:lang w:eastAsia="en-US"/>
              </w:rPr>
            </w:pPr>
            <w:r w:rsidRPr="00CA682E">
              <w:rPr>
                <w:rFonts w:eastAsia="Times New Roman"/>
                <w:color w:val="000000" w:themeColor="text1"/>
                <w:sz w:val="16"/>
                <w:szCs w:val="16"/>
                <w:lang w:eastAsia="en-US"/>
              </w:rPr>
              <w:t>Ejecución y puesta en servicio de las obras (AB)</w:t>
            </w:r>
          </w:p>
        </w:tc>
        <w:tc>
          <w:tcPr>
            <w:tcW w:w="480" w:type="dxa"/>
            <w:tcBorders>
              <w:top w:val="nil"/>
              <w:left w:val="nil"/>
              <w:bottom w:val="single" w:sz="4" w:space="0" w:color="auto"/>
              <w:right w:val="single" w:sz="4" w:space="0" w:color="auto"/>
            </w:tcBorders>
            <w:shd w:val="clear" w:color="auto" w:fill="auto"/>
            <w:noWrap/>
            <w:vAlign w:val="bottom"/>
            <w:hideMark/>
          </w:tcPr>
          <w:p w:rsidR="00CA682E" w:rsidRPr="00CA682E" w:rsidRDefault="00CA682E" w:rsidP="00CA682E">
            <w:pPr>
              <w:spacing w:before="40" w:after="40"/>
              <w:rPr>
                <w:rFonts w:eastAsia="Times New Roman"/>
                <w:color w:val="000000" w:themeColor="text1"/>
                <w:sz w:val="16"/>
                <w:szCs w:val="16"/>
                <w:lang w:eastAsia="en-US"/>
              </w:rPr>
            </w:pPr>
            <w:r w:rsidRPr="00CA682E">
              <w:rPr>
                <w:rFonts w:eastAsia="Times New Roman"/>
                <w:color w:val="000000" w:themeColor="text1"/>
                <w:sz w:val="16"/>
                <w:szCs w:val="16"/>
                <w:lang w:eastAsia="en-US"/>
              </w:rPr>
              <w:t> </w:t>
            </w: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r w:rsidRPr="00CA682E">
              <w:rPr>
                <w:rFonts w:eastAsia="Times New Roman"/>
                <w:color w:val="000000" w:themeColor="text1"/>
                <w:sz w:val="16"/>
                <w:szCs w:val="16"/>
                <w:lang w:eastAsia="en-US"/>
              </w:rPr>
              <w:t>X</w:t>
            </w:r>
          </w:p>
        </w:tc>
        <w:tc>
          <w:tcPr>
            <w:tcW w:w="480" w:type="dxa"/>
            <w:tcBorders>
              <w:top w:val="nil"/>
              <w:left w:val="nil"/>
              <w:bottom w:val="single" w:sz="4" w:space="0" w:color="auto"/>
              <w:right w:val="single" w:sz="8"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p>
        </w:tc>
        <w:tc>
          <w:tcPr>
            <w:tcW w:w="560" w:type="dxa"/>
            <w:tcBorders>
              <w:top w:val="nil"/>
              <w:left w:val="nil"/>
              <w:bottom w:val="single" w:sz="4" w:space="0" w:color="auto"/>
              <w:right w:val="single" w:sz="8"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p>
        </w:tc>
        <w:tc>
          <w:tcPr>
            <w:tcW w:w="450" w:type="dxa"/>
            <w:tcBorders>
              <w:top w:val="single" w:sz="4" w:space="0" w:color="auto"/>
              <w:bottom w:val="single" w:sz="4" w:space="0" w:color="auto"/>
              <w:right w:val="single" w:sz="4" w:space="0" w:color="auto"/>
            </w:tcBorders>
            <w:shd w:val="clear" w:color="auto" w:fill="auto"/>
            <w:vAlign w:val="center"/>
          </w:tcPr>
          <w:p w:rsidR="00CA682E" w:rsidRPr="00CA682E" w:rsidRDefault="00CA682E" w:rsidP="00CA682E">
            <w:pPr>
              <w:spacing w:before="40" w:after="40"/>
              <w:jc w:val="center"/>
              <w:rPr>
                <w:rFonts w:eastAsia="Times New Roman" w:cs="Times New Roman"/>
                <w:color w:val="000000" w:themeColor="text1"/>
                <w:sz w:val="20"/>
                <w:szCs w:val="24"/>
                <w:lang w:eastAsia="en-US"/>
              </w:rPr>
            </w:pPr>
          </w:p>
        </w:tc>
        <w:tc>
          <w:tcPr>
            <w:tcW w:w="431" w:type="dxa"/>
            <w:tcBorders>
              <w:top w:val="single" w:sz="4" w:space="0" w:color="auto"/>
              <w:bottom w:val="single" w:sz="4" w:space="0" w:color="auto"/>
              <w:right w:val="single" w:sz="4" w:space="0" w:color="auto"/>
            </w:tcBorders>
            <w:shd w:val="clear" w:color="auto" w:fill="auto"/>
            <w:vAlign w:val="center"/>
          </w:tcPr>
          <w:p w:rsidR="00CA682E" w:rsidRPr="00CA682E" w:rsidRDefault="00CA682E" w:rsidP="00CA682E">
            <w:pPr>
              <w:spacing w:before="40" w:after="40"/>
              <w:jc w:val="center"/>
              <w:rPr>
                <w:rFonts w:eastAsia="Times New Roman" w:cs="Times New Roman"/>
                <w:color w:val="000000" w:themeColor="text1"/>
                <w:sz w:val="20"/>
                <w:szCs w:val="24"/>
                <w:lang w:eastAsia="en-US"/>
              </w:rPr>
            </w:pPr>
          </w:p>
        </w:tc>
      </w:tr>
      <w:tr w:rsidR="00CA682E" w:rsidRPr="00CA682E" w:rsidTr="007B1DE4">
        <w:trPr>
          <w:trHeight w:val="417"/>
          <w:jc w:val="center"/>
        </w:trPr>
        <w:tc>
          <w:tcPr>
            <w:tcW w:w="4167" w:type="dxa"/>
            <w:tcBorders>
              <w:top w:val="nil"/>
              <w:left w:val="single" w:sz="8" w:space="0" w:color="auto"/>
              <w:bottom w:val="single" w:sz="4" w:space="0" w:color="auto"/>
              <w:right w:val="single" w:sz="8" w:space="0" w:color="auto"/>
            </w:tcBorders>
            <w:shd w:val="clear" w:color="auto" w:fill="auto"/>
            <w:noWrap/>
            <w:vAlign w:val="center"/>
            <w:hideMark/>
          </w:tcPr>
          <w:p w:rsidR="00CA682E" w:rsidRPr="00CA682E" w:rsidRDefault="00CA682E" w:rsidP="00CA682E">
            <w:pPr>
              <w:spacing w:before="40" w:after="40"/>
              <w:rPr>
                <w:rFonts w:eastAsia="Times New Roman"/>
                <w:color w:val="000000" w:themeColor="text1"/>
                <w:sz w:val="16"/>
                <w:szCs w:val="16"/>
                <w:lang w:eastAsia="en-US"/>
              </w:rPr>
            </w:pPr>
            <w:r w:rsidRPr="00CA682E">
              <w:rPr>
                <w:rFonts w:eastAsia="Times New Roman"/>
                <w:color w:val="000000" w:themeColor="text1"/>
                <w:sz w:val="16"/>
                <w:szCs w:val="16"/>
                <w:lang w:eastAsia="en-US"/>
              </w:rPr>
              <w:t>Validación del proyecto con el ingeniero en climatización (PCT)</w:t>
            </w:r>
          </w:p>
        </w:tc>
        <w:tc>
          <w:tcPr>
            <w:tcW w:w="480" w:type="dxa"/>
            <w:tcBorders>
              <w:top w:val="nil"/>
              <w:left w:val="nil"/>
              <w:bottom w:val="single" w:sz="4" w:space="0" w:color="auto"/>
              <w:right w:val="single" w:sz="4" w:space="0" w:color="auto"/>
            </w:tcBorders>
            <w:shd w:val="clear" w:color="auto" w:fill="auto"/>
            <w:noWrap/>
            <w:vAlign w:val="bottom"/>
            <w:hideMark/>
          </w:tcPr>
          <w:p w:rsidR="00CA682E" w:rsidRPr="00CA682E" w:rsidRDefault="00CA682E" w:rsidP="00CA682E">
            <w:pPr>
              <w:spacing w:before="40" w:after="40"/>
              <w:rPr>
                <w:rFonts w:eastAsia="Times New Roman"/>
                <w:color w:val="000000" w:themeColor="text1"/>
                <w:sz w:val="16"/>
                <w:szCs w:val="16"/>
                <w:lang w:eastAsia="en-US"/>
              </w:rPr>
            </w:pPr>
            <w:r w:rsidRPr="00CA682E">
              <w:rPr>
                <w:rFonts w:eastAsia="Times New Roman"/>
                <w:color w:val="000000" w:themeColor="text1"/>
                <w:sz w:val="16"/>
                <w:szCs w:val="16"/>
                <w:lang w:eastAsia="en-US"/>
              </w:rPr>
              <w:t> </w:t>
            </w: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8"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r w:rsidRPr="00CA682E">
              <w:rPr>
                <w:rFonts w:eastAsia="Times New Roman"/>
                <w:color w:val="000000" w:themeColor="text1"/>
                <w:sz w:val="16"/>
                <w:szCs w:val="16"/>
                <w:lang w:eastAsia="en-US"/>
              </w:rPr>
              <w:t>X</w:t>
            </w: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p>
        </w:tc>
        <w:tc>
          <w:tcPr>
            <w:tcW w:w="560" w:type="dxa"/>
            <w:tcBorders>
              <w:top w:val="nil"/>
              <w:left w:val="nil"/>
              <w:bottom w:val="single" w:sz="4" w:space="0" w:color="auto"/>
              <w:right w:val="single" w:sz="8"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p>
        </w:tc>
        <w:tc>
          <w:tcPr>
            <w:tcW w:w="450" w:type="dxa"/>
            <w:tcBorders>
              <w:top w:val="single" w:sz="4" w:space="0" w:color="auto"/>
              <w:bottom w:val="single" w:sz="4" w:space="0" w:color="auto"/>
              <w:right w:val="single" w:sz="4" w:space="0" w:color="auto"/>
            </w:tcBorders>
            <w:shd w:val="clear" w:color="auto" w:fill="auto"/>
            <w:vAlign w:val="center"/>
          </w:tcPr>
          <w:p w:rsidR="00CA682E" w:rsidRPr="00CA682E" w:rsidRDefault="00CA682E" w:rsidP="00CA682E">
            <w:pPr>
              <w:spacing w:before="40" w:after="40"/>
              <w:jc w:val="center"/>
              <w:rPr>
                <w:rFonts w:eastAsia="Times New Roman" w:cs="Times New Roman"/>
                <w:color w:val="000000" w:themeColor="text1"/>
                <w:sz w:val="20"/>
                <w:szCs w:val="24"/>
                <w:lang w:eastAsia="en-US"/>
              </w:rPr>
            </w:pPr>
          </w:p>
        </w:tc>
        <w:tc>
          <w:tcPr>
            <w:tcW w:w="431" w:type="dxa"/>
            <w:tcBorders>
              <w:top w:val="single" w:sz="4" w:space="0" w:color="auto"/>
              <w:bottom w:val="single" w:sz="4" w:space="0" w:color="auto"/>
              <w:right w:val="single" w:sz="4" w:space="0" w:color="auto"/>
            </w:tcBorders>
            <w:shd w:val="clear" w:color="auto" w:fill="auto"/>
            <w:vAlign w:val="center"/>
          </w:tcPr>
          <w:p w:rsidR="00CA682E" w:rsidRPr="00CA682E" w:rsidRDefault="00CA682E" w:rsidP="00CA682E">
            <w:pPr>
              <w:spacing w:before="40" w:after="40"/>
              <w:jc w:val="center"/>
              <w:rPr>
                <w:rFonts w:eastAsia="Times New Roman" w:cs="Times New Roman"/>
                <w:color w:val="000000" w:themeColor="text1"/>
                <w:sz w:val="20"/>
                <w:szCs w:val="24"/>
                <w:lang w:eastAsia="en-US"/>
              </w:rPr>
            </w:pPr>
          </w:p>
        </w:tc>
      </w:tr>
      <w:tr w:rsidR="00CA682E" w:rsidRPr="00CA682E" w:rsidTr="007B1DE4">
        <w:trPr>
          <w:trHeight w:val="410"/>
          <w:jc w:val="center"/>
        </w:trPr>
        <w:tc>
          <w:tcPr>
            <w:tcW w:w="4167" w:type="dxa"/>
            <w:tcBorders>
              <w:top w:val="nil"/>
              <w:left w:val="single" w:sz="8" w:space="0" w:color="auto"/>
              <w:bottom w:val="single" w:sz="4" w:space="0" w:color="auto"/>
              <w:right w:val="single" w:sz="8" w:space="0" w:color="auto"/>
            </w:tcBorders>
            <w:shd w:val="clear" w:color="auto" w:fill="auto"/>
            <w:noWrap/>
            <w:vAlign w:val="center"/>
          </w:tcPr>
          <w:p w:rsidR="00CA682E" w:rsidRPr="00CA682E" w:rsidRDefault="00CA682E" w:rsidP="00CA682E">
            <w:pPr>
              <w:spacing w:before="40" w:after="40"/>
              <w:rPr>
                <w:rFonts w:eastAsia="Times New Roman"/>
                <w:color w:val="000000" w:themeColor="text1"/>
                <w:sz w:val="16"/>
                <w:szCs w:val="16"/>
                <w:lang w:eastAsia="en-US"/>
              </w:rPr>
            </w:pPr>
            <w:r w:rsidRPr="00CA682E">
              <w:rPr>
                <w:rFonts w:eastAsia="Times New Roman"/>
                <w:color w:val="000000" w:themeColor="text1"/>
                <w:sz w:val="16"/>
                <w:szCs w:val="16"/>
                <w:lang w:eastAsia="en-US"/>
              </w:rPr>
              <w:t>Llamado a licitación para las empresas (PCT)</w:t>
            </w:r>
          </w:p>
        </w:tc>
        <w:tc>
          <w:tcPr>
            <w:tcW w:w="480" w:type="dxa"/>
            <w:tcBorders>
              <w:top w:val="nil"/>
              <w:left w:val="nil"/>
              <w:bottom w:val="single" w:sz="4" w:space="0" w:color="auto"/>
              <w:right w:val="single" w:sz="4" w:space="0" w:color="auto"/>
            </w:tcBorders>
            <w:shd w:val="clear" w:color="auto" w:fill="auto"/>
            <w:noWrap/>
            <w:vAlign w:val="bottom"/>
          </w:tcPr>
          <w:p w:rsidR="00CA682E" w:rsidRPr="00CA682E" w:rsidRDefault="00CA682E" w:rsidP="00CA682E">
            <w:pPr>
              <w:spacing w:before="40" w:after="40"/>
              <w:rPr>
                <w:rFonts w:eastAsia="Times New Roman"/>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tcPr>
          <w:p w:rsidR="00CA682E" w:rsidRPr="00CA682E" w:rsidRDefault="00CA682E" w:rsidP="00CA682E">
            <w:pPr>
              <w:spacing w:before="40" w:after="40"/>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tcPr>
          <w:p w:rsidR="00CA682E" w:rsidRPr="00CA682E" w:rsidRDefault="00CA682E" w:rsidP="00CA682E">
            <w:pPr>
              <w:spacing w:before="40" w:after="40"/>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8" w:space="0" w:color="auto"/>
            </w:tcBorders>
            <w:shd w:val="clear" w:color="auto" w:fill="auto"/>
            <w:noWrap/>
            <w:vAlign w:val="center"/>
          </w:tcPr>
          <w:p w:rsidR="00CA682E" w:rsidRPr="00CA682E" w:rsidRDefault="00CA682E" w:rsidP="00CA682E">
            <w:pPr>
              <w:spacing w:before="40" w:after="40"/>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tcPr>
          <w:p w:rsidR="00CA682E" w:rsidRPr="00CA682E" w:rsidRDefault="00CA682E" w:rsidP="00CA682E">
            <w:pPr>
              <w:spacing w:before="40" w:after="40"/>
              <w:jc w:val="center"/>
              <w:rPr>
                <w:rFonts w:eastAsia="Times New Roman"/>
                <w:color w:val="000000" w:themeColor="text1"/>
                <w:sz w:val="16"/>
                <w:szCs w:val="16"/>
                <w:lang w:eastAsia="en-US"/>
              </w:rPr>
            </w:pPr>
            <w:r w:rsidRPr="00CA682E">
              <w:rPr>
                <w:rFonts w:eastAsia="Times New Roman"/>
                <w:color w:val="000000" w:themeColor="text1"/>
                <w:sz w:val="16"/>
                <w:szCs w:val="16"/>
                <w:lang w:eastAsia="en-US"/>
              </w:rPr>
              <w:t>X</w:t>
            </w:r>
          </w:p>
        </w:tc>
        <w:tc>
          <w:tcPr>
            <w:tcW w:w="480" w:type="dxa"/>
            <w:tcBorders>
              <w:top w:val="nil"/>
              <w:left w:val="nil"/>
              <w:bottom w:val="single" w:sz="4" w:space="0" w:color="auto"/>
              <w:right w:val="single" w:sz="4" w:space="0" w:color="auto"/>
            </w:tcBorders>
            <w:shd w:val="clear" w:color="auto" w:fill="auto"/>
            <w:noWrap/>
            <w:vAlign w:val="center"/>
          </w:tcPr>
          <w:p w:rsidR="00CA682E" w:rsidRPr="00CA682E" w:rsidRDefault="00CA682E" w:rsidP="00CA682E">
            <w:pPr>
              <w:spacing w:before="40" w:after="40"/>
              <w:jc w:val="center"/>
              <w:rPr>
                <w:rFonts w:eastAsia="Times New Roman"/>
                <w:color w:val="000000" w:themeColor="text1"/>
                <w:sz w:val="16"/>
                <w:szCs w:val="16"/>
                <w:lang w:eastAsia="en-US"/>
              </w:rPr>
            </w:pPr>
            <w:r w:rsidRPr="00CA682E">
              <w:rPr>
                <w:rFonts w:eastAsia="Times New Roman"/>
                <w:color w:val="000000" w:themeColor="text1"/>
                <w:sz w:val="16"/>
                <w:szCs w:val="16"/>
                <w:lang w:eastAsia="en-US"/>
              </w:rPr>
              <w:t>X</w:t>
            </w:r>
          </w:p>
        </w:tc>
        <w:tc>
          <w:tcPr>
            <w:tcW w:w="480" w:type="dxa"/>
            <w:tcBorders>
              <w:top w:val="nil"/>
              <w:left w:val="nil"/>
              <w:bottom w:val="single" w:sz="4" w:space="0" w:color="auto"/>
              <w:right w:val="single" w:sz="4" w:space="0" w:color="auto"/>
            </w:tcBorders>
            <w:shd w:val="clear" w:color="auto" w:fill="auto"/>
            <w:noWrap/>
            <w:vAlign w:val="center"/>
          </w:tcPr>
          <w:p w:rsidR="00CA682E" w:rsidRPr="00CA682E" w:rsidRDefault="00CA682E" w:rsidP="00CA682E">
            <w:pPr>
              <w:spacing w:before="40" w:after="40"/>
              <w:jc w:val="center"/>
              <w:rPr>
                <w:rFonts w:eastAsia="Times New Roman"/>
                <w:color w:val="000000" w:themeColor="text1"/>
                <w:sz w:val="16"/>
                <w:szCs w:val="16"/>
                <w:lang w:eastAsia="en-US"/>
              </w:rPr>
            </w:pPr>
          </w:p>
        </w:tc>
        <w:tc>
          <w:tcPr>
            <w:tcW w:w="560" w:type="dxa"/>
            <w:tcBorders>
              <w:top w:val="nil"/>
              <w:left w:val="nil"/>
              <w:bottom w:val="single" w:sz="4" w:space="0" w:color="auto"/>
              <w:right w:val="single" w:sz="8" w:space="0" w:color="auto"/>
            </w:tcBorders>
            <w:shd w:val="clear" w:color="auto" w:fill="auto"/>
            <w:noWrap/>
            <w:vAlign w:val="center"/>
          </w:tcPr>
          <w:p w:rsidR="00CA682E" w:rsidRPr="00CA682E" w:rsidRDefault="00CA682E" w:rsidP="00CA682E">
            <w:pPr>
              <w:spacing w:before="40" w:after="40"/>
              <w:jc w:val="center"/>
              <w:rPr>
                <w:rFonts w:eastAsia="Times New Roman"/>
                <w:color w:val="000000" w:themeColor="text1"/>
                <w:sz w:val="16"/>
                <w:szCs w:val="16"/>
                <w:lang w:eastAsia="en-US"/>
              </w:rPr>
            </w:pPr>
          </w:p>
        </w:tc>
        <w:tc>
          <w:tcPr>
            <w:tcW w:w="450" w:type="dxa"/>
            <w:tcBorders>
              <w:top w:val="single" w:sz="4" w:space="0" w:color="auto"/>
              <w:bottom w:val="single" w:sz="4" w:space="0" w:color="auto"/>
              <w:right w:val="single" w:sz="4" w:space="0" w:color="auto"/>
            </w:tcBorders>
            <w:shd w:val="clear" w:color="auto" w:fill="auto"/>
            <w:vAlign w:val="center"/>
          </w:tcPr>
          <w:p w:rsidR="00CA682E" w:rsidRPr="00CA682E" w:rsidRDefault="00CA682E" w:rsidP="00CA682E">
            <w:pPr>
              <w:spacing w:before="40" w:after="40"/>
              <w:jc w:val="center"/>
              <w:rPr>
                <w:rFonts w:eastAsia="Times New Roman" w:cs="Times New Roman"/>
                <w:color w:val="000000" w:themeColor="text1"/>
                <w:sz w:val="20"/>
                <w:szCs w:val="24"/>
                <w:lang w:eastAsia="en-US"/>
              </w:rPr>
            </w:pPr>
          </w:p>
        </w:tc>
        <w:tc>
          <w:tcPr>
            <w:tcW w:w="431" w:type="dxa"/>
            <w:tcBorders>
              <w:top w:val="single" w:sz="4" w:space="0" w:color="auto"/>
              <w:bottom w:val="single" w:sz="4" w:space="0" w:color="auto"/>
              <w:right w:val="single" w:sz="4" w:space="0" w:color="auto"/>
            </w:tcBorders>
            <w:shd w:val="clear" w:color="auto" w:fill="auto"/>
            <w:vAlign w:val="center"/>
          </w:tcPr>
          <w:p w:rsidR="00CA682E" w:rsidRPr="00CA682E" w:rsidRDefault="00CA682E" w:rsidP="00CA682E">
            <w:pPr>
              <w:spacing w:before="40" w:after="40"/>
              <w:jc w:val="center"/>
              <w:rPr>
                <w:rFonts w:eastAsia="Times New Roman" w:cs="Times New Roman"/>
                <w:color w:val="000000" w:themeColor="text1"/>
                <w:sz w:val="20"/>
                <w:szCs w:val="24"/>
                <w:lang w:eastAsia="en-US"/>
              </w:rPr>
            </w:pPr>
          </w:p>
        </w:tc>
      </w:tr>
      <w:tr w:rsidR="00CA682E" w:rsidRPr="00CA682E" w:rsidTr="007B1DE4">
        <w:trPr>
          <w:trHeight w:val="413"/>
          <w:jc w:val="center"/>
        </w:trPr>
        <w:tc>
          <w:tcPr>
            <w:tcW w:w="4167" w:type="dxa"/>
            <w:tcBorders>
              <w:top w:val="nil"/>
              <w:left w:val="single" w:sz="8" w:space="0" w:color="auto"/>
              <w:bottom w:val="single" w:sz="4" w:space="0" w:color="auto"/>
              <w:right w:val="single" w:sz="8" w:space="0" w:color="auto"/>
            </w:tcBorders>
            <w:shd w:val="clear" w:color="auto" w:fill="auto"/>
            <w:noWrap/>
            <w:vAlign w:val="center"/>
          </w:tcPr>
          <w:p w:rsidR="00CA682E" w:rsidRPr="00CA682E" w:rsidRDefault="00CA682E" w:rsidP="00CA682E">
            <w:pPr>
              <w:spacing w:before="40" w:after="40"/>
              <w:rPr>
                <w:rFonts w:eastAsia="Times New Roman"/>
                <w:color w:val="000000" w:themeColor="text1"/>
                <w:sz w:val="16"/>
                <w:szCs w:val="16"/>
                <w:lang w:eastAsia="en-US"/>
              </w:rPr>
            </w:pPr>
            <w:r w:rsidRPr="00CA682E">
              <w:rPr>
                <w:rFonts w:eastAsia="Times New Roman"/>
                <w:color w:val="000000" w:themeColor="text1"/>
                <w:sz w:val="16"/>
                <w:szCs w:val="16"/>
                <w:lang w:eastAsia="en-US"/>
              </w:rPr>
              <w:t>Ejecución y puesta en servicio de las obras (PCT)</w:t>
            </w:r>
          </w:p>
        </w:tc>
        <w:tc>
          <w:tcPr>
            <w:tcW w:w="480" w:type="dxa"/>
            <w:tcBorders>
              <w:top w:val="nil"/>
              <w:left w:val="nil"/>
              <w:bottom w:val="single" w:sz="4" w:space="0" w:color="auto"/>
              <w:right w:val="single" w:sz="4" w:space="0" w:color="auto"/>
            </w:tcBorders>
            <w:shd w:val="clear" w:color="auto" w:fill="auto"/>
            <w:noWrap/>
            <w:vAlign w:val="bottom"/>
          </w:tcPr>
          <w:p w:rsidR="00CA682E" w:rsidRPr="00CA682E" w:rsidRDefault="00CA682E" w:rsidP="00CA682E">
            <w:pPr>
              <w:spacing w:before="40" w:after="40"/>
              <w:rPr>
                <w:rFonts w:eastAsia="Times New Roman"/>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tcPr>
          <w:p w:rsidR="00CA682E" w:rsidRPr="00CA682E" w:rsidRDefault="00CA682E" w:rsidP="00CA682E">
            <w:pPr>
              <w:spacing w:before="40" w:after="40"/>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tcPr>
          <w:p w:rsidR="00CA682E" w:rsidRPr="00CA682E" w:rsidRDefault="00CA682E" w:rsidP="00CA682E">
            <w:pPr>
              <w:spacing w:before="40" w:after="40"/>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8" w:space="0" w:color="auto"/>
            </w:tcBorders>
            <w:shd w:val="clear" w:color="auto" w:fill="auto"/>
            <w:noWrap/>
            <w:vAlign w:val="center"/>
          </w:tcPr>
          <w:p w:rsidR="00CA682E" w:rsidRPr="00CA682E" w:rsidRDefault="00CA682E" w:rsidP="00CA682E">
            <w:pPr>
              <w:spacing w:before="40" w:after="40"/>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tcPr>
          <w:p w:rsidR="00CA682E" w:rsidRPr="00CA682E" w:rsidRDefault="00CA682E" w:rsidP="00CA682E">
            <w:pPr>
              <w:spacing w:before="40" w:after="40"/>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tcPr>
          <w:p w:rsidR="00CA682E" w:rsidRPr="00CA682E" w:rsidRDefault="00CA682E" w:rsidP="00CA682E">
            <w:pPr>
              <w:spacing w:before="40" w:after="40"/>
              <w:jc w:val="center"/>
              <w:rPr>
                <w:rFonts w:eastAsia="Times New Roman"/>
                <w:color w:val="000000" w:themeColor="text1"/>
                <w:sz w:val="16"/>
                <w:szCs w:val="16"/>
                <w:lang w:eastAsia="en-US"/>
              </w:rPr>
            </w:pPr>
            <w:r w:rsidRPr="00CA682E">
              <w:rPr>
                <w:rFonts w:eastAsia="Times New Roman"/>
                <w:color w:val="000000" w:themeColor="text1"/>
                <w:sz w:val="16"/>
                <w:szCs w:val="16"/>
                <w:lang w:eastAsia="en-US"/>
              </w:rPr>
              <w:t>X</w:t>
            </w:r>
          </w:p>
        </w:tc>
        <w:tc>
          <w:tcPr>
            <w:tcW w:w="480" w:type="dxa"/>
            <w:tcBorders>
              <w:top w:val="nil"/>
              <w:left w:val="nil"/>
              <w:bottom w:val="single" w:sz="4" w:space="0" w:color="auto"/>
              <w:right w:val="single" w:sz="4" w:space="0" w:color="auto"/>
            </w:tcBorders>
            <w:shd w:val="clear" w:color="auto" w:fill="auto"/>
            <w:noWrap/>
            <w:vAlign w:val="center"/>
          </w:tcPr>
          <w:p w:rsidR="00CA682E" w:rsidRPr="00CA682E" w:rsidRDefault="00CA682E" w:rsidP="00CA682E">
            <w:pPr>
              <w:spacing w:before="40" w:after="40"/>
              <w:jc w:val="center"/>
              <w:rPr>
                <w:rFonts w:eastAsia="Times New Roman"/>
                <w:color w:val="000000" w:themeColor="text1"/>
                <w:sz w:val="16"/>
                <w:szCs w:val="16"/>
                <w:lang w:eastAsia="en-US"/>
              </w:rPr>
            </w:pPr>
            <w:r w:rsidRPr="00CA682E">
              <w:rPr>
                <w:rFonts w:eastAsia="Times New Roman"/>
                <w:color w:val="000000" w:themeColor="text1"/>
                <w:sz w:val="16"/>
                <w:szCs w:val="16"/>
                <w:lang w:eastAsia="en-US"/>
              </w:rPr>
              <w:t>X</w:t>
            </w:r>
          </w:p>
        </w:tc>
        <w:tc>
          <w:tcPr>
            <w:tcW w:w="560" w:type="dxa"/>
            <w:tcBorders>
              <w:top w:val="nil"/>
              <w:left w:val="nil"/>
              <w:bottom w:val="single" w:sz="4" w:space="0" w:color="auto"/>
              <w:right w:val="single" w:sz="8" w:space="0" w:color="auto"/>
            </w:tcBorders>
            <w:shd w:val="clear" w:color="auto" w:fill="auto"/>
            <w:noWrap/>
            <w:vAlign w:val="center"/>
          </w:tcPr>
          <w:p w:rsidR="00CA682E" w:rsidRPr="00CA682E" w:rsidRDefault="00CA682E" w:rsidP="00CA682E">
            <w:pPr>
              <w:spacing w:before="40" w:after="40"/>
              <w:jc w:val="center"/>
              <w:rPr>
                <w:rFonts w:eastAsia="Times New Roman"/>
                <w:color w:val="000000" w:themeColor="text1"/>
                <w:sz w:val="16"/>
                <w:szCs w:val="16"/>
                <w:lang w:eastAsia="en-US"/>
              </w:rPr>
            </w:pPr>
            <w:r w:rsidRPr="00CA682E">
              <w:rPr>
                <w:rFonts w:eastAsia="Times New Roman"/>
                <w:color w:val="000000" w:themeColor="text1"/>
                <w:sz w:val="16"/>
                <w:szCs w:val="16"/>
                <w:lang w:eastAsia="en-US"/>
              </w:rPr>
              <w:t>X</w:t>
            </w:r>
          </w:p>
        </w:tc>
        <w:tc>
          <w:tcPr>
            <w:tcW w:w="450" w:type="dxa"/>
            <w:tcBorders>
              <w:top w:val="single" w:sz="4" w:space="0" w:color="auto"/>
              <w:bottom w:val="single" w:sz="4" w:space="0" w:color="auto"/>
              <w:right w:val="single" w:sz="4" w:space="0" w:color="auto"/>
            </w:tcBorders>
            <w:shd w:val="clear" w:color="auto" w:fill="auto"/>
            <w:vAlign w:val="center"/>
          </w:tcPr>
          <w:p w:rsidR="00CA682E" w:rsidRPr="00CA682E" w:rsidRDefault="00CA682E" w:rsidP="00CA682E">
            <w:pPr>
              <w:spacing w:before="40"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X</w:t>
            </w:r>
          </w:p>
        </w:tc>
        <w:tc>
          <w:tcPr>
            <w:tcW w:w="431" w:type="dxa"/>
            <w:tcBorders>
              <w:top w:val="single" w:sz="4" w:space="0" w:color="auto"/>
              <w:bottom w:val="single" w:sz="4" w:space="0" w:color="auto"/>
              <w:right w:val="single" w:sz="4" w:space="0" w:color="auto"/>
            </w:tcBorders>
            <w:shd w:val="clear" w:color="auto" w:fill="auto"/>
            <w:vAlign w:val="center"/>
          </w:tcPr>
          <w:p w:rsidR="00CA682E" w:rsidRPr="00CA682E" w:rsidRDefault="00CA682E" w:rsidP="00CA682E">
            <w:pPr>
              <w:spacing w:before="40" w:after="40"/>
              <w:jc w:val="center"/>
              <w:rPr>
                <w:rFonts w:eastAsia="Times New Roman" w:cs="Times New Roman"/>
                <w:color w:val="000000" w:themeColor="text1"/>
                <w:sz w:val="20"/>
                <w:szCs w:val="24"/>
                <w:lang w:eastAsia="en-US"/>
              </w:rPr>
            </w:pPr>
          </w:p>
        </w:tc>
      </w:tr>
    </w:tbl>
    <w:p w:rsidR="00CA682E" w:rsidRPr="00CA682E" w:rsidRDefault="00CA682E" w:rsidP="00CA682E">
      <w:pPr>
        <w:autoSpaceDE w:val="0"/>
        <w:autoSpaceDN w:val="0"/>
        <w:jc w:val="both"/>
        <w:rPr>
          <w:rFonts w:eastAsia="Times New Roman" w:cs="Times New Roman"/>
          <w:color w:val="000000" w:themeColor="text1"/>
          <w:sz w:val="20"/>
          <w:szCs w:val="24"/>
          <w:lang w:eastAsia="en-US"/>
        </w:rPr>
      </w:pPr>
    </w:p>
    <w:p w:rsidR="00CA682E" w:rsidRPr="00CA682E" w:rsidRDefault="00CA682E" w:rsidP="00CA682E">
      <w:pPr>
        <w:spacing w:after="200" w:line="276" w:lineRule="auto"/>
        <w:rPr>
          <w:rFonts w:eastAsia="Times New Roman" w:cs="Times New Roman"/>
          <w:b/>
          <w:noProof/>
          <w:color w:val="000000" w:themeColor="text1"/>
          <w:szCs w:val="24"/>
          <w:lang w:eastAsia="en-US"/>
        </w:rPr>
      </w:pPr>
      <w:r w:rsidRPr="00CA682E">
        <w:rPr>
          <w:rFonts w:eastAsia="Times New Roman" w:cs="Times New Roman"/>
          <w:b/>
          <w:noProof/>
          <w:color w:val="000000" w:themeColor="text1"/>
          <w:szCs w:val="24"/>
          <w:lang w:eastAsia="en-US"/>
        </w:rPr>
        <w:br w:type="page"/>
      </w:r>
    </w:p>
    <w:p w:rsidR="00CA682E" w:rsidRPr="00CA682E" w:rsidRDefault="00CA682E" w:rsidP="00CA682E">
      <w:pPr>
        <w:rPr>
          <w:rFonts w:eastAsia="Times New Roman" w:cs="Times New Roman"/>
          <w:b/>
          <w:noProof/>
          <w:color w:val="000000" w:themeColor="text1"/>
          <w:szCs w:val="24"/>
          <w:lang w:eastAsia="en-US"/>
        </w:rPr>
      </w:pPr>
      <w:r w:rsidRPr="00CA682E">
        <w:rPr>
          <w:rFonts w:eastAsia="Times New Roman" w:cs="Times New Roman"/>
          <w:b/>
          <w:noProof/>
          <w:color w:val="000000" w:themeColor="text1"/>
          <w:szCs w:val="24"/>
          <w:lang w:eastAsia="en-US"/>
        </w:rPr>
        <w:lastRenderedPageBreak/>
        <w:t>PROYECTOS RELACIONADOS CON LOS EDIFICIOS</w:t>
      </w:r>
    </w:p>
    <w:p w:rsidR="00CA682E" w:rsidRPr="00CA682E" w:rsidRDefault="00CA682E" w:rsidP="00DD172C">
      <w:pPr>
        <w:keepNext/>
        <w:spacing w:before="240" w:after="60"/>
        <w:ind w:left="1701" w:hanging="1701"/>
        <w:outlineLvl w:val="2"/>
        <w:rPr>
          <w:b/>
          <w:bCs/>
          <w:i/>
          <w:color w:val="000000" w:themeColor="text1"/>
          <w:sz w:val="20"/>
          <w:szCs w:val="26"/>
          <w:lang w:eastAsia="en-US"/>
        </w:rPr>
      </w:pPr>
      <w:bookmarkStart w:id="229" w:name="_Toc455159120"/>
      <w:r w:rsidRPr="00CA682E">
        <w:rPr>
          <w:b/>
          <w:bCs/>
          <w:i/>
          <w:color w:val="000000" w:themeColor="text1"/>
          <w:sz w:val="20"/>
          <w:szCs w:val="26"/>
          <w:lang w:eastAsia="en-US"/>
        </w:rPr>
        <w:t>PROYECTO 5</w:t>
      </w:r>
      <w:r w:rsidR="00DD172C">
        <w:rPr>
          <w:b/>
          <w:bCs/>
          <w:i/>
          <w:color w:val="000000" w:themeColor="text1"/>
          <w:sz w:val="20"/>
          <w:szCs w:val="26"/>
          <w:lang w:eastAsia="en-US"/>
        </w:rPr>
        <w:t>:</w:t>
      </w:r>
      <w:r w:rsidR="00DD172C">
        <w:rPr>
          <w:b/>
          <w:bCs/>
          <w:i/>
          <w:color w:val="000000" w:themeColor="text1"/>
          <w:sz w:val="20"/>
          <w:szCs w:val="26"/>
          <w:lang w:eastAsia="en-US"/>
        </w:rPr>
        <w:tab/>
      </w:r>
      <w:r w:rsidRPr="00CA682E">
        <w:rPr>
          <w:b/>
          <w:bCs/>
          <w:i/>
          <w:color w:val="000000" w:themeColor="text1"/>
          <w:sz w:val="20"/>
          <w:szCs w:val="26"/>
          <w:lang w:eastAsia="en-US"/>
        </w:rPr>
        <w:t>EDIFICIO ARPAD BOGSCH – FASE 1 DE LA RENOVACIÓN DEL SUBSUELO (ADAPTACIÓN DE LAS DIMENSIONES DEL CENTRO DE DATOS Y RENOVACIÓN DE LA IMPRENTA) (PMM 5)</w:t>
      </w:r>
      <w:bookmarkEnd w:id="229"/>
    </w:p>
    <w:p w:rsidR="00CA682E" w:rsidRPr="00CA682E" w:rsidRDefault="00CA682E" w:rsidP="00CA682E">
      <w:pPr>
        <w:rPr>
          <w:rFonts w:eastAsia="Times New Roman" w:cs="Times New Roman"/>
          <w:b/>
          <w:noProof/>
          <w:color w:val="000000" w:themeColor="text1"/>
          <w:sz w:val="18"/>
          <w:szCs w:val="24"/>
          <w:lang w:eastAsia="en-US"/>
        </w:rPr>
      </w:pPr>
    </w:p>
    <w:p w:rsidR="00CA682E" w:rsidRPr="00CA682E" w:rsidRDefault="00CA682E" w:rsidP="00CA682E">
      <w:pPr>
        <w:rPr>
          <w:rFonts w:eastAsia="Times New Roman" w:cs="Times New Roman"/>
          <w:b/>
          <w:noProof/>
          <w:color w:val="000000" w:themeColor="text1"/>
          <w:sz w:val="20"/>
          <w:lang w:eastAsia="en-US"/>
        </w:rPr>
      </w:pPr>
      <w:r w:rsidRPr="00CA682E">
        <w:rPr>
          <w:rFonts w:eastAsia="Times New Roman" w:cs="Times New Roman"/>
          <w:b/>
          <w:noProof/>
          <w:color w:val="000000" w:themeColor="text1"/>
          <w:sz w:val="20"/>
          <w:lang w:eastAsia="en-US"/>
        </w:rPr>
        <w:t>Director de proyecto:</w:t>
      </w:r>
      <w:r w:rsidRPr="00CA682E">
        <w:rPr>
          <w:rFonts w:eastAsia="Times New Roman" w:cs="Times New Roman"/>
          <w:b/>
          <w:noProof/>
          <w:color w:val="000000" w:themeColor="text1"/>
          <w:sz w:val="20"/>
          <w:lang w:eastAsia="en-US"/>
        </w:rPr>
        <w:tab/>
        <w:t>Sr. A. FAVERO</w:t>
      </w:r>
    </w:p>
    <w:p w:rsidR="00CA682E" w:rsidRPr="00CA682E" w:rsidRDefault="00CA682E" w:rsidP="00CA682E">
      <w:pPr>
        <w:rPr>
          <w:rFonts w:eastAsia="Times New Roman" w:cs="Times New Roman"/>
          <w:noProof/>
          <w:color w:val="000000" w:themeColor="text1"/>
          <w:sz w:val="20"/>
          <w:lang w:eastAsia="en-US"/>
        </w:rPr>
      </w:pPr>
    </w:p>
    <w:p w:rsidR="00CA682E" w:rsidRPr="00CA682E" w:rsidRDefault="00CA682E" w:rsidP="00CA682E">
      <w:pPr>
        <w:rPr>
          <w:rFonts w:eastAsia="Times New Roman" w:cs="Times New Roman"/>
          <w:bCs/>
          <w:noProof/>
          <w:color w:val="000000" w:themeColor="text1"/>
          <w:sz w:val="18"/>
          <w:lang w:eastAsia="en-US"/>
        </w:rPr>
      </w:pPr>
    </w:p>
    <w:p w:rsidR="00CA682E" w:rsidRPr="00CA682E" w:rsidRDefault="00CA682E" w:rsidP="00CA682E">
      <w:pPr>
        <w:rPr>
          <w:rFonts w:eastAsia="Times New Roman" w:cs="Times New Roman"/>
          <w:bCs/>
          <w:color w:val="000000" w:themeColor="text1"/>
          <w:sz w:val="20"/>
          <w:szCs w:val="22"/>
          <w:lang w:eastAsia="en-US"/>
        </w:rPr>
      </w:pPr>
      <w:r w:rsidRPr="00CA682E">
        <w:rPr>
          <w:rFonts w:eastAsia="Times New Roman" w:cs="Times New Roman"/>
          <w:bCs/>
          <w:color w:val="000000" w:themeColor="text1"/>
          <w:sz w:val="20"/>
          <w:szCs w:val="22"/>
          <w:lang w:eastAsia="en-US"/>
        </w:rPr>
        <w:t>RESULTADO PREVISTO</w:t>
      </w:r>
    </w:p>
    <w:p w:rsidR="00CA682E" w:rsidRPr="00CA682E" w:rsidRDefault="00CA682E" w:rsidP="00CA682E">
      <w:pPr>
        <w:rPr>
          <w:rFonts w:eastAsia="Times New Roman" w:cs="Times New Roman"/>
          <w:bCs/>
          <w:color w:val="000000" w:themeColor="text1"/>
          <w:sz w:val="18"/>
          <w:lang w:eastAsia="en-US"/>
        </w:rPr>
      </w:pPr>
    </w:p>
    <w:p w:rsidR="00CA682E" w:rsidRPr="00CA682E" w:rsidRDefault="00CA682E" w:rsidP="00CA682E">
      <w:pPr>
        <w:rPr>
          <w:rFonts w:eastAsia="Times New Roman" w:cs="Times New Roman"/>
          <w:i/>
          <w:iCs/>
          <w:color w:val="000000" w:themeColor="text1"/>
          <w:sz w:val="20"/>
          <w:lang w:eastAsia="en-US"/>
        </w:rPr>
      </w:pPr>
      <w:r w:rsidRPr="00CA682E">
        <w:rPr>
          <w:rFonts w:eastAsia="Times New Roman" w:cs="Times New Roman"/>
          <w:i/>
          <w:iCs/>
          <w:color w:val="000000" w:themeColor="text1"/>
          <w:sz w:val="20"/>
          <w:lang w:eastAsia="en-US"/>
        </w:rPr>
        <w:t xml:space="preserve">IX.1  Servicios de </w:t>
      </w:r>
      <w:proofErr w:type="gramStart"/>
      <w:r w:rsidRPr="00CA682E">
        <w:rPr>
          <w:rFonts w:eastAsia="Times New Roman" w:cs="Times New Roman"/>
          <w:i/>
          <w:iCs/>
          <w:color w:val="000000" w:themeColor="text1"/>
          <w:sz w:val="20"/>
          <w:lang w:eastAsia="en-US"/>
        </w:rPr>
        <w:t>apoyo eficaces, eficientes, de calidad y orientados</w:t>
      </w:r>
      <w:proofErr w:type="gramEnd"/>
      <w:r w:rsidRPr="00CA682E">
        <w:rPr>
          <w:rFonts w:eastAsia="Times New Roman" w:cs="Times New Roman"/>
          <w:i/>
          <w:iCs/>
          <w:color w:val="000000" w:themeColor="text1"/>
          <w:sz w:val="20"/>
          <w:lang w:eastAsia="en-US"/>
        </w:rPr>
        <w:t xml:space="preserve"> al cliente, tanto a los clientes internos como a las partes interesadas externas</w:t>
      </w:r>
    </w:p>
    <w:p w:rsidR="00CA682E" w:rsidRPr="00CA682E" w:rsidRDefault="00CA682E" w:rsidP="00CA682E">
      <w:pPr>
        <w:rPr>
          <w:rFonts w:eastAsia="Times New Roman" w:cs="Times New Roman"/>
          <w:bCs/>
          <w:noProof/>
          <w:color w:val="000000" w:themeColor="text1"/>
          <w:sz w:val="20"/>
          <w:lang w:eastAsia="en-US"/>
        </w:rPr>
      </w:pPr>
    </w:p>
    <w:p w:rsidR="00CA682E" w:rsidRPr="00CA682E" w:rsidRDefault="00CA682E" w:rsidP="00CA682E">
      <w:pPr>
        <w:rPr>
          <w:rFonts w:eastAsia="Times New Roman" w:cs="Times New Roman"/>
          <w:bCs/>
          <w:noProof/>
          <w:color w:val="000000" w:themeColor="text1"/>
          <w:sz w:val="20"/>
          <w:lang w:eastAsia="en-US"/>
        </w:rPr>
      </w:pPr>
    </w:p>
    <w:p w:rsidR="00CA682E" w:rsidRPr="00CA682E" w:rsidRDefault="00CA682E" w:rsidP="00CA682E">
      <w:pPr>
        <w:rPr>
          <w:rFonts w:eastAsia="Times New Roman" w:cs="Times New Roman"/>
          <w:bCs/>
          <w:noProof/>
          <w:color w:val="000000" w:themeColor="text1"/>
          <w:sz w:val="20"/>
          <w:szCs w:val="22"/>
          <w:lang w:eastAsia="en-US"/>
        </w:rPr>
      </w:pPr>
      <w:r w:rsidRPr="00CA682E">
        <w:rPr>
          <w:rFonts w:eastAsia="Times New Roman" w:cs="Times New Roman"/>
          <w:bCs/>
          <w:noProof/>
          <w:color w:val="000000" w:themeColor="text1"/>
          <w:sz w:val="20"/>
          <w:szCs w:val="22"/>
          <w:lang w:eastAsia="en-US"/>
        </w:rPr>
        <w:t>OBJETIVOS, ALCANCE Y ENFOQUE: ANTECEDENTES</w:t>
      </w:r>
    </w:p>
    <w:p w:rsidR="00CA682E" w:rsidRPr="00CA682E" w:rsidRDefault="00CA682E" w:rsidP="00CA682E">
      <w:pPr>
        <w:rPr>
          <w:rFonts w:eastAsia="Times New Roman" w:cs="Times New Roman"/>
          <w:bCs/>
          <w:noProof/>
          <w:color w:val="000000" w:themeColor="text1"/>
          <w:sz w:val="20"/>
          <w:lang w:eastAsia="en-US"/>
        </w:rPr>
      </w:pPr>
    </w:p>
    <w:p w:rsidR="00CA682E" w:rsidRPr="00CA682E" w:rsidRDefault="00CA682E" w:rsidP="00CA682E">
      <w:pPr>
        <w:numPr>
          <w:ilvl w:val="0"/>
          <w:numId w:val="129"/>
        </w:numPr>
        <w:tabs>
          <w:tab w:val="left" w:pos="567"/>
        </w:tabs>
        <w:ind w:left="0" w:firstLine="0"/>
        <w:jc w:val="both"/>
        <w:rPr>
          <w:rFonts w:eastAsia="Times New Roman" w:cs="Times New Roman"/>
          <w:bCs/>
          <w:color w:val="000000" w:themeColor="text1"/>
          <w:sz w:val="20"/>
          <w:lang w:eastAsia="en-US"/>
        </w:rPr>
      </w:pPr>
      <w:r w:rsidRPr="00CA682E">
        <w:rPr>
          <w:rFonts w:eastAsia="Times New Roman" w:cs="Times New Roman"/>
          <w:bCs/>
          <w:color w:val="000000" w:themeColor="text1"/>
          <w:sz w:val="20"/>
          <w:lang w:eastAsia="en-US"/>
        </w:rPr>
        <w:t>Es necesario adaptar las dimensiones del actual centro de datos situado en el subsuelo del edificio AB con el fin de adecuarlo a su nuevo objetivo, más reducido, de servir de sala informática para uso exclusivo de los usuarios del edificio AB.  Se prevé que esta adaptación permitirá liberar una superficie importante que podrá utilizarse ulteriormente para ampliar la actual imprenta, que necesita renovación.</w:t>
      </w:r>
    </w:p>
    <w:p w:rsidR="00CA682E" w:rsidRPr="00CA682E" w:rsidRDefault="00CA682E" w:rsidP="00CA682E">
      <w:pPr>
        <w:tabs>
          <w:tab w:val="left" w:pos="567"/>
        </w:tabs>
        <w:jc w:val="both"/>
        <w:rPr>
          <w:rFonts w:eastAsia="Times New Roman" w:cs="Times New Roman"/>
          <w:bCs/>
          <w:color w:val="000000" w:themeColor="text1"/>
          <w:sz w:val="20"/>
          <w:lang w:eastAsia="en-US"/>
        </w:rPr>
      </w:pPr>
    </w:p>
    <w:p w:rsidR="00CA682E" w:rsidRPr="00CA682E" w:rsidRDefault="00CA682E" w:rsidP="00CA682E">
      <w:pPr>
        <w:numPr>
          <w:ilvl w:val="0"/>
          <w:numId w:val="129"/>
        </w:numPr>
        <w:tabs>
          <w:tab w:val="left" w:pos="567"/>
        </w:tabs>
        <w:ind w:left="0" w:firstLine="0"/>
        <w:jc w:val="both"/>
        <w:rPr>
          <w:rFonts w:eastAsia="Times New Roman" w:cs="Times New Roman"/>
          <w:bCs/>
          <w:noProof/>
          <w:color w:val="000000" w:themeColor="text1"/>
          <w:sz w:val="20"/>
          <w:lang w:eastAsia="en-US"/>
        </w:rPr>
      </w:pPr>
      <w:r w:rsidRPr="00CA682E">
        <w:rPr>
          <w:rFonts w:eastAsia="Times New Roman" w:cs="Times New Roman"/>
          <w:bCs/>
          <w:noProof/>
          <w:color w:val="000000" w:themeColor="text1"/>
          <w:sz w:val="20"/>
          <w:lang w:eastAsia="en-US"/>
        </w:rPr>
        <w:t>Los objetivos de este proyecto son: i) determinar la superficie necesaria para la instalación de la imprenta y la sala de informática y documentación, reduciendo las dimensiones del centro de datos con el fin de disponer de un espacio suficientemente amplio para la expansión y renovación de la imprenta;  ii) reducir el consumo de energía mediante la remoción de determinados equipos técnicos del centro de datos;  y iii) mejorar los espacios de trabajo del personal de la sala de imprenta y documentación.</w:t>
      </w:r>
    </w:p>
    <w:p w:rsidR="00CA682E" w:rsidRPr="00CA682E" w:rsidRDefault="00CA682E" w:rsidP="00CA682E">
      <w:pPr>
        <w:rPr>
          <w:rFonts w:eastAsia="Times New Roman" w:cs="Times New Roman"/>
          <w:bCs/>
          <w:noProof/>
          <w:color w:val="000000" w:themeColor="text1"/>
          <w:sz w:val="20"/>
          <w:lang w:eastAsia="en-US"/>
        </w:rPr>
      </w:pPr>
    </w:p>
    <w:p w:rsidR="00CA682E" w:rsidRPr="00CA682E" w:rsidRDefault="00CA682E" w:rsidP="00CA682E">
      <w:pPr>
        <w:rPr>
          <w:rFonts w:eastAsia="Times New Roman" w:cs="Times New Roman"/>
          <w:bCs/>
          <w:noProof/>
          <w:color w:val="000000" w:themeColor="text1"/>
          <w:sz w:val="20"/>
          <w:lang w:eastAsia="en-US"/>
        </w:rPr>
      </w:pPr>
    </w:p>
    <w:p w:rsidR="00CA682E" w:rsidRPr="00CA682E" w:rsidRDefault="00CA682E" w:rsidP="00CA682E">
      <w:pPr>
        <w:rPr>
          <w:rFonts w:eastAsia="Times New Roman" w:cs="Times New Roman"/>
          <w:bCs/>
          <w:noProof/>
          <w:color w:val="000000" w:themeColor="text1"/>
          <w:sz w:val="20"/>
          <w:szCs w:val="22"/>
          <w:lang w:eastAsia="en-US"/>
        </w:rPr>
      </w:pPr>
      <w:r w:rsidRPr="00CA682E">
        <w:rPr>
          <w:rFonts w:eastAsia="Times New Roman" w:cs="Times New Roman"/>
          <w:bCs/>
          <w:noProof/>
          <w:color w:val="000000" w:themeColor="text1"/>
          <w:sz w:val="20"/>
          <w:szCs w:val="22"/>
          <w:lang w:eastAsia="en-US"/>
        </w:rPr>
        <w:t>RESEÑA DE LOS AVANCES LOGRADOS EN 2015 (ETAPAS FUNDAMENTALES)</w:t>
      </w:r>
    </w:p>
    <w:p w:rsidR="00CA682E" w:rsidRPr="00CA682E" w:rsidRDefault="00CA682E" w:rsidP="00CA682E">
      <w:pPr>
        <w:autoSpaceDE w:val="0"/>
        <w:autoSpaceDN w:val="0"/>
        <w:adjustRightInd w:val="0"/>
        <w:rPr>
          <w:rFonts w:eastAsiaTheme="minorHAnsi"/>
          <w:color w:val="000000" w:themeColor="text1"/>
          <w:sz w:val="20"/>
          <w:szCs w:val="24"/>
          <w:lang w:eastAsia="en-US"/>
        </w:rPr>
      </w:pPr>
    </w:p>
    <w:p w:rsidR="00CA682E" w:rsidRPr="00CA682E" w:rsidRDefault="00CA682E" w:rsidP="00CA682E">
      <w:pPr>
        <w:numPr>
          <w:ilvl w:val="0"/>
          <w:numId w:val="129"/>
        </w:numPr>
        <w:tabs>
          <w:tab w:val="left" w:pos="567"/>
        </w:tabs>
        <w:ind w:left="0" w:firstLine="0"/>
        <w:jc w:val="both"/>
        <w:rPr>
          <w:rFonts w:eastAsiaTheme="minorHAnsi"/>
          <w:color w:val="000000" w:themeColor="text1"/>
          <w:sz w:val="20"/>
          <w:lang w:eastAsia="en-US"/>
        </w:rPr>
      </w:pPr>
      <w:r w:rsidRPr="00CA682E">
        <w:rPr>
          <w:rFonts w:eastAsiaTheme="minorHAnsi"/>
          <w:color w:val="000000" w:themeColor="text1"/>
          <w:sz w:val="20"/>
          <w:lang w:eastAsia="en-US"/>
        </w:rPr>
        <w:t xml:space="preserve">En 2014, se realizaron los siguientes progresos: </w:t>
      </w:r>
    </w:p>
    <w:p w:rsidR="00CA682E" w:rsidRPr="00CA682E" w:rsidRDefault="00CA682E" w:rsidP="00CA682E">
      <w:pPr>
        <w:autoSpaceDE w:val="0"/>
        <w:autoSpaceDN w:val="0"/>
        <w:adjustRightInd w:val="0"/>
        <w:spacing w:after="13"/>
        <w:rPr>
          <w:rFonts w:eastAsiaTheme="minorHAnsi"/>
          <w:color w:val="000000" w:themeColor="text1"/>
          <w:sz w:val="20"/>
          <w:lang w:eastAsia="en-US"/>
        </w:rPr>
      </w:pPr>
    </w:p>
    <w:p w:rsidR="00CA682E" w:rsidRPr="00CA682E" w:rsidRDefault="00CA682E" w:rsidP="00CA682E">
      <w:pPr>
        <w:numPr>
          <w:ilvl w:val="0"/>
          <w:numId w:val="136"/>
        </w:numPr>
        <w:tabs>
          <w:tab w:val="left" w:pos="1134"/>
        </w:tabs>
        <w:autoSpaceDE w:val="0"/>
        <w:autoSpaceDN w:val="0"/>
        <w:adjustRightInd w:val="0"/>
        <w:spacing w:after="120"/>
        <w:ind w:left="567" w:firstLine="0"/>
        <w:rPr>
          <w:rFonts w:eastAsia="Times New Roman" w:cs="Times New Roman"/>
          <w:bCs/>
          <w:color w:val="000000" w:themeColor="text1"/>
          <w:sz w:val="20"/>
          <w:lang w:eastAsia="en-US"/>
        </w:rPr>
      </w:pPr>
      <w:r w:rsidRPr="00CA682E">
        <w:rPr>
          <w:rFonts w:eastAsia="Times New Roman" w:cs="Times New Roman"/>
          <w:bCs/>
          <w:color w:val="000000" w:themeColor="text1"/>
          <w:sz w:val="20"/>
          <w:lang w:eastAsia="en-US"/>
        </w:rPr>
        <w:t xml:space="preserve">se elaboró el mandato del arquitecto; </w:t>
      </w:r>
    </w:p>
    <w:p w:rsidR="00CA682E" w:rsidRPr="00CA682E" w:rsidRDefault="00CA682E" w:rsidP="00CA682E">
      <w:pPr>
        <w:numPr>
          <w:ilvl w:val="0"/>
          <w:numId w:val="136"/>
        </w:numPr>
        <w:tabs>
          <w:tab w:val="left" w:pos="1134"/>
        </w:tabs>
        <w:autoSpaceDE w:val="0"/>
        <w:autoSpaceDN w:val="0"/>
        <w:adjustRightInd w:val="0"/>
        <w:spacing w:after="120"/>
        <w:ind w:left="567" w:firstLine="0"/>
        <w:rPr>
          <w:rFonts w:eastAsia="Times New Roman" w:cs="Times New Roman"/>
          <w:bCs/>
          <w:color w:val="000000" w:themeColor="text1"/>
          <w:sz w:val="20"/>
          <w:lang w:eastAsia="en-US"/>
        </w:rPr>
      </w:pPr>
      <w:r w:rsidRPr="00CA682E">
        <w:rPr>
          <w:rFonts w:eastAsia="Times New Roman" w:cs="Times New Roman"/>
          <w:bCs/>
          <w:color w:val="000000" w:themeColor="text1"/>
          <w:sz w:val="20"/>
          <w:lang w:eastAsia="en-US"/>
        </w:rPr>
        <w:t xml:space="preserve">se llamó a licitación para la selección del arquitecto; y </w:t>
      </w:r>
    </w:p>
    <w:p w:rsidR="00CA682E" w:rsidRPr="00CA682E" w:rsidRDefault="00CA682E" w:rsidP="00CA682E">
      <w:pPr>
        <w:numPr>
          <w:ilvl w:val="0"/>
          <w:numId w:val="136"/>
        </w:numPr>
        <w:tabs>
          <w:tab w:val="left" w:pos="1134"/>
        </w:tabs>
        <w:autoSpaceDE w:val="0"/>
        <w:autoSpaceDN w:val="0"/>
        <w:adjustRightInd w:val="0"/>
        <w:spacing w:after="120"/>
        <w:ind w:left="567" w:firstLine="0"/>
        <w:rPr>
          <w:rFonts w:eastAsia="Times New Roman" w:cs="Times New Roman"/>
          <w:bCs/>
          <w:color w:val="000000" w:themeColor="text1"/>
          <w:sz w:val="20"/>
          <w:lang w:eastAsia="en-US"/>
        </w:rPr>
      </w:pPr>
      <w:r w:rsidRPr="00CA682E">
        <w:rPr>
          <w:rFonts w:eastAsia="Times New Roman" w:cs="Times New Roman"/>
          <w:bCs/>
          <w:color w:val="000000" w:themeColor="text1"/>
          <w:sz w:val="20"/>
          <w:lang w:eastAsia="en-US"/>
        </w:rPr>
        <w:t xml:space="preserve">se adjudicaron contratos al arquitecto y al ingeniero en climatización. </w:t>
      </w:r>
    </w:p>
    <w:p w:rsidR="00CA682E" w:rsidRPr="00CA682E" w:rsidRDefault="00CA682E" w:rsidP="00CA682E">
      <w:pPr>
        <w:autoSpaceDE w:val="0"/>
        <w:autoSpaceDN w:val="0"/>
        <w:adjustRightInd w:val="0"/>
        <w:rPr>
          <w:rFonts w:eastAsiaTheme="minorHAnsi"/>
          <w:color w:val="000000" w:themeColor="text1"/>
          <w:sz w:val="20"/>
          <w:lang w:eastAsia="en-US"/>
        </w:rPr>
      </w:pPr>
    </w:p>
    <w:p w:rsidR="00CA682E" w:rsidRPr="00CA682E" w:rsidRDefault="00CA682E" w:rsidP="00CA682E">
      <w:pPr>
        <w:numPr>
          <w:ilvl w:val="0"/>
          <w:numId w:val="129"/>
        </w:numPr>
        <w:tabs>
          <w:tab w:val="left" w:pos="567"/>
        </w:tabs>
        <w:ind w:left="0" w:firstLine="0"/>
        <w:jc w:val="both"/>
        <w:rPr>
          <w:rFonts w:eastAsiaTheme="minorHAnsi"/>
          <w:color w:val="000000" w:themeColor="text1"/>
          <w:sz w:val="20"/>
          <w:lang w:eastAsia="en-US"/>
        </w:rPr>
      </w:pPr>
      <w:r w:rsidRPr="00CA682E">
        <w:rPr>
          <w:rFonts w:eastAsiaTheme="minorHAnsi"/>
          <w:color w:val="000000" w:themeColor="text1"/>
          <w:sz w:val="20"/>
          <w:lang w:eastAsia="en-US"/>
        </w:rPr>
        <w:t xml:space="preserve">Debido a la demora en la finalización de la nueva sala de conferencias de la OMPI (aplazada de comienzos de 2014 a septiembre de 2014), la puesta en marcha del proyecto se retrasó seis meses con respecto al plan original. El calendario del proyecto se ha modificado en consecuencia. </w:t>
      </w:r>
    </w:p>
    <w:p w:rsidR="00CA682E" w:rsidRPr="00CA682E" w:rsidRDefault="00CA682E" w:rsidP="00CA682E">
      <w:pPr>
        <w:autoSpaceDE w:val="0"/>
        <w:autoSpaceDN w:val="0"/>
        <w:adjustRightInd w:val="0"/>
        <w:rPr>
          <w:rFonts w:eastAsiaTheme="minorHAnsi"/>
          <w:color w:val="000000" w:themeColor="text1"/>
          <w:sz w:val="20"/>
          <w:lang w:eastAsia="en-US"/>
        </w:rPr>
      </w:pPr>
    </w:p>
    <w:p w:rsidR="00CA682E" w:rsidRPr="00CA682E" w:rsidRDefault="00CA682E" w:rsidP="00CA682E">
      <w:pPr>
        <w:numPr>
          <w:ilvl w:val="0"/>
          <w:numId w:val="129"/>
        </w:numPr>
        <w:tabs>
          <w:tab w:val="left" w:pos="567"/>
        </w:tabs>
        <w:ind w:left="0" w:firstLine="0"/>
        <w:jc w:val="both"/>
        <w:rPr>
          <w:rFonts w:eastAsiaTheme="minorHAnsi"/>
          <w:color w:val="000000" w:themeColor="text1"/>
          <w:sz w:val="20"/>
          <w:lang w:eastAsia="en-US"/>
        </w:rPr>
      </w:pPr>
      <w:r w:rsidRPr="00CA682E">
        <w:rPr>
          <w:rFonts w:eastAsiaTheme="minorHAnsi"/>
          <w:color w:val="000000" w:themeColor="text1"/>
          <w:sz w:val="20"/>
          <w:lang w:eastAsia="en-US"/>
        </w:rPr>
        <w:t xml:space="preserve">En 2015, se realizaron los avances siguientes: </w:t>
      </w:r>
    </w:p>
    <w:p w:rsidR="00CA682E" w:rsidRPr="00CA682E" w:rsidRDefault="00CA682E" w:rsidP="00CA682E">
      <w:pPr>
        <w:autoSpaceDE w:val="0"/>
        <w:autoSpaceDN w:val="0"/>
        <w:adjustRightInd w:val="0"/>
        <w:ind w:left="714"/>
        <w:rPr>
          <w:rFonts w:eastAsia="Times New Roman" w:cs="Times New Roman"/>
          <w:bCs/>
          <w:color w:val="000000" w:themeColor="text1"/>
          <w:sz w:val="20"/>
          <w:lang w:eastAsia="en-US"/>
        </w:rPr>
      </w:pPr>
    </w:p>
    <w:p w:rsidR="00CA682E" w:rsidRPr="00CA682E" w:rsidRDefault="00CA60DC" w:rsidP="00CA682E">
      <w:pPr>
        <w:numPr>
          <w:ilvl w:val="0"/>
          <w:numId w:val="136"/>
        </w:numPr>
        <w:tabs>
          <w:tab w:val="left" w:pos="1134"/>
        </w:tabs>
        <w:autoSpaceDE w:val="0"/>
        <w:autoSpaceDN w:val="0"/>
        <w:adjustRightInd w:val="0"/>
        <w:spacing w:after="120"/>
        <w:ind w:left="1134" w:hanging="567"/>
        <w:rPr>
          <w:rFonts w:eastAsia="Times New Roman" w:cs="Times New Roman"/>
          <w:bCs/>
          <w:color w:val="000000" w:themeColor="text1"/>
          <w:sz w:val="20"/>
          <w:lang w:eastAsia="en-US"/>
        </w:rPr>
      </w:pPr>
      <w:r w:rsidRPr="00CA682E">
        <w:rPr>
          <w:rFonts w:eastAsia="Times New Roman" w:cs="Times New Roman"/>
          <w:bCs/>
          <w:color w:val="000000" w:themeColor="text1"/>
          <w:sz w:val="20"/>
          <w:lang w:eastAsia="en-US"/>
        </w:rPr>
        <w:t xml:space="preserve">inicio </w:t>
      </w:r>
      <w:r w:rsidR="00CA682E" w:rsidRPr="00CA682E">
        <w:rPr>
          <w:rFonts w:eastAsia="Times New Roman" w:cs="Times New Roman"/>
          <w:bCs/>
          <w:color w:val="000000" w:themeColor="text1"/>
          <w:sz w:val="20"/>
          <w:lang w:eastAsia="en-US"/>
        </w:rPr>
        <w:t>de los estudios por el arquitecto;  y</w:t>
      </w:r>
    </w:p>
    <w:p w:rsidR="00CA682E" w:rsidRPr="00CA682E" w:rsidRDefault="00CA60DC" w:rsidP="00CA682E">
      <w:pPr>
        <w:numPr>
          <w:ilvl w:val="0"/>
          <w:numId w:val="136"/>
        </w:numPr>
        <w:tabs>
          <w:tab w:val="left" w:pos="1134"/>
        </w:tabs>
        <w:autoSpaceDE w:val="0"/>
        <w:autoSpaceDN w:val="0"/>
        <w:adjustRightInd w:val="0"/>
        <w:spacing w:after="120"/>
        <w:ind w:left="1134" w:hanging="567"/>
        <w:rPr>
          <w:rFonts w:eastAsia="Times New Roman" w:cs="Times New Roman"/>
          <w:bCs/>
          <w:color w:val="000000" w:themeColor="text1"/>
          <w:sz w:val="20"/>
          <w:lang w:eastAsia="en-US"/>
        </w:rPr>
      </w:pPr>
      <w:r w:rsidRPr="00CA682E">
        <w:rPr>
          <w:rFonts w:eastAsia="Times New Roman" w:cs="Times New Roman"/>
          <w:bCs/>
          <w:color w:val="000000" w:themeColor="text1"/>
          <w:sz w:val="20"/>
          <w:lang w:eastAsia="en-US"/>
        </w:rPr>
        <w:t xml:space="preserve">traslado </w:t>
      </w:r>
      <w:r w:rsidR="00CA682E" w:rsidRPr="00CA682E">
        <w:rPr>
          <w:rFonts w:eastAsia="Times New Roman" w:cs="Times New Roman"/>
          <w:bCs/>
          <w:color w:val="000000" w:themeColor="text1"/>
          <w:sz w:val="20"/>
          <w:lang w:eastAsia="en-US"/>
        </w:rPr>
        <w:t>del equipo informático al centro de datos redimensionado para determinar la superficie disponible para la futura imprenta.</w:t>
      </w:r>
    </w:p>
    <w:p w:rsidR="00CA682E" w:rsidRPr="00CA682E" w:rsidRDefault="00CA682E" w:rsidP="00CA682E">
      <w:pPr>
        <w:autoSpaceDE w:val="0"/>
        <w:autoSpaceDN w:val="0"/>
        <w:adjustRightInd w:val="0"/>
        <w:rPr>
          <w:rFonts w:eastAsiaTheme="minorHAnsi"/>
          <w:color w:val="000000" w:themeColor="text1"/>
          <w:sz w:val="20"/>
          <w:lang w:eastAsia="en-US"/>
        </w:rPr>
      </w:pPr>
    </w:p>
    <w:p w:rsidR="00CA682E" w:rsidRPr="00CA682E" w:rsidRDefault="00CA682E" w:rsidP="00CA682E">
      <w:pPr>
        <w:numPr>
          <w:ilvl w:val="0"/>
          <w:numId w:val="129"/>
        </w:numPr>
        <w:tabs>
          <w:tab w:val="left" w:pos="567"/>
        </w:tabs>
        <w:ind w:left="0" w:firstLine="0"/>
        <w:jc w:val="both"/>
        <w:rPr>
          <w:rFonts w:eastAsiaTheme="minorHAnsi"/>
          <w:color w:val="000000" w:themeColor="text1"/>
          <w:sz w:val="20"/>
          <w:lang w:eastAsia="en-US"/>
        </w:rPr>
      </w:pPr>
      <w:r w:rsidRPr="00CA682E">
        <w:rPr>
          <w:rFonts w:eastAsiaTheme="minorHAnsi"/>
          <w:color w:val="000000" w:themeColor="text1"/>
          <w:sz w:val="20"/>
          <w:lang w:eastAsia="en-US"/>
        </w:rPr>
        <w:t xml:space="preserve">A finales de 2015 todavía había de validarse a nivel interno el espacio necesario para la imprenta ampliada y renovada, con las consiguientes demoras adicionales en la ejecución del proyecto.  </w:t>
      </w:r>
      <w:r w:rsidRPr="00CA682E">
        <w:rPr>
          <w:rFonts w:eastAsia="Times New Roman" w:cs="Times New Roman"/>
          <w:bCs/>
          <w:noProof/>
          <w:color w:val="000000" w:themeColor="text1"/>
          <w:sz w:val="20"/>
          <w:lang w:eastAsia="en-US"/>
        </w:rPr>
        <w:t>El calendario del proyecto se ha modificado en consecuencia.</w:t>
      </w:r>
    </w:p>
    <w:p w:rsidR="00CA682E" w:rsidRPr="00CA682E" w:rsidRDefault="00CA682E" w:rsidP="00CA682E">
      <w:pPr>
        <w:spacing w:after="200" w:line="276" w:lineRule="auto"/>
        <w:rPr>
          <w:rFonts w:eastAsiaTheme="minorHAnsi"/>
          <w:color w:val="000000" w:themeColor="text1"/>
          <w:sz w:val="20"/>
          <w:lang w:eastAsia="en-US"/>
        </w:rPr>
      </w:pPr>
      <w:r w:rsidRPr="00CA682E">
        <w:rPr>
          <w:rFonts w:eastAsiaTheme="minorHAnsi"/>
          <w:color w:val="000000" w:themeColor="text1"/>
          <w:sz w:val="20"/>
          <w:lang w:eastAsia="en-US"/>
        </w:rPr>
        <w:br w:type="page"/>
      </w:r>
    </w:p>
    <w:p w:rsidR="00CA682E" w:rsidRPr="00CA682E" w:rsidRDefault="00CA682E" w:rsidP="00CA682E">
      <w:pPr>
        <w:keepNext/>
        <w:keepLines/>
        <w:rPr>
          <w:rFonts w:eastAsia="Times New Roman" w:cs="Times New Roman"/>
          <w:noProof/>
          <w:color w:val="000000" w:themeColor="text1"/>
          <w:sz w:val="20"/>
          <w:lang w:eastAsia="en-US"/>
        </w:rPr>
      </w:pPr>
      <w:r w:rsidRPr="00CA682E">
        <w:rPr>
          <w:rFonts w:eastAsia="Times New Roman" w:cs="Times New Roman"/>
          <w:noProof/>
          <w:color w:val="000000" w:themeColor="text1"/>
          <w:sz w:val="20"/>
          <w:lang w:eastAsia="en-US"/>
        </w:rPr>
        <w:lastRenderedPageBreak/>
        <w:t>OBTENCIÓN DE BENEFICIOS</w:t>
      </w:r>
    </w:p>
    <w:p w:rsidR="00CA682E" w:rsidRPr="00CA682E" w:rsidRDefault="00CA682E" w:rsidP="00CA682E">
      <w:pPr>
        <w:keepNext/>
        <w:keepLines/>
        <w:rPr>
          <w:rFonts w:eastAsia="Times New Roman" w:cs="Times New Roman"/>
          <w:noProof/>
          <w:color w:val="000000" w:themeColor="text1"/>
          <w:sz w:val="20"/>
          <w:lang w:eastAsia="en-US"/>
        </w:rPr>
      </w:pPr>
    </w:p>
    <w:tbl>
      <w:tblPr>
        <w:tblW w:w="356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20"/>
      </w:tblGrid>
      <w:tr w:rsidR="00CA682E" w:rsidRPr="00CA682E" w:rsidTr="007B1DE4">
        <w:trPr>
          <w:trHeight w:val="442"/>
          <w:tblHeader/>
          <w:jc w:val="center"/>
        </w:trPr>
        <w:tc>
          <w:tcPr>
            <w:tcW w:w="5000" w:type="pct"/>
            <w:shd w:val="clear" w:color="auto" w:fill="C6D9F1" w:themeFill="text2" w:themeFillTint="33"/>
            <w:vAlign w:val="center"/>
          </w:tcPr>
          <w:p w:rsidR="00CA682E" w:rsidRPr="00CA682E" w:rsidRDefault="00CA682E" w:rsidP="00CA682E">
            <w:pPr>
              <w:keepNext/>
              <w:keepLines/>
              <w:jc w:val="center"/>
              <w:rPr>
                <w:rFonts w:eastAsia="Times New Roman" w:cs="Times New Roman"/>
                <w:b/>
                <w:bCs/>
                <w:noProof/>
                <w:color w:val="000000" w:themeColor="text1"/>
                <w:sz w:val="16"/>
                <w:szCs w:val="16"/>
                <w:lang w:eastAsia="en-US"/>
              </w:rPr>
            </w:pPr>
            <w:r w:rsidRPr="00CA682E">
              <w:rPr>
                <w:rFonts w:eastAsia="Times New Roman" w:cs="Times New Roman"/>
                <w:b/>
                <w:bCs/>
                <w:noProof/>
                <w:color w:val="000000" w:themeColor="text1"/>
                <w:sz w:val="16"/>
                <w:szCs w:val="16"/>
                <w:lang w:eastAsia="en-US"/>
              </w:rPr>
              <w:t>Beneficios previstos para 2017</w:t>
            </w:r>
          </w:p>
        </w:tc>
      </w:tr>
      <w:tr w:rsidR="00CA682E" w:rsidRPr="00CA682E" w:rsidTr="007B1DE4">
        <w:trPr>
          <w:trHeight w:val="348"/>
          <w:jc w:val="center"/>
        </w:trPr>
        <w:tc>
          <w:tcPr>
            <w:tcW w:w="5000" w:type="pct"/>
            <w:shd w:val="clear" w:color="auto" w:fill="auto"/>
            <w:vAlign w:val="center"/>
          </w:tcPr>
          <w:p w:rsidR="00CA682E" w:rsidRPr="00CA682E" w:rsidRDefault="00CA682E" w:rsidP="00CA682E">
            <w:pPr>
              <w:spacing w:before="60" w:after="60"/>
              <w:rPr>
                <w:rFonts w:eastAsia="Times New Roman" w:cs="Times New Roman"/>
                <w:bCs/>
                <w:iCs/>
                <w:noProof/>
                <w:color w:val="000000" w:themeColor="text1"/>
                <w:sz w:val="16"/>
                <w:szCs w:val="16"/>
                <w:lang w:eastAsia="en-US"/>
              </w:rPr>
            </w:pPr>
            <w:r w:rsidRPr="00CA682E">
              <w:rPr>
                <w:rFonts w:eastAsia="Times New Roman" w:cs="Times New Roman"/>
                <w:bCs/>
                <w:iCs/>
                <w:noProof/>
                <w:color w:val="000000" w:themeColor="text1"/>
                <w:sz w:val="16"/>
                <w:szCs w:val="16"/>
                <w:lang w:eastAsia="en-US"/>
              </w:rPr>
              <w:t>Mejor asignación del espacio disponible en función de los usos respectivos</w:t>
            </w:r>
          </w:p>
        </w:tc>
      </w:tr>
      <w:tr w:rsidR="00CA682E" w:rsidRPr="00CA682E" w:rsidTr="007B1DE4">
        <w:trPr>
          <w:trHeight w:val="281"/>
          <w:jc w:val="center"/>
        </w:trPr>
        <w:tc>
          <w:tcPr>
            <w:tcW w:w="5000" w:type="pct"/>
            <w:shd w:val="clear" w:color="auto" w:fill="auto"/>
            <w:vAlign w:val="center"/>
          </w:tcPr>
          <w:p w:rsidR="00CA682E" w:rsidRPr="00CA682E" w:rsidRDefault="00CA682E" w:rsidP="00CA682E">
            <w:pPr>
              <w:spacing w:before="60" w:after="60"/>
              <w:rPr>
                <w:rFonts w:eastAsia="Times New Roman" w:cs="Times New Roman"/>
                <w:bCs/>
                <w:iCs/>
                <w:noProof/>
                <w:color w:val="000000" w:themeColor="text1"/>
                <w:sz w:val="16"/>
                <w:szCs w:val="16"/>
                <w:lang w:eastAsia="en-US"/>
              </w:rPr>
            </w:pPr>
            <w:r w:rsidRPr="00CA682E">
              <w:rPr>
                <w:rFonts w:eastAsia="Times New Roman" w:cs="Times New Roman"/>
                <w:bCs/>
                <w:iCs/>
                <w:noProof/>
                <w:color w:val="000000" w:themeColor="text1"/>
                <w:sz w:val="16"/>
                <w:szCs w:val="16"/>
                <w:lang w:eastAsia="en-US"/>
              </w:rPr>
              <w:t>Reducción parcial del consumo de energía en la zona afectada por las obras en el edificio AB</w:t>
            </w:r>
          </w:p>
        </w:tc>
      </w:tr>
      <w:tr w:rsidR="00CA682E" w:rsidRPr="00CA682E" w:rsidTr="007B1DE4">
        <w:trPr>
          <w:trHeight w:val="274"/>
          <w:jc w:val="center"/>
        </w:trPr>
        <w:tc>
          <w:tcPr>
            <w:tcW w:w="5000" w:type="pct"/>
            <w:shd w:val="clear" w:color="auto" w:fill="auto"/>
            <w:vAlign w:val="center"/>
          </w:tcPr>
          <w:p w:rsidR="00CA682E" w:rsidRPr="00CA682E" w:rsidRDefault="00CA682E" w:rsidP="00CA682E">
            <w:pPr>
              <w:spacing w:before="60" w:after="60"/>
              <w:rPr>
                <w:rFonts w:eastAsia="Times New Roman" w:cs="Times New Roman"/>
                <w:bCs/>
                <w:iCs/>
                <w:noProof/>
                <w:color w:val="000000" w:themeColor="text1"/>
                <w:sz w:val="16"/>
                <w:szCs w:val="16"/>
                <w:lang w:eastAsia="en-US"/>
              </w:rPr>
            </w:pPr>
            <w:r w:rsidRPr="00CA682E">
              <w:rPr>
                <w:rFonts w:eastAsia="Times New Roman" w:cs="Times New Roman"/>
                <w:bCs/>
                <w:iCs/>
                <w:noProof/>
                <w:color w:val="000000" w:themeColor="text1"/>
                <w:sz w:val="16"/>
                <w:szCs w:val="16"/>
                <w:lang w:eastAsia="en-US"/>
              </w:rPr>
              <w:t>Mejora de los espacios de trabajo del personal de la imprenta y la documentación</w:t>
            </w:r>
          </w:p>
        </w:tc>
      </w:tr>
    </w:tbl>
    <w:p w:rsidR="00CA682E" w:rsidRPr="00CA682E" w:rsidRDefault="00CA682E" w:rsidP="00CA682E">
      <w:pPr>
        <w:rPr>
          <w:rFonts w:eastAsia="Times New Roman"/>
          <w:noProof/>
          <w:color w:val="000000" w:themeColor="text1"/>
          <w:sz w:val="20"/>
          <w:lang w:eastAsia="en-US"/>
        </w:rPr>
      </w:pPr>
    </w:p>
    <w:p w:rsidR="00CA682E" w:rsidRPr="00CA682E" w:rsidRDefault="00CA682E" w:rsidP="00CA682E">
      <w:pPr>
        <w:rPr>
          <w:rFonts w:eastAsia="Times New Roman"/>
          <w:noProof/>
          <w:color w:val="000000" w:themeColor="text1"/>
          <w:sz w:val="20"/>
          <w:lang w:eastAsia="en-US"/>
        </w:rPr>
      </w:pPr>
    </w:p>
    <w:p w:rsidR="00CA682E" w:rsidRPr="00CA682E" w:rsidRDefault="00CA682E" w:rsidP="00CA682E">
      <w:pPr>
        <w:rPr>
          <w:rFonts w:eastAsia="Times New Roman"/>
          <w:noProof/>
          <w:color w:val="000000" w:themeColor="text1"/>
          <w:sz w:val="20"/>
          <w:lang w:eastAsia="en-US"/>
        </w:rPr>
      </w:pPr>
      <w:r w:rsidRPr="00CA682E">
        <w:rPr>
          <w:rFonts w:eastAsia="Times New Roman"/>
          <w:noProof/>
          <w:color w:val="000000" w:themeColor="text1"/>
          <w:sz w:val="20"/>
          <w:lang w:eastAsia="en-US"/>
        </w:rPr>
        <w:t>UTILIZACIÓN DE LOS RECURSOS</w:t>
      </w:r>
      <w:r w:rsidRPr="00CA682E">
        <w:rPr>
          <w:rFonts w:eastAsia="Times New Roman"/>
          <w:noProof/>
          <w:color w:val="000000" w:themeColor="text1"/>
          <w:sz w:val="20"/>
          <w:vertAlign w:val="superscript"/>
          <w:lang w:eastAsia="en-US"/>
        </w:rPr>
        <w:footnoteReference w:id="178"/>
      </w:r>
    </w:p>
    <w:p w:rsidR="00CA682E" w:rsidRPr="00CA682E" w:rsidRDefault="00CA682E" w:rsidP="00CA682E">
      <w:pPr>
        <w:rPr>
          <w:rFonts w:eastAsia="Times New Roman"/>
          <w:noProof/>
          <w:color w:val="000000" w:themeColor="text1"/>
          <w:sz w:val="20"/>
          <w:lang w:eastAsia="en-US"/>
        </w:rPr>
      </w:pPr>
    </w:p>
    <w:p w:rsidR="00CA682E" w:rsidRPr="00CA682E" w:rsidRDefault="00CA682E" w:rsidP="00CA682E">
      <w:pPr>
        <w:keepNext/>
        <w:keepLines/>
        <w:tabs>
          <w:tab w:val="left" w:pos="3261"/>
        </w:tabs>
        <w:autoSpaceDE w:val="0"/>
        <w:autoSpaceDN w:val="0"/>
        <w:adjustRightInd w:val="0"/>
        <w:jc w:val="center"/>
        <w:rPr>
          <w:rFonts w:eastAsia="Times New Roman" w:cs="Times New Roman"/>
          <w:b/>
          <w:noProof/>
          <w:color w:val="000000" w:themeColor="text1"/>
          <w:sz w:val="20"/>
          <w:szCs w:val="22"/>
          <w:lang w:eastAsia="en-US"/>
        </w:rPr>
      </w:pPr>
      <w:r w:rsidRPr="00CA682E">
        <w:rPr>
          <w:rFonts w:eastAsia="Times New Roman" w:cs="Times New Roman"/>
          <w:b/>
          <w:noProof/>
          <w:color w:val="000000" w:themeColor="text1"/>
          <w:sz w:val="20"/>
          <w:szCs w:val="22"/>
          <w:lang w:eastAsia="en-US"/>
        </w:rPr>
        <w:t>Utilización del presupuesto del proyecto</w:t>
      </w:r>
    </w:p>
    <w:p w:rsidR="00CA682E" w:rsidRPr="00CA682E" w:rsidRDefault="00CA682E" w:rsidP="00CA682E">
      <w:pPr>
        <w:keepNext/>
        <w:keepLines/>
        <w:tabs>
          <w:tab w:val="left" w:pos="3261"/>
        </w:tabs>
        <w:autoSpaceDE w:val="0"/>
        <w:autoSpaceDN w:val="0"/>
        <w:adjustRightInd w:val="0"/>
        <w:spacing w:after="120"/>
        <w:jc w:val="center"/>
        <w:rPr>
          <w:rFonts w:eastAsia="Times New Roman" w:cs="Times New Roman"/>
          <w:i/>
          <w:iCs/>
          <w:noProof/>
          <w:color w:val="000000" w:themeColor="text1"/>
          <w:sz w:val="18"/>
          <w:szCs w:val="18"/>
          <w:lang w:eastAsia="en-US"/>
        </w:rPr>
      </w:pPr>
      <w:r w:rsidRPr="00CA682E">
        <w:rPr>
          <w:rFonts w:eastAsia="Times New Roman" w:cs="Times New Roman"/>
          <w:i/>
          <w:iCs/>
          <w:noProof/>
          <w:color w:val="000000" w:themeColor="text1"/>
          <w:sz w:val="18"/>
          <w:szCs w:val="18"/>
          <w:lang w:eastAsia="en-US"/>
        </w:rPr>
        <w:t>(en francos suizos, al 31 de diciembre de 2015)</w:t>
      </w:r>
    </w:p>
    <w:tbl>
      <w:tblPr>
        <w:tblpPr w:leftFromText="180" w:rightFromText="180" w:vertAnchor="text" w:horzAnchor="margin" w:tblpX="182" w:tblpY="17"/>
        <w:tblW w:w="48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0"/>
        <w:gridCol w:w="1564"/>
        <w:gridCol w:w="1565"/>
        <w:gridCol w:w="1565"/>
        <w:gridCol w:w="1564"/>
      </w:tblGrid>
      <w:tr w:rsidR="00CA682E" w:rsidRPr="00CA682E" w:rsidTr="007B1DE4">
        <w:trPr>
          <w:trHeight w:val="410"/>
        </w:trPr>
        <w:tc>
          <w:tcPr>
            <w:tcW w:w="159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keepNext/>
              <w:keepLines/>
              <w:autoSpaceDE w:val="0"/>
              <w:autoSpaceDN w:val="0"/>
              <w:adjustRightInd w:val="0"/>
              <w:spacing w:before="40" w:after="40"/>
              <w:ind w:left="-74" w:right="-60"/>
              <w:jc w:val="center"/>
              <w:rPr>
                <w:rFonts w:eastAsia="Times New Roman" w:cs="Times New Roman"/>
                <w:b/>
                <w:bCs/>
                <w:noProof/>
                <w:color w:val="000000" w:themeColor="text1"/>
                <w:sz w:val="16"/>
                <w:szCs w:val="16"/>
                <w:lang w:eastAsia="en-US"/>
              </w:rPr>
            </w:pPr>
            <w:r w:rsidRPr="00CA682E">
              <w:rPr>
                <w:rFonts w:eastAsia="Times New Roman" w:cs="Times New Roman"/>
                <w:b/>
                <w:bCs/>
                <w:noProof/>
                <w:color w:val="000000" w:themeColor="text1"/>
                <w:sz w:val="16"/>
                <w:szCs w:val="16"/>
                <w:lang w:eastAsia="en-US"/>
              </w:rPr>
              <w:t>Nombre del proyecto</w:t>
            </w:r>
          </w:p>
        </w:tc>
        <w:tc>
          <w:tcPr>
            <w:tcW w:w="85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keepNext/>
              <w:keepLines/>
              <w:autoSpaceDE w:val="0"/>
              <w:autoSpaceDN w:val="0"/>
              <w:adjustRightInd w:val="0"/>
              <w:spacing w:before="40" w:after="40"/>
              <w:ind w:left="-107" w:right="-108"/>
              <w:jc w:val="center"/>
              <w:rPr>
                <w:rFonts w:eastAsia="Times New Roman" w:cs="Times New Roman"/>
                <w:b/>
                <w:bCs/>
                <w:noProof/>
                <w:color w:val="000000" w:themeColor="text1"/>
                <w:sz w:val="16"/>
                <w:szCs w:val="16"/>
                <w:lang w:eastAsia="en-US"/>
              </w:rPr>
            </w:pPr>
            <w:r w:rsidRPr="00CA682E">
              <w:rPr>
                <w:rFonts w:eastAsia="Times New Roman" w:cs="Times New Roman"/>
                <w:b/>
                <w:bCs/>
                <w:noProof/>
                <w:color w:val="000000" w:themeColor="text1"/>
                <w:sz w:val="16"/>
                <w:szCs w:val="16"/>
                <w:lang w:eastAsia="en-US"/>
              </w:rPr>
              <w:t>Presupuesto del proyecto</w:t>
            </w:r>
          </w:p>
        </w:tc>
        <w:tc>
          <w:tcPr>
            <w:tcW w:w="85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keepNext/>
              <w:keepLines/>
              <w:autoSpaceDE w:val="0"/>
              <w:autoSpaceDN w:val="0"/>
              <w:adjustRightInd w:val="0"/>
              <w:spacing w:before="40" w:after="40"/>
              <w:ind w:left="-108" w:right="-106"/>
              <w:jc w:val="center"/>
              <w:rPr>
                <w:rFonts w:eastAsia="Times New Roman" w:cs="Times New Roman"/>
                <w:b/>
                <w:bCs/>
                <w:noProof/>
                <w:color w:val="000000" w:themeColor="text1"/>
                <w:sz w:val="16"/>
                <w:szCs w:val="16"/>
                <w:lang w:eastAsia="en-US"/>
              </w:rPr>
            </w:pPr>
            <w:r w:rsidRPr="00CA682E">
              <w:rPr>
                <w:rFonts w:eastAsia="Times New Roman" w:cs="Times New Roman"/>
                <w:b/>
                <w:bCs/>
                <w:noProof/>
                <w:color w:val="000000" w:themeColor="text1"/>
                <w:sz w:val="16"/>
                <w:szCs w:val="16"/>
                <w:lang w:eastAsia="en-US"/>
              </w:rPr>
              <w:t>Gasto real hasta la fecha</w:t>
            </w:r>
          </w:p>
        </w:tc>
        <w:tc>
          <w:tcPr>
            <w:tcW w:w="85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keepNext/>
              <w:keepLines/>
              <w:autoSpaceDE w:val="0"/>
              <w:autoSpaceDN w:val="0"/>
              <w:adjustRightInd w:val="0"/>
              <w:spacing w:before="40" w:after="40"/>
              <w:ind w:left="-109" w:right="-108"/>
              <w:jc w:val="center"/>
              <w:rPr>
                <w:rFonts w:eastAsia="Times New Roman" w:cs="Times New Roman"/>
                <w:b/>
                <w:bCs/>
                <w:noProof/>
                <w:color w:val="000000" w:themeColor="text1"/>
                <w:sz w:val="16"/>
                <w:szCs w:val="16"/>
                <w:lang w:eastAsia="en-US"/>
              </w:rPr>
            </w:pPr>
            <w:r w:rsidRPr="00CA682E">
              <w:rPr>
                <w:rFonts w:eastAsia="Times New Roman" w:cs="Times New Roman"/>
                <w:b/>
                <w:bCs/>
                <w:noProof/>
                <w:color w:val="000000" w:themeColor="text1"/>
                <w:sz w:val="16"/>
                <w:szCs w:val="16"/>
                <w:lang w:eastAsia="en-US"/>
              </w:rPr>
              <w:t>Utilización real del presupuesto</w:t>
            </w:r>
          </w:p>
        </w:tc>
        <w:tc>
          <w:tcPr>
            <w:tcW w:w="85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keepNext/>
              <w:keepLines/>
              <w:autoSpaceDE w:val="0"/>
              <w:autoSpaceDN w:val="0"/>
              <w:adjustRightInd w:val="0"/>
              <w:spacing w:before="40" w:after="40"/>
              <w:ind w:left="-109" w:right="-73" w:firstLine="1"/>
              <w:jc w:val="center"/>
              <w:rPr>
                <w:rFonts w:eastAsia="Times New Roman" w:cs="Times New Roman"/>
                <w:b/>
                <w:bCs/>
                <w:noProof/>
                <w:color w:val="000000" w:themeColor="text1"/>
                <w:sz w:val="16"/>
                <w:szCs w:val="16"/>
                <w:lang w:eastAsia="en-US"/>
              </w:rPr>
            </w:pPr>
            <w:r w:rsidRPr="00CA682E">
              <w:rPr>
                <w:rFonts w:eastAsia="Times New Roman" w:cs="Times New Roman"/>
                <w:b/>
                <w:bCs/>
                <w:noProof/>
                <w:color w:val="000000" w:themeColor="text1"/>
                <w:sz w:val="16"/>
                <w:szCs w:val="16"/>
                <w:lang w:eastAsia="en-US"/>
              </w:rPr>
              <w:t>Índice de avance en la ejecución del proyecto</w:t>
            </w:r>
          </w:p>
        </w:tc>
      </w:tr>
      <w:tr w:rsidR="00CA682E" w:rsidRPr="00CA682E" w:rsidTr="007B1DE4">
        <w:trPr>
          <w:trHeight w:val="389"/>
        </w:trPr>
        <w:tc>
          <w:tcPr>
            <w:tcW w:w="1598"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rPr>
                <w:rFonts w:eastAsia="Times New Roman" w:cs="Times New Roman"/>
                <w:noProof/>
                <w:color w:val="000000" w:themeColor="text1"/>
                <w:sz w:val="16"/>
                <w:szCs w:val="16"/>
                <w:lang w:eastAsia="en-US"/>
              </w:rPr>
            </w:pPr>
            <w:r w:rsidRPr="00CA682E">
              <w:rPr>
                <w:rFonts w:eastAsia="Times New Roman" w:cs="Times New Roman"/>
                <w:noProof/>
                <w:color w:val="000000" w:themeColor="text1"/>
                <w:sz w:val="16"/>
                <w:szCs w:val="16"/>
                <w:lang w:eastAsia="en-US"/>
              </w:rPr>
              <w:t>Edificio Arpad Bogsch – fase 1 de la renovación del subsuelo (adaptación de las dimensiones del centro de datos y renovación de la imprenta)</w:t>
            </w:r>
          </w:p>
        </w:tc>
        <w:tc>
          <w:tcPr>
            <w:tcW w:w="850"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jc w:val="center"/>
              <w:rPr>
                <w:rFonts w:eastAsia="Times New Roman" w:cs="Times New Roman"/>
                <w:noProof/>
                <w:color w:val="000000" w:themeColor="text1"/>
                <w:sz w:val="16"/>
                <w:szCs w:val="16"/>
                <w:lang w:eastAsia="en-US"/>
              </w:rPr>
            </w:pPr>
            <w:r w:rsidRPr="00CA682E">
              <w:rPr>
                <w:rFonts w:eastAsia="Times New Roman" w:cs="Times New Roman"/>
                <w:noProof/>
                <w:color w:val="000000" w:themeColor="text1"/>
                <w:sz w:val="16"/>
                <w:szCs w:val="16"/>
                <w:lang w:eastAsia="en-US"/>
              </w:rPr>
              <w:t>960.000</w:t>
            </w:r>
          </w:p>
        </w:tc>
        <w:tc>
          <w:tcPr>
            <w:tcW w:w="851"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jc w:val="center"/>
              <w:rPr>
                <w:rFonts w:eastAsia="Times New Roman" w:cs="Times New Roman"/>
                <w:noProof/>
                <w:color w:val="000000" w:themeColor="text1"/>
                <w:sz w:val="16"/>
                <w:szCs w:val="16"/>
                <w:lang w:eastAsia="en-US"/>
              </w:rPr>
            </w:pPr>
            <w:r w:rsidRPr="00CA682E">
              <w:rPr>
                <w:rFonts w:eastAsia="Times New Roman" w:cs="Times New Roman"/>
                <w:noProof/>
                <w:color w:val="000000" w:themeColor="text1"/>
                <w:sz w:val="16"/>
                <w:szCs w:val="16"/>
                <w:lang w:eastAsia="en-US"/>
              </w:rPr>
              <w:t>5.000</w:t>
            </w:r>
          </w:p>
        </w:tc>
        <w:tc>
          <w:tcPr>
            <w:tcW w:w="851"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jc w:val="center"/>
              <w:rPr>
                <w:rFonts w:eastAsia="Times New Roman" w:cs="Times New Roman"/>
                <w:noProof/>
                <w:color w:val="000000" w:themeColor="text1"/>
                <w:sz w:val="16"/>
                <w:szCs w:val="16"/>
                <w:lang w:eastAsia="en-US"/>
              </w:rPr>
            </w:pPr>
            <w:r w:rsidRPr="00CA682E">
              <w:rPr>
                <w:rFonts w:eastAsia="Times New Roman" w:cs="Times New Roman"/>
                <w:noProof/>
                <w:color w:val="000000" w:themeColor="text1"/>
                <w:sz w:val="16"/>
                <w:szCs w:val="16"/>
                <w:lang w:eastAsia="en-US"/>
              </w:rPr>
              <w:t>0,5%</w:t>
            </w:r>
          </w:p>
        </w:tc>
        <w:tc>
          <w:tcPr>
            <w:tcW w:w="850"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jc w:val="center"/>
              <w:rPr>
                <w:rFonts w:eastAsia="Times New Roman" w:cs="Times New Roman"/>
                <w:noProof/>
                <w:color w:val="000000" w:themeColor="text1"/>
                <w:sz w:val="16"/>
                <w:szCs w:val="16"/>
                <w:lang w:eastAsia="en-US"/>
              </w:rPr>
            </w:pPr>
            <w:r w:rsidRPr="00CA682E">
              <w:rPr>
                <w:rFonts w:eastAsia="Times New Roman" w:cs="Times New Roman"/>
                <w:noProof/>
                <w:color w:val="000000" w:themeColor="text1"/>
                <w:sz w:val="16"/>
                <w:szCs w:val="16"/>
                <w:lang w:eastAsia="en-US"/>
              </w:rPr>
              <w:t>15%</w:t>
            </w:r>
          </w:p>
        </w:tc>
      </w:tr>
    </w:tbl>
    <w:p w:rsidR="00CA682E" w:rsidRPr="00CA682E" w:rsidRDefault="00CA682E" w:rsidP="00CA682E">
      <w:pPr>
        <w:keepNext/>
        <w:keepLines/>
        <w:tabs>
          <w:tab w:val="left" w:pos="3261"/>
        </w:tabs>
        <w:autoSpaceDE w:val="0"/>
        <w:autoSpaceDN w:val="0"/>
        <w:adjustRightInd w:val="0"/>
        <w:jc w:val="center"/>
        <w:rPr>
          <w:rFonts w:eastAsia="Times New Roman" w:cs="Times New Roman"/>
          <w:b/>
          <w:noProof/>
          <w:color w:val="000000" w:themeColor="text1"/>
          <w:sz w:val="20"/>
          <w:szCs w:val="22"/>
          <w:lang w:eastAsia="en-US"/>
        </w:rPr>
      </w:pPr>
    </w:p>
    <w:p w:rsidR="00CA682E" w:rsidRPr="00CA682E" w:rsidRDefault="00CA682E" w:rsidP="00CA682E">
      <w:pPr>
        <w:keepNext/>
        <w:keepLines/>
        <w:tabs>
          <w:tab w:val="left" w:pos="3261"/>
        </w:tabs>
        <w:autoSpaceDE w:val="0"/>
        <w:autoSpaceDN w:val="0"/>
        <w:adjustRightInd w:val="0"/>
        <w:jc w:val="center"/>
        <w:rPr>
          <w:rFonts w:eastAsia="Times New Roman" w:cs="Times New Roman"/>
          <w:b/>
          <w:noProof/>
          <w:color w:val="000000" w:themeColor="text1"/>
          <w:sz w:val="20"/>
          <w:szCs w:val="22"/>
          <w:lang w:eastAsia="en-US"/>
        </w:rPr>
      </w:pPr>
    </w:p>
    <w:p w:rsidR="00CA682E" w:rsidRPr="00CA682E" w:rsidRDefault="00CA682E" w:rsidP="00CA682E">
      <w:pPr>
        <w:keepNext/>
        <w:keepLines/>
        <w:tabs>
          <w:tab w:val="left" w:pos="3261"/>
        </w:tabs>
        <w:autoSpaceDE w:val="0"/>
        <w:autoSpaceDN w:val="0"/>
        <w:adjustRightInd w:val="0"/>
        <w:jc w:val="center"/>
        <w:rPr>
          <w:rFonts w:eastAsia="Times New Roman" w:cs="Times New Roman"/>
          <w:b/>
          <w:noProof/>
          <w:color w:val="000000" w:themeColor="text1"/>
          <w:sz w:val="20"/>
          <w:szCs w:val="22"/>
          <w:lang w:eastAsia="en-US"/>
        </w:rPr>
      </w:pPr>
      <w:r w:rsidRPr="00CA682E">
        <w:rPr>
          <w:rFonts w:eastAsia="Times New Roman" w:cs="Times New Roman"/>
          <w:b/>
          <w:noProof/>
          <w:color w:val="000000" w:themeColor="text1"/>
          <w:sz w:val="20"/>
          <w:szCs w:val="22"/>
          <w:lang w:eastAsia="en-US"/>
        </w:rPr>
        <w:t>Utilización del presupuesto del proyecto (por etapa)</w:t>
      </w:r>
    </w:p>
    <w:p w:rsidR="00CA682E" w:rsidRPr="00CA682E" w:rsidRDefault="00CA682E" w:rsidP="00CA682E">
      <w:pPr>
        <w:keepNext/>
        <w:keepLines/>
        <w:tabs>
          <w:tab w:val="left" w:pos="3261"/>
        </w:tabs>
        <w:autoSpaceDE w:val="0"/>
        <w:autoSpaceDN w:val="0"/>
        <w:adjustRightInd w:val="0"/>
        <w:spacing w:after="120"/>
        <w:jc w:val="center"/>
        <w:rPr>
          <w:rFonts w:eastAsia="Times New Roman" w:cs="Times New Roman"/>
          <w:i/>
          <w:iCs/>
          <w:noProof/>
          <w:color w:val="000000" w:themeColor="text1"/>
          <w:sz w:val="18"/>
          <w:szCs w:val="18"/>
          <w:lang w:eastAsia="en-US"/>
        </w:rPr>
      </w:pPr>
      <w:r w:rsidRPr="00CA682E">
        <w:rPr>
          <w:rFonts w:eastAsia="Times New Roman" w:cs="Times New Roman"/>
          <w:i/>
          <w:iCs/>
          <w:noProof/>
          <w:color w:val="000000" w:themeColor="text1"/>
          <w:sz w:val="18"/>
          <w:szCs w:val="18"/>
          <w:lang w:eastAsia="en-US"/>
        </w:rPr>
        <w:t>(en francos suizos, al 31 de diciembre de 2015)</w:t>
      </w:r>
    </w:p>
    <w:tbl>
      <w:tblPr>
        <w:tblpPr w:leftFromText="180" w:rightFromText="180" w:vertAnchor="text" w:horzAnchor="margin" w:tblpX="182" w:tblpY="17"/>
        <w:tblW w:w="47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99"/>
        <w:gridCol w:w="1575"/>
        <w:gridCol w:w="1575"/>
        <w:gridCol w:w="1575"/>
        <w:gridCol w:w="1557"/>
      </w:tblGrid>
      <w:tr w:rsidR="00CA682E" w:rsidRPr="00CA682E" w:rsidTr="007B1DE4">
        <w:trPr>
          <w:trHeight w:val="410"/>
        </w:trPr>
        <w:tc>
          <w:tcPr>
            <w:tcW w:w="157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keepNext/>
              <w:keepLines/>
              <w:autoSpaceDE w:val="0"/>
              <w:autoSpaceDN w:val="0"/>
              <w:adjustRightInd w:val="0"/>
              <w:spacing w:before="40" w:after="40"/>
              <w:ind w:left="-74" w:right="-60"/>
              <w:jc w:val="center"/>
              <w:rPr>
                <w:rFonts w:eastAsia="Times New Roman" w:cs="Times New Roman"/>
                <w:b/>
                <w:bCs/>
                <w:noProof/>
                <w:color w:val="000000" w:themeColor="text1"/>
                <w:sz w:val="16"/>
                <w:szCs w:val="16"/>
                <w:lang w:eastAsia="en-US"/>
              </w:rPr>
            </w:pPr>
            <w:r w:rsidRPr="00CA682E">
              <w:rPr>
                <w:rFonts w:eastAsia="Times New Roman" w:cs="Times New Roman"/>
                <w:b/>
                <w:bCs/>
                <w:noProof/>
                <w:color w:val="000000" w:themeColor="text1"/>
                <w:sz w:val="16"/>
                <w:szCs w:val="16"/>
                <w:lang w:eastAsia="en-US"/>
              </w:rPr>
              <w:t>Etapa fundamental</w:t>
            </w:r>
          </w:p>
        </w:tc>
        <w:tc>
          <w:tcPr>
            <w:tcW w:w="85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keepNext/>
              <w:keepLines/>
              <w:autoSpaceDE w:val="0"/>
              <w:autoSpaceDN w:val="0"/>
              <w:adjustRightInd w:val="0"/>
              <w:spacing w:before="40" w:after="40"/>
              <w:ind w:left="-107" w:right="-108"/>
              <w:jc w:val="center"/>
              <w:rPr>
                <w:rFonts w:eastAsia="Times New Roman" w:cs="Times New Roman"/>
                <w:b/>
                <w:bCs/>
                <w:noProof/>
                <w:color w:val="000000" w:themeColor="text1"/>
                <w:sz w:val="16"/>
                <w:szCs w:val="16"/>
                <w:lang w:eastAsia="en-US"/>
              </w:rPr>
            </w:pPr>
            <w:r w:rsidRPr="00CA682E">
              <w:rPr>
                <w:rFonts w:eastAsia="Times New Roman" w:cs="Times New Roman"/>
                <w:b/>
                <w:bCs/>
                <w:noProof/>
                <w:color w:val="000000" w:themeColor="text1"/>
                <w:sz w:val="16"/>
                <w:szCs w:val="16"/>
                <w:lang w:eastAsia="en-US"/>
              </w:rPr>
              <w:t>Presupuesto del proyecto</w:t>
            </w:r>
          </w:p>
        </w:tc>
        <w:tc>
          <w:tcPr>
            <w:tcW w:w="85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keepNext/>
              <w:keepLines/>
              <w:autoSpaceDE w:val="0"/>
              <w:autoSpaceDN w:val="0"/>
              <w:adjustRightInd w:val="0"/>
              <w:spacing w:before="40" w:after="40"/>
              <w:ind w:left="-108" w:right="-106"/>
              <w:jc w:val="center"/>
              <w:rPr>
                <w:rFonts w:eastAsia="Times New Roman" w:cs="Times New Roman"/>
                <w:b/>
                <w:bCs/>
                <w:noProof/>
                <w:color w:val="000000" w:themeColor="text1"/>
                <w:sz w:val="16"/>
                <w:szCs w:val="16"/>
                <w:lang w:eastAsia="en-US"/>
              </w:rPr>
            </w:pPr>
            <w:r w:rsidRPr="00CA682E">
              <w:rPr>
                <w:rFonts w:eastAsia="Times New Roman" w:cs="Times New Roman"/>
                <w:b/>
                <w:bCs/>
                <w:noProof/>
                <w:color w:val="000000" w:themeColor="text1"/>
                <w:sz w:val="16"/>
                <w:szCs w:val="16"/>
                <w:lang w:eastAsia="en-US"/>
              </w:rPr>
              <w:t>Gasto real hasta la fecha</w:t>
            </w:r>
          </w:p>
        </w:tc>
        <w:tc>
          <w:tcPr>
            <w:tcW w:w="85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keepNext/>
              <w:keepLines/>
              <w:autoSpaceDE w:val="0"/>
              <w:autoSpaceDN w:val="0"/>
              <w:adjustRightInd w:val="0"/>
              <w:spacing w:before="40" w:after="40"/>
              <w:ind w:left="-109" w:right="-108"/>
              <w:jc w:val="center"/>
              <w:rPr>
                <w:rFonts w:eastAsia="Times New Roman" w:cs="Times New Roman"/>
                <w:b/>
                <w:bCs/>
                <w:noProof/>
                <w:color w:val="000000" w:themeColor="text1"/>
                <w:sz w:val="16"/>
                <w:szCs w:val="16"/>
                <w:lang w:eastAsia="en-US"/>
              </w:rPr>
            </w:pPr>
            <w:r w:rsidRPr="00CA682E">
              <w:rPr>
                <w:rFonts w:eastAsia="Times New Roman" w:cs="Times New Roman"/>
                <w:b/>
                <w:bCs/>
                <w:noProof/>
                <w:color w:val="000000" w:themeColor="text1"/>
                <w:sz w:val="16"/>
                <w:szCs w:val="16"/>
                <w:lang w:eastAsia="en-US"/>
              </w:rPr>
              <w:t>Utilización real del presupuesto</w:t>
            </w:r>
          </w:p>
        </w:tc>
        <w:tc>
          <w:tcPr>
            <w:tcW w:w="84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keepNext/>
              <w:keepLines/>
              <w:autoSpaceDE w:val="0"/>
              <w:autoSpaceDN w:val="0"/>
              <w:adjustRightInd w:val="0"/>
              <w:spacing w:before="40" w:after="40"/>
              <w:ind w:left="-109" w:right="-73" w:firstLine="1"/>
              <w:jc w:val="center"/>
              <w:rPr>
                <w:rFonts w:eastAsia="Times New Roman" w:cs="Times New Roman"/>
                <w:b/>
                <w:bCs/>
                <w:noProof/>
                <w:color w:val="000000" w:themeColor="text1"/>
                <w:sz w:val="16"/>
                <w:szCs w:val="16"/>
                <w:lang w:eastAsia="en-US"/>
              </w:rPr>
            </w:pPr>
            <w:r w:rsidRPr="00CA682E">
              <w:rPr>
                <w:rFonts w:eastAsia="Times New Roman" w:cs="Times New Roman"/>
                <w:b/>
                <w:bCs/>
                <w:noProof/>
                <w:color w:val="000000" w:themeColor="text1"/>
                <w:sz w:val="16"/>
                <w:szCs w:val="16"/>
                <w:lang w:eastAsia="en-US"/>
              </w:rPr>
              <w:t>Índice de avance en la ejecución del proyecto</w:t>
            </w:r>
          </w:p>
        </w:tc>
      </w:tr>
      <w:tr w:rsidR="00CA682E" w:rsidRPr="00CA682E" w:rsidTr="007B1DE4">
        <w:trPr>
          <w:trHeight w:val="389"/>
        </w:trPr>
        <w:tc>
          <w:tcPr>
            <w:tcW w:w="1578"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rPr>
                <w:rFonts w:eastAsia="Times New Roman" w:cs="Times New Roman"/>
                <w:noProof/>
                <w:color w:val="000000" w:themeColor="text1"/>
                <w:sz w:val="16"/>
                <w:szCs w:val="16"/>
                <w:lang w:eastAsia="en-US"/>
              </w:rPr>
            </w:pPr>
            <w:r w:rsidRPr="00CA682E">
              <w:rPr>
                <w:rFonts w:eastAsia="Times New Roman" w:cs="Times New Roman"/>
                <w:noProof/>
                <w:color w:val="000000" w:themeColor="text1"/>
                <w:sz w:val="16"/>
                <w:szCs w:val="16"/>
                <w:lang w:eastAsia="en-US"/>
              </w:rPr>
              <w:t xml:space="preserve">Adjudicación de los contratos al arquitecto y a los ingenieros </w:t>
            </w:r>
          </w:p>
        </w:tc>
        <w:tc>
          <w:tcPr>
            <w:tcW w:w="858"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jc w:val="center"/>
              <w:rPr>
                <w:rFonts w:eastAsia="Times New Roman" w:cs="Times New Roman"/>
                <w:noProof/>
                <w:color w:val="000000" w:themeColor="text1"/>
                <w:sz w:val="16"/>
                <w:szCs w:val="16"/>
                <w:lang w:eastAsia="en-US"/>
              </w:rPr>
            </w:pPr>
            <w:r w:rsidRPr="00CA682E">
              <w:rPr>
                <w:rFonts w:eastAsia="Times New Roman" w:cs="Times New Roman"/>
                <w:noProof/>
                <w:color w:val="000000" w:themeColor="text1"/>
                <w:sz w:val="16"/>
                <w:szCs w:val="16"/>
                <w:lang w:eastAsia="en-US"/>
              </w:rPr>
              <w:t>144.000</w:t>
            </w:r>
          </w:p>
        </w:tc>
        <w:tc>
          <w:tcPr>
            <w:tcW w:w="858"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jc w:val="center"/>
              <w:rPr>
                <w:rFonts w:eastAsia="Times New Roman" w:cs="Times New Roman"/>
                <w:noProof/>
                <w:color w:val="000000" w:themeColor="text1"/>
                <w:sz w:val="16"/>
                <w:szCs w:val="16"/>
                <w:lang w:eastAsia="en-US"/>
              </w:rPr>
            </w:pPr>
            <w:r w:rsidRPr="00CA682E">
              <w:rPr>
                <w:rFonts w:eastAsia="Times New Roman" w:cs="Times New Roman"/>
                <w:noProof/>
                <w:color w:val="000000" w:themeColor="text1"/>
                <w:sz w:val="16"/>
                <w:szCs w:val="16"/>
                <w:lang w:eastAsia="en-US"/>
              </w:rPr>
              <w:t>5.000</w:t>
            </w:r>
            <w:r w:rsidRPr="00CA682E">
              <w:rPr>
                <w:rFonts w:eastAsia="Times New Roman" w:cs="Times New Roman"/>
                <w:noProof/>
                <w:color w:val="000000" w:themeColor="text1"/>
                <w:sz w:val="16"/>
                <w:szCs w:val="16"/>
                <w:vertAlign w:val="superscript"/>
                <w:lang w:eastAsia="en-US"/>
              </w:rPr>
              <w:footnoteReference w:id="179"/>
            </w:r>
          </w:p>
        </w:tc>
        <w:tc>
          <w:tcPr>
            <w:tcW w:w="858"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jc w:val="center"/>
              <w:rPr>
                <w:rFonts w:eastAsia="Times New Roman" w:cs="Times New Roman"/>
                <w:noProof/>
                <w:color w:val="000000" w:themeColor="text1"/>
                <w:sz w:val="16"/>
                <w:szCs w:val="16"/>
                <w:lang w:eastAsia="en-US"/>
              </w:rPr>
            </w:pPr>
            <w:r w:rsidRPr="00CA682E">
              <w:rPr>
                <w:rFonts w:eastAsia="Times New Roman" w:cs="Times New Roman"/>
                <w:noProof/>
                <w:color w:val="000000" w:themeColor="text1"/>
                <w:sz w:val="16"/>
                <w:szCs w:val="16"/>
                <w:lang w:eastAsia="en-US"/>
              </w:rPr>
              <w:t>3,5%</w:t>
            </w:r>
          </w:p>
        </w:tc>
        <w:tc>
          <w:tcPr>
            <w:tcW w:w="848"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jc w:val="center"/>
              <w:rPr>
                <w:rFonts w:eastAsia="Times New Roman" w:cs="Times New Roman"/>
                <w:noProof/>
                <w:color w:val="000000" w:themeColor="text1"/>
                <w:sz w:val="16"/>
                <w:szCs w:val="16"/>
                <w:lang w:eastAsia="en-US"/>
              </w:rPr>
            </w:pPr>
            <w:r w:rsidRPr="00CA682E">
              <w:rPr>
                <w:rFonts w:eastAsia="Times New Roman" w:cs="Times New Roman"/>
                <w:noProof/>
                <w:color w:val="000000" w:themeColor="text1"/>
                <w:sz w:val="16"/>
                <w:szCs w:val="16"/>
                <w:lang w:eastAsia="en-US"/>
              </w:rPr>
              <w:t>100%</w:t>
            </w:r>
          </w:p>
        </w:tc>
      </w:tr>
      <w:tr w:rsidR="00CA682E" w:rsidRPr="00CA682E" w:rsidTr="007B1DE4">
        <w:trPr>
          <w:trHeight w:val="389"/>
        </w:trPr>
        <w:tc>
          <w:tcPr>
            <w:tcW w:w="1578"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rPr>
                <w:rFonts w:eastAsia="Times New Roman" w:cs="Times New Roman"/>
                <w:noProof/>
                <w:color w:val="000000" w:themeColor="text1"/>
                <w:sz w:val="16"/>
                <w:szCs w:val="16"/>
                <w:lang w:eastAsia="en-US"/>
              </w:rPr>
            </w:pPr>
            <w:r w:rsidRPr="00CA682E">
              <w:rPr>
                <w:rFonts w:eastAsia="Times New Roman" w:cs="Times New Roman"/>
                <w:noProof/>
                <w:color w:val="000000" w:themeColor="text1"/>
                <w:sz w:val="16"/>
                <w:szCs w:val="16"/>
                <w:lang w:eastAsia="en-US"/>
              </w:rPr>
              <w:t>Obra y puesta en servicio</w:t>
            </w:r>
          </w:p>
        </w:tc>
        <w:tc>
          <w:tcPr>
            <w:tcW w:w="858"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jc w:val="center"/>
              <w:rPr>
                <w:rFonts w:eastAsia="Times New Roman" w:cs="Times New Roman"/>
                <w:noProof/>
                <w:color w:val="000000" w:themeColor="text1"/>
                <w:sz w:val="16"/>
                <w:szCs w:val="16"/>
                <w:lang w:eastAsia="en-US"/>
              </w:rPr>
            </w:pPr>
            <w:r w:rsidRPr="00CA682E">
              <w:rPr>
                <w:rFonts w:eastAsia="Times New Roman" w:cs="Times New Roman"/>
                <w:noProof/>
                <w:color w:val="000000" w:themeColor="text1"/>
                <w:sz w:val="16"/>
                <w:szCs w:val="16"/>
                <w:lang w:eastAsia="en-US"/>
              </w:rPr>
              <w:t>816.000</w:t>
            </w:r>
          </w:p>
        </w:tc>
        <w:tc>
          <w:tcPr>
            <w:tcW w:w="858"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jc w:val="center"/>
              <w:rPr>
                <w:rFonts w:eastAsia="Times New Roman" w:cs="Times New Roman"/>
                <w:noProof/>
                <w:color w:val="000000" w:themeColor="text1"/>
                <w:sz w:val="16"/>
                <w:szCs w:val="16"/>
                <w:lang w:eastAsia="en-US"/>
              </w:rPr>
            </w:pPr>
            <w:r w:rsidRPr="00CA682E">
              <w:rPr>
                <w:rFonts w:eastAsia="Times New Roman" w:cs="Times New Roman"/>
                <w:noProof/>
                <w:color w:val="000000" w:themeColor="text1"/>
                <w:sz w:val="16"/>
                <w:szCs w:val="16"/>
                <w:lang w:eastAsia="en-US"/>
              </w:rPr>
              <w:t>0</w:t>
            </w:r>
          </w:p>
        </w:tc>
        <w:tc>
          <w:tcPr>
            <w:tcW w:w="858"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jc w:val="center"/>
              <w:rPr>
                <w:rFonts w:eastAsia="Times New Roman" w:cs="Times New Roman"/>
                <w:noProof/>
                <w:color w:val="000000" w:themeColor="text1"/>
                <w:sz w:val="16"/>
                <w:szCs w:val="16"/>
                <w:lang w:eastAsia="en-US"/>
              </w:rPr>
            </w:pPr>
            <w:r w:rsidRPr="00CA682E">
              <w:rPr>
                <w:rFonts w:eastAsia="Times New Roman" w:cs="Times New Roman"/>
                <w:noProof/>
                <w:color w:val="000000" w:themeColor="text1"/>
                <w:sz w:val="16"/>
                <w:szCs w:val="16"/>
                <w:lang w:eastAsia="en-US"/>
              </w:rPr>
              <w:t>0%</w:t>
            </w:r>
          </w:p>
        </w:tc>
        <w:tc>
          <w:tcPr>
            <w:tcW w:w="848"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jc w:val="center"/>
              <w:rPr>
                <w:rFonts w:eastAsia="Times New Roman" w:cs="Times New Roman"/>
                <w:noProof/>
                <w:color w:val="000000" w:themeColor="text1"/>
                <w:sz w:val="16"/>
                <w:szCs w:val="16"/>
                <w:lang w:eastAsia="en-US"/>
              </w:rPr>
            </w:pPr>
            <w:r w:rsidRPr="00CA682E">
              <w:rPr>
                <w:rFonts w:eastAsia="Times New Roman" w:cs="Times New Roman"/>
                <w:noProof/>
                <w:color w:val="000000" w:themeColor="text1"/>
                <w:sz w:val="16"/>
                <w:szCs w:val="16"/>
                <w:lang w:eastAsia="en-US"/>
              </w:rPr>
              <w:t>-</w:t>
            </w:r>
          </w:p>
        </w:tc>
      </w:tr>
      <w:tr w:rsidR="00CA682E" w:rsidRPr="00CA682E" w:rsidTr="007B1DE4">
        <w:trPr>
          <w:trHeight w:val="389"/>
        </w:trPr>
        <w:tc>
          <w:tcPr>
            <w:tcW w:w="157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keepNext/>
              <w:keepLines/>
              <w:autoSpaceDE w:val="0"/>
              <w:autoSpaceDN w:val="0"/>
              <w:adjustRightInd w:val="0"/>
              <w:spacing w:before="40" w:after="40"/>
              <w:rPr>
                <w:rFonts w:eastAsia="Times New Roman" w:cs="Times New Roman"/>
                <w:b/>
                <w:noProof/>
                <w:color w:val="000000" w:themeColor="text1"/>
                <w:sz w:val="16"/>
                <w:szCs w:val="16"/>
                <w:lang w:eastAsia="en-US"/>
              </w:rPr>
            </w:pPr>
            <w:r w:rsidRPr="00CA682E">
              <w:rPr>
                <w:rFonts w:eastAsia="Times New Roman" w:cs="Times New Roman"/>
                <w:b/>
                <w:noProof/>
                <w:color w:val="000000" w:themeColor="text1"/>
                <w:sz w:val="16"/>
                <w:szCs w:val="16"/>
                <w:lang w:eastAsia="en-US"/>
              </w:rPr>
              <w:t>Total</w:t>
            </w:r>
          </w:p>
        </w:tc>
        <w:tc>
          <w:tcPr>
            <w:tcW w:w="85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CA682E" w:rsidRPr="00CA682E" w:rsidRDefault="00CA682E" w:rsidP="00CA682E">
            <w:pPr>
              <w:keepNext/>
              <w:keepLines/>
              <w:autoSpaceDE w:val="0"/>
              <w:autoSpaceDN w:val="0"/>
              <w:adjustRightInd w:val="0"/>
              <w:spacing w:before="40" w:after="40"/>
              <w:jc w:val="center"/>
              <w:rPr>
                <w:rFonts w:eastAsia="Times New Roman" w:cs="Times New Roman"/>
                <w:b/>
                <w:noProof/>
                <w:color w:val="000000" w:themeColor="text1"/>
                <w:sz w:val="16"/>
                <w:szCs w:val="16"/>
                <w:lang w:eastAsia="en-US"/>
              </w:rPr>
            </w:pPr>
            <w:r w:rsidRPr="00CA682E">
              <w:rPr>
                <w:rFonts w:eastAsia="Times New Roman" w:cs="Times New Roman"/>
                <w:b/>
                <w:noProof/>
                <w:color w:val="000000" w:themeColor="text1"/>
                <w:sz w:val="16"/>
                <w:szCs w:val="16"/>
                <w:lang w:eastAsia="en-US"/>
              </w:rPr>
              <w:t>960.000</w:t>
            </w:r>
          </w:p>
        </w:tc>
        <w:tc>
          <w:tcPr>
            <w:tcW w:w="85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CA682E" w:rsidRPr="00CA682E" w:rsidRDefault="00CA682E" w:rsidP="00CA682E">
            <w:pPr>
              <w:keepNext/>
              <w:keepLines/>
              <w:autoSpaceDE w:val="0"/>
              <w:autoSpaceDN w:val="0"/>
              <w:adjustRightInd w:val="0"/>
              <w:spacing w:before="40" w:after="40"/>
              <w:jc w:val="center"/>
              <w:rPr>
                <w:rFonts w:eastAsia="Times New Roman" w:cs="Times New Roman"/>
                <w:b/>
                <w:noProof/>
                <w:color w:val="000000" w:themeColor="text1"/>
                <w:sz w:val="16"/>
                <w:szCs w:val="16"/>
                <w:lang w:eastAsia="en-US"/>
              </w:rPr>
            </w:pPr>
            <w:r w:rsidRPr="00CA682E">
              <w:rPr>
                <w:rFonts w:eastAsia="Times New Roman" w:cs="Times New Roman"/>
                <w:b/>
                <w:noProof/>
                <w:color w:val="000000" w:themeColor="text1"/>
                <w:sz w:val="16"/>
                <w:szCs w:val="16"/>
                <w:lang w:eastAsia="en-US"/>
              </w:rPr>
              <w:t>5.000</w:t>
            </w:r>
          </w:p>
        </w:tc>
        <w:tc>
          <w:tcPr>
            <w:tcW w:w="85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CA682E" w:rsidRPr="00CA682E" w:rsidRDefault="00CA682E" w:rsidP="00CA682E">
            <w:pPr>
              <w:keepNext/>
              <w:keepLines/>
              <w:autoSpaceDE w:val="0"/>
              <w:autoSpaceDN w:val="0"/>
              <w:adjustRightInd w:val="0"/>
              <w:spacing w:before="40" w:after="40"/>
              <w:jc w:val="center"/>
              <w:rPr>
                <w:rFonts w:eastAsia="Times New Roman" w:cs="Times New Roman"/>
                <w:b/>
                <w:noProof/>
                <w:color w:val="000000" w:themeColor="text1"/>
                <w:sz w:val="16"/>
                <w:szCs w:val="16"/>
                <w:lang w:eastAsia="en-US"/>
              </w:rPr>
            </w:pPr>
            <w:r w:rsidRPr="00CA682E">
              <w:rPr>
                <w:rFonts w:eastAsia="Times New Roman" w:cs="Times New Roman"/>
                <w:b/>
                <w:noProof/>
                <w:color w:val="000000" w:themeColor="text1"/>
                <w:sz w:val="16"/>
                <w:szCs w:val="16"/>
                <w:lang w:eastAsia="en-US"/>
              </w:rPr>
              <w:t>0,5%</w:t>
            </w:r>
          </w:p>
        </w:tc>
        <w:tc>
          <w:tcPr>
            <w:tcW w:w="84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CA682E" w:rsidRPr="00CA682E" w:rsidRDefault="00CA682E" w:rsidP="00CA682E">
            <w:pPr>
              <w:keepNext/>
              <w:keepLines/>
              <w:autoSpaceDE w:val="0"/>
              <w:autoSpaceDN w:val="0"/>
              <w:adjustRightInd w:val="0"/>
              <w:spacing w:before="40" w:after="40"/>
              <w:jc w:val="center"/>
              <w:rPr>
                <w:rFonts w:eastAsia="Times New Roman" w:cs="Times New Roman"/>
                <w:b/>
                <w:noProof/>
                <w:color w:val="000000" w:themeColor="text1"/>
                <w:sz w:val="16"/>
                <w:szCs w:val="16"/>
                <w:lang w:eastAsia="en-US"/>
              </w:rPr>
            </w:pPr>
          </w:p>
        </w:tc>
      </w:tr>
    </w:tbl>
    <w:p w:rsidR="00CA682E" w:rsidRPr="00CA682E" w:rsidRDefault="00CA682E" w:rsidP="00CA682E">
      <w:pPr>
        <w:keepNext/>
        <w:keepLines/>
        <w:tabs>
          <w:tab w:val="left" w:pos="3261"/>
        </w:tabs>
        <w:autoSpaceDE w:val="0"/>
        <w:autoSpaceDN w:val="0"/>
        <w:adjustRightInd w:val="0"/>
        <w:rPr>
          <w:rFonts w:eastAsia="Times New Roman" w:cs="Times New Roman"/>
          <w:b/>
          <w:noProof/>
          <w:color w:val="000000" w:themeColor="text1"/>
          <w:sz w:val="20"/>
          <w:szCs w:val="22"/>
          <w:lang w:eastAsia="en-US"/>
        </w:rPr>
      </w:pPr>
    </w:p>
    <w:p w:rsidR="00CA682E" w:rsidRPr="00CA682E" w:rsidRDefault="00CA682E" w:rsidP="00CA682E">
      <w:pPr>
        <w:keepNext/>
        <w:keepLines/>
        <w:tabs>
          <w:tab w:val="left" w:pos="3261"/>
        </w:tabs>
        <w:autoSpaceDE w:val="0"/>
        <w:autoSpaceDN w:val="0"/>
        <w:adjustRightInd w:val="0"/>
        <w:jc w:val="center"/>
        <w:rPr>
          <w:rFonts w:eastAsia="Times New Roman" w:cs="Times New Roman"/>
          <w:b/>
          <w:noProof/>
          <w:color w:val="000000" w:themeColor="text1"/>
          <w:sz w:val="20"/>
          <w:szCs w:val="22"/>
          <w:lang w:eastAsia="en-US"/>
        </w:rPr>
      </w:pPr>
    </w:p>
    <w:p w:rsidR="00CA682E" w:rsidRPr="00CA682E" w:rsidRDefault="00CA682E" w:rsidP="00CA682E">
      <w:pPr>
        <w:keepNext/>
        <w:keepLines/>
        <w:tabs>
          <w:tab w:val="left" w:pos="3261"/>
        </w:tabs>
        <w:autoSpaceDE w:val="0"/>
        <w:autoSpaceDN w:val="0"/>
        <w:adjustRightInd w:val="0"/>
        <w:jc w:val="center"/>
        <w:rPr>
          <w:rFonts w:eastAsia="Times New Roman" w:cs="Times New Roman"/>
          <w:b/>
          <w:noProof/>
          <w:color w:val="000000" w:themeColor="text1"/>
          <w:sz w:val="20"/>
          <w:szCs w:val="22"/>
          <w:lang w:eastAsia="en-US"/>
        </w:rPr>
      </w:pPr>
      <w:r w:rsidRPr="00CA682E">
        <w:rPr>
          <w:rFonts w:eastAsia="Times New Roman" w:cs="Times New Roman"/>
          <w:b/>
          <w:noProof/>
          <w:color w:val="000000" w:themeColor="text1"/>
          <w:sz w:val="20"/>
          <w:szCs w:val="22"/>
          <w:lang w:eastAsia="en-US"/>
        </w:rPr>
        <w:t>Utilización del presupuesto del proyecto (por categoría de costo)</w:t>
      </w:r>
    </w:p>
    <w:p w:rsidR="00CA682E" w:rsidRPr="00CA682E" w:rsidRDefault="00CA682E" w:rsidP="00CA682E">
      <w:pPr>
        <w:keepNext/>
        <w:keepLines/>
        <w:tabs>
          <w:tab w:val="left" w:pos="3261"/>
        </w:tabs>
        <w:autoSpaceDE w:val="0"/>
        <w:autoSpaceDN w:val="0"/>
        <w:adjustRightInd w:val="0"/>
        <w:spacing w:after="120"/>
        <w:jc w:val="center"/>
        <w:rPr>
          <w:rFonts w:eastAsia="Times New Roman" w:cs="Times New Roman"/>
          <w:i/>
          <w:iCs/>
          <w:noProof/>
          <w:color w:val="000000" w:themeColor="text1"/>
          <w:sz w:val="18"/>
          <w:szCs w:val="18"/>
          <w:lang w:eastAsia="en-US"/>
        </w:rPr>
      </w:pPr>
      <w:r w:rsidRPr="00CA682E">
        <w:rPr>
          <w:rFonts w:eastAsia="Times New Roman" w:cs="Times New Roman"/>
          <w:i/>
          <w:iCs/>
          <w:noProof/>
          <w:color w:val="000000" w:themeColor="text1"/>
          <w:sz w:val="18"/>
          <w:szCs w:val="18"/>
          <w:lang w:eastAsia="en-US"/>
        </w:rPr>
        <w:t>(en francos suizos, al 31 de diciembre de 2015)</w:t>
      </w:r>
    </w:p>
    <w:tbl>
      <w:tblPr>
        <w:tblW w:w="4666"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1"/>
        <w:gridCol w:w="1840"/>
        <w:gridCol w:w="1840"/>
        <w:gridCol w:w="2001"/>
      </w:tblGrid>
      <w:tr w:rsidR="00CA682E" w:rsidRPr="00CA682E" w:rsidTr="007B1DE4">
        <w:trPr>
          <w:trHeight w:val="569"/>
        </w:trPr>
        <w:tc>
          <w:tcPr>
            <w:tcW w:w="182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keepNext/>
              <w:keepLines/>
              <w:autoSpaceDE w:val="0"/>
              <w:autoSpaceDN w:val="0"/>
              <w:adjustRightInd w:val="0"/>
              <w:spacing w:before="40" w:after="40"/>
              <w:ind w:left="-74" w:right="-60"/>
              <w:jc w:val="center"/>
              <w:rPr>
                <w:rFonts w:eastAsia="Times New Roman" w:cs="Times New Roman"/>
                <w:b/>
                <w:bCs/>
                <w:noProof/>
                <w:color w:val="000000" w:themeColor="text1"/>
                <w:sz w:val="16"/>
                <w:szCs w:val="16"/>
                <w:lang w:eastAsia="en-US"/>
              </w:rPr>
            </w:pPr>
            <w:r w:rsidRPr="00CA682E">
              <w:rPr>
                <w:rFonts w:eastAsia="Times New Roman" w:cs="Times New Roman"/>
                <w:b/>
                <w:bCs/>
                <w:noProof/>
                <w:color w:val="000000" w:themeColor="text1"/>
                <w:sz w:val="16"/>
                <w:szCs w:val="16"/>
                <w:lang w:eastAsia="en-US"/>
              </w:rPr>
              <w:t>Categoría de costo</w:t>
            </w:r>
          </w:p>
        </w:tc>
        <w:tc>
          <w:tcPr>
            <w:tcW w:w="103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keepNext/>
              <w:keepLines/>
              <w:autoSpaceDE w:val="0"/>
              <w:autoSpaceDN w:val="0"/>
              <w:adjustRightInd w:val="0"/>
              <w:spacing w:before="40" w:after="40"/>
              <w:ind w:left="-107" w:right="-108"/>
              <w:jc w:val="center"/>
              <w:rPr>
                <w:rFonts w:eastAsia="Times New Roman" w:cs="Times New Roman"/>
                <w:b/>
                <w:bCs/>
                <w:noProof/>
                <w:color w:val="000000" w:themeColor="text1"/>
                <w:sz w:val="16"/>
                <w:szCs w:val="16"/>
                <w:lang w:eastAsia="en-US"/>
              </w:rPr>
            </w:pPr>
            <w:r w:rsidRPr="00CA682E">
              <w:rPr>
                <w:rFonts w:eastAsia="Times New Roman" w:cs="Times New Roman"/>
                <w:b/>
                <w:bCs/>
                <w:noProof/>
                <w:color w:val="000000" w:themeColor="text1"/>
                <w:sz w:val="16"/>
                <w:szCs w:val="16"/>
                <w:lang w:eastAsia="en-US"/>
              </w:rPr>
              <w:t>Presupuesto del proyecto</w:t>
            </w:r>
          </w:p>
        </w:tc>
        <w:tc>
          <w:tcPr>
            <w:tcW w:w="103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keepNext/>
              <w:keepLines/>
              <w:autoSpaceDE w:val="0"/>
              <w:autoSpaceDN w:val="0"/>
              <w:adjustRightInd w:val="0"/>
              <w:spacing w:before="40" w:after="40"/>
              <w:ind w:left="-108"/>
              <w:jc w:val="center"/>
              <w:rPr>
                <w:rFonts w:eastAsia="Times New Roman" w:cs="Times New Roman"/>
                <w:b/>
                <w:bCs/>
                <w:noProof/>
                <w:color w:val="000000" w:themeColor="text1"/>
                <w:sz w:val="16"/>
                <w:szCs w:val="16"/>
                <w:lang w:eastAsia="en-US"/>
              </w:rPr>
            </w:pPr>
            <w:r w:rsidRPr="00CA682E">
              <w:rPr>
                <w:rFonts w:eastAsia="Times New Roman" w:cs="Times New Roman"/>
                <w:b/>
                <w:bCs/>
                <w:noProof/>
                <w:color w:val="000000" w:themeColor="text1"/>
                <w:sz w:val="16"/>
                <w:szCs w:val="16"/>
                <w:lang w:eastAsia="en-US"/>
              </w:rPr>
              <w:t xml:space="preserve">Gasto real hasta la fecha </w:t>
            </w:r>
          </w:p>
        </w:tc>
        <w:tc>
          <w:tcPr>
            <w:tcW w:w="112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keepNext/>
              <w:keepLines/>
              <w:autoSpaceDE w:val="0"/>
              <w:autoSpaceDN w:val="0"/>
              <w:adjustRightInd w:val="0"/>
              <w:spacing w:before="40" w:after="40"/>
              <w:ind w:left="-109"/>
              <w:jc w:val="center"/>
              <w:rPr>
                <w:rFonts w:eastAsia="Times New Roman" w:cs="Times New Roman"/>
                <w:b/>
                <w:bCs/>
                <w:noProof/>
                <w:color w:val="000000" w:themeColor="text1"/>
                <w:sz w:val="16"/>
                <w:szCs w:val="16"/>
                <w:lang w:eastAsia="en-US"/>
              </w:rPr>
            </w:pPr>
            <w:r w:rsidRPr="00CA682E">
              <w:rPr>
                <w:rFonts w:eastAsia="Times New Roman" w:cs="Times New Roman"/>
                <w:b/>
                <w:bCs/>
                <w:noProof/>
                <w:color w:val="000000" w:themeColor="text1"/>
                <w:sz w:val="16"/>
                <w:szCs w:val="16"/>
                <w:lang w:eastAsia="en-US"/>
              </w:rPr>
              <w:t>Utilización real del presupuesto</w:t>
            </w:r>
          </w:p>
        </w:tc>
      </w:tr>
      <w:tr w:rsidR="00CA682E" w:rsidRPr="00CA682E" w:rsidTr="007B1DE4">
        <w:tc>
          <w:tcPr>
            <w:tcW w:w="1820"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autoSpaceDE w:val="0"/>
              <w:autoSpaceDN w:val="0"/>
              <w:adjustRightInd w:val="0"/>
              <w:spacing w:before="40" w:after="40"/>
              <w:rPr>
                <w:rFonts w:eastAsia="Times New Roman" w:cs="Times New Roman"/>
                <w:noProof/>
                <w:color w:val="000000" w:themeColor="text1"/>
                <w:sz w:val="16"/>
                <w:szCs w:val="16"/>
                <w:lang w:eastAsia="en-US"/>
              </w:rPr>
            </w:pPr>
            <w:r w:rsidRPr="00CA682E">
              <w:rPr>
                <w:rFonts w:eastAsia="Times New Roman" w:cs="Times New Roman"/>
                <w:noProof/>
                <w:color w:val="000000" w:themeColor="text1"/>
                <w:sz w:val="16"/>
                <w:szCs w:val="16"/>
                <w:lang w:eastAsia="en-US"/>
              </w:rPr>
              <w:t>Costos relacionados con las obras</w:t>
            </w:r>
          </w:p>
        </w:tc>
        <w:tc>
          <w:tcPr>
            <w:tcW w:w="1030"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autoSpaceDE w:val="0"/>
              <w:autoSpaceDN w:val="0"/>
              <w:adjustRightInd w:val="0"/>
              <w:spacing w:before="40" w:after="40"/>
              <w:jc w:val="center"/>
              <w:rPr>
                <w:rFonts w:eastAsia="Times New Roman" w:cs="Times New Roman"/>
                <w:noProof/>
                <w:color w:val="000000" w:themeColor="text1"/>
                <w:sz w:val="16"/>
                <w:szCs w:val="16"/>
                <w:lang w:eastAsia="en-US"/>
              </w:rPr>
            </w:pPr>
            <w:r w:rsidRPr="00CA682E">
              <w:rPr>
                <w:rFonts w:eastAsia="Times New Roman" w:cs="Times New Roman"/>
                <w:noProof/>
                <w:color w:val="000000" w:themeColor="text1"/>
                <w:sz w:val="16"/>
                <w:szCs w:val="16"/>
                <w:lang w:eastAsia="en-US"/>
              </w:rPr>
              <w:t>759.000</w:t>
            </w:r>
          </w:p>
        </w:tc>
        <w:tc>
          <w:tcPr>
            <w:tcW w:w="1030" w:type="pct"/>
            <w:tcBorders>
              <w:top w:val="single" w:sz="4" w:space="0" w:color="auto"/>
              <w:left w:val="single" w:sz="4" w:space="0" w:color="auto"/>
              <w:bottom w:val="single" w:sz="4" w:space="0" w:color="auto"/>
              <w:right w:val="single" w:sz="4" w:space="0" w:color="auto"/>
            </w:tcBorders>
          </w:tcPr>
          <w:p w:rsidR="00CA682E" w:rsidRPr="00CA682E" w:rsidRDefault="00CA682E" w:rsidP="00CA682E">
            <w:pPr>
              <w:autoSpaceDE w:val="0"/>
              <w:autoSpaceDN w:val="0"/>
              <w:adjustRightInd w:val="0"/>
              <w:spacing w:before="40" w:after="40"/>
              <w:jc w:val="center"/>
              <w:rPr>
                <w:rFonts w:eastAsia="Times New Roman" w:cs="Times New Roman"/>
                <w:noProof/>
                <w:color w:val="000000" w:themeColor="text1"/>
                <w:sz w:val="16"/>
                <w:szCs w:val="16"/>
                <w:lang w:eastAsia="en-US"/>
              </w:rPr>
            </w:pPr>
            <w:r w:rsidRPr="00CA682E">
              <w:rPr>
                <w:rFonts w:eastAsia="Times New Roman" w:cs="Times New Roman"/>
                <w:noProof/>
                <w:color w:val="000000" w:themeColor="text1"/>
                <w:sz w:val="16"/>
                <w:szCs w:val="16"/>
                <w:lang w:eastAsia="en-US"/>
              </w:rPr>
              <w:t>0</w:t>
            </w:r>
          </w:p>
        </w:tc>
        <w:tc>
          <w:tcPr>
            <w:tcW w:w="1120" w:type="pct"/>
            <w:tcBorders>
              <w:top w:val="single" w:sz="4" w:space="0" w:color="auto"/>
              <w:left w:val="single" w:sz="4" w:space="0" w:color="auto"/>
              <w:bottom w:val="single" w:sz="4" w:space="0" w:color="auto"/>
              <w:right w:val="single" w:sz="4" w:space="0" w:color="auto"/>
            </w:tcBorders>
          </w:tcPr>
          <w:p w:rsidR="00CA682E" w:rsidRPr="00CA682E" w:rsidRDefault="00CA682E" w:rsidP="00CA682E">
            <w:pPr>
              <w:autoSpaceDE w:val="0"/>
              <w:autoSpaceDN w:val="0"/>
              <w:adjustRightInd w:val="0"/>
              <w:spacing w:before="40" w:after="40"/>
              <w:jc w:val="center"/>
              <w:rPr>
                <w:rFonts w:eastAsia="Times New Roman" w:cs="Times New Roman"/>
                <w:noProof/>
                <w:color w:val="000000" w:themeColor="text1"/>
                <w:sz w:val="16"/>
                <w:szCs w:val="16"/>
                <w:lang w:eastAsia="en-US"/>
              </w:rPr>
            </w:pPr>
            <w:r w:rsidRPr="00CA682E">
              <w:rPr>
                <w:rFonts w:eastAsia="Times New Roman" w:cs="Times New Roman"/>
                <w:noProof/>
                <w:color w:val="000000" w:themeColor="text1"/>
                <w:sz w:val="16"/>
                <w:szCs w:val="16"/>
                <w:lang w:eastAsia="en-US"/>
              </w:rPr>
              <w:t>0%</w:t>
            </w:r>
          </w:p>
        </w:tc>
      </w:tr>
      <w:tr w:rsidR="00CA682E" w:rsidRPr="00CA682E" w:rsidTr="007B1DE4">
        <w:tc>
          <w:tcPr>
            <w:tcW w:w="1820"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autoSpaceDE w:val="0"/>
              <w:autoSpaceDN w:val="0"/>
              <w:adjustRightInd w:val="0"/>
              <w:spacing w:before="40" w:after="40"/>
              <w:rPr>
                <w:rFonts w:eastAsia="Times New Roman" w:cs="Times New Roman"/>
                <w:noProof/>
                <w:color w:val="000000" w:themeColor="text1"/>
                <w:sz w:val="16"/>
                <w:szCs w:val="16"/>
                <w:lang w:eastAsia="en-US"/>
              </w:rPr>
            </w:pPr>
            <w:r w:rsidRPr="00CA682E">
              <w:rPr>
                <w:rFonts w:eastAsia="Times New Roman" w:cs="Times New Roman"/>
                <w:noProof/>
                <w:color w:val="000000" w:themeColor="text1"/>
                <w:sz w:val="16"/>
                <w:szCs w:val="16"/>
                <w:lang w:eastAsia="en-US"/>
              </w:rPr>
              <w:t>Honorarios</w:t>
            </w:r>
          </w:p>
        </w:tc>
        <w:tc>
          <w:tcPr>
            <w:tcW w:w="1030"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autoSpaceDE w:val="0"/>
              <w:autoSpaceDN w:val="0"/>
              <w:adjustRightInd w:val="0"/>
              <w:spacing w:before="40" w:after="40"/>
              <w:jc w:val="center"/>
              <w:rPr>
                <w:rFonts w:eastAsia="Times New Roman" w:cs="Times New Roman"/>
                <w:noProof/>
                <w:color w:val="000000" w:themeColor="text1"/>
                <w:sz w:val="16"/>
                <w:szCs w:val="16"/>
                <w:lang w:eastAsia="en-US"/>
              </w:rPr>
            </w:pPr>
            <w:r w:rsidRPr="00CA682E">
              <w:rPr>
                <w:rFonts w:eastAsia="Times New Roman" w:cs="Times New Roman"/>
                <w:noProof/>
                <w:color w:val="000000" w:themeColor="text1"/>
                <w:sz w:val="16"/>
                <w:szCs w:val="16"/>
                <w:lang w:eastAsia="en-US"/>
              </w:rPr>
              <w:t>144.000</w:t>
            </w:r>
          </w:p>
        </w:tc>
        <w:tc>
          <w:tcPr>
            <w:tcW w:w="1030"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spacing w:before="40" w:after="40"/>
              <w:jc w:val="center"/>
              <w:rPr>
                <w:rFonts w:eastAsia="Times New Roman" w:cs="Times New Roman"/>
                <w:noProof/>
                <w:color w:val="000000" w:themeColor="text1"/>
                <w:sz w:val="16"/>
                <w:szCs w:val="16"/>
                <w:lang w:eastAsia="en-US"/>
              </w:rPr>
            </w:pPr>
            <w:r w:rsidRPr="00CA682E">
              <w:rPr>
                <w:rFonts w:eastAsia="Times New Roman" w:cs="Times New Roman"/>
                <w:noProof/>
                <w:color w:val="000000" w:themeColor="text1"/>
                <w:sz w:val="16"/>
                <w:szCs w:val="16"/>
                <w:lang w:eastAsia="en-US"/>
              </w:rPr>
              <w:t>5.000</w:t>
            </w:r>
            <w:r w:rsidRPr="00CA682E">
              <w:rPr>
                <w:rFonts w:eastAsia="Times New Roman" w:cs="Times New Roman"/>
                <w:noProof/>
                <w:color w:val="000000" w:themeColor="text1"/>
                <w:sz w:val="16"/>
                <w:szCs w:val="16"/>
                <w:vertAlign w:val="superscript"/>
                <w:lang w:eastAsia="en-US"/>
              </w:rPr>
              <w:footnoteReference w:id="180"/>
            </w:r>
          </w:p>
        </w:tc>
        <w:tc>
          <w:tcPr>
            <w:tcW w:w="1120"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spacing w:before="40" w:after="40"/>
              <w:jc w:val="center"/>
              <w:rPr>
                <w:rFonts w:eastAsia="Times New Roman" w:cs="Times New Roman"/>
                <w:noProof/>
                <w:color w:val="000000" w:themeColor="text1"/>
                <w:sz w:val="16"/>
                <w:szCs w:val="16"/>
                <w:lang w:eastAsia="en-US"/>
              </w:rPr>
            </w:pPr>
            <w:r w:rsidRPr="00CA682E">
              <w:rPr>
                <w:rFonts w:eastAsia="Times New Roman" w:cs="Times New Roman"/>
                <w:noProof/>
                <w:color w:val="000000" w:themeColor="text1"/>
                <w:sz w:val="16"/>
                <w:szCs w:val="16"/>
                <w:lang w:eastAsia="en-US"/>
              </w:rPr>
              <w:t>3,5%</w:t>
            </w:r>
          </w:p>
        </w:tc>
      </w:tr>
      <w:tr w:rsidR="00CA682E" w:rsidRPr="00CA682E" w:rsidTr="007B1DE4">
        <w:tc>
          <w:tcPr>
            <w:tcW w:w="1820"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autoSpaceDE w:val="0"/>
              <w:autoSpaceDN w:val="0"/>
              <w:adjustRightInd w:val="0"/>
              <w:spacing w:before="40" w:after="40"/>
              <w:rPr>
                <w:rFonts w:eastAsia="Times New Roman" w:cs="Times New Roman"/>
                <w:noProof/>
                <w:color w:val="000000" w:themeColor="text1"/>
                <w:sz w:val="16"/>
                <w:szCs w:val="16"/>
                <w:lang w:eastAsia="en-US"/>
              </w:rPr>
            </w:pPr>
            <w:r w:rsidRPr="00CA682E">
              <w:rPr>
                <w:rFonts w:eastAsia="Times New Roman" w:cs="Times New Roman"/>
                <w:noProof/>
                <w:color w:val="000000" w:themeColor="text1"/>
                <w:sz w:val="16"/>
                <w:szCs w:val="16"/>
                <w:lang w:eastAsia="en-US"/>
              </w:rPr>
              <w:t>Diversos e imprevistos</w:t>
            </w:r>
          </w:p>
        </w:tc>
        <w:tc>
          <w:tcPr>
            <w:tcW w:w="1030"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autoSpaceDE w:val="0"/>
              <w:autoSpaceDN w:val="0"/>
              <w:adjustRightInd w:val="0"/>
              <w:spacing w:before="40" w:after="40"/>
              <w:jc w:val="center"/>
              <w:rPr>
                <w:rFonts w:eastAsia="Times New Roman" w:cs="Times New Roman"/>
                <w:noProof/>
                <w:color w:val="000000" w:themeColor="text1"/>
                <w:sz w:val="16"/>
                <w:szCs w:val="16"/>
                <w:lang w:eastAsia="en-US"/>
              </w:rPr>
            </w:pPr>
            <w:r w:rsidRPr="00CA682E">
              <w:rPr>
                <w:rFonts w:eastAsia="Times New Roman" w:cs="Times New Roman"/>
                <w:noProof/>
                <w:color w:val="000000" w:themeColor="text1"/>
                <w:sz w:val="16"/>
                <w:szCs w:val="16"/>
                <w:lang w:eastAsia="en-US"/>
              </w:rPr>
              <w:t>67.000</w:t>
            </w:r>
          </w:p>
        </w:tc>
        <w:tc>
          <w:tcPr>
            <w:tcW w:w="1030"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spacing w:before="40" w:after="40"/>
              <w:jc w:val="center"/>
              <w:rPr>
                <w:rFonts w:eastAsia="Times New Roman" w:cs="Times New Roman"/>
                <w:noProof/>
                <w:color w:val="000000" w:themeColor="text1"/>
                <w:sz w:val="16"/>
                <w:szCs w:val="16"/>
                <w:lang w:eastAsia="en-US"/>
              </w:rPr>
            </w:pPr>
            <w:r w:rsidRPr="00CA682E">
              <w:rPr>
                <w:rFonts w:eastAsia="Times New Roman" w:cs="Times New Roman"/>
                <w:noProof/>
                <w:color w:val="000000" w:themeColor="text1"/>
                <w:sz w:val="16"/>
                <w:szCs w:val="16"/>
                <w:lang w:eastAsia="en-US"/>
              </w:rPr>
              <w:t>0</w:t>
            </w:r>
          </w:p>
        </w:tc>
        <w:tc>
          <w:tcPr>
            <w:tcW w:w="1120"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spacing w:before="40" w:after="40"/>
              <w:jc w:val="center"/>
              <w:rPr>
                <w:rFonts w:eastAsia="Times New Roman" w:cs="Times New Roman"/>
                <w:noProof/>
                <w:color w:val="000000" w:themeColor="text1"/>
                <w:sz w:val="16"/>
                <w:szCs w:val="16"/>
                <w:lang w:eastAsia="en-US"/>
              </w:rPr>
            </w:pPr>
            <w:r w:rsidRPr="00CA682E">
              <w:rPr>
                <w:rFonts w:eastAsia="Times New Roman" w:cs="Times New Roman"/>
                <w:noProof/>
                <w:color w:val="000000" w:themeColor="text1"/>
                <w:sz w:val="16"/>
                <w:szCs w:val="16"/>
                <w:lang w:eastAsia="en-US"/>
              </w:rPr>
              <w:t>0%</w:t>
            </w:r>
          </w:p>
        </w:tc>
      </w:tr>
      <w:tr w:rsidR="00CA682E" w:rsidRPr="00CA682E" w:rsidTr="007B1DE4">
        <w:tc>
          <w:tcPr>
            <w:tcW w:w="182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autoSpaceDE w:val="0"/>
              <w:autoSpaceDN w:val="0"/>
              <w:adjustRightInd w:val="0"/>
              <w:spacing w:before="40" w:after="40"/>
              <w:rPr>
                <w:rFonts w:eastAsia="Times New Roman" w:cs="Times New Roman"/>
                <w:b/>
                <w:noProof/>
                <w:color w:val="000000" w:themeColor="text1"/>
                <w:sz w:val="16"/>
                <w:szCs w:val="16"/>
                <w:lang w:eastAsia="en-US"/>
              </w:rPr>
            </w:pPr>
            <w:r w:rsidRPr="00CA682E">
              <w:rPr>
                <w:rFonts w:eastAsia="Times New Roman" w:cs="Times New Roman"/>
                <w:b/>
                <w:noProof/>
                <w:color w:val="000000" w:themeColor="text1"/>
                <w:sz w:val="16"/>
                <w:szCs w:val="16"/>
                <w:lang w:eastAsia="en-US"/>
              </w:rPr>
              <w:t>Total</w:t>
            </w:r>
          </w:p>
        </w:tc>
        <w:tc>
          <w:tcPr>
            <w:tcW w:w="103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autoSpaceDE w:val="0"/>
              <w:autoSpaceDN w:val="0"/>
              <w:adjustRightInd w:val="0"/>
              <w:spacing w:before="40" w:after="40"/>
              <w:jc w:val="center"/>
              <w:rPr>
                <w:rFonts w:eastAsia="Times New Roman" w:cs="Times New Roman"/>
                <w:b/>
                <w:noProof/>
                <w:color w:val="000000" w:themeColor="text1"/>
                <w:sz w:val="16"/>
                <w:szCs w:val="16"/>
                <w:lang w:eastAsia="en-US"/>
              </w:rPr>
            </w:pPr>
            <w:r w:rsidRPr="00CA682E">
              <w:rPr>
                <w:rFonts w:eastAsia="Times New Roman" w:cs="Times New Roman"/>
                <w:b/>
                <w:noProof/>
                <w:color w:val="000000" w:themeColor="text1"/>
                <w:sz w:val="16"/>
                <w:szCs w:val="16"/>
                <w:lang w:eastAsia="en-US"/>
              </w:rPr>
              <w:t>960.000</w:t>
            </w:r>
          </w:p>
        </w:tc>
        <w:tc>
          <w:tcPr>
            <w:tcW w:w="1030"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CA682E" w:rsidRPr="00CA682E" w:rsidRDefault="00CA682E" w:rsidP="00CA682E">
            <w:pPr>
              <w:autoSpaceDE w:val="0"/>
              <w:autoSpaceDN w:val="0"/>
              <w:adjustRightInd w:val="0"/>
              <w:spacing w:before="40" w:after="40"/>
              <w:jc w:val="center"/>
              <w:rPr>
                <w:rFonts w:eastAsia="Times New Roman" w:cs="Times New Roman"/>
                <w:b/>
                <w:noProof/>
                <w:color w:val="000000" w:themeColor="text1"/>
                <w:sz w:val="16"/>
                <w:szCs w:val="16"/>
                <w:lang w:eastAsia="en-US"/>
              </w:rPr>
            </w:pPr>
            <w:r w:rsidRPr="00CA682E">
              <w:rPr>
                <w:rFonts w:eastAsia="Times New Roman" w:cs="Times New Roman"/>
                <w:b/>
                <w:noProof/>
                <w:color w:val="000000" w:themeColor="text1"/>
                <w:sz w:val="16"/>
                <w:szCs w:val="16"/>
                <w:lang w:eastAsia="en-US"/>
              </w:rPr>
              <w:t>5.000</w:t>
            </w:r>
          </w:p>
        </w:tc>
        <w:tc>
          <w:tcPr>
            <w:tcW w:w="1120"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CA682E" w:rsidRPr="00CA682E" w:rsidRDefault="00CA682E" w:rsidP="00CA682E">
            <w:pPr>
              <w:autoSpaceDE w:val="0"/>
              <w:autoSpaceDN w:val="0"/>
              <w:adjustRightInd w:val="0"/>
              <w:spacing w:before="40" w:after="40"/>
              <w:jc w:val="center"/>
              <w:rPr>
                <w:rFonts w:eastAsia="Times New Roman" w:cs="Times New Roman"/>
                <w:b/>
                <w:noProof/>
                <w:color w:val="000000" w:themeColor="text1"/>
                <w:sz w:val="16"/>
                <w:szCs w:val="16"/>
                <w:lang w:eastAsia="en-US"/>
              </w:rPr>
            </w:pPr>
            <w:r w:rsidRPr="00CA682E">
              <w:rPr>
                <w:rFonts w:eastAsia="Times New Roman" w:cs="Times New Roman"/>
                <w:b/>
                <w:noProof/>
                <w:color w:val="000000" w:themeColor="text1"/>
                <w:sz w:val="16"/>
                <w:szCs w:val="16"/>
                <w:lang w:eastAsia="en-US"/>
              </w:rPr>
              <w:t>0,5%</w:t>
            </w:r>
          </w:p>
        </w:tc>
      </w:tr>
    </w:tbl>
    <w:p w:rsidR="00CA682E" w:rsidRPr="00CA682E" w:rsidRDefault="00CA682E" w:rsidP="00CA682E">
      <w:pPr>
        <w:rPr>
          <w:rFonts w:eastAsia="Times New Roman"/>
          <w:noProof/>
          <w:color w:val="000000" w:themeColor="text1"/>
          <w:sz w:val="20"/>
          <w:szCs w:val="22"/>
          <w:lang w:eastAsia="en-US"/>
        </w:rPr>
      </w:pPr>
    </w:p>
    <w:p w:rsidR="00CA682E" w:rsidRPr="00CA682E" w:rsidRDefault="00CA682E" w:rsidP="00CA682E">
      <w:pPr>
        <w:rPr>
          <w:rFonts w:eastAsia="Times New Roman"/>
          <w:noProof/>
          <w:color w:val="000000" w:themeColor="text1"/>
          <w:sz w:val="20"/>
          <w:szCs w:val="22"/>
          <w:lang w:eastAsia="en-US"/>
        </w:rPr>
      </w:pPr>
    </w:p>
    <w:p w:rsidR="00CA682E" w:rsidRPr="00CA682E" w:rsidRDefault="00CA682E" w:rsidP="00CA682E">
      <w:pPr>
        <w:rPr>
          <w:rFonts w:eastAsia="Times New Roman"/>
          <w:noProof/>
          <w:color w:val="000000" w:themeColor="text1"/>
          <w:sz w:val="20"/>
          <w:szCs w:val="22"/>
          <w:lang w:eastAsia="en-US"/>
        </w:rPr>
      </w:pPr>
      <w:r w:rsidRPr="00CA682E">
        <w:rPr>
          <w:rFonts w:eastAsia="Times New Roman"/>
          <w:noProof/>
          <w:color w:val="000000" w:themeColor="text1"/>
          <w:sz w:val="20"/>
          <w:szCs w:val="22"/>
          <w:lang w:eastAsia="en-US"/>
        </w:rPr>
        <w:t>RIESGOS Y ESTRATEGIAS DE MITIGACIÓN</w:t>
      </w:r>
    </w:p>
    <w:p w:rsidR="00CA682E" w:rsidRPr="00CA682E" w:rsidRDefault="00CA682E" w:rsidP="00CA682E">
      <w:pPr>
        <w:rPr>
          <w:rFonts w:eastAsia="Times New Roman"/>
          <w:noProof/>
          <w:color w:val="000000" w:themeColor="text1"/>
          <w:sz w:val="20"/>
          <w:szCs w:val="22"/>
          <w:lang w:eastAsia="en-US"/>
        </w:rPr>
      </w:pPr>
    </w:p>
    <w:tbl>
      <w:tblPr>
        <w:tblW w:w="48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1"/>
        <w:gridCol w:w="3072"/>
        <w:gridCol w:w="3070"/>
      </w:tblGrid>
      <w:tr w:rsidR="00CA682E" w:rsidRPr="00CA682E" w:rsidTr="007B1DE4">
        <w:trPr>
          <w:trHeight w:val="445"/>
          <w:tblHeader/>
          <w:jc w:val="center"/>
        </w:trPr>
        <w:tc>
          <w:tcPr>
            <w:tcW w:w="1667" w:type="pct"/>
            <w:shd w:val="clear" w:color="auto" w:fill="C6D9F1" w:themeFill="text2" w:themeFillTint="33"/>
            <w:vAlign w:val="center"/>
          </w:tcPr>
          <w:p w:rsidR="00CA682E" w:rsidRPr="00CA682E" w:rsidRDefault="00CA682E" w:rsidP="00CA682E">
            <w:pPr>
              <w:autoSpaceDE w:val="0"/>
              <w:autoSpaceDN w:val="0"/>
              <w:adjustRightInd w:val="0"/>
              <w:spacing w:before="40" w:after="40" w:line="260" w:lineRule="exact"/>
              <w:ind w:left="-74" w:right="-60"/>
              <w:jc w:val="center"/>
              <w:rPr>
                <w:rFonts w:eastAsia="Times New Roman" w:cs="Times New Roman"/>
                <w:b/>
                <w:bCs/>
                <w:noProof/>
                <w:color w:val="000000" w:themeColor="text1"/>
                <w:sz w:val="16"/>
                <w:szCs w:val="16"/>
                <w:lang w:eastAsia="en-US"/>
              </w:rPr>
            </w:pPr>
            <w:r w:rsidRPr="00CA682E">
              <w:rPr>
                <w:rFonts w:eastAsia="Times New Roman" w:cs="Times New Roman"/>
                <w:b/>
                <w:bCs/>
                <w:noProof/>
                <w:color w:val="000000" w:themeColor="text1"/>
                <w:sz w:val="16"/>
                <w:szCs w:val="16"/>
                <w:lang w:eastAsia="en-US"/>
              </w:rPr>
              <w:t>Riesgo /Descripción del riesgo</w:t>
            </w:r>
          </w:p>
        </w:tc>
        <w:tc>
          <w:tcPr>
            <w:tcW w:w="1667" w:type="pct"/>
            <w:shd w:val="clear" w:color="auto" w:fill="C6D9F1" w:themeFill="text2" w:themeFillTint="33"/>
            <w:vAlign w:val="center"/>
          </w:tcPr>
          <w:p w:rsidR="00CA682E" w:rsidRPr="00CA682E" w:rsidRDefault="00CA682E" w:rsidP="00CA682E">
            <w:pPr>
              <w:autoSpaceDE w:val="0"/>
              <w:autoSpaceDN w:val="0"/>
              <w:adjustRightInd w:val="0"/>
              <w:spacing w:before="40" w:after="40" w:line="260" w:lineRule="exact"/>
              <w:ind w:left="-107" w:right="-108"/>
              <w:jc w:val="center"/>
              <w:rPr>
                <w:rFonts w:eastAsia="Times New Roman" w:cs="Times New Roman"/>
                <w:b/>
                <w:bCs/>
                <w:noProof/>
                <w:color w:val="000000" w:themeColor="text1"/>
                <w:sz w:val="16"/>
                <w:szCs w:val="16"/>
                <w:lang w:eastAsia="en-US"/>
              </w:rPr>
            </w:pPr>
            <w:r w:rsidRPr="00CA682E">
              <w:rPr>
                <w:rFonts w:eastAsia="Times New Roman" w:cs="Times New Roman"/>
                <w:b/>
                <w:bCs/>
                <w:noProof/>
                <w:color w:val="000000" w:themeColor="text1"/>
                <w:sz w:val="16"/>
                <w:szCs w:val="16"/>
                <w:lang w:eastAsia="en-US"/>
              </w:rPr>
              <w:t>Mitigación del riesgo</w:t>
            </w:r>
            <w:r w:rsidRPr="00CA682E" w:rsidDel="003965B5">
              <w:rPr>
                <w:rFonts w:eastAsia="Times New Roman" w:cs="Times New Roman"/>
                <w:b/>
                <w:bCs/>
                <w:noProof/>
                <w:color w:val="000000" w:themeColor="text1"/>
                <w:sz w:val="16"/>
                <w:szCs w:val="16"/>
                <w:lang w:eastAsia="en-US"/>
              </w:rPr>
              <w:t xml:space="preserve"> </w:t>
            </w:r>
          </w:p>
        </w:tc>
        <w:tc>
          <w:tcPr>
            <w:tcW w:w="1666" w:type="pct"/>
            <w:shd w:val="clear" w:color="auto" w:fill="C6D9F1" w:themeFill="text2" w:themeFillTint="33"/>
            <w:vAlign w:val="center"/>
          </w:tcPr>
          <w:p w:rsidR="00CA682E" w:rsidRPr="00CA682E" w:rsidRDefault="00CA682E" w:rsidP="00CA682E">
            <w:pPr>
              <w:autoSpaceDE w:val="0"/>
              <w:autoSpaceDN w:val="0"/>
              <w:adjustRightInd w:val="0"/>
              <w:spacing w:before="40" w:after="40" w:line="260" w:lineRule="exact"/>
              <w:ind w:left="-109"/>
              <w:jc w:val="center"/>
              <w:rPr>
                <w:rFonts w:eastAsia="Times New Roman" w:cs="Times New Roman"/>
                <w:b/>
                <w:bCs/>
                <w:noProof/>
                <w:color w:val="000000" w:themeColor="text1"/>
                <w:sz w:val="16"/>
                <w:szCs w:val="16"/>
                <w:lang w:eastAsia="en-US"/>
              </w:rPr>
            </w:pPr>
            <w:r w:rsidRPr="00CA682E">
              <w:rPr>
                <w:rFonts w:eastAsia="Times New Roman" w:cs="Times New Roman"/>
                <w:b/>
                <w:bCs/>
                <w:noProof/>
                <w:color w:val="000000" w:themeColor="text1"/>
                <w:sz w:val="16"/>
                <w:szCs w:val="16"/>
                <w:lang w:eastAsia="en-US"/>
              </w:rPr>
              <w:t>Comentario</w:t>
            </w:r>
          </w:p>
        </w:tc>
      </w:tr>
      <w:tr w:rsidR="00CA682E" w:rsidRPr="00CA682E" w:rsidTr="007B1DE4">
        <w:trPr>
          <w:trHeight w:val="411"/>
          <w:jc w:val="center"/>
        </w:trPr>
        <w:tc>
          <w:tcPr>
            <w:tcW w:w="1667" w:type="pct"/>
            <w:shd w:val="clear" w:color="auto" w:fill="auto"/>
          </w:tcPr>
          <w:p w:rsidR="00CA682E" w:rsidRPr="00CA682E" w:rsidRDefault="00CA682E" w:rsidP="00CA682E">
            <w:pPr>
              <w:autoSpaceDE w:val="0"/>
              <w:autoSpaceDN w:val="0"/>
              <w:adjustRightInd w:val="0"/>
              <w:spacing w:before="40" w:after="40"/>
              <w:rPr>
                <w:rFonts w:eastAsia="Times New Roman" w:cs="Times New Roman"/>
                <w:noProof/>
                <w:color w:val="000000" w:themeColor="text1"/>
                <w:sz w:val="16"/>
                <w:szCs w:val="16"/>
                <w:lang w:eastAsia="en-US"/>
              </w:rPr>
            </w:pPr>
            <w:r w:rsidRPr="00CA682E">
              <w:rPr>
                <w:rFonts w:eastAsia="Times New Roman" w:cs="Times New Roman"/>
                <w:noProof/>
                <w:color w:val="000000" w:themeColor="text1"/>
                <w:sz w:val="16"/>
                <w:szCs w:val="16"/>
                <w:lang w:eastAsia="en-US"/>
              </w:rPr>
              <w:t xml:space="preserve">Proyecto aplazado entre seis meses  y un año debido al retraso en la finalización de la nueva sala de </w:t>
            </w:r>
            <w:r w:rsidRPr="00CA682E">
              <w:rPr>
                <w:rFonts w:eastAsia="Times New Roman" w:cs="Times New Roman"/>
                <w:noProof/>
                <w:color w:val="000000" w:themeColor="text1"/>
                <w:sz w:val="16"/>
                <w:szCs w:val="16"/>
                <w:lang w:eastAsia="en-US"/>
              </w:rPr>
              <w:lastRenderedPageBreak/>
              <w:t>conferencias de la OMPI</w:t>
            </w:r>
          </w:p>
          <w:p w:rsidR="00CA682E" w:rsidRPr="00CA682E" w:rsidRDefault="00CA682E" w:rsidP="00CA682E">
            <w:pPr>
              <w:autoSpaceDE w:val="0"/>
              <w:autoSpaceDN w:val="0"/>
              <w:adjustRightInd w:val="0"/>
              <w:spacing w:before="40" w:after="40"/>
              <w:rPr>
                <w:rFonts w:eastAsia="Times New Roman" w:cs="Times New Roman"/>
                <w:noProof/>
                <w:color w:val="000000" w:themeColor="text1"/>
                <w:sz w:val="16"/>
                <w:szCs w:val="16"/>
                <w:lang w:eastAsia="en-US"/>
              </w:rPr>
            </w:pPr>
          </w:p>
        </w:tc>
        <w:tc>
          <w:tcPr>
            <w:tcW w:w="1667" w:type="pct"/>
            <w:shd w:val="clear" w:color="auto" w:fill="auto"/>
          </w:tcPr>
          <w:p w:rsidR="00CA682E" w:rsidRPr="00CA682E" w:rsidRDefault="00CA682E" w:rsidP="00CA682E">
            <w:pPr>
              <w:autoSpaceDE w:val="0"/>
              <w:autoSpaceDN w:val="0"/>
              <w:adjustRightInd w:val="0"/>
              <w:spacing w:before="40" w:after="40"/>
              <w:rPr>
                <w:rFonts w:eastAsia="Times New Roman" w:cs="Times New Roman"/>
                <w:noProof/>
                <w:color w:val="000000" w:themeColor="text1"/>
                <w:sz w:val="16"/>
                <w:szCs w:val="16"/>
                <w:lang w:eastAsia="en-US"/>
              </w:rPr>
            </w:pPr>
            <w:r w:rsidRPr="00CA682E">
              <w:rPr>
                <w:rFonts w:eastAsia="Times New Roman" w:cs="Times New Roman"/>
                <w:noProof/>
                <w:color w:val="000000" w:themeColor="text1"/>
                <w:sz w:val="16"/>
                <w:szCs w:val="16"/>
                <w:lang w:eastAsia="en-US"/>
              </w:rPr>
              <w:lastRenderedPageBreak/>
              <w:t>Ajustar el calendario para tener en cuenta la demora.</w:t>
            </w:r>
          </w:p>
        </w:tc>
        <w:tc>
          <w:tcPr>
            <w:tcW w:w="1666" w:type="pct"/>
            <w:shd w:val="clear" w:color="auto" w:fill="auto"/>
          </w:tcPr>
          <w:p w:rsidR="00CA682E" w:rsidRPr="00CA682E" w:rsidRDefault="00CA682E" w:rsidP="00CA682E">
            <w:pPr>
              <w:autoSpaceDE w:val="0"/>
              <w:autoSpaceDN w:val="0"/>
              <w:adjustRightInd w:val="0"/>
              <w:spacing w:before="40" w:after="40"/>
              <w:rPr>
                <w:rFonts w:eastAsia="Times New Roman" w:cs="Times New Roman"/>
                <w:noProof/>
                <w:color w:val="000000" w:themeColor="text1"/>
                <w:sz w:val="16"/>
                <w:szCs w:val="16"/>
                <w:lang w:eastAsia="en-US"/>
              </w:rPr>
            </w:pPr>
            <w:r w:rsidRPr="00CA682E">
              <w:rPr>
                <w:rFonts w:eastAsia="Times New Roman" w:cs="Times New Roman"/>
                <w:color w:val="000000" w:themeColor="text1"/>
                <w:sz w:val="16"/>
                <w:szCs w:val="16"/>
                <w:lang w:eastAsia="en-US"/>
              </w:rPr>
              <w:t xml:space="preserve">El riesgo se materializó.  El calendario general del proyecto se alargó seis meses en relación con el plan original.  Se ajustó el plazo del proyecto </w:t>
            </w:r>
            <w:r w:rsidRPr="00CA682E">
              <w:rPr>
                <w:rFonts w:eastAsia="Times New Roman" w:cs="Times New Roman"/>
                <w:color w:val="000000" w:themeColor="text1"/>
                <w:sz w:val="16"/>
                <w:szCs w:val="16"/>
                <w:lang w:eastAsia="en-US"/>
              </w:rPr>
              <w:lastRenderedPageBreak/>
              <w:t>conforme a la medida prevista para mitigar el riesgo.  No hubo incidencia tangible en los aportes concretos del proyecto</w:t>
            </w:r>
          </w:p>
        </w:tc>
      </w:tr>
      <w:tr w:rsidR="00CA682E" w:rsidRPr="00CA682E" w:rsidTr="007B1DE4">
        <w:trPr>
          <w:trHeight w:val="776"/>
          <w:jc w:val="center"/>
        </w:trPr>
        <w:tc>
          <w:tcPr>
            <w:tcW w:w="1667" w:type="pct"/>
            <w:shd w:val="clear" w:color="auto" w:fill="auto"/>
          </w:tcPr>
          <w:p w:rsidR="00CA682E" w:rsidRPr="00CA682E" w:rsidRDefault="00CA682E" w:rsidP="00CA682E">
            <w:pPr>
              <w:autoSpaceDE w:val="0"/>
              <w:autoSpaceDN w:val="0"/>
              <w:adjustRightInd w:val="0"/>
              <w:spacing w:before="40" w:after="40"/>
              <w:rPr>
                <w:rFonts w:eastAsia="Times New Roman" w:cs="Times New Roman"/>
                <w:noProof/>
                <w:color w:val="000000" w:themeColor="text1"/>
                <w:sz w:val="16"/>
                <w:szCs w:val="16"/>
                <w:lang w:eastAsia="en-US"/>
              </w:rPr>
            </w:pPr>
            <w:r w:rsidRPr="00CA682E">
              <w:rPr>
                <w:rFonts w:eastAsia="Times New Roman" w:cs="Times New Roman"/>
                <w:noProof/>
                <w:color w:val="000000" w:themeColor="text1"/>
                <w:sz w:val="16"/>
                <w:szCs w:val="16"/>
                <w:lang w:eastAsia="en-US"/>
              </w:rPr>
              <w:lastRenderedPageBreak/>
              <w:t>Demora en el inicio de las obras por la incertidumbre en relación con las decisiones internas en lo tocante a las opciones para la instalación de las máquinas y del personal en la sala prevista para la imprenta que aseguren una mejor utilización del espacio disponible por las unidades en cuestión</w:t>
            </w:r>
          </w:p>
        </w:tc>
        <w:tc>
          <w:tcPr>
            <w:tcW w:w="1667" w:type="pct"/>
            <w:shd w:val="clear" w:color="auto" w:fill="auto"/>
          </w:tcPr>
          <w:p w:rsidR="00CA682E" w:rsidRPr="00CA682E" w:rsidRDefault="00CA682E" w:rsidP="00CA682E">
            <w:pPr>
              <w:autoSpaceDE w:val="0"/>
              <w:autoSpaceDN w:val="0"/>
              <w:adjustRightInd w:val="0"/>
              <w:spacing w:before="40" w:after="40"/>
              <w:rPr>
                <w:rFonts w:eastAsia="Times New Roman" w:cs="Times New Roman"/>
                <w:noProof/>
                <w:color w:val="000000" w:themeColor="text1"/>
                <w:sz w:val="16"/>
                <w:szCs w:val="16"/>
                <w:lang w:eastAsia="en-US"/>
              </w:rPr>
            </w:pPr>
            <w:r w:rsidRPr="00CA682E">
              <w:rPr>
                <w:rFonts w:eastAsia="Times New Roman" w:cs="Times New Roman"/>
                <w:noProof/>
                <w:color w:val="000000" w:themeColor="text1"/>
                <w:sz w:val="16"/>
                <w:szCs w:val="16"/>
                <w:lang w:eastAsia="en-US"/>
              </w:rPr>
              <w:t>Determinar la superficie necesaria para evaluar mejor las necesidades.</w:t>
            </w:r>
          </w:p>
        </w:tc>
        <w:tc>
          <w:tcPr>
            <w:tcW w:w="1666" w:type="pct"/>
            <w:shd w:val="clear" w:color="auto" w:fill="auto"/>
          </w:tcPr>
          <w:p w:rsidR="00CA682E" w:rsidRPr="00CA682E" w:rsidRDefault="00CA682E" w:rsidP="00CA682E">
            <w:pPr>
              <w:autoSpaceDE w:val="0"/>
              <w:autoSpaceDN w:val="0"/>
              <w:adjustRightInd w:val="0"/>
              <w:spacing w:before="40" w:after="40"/>
              <w:rPr>
                <w:rFonts w:eastAsia="Times New Roman" w:cs="Times New Roman"/>
                <w:noProof/>
                <w:color w:val="000000" w:themeColor="text1"/>
                <w:sz w:val="16"/>
                <w:szCs w:val="16"/>
                <w:lang w:eastAsia="en-US"/>
              </w:rPr>
            </w:pPr>
            <w:r w:rsidRPr="00CA682E">
              <w:rPr>
                <w:rFonts w:eastAsia="Times New Roman" w:cs="Times New Roman"/>
                <w:color w:val="000000" w:themeColor="text1"/>
                <w:sz w:val="16"/>
                <w:szCs w:val="16"/>
                <w:lang w:eastAsia="en-US"/>
              </w:rPr>
              <w:t>El riesgo se materializó en 2015, e indujo nuevas demoras en la ejecución del proyecto.  Al final del año estaba finalizando el examen de la superficie necesaria, conforme a la medida prevista para mitigar el riesgo.  Se ha modificado nuevamente el calendario del proyecto</w:t>
            </w:r>
          </w:p>
        </w:tc>
      </w:tr>
      <w:tr w:rsidR="00CA682E" w:rsidRPr="00CA682E" w:rsidTr="007B1DE4">
        <w:trPr>
          <w:trHeight w:val="776"/>
          <w:jc w:val="center"/>
        </w:trPr>
        <w:tc>
          <w:tcPr>
            <w:tcW w:w="1667" w:type="pct"/>
            <w:shd w:val="clear" w:color="auto" w:fill="auto"/>
          </w:tcPr>
          <w:p w:rsidR="00CA682E" w:rsidRPr="00CA682E" w:rsidRDefault="00CA682E" w:rsidP="00CA682E">
            <w:pPr>
              <w:autoSpaceDE w:val="0"/>
              <w:autoSpaceDN w:val="0"/>
              <w:adjustRightInd w:val="0"/>
              <w:spacing w:before="40" w:after="40"/>
              <w:rPr>
                <w:rFonts w:eastAsia="Times New Roman" w:cs="Times New Roman"/>
                <w:noProof/>
                <w:color w:val="000000" w:themeColor="text1"/>
                <w:sz w:val="16"/>
                <w:szCs w:val="16"/>
                <w:lang w:eastAsia="en-US"/>
              </w:rPr>
            </w:pPr>
            <w:r w:rsidRPr="00CA682E">
              <w:rPr>
                <w:rFonts w:eastAsia="Times New Roman" w:cs="Times New Roman"/>
                <w:noProof/>
                <w:color w:val="000000" w:themeColor="text1"/>
                <w:sz w:val="16"/>
                <w:szCs w:val="16"/>
                <w:lang w:eastAsia="en-US"/>
              </w:rPr>
              <w:t>Demora en la finalización de las obras debido a un problema técnico detectado durante las obras de desmantelamiento de las instalaciones actuales o causado por ellas</w:t>
            </w:r>
          </w:p>
        </w:tc>
        <w:tc>
          <w:tcPr>
            <w:tcW w:w="1667" w:type="pct"/>
            <w:shd w:val="clear" w:color="auto" w:fill="auto"/>
          </w:tcPr>
          <w:p w:rsidR="00CA682E" w:rsidRPr="00CA682E" w:rsidRDefault="00CA682E" w:rsidP="00CA682E">
            <w:pPr>
              <w:autoSpaceDE w:val="0"/>
              <w:autoSpaceDN w:val="0"/>
              <w:adjustRightInd w:val="0"/>
              <w:spacing w:before="40" w:after="40"/>
              <w:rPr>
                <w:rFonts w:eastAsia="Times New Roman" w:cs="Times New Roman"/>
                <w:noProof/>
                <w:color w:val="000000" w:themeColor="text1"/>
                <w:sz w:val="16"/>
                <w:szCs w:val="16"/>
                <w:lang w:eastAsia="en-US"/>
              </w:rPr>
            </w:pPr>
            <w:r w:rsidRPr="00CA682E">
              <w:rPr>
                <w:rFonts w:eastAsia="Times New Roman" w:cs="Times New Roman"/>
                <w:noProof/>
                <w:color w:val="000000" w:themeColor="text1"/>
                <w:sz w:val="16"/>
                <w:szCs w:val="16"/>
                <w:lang w:eastAsia="en-US"/>
              </w:rPr>
              <w:t>Realizar las reparaciones necesarias y, de ser necesario, actualizar el calendario de las obras</w:t>
            </w:r>
          </w:p>
        </w:tc>
        <w:tc>
          <w:tcPr>
            <w:tcW w:w="1666" w:type="pct"/>
            <w:shd w:val="clear" w:color="auto" w:fill="auto"/>
          </w:tcPr>
          <w:p w:rsidR="00CA682E" w:rsidRPr="00CA682E" w:rsidRDefault="00CA682E" w:rsidP="00CA682E">
            <w:pPr>
              <w:autoSpaceDE w:val="0"/>
              <w:autoSpaceDN w:val="0"/>
              <w:adjustRightInd w:val="0"/>
              <w:spacing w:before="40" w:after="40"/>
              <w:rPr>
                <w:rFonts w:eastAsia="Times New Roman" w:cs="Times New Roman"/>
                <w:noProof/>
                <w:color w:val="000000" w:themeColor="text1"/>
                <w:sz w:val="16"/>
                <w:szCs w:val="16"/>
                <w:lang w:eastAsia="en-US"/>
              </w:rPr>
            </w:pPr>
          </w:p>
        </w:tc>
      </w:tr>
      <w:tr w:rsidR="00CA682E" w:rsidRPr="00CA682E" w:rsidTr="007B1DE4">
        <w:trPr>
          <w:trHeight w:val="776"/>
          <w:jc w:val="center"/>
        </w:trPr>
        <w:tc>
          <w:tcPr>
            <w:tcW w:w="1667" w:type="pct"/>
            <w:shd w:val="clear" w:color="auto" w:fill="auto"/>
          </w:tcPr>
          <w:p w:rsidR="00CA682E" w:rsidRPr="00CA682E" w:rsidRDefault="00CA682E" w:rsidP="00CA682E">
            <w:pPr>
              <w:autoSpaceDE w:val="0"/>
              <w:autoSpaceDN w:val="0"/>
              <w:adjustRightInd w:val="0"/>
              <w:spacing w:before="40" w:after="40"/>
              <w:rPr>
                <w:rFonts w:eastAsia="Times New Roman" w:cs="Times New Roman"/>
                <w:noProof/>
                <w:color w:val="000000" w:themeColor="text1"/>
                <w:sz w:val="16"/>
                <w:szCs w:val="16"/>
                <w:lang w:eastAsia="en-US"/>
              </w:rPr>
            </w:pPr>
            <w:r w:rsidRPr="00CA682E">
              <w:rPr>
                <w:rFonts w:eastAsia="Times New Roman" w:cs="Times New Roman"/>
                <w:noProof/>
                <w:color w:val="000000" w:themeColor="text1"/>
                <w:sz w:val="16"/>
                <w:szCs w:val="16"/>
                <w:lang w:eastAsia="en-US"/>
              </w:rPr>
              <w:t>Riesgo financiero como resultado de los c</w:t>
            </w:r>
            <w:proofErr w:type="spellStart"/>
            <w:r w:rsidRPr="00CA682E">
              <w:rPr>
                <w:rFonts w:eastAsia="Times New Roman" w:cs="Times New Roman"/>
                <w:color w:val="000000" w:themeColor="text1"/>
                <w:sz w:val="16"/>
                <w:szCs w:val="16"/>
                <w:lang w:eastAsia="en-US"/>
              </w:rPr>
              <w:t>ostos</w:t>
            </w:r>
            <w:proofErr w:type="spellEnd"/>
            <w:r w:rsidRPr="00CA682E">
              <w:rPr>
                <w:rFonts w:eastAsia="Times New Roman" w:cs="Times New Roman"/>
                <w:color w:val="000000" w:themeColor="text1"/>
                <w:sz w:val="16"/>
                <w:szCs w:val="16"/>
                <w:lang w:eastAsia="en-US"/>
              </w:rPr>
              <w:t xml:space="preserve"> derivados de la reubicación parcial y temporal del personal de la imprenta y la </w:t>
            </w:r>
            <w:proofErr w:type="gramStart"/>
            <w:r w:rsidRPr="00CA682E">
              <w:rPr>
                <w:rFonts w:eastAsia="Times New Roman" w:cs="Times New Roman"/>
                <w:color w:val="000000" w:themeColor="text1"/>
                <w:sz w:val="16"/>
                <w:szCs w:val="16"/>
                <w:lang w:eastAsia="en-US"/>
              </w:rPr>
              <w:t xml:space="preserve">documentación </w:t>
            </w:r>
            <w:r w:rsidRPr="00CA682E">
              <w:rPr>
                <w:rFonts w:eastAsia="Times New Roman" w:cs="Times New Roman"/>
                <w:noProof/>
                <w:color w:val="000000" w:themeColor="text1"/>
                <w:sz w:val="16"/>
                <w:szCs w:val="16"/>
                <w:lang w:eastAsia="en-US"/>
              </w:rPr>
              <w:t>.</w:t>
            </w:r>
            <w:proofErr w:type="gramEnd"/>
          </w:p>
        </w:tc>
        <w:tc>
          <w:tcPr>
            <w:tcW w:w="1667" w:type="pct"/>
            <w:shd w:val="clear" w:color="auto" w:fill="auto"/>
          </w:tcPr>
          <w:p w:rsidR="00CA682E" w:rsidRPr="00CA682E" w:rsidRDefault="00CA682E" w:rsidP="00CA682E">
            <w:pPr>
              <w:autoSpaceDE w:val="0"/>
              <w:autoSpaceDN w:val="0"/>
              <w:adjustRightInd w:val="0"/>
              <w:spacing w:before="40" w:after="40"/>
              <w:rPr>
                <w:rFonts w:eastAsia="Times New Roman" w:cs="Times New Roman"/>
                <w:noProof/>
                <w:color w:val="000000" w:themeColor="text1"/>
                <w:sz w:val="16"/>
                <w:szCs w:val="16"/>
                <w:lang w:eastAsia="en-US"/>
              </w:rPr>
            </w:pPr>
            <w:r w:rsidRPr="00CA682E">
              <w:rPr>
                <w:rFonts w:eastAsia="Times New Roman" w:cs="Times New Roman"/>
                <w:noProof/>
                <w:color w:val="000000" w:themeColor="text1"/>
                <w:sz w:val="16"/>
                <w:szCs w:val="16"/>
                <w:lang w:eastAsia="en-US"/>
              </w:rPr>
              <w:t>Utilizar la reserva para “gastos diversos e imprevistos” en el presupuesto aprobado</w:t>
            </w:r>
          </w:p>
        </w:tc>
        <w:tc>
          <w:tcPr>
            <w:tcW w:w="1666" w:type="pct"/>
            <w:shd w:val="clear" w:color="auto" w:fill="auto"/>
          </w:tcPr>
          <w:p w:rsidR="00CA682E" w:rsidRPr="00CA682E" w:rsidRDefault="00CA682E" w:rsidP="00CA682E">
            <w:pPr>
              <w:autoSpaceDE w:val="0"/>
              <w:autoSpaceDN w:val="0"/>
              <w:adjustRightInd w:val="0"/>
              <w:spacing w:before="40" w:after="40"/>
              <w:rPr>
                <w:rFonts w:eastAsia="Times New Roman" w:cs="Times New Roman"/>
                <w:noProof/>
                <w:color w:val="000000" w:themeColor="text1"/>
                <w:sz w:val="16"/>
                <w:szCs w:val="16"/>
                <w:lang w:eastAsia="en-US"/>
              </w:rPr>
            </w:pPr>
          </w:p>
        </w:tc>
      </w:tr>
    </w:tbl>
    <w:p w:rsidR="00CA682E" w:rsidRPr="00CA682E" w:rsidRDefault="00CA682E" w:rsidP="00CA682E">
      <w:pPr>
        <w:rPr>
          <w:rFonts w:eastAsia="Times New Roman"/>
          <w:noProof/>
          <w:color w:val="000000" w:themeColor="text1"/>
          <w:sz w:val="20"/>
          <w:szCs w:val="22"/>
          <w:lang w:eastAsia="en-US"/>
        </w:rPr>
      </w:pPr>
    </w:p>
    <w:p w:rsidR="00CA682E" w:rsidRPr="00CA682E" w:rsidRDefault="00CA682E" w:rsidP="00CA682E">
      <w:pPr>
        <w:rPr>
          <w:rFonts w:eastAsia="Times New Roman"/>
          <w:noProof/>
          <w:color w:val="000000" w:themeColor="text1"/>
          <w:sz w:val="20"/>
          <w:szCs w:val="22"/>
          <w:lang w:eastAsia="en-US"/>
        </w:rPr>
      </w:pPr>
    </w:p>
    <w:p w:rsidR="00CA682E" w:rsidRPr="00CA682E" w:rsidRDefault="00CA682E" w:rsidP="00CA682E">
      <w:pPr>
        <w:rPr>
          <w:rFonts w:eastAsia="Times New Roman"/>
          <w:noProof/>
          <w:color w:val="000000" w:themeColor="text1"/>
          <w:sz w:val="20"/>
          <w:szCs w:val="22"/>
          <w:lang w:eastAsia="en-US"/>
        </w:rPr>
      </w:pPr>
      <w:r w:rsidRPr="00CA682E">
        <w:rPr>
          <w:rFonts w:eastAsia="Times New Roman"/>
          <w:noProof/>
          <w:color w:val="000000" w:themeColor="text1"/>
          <w:sz w:val="20"/>
          <w:szCs w:val="22"/>
          <w:lang w:eastAsia="en-US"/>
        </w:rPr>
        <w:t>CALENDARIO DEL PROYECTO, POR ETAPA</w:t>
      </w:r>
    </w:p>
    <w:p w:rsidR="00CA682E" w:rsidRPr="00CA682E" w:rsidRDefault="00CA682E" w:rsidP="00CA682E">
      <w:pPr>
        <w:autoSpaceDE w:val="0"/>
        <w:autoSpaceDN w:val="0"/>
        <w:jc w:val="both"/>
        <w:rPr>
          <w:rFonts w:eastAsia="Times New Roman" w:cs="Times New Roman"/>
          <w:noProof/>
          <w:color w:val="000000" w:themeColor="text1"/>
          <w:sz w:val="18"/>
          <w:szCs w:val="24"/>
          <w:lang w:eastAsia="en-US"/>
        </w:rPr>
      </w:pPr>
    </w:p>
    <w:tbl>
      <w:tblPr>
        <w:tblW w:w="9520" w:type="dxa"/>
        <w:jc w:val="center"/>
        <w:tblLook w:val="04A0" w:firstRow="1" w:lastRow="0" w:firstColumn="1" w:lastColumn="0" w:noHBand="0" w:noVBand="1"/>
      </w:tblPr>
      <w:tblGrid>
        <w:gridCol w:w="1840"/>
        <w:gridCol w:w="480"/>
        <w:gridCol w:w="480"/>
        <w:gridCol w:w="480"/>
        <w:gridCol w:w="480"/>
        <w:gridCol w:w="480"/>
        <w:gridCol w:w="480"/>
        <w:gridCol w:w="480"/>
        <w:gridCol w:w="480"/>
        <w:gridCol w:w="480"/>
        <w:gridCol w:w="480"/>
        <w:gridCol w:w="480"/>
        <w:gridCol w:w="480"/>
        <w:gridCol w:w="480"/>
        <w:gridCol w:w="480"/>
        <w:gridCol w:w="480"/>
        <w:gridCol w:w="480"/>
      </w:tblGrid>
      <w:tr w:rsidR="00CA682E" w:rsidRPr="00CA682E" w:rsidTr="007B1DE4">
        <w:trPr>
          <w:trHeight w:val="270"/>
          <w:jc w:val="center"/>
        </w:trPr>
        <w:tc>
          <w:tcPr>
            <w:tcW w:w="1840" w:type="dxa"/>
            <w:tcBorders>
              <w:top w:val="nil"/>
              <w:left w:val="nil"/>
              <w:bottom w:val="nil"/>
              <w:right w:val="nil"/>
            </w:tcBorders>
            <w:shd w:val="clear" w:color="auto" w:fill="auto"/>
            <w:noWrap/>
            <w:vAlign w:val="bottom"/>
            <w:hideMark/>
          </w:tcPr>
          <w:p w:rsidR="00CA682E" w:rsidRPr="00CA682E" w:rsidRDefault="00CA682E" w:rsidP="00CA682E">
            <w:pPr>
              <w:rPr>
                <w:rFonts w:eastAsia="Times New Roman"/>
                <w:noProof/>
                <w:color w:val="000000" w:themeColor="text1"/>
                <w:sz w:val="16"/>
                <w:szCs w:val="16"/>
                <w:lang w:eastAsia="en-US"/>
              </w:rPr>
            </w:pPr>
          </w:p>
        </w:tc>
        <w:tc>
          <w:tcPr>
            <w:tcW w:w="1920" w:type="dxa"/>
            <w:gridSpan w:val="4"/>
            <w:tcBorders>
              <w:top w:val="single" w:sz="8" w:space="0" w:color="auto"/>
              <w:left w:val="single" w:sz="8" w:space="0" w:color="auto"/>
              <w:bottom w:val="single" w:sz="4" w:space="0" w:color="auto"/>
              <w:right w:val="single" w:sz="8" w:space="0" w:color="000000"/>
            </w:tcBorders>
            <w:shd w:val="clear" w:color="auto" w:fill="C6D9F1" w:themeFill="text2" w:themeFillTint="33"/>
            <w:noWrap/>
            <w:vAlign w:val="bottom"/>
            <w:hideMark/>
          </w:tcPr>
          <w:p w:rsidR="00CA682E" w:rsidRPr="00CA682E" w:rsidRDefault="00CA682E" w:rsidP="00CA682E">
            <w:pPr>
              <w:jc w:val="center"/>
              <w:rPr>
                <w:rFonts w:eastAsia="Times New Roman"/>
                <w:b/>
                <w:bCs/>
                <w:noProof/>
                <w:color w:val="000000" w:themeColor="text1"/>
                <w:sz w:val="16"/>
                <w:szCs w:val="16"/>
                <w:lang w:eastAsia="en-US"/>
              </w:rPr>
            </w:pPr>
            <w:r w:rsidRPr="00CA682E">
              <w:rPr>
                <w:rFonts w:eastAsia="Times New Roman"/>
                <w:b/>
                <w:bCs/>
                <w:noProof/>
                <w:color w:val="000000" w:themeColor="text1"/>
                <w:sz w:val="16"/>
                <w:szCs w:val="16"/>
                <w:lang w:eastAsia="en-US"/>
              </w:rPr>
              <w:t>2014</w:t>
            </w:r>
          </w:p>
        </w:tc>
        <w:tc>
          <w:tcPr>
            <w:tcW w:w="1920" w:type="dxa"/>
            <w:gridSpan w:val="4"/>
            <w:tcBorders>
              <w:top w:val="single" w:sz="8" w:space="0" w:color="auto"/>
              <w:left w:val="nil"/>
              <w:bottom w:val="single" w:sz="4" w:space="0" w:color="auto"/>
              <w:right w:val="single" w:sz="8" w:space="0" w:color="000000"/>
            </w:tcBorders>
            <w:shd w:val="clear" w:color="auto" w:fill="C6D9F1" w:themeFill="text2" w:themeFillTint="33"/>
            <w:noWrap/>
            <w:vAlign w:val="bottom"/>
            <w:hideMark/>
          </w:tcPr>
          <w:p w:rsidR="00CA682E" w:rsidRPr="00CA682E" w:rsidRDefault="00CA682E" w:rsidP="00CA682E">
            <w:pPr>
              <w:jc w:val="center"/>
              <w:rPr>
                <w:rFonts w:eastAsia="Times New Roman"/>
                <w:b/>
                <w:bCs/>
                <w:noProof/>
                <w:color w:val="000000" w:themeColor="text1"/>
                <w:sz w:val="16"/>
                <w:szCs w:val="16"/>
                <w:lang w:eastAsia="en-US"/>
              </w:rPr>
            </w:pPr>
            <w:r w:rsidRPr="00CA682E">
              <w:rPr>
                <w:rFonts w:eastAsia="Times New Roman"/>
                <w:b/>
                <w:bCs/>
                <w:noProof/>
                <w:color w:val="000000" w:themeColor="text1"/>
                <w:sz w:val="16"/>
                <w:szCs w:val="16"/>
                <w:lang w:eastAsia="en-US"/>
              </w:rPr>
              <w:t>2015</w:t>
            </w:r>
          </w:p>
        </w:tc>
        <w:tc>
          <w:tcPr>
            <w:tcW w:w="1920" w:type="dxa"/>
            <w:gridSpan w:val="4"/>
            <w:tcBorders>
              <w:top w:val="single" w:sz="8" w:space="0" w:color="auto"/>
              <w:left w:val="nil"/>
              <w:bottom w:val="single" w:sz="4" w:space="0" w:color="auto"/>
              <w:right w:val="single" w:sz="8" w:space="0" w:color="000000"/>
            </w:tcBorders>
            <w:shd w:val="clear" w:color="auto" w:fill="C6D9F1" w:themeFill="text2" w:themeFillTint="33"/>
            <w:noWrap/>
            <w:vAlign w:val="bottom"/>
            <w:hideMark/>
          </w:tcPr>
          <w:p w:rsidR="00CA682E" w:rsidRPr="00CA682E" w:rsidRDefault="00CA682E" w:rsidP="00CA682E">
            <w:pPr>
              <w:jc w:val="center"/>
              <w:rPr>
                <w:rFonts w:eastAsia="Times New Roman"/>
                <w:b/>
                <w:bCs/>
                <w:noProof/>
                <w:color w:val="000000" w:themeColor="text1"/>
                <w:sz w:val="16"/>
                <w:szCs w:val="16"/>
                <w:lang w:eastAsia="en-US"/>
              </w:rPr>
            </w:pPr>
            <w:r w:rsidRPr="00CA682E">
              <w:rPr>
                <w:rFonts w:eastAsia="Times New Roman"/>
                <w:b/>
                <w:bCs/>
                <w:noProof/>
                <w:color w:val="000000" w:themeColor="text1"/>
                <w:sz w:val="16"/>
                <w:szCs w:val="16"/>
                <w:lang w:eastAsia="en-US"/>
              </w:rPr>
              <w:t>2016</w:t>
            </w:r>
          </w:p>
        </w:tc>
        <w:tc>
          <w:tcPr>
            <w:tcW w:w="1920" w:type="dxa"/>
            <w:gridSpan w:val="4"/>
            <w:tcBorders>
              <w:top w:val="single" w:sz="8" w:space="0" w:color="auto"/>
              <w:left w:val="nil"/>
              <w:bottom w:val="single" w:sz="4" w:space="0" w:color="auto"/>
              <w:right w:val="single" w:sz="8" w:space="0" w:color="000000"/>
            </w:tcBorders>
            <w:shd w:val="clear" w:color="auto" w:fill="C6D9F1" w:themeFill="text2" w:themeFillTint="33"/>
            <w:noWrap/>
            <w:vAlign w:val="bottom"/>
            <w:hideMark/>
          </w:tcPr>
          <w:p w:rsidR="00CA682E" w:rsidRPr="00CA682E" w:rsidRDefault="00CA682E" w:rsidP="00CA682E">
            <w:pPr>
              <w:jc w:val="center"/>
              <w:rPr>
                <w:rFonts w:eastAsia="Times New Roman"/>
                <w:b/>
                <w:bCs/>
                <w:noProof/>
                <w:color w:val="000000" w:themeColor="text1"/>
                <w:sz w:val="16"/>
                <w:szCs w:val="16"/>
                <w:lang w:eastAsia="en-US"/>
              </w:rPr>
            </w:pPr>
            <w:r w:rsidRPr="00CA682E">
              <w:rPr>
                <w:rFonts w:eastAsia="Times New Roman"/>
                <w:b/>
                <w:bCs/>
                <w:noProof/>
                <w:color w:val="000000" w:themeColor="text1"/>
                <w:sz w:val="16"/>
                <w:szCs w:val="16"/>
                <w:lang w:eastAsia="en-US"/>
              </w:rPr>
              <w:t>2017</w:t>
            </w:r>
          </w:p>
        </w:tc>
      </w:tr>
      <w:tr w:rsidR="00CA682E" w:rsidRPr="00CA682E" w:rsidTr="007B1DE4">
        <w:trPr>
          <w:trHeight w:val="375"/>
          <w:jc w:val="center"/>
        </w:trPr>
        <w:tc>
          <w:tcPr>
            <w:tcW w:w="1840" w:type="dxa"/>
            <w:tcBorders>
              <w:top w:val="single" w:sz="8" w:space="0" w:color="auto"/>
              <w:left w:val="single" w:sz="8" w:space="0" w:color="auto"/>
              <w:bottom w:val="single" w:sz="4" w:space="0" w:color="auto"/>
              <w:right w:val="single" w:sz="8" w:space="0" w:color="auto"/>
            </w:tcBorders>
            <w:shd w:val="clear" w:color="auto" w:fill="C6D9F1" w:themeFill="text2" w:themeFillTint="33"/>
            <w:noWrap/>
            <w:vAlign w:val="bottom"/>
            <w:hideMark/>
          </w:tcPr>
          <w:p w:rsidR="00CA682E" w:rsidRPr="00CA682E" w:rsidRDefault="00CA682E" w:rsidP="00CA682E">
            <w:pPr>
              <w:spacing w:before="40" w:after="40"/>
              <w:rPr>
                <w:rFonts w:eastAsia="Times New Roman"/>
                <w:b/>
                <w:bCs/>
                <w:noProof/>
                <w:color w:val="000000" w:themeColor="text1"/>
                <w:sz w:val="16"/>
                <w:szCs w:val="16"/>
                <w:lang w:eastAsia="en-US"/>
              </w:rPr>
            </w:pPr>
            <w:r w:rsidRPr="00CA682E">
              <w:rPr>
                <w:rFonts w:eastAsia="Times New Roman"/>
                <w:b/>
                <w:bCs/>
                <w:noProof/>
                <w:color w:val="000000" w:themeColor="text1"/>
                <w:sz w:val="16"/>
                <w:szCs w:val="16"/>
                <w:lang w:eastAsia="en-US"/>
              </w:rPr>
              <w:t>Etapas fundamentales</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CA682E" w:rsidRPr="00CA682E" w:rsidRDefault="00CA682E" w:rsidP="00CA682E">
            <w:pPr>
              <w:spacing w:before="40" w:after="40"/>
              <w:rPr>
                <w:rFonts w:eastAsia="Times New Roman"/>
                <w:b/>
                <w:bCs/>
                <w:noProof/>
                <w:color w:val="000000" w:themeColor="text1"/>
                <w:sz w:val="16"/>
                <w:szCs w:val="16"/>
                <w:lang w:eastAsia="en-US"/>
              </w:rPr>
            </w:pPr>
            <w:r w:rsidRPr="00CA682E">
              <w:rPr>
                <w:rFonts w:eastAsia="Times New Roman"/>
                <w:b/>
                <w:bCs/>
                <w:noProof/>
                <w:color w:val="000000" w:themeColor="text1"/>
                <w:sz w:val="16"/>
                <w:szCs w:val="16"/>
                <w:lang w:eastAsia="en-US"/>
              </w:rPr>
              <w:t>T1.</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CA682E" w:rsidRPr="00CA682E" w:rsidRDefault="00CA682E" w:rsidP="00CA682E">
            <w:pPr>
              <w:spacing w:before="40" w:after="40"/>
              <w:rPr>
                <w:rFonts w:eastAsia="Times New Roman"/>
                <w:b/>
                <w:bCs/>
                <w:noProof/>
                <w:color w:val="000000" w:themeColor="text1"/>
                <w:sz w:val="16"/>
                <w:szCs w:val="16"/>
                <w:lang w:eastAsia="en-US"/>
              </w:rPr>
            </w:pPr>
            <w:r w:rsidRPr="00CA682E">
              <w:rPr>
                <w:rFonts w:eastAsia="Times New Roman"/>
                <w:b/>
                <w:bCs/>
                <w:noProof/>
                <w:color w:val="000000" w:themeColor="text1"/>
                <w:sz w:val="16"/>
                <w:szCs w:val="16"/>
                <w:lang w:eastAsia="en-US"/>
              </w:rPr>
              <w:t>T2.</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CA682E" w:rsidRPr="00CA682E" w:rsidRDefault="00CA682E" w:rsidP="00CA682E">
            <w:pPr>
              <w:spacing w:before="40" w:after="40"/>
              <w:rPr>
                <w:rFonts w:eastAsia="Times New Roman"/>
                <w:b/>
                <w:bCs/>
                <w:noProof/>
                <w:color w:val="000000" w:themeColor="text1"/>
                <w:sz w:val="16"/>
                <w:szCs w:val="16"/>
                <w:lang w:eastAsia="en-US"/>
              </w:rPr>
            </w:pPr>
            <w:r w:rsidRPr="00CA682E">
              <w:rPr>
                <w:rFonts w:eastAsia="Times New Roman"/>
                <w:b/>
                <w:bCs/>
                <w:noProof/>
                <w:color w:val="000000" w:themeColor="text1"/>
                <w:sz w:val="16"/>
                <w:szCs w:val="16"/>
                <w:lang w:eastAsia="en-US"/>
              </w:rPr>
              <w:t>T3</w:t>
            </w:r>
          </w:p>
        </w:tc>
        <w:tc>
          <w:tcPr>
            <w:tcW w:w="480" w:type="dxa"/>
            <w:tcBorders>
              <w:top w:val="nil"/>
              <w:left w:val="nil"/>
              <w:bottom w:val="single" w:sz="4" w:space="0" w:color="auto"/>
              <w:right w:val="single" w:sz="8" w:space="0" w:color="auto"/>
            </w:tcBorders>
            <w:shd w:val="clear" w:color="auto" w:fill="C6D9F1" w:themeFill="text2" w:themeFillTint="33"/>
            <w:noWrap/>
            <w:vAlign w:val="bottom"/>
            <w:hideMark/>
          </w:tcPr>
          <w:p w:rsidR="00CA682E" w:rsidRPr="00CA682E" w:rsidRDefault="00CA682E" w:rsidP="00CA682E">
            <w:pPr>
              <w:spacing w:before="40" w:after="40"/>
              <w:rPr>
                <w:rFonts w:eastAsia="Times New Roman"/>
                <w:b/>
                <w:bCs/>
                <w:noProof/>
                <w:color w:val="000000" w:themeColor="text1"/>
                <w:sz w:val="16"/>
                <w:szCs w:val="16"/>
                <w:lang w:eastAsia="en-US"/>
              </w:rPr>
            </w:pPr>
            <w:r w:rsidRPr="00CA682E">
              <w:rPr>
                <w:rFonts w:eastAsia="Times New Roman"/>
                <w:b/>
                <w:bCs/>
                <w:noProof/>
                <w:color w:val="000000" w:themeColor="text1"/>
                <w:sz w:val="16"/>
                <w:szCs w:val="16"/>
                <w:lang w:eastAsia="en-US"/>
              </w:rPr>
              <w:t>T4</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CA682E" w:rsidRPr="00CA682E" w:rsidRDefault="00CA682E" w:rsidP="00CA682E">
            <w:pPr>
              <w:spacing w:before="40" w:after="40"/>
              <w:rPr>
                <w:rFonts w:eastAsia="Times New Roman"/>
                <w:b/>
                <w:bCs/>
                <w:noProof/>
                <w:color w:val="000000" w:themeColor="text1"/>
                <w:sz w:val="16"/>
                <w:szCs w:val="16"/>
                <w:lang w:eastAsia="en-US"/>
              </w:rPr>
            </w:pPr>
            <w:r w:rsidRPr="00CA682E">
              <w:rPr>
                <w:rFonts w:eastAsia="Times New Roman"/>
                <w:b/>
                <w:bCs/>
                <w:noProof/>
                <w:color w:val="000000" w:themeColor="text1"/>
                <w:sz w:val="16"/>
                <w:szCs w:val="16"/>
                <w:lang w:eastAsia="en-US"/>
              </w:rPr>
              <w:t>T1.</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CA682E" w:rsidRPr="00CA682E" w:rsidRDefault="00CA682E" w:rsidP="00CA682E">
            <w:pPr>
              <w:spacing w:before="40" w:after="40"/>
              <w:rPr>
                <w:rFonts w:eastAsia="Times New Roman"/>
                <w:b/>
                <w:bCs/>
                <w:noProof/>
                <w:color w:val="000000" w:themeColor="text1"/>
                <w:sz w:val="16"/>
                <w:szCs w:val="16"/>
                <w:lang w:eastAsia="en-US"/>
              </w:rPr>
            </w:pPr>
            <w:r w:rsidRPr="00CA682E">
              <w:rPr>
                <w:rFonts w:eastAsia="Times New Roman"/>
                <w:b/>
                <w:bCs/>
                <w:noProof/>
                <w:color w:val="000000" w:themeColor="text1"/>
                <w:sz w:val="16"/>
                <w:szCs w:val="16"/>
                <w:lang w:eastAsia="en-US"/>
              </w:rPr>
              <w:t>T2.</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CA682E" w:rsidRPr="00CA682E" w:rsidRDefault="00CA682E" w:rsidP="00CA682E">
            <w:pPr>
              <w:spacing w:before="40" w:after="40"/>
              <w:rPr>
                <w:rFonts w:eastAsia="Times New Roman"/>
                <w:b/>
                <w:bCs/>
                <w:noProof/>
                <w:color w:val="000000" w:themeColor="text1"/>
                <w:sz w:val="16"/>
                <w:szCs w:val="16"/>
                <w:lang w:eastAsia="en-US"/>
              </w:rPr>
            </w:pPr>
            <w:r w:rsidRPr="00CA682E">
              <w:rPr>
                <w:rFonts w:eastAsia="Times New Roman"/>
                <w:b/>
                <w:bCs/>
                <w:noProof/>
                <w:color w:val="000000" w:themeColor="text1"/>
                <w:sz w:val="16"/>
                <w:szCs w:val="16"/>
                <w:lang w:eastAsia="en-US"/>
              </w:rPr>
              <w:t>T3</w:t>
            </w:r>
          </w:p>
        </w:tc>
        <w:tc>
          <w:tcPr>
            <w:tcW w:w="480" w:type="dxa"/>
            <w:tcBorders>
              <w:top w:val="nil"/>
              <w:left w:val="nil"/>
              <w:bottom w:val="single" w:sz="4" w:space="0" w:color="auto"/>
              <w:right w:val="single" w:sz="8" w:space="0" w:color="auto"/>
            </w:tcBorders>
            <w:shd w:val="clear" w:color="auto" w:fill="C6D9F1" w:themeFill="text2" w:themeFillTint="33"/>
            <w:noWrap/>
            <w:vAlign w:val="bottom"/>
            <w:hideMark/>
          </w:tcPr>
          <w:p w:rsidR="00CA682E" w:rsidRPr="00CA682E" w:rsidRDefault="00CA682E" w:rsidP="00CA682E">
            <w:pPr>
              <w:spacing w:before="40" w:after="40"/>
              <w:rPr>
                <w:rFonts w:eastAsia="Times New Roman"/>
                <w:b/>
                <w:bCs/>
                <w:noProof/>
                <w:color w:val="000000" w:themeColor="text1"/>
                <w:sz w:val="16"/>
                <w:szCs w:val="16"/>
                <w:lang w:eastAsia="en-US"/>
              </w:rPr>
            </w:pPr>
            <w:r w:rsidRPr="00CA682E">
              <w:rPr>
                <w:rFonts w:eastAsia="Times New Roman"/>
                <w:b/>
                <w:bCs/>
                <w:noProof/>
                <w:color w:val="000000" w:themeColor="text1"/>
                <w:sz w:val="16"/>
                <w:szCs w:val="16"/>
                <w:lang w:eastAsia="en-US"/>
              </w:rPr>
              <w:t>T4</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CA682E" w:rsidRPr="00CA682E" w:rsidRDefault="00CA682E" w:rsidP="00CA682E">
            <w:pPr>
              <w:spacing w:before="40" w:after="40"/>
              <w:rPr>
                <w:rFonts w:eastAsia="Times New Roman"/>
                <w:b/>
                <w:bCs/>
                <w:noProof/>
                <w:color w:val="000000" w:themeColor="text1"/>
                <w:sz w:val="16"/>
                <w:szCs w:val="16"/>
                <w:lang w:eastAsia="en-US"/>
              </w:rPr>
            </w:pPr>
            <w:r w:rsidRPr="00CA682E">
              <w:rPr>
                <w:rFonts w:eastAsia="Times New Roman"/>
                <w:b/>
                <w:bCs/>
                <w:noProof/>
                <w:color w:val="000000" w:themeColor="text1"/>
                <w:sz w:val="16"/>
                <w:szCs w:val="16"/>
                <w:lang w:eastAsia="en-US"/>
              </w:rPr>
              <w:t>T1.</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CA682E" w:rsidRPr="00CA682E" w:rsidRDefault="00CA682E" w:rsidP="00CA682E">
            <w:pPr>
              <w:spacing w:before="40" w:after="40"/>
              <w:rPr>
                <w:rFonts w:eastAsia="Times New Roman"/>
                <w:b/>
                <w:bCs/>
                <w:noProof/>
                <w:color w:val="000000" w:themeColor="text1"/>
                <w:sz w:val="16"/>
                <w:szCs w:val="16"/>
                <w:lang w:eastAsia="en-US"/>
              </w:rPr>
            </w:pPr>
            <w:r w:rsidRPr="00CA682E">
              <w:rPr>
                <w:rFonts w:eastAsia="Times New Roman"/>
                <w:b/>
                <w:bCs/>
                <w:noProof/>
                <w:color w:val="000000" w:themeColor="text1"/>
                <w:sz w:val="16"/>
                <w:szCs w:val="16"/>
                <w:lang w:eastAsia="en-US"/>
              </w:rPr>
              <w:t>T2.</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CA682E" w:rsidRPr="00CA682E" w:rsidRDefault="00CA682E" w:rsidP="00CA682E">
            <w:pPr>
              <w:spacing w:before="40" w:after="40"/>
              <w:rPr>
                <w:rFonts w:eastAsia="Times New Roman"/>
                <w:b/>
                <w:bCs/>
                <w:noProof/>
                <w:color w:val="000000" w:themeColor="text1"/>
                <w:sz w:val="16"/>
                <w:szCs w:val="16"/>
                <w:lang w:eastAsia="en-US"/>
              </w:rPr>
            </w:pPr>
            <w:r w:rsidRPr="00CA682E">
              <w:rPr>
                <w:rFonts w:eastAsia="Times New Roman"/>
                <w:b/>
                <w:bCs/>
                <w:noProof/>
                <w:color w:val="000000" w:themeColor="text1"/>
                <w:sz w:val="16"/>
                <w:szCs w:val="16"/>
                <w:lang w:eastAsia="en-US"/>
              </w:rPr>
              <w:t>T3</w:t>
            </w:r>
          </w:p>
        </w:tc>
        <w:tc>
          <w:tcPr>
            <w:tcW w:w="480" w:type="dxa"/>
            <w:tcBorders>
              <w:top w:val="nil"/>
              <w:left w:val="nil"/>
              <w:bottom w:val="single" w:sz="4" w:space="0" w:color="auto"/>
              <w:right w:val="single" w:sz="8" w:space="0" w:color="auto"/>
            </w:tcBorders>
            <w:shd w:val="clear" w:color="auto" w:fill="C6D9F1" w:themeFill="text2" w:themeFillTint="33"/>
            <w:noWrap/>
            <w:vAlign w:val="bottom"/>
            <w:hideMark/>
          </w:tcPr>
          <w:p w:rsidR="00CA682E" w:rsidRPr="00CA682E" w:rsidRDefault="00CA682E" w:rsidP="00CA682E">
            <w:pPr>
              <w:spacing w:before="40" w:after="40"/>
              <w:rPr>
                <w:rFonts w:eastAsia="Times New Roman"/>
                <w:b/>
                <w:bCs/>
                <w:noProof/>
                <w:color w:val="000000" w:themeColor="text1"/>
                <w:sz w:val="16"/>
                <w:szCs w:val="16"/>
                <w:lang w:eastAsia="en-US"/>
              </w:rPr>
            </w:pPr>
            <w:r w:rsidRPr="00CA682E">
              <w:rPr>
                <w:rFonts w:eastAsia="Times New Roman"/>
                <w:b/>
                <w:bCs/>
                <w:noProof/>
                <w:color w:val="000000" w:themeColor="text1"/>
                <w:sz w:val="16"/>
                <w:szCs w:val="16"/>
                <w:lang w:eastAsia="en-US"/>
              </w:rPr>
              <w:t>T4</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CA682E" w:rsidRPr="00CA682E" w:rsidRDefault="00CA682E" w:rsidP="00CA682E">
            <w:pPr>
              <w:spacing w:before="40" w:after="40"/>
              <w:rPr>
                <w:rFonts w:eastAsia="Times New Roman"/>
                <w:b/>
                <w:bCs/>
                <w:noProof/>
                <w:color w:val="000000" w:themeColor="text1"/>
                <w:sz w:val="16"/>
                <w:szCs w:val="16"/>
                <w:lang w:eastAsia="en-US"/>
              </w:rPr>
            </w:pPr>
            <w:r w:rsidRPr="00CA682E">
              <w:rPr>
                <w:rFonts w:eastAsia="Times New Roman"/>
                <w:b/>
                <w:bCs/>
                <w:noProof/>
                <w:color w:val="000000" w:themeColor="text1"/>
                <w:sz w:val="16"/>
                <w:szCs w:val="16"/>
                <w:lang w:eastAsia="en-US"/>
              </w:rPr>
              <w:t>T1.</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CA682E" w:rsidRPr="00CA682E" w:rsidRDefault="00CA682E" w:rsidP="00CA682E">
            <w:pPr>
              <w:spacing w:before="40" w:after="40"/>
              <w:rPr>
                <w:rFonts w:eastAsia="Times New Roman"/>
                <w:b/>
                <w:bCs/>
                <w:noProof/>
                <w:color w:val="000000" w:themeColor="text1"/>
                <w:sz w:val="16"/>
                <w:szCs w:val="16"/>
                <w:lang w:eastAsia="en-US"/>
              </w:rPr>
            </w:pPr>
            <w:r w:rsidRPr="00CA682E">
              <w:rPr>
                <w:rFonts w:eastAsia="Times New Roman"/>
                <w:b/>
                <w:bCs/>
                <w:noProof/>
                <w:color w:val="000000" w:themeColor="text1"/>
                <w:sz w:val="16"/>
                <w:szCs w:val="16"/>
                <w:lang w:eastAsia="en-US"/>
              </w:rPr>
              <w:t>T2.</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CA682E" w:rsidRPr="00CA682E" w:rsidRDefault="00CA682E" w:rsidP="00CA682E">
            <w:pPr>
              <w:spacing w:before="40" w:after="40"/>
              <w:rPr>
                <w:rFonts w:eastAsia="Times New Roman"/>
                <w:b/>
                <w:bCs/>
                <w:noProof/>
                <w:color w:val="000000" w:themeColor="text1"/>
                <w:sz w:val="16"/>
                <w:szCs w:val="16"/>
                <w:lang w:eastAsia="en-US"/>
              </w:rPr>
            </w:pPr>
            <w:r w:rsidRPr="00CA682E">
              <w:rPr>
                <w:rFonts w:eastAsia="Times New Roman"/>
                <w:b/>
                <w:bCs/>
                <w:noProof/>
                <w:color w:val="000000" w:themeColor="text1"/>
                <w:sz w:val="16"/>
                <w:szCs w:val="16"/>
                <w:lang w:eastAsia="en-US"/>
              </w:rPr>
              <w:t>T3</w:t>
            </w:r>
          </w:p>
        </w:tc>
        <w:tc>
          <w:tcPr>
            <w:tcW w:w="480" w:type="dxa"/>
            <w:tcBorders>
              <w:top w:val="nil"/>
              <w:left w:val="nil"/>
              <w:bottom w:val="single" w:sz="4" w:space="0" w:color="auto"/>
              <w:right w:val="single" w:sz="8" w:space="0" w:color="auto"/>
            </w:tcBorders>
            <w:shd w:val="clear" w:color="auto" w:fill="C6D9F1" w:themeFill="text2" w:themeFillTint="33"/>
            <w:noWrap/>
            <w:vAlign w:val="bottom"/>
            <w:hideMark/>
          </w:tcPr>
          <w:p w:rsidR="00CA682E" w:rsidRPr="00CA682E" w:rsidRDefault="00CA682E" w:rsidP="00CA682E">
            <w:pPr>
              <w:spacing w:before="40" w:after="40"/>
              <w:rPr>
                <w:rFonts w:eastAsia="Times New Roman"/>
                <w:b/>
                <w:bCs/>
                <w:noProof/>
                <w:color w:val="000000" w:themeColor="text1"/>
                <w:sz w:val="16"/>
                <w:szCs w:val="16"/>
                <w:lang w:eastAsia="en-US"/>
              </w:rPr>
            </w:pPr>
            <w:r w:rsidRPr="00CA682E">
              <w:rPr>
                <w:rFonts w:eastAsia="Times New Roman"/>
                <w:b/>
                <w:bCs/>
                <w:noProof/>
                <w:color w:val="000000" w:themeColor="text1"/>
                <w:sz w:val="16"/>
                <w:szCs w:val="16"/>
                <w:lang w:eastAsia="en-US"/>
              </w:rPr>
              <w:t>T4</w:t>
            </w:r>
          </w:p>
        </w:tc>
      </w:tr>
      <w:tr w:rsidR="00CA682E" w:rsidRPr="00CA682E" w:rsidTr="007B1DE4">
        <w:trPr>
          <w:trHeight w:val="615"/>
          <w:jc w:val="center"/>
        </w:trPr>
        <w:tc>
          <w:tcPr>
            <w:tcW w:w="1840" w:type="dxa"/>
            <w:tcBorders>
              <w:top w:val="nil"/>
              <w:left w:val="single" w:sz="8" w:space="0" w:color="auto"/>
              <w:bottom w:val="single" w:sz="4" w:space="0" w:color="auto"/>
              <w:right w:val="single" w:sz="8" w:space="0" w:color="auto"/>
            </w:tcBorders>
            <w:shd w:val="clear" w:color="auto" w:fill="auto"/>
            <w:noWrap/>
            <w:vAlign w:val="center"/>
            <w:hideMark/>
          </w:tcPr>
          <w:p w:rsidR="00CA682E" w:rsidRPr="00CA682E" w:rsidRDefault="00CA682E" w:rsidP="00CA682E">
            <w:pPr>
              <w:spacing w:before="40" w:after="40"/>
              <w:rPr>
                <w:rFonts w:eastAsia="Times New Roman"/>
                <w:noProof/>
                <w:color w:val="000000" w:themeColor="text1"/>
                <w:sz w:val="16"/>
                <w:szCs w:val="16"/>
                <w:lang w:eastAsia="en-US"/>
              </w:rPr>
            </w:pPr>
            <w:r w:rsidRPr="00CA682E">
              <w:rPr>
                <w:rFonts w:eastAsia="Times New Roman"/>
                <w:noProof/>
                <w:color w:val="000000" w:themeColor="text1"/>
                <w:sz w:val="16"/>
                <w:szCs w:val="16"/>
                <w:lang w:eastAsia="en-US"/>
              </w:rPr>
              <w:t>Definición interna de los objetivos del proyecto</w:t>
            </w:r>
          </w:p>
        </w:tc>
        <w:tc>
          <w:tcPr>
            <w:tcW w:w="480" w:type="dxa"/>
            <w:tcBorders>
              <w:top w:val="nil"/>
              <w:left w:val="nil"/>
              <w:bottom w:val="single" w:sz="4" w:space="0" w:color="auto"/>
              <w:right w:val="single" w:sz="4" w:space="0" w:color="auto"/>
            </w:tcBorders>
            <w:shd w:val="clear" w:color="auto" w:fill="auto"/>
            <w:noWrap/>
            <w:vAlign w:val="bottom"/>
            <w:hideMark/>
          </w:tcPr>
          <w:p w:rsidR="00CA682E" w:rsidRPr="00CA682E" w:rsidRDefault="00CA682E" w:rsidP="00CA682E">
            <w:pPr>
              <w:spacing w:before="40" w:after="40"/>
              <w:rPr>
                <w:rFonts w:eastAsia="Times New Roman"/>
                <w:noProof/>
                <w:color w:val="000000" w:themeColor="text1"/>
                <w:sz w:val="16"/>
                <w:szCs w:val="16"/>
                <w:lang w:eastAsia="en-US"/>
              </w:rPr>
            </w:pPr>
            <w:r w:rsidRPr="00CA682E">
              <w:rPr>
                <w:rFonts w:eastAsia="Times New Roman"/>
                <w:noProof/>
                <w:color w:val="000000" w:themeColor="text1"/>
                <w:sz w:val="16"/>
                <w:szCs w:val="16"/>
                <w:lang w:eastAsia="en-US"/>
              </w:rPr>
              <w:t> </w:t>
            </w: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noProof/>
                <w:color w:val="000000" w:themeColor="text1"/>
                <w:sz w:val="16"/>
                <w:szCs w:val="16"/>
                <w:lang w:eastAsia="en-US"/>
              </w:rPr>
            </w:pPr>
            <w:r w:rsidRPr="00CA682E">
              <w:rPr>
                <w:rFonts w:eastAsia="Times New Roman"/>
                <w:noProof/>
                <w:color w:val="000000" w:themeColor="text1"/>
                <w:sz w:val="16"/>
                <w:szCs w:val="16"/>
                <w:lang w:eastAsia="en-US"/>
              </w:rPr>
              <w:t>X</w:t>
            </w: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noProof/>
                <w:color w:val="000000" w:themeColor="text1"/>
                <w:sz w:val="16"/>
                <w:szCs w:val="16"/>
                <w:lang w:eastAsia="en-US"/>
              </w:rPr>
            </w:pPr>
          </w:p>
        </w:tc>
        <w:tc>
          <w:tcPr>
            <w:tcW w:w="480" w:type="dxa"/>
            <w:tcBorders>
              <w:top w:val="nil"/>
              <w:left w:val="nil"/>
              <w:bottom w:val="single" w:sz="4" w:space="0" w:color="auto"/>
              <w:right w:val="single" w:sz="8" w:space="0" w:color="auto"/>
            </w:tcBorders>
            <w:shd w:val="clear" w:color="auto" w:fill="auto"/>
            <w:noWrap/>
            <w:vAlign w:val="center"/>
            <w:hideMark/>
          </w:tcPr>
          <w:p w:rsidR="00CA682E" w:rsidRPr="00CA682E" w:rsidRDefault="00CA682E" w:rsidP="00CA682E">
            <w:pPr>
              <w:spacing w:before="40" w:after="40"/>
              <w:jc w:val="center"/>
              <w:rPr>
                <w:rFonts w:eastAsia="Times New Roman"/>
                <w:noProof/>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noProof/>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noProof/>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noProof/>
                <w:color w:val="000000" w:themeColor="text1"/>
                <w:sz w:val="16"/>
                <w:szCs w:val="16"/>
                <w:lang w:eastAsia="en-US"/>
              </w:rPr>
            </w:pPr>
          </w:p>
        </w:tc>
        <w:tc>
          <w:tcPr>
            <w:tcW w:w="480" w:type="dxa"/>
            <w:tcBorders>
              <w:top w:val="nil"/>
              <w:left w:val="nil"/>
              <w:bottom w:val="single" w:sz="4" w:space="0" w:color="auto"/>
              <w:right w:val="single" w:sz="8" w:space="0" w:color="auto"/>
            </w:tcBorders>
            <w:shd w:val="clear" w:color="auto" w:fill="auto"/>
            <w:noWrap/>
            <w:vAlign w:val="center"/>
            <w:hideMark/>
          </w:tcPr>
          <w:p w:rsidR="00CA682E" w:rsidRPr="00CA682E" w:rsidRDefault="00CA682E" w:rsidP="00CA682E">
            <w:pPr>
              <w:spacing w:before="40" w:after="40"/>
              <w:jc w:val="center"/>
              <w:rPr>
                <w:rFonts w:eastAsia="Times New Roman"/>
                <w:noProof/>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noProof/>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noProof/>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noProof/>
                <w:color w:val="000000" w:themeColor="text1"/>
                <w:sz w:val="16"/>
                <w:szCs w:val="16"/>
                <w:lang w:eastAsia="en-US"/>
              </w:rPr>
            </w:pPr>
          </w:p>
        </w:tc>
        <w:tc>
          <w:tcPr>
            <w:tcW w:w="480" w:type="dxa"/>
            <w:tcBorders>
              <w:top w:val="nil"/>
              <w:left w:val="nil"/>
              <w:bottom w:val="single" w:sz="4" w:space="0" w:color="auto"/>
              <w:right w:val="single" w:sz="8" w:space="0" w:color="auto"/>
            </w:tcBorders>
            <w:shd w:val="clear" w:color="auto" w:fill="auto"/>
            <w:noWrap/>
            <w:vAlign w:val="center"/>
            <w:hideMark/>
          </w:tcPr>
          <w:p w:rsidR="00CA682E" w:rsidRPr="00CA682E" w:rsidRDefault="00CA682E" w:rsidP="00CA682E">
            <w:pPr>
              <w:spacing w:before="40" w:after="40"/>
              <w:jc w:val="center"/>
              <w:rPr>
                <w:rFonts w:eastAsia="Times New Roman"/>
                <w:noProof/>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noProof/>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noProof/>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noProof/>
                <w:color w:val="000000" w:themeColor="text1"/>
                <w:sz w:val="16"/>
                <w:szCs w:val="16"/>
                <w:lang w:eastAsia="en-US"/>
              </w:rPr>
            </w:pPr>
          </w:p>
        </w:tc>
        <w:tc>
          <w:tcPr>
            <w:tcW w:w="480" w:type="dxa"/>
            <w:tcBorders>
              <w:top w:val="nil"/>
              <w:left w:val="nil"/>
              <w:bottom w:val="single" w:sz="4" w:space="0" w:color="auto"/>
              <w:right w:val="single" w:sz="8" w:space="0" w:color="auto"/>
            </w:tcBorders>
            <w:shd w:val="clear" w:color="auto" w:fill="auto"/>
            <w:noWrap/>
            <w:vAlign w:val="center"/>
            <w:hideMark/>
          </w:tcPr>
          <w:p w:rsidR="00CA682E" w:rsidRPr="00CA682E" w:rsidRDefault="00CA682E" w:rsidP="00CA682E">
            <w:pPr>
              <w:spacing w:before="40" w:after="40"/>
              <w:jc w:val="center"/>
              <w:rPr>
                <w:rFonts w:eastAsia="Times New Roman"/>
                <w:noProof/>
                <w:color w:val="000000" w:themeColor="text1"/>
                <w:sz w:val="16"/>
                <w:szCs w:val="16"/>
                <w:lang w:eastAsia="en-US"/>
              </w:rPr>
            </w:pPr>
          </w:p>
        </w:tc>
      </w:tr>
      <w:tr w:rsidR="00CA682E" w:rsidRPr="00CA682E" w:rsidTr="007B1DE4">
        <w:trPr>
          <w:trHeight w:val="615"/>
          <w:jc w:val="center"/>
        </w:trPr>
        <w:tc>
          <w:tcPr>
            <w:tcW w:w="1840" w:type="dxa"/>
            <w:tcBorders>
              <w:top w:val="nil"/>
              <w:left w:val="single" w:sz="8" w:space="0" w:color="auto"/>
              <w:bottom w:val="single" w:sz="4" w:space="0" w:color="auto"/>
              <w:right w:val="single" w:sz="8" w:space="0" w:color="auto"/>
            </w:tcBorders>
            <w:shd w:val="clear" w:color="auto" w:fill="auto"/>
            <w:noWrap/>
            <w:vAlign w:val="center"/>
          </w:tcPr>
          <w:p w:rsidR="00CA682E" w:rsidRPr="00CA682E" w:rsidRDefault="00CA682E" w:rsidP="00CA682E">
            <w:pPr>
              <w:spacing w:before="40" w:after="40"/>
              <w:rPr>
                <w:rFonts w:eastAsia="Times New Roman"/>
                <w:noProof/>
                <w:color w:val="000000" w:themeColor="text1"/>
                <w:sz w:val="16"/>
                <w:szCs w:val="16"/>
                <w:lang w:eastAsia="en-US"/>
              </w:rPr>
            </w:pPr>
            <w:r w:rsidRPr="00CA682E">
              <w:rPr>
                <w:rFonts w:eastAsia="Times New Roman"/>
                <w:noProof/>
                <w:color w:val="000000" w:themeColor="text1"/>
                <w:sz w:val="16"/>
                <w:szCs w:val="16"/>
                <w:lang w:eastAsia="en-US"/>
              </w:rPr>
              <w:t>Adjudicación de contratos al arquitecto</w:t>
            </w:r>
          </w:p>
        </w:tc>
        <w:tc>
          <w:tcPr>
            <w:tcW w:w="480" w:type="dxa"/>
            <w:tcBorders>
              <w:top w:val="nil"/>
              <w:left w:val="nil"/>
              <w:bottom w:val="single" w:sz="4" w:space="0" w:color="auto"/>
              <w:right w:val="single" w:sz="4" w:space="0" w:color="auto"/>
            </w:tcBorders>
            <w:shd w:val="clear" w:color="auto" w:fill="auto"/>
            <w:noWrap/>
            <w:vAlign w:val="bottom"/>
          </w:tcPr>
          <w:p w:rsidR="00CA682E" w:rsidRPr="00CA682E" w:rsidRDefault="00CA682E" w:rsidP="00CA682E">
            <w:pPr>
              <w:spacing w:before="40" w:after="40"/>
              <w:rPr>
                <w:rFonts w:eastAsia="Times New Roman"/>
                <w:noProof/>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tcPr>
          <w:p w:rsidR="00CA682E" w:rsidRPr="00CA682E" w:rsidRDefault="00CA682E" w:rsidP="00CA682E">
            <w:pPr>
              <w:spacing w:before="40" w:after="40"/>
              <w:jc w:val="center"/>
              <w:rPr>
                <w:rFonts w:eastAsia="Times New Roman"/>
                <w:noProof/>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tcPr>
          <w:p w:rsidR="00CA682E" w:rsidRPr="00CA682E" w:rsidRDefault="00CA682E" w:rsidP="00CA682E">
            <w:pPr>
              <w:spacing w:before="40" w:after="40"/>
              <w:jc w:val="center"/>
              <w:rPr>
                <w:rFonts w:eastAsia="Times New Roman"/>
                <w:noProof/>
                <w:color w:val="000000" w:themeColor="text1"/>
                <w:sz w:val="16"/>
                <w:szCs w:val="16"/>
                <w:lang w:eastAsia="en-US"/>
              </w:rPr>
            </w:pPr>
            <w:r w:rsidRPr="00CA682E">
              <w:rPr>
                <w:rFonts w:eastAsia="Times New Roman"/>
                <w:noProof/>
                <w:color w:val="000000" w:themeColor="text1"/>
                <w:sz w:val="16"/>
                <w:szCs w:val="16"/>
                <w:lang w:eastAsia="en-US"/>
              </w:rPr>
              <w:t>X</w:t>
            </w:r>
          </w:p>
        </w:tc>
        <w:tc>
          <w:tcPr>
            <w:tcW w:w="480" w:type="dxa"/>
            <w:tcBorders>
              <w:top w:val="nil"/>
              <w:left w:val="nil"/>
              <w:bottom w:val="single" w:sz="4" w:space="0" w:color="auto"/>
              <w:right w:val="single" w:sz="8" w:space="0" w:color="auto"/>
            </w:tcBorders>
            <w:shd w:val="clear" w:color="auto" w:fill="auto"/>
            <w:noWrap/>
            <w:vAlign w:val="center"/>
          </w:tcPr>
          <w:p w:rsidR="00CA682E" w:rsidRPr="00CA682E" w:rsidRDefault="00CA682E" w:rsidP="00CA682E">
            <w:pPr>
              <w:spacing w:before="40" w:after="40"/>
              <w:jc w:val="center"/>
              <w:rPr>
                <w:rFonts w:eastAsia="Times New Roman"/>
                <w:noProof/>
                <w:color w:val="000000" w:themeColor="text1"/>
                <w:sz w:val="16"/>
                <w:szCs w:val="16"/>
                <w:lang w:eastAsia="en-US"/>
              </w:rPr>
            </w:pPr>
            <w:r w:rsidRPr="00CA682E">
              <w:rPr>
                <w:rFonts w:eastAsia="Times New Roman"/>
                <w:noProof/>
                <w:color w:val="000000" w:themeColor="text1"/>
                <w:sz w:val="16"/>
                <w:szCs w:val="16"/>
                <w:lang w:eastAsia="en-US"/>
              </w:rPr>
              <w:t>X</w:t>
            </w: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noProof/>
                <w:color w:val="000000" w:themeColor="text1"/>
                <w:sz w:val="16"/>
                <w:szCs w:val="16"/>
                <w:lang w:eastAsia="en-US"/>
              </w:rPr>
            </w:pPr>
            <w:r w:rsidRPr="00CA682E">
              <w:rPr>
                <w:rFonts w:eastAsia="Times New Roman"/>
                <w:noProof/>
                <w:color w:val="000000" w:themeColor="text1"/>
                <w:sz w:val="16"/>
                <w:szCs w:val="16"/>
                <w:lang w:eastAsia="en-US"/>
              </w:rPr>
              <w:t>X</w:t>
            </w: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noProof/>
                <w:color w:val="000000" w:themeColor="text1"/>
                <w:sz w:val="16"/>
                <w:szCs w:val="16"/>
                <w:lang w:eastAsia="en-US"/>
              </w:rPr>
            </w:pPr>
            <w:r w:rsidRPr="00CA682E">
              <w:rPr>
                <w:rFonts w:eastAsia="Times New Roman"/>
                <w:noProof/>
                <w:color w:val="000000" w:themeColor="text1"/>
                <w:sz w:val="16"/>
                <w:szCs w:val="16"/>
                <w:lang w:eastAsia="en-US"/>
              </w:rPr>
              <w:t>X</w:t>
            </w: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noProof/>
                <w:color w:val="000000" w:themeColor="text1"/>
                <w:sz w:val="16"/>
                <w:szCs w:val="16"/>
                <w:lang w:eastAsia="en-US"/>
              </w:rPr>
            </w:pPr>
          </w:p>
        </w:tc>
        <w:tc>
          <w:tcPr>
            <w:tcW w:w="480" w:type="dxa"/>
            <w:tcBorders>
              <w:top w:val="nil"/>
              <w:left w:val="nil"/>
              <w:bottom w:val="single" w:sz="4" w:space="0" w:color="auto"/>
              <w:right w:val="single" w:sz="8" w:space="0" w:color="auto"/>
            </w:tcBorders>
            <w:shd w:val="clear" w:color="auto" w:fill="auto"/>
            <w:noWrap/>
            <w:vAlign w:val="center"/>
            <w:hideMark/>
          </w:tcPr>
          <w:p w:rsidR="00CA682E" w:rsidRPr="00CA682E" w:rsidRDefault="00CA682E" w:rsidP="00CA682E">
            <w:pPr>
              <w:spacing w:before="40" w:after="40"/>
              <w:jc w:val="center"/>
              <w:rPr>
                <w:rFonts w:eastAsia="Times New Roman"/>
                <w:noProof/>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noProof/>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b/>
                <w:bCs/>
                <w:noProof/>
                <w:color w:val="000000" w:themeColor="text1"/>
                <w:kern w:val="32"/>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noProof/>
                <w:color w:val="000000" w:themeColor="text1"/>
                <w:sz w:val="16"/>
                <w:szCs w:val="16"/>
                <w:lang w:eastAsia="en-US"/>
              </w:rPr>
            </w:pPr>
          </w:p>
        </w:tc>
        <w:tc>
          <w:tcPr>
            <w:tcW w:w="480" w:type="dxa"/>
            <w:tcBorders>
              <w:top w:val="nil"/>
              <w:left w:val="nil"/>
              <w:bottom w:val="single" w:sz="4" w:space="0" w:color="auto"/>
              <w:right w:val="single" w:sz="8" w:space="0" w:color="auto"/>
            </w:tcBorders>
            <w:shd w:val="clear" w:color="auto" w:fill="auto"/>
            <w:noWrap/>
            <w:vAlign w:val="center"/>
            <w:hideMark/>
          </w:tcPr>
          <w:p w:rsidR="00CA682E" w:rsidRPr="00CA682E" w:rsidRDefault="00CA682E" w:rsidP="00CA682E">
            <w:pPr>
              <w:spacing w:before="40" w:after="40"/>
              <w:jc w:val="center"/>
              <w:rPr>
                <w:rFonts w:eastAsia="Times New Roman"/>
                <w:noProof/>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noProof/>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noProof/>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noProof/>
                <w:color w:val="000000" w:themeColor="text1"/>
                <w:sz w:val="16"/>
                <w:szCs w:val="16"/>
                <w:lang w:eastAsia="en-US"/>
              </w:rPr>
            </w:pPr>
          </w:p>
        </w:tc>
        <w:tc>
          <w:tcPr>
            <w:tcW w:w="480" w:type="dxa"/>
            <w:tcBorders>
              <w:top w:val="nil"/>
              <w:left w:val="nil"/>
              <w:bottom w:val="single" w:sz="4" w:space="0" w:color="auto"/>
              <w:right w:val="single" w:sz="8" w:space="0" w:color="auto"/>
            </w:tcBorders>
            <w:shd w:val="clear" w:color="auto" w:fill="auto"/>
            <w:noWrap/>
            <w:vAlign w:val="center"/>
            <w:hideMark/>
          </w:tcPr>
          <w:p w:rsidR="00CA682E" w:rsidRPr="00CA682E" w:rsidRDefault="00CA682E" w:rsidP="00CA682E">
            <w:pPr>
              <w:spacing w:before="40" w:after="40"/>
              <w:jc w:val="center"/>
              <w:rPr>
                <w:rFonts w:eastAsia="Times New Roman"/>
                <w:noProof/>
                <w:color w:val="000000" w:themeColor="text1"/>
                <w:sz w:val="16"/>
                <w:szCs w:val="16"/>
                <w:lang w:eastAsia="en-US"/>
              </w:rPr>
            </w:pPr>
          </w:p>
        </w:tc>
      </w:tr>
      <w:tr w:rsidR="00CA682E" w:rsidRPr="00CA682E" w:rsidTr="007B1DE4">
        <w:trPr>
          <w:trHeight w:val="615"/>
          <w:jc w:val="center"/>
        </w:trPr>
        <w:tc>
          <w:tcPr>
            <w:tcW w:w="1840" w:type="dxa"/>
            <w:tcBorders>
              <w:top w:val="nil"/>
              <w:left w:val="single" w:sz="8" w:space="0" w:color="auto"/>
              <w:bottom w:val="single" w:sz="4" w:space="0" w:color="auto"/>
              <w:right w:val="single" w:sz="8" w:space="0" w:color="auto"/>
            </w:tcBorders>
            <w:shd w:val="clear" w:color="auto" w:fill="auto"/>
            <w:noWrap/>
            <w:vAlign w:val="center"/>
            <w:hideMark/>
          </w:tcPr>
          <w:p w:rsidR="00CA682E" w:rsidRPr="00CA682E" w:rsidRDefault="00CA682E" w:rsidP="00CA682E">
            <w:pPr>
              <w:spacing w:before="40" w:after="40"/>
              <w:rPr>
                <w:rFonts w:eastAsia="Times New Roman"/>
                <w:noProof/>
                <w:color w:val="000000" w:themeColor="text1"/>
                <w:sz w:val="16"/>
                <w:szCs w:val="16"/>
                <w:lang w:eastAsia="en-US"/>
              </w:rPr>
            </w:pPr>
            <w:r w:rsidRPr="00CA682E">
              <w:rPr>
                <w:rFonts w:eastAsia="Times New Roman"/>
                <w:noProof/>
                <w:color w:val="000000" w:themeColor="text1"/>
                <w:sz w:val="16"/>
                <w:szCs w:val="16"/>
                <w:lang w:eastAsia="en-US"/>
              </w:rPr>
              <w:t>Adjudicación de contratos a los ingenieros</w:t>
            </w:r>
          </w:p>
        </w:tc>
        <w:tc>
          <w:tcPr>
            <w:tcW w:w="480" w:type="dxa"/>
            <w:tcBorders>
              <w:top w:val="nil"/>
              <w:left w:val="nil"/>
              <w:bottom w:val="single" w:sz="4" w:space="0" w:color="auto"/>
              <w:right w:val="single" w:sz="4" w:space="0" w:color="auto"/>
            </w:tcBorders>
            <w:shd w:val="clear" w:color="auto" w:fill="auto"/>
            <w:noWrap/>
            <w:vAlign w:val="bottom"/>
            <w:hideMark/>
          </w:tcPr>
          <w:p w:rsidR="00CA682E" w:rsidRPr="00CA682E" w:rsidRDefault="00CA682E" w:rsidP="00CA682E">
            <w:pPr>
              <w:spacing w:before="40" w:after="40"/>
              <w:rPr>
                <w:rFonts w:eastAsia="Times New Roman"/>
                <w:noProof/>
                <w:color w:val="000000" w:themeColor="text1"/>
                <w:sz w:val="16"/>
                <w:szCs w:val="16"/>
                <w:lang w:eastAsia="en-US"/>
              </w:rPr>
            </w:pPr>
            <w:r w:rsidRPr="00CA682E">
              <w:rPr>
                <w:rFonts w:eastAsia="Times New Roman"/>
                <w:noProof/>
                <w:color w:val="000000" w:themeColor="text1"/>
                <w:sz w:val="16"/>
                <w:szCs w:val="16"/>
                <w:lang w:eastAsia="en-US"/>
              </w:rPr>
              <w:t> </w:t>
            </w: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noProof/>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noProof/>
                <w:color w:val="000000" w:themeColor="text1"/>
                <w:sz w:val="16"/>
                <w:szCs w:val="16"/>
                <w:lang w:eastAsia="en-US"/>
              </w:rPr>
            </w:pPr>
          </w:p>
        </w:tc>
        <w:tc>
          <w:tcPr>
            <w:tcW w:w="480" w:type="dxa"/>
            <w:tcBorders>
              <w:top w:val="nil"/>
              <w:left w:val="nil"/>
              <w:bottom w:val="single" w:sz="4" w:space="0" w:color="auto"/>
              <w:right w:val="single" w:sz="8" w:space="0" w:color="auto"/>
            </w:tcBorders>
            <w:shd w:val="clear" w:color="auto" w:fill="auto"/>
            <w:noWrap/>
            <w:vAlign w:val="center"/>
            <w:hideMark/>
          </w:tcPr>
          <w:p w:rsidR="00CA682E" w:rsidRPr="00CA682E" w:rsidRDefault="00CA682E" w:rsidP="00CA682E">
            <w:pPr>
              <w:spacing w:before="40" w:after="40"/>
              <w:jc w:val="center"/>
              <w:rPr>
                <w:rFonts w:eastAsia="Times New Roman"/>
                <w:noProof/>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tcPr>
          <w:p w:rsidR="00CA682E" w:rsidRPr="00CA682E" w:rsidRDefault="00CA682E" w:rsidP="00CA682E">
            <w:pPr>
              <w:spacing w:before="40" w:after="40"/>
              <w:jc w:val="center"/>
              <w:rPr>
                <w:rFonts w:eastAsia="Times New Roman"/>
                <w:noProof/>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tcPr>
          <w:p w:rsidR="00CA682E" w:rsidRPr="00CA682E" w:rsidRDefault="00CA682E" w:rsidP="00CA682E">
            <w:pPr>
              <w:spacing w:before="40" w:after="40"/>
              <w:jc w:val="center"/>
              <w:rPr>
                <w:rFonts w:eastAsia="Times New Roman"/>
                <w:noProof/>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noProof/>
                <w:color w:val="000000" w:themeColor="text1"/>
                <w:sz w:val="16"/>
                <w:szCs w:val="16"/>
                <w:lang w:eastAsia="en-US"/>
              </w:rPr>
            </w:pPr>
          </w:p>
        </w:tc>
        <w:tc>
          <w:tcPr>
            <w:tcW w:w="480" w:type="dxa"/>
            <w:tcBorders>
              <w:top w:val="nil"/>
              <w:left w:val="nil"/>
              <w:bottom w:val="single" w:sz="4" w:space="0" w:color="auto"/>
              <w:right w:val="single" w:sz="8" w:space="0" w:color="auto"/>
            </w:tcBorders>
            <w:shd w:val="clear" w:color="auto" w:fill="auto"/>
            <w:noWrap/>
            <w:vAlign w:val="center"/>
            <w:hideMark/>
          </w:tcPr>
          <w:p w:rsidR="00CA682E" w:rsidRPr="00CA682E" w:rsidRDefault="00CA682E" w:rsidP="00CA682E">
            <w:pPr>
              <w:spacing w:before="40" w:after="40"/>
              <w:jc w:val="center"/>
              <w:rPr>
                <w:rFonts w:eastAsia="Times New Roman"/>
                <w:noProof/>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noProof/>
                <w:color w:val="000000" w:themeColor="text1"/>
                <w:sz w:val="16"/>
                <w:szCs w:val="16"/>
                <w:lang w:eastAsia="en-US"/>
              </w:rPr>
            </w:pPr>
            <w:r w:rsidRPr="00CA682E">
              <w:rPr>
                <w:rFonts w:eastAsia="Times New Roman"/>
                <w:noProof/>
                <w:color w:val="000000" w:themeColor="text1"/>
                <w:sz w:val="16"/>
                <w:szCs w:val="16"/>
                <w:lang w:eastAsia="en-US"/>
              </w:rPr>
              <w:t>X</w:t>
            </w: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noProof/>
                <w:color w:val="000000" w:themeColor="text1"/>
                <w:sz w:val="16"/>
                <w:szCs w:val="16"/>
                <w:lang w:eastAsia="en-US"/>
              </w:rPr>
            </w:pPr>
            <w:r w:rsidRPr="00CA682E">
              <w:rPr>
                <w:rFonts w:eastAsia="Times New Roman"/>
                <w:noProof/>
                <w:color w:val="000000" w:themeColor="text1"/>
                <w:sz w:val="16"/>
                <w:szCs w:val="16"/>
                <w:lang w:eastAsia="en-US"/>
              </w:rPr>
              <w:t>X</w:t>
            </w: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noProof/>
                <w:color w:val="000000" w:themeColor="text1"/>
                <w:sz w:val="16"/>
                <w:szCs w:val="16"/>
                <w:lang w:eastAsia="en-US"/>
              </w:rPr>
            </w:pPr>
          </w:p>
        </w:tc>
        <w:tc>
          <w:tcPr>
            <w:tcW w:w="480" w:type="dxa"/>
            <w:tcBorders>
              <w:top w:val="nil"/>
              <w:left w:val="nil"/>
              <w:bottom w:val="single" w:sz="4" w:space="0" w:color="auto"/>
              <w:right w:val="single" w:sz="8" w:space="0" w:color="auto"/>
            </w:tcBorders>
            <w:shd w:val="clear" w:color="auto" w:fill="auto"/>
            <w:noWrap/>
            <w:vAlign w:val="center"/>
            <w:hideMark/>
          </w:tcPr>
          <w:p w:rsidR="00CA682E" w:rsidRPr="00CA682E" w:rsidRDefault="00CA682E" w:rsidP="00CA682E">
            <w:pPr>
              <w:spacing w:before="40" w:after="40"/>
              <w:jc w:val="center"/>
              <w:rPr>
                <w:rFonts w:eastAsia="Times New Roman"/>
                <w:noProof/>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noProof/>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noProof/>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noProof/>
                <w:color w:val="000000" w:themeColor="text1"/>
                <w:sz w:val="16"/>
                <w:szCs w:val="16"/>
                <w:lang w:eastAsia="en-US"/>
              </w:rPr>
            </w:pPr>
          </w:p>
        </w:tc>
        <w:tc>
          <w:tcPr>
            <w:tcW w:w="480" w:type="dxa"/>
            <w:tcBorders>
              <w:top w:val="nil"/>
              <w:left w:val="nil"/>
              <w:bottom w:val="single" w:sz="4" w:space="0" w:color="auto"/>
              <w:right w:val="single" w:sz="8" w:space="0" w:color="auto"/>
            </w:tcBorders>
            <w:shd w:val="clear" w:color="auto" w:fill="auto"/>
            <w:noWrap/>
            <w:vAlign w:val="center"/>
            <w:hideMark/>
          </w:tcPr>
          <w:p w:rsidR="00CA682E" w:rsidRPr="00CA682E" w:rsidRDefault="00CA682E" w:rsidP="00CA682E">
            <w:pPr>
              <w:spacing w:before="40" w:after="40"/>
              <w:jc w:val="center"/>
              <w:rPr>
                <w:rFonts w:eastAsia="Times New Roman"/>
                <w:noProof/>
                <w:color w:val="000000" w:themeColor="text1"/>
                <w:sz w:val="16"/>
                <w:szCs w:val="16"/>
                <w:lang w:eastAsia="en-US"/>
              </w:rPr>
            </w:pPr>
          </w:p>
        </w:tc>
      </w:tr>
      <w:tr w:rsidR="00CA682E" w:rsidRPr="00CA682E" w:rsidTr="007B1DE4">
        <w:trPr>
          <w:trHeight w:val="615"/>
          <w:jc w:val="center"/>
        </w:trPr>
        <w:tc>
          <w:tcPr>
            <w:tcW w:w="1840" w:type="dxa"/>
            <w:tcBorders>
              <w:top w:val="nil"/>
              <w:left w:val="single" w:sz="8" w:space="0" w:color="auto"/>
              <w:bottom w:val="single" w:sz="4" w:space="0" w:color="auto"/>
              <w:right w:val="single" w:sz="8" w:space="0" w:color="auto"/>
            </w:tcBorders>
            <w:shd w:val="clear" w:color="auto" w:fill="auto"/>
            <w:noWrap/>
            <w:vAlign w:val="center"/>
            <w:hideMark/>
          </w:tcPr>
          <w:p w:rsidR="00CA682E" w:rsidRPr="00CA682E" w:rsidRDefault="00CA682E" w:rsidP="00CA682E">
            <w:pPr>
              <w:spacing w:before="40" w:after="40"/>
              <w:rPr>
                <w:rFonts w:eastAsia="Times New Roman"/>
                <w:noProof/>
                <w:color w:val="000000" w:themeColor="text1"/>
                <w:sz w:val="16"/>
                <w:szCs w:val="16"/>
                <w:lang w:eastAsia="en-US"/>
              </w:rPr>
            </w:pPr>
            <w:r w:rsidRPr="00CA682E">
              <w:rPr>
                <w:rFonts w:eastAsia="Times New Roman"/>
                <w:noProof/>
                <w:color w:val="000000" w:themeColor="text1"/>
                <w:sz w:val="16"/>
                <w:szCs w:val="16"/>
                <w:lang w:eastAsia="en-US"/>
              </w:rPr>
              <w:t>Examen exhaustivo de la ejecución de las obras</w:t>
            </w:r>
          </w:p>
        </w:tc>
        <w:tc>
          <w:tcPr>
            <w:tcW w:w="480" w:type="dxa"/>
            <w:tcBorders>
              <w:top w:val="nil"/>
              <w:left w:val="nil"/>
              <w:bottom w:val="single" w:sz="4" w:space="0" w:color="auto"/>
              <w:right w:val="single" w:sz="4" w:space="0" w:color="auto"/>
            </w:tcBorders>
            <w:shd w:val="clear" w:color="auto" w:fill="auto"/>
            <w:noWrap/>
            <w:vAlign w:val="bottom"/>
            <w:hideMark/>
          </w:tcPr>
          <w:p w:rsidR="00CA682E" w:rsidRPr="00CA682E" w:rsidRDefault="00CA682E" w:rsidP="00CA682E">
            <w:pPr>
              <w:spacing w:before="40" w:after="40"/>
              <w:rPr>
                <w:rFonts w:eastAsia="Times New Roman"/>
                <w:noProof/>
                <w:color w:val="000000" w:themeColor="text1"/>
                <w:sz w:val="16"/>
                <w:szCs w:val="16"/>
                <w:lang w:eastAsia="en-US"/>
              </w:rPr>
            </w:pPr>
            <w:r w:rsidRPr="00CA682E">
              <w:rPr>
                <w:rFonts w:eastAsia="Times New Roman"/>
                <w:noProof/>
                <w:color w:val="000000" w:themeColor="text1"/>
                <w:sz w:val="16"/>
                <w:szCs w:val="16"/>
                <w:lang w:eastAsia="en-US"/>
              </w:rPr>
              <w:t> </w:t>
            </w: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noProof/>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noProof/>
                <w:color w:val="000000" w:themeColor="text1"/>
                <w:sz w:val="16"/>
                <w:szCs w:val="16"/>
                <w:lang w:eastAsia="en-US"/>
              </w:rPr>
            </w:pPr>
          </w:p>
        </w:tc>
        <w:tc>
          <w:tcPr>
            <w:tcW w:w="480" w:type="dxa"/>
            <w:tcBorders>
              <w:top w:val="nil"/>
              <w:left w:val="nil"/>
              <w:bottom w:val="single" w:sz="4" w:space="0" w:color="auto"/>
              <w:right w:val="single" w:sz="8" w:space="0" w:color="auto"/>
            </w:tcBorders>
            <w:shd w:val="clear" w:color="auto" w:fill="auto"/>
            <w:noWrap/>
            <w:vAlign w:val="center"/>
            <w:hideMark/>
          </w:tcPr>
          <w:p w:rsidR="00CA682E" w:rsidRPr="00CA682E" w:rsidRDefault="00CA682E" w:rsidP="00CA682E">
            <w:pPr>
              <w:spacing w:before="40" w:after="40"/>
              <w:jc w:val="center"/>
              <w:rPr>
                <w:rFonts w:eastAsia="Times New Roman"/>
                <w:noProof/>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noProof/>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noProof/>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noProof/>
                <w:color w:val="000000" w:themeColor="text1"/>
                <w:sz w:val="16"/>
                <w:szCs w:val="16"/>
                <w:lang w:eastAsia="en-US"/>
              </w:rPr>
            </w:pPr>
          </w:p>
        </w:tc>
        <w:tc>
          <w:tcPr>
            <w:tcW w:w="480" w:type="dxa"/>
            <w:tcBorders>
              <w:top w:val="nil"/>
              <w:left w:val="nil"/>
              <w:bottom w:val="single" w:sz="4" w:space="0" w:color="auto"/>
              <w:right w:val="single" w:sz="8" w:space="0" w:color="auto"/>
            </w:tcBorders>
            <w:shd w:val="clear" w:color="auto" w:fill="auto"/>
            <w:noWrap/>
            <w:vAlign w:val="center"/>
            <w:hideMark/>
          </w:tcPr>
          <w:p w:rsidR="00CA682E" w:rsidRPr="00CA682E" w:rsidRDefault="00CA682E" w:rsidP="00CA682E">
            <w:pPr>
              <w:spacing w:before="40" w:after="40"/>
              <w:jc w:val="center"/>
              <w:rPr>
                <w:rFonts w:eastAsia="Times New Roman"/>
                <w:noProof/>
                <w:color w:val="000000" w:themeColor="text1"/>
                <w:sz w:val="16"/>
                <w:szCs w:val="16"/>
                <w:lang w:eastAsia="en-US"/>
              </w:rPr>
            </w:pPr>
            <w:r w:rsidRPr="00CA682E">
              <w:rPr>
                <w:rFonts w:eastAsia="Times New Roman"/>
                <w:noProof/>
                <w:color w:val="000000" w:themeColor="text1"/>
                <w:sz w:val="16"/>
                <w:szCs w:val="16"/>
                <w:lang w:eastAsia="en-US"/>
              </w:rPr>
              <w:t>X</w:t>
            </w: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noProof/>
                <w:color w:val="000000" w:themeColor="text1"/>
                <w:sz w:val="16"/>
                <w:szCs w:val="16"/>
                <w:lang w:eastAsia="en-US"/>
              </w:rPr>
            </w:pPr>
            <w:r w:rsidRPr="00CA682E">
              <w:rPr>
                <w:rFonts w:eastAsia="Times New Roman"/>
                <w:noProof/>
                <w:color w:val="000000" w:themeColor="text1"/>
                <w:sz w:val="16"/>
                <w:szCs w:val="16"/>
                <w:lang w:eastAsia="en-US"/>
              </w:rPr>
              <w:t>X</w:t>
            </w: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noProof/>
                <w:color w:val="000000" w:themeColor="text1"/>
                <w:sz w:val="16"/>
                <w:szCs w:val="16"/>
                <w:lang w:eastAsia="en-US"/>
              </w:rPr>
            </w:pPr>
            <w:r w:rsidRPr="00CA682E">
              <w:rPr>
                <w:rFonts w:eastAsia="Times New Roman"/>
                <w:noProof/>
                <w:color w:val="000000" w:themeColor="text1"/>
                <w:sz w:val="16"/>
                <w:szCs w:val="16"/>
                <w:lang w:eastAsia="en-US"/>
              </w:rPr>
              <w:t>X</w:t>
            </w: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noProof/>
                <w:color w:val="000000" w:themeColor="text1"/>
                <w:sz w:val="16"/>
                <w:szCs w:val="16"/>
                <w:lang w:eastAsia="en-US"/>
              </w:rPr>
            </w:pPr>
          </w:p>
        </w:tc>
        <w:tc>
          <w:tcPr>
            <w:tcW w:w="480" w:type="dxa"/>
            <w:tcBorders>
              <w:top w:val="nil"/>
              <w:left w:val="nil"/>
              <w:bottom w:val="single" w:sz="4" w:space="0" w:color="auto"/>
              <w:right w:val="single" w:sz="8" w:space="0" w:color="auto"/>
            </w:tcBorders>
            <w:shd w:val="clear" w:color="auto" w:fill="auto"/>
            <w:noWrap/>
            <w:vAlign w:val="center"/>
            <w:hideMark/>
          </w:tcPr>
          <w:p w:rsidR="00CA682E" w:rsidRPr="00CA682E" w:rsidRDefault="00CA682E" w:rsidP="00CA682E">
            <w:pPr>
              <w:spacing w:before="40" w:after="40"/>
              <w:jc w:val="center"/>
              <w:rPr>
                <w:rFonts w:eastAsia="Times New Roman"/>
                <w:noProof/>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noProof/>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noProof/>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noProof/>
                <w:color w:val="000000" w:themeColor="text1"/>
                <w:sz w:val="16"/>
                <w:szCs w:val="16"/>
                <w:lang w:eastAsia="en-US"/>
              </w:rPr>
            </w:pPr>
          </w:p>
        </w:tc>
        <w:tc>
          <w:tcPr>
            <w:tcW w:w="480" w:type="dxa"/>
            <w:tcBorders>
              <w:top w:val="nil"/>
              <w:left w:val="nil"/>
              <w:bottom w:val="single" w:sz="4" w:space="0" w:color="auto"/>
              <w:right w:val="single" w:sz="8" w:space="0" w:color="auto"/>
            </w:tcBorders>
            <w:shd w:val="clear" w:color="auto" w:fill="auto"/>
            <w:noWrap/>
            <w:vAlign w:val="center"/>
            <w:hideMark/>
          </w:tcPr>
          <w:p w:rsidR="00CA682E" w:rsidRPr="00CA682E" w:rsidRDefault="00CA682E" w:rsidP="00CA682E">
            <w:pPr>
              <w:spacing w:before="40" w:after="40"/>
              <w:jc w:val="center"/>
              <w:rPr>
                <w:rFonts w:eastAsia="Times New Roman"/>
                <w:noProof/>
                <w:color w:val="000000" w:themeColor="text1"/>
                <w:sz w:val="16"/>
                <w:szCs w:val="16"/>
                <w:lang w:eastAsia="en-US"/>
              </w:rPr>
            </w:pPr>
          </w:p>
        </w:tc>
      </w:tr>
      <w:tr w:rsidR="00CA682E" w:rsidRPr="00CA682E" w:rsidTr="007B1DE4">
        <w:trPr>
          <w:trHeight w:val="615"/>
          <w:jc w:val="center"/>
        </w:trPr>
        <w:tc>
          <w:tcPr>
            <w:tcW w:w="1840" w:type="dxa"/>
            <w:tcBorders>
              <w:top w:val="nil"/>
              <w:left w:val="single" w:sz="8" w:space="0" w:color="auto"/>
              <w:bottom w:val="single" w:sz="4" w:space="0" w:color="auto"/>
              <w:right w:val="single" w:sz="8" w:space="0" w:color="auto"/>
            </w:tcBorders>
            <w:shd w:val="clear" w:color="auto" w:fill="auto"/>
            <w:noWrap/>
            <w:vAlign w:val="center"/>
          </w:tcPr>
          <w:p w:rsidR="00CA682E" w:rsidRPr="00CA682E" w:rsidRDefault="00CA682E" w:rsidP="00CA682E">
            <w:pPr>
              <w:spacing w:before="40" w:after="40"/>
              <w:rPr>
                <w:rFonts w:eastAsia="Times New Roman"/>
                <w:noProof/>
                <w:color w:val="000000" w:themeColor="text1"/>
                <w:sz w:val="16"/>
                <w:szCs w:val="16"/>
                <w:lang w:eastAsia="en-US"/>
              </w:rPr>
            </w:pPr>
            <w:r w:rsidRPr="00CA682E">
              <w:rPr>
                <w:rFonts w:eastAsia="Times New Roman"/>
                <w:noProof/>
                <w:color w:val="000000" w:themeColor="text1"/>
                <w:sz w:val="16"/>
                <w:szCs w:val="16"/>
                <w:lang w:eastAsia="en-US"/>
              </w:rPr>
              <w:t>Llamado a licitación y selección de empresas</w:t>
            </w:r>
          </w:p>
        </w:tc>
        <w:tc>
          <w:tcPr>
            <w:tcW w:w="480" w:type="dxa"/>
            <w:tcBorders>
              <w:top w:val="nil"/>
              <w:left w:val="nil"/>
              <w:bottom w:val="single" w:sz="4" w:space="0" w:color="auto"/>
              <w:right w:val="single" w:sz="4" w:space="0" w:color="auto"/>
            </w:tcBorders>
            <w:shd w:val="clear" w:color="auto" w:fill="auto"/>
            <w:noWrap/>
            <w:vAlign w:val="bottom"/>
          </w:tcPr>
          <w:p w:rsidR="00CA682E" w:rsidRPr="00CA682E" w:rsidRDefault="00CA682E" w:rsidP="00CA682E">
            <w:pPr>
              <w:spacing w:before="40" w:after="40"/>
              <w:rPr>
                <w:rFonts w:eastAsia="Times New Roman"/>
                <w:noProof/>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tcPr>
          <w:p w:rsidR="00CA682E" w:rsidRPr="00CA682E" w:rsidRDefault="00CA682E" w:rsidP="00CA682E">
            <w:pPr>
              <w:spacing w:before="40" w:after="40"/>
              <w:jc w:val="center"/>
              <w:rPr>
                <w:rFonts w:eastAsia="Times New Roman"/>
                <w:noProof/>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tcPr>
          <w:p w:rsidR="00CA682E" w:rsidRPr="00CA682E" w:rsidRDefault="00CA682E" w:rsidP="00CA682E">
            <w:pPr>
              <w:spacing w:before="40" w:after="40"/>
              <w:jc w:val="center"/>
              <w:rPr>
                <w:rFonts w:eastAsia="Times New Roman"/>
                <w:noProof/>
                <w:color w:val="000000" w:themeColor="text1"/>
                <w:sz w:val="16"/>
                <w:szCs w:val="16"/>
                <w:lang w:eastAsia="en-US"/>
              </w:rPr>
            </w:pPr>
          </w:p>
        </w:tc>
        <w:tc>
          <w:tcPr>
            <w:tcW w:w="480" w:type="dxa"/>
            <w:tcBorders>
              <w:top w:val="nil"/>
              <w:left w:val="nil"/>
              <w:bottom w:val="single" w:sz="4" w:space="0" w:color="auto"/>
              <w:right w:val="single" w:sz="8" w:space="0" w:color="auto"/>
            </w:tcBorders>
            <w:shd w:val="clear" w:color="auto" w:fill="auto"/>
            <w:noWrap/>
            <w:vAlign w:val="center"/>
          </w:tcPr>
          <w:p w:rsidR="00CA682E" w:rsidRPr="00CA682E" w:rsidRDefault="00CA682E" w:rsidP="00CA682E">
            <w:pPr>
              <w:spacing w:before="40" w:after="40"/>
              <w:jc w:val="center"/>
              <w:rPr>
                <w:rFonts w:eastAsia="Times New Roman"/>
                <w:noProof/>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tcPr>
          <w:p w:rsidR="00CA682E" w:rsidRPr="00CA682E" w:rsidRDefault="00CA682E" w:rsidP="00CA682E">
            <w:pPr>
              <w:spacing w:before="40" w:after="40"/>
              <w:jc w:val="center"/>
              <w:rPr>
                <w:rFonts w:eastAsia="Times New Roman"/>
                <w:noProof/>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tcPr>
          <w:p w:rsidR="00CA682E" w:rsidRPr="00CA682E" w:rsidRDefault="00CA682E" w:rsidP="00CA682E">
            <w:pPr>
              <w:spacing w:before="40" w:after="40"/>
              <w:jc w:val="center"/>
              <w:rPr>
                <w:rFonts w:eastAsia="Times New Roman"/>
                <w:noProof/>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tcPr>
          <w:p w:rsidR="00CA682E" w:rsidRPr="00CA682E" w:rsidRDefault="00CA682E" w:rsidP="00CA682E">
            <w:pPr>
              <w:spacing w:before="40" w:after="40"/>
              <w:jc w:val="center"/>
              <w:rPr>
                <w:rFonts w:eastAsia="Times New Roman"/>
                <w:noProof/>
                <w:color w:val="000000" w:themeColor="text1"/>
                <w:sz w:val="16"/>
                <w:szCs w:val="16"/>
                <w:lang w:eastAsia="en-US"/>
              </w:rPr>
            </w:pPr>
          </w:p>
        </w:tc>
        <w:tc>
          <w:tcPr>
            <w:tcW w:w="480" w:type="dxa"/>
            <w:tcBorders>
              <w:top w:val="nil"/>
              <w:left w:val="nil"/>
              <w:bottom w:val="single" w:sz="4" w:space="0" w:color="auto"/>
              <w:right w:val="single" w:sz="8" w:space="0" w:color="auto"/>
            </w:tcBorders>
            <w:shd w:val="clear" w:color="auto" w:fill="auto"/>
            <w:noWrap/>
            <w:vAlign w:val="center"/>
          </w:tcPr>
          <w:p w:rsidR="00CA682E" w:rsidRPr="00CA682E" w:rsidRDefault="00CA682E" w:rsidP="00CA682E">
            <w:pPr>
              <w:spacing w:before="40" w:after="40"/>
              <w:jc w:val="center"/>
              <w:rPr>
                <w:rFonts w:eastAsia="Times New Roman"/>
                <w:noProof/>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tcPr>
          <w:p w:rsidR="00CA682E" w:rsidRPr="00CA682E" w:rsidRDefault="00CA682E" w:rsidP="00CA682E">
            <w:pPr>
              <w:spacing w:before="40" w:after="40"/>
              <w:jc w:val="center"/>
              <w:rPr>
                <w:rFonts w:eastAsia="Times New Roman"/>
                <w:noProof/>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tcPr>
          <w:p w:rsidR="00CA682E" w:rsidRPr="00CA682E" w:rsidRDefault="00CA682E" w:rsidP="00CA682E">
            <w:pPr>
              <w:spacing w:before="40" w:after="40"/>
              <w:jc w:val="center"/>
              <w:rPr>
                <w:rFonts w:eastAsia="Times New Roman"/>
                <w:noProof/>
                <w:color w:val="000000" w:themeColor="text1"/>
                <w:sz w:val="16"/>
                <w:szCs w:val="16"/>
                <w:lang w:eastAsia="en-US"/>
              </w:rPr>
            </w:pPr>
            <w:r w:rsidRPr="00CA682E">
              <w:rPr>
                <w:rFonts w:eastAsia="Times New Roman"/>
                <w:noProof/>
                <w:color w:val="000000" w:themeColor="text1"/>
                <w:sz w:val="16"/>
                <w:szCs w:val="16"/>
                <w:lang w:eastAsia="en-US"/>
              </w:rPr>
              <w:t>X</w:t>
            </w:r>
          </w:p>
        </w:tc>
        <w:tc>
          <w:tcPr>
            <w:tcW w:w="480" w:type="dxa"/>
            <w:tcBorders>
              <w:top w:val="nil"/>
              <w:left w:val="nil"/>
              <w:bottom w:val="single" w:sz="4" w:space="0" w:color="auto"/>
              <w:right w:val="single" w:sz="4" w:space="0" w:color="auto"/>
            </w:tcBorders>
            <w:shd w:val="clear" w:color="auto" w:fill="auto"/>
            <w:noWrap/>
            <w:vAlign w:val="center"/>
          </w:tcPr>
          <w:p w:rsidR="00CA682E" w:rsidRPr="00CA682E" w:rsidRDefault="00CA682E" w:rsidP="00CA682E">
            <w:pPr>
              <w:spacing w:before="40" w:after="40"/>
              <w:jc w:val="center"/>
              <w:rPr>
                <w:rFonts w:eastAsia="Times New Roman"/>
                <w:noProof/>
                <w:color w:val="000000" w:themeColor="text1"/>
                <w:sz w:val="16"/>
                <w:szCs w:val="16"/>
                <w:lang w:eastAsia="en-US"/>
              </w:rPr>
            </w:pPr>
            <w:r w:rsidRPr="00CA682E">
              <w:rPr>
                <w:rFonts w:eastAsia="Times New Roman"/>
                <w:noProof/>
                <w:color w:val="000000" w:themeColor="text1"/>
                <w:sz w:val="16"/>
                <w:szCs w:val="16"/>
                <w:lang w:eastAsia="en-US"/>
              </w:rPr>
              <w:t>X</w:t>
            </w:r>
          </w:p>
        </w:tc>
        <w:tc>
          <w:tcPr>
            <w:tcW w:w="480" w:type="dxa"/>
            <w:tcBorders>
              <w:top w:val="nil"/>
              <w:left w:val="nil"/>
              <w:bottom w:val="single" w:sz="4" w:space="0" w:color="auto"/>
              <w:right w:val="single" w:sz="8" w:space="0" w:color="auto"/>
            </w:tcBorders>
            <w:shd w:val="clear" w:color="auto" w:fill="auto"/>
            <w:noWrap/>
            <w:vAlign w:val="center"/>
          </w:tcPr>
          <w:p w:rsidR="00CA682E" w:rsidRPr="00CA682E" w:rsidRDefault="00CA682E" w:rsidP="00CA682E">
            <w:pPr>
              <w:spacing w:before="40" w:after="40"/>
              <w:jc w:val="center"/>
              <w:rPr>
                <w:rFonts w:eastAsia="Times New Roman"/>
                <w:noProof/>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tcPr>
          <w:p w:rsidR="00CA682E" w:rsidRPr="00CA682E" w:rsidRDefault="00CA682E" w:rsidP="00CA682E">
            <w:pPr>
              <w:spacing w:before="40" w:after="40"/>
              <w:jc w:val="center"/>
              <w:rPr>
                <w:rFonts w:eastAsia="Times New Roman"/>
                <w:noProof/>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tcPr>
          <w:p w:rsidR="00CA682E" w:rsidRPr="00CA682E" w:rsidRDefault="00CA682E" w:rsidP="00CA682E">
            <w:pPr>
              <w:spacing w:before="40" w:after="40"/>
              <w:jc w:val="center"/>
              <w:rPr>
                <w:rFonts w:eastAsia="Times New Roman"/>
                <w:noProof/>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tcPr>
          <w:p w:rsidR="00CA682E" w:rsidRPr="00CA682E" w:rsidRDefault="00CA682E" w:rsidP="00CA682E">
            <w:pPr>
              <w:spacing w:before="40" w:after="40"/>
              <w:jc w:val="center"/>
              <w:rPr>
                <w:rFonts w:eastAsia="Times New Roman"/>
                <w:noProof/>
                <w:color w:val="000000" w:themeColor="text1"/>
                <w:sz w:val="16"/>
                <w:szCs w:val="16"/>
                <w:lang w:eastAsia="en-US"/>
              </w:rPr>
            </w:pPr>
          </w:p>
        </w:tc>
        <w:tc>
          <w:tcPr>
            <w:tcW w:w="480" w:type="dxa"/>
            <w:tcBorders>
              <w:top w:val="nil"/>
              <w:left w:val="nil"/>
              <w:bottom w:val="single" w:sz="4" w:space="0" w:color="auto"/>
              <w:right w:val="single" w:sz="8" w:space="0" w:color="auto"/>
            </w:tcBorders>
            <w:shd w:val="clear" w:color="auto" w:fill="auto"/>
            <w:noWrap/>
            <w:vAlign w:val="center"/>
          </w:tcPr>
          <w:p w:rsidR="00CA682E" w:rsidRPr="00CA682E" w:rsidRDefault="00CA682E" w:rsidP="00CA682E">
            <w:pPr>
              <w:spacing w:before="40" w:after="40"/>
              <w:jc w:val="center"/>
              <w:rPr>
                <w:rFonts w:eastAsia="Times New Roman"/>
                <w:noProof/>
                <w:color w:val="000000" w:themeColor="text1"/>
                <w:sz w:val="16"/>
                <w:szCs w:val="16"/>
                <w:lang w:eastAsia="en-US"/>
              </w:rPr>
            </w:pPr>
          </w:p>
        </w:tc>
      </w:tr>
      <w:tr w:rsidR="00CA682E" w:rsidRPr="00CA682E" w:rsidTr="007B1DE4">
        <w:trPr>
          <w:trHeight w:val="425"/>
          <w:jc w:val="center"/>
        </w:trPr>
        <w:tc>
          <w:tcPr>
            <w:tcW w:w="1840" w:type="dxa"/>
            <w:tcBorders>
              <w:top w:val="nil"/>
              <w:left w:val="single" w:sz="8" w:space="0" w:color="auto"/>
              <w:bottom w:val="single" w:sz="4" w:space="0" w:color="auto"/>
              <w:right w:val="single" w:sz="8" w:space="0" w:color="auto"/>
            </w:tcBorders>
            <w:shd w:val="clear" w:color="auto" w:fill="auto"/>
            <w:noWrap/>
            <w:vAlign w:val="center"/>
          </w:tcPr>
          <w:p w:rsidR="00CA682E" w:rsidRPr="00CA682E" w:rsidRDefault="00CA682E" w:rsidP="00CA682E">
            <w:pPr>
              <w:spacing w:before="40" w:after="40"/>
              <w:rPr>
                <w:rFonts w:eastAsia="Times New Roman"/>
                <w:noProof/>
                <w:color w:val="000000" w:themeColor="text1"/>
                <w:sz w:val="16"/>
                <w:szCs w:val="16"/>
                <w:lang w:eastAsia="en-US"/>
              </w:rPr>
            </w:pPr>
            <w:r w:rsidRPr="00CA682E">
              <w:rPr>
                <w:rFonts w:eastAsia="Times New Roman"/>
                <w:noProof/>
                <w:color w:val="000000" w:themeColor="text1"/>
                <w:sz w:val="16"/>
                <w:szCs w:val="16"/>
                <w:lang w:eastAsia="en-US"/>
              </w:rPr>
              <w:t>Obra</w:t>
            </w:r>
          </w:p>
        </w:tc>
        <w:tc>
          <w:tcPr>
            <w:tcW w:w="480" w:type="dxa"/>
            <w:tcBorders>
              <w:top w:val="nil"/>
              <w:left w:val="nil"/>
              <w:bottom w:val="single" w:sz="4" w:space="0" w:color="auto"/>
              <w:right w:val="single" w:sz="4" w:space="0" w:color="auto"/>
            </w:tcBorders>
            <w:shd w:val="clear" w:color="auto" w:fill="auto"/>
            <w:noWrap/>
            <w:vAlign w:val="bottom"/>
          </w:tcPr>
          <w:p w:rsidR="00CA682E" w:rsidRPr="00CA682E" w:rsidRDefault="00CA682E" w:rsidP="00CA682E">
            <w:pPr>
              <w:spacing w:before="40" w:after="40"/>
              <w:rPr>
                <w:rFonts w:eastAsia="Times New Roman"/>
                <w:noProof/>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tcPr>
          <w:p w:rsidR="00CA682E" w:rsidRPr="00CA682E" w:rsidRDefault="00CA682E" w:rsidP="00CA682E">
            <w:pPr>
              <w:spacing w:before="40" w:after="40"/>
              <w:jc w:val="center"/>
              <w:rPr>
                <w:rFonts w:eastAsia="Times New Roman"/>
                <w:noProof/>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tcPr>
          <w:p w:rsidR="00CA682E" w:rsidRPr="00CA682E" w:rsidRDefault="00CA682E" w:rsidP="00CA682E">
            <w:pPr>
              <w:spacing w:before="40" w:after="40"/>
              <w:jc w:val="center"/>
              <w:rPr>
                <w:rFonts w:eastAsia="Times New Roman"/>
                <w:noProof/>
                <w:color w:val="000000" w:themeColor="text1"/>
                <w:sz w:val="16"/>
                <w:szCs w:val="16"/>
                <w:lang w:eastAsia="en-US"/>
              </w:rPr>
            </w:pPr>
          </w:p>
        </w:tc>
        <w:tc>
          <w:tcPr>
            <w:tcW w:w="480" w:type="dxa"/>
            <w:tcBorders>
              <w:top w:val="nil"/>
              <w:left w:val="nil"/>
              <w:bottom w:val="single" w:sz="4" w:space="0" w:color="auto"/>
              <w:right w:val="single" w:sz="8" w:space="0" w:color="auto"/>
            </w:tcBorders>
            <w:shd w:val="clear" w:color="auto" w:fill="auto"/>
            <w:noWrap/>
            <w:vAlign w:val="center"/>
          </w:tcPr>
          <w:p w:rsidR="00CA682E" w:rsidRPr="00CA682E" w:rsidRDefault="00CA682E" w:rsidP="00CA682E">
            <w:pPr>
              <w:spacing w:before="40" w:after="40"/>
              <w:jc w:val="center"/>
              <w:rPr>
                <w:rFonts w:eastAsia="Times New Roman"/>
                <w:noProof/>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tcPr>
          <w:p w:rsidR="00CA682E" w:rsidRPr="00CA682E" w:rsidRDefault="00CA682E" w:rsidP="00CA682E">
            <w:pPr>
              <w:spacing w:before="40" w:after="40"/>
              <w:jc w:val="center"/>
              <w:rPr>
                <w:rFonts w:eastAsia="Times New Roman"/>
                <w:noProof/>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tcPr>
          <w:p w:rsidR="00CA682E" w:rsidRPr="00CA682E" w:rsidRDefault="00CA682E" w:rsidP="00CA682E">
            <w:pPr>
              <w:spacing w:before="40" w:after="40"/>
              <w:jc w:val="center"/>
              <w:rPr>
                <w:rFonts w:eastAsia="Times New Roman"/>
                <w:noProof/>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tcPr>
          <w:p w:rsidR="00CA682E" w:rsidRPr="00CA682E" w:rsidRDefault="00CA682E" w:rsidP="00CA682E">
            <w:pPr>
              <w:spacing w:before="40" w:after="40"/>
              <w:jc w:val="center"/>
              <w:rPr>
                <w:rFonts w:eastAsia="Times New Roman"/>
                <w:noProof/>
                <w:color w:val="000000" w:themeColor="text1"/>
                <w:sz w:val="16"/>
                <w:szCs w:val="16"/>
                <w:lang w:eastAsia="en-US"/>
              </w:rPr>
            </w:pPr>
          </w:p>
        </w:tc>
        <w:tc>
          <w:tcPr>
            <w:tcW w:w="480" w:type="dxa"/>
            <w:tcBorders>
              <w:top w:val="nil"/>
              <w:left w:val="nil"/>
              <w:bottom w:val="single" w:sz="4" w:space="0" w:color="auto"/>
              <w:right w:val="single" w:sz="8" w:space="0" w:color="auto"/>
            </w:tcBorders>
            <w:shd w:val="clear" w:color="auto" w:fill="auto"/>
            <w:noWrap/>
            <w:vAlign w:val="center"/>
          </w:tcPr>
          <w:p w:rsidR="00CA682E" w:rsidRPr="00CA682E" w:rsidRDefault="00CA682E" w:rsidP="00CA682E">
            <w:pPr>
              <w:spacing w:before="40" w:after="40"/>
              <w:jc w:val="center"/>
              <w:rPr>
                <w:rFonts w:eastAsia="Times New Roman"/>
                <w:noProof/>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tcPr>
          <w:p w:rsidR="00CA682E" w:rsidRPr="00CA682E" w:rsidRDefault="00CA682E" w:rsidP="00CA682E">
            <w:pPr>
              <w:spacing w:before="40" w:after="40"/>
              <w:jc w:val="center"/>
              <w:rPr>
                <w:rFonts w:eastAsia="Times New Roman"/>
                <w:noProof/>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tcPr>
          <w:p w:rsidR="00CA682E" w:rsidRPr="00CA682E" w:rsidRDefault="00CA682E" w:rsidP="00CA682E">
            <w:pPr>
              <w:spacing w:before="40" w:after="40"/>
              <w:jc w:val="center"/>
              <w:rPr>
                <w:rFonts w:eastAsia="Times New Roman"/>
                <w:noProof/>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tcPr>
          <w:p w:rsidR="00CA682E" w:rsidRPr="00CA682E" w:rsidRDefault="00CA682E" w:rsidP="00CA682E">
            <w:pPr>
              <w:spacing w:before="40" w:after="40"/>
              <w:jc w:val="center"/>
              <w:rPr>
                <w:rFonts w:eastAsia="Times New Roman"/>
                <w:noProof/>
                <w:color w:val="000000" w:themeColor="text1"/>
                <w:sz w:val="16"/>
                <w:szCs w:val="16"/>
                <w:lang w:eastAsia="en-US"/>
              </w:rPr>
            </w:pPr>
            <w:r w:rsidRPr="00CA682E">
              <w:rPr>
                <w:rFonts w:eastAsia="Times New Roman"/>
                <w:noProof/>
                <w:color w:val="000000" w:themeColor="text1"/>
                <w:sz w:val="16"/>
                <w:szCs w:val="16"/>
                <w:lang w:eastAsia="en-US"/>
              </w:rPr>
              <w:t>X</w:t>
            </w:r>
          </w:p>
        </w:tc>
        <w:tc>
          <w:tcPr>
            <w:tcW w:w="480" w:type="dxa"/>
            <w:tcBorders>
              <w:top w:val="nil"/>
              <w:left w:val="nil"/>
              <w:bottom w:val="single" w:sz="4" w:space="0" w:color="auto"/>
              <w:right w:val="single" w:sz="8" w:space="0" w:color="auto"/>
            </w:tcBorders>
            <w:shd w:val="clear" w:color="auto" w:fill="auto"/>
            <w:noWrap/>
            <w:vAlign w:val="center"/>
          </w:tcPr>
          <w:p w:rsidR="00CA682E" w:rsidRPr="00CA682E" w:rsidRDefault="00CA682E" w:rsidP="00CA682E">
            <w:pPr>
              <w:spacing w:before="40" w:after="40"/>
              <w:jc w:val="center"/>
              <w:rPr>
                <w:rFonts w:eastAsia="Times New Roman"/>
                <w:noProof/>
                <w:color w:val="000000" w:themeColor="text1"/>
                <w:sz w:val="16"/>
                <w:szCs w:val="16"/>
                <w:lang w:eastAsia="en-US"/>
              </w:rPr>
            </w:pPr>
            <w:r w:rsidRPr="00CA682E">
              <w:rPr>
                <w:rFonts w:eastAsia="Times New Roman"/>
                <w:noProof/>
                <w:color w:val="000000" w:themeColor="text1"/>
                <w:sz w:val="16"/>
                <w:szCs w:val="16"/>
                <w:lang w:eastAsia="en-US"/>
              </w:rPr>
              <w:t>X</w:t>
            </w:r>
          </w:p>
        </w:tc>
        <w:tc>
          <w:tcPr>
            <w:tcW w:w="480" w:type="dxa"/>
            <w:tcBorders>
              <w:top w:val="nil"/>
              <w:left w:val="nil"/>
              <w:bottom w:val="single" w:sz="4" w:space="0" w:color="auto"/>
              <w:right w:val="single" w:sz="4" w:space="0" w:color="auto"/>
            </w:tcBorders>
            <w:shd w:val="clear" w:color="auto" w:fill="auto"/>
            <w:noWrap/>
            <w:vAlign w:val="center"/>
          </w:tcPr>
          <w:p w:rsidR="00CA682E" w:rsidRPr="00CA682E" w:rsidRDefault="00CA682E" w:rsidP="00CA682E">
            <w:pPr>
              <w:spacing w:before="40" w:after="40"/>
              <w:jc w:val="center"/>
              <w:rPr>
                <w:rFonts w:eastAsia="Times New Roman"/>
                <w:noProof/>
                <w:color w:val="000000" w:themeColor="text1"/>
                <w:sz w:val="16"/>
                <w:szCs w:val="16"/>
                <w:lang w:eastAsia="en-US"/>
              </w:rPr>
            </w:pPr>
            <w:r w:rsidRPr="00CA682E">
              <w:rPr>
                <w:rFonts w:eastAsia="Times New Roman"/>
                <w:noProof/>
                <w:color w:val="000000" w:themeColor="text1"/>
                <w:sz w:val="16"/>
                <w:szCs w:val="16"/>
                <w:lang w:eastAsia="en-US"/>
              </w:rPr>
              <w:t>X</w:t>
            </w:r>
          </w:p>
        </w:tc>
        <w:tc>
          <w:tcPr>
            <w:tcW w:w="480" w:type="dxa"/>
            <w:tcBorders>
              <w:top w:val="nil"/>
              <w:left w:val="nil"/>
              <w:bottom w:val="single" w:sz="4" w:space="0" w:color="auto"/>
              <w:right w:val="single" w:sz="4" w:space="0" w:color="auto"/>
            </w:tcBorders>
            <w:shd w:val="clear" w:color="auto" w:fill="auto"/>
            <w:noWrap/>
            <w:vAlign w:val="center"/>
          </w:tcPr>
          <w:p w:rsidR="00CA682E" w:rsidRPr="00CA682E" w:rsidRDefault="00CA682E" w:rsidP="00CA682E">
            <w:pPr>
              <w:spacing w:before="40" w:after="40"/>
              <w:jc w:val="center"/>
              <w:rPr>
                <w:rFonts w:eastAsia="Times New Roman"/>
                <w:noProof/>
                <w:color w:val="000000" w:themeColor="text1"/>
                <w:sz w:val="16"/>
                <w:szCs w:val="16"/>
                <w:lang w:eastAsia="en-US"/>
              </w:rPr>
            </w:pPr>
            <w:r w:rsidRPr="00CA682E">
              <w:rPr>
                <w:rFonts w:eastAsia="Times New Roman"/>
                <w:noProof/>
                <w:color w:val="000000" w:themeColor="text1"/>
                <w:sz w:val="16"/>
                <w:szCs w:val="16"/>
                <w:lang w:eastAsia="en-US"/>
              </w:rPr>
              <w:t>X</w:t>
            </w:r>
          </w:p>
        </w:tc>
        <w:tc>
          <w:tcPr>
            <w:tcW w:w="480" w:type="dxa"/>
            <w:tcBorders>
              <w:top w:val="nil"/>
              <w:left w:val="nil"/>
              <w:bottom w:val="single" w:sz="4" w:space="0" w:color="auto"/>
              <w:right w:val="single" w:sz="4" w:space="0" w:color="auto"/>
            </w:tcBorders>
            <w:shd w:val="clear" w:color="auto" w:fill="auto"/>
            <w:noWrap/>
            <w:vAlign w:val="center"/>
          </w:tcPr>
          <w:p w:rsidR="00CA682E" w:rsidRPr="00CA682E" w:rsidRDefault="00CA682E" w:rsidP="00CA682E">
            <w:pPr>
              <w:spacing w:before="40" w:after="40"/>
              <w:jc w:val="center"/>
              <w:rPr>
                <w:rFonts w:eastAsia="Times New Roman"/>
                <w:noProof/>
                <w:color w:val="000000" w:themeColor="text1"/>
                <w:sz w:val="16"/>
                <w:szCs w:val="16"/>
                <w:lang w:eastAsia="en-US"/>
              </w:rPr>
            </w:pPr>
            <w:r w:rsidRPr="00CA682E">
              <w:rPr>
                <w:rFonts w:eastAsia="Times New Roman"/>
                <w:noProof/>
                <w:color w:val="000000" w:themeColor="text1"/>
                <w:sz w:val="16"/>
                <w:szCs w:val="16"/>
                <w:lang w:eastAsia="en-US"/>
              </w:rPr>
              <w:t>X</w:t>
            </w:r>
          </w:p>
        </w:tc>
        <w:tc>
          <w:tcPr>
            <w:tcW w:w="480" w:type="dxa"/>
            <w:tcBorders>
              <w:top w:val="nil"/>
              <w:left w:val="nil"/>
              <w:bottom w:val="single" w:sz="4" w:space="0" w:color="auto"/>
              <w:right w:val="single" w:sz="8" w:space="0" w:color="auto"/>
            </w:tcBorders>
            <w:shd w:val="clear" w:color="auto" w:fill="auto"/>
            <w:noWrap/>
            <w:vAlign w:val="center"/>
          </w:tcPr>
          <w:p w:rsidR="00CA682E" w:rsidRPr="00CA682E" w:rsidRDefault="00CA682E" w:rsidP="00CA682E">
            <w:pPr>
              <w:spacing w:before="40" w:after="40"/>
              <w:jc w:val="center"/>
              <w:rPr>
                <w:rFonts w:eastAsia="Times New Roman"/>
                <w:noProof/>
                <w:color w:val="000000" w:themeColor="text1"/>
                <w:sz w:val="16"/>
                <w:szCs w:val="16"/>
                <w:lang w:eastAsia="en-US"/>
              </w:rPr>
            </w:pPr>
          </w:p>
        </w:tc>
      </w:tr>
      <w:tr w:rsidR="00CA682E" w:rsidRPr="00CA682E" w:rsidTr="007B1DE4">
        <w:trPr>
          <w:trHeight w:val="397"/>
          <w:jc w:val="center"/>
        </w:trPr>
        <w:tc>
          <w:tcPr>
            <w:tcW w:w="1840" w:type="dxa"/>
            <w:tcBorders>
              <w:top w:val="nil"/>
              <w:left w:val="single" w:sz="8" w:space="0" w:color="auto"/>
              <w:bottom w:val="single" w:sz="4" w:space="0" w:color="auto"/>
              <w:right w:val="single" w:sz="8" w:space="0" w:color="auto"/>
            </w:tcBorders>
            <w:shd w:val="clear" w:color="auto" w:fill="auto"/>
            <w:noWrap/>
            <w:vAlign w:val="center"/>
            <w:hideMark/>
          </w:tcPr>
          <w:p w:rsidR="00CA682E" w:rsidRPr="00CA682E" w:rsidRDefault="00CA682E" w:rsidP="00CA682E">
            <w:pPr>
              <w:spacing w:before="40" w:after="40"/>
              <w:rPr>
                <w:rFonts w:eastAsia="Times New Roman"/>
                <w:noProof/>
                <w:color w:val="000000" w:themeColor="text1"/>
                <w:sz w:val="16"/>
                <w:szCs w:val="16"/>
                <w:lang w:eastAsia="en-US"/>
              </w:rPr>
            </w:pPr>
            <w:r w:rsidRPr="00CA682E">
              <w:rPr>
                <w:rFonts w:eastAsia="Times New Roman"/>
                <w:noProof/>
                <w:color w:val="000000" w:themeColor="text1"/>
                <w:sz w:val="16"/>
                <w:szCs w:val="16"/>
                <w:lang w:eastAsia="en-US"/>
              </w:rPr>
              <w:t>Puesta en servicio</w:t>
            </w:r>
          </w:p>
        </w:tc>
        <w:tc>
          <w:tcPr>
            <w:tcW w:w="480" w:type="dxa"/>
            <w:tcBorders>
              <w:top w:val="nil"/>
              <w:left w:val="nil"/>
              <w:bottom w:val="single" w:sz="4" w:space="0" w:color="auto"/>
              <w:right w:val="single" w:sz="4" w:space="0" w:color="auto"/>
            </w:tcBorders>
            <w:shd w:val="clear" w:color="auto" w:fill="auto"/>
            <w:noWrap/>
            <w:vAlign w:val="bottom"/>
            <w:hideMark/>
          </w:tcPr>
          <w:p w:rsidR="00CA682E" w:rsidRPr="00CA682E" w:rsidRDefault="00CA682E" w:rsidP="00CA682E">
            <w:pPr>
              <w:spacing w:before="40" w:after="40"/>
              <w:rPr>
                <w:rFonts w:eastAsia="Times New Roman"/>
                <w:noProof/>
                <w:color w:val="000000" w:themeColor="text1"/>
                <w:sz w:val="16"/>
                <w:szCs w:val="16"/>
                <w:lang w:eastAsia="en-US"/>
              </w:rPr>
            </w:pPr>
            <w:r w:rsidRPr="00CA682E">
              <w:rPr>
                <w:rFonts w:eastAsia="Times New Roman"/>
                <w:noProof/>
                <w:color w:val="000000" w:themeColor="text1"/>
                <w:sz w:val="16"/>
                <w:szCs w:val="16"/>
                <w:lang w:eastAsia="en-US"/>
              </w:rPr>
              <w:t> </w:t>
            </w: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noProof/>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noProof/>
                <w:color w:val="000000" w:themeColor="text1"/>
                <w:sz w:val="16"/>
                <w:szCs w:val="16"/>
                <w:lang w:eastAsia="en-US"/>
              </w:rPr>
            </w:pPr>
          </w:p>
        </w:tc>
        <w:tc>
          <w:tcPr>
            <w:tcW w:w="480" w:type="dxa"/>
            <w:tcBorders>
              <w:top w:val="nil"/>
              <w:left w:val="nil"/>
              <w:bottom w:val="single" w:sz="4" w:space="0" w:color="auto"/>
              <w:right w:val="single" w:sz="8" w:space="0" w:color="auto"/>
            </w:tcBorders>
            <w:shd w:val="clear" w:color="auto" w:fill="auto"/>
            <w:noWrap/>
            <w:vAlign w:val="center"/>
            <w:hideMark/>
          </w:tcPr>
          <w:p w:rsidR="00CA682E" w:rsidRPr="00CA682E" w:rsidRDefault="00CA682E" w:rsidP="00CA682E">
            <w:pPr>
              <w:spacing w:before="40" w:after="40"/>
              <w:jc w:val="center"/>
              <w:rPr>
                <w:rFonts w:eastAsia="Times New Roman"/>
                <w:noProof/>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noProof/>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noProof/>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noProof/>
                <w:color w:val="000000" w:themeColor="text1"/>
                <w:sz w:val="16"/>
                <w:szCs w:val="16"/>
                <w:lang w:eastAsia="en-US"/>
              </w:rPr>
            </w:pPr>
          </w:p>
        </w:tc>
        <w:tc>
          <w:tcPr>
            <w:tcW w:w="480" w:type="dxa"/>
            <w:tcBorders>
              <w:top w:val="nil"/>
              <w:left w:val="nil"/>
              <w:bottom w:val="single" w:sz="4" w:space="0" w:color="auto"/>
              <w:right w:val="single" w:sz="8" w:space="0" w:color="auto"/>
            </w:tcBorders>
            <w:shd w:val="clear" w:color="auto" w:fill="auto"/>
            <w:noWrap/>
            <w:vAlign w:val="center"/>
            <w:hideMark/>
          </w:tcPr>
          <w:p w:rsidR="00CA682E" w:rsidRPr="00CA682E" w:rsidRDefault="00CA682E" w:rsidP="00CA682E">
            <w:pPr>
              <w:spacing w:before="40" w:after="40"/>
              <w:jc w:val="center"/>
              <w:rPr>
                <w:rFonts w:eastAsia="Times New Roman"/>
                <w:noProof/>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noProof/>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noProof/>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noProof/>
                <w:color w:val="000000" w:themeColor="text1"/>
                <w:sz w:val="16"/>
                <w:szCs w:val="16"/>
                <w:lang w:eastAsia="en-US"/>
              </w:rPr>
            </w:pPr>
          </w:p>
        </w:tc>
        <w:tc>
          <w:tcPr>
            <w:tcW w:w="480" w:type="dxa"/>
            <w:tcBorders>
              <w:top w:val="nil"/>
              <w:left w:val="nil"/>
              <w:bottom w:val="single" w:sz="4" w:space="0" w:color="auto"/>
              <w:right w:val="single" w:sz="8" w:space="0" w:color="auto"/>
            </w:tcBorders>
            <w:shd w:val="clear" w:color="auto" w:fill="auto"/>
            <w:noWrap/>
            <w:vAlign w:val="center"/>
            <w:hideMark/>
          </w:tcPr>
          <w:p w:rsidR="00CA682E" w:rsidRPr="00CA682E" w:rsidRDefault="00CA682E" w:rsidP="00CA682E">
            <w:pPr>
              <w:spacing w:before="40" w:after="40"/>
              <w:jc w:val="center"/>
              <w:rPr>
                <w:rFonts w:eastAsia="Times New Roman"/>
                <w:noProof/>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noProof/>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noProof/>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tcPr>
          <w:p w:rsidR="00CA682E" w:rsidRPr="00CA682E" w:rsidRDefault="00CA682E" w:rsidP="00CA682E">
            <w:pPr>
              <w:spacing w:before="40" w:after="40"/>
              <w:jc w:val="center"/>
              <w:rPr>
                <w:rFonts w:eastAsia="Times New Roman"/>
                <w:noProof/>
                <w:color w:val="000000" w:themeColor="text1"/>
                <w:sz w:val="16"/>
                <w:szCs w:val="16"/>
                <w:lang w:eastAsia="en-US"/>
              </w:rPr>
            </w:pPr>
          </w:p>
        </w:tc>
        <w:tc>
          <w:tcPr>
            <w:tcW w:w="480" w:type="dxa"/>
            <w:tcBorders>
              <w:top w:val="nil"/>
              <w:left w:val="nil"/>
              <w:bottom w:val="single" w:sz="4" w:space="0" w:color="auto"/>
              <w:right w:val="single" w:sz="8" w:space="0" w:color="auto"/>
            </w:tcBorders>
            <w:shd w:val="clear" w:color="auto" w:fill="auto"/>
            <w:noWrap/>
            <w:vAlign w:val="center"/>
          </w:tcPr>
          <w:p w:rsidR="00CA682E" w:rsidRPr="00CA682E" w:rsidRDefault="00CA682E" w:rsidP="00CA682E">
            <w:pPr>
              <w:spacing w:before="40" w:after="40"/>
              <w:jc w:val="center"/>
              <w:rPr>
                <w:rFonts w:eastAsia="Times New Roman"/>
                <w:noProof/>
                <w:color w:val="000000" w:themeColor="text1"/>
                <w:sz w:val="16"/>
                <w:szCs w:val="16"/>
                <w:lang w:eastAsia="en-US"/>
              </w:rPr>
            </w:pPr>
            <w:r w:rsidRPr="00CA682E">
              <w:rPr>
                <w:rFonts w:eastAsia="Times New Roman"/>
                <w:noProof/>
                <w:color w:val="000000" w:themeColor="text1"/>
                <w:sz w:val="16"/>
                <w:szCs w:val="16"/>
                <w:lang w:eastAsia="en-US"/>
              </w:rPr>
              <w:t>X</w:t>
            </w:r>
          </w:p>
        </w:tc>
      </w:tr>
    </w:tbl>
    <w:p w:rsidR="00CA682E" w:rsidRPr="00CA682E" w:rsidRDefault="00CA682E" w:rsidP="00CA682E">
      <w:pPr>
        <w:rPr>
          <w:rFonts w:eastAsia="Times New Roman" w:cs="Times New Roman"/>
          <w:color w:val="000000" w:themeColor="text1"/>
          <w:sz w:val="20"/>
          <w:szCs w:val="24"/>
          <w:lang w:eastAsia="en-US"/>
        </w:rPr>
      </w:pPr>
    </w:p>
    <w:p w:rsidR="00CA682E" w:rsidRPr="00CA682E" w:rsidRDefault="00CA682E" w:rsidP="00CA682E">
      <w:pPr>
        <w:spacing w:after="200" w:line="276" w:lineRule="auto"/>
        <w:rPr>
          <w:rFonts w:eastAsia="Times New Roman" w:cs="Times New Roman"/>
          <w:color w:val="000000" w:themeColor="text1"/>
          <w:sz w:val="20"/>
          <w:szCs w:val="24"/>
          <w:lang w:eastAsia="en-US"/>
        </w:rPr>
      </w:pPr>
      <w:r w:rsidRPr="00CA682E">
        <w:rPr>
          <w:rFonts w:eastAsia="Times New Roman" w:cs="Times New Roman"/>
          <w:color w:val="000000" w:themeColor="text1"/>
          <w:sz w:val="20"/>
          <w:szCs w:val="24"/>
          <w:lang w:eastAsia="en-US"/>
        </w:rPr>
        <w:br w:type="page"/>
      </w:r>
    </w:p>
    <w:p w:rsidR="00CA682E" w:rsidRPr="00CA682E" w:rsidRDefault="00CA682E" w:rsidP="00CA682E">
      <w:pPr>
        <w:rPr>
          <w:rFonts w:eastAsia="Times New Roman" w:cs="Times New Roman"/>
          <w:b/>
          <w:color w:val="000000" w:themeColor="text1"/>
          <w:szCs w:val="24"/>
          <w:lang w:eastAsia="en-US"/>
        </w:rPr>
      </w:pPr>
      <w:r w:rsidRPr="00CA682E">
        <w:rPr>
          <w:rFonts w:eastAsia="Times New Roman" w:cs="Times New Roman"/>
          <w:b/>
          <w:color w:val="000000" w:themeColor="text1"/>
          <w:szCs w:val="24"/>
          <w:lang w:eastAsia="en-US"/>
        </w:rPr>
        <w:lastRenderedPageBreak/>
        <w:t>PROYECTOS RELACIONADOS CON LOS EDIFICIOS</w:t>
      </w:r>
    </w:p>
    <w:p w:rsidR="00CA682E" w:rsidRPr="00CA682E" w:rsidRDefault="00CA682E" w:rsidP="00CA682E">
      <w:pPr>
        <w:rPr>
          <w:rFonts w:eastAsia="Times New Roman" w:cs="Times New Roman"/>
          <w:b/>
          <w:color w:val="000000" w:themeColor="text1"/>
          <w:szCs w:val="24"/>
          <w:lang w:eastAsia="en-US"/>
        </w:rPr>
      </w:pPr>
    </w:p>
    <w:p w:rsidR="00CA682E" w:rsidRPr="00CA682E" w:rsidRDefault="00CA682E" w:rsidP="00DD172C">
      <w:pPr>
        <w:keepNext/>
        <w:ind w:left="1701" w:hanging="1701"/>
        <w:outlineLvl w:val="2"/>
        <w:rPr>
          <w:b/>
          <w:bCs/>
          <w:i/>
          <w:color w:val="000000" w:themeColor="text1"/>
          <w:sz w:val="20"/>
          <w:szCs w:val="26"/>
          <w:lang w:eastAsia="en-US"/>
        </w:rPr>
      </w:pPr>
      <w:bookmarkStart w:id="230" w:name="_Toc455159121"/>
      <w:r w:rsidRPr="00CA682E">
        <w:rPr>
          <w:b/>
          <w:bCs/>
          <w:i/>
          <w:color w:val="000000" w:themeColor="text1"/>
          <w:sz w:val="20"/>
          <w:szCs w:val="26"/>
          <w:lang w:eastAsia="en-US"/>
        </w:rPr>
        <w:t>PROYECTO 6:</w:t>
      </w:r>
      <w:r w:rsidR="00DD172C">
        <w:rPr>
          <w:b/>
          <w:bCs/>
          <w:i/>
          <w:color w:val="000000" w:themeColor="text1"/>
          <w:sz w:val="20"/>
          <w:szCs w:val="26"/>
          <w:lang w:eastAsia="en-US"/>
        </w:rPr>
        <w:tab/>
      </w:r>
      <w:r w:rsidRPr="00CA682E">
        <w:rPr>
          <w:b/>
          <w:bCs/>
          <w:i/>
          <w:color w:val="000000" w:themeColor="text1"/>
          <w:sz w:val="20"/>
          <w:szCs w:val="26"/>
          <w:lang w:eastAsia="en-US"/>
        </w:rPr>
        <w:t>EDIFICIO ARPAD BOGSCH – SUSTITUCIÓN DE DETERMINADAS VENTANAS (PMM 6)</w:t>
      </w:r>
      <w:bookmarkEnd w:id="230"/>
    </w:p>
    <w:p w:rsidR="00CA682E" w:rsidRPr="00CA682E" w:rsidRDefault="00CA682E" w:rsidP="00CA682E">
      <w:pPr>
        <w:rPr>
          <w:rFonts w:eastAsia="Times New Roman" w:cs="Times New Roman"/>
          <w:color w:val="000000" w:themeColor="text1"/>
          <w:lang w:eastAsia="en-US"/>
        </w:rPr>
      </w:pPr>
    </w:p>
    <w:p w:rsidR="00CA682E" w:rsidRPr="00CA682E" w:rsidRDefault="00CA682E" w:rsidP="00CA682E">
      <w:pPr>
        <w:rPr>
          <w:rFonts w:eastAsia="Times New Roman" w:cs="Times New Roman"/>
          <w:b/>
          <w:color w:val="000000" w:themeColor="text1"/>
          <w:sz w:val="20"/>
          <w:lang w:eastAsia="en-US"/>
        </w:rPr>
      </w:pPr>
      <w:r w:rsidRPr="00CA682E">
        <w:rPr>
          <w:rFonts w:eastAsia="Times New Roman" w:cs="Times New Roman"/>
          <w:b/>
          <w:color w:val="000000" w:themeColor="text1"/>
          <w:sz w:val="20"/>
          <w:lang w:eastAsia="en-US"/>
        </w:rPr>
        <w:t>Director de proyecto:</w:t>
      </w:r>
      <w:r w:rsidRPr="00CA682E">
        <w:rPr>
          <w:rFonts w:eastAsia="Times New Roman" w:cs="Times New Roman"/>
          <w:b/>
          <w:color w:val="000000" w:themeColor="text1"/>
          <w:sz w:val="20"/>
          <w:lang w:eastAsia="en-US"/>
        </w:rPr>
        <w:tab/>
        <w:t>Sr. A. FAVERO</w:t>
      </w:r>
    </w:p>
    <w:p w:rsidR="00CA682E" w:rsidRPr="00CA682E" w:rsidRDefault="00CA682E" w:rsidP="00CA682E">
      <w:pPr>
        <w:rPr>
          <w:rFonts w:eastAsia="Times New Roman" w:cs="Times New Roman"/>
          <w:color w:val="000000" w:themeColor="text1"/>
          <w:sz w:val="20"/>
          <w:lang w:eastAsia="en-US"/>
        </w:rPr>
      </w:pPr>
    </w:p>
    <w:p w:rsidR="00CA682E" w:rsidRPr="00CA682E" w:rsidRDefault="00CA682E" w:rsidP="00CA682E">
      <w:pPr>
        <w:rPr>
          <w:rFonts w:eastAsia="Times New Roman" w:cs="Times New Roman"/>
          <w:bCs/>
          <w:color w:val="000000" w:themeColor="text1"/>
          <w:sz w:val="20"/>
          <w:lang w:eastAsia="en-US"/>
        </w:rPr>
      </w:pPr>
    </w:p>
    <w:p w:rsidR="00CA682E" w:rsidRPr="00CA682E" w:rsidRDefault="00CA682E" w:rsidP="00CA682E">
      <w:pPr>
        <w:rPr>
          <w:rFonts w:eastAsia="Times New Roman" w:cs="Times New Roman"/>
          <w:bCs/>
          <w:color w:val="000000" w:themeColor="text1"/>
          <w:sz w:val="20"/>
          <w:lang w:eastAsia="en-US"/>
        </w:rPr>
      </w:pPr>
      <w:r w:rsidRPr="00CA682E">
        <w:rPr>
          <w:rFonts w:eastAsia="Times New Roman" w:cs="Times New Roman"/>
          <w:bCs/>
          <w:color w:val="000000" w:themeColor="text1"/>
          <w:sz w:val="20"/>
          <w:lang w:eastAsia="en-US"/>
        </w:rPr>
        <w:t>RESULTADO PREVISTO</w:t>
      </w:r>
    </w:p>
    <w:p w:rsidR="00CA682E" w:rsidRPr="00CA682E" w:rsidRDefault="00CA682E" w:rsidP="00CA682E">
      <w:pPr>
        <w:rPr>
          <w:rFonts w:eastAsia="Times New Roman" w:cs="Times New Roman"/>
          <w:bCs/>
          <w:color w:val="000000" w:themeColor="text1"/>
          <w:sz w:val="20"/>
          <w:lang w:eastAsia="en-US"/>
        </w:rPr>
      </w:pPr>
    </w:p>
    <w:p w:rsidR="00CA682E" w:rsidRPr="00CA682E" w:rsidRDefault="00CA682E" w:rsidP="00CA682E">
      <w:pPr>
        <w:rPr>
          <w:rFonts w:eastAsia="Times New Roman" w:cs="Times New Roman"/>
          <w:i/>
          <w:iCs/>
          <w:color w:val="000000" w:themeColor="text1"/>
          <w:sz w:val="20"/>
          <w:lang w:eastAsia="en-US"/>
        </w:rPr>
      </w:pPr>
      <w:r w:rsidRPr="00CA682E">
        <w:rPr>
          <w:rFonts w:eastAsia="Times New Roman" w:cs="Times New Roman"/>
          <w:i/>
          <w:iCs/>
          <w:color w:val="000000" w:themeColor="text1"/>
          <w:sz w:val="20"/>
          <w:lang w:eastAsia="en-US"/>
        </w:rPr>
        <w:t xml:space="preserve">IX.1  Servicios de </w:t>
      </w:r>
      <w:proofErr w:type="gramStart"/>
      <w:r w:rsidRPr="00CA682E">
        <w:rPr>
          <w:rFonts w:eastAsia="Times New Roman" w:cs="Times New Roman"/>
          <w:i/>
          <w:iCs/>
          <w:color w:val="000000" w:themeColor="text1"/>
          <w:sz w:val="20"/>
          <w:lang w:eastAsia="en-US"/>
        </w:rPr>
        <w:t>apoyo eficaces, eficientes, de calidad y orientados</w:t>
      </w:r>
      <w:proofErr w:type="gramEnd"/>
      <w:r w:rsidRPr="00CA682E">
        <w:rPr>
          <w:rFonts w:eastAsia="Times New Roman" w:cs="Times New Roman"/>
          <w:i/>
          <w:iCs/>
          <w:color w:val="000000" w:themeColor="text1"/>
          <w:sz w:val="20"/>
          <w:lang w:eastAsia="en-US"/>
        </w:rPr>
        <w:t xml:space="preserve"> al cliente, tanto a los clientes internos como a las partes interesadas externas</w:t>
      </w:r>
    </w:p>
    <w:p w:rsidR="00CA682E" w:rsidRPr="00CA682E" w:rsidRDefault="00CA682E" w:rsidP="00CA682E">
      <w:pPr>
        <w:rPr>
          <w:rFonts w:eastAsia="Times New Roman" w:cs="Times New Roman"/>
          <w:bCs/>
          <w:color w:val="000000" w:themeColor="text1"/>
          <w:sz w:val="20"/>
          <w:lang w:eastAsia="en-US"/>
        </w:rPr>
      </w:pPr>
    </w:p>
    <w:p w:rsidR="00CA682E" w:rsidRPr="00CA682E" w:rsidRDefault="00CA682E" w:rsidP="00CA682E">
      <w:pPr>
        <w:rPr>
          <w:rFonts w:eastAsia="Times New Roman" w:cs="Times New Roman"/>
          <w:bCs/>
          <w:color w:val="000000" w:themeColor="text1"/>
          <w:sz w:val="20"/>
          <w:lang w:eastAsia="en-US"/>
        </w:rPr>
      </w:pPr>
    </w:p>
    <w:p w:rsidR="00CA682E" w:rsidRPr="00CA682E" w:rsidRDefault="00CA682E" w:rsidP="00CA682E">
      <w:pPr>
        <w:rPr>
          <w:rFonts w:eastAsia="Times New Roman" w:cs="Times New Roman"/>
          <w:bCs/>
          <w:color w:val="000000" w:themeColor="text1"/>
          <w:sz w:val="20"/>
          <w:lang w:eastAsia="en-US"/>
        </w:rPr>
      </w:pPr>
      <w:r w:rsidRPr="00CA682E">
        <w:rPr>
          <w:rFonts w:eastAsia="Times New Roman" w:cs="Times New Roman"/>
          <w:bCs/>
          <w:color w:val="000000" w:themeColor="text1"/>
          <w:sz w:val="20"/>
          <w:lang w:eastAsia="en-US"/>
        </w:rPr>
        <w:t>OBJETIVOS, ALCANCE Y ENFOQUE</w:t>
      </w:r>
      <w:proofErr w:type="gramStart"/>
      <w:r w:rsidRPr="00CA682E">
        <w:rPr>
          <w:rFonts w:eastAsia="Times New Roman" w:cs="Times New Roman"/>
          <w:bCs/>
          <w:color w:val="000000" w:themeColor="text1"/>
          <w:sz w:val="20"/>
          <w:lang w:eastAsia="en-US"/>
        </w:rPr>
        <w:t>:  ANTECEDENTES</w:t>
      </w:r>
      <w:proofErr w:type="gramEnd"/>
    </w:p>
    <w:p w:rsidR="00CA682E" w:rsidRPr="00CA682E" w:rsidRDefault="00CA682E" w:rsidP="00CA682E">
      <w:pPr>
        <w:rPr>
          <w:rFonts w:eastAsia="Times New Roman" w:cs="Times New Roman"/>
          <w:bCs/>
          <w:color w:val="000000" w:themeColor="text1"/>
          <w:sz w:val="20"/>
          <w:lang w:eastAsia="en-US"/>
        </w:rPr>
      </w:pPr>
    </w:p>
    <w:p w:rsidR="00CA682E" w:rsidRPr="00CA682E" w:rsidRDefault="00CA682E" w:rsidP="00CA682E">
      <w:pPr>
        <w:numPr>
          <w:ilvl w:val="0"/>
          <w:numId w:val="130"/>
        </w:numPr>
        <w:tabs>
          <w:tab w:val="left" w:pos="567"/>
        </w:tabs>
        <w:ind w:left="0" w:firstLine="0"/>
        <w:jc w:val="both"/>
        <w:rPr>
          <w:rFonts w:eastAsia="Times New Roman" w:cs="Times New Roman"/>
          <w:bCs/>
          <w:color w:val="000000" w:themeColor="text1"/>
          <w:sz w:val="20"/>
          <w:lang w:eastAsia="en-US"/>
        </w:rPr>
      </w:pPr>
      <w:r w:rsidRPr="00CA682E">
        <w:rPr>
          <w:rFonts w:eastAsia="Times New Roman" w:cs="Times New Roman"/>
          <w:bCs/>
          <w:color w:val="000000" w:themeColor="text1"/>
          <w:sz w:val="20"/>
          <w:lang w:eastAsia="en-US"/>
        </w:rPr>
        <w:t>Las ventanas de la fachada suroeste del edificio AB, expuestas en los últimos tres decenios, más que las otras fachadas, al sol y el calor y a mayores diferencias de temperatura entre el verano y el invierno, han sufrido un deterioro significativo en sus cualidades térmicas.  Además, en varias de esas ventanas, así como en otras de la fachada, se ha degradado el tono de azul (que ha pasado a tomar matices de rosa y violeta) debido al envejecimiento de los componentes gaseosos que rellenan el espacio entre las capas de vidrio.</w:t>
      </w:r>
    </w:p>
    <w:p w:rsidR="00CA682E" w:rsidRPr="00CA682E" w:rsidRDefault="00CA682E" w:rsidP="00CA682E">
      <w:pPr>
        <w:tabs>
          <w:tab w:val="left" w:pos="567"/>
        </w:tabs>
        <w:jc w:val="both"/>
        <w:rPr>
          <w:rFonts w:eastAsia="Times New Roman" w:cs="Times New Roman"/>
          <w:bCs/>
          <w:color w:val="000000" w:themeColor="text1"/>
          <w:sz w:val="20"/>
          <w:lang w:eastAsia="en-US"/>
        </w:rPr>
      </w:pPr>
    </w:p>
    <w:p w:rsidR="00CA682E" w:rsidRPr="00CA682E" w:rsidRDefault="00CA682E" w:rsidP="00CA682E">
      <w:pPr>
        <w:numPr>
          <w:ilvl w:val="0"/>
          <w:numId w:val="130"/>
        </w:numPr>
        <w:tabs>
          <w:tab w:val="left" w:pos="567"/>
        </w:tabs>
        <w:ind w:left="0" w:firstLine="0"/>
        <w:jc w:val="both"/>
        <w:rPr>
          <w:rFonts w:eastAsia="Times New Roman" w:cs="Times New Roman"/>
          <w:bCs/>
          <w:color w:val="000000" w:themeColor="text1"/>
          <w:sz w:val="20"/>
          <w:lang w:eastAsia="en-US"/>
        </w:rPr>
      </w:pPr>
      <w:r w:rsidRPr="00CA682E">
        <w:rPr>
          <w:rFonts w:eastAsia="Times New Roman" w:cs="Times New Roman"/>
          <w:bCs/>
          <w:color w:val="000000" w:themeColor="text1"/>
          <w:sz w:val="20"/>
          <w:lang w:eastAsia="en-US"/>
        </w:rPr>
        <w:t xml:space="preserve">La sustitución de esas ventanas reducirá el consumo de energía necesario principalmente para refrigerar las oficinas de que se trate en períodos de calor.  También mejorará, como es necesario, el aspecto estético del edificio AB, uno de los emblemas arquitectónicos de la ciudad de Ginebra. </w:t>
      </w:r>
    </w:p>
    <w:p w:rsidR="00CA682E" w:rsidRPr="00CA682E" w:rsidRDefault="00CA682E" w:rsidP="00CA682E">
      <w:pPr>
        <w:tabs>
          <w:tab w:val="left" w:pos="567"/>
        </w:tabs>
        <w:jc w:val="both"/>
        <w:rPr>
          <w:rFonts w:eastAsia="Times New Roman" w:cs="Times New Roman"/>
          <w:bCs/>
          <w:color w:val="000000" w:themeColor="text1"/>
          <w:sz w:val="20"/>
          <w:lang w:eastAsia="en-US"/>
        </w:rPr>
      </w:pPr>
    </w:p>
    <w:p w:rsidR="00CA682E" w:rsidRPr="00CA682E" w:rsidRDefault="00CA682E" w:rsidP="00CA682E">
      <w:pPr>
        <w:numPr>
          <w:ilvl w:val="0"/>
          <w:numId w:val="130"/>
        </w:numPr>
        <w:tabs>
          <w:tab w:val="left" w:pos="567"/>
        </w:tabs>
        <w:ind w:left="0" w:firstLine="0"/>
        <w:jc w:val="both"/>
        <w:rPr>
          <w:rFonts w:eastAsia="Times New Roman" w:cs="Times New Roman"/>
          <w:bCs/>
          <w:color w:val="000000" w:themeColor="text1"/>
          <w:sz w:val="20"/>
          <w:lang w:eastAsia="en-US"/>
        </w:rPr>
      </w:pPr>
      <w:r w:rsidRPr="00CA682E">
        <w:rPr>
          <w:rFonts w:eastAsia="Times New Roman" w:cs="Times New Roman"/>
          <w:bCs/>
          <w:color w:val="000000" w:themeColor="text1"/>
          <w:sz w:val="20"/>
          <w:lang w:eastAsia="en-US"/>
        </w:rPr>
        <w:t>Los objetivos de este proyecto son: i) mejorar las cualidades térmicas y la eficiencia energética de la fachada suroeste del edificio AB; ii) reducir el consumo de energía; iii) mejorar el confort térmico de los ocupantes;  y iv) mejorar el aspecto estético del edificio AB.</w:t>
      </w:r>
    </w:p>
    <w:p w:rsidR="00CA682E" w:rsidRPr="00CA682E" w:rsidRDefault="00CA682E" w:rsidP="00CA682E">
      <w:pPr>
        <w:jc w:val="both"/>
        <w:rPr>
          <w:rFonts w:eastAsia="Times New Roman" w:cs="Times New Roman"/>
          <w:bCs/>
          <w:color w:val="000000" w:themeColor="text1"/>
          <w:sz w:val="20"/>
          <w:lang w:eastAsia="en-US"/>
        </w:rPr>
      </w:pPr>
    </w:p>
    <w:p w:rsidR="00CA682E" w:rsidRPr="00CA682E" w:rsidRDefault="00CA682E" w:rsidP="00CA682E">
      <w:pPr>
        <w:jc w:val="both"/>
        <w:rPr>
          <w:rFonts w:eastAsia="Times New Roman" w:cs="Times New Roman"/>
          <w:bCs/>
          <w:color w:val="000000" w:themeColor="text1"/>
          <w:sz w:val="20"/>
          <w:lang w:eastAsia="en-US"/>
        </w:rPr>
      </w:pPr>
    </w:p>
    <w:p w:rsidR="00CA682E" w:rsidRPr="00CA682E" w:rsidRDefault="00CA682E" w:rsidP="00CA682E">
      <w:pPr>
        <w:jc w:val="both"/>
        <w:rPr>
          <w:rFonts w:eastAsia="Times New Roman" w:cs="Times New Roman"/>
          <w:bCs/>
          <w:color w:val="000000" w:themeColor="text1"/>
          <w:sz w:val="18"/>
          <w:lang w:eastAsia="en-US"/>
        </w:rPr>
      </w:pPr>
      <w:r w:rsidRPr="00CA682E">
        <w:rPr>
          <w:rFonts w:eastAsia="Times New Roman" w:cs="Times New Roman"/>
          <w:bCs/>
          <w:color w:val="000000" w:themeColor="text1"/>
          <w:sz w:val="18"/>
          <w:lang w:eastAsia="en-US"/>
        </w:rPr>
        <w:t>RESEÑA DE LOS AVANCES LOGRADOS EN 2015 (ETAPAS FUNDAMENTALES)</w:t>
      </w:r>
    </w:p>
    <w:p w:rsidR="00CA682E" w:rsidRPr="00CA682E" w:rsidRDefault="00CA682E" w:rsidP="00CA682E">
      <w:pPr>
        <w:jc w:val="both"/>
        <w:rPr>
          <w:rFonts w:eastAsia="Times New Roman" w:cs="Times New Roman"/>
          <w:bCs/>
          <w:color w:val="000000" w:themeColor="text1"/>
          <w:sz w:val="20"/>
          <w:lang w:eastAsia="en-US"/>
        </w:rPr>
      </w:pPr>
    </w:p>
    <w:p w:rsidR="00CA682E" w:rsidRPr="00CA682E" w:rsidRDefault="00CA682E" w:rsidP="00CA682E">
      <w:pPr>
        <w:numPr>
          <w:ilvl w:val="0"/>
          <w:numId w:val="130"/>
        </w:numPr>
        <w:tabs>
          <w:tab w:val="left" w:pos="567"/>
        </w:tabs>
        <w:ind w:left="0" w:firstLine="0"/>
        <w:jc w:val="both"/>
        <w:rPr>
          <w:rFonts w:eastAsiaTheme="minorHAnsi"/>
          <w:color w:val="000000" w:themeColor="text1"/>
          <w:sz w:val="20"/>
          <w:lang w:eastAsia="en-US"/>
        </w:rPr>
      </w:pPr>
      <w:r w:rsidRPr="00CA682E">
        <w:rPr>
          <w:rFonts w:eastAsiaTheme="minorHAnsi"/>
          <w:color w:val="000000" w:themeColor="text1"/>
          <w:sz w:val="20"/>
          <w:lang w:eastAsia="en-US"/>
        </w:rPr>
        <w:t xml:space="preserve">En 2014, se realizaron los siguientes progresos: </w:t>
      </w:r>
    </w:p>
    <w:p w:rsidR="00CA682E" w:rsidRPr="00CA682E" w:rsidRDefault="00CA682E" w:rsidP="00CA682E">
      <w:pPr>
        <w:tabs>
          <w:tab w:val="left" w:pos="567"/>
        </w:tabs>
        <w:jc w:val="both"/>
        <w:rPr>
          <w:rFonts w:eastAsiaTheme="minorHAnsi"/>
          <w:color w:val="000000" w:themeColor="text1"/>
          <w:sz w:val="20"/>
          <w:lang w:eastAsia="en-US"/>
        </w:rPr>
      </w:pPr>
    </w:p>
    <w:p w:rsidR="00CA682E" w:rsidRPr="00CA682E" w:rsidRDefault="00CA682E" w:rsidP="00CA682E">
      <w:pPr>
        <w:numPr>
          <w:ilvl w:val="0"/>
          <w:numId w:val="136"/>
        </w:numPr>
        <w:tabs>
          <w:tab w:val="left" w:pos="1134"/>
        </w:tabs>
        <w:autoSpaceDE w:val="0"/>
        <w:autoSpaceDN w:val="0"/>
        <w:adjustRightInd w:val="0"/>
        <w:spacing w:after="120"/>
        <w:ind w:left="567" w:firstLine="0"/>
        <w:rPr>
          <w:rFonts w:eastAsia="Times New Roman" w:cs="Times New Roman"/>
          <w:bCs/>
          <w:color w:val="000000" w:themeColor="text1"/>
          <w:sz w:val="20"/>
          <w:lang w:eastAsia="en-US"/>
        </w:rPr>
      </w:pPr>
      <w:r w:rsidRPr="00CA682E">
        <w:rPr>
          <w:rFonts w:eastAsia="Times New Roman" w:cs="Times New Roman"/>
          <w:bCs/>
          <w:color w:val="000000" w:themeColor="text1"/>
          <w:sz w:val="20"/>
          <w:lang w:eastAsia="en-US"/>
        </w:rPr>
        <w:t xml:space="preserve">se elaboró el mandato del ingeniero de fachadas; </w:t>
      </w:r>
    </w:p>
    <w:p w:rsidR="00CA682E" w:rsidRPr="00CA682E" w:rsidRDefault="00CA682E" w:rsidP="00CA682E">
      <w:pPr>
        <w:numPr>
          <w:ilvl w:val="0"/>
          <w:numId w:val="136"/>
        </w:numPr>
        <w:tabs>
          <w:tab w:val="left" w:pos="1134"/>
        </w:tabs>
        <w:autoSpaceDE w:val="0"/>
        <w:autoSpaceDN w:val="0"/>
        <w:adjustRightInd w:val="0"/>
        <w:spacing w:after="120"/>
        <w:ind w:left="567" w:firstLine="0"/>
        <w:rPr>
          <w:rFonts w:eastAsia="Times New Roman" w:cs="Times New Roman"/>
          <w:bCs/>
          <w:color w:val="000000" w:themeColor="text1"/>
          <w:sz w:val="20"/>
          <w:lang w:eastAsia="en-US"/>
        </w:rPr>
      </w:pPr>
      <w:r w:rsidRPr="00CA682E">
        <w:rPr>
          <w:rFonts w:eastAsia="Times New Roman" w:cs="Times New Roman"/>
          <w:bCs/>
          <w:color w:val="000000" w:themeColor="text1"/>
          <w:sz w:val="20"/>
          <w:lang w:eastAsia="en-US"/>
        </w:rPr>
        <w:t xml:space="preserve">se llamó a licitación para la selección del ingeniero de fachadas; </w:t>
      </w:r>
    </w:p>
    <w:p w:rsidR="00CA682E" w:rsidRPr="00CA682E" w:rsidRDefault="00CA682E" w:rsidP="00CA682E">
      <w:pPr>
        <w:numPr>
          <w:ilvl w:val="0"/>
          <w:numId w:val="136"/>
        </w:numPr>
        <w:tabs>
          <w:tab w:val="left" w:pos="1134"/>
        </w:tabs>
        <w:autoSpaceDE w:val="0"/>
        <w:autoSpaceDN w:val="0"/>
        <w:adjustRightInd w:val="0"/>
        <w:spacing w:after="120"/>
        <w:ind w:left="567" w:firstLine="0"/>
        <w:rPr>
          <w:rFonts w:eastAsia="Times New Roman" w:cs="Times New Roman"/>
          <w:bCs/>
          <w:color w:val="000000" w:themeColor="text1"/>
          <w:sz w:val="20"/>
          <w:lang w:eastAsia="en-US"/>
        </w:rPr>
      </w:pPr>
      <w:r w:rsidRPr="00CA682E">
        <w:rPr>
          <w:rFonts w:eastAsia="Times New Roman" w:cs="Times New Roman"/>
          <w:bCs/>
          <w:color w:val="000000" w:themeColor="text1"/>
          <w:sz w:val="20"/>
          <w:lang w:eastAsia="en-US"/>
        </w:rPr>
        <w:t xml:space="preserve">se adjudicó el contrato al ingeniero de fachadas; y </w:t>
      </w:r>
    </w:p>
    <w:p w:rsidR="00CA682E" w:rsidRPr="00CA682E" w:rsidRDefault="00CA682E" w:rsidP="00CA682E">
      <w:pPr>
        <w:numPr>
          <w:ilvl w:val="0"/>
          <w:numId w:val="136"/>
        </w:numPr>
        <w:tabs>
          <w:tab w:val="left" w:pos="1134"/>
        </w:tabs>
        <w:autoSpaceDE w:val="0"/>
        <w:autoSpaceDN w:val="0"/>
        <w:adjustRightInd w:val="0"/>
        <w:spacing w:after="120"/>
        <w:ind w:left="567" w:firstLine="0"/>
        <w:rPr>
          <w:rFonts w:eastAsia="Times New Roman" w:cs="Times New Roman"/>
          <w:bCs/>
          <w:color w:val="000000" w:themeColor="text1"/>
          <w:sz w:val="20"/>
          <w:lang w:eastAsia="en-US"/>
        </w:rPr>
      </w:pPr>
      <w:r w:rsidRPr="00CA682E">
        <w:rPr>
          <w:rFonts w:eastAsia="Times New Roman" w:cs="Times New Roman"/>
          <w:bCs/>
          <w:color w:val="000000" w:themeColor="text1"/>
          <w:sz w:val="20"/>
          <w:lang w:eastAsia="en-US"/>
        </w:rPr>
        <w:t xml:space="preserve">se examinó y validó el proyecto con el ingeniero de fachadas. </w:t>
      </w:r>
    </w:p>
    <w:p w:rsidR="00CA682E" w:rsidRPr="00CA682E" w:rsidRDefault="00CA682E" w:rsidP="00CA682E">
      <w:pPr>
        <w:autoSpaceDE w:val="0"/>
        <w:autoSpaceDN w:val="0"/>
        <w:adjustRightInd w:val="0"/>
        <w:rPr>
          <w:rFonts w:eastAsiaTheme="minorHAnsi"/>
          <w:color w:val="000000" w:themeColor="text1"/>
          <w:sz w:val="20"/>
          <w:lang w:eastAsia="en-US"/>
        </w:rPr>
      </w:pPr>
    </w:p>
    <w:p w:rsidR="00CA682E" w:rsidRPr="00CA682E" w:rsidRDefault="00CA682E" w:rsidP="00CA682E">
      <w:pPr>
        <w:numPr>
          <w:ilvl w:val="0"/>
          <w:numId w:val="130"/>
        </w:numPr>
        <w:tabs>
          <w:tab w:val="left" w:pos="567"/>
        </w:tabs>
        <w:ind w:left="0" w:firstLine="0"/>
        <w:jc w:val="both"/>
        <w:rPr>
          <w:rFonts w:eastAsiaTheme="minorHAnsi"/>
          <w:color w:val="000000" w:themeColor="text1"/>
          <w:sz w:val="20"/>
          <w:lang w:eastAsia="en-US"/>
        </w:rPr>
      </w:pPr>
      <w:r w:rsidRPr="00CA682E">
        <w:rPr>
          <w:rFonts w:eastAsiaTheme="minorHAnsi"/>
          <w:color w:val="000000" w:themeColor="text1"/>
          <w:sz w:val="20"/>
          <w:lang w:eastAsia="en-US"/>
        </w:rPr>
        <w:t xml:space="preserve">Debido al retraso registrado en la finalización de la nueva sala de conferencias de la OMPI (aplazada de comienzos de 2014 a septiembre de 2014), la puesta en marcha del proyecto se retrasó un año con respecto al plan original.  El calendario del proyecto se ha modificado en consecuencia. </w:t>
      </w:r>
    </w:p>
    <w:p w:rsidR="00CA682E" w:rsidRPr="00CA682E" w:rsidRDefault="00CA682E" w:rsidP="00CA682E">
      <w:pPr>
        <w:autoSpaceDE w:val="0"/>
        <w:autoSpaceDN w:val="0"/>
        <w:adjustRightInd w:val="0"/>
        <w:rPr>
          <w:rFonts w:eastAsiaTheme="minorHAnsi"/>
          <w:color w:val="000000" w:themeColor="text1"/>
          <w:sz w:val="20"/>
          <w:lang w:eastAsia="en-US"/>
        </w:rPr>
      </w:pPr>
    </w:p>
    <w:p w:rsidR="00CA682E" w:rsidRPr="00CA682E" w:rsidRDefault="00CA682E" w:rsidP="00CA682E">
      <w:pPr>
        <w:numPr>
          <w:ilvl w:val="0"/>
          <w:numId w:val="130"/>
        </w:numPr>
        <w:tabs>
          <w:tab w:val="left" w:pos="567"/>
        </w:tabs>
        <w:ind w:left="0" w:firstLine="0"/>
        <w:jc w:val="both"/>
        <w:rPr>
          <w:rFonts w:eastAsiaTheme="minorHAnsi"/>
          <w:color w:val="000000" w:themeColor="text1"/>
          <w:sz w:val="20"/>
          <w:lang w:eastAsia="en-US"/>
        </w:rPr>
      </w:pPr>
      <w:r w:rsidRPr="00CA682E">
        <w:rPr>
          <w:rFonts w:eastAsiaTheme="minorHAnsi"/>
          <w:color w:val="000000" w:themeColor="text1"/>
          <w:sz w:val="20"/>
          <w:lang w:eastAsia="en-US"/>
        </w:rPr>
        <w:t xml:space="preserve">En 2015, se realizaron los avances siguientes: </w:t>
      </w:r>
    </w:p>
    <w:p w:rsidR="00CA682E" w:rsidRPr="00CA682E" w:rsidRDefault="00CA682E" w:rsidP="00CA682E">
      <w:pPr>
        <w:autoSpaceDE w:val="0"/>
        <w:autoSpaceDN w:val="0"/>
        <w:adjustRightInd w:val="0"/>
        <w:jc w:val="both"/>
        <w:rPr>
          <w:rFonts w:eastAsiaTheme="minorHAnsi"/>
          <w:color w:val="000000" w:themeColor="text1"/>
          <w:sz w:val="20"/>
          <w:lang w:eastAsia="en-US"/>
        </w:rPr>
      </w:pPr>
    </w:p>
    <w:p w:rsidR="00CA682E" w:rsidRPr="00CA682E" w:rsidRDefault="00CA682E" w:rsidP="00CA682E">
      <w:pPr>
        <w:numPr>
          <w:ilvl w:val="0"/>
          <w:numId w:val="136"/>
        </w:numPr>
        <w:tabs>
          <w:tab w:val="left" w:pos="1134"/>
        </w:tabs>
        <w:autoSpaceDE w:val="0"/>
        <w:autoSpaceDN w:val="0"/>
        <w:adjustRightInd w:val="0"/>
        <w:spacing w:after="120"/>
        <w:ind w:left="1134" w:hanging="567"/>
        <w:jc w:val="both"/>
        <w:rPr>
          <w:rFonts w:eastAsia="Times New Roman" w:cs="Times New Roman"/>
          <w:bCs/>
          <w:color w:val="000000" w:themeColor="text1"/>
          <w:sz w:val="20"/>
          <w:lang w:eastAsia="en-US"/>
        </w:rPr>
      </w:pPr>
      <w:r w:rsidRPr="00CA682E">
        <w:rPr>
          <w:rFonts w:eastAsia="Times New Roman" w:cs="Times New Roman"/>
          <w:bCs/>
          <w:color w:val="000000" w:themeColor="text1"/>
          <w:sz w:val="20"/>
          <w:lang w:eastAsia="en-US"/>
        </w:rPr>
        <w:t xml:space="preserve">realización de los preparativos necesarios (julio y agosto de 2015) a fin de encargar las ventanas; </w:t>
      </w:r>
    </w:p>
    <w:p w:rsidR="00CA682E" w:rsidRPr="00CA682E" w:rsidRDefault="00CA682E" w:rsidP="00CA682E">
      <w:pPr>
        <w:numPr>
          <w:ilvl w:val="0"/>
          <w:numId w:val="136"/>
        </w:numPr>
        <w:tabs>
          <w:tab w:val="left" w:pos="1134"/>
        </w:tabs>
        <w:autoSpaceDE w:val="0"/>
        <w:autoSpaceDN w:val="0"/>
        <w:adjustRightInd w:val="0"/>
        <w:spacing w:after="120"/>
        <w:ind w:left="1134" w:hanging="567"/>
        <w:jc w:val="both"/>
        <w:rPr>
          <w:rFonts w:eastAsia="Times New Roman" w:cs="Times New Roman"/>
          <w:bCs/>
          <w:color w:val="000000" w:themeColor="text1"/>
          <w:sz w:val="20"/>
          <w:lang w:eastAsia="en-US"/>
        </w:rPr>
      </w:pPr>
      <w:r w:rsidRPr="00CA682E">
        <w:rPr>
          <w:rFonts w:eastAsia="Times New Roman" w:cs="Times New Roman"/>
          <w:bCs/>
          <w:color w:val="000000" w:themeColor="text1"/>
          <w:sz w:val="20"/>
          <w:lang w:eastAsia="en-US"/>
        </w:rPr>
        <w:t>detección de problemas</w:t>
      </w:r>
      <w:r w:rsidR="000D2B1B" w:rsidRPr="00734316">
        <w:rPr>
          <w:rStyle w:val="FootnoteReference"/>
          <w:rFonts w:eastAsia="Times New Roman" w:cs="Times New Roman"/>
          <w:bCs/>
          <w:color w:val="000000" w:themeColor="text1"/>
          <w:sz w:val="20"/>
          <w:lang w:eastAsia="en-US"/>
        </w:rPr>
        <w:footnoteReference w:id="181"/>
      </w:r>
      <w:r w:rsidRPr="00CA682E">
        <w:rPr>
          <w:rFonts w:eastAsia="Times New Roman" w:cs="Times New Roman"/>
          <w:bCs/>
          <w:color w:val="000000" w:themeColor="text1"/>
          <w:sz w:val="20"/>
          <w:lang w:eastAsia="en-US"/>
        </w:rPr>
        <w:t xml:space="preserve"> técnicos durante las obras de muestra realizadas, lo que supuso la interrupción de las obras;</w:t>
      </w:r>
    </w:p>
    <w:p w:rsidR="00CA682E" w:rsidRPr="00CA682E" w:rsidRDefault="00CA682E" w:rsidP="00CA682E">
      <w:pPr>
        <w:numPr>
          <w:ilvl w:val="0"/>
          <w:numId w:val="136"/>
        </w:numPr>
        <w:tabs>
          <w:tab w:val="left" w:pos="1134"/>
        </w:tabs>
        <w:autoSpaceDE w:val="0"/>
        <w:autoSpaceDN w:val="0"/>
        <w:adjustRightInd w:val="0"/>
        <w:spacing w:after="120"/>
        <w:ind w:left="1134" w:hanging="567"/>
        <w:jc w:val="both"/>
        <w:rPr>
          <w:rFonts w:eastAsia="Times New Roman" w:cs="Times New Roman"/>
          <w:bCs/>
          <w:color w:val="000000" w:themeColor="text1"/>
          <w:sz w:val="20"/>
          <w:lang w:eastAsia="en-US"/>
        </w:rPr>
      </w:pPr>
      <w:r w:rsidRPr="00CA682E">
        <w:rPr>
          <w:rFonts w:eastAsia="Times New Roman" w:cs="Times New Roman"/>
          <w:bCs/>
          <w:color w:val="000000" w:themeColor="text1"/>
          <w:sz w:val="20"/>
          <w:lang w:eastAsia="en-US"/>
        </w:rPr>
        <w:lastRenderedPageBreak/>
        <w:t>decisión de contratar expertos para volver a evaluar la situación técnica</w:t>
      </w:r>
      <w:r w:rsidR="00734316">
        <w:rPr>
          <w:rFonts w:eastAsia="Times New Roman" w:cs="Times New Roman"/>
          <w:bCs/>
          <w:color w:val="000000" w:themeColor="text1"/>
          <w:sz w:val="20"/>
          <w:lang w:eastAsia="en-US"/>
        </w:rPr>
        <w:t>, que ahora supondrá una obra más compleja de extracción de las ventanas y sus marcos,</w:t>
      </w:r>
      <w:r w:rsidRPr="00CA682E">
        <w:rPr>
          <w:rFonts w:eastAsia="Times New Roman" w:cs="Times New Roman"/>
          <w:bCs/>
          <w:color w:val="000000" w:themeColor="text1"/>
          <w:sz w:val="20"/>
          <w:lang w:eastAsia="en-US"/>
        </w:rPr>
        <w:t xml:space="preserve"> y aconsejar las próximas medidas a tomar;  y</w:t>
      </w:r>
    </w:p>
    <w:p w:rsidR="00CA682E" w:rsidRPr="00CA682E" w:rsidRDefault="00CA682E" w:rsidP="00CA682E">
      <w:pPr>
        <w:numPr>
          <w:ilvl w:val="0"/>
          <w:numId w:val="136"/>
        </w:numPr>
        <w:tabs>
          <w:tab w:val="left" w:pos="1134"/>
        </w:tabs>
        <w:autoSpaceDE w:val="0"/>
        <w:autoSpaceDN w:val="0"/>
        <w:adjustRightInd w:val="0"/>
        <w:spacing w:after="120"/>
        <w:ind w:left="1134" w:hanging="567"/>
        <w:jc w:val="both"/>
        <w:rPr>
          <w:rFonts w:eastAsia="Times New Roman" w:cs="Times New Roman"/>
          <w:bCs/>
          <w:color w:val="000000" w:themeColor="text1"/>
          <w:sz w:val="20"/>
          <w:lang w:eastAsia="en-US"/>
        </w:rPr>
      </w:pPr>
      <w:r w:rsidRPr="00CA682E">
        <w:rPr>
          <w:rFonts w:eastAsia="Times New Roman" w:cs="Times New Roman"/>
          <w:bCs/>
          <w:color w:val="000000" w:themeColor="text1"/>
          <w:sz w:val="20"/>
          <w:lang w:eastAsia="en-US"/>
        </w:rPr>
        <w:t>aplazamiento de la ejecución del proyecto hasta que se resolvieran los problemas técnicos.</w:t>
      </w:r>
    </w:p>
    <w:p w:rsidR="00CA682E" w:rsidRPr="00CA682E" w:rsidRDefault="00CA682E" w:rsidP="00CA682E">
      <w:pPr>
        <w:autoSpaceDE w:val="0"/>
        <w:autoSpaceDN w:val="0"/>
        <w:adjustRightInd w:val="0"/>
        <w:rPr>
          <w:rFonts w:eastAsiaTheme="minorHAnsi"/>
          <w:color w:val="000000" w:themeColor="text1"/>
          <w:sz w:val="20"/>
          <w:szCs w:val="24"/>
          <w:lang w:eastAsia="en-US"/>
        </w:rPr>
      </w:pPr>
    </w:p>
    <w:p w:rsidR="00CA682E" w:rsidRPr="00CA682E" w:rsidRDefault="00CA682E" w:rsidP="00CA682E">
      <w:pPr>
        <w:numPr>
          <w:ilvl w:val="0"/>
          <w:numId w:val="130"/>
        </w:numPr>
        <w:tabs>
          <w:tab w:val="left" w:pos="567"/>
        </w:tabs>
        <w:ind w:left="0" w:firstLine="0"/>
        <w:jc w:val="both"/>
        <w:rPr>
          <w:rFonts w:eastAsiaTheme="minorHAnsi"/>
          <w:color w:val="000000" w:themeColor="text1"/>
          <w:sz w:val="20"/>
          <w:lang w:eastAsia="en-US"/>
        </w:rPr>
      </w:pPr>
      <w:r w:rsidRPr="00CA682E">
        <w:rPr>
          <w:rFonts w:eastAsiaTheme="minorHAnsi"/>
          <w:color w:val="000000" w:themeColor="text1"/>
          <w:sz w:val="20"/>
          <w:lang w:eastAsia="en-US"/>
        </w:rPr>
        <w:t xml:space="preserve">A finales de 2015 todavía no se sabía la incidencia total que tendrían los problemas técnicos en el proyecto.  A fin de atenuar la probabilidad de riesgo se contratarán expertos y se llevarán a cabo estudios adicionales para asesorar a la OMPI sobre el modo más indicado de proceder.  </w:t>
      </w:r>
    </w:p>
    <w:p w:rsidR="00CA682E" w:rsidRPr="00CA682E" w:rsidRDefault="00CA682E" w:rsidP="00CA682E">
      <w:pPr>
        <w:rPr>
          <w:rFonts w:eastAsia="Times New Roman" w:cs="Times New Roman"/>
          <w:bCs/>
          <w:color w:val="000000" w:themeColor="text1"/>
          <w:sz w:val="20"/>
          <w:lang w:eastAsia="en-US"/>
        </w:rPr>
      </w:pPr>
    </w:p>
    <w:p w:rsidR="00CA682E" w:rsidRPr="00CA682E" w:rsidRDefault="00CA682E" w:rsidP="00CA682E">
      <w:pPr>
        <w:rPr>
          <w:rFonts w:eastAsia="Times New Roman" w:cs="Times New Roman"/>
          <w:bCs/>
          <w:color w:val="000000" w:themeColor="text1"/>
          <w:sz w:val="20"/>
          <w:lang w:eastAsia="en-US"/>
        </w:rPr>
      </w:pPr>
    </w:p>
    <w:p w:rsidR="00CA682E" w:rsidRPr="00CA682E" w:rsidRDefault="00CA682E" w:rsidP="00CA682E">
      <w:pPr>
        <w:rPr>
          <w:rFonts w:eastAsia="Times New Roman" w:cs="Times New Roman"/>
          <w:bCs/>
          <w:color w:val="000000" w:themeColor="text1"/>
          <w:sz w:val="20"/>
          <w:lang w:eastAsia="en-US"/>
        </w:rPr>
      </w:pPr>
      <w:r w:rsidRPr="00CA682E">
        <w:rPr>
          <w:rFonts w:eastAsia="Times New Roman" w:cs="Times New Roman"/>
          <w:bCs/>
          <w:color w:val="000000" w:themeColor="text1"/>
          <w:sz w:val="20"/>
          <w:lang w:eastAsia="en-US"/>
        </w:rPr>
        <w:t>OBTENCIÓN DE BENEFICIOS</w:t>
      </w:r>
    </w:p>
    <w:p w:rsidR="00CA682E" w:rsidRPr="00CA682E" w:rsidRDefault="00CA682E" w:rsidP="00CA682E">
      <w:pPr>
        <w:rPr>
          <w:rFonts w:eastAsia="Times New Roman" w:cs="Times New Roman"/>
          <w:color w:val="000000" w:themeColor="text1"/>
          <w:sz w:val="20"/>
          <w:lang w:eastAsia="en-US"/>
        </w:rPr>
      </w:pPr>
    </w:p>
    <w:tbl>
      <w:tblPr>
        <w:tblW w:w="462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23"/>
        <w:gridCol w:w="4424"/>
      </w:tblGrid>
      <w:tr w:rsidR="00CA682E" w:rsidRPr="00CA682E" w:rsidTr="007B1DE4">
        <w:trPr>
          <w:trHeight w:val="421"/>
          <w:tblHeader/>
          <w:jc w:val="center"/>
        </w:trPr>
        <w:tc>
          <w:tcPr>
            <w:tcW w:w="2500" w:type="pct"/>
            <w:tcBorders>
              <w:bottom w:val="single" w:sz="4" w:space="0" w:color="auto"/>
            </w:tcBorders>
            <w:shd w:val="clear" w:color="auto" w:fill="C6D9F1" w:themeFill="text2" w:themeFillTint="33"/>
            <w:vAlign w:val="center"/>
          </w:tcPr>
          <w:p w:rsidR="00CA682E" w:rsidRPr="00CA682E" w:rsidRDefault="00CA682E" w:rsidP="00CA682E">
            <w:pPr>
              <w:jc w:val="center"/>
              <w:rPr>
                <w:rFonts w:eastAsia="Times New Roman" w:cs="Times New Roman"/>
                <w:b/>
                <w:bCs/>
                <w:color w:val="000000" w:themeColor="text1"/>
                <w:sz w:val="16"/>
                <w:szCs w:val="16"/>
                <w:lang w:eastAsia="en-US"/>
              </w:rPr>
            </w:pPr>
            <w:r w:rsidRPr="00CA682E">
              <w:rPr>
                <w:rFonts w:eastAsia="Times New Roman" w:cs="Times New Roman"/>
                <w:b/>
                <w:bCs/>
                <w:color w:val="000000" w:themeColor="text1"/>
                <w:sz w:val="16"/>
                <w:szCs w:val="16"/>
                <w:lang w:eastAsia="en-US"/>
              </w:rPr>
              <w:t>Beneficios obtenidos en 2015</w:t>
            </w:r>
          </w:p>
        </w:tc>
        <w:tc>
          <w:tcPr>
            <w:tcW w:w="2500" w:type="pct"/>
            <w:shd w:val="clear" w:color="auto" w:fill="C6D9F1" w:themeFill="text2" w:themeFillTint="33"/>
            <w:vAlign w:val="center"/>
          </w:tcPr>
          <w:p w:rsidR="00CA682E" w:rsidRPr="00CA682E" w:rsidRDefault="00CA682E" w:rsidP="00CA682E">
            <w:pPr>
              <w:jc w:val="center"/>
              <w:rPr>
                <w:rFonts w:eastAsia="Times New Roman" w:cs="Times New Roman"/>
                <w:b/>
                <w:bCs/>
                <w:color w:val="000000" w:themeColor="text1"/>
                <w:sz w:val="16"/>
                <w:szCs w:val="16"/>
                <w:lang w:eastAsia="en-US"/>
              </w:rPr>
            </w:pPr>
            <w:r w:rsidRPr="00CA682E">
              <w:rPr>
                <w:rFonts w:eastAsia="Times New Roman" w:cs="Times New Roman"/>
                <w:b/>
                <w:bCs/>
                <w:color w:val="000000" w:themeColor="text1"/>
                <w:sz w:val="16"/>
                <w:szCs w:val="16"/>
                <w:lang w:eastAsia="en-US"/>
              </w:rPr>
              <w:t>Beneficios previstos para el futuro</w:t>
            </w:r>
          </w:p>
        </w:tc>
      </w:tr>
      <w:tr w:rsidR="00CA682E" w:rsidRPr="00CA682E" w:rsidTr="007B1DE4">
        <w:trPr>
          <w:trHeight w:val="564"/>
          <w:jc w:val="center"/>
        </w:trPr>
        <w:tc>
          <w:tcPr>
            <w:tcW w:w="2500" w:type="pct"/>
            <w:tcBorders>
              <w:top w:val="single" w:sz="4" w:space="0" w:color="auto"/>
              <w:bottom w:val="single" w:sz="4" w:space="0" w:color="auto"/>
            </w:tcBorders>
            <w:vAlign w:val="center"/>
          </w:tcPr>
          <w:p w:rsidR="00CA682E" w:rsidRPr="00CA682E" w:rsidRDefault="00CA682E" w:rsidP="00CA682E">
            <w:pPr>
              <w:rPr>
                <w:rFonts w:eastAsia="Times New Roman" w:cs="Times New Roman"/>
                <w:bCs/>
                <w:color w:val="000000" w:themeColor="text1"/>
                <w:sz w:val="16"/>
                <w:szCs w:val="16"/>
                <w:lang w:eastAsia="en-US"/>
              </w:rPr>
            </w:pPr>
            <w:r w:rsidRPr="00CA682E">
              <w:rPr>
                <w:rFonts w:eastAsia="Times New Roman" w:cs="Times New Roman"/>
                <w:bCs/>
                <w:color w:val="000000" w:themeColor="text1"/>
                <w:sz w:val="16"/>
                <w:szCs w:val="16"/>
                <w:lang w:eastAsia="en-US"/>
              </w:rPr>
              <w:t>En 2015 no se obtuvieron  beneficios debido a la interrupción de las obras tras detectarse problemas técnicos</w:t>
            </w:r>
          </w:p>
        </w:tc>
        <w:tc>
          <w:tcPr>
            <w:tcW w:w="2500" w:type="pct"/>
            <w:shd w:val="clear" w:color="auto" w:fill="auto"/>
            <w:vAlign w:val="center"/>
          </w:tcPr>
          <w:p w:rsidR="00CA682E" w:rsidRPr="00CA682E" w:rsidRDefault="00CA682E" w:rsidP="00CA682E">
            <w:pPr>
              <w:rPr>
                <w:rFonts w:eastAsia="Times New Roman" w:cs="Times New Roman"/>
                <w:bCs/>
                <w:color w:val="000000" w:themeColor="text1"/>
                <w:sz w:val="16"/>
                <w:szCs w:val="16"/>
                <w:lang w:eastAsia="en-US"/>
              </w:rPr>
            </w:pPr>
            <w:r w:rsidRPr="00CA682E">
              <w:rPr>
                <w:rFonts w:eastAsia="Times New Roman" w:cs="Times New Roman"/>
                <w:bCs/>
                <w:color w:val="000000" w:themeColor="text1"/>
                <w:sz w:val="16"/>
                <w:szCs w:val="16"/>
                <w:lang w:eastAsia="en-US"/>
              </w:rPr>
              <w:t>Reducción total de la pérdida de energía a través de la fachada suroeste del edificio AB</w:t>
            </w:r>
          </w:p>
        </w:tc>
      </w:tr>
      <w:tr w:rsidR="00CA682E" w:rsidRPr="00CA682E" w:rsidTr="007B1DE4">
        <w:trPr>
          <w:trHeight w:val="564"/>
          <w:jc w:val="center"/>
        </w:trPr>
        <w:tc>
          <w:tcPr>
            <w:tcW w:w="2500" w:type="pct"/>
            <w:tcBorders>
              <w:top w:val="single" w:sz="4" w:space="0" w:color="auto"/>
              <w:bottom w:val="single" w:sz="4" w:space="0" w:color="auto"/>
            </w:tcBorders>
            <w:vAlign w:val="center"/>
          </w:tcPr>
          <w:p w:rsidR="00CA682E" w:rsidRPr="00CA682E" w:rsidRDefault="00CA682E" w:rsidP="00CA682E">
            <w:pPr>
              <w:rPr>
                <w:rFonts w:eastAsia="Times New Roman" w:cs="Times New Roman"/>
                <w:bCs/>
                <w:color w:val="000000" w:themeColor="text1"/>
                <w:sz w:val="16"/>
                <w:szCs w:val="16"/>
                <w:lang w:eastAsia="en-US"/>
              </w:rPr>
            </w:pPr>
          </w:p>
        </w:tc>
        <w:tc>
          <w:tcPr>
            <w:tcW w:w="2500" w:type="pct"/>
            <w:shd w:val="clear" w:color="auto" w:fill="auto"/>
            <w:vAlign w:val="center"/>
          </w:tcPr>
          <w:p w:rsidR="00CA682E" w:rsidRPr="00CA682E" w:rsidRDefault="00CA682E" w:rsidP="00CA682E">
            <w:pPr>
              <w:rPr>
                <w:rFonts w:eastAsia="Times New Roman" w:cs="Times New Roman"/>
                <w:bCs/>
                <w:color w:val="000000" w:themeColor="text1"/>
                <w:sz w:val="16"/>
                <w:szCs w:val="16"/>
                <w:lang w:eastAsia="en-US"/>
              </w:rPr>
            </w:pPr>
            <w:r w:rsidRPr="00CA682E">
              <w:rPr>
                <w:rFonts w:eastAsia="Times New Roman" w:cs="Times New Roman"/>
                <w:bCs/>
                <w:color w:val="000000" w:themeColor="text1"/>
                <w:sz w:val="16"/>
                <w:szCs w:val="16"/>
                <w:lang w:eastAsia="en-US"/>
              </w:rPr>
              <w:t>Mejor confort térmico todo el año</w:t>
            </w:r>
          </w:p>
        </w:tc>
      </w:tr>
      <w:tr w:rsidR="00CA682E" w:rsidRPr="00CA682E" w:rsidTr="007B1DE4">
        <w:trPr>
          <w:trHeight w:val="564"/>
          <w:jc w:val="center"/>
        </w:trPr>
        <w:tc>
          <w:tcPr>
            <w:tcW w:w="2500" w:type="pct"/>
            <w:tcBorders>
              <w:top w:val="single" w:sz="4" w:space="0" w:color="auto"/>
              <w:bottom w:val="single" w:sz="4" w:space="0" w:color="auto"/>
            </w:tcBorders>
            <w:vAlign w:val="center"/>
          </w:tcPr>
          <w:p w:rsidR="00CA682E" w:rsidRPr="00CA682E" w:rsidRDefault="00CA682E" w:rsidP="00CA682E">
            <w:pPr>
              <w:rPr>
                <w:rFonts w:eastAsia="Times New Roman" w:cs="Times New Roman"/>
                <w:bCs/>
                <w:color w:val="000000" w:themeColor="text1"/>
                <w:sz w:val="16"/>
                <w:szCs w:val="16"/>
                <w:lang w:eastAsia="en-US"/>
              </w:rPr>
            </w:pPr>
          </w:p>
        </w:tc>
        <w:tc>
          <w:tcPr>
            <w:tcW w:w="2500" w:type="pct"/>
            <w:shd w:val="clear" w:color="auto" w:fill="auto"/>
            <w:vAlign w:val="center"/>
          </w:tcPr>
          <w:p w:rsidR="00CA682E" w:rsidRPr="00CA682E" w:rsidRDefault="00CA682E" w:rsidP="00CA682E">
            <w:pPr>
              <w:rPr>
                <w:rFonts w:eastAsia="Times New Roman" w:cs="Times New Roman"/>
                <w:bCs/>
                <w:color w:val="000000" w:themeColor="text1"/>
                <w:sz w:val="16"/>
                <w:szCs w:val="16"/>
                <w:lang w:eastAsia="en-US"/>
              </w:rPr>
            </w:pPr>
            <w:r w:rsidRPr="00CA682E">
              <w:rPr>
                <w:rFonts w:eastAsia="Times New Roman" w:cs="Times New Roman"/>
                <w:bCs/>
                <w:color w:val="000000" w:themeColor="text1"/>
                <w:sz w:val="16"/>
                <w:szCs w:val="16"/>
                <w:lang w:eastAsia="en-US"/>
              </w:rPr>
              <w:t>Reciclado de las ventanas menos dañadas para su uso en otras fachadas del edificio AB</w:t>
            </w:r>
          </w:p>
        </w:tc>
      </w:tr>
      <w:tr w:rsidR="00CA682E" w:rsidRPr="00CA682E" w:rsidTr="007B1DE4">
        <w:trPr>
          <w:trHeight w:val="564"/>
          <w:jc w:val="center"/>
        </w:trPr>
        <w:tc>
          <w:tcPr>
            <w:tcW w:w="2500" w:type="pct"/>
            <w:tcBorders>
              <w:top w:val="single" w:sz="4" w:space="0" w:color="auto"/>
              <w:bottom w:val="single" w:sz="4" w:space="0" w:color="auto"/>
            </w:tcBorders>
            <w:vAlign w:val="center"/>
          </w:tcPr>
          <w:p w:rsidR="00CA682E" w:rsidRPr="00CA682E" w:rsidRDefault="00CA682E" w:rsidP="00CA682E">
            <w:pPr>
              <w:rPr>
                <w:rFonts w:eastAsia="Times New Roman" w:cs="Times New Roman"/>
                <w:bCs/>
                <w:color w:val="000000" w:themeColor="text1"/>
                <w:sz w:val="16"/>
                <w:szCs w:val="16"/>
                <w:lang w:eastAsia="en-US"/>
              </w:rPr>
            </w:pPr>
          </w:p>
        </w:tc>
        <w:tc>
          <w:tcPr>
            <w:tcW w:w="2500" w:type="pct"/>
            <w:shd w:val="clear" w:color="auto" w:fill="auto"/>
            <w:vAlign w:val="center"/>
          </w:tcPr>
          <w:p w:rsidR="00CA682E" w:rsidRPr="00CA682E" w:rsidRDefault="00CA682E" w:rsidP="00CA682E">
            <w:pPr>
              <w:rPr>
                <w:rFonts w:eastAsia="Times New Roman" w:cs="Times New Roman"/>
                <w:bCs/>
                <w:color w:val="000000" w:themeColor="text1"/>
                <w:sz w:val="16"/>
                <w:szCs w:val="16"/>
                <w:lang w:eastAsia="en-US"/>
              </w:rPr>
            </w:pPr>
            <w:r w:rsidRPr="00CA682E">
              <w:rPr>
                <w:rFonts w:eastAsia="Times New Roman" w:cs="Times New Roman"/>
                <w:bCs/>
                <w:color w:val="000000" w:themeColor="text1"/>
                <w:sz w:val="16"/>
                <w:szCs w:val="16"/>
                <w:lang w:eastAsia="en-US"/>
              </w:rPr>
              <w:t>Mejora del aspecto estético de la fachada suroeste del edificio AB</w:t>
            </w:r>
          </w:p>
        </w:tc>
      </w:tr>
      <w:tr w:rsidR="00CA682E" w:rsidRPr="00CA682E" w:rsidTr="007B1DE4">
        <w:trPr>
          <w:trHeight w:val="564"/>
          <w:jc w:val="center"/>
        </w:trPr>
        <w:tc>
          <w:tcPr>
            <w:tcW w:w="2500" w:type="pct"/>
            <w:tcBorders>
              <w:top w:val="single" w:sz="4" w:space="0" w:color="auto"/>
              <w:bottom w:val="single" w:sz="4" w:space="0" w:color="auto"/>
            </w:tcBorders>
            <w:vAlign w:val="center"/>
          </w:tcPr>
          <w:p w:rsidR="00CA682E" w:rsidRPr="00CA682E" w:rsidRDefault="00CA682E" w:rsidP="00CA682E">
            <w:pPr>
              <w:rPr>
                <w:rFonts w:eastAsia="Times New Roman" w:cs="Times New Roman"/>
                <w:bCs/>
                <w:color w:val="000000" w:themeColor="text1"/>
                <w:sz w:val="16"/>
                <w:szCs w:val="16"/>
                <w:lang w:eastAsia="en-US"/>
              </w:rPr>
            </w:pPr>
          </w:p>
        </w:tc>
        <w:tc>
          <w:tcPr>
            <w:tcW w:w="2500" w:type="pct"/>
            <w:shd w:val="clear" w:color="auto" w:fill="auto"/>
            <w:vAlign w:val="center"/>
          </w:tcPr>
          <w:p w:rsidR="00CA682E" w:rsidRPr="00CA682E" w:rsidRDefault="00CA682E" w:rsidP="00CA682E">
            <w:pPr>
              <w:rPr>
                <w:rFonts w:eastAsia="Times New Roman" w:cs="Times New Roman"/>
                <w:bCs/>
                <w:color w:val="000000" w:themeColor="text1"/>
                <w:sz w:val="16"/>
                <w:szCs w:val="16"/>
                <w:lang w:eastAsia="en-US"/>
              </w:rPr>
            </w:pPr>
            <w:r w:rsidRPr="00CA682E">
              <w:rPr>
                <w:rFonts w:eastAsia="Times New Roman" w:cs="Times New Roman"/>
                <w:bCs/>
                <w:color w:val="000000" w:themeColor="text1"/>
                <w:sz w:val="16"/>
                <w:szCs w:val="16"/>
                <w:lang w:eastAsia="en-US"/>
              </w:rPr>
              <w:t>Mejora de la eficiencia energética</w:t>
            </w:r>
          </w:p>
        </w:tc>
      </w:tr>
    </w:tbl>
    <w:p w:rsidR="00CA682E" w:rsidRPr="00CA682E" w:rsidRDefault="00CA682E" w:rsidP="00CA682E">
      <w:pPr>
        <w:rPr>
          <w:rFonts w:eastAsia="Times New Roman" w:cs="Times New Roman"/>
          <w:b/>
          <w:color w:val="000000" w:themeColor="text1"/>
          <w:sz w:val="20"/>
          <w:lang w:eastAsia="en-US"/>
        </w:rPr>
      </w:pPr>
    </w:p>
    <w:p w:rsidR="00CA682E" w:rsidRPr="00CA682E" w:rsidRDefault="00CA682E" w:rsidP="00CA682E">
      <w:pPr>
        <w:rPr>
          <w:rFonts w:eastAsia="Times New Roman" w:cs="Times New Roman"/>
          <w:color w:val="000000" w:themeColor="text1"/>
          <w:sz w:val="20"/>
          <w:lang w:eastAsia="en-US"/>
        </w:rPr>
      </w:pPr>
    </w:p>
    <w:p w:rsidR="00CA682E" w:rsidRPr="00CA682E" w:rsidRDefault="00CA682E" w:rsidP="00CA682E">
      <w:pPr>
        <w:rPr>
          <w:rFonts w:eastAsia="Times New Roman"/>
          <w:color w:val="000000" w:themeColor="text1"/>
          <w:sz w:val="20"/>
          <w:lang w:eastAsia="en-US"/>
        </w:rPr>
      </w:pPr>
      <w:r w:rsidRPr="00CA682E">
        <w:rPr>
          <w:rFonts w:eastAsia="Times New Roman"/>
          <w:color w:val="000000" w:themeColor="text1"/>
          <w:sz w:val="20"/>
          <w:lang w:eastAsia="en-US"/>
        </w:rPr>
        <w:t>UTILIZACIÓN DE LOS RECURSOS</w:t>
      </w:r>
      <w:r w:rsidRPr="00CA682E">
        <w:rPr>
          <w:rFonts w:eastAsia="Times New Roman"/>
          <w:color w:val="000000" w:themeColor="text1"/>
          <w:sz w:val="20"/>
          <w:vertAlign w:val="superscript"/>
          <w:lang w:eastAsia="en-US"/>
        </w:rPr>
        <w:footnoteReference w:id="182"/>
      </w:r>
    </w:p>
    <w:p w:rsidR="00CA682E" w:rsidRPr="00CA682E" w:rsidRDefault="00CA682E" w:rsidP="00CA682E">
      <w:pPr>
        <w:rPr>
          <w:rFonts w:eastAsia="Times New Roman"/>
          <w:color w:val="000000" w:themeColor="text1"/>
          <w:szCs w:val="22"/>
          <w:lang w:eastAsia="en-US"/>
        </w:rPr>
      </w:pPr>
    </w:p>
    <w:p w:rsidR="00CA682E" w:rsidRPr="00CA682E" w:rsidRDefault="00CA682E" w:rsidP="00CA682E">
      <w:pPr>
        <w:keepNext/>
        <w:keepLines/>
        <w:tabs>
          <w:tab w:val="left" w:pos="3261"/>
        </w:tabs>
        <w:autoSpaceDE w:val="0"/>
        <w:autoSpaceDN w:val="0"/>
        <w:adjustRightInd w:val="0"/>
        <w:jc w:val="center"/>
        <w:rPr>
          <w:rFonts w:eastAsia="Times New Roman" w:cs="Times New Roman"/>
          <w:b/>
          <w:color w:val="000000" w:themeColor="text1"/>
          <w:sz w:val="20"/>
          <w:szCs w:val="22"/>
          <w:lang w:eastAsia="en-US"/>
        </w:rPr>
      </w:pPr>
      <w:r w:rsidRPr="00CA682E">
        <w:rPr>
          <w:rFonts w:eastAsia="Times New Roman" w:cs="Times New Roman"/>
          <w:b/>
          <w:color w:val="000000" w:themeColor="text1"/>
          <w:sz w:val="20"/>
          <w:szCs w:val="22"/>
          <w:lang w:eastAsia="en-US"/>
        </w:rPr>
        <w:t>Utilización del presupuesto del proyecto</w:t>
      </w:r>
    </w:p>
    <w:p w:rsidR="00CA682E" w:rsidRPr="00CA682E" w:rsidRDefault="00CA682E" w:rsidP="00CA682E">
      <w:pPr>
        <w:keepNext/>
        <w:keepLines/>
        <w:tabs>
          <w:tab w:val="left" w:pos="3261"/>
        </w:tabs>
        <w:autoSpaceDE w:val="0"/>
        <w:autoSpaceDN w:val="0"/>
        <w:adjustRightInd w:val="0"/>
        <w:spacing w:after="120"/>
        <w:jc w:val="center"/>
        <w:rPr>
          <w:rFonts w:eastAsia="Times New Roman" w:cs="Times New Roman"/>
          <w:i/>
          <w:iCs/>
          <w:color w:val="000000" w:themeColor="text1"/>
          <w:sz w:val="18"/>
          <w:szCs w:val="18"/>
          <w:lang w:eastAsia="en-US"/>
        </w:rPr>
      </w:pPr>
      <w:r w:rsidRPr="00CA682E">
        <w:rPr>
          <w:rFonts w:eastAsia="Times New Roman" w:cs="Times New Roman"/>
          <w:i/>
          <w:iCs/>
          <w:color w:val="000000" w:themeColor="text1"/>
          <w:sz w:val="18"/>
          <w:szCs w:val="18"/>
          <w:lang w:eastAsia="en-US"/>
        </w:rPr>
        <w:t>(</w:t>
      </w:r>
      <w:proofErr w:type="gramStart"/>
      <w:r w:rsidRPr="00CA682E">
        <w:rPr>
          <w:rFonts w:eastAsia="Times New Roman" w:cs="Times New Roman"/>
          <w:i/>
          <w:iCs/>
          <w:color w:val="000000" w:themeColor="text1"/>
          <w:sz w:val="18"/>
          <w:szCs w:val="18"/>
          <w:lang w:eastAsia="en-US"/>
        </w:rPr>
        <w:t>en</w:t>
      </w:r>
      <w:proofErr w:type="gramEnd"/>
      <w:r w:rsidRPr="00CA682E">
        <w:rPr>
          <w:rFonts w:eastAsia="Times New Roman" w:cs="Times New Roman"/>
          <w:i/>
          <w:iCs/>
          <w:color w:val="000000" w:themeColor="text1"/>
          <w:sz w:val="18"/>
          <w:szCs w:val="18"/>
          <w:lang w:eastAsia="en-US"/>
        </w:rPr>
        <w:t xml:space="preserve"> francos suizos, al 31 de diciembre de 2015)</w:t>
      </w:r>
    </w:p>
    <w:tbl>
      <w:tblPr>
        <w:tblpPr w:leftFromText="180" w:rightFromText="180" w:vertAnchor="text" w:horzAnchor="margin" w:tblpX="182" w:tblpY="17"/>
        <w:tblW w:w="48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1"/>
        <w:gridCol w:w="1565"/>
        <w:gridCol w:w="1565"/>
        <w:gridCol w:w="1564"/>
        <w:gridCol w:w="1687"/>
      </w:tblGrid>
      <w:tr w:rsidR="00CA682E" w:rsidRPr="00CA682E" w:rsidTr="007B1DE4">
        <w:trPr>
          <w:trHeight w:val="410"/>
        </w:trPr>
        <w:tc>
          <w:tcPr>
            <w:tcW w:w="1577"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keepNext/>
              <w:keepLines/>
              <w:autoSpaceDE w:val="0"/>
              <w:autoSpaceDN w:val="0"/>
              <w:adjustRightInd w:val="0"/>
              <w:spacing w:before="40" w:after="40"/>
              <w:ind w:left="-74" w:right="-60"/>
              <w:jc w:val="center"/>
              <w:rPr>
                <w:rFonts w:eastAsia="Times New Roman" w:cs="Times New Roman"/>
                <w:b/>
                <w:bCs/>
                <w:color w:val="000000" w:themeColor="text1"/>
                <w:sz w:val="16"/>
                <w:szCs w:val="16"/>
                <w:lang w:eastAsia="en-US"/>
              </w:rPr>
            </w:pPr>
            <w:r w:rsidRPr="00CA682E">
              <w:rPr>
                <w:rFonts w:eastAsia="Times New Roman" w:cs="Times New Roman"/>
                <w:b/>
                <w:bCs/>
                <w:color w:val="000000" w:themeColor="text1"/>
                <w:sz w:val="16"/>
                <w:szCs w:val="16"/>
                <w:lang w:eastAsia="en-US"/>
              </w:rPr>
              <w:t>Nombre del proyecto</w:t>
            </w:r>
          </w:p>
        </w:tc>
        <w:tc>
          <w:tcPr>
            <w:tcW w:w="83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keepNext/>
              <w:keepLines/>
              <w:autoSpaceDE w:val="0"/>
              <w:autoSpaceDN w:val="0"/>
              <w:adjustRightInd w:val="0"/>
              <w:spacing w:before="40" w:after="40"/>
              <w:ind w:left="-107" w:right="-108"/>
              <w:jc w:val="center"/>
              <w:rPr>
                <w:rFonts w:eastAsia="Times New Roman" w:cs="Times New Roman"/>
                <w:b/>
                <w:bCs/>
                <w:color w:val="000000" w:themeColor="text1"/>
                <w:sz w:val="16"/>
                <w:szCs w:val="16"/>
                <w:lang w:eastAsia="en-US"/>
              </w:rPr>
            </w:pPr>
            <w:r w:rsidRPr="00CA682E">
              <w:rPr>
                <w:rFonts w:eastAsia="Times New Roman" w:cs="Times New Roman"/>
                <w:b/>
                <w:bCs/>
                <w:color w:val="000000" w:themeColor="text1"/>
                <w:sz w:val="16"/>
                <w:szCs w:val="16"/>
                <w:lang w:eastAsia="en-US"/>
              </w:rPr>
              <w:t>Presupuesto del proyecto</w:t>
            </w:r>
          </w:p>
        </w:tc>
        <w:tc>
          <w:tcPr>
            <w:tcW w:w="83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keepNext/>
              <w:keepLines/>
              <w:autoSpaceDE w:val="0"/>
              <w:autoSpaceDN w:val="0"/>
              <w:adjustRightInd w:val="0"/>
              <w:spacing w:before="40" w:after="40"/>
              <w:ind w:left="-108" w:right="-106"/>
              <w:jc w:val="center"/>
              <w:rPr>
                <w:rFonts w:eastAsia="Times New Roman" w:cs="Times New Roman"/>
                <w:b/>
                <w:bCs/>
                <w:color w:val="000000" w:themeColor="text1"/>
                <w:sz w:val="16"/>
                <w:szCs w:val="16"/>
                <w:lang w:eastAsia="en-US"/>
              </w:rPr>
            </w:pPr>
            <w:r w:rsidRPr="00CA682E">
              <w:rPr>
                <w:rFonts w:eastAsia="Times New Roman" w:cs="Times New Roman"/>
                <w:b/>
                <w:bCs/>
                <w:color w:val="000000" w:themeColor="text1"/>
                <w:sz w:val="16"/>
                <w:szCs w:val="16"/>
                <w:lang w:eastAsia="en-US"/>
              </w:rPr>
              <w:t>Gasto real hasta la fecha</w:t>
            </w:r>
          </w:p>
        </w:tc>
        <w:tc>
          <w:tcPr>
            <w:tcW w:w="83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keepNext/>
              <w:keepLines/>
              <w:autoSpaceDE w:val="0"/>
              <w:autoSpaceDN w:val="0"/>
              <w:adjustRightInd w:val="0"/>
              <w:spacing w:before="40" w:after="40"/>
              <w:ind w:left="-109" w:right="-108"/>
              <w:jc w:val="center"/>
              <w:rPr>
                <w:rFonts w:eastAsia="Times New Roman" w:cs="Times New Roman"/>
                <w:b/>
                <w:bCs/>
                <w:color w:val="000000" w:themeColor="text1"/>
                <w:sz w:val="16"/>
                <w:szCs w:val="16"/>
                <w:lang w:eastAsia="en-US"/>
              </w:rPr>
            </w:pPr>
            <w:r w:rsidRPr="00CA682E">
              <w:rPr>
                <w:rFonts w:eastAsia="Times New Roman" w:cs="Times New Roman"/>
                <w:b/>
                <w:bCs/>
                <w:color w:val="000000" w:themeColor="text1"/>
                <w:sz w:val="16"/>
                <w:szCs w:val="16"/>
                <w:lang w:eastAsia="en-US"/>
              </w:rPr>
              <w:t>Utilización real del presupuesto</w:t>
            </w:r>
          </w:p>
        </w:tc>
        <w:tc>
          <w:tcPr>
            <w:tcW w:w="905"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keepNext/>
              <w:keepLines/>
              <w:autoSpaceDE w:val="0"/>
              <w:autoSpaceDN w:val="0"/>
              <w:adjustRightInd w:val="0"/>
              <w:spacing w:before="40" w:after="40"/>
              <w:ind w:left="-109" w:right="-73" w:firstLine="1"/>
              <w:jc w:val="center"/>
              <w:rPr>
                <w:rFonts w:eastAsia="Times New Roman" w:cs="Times New Roman"/>
                <w:b/>
                <w:bCs/>
                <w:color w:val="000000" w:themeColor="text1"/>
                <w:sz w:val="16"/>
                <w:szCs w:val="16"/>
                <w:lang w:eastAsia="en-US"/>
              </w:rPr>
            </w:pPr>
            <w:r w:rsidRPr="00CA682E">
              <w:rPr>
                <w:rFonts w:eastAsia="Times New Roman" w:cs="Times New Roman"/>
                <w:b/>
                <w:bCs/>
                <w:color w:val="000000" w:themeColor="text1"/>
                <w:sz w:val="16"/>
                <w:szCs w:val="16"/>
                <w:lang w:eastAsia="en-US"/>
              </w:rPr>
              <w:t>Índice de avance en la ejecución del proyecto</w:t>
            </w:r>
          </w:p>
        </w:tc>
      </w:tr>
      <w:tr w:rsidR="00CA682E" w:rsidRPr="00CA682E" w:rsidTr="007B1DE4">
        <w:trPr>
          <w:trHeight w:val="389"/>
        </w:trPr>
        <w:tc>
          <w:tcPr>
            <w:tcW w:w="1577"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 xml:space="preserve">Edificio Arpad </w:t>
            </w:r>
            <w:proofErr w:type="spellStart"/>
            <w:r w:rsidRPr="00CA682E">
              <w:rPr>
                <w:rFonts w:eastAsia="Times New Roman" w:cs="Times New Roman"/>
                <w:color w:val="000000" w:themeColor="text1"/>
                <w:sz w:val="16"/>
                <w:szCs w:val="16"/>
                <w:lang w:eastAsia="en-US"/>
              </w:rPr>
              <w:t>Bogsch</w:t>
            </w:r>
            <w:proofErr w:type="spellEnd"/>
            <w:r w:rsidRPr="00CA682E">
              <w:rPr>
                <w:rFonts w:eastAsia="Times New Roman" w:cs="Times New Roman"/>
                <w:color w:val="000000" w:themeColor="text1"/>
                <w:sz w:val="16"/>
                <w:szCs w:val="16"/>
                <w:lang w:eastAsia="en-US"/>
              </w:rPr>
              <w:t xml:space="preserve"> – sustitución de determinadas ventanas</w:t>
            </w:r>
          </w:p>
        </w:tc>
        <w:tc>
          <w:tcPr>
            <w:tcW w:w="839"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300.000</w:t>
            </w:r>
          </w:p>
        </w:tc>
        <w:tc>
          <w:tcPr>
            <w:tcW w:w="839"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47.042</w:t>
            </w:r>
          </w:p>
        </w:tc>
        <w:tc>
          <w:tcPr>
            <w:tcW w:w="839"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15,7%</w:t>
            </w:r>
          </w:p>
        </w:tc>
        <w:tc>
          <w:tcPr>
            <w:tcW w:w="905"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15%</w:t>
            </w:r>
          </w:p>
        </w:tc>
      </w:tr>
    </w:tbl>
    <w:p w:rsidR="00CA682E" w:rsidRPr="00CA682E" w:rsidRDefault="00CA682E" w:rsidP="00CA682E">
      <w:pPr>
        <w:keepNext/>
        <w:autoSpaceDE w:val="0"/>
        <w:autoSpaceDN w:val="0"/>
        <w:rPr>
          <w:rFonts w:eastAsia="Times New Roman" w:cs="Times New Roman"/>
          <w:color w:val="000000" w:themeColor="text1"/>
          <w:sz w:val="20"/>
          <w:szCs w:val="16"/>
          <w:lang w:eastAsia="en-US"/>
        </w:rPr>
      </w:pPr>
    </w:p>
    <w:p w:rsidR="00CA682E" w:rsidRPr="00CA682E" w:rsidRDefault="00CA682E" w:rsidP="00CA682E">
      <w:pPr>
        <w:keepNext/>
        <w:keepLines/>
        <w:tabs>
          <w:tab w:val="left" w:pos="3261"/>
        </w:tabs>
        <w:autoSpaceDE w:val="0"/>
        <w:autoSpaceDN w:val="0"/>
        <w:adjustRightInd w:val="0"/>
        <w:jc w:val="center"/>
        <w:rPr>
          <w:rFonts w:eastAsia="Times New Roman" w:cs="Times New Roman"/>
          <w:b/>
          <w:color w:val="000000" w:themeColor="text1"/>
          <w:sz w:val="20"/>
          <w:szCs w:val="22"/>
          <w:lang w:eastAsia="en-US"/>
        </w:rPr>
      </w:pPr>
      <w:r w:rsidRPr="00CA682E">
        <w:rPr>
          <w:rFonts w:eastAsia="Times New Roman" w:cs="Times New Roman"/>
          <w:b/>
          <w:color w:val="000000" w:themeColor="text1"/>
          <w:sz w:val="20"/>
          <w:szCs w:val="22"/>
          <w:lang w:eastAsia="en-US"/>
        </w:rPr>
        <w:t>Utilización del presupuesto del proyecto (por etapa)</w:t>
      </w:r>
    </w:p>
    <w:p w:rsidR="00CA682E" w:rsidRPr="00CA682E" w:rsidRDefault="00CA682E" w:rsidP="00CA682E">
      <w:pPr>
        <w:keepNext/>
        <w:keepLines/>
        <w:tabs>
          <w:tab w:val="left" w:pos="3261"/>
        </w:tabs>
        <w:autoSpaceDE w:val="0"/>
        <w:autoSpaceDN w:val="0"/>
        <w:adjustRightInd w:val="0"/>
        <w:spacing w:after="120"/>
        <w:jc w:val="center"/>
        <w:rPr>
          <w:rFonts w:eastAsia="Times New Roman" w:cs="Times New Roman"/>
          <w:i/>
          <w:iCs/>
          <w:color w:val="000000" w:themeColor="text1"/>
          <w:sz w:val="18"/>
          <w:szCs w:val="18"/>
          <w:lang w:eastAsia="en-US"/>
        </w:rPr>
      </w:pPr>
      <w:r w:rsidRPr="00CA682E">
        <w:rPr>
          <w:rFonts w:eastAsia="Times New Roman" w:cs="Times New Roman"/>
          <w:i/>
          <w:iCs/>
          <w:color w:val="000000" w:themeColor="text1"/>
          <w:sz w:val="18"/>
          <w:szCs w:val="18"/>
          <w:lang w:eastAsia="en-US"/>
        </w:rPr>
        <w:t>(</w:t>
      </w:r>
      <w:proofErr w:type="gramStart"/>
      <w:r w:rsidRPr="00CA682E">
        <w:rPr>
          <w:rFonts w:eastAsia="Times New Roman" w:cs="Times New Roman"/>
          <w:i/>
          <w:iCs/>
          <w:color w:val="000000" w:themeColor="text1"/>
          <w:sz w:val="18"/>
          <w:szCs w:val="18"/>
          <w:lang w:eastAsia="en-US"/>
        </w:rPr>
        <w:t>en</w:t>
      </w:r>
      <w:proofErr w:type="gramEnd"/>
      <w:r w:rsidRPr="00CA682E">
        <w:rPr>
          <w:rFonts w:eastAsia="Times New Roman" w:cs="Times New Roman"/>
          <w:i/>
          <w:iCs/>
          <w:color w:val="000000" w:themeColor="text1"/>
          <w:sz w:val="18"/>
          <w:szCs w:val="18"/>
          <w:lang w:eastAsia="en-US"/>
        </w:rPr>
        <w:t xml:space="preserve"> francos suizos, al 31 de diciembre de 2015)</w:t>
      </w:r>
    </w:p>
    <w:tbl>
      <w:tblPr>
        <w:tblpPr w:leftFromText="180" w:rightFromText="180" w:vertAnchor="text" w:horzAnchor="margin" w:tblpX="182" w:tblpY="17"/>
        <w:tblW w:w="48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00"/>
        <w:gridCol w:w="1575"/>
        <w:gridCol w:w="1575"/>
        <w:gridCol w:w="1575"/>
        <w:gridCol w:w="1697"/>
      </w:tblGrid>
      <w:tr w:rsidR="00CA682E" w:rsidRPr="00CA682E" w:rsidTr="007B1DE4">
        <w:trPr>
          <w:trHeight w:val="410"/>
        </w:trPr>
        <w:tc>
          <w:tcPr>
            <w:tcW w:w="1555"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keepNext/>
              <w:keepLines/>
              <w:autoSpaceDE w:val="0"/>
              <w:autoSpaceDN w:val="0"/>
              <w:adjustRightInd w:val="0"/>
              <w:spacing w:before="40" w:after="40"/>
              <w:ind w:left="-74" w:right="-60"/>
              <w:jc w:val="center"/>
              <w:rPr>
                <w:rFonts w:eastAsia="Times New Roman" w:cs="Times New Roman"/>
                <w:b/>
                <w:bCs/>
                <w:color w:val="000000" w:themeColor="text1"/>
                <w:sz w:val="16"/>
                <w:szCs w:val="16"/>
                <w:lang w:eastAsia="en-US"/>
              </w:rPr>
            </w:pPr>
            <w:r w:rsidRPr="00CA682E">
              <w:rPr>
                <w:rFonts w:eastAsia="Times New Roman" w:cs="Times New Roman"/>
                <w:b/>
                <w:bCs/>
                <w:color w:val="000000" w:themeColor="text1"/>
                <w:sz w:val="16"/>
                <w:szCs w:val="16"/>
                <w:lang w:eastAsia="en-US"/>
              </w:rPr>
              <w:t>Etapas fundamentales</w:t>
            </w:r>
          </w:p>
        </w:tc>
        <w:tc>
          <w:tcPr>
            <w:tcW w:w="845"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keepNext/>
              <w:keepLines/>
              <w:autoSpaceDE w:val="0"/>
              <w:autoSpaceDN w:val="0"/>
              <w:adjustRightInd w:val="0"/>
              <w:spacing w:before="40" w:after="40"/>
              <w:ind w:left="-107" w:right="-108"/>
              <w:jc w:val="center"/>
              <w:rPr>
                <w:rFonts w:eastAsia="Times New Roman" w:cs="Times New Roman"/>
                <w:b/>
                <w:bCs/>
                <w:color w:val="000000" w:themeColor="text1"/>
                <w:sz w:val="16"/>
                <w:szCs w:val="16"/>
                <w:lang w:eastAsia="en-US"/>
              </w:rPr>
            </w:pPr>
            <w:r w:rsidRPr="00CA682E">
              <w:rPr>
                <w:rFonts w:eastAsia="Times New Roman" w:cs="Times New Roman"/>
                <w:b/>
                <w:bCs/>
                <w:color w:val="000000" w:themeColor="text1"/>
                <w:sz w:val="16"/>
                <w:szCs w:val="16"/>
                <w:lang w:eastAsia="en-US"/>
              </w:rPr>
              <w:t>Presupuesto del proyecto</w:t>
            </w:r>
          </w:p>
        </w:tc>
        <w:tc>
          <w:tcPr>
            <w:tcW w:w="845"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keepNext/>
              <w:keepLines/>
              <w:autoSpaceDE w:val="0"/>
              <w:autoSpaceDN w:val="0"/>
              <w:adjustRightInd w:val="0"/>
              <w:spacing w:before="40" w:after="40"/>
              <w:ind w:left="-108" w:right="-106"/>
              <w:jc w:val="center"/>
              <w:rPr>
                <w:rFonts w:eastAsia="Times New Roman" w:cs="Times New Roman"/>
                <w:b/>
                <w:bCs/>
                <w:color w:val="000000" w:themeColor="text1"/>
                <w:sz w:val="16"/>
                <w:szCs w:val="16"/>
                <w:lang w:eastAsia="en-US"/>
              </w:rPr>
            </w:pPr>
            <w:r w:rsidRPr="00CA682E">
              <w:rPr>
                <w:rFonts w:eastAsia="Times New Roman" w:cs="Times New Roman"/>
                <w:b/>
                <w:bCs/>
                <w:color w:val="000000" w:themeColor="text1"/>
                <w:sz w:val="16"/>
                <w:szCs w:val="16"/>
                <w:lang w:eastAsia="en-US"/>
              </w:rPr>
              <w:t>Gasto real hasta la fecha</w:t>
            </w:r>
          </w:p>
        </w:tc>
        <w:tc>
          <w:tcPr>
            <w:tcW w:w="845"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keepNext/>
              <w:keepLines/>
              <w:autoSpaceDE w:val="0"/>
              <w:autoSpaceDN w:val="0"/>
              <w:adjustRightInd w:val="0"/>
              <w:spacing w:before="40" w:after="40"/>
              <w:ind w:left="-109" w:right="-108"/>
              <w:jc w:val="center"/>
              <w:rPr>
                <w:rFonts w:eastAsia="Times New Roman" w:cs="Times New Roman"/>
                <w:b/>
                <w:bCs/>
                <w:color w:val="000000" w:themeColor="text1"/>
                <w:sz w:val="16"/>
                <w:szCs w:val="16"/>
                <w:lang w:eastAsia="en-US"/>
              </w:rPr>
            </w:pPr>
            <w:r w:rsidRPr="00CA682E">
              <w:rPr>
                <w:rFonts w:eastAsia="Times New Roman" w:cs="Times New Roman"/>
                <w:b/>
                <w:bCs/>
                <w:color w:val="000000" w:themeColor="text1"/>
                <w:sz w:val="16"/>
                <w:szCs w:val="16"/>
                <w:lang w:eastAsia="en-US"/>
              </w:rPr>
              <w:t>Utilización real del presupuesto</w:t>
            </w:r>
          </w:p>
        </w:tc>
        <w:tc>
          <w:tcPr>
            <w:tcW w:w="91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keepNext/>
              <w:keepLines/>
              <w:autoSpaceDE w:val="0"/>
              <w:autoSpaceDN w:val="0"/>
              <w:adjustRightInd w:val="0"/>
              <w:spacing w:before="40" w:after="40"/>
              <w:ind w:left="-109" w:right="-73" w:firstLine="1"/>
              <w:jc w:val="center"/>
              <w:rPr>
                <w:rFonts w:eastAsia="Times New Roman" w:cs="Times New Roman"/>
                <w:b/>
                <w:bCs/>
                <w:color w:val="000000" w:themeColor="text1"/>
                <w:sz w:val="16"/>
                <w:szCs w:val="16"/>
                <w:lang w:eastAsia="en-US"/>
              </w:rPr>
            </w:pPr>
            <w:r w:rsidRPr="00CA682E">
              <w:rPr>
                <w:rFonts w:eastAsia="Times New Roman" w:cs="Times New Roman"/>
                <w:b/>
                <w:bCs/>
                <w:color w:val="000000" w:themeColor="text1"/>
                <w:sz w:val="16"/>
                <w:szCs w:val="16"/>
                <w:lang w:eastAsia="en-US"/>
              </w:rPr>
              <w:t>Índice de avance en la ejecución del proyecto</w:t>
            </w:r>
          </w:p>
        </w:tc>
      </w:tr>
      <w:tr w:rsidR="00CA682E" w:rsidRPr="00CA682E" w:rsidTr="007B1DE4">
        <w:trPr>
          <w:trHeight w:val="389"/>
        </w:trPr>
        <w:tc>
          <w:tcPr>
            <w:tcW w:w="1555"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line="260" w:lineRule="exact"/>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Adjudicación del contrato al ingeniero de fachadas</w:t>
            </w:r>
          </w:p>
        </w:tc>
        <w:tc>
          <w:tcPr>
            <w:tcW w:w="845"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line="260" w:lineRule="exact"/>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45.000</w:t>
            </w:r>
          </w:p>
        </w:tc>
        <w:tc>
          <w:tcPr>
            <w:tcW w:w="845"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line="260" w:lineRule="exact"/>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36.812</w:t>
            </w:r>
          </w:p>
        </w:tc>
        <w:tc>
          <w:tcPr>
            <w:tcW w:w="845"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line="260" w:lineRule="exact"/>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81,8%</w:t>
            </w:r>
          </w:p>
        </w:tc>
        <w:tc>
          <w:tcPr>
            <w:tcW w:w="911"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line="260" w:lineRule="exact"/>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90%</w:t>
            </w:r>
          </w:p>
        </w:tc>
      </w:tr>
      <w:tr w:rsidR="00CA682E" w:rsidRPr="00CA682E" w:rsidTr="007B1DE4">
        <w:trPr>
          <w:trHeight w:val="389"/>
        </w:trPr>
        <w:tc>
          <w:tcPr>
            <w:tcW w:w="1555"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line="260" w:lineRule="exact"/>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Obra y puesta en servicio</w:t>
            </w:r>
          </w:p>
        </w:tc>
        <w:tc>
          <w:tcPr>
            <w:tcW w:w="845"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line="260" w:lineRule="exact"/>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255.000</w:t>
            </w:r>
          </w:p>
        </w:tc>
        <w:tc>
          <w:tcPr>
            <w:tcW w:w="845"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line="260" w:lineRule="exact"/>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10.230</w:t>
            </w:r>
          </w:p>
        </w:tc>
        <w:tc>
          <w:tcPr>
            <w:tcW w:w="845"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line="260" w:lineRule="exact"/>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4%</w:t>
            </w:r>
          </w:p>
        </w:tc>
        <w:tc>
          <w:tcPr>
            <w:tcW w:w="911"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line="260" w:lineRule="exact"/>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6%</w:t>
            </w:r>
          </w:p>
        </w:tc>
      </w:tr>
      <w:tr w:rsidR="00CA682E" w:rsidRPr="00CA682E" w:rsidTr="007B1DE4">
        <w:trPr>
          <w:trHeight w:val="389"/>
        </w:trPr>
        <w:tc>
          <w:tcPr>
            <w:tcW w:w="1555"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keepNext/>
              <w:keepLines/>
              <w:autoSpaceDE w:val="0"/>
              <w:autoSpaceDN w:val="0"/>
              <w:adjustRightInd w:val="0"/>
              <w:spacing w:before="40" w:after="40" w:line="260" w:lineRule="exact"/>
              <w:rPr>
                <w:rFonts w:eastAsia="Times New Roman" w:cs="Times New Roman"/>
                <w:b/>
                <w:color w:val="000000" w:themeColor="text1"/>
                <w:sz w:val="16"/>
                <w:szCs w:val="16"/>
                <w:lang w:eastAsia="en-US"/>
              </w:rPr>
            </w:pPr>
            <w:r w:rsidRPr="00CA682E">
              <w:rPr>
                <w:rFonts w:eastAsia="Times New Roman" w:cs="Times New Roman"/>
                <w:b/>
                <w:color w:val="000000" w:themeColor="text1"/>
                <w:sz w:val="16"/>
                <w:szCs w:val="16"/>
                <w:lang w:eastAsia="en-US"/>
              </w:rPr>
              <w:t>Total</w:t>
            </w:r>
          </w:p>
        </w:tc>
        <w:tc>
          <w:tcPr>
            <w:tcW w:w="845"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keepNext/>
              <w:keepLines/>
              <w:autoSpaceDE w:val="0"/>
              <w:autoSpaceDN w:val="0"/>
              <w:adjustRightInd w:val="0"/>
              <w:spacing w:before="40" w:after="40" w:line="260" w:lineRule="exact"/>
              <w:jc w:val="center"/>
              <w:rPr>
                <w:rFonts w:eastAsia="Times New Roman" w:cs="Times New Roman"/>
                <w:b/>
                <w:color w:val="000000" w:themeColor="text1"/>
                <w:sz w:val="16"/>
                <w:szCs w:val="16"/>
                <w:lang w:eastAsia="en-US"/>
              </w:rPr>
            </w:pPr>
            <w:r w:rsidRPr="00CA682E">
              <w:rPr>
                <w:rFonts w:eastAsia="Times New Roman" w:cs="Times New Roman"/>
                <w:b/>
                <w:color w:val="000000" w:themeColor="text1"/>
                <w:sz w:val="16"/>
                <w:szCs w:val="16"/>
                <w:lang w:eastAsia="en-US"/>
              </w:rPr>
              <w:t>300.000</w:t>
            </w:r>
          </w:p>
        </w:tc>
        <w:tc>
          <w:tcPr>
            <w:tcW w:w="845"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CA682E" w:rsidRPr="00CA682E" w:rsidRDefault="00CA682E" w:rsidP="00CA682E">
            <w:pPr>
              <w:keepNext/>
              <w:keepLines/>
              <w:autoSpaceDE w:val="0"/>
              <w:autoSpaceDN w:val="0"/>
              <w:adjustRightInd w:val="0"/>
              <w:spacing w:before="40" w:after="40" w:line="260" w:lineRule="exact"/>
              <w:jc w:val="center"/>
              <w:rPr>
                <w:rFonts w:eastAsia="Times New Roman" w:cs="Times New Roman"/>
                <w:b/>
                <w:color w:val="000000" w:themeColor="text1"/>
                <w:sz w:val="16"/>
                <w:szCs w:val="16"/>
                <w:lang w:eastAsia="en-US"/>
              </w:rPr>
            </w:pPr>
            <w:r w:rsidRPr="00CA682E">
              <w:rPr>
                <w:rFonts w:eastAsia="Times New Roman" w:cs="Times New Roman"/>
                <w:b/>
                <w:color w:val="000000" w:themeColor="text1"/>
                <w:sz w:val="16"/>
                <w:szCs w:val="16"/>
                <w:lang w:eastAsia="en-US"/>
              </w:rPr>
              <w:t>47.042</w:t>
            </w:r>
          </w:p>
        </w:tc>
        <w:tc>
          <w:tcPr>
            <w:tcW w:w="845"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CA682E" w:rsidRPr="00CA682E" w:rsidRDefault="00CA682E" w:rsidP="00CA682E">
            <w:pPr>
              <w:keepNext/>
              <w:keepLines/>
              <w:autoSpaceDE w:val="0"/>
              <w:autoSpaceDN w:val="0"/>
              <w:adjustRightInd w:val="0"/>
              <w:spacing w:before="40" w:after="40" w:line="260" w:lineRule="exact"/>
              <w:jc w:val="center"/>
              <w:rPr>
                <w:rFonts w:eastAsia="Times New Roman" w:cs="Times New Roman"/>
                <w:b/>
                <w:color w:val="000000" w:themeColor="text1"/>
                <w:sz w:val="16"/>
                <w:szCs w:val="16"/>
                <w:lang w:eastAsia="en-US"/>
              </w:rPr>
            </w:pPr>
          </w:p>
        </w:tc>
        <w:tc>
          <w:tcPr>
            <w:tcW w:w="911"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CA682E" w:rsidRPr="00CA682E" w:rsidRDefault="00CA682E" w:rsidP="00CA682E">
            <w:pPr>
              <w:keepNext/>
              <w:keepLines/>
              <w:autoSpaceDE w:val="0"/>
              <w:autoSpaceDN w:val="0"/>
              <w:adjustRightInd w:val="0"/>
              <w:spacing w:before="40" w:after="40" w:line="260" w:lineRule="exact"/>
              <w:jc w:val="center"/>
              <w:rPr>
                <w:rFonts w:eastAsia="Times New Roman" w:cs="Times New Roman"/>
                <w:b/>
                <w:color w:val="000000" w:themeColor="text1"/>
                <w:sz w:val="16"/>
                <w:szCs w:val="16"/>
                <w:lang w:eastAsia="en-US"/>
              </w:rPr>
            </w:pPr>
          </w:p>
        </w:tc>
      </w:tr>
    </w:tbl>
    <w:p w:rsidR="00CA682E" w:rsidRPr="00CA682E" w:rsidRDefault="00CA682E" w:rsidP="00CA682E">
      <w:pPr>
        <w:keepNext/>
        <w:keepLines/>
        <w:tabs>
          <w:tab w:val="left" w:pos="3261"/>
        </w:tabs>
        <w:autoSpaceDE w:val="0"/>
        <w:autoSpaceDN w:val="0"/>
        <w:adjustRightInd w:val="0"/>
        <w:rPr>
          <w:rFonts w:eastAsia="Times New Roman" w:cs="Times New Roman"/>
          <w:color w:val="000000" w:themeColor="text1"/>
          <w:sz w:val="20"/>
          <w:szCs w:val="22"/>
          <w:lang w:eastAsia="en-US"/>
        </w:rPr>
      </w:pPr>
    </w:p>
    <w:p w:rsidR="006E408E" w:rsidRDefault="006E408E">
      <w:pPr>
        <w:rPr>
          <w:rFonts w:eastAsia="Times New Roman" w:cs="Times New Roman"/>
          <w:b/>
          <w:color w:val="000000" w:themeColor="text1"/>
          <w:sz w:val="20"/>
          <w:szCs w:val="22"/>
          <w:lang w:eastAsia="en-US"/>
        </w:rPr>
      </w:pPr>
      <w:r>
        <w:rPr>
          <w:rFonts w:eastAsia="Times New Roman" w:cs="Times New Roman"/>
          <w:b/>
          <w:color w:val="000000" w:themeColor="text1"/>
          <w:sz w:val="20"/>
          <w:szCs w:val="22"/>
          <w:lang w:eastAsia="en-US"/>
        </w:rPr>
        <w:br w:type="page"/>
      </w:r>
    </w:p>
    <w:p w:rsidR="00CA682E" w:rsidRPr="00CA682E" w:rsidRDefault="00CA682E" w:rsidP="00CA682E">
      <w:pPr>
        <w:keepNext/>
        <w:keepLines/>
        <w:tabs>
          <w:tab w:val="left" w:pos="3261"/>
        </w:tabs>
        <w:autoSpaceDE w:val="0"/>
        <w:autoSpaceDN w:val="0"/>
        <w:adjustRightInd w:val="0"/>
        <w:jc w:val="center"/>
        <w:rPr>
          <w:rFonts w:eastAsia="Times New Roman" w:cs="Times New Roman"/>
          <w:b/>
          <w:color w:val="000000" w:themeColor="text1"/>
          <w:sz w:val="20"/>
          <w:szCs w:val="22"/>
          <w:lang w:eastAsia="en-US"/>
        </w:rPr>
      </w:pPr>
      <w:r w:rsidRPr="00CA682E">
        <w:rPr>
          <w:rFonts w:eastAsia="Times New Roman" w:cs="Times New Roman"/>
          <w:b/>
          <w:color w:val="000000" w:themeColor="text1"/>
          <w:sz w:val="20"/>
          <w:szCs w:val="22"/>
          <w:lang w:eastAsia="en-US"/>
        </w:rPr>
        <w:lastRenderedPageBreak/>
        <w:t>Utilización del presupuesto del proyecto (por categoría de costo)</w:t>
      </w:r>
    </w:p>
    <w:p w:rsidR="00CA682E" w:rsidRPr="00CA682E" w:rsidRDefault="00CA682E" w:rsidP="00CA682E">
      <w:pPr>
        <w:keepNext/>
        <w:keepLines/>
        <w:tabs>
          <w:tab w:val="left" w:pos="3261"/>
        </w:tabs>
        <w:autoSpaceDE w:val="0"/>
        <w:autoSpaceDN w:val="0"/>
        <w:adjustRightInd w:val="0"/>
        <w:spacing w:after="120"/>
        <w:jc w:val="center"/>
        <w:rPr>
          <w:rFonts w:eastAsia="Times New Roman" w:cs="Times New Roman"/>
          <w:i/>
          <w:iCs/>
          <w:color w:val="000000" w:themeColor="text1"/>
          <w:sz w:val="18"/>
          <w:szCs w:val="18"/>
          <w:lang w:eastAsia="en-US"/>
        </w:rPr>
      </w:pPr>
      <w:r w:rsidRPr="00CA682E">
        <w:rPr>
          <w:rFonts w:eastAsia="Times New Roman" w:cs="Times New Roman"/>
          <w:i/>
          <w:iCs/>
          <w:color w:val="000000" w:themeColor="text1"/>
          <w:sz w:val="18"/>
          <w:szCs w:val="18"/>
          <w:lang w:eastAsia="en-US"/>
        </w:rPr>
        <w:t>(</w:t>
      </w:r>
      <w:proofErr w:type="gramStart"/>
      <w:r w:rsidRPr="00CA682E">
        <w:rPr>
          <w:rFonts w:eastAsia="Times New Roman" w:cs="Times New Roman"/>
          <w:i/>
          <w:iCs/>
          <w:color w:val="000000" w:themeColor="text1"/>
          <w:sz w:val="18"/>
          <w:szCs w:val="18"/>
          <w:lang w:eastAsia="en-US"/>
        </w:rPr>
        <w:t>en</w:t>
      </w:r>
      <w:proofErr w:type="gramEnd"/>
      <w:r w:rsidRPr="00CA682E">
        <w:rPr>
          <w:rFonts w:eastAsia="Times New Roman" w:cs="Times New Roman"/>
          <w:i/>
          <w:iCs/>
          <w:color w:val="000000" w:themeColor="text1"/>
          <w:sz w:val="18"/>
          <w:szCs w:val="18"/>
          <w:lang w:eastAsia="en-US"/>
        </w:rPr>
        <w:t xml:space="preserve"> francos suizos, al 31 de diciembre de 2015)</w:t>
      </w:r>
    </w:p>
    <w:tbl>
      <w:tblPr>
        <w:tblW w:w="4739"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0"/>
        <w:gridCol w:w="1840"/>
        <w:gridCol w:w="1840"/>
        <w:gridCol w:w="2141"/>
      </w:tblGrid>
      <w:tr w:rsidR="00CA682E" w:rsidRPr="00CA682E" w:rsidTr="007B1DE4">
        <w:trPr>
          <w:trHeight w:val="569"/>
        </w:trPr>
        <w:tc>
          <w:tcPr>
            <w:tcW w:w="1792"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keepNext/>
              <w:keepLines/>
              <w:autoSpaceDE w:val="0"/>
              <w:autoSpaceDN w:val="0"/>
              <w:adjustRightInd w:val="0"/>
              <w:spacing w:before="40" w:after="40" w:line="260" w:lineRule="exact"/>
              <w:ind w:left="-74" w:right="-60"/>
              <w:jc w:val="center"/>
              <w:rPr>
                <w:rFonts w:eastAsia="Times New Roman" w:cs="Times New Roman"/>
                <w:b/>
                <w:bCs/>
                <w:color w:val="000000" w:themeColor="text1"/>
                <w:sz w:val="16"/>
                <w:szCs w:val="16"/>
                <w:lang w:eastAsia="en-US"/>
              </w:rPr>
            </w:pPr>
            <w:r w:rsidRPr="00CA682E">
              <w:rPr>
                <w:rFonts w:eastAsia="Times New Roman" w:cs="Times New Roman"/>
                <w:b/>
                <w:bCs/>
                <w:color w:val="000000" w:themeColor="text1"/>
                <w:sz w:val="16"/>
                <w:szCs w:val="16"/>
                <w:lang w:eastAsia="en-US"/>
              </w:rPr>
              <w:t>Categoría de costo</w:t>
            </w:r>
          </w:p>
        </w:tc>
        <w:tc>
          <w:tcPr>
            <w:tcW w:w="1014"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keepNext/>
              <w:keepLines/>
              <w:autoSpaceDE w:val="0"/>
              <w:autoSpaceDN w:val="0"/>
              <w:adjustRightInd w:val="0"/>
              <w:spacing w:before="40" w:after="40" w:line="260" w:lineRule="exact"/>
              <w:ind w:left="-107" w:right="-108"/>
              <w:jc w:val="center"/>
              <w:rPr>
                <w:rFonts w:eastAsia="Times New Roman" w:cs="Times New Roman"/>
                <w:b/>
                <w:bCs/>
                <w:color w:val="000000" w:themeColor="text1"/>
                <w:sz w:val="16"/>
                <w:szCs w:val="16"/>
                <w:lang w:eastAsia="en-US"/>
              </w:rPr>
            </w:pPr>
            <w:r w:rsidRPr="00CA682E">
              <w:rPr>
                <w:rFonts w:eastAsia="Times New Roman" w:cs="Times New Roman"/>
                <w:b/>
                <w:bCs/>
                <w:color w:val="000000" w:themeColor="text1"/>
                <w:sz w:val="16"/>
                <w:szCs w:val="16"/>
                <w:lang w:eastAsia="en-US"/>
              </w:rPr>
              <w:t>Presupuesto del proyecto</w:t>
            </w:r>
          </w:p>
        </w:tc>
        <w:tc>
          <w:tcPr>
            <w:tcW w:w="1014"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keepNext/>
              <w:keepLines/>
              <w:autoSpaceDE w:val="0"/>
              <w:autoSpaceDN w:val="0"/>
              <w:adjustRightInd w:val="0"/>
              <w:spacing w:before="40" w:after="40" w:line="260" w:lineRule="exact"/>
              <w:ind w:left="-108"/>
              <w:jc w:val="center"/>
              <w:rPr>
                <w:rFonts w:eastAsia="Times New Roman" w:cs="Times New Roman"/>
                <w:b/>
                <w:bCs/>
                <w:color w:val="000000" w:themeColor="text1"/>
                <w:sz w:val="16"/>
                <w:szCs w:val="16"/>
                <w:lang w:eastAsia="en-US"/>
              </w:rPr>
            </w:pPr>
            <w:r w:rsidRPr="00CA682E">
              <w:rPr>
                <w:rFonts w:eastAsia="Times New Roman" w:cs="Times New Roman"/>
                <w:b/>
                <w:bCs/>
                <w:color w:val="000000" w:themeColor="text1"/>
                <w:sz w:val="16"/>
                <w:szCs w:val="16"/>
                <w:lang w:eastAsia="en-US"/>
              </w:rPr>
              <w:t xml:space="preserve">Gasto real hasta la fecha </w:t>
            </w:r>
          </w:p>
        </w:tc>
        <w:tc>
          <w:tcPr>
            <w:tcW w:w="118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keepNext/>
              <w:keepLines/>
              <w:autoSpaceDE w:val="0"/>
              <w:autoSpaceDN w:val="0"/>
              <w:adjustRightInd w:val="0"/>
              <w:spacing w:before="40" w:after="40" w:line="260" w:lineRule="exact"/>
              <w:ind w:left="-109"/>
              <w:jc w:val="center"/>
              <w:rPr>
                <w:rFonts w:eastAsia="Times New Roman" w:cs="Times New Roman"/>
                <w:b/>
                <w:bCs/>
                <w:color w:val="000000" w:themeColor="text1"/>
                <w:sz w:val="16"/>
                <w:szCs w:val="16"/>
                <w:lang w:eastAsia="en-US"/>
              </w:rPr>
            </w:pPr>
            <w:r w:rsidRPr="00CA682E">
              <w:rPr>
                <w:rFonts w:eastAsia="Times New Roman" w:cs="Times New Roman"/>
                <w:b/>
                <w:bCs/>
                <w:color w:val="000000" w:themeColor="text1"/>
                <w:sz w:val="16"/>
                <w:szCs w:val="16"/>
                <w:lang w:eastAsia="en-US"/>
              </w:rPr>
              <w:t>Utilización real del presupuesto</w:t>
            </w:r>
          </w:p>
        </w:tc>
      </w:tr>
      <w:tr w:rsidR="00CA682E" w:rsidRPr="00CA682E" w:rsidTr="007B1DE4">
        <w:tc>
          <w:tcPr>
            <w:tcW w:w="1792"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autoSpaceDE w:val="0"/>
              <w:autoSpaceDN w:val="0"/>
              <w:adjustRightInd w:val="0"/>
              <w:spacing w:before="40" w:after="40" w:line="260" w:lineRule="exact"/>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Costos relacionados con las obras</w:t>
            </w:r>
          </w:p>
        </w:tc>
        <w:tc>
          <w:tcPr>
            <w:tcW w:w="1014"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autoSpaceDE w:val="0"/>
              <w:autoSpaceDN w:val="0"/>
              <w:adjustRightInd w:val="0"/>
              <w:spacing w:before="40" w:after="40" w:line="260" w:lineRule="exact"/>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234.000</w:t>
            </w:r>
          </w:p>
        </w:tc>
        <w:tc>
          <w:tcPr>
            <w:tcW w:w="1014" w:type="pct"/>
            <w:tcBorders>
              <w:top w:val="single" w:sz="4" w:space="0" w:color="auto"/>
              <w:left w:val="single" w:sz="4" w:space="0" w:color="auto"/>
              <w:bottom w:val="single" w:sz="4" w:space="0" w:color="auto"/>
              <w:right w:val="single" w:sz="4" w:space="0" w:color="auto"/>
            </w:tcBorders>
          </w:tcPr>
          <w:p w:rsidR="00CA682E" w:rsidRPr="00CA682E" w:rsidRDefault="00CA682E" w:rsidP="00CA682E">
            <w:pPr>
              <w:autoSpaceDE w:val="0"/>
              <w:autoSpaceDN w:val="0"/>
              <w:adjustRightInd w:val="0"/>
              <w:spacing w:before="40" w:after="40" w:line="260" w:lineRule="exact"/>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10.230</w:t>
            </w:r>
          </w:p>
        </w:tc>
        <w:tc>
          <w:tcPr>
            <w:tcW w:w="1180" w:type="pct"/>
            <w:tcBorders>
              <w:top w:val="single" w:sz="4" w:space="0" w:color="auto"/>
              <w:left w:val="single" w:sz="4" w:space="0" w:color="auto"/>
              <w:bottom w:val="single" w:sz="4" w:space="0" w:color="auto"/>
              <w:right w:val="single" w:sz="4" w:space="0" w:color="auto"/>
            </w:tcBorders>
          </w:tcPr>
          <w:p w:rsidR="00CA682E" w:rsidRPr="00CA682E" w:rsidRDefault="00CA682E" w:rsidP="00CA682E">
            <w:pPr>
              <w:autoSpaceDE w:val="0"/>
              <w:autoSpaceDN w:val="0"/>
              <w:adjustRightInd w:val="0"/>
              <w:spacing w:before="40" w:after="40" w:line="260" w:lineRule="exact"/>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4,4%</w:t>
            </w:r>
          </w:p>
        </w:tc>
      </w:tr>
      <w:tr w:rsidR="00CA682E" w:rsidRPr="00CA682E" w:rsidTr="007B1DE4">
        <w:tc>
          <w:tcPr>
            <w:tcW w:w="1792"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autoSpaceDE w:val="0"/>
              <w:autoSpaceDN w:val="0"/>
              <w:adjustRightInd w:val="0"/>
              <w:spacing w:before="40" w:after="40" w:line="260" w:lineRule="exact"/>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Honorarios</w:t>
            </w:r>
          </w:p>
        </w:tc>
        <w:tc>
          <w:tcPr>
            <w:tcW w:w="1014"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autoSpaceDE w:val="0"/>
              <w:autoSpaceDN w:val="0"/>
              <w:adjustRightInd w:val="0"/>
              <w:spacing w:before="40" w:after="40" w:line="260" w:lineRule="exact"/>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45.000</w:t>
            </w:r>
          </w:p>
        </w:tc>
        <w:tc>
          <w:tcPr>
            <w:tcW w:w="1014" w:type="pct"/>
            <w:tcBorders>
              <w:top w:val="single" w:sz="4" w:space="0" w:color="auto"/>
              <w:left w:val="single" w:sz="4" w:space="0" w:color="auto"/>
              <w:bottom w:val="single" w:sz="4" w:space="0" w:color="auto"/>
              <w:right w:val="single" w:sz="4" w:space="0" w:color="auto"/>
            </w:tcBorders>
          </w:tcPr>
          <w:p w:rsidR="00CA682E" w:rsidRPr="00CA682E" w:rsidRDefault="00CA682E" w:rsidP="00CA682E">
            <w:pPr>
              <w:autoSpaceDE w:val="0"/>
              <w:autoSpaceDN w:val="0"/>
              <w:adjustRightInd w:val="0"/>
              <w:spacing w:before="40" w:after="40" w:line="260" w:lineRule="exact"/>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36.812</w:t>
            </w:r>
          </w:p>
        </w:tc>
        <w:tc>
          <w:tcPr>
            <w:tcW w:w="1180" w:type="pct"/>
            <w:tcBorders>
              <w:top w:val="single" w:sz="4" w:space="0" w:color="auto"/>
              <w:left w:val="single" w:sz="4" w:space="0" w:color="auto"/>
              <w:bottom w:val="single" w:sz="4" w:space="0" w:color="auto"/>
              <w:right w:val="single" w:sz="4" w:space="0" w:color="auto"/>
            </w:tcBorders>
          </w:tcPr>
          <w:p w:rsidR="00CA682E" w:rsidRPr="00CA682E" w:rsidRDefault="00CA682E" w:rsidP="00CA682E">
            <w:pPr>
              <w:autoSpaceDE w:val="0"/>
              <w:autoSpaceDN w:val="0"/>
              <w:adjustRightInd w:val="0"/>
              <w:spacing w:before="40" w:after="40" w:line="260" w:lineRule="exact"/>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81,8%</w:t>
            </w:r>
          </w:p>
        </w:tc>
      </w:tr>
      <w:tr w:rsidR="00CA682E" w:rsidRPr="00CA682E" w:rsidTr="007B1DE4">
        <w:tc>
          <w:tcPr>
            <w:tcW w:w="1792"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autoSpaceDE w:val="0"/>
              <w:autoSpaceDN w:val="0"/>
              <w:adjustRightInd w:val="0"/>
              <w:spacing w:before="40" w:after="40" w:line="260" w:lineRule="exact"/>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Diversos e imprevistos</w:t>
            </w:r>
          </w:p>
        </w:tc>
        <w:tc>
          <w:tcPr>
            <w:tcW w:w="1014" w:type="pct"/>
            <w:tcBorders>
              <w:top w:val="single" w:sz="4" w:space="0" w:color="auto"/>
              <w:left w:val="single" w:sz="4" w:space="0" w:color="auto"/>
              <w:bottom w:val="single" w:sz="4" w:space="0" w:color="auto"/>
              <w:right w:val="single" w:sz="4" w:space="0" w:color="auto"/>
            </w:tcBorders>
            <w:vAlign w:val="center"/>
          </w:tcPr>
          <w:p w:rsidR="00CA682E" w:rsidRPr="00CA682E" w:rsidRDefault="006E408E" w:rsidP="00CA682E">
            <w:pPr>
              <w:autoSpaceDE w:val="0"/>
              <w:autoSpaceDN w:val="0"/>
              <w:adjustRightInd w:val="0"/>
              <w:spacing w:before="40" w:after="40" w:line="260" w:lineRule="exact"/>
              <w:jc w:val="center"/>
              <w:rPr>
                <w:rFonts w:eastAsia="Times New Roman" w:cs="Times New Roman"/>
                <w:color w:val="000000" w:themeColor="text1"/>
                <w:sz w:val="16"/>
                <w:szCs w:val="16"/>
                <w:lang w:eastAsia="en-US"/>
              </w:rPr>
            </w:pPr>
            <w:r>
              <w:rPr>
                <w:rFonts w:eastAsia="Times New Roman" w:cs="Times New Roman"/>
                <w:color w:val="000000" w:themeColor="text1"/>
                <w:sz w:val="16"/>
                <w:szCs w:val="16"/>
                <w:lang w:eastAsia="en-US"/>
              </w:rPr>
              <w:t>21.</w:t>
            </w:r>
            <w:r w:rsidR="00CA682E" w:rsidRPr="00CA682E">
              <w:rPr>
                <w:rFonts w:eastAsia="Times New Roman" w:cs="Times New Roman"/>
                <w:color w:val="000000" w:themeColor="text1"/>
                <w:sz w:val="16"/>
                <w:szCs w:val="16"/>
                <w:lang w:eastAsia="en-US"/>
              </w:rPr>
              <w:t>000</w:t>
            </w:r>
          </w:p>
        </w:tc>
        <w:tc>
          <w:tcPr>
            <w:tcW w:w="1014" w:type="pct"/>
            <w:tcBorders>
              <w:top w:val="single" w:sz="4" w:space="0" w:color="auto"/>
              <w:left w:val="single" w:sz="4" w:space="0" w:color="auto"/>
              <w:bottom w:val="single" w:sz="4" w:space="0" w:color="auto"/>
              <w:right w:val="single" w:sz="4" w:space="0" w:color="auto"/>
            </w:tcBorders>
          </w:tcPr>
          <w:p w:rsidR="00CA682E" w:rsidRPr="00CA682E" w:rsidRDefault="00CA682E" w:rsidP="00CA682E">
            <w:pPr>
              <w:autoSpaceDE w:val="0"/>
              <w:autoSpaceDN w:val="0"/>
              <w:adjustRightInd w:val="0"/>
              <w:spacing w:before="40" w:after="40" w:line="260" w:lineRule="exact"/>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0</w:t>
            </w:r>
          </w:p>
        </w:tc>
        <w:tc>
          <w:tcPr>
            <w:tcW w:w="1180" w:type="pct"/>
            <w:tcBorders>
              <w:top w:val="single" w:sz="4" w:space="0" w:color="auto"/>
              <w:left w:val="single" w:sz="4" w:space="0" w:color="auto"/>
              <w:bottom w:val="single" w:sz="4" w:space="0" w:color="auto"/>
              <w:right w:val="single" w:sz="4" w:space="0" w:color="auto"/>
            </w:tcBorders>
          </w:tcPr>
          <w:p w:rsidR="00CA682E" w:rsidRPr="00CA682E" w:rsidRDefault="00CA682E" w:rsidP="00CA682E">
            <w:pPr>
              <w:autoSpaceDE w:val="0"/>
              <w:autoSpaceDN w:val="0"/>
              <w:adjustRightInd w:val="0"/>
              <w:spacing w:before="40" w:after="40" w:line="260" w:lineRule="exact"/>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0%</w:t>
            </w:r>
          </w:p>
        </w:tc>
      </w:tr>
      <w:tr w:rsidR="00CA682E" w:rsidRPr="00CA682E" w:rsidTr="007B1DE4">
        <w:tc>
          <w:tcPr>
            <w:tcW w:w="1792"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autoSpaceDE w:val="0"/>
              <w:autoSpaceDN w:val="0"/>
              <w:adjustRightInd w:val="0"/>
              <w:spacing w:before="40" w:after="40" w:line="260" w:lineRule="exact"/>
              <w:rPr>
                <w:rFonts w:eastAsia="Times New Roman" w:cs="Times New Roman"/>
                <w:b/>
                <w:color w:val="000000" w:themeColor="text1"/>
                <w:sz w:val="16"/>
                <w:szCs w:val="16"/>
                <w:lang w:eastAsia="en-US"/>
              </w:rPr>
            </w:pPr>
            <w:r w:rsidRPr="00CA682E">
              <w:rPr>
                <w:rFonts w:eastAsia="Times New Roman" w:cs="Times New Roman"/>
                <w:b/>
                <w:color w:val="000000" w:themeColor="text1"/>
                <w:sz w:val="16"/>
                <w:szCs w:val="16"/>
                <w:lang w:eastAsia="en-US"/>
              </w:rPr>
              <w:t>Total</w:t>
            </w:r>
          </w:p>
        </w:tc>
        <w:tc>
          <w:tcPr>
            <w:tcW w:w="1014"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autoSpaceDE w:val="0"/>
              <w:autoSpaceDN w:val="0"/>
              <w:adjustRightInd w:val="0"/>
              <w:spacing w:before="40" w:after="40" w:line="260" w:lineRule="exact"/>
              <w:jc w:val="center"/>
              <w:rPr>
                <w:rFonts w:eastAsia="Times New Roman" w:cs="Times New Roman"/>
                <w:b/>
                <w:color w:val="000000" w:themeColor="text1"/>
                <w:sz w:val="16"/>
                <w:szCs w:val="16"/>
                <w:lang w:eastAsia="en-US"/>
              </w:rPr>
            </w:pPr>
            <w:r w:rsidRPr="00CA682E">
              <w:rPr>
                <w:rFonts w:eastAsia="Times New Roman" w:cs="Times New Roman"/>
                <w:b/>
                <w:color w:val="000000" w:themeColor="text1"/>
                <w:sz w:val="16"/>
                <w:szCs w:val="16"/>
                <w:lang w:eastAsia="en-US"/>
              </w:rPr>
              <w:t>300.000</w:t>
            </w:r>
          </w:p>
        </w:tc>
        <w:tc>
          <w:tcPr>
            <w:tcW w:w="1014"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CA682E" w:rsidRPr="00CA682E" w:rsidRDefault="00CA682E" w:rsidP="00CA682E">
            <w:pPr>
              <w:autoSpaceDE w:val="0"/>
              <w:autoSpaceDN w:val="0"/>
              <w:adjustRightInd w:val="0"/>
              <w:spacing w:before="40" w:after="40" w:line="260" w:lineRule="exact"/>
              <w:jc w:val="center"/>
              <w:rPr>
                <w:rFonts w:eastAsia="Times New Roman" w:cs="Times New Roman"/>
                <w:b/>
                <w:color w:val="000000" w:themeColor="text1"/>
                <w:sz w:val="16"/>
                <w:szCs w:val="16"/>
                <w:lang w:eastAsia="en-US"/>
              </w:rPr>
            </w:pPr>
            <w:r w:rsidRPr="00CA682E">
              <w:rPr>
                <w:rFonts w:eastAsia="Times New Roman" w:cs="Times New Roman"/>
                <w:b/>
                <w:color w:val="000000" w:themeColor="text1"/>
                <w:sz w:val="16"/>
                <w:szCs w:val="16"/>
                <w:lang w:eastAsia="en-US"/>
              </w:rPr>
              <w:t>47.042</w:t>
            </w:r>
          </w:p>
        </w:tc>
        <w:tc>
          <w:tcPr>
            <w:tcW w:w="1180"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CA682E" w:rsidRPr="00CA682E" w:rsidRDefault="00CA682E" w:rsidP="00CA682E">
            <w:pPr>
              <w:autoSpaceDE w:val="0"/>
              <w:autoSpaceDN w:val="0"/>
              <w:adjustRightInd w:val="0"/>
              <w:spacing w:before="40" w:after="40" w:line="260" w:lineRule="exact"/>
              <w:jc w:val="center"/>
              <w:rPr>
                <w:rFonts w:eastAsia="Times New Roman" w:cs="Times New Roman"/>
                <w:b/>
                <w:color w:val="000000" w:themeColor="text1"/>
                <w:sz w:val="16"/>
                <w:szCs w:val="16"/>
                <w:lang w:eastAsia="en-US"/>
              </w:rPr>
            </w:pPr>
          </w:p>
        </w:tc>
      </w:tr>
    </w:tbl>
    <w:p w:rsidR="00CA682E" w:rsidRPr="00CA682E" w:rsidRDefault="00CA682E" w:rsidP="00CA682E">
      <w:pPr>
        <w:rPr>
          <w:rFonts w:eastAsia="Times New Roman"/>
          <w:color w:val="000000" w:themeColor="text1"/>
          <w:sz w:val="20"/>
          <w:szCs w:val="22"/>
          <w:lang w:eastAsia="en-US"/>
        </w:rPr>
      </w:pPr>
    </w:p>
    <w:p w:rsidR="00CA682E" w:rsidRPr="00CA682E" w:rsidRDefault="00CA682E" w:rsidP="00CA682E">
      <w:pPr>
        <w:rPr>
          <w:rFonts w:eastAsia="Times New Roman"/>
          <w:color w:val="000000" w:themeColor="text1"/>
          <w:sz w:val="20"/>
          <w:szCs w:val="22"/>
          <w:lang w:eastAsia="en-US"/>
        </w:rPr>
      </w:pPr>
      <w:r w:rsidRPr="00CA682E">
        <w:rPr>
          <w:rFonts w:eastAsia="Times New Roman"/>
          <w:color w:val="000000" w:themeColor="text1"/>
          <w:sz w:val="20"/>
          <w:szCs w:val="22"/>
          <w:lang w:eastAsia="en-US"/>
        </w:rPr>
        <w:t>RIESGOS Y ESTRATEGIAS DE MITIGACIÓN</w:t>
      </w:r>
    </w:p>
    <w:p w:rsidR="00CA682E" w:rsidRPr="00CA682E" w:rsidRDefault="00CA682E" w:rsidP="00CA682E">
      <w:pPr>
        <w:rPr>
          <w:rFonts w:eastAsia="Times New Roman"/>
          <w:color w:val="000000" w:themeColor="text1"/>
          <w:sz w:val="20"/>
          <w:szCs w:val="22"/>
          <w:lang w:eastAsia="en-US"/>
        </w:rPr>
      </w:pPr>
    </w:p>
    <w:tbl>
      <w:tblPr>
        <w:tblW w:w="48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6"/>
        <w:gridCol w:w="3237"/>
        <w:gridCol w:w="3070"/>
      </w:tblGrid>
      <w:tr w:rsidR="00CA682E" w:rsidRPr="00CA682E" w:rsidTr="007B1DE4">
        <w:trPr>
          <w:trHeight w:val="534"/>
          <w:tblHeader/>
          <w:jc w:val="center"/>
        </w:trPr>
        <w:tc>
          <w:tcPr>
            <w:tcW w:w="1577" w:type="pct"/>
            <w:shd w:val="clear" w:color="auto" w:fill="C6D9F1" w:themeFill="text2" w:themeFillTint="33"/>
            <w:vAlign w:val="center"/>
          </w:tcPr>
          <w:p w:rsidR="00CA682E" w:rsidRPr="00CA682E" w:rsidRDefault="00CA682E" w:rsidP="00CA682E">
            <w:pPr>
              <w:autoSpaceDE w:val="0"/>
              <w:autoSpaceDN w:val="0"/>
              <w:adjustRightInd w:val="0"/>
              <w:spacing w:before="40" w:after="40" w:line="260" w:lineRule="exact"/>
              <w:ind w:left="-74" w:right="-60"/>
              <w:jc w:val="center"/>
              <w:rPr>
                <w:rFonts w:eastAsia="Times New Roman" w:cs="Times New Roman"/>
                <w:b/>
                <w:bCs/>
                <w:color w:val="000000" w:themeColor="text1"/>
                <w:sz w:val="16"/>
                <w:szCs w:val="16"/>
                <w:lang w:eastAsia="en-US"/>
              </w:rPr>
            </w:pPr>
            <w:r w:rsidRPr="00CA682E">
              <w:rPr>
                <w:rFonts w:eastAsia="Times New Roman" w:cs="Times New Roman"/>
                <w:b/>
                <w:bCs/>
                <w:color w:val="000000" w:themeColor="text1"/>
                <w:sz w:val="16"/>
                <w:szCs w:val="16"/>
                <w:lang w:eastAsia="en-US"/>
              </w:rPr>
              <w:t>Riesgo/Descripción del riesgo</w:t>
            </w:r>
          </w:p>
        </w:tc>
        <w:tc>
          <w:tcPr>
            <w:tcW w:w="1757" w:type="pct"/>
            <w:shd w:val="clear" w:color="auto" w:fill="C6D9F1" w:themeFill="text2" w:themeFillTint="33"/>
            <w:vAlign w:val="center"/>
          </w:tcPr>
          <w:p w:rsidR="00CA682E" w:rsidRPr="00CA682E" w:rsidRDefault="00CA682E" w:rsidP="00CA682E">
            <w:pPr>
              <w:autoSpaceDE w:val="0"/>
              <w:autoSpaceDN w:val="0"/>
              <w:adjustRightInd w:val="0"/>
              <w:spacing w:before="40" w:after="40" w:line="260" w:lineRule="exact"/>
              <w:ind w:left="-107" w:right="-108"/>
              <w:jc w:val="center"/>
              <w:rPr>
                <w:rFonts w:eastAsia="Times New Roman" w:cs="Times New Roman"/>
                <w:b/>
                <w:bCs/>
                <w:color w:val="000000" w:themeColor="text1"/>
                <w:sz w:val="16"/>
                <w:szCs w:val="16"/>
                <w:lang w:eastAsia="en-US"/>
              </w:rPr>
            </w:pPr>
            <w:r w:rsidRPr="00CA682E">
              <w:rPr>
                <w:rFonts w:eastAsia="Times New Roman" w:cs="Times New Roman"/>
                <w:b/>
                <w:bCs/>
                <w:color w:val="000000" w:themeColor="text1"/>
                <w:sz w:val="16"/>
                <w:szCs w:val="16"/>
                <w:lang w:eastAsia="en-US"/>
              </w:rPr>
              <w:t>Mitigación del riesgo</w:t>
            </w:r>
            <w:r w:rsidRPr="00CA682E" w:rsidDel="00826D61">
              <w:rPr>
                <w:rFonts w:eastAsia="Times New Roman" w:cs="Times New Roman"/>
                <w:b/>
                <w:bCs/>
                <w:color w:val="000000" w:themeColor="text1"/>
                <w:sz w:val="16"/>
                <w:szCs w:val="16"/>
                <w:lang w:eastAsia="en-US"/>
              </w:rPr>
              <w:t xml:space="preserve"> </w:t>
            </w:r>
          </w:p>
        </w:tc>
        <w:tc>
          <w:tcPr>
            <w:tcW w:w="1666" w:type="pct"/>
            <w:shd w:val="clear" w:color="auto" w:fill="C6D9F1" w:themeFill="text2" w:themeFillTint="33"/>
            <w:vAlign w:val="center"/>
          </w:tcPr>
          <w:p w:rsidR="00CA682E" w:rsidRPr="00CA682E" w:rsidRDefault="00CA682E" w:rsidP="00CA682E">
            <w:pPr>
              <w:autoSpaceDE w:val="0"/>
              <w:autoSpaceDN w:val="0"/>
              <w:adjustRightInd w:val="0"/>
              <w:spacing w:before="40" w:after="40" w:line="260" w:lineRule="exact"/>
              <w:ind w:left="-109"/>
              <w:jc w:val="center"/>
              <w:rPr>
                <w:rFonts w:eastAsia="Times New Roman" w:cs="Times New Roman"/>
                <w:b/>
                <w:bCs/>
                <w:color w:val="000000" w:themeColor="text1"/>
                <w:sz w:val="16"/>
                <w:szCs w:val="16"/>
                <w:lang w:eastAsia="en-US"/>
              </w:rPr>
            </w:pPr>
            <w:r w:rsidRPr="00CA682E">
              <w:rPr>
                <w:rFonts w:eastAsia="Times New Roman" w:cs="Times New Roman"/>
                <w:b/>
                <w:bCs/>
                <w:color w:val="000000" w:themeColor="text1"/>
                <w:sz w:val="16"/>
                <w:szCs w:val="16"/>
                <w:lang w:eastAsia="en-US"/>
              </w:rPr>
              <w:t>Comentario</w:t>
            </w:r>
          </w:p>
        </w:tc>
      </w:tr>
      <w:tr w:rsidR="00CA682E" w:rsidRPr="00CA682E" w:rsidTr="007B1DE4">
        <w:trPr>
          <w:trHeight w:val="776"/>
          <w:jc w:val="center"/>
        </w:trPr>
        <w:tc>
          <w:tcPr>
            <w:tcW w:w="1577" w:type="pct"/>
            <w:shd w:val="clear" w:color="auto" w:fill="auto"/>
          </w:tcPr>
          <w:p w:rsidR="00CA682E" w:rsidRPr="00CA682E" w:rsidRDefault="00CA682E" w:rsidP="00CA682E">
            <w:pPr>
              <w:autoSpaceDE w:val="0"/>
              <w:autoSpaceDN w:val="0"/>
              <w:adjustRightInd w:val="0"/>
              <w:spacing w:before="40" w:after="40"/>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Demora de hasta un año en el comienzo del proyecto debido al retraso en la finalización de la nueva sala de conferencias de la OMPI</w:t>
            </w:r>
          </w:p>
        </w:tc>
        <w:tc>
          <w:tcPr>
            <w:tcW w:w="1757" w:type="pct"/>
            <w:shd w:val="clear" w:color="auto" w:fill="auto"/>
          </w:tcPr>
          <w:p w:rsidR="00CA682E" w:rsidRPr="00CA682E" w:rsidRDefault="00CA682E" w:rsidP="00CA682E">
            <w:pPr>
              <w:autoSpaceDE w:val="0"/>
              <w:autoSpaceDN w:val="0"/>
              <w:adjustRightInd w:val="0"/>
              <w:spacing w:before="40" w:after="40"/>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Ajustar el calendario y realizar obras durante el verano en la medida posible</w:t>
            </w:r>
          </w:p>
        </w:tc>
        <w:tc>
          <w:tcPr>
            <w:tcW w:w="1666" w:type="pct"/>
            <w:shd w:val="clear" w:color="auto" w:fill="auto"/>
          </w:tcPr>
          <w:p w:rsidR="00CA682E" w:rsidRPr="00CA682E" w:rsidRDefault="00CA682E" w:rsidP="00CA682E">
            <w:pPr>
              <w:autoSpaceDE w:val="0"/>
              <w:autoSpaceDN w:val="0"/>
              <w:adjustRightInd w:val="0"/>
              <w:spacing w:before="40" w:after="40"/>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El riesgo se materializó en 2014.  El calendario general del proyecto fue alargado 12 meses en relación con el plan original.  Se ajustó el plazo para el proyecto, conforme a la medida prevista para mitigar el riesgo.  No hubo incidencia tangible en los aportes concretos del proyecto</w:t>
            </w:r>
            <w:r w:rsidRPr="00CA682E">
              <w:rPr>
                <w:rFonts w:eastAsia="Times New Roman" w:cs="Times New Roman"/>
                <w:i/>
                <w:color w:val="000000" w:themeColor="text1"/>
                <w:sz w:val="16"/>
                <w:szCs w:val="16"/>
                <w:lang w:eastAsia="en-US"/>
              </w:rPr>
              <w:t xml:space="preserve"> </w:t>
            </w:r>
          </w:p>
        </w:tc>
      </w:tr>
      <w:tr w:rsidR="00CA682E" w:rsidRPr="00CA682E" w:rsidTr="007B1DE4">
        <w:trPr>
          <w:trHeight w:val="776"/>
          <w:jc w:val="center"/>
        </w:trPr>
        <w:tc>
          <w:tcPr>
            <w:tcW w:w="1577" w:type="pct"/>
            <w:shd w:val="clear" w:color="auto" w:fill="auto"/>
          </w:tcPr>
          <w:p w:rsidR="00CA682E" w:rsidRPr="00CA682E" w:rsidRDefault="00CA682E" w:rsidP="00CA682E">
            <w:pPr>
              <w:autoSpaceDE w:val="0"/>
              <w:autoSpaceDN w:val="0"/>
              <w:adjustRightInd w:val="0"/>
              <w:rPr>
                <w:rFonts w:eastAsia="Batang"/>
                <w:color w:val="000000" w:themeColor="text1"/>
                <w:sz w:val="16"/>
                <w:szCs w:val="16"/>
                <w:lang w:eastAsia="ja-JP"/>
              </w:rPr>
            </w:pPr>
            <w:r w:rsidRPr="00CA682E">
              <w:rPr>
                <w:rFonts w:eastAsia="Batang"/>
                <w:color w:val="000000" w:themeColor="text1"/>
                <w:sz w:val="16"/>
                <w:szCs w:val="16"/>
                <w:lang w:eastAsia="ja-JP"/>
              </w:rPr>
              <w:t>Conflicto de prioridades entre el avance de las obras y la utilización de las oficinas por sus ocupantes, con la consiguiente imposibilidad de desalojar las oficinas para poder comenzar las obras en las plantas afectadas</w:t>
            </w:r>
          </w:p>
        </w:tc>
        <w:tc>
          <w:tcPr>
            <w:tcW w:w="1757" w:type="pct"/>
            <w:shd w:val="clear" w:color="auto" w:fill="auto"/>
          </w:tcPr>
          <w:p w:rsidR="00CA682E" w:rsidRPr="00CA682E" w:rsidRDefault="00CA682E" w:rsidP="00CA682E">
            <w:pPr>
              <w:autoSpaceDE w:val="0"/>
              <w:autoSpaceDN w:val="0"/>
              <w:adjustRightInd w:val="0"/>
              <w:spacing w:before="40" w:after="40"/>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En lo posible, reorganizar las obras de construcción y revisar el calendario</w:t>
            </w:r>
            <w:r w:rsidRPr="00CA682E" w:rsidDel="00826D61">
              <w:rPr>
                <w:rFonts w:eastAsia="Times New Roman" w:cs="Times New Roman"/>
                <w:color w:val="000000" w:themeColor="text1"/>
                <w:sz w:val="16"/>
                <w:szCs w:val="16"/>
                <w:lang w:eastAsia="en-US"/>
              </w:rPr>
              <w:t xml:space="preserve"> </w:t>
            </w:r>
          </w:p>
        </w:tc>
        <w:tc>
          <w:tcPr>
            <w:tcW w:w="1666" w:type="pct"/>
            <w:shd w:val="clear" w:color="auto" w:fill="auto"/>
          </w:tcPr>
          <w:p w:rsidR="00CA682E" w:rsidRPr="00CA682E" w:rsidRDefault="00CA682E" w:rsidP="00CA682E">
            <w:pPr>
              <w:autoSpaceDE w:val="0"/>
              <w:autoSpaceDN w:val="0"/>
              <w:adjustRightInd w:val="0"/>
              <w:spacing w:before="40" w:after="40"/>
              <w:rPr>
                <w:rFonts w:eastAsia="Times New Roman" w:cs="Times New Roman"/>
                <w:color w:val="000000" w:themeColor="text1"/>
                <w:sz w:val="16"/>
                <w:szCs w:val="16"/>
                <w:lang w:eastAsia="en-US"/>
              </w:rPr>
            </w:pPr>
          </w:p>
        </w:tc>
      </w:tr>
      <w:tr w:rsidR="00CA682E" w:rsidRPr="00CA682E" w:rsidTr="007B1DE4">
        <w:trPr>
          <w:trHeight w:val="776"/>
          <w:jc w:val="center"/>
        </w:trPr>
        <w:tc>
          <w:tcPr>
            <w:tcW w:w="1577" w:type="pct"/>
            <w:shd w:val="clear" w:color="auto" w:fill="auto"/>
          </w:tcPr>
          <w:p w:rsidR="00CA682E" w:rsidRPr="00CA682E" w:rsidRDefault="00CA682E" w:rsidP="00CA682E">
            <w:pPr>
              <w:autoSpaceDE w:val="0"/>
              <w:autoSpaceDN w:val="0"/>
              <w:adjustRightInd w:val="0"/>
              <w:spacing w:before="40" w:after="40"/>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Imposibilidad de realizar las obras durante el verano de 2015 por no estar disponibles las empresas en la fecha solicitada por la OMPI</w:t>
            </w:r>
          </w:p>
        </w:tc>
        <w:tc>
          <w:tcPr>
            <w:tcW w:w="1757" w:type="pct"/>
            <w:shd w:val="clear" w:color="auto" w:fill="auto"/>
          </w:tcPr>
          <w:p w:rsidR="00CA682E" w:rsidRPr="00CA682E" w:rsidRDefault="00CA682E" w:rsidP="00CA682E">
            <w:pPr>
              <w:autoSpaceDE w:val="0"/>
              <w:autoSpaceDN w:val="0"/>
              <w:adjustRightInd w:val="0"/>
              <w:spacing w:before="40" w:after="40"/>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 xml:space="preserve">Aplazar las obras hasta el verano de 2016 </w:t>
            </w:r>
          </w:p>
        </w:tc>
        <w:tc>
          <w:tcPr>
            <w:tcW w:w="1666" w:type="pct"/>
            <w:shd w:val="clear" w:color="auto" w:fill="auto"/>
          </w:tcPr>
          <w:p w:rsidR="00CA682E" w:rsidRPr="00CA682E" w:rsidRDefault="00CA682E" w:rsidP="00CA682E">
            <w:pPr>
              <w:autoSpaceDE w:val="0"/>
              <w:autoSpaceDN w:val="0"/>
              <w:adjustRightInd w:val="0"/>
              <w:spacing w:before="40" w:after="40"/>
              <w:rPr>
                <w:rFonts w:eastAsia="Times New Roman" w:cs="Times New Roman"/>
                <w:color w:val="000000" w:themeColor="text1"/>
                <w:sz w:val="16"/>
                <w:szCs w:val="16"/>
                <w:lang w:eastAsia="en-US"/>
              </w:rPr>
            </w:pPr>
          </w:p>
        </w:tc>
      </w:tr>
      <w:tr w:rsidR="00CA682E" w:rsidRPr="00CA682E" w:rsidTr="007B1DE4">
        <w:trPr>
          <w:trHeight w:val="776"/>
          <w:jc w:val="center"/>
        </w:trPr>
        <w:tc>
          <w:tcPr>
            <w:tcW w:w="1577" w:type="pct"/>
            <w:shd w:val="clear" w:color="auto" w:fill="auto"/>
          </w:tcPr>
          <w:p w:rsidR="00CA682E" w:rsidRPr="00CA682E" w:rsidRDefault="00CA682E" w:rsidP="00CA682E">
            <w:pPr>
              <w:autoSpaceDE w:val="0"/>
              <w:autoSpaceDN w:val="0"/>
              <w:adjustRightInd w:val="0"/>
              <w:spacing w:before="40" w:after="40"/>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Demora o interrupción de las obras debido a un accidente en el lugar de las obras</w:t>
            </w:r>
          </w:p>
        </w:tc>
        <w:tc>
          <w:tcPr>
            <w:tcW w:w="1757" w:type="pct"/>
            <w:shd w:val="clear" w:color="auto" w:fill="auto"/>
          </w:tcPr>
          <w:p w:rsidR="00CA682E" w:rsidRPr="00CA682E" w:rsidRDefault="00CA682E" w:rsidP="00CA682E">
            <w:pPr>
              <w:autoSpaceDE w:val="0"/>
              <w:autoSpaceDN w:val="0"/>
              <w:adjustRightInd w:val="0"/>
              <w:spacing w:before="40" w:after="40"/>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Revalidar y fortalecer las medidas de seguridad y revisar el calendario de las obras hasta 2016</w:t>
            </w:r>
          </w:p>
        </w:tc>
        <w:tc>
          <w:tcPr>
            <w:tcW w:w="1666" w:type="pct"/>
            <w:shd w:val="clear" w:color="auto" w:fill="auto"/>
          </w:tcPr>
          <w:p w:rsidR="00CA682E" w:rsidRPr="00CA682E" w:rsidRDefault="00CA682E" w:rsidP="00CA682E">
            <w:pPr>
              <w:autoSpaceDE w:val="0"/>
              <w:autoSpaceDN w:val="0"/>
              <w:adjustRightInd w:val="0"/>
              <w:spacing w:before="40" w:after="40"/>
              <w:rPr>
                <w:rFonts w:eastAsia="Times New Roman" w:cs="Times New Roman"/>
                <w:color w:val="000000" w:themeColor="text1"/>
                <w:sz w:val="16"/>
                <w:szCs w:val="16"/>
                <w:lang w:eastAsia="en-US"/>
              </w:rPr>
            </w:pPr>
          </w:p>
        </w:tc>
      </w:tr>
      <w:tr w:rsidR="00CA682E" w:rsidRPr="00CA682E" w:rsidTr="007B1DE4">
        <w:trPr>
          <w:trHeight w:val="776"/>
          <w:jc w:val="center"/>
        </w:trPr>
        <w:tc>
          <w:tcPr>
            <w:tcW w:w="1577" w:type="pct"/>
            <w:shd w:val="clear" w:color="auto" w:fill="auto"/>
          </w:tcPr>
          <w:p w:rsidR="00CA682E" w:rsidRPr="00CA682E" w:rsidRDefault="00CA682E" w:rsidP="00CA682E">
            <w:pPr>
              <w:autoSpaceDE w:val="0"/>
              <w:autoSpaceDN w:val="0"/>
              <w:adjustRightInd w:val="0"/>
              <w:spacing w:before="40" w:after="40"/>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Interrupción de las obras por problemas técnicos detectados durante la labor preparatoria del sitio de las obras</w:t>
            </w:r>
          </w:p>
        </w:tc>
        <w:tc>
          <w:tcPr>
            <w:tcW w:w="1757" w:type="pct"/>
            <w:shd w:val="clear" w:color="auto" w:fill="auto"/>
          </w:tcPr>
          <w:p w:rsidR="00CA682E" w:rsidRPr="00CA682E" w:rsidRDefault="00CA682E" w:rsidP="00CA682E">
            <w:pPr>
              <w:autoSpaceDE w:val="0"/>
              <w:autoSpaceDN w:val="0"/>
              <w:adjustRightInd w:val="0"/>
              <w:spacing w:before="40" w:after="40"/>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Contratar expertos que presten asesoramiento sobre el mejor modo de solucionar los problemas planteados</w:t>
            </w:r>
          </w:p>
        </w:tc>
        <w:tc>
          <w:tcPr>
            <w:tcW w:w="1666" w:type="pct"/>
            <w:shd w:val="clear" w:color="auto" w:fill="auto"/>
          </w:tcPr>
          <w:p w:rsidR="00CA682E" w:rsidRPr="00CA682E" w:rsidRDefault="00CA682E" w:rsidP="00CA682E">
            <w:pPr>
              <w:autoSpaceDE w:val="0"/>
              <w:autoSpaceDN w:val="0"/>
              <w:adjustRightInd w:val="0"/>
              <w:spacing w:before="40" w:after="40"/>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El riesgo se materializó en 2015.  Se contrataron expertos adicionales para realizar estudios a fin de asesorar  a la Secretaría sobre el mejor modo de proceder para atenuar la incidencia</w:t>
            </w:r>
          </w:p>
        </w:tc>
      </w:tr>
    </w:tbl>
    <w:p w:rsidR="00CA682E" w:rsidRPr="00CA682E" w:rsidRDefault="00CA682E" w:rsidP="00CA682E">
      <w:pPr>
        <w:autoSpaceDE w:val="0"/>
        <w:autoSpaceDN w:val="0"/>
        <w:jc w:val="both"/>
        <w:rPr>
          <w:rFonts w:eastAsia="Times New Roman" w:cs="Times New Roman"/>
          <w:color w:val="000000" w:themeColor="text1"/>
          <w:sz w:val="18"/>
          <w:szCs w:val="24"/>
          <w:lang w:eastAsia="en-US"/>
        </w:rPr>
      </w:pPr>
    </w:p>
    <w:p w:rsidR="00CA682E" w:rsidRPr="00CA682E" w:rsidRDefault="00CA682E" w:rsidP="00CA682E">
      <w:pPr>
        <w:rPr>
          <w:rFonts w:eastAsia="Times New Roman"/>
          <w:color w:val="000000" w:themeColor="text1"/>
          <w:sz w:val="20"/>
          <w:szCs w:val="22"/>
          <w:lang w:eastAsia="en-US"/>
        </w:rPr>
      </w:pPr>
    </w:p>
    <w:p w:rsidR="00CA682E" w:rsidRPr="00CA682E" w:rsidRDefault="00CA682E" w:rsidP="00CA682E">
      <w:pPr>
        <w:rPr>
          <w:rFonts w:eastAsia="Times New Roman"/>
          <w:color w:val="000000" w:themeColor="text1"/>
          <w:sz w:val="20"/>
          <w:szCs w:val="22"/>
          <w:lang w:eastAsia="en-US"/>
        </w:rPr>
      </w:pPr>
      <w:r w:rsidRPr="00CA682E">
        <w:rPr>
          <w:rFonts w:eastAsia="Times New Roman"/>
          <w:color w:val="000000" w:themeColor="text1"/>
          <w:sz w:val="20"/>
          <w:szCs w:val="22"/>
          <w:lang w:eastAsia="en-US"/>
        </w:rPr>
        <w:t>CALENDARIO DEL PROYECTO, POR ETAPA</w:t>
      </w:r>
    </w:p>
    <w:p w:rsidR="00CA682E" w:rsidRPr="00CA682E" w:rsidRDefault="00CA682E" w:rsidP="00CA682E">
      <w:pPr>
        <w:autoSpaceDE w:val="0"/>
        <w:autoSpaceDN w:val="0"/>
        <w:jc w:val="both"/>
        <w:rPr>
          <w:rFonts w:eastAsia="Times New Roman" w:cs="Times New Roman"/>
          <w:color w:val="000000" w:themeColor="text1"/>
          <w:sz w:val="18"/>
          <w:szCs w:val="24"/>
          <w:lang w:eastAsia="en-US"/>
        </w:rPr>
      </w:pPr>
    </w:p>
    <w:tbl>
      <w:tblPr>
        <w:tblW w:w="8690" w:type="dxa"/>
        <w:jc w:val="center"/>
        <w:tblLook w:val="04A0" w:firstRow="1" w:lastRow="0" w:firstColumn="1" w:lastColumn="0" w:noHBand="0" w:noVBand="1"/>
      </w:tblPr>
      <w:tblGrid>
        <w:gridCol w:w="3782"/>
        <w:gridCol w:w="448"/>
        <w:gridCol w:w="448"/>
        <w:gridCol w:w="403"/>
        <w:gridCol w:w="403"/>
        <w:gridCol w:w="448"/>
        <w:gridCol w:w="448"/>
        <w:gridCol w:w="409"/>
        <w:gridCol w:w="409"/>
        <w:gridCol w:w="448"/>
        <w:gridCol w:w="448"/>
        <w:gridCol w:w="409"/>
        <w:gridCol w:w="409"/>
      </w:tblGrid>
      <w:tr w:rsidR="00CA682E" w:rsidRPr="00CA682E" w:rsidTr="007B1DE4">
        <w:trPr>
          <w:trHeight w:val="244"/>
          <w:jc w:val="center"/>
        </w:trPr>
        <w:tc>
          <w:tcPr>
            <w:tcW w:w="3782" w:type="dxa"/>
            <w:tcBorders>
              <w:top w:val="nil"/>
              <w:left w:val="nil"/>
              <w:bottom w:val="nil"/>
              <w:right w:val="nil"/>
            </w:tcBorders>
            <w:shd w:val="clear" w:color="auto" w:fill="auto"/>
            <w:noWrap/>
            <w:vAlign w:val="bottom"/>
            <w:hideMark/>
          </w:tcPr>
          <w:p w:rsidR="00CA682E" w:rsidRPr="00CA682E" w:rsidRDefault="00CA682E" w:rsidP="00CA682E">
            <w:pPr>
              <w:rPr>
                <w:rFonts w:eastAsia="Times New Roman"/>
                <w:color w:val="000000" w:themeColor="text1"/>
                <w:sz w:val="16"/>
                <w:szCs w:val="16"/>
                <w:lang w:eastAsia="en-US"/>
              </w:rPr>
            </w:pPr>
          </w:p>
        </w:tc>
        <w:tc>
          <w:tcPr>
            <w:tcW w:w="1635" w:type="dxa"/>
            <w:gridSpan w:val="4"/>
            <w:tcBorders>
              <w:top w:val="single" w:sz="8" w:space="0" w:color="auto"/>
              <w:left w:val="single" w:sz="8" w:space="0" w:color="auto"/>
              <w:bottom w:val="single" w:sz="4" w:space="0" w:color="auto"/>
              <w:right w:val="single" w:sz="4" w:space="0" w:color="auto"/>
            </w:tcBorders>
            <w:shd w:val="clear" w:color="auto" w:fill="C6D9F1" w:themeFill="text2" w:themeFillTint="33"/>
            <w:vAlign w:val="bottom"/>
          </w:tcPr>
          <w:p w:rsidR="00CA682E" w:rsidRPr="00CA682E" w:rsidRDefault="00CA682E" w:rsidP="00CA682E">
            <w:pPr>
              <w:jc w:val="center"/>
              <w:rPr>
                <w:rFonts w:eastAsia="Times New Roman"/>
                <w:b/>
                <w:bCs/>
                <w:color w:val="000000" w:themeColor="text1"/>
                <w:sz w:val="16"/>
                <w:szCs w:val="16"/>
                <w:lang w:eastAsia="en-US"/>
              </w:rPr>
            </w:pPr>
            <w:r w:rsidRPr="00CA682E">
              <w:rPr>
                <w:rFonts w:eastAsia="Times New Roman"/>
                <w:b/>
                <w:bCs/>
                <w:color w:val="000000" w:themeColor="text1"/>
                <w:sz w:val="16"/>
                <w:szCs w:val="16"/>
                <w:lang w:eastAsia="en-US"/>
              </w:rPr>
              <w:t>2014</w:t>
            </w:r>
          </w:p>
        </w:tc>
        <w:tc>
          <w:tcPr>
            <w:tcW w:w="1635" w:type="dxa"/>
            <w:gridSpan w:val="4"/>
            <w:tcBorders>
              <w:top w:val="single" w:sz="8" w:space="0" w:color="auto"/>
              <w:left w:val="single" w:sz="4" w:space="0" w:color="auto"/>
              <w:bottom w:val="single" w:sz="4" w:space="0" w:color="auto"/>
              <w:right w:val="single" w:sz="8" w:space="0" w:color="000000"/>
            </w:tcBorders>
            <w:shd w:val="clear" w:color="auto" w:fill="C6D9F1" w:themeFill="text2" w:themeFillTint="33"/>
            <w:noWrap/>
            <w:vAlign w:val="bottom"/>
            <w:hideMark/>
          </w:tcPr>
          <w:p w:rsidR="00CA682E" w:rsidRPr="00CA682E" w:rsidRDefault="00CA682E" w:rsidP="00CA682E">
            <w:pPr>
              <w:jc w:val="center"/>
              <w:rPr>
                <w:rFonts w:eastAsia="Times New Roman"/>
                <w:b/>
                <w:bCs/>
                <w:color w:val="000000" w:themeColor="text1"/>
                <w:sz w:val="16"/>
                <w:szCs w:val="16"/>
                <w:lang w:eastAsia="en-US"/>
              </w:rPr>
            </w:pPr>
            <w:r w:rsidRPr="00CA682E">
              <w:rPr>
                <w:rFonts w:eastAsia="Times New Roman"/>
                <w:b/>
                <w:bCs/>
                <w:color w:val="000000" w:themeColor="text1"/>
                <w:sz w:val="16"/>
                <w:szCs w:val="16"/>
                <w:lang w:eastAsia="en-US"/>
              </w:rPr>
              <w:t>2015</w:t>
            </w:r>
          </w:p>
        </w:tc>
        <w:tc>
          <w:tcPr>
            <w:tcW w:w="1635" w:type="dxa"/>
            <w:gridSpan w:val="4"/>
            <w:tcBorders>
              <w:top w:val="single" w:sz="8" w:space="0" w:color="auto"/>
              <w:left w:val="nil"/>
              <w:bottom w:val="single" w:sz="4" w:space="0" w:color="auto"/>
              <w:right w:val="single" w:sz="8" w:space="0" w:color="000000"/>
            </w:tcBorders>
            <w:shd w:val="clear" w:color="auto" w:fill="C6D9F1" w:themeFill="text2" w:themeFillTint="33"/>
            <w:noWrap/>
            <w:vAlign w:val="bottom"/>
            <w:hideMark/>
          </w:tcPr>
          <w:p w:rsidR="00CA682E" w:rsidRPr="00CA682E" w:rsidRDefault="00CA682E" w:rsidP="00CA682E">
            <w:pPr>
              <w:jc w:val="center"/>
              <w:rPr>
                <w:rFonts w:eastAsia="Times New Roman"/>
                <w:b/>
                <w:bCs/>
                <w:color w:val="000000" w:themeColor="text1"/>
                <w:sz w:val="16"/>
                <w:szCs w:val="16"/>
                <w:lang w:eastAsia="en-US"/>
              </w:rPr>
            </w:pPr>
            <w:r w:rsidRPr="00CA682E">
              <w:rPr>
                <w:rFonts w:eastAsia="Times New Roman"/>
                <w:b/>
                <w:bCs/>
                <w:color w:val="000000" w:themeColor="text1"/>
                <w:sz w:val="16"/>
                <w:szCs w:val="16"/>
                <w:lang w:eastAsia="en-US"/>
              </w:rPr>
              <w:t>2016</w:t>
            </w:r>
          </w:p>
        </w:tc>
      </w:tr>
      <w:tr w:rsidR="00CA682E" w:rsidRPr="00CA682E" w:rsidTr="007B1DE4">
        <w:trPr>
          <w:trHeight w:val="254"/>
          <w:jc w:val="center"/>
        </w:trPr>
        <w:tc>
          <w:tcPr>
            <w:tcW w:w="3782" w:type="dxa"/>
            <w:tcBorders>
              <w:top w:val="single" w:sz="8" w:space="0" w:color="auto"/>
              <w:left w:val="single" w:sz="8" w:space="0" w:color="auto"/>
              <w:bottom w:val="single" w:sz="4" w:space="0" w:color="auto"/>
              <w:right w:val="single" w:sz="8" w:space="0" w:color="auto"/>
            </w:tcBorders>
            <w:shd w:val="clear" w:color="auto" w:fill="C6D9F1" w:themeFill="text2" w:themeFillTint="33"/>
            <w:noWrap/>
            <w:vAlign w:val="bottom"/>
            <w:hideMark/>
          </w:tcPr>
          <w:p w:rsidR="00CA682E" w:rsidRPr="00CA682E" w:rsidRDefault="00CA682E" w:rsidP="00CA682E">
            <w:pPr>
              <w:spacing w:before="40" w:after="40"/>
              <w:rPr>
                <w:rFonts w:eastAsia="Times New Roman"/>
                <w:b/>
                <w:bCs/>
                <w:color w:val="000000" w:themeColor="text1"/>
                <w:sz w:val="16"/>
                <w:szCs w:val="16"/>
                <w:lang w:eastAsia="en-US"/>
              </w:rPr>
            </w:pPr>
            <w:r w:rsidRPr="00CA682E">
              <w:rPr>
                <w:rFonts w:eastAsia="Times New Roman"/>
                <w:b/>
                <w:bCs/>
                <w:color w:val="000000" w:themeColor="text1"/>
                <w:sz w:val="16"/>
                <w:szCs w:val="16"/>
                <w:lang w:eastAsia="en-US"/>
              </w:rPr>
              <w:t>Etapas fundamentales</w:t>
            </w:r>
          </w:p>
        </w:tc>
        <w:tc>
          <w:tcPr>
            <w:tcW w:w="409" w:type="dxa"/>
            <w:tcBorders>
              <w:top w:val="nil"/>
              <w:left w:val="nil"/>
              <w:bottom w:val="single" w:sz="4" w:space="0" w:color="auto"/>
              <w:right w:val="single" w:sz="4" w:space="0" w:color="auto"/>
            </w:tcBorders>
            <w:shd w:val="clear" w:color="auto" w:fill="C6D9F1" w:themeFill="text2" w:themeFillTint="33"/>
            <w:vAlign w:val="bottom"/>
          </w:tcPr>
          <w:p w:rsidR="00CA682E" w:rsidRPr="00CA682E" w:rsidRDefault="00CA682E" w:rsidP="00CA682E">
            <w:pPr>
              <w:spacing w:before="40" w:after="40"/>
              <w:jc w:val="center"/>
              <w:rPr>
                <w:rFonts w:eastAsia="Times New Roman"/>
                <w:b/>
                <w:bCs/>
                <w:color w:val="000000" w:themeColor="text1"/>
                <w:sz w:val="16"/>
                <w:szCs w:val="16"/>
                <w:lang w:eastAsia="en-US"/>
              </w:rPr>
            </w:pPr>
            <w:r w:rsidRPr="00CA682E">
              <w:rPr>
                <w:rFonts w:eastAsia="Times New Roman"/>
                <w:b/>
                <w:bCs/>
                <w:color w:val="000000" w:themeColor="text1"/>
                <w:sz w:val="16"/>
                <w:szCs w:val="16"/>
                <w:lang w:eastAsia="en-US"/>
              </w:rPr>
              <w:t>T1.</w:t>
            </w:r>
          </w:p>
        </w:tc>
        <w:tc>
          <w:tcPr>
            <w:tcW w:w="409" w:type="dxa"/>
            <w:tcBorders>
              <w:top w:val="nil"/>
              <w:left w:val="nil"/>
              <w:bottom w:val="single" w:sz="4" w:space="0" w:color="auto"/>
              <w:right w:val="single" w:sz="4" w:space="0" w:color="auto"/>
            </w:tcBorders>
            <w:shd w:val="clear" w:color="auto" w:fill="C6D9F1" w:themeFill="text2" w:themeFillTint="33"/>
            <w:vAlign w:val="bottom"/>
          </w:tcPr>
          <w:p w:rsidR="00CA682E" w:rsidRPr="00CA682E" w:rsidRDefault="00CA682E" w:rsidP="00CA682E">
            <w:pPr>
              <w:spacing w:before="40" w:after="40"/>
              <w:jc w:val="center"/>
              <w:rPr>
                <w:rFonts w:eastAsia="Times New Roman"/>
                <w:b/>
                <w:bCs/>
                <w:color w:val="000000" w:themeColor="text1"/>
                <w:sz w:val="16"/>
                <w:szCs w:val="16"/>
                <w:lang w:eastAsia="en-US"/>
              </w:rPr>
            </w:pPr>
            <w:r w:rsidRPr="00CA682E">
              <w:rPr>
                <w:rFonts w:eastAsia="Times New Roman"/>
                <w:b/>
                <w:bCs/>
                <w:color w:val="000000" w:themeColor="text1"/>
                <w:sz w:val="16"/>
                <w:szCs w:val="16"/>
                <w:lang w:eastAsia="en-US"/>
              </w:rPr>
              <w:t>T2.</w:t>
            </w:r>
          </w:p>
        </w:tc>
        <w:tc>
          <w:tcPr>
            <w:tcW w:w="409" w:type="dxa"/>
            <w:tcBorders>
              <w:top w:val="nil"/>
              <w:left w:val="nil"/>
              <w:bottom w:val="single" w:sz="4" w:space="0" w:color="auto"/>
              <w:right w:val="single" w:sz="4" w:space="0" w:color="auto"/>
            </w:tcBorders>
            <w:shd w:val="clear" w:color="auto" w:fill="C6D9F1" w:themeFill="text2" w:themeFillTint="33"/>
            <w:vAlign w:val="bottom"/>
          </w:tcPr>
          <w:p w:rsidR="00CA682E" w:rsidRPr="00CA682E" w:rsidRDefault="00CA682E" w:rsidP="00CA682E">
            <w:pPr>
              <w:spacing w:before="40" w:after="40"/>
              <w:jc w:val="center"/>
              <w:rPr>
                <w:rFonts w:eastAsia="Times New Roman"/>
                <w:b/>
                <w:bCs/>
                <w:color w:val="000000" w:themeColor="text1"/>
                <w:sz w:val="16"/>
                <w:szCs w:val="16"/>
                <w:lang w:eastAsia="en-US"/>
              </w:rPr>
            </w:pPr>
            <w:r w:rsidRPr="00CA682E">
              <w:rPr>
                <w:rFonts w:eastAsia="Times New Roman"/>
                <w:b/>
                <w:bCs/>
                <w:color w:val="000000" w:themeColor="text1"/>
                <w:sz w:val="16"/>
                <w:szCs w:val="16"/>
                <w:lang w:eastAsia="en-US"/>
              </w:rPr>
              <w:t>T3</w:t>
            </w:r>
          </w:p>
        </w:tc>
        <w:tc>
          <w:tcPr>
            <w:tcW w:w="409" w:type="dxa"/>
            <w:tcBorders>
              <w:top w:val="nil"/>
              <w:left w:val="nil"/>
              <w:bottom w:val="single" w:sz="4" w:space="0" w:color="auto"/>
              <w:right w:val="single" w:sz="4" w:space="0" w:color="auto"/>
            </w:tcBorders>
            <w:shd w:val="clear" w:color="auto" w:fill="C6D9F1" w:themeFill="text2" w:themeFillTint="33"/>
            <w:vAlign w:val="bottom"/>
          </w:tcPr>
          <w:p w:rsidR="00CA682E" w:rsidRPr="00CA682E" w:rsidRDefault="00CA682E" w:rsidP="00CA682E">
            <w:pPr>
              <w:spacing w:before="40" w:after="40"/>
              <w:jc w:val="center"/>
              <w:rPr>
                <w:rFonts w:eastAsia="Times New Roman"/>
                <w:b/>
                <w:bCs/>
                <w:color w:val="000000" w:themeColor="text1"/>
                <w:sz w:val="16"/>
                <w:szCs w:val="16"/>
                <w:lang w:eastAsia="en-US"/>
              </w:rPr>
            </w:pPr>
            <w:r w:rsidRPr="00CA682E">
              <w:rPr>
                <w:rFonts w:eastAsia="Times New Roman"/>
                <w:b/>
                <w:bCs/>
                <w:color w:val="000000" w:themeColor="text1"/>
                <w:sz w:val="16"/>
                <w:szCs w:val="16"/>
                <w:lang w:eastAsia="en-US"/>
              </w:rPr>
              <w:t>T4</w:t>
            </w:r>
          </w:p>
        </w:tc>
        <w:tc>
          <w:tcPr>
            <w:tcW w:w="409" w:type="dxa"/>
            <w:tcBorders>
              <w:top w:val="nil"/>
              <w:left w:val="single" w:sz="4" w:space="0" w:color="auto"/>
              <w:bottom w:val="single" w:sz="4" w:space="0" w:color="auto"/>
              <w:right w:val="single" w:sz="4" w:space="0" w:color="auto"/>
            </w:tcBorders>
            <w:shd w:val="clear" w:color="auto" w:fill="C6D9F1" w:themeFill="text2" w:themeFillTint="33"/>
            <w:noWrap/>
            <w:vAlign w:val="bottom"/>
            <w:hideMark/>
          </w:tcPr>
          <w:p w:rsidR="00CA682E" w:rsidRPr="00CA682E" w:rsidRDefault="00CA682E" w:rsidP="00CA682E">
            <w:pPr>
              <w:spacing w:before="40" w:after="40"/>
              <w:jc w:val="center"/>
              <w:rPr>
                <w:rFonts w:eastAsia="Times New Roman"/>
                <w:b/>
                <w:bCs/>
                <w:color w:val="000000" w:themeColor="text1"/>
                <w:sz w:val="16"/>
                <w:szCs w:val="16"/>
                <w:lang w:eastAsia="en-US"/>
              </w:rPr>
            </w:pPr>
            <w:r w:rsidRPr="00CA682E">
              <w:rPr>
                <w:rFonts w:eastAsia="Times New Roman"/>
                <w:b/>
                <w:bCs/>
                <w:color w:val="000000" w:themeColor="text1"/>
                <w:sz w:val="16"/>
                <w:szCs w:val="16"/>
                <w:lang w:eastAsia="en-US"/>
              </w:rPr>
              <w:t>T1.</w:t>
            </w:r>
          </w:p>
        </w:tc>
        <w:tc>
          <w:tcPr>
            <w:tcW w:w="409" w:type="dxa"/>
            <w:tcBorders>
              <w:top w:val="nil"/>
              <w:left w:val="nil"/>
              <w:bottom w:val="single" w:sz="4" w:space="0" w:color="auto"/>
              <w:right w:val="single" w:sz="4" w:space="0" w:color="auto"/>
            </w:tcBorders>
            <w:shd w:val="clear" w:color="auto" w:fill="C6D9F1" w:themeFill="text2" w:themeFillTint="33"/>
            <w:noWrap/>
            <w:vAlign w:val="bottom"/>
            <w:hideMark/>
          </w:tcPr>
          <w:p w:rsidR="00CA682E" w:rsidRPr="00CA682E" w:rsidRDefault="00CA682E" w:rsidP="00CA682E">
            <w:pPr>
              <w:spacing w:before="40" w:after="40"/>
              <w:jc w:val="center"/>
              <w:rPr>
                <w:rFonts w:eastAsia="Times New Roman"/>
                <w:b/>
                <w:bCs/>
                <w:color w:val="000000" w:themeColor="text1"/>
                <w:sz w:val="16"/>
                <w:szCs w:val="16"/>
                <w:lang w:eastAsia="en-US"/>
              </w:rPr>
            </w:pPr>
            <w:r w:rsidRPr="00CA682E">
              <w:rPr>
                <w:rFonts w:eastAsia="Times New Roman"/>
                <w:b/>
                <w:bCs/>
                <w:color w:val="000000" w:themeColor="text1"/>
                <w:sz w:val="16"/>
                <w:szCs w:val="16"/>
                <w:lang w:eastAsia="en-US"/>
              </w:rPr>
              <w:t>T2.</w:t>
            </w:r>
          </w:p>
        </w:tc>
        <w:tc>
          <w:tcPr>
            <w:tcW w:w="409" w:type="dxa"/>
            <w:tcBorders>
              <w:top w:val="nil"/>
              <w:left w:val="nil"/>
              <w:bottom w:val="single" w:sz="4" w:space="0" w:color="auto"/>
              <w:right w:val="single" w:sz="4" w:space="0" w:color="auto"/>
            </w:tcBorders>
            <w:shd w:val="clear" w:color="auto" w:fill="C6D9F1" w:themeFill="text2" w:themeFillTint="33"/>
            <w:noWrap/>
            <w:vAlign w:val="bottom"/>
            <w:hideMark/>
          </w:tcPr>
          <w:p w:rsidR="00CA682E" w:rsidRPr="00CA682E" w:rsidRDefault="00CA682E" w:rsidP="00CA682E">
            <w:pPr>
              <w:spacing w:before="40" w:after="40"/>
              <w:jc w:val="center"/>
              <w:rPr>
                <w:rFonts w:eastAsia="Times New Roman"/>
                <w:b/>
                <w:bCs/>
                <w:color w:val="000000" w:themeColor="text1"/>
                <w:sz w:val="16"/>
                <w:szCs w:val="16"/>
                <w:lang w:eastAsia="en-US"/>
              </w:rPr>
            </w:pPr>
            <w:r w:rsidRPr="00CA682E">
              <w:rPr>
                <w:rFonts w:eastAsia="Times New Roman"/>
                <w:b/>
                <w:bCs/>
                <w:color w:val="000000" w:themeColor="text1"/>
                <w:sz w:val="16"/>
                <w:szCs w:val="16"/>
                <w:lang w:eastAsia="en-US"/>
              </w:rPr>
              <w:t>T3</w:t>
            </w:r>
          </w:p>
        </w:tc>
        <w:tc>
          <w:tcPr>
            <w:tcW w:w="409" w:type="dxa"/>
            <w:tcBorders>
              <w:top w:val="nil"/>
              <w:left w:val="nil"/>
              <w:bottom w:val="single" w:sz="4" w:space="0" w:color="auto"/>
              <w:right w:val="single" w:sz="8" w:space="0" w:color="auto"/>
            </w:tcBorders>
            <w:shd w:val="clear" w:color="auto" w:fill="C6D9F1" w:themeFill="text2" w:themeFillTint="33"/>
            <w:noWrap/>
            <w:vAlign w:val="bottom"/>
            <w:hideMark/>
          </w:tcPr>
          <w:p w:rsidR="00CA682E" w:rsidRPr="00CA682E" w:rsidRDefault="00CA682E" w:rsidP="00CA682E">
            <w:pPr>
              <w:spacing w:before="40" w:after="40"/>
              <w:jc w:val="center"/>
              <w:rPr>
                <w:rFonts w:eastAsia="Times New Roman"/>
                <w:b/>
                <w:bCs/>
                <w:color w:val="000000" w:themeColor="text1"/>
                <w:sz w:val="16"/>
                <w:szCs w:val="16"/>
                <w:lang w:eastAsia="en-US"/>
              </w:rPr>
            </w:pPr>
            <w:r w:rsidRPr="00CA682E">
              <w:rPr>
                <w:rFonts w:eastAsia="Times New Roman"/>
                <w:b/>
                <w:bCs/>
                <w:color w:val="000000" w:themeColor="text1"/>
                <w:sz w:val="16"/>
                <w:szCs w:val="16"/>
                <w:lang w:eastAsia="en-US"/>
              </w:rPr>
              <w:t>T4</w:t>
            </w:r>
          </w:p>
        </w:tc>
        <w:tc>
          <w:tcPr>
            <w:tcW w:w="409" w:type="dxa"/>
            <w:tcBorders>
              <w:top w:val="nil"/>
              <w:left w:val="nil"/>
              <w:bottom w:val="single" w:sz="4" w:space="0" w:color="auto"/>
              <w:right w:val="single" w:sz="4" w:space="0" w:color="auto"/>
            </w:tcBorders>
            <w:shd w:val="clear" w:color="auto" w:fill="C6D9F1" w:themeFill="text2" w:themeFillTint="33"/>
            <w:noWrap/>
            <w:vAlign w:val="bottom"/>
            <w:hideMark/>
          </w:tcPr>
          <w:p w:rsidR="00CA682E" w:rsidRPr="00CA682E" w:rsidRDefault="00CA682E" w:rsidP="00CA682E">
            <w:pPr>
              <w:spacing w:before="40" w:after="40"/>
              <w:jc w:val="center"/>
              <w:rPr>
                <w:rFonts w:eastAsia="Times New Roman"/>
                <w:b/>
                <w:bCs/>
                <w:color w:val="000000" w:themeColor="text1"/>
                <w:sz w:val="16"/>
                <w:szCs w:val="16"/>
                <w:lang w:eastAsia="en-US"/>
              </w:rPr>
            </w:pPr>
            <w:r w:rsidRPr="00CA682E">
              <w:rPr>
                <w:rFonts w:eastAsia="Times New Roman"/>
                <w:b/>
                <w:bCs/>
                <w:color w:val="000000" w:themeColor="text1"/>
                <w:sz w:val="16"/>
                <w:szCs w:val="16"/>
                <w:lang w:eastAsia="en-US"/>
              </w:rPr>
              <w:t>T1.</w:t>
            </w:r>
          </w:p>
        </w:tc>
        <w:tc>
          <w:tcPr>
            <w:tcW w:w="409" w:type="dxa"/>
            <w:tcBorders>
              <w:top w:val="nil"/>
              <w:left w:val="nil"/>
              <w:bottom w:val="single" w:sz="4" w:space="0" w:color="auto"/>
              <w:right w:val="single" w:sz="4" w:space="0" w:color="auto"/>
            </w:tcBorders>
            <w:shd w:val="clear" w:color="auto" w:fill="C6D9F1" w:themeFill="text2" w:themeFillTint="33"/>
            <w:noWrap/>
            <w:vAlign w:val="bottom"/>
            <w:hideMark/>
          </w:tcPr>
          <w:p w:rsidR="00CA682E" w:rsidRPr="00CA682E" w:rsidRDefault="00CA682E" w:rsidP="00CA682E">
            <w:pPr>
              <w:spacing w:before="40" w:after="40"/>
              <w:jc w:val="center"/>
              <w:rPr>
                <w:rFonts w:eastAsia="Times New Roman"/>
                <w:b/>
                <w:bCs/>
                <w:color w:val="000000" w:themeColor="text1"/>
                <w:sz w:val="16"/>
                <w:szCs w:val="16"/>
                <w:lang w:eastAsia="en-US"/>
              </w:rPr>
            </w:pPr>
            <w:r w:rsidRPr="00CA682E">
              <w:rPr>
                <w:rFonts w:eastAsia="Times New Roman"/>
                <w:b/>
                <w:bCs/>
                <w:color w:val="000000" w:themeColor="text1"/>
                <w:sz w:val="16"/>
                <w:szCs w:val="16"/>
                <w:lang w:eastAsia="en-US"/>
              </w:rPr>
              <w:t>T2.</w:t>
            </w:r>
          </w:p>
        </w:tc>
        <w:tc>
          <w:tcPr>
            <w:tcW w:w="409" w:type="dxa"/>
            <w:tcBorders>
              <w:top w:val="nil"/>
              <w:left w:val="nil"/>
              <w:bottom w:val="single" w:sz="4" w:space="0" w:color="auto"/>
              <w:right w:val="single" w:sz="4" w:space="0" w:color="auto"/>
            </w:tcBorders>
            <w:shd w:val="clear" w:color="auto" w:fill="C6D9F1" w:themeFill="text2" w:themeFillTint="33"/>
            <w:noWrap/>
            <w:vAlign w:val="bottom"/>
            <w:hideMark/>
          </w:tcPr>
          <w:p w:rsidR="00CA682E" w:rsidRPr="00CA682E" w:rsidRDefault="00CA682E" w:rsidP="00CA682E">
            <w:pPr>
              <w:spacing w:before="40" w:after="40"/>
              <w:jc w:val="center"/>
              <w:rPr>
                <w:rFonts w:eastAsia="Times New Roman"/>
                <w:b/>
                <w:bCs/>
                <w:color w:val="000000" w:themeColor="text1"/>
                <w:sz w:val="16"/>
                <w:szCs w:val="16"/>
                <w:lang w:eastAsia="en-US"/>
              </w:rPr>
            </w:pPr>
            <w:r w:rsidRPr="00CA682E">
              <w:rPr>
                <w:rFonts w:eastAsia="Times New Roman"/>
                <w:b/>
                <w:bCs/>
                <w:color w:val="000000" w:themeColor="text1"/>
                <w:sz w:val="16"/>
                <w:szCs w:val="16"/>
                <w:lang w:eastAsia="en-US"/>
              </w:rPr>
              <w:t>T3</w:t>
            </w:r>
          </w:p>
        </w:tc>
        <w:tc>
          <w:tcPr>
            <w:tcW w:w="409" w:type="dxa"/>
            <w:tcBorders>
              <w:top w:val="nil"/>
              <w:left w:val="nil"/>
              <w:bottom w:val="single" w:sz="4" w:space="0" w:color="auto"/>
              <w:right w:val="single" w:sz="8" w:space="0" w:color="auto"/>
            </w:tcBorders>
            <w:shd w:val="clear" w:color="auto" w:fill="C6D9F1" w:themeFill="text2" w:themeFillTint="33"/>
            <w:noWrap/>
            <w:vAlign w:val="bottom"/>
            <w:hideMark/>
          </w:tcPr>
          <w:p w:rsidR="00CA682E" w:rsidRPr="00CA682E" w:rsidRDefault="00CA682E" w:rsidP="00CA682E">
            <w:pPr>
              <w:spacing w:before="40" w:after="40"/>
              <w:jc w:val="center"/>
              <w:rPr>
                <w:rFonts w:eastAsia="Times New Roman"/>
                <w:b/>
                <w:bCs/>
                <w:color w:val="000000" w:themeColor="text1"/>
                <w:sz w:val="16"/>
                <w:szCs w:val="16"/>
                <w:lang w:eastAsia="en-US"/>
              </w:rPr>
            </w:pPr>
            <w:r w:rsidRPr="00CA682E">
              <w:rPr>
                <w:rFonts w:eastAsia="Times New Roman"/>
                <w:b/>
                <w:bCs/>
                <w:color w:val="000000" w:themeColor="text1"/>
                <w:sz w:val="16"/>
                <w:szCs w:val="16"/>
                <w:lang w:eastAsia="en-US"/>
              </w:rPr>
              <w:t>T4</w:t>
            </w:r>
          </w:p>
        </w:tc>
      </w:tr>
      <w:tr w:rsidR="00CA682E" w:rsidRPr="00CA682E" w:rsidTr="007B1DE4">
        <w:trPr>
          <w:trHeight w:val="416"/>
          <w:jc w:val="center"/>
        </w:trPr>
        <w:tc>
          <w:tcPr>
            <w:tcW w:w="3782" w:type="dxa"/>
            <w:tcBorders>
              <w:top w:val="nil"/>
              <w:left w:val="single" w:sz="8" w:space="0" w:color="auto"/>
              <w:bottom w:val="single" w:sz="4" w:space="0" w:color="auto"/>
              <w:right w:val="single" w:sz="8" w:space="0" w:color="auto"/>
            </w:tcBorders>
            <w:shd w:val="clear" w:color="auto" w:fill="auto"/>
            <w:noWrap/>
            <w:vAlign w:val="center"/>
            <w:hideMark/>
          </w:tcPr>
          <w:p w:rsidR="00CA682E" w:rsidRPr="00CA682E" w:rsidRDefault="00CA682E" w:rsidP="00CA682E">
            <w:pPr>
              <w:spacing w:before="40" w:after="40"/>
              <w:rPr>
                <w:rFonts w:eastAsia="Times New Roman"/>
                <w:color w:val="000000" w:themeColor="text1"/>
                <w:sz w:val="16"/>
                <w:szCs w:val="16"/>
                <w:lang w:eastAsia="en-US"/>
              </w:rPr>
            </w:pPr>
            <w:r w:rsidRPr="00CA682E">
              <w:rPr>
                <w:rFonts w:eastAsia="Times New Roman"/>
                <w:color w:val="000000" w:themeColor="text1"/>
                <w:sz w:val="16"/>
                <w:szCs w:val="16"/>
                <w:lang w:eastAsia="en-US"/>
              </w:rPr>
              <w:t>Adjudicación del contrato al ingeniero de fachadas</w:t>
            </w:r>
          </w:p>
        </w:tc>
        <w:tc>
          <w:tcPr>
            <w:tcW w:w="409" w:type="dxa"/>
            <w:tcBorders>
              <w:top w:val="nil"/>
              <w:left w:val="nil"/>
              <w:bottom w:val="single" w:sz="4" w:space="0" w:color="auto"/>
              <w:right w:val="single" w:sz="4" w:space="0" w:color="auto"/>
            </w:tcBorders>
            <w:vAlign w:val="center"/>
          </w:tcPr>
          <w:p w:rsidR="00CA682E" w:rsidRPr="00CA682E" w:rsidRDefault="00CA682E" w:rsidP="00CA682E">
            <w:pPr>
              <w:spacing w:before="40" w:after="40"/>
              <w:rPr>
                <w:rFonts w:eastAsia="Times New Roman"/>
                <w:color w:val="000000" w:themeColor="text1"/>
                <w:sz w:val="16"/>
                <w:szCs w:val="16"/>
                <w:lang w:eastAsia="en-US"/>
              </w:rPr>
            </w:pPr>
          </w:p>
        </w:tc>
        <w:tc>
          <w:tcPr>
            <w:tcW w:w="409" w:type="dxa"/>
            <w:tcBorders>
              <w:top w:val="nil"/>
              <w:left w:val="nil"/>
              <w:bottom w:val="single" w:sz="4" w:space="0" w:color="auto"/>
              <w:right w:val="single" w:sz="4" w:space="0" w:color="auto"/>
            </w:tcBorders>
            <w:vAlign w:val="center"/>
          </w:tcPr>
          <w:p w:rsidR="00CA682E" w:rsidRPr="00CA682E" w:rsidRDefault="00CA682E" w:rsidP="00CA682E">
            <w:pPr>
              <w:spacing w:before="40" w:after="40"/>
              <w:rPr>
                <w:rFonts w:eastAsia="Times New Roman"/>
                <w:color w:val="000000" w:themeColor="text1"/>
                <w:sz w:val="16"/>
                <w:szCs w:val="16"/>
                <w:lang w:eastAsia="en-US"/>
              </w:rPr>
            </w:pPr>
          </w:p>
        </w:tc>
        <w:tc>
          <w:tcPr>
            <w:tcW w:w="409" w:type="dxa"/>
            <w:tcBorders>
              <w:top w:val="nil"/>
              <w:left w:val="nil"/>
              <w:bottom w:val="single" w:sz="4" w:space="0" w:color="auto"/>
              <w:right w:val="single" w:sz="4" w:space="0" w:color="auto"/>
            </w:tcBorders>
            <w:vAlign w:val="center"/>
          </w:tcPr>
          <w:p w:rsidR="00CA682E" w:rsidRPr="00CA682E" w:rsidRDefault="00CA682E" w:rsidP="00CA682E">
            <w:pPr>
              <w:spacing w:before="40" w:after="40"/>
              <w:jc w:val="center"/>
              <w:rPr>
                <w:rFonts w:eastAsia="Times New Roman"/>
                <w:color w:val="000000" w:themeColor="text1"/>
                <w:sz w:val="16"/>
                <w:szCs w:val="16"/>
                <w:lang w:eastAsia="en-US"/>
              </w:rPr>
            </w:pPr>
            <w:r w:rsidRPr="00CA682E">
              <w:rPr>
                <w:rFonts w:eastAsia="Times New Roman"/>
                <w:color w:val="000000" w:themeColor="text1"/>
                <w:sz w:val="16"/>
                <w:szCs w:val="16"/>
                <w:lang w:eastAsia="en-US"/>
              </w:rPr>
              <w:t>X</w:t>
            </w:r>
          </w:p>
        </w:tc>
        <w:tc>
          <w:tcPr>
            <w:tcW w:w="409" w:type="dxa"/>
            <w:tcBorders>
              <w:top w:val="nil"/>
              <w:left w:val="nil"/>
              <w:bottom w:val="single" w:sz="4" w:space="0" w:color="auto"/>
              <w:right w:val="single" w:sz="4" w:space="0" w:color="auto"/>
            </w:tcBorders>
            <w:vAlign w:val="center"/>
          </w:tcPr>
          <w:p w:rsidR="00CA682E" w:rsidRPr="00CA682E" w:rsidRDefault="00CA682E" w:rsidP="00CA682E">
            <w:pPr>
              <w:spacing w:before="40" w:after="40"/>
              <w:jc w:val="center"/>
              <w:rPr>
                <w:rFonts w:eastAsia="Times New Roman"/>
                <w:color w:val="000000" w:themeColor="text1"/>
                <w:sz w:val="16"/>
                <w:szCs w:val="16"/>
                <w:lang w:eastAsia="en-US"/>
              </w:rPr>
            </w:pPr>
            <w:r w:rsidRPr="00CA682E">
              <w:rPr>
                <w:rFonts w:eastAsia="Times New Roman"/>
                <w:color w:val="000000" w:themeColor="text1"/>
                <w:sz w:val="16"/>
                <w:szCs w:val="16"/>
                <w:lang w:eastAsia="en-US"/>
              </w:rPr>
              <w:t>X</w:t>
            </w:r>
          </w:p>
        </w:tc>
        <w:tc>
          <w:tcPr>
            <w:tcW w:w="409" w:type="dxa"/>
            <w:tcBorders>
              <w:top w:val="nil"/>
              <w:left w:val="single" w:sz="4" w:space="0" w:color="auto"/>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p>
        </w:tc>
        <w:tc>
          <w:tcPr>
            <w:tcW w:w="409"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p>
        </w:tc>
        <w:tc>
          <w:tcPr>
            <w:tcW w:w="409" w:type="dxa"/>
            <w:tcBorders>
              <w:top w:val="nil"/>
              <w:left w:val="nil"/>
              <w:bottom w:val="single" w:sz="4" w:space="0" w:color="auto"/>
              <w:right w:val="single" w:sz="4" w:space="0" w:color="auto"/>
            </w:tcBorders>
            <w:shd w:val="clear" w:color="auto" w:fill="auto"/>
            <w:noWrap/>
            <w:vAlign w:val="center"/>
          </w:tcPr>
          <w:p w:rsidR="00CA682E" w:rsidRPr="00CA682E" w:rsidRDefault="00CA682E" w:rsidP="00CA682E">
            <w:pPr>
              <w:spacing w:before="40" w:after="40"/>
              <w:jc w:val="center"/>
              <w:rPr>
                <w:rFonts w:eastAsia="Times New Roman"/>
                <w:color w:val="000000" w:themeColor="text1"/>
                <w:sz w:val="16"/>
                <w:szCs w:val="16"/>
                <w:lang w:eastAsia="en-US"/>
              </w:rPr>
            </w:pPr>
          </w:p>
        </w:tc>
        <w:tc>
          <w:tcPr>
            <w:tcW w:w="409" w:type="dxa"/>
            <w:tcBorders>
              <w:top w:val="nil"/>
              <w:left w:val="nil"/>
              <w:bottom w:val="single" w:sz="4" w:space="0" w:color="auto"/>
              <w:right w:val="single" w:sz="8" w:space="0" w:color="auto"/>
            </w:tcBorders>
            <w:shd w:val="clear" w:color="auto" w:fill="auto"/>
            <w:noWrap/>
            <w:vAlign w:val="center"/>
          </w:tcPr>
          <w:p w:rsidR="00CA682E" w:rsidRPr="00CA682E" w:rsidRDefault="00CA682E" w:rsidP="00CA682E">
            <w:pPr>
              <w:spacing w:before="40" w:after="40"/>
              <w:jc w:val="center"/>
              <w:rPr>
                <w:rFonts w:eastAsia="Times New Roman"/>
                <w:color w:val="000000" w:themeColor="text1"/>
                <w:sz w:val="16"/>
                <w:szCs w:val="16"/>
                <w:lang w:eastAsia="en-US"/>
              </w:rPr>
            </w:pPr>
          </w:p>
        </w:tc>
        <w:tc>
          <w:tcPr>
            <w:tcW w:w="409"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p>
        </w:tc>
        <w:tc>
          <w:tcPr>
            <w:tcW w:w="409"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p>
        </w:tc>
        <w:tc>
          <w:tcPr>
            <w:tcW w:w="409"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p>
        </w:tc>
        <w:tc>
          <w:tcPr>
            <w:tcW w:w="409" w:type="dxa"/>
            <w:tcBorders>
              <w:top w:val="nil"/>
              <w:left w:val="nil"/>
              <w:bottom w:val="single" w:sz="4" w:space="0" w:color="auto"/>
              <w:right w:val="single" w:sz="8" w:space="0" w:color="auto"/>
            </w:tcBorders>
            <w:shd w:val="clear" w:color="auto" w:fill="auto"/>
            <w:noWrap/>
            <w:vAlign w:val="bottom"/>
            <w:hideMark/>
          </w:tcPr>
          <w:p w:rsidR="00CA682E" w:rsidRPr="00CA682E" w:rsidRDefault="00CA682E" w:rsidP="00CA682E">
            <w:pPr>
              <w:spacing w:before="40" w:after="40"/>
              <w:rPr>
                <w:rFonts w:eastAsia="Times New Roman"/>
                <w:color w:val="000000" w:themeColor="text1"/>
                <w:sz w:val="16"/>
                <w:szCs w:val="16"/>
                <w:lang w:eastAsia="en-US"/>
              </w:rPr>
            </w:pPr>
            <w:r w:rsidRPr="00CA682E">
              <w:rPr>
                <w:rFonts w:eastAsia="Times New Roman"/>
                <w:color w:val="000000" w:themeColor="text1"/>
                <w:sz w:val="16"/>
                <w:szCs w:val="16"/>
                <w:lang w:eastAsia="en-US"/>
              </w:rPr>
              <w:t> </w:t>
            </w:r>
          </w:p>
        </w:tc>
      </w:tr>
      <w:tr w:rsidR="00CA682E" w:rsidRPr="00CA682E" w:rsidTr="007B1DE4">
        <w:trPr>
          <w:trHeight w:val="416"/>
          <w:jc w:val="center"/>
        </w:trPr>
        <w:tc>
          <w:tcPr>
            <w:tcW w:w="3782" w:type="dxa"/>
            <w:tcBorders>
              <w:top w:val="nil"/>
              <w:left w:val="single" w:sz="8" w:space="0" w:color="auto"/>
              <w:bottom w:val="single" w:sz="4" w:space="0" w:color="auto"/>
              <w:right w:val="single" w:sz="8" w:space="0" w:color="auto"/>
            </w:tcBorders>
            <w:shd w:val="clear" w:color="auto" w:fill="auto"/>
            <w:noWrap/>
            <w:vAlign w:val="center"/>
            <w:hideMark/>
          </w:tcPr>
          <w:p w:rsidR="00CA682E" w:rsidRPr="00CA682E" w:rsidRDefault="00CA682E" w:rsidP="00CA682E">
            <w:pPr>
              <w:spacing w:before="40" w:after="40"/>
              <w:rPr>
                <w:rFonts w:eastAsia="Times New Roman"/>
                <w:color w:val="000000" w:themeColor="text1"/>
                <w:sz w:val="16"/>
                <w:szCs w:val="16"/>
                <w:lang w:eastAsia="en-US"/>
              </w:rPr>
            </w:pPr>
            <w:r w:rsidRPr="00CA682E">
              <w:rPr>
                <w:rFonts w:eastAsia="Times New Roman"/>
                <w:color w:val="000000" w:themeColor="text1"/>
                <w:sz w:val="16"/>
                <w:szCs w:val="16"/>
                <w:lang w:eastAsia="en-US"/>
              </w:rPr>
              <w:t xml:space="preserve">Desarrollo y validación del proyecto con el ingeniero de fachadas </w:t>
            </w:r>
          </w:p>
        </w:tc>
        <w:tc>
          <w:tcPr>
            <w:tcW w:w="409" w:type="dxa"/>
            <w:tcBorders>
              <w:top w:val="nil"/>
              <w:left w:val="nil"/>
              <w:bottom w:val="single" w:sz="4" w:space="0" w:color="auto"/>
              <w:right w:val="single" w:sz="4" w:space="0" w:color="auto"/>
            </w:tcBorders>
            <w:vAlign w:val="center"/>
          </w:tcPr>
          <w:p w:rsidR="00CA682E" w:rsidRPr="00CA682E" w:rsidRDefault="00CA682E" w:rsidP="00CA682E">
            <w:pPr>
              <w:spacing w:before="40" w:after="40"/>
              <w:rPr>
                <w:rFonts w:eastAsia="Times New Roman"/>
                <w:color w:val="000000" w:themeColor="text1"/>
                <w:sz w:val="16"/>
                <w:szCs w:val="16"/>
                <w:lang w:eastAsia="en-US"/>
              </w:rPr>
            </w:pPr>
          </w:p>
        </w:tc>
        <w:tc>
          <w:tcPr>
            <w:tcW w:w="409" w:type="dxa"/>
            <w:tcBorders>
              <w:top w:val="nil"/>
              <w:left w:val="nil"/>
              <w:bottom w:val="single" w:sz="4" w:space="0" w:color="auto"/>
              <w:right w:val="single" w:sz="4" w:space="0" w:color="auto"/>
            </w:tcBorders>
            <w:vAlign w:val="center"/>
          </w:tcPr>
          <w:p w:rsidR="00CA682E" w:rsidRPr="00CA682E" w:rsidRDefault="00CA682E" w:rsidP="00CA682E">
            <w:pPr>
              <w:spacing w:before="40" w:after="40"/>
              <w:rPr>
                <w:rFonts w:eastAsia="Times New Roman"/>
                <w:color w:val="000000" w:themeColor="text1"/>
                <w:sz w:val="16"/>
                <w:szCs w:val="16"/>
                <w:lang w:eastAsia="en-US"/>
              </w:rPr>
            </w:pPr>
          </w:p>
        </w:tc>
        <w:tc>
          <w:tcPr>
            <w:tcW w:w="409" w:type="dxa"/>
            <w:tcBorders>
              <w:top w:val="nil"/>
              <w:left w:val="nil"/>
              <w:bottom w:val="single" w:sz="4" w:space="0" w:color="auto"/>
              <w:right w:val="single" w:sz="4" w:space="0" w:color="auto"/>
            </w:tcBorders>
            <w:vAlign w:val="center"/>
          </w:tcPr>
          <w:p w:rsidR="00CA682E" w:rsidRPr="00CA682E" w:rsidRDefault="00CA682E" w:rsidP="00CA682E">
            <w:pPr>
              <w:spacing w:before="40" w:after="40"/>
              <w:jc w:val="center"/>
              <w:rPr>
                <w:rFonts w:eastAsia="Times New Roman"/>
                <w:color w:val="000000" w:themeColor="text1"/>
                <w:sz w:val="16"/>
                <w:szCs w:val="16"/>
                <w:lang w:eastAsia="en-US"/>
              </w:rPr>
            </w:pPr>
          </w:p>
        </w:tc>
        <w:tc>
          <w:tcPr>
            <w:tcW w:w="409" w:type="dxa"/>
            <w:tcBorders>
              <w:top w:val="nil"/>
              <w:left w:val="nil"/>
              <w:bottom w:val="single" w:sz="4" w:space="0" w:color="auto"/>
              <w:right w:val="single" w:sz="4" w:space="0" w:color="auto"/>
            </w:tcBorders>
            <w:vAlign w:val="center"/>
          </w:tcPr>
          <w:p w:rsidR="00CA682E" w:rsidRPr="00CA682E" w:rsidRDefault="00CA682E" w:rsidP="00CA682E">
            <w:pPr>
              <w:spacing w:before="40" w:after="40"/>
              <w:jc w:val="center"/>
              <w:rPr>
                <w:rFonts w:eastAsia="Times New Roman"/>
                <w:color w:val="000000" w:themeColor="text1"/>
                <w:sz w:val="16"/>
                <w:szCs w:val="16"/>
                <w:lang w:eastAsia="en-US"/>
              </w:rPr>
            </w:pPr>
          </w:p>
        </w:tc>
        <w:tc>
          <w:tcPr>
            <w:tcW w:w="409" w:type="dxa"/>
            <w:tcBorders>
              <w:top w:val="nil"/>
              <w:left w:val="single" w:sz="4" w:space="0" w:color="auto"/>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r w:rsidRPr="00CA682E">
              <w:rPr>
                <w:rFonts w:eastAsia="Times New Roman"/>
                <w:color w:val="000000" w:themeColor="text1"/>
                <w:sz w:val="16"/>
                <w:szCs w:val="16"/>
                <w:lang w:eastAsia="en-US"/>
              </w:rPr>
              <w:t>X</w:t>
            </w:r>
          </w:p>
        </w:tc>
        <w:tc>
          <w:tcPr>
            <w:tcW w:w="409"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p>
        </w:tc>
        <w:tc>
          <w:tcPr>
            <w:tcW w:w="409"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p>
        </w:tc>
        <w:tc>
          <w:tcPr>
            <w:tcW w:w="409" w:type="dxa"/>
            <w:tcBorders>
              <w:top w:val="nil"/>
              <w:left w:val="nil"/>
              <w:bottom w:val="single" w:sz="4" w:space="0" w:color="auto"/>
              <w:right w:val="single" w:sz="8"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p>
        </w:tc>
        <w:tc>
          <w:tcPr>
            <w:tcW w:w="409" w:type="dxa"/>
            <w:tcBorders>
              <w:top w:val="nil"/>
              <w:left w:val="nil"/>
              <w:bottom w:val="single" w:sz="4" w:space="0" w:color="auto"/>
              <w:right w:val="single" w:sz="4" w:space="0" w:color="auto"/>
            </w:tcBorders>
            <w:shd w:val="clear" w:color="auto" w:fill="auto"/>
            <w:noWrap/>
            <w:vAlign w:val="center"/>
          </w:tcPr>
          <w:p w:rsidR="00CA682E" w:rsidRPr="00CA682E" w:rsidRDefault="00CA682E" w:rsidP="00CA682E">
            <w:pPr>
              <w:spacing w:before="40" w:after="40"/>
              <w:jc w:val="center"/>
              <w:rPr>
                <w:rFonts w:eastAsia="Times New Roman"/>
                <w:color w:val="000000" w:themeColor="text1"/>
                <w:sz w:val="16"/>
                <w:szCs w:val="16"/>
                <w:lang w:eastAsia="en-US"/>
              </w:rPr>
            </w:pPr>
          </w:p>
        </w:tc>
        <w:tc>
          <w:tcPr>
            <w:tcW w:w="409"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p>
        </w:tc>
        <w:tc>
          <w:tcPr>
            <w:tcW w:w="409"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p>
        </w:tc>
        <w:tc>
          <w:tcPr>
            <w:tcW w:w="409" w:type="dxa"/>
            <w:tcBorders>
              <w:top w:val="nil"/>
              <w:left w:val="nil"/>
              <w:bottom w:val="single" w:sz="4" w:space="0" w:color="auto"/>
              <w:right w:val="single" w:sz="8" w:space="0" w:color="auto"/>
            </w:tcBorders>
            <w:shd w:val="clear" w:color="auto" w:fill="auto"/>
            <w:noWrap/>
            <w:vAlign w:val="bottom"/>
            <w:hideMark/>
          </w:tcPr>
          <w:p w:rsidR="00CA682E" w:rsidRPr="00CA682E" w:rsidRDefault="00CA682E" w:rsidP="00CA682E">
            <w:pPr>
              <w:spacing w:before="40" w:after="40"/>
              <w:rPr>
                <w:rFonts w:eastAsia="Times New Roman"/>
                <w:color w:val="000000" w:themeColor="text1"/>
                <w:sz w:val="16"/>
                <w:szCs w:val="16"/>
                <w:lang w:eastAsia="en-US"/>
              </w:rPr>
            </w:pPr>
            <w:r w:rsidRPr="00CA682E">
              <w:rPr>
                <w:rFonts w:eastAsia="Times New Roman"/>
                <w:color w:val="000000" w:themeColor="text1"/>
                <w:sz w:val="16"/>
                <w:szCs w:val="16"/>
                <w:lang w:eastAsia="en-US"/>
              </w:rPr>
              <w:t> </w:t>
            </w:r>
          </w:p>
        </w:tc>
      </w:tr>
      <w:tr w:rsidR="00CA682E" w:rsidRPr="00CA682E" w:rsidTr="007B1DE4">
        <w:trPr>
          <w:trHeight w:val="416"/>
          <w:jc w:val="center"/>
        </w:trPr>
        <w:tc>
          <w:tcPr>
            <w:tcW w:w="3782" w:type="dxa"/>
            <w:tcBorders>
              <w:top w:val="nil"/>
              <w:left w:val="single" w:sz="8" w:space="0" w:color="auto"/>
              <w:bottom w:val="single" w:sz="4" w:space="0" w:color="auto"/>
              <w:right w:val="single" w:sz="8" w:space="0" w:color="auto"/>
            </w:tcBorders>
            <w:shd w:val="clear" w:color="auto" w:fill="auto"/>
            <w:noWrap/>
            <w:vAlign w:val="center"/>
            <w:hideMark/>
          </w:tcPr>
          <w:p w:rsidR="00CA682E" w:rsidRPr="00CA682E" w:rsidRDefault="00CA682E" w:rsidP="00CA682E">
            <w:pPr>
              <w:spacing w:before="40" w:after="40"/>
              <w:rPr>
                <w:rFonts w:eastAsia="Times New Roman"/>
                <w:color w:val="000000" w:themeColor="text1"/>
                <w:sz w:val="16"/>
                <w:szCs w:val="16"/>
                <w:lang w:eastAsia="en-US"/>
              </w:rPr>
            </w:pPr>
            <w:r w:rsidRPr="00CA682E">
              <w:rPr>
                <w:rFonts w:eastAsia="Times New Roman"/>
                <w:color w:val="000000" w:themeColor="text1"/>
                <w:sz w:val="16"/>
                <w:szCs w:val="16"/>
                <w:lang w:eastAsia="en-US"/>
              </w:rPr>
              <w:t>Llamado a presentar ofertas y selección de empresas</w:t>
            </w:r>
          </w:p>
        </w:tc>
        <w:tc>
          <w:tcPr>
            <w:tcW w:w="409" w:type="dxa"/>
            <w:tcBorders>
              <w:top w:val="nil"/>
              <w:left w:val="nil"/>
              <w:bottom w:val="single" w:sz="4" w:space="0" w:color="auto"/>
              <w:right w:val="single" w:sz="4" w:space="0" w:color="auto"/>
            </w:tcBorders>
            <w:vAlign w:val="center"/>
          </w:tcPr>
          <w:p w:rsidR="00CA682E" w:rsidRPr="00CA682E" w:rsidRDefault="00CA682E" w:rsidP="00CA682E">
            <w:pPr>
              <w:spacing w:before="40" w:after="40"/>
              <w:rPr>
                <w:rFonts w:eastAsia="Times New Roman"/>
                <w:color w:val="000000" w:themeColor="text1"/>
                <w:sz w:val="16"/>
                <w:szCs w:val="16"/>
                <w:lang w:eastAsia="en-US"/>
              </w:rPr>
            </w:pPr>
          </w:p>
        </w:tc>
        <w:tc>
          <w:tcPr>
            <w:tcW w:w="409" w:type="dxa"/>
            <w:tcBorders>
              <w:top w:val="nil"/>
              <w:left w:val="nil"/>
              <w:bottom w:val="single" w:sz="4" w:space="0" w:color="auto"/>
              <w:right w:val="single" w:sz="4" w:space="0" w:color="auto"/>
            </w:tcBorders>
            <w:vAlign w:val="center"/>
          </w:tcPr>
          <w:p w:rsidR="00CA682E" w:rsidRPr="00CA682E" w:rsidRDefault="00CA682E" w:rsidP="00CA682E">
            <w:pPr>
              <w:spacing w:before="40" w:after="40"/>
              <w:rPr>
                <w:rFonts w:eastAsia="Times New Roman"/>
                <w:color w:val="000000" w:themeColor="text1"/>
                <w:sz w:val="16"/>
                <w:szCs w:val="16"/>
                <w:lang w:eastAsia="en-US"/>
              </w:rPr>
            </w:pPr>
          </w:p>
        </w:tc>
        <w:tc>
          <w:tcPr>
            <w:tcW w:w="409" w:type="dxa"/>
            <w:tcBorders>
              <w:top w:val="nil"/>
              <w:left w:val="nil"/>
              <w:bottom w:val="single" w:sz="4" w:space="0" w:color="auto"/>
              <w:right w:val="single" w:sz="4" w:space="0" w:color="auto"/>
            </w:tcBorders>
            <w:vAlign w:val="center"/>
          </w:tcPr>
          <w:p w:rsidR="00CA682E" w:rsidRPr="00CA682E" w:rsidRDefault="00CA682E" w:rsidP="00CA682E">
            <w:pPr>
              <w:spacing w:before="40" w:after="40"/>
              <w:jc w:val="center"/>
              <w:rPr>
                <w:rFonts w:eastAsia="Times New Roman"/>
                <w:color w:val="000000" w:themeColor="text1"/>
                <w:sz w:val="16"/>
                <w:szCs w:val="16"/>
                <w:lang w:eastAsia="en-US"/>
              </w:rPr>
            </w:pPr>
          </w:p>
        </w:tc>
        <w:tc>
          <w:tcPr>
            <w:tcW w:w="409" w:type="dxa"/>
            <w:tcBorders>
              <w:top w:val="nil"/>
              <w:left w:val="nil"/>
              <w:bottom w:val="single" w:sz="4" w:space="0" w:color="auto"/>
              <w:right w:val="single" w:sz="4" w:space="0" w:color="auto"/>
            </w:tcBorders>
            <w:vAlign w:val="center"/>
          </w:tcPr>
          <w:p w:rsidR="00CA682E" w:rsidRPr="00CA682E" w:rsidRDefault="00CA682E" w:rsidP="00CA682E">
            <w:pPr>
              <w:spacing w:before="40" w:after="40"/>
              <w:jc w:val="center"/>
              <w:rPr>
                <w:rFonts w:eastAsia="Times New Roman"/>
                <w:color w:val="000000" w:themeColor="text1"/>
                <w:sz w:val="16"/>
                <w:szCs w:val="16"/>
                <w:lang w:eastAsia="en-US"/>
              </w:rPr>
            </w:pPr>
          </w:p>
        </w:tc>
        <w:tc>
          <w:tcPr>
            <w:tcW w:w="409" w:type="dxa"/>
            <w:tcBorders>
              <w:top w:val="nil"/>
              <w:left w:val="single" w:sz="4" w:space="0" w:color="auto"/>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p>
        </w:tc>
        <w:tc>
          <w:tcPr>
            <w:tcW w:w="409"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r w:rsidRPr="00CA682E">
              <w:rPr>
                <w:rFonts w:eastAsia="Times New Roman"/>
                <w:color w:val="000000" w:themeColor="text1"/>
                <w:sz w:val="16"/>
                <w:szCs w:val="16"/>
                <w:lang w:eastAsia="en-US"/>
              </w:rPr>
              <w:t>X</w:t>
            </w:r>
          </w:p>
        </w:tc>
        <w:tc>
          <w:tcPr>
            <w:tcW w:w="409"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p>
        </w:tc>
        <w:tc>
          <w:tcPr>
            <w:tcW w:w="409" w:type="dxa"/>
            <w:tcBorders>
              <w:top w:val="nil"/>
              <w:left w:val="nil"/>
              <w:bottom w:val="single" w:sz="4" w:space="0" w:color="auto"/>
              <w:right w:val="single" w:sz="8"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p>
        </w:tc>
        <w:tc>
          <w:tcPr>
            <w:tcW w:w="409"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p>
        </w:tc>
        <w:tc>
          <w:tcPr>
            <w:tcW w:w="409"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p>
        </w:tc>
        <w:tc>
          <w:tcPr>
            <w:tcW w:w="409"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p>
        </w:tc>
        <w:tc>
          <w:tcPr>
            <w:tcW w:w="409" w:type="dxa"/>
            <w:tcBorders>
              <w:top w:val="nil"/>
              <w:left w:val="nil"/>
              <w:bottom w:val="single" w:sz="4" w:space="0" w:color="auto"/>
              <w:right w:val="single" w:sz="8" w:space="0" w:color="auto"/>
            </w:tcBorders>
            <w:shd w:val="clear" w:color="auto" w:fill="auto"/>
            <w:noWrap/>
            <w:vAlign w:val="bottom"/>
            <w:hideMark/>
          </w:tcPr>
          <w:p w:rsidR="00CA682E" w:rsidRPr="00CA682E" w:rsidRDefault="00CA682E" w:rsidP="00CA682E">
            <w:pPr>
              <w:spacing w:before="40" w:after="40"/>
              <w:rPr>
                <w:rFonts w:eastAsia="Times New Roman"/>
                <w:color w:val="000000" w:themeColor="text1"/>
                <w:sz w:val="16"/>
                <w:szCs w:val="16"/>
                <w:lang w:eastAsia="en-US"/>
              </w:rPr>
            </w:pPr>
            <w:r w:rsidRPr="00CA682E">
              <w:rPr>
                <w:rFonts w:eastAsia="Times New Roman"/>
                <w:color w:val="000000" w:themeColor="text1"/>
                <w:sz w:val="16"/>
                <w:szCs w:val="16"/>
                <w:lang w:eastAsia="en-US"/>
              </w:rPr>
              <w:t> </w:t>
            </w:r>
          </w:p>
        </w:tc>
      </w:tr>
      <w:tr w:rsidR="00CA682E" w:rsidRPr="00CA682E" w:rsidTr="007B1DE4">
        <w:trPr>
          <w:trHeight w:val="416"/>
          <w:jc w:val="center"/>
        </w:trPr>
        <w:tc>
          <w:tcPr>
            <w:tcW w:w="3782" w:type="dxa"/>
            <w:tcBorders>
              <w:top w:val="nil"/>
              <w:left w:val="single" w:sz="8" w:space="0" w:color="auto"/>
              <w:bottom w:val="single" w:sz="4" w:space="0" w:color="auto"/>
              <w:right w:val="single" w:sz="8" w:space="0" w:color="auto"/>
            </w:tcBorders>
            <w:shd w:val="clear" w:color="auto" w:fill="auto"/>
            <w:noWrap/>
            <w:vAlign w:val="center"/>
          </w:tcPr>
          <w:p w:rsidR="00CA682E" w:rsidRPr="00CA682E" w:rsidRDefault="00CA682E" w:rsidP="00CA682E">
            <w:pPr>
              <w:spacing w:before="40" w:after="40"/>
              <w:rPr>
                <w:rFonts w:eastAsia="Times New Roman"/>
                <w:color w:val="000000" w:themeColor="text1"/>
                <w:sz w:val="16"/>
                <w:szCs w:val="16"/>
                <w:lang w:eastAsia="en-US"/>
              </w:rPr>
            </w:pPr>
            <w:r w:rsidRPr="00CA682E">
              <w:rPr>
                <w:rFonts w:eastAsia="Times New Roman"/>
                <w:color w:val="000000" w:themeColor="text1"/>
                <w:sz w:val="16"/>
                <w:szCs w:val="16"/>
                <w:lang w:eastAsia="en-US"/>
              </w:rPr>
              <w:t>Ejecución y puesta en servicio de las obras</w:t>
            </w:r>
          </w:p>
        </w:tc>
        <w:tc>
          <w:tcPr>
            <w:tcW w:w="409" w:type="dxa"/>
            <w:tcBorders>
              <w:top w:val="nil"/>
              <w:left w:val="nil"/>
              <w:bottom w:val="single" w:sz="4" w:space="0" w:color="auto"/>
              <w:right w:val="single" w:sz="4" w:space="0" w:color="auto"/>
            </w:tcBorders>
            <w:vAlign w:val="center"/>
          </w:tcPr>
          <w:p w:rsidR="00CA682E" w:rsidRPr="00CA682E" w:rsidRDefault="00CA682E" w:rsidP="00CA682E">
            <w:pPr>
              <w:spacing w:before="40" w:after="40"/>
              <w:rPr>
                <w:rFonts w:eastAsia="Times New Roman"/>
                <w:color w:val="000000" w:themeColor="text1"/>
                <w:sz w:val="16"/>
                <w:szCs w:val="16"/>
                <w:lang w:eastAsia="en-US"/>
              </w:rPr>
            </w:pPr>
          </w:p>
        </w:tc>
        <w:tc>
          <w:tcPr>
            <w:tcW w:w="409" w:type="dxa"/>
            <w:tcBorders>
              <w:top w:val="nil"/>
              <w:left w:val="nil"/>
              <w:bottom w:val="single" w:sz="4" w:space="0" w:color="auto"/>
              <w:right w:val="single" w:sz="4" w:space="0" w:color="auto"/>
            </w:tcBorders>
            <w:vAlign w:val="center"/>
          </w:tcPr>
          <w:p w:rsidR="00CA682E" w:rsidRPr="00CA682E" w:rsidRDefault="00CA682E" w:rsidP="00CA682E">
            <w:pPr>
              <w:spacing w:before="40" w:after="40"/>
              <w:rPr>
                <w:rFonts w:eastAsia="Times New Roman"/>
                <w:color w:val="000000" w:themeColor="text1"/>
                <w:sz w:val="16"/>
                <w:szCs w:val="16"/>
                <w:lang w:eastAsia="en-US"/>
              </w:rPr>
            </w:pPr>
          </w:p>
        </w:tc>
        <w:tc>
          <w:tcPr>
            <w:tcW w:w="409" w:type="dxa"/>
            <w:tcBorders>
              <w:top w:val="nil"/>
              <w:left w:val="nil"/>
              <w:bottom w:val="single" w:sz="4" w:space="0" w:color="auto"/>
              <w:right w:val="single" w:sz="4" w:space="0" w:color="auto"/>
            </w:tcBorders>
            <w:vAlign w:val="center"/>
          </w:tcPr>
          <w:p w:rsidR="00CA682E" w:rsidRPr="00CA682E" w:rsidRDefault="00CA682E" w:rsidP="00CA682E">
            <w:pPr>
              <w:spacing w:before="40" w:after="40"/>
              <w:jc w:val="center"/>
              <w:rPr>
                <w:rFonts w:eastAsia="Times New Roman"/>
                <w:color w:val="000000" w:themeColor="text1"/>
                <w:sz w:val="16"/>
                <w:szCs w:val="16"/>
                <w:lang w:eastAsia="en-US"/>
              </w:rPr>
            </w:pPr>
          </w:p>
        </w:tc>
        <w:tc>
          <w:tcPr>
            <w:tcW w:w="409" w:type="dxa"/>
            <w:tcBorders>
              <w:top w:val="nil"/>
              <w:left w:val="nil"/>
              <w:bottom w:val="single" w:sz="4" w:space="0" w:color="auto"/>
              <w:right w:val="single" w:sz="4" w:space="0" w:color="auto"/>
            </w:tcBorders>
            <w:vAlign w:val="center"/>
          </w:tcPr>
          <w:p w:rsidR="00CA682E" w:rsidRPr="00CA682E" w:rsidRDefault="00CA682E" w:rsidP="00CA682E">
            <w:pPr>
              <w:spacing w:before="40" w:after="40"/>
              <w:jc w:val="center"/>
              <w:rPr>
                <w:rFonts w:eastAsia="Times New Roman"/>
                <w:color w:val="000000" w:themeColor="text1"/>
                <w:sz w:val="16"/>
                <w:szCs w:val="16"/>
                <w:lang w:eastAsia="en-US"/>
              </w:rPr>
            </w:pPr>
          </w:p>
        </w:tc>
        <w:tc>
          <w:tcPr>
            <w:tcW w:w="409" w:type="dxa"/>
            <w:tcBorders>
              <w:top w:val="nil"/>
              <w:left w:val="single" w:sz="4" w:space="0" w:color="auto"/>
              <w:bottom w:val="single" w:sz="4" w:space="0" w:color="auto"/>
              <w:right w:val="single" w:sz="4" w:space="0" w:color="auto"/>
            </w:tcBorders>
            <w:shd w:val="clear" w:color="auto" w:fill="auto"/>
            <w:noWrap/>
            <w:vAlign w:val="center"/>
          </w:tcPr>
          <w:p w:rsidR="00CA682E" w:rsidRPr="00CA682E" w:rsidRDefault="00CA682E" w:rsidP="00CA682E">
            <w:pPr>
              <w:spacing w:before="40" w:after="40"/>
              <w:jc w:val="center"/>
              <w:rPr>
                <w:rFonts w:eastAsia="Times New Roman"/>
                <w:color w:val="000000" w:themeColor="text1"/>
                <w:sz w:val="16"/>
                <w:szCs w:val="16"/>
                <w:lang w:eastAsia="en-US"/>
              </w:rPr>
            </w:pPr>
          </w:p>
        </w:tc>
        <w:tc>
          <w:tcPr>
            <w:tcW w:w="409" w:type="dxa"/>
            <w:tcBorders>
              <w:top w:val="nil"/>
              <w:left w:val="nil"/>
              <w:bottom w:val="single" w:sz="4" w:space="0" w:color="auto"/>
              <w:right w:val="single" w:sz="4" w:space="0" w:color="auto"/>
            </w:tcBorders>
            <w:shd w:val="clear" w:color="auto" w:fill="auto"/>
            <w:noWrap/>
            <w:vAlign w:val="center"/>
          </w:tcPr>
          <w:p w:rsidR="00CA682E" w:rsidRPr="00CA682E" w:rsidRDefault="00CA682E" w:rsidP="00CA682E">
            <w:pPr>
              <w:spacing w:before="40" w:after="40"/>
              <w:jc w:val="center"/>
              <w:rPr>
                <w:rFonts w:eastAsia="Times New Roman"/>
                <w:color w:val="000000" w:themeColor="text1"/>
                <w:sz w:val="16"/>
                <w:szCs w:val="16"/>
                <w:lang w:eastAsia="en-US"/>
              </w:rPr>
            </w:pPr>
          </w:p>
        </w:tc>
        <w:tc>
          <w:tcPr>
            <w:tcW w:w="409" w:type="dxa"/>
            <w:tcBorders>
              <w:top w:val="nil"/>
              <w:left w:val="nil"/>
              <w:bottom w:val="single" w:sz="4" w:space="0" w:color="auto"/>
              <w:right w:val="single" w:sz="4" w:space="0" w:color="auto"/>
            </w:tcBorders>
            <w:shd w:val="clear" w:color="auto" w:fill="auto"/>
            <w:noWrap/>
            <w:vAlign w:val="center"/>
          </w:tcPr>
          <w:p w:rsidR="00CA682E" w:rsidRPr="00CA682E" w:rsidRDefault="00CA682E" w:rsidP="00CA682E">
            <w:pPr>
              <w:spacing w:before="40" w:after="40"/>
              <w:jc w:val="center"/>
              <w:rPr>
                <w:rFonts w:eastAsia="Times New Roman"/>
                <w:color w:val="000000" w:themeColor="text1"/>
                <w:sz w:val="16"/>
                <w:szCs w:val="16"/>
                <w:lang w:eastAsia="en-US"/>
              </w:rPr>
            </w:pPr>
            <w:r w:rsidRPr="00CA682E">
              <w:rPr>
                <w:rFonts w:eastAsia="Times New Roman"/>
                <w:color w:val="000000" w:themeColor="text1"/>
                <w:sz w:val="16"/>
                <w:szCs w:val="16"/>
                <w:lang w:eastAsia="en-US"/>
              </w:rPr>
              <w:t>X</w:t>
            </w:r>
          </w:p>
        </w:tc>
        <w:tc>
          <w:tcPr>
            <w:tcW w:w="409" w:type="dxa"/>
            <w:tcBorders>
              <w:top w:val="nil"/>
              <w:left w:val="nil"/>
              <w:bottom w:val="single" w:sz="4" w:space="0" w:color="auto"/>
              <w:right w:val="single" w:sz="8" w:space="0" w:color="auto"/>
            </w:tcBorders>
            <w:shd w:val="clear" w:color="auto" w:fill="auto"/>
            <w:noWrap/>
            <w:vAlign w:val="center"/>
          </w:tcPr>
          <w:p w:rsidR="00CA682E" w:rsidRPr="00CA682E" w:rsidRDefault="00CA682E" w:rsidP="00CA682E">
            <w:pPr>
              <w:spacing w:before="40" w:after="40"/>
              <w:jc w:val="center"/>
              <w:rPr>
                <w:rFonts w:eastAsia="Times New Roman"/>
                <w:color w:val="000000" w:themeColor="text1"/>
                <w:sz w:val="16"/>
                <w:szCs w:val="16"/>
                <w:lang w:eastAsia="en-US"/>
              </w:rPr>
            </w:pPr>
          </w:p>
        </w:tc>
        <w:tc>
          <w:tcPr>
            <w:tcW w:w="409" w:type="dxa"/>
            <w:tcBorders>
              <w:top w:val="nil"/>
              <w:left w:val="nil"/>
              <w:bottom w:val="single" w:sz="4" w:space="0" w:color="auto"/>
              <w:right w:val="single" w:sz="4" w:space="0" w:color="auto"/>
            </w:tcBorders>
            <w:shd w:val="clear" w:color="auto" w:fill="auto"/>
            <w:noWrap/>
            <w:vAlign w:val="center"/>
          </w:tcPr>
          <w:p w:rsidR="00CA682E" w:rsidRPr="00CA682E" w:rsidRDefault="00CA682E" w:rsidP="00CA682E">
            <w:pPr>
              <w:spacing w:before="40" w:after="40"/>
              <w:jc w:val="center"/>
              <w:rPr>
                <w:rFonts w:eastAsia="Times New Roman"/>
                <w:color w:val="000000" w:themeColor="text1"/>
                <w:sz w:val="16"/>
                <w:szCs w:val="16"/>
                <w:lang w:eastAsia="en-US"/>
              </w:rPr>
            </w:pPr>
          </w:p>
        </w:tc>
        <w:tc>
          <w:tcPr>
            <w:tcW w:w="409" w:type="dxa"/>
            <w:tcBorders>
              <w:top w:val="nil"/>
              <w:left w:val="nil"/>
              <w:bottom w:val="single" w:sz="4" w:space="0" w:color="auto"/>
              <w:right w:val="single" w:sz="4" w:space="0" w:color="auto"/>
            </w:tcBorders>
            <w:shd w:val="clear" w:color="auto" w:fill="auto"/>
            <w:noWrap/>
            <w:vAlign w:val="center"/>
          </w:tcPr>
          <w:p w:rsidR="00CA682E" w:rsidRPr="00CA682E" w:rsidRDefault="00CA682E" w:rsidP="00CA682E">
            <w:pPr>
              <w:spacing w:before="40" w:after="40"/>
              <w:jc w:val="center"/>
              <w:rPr>
                <w:rFonts w:eastAsia="Times New Roman"/>
                <w:color w:val="000000" w:themeColor="text1"/>
                <w:sz w:val="16"/>
                <w:szCs w:val="16"/>
                <w:lang w:eastAsia="en-US"/>
              </w:rPr>
            </w:pPr>
            <w:r w:rsidRPr="00CA682E">
              <w:rPr>
                <w:rFonts w:eastAsia="Times New Roman"/>
                <w:color w:val="000000" w:themeColor="text1"/>
                <w:sz w:val="16"/>
                <w:szCs w:val="16"/>
                <w:lang w:eastAsia="en-US"/>
              </w:rPr>
              <w:t>X</w:t>
            </w:r>
          </w:p>
        </w:tc>
        <w:tc>
          <w:tcPr>
            <w:tcW w:w="409" w:type="dxa"/>
            <w:tcBorders>
              <w:top w:val="nil"/>
              <w:left w:val="nil"/>
              <w:bottom w:val="single" w:sz="4" w:space="0" w:color="auto"/>
              <w:right w:val="single" w:sz="4" w:space="0" w:color="auto"/>
            </w:tcBorders>
            <w:shd w:val="clear" w:color="auto" w:fill="auto"/>
            <w:noWrap/>
            <w:vAlign w:val="center"/>
          </w:tcPr>
          <w:p w:rsidR="00CA682E" w:rsidRPr="00CA682E" w:rsidRDefault="00CA682E" w:rsidP="00CA682E">
            <w:pPr>
              <w:spacing w:before="40" w:after="40"/>
              <w:jc w:val="center"/>
              <w:rPr>
                <w:rFonts w:eastAsia="Times New Roman"/>
                <w:color w:val="000000" w:themeColor="text1"/>
                <w:sz w:val="16"/>
                <w:szCs w:val="16"/>
                <w:lang w:eastAsia="en-US"/>
              </w:rPr>
            </w:pPr>
          </w:p>
        </w:tc>
        <w:tc>
          <w:tcPr>
            <w:tcW w:w="409" w:type="dxa"/>
            <w:tcBorders>
              <w:top w:val="nil"/>
              <w:left w:val="nil"/>
              <w:bottom w:val="single" w:sz="4" w:space="0" w:color="auto"/>
              <w:right w:val="single" w:sz="8" w:space="0" w:color="auto"/>
            </w:tcBorders>
            <w:shd w:val="clear" w:color="auto" w:fill="auto"/>
            <w:noWrap/>
            <w:vAlign w:val="bottom"/>
          </w:tcPr>
          <w:p w:rsidR="00CA682E" w:rsidRPr="00CA682E" w:rsidRDefault="00CA682E" w:rsidP="00CA682E">
            <w:pPr>
              <w:spacing w:before="40" w:after="40"/>
              <w:rPr>
                <w:rFonts w:eastAsia="Times New Roman"/>
                <w:color w:val="000000" w:themeColor="text1"/>
                <w:sz w:val="16"/>
                <w:szCs w:val="16"/>
                <w:lang w:eastAsia="en-US"/>
              </w:rPr>
            </w:pPr>
          </w:p>
        </w:tc>
      </w:tr>
      <w:tr w:rsidR="00CA682E" w:rsidRPr="00CA682E" w:rsidTr="007B1DE4">
        <w:trPr>
          <w:trHeight w:val="416"/>
          <w:jc w:val="center"/>
        </w:trPr>
        <w:tc>
          <w:tcPr>
            <w:tcW w:w="3782" w:type="dxa"/>
            <w:tcBorders>
              <w:top w:val="nil"/>
              <w:left w:val="single" w:sz="8" w:space="0" w:color="auto"/>
              <w:bottom w:val="single" w:sz="4" w:space="0" w:color="auto"/>
              <w:right w:val="single" w:sz="8" w:space="0" w:color="auto"/>
            </w:tcBorders>
            <w:shd w:val="clear" w:color="auto" w:fill="auto"/>
            <w:noWrap/>
            <w:vAlign w:val="center"/>
            <w:hideMark/>
          </w:tcPr>
          <w:p w:rsidR="00CA682E" w:rsidRPr="00CA682E" w:rsidRDefault="00CA682E" w:rsidP="00CA682E">
            <w:pPr>
              <w:spacing w:before="40" w:after="40"/>
              <w:rPr>
                <w:rFonts w:eastAsia="Times New Roman"/>
                <w:color w:val="000000" w:themeColor="text1"/>
                <w:sz w:val="16"/>
                <w:szCs w:val="16"/>
                <w:lang w:eastAsia="en-US"/>
              </w:rPr>
            </w:pPr>
            <w:r w:rsidRPr="00CA682E">
              <w:rPr>
                <w:rFonts w:eastAsia="Times New Roman"/>
                <w:color w:val="000000" w:themeColor="text1"/>
                <w:sz w:val="16"/>
                <w:szCs w:val="16"/>
                <w:lang w:eastAsia="en-US"/>
              </w:rPr>
              <w:t xml:space="preserve">Adjudicación de contrato a expertos para que realicen estudios a fin de asesorar a la Secretaría sobre el mejor modo de proceder </w:t>
            </w:r>
          </w:p>
        </w:tc>
        <w:tc>
          <w:tcPr>
            <w:tcW w:w="409" w:type="dxa"/>
            <w:tcBorders>
              <w:top w:val="nil"/>
              <w:left w:val="nil"/>
              <w:bottom w:val="single" w:sz="4" w:space="0" w:color="auto"/>
              <w:right w:val="single" w:sz="4" w:space="0" w:color="auto"/>
            </w:tcBorders>
            <w:vAlign w:val="center"/>
          </w:tcPr>
          <w:p w:rsidR="00CA682E" w:rsidRPr="00CA682E" w:rsidRDefault="00CA682E" w:rsidP="00CA682E">
            <w:pPr>
              <w:spacing w:before="40" w:after="40"/>
              <w:rPr>
                <w:rFonts w:eastAsia="Times New Roman"/>
                <w:color w:val="000000" w:themeColor="text1"/>
                <w:sz w:val="16"/>
                <w:szCs w:val="16"/>
                <w:lang w:eastAsia="en-US"/>
              </w:rPr>
            </w:pPr>
          </w:p>
        </w:tc>
        <w:tc>
          <w:tcPr>
            <w:tcW w:w="409" w:type="dxa"/>
            <w:tcBorders>
              <w:top w:val="nil"/>
              <w:left w:val="nil"/>
              <w:bottom w:val="single" w:sz="4" w:space="0" w:color="auto"/>
              <w:right w:val="single" w:sz="4" w:space="0" w:color="auto"/>
            </w:tcBorders>
            <w:vAlign w:val="center"/>
          </w:tcPr>
          <w:p w:rsidR="00CA682E" w:rsidRPr="00CA682E" w:rsidRDefault="00CA682E" w:rsidP="00CA682E">
            <w:pPr>
              <w:spacing w:before="40" w:after="40"/>
              <w:rPr>
                <w:rFonts w:eastAsia="Times New Roman"/>
                <w:color w:val="000000" w:themeColor="text1"/>
                <w:sz w:val="16"/>
                <w:szCs w:val="16"/>
                <w:lang w:eastAsia="en-US"/>
              </w:rPr>
            </w:pPr>
          </w:p>
        </w:tc>
        <w:tc>
          <w:tcPr>
            <w:tcW w:w="409" w:type="dxa"/>
            <w:tcBorders>
              <w:top w:val="nil"/>
              <w:left w:val="nil"/>
              <w:bottom w:val="single" w:sz="4" w:space="0" w:color="auto"/>
              <w:right w:val="single" w:sz="4" w:space="0" w:color="auto"/>
            </w:tcBorders>
            <w:vAlign w:val="center"/>
          </w:tcPr>
          <w:p w:rsidR="00CA682E" w:rsidRPr="00CA682E" w:rsidRDefault="00CA682E" w:rsidP="00CA682E">
            <w:pPr>
              <w:spacing w:before="40" w:after="40"/>
              <w:jc w:val="center"/>
              <w:rPr>
                <w:rFonts w:eastAsia="Times New Roman"/>
                <w:color w:val="000000" w:themeColor="text1"/>
                <w:sz w:val="16"/>
                <w:szCs w:val="16"/>
                <w:lang w:eastAsia="en-US"/>
              </w:rPr>
            </w:pPr>
          </w:p>
        </w:tc>
        <w:tc>
          <w:tcPr>
            <w:tcW w:w="409" w:type="dxa"/>
            <w:tcBorders>
              <w:top w:val="nil"/>
              <w:left w:val="nil"/>
              <w:bottom w:val="single" w:sz="4" w:space="0" w:color="auto"/>
              <w:right w:val="single" w:sz="4" w:space="0" w:color="auto"/>
            </w:tcBorders>
            <w:vAlign w:val="center"/>
          </w:tcPr>
          <w:p w:rsidR="00CA682E" w:rsidRPr="00CA682E" w:rsidRDefault="00CA682E" w:rsidP="00CA682E">
            <w:pPr>
              <w:spacing w:before="40" w:after="40"/>
              <w:jc w:val="center"/>
              <w:rPr>
                <w:rFonts w:eastAsia="Times New Roman"/>
                <w:color w:val="000000" w:themeColor="text1"/>
                <w:sz w:val="16"/>
                <w:szCs w:val="16"/>
                <w:lang w:eastAsia="en-US"/>
              </w:rPr>
            </w:pPr>
          </w:p>
        </w:tc>
        <w:tc>
          <w:tcPr>
            <w:tcW w:w="409" w:type="dxa"/>
            <w:tcBorders>
              <w:top w:val="nil"/>
              <w:left w:val="single" w:sz="4" w:space="0" w:color="auto"/>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p>
        </w:tc>
        <w:tc>
          <w:tcPr>
            <w:tcW w:w="409"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p>
        </w:tc>
        <w:tc>
          <w:tcPr>
            <w:tcW w:w="409"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p>
        </w:tc>
        <w:tc>
          <w:tcPr>
            <w:tcW w:w="409" w:type="dxa"/>
            <w:tcBorders>
              <w:top w:val="nil"/>
              <w:left w:val="nil"/>
              <w:bottom w:val="single" w:sz="4" w:space="0" w:color="auto"/>
              <w:right w:val="single" w:sz="8"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p>
        </w:tc>
        <w:tc>
          <w:tcPr>
            <w:tcW w:w="409"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p>
        </w:tc>
        <w:tc>
          <w:tcPr>
            <w:tcW w:w="409"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r w:rsidRPr="00CA682E">
              <w:rPr>
                <w:rFonts w:eastAsia="Times New Roman"/>
                <w:color w:val="000000" w:themeColor="text1"/>
                <w:sz w:val="16"/>
                <w:szCs w:val="16"/>
                <w:lang w:eastAsia="en-US"/>
              </w:rPr>
              <w:t>X</w:t>
            </w:r>
          </w:p>
        </w:tc>
        <w:tc>
          <w:tcPr>
            <w:tcW w:w="409"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r w:rsidRPr="00CA682E">
              <w:rPr>
                <w:rFonts w:eastAsia="Times New Roman"/>
                <w:color w:val="000000" w:themeColor="text1"/>
                <w:sz w:val="16"/>
                <w:szCs w:val="16"/>
                <w:lang w:eastAsia="en-US"/>
              </w:rPr>
              <w:t>X</w:t>
            </w:r>
          </w:p>
        </w:tc>
        <w:tc>
          <w:tcPr>
            <w:tcW w:w="409" w:type="dxa"/>
            <w:tcBorders>
              <w:top w:val="nil"/>
              <w:left w:val="nil"/>
              <w:bottom w:val="single" w:sz="4" w:space="0" w:color="auto"/>
              <w:right w:val="single" w:sz="8" w:space="0" w:color="auto"/>
            </w:tcBorders>
            <w:shd w:val="clear" w:color="auto" w:fill="auto"/>
            <w:noWrap/>
            <w:vAlign w:val="bottom"/>
            <w:hideMark/>
          </w:tcPr>
          <w:p w:rsidR="00CA682E" w:rsidRPr="00CA682E" w:rsidRDefault="00CA682E" w:rsidP="00CA682E">
            <w:pPr>
              <w:spacing w:before="40" w:after="40"/>
              <w:rPr>
                <w:rFonts w:eastAsia="Times New Roman"/>
                <w:color w:val="000000" w:themeColor="text1"/>
                <w:sz w:val="16"/>
                <w:szCs w:val="16"/>
                <w:lang w:eastAsia="en-US"/>
              </w:rPr>
            </w:pPr>
            <w:r w:rsidRPr="00CA682E">
              <w:rPr>
                <w:rFonts w:eastAsia="Times New Roman"/>
                <w:color w:val="000000" w:themeColor="text1"/>
                <w:sz w:val="16"/>
                <w:szCs w:val="16"/>
                <w:lang w:eastAsia="en-US"/>
              </w:rPr>
              <w:t> </w:t>
            </w:r>
          </w:p>
        </w:tc>
      </w:tr>
    </w:tbl>
    <w:p w:rsidR="00CA682E" w:rsidRPr="00CA682E" w:rsidRDefault="00CA682E" w:rsidP="00CA682E">
      <w:pPr>
        <w:autoSpaceDE w:val="0"/>
        <w:autoSpaceDN w:val="0"/>
        <w:jc w:val="both"/>
        <w:rPr>
          <w:rFonts w:eastAsia="Times New Roman" w:cs="Times New Roman"/>
          <w:color w:val="000000" w:themeColor="text1"/>
          <w:sz w:val="20"/>
          <w:szCs w:val="24"/>
          <w:lang w:eastAsia="en-US"/>
        </w:rPr>
      </w:pPr>
    </w:p>
    <w:p w:rsidR="00CA682E" w:rsidRPr="00CA682E" w:rsidRDefault="00CA682E" w:rsidP="00CA682E">
      <w:pPr>
        <w:rPr>
          <w:rFonts w:eastAsia="Times New Roman" w:cs="Times New Roman"/>
          <w:color w:val="000000" w:themeColor="text1"/>
          <w:sz w:val="20"/>
          <w:szCs w:val="24"/>
          <w:lang w:eastAsia="en-US"/>
        </w:rPr>
      </w:pPr>
    </w:p>
    <w:p w:rsidR="00CA682E" w:rsidRPr="00CA682E" w:rsidRDefault="00CA682E" w:rsidP="00CA682E">
      <w:pPr>
        <w:rPr>
          <w:rFonts w:eastAsia="Times New Roman" w:cs="Times New Roman"/>
          <w:b/>
          <w:color w:val="000000" w:themeColor="text1"/>
          <w:szCs w:val="22"/>
          <w:lang w:eastAsia="en-US"/>
        </w:rPr>
      </w:pPr>
      <w:r w:rsidRPr="00CA682E">
        <w:rPr>
          <w:rFonts w:eastAsia="Times New Roman" w:cs="Times New Roman"/>
          <w:color w:val="000000" w:themeColor="text1"/>
          <w:sz w:val="20"/>
          <w:szCs w:val="24"/>
          <w:lang w:eastAsia="en-US"/>
        </w:rPr>
        <w:br w:type="page"/>
      </w:r>
      <w:r w:rsidRPr="00CA682E">
        <w:rPr>
          <w:rFonts w:eastAsia="Times New Roman" w:cs="Times New Roman"/>
          <w:b/>
          <w:color w:val="000000" w:themeColor="text1"/>
          <w:szCs w:val="22"/>
          <w:lang w:eastAsia="en-US"/>
        </w:rPr>
        <w:lastRenderedPageBreak/>
        <w:t>PROYECTOS RELACIONADOS CON LA SEGURIDAD Y LA VIGILANCIA</w:t>
      </w:r>
    </w:p>
    <w:p w:rsidR="00CA682E" w:rsidRPr="00CA682E" w:rsidRDefault="00CA682E" w:rsidP="00CA682E">
      <w:pPr>
        <w:rPr>
          <w:rFonts w:eastAsia="Times New Roman" w:cs="Times New Roman"/>
          <w:b/>
          <w:color w:val="000000" w:themeColor="text1"/>
          <w:szCs w:val="24"/>
          <w:lang w:eastAsia="en-US"/>
        </w:rPr>
      </w:pPr>
    </w:p>
    <w:p w:rsidR="00CA682E" w:rsidRPr="00CA682E" w:rsidRDefault="00CA682E" w:rsidP="00CA682E">
      <w:pPr>
        <w:keepNext/>
        <w:outlineLvl w:val="2"/>
        <w:rPr>
          <w:b/>
          <w:bCs/>
          <w:i/>
          <w:color w:val="000000" w:themeColor="text1"/>
          <w:sz w:val="20"/>
          <w:lang w:eastAsia="en-US"/>
        </w:rPr>
      </w:pPr>
      <w:bookmarkStart w:id="231" w:name="_Toc455159122"/>
      <w:r w:rsidRPr="00CA682E">
        <w:rPr>
          <w:b/>
          <w:bCs/>
          <w:i/>
          <w:color w:val="000000" w:themeColor="text1"/>
          <w:sz w:val="20"/>
          <w:lang w:eastAsia="en-US"/>
        </w:rPr>
        <w:t>PROYECTO 7</w:t>
      </w:r>
      <w:r w:rsidR="00DD172C">
        <w:rPr>
          <w:b/>
          <w:bCs/>
          <w:i/>
          <w:color w:val="000000" w:themeColor="text1"/>
          <w:sz w:val="20"/>
          <w:lang w:eastAsia="en-US"/>
        </w:rPr>
        <w:t>:</w:t>
      </w:r>
      <w:r w:rsidR="00DD172C">
        <w:rPr>
          <w:b/>
          <w:bCs/>
          <w:i/>
          <w:color w:val="000000" w:themeColor="text1"/>
          <w:sz w:val="20"/>
          <w:lang w:eastAsia="en-US"/>
        </w:rPr>
        <w:tab/>
      </w:r>
      <w:r w:rsidRPr="00CA682E">
        <w:rPr>
          <w:b/>
          <w:bCs/>
          <w:i/>
          <w:color w:val="000000" w:themeColor="text1"/>
          <w:sz w:val="20"/>
          <w:lang w:eastAsia="en-US"/>
        </w:rPr>
        <w:t>MEDIDAS DE SEGURIDAD Y DE PROTECCIÓN CONTRA INCENDIOS (PMM 7)</w:t>
      </w:r>
      <w:bookmarkEnd w:id="231"/>
    </w:p>
    <w:p w:rsidR="00CA682E" w:rsidRPr="00CA682E" w:rsidRDefault="00CA682E" w:rsidP="00CA682E">
      <w:pPr>
        <w:rPr>
          <w:rFonts w:eastAsia="Times New Roman"/>
          <w:b/>
          <w:color w:val="000000" w:themeColor="text1"/>
          <w:szCs w:val="24"/>
          <w:lang w:eastAsia="en-US"/>
        </w:rPr>
      </w:pPr>
    </w:p>
    <w:p w:rsidR="00CA682E" w:rsidRPr="00CA682E" w:rsidRDefault="00CA682E" w:rsidP="00CA682E">
      <w:pPr>
        <w:rPr>
          <w:rFonts w:eastAsia="Times New Roman"/>
          <w:b/>
          <w:color w:val="000000" w:themeColor="text1"/>
          <w:sz w:val="20"/>
          <w:lang w:eastAsia="en-US"/>
        </w:rPr>
      </w:pPr>
      <w:r w:rsidRPr="00CA682E">
        <w:rPr>
          <w:rFonts w:eastAsia="Times New Roman"/>
          <w:b/>
          <w:color w:val="000000" w:themeColor="text1"/>
          <w:sz w:val="20"/>
          <w:lang w:eastAsia="en-US"/>
        </w:rPr>
        <w:t>Director del proyecto</w:t>
      </w:r>
      <w:r w:rsidRPr="00CA682E">
        <w:rPr>
          <w:rFonts w:eastAsia="Times New Roman"/>
          <w:b/>
          <w:color w:val="000000" w:themeColor="text1"/>
          <w:sz w:val="20"/>
          <w:lang w:eastAsia="en-US"/>
        </w:rPr>
        <w:tab/>
        <w:t>Sr. M. GIBB</w:t>
      </w:r>
    </w:p>
    <w:p w:rsidR="00CA682E" w:rsidRPr="00CA682E" w:rsidRDefault="00CA682E" w:rsidP="00CA682E">
      <w:pPr>
        <w:rPr>
          <w:rFonts w:eastAsia="Times New Roman"/>
          <w:color w:val="000000" w:themeColor="text1"/>
          <w:sz w:val="20"/>
          <w:lang w:eastAsia="en-US"/>
        </w:rPr>
      </w:pPr>
    </w:p>
    <w:p w:rsidR="00CA682E" w:rsidRPr="00CA682E" w:rsidRDefault="00CA682E" w:rsidP="00CA682E">
      <w:pPr>
        <w:rPr>
          <w:rFonts w:eastAsia="Times New Roman"/>
          <w:bCs/>
          <w:color w:val="000000" w:themeColor="text1"/>
          <w:sz w:val="20"/>
          <w:lang w:eastAsia="en-US"/>
        </w:rPr>
      </w:pPr>
    </w:p>
    <w:p w:rsidR="00CA682E" w:rsidRPr="00CA682E" w:rsidRDefault="00CA682E" w:rsidP="00CA682E">
      <w:pPr>
        <w:rPr>
          <w:rFonts w:eastAsia="Times New Roman"/>
          <w:bCs/>
          <w:color w:val="000000" w:themeColor="text1"/>
          <w:sz w:val="20"/>
          <w:lang w:eastAsia="en-US"/>
        </w:rPr>
      </w:pPr>
      <w:r w:rsidRPr="00CA682E">
        <w:rPr>
          <w:rFonts w:eastAsia="Times New Roman"/>
          <w:bCs/>
          <w:color w:val="000000" w:themeColor="text1"/>
          <w:sz w:val="20"/>
          <w:lang w:eastAsia="en-US"/>
        </w:rPr>
        <w:t>RESULTADO PREVISTO</w:t>
      </w:r>
    </w:p>
    <w:p w:rsidR="00CA682E" w:rsidRPr="00CA682E" w:rsidRDefault="00CA682E" w:rsidP="00CA682E">
      <w:pPr>
        <w:rPr>
          <w:rFonts w:eastAsia="Times New Roman"/>
          <w:bCs/>
          <w:color w:val="000000" w:themeColor="text1"/>
          <w:sz w:val="20"/>
          <w:lang w:eastAsia="en-US"/>
        </w:rPr>
      </w:pPr>
    </w:p>
    <w:p w:rsidR="00CA682E" w:rsidRPr="00CA682E" w:rsidRDefault="00CA682E" w:rsidP="00CA682E">
      <w:pPr>
        <w:rPr>
          <w:rFonts w:eastAsia="Times New Roman"/>
          <w:bCs/>
          <w:color w:val="000000" w:themeColor="text1"/>
          <w:sz w:val="20"/>
          <w:lang w:eastAsia="en-US"/>
        </w:rPr>
      </w:pPr>
      <w:r w:rsidRPr="00CA682E">
        <w:rPr>
          <w:rFonts w:eastAsia="Times New Roman"/>
          <w:bCs/>
          <w:i/>
          <w:color w:val="000000" w:themeColor="text1"/>
          <w:sz w:val="20"/>
          <w:lang w:eastAsia="en-US"/>
        </w:rPr>
        <w:t>IX.4  Una organización responsable con el medio ambiente y la sociedad, en la que se garantiza la seguridad de su personal, los delegados, los visitantes, la información y los activos físicos</w:t>
      </w:r>
    </w:p>
    <w:p w:rsidR="00CA682E" w:rsidRPr="00CA682E" w:rsidRDefault="00CA682E" w:rsidP="00CA682E">
      <w:pPr>
        <w:rPr>
          <w:rFonts w:eastAsia="Times New Roman"/>
          <w:bCs/>
          <w:color w:val="000000" w:themeColor="text1"/>
          <w:sz w:val="20"/>
          <w:lang w:eastAsia="en-US"/>
        </w:rPr>
      </w:pPr>
    </w:p>
    <w:p w:rsidR="00CA682E" w:rsidRPr="00CA682E" w:rsidRDefault="00CA682E" w:rsidP="00CA682E">
      <w:pPr>
        <w:rPr>
          <w:rFonts w:eastAsia="Times New Roman"/>
          <w:bCs/>
          <w:color w:val="000000" w:themeColor="text1"/>
          <w:sz w:val="20"/>
          <w:lang w:eastAsia="en-US"/>
        </w:rPr>
      </w:pPr>
    </w:p>
    <w:p w:rsidR="00CA682E" w:rsidRPr="00CA682E" w:rsidRDefault="00CA682E" w:rsidP="00CA682E">
      <w:pPr>
        <w:rPr>
          <w:rFonts w:eastAsia="Times New Roman"/>
          <w:bCs/>
          <w:color w:val="000000" w:themeColor="text1"/>
          <w:sz w:val="20"/>
          <w:lang w:eastAsia="en-US"/>
        </w:rPr>
      </w:pPr>
      <w:r w:rsidRPr="00CA682E">
        <w:rPr>
          <w:rFonts w:eastAsia="Times New Roman"/>
          <w:bCs/>
          <w:color w:val="000000" w:themeColor="text1"/>
          <w:sz w:val="20"/>
          <w:lang w:eastAsia="en-US"/>
        </w:rPr>
        <w:t>OBJETIVOS, ALCANCE Y ENFOQUE</w:t>
      </w:r>
      <w:proofErr w:type="gramStart"/>
      <w:r w:rsidRPr="00CA682E">
        <w:rPr>
          <w:rFonts w:eastAsia="Times New Roman"/>
          <w:bCs/>
          <w:color w:val="000000" w:themeColor="text1"/>
          <w:sz w:val="20"/>
          <w:lang w:eastAsia="en-US"/>
        </w:rPr>
        <w:t>:  ANTECEDENTES</w:t>
      </w:r>
      <w:proofErr w:type="gramEnd"/>
    </w:p>
    <w:p w:rsidR="00CA682E" w:rsidRPr="00CA682E" w:rsidRDefault="00CA682E" w:rsidP="00CA682E">
      <w:pPr>
        <w:rPr>
          <w:rFonts w:eastAsia="Times New Roman"/>
          <w:bCs/>
          <w:color w:val="000000" w:themeColor="text1"/>
          <w:sz w:val="20"/>
          <w:lang w:eastAsia="en-US"/>
        </w:rPr>
      </w:pPr>
    </w:p>
    <w:p w:rsidR="00CA682E" w:rsidRPr="00CA682E" w:rsidRDefault="00CA682E" w:rsidP="00734316">
      <w:pPr>
        <w:numPr>
          <w:ilvl w:val="0"/>
          <w:numId w:val="131"/>
        </w:numPr>
        <w:tabs>
          <w:tab w:val="left" w:pos="567"/>
        </w:tabs>
        <w:ind w:left="0" w:firstLine="0"/>
        <w:rPr>
          <w:rFonts w:eastAsia="Batang"/>
          <w:color w:val="000000" w:themeColor="text1"/>
          <w:sz w:val="20"/>
          <w:lang w:eastAsia="ja-JP"/>
        </w:rPr>
      </w:pPr>
      <w:r w:rsidRPr="00CA682E">
        <w:rPr>
          <w:rFonts w:eastAsia="Batang"/>
          <w:color w:val="000000" w:themeColor="text1"/>
          <w:sz w:val="20"/>
          <w:lang w:eastAsia="ja-JP"/>
        </w:rPr>
        <w:t xml:space="preserve">Conforme a la auditoría de seguridad y vigilancia realizada por un instituto especializado a petición de la Secretaría, es necesario poner en práctica varias recomendaciones relacionadas con medidas de seguridad y de protección contra incendios en los edificios más antiguos de la OMPI, para que cumplan con los nuevos niveles de seguridad (cabe señalar que el nuevo edificio y la nueva sala de conferencias quedan excluidos de este proyecto pues las especificaciones técnicas ya reflejan los nuevos niveles exigidos).  </w:t>
      </w:r>
      <w:r w:rsidRPr="00CA682E">
        <w:rPr>
          <w:rFonts w:eastAsiaTheme="minorHAnsi"/>
          <w:color w:val="000000" w:themeColor="text1"/>
          <w:sz w:val="20"/>
          <w:lang w:eastAsia="ja-JP"/>
        </w:rPr>
        <w:t xml:space="preserve">Las medidas de seguridad y de protección contra incendios que han de aplicarse en los edificios más antiguos de la OMPI </w:t>
      </w:r>
      <w:proofErr w:type="gramStart"/>
      <w:r w:rsidRPr="00CA682E">
        <w:rPr>
          <w:rFonts w:eastAsiaTheme="minorHAnsi"/>
          <w:color w:val="000000" w:themeColor="text1"/>
          <w:sz w:val="20"/>
          <w:lang w:eastAsia="ja-JP"/>
        </w:rPr>
        <w:t xml:space="preserve">son </w:t>
      </w:r>
      <w:r w:rsidRPr="00CA682E">
        <w:rPr>
          <w:rFonts w:eastAsia="Batang"/>
          <w:color w:val="000000" w:themeColor="text1"/>
          <w:sz w:val="20"/>
          <w:lang w:eastAsia="ja-JP"/>
        </w:rPr>
        <w:t>:</w:t>
      </w:r>
      <w:proofErr w:type="gramEnd"/>
      <w:r w:rsidRPr="00CA682E">
        <w:rPr>
          <w:rFonts w:eastAsia="Batang"/>
          <w:color w:val="000000" w:themeColor="text1"/>
          <w:sz w:val="20"/>
          <w:lang w:eastAsia="ja-JP"/>
        </w:rPr>
        <w:t xml:space="preserve"> i) la compartimentación entre edificios;  y ii) la compartimentación entre áreas de un edificio determinado (tabiques divisorios).  La finalidad de esa compartimentación es aislar mejor un único edificio o área en caso de incendio o de propagación de humo tras un incidente.  La compartimentación de los edificios se realizará mediante la construcción de elementos de infraestructura o puertas además o en lugar de las existentes y, en algunos casos, la instalación de nuevas puertas en los corredores o pasillos existentes.  </w:t>
      </w:r>
    </w:p>
    <w:p w:rsidR="00CA682E" w:rsidRPr="00CA682E" w:rsidRDefault="00CA682E" w:rsidP="00CA682E">
      <w:pPr>
        <w:tabs>
          <w:tab w:val="left" w:pos="567"/>
        </w:tabs>
        <w:rPr>
          <w:rFonts w:eastAsia="Times New Roman"/>
          <w:color w:val="000000" w:themeColor="text1"/>
          <w:sz w:val="20"/>
          <w:lang w:eastAsia="en-US"/>
        </w:rPr>
      </w:pPr>
    </w:p>
    <w:p w:rsidR="00CA682E" w:rsidRPr="00CA682E" w:rsidRDefault="00CA682E" w:rsidP="00CA682E">
      <w:pPr>
        <w:numPr>
          <w:ilvl w:val="0"/>
          <w:numId w:val="131"/>
        </w:numPr>
        <w:tabs>
          <w:tab w:val="left" w:pos="567"/>
        </w:tabs>
        <w:ind w:left="0" w:firstLine="0"/>
        <w:rPr>
          <w:rFonts w:eastAsia="Times New Roman"/>
          <w:color w:val="000000" w:themeColor="text1"/>
          <w:sz w:val="20"/>
          <w:lang w:eastAsia="en-US"/>
        </w:rPr>
      </w:pPr>
      <w:r w:rsidRPr="00CA682E">
        <w:rPr>
          <w:rFonts w:eastAsia="Times New Roman"/>
          <w:color w:val="000000" w:themeColor="text1"/>
          <w:sz w:val="20"/>
          <w:lang w:eastAsia="en-US"/>
        </w:rPr>
        <w:t>La ejecución del proyecto permitirá:</w:t>
      </w:r>
    </w:p>
    <w:p w:rsidR="00CA682E" w:rsidRPr="00CA682E" w:rsidRDefault="00CA682E" w:rsidP="00CA682E">
      <w:pPr>
        <w:tabs>
          <w:tab w:val="left" w:pos="567"/>
        </w:tabs>
        <w:rPr>
          <w:rFonts w:eastAsia="Times New Roman"/>
          <w:color w:val="000000" w:themeColor="text1"/>
          <w:sz w:val="20"/>
          <w:lang w:eastAsia="en-US"/>
        </w:rPr>
      </w:pPr>
    </w:p>
    <w:p w:rsidR="00CA682E" w:rsidRPr="00CA682E" w:rsidRDefault="00CA682E" w:rsidP="00CA682E">
      <w:pPr>
        <w:numPr>
          <w:ilvl w:val="0"/>
          <w:numId w:val="136"/>
        </w:numPr>
        <w:tabs>
          <w:tab w:val="left" w:pos="1134"/>
        </w:tabs>
        <w:autoSpaceDE w:val="0"/>
        <w:autoSpaceDN w:val="0"/>
        <w:adjustRightInd w:val="0"/>
        <w:spacing w:after="120"/>
        <w:ind w:left="1134" w:hanging="567"/>
        <w:jc w:val="both"/>
        <w:rPr>
          <w:rFonts w:eastAsia="Times New Roman" w:cs="Times New Roman"/>
          <w:bCs/>
          <w:color w:val="000000" w:themeColor="text1"/>
          <w:sz w:val="20"/>
          <w:lang w:eastAsia="en-US"/>
        </w:rPr>
      </w:pPr>
      <w:r w:rsidRPr="00CA682E">
        <w:rPr>
          <w:rFonts w:eastAsia="Times New Roman" w:cs="Times New Roman"/>
          <w:bCs/>
          <w:color w:val="000000" w:themeColor="text1"/>
          <w:sz w:val="20"/>
          <w:lang w:eastAsia="en-US"/>
        </w:rPr>
        <w:t xml:space="preserve">reducir los costos relacionados con: i) daños causados a los locales o a los activos que se encuentran en su interior, limitando la probabilidad de que ocurran incidentes; y ii) actividades de reparación, sustitución y limpieza; </w:t>
      </w:r>
    </w:p>
    <w:p w:rsidR="00CA682E" w:rsidRPr="00CA682E" w:rsidRDefault="00CA682E" w:rsidP="00CA682E">
      <w:pPr>
        <w:numPr>
          <w:ilvl w:val="0"/>
          <w:numId w:val="136"/>
        </w:numPr>
        <w:tabs>
          <w:tab w:val="left" w:pos="1134"/>
        </w:tabs>
        <w:autoSpaceDE w:val="0"/>
        <w:autoSpaceDN w:val="0"/>
        <w:adjustRightInd w:val="0"/>
        <w:spacing w:after="120"/>
        <w:ind w:left="1134" w:hanging="567"/>
        <w:jc w:val="both"/>
        <w:rPr>
          <w:rFonts w:eastAsia="Times New Roman" w:cs="Times New Roman"/>
          <w:bCs/>
          <w:color w:val="000000" w:themeColor="text1"/>
          <w:sz w:val="20"/>
          <w:lang w:eastAsia="en-US"/>
        </w:rPr>
      </w:pPr>
      <w:r w:rsidRPr="00CA682E">
        <w:rPr>
          <w:rFonts w:eastAsia="Times New Roman" w:cs="Times New Roman"/>
          <w:bCs/>
          <w:color w:val="000000" w:themeColor="text1"/>
          <w:sz w:val="20"/>
          <w:lang w:eastAsia="en-US"/>
        </w:rPr>
        <w:t>mejorar la protección de los datos relativos a la presentación de solicitudes en virtud de diferentes sistemas de registro;</w:t>
      </w:r>
    </w:p>
    <w:p w:rsidR="00CA682E" w:rsidRPr="00CA682E" w:rsidRDefault="00CA682E" w:rsidP="00CA682E">
      <w:pPr>
        <w:numPr>
          <w:ilvl w:val="0"/>
          <w:numId w:val="136"/>
        </w:numPr>
        <w:tabs>
          <w:tab w:val="left" w:pos="1134"/>
        </w:tabs>
        <w:autoSpaceDE w:val="0"/>
        <w:autoSpaceDN w:val="0"/>
        <w:adjustRightInd w:val="0"/>
        <w:spacing w:after="120"/>
        <w:ind w:left="1134" w:hanging="567"/>
        <w:jc w:val="both"/>
        <w:rPr>
          <w:rFonts w:eastAsia="Times New Roman" w:cs="Times New Roman"/>
          <w:bCs/>
          <w:color w:val="000000" w:themeColor="text1"/>
          <w:sz w:val="20"/>
          <w:lang w:eastAsia="en-US"/>
        </w:rPr>
      </w:pPr>
      <w:r w:rsidRPr="00CA682E">
        <w:rPr>
          <w:rFonts w:eastAsia="Times New Roman" w:cs="Times New Roman"/>
          <w:bCs/>
          <w:color w:val="000000" w:themeColor="text1"/>
          <w:sz w:val="20"/>
          <w:lang w:eastAsia="en-US"/>
        </w:rPr>
        <w:t xml:space="preserve">crear un entorno de trabajo más seguro, fortaleciendo, en caso de incidente, la seguridad y las medidas de protección del personal y de las demás personas que trabajen en los edificios, y mejorando los procedimientos de evacuación; </w:t>
      </w:r>
    </w:p>
    <w:p w:rsidR="00CA682E" w:rsidRPr="00CA682E" w:rsidRDefault="00CA682E" w:rsidP="00CA682E">
      <w:pPr>
        <w:numPr>
          <w:ilvl w:val="0"/>
          <w:numId w:val="136"/>
        </w:numPr>
        <w:tabs>
          <w:tab w:val="left" w:pos="1134"/>
        </w:tabs>
        <w:autoSpaceDE w:val="0"/>
        <w:autoSpaceDN w:val="0"/>
        <w:adjustRightInd w:val="0"/>
        <w:spacing w:after="120"/>
        <w:ind w:left="1134" w:hanging="567"/>
        <w:jc w:val="both"/>
        <w:rPr>
          <w:rFonts w:eastAsia="Times New Roman" w:cs="Times New Roman"/>
          <w:bCs/>
          <w:color w:val="000000" w:themeColor="text1"/>
          <w:sz w:val="20"/>
          <w:lang w:eastAsia="en-US"/>
        </w:rPr>
      </w:pPr>
      <w:r w:rsidRPr="00CA682E">
        <w:rPr>
          <w:rFonts w:eastAsia="Times New Roman" w:cs="Times New Roman"/>
          <w:bCs/>
          <w:color w:val="000000" w:themeColor="text1"/>
          <w:sz w:val="20"/>
          <w:lang w:eastAsia="en-US"/>
        </w:rPr>
        <w:t>mejorar la protección y la separación física de las instalaciones esenciales en los edificios;</w:t>
      </w:r>
    </w:p>
    <w:p w:rsidR="00CA682E" w:rsidRPr="00CA682E" w:rsidRDefault="00CA682E" w:rsidP="00CA682E">
      <w:pPr>
        <w:numPr>
          <w:ilvl w:val="0"/>
          <w:numId w:val="136"/>
        </w:numPr>
        <w:tabs>
          <w:tab w:val="left" w:pos="1134"/>
        </w:tabs>
        <w:autoSpaceDE w:val="0"/>
        <w:autoSpaceDN w:val="0"/>
        <w:adjustRightInd w:val="0"/>
        <w:spacing w:after="120"/>
        <w:ind w:left="1134" w:hanging="567"/>
        <w:jc w:val="both"/>
        <w:rPr>
          <w:rFonts w:eastAsia="Times New Roman" w:cs="Times New Roman"/>
          <w:bCs/>
          <w:color w:val="000000" w:themeColor="text1"/>
          <w:sz w:val="20"/>
          <w:lang w:eastAsia="en-US"/>
        </w:rPr>
      </w:pPr>
      <w:r w:rsidRPr="00CA682E">
        <w:rPr>
          <w:rFonts w:eastAsia="Times New Roman" w:cs="Times New Roman"/>
          <w:bCs/>
          <w:color w:val="000000" w:themeColor="text1"/>
          <w:sz w:val="20"/>
          <w:lang w:eastAsia="en-US"/>
        </w:rPr>
        <w:t>cumplimiento de las normas del Cantón de Ginebra sobre la prevención de incendios;  y</w:t>
      </w:r>
    </w:p>
    <w:p w:rsidR="00CA682E" w:rsidRPr="00CA682E" w:rsidRDefault="00CA682E" w:rsidP="00CA682E">
      <w:pPr>
        <w:numPr>
          <w:ilvl w:val="0"/>
          <w:numId w:val="136"/>
        </w:numPr>
        <w:tabs>
          <w:tab w:val="left" w:pos="1134"/>
        </w:tabs>
        <w:autoSpaceDE w:val="0"/>
        <w:autoSpaceDN w:val="0"/>
        <w:adjustRightInd w:val="0"/>
        <w:spacing w:after="120"/>
        <w:ind w:left="1134" w:hanging="567"/>
        <w:jc w:val="both"/>
        <w:rPr>
          <w:rFonts w:eastAsia="Times New Roman" w:cs="Times New Roman"/>
          <w:bCs/>
          <w:color w:val="000000" w:themeColor="text1"/>
          <w:sz w:val="20"/>
          <w:lang w:eastAsia="en-US"/>
        </w:rPr>
      </w:pPr>
      <w:r w:rsidRPr="00CA682E">
        <w:rPr>
          <w:rFonts w:eastAsia="Times New Roman" w:cs="Times New Roman"/>
          <w:bCs/>
          <w:color w:val="000000" w:themeColor="text1"/>
          <w:sz w:val="20"/>
          <w:lang w:eastAsia="en-US"/>
        </w:rPr>
        <w:t>adhesión a la política de prevención de incendios de las Naciones Unidas.</w:t>
      </w:r>
    </w:p>
    <w:p w:rsidR="00CA682E" w:rsidRPr="00CA682E" w:rsidRDefault="00CA682E" w:rsidP="00CA682E">
      <w:pPr>
        <w:rPr>
          <w:rFonts w:eastAsia="Times New Roman"/>
          <w:bCs/>
          <w:color w:val="000000" w:themeColor="text1"/>
          <w:sz w:val="20"/>
          <w:lang w:eastAsia="en-US"/>
        </w:rPr>
      </w:pPr>
    </w:p>
    <w:p w:rsidR="00CA682E" w:rsidRPr="00CA682E" w:rsidRDefault="00CA682E" w:rsidP="00CA682E">
      <w:pPr>
        <w:rPr>
          <w:rFonts w:eastAsia="Times New Roman"/>
          <w:bCs/>
          <w:color w:val="000000" w:themeColor="text1"/>
          <w:sz w:val="20"/>
          <w:lang w:eastAsia="en-US"/>
        </w:rPr>
      </w:pPr>
    </w:p>
    <w:p w:rsidR="00CA682E" w:rsidRPr="00CA682E" w:rsidRDefault="00CA682E" w:rsidP="00CA682E">
      <w:pPr>
        <w:rPr>
          <w:rFonts w:eastAsia="Times New Roman"/>
          <w:bCs/>
          <w:color w:val="000000" w:themeColor="text1"/>
          <w:sz w:val="20"/>
          <w:lang w:eastAsia="en-US"/>
        </w:rPr>
      </w:pPr>
      <w:r w:rsidRPr="00CA682E">
        <w:rPr>
          <w:rFonts w:eastAsia="Times New Roman"/>
          <w:bCs/>
          <w:color w:val="000000" w:themeColor="text1"/>
          <w:sz w:val="20"/>
          <w:lang w:eastAsia="en-US"/>
        </w:rPr>
        <w:t>RESEÑA DE LOS AVANCES LOGRADOS EN 2015 (ETAPAS FUNDAMENTALES)</w:t>
      </w:r>
    </w:p>
    <w:p w:rsidR="00CA682E" w:rsidRPr="00CA682E" w:rsidRDefault="00CA682E" w:rsidP="00CA682E">
      <w:pPr>
        <w:spacing w:line="276" w:lineRule="auto"/>
        <w:rPr>
          <w:rFonts w:eastAsia="Times New Roman"/>
          <w:bCs/>
          <w:color w:val="000000" w:themeColor="text1"/>
          <w:sz w:val="20"/>
          <w:lang w:eastAsia="en-US"/>
        </w:rPr>
      </w:pPr>
    </w:p>
    <w:p w:rsidR="00CA682E" w:rsidRPr="00734316" w:rsidRDefault="00CA682E" w:rsidP="00734316">
      <w:pPr>
        <w:numPr>
          <w:ilvl w:val="0"/>
          <w:numId w:val="131"/>
        </w:numPr>
        <w:tabs>
          <w:tab w:val="left" w:pos="567"/>
        </w:tabs>
        <w:ind w:left="0" w:firstLine="0"/>
        <w:rPr>
          <w:rFonts w:eastAsia="Times New Roman"/>
          <w:color w:val="000000" w:themeColor="text1"/>
          <w:sz w:val="20"/>
          <w:lang w:eastAsia="en-US"/>
        </w:rPr>
      </w:pPr>
      <w:r w:rsidRPr="00734316">
        <w:rPr>
          <w:rFonts w:eastAsia="Times New Roman"/>
          <w:color w:val="000000" w:themeColor="text1"/>
          <w:sz w:val="20"/>
          <w:lang w:eastAsia="en-US"/>
        </w:rPr>
        <w:t>La compartimentación del edificio PCT</w:t>
      </w:r>
      <w:r w:rsidRPr="00CA682E">
        <w:rPr>
          <w:rFonts w:eastAsia="Times New Roman"/>
          <w:color w:val="000000" w:themeColor="text1"/>
          <w:sz w:val="20"/>
          <w:lang w:eastAsia="en-US"/>
        </w:rPr>
        <w:t xml:space="preserve"> se llevó a cabo y concluyó en 2014 e incluyó un estudio de viabilidad y la instalación y conexión de puertas cortafuegos.  En 2015 finalizó la labor de compartimentación en el segundo subsuelo del edificio AB, entre el estacionamiento subterráneo del edificio AB y el edificio AB, iniciada en 2014 y quedó totalmente operativo el equipo ignífugo</w:t>
      </w:r>
      <w:r w:rsidRPr="00734316">
        <w:rPr>
          <w:rFonts w:eastAsia="Times New Roman"/>
          <w:color w:val="000000" w:themeColor="text1"/>
          <w:sz w:val="20"/>
          <w:lang w:eastAsia="en-US"/>
        </w:rPr>
        <w:t xml:space="preserve">.  El costo para finalizar esa labor fue superior a la que se había presupuestado originalmente y será sufragado mediante los ahorros obtenidos en el marco del proyecto de compartimentación entre los edificios GBI y AB (véase a continuación).  </w:t>
      </w:r>
    </w:p>
    <w:p w:rsidR="00CA682E" w:rsidRPr="00CA682E" w:rsidRDefault="00CA682E" w:rsidP="00CA682E">
      <w:pPr>
        <w:rPr>
          <w:rFonts w:eastAsia="Times New Roman"/>
          <w:bCs/>
          <w:color w:val="000000" w:themeColor="text1"/>
          <w:sz w:val="20"/>
          <w:lang w:eastAsia="en-US"/>
        </w:rPr>
      </w:pPr>
    </w:p>
    <w:p w:rsidR="00CA682E" w:rsidRPr="00CA682E" w:rsidRDefault="00CA682E" w:rsidP="00734316">
      <w:pPr>
        <w:numPr>
          <w:ilvl w:val="0"/>
          <w:numId w:val="131"/>
        </w:numPr>
        <w:tabs>
          <w:tab w:val="left" w:pos="567"/>
        </w:tabs>
        <w:ind w:left="0" w:firstLine="0"/>
        <w:rPr>
          <w:rFonts w:eastAsia="Times New Roman"/>
          <w:color w:val="000000" w:themeColor="text1"/>
          <w:sz w:val="20"/>
          <w:lang w:eastAsia="en-US"/>
        </w:rPr>
      </w:pPr>
      <w:r w:rsidRPr="00CA682E">
        <w:rPr>
          <w:rFonts w:eastAsia="Times New Roman"/>
          <w:color w:val="000000" w:themeColor="text1"/>
          <w:sz w:val="20"/>
          <w:lang w:eastAsia="en-US"/>
        </w:rPr>
        <w:t xml:space="preserve">En el segundo semestre de 2015, en el marco del proyecto de compartimentación entre los edificios GBI y AB, la Secretaría llevó a cabo un estudio y preparó el mandato relativo a la instalación de tres puertas cortafuegos adicionales entre los edificios AB y GBI (primer subsuelo, planta baja y primera planta), lo que llevó más tiempo de lo previsto por la marcha inesperada del consultor inicialmente </w:t>
      </w:r>
      <w:r w:rsidRPr="00CA682E">
        <w:rPr>
          <w:rFonts w:eastAsia="Times New Roman"/>
          <w:color w:val="000000" w:themeColor="text1"/>
          <w:sz w:val="20"/>
          <w:lang w:eastAsia="en-US"/>
        </w:rPr>
        <w:lastRenderedPageBreak/>
        <w:t>encargado de realizar el estudio, lo que supuso un retraso de 6 meses para este aporte concreto.</w:t>
      </w:r>
      <w:r w:rsidRPr="00734316">
        <w:rPr>
          <w:rFonts w:eastAsia="Times New Roman"/>
          <w:color w:val="000000" w:themeColor="text1"/>
          <w:sz w:val="20"/>
          <w:lang w:eastAsia="en-US"/>
        </w:rPr>
        <w:t xml:space="preserve"> El calendario del proyecto se ha modificado en consecuencia</w:t>
      </w:r>
      <w:r w:rsidRPr="00CA682E">
        <w:rPr>
          <w:rFonts w:eastAsia="Times New Roman"/>
          <w:color w:val="000000" w:themeColor="text1"/>
          <w:sz w:val="20"/>
          <w:lang w:eastAsia="en-US"/>
        </w:rPr>
        <w:t>.</w:t>
      </w:r>
    </w:p>
    <w:p w:rsidR="00CA682E" w:rsidRPr="00CA682E" w:rsidRDefault="00CA682E" w:rsidP="00734316">
      <w:pPr>
        <w:tabs>
          <w:tab w:val="left" w:pos="567"/>
        </w:tabs>
        <w:rPr>
          <w:rFonts w:eastAsia="Times New Roman"/>
          <w:color w:val="000000" w:themeColor="text1"/>
          <w:sz w:val="20"/>
          <w:lang w:eastAsia="en-US"/>
        </w:rPr>
      </w:pPr>
    </w:p>
    <w:p w:rsidR="00CA682E" w:rsidRPr="00734316" w:rsidRDefault="00CA682E" w:rsidP="00734316">
      <w:pPr>
        <w:numPr>
          <w:ilvl w:val="0"/>
          <w:numId w:val="131"/>
        </w:numPr>
        <w:tabs>
          <w:tab w:val="left" w:pos="567"/>
        </w:tabs>
        <w:ind w:left="0" w:firstLine="0"/>
        <w:rPr>
          <w:rFonts w:eastAsia="Times New Roman"/>
          <w:color w:val="000000" w:themeColor="text1"/>
          <w:sz w:val="20"/>
          <w:lang w:eastAsia="en-US"/>
        </w:rPr>
      </w:pPr>
      <w:r w:rsidRPr="00CA682E">
        <w:rPr>
          <w:rFonts w:eastAsia="Times New Roman"/>
          <w:color w:val="000000" w:themeColor="text1"/>
          <w:sz w:val="20"/>
          <w:lang w:eastAsia="en-US"/>
        </w:rPr>
        <w:t>A finales de 2015 ya se había instaurado una mejor coordinación y planificación para velar por que el proyecto quede finalizado a tiempo y conforme al presupuesto previsto.</w:t>
      </w:r>
    </w:p>
    <w:p w:rsidR="00CA682E" w:rsidRPr="00CA682E" w:rsidRDefault="00CA682E" w:rsidP="00CA682E">
      <w:pPr>
        <w:rPr>
          <w:rFonts w:eastAsia="Times New Roman"/>
          <w:color w:val="000000" w:themeColor="text1"/>
          <w:sz w:val="20"/>
          <w:szCs w:val="22"/>
          <w:lang w:eastAsia="en-US"/>
        </w:rPr>
      </w:pPr>
    </w:p>
    <w:p w:rsidR="00CA682E" w:rsidRPr="00CA682E" w:rsidRDefault="00CA682E" w:rsidP="00CA682E">
      <w:pPr>
        <w:rPr>
          <w:rFonts w:eastAsia="Times New Roman"/>
          <w:color w:val="000000" w:themeColor="text1"/>
          <w:sz w:val="20"/>
          <w:szCs w:val="22"/>
          <w:lang w:eastAsia="en-US"/>
        </w:rPr>
      </w:pPr>
    </w:p>
    <w:p w:rsidR="00CA682E" w:rsidRPr="00CA682E" w:rsidRDefault="00CA682E" w:rsidP="00CA682E">
      <w:pPr>
        <w:rPr>
          <w:rFonts w:eastAsia="Times New Roman"/>
          <w:color w:val="000000" w:themeColor="text1"/>
          <w:sz w:val="20"/>
          <w:szCs w:val="22"/>
          <w:lang w:eastAsia="en-US"/>
        </w:rPr>
      </w:pPr>
      <w:r w:rsidRPr="00CA682E">
        <w:rPr>
          <w:rFonts w:eastAsia="Times New Roman"/>
          <w:color w:val="000000" w:themeColor="text1"/>
          <w:sz w:val="20"/>
          <w:szCs w:val="22"/>
          <w:lang w:eastAsia="en-US"/>
        </w:rPr>
        <w:t>OBTENCIÓN DE BENEFICIOS</w:t>
      </w:r>
    </w:p>
    <w:p w:rsidR="00CA682E" w:rsidRPr="00CA682E" w:rsidRDefault="00CA682E" w:rsidP="00CA682E">
      <w:pPr>
        <w:rPr>
          <w:rFonts w:eastAsia="Times New Roman" w:cs="Times New Roman"/>
          <w:color w:val="000000" w:themeColor="text1"/>
          <w:sz w:val="20"/>
          <w:lang w:eastAsia="en-US"/>
        </w:rPr>
      </w:pPr>
    </w:p>
    <w:tbl>
      <w:tblPr>
        <w:tblW w:w="4857" w:type="pct"/>
        <w:jc w:val="center"/>
        <w:tblInd w:w="-1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48"/>
        <w:gridCol w:w="1833"/>
        <w:gridCol w:w="1833"/>
        <w:gridCol w:w="2583"/>
      </w:tblGrid>
      <w:tr w:rsidR="00CA682E" w:rsidRPr="00CA682E" w:rsidTr="007B1DE4">
        <w:trPr>
          <w:trHeight w:val="209"/>
          <w:tblHeader/>
          <w:jc w:val="center"/>
        </w:trPr>
        <w:tc>
          <w:tcPr>
            <w:tcW w:w="1639" w:type="pct"/>
            <w:tcBorders>
              <w:bottom w:val="single" w:sz="4" w:space="0" w:color="auto"/>
            </w:tcBorders>
            <w:shd w:val="clear" w:color="auto" w:fill="C6D9F1" w:themeFill="text2" w:themeFillTint="33"/>
            <w:tcMar>
              <w:top w:w="113" w:type="dxa"/>
              <w:bottom w:w="113" w:type="dxa"/>
            </w:tcMar>
            <w:vAlign w:val="center"/>
          </w:tcPr>
          <w:p w:rsidR="00CA682E" w:rsidRPr="00CA682E" w:rsidRDefault="00CA682E" w:rsidP="00CA682E">
            <w:pPr>
              <w:spacing w:before="40" w:after="40"/>
              <w:jc w:val="center"/>
              <w:rPr>
                <w:rFonts w:eastAsia="Times New Roman" w:cs="Times New Roman"/>
                <w:b/>
                <w:bCs/>
                <w:color w:val="000000" w:themeColor="text1"/>
                <w:sz w:val="16"/>
                <w:szCs w:val="16"/>
                <w:lang w:eastAsia="en-US"/>
              </w:rPr>
            </w:pPr>
            <w:r w:rsidRPr="00CA682E">
              <w:rPr>
                <w:rFonts w:eastAsia="Times New Roman" w:cs="Times New Roman"/>
                <w:b/>
                <w:bCs/>
                <w:color w:val="000000" w:themeColor="text1"/>
                <w:sz w:val="16"/>
                <w:szCs w:val="16"/>
                <w:lang w:eastAsia="en-US"/>
              </w:rPr>
              <w:t>Beneficios obtenidos en 2014</w:t>
            </w:r>
          </w:p>
        </w:tc>
        <w:tc>
          <w:tcPr>
            <w:tcW w:w="986" w:type="pct"/>
            <w:tcBorders>
              <w:bottom w:val="single" w:sz="4" w:space="0" w:color="auto"/>
            </w:tcBorders>
            <w:shd w:val="clear" w:color="auto" w:fill="C6D9F1" w:themeFill="text2" w:themeFillTint="33"/>
            <w:vAlign w:val="center"/>
          </w:tcPr>
          <w:p w:rsidR="00CA682E" w:rsidRPr="00CA682E" w:rsidRDefault="00CA682E" w:rsidP="00CA682E">
            <w:pPr>
              <w:spacing w:before="40" w:after="40"/>
              <w:jc w:val="center"/>
              <w:rPr>
                <w:rFonts w:eastAsia="Times New Roman" w:cs="Times New Roman"/>
                <w:b/>
                <w:bCs/>
                <w:color w:val="000000" w:themeColor="text1"/>
                <w:sz w:val="16"/>
                <w:szCs w:val="16"/>
                <w:lang w:eastAsia="en-US"/>
              </w:rPr>
            </w:pPr>
            <w:r w:rsidRPr="00CA682E">
              <w:rPr>
                <w:rFonts w:eastAsia="Times New Roman" w:cs="Times New Roman"/>
                <w:b/>
                <w:bCs/>
                <w:color w:val="000000" w:themeColor="text1"/>
                <w:sz w:val="16"/>
                <w:szCs w:val="16"/>
                <w:lang w:eastAsia="en-US"/>
              </w:rPr>
              <w:t>Beneficios obtenidos en 2015</w:t>
            </w:r>
          </w:p>
        </w:tc>
        <w:tc>
          <w:tcPr>
            <w:tcW w:w="986" w:type="pct"/>
            <w:shd w:val="clear" w:color="auto" w:fill="C6D9F1" w:themeFill="text2" w:themeFillTint="33"/>
            <w:vAlign w:val="center"/>
          </w:tcPr>
          <w:p w:rsidR="00CA682E" w:rsidRPr="00CA682E" w:rsidRDefault="00CA682E" w:rsidP="00CA682E">
            <w:pPr>
              <w:spacing w:before="40" w:after="40"/>
              <w:jc w:val="center"/>
              <w:rPr>
                <w:rFonts w:eastAsia="Times New Roman" w:cs="Times New Roman"/>
                <w:b/>
                <w:bCs/>
                <w:color w:val="000000" w:themeColor="text1"/>
                <w:sz w:val="16"/>
                <w:szCs w:val="16"/>
                <w:lang w:eastAsia="en-US"/>
              </w:rPr>
            </w:pPr>
            <w:r w:rsidRPr="00CA682E">
              <w:rPr>
                <w:rFonts w:eastAsia="Times New Roman" w:cs="Times New Roman"/>
                <w:b/>
                <w:bCs/>
                <w:color w:val="000000" w:themeColor="text1"/>
                <w:sz w:val="16"/>
                <w:szCs w:val="16"/>
                <w:lang w:eastAsia="en-US"/>
              </w:rPr>
              <w:t>Beneficios previstos en 2016</w:t>
            </w:r>
          </w:p>
        </w:tc>
        <w:tc>
          <w:tcPr>
            <w:tcW w:w="1390" w:type="pct"/>
            <w:shd w:val="clear" w:color="auto" w:fill="C6D9F1" w:themeFill="text2" w:themeFillTint="33"/>
            <w:vAlign w:val="center"/>
          </w:tcPr>
          <w:p w:rsidR="00CA682E" w:rsidRPr="00CA682E" w:rsidRDefault="00CA682E" w:rsidP="00CA682E">
            <w:pPr>
              <w:spacing w:before="40" w:after="40"/>
              <w:jc w:val="center"/>
              <w:rPr>
                <w:rFonts w:eastAsia="Times New Roman" w:cs="Times New Roman"/>
                <w:b/>
                <w:bCs/>
                <w:color w:val="000000" w:themeColor="text1"/>
                <w:sz w:val="16"/>
                <w:szCs w:val="16"/>
                <w:lang w:eastAsia="en-US"/>
              </w:rPr>
            </w:pPr>
            <w:r w:rsidRPr="00CA682E">
              <w:rPr>
                <w:rFonts w:eastAsia="Times New Roman" w:cs="Times New Roman"/>
                <w:b/>
                <w:bCs/>
                <w:color w:val="000000" w:themeColor="text1"/>
                <w:sz w:val="16"/>
                <w:szCs w:val="16"/>
                <w:lang w:eastAsia="en-US"/>
              </w:rPr>
              <w:t>Beneficios previstos para 2017</w:t>
            </w:r>
          </w:p>
        </w:tc>
      </w:tr>
      <w:tr w:rsidR="00CA682E" w:rsidRPr="00CA682E" w:rsidTr="007B1DE4">
        <w:trPr>
          <w:trHeight w:val="828"/>
          <w:jc w:val="center"/>
        </w:trPr>
        <w:tc>
          <w:tcPr>
            <w:tcW w:w="1639" w:type="pct"/>
            <w:tcBorders>
              <w:top w:val="single" w:sz="4" w:space="0" w:color="auto"/>
              <w:bottom w:val="single" w:sz="4" w:space="0" w:color="auto"/>
            </w:tcBorders>
            <w:shd w:val="clear" w:color="auto" w:fill="auto"/>
            <w:tcMar>
              <w:top w:w="113" w:type="dxa"/>
              <w:bottom w:w="113" w:type="dxa"/>
            </w:tcMar>
          </w:tcPr>
          <w:p w:rsidR="00CA682E" w:rsidRPr="00CA682E" w:rsidRDefault="00CA682E" w:rsidP="00CA682E">
            <w:pPr>
              <w:spacing w:before="40" w:after="40"/>
              <w:rPr>
                <w:rFonts w:eastAsia="Times New Roman" w:cs="Times New Roman"/>
                <w:bCs/>
                <w:color w:val="000000" w:themeColor="text1"/>
                <w:sz w:val="16"/>
                <w:szCs w:val="16"/>
                <w:lang w:eastAsia="en-US"/>
              </w:rPr>
            </w:pPr>
            <w:r w:rsidRPr="00CA682E">
              <w:rPr>
                <w:rFonts w:eastAsia="Times New Roman" w:cs="Times New Roman"/>
                <w:bCs/>
                <w:color w:val="000000" w:themeColor="text1"/>
                <w:sz w:val="16"/>
                <w:szCs w:val="16"/>
                <w:lang w:eastAsia="en-US"/>
              </w:rPr>
              <w:t>Mejora de las medidas de seguridad y de protección del personal al término de las obras de compartimentación del edificio PCT</w:t>
            </w:r>
          </w:p>
        </w:tc>
        <w:tc>
          <w:tcPr>
            <w:tcW w:w="986" w:type="pct"/>
            <w:tcBorders>
              <w:top w:val="single" w:sz="4" w:space="0" w:color="auto"/>
              <w:bottom w:val="single" w:sz="4" w:space="0" w:color="auto"/>
            </w:tcBorders>
          </w:tcPr>
          <w:p w:rsidR="00CA682E" w:rsidRPr="00CA682E" w:rsidRDefault="00CA682E" w:rsidP="00CA682E">
            <w:pPr>
              <w:spacing w:before="40" w:after="40"/>
              <w:rPr>
                <w:rFonts w:eastAsia="Times New Roman" w:cs="Times New Roman"/>
                <w:bCs/>
                <w:color w:val="000000" w:themeColor="text1"/>
                <w:sz w:val="16"/>
                <w:szCs w:val="16"/>
                <w:lang w:eastAsia="en-US"/>
              </w:rPr>
            </w:pPr>
            <w:r w:rsidRPr="00CA682E">
              <w:rPr>
                <w:rFonts w:eastAsia="Times New Roman" w:cs="Times New Roman"/>
                <w:bCs/>
                <w:color w:val="000000" w:themeColor="text1"/>
                <w:sz w:val="16"/>
                <w:szCs w:val="16"/>
                <w:lang w:eastAsia="en-US"/>
              </w:rPr>
              <w:t>Mantener el nivel de vigilancia y seguridad en el edificio PCT</w:t>
            </w:r>
          </w:p>
        </w:tc>
        <w:tc>
          <w:tcPr>
            <w:tcW w:w="986" w:type="pct"/>
            <w:shd w:val="clear" w:color="auto" w:fill="auto"/>
          </w:tcPr>
          <w:p w:rsidR="00CA682E" w:rsidRPr="00CA682E" w:rsidRDefault="00CA682E" w:rsidP="00CA682E">
            <w:pPr>
              <w:spacing w:before="40" w:after="40"/>
              <w:rPr>
                <w:rFonts w:eastAsia="Times New Roman" w:cs="Times New Roman"/>
                <w:bCs/>
                <w:iCs/>
                <w:color w:val="000000" w:themeColor="text1"/>
                <w:sz w:val="16"/>
                <w:szCs w:val="16"/>
                <w:lang w:eastAsia="en-US"/>
              </w:rPr>
            </w:pPr>
            <w:r w:rsidRPr="00CA682E">
              <w:rPr>
                <w:rFonts w:eastAsia="Times New Roman" w:cs="Times New Roman"/>
                <w:bCs/>
                <w:iCs/>
                <w:color w:val="000000" w:themeColor="text1"/>
                <w:sz w:val="16"/>
                <w:szCs w:val="16"/>
                <w:lang w:eastAsia="en-US"/>
              </w:rPr>
              <w:t>Mantener el nivel de vigilancia y seguridad en el edificio PCT</w:t>
            </w:r>
          </w:p>
        </w:tc>
        <w:tc>
          <w:tcPr>
            <w:tcW w:w="1390" w:type="pct"/>
          </w:tcPr>
          <w:p w:rsidR="00CA682E" w:rsidRPr="00CA682E" w:rsidRDefault="00CA682E" w:rsidP="00CA682E">
            <w:pPr>
              <w:spacing w:before="40" w:after="40"/>
              <w:rPr>
                <w:rFonts w:eastAsia="Times New Roman" w:cs="Times New Roman"/>
                <w:bCs/>
                <w:iCs/>
                <w:color w:val="000000" w:themeColor="text1"/>
                <w:sz w:val="16"/>
                <w:szCs w:val="16"/>
                <w:lang w:eastAsia="en-US"/>
              </w:rPr>
            </w:pPr>
            <w:r w:rsidRPr="00CA682E">
              <w:rPr>
                <w:rFonts w:eastAsia="Times New Roman" w:cs="Times New Roman"/>
                <w:bCs/>
                <w:iCs/>
                <w:color w:val="000000" w:themeColor="text1"/>
                <w:sz w:val="16"/>
                <w:szCs w:val="16"/>
                <w:lang w:eastAsia="en-US"/>
              </w:rPr>
              <w:t>Mantener el nivel de vigilancia y seguridad en el edificio PCT</w:t>
            </w:r>
          </w:p>
        </w:tc>
      </w:tr>
      <w:tr w:rsidR="00CA682E" w:rsidRPr="00CA682E" w:rsidTr="007B1DE4">
        <w:trPr>
          <w:trHeight w:val="1906"/>
          <w:jc w:val="center"/>
        </w:trPr>
        <w:tc>
          <w:tcPr>
            <w:tcW w:w="1639" w:type="pct"/>
            <w:tcBorders>
              <w:top w:val="single" w:sz="4" w:space="0" w:color="auto"/>
              <w:bottom w:val="single" w:sz="4" w:space="0" w:color="auto"/>
            </w:tcBorders>
            <w:shd w:val="clear" w:color="auto" w:fill="auto"/>
            <w:tcMar>
              <w:top w:w="113" w:type="dxa"/>
              <w:bottom w:w="113" w:type="dxa"/>
            </w:tcMar>
          </w:tcPr>
          <w:p w:rsidR="00CA682E" w:rsidRPr="00CA682E" w:rsidRDefault="00CA682E" w:rsidP="00CA682E">
            <w:pPr>
              <w:spacing w:before="40" w:after="40"/>
              <w:rPr>
                <w:rFonts w:eastAsia="Times New Roman" w:cs="Times New Roman"/>
                <w:b/>
                <w:bCs/>
                <w:color w:val="000000" w:themeColor="text1"/>
                <w:sz w:val="16"/>
                <w:szCs w:val="16"/>
                <w:u w:val="single"/>
                <w:lang w:eastAsia="en-US"/>
              </w:rPr>
            </w:pPr>
          </w:p>
        </w:tc>
        <w:tc>
          <w:tcPr>
            <w:tcW w:w="986" w:type="pct"/>
            <w:tcBorders>
              <w:top w:val="single" w:sz="4" w:space="0" w:color="auto"/>
              <w:bottom w:val="single" w:sz="4" w:space="0" w:color="auto"/>
            </w:tcBorders>
          </w:tcPr>
          <w:p w:rsidR="00CA682E" w:rsidRPr="00CA682E" w:rsidRDefault="00CA682E" w:rsidP="00CA682E">
            <w:pPr>
              <w:spacing w:before="40" w:after="40"/>
              <w:rPr>
                <w:rFonts w:eastAsia="Times New Roman" w:cs="Times New Roman"/>
                <w:bCs/>
                <w:color w:val="000000" w:themeColor="text1"/>
                <w:sz w:val="16"/>
                <w:szCs w:val="16"/>
                <w:lang w:eastAsia="en-US"/>
              </w:rPr>
            </w:pPr>
            <w:r w:rsidRPr="00CA682E">
              <w:rPr>
                <w:rFonts w:eastAsia="Times New Roman" w:cs="Times New Roman"/>
                <w:bCs/>
                <w:color w:val="000000" w:themeColor="text1"/>
                <w:sz w:val="16"/>
                <w:szCs w:val="16"/>
                <w:lang w:eastAsia="en-US"/>
              </w:rPr>
              <w:t>Mejorar la seguridad del personal y de los delegados mediante la creación de un vestíbulo de independencia en el acceso a los ascensores en el segundo subsuelo del edificio AB</w:t>
            </w:r>
          </w:p>
        </w:tc>
        <w:tc>
          <w:tcPr>
            <w:tcW w:w="986" w:type="pct"/>
            <w:shd w:val="clear" w:color="auto" w:fill="auto"/>
          </w:tcPr>
          <w:p w:rsidR="00CA682E" w:rsidRPr="00CA682E" w:rsidRDefault="00CA682E" w:rsidP="00CA682E">
            <w:pPr>
              <w:spacing w:before="40" w:after="40"/>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Mantener el nivel de vigilancia y seguridad en el acceso al segundo subsuelo del edificio AB</w:t>
            </w:r>
          </w:p>
        </w:tc>
        <w:tc>
          <w:tcPr>
            <w:tcW w:w="1390" w:type="pct"/>
          </w:tcPr>
          <w:p w:rsidR="00CA682E" w:rsidRPr="00CA682E" w:rsidRDefault="00CA682E" w:rsidP="00CA682E">
            <w:pPr>
              <w:spacing w:before="40" w:after="40"/>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Mantener el nivel de vigilancia y seguridad en el acceso al segundo subsuelo del edificio AB</w:t>
            </w:r>
          </w:p>
        </w:tc>
      </w:tr>
      <w:tr w:rsidR="00CA682E" w:rsidRPr="00CA682E" w:rsidTr="007B1DE4">
        <w:trPr>
          <w:trHeight w:val="731"/>
          <w:jc w:val="center"/>
        </w:trPr>
        <w:tc>
          <w:tcPr>
            <w:tcW w:w="1639" w:type="pct"/>
            <w:tcBorders>
              <w:top w:val="single" w:sz="4" w:space="0" w:color="auto"/>
              <w:bottom w:val="single" w:sz="4" w:space="0" w:color="auto"/>
            </w:tcBorders>
            <w:shd w:val="clear" w:color="auto" w:fill="auto"/>
            <w:tcMar>
              <w:top w:w="113" w:type="dxa"/>
              <w:bottom w:w="113" w:type="dxa"/>
            </w:tcMar>
          </w:tcPr>
          <w:p w:rsidR="00CA682E" w:rsidRPr="00CA682E" w:rsidRDefault="00CA682E" w:rsidP="00CA682E">
            <w:pPr>
              <w:spacing w:before="40" w:after="40"/>
              <w:rPr>
                <w:rFonts w:eastAsia="Times New Roman" w:cs="Times New Roman"/>
                <w:b/>
                <w:bCs/>
                <w:color w:val="000000" w:themeColor="text1"/>
                <w:sz w:val="16"/>
                <w:szCs w:val="16"/>
                <w:u w:val="single"/>
                <w:lang w:eastAsia="en-US"/>
              </w:rPr>
            </w:pPr>
          </w:p>
        </w:tc>
        <w:tc>
          <w:tcPr>
            <w:tcW w:w="986" w:type="pct"/>
            <w:tcBorders>
              <w:top w:val="single" w:sz="4" w:space="0" w:color="auto"/>
              <w:bottom w:val="single" w:sz="4" w:space="0" w:color="auto"/>
            </w:tcBorders>
          </w:tcPr>
          <w:p w:rsidR="00CA682E" w:rsidRPr="00CA682E" w:rsidRDefault="00CA682E" w:rsidP="00CA682E">
            <w:pPr>
              <w:spacing w:before="40" w:after="40"/>
              <w:rPr>
                <w:rFonts w:eastAsia="Times New Roman" w:cs="Times New Roman"/>
                <w:bCs/>
                <w:color w:val="000000" w:themeColor="text1"/>
                <w:sz w:val="16"/>
                <w:szCs w:val="16"/>
                <w:u w:val="single"/>
                <w:lang w:eastAsia="en-US"/>
              </w:rPr>
            </w:pPr>
          </w:p>
        </w:tc>
        <w:tc>
          <w:tcPr>
            <w:tcW w:w="986" w:type="pct"/>
            <w:shd w:val="clear" w:color="auto" w:fill="auto"/>
          </w:tcPr>
          <w:p w:rsidR="00CA682E" w:rsidRPr="00CA682E" w:rsidRDefault="00CA682E" w:rsidP="00CA682E">
            <w:pPr>
              <w:spacing w:before="40" w:after="40"/>
              <w:rPr>
                <w:rFonts w:eastAsia="Times New Roman" w:cs="Times New Roman"/>
                <w:bCs/>
                <w:iCs/>
                <w:color w:val="000000" w:themeColor="text1"/>
                <w:sz w:val="16"/>
                <w:szCs w:val="16"/>
                <w:lang w:eastAsia="en-US"/>
              </w:rPr>
            </w:pPr>
            <w:r w:rsidRPr="00CA682E">
              <w:rPr>
                <w:rFonts w:eastAsia="Times New Roman" w:cs="Times New Roman"/>
                <w:bCs/>
                <w:iCs/>
                <w:color w:val="000000" w:themeColor="text1"/>
                <w:sz w:val="16"/>
                <w:szCs w:val="16"/>
                <w:lang w:eastAsia="en-US"/>
              </w:rPr>
              <w:t>Mejorar el nivel de vigilancia y seguridad entre los edificios AB y GBI</w:t>
            </w:r>
          </w:p>
        </w:tc>
        <w:tc>
          <w:tcPr>
            <w:tcW w:w="1390" w:type="pct"/>
          </w:tcPr>
          <w:p w:rsidR="00CA682E" w:rsidRPr="00CA682E" w:rsidRDefault="00CA682E" w:rsidP="00CA682E">
            <w:pPr>
              <w:spacing w:before="40" w:after="40"/>
              <w:rPr>
                <w:rFonts w:eastAsia="Times New Roman" w:cs="Times New Roman"/>
                <w:bCs/>
                <w:color w:val="000000" w:themeColor="text1"/>
                <w:sz w:val="16"/>
                <w:szCs w:val="16"/>
                <w:lang w:eastAsia="en-US"/>
              </w:rPr>
            </w:pPr>
            <w:r w:rsidRPr="00CA682E">
              <w:rPr>
                <w:rFonts w:eastAsia="Times New Roman" w:cs="Times New Roman"/>
                <w:bCs/>
                <w:color w:val="000000" w:themeColor="text1"/>
                <w:sz w:val="16"/>
                <w:szCs w:val="16"/>
                <w:lang w:eastAsia="en-US"/>
              </w:rPr>
              <w:t>Mejorar el nivel de vigilancia y seguridad entre los edificios AB y GBI</w:t>
            </w:r>
          </w:p>
        </w:tc>
      </w:tr>
      <w:tr w:rsidR="00CA682E" w:rsidRPr="00CA682E" w:rsidTr="007B1DE4">
        <w:trPr>
          <w:trHeight w:val="376"/>
          <w:jc w:val="center"/>
        </w:trPr>
        <w:tc>
          <w:tcPr>
            <w:tcW w:w="1639" w:type="pct"/>
            <w:tcBorders>
              <w:top w:val="single" w:sz="4" w:space="0" w:color="auto"/>
              <w:bottom w:val="single" w:sz="4" w:space="0" w:color="auto"/>
            </w:tcBorders>
            <w:shd w:val="clear" w:color="auto" w:fill="auto"/>
            <w:tcMar>
              <w:top w:w="113" w:type="dxa"/>
              <w:bottom w:w="113" w:type="dxa"/>
            </w:tcMar>
          </w:tcPr>
          <w:p w:rsidR="00CA682E" w:rsidRPr="00CA682E" w:rsidRDefault="00CA682E" w:rsidP="00CA682E">
            <w:pPr>
              <w:spacing w:before="40" w:after="40"/>
              <w:rPr>
                <w:rFonts w:eastAsia="Times New Roman" w:cs="Times New Roman"/>
                <w:b/>
                <w:bCs/>
                <w:color w:val="000000" w:themeColor="text1"/>
                <w:sz w:val="16"/>
                <w:szCs w:val="16"/>
                <w:u w:val="single"/>
                <w:lang w:eastAsia="en-US"/>
              </w:rPr>
            </w:pPr>
          </w:p>
        </w:tc>
        <w:tc>
          <w:tcPr>
            <w:tcW w:w="986" w:type="pct"/>
            <w:tcBorders>
              <w:top w:val="single" w:sz="4" w:space="0" w:color="auto"/>
              <w:bottom w:val="single" w:sz="4" w:space="0" w:color="auto"/>
            </w:tcBorders>
          </w:tcPr>
          <w:p w:rsidR="00CA682E" w:rsidRPr="00CA682E" w:rsidRDefault="00CA682E" w:rsidP="00CA682E">
            <w:pPr>
              <w:spacing w:before="40" w:after="40"/>
              <w:rPr>
                <w:rFonts w:eastAsia="Times New Roman" w:cs="Times New Roman"/>
                <w:bCs/>
                <w:color w:val="000000" w:themeColor="text1"/>
                <w:sz w:val="16"/>
                <w:szCs w:val="16"/>
                <w:u w:val="single"/>
                <w:lang w:eastAsia="en-US"/>
              </w:rPr>
            </w:pPr>
          </w:p>
        </w:tc>
        <w:tc>
          <w:tcPr>
            <w:tcW w:w="986" w:type="pct"/>
            <w:shd w:val="clear" w:color="auto" w:fill="auto"/>
          </w:tcPr>
          <w:p w:rsidR="00CA682E" w:rsidRPr="00CA682E" w:rsidRDefault="00CA682E" w:rsidP="00CA682E">
            <w:pPr>
              <w:spacing w:before="40" w:after="40"/>
              <w:rPr>
                <w:rFonts w:eastAsia="Times New Roman" w:cs="Times New Roman"/>
                <w:bCs/>
                <w:iCs/>
                <w:color w:val="000000" w:themeColor="text1"/>
                <w:sz w:val="16"/>
                <w:szCs w:val="16"/>
                <w:lang w:eastAsia="en-US"/>
              </w:rPr>
            </w:pPr>
            <w:r w:rsidRPr="00CA682E">
              <w:rPr>
                <w:rFonts w:eastAsia="Times New Roman" w:cs="Times New Roman"/>
                <w:bCs/>
                <w:iCs/>
                <w:color w:val="000000" w:themeColor="text1"/>
                <w:sz w:val="16"/>
                <w:szCs w:val="16"/>
                <w:lang w:eastAsia="en-US"/>
              </w:rPr>
              <w:t>Mejorar el nivel de vigilancia y seguridad entre los edificios GBI y GBII</w:t>
            </w:r>
          </w:p>
        </w:tc>
        <w:tc>
          <w:tcPr>
            <w:tcW w:w="1390" w:type="pct"/>
          </w:tcPr>
          <w:p w:rsidR="00CA682E" w:rsidRPr="00CA682E" w:rsidRDefault="00CA682E" w:rsidP="00CA682E">
            <w:pPr>
              <w:spacing w:before="40" w:after="40"/>
              <w:rPr>
                <w:rFonts w:eastAsia="Times New Roman" w:cs="Times New Roman"/>
                <w:bCs/>
                <w:color w:val="000000" w:themeColor="text1"/>
                <w:sz w:val="16"/>
                <w:szCs w:val="16"/>
                <w:lang w:eastAsia="en-US"/>
              </w:rPr>
            </w:pPr>
            <w:r w:rsidRPr="00CA682E">
              <w:rPr>
                <w:rFonts w:eastAsia="Times New Roman" w:cs="Times New Roman"/>
                <w:bCs/>
                <w:color w:val="000000" w:themeColor="text1"/>
                <w:sz w:val="16"/>
                <w:szCs w:val="16"/>
                <w:lang w:eastAsia="en-US"/>
              </w:rPr>
              <w:t>Mejorar el nivel de vigilancia y seguridad entre los edificios GBI y GBII</w:t>
            </w:r>
          </w:p>
        </w:tc>
      </w:tr>
      <w:tr w:rsidR="00CA682E" w:rsidRPr="00CA682E" w:rsidTr="007B1DE4">
        <w:trPr>
          <w:trHeight w:val="376"/>
          <w:jc w:val="center"/>
        </w:trPr>
        <w:tc>
          <w:tcPr>
            <w:tcW w:w="1639" w:type="pct"/>
            <w:tcBorders>
              <w:top w:val="single" w:sz="4" w:space="0" w:color="auto"/>
              <w:bottom w:val="single" w:sz="4" w:space="0" w:color="auto"/>
            </w:tcBorders>
            <w:shd w:val="clear" w:color="auto" w:fill="auto"/>
            <w:tcMar>
              <w:top w:w="113" w:type="dxa"/>
              <w:bottom w:w="113" w:type="dxa"/>
            </w:tcMar>
          </w:tcPr>
          <w:p w:rsidR="00CA682E" w:rsidRPr="00CA682E" w:rsidRDefault="00CA682E" w:rsidP="00CA682E">
            <w:pPr>
              <w:spacing w:before="40" w:after="40"/>
              <w:rPr>
                <w:rFonts w:eastAsia="Times New Roman" w:cs="Times New Roman"/>
                <w:b/>
                <w:bCs/>
                <w:color w:val="000000" w:themeColor="text1"/>
                <w:sz w:val="16"/>
                <w:szCs w:val="16"/>
                <w:u w:val="single"/>
                <w:lang w:eastAsia="en-US"/>
              </w:rPr>
            </w:pPr>
          </w:p>
        </w:tc>
        <w:tc>
          <w:tcPr>
            <w:tcW w:w="986" w:type="pct"/>
            <w:tcBorders>
              <w:top w:val="single" w:sz="4" w:space="0" w:color="auto"/>
              <w:bottom w:val="single" w:sz="4" w:space="0" w:color="auto"/>
            </w:tcBorders>
          </w:tcPr>
          <w:p w:rsidR="00CA682E" w:rsidRPr="00CA682E" w:rsidRDefault="00CA682E" w:rsidP="00CA682E">
            <w:pPr>
              <w:spacing w:before="40" w:after="40"/>
              <w:rPr>
                <w:rFonts w:eastAsia="Times New Roman" w:cs="Times New Roman"/>
                <w:bCs/>
                <w:color w:val="000000" w:themeColor="text1"/>
                <w:sz w:val="16"/>
                <w:szCs w:val="16"/>
                <w:u w:val="single"/>
                <w:lang w:eastAsia="en-US"/>
              </w:rPr>
            </w:pPr>
          </w:p>
        </w:tc>
        <w:tc>
          <w:tcPr>
            <w:tcW w:w="986" w:type="pct"/>
            <w:shd w:val="clear" w:color="auto" w:fill="auto"/>
          </w:tcPr>
          <w:p w:rsidR="00CA682E" w:rsidRPr="00CA682E" w:rsidRDefault="00CA682E" w:rsidP="00CA682E">
            <w:pPr>
              <w:spacing w:before="40" w:after="40"/>
              <w:rPr>
                <w:rFonts w:eastAsia="Times New Roman" w:cs="Times New Roman"/>
                <w:color w:val="000000" w:themeColor="text1"/>
                <w:sz w:val="16"/>
                <w:szCs w:val="16"/>
                <w:lang w:eastAsia="en-US"/>
              </w:rPr>
            </w:pPr>
          </w:p>
        </w:tc>
        <w:tc>
          <w:tcPr>
            <w:tcW w:w="1390" w:type="pct"/>
          </w:tcPr>
          <w:p w:rsidR="00CA682E" w:rsidRPr="00CA682E" w:rsidRDefault="00CA682E" w:rsidP="00CA682E">
            <w:pPr>
              <w:spacing w:before="40" w:after="40"/>
              <w:rPr>
                <w:rFonts w:eastAsia="Times New Roman" w:cs="Times New Roman"/>
                <w:color w:val="000000" w:themeColor="text1"/>
                <w:sz w:val="16"/>
                <w:szCs w:val="16"/>
                <w:lang w:eastAsia="en-US"/>
              </w:rPr>
            </w:pPr>
            <w:r w:rsidRPr="00CA682E">
              <w:rPr>
                <w:rFonts w:eastAsia="Times New Roman" w:cs="Times New Roman"/>
                <w:bCs/>
                <w:color w:val="000000" w:themeColor="text1"/>
                <w:sz w:val="16"/>
                <w:szCs w:val="16"/>
                <w:lang w:eastAsia="en-US"/>
              </w:rPr>
              <w:t>Mejorar el nivel de vigilancia y seguridad entre partes del edificio</w:t>
            </w:r>
            <w:r w:rsidRPr="00CA682E">
              <w:rPr>
                <w:rFonts w:eastAsia="Times New Roman" w:cs="Times New Roman"/>
                <w:color w:val="000000" w:themeColor="text1"/>
                <w:sz w:val="16"/>
                <w:szCs w:val="16"/>
                <w:lang w:eastAsia="en-US"/>
              </w:rPr>
              <w:t xml:space="preserve"> AB</w:t>
            </w:r>
          </w:p>
        </w:tc>
      </w:tr>
    </w:tbl>
    <w:p w:rsidR="00CA682E" w:rsidRPr="00CA682E" w:rsidRDefault="00CA682E" w:rsidP="00CA682E">
      <w:pPr>
        <w:rPr>
          <w:rFonts w:eastAsia="Times New Roman" w:cs="Times New Roman"/>
          <w:color w:val="000000" w:themeColor="text1"/>
          <w:sz w:val="20"/>
          <w:lang w:eastAsia="en-US"/>
        </w:rPr>
      </w:pPr>
    </w:p>
    <w:p w:rsidR="00CA682E" w:rsidRPr="00CA682E" w:rsidRDefault="00CA682E" w:rsidP="00CA682E">
      <w:pPr>
        <w:rPr>
          <w:rFonts w:eastAsia="Times New Roman" w:cs="Times New Roman"/>
          <w:color w:val="000000" w:themeColor="text1"/>
          <w:sz w:val="20"/>
          <w:lang w:eastAsia="en-US"/>
        </w:rPr>
      </w:pPr>
    </w:p>
    <w:p w:rsidR="00CA682E" w:rsidRPr="00CA682E" w:rsidRDefault="00CA682E" w:rsidP="00CA682E">
      <w:pPr>
        <w:rPr>
          <w:rFonts w:eastAsia="Times New Roman"/>
          <w:color w:val="000000" w:themeColor="text1"/>
          <w:sz w:val="20"/>
          <w:lang w:eastAsia="en-US"/>
        </w:rPr>
      </w:pPr>
      <w:r w:rsidRPr="00CA682E">
        <w:rPr>
          <w:rFonts w:eastAsia="Times New Roman"/>
          <w:color w:val="000000" w:themeColor="text1"/>
          <w:sz w:val="20"/>
          <w:lang w:eastAsia="en-US"/>
        </w:rPr>
        <w:t>UTILIZACIÓN DE LOS RECURSOS</w:t>
      </w:r>
      <w:r w:rsidRPr="00CA682E">
        <w:rPr>
          <w:rFonts w:eastAsia="Times New Roman"/>
          <w:color w:val="000000" w:themeColor="text1"/>
          <w:sz w:val="20"/>
          <w:vertAlign w:val="superscript"/>
          <w:lang w:eastAsia="en-US"/>
        </w:rPr>
        <w:footnoteReference w:id="183"/>
      </w:r>
    </w:p>
    <w:p w:rsidR="00CA682E" w:rsidRPr="00CA682E" w:rsidRDefault="00CA682E" w:rsidP="00CA682E">
      <w:pPr>
        <w:rPr>
          <w:rFonts w:eastAsia="Times New Roman"/>
          <w:color w:val="000000" w:themeColor="text1"/>
          <w:szCs w:val="22"/>
          <w:lang w:eastAsia="en-US"/>
        </w:rPr>
      </w:pPr>
    </w:p>
    <w:p w:rsidR="00CA682E" w:rsidRPr="00CA682E" w:rsidRDefault="00CA682E" w:rsidP="00CA682E">
      <w:pPr>
        <w:keepNext/>
        <w:keepLines/>
        <w:tabs>
          <w:tab w:val="left" w:pos="3261"/>
        </w:tabs>
        <w:autoSpaceDE w:val="0"/>
        <w:autoSpaceDN w:val="0"/>
        <w:adjustRightInd w:val="0"/>
        <w:jc w:val="center"/>
        <w:rPr>
          <w:rFonts w:eastAsia="Times New Roman" w:cs="Times New Roman"/>
          <w:b/>
          <w:color w:val="000000" w:themeColor="text1"/>
          <w:sz w:val="20"/>
          <w:szCs w:val="22"/>
          <w:lang w:eastAsia="en-US"/>
        </w:rPr>
      </w:pPr>
      <w:r w:rsidRPr="00CA682E">
        <w:rPr>
          <w:rFonts w:eastAsia="Times New Roman" w:cs="Times New Roman"/>
          <w:b/>
          <w:color w:val="000000" w:themeColor="text1"/>
          <w:sz w:val="20"/>
          <w:szCs w:val="22"/>
          <w:lang w:eastAsia="en-US"/>
        </w:rPr>
        <w:t xml:space="preserve">Utilización del presupuesto del proyecto </w:t>
      </w:r>
    </w:p>
    <w:p w:rsidR="00CA682E" w:rsidRPr="00CA682E" w:rsidRDefault="00CA682E" w:rsidP="00CA682E">
      <w:pPr>
        <w:keepNext/>
        <w:keepLines/>
        <w:tabs>
          <w:tab w:val="left" w:pos="3261"/>
        </w:tabs>
        <w:autoSpaceDE w:val="0"/>
        <w:autoSpaceDN w:val="0"/>
        <w:adjustRightInd w:val="0"/>
        <w:spacing w:after="120"/>
        <w:jc w:val="center"/>
        <w:rPr>
          <w:rFonts w:eastAsia="Times New Roman" w:cs="Times New Roman"/>
          <w:i/>
          <w:iCs/>
          <w:color w:val="000000" w:themeColor="text1"/>
          <w:sz w:val="18"/>
          <w:szCs w:val="18"/>
          <w:lang w:eastAsia="en-US"/>
        </w:rPr>
      </w:pPr>
      <w:r w:rsidRPr="00CA682E">
        <w:rPr>
          <w:rFonts w:eastAsia="Times New Roman" w:cs="Times New Roman"/>
          <w:i/>
          <w:iCs/>
          <w:color w:val="000000" w:themeColor="text1"/>
          <w:sz w:val="18"/>
          <w:szCs w:val="18"/>
          <w:lang w:eastAsia="en-US"/>
        </w:rPr>
        <w:t>(</w:t>
      </w:r>
      <w:proofErr w:type="gramStart"/>
      <w:r w:rsidRPr="00CA682E">
        <w:rPr>
          <w:rFonts w:eastAsia="Times New Roman" w:cs="Times New Roman"/>
          <w:i/>
          <w:iCs/>
          <w:color w:val="000000" w:themeColor="text1"/>
          <w:sz w:val="18"/>
          <w:szCs w:val="18"/>
          <w:lang w:eastAsia="en-US"/>
        </w:rPr>
        <w:t>en</w:t>
      </w:r>
      <w:proofErr w:type="gramEnd"/>
      <w:r w:rsidRPr="00CA682E">
        <w:rPr>
          <w:rFonts w:eastAsia="Times New Roman" w:cs="Times New Roman"/>
          <w:i/>
          <w:iCs/>
          <w:color w:val="000000" w:themeColor="text1"/>
          <w:sz w:val="18"/>
          <w:szCs w:val="18"/>
          <w:lang w:eastAsia="en-US"/>
        </w:rPr>
        <w:t xml:space="preserve"> francos suizos, al 31 de diciembre de 2015)</w:t>
      </w:r>
    </w:p>
    <w:tbl>
      <w:tblPr>
        <w:tblpPr w:leftFromText="180" w:rightFromText="180" w:vertAnchor="text" w:horzAnchor="margin" w:tblpX="182" w:tblpY="17"/>
        <w:tblW w:w="47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0"/>
        <w:gridCol w:w="1759"/>
        <w:gridCol w:w="1711"/>
        <w:gridCol w:w="1225"/>
        <w:gridCol w:w="1546"/>
      </w:tblGrid>
      <w:tr w:rsidR="00CA682E" w:rsidRPr="00CA682E" w:rsidTr="007B1DE4">
        <w:trPr>
          <w:trHeight w:val="410"/>
        </w:trPr>
        <w:tc>
          <w:tcPr>
            <w:tcW w:w="160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keepNext/>
              <w:keepLines/>
              <w:autoSpaceDE w:val="0"/>
              <w:autoSpaceDN w:val="0"/>
              <w:adjustRightInd w:val="0"/>
              <w:spacing w:before="40" w:after="40"/>
              <w:ind w:left="-74" w:right="-60"/>
              <w:jc w:val="center"/>
              <w:rPr>
                <w:rFonts w:eastAsia="Times New Roman" w:cs="Times New Roman"/>
                <w:b/>
                <w:bCs/>
                <w:color w:val="000000" w:themeColor="text1"/>
                <w:sz w:val="16"/>
                <w:szCs w:val="16"/>
                <w:lang w:eastAsia="en-US"/>
              </w:rPr>
            </w:pPr>
            <w:r w:rsidRPr="00CA682E">
              <w:rPr>
                <w:rFonts w:eastAsia="Times New Roman" w:cs="Times New Roman"/>
                <w:b/>
                <w:bCs/>
                <w:color w:val="000000" w:themeColor="text1"/>
                <w:sz w:val="16"/>
                <w:szCs w:val="16"/>
                <w:lang w:eastAsia="en-US"/>
              </w:rPr>
              <w:t>Nombre del proyecto</w:t>
            </w:r>
          </w:p>
        </w:tc>
        <w:tc>
          <w:tcPr>
            <w:tcW w:w="95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keepNext/>
              <w:keepLines/>
              <w:autoSpaceDE w:val="0"/>
              <w:autoSpaceDN w:val="0"/>
              <w:adjustRightInd w:val="0"/>
              <w:spacing w:before="40" w:after="40"/>
              <w:ind w:left="-107" w:right="-108"/>
              <w:jc w:val="center"/>
              <w:rPr>
                <w:rFonts w:eastAsia="Times New Roman" w:cs="Times New Roman"/>
                <w:b/>
                <w:bCs/>
                <w:color w:val="000000" w:themeColor="text1"/>
                <w:sz w:val="16"/>
                <w:szCs w:val="16"/>
                <w:lang w:eastAsia="en-US"/>
              </w:rPr>
            </w:pPr>
            <w:r w:rsidRPr="00CA682E">
              <w:rPr>
                <w:rFonts w:eastAsia="Times New Roman" w:cs="Times New Roman"/>
                <w:b/>
                <w:bCs/>
                <w:color w:val="000000" w:themeColor="text1"/>
                <w:sz w:val="16"/>
                <w:szCs w:val="16"/>
                <w:lang w:eastAsia="en-US"/>
              </w:rPr>
              <w:t>Presupuesto del proyecto</w:t>
            </w:r>
          </w:p>
        </w:tc>
        <w:tc>
          <w:tcPr>
            <w:tcW w:w="932"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keepNext/>
              <w:keepLines/>
              <w:autoSpaceDE w:val="0"/>
              <w:autoSpaceDN w:val="0"/>
              <w:adjustRightInd w:val="0"/>
              <w:spacing w:before="40" w:after="40"/>
              <w:ind w:left="-108" w:right="-106"/>
              <w:jc w:val="center"/>
              <w:rPr>
                <w:rFonts w:eastAsia="Times New Roman" w:cs="Times New Roman"/>
                <w:b/>
                <w:bCs/>
                <w:color w:val="000000" w:themeColor="text1"/>
                <w:sz w:val="16"/>
                <w:szCs w:val="16"/>
                <w:lang w:eastAsia="en-US"/>
              </w:rPr>
            </w:pPr>
            <w:r w:rsidRPr="00CA682E">
              <w:rPr>
                <w:rFonts w:eastAsia="Times New Roman" w:cs="Times New Roman"/>
                <w:b/>
                <w:bCs/>
                <w:color w:val="000000" w:themeColor="text1"/>
                <w:sz w:val="16"/>
                <w:szCs w:val="16"/>
                <w:lang w:eastAsia="en-US"/>
              </w:rPr>
              <w:t>Gasto real hasta la fecha</w:t>
            </w:r>
          </w:p>
        </w:tc>
        <w:tc>
          <w:tcPr>
            <w:tcW w:w="667"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keepNext/>
              <w:keepLines/>
              <w:autoSpaceDE w:val="0"/>
              <w:autoSpaceDN w:val="0"/>
              <w:adjustRightInd w:val="0"/>
              <w:spacing w:before="40" w:after="40"/>
              <w:ind w:left="-109" w:right="-108"/>
              <w:jc w:val="center"/>
              <w:rPr>
                <w:rFonts w:eastAsia="Times New Roman" w:cs="Times New Roman"/>
                <w:b/>
                <w:bCs/>
                <w:color w:val="000000" w:themeColor="text1"/>
                <w:sz w:val="16"/>
                <w:szCs w:val="16"/>
                <w:lang w:eastAsia="en-US"/>
              </w:rPr>
            </w:pPr>
            <w:r w:rsidRPr="00CA682E">
              <w:rPr>
                <w:rFonts w:eastAsia="Times New Roman" w:cs="Times New Roman"/>
                <w:b/>
                <w:bCs/>
                <w:color w:val="000000" w:themeColor="text1"/>
                <w:sz w:val="16"/>
                <w:szCs w:val="16"/>
                <w:lang w:eastAsia="en-US"/>
              </w:rPr>
              <w:t>Utilización real del presupuesto</w:t>
            </w:r>
          </w:p>
        </w:tc>
        <w:tc>
          <w:tcPr>
            <w:tcW w:w="842"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keepNext/>
              <w:keepLines/>
              <w:autoSpaceDE w:val="0"/>
              <w:autoSpaceDN w:val="0"/>
              <w:adjustRightInd w:val="0"/>
              <w:spacing w:before="40" w:after="40"/>
              <w:ind w:left="-109" w:right="-73" w:firstLine="1"/>
              <w:jc w:val="center"/>
              <w:rPr>
                <w:rFonts w:eastAsia="Times New Roman" w:cs="Times New Roman"/>
                <w:b/>
                <w:bCs/>
                <w:color w:val="000000" w:themeColor="text1"/>
                <w:sz w:val="16"/>
                <w:szCs w:val="16"/>
                <w:lang w:eastAsia="en-US"/>
              </w:rPr>
            </w:pPr>
            <w:r w:rsidRPr="00CA682E">
              <w:rPr>
                <w:rFonts w:eastAsia="Times New Roman" w:cs="Times New Roman"/>
                <w:b/>
                <w:bCs/>
                <w:color w:val="000000" w:themeColor="text1"/>
                <w:sz w:val="16"/>
                <w:szCs w:val="16"/>
                <w:lang w:eastAsia="en-US"/>
              </w:rPr>
              <w:t>Índice de avance en la ejecución del proyecto</w:t>
            </w:r>
          </w:p>
        </w:tc>
      </w:tr>
      <w:tr w:rsidR="00CA682E" w:rsidRPr="00CA682E" w:rsidTr="007B1DE4">
        <w:trPr>
          <w:trHeight w:val="389"/>
        </w:trPr>
        <w:tc>
          <w:tcPr>
            <w:tcW w:w="1601"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Medidas de seguridad y de protección contra incendios</w:t>
            </w:r>
          </w:p>
        </w:tc>
        <w:tc>
          <w:tcPr>
            <w:tcW w:w="958"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400.000</w:t>
            </w:r>
          </w:p>
        </w:tc>
        <w:tc>
          <w:tcPr>
            <w:tcW w:w="932"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122.587</w:t>
            </w:r>
          </w:p>
        </w:tc>
        <w:tc>
          <w:tcPr>
            <w:tcW w:w="667"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31%</w:t>
            </w:r>
          </w:p>
        </w:tc>
        <w:tc>
          <w:tcPr>
            <w:tcW w:w="842"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40%</w:t>
            </w:r>
          </w:p>
        </w:tc>
      </w:tr>
    </w:tbl>
    <w:p w:rsidR="00CA682E" w:rsidRPr="00CA682E" w:rsidRDefault="00CA682E" w:rsidP="00CA682E">
      <w:pPr>
        <w:keepNext/>
        <w:keepLines/>
        <w:tabs>
          <w:tab w:val="left" w:pos="3261"/>
        </w:tabs>
        <w:autoSpaceDE w:val="0"/>
        <w:autoSpaceDN w:val="0"/>
        <w:adjustRightInd w:val="0"/>
        <w:jc w:val="center"/>
        <w:rPr>
          <w:rFonts w:eastAsia="Times New Roman" w:cs="Times New Roman"/>
          <w:b/>
          <w:color w:val="000000" w:themeColor="text1"/>
          <w:sz w:val="20"/>
          <w:szCs w:val="22"/>
          <w:lang w:eastAsia="en-US"/>
        </w:rPr>
      </w:pPr>
    </w:p>
    <w:p w:rsidR="00CA682E" w:rsidRPr="00CA682E" w:rsidRDefault="00CA682E" w:rsidP="00CA682E">
      <w:pPr>
        <w:spacing w:after="200" w:line="276" w:lineRule="auto"/>
        <w:rPr>
          <w:rFonts w:eastAsia="Times New Roman" w:cs="Times New Roman"/>
          <w:b/>
          <w:color w:val="000000" w:themeColor="text1"/>
          <w:sz w:val="20"/>
          <w:szCs w:val="22"/>
          <w:lang w:eastAsia="en-US"/>
        </w:rPr>
      </w:pPr>
      <w:r w:rsidRPr="00CA682E">
        <w:rPr>
          <w:rFonts w:eastAsia="Times New Roman" w:cs="Times New Roman"/>
          <w:b/>
          <w:color w:val="000000" w:themeColor="text1"/>
          <w:sz w:val="20"/>
          <w:szCs w:val="22"/>
          <w:lang w:eastAsia="en-US"/>
        </w:rPr>
        <w:br w:type="page"/>
      </w:r>
    </w:p>
    <w:p w:rsidR="00CA682E" w:rsidRPr="00CA682E" w:rsidRDefault="00CA682E" w:rsidP="00CA682E">
      <w:pPr>
        <w:keepNext/>
        <w:keepLines/>
        <w:tabs>
          <w:tab w:val="left" w:pos="3261"/>
        </w:tabs>
        <w:autoSpaceDE w:val="0"/>
        <w:autoSpaceDN w:val="0"/>
        <w:adjustRightInd w:val="0"/>
        <w:jc w:val="center"/>
        <w:rPr>
          <w:rFonts w:eastAsia="Times New Roman" w:cs="Times New Roman"/>
          <w:b/>
          <w:color w:val="000000" w:themeColor="text1"/>
          <w:sz w:val="20"/>
          <w:szCs w:val="22"/>
          <w:lang w:eastAsia="en-US"/>
        </w:rPr>
      </w:pPr>
    </w:p>
    <w:p w:rsidR="00CA682E" w:rsidRPr="00CA682E" w:rsidRDefault="00CA682E" w:rsidP="00CA682E">
      <w:pPr>
        <w:keepNext/>
        <w:keepLines/>
        <w:tabs>
          <w:tab w:val="left" w:pos="3261"/>
        </w:tabs>
        <w:autoSpaceDE w:val="0"/>
        <w:autoSpaceDN w:val="0"/>
        <w:adjustRightInd w:val="0"/>
        <w:jc w:val="center"/>
        <w:rPr>
          <w:rFonts w:eastAsia="Times New Roman" w:cs="Times New Roman"/>
          <w:b/>
          <w:color w:val="000000" w:themeColor="text1"/>
          <w:sz w:val="20"/>
          <w:szCs w:val="22"/>
          <w:lang w:eastAsia="en-US"/>
        </w:rPr>
      </w:pPr>
      <w:r w:rsidRPr="00CA682E">
        <w:rPr>
          <w:rFonts w:eastAsia="Times New Roman" w:cs="Times New Roman"/>
          <w:b/>
          <w:color w:val="000000" w:themeColor="text1"/>
          <w:sz w:val="20"/>
          <w:szCs w:val="22"/>
          <w:lang w:eastAsia="en-US"/>
        </w:rPr>
        <w:t>Utilización del presupuesto del proyecto (por etapa)</w:t>
      </w:r>
    </w:p>
    <w:p w:rsidR="00CA682E" w:rsidRPr="00CA682E" w:rsidRDefault="00CA682E" w:rsidP="00CA682E">
      <w:pPr>
        <w:keepNext/>
        <w:keepLines/>
        <w:tabs>
          <w:tab w:val="left" w:pos="3261"/>
        </w:tabs>
        <w:autoSpaceDE w:val="0"/>
        <w:autoSpaceDN w:val="0"/>
        <w:adjustRightInd w:val="0"/>
        <w:spacing w:after="120"/>
        <w:jc w:val="center"/>
        <w:rPr>
          <w:rFonts w:eastAsia="Times New Roman" w:cs="Times New Roman"/>
          <w:i/>
          <w:iCs/>
          <w:color w:val="000000" w:themeColor="text1"/>
          <w:sz w:val="18"/>
          <w:szCs w:val="18"/>
          <w:lang w:eastAsia="en-US"/>
        </w:rPr>
      </w:pPr>
      <w:r w:rsidRPr="00CA682E">
        <w:rPr>
          <w:rFonts w:eastAsia="Times New Roman" w:cs="Times New Roman"/>
          <w:i/>
          <w:iCs/>
          <w:color w:val="000000" w:themeColor="text1"/>
          <w:sz w:val="18"/>
          <w:szCs w:val="18"/>
          <w:lang w:eastAsia="en-US"/>
        </w:rPr>
        <w:t>(</w:t>
      </w:r>
      <w:proofErr w:type="gramStart"/>
      <w:r w:rsidRPr="00CA682E">
        <w:rPr>
          <w:rFonts w:eastAsia="Times New Roman" w:cs="Times New Roman"/>
          <w:i/>
          <w:iCs/>
          <w:color w:val="000000" w:themeColor="text1"/>
          <w:sz w:val="18"/>
          <w:szCs w:val="18"/>
          <w:lang w:eastAsia="en-US"/>
        </w:rPr>
        <w:t>en</w:t>
      </w:r>
      <w:proofErr w:type="gramEnd"/>
      <w:r w:rsidRPr="00CA682E">
        <w:rPr>
          <w:rFonts w:eastAsia="Times New Roman" w:cs="Times New Roman"/>
          <w:i/>
          <w:iCs/>
          <w:color w:val="000000" w:themeColor="text1"/>
          <w:sz w:val="18"/>
          <w:szCs w:val="18"/>
          <w:lang w:eastAsia="en-US"/>
        </w:rPr>
        <w:t xml:space="preserve"> francos suizos, al 31 de diciembre de 2015) </w:t>
      </w:r>
    </w:p>
    <w:tbl>
      <w:tblPr>
        <w:tblpPr w:leftFromText="180" w:rightFromText="180" w:vertAnchor="text" w:horzAnchor="margin" w:tblpX="148" w:tblpY="17"/>
        <w:tblW w:w="48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21"/>
        <w:gridCol w:w="1387"/>
        <w:gridCol w:w="1589"/>
        <w:gridCol w:w="1563"/>
        <w:gridCol w:w="1697"/>
      </w:tblGrid>
      <w:tr w:rsidR="00CA682E" w:rsidRPr="00CA682E" w:rsidTr="007B1DE4">
        <w:trPr>
          <w:trHeight w:val="410"/>
        </w:trPr>
        <w:tc>
          <w:tcPr>
            <w:tcW w:w="166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keepNext/>
              <w:keepLines/>
              <w:autoSpaceDE w:val="0"/>
              <w:autoSpaceDN w:val="0"/>
              <w:adjustRightInd w:val="0"/>
              <w:spacing w:before="40" w:after="40"/>
              <w:ind w:left="-74" w:right="-60"/>
              <w:jc w:val="center"/>
              <w:rPr>
                <w:rFonts w:eastAsia="Times New Roman" w:cs="Times New Roman"/>
                <w:b/>
                <w:bCs/>
                <w:color w:val="000000" w:themeColor="text1"/>
                <w:sz w:val="16"/>
                <w:szCs w:val="16"/>
                <w:lang w:eastAsia="en-US"/>
              </w:rPr>
            </w:pPr>
            <w:r w:rsidRPr="00CA682E">
              <w:rPr>
                <w:rFonts w:eastAsia="Times New Roman" w:cs="Times New Roman"/>
                <w:b/>
                <w:bCs/>
                <w:color w:val="000000" w:themeColor="text1"/>
                <w:sz w:val="16"/>
                <w:szCs w:val="16"/>
                <w:lang w:eastAsia="en-US"/>
              </w:rPr>
              <w:t>Etapas fundamentales</w:t>
            </w:r>
          </w:p>
        </w:tc>
        <w:tc>
          <w:tcPr>
            <w:tcW w:w="74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keepNext/>
              <w:keepLines/>
              <w:autoSpaceDE w:val="0"/>
              <w:autoSpaceDN w:val="0"/>
              <w:adjustRightInd w:val="0"/>
              <w:spacing w:before="40" w:after="40"/>
              <w:ind w:left="-107" w:right="-108"/>
              <w:jc w:val="center"/>
              <w:rPr>
                <w:rFonts w:eastAsia="Times New Roman" w:cs="Times New Roman"/>
                <w:b/>
                <w:bCs/>
                <w:color w:val="000000" w:themeColor="text1"/>
                <w:sz w:val="16"/>
                <w:szCs w:val="16"/>
                <w:lang w:eastAsia="en-US"/>
              </w:rPr>
            </w:pPr>
            <w:r w:rsidRPr="00CA682E">
              <w:rPr>
                <w:rFonts w:eastAsia="Times New Roman" w:cs="Times New Roman"/>
                <w:b/>
                <w:bCs/>
                <w:color w:val="000000" w:themeColor="text1"/>
                <w:sz w:val="16"/>
                <w:szCs w:val="16"/>
                <w:lang w:eastAsia="en-US"/>
              </w:rPr>
              <w:t>Presupuesto del proyecto</w:t>
            </w:r>
          </w:p>
        </w:tc>
        <w:tc>
          <w:tcPr>
            <w:tcW w:w="84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keepNext/>
              <w:keepLines/>
              <w:autoSpaceDE w:val="0"/>
              <w:autoSpaceDN w:val="0"/>
              <w:adjustRightInd w:val="0"/>
              <w:spacing w:before="40" w:after="40"/>
              <w:ind w:left="-108" w:right="-106"/>
              <w:jc w:val="center"/>
              <w:rPr>
                <w:rFonts w:eastAsia="Times New Roman" w:cs="Times New Roman"/>
                <w:b/>
                <w:bCs/>
                <w:color w:val="000000" w:themeColor="text1"/>
                <w:sz w:val="16"/>
                <w:szCs w:val="16"/>
                <w:lang w:eastAsia="en-US"/>
              </w:rPr>
            </w:pPr>
            <w:r w:rsidRPr="00CA682E">
              <w:rPr>
                <w:rFonts w:eastAsia="Times New Roman" w:cs="Times New Roman"/>
                <w:b/>
                <w:bCs/>
                <w:color w:val="000000" w:themeColor="text1"/>
                <w:sz w:val="16"/>
                <w:szCs w:val="16"/>
                <w:lang w:eastAsia="en-US"/>
              </w:rPr>
              <w:t>Gasto real hasta la fecha</w:t>
            </w:r>
          </w:p>
        </w:tc>
        <w:tc>
          <w:tcPr>
            <w:tcW w:w="835"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keepNext/>
              <w:keepLines/>
              <w:autoSpaceDE w:val="0"/>
              <w:autoSpaceDN w:val="0"/>
              <w:adjustRightInd w:val="0"/>
              <w:spacing w:before="40" w:after="40"/>
              <w:ind w:left="-109" w:right="-108"/>
              <w:jc w:val="center"/>
              <w:rPr>
                <w:rFonts w:eastAsia="Times New Roman" w:cs="Times New Roman"/>
                <w:b/>
                <w:bCs/>
                <w:color w:val="000000" w:themeColor="text1"/>
                <w:sz w:val="16"/>
                <w:szCs w:val="16"/>
                <w:lang w:eastAsia="en-US"/>
              </w:rPr>
            </w:pPr>
            <w:r w:rsidRPr="00CA682E">
              <w:rPr>
                <w:rFonts w:eastAsia="Times New Roman" w:cs="Times New Roman"/>
                <w:b/>
                <w:bCs/>
                <w:color w:val="000000" w:themeColor="text1"/>
                <w:sz w:val="16"/>
                <w:szCs w:val="16"/>
                <w:lang w:eastAsia="en-US"/>
              </w:rPr>
              <w:t>Utilización real del presupuesto</w:t>
            </w:r>
          </w:p>
        </w:tc>
        <w:tc>
          <w:tcPr>
            <w:tcW w:w="907"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keepNext/>
              <w:keepLines/>
              <w:autoSpaceDE w:val="0"/>
              <w:autoSpaceDN w:val="0"/>
              <w:adjustRightInd w:val="0"/>
              <w:spacing w:before="40" w:after="40"/>
              <w:ind w:left="-109" w:right="-73" w:firstLine="1"/>
              <w:jc w:val="center"/>
              <w:rPr>
                <w:rFonts w:eastAsia="Times New Roman" w:cs="Times New Roman"/>
                <w:b/>
                <w:bCs/>
                <w:color w:val="000000" w:themeColor="text1"/>
                <w:sz w:val="16"/>
                <w:szCs w:val="16"/>
                <w:lang w:eastAsia="en-US"/>
              </w:rPr>
            </w:pPr>
            <w:r w:rsidRPr="00CA682E">
              <w:rPr>
                <w:rFonts w:eastAsia="Times New Roman" w:cs="Times New Roman"/>
                <w:b/>
                <w:bCs/>
                <w:color w:val="000000" w:themeColor="text1"/>
                <w:sz w:val="16"/>
                <w:szCs w:val="16"/>
                <w:lang w:eastAsia="en-US"/>
              </w:rPr>
              <w:t>Índice de avance en la ejecución del proyecto</w:t>
            </w:r>
          </w:p>
        </w:tc>
      </w:tr>
      <w:tr w:rsidR="00CA682E" w:rsidRPr="00CA682E" w:rsidTr="007B1DE4">
        <w:trPr>
          <w:trHeight w:val="389"/>
        </w:trPr>
        <w:tc>
          <w:tcPr>
            <w:tcW w:w="1668"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Compartimentación del edificio PCT</w:t>
            </w:r>
          </w:p>
        </w:tc>
        <w:tc>
          <w:tcPr>
            <w:tcW w:w="741"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45.000</w:t>
            </w:r>
          </w:p>
        </w:tc>
        <w:tc>
          <w:tcPr>
            <w:tcW w:w="849"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44.392</w:t>
            </w:r>
          </w:p>
        </w:tc>
        <w:tc>
          <w:tcPr>
            <w:tcW w:w="835"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98%</w:t>
            </w:r>
          </w:p>
        </w:tc>
        <w:tc>
          <w:tcPr>
            <w:tcW w:w="907"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100%</w:t>
            </w:r>
          </w:p>
        </w:tc>
      </w:tr>
      <w:tr w:rsidR="00CA682E" w:rsidRPr="00CA682E" w:rsidTr="007B1DE4">
        <w:trPr>
          <w:trHeight w:val="389"/>
        </w:trPr>
        <w:tc>
          <w:tcPr>
            <w:tcW w:w="1668"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Mejora de la planificación del espacio en la zona para los delegados en el segundo subsuelo del edificio AB/creación de un vestíbulo de independencia en el acceso a los ascensores en el segundo subsuelo del edificio AB</w:t>
            </w:r>
          </w:p>
        </w:tc>
        <w:tc>
          <w:tcPr>
            <w:tcW w:w="741"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55.000</w:t>
            </w:r>
          </w:p>
        </w:tc>
        <w:tc>
          <w:tcPr>
            <w:tcW w:w="849"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78.195</w:t>
            </w:r>
          </w:p>
        </w:tc>
        <w:tc>
          <w:tcPr>
            <w:tcW w:w="835"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142%</w:t>
            </w:r>
          </w:p>
        </w:tc>
        <w:tc>
          <w:tcPr>
            <w:tcW w:w="907"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100%</w:t>
            </w:r>
          </w:p>
        </w:tc>
      </w:tr>
      <w:tr w:rsidR="00CA682E" w:rsidRPr="00CA682E" w:rsidTr="007B1DE4">
        <w:trPr>
          <w:trHeight w:val="389"/>
        </w:trPr>
        <w:tc>
          <w:tcPr>
            <w:tcW w:w="1668"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Estudio y proyecto relacionados con la compartimentación entre los edificios GBI y AB</w:t>
            </w:r>
          </w:p>
        </w:tc>
        <w:tc>
          <w:tcPr>
            <w:tcW w:w="741"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175.000</w:t>
            </w:r>
          </w:p>
        </w:tc>
        <w:tc>
          <w:tcPr>
            <w:tcW w:w="849"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0</w:t>
            </w:r>
          </w:p>
        </w:tc>
        <w:tc>
          <w:tcPr>
            <w:tcW w:w="835"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0%</w:t>
            </w:r>
          </w:p>
        </w:tc>
        <w:tc>
          <w:tcPr>
            <w:tcW w:w="907"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10%</w:t>
            </w:r>
          </w:p>
        </w:tc>
      </w:tr>
      <w:tr w:rsidR="00CA682E" w:rsidRPr="00CA682E" w:rsidTr="007B1DE4">
        <w:trPr>
          <w:trHeight w:val="389"/>
        </w:trPr>
        <w:tc>
          <w:tcPr>
            <w:tcW w:w="1668"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Proyecto relacionado con la compartimentación entre los edificios GBI y GBII (todos los niveles, con excepción del primer subsuelo)</w:t>
            </w:r>
          </w:p>
        </w:tc>
        <w:tc>
          <w:tcPr>
            <w:tcW w:w="741"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65.000</w:t>
            </w:r>
          </w:p>
        </w:tc>
        <w:tc>
          <w:tcPr>
            <w:tcW w:w="849"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0</w:t>
            </w:r>
          </w:p>
        </w:tc>
        <w:tc>
          <w:tcPr>
            <w:tcW w:w="835"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0%</w:t>
            </w:r>
          </w:p>
        </w:tc>
        <w:tc>
          <w:tcPr>
            <w:tcW w:w="907"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w:t>
            </w:r>
          </w:p>
        </w:tc>
      </w:tr>
      <w:tr w:rsidR="00CA682E" w:rsidRPr="00CA682E" w:rsidTr="007B1DE4">
        <w:trPr>
          <w:trHeight w:val="389"/>
        </w:trPr>
        <w:tc>
          <w:tcPr>
            <w:tcW w:w="1668"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Proyecto relacionado con la compartimentación del edificio AB (con excepción del segundo subsuelo)</w:t>
            </w:r>
          </w:p>
        </w:tc>
        <w:tc>
          <w:tcPr>
            <w:tcW w:w="741"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60.000</w:t>
            </w:r>
          </w:p>
        </w:tc>
        <w:tc>
          <w:tcPr>
            <w:tcW w:w="849"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0</w:t>
            </w:r>
          </w:p>
        </w:tc>
        <w:tc>
          <w:tcPr>
            <w:tcW w:w="835"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0%</w:t>
            </w:r>
          </w:p>
        </w:tc>
        <w:tc>
          <w:tcPr>
            <w:tcW w:w="907"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keepNext/>
              <w:keepLines/>
              <w:autoSpaceDE w:val="0"/>
              <w:autoSpaceDN w:val="0"/>
              <w:adjustRightInd w:val="0"/>
              <w:spacing w:before="40"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w:t>
            </w:r>
          </w:p>
        </w:tc>
      </w:tr>
      <w:tr w:rsidR="00CA682E" w:rsidRPr="00CA682E" w:rsidTr="007B1DE4">
        <w:trPr>
          <w:trHeight w:val="389"/>
        </w:trPr>
        <w:tc>
          <w:tcPr>
            <w:tcW w:w="166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keepNext/>
              <w:keepLines/>
              <w:autoSpaceDE w:val="0"/>
              <w:autoSpaceDN w:val="0"/>
              <w:adjustRightInd w:val="0"/>
              <w:spacing w:before="40" w:after="40"/>
              <w:rPr>
                <w:rFonts w:eastAsia="Times New Roman" w:cs="Times New Roman"/>
                <w:b/>
                <w:color w:val="000000" w:themeColor="text1"/>
                <w:sz w:val="16"/>
                <w:szCs w:val="16"/>
                <w:lang w:eastAsia="en-US"/>
              </w:rPr>
            </w:pPr>
            <w:r w:rsidRPr="00CA682E">
              <w:rPr>
                <w:rFonts w:eastAsia="Times New Roman" w:cs="Times New Roman"/>
                <w:b/>
                <w:color w:val="000000" w:themeColor="text1"/>
                <w:sz w:val="16"/>
                <w:szCs w:val="16"/>
                <w:lang w:eastAsia="en-US"/>
              </w:rPr>
              <w:t>Total</w:t>
            </w:r>
          </w:p>
        </w:tc>
        <w:tc>
          <w:tcPr>
            <w:tcW w:w="74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keepNext/>
              <w:keepLines/>
              <w:autoSpaceDE w:val="0"/>
              <w:autoSpaceDN w:val="0"/>
              <w:adjustRightInd w:val="0"/>
              <w:spacing w:before="40" w:after="40"/>
              <w:jc w:val="center"/>
              <w:rPr>
                <w:rFonts w:eastAsia="Times New Roman" w:cs="Times New Roman"/>
                <w:b/>
                <w:color w:val="000000" w:themeColor="text1"/>
                <w:sz w:val="16"/>
                <w:szCs w:val="16"/>
                <w:lang w:eastAsia="en-US"/>
              </w:rPr>
            </w:pPr>
            <w:r w:rsidRPr="00CA682E">
              <w:rPr>
                <w:rFonts w:eastAsia="Times New Roman" w:cs="Times New Roman"/>
                <w:b/>
                <w:color w:val="000000" w:themeColor="text1"/>
                <w:sz w:val="16"/>
                <w:szCs w:val="16"/>
                <w:lang w:eastAsia="en-US"/>
              </w:rPr>
              <w:t>400.000</w:t>
            </w:r>
          </w:p>
        </w:tc>
        <w:tc>
          <w:tcPr>
            <w:tcW w:w="84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keepNext/>
              <w:keepLines/>
              <w:autoSpaceDE w:val="0"/>
              <w:autoSpaceDN w:val="0"/>
              <w:adjustRightInd w:val="0"/>
              <w:spacing w:before="40" w:after="40"/>
              <w:jc w:val="center"/>
              <w:rPr>
                <w:rFonts w:eastAsia="Times New Roman" w:cs="Times New Roman"/>
                <w:b/>
                <w:color w:val="000000" w:themeColor="text1"/>
                <w:sz w:val="16"/>
                <w:szCs w:val="16"/>
                <w:lang w:eastAsia="en-US"/>
              </w:rPr>
            </w:pPr>
            <w:r w:rsidRPr="00CA682E">
              <w:rPr>
                <w:rFonts w:eastAsia="Times New Roman" w:cs="Times New Roman"/>
                <w:b/>
                <w:color w:val="000000" w:themeColor="text1"/>
                <w:sz w:val="16"/>
                <w:szCs w:val="16"/>
                <w:lang w:eastAsia="en-US"/>
              </w:rPr>
              <w:t>122.587</w:t>
            </w:r>
          </w:p>
        </w:tc>
        <w:tc>
          <w:tcPr>
            <w:tcW w:w="835"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CA682E" w:rsidRPr="00CA682E" w:rsidRDefault="00CA682E" w:rsidP="00CA682E">
            <w:pPr>
              <w:keepNext/>
              <w:keepLines/>
              <w:autoSpaceDE w:val="0"/>
              <w:autoSpaceDN w:val="0"/>
              <w:adjustRightInd w:val="0"/>
              <w:spacing w:before="40" w:after="40"/>
              <w:jc w:val="center"/>
              <w:rPr>
                <w:rFonts w:eastAsia="Times New Roman" w:cs="Times New Roman"/>
                <w:b/>
                <w:color w:val="000000" w:themeColor="text1"/>
                <w:sz w:val="16"/>
                <w:szCs w:val="16"/>
                <w:lang w:eastAsia="en-US"/>
              </w:rPr>
            </w:pPr>
          </w:p>
        </w:tc>
        <w:tc>
          <w:tcPr>
            <w:tcW w:w="907"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CA682E" w:rsidRPr="00CA682E" w:rsidRDefault="00CA682E" w:rsidP="00CA682E">
            <w:pPr>
              <w:keepNext/>
              <w:keepLines/>
              <w:autoSpaceDE w:val="0"/>
              <w:autoSpaceDN w:val="0"/>
              <w:adjustRightInd w:val="0"/>
              <w:spacing w:before="40" w:after="40"/>
              <w:jc w:val="center"/>
              <w:rPr>
                <w:rFonts w:eastAsia="Times New Roman" w:cs="Times New Roman"/>
                <w:b/>
                <w:color w:val="000000" w:themeColor="text1"/>
                <w:sz w:val="16"/>
                <w:szCs w:val="16"/>
                <w:lang w:eastAsia="en-US"/>
              </w:rPr>
            </w:pPr>
          </w:p>
        </w:tc>
      </w:tr>
    </w:tbl>
    <w:p w:rsidR="00CA682E" w:rsidRPr="00CA682E" w:rsidRDefault="00CA682E" w:rsidP="00CA682E">
      <w:pPr>
        <w:keepNext/>
        <w:keepLines/>
        <w:tabs>
          <w:tab w:val="left" w:pos="3261"/>
        </w:tabs>
        <w:autoSpaceDE w:val="0"/>
        <w:autoSpaceDN w:val="0"/>
        <w:adjustRightInd w:val="0"/>
        <w:jc w:val="center"/>
        <w:rPr>
          <w:rFonts w:eastAsia="Times New Roman" w:cs="Times New Roman"/>
          <w:b/>
          <w:color w:val="000000" w:themeColor="text1"/>
          <w:sz w:val="20"/>
          <w:szCs w:val="22"/>
          <w:lang w:eastAsia="en-US"/>
        </w:rPr>
      </w:pPr>
    </w:p>
    <w:p w:rsidR="00CA682E" w:rsidRPr="00CA682E" w:rsidRDefault="00CA682E" w:rsidP="00CA682E">
      <w:pPr>
        <w:keepNext/>
        <w:keepLines/>
        <w:tabs>
          <w:tab w:val="left" w:pos="3261"/>
        </w:tabs>
        <w:autoSpaceDE w:val="0"/>
        <w:autoSpaceDN w:val="0"/>
        <w:adjustRightInd w:val="0"/>
        <w:jc w:val="center"/>
        <w:rPr>
          <w:rFonts w:eastAsia="Times New Roman" w:cs="Times New Roman"/>
          <w:b/>
          <w:color w:val="000000" w:themeColor="text1"/>
          <w:sz w:val="20"/>
          <w:szCs w:val="22"/>
          <w:lang w:eastAsia="en-US"/>
        </w:rPr>
      </w:pPr>
    </w:p>
    <w:p w:rsidR="00CA682E" w:rsidRPr="00CA682E" w:rsidRDefault="00CA682E" w:rsidP="00CA682E">
      <w:pPr>
        <w:keepNext/>
        <w:keepLines/>
        <w:tabs>
          <w:tab w:val="left" w:pos="3261"/>
        </w:tabs>
        <w:autoSpaceDE w:val="0"/>
        <w:autoSpaceDN w:val="0"/>
        <w:adjustRightInd w:val="0"/>
        <w:jc w:val="center"/>
        <w:rPr>
          <w:rFonts w:eastAsia="Times New Roman" w:cs="Times New Roman"/>
          <w:b/>
          <w:color w:val="000000" w:themeColor="text1"/>
          <w:sz w:val="20"/>
          <w:szCs w:val="22"/>
          <w:lang w:eastAsia="en-US"/>
        </w:rPr>
      </w:pPr>
      <w:r w:rsidRPr="00CA682E">
        <w:rPr>
          <w:rFonts w:eastAsia="Times New Roman" w:cs="Times New Roman"/>
          <w:b/>
          <w:color w:val="000000" w:themeColor="text1"/>
          <w:sz w:val="20"/>
          <w:szCs w:val="22"/>
          <w:lang w:eastAsia="en-US"/>
        </w:rPr>
        <w:t>Utilización del presupuesto del proyecto (por categoría de costo)</w:t>
      </w:r>
    </w:p>
    <w:p w:rsidR="00CA682E" w:rsidRPr="00CA682E" w:rsidRDefault="00CA682E" w:rsidP="00CA682E">
      <w:pPr>
        <w:keepNext/>
        <w:keepLines/>
        <w:tabs>
          <w:tab w:val="left" w:pos="3261"/>
        </w:tabs>
        <w:autoSpaceDE w:val="0"/>
        <w:autoSpaceDN w:val="0"/>
        <w:adjustRightInd w:val="0"/>
        <w:spacing w:after="120"/>
        <w:jc w:val="center"/>
        <w:rPr>
          <w:rFonts w:eastAsia="Times New Roman" w:cs="Times New Roman"/>
          <w:i/>
          <w:iCs/>
          <w:color w:val="000000" w:themeColor="text1"/>
          <w:sz w:val="18"/>
          <w:szCs w:val="18"/>
          <w:lang w:eastAsia="en-US"/>
        </w:rPr>
      </w:pPr>
      <w:r w:rsidRPr="00CA682E">
        <w:rPr>
          <w:rFonts w:eastAsia="Times New Roman" w:cs="Times New Roman"/>
          <w:i/>
          <w:iCs/>
          <w:color w:val="000000" w:themeColor="text1"/>
          <w:sz w:val="18"/>
          <w:szCs w:val="18"/>
          <w:lang w:eastAsia="en-US"/>
        </w:rPr>
        <w:t>(</w:t>
      </w:r>
      <w:proofErr w:type="gramStart"/>
      <w:r w:rsidRPr="00CA682E">
        <w:rPr>
          <w:rFonts w:eastAsia="Times New Roman" w:cs="Times New Roman"/>
          <w:i/>
          <w:iCs/>
          <w:color w:val="000000" w:themeColor="text1"/>
          <w:sz w:val="18"/>
          <w:szCs w:val="18"/>
          <w:lang w:eastAsia="en-US"/>
        </w:rPr>
        <w:t>en</w:t>
      </w:r>
      <w:proofErr w:type="gramEnd"/>
      <w:r w:rsidRPr="00CA682E">
        <w:rPr>
          <w:rFonts w:eastAsia="Times New Roman" w:cs="Times New Roman"/>
          <w:i/>
          <w:iCs/>
          <w:color w:val="000000" w:themeColor="text1"/>
          <w:sz w:val="18"/>
          <w:szCs w:val="18"/>
          <w:lang w:eastAsia="en-US"/>
        </w:rPr>
        <w:t xml:space="preserve"> francos suizos, al 31 de diciembre de 2015)</w:t>
      </w:r>
    </w:p>
    <w:tbl>
      <w:tblPr>
        <w:tblW w:w="488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5"/>
        <w:gridCol w:w="1840"/>
        <w:gridCol w:w="1840"/>
        <w:gridCol w:w="2140"/>
      </w:tblGrid>
      <w:tr w:rsidR="00CA682E" w:rsidRPr="00CA682E" w:rsidTr="007B1DE4">
        <w:trPr>
          <w:trHeight w:val="569"/>
        </w:trPr>
        <w:tc>
          <w:tcPr>
            <w:tcW w:w="188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keepNext/>
              <w:keepLines/>
              <w:autoSpaceDE w:val="0"/>
              <w:autoSpaceDN w:val="0"/>
              <w:adjustRightInd w:val="0"/>
              <w:spacing w:before="40" w:after="40"/>
              <w:ind w:left="-74" w:right="-60"/>
              <w:jc w:val="center"/>
              <w:rPr>
                <w:rFonts w:eastAsia="Times New Roman" w:cs="Times New Roman"/>
                <w:b/>
                <w:bCs/>
                <w:color w:val="000000" w:themeColor="text1"/>
                <w:sz w:val="16"/>
                <w:szCs w:val="16"/>
                <w:lang w:eastAsia="en-US"/>
              </w:rPr>
            </w:pPr>
            <w:r w:rsidRPr="00CA682E">
              <w:rPr>
                <w:rFonts w:eastAsia="Times New Roman" w:cs="Times New Roman"/>
                <w:b/>
                <w:bCs/>
                <w:color w:val="000000" w:themeColor="text1"/>
                <w:sz w:val="16"/>
                <w:szCs w:val="16"/>
                <w:lang w:eastAsia="en-US"/>
              </w:rPr>
              <w:t>Categoría de costo</w:t>
            </w:r>
          </w:p>
        </w:tc>
        <w:tc>
          <w:tcPr>
            <w:tcW w:w="98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keepNext/>
              <w:keepLines/>
              <w:autoSpaceDE w:val="0"/>
              <w:autoSpaceDN w:val="0"/>
              <w:adjustRightInd w:val="0"/>
              <w:spacing w:before="40" w:after="40"/>
              <w:ind w:left="-107" w:right="-108"/>
              <w:jc w:val="center"/>
              <w:rPr>
                <w:rFonts w:eastAsia="Times New Roman" w:cs="Times New Roman"/>
                <w:b/>
                <w:bCs/>
                <w:color w:val="000000" w:themeColor="text1"/>
                <w:sz w:val="16"/>
                <w:szCs w:val="16"/>
                <w:lang w:eastAsia="en-US"/>
              </w:rPr>
            </w:pPr>
            <w:r w:rsidRPr="00CA682E">
              <w:rPr>
                <w:rFonts w:eastAsia="Times New Roman" w:cs="Times New Roman"/>
                <w:b/>
                <w:bCs/>
                <w:color w:val="000000" w:themeColor="text1"/>
                <w:sz w:val="16"/>
                <w:szCs w:val="16"/>
                <w:lang w:eastAsia="en-US"/>
              </w:rPr>
              <w:t xml:space="preserve">Presupuesto del proyecto </w:t>
            </w:r>
          </w:p>
        </w:tc>
        <w:tc>
          <w:tcPr>
            <w:tcW w:w="98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keepNext/>
              <w:keepLines/>
              <w:autoSpaceDE w:val="0"/>
              <w:autoSpaceDN w:val="0"/>
              <w:adjustRightInd w:val="0"/>
              <w:spacing w:before="40" w:after="40"/>
              <w:ind w:left="-108"/>
              <w:jc w:val="center"/>
              <w:rPr>
                <w:rFonts w:eastAsia="Times New Roman" w:cs="Times New Roman"/>
                <w:b/>
                <w:bCs/>
                <w:color w:val="000000" w:themeColor="text1"/>
                <w:sz w:val="16"/>
                <w:szCs w:val="16"/>
                <w:lang w:eastAsia="en-US"/>
              </w:rPr>
            </w:pPr>
            <w:r w:rsidRPr="00CA682E">
              <w:rPr>
                <w:rFonts w:eastAsia="Times New Roman" w:cs="Times New Roman"/>
                <w:b/>
                <w:bCs/>
                <w:color w:val="000000" w:themeColor="text1"/>
                <w:sz w:val="16"/>
                <w:szCs w:val="16"/>
                <w:lang w:eastAsia="en-US"/>
              </w:rPr>
              <w:t xml:space="preserve">Gasto real hasta la fecha </w:t>
            </w:r>
          </w:p>
        </w:tc>
        <w:tc>
          <w:tcPr>
            <w:tcW w:w="1144"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keepNext/>
              <w:keepLines/>
              <w:autoSpaceDE w:val="0"/>
              <w:autoSpaceDN w:val="0"/>
              <w:adjustRightInd w:val="0"/>
              <w:spacing w:before="40" w:after="40"/>
              <w:ind w:left="-109"/>
              <w:jc w:val="center"/>
              <w:rPr>
                <w:rFonts w:eastAsia="Times New Roman" w:cs="Times New Roman"/>
                <w:b/>
                <w:bCs/>
                <w:color w:val="000000" w:themeColor="text1"/>
                <w:sz w:val="16"/>
                <w:szCs w:val="16"/>
                <w:lang w:eastAsia="en-US"/>
              </w:rPr>
            </w:pPr>
            <w:r w:rsidRPr="00CA682E">
              <w:rPr>
                <w:rFonts w:eastAsia="Times New Roman" w:cs="Times New Roman"/>
                <w:b/>
                <w:bCs/>
                <w:color w:val="000000" w:themeColor="text1"/>
                <w:sz w:val="16"/>
                <w:szCs w:val="16"/>
                <w:lang w:eastAsia="en-US"/>
              </w:rPr>
              <w:t>Utilización real del presupuesto</w:t>
            </w:r>
          </w:p>
        </w:tc>
      </w:tr>
      <w:tr w:rsidR="00CA682E" w:rsidRPr="00CA682E" w:rsidTr="007B1DE4">
        <w:tc>
          <w:tcPr>
            <w:tcW w:w="1889"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autoSpaceDE w:val="0"/>
              <w:autoSpaceDN w:val="0"/>
              <w:adjustRightInd w:val="0"/>
              <w:spacing w:before="40" w:after="40"/>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Costos relacionados con las obras</w:t>
            </w:r>
          </w:p>
        </w:tc>
        <w:tc>
          <w:tcPr>
            <w:tcW w:w="983"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autoSpaceDE w:val="0"/>
              <w:autoSpaceDN w:val="0"/>
              <w:adjustRightInd w:val="0"/>
              <w:spacing w:before="40"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312.000</w:t>
            </w:r>
          </w:p>
        </w:tc>
        <w:tc>
          <w:tcPr>
            <w:tcW w:w="983" w:type="pct"/>
            <w:tcBorders>
              <w:top w:val="single" w:sz="4" w:space="0" w:color="auto"/>
              <w:left w:val="single" w:sz="4" w:space="0" w:color="auto"/>
              <w:bottom w:val="single" w:sz="4" w:space="0" w:color="auto"/>
              <w:right w:val="single" w:sz="4" w:space="0" w:color="auto"/>
            </w:tcBorders>
          </w:tcPr>
          <w:p w:rsidR="00CA682E" w:rsidRPr="00CA682E" w:rsidRDefault="00CA682E" w:rsidP="00CA682E">
            <w:pPr>
              <w:autoSpaceDE w:val="0"/>
              <w:autoSpaceDN w:val="0"/>
              <w:adjustRightInd w:val="0"/>
              <w:spacing w:before="40"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122.587</w:t>
            </w:r>
          </w:p>
        </w:tc>
        <w:tc>
          <w:tcPr>
            <w:tcW w:w="1144" w:type="pct"/>
            <w:tcBorders>
              <w:top w:val="single" w:sz="4" w:space="0" w:color="auto"/>
              <w:left w:val="single" w:sz="4" w:space="0" w:color="auto"/>
              <w:bottom w:val="single" w:sz="4" w:space="0" w:color="auto"/>
              <w:right w:val="single" w:sz="4" w:space="0" w:color="auto"/>
            </w:tcBorders>
          </w:tcPr>
          <w:p w:rsidR="00CA682E" w:rsidRPr="00CA682E" w:rsidRDefault="00CA682E" w:rsidP="00CA682E">
            <w:pPr>
              <w:autoSpaceDE w:val="0"/>
              <w:autoSpaceDN w:val="0"/>
              <w:adjustRightInd w:val="0"/>
              <w:spacing w:before="40"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39%</w:t>
            </w:r>
          </w:p>
        </w:tc>
      </w:tr>
      <w:tr w:rsidR="00CA682E" w:rsidRPr="00CA682E" w:rsidTr="007B1DE4">
        <w:tc>
          <w:tcPr>
            <w:tcW w:w="1889"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autoSpaceDE w:val="0"/>
              <w:autoSpaceDN w:val="0"/>
              <w:adjustRightInd w:val="0"/>
              <w:spacing w:before="40" w:after="40"/>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Honorarios</w:t>
            </w:r>
          </w:p>
        </w:tc>
        <w:tc>
          <w:tcPr>
            <w:tcW w:w="983"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autoSpaceDE w:val="0"/>
              <w:autoSpaceDN w:val="0"/>
              <w:adjustRightInd w:val="0"/>
              <w:spacing w:before="40"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60.000</w:t>
            </w:r>
          </w:p>
        </w:tc>
        <w:tc>
          <w:tcPr>
            <w:tcW w:w="983" w:type="pct"/>
            <w:tcBorders>
              <w:top w:val="single" w:sz="4" w:space="0" w:color="auto"/>
              <w:left w:val="single" w:sz="4" w:space="0" w:color="auto"/>
              <w:bottom w:val="single" w:sz="4" w:space="0" w:color="auto"/>
              <w:right w:val="single" w:sz="4" w:space="0" w:color="auto"/>
            </w:tcBorders>
          </w:tcPr>
          <w:p w:rsidR="00CA682E" w:rsidRPr="00CA682E" w:rsidRDefault="00CA682E" w:rsidP="00CA682E">
            <w:pPr>
              <w:autoSpaceDE w:val="0"/>
              <w:autoSpaceDN w:val="0"/>
              <w:adjustRightInd w:val="0"/>
              <w:spacing w:before="40"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0</w:t>
            </w:r>
          </w:p>
        </w:tc>
        <w:tc>
          <w:tcPr>
            <w:tcW w:w="1144" w:type="pct"/>
            <w:tcBorders>
              <w:top w:val="single" w:sz="4" w:space="0" w:color="auto"/>
              <w:left w:val="single" w:sz="4" w:space="0" w:color="auto"/>
              <w:bottom w:val="single" w:sz="4" w:space="0" w:color="auto"/>
              <w:right w:val="single" w:sz="4" w:space="0" w:color="auto"/>
            </w:tcBorders>
          </w:tcPr>
          <w:p w:rsidR="00CA682E" w:rsidRPr="00CA682E" w:rsidRDefault="00CA682E" w:rsidP="00CA682E">
            <w:pPr>
              <w:autoSpaceDE w:val="0"/>
              <w:autoSpaceDN w:val="0"/>
              <w:adjustRightInd w:val="0"/>
              <w:spacing w:before="40"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0%</w:t>
            </w:r>
          </w:p>
        </w:tc>
      </w:tr>
      <w:tr w:rsidR="00CA682E" w:rsidRPr="00CA682E" w:rsidTr="007B1DE4">
        <w:tc>
          <w:tcPr>
            <w:tcW w:w="1889"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autoSpaceDE w:val="0"/>
              <w:autoSpaceDN w:val="0"/>
              <w:adjustRightInd w:val="0"/>
              <w:spacing w:before="40" w:after="40"/>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Diversos e imprevistos</w:t>
            </w:r>
          </w:p>
        </w:tc>
        <w:tc>
          <w:tcPr>
            <w:tcW w:w="983" w:type="pct"/>
            <w:tcBorders>
              <w:top w:val="single" w:sz="4" w:space="0" w:color="auto"/>
              <w:left w:val="single" w:sz="4" w:space="0" w:color="auto"/>
              <w:bottom w:val="single" w:sz="4" w:space="0" w:color="auto"/>
              <w:right w:val="single" w:sz="4" w:space="0" w:color="auto"/>
            </w:tcBorders>
            <w:vAlign w:val="center"/>
          </w:tcPr>
          <w:p w:rsidR="00CA682E" w:rsidRPr="00CA682E" w:rsidRDefault="00CA682E" w:rsidP="00CA682E">
            <w:pPr>
              <w:autoSpaceDE w:val="0"/>
              <w:autoSpaceDN w:val="0"/>
              <w:adjustRightInd w:val="0"/>
              <w:spacing w:before="40"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28.000</w:t>
            </w:r>
          </w:p>
        </w:tc>
        <w:tc>
          <w:tcPr>
            <w:tcW w:w="983" w:type="pct"/>
            <w:tcBorders>
              <w:top w:val="single" w:sz="4" w:space="0" w:color="auto"/>
              <w:left w:val="single" w:sz="4" w:space="0" w:color="auto"/>
              <w:bottom w:val="single" w:sz="4" w:space="0" w:color="auto"/>
              <w:right w:val="single" w:sz="4" w:space="0" w:color="auto"/>
            </w:tcBorders>
          </w:tcPr>
          <w:p w:rsidR="00CA682E" w:rsidRPr="00CA682E" w:rsidRDefault="00CA682E" w:rsidP="00CA682E">
            <w:pPr>
              <w:autoSpaceDE w:val="0"/>
              <w:autoSpaceDN w:val="0"/>
              <w:adjustRightInd w:val="0"/>
              <w:spacing w:before="40"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0</w:t>
            </w:r>
          </w:p>
        </w:tc>
        <w:tc>
          <w:tcPr>
            <w:tcW w:w="1144" w:type="pct"/>
            <w:tcBorders>
              <w:top w:val="single" w:sz="4" w:space="0" w:color="auto"/>
              <w:left w:val="single" w:sz="4" w:space="0" w:color="auto"/>
              <w:bottom w:val="single" w:sz="4" w:space="0" w:color="auto"/>
              <w:right w:val="single" w:sz="4" w:space="0" w:color="auto"/>
            </w:tcBorders>
          </w:tcPr>
          <w:p w:rsidR="00CA682E" w:rsidRPr="00CA682E" w:rsidRDefault="00CA682E" w:rsidP="00CA682E">
            <w:pPr>
              <w:autoSpaceDE w:val="0"/>
              <w:autoSpaceDN w:val="0"/>
              <w:adjustRightInd w:val="0"/>
              <w:spacing w:before="40" w:after="40"/>
              <w:jc w:val="center"/>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0%</w:t>
            </w:r>
          </w:p>
        </w:tc>
      </w:tr>
      <w:tr w:rsidR="00CA682E" w:rsidRPr="00CA682E" w:rsidTr="007B1DE4">
        <w:tc>
          <w:tcPr>
            <w:tcW w:w="188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autoSpaceDE w:val="0"/>
              <w:autoSpaceDN w:val="0"/>
              <w:adjustRightInd w:val="0"/>
              <w:spacing w:before="40" w:after="40"/>
              <w:rPr>
                <w:rFonts w:eastAsia="Times New Roman" w:cs="Times New Roman"/>
                <w:b/>
                <w:color w:val="000000" w:themeColor="text1"/>
                <w:sz w:val="16"/>
                <w:szCs w:val="16"/>
                <w:lang w:eastAsia="en-US"/>
              </w:rPr>
            </w:pPr>
            <w:r w:rsidRPr="00CA682E">
              <w:rPr>
                <w:rFonts w:eastAsia="Times New Roman" w:cs="Times New Roman"/>
                <w:b/>
                <w:color w:val="000000" w:themeColor="text1"/>
                <w:sz w:val="16"/>
                <w:szCs w:val="16"/>
                <w:lang w:eastAsia="en-US"/>
              </w:rPr>
              <w:t>Total</w:t>
            </w:r>
          </w:p>
        </w:tc>
        <w:tc>
          <w:tcPr>
            <w:tcW w:w="98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A682E" w:rsidRPr="00CA682E" w:rsidRDefault="00CA682E" w:rsidP="00CA682E">
            <w:pPr>
              <w:autoSpaceDE w:val="0"/>
              <w:autoSpaceDN w:val="0"/>
              <w:adjustRightInd w:val="0"/>
              <w:spacing w:before="40" w:after="40"/>
              <w:jc w:val="center"/>
              <w:rPr>
                <w:rFonts w:eastAsia="Times New Roman" w:cs="Times New Roman"/>
                <w:b/>
                <w:color w:val="000000" w:themeColor="text1"/>
                <w:sz w:val="16"/>
                <w:szCs w:val="16"/>
                <w:lang w:eastAsia="en-US"/>
              </w:rPr>
            </w:pPr>
            <w:r w:rsidRPr="00CA682E">
              <w:rPr>
                <w:rFonts w:eastAsia="Times New Roman" w:cs="Times New Roman"/>
                <w:b/>
                <w:color w:val="000000" w:themeColor="text1"/>
                <w:sz w:val="16"/>
                <w:szCs w:val="16"/>
                <w:lang w:eastAsia="en-US"/>
              </w:rPr>
              <w:t>400.000</w:t>
            </w:r>
          </w:p>
        </w:tc>
        <w:tc>
          <w:tcPr>
            <w:tcW w:w="983"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CA682E" w:rsidRPr="00CA682E" w:rsidRDefault="00CA682E" w:rsidP="00CA682E">
            <w:pPr>
              <w:autoSpaceDE w:val="0"/>
              <w:autoSpaceDN w:val="0"/>
              <w:adjustRightInd w:val="0"/>
              <w:spacing w:before="40" w:after="40"/>
              <w:jc w:val="center"/>
              <w:rPr>
                <w:rFonts w:eastAsia="Times New Roman" w:cs="Times New Roman"/>
                <w:b/>
                <w:color w:val="000000" w:themeColor="text1"/>
                <w:sz w:val="16"/>
                <w:szCs w:val="16"/>
                <w:lang w:eastAsia="en-US"/>
              </w:rPr>
            </w:pPr>
            <w:r w:rsidRPr="00CA682E">
              <w:rPr>
                <w:rFonts w:eastAsia="Times New Roman" w:cs="Times New Roman"/>
                <w:b/>
                <w:color w:val="000000" w:themeColor="text1"/>
                <w:sz w:val="16"/>
                <w:szCs w:val="16"/>
                <w:lang w:eastAsia="en-US"/>
              </w:rPr>
              <w:t>122.587</w:t>
            </w:r>
          </w:p>
        </w:tc>
        <w:tc>
          <w:tcPr>
            <w:tcW w:w="1144"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CA682E" w:rsidRPr="00CA682E" w:rsidRDefault="00CA682E" w:rsidP="00CA682E">
            <w:pPr>
              <w:autoSpaceDE w:val="0"/>
              <w:autoSpaceDN w:val="0"/>
              <w:adjustRightInd w:val="0"/>
              <w:spacing w:before="40" w:after="40"/>
              <w:jc w:val="center"/>
              <w:rPr>
                <w:rFonts w:eastAsia="Times New Roman" w:cs="Times New Roman"/>
                <w:b/>
                <w:color w:val="000000" w:themeColor="text1"/>
                <w:sz w:val="16"/>
                <w:szCs w:val="16"/>
                <w:lang w:eastAsia="en-US"/>
              </w:rPr>
            </w:pPr>
          </w:p>
        </w:tc>
      </w:tr>
    </w:tbl>
    <w:p w:rsidR="00CA682E" w:rsidRPr="00CA682E" w:rsidRDefault="00CA682E" w:rsidP="00CA682E">
      <w:pPr>
        <w:rPr>
          <w:rFonts w:eastAsia="Times New Roman"/>
          <w:color w:val="000000" w:themeColor="text1"/>
          <w:sz w:val="20"/>
          <w:szCs w:val="22"/>
          <w:lang w:eastAsia="en-US"/>
        </w:rPr>
      </w:pPr>
    </w:p>
    <w:p w:rsidR="00CA682E" w:rsidRPr="00CA682E" w:rsidRDefault="00CA682E" w:rsidP="00CA682E">
      <w:pPr>
        <w:rPr>
          <w:rFonts w:eastAsia="Times New Roman"/>
          <w:color w:val="000000" w:themeColor="text1"/>
          <w:sz w:val="20"/>
          <w:szCs w:val="22"/>
          <w:lang w:eastAsia="en-US"/>
        </w:rPr>
      </w:pPr>
    </w:p>
    <w:p w:rsidR="00CA682E" w:rsidRPr="00CA682E" w:rsidRDefault="00CA682E" w:rsidP="00CA682E">
      <w:pPr>
        <w:rPr>
          <w:rFonts w:eastAsia="Times New Roman"/>
          <w:color w:val="000000" w:themeColor="text1"/>
          <w:sz w:val="20"/>
          <w:szCs w:val="22"/>
          <w:lang w:eastAsia="en-US"/>
        </w:rPr>
      </w:pPr>
      <w:r w:rsidRPr="00CA682E">
        <w:rPr>
          <w:rFonts w:eastAsia="Times New Roman"/>
          <w:color w:val="000000" w:themeColor="text1"/>
          <w:sz w:val="20"/>
          <w:szCs w:val="22"/>
          <w:lang w:eastAsia="en-US"/>
        </w:rPr>
        <w:t>RIESGOS Y ESTRATEGIAS DE MITIGACIÓN</w:t>
      </w:r>
    </w:p>
    <w:p w:rsidR="00CA682E" w:rsidRPr="00CA682E" w:rsidRDefault="00CA682E" w:rsidP="00CA682E">
      <w:pPr>
        <w:rPr>
          <w:rFonts w:eastAsia="Times New Roman"/>
          <w:color w:val="000000" w:themeColor="text1"/>
          <w:sz w:val="20"/>
          <w:szCs w:val="22"/>
          <w:lang w:eastAsia="en-US"/>
        </w:rPr>
      </w:pPr>
    </w:p>
    <w:tbl>
      <w:tblPr>
        <w:tblW w:w="4850" w:type="pct"/>
        <w:jc w:val="center"/>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3"/>
        <w:gridCol w:w="3072"/>
        <w:gridCol w:w="3069"/>
      </w:tblGrid>
      <w:tr w:rsidR="00CA682E" w:rsidRPr="00CA682E" w:rsidTr="007B1DE4">
        <w:trPr>
          <w:trHeight w:val="308"/>
          <w:tblHeader/>
          <w:jc w:val="center"/>
        </w:trPr>
        <w:tc>
          <w:tcPr>
            <w:tcW w:w="1692" w:type="pct"/>
            <w:shd w:val="clear" w:color="auto" w:fill="C6D9F1" w:themeFill="text2" w:themeFillTint="33"/>
            <w:vAlign w:val="center"/>
          </w:tcPr>
          <w:p w:rsidR="00CA682E" w:rsidRPr="00CA682E" w:rsidRDefault="00CA682E" w:rsidP="00CA682E">
            <w:pPr>
              <w:autoSpaceDE w:val="0"/>
              <w:autoSpaceDN w:val="0"/>
              <w:adjustRightInd w:val="0"/>
              <w:spacing w:before="40" w:after="40" w:line="260" w:lineRule="exact"/>
              <w:ind w:left="-74" w:right="-60"/>
              <w:jc w:val="center"/>
              <w:rPr>
                <w:rFonts w:eastAsia="Times New Roman" w:cs="Times New Roman"/>
                <w:b/>
                <w:bCs/>
                <w:color w:val="000000" w:themeColor="text1"/>
                <w:sz w:val="16"/>
                <w:szCs w:val="16"/>
                <w:lang w:eastAsia="en-US"/>
              </w:rPr>
            </w:pPr>
            <w:r w:rsidRPr="00CA682E">
              <w:rPr>
                <w:rFonts w:eastAsia="Times New Roman" w:cs="Times New Roman"/>
                <w:b/>
                <w:bCs/>
                <w:color w:val="000000" w:themeColor="text1"/>
                <w:sz w:val="16"/>
                <w:szCs w:val="16"/>
                <w:lang w:eastAsia="en-US"/>
              </w:rPr>
              <w:t>Riesgo/Descripción del riesgo</w:t>
            </w:r>
          </w:p>
        </w:tc>
        <w:tc>
          <w:tcPr>
            <w:tcW w:w="1654" w:type="pct"/>
            <w:shd w:val="clear" w:color="auto" w:fill="C6D9F1" w:themeFill="text2" w:themeFillTint="33"/>
            <w:vAlign w:val="center"/>
          </w:tcPr>
          <w:p w:rsidR="00CA682E" w:rsidRPr="00CA682E" w:rsidRDefault="00CA682E" w:rsidP="00CA682E">
            <w:pPr>
              <w:autoSpaceDE w:val="0"/>
              <w:autoSpaceDN w:val="0"/>
              <w:adjustRightInd w:val="0"/>
              <w:spacing w:before="40" w:after="40" w:line="260" w:lineRule="exact"/>
              <w:ind w:left="-107" w:right="-108"/>
              <w:jc w:val="center"/>
              <w:rPr>
                <w:rFonts w:eastAsia="Times New Roman" w:cs="Times New Roman"/>
                <w:b/>
                <w:bCs/>
                <w:color w:val="000000" w:themeColor="text1"/>
                <w:sz w:val="16"/>
                <w:szCs w:val="16"/>
                <w:lang w:eastAsia="en-US"/>
              </w:rPr>
            </w:pPr>
            <w:r w:rsidRPr="00CA682E">
              <w:rPr>
                <w:rFonts w:eastAsia="Times New Roman" w:cs="Times New Roman"/>
                <w:b/>
                <w:bCs/>
                <w:color w:val="000000" w:themeColor="text1"/>
                <w:sz w:val="16"/>
                <w:szCs w:val="16"/>
                <w:lang w:eastAsia="en-US"/>
              </w:rPr>
              <w:t>Mitigación del riesgo</w:t>
            </w:r>
            <w:r w:rsidRPr="00CA682E" w:rsidDel="00B70319">
              <w:rPr>
                <w:rFonts w:eastAsia="Times New Roman" w:cs="Times New Roman"/>
                <w:b/>
                <w:bCs/>
                <w:color w:val="000000" w:themeColor="text1"/>
                <w:sz w:val="16"/>
                <w:szCs w:val="16"/>
                <w:lang w:eastAsia="en-US"/>
              </w:rPr>
              <w:t xml:space="preserve"> </w:t>
            </w:r>
          </w:p>
        </w:tc>
        <w:tc>
          <w:tcPr>
            <w:tcW w:w="1653" w:type="pct"/>
            <w:shd w:val="clear" w:color="auto" w:fill="C6D9F1" w:themeFill="text2" w:themeFillTint="33"/>
            <w:vAlign w:val="center"/>
          </w:tcPr>
          <w:p w:rsidR="00CA682E" w:rsidRPr="00CA682E" w:rsidRDefault="00CA682E" w:rsidP="00CA682E">
            <w:pPr>
              <w:autoSpaceDE w:val="0"/>
              <w:autoSpaceDN w:val="0"/>
              <w:adjustRightInd w:val="0"/>
              <w:spacing w:before="40" w:after="40" w:line="260" w:lineRule="exact"/>
              <w:ind w:left="-109"/>
              <w:jc w:val="center"/>
              <w:rPr>
                <w:rFonts w:eastAsia="Times New Roman" w:cs="Times New Roman"/>
                <w:b/>
                <w:bCs/>
                <w:color w:val="000000" w:themeColor="text1"/>
                <w:sz w:val="16"/>
                <w:szCs w:val="16"/>
                <w:lang w:eastAsia="en-US"/>
              </w:rPr>
            </w:pPr>
            <w:r w:rsidRPr="00CA682E">
              <w:rPr>
                <w:rFonts w:eastAsia="Times New Roman" w:cs="Times New Roman"/>
                <w:b/>
                <w:bCs/>
                <w:color w:val="000000" w:themeColor="text1"/>
                <w:sz w:val="16"/>
                <w:szCs w:val="16"/>
                <w:lang w:eastAsia="en-US"/>
              </w:rPr>
              <w:t>Comentario</w:t>
            </w:r>
          </w:p>
        </w:tc>
      </w:tr>
      <w:tr w:rsidR="00CA682E" w:rsidRPr="00CA682E" w:rsidTr="007B1DE4">
        <w:trPr>
          <w:trHeight w:val="776"/>
          <w:jc w:val="center"/>
        </w:trPr>
        <w:tc>
          <w:tcPr>
            <w:tcW w:w="1692" w:type="pct"/>
            <w:shd w:val="clear" w:color="auto" w:fill="FFFFFF" w:themeFill="background1"/>
          </w:tcPr>
          <w:p w:rsidR="00CA682E" w:rsidRPr="00CA682E" w:rsidRDefault="00CA682E" w:rsidP="00CA682E">
            <w:pPr>
              <w:autoSpaceDE w:val="0"/>
              <w:autoSpaceDN w:val="0"/>
              <w:adjustRightInd w:val="0"/>
              <w:spacing w:before="40" w:after="40"/>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Imposibilidad de realizar las obras en el plazo previsto por no estar disponible un proveedor en la fecha solicitada</w:t>
            </w:r>
          </w:p>
        </w:tc>
        <w:tc>
          <w:tcPr>
            <w:tcW w:w="1654" w:type="pct"/>
            <w:shd w:val="clear" w:color="auto" w:fill="FFFFFF" w:themeFill="background1"/>
          </w:tcPr>
          <w:p w:rsidR="00CA682E" w:rsidRPr="00CA682E" w:rsidRDefault="00CA682E" w:rsidP="00CA682E">
            <w:pPr>
              <w:autoSpaceDE w:val="0"/>
              <w:autoSpaceDN w:val="0"/>
              <w:adjustRightInd w:val="0"/>
              <w:spacing w:before="40" w:after="40"/>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Recurrir al personal de la OMPI para subsanar deficiencias si procede/es posible</w:t>
            </w:r>
          </w:p>
        </w:tc>
        <w:tc>
          <w:tcPr>
            <w:tcW w:w="1653" w:type="pct"/>
            <w:shd w:val="clear" w:color="auto" w:fill="FFFFFF" w:themeFill="background1"/>
          </w:tcPr>
          <w:p w:rsidR="00CA682E" w:rsidRPr="00CA682E" w:rsidRDefault="00CA682E" w:rsidP="00CA682E">
            <w:pPr>
              <w:autoSpaceDE w:val="0"/>
              <w:autoSpaceDN w:val="0"/>
              <w:adjustRightInd w:val="0"/>
              <w:spacing w:before="40" w:after="40"/>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En 2015, el estudio relativo al proyecto de compartimentación entre los edificios GBI y AB sufrió un retraso de seis meses debido a la marcha imprevista del consultor originalmente encargado de realizar el estudio.  A los fines de mitigar el impacto si se materializaba el riesgo en la ejecución del proyecto, la Secretaría recurrió al personal de la OMPI para realizar el estudio</w:t>
            </w:r>
          </w:p>
        </w:tc>
      </w:tr>
      <w:tr w:rsidR="00CA682E" w:rsidRPr="00CA682E" w:rsidTr="007B1DE4">
        <w:trPr>
          <w:trHeight w:val="669"/>
          <w:jc w:val="center"/>
        </w:trPr>
        <w:tc>
          <w:tcPr>
            <w:tcW w:w="1692" w:type="pct"/>
            <w:shd w:val="clear" w:color="auto" w:fill="FFFFFF" w:themeFill="background1"/>
          </w:tcPr>
          <w:p w:rsidR="00CA682E" w:rsidRPr="00CA682E" w:rsidRDefault="00CA682E" w:rsidP="00CA682E">
            <w:pPr>
              <w:autoSpaceDE w:val="0"/>
              <w:autoSpaceDN w:val="0"/>
              <w:adjustRightInd w:val="0"/>
              <w:spacing w:before="40" w:after="40"/>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Demora o interrupción de las obras debido a un accidente en el lugar de las obras</w:t>
            </w:r>
          </w:p>
        </w:tc>
        <w:tc>
          <w:tcPr>
            <w:tcW w:w="1654" w:type="pct"/>
            <w:shd w:val="clear" w:color="auto" w:fill="FFFFFF" w:themeFill="background1"/>
          </w:tcPr>
          <w:p w:rsidR="00CA682E" w:rsidRPr="00CA682E" w:rsidRDefault="00CA682E" w:rsidP="00CA682E">
            <w:pPr>
              <w:autoSpaceDE w:val="0"/>
              <w:autoSpaceDN w:val="0"/>
              <w:adjustRightInd w:val="0"/>
              <w:spacing w:before="40" w:after="40"/>
              <w:rPr>
                <w:rFonts w:eastAsia="Times New Roman" w:cs="Times New Roman"/>
                <w:color w:val="000000" w:themeColor="text1"/>
                <w:sz w:val="16"/>
                <w:szCs w:val="16"/>
                <w:lang w:eastAsia="en-US"/>
              </w:rPr>
            </w:pPr>
            <w:r w:rsidRPr="00CA682E">
              <w:rPr>
                <w:rFonts w:eastAsia="Times New Roman" w:cs="Times New Roman"/>
                <w:color w:val="000000" w:themeColor="text1"/>
                <w:sz w:val="16"/>
                <w:szCs w:val="16"/>
                <w:lang w:eastAsia="en-US"/>
              </w:rPr>
              <w:t>Revalidar y fortalecer las medidas de seguridad y revisar el calendario de las obras</w:t>
            </w:r>
          </w:p>
        </w:tc>
        <w:tc>
          <w:tcPr>
            <w:tcW w:w="1653" w:type="pct"/>
            <w:shd w:val="clear" w:color="auto" w:fill="FFFFFF" w:themeFill="background1"/>
          </w:tcPr>
          <w:p w:rsidR="00CA682E" w:rsidRPr="00CA682E" w:rsidRDefault="00CA682E" w:rsidP="00CA682E">
            <w:pPr>
              <w:autoSpaceDE w:val="0"/>
              <w:autoSpaceDN w:val="0"/>
              <w:adjustRightInd w:val="0"/>
              <w:spacing w:before="40" w:after="40"/>
              <w:rPr>
                <w:rFonts w:eastAsia="Times New Roman" w:cs="Times New Roman"/>
                <w:color w:val="000000" w:themeColor="text1"/>
                <w:sz w:val="16"/>
                <w:szCs w:val="16"/>
                <w:lang w:eastAsia="en-US"/>
              </w:rPr>
            </w:pPr>
          </w:p>
        </w:tc>
      </w:tr>
    </w:tbl>
    <w:p w:rsidR="00CA682E" w:rsidRPr="00CA682E" w:rsidRDefault="00CA682E" w:rsidP="00CA682E">
      <w:pPr>
        <w:rPr>
          <w:rFonts w:eastAsia="Times New Roman"/>
          <w:color w:val="000000" w:themeColor="text1"/>
          <w:szCs w:val="22"/>
          <w:lang w:eastAsia="en-US"/>
        </w:rPr>
      </w:pPr>
    </w:p>
    <w:p w:rsidR="00CA682E" w:rsidRPr="00CA682E" w:rsidRDefault="00CA682E" w:rsidP="00CA682E">
      <w:pPr>
        <w:spacing w:after="200" w:line="276" w:lineRule="auto"/>
        <w:rPr>
          <w:rFonts w:eastAsia="Times New Roman"/>
          <w:color w:val="000000" w:themeColor="text1"/>
          <w:szCs w:val="22"/>
          <w:lang w:eastAsia="en-US"/>
        </w:rPr>
      </w:pPr>
      <w:r w:rsidRPr="00CA682E">
        <w:rPr>
          <w:rFonts w:eastAsia="Times New Roman"/>
          <w:color w:val="000000" w:themeColor="text1"/>
          <w:szCs w:val="22"/>
          <w:lang w:eastAsia="en-US"/>
        </w:rPr>
        <w:br w:type="page"/>
      </w:r>
    </w:p>
    <w:p w:rsidR="00CA682E" w:rsidRPr="00CA682E" w:rsidRDefault="00CA682E" w:rsidP="00CA682E">
      <w:pPr>
        <w:rPr>
          <w:rFonts w:eastAsia="Times New Roman" w:cs="Times New Roman"/>
          <w:color w:val="000000" w:themeColor="text1"/>
          <w:sz w:val="20"/>
          <w:lang w:eastAsia="en-US"/>
        </w:rPr>
      </w:pPr>
      <w:r w:rsidRPr="00CA682E">
        <w:rPr>
          <w:rFonts w:eastAsia="Times New Roman" w:cs="Times New Roman"/>
          <w:color w:val="000000" w:themeColor="text1"/>
          <w:sz w:val="20"/>
          <w:lang w:eastAsia="en-US"/>
        </w:rPr>
        <w:lastRenderedPageBreak/>
        <w:t>CALENDARIO DEL PROYECTO, POR ETAPA</w:t>
      </w:r>
    </w:p>
    <w:p w:rsidR="00CA682E" w:rsidRPr="00CA682E" w:rsidRDefault="00CA682E" w:rsidP="00CA682E">
      <w:pPr>
        <w:autoSpaceDE w:val="0"/>
        <w:autoSpaceDN w:val="0"/>
        <w:jc w:val="both"/>
        <w:rPr>
          <w:rFonts w:eastAsia="Times New Roman" w:cs="Times New Roman"/>
          <w:color w:val="000000" w:themeColor="text1"/>
          <w:sz w:val="20"/>
          <w:lang w:eastAsia="en-US"/>
        </w:rPr>
      </w:pPr>
    </w:p>
    <w:tbl>
      <w:tblPr>
        <w:tblW w:w="10004" w:type="dxa"/>
        <w:jc w:val="center"/>
        <w:tblLook w:val="04A0" w:firstRow="1" w:lastRow="0" w:firstColumn="1" w:lastColumn="0" w:noHBand="0" w:noVBand="1"/>
      </w:tblPr>
      <w:tblGrid>
        <w:gridCol w:w="2324"/>
        <w:gridCol w:w="480"/>
        <w:gridCol w:w="480"/>
        <w:gridCol w:w="480"/>
        <w:gridCol w:w="480"/>
        <w:gridCol w:w="480"/>
        <w:gridCol w:w="480"/>
        <w:gridCol w:w="480"/>
        <w:gridCol w:w="480"/>
        <w:gridCol w:w="480"/>
        <w:gridCol w:w="480"/>
        <w:gridCol w:w="480"/>
        <w:gridCol w:w="480"/>
        <w:gridCol w:w="480"/>
        <w:gridCol w:w="480"/>
        <w:gridCol w:w="480"/>
        <w:gridCol w:w="480"/>
      </w:tblGrid>
      <w:tr w:rsidR="00CA682E" w:rsidRPr="00CA682E" w:rsidTr="007B1DE4">
        <w:trPr>
          <w:trHeight w:val="270"/>
          <w:tblHeader/>
          <w:jc w:val="center"/>
        </w:trPr>
        <w:tc>
          <w:tcPr>
            <w:tcW w:w="2324" w:type="dxa"/>
            <w:tcBorders>
              <w:top w:val="nil"/>
              <w:left w:val="nil"/>
              <w:bottom w:val="nil"/>
              <w:right w:val="nil"/>
            </w:tcBorders>
            <w:shd w:val="clear" w:color="auto" w:fill="auto"/>
            <w:noWrap/>
            <w:vAlign w:val="bottom"/>
            <w:hideMark/>
          </w:tcPr>
          <w:p w:rsidR="00CA682E" w:rsidRPr="00CA682E" w:rsidRDefault="00CA682E" w:rsidP="00CA682E">
            <w:pPr>
              <w:rPr>
                <w:rFonts w:eastAsia="Times New Roman"/>
                <w:color w:val="000000" w:themeColor="text1"/>
                <w:sz w:val="18"/>
                <w:szCs w:val="18"/>
                <w:lang w:eastAsia="en-US"/>
              </w:rPr>
            </w:pPr>
          </w:p>
        </w:tc>
        <w:tc>
          <w:tcPr>
            <w:tcW w:w="1920" w:type="dxa"/>
            <w:gridSpan w:val="4"/>
            <w:tcBorders>
              <w:top w:val="single" w:sz="8" w:space="0" w:color="auto"/>
              <w:left w:val="single" w:sz="8" w:space="0" w:color="auto"/>
              <w:bottom w:val="single" w:sz="4" w:space="0" w:color="auto"/>
              <w:right w:val="single" w:sz="8" w:space="0" w:color="000000"/>
            </w:tcBorders>
            <w:shd w:val="clear" w:color="auto" w:fill="C6D9F1" w:themeFill="text2" w:themeFillTint="33"/>
            <w:noWrap/>
            <w:vAlign w:val="bottom"/>
            <w:hideMark/>
          </w:tcPr>
          <w:p w:rsidR="00CA682E" w:rsidRPr="00CA682E" w:rsidRDefault="00CA682E" w:rsidP="00CA682E">
            <w:pPr>
              <w:jc w:val="center"/>
              <w:rPr>
                <w:rFonts w:eastAsia="Times New Roman"/>
                <w:b/>
                <w:bCs/>
                <w:color w:val="000000" w:themeColor="text1"/>
                <w:sz w:val="18"/>
                <w:szCs w:val="18"/>
                <w:lang w:eastAsia="en-US"/>
              </w:rPr>
            </w:pPr>
            <w:r w:rsidRPr="00CA682E">
              <w:rPr>
                <w:rFonts w:eastAsia="Times New Roman"/>
                <w:b/>
                <w:bCs/>
                <w:color w:val="000000" w:themeColor="text1"/>
                <w:sz w:val="18"/>
                <w:szCs w:val="18"/>
                <w:lang w:eastAsia="en-US"/>
              </w:rPr>
              <w:t>2014</w:t>
            </w:r>
          </w:p>
        </w:tc>
        <w:tc>
          <w:tcPr>
            <w:tcW w:w="1920" w:type="dxa"/>
            <w:gridSpan w:val="4"/>
            <w:tcBorders>
              <w:top w:val="single" w:sz="8" w:space="0" w:color="auto"/>
              <w:left w:val="nil"/>
              <w:bottom w:val="single" w:sz="4" w:space="0" w:color="auto"/>
              <w:right w:val="single" w:sz="8" w:space="0" w:color="000000"/>
            </w:tcBorders>
            <w:shd w:val="clear" w:color="auto" w:fill="C6D9F1" w:themeFill="text2" w:themeFillTint="33"/>
            <w:noWrap/>
            <w:vAlign w:val="bottom"/>
            <w:hideMark/>
          </w:tcPr>
          <w:p w:rsidR="00CA682E" w:rsidRPr="00CA682E" w:rsidRDefault="00CA682E" w:rsidP="00CA682E">
            <w:pPr>
              <w:jc w:val="center"/>
              <w:rPr>
                <w:rFonts w:eastAsia="Times New Roman"/>
                <w:b/>
                <w:bCs/>
                <w:color w:val="000000" w:themeColor="text1"/>
                <w:sz w:val="18"/>
                <w:szCs w:val="18"/>
                <w:lang w:eastAsia="en-US"/>
              </w:rPr>
            </w:pPr>
            <w:r w:rsidRPr="00CA682E">
              <w:rPr>
                <w:rFonts w:eastAsia="Times New Roman"/>
                <w:b/>
                <w:bCs/>
                <w:color w:val="000000" w:themeColor="text1"/>
                <w:sz w:val="18"/>
                <w:szCs w:val="18"/>
                <w:lang w:eastAsia="en-US"/>
              </w:rPr>
              <w:t>2015</w:t>
            </w:r>
          </w:p>
        </w:tc>
        <w:tc>
          <w:tcPr>
            <w:tcW w:w="1920" w:type="dxa"/>
            <w:gridSpan w:val="4"/>
            <w:tcBorders>
              <w:top w:val="single" w:sz="8" w:space="0" w:color="auto"/>
              <w:left w:val="nil"/>
              <w:bottom w:val="single" w:sz="4" w:space="0" w:color="auto"/>
              <w:right w:val="single" w:sz="8" w:space="0" w:color="000000"/>
            </w:tcBorders>
            <w:shd w:val="clear" w:color="auto" w:fill="C6D9F1" w:themeFill="text2" w:themeFillTint="33"/>
            <w:noWrap/>
            <w:vAlign w:val="bottom"/>
            <w:hideMark/>
          </w:tcPr>
          <w:p w:rsidR="00CA682E" w:rsidRPr="00CA682E" w:rsidRDefault="00CA682E" w:rsidP="00CA682E">
            <w:pPr>
              <w:jc w:val="center"/>
              <w:rPr>
                <w:rFonts w:eastAsia="Times New Roman"/>
                <w:b/>
                <w:bCs/>
                <w:color w:val="000000" w:themeColor="text1"/>
                <w:sz w:val="18"/>
                <w:szCs w:val="18"/>
                <w:lang w:eastAsia="en-US"/>
              </w:rPr>
            </w:pPr>
            <w:r w:rsidRPr="00CA682E">
              <w:rPr>
                <w:rFonts w:eastAsia="Times New Roman"/>
                <w:b/>
                <w:bCs/>
                <w:color w:val="000000" w:themeColor="text1"/>
                <w:sz w:val="18"/>
                <w:szCs w:val="18"/>
                <w:lang w:eastAsia="en-US"/>
              </w:rPr>
              <w:t>2016</w:t>
            </w:r>
          </w:p>
        </w:tc>
        <w:tc>
          <w:tcPr>
            <w:tcW w:w="1920" w:type="dxa"/>
            <w:gridSpan w:val="4"/>
            <w:tcBorders>
              <w:top w:val="single" w:sz="8" w:space="0" w:color="auto"/>
              <w:left w:val="nil"/>
              <w:bottom w:val="single" w:sz="4" w:space="0" w:color="auto"/>
              <w:right w:val="single" w:sz="8" w:space="0" w:color="000000"/>
            </w:tcBorders>
            <w:shd w:val="clear" w:color="auto" w:fill="C6D9F1" w:themeFill="text2" w:themeFillTint="33"/>
            <w:noWrap/>
            <w:vAlign w:val="bottom"/>
            <w:hideMark/>
          </w:tcPr>
          <w:p w:rsidR="00CA682E" w:rsidRPr="00CA682E" w:rsidRDefault="00CA682E" w:rsidP="00CA682E">
            <w:pPr>
              <w:jc w:val="center"/>
              <w:rPr>
                <w:rFonts w:eastAsia="Times New Roman"/>
                <w:b/>
                <w:bCs/>
                <w:color w:val="000000" w:themeColor="text1"/>
                <w:sz w:val="18"/>
                <w:szCs w:val="18"/>
                <w:lang w:eastAsia="en-US"/>
              </w:rPr>
            </w:pPr>
            <w:r w:rsidRPr="00CA682E">
              <w:rPr>
                <w:rFonts w:eastAsia="Times New Roman"/>
                <w:b/>
                <w:bCs/>
                <w:color w:val="000000" w:themeColor="text1"/>
                <w:sz w:val="18"/>
                <w:szCs w:val="18"/>
                <w:lang w:eastAsia="en-US"/>
              </w:rPr>
              <w:t>2017</w:t>
            </w:r>
          </w:p>
        </w:tc>
      </w:tr>
      <w:tr w:rsidR="00CA682E" w:rsidRPr="00CA682E" w:rsidTr="007B1DE4">
        <w:trPr>
          <w:trHeight w:val="375"/>
          <w:tblHeader/>
          <w:jc w:val="center"/>
        </w:trPr>
        <w:tc>
          <w:tcPr>
            <w:tcW w:w="2324" w:type="dxa"/>
            <w:tcBorders>
              <w:top w:val="single" w:sz="8" w:space="0" w:color="auto"/>
              <w:left w:val="single" w:sz="8" w:space="0" w:color="auto"/>
              <w:bottom w:val="single" w:sz="4" w:space="0" w:color="auto"/>
              <w:right w:val="single" w:sz="8" w:space="0" w:color="auto"/>
            </w:tcBorders>
            <w:shd w:val="clear" w:color="auto" w:fill="C6D9F1" w:themeFill="text2" w:themeFillTint="33"/>
            <w:noWrap/>
            <w:vAlign w:val="bottom"/>
            <w:hideMark/>
          </w:tcPr>
          <w:p w:rsidR="00CA682E" w:rsidRPr="00CA682E" w:rsidRDefault="00CA682E" w:rsidP="00CA682E">
            <w:pPr>
              <w:jc w:val="center"/>
              <w:rPr>
                <w:rFonts w:eastAsia="Times New Roman"/>
                <w:b/>
                <w:bCs/>
                <w:color w:val="000000" w:themeColor="text1"/>
                <w:sz w:val="18"/>
                <w:szCs w:val="18"/>
                <w:lang w:eastAsia="en-US"/>
              </w:rPr>
            </w:pPr>
            <w:r w:rsidRPr="00CA682E">
              <w:rPr>
                <w:rFonts w:eastAsia="Times New Roman"/>
                <w:b/>
                <w:bCs/>
                <w:color w:val="000000" w:themeColor="text1"/>
                <w:sz w:val="18"/>
                <w:szCs w:val="18"/>
                <w:lang w:eastAsia="en-US"/>
              </w:rPr>
              <w:t>Etapas fundamentales</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CA682E" w:rsidRPr="00CA682E" w:rsidRDefault="00CA682E" w:rsidP="00CA682E">
            <w:pPr>
              <w:rPr>
                <w:rFonts w:eastAsia="Times New Roman"/>
                <w:b/>
                <w:bCs/>
                <w:color w:val="000000" w:themeColor="text1"/>
                <w:sz w:val="18"/>
                <w:szCs w:val="18"/>
                <w:lang w:eastAsia="en-US"/>
              </w:rPr>
            </w:pPr>
            <w:r w:rsidRPr="00CA682E">
              <w:rPr>
                <w:rFonts w:eastAsia="Times New Roman"/>
                <w:b/>
                <w:bCs/>
                <w:color w:val="000000" w:themeColor="text1"/>
                <w:sz w:val="18"/>
                <w:szCs w:val="18"/>
                <w:lang w:eastAsia="en-US"/>
              </w:rPr>
              <w:t>T1.</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CA682E" w:rsidRPr="00CA682E" w:rsidRDefault="00CA682E" w:rsidP="00CA682E">
            <w:pPr>
              <w:rPr>
                <w:rFonts w:eastAsia="Times New Roman"/>
                <w:b/>
                <w:bCs/>
                <w:color w:val="000000" w:themeColor="text1"/>
                <w:sz w:val="18"/>
                <w:szCs w:val="18"/>
                <w:lang w:eastAsia="en-US"/>
              </w:rPr>
            </w:pPr>
            <w:r w:rsidRPr="00CA682E">
              <w:rPr>
                <w:rFonts w:eastAsia="Times New Roman"/>
                <w:b/>
                <w:bCs/>
                <w:color w:val="000000" w:themeColor="text1"/>
                <w:sz w:val="18"/>
                <w:szCs w:val="18"/>
                <w:lang w:eastAsia="en-US"/>
              </w:rPr>
              <w:t>T2.</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CA682E" w:rsidRPr="00CA682E" w:rsidRDefault="00CA682E" w:rsidP="00CA682E">
            <w:pPr>
              <w:rPr>
                <w:rFonts w:eastAsia="Times New Roman"/>
                <w:b/>
                <w:bCs/>
                <w:color w:val="000000" w:themeColor="text1"/>
                <w:sz w:val="18"/>
                <w:szCs w:val="18"/>
                <w:lang w:eastAsia="en-US"/>
              </w:rPr>
            </w:pPr>
            <w:r w:rsidRPr="00CA682E">
              <w:rPr>
                <w:rFonts w:eastAsia="Times New Roman"/>
                <w:b/>
                <w:bCs/>
                <w:color w:val="000000" w:themeColor="text1"/>
                <w:sz w:val="18"/>
                <w:szCs w:val="18"/>
                <w:lang w:eastAsia="en-US"/>
              </w:rPr>
              <w:t>T3</w:t>
            </w:r>
          </w:p>
        </w:tc>
        <w:tc>
          <w:tcPr>
            <w:tcW w:w="480" w:type="dxa"/>
            <w:tcBorders>
              <w:top w:val="nil"/>
              <w:left w:val="nil"/>
              <w:bottom w:val="single" w:sz="4" w:space="0" w:color="auto"/>
              <w:right w:val="single" w:sz="8" w:space="0" w:color="auto"/>
            </w:tcBorders>
            <w:shd w:val="clear" w:color="auto" w:fill="C6D9F1" w:themeFill="text2" w:themeFillTint="33"/>
            <w:noWrap/>
            <w:vAlign w:val="bottom"/>
            <w:hideMark/>
          </w:tcPr>
          <w:p w:rsidR="00CA682E" w:rsidRPr="00CA682E" w:rsidRDefault="00CA682E" w:rsidP="00CA682E">
            <w:pPr>
              <w:rPr>
                <w:rFonts w:eastAsia="Times New Roman"/>
                <w:b/>
                <w:bCs/>
                <w:color w:val="000000" w:themeColor="text1"/>
                <w:sz w:val="18"/>
                <w:szCs w:val="18"/>
                <w:lang w:eastAsia="en-US"/>
              </w:rPr>
            </w:pPr>
            <w:r w:rsidRPr="00CA682E">
              <w:rPr>
                <w:rFonts w:eastAsia="Times New Roman"/>
                <w:b/>
                <w:bCs/>
                <w:color w:val="000000" w:themeColor="text1"/>
                <w:sz w:val="18"/>
                <w:szCs w:val="18"/>
                <w:lang w:eastAsia="en-US"/>
              </w:rPr>
              <w:t>T4</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CA682E" w:rsidRPr="00CA682E" w:rsidRDefault="00CA682E" w:rsidP="00CA682E">
            <w:pPr>
              <w:rPr>
                <w:rFonts w:eastAsia="Times New Roman"/>
                <w:b/>
                <w:bCs/>
                <w:color w:val="000000" w:themeColor="text1"/>
                <w:sz w:val="18"/>
                <w:szCs w:val="18"/>
                <w:lang w:eastAsia="en-US"/>
              </w:rPr>
            </w:pPr>
            <w:r w:rsidRPr="00CA682E">
              <w:rPr>
                <w:rFonts w:eastAsia="Times New Roman"/>
                <w:b/>
                <w:bCs/>
                <w:color w:val="000000" w:themeColor="text1"/>
                <w:sz w:val="18"/>
                <w:szCs w:val="18"/>
                <w:lang w:eastAsia="en-US"/>
              </w:rPr>
              <w:t>T1.</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CA682E" w:rsidRPr="00CA682E" w:rsidRDefault="00CA682E" w:rsidP="00CA682E">
            <w:pPr>
              <w:rPr>
                <w:rFonts w:eastAsia="Times New Roman"/>
                <w:b/>
                <w:bCs/>
                <w:color w:val="000000" w:themeColor="text1"/>
                <w:sz w:val="18"/>
                <w:szCs w:val="18"/>
                <w:lang w:eastAsia="en-US"/>
              </w:rPr>
            </w:pPr>
            <w:r w:rsidRPr="00CA682E">
              <w:rPr>
                <w:rFonts w:eastAsia="Times New Roman"/>
                <w:b/>
                <w:bCs/>
                <w:color w:val="000000" w:themeColor="text1"/>
                <w:sz w:val="18"/>
                <w:szCs w:val="18"/>
                <w:lang w:eastAsia="en-US"/>
              </w:rPr>
              <w:t>T2.</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CA682E" w:rsidRPr="00CA682E" w:rsidRDefault="00CA682E" w:rsidP="00CA682E">
            <w:pPr>
              <w:rPr>
                <w:rFonts w:eastAsia="Times New Roman"/>
                <w:b/>
                <w:bCs/>
                <w:color w:val="000000" w:themeColor="text1"/>
                <w:sz w:val="18"/>
                <w:szCs w:val="18"/>
                <w:lang w:eastAsia="en-US"/>
              </w:rPr>
            </w:pPr>
            <w:r w:rsidRPr="00CA682E">
              <w:rPr>
                <w:rFonts w:eastAsia="Times New Roman"/>
                <w:b/>
                <w:bCs/>
                <w:color w:val="000000" w:themeColor="text1"/>
                <w:sz w:val="18"/>
                <w:szCs w:val="18"/>
                <w:lang w:eastAsia="en-US"/>
              </w:rPr>
              <w:t>T3</w:t>
            </w:r>
          </w:p>
        </w:tc>
        <w:tc>
          <w:tcPr>
            <w:tcW w:w="480" w:type="dxa"/>
            <w:tcBorders>
              <w:top w:val="nil"/>
              <w:left w:val="nil"/>
              <w:bottom w:val="single" w:sz="4" w:space="0" w:color="auto"/>
              <w:right w:val="single" w:sz="8" w:space="0" w:color="auto"/>
            </w:tcBorders>
            <w:shd w:val="clear" w:color="auto" w:fill="C6D9F1" w:themeFill="text2" w:themeFillTint="33"/>
            <w:noWrap/>
            <w:vAlign w:val="bottom"/>
            <w:hideMark/>
          </w:tcPr>
          <w:p w:rsidR="00CA682E" w:rsidRPr="00CA682E" w:rsidRDefault="00CA682E" w:rsidP="00CA682E">
            <w:pPr>
              <w:rPr>
                <w:rFonts w:eastAsia="Times New Roman"/>
                <w:b/>
                <w:bCs/>
                <w:color w:val="000000" w:themeColor="text1"/>
                <w:sz w:val="18"/>
                <w:szCs w:val="18"/>
                <w:lang w:eastAsia="en-US"/>
              </w:rPr>
            </w:pPr>
            <w:r w:rsidRPr="00CA682E">
              <w:rPr>
                <w:rFonts w:eastAsia="Times New Roman"/>
                <w:b/>
                <w:bCs/>
                <w:color w:val="000000" w:themeColor="text1"/>
                <w:sz w:val="18"/>
                <w:szCs w:val="18"/>
                <w:lang w:eastAsia="en-US"/>
              </w:rPr>
              <w:t>T4</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CA682E" w:rsidRPr="00CA682E" w:rsidRDefault="00CA682E" w:rsidP="00CA682E">
            <w:pPr>
              <w:rPr>
                <w:rFonts w:eastAsia="Times New Roman"/>
                <w:b/>
                <w:bCs/>
                <w:color w:val="000000" w:themeColor="text1"/>
                <w:sz w:val="18"/>
                <w:szCs w:val="18"/>
                <w:lang w:eastAsia="en-US"/>
              </w:rPr>
            </w:pPr>
            <w:r w:rsidRPr="00CA682E">
              <w:rPr>
                <w:rFonts w:eastAsia="Times New Roman"/>
                <w:b/>
                <w:bCs/>
                <w:color w:val="000000" w:themeColor="text1"/>
                <w:sz w:val="18"/>
                <w:szCs w:val="18"/>
                <w:lang w:eastAsia="en-US"/>
              </w:rPr>
              <w:t>T1.</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CA682E" w:rsidRPr="00CA682E" w:rsidRDefault="00CA682E" w:rsidP="00CA682E">
            <w:pPr>
              <w:rPr>
                <w:rFonts w:eastAsia="Times New Roman"/>
                <w:b/>
                <w:bCs/>
                <w:color w:val="000000" w:themeColor="text1"/>
                <w:sz w:val="18"/>
                <w:szCs w:val="18"/>
                <w:lang w:eastAsia="en-US"/>
              </w:rPr>
            </w:pPr>
            <w:r w:rsidRPr="00CA682E">
              <w:rPr>
                <w:rFonts w:eastAsia="Times New Roman"/>
                <w:b/>
                <w:bCs/>
                <w:color w:val="000000" w:themeColor="text1"/>
                <w:sz w:val="18"/>
                <w:szCs w:val="18"/>
                <w:lang w:eastAsia="en-US"/>
              </w:rPr>
              <w:t>T2.</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CA682E" w:rsidRPr="00CA682E" w:rsidRDefault="00CA682E" w:rsidP="00CA682E">
            <w:pPr>
              <w:rPr>
                <w:rFonts w:eastAsia="Times New Roman"/>
                <w:b/>
                <w:bCs/>
                <w:color w:val="000000" w:themeColor="text1"/>
                <w:sz w:val="18"/>
                <w:szCs w:val="18"/>
                <w:lang w:eastAsia="en-US"/>
              </w:rPr>
            </w:pPr>
            <w:r w:rsidRPr="00CA682E">
              <w:rPr>
                <w:rFonts w:eastAsia="Times New Roman"/>
                <w:b/>
                <w:bCs/>
                <w:color w:val="000000" w:themeColor="text1"/>
                <w:sz w:val="18"/>
                <w:szCs w:val="18"/>
                <w:lang w:eastAsia="en-US"/>
              </w:rPr>
              <w:t>T3</w:t>
            </w:r>
          </w:p>
        </w:tc>
        <w:tc>
          <w:tcPr>
            <w:tcW w:w="480" w:type="dxa"/>
            <w:tcBorders>
              <w:top w:val="nil"/>
              <w:left w:val="nil"/>
              <w:bottom w:val="single" w:sz="4" w:space="0" w:color="auto"/>
              <w:right w:val="single" w:sz="8" w:space="0" w:color="auto"/>
            </w:tcBorders>
            <w:shd w:val="clear" w:color="auto" w:fill="C6D9F1" w:themeFill="text2" w:themeFillTint="33"/>
            <w:noWrap/>
            <w:vAlign w:val="bottom"/>
            <w:hideMark/>
          </w:tcPr>
          <w:p w:rsidR="00CA682E" w:rsidRPr="00CA682E" w:rsidRDefault="00CA682E" w:rsidP="00CA682E">
            <w:pPr>
              <w:rPr>
                <w:rFonts w:eastAsia="Times New Roman"/>
                <w:b/>
                <w:bCs/>
                <w:color w:val="000000" w:themeColor="text1"/>
                <w:sz w:val="18"/>
                <w:szCs w:val="18"/>
                <w:lang w:eastAsia="en-US"/>
              </w:rPr>
            </w:pPr>
            <w:r w:rsidRPr="00CA682E">
              <w:rPr>
                <w:rFonts w:eastAsia="Times New Roman"/>
                <w:b/>
                <w:bCs/>
                <w:color w:val="000000" w:themeColor="text1"/>
                <w:sz w:val="18"/>
                <w:szCs w:val="18"/>
                <w:lang w:eastAsia="en-US"/>
              </w:rPr>
              <w:t>T4</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CA682E" w:rsidRPr="00CA682E" w:rsidRDefault="00CA682E" w:rsidP="00CA682E">
            <w:pPr>
              <w:rPr>
                <w:rFonts w:eastAsia="Times New Roman"/>
                <w:b/>
                <w:bCs/>
                <w:color w:val="000000" w:themeColor="text1"/>
                <w:sz w:val="18"/>
                <w:szCs w:val="18"/>
                <w:lang w:eastAsia="en-US"/>
              </w:rPr>
            </w:pPr>
            <w:r w:rsidRPr="00CA682E">
              <w:rPr>
                <w:rFonts w:eastAsia="Times New Roman"/>
                <w:b/>
                <w:bCs/>
                <w:color w:val="000000" w:themeColor="text1"/>
                <w:sz w:val="18"/>
                <w:szCs w:val="18"/>
                <w:lang w:eastAsia="en-US"/>
              </w:rPr>
              <w:t>T1.</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CA682E" w:rsidRPr="00CA682E" w:rsidRDefault="00CA682E" w:rsidP="00CA682E">
            <w:pPr>
              <w:rPr>
                <w:rFonts w:eastAsia="Times New Roman"/>
                <w:b/>
                <w:bCs/>
                <w:color w:val="000000" w:themeColor="text1"/>
                <w:sz w:val="18"/>
                <w:szCs w:val="18"/>
                <w:lang w:eastAsia="en-US"/>
              </w:rPr>
            </w:pPr>
            <w:r w:rsidRPr="00CA682E">
              <w:rPr>
                <w:rFonts w:eastAsia="Times New Roman"/>
                <w:b/>
                <w:bCs/>
                <w:color w:val="000000" w:themeColor="text1"/>
                <w:sz w:val="18"/>
                <w:szCs w:val="18"/>
                <w:lang w:eastAsia="en-US"/>
              </w:rPr>
              <w:t>T2.</w:t>
            </w:r>
          </w:p>
        </w:tc>
        <w:tc>
          <w:tcPr>
            <w:tcW w:w="480" w:type="dxa"/>
            <w:tcBorders>
              <w:top w:val="nil"/>
              <w:left w:val="nil"/>
              <w:bottom w:val="single" w:sz="4" w:space="0" w:color="auto"/>
              <w:right w:val="single" w:sz="4" w:space="0" w:color="auto"/>
            </w:tcBorders>
            <w:shd w:val="clear" w:color="auto" w:fill="C6D9F1" w:themeFill="text2" w:themeFillTint="33"/>
            <w:noWrap/>
            <w:vAlign w:val="bottom"/>
            <w:hideMark/>
          </w:tcPr>
          <w:p w:rsidR="00CA682E" w:rsidRPr="00CA682E" w:rsidRDefault="00CA682E" w:rsidP="00CA682E">
            <w:pPr>
              <w:rPr>
                <w:rFonts w:eastAsia="Times New Roman"/>
                <w:b/>
                <w:bCs/>
                <w:color w:val="000000" w:themeColor="text1"/>
                <w:sz w:val="18"/>
                <w:szCs w:val="18"/>
                <w:lang w:eastAsia="en-US"/>
              </w:rPr>
            </w:pPr>
            <w:r w:rsidRPr="00CA682E">
              <w:rPr>
                <w:rFonts w:eastAsia="Times New Roman"/>
                <w:b/>
                <w:bCs/>
                <w:color w:val="000000" w:themeColor="text1"/>
                <w:sz w:val="18"/>
                <w:szCs w:val="18"/>
                <w:lang w:eastAsia="en-US"/>
              </w:rPr>
              <w:t>T3</w:t>
            </w:r>
          </w:p>
        </w:tc>
        <w:tc>
          <w:tcPr>
            <w:tcW w:w="480" w:type="dxa"/>
            <w:tcBorders>
              <w:top w:val="nil"/>
              <w:left w:val="nil"/>
              <w:bottom w:val="single" w:sz="4" w:space="0" w:color="auto"/>
              <w:right w:val="single" w:sz="8" w:space="0" w:color="auto"/>
            </w:tcBorders>
            <w:shd w:val="clear" w:color="auto" w:fill="C6D9F1" w:themeFill="text2" w:themeFillTint="33"/>
            <w:noWrap/>
            <w:vAlign w:val="bottom"/>
            <w:hideMark/>
          </w:tcPr>
          <w:p w:rsidR="00CA682E" w:rsidRPr="00CA682E" w:rsidRDefault="00CA682E" w:rsidP="00CA682E">
            <w:pPr>
              <w:rPr>
                <w:rFonts w:eastAsia="Times New Roman"/>
                <w:b/>
                <w:bCs/>
                <w:color w:val="000000" w:themeColor="text1"/>
                <w:sz w:val="18"/>
                <w:szCs w:val="18"/>
                <w:lang w:eastAsia="en-US"/>
              </w:rPr>
            </w:pPr>
            <w:r w:rsidRPr="00CA682E">
              <w:rPr>
                <w:rFonts w:eastAsia="Times New Roman"/>
                <w:b/>
                <w:bCs/>
                <w:color w:val="000000" w:themeColor="text1"/>
                <w:sz w:val="18"/>
                <w:szCs w:val="18"/>
                <w:lang w:eastAsia="en-US"/>
              </w:rPr>
              <w:t>T4</w:t>
            </w:r>
          </w:p>
        </w:tc>
      </w:tr>
      <w:tr w:rsidR="00CA682E" w:rsidRPr="00CA682E" w:rsidTr="007B1DE4">
        <w:trPr>
          <w:trHeight w:val="615"/>
          <w:jc w:val="center"/>
        </w:trPr>
        <w:tc>
          <w:tcPr>
            <w:tcW w:w="2324" w:type="dxa"/>
            <w:tcBorders>
              <w:top w:val="nil"/>
              <w:left w:val="single" w:sz="8" w:space="0" w:color="auto"/>
              <w:bottom w:val="single" w:sz="4" w:space="0" w:color="auto"/>
              <w:right w:val="single" w:sz="8" w:space="0" w:color="auto"/>
            </w:tcBorders>
            <w:shd w:val="clear" w:color="auto" w:fill="auto"/>
            <w:noWrap/>
            <w:vAlign w:val="center"/>
            <w:hideMark/>
          </w:tcPr>
          <w:p w:rsidR="00CA682E" w:rsidRPr="00CA682E" w:rsidRDefault="00CA682E" w:rsidP="00CA682E">
            <w:pPr>
              <w:spacing w:before="40" w:after="40"/>
              <w:rPr>
                <w:rFonts w:eastAsia="Times New Roman"/>
                <w:color w:val="000000" w:themeColor="text1"/>
                <w:sz w:val="16"/>
                <w:szCs w:val="16"/>
                <w:lang w:eastAsia="en-US"/>
              </w:rPr>
            </w:pPr>
            <w:r w:rsidRPr="00CA682E">
              <w:rPr>
                <w:rFonts w:eastAsia="Times New Roman"/>
                <w:color w:val="000000" w:themeColor="text1"/>
                <w:sz w:val="16"/>
                <w:szCs w:val="16"/>
                <w:lang w:eastAsia="en-US"/>
              </w:rPr>
              <w:t>Compartimentación del edificio PCT</w:t>
            </w:r>
          </w:p>
          <w:p w:rsidR="00CA682E" w:rsidRPr="00CA682E" w:rsidRDefault="00CA682E" w:rsidP="00CA682E">
            <w:pPr>
              <w:spacing w:before="40" w:after="40"/>
              <w:rPr>
                <w:rFonts w:eastAsia="Times New Roman"/>
                <w:b/>
                <w:bCs/>
                <w:color w:val="000000" w:themeColor="text1"/>
                <w:sz w:val="16"/>
                <w:szCs w:val="16"/>
                <w:lang w:eastAsia="en-US"/>
              </w:rPr>
            </w:pPr>
            <w:r w:rsidRPr="00CA682E">
              <w:rPr>
                <w:rFonts w:eastAsia="Times New Roman"/>
                <w:color w:val="000000" w:themeColor="text1"/>
                <w:sz w:val="16"/>
                <w:szCs w:val="16"/>
                <w:lang w:eastAsia="en-US"/>
              </w:rPr>
              <w:t>Finalización de las obras</w:t>
            </w: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r w:rsidRPr="00CA682E">
              <w:rPr>
                <w:rFonts w:eastAsia="Times New Roman"/>
                <w:color w:val="000000" w:themeColor="text1"/>
                <w:sz w:val="16"/>
                <w:szCs w:val="16"/>
                <w:lang w:eastAsia="en-US"/>
              </w:rPr>
              <w:t>X</w:t>
            </w: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8"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8"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8"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8"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p>
        </w:tc>
      </w:tr>
      <w:tr w:rsidR="00CA682E" w:rsidRPr="00CA682E" w:rsidTr="007B1DE4">
        <w:trPr>
          <w:trHeight w:val="615"/>
          <w:jc w:val="center"/>
        </w:trPr>
        <w:tc>
          <w:tcPr>
            <w:tcW w:w="2324" w:type="dxa"/>
            <w:tcBorders>
              <w:top w:val="nil"/>
              <w:left w:val="single" w:sz="8" w:space="0" w:color="auto"/>
              <w:bottom w:val="single" w:sz="4" w:space="0" w:color="auto"/>
              <w:right w:val="single" w:sz="8" w:space="0" w:color="auto"/>
            </w:tcBorders>
            <w:shd w:val="clear" w:color="auto" w:fill="auto"/>
            <w:noWrap/>
            <w:vAlign w:val="center"/>
            <w:hideMark/>
          </w:tcPr>
          <w:p w:rsidR="00CA682E" w:rsidRPr="00CA682E" w:rsidRDefault="00CA682E" w:rsidP="00CA682E">
            <w:pPr>
              <w:spacing w:before="40" w:after="40"/>
              <w:rPr>
                <w:rFonts w:eastAsia="Times New Roman"/>
                <w:b/>
                <w:bCs/>
                <w:color w:val="000000" w:themeColor="text1"/>
                <w:sz w:val="16"/>
                <w:szCs w:val="16"/>
                <w:lang w:eastAsia="en-US"/>
              </w:rPr>
            </w:pPr>
            <w:r w:rsidRPr="00CA682E">
              <w:rPr>
                <w:rFonts w:eastAsia="Times New Roman"/>
                <w:b/>
                <w:bCs/>
                <w:color w:val="000000" w:themeColor="text1"/>
                <w:sz w:val="16"/>
                <w:szCs w:val="16"/>
                <w:lang w:eastAsia="en-US"/>
              </w:rPr>
              <w:t>Compartimentación del segundo subsuelo del edificio AB: creación de un vestíbulo de independencia</w:t>
            </w: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r w:rsidRPr="00CA682E">
              <w:rPr>
                <w:rFonts w:eastAsia="Times New Roman"/>
                <w:color w:val="000000" w:themeColor="text1"/>
                <w:sz w:val="16"/>
                <w:szCs w:val="16"/>
                <w:lang w:eastAsia="en-US"/>
              </w:rPr>
              <w:t>X</w:t>
            </w:r>
          </w:p>
        </w:tc>
        <w:tc>
          <w:tcPr>
            <w:tcW w:w="480" w:type="dxa"/>
            <w:tcBorders>
              <w:top w:val="nil"/>
              <w:left w:val="nil"/>
              <w:bottom w:val="single" w:sz="4" w:space="0" w:color="auto"/>
              <w:right w:val="single" w:sz="8"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r w:rsidRPr="00CA682E">
              <w:rPr>
                <w:rFonts w:eastAsia="Times New Roman"/>
                <w:color w:val="000000" w:themeColor="text1"/>
                <w:sz w:val="16"/>
                <w:szCs w:val="16"/>
                <w:lang w:eastAsia="en-US"/>
              </w:rPr>
              <w:t>X</w:t>
            </w: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r w:rsidRPr="00CA682E">
              <w:rPr>
                <w:rFonts w:eastAsia="Times New Roman"/>
                <w:color w:val="000000" w:themeColor="text1"/>
                <w:sz w:val="16"/>
                <w:szCs w:val="16"/>
                <w:lang w:eastAsia="en-US"/>
              </w:rPr>
              <w:t>X</w:t>
            </w: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r w:rsidRPr="00CA682E">
              <w:rPr>
                <w:rFonts w:eastAsia="Times New Roman"/>
                <w:color w:val="000000" w:themeColor="text1"/>
                <w:sz w:val="16"/>
                <w:szCs w:val="16"/>
                <w:lang w:eastAsia="en-US"/>
              </w:rPr>
              <w:t>X</w:t>
            </w: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8"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8"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8"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p>
        </w:tc>
      </w:tr>
      <w:tr w:rsidR="00CA682E" w:rsidRPr="00CA682E" w:rsidTr="007B1DE4">
        <w:trPr>
          <w:trHeight w:val="615"/>
          <w:jc w:val="center"/>
        </w:trPr>
        <w:tc>
          <w:tcPr>
            <w:tcW w:w="2324" w:type="dxa"/>
            <w:tcBorders>
              <w:top w:val="nil"/>
              <w:left w:val="single" w:sz="8" w:space="0" w:color="auto"/>
              <w:bottom w:val="single" w:sz="4" w:space="0" w:color="auto"/>
              <w:right w:val="single" w:sz="8" w:space="0" w:color="auto"/>
            </w:tcBorders>
            <w:shd w:val="clear" w:color="auto" w:fill="auto"/>
            <w:noWrap/>
            <w:vAlign w:val="bottom"/>
            <w:hideMark/>
          </w:tcPr>
          <w:p w:rsidR="00CA682E" w:rsidRPr="00CA682E" w:rsidRDefault="00CA682E" w:rsidP="00CA682E">
            <w:pPr>
              <w:spacing w:before="40" w:after="40"/>
              <w:rPr>
                <w:rFonts w:eastAsia="Times New Roman"/>
                <w:color w:val="000000" w:themeColor="text1"/>
                <w:sz w:val="16"/>
                <w:szCs w:val="16"/>
                <w:lang w:eastAsia="en-US"/>
              </w:rPr>
            </w:pPr>
            <w:r w:rsidRPr="00CA682E">
              <w:rPr>
                <w:rFonts w:eastAsia="Times New Roman"/>
                <w:color w:val="000000" w:themeColor="text1"/>
                <w:sz w:val="16"/>
                <w:szCs w:val="16"/>
                <w:lang w:eastAsia="en-US"/>
              </w:rPr>
              <w:t>Estudio y proyecto relacionados con la compartimentación entre los edificios GBI y AB</w:t>
            </w: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8"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r w:rsidRPr="00CA682E">
              <w:rPr>
                <w:rFonts w:eastAsia="Times New Roman"/>
                <w:color w:val="000000" w:themeColor="text1"/>
                <w:sz w:val="16"/>
                <w:szCs w:val="16"/>
                <w:lang w:eastAsia="en-US"/>
              </w:rPr>
              <w:t>X</w:t>
            </w:r>
          </w:p>
        </w:tc>
        <w:tc>
          <w:tcPr>
            <w:tcW w:w="480" w:type="dxa"/>
            <w:tcBorders>
              <w:top w:val="nil"/>
              <w:left w:val="nil"/>
              <w:bottom w:val="single" w:sz="4" w:space="0" w:color="auto"/>
              <w:right w:val="single" w:sz="8"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r w:rsidRPr="00CA682E">
              <w:rPr>
                <w:rFonts w:eastAsia="Times New Roman"/>
                <w:color w:val="000000" w:themeColor="text1"/>
                <w:sz w:val="16"/>
                <w:szCs w:val="16"/>
                <w:lang w:eastAsia="en-US"/>
              </w:rPr>
              <w:t>X</w:t>
            </w: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r w:rsidRPr="00CA682E">
              <w:rPr>
                <w:rFonts w:eastAsia="Times New Roman"/>
                <w:color w:val="000000" w:themeColor="text1"/>
                <w:sz w:val="16"/>
                <w:szCs w:val="16"/>
                <w:lang w:eastAsia="en-US"/>
              </w:rPr>
              <w:t>X</w:t>
            </w: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r w:rsidRPr="00CA682E">
              <w:rPr>
                <w:rFonts w:eastAsia="Times New Roman"/>
                <w:color w:val="000000" w:themeColor="text1"/>
                <w:sz w:val="16"/>
                <w:szCs w:val="16"/>
                <w:lang w:eastAsia="en-US"/>
              </w:rPr>
              <w:t>X</w:t>
            </w: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r w:rsidRPr="00CA682E">
              <w:rPr>
                <w:rFonts w:eastAsia="Times New Roman"/>
                <w:color w:val="000000" w:themeColor="text1"/>
                <w:sz w:val="16"/>
                <w:szCs w:val="16"/>
                <w:lang w:eastAsia="en-US"/>
              </w:rPr>
              <w:t>X</w:t>
            </w:r>
          </w:p>
        </w:tc>
        <w:tc>
          <w:tcPr>
            <w:tcW w:w="480" w:type="dxa"/>
            <w:tcBorders>
              <w:top w:val="nil"/>
              <w:left w:val="nil"/>
              <w:bottom w:val="single" w:sz="4" w:space="0" w:color="auto"/>
              <w:right w:val="single" w:sz="8"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r w:rsidRPr="00CA682E">
              <w:rPr>
                <w:rFonts w:eastAsia="Times New Roman"/>
                <w:color w:val="000000" w:themeColor="text1"/>
                <w:sz w:val="16"/>
                <w:szCs w:val="16"/>
                <w:lang w:eastAsia="en-US"/>
              </w:rPr>
              <w:t>X</w:t>
            </w: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8"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p>
        </w:tc>
      </w:tr>
      <w:tr w:rsidR="00CA682E" w:rsidRPr="00CA682E" w:rsidTr="007B1DE4">
        <w:trPr>
          <w:trHeight w:val="615"/>
          <w:jc w:val="center"/>
        </w:trPr>
        <w:tc>
          <w:tcPr>
            <w:tcW w:w="2324" w:type="dxa"/>
            <w:tcBorders>
              <w:top w:val="nil"/>
              <w:left w:val="single" w:sz="8" w:space="0" w:color="auto"/>
              <w:bottom w:val="single" w:sz="4" w:space="0" w:color="auto"/>
              <w:right w:val="single" w:sz="8" w:space="0" w:color="auto"/>
            </w:tcBorders>
            <w:shd w:val="clear" w:color="auto" w:fill="auto"/>
            <w:noWrap/>
            <w:vAlign w:val="bottom"/>
            <w:hideMark/>
          </w:tcPr>
          <w:p w:rsidR="00CA682E" w:rsidRPr="00CA682E" w:rsidRDefault="00CA682E" w:rsidP="00CA682E">
            <w:pPr>
              <w:spacing w:before="40" w:after="40"/>
              <w:rPr>
                <w:rFonts w:eastAsia="Times New Roman"/>
                <w:color w:val="000000" w:themeColor="text1"/>
                <w:sz w:val="16"/>
                <w:szCs w:val="16"/>
                <w:lang w:eastAsia="en-US"/>
              </w:rPr>
            </w:pPr>
            <w:r w:rsidRPr="00CA682E">
              <w:rPr>
                <w:rFonts w:eastAsia="Times New Roman"/>
                <w:color w:val="000000" w:themeColor="text1"/>
                <w:sz w:val="16"/>
                <w:szCs w:val="16"/>
                <w:lang w:eastAsia="en-US"/>
              </w:rPr>
              <w:t>Proyecto relacionado con la compartimentación entre los edificios GBI y GBII (todos los niveles, con excepción del primer subsuelo)</w:t>
            </w: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8"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8"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r w:rsidRPr="00CA682E">
              <w:rPr>
                <w:rFonts w:eastAsia="Times New Roman"/>
                <w:color w:val="000000" w:themeColor="text1"/>
                <w:sz w:val="16"/>
                <w:szCs w:val="16"/>
                <w:lang w:eastAsia="en-US"/>
              </w:rPr>
              <w:t>X</w:t>
            </w: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r w:rsidRPr="00CA682E">
              <w:rPr>
                <w:rFonts w:eastAsia="Times New Roman"/>
                <w:color w:val="000000" w:themeColor="text1"/>
                <w:sz w:val="16"/>
                <w:szCs w:val="16"/>
                <w:lang w:eastAsia="en-US"/>
              </w:rPr>
              <w:t>X</w:t>
            </w: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r w:rsidRPr="00CA682E">
              <w:rPr>
                <w:rFonts w:eastAsia="Times New Roman"/>
                <w:color w:val="000000" w:themeColor="text1"/>
                <w:sz w:val="16"/>
                <w:szCs w:val="16"/>
                <w:lang w:eastAsia="en-US"/>
              </w:rPr>
              <w:t>X</w:t>
            </w:r>
          </w:p>
        </w:tc>
        <w:tc>
          <w:tcPr>
            <w:tcW w:w="480" w:type="dxa"/>
            <w:tcBorders>
              <w:top w:val="nil"/>
              <w:left w:val="nil"/>
              <w:bottom w:val="single" w:sz="4" w:space="0" w:color="auto"/>
              <w:right w:val="single" w:sz="8"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r w:rsidRPr="00CA682E">
              <w:rPr>
                <w:rFonts w:eastAsia="Times New Roman"/>
                <w:color w:val="000000" w:themeColor="text1"/>
                <w:sz w:val="16"/>
                <w:szCs w:val="16"/>
                <w:lang w:eastAsia="en-US"/>
              </w:rPr>
              <w:t>X</w:t>
            </w: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8"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p>
        </w:tc>
      </w:tr>
      <w:tr w:rsidR="00CA682E" w:rsidRPr="00CA682E" w:rsidTr="007B1DE4">
        <w:trPr>
          <w:trHeight w:val="615"/>
          <w:jc w:val="center"/>
        </w:trPr>
        <w:tc>
          <w:tcPr>
            <w:tcW w:w="2324" w:type="dxa"/>
            <w:tcBorders>
              <w:top w:val="nil"/>
              <w:left w:val="single" w:sz="8" w:space="0" w:color="auto"/>
              <w:bottom w:val="single" w:sz="4" w:space="0" w:color="auto"/>
              <w:right w:val="single" w:sz="8" w:space="0" w:color="auto"/>
            </w:tcBorders>
            <w:shd w:val="clear" w:color="auto" w:fill="auto"/>
            <w:noWrap/>
            <w:vAlign w:val="bottom"/>
            <w:hideMark/>
          </w:tcPr>
          <w:p w:rsidR="00CA682E" w:rsidRPr="00CA682E" w:rsidRDefault="00CA682E" w:rsidP="00CA682E">
            <w:pPr>
              <w:spacing w:before="40" w:after="40"/>
              <w:rPr>
                <w:rFonts w:eastAsia="Times New Roman"/>
                <w:color w:val="000000" w:themeColor="text1"/>
                <w:sz w:val="16"/>
                <w:szCs w:val="16"/>
                <w:lang w:eastAsia="en-US"/>
              </w:rPr>
            </w:pPr>
            <w:r w:rsidRPr="00CA682E">
              <w:rPr>
                <w:rFonts w:eastAsia="Times New Roman"/>
                <w:color w:val="000000" w:themeColor="text1"/>
                <w:sz w:val="16"/>
                <w:szCs w:val="16"/>
                <w:lang w:eastAsia="en-US"/>
              </w:rPr>
              <w:t>Proyecto relacionado con la compartimentación del edificio AB (con excepción del segundo subsuelo)</w:t>
            </w: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8"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8"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8"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r w:rsidRPr="00CA682E">
              <w:rPr>
                <w:rFonts w:eastAsia="Times New Roman"/>
                <w:color w:val="000000" w:themeColor="text1"/>
                <w:sz w:val="16"/>
                <w:szCs w:val="16"/>
                <w:lang w:eastAsia="en-US"/>
              </w:rPr>
              <w:t>X</w:t>
            </w: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r w:rsidRPr="00CA682E">
              <w:rPr>
                <w:rFonts w:eastAsia="Times New Roman"/>
                <w:color w:val="000000" w:themeColor="text1"/>
                <w:sz w:val="16"/>
                <w:szCs w:val="16"/>
                <w:lang w:eastAsia="en-US"/>
              </w:rPr>
              <w:t>X</w:t>
            </w:r>
          </w:p>
        </w:tc>
        <w:tc>
          <w:tcPr>
            <w:tcW w:w="480" w:type="dxa"/>
            <w:tcBorders>
              <w:top w:val="nil"/>
              <w:left w:val="nil"/>
              <w:bottom w:val="single" w:sz="4" w:space="0" w:color="auto"/>
              <w:right w:val="single" w:sz="4"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r w:rsidRPr="00CA682E">
              <w:rPr>
                <w:rFonts w:eastAsia="Times New Roman"/>
                <w:color w:val="000000" w:themeColor="text1"/>
                <w:sz w:val="16"/>
                <w:szCs w:val="16"/>
                <w:lang w:eastAsia="en-US"/>
              </w:rPr>
              <w:t>X</w:t>
            </w:r>
          </w:p>
        </w:tc>
        <w:tc>
          <w:tcPr>
            <w:tcW w:w="480" w:type="dxa"/>
            <w:tcBorders>
              <w:top w:val="nil"/>
              <w:left w:val="nil"/>
              <w:bottom w:val="single" w:sz="4" w:space="0" w:color="auto"/>
              <w:right w:val="single" w:sz="8" w:space="0" w:color="auto"/>
            </w:tcBorders>
            <w:shd w:val="clear" w:color="auto" w:fill="auto"/>
            <w:noWrap/>
            <w:vAlign w:val="center"/>
            <w:hideMark/>
          </w:tcPr>
          <w:p w:rsidR="00CA682E" w:rsidRPr="00CA682E" w:rsidRDefault="00CA682E" w:rsidP="00CA682E">
            <w:pPr>
              <w:spacing w:before="40" w:after="40"/>
              <w:jc w:val="center"/>
              <w:rPr>
                <w:rFonts w:eastAsia="Times New Roman"/>
                <w:color w:val="000000" w:themeColor="text1"/>
                <w:sz w:val="16"/>
                <w:szCs w:val="16"/>
                <w:lang w:eastAsia="en-US"/>
              </w:rPr>
            </w:pPr>
            <w:r w:rsidRPr="00CA682E">
              <w:rPr>
                <w:rFonts w:eastAsia="Times New Roman"/>
                <w:color w:val="000000" w:themeColor="text1"/>
                <w:sz w:val="16"/>
                <w:szCs w:val="16"/>
                <w:lang w:eastAsia="en-US"/>
              </w:rPr>
              <w:t>X</w:t>
            </w:r>
          </w:p>
        </w:tc>
      </w:tr>
    </w:tbl>
    <w:p w:rsidR="00CA682E" w:rsidRPr="00CA682E" w:rsidRDefault="00CA682E" w:rsidP="00CA682E">
      <w:pPr>
        <w:rPr>
          <w:rFonts w:eastAsia="Times New Roman" w:cs="Times New Roman"/>
          <w:color w:val="000000" w:themeColor="text1"/>
          <w:sz w:val="20"/>
          <w:szCs w:val="24"/>
          <w:lang w:eastAsia="en-US"/>
        </w:rPr>
      </w:pPr>
    </w:p>
    <w:p w:rsidR="00CA682E" w:rsidRPr="00CA682E" w:rsidRDefault="00CA682E" w:rsidP="00CA682E">
      <w:pPr>
        <w:rPr>
          <w:rFonts w:eastAsia="Times New Roman" w:cs="Times New Roman"/>
          <w:color w:val="000000" w:themeColor="text1"/>
          <w:sz w:val="20"/>
          <w:szCs w:val="24"/>
          <w:lang w:eastAsia="en-US"/>
        </w:rPr>
      </w:pPr>
    </w:p>
    <w:p w:rsidR="00CA682E" w:rsidRPr="00CA682E" w:rsidRDefault="00CA682E" w:rsidP="00CA682E">
      <w:pPr>
        <w:ind w:left="5534"/>
        <w:rPr>
          <w:sz w:val="20"/>
        </w:rPr>
      </w:pPr>
      <w:r w:rsidRPr="00CA682E">
        <w:rPr>
          <w:sz w:val="20"/>
        </w:rPr>
        <w:t>[Sigue el Apéndice IV]</w:t>
      </w:r>
    </w:p>
    <w:p w:rsidR="00BC2324" w:rsidRDefault="00BC2324">
      <w:pPr>
        <w:rPr>
          <w:sz w:val="20"/>
        </w:rPr>
      </w:pPr>
    </w:p>
    <w:p w:rsidR="0071404B" w:rsidRDefault="0071404B">
      <w:pPr>
        <w:rPr>
          <w:sz w:val="20"/>
        </w:rPr>
      </w:pPr>
      <w:r>
        <w:rPr>
          <w:sz w:val="20"/>
        </w:rPr>
        <w:br w:type="page"/>
      </w:r>
    </w:p>
    <w:p w:rsidR="0071404B" w:rsidRPr="00526311" w:rsidRDefault="0071404B" w:rsidP="0071404B">
      <w:pPr>
        <w:pStyle w:val="Heading2"/>
        <w:rPr>
          <w:b/>
          <w:i/>
        </w:rPr>
      </w:pPr>
      <w:bookmarkStart w:id="232" w:name="_Toc422927455"/>
      <w:bookmarkStart w:id="233" w:name="_Toc455159123"/>
      <w:r w:rsidRPr="00526311">
        <w:rPr>
          <w:b/>
          <w:bCs w:val="0"/>
          <w:szCs w:val="22"/>
        </w:rPr>
        <w:lastRenderedPageBreak/>
        <w:t>APÉNDICE IV</w:t>
      </w:r>
      <w:r w:rsidRPr="00526311">
        <w:rPr>
          <w:b/>
          <w:bCs w:val="0"/>
          <w:szCs w:val="22"/>
        </w:rPr>
        <w:br/>
      </w:r>
      <w:bookmarkStart w:id="234" w:name="_Toc293334854"/>
      <w:bookmarkStart w:id="235" w:name="_Toc298920436"/>
      <w:bookmarkStart w:id="236" w:name="_Toc310950817"/>
      <w:bookmarkStart w:id="237" w:name="_Toc356567803"/>
      <w:bookmarkStart w:id="238" w:name="_Toc367350629"/>
      <w:bookmarkStart w:id="239" w:name="_Toc392610068"/>
      <w:r w:rsidRPr="00526311">
        <w:br/>
      </w:r>
      <w:r w:rsidRPr="00526311">
        <w:rPr>
          <w:b/>
        </w:rPr>
        <w:t>SIGLAS Y ABREVIATURAS EMPLEADAS EN EL PRESENTE DOCUMENT</w:t>
      </w:r>
      <w:bookmarkEnd w:id="234"/>
      <w:bookmarkEnd w:id="235"/>
      <w:bookmarkEnd w:id="236"/>
      <w:bookmarkEnd w:id="237"/>
      <w:bookmarkEnd w:id="238"/>
      <w:bookmarkEnd w:id="239"/>
      <w:r w:rsidRPr="00526311">
        <w:rPr>
          <w:b/>
        </w:rPr>
        <w:t>O</w:t>
      </w:r>
      <w:bookmarkEnd w:id="232"/>
      <w:bookmarkEnd w:id="233"/>
    </w:p>
    <w:p w:rsidR="0071404B" w:rsidRPr="00526311" w:rsidRDefault="0071404B" w:rsidP="0071404B">
      <w:pPr>
        <w:tabs>
          <w:tab w:val="left" w:pos="1980"/>
          <w:tab w:val="left" w:pos="3261"/>
        </w:tabs>
        <w:ind w:left="2268" w:hanging="2268"/>
        <w:jc w:val="both"/>
        <w:rPr>
          <w:sz w:val="16"/>
          <w:szCs w:val="16"/>
        </w:rPr>
      </w:pPr>
    </w:p>
    <w:p w:rsidR="0071404B" w:rsidRPr="00526311" w:rsidRDefault="0071404B" w:rsidP="0071404B">
      <w:pPr>
        <w:tabs>
          <w:tab w:val="left" w:pos="1980"/>
          <w:tab w:val="left" w:pos="3261"/>
        </w:tabs>
        <w:ind w:left="2268" w:hanging="2268"/>
        <w:jc w:val="both"/>
        <w:rPr>
          <w:sz w:val="16"/>
          <w:szCs w:val="16"/>
        </w:rPr>
      </w:pPr>
    </w:p>
    <w:tbl>
      <w:tblPr>
        <w:tblStyle w:val="TableGrid"/>
        <w:tblW w:w="9498" w:type="dxa"/>
        <w:tblInd w:w="108"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9498"/>
      </w:tblGrid>
      <w:tr w:rsidR="0071404B" w:rsidRPr="00526311" w:rsidTr="002E3193">
        <w:tc>
          <w:tcPr>
            <w:tcW w:w="9498" w:type="dxa"/>
          </w:tcPr>
          <w:p w:rsidR="0071404B" w:rsidRPr="00526311" w:rsidRDefault="0071404B" w:rsidP="002E3193">
            <w:pPr>
              <w:spacing w:after="40"/>
              <w:ind w:left="1735" w:hanging="1735"/>
              <w:rPr>
                <w:sz w:val="20"/>
              </w:rPr>
            </w:pPr>
            <w:r w:rsidRPr="00526311">
              <w:rPr>
                <w:b/>
                <w:sz w:val="20"/>
              </w:rPr>
              <w:t>A</w:t>
            </w:r>
            <w:r w:rsidRPr="00526311">
              <w:rPr>
                <w:sz w:val="20"/>
              </w:rPr>
              <w:t>.D.</w:t>
            </w:r>
            <w:r w:rsidRPr="00526311">
              <w:rPr>
                <w:sz w:val="20"/>
              </w:rPr>
              <w:tab/>
              <w:t>Agenda para el Desarrollo</w:t>
            </w:r>
          </w:p>
        </w:tc>
      </w:tr>
      <w:tr w:rsidR="004341AB" w:rsidRPr="00526311" w:rsidTr="002E3193">
        <w:tc>
          <w:tcPr>
            <w:tcW w:w="9498" w:type="dxa"/>
          </w:tcPr>
          <w:p w:rsidR="004341AB" w:rsidRPr="00526311" w:rsidRDefault="004341AB" w:rsidP="002E3193">
            <w:pPr>
              <w:spacing w:after="40"/>
              <w:ind w:left="1735" w:hanging="1735"/>
              <w:rPr>
                <w:sz w:val="20"/>
              </w:rPr>
            </w:pPr>
            <w:r>
              <w:rPr>
                <w:sz w:val="20"/>
              </w:rPr>
              <w:t>ABC</w:t>
            </w:r>
            <w:r w:rsidRPr="00526311">
              <w:rPr>
                <w:sz w:val="20"/>
              </w:rPr>
              <w:tab/>
            </w:r>
            <w:r>
              <w:rPr>
                <w:sz w:val="20"/>
              </w:rPr>
              <w:t>Consorcio de Libros Accesibles</w:t>
            </w:r>
          </w:p>
        </w:tc>
      </w:tr>
      <w:tr w:rsidR="0071404B" w:rsidRPr="00526311" w:rsidTr="002E3193">
        <w:tc>
          <w:tcPr>
            <w:tcW w:w="9498" w:type="dxa"/>
          </w:tcPr>
          <w:p w:rsidR="0071404B" w:rsidRPr="00526311" w:rsidRDefault="0071404B" w:rsidP="002E3193">
            <w:pPr>
              <w:spacing w:after="40"/>
              <w:ind w:left="1735" w:hanging="1735"/>
              <w:rPr>
                <w:sz w:val="20"/>
              </w:rPr>
            </w:pPr>
            <w:r w:rsidRPr="00526311">
              <w:rPr>
                <w:sz w:val="20"/>
              </w:rPr>
              <w:t>ACE</w:t>
            </w:r>
            <w:r w:rsidRPr="00526311">
              <w:rPr>
                <w:sz w:val="20"/>
              </w:rPr>
              <w:tab/>
              <w:t xml:space="preserve">Comité Asesor sobre Observancia </w:t>
            </w:r>
          </w:p>
        </w:tc>
      </w:tr>
      <w:tr w:rsidR="0071404B" w:rsidRPr="00526311" w:rsidTr="002E3193">
        <w:tc>
          <w:tcPr>
            <w:tcW w:w="9498" w:type="dxa"/>
          </w:tcPr>
          <w:p w:rsidR="0071404B" w:rsidRPr="00526311" w:rsidRDefault="0071404B" w:rsidP="002E3193">
            <w:pPr>
              <w:spacing w:after="40"/>
              <w:ind w:left="1735" w:hanging="1735"/>
              <w:rPr>
                <w:sz w:val="20"/>
              </w:rPr>
            </w:pPr>
            <w:r w:rsidRPr="00526311">
              <w:rPr>
                <w:sz w:val="20"/>
              </w:rPr>
              <w:t>AGICOA</w:t>
            </w:r>
            <w:r w:rsidRPr="00526311">
              <w:rPr>
                <w:sz w:val="20"/>
              </w:rPr>
              <w:tab/>
              <w:t>Asociación para la Gestión Internacional Colectiva de Obras Audiovisuales</w:t>
            </w:r>
          </w:p>
        </w:tc>
      </w:tr>
      <w:tr w:rsidR="0071404B" w:rsidRPr="00526311" w:rsidTr="002E3193">
        <w:tc>
          <w:tcPr>
            <w:tcW w:w="9498" w:type="dxa"/>
          </w:tcPr>
          <w:p w:rsidR="0071404B" w:rsidRPr="00526311" w:rsidRDefault="0071404B" w:rsidP="002E3193">
            <w:pPr>
              <w:spacing w:after="40"/>
              <w:ind w:left="1735" w:hanging="1735"/>
              <w:rPr>
                <w:sz w:val="20"/>
              </w:rPr>
            </w:pPr>
            <w:r w:rsidRPr="00526311">
              <w:rPr>
                <w:sz w:val="20"/>
              </w:rPr>
              <w:t>AIPMS</w:t>
            </w:r>
            <w:r w:rsidRPr="00526311">
              <w:rPr>
                <w:sz w:val="20"/>
              </w:rPr>
              <w:tab/>
              <w:t>Sistema de Gestión de la Propiedad Intelectual en Árabe</w:t>
            </w:r>
          </w:p>
        </w:tc>
      </w:tr>
      <w:tr w:rsidR="0071404B" w:rsidRPr="007F55CE" w:rsidTr="002E3193">
        <w:tc>
          <w:tcPr>
            <w:tcW w:w="9498" w:type="dxa"/>
          </w:tcPr>
          <w:p w:rsidR="0071404B" w:rsidRPr="00485CF4" w:rsidRDefault="0071404B" w:rsidP="002E3193">
            <w:pPr>
              <w:spacing w:after="40"/>
              <w:ind w:left="1735" w:hanging="1735"/>
              <w:rPr>
                <w:sz w:val="20"/>
                <w:lang w:val="fr-FR"/>
              </w:rPr>
            </w:pPr>
            <w:r w:rsidRPr="00485CF4">
              <w:rPr>
                <w:sz w:val="20"/>
                <w:lang w:val="fr-FR"/>
              </w:rPr>
              <w:t>AMFIE</w:t>
            </w:r>
            <w:r w:rsidRPr="00485CF4">
              <w:rPr>
                <w:sz w:val="20"/>
                <w:lang w:val="fr-FR"/>
              </w:rPr>
              <w:tab/>
            </w:r>
            <w:r w:rsidRPr="00485CF4">
              <w:rPr>
                <w:i/>
                <w:sz w:val="20"/>
                <w:lang w:val="fr-FR"/>
              </w:rPr>
              <w:t>Association Coopérative Financière des Fonctionnaires Internationaux</w:t>
            </w:r>
          </w:p>
        </w:tc>
      </w:tr>
      <w:tr w:rsidR="0071404B" w:rsidRPr="00526311" w:rsidTr="002E3193">
        <w:tc>
          <w:tcPr>
            <w:tcW w:w="9498" w:type="dxa"/>
          </w:tcPr>
          <w:p w:rsidR="0071404B" w:rsidRPr="00526311" w:rsidRDefault="0071404B" w:rsidP="002E3193">
            <w:pPr>
              <w:spacing w:after="40"/>
              <w:ind w:left="1735" w:hanging="1735"/>
              <w:rPr>
                <w:sz w:val="20"/>
              </w:rPr>
            </w:pPr>
            <w:r w:rsidRPr="00526311">
              <w:rPr>
                <w:sz w:val="20"/>
              </w:rPr>
              <w:t>ANPEI</w:t>
            </w:r>
            <w:r w:rsidRPr="00526311">
              <w:rPr>
                <w:sz w:val="20"/>
              </w:rPr>
              <w:tab/>
              <w:t>Asociación Nacional de Investigación y Desarrollo de las Empresas Industriales</w:t>
            </w:r>
          </w:p>
        </w:tc>
      </w:tr>
      <w:tr w:rsidR="0071404B" w:rsidRPr="00526311" w:rsidTr="002E3193">
        <w:tc>
          <w:tcPr>
            <w:tcW w:w="9498" w:type="dxa"/>
          </w:tcPr>
          <w:p w:rsidR="0071404B" w:rsidRPr="00526311" w:rsidRDefault="0071404B" w:rsidP="002E3193">
            <w:pPr>
              <w:spacing w:after="40"/>
              <w:ind w:left="1735" w:hanging="1735"/>
              <w:rPr>
                <w:sz w:val="20"/>
              </w:rPr>
            </w:pPr>
            <w:r w:rsidRPr="00526311">
              <w:rPr>
                <w:sz w:val="20"/>
              </w:rPr>
              <w:t>APEC</w:t>
            </w:r>
            <w:r w:rsidRPr="00526311">
              <w:rPr>
                <w:sz w:val="20"/>
              </w:rPr>
              <w:tab/>
              <w:t xml:space="preserve">Cooperación Económica de Asia y el Pacífico </w:t>
            </w:r>
          </w:p>
        </w:tc>
      </w:tr>
      <w:tr w:rsidR="0071404B" w:rsidRPr="00526311" w:rsidTr="002E3193">
        <w:tc>
          <w:tcPr>
            <w:tcW w:w="9498" w:type="dxa"/>
          </w:tcPr>
          <w:p w:rsidR="0071404B" w:rsidRPr="00526311" w:rsidRDefault="00ED0448" w:rsidP="002E3193">
            <w:pPr>
              <w:spacing w:after="40"/>
              <w:ind w:left="1735" w:hanging="1735"/>
              <w:rPr>
                <w:sz w:val="20"/>
              </w:rPr>
            </w:pPr>
            <w:r w:rsidRPr="00526311">
              <w:rPr>
                <w:sz w:val="20"/>
              </w:rPr>
              <w:t>ARDI</w:t>
            </w:r>
            <w:r w:rsidR="0071404B" w:rsidRPr="00526311">
              <w:rPr>
                <w:sz w:val="20"/>
              </w:rPr>
              <w:tab/>
              <w:t>Acceso a la Investigación para el Desarrollo y la Innovación</w:t>
            </w:r>
          </w:p>
        </w:tc>
      </w:tr>
      <w:tr w:rsidR="0071404B" w:rsidRPr="00526311" w:rsidTr="002E3193">
        <w:tc>
          <w:tcPr>
            <w:tcW w:w="9498" w:type="dxa"/>
          </w:tcPr>
          <w:p w:rsidR="0071404B" w:rsidRPr="00526311" w:rsidRDefault="0071404B" w:rsidP="002E3193">
            <w:pPr>
              <w:spacing w:after="40"/>
              <w:ind w:left="1735" w:hanging="1735"/>
              <w:rPr>
                <w:sz w:val="20"/>
              </w:rPr>
            </w:pPr>
            <w:r w:rsidRPr="00526311">
              <w:rPr>
                <w:sz w:val="20"/>
              </w:rPr>
              <w:t>ARIPO</w:t>
            </w:r>
            <w:r w:rsidRPr="00526311">
              <w:rPr>
                <w:sz w:val="20"/>
              </w:rPr>
              <w:tab/>
              <w:t>Organización Regional Africana de la Propiedad Intelectual</w:t>
            </w:r>
          </w:p>
        </w:tc>
      </w:tr>
      <w:tr w:rsidR="0071404B" w:rsidRPr="00526311" w:rsidTr="002E3193">
        <w:tc>
          <w:tcPr>
            <w:tcW w:w="9498" w:type="dxa"/>
          </w:tcPr>
          <w:p w:rsidR="0071404B" w:rsidRPr="00526311" w:rsidRDefault="0071404B" w:rsidP="002E3193">
            <w:pPr>
              <w:spacing w:after="40"/>
              <w:ind w:left="1735" w:hanging="1735"/>
              <w:rPr>
                <w:sz w:val="20"/>
              </w:rPr>
            </w:pPr>
            <w:r w:rsidRPr="00526311">
              <w:rPr>
                <w:sz w:val="20"/>
              </w:rPr>
              <w:t>ASEAN</w:t>
            </w:r>
            <w:r w:rsidRPr="00526311">
              <w:rPr>
                <w:sz w:val="20"/>
              </w:rPr>
              <w:tab/>
              <w:t>Asociación de Naciones del Asia Sudoriental</w:t>
            </w:r>
          </w:p>
        </w:tc>
      </w:tr>
      <w:tr w:rsidR="0071404B" w:rsidRPr="00526311" w:rsidTr="002E3193">
        <w:tc>
          <w:tcPr>
            <w:tcW w:w="9498" w:type="dxa"/>
          </w:tcPr>
          <w:p w:rsidR="0071404B" w:rsidRPr="00526311" w:rsidRDefault="0071404B" w:rsidP="002E3193">
            <w:pPr>
              <w:spacing w:after="40"/>
              <w:ind w:left="1735" w:hanging="1735"/>
              <w:rPr>
                <w:sz w:val="20"/>
              </w:rPr>
            </w:pPr>
            <w:r w:rsidRPr="00526311">
              <w:rPr>
                <w:sz w:val="20"/>
              </w:rPr>
              <w:t>ASEF</w:t>
            </w:r>
            <w:r w:rsidRPr="00526311">
              <w:rPr>
                <w:sz w:val="20"/>
              </w:rPr>
              <w:tab/>
            </w:r>
            <w:r w:rsidRPr="00526311">
              <w:rPr>
                <w:i/>
                <w:sz w:val="20"/>
              </w:rPr>
              <w:t>Asia-</w:t>
            </w:r>
            <w:proofErr w:type="spellStart"/>
            <w:r w:rsidRPr="00526311">
              <w:rPr>
                <w:i/>
                <w:sz w:val="20"/>
              </w:rPr>
              <w:t>Europe</w:t>
            </w:r>
            <w:proofErr w:type="spellEnd"/>
            <w:r w:rsidRPr="00526311">
              <w:rPr>
                <w:i/>
                <w:sz w:val="20"/>
              </w:rPr>
              <w:t xml:space="preserve"> </w:t>
            </w:r>
            <w:proofErr w:type="spellStart"/>
            <w:r w:rsidRPr="00526311">
              <w:rPr>
                <w:i/>
                <w:sz w:val="20"/>
              </w:rPr>
              <w:t>Foundation</w:t>
            </w:r>
            <w:proofErr w:type="spellEnd"/>
            <w:r w:rsidRPr="00526311">
              <w:rPr>
                <w:sz w:val="20"/>
              </w:rPr>
              <w:t xml:space="preserve"> </w:t>
            </w:r>
          </w:p>
        </w:tc>
      </w:tr>
      <w:tr w:rsidR="0071404B" w:rsidRPr="00526311" w:rsidTr="002E3193">
        <w:tc>
          <w:tcPr>
            <w:tcW w:w="9498" w:type="dxa"/>
          </w:tcPr>
          <w:p w:rsidR="0071404B" w:rsidRPr="00526311" w:rsidRDefault="0071404B" w:rsidP="002E3193">
            <w:pPr>
              <w:spacing w:after="40"/>
              <w:ind w:left="1735" w:hanging="1735"/>
              <w:rPr>
                <w:sz w:val="20"/>
              </w:rPr>
            </w:pPr>
            <w:r w:rsidRPr="00526311">
              <w:rPr>
                <w:sz w:val="20"/>
              </w:rPr>
              <w:t>ASPI</w:t>
            </w:r>
            <w:r w:rsidRPr="00526311">
              <w:rPr>
                <w:sz w:val="20"/>
              </w:rPr>
              <w:tab/>
              <w:t>Acceso a la Información Especializada sobre Patentes</w:t>
            </w:r>
          </w:p>
        </w:tc>
      </w:tr>
      <w:tr w:rsidR="0071404B" w:rsidRPr="00526311" w:rsidTr="002E3193">
        <w:tc>
          <w:tcPr>
            <w:tcW w:w="9498" w:type="dxa"/>
          </w:tcPr>
          <w:p w:rsidR="0071404B" w:rsidRPr="00526311" w:rsidRDefault="0071404B" w:rsidP="002E3193">
            <w:pPr>
              <w:spacing w:after="40"/>
              <w:ind w:left="1735" w:hanging="1735"/>
              <w:rPr>
                <w:sz w:val="20"/>
              </w:rPr>
            </w:pPr>
            <w:r w:rsidRPr="00526311">
              <w:rPr>
                <w:sz w:val="20"/>
              </w:rPr>
              <w:t>ATRIP</w:t>
            </w:r>
            <w:r w:rsidRPr="00526311">
              <w:rPr>
                <w:sz w:val="20"/>
              </w:rPr>
              <w:tab/>
              <w:t>Asociación Internacional para el Progreso de la Enseñanza y la Investigación de la Propiedad Intelectual</w:t>
            </w:r>
          </w:p>
        </w:tc>
      </w:tr>
      <w:tr w:rsidR="0071404B" w:rsidRPr="00526311" w:rsidTr="002E3193">
        <w:tc>
          <w:tcPr>
            <w:tcW w:w="9498" w:type="dxa"/>
          </w:tcPr>
          <w:p w:rsidR="0071404B" w:rsidRPr="00526311" w:rsidRDefault="0071404B" w:rsidP="002E3193">
            <w:pPr>
              <w:spacing w:after="40"/>
              <w:ind w:left="1735" w:hanging="1735"/>
              <w:rPr>
                <w:sz w:val="20"/>
              </w:rPr>
            </w:pPr>
          </w:p>
        </w:tc>
      </w:tr>
      <w:tr w:rsidR="0071404B" w:rsidRPr="00526311" w:rsidTr="002E3193">
        <w:tc>
          <w:tcPr>
            <w:tcW w:w="9498" w:type="dxa"/>
          </w:tcPr>
          <w:p w:rsidR="0071404B" w:rsidRPr="00526311" w:rsidRDefault="0071404B" w:rsidP="002E3193">
            <w:pPr>
              <w:spacing w:after="40"/>
              <w:ind w:left="1735" w:hanging="1735"/>
              <w:rPr>
                <w:sz w:val="20"/>
              </w:rPr>
            </w:pPr>
            <w:r w:rsidRPr="00526311">
              <w:rPr>
                <w:b/>
                <w:sz w:val="20"/>
              </w:rPr>
              <w:t>C</w:t>
            </w:r>
            <w:r w:rsidRPr="00526311">
              <w:rPr>
                <w:sz w:val="20"/>
              </w:rPr>
              <w:t>API</w:t>
            </w:r>
            <w:r w:rsidRPr="00526311">
              <w:rPr>
                <w:sz w:val="20"/>
              </w:rPr>
              <w:tab/>
              <w:t xml:space="preserve">Comisión de Administración Pública Internacional </w:t>
            </w:r>
          </w:p>
        </w:tc>
      </w:tr>
      <w:tr w:rsidR="0071404B" w:rsidRPr="00526311" w:rsidTr="002E3193">
        <w:tc>
          <w:tcPr>
            <w:tcW w:w="9498" w:type="dxa"/>
          </w:tcPr>
          <w:p w:rsidR="0071404B" w:rsidRPr="00526311" w:rsidRDefault="0071404B" w:rsidP="002E3193">
            <w:pPr>
              <w:spacing w:after="40"/>
              <w:ind w:left="1735" w:hanging="1735"/>
              <w:rPr>
                <w:sz w:val="20"/>
              </w:rPr>
            </w:pPr>
            <w:r w:rsidRPr="00526311">
              <w:rPr>
                <w:sz w:val="20"/>
              </w:rPr>
              <w:t>CASE</w:t>
            </w:r>
            <w:r w:rsidRPr="00526311">
              <w:rPr>
                <w:sz w:val="20"/>
              </w:rPr>
              <w:tab/>
              <w:t xml:space="preserve">Acceso Centralizado a la Búsqueda y el Examen </w:t>
            </w:r>
          </w:p>
        </w:tc>
      </w:tr>
      <w:tr w:rsidR="0071404B" w:rsidRPr="00526311" w:rsidTr="002E3193">
        <w:tc>
          <w:tcPr>
            <w:tcW w:w="9498" w:type="dxa"/>
          </w:tcPr>
          <w:p w:rsidR="0071404B" w:rsidRPr="00526311" w:rsidRDefault="0071404B" w:rsidP="002E3193">
            <w:pPr>
              <w:spacing w:after="40"/>
              <w:ind w:left="1735" w:hanging="1735"/>
              <w:rPr>
                <w:sz w:val="20"/>
              </w:rPr>
            </w:pPr>
            <w:r w:rsidRPr="00526311">
              <w:rPr>
                <w:sz w:val="20"/>
              </w:rPr>
              <w:t>CATI</w:t>
            </w:r>
            <w:r w:rsidRPr="00526311">
              <w:rPr>
                <w:sz w:val="20"/>
              </w:rPr>
              <w:tab/>
              <w:t>Centro(s) de Apoyo a la Tecnología y la Innovación</w:t>
            </w:r>
          </w:p>
        </w:tc>
      </w:tr>
      <w:tr w:rsidR="0071404B" w:rsidRPr="00526311" w:rsidTr="002E3193">
        <w:tc>
          <w:tcPr>
            <w:tcW w:w="9498" w:type="dxa"/>
          </w:tcPr>
          <w:p w:rsidR="0071404B" w:rsidRPr="00526311" w:rsidRDefault="0071404B" w:rsidP="002E3193">
            <w:pPr>
              <w:spacing w:after="40"/>
              <w:ind w:left="1735" w:hanging="1735"/>
              <w:rPr>
                <w:sz w:val="20"/>
              </w:rPr>
            </w:pPr>
            <w:r w:rsidRPr="00526311">
              <w:rPr>
                <w:sz w:val="20"/>
              </w:rPr>
              <w:t>CCIS</w:t>
            </w:r>
            <w:r w:rsidRPr="00526311">
              <w:rPr>
                <w:sz w:val="20"/>
              </w:rPr>
              <w:tab/>
              <w:t>Comisión Consultiva Independiente de Supervisión</w:t>
            </w:r>
          </w:p>
        </w:tc>
      </w:tr>
      <w:tr w:rsidR="0071404B" w:rsidRPr="00526311" w:rsidTr="002E3193">
        <w:tc>
          <w:tcPr>
            <w:tcW w:w="9498" w:type="dxa"/>
          </w:tcPr>
          <w:p w:rsidR="0071404B" w:rsidRPr="00526311" w:rsidRDefault="0071404B" w:rsidP="002E3193">
            <w:pPr>
              <w:spacing w:after="40"/>
              <w:ind w:left="1735" w:hanging="1735"/>
              <w:rPr>
                <w:sz w:val="20"/>
              </w:rPr>
            </w:pPr>
            <w:proofErr w:type="spellStart"/>
            <w:r w:rsidRPr="00526311">
              <w:rPr>
                <w:sz w:val="20"/>
              </w:rPr>
              <w:t>ccTLD</w:t>
            </w:r>
            <w:proofErr w:type="spellEnd"/>
            <w:r w:rsidRPr="00526311">
              <w:rPr>
                <w:sz w:val="20"/>
              </w:rPr>
              <w:tab/>
              <w:t>Dominios de nivel superior correspondientes a códigos de países</w:t>
            </w:r>
          </w:p>
        </w:tc>
      </w:tr>
      <w:tr w:rsidR="0071404B" w:rsidRPr="00526311" w:rsidTr="002E3193">
        <w:tc>
          <w:tcPr>
            <w:tcW w:w="9498" w:type="dxa"/>
          </w:tcPr>
          <w:p w:rsidR="0071404B" w:rsidRPr="00526311" w:rsidRDefault="0071404B" w:rsidP="002E3193">
            <w:pPr>
              <w:spacing w:after="40"/>
              <w:ind w:left="1735" w:hanging="1735"/>
              <w:rPr>
                <w:sz w:val="20"/>
              </w:rPr>
            </w:pPr>
            <w:r w:rsidRPr="00526311">
              <w:rPr>
                <w:sz w:val="20"/>
              </w:rPr>
              <w:t>CC.TT.</w:t>
            </w:r>
            <w:r w:rsidRPr="00526311">
              <w:rPr>
                <w:sz w:val="20"/>
              </w:rPr>
              <w:tab/>
              <w:t>Conocimientos tradicionales</w:t>
            </w:r>
          </w:p>
        </w:tc>
      </w:tr>
      <w:tr w:rsidR="0071404B" w:rsidRPr="00526311" w:rsidTr="002E3193">
        <w:tc>
          <w:tcPr>
            <w:tcW w:w="9498" w:type="dxa"/>
          </w:tcPr>
          <w:p w:rsidR="0071404B" w:rsidRPr="00526311" w:rsidRDefault="0071404B" w:rsidP="002E3193">
            <w:pPr>
              <w:spacing w:after="40"/>
              <w:ind w:left="1735" w:hanging="1735"/>
              <w:rPr>
                <w:sz w:val="20"/>
              </w:rPr>
            </w:pPr>
            <w:r w:rsidRPr="00526311">
              <w:rPr>
                <w:sz w:val="20"/>
              </w:rPr>
              <w:t>CDB</w:t>
            </w:r>
            <w:r w:rsidRPr="00526311">
              <w:rPr>
                <w:sz w:val="20"/>
              </w:rPr>
              <w:tab/>
              <w:t>Convenio sobre la Diversidad Biológica</w:t>
            </w:r>
          </w:p>
        </w:tc>
      </w:tr>
      <w:tr w:rsidR="0071404B" w:rsidRPr="00526311" w:rsidTr="002E3193">
        <w:tc>
          <w:tcPr>
            <w:tcW w:w="9498" w:type="dxa"/>
          </w:tcPr>
          <w:p w:rsidR="0071404B" w:rsidRPr="00526311" w:rsidRDefault="0071404B" w:rsidP="002E3193">
            <w:pPr>
              <w:spacing w:after="40"/>
              <w:ind w:left="1735" w:hanging="1735"/>
              <w:rPr>
                <w:sz w:val="20"/>
              </w:rPr>
            </w:pPr>
            <w:r w:rsidRPr="00526311">
              <w:rPr>
                <w:sz w:val="20"/>
              </w:rPr>
              <w:t>CDIP</w:t>
            </w:r>
            <w:r w:rsidRPr="00526311">
              <w:rPr>
                <w:sz w:val="20"/>
              </w:rPr>
              <w:tab/>
              <w:t>Comité de Desarrollo y Propiedad Intelectual</w:t>
            </w:r>
          </w:p>
        </w:tc>
      </w:tr>
      <w:tr w:rsidR="0071404B" w:rsidRPr="007F55CE" w:rsidTr="002E3193">
        <w:tc>
          <w:tcPr>
            <w:tcW w:w="9498" w:type="dxa"/>
          </w:tcPr>
          <w:p w:rsidR="0071404B" w:rsidRPr="00485CF4" w:rsidRDefault="0071404B" w:rsidP="002E3193">
            <w:pPr>
              <w:spacing w:after="40"/>
              <w:ind w:left="1735" w:hanging="1735"/>
              <w:rPr>
                <w:sz w:val="20"/>
                <w:lang w:val="fr-FR"/>
              </w:rPr>
            </w:pPr>
            <w:r w:rsidRPr="00485CF4">
              <w:rPr>
                <w:sz w:val="20"/>
                <w:lang w:val="fr-FR"/>
              </w:rPr>
              <w:t>CEIPI</w:t>
            </w:r>
            <w:r w:rsidRPr="00485CF4">
              <w:rPr>
                <w:sz w:val="20"/>
                <w:lang w:val="fr-FR"/>
              </w:rPr>
              <w:tab/>
            </w:r>
            <w:r w:rsidRPr="00485CF4">
              <w:rPr>
                <w:i/>
                <w:sz w:val="20"/>
                <w:lang w:val="fr-FR"/>
              </w:rPr>
              <w:t>Centre d’Études Internationales de la Propriété Intellectuelle</w:t>
            </w:r>
            <w:r w:rsidRPr="00485CF4">
              <w:rPr>
                <w:sz w:val="20"/>
                <w:lang w:val="fr-FR"/>
              </w:rPr>
              <w:t xml:space="preserve"> </w:t>
            </w:r>
          </w:p>
        </w:tc>
      </w:tr>
      <w:tr w:rsidR="00ED0448" w:rsidRPr="00526311" w:rsidTr="002E3193">
        <w:tc>
          <w:tcPr>
            <w:tcW w:w="9498" w:type="dxa"/>
          </w:tcPr>
          <w:p w:rsidR="00ED0448" w:rsidRPr="00526311" w:rsidRDefault="00ED0448" w:rsidP="002E3193">
            <w:pPr>
              <w:spacing w:after="40"/>
              <w:ind w:left="1735" w:hanging="1735"/>
              <w:rPr>
                <w:sz w:val="20"/>
              </w:rPr>
            </w:pPr>
            <w:r>
              <w:rPr>
                <w:sz w:val="20"/>
              </w:rPr>
              <w:t>CEPA</w:t>
            </w:r>
            <w:r w:rsidRPr="00ED0448">
              <w:rPr>
                <w:sz w:val="20"/>
              </w:rPr>
              <w:tab/>
              <w:t>Comisión Económica de las Naciones Unidas para África</w:t>
            </w:r>
          </w:p>
        </w:tc>
      </w:tr>
      <w:tr w:rsidR="00ED0448" w:rsidRPr="00526311" w:rsidTr="002E3193">
        <w:tc>
          <w:tcPr>
            <w:tcW w:w="9498" w:type="dxa"/>
          </w:tcPr>
          <w:p w:rsidR="00ED0448" w:rsidRPr="00526311" w:rsidRDefault="00ED0448" w:rsidP="002E3193">
            <w:pPr>
              <w:spacing w:after="40"/>
              <w:ind w:left="1735" w:hanging="1735"/>
              <w:rPr>
                <w:sz w:val="20"/>
              </w:rPr>
            </w:pPr>
            <w:r>
              <w:rPr>
                <w:sz w:val="20"/>
              </w:rPr>
              <w:t>CERLALC</w:t>
            </w:r>
            <w:r w:rsidRPr="00ED0448">
              <w:rPr>
                <w:sz w:val="20"/>
              </w:rPr>
              <w:tab/>
              <w:t>Centro Regional para el Fomento del Libro en América Latina y el Caribe</w:t>
            </w:r>
          </w:p>
        </w:tc>
      </w:tr>
      <w:tr w:rsidR="0071404B" w:rsidRPr="00526311" w:rsidTr="002E3193">
        <w:tc>
          <w:tcPr>
            <w:tcW w:w="9498" w:type="dxa"/>
          </w:tcPr>
          <w:p w:rsidR="0071404B" w:rsidRPr="00526311" w:rsidRDefault="0071404B" w:rsidP="002E3193">
            <w:pPr>
              <w:spacing w:after="40"/>
              <w:ind w:left="1735" w:hanging="1735"/>
              <w:rPr>
                <w:sz w:val="20"/>
              </w:rPr>
            </w:pPr>
            <w:r w:rsidRPr="00526311">
              <w:rPr>
                <w:sz w:val="20"/>
              </w:rPr>
              <w:t>CERN</w:t>
            </w:r>
            <w:r w:rsidRPr="00526311">
              <w:rPr>
                <w:sz w:val="20"/>
              </w:rPr>
              <w:tab/>
              <w:t>Organización Europea de Investigación Nuclear</w:t>
            </w:r>
          </w:p>
        </w:tc>
      </w:tr>
      <w:tr w:rsidR="00ED0448" w:rsidRPr="00526311" w:rsidTr="002E3193">
        <w:tc>
          <w:tcPr>
            <w:tcW w:w="9498" w:type="dxa"/>
          </w:tcPr>
          <w:p w:rsidR="00ED0448" w:rsidRPr="00ED0448" w:rsidRDefault="00ED0448" w:rsidP="00ED0448">
            <w:pPr>
              <w:spacing w:after="40"/>
              <w:ind w:left="1735" w:hanging="1735"/>
              <w:rPr>
                <w:sz w:val="20"/>
              </w:rPr>
            </w:pPr>
            <w:r w:rsidRPr="00ED0448">
              <w:rPr>
                <w:sz w:val="20"/>
              </w:rPr>
              <w:t>CESPAP</w:t>
            </w:r>
            <w:r w:rsidRPr="00ED0448">
              <w:rPr>
                <w:sz w:val="20"/>
              </w:rPr>
              <w:tab/>
            </w:r>
            <w:r w:rsidRPr="00ED0448">
              <w:rPr>
                <w:bCs/>
                <w:sz w:val="20"/>
              </w:rPr>
              <w:t>Comisión Económica y Social de las Naciones Unidas para Asia y el Pacífico</w:t>
            </w:r>
          </w:p>
        </w:tc>
      </w:tr>
      <w:tr w:rsidR="0071404B" w:rsidRPr="00526311" w:rsidTr="002E3193">
        <w:tc>
          <w:tcPr>
            <w:tcW w:w="9498" w:type="dxa"/>
          </w:tcPr>
          <w:p w:rsidR="0071404B" w:rsidRPr="00526311" w:rsidRDefault="0071404B" w:rsidP="002E3193">
            <w:pPr>
              <w:spacing w:after="40"/>
              <w:ind w:left="1735" w:hanging="1735"/>
              <w:rPr>
                <w:sz w:val="20"/>
              </w:rPr>
            </w:pPr>
            <w:r w:rsidRPr="00526311">
              <w:rPr>
                <w:sz w:val="20"/>
              </w:rPr>
              <w:t>CICE</w:t>
            </w:r>
            <w:r w:rsidRPr="00526311">
              <w:rPr>
                <w:sz w:val="20"/>
              </w:rPr>
              <w:tab/>
              <w:t>Centro Internacional de Cálculos Electrónicos de las Naciones Unidas</w:t>
            </w:r>
          </w:p>
        </w:tc>
      </w:tr>
      <w:tr w:rsidR="0071404B" w:rsidRPr="00526311" w:rsidTr="002E3193">
        <w:tc>
          <w:tcPr>
            <w:tcW w:w="9498" w:type="dxa"/>
          </w:tcPr>
          <w:p w:rsidR="0071404B" w:rsidRPr="00526311" w:rsidRDefault="0071404B" w:rsidP="002E3193">
            <w:pPr>
              <w:spacing w:after="40"/>
              <w:ind w:left="1735" w:hanging="1735"/>
              <w:rPr>
                <w:sz w:val="20"/>
              </w:rPr>
            </w:pPr>
            <w:r w:rsidRPr="00526311">
              <w:rPr>
                <w:sz w:val="20"/>
              </w:rPr>
              <w:t>CIG</w:t>
            </w:r>
            <w:r w:rsidRPr="00526311">
              <w:rPr>
                <w:sz w:val="20"/>
              </w:rPr>
              <w:tab/>
              <w:t>Comité Intergubernamental sobre Propiedad Intelectual y Recursos Genéticos, Conocimientos Tradicionales y Folclore</w:t>
            </w:r>
          </w:p>
        </w:tc>
      </w:tr>
      <w:tr w:rsidR="0071404B" w:rsidRPr="00526311" w:rsidTr="002E3193">
        <w:tc>
          <w:tcPr>
            <w:tcW w:w="9498" w:type="dxa"/>
          </w:tcPr>
          <w:p w:rsidR="0071404B" w:rsidRPr="00526311" w:rsidRDefault="0071404B" w:rsidP="002E3193">
            <w:pPr>
              <w:spacing w:after="40"/>
              <w:ind w:left="1735" w:hanging="1735"/>
              <w:rPr>
                <w:sz w:val="20"/>
              </w:rPr>
            </w:pPr>
            <w:r w:rsidRPr="00526311">
              <w:rPr>
                <w:sz w:val="20"/>
              </w:rPr>
              <w:t>CIP</w:t>
            </w:r>
            <w:r w:rsidRPr="00526311">
              <w:rPr>
                <w:sz w:val="20"/>
              </w:rPr>
              <w:tab/>
              <w:t>Clasificación Internacional de Patentes</w:t>
            </w:r>
          </w:p>
        </w:tc>
      </w:tr>
      <w:tr w:rsidR="0071404B" w:rsidRPr="00526311" w:rsidTr="002E3193">
        <w:tc>
          <w:tcPr>
            <w:tcW w:w="9498" w:type="dxa"/>
          </w:tcPr>
          <w:p w:rsidR="0071404B" w:rsidRPr="00526311" w:rsidRDefault="0071404B" w:rsidP="002E3193">
            <w:pPr>
              <w:spacing w:after="40"/>
              <w:ind w:left="1735" w:hanging="1735"/>
              <w:rPr>
                <w:sz w:val="20"/>
              </w:rPr>
            </w:pPr>
            <w:r w:rsidRPr="00526311">
              <w:rPr>
                <w:sz w:val="20"/>
              </w:rPr>
              <w:t>CISAC</w:t>
            </w:r>
            <w:r w:rsidRPr="00526311">
              <w:rPr>
                <w:sz w:val="20"/>
              </w:rPr>
              <w:tab/>
              <w:t>Confederación Internacional de Sociedades de Autores y Compositores</w:t>
            </w:r>
          </w:p>
        </w:tc>
      </w:tr>
      <w:tr w:rsidR="0071404B" w:rsidRPr="00526311" w:rsidTr="002E3193">
        <w:tc>
          <w:tcPr>
            <w:tcW w:w="9498" w:type="dxa"/>
          </w:tcPr>
          <w:p w:rsidR="0071404B" w:rsidRPr="00526311" w:rsidRDefault="0071404B" w:rsidP="002E3193">
            <w:pPr>
              <w:spacing w:after="40"/>
              <w:ind w:left="1735" w:hanging="1735"/>
              <w:rPr>
                <w:sz w:val="20"/>
              </w:rPr>
            </w:pPr>
            <w:r w:rsidRPr="00526311">
              <w:rPr>
                <w:sz w:val="20"/>
              </w:rPr>
              <w:t>CLIR</w:t>
            </w:r>
            <w:r w:rsidRPr="00526311">
              <w:rPr>
                <w:sz w:val="20"/>
              </w:rPr>
              <w:tab/>
            </w:r>
            <w:r w:rsidRPr="00526311">
              <w:rPr>
                <w:i/>
                <w:sz w:val="20"/>
              </w:rPr>
              <w:t xml:space="preserve">Cross Lingual </w:t>
            </w:r>
            <w:proofErr w:type="spellStart"/>
            <w:r w:rsidRPr="00526311">
              <w:rPr>
                <w:i/>
                <w:sz w:val="20"/>
              </w:rPr>
              <w:t>Information</w:t>
            </w:r>
            <w:proofErr w:type="spellEnd"/>
            <w:r w:rsidRPr="00526311">
              <w:rPr>
                <w:i/>
                <w:sz w:val="20"/>
              </w:rPr>
              <w:t xml:space="preserve"> </w:t>
            </w:r>
            <w:proofErr w:type="spellStart"/>
            <w:r w:rsidRPr="00526311">
              <w:rPr>
                <w:i/>
                <w:sz w:val="20"/>
              </w:rPr>
              <w:t>Retrieval</w:t>
            </w:r>
            <w:proofErr w:type="spellEnd"/>
          </w:p>
        </w:tc>
      </w:tr>
      <w:tr w:rsidR="0071404B" w:rsidRPr="00526311" w:rsidTr="002E3193">
        <w:tc>
          <w:tcPr>
            <w:tcW w:w="9498" w:type="dxa"/>
          </w:tcPr>
          <w:p w:rsidR="0071404B" w:rsidRPr="00526311" w:rsidRDefault="0071404B" w:rsidP="002E3193">
            <w:pPr>
              <w:spacing w:after="40"/>
              <w:ind w:left="1735" w:hanging="1735"/>
              <w:rPr>
                <w:sz w:val="20"/>
              </w:rPr>
            </w:pPr>
            <w:r w:rsidRPr="00526311">
              <w:rPr>
                <w:sz w:val="20"/>
              </w:rPr>
              <w:t>CMNUCC</w:t>
            </w:r>
            <w:r w:rsidRPr="00526311">
              <w:rPr>
                <w:sz w:val="20"/>
              </w:rPr>
              <w:tab/>
              <w:t>Convención Marco de las Naciones Unidas sobre el Cambio Climático</w:t>
            </w:r>
          </w:p>
        </w:tc>
      </w:tr>
      <w:tr w:rsidR="0071404B" w:rsidRPr="00526311" w:rsidTr="002E3193">
        <w:tc>
          <w:tcPr>
            <w:tcW w:w="9498" w:type="dxa"/>
          </w:tcPr>
          <w:p w:rsidR="0071404B" w:rsidRPr="00526311" w:rsidRDefault="0071404B" w:rsidP="00ED0448">
            <w:pPr>
              <w:spacing w:after="40"/>
              <w:ind w:left="1735" w:hanging="1735"/>
              <w:rPr>
                <w:sz w:val="20"/>
              </w:rPr>
            </w:pPr>
            <w:r w:rsidRPr="00526311">
              <w:rPr>
                <w:sz w:val="20"/>
              </w:rPr>
              <w:t>C</w:t>
            </w:r>
            <w:r w:rsidR="00ED0448">
              <w:rPr>
                <w:sz w:val="20"/>
              </w:rPr>
              <w:t>O</w:t>
            </w:r>
            <w:r w:rsidRPr="00526311">
              <w:rPr>
                <w:sz w:val="20"/>
              </w:rPr>
              <w:t>M</w:t>
            </w:r>
            <w:r w:rsidR="00ED0448">
              <w:rPr>
                <w:sz w:val="20"/>
              </w:rPr>
              <w:t>E</w:t>
            </w:r>
            <w:r w:rsidRPr="00526311">
              <w:rPr>
                <w:sz w:val="20"/>
              </w:rPr>
              <w:t>S</w:t>
            </w:r>
            <w:r w:rsidR="00ED0448">
              <w:rPr>
                <w:sz w:val="20"/>
              </w:rPr>
              <w:t>A</w:t>
            </w:r>
            <w:r w:rsidRPr="00526311">
              <w:rPr>
                <w:sz w:val="20"/>
              </w:rPr>
              <w:tab/>
            </w:r>
            <w:r w:rsidR="00ED0448" w:rsidRPr="009A6CA1">
              <w:rPr>
                <w:color w:val="000000" w:themeColor="text1"/>
                <w:sz w:val="20"/>
              </w:rPr>
              <w:t>Red Internacional de Competencia y el Mercado Común para el África Oriental y Meridional</w:t>
            </w:r>
          </w:p>
        </w:tc>
      </w:tr>
      <w:tr w:rsidR="0071404B" w:rsidRPr="00526311" w:rsidTr="002E3193">
        <w:tc>
          <w:tcPr>
            <w:tcW w:w="9498" w:type="dxa"/>
          </w:tcPr>
          <w:p w:rsidR="0071404B" w:rsidRPr="00526311" w:rsidRDefault="0071404B" w:rsidP="002E3193">
            <w:pPr>
              <w:spacing w:after="40"/>
              <w:ind w:left="1735" w:hanging="1735"/>
              <w:rPr>
                <w:sz w:val="20"/>
              </w:rPr>
            </w:pPr>
            <w:r w:rsidRPr="00526311">
              <w:rPr>
                <w:sz w:val="20"/>
              </w:rPr>
              <w:t>CRTC</w:t>
            </w:r>
            <w:r w:rsidRPr="00526311">
              <w:rPr>
                <w:sz w:val="20"/>
              </w:rPr>
              <w:tab/>
              <w:t>Centro y Red de Tecnología del Clima</w:t>
            </w:r>
          </w:p>
        </w:tc>
      </w:tr>
      <w:tr w:rsidR="0071404B" w:rsidRPr="00526311" w:rsidTr="002E3193">
        <w:tc>
          <w:tcPr>
            <w:tcW w:w="9498" w:type="dxa"/>
          </w:tcPr>
          <w:p w:rsidR="0071404B" w:rsidRPr="00526311" w:rsidRDefault="0071404B" w:rsidP="002E3193">
            <w:pPr>
              <w:spacing w:after="40"/>
              <w:ind w:left="1735" w:hanging="1735"/>
              <w:rPr>
                <w:sz w:val="20"/>
              </w:rPr>
            </w:pPr>
            <w:r w:rsidRPr="00526311">
              <w:rPr>
                <w:sz w:val="20"/>
              </w:rPr>
              <w:t>CWS</w:t>
            </w:r>
            <w:r w:rsidRPr="00526311">
              <w:rPr>
                <w:sz w:val="20"/>
              </w:rPr>
              <w:tab/>
              <w:t>Comité de Normas Técnicas de la OMPI</w:t>
            </w:r>
          </w:p>
        </w:tc>
      </w:tr>
      <w:tr w:rsidR="0071404B" w:rsidRPr="00526311" w:rsidTr="002E3193">
        <w:tc>
          <w:tcPr>
            <w:tcW w:w="9498" w:type="dxa"/>
          </w:tcPr>
          <w:p w:rsidR="0071404B" w:rsidRPr="00526311" w:rsidRDefault="0071404B" w:rsidP="002E3193">
            <w:pPr>
              <w:spacing w:after="40"/>
              <w:ind w:left="1735" w:hanging="1735"/>
              <w:rPr>
                <w:sz w:val="20"/>
              </w:rPr>
            </w:pPr>
          </w:p>
        </w:tc>
      </w:tr>
      <w:tr w:rsidR="0071404B" w:rsidRPr="00526311" w:rsidTr="002E3193">
        <w:tc>
          <w:tcPr>
            <w:tcW w:w="9498" w:type="dxa"/>
          </w:tcPr>
          <w:p w:rsidR="0071404B" w:rsidRPr="00526311" w:rsidRDefault="0071404B" w:rsidP="002E3193">
            <w:pPr>
              <w:spacing w:after="40"/>
              <w:ind w:left="1735" w:hanging="1735"/>
              <w:rPr>
                <w:sz w:val="20"/>
              </w:rPr>
            </w:pPr>
            <w:r w:rsidRPr="00526311">
              <w:rPr>
                <w:b/>
                <w:sz w:val="20"/>
              </w:rPr>
              <w:t>D</w:t>
            </w:r>
            <w:r w:rsidRPr="00526311">
              <w:rPr>
                <w:sz w:val="20"/>
              </w:rPr>
              <w:t>AG</w:t>
            </w:r>
            <w:r w:rsidRPr="00526311">
              <w:rPr>
                <w:sz w:val="20"/>
              </w:rPr>
              <w:tab/>
              <w:t>Grupo de la Agenda para el Desarrollo</w:t>
            </w:r>
          </w:p>
        </w:tc>
      </w:tr>
      <w:tr w:rsidR="0071404B" w:rsidRPr="00526311" w:rsidTr="002E3193">
        <w:tc>
          <w:tcPr>
            <w:tcW w:w="9498" w:type="dxa"/>
          </w:tcPr>
          <w:p w:rsidR="0071404B" w:rsidRPr="00526311" w:rsidRDefault="0071404B" w:rsidP="002E3193">
            <w:pPr>
              <w:spacing w:after="40"/>
              <w:ind w:left="1735" w:hanging="1735"/>
              <w:rPr>
                <w:sz w:val="20"/>
              </w:rPr>
            </w:pPr>
            <w:r w:rsidRPr="00526311">
              <w:rPr>
                <w:sz w:val="20"/>
              </w:rPr>
              <w:t>DAS</w:t>
            </w:r>
            <w:r w:rsidRPr="00526311">
              <w:rPr>
                <w:sz w:val="20"/>
              </w:rPr>
              <w:tab/>
              <w:t>Servicio de Acceso Digital a los Documentos de Prioridad</w:t>
            </w:r>
          </w:p>
        </w:tc>
      </w:tr>
      <w:tr w:rsidR="00171C8A" w:rsidRPr="00526311" w:rsidTr="002E3193">
        <w:tc>
          <w:tcPr>
            <w:tcW w:w="9498" w:type="dxa"/>
          </w:tcPr>
          <w:p w:rsidR="00171C8A" w:rsidRPr="00526311" w:rsidRDefault="00171C8A" w:rsidP="002E3193">
            <w:pPr>
              <w:spacing w:after="40"/>
              <w:ind w:left="1735" w:hanging="1735"/>
              <w:rPr>
                <w:sz w:val="20"/>
              </w:rPr>
            </w:pPr>
            <w:r>
              <w:rPr>
                <w:sz w:val="20"/>
              </w:rPr>
              <w:t>DGIPR</w:t>
            </w:r>
            <w:r w:rsidRPr="00526311">
              <w:rPr>
                <w:sz w:val="20"/>
              </w:rPr>
              <w:tab/>
            </w:r>
            <w:r w:rsidRPr="00171C8A">
              <w:rPr>
                <w:sz w:val="20"/>
              </w:rPr>
              <w:t>Dirección General de Derechos de Propiedad Intelectual de Indonesia</w:t>
            </w:r>
          </w:p>
        </w:tc>
      </w:tr>
      <w:tr w:rsidR="0071404B" w:rsidRPr="00526311" w:rsidTr="002E3193">
        <w:tc>
          <w:tcPr>
            <w:tcW w:w="9498" w:type="dxa"/>
          </w:tcPr>
          <w:p w:rsidR="0071404B" w:rsidRPr="00526311" w:rsidRDefault="0071404B" w:rsidP="002E3193">
            <w:pPr>
              <w:spacing w:after="40"/>
              <w:ind w:left="1735" w:hanging="1735"/>
              <w:rPr>
                <w:sz w:val="20"/>
              </w:rPr>
            </w:pPr>
            <w:r w:rsidRPr="00526311">
              <w:rPr>
                <w:sz w:val="20"/>
              </w:rPr>
              <w:t>DGRRHH</w:t>
            </w:r>
            <w:r w:rsidRPr="00526311">
              <w:rPr>
                <w:sz w:val="20"/>
              </w:rPr>
              <w:tab/>
              <w:t>Departamento de Gestión de los Recursos Humanos</w:t>
            </w:r>
          </w:p>
        </w:tc>
      </w:tr>
      <w:tr w:rsidR="0071404B" w:rsidRPr="00526311" w:rsidTr="002E3193">
        <w:tc>
          <w:tcPr>
            <w:tcW w:w="9498" w:type="dxa"/>
          </w:tcPr>
          <w:p w:rsidR="0071404B" w:rsidRPr="00526311" w:rsidRDefault="0071404B" w:rsidP="002E3193">
            <w:pPr>
              <w:spacing w:after="40"/>
              <w:ind w:left="1735" w:hanging="1735"/>
              <w:rPr>
                <w:sz w:val="20"/>
              </w:rPr>
            </w:pPr>
            <w:r w:rsidRPr="00526311">
              <w:rPr>
                <w:sz w:val="20"/>
              </w:rPr>
              <w:t>documento PPR</w:t>
            </w:r>
            <w:r w:rsidRPr="00526311">
              <w:rPr>
                <w:sz w:val="20"/>
              </w:rPr>
              <w:tab/>
              <w:t>Informe sobre el Rendimiento de los Programas</w:t>
            </w:r>
          </w:p>
        </w:tc>
      </w:tr>
      <w:tr w:rsidR="0071404B" w:rsidRPr="00526311" w:rsidTr="002E3193">
        <w:tc>
          <w:tcPr>
            <w:tcW w:w="9498" w:type="dxa"/>
          </w:tcPr>
          <w:p w:rsidR="0071404B" w:rsidRPr="00526311" w:rsidRDefault="0071404B" w:rsidP="002E3193">
            <w:pPr>
              <w:spacing w:after="40"/>
              <w:ind w:left="1735" w:hanging="1735"/>
              <w:rPr>
                <w:sz w:val="20"/>
              </w:rPr>
            </w:pPr>
            <w:r w:rsidRPr="00526311">
              <w:rPr>
                <w:sz w:val="20"/>
              </w:rPr>
              <w:t>DSI</w:t>
            </w:r>
            <w:r w:rsidRPr="00526311">
              <w:rPr>
                <w:sz w:val="20"/>
              </w:rPr>
              <w:tab/>
              <w:t>División de Supervisión Interna</w:t>
            </w:r>
          </w:p>
        </w:tc>
      </w:tr>
      <w:tr w:rsidR="0071404B" w:rsidRPr="00526311" w:rsidTr="002E3193">
        <w:tc>
          <w:tcPr>
            <w:tcW w:w="9498" w:type="dxa"/>
          </w:tcPr>
          <w:p w:rsidR="0071404B" w:rsidRPr="00526311" w:rsidRDefault="0071404B" w:rsidP="002E3193">
            <w:pPr>
              <w:spacing w:after="40"/>
              <w:ind w:left="1735" w:hanging="1735"/>
              <w:rPr>
                <w:sz w:val="20"/>
              </w:rPr>
            </w:pPr>
          </w:p>
        </w:tc>
      </w:tr>
      <w:tr w:rsidR="0071404B" w:rsidRPr="00526311" w:rsidTr="002E3193">
        <w:tc>
          <w:tcPr>
            <w:tcW w:w="9498" w:type="dxa"/>
          </w:tcPr>
          <w:p w:rsidR="0071404B" w:rsidRPr="00526311" w:rsidRDefault="0071404B" w:rsidP="002E3193">
            <w:pPr>
              <w:spacing w:after="40"/>
              <w:ind w:left="1735" w:hanging="1735"/>
              <w:rPr>
                <w:sz w:val="20"/>
              </w:rPr>
            </w:pPr>
            <w:r w:rsidRPr="00526311">
              <w:rPr>
                <w:b/>
                <w:sz w:val="20"/>
              </w:rPr>
              <w:lastRenderedPageBreak/>
              <w:t>E</w:t>
            </w:r>
            <w:r w:rsidRPr="00526311">
              <w:rPr>
                <w:sz w:val="20"/>
              </w:rPr>
              <w:t>COSOC</w:t>
            </w:r>
            <w:r w:rsidRPr="00526311">
              <w:rPr>
                <w:sz w:val="20"/>
              </w:rPr>
              <w:tab/>
              <w:t xml:space="preserve">Consejo Económico y Social </w:t>
            </w:r>
          </w:p>
        </w:tc>
      </w:tr>
      <w:tr w:rsidR="0071404B" w:rsidRPr="00526311" w:rsidTr="002E3193">
        <w:tc>
          <w:tcPr>
            <w:tcW w:w="9498" w:type="dxa"/>
          </w:tcPr>
          <w:p w:rsidR="0071404B" w:rsidRPr="00526311" w:rsidRDefault="0071404B" w:rsidP="002E3193">
            <w:pPr>
              <w:spacing w:after="40"/>
              <w:ind w:left="1735" w:hanging="1735"/>
              <w:rPr>
                <w:sz w:val="20"/>
              </w:rPr>
            </w:pPr>
            <w:r w:rsidRPr="00526311">
              <w:rPr>
                <w:sz w:val="20"/>
              </w:rPr>
              <w:t>ECT</w:t>
            </w:r>
            <w:r w:rsidRPr="00526311">
              <w:rPr>
                <w:sz w:val="20"/>
              </w:rPr>
              <w:tab/>
              <w:t>Expresiones culturales tradicionales / Folclore</w:t>
            </w:r>
          </w:p>
        </w:tc>
      </w:tr>
      <w:tr w:rsidR="0071404B" w:rsidRPr="00526311" w:rsidTr="002E3193">
        <w:tc>
          <w:tcPr>
            <w:tcW w:w="9498" w:type="dxa"/>
          </w:tcPr>
          <w:p w:rsidR="0071404B" w:rsidRPr="00526311" w:rsidRDefault="0071404B" w:rsidP="002E3193">
            <w:pPr>
              <w:spacing w:after="40"/>
              <w:ind w:left="1735" w:hanging="1735"/>
              <w:rPr>
                <w:sz w:val="20"/>
              </w:rPr>
            </w:pPr>
            <w:r w:rsidRPr="00526311">
              <w:rPr>
                <w:sz w:val="20"/>
              </w:rPr>
              <w:t>EDMS</w:t>
            </w:r>
            <w:r w:rsidRPr="00526311">
              <w:rPr>
                <w:sz w:val="20"/>
              </w:rPr>
              <w:tab/>
              <w:t>Sistema de Gestión Electrónica de Documentos</w:t>
            </w:r>
          </w:p>
        </w:tc>
      </w:tr>
      <w:tr w:rsidR="0071404B" w:rsidRPr="00526311" w:rsidTr="002E3193">
        <w:tc>
          <w:tcPr>
            <w:tcW w:w="9498" w:type="dxa"/>
          </w:tcPr>
          <w:p w:rsidR="0071404B" w:rsidRPr="00526311" w:rsidRDefault="0071404B" w:rsidP="002E3193">
            <w:pPr>
              <w:spacing w:after="40"/>
              <w:ind w:left="1735" w:hanging="1735"/>
              <w:rPr>
                <w:sz w:val="20"/>
              </w:rPr>
            </w:pPr>
            <w:r w:rsidRPr="00526311">
              <w:rPr>
                <w:sz w:val="20"/>
              </w:rPr>
              <w:t>EGEDA</w:t>
            </w:r>
            <w:r w:rsidRPr="00526311">
              <w:rPr>
                <w:sz w:val="20"/>
              </w:rPr>
              <w:tab/>
              <w:t>Entidad de Gestión de Derechos de los Productores Audiovisuales</w:t>
            </w:r>
          </w:p>
        </w:tc>
      </w:tr>
      <w:tr w:rsidR="00ED0448" w:rsidRPr="00526311" w:rsidTr="002E3193">
        <w:tc>
          <w:tcPr>
            <w:tcW w:w="9498" w:type="dxa"/>
          </w:tcPr>
          <w:p w:rsidR="00ED0448" w:rsidRPr="00526311" w:rsidRDefault="00ED0448" w:rsidP="002E3193">
            <w:pPr>
              <w:spacing w:after="40"/>
              <w:ind w:left="1735" w:hanging="1735"/>
              <w:rPr>
                <w:sz w:val="20"/>
              </w:rPr>
            </w:pPr>
            <w:r>
              <w:rPr>
                <w:sz w:val="20"/>
              </w:rPr>
              <w:t>ETSI</w:t>
            </w:r>
            <w:r w:rsidRPr="00526311">
              <w:rPr>
                <w:sz w:val="20"/>
              </w:rPr>
              <w:tab/>
            </w:r>
            <w:r w:rsidRPr="00ED0448">
              <w:rPr>
                <w:rStyle w:val="preferred"/>
                <w:sz w:val="20"/>
              </w:rPr>
              <w:t>Instituto Europeo de Normas de Telecomunicaciones</w:t>
            </w:r>
          </w:p>
        </w:tc>
      </w:tr>
      <w:tr w:rsidR="00ED0448" w:rsidRPr="00526311" w:rsidTr="002E3193">
        <w:tc>
          <w:tcPr>
            <w:tcW w:w="9498" w:type="dxa"/>
          </w:tcPr>
          <w:p w:rsidR="00ED0448" w:rsidRDefault="00ED0448" w:rsidP="002E3193">
            <w:pPr>
              <w:spacing w:after="40"/>
              <w:ind w:left="1735" w:hanging="1735"/>
              <w:rPr>
                <w:sz w:val="20"/>
              </w:rPr>
            </w:pPr>
            <w:r>
              <w:rPr>
                <w:sz w:val="20"/>
              </w:rPr>
              <w:t>e-TA</w:t>
            </w:r>
            <w:r w:rsidRPr="00526311">
              <w:rPr>
                <w:sz w:val="20"/>
              </w:rPr>
              <w:tab/>
            </w:r>
            <w:r>
              <w:rPr>
                <w:sz w:val="20"/>
              </w:rPr>
              <w:t>Autorización electrónica de viaje (formulario)</w:t>
            </w:r>
          </w:p>
        </w:tc>
      </w:tr>
      <w:tr w:rsidR="0071404B" w:rsidRPr="00526311" w:rsidTr="002E3193">
        <w:tc>
          <w:tcPr>
            <w:tcW w:w="9498" w:type="dxa"/>
          </w:tcPr>
          <w:p w:rsidR="0071404B" w:rsidRPr="00526311" w:rsidRDefault="0071404B" w:rsidP="002E3193">
            <w:pPr>
              <w:spacing w:after="40"/>
              <w:ind w:left="1735" w:hanging="1735"/>
              <w:rPr>
                <w:sz w:val="20"/>
              </w:rPr>
            </w:pPr>
          </w:p>
        </w:tc>
      </w:tr>
      <w:tr w:rsidR="0071404B" w:rsidRPr="00526311" w:rsidTr="002E3193">
        <w:tc>
          <w:tcPr>
            <w:tcW w:w="9498" w:type="dxa"/>
          </w:tcPr>
          <w:p w:rsidR="0071404B" w:rsidRPr="00526311" w:rsidRDefault="0071404B" w:rsidP="002E3193">
            <w:pPr>
              <w:spacing w:after="40"/>
              <w:ind w:left="1735" w:hanging="1735"/>
              <w:rPr>
                <w:sz w:val="20"/>
              </w:rPr>
            </w:pPr>
            <w:r w:rsidRPr="00526311">
              <w:rPr>
                <w:b/>
                <w:sz w:val="20"/>
              </w:rPr>
              <w:t>F</w:t>
            </w:r>
            <w:r w:rsidRPr="00526311">
              <w:rPr>
                <w:sz w:val="20"/>
              </w:rPr>
              <w:t>AO</w:t>
            </w:r>
            <w:r w:rsidRPr="00526311">
              <w:rPr>
                <w:sz w:val="20"/>
              </w:rPr>
              <w:tab/>
              <w:t>Organización de las Naciones Unidas para la Alimentación y la Agricultura</w:t>
            </w:r>
          </w:p>
        </w:tc>
      </w:tr>
      <w:tr w:rsidR="0071404B" w:rsidRPr="00526311" w:rsidTr="002E3193">
        <w:tc>
          <w:tcPr>
            <w:tcW w:w="9498" w:type="dxa"/>
          </w:tcPr>
          <w:p w:rsidR="0071404B" w:rsidRPr="00526311" w:rsidRDefault="0071404B" w:rsidP="002E3193">
            <w:pPr>
              <w:spacing w:after="40"/>
              <w:ind w:left="1735" w:hanging="1735"/>
              <w:rPr>
                <w:sz w:val="20"/>
              </w:rPr>
            </w:pPr>
            <w:r w:rsidRPr="00526311">
              <w:rPr>
                <w:sz w:val="20"/>
              </w:rPr>
              <w:t>FIT</w:t>
            </w:r>
            <w:r w:rsidRPr="00526311">
              <w:rPr>
                <w:sz w:val="20"/>
              </w:rPr>
              <w:tab/>
              <w:t>Fondo fiduciario</w:t>
            </w:r>
          </w:p>
        </w:tc>
      </w:tr>
      <w:tr w:rsidR="0071404B" w:rsidRPr="00526311" w:rsidTr="002E3193">
        <w:tc>
          <w:tcPr>
            <w:tcW w:w="9498" w:type="dxa"/>
          </w:tcPr>
          <w:p w:rsidR="0071404B" w:rsidRPr="00526311" w:rsidRDefault="0071404B" w:rsidP="002E3193">
            <w:pPr>
              <w:spacing w:after="40"/>
              <w:ind w:left="1735" w:hanging="1735"/>
              <w:rPr>
                <w:sz w:val="20"/>
              </w:rPr>
            </w:pPr>
            <w:r w:rsidRPr="00526311">
              <w:rPr>
                <w:sz w:val="20"/>
              </w:rPr>
              <w:t>FNUDC</w:t>
            </w:r>
            <w:r w:rsidRPr="00526311">
              <w:rPr>
                <w:sz w:val="20"/>
              </w:rPr>
              <w:tab/>
              <w:t>Fondo de las Naciones Unidas para el Desarrollo de la Capitalización</w:t>
            </w:r>
          </w:p>
        </w:tc>
      </w:tr>
      <w:tr w:rsidR="0071404B" w:rsidRPr="00526311" w:rsidTr="002E3193">
        <w:tc>
          <w:tcPr>
            <w:tcW w:w="9498" w:type="dxa"/>
          </w:tcPr>
          <w:p w:rsidR="0071404B" w:rsidRPr="00526311" w:rsidRDefault="0071404B" w:rsidP="002E3193">
            <w:pPr>
              <w:spacing w:after="40"/>
              <w:ind w:left="1735" w:hanging="1735"/>
              <w:rPr>
                <w:sz w:val="20"/>
              </w:rPr>
            </w:pPr>
          </w:p>
        </w:tc>
      </w:tr>
      <w:tr w:rsidR="0071404B" w:rsidRPr="00526311" w:rsidTr="002E3193">
        <w:tc>
          <w:tcPr>
            <w:tcW w:w="9498" w:type="dxa"/>
          </w:tcPr>
          <w:p w:rsidR="0071404B" w:rsidRPr="00526311" w:rsidRDefault="0071404B" w:rsidP="002E3193">
            <w:pPr>
              <w:spacing w:after="40"/>
              <w:ind w:left="1735" w:hanging="1735"/>
              <w:rPr>
                <w:sz w:val="20"/>
              </w:rPr>
            </w:pPr>
            <w:r w:rsidRPr="00ED0448">
              <w:rPr>
                <w:b/>
                <w:sz w:val="20"/>
              </w:rPr>
              <w:t>G</w:t>
            </w:r>
            <w:r w:rsidRPr="00526311">
              <w:rPr>
                <w:sz w:val="20"/>
              </w:rPr>
              <w:t>DA</w:t>
            </w:r>
            <w:r w:rsidRPr="00526311">
              <w:rPr>
                <w:sz w:val="20"/>
              </w:rPr>
              <w:tab/>
              <w:t>Sistema de gestión colectiva del derecho de autor y los derechos conexos</w:t>
            </w:r>
          </w:p>
        </w:tc>
      </w:tr>
      <w:tr w:rsidR="007F16A3" w:rsidRPr="00526311" w:rsidTr="002E3193">
        <w:tc>
          <w:tcPr>
            <w:tcW w:w="9498" w:type="dxa"/>
          </w:tcPr>
          <w:p w:rsidR="007F16A3" w:rsidRPr="00526311" w:rsidRDefault="007F16A3" w:rsidP="002E3193">
            <w:pPr>
              <w:spacing w:after="40"/>
              <w:ind w:left="1735" w:hanging="1735"/>
              <w:rPr>
                <w:sz w:val="20"/>
              </w:rPr>
            </w:pPr>
            <w:r>
              <w:rPr>
                <w:sz w:val="20"/>
              </w:rPr>
              <w:t>GII</w:t>
            </w:r>
            <w:r w:rsidRPr="00526311">
              <w:rPr>
                <w:sz w:val="20"/>
              </w:rPr>
              <w:tab/>
            </w:r>
            <w:r>
              <w:rPr>
                <w:sz w:val="20"/>
              </w:rPr>
              <w:t>Índice Mundial de Innovación</w:t>
            </w:r>
          </w:p>
        </w:tc>
      </w:tr>
      <w:tr w:rsidR="0071404B" w:rsidRPr="00526311" w:rsidTr="002E3193">
        <w:tc>
          <w:tcPr>
            <w:tcW w:w="9498" w:type="dxa"/>
          </w:tcPr>
          <w:p w:rsidR="0071404B" w:rsidRPr="00526311" w:rsidRDefault="0071404B" w:rsidP="002E3193">
            <w:pPr>
              <w:spacing w:after="40"/>
              <w:ind w:left="1735" w:hanging="1735"/>
              <w:rPr>
                <w:sz w:val="20"/>
              </w:rPr>
            </w:pPr>
            <w:proofErr w:type="spellStart"/>
            <w:r w:rsidRPr="00526311">
              <w:rPr>
                <w:sz w:val="20"/>
              </w:rPr>
              <w:t>gTLD</w:t>
            </w:r>
            <w:proofErr w:type="spellEnd"/>
            <w:r w:rsidRPr="00526311">
              <w:rPr>
                <w:sz w:val="20"/>
              </w:rPr>
              <w:tab/>
              <w:t>Dominios genéricos de nivel superior</w:t>
            </w:r>
          </w:p>
        </w:tc>
      </w:tr>
      <w:tr w:rsidR="0071404B" w:rsidRPr="00526311" w:rsidTr="002E3193">
        <w:tc>
          <w:tcPr>
            <w:tcW w:w="9498" w:type="dxa"/>
          </w:tcPr>
          <w:p w:rsidR="0071404B" w:rsidRPr="00526311" w:rsidRDefault="0071404B" w:rsidP="002E3193">
            <w:pPr>
              <w:spacing w:after="40"/>
              <w:ind w:left="1735" w:hanging="1735"/>
              <w:rPr>
                <w:sz w:val="20"/>
              </w:rPr>
            </w:pPr>
          </w:p>
        </w:tc>
      </w:tr>
      <w:tr w:rsidR="0071404B" w:rsidRPr="00526311" w:rsidTr="002E3193">
        <w:tc>
          <w:tcPr>
            <w:tcW w:w="9498" w:type="dxa"/>
          </w:tcPr>
          <w:p w:rsidR="0071404B" w:rsidRPr="00526311" w:rsidRDefault="0071404B" w:rsidP="002E3193">
            <w:pPr>
              <w:spacing w:after="40"/>
              <w:ind w:left="1735" w:hanging="1735"/>
              <w:rPr>
                <w:sz w:val="20"/>
              </w:rPr>
            </w:pPr>
            <w:r w:rsidRPr="00526311">
              <w:rPr>
                <w:b/>
                <w:sz w:val="20"/>
              </w:rPr>
              <w:t>H</w:t>
            </w:r>
            <w:r w:rsidRPr="00526311">
              <w:rPr>
                <w:sz w:val="20"/>
              </w:rPr>
              <w:t>LCM</w:t>
            </w:r>
            <w:r w:rsidRPr="00526311">
              <w:rPr>
                <w:sz w:val="20"/>
              </w:rPr>
              <w:tab/>
              <w:t>Comité de Alto Nivel sobre Gestión</w:t>
            </w:r>
            <w:r w:rsidR="00171C8A">
              <w:rPr>
                <w:sz w:val="20"/>
              </w:rPr>
              <w:t xml:space="preserve"> (de la JJE)</w:t>
            </w:r>
          </w:p>
        </w:tc>
      </w:tr>
      <w:tr w:rsidR="00171C8A" w:rsidRPr="00526311" w:rsidTr="002E3193">
        <w:tc>
          <w:tcPr>
            <w:tcW w:w="9498" w:type="dxa"/>
          </w:tcPr>
          <w:p w:rsidR="00171C8A" w:rsidRPr="00171C8A" w:rsidRDefault="00171C8A" w:rsidP="00171C8A">
            <w:pPr>
              <w:spacing w:after="40"/>
              <w:ind w:left="1735" w:hanging="1735"/>
              <w:rPr>
                <w:sz w:val="20"/>
              </w:rPr>
            </w:pPr>
            <w:r w:rsidRPr="00171C8A">
              <w:rPr>
                <w:sz w:val="20"/>
              </w:rPr>
              <w:t>H</w:t>
            </w:r>
            <w:r>
              <w:rPr>
                <w:sz w:val="20"/>
              </w:rPr>
              <w:t>L</w:t>
            </w:r>
            <w:r w:rsidRPr="00171C8A">
              <w:rPr>
                <w:sz w:val="20"/>
              </w:rPr>
              <w:t>CP</w:t>
            </w:r>
            <w:r w:rsidRPr="00526311">
              <w:rPr>
                <w:sz w:val="20"/>
              </w:rPr>
              <w:tab/>
            </w:r>
            <w:r w:rsidRPr="00B101BC">
              <w:rPr>
                <w:sz w:val="20"/>
              </w:rPr>
              <w:t>Comité de Alto Nivel sobre Programas</w:t>
            </w:r>
            <w:r>
              <w:rPr>
                <w:sz w:val="20"/>
              </w:rPr>
              <w:t xml:space="preserve"> (de la JJE)</w:t>
            </w:r>
          </w:p>
        </w:tc>
      </w:tr>
      <w:tr w:rsidR="0071404B" w:rsidRPr="00526311" w:rsidTr="002E3193">
        <w:tc>
          <w:tcPr>
            <w:tcW w:w="9498" w:type="dxa"/>
          </w:tcPr>
          <w:p w:rsidR="0071404B" w:rsidRPr="00526311" w:rsidRDefault="0071404B" w:rsidP="002E3193">
            <w:pPr>
              <w:spacing w:after="40"/>
              <w:ind w:left="1735" w:hanging="1735"/>
              <w:rPr>
                <w:sz w:val="20"/>
              </w:rPr>
            </w:pPr>
          </w:p>
        </w:tc>
      </w:tr>
      <w:tr w:rsidR="0071404B" w:rsidRPr="00526311" w:rsidTr="002E3193">
        <w:tc>
          <w:tcPr>
            <w:tcW w:w="9498" w:type="dxa"/>
          </w:tcPr>
          <w:p w:rsidR="0071404B" w:rsidRPr="00526311" w:rsidRDefault="0071404B" w:rsidP="00171C8A">
            <w:pPr>
              <w:spacing w:after="40"/>
              <w:ind w:left="1735" w:hanging="1735"/>
              <w:rPr>
                <w:sz w:val="20"/>
              </w:rPr>
            </w:pPr>
            <w:r w:rsidRPr="00526311">
              <w:rPr>
                <w:b/>
                <w:sz w:val="20"/>
              </w:rPr>
              <w:t>I</w:t>
            </w:r>
            <w:r w:rsidRPr="00526311">
              <w:rPr>
                <w:sz w:val="20"/>
              </w:rPr>
              <w:t>B</w:t>
            </w:r>
            <w:r w:rsidR="00171C8A">
              <w:rPr>
                <w:sz w:val="20"/>
              </w:rPr>
              <w:t>EPI</w:t>
            </w:r>
            <w:r w:rsidR="00171C8A">
              <w:rPr>
                <w:sz w:val="20"/>
              </w:rPr>
              <w:tab/>
              <w:t>Programa Iberoamericano de Propiedad Industrial</w:t>
            </w:r>
          </w:p>
        </w:tc>
      </w:tr>
      <w:tr w:rsidR="0071404B" w:rsidRPr="00526311" w:rsidTr="002E3193">
        <w:tc>
          <w:tcPr>
            <w:tcW w:w="9498" w:type="dxa"/>
          </w:tcPr>
          <w:p w:rsidR="0071404B" w:rsidRPr="00526311" w:rsidRDefault="0071404B" w:rsidP="002E3193">
            <w:pPr>
              <w:spacing w:after="40"/>
              <w:ind w:left="1735" w:hanging="1735"/>
              <w:rPr>
                <w:sz w:val="20"/>
              </w:rPr>
            </w:pPr>
            <w:r w:rsidRPr="00526311">
              <w:rPr>
                <w:sz w:val="20"/>
              </w:rPr>
              <w:t>ICANN</w:t>
            </w:r>
            <w:r w:rsidRPr="00526311">
              <w:rPr>
                <w:sz w:val="20"/>
              </w:rPr>
              <w:tab/>
              <w:t>Corporación para la Asignación de Nombres y Números en Internet</w:t>
            </w:r>
          </w:p>
        </w:tc>
      </w:tr>
      <w:tr w:rsidR="00E77382" w:rsidRPr="00E77382" w:rsidTr="002E3193">
        <w:tc>
          <w:tcPr>
            <w:tcW w:w="9498" w:type="dxa"/>
          </w:tcPr>
          <w:p w:rsidR="00E77382" w:rsidRPr="00E77382" w:rsidRDefault="00E77382" w:rsidP="00171C8A">
            <w:pPr>
              <w:spacing w:after="40"/>
              <w:ind w:left="1735" w:hanging="1735"/>
              <w:rPr>
                <w:sz w:val="20"/>
              </w:rPr>
            </w:pPr>
            <w:r w:rsidRPr="00E77382">
              <w:rPr>
                <w:sz w:val="20"/>
              </w:rPr>
              <w:t>ICOM</w:t>
            </w:r>
            <w:r w:rsidRPr="00526311">
              <w:rPr>
                <w:sz w:val="20"/>
              </w:rPr>
              <w:tab/>
            </w:r>
            <w:r>
              <w:rPr>
                <w:sz w:val="20"/>
              </w:rPr>
              <w:t>Consejo Internacional de Museos</w:t>
            </w:r>
          </w:p>
        </w:tc>
      </w:tr>
      <w:tr w:rsidR="0071404B" w:rsidRPr="007F55CE" w:rsidTr="002E3193">
        <w:tc>
          <w:tcPr>
            <w:tcW w:w="9498" w:type="dxa"/>
          </w:tcPr>
          <w:p w:rsidR="0071404B" w:rsidRPr="00171C8A" w:rsidRDefault="0071404B" w:rsidP="00171C8A">
            <w:pPr>
              <w:spacing w:after="40"/>
              <w:ind w:left="1735" w:hanging="1735"/>
              <w:rPr>
                <w:sz w:val="20"/>
                <w:lang w:val="en-US"/>
              </w:rPr>
            </w:pPr>
            <w:r w:rsidRPr="00171C8A">
              <w:rPr>
                <w:sz w:val="20"/>
                <w:lang w:val="en-US"/>
              </w:rPr>
              <w:t>I</w:t>
            </w:r>
            <w:r w:rsidR="00171C8A" w:rsidRPr="00171C8A">
              <w:rPr>
                <w:sz w:val="20"/>
                <w:lang w:val="en-US"/>
              </w:rPr>
              <w:t>EEE</w:t>
            </w:r>
            <w:r w:rsidRPr="00171C8A">
              <w:rPr>
                <w:sz w:val="20"/>
                <w:lang w:val="en-US"/>
              </w:rPr>
              <w:tab/>
            </w:r>
            <w:r w:rsidR="00171C8A" w:rsidRPr="00171C8A">
              <w:rPr>
                <w:i/>
                <w:sz w:val="20"/>
                <w:lang w:val="en-US"/>
              </w:rPr>
              <w:t>Institute of Electrical and Electronics Engineers</w:t>
            </w:r>
          </w:p>
        </w:tc>
      </w:tr>
      <w:tr w:rsidR="0071404B" w:rsidRPr="00526311" w:rsidTr="002E3193">
        <w:tc>
          <w:tcPr>
            <w:tcW w:w="9498" w:type="dxa"/>
          </w:tcPr>
          <w:p w:rsidR="0071404B" w:rsidRPr="00526311" w:rsidRDefault="0071404B" w:rsidP="002E3193">
            <w:pPr>
              <w:spacing w:after="40"/>
              <w:ind w:left="1735" w:hanging="1735"/>
              <w:rPr>
                <w:sz w:val="20"/>
              </w:rPr>
            </w:pPr>
            <w:r w:rsidRPr="00526311">
              <w:rPr>
                <w:sz w:val="20"/>
              </w:rPr>
              <w:t>IGF</w:t>
            </w:r>
            <w:r w:rsidRPr="00526311">
              <w:rPr>
                <w:sz w:val="20"/>
              </w:rPr>
              <w:tab/>
              <w:t>Foro de Gobernanza de Internet</w:t>
            </w:r>
          </w:p>
        </w:tc>
      </w:tr>
      <w:tr w:rsidR="0071404B" w:rsidRPr="00526311" w:rsidTr="002E3193">
        <w:tc>
          <w:tcPr>
            <w:tcW w:w="9498" w:type="dxa"/>
          </w:tcPr>
          <w:p w:rsidR="0071404B" w:rsidRPr="00526311" w:rsidRDefault="0071404B" w:rsidP="00E77382">
            <w:pPr>
              <w:spacing w:after="40"/>
              <w:ind w:left="1735" w:hanging="1735"/>
              <w:rPr>
                <w:sz w:val="20"/>
              </w:rPr>
            </w:pPr>
            <w:r w:rsidRPr="00526311">
              <w:rPr>
                <w:sz w:val="20"/>
              </w:rPr>
              <w:t>I</w:t>
            </w:r>
            <w:r w:rsidR="00E77382">
              <w:rPr>
                <w:sz w:val="20"/>
              </w:rPr>
              <w:t>FRRO</w:t>
            </w:r>
            <w:r w:rsidRPr="00526311">
              <w:rPr>
                <w:sz w:val="20"/>
              </w:rPr>
              <w:tab/>
            </w:r>
            <w:r w:rsidR="00E77382" w:rsidRPr="00E77382">
              <w:rPr>
                <w:sz w:val="20"/>
              </w:rPr>
              <w:t>Federaci</w:t>
            </w:r>
            <w:r w:rsidR="00E77382">
              <w:rPr>
                <w:sz w:val="20"/>
              </w:rPr>
              <w:t>ó</w:t>
            </w:r>
            <w:r w:rsidR="00E77382" w:rsidRPr="00E77382">
              <w:rPr>
                <w:sz w:val="20"/>
              </w:rPr>
              <w:t>n Internacional de Organizaciones de Derechos de Reproducci</w:t>
            </w:r>
            <w:r w:rsidR="00E77382">
              <w:rPr>
                <w:rFonts w:ascii="Tahoma" w:hAnsi="Tahoma" w:cs="Tahoma"/>
                <w:sz w:val="20"/>
              </w:rPr>
              <w:t>ó</w:t>
            </w:r>
            <w:r w:rsidR="00E77382" w:rsidRPr="00E77382">
              <w:rPr>
                <w:sz w:val="20"/>
              </w:rPr>
              <w:t>n</w:t>
            </w:r>
          </w:p>
        </w:tc>
      </w:tr>
      <w:tr w:rsidR="00085356" w:rsidRPr="00526311" w:rsidTr="002E3193">
        <w:tc>
          <w:tcPr>
            <w:tcW w:w="9498" w:type="dxa"/>
          </w:tcPr>
          <w:p w:rsidR="00085356" w:rsidRPr="00526311" w:rsidRDefault="00085356" w:rsidP="002E3193">
            <w:pPr>
              <w:spacing w:after="40"/>
              <w:ind w:left="1735" w:hanging="1735"/>
              <w:rPr>
                <w:sz w:val="20"/>
              </w:rPr>
            </w:pPr>
            <w:r>
              <w:rPr>
                <w:sz w:val="20"/>
              </w:rPr>
              <w:t>IMPI</w:t>
            </w:r>
            <w:r w:rsidRPr="00526311">
              <w:rPr>
                <w:sz w:val="20"/>
              </w:rPr>
              <w:tab/>
            </w:r>
            <w:r>
              <w:rPr>
                <w:sz w:val="20"/>
              </w:rPr>
              <w:t>Instituto Mexicano de la Propiedad Industrial</w:t>
            </w:r>
          </w:p>
        </w:tc>
      </w:tr>
      <w:tr w:rsidR="00085356" w:rsidRPr="00526311" w:rsidTr="002E3193">
        <w:tc>
          <w:tcPr>
            <w:tcW w:w="9498" w:type="dxa"/>
          </w:tcPr>
          <w:p w:rsidR="00085356" w:rsidRPr="00B8059D" w:rsidRDefault="00085356" w:rsidP="00B8059D">
            <w:pPr>
              <w:spacing w:after="40"/>
              <w:ind w:left="1735" w:hanging="1735"/>
              <w:rPr>
                <w:sz w:val="20"/>
              </w:rPr>
            </w:pPr>
            <w:r>
              <w:rPr>
                <w:sz w:val="20"/>
              </w:rPr>
              <w:t>INPI</w:t>
            </w:r>
            <w:r w:rsidRPr="00526311">
              <w:rPr>
                <w:sz w:val="20"/>
              </w:rPr>
              <w:tab/>
            </w:r>
            <w:r w:rsidR="00B8059D" w:rsidRPr="00B8059D">
              <w:rPr>
                <w:i/>
                <w:sz w:val="20"/>
              </w:rPr>
              <w:t xml:space="preserve">Instituto Nacional da </w:t>
            </w:r>
            <w:proofErr w:type="spellStart"/>
            <w:r w:rsidR="00B8059D" w:rsidRPr="00B8059D">
              <w:rPr>
                <w:i/>
                <w:sz w:val="20"/>
              </w:rPr>
              <w:t>Propiedade</w:t>
            </w:r>
            <w:proofErr w:type="spellEnd"/>
            <w:r w:rsidR="00B8059D" w:rsidRPr="00B8059D">
              <w:rPr>
                <w:i/>
                <w:sz w:val="20"/>
              </w:rPr>
              <w:t xml:space="preserve"> Industrial</w:t>
            </w:r>
            <w:r w:rsidR="00B8059D">
              <w:rPr>
                <w:sz w:val="20"/>
              </w:rPr>
              <w:t xml:space="preserve"> (Brasil)</w:t>
            </w:r>
          </w:p>
        </w:tc>
      </w:tr>
      <w:tr w:rsidR="00085356" w:rsidRPr="00526311" w:rsidTr="002E3193">
        <w:tc>
          <w:tcPr>
            <w:tcW w:w="9498" w:type="dxa"/>
          </w:tcPr>
          <w:p w:rsidR="00085356" w:rsidRPr="00526311" w:rsidRDefault="00085356" w:rsidP="002E3193">
            <w:pPr>
              <w:spacing w:after="40"/>
              <w:ind w:left="1735" w:hanging="1735"/>
              <w:rPr>
                <w:sz w:val="20"/>
              </w:rPr>
            </w:pPr>
            <w:r>
              <w:rPr>
                <w:sz w:val="20"/>
              </w:rPr>
              <w:t>INPI</w:t>
            </w:r>
            <w:r w:rsidRPr="00526311">
              <w:rPr>
                <w:sz w:val="20"/>
              </w:rPr>
              <w:tab/>
            </w:r>
            <w:r w:rsidR="00B8059D">
              <w:rPr>
                <w:sz w:val="20"/>
              </w:rPr>
              <w:t>Instituto Nacional de la Propiedad Industrial (Argentina)</w:t>
            </w:r>
          </w:p>
        </w:tc>
      </w:tr>
      <w:tr w:rsidR="00085356" w:rsidRPr="00526311" w:rsidTr="002E3193">
        <w:tc>
          <w:tcPr>
            <w:tcW w:w="9498" w:type="dxa"/>
          </w:tcPr>
          <w:p w:rsidR="00085356" w:rsidRPr="00526311" w:rsidRDefault="00085356" w:rsidP="002E3193">
            <w:pPr>
              <w:spacing w:after="40"/>
              <w:ind w:left="1735" w:hanging="1735"/>
              <w:rPr>
                <w:sz w:val="20"/>
              </w:rPr>
            </w:pPr>
            <w:r>
              <w:rPr>
                <w:sz w:val="20"/>
              </w:rPr>
              <w:t>INPI</w:t>
            </w:r>
            <w:r w:rsidRPr="00526311">
              <w:rPr>
                <w:sz w:val="20"/>
              </w:rPr>
              <w:tab/>
            </w:r>
            <w:r w:rsidR="00B8059D">
              <w:rPr>
                <w:sz w:val="20"/>
              </w:rPr>
              <w:t>Instituto Nacional de la Propiedad Industrial (Francia)</w:t>
            </w:r>
          </w:p>
        </w:tc>
      </w:tr>
      <w:tr w:rsidR="0071404B" w:rsidRPr="00526311" w:rsidTr="002E3193">
        <w:tc>
          <w:tcPr>
            <w:tcW w:w="9498" w:type="dxa"/>
          </w:tcPr>
          <w:p w:rsidR="0071404B" w:rsidRPr="00526311" w:rsidRDefault="0071404B" w:rsidP="002E3193">
            <w:pPr>
              <w:spacing w:after="40"/>
              <w:ind w:left="1735" w:hanging="1735"/>
              <w:rPr>
                <w:sz w:val="20"/>
              </w:rPr>
            </w:pPr>
            <w:r w:rsidRPr="00526311">
              <w:rPr>
                <w:sz w:val="20"/>
              </w:rPr>
              <w:t>IPAS</w:t>
            </w:r>
            <w:r w:rsidRPr="00526311">
              <w:rPr>
                <w:sz w:val="20"/>
              </w:rPr>
              <w:tab/>
              <w:t>Sistema de Automatización para las Oficinas de P.I.</w:t>
            </w:r>
          </w:p>
        </w:tc>
      </w:tr>
      <w:tr w:rsidR="0071404B" w:rsidRPr="00526311" w:rsidTr="002E3193">
        <w:tc>
          <w:tcPr>
            <w:tcW w:w="9498" w:type="dxa"/>
          </w:tcPr>
          <w:p w:rsidR="0071404B" w:rsidRPr="00526311" w:rsidRDefault="0071404B" w:rsidP="002E3193">
            <w:pPr>
              <w:spacing w:after="40"/>
              <w:ind w:left="1735" w:hanging="1735"/>
              <w:rPr>
                <w:sz w:val="20"/>
              </w:rPr>
            </w:pPr>
            <w:r w:rsidRPr="00526311">
              <w:rPr>
                <w:sz w:val="20"/>
              </w:rPr>
              <w:t>IPSAS</w:t>
            </w:r>
            <w:r w:rsidRPr="00526311">
              <w:rPr>
                <w:sz w:val="20"/>
              </w:rPr>
              <w:tab/>
              <w:t>Normas Internacionales de Contabilidad del Sector Público</w:t>
            </w:r>
          </w:p>
        </w:tc>
      </w:tr>
      <w:tr w:rsidR="0071404B" w:rsidRPr="00526311" w:rsidTr="002E3193">
        <w:tc>
          <w:tcPr>
            <w:tcW w:w="9498" w:type="dxa"/>
          </w:tcPr>
          <w:p w:rsidR="0071404B" w:rsidRPr="00526311" w:rsidRDefault="0071404B" w:rsidP="002E3193">
            <w:pPr>
              <w:spacing w:after="40"/>
              <w:ind w:left="1735" w:hanging="1735"/>
              <w:rPr>
                <w:sz w:val="20"/>
              </w:rPr>
            </w:pPr>
            <w:r w:rsidRPr="00526311">
              <w:rPr>
                <w:sz w:val="20"/>
              </w:rPr>
              <w:t>IP-TAD</w:t>
            </w:r>
            <w:r w:rsidRPr="00526311">
              <w:rPr>
                <w:sz w:val="20"/>
              </w:rPr>
              <w:tab/>
              <w:t xml:space="preserve">Base de datos de asistencia técnica en materia de P.I. </w:t>
            </w:r>
          </w:p>
        </w:tc>
      </w:tr>
      <w:tr w:rsidR="0071404B" w:rsidRPr="00526311" w:rsidTr="002E3193">
        <w:tc>
          <w:tcPr>
            <w:tcW w:w="9498" w:type="dxa"/>
          </w:tcPr>
          <w:p w:rsidR="00085356" w:rsidRDefault="00085356" w:rsidP="002E3193">
            <w:pPr>
              <w:spacing w:after="40"/>
              <w:ind w:left="1735" w:hanging="1735"/>
              <w:rPr>
                <w:sz w:val="20"/>
              </w:rPr>
            </w:pPr>
            <w:r w:rsidRPr="00085356">
              <w:rPr>
                <w:sz w:val="20"/>
              </w:rPr>
              <w:t>ITPGRFA</w:t>
            </w:r>
            <w:r w:rsidRPr="00085356">
              <w:rPr>
                <w:sz w:val="20"/>
              </w:rPr>
              <w:tab/>
              <w:t xml:space="preserve">Tratado Internacional sobre los Recursos </w:t>
            </w:r>
            <w:proofErr w:type="spellStart"/>
            <w:r w:rsidRPr="00085356">
              <w:rPr>
                <w:sz w:val="20"/>
              </w:rPr>
              <w:t>Fitogenéticos</w:t>
            </w:r>
            <w:proofErr w:type="spellEnd"/>
            <w:r w:rsidRPr="00085356">
              <w:rPr>
                <w:sz w:val="20"/>
              </w:rPr>
              <w:t xml:space="preserve"> para la Alimentación y la Agricultura</w:t>
            </w:r>
          </w:p>
          <w:p w:rsidR="0071404B" w:rsidRPr="00526311" w:rsidRDefault="00085356" w:rsidP="002E3193">
            <w:pPr>
              <w:spacing w:after="40"/>
              <w:ind w:left="1735" w:hanging="1735"/>
              <w:rPr>
                <w:sz w:val="20"/>
              </w:rPr>
            </w:pPr>
            <w:r w:rsidRPr="00085356">
              <w:rPr>
                <w:sz w:val="20"/>
              </w:rPr>
              <w:t>I+D</w:t>
            </w:r>
            <w:r w:rsidRPr="00085356">
              <w:rPr>
                <w:sz w:val="20"/>
              </w:rPr>
              <w:tab/>
              <w:t>Investigación y desarrollo</w:t>
            </w:r>
          </w:p>
        </w:tc>
      </w:tr>
      <w:tr w:rsidR="00085356" w:rsidRPr="00526311" w:rsidTr="002E3193">
        <w:tc>
          <w:tcPr>
            <w:tcW w:w="9498" w:type="dxa"/>
          </w:tcPr>
          <w:p w:rsidR="00085356" w:rsidRPr="00085356" w:rsidRDefault="00085356" w:rsidP="002E3193">
            <w:pPr>
              <w:spacing w:after="40"/>
              <w:ind w:left="1735" w:hanging="1735"/>
              <w:rPr>
                <w:sz w:val="20"/>
              </w:rPr>
            </w:pPr>
          </w:p>
        </w:tc>
      </w:tr>
      <w:tr w:rsidR="0071404B" w:rsidRPr="00526311" w:rsidTr="002E3193">
        <w:tc>
          <w:tcPr>
            <w:tcW w:w="9498" w:type="dxa"/>
          </w:tcPr>
          <w:p w:rsidR="0071404B" w:rsidRDefault="0071404B" w:rsidP="002E3193">
            <w:pPr>
              <w:spacing w:after="40"/>
              <w:ind w:left="1735" w:hanging="1735"/>
              <w:rPr>
                <w:sz w:val="20"/>
              </w:rPr>
            </w:pPr>
            <w:r w:rsidRPr="00526311">
              <w:rPr>
                <w:b/>
                <w:sz w:val="20"/>
              </w:rPr>
              <w:t>J</w:t>
            </w:r>
            <w:r w:rsidRPr="00526311">
              <w:rPr>
                <w:sz w:val="20"/>
              </w:rPr>
              <w:t>JE</w:t>
            </w:r>
            <w:r w:rsidRPr="00526311">
              <w:rPr>
                <w:sz w:val="20"/>
              </w:rPr>
              <w:tab/>
              <w:t>Junta de los Jefes Ejecutivos del Sistema de las Naciones Unidas para la Coordinación</w:t>
            </w:r>
          </w:p>
          <w:p w:rsidR="00E77382" w:rsidRPr="00526311" w:rsidRDefault="00E77382" w:rsidP="002E3193">
            <w:pPr>
              <w:spacing w:after="40"/>
              <w:ind w:left="1735" w:hanging="1735"/>
              <w:rPr>
                <w:sz w:val="20"/>
              </w:rPr>
            </w:pPr>
          </w:p>
        </w:tc>
      </w:tr>
      <w:tr w:rsidR="00171C8A" w:rsidRPr="00526311" w:rsidTr="002E3193">
        <w:tc>
          <w:tcPr>
            <w:tcW w:w="9498" w:type="dxa"/>
          </w:tcPr>
          <w:p w:rsidR="00171C8A" w:rsidRPr="00526311" w:rsidRDefault="00171C8A" w:rsidP="002E3193">
            <w:pPr>
              <w:spacing w:after="40"/>
              <w:ind w:left="1735" w:hanging="1735"/>
              <w:rPr>
                <w:sz w:val="20"/>
              </w:rPr>
            </w:pPr>
            <w:r w:rsidRPr="00E77382">
              <w:rPr>
                <w:b/>
                <w:sz w:val="20"/>
              </w:rPr>
              <w:t>K</w:t>
            </w:r>
            <w:r>
              <w:rPr>
                <w:sz w:val="20"/>
              </w:rPr>
              <w:t>CC</w:t>
            </w:r>
            <w:r w:rsidRPr="00526311">
              <w:rPr>
                <w:sz w:val="20"/>
              </w:rPr>
              <w:tab/>
            </w:r>
            <w:r>
              <w:rPr>
                <w:sz w:val="20"/>
              </w:rPr>
              <w:t>Comisión de Derecho de Autor de la República de Corea</w:t>
            </w:r>
          </w:p>
        </w:tc>
      </w:tr>
      <w:tr w:rsidR="00E77382" w:rsidRPr="00E77382" w:rsidTr="002E3193">
        <w:tc>
          <w:tcPr>
            <w:tcW w:w="9498" w:type="dxa"/>
          </w:tcPr>
          <w:p w:rsidR="00E77382" w:rsidRPr="00E77382" w:rsidRDefault="00E77382" w:rsidP="002E3193">
            <w:pPr>
              <w:spacing w:after="40"/>
              <w:ind w:left="1735" w:hanging="1735"/>
              <w:rPr>
                <w:sz w:val="20"/>
              </w:rPr>
            </w:pPr>
            <w:r w:rsidRPr="00E77382">
              <w:rPr>
                <w:sz w:val="20"/>
              </w:rPr>
              <w:t>KIPO</w:t>
            </w:r>
            <w:r w:rsidRPr="00526311">
              <w:rPr>
                <w:sz w:val="20"/>
              </w:rPr>
              <w:tab/>
            </w:r>
            <w:r>
              <w:rPr>
                <w:sz w:val="20"/>
              </w:rPr>
              <w:t>Oficina Surcoreana de Propiedad Intelectual</w:t>
            </w:r>
          </w:p>
        </w:tc>
      </w:tr>
      <w:tr w:rsidR="00171C8A" w:rsidRPr="007F55CE" w:rsidTr="002E3193">
        <w:tc>
          <w:tcPr>
            <w:tcW w:w="9498" w:type="dxa"/>
          </w:tcPr>
          <w:p w:rsidR="00171C8A" w:rsidRPr="00E77382" w:rsidRDefault="00171C8A" w:rsidP="002E3193">
            <w:pPr>
              <w:spacing w:after="40"/>
              <w:ind w:left="1735" w:hanging="1735"/>
              <w:rPr>
                <w:i/>
                <w:sz w:val="20"/>
                <w:lang w:val="en-US"/>
              </w:rPr>
            </w:pPr>
            <w:r w:rsidRPr="00E77382">
              <w:rPr>
                <w:sz w:val="20"/>
                <w:lang w:val="en-US"/>
              </w:rPr>
              <w:t>KOCCA</w:t>
            </w:r>
            <w:r w:rsidRPr="00E77382">
              <w:rPr>
                <w:sz w:val="20"/>
                <w:lang w:val="en-US"/>
              </w:rPr>
              <w:tab/>
            </w:r>
            <w:r w:rsidR="00E77382" w:rsidRPr="00E77382">
              <w:rPr>
                <w:i/>
                <w:sz w:val="20"/>
                <w:lang w:val="en-US"/>
              </w:rPr>
              <w:t>Korea Creative Content Agency</w:t>
            </w:r>
          </w:p>
        </w:tc>
      </w:tr>
      <w:tr w:rsidR="0071404B" w:rsidRPr="007F55CE" w:rsidTr="002E3193">
        <w:tc>
          <w:tcPr>
            <w:tcW w:w="9498" w:type="dxa"/>
          </w:tcPr>
          <w:p w:rsidR="0071404B" w:rsidRPr="00E77382" w:rsidRDefault="0071404B" w:rsidP="002E3193">
            <w:pPr>
              <w:spacing w:after="40"/>
              <w:ind w:left="1735" w:hanging="1735"/>
              <w:rPr>
                <w:sz w:val="20"/>
                <w:lang w:val="en-US"/>
              </w:rPr>
            </w:pPr>
          </w:p>
        </w:tc>
      </w:tr>
      <w:tr w:rsidR="0071404B" w:rsidRPr="00526311" w:rsidTr="002E3193">
        <w:tc>
          <w:tcPr>
            <w:tcW w:w="9498" w:type="dxa"/>
          </w:tcPr>
          <w:p w:rsidR="0071404B" w:rsidRPr="00526311" w:rsidRDefault="0071404B" w:rsidP="00E77382">
            <w:pPr>
              <w:spacing w:after="40"/>
              <w:ind w:left="1735" w:hanging="1735"/>
              <w:rPr>
                <w:sz w:val="20"/>
              </w:rPr>
            </w:pPr>
            <w:proofErr w:type="spellStart"/>
            <w:r w:rsidRPr="00526311">
              <w:rPr>
                <w:b/>
                <w:sz w:val="20"/>
              </w:rPr>
              <w:t>M</w:t>
            </w:r>
            <w:r w:rsidR="00E77382">
              <w:rPr>
                <w:sz w:val="20"/>
              </w:rPr>
              <w:t>i</w:t>
            </w:r>
            <w:r w:rsidR="00E77382" w:rsidRPr="00E77382">
              <w:rPr>
                <w:sz w:val="20"/>
              </w:rPr>
              <w:t>p</w:t>
            </w:r>
            <w:r w:rsidR="00E77382">
              <w:rPr>
                <w:sz w:val="20"/>
              </w:rPr>
              <w:t>y</w:t>
            </w:r>
            <w:r w:rsidR="00E77382" w:rsidRPr="00E77382">
              <w:rPr>
                <w:sz w:val="20"/>
              </w:rPr>
              <w:t>mes</w:t>
            </w:r>
            <w:proofErr w:type="spellEnd"/>
            <w:r w:rsidRPr="00526311">
              <w:rPr>
                <w:sz w:val="20"/>
              </w:rPr>
              <w:tab/>
            </w:r>
            <w:r w:rsidR="00E77382">
              <w:rPr>
                <w:sz w:val="20"/>
              </w:rPr>
              <w:t>Micro, pequeñas y medianas empresas</w:t>
            </w:r>
          </w:p>
        </w:tc>
      </w:tr>
      <w:tr w:rsidR="0071404B" w:rsidRPr="00526311" w:rsidTr="002E3193">
        <w:tc>
          <w:tcPr>
            <w:tcW w:w="9498" w:type="dxa"/>
          </w:tcPr>
          <w:p w:rsidR="0071404B" w:rsidRPr="00526311" w:rsidRDefault="0071404B" w:rsidP="002E3193">
            <w:pPr>
              <w:spacing w:after="40"/>
              <w:ind w:left="1735" w:hanging="1735"/>
              <w:rPr>
                <w:sz w:val="20"/>
              </w:rPr>
            </w:pPr>
          </w:p>
        </w:tc>
      </w:tr>
      <w:tr w:rsidR="0071404B" w:rsidRPr="00526311" w:rsidTr="002E3193">
        <w:tc>
          <w:tcPr>
            <w:tcW w:w="9498" w:type="dxa"/>
          </w:tcPr>
          <w:p w:rsidR="0071404B" w:rsidRPr="00526311" w:rsidRDefault="0071404B" w:rsidP="002E3193">
            <w:pPr>
              <w:spacing w:after="40"/>
              <w:ind w:left="1735" w:hanging="1735"/>
              <w:rPr>
                <w:sz w:val="20"/>
              </w:rPr>
            </w:pPr>
            <w:r w:rsidRPr="00526311">
              <w:rPr>
                <w:b/>
                <w:sz w:val="20"/>
              </w:rPr>
              <w:t>N</w:t>
            </w:r>
            <w:r w:rsidRPr="00526311">
              <w:rPr>
                <w:sz w:val="20"/>
              </w:rPr>
              <w:t>N.UU.</w:t>
            </w:r>
            <w:r w:rsidRPr="00526311">
              <w:rPr>
                <w:sz w:val="20"/>
              </w:rPr>
              <w:tab/>
              <w:t>Naciones Unidas</w:t>
            </w:r>
          </w:p>
        </w:tc>
      </w:tr>
      <w:tr w:rsidR="0071404B" w:rsidRPr="00526311" w:rsidTr="002E3193">
        <w:tc>
          <w:tcPr>
            <w:tcW w:w="9498" w:type="dxa"/>
          </w:tcPr>
          <w:p w:rsidR="0071404B" w:rsidRPr="00526311" w:rsidRDefault="0071404B" w:rsidP="002E3193">
            <w:pPr>
              <w:spacing w:after="40"/>
              <w:ind w:left="1735" w:hanging="1735"/>
              <w:rPr>
                <w:sz w:val="20"/>
              </w:rPr>
            </w:pPr>
            <w:r w:rsidRPr="00526311">
              <w:rPr>
                <w:sz w:val="20"/>
              </w:rPr>
              <w:t>NPO</w:t>
            </w:r>
            <w:r w:rsidRPr="00526311">
              <w:rPr>
                <w:sz w:val="20"/>
              </w:rPr>
              <w:tab/>
              <w:t xml:space="preserve">Funcionario nacional profesional </w:t>
            </w:r>
          </w:p>
        </w:tc>
      </w:tr>
      <w:tr w:rsidR="0071404B" w:rsidRPr="00526311" w:rsidTr="002E3193">
        <w:tc>
          <w:tcPr>
            <w:tcW w:w="9498" w:type="dxa"/>
          </w:tcPr>
          <w:p w:rsidR="0071404B" w:rsidRPr="00526311" w:rsidRDefault="0071404B" w:rsidP="002E3193">
            <w:pPr>
              <w:spacing w:after="40"/>
              <w:ind w:left="1735" w:hanging="1735"/>
              <w:rPr>
                <w:sz w:val="20"/>
              </w:rPr>
            </w:pPr>
          </w:p>
        </w:tc>
      </w:tr>
      <w:tr w:rsidR="0071404B" w:rsidRPr="00526311" w:rsidTr="002E3193">
        <w:tc>
          <w:tcPr>
            <w:tcW w:w="9498" w:type="dxa"/>
          </w:tcPr>
          <w:p w:rsidR="0071404B" w:rsidRPr="00526311" w:rsidRDefault="0071404B" w:rsidP="002E3193">
            <w:pPr>
              <w:spacing w:after="40"/>
              <w:ind w:left="1735" w:hanging="1735"/>
              <w:rPr>
                <w:sz w:val="20"/>
              </w:rPr>
            </w:pPr>
            <w:r w:rsidRPr="00526311">
              <w:rPr>
                <w:b/>
                <w:sz w:val="20"/>
              </w:rPr>
              <w:t>O</w:t>
            </w:r>
            <w:r w:rsidRPr="00526311">
              <w:rPr>
                <w:sz w:val="20"/>
              </w:rPr>
              <w:t>AMI</w:t>
            </w:r>
            <w:r w:rsidRPr="00526311">
              <w:rPr>
                <w:sz w:val="20"/>
              </w:rPr>
              <w:tab/>
              <w:t>Oficina de Armonización del Mercado Interior (Marca Comunitaria)</w:t>
            </w:r>
          </w:p>
        </w:tc>
      </w:tr>
      <w:tr w:rsidR="0071404B" w:rsidRPr="00526311" w:rsidTr="002E3193">
        <w:tc>
          <w:tcPr>
            <w:tcW w:w="9498" w:type="dxa"/>
          </w:tcPr>
          <w:p w:rsidR="0071404B" w:rsidRPr="00526311" w:rsidRDefault="0071404B" w:rsidP="002E3193">
            <w:pPr>
              <w:spacing w:after="40"/>
              <w:ind w:left="1735" w:hanging="1735"/>
              <w:rPr>
                <w:sz w:val="20"/>
              </w:rPr>
            </w:pPr>
            <w:r w:rsidRPr="00526311">
              <w:rPr>
                <w:sz w:val="20"/>
              </w:rPr>
              <w:t>OAPI</w:t>
            </w:r>
            <w:r w:rsidRPr="00526311">
              <w:rPr>
                <w:sz w:val="20"/>
              </w:rPr>
              <w:tab/>
              <w:t>Organización Africana de la Propiedad Intelectual</w:t>
            </w:r>
          </w:p>
        </w:tc>
      </w:tr>
      <w:tr w:rsidR="0071404B" w:rsidRPr="00526311" w:rsidTr="002E3193">
        <w:tc>
          <w:tcPr>
            <w:tcW w:w="9498" w:type="dxa"/>
          </w:tcPr>
          <w:p w:rsidR="0071404B" w:rsidRPr="00526311" w:rsidRDefault="0071404B" w:rsidP="002E3193">
            <w:pPr>
              <w:spacing w:after="40"/>
              <w:ind w:left="1735" w:hanging="1735"/>
              <w:rPr>
                <w:sz w:val="20"/>
              </w:rPr>
            </w:pPr>
            <w:r w:rsidRPr="00526311">
              <w:rPr>
                <w:sz w:val="20"/>
              </w:rPr>
              <w:t>OCDE</w:t>
            </w:r>
            <w:r w:rsidRPr="00526311">
              <w:rPr>
                <w:sz w:val="20"/>
              </w:rPr>
              <w:tab/>
              <w:t>Organización de Cooperación y Desarrollo Económicos</w:t>
            </w:r>
          </w:p>
        </w:tc>
      </w:tr>
      <w:tr w:rsidR="0071404B" w:rsidRPr="00526311" w:rsidTr="002E3193">
        <w:tc>
          <w:tcPr>
            <w:tcW w:w="9498" w:type="dxa"/>
          </w:tcPr>
          <w:p w:rsidR="0071404B" w:rsidRPr="00526311" w:rsidRDefault="0071404B" w:rsidP="002E3193">
            <w:pPr>
              <w:spacing w:after="40"/>
              <w:ind w:left="1735" w:hanging="1735"/>
              <w:rPr>
                <w:sz w:val="20"/>
              </w:rPr>
            </w:pPr>
            <w:r w:rsidRPr="00526311">
              <w:rPr>
                <w:sz w:val="20"/>
              </w:rPr>
              <w:t>ODM</w:t>
            </w:r>
            <w:r w:rsidRPr="00526311">
              <w:rPr>
                <w:sz w:val="20"/>
              </w:rPr>
              <w:tab/>
              <w:t>Objetivos de Desarrollo del Milenio</w:t>
            </w:r>
          </w:p>
        </w:tc>
      </w:tr>
      <w:tr w:rsidR="0071404B" w:rsidRPr="00526311" w:rsidTr="002E3193">
        <w:tc>
          <w:tcPr>
            <w:tcW w:w="9498" w:type="dxa"/>
          </w:tcPr>
          <w:p w:rsidR="0071404B" w:rsidRPr="00526311" w:rsidRDefault="0071404B" w:rsidP="002E3193">
            <w:pPr>
              <w:spacing w:after="40"/>
              <w:ind w:left="1735" w:hanging="1735"/>
              <w:rPr>
                <w:sz w:val="20"/>
              </w:rPr>
            </w:pPr>
            <w:r w:rsidRPr="00526311">
              <w:rPr>
                <w:sz w:val="20"/>
              </w:rPr>
              <w:t>OEP</w:t>
            </w:r>
            <w:r w:rsidRPr="00526311">
              <w:rPr>
                <w:sz w:val="20"/>
              </w:rPr>
              <w:tab/>
              <w:t>Oficina Europea de Patentes</w:t>
            </w:r>
          </w:p>
        </w:tc>
      </w:tr>
      <w:tr w:rsidR="00E77382" w:rsidRPr="00526311" w:rsidTr="002E3193">
        <w:tc>
          <w:tcPr>
            <w:tcW w:w="9498" w:type="dxa"/>
          </w:tcPr>
          <w:p w:rsidR="00E77382" w:rsidRPr="00526311" w:rsidRDefault="00E77382" w:rsidP="002E3193">
            <w:pPr>
              <w:spacing w:after="40"/>
              <w:ind w:left="1735" w:hanging="1735"/>
              <w:rPr>
                <w:sz w:val="20"/>
              </w:rPr>
            </w:pPr>
            <w:r>
              <w:rPr>
                <w:sz w:val="20"/>
              </w:rPr>
              <w:lastRenderedPageBreak/>
              <w:t>OEPM</w:t>
            </w:r>
            <w:r w:rsidRPr="00526311">
              <w:rPr>
                <w:sz w:val="20"/>
              </w:rPr>
              <w:tab/>
            </w:r>
            <w:r>
              <w:rPr>
                <w:sz w:val="20"/>
              </w:rPr>
              <w:t>Oficina Española de Patentes y Marcas</w:t>
            </w:r>
          </w:p>
        </w:tc>
      </w:tr>
      <w:tr w:rsidR="0071404B" w:rsidRPr="00526311" w:rsidTr="002E3193">
        <w:tc>
          <w:tcPr>
            <w:tcW w:w="9498" w:type="dxa"/>
          </w:tcPr>
          <w:p w:rsidR="0071404B" w:rsidRPr="00526311" w:rsidRDefault="0071404B" w:rsidP="002E3193">
            <w:pPr>
              <w:spacing w:after="40"/>
              <w:ind w:left="1735" w:hanging="1735"/>
              <w:rPr>
                <w:sz w:val="20"/>
              </w:rPr>
            </w:pPr>
            <w:r w:rsidRPr="00526311">
              <w:rPr>
                <w:sz w:val="20"/>
              </w:rPr>
              <w:t>OGC</w:t>
            </w:r>
            <w:r w:rsidRPr="00526311">
              <w:rPr>
                <w:sz w:val="20"/>
              </w:rPr>
              <w:tab/>
              <w:t>Organismos de gestión colectiva</w:t>
            </w:r>
          </w:p>
        </w:tc>
      </w:tr>
      <w:tr w:rsidR="0071404B" w:rsidRPr="00526311" w:rsidTr="002E3193">
        <w:tc>
          <w:tcPr>
            <w:tcW w:w="9498" w:type="dxa"/>
          </w:tcPr>
          <w:p w:rsidR="0071404B" w:rsidRPr="00526311" w:rsidRDefault="0071404B" w:rsidP="002E3193">
            <w:pPr>
              <w:spacing w:after="40"/>
              <w:ind w:left="1735" w:hanging="1735"/>
              <w:rPr>
                <w:sz w:val="20"/>
              </w:rPr>
            </w:pPr>
            <w:r w:rsidRPr="00526311">
              <w:rPr>
                <w:sz w:val="20"/>
              </w:rPr>
              <w:t>OIG</w:t>
            </w:r>
            <w:r w:rsidRPr="00526311">
              <w:rPr>
                <w:sz w:val="20"/>
              </w:rPr>
              <w:tab/>
              <w:t>Organizaciones intergubernamentales</w:t>
            </w:r>
          </w:p>
        </w:tc>
      </w:tr>
      <w:tr w:rsidR="0071404B" w:rsidRPr="00526311" w:rsidTr="002E3193">
        <w:tc>
          <w:tcPr>
            <w:tcW w:w="9498" w:type="dxa"/>
          </w:tcPr>
          <w:p w:rsidR="0071404B" w:rsidRPr="00526311" w:rsidRDefault="0071404B" w:rsidP="002E3193">
            <w:pPr>
              <w:spacing w:after="40"/>
              <w:ind w:left="1735" w:hanging="1735"/>
              <w:rPr>
                <w:sz w:val="20"/>
              </w:rPr>
            </w:pPr>
            <w:r w:rsidRPr="00526311">
              <w:rPr>
                <w:sz w:val="20"/>
              </w:rPr>
              <w:t>OIC</w:t>
            </w:r>
            <w:r w:rsidRPr="00526311">
              <w:rPr>
                <w:sz w:val="20"/>
              </w:rPr>
              <w:tab/>
              <w:t>Organización de Cooperación Islámica</w:t>
            </w:r>
          </w:p>
        </w:tc>
      </w:tr>
      <w:tr w:rsidR="0071404B" w:rsidRPr="007F55CE" w:rsidTr="002E3193">
        <w:tc>
          <w:tcPr>
            <w:tcW w:w="9498" w:type="dxa"/>
          </w:tcPr>
          <w:p w:rsidR="0071404B" w:rsidRPr="00485CF4" w:rsidRDefault="0071404B" w:rsidP="002E3193">
            <w:pPr>
              <w:spacing w:after="40"/>
              <w:ind w:left="1735" w:hanging="1735"/>
              <w:rPr>
                <w:sz w:val="20"/>
                <w:lang w:val="fr-FR"/>
              </w:rPr>
            </w:pPr>
            <w:r w:rsidRPr="00485CF4">
              <w:rPr>
                <w:sz w:val="20"/>
                <w:lang w:val="fr-FR"/>
              </w:rPr>
              <w:t>OIF</w:t>
            </w:r>
            <w:r w:rsidRPr="00485CF4">
              <w:rPr>
                <w:sz w:val="20"/>
                <w:lang w:val="fr-FR"/>
              </w:rPr>
              <w:tab/>
            </w:r>
            <w:r w:rsidRPr="00485CF4">
              <w:rPr>
                <w:i/>
                <w:sz w:val="20"/>
                <w:lang w:val="fr-FR"/>
              </w:rPr>
              <w:t>Organisation Internationale de la Francophonie</w:t>
            </w:r>
          </w:p>
        </w:tc>
      </w:tr>
      <w:tr w:rsidR="0071404B" w:rsidRPr="00526311" w:rsidTr="002E3193">
        <w:tc>
          <w:tcPr>
            <w:tcW w:w="9498" w:type="dxa"/>
          </w:tcPr>
          <w:p w:rsidR="0071404B" w:rsidRPr="00526311" w:rsidRDefault="0071404B" w:rsidP="002E3193">
            <w:pPr>
              <w:spacing w:after="40"/>
              <w:ind w:left="1735" w:hanging="1735"/>
              <w:rPr>
                <w:sz w:val="20"/>
              </w:rPr>
            </w:pPr>
            <w:r w:rsidRPr="00526311">
              <w:rPr>
                <w:sz w:val="20"/>
              </w:rPr>
              <w:t>OIT</w:t>
            </w:r>
            <w:r w:rsidRPr="00526311">
              <w:rPr>
                <w:sz w:val="20"/>
              </w:rPr>
              <w:tab/>
              <w:t>Organización Internacional del Trabajo</w:t>
            </w:r>
          </w:p>
        </w:tc>
      </w:tr>
      <w:tr w:rsidR="0071404B" w:rsidRPr="00526311" w:rsidTr="002E3193">
        <w:tc>
          <w:tcPr>
            <w:tcW w:w="9498" w:type="dxa"/>
          </w:tcPr>
          <w:p w:rsidR="0071404B" w:rsidRPr="00526311" w:rsidRDefault="0071404B" w:rsidP="002E3193">
            <w:pPr>
              <w:spacing w:after="40"/>
              <w:ind w:left="1735" w:hanging="1735"/>
              <w:rPr>
                <w:sz w:val="20"/>
              </w:rPr>
            </w:pPr>
            <w:r w:rsidRPr="00526311">
              <w:rPr>
                <w:sz w:val="20"/>
              </w:rPr>
              <w:t>OMC</w:t>
            </w:r>
            <w:r w:rsidRPr="00526311">
              <w:rPr>
                <w:sz w:val="20"/>
              </w:rPr>
              <w:tab/>
              <w:t xml:space="preserve">Organización Mundial del Comercio </w:t>
            </w:r>
          </w:p>
        </w:tc>
      </w:tr>
      <w:tr w:rsidR="0071404B" w:rsidRPr="00526311" w:rsidTr="002E3193">
        <w:tc>
          <w:tcPr>
            <w:tcW w:w="9498" w:type="dxa"/>
          </w:tcPr>
          <w:p w:rsidR="0071404B" w:rsidRPr="00526311" w:rsidRDefault="0071404B" w:rsidP="002E3193">
            <w:pPr>
              <w:spacing w:after="40"/>
              <w:ind w:left="1735" w:hanging="1735"/>
              <w:rPr>
                <w:sz w:val="20"/>
              </w:rPr>
            </w:pPr>
            <w:r w:rsidRPr="00526311">
              <w:rPr>
                <w:sz w:val="20"/>
              </w:rPr>
              <w:t>OMS</w:t>
            </w:r>
            <w:r w:rsidRPr="00526311">
              <w:rPr>
                <w:sz w:val="20"/>
              </w:rPr>
              <w:tab/>
              <w:t>Organización Mundial de la Salud</w:t>
            </w:r>
          </w:p>
        </w:tc>
      </w:tr>
      <w:tr w:rsidR="0071404B" w:rsidRPr="00526311" w:rsidTr="002E3193">
        <w:tc>
          <w:tcPr>
            <w:tcW w:w="9498" w:type="dxa"/>
          </w:tcPr>
          <w:p w:rsidR="0071404B" w:rsidRPr="00526311" w:rsidRDefault="0071404B" w:rsidP="002E3193">
            <w:pPr>
              <w:spacing w:after="40"/>
              <w:ind w:left="1735" w:hanging="1735"/>
              <w:rPr>
                <w:sz w:val="20"/>
              </w:rPr>
            </w:pPr>
            <w:r w:rsidRPr="00526311">
              <w:rPr>
                <w:sz w:val="20"/>
              </w:rPr>
              <w:t>ONG</w:t>
            </w:r>
            <w:r w:rsidRPr="00526311">
              <w:rPr>
                <w:sz w:val="20"/>
              </w:rPr>
              <w:tab/>
              <w:t>Organizaciones no gubernamentales</w:t>
            </w:r>
          </w:p>
        </w:tc>
      </w:tr>
      <w:tr w:rsidR="0071404B" w:rsidRPr="00526311" w:rsidTr="002E3193">
        <w:tc>
          <w:tcPr>
            <w:tcW w:w="9498" w:type="dxa"/>
          </w:tcPr>
          <w:p w:rsidR="0071404B" w:rsidRPr="00526311" w:rsidRDefault="0071404B" w:rsidP="002E3193">
            <w:pPr>
              <w:spacing w:after="40"/>
              <w:ind w:left="1735" w:hanging="1735"/>
              <w:rPr>
                <w:sz w:val="20"/>
              </w:rPr>
            </w:pPr>
            <w:r w:rsidRPr="00526311">
              <w:rPr>
                <w:sz w:val="20"/>
              </w:rPr>
              <w:t>ONUDI</w:t>
            </w:r>
            <w:r w:rsidRPr="00526311">
              <w:rPr>
                <w:sz w:val="20"/>
              </w:rPr>
              <w:tab/>
              <w:t>Organización de las Naciones Unidas para el Desarrollo Industrial</w:t>
            </w:r>
          </w:p>
        </w:tc>
      </w:tr>
      <w:tr w:rsidR="0071404B" w:rsidRPr="00526311" w:rsidTr="002E3193">
        <w:tc>
          <w:tcPr>
            <w:tcW w:w="9498" w:type="dxa"/>
          </w:tcPr>
          <w:p w:rsidR="0071404B" w:rsidRPr="00526311" w:rsidRDefault="0071404B" w:rsidP="002E3193">
            <w:pPr>
              <w:spacing w:after="40"/>
              <w:ind w:left="1735" w:hanging="1735"/>
              <w:rPr>
                <w:sz w:val="20"/>
              </w:rPr>
            </w:pPr>
            <w:r w:rsidRPr="00526311">
              <w:rPr>
                <w:sz w:val="20"/>
              </w:rPr>
              <w:t>OOB</w:t>
            </w:r>
            <w:r w:rsidRPr="00526311">
              <w:rPr>
                <w:sz w:val="20"/>
              </w:rPr>
              <w:tab/>
              <w:t>Oficina de la OMPI en el Brasil</w:t>
            </w:r>
          </w:p>
        </w:tc>
      </w:tr>
      <w:tr w:rsidR="0071404B" w:rsidRPr="00526311" w:rsidTr="002E3193">
        <w:tc>
          <w:tcPr>
            <w:tcW w:w="9498" w:type="dxa"/>
          </w:tcPr>
          <w:p w:rsidR="0071404B" w:rsidRPr="00526311" w:rsidRDefault="0071404B" w:rsidP="002E3193">
            <w:pPr>
              <w:spacing w:after="40"/>
              <w:ind w:left="1735" w:hanging="1735"/>
              <w:rPr>
                <w:sz w:val="20"/>
              </w:rPr>
            </w:pPr>
            <w:r w:rsidRPr="00526311">
              <w:rPr>
                <w:sz w:val="20"/>
              </w:rPr>
              <w:t>OOJ</w:t>
            </w:r>
            <w:r w:rsidRPr="00526311">
              <w:rPr>
                <w:sz w:val="20"/>
              </w:rPr>
              <w:tab/>
              <w:t>Oficina de la OMPI en el Japón</w:t>
            </w:r>
          </w:p>
        </w:tc>
      </w:tr>
      <w:tr w:rsidR="0071404B" w:rsidRPr="00526311" w:rsidTr="002E3193">
        <w:tc>
          <w:tcPr>
            <w:tcW w:w="9498" w:type="dxa"/>
          </w:tcPr>
          <w:p w:rsidR="0071404B" w:rsidRPr="00526311" w:rsidRDefault="0071404B" w:rsidP="002E3193">
            <w:pPr>
              <w:spacing w:after="40"/>
              <w:ind w:left="1735" w:hanging="1735"/>
              <w:rPr>
                <w:sz w:val="20"/>
              </w:rPr>
            </w:pPr>
            <w:r w:rsidRPr="00526311">
              <w:rPr>
                <w:sz w:val="20"/>
              </w:rPr>
              <w:t>OOS</w:t>
            </w:r>
            <w:r w:rsidRPr="00526311">
              <w:rPr>
                <w:sz w:val="20"/>
              </w:rPr>
              <w:tab/>
              <w:t>Oficina de la OMPI en Singapur</w:t>
            </w:r>
          </w:p>
        </w:tc>
      </w:tr>
      <w:tr w:rsidR="0071404B" w:rsidRPr="00526311" w:rsidTr="002E3193">
        <w:tc>
          <w:tcPr>
            <w:tcW w:w="9498" w:type="dxa"/>
          </w:tcPr>
          <w:p w:rsidR="0071404B" w:rsidRPr="00526311" w:rsidRDefault="0071404B" w:rsidP="002E3193">
            <w:pPr>
              <w:spacing w:after="40"/>
              <w:ind w:left="1735" w:hanging="1735"/>
              <w:rPr>
                <w:sz w:val="20"/>
              </w:rPr>
            </w:pPr>
            <w:r w:rsidRPr="00526311">
              <w:rPr>
                <w:sz w:val="20"/>
              </w:rPr>
              <w:t>OPD</w:t>
            </w:r>
            <w:r w:rsidRPr="00526311">
              <w:rPr>
                <w:sz w:val="20"/>
              </w:rPr>
              <w:tab/>
              <w:t xml:space="preserve">Sistema </w:t>
            </w:r>
            <w:proofErr w:type="spellStart"/>
            <w:r w:rsidRPr="00526311">
              <w:rPr>
                <w:i/>
                <w:sz w:val="20"/>
              </w:rPr>
              <w:t>One</w:t>
            </w:r>
            <w:proofErr w:type="spellEnd"/>
            <w:r w:rsidRPr="00526311">
              <w:rPr>
                <w:i/>
                <w:sz w:val="20"/>
              </w:rPr>
              <w:t xml:space="preserve"> Portal Dossier</w:t>
            </w:r>
          </w:p>
        </w:tc>
      </w:tr>
      <w:tr w:rsidR="0071404B" w:rsidRPr="00526311" w:rsidTr="002E3193">
        <w:tc>
          <w:tcPr>
            <w:tcW w:w="9498" w:type="dxa"/>
          </w:tcPr>
          <w:p w:rsidR="0071404B" w:rsidRPr="00526311" w:rsidRDefault="0071404B" w:rsidP="002E3193">
            <w:pPr>
              <w:spacing w:after="40"/>
              <w:ind w:left="1735" w:hanging="1735"/>
              <w:rPr>
                <w:sz w:val="20"/>
              </w:rPr>
            </w:pPr>
            <w:r w:rsidRPr="00526311">
              <w:rPr>
                <w:sz w:val="20"/>
              </w:rPr>
              <w:t>OPI</w:t>
            </w:r>
            <w:r w:rsidRPr="00526311">
              <w:rPr>
                <w:sz w:val="20"/>
              </w:rPr>
              <w:tab/>
              <w:t>Oficina(s) de propiedad intelectual</w:t>
            </w:r>
          </w:p>
        </w:tc>
      </w:tr>
      <w:tr w:rsidR="0071404B" w:rsidRPr="00526311" w:rsidTr="002E3193">
        <w:tc>
          <w:tcPr>
            <w:tcW w:w="9498" w:type="dxa"/>
          </w:tcPr>
          <w:p w:rsidR="0071404B" w:rsidRPr="00526311" w:rsidRDefault="0071404B" w:rsidP="002E3193">
            <w:pPr>
              <w:spacing w:after="40"/>
              <w:ind w:left="1735" w:hanging="1735"/>
              <w:rPr>
                <w:sz w:val="20"/>
              </w:rPr>
            </w:pPr>
            <w:r w:rsidRPr="00526311">
              <w:rPr>
                <w:sz w:val="20"/>
              </w:rPr>
              <w:t>OTT</w:t>
            </w:r>
            <w:r w:rsidRPr="00526311">
              <w:rPr>
                <w:sz w:val="20"/>
              </w:rPr>
              <w:tab/>
              <w:t>Oficina de transferencia de tecnología</w:t>
            </w:r>
          </w:p>
        </w:tc>
      </w:tr>
      <w:tr w:rsidR="0071404B" w:rsidRPr="00526311" w:rsidTr="002E3193">
        <w:tc>
          <w:tcPr>
            <w:tcW w:w="9498" w:type="dxa"/>
          </w:tcPr>
          <w:p w:rsidR="0071404B" w:rsidRPr="00526311" w:rsidRDefault="0071404B" w:rsidP="002E3193">
            <w:pPr>
              <w:spacing w:after="40"/>
              <w:ind w:left="1735" w:hanging="1735"/>
              <w:rPr>
                <w:sz w:val="20"/>
              </w:rPr>
            </w:pPr>
          </w:p>
        </w:tc>
      </w:tr>
      <w:tr w:rsidR="0071404B" w:rsidRPr="00526311" w:rsidTr="002E3193">
        <w:tc>
          <w:tcPr>
            <w:tcW w:w="9498" w:type="dxa"/>
          </w:tcPr>
          <w:p w:rsidR="0071404B" w:rsidRPr="00526311" w:rsidRDefault="0071404B" w:rsidP="002E3193">
            <w:pPr>
              <w:spacing w:after="40"/>
              <w:ind w:left="1735" w:hanging="1735"/>
              <w:rPr>
                <w:sz w:val="20"/>
              </w:rPr>
            </w:pPr>
            <w:r w:rsidRPr="00526311">
              <w:rPr>
                <w:b/>
                <w:sz w:val="20"/>
              </w:rPr>
              <w:t>P</w:t>
            </w:r>
            <w:r w:rsidRPr="00526311">
              <w:rPr>
                <w:sz w:val="20"/>
              </w:rPr>
              <w:t>AE</w:t>
            </w:r>
            <w:r w:rsidRPr="00526311">
              <w:rPr>
                <w:sz w:val="20"/>
              </w:rPr>
              <w:tab/>
              <w:t>Programa de Alineación Estratégica</w:t>
            </w:r>
          </w:p>
        </w:tc>
      </w:tr>
      <w:tr w:rsidR="0071404B" w:rsidRPr="00526311" w:rsidTr="002E3193">
        <w:tc>
          <w:tcPr>
            <w:tcW w:w="9498" w:type="dxa"/>
          </w:tcPr>
          <w:p w:rsidR="0071404B" w:rsidRPr="00526311" w:rsidRDefault="0071404B" w:rsidP="002E3193">
            <w:pPr>
              <w:spacing w:after="40"/>
              <w:ind w:left="1735" w:hanging="1735"/>
              <w:rPr>
                <w:sz w:val="20"/>
              </w:rPr>
            </w:pPr>
            <w:r w:rsidRPr="00526311">
              <w:rPr>
                <w:sz w:val="20"/>
              </w:rPr>
              <w:t>P.I.</w:t>
            </w:r>
            <w:r w:rsidRPr="00526311">
              <w:rPr>
                <w:sz w:val="20"/>
              </w:rPr>
              <w:tab/>
              <w:t>Propiedad intelectual</w:t>
            </w:r>
          </w:p>
        </w:tc>
      </w:tr>
      <w:tr w:rsidR="0071404B" w:rsidRPr="00526311" w:rsidTr="002E3193">
        <w:tc>
          <w:tcPr>
            <w:tcW w:w="9498" w:type="dxa"/>
          </w:tcPr>
          <w:p w:rsidR="0071404B" w:rsidRPr="00526311" w:rsidRDefault="0071404B" w:rsidP="002E3193">
            <w:pPr>
              <w:spacing w:after="40"/>
              <w:ind w:left="1735" w:hanging="1735"/>
              <w:rPr>
                <w:sz w:val="20"/>
              </w:rPr>
            </w:pPr>
            <w:r w:rsidRPr="00526311">
              <w:rPr>
                <w:sz w:val="20"/>
              </w:rPr>
              <w:t>PCT</w:t>
            </w:r>
            <w:r w:rsidRPr="00526311">
              <w:rPr>
                <w:sz w:val="20"/>
              </w:rPr>
              <w:tab/>
              <w:t>Tratado de Cooperación en materia de Patentes</w:t>
            </w:r>
          </w:p>
        </w:tc>
      </w:tr>
      <w:tr w:rsidR="0071404B" w:rsidRPr="00526311" w:rsidTr="002E3193">
        <w:tc>
          <w:tcPr>
            <w:tcW w:w="9498" w:type="dxa"/>
          </w:tcPr>
          <w:p w:rsidR="0071404B" w:rsidRPr="00526311" w:rsidRDefault="0071404B" w:rsidP="002E3193">
            <w:pPr>
              <w:spacing w:after="40"/>
              <w:ind w:left="1735" w:hanging="1735"/>
              <w:rPr>
                <w:sz w:val="20"/>
              </w:rPr>
            </w:pPr>
            <w:r w:rsidRPr="00526311">
              <w:rPr>
                <w:sz w:val="20"/>
              </w:rPr>
              <w:t>PEMP</w:t>
            </w:r>
            <w:r w:rsidRPr="00526311">
              <w:rPr>
                <w:sz w:val="20"/>
              </w:rPr>
              <w:tab/>
              <w:t>Plan Estratégico a Mediano Plazo</w:t>
            </w:r>
          </w:p>
        </w:tc>
      </w:tr>
      <w:tr w:rsidR="0071404B" w:rsidRPr="00526311" w:rsidTr="002E3193">
        <w:tc>
          <w:tcPr>
            <w:tcW w:w="9498" w:type="dxa"/>
          </w:tcPr>
          <w:p w:rsidR="0071404B" w:rsidRPr="00526311" w:rsidRDefault="0071404B" w:rsidP="002E3193">
            <w:pPr>
              <w:spacing w:after="40"/>
              <w:ind w:left="1735" w:hanging="1735"/>
              <w:rPr>
                <w:sz w:val="20"/>
              </w:rPr>
            </w:pPr>
            <w:r w:rsidRPr="00526311">
              <w:rPr>
                <w:sz w:val="20"/>
              </w:rPr>
              <w:t>PLT</w:t>
            </w:r>
            <w:r w:rsidRPr="00526311">
              <w:rPr>
                <w:sz w:val="20"/>
              </w:rPr>
              <w:tab/>
              <w:t>Tratado sobre el Derecho de Patentes</w:t>
            </w:r>
          </w:p>
        </w:tc>
      </w:tr>
      <w:tr w:rsidR="0071404B" w:rsidRPr="00526311" w:rsidTr="002E3193">
        <w:tc>
          <w:tcPr>
            <w:tcW w:w="9498" w:type="dxa"/>
          </w:tcPr>
          <w:p w:rsidR="0071404B" w:rsidRPr="00526311" w:rsidRDefault="0071404B" w:rsidP="002E3193">
            <w:pPr>
              <w:spacing w:after="40"/>
              <w:ind w:left="1735" w:hanging="1735"/>
              <w:rPr>
                <w:sz w:val="20"/>
              </w:rPr>
            </w:pPr>
            <w:r w:rsidRPr="00526311">
              <w:rPr>
                <w:sz w:val="20"/>
              </w:rPr>
              <w:t>PMA</w:t>
            </w:r>
            <w:r w:rsidRPr="00526311">
              <w:rPr>
                <w:sz w:val="20"/>
              </w:rPr>
              <w:tab/>
              <w:t>País menos adelantado</w:t>
            </w:r>
          </w:p>
        </w:tc>
      </w:tr>
      <w:tr w:rsidR="0071404B" w:rsidRPr="00526311" w:rsidTr="002E3193">
        <w:tc>
          <w:tcPr>
            <w:tcW w:w="9498" w:type="dxa"/>
          </w:tcPr>
          <w:p w:rsidR="0071404B" w:rsidRPr="00526311" w:rsidRDefault="0071404B" w:rsidP="002E3193">
            <w:pPr>
              <w:spacing w:after="40"/>
              <w:ind w:left="1735" w:hanging="1735"/>
              <w:rPr>
                <w:sz w:val="20"/>
              </w:rPr>
            </w:pPr>
            <w:r w:rsidRPr="00526311">
              <w:rPr>
                <w:sz w:val="20"/>
              </w:rPr>
              <w:t>PMSDS</w:t>
            </w:r>
            <w:r w:rsidRPr="00526311">
              <w:rPr>
                <w:sz w:val="20"/>
              </w:rPr>
              <w:tab/>
              <w:t>Sistema de Gestión del Desempeño y el Perfeccionamiento del Personal</w:t>
            </w:r>
          </w:p>
        </w:tc>
      </w:tr>
      <w:tr w:rsidR="0071404B" w:rsidRPr="00526311" w:rsidTr="002E3193">
        <w:tc>
          <w:tcPr>
            <w:tcW w:w="9498" w:type="dxa"/>
          </w:tcPr>
          <w:p w:rsidR="0071404B" w:rsidRPr="00526311" w:rsidRDefault="0071404B" w:rsidP="002E3193">
            <w:pPr>
              <w:spacing w:after="40"/>
              <w:ind w:left="1735" w:hanging="1735"/>
              <w:rPr>
                <w:sz w:val="20"/>
              </w:rPr>
            </w:pPr>
            <w:r w:rsidRPr="00526311">
              <w:rPr>
                <w:noProof/>
                <w:sz w:val="20"/>
                <w:lang w:val="en-US" w:eastAsia="en-US"/>
              </w:rPr>
              <mc:AlternateContent>
                <mc:Choice Requires="wps">
                  <w:drawing>
                    <wp:anchor distT="0" distB="0" distL="114300" distR="114300" simplePos="0" relativeHeight="251659264" behindDoc="0" locked="0" layoutInCell="0" allowOverlap="1" wp14:anchorId="2FD2D881" wp14:editId="46C88B5A">
                      <wp:simplePos x="0" y="0"/>
                      <wp:positionH relativeFrom="column">
                        <wp:posOffset>-2118995</wp:posOffset>
                      </wp:positionH>
                      <wp:positionV relativeFrom="paragraph">
                        <wp:posOffset>83185</wp:posOffset>
                      </wp:positionV>
                      <wp:extent cx="731520" cy="1097280"/>
                      <wp:effectExtent l="10160" t="10795" r="10795" b="6350"/>
                      <wp:wrapNone/>
                      <wp:docPr id="844" name="Text Box 8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1097280"/>
                              </a:xfrm>
                              <a:prstGeom prst="rect">
                                <a:avLst/>
                              </a:prstGeom>
                              <a:solidFill>
                                <a:srgbClr val="FFFFFF"/>
                              </a:solidFill>
                              <a:ln w="9525">
                                <a:solidFill>
                                  <a:srgbClr val="000000"/>
                                </a:solidFill>
                                <a:miter lim="800000"/>
                                <a:headEnd/>
                                <a:tailEnd/>
                              </a:ln>
                            </wps:spPr>
                            <wps:txbx>
                              <w:txbxContent>
                                <w:p w:rsidR="00121C2F" w:rsidRDefault="00121C2F" w:rsidP="0071404B">
                                  <w:pPr>
                                    <w:pStyle w:val="BodyText2"/>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44" o:spid="_x0000_s1026" type="#_x0000_t202" style="position:absolute;left:0;text-align:left;margin-left:-166.85pt;margin-top:6.55pt;width:57.6pt;height:86.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" o:allowincell="f">
                      <v:textbox>
                        <w:txbxContent>
                          <w:p w:rsidR="00121C2F" w:rsidRDefault="00121C2F" w:rsidP="0071404B">
                            <w:pPr>
                              <w:pStyle w:val="BodyText2"/>
                            </w:pPr>
                          </w:p>
                        </w:txbxContent>
                      </v:textbox>
                    </v:shape>
                  </w:pict>
                </mc:Fallback>
              </mc:AlternateContent>
            </w:r>
            <w:r w:rsidRPr="00526311">
              <w:rPr>
                <w:sz w:val="20"/>
              </w:rPr>
              <w:t>PNUMA</w:t>
            </w:r>
            <w:r w:rsidRPr="00526311">
              <w:rPr>
                <w:sz w:val="20"/>
              </w:rPr>
              <w:tab/>
              <w:t>Programa de las Naciones Unidas para el Medio Ambiente</w:t>
            </w:r>
          </w:p>
        </w:tc>
      </w:tr>
      <w:tr w:rsidR="0071404B" w:rsidRPr="00526311" w:rsidTr="002E3193">
        <w:tc>
          <w:tcPr>
            <w:tcW w:w="9498" w:type="dxa"/>
          </w:tcPr>
          <w:p w:rsidR="0071404B" w:rsidRPr="00526311" w:rsidRDefault="0071404B" w:rsidP="002E3193">
            <w:pPr>
              <w:spacing w:after="40"/>
              <w:ind w:left="1735" w:hanging="1735"/>
              <w:rPr>
                <w:sz w:val="20"/>
              </w:rPr>
            </w:pPr>
            <w:r w:rsidRPr="00526311">
              <w:rPr>
                <w:sz w:val="20"/>
              </w:rPr>
              <w:t>Política Uniforme</w:t>
            </w:r>
            <w:r w:rsidRPr="00526311">
              <w:rPr>
                <w:sz w:val="20"/>
              </w:rPr>
              <w:tab/>
              <w:t>Política Uniforme de Solución de Controversias en materia de Nombres de Dominio</w:t>
            </w:r>
          </w:p>
        </w:tc>
      </w:tr>
      <w:tr w:rsidR="0071404B" w:rsidRPr="00526311" w:rsidTr="002E3193">
        <w:tc>
          <w:tcPr>
            <w:tcW w:w="9498" w:type="dxa"/>
          </w:tcPr>
          <w:p w:rsidR="0071404B" w:rsidRPr="00526311" w:rsidRDefault="0071404B" w:rsidP="002E3193">
            <w:pPr>
              <w:spacing w:after="40"/>
              <w:ind w:left="1735" w:hanging="1735"/>
              <w:rPr>
                <w:sz w:val="20"/>
              </w:rPr>
            </w:pPr>
            <w:r w:rsidRPr="00526311">
              <w:rPr>
                <w:sz w:val="20"/>
              </w:rPr>
              <w:t>PRI</w:t>
            </w:r>
            <w:r w:rsidRPr="00526311">
              <w:rPr>
                <w:sz w:val="20"/>
              </w:rPr>
              <w:tab/>
              <w:t>Planificación de los recursos institucionales</w:t>
            </w:r>
          </w:p>
        </w:tc>
      </w:tr>
      <w:tr w:rsidR="0071404B" w:rsidRPr="00526311" w:rsidTr="002E3193">
        <w:tc>
          <w:tcPr>
            <w:tcW w:w="9498" w:type="dxa"/>
          </w:tcPr>
          <w:p w:rsidR="0071404B" w:rsidRPr="00526311" w:rsidRDefault="0071404B" w:rsidP="002E3193">
            <w:pPr>
              <w:spacing w:after="40"/>
              <w:ind w:left="1735" w:hanging="1735"/>
              <w:rPr>
                <w:sz w:val="20"/>
              </w:rPr>
            </w:pPr>
            <w:r w:rsidRPr="00526311">
              <w:rPr>
                <w:sz w:val="20"/>
              </w:rPr>
              <w:t>Pymes</w:t>
            </w:r>
            <w:r w:rsidRPr="00526311">
              <w:rPr>
                <w:sz w:val="20"/>
              </w:rPr>
              <w:tab/>
              <w:t>Pequeñas y medianas empresas</w:t>
            </w:r>
          </w:p>
        </w:tc>
      </w:tr>
      <w:tr w:rsidR="0071404B" w:rsidRPr="00526311" w:rsidTr="002E3193">
        <w:tc>
          <w:tcPr>
            <w:tcW w:w="9498" w:type="dxa"/>
          </w:tcPr>
          <w:p w:rsidR="0071404B" w:rsidRPr="00526311" w:rsidRDefault="0071404B" w:rsidP="002E3193">
            <w:pPr>
              <w:spacing w:after="40"/>
              <w:ind w:left="1735" w:hanging="1735"/>
              <w:rPr>
                <w:sz w:val="20"/>
              </w:rPr>
            </w:pPr>
          </w:p>
        </w:tc>
      </w:tr>
      <w:tr w:rsidR="0071404B" w:rsidRPr="00526311" w:rsidTr="002E3193">
        <w:tc>
          <w:tcPr>
            <w:tcW w:w="9498" w:type="dxa"/>
          </w:tcPr>
          <w:p w:rsidR="0071404B" w:rsidRPr="00526311" w:rsidRDefault="0071404B" w:rsidP="002E3193">
            <w:pPr>
              <w:spacing w:after="40"/>
              <w:ind w:left="1735" w:hanging="1735"/>
              <w:rPr>
                <w:sz w:val="20"/>
              </w:rPr>
            </w:pPr>
            <w:r w:rsidRPr="00526311">
              <w:rPr>
                <w:b/>
                <w:sz w:val="20"/>
              </w:rPr>
              <w:t>R</w:t>
            </w:r>
            <w:r w:rsidRPr="00526311">
              <w:rPr>
                <w:sz w:val="20"/>
              </w:rPr>
              <w:t>O</w:t>
            </w:r>
            <w:r w:rsidRPr="00526311">
              <w:rPr>
                <w:sz w:val="20"/>
              </w:rPr>
              <w:tab/>
              <w:t>Oficina receptora</w:t>
            </w:r>
          </w:p>
        </w:tc>
      </w:tr>
      <w:tr w:rsidR="0071404B" w:rsidRPr="00526311" w:rsidTr="002E3193">
        <w:tc>
          <w:tcPr>
            <w:tcW w:w="9498" w:type="dxa"/>
          </w:tcPr>
          <w:p w:rsidR="0071404B" w:rsidRPr="00526311" w:rsidRDefault="0071404B" w:rsidP="002E3193">
            <w:pPr>
              <w:spacing w:after="40"/>
              <w:ind w:left="1735" w:hanging="1735"/>
              <w:rPr>
                <w:sz w:val="20"/>
              </w:rPr>
            </w:pPr>
            <w:r w:rsidRPr="00526311">
              <w:rPr>
                <w:sz w:val="20"/>
              </w:rPr>
              <w:t>RR.GG.</w:t>
            </w:r>
            <w:r w:rsidRPr="00526311">
              <w:rPr>
                <w:sz w:val="20"/>
              </w:rPr>
              <w:tab/>
              <w:t>Recursos genéticos</w:t>
            </w:r>
          </w:p>
        </w:tc>
      </w:tr>
      <w:tr w:rsidR="0071404B" w:rsidRPr="00526311" w:rsidTr="002E3193">
        <w:tc>
          <w:tcPr>
            <w:tcW w:w="9498" w:type="dxa"/>
          </w:tcPr>
          <w:p w:rsidR="0071404B" w:rsidRPr="00526311" w:rsidRDefault="0071404B" w:rsidP="002E3193">
            <w:pPr>
              <w:spacing w:after="40"/>
              <w:ind w:left="1735" w:hanging="1735"/>
              <w:rPr>
                <w:sz w:val="20"/>
              </w:rPr>
            </w:pPr>
            <w:r w:rsidRPr="00526311">
              <w:rPr>
                <w:sz w:val="20"/>
              </w:rPr>
              <w:t>RR.HH.</w:t>
            </w:r>
            <w:r w:rsidRPr="00526311">
              <w:rPr>
                <w:sz w:val="20"/>
              </w:rPr>
              <w:tab/>
              <w:t>Recursos humanos</w:t>
            </w:r>
          </w:p>
        </w:tc>
      </w:tr>
      <w:tr w:rsidR="0071404B" w:rsidRPr="00526311" w:rsidTr="002E3193">
        <w:tc>
          <w:tcPr>
            <w:tcW w:w="9498" w:type="dxa"/>
          </w:tcPr>
          <w:p w:rsidR="0071404B" w:rsidRPr="00526311" w:rsidRDefault="0071404B" w:rsidP="002E3193">
            <w:pPr>
              <w:spacing w:after="40"/>
              <w:ind w:left="1735" w:hanging="1735"/>
              <w:rPr>
                <w:sz w:val="20"/>
              </w:rPr>
            </w:pPr>
          </w:p>
        </w:tc>
      </w:tr>
      <w:tr w:rsidR="0071404B" w:rsidRPr="00526311" w:rsidTr="002E3193">
        <w:tc>
          <w:tcPr>
            <w:tcW w:w="9498" w:type="dxa"/>
          </w:tcPr>
          <w:p w:rsidR="0071404B" w:rsidRPr="00526311" w:rsidRDefault="0071404B" w:rsidP="002E3193">
            <w:pPr>
              <w:spacing w:after="40"/>
              <w:ind w:left="1735" w:hanging="1735"/>
              <w:rPr>
                <w:sz w:val="20"/>
              </w:rPr>
            </w:pPr>
            <w:r w:rsidRPr="00526311">
              <w:rPr>
                <w:b/>
                <w:sz w:val="20"/>
              </w:rPr>
              <w:t>S</w:t>
            </w:r>
            <w:r w:rsidRPr="00526311">
              <w:rPr>
                <w:sz w:val="20"/>
              </w:rPr>
              <w:t>CCR</w:t>
            </w:r>
            <w:r w:rsidRPr="00526311">
              <w:rPr>
                <w:sz w:val="20"/>
              </w:rPr>
              <w:tab/>
              <w:t>Comité Permanente de Derecho de Autor y Derechos Conexos</w:t>
            </w:r>
          </w:p>
        </w:tc>
      </w:tr>
      <w:tr w:rsidR="0071404B" w:rsidRPr="00526311" w:rsidTr="002E3193">
        <w:tc>
          <w:tcPr>
            <w:tcW w:w="9498" w:type="dxa"/>
          </w:tcPr>
          <w:p w:rsidR="0071404B" w:rsidRPr="00526311" w:rsidRDefault="0071404B" w:rsidP="002E3193">
            <w:pPr>
              <w:spacing w:after="40"/>
              <w:ind w:left="1735" w:hanging="1735"/>
              <w:rPr>
                <w:sz w:val="20"/>
              </w:rPr>
            </w:pPr>
            <w:r w:rsidRPr="00526311">
              <w:rPr>
                <w:sz w:val="20"/>
              </w:rPr>
              <w:t>SCP</w:t>
            </w:r>
            <w:r w:rsidRPr="00526311">
              <w:rPr>
                <w:sz w:val="20"/>
              </w:rPr>
              <w:tab/>
              <w:t>Comité Permanente sobre el Derecho de Patentes</w:t>
            </w:r>
          </w:p>
        </w:tc>
      </w:tr>
      <w:tr w:rsidR="0071404B" w:rsidRPr="00526311" w:rsidTr="002E3193">
        <w:tc>
          <w:tcPr>
            <w:tcW w:w="9498" w:type="dxa"/>
          </w:tcPr>
          <w:p w:rsidR="0071404B" w:rsidRPr="00526311" w:rsidRDefault="0071404B" w:rsidP="002E3193">
            <w:pPr>
              <w:spacing w:after="40"/>
              <w:ind w:left="1735" w:hanging="1735"/>
              <w:rPr>
                <w:sz w:val="20"/>
              </w:rPr>
            </w:pPr>
            <w:r w:rsidRPr="00526311">
              <w:rPr>
                <w:sz w:val="20"/>
              </w:rPr>
              <w:t>SCT</w:t>
            </w:r>
            <w:r w:rsidRPr="00526311">
              <w:rPr>
                <w:sz w:val="20"/>
              </w:rPr>
              <w:tab/>
              <w:t>Comité Permanente sobre el Derecho Marcas, Diseños Industriales e Indicaciones Geográficas</w:t>
            </w:r>
          </w:p>
        </w:tc>
      </w:tr>
      <w:tr w:rsidR="0071404B" w:rsidRPr="00526311" w:rsidTr="002E3193">
        <w:tc>
          <w:tcPr>
            <w:tcW w:w="9498" w:type="dxa"/>
          </w:tcPr>
          <w:p w:rsidR="0071404B" w:rsidRPr="00526311" w:rsidRDefault="0071404B" w:rsidP="002E3193">
            <w:pPr>
              <w:spacing w:after="40"/>
              <w:ind w:left="1735" w:hanging="1735"/>
              <w:rPr>
                <w:sz w:val="20"/>
              </w:rPr>
            </w:pPr>
          </w:p>
        </w:tc>
      </w:tr>
      <w:tr w:rsidR="0071404B" w:rsidRPr="00526311" w:rsidTr="002E3193">
        <w:tc>
          <w:tcPr>
            <w:tcW w:w="9498" w:type="dxa"/>
          </w:tcPr>
          <w:p w:rsidR="0071404B" w:rsidRPr="00526311" w:rsidRDefault="0071404B" w:rsidP="002E3193">
            <w:pPr>
              <w:spacing w:after="40"/>
              <w:ind w:left="1735" w:hanging="1735"/>
              <w:rPr>
                <w:sz w:val="20"/>
              </w:rPr>
            </w:pPr>
            <w:r w:rsidRPr="00ED0448">
              <w:rPr>
                <w:b/>
                <w:sz w:val="20"/>
              </w:rPr>
              <w:t>T</w:t>
            </w:r>
            <w:r w:rsidRPr="00526311">
              <w:rPr>
                <w:sz w:val="20"/>
              </w:rPr>
              <w:t>APTA</w:t>
            </w:r>
            <w:r w:rsidRPr="00526311">
              <w:rPr>
                <w:sz w:val="20"/>
              </w:rPr>
              <w:tab/>
              <w:t xml:space="preserve">Auxiliar para la traducción de títulos y resúmenes de patentes (siglas del inglés </w:t>
            </w:r>
            <w:r w:rsidRPr="00526311">
              <w:rPr>
                <w:i/>
                <w:sz w:val="20"/>
              </w:rPr>
              <w:t xml:space="preserve">Translation </w:t>
            </w:r>
            <w:proofErr w:type="spellStart"/>
            <w:r w:rsidRPr="00526311">
              <w:rPr>
                <w:i/>
                <w:sz w:val="20"/>
              </w:rPr>
              <w:t>Assistant</w:t>
            </w:r>
            <w:proofErr w:type="spellEnd"/>
            <w:r w:rsidRPr="00526311">
              <w:rPr>
                <w:i/>
                <w:sz w:val="20"/>
              </w:rPr>
              <w:t xml:space="preserve"> </w:t>
            </w:r>
            <w:proofErr w:type="spellStart"/>
            <w:r w:rsidRPr="00526311">
              <w:rPr>
                <w:i/>
                <w:sz w:val="20"/>
              </w:rPr>
              <w:t>for</w:t>
            </w:r>
            <w:proofErr w:type="spellEnd"/>
            <w:r w:rsidRPr="00526311">
              <w:rPr>
                <w:i/>
                <w:sz w:val="20"/>
              </w:rPr>
              <w:t xml:space="preserve"> </w:t>
            </w:r>
            <w:proofErr w:type="spellStart"/>
            <w:r w:rsidRPr="00526311">
              <w:rPr>
                <w:i/>
                <w:sz w:val="20"/>
              </w:rPr>
              <w:t>Patent</w:t>
            </w:r>
            <w:proofErr w:type="spellEnd"/>
            <w:r w:rsidRPr="00526311">
              <w:rPr>
                <w:i/>
                <w:sz w:val="20"/>
              </w:rPr>
              <w:t xml:space="preserve"> </w:t>
            </w:r>
            <w:proofErr w:type="spellStart"/>
            <w:r w:rsidRPr="00526311">
              <w:rPr>
                <w:i/>
                <w:sz w:val="20"/>
              </w:rPr>
              <w:t>Titles</w:t>
            </w:r>
            <w:proofErr w:type="spellEnd"/>
            <w:r w:rsidRPr="00526311">
              <w:rPr>
                <w:i/>
                <w:sz w:val="20"/>
              </w:rPr>
              <w:t xml:space="preserve"> and </w:t>
            </w:r>
            <w:proofErr w:type="spellStart"/>
            <w:r w:rsidRPr="00526311">
              <w:rPr>
                <w:i/>
                <w:sz w:val="20"/>
              </w:rPr>
              <w:t>Abstracts</w:t>
            </w:r>
            <w:proofErr w:type="spellEnd"/>
            <w:r w:rsidRPr="00526311">
              <w:rPr>
                <w:sz w:val="20"/>
              </w:rPr>
              <w:t xml:space="preserve">) </w:t>
            </w:r>
          </w:p>
        </w:tc>
      </w:tr>
      <w:tr w:rsidR="0071404B" w:rsidRPr="00526311" w:rsidTr="002E3193">
        <w:tc>
          <w:tcPr>
            <w:tcW w:w="9498" w:type="dxa"/>
          </w:tcPr>
          <w:p w:rsidR="0071404B" w:rsidRPr="00526311" w:rsidRDefault="0071404B" w:rsidP="002E3193">
            <w:pPr>
              <w:spacing w:after="40"/>
              <w:ind w:left="1735" w:hanging="1735"/>
              <w:rPr>
                <w:sz w:val="20"/>
              </w:rPr>
            </w:pPr>
            <w:r w:rsidRPr="00526311">
              <w:rPr>
                <w:sz w:val="20"/>
              </w:rPr>
              <w:t>TIC</w:t>
            </w:r>
            <w:r w:rsidRPr="00526311">
              <w:rPr>
                <w:sz w:val="20"/>
              </w:rPr>
              <w:tab/>
              <w:t xml:space="preserve">Tecnologías de la Información y las Comunicaciones </w:t>
            </w:r>
          </w:p>
        </w:tc>
      </w:tr>
      <w:tr w:rsidR="0071404B" w:rsidRPr="007F55CE" w:rsidTr="002E3193">
        <w:tc>
          <w:tcPr>
            <w:tcW w:w="9498" w:type="dxa"/>
          </w:tcPr>
          <w:p w:rsidR="0071404B" w:rsidRPr="00485CF4" w:rsidRDefault="0071404B" w:rsidP="002E3193">
            <w:pPr>
              <w:spacing w:after="40"/>
              <w:ind w:left="1735" w:hanging="1735"/>
              <w:rPr>
                <w:sz w:val="20"/>
                <w:lang w:val="en-US"/>
              </w:rPr>
            </w:pPr>
            <w:r w:rsidRPr="00485CF4">
              <w:rPr>
                <w:sz w:val="20"/>
                <w:lang w:val="en-US"/>
              </w:rPr>
              <w:t>TIGAR</w:t>
            </w:r>
            <w:r w:rsidRPr="00485CF4">
              <w:rPr>
                <w:sz w:val="20"/>
                <w:lang w:val="en-US"/>
              </w:rPr>
              <w:tab/>
            </w:r>
            <w:r w:rsidRPr="00485CF4">
              <w:rPr>
                <w:i/>
                <w:sz w:val="20"/>
                <w:lang w:val="en-US"/>
              </w:rPr>
              <w:t>Trusted Intermediary Global Accessible Resources</w:t>
            </w:r>
          </w:p>
        </w:tc>
      </w:tr>
      <w:tr w:rsidR="00085356" w:rsidRPr="00085356" w:rsidTr="002E3193">
        <w:tc>
          <w:tcPr>
            <w:tcW w:w="9498" w:type="dxa"/>
          </w:tcPr>
          <w:p w:rsidR="00085356" w:rsidRPr="00085356" w:rsidRDefault="00085356" w:rsidP="002E3193">
            <w:pPr>
              <w:spacing w:after="40"/>
              <w:ind w:left="1735" w:hanging="1735"/>
              <w:rPr>
                <w:sz w:val="20"/>
              </w:rPr>
            </w:pPr>
            <w:r w:rsidRPr="00085356">
              <w:rPr>
                <w:sz w:val="20"/>
              </w:rPr>
              <w:t>T.I.</w:t>
            </w:r>
            <w:r w:rsidRPr="00085356">
              <w:rPr>
                <w:sz w:val="20"/>
              </w:rPr>
              <w:tab/>
              <w:t>Tecnologías de la información</w:t>
            </w:r>
          </w:p>
        </w:tc>
      </w:tr>
      <w:tr w:rsidR="0071404B" w:rsidRPr="00085356" w:rsidTr="002E3193">
        <w:tc>
          <w:tcPr>
            <w:tcW w:w="9498" w:type="dxa"/>
          </w:tcPr>
          <w:p w:rsidR="0071404B" w:rsidRPr="00085356" w:rsidRDefault="0071404B" w:rsidP="002E3193">
            <w:pPr>
              <w:spacing w:after="40"/>
              <w:ind w:left="1735" w:hanging="1735"/>
              <w:rPr>
                <w:sz w:val="20"/>
              </w:rPr>
            </w:pPr>
          </w:p>
        </w:tc>
      </w:tr>
      <w:tr w:rsidR="0071404B" w:rsidRPr="00526311" w:rsidTr="002E3193">
        <w:tc>
          <w:tcPr>
            <w:tcW w:w="9498" w:type="dxa"/>
          </w:tcPr>
          <w:p w:rsidR="0071404B" w:rsidRPr="00526311" w:rsidRDefault="0071404B" w:rsidP="002E3193">
            <w:pPr>
              <w:spacing w:after="40"/>
              <w:ind w:left="1735" w:hanging="1735"/>
              <w:rPr>
                <w:sz w:val="20"/>
              </w:rPr>
            </w:pPr>
            <w:r w:rsidRPr="00526311">
              <w:rPr>
                <w:b/>
                <w:sz w:val="20"/>
              </w:rPr>
              <w:t>U</w:t>
            </w:r>
            <w:r w:rsidRPr="00526311">
              <w:rPr>
                <w:sz w:val="20"/>
              </w:rPr>
              <w:t>E</w:t>
            </w:r>
            <w:r w:rsidRPr="00526311">
              <w:rPr>
                <w:sz w:val="20"/>
              </w:rPr>
              <w:tab/>
              <w:t xml:space="preserve">Unión Europea </w:t>
            </w:r>
          </w:p>
        </w:tc>
      </w:tr>
      <w:tr w:rsidR="0071404B" w:rsidRPr="00526311" w:rsidTr="002E3193">
        <w:tc>
          <w:tcPr>
            <w:tcW w:w="9498" w:type="dxa"/>
          </w:tcPr>
          <w:p w:rsidR="0071404B" w:rsidRPr="00526311" w:rsidRDefault="0071404B" w:rsidP="002E3193">
            <w:pPr>
              <w:spacing w:after="40"/>
              <w:ind w:left="1735" w:hanging="1735"/>
              <w:rPr>
                <w:sz w:val="20"/>
              </w:rPr>
            </w:pPr>
            <w:r w:rsidRPr="00526311">
              <w:rPr>
                <w:sz w:val="20"/>
              </w:rPr>
              <w:t>UIT</w:t>
            </w:r>
            <w:r w:rsidRPr="00526311">
              <w:rPr>
                <w:sz w:val="20"/>
              </w:rPr>
              <w:tab/>
              <w:t>Unión Internacional de Telecomunicaciones</w:t>
            </w:r>
          </w:p>
        </w:tc>
      </w:tr>
      <w:tr w:rsidR="0071404B" w:rsidRPr="00526311" w:rsidTr="002E3193">
        <w:tc>
          <w:tcPr>
            <w:tcW w:w="9498" w:type="dxa"/>
          </w:tcPr>
          <w:p w:rsidR="0071404B" w:rsidRPr="00526311" w:rsidRDefault="0071404B" w:rsidP="002E3193">
            <w:pPr>
              <w:spacing w:after="40"/>
              <w:ind w:left="1735" w:hanging="1735"/>
              <w:rPr>
                <w:sz w:val="20"/>
              </w:rPr>
            </w:pPr>
            <w:r w:rsidRPr="00526311">
              <w:rPr>
                <w:sz w:val="20"/>
              </w:rPr>
              <w:t>UNCTAD</w:t>
            </w:r>
            <w:r w:rsidRPr="00526311">
              <w:rPr>
                <w:sz w:val="20"/>
              </w:rPr>
              <w:tab/>
              <w:t>Conferencia de las Naciones Unidas sobre Comercio y Desarrollo</w:t>
            </w:r>
          </w:p>
        </w:tc>
      </w:tr>
      <w:tr w:rsidR="0071404B" w:rsidRPr="00526311" w:rsidTr="002E3193">
        <w:tc>
          <w:tcPr>
            <w:tcW w:w="9498" w:type="dxa"/>
          </w:tcPr>
          <w:p w:rsidR="0071404B" w:rsidRPr="00526311" w:rsidRDefault="0071404B" w:rsidP="002E3193">
            <w:pPr>
              <w:spacing w:after="40"/>
              <w:ind w:left="1735" w:hanging="1735"/>
              <w:rPr>
                <w:sz w:val="20"/>
              </w:rPr>
            </w:pPr>
            <w:r w:rsidRPr="00526311">
              <w:rPr>
                <w:sz w:val="20"/>
              </w:rPr>
              <w:t>UNESCO</w:t>
            </w:r>
            <w:r w:rsidRPr="00526311">
              <w:rPr>
                <w:sz w:val="20"/>
              </w:rPr>
              <w:tab/>
              <w:t>Organización de las Naciones Unidas para la Educación, la Ciencia y la Cultura</w:t>
            </w:r>
          </w:p>
        </w:tc>
      </w:tr>
      <w:tr w:rsidR="0071404B" w:rsidRPr="00526311" w:rsidTr="002E3193">
        <w:tc>
          <w:tcPr>
            <w:tcW w:w="9498" w:type="dxa"/>
          </w:tcPr>
          <w:p w:rsidR="0071404B" w:rsidRPr="00526311" w:rsidRDefault="0071404B" w:rsidP="002E3193">
            <w:pPr>
              <w:spacing w:after="40"/>
              <w:ind w:left="1735" w:hanging="1735"/>
              <w:rPr>
                <w:sz w:val="20"/>
              </w:rPr>
            </w:pPr>
            <w:r w:rsidRPr="00526311">
              <w:rPr>
                <w:sz w:val="20"/>
              </w:rPr>
              <w:t>USPTO</w:t>
            </w:r>
            <w:r w:rsidRPr="00526311">
              <w:rPr>
                <w:sz w:val="20"/>
              </w:rPr>
              <w:tab/>
              <w:t>Oficina de Patentes y Marcas de los Estados Unidos de América</w:t>
            </w:r>
          </w:p>
        </w:tc>
      </w:tr>
      <w:tr w:rsidR="0071404B" w:rsidRPr="00526311" w:rsidTr="002E3193">
        <w:tc>
          <w:tcPr>
            <w:tcW w:w="9498" w:type="dxa"/>
          </w:tcPr>
          <w:p w:rsidR="0071404B" w:rsidRPr="00526311" w:rsidRDefault="0071404B" w:rsidP="002E3193">
            <w:pPr>
              <w:spacing w:after="40"/>
              <w:ind w:left="1735" w:hanging="1735"/>
              <w:rPr>
                <w:sz w:val="20"/>
              </w:rPr>
            </w:pPr>
          </w:p>
        </w:tc>
      </w:tr>
      <w:tr w:rsidR="0071404B" w:rsidRPr="00526311" w:rsidTr="002E3193">
        <w:tc>
          <w:tcPr>
            <w:tcW w:w="9498" w:type="dxa"/>
          </w:tcPr>
          <w:p w:rsidR="0071404B" w:rsidRPr="00526311" w:rsidRDefault="0071404B" w:rsidP="002E3193">
            <w:pPr>
              <w:spacing w:after="40"/>
              <w:ind w:left="1735" w:hanging="1735"/>
              <w:rPr>
                <w:sz w:val="20"/>
              </w:rPr>
            </w:pPr>
            <w:r w:rsidRPr="00526311">
              <w:rPr>
                <w:b/>
                <w:sz w:val="20"/>
              </w:rPr>
              <w:t>W</w:t>
            </w:r>
            <w:r w:rsidRPr="00526311">
              <w:rPr>
                <w:sz w:val="20"/>
              </w:rPr>
              <w:t>CC</w:t>
            </w:r>
            <w:r w:rsidRPr="00526311">
              <w:rPr>
                <w:sz w:val="20"/>
              </w:rPr>
              <w:tab/>
            </w:r>
            <w:r w:rsidRPr="00526311">
              <w:rPr>
                <w:i/>
                <w:sz w:val="20"/>
              </w:rPr>
              <w:t xml:space="preserve">WIPO Copyright </w:t>
            </w:r>
            <w:proofErr w:type="spellStart"/>
            <w:r w:rsidRPr="00526311">
              <w:rPr>
                <w:i/>
                <w:sz w:val="20"/>
              </w:rPr>
              <w:t>Connection</w:t>
            </w:r>
            <w:proofErr w:type="spellEnd"/>
            <w:r w:rsidRPr="00526311">
              <w:rPr>
                <w:sz w:val="20"/>
              </w:rPr>
              <w:t xml:space="preserve"> (Conexión de Derecho de Autor de la OMPI)</w:t>
            </w:r>
          </w:p>
        </w:tc>
      </w:tr>
      <w:tr w:rsidR="0071404B" w:rsidRPr="00526311" w:rsidTr="002E3193">
        <w:tc>
          <w:tcPr>
            <w:tcW w:w="9498" w:type="dxa"/>
          </w:tcPr>
          <w:p w:rsidR="0071404B" w:rsidRPr="00526311" w:rsidRDefault="0071404B" w:rsidP="002E3193">
            <w:pPr>
              <w:spacing w:after="40"/>
              <w:ind w:left="1735" w:hanging="1735"/>
              <w:rPr>
                <w:sz w:val="20"/>
              </w:rPr>
            </w:pPr>
            <w:r w:rsidRPr="00526311">
              <w:rPr>
                <w:sz w:val="20"/>
              </w:rPr>
              <w:t>WCT</w:t>
            </w:r>
            <w:r w:rsidRPr="00526311">
              <w:rPr>
                <w:sz w:val="20"/>
              </w:rPr>
              <w:tab/>
              <w:t>Tratado de la OMPI sobre Derecho de Autor</w:t>
            </w:r>
          </w:p>
        </w:tc>
      </w:tr>
      <w:tr w:rsidR="0071404B" w:rsidRPr="00526311" w:rsidTr="002E3193">
        <w:tc>
          <w:tcPr>
            <w:tcW w:w="9498" w:type="dxa"/>
          </w:tcPr>
          <w:p w:rsidR="0071404B" w:rsidRPr="00526311" w:rsidRDefault="0071404B" w:rsidP="002E3193">
            <w:pPr>
              <w:spacing w:after="40"/>
              <w:ind w:left="1735" w:hanging="1735"/>
              <w:rPr>
                <w:sz w:val="20"/>
              </w:rPr>
            </w:pPr>
            <w:r w:rsidRPr="00526311">
              <w:rPr>
                <w:sz w:val="20"/>
              </w:rPr>
              <w:lastRenderedPageBreak/>
              <w:t>WINS</w:t>
            </w:r>
            <w:r w:rsidRPr="00526311">
              <w:rPr>
                <w:sz w:val="20"/>
              </w:rPr>
              <w:tab/>
              <w:t>Sistema de la OMPI de notificación de consultas</w:t>
            </w:r>
          </w:p>
        </w:tc>
      </w:tr>
      <w:tr w:rsidR="0071404B" w:rsidRPr="00526311" w:rsidTr="002E3193">
        <w:tc>
          <w:tcPr>
            <w:tcW w:w="9498" w:type="dxa"/>
          </w:tcPr>
          <w:p w:rsidR="0071404B" w:rsidRPr="00526311" w:rsidRDefault="0071404B" w:rsidP="00B8059D">
            <w:pPr>
              <w:keepNext/>
              <w:keepLines/>
              <w:spacing w:after="40"/>
              <w:ind w:left="1735" w:hanging="1735"/>
              <w:rPr>
                <w:sz w:val="20"/>
              </w:rPr>
            </w:pPr>
            <w:r w:rsidRPr="00526311">
              <w:rPr>
                <w:sz w:val="20"/>
              </w:rPr>
              <w:t>WIPOCOS</w:t>
            </w:r>
            <w:r w:rsidRPr="00526311">
              <w:rPr>
                <w:sz w:val="20"/>
              </w:rPr>
              <w:tab/>
              <w:t>Programa informático de la OMPI para la gestión colectiva del derecho de autor y los derechos conexos</w:t>
            </w:r>
          </w:p>
        </w:tc>
      </w:tr>
      <w:tr w:rsidR="0071404B" w:rsidRPr="00526311" w:rsidTr="002E3193">
        <w:tc>
          <w:tcPr>
            <w:tcW w:w="9498" w:type="dxa"/>
          </w:tcPr>
          <w:p w:rsidR="0071404B" w:rsidRPr="00526311" w:rsidRDefault="0071404B" w:rsidP="002E3193">
            <w:pPr>
              <w:spacing w:after="40"/>
              <w:ind w:left="1735" w:hanging="1735"/>
              <w:rPr>
                <w:sz w:val="20"/>
              </w:rPr>
            </w:pPr>
            <w:r w:rsidRPr="00526311">
              <w:rPr>
                <w:sz w:val="20"/>
              </w:rPr>
              <w:t>WPIS</w:t>
            </w:r>
            <w:r w:rsidRPr="00526311">
              <w:rPr>
                <w:sz w:val="20"/>
              </w:rPr>
              <w:tab/>
              <w:t>Servicios de la OMPI de Información en materia de Patentes</w:t>
            </w:r>
          </w:p>
        </w:tc>
      </w:tr>
      <w:tr w:rsidR="0071404B" w:rsidRPr="00526311" w:rsidTr="002E3193">
        <w:tc>
          <w:tcPr>
            <w:tcW w:w="9498" w:type="dxa"/>
          </w:tcPr>
          <w:p w:rsidR="0071404B" w:rsidRPr="00526311" w:rsidRDefault="0071404B" w:rsidP="002E3193">
            <w:pPr>
              <w:spacing w:after="40"/>
              <w:ind w:left="1735" w:hanging="1735"/>
              <w:rPr>
                <w:sz w:val="20"/>
              </w:rPr>
            </w:pPr>
            <w:r w:rsidRPr="00526311">
              <w:rPr>
                <w:sz w:val="20"/>
              </w:rPr>
              <w:t>WPPT</w:t>
            </w:r>
            <w:r w:rsidRPr="00526311">
              <w:rPr>
                <w:sz w:val="20"/>
              </w:rPr>
              <w:tab/>
              <w:t>Tratado de la OMPI sobre Interpretación o Ejecución y Fonogramas</w:t>
            </w:r>
          </w:p>
        </w:tc>
      </w:tr>
    </w:tbl>
    <w:p w:rsidR="0071404B" w:rsidRPr="00526311" w:rsidRDefault="0071404B" w:rsidP="0071404B">
      <w:pPr>
        <w:pStyle w:val="BodyText"/>
        <w:rPr>
          <w:sz w:val="20"/>
        </w:rPr>
      </w:pPr>
    </w:p>
    <w:p w:rsidR="0071404B" w:rsidRPr="00526311" w:rsidRDefault="0071404B" w:rsidP="0071404B">
      <w:pPr>
        <w:pStyle w:val="BodyText"/>
        <w:rPr>
          <w:sz w:val="20"/>
        </w:rPr>
      </w:pPr>
    </w:p>
    <w:p w:rsidR="0071404B" w:rsidRPr="00526311" w:rsidRDefault="0071404B" w:rsidP="0071404B">
      <w:pPr>
        <w:ind w:left="4253"/>
        <w:jc w:val="center"/>
        <w:rPr>
          <w:sz w:val="20"/>
        </w:rPr>
      </w:pPr>
      <w:r w:rsidRPr="00526311">
        <w:rPr>
          <w:color w:val="000000"/>
          <w:sz w:val="20"/>
        </w:rPr>
        <w:t>[Fin del Apéndice IV y del documento]</w:t>
      </w:r>
    </w:p>
    <w:p w:rsidR="003F0A25" w:rsidRPr="00B045E5" w:rsidRDefault="003F0A25">
      <w:pPr>
        <w:rPr>
          <w:sz w:val="20"/>
        </w:rPr>
      </w:pPr>
    </w:p>
    <w:sectPr w:rsidR="003F0A25" w:rsidRPr="00B045E5" w:rsidSect="00C25E4B">
      <w:headerReference w:type="even" r:id="rId201"/>
      <w:headerReference w:type="default" r:id="rId202"/>
      <w:footerReference w:type="even" r:id="rId203"/>
      <w:headerReference w:type="first" r:id="rId204"/>
      <w:footerReference w:type="first" r:id="rId205"/>
      <w:pgSz w:w="11907" w:h="16840" w:code="9"/>
      <w:pgMar w:top="567" w:right="1134" w:bottom="1361"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1C2F" w:rsidRDefault="00121C2F">
      <w:r>
        <w:separator/>
      </w:r>
    </w:p>
  </w:endnote>
  <w:endnote w:type="continuationSeparator" w:id="0">
    <w:p w:rsidR="00121C2F" w:rsidRPr="009D30E6" w:rsidRDefault="00121C2F" w:rsidP="007E663E">
      <w:pPr>
        <w:rPr>
          <w:sz w:val="17"/>
          <w:szCs w:val="17"/>
        </w:rPr>
      </w:pPr>
      <w:r w:rsidRPr="009D30E6">
        <w:rPr>
          <w:sz w:val="17"/>
          <w:szCs w:val="17"/>
        </w:rPr>
        <w:separator/>
      </w:r>
    </w:p>
    <w:p w:rsidR="00121C2F" w:rsidRPr="007E663E" w:rsidRDefault="00121C2F" w:rsidP="007E663E">
      <w:pPr>
        <w:spacing w:after="60"/>
        <w:rPr>
          <w:sz w:val="17"/>
          <w:szCs w:val="17"/>
        </w:rPr>
      </w:pPr>
      <w:r>
        <w:rPr>
          <w:sz w:val="17"/>
        </w:rPr>
        <w:t>[Continuación de la nota de la página anterior]</w:t>
      </w:r>
    </w:p>
  </w:endnote>
  <w:endnote w:type="continuationNotice" w:id="1">
    <w:p w:rsidR="00121C2F" w:rsidRPr="007E663E" w:rsidRDefault="00121C2F"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Black">
    <w:panose1 w:val="020B0A040201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font>
  <w:font w:name="PMingLiU">
    <w:altName w:val="新細明體"/>
    <w:panose1 w:val="02020500000000000000"/>
    <w:charset w:val="88"/>
    <w:family w:val="roman"/>
    <w:pitch w:val="variable"/>
    <w:sig w:usb0="A00002FF" w:usb1="28CFFCFA" w:usb2="00000016" w:usb3="00000000" w:csb0="00100001" w:csb1="00000000"/>
  </w:font>
  <w:font w:name="Arial Bold">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Cordia New">
    <w:panose1 w:val="020B0304020202020204"/>
    <w:charset w:val="00"/>
    <w:family w:val="swiss"/>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ArialMT">
    <w:altName w:val="Arial"/>
    <w:panose1 w:val="00000000000000000000"/>
    <w:charset w:val="00"/>
    <w:family w:val="swiss"/>
    <w:notTrueType/>
    <w:pitch w:val="default"/>
    <w:sig w:usb0="00000003" w:usb1="00000000" w:usb2="00000000" w:usb3="00000000" w:csb0="00000001" w:csb1="00000000"/>
  </w:font>
  <w:font w:name="Malgun Gothic">
    <w:panose1 w:val="020B0503020000020004"/>
    <w:charset w:val="81"/>
    <w:family w:val="swiss"/>
    <w:pitch w:val="variable"/>
    <w:sig w:usb0="900002AF" w:usb1="0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1C2F" w:rsidRPr="00A712D3" w:rsidRDefault="00121C2F" w:rsidP="00A712D3">
    <w:pPr>
      <w:pStyle w:val="Footer"/>
      <w:jc w:val="center"/>
    </w:pPr>
    <w:sdt>
      <w:sdtPr>
        <w:id w:val="-1748260511"/>
        <w:docPartObj>
          <w:docPartGallery w:val="Page Numbers (Bottom of Page)"/>
          <w:docPartUnique/>
        </w:docPartObj>
      </w:sdtPr>
      <w:sdtEndPr>
        <w:rPr>
          <w:noProof/>
          <w:sz w:val="20"/>
        </w:rPr>
      </w:sdtEndPr>
      <w:sdtContent>
        <w:r w:rsidRPr="00B26D73">
          <w:rPr>
            <w:sz w:val="20"/>
          </w:rPr>
          <w:fldChar w:fldCharType="begin"/>
        </w:r>
        <w:r w:rsidRPr="00B26D73">
          <w:rPr>
            <w:sz w:val="20"/>
          </w:rPr>
          <w:instrText xml:space="preserve"> PAGE   \* MERGEFORMAT </w:instrText>
        </w:r>
        <w:r w:rsidRPr="00B26D73">
          <w:rPr>
            <w:sz w:val="20"/>
          </w:rPr>
          <w:fldChar w:fldCharType="separate"/>
        </w:r>
        <w:r>
          <w:rPr>
            <w:noProof/>
            <w:sz w:val="20"/>
          </w:rPr>
          <w:t>3</w:t>
        </w:r>
        <w:r w:rsidRPr="00B26D73">
          <w:rPr>
            <w:noProof/>
            <w:sz w:val="20"/>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1C2F" w:rsidRPr="00A712D3" w:rsidRDefault="00121C2F" w:rsidP="00A712D3">
    <w:pPr>
      <w:pStyle w:val="Footer"/>
      <w:jc w:val="center"/>
      <w:rPr>
        <w:sz w:val="20"/>
      </w:rPr>
    </w:pPr>
    <w:sdt>
      <w:sdtPr>
        <w:id w:val="131142980"/>
        <w:docPartObj>
          <w:docPartGallery w:val="Page Numbers (Bottom of Page)"/>
          <w:docPartUnique/>
        </w:docPartObj>
      </w:sdtPr>
      <w:sdtEndPr>
        <w:rPr>
          <w:noProof/>
          <w:sz w:val="20"/>
        </w:rPr>
      </w:sdtEndPr>
      <w:sdtContent>
        <w:r w:rsidRPr="00A712D3">
          <w:rPr>
            <w:sz w:val="20"/>
          </w:rPr>
          <w:fldChar w:fldCharType="begin"/>
        </w:r>
        <w:r w:rsidRPr="00A712D3">
          <w:rPr>
            <w:sz w:val="20"/>
          </w:rPr>
          <w:instrText xml:space="preserve"> PAGE   \* MERGEFORMAT </w:instrText>
        </w:r>
        <w:r w:rsidRPr="00A712D3">
          <w:rPr>
            <w:sz w:val="20"/>
          </w:rPr>
          <w:fldChar w:fldCharType="separate"/>
        </w:r>
        <w:r w:rsidR="009538CB">
          <w:rPr>
            <w:noProof/>
            <w:sz w:val="20"/>
          </w:rPr>
          <w:t>308</w:t>
        </w:r>
        <w:r w:rsidRPr="00A712D3">
          <w:rPr>
            <w:noProof/>
            <w:sz w:val="20"/>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1C2F" w:rsidRPr="00A712D3" w:rsidRDefault="00121C2F" w:rsidP="00A712D3">
    <w:pPr>
      <w:pStyle w:val="Footer"/>
      <w:jc w:val="center"/>
    </w:pPr>
    <w:sdt>
      <w:sdtPr>
        <w:id w:val="131077069"/>
        <w:docPartObj>
          <w:docPartGallery w:val="Page Numbers (Bottom of Page)"/>
          <w:docPartUnique/>
        </w:docPartObj>
      </w:sdtPr>
      <w:sdtEndPr>
        <w:rPr>
          <w:noProof/>
          <w:sz w:val="20"/>
        </w:rPr>
      </w:sdtEndPr>
      <w:sdtContent>
        <w:r w:rsidRPr="00B26D73">
          <w:rPr>
            <w:sz w:val="20"/>
          </w:rPr>
          <w:fldChar w:fldCharType="begin"/>
        </w:r>
        <w:r w:rsidRPr="00B26D73">
          <w:rPr>
            <w:sz w:val="20"/>
          </w:rPr>
          <w:instrText xml:space="preserve"> PAGE   \* MERGEFORMAT </w:instrText>
        </w:r>
        <w:r w:rsidRPr="00B26D73">
          <w:rPr>
            <w:sz w:val="20"/>
          </w:rPr>
          <w:fldChar w:fldCharType="separate"/>
        </w:r>
        <w:r w:rsidR="000F0642">
          <w:rPr>
            <w:noProof/>
            <w:sz w:val="20"/>
          </w:rPr>
          <w:t>369</w:t>
        </w:r>
        <w:r w:rsidRPr="00B26D73">
          <w:rPr>
            <w:noProof/>
            <w:sz w:val="20"/>
          </w:rPr>
          <w:fldChar w:fldCharType="end"/>
        </w:r>
      </w:sdtContent>
    </w:sdt>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1C2F" w:rsidRPr="00B26D73" w:rsidRDefault="00121C2F" w:rsidP="00B26D73">
    <w:pPr>
      <w:pStyle w:val="Footer"/>
      <w:jc w:val="center"/>
      <w:rPr>
        <w:sz w:val="20"/>
      </w:rPr>
    </w:pPr>
    <w:sdt>
      <w:sdtPr>
        <w:id w:val="363251060"/>
        <w:docPartObj>
          <w:docPartGallery w:val="Page Numbers (Bottom of Page)"/>
          <w:docPartUnique/>
        </w:docPartObj>
      </w:sdtPr>
      <w:sdtEndPr>
        <w:rPr>
          <w:noProof/>
          <w:sz w:val="20"/>
        </w:rPr>
      </w:sdtEndPr>
      <w:sdtContent>
        <w:r w:rsidRPr="00B26D73">
          <w:rPr>
            <w:sz w:val="20"/>
          </w:rPr>
          <w:fldChar w:fldCharType="begin"/>
        </w:r>
        <w:r w:rsidRPr="00B26D73">
          <w:rPr>
            <w:sz w:val="20"/>
          </w:rPr>
          <w:instrText xml:space="preserve"> PAGE   \* MERGEFORMAT </w:instrText>
        </w:r>
        <w:r w:rsidRPr="00B26D73">
          <w:rPr>
            <w:sz w:val="20"/>
          </w:rPr>
          <w:fldChar w:fldCharType="separate"/>
        </w:r>
        <w:r w:rsidR="009538CB">
          <w:rPr>
            <w:noProof/>
            <w:sz w:val="20"/>
          </w:rPr>
          <w:t>1</w:t>
        </w:r>
        <w:r w:rsidRPr="00B26D73">
          <w:rPr>
            <w:noProof/>
            <w:sz w:val="20"/>
          </w:rPr>
          <w:fldChar w:fldCharType="end"/>
        </w:r>
      </w:sdtContent>
    </w:sdt>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1C2F" w:rsidRPr="00216A2F" w:rsidRDefault="00121C2F" w:rsidP="00A712D3">
    <w:pPr>
      <w:pStyle w:val="Footer"/>
      <w:jc w:val="center"/>
      <w:rPr>
        <w:sz w:val="20"/>
      </w:rPr>
    </w:pPr>
    <w:sdt>
      <w:sdtPr>
        <w:id w:val="967328084"/>
        <w:docPartObj>
          <w:docPartGallery w:val="Page Numbers (Bottom of Page)"/>
          <w:docPartUnique/>
        </w:docPartObj>
      </w:sdtPr>
      <w:sdtEndPr>
        <w:rPr>
          <w:noProof/>
          <w:sz w:val="20"/>
        </w:rPr>
      </w:sdtEndPr>
      <w:sdtContent>
        <w:r w:rsidRPr="00216A2F">
          <w:rPr>
            <w:sz w:val="20"/>
          </w:rPr>
          <w:fldChar w:fldCharType="begin"/>
        </w:r>
        <w:r w:rsidRPr="00216A2F">
          <w:rPr>
            <w:sz w:val="20"/>
          </w:rPr>
          <w:instrText xml:space="preserve"> PAGE   \* MERGEFORMAT </w:instrText>
        </w:r>
        <w:r w:rsidRPr="00216A2F">
          <w:rPr>
            <w:sz w:val="20"/>
          </w:rPr>
          <w:fldChar w:fldCharType="separate"/>
        </w:r>
        <w:r w:rsidR="000F0642">
          <w:rPr>
            <w:noProof/>
            <w:sz w:val="20"/>
          </w:rPr>
          <w:t>370</w:t>
        </w:r>
        <w:r w:rsidRPr="00216A2F">
          <w:rPr>
            <w:noProof/>
            <w:sz w:val="20"/>
          </w:rPr>
          <w:fldChar w:fldCharType="end"/>
        </w:r>
      </w:sdtContent>
    </w:sdt>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1C2F" w:rsidRPr="00216A2F" w:rsidRDefault="00121C2F" w:rsidP="00B26D73">
    <w:pPr>
      <w:pStyle w:val="Footer"/>
      <w:jc w:val="center"/>
      <w:rPr>
        <w:sz w:val="20"/>
      </w:rPr>
    </w:pPr>
    <w:sdt>
      <w:sdtPr>
        <w:id w:val="1935247241"/>
        <w:docPartObj>
          <w:docPartGallery w:val="Page Numbers (Bottom of Page)"/>
          <w:docPartUnique/>
        </w:docPartObj>
      </w:sdtPr>
      <w:sdtEndPr>
        <w:rPr>
          <w:noProof/>
          <w:sz w:val="20"/>
        </w:rPr>
      </w:sdtEndPr>
      <w:sdtContent>
        <w:r w:rsidRPr="00216A2F">
          <w:rPr>
            <w:sz w:val="20"/>
          </w:rPr>
          <w:fldChar w:fldCharType="begin"/>
        </w:r>
        <w:r w:rsidRPr="00216A2F">
          <w:rPr>
            <w:sz w:val="20"/>
          </w:rPr>
          <w:instrText xml:space="preserve"> PAGE   \* MERGEFORMAT </w:instrText>
        </w:r>
        <w:r w:rsidRPr="00216A2F">
          <w:rPr>
            <w:sz w:val="20"/>
          </w:rPr>
          <w:fldChar w:fldCharType="separate"/>
        </w:r>
        <w:r w:rsidR="009538CB">
          <w:rPr>
            <w:noProof/>
            <w:sz w:val="20"/>
          </w:rPr>
          <w:t>309</w:t>
        </w:r>
        <w:r w:rsidRPr="00216A2F">
          <w:rPr>
            <w:noProof/>
            <w:sz w:val="20"/>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1C2F" w:rsidRDefault="00121C2F">
      <w:r>
        <w:separator/>
      </w:r>
    </w:p>
  </w:footnote>
  <w:footnote w:type="continuationSeparator" w:id="0">
    <w:p w:rsidR="00121C2F" w:rsidRPr="009D30E6" w:rsidRDefault="00121C2F" w:rsidP="007E663E">
      <w:pPr>
        <w:rPr>
          <w:sz w:val="17"/>
          <w:szCs w:val="17"/>
        </w:rPr>
      </w:pPr>
      <w:r w:rsidRPr="009D30E6">
        <w:rPr>
          <w:sz w:val="17"/>
          <w:szCs w:val="17"/>
        </w:rPr>
        <w:separator/>
      </w:r>
    </w:p>
    <w:p w:rsidR="00121C2F" w:rsidRPr="007E663E" w:rsidRDefault="00121C2F" w:rsidP="007E663E">
      <w:pPr>
        <w:spacing w:after="60"/>
        <w:rPr>
          <w:sz w:val="17"/>
          <w:szCs w:val="17"/>
        </w:rPr>
      </w:pPr>
      <w:r>
        <w:rPr>
          <w:sz w:val="17"/>
        </w:rPr>
        <w:t>[Continuación de la nota de la página anterior]</w:t>
      </w:r>
    </w:p>
  </w:footnote>
  <w:footnote w:type="continuationNotice" w:id="1">
    <w:p w:rsidR="00121C2F" w:rsidRPr="007E663E" w:rsidRDefault="00121C2F" w:rsidP="007E663E">
      <w:pPr>
        <w:spacing w:before="60"/>
        <w:jc w:val="right"/>
        <w:rPr>
          <w:sz w:val="17"/>
          <w:szCs w:val="17"/>
        </w:rPr>
      </w:pPr>
      <w:r w:rsidRPr="007E663E">
        <w:rPr>
          <w:sz w:val="17"/>
          <w:szCs w:val="17"/>
        </w:rPr>
        <w:t>[Sigue la nota en la página siguiente]</w:t>
      </w:r>
    </w:p>
  </w:footnote>
  <w:footnote w:id="2">
    <w:p w:rsidR="00121C2F" w:rsidRPr="00BB1AFF" w:rsidRDefault="00121C2F" w:rsidP="00E020B6">
      <w:pPr>
        <w:pStyle w:val="FootnoteText"/>
      </w:pPr>
      <w:r w:rsidRPr="00AE650F">
        <w:rPr>
          <w:sz w:val="16"/>
          <w:szCs w:val="16"/>
          <w:vertAlign w:val="superscript"/>
        </w:rPr>
        <w:footnoteRef/>
      </w:r>
      <w:r w:rsidRPr="00BB1AFF">
        <w:rPr>
          <w:sz w:val="16"/>
          <w:szCs w:val="16"/>
        </w:rPr>
        <w:t xml:space="preserve"> </w:t>
      </w:r>
      <w:r w:rsidRPr="00091D73">
        <w:rPr>
          <w:sz w:val="16"/>
          <w:szCs w:val="16"/>
        </w:rPr>
        <w:t>Por regla general, cuando los datos relativos al rendimiento se mid</w:t>
      </w:r>
      <w:r>
        <w:rPr>
          <w:sz w:val="16"/>
          <w:szCs w:val="16"/>
        </w:rPr>
        <w:t>a</w:t>
      </w:r>
      <w:r w:rsidRPr="00091D73">
        <w:rPr>
          <w:sz w:val="16"/>
          <w:szCs w:val="16"/>
        </w:rPr>
        <w:t xml:space="preserve">n en variación porcentual (aumento o disminución), y a menos que se indique lo contrario, </w:t>
      </w:r>
      <w:r>
        <w:rPr>
          <w:sz w:val="16"/>
          <w:szCs w:val="16"/>
        </w:rPr>
        <w:t>dich</w:t>
      </w:r>
      <w:r w:rsidRPr="00091D73">
        <w:rPr>
          <w:sz w:val="16"/>
          <w:szCs w:val="16"/>
        </w:rPr>
        <w:t>a variación porcentual resulta</w:t>
      </w:r>
      <w:r>
        <w:rPr>
          <w:sz w:val="16"/>
          <w:szCs w:val="16"/>
        </w:rPr>
        <w:t>rá</w:t>
      </w:r>
      <w:r w:rsidRPr="00091D73">
        <w:rPr>
          <w:sz w:val="16"/>
          <w:szCs w:val="16"/>
        </w:rPr>
        <w:t xml:space="preserve"> de una comparación con el año precedente, es decir, que una variación en 2014 resulta de la comparación con 2013, y una variación en 2015 resulta de la comparación con 2014</w:t>
      </w:r>
      <w:r w:rsidRPr="00BB1AFF">
        <w:rPr>
          <w:sz w:val="16"/>
          <w:szCs w:val="16"/>
        </w:rPr>
        <w:t>.</w:t>
      </w:r>
    </w:p>
  </w:footnote>
  <w:footnote w:id="3">
    <w:p w:rsidR="00121C2F" w:rsidRPr="00AA39B4" w:rsidRDefault="00121C2F" w:rsidP="00E020B6">
      <w:pPr>
        <w:pStyle w:val="FootnoteText"/>
        <w:rPr>
          <w:sz w:val="16"/>
          <w:szCs w:val="16"/>
        </w:rPr>
      </w:pPr>
      <w:r w:rsidRPr="00BD5BF9">
        <w:rPr>
          <w:rStyle w:val="FootnoteReference"/>
          <w:sz w:val="16"/>
          <w:szCs w:val="16"/>
        </w:rPr>
        <w:footnoteRef/>
      </w:r>
      <w:r w:rsidRPr="00BB1AFF">
        <w:rPr>
          <w:sz w:val="16"/>
          <w:szCs w:val="16"/>
        </w:rPr>
        <w:t xml:space="preserve"> </w:t>
      </w:r>
      <w:r w:rsidRPr="00BB1AFF">
        <w:rPr>
          <w:sz w:val="16"/>
          <w:szCs w:val="16"/>
          <w:lang w:val="es-ES_tradnl"/>
        </w:rPr>
        <w:t>En respuesta a la solicitud</w:t>
      </w:r>
      <w:r>
        <w:rPr>
          <w:sz w:val="16"/>
          <w:szCs w:val="16"/>
          <w:lang w:val="es-ES_tradnl"/>
        </w:rPr>
        <w:t>es</w:t>
      </w:r>
      <w:r w:rsidRPr="00BB1AFF">
        <w:rPr>
          <w:sz w:val="16"/>
          <w:szCs w:val="16"/>
          <w:lang w:val="es-ES_tradnl"/>
        </w:rPr>
        <w:t xml:space="preserve"> formulada</w:t>
      </w:r>
      <w:r>
        <w:rPr>
          <w:sz w:val="16"/>
          <w:szCs w:val="16"/>
          <w:lang w:val="es-ES_tradnl"/>
        </w:rPr>
        <w:t>s</w:t>
      </w:r>
      <w:r w:rsidRPr="00BB1AFF">
        <w:rPr>
          <w:sz w:val="16"/>
          <w:szCs w:val="16"/>
          <w:lang w:val="es-ES_tradnl"/>
        </w:rPr>
        <w:t xml:space="preserve"> por los Estados miembros</w:t>
      </w:r>
      <w:r>
        <w:rPr>
          <w:sz w:val="16"/>
          <w:szCs w:val="16"/>
          <w:lang w:val="es-ES_tradnl"/>
        </w:rPr>
        <w:t>,</w:t>
      </w:r>
      <w:r w:rsidRPr="00BB1AFF">
        <w:rPr>
          <w:sz w:val="16"/>
          <w:szCs w:val="16"/>
          <w:lang w:val="es-ES_tradnl"/>
        </w:rPr>
        <w:t xml:space="preserve"> </w:t>
      </w:r>
      <w:r>
        <w:rPr>
          <w:sz w:val="16"/>
          <w:szCs w:val="16"/>
          <w:lang w:val="es-ES_tradnl"/>
        </w:rPr>
        <w:t xml:space="preserve">se brindó la oportunidad de que en los programas se definieran los objetivos </w:t>
      </w:r>
      <w:r w:rsidRPr="00BB1AFF">
        <w:rPr>
          <w:sz w:val="16"/>
          <w:szCs w:val="16"/>
          <w:lang w:val="es-ES_tradnl"/>
        </w:rPr>
        <w:t xml:space="preserve">que no habían sido definidos en el presupuesto por programas de 2014/15, es decir, </w:t>
      </w:r>
      <w:r w:rsidRPr="00BB1AFF">
        <w:rPr>
          <w:sz w:val="16"/>
          <w:szCs w:val="16"/>
        </w:rPr>
        <w:t>objetivos "por determinar",</w:t>
      </w:r>
      <w:r w:rsidRPr="00BB1AFF">
        <w:rPr>
          <w:sz w:val="16"/>
          <w:szCs w:val="16"/>
          <w:lang w:val="es-ES_tradnl"/>
        </w:rPr>
        <w:t xml:space="preserve"> </w:t>
      </w:r>
      <w:r w:rsidRPr="00BB1AFF">
        <w:rPr>
          <w:sz w:val="16"/>
          <w:szCs w:val="16"/>
        </w:rPr>
        <w:t xml:space="preserve">durante el ejercicio de actualización de las referencias (iniciado el 1 de julio de 2014), utilizando como base los datos de fines de 2013.  Los objetivos no definidos durante ese proceso </w:t>
      </w:r>
      <w:r>
        <w:rPr>
          <w:sz w:val="16"/>
          <w:szCs w:val="16"/>
        </w:rPr>
        <w:t xml:space="preserve">todavía no han sido </w:t>
      </w:r>
      <w:r w:rsidRPr="00BB1AFF">
        <w:rPr>
          <w:sz w:val="16"/>
          <w:szCs w:val="16"/>
        </w:rPr>
        <w:t>defini</w:t>
      </w:r>
      <w:r>
        <w:rPr>
          <w:sz w:val="16"/>
          <w:szCs w:val="16"/>
        </w:rPr>
        <w:t>dos y,</w:t>
      </w:r>
      <w:r w:rsidRPr="00BB1AFF">
        <w:rPr>
          <w:sz w:val="16"/>
          <w:szCs w:val="16"/>
        </w:rPr>
        <w:t xml:space="preserve"> por consiguiente, los datos sobre el </w:t>
      </w:r>
      <w:r>
        <w:rPr>
          <w:sz w:val="16"/>
          <w:szCs w:val="16"/>
        </w:rPr>
        <w:t>ren</w:t>
      </w:r>
      <w:r w:rsidRPr="00BB1AFF">
        <w:rPr>
          <w:sz w:val="16"/>
          <w:szCs w:val="16"/>
        </w:rPr>
        <w:t xml:space="preserve">dimiento figuran como "no mensurables". </w:t>
      </w:r>
    </w:p>
  </w:footnote>
  <w:footnote w:id="4">
    <w:p w:rsidR="00121C2F" w:rsidRPr="00650E6F" w:rsidRDefault="00121C2F" w:rsidP="006760C1">
      <w:pPr>
        <w:pStyle w:val="FootnoteText"/>
      </w:pPr>
      <w:r w:rsidRPr="00BE0BC5">
        <w:rPr>
          <w:rStyle w:val="FootnoteReference"/>
          <w:sz w:val="16"/>
          <w:szCs w:val="16"/>
        </w:rPr>
        <w:footnoteRef/>
      </w:r>
      <w:r w:rsidRPr="00650E6F">
        <w:t xml:space="preserve"> </w:t>
      </w:r>
      <w:r w:rsidRPr="00650E6F">
        <w:rPr>
          <w:sz w:val="16"/>
          <w:szCs w:val="16"/>
        </w:rPr>
        <w:t xml:space="preserve">A fines de 2015, hubo un total de 29.567 casos de </w:t>
      </w:r>
      <w:proofErr w:type="spellStart"/>
      <w:r w:rsidRPr="00650E6F">
        <w:rPr>
          <w:sz w:val="16"/>
          <w:szCs w:val="16"/>
        </w:rPr>
        <w:t>gTLD</w:t>
      </w:r>
      <w:proofErr w:type="spellEnd"/>
      <w:r w:rsidRPr="00650E6F">
        <w:rPr>
          <w:sz w:val="16"/>
          <w:szCs w:val="16"/>
        </w:rPr>
        <w:t xml:space="preserve"> y 3.520 casos </w:t>
      </w:r>
      <w:r>
        <w:rPr>
          <w:sz w:val="16"/>
          <w:szCs w:val="16"/>
        </w:rPr>
        <w:t xml:space="preserve">de dominios de nivel superior correspondientes a códigos de países </w:t>
      </w:r>
      <w:r w:rsidRPr="00650E6F">
        <w:rPr>
          <w:sz w:val="16"/>
          <w:szCs w:val="16"/>
        </w:rPr>
        <w:t>(</w:t>
      </w:r>
      <w:proofErr w:type="spellStart"/>
      <w:r w:rsidRPr="00650E6F">
        <w:rPr>
          <w:sz w:val="16"/>
          <w:szCs w:val="16"/>
        </w:rPr>
        <w:t>ccTLD</w:t>
      </w:r>
      <w:proofErr w:type="spellEnd"/>
      <w:r w:rsidRPr="00650E6F">
        <w:rPr>
          <w:sz w:val="16"/>
          <w:szCs w:val="16"/>
        </w:rPr>
        <w:t>).</w:t>
      </w:r>
    </w:p>
  </w:footnote>
  <w:footnote w:id="5">
    <w:p w:rsidR="00121C2F" w:rsidRPr="00486CC1" w:rsidRDefault="00121C2F" w:rsidP="006760C1">
      <w:pPr>
        <w:pStyle w:val="FootnoteText"/>
      </w:pPr>
      <w:r w:rsidRPr="00B527D7">
        <w:rPr>
          <w:sz w:val="16"/>
          <w:szCs w:val="16"/>
          <w:vertAlign w:val="superscript"/>
        </w:rPr>
        <w:footnoteRef/>
      </w:r>
      <w:r w:rsidRPr="00486CC1">
        <w:rPr>
          <w:sz w:val="16"/>
          <w:szCs w:val="16"/>
        </w:rPr>
        <w:t xml:space="preserve"> El aumento del 138% en la demanda de los cursos avanzados a distancia guarda relación con la elevada participación de los CATI, en particular de Marruecos, Madagascar y Sud</w:t>
      </w:r>
      <w:r>
        <w:rPr>
          <w:sz w:val="16"/>
          <w:szCs w:val="16"/>
        </w:rPr>
        <w:t>áfrica</w:t>
      </w:r>
      <w:r w:rsidRPr="00486CC1">
        <w:rPr>
          <w:sz w:val="16"/>
          <w:szCs w:val="16"/>
        </w:rPr>
        <w:t xml:space="preserve">, </w:t>
      </w:r>
      <w:r>
        <w:rPr>
          <w:sz w:val="16"/>
          <w:szCs w:val="16"/>
        </w:rPr>
        <w:t xml:space="preserve">y con el incremento de la disponibilidad de cursos a distancia impartidos en los seis idiomas oficiales de la ONU a fines de </w:t>
      </w:r>
      <w:r w:rsidRPr="00486CC1">
        <w:rPr>
          <w:sz w:val="16"/>
          <w:szCs w:val="16"/>
        </w:rPr>
        <w:t>2015.</w:t>
      </w:r>
      <w:r w:rsidRPr="00486CC1">
        <w:t xml:space="preserve">  </w:t>
      </w:r>
    </w:p>
  </w:footnote>
  <w:footnote w:id="6">
    <w:p w:rsidR="00121C2F" w:rsidRPr="00FC30E7" w:rsidRDefault="00121C2F" w:rsidP="005439FA">
      <w:pPr>
        <w:autoSpaceDE w:val="0"/>
        <w:autoSpaceDN w:val="0"/>
        <w:adjustRightInd w:val="0"/>
        <w:rPr>
          <w:sz w:val="16"/>
          <w:szCs w:val="16"/>
        </w:rPr>
      </w:pPr>
      <w:r>
        <w:rPr>
          <w:rStyle w:val="FootnoteReference"/>
        </w:rPr>
        <w:footnoteRef/>
      </w:r>
      <w:r w:rsidRPr="00E90752">
        <w:rPr>
          <w:sz w:val="16"/>
          <w:szCs w:val="16"/>
        </w:rPr>
        <w:t>Denominad</w:t>
      </w:r>
      <w:r>
        <w:rPr>
          <w:sz w:val="16"/>
          <w:szCs w:val="16"/>
        </w:rPr>
        <w:t>o</w:t>
      </w:r>
      <w:r w:rsidRPr="00E90752">
        <w:rPr>
          <w:sz w:val="16"/>
          <w:szCs w:val="16"/>
        </w:rPr>
        <w:t xml:space="preserve"> anteriormente </w:t>
      </w:r>
      <w:r w:rsidRPr="00E90752">
        <w:rPr>
          <w:rFonts w:eastAsia="Arial Unicode MS"/>
          <w:sz w:val="16"/>
          <w:szCs w:val="16"/>
        </w:rPr>
        <w:t>Auxiliar para la traducción de títulos y resúmenes de patentes (TAPTA).</w:t>
      </w:r>
    </w:p>
  </w:footnote>
  <w:footnote w:id="7">
    <w:p w:rsidR="00121C2F" w:rsidRPr="005E0A7D" w:rsidRDefault="00121C2F" w:rsidP="006760C1">
      <w:pPr>
        <w:pStyle w:val="FootnoteText"/>
      </w:pPr>
      <w:r>
        <w:rPr>
          <w:rStyle w:val="FootnoteReference"/>
        </w:rPr>
        <w:footnoteRef/>
      </w:r>
      <w:r w:rsidRPr="005E0A7D">
        <w:t xml:space="preserve"> </w:t>
      </w:r>
      <w:r w:rsidRPr="005E0A7D">
        <w:rPr>
          <w:sz w:val="16"/>
          <w:szCs w:val="16"/>
        </w:rPr>
        <w:t xml:space="preserve">En el </w:t>
      </w:r>
      <w:r>
        <w:rPr>
          <w:sz w:val="16"/>
          <w:szCs w:val="16"/>
        </w:rPr>
        <w:t xml:space="preserve">documento PPR de </w:t>
      </w:r>
      <w:r w:rsidRPr="005E0A7D">
        <w:rPr>
          <w:sz w:val="16"/>
          <w:szCs w:val="16"/>
        </w:rPr>
        <w:t xml:space="preserve">2012/13, </w:t>
      </w:r>
      <w:r>
        <w:rPr>
          <w:sz w:val="16"/>
          <w:szCs w:val="16"/>
        </w:rPr>
        <w:t xml:space="preserve">se indicó la referencia de que en 89 países se publicaron informaciones sobre la campaña anual del Día Mundial de la P.I.  </w:t>
      </w:r>
      <w:r w:rsidRPr="005E0A7D">
        <w:rPr>
          <w:sz w:val="16"/>
          <w:szCs w:val="16"/>
        </w:rPr>
        <w:t>El número real de países en los que se inform</w:t>
      </w:r>
      <w:r>
        <w:rPr>
          <w:sz w:val="16"/>
          <w:szCs w:val="16"/>
        </w:rPr>
        <w:t xml:space="preserve">ó fue de </w:t>
      </w:r>
      <w:r w:rsidRPr="005E0A7D">
        <w:rPr>
          <w:sz w:val="16"/>
          <w:szCs w:val="16"/>
        </w:rPr>
        <w:t>93.</w:t>
      </w:r>
    </w:p>
  </w:footnote>
  <w:footnote w:id="8">
    <w:p w:rsidR="00121C2F" w:rsidRPr="00184A06" w:rsidRDefault="00121C2F" w:rsidP="00DC1333">
      <w:pPr>
        <w:pStyle w:val="FootnoteText"/>
        <w:rPr>
          <w:sz w:val="16"/>
          <w:szCs w:val="16"/>
        </w:rPr>
      </w:pPr>
      <w:r>
        <w:rPr>
          <w:rStyle w:val="FootnoteReference"/>
        </w:rPr>
        <w:footnoteRef/>
      </w:r>
      <w:r w:rsidRPr="00184A06">
        <w:t xml:space="preserve"> </w:t>
      </w:r>
      <w:r w:rsidRPr="00184A06">
        <w:rPr>
          <w:sz w:val="16"/>
          <w:szCs w:val="16"/>
        </w:rPr>
        <w:t xml:space="preserve">Conforme a lo que se viene haciendo </w:t>
      </w:r>
      <w:r>
        <w:rPr>
          <w:sz w:val="16"/>
          <w:szCs w:val="16"/>
        </w:rPr>
        <w:t>hasta la fecha, se incluye a los países con economías en transición a los fines del presupuesto por programas.</w:t>
      </w:r>
    </w:p>
  </w:footnote>
  <w:footnote w:id="9">
    <w:p w:rsidR="00121C2F" w:rsidRPr="00801E65" w:rsidRDefault="00121C2F" w:rsidP="00FA423E">
      <w:pPr>
        <w:pStyle w:val="FootnoteText"/>
        <w:rPr>
          <w:sz w:val="16"/>
          <w:szCs w:val="16"/>
        </w:rPr>
      </w:pPr>
      <w:r w:rsidRPr="00801E65">
        <w:rPr>
          <w:rStyle w:val="FootnoteReference"/>
          <w:sz w:val="16"/>
          <w:szCs w:val="16"/>
        </w:rPr>
        <w:footnoteRef/>
      </w:r>
      <w:r w:rsidRPr="00801E65">
        <w:rPr>
          <w:sz w:val="16"/>
          <w:szCs w:val="16"/>
        </w:rPr>
        <w:t xml:space="preserve"> Los datos correspondientes a 2015 resultan de un nuevo método de cálculo del porcentaje de satisfacción.</w:t>
      </w:r>
    </w:p>
  </w:footnote>
  <w:footnote w:id="10">
    <w:p w:rsidR="00121C2F" w:rsidRPr="00801E65" w:rsidRDefault="00121C2F" w:rsidP="00FA423E">
      <w:pPr>
        <w:pStyle w:val="FootnoteText"/>
        <w:rPr>
          <w:sz w:val="16"/>
          <w:szCs w:val="16"/>
        </w:rPr>
      </w:pPr>
      <w:r w:rsidRPr="00801E65">
        <w:rPr>
          <w:rStyle w:val="FootnoteReference"/>
          <w:sz w:val="16"/>
          <w:szCs w:val="16"/>
        </w:rPr>
        <w:footnoteRef/>
      </w:r>
      <w:r w:rsidRPr="00801E65">
        <w:rPr>
          <w:sz w:val="16"/>
          <w:szCs w:val="16"/>
        </w:rPr>
        <w:t xml:space="preserve"> Informe del 47º período de sesiones de la Asamblea General de la OMPI: </w:t>
      </w:r>
      <w:hyperlink r:id="rId1" w:history="1">
        <w:r w:rsidRPr="00801E65">
          <w:rPr>
            <w:rStyle w:val="Hyperlink"/>
            <w:sz w:val="16"/>
            <w:szCs w:val="16"/>
          </w:rPr>
          <w:t>WO/GA/47/19</w:t>
        </w:r>
      </w:hyperlink>
    </w:p>
  </w:footnote>
  <w:footnote w:id="11">
    <w:p w:rsidR="00121C2F" w:rsidRPr="007B2775" w:rsidRDefault="00121C2F" w:rsidP="00FA423E">
      <w:pPr>
        <w:pStyle w:val="FootnoteText"/>
        <w:rPr>
          <w:sz w:val="16"/>
          <w:szCs w:val="16"/>
          <w:lang w:val="es-ES_tradnl"/>
        </w:rPr>
      </w:pPr>
      <w:r w:rsidRPr="007B2775">
        <w:rPr>
          <w:rStyle w:val="FootnoteReference"/>
          <w:sz w:val="16"/>
          <w:szCs w:val="16"/>
        </w:rPr>
        <w:footnoteRef/>
      </w:r>
      <w:r>
        <w:rPr>
          <w:sz w:val="16"/>
          <w:szCs w:val="16"/>
          <w:lang w:val="es-ES_tradnl"/>
        </w:rPr>
        <w:t xml:space="preserve"> Corrección</w:t>
      </w:r>
      <w:proofErr w:type="gramStart"/>
      <w:r>
        <w:rPr>
          <w:sz w:val="16"/>
          <w:szCs w:val="16"/>
          <w:lang w:val="es-ES_tradnl"/>
        </w:rPr>
        <w:t>:  E</w:t>
      </w:r>
      <w:r w:rsidRPr="007B2775">
        <w:rPr>
          <w:sz w:val="16"/>
          <w:szCs w:val="16"/>
          <w:lang w:val="es-ES_tradnl"/>
        </w:rPr>
        <w:t>l</w:t>
      </w:r>
      <w:proofErr w:type="gramEnd"/>
      <w:r w:rsidRPr="007B2775">
        <w:rPr>
          <w:sz w:val="16"/>
          <w:szCs w:val="16"/>
          <w:lang w:val="es-ES_tradnl"/>
        </w:rPr>
        <w:t xml:space="preserve"> número de peticiones de comunicación en virtud del Artículo 6</w:t>
      </w:r>
      <w:r w:rsidRPr="007B2775">
        <w:rPr>
          <w:i/>
          <w:sz w:val="16"/>
          <w:szCs w:val="16"/>
          <w:lang w:val="es-ES_tradnl"/>
        </w:rPr>
        <w:t>ter</w:t>
      </w:r>
      <w:r w:rsidRPr="007B2775">
        <w:rPr>
          <w:sz w:val="16"/>
          <w:szCs w:val="16"/>
          <w:lang w:val="es-ES_tradnl"/>
        </w:rPr>
        <w:t xml:space="preserve"> tramitadas en 2012 se elevó en realidad </w:t>
      </w:r>
      <w:r>
        <w:rPr>
          <w:sz w:val="16"/>
          <w:szCs w:val="16"/>
          <w:lang w:val="es-ES_tradnl"/>
        </w:rPr>
        <w:t>a 69</w:t>
      </w:r>
      <w:r w:rsidRPr="007B2775">
        <w:rPr>
          <w:sz w:val="16"/>
          <w:szCs w:val="16"/>
          <w:lang w:val="es-ES_tradnl"/>
        </w:rPr>
        <w:t xml:space="preserve">, tal como se informa en el </w:t>
      </w:r>
      <w:r>
        <w:rPr>
          <w:sz w:val="16"/>
          <w:szCs w:val="16"/>
          <w:lang w:val="es-ES_tradnl"/>
        </w:rPr>
        <w:t>Informe sobre el rendimiento de los programas en</w:t>
      </w:r>
      <w:r w:rsidRPr="007B2775">
        <w:rPr>
          <w:sz w:val="16"/>
          <w:szCs w:val="16"/>
          <w:lang w:val="es-ES_tradnl"/>
        </w:rPr>
        <w:t xml:space="preserve"> 2012/13.</w:t>
      </w:r>
    </w:p>
  </w:footnote>
  <w:footnote w:id="12">
    <w:p w:rsidR="00121C2F" w:rsidRPr="007B2775" w:rsidRDefault="00121C2F" w:rsidP="00FA423E">
      <w:pPr>
        <w:pStyle w:val="FootnoteText"/>
        <w:rPr>
          <w:sz w:val="16"/>
          <w:szCs w:val="16"/>
          <w:lang w:val="es-ES_tradnl"/>
        </w:rPr>
      </w:pPr>
      <w:r w:rsidRPr="007B2775">
        <w:rPr>
          <w:rStyle w:val="FootnoteReference"/>
          <w:sz w:val="16"/>
          <w:szCs w:val="16"/>
        </w:rPr>
        <w:footnoteRef/>
      </w:r>
      <w:r w:rsidRPr="007B2775">
        <w:rPr>
          <w:sz w:val="16"/>
          <w:szCs w:val="16"/>
          <w:lang w:val="es-ES_tradnl"/>
        </w:rPr>
        <w:t xml:space="preserve"> Corrección</w:t>
      </w:r>
      <w:proofErr w:type="gramStart"/>
      <w:r w:rsidRPr="007B2775">
        <w:rPr>
          <w:sz w:val="16"/>
          <w:szCs w:val="16"/>
          <w:lang w:val="es-ES_tradnl"/>
        </w:rPr>
        <w:t>:  El</w:t>
      </w:r>
      <w:proofErr w:type="gramEnd"/>
      <w:r w:rsidRPr="007B2775">
        <w:rPr>
          <w:sz w:val="16"/>
          <w:szCs w:val="16"/>
          <w:lang w:val="es-ES_tradnl"/>
        </w:rPr>
        <w:t xml:space="preserve"> número de signos publicados en la base de base de datos sobre el Artículo 6</w:t>
      </w:r>
      <w:r w:rsidRPr="007B2775">
        <w:rPr>
          <w:i/>
          <w:sz w:val="16"/>
          <w:szCs w:val="16"/>
          <w:lang w:val="es-ES_tradnl"/>
        </w:rPr>
        <w:t>ter</w:t>
      </w:r>
      <w:r w:rsidRPr="007B2775">
        <w:rPr>
          <w:sz w:val="16"/>
          <w:szCs w:val="16"/>
          <w:lang w:val="es-ES_tradnl"/>
        </w:rPr>
        <w:t xml:space="preserve"> a finales de 2012 se elevó en realidad </w:t>
      </w:r>
      <w:r>
        <w:rPr>
          <w:sz w:val="16"/>
          <w:szCs w:val="16"/>
          <w:lang w:val="es-ES_tradnl"/>
        </w:rPr>
        <w:t>a 84,</w:t>
      </w:r>
      <w:r w:rsidRPr="007B2775">
        <w:rPr>
          <w:sz w:val="16"/>
          <w:szCs w:val="16"/>
          <w:lang w:val="es-ES_tradnl"/>
        </w:rPr>
        <w:t xml:space="preserve"> tal como se informa en el </w:t>
      </w:r>
      <w:r>
        <w:rPr>
          <w:sz w:val="16"/>
          <w:szCs w:val="16"/>
          <w:lang w:val="es-ES_tradnl"/>
        </w:rPr>
        <w:t>Informe sobre el rendimiento de los programas en</w:t>
      </w:r>
      <w:r w:rsidRPr="007B2775">
        <w:rPr>
          <w:sz w:val="16"/>
          <w:szCs w:val="16"/>
          <w:lang w:val="es-ES_tradnl"/>
        </w:rPr>
        <w:t xml:space="preserve"> 2012/13.</w:t>
      </w:r>
    </w:p>
  </w:footnote>
  <w:footnote w:id="13">
    <w:p w:rsidR="00121C2F" w:rsidRPr="007B2775" w:rsidRDefault="00121C2F" w:rsidP="00FA423E">
      <w:pPr>
        <w:pStyle w:val="FootnoteText"/>
        <w:rPr>
          <w:sz w:val="16"/>
          <w:szCs w:val="16"/>
          <w:lang w:val="es-ES_tradnl"/>
        </w:rPr>
      </w:pPr>
      <w:r w:rsidRPr="007B2775">
        <w:rPr>
          <w:rStyle w:val="FootnoteReference"/>
          <w:sz w:val="16"/>
          <w:szCs w:val="16"/>
        </w:rPr>
        <w:footnoteRef/>
      </w:r>
      <w:r w:rsidRPr="007B2775">
        <w:rPr>
          <w:sz w:val="16"/>
          <w:szCs w:val="16"/>
          <w:lang w:val="es-ES_tradnl"/>
        </w:rPr>
        <w:t xml:space="preserve"> El objetivo se refiere al número de signos publicados durante el bienio 2014/15.</w:t>
      </w:r>
    </w:p>
  </w:footnote>
  <w:footnote w:id="14">
    <w:p w:rsidR="00121C2F" w:rsidRPr="002F1170" w:rsidRDefault="00121C2F" w:rsidP="00FA423E">
      <w:pPr>
        <w:pStyle w:val="FootnoteText"/>
        <w:rPr>
          <w:sz w:val="16"/>
          <w:szCs w:val="16"/>
        </w:rPr>
      </w:pPr>
      <w:r w:rsidRPr="002F1170">
        <w:rPr>
          <w:rStyle w:val="FootnoteReference"/>
          <w:sz w:val="16"/>
          <w:szCs w:val="16"/>
        </w:rPr>
        <w:footnoteRef/>
      </w:r>
      <w:r w:rsidRPr="002F1170">
        <w:rPr>
          <w:sz w:val="16"/>
          <w:szCs w:val="16"/>
        </w:rPr>
        <w:t xml:space="preserve"> http://www.bakermckenzie.com/intellectualproperty/csh2014/</w:t>
      </w:r>
    </w:p>
  </w:footnote>
  <w:footnote w:id="15">
    <w:p w:rsidR="00121C2F" w:rsidRPr="00FC52CF" w:rsidRDefault="00121C2F" w:rsidP="00FA423E">
      <w:pPr>
        <w:pStyle w:val="FootnoteText"/>
        <w:rPr>
          <w:sz w:val="16"/>
          <w:szCs w:val="16"/>
        </w:rPr>
      </w:pPr>
      <w:r w:rsidRPr="00FC52CF">
        <w:rPr>
          <w:rStyle w:val="FootnoteReference"/>
          <w:sz w:val="16"/>
          <w:szCs w:val="16"/>
        </w:rPr>
        <w:footnoteRef/>
      </w:r>
      <w:r w:rsidRPr="00FC52CF">
        <w:rPr>
          <w:sz w:val="16"/>
          <w:szCs w:val="16"/>
        </w:rPr>
        <w:t xml:space="preserve"> Corrección</w:t>
      </w:r>
      <w:proofErr w:type="gramStart"/>
      <w:r w:rsidRPr="00FC52CF">
        <w:rPr>
          <w:sz w:val="16"/>
          <w:szCs w:val="16"/>
        </w:rPr>
        <w:t>:  La</w:t>
      </w:r>
      <w:proofErr w:type="gramEnd"/>
      <w:r w:rsidRPr="00FC52CF">
        <w:rPr>
          <w:sz w:val="16"/>
          <w:szCs w:val="16"/>
        </w:rPr>
        <w:t xml:space="preserve"> lista de países mencionada refleja un sistema más sistemático de seguimiento que se puso en práctica en 2015 para supervisar el TAG.  En 2014 Cabo Verde y Etiopía no habían cursado manifestaciones formales de interés, tal como se señaló en el Informe del rendimiento de los programas en 2014.</w:t>
      </w:r>
    </w:p>
  </w:footnote>
  <w:footnote w:id="16">
    <w:p w:rsidR="00121C2F" w:rsidRPr="007B2775" w:rsidRDefault="00121C2F" w:rsidP="00FA423E">
      <w:pPr>
        <w:pStyle w:val="FootnoteText"/>
        <w:rPr>
          <w:sz w:val="16"/>
          <w:szCs w:val="16"/>
        </w:rPr>
      </w:pPr>
      <w:r w:rsidRPr="007B2775">
        <w:rPr>
          <w:rStyle w:val="FootnoteReference"/>
          <w:sz w:val="16"/>
          <w:szCs w:val="16"/>
        </w:rPr>
        <w:footnoteRef/>
      </w:r>
      <w:r w:rsidRPr="007B2775">
        <w:rPr>
          <w:sz w:val="16"/>
          <w:szCs w:val="16"/>
        </w:rPr>
        <w:t xml:space="preserve"> Corrección</w:t>
      </w:r>
      <w:proofErr w:type="gramStart"/>
      <w:r w:rsidRPr="007B2775">
        <w:rPr>
          <w:sz w:val="16"/>
          <w:szCs w:val="16"/>
        </w:rPr>
        <w:t xml:space="preserve">:  </w:t>
      </w:r>
      <w:r>
        <w:rPr>
          <w:sz w:val="16"/>
          <w:szCs w:val="16"/>
        </w:rPr>
        <w:t>Se</w:t>
      </w:r>
      <w:proofErr w:type="gramEnd"/>
      <w:r>
        <w:rPr>
          <w:sz w:val="16"/>
          <w:szCs w:val="16"/>
        </w:rPr>
        <w:t xml:space="preserve"> había señalado</w:t>
      </w:r>
      <w:r w:rsidRPr="007B2775">
        <w:rPr>
          <w:sz w:val="16"/>
          <w:szCs w:val="16"/>
        </w:rPr>
        <w:t xml:space="preserve"> que </w:t>
      </w:r>
      <w:r>
        <w:rPr>
          <w:sz w:val="16"/>
          <w:szCs w:val="16"/>
        </w:rPr>
        <w:t>había</w:t>
      </w:r>
      <w:r w:rsidRPr="007B2775">
        <w:rPr>
          <w:sz w:val="16"/>
          <w:szCs w:val="16"/>
        </w:rPr>
        <w:t xml:space="preserve"> 18 oficinas de derecho de autor que utilizaban el sistema GDA a fines de 2013.  El número correcto de oficinas </w:t>
      </w:r>
      <w:r>
        <w:rPr>
          <w:sz w:val="16"/>
          <w:szCs w:val="16"/>
        </w:rPr>
        <w:t>era de</w:t>
      </w:r>
      <w:r w:rsidRPr="007B2775">
        <w:rPr>
          <w:sz w:val="16"/>
          <w:szCs w:val="16"/>
        </w:rPr>
        <w:t xml:space="preserve"> 15, </w:t>
      </w:r>
      <w:r>
        <w:rPr>
          <w:sz w:val="16"/>
          <w:szCs w:val="16"/>
        </w:rPr>
        <w:t>lo cual</w:t>
      </w:r>
      <w:r w:rsidRPr="007B2775">
        <w:rPr>
          <w:sz w:val="16"/>
          <w:szCs w:val="16"/>
        </w:rPr>
        <w:t xml:space="preserve"> se ajustaba al objetivo</w:t>
      </w:r>
      <w:r>
        <w:rPr>
          <w:sz w:val="16"/>
          <w:szCs w:val="16"/>
        </w:rPr>
        <w:t xml:space="preserve"> de 15 oficinas</w:t>
      </w:r>
      <w:r w:rsidRPr="007B2775">
        <w:rPr>
          <w:sz w:val="16"/>
          <w:szCs w:val="16"/>
        </w:rPr>
        <w:t xml:space="preserve"> que se había fijado para el bienio 2012/13.</w:t>
      </w:r>
    </w:p>
  </w:footnote>
  <w:footnote w:id="17">
    <w:p w:rsidR="00121C2F" w:rsidRPr="007B2775" w:rsidRDefault="00121C2F" w:rsidP="00FA423E">
      <w:pPr>
        <w:pStyle w:val="FootnoteText"/>
        <w:rPr>
          <w:sz w:val="16"/>
          <w:szCs w:val="16"/>
        </w:rPr>
      </w:pPr>
      <w:r w:rsidRPr="007B2775">
        <w:rPr>
          <w:rStyle w:val="FootnoteReference"/>
          <w:sz w:val="16"/>
          <w:szCs w:val="16"/>
        </w:rPr>
        <w:footnoteRef/>
      </w:r>
      <w:r w:rsidRPr="007B2775">
        <w:rPr>
          <w:sz w:val="16"/>
          <w:szCs w:val="16"/>
        </w:rPr>
        <w:t xml:space="preserve"> </w:t>
      </w:r>
      <w:hyperlink r:id="rId2" w:history="1">
        <w:r w:rsidRPr="007B2775">
          <w:rPr>
            <w:rStyle w:val="Hyperlink"/>
            <w:sz w:val="16"/>
            <w:szCs w:val="16"/>
          </w:rPr>
          <w:t>http://www.wipo.int/edocs/pubdocs/en/wipo_pub_1043.pdf</w:t>
        </w:r>
      </w:hyperlink>
      <w:r w:rsidRPr="007B2775">
        <w:rPr>
          <w:sz w:val="16"/>
          <w:szCs w:val="16"/>
        </w:rPr>
        <w:t>.</w:t>
      </w:r>
    </w:p>
  </w:footnote>
  <w:footnote w:id="18">
    <w:p w:rsidR="00121C2F" w:rsidRPr="007B2775" w:rsidRDefault="00121C2F" w:rsidP="00CF11D1">
      <w:pPr>
        <w:pStyle w:val="FootnoteText"/>
        <w:rPr>
          <w:sz w:val="16"/>
          <w:szCs w:val="16"/>
        </w:rPr>
      </w:pPr>
      <w:r w:rsidRPr="00084BC1">
        <w:rPr>
          <w:rStyle w:val="FootnoteReference"/>
          <w:sz w:val="16"/>
          <w:szCs w:val="16"/>
        </w:rPr>
        <w:footnoteRef/>
      </w:r>
      <w:r w:rsidRPr="00084BC1">
        <w:rPr>
          <w:sz w:val="16"/>
          <w:szCs w:val="16"/>
        </w:rPr>
        <w:t xml:space="preserve"> Excepcionalmente</w:t>
      </w:r>
      <w:r w:rsidRPr="007B2775">
        <w:rPr>
          <w:sz w:val="16"/>
          <w:szCs w:val="16"/>
        </w:rPr>
        <w:t>, el objetivo original “Decisiones de los órganos pertinentes del PCT hasta el final de 2015” ha sido modificado para facilitar la evaluación de los progresos realizados en el desarrollo del Sistema del PCT, en sintonía con las recomendaciones de la hoja de ruta del PCT.</w:t>
      </w:r>
    </w:p>
  </w:footnote>
  <w:footnote w:id="19">
    <w:p w:rsidR="00121C2F" w:rsidRPr="001E296E" w:rsidRDefault="00121C2F" w:rsidP="00CF11D1">
      <w:pPr>
        <w:pStyle w:val="FootnoteText"/>
        <w:rPr>
          <w:sz w:val="16"/>
          <w:szCs w:val="16"/>
        </w:rPr>
      </w:pPr>
      <w:r w:rsidRPr="001E296E">
        <w:rPr>
          <w:rStyle w:val="FootnoteReference"/>
          <w:sz w:val="16"/>
          <w:szCs w:val="16"/>
        </w:rPr>
        <w:footnoteRef/>
      </w:r>
      <w:r w:rsidRPr="001E296E">
        <w:rPr>
          <w:sz w:val="16"/>
          <w:szCs w:val="16"/>
        </w:rPr>
        <w:t xml:space="preserve"> El incremento de los costos unitarios en 2015 se debió</w:t>
      </w:r>
      <w:r>
        <w:rPr>
          <w:sz w:val="16"/>
          <w:szCs w:val="16"/>
        </w:rPr>
        <w:t xml:space="preserve"> tanto</w:t>
      </w:r>
      <w:r w:rsidRPr="001E296E">
        <w:rPr>
          <w:sz w:val="16"/>
          <w:szCs w:val="16"/>
        </w:rPr>
        <w:t xml:space="preserve"> al aumento de los gastos directos e indirectos </w:t>
      </w:r>
      <w:r>
        <w:rPr>
          <w:sz w:val="16"/>
          <w:szCs w:val="16"/>
        </w:rPr>
        <w:t>como</w:t>
      </w:r>
      <w:r w:rsidRPr="001E296E">
        <w:rPr>
          <w:sz w:val="16"/>
          <w:szCs w:val="16"/>
        </w:rPr>
        <w:t xml:space="preserve"> a la disminución del número de solicitudes publicadas en comparación con 2014.  En la sección “Costo unitario de tramitación de las solicitudes”, que figura en el Anexo</w:t>
      </w:r>
      <w:proofErr w:type="gramStart"/>
      <w:r w:rsidRPr="001E296E">
        <w:rPr>
          <w:sz w:val="16"/>
          <w:szCs w:val="16"/>
        </w:rPr>
        <w:t>:  Indicadores</w:t>
      </w:r>
      <w:proofErr w:type="gramEnd"/>
      <w:r w:rsidRPr="001E296E">
        <w:rPr>
          <w:sz w:val="16"/>
          <w:szCs w:val="16"/>
        </w:rPr>
        <w:t xml:space="preserve"> de las operaciones del PCT, se ofrece una explicación más detallada.</w:t>
      </w:r>
    </w:p>
  </w:footnote>
  <w:footnote w:id="20">
    <w:p w:rsidR="00121C2F" w:rsidRPr="001E296E" w:rsidRDefault="00121C2F" w:rsidP="00CF11D1">
      <w:pPr>
        <w:pStyle w:val="FootnoteText"/>
        <w:rPr>
          <w:sz w:val="16"/>
          <w:szCs w:val="16"/>
        </w:rPr>
      </w:pPr>
      <w:r w:rsidRPr="001E296E">
        <w:rPr>
          <w:rStyle w:val="FootnoteReference"/>
          <w:sz w:val="16"/>
          <w:szCs w:val="16"/>
        </w:rPr>
        <w:footnoteRef/>
      </w:r>
      <w:r w:rsidRPr="001E296E">
        <w:rPr>
          <w:sz w:val="16"/>
          <w:szCs w:val="16"/>
        </w:rPr>
        <w:t xml:space="preserve"> Esta cifra actualizada en relación con el 95,3% que se indicó en el Informe sobre el rendimiento de los programas en 2014 se calculó utilizando los datos más recientes disponibles.</w:t>
      </w:r>
    </w:p>
  </w:footnote>
  <w:footnote w:id="21">
    <w:p w:rsidR="00121C2F" w:rsidRPr="007B2775" w:rsidRDefault="00121C2F" w:rsidP="00CF11D1">
      <w:pPr>
        <w:tabs>
          <w:tab w:val="left" w:pos="330"/>
        </w:tabs>
        <w:spacing w:after="120"/>
        <w:rPr>
          <w:sz w:val="16"/>
          <w:szCs w:val="16"/>
          <w:lang w:val="es-ES_tradnl"/>
        </w:rPr>
      </w:pPr>
      <w:r w:rsidRPr="007B2775">
        <w:rPr>
          <w:rStyle w:val="FootnoteReference"/>
          <w:sz w:val="16"/>
          <w:szCs w:val="16"/>
        </w:rPr>
        <w:footnoteRef/>
      </w:r>
      <w:r>
        <w:rPr>
          <w:sz w:val="16"/>
          <w:szCs w:val="16"/>
          <w:lang w:val="es-ES_tradnl"/>
        </w:rPr>
        <w:t xml:space="preserve"> </w:t>
      </w:r>
      <w:r w:rsidRPr="007B2775">
        <w:rPr>
          <w:sz w:val="16"/>
          <w:szCs w:val="16"/>
          <w:lang w:val="es-ES_tradnl"/>
        </w:rPr>
        <w:t>Se entiende por ejemplar original una solicitud PCT que, una vez presentada ante una Oficina receptora, es tramitada y remitida por ésta a la Oficina Internacional.  Puesto que los ejemplares originales son remitidos a la Oficina Internacional una vez que fueron tramitados por una Oficina receptora, los plazos de tramitación aplicados por dichas oficinas tendrán una marcada incidencia en las estadísticas.  Por ello, si bien las tendencias relativas a la recepción de ejemplares originales son indicadores válidos del volumen de trabajo de la Oficina Internacional, no se ajustan fielmente a las tendencias relativas a la presentación de solicitudes PCT.</w:t>
      </w:r>
    </w:p>
  </w:footnote>
  <w:footnote w:id="22">
    <w:p w:rsidR="00121C2F" w:rsidRPr="007B2775" w:rsidRDefault="00121C2F" w:rsidP="00CF11D1">
      <w:pPr>
        <w:rPr>
          <w:sz w:val="16"/>
          <w:szCs w:val="16"/>
          <w:lang w:val="es-ES_tradnl"/>
        </w:rPr>
      </w:pPr>
      <w:r w:rsidRPr="007B2775">
        <w:rPr>
          <w:rStyle w:val="FootnoteReference"/>
          <w:sz w:val="16"/>
          <w:szCs w:val="16"/>
        </w:rPr>
        <w:footnoteRef/>
      </w:r>
      <w:r w:rsidRPr="007B2775">
        <w:rPr>
          <w:sz w:val="16"/>
          <w:szCs w:val="16"/>
          <w:lang w:val="es-ES_tradnl"/>
        </w:rPr>
        <w:t xml:space="preserve"> Tras una revisión independiente de los parámetros de rendimiento del Servicio de Sistemas de Información del PCT, su definición se modificó ligeramente con respecto a la que se describe en el presupuesto por programas de </w:t>
      </w:r>
      <w:r w:rsidRPr="007B2775">
        <w:rPr>
          <w:sz w:val="16"/>
          <w:szCs w:val="16"/>
          <w:highlight w:val="white"/>
          <w:lang w:val="es-ES_tradnl"/>
        </w:rPr>
        <w:t>2014/15</w:t>
      </w:r>
    </w:p>
  </w:footnote>
  <w:footnote w:id="23">
    <w:p w:rsidR="00121C2F" w:rsidRPr="00D37997" w:rsidRDefault="00121C2F" w:rsidP="00CF11D1">
      <w:pPr>
        <w:pStyle w:val="FootnoteText"/>
        <w:rPr>
          <w:sz w:val="16"/>
          <w:szCs w:val="16"/>
          <w:lang w:val="es-ES_tradnl"/>
        </w:rPr>
      </w:pPr>
      <w:r w:rsidRPr="000C22A0">
        <w:rPr>
          <w:rStyle w:val="FootnoteReference"/>
          <w:sz w:val="16"/>
          <w:szCs w:val="16"/>
        </w:rPr>
        <w:footnoteRef/>
      </w:r>
      <w:r w:rsidRPr="00D37997">
        <w:rPr>
          <w:sz w:val="16"/>
          <w:szCs w:val="16"/>
          <w:lang w:val="es-ES_tradnl"/>
        </w:rPr>
        <w:t xml:space="preserve">  Los datos se han actualizado a fin de reflejar las cifras m</w:t>
      </w:r>
      <w:r>
        <w:rPr>
          <w:sz w:val="16"/>
          <w:szCs w:val="16"/>
          <w:lang w:val="es-ES_tradnl"/>
        </w:rPr>
        <w:t xml:space="preserve">ás recientes obtenidas desde que se finalizó el Informe sobre el rendimiento de los programas en </w:t>
      </w:r>
      <w:r w:rsidRPr="00D37997">
        <w:rPr>
          <w:sz w:val="16"/>
          <w:szCs w:val="16"/>
          <w:lang w:val="es-ES_tradnl"/>
        </w:rPr>
        <w:t>2014.</w:t>
      </w:r>
    </w:p>
  </w:footnote>
  <w:footnote w:id="24">
    <w:p w:rsidR="00121C2F" w:rsidRPr="00D37997" w:rsidRDefault="00121C2F" w:rsidP="00CF11D1">
      <w:pPr>
        <w:pStyle w:val="FootnoteText"/>
        <w:rPr>
          <w:sz w:val="16"/>
          <w:szCs w:val="16"/>
          <w:lang w:val="es-ES_tradnl"/>
        </w:rPr>
      </w:pPr>
      <w:r w:rsidRPr="000C22A0">
        <w:rPr>
          <w:rStyle w:val="FootnoteReference"/>
          <w:sz w:val="16"/>
          <w:szCs w:val="16"/>
        </w:rPr>
        <w:footnoteRef/>
      </w:r>
      <w:r w:rsidRPr="00D37997">
        <w:rPr>
          <w:sz w:val="16"/>
          <w:szCs w:val="16"/>
          <w:lang w:val="es-ES_tradnl"/>
        </w:rPr>
        <w:t xml:space="preserve">  </w:t>
      </w:r>
      <w:r>
        <w:rPr>
          <w:sz w:val="16"/>
          <w:szCs w:val="16"/>
          <w:lang w:val="es-ES_tradnl"/>
        </w:rPr>
        <w:t>Para calcular la</w:t>
      </w:r>
      <w:r w:rsidRPr="00D37997">
        <w:rPr>
          <w:sz w:val="16"/>
          <w:szCs w:val="16"/>
          <w:lang w:val="es-ES_tradnl"/>
        </w:rPr>
        <w:t xml:space="preserve"> cifra actualizada en relación con el 95,3% publicad</w:t>
      </w:r>
      <w:r>
        <w:rPr>
          <w:sz w:val="16"/>
          <w:szCs w:val="16"/>
          <w:lang w:val="es-ES_tradnl"/>
        </w:rPr>
        <w:t>o</w:t>
      </w:r>
      <w:r w:rsidRPr="00D37997">
        <w:rPr>
          <w:sz w:val="16"/>
          <w:szCs w:val="16"/>
          <w:lang w:val="es-ES_tradnl"/>
        </w:rPr>
        <w:t xml:space="preserve"> </w:t>
      </w:r>
      <w:r>
        <w:rPr>
          <w:sz w:val="16"/>
          <w:szCs w:val="16"/>
          <w:lang w:val="es-ES_tradnl"/>
        </w:rPr>
        <w:t>en el Informe sobre el rendimiento de los programas en 2014</w:t>
      </w:r>
      <w:r w:rsidRPr="00D37997">
        <w:rPr>
          <w:sz w:val="16"/>
          <w:szCs w:val="16"/>
          <w:lang w:val="es-ES_tradnl"/>
        </w:rPr>
        <w:t xml:space="preserve"> </w:t>
      </w:r>
      <w:r>
        <w:rPr>
          <w:sz w:val="16"/>
          <w:szCs w:val="16"/>
          <w:lang w:val="es-ES_tradnl"/>
        </w:rPr>
        <w:t>se utilizaron los datos más actualizados</w:t>
      </w:r>
      <w:r w:rsidRPr="00D37997">
        <w:rPr>
          <w:sz w:val="16"/>
          <w:szCs w:val="16"/>
          <w:lang w:val="es-ES_tradnl"/>
        </w:rPr>
        <w:t>.</w:t>
      </w:r>
    </w:p>
  </w:footnote>
  <w:footnote w:id="25">
    <w:p w:rsidR="00121C2F" w:rsidRPr="00584C89" w:rsidRDefault="00121C2F" w:rsidP="00DC1333">
      <w:pPr>
        <w:pStyle w:val="FootnoteText"/>
        <w:rPr>
          <w:sz w:val="16"/>
          <w:szCs w:val="16"/>
        </w:rPr>
      </w:pPr>
      <w:r w:rsidRPr="00E808CB">
        <w:rPr>
          <w:rStyle w:val="FootnoteReference"/>
          <w:sz w:val="16"/>
          <w:szCs w:val="16"/>
        </w:rPr>
        <w:footnoteRef/>
      </w:r>
      <w:r w:rsidRPr="00584C89">
        <w:rPr>
          <w:sz w:val="16"/>
          <w:szCs w:val="16"/>
        </w:rPr>
        <w:t xml:space="preserve"> Corrección</w:t>
      </w:r>
      <w:proofErr w:type="gramStart"/>
      <w:r w:rsidRPr="00584C89">
        <w:rPr>
          <w:sz w:val="16"/>
          <w:szCs w:val="16"/>
        </w:rPr>
        <w:t>:  El</w:t>
      </w:r>
      <w:proofErr w:type="gramEnd"/>
      <w:r w:rsidRPr="00584C89">
        <w:rPr>
          <w:sz w:val="16"/>
          <w:szCs w:val="16"/>
        </w:rPr>
        <w:t xml:space="preserve"> porcentaje de irregularidades</w:t>
      </w:r>
      <w:r>
        <w:rPr>
          <w:sz w:val="16"/>
          <w:szCs w:val="16"/>
        </w:rPr>
        <w:t xml:space="preserve"> a fines de 2013</w:t>
      </w:r>
      <w:r w:rsidRPr="00584C89">
        <w:rPr>
          <w:sz w:val="16"/>
          <w:szCs w:val="16"/>
        </w:rPr>
        <w:t xml:space="preserve"> </w:t>
      </w:r>
      <w:r>
        <w:rPr>
          <w:sz w:val="16"/>
          <w:szCs w:val="16"/>
        </w:rPr>
        <w:t xml:space="preserve">fue </w:t>
      </w:r>
      <w:r w:rsidRPr="00584C89">
        <w:rPr>
          <w:sz w:val="16"/>
          <w:szCs w:val="16"/>
        </w:rPr>
        <w:t>del 32</w:t>
      </w:r>
      <w:r>
        <w:rPr>
          <w:sz w:val="16"/>
          <w:szCs w:val="16"/>
        </w:rPr>
        <w:t>% y no del 36%,</w:t>
      </w:r>
      <w:r w:rsidRPr="00584C89">
        <w:rPr>
          <w:sz w:val="16"/>
          <w:szCs w:val="16"/>
        </w:rPr>
        <w:t xml:space="preserve"> como se indica en el </w:t>
      </w:r>
      <w:r>
        <w:rPr>
          <w:sz w:val="16"/>
          <w:szCs w:val="16"/>
        </w:rPr>
        <w:t xml:space="preserve">informe sobre el rendimiento de los programas de </w:t>
      </w:r>
      <w:r w:rsidRPr="00584C89">
        <w:rPr>
          <w:sz w:val="16"/>
          <w:szCs w:val="16"/>
        </w:rPr>
        <w:t>2014</w:t>
      </w:r>
      <w:r>
        <w:rPr>
          <w:sz w:val="16"/>
          <w:szCs w:val="16"/>
        </w:rPr>
        <w:t>.</w:t>
      </w:r>
    </w:p>
  </w:footnote>
  <w:footnote w:id="26">
    <w:p w:rsidR="00121C2F" w:rsidRPr="007A310A" w:rsidRDefault="00121C2F" w:rsidP="00DC1333">
      <w:pPr>
        <w:pStyle w:val="FootnoteText"/>
        <w:rPr>
          <w:sz w:val="16"/>
          <w:szCs w:val="16"/>
        </w:rPr>
      </w:pPr>
      <w:r w:rsidRPr="00E808CB">
        <w:rPr>
          <w:rStyle w:val="FootnoteReference"/>
          <w:sz w:val="16"/>
          <w:szCs w:val="16"/>
        </w:rPr>
        <w:footnoteRef/>
      </w:r>
      <w:r w:rsidRPr="007A310A">
        <w:rPr>
          <w:sz w:val="16"/>
          <w:szCs w:val="16"/>
        </w:rPr>
        <w:t xml:space="preserve"> Corrección</w:t>
      </w:r>
      <w:proofErr w:type="gramStart"/>
      <w:r w:rsidRPr="007A310A">
        <w:rPr>
          <w:sz w:val="16"/>
          <w:szCs w:val="16"/>
        </w:rPr>
        <w:t>:  El</w:t>
      </w:r>
      <w:proofErr w:type="gramEnd"/>
      <w:r w:rsidRPr="007A310A">
        <w:rPr>
          <w:sz w:val="16"/>
          <w:szCs w:val="16"/>
        </w:rPr>
        <w:t xml:space="preserve"> porcentaje de irregularidades a fines de 2012 fue del 32</w:t>
      </w:r>
      <w:r>
        <w:rPr>
          <w:sz w:val="16"/>
          <w:szCs w:val="16"/>
        </w:rPr>
        <w:t>%</w:t>
      </w:r>
      <w:r w:rsidRPr="007A310A">
        <w:rPr>
          <w:sz w:val="16"/>
          <w:szCs w:val="16"/>
        </w:rPr>
        <w:t xml:space="preserve"> y no del 34</w:t>
      </w:r>
      <w:r>
        <w:rPr>
          <w:sz w:val="16"/>
          <w:szCs w:val="16"/>
        </w:rPr>
        <w:t>%,</w:t>
      </w:r>
      <w:r w:rsidRPr="007A310A">
        <w:rPr>
          <w:sz w:val="16"/>
          <w:szCs w:val="16"/>
        </w:rPr>
        <w:t xml:space="preserve"> como se indica </w:t>
      </w:r>
      <w:r w:rsidRPr="00584C89">
        <w:rPr>
          <w:sz w:val="16"/>
          <w:szCs w:val="16"/>
        </w:rPr>
        <w:t xml:space="preserve">en el </w:t>
      </w:r>
      <w:r>
        <w:rPr>
          <w:sz w:val="16"/>
          <w:szCs w:val="16"/>
        </w:rPr>
        <w:t xml:space="preserve">informe sobre el rendimiento de los programas de </w:t>
      </w:r>
      <w:r w:rsidRPr="00584C89">
        <w:rPr>
          <w:sz w:val="16"/>
          <w:szCs w:val="16"/>
        </w:rPr>
        <w:t xml:space="preserve">2014 </w:t>
      </w:r>
      <w:r>
        <w:rPr>
          <w:sz w:val="16"/>
          <w:szCs w:val="16"/>
        </w:rPr>
        <w:t xml:space="preserve">y en el presupuesto por programas del bienio </w:t>
      </w:r>
      <w:r w:rsidRPr="00584C89">
        <w:rPr>
          <w:sz w:val="16"/>
          <w:szCs w:val="16"/>
        </w:rPr>
        <w:t>2014/15</w:t>
      </w:r>
      <w:r w:rsidRPr="007A310A">
        <w:rPr>
          <w:sz w:val="16"/>
          <w:szCs w:val="16"/>
        </w:rPr>
        <w:t>.</w:t>
      </w:r>
    </w:p>
  </w:footnote>
  <w:footnote w:id="27">
    <w:p w:rsidR="00121C2F" w:rsidRPr="00EF42DF" w:rsidRDefault="00121C2F">
      <w:pPr>
        <w:pStyle w:val="FootnoteText"/>
        <w:rPr>
          <w:sz w:val="16"/>
          <w:szCs w:val="16"/>
        </w:rPr>
      </w:pPr>
      <w:r w:rsidRPr="00287BA8">
        <w:rPr>
          <w:rStyle w:val="FootnoteReference"/>
          <w:sz w:val="16"/>
          <w:szCs w:val="16"/>
        </w:rPr>
        <w:footnoteRef/>
      </w:r>
      <w:r w:rsidRPr="007A310A">
        <w:rPr>
          <w:sz w:val="16"/>
          <w:szCs w:val="16"/>
        </w:rPr>
        <w:t xml:space="preserve"> Corrección</w:t>
      </w:r>
      <w:proofErr w:type="gramStart"/>
      <w:r w:rsidRPr="007A310A">
        <w:rPr>
          <w:sz w:val="16"/>
          <w:szCs w:val="16"/>
        </w:rPr>
        <w:t>:  En</w:t>
      </w:r>
      <w:proofErr w:type="gramEnd"/>
      <w:r w:rsidRPr="007A310A">
        <w:rPr>
          <w:sz w:val="16"/>
          <w:szCs w:val="16"/>
        </w:rPr>
        <w:t xml:space="preserve"> </w:t>
      </w:r>
      <w:r>
        <w:rPr>
          <w:sz w:val="16"/>
          <w:szCs w:val="16"/>
        </w:rPr>
        <w:t>la columna de “Datos sobre el rendimiento” d</w:t>
      </w:r>
      <w:r w:rsidRPr="007A310A">
        <w:rPr>
          <w:sz w:val="16"/>
          <w:szCs w:val="16"/>
        </w:rPr>
        <w:t>el informe sobre rendimiento de los programas de 2014, se indic</w:t>
      </w:r>
      <w:r>
        <w:rPr>
          <w:sz w:val="16"/>
          <w:szCs w:val="16"/>
        </w:rPr>
        <w:t>ó de manera incorrecta que el porcentaje de irregularidades era del 36%</w:t>
      </w:r>
      <w:r w:rsidRPr="007A310A">
        <w:rPr>
          <w:sz w:val="16"/>
          <w:szCs w:val="16"/>
        </w:rPr>
        <w:t xml:space="preserve">.  </w:t>
      </w:r>
      <w:r>
        <w:rPr>
          <w:sz w:val="16"/>
          <w:szCs w:val="16"/>
        </w:rPr>
        <w:t>El porcentaje correcto es el 34%</w:t>
      </w:r>
      <w:r w:rsidRPr="00EF42DF">
        <w:rPr>
          <w:sz w:val="16"/>
          <w:szCs w:val="16"/>
        </w:rPr>
        <w:t>.</w:t>
      </w:r>
    </w:p>
  </w:footnote>
  <w:footnote w:id="28">
    <w:p w:rsidR="00121C2F" w:rsidRPr="00EF42DF" w:rsidRDefault="00121C2F">
      <w:pPr>
        <w:pStyle w:val="FootnoteText"/>
        <w:rPr>
          <w:sz w:val="16"/>
          <w:szCs w:val="16"/>
        </w:rPr>
      </w:pPr>
      <w:r w:rsidRPr="00D63292">
        <w:rPr>
          <w:rStyle w:val="FootnoteReference"/>
          <w:sz w:val="16"/>
          <w:szCs w:val="16"/>
        </w:rPr>
        <w:footnoteRef/>
      </w:r>
      <w:r w:rsidRPr="00EF42DF">
        <w:rPr>
          <w:sz w:val="16"/>
          <w:szCs w:val="16"/>
        </w:rPr>
        <w:t xml:space="preserve">  </w:t>
      </w:r>
      <w:r>
        <w:rPr>
          <w:sz w:val="16"/>
          <w:szCs w:val="16"/>
        </w:rPr>
        <w:t xml:space="preserve">El objetivo previsto </w:t>
      </w:r>
      <w:r w:rsidRPr="00EF42DF">
        <w:rPr>
          <w:sz w:val="16"/>
          <w:szCs w:val="16"/>
        </w:rPr>
        <w:t>para 2014</w:t>
      </w:r>
      <w:proofErr w:type="gramStart"/>
      <w:r w:rsidRPr="00EF42DF">
        <w:rPr>
          <w:sz w:val="16"/>
          <w:szCs w:val="16"/>
        </w:rPr>
        <w:t xml:space="preserve">: </w:t>
      </w:r>
      <w:r>
        <w:rPr>
          <w:sz w:val="16"/>
          <w:szCs w:val="16"/>
        </w:rPr>
        <w:t xml:space="preserve"> </w:t>
      </w:r>
      <w:r w:rsidRPr="00EF42DF">
        <w:rPr>
          <w:sz w:val="16"/>
          <w:szCs w:val="16"/>
        </w:rPr>
        <w:t>Registros</w:t>
      </w:r>
      <w:proofErr w:type="gramEnd"/>
      <w:r w:rsidRPr="00EF42DF">
        <w:rPr>
          <w:sz w:val="16"/>
          <w:szCs w:val="16"/>
        </w:rPr>
        <w:t xml:space="preserve"> y renovaciones (71.676).</w:t>
      </w:r>
    </w:p>
  </w:footnote>
  <w:footnote w:id="29">
    <w:p w:rsidR="00121C2F" w:rsidRPr="00EF42DF" w:rsidRDefault="00121C2F">
      <w:pPr>
        <w:pStyle w:val="FootnoteText"/>
      </w:pPr>
      <w:r w:rsidRPr="00EF42DF">
        <w:rPr>
          <w:rStyle w:val="FootnoteReference"/>
          <w:sz w:val="16"/>
          <w:szCs w:val="16"/>
        </w:rPr>
        <w:footnoteRef/>
      </w:r>
      <w:r w:rsidRPr="00EF42DF">
        <w:t xml:space="preserve"> </w:t>
      </w:r>
      <w:r w:rsidRPr="00EF42DF">
        <w:rPr>
          <w:sz w:val="16"/>
          <w:szCs w:val="16"/>
        </w:rPr>
        <w:t xml:space="preserve">La variación porcentual y la </w:t>
      </w:r>
      <w:r>
        <w:rPr>
          <w:sz w:val="16"/>
          <w:szCs w:val="16"/>
        </w:rPr>
        <w:t>clasificación de</w:t>
      </w:r>
      <w:r w:rsidRPr="00EF42DF">
        <w:rPr>
          <w:sz w:val="16"/>
          <w:szCs w:val="16"/>
        </w:rPr>
        <w:t xml:space="preserve"> 2015 se calculan a partir de</w:t>
      </w:r>
      <w:r>
        <w:rPr>
          <w:sz w:val="16"/>
          <w:szCs w:val="16"/>
        </w:rPr>
        <w:t xml:space="preserve">l objetivo previsto para </w:t>
      </w:r>
      <w:r w:rsidRPr="00EF42DF">
        <w:rPr>
          <w:sz w:val="16"/>
          <w:szCs w:val="16"/>
        </w:rPr>
        <w:t>2014</w:t>
      </w:r>
      <w:r>
        <w:rPr>
          <w:sz w:val="16"/>
          <w:szCs w:val="16"/>
        </w:rPr>
        <w:t>, esto es, dando por supuesto que el objetivo previsto para 2014 se haya alcanzado</w:t>
      </w:r>
      <w:r w:rsidRPr="00EF42DF">
        <w:rPr>
          <w:sz w:val="16"/>
          <w:szCs w:val="16"/>
        </w:rPr>
        <w:t xml:space="preserve">.  La variación porcentual real entre 2014 y 2015 indicó un aumento </w:t>
      </w:r>
      <w:r>
        <w:rPr>
          <w:sz w:val="16"/>
          <w:szCs w:val="16"/>
        </w:rPr>
        <w:t xml:space="preserve">del 18% de </w:t>
      </w:r>
      <w:r w:rsidRPr="00EF42DF">
        <w:rPr>
          <w:sz w:val="16"/>
          <w:szCs w:val="16"/>
        </w:rPr>
        <w:t xml:space="preserve">los registros y </w:t>
      </w:r>
      <w:r>
        <w:rPr>
          <w:sz w:val="16"/>
          <w:szCs w:val="16"/>
        </w:rPr>
        <w:t xml:space="preserve">las </w:t>
      </w:r>
      <w:r w:rsidRPr="00EF42DF">
        <w:rPr>
          <w:sz w:val="16"/>
          <w:szCs w:val="16"/>
        </w:rPr>
        <w:t>renovaciones.</w:t>
      </w:r>
    </w:p>
  </w:footnote>
  <w:footnote w:id="30">
    <w:p w:rsidR="00121C2F" w:rsidRPr="00806403" w:rsidRDefault="00121C2F">
      <w:pPr>
        <w:pStyle w:val="FootnoteText"/>
      </w:pPr>
      <w:r w:rsidRPr="00EF42DF">
        <w:rPr>
          <w:rStyle w:val="FootnoteReference"/>
          <w:sz w:val="16"/>
          <w:szCs w:val="16"/>
        </w:rPr>
        <w:footnoteRef/>
      </w:r>
      <w:r w:rsidRPr="00EF42DF">
        <w:t xml:space="preserve"> </w:t>
      </w:r>
      <w:r w:rsidRPr="00EF42DF">
        <w:rPr>
          <w:sz w:val="16"/>
          <w:szCs w:val="16"/>
        </w:rPr>
        <w:t xml:space="preserve">La variación porcentual y la </w:t>
      </w:r>
      <w:r>
        <w:rPr>
          <w:sz w:val="16"/>
          <w:szCs w:val="16"/>
        </w:rPr>
        <w:t xml:space="preserve">clasificación de </w:t>
      </w:r>
      <w:r w:rsidRPr="00EF42DF">
        <w:rPr>
          <w:sz w:val="16"/>
          <w:szCs w:val="16"/>
        </w:rPr>
        <w:t>2015 se calculan a partir de</w:t>
      </w:r>
      <w:r>
        <w:rPr>
          <w:sz w:val="16"/>
          <w:szCs w:val="16"/>
        </w:rPr>
        <w:t xml:space="preserve">l objetivo previsto para </w:t>
      </w:r>
      <w:r w:rsidRPr="00EF42DF">
        <w:rPr>
          <w:sz w:val="16"/>
          <w:szCs w:val="16"/>
        </w:rPr>
        <w:t>2014</w:t>
      </w:r>
      <w:r>
        <w:rPr>
          <w:sz w:val="16"/>
          <w:szCs w:val="16"/>
        </w:rPr>
        <w:t>, esto es, dando por supuesto que el objetivo previsto para 2014 se haya alcanzado</w:t>
      </w:r>
      <w:r w:rsidRPr="00EF42DF">
        <w:rPr>
          <w:sz w:val="16"/>
          <w:szCs w:val="16"/>
        </w:rPr>
        <w:t xml:space="preserve">.  </w:t>
      </w:r>
      <w:r w:rsidRPr="00806403">
        <w:rPr>
          <w:sz w:val="16"/>
          <w:szCs w:val="16"/>
        </w:rPr>
        <w:t>La variación porcentual real entre 2014 y 2015 indicó un aumento del 0,9</w:t>
      </w:r>
      <w:r>
        <w:rPr>
          <w:sz w:val="16"/>
          <w:szCs w:val="16"/>
        </w:rPr>
        <w:t xml:space="preserve">% </w:t>
      </w:r>
      <w:r w:rsidRPr="00806403">
        <w:rPr>
          <w:sz w:val="16"/>
          <w:szCs w:val="16"/>
        </w:rPr>
        <w:t>de las correcciones.</w:t>
      </w:r>
    </w:p>
  </w:footnote>
  <w:footnote w:id="31">
    <w:p w:rsidR="00121C2F" w:rsidRPr="004866BC" w:rsidRDefault="00121C2F" w:rsidP="00DC1333">
      <w:pPr>
        <w:pStyle w:val="FootnoteText"/>
      </w:pPr>
      <w:r w:rsidRPr="00EF42DF">
        <w:rPr>
          <w:rStyle w:val="FootnoteReference"/>
          <w:sz w:val="16"/>
          <w:szCs w:val="16"/>
        </w:rPr>
        <w:footnoteRef/>
      </w:r>
      <w:r w:rsidRPr="004866BC">
        <w:rPr>
          <w:sz w:val="16"/>
          <w:szCs w:val="16"/>
        </w:rPr>
        <w:t xml:space="preserve"> </w:t>
      </w:r>
      <w:r w:rsidRPr="00EF42DF">
        <w:rPr>
          <w:sz w:val="16"/>
          <w:szCs w:val="16"/>
          <w:lang w:val="es-ES_tradnl"/>
        </w:rPr>
        <w:t>La escala empleada en 2012 manejaba un conjunto diferente de criterios</w:t>
      </w:r>
      <w:r w:rsidRPr="00EF42DF">
        <w:rPr>
          <w:lang w:val="es-ES_tradnl"/>
        </w:rPr>
        <w:t>.</w:t>
      </w:r>
      <w:r w:rsidRPr="004866BC">
        <w:rPr>
          <w:sz w:val="16"/>
          <w:szCs w:val="16"/>
        </w:rPr>
        <w:t xml:space="preserve">  </w:t>
      </w:r>
      <w:r w:rsidRPr="00EF42DF">
        <w:rPr>
          <w:sz w:val="16"/>
          <w:szCs w:val="16"/>
          <w:lang w:val="es-ES_tradnl"/>
        </w:rPr>
        <w:t xml:space="preserve">Se </w:t>
      </w:r>
      <w:r>
        <w:rPr>
          <w:sz w:val="16"/>
          <w:szCs w:val="16"/>
          <w:lang w:val="es-ES_tradnl"/>
        </w:rPr>
        <w:t xml:space="preserve">afinó </w:t>
      </w:r>
      <w:r w:rsidRPr="00EF42DF">
        <w:rPr>
          <w:sz w:val="16"/>
          <w:szCs w:val="16"/>
          <w:lang w:val="es-ES_tradnl"/>
        </w:rPr>
        <w:t>el conjunto de criterios para 2013 considerando factores más pertinentes.</w:t>
      </w:r>
      <w:r w:rsidRPr="004866BC">
        <w:rPr>
          <w:sz w:val="16"/>
          <w:szCs w:val="16"/>
        </w:rPr>
        <w:t xml:space="preserve">  </w:t>
      </w:r>
      <w:r w:rsidRPr="00EF42DF">
        <w:rPr>
          <w:sz w:val="16"/>
          <w:szCs w:val="16"/>
          <w:lang w:val="es-ES_tradnl"/>
        </w:rPr>
        <w:t xml:space="preserve">Esta modificación explica las diferentes clasificaciones obtenidas para 2013 y 2014 (por ejemplo, 38 y 39 respectivamente) </w:t>
      </w:r>
      <w:r>
        <w:rPr>
          <w:sz w:val="16"/>
          <w:szCs w:val="16"/>
          <w:lang w:val="es-ES_tradnl"/>
        </w:rPr>
        <w:t xml:space="preserve">con respecto a </w:t>
      </w:r>
      <w:r w:rsidRPr="00EF42DF">
        <w:rPr>
          <w:sz w:val="16"/>
          <w:szCs w:val="16"/>
          <w:lang w:val="es-ES_tradnl"/>
        </w:rPr>
        <w:t>2012 (79).</w:t>
      </w:r>
    </w:p>
  </w:footnote>
  <w:footnote w:id="32">
    <w:p w:rsidR="00121C2F" w:rsidRPr="000F4512" w:rsidRDefault="00121C2F" w:rsidP="00DC1333">
      <w:pPr>
        <w:pStyle w:val="FootnoteText"/>
      </w:pPr>
      <w:r>
        <w:rPr>
          <w:rStyle w:val="FootnoteReference"/>
        </w:rPr>
        <w:footnoteRef/>
      </w:r>
      <w:r w:rsidRPr="000F4512">
        <w:t xml:space="preserve"> </w:t>
      </w:r>
      <w:r>
        <w:rPr>
          <w:sz w:val="16"/>
        </w:rPr>
        <w:t xml:space="preserve">Los </w:t>
      </w:r>
      <w:r w:rsidRPr="000F4512">
        <w:rPr>
          <w:sz w:val="16"/>
        </w:rPr>
        <w:t>gasto</w:t>
      </w:r>
      <w:r>
        <w:rPr>
          <w:sz w:val="16"/>
        </w:rPr>
        <w:t>s</w:t>
      </w:r>
      <w:r w:rsidRPr="000F4512">
        <w:rPr>
          <w:sz w:val="16"/>
        </w:rPr>
        <w:t xml:space="preserve"> relacionado</w:t>
      </w:r>
      <w:r>
        <w:rPr>
          <w:sz w:val="16"/>
        </w:rPr>
        <w:t>s</w:t>
      </w:r>
      <w:r w:rsidRPr="000F4512">
        <w:rPr>
          <w:sz w:val="16"/>
        </w:rPr>
        <w:t xml:space="preserve"> con </w:t>
      </w:r>
      <w:r>
        <w:rPr>
          <w:sz w:val="16"/>
        </w:rPr>
        <w:t xml:space="preserve">la traducción y </w:t>
      </w:r>
      <w:r w:rsidRPr="000F4512">
        <w:rPr>
          <w:sz w:val="16"/>
        </w:rPr>
        <w:t>las innovaciones en materia T.I. de los Sistemas de La Haya y de Lisboa s</w:t>
      </w:r>
      <w:r>
        <w:rPr>
          <w:sz w:val="16"/>
        </w:rPr>
        <w:t>on parte</w:t>
      </w:r>
      <w:r w:rsidRPr="000F4512">
        <w:rPr>
          <w:sz w:val="16"/>
        </w:rPr>
        <w:t xml:space="preserve"> fundamental de</w:t>
      </w:r>
      <w:r>
        <w:rPr>
          <w:sz w:val="16"/>
        </w:rPr>
        <w:t xml:space="preserve">l </w:t>
      </w:r>
      <w:r w:rsidRPr="000F4512">
        <w:rPr>
          <w:sz w:val="16"/>
        </w:rPr>
        <w:t>gasto del Programa 6.  Actualmente no existe una metodología que permita separar estos gastos de los gastos del Sistema de Madrid.</w:t>
      </w:r>
    </w:p>
  </w:footnote>
  <w:footnote w:id="33">
    <w:p w:rsidR="00121C2F" w:rsidRPr="00326CF6" w:rsidRDefault="00121C2F" w:rsidP="00DC1333">
      <w:pPr>
        <w:pStyle w:val="FootnoteText"/>
      </w:pPr>
      <w:r>
        <w:rPr>
          <w:rStyle w:val="FootnoteReference"/>
        </w:rPr>
        <w:footnoteRef/>
      </w:r>
      <w:r w:rsidRPr="00326CF6">
        <w:t xml:space="preserve"> </w:t>
      </w:r>
      <w:r w:rsidRPr="00326CF6">
        <w:rPr>
          <w:sz w:val="16"/>
        </w:rPr>
        <w:t xml:space="preserve">El Registro de Lisboa fue creado como una unidad presupuestaria independiente </w:t>
      </w:r>
      <w:r>
        <w:rPr>
          <w:sz w:val="16"/>
        </w:rPr>
        <w:t xml:space="preserve">solo a partir de </w:t>
      </w:r>
      <w:r w:rsidRPr="00326CF6">
        <w:rPr>
          <w:sz w:val="16"/>
        </w:rPr>
        <w:t xml:space="preserve">2015.  </w:t>
      </w:r>
      <w:r>
        <w:rPr>
          <w:sz w:val="16"/>
        </w:rPr>
        <w:t>Para lo</w:t>
      </w:r>
      <w:r w:rsidRPr="00326CF6">
        <w:rPr>
          <w:sz w:val="16"/>
        </w:rPr>
        <w:t>s años anteriores a 2015, los gastos del Sistema de Lisboa se incluyen en el costo total de producci</w:t>
      </w:r>
      <w:r>
        <w:rPr>
          <w:sz w:val="16"/>
        </w:rPr>
        <w:t>ón del Sistema de Madrid</w:t>
      </w:r>
      <w:r w:rsidRPr="00326CF6">
        <w:rPr>
          <w:sz w:val="16"/>
        </w:rPr>
        <w:t xml:space="preserve">. </w:t>
      </w:r>
    </w:p>
  </w:footnote>
  <w:footnote w:id="34">
    <w:p w:rsidR="00121C2F" w:rsidRPr="006645C1" w:rsidRDefault="00121C2F" w:rsidP="00DC1333">
      <w:pPr>
        <w:pStyle w:val="FootnoteText"/>
      </w:pPr>
      <w:r w:rsidRPr="0043175E">
        <w:rPr>
          <w:rStyle w:val="FootnoteReference"/>
        </w:rPr>
        <w:footnoteRef/>
      </w:r>
      <w:r>
        <w:t xml:space="preserve"> </w:t>
      </w:r>
      <w:r w:rsidRPr="006645C1">
        <w:t>Véase el “Volumen total de trabajo” más arriba.</w:t>
      </w:r>
    </w:p>
  </w:footnote>
  <w:footnote w:id="35">
    <w:p w:rsidR="00121C2F" w:rsidRPr="00D62B21" w:rsidRDefault="00121C2F" w:rsidP="00DC1333">
      <w:pPr>
        <w:pStyle w:val="FootnoteText"/>
        <w:rPr>
          <w:sz w:val="16"/>
          <w:szCs w:val="16"/>
        </w:rPr>
      </w:pPr>
      <w:r w:rsidRPr="007B2775">
        <w:rPr>
          <w:rStyle w:val="FootnoteReference"/>
          <w:sz w:val="16"/>
          <w:szCs w:val="16"/>
        </w:rPr>
        <w:footnoteRef/>
      </w:r>
      <w:r w:rsidRPr="00D62B21">
        <w:rPr>
          <w:sz w:val="16"/>
          <w:szCs w:val="16"/>
        </w:rPr>
        <w:t xml:space="preserve">  </w:t>
      </w:r>
      <w:r w:rsidRPr="00D62B21">
        <w:rPr>
          <w:szCs w:val="18"/>
        </w:rPr>
        <w:t>Véase “Volumen total de trabajo” más arriba.</w:t>
      </w:r>
    </w:p>
  </w:footnote>
  <w:footnote w:id="36">
    <w:p w:rsidR="00121C2F" w:rsidRPr="006726F5" w:rsidRDefault="00121C2F">
      <w:pPr>
        <w:pStyle w:val="FootnoteText"/>
      </w:pPr>
      <w:r>
        <w:rPr>
          <w:rStyle w:val="FootnoteReference"/>
        </w:rPr>
        <w:footnoteRef/>
      </w:r>
      <w:r w:rsidRPr="006726F5">
        <w:t xml:space="preserve"> </w:t>
      </w:r>
      <w:r>
        <w:rPr>
          <w:sz w:val="16"/>
          <w:szCs w:val="16"/>
        </w:rPr>
        <w:t xml:space="preserve">El Marco de Gestión de la Calidad del Registro de Madrid </w:t>
      </w:r>
      <w:r w:rsidRPr="00437C49">
        <w:rPr>
          <w:sz w:val="16"/>
          <w:szCs w:val="16"/>
        </w:rPr>
        <w:t>está disponible</w:t>
      </w:r>
      <w:r>
        <w:rPr>
          <w:sz w:val="16"/>
          <w:szCs w:val="16"/>
        </w:rPr>
        <w:t>,</w:t>
      </w:r>
      <w:r w:rsidRPr="00437C49">
        <w:rPr>
          <w:sz w:val="16"/>
          <w:szCs w:val="16"/>
        </w:rPr>
        <w:t xml:space="preserve"> previa solicitud a </w:t>
      </w:r>
      <w:hyperlink r:id="rId3" w:history="1">
        <w:r w:rsidRPr="00437C49">
          <w:rPr>
            <w:rStyle w:val="Hyperlink"/>
            <w:sz w:val="16"/>
            <w:szCs w:val="16"/>
          </w:rPr>
          <w:t>madrid.qp@wipo.int</w:t>
        </w:r>
      </w:hyperlink>
      <w:r w:rsidRPr="007F0A8E">
        <w:rPr>
          <w:rStyle w:val="Hyperlink"/>
          <w:sz w:val="16"/>
          <w:szCs w:val="16"/>
          <w:u w:val="none"/>
        </w:rPr>
        <w:t>.</w:t>
      </w:r>
    </w:p>
  </w:footnote>
  <w:footnote w:id="37">
    <w:p w:rsidR="00121C2F" w:rsidRPr="007B2775" w:rsidRDefault="00121C2F" w:rsidP="00DC1333">
      <w:pPr>
        <w:pStyle w:val="FootnoteText"/>
        <w:rPr>
          <w:sz w:val="16"/>
          <w:szCs w:val="16"/>
          <w:lang w:val="es-ES_tradnl"/>
        </w:rPr>
      </w:pPr>
      <w:r w:rsidRPr="007B2775">
        <w:rPr>
          <w:rStyle w:val="FootnoteReference"/>
          <w:sz w:val="16"/>
          <w:szCs w:val="16"/>
        </w:rPr>
        <w:footnoteRef/>
      </w:r>
      <w:r w:rsidRPr="007B2775">
        <w:rPr>
          <w:sz w:val="16"/>
          <w:szCs w:val="16"/>
          <w:lang w:val="es-ES_tradnl"/>
        </w:rPr>
        <w:t xml:space="preserve"> Corrección</w:t>
      </w:r>
      <w:proofErr w:type="gramStart"/>
      <w:r w:rsidRPr="007B2775">
        <w:rPr>
          <w:sz w:val="16"/>
          <w:szCs w:val="16"/>
          <w:lang w:val="es-ES_tradnl"/>
        </w:rPr>
        <w:t xml:space="preserve">: </w:t>
      </w:r>
      <w:r>
        <w:rPr>
          <w:sz w:val="16"/>
          <w:szCs w:val="16"/>
          <w:lang w:val="es-ES_tradnl"/>
        </w:rPr>
        <w:t xml:space="preserve"> </w:t>
      </w:r>
      <w:r w:rsidRPr="007B2775">
        <w:rPr>
          <w:sz w:val="16"/>
          <w:szCs w:val="16"/>
          <w:lang w:val="es-ES_tradnl"/>
        </w:rPr>
        <w:t>el</w:t>
      </w:r>
      <w:proofErr w:type="gramEnd"/>
      <w:r w:rsidRPr="007B2775">
        <w:rPr>
          <w:sz w:val="16"/>
          <w:szCs w:val="16"/>
          <w:lang w:val="es-ES_tradnl"/>
        </w:rPr>
        <w:t xml:space="preserve"> número real de dibujos y modelos contenidos en 2012 fue de 12.454, y no 12.506 como figura en el presupuesto por programas de 2014/15</w:t>
      </w:r>
      <w:r w:rsidRPr="007B2775">
        <w:rPr>
          <w:color w:val="000000"/>
          <w:sz w:val="16"/>
          <w:szCs w:val="16"/>
          <w:lang w:val="es-ES_tradnl"/>
        </w:rPr>
        <w:t>, ni 11.971 (número de registros interna</w:t>
      </w:r>
      <w:r>
        <w:rPr>
          <w:color w:val="000000"/>
          <w:sz w:val="16"/>
          <w:szCs w:val="16"/>
          <w:lang w:val="es-ES_tradnl"/>
        </w:rPr>
        <w:t xml:space="preserve">cionales en 2012), como figura </w:t>
      </w:r>
      <w:r w:rsidRPr="007B2775">
        <w:rPr>
          <w:color w:val="000000"/>
          <w:sz w:val="16"/>
          <w:szCs w:val="16"/>
          <w:lang w:val="es-ES_tradnl"/>
        </w:rPr>
        <w:t xml:space="preserve">en el </w:t>
      </w:r>
      <w:r>
        <w:rPr>
          <w:color w:val="000000"/>
          <w:sz w:val="16"/>
          <w:szCs w:val="16"/>
          <w:lang w:val="es-ES_tradnl"/>
        </w:rPr>
        <w:t>Informe sobre el rendimiento de los programas en 2012/13.</w:t>
      </w:r>
    </w:p>
  </w:footnote>
  <w:footnote w:id="38">
    <w:p w:rsidR="00121C2F" w:rsidRPr="00AA5176" w:rsidRDefault="00121C2F">
      <w:pPr>
        <w:pStyle w:val="FootnoteText"/>
        <w:rPr>
          <w:sz w:val="16"/>
          <w:szCs w:val="16"/>
        </w:rPr>
      </w:pPr>
      <w:r w:rsidRPr="00AA5176">
        <w:rPr>
          <w:rStyle w:val="FootnoteReference"/>
          <w:sz w:val="16"/>
          <w:szCs w:val="16"/>
        </w:rPr>
        <w:footnoteRef/>
      </w:r>
      <w:r w:rsidRPr="00AA5176">
        <w:rPr>
          <w:sz w:val="16"/>
          <w:szCs w:val="16"/>
        </w:rPr>
        <w:t xml:space="preserve"> Objetivos para 2014</w:t>
      </w:r>
      <w:proofErr w:type="gramStart"/>
      <w:r w:rsidRPr="00AA5176">
        <w:rPr>
          <w:sz w:val="16"/>
          <w:szCs w:val="16"/>
        </w:rPr>
        <w:t>:  Solicitudes</w:t>
      </w:r>
      <w:proofErr w:type="gramEnd"/>
      <w:r w:rsidRPr="00AA5176">
        <w:rPr>
          <w:sz w:val="16"/>
          <w:szCs w:val="16"/>
        </w:rPr>
        <w:t xml:space="preserve"> (4.004);  Dibujos y modelos contenidos (17.519);  Renovaciones (2.942).</w:t>
      </w:r>
    </w:p>
  </w:footnote>
  <w:footnote w:id="39">
    <w:p w:rsidR="00121C2F" w:rsidRPr="0078582D" w:rsidRDefault="00121C2F">
      <w:pPr>
        <w:pStyle w:val="FootnoteText"/>
        <w:rPr>
          <w:sz w:val="16"/>
          <w:szCs w:val="16"/>
        </w:rPr>
      </w:pPr>
      <w:r w:rsidRPr="0078582D">
        <w:rPr>
          <w:rStyle w:val="FootnoteReference"/>
          <w:sz w:val="16"/>
          <w:szCs w:val="16"/>
        </w:rPr>
        <w:footnoteRef/>
      </w:r>
      <w:r w:rsidRPr="0078582D">
        <w:rPr>
          <w:sz w:val="16"/>
          <w:szCs w:val="16"/>
        </w:rPr>
        <w:t xml:space="preserve"> Las diferencias de porcentaje y las cuotas para 2015 se calculan a partir de los objetivos para 2014, es decir, dando por sentado que se habían cumplido los objetivos para 2014.  Las diferencias reales de porcentaje entre 2014 y 2015 son las siguientes</w:t>
      </w:r>
      <w:proofErr w:type="gramStart"/>
      <w:r w:rsidRPr="0078582D">
        <w:rPr>
          <w:sz w:val="16"/>
          <w:szCs w:val="16"/>
        </w:rPr>
        <w:t>:  Solicitudes</w:t>
      </w:r>
      <w:proofErr w:type="gramEnd"/>
      <w:r w:rsidRPr="0078582D">
        <w:rPr>
          <w:sz w:val="16"/>
          <w:szCs w:val="16"/>
        </w:rPr>
        <w:t xml:space="preserve"> (41% de aumento);  Dibujos y modelos contenidos (14% de aumento);  Renovaciones (18% de aumento).</w:t>
      </w:r>
    </w:p>
  </w:footnote>
  <w:footnote w:id="40">
    <w:p w:rsidR="00121C2F" w:rsidRPr="007B2775" w:rsidRDefault="00121C2F" w:rsidP="00DC1333">
      <w:pPr>
        <w:pStyle w:val="FootnoteText"/>
        <w:rPr>
          <w:sz w:val="16"/>
          <w:szCs w:val="16"/>
          <w:lang w:val="es-ES_tradnl"/>
        </w:rPr>
      </w:pPr>
      <w:r w:rsidRPr="007B2775">
        <w:rPr>
          <w:rStyle w:val="FootnoteReference"/>
          <w:sz w:val="16"/>
          <w:szCs w:val="16"/>
        </w:rPr>
        <w:footnoteRef/>
      </w:r>
      <w:r w:rsidRPr="007B2775">
        <w:rPr>
          <w:sz w:val="16"/>
          <w:szCs w:val="16"/>
          <w:lang w:val="es-ES_tradnl"/>
        </w:rPr>
        <w:t xml:space="preserve"> Corrección</w:t>
      </w:r>
      <w:proofErr w:type="gramStart"/>
      <w:r w:rsidRPr="007B2775">
        <w:rPr>
          <w:color w:val="000000"/>
          <w:sz w:val="16"/>
          <w:szCs w:val="16"/>
          <w:lang w:val="es-ES_tradnl"/>
        </w:rPr>
        <w:t>:  En</w:t>
      </w:r>
      <w:proofErr w:type="gramEnd"/>
      <w:r w:rsidRPr="007B2775">
        <w:rPr>
          <w:color w:val="000000"/>
          <w:sz w:val="16"/>
          <w:szCs w:val="16"/>
          <w:lang w:val="es-ES_tradnl"/>
        </w:rPr>
        <w:t xml:space="preserve"> el </w:t>
      </w:r>
      <w:r>
        <w:rPr>
          <w:color w:val="000000"/>
          <w:sz w:val="16"/>
          <w:szCs w:val="16"/>
          <w:lang w:val="es-ES_tradnl"/>
        </w:rPr>
        <w:t>Informe sobre el rendimiento de los programas en</w:t>
      </w:r>
      <w:r w:rsidRPr="007B2775">
        <w:rPr>
          <w:color w:val="000000"/>
          <w:sz w:val="16"/>
          <w:szCs w:val="16"/>
          <w:lang w:val="es-ES_tradnl"/>
        </w:rPr>
        <w:t xml:space="preserve"> 2012/13 figuran la renovación y la concesión de protección como dos de los procesos automatizados. </w:t>
      </w:r>
      <w:r w:rsidRPr="007B2775">
        <w:rPr>
          <w:sz w:val="16"/>
          <w:szCs w:val="16"/>
          <w:lang w:val="es-ES_tradnl"/>
        </w:rPr>
        <w:t xml:space="preserve"> </w:t>
      </w:r>
      <w:r w:rsidRPr="007B2775">
        <w:rPr>
          <w:color w:val="000000"/>
          <w:sz w:val="16"/>
          <w:szCs w:val="16"/>
          <w:lang w:val="es-ES_tradnl"/>
        </w:rPr>
        <w:t xml:space="preserve">El proceso de concesión de protección no </w:t>
      </w:r>
      <w:r>
        <w:rPr>
          <w:color w:val="000000"/>
          <w:sz w:val="16"/>
          <w:szCs w:val="16"/>
          <w:lang w:val="es-ES_tradnl"/>
        </w:rPr>
        <w:t>era</w:t>
      </w:r>
      <w:r w:rsidRPr="007B2775">
        <w:rPr>
          <w:color w:val="000000"/>
          <w:sz w:val="16"/>
          <w:szCs w:val="16"/>
          <w:lang w:val="es-ES_tradnl"/>
        </w:rPr>
        <w:t xml:space="preserve"> automatizado </w:t>
      </w:r>
      <w:r>
        <w:rPr>
          <w:color w:val="000000"/>
          <w:sz w:val="16"/>
          <w:szCs w:val="16"/>
          <w:lang w:val="es-ES_tradnl"/>
        </w:rPr>
        <w:t>a finales</w:t>
      </w:r>
      <w:r w:rsidRPr="007B2775">
        <w:rPr>
          <w:color w:val="000000"/>
          <w:sz w:val="16"/>
          <w:szCs w:val="16"/>
          <w:lang w:val="es-ES_tradnl"/>
        </w:rPr>
        <w:t xml:space="preserve"> de 2013.</w:t>
      </w:r>
    </w:p>
  </w:footnote>
  <w:footnote w:id="41">
    <w:p w:rsidR="00121C2F" w:rsidRPr="00D84DC9" w:rsidRDefault="00121C2F">
      <w:pPr>
        <w:pStyle w:val="FootnoteText"/>
        <w:rPr>
          <w:sz w:val="16"/>
          <w:szCs w:val="16"/>
        </w:rPr>
      </w:pPr>
      <w:r w:rsidRPr="00D84DC9">
        <w:rPr>
          <w:rStyle w:val="FootnoteReference"/>
          <w:sz w:val="16"/>
          <w:szCs w:val="16"/>
        </w:rPr>
        <w:footnoteRef/>
      </w:r>
      <w:r w:rsidRPr="00D84DC9">
        <w:rPr>
          <w:sz w:val="16"/>
          <w:szCs w:val="16"/>
        </w:rPr>
        <w:t xml:space="preserve"> Los datos se han actualizado y reflejan las cifras más recientes recabadas desde que se finalizó el Informe sobre el rendimiento de los programas en 2014.</w:t>
      </w:r>
    </w:p>
  </w:footnote>
  <w:footnote w:id="42">
    <w:p w:rsidR="00121C2F" w:rsidRPr="00D84DC9" w:rsidRDefault="00121C2F" w:rsidP="00DC1333">
      <w:pPr>
        <w:pStyle w:val="FootnoteText"/>
        <w:rPr>
          <w:sz w:val="16"/>
          <w:szCs w:val="16"/>
          <w:lang w:val="es-ES_tradnl"/>
        </w:rPr>
      </w:pPr>
      <w:r w:rsidRPr="00D84DC9">
        <w:rPr>
          <w:rStyle w:val="FootnoteReference"/>
          <w:sz w:val="16"/>
          <w:szCs w:val="16"/>
        </w:rPr>
        <w:footnoteRef/>
      </w:r>
      <w:r w:rsidRPr="00D84DC9">
        <w:rPr>
          <w:sz w:val="16"/>
          <w:szCs w:val="16"/>
          <w:lang w:val="es-ES_tradnl"/>
        </w:rPr>
        <w:t xml:space="preserve"> En los gráficos relativos al costo total de producción y al costo unitario se presenta el gasto relacionado exclusivamente con el Sistema de La Haya como “costos directos” y el gasto en concepto de actividades de apoyo al Sistema como “costos indirectos”.</w:t>
      </w:r>
    </w:p>
  </w:footnote>
  <w:footnote w:id="43">
    <w:p w:rsidR="00121C2F" w:rsidRPr="00D84DC9" w:rsidRDefault="00121C2F">
      <w:pPr>
        <w:pStyle w:val="FootnoteText"/>
        <w:rPr>
          <w:sz w:val="16"/>
          <w:szCs w:val="16"/>
        </w:rPr>
      </w:pPr>
      <w:r w:rsidRPr="00D84DC9">
        <w:rPr>
          <w:rStyle w:val="FootnoteReference"/>
          <w:sz w:val="16"/>
          <w:szCs w:val="16"/>
        </w:rPr>
        <w:footnoteRef/>
      </w:r>
      <w:r w:rsidRPr="00D84DC9">
        <w:rPr>
          <w:sz w:val="16"/>
          <w:szCs w:val="16"/>
        </w:rPr>
        <w:t xml:space="preserve"> </w:t>
      </w:r>
      <w:r w:rsidRPr="00D84DC9">
        <w:rPr>
          <w:sz w:val="16"/>
          <w:szCs w:val="16"/>
          <w:lang w:val="es-ES_tradnl"/>
        </w:rPr>
        <w:t>El Sistema de Madrid brinda apoyo al Sistema de La Haya, en particular en tareas de traducción y novedades en materia de T.I.  El gasto derivado de estos servicios no se puede distinguir fácilmente del gasto general relacionado con las tareas de traducción y las novedades en materia de T.I. del programa 6 (Sistemas de Madrid y de Lisboa), por lo que no se incluye.</w:t>
      </w:r>
    </w:p>
  </w:footnote>
  <w:footnote w:id="44">
    <w:p w:rsidR="00121C2F" w:rsidRPr="00D84DC9" w:rsidRDefault="00121C2F">
      <w:pPr>
        <w:pStyle w:val="FootnoteText"/>
        <w:rPr>
          <w:sz w:val="16"/>
          <w:szCs w:val="16"/>
        </w:rPr>
      </w:pPr>
      <w:r w:rsidRPr="00D84DC9">
        <w:rPr>
          <w:rStyle w:val="FootnoteReference"/>
          <w:sz w:val="16"/>
          <w:szCs w:val="16"/>
        </w:rPr>
        <w:footnoteRef/>
      </w:r>
      <w:r w:rsidRPr="00D84DC9">
        <w:rPr>
          <w:sz w:val="16"/>
          <w:szCs w:val="16"/>
        </w:rPr>
        <w:t xml:space="preserve"> La revisión en cuestión se explicó detalladamente en el</w:t>
      </w:r>
      <w:r>
        <w:rPr>
          <w:sz w:val="16"/>
          <w:szCs w:val="16"/>
        </w:rPr>
        <w:t xml:space="preserve"> documento PPR de</w:t>
      </w:r>
      <w:r w:rsidRPr="00D84DC9">
        <w:rPr>
          <w:sz w:val="16"/>
          <w:szCs w:val="16"/>
        </w:rPr>
        <w:t xml:space="preserve"> 2014, e incluía en particular poner en sintonía la metodología de cálculo de los costos directos e indirectos correspondientes al Sistema de La Haya con las metodologías de cálculo de los costos unitarios correspondientes al Sistema del PCT y al de Madrid.</w:t>
      </w:r>
    </w:p>
  </w:footnote>
  <w:footnote w:id="45">
    <w:p w:rsidR="00121C2F" w:rsidRPr="00D84DC9" w:rsidRDefault="00121C2F" w:rsidP="00DC1333">
      <w:pPr>
        <w:pStyle w:val="FootnoteText"/>
        <w:rPr>
          <w:sz w:val="16"/>
          <w:szCs w:val="16"/>
          <w:lang w:val="es-ES_tradnl"/>
        </w:rPr>
      </w:pPr>
      <w:r w:rsidRPr="00D84DC9">
        <w:rPr>
          <w:rStyle w:val="FootnoteReference"/>
          <w:sz w:val="16"/>
          <w:szCs w:val="16"/>
        </w:rPr>
        <w:footnoteRef/>
      </w:r>
      <w:r w:rsidRPr="00D84DC9">
        <w:rPr>
          <w:sz w:val="16"/>
          <w:szCs w:val="16"/>
          <w:lang w:val="es-ES_tradnl"/>
        </w:rPr>
        <w:t xml:space="preserve"> Véase la relación entre solicitudes y renovaciones en “Volumen total de trabajo”, </w:t>
      </w:r>
      <w:r w:rsidRPr="00D84DC9">
        <w:rPr>
          <w:i/>
          <w:sz w:val="16"/>
          <w:szCs w:val="16"/>
          <w:lang w:val="es-ES_tradnl"/>
        </w:rPr>
        <w:t>supra</w:t>
      </w:r>
      <w:r w:rsidRPr="00D84DC9">
        <w:rPr>
          <w:sz w:val="16"/>
          <w:szCs w:val="16"/>
          <w:lang w:val="es-ES_tradnl"/>
        </w:rPr>
        <w:t>.</w:t>
      </w:r>
    </w:p>
  </w:footnote>
  <w:footnote w:id="46">
    <w:p w:rsidR="00121C2F" w:rsidRPr="00D84DC9" w:rsidRDefault="00121C2F">
      <w:pPr>
        <w:pStyle w:val="FootnoteText"/>
        <w:rPr>
          <w:sz w:val="16"/>
          <w:szCs w:val="16"/>
        </w:rPr>
      </w:pPr>
      <w:r w:rsidRPr="00D84DC9">
        <w:rPr>
          <w:rStyle w:val="FootnoteReference"/>
          <w:sz w:val="16"/>
          <w:szCs w:val="16"/>
        </w:rPr>
        <w:footnoteRef/>
      </w:r>
      <w:r w:rsidRPr="00D84DC9">
        <w:rPr>
          <w:sz w:val="16"/>
          <w:szCs w:val="16"/>
        </w:rPr>
        <w:t xml:space="preserve"> Los datos se han actualizado y reflejan las cifras más recientes recabadas desde que se finalizó el Informe sobre el rendimiento de los programas en 2014.</w:t>
      </w:r>
    </w:p>
  </w:footnote>
  <w:footnote w:id="47">
    <w:p w:rsidR="00121C2F" w:rsidRPr="007B2775" w:rsidRDefault="00121C2F" w:rsidP="00DC1333">
      <w:pPr>
        <w:pStyle w:val="FootnoteText"/>
        <w:rPr>
          <w:sz w:val="16"/>
          <w:szCs w:val="16"/>
        </w:rPr>
      </w:pPr>
      <w:r w:rsidRPr="007B2775">
        <w:rPr>
          <w:rStyle w:val="FootnoteReference"/>
          <w:sz w:val="16"/>
          <w:szCs w:val="16"/>
        </w:rPr>
        <w:footnoteRef/>
      </w:r>
      <w:r w:rsidRPr="007B2775">
        <w:rPr>
          <w:sz w:val="16"/>
          <w:szCs w:val="16"/>
        </w:rPr>
        <w:t xml:space="preserve"> </w:t>
      </w:r>
      <w:r w:rsidRPr="00920943">
        <w:rPr>
          <w:sz w:val="16"/>
          <w:szCs w:val="16"/>
        </w:rPr>
        <w:t>http://www.wipo.int/amc/es/rules/</w:t>
      </w:r>
    </w:p>
  </w:footnote>
  <w:footnote w:id="48">
    <w:p w:rsidR="00121C2F" w:rsidRDefault="00121C2F">
      <w:pPr>
        <w:pStyle w:val="FootnoteText"/>
      </w:pPr>
      <w:r>
        <w:rPr>
          <w:rStyle w:val="FootnoteReference"/>
        </w:rPr>
        <w:footnoteRef/>
      </w:r>
      <w:r>
        <w:t xml:space="preserve"> </w:t>
      </w:r>
      <w:r w:rsidRPr="00BE0BC5">
        <w:rPr>
          <w:sz w:val="16"/>
          <w:szCs w:val="16"/>
        </w:rPr>
        <w:t>http://www.wipo.int/amc-apps/clause-generator/</w:t>
      </w:r>
    </w:p>
  </w:footnote>
  <w:footnote w:id="49">
    <w:p w:rsidR="00121C2F" w:rsidRDefault="00121C2F">
      <w:pPr>
        <w:pStyle w:val="FootnoteText"/>
      </w:pPr>
      <w:r>
        <w:rPr>
          <w:rStyle w:val="FootnoteReference"/>
        </w:rPr>
        <w:footnoteRef/>
      </w:r>
      <w:r>
        <w:t xml:space="preserve"> </w:t>
      </w:r>
      <w:r>
        <w:rPr>
          <w:sz w:val="16"/>
          <w:szCs w:val="16"/>
        </w:rPr>
        <w:t xml:space="preserve">A finales de 2015 se habían registrado un total de 29.567 demandas en los </w:t>
      </w:r>
      <w:proofErr w:type="spellStart"/>
      <w:r>
        <w:rPr>
          <w:sz w:val="16"/>
          <w:szCs w:val="16"/>
        </w:rPr>
        <w:t>gTLD</w:t>
      </w:r>
      <w:proofErr w:type="spellEnd"/>
      <w:r>
        <w:rPr>
          <w:sz w:val="16"/>
          <w:szCs w:val="16"/>
        </w:rPr>
        <w:t xml:space="preserve"> y 3.520</w:t>
      </w:r>
      <w:r w:rsidRPr="000B3C16">
        <w:rPr>
          <w:sz w:val="16"/>
          <w:szCs w:val="16"/>
        </w:rPr>
        <w:t xml:space="preserve"> en los dominios de nivel superior correspondientes a códigos de países </w:t>
      </w:r>
      <w:r>
        <w:rPr>
          <w:sz w:val="16"/>
          <w:szCs w:val="16"/>
        </w:rPr>
        <w:t>(</w:t>
      </w:r>
      <w:proofErr w:type="spellStart"/>
      <w:r w:rsidRPr="000B3C16">
        <w:rPr>
          <w:sz w:val="16"/>
          <w:szCs w:val="16"/>
        </w:rPr>
        <w:t>ccTLD</w:t>
      </w:r>
      <w:proofErr w:type="spellEnd"/>
      <w:r w:rsidRPr="000B3C16">
        <w:rPr>
          <w:sz w:val="16"/>
          <w:szCs w:val="16"/>
        </w:rPr>
        <w:t>)</w:t>
      </w:r>
      <w:r>
        <w:rPr>
          <w:sz w:val="16"/>
          <w:szCs w:val="16"/>
        </w:rPr>
        <w:t>.</w:t>
      </w:r>
    </w:p>
  </w:footnote>
  <w:footnote w:id="50">
    <w:p w:rsidR="00121C2F" w:rsidRPr="00C231AB" w:rsidRDefault="00121C2F">
      <w:pPr>
        <w:pStyle w:val="FootnoteText"/>
        <w:rPr>
          <w:sz w:val="16"/>
          <w:szCs w:val="16"/>
        </w:rPr>
      </w:pPr>
      <w:r>
        <w:rPr>
          <w:rStyle w:val="FootnoteReference"/>
        </w:rPr>
        <w:footnoteRef/>
      </w:r>
      <w:r>
        <w:t xml:space="preserve"> </w:t>
      </w:r>
      <w:r w:rsidRPr="00C231AB">
        <w:rPr>
          <w:sz w:val="16"/>
          <w:szCs w:val="16"/>
        </w:rPr>
        <w:t xml:space="preserve">El número total de </w:t>
      </w:r>
      <w:proofErr w:type="spellStart"/>
      <w:r w:rsidRPr="00C231AB">
        <w:rPr>
          <w:sz w:val="16"/>
          <w:szCs w:val="16"/>
        </w:rPr>
        <w:t>ccTLD</w:t>
      </w:r>
      <w:proofErr w:type="spellEnd"/>
      <w:r w:rsidRPr="00C231AB">
        <w:rPr>
          <w:sz w:val="16"/>
          <w:szCs w:val="16"/>
        </w:rPr>
        <w:t xml:space="preserve"> </w:t>
      </w:r>
      <w:r>
        <w:rPr>
          <w:sz w:val="16"/>
          <w:szCs w:val="16"/>
        </w:rPr>
        <w:t>a</w:t>
      </w:r>
      <w:r w:rsidRPr="00C231AB">
        <w:rPr>
          <w:sz w:val="16"/>
          <w:szCs w:val="16"/>
        </w:rPr>
        <w:t xml:space="preserve"> los que la OMPI ofrece dichos servicios es 71 tras la </w:t>
      </w:r>
      <w:r>
        <w:rPr>
          <w:sz w:val="16"/>
          <w:szCs w:val="16"/>
        </w:rPr>
        <w:t xml:space="preserve">rescisión </w:t>
      </w:r>
      <w:r w:rsidRPr="00C231AB">
        <w:rPr>
          <w:sz w:val="16"/>
          <w:szCs w:val="16"/>
        </w:rPr>
        <w:t>de un administrador en 2015.</w:t>
      </w:r>
    </w:p>
  </w:footnote>
  <w:footnote w:id="51">
    <w:p w:rsidR="00121C2F" w:rsidRPr="00247DD5" w:rsidRDefault="00121C2F">
      <w:pPr>
        <w:pStyle w:val="FootnoteText"/>
        <w:rPr>
          <w:sz w:val="16"/>
          <w:szCs w:val="16"/>
        </w:rPr>
      </w:pPr>
      <w:r>
        <w:rPr>
          <w:rStyle w:val="FootnoteReference"/>
        </w:rPr>
        <w:footnoteRef/>
      </w:r>
      <w:r>
        <w:t xml:space="preserve"> </w:t>
      </w:r>
      <w:r w:rsidRPr="00247DD5">
        <w:rPr>
          <w:sz w:val="16"/>
          <w:szCs w:val="16"/>
        </w:rPr>
        <w:t>Corrección</w:t>
      </w:r>
      <w:proofErr w:type="gramStart"/>
      <w:r w:rsidRPr="00247DD5">
        <w:rPr>
          <w:sz w:val="16"/>
          <w:szCs w:val="16"/>
        </w:rPr>
        <w:t>:  El</w:t>
      </w:r>
      <w:proofErr w:type="gramEnd"/>
      <w:r w:rsidRPr="00247DD5">
        <w:rPr>
          <w:sz w:val="16"/>
          <w:szCs w:val="16"/>
        </w:rPr>
        <w:t xml:space="preserve"> número total de </w:t>
      </w:r>
      <w:r>
        <w:rPr>
          <w:sz w:val="16"/>
          <w:szCs w:val="16"/>
        </w:rPr>
        <w:t>regímenes adoptados a fines</w:t>
      </w:r>
      <w:r w:rsidRPr="00247DD5">
        <w:rPr>
          <w:sz w:val="16"/>
          <w:szCs w:val="16"/>
        </w:rPr>
        <w:t xml:space="preserve"> de 2013 era 12 y no 10 como se informa en el Informe sobre el rendimiento de los programas en 2012/13 o se refleja en la referencia actualizada del Informe sobre el rendimiento de los programas en 2014.</w:t>
      </w:r>
    </w:p>
  </w:footnote>
  <w:footnote w:id="52">
    <w:p w:rsidR="00121C2F" w:rsidRPr="00247DD5" w:rsidRDefault="00121C2F">
      <w:pPr>
        <w:pStyle w:val="FootnoteText"/>
        <w:rPr>
          <w:sz w:val="16"/>
          <w:szCs w:val="16"/>
        </w:rPr>
      </w:pPr>
      <w:r>
        <w:rPr>
          <w:rStyle w:val="FootnoteReference"/>
        </w:rPr>
        <w:footnoteRef/>
      </w:r>
      <w:r>
        <w:t xml:space="preserve"> </w:t>
      </w:r>
      <w:r w:rsidRPr="00247DD5">
        <w:rPr>
          <w:sz w:val="16"/>
          <w:szCs w:val="16"/>
        </w:rPr>
        <w:t>Correcc</w:t>
      </w:r>
      <w:r>
        <w:rPr>
          <w:sz w:val="16"/>
          <w:szCs w:val="16"/>
        </w:rPr>
        <w:t>ión</w:t>
      </w:r>
      <w:proofErr w:type="gramStart"/>
      <w:r>
        <w:rPr>
          <w:sz w:val="16"/>
          <w:szCs w:val="16"/>
        </w:rPr>
        <w:t>:  El</w:t>
      </w:r>
      <w:proofErr w:type="gramEnd"/>
      <w:r>
        <w:rPr>
          <w:sz w:val="16"/>
          <w:szCs w:val="16"/>
        </w:rPr>
        <w:t xml:space="preserve"> número total de </w:t>
      </w:r>
      <w:r w:rsidRPr="00247DD5">
        <w:rPr>
          <w:sz w:val="16"/>
          <w:szCs w:val="16"/>
        </w:rPr>
        <w:t xml:space="preserve">procedimientos relativos a los </w:t>
      </w:r>
      <w:proofErr w:type="spellStart"/>
      <w:r w:rsidRPr="00247DD5">
        <w:rPr>
          <w:sz w:val="16"/>
          <w:szCs w:val="16"/>
        </w:rPr>
        <w:t>ccTLD</w:t>
      </w:r>
      <w:proofErr w:type="spellEnd"/>
      <w:r w:rsidRPr="00247DD5">
        <w:rPr>
          <w:sz w:val="16"/>
          <w:szCs w:val="16"/>
        </w:rPr>
        <w:t xml:space="preserve"> </w:t>
      </w:r>
      <w:r>
        <w:rPr>
          <w:sz w:val="16"/>
          <w:szCs w:val="16"/>
        </w:rPr>
        <w:t>a fines</w:t>
      </w:r>
      <w:r w:rsidRPr="00247DD5">
        <w:rPr>
          <w:sz w:val="16"/>
          <w:szCs w:val="16"/>
        </w:rPr>
        <w:t xml:space="preserve"> de 2013 era 2.798 y no 2.788 como se informa en el Informe sobre el rendimiento de los programas en 2012/13 y se refleja en la referencia actualizada del Informe sobre el rendimiento de los programas en 2014.</w:t>
      </w:r>
    </w:p>
  </w:footnote>
  <w:footnote w:id="53">
    <w:p w:rsidR="00121C2F" w:rsidRPr="007B2775" w:rsidRDefault="00121C2F" w:rsidP="00DC1333">
      <w:pPr>
        <w:pStyle w:val="FootnoteText"/>
        <w:tabs>
          <w:tab w:val="left" w:pos="284"/>
        </w:tabs>
        <w:rPr>
          <w:sz w:val="16"/>
          <w:szCs w:val="16"/>
        </w:rPr>
      </w:pPr>
      <w:r w:rsidRPr="007B2775">
        <w:rPr>
          <w:rStyle w:val="FootnoteReference"/>
          <w:sz w:val="16"/>
          <w:szCs w:val="16"/>
        </w:rPr>
        <w:footnoteRef/>
      </w:r>
      <w:r w:rsidRPr="007B2775">
        <w:rPr>
          <w:sz w:val="16"/>
          <w:szCs w:val="16"/>
        </w:rPr>
        <w:tab/>
      </w:r>
      <w:hyperlink r:id="rId4" w:tooltip="http://www.wipo.int/meetings/en/doc_details.jsp?doc_id=208882" w:history="1">
        <w:r w:rsidRPr="007B2775">
          <w:rPr>
            <w:rStyle w:val="Hyperlink"/>
            <w:sz w:val="16"/>
            <w:szCs w:val="16"/>
          </w:rPr>
          <w:t>http://www.wipo.int/meetings/es/doc_details.jsp?doc_id=208882</w:t>
        </w:r>
      </w:hyperlink>
      <w:r w:rsidRPr="007B2775">
        <w:rPr>
          <w:sz w:val="16"/>
          <w:szCs w:val="16"/>
        </w:rPr>
        <w:t xml:space="preserve">  y</w:t>
      </w:r>
    </w:p>
    <w:p w:rsidR="00121C2F" w:rsidRPr="007B2775" w:rsidRDefault="00121C2F" w:rsidP="00DC1333">
      <w:pPr>
        <w:pStyle w:val="FootnoteText"/>
        <w:tabs>
          <w:tab w:val="left" w:pos="284"/>
        </w:tabs>
        <w:rPr>
          <w:sz w:val="16"/>
          <w:szCs w:val="16"/>
        </w:rPr>
      </w:pPr>
      <w:r w:rsidRPr="007B2775">
        <w:rPr>
          <w:sz w:val="16"/>
          <w:szCs w:val="16"/>
        </w:rPr>
        <w:tab/>
      </w:r>
      <w:hyperlink r:id="rId5" w:history="1">
        <w:r w:rsidRPr="007B2775">
          <w:rPr>
            <w:rStyle w:val="Hyperlink"/>
            <w:sz w:val="16"/>
            <w:szCs w:val="16"/>
          </w:rPr>
          <w:t>http://www.wipo.int/meetings/es/doc_details.jsp?doc_id=239806</w:t>
        </w:r>
      </w:hyperlink>
      <w:r w:rsidRPr="007B2775">
        <w:rPr>
          <w:sz w:val="16"/>
          <w:szCs w:val="16"/>
        </w:rPr>
        <w:t xml:space="preserve"> </w:t>
      </w:r>
    </w:p>
  </w:footnote>
  <w:footnote w:id="54">
    <w:p w:rsidR="00121C2F" w:rsidRPr="00DF672F" w:rsidRDefault="00121C2F" w:rsidP="00DC1333">
      <w:pPr>
        <w:pStyle w:val="FootnoteText"/>
      </w:pPr>
      <w:r w:rsidRPr="003B571E">
        <w:rPr>
          <w:rStyle w:val="FootnoteReference"/>
          <w:sz w:val="16"/>
          <w:szCs w:val="16"/>
        </w:rPr>
        <w:footnoteRef/>
      </w:r>
      <w:r w:rsidRPr="00DF672F">
        <w:rPr>
          <w:sz w:val="16"/>
          <w:szCs w:val="16"/>
        </w:rPr>
        <w:t xml:space="preserve"> </w:t>
      </w:r>
      <w:hyperlink r:id="rId6" w:history="1">
        <w:r w:rsidRPr="00DF672F">
          <w:rPr>
            <w:rStyle w:val="Hyperlink"/>
            <w:sz w:val="16"/>
            <w:szCs w:val="16"/>
          </w:rPr>
          <w:t>Evaluación de los programas de formación internacional sobre la P.I. del SIDA.</w:t>
        </w:r>
        <w:r>
          <w:rPr>
            <w:rStyle w:val="Hyperlink"/>
            <w:sz w:val="16"/>
            <w:szCs w:val="16"/>
          </w:rPr>
          <w:t xml:space="preserve"> </w:t>
        </w:r>
      </w:hyperlink>
    </w:p>
  </w:footnote>
  <w:footnote w:id="55">
    <w:p w:rsidR="00121C2F" w:rsidRPr="00F81D5D" w:rsidRDefault="00121C2F" w:rsidP="00DC1333">
      <w:pPr>
        <w:pStyle w:val="FootnoteText"/>
        <w:rPr>
          <w:sz w:val="16"/>
          <w:szCs w:val="16"/>
        </w:rPr>
      </w:pPr>
      <w:r w:rsidRPr="003B571E">
        <w:rPr>
          <w:rStyle w:val="FootnoteReference"/>
          <w:sz w:val="16"/>
          <w:szCs w:val="16"/>
        </w:rPr>
        <w:footnoteRef/>
      </w:r>
      <w:r w:rsidRPr="00F81D5D">
        <w:rPr>
          <w:sz w:val="16"/>
          <w:szCs w:val="16"/>
        </w:rPr>
        <w:t xml:space="preserve"> </w:t>
      </w:r>
      <w:hyperlink r:id="rId7" w:history="1">
        <w:r w:rsidRPr="00F81D5D">
          <w:rPr>
            <w:rStyle w:val="Hyperlink"/>
            <w:sz w:val="16"/>
            <w:szCs w:val="16"/>
          </w:rPr>
          <w:t>http://www.wipo.int/cooperation/es/south_south/</w:t>
        </w:r>
      </w:hyperlink>
      <w:r w:rsidRPr="00F81D5D">
        <w:rPr>
          <w:sz w:val="16"/>
          <w:szCs w:val="16"/>
        </w:rPr>
        <w:t xml:space="preserve">  </w:t>
      </w:r>
    </w:p>
  </w:footnote>
  <w:footnote w:id="56">
    <w:p w:rsidR="00121C2F" w:rsidRPr="0073715F" w:rsidRDefault="00121C2F" w:rsidP="00DC1333">
      <w:r w:rsidRPr="003B571E">
        <w:rPr>
          <w:rStyle w:val="FootnoteReference"/>
          <w:sz w:val="16"/>
        </w:rPr>
        <w:footnoteRef/>
      </w:r>
      <w:r w:rsidRPr="0073715F">
        <w:rPr>
          <w:sz w:val="16"/>
        </w:rPr>
        <w:t xml:space="preserve"> El esquema de las actividades del proyecto relativo a la intensificación de la cooperaci</w:t>
      </w:r>
      <w:r>
        <w:rPr>
          <w:sz w:val="16"/>
        </w:rPr>
        <w:t xml:space="preserve">ón Sur-Sur será presentado y examinado en la decimoséptima sesión del CDIP, que se celebrará en abril de </w:t>
      </w:r>
      <w:r w:rsidRPr="0073715F">
        <w:rPr>
          <w:sz w:val="16"/>
        </w:rPr>
        <w:t>2016.</w:t>
      </w:r>
    </w:p>
  </w:footnote>
  <w:footnote w:id="57">
    <w:p w:rsidR="00121C2F" w:rsidRPr="00F81D5D" w:rsidRDefault="00121C2F">
      <w:pPr>
        <w:pStyle w:val="FootnoteText"/>
        <w:rPr>
          <w:sz w:val="16"/>
          <w:szCs w:val="16"/>
        </w:rPr>
      </w:pPr>
      <w:r w:rsidRPr="003B571E">
        <w:rPr>
          <w:rStyle w:val="FootnoteReference"/>
          <w:sz w:val="16"/>
          <w:szCs w:val="16"/>
        </w:rPr>
        <w:footnoteRef/>
      </w:r>
      <w:r w:rsidRPr="00F81D5D">
        <w:rPr>
          <w:sz w:val="16"/>
          <w:szCs w:val="16"/>
        </w:rPr>
        <w:t xml:space="preserve"> </w:t>
      </w:r>
      <w:hyperlink r:id="rId8" w:history="1">
        <w:r w:rsidRPr="00F81D5D">
          <w:rPr>
            <w:rStyle w:val="Hyperlink"/>
            <w:sz w:val="16"/>
            <w:szCs w:val="16"/>
          </w:rPr>
          <w:t>http://www.wipo.int/edocs/mdocs/mdocs/en/ompi_pi_dak_15/ompi_pi_dak_15_www_319536.pdf</w:t>
        </w:r>
      </w:hyperlink>
      <w:r w:rsidRPr="00F81D5D">
        <w:rPr>
          <w:sz w:val="16"/>
          <w:szCs w:val="16"/>
        </w:rPr>
        <w:t xml:space="preserve"> </w:t>
      </w:r>
    </w:p>
  </w:footnote>
  <w:footnote w:id="58">
    <w:p w:rsidR="00121C2F" w:rsidRPr="00F81D5D" w:rsidRDefault="00121C2F" w:rsidP="00DC1333">
      <w:pPr>
        <w:pStyle w:val="FootnoteText"/>
        <w:rPr>
          <w:sz w:val="16"/>
          <w:szCs w:val="16"/>
        </w:rPr>
      </w:pPr>
      <w:r w:rsidRPr="003B571E">
        <w:rPr>
          <w:rStyle w:val="FootnoteReference"/>
          <w:sz w:val="16"/>
          <w:szCs w:val="16"/>
        </w:rPr>
        <w:footnoteRef/>
      </w:r>
      <w:r w:rsidRPr="00F81D5D">
        <w:rPr>
          <w:sz w:val="16"/>
          <w:szCs w:val="16"/>
        </w:rPr>
        <w:t xml:space="preserve"> </w:t>
      </w:r>
      <w:hyperlink r:id="rId9" w:history="1">
        <w:r w:rsidRPr="00F81D5D">
          <w:rPr>
            <w:rStyle w:val="Hyperlink"/>
            <w:sz w:val="16"/>
            <w:szCs w:val="16"/>
          </w:rPr>
          <w:t>http://www.wipo.int/export/sites/www/cooperation/es/pdf/ta_manual.pdf</w:t>
        </w:r>
      </w:hyperlink>
      <w:r w:rsidRPr="00F81D5D">
        <w:rPr>
          <w:sz w:val="16"/>
          <w:szCs w:val="16"/>
        </w:rPr>
        <w:t xml:space="preserve"> </w:t>
      </w:r>
    </w:p>
  </w:footnote>
  <w:footnote w:id="59">
    <w:p w:rsidR="00121C2F" w:rsidRPr="00451112" w:rsidRDefault="00121C2F" w:rsidP="00DC1333">
      <w:pPr>
        <w:pStyle w:val="FootnoteText"/>
      </w:pPr>
      <w:r w:rsidRPr="003B571E">
        <w:rPr>
          <w:rStyle w:val="FootnoteReference"/>
          <w:sz w:val="16"/>
          <w:szCs w:val="16"/>
        </w:rPr>
        <w:footnoteRef/>
      </w:r>
      <w:r w:rsidRPr="00451112">
        <w:rPr>
          <w:sz w:val="16"/>
          <w:szCs w:val="16"/>
        </w:rPr>
        <w:t xml:space="preserve"> Los datos presentados en 2015 reflejan una nueva metodología de c</w:t>
      </w:r>
      <w:r>
        <w:rPr>
          <w:sz w:val="16"/>
          <w:szCs w:val="16"/>
        </w:rPr>
        <w:t>álculo del porcentaje de satisfacción.</w:t>
      </w:r>
    </w:p>
  </w:footnote>
  <w:footnote w:id="60">
    <w:p w:rsidR="00121C2F" w:rsidRPr="002873AA" w:rsidRDefault="00121C2F" w:rsidP="00DC1333">
      <w:pPr>
        <w:pStyle w:val="FootnoteText"/>
        <w:rPr>
          <w:sz w:val="16"/>
          <w:szCs w:val="16"/>
        </w:rPr>
      </w:pPr>
      <w:r w:rsidRPr="003B571E">
        <w:rPr>
          <w:rStyle w:val="FootnoteReference"/>
          <w:sz w:val="16"/>
          <w:szCs w:val="16"/>
        </w:rPr>
        <w:footnoteRef/>
      </w:r>
      <w:r w:rsidRPr="00AD5551">
        <w:rPr>
          <w:sz w:val="16"/>
          <w:szCs w:val="16"/>
        </w:rPr>
        <w:t xml:space="preserve"> Corrección</w:t>
      </w:r>
      <w:proofErr w:type="gramStart"/>
      <w:r w:rsidRPr="00AD5551">
        <w:rPr>
          <w:sz w:val="16"/>
          <w:szCs w:val="16"/>
        </w:rPr>
        <w:t xml:space="preserve">: </w:t>
      </w:r>
      <w:r>
        <w:rPr>
          <w:sz w:val="16"/>
          <w:szCs w:val="16"/>
        </w:rPr>
        <w:t xml:space="preserve"> </w:t>
      </w:r>
      <w:r w:rsidRPr="00AD5551">
        <w:rPr>
          <w:sz w:val="16"/>
          <w:szCs w:val="16"/>
        </w:rPr>
        <w:t>en</w:t>
      </w:r>
      <w:proofErr w:type="gramEnd"/>
      <w:r w:rsidRPr="00AD5551">
        <w:rPr>
          <w:sz w:val="16"/>
          <w:szCs w:val="16"/>
        </w:rPr>
        <w:t xml:space="preserve"> el </w:t>
      </w:r>
      <w:r>
        <w:rPr>
          <w:sz w:val="16"/>
          <w:szCs w:val="16"/>
        </w:rPr>
        <w:t xml:space="preserve">informe PPR de 2012/13 se informó de que Etiopía había adoptado una política en materia de P.I. en </w:t>
      </w:r>
      <w:r w:rsidRPr="00AD5551">
        <w:rPr>
          <w:sz w:val="16"/>
          <w:szCs w:val="16"/>
        </w:rPr>
        <w:t xml:space="preserve">2012/13.  </w:t>
      </w:r>
      <w:r w:rsidRPr="002873AA">
        <w:rPr>
          <w:sz w:val="16"/>
          <w:szCs w:val="16"/>
        </w:rPr>
        <w:t>Esa política termin</w:t>
      </w:r>
      <w:r>
        <w:rPr>
          <w:sz w:val="16"/>
          <w:szCs w:val="16"/>
        </w:rPr>
        <w:t xml:space="preserve">ó de elaborarse en 2014 para que fuera examinada </w:t>
      </w:r>
      <w:r w:rsidRPr="002873AA">
        <w:rPr>
          <w:sz w:val="16"/>
          <w:szCs w:val="16"/>
        </w:rPr>
        <w:t>en el proceso nacional de aprobaci</w:t>
      </w:r>
      <w:r>
        <w:rPr>
          <w:sz w:val="16"/>
          <w:szCs w:val="16"/>
        </w:rPr>
        <w:t>ón</w:t>
      </w:r>
      <w:r w:rsidRPr="002873AA">
        <w:rPr>
          <w:sz w:val="16"/>
          <w:szCs w:val="16"/>
        </w:rPr>
        <w:t xml:space="preserve">.  </w:t>
      </w:r>
    </w:p>
  </w:footnote>
  <w:footnote w:id="61">
    <w:p w:rsidR="00121C2F" w:rsidRPr="008F34B1" w:rsidRDefault="00121C2F" w:rsidP="00DC1333">
      <w:pPr>
        <w:pStyle w:val="FootnoteText"/>
        <w:rPr>
          <w:sz w:val="16"/>
          <w:szCs w:val="16"/>
        </w:rPr>
      </w:pPr>
      <w:r w:rsidRPr="003B571E">
        <w:rPr>
          <w:rStyle w:val="FootnoteReference"/>
          <w:sz w:val="16"/>
          <w:szCs w:val="16"/>
        </w:rPr>
        <w:footnoteRef/>
      </w:r>
      <w:r>
        <w:rPr>
          <w:sz w:val="16"/>
          <w:szCs w:val="16"/>
        </w:rPr>
        <w:t xml:space="preserve"> Corrección</w:t>
      </w:r>
      <w:proofErr w:type="gramStart"/>
      <w:r>
        <w:rPr>
          <w:sz w:val="16"/>
          <w:szCs w:val="16"/>
        </w:rPr>
        <w:t>:  en</w:t>
      </w:r>
      <w:proofErr w:type="gramEnd"/>
      <w:r>
        <w:rPr>
          <w:sz w:val="16"/>
          <w:szCs w:val="16"/>
        </w:rPr>
        <w:t xml:space="preserve"> el informe PPR de 2012/13</w:t>
      </w:r>
      <w:r w:rsidRPr="008F34B1">
        <w:rPr>
          <w:sz w:val="16"/>
          <w:szCs w:val="16"/>
        </w:rPr>
        <w:t xml:space="preserve"> se señaló que Túnez estaba en vías de elaborar una estrategi</w:t>
      </w:r>
      <w:r>
        <w:rPr>
          <w:sz w:val="16"/>
          <w:szCs w:val="16"/>
        </w:rPr>
        <w:t>a nacional de P.I. e innovación</w:t>
      </w:r>
      <w:r w:rsidRPr="008F34B1">
        <w:rPr>
          <w:sz w:val="16"/>
          <w:szCs w:val="16"/>
        </w:rPr>
        <w:t>.  Comenzó a deliberarse sobre la posibilidad de elaborar esa est</w:t>
      </w:r>
      <w:r>
        <w:rPr>
          <w:sz w:val="16"/>
          <w:szCs w:val="16"/>
        </w:rPr>
        <w:t>r</w:t>
      </w:r>
      <w:r w:rsidRPr="008F34B1">
        <w:rPr>
          <w:sz w:val="16"/>
          <w:szCs w:val="16"/>
        </w:rPr>
        <w:t xml:space="preserve">ategia, pero </w:t>
      </w:r>
      <w:r>
        <w:rPr>
          <w:sz w:val="16"/>
          <w:szCs w:val="16"/>
        </w:rPr>
        <w:t>el proceso no ha avanza</w:t>
      </w:r>
      <w:r w:rsidRPr="008F34B1">
        <w:rPr>
          <w:sz w:val="16"/>
          <w:szCs w:val="16"/>
        </w:rPr>
        <w:t>do.</w:t>
      </w:r>
    </w:p>
  </w:footnote>
  <w:footnote w:id="62">
    <w:p w:rsidR="00121C2F" w:rsidRPr="008F34B1" w:rsidRDefault="00121C2F" w:rsidP="00DC1333">
      <w:pPr>
        <w:pStyle w:val="FootnoteText"/>
        <w:rPr>
          <w:sz w:val="16"/>
          <w:szCs w:val="16"/>
        </w:rPr>
      </w:pPr>
      <w:r w:rsidRPr="003B571E">
        <w:rPr>
          <w:rStyle w:val="FootnoteReference"/>
          <w:sz w:val="16"/>
          <w:szCs w:val="16"/>
        </w:rPr>
        <w:footnoteRef/>
      </w:r>
      <w:r>
        <w:rPr>
          <w:sz w:val="16"/>
          <w:szCs w:val="16"/>
        </w:rPr>
        <w:t xml:space="preserve"> Corrección</w:t>
      </w:r>
      <w:proofErr w:type="gramStart"/>
      <w:r>
        <w:rPr>
          <w:sz w:val="16"/>
          <w:szCs w:val="16"/>
        </w:rPr>
        <w:t>:  e</w:t>
      </w:r>
      <w:r w:rsidRPr="008F34B1">
        <w:rPr>
          <w:sz w:val="16"/>
          <w:szCs w:val="16"/>
        </w:rPr>
        <w:t>n</w:t>
      </w:r>
      <w:proofErr w:type="gramEnd"/>
      <w:r w:rsidRPr="008F34B1">
        <w:rPr>
          <w:sz w:val="16"/>
          <w:szCs w:val="16"/>
        </w:rPr>
        <w:t xml:space="preserve"> el informe PPR de </w:t>
      </w:r>
      <w:r>
        <w:rPr>
          <w:sz w:val="16"/>
          <w:szCs w:val="16"/>
        </w:rPr>
        <w:t xml:space="preserve"> 2012</w:t>
      </w:r>
      <w:r w:rsidRPr="008F34B1">
        <w:rPr>
          <w:sz w:val="16"/>
          <w:szCs w:val="16"/>
        </w:rPr>
        <w:t>/</w:t>
      </w:r>
      <w:r>
        <w:rPr>
          <w:sz w:val="16"/>
          <w:szCs w:val="16"/>
        </w:rPr>
        <w:t xml:space="preserve">13 </w:t>
      </w:r>
      <w:r w:rsidRPr="008F34B1">
        <w:rPr>
          <w:sz w:val="16"/>
          <w:szCs w:val="16"/>
        </w:rPr>
        <w:t>se señaló que Argelia estaba en vías de adoptar una estrateg</w:t>
      </w:r>
      <w:r>
        <w:rPr>
          <w:sz w:val="16"/>
          <w:szCs w:val="16"/>
        </w:rPr>
        <w:t xml:space="preserve">ia nacional de P.I.  </w:t>
      </w:r>
      <w:r w:rsidRPr="008F34B1">
        <w:rPr>
          <w:sz w:val="16"/>
          <w:szCs w:val="16"/>
        </w:rPr>
        <w:t xml:space="preserve">La OMPI colaboró con Argelia en la elaboración de un proyecto de estrategia nacional en </w:t>
      </w:r>
      <w:r>
        <w:rPr>
          <w:sz w:val="16"/>
          <w:szCs w:val="16"/>
        </w:rPr>
        <w:t>materia</w:t>
      </w:r>
      <w:r w:rsidRPr="008F34B1">
        <w:rPr>
          <w:sz w:val="16"/>
          <w:szCs w:val="16"/>
        </w:rPr>
        <w:t xml:space="preserve"> de P.I., </w:t>
      </w:r>
      <w:r>
        <w:rPr>
          <w:sz w:val="16"/>
          <w:szCs w:val="16"/>
        </w:rPr>
        <w:t>y ese documento sigue siendo objeto de examen.</w:t>
      </w:r>
    </w:p>
  </w:footnote>
  <w:footnote w:id="63">
    <w:p w:rsidR="00121C2F" w:rsidRPr="00F72E9B" w:rsidRDefault="00121C2F" w:rsidP="00DC1333">
      <w:pPr>
        <w:pStyle w:val="FootnoteText"/>
        <w:rPr>
          <w:sz w:val="16"/>
          <w:szCs w:val="16"/>
        </w:rPr>
      </w:pPr>
      <w:r w:rsidRPr="003B571E">
        <w:rPr>
          <w:rStyle w:val="FootnoteReference"/>
          <w:sz w:val="16"/>
          <w:szCs w:val="16"/>
        </w:rPr>
        <w:footnoteRef/>
      </w:r>
      <w:r w:rsidRPr="00F72E9B">
        <w:rPr>
          <w:sz w:val="16"/>
          <w:szCs w:val="16"/>
        </w:rPr>
        <w:t xml:space="preserve"> El proceso </w:t>
      </w:r>
      <w:r>
        <w:rPr>
          <w:sz w:val="16"/>
          <w:szCs w:val="16"/>
        </w:rPr>
        <w:t xml:space="preserve">se aplazó </w:t>
      </w:r>
      <w:r w:rsidRPr="00F72E9B">
        <w:rPr>
          <w:sz w:val="16"/>
          <w:szCs w:val="16"/>
        </w:rPr>
        <w:t>debido</w:t>
      </w:r>
      <w:r>
        <w:rPr>
          <w:sz w:val="16"/>
          <w:szCs w:val="16"/>
        </w:rPr>
        <w:t xml:space="preserve"> a cambios estructurales en el G</w:t>
      </w:r>
      <w:r w:rsidRPr="00F72E9B">
        <w:rPr>
          <w:sz w:val="16"/>
          <w:szCs w:val="16"/>
        </w:rPr>
        <w:t>obierno</w:t>
      </w:r>
      <w:r>
        <w:rPr>
          <w:sz w:val="16"/>
          <w:szCs w:val="16"/>
        </w:rPr>
        <w:t>.</w:t>
      </w:r>
    </w:p>
  </w:footnote>
  <w:footnote w:id="64">
    <w:p w:rsidR="00121C2F" w:rsidRPr="002873AA" w:rsidRDefault="00121C2F">
      <w:pPr>
        <w:pStyle w:val="FootnoteText"/>
        <w:rPr>
          <w:sz w:val="16"/>
          <w:szCs w:val="16"/>
        </w:rPr>
      </w:pPr>
      <w:r w:rsidRPr="00847037">
        <w:rPr>
          <w:rStyle w:val="FootnoteReference"/>
          <w:sz w:val="16"/>
          <w:szCs w:val="16"/>
        </w:rPr>
        <w:footnoteRef/>
      </w:r>
      <w:r w:rsidRPr="00847037">
        <w:rPr>
          <w:sz w:val="16"/>
          <w:szCs w:val="16"/>
        </w:rPr>
        <w:t xml:space="preserve"> El proceso se estancó en 2011.  En 2014 se reanudó un proceso consultivo.</w:t>
      </w:r>
    </w:p>
  </w:footnote>
  <w:footnote w:id="65">
    <w:p w:rsidR="00121C2F" w:rsidRPr="00017A5E" w:rsidRDefault="00121C2F" w:rsidP="00DC1333">
      <w:pPr>
        <w:pStyle w:val="FootnoteText"/>
        <w:rPr>
          <w:sz w:val="16"/>
          <w:szCs w:val="16"/>
        </w:rPr>
      </w:pPr>
      <w:r w:rsidRPr="003B571E">
        <w:rPr>
          <w:rStyle w:val="FootnoteReference"/>
          <w:sz w:val="16"/>
          <w:szCs w:val="16"/>
        </w:rPr>
        <w:footnoteRef/>
      </w:r>
      <w:r w:rsidRPr="00FD4E4A">
        <w:rPr>
          <w:sz w:val="16"/>
          <w:szCs w:val="16"/>
        </w:rPr>
        <w:t xml:space="preserve"> Corrección</w:t>
      </w:r>
      <w:proofErr w:type="gramStart"/>
      <w:r w:rsidRPr="00FD4E4A">
        <w:rPr>
          <w:sz w:val="16"/>
          <w:szCs w:val="16"/>
        </w:rPr>
        <w:t>:  Bangladesh</w:t>
      </w:r>
      <w:proofErr w:type="gramEnd"/>
      <w:r w:rsidRPr="00FD4E4A">
        <w:rPr>
          <w:sz w:val="16"/>
          <w:szCs w:val="16"/>
        </w:rPr>
        <w:t xml:space="preserve"> está inmerso actualmente en la formulación de su estrategia nacional de P.I. y todavía no la ha </w:t>
      </w:r>
      <w:r w:rsidRPr="00992AF7">
        <w:rPr>
          <w:sz w:val="16"/>
          <w:szCs w:val="16"/>
        </w:rPr>
        <w:t>adoptado, como se inform</w:t>
      </w:r>
      <w:r>
        <w:rPr>
          <w:sz w:val="16"/>
          <w:szCs w:val="16"/>
        </w:rPr>
        <w:t>ó en los</w:t>
      </w:r>
      <w:r w:rsidRPr="00992AF7">
        <w:rPr>
          <w:sz w:val="16"/>
          <w:szCs w:val="16"/>
        </w:rPr>
        <w:t xml:space="preserve"> bienio</w:t>
      </w:r>
      <w:r>
        <w:rPr>
          <w:sz w:val="16"/>
          <w:szCs w:val="16"/>
        </w:rPr>
        <w:t>s</w:t>
      </w:r>
      <w:r w:rsidRPr="00992AF7">
        <w:rPr>
          <w:sz w:val="16"/>
          <w:szCs w:val="16"/>
        </w:rPr>
        <w:t xml:space="preserve"> anterior</w:t>
      </w:r>
      <w:r>
        <w:rPr>
          <w:sz w:val="16"/>
          <w:szCs w:val="16"/>
        </w:rPr>
        <w:t>es</w:t>
      </w:r>
      <w:r w:rsidRPr="00992AF7">
        <w:rPr>
          <w:sz w:val="16"/>
          <w:szCs w:val="16"/>
        </w:rPr>
        <w:t>;  por eso ha sido eliminada de la columna de referencia.</w:t>
      </w:r>
      <w:r>
        <w:rPr>
          <w:sz w:val="16"/>
          <w:szCs w:val="16"/>
        </w:rPr>
        <w:t xml:space="preserve"> </w:t>
      </w:r>
    </w:p>
  </w:footnote>
  <w:footnote w:id="66">
    <w:p w:rsidR="00121C2F" w:rsidRPr="00D83355" w:rsidRDefault="00121C2F" w:rsidP="00DC1333">
      <w:pPr>
        <w:pStyle w:val="FootnoteText"/>
      </w:pPr>
      <w:r w:rsidRPr="003B571E">
        <w:rPr>
          <w:rStyle w:val="FootnoteReference"/>
          <w:sz w:val="16"/>
          <w:szCs w:val="16"/>
        </w:rPr>
        <w:footnoteRef/>
      </w:r>
      <w:r w:rsidRPr="00D83355">
        <w:t xml:space="preserve"> </w:t>
      </w:r>
      <w:r w:rsidRPr="00D83355">
        <w:rPr>
          <w:sz w:val="16"/>
          <w:szCs w:val="16"/>
        </w:rPr>
        <w:t xml:space="preserve">No hay mecanismos existentes disponibles.  Durante el bienio 2016/17 se elaborará un mecanismo apropiado. </w:t>
      </w:r>
    </w:p>
  </w:footnote>
  <w:footnote w:id="67">
    <w:p w:rsidR="00121C2F" w:rsidRPr="006561B2" w:rsidRDefault="00121C2F">
      <w:pPr>
        <w:pStyle w:val="FootnoteText"/>
        <w:rPr>
          <w:sz w:val="16"/>
          <w:szCs w:val="16"/>
        </w:rPr>
      </w:pPr>
      <w:r w:rsidRPr="003B571E">
        <w:rPr>
          <w:rStyle w:val="FootnoteReference"/>
          <w:sz w:val="16"/>
          <w:szCs w:val="16"/>
        </w:rPr>
        <w:footnoteRef/>
      </w:r>
      <w:r w:rsidRPr="006561B2">
        <w:rPr>
          <w:sz w:val="16"/>
          <w:szCs w:val="16"/>
        </w:rPr>
        <w:t xml:space="preserve"> </w:t>
      </w:r>
      <w:hyperlink r:id="rId10" w:history="1">
        <w:r w:rsidRPr="006561B2">
          <w:rPr>
            <w:rStyle w:val="Hyperlink"/>
            <w:sz w:val="16"/>
            <w:szCs w:val="16"/>
          </w:rPr>
          <w:t>http://www.wipo.int/edocs/mdocs/africa/en/ompi_pi_dak_15/ompi_pi_dak_15_declaration.pdf</w:t>
        </w:r>
      </w:hyperlink>
      <w:r w:rsidRPr="006561B2">
        <w:rPr>
          <w:sz w:val="16"/>
          <w:szCs w:val="16"/>
        </w:rPr>
        <w:t xml:space="preserve"> </w:t>
      </w:r>
    </w:p>
  </w:footnote>
  <w:footnote w:id="68">
    <w:p w:rsidR="00121C2F" w:rsidRPr="0033017A" w:rsidRDefault="00121C2F" w:rsidP="00DC1333">
      <w:pPr>
        <w:pStyle w:val="FootnoteText"/>
        <w:rPr>
          <w:sz w:val="16"/>
          <w:szCs w:val="16"/>
        </w:rPr>
      </w:pPr>
      <w:r w:rsidRPr="003B571E">
        <w:rPr>
          <w:rStyle w:val="FootnoteReference"/>
          <w:sz w:val="16"/>
          <w:szCs w:val="16"/>
        </w:rPr>
        <w:footnoteRef/>
      </w:r>
      <w:r w:rsidRPr="0033017A">
        <w:rPr>
          <w:sz w:val="16"/>
          <w:szCs w:val="16"/>
        </w:rPr>
        <w:t xml:space="preserve"> Corrección</w:t>
      </w:r>
      <w:proofErr w:type="gramStart"/>
      <w:r w:rsidRPr="0033017A">
        <w:rPr>
          <w:sz w:val="16"/>
          <w:szCs w:val="16"/>
        </w:rPr>
        <w:t>:  El</w:t>
      </w:r>
      <w:proofErr w:type="gramEnd"/>
      <w:r w:rsidRPr="0033017A">
        <w:rPr>
          <w:sz w:val="16"/>
          <w:szCs w:val="16"/>
        </w:rPr>
        <w:t xml:space="preserve"> programa de películas de animación en torno al foment</w:t>
      </w:r>
      <w:r>
        <w:rPr>
          <w:sz w:val="16"/>
          <w:szCs w:val="16"/>
        </w:rPr>
        <w:t>o</w:t>
      </w:r>
      <w:r w:rsidRPr="0033017A">
        <w:rPr>
          <w:sz w:val="16"/>
          <w:szCs w:val="16"/>
        </w:rPr>
        <w:t xml:space="preserve"> del respeto por la P.I. en colaboración con la Liga de </w:t>
      </w:r>
      <w:r>
        <w:rPr>
          <w:sz w:val="16"/>
          <w:szCs w:val="16"/>
        </w:rPr>
        <w:t xml:space="preserve">los </w:t>
      </w:r>
      <w:r w:rsidRPr="0033017A">
        <w:rPr>
          <w:sz w:val="16"/>
          <w:szCs w:val="16"/>
        </w:rPr>
        <w:t>Estados Árabes</w:t>
      </w:r>
      <w:r>
        <w:rPr>
          <w:sz w:val="16"/>
          <w:szCs w:val="16"/>
        </w:rPr>
        <w:t xml:space="preserve"> (LEA)</w:t>
      </w:r>
      <w:r w:rsidRPr="0033017A">
        <w:rPr>
          <w:sz w:val="16"/>
          <w:szCs w:val="16"/>
        </w:rPr>
        <w:t xml:space="preserve"> sobre el que se inform</w:t>
      </w:r>
      <w:r>
        <w:rPr>
          <w:sz w:val="16"/>
          <w:szCs w:val="16"/>
        </w:rPr>
        <w:t>ó en el PPR de 2014 fue llevado a la práctica en el marco de un memorando de entendimiento con la LEA firmado con antelación al bienio  2014/15</w:t>
      </w:r>
      <w:r w:rsidRPr="0033017A">
        <w:rPr>
          <w:sz w:val="16"/>
          <w:szCs w:val="16"/>
        </w:rPr>
        <w:t>.</w:t>
      </w:r>
    </w:p>
  </w:footnote>
  <w:footnote w:id="69">
    <w:p w:rsidR="00121C2F" w:rsidRPr="001F7360" w:rsidRDefault="00121C2F">
      <w:pPr>
        <w:pStyle w:val="FootnoteText"/>
      </w:pPr>
      <w:r>
        <w:rPr>
          <w:rStyle w:val="FootnoteReference"/>
        </w:rPr>
        <w:footnoteRef/>
      </w:r>
      <w:r w:rsidRPr="001F7360">
        <w:t xml:space="preserve"> </w:t>
      </w:r>
      <w:r w:rsidRPr="001F7360">
        <w:rPr>
          <w:sz w:val="16"/>
          <w:szCs w:val="16"/>
        </w:rPr>
        <w:t>Corrección</w:t>
      </w:r>
      <w:proofErr w:type="gramStart"/>
      <w:r w:rsidRPr="001F7360">
        <w:rPr>
          <w:sz w:val="16"/>
          <w:szCs w:val="16"/>
        </w:rPr>
        <w:t>:  La</w:t>
      </w:r>
      <w:proofErr w:type="gramEnd"/>
      <w:r w:rsidRPr="001F7360">
        <w:rPr>
          <w:sz w:val="16"/>
          <w:szCs w:val="16"/>
        </w:rPr>
        <w:t xml:space="preserve"> cooperación con la Asociaci</w:t>
      </w:r>
      <w:r w:rsidRPr="001F7360">
        <w:rPr>
          <w:rFonts w:ascii="Tahoma" w:hAnsi="Tahoma" w:cs="Tahoma"/>
          <w:sz w:val="16"/>
          <w:szCs w:val="16"/>
        </w:rPr>
        <w:t>ó</w:t>
      </w:r>
      <w:r w:rsidRPr="001F7360">
        <w:rPr>
          <w:sz w:val="16"/>
          <w:szCs w:val="16"/>
        </w:rPr>
        <w:t>n de Asia Meridional para la Cooperaci</w:t>
      </w:r>
      <w:r w:rsidRPr="001F7360">
        <w:rPr>
          <w:rFonts w:ascii="Tahoma" w:hAnsi="Tahoma" w:cs="Tahoma"/>
          <w:sz w:val="16"/>
          <w:szCs w:val="16"/>
        </w:rPr>
        <w:t>ó</w:t>
      </w:r>
      <w:r w:rsidRPr="001F7360">
        <w:rPr>
          <w:sz w:val="16"/>
          <w:szCs w:val="16"/>
        </w:rPr>
        <w:t>n Regional (SAARC), de la que se informó en el PPR de 2014, fue ejecutada con arreglo a un acuerdo concluido antes del bienio 2014/15.</w:t>
      </w:r>
    </w:p>
  </w:footnote>
  <w:footnote w:id="70">
    <w:p w:rsidR="00121C2F" w:rsidRPr="0033017A" w:rsidRDefault="00121C2F" w:rsidP="00DC1333">
      <w:pPr>
        <w:tabs>
          <w:tab w:val="left" w:pos="0"/>
        </w:tabs>
        <w:jc w:val="both"/>
        <w:rPr>
          <w:sz w:val="16"/>
          <w:szCs w:val="16"/>
        </w:rPr>
      </w:pPr>
      <w:r w:rsidRPr="003B571E">
        <w:rPr>
          <w:rStyle w:val="FootnoteReference"/>
          <w:sz w:val="16"/>
          <w:szCs w:val="16"/>
        </w:rPr>
        <w:footnoteRef/>
      </w:r>
      <w:r w:rsidRPr="0033017A">
        <w:t xml:space="preserve"> </w:t>
      </w:r>
      <w:r w:rsidRPr="0033017A">
        <w:rPr>
          <w:sz w:val="16"/>
          <w:szCs w:val="16"/>
          <w:lang w:bidi="th-TH"/>
        </w:rPr>
        <w:t xml:space="preserve">i) Proyectos de armonización en la esfera de las patentes y las marcas en América Central junto con la Oficina Europea de Patentes (OEP) y la Oficina Española de Patentes y Marcas (OEPM), y con la colaboración del Instituto Mexicano de </w:t>
      </w:r>
      <w:r>
        <w:rPr>
          <w:sz w:val="16"/>
          <w:szCs w:val="16"/>
          <w:lang w:bidi="th-TH"/>
        </w:rPr>
        <w:t xml:space="preserve">la Propiedad Industrial (IMPI);  </w:t>
      </w:r>
      <w:r w:rsidRPr="0033017A">
        <w:rPr>
          <w:sz w:val="16"/>
          <w:szCs w:val="16"/>
          <w:lang w:bidi="th-TH"/>
        </w:rPr>
        <w:t xml:space="preserve">ii) LATIPAT junto con la OEP y la OEPM;  iii) Proyecto sobre indicaciones geográficas, productos cuyas características se deben a su origen, y desarrollo de marcas, en asociación con el Banco Interamericano de Desarrollo (BID), la </w:t>
      </w:r>
      <w:proofErr w:type="spellStart"/>
      <w:r w:rsidRPr="00992AF7">
        <w:rPr>
          <w:sz w:val="16"/>
          <w:szCs w:val="16"/>
          <w:lang w:bidi="th-TH"/>
        </w:rPr>
        <w:t>Caribbean</w:t>
      </w:r>
      <w:proofErr w:type="spellEnd"/>
      <w:r w:rsidRPr="00992AF7">
        <w:rPr>
          <w:sz w:val="16"/>
          <w:szCs w:val="16"/>
          <w:lang w:bidi="th-TH"/>
        </w:rPr>
        <w:t xml:space="preserve"> </w:t>
      </w:r>
      <w:proofErr w:type="spellStart"/>
      <w:r w:rsidRPr="00992AF7">
        <w:rPr>
          <w:sz w:val="16"/>
          <w:szCs w:val="16"/>
          <w:lang w:bidi="th-TH"/>
        </w:rPr>
        <w:t>Export</w:t>
      </w:r>
      <w:proofErr w:type="spellEnd"/>
      <w:r w:rsidRPr="00992AF7">
        <w:rPr>
          <w:sz w:val="16"/>
          <w:szCs w:val="16"/>
          <w:lang w:bidi="th-TH"/>
        </w:rPr>
        <w:t xml:space="preserve"> Development Agency y el </w:t>
      </w:r>
      <w:proofErr w:type="spellStart"/>
      <w:r w:rsidRPr="00992AF7">
        <w:rPr>
          <w:sz w:val="16"/>
          <w:szCs w:val="16"/>
          <w:lang w:bidi="th-TH"/>
        </w:rPr>
        <w:t>Technical</w:t>
      </w:r>
      <w:proofErr w:type="spellEnd"/>
      <w:r w:rsidRPr="00992AF7">
        <w:rPr>
          <w:sz w:val="16"/>
          <w:szCs w:val="16"/>
          <w:lang w:bidi="th-TH"/>
        </w:rPr>
        <w:t xml:space="preserve"> Centre </w:t>
      </w:r>
      <w:proofErr w:type="spellStart"/>
      <w:r w:rsidRPr="00992AF7">
        <w:rPr>
          <w:sz w:val="16"/>
          <w:szCs w:val="16"/>
          <w:lang w:bidi="th-TH"/>
        </w:rPr>
        <w:t>for</w:t>
      </w:r>
      <w:proofErr w:type="spellEnd"/>
      <w:r w:rsidRPr="00992AF7">
        <w:rPr>
          <w:sz w:val="16"/>
          <w:szCs w:val="16"/>
          <w:lang w:bidi="th-TH"/>
        </w:rPr>
        <w:t xml:space="preserve"> </w:t>
      </w:r>
      <w:proofErr w:type="spellStart"/>
      <w:r w:rsidRPr="00992AF7">
        <w:rPr>
          <w:sz w:val="16"/>
          <w:szCs w:val="16"/>
          <w:lang w:bidi="th-TH"/>
        </w:rPr>
        <w:t>Agricultural</w:t>
      </w:r>
      <w:proofErr w:type="spellEnd"/>
      <w:r w:rsidRPr="00992AF7">
        <w:rPr>
          <w:sz w:val="16"/>
          <w:szCs w:val="16"/>
          <w:lang w:bidi="th-TH"/>
        </w:rPr>
        <w:t xml:space="preserve"> and Rural </w:t>
      </w:r>
      <w:proofErr w:type="spellStart"/>
      <w:r w:rsidRPr="00992AF7">
        <w:rPr>
          <w:sz w:val="16"/>
          <w:szCs w:val="16"/>
          <w:lang w:bidi="th-TH"/>
        </w:rPr>
        <w:t>Corporation</w:t>
      </w:r>
      <w:proofErr w:type="spellEnd"/>
      <w:r w:rsidRPr="00992AF7">
        <w:rPr>
          <w:sz w:val="16"/>
          <w:szCs w:val="16"/>
          <w:lang w:bidi="th-TH"/>
        </w:rPr>
        <w:t xml:space="preserve"> (CTA);  iv) Oficina Regional de Patentes en los Estados del Caribe con la Administración de Patentes del Caribe;  v) Programa interamericano en el marco del fondo fiduciario;  vi) Colaboración continua sobre la plataforma Regional </w:t>
      </w:r>
      <w:proofErr w:type="spellStart"/>
      <w:r w:rsidRPr="00992AF7">
        <w:rPr>
          <w:sz w:val="16"/>
          <w:szCs w:val="16"/>
          <w:lang w:bidi="th-TH"/>
        </w:rPr>
        <w:t>Entrepreneurial</w:t>
      </w:r>
      <w:proofErr w:type="spellEnd"/>
      <w:r w:rsidRPr="00992AF7">
        <w:rPr>
          <w:sz w:val="16"/>
          <w:szCs w:val="16"/>
          <w:lang w:bidi="th-TH"/>
        </w:rPr>
        <w:t xml:space="preserve"> </w:t>
      </w:r>
      <w:proofErr w:type="spellStart"/>
      <w:r w:rsidRPr="00992AF7">
        <w:rPr>
          <w:sz w:val="16"/>
          <w:szCs w:val="16"/>
          <w:lang w:bidi="th-TH"/>
        </w:rPr>
        <w:t>Asset</w:t>
      </w:r>
      <w:proofErr w:type="spellEnd"/>
      <w:r w:rsidRPr="00992AF7">
        <w:rPr>
          <w:sz w:val="16"/>
          <w:szCs w:val="16"/>
          <w:lang w:bidi="th-TH"/>
        </w:rPr>
        <w:t xml:space="preserve"> </w:t>
      </w:r>
      <w:proofErr w:type="spellStart"/>
      <w:r w:rsidRPr="00992AF7">
        <w:rPr>
          <w:sz w:val="16"/>
          <w:szCs w:val="16"/>
          <w:lang w:bidi="th-TH"/>
        </w:rPr>
        <w:t>Commercialization</w:t>
      </w:r>
      <w:proofErr w:type="spellEnd"/>
      <w:r w:rsidRPr="00992AF7">
        <w:rPr>
          <w:sz w:val="16"/>
          <w:szCs w:val="16"/>
          <w:lang w:bidi="th-TH"/>
        </w:rPr>
        <w:t xml:space="preserve"> </w:t>
      </w:r>
      <w:proofErr w:type="spellStart"/>
      <w:r w:rsidRPr="00992AF7">
        <w:rPr>
          <w:sz w:val="16"/>
          <w:szCs w:val="16"/>
          <w:lang w:bidi="th-TH"/>
        </w:rPr>
        <w:t>Hub</w:t>
      </w:r>
      <w:proofErr w:type="spellEnd"/>
      <w:r w:rsidRPr="00992AF7">
        <w:rPr>
          <w:sz w:val="16"/>
          <w:szCs w:val="16"/>
          <w:lang w:bidi="th-TH"/>
        </w:rPr>
        <w:t xml:space="preserve"> (REACH) con el BID y el Young </w:t>
      </w:r>
      <w:proofErr w:type="spellStart"/>
      <w:r w:rsidRPr="00992AF7">
        <w:rPr>
          <w:sz w:val="16"/>
          <w:szCs w:val="16"/>
          <w:lang w:bidi="th-TH"/>
        </w:rPr>
        <w:t>Americas</w:t>
      </w:r>
      <w:proofErr w:type="spellEnd"/>
      <w:r w:rsidRPr="00992AF7">
        <w:rPr>
          <w:sz w:val="16"/>
          <w:szCs w:val="16"/>
          <w:lang w:bidi="th-TH"/>
        </w:rPr>
        <w:t xml:space="preserve"> Business Trust (YABT)</w:t>
      </w:r>
    </w:p>
  </w:footnote>
  <w:footnote w:id="71">
    <w:p w:rsidR="00121C2F" w:rsidRPr="008C47F8" w:rsidRDefault="00121C2F" w:rsidP="00DC1333">
      <w:pPr>
        <w:pStyle w:val="FootnoteText"/>
        <w:rPr>
          <w:sz w:val="16"/>
          <w:szCs w:val="16"/>
        </w:rPr>
      </w:pPr>
      <w:r w:rsidRPr="00FC1471">
        <w:rPr>
          <w:rStyle w:val="FootnoteReference"/>
          <w:sz w:val="16"/>
          <w:szCs w:val="16"/>
          <w:lang w:val="es-ES_tradnl"/>
        </w:rPr>
        <w:footnoteRef/>
      </w:r>
      <w:r w:rsidRPr="00FC1471">
        <w:rPr>
          <w:sz w:val="16"/>
          <w:szCs w:val="16"/>
          <w:lang w:val="es-ES_tradnl"/>
        </w:rPr>
        <w:t xml:space="preserve"> Corrección</w:t>
      </w:r>
      <w:proofErr w:type="gramStart"/>
      <w:r>
        <w:rPr>
          <w:sz w:val="16"/>
          <w:szCs w:val="16"/>
          <w:lang w:val="es-ES_tradnl"/>
        </w:rPr>
        <w:t xml:space="preserve">:  </w:t>
      </w:r>
      <w:r w:rsidRPr="00FC1471">
        <w:rPr>
          <w:sz w:val="16"/>
          <w:szCs w:val="16"/>
          <w:lang w:val="es-ES_tradnl"/>
        </w:rPr>
        <w:t>El</w:t>
      </w:r>
      <w:proofErr w:type="gramEnd"/>
      <w:r w:rsidRPr="00FC1471">
        <w:rPr>
          <w:sz w:val="16"/>
          <w:szCs w:val="16"/>
          <w:lang w:val="es-ES_tradnl"/>
        </w:rPr>
        <w:t xml:space="preserve"> número de p</w:t>
      </w:r>
      <w:r>
        <w:rPr>
          <w:sz w:val="16"/>
          <w:szCs w:val="16"/>
          <w:lang w:val="es-ES_tradnl"/>
        </w:rPr>
        <w:t>articipantes en el Programa de perfeccionamiento p</w:t>
      </w:r>
      <w:r w:rsidRPr="00FC1471">
        <w:rPr>
          <w:sz w:val="16"/>
          <w:szCs w:val="16"/>
          <w:lang w:val="es-ES_tradnl"/>
        </w:rPr>
        <w:t>rofesional en 2014 fue de 226, no 216 como figuraba en el Informe sobre el rendimiento de los programas en 2014.</w:t>
      </w:r>
    </w:p>
  </w:footnote>
  <w:footnote w:id="72">
    <w:p w:rsidR="00121C2F" w:rsidRPr="00BF2B66" w:rsidRDefault="00121C2F" w:rsidP="00DC1333">
      <w:pPr>
        <w:pStyle w:val="FootnoteText"/>
        <w:rPr>
          <w:sz w:val="16"/>
          <w:szCs w:val="16"/>
        </w:rPr>
      </w:pPr>
      <w:r w:rsidRPr="00F64CE5">
        <w:rPr>
          <w:rStyle w:val="FootnoteReference"/>
          <w:sz w:val="16"/>
          <w:szCs w:val="16"/>
        </w:rPr>
        <w:footnoteRef/>
      </w:r>
      <w:r w:rsidRPr="00BF2B66">
        <w:rPr>
          <w:sz w:val="16"/>
          <w:szCs w:val="16"/>
        </w:rPr>
        <w:t xml:space="preserve"> De los </w:t>
      </w:r>
      <w:r>
        <w:rPr>
          <w:sz w:val="16"/>
          <w:szCs w:val="16"/>
        </w:rPr>
        <w:t>12</w:t>
      </w:r>
      <w:r w:rsidRPr="00BF2B66">
        <w:rPr>
          <w:sz w:val="16"/>
          <w:szCs w:val="16"/>
        </w:rPr>
        <w:t xml:space="preserve"> cursos </w:t>
      </w:r>
      <w:r>
        <w:rPr>
          <w:sz w:val="16"/>
          <w:szCs w:val="16"/>
        </w:rPr>
        <w:t>of</w:t>
      </w:r>
      <w:r w:rsidRPr="00BF2B66">
        <w:rPr>
          <w:sz w:val="16"/>
          <w:szCs w:val="16"/>
        </w:rPr>
        <w:t>icial</w:t>
      </w:r>
      <w:r>
        <w:rPr>
          <w:sz w:val="16"/>
          <w:szCs w:val="16"/>
        </w:rPr>
        <w:t>es</w:t>
      </w:r>
      <w:r w:rsidRPr="00BF2B66">
        <w:rPr>
          <w:sz w:val="16"/>
          <w:szCs w:val="16"/>
        </w:rPr>
        <w:t xml:space="preserve"> </w:t>
      </w:r>
      <w:r>
        <w:rPr>
          <w:sz w:val="16"/>
          <w:szCs w:val="16"/>
        </w:rPr>
        <w:t>ofrecidos en ambos bienios, 11</w:t>
      </w:r>
      <w:r w:rsidRPr="00BF2B66">
        <w:rPr>
          <w:sz w:val="16"/>
          <w:szCs w:val="16"/>
        </w:rPr>
        <w:t xml:space="preserve"> estaban disponibles en los seis </w:t>
      </w:r>
      <w:r>
        <w:rPr>
          <w:sz w:val="16"/>
          <w:szCs w:val="16"/>
        </w:rPr>
        <w:t>idiomas de las NN.UU. y en portugués y uno en tres idiomas de las NN.UU.</w:t>
      </w:r>
    </w:p>
  </w:footnote>
  <w:footnote w:id="73">
    <w:p w:rsidR="00121C2F" w:rsidRPr="00BF2B66" w:rsidRDefault="00121C2F" w:rsidP="00DC1333">
      <w:pPr>
        <w:pStyle w:val="FootnoteText"/>
        <w:rPr>
          <w:sz w:val="16"/>
          <w:szCs w:val="16"/>
        </w:rPr>
      </w:pPr>
      <w:r w:rsidRPr="00B527D7">
        <w:rPr>
          <w:sz w:val="16"/>
          <w:szCs w:val="16"/>
          <w:vertAlign w:val="superscript"/>
        </w:rPr>
        <w:footnoteRef/>
      </w:r>
      <w:r w:rsidRPr="00BF2B66">
        <w:rPr>
          <w:sz w:val="16"/>
          <w:szCs w:val="16"/>
        </w:rPr>
        <w:t xml:space="preserve"> El aumento del </w:t>
      </w:r>
      <w:r>
        <w:rPr>
          <w:sz w:val="16"/>
          <w:szCs w:val="16"/>
        </w:rPr>
        <w:t xml:space="preserve">138% </w:t>
      </w:r>
      <w:r w:rsidRPr="00BF2B66">
        <w:rPr>
          <w:sz w:val="16"/>
          <w:szCs w:val="16"/>
        </w:rPr>
        <w:t>en la demanda de c</w:t>
      </w:r>
      <w:r>
        <w:rPr>
          <w:sz w:val="16"/>
          <w:szCs w:val="16"/>
        </w:rPr>
        <w:t>ursos de enseñanza a distancia de nivel avanzado</w:t>
      </w:r>
      <w:r w:rsidRPr="00BF2B66">
        <w:rPr>
          <w:sz w:val="16"/>
          <w:szCs w:val="16"/>
        </w:rPr>
        <w:t xml:space="preserve"> est</w:t>
      </w:r>
      <w:r>
        <w:rPr>
          <w:sz w:val="16"/>
          <w:szCs w:val="16"/>
        </w:rPr>
        <w:t>á ligado a la alta participación de los CATI, en particular los de Marruecos, Madagascar y Suráfrica, así como a la disponibilidad adicional de los cursos de enseñanza a distancia en los seis idiomas de las NN.UU. a partir de finales de 2015.</w:t>
      </w:r>
    </w:p>
  </w:footnote>
  <w:footnote w:id="74">
    <w:p w:rsidR="00121C2F" w:rsidRPr="00BF2B66" w:rsidRDefault="00121C2F" w:rsidP="00DC1333">
      <w:pPr>
        <w:pStyle w:val="FootnoteText"/>
        <w:rPr>
          <w:sz w:val="16"/>
          <w:szCs w:val="16"/>
        </w:rPr>
      </w:pPr>
      <w:r w:rsidRPr="00B9794F">
        <w:rPr>
          <w:sz w:val="16"/>
          <w:szCs w:val="16"/>
          <w:vertAlign w:val="superscript"/>
        </w:rPr>
        <w:footnoteRef/>
      </w:r>
      <w:r w:rsidRPr="00BF2B66">
        <w:rPr>
          <w:sz w:val="16"/>
          <w:szCs w:val="16"/>
        </w:rPr>
        <w:t xml:space="preserve"> </w:t>
      </w:r>
      <w:r w:rsidRPr="007B2775">
        <w:rPr>
          <w:sz w:val="16"/>
          <w:szCs w:val="16"/>
          <w:lang w:val="es-ES_tradnl"/>
        </w:rPr>
        <w:t>El mayor nivel de participación de países de América Latina y el Caribe se debe principalmente a las versiones adaptadas del Curso general sobre P.I. (DL101) en español y portugués.</w:t>
      </w:r>
    </w:p>
  </w:footnote>
  <w:footnote w:id="75">
    <w:p w:rsidR="00121C2F" w:rsidRPr="00004DDD" w:rsidRDefault="00121C2F" w:rsidP="00DC1333">
      <w:pPr>
        <w:pStyle w:val="FootnoteText"/>
        <w:rPr>
          <w:sz w:val="16"/>
          <w:szCs w:val="16"/>
          <w:lang w:val="es-ES_tradnl"/>
        </w:rPr>
      </w:pPr>
      <w:r w:rsidRPr="00C20768">
        <w:rPr>
          <w:rStyle w:val="FootnoteReference"/>
          <w:sz w:val="16"/>
          <w:szCs w:val="16"/>
        </w:rPr>
        <w:footnoteRef/>
      </w:r>
      <w:r w:rsidRPr="00004DDD">
        <w:rPr>
          <w:sz w:val="16"/>
          <w:szCs w:val="16"/>
        </w:rPr>
        <w:t xml:space="preserve"> Corrección</w:t>
      </w:r>
      <w:proofErr w:type="gramStart"/>
      <w:r w:rsidRPr="00004DDD">
        <w:rPr>
          <w:sz w:val="16"/>
          <w:szCs w:val="16"/>
        </w:rPr>
        <w:t>:</w:t>
      </w:r>
      <w:r>
        <w:rPr>
          <w:sz w:val="16"/>
          <w:szCs w:val="16"/>
        </w:rPr>
        <w:t xml:space="preserve"> </w:t>
      </w:r>
      <w:r w:rsidRPr="00004DDD">
        <w:rPr>
          <w:sz w:val="16"/>
          <w:szCs w:val="16"/>
        </w:rPr>
        <w:t xml:space="preserve"> En</w:t>
      </w:r>
      <w:proofErr w:type="gramEnd"/>
      <w:r w:rsidRPr="00004DDD">
        <w:rPr>
          <w:sz w:val="16"/>
          <w:szCs w:val="16"/>
        </w:rPr>
        <w:t xml:space="preserve"> 2014, los cursos general</w:t>
      </w:r>
      <w:r>
        <w:rPr>
          <w:sz w:val="16"/>
          <w:szCs w:val="16"/>
        </w:rPr>
        <w:t>es</w:t>
      </w:r>
      <w:r w:rsidRPr="00004DDD">
        <w:rPr>
          <w:sz w:val="16"/>
          <w:szCs w:val="16"/>
        </w:rPr>
        <w:t xml:space="preserve"> fueron ofrecidos en 13 idiomas (incluyendo el ingl</w:t>
      </w:r>
      <w:r>
        <w:rPr>
          <w:sz w:val="16"/>
          <w:szCs w:val="16"/>
        </w:rPr>
        <w:t xml:space="preserve">és), no 12 </w:t>
      </w:r>
      <w:r w:rsidRPr="00FC1471">
        <w:rPr>
          <w:sz w:val="16"/>
          <w:szCs w:val="16"/>
          <w:lang w:val="es-ES_tradnl"/>
        </w:rPr>
        <w:t>como figuraba en el Informe sobre el rendimiento de los programas en 2014.</w:t>
      </w:r>
    </w:p>
  </w:footnote>
  <w:footnote w:id="76">
    <w:p w:rsidR="00121C2F" w:rsidRPr="005C6982" w:rsidRDefault="00121C2F" w:rsidP="00DC1333">
      <w:pPr>
        <w:pStyle w:val="FootnoteText"/>
      </w:pPr>
      <w:r w:rsidRPr="00BD18C1">
        <w:rPr>
          <w:sz w:val="16"/>
          <w:szCs w:val="16"/>
          <w:vertAlign w:val="superscript"/>
        </w:rPr>
        <w:footnoteRef/>
      </w:r>
      <w:r w:rsidRPr="00004DDD">
        <w:rPr>
          <w:sz w:val="16"/>
          <w:szCs w:val="16"/>
        </w:rPr>
        <w:t xml:space="preserve"> Cabe apuntar </w:t>
      </w:r>
      <w:r>
        <w:rPr>
          <w:sz w:val="16"/>
          <w:szCs w:val="16"/>
        </w:rPr>
        <w:t>que en ocasiones el año académico se solapa con el año natural (por ejemplo, los programas van de 2013 a 2014 y de 2014 a 2015).  Por consiguiente, no es posible en este informe establecer una correlación entre el número de nuevos estudiantes y el número de graduados.</w:t>
      </w:r>
    </w:p>
  </w:footnote>
  <w:footnote w:id="77">
    <w:p w:rsidR="00121C2F" w:rsidRPr="00F50622" w:rsidRDefault="00121C2F" w:rsidP="00DC1333">
      <w:pPr>
        <w:pStyle w:val="FootnoteText"/>
        <w:rPr>
          <w:sz w:val="16"/>
          <w:szCs w:val="16"/>
        </w:rPr>
      </w:pPr>
      <w:r w:rsidRPr="00F50622">
        <w:rPr>
          <w:sz w:val="16"/>
          <w:szCs w:val="16"/>
          <w:vertAlign w:val="superscript"/>
        </w:rPr>
        <w:footnoteRef/>
      </w:r>
      <w:r w:rsidRPr="00F50622">
        <w:rPr>
          <w:sz w:val="16"/>
          <w:szCs w:val="16"/>
          <w:vertAlign w:val="superscript"/>
        </w:rPr>
        <w:t xml:space="preserve"> </w:t>
      </w:r>
      <w:r w:rsidRPr="00F50622">
        <w:rPr>
          <w:sz w:val="16"/>
          <w:szCs w:val="16"/>
        </w:rPr>
        <w:t>En 2014, dejó de impartirse el programa de máster conjunto con la Universidad de Haifa.</w:t>
      </w:r>
    </w:p>
  </w:footnote>
  <w:footnote w:id="78">
    <w:p w:rsidR="00121C2F" w:rsidRPr="00FF33BB" w:rsidRDefault="00121C2F" w:rsidP="00DC1333">
      <w:pPr>
        <w:pStyle w:val="FootnoteText"/>
        <w:rPr>
          <w:sz w:val="16"/>
          <w:szCs w:val="16"/>
        </w:rPr>
      </w:pPr>
      <w:r w:rsidRPr="00BD18C1">
        <w:rPr>
          <w:rStyle w:val="FootnoteReference"/>
          <w:sz w:val="16"/>
          <w:szCs w:val="16"/>
        </w:rPr>
        <w:footnoteRef/>
      </w:r>
      <w:r w:rsidRPr="00EE7A2C">
        <w:rPr>
          <w:sz w:val="16"/>
          <w:szCs w:val="16"/>
        </w:rPr>
        <w:t xml:space="preserve"> Corrección</w:t>
      </w:r>
      <w:proofErr w:type="gramStart"/>
      <w:r w:rsidRPr="00EE7A2C">
        <w:rPr>
          <w:sz w:val="16"/>
          <w:szCs w:val="16"/>
        </w:rPr>
        <w:t xml:space="preserve">: </w:t>
      </w:r>
      <w:r>
        <w:rPr>
          <w:sz w:val="16"/>
          <w:szCs w:val="16"/>
        </w:rPr>
        <w:t xml:space="preserve"> </w:t>
      </w:r>
      <w:r w:rsidRPr="00EE7A2C">
        <w:rPr>
          <w:sz w:val="16"/>
          <w:szCs w:val="16"/>
        </w:rPr>
        <w:t>Debido</w:t>
      </w:r>
      <w:proofErr w:type="gramEnd"/>
      <w:r w:rsidRPr="00EE7A2C">
        <w:rPr>
          <w:sz w:val="16"/>
          <w:szCs w:val="16"/>
        </w:rPr>
        <w:t xml:space="preserve"> a un error tipogr</w:t>
      </w:r>
      <w:r>
        <w:rPr>
          <w:sz w:val="16"/>
          <w:szCs w:val="16"/>
        </w:rPr>
        <w:t>áfico, la cifra indicada en el Informe sobre el rendimiento de los programas en 2014 era de 247 profesores.</w:t>
      </w:r>
    </w:p>
  </w:footnote>
  <w:footnote w:id="79">
    <w:p w:rsidR="00121C2F" w:rsidRPr="008C47F8" w:rsidRDefault="00121C2F">
      <w:pPr>
        <w:pStyle w:val="FootnoteText"/>
      </w:pPr>
      <w:r w:rsidRPr="00F64CE5">
        <w:rPr>
          <w:rStyle w:val="FootnoteReference"/>
          <w:sz w:val="16"/>
          <w:szCs w:val="16"/>
        </w:rPr>
        <w:footnoteRef/>
      </w:r>
      <w:r w:rsidRPr="008C47F8">
        <w:rPr>
          <w:sz w:val="16"/>
          <w:szCs w:val="16"/>
        </w:rPr>
        <w:t xml:space="preserve"> </w:t>
      </w:r>
      <w:r w:rsidRPr="007B2775">
        <w:rPr>
          <w:sz w:val="16"/>
          <w:szCs w:val="16"/>
          <w:lang w:val="es-ES_tradnl"/>
        </w:rPr>
        <w:t>Se entenderá por “disponible” que ha sido traducido al idioma y que está en condiciones de ser ofrecido a las oficinas de P.I. asociadas.  Cabe observar que en un año determinado no todos los cursos se ofrecen en todas las versiones en distintos idiomas, en función del momento del año en que una nueva ve</w:t>
      </w:r>
      <w:r>
        <w:rPr>
          <w:sz w:val="16"/>
          <w:szCs w:val="16"/>
          <w:lang w:val="es-ES_tradnl"/>
        </w:rPr>
        <w:t xml:space="preserve">rsión pasa a estar disponible </w:t>
      </w:r>
      <w:r w:rsidRPr="007B2775">
        <w:rPr>
          <w:sz w:val="16"/>
          <w:szCs w:val="16"/>
          <w:lang w:val="es-ES_tradnl"/>
        </w:rPr>
        <w:t>o del nivel de preparación de la oficina de P.I. asociada con la que se imparten los cursos.</w:t>
      </w:r>
    </w:p>
  </w:footnote>
  <w:footnote w:id="80">
    <w:p w:rsidR="00121C2F" w:rsidRPr="00AD517C" w:rsidRDefault="00121C2F" w:rsidP="00DC1333">
      <w:pPr>
        <w:pStyle w:val="FootnoteText"/>
        <w:rPr>
          <w:sz w:val="16"/>
          <w:szCs w:val="16"/>
        </w:rPr>
      </w:pPr>
      <w:r w:rsidRPr="00AD517C">
        <w:rPr>
          <w:rStyle w:val="FootnoteReference"/>
          <w:sz w:val="16"/>
          <w:szCs w:val="16"/>
        </w:rPr>
        <w:footnoteRef/>
      </w:r>
      <w:r w:rsidRPr="00AD517C">
        <w:rPr>
          <w:sz w:val="16"/>
          <w:szCs w:val="16"/>
        </w:rPr>
        <w:t xml:space="preserve"> La contribución a esta publicación se llevó a cabo en el marco del fondo fiduciario de los EE.UU. para las pymes, que se cerró en el primer trimestre de 2015. </w:t>
      </w:r>
    </w:p>
  </w:footnote>
  <w:footnote w:id="81">
    <w:p w:rsidR="00121C2F" w:rsidRPr="00AD517C" w:rsidRDefault="00121C2F" w:rsidP="00DC1333">
      <w:pPr>
        <w:pStyle w:val="FootnoteText"/>
        <w:rPr>
          <w:sz w:val="16"/>
          <w:szCs w:val="16"/>
        </w:rPr>
      </w:pPr>
      <w:r w:rsidRPr="00AD517C">
        <w:rPr>
          <w:rStyle w:val="FootnoteReference"/>
          <w:sz w:val="16"/>
          <w:szCs w:val="16"/>
        </w:rPr>
        <w:footnoteRef/>
      </w:r>
      <w:r w:rsidRPr="00AD517C">
        <w:rPr>
          <w:sz w:val="16"/>
          <w:szCs w:val="16"/>
        </w:rPr>
        <w:t xml:space="preserve"> Véase el programa 10.</w:t>
      </w:r>
    </w:p>
  </w:footnote>
  <w:footnote w:id="82">
    <w:p w:rsidR="00121C2F" w:rsidRPr="00686A50" w:rsidRDefault="00121C2F">
      <w:pPr>
        <w:pStyle w:val="FootnoteText"/>
        <w:rPr>
          <w:sz w:val="16"/>
          <w:szCs w:val="16"/>
        </w:rPr>
      </w:pPr>
      <w:r w:rsidRPr="00686A50">
        <w:rPr>
          <w:rStyle w:val="FootnoteReference"/>
          <w:sz w:val="16"/>
          <w:szCs w:val="16"/>
        </w:rPr>
        <w:footnoteRef/>
      </w:r>
      <w:r w:rsidRPr="00686A50">
        <w:rPr>
          <w:sz w:val="16"/>
          <w:szCs w:val="16"/>
        </w:rPr>
        <w:t xml:space="preserve"> Corrección</w:t>
      </w:r>
      <w:proofErr w:type="gramStart"/>
      <w:r w:rsidRPr="00686A50">
        <w:rPr>
          <w:sz w:val="16"/>
          <w:szCs w:val="16"/>
        </w:rPr>
        <w:t>:  El</w:t>
      </w:r>
      <w:proofErr w:type="gramEnd"/>
      <w:r w:rsidRPr="00686A50">
        <w:rPr>
          <w:sz w:val="16"/>
          <w:szCs w:val="16"/>
        </w:rPr>
        <w:t xml:space="preserve"> número total de</w:t>
      </w:r>
      <w:r>
        <w:rPr>
          <w:sz w:val="16"/>
          <w:szCs w:val="16"/>
        </w:rPr>
        <w:t xml:space="preserve"> modificaciones en 2013 fue 423</w:t>
      </w:r>
      <w:r w:rsidRPr="00686A50">
        <w:rPr>
          <w:sz w:val="16"/>
          <w:szCs w:val="16"/>
        </w:rPr>
        <w:t xml:space="preserve"> tal como se informaba en el Informe sobre el rendimiento de los</w:t>
      </w:r>
      <w:r>
        <w:rPr>
          <w:sz w:val="16"/>
          <w:szCs w:val="16"/>
        </w:rPr>
        <w:t xml:space="preserve"> programas en 2012/13, y no 432</w:t>
      </w:r>
      <w:r w:rsidRPr="00686A50">
        <w:rPr>
          <w:sz w:val="16"/>
          <w:szCs w:val="16"/>
        </w:rPr>
        <w:t xml:space="preserve"> tal como se informaba en el Informe sobre el rendimiento de los programas en 2014.</w:t>
      </w:r>
    </w:p>
  </w:footnote>
  <w:footnote w:id="83">
    <w:p w:rsidR="00121C2F" w:rsidRPr="001E2B4B" w:rsidRDefault="00121C2F" w:rsidP="00DC1333">
      <w:pPr>
        <w:pStyle w:val="Default"/>
        <w:rPr>
          <w:sz w:val="16"/>
          <w:szCs w:val="16"/>
          <w:lang w:val="es-ES"/>
        </w:rPr>
      </w:pPr>
      <w:r w:rsidRPr="00316356">
        <w:rPr>
          <w:rStyle w:val="FootnoteReference"/>
          <w:rFonts w:eastAsia="Times New Roman" w:cs="Times New Roman"/>
          <w:color w:val="auto"/>
          <w:sz w:val="16"/>
          <w:szCs w:val="16"/>
        </w:rPr>
        <w:footnoteRef/>
      </w:r>
      <w:r w:rsidRPr="001E2B4B">
        <w:rPr>
          <w:sz w:val="16"/>
          <w:szCs w:val="16"/>
          <w:lang w:val="es-ES"/>
        </w:rPr>
        <w:t xml:space="preserve"> Corrección</w:t>
      </w:r>
      <w:proofErr w:type="gramStart"/>
      <w:r w:rsidRPr="001E2B4B">
        <w:rPr>
          <w:sz w:val="16"/>
          <w:szCs w:val="16"/>
          <w:lang w:val="es-ES"/>
        </w:rPr>
        <w:t>:  El</w:t>
      </w:r>
      <w:proofErr w:type="gramEnd"/>
      <w:r w:rsidRPr="001E2B4B">
        <w:rPr>
          <w:sz w:val="16"/>
          <w:szCs w:val="16"/>
          <w:lang w:val="es-ES"/>
        </w:rPr>
        <w:t xml:space="preserve"> número total de modificaciones en 201</w:t>
      </w:r>
      <w:r>
        <w:rPr>
          <w:sz w:val="16"/>
          <w:szCs w:val="16"/>
          <w:lang w:val="es-ES"/>
        </w:rPr>
        <w:t>4</w:t>
      </w:r>
      <w:r w:rsidRPr="001E2B4B">
        <w:rPr>
          <w:sz w:val="16"/>
          <w:szCs w:val="16"/>
          <w:lang w:val="es-ES"/>
        </w:rPr>
        <w:t xml:space="preserve"> fue </w:t>
      </w:r>
      <w:r>
        <w:rPr>
          <w:sz w:val="16"/>
          <w:szCs w:val="16"/>
          <w:lang w:val="es-ES"/>
        </w:rPr>
        <w:t>560</w:t>
      </w:r>
      <w:r w:rsidRPr="001E2B4B">
        <w:rPr>
          <w:sz w:val="16"/>
          <w:szCs w:val="16"/>
          <w:lang w:val="es-ES"/>
        </w:rPr>
        <w:t xml:space="preserve"> y no </w:t>
      </w:r>
      <w:r>
        <w:rPr>
          <w:sz w:val="16"/>
          <w:szCs w:val="16"/>
          <w:lang w:val="es-ES"/>
        </w:rPr>
        <w:t>570</w:t>
      </w:r>
      <w:r w:rsidRPr="001E2B4B">
        <w:rPr>
          <w:sz w:val="16"/>
          <w:szCs w:val="16"/>
          <w:lang w:val="es-ES"/>
        </w:rPr>
        <w:t xml:space="preserve"> tal como se informaba en el Informe sobre el rendimiento de los programas en 2014.</w:t>
      </w:r>
    </w:p>
  </w:footnote>
  <w:footnote w:id="84">
    <w:p w:rsidR="00121C2F" w:rsidRPr="007B2775" w:rsidRDefault="00121C2F" w:rsidP="00DC1333">
      <w:pPr>
        <w:pStyle w:val="FootnoteText"/>
        <w:rPr>
          <w:sz w:val="16"/>
          <w:szCs w:val="16"/>
        </w:rPr>
      </w:pPr>
      <w:r w:rsidRPr="007B2775">
        <w:rPr>
          <w:rStyle w:val="FootnoteReference"/>
          <w:sz w:val="16"/>
          <w:szCs w:val="16"/>
        </w:rPr>
        <w:footnoteRef/>
      </w:r>
      <w:r w:rsidRPr="007B2775">
        <w:rPr>
          <w:sz w:val="16"/>
          <w:szCs w:val="16"/>
        </w:rPr>
        <w:t xml:space="preserve"> Denominada </w:t>
      </w:r>
      <w:r>
        <w:rPr>
          <w:sz w:val="16"/>
          <w:szCs w:val="16"/>
        </w:rPr>
        <w:t>anteriormente TAPTA (</w:t>
      </w:r>
      <w:r w:rsidRPr="0027772C">
        <w:rPr>
          <w:sz w:val="16"/>
          <w:szCs w:val="16"/>
        </w:rPr>
        <w:t>siglas en inglés correspondientes a Auxiliar para la traducción de títulos y resúmenes de patentes)</w:t>
      </w:r>
      <w:r w:rsidRPr="007B2775">
        <w:rPr>
          <w:sz w:val="16"/>
          <w:szCs w:val="16"/>
        </w:rPr>
        <w:t>.</w:t>
      </w:r>
    </w:p>
  </w:footnote>
  <w:footnote w:id="85">
    <w:p w:rsidR="00121C2F" w:rsidRPr="00EC2E15" w:rsidRDefault="00121C2F" w:rsidP="00DC1333">
      <w:pPr>
        <w:pStyle w:val="FootnoteText"/>
        <w:rPr>
          <w:sz w:val="16"/>
          <w:szCs w:val="16"/>
        </w:rPr>
      </w:pPr>
      <w:r w:rsidRPr="00EC2E15">
        <w:rPr>
          <w:rStyle w:val="FootnoteReference"/>
          <w:sz w:val="16"/>
          <w:szCs w:val="16"/>
        </w:rPr>
        <w:footnoteRef/>
      </w:r>
      <w:r w:rsidRPr="00EC2E15">
        <w:rPr>
          <w:sz w:val="16"/>
          <w:szCs w:val="16"/>
        </w:rPr>
        <w:t xml:space="preserve">  El número de usuarios hace referencia a “usuarios” únicos y no a “visitantes” únicos, es decir que no se toman en consideración los visitantes que solo miran la página y no efectúan búsquedas, </w:t>
      </w:r>
      <w:r>
        <w:rPr>
          <w:sz w:val="16"/>
          <w:szCs w:val="16"/>
        </w:rPr>
        <w:t>obteniéndose</w:t>
      </w:r>
      <w:r w:rsidRPr="00EC2E15">
        <w:rPr>
          <w:sz w:val="16"/>
          <w:szCs w:val="16"/>
        </w:rPr>
        <w:t xml:space="preserve"> de esta forma una representación más precisa del uso q</w:t>
      </w:r>
      <w:r>
        <w:rPr>
          <w:sz w:val="16"/>
          <w:szCs w:val="16"/>
        </w:rPr>
        <w:t>ue se hace de la base de datos.</w:t>
      </w:r>
    </w:p>
  </w:footnote>
  <w:footnote w:id="86">
    <w:p w:rsidR="00121C2F" w:rsidRPr="00F24AC7" w:rsidRDefault="00121C2F" w:rsidP="00DC1333">
      <w:pPr>
        <w:pStyle w:val="FootnoteText"/>
        <w:rPr>
          <w:sz w:val="16"/>
          <w:szCs w:val="16"/>
        </w:rPr>
      </w:pPr>
      <w:r w:rsidRPr="00EC2E15">
        <w:rPr>
          <w:rStyle w:val="FootnoteReference"/>
          <w:sz w:val="16"/>
          <w:szCs w:val="16"/>
        </w:rPr>
        <w:footnoteRef/>
      </w:r>
      <w:r w:rsidRPr="00EC2E15">
        <w:rPr>
          <w:sz w:val="16"/>
          <w:szCs w:val="16"/>
        </w:rPr>
        <w:t xml:space="preserve"> Ídem</w:t>
      </w:r>
      <w:r w:rsidRPr="00F24AC7">
        <w:rPr>
          <w:sz w:val="16"/>
          <w:szCs w:val="16"/>
        </w:rPr>
        <w:t>.</w:t>
      </w:r>
    </w:p>
  </w:footnote>
  <w:footnote w:id="87">
    <w:p w:rsidR="00121C2F" w:rsidRPr="002F4B91" w:rsidRDefault="00121C2F" w:rsidP="00D22903">
      <w:pPr>
        <w:pStyle w:val="FootnoteText"/>
        <w:rPr>
          <w:sz w:val="16"/>
          <w:szCs w:val="16"/>
        </w:rPr>
      </w:pPr>
      <w:r w:rsidRPr="002F4B91">
        <w:rPr>
          <w:rStyle w:val="FootnoteReference"/>
          <w:sz w:val="16"/>
          <w:szCs w:val="16"/>
        </w:rPr>
        <w:footnoteRef/>
      </w:r>
      <w:r w:rsidRPr="002F4B91">
        <w:rPr>
          <w:sz w:val="16"/>
          <w:szCs w:val="16"/>
        </w:rPr>
        <w:t xml:space="preserve"> http://www.wipo.int/tisc/es/search/</w:t>
      </w:r>
    </w:p>
  </w:footnote>
  <w:footnote w:id="88">
    <w:p w:rsidR="00121C2F" w:rsidRPr="00F24AC7" w:rsidRDefault="00121C2F" w:rsidP="00D22903">
      <w:pPr>
        <w:pStyle w:val="FootnoteText"/>
        <w:rPr>
          <w:sz w:val="16"/>
          <w:szCs w:val="16"/>
        </w:rPr>
      </w:pPr>
      <w:r w:rsidRPr="007B2775">
        <w:rPr>
          <w:rStyle w:val="FootnoteReference"/>
          <w:sz w:val="16"/>
          <w:szCs w:val="16"/>
        </w:rPr>
        <w:footnoteRef/>
      </w:r>
      <w:r w:rsidRPr="00F24AC7">
        <w:rPr>
          <w:sz w:val="16"/>
          <w:szCs w:val="16"/>
        </w:rPr>
        <w:t xml:space="preserve"> http://etisc.wipo.org/ </w:t>
      </w:r>
    </w:p>
  </w:footnote>
  <w:footnote w:id="89">
    <w:p w:rsidR="00121C2F" w:rsidRPr="00F24AC7" w:rsidRDefault="00121C2F" w:rsidP="00D22903">
      <w:pPr>
        <w:pStyle w:val="FootnoteText"/>
        <w:rPr>
          <w:sz w:val="16"/>
          <w:szCs w:val="16"/>
        </w:rPr>
      </w:pPr>
      <w:r w:rsidRPr="007B2775">
        <w:rPr>
          <w:rStyle w:val="FootnoteReference"/>
          <w:sz w:val="16"/>
          <w:szCs w:val="16"/>
        </w:rPr>
        <w:footnoteRef/>
      </w:r>
      <w:r w:rsidRPr="00F24AC7">
        <w:rPr>
          <w:sz w:val="16"/>
          <w:szCs w:val="16"/>
        </w:rPr>
        <w:t xml:space="preserve"> http://www.wipo.int/tisc/en/etutorial.html</w:t>
      </w:r>
    </w:p>
  </w:footnote>
  <w:footnote w:id="90">
    <w:p w:rsidR="00121C2F" w:rsidRPr="00F24AC7" w:rsidRDefault="00121C2F" w:rsidP="00D22903">
      <w:pPr>
        <w:pStyle w:val="FootnoteText"/>
        <w:rPr>
          <w:sz w:val="16"/>
          <w:szCs w:val="16"/>
        </w:rPr>
      </w:pPr>
      <w:r w:rsidRPr="007B2775">
        <w:rPr>
          <w:rStyle w:val="FootnoteReference"/>
          <w:sz w:val="16"/>
          <w:szCs w:val="16"/>
        </w:rPr>
        <w:footnoteRef/>
      </w:r>
      <w:r w:rsidRPr="00F24AC7">
        <w:rPr>
          <w:sz w:val="16"/>
          <w:szCs w:val="16"/>
        </w:rPr>
        <w:t xml:space="preserve"> http://www.wipo.int/tisc/fr/etutorial.html</w:t>
      </w:r>
    </w:p>
  </w:footnote>
  <w:footnote w:id="91">
    <w:p w:rsidR="00121C2F" w:rsidRPr="00B63893" w:rsidRDefault="00121C2F" w:rsidP="00D22903">
      <w:pPr>
        <w:pStyle w:val="FootnoteText"/>
        <w:rPr>
          <w:sz w:val="16"/>
          <w:szCs w:val="16"/>
        </w:rPr>
      </w:pPr>
      <w:r w:rsidRPr="00B63893">
        <w:rPr>
          <w:rStyle w:val="FootnoteReference"/>
          <w:sz w:val="16"/>
          <w:szCs w:val="16"/>
        </w:rPr>
        <w:footnoteRef/>
      </w:r>
      <w:r w:rsidRPr="00B63893">
        <w:rPr>
          <w:sz w:val="16"/>
          <w:szCs w:val="16"/>
        </w:rPr>
        <w:t xml:space="preserve"> http://poldham.github.io/project_files/</w:t>
      </w:r>
    </w:p>
  </w:footnote>
  <w:footnote w:id="92">
    <w:p w:rsidR="00121C2F" w:rsidRPr="00690DFF" w:rsidRDefault="00121C2F" w:rsidP="00DC1333">
      <w:pPr>
        <w:pStyle w:val="FootnoteText"/>
        <w:rPr>
          <w:sz w:val="16"/>
          <w:szCs w:val="16"/>
        </w:rPr>
      </w:pPr>
      <w:r>
        <w:rPr>
          <w:rStyle w:val="FootnoteReference"/>
        </w:rPr>
        <w:footnoteRef/>
      </w:r>
      <w:r>
        <w:t xml:space="preserve"> </w:t>
      </w:r>
      <w:r w:rsidRPr="00690DFF">
        <w:rPr>
          <w:sz w:val="16"/>
          <w:szCs w:val="16"/>
        </w:rPr>
        <w:t>Se han actualizado las estadísticas de los años precedentes con la información recibida desde la fecha de publicación del último informe.</w:t>
      </w:r>
    </w:p>
  </w:footnote>
  <w:footnote w:id="93">
    <w:p w:rsidR="00121C2F" w:rsidRPr="006C0ECA" w:rsidRDefault="00121C2F">
      <w:pPr>
        <w:pStyle w:val="FootnoteText"/>
        <w:rPr>
          <w:sz w:val="16"/>
          <w:szCs w:val="16"/>
        </w:rPr>
      </w:pPr>
      <w:r>
        <w:rPr>
          <w:rStyle w:val="FootnoteReference"/>
        </w:rPr>
        <w:footnoteRef/>
      </w:r>
      <w:r>
        <w:t xml:space="preserve"> </w:t>
      </w:r>
      <w:r w:rsidRPr="006C0ECA">
        <w:rPr>
          <w:sz w:val="16"/>
          <w:szCs w:val="16"/>
        </w:rPr>
        <w:t>Corrección</w:t>
      </w:r>
      <w:proofErr w:type="gramStart"/>
      <w:r w:rsidRPr="006C0ECA">
        <w:rPr>
          <w:sz w:val="16"/>
          <w:szCs w:val="16"/>
        </w:rPr>
        <w:t>:  En</w:t>
      </w:r>
      <w:proofErr w:type="gramEnd"/>
      <w:r w:rsidRPr="006C0ECA">
        <w:rPr>
          <w:sz w:val="16"/>
          <w:szCs w:val="16"/>
        </w:rPr>
        <w:t xml:space="preserve"> el Informe sobre el rendimiento de los programas en 2014 la República de Corea se incluyó en el grupo de “Otras” y no en la región de Asia y el Pacífico.</w:t>
      </w:r>
    </w:p>
  </w:footnote>
  <w:footnote w:id="94">
    <w:p w:rsidR="00121C2F" w:rsidRDefault="00121C2F">
      <w:pPr>
        <w:pStyle w:val="FootnoteText"/>
      </w:pPr>
      <w:r>
        <w:rPr>
          <w:rStyle w:val="FootnoteReference"/>
        </w:rPr>
        <w:footnoteRef/>
      </w:r>
      <w:r>
        <w:t xml:space="preserve"> </w:t>
      </w:r>
      <w:r>
        <w:rPr>
          <w:sz w:val="16"/>
          <w:szCs w:val="16"/>
        </w:rPr>
        <w:t>En junio de 2014</w:t>
      </w:r>
      <w:r w:rsidRPr="006C26D4">
        <w:rPr>
          <w:sz w:val="16"/>
          <w:szCs w:val="16"/>
        </w:rPr>
        <w:t xml:space="preserve"> se puso en marcha una nueva versión del Centro de datos de estadísticas de P.I., por lo que no fue posible rastrear los datos del segundo semestre del año.</w:t>
      </w:r>
    </w:p>
  </w:footnote>
  <w:footnote w:id="95">
    <w:p w:rsidR="00121C2F" w:rsidRPr="002B3AE7" w:rsidRDefault="00121C2F" w:rsidP="00DC1333">
      <w:pPr>
        <w:pStyle w:val="FootnoteText"/>
        <w:rPr>
          <w:sz w:val="16"/>
          <w:szCs w:val="16"/>
        </w:rPr>
      </w:pPr>
      <w:r w:rsidRPr="002B3AE7">
        <w:rPr>
          <w:rStyle w:val="FootnoteReference"/>
        </w:rPr>
        <w:footnoteRef/>
      </w:r>
      <w:r w:rsidRPr="002B3AE7">
        <w:rPr>
          <w:sz w:val="16"/>
          <w:szCs w:val="16"/>
        </w:rPr>
        <w:t xml:space="preserve"> </w:t>
      </w:r>
      <w:r w:rsidRPr="00A65CD5">
        <w:rPr>
          <w:sz w:val="16"/>
          <w:szCs w:val="16"/>
        </w:rPr>
        <w:t>http://www.wipo.int/econ_stat/es/economics/gii/</w:t>
      </w:r>
    </w:p>
  </w:footnote>
  <w:footnote w:id="96">
    <w:p w:rsidR="00121C2F" w:rsidRPr="001F26BB" w:rsidRDefault="00121C2F" w:rsidP="00DC1333">
      <w:pPr>
        <w:pStyle w:val="FootnoteText"/>
        <w:rPr>
          <w:sz w:val="16"/>
          <w:szCs w:val="16"/>
        </w:rPr>
      </w:pPr>
      <w:r w:rsidRPr="001F26BB">
        <w:rPr>
          <w:rStyle w:val="FootnoteReference"/>
        </w:rPr>
        <w:footnoteRef/>
      </w:r>
      <w:r w:rsidRPr="001F26BB">
        <w:rPr>
          <w:sz w:val="16"/>
          <w:szCs w:val="16"/>
        </w:rPr>
        <w:t xml:space="preserve"> https://www.globalinnovationindex.org/content/page/GII-Home</w:t>
      </w:r>
    </w:p>
  </w:footnote>
  <w:footnote w:id="97">
    <w:p w:rsidR="00121C2F" w:rsidRPr="00A34E52" w:rsidRDefault="00121C2F" w:rsidP="00DC1333">
      <w:pPr>
        <w:pStyle w:val="FootnoteText"/>
        <w:rPr>
          <w:sz w:val="16"/>
          <w:szCs w:val="16"/>
        </w:rPr>
      </w:pPr>
      <w:r w:rsidRPr="00A34E52">
        <w:rPr>
          <w:rStyle w:val="FootnoteReference"/>
          <w:sz w:val="16"/>
          <w:szCs w:val="16"/>
        </w:rPr>
        <w:footnoteRef/>
      </w:r>
      <w:r w:rsidRPr="00A34E52">
        <w:rPr>
          <w:sz w:val="16"/>
          <w:szCs w:val="16"/>
        </w:rPr>
        <w:t xml:space="preserve"> http://www.wipo.int/edocs/pubdocs/en/wipo_rep_rfip_2015_1.pdf</w:t>
      </w:r>
    </w:p>
  </w:footnote>
  <w:footnote w:id="98">
    <w:p w:rsidR="00121C2F" w:rsidRPr="00205A6C" w:rsidRDefault="00121C2F" w:rsidP="00DC1333">
      <w:pPr>
        <w:pStyle w:val="FootnoteText"/>
        <w:jc w:val="both"/>
        <w:rPr>
          <w:sz w:val="16"/>
          <w:szCs w:val="16"/>
        </w:rPr>
      </w:pPr>
      <w:r w:rsidRPr="00FC1857">
        <w:rPr>
          <w:rStyle w:val="FootnoteReference"/>
          <w:sz w:val="16"/>
          <w:szCs w:val="16"/>
        </w:rPr>
        <w:footnoteRef/>
      </w:r>
      <w:r w:rsidRPr="00205A6C">
        <w:t xml:space="preserve"> </w:t>
      </w:r>
      <w:r w:rsidRPr="00205A6C">
        <w:rPr>
          <w:sz w:val="16"/>
          <w:szCs w:val="16"/>
        </w:rPr>
        <w:t>Corrección</w:t>
      </w:r>
      <w:proofErr w:type="gramStart"/>
      <w:r w:rsidRPr="00205A6C">
        <w:rPr>
          <w:sz w:val="16"/>
          <w:szCs w:val="16"/>
        </w:rPr>
        <w:t>:  El</w:t>
      </w:r>
      <w:proofErr w:type="gramEnd"/>
      <w:r w:rsidRPr="00205A6C">
        <w:rPr>
          <w:sz w:val="16"/>
          <w:szCs w:val="16"/>
        </w:rPr>
        <w:t xml:space="preserve"> núme</w:t>
      </w:r>
      <w:r>
        <w:rPr>
          <w:sz w:val="16"/>
          <w:szCs w:val="16"/>
        </w:rPr>
        <w:t>ro real</w:t>
      </w:r>
      <w:r w:rsidRPr="00205A6C">
        <w:rPr>
          <w:sz w:val="16"/>
          <w:szCs w:val="16"/>
        </w:rPr>
        <w:t xml:space="preserve"> de países que participaron en el programa de Premios de la OMPI fue 40</w:t>
      </w:r>
      <w:r>
        <w:rPr>
          <w:sz w:val="16"/>
          <w:szCs w:val="16"/>
        </w:rPr>
        <w:t>,</w:t>
      </w:r>
      <w:r w:rsidRPr="00205A6C">
        <w:rPr>
          <w:sz w:val="16"/>
          <w:szCs w:val="16"/>
        </w:rPr>
        <w:t xml:space="preserve"> y no </w:t>
      </w:r>
      <w:r>
        <w:rPr>
          <w:sz w:val="16"/>
          <w:szCs w:val="16"/>
        </w:rPr>
        <w:t>38 tal como se señaló</w:t>
      </w:r>
      <w:r w:rsidRPr="00205A6C">
        <w:rPr>
          <w:sz w:val="16"/>
          <w:szCs w:val="16"/>
        </w:rPr>
        <w:t xml:space="preserve"> en el Informe sobre el rendimiento de los programas en</w:t>
      </w:r>
      <w:r w:rsidRPr="00205A6C">
        <w:t xml:space="preserve"> </w:t>
      </w:r>
      <w:r w:rsidRPr="00205A6C">
        <w:rPr>
          <w:sz w:val="16"/>
          <w:szCs w:val="16"/>
        </w:rPr>
        <w:t>2014.</w:t>
      </w:r>
    </w:p>
  </w:footnote>
  <w:footnote w:id="99">
    <w:p w:rsidR="00121C2F" w:rsidRPr="003B757C" w:rsidRDefault="00121C2F">
      <w:pPr>
        <w:pStyle w:val="FootnoteText"/>
        <w:rPr>
          <w:sz w:val="16"/>
          <w:szCs w:val="16"/>
        </w:rPr>
      </w:pPr>
      <w:r>
        <w:rPr>
          <w:rStyle w:val="FootnoteReference"/>
        </w:rPr>
        <w:footnoteRef/>
      </w:r>
      <w:r w:rsidRPr="002A4AC6">
        <w:t xml:space="preserve"> </w:t>
      </w:r>
      <w:r w:rsidRPr="003B757C">
        <w:rPr>
          <w:sz w:val="16"/>
          <w:szCs w:val="16"/>
        </w:rPr>
        <w:t>Las colaboraciones estratégicas consisten en alianzas de naturaleza sistemática y a largo plazo, con inclusión de las que se establezcan por medio de acuerdos de cooperación, y se ocupan de elementos relacionados con fomentar el respeto por la P.I.</w:t>
      </w:r>
    </w:p>
  </w:footnote>
  <w:footnote w:id="100">
    <w:p w:rsidR="00121C2F" w:rsidRPr="009679FB" w:rsidRDefault="00121C2F" w:rsidP="00DC1333">
      <w:pPr>
        <w:pStyle w:val="FootnoteText"/>
        <w:jc w:val="both"/>
        <w:rPr>
          <w:sz w:val="16"/>
          <w:szCs w:val="16"/>
        </w:rPr>
      </w:pPr>
      <w:r w:rsidRPr="008E2F3F">
        <w:rPr>
          <w:rStyle w:val="FootnoteReference"/>
          <w:sz w:val="16"/>
          <w:szCs w:val="16"/>
        </w:rPr>
        <w:footnoteRef/>
      </w:r>
      <w:r w:rsidRPr="009679FB">
        <w:rPr>
          <w:sz w:val="16"/>
          <w:szCs w:val="16"/>
        </w:rPr>
        <w:t xml:space="preserve"> Corrección</w:t>
      </w:r>
      <w:proofErr w:type="gramStart"/>
      <w:r w:rsidRPr="009679FB">
        <w:rPr>
          <w:sz w:val="16"/>
          <w:szCs w:val="16"/>
        </w:rPr>
        <w:t>:  El</w:t>
      </w:r>
      <w:proofErr w:type="gramEnd"/>
      <w:r w:rsidRPr="009679FB">
        <w:rPr>
          <w:sz w:val="16"/>
          <w:szCs w:val="16"/>
        </w:rPr>
        <w:t xml:space="preserve"> número total de actividades celebradas conjuntamente en 2014 fue en realidad 35</w:t>
      </w:r>
      <w:r>
        <w:rPr>
          <w:sz w:val="16"/>
          <w:szCs w:val="16"/>
        </w:rPr>
        <w:t>,</w:t>
      </w:r>
      <w:r w:rsidRPr="009679FB">
        <w:rPr>
          <w:sz w:val="16"/>
          <w:szCs w:val="16"/>
        </w:rPr>
        <w:t xml:space="preserve"> y no 30 como se </w:t>
      </w:r>
      <w:r>
        <w:rPr>
          <w:sz w:val="16"/>
          <w:szCs w:val="16"/>
        </w:rPr>
        <w:t>señaló</w:t>
      </w:r>
      <w:r w:rsidRPr="00205A6C">
        <w:rPr>
          <w:sz w:val="16"/>
          <w:szCs w:val="16"/>
        </w:rPr>
        <w:t xml:space="preserve"> en el Informe sobre el rendimiento de los programas en</w:t>
      </w:r>
      <w:r w:rsidRPr="00205A6C">
        <w:t xml:space="preserve"> </w:t>
      </w:r>
      <w:r w:rsidRPr="00205A6C">
        <w:rPr>
          <w:sz w:val="16"/>
          <w:szCs w:val="16"/>
        </w:rPr>
        <w:t>2014</w:t>
      </w:r>
      <w:r w:rsidRPr="009679FB">
        <w:rPr>
          <w:sz w:val="16"/>
          <w:szCs w:val="16"/>
        </w:rPr>
        <w:t>.</w:t>
      </w:r>
    </w:p>
  </w:footnote>
  <w:footnote w:id="101">
    <w:p w:rsidR="00121C2F" w:rsidRPr="002D5538" w:rsidRDefault="00121C2F" w:rsidP="00DC1333">
      <w:pPr>
        <w:pStyle w:val="FootnoteText"/>
        <w:rPr>
          <w:sz w:val="16"/>
          <w:szCs w:val="16"/>
        </w:rPr>
      </w:pPr>
      <w:r w:rsidRPr="008B625F">
        <w:rPr>
          <w:rStyle w:val="FootnoteReference"/>
          <w:sz w:val="16"/>
          <w:szCs w:val="16"/>
        </w:rPr>
        <w:footnoteRef/>
      </w:r>
      <w:r w:rsidRPr="002D5538">
        <w:rPr>
          <w:sz w:val="16"/>
          <w:szCs w:val="16"/>
        </w:rPr>
        <w:t xml:space="preserve"> http://www.wipo.int/export/sites/www/about-wipo/en/oversight/iaod/evaluation/pdf/evaluation_strategic_goal_vi.pdf</w:t>
      </w:r>
    </w:p>
  </w:footnote>
  <w:footnote w:id="102">
    <w:p w:rsidR="00121C2F" w:rsidRPr="000D48EE" w:rsidRDefault="00121C2F">
      <w:pPr>
        <w:pStyle w:val="FootnoteText"/>
        <w:rPr>
          <w:lang w:val="en-US"/>
        </w:rPr>
      </w:pPr>
      <w:r w:rsidRPr="009A6CA1">
        <w:rPr>
          <w:rStyle w:val="FootnoteReference"/>
          <w:sz w:val="16"/>
          <w:szCs w:val="16"/>
        </w:rPr>
        <w:footnoteRef/>
      </w:r>
      <w:r w:rsidRPr="000D48EE">
        <w:rPr>
          <w:sz w:val="16"/>
          <w:szCs w:val="16"/>
          <w:lang w:val="en-US"/>
        </w:rPr>
        <w:t xml:space="preserve"> </w:t>
      </w:r>
      <w:proofErr w:type="spellStart"/>
      <w:r w:rsidRPr="000D48EE">
        <w:rPr>
          <w:sz w:val="16"/>
          <w:szCs w:val="16"/>
          <w:lang w:val="en-US"/>
        </w:rPr>
        <w:t>Documentos</w:t>
      </w:r>
      <w:proofErr w:type="spellEnd"/>
      <w:r w:rsidRPr="000D48EE">
        <w:rPr>
          <w:sz w:val="16"/>
          <w:szCs w:val="16"/>
          <w:lang w:val="en-US"/>
        </w:rPr>
        <w:t xml:space="preserve"> de </w:t>
      </w:r>
      <w:proofErr w:type="spellStart"/>
      <w:r w:rsidRPr="000D48EE">
        <w:rPr>
          <w:sz w:val="16"/>
          <w:szCs w:val="16"/>
          <w:lang w:val="en-US"/>
        </w:rPr>
        <w:t>información</w:t>
      </w:r>
      <w:proofErr w:type="spellEnd"/>
      <w:r w:rsidRPr="000D48EE">
        <w:rPr>
          <w:sz w:val="16"/>
          <w:szCs w:val="16"/>
          <w:lang w:val="en-US"/>
        </w:rPr>
        <w:t xml:space="preserve"> </w:t>
      </w:r>
      <w:proofErr w:type="spellStart"/>
      <w:r w:rsidRPr="000D48EE">
        <w:rPr>
          <w:sz w:val="16"/>
          <w:szCs w:val="16"/>
          <w:lang w:val="en-US"/>
        </w:rPr>
        <w:t>sobre</w:t>
      </w:r>
      <w:proofErr w:type="spellEnd"/>
      <w:r w:rsidRPr="000D48EE">
        <w:rPr>
          <w:sz w:val="16"/>
          <w:szCs w:val="16"/>
          <w:lang w:val="en-US"/>
        </w:rPr>
        <w:t xml:space="preserve"> </w:t>
      </w:r>
      <w:proofErr w:type="spellStart"/>
      <w:r w:rsidRPr="000D48EE">
        <w:rPr>
          <w:sz w:val="16"/>
          <w:szCs w:val="16"/>
          <w:lang w:val="en-US"/>
        </w:rPr>
        <w:t>desafíos</w:t>
      </w:r>
      <w:proofErr w:type="spellEnd"/>
      <w:r w:rsidRPr="000D48EE">
        <w:rPr>
          <w:sz w:val="16"/>
          <w:szCs w:val="16"/>
          <w:lang w:val="en-US"/>
        </w:rPr>
        <w:t xml:space="preserve"> </w:t>
      </w:r>
      <w:proofErr w:type="spellStart"/>
      <w:r w:rsidRPr="000D48EE">
        <w:rPr>
          <w:sz w:val="16"/>
          <w:szCs w:val="16"/>
          <w:lang w:val="en-US"/>
        </w:rPr>
        <w:t>mundiales</w:t>
      </w:r>
      <w:proofErr w:type="spellEnd"/>
      <w:r w:rsidRPr="000D48EE">
        <w:rPr>
          <w:sz w:val="16"/>
          <w:szCs w:val="16"/>
          <w:lang w:val="en-US"/>
        </w:rPr>
        <w:t xml:space="preserve"> </w:t>
      </w:r>
      <w:proofErr w:type="spellStart"/>
      <w:r w:rsidRPr="000D48EE">
        <w:rPr>
          <w:sz w:val="16"/>
          <w:szCs w:val="16"/>
          <w:lang w:val="en-US"/>
        </w:rPr>
        <w:t>publicados</w:t>
      </w:r>
      <w:proofErr w:type="spellEnd"/>
      <w:r w:rsidRPr="000D48EE">
        <w:rPr>
          <w:sz w:val="16"/>
          <w:szCs w:val="16"/>
          <w:lang w:val="en-US"/>
        </w:rPr>
        <w:t xml:space="preserve"> </w:t>
      </w:r>
      <w:proofErr w:type="spellStart"/>
      <w:r w:rsidRPr="000D48EE">
        <w:rPr>
          <w:sz w:val="16"/>
          <w:szCs w:val="16"/>
          <w:lang w:val="en-US"/>
        </w:rPr>
        <w:t>en</w:t>
      </w:r>
      <w:proofErr w:type="spellEnd"/>
      <w:r w:rsidRPr="000D48EE">
        <w:rPr>
          <w:sz w:val="16"/>
          <w:szCs w:val="16"/>
          <w:lang w:val="en-US"/>
        </w:rPr>
        <w:t xml:space="preserve"> el </w:t>
      </w:r>
      <w:proofErr w:type="spellStart"/>
      <w:r w:rsidRPr="000D48EE">
        <w:rPr>
          <w:sz w:val="16"/>
          <w:szCs w:val="16"/>
          <w:lang w:val="en-US"/>
        </w:rPr>
        <w:t>bienio</w:t>
      </w:r>
      <w:proofErr w:type="spellEnd"/>
      <w:r w:rsidRPr="000D48EE">
        <w:rPr>
          <w:sz w:val="16"/>
          <w:szCs w:val="16"/>
          <w:lang w:val="en-US"/>
        </w:rPr>
        <w:t xml:space="preserve"> 2014/15:  </w:t>
      </w:r>
      <w:proofErr w:type="spellStart"/>
      <w:r w:rsidRPr="000D48EE">
        <w:rPr>
          <w:sz w:val="16"/>
          <w:szCs w:val="16"/>
          <w:lang w:val="en-US"/>
        </w:rPr>
        <w:t>i</w:t>
      </w:r>
      <w:proofErr w:type="spellEnd"/>
      <w:r w:rsidRPr="000D48EE">
        <w:rPr>
          <w:sz w:val="16"/>
          <w:szCs w:val="16"/>
          <w:lang w:val="en-US"/>
        </w:rPr>
        <w:t xml:space="preserve">) </w:t>
      </w:r>
      <w:hyperlink r:id="rId11" w:history="1">
        <w:r w:rsidRPr="000D48EE">
          <w:rPr>
            <w:rStyle w:val="Hyperlink"/>
            <w:bCs/>
            <w:i/>
            <w:sz w:val="16"/>
            <w:szCs w:val="16"/>
            <w:lang w:val="en-US"/>
          </w:rPr>
          <w:t>The Acceleration of Climate Change and Mitigation Technologies: Intellectual Property Trends in the Renewable Energy Landscape</w:t>
        </w:r>
      </w:hyperlink>
      <w:r w:rsidRPr="000D48EE">
        <w:rPr>
          <w:i/>
          <w:sz w:val="16"/>
          <w:szCs w:val="16"/>
          <w:lang w:val="en-US"/>
        </w:rPr>
        <w:t xml:space="preserve"> </w:t>
      </w:r>
      <w:r w:rsidRPr="000D48EE">
        <w:rPr>
          <w:sz w:val="16"/>
          <w:szCs w:val="16"/>
          <w:lang w:val="en-US"/>
        </w:rPr>
        <w:t>(2014);</w:t>
      </w:r>
      <w:r w:rsidRPr="000D48EE">
        <w:rPr>
          <w:i/>
          <w:sz w:val="16"/>
          <w:szCs w:val="16"/>
          <w:lang w:val="en-US"/>
        </w:rPr>
        <w:t xml:space="preserve"> </w:t>
      </w:r>
      <w:r w:rsidRPr="000D48EE">
        <w:rPr>
          <w:sz w:val="16"/>
          <w:szCs w:val="16"/>
          <w:lang w:val="en-US"/>
        </w:rPr>
        <w:t xml:space="preserve"> ii)</w:t>
      </w:r>
      <w:r w:rsidRPr="000D48EE">
        <w:rPr>
          <w:i/>
          <w:sz w:val="16"/>
          <w:szCs w:val="16"/>
          <w:lang w:val="en-US"/>
        </w:rPr>
        <w:t xml:space="preserve"> </w:t>
      </w:r>
      <w:hyperlink r:id="rId12" w:history="1">
        <w:r w:rsidRPr="000D48EE">
          <w:rPr>
            <w:rStyle w:val="Hyperlink"/>
            <w:bCs/>
            <w:i/>
            <w:sz w:val="16"/>
            <w:szCs w:val="16"/>
            <w:lang w:val="en-US"/>
          </w:rPr>
          <w:t>Incentivizing the Adoption of Green Technology on a Global Scale</w:t>
        </w:r>
      </w:hyperlink>
      <w:r w:rsidRPr="000D48EE">
        <w:rPr>
          <w:i/>
          <w:sz w:val="16"/>
          <w:szCs w:val="16"/>
          <w:lang w:val="en-US"/>
        </w:rPr>
        <w:t xml:space="preserve">, </w:t>
      </w:r>
      <w:proofErr w:type="spellStart"/>
      <w:r w:rsidRPr="000D48EE">
        <w:rPr>
          <w:sz w:val="16"/>
          <w:szCs w:val="16"/>
          <w:lang w:val="en-US"/>
        </w:rPr>
        <w:t>publicado</w:t>
      </w:r>
      <w:proofErr w:type="spellEnd"/>
      <w:r w:rsidRPr="000D48EE">
        <w:rPr>
          <w:sz w:val="16"/>
          <w:szCs w:val="16"/>
          <w:lang w:val="en-US"/>
        </w:rPr>
        <w:t xml:space="preserve"> </w:t>
      </w:r>
      <w:proofErr w:type="spellStart"/>
      <w:r w:rsidRPr="000D48EE">
        <w:rPr>
          <w:sz w:val="16"/>
          <w:szCs w:val="16"/>
          <w:lang w:val="en-US"/>
        </w:rPr>
        <w:t>en</w:t>
      </w:r>
      <w:proofErr w:type="spellEnd"/>
      <w:r w:rsidRPr="000D48EE">
        <w:rPr>
          <w:sz w:val="16"/>
          <w:szCs w:val="16"/>
          <w:lang w:val="en-US"/>
        </w:rPr>
        <w:t xml:space="preserve"> la COP20 de la CMNUCC, </w:t>
      </w:r>
      <w:proofErr w:type="spellStart"/>
      <w:r w:rsidRPr="000D48EE">
        <w:rPr>
          <w:sz w:val="16"/>
          <w:szCs w:val="16"/>
          <w:lang w:val="en-US"/>
        </w:rPr>
        <w:t>en</w:t>
      </w:r>
      <w:proofErr w:type="spellEnd"/>
      <w:r w:rsidRPr="000D48EE">
        <w:rPr>
          <w:sz w:val="16"/>
          <w:szCs w:val="16"/>
          <w:lang w:val="en-US"/>
        </w:rPr>
        <w:t xml:space="preserve"> Lima (2014);</w:t>
      </w:r>
      <w:r w:rsidRPr="000D48EE">
        <w:rPr>
          <w:i/>
          <w:sz w:val="16"/>
          <w:szCs w:val="16"/>
          <w:lang w:val="en-US"/>
        </w:rPr>
        <w:t xml:space="preserve">  </w:t>
      </w:r>
      <w:r w:rsidRPr="000D48EE">
        <w:rPr>
          <w:sz w:val="16"/>
          <w:szCs w:val="16"/>
          <w:lang w:val="en-US"/>
        </w:rPr>
        <w:t>iii)</w:t>
      </w:r>
      <w:r w:rsidRPr="000D48EE">
        <w:rPr>
          <w:i/>
          <w:sz w:val="16"/>
          <w:szCs w:val="16"/>
          <w:lang w:val="en-US"/>
        </w:rPr>
        <w:t xml:space="preserve"> </w:t>
      </w:r>
      <w:hyperlink r:id="rId13" w:history="1">
        <w:r w:rsidRPr="000D48EE">
          <w:rPr>
            <w:rStyle w:val="Hyperlink"/>
            <w:bCs/>
            <w:i/>
            <w:sz w:val="16"/>
            <w:szCs w:val="16"/>
            <w:lang w:val="en-US"/>
          </w:rPr>
          <w:t>The Changing Landscape of Medical Innovation: How Have Business Models Responded?</w:t>
        </w:r>
      </w:hyperlink>
      <w:r w:rsidRPr="000D48EE">
        <w:rPr>
          <w:i/>
          <w:sz w:val="16"/>
          <w:szCs w:val="16"/>
          <w:lang w:val="en-US"/>
        </w:rPr>
        <w:t xml:space="preserve"> </w:t>
      </w:r>
      <w:r w:rsidRPr="000D48EE">
        <w:rPr>
          <w:sz w:val="16"/>
          <w:szCs w:val="16"/>
          <w:lang w:val="en-US"/>
        </w:rPr>
        <w:t>(2014);</w:t>
      </w:r>
      <w:r w:rsidRPr="000D48EE">
        <w:rPr>
          <w:i/>
          <w:sz w:val="16"/>
          <w:szCs w:val="16"/>
          <w:lang w:val="en-US"/>
        </w:rPr>
        <w:t xml:space="preserve">  </w:t>
      </w:r>
      <w:r w:rsidRPr="000D48EE">
        <w:rPr>
          <w:sz w:val="16"/>
          <w:szCs w:val="16"/>
          <w:lang w:val="en-US"/>
        </w:rPr>
        <w:t>iv)</w:t>
      </w:r>
      <w:r w:rsidRPr="000D48EE">
        <w:rPr>
          <w:i/>
          <w:sz w:val="16"/>
          <w:szCs w:val="16"/>
          <w:lang w:val="en-US"/>
        </w:rPr>
        <w:t xml:space="preserve"> </w:t>
      </w:r>
      <w:hyperlink r:id="rId14" w:history="1">
        <w:r w:rsidRPr="000D48EE">
          <w:rPr>
            <w:rStyle w:val="Hyperlink"/>
            <w:bCs/>
            <w:i/>
            <w:sz w:val="16"/>
            <w:szCs w:val="16"/>
            <w:lang w:val="en-US"/>
          </w:rPr>
          <w:t>Promoting Medical Innovation and Access, Together</w:t>
        </w:r>
      </w:hyperlink>
      <w:r w:rsidRPr="000D48EE">
        <w:rPr>
          <w:i/>
          <w:sz w:val="16"/>
          <w:szCs w:val="16"/>
          <w:lang w:val="en-US"/>
        </w:rPr>
        <w:t xml:space="preserve"> </w:t>
      </w:r>
      <w:r w:rsidRPr="000D48EE">
        <w:rPr>
          <w:sz w:val="16"/>
          <w:szCs w:val="16"/>
          <w:lang w:val="en-US"/>
        </w:rPr>
        <w:t>(2015)</w:t>
      </w:r>
    </w:p>
  </w:footnote>
  <w:footnote w:id="103">
    <w:p w:rsidR="00121C2F" w:rsidRPr="000D48EE" w:rsidRDefault="00121C2F">
      <w:pPr>
        <w:pStyle w:val="FootnoteText"/>
        <w:rPr>
          <w:lang w:val="en-US"/>
        </w:rPr>
      </w:pPr>
      <w:r w:rsidRPr="009A6CA1">
        <w:rPr>
          <w:rStyle w:val="FootnoteReference"/>
          <w:sz w:val="16"/>
          <w:szCs w:val="16"/>
        </w:rPr>
        <w:footnoteRef/>
      </w:r>
      <w:r w:rsidRPr="000D48EE">
        <w:rPr>
          <w:sz w:val="16"/>
          <w:szCs w:val="16"/>
          <w:lang w:val="en-US"/>
        </w:rPr>
        <w:t xml:space="preserve"> </w:t>
      </w:r>
      <w:proofErr w:type="spellStart"/>
      <w:r w:rsidRPr="000D48EE">
        <w:rPr>
          <w:sz w:val="16"/>
          <w:szCs w:val="16"/>
          <w:lang w:val="en-US"/>
        </w:rPr>
        <w:t>Informes</w:t>
      </w:r>
      <w:proofErr w:type="spellEnd"/>
      <w:r w:rsidRPr="000D48EE">
        <w:rPr>
          <w:sz w:val="16"/>
          <w:szCs w:val="16"/>
          <w:lang w:val="en-US"/>
        </w:rPr>
        <w:t xml:space="preserve"> </w:t>
      </w:r>
      <w:proofErr w:type="spellStart"/>
      <w:r w:rsidRPr="000D48EE">
        <w:rPr>
          <w:sz w:val="16"/>
          <w:szCs w:val="16"/>
          <w:lang w:val="en-US"/>
        </w:rPr>
        <w:t>sobre</w:t>
      </w:r>
      <w:proofErr w:type="spellEnd"/>
      <w:r w:rsidRPr="000D48EE">
        <w:rPr>
          <w:sz w:val="16"/>
          <w:szCs w:val="16"/>
          <w:lang w:val="en-US"/>
        </w:rPr>
        <w:t xml:space="preserve"> </w:t>
      </w:r>
      <w:proofErr w:type="spellStart"/>
      <w:r w:rsidRPr="000D48EE">
        <w:rPr>
          <w:sz w:val="16"/>
          <w:szCs w:val="16"/>
          <w:lang w:val="en-US"/>
        </w:rPr>
        <w:t>desafíos</w:t>
      </w:r>
      <w:proofErr w:type="spellEnd"/>
      <w:r w:rsidRPr="000D48EE">
        <w:rPr>
          <w:sz w:val="16"/>
          <w:szCs w:val="16"/>
          <w:lang w:val="en-US"/>
        </w:rPr>
        <w:t xml:space="preserve"> </w:t>
      </w:r>
      <w:proofErr w:type="spellStart"/>
      <w:r w:rsidRPr="000D48EE">
        <w:rPr>
          <w:sz w:val="16"/>
          <w:szCs w:val="16"/>
          <w:lang w:val="en-US"/>
        </w:rPr>
        <w:t>mundiales</w:t>
      </w:r>
      <w:proofErr w:type="spellEnd"/>
      <w:r w:rsidRPr="000D48EE">
        <w:rPr>
          <w:sz w:val="16"/>
          <w:szCs w:val="16"/>
          <w:lang w:val="en-US"/>
        </w:rPr>
        <w:t xml:space="preserve"> </w:t>
      </w:r>
      <w:proofErr w:type="spellStart"/>
      <w:r w:rsidRPr="000D48EE">
        <w:rPr>
          <w:sz w:val="16"/>
          <w:szCs w:val="16"/>
          <w:lang w:val="en-US"/>
        </w:rPr>
        <w:t>publicados</w:t>
      </w:r>
      <w:proofErr w:type="spellEnd"/>
      <w:r w:rsidRPr="000D48EE">
        <w:rPr>
          <w:sz w:val="16"/>
          <w:szCs w:val="16"/>
          <w:lang w:val="en-US"/>
        </w:rPr>
        <w:t xml:space="preserve"> </w:t>
      </w:r>
      <w:proofErr w:type="spellStart"/>
      <w:r w:rsidRPr="000D48EE">
        <w:rPr>
          <w:sz w:val="16"/>
          <w:szCs w:val="16"/>
          <w:lang w:val="en-US"/>
        </w:rPr>
        <w:t>en</w:t>
      </w:r>
      <w:proofErr w:type="spellEnd"/>
      <w:r w:rsidRPr="000D48EE">
        <w:rPr>
          <w:sz w:val="16"/>
          <w:szCs w:val="16"/>
          <w:lang w:val="en-US"/>
        </w:rPr>
        <w:t xml:space="preserve"> el </w:t>
      </w:r>
      <w:proofErr w:type="spellStart"/>
      <w:r w:rsidRPr="000D48EE">
        <w:rPr>
          <w:sz w:val="16"/>
          <w:szCs w:val="16"/>
          <w:lang w:val="en-US"/>
        </w:rPr>
        <w:t>bienio</w:t>
      </w:r>
      <w:proofErr w:type="spellEnd"/>
      <w:r w:rsidRPr="000D48EE">
        <w:rPr>
          <w:sz w:val="16"/>
          <w:szCs w:val="16"/>
          <w:lang w:val="en-US"/>
        </w:rPr>
        <w:t xml:space="preserve"> 2014/15:  </w:t>
      </w:r>
      <w:proofErr w:type="spellStart"/>
      <w:r w:rsidRPr="000D48EE">
        <w:rPr>
          <w:sz w:val="16"/>
          <w:szCs w:val="16"/>
          <w:lang w:val="en-US"/>
        </w:rPr>
        <w:t>i</w:t>
      </w:r>
      <w:proofErr w:type="spellEnd"/>
      <w:r w:rsidRPr="000D48EE">
        <w:rPr>
          <w:sz w:val="16"/>
          <w:szCs w:val="16"/>
          <w:lang w:val="en-US"/>
        </w:rPr>
        <w:t xml:space="preserve">) </w:t>
      </w:r>
      <w:hyperlink r:id="rId15" w:history="1">
        <w:r w:rsidRPr="000D48EE">
          <w:rPr>
            <w:rStyle w:val="Hyperlink"/>
            <w:bCs/>
            <w:sz w:val="16"/>
            <w:szCs w:val="16"/>
            <w:lang w:val="en-US"/>
          </w:rPr>
          <w:t>Renewable Energy Technology: Evolution and Policy Implications – Evidence from Patent Literature</w:t>
        </w:r>
      </w:hyperlink>
      <w:r w:rsidRPr="000D48EE">
        <w:rPr>
          <w:i/>
          <w:iCs/>
          <w:sz w:val="16"/>
          <w:szCs w:val="16"/>
          <w:lang w:val="en-US"/>
        </w:rPr>
        <w:t xml:space="preserve"> </w:t>
      </w:r>
      <w:r w:rsidRPr="000D48EE">
        <w:rPr>
          <w:iCs/>
          <w:sz w:val="16"/>
          <w:szCs w:val="16"/>
          <w:lang w:val="en-US"/>
        </w:rPr>
        <w:t>(2014)</w:t>
      </w:r>
      <w:r w:rsidRPr="000D48EE">
        <w:rPr>
          <w:sz w:val="16"/>
          <w:szCs w:val="16"/>
          <w:lang w:val="en-US"/>
        </w:rPr>
        <w:t xml:space="preserve">;  ii) </w:t>
      </w:r>
      <w:hyperlink r:id="rId16" w:history="1">
        <w:r w:rsidRPr="000D48EE">
          <w:rPr>
            <w:rStyle w:val="Hyperlink"/>
            <w:bCs/>
            <w:i/>
            <w:sz w:val="16"/>
            <w:szCs w:val="16"/>
            <w:lang w:val="en-US"/>
          </w:rPr>
          <w:t>Innovation and Diffusion of Green Technologies: The Role of Intellectual Property and Other Enabling Factors</w:t>
        </w:r>
      </w:hyperlink>
      <w:r w:rsidRPr="000D48EE">
        <w:rPr>
          <w:sz w:val="16"/>
          <w:szCs w:val="16"/>
          <w:lang w:val="en-US"/>
        </w:rPr>
        <w:t xml:space="preserve"> (2015);  iii) </w:t>
      </w:r>
      <w:hyperlink r:id="rId17" w:history="1">
        <w:r w:rsidRPr="000D48EE">
          <w:rPr>
            <w:rStyle w:val="Hyperlink"/>
            <w:i/>
            <w:sz w:val="16"/>
            <w:szCs w:val="16"/>
            <w:lang w:val="en-US"/>
          </w:rPr>
          <w:t xml:space="preserve">Strategic Review of WIPO </w:t>
        </w:r>
        <w:proofErr w:type="spellStart"/>
        <w:r w:rsidRPr="000D48EE">
          <w:rPr>
            <w:rStyle w:val="Hyperlink"/>
            <w:i/>
            <w:sz w:val="16"/>
            <w:szCs w:val="16"/>
            <w:lang w:val="en-US"/>
          </w:rPr>
          <w:t>Re:Search</w:t>
        </w:r>
        <w:proofErr w:type="spellEnd"/>
      </w:hyperlink>
      <w:r w:rsidRPr="000D48EE">
        <w:rPr>
          <w:sz w:val="16"/>
          <w:szCs w:val="16"/>
          <w:lang w:val="en-US"/>
        </w:rPr>
        <w:t xml:space="preserve"> (2015)</w:t>
      </w:r>
    </w:p>
  </w:footnote>
  <w:footnote w:id="104">
    <w:p w:rsidR="00121C2F" w:rsidRPr="009A6CA1" w:rsidRDefault="00121C2F" w:rsidP="00DC1333">
      <w:pPr>
        <w:pStyle w:val="FootnoteText"/>
        <w:rPr>
          <w:sz w:val="16"/>
          <w:szCs w:val="16"/>
        </w:rPr>
      </w:pPr>
      <w:r w:rsidRPr="009A6CA1">
        <w:rPr>
          <w:rStyle w:val="FootnoteReference"/>
          <w:sz w:val="16"/>
          <w:szCs w:val="16"/>
        </w:rPr>
        <w:footnoteRef/>
      </w:r>
      <w:r w:rsidRPr="009A6CA1">
        <w:rPr>
          <w:sz w:val="16"/>
          <w:szCs w:val="16"/>
        </w:rPr>
        <w:t xml:space="preserve"> Corrección</w:t>
      </w:r>
      <w:proofErr w:type="gramStart"/>
      <w:r w:rsidRPr="009A6CA1">
        <w:rPr>
          <w:sz w:val="16"/>
          <w:szCs w:val="16"/>
        </w:rPr>
        <w:t>:  el</w:t>
      </w:r>
      <w:proofErr w:type="gramEnd"/>
      <w:r w:rsidRPr="009A6CA1">
        <w:rPr>
          <w:sz w:val="16"/>
          <w:szCs w:val="16"/>
        </w:rPr>
        <w:t xml:space="preserve"> número real de asociados y aportaciones a finales de 2013 fue 36 y 820, respectivamente, frente a 37 y 800, respectivamente, en el Informe sobre el rendimiento de los programas en 2012/13.</w:t>
      </w:r>
    </w:p>
  </w:footnote>
  <w:footnote w:id="105">
    <w:p w:rsidR="00121C2F" w:rsidRPr="009A6CA1" w:rsidRDefault="00121C2F">
      <w:pPr>
        <w:pStyle w:val="FootnoteText"/>
        <w:rPr>
          <w:sz w:val="16"/>
          <w:szCs w:val="16"/>
        </w:rPr>
      </w:pPr>
      <w:r w:rsidRPr="009A6CA1">
        <w:rPr>
          <w:rStyle w:val="FootnoteReference"/>
          <w:sz w:val="16"/>
          <w:szCs w:val="16"/>
        </w:rPr>
        <w:footnoteRef/>
      </w:r>
      <w:r w:rsidRPr="009A6CA1">
        <w:rPr>
          <w:sz w:val="16"/>
          <w:szCs w:val="16"/>
        </w:rPr>
        <w:t xml:space="preserve"> Corrección</w:t>
      </w:r>
      <w:proofErr w:type="gramStart"/>
      <w:r w:rsidRPr="009A6CA1">
        <w:rPr>
          <w:sz w:val="16"/>
          <w:szCs w:val="16"/>
        </w:rPr>
        <w:t>:  el</w:t>
      </w:r>
      <w:proofErr w:type="gramEnd"/>
      <w:r w:rsidRPr="009A6CA1">
        <w:rPr>
          <w:sz w:val="16"/>
          <w:szCs w:val="16"/>
        </w:rPr>
        <w:t xml:space="preserve"> número total de aportaciones a finales de 2014 fue 1.773, y no 2.050 tal como se informó en el Informe sobre el rendimiento de los programas en 2014.</w:t>
      </w:r>
    </w:p>
  </w:footnote>
  <w:footnote w:id="106">
    <w:p w:rsidR="00121C2F" w:rsidRPr="00CA51CD" w:rsidRDefault="00121C2F" w:rsidP="00DC1333">
      <w:pPr>
        <w:pStyle w:val="FootnoteText"/>
        <w:rPr>
          <w:sz w:val="16"/>
          <w:szCs w:val="16"/>
        </w:rPr>
      </w:pPr>
      <w:r w:rsidRPr="00CA51CD">
        <w:rPr>
          <w:rStyle w:val="FootnoteReference"/>
          <w:sz w:val="16"/>
          <w:szCs w:val="16"/>
        </w:rPr>
        <w:footnoteRef/>
      </w:r>
      <w:r w:rsidRPr="00CA51CD">
        <w:rPr>
          <w:sz w:val="16"/>
          <w:szCs w:val="16"/>
        </w:rPr>
        <w:t xml:space="preserve"> </w:t>
      </w:r>
      <w:r w:rsidRPr="00CA51CD">
        <w:rPr>
          <w:color w:val="000000"/>
          <w:sz w:val="16"/>
          <w:szCs w:val="16"/>
        </w:rPr>
        <w:t xml:space="preserve">Como en 2013 no se realizó una encuesta sobre la impresión que tienen las partes interesadas acerca de la OMPI, los datos que figuran en el Informe sobre el rendimiento de los programas en 2012/13 fueron extrapolados de la encuesta de </w:t>
      </w:r>
      <w:r w:rsidRPr="00CA51CD">
        <w:rPr>
          <w:sz w:val="16"/>
          <w:szCs w:val="16"/>
        </w:rPr>
        <w:t xml:space="preserve">prestación óptima de servicios </w:t>
      </w:r>
      <w:r w:rsidRPr="00CA51CD">
        <w:rPr>
          <w:color w:val="000000"/>
          <w:sz w:val="16"/>
          <w:szCs w:val="16"/>
        </w:rPr>
        <w:t xml:space="preserve">de la OMPI, que utiliza una metodología diferente y se envía a otro grupo de partes interesadas. </w:t>
      </w:r>
      <w:r w:rsidRPr="00CA51CD">
        <w:rPr>
          <w:sz w:val="16"/>
          <w:szCs w:val="16"/>
        </w:rPr>
        <w:t xml:space="preserve">  </w:t>
      </w:r>
      <w:r w:rsidRPr="00CA51CD">
        <w:rPr>
          <w:color w:val="000000"/>
          <w:sz w:val="16"/>
          <w:szCs w:val="16"/>
        </w:rPr>
        <w:t xml:space="preserve">Por lo tanto, la referencia de base no se puede comparar con los datos de 2014. </w:t>
      </w:r>
      <w:r w:rsidRPr="00CA51CD">
        <w:rPr>
          <w:sz w:val="16"/>
          <w:szCs w:val="16"/>
        </w:rPr>
        <w:t xml:space="preserve"> </w:t>
      </w:r>
    </w:p>
  </w:footnote>
  <w:footnote w:id="107">
    <w:p w:rsidR="00121C2F" w:rsidRPr="00CA51CD" w:rsidRDefault="00121C2F" w:rsidP="00DC1333">
      <w:pPr>
        <w:pStyle w:val="FootnoteText"/>
        <w:rPr>
          <w:sz w:val="16"/>
          <w:szCs w:val="16"/>
        </w:rPr>
      </w:pPr>
      <w:r w:rsidRPr="00CA51CD">
        <w:rPr>
          <w:rStyle w:val="FootnoteReference"/>
          <w:sz w:val="16"/>
          <w:szCs w:val="16"/>
        </w:rPr>
        <w:footnoteRef/>
      </w:r>
      <w:r w:rsidRPr="00CA51CD">
        <w:rPr>
          <w:sz w:val="16"/>
          <w:szCs w:val="16"/>
        </w:rPr>
        <w:t xml:space="preserve"> </w:t>
      </w:r>
      <w:r w:rsidRPr="00CA51CD">
        <w:rPr>
          <w:color w:val="000000"/>
          <w:sz w:val="16"/>
          <w:szCs w:val="16"/>
        </w:rPr>
        <w:t xml:space="preserve">Los datos de rendimiento de 2014 son comparables con la  referencia original en el presupuesto por programas de 2014/15, es decir el 65%, que se basa en la encuesta sobre la impresión que tienen las partes interesadas acerca de la OMPI, de 2012. </w:t>
      </w:r>
      <w:r w:rsidRPr="00CA51CD">
        <w:rPr>
          <w:sz w:val="16"/>
          <w:szCs w:val="16"/>
        </w:rPr>
        <w:t xml:space="preserve"> </w:t>
      </w:r>
    </w:p>
  </w:footnote>
  <w:footnote w:id="108">
    <w:p w:rsidR="00121C2F" w:rsidRPr="008B1CDA" w:rsidRDefault="00121C2F" w:rsidP="00DC1333">
      <w:pPr>
        <w:pStyle w:val="FootnoteText"/>
        <w:rPr>
          <w:sz w:val="16"/>
          <w:szCs w:val="16"/>
        </w:rPr>
      </w:pPr>
      <w:r w:rsidRPr="00CA51CD">
        <w:rPr>
          <w:rStyle w:val="FootnoteReference"/>
          <w:sz w:val="16"/>
          <w:szCs w:val="16"/>
        </w:rPr>
        <w:footnoteRef/>
      </w:r>
      <w:r w:rsidRPr="00CA51CD">
        <w:rPr>
          <w:sz w:val="16"/>
          <w:szCs w:val="16"/>
        </w:rPr>
        <w:t xml:space="preserve"> </w:t>
      </w:r>
      <w:r w:rsidRPr="00CA51CD">
        <w:rPr>
          <w:color w:val="000000"/>
          <w:sz w:val="16"/>
          <w:szCs w:val="16"/>
        </w:rPr>
        <w:t xml:space="preserve">En el Informe sobre el rendimiento de los programas en 2012/13, se informó que eran 226 vídeos.  El número real de vídeos a fines de 2013 fue de 228. </w:t>
      </w:r>
      <w:r w:rsidRPr="00CA51CD">
        <w:rPr>
          <w:sz w:val="16"/>
          <w:szCs w:val="16"/>
        </w:rPr>
        <w:t xml:space="preserve"> </w:t>
      </w:r>
      <w:r w:rsidRPr="008B1CDA">
        <w:rPr>
          <w:color w:val="000000"/>
          <w:sz w:val="16"/>
          <w:szCs w:val="16"/>
        </w:rPr>
        <w:t xml:space="preserve">El número medio de visualizaciones se actualizó en consecuencia. </w:t>
      </w:r>
    </w:p>
  </w:footnote>
  <w:footnote w:id="109">
    <w:p w:rsidR="00121C2F" w:rsidRPr="0075534B" w:rsidRDefault="00121C2F" w:rsidP="001C19F7">
      <w:pPr>
        <w:pStyle w:val="FootnoteText"/>
        <w:rPr>
          <w:sz w:val="16"/>
          <w:szCs w:val="16"/>
        </w:rPr>
      </w:pPr>
      <w:r>
        <w:rPr>
          <w:rStyle w:val="FootnoteReference"/>
        </w:rPr>
        <w:footnoteRef/>
      </w:r>
      <w:r>
        <w:rPr>
          <w:sz w:val="16"/>
        </w:rPr>
        <w:t xml:space="preserve"> A no ser que se indique lo contrario, los cambios porcentuales son con respecto al año anterior;  es decir el cambio porcentual de 2014 es con respecto a 2013 y el cambio porcentual de 2015 es con respecto a 2014.</w:t>
      </w:r>
    </w:p>
  </w:footnote>
  <w:footnote w:id="110">
    <w:p w:rsidR="00121C2F" w:rsidRPr="00D2634F" w:rsidRDefault="00121C2F" w:rsidP="001C19F7">
      <w:pPr>
        <w:pStyle w:val="FootnoteText"/>
        <w:rPr>
          <w:sz w:val="16"/>
          <w:szCs w:val="16"/>
        </w:rPr>
      </w:pPr>
      <w:r>
        <w:rPr>
          <w:rStyle w:val="FootnoteReference"/>
        </w:rPr>
        <w:footnoteRef/>
      </w:r>
      <w:r>
        <w:rPr>
          <w:sz w:val="16"/>
        </w:rPr>
        <w:t xml:space="preserve"> El cambio porcentual del bienio 2014/15 es con respecto al bienio 2012/13.</w:t>
      </w:r>
    </w:p>
  </w:footnote>
  <w:footnote w:id="111">
    <w:p w:rsidR="00121C2F" w:rsidRPr="00502A6A" w:rsidRDefault="00121C2F" w:rsidP="001C19F7">
      <w:pPr>
        <w:pStyle w:val="FootnoteText"/>
        <w:rPr>
          <w:sz w:val="16"/>
          <w:szCs w:val="16"/>
        </w:rPr>
      </w:pPr>
      <w:r>
        <w:rPr>
          <w:rStyle w:val="FootnoteReference"/>
        </w:rPr>
        <w:footnoteRef/>
      </w:r>
      <w:r>
        <w:rPr>
          <w:sz w:val="16"/>
        </w:rPr>
        <w:t xml:space="preserve"> En el Informe sobre el rendimiento de los programas en 2014, los datos de este indicador se basaron en cifras estimadas en el momento de su publicación;  en consecuencia cuando era pertinente se han actualizado las cifras a fin de reflejar datos más exactos.</w:t>
      </w:r>
    </w:p>
  </w:footnote>
  <w:footnote w:id="112">
    <w:p w:rsidR="00121C2F" w:rsidRPr="00FE1F7F" w:rsidRDefault="00121C2F" w:rsidP="001C19F7">
      <w:pPr>
        <w:pStyle w:val="FootnoteText"/>
        <w:rPr>
          <w:sz w:val="16"/>
          <w:szCs w:val="16"/>
        </w:rPr>
      </w:pPr>
      <w:r>
        <w:rPr>
          <w:rStyle w:val="FootnoteReference"/>
        </w:rPr>
        <w:footnoteRef/>
      </w:r>
      <w:r>
        <w:t xml:space="preserve"> </w:t>
      </w:r>
      <w:r>
        <w:rPr>
          <w:sz w:val="16"/>
        </w:rPr>
        <w:t xml:space="preserve">El objetivo para 2014 fue de 354 nuevos registros.  </w:t>
      </w:r>
    </w:p>
  </w:footnote>
  <w:footnote w:id="113">
    <w:p w:rsidR="00121C2F" w:rsidRPr="00280A37" w:rsidRDefault="00121C2F" w:rsidP="001C19F7">
      <w:pPr>
        <w:pStyle w:val="FootnoteText"/>
      </w:pPr>
      <w:r>
        <w:rPr>
          <w:rStyle w:val="FootnoteReference"/>
        </w:rPr>
        <w:footnoteRef/>
      </w:r>
      <w:r>
        <w:t xml:space="preserve"> </w:t>
      </w:r>
      <w:r>
        <w:rPr>
          <w:sz w:val="16"/>
        </w:rPr>
        <w:t xml:space="preserve">El cambio porcentual durante 2015 se calcula con el objetivo de 2014, es decir, suponiendo que se ha logrado el objetivo de 2014.  </w:t>
      </w:r>
    </w:p>
  </w:footnote>
  <w:footnote w:id="114">
    <w:p w:rsidR="00121C2F" w:rsidRPr="00884EFD" w:rsidRDefault="00121C2F" w:rsidP="001C19F7">
      <w:pPr>
        <w:pStyle w:val="FootnoteText"/>
      </w:pPr>
      <w:r>
        <w:rPr>
          <w:rStyle w:val="FootnoteReference"/>
        </w:rPr>
        <w:footnoteRef/>
      </w:r>
      <w:r>
        <w:rPr>
          <w:sz w:val="16"/>
        </w:rPr>
        <w:t xml:space="preserve"> Corrección</w:t>
      </w:r>
      <w:proofErr w:type="gramStart"/>
      <w:r>
        <w:rPr>
          <w:sz w:val="16"/>
        </w:rPr>
        <w:t>:  en</w:t>
      </w:r>
      <w:proofErr w:type="gramEnd"/>
      <w:r>
        <w:rPr>
          <w:sz w:val="16"/>
        </w:rPr>
        <w:t xml:space="preserve"> 2014, las renovaciones de la OOS con el Sistema de Madrid fueron 54 y no 56, como se comunicó en el Informe sobre el rendimiento de los programas en 2014.  </w:t>
      </w:r>
    </w:p>
  </w:footnote>
  <w:footnote w:id="115">
    <w:p w:rsidR="00121C2F" w:rsidRPr="0063275C" w:rsidRDefault="00121C2F" w:rsidP="001C19F7">
      <w:pPr>
        <w:pStyle w:val="FootnoteText"/>
      </w:pPr>
      <w:r>
        <w:rPr>
          <w:rStyle w:val="FootnoteReference"/>
        </w:rPr>
        <w:footnoteRef/>
      </w:r>
      <w:r>
        <w:t xml:space="preserve"> </w:t>
      </w:r>
      <w:r>
        <w:rPr>
          <w:sz w:val="16"/>
        </w:rPr>
        <w:t xml:space="preserve">El cambio porcentual del bienio 2014/15 es con respecto al bienio 2012/13. </w:t>
      </w:r>
    </w:p>
  </w:footnote>
  <w:footnote w:id="116">
    <w:p w:rsidR="00121C2F" w:rsidRPr="00144187" w:rsidRDefault="00121C2F" w:rsidP="001C19F7">
      <w:pPr>
        <w:pStyle w:val="FootnoteText"/>
        <w:rPr>
          <w:sz w:val="16"/>
          <w:szCs w:val="16"/>
        </w:rPr>
      </w:pPr>
      <w:r>
        <w:rPr>
          <w:rStyle w:val="FootnoteReference"/>
        </w:rPr>
        <w:footnoteRef/>
      </w:r>
      <w:r>
        <w:rPr>
          <w:sz w:val="16"/>
        </w:rPr>
        <w:t xml:space="preserve"> La referencia actualizada a fines de 2013 se ha actualizado para incluir los datos de 2012 a los fines de la comparación del bienio.</w:t>
      </w:r>
    </w:p>
  </w:footnote>
  <w:footnote w:id="117">
    <w:p w:rsidR="00121C2F" w:rsidRPr="00FC6FD8" w:rsidRDefault="00121C2F" w:rsidP="001C19F7">
      <w:pPr>
        <w:pStyle w:val="FootnoteText"/>
        <w:rPr>
          <w:sz w:val="16"/>
          <w:szCs w:val="16"/>
        </w:rPr>
      </w:pPr>
      <w:r>
        <w:rPr>
          <w:rStyle w:val="FootnoteReference"/>
        </w:rPr>
        <w:footnoteRef/>
      </w:r>
      <w:r>
        <w:rPr>
          <w:sz w:val="16"/>
        </w:rPr>
        <w:t xml:space="preserve"> El objetivo de la OOJ para 2014 es de 15.651.</w:t>
      </w:r>
    </w:p>
  </w:footnote>
  <w:footnote w:id="118">
    <w:p w:rsidR="00121C2F" w:rsidRDefault="00121C2F" w:rsidP="001C19F7">
      <w:pPr>
        <w:pStyle w:val="FootnoteText"/>
      </w:pPr>
      <w:r>
        <w:rPr>
          <w:rStyle w:val="FootnoteReference"/>
        </w:rPr>
        <w:footnoteRef/>
      </w:r>
      <w:r>
        <w:rPr>
          <w:sz w:val="16"/>
        </w:rPr>
        <w:t xml:space="preserve"> El cambio porcentual durante 2015 se calcula con el objetivo de 2014, es decir, suponiendo que se ha logrado el objetivo de 2014.  </w:t>
      </w:r>
    </w:p>
  </w:footnote>
  <w:footnote w:id="119">
    <w:p w:rsidR="00121C2F" w:rsidRPr="00C34000" w:rsidRDefault="00121C2F" w:rsidP="001C19F7">
      <w:pPr>
        <w:pStyle w:val="FootnoteText"/>
        <w:rPr>
          <w:sz w:val="16"/>
          <w:szCs w:val="16"/>
        </w:rPr>
      </w:pPr>
      <w:r>
        <w:rPr>
          <w:rStyle w:val="FootnoteReference"/>
        </w:rPr>
        <w:footnoteRef/>
      </w:r>
      <w:r>
        <w:rPr>
          <w:sz w:val="16"/>
        </w:rPr>
        <w:t xml:space="preserve"> El objetivo de la OOJ para 2014 fue de 6.195 visitas a la página.</w:t>
      </w:r>
    </w:p>
  </w:footnote>
  <w:footnote w:id="120">
    <w:p w:rsidR="00121C2F" w:rsidRPr="00B478F1" w:rsidRDefault="00121C2F" w:rsidP="001C19F7">
      <w:pPr>
        <w:pStyle w:val="FootnoteText"/>
        <w:rPr>
          <w:sz w:val="16"/>
          <w:szCs w:val="16"/>
        </w:rPr>
      </w:pPr>
      <w:r>
        <w:rPr>
          <w:rStyle w:val="FootnoteReference"/>
        </w:rPr>
        <w:footnoteRef/>
      </w:r>
      <w:r>
        <w:rPr>
          <w:sz w:val="16"/>
        </w:rPr>
        <w:t xml:space="preserve"> La página web de la oficina de la OMPI en el Brasil no se creó hasta febrero de 2015.</w:t>
      </w:r>
    </w:p>
  </w:footnote>
  <w:footnote w:id="121">
    <w:p w:rsidR="00121C2F" w:rsidRPr="00936487" w:rsidRDefault="00121C2F" w:rsidP="001C19F7">
      <w:pPr>
        <w:pStyle w:val="FootnoteText"/>
        <w:rPr>
          <w:sz w:val="16"/>
          <w:szCs w:val="16"/>
        </w:rPr>
      </w:pPr>
      <w:r>
        <w:rPr>
          <w:rStyle w:val="FootnoteReference"/>
        </w:rPr>
        <w:footnoteRef/>
      </w:r>
      <w:r>
        <w:t xml:space="preserve"> </w:t>
      </w:r>
      <w:r>
        <w:rPr>
          <w:sz w:val="16"/>
        </w:rPr>
        <w:t>El cambio porcentual en 2015 se mide con respecto al objetivo de 2014 (6.195 visitas a la página).  El cambio porcentual real medido con respecto al año anterior fue una disminución del 8%.</w:t>
      </w:r>
    </w:p>
  </w:footnote>
  <w:footnote w:id="122">
    <w:p w:rsidR="00121C2F" w:rsidRPr="007B2775" w:rsidRDefault="00121C2F" w:rsidP="00DC1333">
      <w:pPr>
        <w:pStyle w:val="FootnoteText"/>
        <w:rPr>
          <w:sz w:val="16"/>
          <w:szCs w:val="16"/>
          <w:lang w:val="es-ES_tradnl"/>
        </w:rPr>
      </w:pPr>
      <w:r w:rsidRPr="007B2775">
        <w:rPr>
          <w:rStyle w:val="FootnoteReference"/>
          <w:sz w:val="16"/>
          <w:szCs w:val="16"/>
        </w:rPr>
        <w:footnoteRef/>
      </w:r>
      <w:r w:rsidRPr="007B2775">
        <w:rPr>
          <w:sz w:val="16"/>
          <w:szCs w:val="16"/>
          <w:lang w:val="es-ES_tradnl"/>
        </w:rPr>
        <w:t xml:space="preserve"> </w:t>
      </w:r>
      <w:r>
        <w:rPr>
          <w:color w:val="000000"/>
          <w:sz w:val="16"/>
          <w:szCs w:val="16"/>
          <w:lang w:val="es-ES_tradnl"/>
        </w:rPr>
        <w:t>L</w:t>
      </w:r>
      <w:r w:rsidRPr="007B2775">
        <w:rPr>
          <w:color w:val="000000"/>
          <w:sz w:val="16"/>
          <w:szCs w:val="16"/>
          <w:lang w:val="es-ES_tradnl"/>
        </w:rPr>
        <w:t xml:space="preserve">a referencia original del presupuesto por programas de 2014/15 </w:t>
      </w:r>
      <w:r>
        <w:rPr>
          <w:color w:val="000000"/>
          <w:sz w:val="16"/>
          <w:szCs w:val="16"/>
          <w:lang w:val="es-ES_tradnl"/>
        </w:rPr>
        <w:t>fue calculada con cifras estimativas correspondientes a mediados de 2013.  Esas cifras han sido ahora actualizadas</w:t>
      </w:r>
      <w:r w:rsidRPr="007B2775">
        <w:rPr>
          <w:color w:val="000000"/>
          <w:sz w:val="16"/>
          <w:szCs w:val="16"/>
          <w:lang w:val="es-ES_tradnl"/>
        </w:rPr>
        <w:t>.</w:t>
      </w:r>
    </w:p>
  </w:footnote>
  <w:footnote w:id="123">
    <w:p w:rsidR="00121C2F" w:rsidRPr="007B2775" w:rsidRDefault="00121C2F" w:rsidP="00DC1333">
      <w:pPr>
        <w:pStyle w:val="FootnoteText"/>
        <w:rPr>
          <w:sz w:val="16"/>
          <w:szCs w:val="16"/>
          <w:lang w:val="es-ES_tradnl"/>
        </w:rPr>
      </w:pPr>
      <w:r w:rsidRPr="007B2775">
        <w:rPr>
          <w:rStyle w:val="FootnoteReference"/>
          <w:sz w:val="16"/>
          <w:szCs w:val="16"/>
        </w:rPr>
        <w:footnoteRef/>
      </w:r>
      <w:r w:rsidRPr="007B2775">
        <w:rPr>
          <w:sz w:val="16"/>
          <w:szCs w:val="16"/>
          <w:lang w:val="es-ES_tradnl"/>
        </w:rPr>
        <w:t xml:space="preserve"> </w:t>
      </w:r>
      <w:r w:rsidRPr="007B2775">
        <w:rPr>
          <w:color w:val="000000"/>
          <w:sz w:val="16"/>
          <w:szCs w:val="16"/>
          <w:lang w:val="es-ES_tradnl"/>
        </w:rPr>
        <w:t>La información sobre la encuesta de las Asambleas de la OMPI de 2014 se encuentra disponible en la siguiente dirección: http://www.wipo.int/export/sites/www/about-wipo/es/assemblies/pdf/survey_2014.pdf</w:t>
      </w:r>
    </w:p>
  </w:footnote>
  <w:footnote w:id="124">
    <w:p w:rsidR="00121C2F" w:rsidRPr="007B2775" w:rsidRDefault="00121C2F" w:rsidP="00DC1333">
      <w:pPr>
        <w:pStyle w:val="FootnoteText"/>
        <w:rPr>
          <w:sz w:val="16"/>
          <w:szCs w:val="16"/>
          <w:lang w:val="es-ES_tradnl"/>
        </w:rPr>
      </w:pPr>
      <w:r w:rsidRPr="007B2775">
        <w:rPr>
          <w:rStyle w:val="FootnoteReference"/>
          <w:sz w:val="16"/>
          <w:szCs w:val="16"/>
        </w:rPr>
        <w:footnoteRef/>
      </w:r>
      <w:r w:rsidRPr="007B2775">
        <w:rPr>
          <w:sz w:val="16"/>
          <w:szCs w:val="16"/>
          <w:lang w:val="es-ES_tradnl"/>
        </w:rPr>
        <w:t xml:space="preserve"> </w:t>
      </w:r>
      <w:r w:rsidRPr="007B2775">
        <w:rPr>
          <w:color w:val="000000"/>
          <w:sz w:val="16"/>
          <w:szCs w:val="16"/>
          <w:lang w:val="es-ES_tradnl"/>
        </w:rPr>
        <w:t xml:space="preserve">Véase también el documento WO/PBC/22/12 sobre el marco de rendición de cuentas de la OMPI. </w:t>
      </w:r>
    </w:p>
  </w:footnote>
  <w:footnote w:id="125">
    <w:p w:rsidR="00121C2F" w:rsidRPr="000B7DB0" w:rsidRDefault="00121C2F">
      <w:pPr>
        <w:pStyle w:val="FootnoteText"/>
      </w:pPr>
      <w:r>
        <w:rPr>
          <w:rStyle w:val="FootnoteReference"/>
        </w:rPr>
        <w:footnoteRef/>
      </w:r>
      <w:r w:rsidRPr="000B7DB0">
        <w:t xml:space="preserve"> </w:t>
      </w:r>
      <w:r w:rsidRPr="000B7DB0">
        <w:rPr>
          <w:sz w:val="16"/>
          <w:szCs w:val="16"/>
        </w:rPr>
        <w:t xml:space="preserve">21 de 31 programas (67%) respondieron la encuesta de la DSI para validar el PPR </w:t>
      </w:r>
      <w:r>
        <w:rPr>
          <w:sz w:val="16"/>
          <w:szCs w:val="16"/>
        </w:rPr>
        <w:t xml:space="preserve">de </w:t>
      </w:r>
      <w:r w:rsidRPr="000B7DB0">
        <w:rPr>
          <w:sz w:val="16"/>
          <w:szCs w:val="16"/>
        </w:rPr>
        <w:t>2014/15</w:t>
      </w:r>
      <w:r>
        <w:rPr>
          <w:sz w:val="16"/>
          <w:szCs w:val="16"/>
        </w:rPr>
        <w:t>.</w:t>
      </w:r>
    </w:p>
  </w:footnote>
  <w:footnote w:id="126">
    <w:p w:rsidR="00121C2F" w:rsidRPr="007B2775" w:rsidRDefault="00121C2F" w:rsidP="00DC1333">
      <w:pPr>
        <w:pStyle w:val="FootnoteText"/>
        <w:rPr>
          <w:sz w:val="16"/>
          <w:szCs w:val="16"/>
          <w:lang w:val="es-ES_tradnl"/>
        </w:rPr>
      </w:pPr>
      <w:r w:rsidRPr="007B2775">
        <w:rPr>
          <w:rStyle w:val="FootnoteReference"/>
          <w:sz w:val="16"/>
          <w:szCs w:val="16"/>
        </w:rPr>
        <w:footnoteRef/>
      </w:r>
      <w:r w:rsidRPr="007B2775">
        <w:rPr>
          <w:sz w:val="16"/>
          <w:szCs w:val="16"/>
          <w:lang w:val="es-ES_tradnl"/>
        </w:rPr>
        <w:t xml:space="preserve"> Corrección</w:t>
      </w:r>
      <w:r w:rsidRPr="007B2775">
        <w:rPr>
          <w:color w:val="000000"/>
          <w:sz w:val="16"/>
          <w:szCs w:val="16"/>
          <w:lang w:val="es-ES_tradnl"/>
        </w:rPr>
        <w:t>: En el PPR de 2012/13, se informó de que el 53% de los programas estaban utilizando datos sobre el rendimiento para gestionar el rendimiento del programa.</w:t>
      </w:r>
    </w:p>
  </w:footnote>
  <w:footnote w:id="127">
    <w:p w:rsidR="00121C2F" w:rsidRPr="000B7DB0" w:rsidRDefault="00121C2F" w:rsidP="000B7DB0">
      <w:pPr>
        <w:pStyle w:val="FootnoteText"/>
      </w:pPr>
      <w:r>
        <w:rPr>
          <w:rStyle w:val="FootnoteReference"/>
        </w:rPr>
        <w:footnoteRef/>
      </w:r>
      <w:r w:rsidRPr="000B7DB0">
        <w:t xml:space="preserve"> </w:t>
      </w:r>
      <w:r w:rsidRPr="000B7DB0">
        <w:rPr>
          <w:sz w:val="16"/>
          <w:szCs w:val="16"/>
        </w:rPr>
        <w:t xml:space="preserve">21 de 31 programas (67%) respondieron la encuesta de la DSI para validar el PPR </w:t>
      </w:r>
      <w:r>
        <w:rPr>
          <w:sz w:val="16"/>
          <w:szCs w:val="16"/>
        </w:rPr>
        <w:t xml:space="preserve">de </w:t>
      </w:r>
      <w:r w:rsidRPr="000B7DB0">
        <w:rPr>
          <w:sz w:val="16"/>
          <w:szCs w:val="16"/>
        </w:rPr>
        <w:t>2014/15</w:t>
      </w:r>
      <w:r>
        <w:rPr>
          <w:sz w:val="16"/>
          <w:szCs w:val="16"/>
        </w:rPr>
        <w:t>.</w:t>
      </w:r>
    </w:p>
  </w:footnote>
  <w:footnote w:id="128">
    <w:p w:rsidR="00121C2F" w:rsidRPr="004F034B" w:rsidRDefault="00121C2F">
      <w:pPr>
        <w:pStyle w:val="FootnoteText"/>
        <w:rPr>
          <w:lang w:val="fr-FR"/>
        </w:rPr>
      </w:pPr>
      <w:r>
        <w:rPr>
          <w:rStyle w:val="FootnoteReference"/>
        </w:rPr>
        <w:footnoteRef/>
      </w:r>
      <w:r w:rsidRPr="004F034B">
        <w:rPr>
          <w:lang w:val="fr-FR"/>
        </w:rPr>
        <w:t xml:space="preserve"> </w:t>
      </w:r>
      <w:r w:rsidRPr="000B7DB0">
        <w:rPr>
          <w:sz w:val="16"/>
          <w:szCs w:val="16"/>
          <w:lang w:val="fr-FR"/>
        </w:rPr>
        <w:t>Idem.</w:t>
      </w:r>
    </w:p>
  </w:footnote>
  <w:footnote w:id="129">
    <w:p w:rsidR="00121C2F" w:rsidRPr="004F034B" w:rsidRDefault="00121C2F">
      <w:pPr>
        <w:pStyle w:val="FootnoteText"/>
        <w:rPr>
          <w:sz w:val="16"/>
          <w:szCs w:val="16"/>
          <w:lang w:val="fr-FR"/>
        </w:rPr>
      </w:pPr>
      <w:r w:rsidRPr="009E764A">
        <w:rPr>
          <w:rStyle w:val="FootnoteReference"/>
          <w:sz w:val="16"/>
          <w:szCs w:val="16"/>
        </w:rPr>
        <w:footnoteRef/>
      </w:r>
      <w:r w:rsidRPr="004F034B">
        <w:rPr>
          <w:sz w:val="16"/>
          <w:szCs w:val="16"/>
          <w:lang w:val="fr-FR"/>
        </w:rPr>
        <w:t xml:space="preserve"> http://www.wipo.int/erecruitment/es/</w:t>
      </w:r>
    </w:p>
  </w:footnote>
  <w:footnote w:id="130">
    <w:p w:rsidR="00121C2F" w:rsidRPr="00E8051E" w:rsidRDefault="00121C2F">
      <w:pPr>
        <w:pStyle w:val="FootnoteText"/>
        <w:rPr>
          <w:sz w:val="16"/>
          <w:szCs w:val="16"/>
        </w:rPr>
      </w:pPr>
      <w:r w:rsidRPr="00E8051E">
        <w:rPr>
          <w:rStyle w:val="FootnoteReference"/>
          <w:sz w:val="16"/>
          <w:szCs w:val="16"/>
        </w:rPr>
        <w:footnoteRef/>
      </w:r>
      <w:r w:rsidRPr="00E8051E">
        <w:rPr>
          <w:sz w:val="16"/>
          <w:szCs w:val="16"/>
        </w:rPr>
        <w:t xml:space="preserve"> Esta cifra se obtiene de la manera siguiente</w:t>
      </w:r>
      <w:proofErr w:type="gramStart"/>
      <w:r w:rsidRPr="00E8051E">
        <w:rPr>
          <w:sz w:val="16"/>
          <w:szCs w:val="16"/>
        </w:rPr>
        <w:t>:  número</w:t>
      </w:r>
      <w:proofErr w:type="gramEnd"/>
      <w:r w:rsidRPr="00E8051E">
        <w:rPr>
          <w:sz w:val="16"/>
          <w:szCs w:val="16"/>
        </w:rPr>
        <w:t xml:space="preserve"> total de días de formación (número de participantes * días de formación) dividido entre el número total de miembros del personal (a 31 de diciembre del año en cuestión).</w:t>
      </w:r>
    </w:p>
  </w:footnote>
  <w:footnote w:id="131">
    <w:p w:rsidR="00121C2F" w:rsidRPr="003B6CAD" w:rsidRDefault="00121C2F">
      <w:pPr>
        <w:pStyle w:val="FootnoteText"/>
        <w:rPr>
          <w:sz w:val="16"/>
          <w:szCs w:val="16"/>
        </w:rPr>
      </w:pPr>
      <w:r w:rsidRPr="003B6CAD">
        <w:rPr>
          <w:rStyle w:val="FootnoteReference"/>
          <w:sz w:val="16"/>
          <w:szCs w:val="16"/>
        </w:rPr>
        <w:footnoteRef/>
      </w:r>
      <w:r w:rsidRPr="003B6CAD">
        <w:rPr>
          <w:sz w:val="16"/>
          <w:szCs w:val="16"/>
        </w:rPr>
        <w:t xml:space="preserve"> Corrección</w:t>
      </w:r>
      <w:proofErr w:type="gramStart"/>
      <w:r w:rsidRPr="003B6CAD">
        <w:rPr>
          <w:sz w:val="16"/>
          <w:szCs w:val="16"/>
        </w:rPr>
        <w:t>:  La</w:t>
      </w:r>
      <w:proofErr w:type="gramEnd"/>
      <w:r w:rsidRPr="003B6CAD">
        <w:rPr>
          <w:sz w:val="16"/>
          <w:szCs w:val="16"/>
        </w:rPr>
        <w:t xml:space="preserve"> cifra relativa a la duración del proceso de contratación que figura en el Informe sobre el rendimiento de los programas en 2014 (14,7 semanas) se calculó sobre la base de los concursos finalizados por FECHA.  En la cifra actualizada se refleja el cálculo final, una vez finalizados todos los concursos de 2014.</w:t>
      </w:r>
    </w:p>
  </w:footnote>
  <w:footnote w:id="132">
    <w:p w:rsidR="00121C2F" w:rsidRPr="003E546D" w:rsidRDefault="00121C2F">
      <w:pPr>
        <w:pStyle w:val="FootnoteText"/>
        <w:rPr>
          <w:sz w:val="16"/>
          <w:szCs w:val="16"/>
        </w:rPr>
      </w:pPr>
      <w:r w:rsidRPr="003E546D">
        <w:rPr>
          <w:rStyle w:val="FootnoteReference"/>
          <w:sz w:val="16"/>
          <w:szCs w:val="16"/>
        </w:rPr>
        <w:footnoteRef/>
      </w:r>
      <w:r w:rsidRPr="003E546D">
        <w:rPr>
          <w:sz w:val="16"/>
          <w:szCs w:val="16"/>
        </w:rPr>
        <w:t xml:space="preserve"> La cifra relativa a la duración del proceso de contratación en 2015 refleja los concursos de 201</w:t>
      </w:r>
      <w:r>
        <w:rPr>
          <w:sz w:val="16"/>
          <w:szCs w:val="16"/>
        </w:rPr>
        <w:t>5 finalizados al 19 de abril de </w:t>
      </w:r>
      <w:r w:rsidRPr="003E546D">
        <w:rPr>
          <w:sz w:val="16"/>
          <w:szCs w:val="16"/>
        </w:rPr>
        <w:t>2015.</w:t>
      </w:r>
    </w:p>
  </w:footnote>
  <w:footnote w:id="133">
    <w:p w:rsidR="00121C2F" w:rsidRPr="00E9526A" w:rsidRDefault="00121C2F" w:rsidP="00DC1333">
      <w:pPr>
        <w:pStyle w:val="FootnoteText"/>
      </w:pPr>
      <w:r w:rsidRPr="0065541F">
        <w:rPr>
          <w:rStyle w:val="FootnoteReference"/>
          <w:sz w:val="16"/>
          <w:szCs w:val="16"/>
        </w:rPr>
        <w:footnoteRef/>
      </w:r>
      <w:r w:rsidRPr="00E9526A">
        <w:rPr>
          <w:sz w:val="16"/>
          <w:szCs w:val="16"/>
        </w:rPr>
        <w:t xml:space="preserve"> </w:t>
      </w:r>
      <w:r w:rsidRPr="00E9526A">
        <w:rPr>
          <w:iCs/>
          <w:sz w:val="16"/>
          <w:szCs w:val="16"/>
        </w:rPr>
        <w:t>Corrección</w:t>
      </w:r>
      <w:proofErr w:type="gramStart"/>
      <w:r w:rsidRPr="00E9526A">
        <w:rPr>
          <w:iCs/>
          <w:sz w:val="16"/>
          <w:szCs w:val="16"/>
        </w:rPr>
        <w:t>:  El</w:t>
      </w:r>
      <w:proofErr w:type="gramEnd"/>
      <w:r w:rsidRPr="00E9526A">
        <w:rPr>
          <w:iCs/>
          <w:sz w:val="16"/>
          <w:szCs w:val="16"/>
        </w:rPr>
        <w:t xml:space="preserve"> </w:t>
      </w:r>
      <w:r w:rsidRPr="00E9526A">
        <w:rPr>
          <w:sz w:val="16"/>
          <w:szCs w:val="16"/>
        </w:rPr>
        <w:t xml:space="preserve">número promedio de días de ausencia por enfermedad por empleado en 2014 fue en realidad </w:t>
      </w:r>
      <w:r w:rsidRPr="00E9526A">
        <w:rPr>
          <w:iCs/>
          <w:sz w:val="16"/>
          <w:szCs w:val="16"/>
        </w:rPr>
        <w:t xml:space="preserve">11,2, </w:t>
      </w:r>
      <w:r>
        <w:rPr>
          <w:iCs/>
          <w:sz w:val="16"/>
          <w:szCs w:val="16"/>
        </w:rPr>
        <w:t xml:space="preserve">lo que refleja las estadísticas más precisas, y no 9 como se informó en el Informe sobre el rendimiento de los programas en </w:t>
      </w:r>
      <w:r w:rsidRPr="00E9526A">
        <w:rPr>
          <w:iCs/>
          <w:sz w:val="16"/>
          <w:szCs w:val="16"/>
        </w:rPr>
        <w:t>2014.</w:t>
      </w:r>
    </w:p>
  </w:footnote>
  <w:footnote w:id="134">
    <w:p w:rsidR="00121C2F" w:rsidRPr="005B03BE" w:rsidRDefault="00121C2F" w:rsidP="00DC1333">
      <w:pPr>
        <w:pStyle w:val="FootnoteText"/>
        <w:rPr>
          <w:sz w:val="16"/>
          <w:szCs w:val="16"/>
        </w:rPr>
      </w:pPr>
      <w:r w:rsidRPr="005B03BE">
        <w:rPr>
          <w:rStyle w:val="FootnoteReference"/>
          <w:sz w:val="16"/>
          <w:szCs w:val="16"/>
        </w:rPr>
        <w:footnoteRef/>
      </w:r>
      <w:r w:rsidRPr="005B03BE">
        <w:rPr>
          <w:sz w:val="16"/>
          <w:szCs w:val="16"/>
        </w:rPr>
        <w:t xml:space="preserve"> En relación únicamente con los miembros del personal en las categorías profesional y superiores.</w:t>
      </w:r>
    </w:p>
  </w:footnote>
  <w:footnote w:id="135">
    <w:p w:rsidR="00121C2F" w:rsidRPr="007B2775" w:rsidRDefault="00121C2F" w:rsidP="00DC1333">
      <w:pPr>
        <w:pStyle w:val="FootnoteText"/>
        <w:rPr>
          <w:sz w:val="16"/>
          <w:szCs w:val="16"/>
        </w:rPr>
      </w:pPr>
      <w:r w:rsidRPr="008D349D">
        <w:rPr>
          <w:rStyle w:val="FootnoteReference"/>
        </w:rPr>
        <w:footnoteRef/>
      </w:r>
      <w:r>
        <w:rPr>
          <w:sz w:val="16"/>
          <w:szCs w:val="16"/>
        </w:rPr>
        <w:t xml:space="preserve"> El Comité de Coordinación aún debe llegar a una conclusión respecto de si un sistema oficial debe o no sustituir el acuerdo logrado en 1975 sobre di</w:t>
      </w:r>
      <w:r w:rsidRPr="007B2775">
        <w:rPr>
          <w:sz w:val="16"/>
          <w:szCs w:val="16"/>
        </w:rPr>
        <w:t>stribución geográfica.</w:t>
      </w:r>
    </w:p>
  </w:footnote>
  <w:footnote w:id="136">
    <w:p w:rsidR="00121C2F" w:rsidRPr="00BC3B0F" w:rsidRDefault="00121C2F">
      <w:pPr>
        <w:pStyle w:val="FootnoteText"/>
        <w:rPr>
          <w:sz w:val="16"/>
          <w:szCs w:val="16"/>
        </w:rPr>
      </w:pPr>
      <w:r w:rsidRPr="00BC3B0F">
        <w:rPr>
          <w:rStyle w:val="FootnoteReference"/>
          <w:sz w:val="16"/>
          <w:szCs w:val="16"/>
        </w:rPr>
        <w:footnoteRef/>
      </w:r>
      <w:r w:rsidRPr="00BC3B0F">
        <w:rPr>
          <w:sz w:val="16"/>
          <w:szCs w:val="16"/>
        </w:rPr>
        <w:t xml:space="preserve"> </w:t>
      </w:r>
      <w:r>
        <w:rPr>
          <w:sz w:val="16"/>
          <w:szCs w:val="16"/>
        </w:rPr>
        <w:t>Para más información, véase el programa 29.</w:t>
      </w:r>
    </w:p>
  </w:footnote>
  <w:footnote w:id="137">
    <w:p w:rsidR="00121C2F" w:rsidRPr="007B2775" w:rsidRDefault="00121C2F" w:rsidP="00DC1333">
      <w:pPr>
        <w:pStyle w:val="FootnoteText"/>
        <w:rPr>
          <w:sz w:val="16"/>
          <w:szCs w:val="16"/>
        </w:rPr>
      </w:pPr>
      <w:r w:rsidRPr="007B2775">
        <w:rPr>
          <w:rStyle w:val="FootnoteReference"/>
          <w:sz w:val="16"/>
          <w:szCs w:val="16"/>
        </w:rPr>
        <w:footnoteRef/>
      </w:r>
      <w:r w:rsidRPr="007B2775">
        <w:rPr>
          <w:sz w:val="16"/>
          <w:szCs w:val="16"/>
        </w:rPr>
        <w:t xml:space="preserve"> Corrección</w:t>
      </w:r>
      <w:proofErr w:type="gramStart"/>
      <w:r w:rsidRPr="007B2775">
        <w:rPr>
          <w:sz w:val="16"/>
          <w:szCs w:val="16"/>
        </w:rPr>
        <w:t>:  en</w:t>
      </w:r>
      <w:proofErr w:type="gramEnd"/>
      <w:r w:rsidRPr="007B2775">
        <w:rPr>
          <w:sz w:val="16"/>
          <w:szCs w:val="16"/>
        </w:rPr>
        <w:t xml:space="preserve"> el presupuesto por programas </w:t>
      </w:r>
      <w:r>
        <w:rPr>
          <w:sz w:val="16"/>
          <w:szCs w:val="16"/>
        </w:rPr>
        <w:t xml:space="preserve">de </w:t>
      </w:r>
      <w:r w:rsidRPr="007B2775">
        <w:rPr>
          <w:sz w:val="16"/>
          <w:szCs w:val="16"/>
        </w:rPr>
        <w:t>2014/15 se publicó por error la fecha 31 de diciembre de 2013 en lugar de 31 de diciembre de 2015.</w:t>
      </w:r>
    </w:p>
  </w:footnote>
  <w:footnote w:id="138">
    <w:p w:rsidR="00121C2F" w:rsidRPr="00677DD2" w:rsidRDefault="00121C2F" w:rsidP="00DC1333">
      <w:pPr>
        <w:pStyle w:val="FootnoteText"/>
        <w:rPr>
          <w:sz w:val="16"/>
          <w:szCs w:val="16"/>
        </w:rPr>
      </w:pPr>
      <w:r w:rsidRPr="00677DD2">
        <w:rPr>
          <w:rStyle w:val="FootnoteReference"/>
          <w:sz w:val="16"/>
          <w:szCs w:val="16"/>
        </w:rPr>
        <w:footnoteRef/>
      </w:r>
      <w:r w:rsidRPr="00677DD2">
        <w:rPr>
          <w:sz w:val="16"/>
          <w:szCs w:val="16"/>
        </w:rPr>
        <w:t xml:space="preserve"> </w:t>
      </w:r>
      <w:r>
        <w:rPr>
          <w:sz w:val="16"/>
          <w:szCs w:val="16"/>
        </w:rPr>
        <w:t xml:space="preserve">En el Informe sobre el rendimiento de los programas en 2014:  </w:t>
      </w:r>
      <w:r w:rsidRPr="00677DD2">
        <w:rPr>
          <w:sz w:val="16"/>
          <w:szCs w:val="16"/>
        </w:rPr>
        <w:t>http://www.wipo.int/edocs/mdocs/govbody/es/a_55/a_55_6.pdf</w:t>
      </w:r>
    </w:p>
  </w:footnote>
  <w:footnote w:id="139">
    <w:p w:rsidR="00121C2F" w:rsidRPr="0071390F" w:rsidRDefault="00121C2F" w:rsidP="00DC1333">
      <w:pPr>
        <w:pStyle w:val="FootnoteText"/>
        <w:rPr>
          <w:sz w:val="16"/>
          <w:szCs w:val="16"/>
        </w:rPr>
      </w:pPr>
      <w:r w:rsidRPr="0071390F">
        <w:rPr>
          <w:rStyle w:val="FootnoteReference"/>
          <w:sz w:val="16"/>
          <w:szCs w:val="16"/>
        </w:rPr>
        <w:footnoteRef/>
      </w:r>
      <w:r w:rsidRPr="0071390F">
        <w:rPr>
          <w:sz w:val="16"/>
          <w:szCs w:val="16"/>
        </w:rPr>
        <w:t xml:space="preserve"> http://www.wipo.int/edocs/mdocs/govbody/en/a_55/a_55_inf_5.pdf </w:t>
      </w:r>
    </w:p>
  </w:footnote>
  <w:footnote w:id="140">
    <w:p w:rsidR="00121C2F" w:rsidRPr="0071390F" w:rsidRDefault="00121C2F" w:rsidP="00DC1333">
      <w:pPr>
        <w:pStyle w:val="FootnoteText"/>
        <w:rPr>
          <w:sz w:val="16"/>
          <w:szCs w:val="16"/>
        </w:rPr>
      </w:pPr>
      <w:r w:rsidRPr="0071390F">
        <w:rPr>
          <w:rStyle w:val="FootnoteReference"/>
          <w:sz w:val="16"/>
          <w:szCs w:val="16"/>
        </w:rPr>
        <w:footnoteRef/>
      </w:r>
      <w:r w:rsidRPr="0071390F">
        <w:rPr>
          <w:sz w:val="16"/>
          <w:szCs w:val="16"/>
        </w:rPr>
        <w:t xml:space="preserve"> En 2015 se modificó la terminología</w:t>
      </w:r>
      <w:r>
        <w:rPr>
          <w:sz w:val="16"/>
          <w:szCs w:val="16"/>
        </w:rPr>
        <w:t xml:space="preserve"> utilizada en la encuesta del servicio de asistencia con respecto a este indicador del rendimiento.  El término “completamente satisfecho” corresponde al término “muy satisfecho” de la referencia actualizada a fines de 2013</w:t>
      </w:r>
      <w:r w:rsidRPr="0071390F">
        <w:rPr>
          <w:sz w:val="16"/>
          <w:szCs w:val="16"/>
        </w:rPr>
        <w:t>.</w:t>
      </w:r>
    </w:p>
  </w:footnote>
  <w:footnote w:id="141">
    <w:p w:rsidR="00121C2F" w:rsidRDefault="00121C2F">
      <w:pPr>
        <w:pStyle w:val="FootnoteText"/>
      </w:pPr>
      <w:r>
        <w:rPr>
          <w:rStyle w:val="FootnoteReference"/>
        </w:rPr>
        <w:footnoteRef/>
      </w:r>
      <w:r>
        <w:t xml:space="preserve"> </w:t>
      </w:r>
      <w:hyperlink r:id="rId18" w:history="1">
        <w:r>
          <w:rPr>
            <w:rStyle w:val="Hyperlink"/>
            <w:sz w:val="16"/>
            <w:szCs w:val="16"/>
          </w:rPr>
          <w:t>Informe de la evaluación externa de la calidad de la función de auditoría.</w:t>
        </w:r>
      </w:hyperlink>
    </w:p>
  </w:footnote>
  <w:footnote w:id="142">
    <w:p w:rsidR="00121C2F" w:rsidRDefault="00121C2F">
      <w:pPr>
        <w:pStyle w:val="FootnoteText"/>
      </w:pPr>
      <w:r>
        <w:rPr>
          <w:rStyle w:val="FootnoteReference"/>
        </w:rPr>
        <w:footnoteRef/>
      </w:r>
      <w:r>
        <w:t xml:space="preserve"> </w:t>
      </w:r>
      <w:hyperlink r:id="rId19" w:history="1">
        <w:r>
          <w:rPr>
            <w:rStyle w:val="Hyperlink"/>
            <w:sz w:val="16"/>
            <w:szCs w:val="16"/>
          </w:rPr>
          <w:t>Informe de la evaluación externa de la calidad de la función de evaluación.</w:t>
        </w:r>
      </w:hyperlink>
    </w:p>
  </w:footnote>
  <w:footnote w:id="143">
    <w:p w:rsidR="00121C2F" w:rsidRDefault="00121C2F">
      <w:pPr>
        <w:pStyle w:val="FootnoteText"/>
      </w:pPr>
      <w:r>
        <w:rPr>
          <w:rStyle w:val="FootnoteReference"/>
        </w:rPr>
        <w:footnoteRef/>
      </w:r>
      <w:r>
        <w:t xml:space="preserve"> </w:t>
      </w:r>
      <w:hyperlink r:id="rId20" w:history="1">
        <w:r>
          <w:rPr>
            <w:rStyle w:val="Hyperlink"/>
            <w:sz w:val="16"/>
            <w:szCs w:val="16"/>
          </w:rPr>
          <w:t>Informe de la evaluación externa de la calidad de la función de investigación.</w:t>
        </w:r>
      </w:hyperlink>
    </w:p>
  </w:footnote>
  <w:footnote w:id="144">
    <w:p w:rsidR="00121C2F" w:rsidRPr="00B5202B" w:rsidRDefault="00121C2F">
      <w:pPr>
        <w:pStyle w:val="FootnoteText"/>
        <w:rPr>
          <w:sz w:val="16"/>
          <w:szCs w:val="16"/>
        </w:rPr>
      </w:pPr>
      <w:r>
        <w:rPr>
          <w:rStyle w:val="FootnoteReference"/>
        </w:rPr>
        <w:footnoteRef/>
      </w:r>
      <w:r>
        <w:t xml:space="preserve"> </w:t>
      </w:r>
      <w:r w:rsidRPr="00B5202B">
        <w:rPr>
          <w:sz w:val="16"/>
          <w:szCs w:val="16"/>
        </w:rPr>
        <w:t>Para auditoría, las normas del Instituto de Auditores Internos.  Para evaluación, las normas y las reglas del Grupo de Evaluación de las Naciones Unidas (UNEG).  Para investigación, las Dire</w:t>
      </w:r>
      <w:r>
        <w:rPr>
          <w:sz w:val="16"/>
          <w:szCs w:val="16"/>
        </w:rPr>
        <w:t xml:space="preserve">ctrices uniformes </w:t>
      </w:r>
      <w:r w:rsidRPr="00B5202B">
        <w:rPr>
          <w:sz w:val="16"/>
          <w:szCs w:val="16"/>
        </w:rPr>
        <w:t xml:space="preserve">para las investigaciones de la </w:t>
      </w:r>
      <w:r w:rsidRPr="00B5202B">
        <w:rPr>
          <w:rStyle w:val="preferred"/>
          <w:sz w:val="16"/>
          <w:szCs w:val="16"/>
        </w:rPr>
        <w:t>Conferencia de Investigadores Internacionales.</w:t>
      </w:r>
    </w:p>
  </w:footnote>
  <w:footnote w:id="145">
    <w:p w:rsidR="00121C2F" w:rsidRPr="00664FB0" w:rsidRDefault="00121C2F">
      <w:pPr>
        <w:pStyle w:val="FootnoteText"/>
        <w:rPr>
          <w:sz w:val="16"/>
          <w:szCs w:val="16"/>
        </w:rPr>
      </w:pPr>
      <w:r>
        <w:rPr>
          <w:rStyle w:val="FootnoteReference"/>
        </w:rPr>
        <w:footnoteRef/>
      </w:r>
      <w:r>
        <w:t xml:space="preserve"> </w:t>
      </w:r>
      <w:r w:rsidRPr="00664FB0">
        <w:rPr>
          <w:sz w:val="16"/>
          <w:szCs w:val="16"/>
        </w:rPr>
        <w:t>Treinta de las 186 recomendaciones provinieron de la evaluación externa de la calidad de las funciones de auditoría y evaluación de la DSI.</w:t>
      </w:r>
    </w:p>
  </w:footnote>
  <w:footnote w:id="146">
    <w:p w:rsidR="00121C2F" w:rsidRPr="00232858" w:rsidRDefault="00121C2F">
      <w:pPr>
        <w:pStyle w:val="FootnoteText"/>
        <w:rPr>
          <w:sz w:val="16"/>
          <w:szCs w:val="16"/>
        </w:rPr>
      </w:pPr>
      <w:r w:rsidRPr="00232858">
        <w:rPr>
          <w:rStyle w:val="FootnoteReference"/>
          <w:sz w:val="16"/>
          <w:szCs w:val="16"/>
        </w:rPr>
        <w:footnoteRef/>
      </w:r>
      <w:r w:rsidRPr="00232858">
        <w:rPr>
          <w:sz w:val="16"/>
          <w:szCs w:val="16"/>
        </w:rPr>
        <w:t xml:space="preserve"> </w:t>
      </w:r>
      <w:r>
        <w:rPr>
          <w:sz w:val="16"/>
          <w:szCs w:val="16"/>
        </w:rPr>
        <w:t>i) E</w:t>
      </w:r>
      <w:r w:rsidRPr="00232858">
        <w:rPr>
          <w:sz w:val="16"/>
          <w:szCs w:val="16"/>
        </w:rPr>
        <w:t>l Foro Mundial de la UIT en mayo de 2015;  ii) el Centro Internacional para la Seguridad</w:t>
      </w:r>
      <w:r>
        <w:rPr>
          <w:sz w:val="16"/>
          <w:szCs w:val="16"/>
        </w:rPr>
        <w:t xml:space="preserve"> en el Deporte en septiembre de </w:t>
      </w:r>
      <w:r w:rsidRPr="00232858">
        <w:rPr>
          <w:sz w:val="16"/>
          <w:szCs w:val="16"/>
        </w:rPr>
        <w:t xml:space="preserve">2015;  iii) la inauguración por Suiza del Geneva </w:t>
      </w:r>
      <w:proofErr w:type="spellStart"/>
      <w:r w:rsidRPr="00232858">
        <w:rPr>
          <w:sz w:val="16"/>
          <w:szCs w:val="16"/>
        </w:rPr>
        <w:t>Water</w:t>
      </w:r>
      <w:proofErr w:type="spellEnd"/>
      <w:r w:rsidRPr="00232858">
        <w:rPr>
          <w:sz w:val="16"/>
          <w:szCs w:val="16"/>
        </w:rPr>
        <w:t xml:space="preserve"> </w:t>
      </w:r>
      <w:proofErr w:type="spellStart"/>
      <w:r w:rsidRPr="00232858">
        <w:rPr>
          <w:sz w:val="16"/>
          <w:szCs w:val="16"/>
        </w:rPr>
        <w:t>Hub</w:t>
      </w:r>
      <w:proofErr w:type="spellEnd"/>
      <w:r w:rsidRPr="00232858">
        <w:rPr>
          <w:sz w:val="16"/>
          <w:szCs w:val="16"/>
        </w:rPr>
        <w:t xml:space="preserve"> en noviembre de 2015;  iv) la ceremonia de entrega de diplomas federales de los bomberos de Suiza (</w:t>
      </w:r>
      <w:proofErr w:type="spellStart"/>
      <w:r w:rsidRPr="00232858">
        <w:rPr>
          <w:sz w:val="16"/>
          <w:szCs w:val="16"/>
        </w:rPr>
        <w:t>Ecole</w:t>
      </w:r>
      <w:proofErr w:type="spellEnd"/>
      <w:r w:rsidRPr="00232858">
        <w:rPr>
          <w:sz w:val="16"/>
          <w:szCs w:val="16"/>
        </w:rPr>
        <w:t xml:space="preserve"> latine)</w:t>
      </w:r>
      <w:r>
        <w:rPr>
          <w:sz w:val="16"/>
          <w:szCs w:val="16"/>
        </w:rPr>
        <w:t xml:space="preserve"> en noviembre de 2015, y </w:t>
      </w:r>
      <w:r w:rsidRPr="00232858">
        <w:rPr>
          <w:sz w:val="16"/>
          <w:szCs w:val="16"/>
        </w:rPr>
        <w:t>v) la Reunión Anual de la Organización Internacional para las Migraciones (OIM) en noviembre de 2015.</w:t>
      </w:r>
    </w:p>
  </w:footnote>
  <w:footnote w:id="147">
    <w:p w:rsidR="00121C2F" w:rsidRPr="000E29C2" w:rsidRDefault="00121C2F">
      <w:pPr>
        <w:pStyle w:val="FootnoteText"/>
        <w:rPr>
          <w:sz w:val="16"/>
          <w:szCs w:val="16"/>
        </w:rPr>
      </w:pPr>
      <w:r w:rsidRPr="000E29C2">
        <w:rPr>
          <w:rStyle w:val="FootnoteReference"/>
          <w:sz w:val="16"/>
          <w:szCs w:val="16"/>
        </w:rPr>
        <w:footnoteRef/>
      </w:r>
      <w:r w:rsidRPr="000E29C2">
        <w:rPr>
          <w:sz w:val="16"/>
          <w:szCs w:val="16"/>
        </w:rPr>
        <w:t xml:space="preserve"> </w:t>
      </w:r>
      <w:r>
        <w:rPr>
          <w:sz w:val="16"/>
          <w:szCs w:val="16"/>
        </w:rPr>
        <w:t>Corrección</w:t>
      </w:r>
      <w:proofErr w:type="gramStart"/>
      <w:r>
        <w:rPr>
          <w:sz w:val="16"/>
          <w:szCs w:val="16"/>
        </w:rPr>
        <w:t>:  La</w:t>
      </w:r>
      <w:proofErr w:type="gramEnd"/>
      <w:r>
        <w:rPr>
          <w:sz w:val="16"/>
          <w:szCs w:val="16"/>
        </w:rPr>
        <w:t xml:space="preserve"> referencia se ha actualizado a fin de reflejar las cifras más recientes.  El costo por página a finales de 2013 era 0,20 francos suizos, y no 0,19 francos suizos como se informó en el Informe sobre el rendimiento de los programas en 2014.</w:t>
      </w:r>
    </w:p>
  </w:footnote>
  <w:footnote w:id="148">
    <w:p w:rsidR="00121C2F" w:rsidRPr="00070E13" w:rsidRDefault="00121C2F">
      <w:pPr>
        <w:pStyle w:val="FootnoteText"/>
        <w:rPr>
          <w:sz w:val="16"/>
          <w:szCs w:val="16"/>
        </w:rPr>
      </w:pPr>
      <w:r w:rsidRPr="00070E13">
        <w:rPr>
          <w:rStyle w:val="FootnoteReference"/>
          <w:sz w:val="16"/>
          <w:szCs w:val="16"/>
        </w:rPr>
        <w:footnoteRef/>
      </w:r>
      <w:r w:rsidRPr="00070E13">
        <w:rPr>
          <w:sz w:val="16"/>
          <w:szCs w:val="16"/>
        </w:rPr>
        <w:t xml:space="preserve"> </w:t>
      </w:r>
      <w:proofErr w:type="spellStart"/>
      <w:r w:rsidRPr="00070E13">
        <w:rPr>
          <w:i/>
          <w:sz w:val="16"/>
          <w:szCs w:val="16"/>
        </w:rPr>
        <w:t>Idem</w:t>
      </w:r>
      <w:proofErr w:type="spellEnd"/>
      <w:r>
        <w:rPr>
          <w:sz w:val="16"/>
          <w:szCs w:val="16"/>
        </w:rPr>
        <w:t>.</w:t>
      </w:r>
    </w:p>
  </w:footnote>
  <w:footnote w:id="149">
    <w:p w:rsidR="00121C2F" w:rsidRPr="00070E13" w:rsidRDefault="00121C2F">
      <w:pPr>
        <w:pStyle w:val="FootnoteText"/>
        <w:rPr>
          <w:sz w:val="16"/>
          <w:szCs w:val="16"/>
        </w:rPr>
      </w:pPr>
      <w:r w:rsidRPr="00070E13">
        <w:rPr>
          <w:rStyle w:val="FootnoteReference"/>
          <w:sz w:val="16"/>
          <w:szCs w:val="16"/>
        </w:rPr>
        <w:footnoteRef/>
      </w:r>
      <w:r w:rsidRPr="00070E13">
        <w:rPr>
          <w:sz w:val="16"/>
          <w:szCs w:val="16"/>
        </w:rPr>
        <w:t xml:space="preserve"> </w:t>
      </w:r>
      <w:r>
        <w:rPr>
          <w:sz w:val="16"/>
          <w:szCs w:val="16"/>
        </w:rPr>
        <w:t>Corrección</w:t>
      </w:r>
      <w:proofErr w:type="gramStart"/>
      <w:r>
        <w:rPr>
          <w:sz w:val="16"/>
          <w:szCs w:val="16"/>
        </w:rPr>
        <w:t>:  La</w:t>
      </w:r>
      <w:proofErr w:type="gramEnd"/>
      <w:r>
        <w:rPr>
          <w:sz w:val="16"/>
          <w:szCs w:val="16"/>
        </w:rPr>
        <w:t xml:space="preserve"> referencia se ha actualizado a fin de reflejar las cifras más recientes.  El costo por página en 2014 fue 0,15 francos suizos, y no 0,14 francos suizos como se informó en el Informe sobre el rendimiento de los programas en 2014.</w:t>
      </w:r>
    </w:p>
  </w:footnote>
  <w:footnote w:id="150">
    <w:p w:rsidR="00121C2F" w:rsidRPr="00544449" w:rsidRDefault="00121C2F" w:rsidP="00217DBF">
      <w:pPr>
        <w:pStyle w:val="FootnoteText"/>
        <w:rPr>
          <w:sz w:val="16"/>
          <w:szCs w:val="16"/>
          <w:lang w:val="es-ES_tradnl"/>
        </w:rPr>
      </w:pPr>
      <w:r w:rsidRPr="00C50E41">
        <w:rPr>
          <w:rStyle w:val="FootnoteReference"/>
          <w:sz w:val="16"/>
          <w:szCs w:val="16"/>
        </w:rPr>
        <w:footnoteRef/>
      </w:r>
      <w:r w:rsidRPr="00C50E41">
        <w:rPr>
          <w:sz w:val="16"/>
          <w:szCs w:val="16"/>
          <w:lang w:val="es-ES_tradnl"/>
        </w:rPr>
        <w:t xml:space="preserve"> </w:t>
      </w:r>
      <w:r w:rsidRPr="00544449">
        <w:rPr>
          <w:sz w:val="16"/>
          <w:szCs w:val="16"/>
        </w:rPr>
        <w:t>Examen del proceso presupuestario aplicado a los proyectos propuestos por el Comité de Desarrollo y Propiedad Intelectual (CDIP) para dar aplicación a las recomendaciones de la Agenda para el Desarrollo (A/48/5 Rev.)</w:t>
      </w:r>
      <w:r w:rsidRPr="00544449">
        <w:rPr>
          <w:sz w:val="16"/>
          <w:szCs w:val="16"/>
          <w:lang w:val="es-ES_tradnl"/>
        </w:rPr>
        <w:t>.</w:t>
      </w:r>
    </w:p>
  </w:footnote>
  <w:footnote w:id="151">
    <w:p w:rsidR="00121C2F" w:rsidRPr="0017760C" w:rsidRDefault="00121C2F" w:rsidP="003E311F">
      <w:pPr>
        <w:pStyle w:val="FootnoteText"/>
        <w:rPr>
          <w:sz w:val="16"/>
          <w:szCs w:val="16"/>
        </w:rPr>
      </w:pPr>
      <w:r w:rsidRPr="00FE1AB9">
        <w:rPr>
          <w:rStyle w:val="FootnoteReference"/>
          <w:sz w:val="16"/>
          <w:szCs w:val="16"/>
        </w:rPr>
        <w:footnoteRef/>
      </w:r>
      <w:r w:rsidRPr="0017760C">
        <w:rPr>
          <w:sz w:val="16"/>
          <w:szCs w:val="16"/>
        </w:rPr>
        <w:t xml:space="preserve"> </w:t>
      </w:r>
      <w:r w:rsidRPr="007B2775">
        <w:rPr>
          <w:sz w:val="16"/>
          <w:szCs w:val="16"/>
          <w:lang w:val="es-ES_tradnl"/>
        </w:rPr>
        <w:t>Fecha prevista de finalización</w:t>
      </w:r>
      <w:r>
        <w:rPr>
          <w:color w:val="000000"/>
          <w:sz w:val="16"/>
          <w:szCs w:val="16"/>
        </w:rPr>
        <w:t>:  marzo de</w:t>
      </w:r>
      <w:r w:rsidRPr="0017760C">
        <w:rPr>
          <w:color w:val="000000"/>
          <w:sz w:val="16"/>
          <w:szCs w:val="16"/>
        </w:rPr>
        <w:t xml:space="preserve"> 2016</w:t>
      </w:r>
    </w:p>
  </w:footnote>
  <w:footnote w:id="152">
    <w:p w:rsidR="00121C2F" w:rsidRPr="00725EF0" w:rsidRDefault="00121C2F" w:rsidP="003E311F">
      <w:pPr>
        <w:pStyle w:val="FootnoteText"/>
        <w:rPr>
          <w:sz w:val="16"/>
          <w:szCs w:val="16"/>
        </w:rPr>
      </w:pPr>
      <w:r w:rsidRPr="006D0FA3">
        <w:rPr>
          <w:rStyle w:val="FootnoteReference"/>
          <w:sz w:val="16"/>
          <w:szCs w:val="16"/>
        </w:rPr>
        <w:footnoteRef/>
      </w:r>
      <w:r w:rsidRPr="00725EF0">
        <w:rPr>
          <w:sz w:val="16"/>
          <w:szCs w:val="16"/>
        </w:rPr>
        <w:t xml:space="preserve"> </w:t>
      </w:r>
      <w:r>
        <w:rPr>
          <w:sz w:val="16"/>
          <w:szCs w:val="16"/>
        </w:rPr>
        <w:t>El Fondo Fiduciario se constituyó de acuerdo con un memorando de entendimiento entre la OMPI y el PNUD firmado en octubre de 2015 y aplicado en el marco de un proyecto conjunto de la Financiadora de Estudios y Proyectos del Brasil</w:t>
      </w:r>
      <w:r w:rsidRPr="00725EF0">
        <w:rPr>
          <w:sz w:val="16"/>
          <w:szCs w:val="16"/>
        </w:rPr>
        <w:t xml:space="preserve"> (FINEP)</w:t>
      </w:r>
      <w:r>
        <w:rPr>
          <w:sz w:val="16"/>
          <w:szCs w:val="16"/>
        </w:rPr>
        <w:t xml:space="preserve"> y el PNUD-Brasil</w:t>
      </w:r>
      <w:r w:rsidRPr="00725EF0">
        <w:rPr>
          <w:sz w:val="16"/>
          <w:szCs w:val="16"/>
        </w:rPr>
        <w:t xml:space="preserve"> (PNUD</w:t>
      </w:r>
      <w:proofErr w:type="gramStart"/>
      <w:r>
        <w:rPr>
          <w:sz w:val="16"/>
          <w:szCs w:val="16"/>
        </w:rPr>
        <w:t xml:space="preserve">:  </w:t>
      </w:r>
      <w:r w:rsidRPr="00725EF0">
        <w:rPr>
          <w:sz w:val="16"/>
          <w:szCs w:val="16"/>
        </w:rPr>
        <w:t>BRA</w:t>
      </w:r>
      <w:proofErr w:type="gramEnd"/>
      <w:r w:rsidRPr="00725EF0">
        <w:rPr>
          <w:sz w:val="16"/>
          <w:szCs w:val="16"/>
        </w:rPr>
        <w:t xml:space="preserve"> 12/001 </w:t>
      </w:r>
      <w:proofErr w:type="spellStart"/>
      <w:r w:rsidRPr="00725EF0">
        <w:rPr>
          <w:i/>
          <w:sz w:val="16"/>
          <w:szCs w:val="16"/>
        </w:rPr>
        <w:t>Promoção</w:t>
      </w:r>
      <w:proofErr w:type="spellEnd"/>
      <w:r w:rsidRPr="00725EF0">
        <w:rPr>
          <w:i/>
          <w:sz w:val="16"/>
          <w:szCs w:val="16"/>
        </w:rPr>
        <w:t xml:space="preserve"> da </w:t>
      </w:r>
      <w:proofErr w:type="spellStart"/>
      <w:r w:rsidRPr="00725EF0">
        <w:rPr>
          <w:i/>
          <w:sz w:val="16"/>
          <w:szCs w:val="16"/>
        </w:rPr>
        <w:t>Inovação</w:t>
      </w:r>
      <w:proofErr w:type="spellEnd"/>
      <w:r w:rsidRPr="00725EF0">
        <w:rPr>
          <w:i/>
          <w:sz w:val="16"/>
          <w:szCs w:val="16"/>
        </w:rPr>
        <w:t xml:space="preserve"> para o </w:t>
      </w:r>
      <w:proofErr w:type="spellStart"/>
      <w:r w:rsidRPr="00725EF0">
        <w:rPr>
          <w:i/>
          <w:sz w:val="16"/>
          <w:szCs w:val="16"/>
        </w:rPr>
        <w:t>Desenvolvimento</w:t>
      </w:r>
      <w:proofErr w:type="spellEnd"/>
      <w:r w:rsidRPr="00725EF0">
        <w:rPr>
          <w:i/>
          <w:sz w:val="16"/>
          <w:szCs w:val="16"/>
        </w:rPr>
        <w:t xml:space="preserve"> </w:t>
      </w:r>
      <w:proofErr w:type="spellStart"/>
      <w:r w:rsidRPr="00725EF0">
        <w:rPr>
          <w:i/>
          <w:sz w:val="16"/>
          <w:szCs w:val="16"/>
        </w:rPr>
        <w:t>Sustentável</w:t>
      </w:r>
      <w:proofErr w:type="spellEnd"/>
      <w:r w:rsidRPr="00725EF0">
        <w:rPr>
          <w:sz w:val="16"/>
          <w:szCs w:val="16"/>
        </w:rPr>
        <w:t>).</w:t>
      </w:r>
    </w:p>
  </w:footnote>
  <w:footnote w:id="153">
    <w:p w:rsidR="00121C2F" w:rsidRPr="00AA34BC" w:rsidRDefault="00121C2F" w:rsidP="003E311F">
      <w:pPr>
        <w:pStyle w:val="FootnoteText"/>
        <w:rPr>
          <w:sz w:val="16"/>
          <w:szCs w:val="16"/>
        </w:rPr>
      </w:pPr>
      <w:r w:rsidRPr="00605F17">
        <w:rPr>
          <w:rStyle w:val="FootnoteReference"/>
          <w:sz w:val="16"/>
          <w:szCs w:val="16"/>
        </w:rPr>
        <w:footnoteRef/>
      </w:r>
      <w:r w:rsidRPr="00AA34BC">
        <w:rPr>
          <w:sz w:val="16"/>
          <w:szCs w:val="16"/>
        </w:rPr>
        <w:t xml:space="preserve"> Proyecto </w:t>
      </w:r>
      <w:r>
        <w:rPr>
          <w:sz w:val="16"/>
          <w:szCs w:val="16"/>
        </w:rPr>
        <w:t>comenzado</w:t>
      </w:r>
      <w:r w:rsidRPr="00AA34BC">
        <w:rPr>
          <w:sz w:val="16"/>
          <w:szCs w:val="16"/>
        </w:rPr>
        <w:t xml:space="preserve"> en agosto de 2014.</w:t>
      </w:r>
    </w:p>
  </w:footnote>
  <w:footnote w:id="154">
    <w:p w:rsidR="00121C2F" w:rsidRPr="00AA34BC" w:rsidRDefault="00121C2F" w:rsidP="003E311F">
      <w:pPr>
        <w:pStyle w:val="FootnoteText"/>
      </w:pPr>
      <w:r w:rsidRPr="00605F17">
        <w:rPr>
          <w:rStyle w:val="FootnoteReference"/>
          <w:sz w:val="16"/>
          <w:szCs w:val="16"/>
        </w:rPr>
        <w:footnoteRef/>
      </w:r>
      <w:r w:rsidRPr="00AA34BC">
        <w:rPr>
          <w:sz w:val="16"/>
          <w:szCs w:val="16"/>
        </w:rPr>
        <w:t xml:space="preserve"> Proyecto </w:t>
      </w:r>
      <w:r>
        <w:rPr>
          <w:sz w:val="16"/>
          <w:szCs w:val="16"/>
        </w:rPr>
        <w:t>comenzado</w:t>
      </w:r>
      <w:r w:rsidRPr="00AA34BC">
        <w:rPr>
          <w:sz w:val="16"/>
          <w:szCs w:val="16"/>
        </w:rPr>
        <w:t xml:space="preserve"> en </w:t>
      </w:r>
      <w:r>
        <w:rPr>
          <w:sz w:val="16"/>
          <w:szCs w:val="16"/>
        </w:rPr>
        <w:t>septiembre</w:t>
      </w:r>
      <w:r w:rsidRPr="00AA34BC">
        <w:rPr>
          <w:sz w:val="16"/>
          <w:szCs w:val="16"/>
        </w:rPr>
        <w:t xml:space="preserve"> de 2014.</w:t>
      </w:r>
    </w:p>
  </w:footnote>
  <w:footnote w:id="155">
    <w:p w:rsidR="00121C2F" w:rsidRPr="009E37FC" w:rsidRDefault="00121C2F" w:rsidP="003E311F">
      <w:pPr>
        <w:pStyle w:val="FootnoteText"/>
        <w:rPr>
          <w:sz w:val="16"/>
          <w:szCs w:val="16"/>
        </w:rPr>
      </w:pPr>
      <w:r w:rsidRPr="00F150B4">
        <w:rPr>
          <w:rStyle w:val="FootnoteReference"/>
          <w:sz w:val="16"/>
          <w:szCs w:val="16"/>
        </w:rPr>
        <w:footnoteRef/>
      </w:r>
      <w:r w:rsidRPr="009E37FC">
        <w:rPr>
          <w:sz w:val="16"/>
          <w:szCs w:val="16"/>
        </w:rPr>
        <w:t xml:space="preserve"> </w:t>
      </w:r>
      <w:hyperlink r:id="rId21" w:history="1">
        <w:r w:rsidRPr="009E37FC">
          <w:rPr>
            <w:rStyle w:val="Hyperlink"/>
            <w:sz w:val="16"/>
            <w:szCs w:val="16"/>
          </w:rPr>
          <w:t>http://www.wipo.int/publications/en/details.jsp?id=259&amp;plang=EN</w:t>
        </w:r>
      </w:hyperlink>
      <w:r w:rsidRPr="009E37FC">
        <w:rPr>
          <w:rStyle w:val="Strong"/>
          <w:sz w:val="16"/>
          <w:szCs w:val="16"/>
        </w:rPr>
        <w:t xml:space="preserve"> </w:t>
      </w:r>
    </w:p>
  </w:footnote>
  <w:footnote w:id="156">
    <w:p w:rsidR="00121C2F" w:rsidRPr="00D672B3" w:rsidRDefault="00121C2F" w:rsidP="003E311F">
      <w:pPr>
        <w:pStyle w:val="FootnoteText"/>
      </w:pPr>
      <w:r w:rsidRPr="00152E3E">
        <w:rPr>
          <w:rStyle w:val="FootnoteReference"/>
          <w:sz w:val="16"/>
          <w:szCs w:val="16"/>
        </w:rPr>
        <w:footnoteRef/>
      </w:r>
      <w:r w:rsidRPr="00D672B3">
        <w:rPr>
          <w:sz w:val="16"/>
          <w:szCs w:val="16"/>
        </w:rPr>
        <w:t xml:space="preserve"> </w:t>
      </w:r>
      <w:r>
        <w:rPr>
          <w:sz w:val="16"/>
          <w:szCs w:val="16"/>
        </w:rPr>
        <w:t>En octubre de 2012</w:t>
      </w:r>
      <w:r w:rsidRPr="00D672B3">
        <w:rPr>
          <w:sz w:val="16"/>
          <w:szCs w:val="16"/>
        </w:rPr>
        <w:t xml:space="preserve"> se firmó un memorando </w:t>
      </w:r>
      <w:r>
        <w:rPr>
          <w:sz w:val="16"/>
          <w:szCs w:val="16"/>
        </w:rPr>
        <w:t>por el que se creaba el Fondo F</w:t>
      </w:r>
      <w:r w:rsidRPr="00D672B3">
        <w:rPr>
          <w:sz w:val="16"/>
          <w:szCs w:val="16"/>
        </w:rPr>
        <w:t>iduciario IBERO como instrumento financiero</w:t>
      </w:r>
      <w:r>
        <w:rPr>
          <w:sz w:val="16"/>
          <w:szCs w:val="16"/>
        </w:rPr>
        <w:t xml:space="preserve"> </w:t>
      </w:r>
      <w:r w:rsidRPr="00D672B3">
        <w:rPr>
          <w:sz w:val="16"/>
          <w:szCs w:val="16"/>
        </w:rPr>
        <w:t>del Programa Iberoamericano de propiedad industrial</w:t>
      </w:r>
      <w:r>
        <w:rPr>
          <w:sz w:val="16"/>
          <w:szCs w:val="16"/>
        </w:rPr>
        <w:t>.  El memorando se renovó en octubre de 2015.</w:t>
      </w:r>
    </w:p>
  </w:footnote>
  <w:footnote w:id="157">
    <w:p w:rsidR="00121C2F" w:rsidRPr="00D707B5" w:rsidRDefault="00121C2F" w:rsidP="003E311F">
      <w:pPr>
        <w:pStyle w:val="FootnoteText"/>
        <w:rPr>
          <w:sz w:val="16"/>
          <w:szCs w:val="16"/>
        </w:rPr>
      </w:pPr>
      <w:r w:rsidRPr="007B0988">
        <w:rPr>
          <w:rStyle w:val="FootnoteReference"/>
          <w:sz w:val="16"/>
          <w:szCs w:val="16"/>
        </w:rPr>
        <w:footnoteRef/>
      </w:r>
      <w:r w:rsidRPr="00D707B5">
        <w:rPr>
          <w:sz w:val="16"/>
          <w:szCs w:val="16"/>
        </w:rPr>
        <w:t xml:space="preserve"> </w:t>
      </w:r>
      <w:r>
        <w:rPr>
          <w:sz w:val="16"/>
          <w:szCs w:val="16"/>
        </w:rPr>
        <w:t>Comenzó en</w:t>
      </w:r>
      <w:r w:rsidRPr="00D707B5">
        <w:rPr>
          <w:sz w:val="16"/>
          <w:szCs w:val="16"/>
        </w:rPr>
        <w:t xml:space="preserve"> junio de 2013.</w:t>
      </w:r>
    </w:p>
  </w:footnote>
  <w:footnote w:id="158">
    <w:p w:rsidR="00121C2F" w:rsidRPr="009E37FC" w:rsidRDefault="00121C2F" w:rsidP="003E311F">
      <w:pPr>
        <w:pStyle w:val="FootnoteText"/>
        <w:rPr>
          <w:sz w:val="16"/>
          <w:szCs w:val="16"/>
        </w:rPr>
      </w:pPr>
      <w:r w:rsidRPr="007B0988">
        <w:rPr>
          <w:rStyle w:val="FootnoteReference"/>
          <w:sz w:val="16"/>
          <w:szCs w:val="16"/>
        </w:rPr>
        <w:footnoteRef/>
      </w:r>
      <w:r w:rsidRPr="009E37FC">
        <w:rPr>
          <w:sz w:val="16"/>
          <w:szCs w:val="16"/>
        </w:rPr>
        <w:t xml:space="preserve"> </w:t>
      </w:r>
      <w:hyperlink r:id="rId22" w:history="1">
        <w:r w:rsidRPr="009E37FC">
          <w:rPr>
            <w:rStyle w:val="Hyperlink"/>
            <w:sz w:val="16"/>
            <w:szCs w:val="16"/>
          </w:rPr>
          <w:t>http://www.uibm.gov.it/attachments/FINAL%20Guide_for_IP%20Agri-food%20SME%20_Italian_publication_EN_GBA-Jaiya.pdf</w:t>
        </w:r>
      </w:hyperlink>
      <w:r w:rsidRPr="009E37FC">
        <w:rPr>
          <w:sz w:val="16"/>
          <w:szCs w:val="16"/>
        </w:rPr>
        <w:t xml:space="preserve"> </w:t>
      </w:r>
    </w:p>
  </w:footnote>
  <w:footnote w:id="159">
    <w:p w:rsidR="00121C2F" w:rsidRPr="00100BA3" w:rsidRDefault="00121C2F" w:rsidP="003E311F">
      <w:pPr>
        <w:pStyle w:val="FootnoteText"/>
      </w:pPr>
      <w:r w:rsidRPr="007B0988">
        <w:rPr>
          <w:rStyle w:val="FootnoteReference"/>
          <w:sz w:val="16"/>
          <w:szCs w:val="16"/>
        </w:rPr>
        <w:footnoteRef/>
      </w:r>
      <w:r w:rsidRPr="00100BA3">
        <w:rPr>
          <w:sz w:val="16"/>
          <w:szCs w:val="16"/>
        </w:rPr>
        <w:t xml:space="preserve"> </w:t>
      </w:r>
      <w:r>
        <w:rPr>
          <w:sz w:val="16"/>
          <w:szCs w:val="16"/>
        </w:rPr>
        <w:t>Comenzó en</w:t>
      </w:r>
      <w:r w:rsidRPr="00100BA3">
        <w:rPr>
          <w:sz w:val="16"/>
          <w:szCs w:val="16"/>
        </w:rPr>
        <w:t xml:space="preserve"> marzo de 2014.</w:t>
      </w:r>
    </w:p>
  </w:footnote>
  <w:footnote w:id="160">
    <w:p w:rsidR="00121C2F" w:rsidRPr="00100BA3" w:rsidRDefault="00121C2F" w:rsidP="003E311F">
      <w:pPr>
        <w:pStyle w:val="FootnoteText"/>
        <w:rPr>
          <w:sz w:val="16"/>
          <w:szCs w:val="16"/>
        </w:rPr>
      </w:pPr>
      <w:r w:rsidRPr="00062D72">
        <w:rPr>
          <w:rStyle w:val="FootnoteReference"/>
          <w:sz w:val="16"/>
          <w:szCs w:val="16"/>
        </w:rPr>
        <w:footnoteRef/>
      </w:r>
      <w:r w:rsidRPr="00100BA3">
        <w:rPr>
          <w:sz w:val="16"/>
          <w:szCs w:val="16"/>
        </w:rPr>
        <w:t xml:space="preserve"> </w:t>
      </w:r>
      <w:r>
        <w:rPr>
          <w:sz w:val="16"/>
          <w:szCs w:val="16"/>
        </w:rPr>
        <w:t>Comenzó en</w:t>
      </w:r>
      <w:r w:rsidRPr="00100BA3">
        <w:rPr>
          <w:sz w:val="16"/>
          <w:szCs w:val="16"/>
        </w:rPr>
        <w:t xml:space="preserve"> octubre de 2014</w:t>
      </w:r>
    </w:p>
  </w:footnote>
  <w:footnote w:id="161">
    <w:p w:rsidR="00121C2F" w:rsidRPr="00435F4C" w:rsidRDefault="00121C2F" w:rsidP="003E311F">
      <w:pPr>
        <w:pStyle w:val="FootnoteText"/>
      </w:pPr>
      <w:r w:rsidRPr="00062D72">
        <w:rPr>
          <w:rStyle w:val="FootnoteReference"/>
          <w:sz w:val="16"/>
          <w:szCs w:val="16"/>
        </w:rPr>
        <w:footnoteRef/>
      </w:r>
      <w:r w:rsidRPr="00435F4C">
        <w:rPr>
          <w:sz w:val="16"/>
          <w:szCs w:val="16"/>
        </w:rPr>
        <w:t xml:space="preserve"> </w:t>
      </w:r>
      <w:r>
        <w:rPr>
          <w:sz w:val="16"/>
          <w:szCs w:val="16"/>
        </w:rPr>
        <w:t>Comenzó en</w:t>
      </w:r>
      <w:r w:rsidRPr="00435F4C">
        <w:rPr>
          <w:sz w:val="16"/>
          <w:szCs w:val="16"/>
        </w:rPr>
        <w:t xml:space="preserve"> febrero de 2013</w:t>
      </w:r>
    </w:p>
  </w:footnote>
  <w:footnote w:id="162">
    <w:p w:rsidR="00121C2F" w:rsidRPr="00435F4C" w:rsidRDefault="00121C2F" w:rsidP="003E311F">
      <w:pPr>
        <w:pStyle w:val="FootnoteText"/>
        <w:rPr>
          <w:sz w:val="16"/>
          <w:szCs w:val="16"/>
        </w:rPr>
      </w:pPr>
      <w:r w:rsidRPr="00A12ABB">
        <w:rPr>
          <w:rStyle w:val="FootnoteReference"/>
          <w:sz w:val="16"/>
          <w:szCs w:val="16"/>
        </w:rPr>
        <w:footnoteRef/>
      </w:r>
      <w:r w:rsidRPr="00435F4C">
        <w:rPr>
          <w:sz w:val="16"/>
          <w:szCs w:val="16"/>
        </w:rPr>
        <w:t xml:space="preserve"> </w:t>
      </w:r>
      <w:r>
        <w:rPr>
          <w:sz w:val="16"/>
          <w:szCs w:val="16"/>
        </w:rPr>
        <w:t>Comenzó</w:t>
      </w:r>
      <w:r w:rsidRPr="00435F4C">
        <w:rPr>
          <w:sz w:val="16"/>
          <w:szCs w:val="16"/>
        </w:rPr>
        <w:t xml:space="preserve"> en octubre de 2014.</w:t>
      </w:r>
    </w:p>
  </w:footnote>
  <w:footnote w:id="163">
    <w:p w:rsidR="00121C2F" w:rsidRPr="00E71D35" w:rsidRDefault="00121C2F" w:rsidP="003E311F">
      <w:pPr>
        <w:pStyle w:val="FootnoteText"/>
        <w:rPr>
          <w:sz w:val="16"/>
          <w:szCs w:val="16"/>
        </w:rPr>
      </w:pPr>
      <w:r w:rsidRPr="003E2937">
        <w:rPr>
          <w:rStyle w:val="FootnoteReference"/>
          <w:sz w:val="16"/>
          <w:szCs w:val="16"/>
        </w:rPr>
        <w:footnoteRef/>
      </w:r>
      <w:r w:rsidRPr="00E71D35">
        <w:rPr>
          <w:sz w:val="16"/>
          <w:szCs w:val="16"/>
        </w:rPr>
        <w:t xml:space="preserve"> Comenzó en diciembre de 2014.</w:t>
      </w:r>
    </w:p>
  </w:footnote>
  <w:footnote w:id="164">
    <w:p w:rsidR="00121C2F" w:rsidRPr="00E71D35" w:rsidRDefault="00121C2F" w:rsidP="003E311F">
      <w:pPr>
        <w:pStyle w:val="FootnoteText"/>
        <w:rPr>
          <w:sz w:val="16"/>
          <w:szCs w:val="16"/>
        </w:rPr>
      </w:pPr>
      <w:r w:rsidRPr="003E2937">
        <w:rPr>
          <w:rStyle w:val="FootnoteReference"/>
          <w:sz w:val="16"/>
          <w:szCs w:val="16"/>
        </w:rPr>
        <w:footnoteRef/>
      </w:r>
      <w:r w:rsidRPr="00E71D35">
        <w:rPr>
          <w:sz w:val="16"/>
          <w:szCs w:val="16"/>
        </w:rPr>
        <w:t xml:space="preserve"> Comenzó en septiembre de 2014.</w:t>
      </w:r>
    </w:p>
  </w:footnote>
  <w:footnote w:id="165">
    <w:p w:rsidR="00121C2F" w:rsidRPr="00386789" w:rsidRDefault="00121C2F" w:rsidP="003E311F">
      <w:pPr>
        <w:pStyle w:val="FootnoteText"/>
        <w:rPr>
          <w:sz w:val="16"/>
          <w:szCs w:val="16"/>
        </w:rPr>
      </w:pPr>
      <w:r w:rsidRPr="00386789">
        <w:rPr>
          <w:rStyle w:val="FootnoteReference"/>
          <w:sz w:val="16"/>
          <w:szCs w:val="16"/>
        </w:rPr>
        <w:footnoteRef/>
      </w:r>
      <w:r w:rsidRPr="00386789">
        <w:rPr>
          <w:sz w:val="16"/>
          <w:szCs w:val="16"/>
        </w:rPr>
        <w:t xml:space="preserve"> El fondo fiduciario de México cofinanció también dos actividades en colaboración con el fondo fiduciario de España (véase más abajo).</w:t>
      </w:r>
    </w:p>
  </w:footnote>
  <w:footnote w:id="166">
    <w:p w:rsidR="00121C2F" w:rsidRPr="00095A9F" w:rsidRDefault="00121C2F" w:rsidP="003E311F">
      <w:pPr>
        <w:pStyle w:val="FootnoteText"/>
        <w:rPr>
          <w:sz w:val="16"/>
          <w:szCs w:val="16"/>
        </w:rPr>
      </w:pPr>
      <w:r w:rsidRPr="00FE196C">
        <w:rPr>
          <w:rStyle w:val="FootnoteReference"/>
          <w:sz w:val="16"/>
          <w:szCs w:val="16"/>
        </w:rPr>
        <w:footnoteRef/>
      </w:r>
      <w:r w:rsidRPr="00095A9F">
        <w:rPr>
          <w:sz w:val="16"/>
          <w:szCs w:val="16"/>
        </w:rPr>
        <w:t xml:space="preserve"> </w:t>
      </w:r>
      <w:r>
        <w:rPr>
          <w:sz w:val="16"/>
          <w:szCs w:val="16"/>
        </w:rPr>
        <w:t>En 2015 se cumplió el 10º Aniversario del fondo fiduciario español.  El Fondo destina su actividad al diseño, planificación y aplicación de proyectos de P.I. para la región de América Latina.  La P.I. es una herramienta que cada vez se tiene más en cuenta en el desarrollo de políticas públicas para promover la innovación, y por tanto la actividad económica en su conjunto, en beneficio de la sociedad.  En este contexto, los objetivos de la cooperación del fondo fiduciario español son i) la promoción del español como idioma tecnológico;  ii) el apoyo al fortalecimiento de las instituciones y la formación de los recursos humanos;  iii) la difusión de P.I. en las pymes y las universidades;  y iv) la modernización de las oficinas de P.I. y el intercambio de experiencias entre ellas para promover la calidad de sus servicios.</w:t>
      </w:r>
    </w:p>
  </w:footnote>
  <w:footnote w:id="167">
    <w:p w:rsidR="00121C2F" w:rsidRPr="00386789" w:rsidRDefault="00121C2F">
      <w:pPr>
        <w:pStyle w:val="FootnoteText"/>
        <w:rPr>
          <w:sz w:val="16"/>
          <w:szCs w:val="16"/>
        </w:rPr>
      </w:pPr>
      <w:r w:rsidRPr="005871AE">
        <w:rPr>
          <w:rStyle w:val="FootnoteReference"/>
          <w:sz w:val="16"/>
          <w:szCs w:val="16"/>
        </w:rPr>
        <w:footnoteRef/>
      </w:r>
      <w:r w:rsidRPr="00386789">
        <w:rPr>
          <w:sz w:val="16"/>
          <w:szCs w:val="16"/>
        </w:rPr>
        <w:t xml:space="preserve"> Esta actividad fue cofinanciada </w:t>
      </w:r>
      <w:r>
        <w:rPr>
          <w:sz w:val="16"/>
          <w:szCs w:val="16"/>
        </w:rPr>
        <w:t>con el fondo fiduciario de México.</w:t>
      </w:r>
    </w:p>
  </w:footnote>
  <w:footnote w:id="168">
    <w:p w:rsidR="00121C2F" w:rsidRPr="005871AE" w:rsidRDefault="00121C2F" w:rsidP="003E311F">
      <w:pPr>
        <w:pStyle w:val="FootnoteText"/>
        <w:rPr>
          <w:sz w:val="16"/>
          <w:szCs w:val="16"/>
        </w:rPr>
      </w:pPr>
      <w:r w:rsidRPr="005871AE">
        <w:rPr>
          <w:rStyle w:val="FootnoteReference"/>
          <w:sz w:val="16"/>
          <w:szCs w:val="16"/>
        </w:rPr>
        <w:footnoteRef/>
      </w:r>
      <w:r w:rsidRPr="005871AE">
        <w:rPr>
          <w:sz w:val="16"/>
          <w:szCs w:val="16"/>
        </w:rPr>
        <w:t xml:space="preserve"> </w:t>
      </w:r>
      <w:proofErr w:type="spellStart"/>
      <w:r w:rsidRPr="00E26DA7">
        <w:rPr>
          <w:sz w:val="16"/>
          <w:szCs w:val="16"/>
        </w:rPr>
        <w:t>Idem</w:t>
      </w:r>
      <w:proofErr w:type="spellEnd"/>
      <w:r w:rsidRPr="00E26DA7">
        <w:rPr>
          <w:sz w:val="16"/>
          <w:szCs w:val="16"/>
        </w:rPr>
        <w:t>.</w:t>
      </w:r>
    </w:p>
  </w:footnote>
  <w:footnote w:id="169">
    <w:p w:rsidR="00121C2F" w:rsidRPr="00095A9F" w:rsidRDefault="00121C2F" w:rsidP="003E311F">
      <w:pPr>
        <w:pStyle w:val="FootnoteText"/>
        <w:rPr>
          <w:sz w:val="16"/>
          <w:szCs w:val="16"/>
        </w:rPr>
      </w:pPr>
      <w:r w:rsidRPr="00053B5B">
        <w:rPr>
          <w:rStyle w:val="FootnoteReference"/>
          <w:sz w:val="16"/>
          <w:szCs w:val="16"/>
        </w:rPr>
        <w:footnoteRef/>
      </w:r>
      <w:r w:rsidRPr="00095A9F">
        <w:rPr>
          <w:sz w:val="16"/>
          <w:szCs w:val="16"/>
        </w:rPr>
        <w:t xml:space="preserve"> </w:t>
      </w:r>
      <w:r>
        <w:rPr>
          <w:sz w:val="16"/>
          <w:szCs w:val="16"/>
        </w:rPr>
        <w:t>Comenzó en mayo de</w:t>
      </w:r>
      <w:r w:rsidRPr="00095A9F">
        <w:rPr>
          <w:sz w:val="16"/>
          <w:szCs w:val="16"/>
        </w:rPr>
        <w:t xml:space="preserve"> 2014</w:t>
      </w:r>
      <w:r>
        <w:rPr>
          <w:sz w:val="16"/>
          <w:szCs w:val="16"/>
        </w:rPr>
        <w:t xml:space="preserve">.  </w:t>
      </w:r>
      <w:r w:rsidRPr="00095A9F">
        <w:rPr>
          <w:sz w:val="16"/>
          <w:szCs w:val="16"/>
        </w:rPr>
        <w:t>Fecha prevista de finalización</w:t>
      </w:r>
      <w:proofErr w:type="gramStart"/>
      <w:r>
        <w:rPr>
          <w:sz w:val="16"/>
          <w:szCs w:val="16"/>
        </w:rPr>
        <w:t xml:space="preserve">:  </w:t>
      </w:r>
      <w:r w:rsidRPr="00095A9F">
        <w:rPr>
          <w:sz w:val="16"/>
          <w:szCs w:val="16"/>
        </w:rPr>
        <w:t>May</w:t>
      </w:r>
      <w:r>
        <w:rPr>
          <w:sz w:val="16"/>
          <w:szCs w:val="16"/>
        </w:rPr>
        <w:t>o</w:t>
      </w:r>
      <w:proofErr w:type="gramEnd"/>
      <w:r>
        <w:rPr>
          <w:sz w:val="16"/>
          <w:szCs w:val="16"/>
        </w:rPr>
        <w:t xml:space="preserve"> de</w:t>
      </w:r>
      <w:r w:rsidRPr="00095A9F">
        <w:rPr>
          <w:sz w:val="16"/>
          <w:szCs w:val="16"/>
        </w:rPr>
        <w:t xml:space="preserve"> 2016.</w:t>
      </w:r>
    </w:p>
  </w:footnote>
  <w:footnote w:id="170">
    <w:p w:rsidR="00121C2F" w:rsidRPr="003E311F" w:rsidRDefault="00121C2F" w:rsidP="00CA682E">
      <w:pPr>
        <w:pStyle w:val="FootnoteText"/>
        <w:rPr>
          <w:sz w:val="16"/>
          <w:szCs w:val="16"/>
        </w:rPr>
      </w:pPr>
      <w:r w:rsidRPr="0010212D">
        <w:rPr>
          <w:rStyle w:val="FootnoteReference"/>
          <w:sz w:val="16"/>
          <w:szCs w:val="16"/>
        </w:rPr>
        <w:footnoteRef/>
      </w:r>
      <w:r w:rsidRPr="003E311F">
        <w:rPr>
          <w:sz w:val="16"/>
          <w:szCs w:val="16"/>
        </w:rPr>
        <w:t xml:space="preserve"> http://www.wipo.int/edocs/mdocs/govbody/es/a_51/a_51_16.pdf</w:t>
      </w:r>
    </w:p>
  </w:footnote>
  <w:footnote w:id="171">
    <w:p w:rsidR="00121C2F" w:rsidRPr="007A358B" w:rsidRDefault="00121C2F" w:rsidP="00CA682E">
      <w:pPr>
        <w:pStyle w:val="FootnoteText"/>
        <w:rPr>
          <w:sz w:val="16"/>
          <w:szCs w:val="16"/>
        </w:rPr>
      </w:pPr>
      <w:r w:rsidRPr="0010212D">
        <w:rPr>
          <w:rStyle w:val="FootnoteReference"/>
          <w:sz w:val="16"/>
          <w:szCs w:val="16"/>
        </w:rPr>
        <w:footnoteRef/>
      </w:r>
      <w:r w:rsidRPr="007A358B">
        <w:rPr>
          <w:sz w:val="16"/>
          <w:szCs w:val="16"/>
        </w:rPr>
        <w:t xml:space="preserve"> http://www.wipo.int/edocs/mdocs/govbody/es/wo_pbc_22/wo_pbc_22_21.pdf</w:t>
      </w:r>
    </w:p>
  </w:footnote>
  <w:footnote w:id="172">
    <w:p w:rsidR="00121C2F" w:rsidRPr="0010212D" w:rsidRDefault="00121C2F" w:rsidP="00CA682E">
      <w:pPr>
        <w:pStyle w:val="FootnoteText"/>
        <w:rPr>
          <w:sz w:val="16"/>
          <w:szCs w:val="16"/>
        </w:rPr>
      </w:pPr>
      <w:r w:rsidRPr="0010212D">
        <w:rPr>
          <w:rStyle w:val="FootnoteReference"/>
          <w:sz w:val="16"/>
          <w:szCs w:val="16"/>
        </w:rPr>
        <w:footnoteRef/>
      </w:r>
      <w:r w:rsidRPr="0010212D">
        <w:rPr>
          <w:sz w:val="16"/>
          <w:szCs w:val="16"/>
        </w:rPr>
        <w:t xml:space="preserve"> </w:t>
      </w:r>
      <w:r>
        <w:rPr>
          <w:sz w:val="16"/>
          <w:szCs w:val="16"/>
        </w:rPr>
        <w:t>Cabe señalar que la columna “Gasto real hasta la fecha” de los cuadros sobre utilización de los recursos no incluye gravámenes.</w:t>
      </w:r>
    </w:p>
  </w:footnote>
  <w:footnote w:id="173">
    <w:p w:rsidR="00121C2F" w:rsidRPr="0010212D" w:rsidRDefault="00121C2F" w:rsidP="00CA682E">
      <w:pPr>
        <w:pStyle w:val="FootnoteText"/>
        <w:rPr>
          <w:sz w:val="16"/>
          <w:szCs w:val="16"/>
        </w:rPr>
      </w:pPr>
      <w:r w:rsidRPr="0010212D">
        <w:rPr>
          <w:rStyle w:val="FootnoteReference"/>
          <w:sz w:val="16"/>
          <w:szCs w:val="16"/>
        </w:rPr>
        <w:footnoteRef/>
      </w:r>
      <w:r w:rsidRPr="0010212D">
        <w:rPr>
          <w:sz w:val="16"/>
          <w:szCs w:val="16"/>
        </w:rPr>
        <w:t xml:space="preserve"> Se efectuará un desglose más detallado por categoría de costo una vez finalice la evaluación de la situación y se defina en su totalidad la solución técnica necesaria.</w:t>
      </w:r>
    </w:p>
  </w:footnote>
  <w:footnote w:id="174">
    <w:p w:rsidR="00121C2F" w:rsidRPr="0010212D" w:rsidRDefault="00121C2F" w:rsidP="00CA682E">
      <w:pPr>
        <w:pStyle w:val="FootnoteText"/>
        <w:rPr>
          <w:sz w:val="16"/>
          <w:szCs w:val="16"/>
        </w:rPr>
      </w:pPr>
      <w:r w:rsidRPr="0010212D">
        <w:rPr>
          <w:rStyle w:val="FootnoteReference"/>
          <w:sz w:val="16"/>
          <w:szCs w:val="16"/>
        </w:rPr>
        <w:footnoteRef/>
      </w:r>
      <w:r w:rsidRPr="0010212D">
        <w:rPr>
          <w:sz w:val="16"/>
          <w:szCs w:val="16"/>
        </w:rPr>
        <w:t xml:space="preserve"> </w:t>
      </w:r>
      <w:r>
        <w:rPr>
          <w:sz w:val="16"/>
          <w:szCs w:val="16"/>
        </w:rPr>
        <w:t>Cabe señalar que la columna “Gasto real hasta la fecha” de los cuadros sobre utilización de los recursos no incluye gravámenes.</w:t>
      </w:r>
    </w:p>
  </w:footnote>
  <w:footnote w:id="175">
    <w:p w:rsidR="00121C2F" w:rsidRPr="0010212D" w:rsidRDefault="00121C2F" w:rsidP="00CA682E">
      <w:pPr>
        <w:pStyle w:val="FootnoteText"/>
        <w:rPr>
          <w:sz w:val="16"/>
          <w:szCs w:val="16"/>
        </w:rPr>
      </w:pPr>
      <w:r w:rsidRPr="0010212D">
        <w:rPr>
          <w:rStyle w:val="FootnoteReference"/>
          <w:sz w:val="16"/>
          <w:szCs w:val="16"/>
        </w:rPr>
        <w:footnoteRef/>
      </w:r>
      <w:r w:rsidRPr="0010212D">
        <w:rPr>
          <w:sz w:val="16"/>
          <w:szCs w:val="16"/>
        </w:rPr>
        <w:t xml:space="preserve"> Dado que la selección del piloto/arquitecto finalizó en diciembre de 2015, el candidato seleccionado se incorporó durante el primer trimestre de 2016.</w:t>
      </w:r>
    </w:p>
  </w:footnote>
  <w:footnote w:id="176">
    <w:p w:rsidR="00121C2F" w:rsidRPr="0010212D" w:rsidRDefault="00121C2F" w:rsidP="00CA682E">
      <w:pPr>
        <w:pStyle w:val="FootnoteText"/>
        <w:rPr>
          <w:sz w:val="16"/>
          <w:szCs w:val="16"/>
        </w:rPr>
      </w:pPr>
      <w:r w:rsidRPr="0010212D">
        <w:rPr>
          <w:rStyle w:val="FootnoteReference"/>
          <w:sz w:val="16"/>
          <w:szCs w:val="16"/>
        </w:rPr>
        <w:footnoteRef/>
      </w:r>
      <w:r w:rsidRPr="0010212D">
        <w:rPr>
          <w:sz w:val="16"/>
          <w:szCs w:val="16"/>
        </w:rPr>
        <w:t xml:space="preserve"> </w:t>
      </w:r>
      <w:r>
        <w:rPr>
          <w:sz w:val="16"/>
          <w:szCs w:val="16"/>
        </w:rPr>
        <w:t>Cabe señalar que la columna “Gasto real hasta la fecha” de los cuadros sobre utilización de los recursos no incluye gravámenes.</w:t>
      </w:r>
    </w:p>
  </w:footnote>
  <w:footnote w:id="177">
    <w:p w:rsidR="00121C2F" w:rsidRPr="0010212D" w:rsidRDefault="00121C2F" w:rsidP="00CA682E">
      <w:pPr>
        <w:pStyle w:val="FootnoteText"/>
        <w:rPr>
          <w:sz w:val="16"/>
          <w:szCs w:val="16"/>
        </w:rPr>
      </w:pPr>
      <w:r w:rsidRPr="0010212D">
        <w:rPr>
          <w:rStyle w:val="FootnoteReference"/>
          <w:sz w:val="16"/>
          <w:szCs w:val="16"/>
        </w:rPr>
        <w:footnoteRef/>
      </w:r>
      <w:r w:rsidRPr="0010212D">
        <w:rPr>
          <w:sz w:val="16"/>
          <w:szCs w:val="16"/>
        </w:rPr>
        <w:t xml:space="preserve"> </w:t>
      </w:r>
      <w:r>
        <w:rPr>
          <w:sz w:val="16"/>
          <w:szCs w:val="16"/>
        </w:rPr>
        <w:t>Cabe señalar que la columna “Gasto real hasta la fecha” de los cuadros sobre utilización de los recursos no incluye gravámenes.</w:t>
      </w:r>
    </w:p>
  </w:footnote>
  <w:footnote w:id="178">
    <w:p w:rsidR="00121C2F" w:rsidRPr="0010212D" w:rsidRDefault="00121C2F" w:rsidP="00CA682E">
      <w:pPr>
        <w:pStyle w:val="FootnoteText"/>
        <w:rPr>
          <w:sz w:val="16"/>
          <w:szCs w:val="16"/>
        </w:rPr>
      </w:pPr>
      <w:r w:rsidRPr="0010212D">
        <w:rPr>
          <w:rStyle w:val="FootnoteReference"/>
          <w:sz w:val="16"/>
          <w:szCs w:val="16"/>
        </w:rPr>
        <w:footnoteRef/>
      </w:r>
      <w:r w:rsidRPr="0010212D">
        <w:rPr>
          <w:sz w:val="16"/>
          <w:szCs w:val="16"/>
        </w:rPr>
        <w:t xml:space="preserve"> </w:t>
      </w:r>
      <w:r>
        <w:rPr>
          <w:sz w:val="16"/>
          <w:szCs w:val="16"/>
        </w:rPr>
        <w:t>Cabe señalar que la columna “Gasto real hasta la fecha” de los cuadros sobre utilización de los recursos no incluye gravámenes.</w:t>
      </w:r>
    </w:p>
  </w:footnote>
  <w:footnote w:id="179">
    <w:p w:rsidR="00121C2F" w:rsidRPr="0010212D" w:rsidRDefault="00121C2F" w:rsidP="00CA682E">
      <w:pPr>
        <w:pStyle w:val="FootnoteText"/>
        <w:rPr>
          <w:sz w:val="16"/>
          <w:szCs w:val="16"/>
        </w:rPr>
      </w:pPr>
      <w:r w:rsidRPr="0010212D">
        <w:rPr>
          <w:rStyle w:val="FootnoteReference"/>
          <w:sz w:val="16"/>
          <w:szCs w:val="16"/>
        </w:rPr>
        <w:footnoteRef/>
      </w:r>
      <w:r w:rsidRPr="0010212D">
        <w:rPr>
          <w:sz w:val="16"/>
          <w:szCs w:val="16"/>
        </w:rPr>
        <w:t xml:space="preserve"> En 2015, los gravámenes por honorarios pagaderos al arquitecto y los ingenieros ascendieron a 115.000 francos suizos </w:t>
      </w:r>
    </w:p>
  </w:footnote>
  <w:footnote w:id="180">
    <w:p w:rsidR="00121C2F" w:rsidRPr="002E3193" w:rsidRDefault="00121C2F" w:rsidP="00CA682E">
      <w:pPr>
        <w:pStyle w:val="FootnoteText"/>
        <w:rPr>
          <w:sz w:val="16"/>
          <w:szCs w:val="16"/>
        </w:rPr>
      </w:pPr>
      <w:r w:rsidRPr="0010212D">
        <w:rPr>
          <w:rStyle w:val="FootnoteReference"/>
          <w:sz w:val="16"/>
          <w:szCs w:val="16"/>
        </w:rPr>
        <w:footnoteRef/>
      </w:r>
      <w:r w:rsidRPr="002E3193">
        <w:rPr>
          <w:sz w:val="16"/>
          <w:szCs w:val="16"/>
        </w:rPr>
        <w:t xml:space="preserve"> Ídem</w:t>
      </w:r>
      <w:r w:rsidRPr="002E3193">
        <w:rPr>
          <w:color w:val="808080"/>
          <w:sz w:val="16"/>
          <w:szCs w:val="16"/>
        </w:rPr>
        <w:t>.</w:t>
      </w:r>
    </w:p>
  </w:footnote>
  <w:footnote w:id="181">
    <w:p w:rsidR="00121C2F" w:rsidRPr="00734316" w:rsidRDefault="00121C2F">
      <w:pPr>
        <w:pStyle w:val="FootnoteText"/>
      </w:pPr>
      <w:r>
        <w:rPr>
          <w:rStyle w:val="FootnoteReference"/>
        </w:rPr>
        <w:footnoteRef/>
      </w:r>
      <w:r w:rsidRPr="00734316">
        <w:t xml:space="preserve"> </w:t>
      </w:r>
      <w:r w:rsidRPr="00734316">
        <w:rPr>
          <w:sz w:val="16"/>
        </w:rPr>
        <w:t xml:space="preserve">Durante la labor preparatoria, se descubrió que la instalación inicial de las ventanas, cuando se construyó el edificio a fines de los años 1970, impedirá que </w:t>
      </w:r>
      <w:r>
        <w:rPr>
          <w:sz w:val="16"/>
        </w:rPr>
        <w:t xml:space="preserve">la extracción </w:t>
      </w:r>
      <w:r w:rsidRPr="00734316">
        <w:rPr>
          <w:sz w:val="16"/>
        </w:rPr>
        <w:t>de las ventanas, previst</w:t>
      </w:r>
      <w:r>
        <w:rPr>
          <w:sz w:val="16"/>
        </w:rPr>
        <w:t>a</w:t>
      </w:r>
      <w:r w:rsidRPr="00734316">
        <w:rPr>
          <w:sz w:val="16"/>
        </w:rPr>
        <w:t xml:space="preserve"> originalmente, ya no será una tarea </w:t>
      </w:r>
      <w:r>
        <w:rPr>
          <w:sz w:val="16"/>
        </w:rPr>
        <w:t xml:space="preserve">técnicamente </w:t>
      </w:r>
      <w:r w:rsidRPr="00734316">
        <w:rPr>
          <w:sz w:val="16"/>
        </w:rPr>
        <w:t>sencilla y sin complicaciones.</w:t>
      </w:r>
    </w:p>
  </w:footnote>
  <w:footnote w:id="182">
    <w:p w:rsidR="00121C2F" w:rsidRPr="0010212D" w:rsidRDefault="00121C2F" w:rsidP="00CA682E">
      <w:pPr>
        <w:pStyle w:val="FootnoteText"/>
        <w:rPr>
          <w:sz w:val="16"/>
          <w:szCs w:val="16"/>
        </w:rPr>
      </w:pPr>
      <w:r w:rsidRPr="0010212D">
        <w:rPr>
          <w:rStyle w:val="FootnoteReference"/>
          <w:sz w:val="16"/>
          <w:szCs w:val="16"/>
        </w:rPr>
        <w:footnoteRef/>
      </w:r>
      <w:r w:rsidRPr="0010212D">
        <w:rPr>
          <w:sz w:val="16"/>
          <w:szCs w:val="16"/>
        </w:rPr>
        <w:t xml:space="preserve"> </w:t>
      </w:r>
      <w:r>
        <w:rPr>
          <w:sz w:val="16"/>
          <w:szCs w:val="16"/>
        </w:rPr>
        <w:t>Cabe señalar que la columna “Gasto real hasta la fecha” de los cuadros sobre utilización de los recursos no incluye gravámenes.</w:t>
      </w:r>
    </w:p>
  </w:footnote>
  <w:footnote w:id="183">
    <w:p w:rsidR="00121C2F" w:rsidRPr="0010212D" w:rsidRDefault="00121C2F" w:rsidP="00CA682E">
      <w:pPr>
        <w:pStyle w:val="FootnoteText"/>
        <w:rPr>
          <w:sz w:val="16"/>
          <w:szCs w:val="16"/>
        </w:rPr>
      </w:pPr>
      <w:r w:rsidRPr="0010212D">
        <w:rPr>
          <w:rStyle w:val="FootnoteReference"/>
          <w:sz w:val="16"/>
          <w:szCs w:val="16"/>
        </w:rPr>
        <w:footnoteRef/>
      </w:r>
      <w:r w:rsidRPr="0010212D">
        <w:rPr>
          <w:sz w:val="16"/>
          <w:szCs w:val="16"/>
        </w:rPr>
        <w:t xml:space="preserve"> </w:t>
      </w:r>
      <w:r>
        <w:rPr>
          <w:sz w:val="16"/>
          <w:szCs w:val="16"/>
        </w:rPr>
        <w:t>Cabe señalar que la columna “Gasto real hasta la fecha” de los cuadros sobre utilización de los recursos no incluye gravámenes.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1C2F" w:rsidRDefault="00121C2F" w:rsidP="00020713">
    <w:pPr>
      <w:pStyle w:val="Header"/>
      <w:jc w:val="right"/>
    </w:pPr>
    <w:r>
      <w:t>WO/PBC/25/7</w:t>
    </w:r>
  </w:p>
  <w:p w:rsidR="00121C2F" w:rsidRDefault="00121C2F" w:rsidP="00020713">
    <w:pPr>
      <w:pStyle w:val="Header"/>
      <w:jc w:val="right"/>
      <w:rPr>
        <w:noProof/>
      </w:rPr>
    </w:pPr>
    <w:proofErr w:type="gramStart"/>
    <w:r>
      <w:t>página</w:t>
    </w:r>
    <w:proofErr w:type="gramEnd"/>
    <w:r>
      <w:t xml:space="preserve"> </w:t>
    </w:r>
    <w:r>
      <w:fldChar w:fldCharType="begin"/>
    </w:r>
    <w:r>
      <w:instrText xml:space="preserve"> PAGE   \* MERGEFORMAT </w:instrText>
    </w:r>
    <w:r>
      <w:fldChar w:fldCharType="separate"/>
    </w:r>
    <w:r>
      <w:rPr>
        <w:noProof/>
      </w:rPr>
      <w:t>2</w:t>
    </w:r>
    <w:r>
      <w:rPr>
        <w:noProof/>
      </w:rPr>
      <w:fldChar w:fldCharType="end"/>
    </w:r>
  </w:p>
  <w:p w:rsidR="00121C2F" w:rsidRDefault="00121C2F" w:rsidP="00020713">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1C2F" w:rsidRDefault="00121C2F" w:rsidP="00477D6B">
    <w:pPr>
      <w:jc w:val="right"/>
    </w:pPr>
    <w:bookmarkStart w:id="0" w:name="Code2"/>
    <w:bookmarkEnd w:id="0"/>
    <w:r>
      <w:t>WO/PBC/25/7</w:t>
    </w:r>
  </w:p>
  <w:p w:rsidR="00121C2F" w:rsidRDefault="00121C2F" w:rsidP="00477D6B">
    <w:pPr>
      <w:jc w:val="right"/>
    </w:pPr>
    <w:proofErr w:type="gramStart"/>
    <w:r>
      <w:t>página</w:t>
    </w:r>
    <w:proofErr w:type="gramEnd"/>
    <w:r>
      <w:t xml:space="preserve"> </w:t>
    </w:r>
    <w:r>
      <w:fldChar w:fldCharType="begin"/>
    </w:r>
    <w:r>
      <w:instrText xml:space="preserve"> PAGE  \* MERGEFORMAT </w:instrText>
    </w:r>
    <w:r>
      <w:fldChar w:fldCharType="separate"/>
    </w:r>
    <w:r>
      <w:rPr>
        <w:noProof/>
      </w:rPr>
      <w:t>3</w:t>
    </w:r>
    <w:r>
      <w:fldChar w:fldCharType="end"/>
    </w:r>
  </w:p>
  <w:p w:rsidR="00121C2F" w:rsidRDefault="00121C2F"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1C2F" w:rsidRDefault="00121C2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1C2F" w:rsidRPr="00B26D73" w:rsidRDefault="00121C2F">
    <w:pPr>
      <w:pStyle w:val="Header"/>
      <w:rPr>
        <w:b/>
        <w:sz w:val="18"/>
        <w:szCs w:val="18"/>
      </w:rPr>
    </w:pPr>
    <w:r w:rsidRPr="00B26D73">
      <w:rPr>
        <w:b/>
        <w:sz w:val="18"/>
        <w:szCs w:val="18"/>
      </w:rPr>
      <w:t>Informe sobre el rendimiento de los programas en 2014/15</w:t>
    </w:r>
  </w:p>
  <w:p w:rsidR="00121C2F" w:rsidRPr="00B26D73" w:rsidRDefault="00121C2F">
    <w:pPr>
      <w:pStyle w:val="Header"/>
      <w:rPr>
        <w:b/>
        <w:sz w:val="18"/>
        <w:szCs w:val="18"/>
      </w:rPr>
    </w:pPr>
  </w:p>
  <w:p w:rsidR="00121C2F" w:rsidRPr="00B26D73" w:rsidRDefault="00121C2F">
    <w:pPr>
      <w:pStyle w:val="Header"/>
      <w:rPr>
        <w:sz w:val="18"/>
        <w:szCs w:val="1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1C2F" w:rsidRPr="00B26D73" w:rsidRDefault="00121C2F" w:rsidP="00477D6B">
    <w:pPr>
      <w:jc w:val="right"/>
      <w:rPr>
        <w:b/>
        <w:sz w:val="18"/>
        <w:szCs w:val="18"/>
      </w:rPr>
    </w:pPr>
    <w:r w:rsidRPr="002803A3">
      <w:rPr>
        <w:b/>
        <w:sz w:val="18"/>
      </w:rPr>
      <w:t>Informe sobre el rendimiento de los programas en</w:t>
    </w:r>
    <w:r>
      <w:rPr>
        <w:b/>
        <w:sz w:val="18"/>
      </w:rPr>
      <w:t xml:space="preserve"> </w:t>
    </w:r>
    <w:r w:rsidRPr="002803A3">
      <w:rPr>
        <w:b/>
        <w:sz w:val="18"/>
      </w:rPr>
      <w:t>2014/</w:t>
    </w:r>
    <w:r w:rsidRPr="00B26D73">
      <w:rPr>
        <w:b/>
        <w:sz w:val="18"/>
        <w:szCs w:val="18"/>
      </w:rPr>
      <w:t>15</w:t>
    </w:r>
  </w:p>
  <w:p w:rsidR="00121C2F" w:rsidRPr="00B26D73" w:rsidRDefault="00121C2F" w:rsidP="00477D6B">
    <w:pPr>
      <w:jc w:val="right"/>
      <w:rPr>
        <w:sz w:val="18"/>
        <w:szCs w:val="18"/>
      </w:rPr>
    </w:pPr>
  </w:p>
  <w:p w:rsidR="00121C2F" w:rsidRPr="00B26D73" w:rsidRDefault="00121C2F" w:rsidP="00477D6B">
    <w:pPr>
      <w:jc w:val="right"/>
      <w:rPr>
        <w:sz w:val="18"/>
        <w:szCs w:val="1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1C2F" w:rsidRPr="004A103A" w:rsidRDefault="00121C2F" w:rsidP="004A103A">
    <w:pPr>
      <w:pStyle w:val="Header"/>
      <w:jc w:val="right"/>
      <w:rPr>
        <w:sz w:val="18"/>
        <w:szCs w:val="18"/>
      </w:rPr>
    </w:pPr>
    <w:r w:rsidRPr="004A103A">
      <w:rPr>
        <w:b/>
        <w:sz w:val="18"/>
        <w:szCs w:val="18"/>
      </w:rPr>
      <w:t>Informe sobre el rendimiento de los programas en 2014/15</w:t>
    </w:r>
  </w:p>
  <w:p w:rsidR="00121C2F" w:rsidRDefault="00121C2F" w:rsidP="004A103A">
    <w:pPr>
      <w:pStyle w:val="Header"/>
      <w:jc w:val="right"/>
      <w:rPr>
        <w:sz w:val="18"/>
        <w:szCs w:val="18"/>
      </w:rPr>
    </w:pPr>
  </w:p>
  <w:p w:rsidR="00121C2F" w:rsidRPr="004A103A" w:rsidRDefault="00121C2F" w:rsidP="004A103A">
    <w:pPr>
      <w:pStyle w:val="Header"/>
      <w:jc w:val="right"/>
      <w:rPr>
        <w:sz w:val="18"/>
        <w:szCs w:val="18"/>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1C2F" w:rsidRPr="00B26D73" w:rsidRDefault="00121C2F">
    <w:pPr>
      <w:pStyle w:val="Header"/>
      <w:rPr>
        <w:b/>
        <w:sz w:val="18"/>
        <w:szCs w:val="18"/>
      </w:rPr>
    </w:pPr>
    <w:r w:rsidRPr="00B26D73">
      <w:rPr>
        <w:b/>
        <w:sz w:val="18"/>
        <w:szCs w:val="18"/>
      </w:rPr>
      <w:t>Informe sobre el rendimiento de los programas en 2014/15</w:t>
    </w:r>
  </w:p>
  <w:p w:rsidR="00121C2F" w:rsidRPr="00C25E4B" w:rsidRDefault="00121C2F">
    <w:pPr>
      <w:pStyle w:val="Header"/>
      <w:rPr>
        <w:b/>
        <w:sz w:val="18"/>
        <w:szCs w:val="18"/>
      </w:rPr>
    </w:pPr>
    <w:r>
      <w:rPr>
        <w:b/>
        <w:sz w:val="18"/>
        <w:szCs w:val="18"/>
      </w:rPr>
      <w:t>Apéndices</w:t>
    </w:r>
  </w:p>
  <w:p w:rsidR="00121C2F" w:rsidRPr="002937CB" w:rsidRDefault="00121C2F">
    <w:pPr>
      <w:pStyle w:val="Header"/>
      <w:rPr>
        <w:sz w:val="18"/>
        <w:szCs w:val="18"/>
      </w:rPr>
    </w:pPr>
  </w:p>
  <w:p w:rsidR="00121C2F" w:rsidRPr="002937CB" w:rsidRDefault="00121C2F">
    <w:pPr>
      <w:rPr>
        <w:sz w:val="18"/>
        <w:szCs w:val="18"/>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1C2F" w:rsidRPr="002707C1" w:rsidRDefault="00121C2F" w:rsidP="002707C1">
    <w:pPr>
      <w:jc w:val="right"/>
      <w:rPr>
        <w:b/>
        <w:sz w:val="18"/>
        <w:szCs w:val="18"/>
      </w:rPr>
    </w:pPr>
    <w:r w:rsidRPr="002707C1">
      <w:rPr>
        <w:b/>
        <w:sz w:val="18"/>
        <w:szCs w:val="18"/>
      </w:rPr>
      <w:t>Informe sobre el rendimiento de los programas en 2014/15</w:t>
    </w:r>
  </w:p>
  <w:p w:rsidR="00121C2F" w:rsidRPr="002707C1" w:rsidRDefault="00121C2F" w:rsidP="002707C1">
    <w:pPr>
      <w:jc w:val="right"/>
      <w:rPr>
        <w:b/>
        <w:sz w:val="18"/>
        <w:szCs w:val="18"/>
      </w:rPr>
    </w:pPr>
    <w:r w:rsidRPr="002707C1">
      <w:rPr>
        <w:b/>
        <w:sz w:val="18"/>
        <w:szCs w:val="18"/>
      </w:rPr>
      <w:t>Apéndices</w:t>
    </w:r>
  </w:p>
  <w:p w:rsidR="00121C2F" w:rsidRPr="00D76DEE" w:rsidRDefault="00121C2F" w:rsidP="002707C1">
    <w:pPr>
      <w:jc w:val="right"/>
      <w:rPr>
        <w:sz w:val="18"/>
        <w:szCs w:val="18"/>
      </w:rPr>
    </w:pPr>
  </w:p>
  <w:p w:rsidR="00121C2F" w:rsidRPr="00D76DEE" w:rsidRDefault="00121C2F" w:rsidP="002937CB">
    <w:pPr>
      <w:jc w:val="right"/>
      <w:rPr>
        <w:sz w:val="18"/>
        <w:szCs w:val="18"/>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1C2F" w:rsidRPr="00C25E4B" w:rsidRDefault="00121C2F" w:rsidP="00C25E4B">
    <w:pPr>
      <w:jc w:val="right"/>
      <w:rPr>
        <w:b/>
        <w:sz w:val="18"/>
        <w:szCs w:val="18"/>
      </w:rPr>
    </w:pPr>
    <w:r w:rsidRPr="002803A3">
      <w:rPr>
        <w:b/>
        <w:sz w:val="18"/>
      </w:rPr>
      <w:t xml:space="preserve">Informe sobre el </w:t>
    </w:r>
    <w:r w:rsidRPr="00C25E4B">
      <w:rPr>
        <w:b/>
        <w:sz w:val="18"/>
        <w:szCs w:val="18"/>
      </w:rPr>
      <w:t>rendimiento de los programas en 2014/15</w:t>
    </w:r>
  </w:p>
  <w:p w:rsidR="00121C2F" w:rsidRDefault="00121C2F" w:rsidP="00C25E4B">
    <w:pPr>
      <w:jc w:val="right"/>
      <w:rPr>
        <w:b/>
        <w:sz w:val="18"/>
        <w:szCs w:val="18"/>
      </w:rPr>
    </w:pPr>
    <w:r w:rsidRPr="00C25E4B">
      <w:rPr>
        <w:b/>
        <w:sz w:val="18"/>
        <w:szCs w:val="18"/>
      </w:rPr>
      <w:t>Apéndices</w:t>
    </w:r>
  </w:p>
  <w:p w:rsidR="00121C2F" w:rsidRPr="00216A2F" w:rsidRDefault="00121C2F" w:rsidP="002707C1">
    <w:pPr>
      <w:jc w:val="right"/>
      <w:rPr>
        <w:b/>
        <w:sz w:val="18"/>
        <w:szCs w:val="18"/>
      </w:rPr>
    </w:pPr>
  </w:p>
  <w:p w:rsidR="00121C2F" w:rsidRPr="00216A2F" w:rsidRDefault="00121C2F" w:rsidP="002937CB">
    <w:pPr>
      <w:jc w:val="right"/>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904F7"/>
    <w:multiLevelType w:val="hybridMultilevel"/>
    <w:tmpl w:val="610EE6F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19A214F"/>
    <w:multiLevelType w:val="hybridMultilevel"/>
    <w:tmpl w:val="F65A85A8"/>
    <w:lvl w:ilvl="0" w:tplc="DE4A5C86">
      <w:start w:val="7"/>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2232E6D"/>
    <w:multiLevelType w:val="hybridMultilevel"/>
    <w:tmpl w:val="B328B0E2"/>
    <w:lvl w:ilvl="0" w:tplc="DE4A5C86">
      <w:start w:val="7"/>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2325E3F"/>
    <w:multiLevelType w:val="hybridMultilevel"/>
    <w:tmpl w:val="D6B2F2C6"/>
    <w:lvl w:ilvl="0" w:tplc="2D4AE1C4">
      <w:start w:val="1"/>
      <w:numFmt w:val="bullet"/>
      <w:lvlText w:val="-"/>
      <w:lvlJc w:val="left"/>
      <w:pPr>
        <w:ind w:left="384" w:hanging="360"/>
      </w:pPr>
      <w:rPr>
        <w:rFonts w:ascii="Courier New" w:hAnsi="Courier New" w:hint="default"/>
      </w:rPr>
    </w:lvl>
    <w:lvl w:ilvl="1" w:tplc="04090003" w:tentative="1">
      <w:start w:val="1"/>
      <w:numFmt w:val="bullet"/>
      <w:lvlText w:val="o"/>
      <w:lvlJc w:val="left"/>
      <w:pPr>
        <w:ind w:left="1104" w:hanging="360"/>
      </w:pPr>
      <w:rPr>
        <w:rFonts w:ascii="Courier New" w:hAnsi="Courier New" w:cs="Courier New" w:hint="default"/>
      </w:rPr>
    </w:lvl>
    <w:lvl w:ilvl="2" w:tplc="04090005" w:tentative="1">
      <w:start w:val="1"/>
      <w:numFmt w:val="bullet"/>
      <w:lvlText w:val=""/>
      <w:lvlJc w:val="left"/>
      <w:pPr>
        <w:ind w:left="1824" w:hanging="360"/>
      </w:pPr>
      <w:rPr>
        <w:rFonts w:ascii="Wingdings" w:hAnsi="Wingdings" w:hint="default"/>
      </w:rPr>
    </w:lvl>
    <w:lvl w:ilvl="3" w:tplc="04090001" w:tentative="1">
      <w:start w:val="1"/>
      <w:numFmt w:val="bullet"/>
      <w:lvlText w:val=""/>
      <w:lvlJc w:val="left"/>
      <w:pPr>
        <w:ind w:left="2544" w:hanging="360"/>
      </w:pPr>
      <w:rPr>
        <w:rFonts w:ascii="Symbol" w:hAnsi="Symbol" w:hint="default"/>
      </w:rPr>
    </w:lvl>
    <w:lvl w:ilvl="4" w:tplc="04090003" w:tentative="1">
      <w:start w:val="1"/>
      <w:numFmt w:val="bullet"/>
      <w:lvlText w:val="o"/>
      <w:lvlJc w:val="left"/>
      <w:pPr>
        <w:ind w:left="3264" w:hanging="360"/>
      </w:pPr>
      <w:rPr>
        <w:rFonts w:ascii="Courier New" w:hAnsi="Courier New" w:cs="Courier New" w:hint="default"/>
      </w:rPr>
    </w:lvl>
    <w:lvl w:ilvl="5" w:tplc="04090005" w:tentative="1">
      <w:start w:val="1"/>
      <w:numFmt w:val="bullet"/>
      <w:lvlText w:val=""/>
      <w:lvlJc w:val="left"/>
      <w:pPr>
        <w:ind w:left="3984" w:hanging="360"/>
      </w:pPr>
      <w:rPr>
        <w:rFonts w:ascii="Wingdings" w:hAnsi="Wingdings" w:hint="default"/>
      </w:rPr>
    </w:lvl>
    <w:lvl w:ilvl="6" w:tplc="04090001" w:tentative="1">
      <w:start w:val="1"/>
      <w:numFmt w:val="bullet"/>
      <w:lvlText w:val=""/>
      <w:lvlJc w:val="left"/>
      <w:pPr>
        <w:ind w:left="4704" w:hanging="360"/>
      </w:pPr>
      <w:rPr>
        <w:rFonts w:ascii="Symbol" w:hAnsi="Symbol" w:hint="default"/>
      </w:rPr>
    </w:lvl>
    <w:lvl w:ilvl="7" w:tplc="04090003" w:tentative="1">
      <w:start w:val="1"/>
      <w:numFmt w:val="bullet"/>
      <w:lvlText w:val="o"/>
      <w:lvlJc w:val="left"/>
      <w:pPr>
        <w:ind w:left="5424" w:hanging="360"/>
      </w:pPr>
      <w:rPr>
        <w:rFonts w:ascii="Courier New" w:hAnsi="Courier New" w:cs="Courier New" w:hint="default"/>
      </w:rPr>
    </w:lvl>
    <w:lvl w:ilvl="8" w:tplc="04090005" w:tentative="1">
      <w:start w:val="1"/>
      <w:numFmt w:val="bullet"/>
      <w:lvlText w:val=""/>
      <w:lvlJc w:val="left"/>
      <w:pPr>
        <w:ind w:left="6144" w:hanging="360"/>
      </w:pPr>
      <w:rPr>
        <w:rFonts w:ascii="Wingdings" w:hAnsi="Wingdings" w:hint="default"/>
      </w:rPr>
    </w:lvl>
  </w:abstractNum>
  <w:abstractNum w:abstractNumId="4">
    <w:nsid w:val="079B6BCD"/>
    <w:multiLevelType w:val="hybridMultilevel"/>
    <w:tmpl w:val="E32E15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7F20D78"/>
    <w:multiLevelType w:val="hybridMultilevel"/>
    <w:tmpl w:val="53287F90"/>
    <w:lvl w:ilvl="0" w:tplc="223EE79E">
      <w:start w:val="1"/>
      <w:numFmt w:val="decimal"/>
      <w:lvlText w:val="29.%1"/>
      <w:lvlJc w:val="left"/>
      <w:pPr>
        <w:ind w:left="4613" w:hanging="360"/>
      </w:pPr>
      <w:rPr>
        <w:rFonts w:hint="default"/>
      </w:rPr>
    </w:lvl>
    <w:lvl w:ilvl="1" w:tplc="04090019" w:tentative="1">
      <w:start w:val="1"/>
      <w:numFmt w:val="lowerLetter"/>
      <w:lvlText w:val="%2."/>
      <w:lvlJc w:val="left"/>
      <w:pPr>
        <w:ind w:left="5333" w:hanging="360"/>
      </w:pPr>
    </w:lvl>
    <w:lvl w:ilvl="2" w:tplc="0409001B" w:tentative="1">
      <w:start w:val="1"/>
      <w:numFmt w:val="lowerRoman"/>
      <w:lvlText w:val="%3."/>
      <w:lvlJc w:val="right"/>
      <w:pPr>
        <w:ind w:left="6053" w:hanging="180"/>
      </w:pPr>
    </w:lvl>
    <w:lvl w:ilvl="3" w:tplc="0409000F" w:tentative="1">
      <w:start w:val="1"/>
      <w:numFmt w:val="decimal"/>
      <w:lvlText w:val="%4."/>
      <w:lvlJc w:val="left"/>
      <w:pPr>
        <w:ind w:left="6773" w:hanging="360"/>
      </w:pPr>
    </w:lvl>
    <w:lvl w:ilvl="4" w:tplc="04090019" w:tentative="1">
      <w:start w:val="1"/>
      <w:numFmt w:val="lowerLetter"/>
      <w:lvlText w:val="%5."/>
      <w:lvlJc w:val="left"/>
      <w:pPr>
        <w:ind w:left="7493" w:hanging="360"/>
      </w:pPr>
    </w:lvl>
    <w:lvl w:ilvl="5" w:tplc="0409001B" w:tentative="1">
      <w:start w:val="1"/>
      <w:numFmt w:val="lowerRoman"/>
      <w:lvlText w:val="%6."/>
      <w:lvlJc w:val="right"/>
      <w:pPr>
        <w:ind w:left="8213" w:hanging="180"/>
      </w:pPr>
    </w:lvl>
    <w:lvl w:ilvl="6" w:tplc="0409000F" w:tentative="1">
      <w:start w:val="1"/>
      <w:numFmt w:val="decimal"/>
      <w:lvlText w:val="%7."/>
      <w:lvlJc w:val="left"/>
      <w:pPr>
        <w:ind w:left="8933" w:hanging="360"/>
      </w:pPr>
    </w:lvl>
    <w:lvl w:ilvl="7" w:tplc="04090019" w:tentative="1">
      <w:start w:val="1"/>
      <w:numFmt w:val="lowerLetter"/>
      <w:lvlText w:val="%8."/>
      <w:lvlJc w:val="left"/>
      <w:pPr>
        <w:ind w:left="9653" w:hanging="360"/>
      </w:pPr>
    </w:lvl>
    <w:lvl w:ilvl="8" w:tplc="0409001B" w:tentative="1">
      <w:start w:val="1"/>
      <w:numFmt w:val="lowerRoman"/>
      <w:lvlText w:val="%9."/>
      <w:lvlJc w:val="right"/>
      <w:pPr>
        <w:ind w:left="10373" w:hanging="180"/>
      </w:pPr>
    </w:lvl>
  </w:abstractNum>
  <w:abstractNum w:abstractNumId="6">
    <w:nsid w:val="082B0061"/>
    <w:multiLevelType w:val="hybridMultilevel"/>
    <w:tmpl w:val="4970A348"/>
    <w:lvl w:ilvl="0" w:tplc="DE4A5C86">
      <w:start w:val="7"/>
      <w:numFmt w:val="bullet"/>
      <w:lvlText w:val="-"/>
      <w:lvlJc w:val="left"/>
      <w:pPr>
        <w:ind w:left="360" w:hanging="360"/>
      </w:pPr>
      <w:rPr>
        <w:rFonts w:ascii="Arial" w:eastAsia="Times New Roman" w:hAnsi="Arial" w:cs="Arial"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nsid w:val="08362B6D"/>
    <w:multiLevelType w:val="hybridMultilevel"/>
    <w:tmpl w:val="74347372"/>
    <w:lvl w:ilvl="0" w:tplc="DE4A5C86">
      <w:start w:val="7"/>
      <w:numFmt w:val="bullet"/>
      <w:lvlText w:val="-"/>
      <w:lvlJc w:val="left"/>
      <w:pPr>
        <w:ind w:left="360" w:hanging="360"/>
      </w:pPr>
      <w:rPr>
        <w:rFonts w:ascii="Arial" w:eastAsia="Times New Roman" w:hAnsi="Arial" w:cs="Arial"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nsid w:val="09BB7A06"/>
    <w:multiLevelType w:val="hybridMultilevel"/>
    <w:tmpl w:val="339EACD6"/>
    <w:lvl w:ilvl="0" w:tplc="04090001">
      <w:start w:val="1"/>
      <w:numFmt w:val="bullet"/>
      <w:lvlText w:val=""/>
      <w:lvlJc w:val="left"/>
      <w:pPr>
        <w:ind w:left="910" w:hanging="360"/>
      </w:pPr>
      <w:rPr>
        <w:rFonts w:ascii="Symbol" w:hAnsi="Symbol" w:hint="default"/>
      </w:rPr>
    </w:lvl>
    <w:lvl w:ilvl="1" w:tplc="04090003" w:tentative="1">
      <w:start w:val="1"/>
      <w:numFmt w:val="bullet"/>
      <w:lvlText w:val="o"/>
      <w:lvlJc w:val="left"/>
      <w:pPr>
        <w:ind w:left="1630" w:hanging="360"/>
      </w:pPr>
      <w:rPr>
        <w:rFonts w:ascii="Courier New" w:hAnsi="Courier New" w:cs="Courier New" w:hint="default"/>
      </w:rPr>
    </w:lvl>
    <w:lvl w:ilvl="2" w:tplc="04090005" w:tentative="1">
      <w:start w:val="1"/>
      <w:numFmt w:val="bullet"/>
      <w:lvlText w:val=""/>
      <w:lvlJc w:val="left"/>
      <w:pPr>
        <w:ind w:left="2350" w:hanging="360"/>
      </w:pPr>
      <w:rPr>
        <w:rFonts w:ascii="Wingdings" w:hAnsi="Wingdings" w:hint="default"/>
      </w:rPr>
    </w:lvl>
    <w:lvl w:ilvl="3" w:tplc="04090001" w:tentative="1">
      <w:start w:val="1"/>
      <w:numFmt w:val="bullet"/>
      <w:lvlText w:val=""/>
      <w:lvlJc w:val="left"/>
      <w:pPr>
        <w:ind w:left="3070" w:hanging="360"/>
      </w:pPr>
      <w:rPr>
        <w:rFonts w:ascii="Symbol" w:hAnsi="Symbol" w:hint="default"/>
      </w:rPr>
    </w:lvl>
    <w:lvl w:ilvl="4" w:tplc="04090003" w:tentative="1">
      <w:start w:val="1"/>
      <w:numFmt w:val="bullet"/>
      <w:lvlText w:val="o"/>
      <w:lvlJc w:val="left"/>
      <w:pPr>
        <w:ind w:left="3790" w:hanging="360"/>
      </w:pPr>
      <w:rPr>
        <w:rFonts w:ascii="Courier New" w:hAnsi="Courier New" w:cs="Courier New" w:hint="default"/>
      </w:rPr>
    </w:lvl>
    <w:lvl w:ilvl="5" w:tplc="04090005" w:tentative="1">
      <w:start w:val="1"/>
      <w:numFmt w:val="bullet"/>
      <w:lvlText w:val=""/>
      <w:lvlJc w:val="left"/>
      <w:pPr>
        <w:ind w:left="4510" w:hanging="360"/>
      </w:pPr>
      <w:rPr>
        <w:rFonts w:ascii="Wingdings" w:hAnsi="Wingdings" w:hint="default"/>
      </w:rPr>
    </w:lvl>
    <w:lvl w:ilvl="6" w:tplc="04090001" w:tentative="1">
      <w:start w:val="1"/>
      <w:numFmt w:val="bullet"/>
      <w:lvlText w:val=""/>
      <w:lvlJc w:val="left"/>
      <w:pPr>
        <w:ind w:left="5230" w:hanging="360"/>
      </w:pPr>
      <w:rPr>
        <w:rFonts w:ascii="Symbol" w:hAnsi="Symbol" w:hint="default"/>
      </w:rPr>
    </w:lvl>
    <w:lvl w:ilvl="7" w:tplc="04090003" w:tentative="1">
      <w:start w:val="1"/>
      <w:numFmt w:val="bullet"/>
      <w:lvlText w:val="o"/>
      <w:lvlJc w:val="left"/>
      <w:pPr>
        <w:ind w:left="5950" w:hanging="360"/>
      </w:pPr>
      <w:rPr>
        <w:rFonts w:ascii="Courier New" w:hAnsi="Courier New" w:cs="Courier New" w:hint="default"/>
      </w:rPr>
    </w:lvl>
    <w:lvl w:ilvl="8" w:tplc="04090005" w:tentative="1">
      <w:start w:val="1"/>
      <w:numFmt w:val="bullet"/>
      <w:lvlText w:val=""/>
      <w:lvlJc w:val="left"/>
      <w:pPr>
        <w:ind w:left="6670" w:hanging="360"/>
      </w:pPr>
      <w:rPr>
        <w:rFonts w:ascii="Wingdings" w:hAnsi="Wingdings" w:hint="default"/>
      </w:rPr>
    </w:lvl>
  </w:abstractNum>
  <w:abstractNum w:abstractNumId="9">
    <w:nsid w:val="0A13276A"/>
    <w:multiLevelType w:val="hybridMultilevel"/>
    <w:tmpl w:val="A336F356"/>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0BD223AE"/>
    <w:multiLevelType w:val="hybridMultilevel"/>
    <w:tmpl w:val="61BE33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CC040EF"/>
    <w:multiLevelType w:val="hybridMultilevel"/>
    <w:tmpl w:val="962A2DD4"/>
    <w:lvl w:ilvl="0" w:tplc="982C6F96">
      <w:start w:val="1"/>
      <w:numFmt w:val="decimal"/>
      <w:lvlText w:val="3.%1."/>
      <w:lvlJc w:val="left"/>
      <w:pPr>
        <w:ind w:left="206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EF04629"/>
    <w:multiLevelType w:val="hybridMultilevel"/>
    <w:tmpl w:val="7ADCD922"/>
    <w:lvl w:ilvl="0" w:tplc="10C2376C">
      <w:start w:val="1"/>
      <w:numFmt w:val="lowerRoman"/>
      <w:lvlText w:val="%1)"/>
      <w:lvlJc w:val="left"/>
      <w:pPr>
        <w:ind w:left="371" w:hanging="360"/>
      </w:pPr>
      <w:rPr>
        <w:rFonts w:hint="default"/>
      </w:rPr>
    </w:lvl>
    <w:lvl w:ilvl="1" w:tplc="04090019" w:tentative="1">
      <w:start w:val="1"/>
      <w:numFmt w:val="lowerLetter"/>
      <w:lvlText w:val="%2."/>
      <w:lvlJc w:val="left"/>
      <w:pPr>
        <w:ind w:left="1091" w:hanging="360"/>
      </w:pPr>
    </w:lvl>
    <w:lvl w:ilvl="2" w:tplc="0409001B" w:tentative="1">
      <w:start w:val="1"/>
      <w:numFmt w:val="lowerRoman"/>
      <w:lvlText w:val="%3."/>
      <w:lvlJc w:val="right"/>
      <w:pPr>
        <w:ind w:left="1811" w:hanging="180"/>
      </w:pPr>
    </w:lvl>
    <w:lvl w:ilvl="3" w:tplc="0409000F" w:tentative="1">
      <w:start w:val="1"/>
      <w:numFmt w:val="decimal"/>
      <w:lvlText w:val="%4."/>
      <w:lvlJc w:val="left"/>
      <w:pPr>
        <w:ind w:left="2531" w:hanging="360"/>
      </w:pPr>
    </w:lvl>
    <w:lvl w:ilvl="4" w:tplc="04090019" w:tentative="1">
      <w:start w:val="1"/>
      <w:numFmt w:val="lowerLetter"/>
      <w:lvlText w:val="%5."/>
      <w:lvlJc w:val="left"/>
      <w:pPr>
        <w:ind w:left="3251" w:hanging="360"/>
      </w:pPr>
    </w:lvl>
    <w:lvl w:ilvl="5" w:tplc="0409001B" w:tentative="1">
      <w:start w:val="1"/>
      <w:numFmt w:val="lowerRoman"/>
      <w:lvlText w:val="%6."/>
      <w:lvlJc w:val="right"/>
      <w:pPr>
        <w:ind w:left="3971" w:hanging="180"/>
      </w:pPr>
    </w:lvl>
    <w:lvl w:ilvl="6" w:tplc="0409000F" w:tentative="1">
      <w:start w:val="1"/>
      <w:numFmt w:val="decimal"/>
      <w:lvlText w:val="%7."/>
      <w:lvlJc w:val="left"/>
      <w:pPr>
        <w:ind w:left="4691" w:hanging="360"/>
      </w:pPr>
    </w:lvl>
    <w:lvl w:ilvl="7" w:tplc="04090019" w:tentative="1">
      <w:start w:val="1"/>
      <w:numFmt w:val="lowerLetter"/>
      <w:lvlText w:val="%8."/>
      <w:lvlJc w:val="left"/>
      <w:pPr>
        <w:ind w:left="5411" w:hanging="360"/>
      </w:pPr>
    </w:lvl>
    <w:lvl w:ilvl="8" w:tplc="0409001B" w:tentative="1">
      <w:start w:val="1"/>
      <w:numFmt w:val="lowerRoman"/>
      <w:lvlText w:val="%9."/>
      <w:lvlJc w:val="right"/>
      <w:pPr>
        <w:ind w:left="6131" w:hanging="180"/>
      </w:pPr>
    </w:lvl>
  </w:abstractNum>
  <w:abstractNum w:abstractNumId="13">
    <w:nsid w:val="10192F6F"/>
    <w:multiLevelType w:val="hybridMultilevel"/>
    <w:tmpl w:val="8AE059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0F11F0D"/>
    <w:multiLevelType w:val="hybridMultilevel"/>
    <w:tmpl w:val="00308932"/>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11633D0F"/>
    <w:multiLevelType w:val="hybridMultilevel"/>
    <w:tmpl w:val="7026025C"/>
    <w:lvl w:ilvl="0" w:tplc="B2CE14BE">
      <w:start w:val="5"/>
      <w:numFmt w:val="decimal"/>
      <w:lvlText w:val="%1."/>
      <w:lvlJc w:val="left"/>
      <w:pPr>
        <w:ind w:left="1211"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122B2A50"/>
    <w:multiLevelType w:val="hybridMultilevel"/>
    <w:tmpl w:val="649E93AE"/>
    <w:lvl w:ilvl="0" w:tplc="88408418">
      <w:start w:val="1"/>
      <w:numFmt w:val="decimal"/>
      <w:lvlText w:val="%1."/>
      <w:lvlJc w:val="left"/>
      <w:pPr>
        <w:tabs>
          <w:tab w:val="num" w:pos="709"/>
        </w:tabs>
        <w:ind w:left="142" w:firstLine="0"/>
      </w:pPr>
      <w:rPr>
        <w:rFonts w:hint="default"/>
        <w:b w:val="0"/>
        <w:bCs/>
      </w:rPr>
    </w:lvl>
    <w:lvl w:ilvl="1" w:tplc="58C0532C"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123F2859"/>
    <w:multiLevelType w:val="hybridMultilevel"/>
    <w:tmpl w:val="85242A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12B30DEB"/>
    <w:multiLevelType w:val="hybridMultilevel"/>
    <w:tmpl w:val="78E8EB80"/>
    <w:lvl w:ilvl="0" w:tplc="1AA0ABC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3612524"/>
    <w:multiLevelType w:val="hybridMultilevel"/>
    <w:tmpl w:val="C030AAB4"/>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13E272F6"/>
    <w:multiLevelType w:val="hybridMultilevel"/>
    <w:tmpl w:val="59DCCBCC"/>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141F0DE2"/>
    <w:multiLevelType w:val="hybridMultilevel"/>
    <w:tmpl w:val="F094F3CA"/>
    <w:lvl w:ilvl="0" w:tplc="48ECDDD2">
      <w:start w:val="1"/>
      <w:numFmt w:val="decimal"/>
      <w:lvlText w:val="23.%1."/>
      <w:lvlJc w:val="left"/>
      <w:pPr>
        <w:ind w:left="928" w:hanging="360"/>
      </w:pPr>
      <w:rPr>
        <w:rFonts w:ascii="Arial" w:hAnsi="Arial" w:cs="Arial" w:hint="default"/>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4AE7A95"/>
    <w:multiLevelType w:val="hybridMultilevel"/>
    <w:tmpl w:val="CD4430F2"/>
    <w:lvl w:ilvl="0" w:tplc="3D8C94B4">
      <w:start w:val="1"/>
      <w:numFmt w:val="decimal"/>
      <w:lvlText w:val="1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61E2E61"/>
    <w:multiLevelType w:val="hybridMultilevel"/>
    <w:tmpl w:val="122EBE00"/>
    <w:lvl w:ilvl="0" w:tplc="0A8E2F90">
      <w:start w:val="1"/>
      <w:numFmt w:val="upperRoman"/>
      <w:pStyle w:val="Heading1"/>
      <w:lvlText w:val="%1."/>
      <w:lvlJc w:val="right"/>
      <w:pPr>
        <w:tabs>
          <w:tab w:val="num" w:pos="284"/>
        </w:tabs>
        <w:ind w:left="720" w:hanging="720"/>
      </w:pPr>
      <w:rPr>
        <w:rFonts w:ascii="Arial" w:hAnsi="Arial"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182D30F0"/>
    <w:multiLevelType w:val="hybridMultilevel"/>
    <w:tmpl w:val="2430CF06"/>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1A3B7367"/>
    <w:multiLevelType w:val="hybridMultilevel"/>
    <w:tmpl w:val="61BE3338"/>
    <w:lvl w:ilvl="0" w:tplc="0409000F">
      <w:start w:val="1"/>
      <w:numFmt w:val="decimal"/>
      <w:lvlText w:val="%1."/>
      <w:lvlJc w:val="left"/>
      <w:pPr>
        <w:ind w:left="4613"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1B22262A"/>
    <w:multiLevelType w:val="hybridMultilevel"/>
    <w:tmpl w:val="C626543A"/>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1B605764"/>
    <w:multiLevelType w:val="hybridMultilevel"/>
    <w:tmpl w:val="5C1E54E8"/>
    <w:lvl w:ilvl="0" w:tplc="5B683A3A">
      <w:start w:val="1"/>
      <w:numFmt w:val="upperRoman"/>
      <w:lvlText w:val="%1."/>
      <w:lvlJc w:val="left"/>
      <w:pPr>
        <w:ind w:left="1080" w:hanging="720"/>
      </w:pPr>
      <w:rPr>
        <w:rFonts w:hint="default"/>
      </w:rPr>
    </w:lvl>
    <w:lvl w:ilvl="1" w:tplc="A2369E28">
      <w:start w:val="1"/>
      <w:numFmt w:val="lowerLetter"/>
      <w:lvlText w:val="(%2)"/>
      <w:lvlJc w:val="left"/>
      <w:pPr>
        <w:ind w:left="1440" w:hanging="360"/>
      </w:pPr>
      <w:rPr>
        <w:rFonts w:hint="default"/>
        <w:i/>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1C3C58AA"/>
    <w:multiLevelType w:val="hybridMultilevel"/>
    <w:tmpl w:val="AC8AD65E"/>
    <w:lvl w:ilvl="0" w:tplc="3D985CDC">
      <w:start w:val="1"/>
      <w:numFmt w:val="decimal"/>
      <w:lvlText w:val="22.%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1C5E683D"/>
    <w:multiLevelType w:val="hybridMultilevel"/>
    <w:tmpl w:val="54FA731E"/>
    <w:lvl w:ilvl="0" w:tplc="B0BCA630">
      <w:start w:val="19"/>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1EA37FE0"/>
    <w:multiLevelType w:val="hybridMultilevel"/>
    <w:tmpl w:val="1B1C5666"/>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1ED221A1"/>
    <w:multiLevelType w:val="hybridMultilevel"/>
    <w:tmpl w:val="967A47AA"/>
    <w:lvl w:ilvl="0" w:tplc="1AA0ABC2">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2">
    <w:nsid w:val="1FD44917"/>
    <w:multiLevelType w:val="hybridMultilevel"/>
    <w:tmpl w:val="7F8CC5BE"/>
    <w:lvl w:ilvl="0" w:tplc="17A42F20">
      <w:start w:val="1"/>
      <w:numFmt w:val="decimal"/>
      <w:lvlRestart w:val="0"/>
      <w:lvlText w:val="21.%1."/>
      <w:lvlJc w:val="left"/>
      <w:pPr>
        <w:tabs>
          <w:tab w:val="num" w:pos="680"/>
        </w:tabs>
        <w:ind w:left="0" w:firstLine="0"/>
      </w:pPr>
      <w:rPr>
        <w:rFonts w:ascii="Arial" w:hAnsi="Arial" w:cs="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4">
    <w:nsid w:val="201213CE"/>
    <w:multiLevelType w:val="hybridMultilevel"/>
    <w:tmpl w:val="6D0E47EC"/>
    <w:lvl w:ilvl="0" w:tplc="97763274">
      <w:start w:val="1"/>
      <w:numFmt w:val="decimal"/>
      <w:lvlText w:val="28.%1"/>
      <w:lvlJc w:val="left"/>
      <w:pPr>
        <w:ind w:left="36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203A1B2A"/>
    <w:multiLevelType w:val="hybridMultilevel"/>
    <w:tmpl w:val="45B222E6"/>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214E6CDB"/>
    <w:multiLevelType w:val="hybridMultilevel"/>
    <w:tmpl w:val="DB1C7D08"/>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221948C6"/>
    <w:multiLevelType w:val="hybridMultilevel"/>
    <w:tmpl w:val="77C8CEBA"/>
    <w:lvl w:ilvl="0" w:tplc="6D6AF868">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25893C17"/>
    <w:multiLevelType w:val="hybridMultilevel"/>
    <w:tmpl w:val="E7E26952"/>
    <w:lvl w:ilvl="0" w:tplc="2D4AE1C4">
      <w:start w:val="1"/>
      <w:numFmt w:val="bullet"/>
      <w:lvlText w:val="-"/>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26815950"/>
    <w:multiLevelType w:val="hybridMultilevel"/>
    <w:tmpl w:val="807EC6B4"/>
    <w:lvl w:ilvl="0" w:tplc="74043A8E">
      <w:start w:val="1"/>
      <w:numFmt w:val="decimal"/>
      <w:lvlText w:val="18.%1."/>
      <w:lvlJc w:val="left"/>
      <w:pPr>
        <w:ind w:left="36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26885FCA"/>
    <w:multiLevelType w:val="hybridMultilevel"/>
    <w:tmpl w:val="EE0CC2BC"/>
    <w:lvl w:ilvl="0" w:tplc="1AB84846">
      <w:start w:val="1"/>
      <w:numFmt w:val="decimal"/>
      <w:lvlText w:val="12.%1."/>
      <w:lvlJc w:val="left"/>
      <w:pPr>
        <w:ind w:left="720" w:hanging="360"/>
      </w:pPr>
      <w:rPr>
        <w:rFonts w:ascii="Arial" w:hAnsi="Arial" w:cs="Arial"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276A3D44"/>
    <w:multiLevelType w:val="hybridMultilevel"/>
    <w:tmpl w:val="9E909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29D20EFF"/>
    <w:multiLevelType w:val="hybridMultilevel"/>
    <w:tmpl w:val="21948684"/>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nsid w:val="2A6D4D63"/>
    <w:multiLevelType w:val="hybridMultilevel"/>
    <w:tmpl w:val="7C0AEBB4"/>
    <w:lvl w:ilvl="0" w:tplc="D61C95E2">
      <w:start w:val="1"/>
      <w:numFmt w:val="decimal"/>
      <w:lvlText w:val="13.%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2B022C2D"/>
    <w:multiLevelType w:val="hybridMultilevel"/>
    <w:tmpl w:val="B5200226"/>
    <w:lvl w:ilvl="0" w:tplc="D92AB576">
      <w:start w:val="1"/>
      <w:numFmt w:val="decimal"/>
      <w:lvlText w:val="16.%1."/>
      <w:lvlJc w:val="left"/>
      <w:pPr>
        <w:ind w:left="786"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2B1A31DD"/>
    <w:multiLevelType w:val="hybridMultilevel"/>
    <w:tmpl w:val="0B202FC2"/>
    <w:lvl w:ilvl="0" w:tplc="1AA0ABC2">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6">
    <w:nsid w:val="2C64387E"/>
    <w:multiLevelType w:val="hybridMultilevel"/>
    <w:tmpl w:val="8252F564"/>
    <w:lvl w:ilvl="0" w:tplc="01E86E6C">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2D2D4A83"/>
    <w:multiLevelType w:val="hybridMultilevel"/>
    <w:tmpl w:val="6C962490"/>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nsid w:val="2D7D5DCC"/>
    <w:multiLevelType w:val="hybridMultilevel"/>
    <w:tmpl w:val="88AEEE08"/>
    <w:lvl w:ilvl="0" w:tplc="1AA0ABC2">
      <w:start w:val="1"/>
      <w:numFmt w:val="bullet"/>
      <w:lvlText w:val=""/>
      <w:lvlJc w:val="left"/>
      <w:pPr>
        <w:ind w:left="720" w:hanging="360"/>
      </w:pPr>
      <w:rPr>
        <w:rFonts w:ascii="Symbol" w:hAnsi="Symbol" w:hint="default"/>
        <w:color w:val="1F497D"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2DA83925"/>
    <w:multiLevelType w:val="hybridMultilevel"/>
    <w:tmpl w:val="74B82C48"/>
    <w:lvl w:ilvl="0" w:tplc="DE560E28">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
    <w:nsid w:val="2F5B64AE"/>
    <w:multiLevelType w:val="hybridMultilevel"/>
    <w:tmpl w:val="4630031E"/>
    <w:lvl w:ilvl="0" w:tplc="F6547D62">
      <w:start w:val="1"/>
      <w:numFmt w:val="bullet"/>
      <w:lvlText w:val=""/>
      <w:lvlJc w:val="left"/>
      <w:pPr>
        <w:tabs>
          <w:tab w:val="num" w:pos="720"/>
        </w:tabs>
        <w:ind w:left="720" w:hanging="360"/>
      </w:pPr>
      <w:rPr>
        <w:rFonts w:ascii="Symbol" w:hAnsi="Symbol" w:hint="default"/>
        <w:lang w:val="es-ES"/>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nsid w:val="31E25AB5"/>
    <w:multiLevelType w:val="hybridMultilevel"/>
    <w:tmpl w:val="0382E77A"/>
    <w:lvl w:ilvl="0" w:tplc="1AA0ABC2">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32BE5653"/>
    <w:multiLevelType w:val="hybridMultilevel"/>
    <w:tmpl w:val="E3803D42"/>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nsid w:val="34043C20"/>
    <w:multiLevelType w:val="hybridMultilevel"/>
    <w:tmpl w:val="D0422B68"/>
    <w:lvl w:ilvl="0" w:tplc="B1F6C150">
      <w:start w:val="1"/>
      <w:numFmt w:val="decimal"/>
      <w:lvlText w:val="24.%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35D26F74"/>
    <w:multiLevelType w:val="hybridMultilevel"/>
    <w:tmpl w:val="1B62C0BC"/>
    <w:lvl w:ilvl="0" w:tplc="0C0A0001">
      <w:start w:val="1"/>
      <w:numFmt w:val="bullet"/>
      <w:lvlText w:val=""/>
      <w:lvlJc w:val="left"/>
      <w:pPr>
        <w:tabs>
          <w:tab w:val="num" w:pos="1353"/>
        </w:tabs>
        <w:ind w:left="1353"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nsid w:val="36AE669D"/>
    <w:multiLevelType w:val="hybridMultilevel"/>
    <w:tmpl w:val="BE80B1AC"/>
    <w:lvl w:ilvl="0" w:tplc="A760BC98">
      <w:start w:val="1"/>
      <w:numFmt w:val="decimal"/>
      <w:lvlText w:val="30.%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nsid w:val="37A273F1"/>
    <w:multiLevelType w:val="hybridMultilevel"/>
    <w:tmpl w:val="C7047F96"/>
    <w:lvl w:ilvl="0" w:tplc="D5583286">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382B066F"/>
    <w:multiLevelType w:val="hybridMultilevel"/>
    <w:tmpl w:val="CBD66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383E717F"/>
    <w:multiLevelType w:val="hybridMultilevel"/>
    <w:tmpl w:val="22103E14"/>
    <w:lvl w:ilvl="0" w:tplc="B0BCA630">
      <w:start w:val="19"/>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nsid w:val="393D127D"/>
    <w:multiLevelType w:val="hybridMultilevel"/>
    <w:tmpl w:val="92F0AA30"/>
    <w:lvl w:ilvl="0" w:tplc="597C5E86">
      <w:start w:val="1"/>
      <w:numFmt w:val="decimal"/>
      <w:lvlText w:val="20.%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3A993A49"/>
    <w:multiLevelType w:val="hybridMultilevel"/>
    <w:tmpl w:val="AA5657BA"/>
    <w:lvl w:ilvl="0" w:tplc="B0BCA630">
      <w:start w:val="19"/>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nsid w:val="3A9C377A"/>
    <w:multiLevelType w:val="hybridMultilevel"/>
    <w:tmpl w:val="24EE0FCE"/>
    <w:lvl w:ilvl="0" w:tplc="1AA0ABC2">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2">
    <w:nsid w:val="3B9C7EF3"/>
    <w:multiLevelType w:val="hybridMultilevel"/>
    <w:tmpl w:val="BE263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3C0307F0"/>
    <w:multiLevelType w:val="hybridMultilevel"/>
    <w:tmpl w:val="BAAC036E"/>
    <w:lvl w:ilvl="0" w:tplc="B0BCA630">
      <w:start w:val="19"/>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nsid w:val="3D00797F"/>
    <w:multiLevelType w:val="hybridMultilevel"/>
    <w:tmpl w:val="DB68A52E"/>
    <w:lvl w:ilvl="0" w:tplc="7B0E38C2">
      <w:start w:val="1"/>
      <w:numFmt w:val="lowerRoman"/>
      <w:lvlText w:val="%1)"/>
      <w:lvlJc w:val="left"/>
      <w:pPr>
        <w:ind w:left="720" w:hanging="720"/>
      </w:pPr>
      <w:rPr>
        <w:rFonts w:eastAsia="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nsid w:val="3D787645"/>
    <w:multiLevelType w:val="hybridMultilevel"/>
    <w:tmpl w:val="0444E7C6"/>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nsid w:val="3FB24D1A"/>
    <w:multiLevelType w:val="hybridMultilevel"/>
    <w:tmpl w:val="171A8C36"/>
    <w:lvl w:ilvl="0" w:tplc="DE4A5C86">
      <w:start w:val="7"/>
      <w:numFmt w:val="bullet"/>
      <w:lvlText w:val="-"/>
      <w:lvlJc w:val="left"/>
      <w:pPr>
        <w:ind w:left="533" w:hanging="360"/>
      </w:pPr>
      <w:rPr>
        <w:rFonts w:ascii="Arial" w:eastAsia="Times New Roman" w:hAnsi="Arial" w:cs="Arial" w:hint="default"/>
      </w:rPr>
    </w:lvl>
    <w:lvl w:ilvl="1" w:tplc="040C0003" w:tentative="1">
      <w:start w:val="1"/>
      <w:numFmt w:val="bullet"/>
      <w:lvlText w:val="o"/>
      <w:lvlJc w:val="left"/>
      <w:pPr>
        <w:ind w:left="1253" w:hanging="360"/>
      </w:pPr>
      <w:rPr>
        <w:rFonts w:ascii="Courier New" w:hAnsi="Courier New" w:hint="default"/>
      </w:rPr>
    </w:lvl>
    <w:lvl w:ilvl="2" w:tplc="040C0005" w:tentative="1">
      <w:start w:val="1"/>
      <w:numFmt w:val="bullet"/>
      <w:lvlText w:val=""/>
      <w:lvlJc w:val="left"/>
      <w:pPr>
        <w:ind w:left="1973" w:hanging="360"/>
      </w:pPr>
      <w:rPr>
        <w:rFonts w:ascii="Wingdings" w:hAnsi="Wingdings" w:hint="default"/>
      </w:rPr>
    </w:lvl>
    <w:lvl w:ilvl="3" w:tplc="040C0001" w:tentative="1">
      <w:start w:val="1"/>
      <w:numFmt w:val="bullet"/>
      <w:lvlText w:val=""/>
      <w:lvlJc w:val="left"/>
      <w:pPr>
        <w:ind w:left="2693" w:hanging="360"/>
      </w:pPr>
      <w:rPr>
        <w:rFonts w:ascii="Symbol" w:hAnsi="Symbol" w:hint="default"/>
      </w:rPr>
    </w:lvl>
    <w:lvl w:ilvl="4" w:tplc="040C0003" w:tentative="1">
      <w:start w:val="1"/>
      <w:numFmt w:val="bullet"/>
      <w:lvlText w:val="o"/>
      <w:lvlJc w:val="left"/>
      <w:pPr>
        <w:ind w:left="3413" w:hanging="360"/>
      </w:pPr>
      <w:rPr>
        <w:rFonts w:ascii="Courier New" w:hAnsi="Courier New" w:hint="default"/>
      </w:rPr>
    </w:lvl>
    <w:lvl w:ilvl="5" w:tplc="040C0005" w:tentative="1">
      <w:start w:val="1"/>
      <w:numFmt w:val="bullet"/>
      <w:lvlText w:val=""/>
      <w:lvlJc w:val="left"/>
      <w:pPr>
        <w:ind w:left="4133" w:hanging="360"/>
      </w:pPr>
      <w:rPr>
        <w:rFonts w:ascii="Wingdings" w:hAnsi="Wingdings" w:hint="default"/>
      </w:rPr>
    </w:lvl>
    <w:lvl w:ilvl="6" w:tplc="040C0001" w:tentative="1">
      <w:start w:val="1"/>
      <w:numFmt w:val="bullet"/>
      <w:lvlText w:val=""/>
      <w:lvlJc w:val="left"/>
      <w:pPr>
        <w:ind w:left="4853" w:hanging="360"/>
      </w:pPr>
      <w:rPr>
        <w:rFonts w:ascii="Symbol" w:hAnsi="Symbol" w:hint="default"/>
      </w:rPr>
    </w:lvl>
    <w:lvl w:ilvl="7" w:tplc="040C0003" w:tentative="1">
      <w:start w:val="1"/>
      <w:numFmt w:val="bullet"/>
      <w:lvlText w:val="o"/>
      <w:lvlJc w:val="left"/>
      <w:pPr>
        <w:ind w:left="5573" w:hanging="360"/>
      </w:pPr>
      <w:rPr>
        <w:rFonts w:ascii="Courier New" w:hAnsi="Courier New" w:hint="default"/>
      </w:rPr>
    </w:lvl>
    <w:lvl w:ilvl="8" w:tplc="040C0005" w:tentative="1">
      <w:start w:val="1"/>
      <w:numFmt w:val="bullet"/>
      <w:lvlText w:val=""/>
      <w:lvlJc w:val="left"/>
      <w:pPr>
        <w:ind w:left="6293" w:hanging="360"/>
      </w:pPr>
      <w:rPr>
        <w:rFonts w:ascii="Wingdings" w:hAnsi="Wingdings" w:hint="default"/>
      </w:rPr>
    </w:lvl>
  </w:abstractNum>
  <w:abstractNum w:abstractNumId="67">
    <w:nsid w:val="3FE03A0F"/>
    <w:multiLevelType w:val="hybridMultilevel"/>
    <w:tmpl w:val="61BE33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400958DF"/>
    <w:multiLevelType w:val="hybridMultilevel"/>
    <w:tmpl w:val="998281DE"/>
    <w:lvl w:ilvl="0" w:tplc="58947DBC">
      <w:start w:val="1"/>
      <w:numFmt w:val="decimal"/>
      <w:lvlText w:val="26.%1"/>
      <w:lvlJc w:val="left"/>
      <w:pPr>
        <w:ind w:left="720" w:hanging="360"/>
      </w:pPr>
      <w:rPr>
        <w:rFonts w:ascii="Arial" w:hAnsi="Arial" w:cs="Arial"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40E7156C"/>
    <w:multiLevelType w:val="hybridMultilevel"/>
    <w:tmpl w:val="224E8446"/>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nsid w:val="44954827"/>
    <w:multiLevelType w:val="hybridMultilevel"/>
    <w:tmpl w:val="A3C2D492"/>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1">
    <w:nsid w:val="44DE445F"/>
    <w:multiLevelType w:val="hybridMultilevel"/>
    <w:tmpl w:val="2E92E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450F0827"/>
    <w:multiLevelType w:val="hybridMultilevel"/>
    <w:tmpl w:val="4B58F35E"/>
    <w:lvl w:ilvl="0" w:tplc="01F67F9A">
      <w:start w:val="1"/>
      <w:numFmt w:val="decimal"/>
      <w:lvlText w:val="5.%1."/>
      <w:lvlJc w:val="left"/>
      <w:pPr>
        <w:ind w:left="720" w:hanging="360"/>
      </w:pPr>
      <w:rPr>
        <w:rFonts w:ascii="Arial" w:hAnsi="Arial"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45FE5BD4"/>
    <w:multiLevelType w:val="hybridMultilevel"/>
    <w:tmpl w:val="A836D000"/>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4">
    <w:nsid w:val="4977170D"/>
    <w:multiLevelType w:val="hybridMultilevel"/>
    <w:tmpl w:val="ED2C5B10"/>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5">
    <w:nsid w:val="4A3213F3"/>
    <w:multiLevelType w:val="hybridMultilevel"/>
    <w:tmpl w:val="C9C6622C"/>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6">
    <w:nsid w:val="4AEF69E5"/>
    <w:multiLevelType w:val="hybridMultilevel"/>
    <w:tmpl w:val="2DEC4222"/>
    <w:lvl w:ilvl="0" w:tplc="BA144366">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4B025F33"/>
    <w:multiLevelType w:val="hybridMultilevel"/>
    <w:tmpl w:val="D8B67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4B6479D4"/>
    <w:multiLevelType w:val="hybridMultilevel"/>
    <w:tmpl w:val="B448BE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4B9548F6"/>
    <w:multiLevelType w:val="hybridMultilevel"/>
    <w:tmpl w:val="AF32AE5C"/>
    <w:lvl w:ilvl="0" w:tplc="82DA63D8">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1">
    <w:nsid w:val="4CED5FCF"/>
    <w:multiLevelType w:val="hybridMultilevel"/>
    <w:tmpl w:val="D960B3DA"/>
    <w:lvl w:ilvl="0" w:tplc="D22C8A48">
      <w:start w:val="1"/>
      <w:numFmt w:val="decimal"/>
      <w:lvlText w:val="11.%1."/>
      <w:lvlJc w:val="left"/>
      <w:pPr>
        <w:ind w:left="6173" w:hanging="360"/>
      </w:pPr>
      <w:rPr>
        <w:rFonts w:ascii="Arial" w:hAnsi="Arial" w:cs="Arial" w:hint="default"/>
        <w:sz w:val="20"/>
        <w:szCs w:val="2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2">
    <w:nsid w:val="518A6B9D"/>
    <w:multiLevelType w:val="hybridMultilevel"/>
    <w:tmpl w:val="6BBCA6FA"/>
    <w:lvl w:ilvl="0" w:tplc="2D4AE1C4">
      <w:start w:val="1"/>
      <w:numFmt w:val="bullet"/>
      <w:lvlText w:val="-"/>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3">
    <w:nsid w:val="55707975"/>
    <w:multiLevelType w:val="hybridMultilevel"/>
    <w:tmpl w:val="91FAA220"/>
    <w:lvl w:ilvl="0" w:tplc="22B84796">
      <w:start w:val="201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55A02C9F"/>
    <w:multiLevelType w:val="hybridMultilevel"/>
    <w:tmpl w:val="21CCFEF4"/>
    <w:lvl w:ilvl="0" w:tplc="B0BCA630">
      <w:start w:val="19"/>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5">
    <w:nsid w:val="5641547C"/>
    <w:multiLevelType w:val="hybridMultilevel"/>
    <w:tmpl w:val="939C39E4"/>
    <w:lvl w:ilvl="0" w:tplc="E4FC18EC">
      <w:start w:val="1"/>
      <w:numFmt w:val="decimal"/>
      <w:lvlText w:val="19.%1."/>
      <w:lvlJc w:val="left"/>
      <w:pPr>
        <w:ind w:left="163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56F411C0"/>
    <w:multiLevelType w:val="hybridMultilevel"/>
    <w:tmpl w:val="F0322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58370B29"/>
    <w:multiLevelType w:val="hybridMultilevel"/>
    <w:tmpl w:val="208604A8"/>
    <w:lvl w:ilvl="0" w:tplc="9FF03A6E">
      <w:start w:val="1"/>
      <w:numFmt w:val="decimal"/>
      <w:lvlText w:val="1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58E51CD9"/>
    <w:multiLevelType w:val="hybridMultilevel"/>
    <w:tmpl w:val="D5888486"/>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9">
    <w:nsid w:val="5A232C8B"/>
    <w:multiLevelType w:val="hybridMultilevel"/>
    <w:tmpl w:val="6A5812B8"/>
    <w:lvl w:ilvl="0" w:tplc="75FA6534">
      <w:start w:val="1"/>
      <w:numFmt w:val="decimal"/>
      <w:lvlText w:val="%1."/>
      <w:lvlJc w:val="left"/>
      <w:pPr>
        <w:ind w:left="720" w:hanging="360"/>
      </w:pPr>
    </w:lvl>
    <w:lvl w:ilvl="1" w:tplc="04090017">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5AE41D5E"/>
    <w:multiLevelType w:val="hybridMultilevel"/>
    <w:tmpl w:val="8AE059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5C16756D"/>
    <w:multiLevelType w:val="hybridMultilevel"/>
    <w:tmpl w:val="6CB61330"/>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2">
    <w:nsid w:val="5D123CD6"/>
    <w:multiLevelType w:val="hybridMultilevel"/>
    <w:tmpl w:val="5C104AD8"/>
    <w:lvl w:ilvl="0" w:tplc="87009630">
      <w:start w:val="6"/>
      <w:numFmt w:val="bullet"/>
      <w:lvlText w:val="-"/>
      <w:lvlJc w:val="left"/>
      <w:pPr>
        <w:ind w:left="731" w:hanging="360"/>
      </w:pPr>
      <w:rPr>
        <w:rFonts w:ascii="Arial" w:eastAsia="Times New Roman" w:hAnsi="Arial" w:cs="Arial" w:hint="default"/>
      </w:rPr>
    </w:lvl>
    <w:lvl w:ilvl="1" w:tplc="04090003" w:tentative="1">
      <w:start w:val="1"/>
      <w:numFmt w:val="bullet"/>
      <w:lvlText w:val="o"/>
      <w:lvlJc w:val="left"/>
      <w:pPr>
        <w:ind w:left="1451" w:hanging="360"/>
      </w:pPr>
      <w:rPr>
        <w:rFonts w:ascii="Courier New" w:hAnsi="Courier New" w:cs="Courier New" w:hint="default"/>
      </w:rPr>
    </w:lvl>
    <w:lvl w:ilvl="2" w:tplc="04090005" w:tentative="1">
      <w:start w:val="1"/>
      <w:numFmt w:val="bullet"/>
      <w:lvlText w:val=""/>
      <w:lvlJc w:val="left"/>
      <w:pPr>
        <w:ind w:left="2171" w:hanging="360"/>
      </w:pPr>
      <w:rPr>
        <w:rFonts w:ascii="Wingdings" w:hAnsi="Wingdings" w:hint="default"/>
      </w:rPr>
    </w:lvl>
    <w:lvl w:ilvl="3" w:tplc="04090001" w:tentative="1">
      <w:start w:val="1"/>
      <w:numFmt w:val="bullet"/>
      <w:lvlText w:val=""/>
      <w:lvlJc w:val="left"/>
      <w:pPr>
        <w:ind w:left="2891" w:hanging="360"/>
      </w:pPr>
      <w:rPr>
        <w:rFonts w:ascii="Symbol" w:hAnsi="Symbol" w:hint="default"/>
      </w:rPr>
    </w:lvl>
    <w:lvl w:ilvl="4" w:tplc="04090003" w:tentative="1">
      <w:start w:val="1"/>
      <w:numFmt w:val="bullet"/>
      <w:lvlText w:val="o"/>
      <w:lvlJc w:val="left"/>
      <w:pPr>
        <w:ind w:left="3611" w:hanging="360"/>
      </w:pPr>
      <w:rPr>
        <w:rFonts w:ascii="Courier New" w:hAnsi="Courier New" w:cs="Courier New" w:hint="default"/>
      </w:rPr>
    </w:lvl>
    <w:lvl w:ilvl="5" w:tplc="04090005" w:tentative="1">
      <w:start w:val="1"/>
      <w:numFmt w:val="bullet"/>
      <w:lvlText w:val=""/>
      <w:lvlJc w:val="left"/>
      <w:pPr>
        <w:ind w:left="4331" w:hanging="360"/>
      </w:pPr>
      <w:rPr>
        <w:rFonts w:ascii="Wingdings" w:hAnsi="Wingdings" w:hint="default"/>
      </w:rPr>
    </w:lvl>
    <w:lvl w:ilvl="6" w:tplc="04090001" w:tentative="1">
      <w:start w:val="1"/>
      <w:numFmt w:val="bullet"/>
      <w:lvlText w:val=""/>
      <w:lvlJc w:val="left"/>
      <w:pPr>
        <w:ind w:left="5051" w:hanging="360"/>
      </w:pPr>
      <w:rPr>
        <w:rFonts w:ascii="Symbol" w:hAnsi="Symbol" w:hint="default"/>
      </w:rPr>
    </w:lvl>
    <w:lvl w:ilvl="7" w:tplc="04090003" w:tentative="1">
      <w:start w:val="1"/>
      <w:numFmt w:val="bullet"/>
      <w:lvlText w:val="o"/>
      <w:lvlJc w:val="left"/>
      <w:pPr>
        <w:ind w:left="5771" w:hanging="360"/>
      </w:pPr>
      <w:rPr>
        <w:rFonts w:ascii="Courier New" w:hAnsi="Courier New" w:cs="Courier New" w:hint="default"/>
      </w:rPr>
    </w:lvl>
    <w:lvl w:ilvl="8" w:tplc="04090005" w:tentative="1">
      <w:start w:val="1"/>
      <w:numFmt w:val="bullet"/>
      <w:lvlText w:val=""/>
      <w:lvlJc w:val="left"/>
      <w:pPr>
        <w:ind w:left="6491" w:hanging="360"/>
      </w:pPr>
      <w:rPr>
        <w:rFonts w:ascii="Wingdings" w:hAnsi="Wingdings" w:hint="default"/>
      </w:rPr>
    </w:lvl>
  </w:abstractNum>
  <w:abstractNum w:abstractNumId="93">
    <w:nsid w:val="5D80317F"/>
    <w:multiLevelType w:val="hybridMultilevel"/>
    <w:tmpl w:val="1D06B1D4"/>
    <w:lvl w:ilvl="0" w:tplc="A8CE5B4A">
      <w:start w:val="7"/>
      <w:numFmt w:val="decimal"/>
      <w:lvlText w:val="2.%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4">
    <w:nsid w:val="5E274D19"/>
    <w:multiLevelType w:val="hybridMultilevel"/>
    <w:tmpl w:val="42C60096"/>
    <w:lvl w:ilvl="0" w:tplc="2A984D40">
      <w:start w:val="1"/>
      <w:numFmt w:val="decimal"/>
      <w:lvlText w:val="4.%1."/>
      <w:lvlJc w:val="left"/>
      <w:pPr>
        <w:tabs>
          <w:tab w:val="num" w:pos="680"/>
        </w:tabs>
        <w:ind w:left="0" w:firstLine="0"/>
      </w:pPr>
      <w:rPr>
        <w:rFonts w:ascii="Arial" w:hAnsi="Arial" w:cs="Arial" w:hint="default"/>
        <w:sz w:val="20"/>
        <w:szCs w:val="2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5">
    <w:nsid w:val="5EA93457"/>
    <w:multiLevelType w:val="hybridMultilevel"/>
    <w:tmpl w:val="333042DA"/>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6">
    <w:nsid w:val="5EFA5F3F"/>
    <w:multiLevelType w:val="hybridMultilevel"/>
    <w:tmpl w:val="9B9066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ahom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ahom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ahom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7">
    <w:nsid w:val="60E16150"/>
    <w:multiLevelType w:val="hybridMultilevel"/>
    <w:tmpl w:val="FEB0664A"/>
    <w:lvl w:ilvl="0" w:tplc="81F2B81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nsid w:val="64055856"/>
    <w:multiLevelType w:val="hybridMultilevel"/>
    <w:tmpl w:val="DB529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nsid w:val="64DC190A"/>
    <w:multiLevelType w:val="hybridMultilevel"/>
    <w:tmpl w:val="DBD071DA"/>
    <w:lvl w:ilvl="0" w:tplc="DE4A5C86">
      <w:start w:val="7"/>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0">
    <w:nsid w:val="671966A3"/>
    <w:multiLevelType w:val="hybridMultilevel"/>
    <w:tmpl w:val="FD984FA8"/>
    <w:lvl w:ilvl="0" w:tplc="87009630">
      <w:start w:val="6"/>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1">
    <w:nsid w:val="675156A7"/>
    <w:multiLevelType w:val="hybridMultilevel"/>
    <w:tmpl w:val="A50C53F8"/>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2">
    <w:nsid w:val="677D720E"/>
    <w:multiLevelType w:val="hybridMultilevel"/>
    <w:tmpl w:val="656AF448"/>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3">
    <w:nsid w:val="68321D13"/>
    <w:multiLevelType w:val="hybridMultilevel"/>
    <w:tmpl w:val="C0CCE232"/>
    <w:lvl w:ilvl="0" w:tplc="A250513C">
      <w:start w:val="1"/>
      <w:numFmt w:val="decimal"/>
      <w:lvlText w:val="31.%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nsid w:val="6938645E"/>
    <w:multiLevelType w:val="multilevel"/>
    <w:tmpl w:val="D9FAEA6C"/>
    <w:lvl w:ilvl="0">
      <w:start w:val="70"/>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05">
    <w:nsid w:val="6A005E3D"/>
    <w:multiLevelType w:val="hybridMultilevel"/>
    <w:tmpl w:val="4822A6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6">
    <w:nsid w:val="6B643B61"/>
    <w:multiLevelType w:val="hybridMultilevel"/>
    <w:tmpl w:val="EB2CA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nsid w:val="6BAE3F18"/>
    <w:multiLevelType w:val="hybridMultilevel"/>
    <w:tmpl w:val="180A8A3A"/>
    <w:lvl w:ilvl="0" w:tplc="3342BADC">
      <w:start w:val="1"/>
      <w:numFmt w:val="decimal"/>
      <w:lvlText w:val="25.%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nsid w:val="6D9418CC"/>
    <w:multiLevelType w:val="hybridMultilevel"/>
    <w:tmpl w:val="7E82E106"/>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9">
    <w:nsid w:val="70AC3B59"/>
    <w:multiLevelType w:val="hybridMultilevel"/>
    <w:tmpl w:val="1FD0C4F8"/>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0">
    <w:nsid w:val="71146A48"/>
    <w:multiLevelType w:val="hybridMultilevel"/>
    <w:tmpl w:val="32DC7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nsid w:val="72376FFB"/>
    <w:multiLevelType w:val="multilevel"/>
    <w:tmpl w:val="12E4239A"/>
    <w:lvl w:ilvl="0">
      <w:start w:val="1"/>
      <w:numFmt w:val="bullet"/>
      <w:pStyle w:val="Tes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2">
    <w:nsid w:val="72475227"/>
    <w:multiLevelType w:val="hybridMultilevel"/>
    <w:tmpl w:val="BEF8ACD8"/>
    <w:lvl w:ilvl="0" w:tplc="DE4A5C86">
      <w:start w:val="7"/>
      <w:numFmt w:val="bullet"/>
      <w:lvlText w:val="-"/>
      <w:lvlJc w:val="left"/>
      <w:pPr>
        <w:ind w:left="360" w:hanging="360"/>
      </w:pPr>
      <w:rPr>
        <w:rFonts w:ascii="Arial" w:eastAsia="Times New Roman" w:hAnsi="Arial" w:cs="Arial"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3">
    <w:nsid w:val="73222A77"/>
    <w:multiLevelType w:val="hybridMultilevel"/>
    <w:tmpl w:val="BD700530"/>
    <w:lvl w:ilvl="0" w:tplc="1AA0ABC2">
      <w:start w:val="1"/>
      <w:numFmt w:val="bullet"/>
      <w:lvlText w:val=""/>
      <w:lvlJc w:val="left"/>
      <w:pPr>
        <w:tabs>
          <w:tab w:val="num" w:pos="794"/>
        </w:tabs>
        <w:ind w:left="794" w:hanging="397"/>
      </w:pPr>
      <w:rPr>
        <w:rFonts w:ascii="Symbol" w:hAnsi="Symbol" w:hint="default"/>
      </w:rPr>
    </w:lvl>
    <w:lvl w:ilvl="1" w:tplc="EA88E58A">
      <w:start w:val="1"/>
      <w:numFmt w:val="bullet"/>
      <w:lvlText w:val=""/>
      <w:lvlJc w:val="left"/>
      <w:pPr>
        <w:tabs>
          <w:tab w:val="num" w:pos="1990"/>
        </w:tabs>
        <w:ind w:left="1990" w:hanging="360"/>
      </w:pPr>
      <w:rPr>
        <w:rFonts w:ascii="Symbol" w:hAnsi="Symbol" w:hint="default"/>
        <w:color w:val="auto"/>
      </w:rPr>
    </w:lvl>
    <w:lvl w:ilvl="2" w:tplc="0409001B" w:tentative="1">
      <w:start w:val="1"/>
      <w:numFmt w:val="lowerRoman"/>
      <w:lvlText w:val="%3."/>
      <w:lvlJc w:val="right"/>
      <w:pPr>
        <w:tabs>
          <w:tab w:val="num" w:pos="2710"/>
        </w:tabs>
        <w:ind w:left="2710" w:hanging="180"/>
      </w:pPr>
    </w:lvl>
    <w:lvl w:ilvl="3" w:tplc="0409000F">
      <w:start w:val="1"/>
      <w:numFmt w:val="decimal"/>
      <w:lvlText w:val="%4."/>
      <w:lvlJc w:val="left"/>
      <w:pPr>
        <w:tabs>
          <w:tab w:val="num" w:pos="3430"/>
        </w:tabs>
        <w:ind w:left="3430" w:hanging="360"/>
      </w:pPr>
      <w:rPr>
        <w:rFonts w:hint="default"/>
      </w:rPr>
    </w:lvl>
    <w:lvl w:ilvl="4" w:tplc="04090019" w:tentative="1">
      <w:start w:val="1"/>
      <w:numFmt w:val="lowerLetter"/>
      <w:lvlText w:val="%5."/>
      <w:lvlJc w:val="left"/>
      <w:pPr>
        <w:tabs>
          <w:tab w:val="num" w:pos="4150"/>
        </w:tabs>
        <w:ind w:left="4150" w:hanging="360"/>
      </w:pPr>
    </w:lvl>
    <w:lvl w:ilvl="5" w:tplc="0409001B" w:tentative="1">
      <w:start w:val="1"/>
      <w:numFmt w:val="lowerRoman"/>
      <w:lvlText w:val="%6."/>
      <w:lvlJc w:val="right"/>
      <w:pPr>
        <w:tabs>
          <w:tab w:val="num" w:pos="4870"/>
        </w:tabs>
        <w:ind w:left="4870" w:hanging="180"/>
      </w:pPr>
    </w:lvl>
    <w:lvl w:ilvl="6" w:tplc="0409000F" w:tentative="1">
      <w:start w:val="1"/>
      <w:numFmt w:val="decimal"/>
      <w:lvlText w:val="%7."/>
      <w:lvlJc w:val="left"/>
      <w:pPr>
        <w:tabs>
          <w:tab w:val="num" w:pos="5590"/>
        </w:tabs>
        <w:ind w:left="5590" w:hanging="360"/>
      </w:pPr>
    </w:lvl>
    <w:lvl w:ilvl="7" w:tplc="04090019" w:tentative="1">
      <w:start w:val="1"/>
      <w:numFmt w:val="lowerLetter"/>
      <w:lvlText w:val="%8."/>
      <w:lvlJc w:val="left"/>
      <w:pPr>
        <w:tabs>
          <w:tab w:val="num" w:pos="6310"/>
        </w:tabs>
        <w:ind w:left="6310" w:hanging="360"/>
      </w:pPr>
    </w:lvl>
    <w:lvl w:ilvl="8" w:tplc="0409001B" w:tentative="1">
      <w:start w:val="1"/>
      <w:numFmt w:val="lowerRoman"/>
      <w:lvlText w:val="%9."/>
      <w:lvlJc w:val="right"/>
      <w:pPr>
        <w:tabs>
          <w:tab w:val="num" w:pos="7030"/>
        </w:tabs>
        <w:ind w:left="7030" w:hanging="180"/>
      </w:pPr>
    </w:lvl>
  </w:abstractNum>
  <w:abstractNum w:abstractNumId="114">
    <w:nsid w:val="733E68C7"/>
    <w:multiLevelType w:val="hybridMultilevel"/>
    <w:tmpl w:val="BB8A5216"/>
    <w:lvl w:ilvl="0" w:tplc="2130A91C">
      <w:numFmt w:val="bullet"/>
      <w:lvlText w:val="-"/>
      <w:lvlJc w:val="left"/>
      <w:pPr>
        <w:ind w:left="360" w:hanging="360"/>
      </w:pPr>
      <w:rPr>
        <w:rFonts w:ascii="Arial" w:eastAsia="SimSu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5">
    <w:nsid w:val="73EF6FCB"/>
    <w:multiLevelType w:val="hybridMultilevel"/>
    <w:tmpl w:val="D94E0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nsid w:val="74397032"/>
    <w:multiLevelType w:val="hybridMultilevel"/>
    <w:tmpl w:val="CE3EC29C"/>
    <w:lvl w:ilvl="0" w:tplc="92A6757A">
      <w:start w:val="1"/>
      <w:numFmt w:val="decimal"/>
      <w:lvlText w:val="6.%1."/>
      <w:lvlJc w:val="left"/>
      <w:pPr>
        <w:ind w:left="810" w:hanging="360"/>
      </w:pPr>
      <w:rPr>
        <w:rFonts w:ascii="Arial" w:hAnsi="Arial" w:cs="Arial" w:hint="default"/>
        <w:sz w:val="20"/>
        <w:szCs w:val="2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17">
    <w:nsid w:val="745A662D"/>
    <w:multiLevelType w:val="hybridMultilevel"/>
    <w:tmpl w:val="63BA6656"/>
    <w:lvl w:ilvl="0" w:tplc="2C784CBE">
      <w:start w:val="1"/>
      <w:numFmt w:val="decimal"/>
      <w:pStyle w:val="Style1"/>
      <w:lvlText w:val="13.%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nsid w:val="7588458B"/>
    <w:multiLevelType w:val="multilevel"/>
    <w:tmpl w:val="305C8AE8"/>
    <w:lvl w:ilvl="0">
      <w:start w:val="9"/>
      <w:numFmt w:val="decimal"/>
      <w:lvlText w:val="%1."/>
      <w:lvlJc w:val="left"/>
      <w:pPr>
        <w:ind w:left="360" w:hanging="360"/>
      </w:pPr>
      <w:rPr>
        <w:rFonts w:hint="default"/>
      </w:rPr>
    </w:lvl>
    <w:lvl w:ilvl="1">
      <w:start w:val="1"/>
      <w:numFmt w:val="decimal"/>
      <w:lvlText w:val="%1.%2."/>
      <w:lvlJc w:val="left"/>
      <w:pPr>
        <w:ind w:left="0" w:firstLine="0"/>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9">
    <w:nsid w:val="75D11C28"/>
    <w:multiLevelType w:val="multilevel"/>
    <w:tmpl w:val="16B6A0AC"/>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eastAsia="Times New Roman"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20">
    <w:nsid w:val="769221F0"/>
    <w:multiLevelType w:val="hybridMultilevel"/>
    <w:tmpl w:val="7D6E639C"/>
    <w:lvl w:ilvl="0" w:tplc="C108D220">
      <w:start w:val="1"/>
      <w:numFmt w:val="decimal"/>
      <w:lvlText w:val="2.%1."/>
      <w:lvlJc w:val="left"/>
      <w:pPr>
        <w:ind w:left="720" w:hanging="360"/>
      </w:pPr>
      <w:rPr>
        <w:rFonts w:hint="default"/>
        <w:lang w:val="es-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nsid w:val="77054D63"/>
    <w:multiLevelType w:val="hybridMultilevel"/>
    <w:tmpl w:val="0002C35E"/>
    <w:lvl w:ilvl="0" w:tplc="717C3A64">
      <w:start w:val="1"/>
      <w:numFmt w:val="decimal"/>
      <w:lvlText w:val="27.%1."/>
      <w:lvlJc w:val="left"/>
      <w:pPr>
        <w:ind w:left="644"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nsid w:val="77583041"/>
    <w:multiLevelType w:val="hybridMultilevel"/>
    <w:tmpl w:val="EC62EBB2"/>
    <w:lvl w:ilvl="0" w:tplc="616AAF6A">
      <w:start w:val="560"/>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3">
    <w:nsid w:val="77850D78"/>
    <w:multiLevelType w:val="hybridMultilevel"/>
    <w:tmpl w:val="87B0E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nsid w:val="78A5226F"/>
    <w:multiLevelType w:val="hybridMultilevel"/>
    <w:tmpl w:val="8EE4259C"/>
    <w:lvl w:ilvl="0" w:tplc="DE4A5C86">
      <w:start w:val="7"/>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5">
    <w:nsid w:val="7A9C0334"/>
    <w:multiLevelType w:val="hybridMultilevel"/>
    <w:tmpl w:val="8AA8C8DE"/>
    <w:lvl w:ilvl="0" w:tplc="29AAD54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6">
    <w:nsid w:val="7B9F54BC"/>
    <w:multiLevelType w:val="hybridMultilevel"/>
    <w:tmpl w:val="79AA0386"/>
    <w:lvl w:ilvl="0" w:tplc="24621A76">
      <w:start w:val="1"/>
      <w:numFmt w:val="decimal"/>
      <w:lvlText w:val="1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nsid w:val="7BEA236F"/>
    <w:multiLevelType w:val="hybridMultilevel"/>
    <w:tmpl w:val="B7DC0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nsid w:val="7C226849"/>
    <w:multiLevelType w:val="hybridMultilevel"/>
    <w:tmpl w:val="662656A8"/>
    <w:lvl w:ilvl="0" w:tplc="1AA0ABC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nsid w:val="7C2F76DB"/>
    <w:multiLevelType w:val="hybridMultilevel"/>
    <w:tmpl w:val="16CE3452"/>
    <w:lvl w:ilvl="0" w:tplc="2D4AE1C4">
      <w:start w:val="1"/>
      <w:numFmt w:val="bullet"/>
      <w:lvlText w:val="-"/>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0">
    <w:nsid w:val="7CB87600"/>
    <w:multiLevelType w:val="hybridMultilevel"/>
    <w:tmpl w:val="B448BE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nsid w:val="7D916864"/>
    <w:multiLevelType w:val="hybridMultilevel"/>
    <w:tmpl w:val="2D3EFF02"/>
    <w:lvl w:ilvl="0" w:tplc="B3C03EE4">
      <w:start w:val="1"/>
      <w:numFmt w:val="decimal"/>
      <w:lvlText w:val="10.%1."/>
      <w:lvlJc w:val="left"/>
      <w:pPr>
        <w:ind w:left="3960" w:hanging="360"/>
      </w:pPr>
      <w:rPr>
        <w:rFonts w:hint="default"/>
        <w:sz w:val="2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32">
    <w:nsid w:val="7E0549AC"/>
    <w:multiLevelType w:val="hybridMultilevel"/>
    <w:tmpl w:val="220EC26C"/>
    <w:lvl w:ilvl="0" w:tplc="04090001">
      <w:start w:val="1"/>
      <w:numFmt w:val="bullet"/>
      <w:lvlText w:val=""/>
      <w:lvlJc w:val="left"/>
      <w:pPr>
        <w:ind w:left="892" w:hanging="360"/>
      </w:pPr>
      <w:rPr>
        <w:rFonts w:ascii="Symbol" w:hAnsi="Symbol" w:hint="default"/>
      </w:rPr>
    </w:lvl>
    <w:lvl w:ilvl="1" w:tplc="04090003" w:tentative="1">
      <w:start w:val="1"/>
      <w:numFmt w:val="bullet"/>
      <w:lvlText w:val="o"/>
      <w:lvlJc w:val="left"/>
      <w:pPr>
        <w:ind w:left="1612" w:hanging="360"/>
      </w:pPr>
      <w:rPr>
        <w:rFonts w:ascii="Courier New" w:hAnsi="Courier New" w:cs="Courier New" w:hint="default"/>
      </w:rPr>
    </w:lvl>
    <w:lvl w:ilvl="2" w:tplc="04090005" w:tentative="1">
      <w:start w:val="1"/>
      <w:numFmt w:val="bullet"/>
      <w:lvlText w:val=""/>
      <w:lvlJc w:val="left"/>
      <w:pPr>
        <w:ind w:left="2332" w:hanging="360"/>
      </w:pPr>
      <w:rPr>
        <w:rFonts w:ascii="Wingdings" w:hAnsi="Wingdings" w:hint="default"/>
      </w:rPr>
    </w:lvl>
    <w:lvl w:ilvl="3" w:tplc="04090001" w:tentative="1">
      <w:start w:val="1"/>
      <w:numFmt w:val="bullet"/>
      <w:lvlText w:val=""/>
      <w:lvlJc w:val="left"/>
      <w:pPr>
        <w:ind w:left="3052" w:hanging="360"/>
      </w:pPr>
      <w:rPr>
        <w:rFonts w:ascii="Symbol" w:hAnsi="Symbol" w:hint="default"/>
      </w:rPr>
    </w:lvl>
    <w:lvl w:ilvl="4" w:tplc="04090003" w:tentative="1">
      <w:start w:val="1"/>
      <w:numFmt w:val="bullet"/>
      <w:lvlText w:val="o"/>
      <w:lvlJc w:val="left"/>
      <w:pPr>
        <w:ind w:left="3772" w:hanging="360"/>
      </w:pPr>
      <w:rPr>
        <w:rFonts w:ascii="Courier New" w:hAnsi="Courier New" w:cs="Courier New" w:hint="default"/>
      </w:rPr>
    </w:lvl>
    <w:lvl w:ilvl="5" w:tplc="04090005" w:tentative="1">
      <w:start w:val="1"/>
      <w:numFmt w:val="bullet"/>
      <w:lvlText w:val=""/>
      <w:lvlJc w:val="left"/>
      <w:pPr>
        <w:ind w:left="4492" w:hanging="360"/>
      </w:pPr>
      <w:rPr>
        <w:rFonts w:ascii="Wingdings" w:hAnsi="Wingdings" w:hint="default"/>
      </w:rPr>
    </w:lvl>
    <w:lvl w:ilvl="6" w:tplc="04090001" w:tentative="1">
      <w:start w:val="1"/>
      <w:numFmt w:val="bullet"/>
      <w:lvlText w:val=""/>
      <w:lvlJc w:val="left"/>
      <w:pPr>
        <w:ind w:left="5212" w:hanging="360"/>
      </w:pPr>
      <w:rPr>
        <w:rFonts w:ascii="Symbol" w:hAnsi="Symbol" w:hint="default"/>
      </w:rPr>
    </w:lvl>
    <w:lvl w:ilvl="7" w:tplc="04090003" w:tentative="1">
      <w:start w:val="1"/>
      <w:numFmt w:val="bullet"/>
      <w:lvlText w:val="o"/>
      <w:lvlJc w:val="left"/>
      <w:pPr>
        <w:ind w:left="5932" w:hanging="360"/>
      </w:pPr>
      <w:rPr>
        <w:rFonts w:ascii="Courier New" w:hAnsi="Courier New" w:cs="Courier New" w:hint="default"/>
      </w:rPr>
    </w:lvl>
    <w:lvl w:ilvl="8" w:tplc="04090005" w:tentative="1">
      <w:start w:val="1"/>
      <w:numFmt w:val="bullet"/>
      <w:lvlText w:val=""/>
      <w:lvlJc w:val="left"/>
      <w:pPr>
        <w:ind w:left="6652" w:hanging="360"/>
      </w:pPr>
      <w:rPr>
        <w:rFonts w:ascii="Wingdings" w:hAnsi="Wingdings" w:hint="default"/>
      </w:rPr>
    </w:lvl>
  </w:abstractNum>
  <w:abstractNum w:abstractNumId="133">
    <w:nsid w:val="7E8D34AF"/>
    <w:multiLevelType w:val="hybridMultilevel"/>
    <w:tmpl w:val="3BF46F1C"/>
    <w:lvl w:ilvl="0" w:tplc="04090015">
      <w:start w:val="1"/>
      <w:numFmt w:val="upperLetter"/>
      <w:lvlText w:val="%1."/>
      <w:lvlJc w:val="left"/>
      <w:pPr>
        <w:ind w:left="360" w:hanging="36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4">
    <w:nsid w:val="7FC21B01"/>
    <w:multiLevelType w:val="hybridMultilevel"/>
    <w:tmpl w:val="75AA88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0"/>
  </w:num>
  <w:num w:numId="2">
    <w:abstractNumId w:val="33"/>
  </w:num>
  <w:num w:numId="3">
    <w:abstractNumId w:val="23"/>
  </w:num>
  <w:num w:numId="4">
    <w:abstractNumId w:val="97"/>
  </w:num>
  <w:num w:numId="5">
    <w:abstractNumId w:val="113"/>
  </w:num>
  <w:num w:numId="6">
    <w:abstractNumId w:val="104"/>
  </w:num>
  <w:num w:numId="7">
    <w:abstractNumId w:val="117"/>
  </w:num>
  <w:num w:numId="8">
    <w:abstractNumId w:val="111"/>
  </w:num>
  <w:num w:numId="9">
    <w:abstractNumId w:val="46"/>
  </w:num>
  <w:num w:numId="10">
    <w:abstractNumId w:val="45"/>
  </w:num>
  <w:num w:numId="11">
    <w:abstractNumId w:val="120"/>
  </w:num>
  <w:num w:numId="12">
    <w:abstractNumId w:val="93"/>
  </w:num>
  <w:num w:numId="13">
    <w:abstractNumId w:val="52"/>
  </w:num>
  <w:num w:numId="14">
    <w:abstractNumId w:val="11"/>
  </w:num>
  <w:num w:numId="15">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9"/>
  </w:num>
  <w:num w:numId="17">
    <w:abstractNumId w:val="72"/>
  </w:num>
  <w:num w:numId="18">
    <w:abstractNumId w:val="76"/>
  </w:num>
  <w:num w:numId="19">
    <w:abstractNumId w:val="54"/>
  </w:num>
  <w:num w:numId="20">
    <w:abstractNumId w:val="96"/>
  </w:num>
  <w:num w:numId="21">
    <w:abstractNumId w:val="16"/>
  </w:num>
  <w:num w:numId="22">
    <w:abstractNumId w:val="105"/>
  </w:num>
  <w:num w:numId="23">
    <w:abstractNumId w:val="8"/>
  </w:num>
  <w:num w:numId="24">
    <w:abstractNumId w:val="116"/>
  </w:num>
  <w:num w:numId="25">
    <w:abstractNumId w:val="31"/>
  </w:num>
  <w:num w:numId="26">
    <w:abstractNumId w:val="9"/>
  </w:num>
  <w:num w:numId="27">
    <w:abstractNumId w:val="35"/>
  </w:num>
  <w:num w:numId="28">
    <w:abstractNumId w:val="36"/>
  </w:num>
  <w:num w:numId="29">
    <w:abstractNumId w:val="27"/>
  </w:num>
  <w:num w:numId="30">
    <w:abstractNumId w:val="50"/>
  </w:num>
  <w:num w:numId="31">
    <w:abstractNumId w:val="110"/>
  </w:num>
  <w:num w:numId="32">
    <w:abstractNumId w:val="57"/>
  </w:num>
  <w:num w:numId="33">
    <w:abstractNumId w:val="115"/>
  </w:num>
  <w:num w:numId="34">
    <w:abstractNumId w:val="134"/>
  </w:num>
  <w:num w:numId="35">
    <w:abstractNumId w:val="89"/>
  </w:num>
  <w:num w:numId="36">
    <w:abstractNumId w:val="77"/>
  </w:num>
  <w:num w:numId="37">
    <w:abstractNumId w:val="17"/>
  </w:num>
  <w:num w:numId="38">
    <w:abstractNumId w:val="106"/>
  </w:num>
  <w:num w:numId="39">
    <w:abstractNumId w:val="103"/>
  </w:num>
  <w:num w:numId="40">
    <w:abstractNumId w:val="127"/>
  </w:num>
  <w:num w:numId="41">
    <w:abstractNumId w:val="41"/>
  </w:num>
  <w:num w:numId="42">
    <w:abstractNumId w:val="62"/>
  </w:num>
  <w:num w:numId="43">
    <w:abstractNumId w:val="98"/>
  </w:num>
  <w:num w:numId="44">
    <w:abstractNumId w:val="86"/>
  </w:num>
  <w:num w:numId="45">
    <w:abstractNumId w:val="123"/>
  </w:num>
  <w:num w:numId="46">
    <w:abstractNumId w:val="71"/>
  </w:num>
  <w:num w:numId="47">
    <w:abstractNumId w:val="4"/>
  </w:num>
  <w:num w:numId="48">
    <w:abstractNumId w:val="15"/>
  </w:num>
  <w:num w:numId="49">
    <w:abstractNumId w:val="37"/>
  </w:num>
  <w:num w:numId="50">
    <w:abstractNumId w:val="101"/>
  </w:num>
  <w:num w:numId="51">
    <w:abstractNumId w:val="79"/>
  </w:num>
  <w:num w:numId="52">
    <w:abstractNumId w:val="112"/>
  </w:num>
  <w:num w:numId="53">
    <w:abstractNumId w:val="118"/>
  </w:num>
  <w:num w:numId="54">
    <w:abstractNumId w:val="61"/>
  </w:num>
  <w:num w:numId="55">
    <w:abstractNumId w:val="99"/>
  </w:num>
  <w:num w:numId="56">
    <w:abstractNumId w:val="131"/>
  </w:num>
  <w:num w:numId="57">
    <w:abstractNumId w:val="7"/>
  </w:num>
  <w:num w:numId="58">
    <w:abstractNumId w:val="95"/>
  </w:num>
  <w:num w:numId="59">
    <w:abstractNumId w:val="81"/>
  </w:num>
  <w:num w:numId="60">
    <w:abstractNumId w:val="83"/>
  </w:num>
  <w:num w:numId="61">
    <w:abstractNumId w:val="75"/>
  </w:num>
  <w:num w:numId="62">
    <w:abstractNumId w:val="91"/>
  </w:num>
  <w:num w:numId="63">
    <w:abstractNumId w:val="58"/>
  </w:num>
  <w:num w:numId="64">
    <w:abstractNumId w:val="60"/>
  </w:num>
  <w:num w:numId="65">
    <w:abstractNumId w:val="19"/>
  </w:num>
  <w:num w:numId="66">
    <w:abstractNumId w:val="2"/>
  </w:num>
  <w:num w:numId="67">
    <w:abstractNumId w:val="55"/>
  </w:num>
  <w:num w:numId="68">
    <w:abstractNumId w:val="70"/>
  </w:num>
  <w:num w:numId="69">
    <w:abstractNumId w:val="133"/>
  </w:num>
  <w:num w:numId="70">
    <w:abstractNumId w:val="30"/>
  </w:num>
  <w:num w:numId="71">
    <w:abstractNumId w:val="40"/>
  </w:num>
  <w:num w:numId="72">
    <w:abstractNumId w:val="122"/>
  </w:num>
  <w:num w:numId="73">
    <w:abstractNumId w:val="43"/>
  </w:num>
  <w:num w:numId="74">
    <w:abstractNumId w:val="126"/>
  </w:num>
  <w:num w:numId="75">
    <w:abstractNumId w:val="87"/>
  </w:num>
  <w:num w:numId="76">
    <w:abstractNumId w:val="44"/>
  </w:num>
  <w:num w:numId="77">
    <w:abstractNumId w:val="92"/>
  </w:num>
  <w:num w:numId="78">
    <w:abstractNumId w:val="12"/>
  </w:num>
  <w:num w:numId="79">
    <w:abstractNumId w:val="100"/>
  </w:num>
  <w:num w:numId="80">
    <w:abstractNumId w:val="22"/>
  </w:num>
  <w:num w:numId="81">
    <w:abstractNumId w:val="3"/>
  </w:num>
  <w:num w:numId="82">
    <w:abstractNumId w:val="38"/>
  </w:num>
  <w:num w:numId="83">
    <w:abstractNumId w:val="84"/>
  </w:num>
  <w:num w:numId="84">
    <w:abstractNumId w:val="88"/>
  </w:num>
  <w:num w:numId="85">
    <w:abstractNumId w:val="39"/>
  </w:num>
  <w:num w:numId="86">
    <w:abstractNumId w:val="63"/>
  </w:num>
  <w:num w:numId="87">
    <w:abstractNumId w:val="29"/>
  </w:num>
  <w:num w:numId="88">
    <w:abstractNumId w:val="85"/>
  </w:num>
  <w:num w:numId="89">
    <w:abstractNumId w:val="124"/>
  </w:num>
  <w:num w:numId="90">
    <w:abstractNumId w:val="1"/>
  </w:num>
  <w:num w:numId="91">
    <w:abstractNumId w:val="73"/>
  </w:num>
  <w:num w:numId="92">
    <w:abstractNumId w:val="42"/>
  </w:num>
  <w:num w:numId="93">
    <w:abstractNumId w:val="69"/>
  </w:num>
  <w:num w:numId="94">
    <w:abstractNumId w:val="59"/>
  </w:num>
  <w:num w:numId="95">
    <w:abstractNumId w:val="74"/>
  </w:num>
  <w:num w:numId="96">
    <w:abstractNumId w:val="24"/>
  </w:num>
  <w:num w:numId="97">
    <w:abstractNumId w:val="102"/>
  </w:num>
  <w:num w:numId="98">
    <w:abstractNumId w:val="32"/>
  </w:num>
  <w:num w:numId="99">
    <w:abstractNumId w:val="47"/>
  </w:num>
  <w:num w:numId="100">
    <w:abstractNumId w:val="109"/>
  </w:num>
  <w:num w:numId="101">
    <w:abstractNumId w:val="108"/>
  </w:num>
  <w:num w:numId="102">
    <w:abstractNumId w:val="28"/>
  </w:num>
  <w:num w:numId="103">
    <w:abstractNumId w:val="20"/>
  </w:num>
  <w:num w:numId="104">
    <w:abstractNumId w:val="132"/>
  </w:num>
  <w:num w:numId="105">
    <w:abstractNumId w:val="14"/>
  </w:num>
  <w:num w:numId="106">
    <w:abstractNumId w:val="51"/>
  </w:num>
  <w:num w:numId="107">
    <w:abstractNumId w:val="82"/>
  </w:num>
  <w:num w:numId="108">
    <w:abstractNumId w:val="21"/>
  </w:num>
  <w:num w:numId="109">
    <w:abstractNumId w:val="53"/>
  </w:num>
  <w:num w:numId="110">
    <w:abstractNumId w:val="107"/>
  </w:num>
  <w:num w:numId="111">
    <w:abstractNumId w:val="66"/>
  </w:num>
  <w:num w:numId="112">
    <w:abstractNumId w:val="6"/>
  </w:num>
  <w:num w:numId="113">
    <w:abstractNumId w:val="0"/>
  </w:num>
  <w:num w:numId="114">
    <w:abstractNumId w:val="68"/>
  </w:num>
  <w:num w:numId="115">
    <w:abstractNumId w:val="121"/>
  </w:num>
  <w:num w:numId="116">
    <w:abstractNumId w:val="65"/>
  </w:num>
  <w:num w:numId="117">
    <w:abstractNumId w:val="49"/>
  </w:num>
  <w:num w:numId="118">
    <w:abstractNumId w:val="34"/>
  </w:num>
  <w:num w:numId="119">
    <w:abstractNumId w:val="26"/>
  </w:num>
  <w:num w:numId="120">
    <w:abstractNumId w:val="5"/>
  </w:num>
  <w:num w:numId="121">
    <w:abstractNumId w:val="125"/>
  </w:num>
  <w:num w:numId="122">
    <w:abstractNumId w:val="119"/>
  </w:num>
  <w:num w:numId="123">
    <w:abstractNumId w:val="56"/>
  </w:num>
  <w:num w:numId="124">
    <w:abstractNumId w:val="48"/>
  </w:num>
  <w:num w:numId="125">
    <w:abstractNumId w:val="67"/>
  </w:num>
  <w:num w:numId="126">
    <w:abstractNumId w:val="25"/>
  </w:num>
  <w:num w:numId="127">
    <w:abstractNumId w:val="10"/>
  </w:num>
  <w:num w:numId="128">
    <w:abstractNumId w:val="90"/>
  </w:num>
  <w:num w:numId="129">
    <w:abstractNumId w:val="13"/>
  </w:num>
  <w:num w:numId="130">
    <w:abstractNumId w:val="78"/>
  </w:num>
  <w:num w:numId="131">
    <w:abstractNumId w:val="130"/>
  </w:num>
  <w:num w:numId="132">
    <w:abstractNumId w:val="64"/>
  </w:num>
  <w:num w:numId="133">
    <w:abstractNumId w:val="128"/>
  </w:num>
  <w:num w:numId="134">
    <w:abstractNumId w:val="119"/>
    <w:lvlOverride w:ilvl="0">
      <w:startOverride w:val="2"/>
    </w:lvlOverride>
    <w:lvlOverride w:ilvl="1">
      <w:startOverride w:val="2"/>
    </w:lvlOverride>
    <w:lvlOverride w:ilvl="2">
      <w:startOverride w:val="3"/>
    </w:lvlOverride>
    <w:lvlOverride w:ilvl="3"/>
    <w:lvlOverride w:ilvl="4"/>
    <w:lvlOverride w:ilvl="5"/>
    <w:lvlOverride w:ilvl="6"/>
    <w:lvlOverride w:ilvl="7"/>
    <w:lvlOverride w:ilvl="8"/>
  </w:num>
  <w:num w:numId="135">
    <w:abstractNumId w:val="119"/>
    <w:lvlOverride w:ilvl="0">
      <w:startOverride w:val="2"/>
    </w:lvlOverride>
    <w:lvlOverride w:ilvl="1">
      <w:startOverride w:val="3"/>
    </w:lvlOverride>
    <w:lvlOverride w:ilvl="2">
      <w:startOverride w:val="7"/>
    </w:lvlOverride>
    <w:lvlOverride w:ilvl="3"/>
    <w:lvlOverride w:ilvl="4"/>
    <w:lvlOverride w:ilvl="5"/>
    <w:lvlOverride w:ilvl="6"/>
    <w:lvlOverride w:ilvl="7"/>
    <w:lvlOverride w:ilvl="8"/>
  </w:num>
  <w:num w:numId="136">
    <w:abstractNumId w:val="18"/>
  </w:num>
  <w:num w:numId="137">
    <w:abstractNumId w:val="114"/>
  </w:num>
  <w:numIdMacAtCleanup w:val="1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evenAndOddHeaders/>
  <w:displayHorizontalDrawingGridEvery w:val="0"/>
  <w:displayVerticalDrawingGridEvery w:val="0"/>
  <w:doNotUseMarginsForDrawingGridOrigin/>
  <w:noPunctuationKerning/>
  <w:characterSpacingControl w:val="doNotCompress"/>
  <w:hdrShapeDefaults>
    <o:shapedefaults v:ext="edit" spidmax="6144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9B0"/>
    <w:rsid w:val="00010686"/>
    <w:rsid w:val="00013B5C"/>
    <w:rsid w:val="00020713"/>
    <w:rsid w:val="00022991"/>
    <w:rsid w:val="00025F0F"/>
    <w:rsid w:val="00030630"/>
    <w:rsid w:val="00033210"/>
    <w:rsid w:val="00044D62"/>
    <w:rsid w:val="00044DA1"/>
    <w:rsid w:val="00052915"/>
    <w:rsid w:val="000575E9"/>
    <w:rsid w:val="000610E2"/>
    <w:rsid w:val="00061314"/>
    <w:rsid w:val="0006462C"/>
    <w:rsid w:val="00072E16"/>
    <w:rsid w:val="00073105"/>
    <w:rsid w:val="0007460F"/>
    <w:rsid w:val="00081DA8"/>
    <w:rsid w:val="00085356"/>
    <w:rsid w:val="00091D73"/>
    <w:rsid w:val="00096D64"/>
    <w:rsid w:val="000A1176"/>
    <w:rsid w:val="000A7B34"/>
    <w:rsid w:val="000B53F0"/>
    <w:rsid w:val="000B7DB0"/>
    <w:rsid w:val="000C6F77"/>
    <w:rsid w:val="000D2B1B"/>
    <w:rsid w:val="000D43F6"/>
    <w:rsid w:val="000D5101"/>
    <w:rsid w:val="000E3BB3"/>
    <w:rsid w:val="000F0642"/>
    <w:rsid w:val="000F06D0"/>
    <w:rsid w:val="000F09B8"/>
    <w:rsid w:val="000F0E45"/>
    <w:rsid w:val="000F5E56"/>
    <w:rsid w:val="000F7345"/>
    <w:rsid w:val="0010230A"/>
    <w:rsid w:val="00106631"/>
    <w:rsid w:val="001102B0"/>
    <w:rsid w:val="00116E63"/>
    <w:rsid w:val="00117447"/>
    <w:rsid w:val="001212FD"/>
    <w:rsid w:val="00121C2F"/>
    <w:rsid w:val="00123A02"/>
    <w:rsid w:val="00124954"/>
    <w:rsid w:val="001362EE"/>
    <w:rsid w:val="001402C5"/>
    <w:rsid w:val="00152CEA"/>
    <w:rsid w:val="0016546D"/>
    <w:rsid w:val="001663DE"/>
    <w:rsid w:val="00171C8A"/>
    <w:rsid w:val="001832A6"/>
    <w:rsid w:val="001836E6"/>
    <w:rsid w:val="00194A15"/>
    <w:rsid w:val="00197920"/>
    <w:rsid w:val="001A0CD7"/>
    <w:rsid w:val="001B1AEE"/>
    <w:rsid w:val="001B204E"/>
    <w:rsid w:val="001B6C4E"/>
    <w:rsid w:val="001B7EC6"/>
    <w:rsid w:val="001C1881"/>
    <w:rsid w:val="001C19F7"/>
    <w:rsid w:val="001C282E"/>
    <w:rsid w:val="001C4C52"/>
    <w:rsid w:val="001D713A"/>
    <w:rsid w:val="001E561A"/>
    <w:rsid w:val="001F0F1A"/>
    <w:rsid w:val="001F3376"/>
    <w:rsid w:val="001F364D"/>
    <w:rsid w:val="001F3850"/>
    <w:rsid w:val="001F4714"/>
    <w:rsid w:val="001F6F86"/>
    <w:rsid w:val="001F7360"/>
    <w:rsid w:val="001F740E"/>
    <w:rsid w:val="002005BB"/>
    <w:rsid w:val="0020225E"/>
    <w:rsid w:val="00211983"/>
    <w:rsid w:val="00212829"/>
    <w:rsid w:val="00216A2F"/>
    <w:rsid w:val="00217DBF"/>
    <w:rsid w:val="00221F0B"/>
    <w:rsid w:val="00224863"/>
    <w:rsid w:val="002254BB"/>
    <w:rsid w:val="002279AC"/>
    <w:rsid w:val="0023015B"/>
    <w:rsid w:val="00230C85"/>
    <w:rsid w:val="00235CFE"/>
    <w:rsid w:val="0023753C"/>
    <w:rsid w:val="00242DDD"/>
    <w:rsid w:val="002441A5"/>
    <w:rsid w:val="0025030B"/>
    <w:rsid w:val="002522AB"/>
    <w:rsid w:val="002634C4"/>
    <w:rsid w:val="00263762"/>
    <w:rsid w:val="002640BF"/>
    <w:rsid w:val="00264980"/>
    <w:rsid w:val="002671EB"/>
    <w:rsid w:val="002707C1"/>
    <w:rsid w:val="002734A6"/>
    <w:rsid w:val="002765A1"/>
    <w:rsid w:val="00276C89"/>
    <w:rsid w:val="00285417"/>
    <w:rsid w:val="002913F7"/>
    <w:rsid w:val="002937CB"/>
    <w:rsid w:val="002964D9"/>
    <w:rsid w:val="002A52D5"/>
    <w:rsid w:val="002A7AE9"/>
    <w:rsid w:val="002B202E"/>
    <w:rsid w:val="002C5835"/>
    <w:rsid w:val="002D0ED1"/>
    <w:rsid w:val="002D601A"/>
    <w:rsid w:val="002E0F47"/>
    <w:rsid w:val="002E25B2"/>
    <w:rsid w:val="002E3193"/>
    <w:rsid w:val="002E4C74"/>
    <w:rsid w:val="002E5EBD"/>
    <w:rsid w:val="002E6163"/>
    <w:rsid w:val="002F4E68"/>
    <w:rsid w:val="002F59D5"/>
    <w:rsid w:val="002F6F3C"/>
    <w:rsid w:val="002F758B"/>
    <w:rsid w:val="00306938"/>
    <w:rsid w:val="003070E7"/>
    <w:rsid w:val="00320578"/>
    <w:rsid w:val="00320744"/>
    <w:rsid w:val="003244B6"/>
    <w:rsid w:val="003327C4"/>
    <w:rsid w:val="00346F22"/>
    <w:rsid w:val="00354647"/>
    <w:rsid w:val="00354FB6"/>
    <w:rsid w:val="0036610D"/>
    <w:rsid w:val="00367F29"/>
    <w:rsid w:val="00377273"/>
    <w:rsid w:val="00377FD8"/>
    <w:rsid w:val="003845C1"/>
    <w:rsid w:val="00386789"/>
    <w:rsid w:val="00387287"/>
    <w:rsid w:val="00391438"/>
    <w:rsid w:val="00391528"/>
    <w:rsid w:val="00391B20"/>
    <w:rsid w:val="003A04BC"/>
    <w:rsid w:val="003A075B"/>
    <w:rsid w:val="003B1330"/>
    <w:rsid w:val="003B33EE"/>
    <w:rsid w:val="003C4FE0"/>
    <w:rsid w:val="003C545F"/>
    <w:rsid w:val="003E311F"/>
    <w:rsid w:val="003E48F1"/>
    <w:rsid w:val="003E6C4C"/>
    <w:rsid w:val="003F0A25"/>
    <w:rsid w:val="003F2ABD"/>
    <w:rsid w:val="003F347A"/>
    <w:rsid w:val="003F4A9C"/>
    <w:rsid w:val="003F4FD4"/>
    <w:rsid w:val="003F70BF"/>
    <w:rsid w:val="00403D2C"/>
    <w:rsid w:val="0041245E"/>
    <w:rsid w:val="004224C0"/>
    <w:rsid w:val="00423E3E"/>
    <w:rsid w:val="00427AF4"/>
    <w:rsid w:val="00427C67"/>
    <w:rsid w:val="00431ECD"/>
    <w:rsid w:val="004334DE"/>
    <w:rsid w:val="004341AB"/>
    <w:rsid w:val="00435151"/>
    <w:rsid w:val="00436644"/>
    <w:rsid w:val="00445008"/>
    <w:rsid w:val="00447371"/>
    <w:rsid w:val="0045231F"/>
    <w:rsid w:val="00457F9E"/>
    <w:rsid w:val="0046015D"/>
    <w:rsid w:val="004647DA"/>
    <w:rsid w:val="004662B3"/>
    <w:rsid w:val="0046793F"/>
    <w:rsid w:val="00477808"/>
    <w:rsid w:val="00477D6B"/>
    <w:rsid w:val="00482816"/>
    <w:rsid w:val="00491BE7"/>
    <w:rsid w:val="00497281"/>
    <w:rsid w:val="004A103A"/>
    <w:rsid w:val="004A6C37"/>
    <w:rsid w:val="004A71AB"/>
    <w:rsid w:val="004C50F9"/>
    <w:rsid w:val="004D5FE5"/>
    <w:rsid w:val="004D675E"/>
    <w:rsid w:val="004E145B"/>
    <w:rsid w:val="004E297D"/>
    <w:rsid w:val="004E335D"/>
    <w:rsid w:val="004E5843"/>
    <w:rsid w:val="004E6672"/>
    <w:rsid w:val="004F034B"/>
    <w:rsid w:val="004F719D"/>
    <w:rsid w:val="0050778F"/>
    <w:rsid w:val="005159AD"/>
    <w:rsid w:val="00521D25"/>
    <w:rsid w:val="00522969"/>
    <w:rsid w:val="00523D2E"/>
    <w:rsid w:val="00531B02"/>
    <w:rsid w:val="005332F0"/>
    <w:rsid w:val="00534A9F"/>
    <w:rsid w:val="005439FA"/>
    <w:rsid w:val="00545F60"/>
    <w:rsid w:val="0055013B"/>
    <w:rsid w:val="00552EB9"/>
    <w:rsid w:val="00553792"/>
    <w:rsid w:val="00553C52"/>
    <w:rsid w:val="00557183"/>
    <w:rsid w:val="00563065"/>
    <w:rsid w:val="005647B1"/>
    <w:rsid w:val="00571B99"/>
    <w:rsid w:val="00571FB5"/>
    <w:rsid w:val="00575F5A"/>
    <w:rsid w:val="00577332"/>
    <w:rsid w:val="00583DBE"/>
    <w:rsid w:val="005871AE"/>
    <w:rsid w:val="00592880"/>
    <w:rsid w:val="005968DC"/>
    <w:rsid w:val="005A3359"/>
    <w:rsid w:val="005A3674"/>
    <w:rsid w:val="005A3C0D"/>
    <w:rsid w:val="005B449B"/>
    <w:rsid w:val="005B5C20"/>
    <w:rsid w:val="005B7A99"/>
    <w:rsid w:val="005C708A"/>
    <w:rsid w:val="005E31E1"/>
    <w:rsid w:val="005E4BCB"/>
    <w:rsid w:val="005E5FB4"/>
    <w:rsid w:val="005E7D72"/>
    <w:rsid w:val="005F0E8E"/>
    <w:rsid w:val="005F1818"/>
    <w:rsid w:val="005F786D"/>
    <w:rsid w:val="005F7E58"/>
    <w:rsid w:val="00600ABE"/>
    <w:rsid w:val="00600C3C"/>
    <w:rsid w:val="00601AF5"/>
    <w:rsid w:val="00601F77"/>
    <w:rsid w:val="00605827"/>
    <w:rsid w:val="00612B56"/>
    <w:rsid w:val="006172D1"/>
    <w:rsid w:val="00622B91"/>
    <w:rsid w:val="006319EF"/>
    <w:rsid w:val="00635CF4"/>
    <w:rsid w:val="00637A6A"/>
    <w:rsid w:val="00640EC9"/>
    <w:rsid w:val="00644672"/>
    <w:rsid w:val="00656CD9"/>
    <w:rsid w:val="00665467"/>
    <w:rsid w:val="00675021"/>
    <w:rsid w:val="006760C1"/>
    <w:rsid w:val="0068415A"/>
    <w:rsid w:val="0068591B"/>
    <w:rsid w:val="00696204"/>
    <w:rsid w:val="006A06C6"/>
    <w:rsid w:val="006A358E"/>
    <w:rsid w:val="006A49D9"/>
    <w:rsid w:val="006B15B0"/>
    <w:rsid w:val="006B1CAE"/>
    <w:rsid w:val="006B439D"/>
    <w:rsid w:val="006B7C66"/>
    <w:rsid w:val="006C0874"/>
    <w:rsid w:val="006E0AEB"/>
    <w:rsid w:val="006E0D66"/>
    <w:rsid w:val="006E408E"/>
    <w:rsid w:val="006E48FE"/>
    <w:rsid w:val="006E741C"/>
    <w:rsid w:val="0071404B"/>
    <w:rsid w:val="007224C8"/>
    <w:rsid w:val="007252A0"/>
    <w:rsid w:val="007329AC"/>
    <w:rsid w:val="00734316"/>
    <w:rsid w:val="00751675"/>
    <w:rsid w:val="00763A09"/>
    <w:rsid w:val="00765F6C"/>
    <w:rsid w:val="00774205"/>
    <w:rsid w:val="007771F8"/>
    <w:rsid w:val="00777FF3"/>
    <w:rsid w:val="00785404"/>
    <w:rsid w:val="00790DD3"/>
    <w:rsid w:val="007944F2"/>
    <w:rsid w:val="00794BE2"/>
    <w:rsid w:val="007A104A"/>
    <w:rsid w:val="007A358B"/>
    <w:rsid w:val="007A3DFF"/>
    <w:rsid w:val="007A3EB7"/>
    <w:rsid w:val="007A73C0"/>
    <w:rsid w:val="007B1DE4"/>
    <w:rsid w:val="007B71FE"/>
    <w:rsid w:val="007C5F41"/>
    <w:rsid w:val="007D21BF"/>
    <w:rsid w:val="007D557F"/>
    <w:rsid w:val="007D781E"/>
    <w:rsid w:val="007E1551"/>
    <w:rsid w:val="007E52A9"/>
    <w:rsid w:val="007E663E"/>
    <w:rsid w:val="007F0A8E"/>
    <w:rsid w:val="007F16A3"/>
    <w:rsid w:val="007F55CE"/>
    <w:rsid w:val="00801E65"/>
    <w:rsid w:val="00805317"/>
    <w:rsid w:val="00807DE6"/>
    <w:rsid w:val="00815082"/>
    <w:rsid w:val="00836C51"/>
    <w:rsid w:val="00865911"/>
    <w:rsid w:val="00871CBF"/>
    <w:rsid w:val="00872371"/>
    <w:rsid w:val="008764EF"/>
    <w:rsid w:val="00876FDE"/>
    <w:rsid w:val="00877647"/>
    <w:rsid w:val="008802E6"/>
    <w:rsid w:val="008827B3"/>
    <w:rsid w:val="0088395E"/>
    <w:rsid w:val="0088432B"/>
    <w:rsid w:val="008854D8"/>
    <w:rsid w:val="00887662"/>
    <w:rsid w:val="008A37B3"/>
    <w:rsid w:val="008A5245"/>
    <w:rsid w:val="008A591C"/>
    <w:rsid w:val="008A5A93"/>
    <w:rsid w:val="008B0CA7"/>
    <w:rsid w:val="008B1CDA"/>
    <w:rsid w:val="008B1E1D"/>
    <w:rsid w:val="008B2CC1"/>
    <w:rsid w:val="008C30EE"/>
    <w:rsid w:val="008C6B61"/>
    <w:rsid w:val="008D3934"/>
    <w:rsid w:val="008E6BD6"/>
    <w:rsid w:val="008F093A"/>
    <w:rsid w:val="008F7A06"/>
    <w:rsid w:val="008F7CBE"/>
    <w:rsid w:val="009025C4"/>
    <w:rsid w:val="0090731E"/>
    <w:rsid w:val="009111DF"/>
    <w:rsid w:val="00925CC6"/>
    <w:rsid w:val="00927579"/>
    <w:rsid w:val="00940E23"/>
    <w:rsid w:val="00945BAD"/>
    <w:rsid w:val="00946285"/>
    <w:rsid w:val="00952700"/>
    <w:rsid w:val="0095318C"/>
    <w:rsid w:val="009538CB"/>
    <w:rsid w:val="00955456"/>
    <w:rsid w:val="00962522"/>
    <w:rsid w:val="009642E7"/>
    <w:rsid w:val="00966335"/>
    <w:rsid w:val="00966A22"/>
    <w:rsid w:val="00972F03"/>
    <w:rsid w:val="00976611"/>
    <w:rsid w:val="00976A34"/>
    <w:rsid w:val="00976D8A"/>
    <w:rsid w:val="00980908"/>
    <w:rsid w:val="009818DA"/>
    <w:rsid w:val="00991FD6"/>
    <w:rsid w:val="0099649E"/>
    <w:rsid w:val="009A0C8B"/>
    <w:rsid w:val="009A26F2"/>
    <w:rsid w:val="009B427C"/>
    <w:rsid w:val="009B6241"/>
    <w:rsid w:val="009C4D7F"/>
    <w:rsid w:val="009C715D"/>
    <w:rsid w:val="009D014D"/>
    <w:rsid w:val="009D2603"/>
    <w:rsid w:val="009E21EB"/>
    <w:rsid w:val="009E4D02"/>
    <w:rsid w:val="00A013AC"/>
    <w:rsid w:val="00A10255"/>
    <w:rsid w:val="00A16FC0"/>
    <w:rsid w:val="00A200C3"/>
    <w:rsid w:val="00A32C9E"/>
    <w:rsid w:val="00A40ECD"/>
    <w:rsid w:val="00A426DF"/>
    <w:rsid w:val="00A45DE5"/>
    <w:rsid w:val="00A51E37"/>
    <w:rsid w:val="00A53BE5"/>
    <w:rsid w:val="00A556A6"/>
    <w:rsid w:val="00A62586"/>
    <w:rsid w:val="00A712D3"/>
    <w:rsid w:val="00A76BB3"/>
    <w:rsid w:val="00A85E4D"/>
    <w:rsid w:val="00A90A30"/>
    <w:rsid w:val="00A93217"/>
    <w:rsid w:val="00AB4380"/>
    <w:rsid w:val="00AB613D"/>
    <w:rsid w:val="00AC0166"/>
    <w:rsid w:val="00AC067A"/>
    <w:rsid w:val="00AC0ED9"/>
    <w:rsid w:val="00AD1B58"/>
    <w:rsid w:val="00AD2971"/>
    <w:rsid w:val="00AD72C1"/>
    <w:rsid w:val="00AE71B4"/>
    <w:rsid w:val="00AE7953"/>
    <w:rsid w:val="00AE7F20"/>
    <w:rsid w:val="00AF611B"/>
    <w:rsid w:val="00B010F4"/>
    <w:rsid w:val="00B045E5"/>
    <w:rsid w:val="00B11230"/>
    <w:rsid w:val="00B11F08"/>
    <w:rsid w:val="00B26D73"/>
    <w:rsid w:val="00B341B9"/>
    <w:rsid w:val="00B573D2"/>
    <w:rsid w:val="00B65A0A"/>
    <w:rsid w:val="00B67CDC"/>
    <w:rsid w:val="00B72D36"/>
    <w:rsid w:val="00B772EB"/>
    <w:rsid w:val="00B8059D"/>
    <w:rsid w:val="00B84891"/>
    <w:rsid w:val="00B86C7F"/>
    <w:rsid w:val="00B86DF9"/>
    <w:rsid w:val="00B90D95"/>
    <w:rsid w:val="00B92C68"/>
    <w:rsid w:val="00BA6940"/>
    <w:rsid w:val="00BC047C"/>
    <w:rsid w:val="00BC05F0"/>
    <w:rsid w:val="00BC2324"/>
    <w:rsid w:val="00BC4164"/>
    <w:rsid w:val="00BD1313"/>
    <w:rsid w:val="00BD2DCC"/>
    <w:rsid w:val="00BE5A79"/>
    <w:rsid w:val="00BE5B8C"/>
    <w:rsid w:val="00BF5A44"/>
    <w:rsid w:val="00C02442"/>
    <w:rsid w:val="00C25E4B"/>
    <w:rsid w:val="00C350CD"/>
    <w:rsid w:val="00C510BD"/>
    <w:rsid w:val="00C5705E"/>
    <w:rsid w:val="00C631AD"/>
    <w:rsid w:val="00C65E58"/>
    <w:rsid w:val="00C74007"/>
    <w:rsid w:val="00C74E82"/>
    <w:rsid w:val="00C759D0"/>
    <w:rsid w:val="00C876E1"/>
    <w:rsid w:val="00C90559"/>
    <w:rsid w:val="00C9083C"/>
    <w:rsid w:val="00C93D96"/>
    <w:rsid w:val="00CA2251"/>
    <w:rsid w:val="00CA2B81"/>
    <w:rsid w:val="00CA3FFA"/>
    <w:rsid w:val="00CA607A"/>
    <w:rsid w:val="00CA60DC"/>
    <w:rsid w:val="00CA682E"/>
    <w:rsid w:val="00CB2530"/>
    <w:rsid w:val="00CC201A"/>
    <w:rsid w:val="00CC3B44"/>
    <w:rsid w:val="00CC4B01"/>
    <w:rsid w:val="00CD0095"/>
    <w:rsid w:val="00CD5A79"/>
    <w:rsid w:val="00CE5FE1"/>
    <w:rsid w:val="00CF11C7"/>
    <w:rsid w:val="00CF11D1"/>
    <w:rsid w:val="00CF7775"/>
    <w:rsid w:val="00D02BF6"/>
    <w:rsid w:val="00D1366A"/>
    <w:rsid w:val="00D17E49"/>
    <w:rsid w:val="00D22903"/>
    <w:rsid w:val="00D2539A"/>
    <w:rsid w:val="00D25674"/>
    <w:rsid w:val="00D34131"/>
    <w:rsid w:val="00D43E25"/>
    <w:rsid w:val="00D451D0"/>
    <w:rsid w:val="00D54193"/>
    <w:rsid w:val="00D56C7C"/>
    <w:rsid w:val="00D62430"/>
    <w:rsid w:val="00D71B4D"/>
    <w:rsid w:val="00D723CE"/>
    <w:rsid w:val="00D72FB9"/>
    <w:rsid w:val="00D76DEE"/>
    <w:rsid w:val="00D90289"/>
    <w:rsid w:val="00D93D55"/>
    <w:rsid w:val="00DA11AF"/>
    <w:rsid w:val="00DA28C1"/>
    <w:rsid w:val="00DA2936"/>
    <w:rsid w:val="00DA3508"/>
    <w:rsid w:val="00DB2C7F"/>
    <w:rsid w:val="00DB431E"/>
    <w:rsid w:val="00DB4459"/>
    <w:rsid w:val="00DB4480"/>
    <w:rsid w:val="00DB741A"/>
    <w:rsid w:val="00DC1333"/>
    <w:rsid w:val="00DC2D40"/>
    <w:rsid w:val="00DC4C60"/>
    <w:rsid w:val="00DC7783"/>
    <w:rsid w:val="00DD172C"/>
    <w:rsid w:val="00DD1DD9"/>
    <w:rsid w:val="00DD24B5"/>
    <w:rsid w:val="00DD5AB6"/>
    <w:rsid w:val="00DD65E7"/>
    <w:rsid w:val="00DD6D33"/>
    <w:rsid w:val="00DF1348"/>
    <w:rsid w:val="00DF2B66"/>
    <w:rsid w:val="00E0079A"/>
    <w:rsid w:val="00E020B6"/>
    <w:rsid w:val="00E046BA"/>
    <w:rsid w:val="00E11BBF"/>
    <w:rsid w:val="00E11BE1"/>
    <w:rsid w:val="00E16464"/>
    <w:rsid w:val="00E2024C"/>
    <w:rsid w:val="00E26DA7"/>
    <w:rsid w:val="00E31619"/>
    <w:rsid w:val="00E34ABF"/>
    <w:rsid w:val="00E37C27"/>
    <w:rsid w:val="00E444DA"/>
    <w:rsid w:val="00E45C84"/>
    <w:rsid w:val="00E504E5"/>
    <w:rsid w:val="00E77382"/>
    <w:rsid w:val="00E80502"/>
    <w:rsid w:val="00E92486"/>
    <w:rsid w:val="00EA25FC"/>
    <w:rsid w:val="00EA6A94"/>
    <w:rsid w:val="00EA6B59"/>
    <w:rsid w:val="00EB12D2"/>
    <w:rsid w:val="00EB152E"/>
    <w:rsid w:val="00EB45DE"/>
    <w:rsid w:val="00EB7A3E"/>
    <w:rsid w:val="00EC0C5E"/>
    <w:rsid w:val="00EC2771"/>
    <w:rsid w:val="00EC401A"/>
    <w:rsid w:val="00ED0448"/>
    <w:rsid w:val="00ED4FF2"/>
    <w:rsid w:val="00ED7781"/>
    <w:rsid w:val="00EE330E"/>
    <w:rsid w:val="00EF106E"/>
    <w:rsid w:val="00EF530A"/>
    <w:rsid w:val="00EF5483"/>
    <w:rsid w:val="00EF6622"/>
    <w:rsid w:val="00F00024"/>
    <w:rsid w:val="00F0395B"/>
    <w:rsid w:val="00F16E4D"/>
    <w:rsid w:val="00F171B5"/>
    <w:rsid w:val="00F35363"/>
    <w:rsid w:val="00F41723"/>
    <w:rsid w:val="00F41D85"/>
    <w:rsid w:val="00F46605"/>
    <w:rsid w:val="00F52927"/>
    <w:rsid w:val="00F55408"/>
    <w:rsid w:val="00F638E9"/>
    <w:rsid w:val="00F66152"/>
    <w:rsid w:val="00F71118"/>
    <w:rsid w:val="00F754C4"/>
    <w:rsid w:val="00F8003C"/>
    <w:rsid w:val="00F80845"/>
    <w:rsid w:val="00F84474"/>
    <w:rsid w:val="00F919B0"/>
    <w:rsid w:val="00F92092"/>
    <w:rsid w:val="00F92690"/>
    <w:rsid w:val="00FA0F0D"/>
    <w:rsid w:val="00FA2249"/>
    <w:rsid w:val="00FA2BC6"/>
    <w:rsid w:val="00FA35A3"/>
    <w:rsid w:val="00FA423E"/>
    <w:rsid w:val="00FB31BE"/>
    <w:rsid w:val="00FD069A"/>
    <w:rsid w:val="00FD124C"/>
    <w:rsid w:val="00FD230B"/>
    <w:rsid w:val="00FD59D1"/>
    <w:rsid w:val="00FE22B8"/>
    <w:rsid w:val="00FE45CF"/>
    <w:rsid w:val="00FF3EA0"/>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endnote reference"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Cite"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qFormat/>
    <w:rsid w:val="00A32C9E"/>
    <w:pPr>
      <w:keepNext/>
      <w:numPr>
        <w:numId w:val="3"/>
      </w:numPr>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link w:val="Heading4Char"/>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
    <w:uiPriority w:val="99"/>
    <w:rsid w:val="00A32C9E"/>
    <w:rPr>
      <w:sz w:val="18"/>
    </w:rPr>
  </w:style>
  <w:style w:type="paragraph" w:styleId="EndnoteText">
    <w:name w:val="endnote text"/>
    <w:basedOn w:val="Normal"/>
    <w:link w:val="EndnoteTextChar"/>
    <w:rsid w:val="00A32C9E"/>
    <w:rPr>
      <w:sz w:val="18"/>
    </w:rPr>
  </w:style>
  <w:style w:type="paragraph" w:styleId="Footer">
    <w:name w:val="footer"/>
    <w:basedOn w:val="Normal"/>
    <w:link w:val="FooterChar"/>
    <w:uiPriority w:val="99"/>
    <w:rsid w:val="00A32C9E"/>
    <w:pPr>
      <w:tabs>
        <w:tab w:val="center" w:pos="4320"/>
        <w:tab w:val="right" w:pos="8640"/>
      </w:tabs>
    </w:pPr>
  </w:style>
  <w:style w:type="paragraph" w:styleId="FootnoteText">
    <w:name w:val="footnote text"/>
    <w:basedOn w:val="Normal"/>
    <w:link w:val="FootnoteTextChar"/>
    <w:uiPriority w:val="99"/>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link w:val="HeaderChar"/>
    <w:uiPriority w:val="99"/>
    <w:rsid w:val="00A32C9E"/>
    <w:pPr>
      <w:tabs>
        <w:tab w:val="center" w:pos="4536"/>
        <w:tab w:val="right" w:pos="9072"/>
      </w:tabs>
    </w:pPr>
  </w:style>
  <w:style w:type="paragraph" w:styleId="ListNumber">
    <w:name w:val="List Number"/>
    <w:basedOn w:val="Normal"/>
    <w:rsid w:val="00A32C9E"/>
    <w:pPr>
      <w:numPr>
        <w:numId w:val="1"/>
      </w:numPr>
    </w:pPr>
  </w:style>
  <w:style w:type="paragraph" w:customStyle="1" w:styleId="ONUME">
    <w:name w:val="ONUM E"/>
    <w:basedOn w:val="BodyText"/>
    <w:link w:val="ONUMEChar"/>
    <w:rsid w:val="00A32C9E"/>
  </w:style>
  <w:style w:type="paragraph" w:customStyle="1" w:styleId="ONUMFS">
    <w:name w:val="ONUM FS"/>
    <w:basedOn w:val="BodyText"/>
    <w:rsid w:val="00A32C9E"/>
    <w:pPr>
      <w:numPr>
        <w:numId w:val="2"/>
      </w:numPr>
    </w:pPr>
  </w:style>
  <w:style w:type="paragraph" w:styleId="Salutation">
    <w:name w:val="Salutation"/>
    <w:basedOn w:val="Normal"/>
    <w:next w:val="Normal"/>
    <w:link w:val="SalutationChar"/>
    <w:rsid w:val="00A32C9E"/>
  </w:style>
  <w:style w:type="paragraph" w:styleId="Signature">
    <w:name w:val="Signature"/>
    <w:basedOn w:val="Normal"/>
    <w:link w:val="SignatureChar"/>
    <w:rsid w:val="00A32C9E"/>
    <w:pPr>
      <w:ind w:left="5250"/>
    </w:pPr>
  </w:style>
  <w:style w:type="paragraph" w:customStyle="1" w:styleId="DecisionInvitingPara">
    <w:name w:val="Decision Inviting Para."/>
    <w:basedOn w:val="Normal"/>
    <w:link w:val="DecisionInvitingParaChar"/>
    <w:rsid w:val="00966335"/>
    <w:pPr>
      <w:spacing w:after="120" w:line="260" w:lineRule="exact"/>
      <w:ind w:left="5534"/>
    </w:pPr>
    <w:rPr>
      <w:rFonts w:eastAsia="Times New Roman" w:cs="Times New Roman"/>
      <w:i/>
      <w:sz w:val="20"/>
      <w:lang w:val="en-US" w:eastAsia="en-US"/>
    </w:rPr>
  </w:style>
  <w:style w:type="paragraph" w:styleId="ListParagraph">
    <w:name w:val="List Paragraph"/>
    <w:basedOn w:val="Normal"/>
    <w:uiPriority w:val="34"/>
    <w:qFormat/>
    <w:rsid w:val="00966335"/>
    <w:pPr>
      <w:ind w:left="720"/>
    </w:pPr>
    <w:rPr>
      <w:rFonts w:eastAsia="Times New Roman" w:cs="Times New Roman"/>
      <w:sz w:val="20"/>
      <w:lang w:val="en-US" w:eastAsia="en-US"/>
    </w:rPr>
  </w:style>
  <w:style w:type="character" w:customStyle="1" w:styleId="DecisionInvitingParaChar">
    <w:name w:val="Decision Inviting Para. Char"/>
    <w:link w:val="DecisionInvitingPara"/>
    <w:locked/>
    <w:rsid w:val="00966335"/>
    <w:rPr>
      <w:rFonts w:ascii="Arial" w:hAnsi="Arial"/>
      <w:i/>
    </w:rPr>
  </w:style>
  <w:style w:type="character" w:customStyle="1" w:styleId="ONUMEChar">
    <w:name w:val="ONUM E Char"/>
    <w:link w:val="ONUME"/>
    <w:locked/>
    <w:rsid w:val="00966335"/>
    <w:rPr>
      <w:rFonts w:ascii="Arial" w:eastAsia="SimSun" w:hAnsi="Arial" w:cs="Arial"/>
      <w:sz w:val="22"/>
      <w:lang w:val="es-ES" w:eastAsia="zh-CN"/>
    </w:rPr>
  </w:style>
  <w:style w:type="character" w:customStyle="1" w:styleId="FooterChar">
    <w:name w:val="Footer Char"/>
    <w:basedOn w:val="DefaultParagraphFont"/>
    <w:link w:val="Footer"/>
    <w:uiPriority w:val="99"/>
    <w:rsid w:val="00B26D73"/>
    <w:rPr>
      <w:rFonts w:ascii="Arial" w:eastAsia="SimSun" w:hAnsi="Arial" w:cs="Arial"/>
      <w:sz w:val="22"/>
      <w:lang w:val="es-ES" w:eastAsia="zh-CN"/>
    </w:rPr>
  </w:style>
  <w:style w:type="character" w:styleId="FootnoteReference">
    <w:name w:val="footnote reference"/>
    <w:aliases w:val="Footnote"/>
    <w:uiPriority w:val="99"/>
    <w:rsid w:val="00A712D3"/>
    <w:rPr>
      <w:vertAlign w:val="superscript"/>
    </w:rPr>
  </w:style>
  <w:style w:type="character" w:customStyle="1" w:styleId="FootnoteTextChar">
    <w:name w:val="Footnote Text Char"/>
    <w:link w:val="FootnoteText"/>
    <w:uiPriority w:val="99"/>
    <w:locked/>
    <w:rsid w:val="00A712D3"/>
    <w:rPr>
      <w:rFonts w:ascii="Arial" w:eastAsia="SimSun" w:hAnsi="Arial" w:cs="Arial"/>
      <w:sz w:val="18"/>
      <w:lang w:val="es-ES" w:eastAsia="zh-CN"/>
    </w:rPr>
  </w:style>
  <w:style w:type="character" w:customStyle="1" w:styleId="HeaderChar">
    <w:name w:val="Header Char"/>
    <w:basedOn w:val="DefaultParagraphFont"/>
    <w:link w:val="Header"/>
    <w:uiPriority w:val="99"/>
    <w:rsid w:val="00A712D3"/>
    <w:rPr>
      <w:rFonts w:ascii="Arial" w:eastAsia="SimSun" w:hAnsi="Arial" w:cs="Arial"/>
      <w:sz w:val="22"/>
      <w:lang w:val="es-ES" w:eastAsia="zh-CN"/>
    </w:rPr>
  </w:style>
  <w:style w:type="character" w:customStyle="1" w:styleId="Heading1Char">
    <w:name w:val="Heading 1 Char"/>
    <w:basedOn w:val="DefaultParagraphFont"/>
    <w:link w:val="Heading1"/>
    <w:rsid w:val="00A712D3"/>
    <w:rPr>
      <w:rFonts w:ascii="Arial" w:eastAsia="SimSun" w:hAnsi="Arial" w:cs="Arial"/>
      <w:b/>
      <w:bCs/>
      <w:caps/>
      <w:kern w:val="32"/>
      <w:sz w:val="22"/>
      <w:szCs w:val="32"/>
      <w:lang w:val="es-ES" w:eastAsia="zh-CN"/>
    </w:rPr>
  </w:style>
  <w:style w:type="table" w:styleId="TableGrid">
    <w:name w:val="Table Grid"/>
    <w:basedOn w:val="TableNormal"/>
    <w:uiPriority w:val="59"/>
    <w:rsid w:val="002671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basedOn w:val="Normal"/>
    <w:rsid w:val="002671EB"/>
    <w:pPr>
      <w:spacing w:after="160" w:line="240" w:lineRule="exact"/>
    </w:pPr>
    <w:rPr>
      <w:rFonts w:ascii="Verdana" w:eastAsia="Times New Roman" w:hAnsi="Verdana" w:cs="Times New Roman"/>
      <w:sz w:val="20"/>
      <w:lang w:val="en-GB" w:eastAsia="en-US"/>
    </w:rPr>
  </w:style>
  <w:style w:type="character" w:customStyle="1" w:styleId="BodyTextChar">
    <w:name w:val="Body Text Char"/>
    <w:link w:val="BodyText"/>
    <w:rsid w:val="002671EB"/>
    <w:rPr>
      <w:rFonts w:ascii="Arial" w:eastAsia="SimSun" w:hAnsi="Arial" w:cs="Arial"/>
      <w:sz w:val="22"/>
      <w:lang w:val="es-ES" w:eastAsia="zh-CN"/>
    </w:rPr>
  </w:style>
  <w:style w:type="paragraph" w:styleId="BodyTextIndent">
    <w:name w:val="Body Text Indent"/>
    <w:basedOn w:val="Normal"/>
    <w:link w:val="BodyTextIndentChar"/>
    <w:rsid w:val="002671EB"/>
    <w:pPr>
      <w:ind w:left="567"/>
    </w:pPr>
    <w:rPr>
      <w:rFonts w:eastAsia="Times New Roman" w:cs="Times New Roman"/>
      <w:sz w:val="20"/>
      <w:lang w:val="en-US" w:eastAsia="en-US"/>
    </w:rPr>
  </w:style>
  <w:style w:type="character" w:customStyle="1" w:styleId="BodyTextIndentChar">
    <w:name w:val="Body Text Indent Char"/>
    <w:basedOn w:val="DefaultParagraphFont"/>
    <w:link w:val="BodyTextIndent"/>
    <w:rsid w:val="002671EB"/>
    <w:rPr>
      <w:rFonts w:ascii="Arial" w:hAnsi="Arial"/>
    </w:rPr>
  </w:style>
  <w:style w:type="character" w:styleId="PageNumber">
    <w:name w:val="page number"/>
    <w:basedOn w:val="DefaultParagraphFont"/>
    <w:rsid w:val="002671EB"/>
  </w:style>
  <w:style w:type="character" w:customStyle="1" w:styleId="CharChar">
    <w:name w:val="Char Char"/>
    <w:locked/>
    <w:rsid w:val="002671EB"/>
    <w:rPr>
      <w:rFonts w:ascii="Arial" w:hAnsi="Arial" w:cs="Times New Roman"/>
      <w:lang w:val="en-US" w:eastAsia="en-US" w:bidi="ar-SA"/>
    </w:rPr>
  </w:style>
  <w:style w:type="character" w:styleId="Hyperlink">
    <w:name w:val="Hyperlink"/>
    <w:uiPriority w:val="99"/>
    <w:rsid w:val="002671EB"/>
    <w:rPr>
      <w:color w:val="000099"/>
      <w:u w:val="single"/>
    </w:rPr>
  </w:style>
  <w:style w:type="paragraph" w:styleId="BalloonText">
    <w:name w:val="Balloon Text"/>
    <w:basedOn w:val="Normal"/>
    <w:link w:val="BalloonTextChar"/>
    <w:uiPriority w:val="99"/>
    <w:rsid w:val="002671EB"/>
    <w:rPr>
      <w:rFonts w:ascii="Tahoma" w:eastAsia="Times New Roman" w:hAnsi="Tahoma" w:cs="Tahoma"/>
      <w:sz w:val="16"/>
      <w:szCs w:val="16"/>
      <w:lang w:val="en-US" w:eastAsia="en-US"/>
    </w:rPr>
  </w:style>
  <w:style w:type="character" w:customStyle="1" w:styleId="BalloonTextChar">
    <w:name w:val="Balloon Text Char"/>
    <w:basedOn w:val="DefaultParagraphFont"/>
    <w:link w:val="BalloonText"/>
    <w:uiPriority w:val="99"/>
    <w:rsid w:val="002671EB"/>
    <w:rPr>
      <w:rFonts w:ascii="Tahoma" w:hAnsi="Tahoma" w:cs="Tahoma"/>
      <w:sz w:val="16"/>
      <w:szCs w:val="16"/>
    </w:rPr>
  </w:style>
  <w:style w:type="paragraph" w:customStyle="1" w:styleId="CarCar">
    <w:name w:val="Car Car"/>
    <w:basedOn w:val="Normal"/>
    <w:rsid w:val="002671EB"/>
    <w:pPr>
      <w:spacing w:after="160" w:line="240" w:lineRule="exact"/>
    </w:pPr>
    <w:rPr>
      <w:rFonts w:ascii="Verdana" w:eastAsia="Times New Roman" w:hAnsi="Verdana" w:cs="Times New Roman"/>
      <w:sz w:val="20"/>
      <w:lang w:val="en-GB" w:eastAsia="en-US"/>
    </w:rPr>
  </w:style>
  <w:style w:type="character" w:styleId="CommentReference">
    <w:name w:val="annotation reference"/>
    <w:uiPriority w:val="99"/>
    <w:rsid w:val="002671EB"/>
    <w:rPr>
      <w:sz w:val="16"/>
      <w:szCs w:val="16"/>
    </w:rPr>
  </w:style>
  <w:style w:type="paragraph" w:styleId="CommentSubject">
    <w:name w:val="annotation subject"/>
    <w:basedOn w:val="CommentText"/>
    <w:next w:val="CommentText"/>
    <w:link w:val="CommentSubjectChar"/>
    <w:uiPriority w:val="99"/>
    <w:rsid w:val="002671EB"/>
    <w:rPr>
      <w:rFonts w:eastAsia="Times New Roman" w:cs="Times New Roman"/>
      <w:b/>
      <w:bCs/>
      <w:sz w:val="20"/>
      <w:lang w:val="en-US" w:eastAsia="en-US"/>
    </w:rPr>
  </w:style>
  <w:style w:type="character" w:customStyle="1" w:styleId="CommentTextChar">
    <w:name w:val="Comment Text Char"/>
    <w:basedOn w:val="DefaultParagraphFont"/>
    <w:link w:val="CommentText"/>
    <w:uiPriority w:val="99"/>
    <w:rsid w:val="002671EB"/>
    <w:rPr>
      <w:rFonts w:ascii="Arial" w:eastAsia="SimSun" w:hAnsi="Arial" w:cs="Arial"/>
      <w:sz w:val="18"/>
      <w:lang w:val="es-ES" w:eastAsia="zh-CN"/>
    </w:rPr>
  </w:style>
  <w:style w:type="character" w:customStyle="1" w:styleId="CommentSubjectChar">
    <w:name w:val="Comment Subject Char"/>
    <w:basedOn w:val="CommentTextChar"/>
    <w:link w:val="CommentSubject"/>
    <w:uiPriority w:val="99"/>
    <w:rsid w:val="002671EB"/>
    <w:rPr>
      <w:rFonts w:ascii="Arial" w:eastAsia="SimSun" w:hAnsi="Arial" w:cs="Arial"/>
      <w:b/>
      <w:bCs/>
      <w:sz w:val="18"/>
      <w:lang w:val="es-ES" w:eastAsia="zh-CN"/>
    </w:rPr>
  </w:style>
  <w:style w:type="paragraph" w:customStyle="1" w:styleId="Default">
    <w:name w:val="Default"/>
    <w:rsid w:val="002671EB"/>
    <w:pPr>
      <w:autoSpaceDE w:val="0"/>
      <w:autoSpaceDN w:val="0"/>
      <w:adjustRightInd w:val="0"/>
    </w:pPr>
    <w:rPr>
      <w:rFonts w:ascii="Arial" w:eastAsia="Batang" w:hAnsi="Arial" w:cs="Arial"/>
      <w:color w:val="000000"/>
      <w:sz w:val="24"/>
      <w:szCs w:val="24"/>
      <w:lang w:eastAsia="ja-JP"/>
    </w:rPr>
  </w:style>
  <w:style w:type="character" w:customStyle="1" w:styleId="CharChar2">
    <w:name w:val="Char Char2"/>
    <w:rsid w:val="002671EB"/>
    <w:rPr>
      <w:rFonts w:ascii="Arial" w:hAnsi="Arial"/>
      <w:lang w:val="en-US" w:eastAsia="en-US" w:bidi="ar-SA"/>
    </w:rPr>
  </w:style>
  <w:style w:type="paragraph" w:styleId="TOC2">
    <w:name w:val="toc 2"/>
    <w:basedOn w:val="Normal"/>
    <w:next w:val="Normal"/>
    <w:autoRedefine/>
    <w:uiPriority w:val="39"/>
    <w:qFormat/>
    <w:rsid w:val="00DD5AB6"/>
    <w:pPr>
      <w:tabs>
        <w:tab w:val="left" w:pos="1560"/>
        <w:tab w:val="right" w:leader="dot" w:pos="9498"/>
      </w:tabs>
      <w:ind w:left="1560" w:right="-143" w:hanging="1360"/>
    </w:pPr>
    <w:rPr>
      <w:rFonts w:asciiTheme="minorHAnsi" w:eastAsia="Times New Roman" w:hAnsiTheme="minorHAnsi" w:cs="Times New Roman"/>
      <w:smallCaps/>
      <w:sz w:val="20"/>
      <w:lang w:val="en-US" w:eastAsia="en-US"/>
    </w:rPr>
  </w:style>
  <w:style w:type="paragraph" w:styleId="TOC1">
    <w:name w:val="toc 1"/>
    <w:basedOn w:val="Normal"/>
    <w:next w:val="Normal"/>
    <w:autoRedefine/>
    <w:uiPriority w:val="39"/>
    <w:qFormat/>
    <w:rsid w:val="00211983"/>
    <w:pPr>
      <w:tabs>
        <w:tab w:val="left" w:pos="426"/>
        <w:tab w:val="right" w:leader="dot" w:pos="9498"/>
      </w:tabs>
      <w:spacing w:before="120" w:after="120"/>
      <w:ind w:left="426" w:right="-143" w:hanging="426"/>
    </w:pPr>
    <w:rPr>
      <w:rFonts w:asciiTheme="minorHAnsi" w:eastAsia="Times New Roman" w:hAnsiTheme="minorHAnsi" w:cs="Times New Roman"/>
      <w:bCs/>
      <w:caps/>
      <w:noProof/>
      <w:szCs w:val="22"/>
      <w:lang w:val="en-US" w:eastAsia="en-US"/>
    </w:rPr>
  </w:style>
  <w:style w:type="paragraph" w:customStyle="1" w:styleId="Indicators">
    <w:name w:val="Indicators"/>
    <w:basedOn w:val="Normal"/>
    <w:link w:val="IndicatorsChar"/>
    <w:rsid w:val="002671EB"/>
    <w:pPr>
      <w:spacing w:before="120"/>
      <w:ind w:left="284" w:right="170"/>
    </w:pPr>
    <w:rPr>
      <w:rFonts w:eastAsia="Times New Roman" w:cs="Times New Roman"/>
      <w:sz w:val="20"/>
      <w:lang w:val="en-US" w:eastAsia="en-US"/>
    </w:rPr>
  </w:style>
  <w:style w:type="character" w:customStyle="1" w:styleId="IndicatorsChar">
    <w:name w:val="Indicators Char"/>
    <w:link w:val="Indicators"/>
    <w:rsid w:val="002671EB"/>
    <w:rPr>
      <w:rFonts w:ascii="Arial" w:hAnsi="Arial"/>
    </w:rPr>
  </w:style>
  <w:style w:type="paragraph" w:customStyle="1" w:styleId="preparedby">
    <w:name w:val="prepared by"/>
    <w:basedOn w:val="Normal"/>
    <w:next w:val="Normal"/>
    <w:rsid w:val="002671EB"/>
    <w:pPr>
      <w:spacing w:after="480" w:line="260" w:lineRule="exact"/>
      <w:ind w:left="1021"/>
    </w:pPr>
    <w:rPr>
      <w:rFonts w:eastAsia="Times New Roman" w:cs="Times New Roman"/>
      <w:i/>
      <w:sz w:val="20"/>
      <w:lang w:val="en-US" w:eastAsia="en-US"/>
    </w:rPr>
  </w:style>
  <w:style w:type="paragraph" w:customStyle="1" w:styleId="Documenttitle">
    <w:name w:val="Document title"/>
    <w:basedOn w:val="Normal"/>
    <w:rsid w:val="002671EB"/>
    <w:pPr>
      <w:spacing w:before="1200" w:after="120" w:line="260" w:lineRule="exact"/>
      <w:ind w:left="1021"/>
    </w:pPr>
    <w:rPr>
      <w:rFonts w:eastAsia="Times New Roman" w:cs="Times New Roman"/>
      <w:b/>
      <w:caps/>
      <w:sz w:val="20"/>
      <w:lang w:val="en-US" w:eastAsia="en-US"/>
    </w:rPr>
  </w:style>
  <w:style w:type="paragraph" w:customStyle="1" w:styleId="MeetinglanguageDate">
    <w:name w:val="Meeting language &amp; Date"/>
    <w:basedOn w:val="Normal"/>
    <w:next w:val="Meetingtitle"/>
    <w:rsid w:val="002671EB"/>
    <w:pPr>
      <w:spacing w:after="1680" w:line="160" w:lineRule="exact"/>
      <w:ind w:left="1021"/>
      <w:contextualSpacing/>
      <w:jc w:val="right"/>
    </w:pPr>
    <w:rPr>
      <w:rFonts w:ascii="Arial Black" w:eastAsia="Times New Roman" w:hAnsi="Arial Black" w:cs="Times New Roman"/>
      <w:b/>
      <w:caps/>
      <w:sz w:val="15"/>
      <w:lang w:val="fr-FR" w:eastAsia="en-US"/>
    </w:rPr>
  </w:style>
  <w:style w:type="paragraph" w:customStyle="1" w:styleId="Language">
    <w:name w:val="Language"/>
    <w:basedOn w:val="Normal"/>
    <w:next w:val="Normal"/>
    <w:autoRedefine/>
    <w:rsid w:val="002671EB"/>
    <w:pPr>
      <w:spacing w:after="120" w:line="340" w:lineRule="atLeast"/>
      <w:ind w:left="1021"/>
      <w:jc w:val="right"/>
    </w:pPr>
    <w:rPr>
      <w:rFonts w:eastAsia="Times New Roman" w:cs="Times New Roman"/>
      <w:b/>
      <w:caps/>
      <w:sz w:val="40"/>
      <w:lang w:val="pt-BR" w:eastAsia="en-US"/>
    </w:rPr>
  </w:style>
  <w:style w:type="paragraph" w:customStyle="1" w:styleId="MeetingCode">
    <w:name w:val="Meeting Code"/>
    <w:basedOn w:val="MeetinglanguageDate"/>
    <w:rsid w:val="002671EB"/>
    <w:pPr>
      <w:spacing w:before="300" w:after="0"/>
    </w:pPr>
  </w:style>
  <w:style w:type="paragraph" w:customStyle="1" w:styleId="Meetingtitle">
    <w:name w:val="Meeting title"/>
    <w:basedOn w:val="Normal"/>
    <w:next w:val="Sessiontitle"/>
    <w:rsid w:val="002671EB"/>
    <w:pPr>
      <w:spacing w:after="360" w:line="336" w:lineRule="exact"/>
      <w:ind w:left="1021"/>
    </w:pPr>
    <w:rPr>
      <w:rFonts w:eastAsia="Times New Roman" w:cs="Times New Roman"/>
      <w:b/>
      <w:sz w:val="28"/>
      <w:lang w:val="fr-FR" w:eastAsia="en-US"/>
    </w:rPr>
  </w:style>
  <w:style w:type="paragraph" w:customStyle="1" w:styleId="Sessiontitle">
    <w:name w:val="Session title"/>
    <w:basedOn w:val="Meetingtitle"/>
    <w:next w:val="Meetingdateplace"/>
    <w:rsid w:val="002671EB"/>
    <w:pPr>
      <w:spacing w:after="0"/>
    </w:pPr>
    <w:rPr>
      <w:sz w:val="24"/>
    </w:rPr>
  </w:style>
  <w:style w:type="paragraph" w:customStyle="1" w:styleId="Meetingdateplace">
    <w:name w:val="Meeting date &amp; place"/>
    <w:basedOn w:val="Sessiontitle"/>
    <w:next w:val="Documenttitle"/>
    <w:rsid w:val="002671EB"/>
    <w:rPr>
      <w:lang w:val="en-US"/>
    </w:rPr>
  </w:style>
  <w:style w:type="character" w:customStyle="1" w:styleId="CharChar3">
    <w:name w:val="Char Char3"/>
    <w:rsid w:val="002671EB"/>
    <w:rPr>
      <w:rFonts w:ascii="Arial" w:hAnsi="Arial"/>
      <w:lang w:val="en-US" w:eastAsia="en-US" w:bidi="ar-SA"/>
    </w:rPr>
  </w:style>
  <w:style w:type="paragraph" w:styleId="BlockText">
    <w:name w:val="Block Text"/>
    <w:basedOn w:val="Normal"/>
    <w:rsid w:val="002671EB"/>
    <w:pPr>
      <w:spacing w:before="60" w:after="60"/>
      <w:ind w:left="266" w:right="142"/>
    </w:pPr>
    <w:rPr>
      <w:rFonts w:eastAsia="Times New Roman" w:cs="Times New Roman"/>
      <w:lang w:val="en-US" w:eastAsia="en-US"/>
    </w:rPr>
  </w:style>
  <w:style w:type="paragraph" w:customStyle="1" w:styleId="BoxText1">
    <w:name w:val="Box Text1"/>
    <w:basedOn w:val="Normal"/>
    <w:rsid w:val="002671EB"/>
    <w:pPr>
      <w:ind w:left="284"/>
    </w:pPr>
    <w:rPr>
      <w:rFonts w:eastAsia="Times New Roman" w:cs="Times New Roman"/>
      <w:snapToGrid w:val="0"/>
      <w:lang w:val="en-US" w:eastAsia="en-US"/>
    </w:rPr>
  </w:style>
  <w:style w:type="paragraph" w:customStyle="1" w:styleId="Normal1">
    <w:name w:val="Normal+1"/>
    <w:basedOn w:val="Normal"/>
    <w:next w:val="Normal"/>
    <w:rsid w:val="002671EB"/>
    <w:pPr>
      <w:autoSpaceDE w:val="0"/>
      <w:autoSpaceDN w:val="0"/>
      <w:adjustRightInd w:val="0"/>
    </w:pPr>
    <w:rPr>
      <w:rFonts w:eastAsia="Times New Roman" w:cs="Times New Roman"/>
      <w:sz w:val="20"/>
      <w:szCs w:val="24"/>
      <w:lang w:val="en-US" w:eastAsia="en-US"/>
    </w:rPr>
  </w:style>
  <w:style w:type="paragraph" w:styleId="NormalWeb">
    <w:name w:val="Normal (Web)"/>
    <w:basedOn w:val="Normal"/>
    <w:uiPriority w:val="99"/>
    <w:rsid w:val="002671EB"/>
    <w:pPr>
      <w:spacing w:before="100" w:beforeAutospacing="1" w:after="100" w:afterAutospacing="1"/>
    </w:pPr>
    <w:rPr>
      <w:rFonts w:eastAsia="Times New Roman"/>
      <w:sz w:val="18"/>
      <w:szCs w:val="18"/>
      <w:lang w:val="en-US" w:eastAsia="en-US"/>
    </w:rPr>
  </w:style>
  <w:style w:type="paragraph" w:styleId="BodyText2">
    <w:name w:val="Body Text 2"/>
    <w:basedOn w:val="Normal"/>
    <w:link w:val="BodyText2Char"/>
    <w:rsid w:val="002671EB"/>
    <w:pPr>
      <w:spacing w:after="120" w:line="480" w:lineRule="auto"/>
    </w:pPr>
    <w:rPr>
      <w:rFonts w:eastAsia="Times New Roman" w:cs="Times New Roman"/>
      <w:sz w:val="20"/>
      <w:szCs w:val="24"/>
      <w:lang w:val="en-US" w:eastAsia="en-US"/>
    </w:rPr>
  </w:style>
  <w:style w:type="character" w:customStyle="1" w:styleId="BodyText2Char">
    <w:name w:val="Body Text 2 Char"/>
    <w:basedOn w:val="DefaultParagraphFont"/>
    <w:link w:val="BodyText2"/>
    <w:rsid w:val="002671EB"/>
    <w:rPr>
      <w:rFonts w:ascii="Arial" w:hAnsi="Arial"/>
      <w:szCs w:val="24"/>
    </w:rPr>
  </w:style>
  <w:style w:type="character" w:customStyle="1" w:styleId="CharChar4">
    <w:name w:val="Char Char4"/>
    <w:rsid w:val="002671EB"/>
    <w:rPr>
      <w:rFonts w:ascii="Arial" w:hAnsi="Arial"/>
      <w:lang w:val="en-US" w:eastAsia="en-US" w:bidi="ar-SA"/>
    </w:rPr>
  </w:style>
  <w:style w:type="character" w:styleId="FollowedHyperlink">
    <w:name w:val="FollowedHyperlink"/>
    <w:rsid w:val="002671EB"/>
    <w:rPr>
      <w:color w:val="606420"/>
      <w:u w:val="single"/>
    </w:rPr>
  </w:style>
  <w:style w:type="paragraph" w:customStyle="1" w:styleId="Meetingplacedate">
    <w:name w:val="Meeting place &amp; date"/>
    <w:basedOn w:val="Sessiontitle"/>
    <w:next w:val="Documenttitle"/>
    <w:rsid w:val="002671EB"/>
    <w:rPr>
      <w:lang w:val="en-US"/>
    </w:rPr>
  </w:style>
  <w:style w:type="character" w:customStyle="1" w:styleId="CharChar6">
    <w:name w:val="Char Char6"/>
    <w:rsid w:val="002671EB"/>
    <w:rPr>
      <w:rFonts w:ascii="Arial" w:hAnsi="Arial"/>
      <w:lang w:val="en-US" w:eastAsia="en-US" w:bidi="ar-SA"/>
    </w:rPr>
  </w:style>
  <w:style w:type="character" w:customStyle="1" w:styleId="Novruzova">
    <w:name w:val="Novruzova"/>
    <w:semiHidden/>
    <w:rsid w:val="002671EB"/>
    <w:rPr>
      <w:rFonts w:ascii="Arial" w:hAnsi="Arial" w:cs="Arial"/>
      <w:color w:val="000080"/>
      <w:sz w:val="20"/>
      <w:szCs w:val="20"/>
    </w:rPr>
  </w:style>
  <w:style w:type="character" w:customStyle="1" w:styleId="description">
    <w:name w:val="description"/>
    <w:basedOn w:val="DefaultParagraphFont"/>
    <w:rsid w:val="002671EB"/>
  </w:style>
  <w:style w:type="paragraph" w:customStyle="1" w:styleId="FreeFormA">
    <w:name w:val="Free Form A"/>
    <w:rsid w:val="002671EB"/>
    <w:rPr>
      <w:rFonts w:ascii="Helvetica" w:eastAsia="ヒラギノ角ゴ Pro W3" w:hAnsi="Helvetica"/>
      <w:color w:val="000000"/>
      <w:sz w:val="24"/>
    </w:rPr>
  </w:style>
  <w:style w:type="paragraph" w:customStyle="1" w:styleId="Char">
    <w:name w:val="Char 字元 字元"/>
    <w:basedOn w:val="Normal"/>
    <w:rsid w:val="002671EB"/>
    <w:pPr>
      <w:spacing w:after="160" w:line="240" w:lineRule="exact"/>
    </w:pPr>
    <w:rPr>
      <w:rFonts w:ascii="Verdana" w:eastAsia="PMingLiU" w:hAnsi="Verdana" w:cs="Times New Roman"/>
      <w:sz w:val="20"/>
      <w:lang w:val="en-US" w:eastAsia="en-US"/>
    </w:rPr>
  </w:style>
  <w:style w:type="character" w:customStyle="1" w:styleId="underline">
    <w:name w:val="underline"/>
    <w:rsid w:val="002671EB"/>
    <w:rPr>
      <w:u w:val="single"/>
    </w:rPr>
  </w:style>
  <w:style w:type="paragraph" w:customStyle="1" w:styleId="FreeForm">
    <w:name w:val="Free Form"/>
    <w:rsid w:val="002671EB"/>
    <w:rPr>
      <w:rFonts w:eastAsia="ヒラギノ角ゴ Pro W3"/>
      <w:color w:val="000000"/>
    </w:rPr>
  </w:style>
  <w:style w:type="paragraph" w:customStyle="1" w:styleId="Heading2A">
    <w:name w:val="Heading 2 A"/>
    <w:next w:val="Normal"/>
    <w:rsid w:val="002671EB"/>
    <w:pPr>
      <w:keepNext/>
      <w:tabs>
        <w:tab w:val="left" w:pos="567"/>
        <w:tab w:val="right" w:pos="9072"/>
      </w:tabs>
      <w:ind w:left="1701" w:hanging="1701"/>
      <w:outlineLvl w:val="1"/>
    </w:pPr>
    <w:rPr>
      <w:rFonts w:ascii="Arial Bold" w:eastAsia="ヒラギノ角ゴ Pro W3" w:hAnsi="Arial Bold"/>
      <w:color w:val="000000"/>
      <w:sz w:val="22"/>
    </w:rPr>
  </w:style>
  <w:style w:type="paragraph" w:customStyle="1" w:styleId="Normal-Header">
    <w:name w:val="Normal-Header"/>
    <w:rsid w:val="002671EB"/>
    <w:rPr>
      <w:rFonts w:ascii="Arial" w:hAnsi="Arial"/>
      <w:sz w:val="16"/>
    </w:rPr>
  </w:style>
  <w:style w:type="character" w:styleId="PlaceholderText">
    <w:name w:val="Placeholder Text"/>
    <w:basedOn w:val="DefaultParagraphFont"/>
    <w:uiPriority w:val="99"/>
    <w:semiHidden/>
    <w:rsid w:val="002671EB"/>
    <w:rPr>
      <w:color w:val="808080"/>
    </w:rPr>
  </w:style>
  <w:style w:type="character" w:customStyle="1" w:styleId="Style5">
    <w:name w:val="Style5"/>
    <w:basedOn w:val="DefaultParagraphFont"/>
    <w:uiPriority w:val="99"/>
    <w:rsid w:val="002671EB"/>
    <w:rPr>
      <w:rFonts w:asciiTheme="minorHAnsi" w:hAnsiTheme="minorHAnsi"/>
      <w:sz w:val="20"/>
    </w:rPr>
  </w:style>
  <w:style w:type="paragraph" w:styleId="Revision">
    <w:name w:val="Revision"/>
    <w:hidden/>
    <w:uiPriority w:val="99"/>
    <w:semiHidden/>
    <w:rsid w:val="002671EB"/>
    <w:rPr>
      <w:rFonts w:ascii="Arial" w:hAnsi="Arial"/>
      <w:szCs w:val="24"/>
    </w:rPr>
  </w:style>
  <w:style w:type="paragraph" w:styleId="TOCHeading">
    <w:name w:val="TOC Heading"/>
    <w:basedOn w:val="Heading1"/>
    <w:next w:val="Normal"/>
    <w:uiPriority w:val="39"/>
    <w:unhideWhenUsed/>
    <w:qFormat/>
    <w:rsid w:val="002671EB"/>
    <w:pPr>
      <w:keepLines/>
      <w:spacing w:before="480" w:after="0" w:line="276" w:lineRule="auto"/>
      <w:outlineLvl w:val="9"/>
    </w:pPr>
    <w:rPr>
      <w:rFonts w:asciiTheme="majorHAnsi" w:eastAsiaTheme="majorEastAsia" w:hAnsiTheme="majorHAnsi" w:cstheme="majorBidi"/>
      <w:caps w:val="0"/>
      <w:color w:val="365F91" w:themeColor="accent1" w:themeShade="BF"/>
      <w:kern w:val="0"/>
      <w:sz w:val="28"/>
      <w:szCs w:val="28"/>
      <w:lang w:val="en-US" w:eastAsia="ja-JP"/>
    </w:rPr>
  </w:style>
  <w:style w:type="paragraph" w:styleId="TOC3">
    <w:name w:val="toc 3"/>
    <w:basedOn w:val="Normal"/>
    <w:next w:val="Normal"/>
    <w:autoRedefine/>
    <w:uiPriority w:val="39"/>
    <w:unhideWhenUsed/>
    <w:qFormat/>
    <w:rsid w:val="008F093A"/>
    <w:pPr>
      <w:tabs>
        <w:tab w:val="left" w:pos="1712"/>
        <w:tab w:val="right" w:leader="dot" w:pos="9498"/>
      </w:tabs>
      <w:ind w:left="1701" w:right="-143" w:hanging="1301"/>
    </w:pPr>
    <w:rPr>
      <w:rFonts w:asciiTheme="minorHAnsi" w:eastAsia="Times New Roman" w:hAnsiTheme="minorHAnsi" w:cs="Times New Roman"/>
      <w:i/>
      <w:iCs/>
      <w:noProof/>
      <w:sz w:val="20"/>
      <w:lang w:val="fr-FR" w:eastAsia="en-US"/>
    </w:rPr>
  </w:style>
  <w:style w:type="paragraph" w:styleId="TOC4">
    <w:name w:val="toc 4"/>
    <w:basedOn w:val="Normal"/>
    <w:next w:val="Normal"/>
    <w:autoRedefine/>
    <w:uiPriority w:val="39"/>
    <w:rsid w:val="002671EB"/>
    <w:pPr>
      <w:ind w:left="600"/>
    </w:pPr>
    <w:rPr>
      <w:rFonts w:asciiTheme="minorHAnsi" w:eastAsia="Times New Roman" w:hAnsiTheme="minorHAnsi" w:cs="Times New Roman"/>
      <w:sz w:val="18"/>
      <w:szCs w:val="18"/>
      <w:lang w:val="en-US" w:eastAsia="en-US"/>
    </w:rPr>
  </w:style>
  <w:style w:type="paragraph" w:styleId="TOC5">
    <w:name w:val="toc 5"/>
    <w:basedOn w:val="Normal"/>
    <w:next w:val="Normal"/>
    <w:autoRedefine/>
    <w:rsid w:val="002671EB"/>
    <w:pPr>
      <w:ind w:left="800"/>
    </w:pPr>
    <w:rPr>
      <w:rFonts w:asciiTheme="minorHAnsi" w:eastAsia="Times New Roman" w:hAnsiTheme="minorHAnsi" w:cs="Times New Roman"/>
      <w:sz w:val="18"/>
      <w:szCs w:val="18"/>
      <w:lang w:val="en-US" w:eastAsia="en-US"/>
    </w:rPr>
  </w:style>
  <w:style w:type="paragraph" w:styleId="TOC6">
    <w:name w:val="toc 6"/>
    <w:basedOn w:val="Normal"/>
    <w:next w:val="Normal"/>
    <w:autoRedefine/>
    <w:rsid w:val="002671EB"/>
    <w:pPr>
      <w:ind w:left="1000"/>
    </w:pPr>
    <w:rPr>
      <w:rFonts w:asciiTheme="minorHAnsi" w:eastAsia="Times New Roman" w:hAnsiTheme="minorHAnsi" w:cs="Times New Roman"/>
      <w:sz w:val="18"/>
      <w:szCs w:val="18"/>
      <w:lang w:val="en-US" w:eastAsia="en-US"/>
    </w:rPr>
  </w:style>
  <w:style w:type="paragraph" w:styleId="TOC7">
    <w:name w:val="toc 7"/>
    <w:basedOn w:val="Normal"/>
    <w:next w:val="Normal"/>
    <w:autoRedefine/>
    <w:rsid w:val="002671EB"/>
    <w:pPr>
      <w:ind w:left="1200"/>
    </w:pPr>
    <w:rPr>
      <w:rFonts w:asciiTheme="minorHAnsi" w:eastAsia="Times New Roman" w:hAnsiTheme="minorHAnsi" w:cs="Times New Roman"/>
      <w:sz w:val="18"/>
      <w:szCs w:val="18"/>
      <w:lang w:val="en-US" w:eastAsia="en-US"/>
    </w:rPr>
  </w:style>
  <w:style w:type="paragraph" w:styleId="TOC8">
    <w:name w:val="toc 8"/>
    <w:basedOn w:val="Normal"/>
    <w:next w:val="Normal"/>
    <w:autoRedefine/>
    <w:rsid w:val="002671EB"/>
    <w:pPr>
      <w:ind w:left="1400"/>
    </w:pPr>
    <w:rPr>
      <w:rFonts w:asciiTheme="minorHAnsi" w:eastAsia="Times New Roman" w:hAnsiTheme="minorHAnsi" w:cs="Times New Roman"/>
      <w:sz w:val="18"/>
      <w:szCs w:val="18"/>
      <w:lang w:val="en-US" w:eastAsia="en-US"/>
    </w:rPr>
  </w:style>
  <w:style w:type="paragraph" w:styleId="TOC9">
    <w:name w:val="toc 9"/>
    <w:basedOn w:val="Normal"/>
    <w:next w:val="Normal"/>
    <w:autoRedefine/>
    <w:rsid w:val="002671EB"/>
    <w:pPr>
      <w:ind w:left="1600"/>
    </w:pPr>
    <w:rPr>
      <w:rFonts w:asciiTheme="minorHAnsi" w:eastAsia="Times New Roman" w:hAnsiTheme="minorHAnsi" w:cs="Times New Roman"/>
      <w:sz w:val="18"/>
      <w:szCs w:val="18"/>
      <w:lang w:val="en-US" w:eastAsia="en-US"/>
    </w:rPr>
  </w:style>
  <w:style w:type="character" w:customStyle="1" w:styleId="Heading2Char">
    <w:name w:val="Heading 2 Char"/>
    <w:link w:val="Heading2"/>
    <w:rsid w:val="002671EB"/>
    <w:rPr>
      <w:rFonts w:ascii="Arial" w:eastAsia="SimSun" w:hAnsi="Arial" w:cs="Arial"/>
      <w:bCs/>
      <w:iCs/>
      <w:caps/>
      <w:sz w:val="22"/>
      <w:szCs w:val="28"/>
      <w:lang w:val="es-ES" w:eastAsia="zh-CN"/>
    </w:rPr>
  </w:style>
  <w:style w:type="paragraph" w:styleId="PlainText">
    <w:name w:val="Plain Text"/>
    <w:basedOn w:val="Normal"/>
    <w:link w:val="PlainTextChar"/>
    <w:uiPriority w:val="99"/>
    <w:rsid w:val="002671EB"/>
    <w:rPr>
      <w:rFonts w:ascii="Courier New" w:hAnsi="Courier New" w:cs="Courier New"/>
      <w:color w:val="0000FF"/>
      <w:sz w:val="20"/>
      <w:lang w:val="en-US"/>
    </w:rPr>
  </w:style>
  <w:style w:type="character" w:customStyle="1" w:styleId="PlainTextChar">
    <w:name w:val="Plain Text Char"/>
    <w:basedOn w:val="DefaultParagraphFont"/>
    <w:link w:val="PlainText"/>
    <w:uiPriority w:val="99"/>
    <w:rsid w:val="002671EB"/>
    <w:rPr>
      <w:rFonts w:ascii="Courier New" w:eastAsia="SimSun" w:hAnsi="Courier New" w:cs="Courier New"/>
      <w:color w:val="0000FF"/>
      <w:lang w:eastAsia="zh-CN"/>
    </w:rPr>
  </w:style>
  <w:style w:type="character" w:customStyle="1" w:styleId="Heading3Char">
    <w:name w:val="Heading 3 Char"/>
    <w:basedOn w:val="DefaultParagraphFont"/>
    <w:link w:val="Heading3"/>
    <w:rsid w:val="002671EB"/>
    <w:rPr>
      <w:rFonts w:ascii="Arial" w:eastAsia="SimSun" w:hAnsi="Arial" w:cs="Arial"/>
      <w:bCs/>
      <w:sz w:val="22"/>
      <w:szCs w:val="26"/>
      <w:u w:val="single"/>
      <w:lang w:val="es-ES" w:eastAsia="zh-CN"/>
    </w:rPr>
  </w:style>
  <w:style w:type="paragraph" w:customStyle="1" w:styleId="StyleHeading3BoldNounderline">
    <w:name w:val="Style Heading 3 + Bold No underline"/>
    <w:basedOn w:val="Heading3"/>
    <w:rsid w:val="002671EB"/>
    <w:rPr>
      <w:i/>
      <w:u w:val="none"/>
      <w:lang w:val="en-US" w:eastAsia="en-US"/>
    </w:rPr>
  </w:style>
  <w:style w:type="paragraph" w:customStyle="1" w:styleId="Style1">
    <w:name w:val="Style1"/>
    <w:basedOn w:val="Normal"/>
    <w:qFormat/>
    <w:rsid w:val="002671EB"/>
    <w:pPr>
      <w:numPr>
        <w:numId w:val="7"/>
      </w:numPr>
    </w:pPr>
    <w:rPr>
      <w:rFonts w:eastAsia="Times New Roman" w:cs="Times New Roman"/>
      <w:sz w:val="20"/>
      <w:szCs w:val="24"/>
      <w:lang w:val="en-US" w:eastAsia="en-US"/>
    </w:rPr>
  </w:style>
  <w:style w:type="character" w:customStyle="1" w:styleId="SalutationChar">
    <w:name w:val="Salutation Char"/>
    <w:basedOn w:val="DefaultParagraphFont"/>
    <w:link w:val="Salutation"/>
    <w:rsid w:val="002671EB"/>
    <w:rPr>
      <w:rFonts w:ascii="Arial" w:eastAsia="SimSun" w:hAnsi="Arial" w:cs="Arial"/>
      <w:sz w:val="22"/>
      <w:lang w:val="es-ES" w:eastAsia="zh-CN"/>
    </w:rPr>
  </w:style>
  <w:style w:type="character" w:customStyle="1" w:styleId="SignatureChar">
    <w:name w:val="Signature Char"/>
    <w:basedOn w:val="DefaultParagraphFont"/>
    <w:link w:val="Signature"/>
    <w:rsid w:val="002671EB"/>
    <w:rPr>
      <w:rFonts w:ascii="Arial" w:eastAsia="SimSun" w:hAnsi="Arial" w:cs="Arial"/>
      <w:sz w:val="22"/>
      <w:lang w:val="es-ES" w:eastAsia="zh-CN"/>
    </w:rPr>
  </w:style>
  <w:style w:type="character" w:customStyle="1" w:styleId="EndnoteTextChar">
    <w:name w:val="Endnote Text Char"/>
    <w:basedOn w:val="DefaultParagraphFont"/>
    <w:link w:val="EndnoteText"/>
    <w:rsid w:val="002671EB"/>
    <w:rPr>
      <w:rFonts w:ascii="Arial" w:eastAsia="SimSun" w:hAnsi="Arial" w:cs="Arial"/>
      <w:sz w:val="18"/>
      <w:lang w:val="es-ES" w:eastAsia="zh-CN"/>
    </w:rPr>
  </w:style>
  <w:style w:type="character" w:customStyle="1" w:styleId="st">
    <w:name w:val="st"/>
    <w:basedOn w:val="DefaultParagraphFont"/>
    <w:rsid w:val="002671EB"/>
  </w:style>
  <w:style w:type="paragraph" w:styleId="NoSpacing">
    <w:name w:val="No Spacing"/>
    <w:uiPriority w:val="1"/>
    <w:qFormat/>
    <w:rsid w:val="002671EB"/>
    <w:rPr>
      <w:rFonts w:asciiTheme="minorHAnsi" w:eastAsiaTheme="minorHAnsi" w:hAnsiTheme="minorHAnsi" w:cstheme="minorBidi"/>
      <w:sz w:val="22"/>
      <w:szCs w:val="22"/>
    </w:rPr>
  </w:style>
  <w:style w:type="paragraph" w:customStyle="1" w:styleId="StyleStyleHeading3ComplexItalicLatin12pt">
    <w:name w:val="Style Style Heading 3 + (Complex) Italic + (Latin) 12 pt"/>
    <w:basedOn w:val="Normal"/>
    <w:link w:val="StyleStyleHeading3ComplexItalicLatin12ptChar"/>
    <w:rsid w:val="002671EB"/>
    <w:pPr>
      <w:keepNext/>
      <w:tabs>
        <w:tab w:val="left" w:pos="1985"/>
      </w:tabs>
      <w:outlineLvl w:val="2"/>
    </w:pPr>
    <w:rPr>
      <w:rFonts w:eastAsia="Times New Roman" w:cs="Times New Roman"/>
      <w:b/>
      <w:iCs/>
      <w:caps/>
      <w:sz w:val="20"/>
      <w:szCs w:val="22"/>
      <w:lang w:val="en-US" w:eastAsia="en-US"/>
    </w:rPr>
  </w:style>
  <w:style w:type="character" w:customStyle="1" w:styleId="StyleStyleHeading3ComplexItalicLatin12ptChar">
    <w:name w:val="Style Style Heading 3 + (Complex) Italic + (Latin) 12 pt Char"/>
    <w:basedOn w:val="DefaultParagraphFont"/>
    <w:link w:val="StyleStyleHeading3ComplexItalicLatin12pt"/>
    <w:rsid w:val="002671EB"/>
    <w:rPr>
      <w:rFonts w:ascii="Arial" w:hAnsi="Arial"/>
      <w:b/>
      <w:iCs/>
      <w:caps/>
      <w:szCs w:val="22"/>
    </w:rPr>
  </w:style>
  <w:style w:type="paragraph" w:customStyle="1" w:styleId="Test">
    <w:name w:val="Test"/>
    <w:basedOn w:val="Normal"/>
    <w:qFormat/>
    <w:rsid w:val="002671EB"/>
    <w:pPr>
      <w:numPr>
        <w:numId w:val="8"/>
      </w:numPr>
    </w:pPr>
    <w:rPr>
      <w:rFonts w:eastAsiaTheme="minorHAnsi"/>
      <w:szCs w:val="22"/>
      <w:lang w:val="en-US" w:eastAsia="en-US"/>
    </w:rPr>
  </w:style>
  <w:style w:type="paragraph" w:customStyle="1" w:styleId="StyleHeading214ptAuto">
    <w:name w:val="Style Heading 2 + 14 pt Auto"/>
    <w:basedOn w:val="Heading2"/>
    <w:rsid w:val="002671EB"/>
    <w:pPr>
      <w:keepNext w:val="0"/>
      <w:widowControl w:val="0"/>
      <w:tabs>
        <w:tab w:val="num" w:pos="567"/>
      </w:tabs>
      <w:spacing w:before="0" w:after="0" w:line="300" w:lineRule="atLeast"/>
      <w:ind w:left="567" w:hanging="567"/>
      <w:jc w:val="center"/>
    </w:pPr>
    <w:rPr>
      <w:rFonts w:ascii="Arial Bold" w:eastAsia="Times New Roman" w:hAnsi="Arial Bold" w:cs="Times New Roman"/>
      <w:b/>
      <w:sz w:val="24"/>
      <w:lang w:val="en-GB" w:eastAsia="da-DK"/>
    </w:rPr>
  </w:style>
  <w:style w:type="character" w:customStyle="1" w:styleId="preferred">
    <w:name w:val="preferred"/>
    <w:basedOn w:val="DefaultParagraphFont"/>
    <w:rsid w:val="00B84891"/>
  </w:style>
  <w:style w:type="character" w:styleId="EndnoteReference">
    <w:name w:val="endnote reference"/>
    <w:basedOn w:val="DefaultParagraphFont"/>
    <w:uiPriority w:val="99"/>
    <w:unhideWhenUsed/>
    <w:rsid w:val="0095318C"/>
    <w:rPr>
      <w:vertAlign w:val="superscript"/>
    </w:rPr>
  </w:style>
  <w:style w:type="character" w:styleId="HTMLCite">
    <w:name w:val="HTML Cite"/>
    <w:basedOn w:val="DefaultParagraphFont"/>
    <w:uiPriority w:val="99"/>
    <w:unhideWhenUsed/>
    <w:rsid w:val="0095318C"/>
    <w:rPr>
      <w:i/>
      <w:iCs/>
    </w:rPr>
  </w:style>
  <w:style w:type="character" w:customStyle="1" w:styleId="admitted">
    <w:name w:val="admitted"/>
    <w:basedOn w:val="DefaultParagraphFont"/>
    <w:rsid w:val="00221F0B"/>
  </w:style>
  <w:style w:type="character" w:styleId="Strong">
    <w:name w:val="Strong"/>
    <w:basedOn w:val="DefaultParagraphFont"/>
    <w:uiPriority w:val="22"/>
    <w:qFormat/>
    <w:rsid w:val="00EB45DE"/>
    <w:rPr>
      <w:b/>
      <w:bCs/>
    </w:rPr>
  </w:style>
  <w:style w:type="paragraph" w:customStyle="1" w:styleId="StyleHeading3ComplexItalic">
    <w:name w:val="Style Heading 3 + (Complex) Italic"/>
    <w:basedOn w:val="Heading3"/>
    <w:link w:val="StyleHeading3ComplexItalicChar"/>
    <w:rsid w:val="00EB45DE"/>
    <w:pPr>
      <w:tabs>
        <w:tab w:val="left" w:pos="1985"/>
      </w:tabs>
      <w:spacing w:before="0" w:after="0"/>
    </w:pPr>
    <w:rPr>
      <w:rFonts w:eastAsia="Times New Roman"/>
      <w:b/>
      <w:bCs w:val="0"/>
      <w:iCs/>
      <w:caps/>
      <w:szCs w:val="22"/>
      <w:u w:val="none"/>
      <w:lang w:val="en-US" w:eastAsia="en-US"/>
    </w:rPr>
  </w:style>
  <w:style w:type="character" w:customStyle="1" w:styleId="StyleHeading3ComplexItalicChar">
    <w:name w:val="Style Heading 3 + (Complex) Italic Char"/>
    <w:link w:val="StyleHeading3ComplexItalic"/>
    <w:rsid w:val="00EB45DE"/>
    <w:rPr>
      <w:rFonts w:ascii="Arial" w:hAnsi="Arial" w:cs="Arial"/>
      <w:b/>
      <w:iCs/>
      <w:caps/>
      <w:sz w:val="22"/>
      <w:szCs w:val="22"/>
    </w:rPr>
  </w:style>
  <w:style w:type="character" w:customStyle="1" w:styleId="Heading4Char">
    <w:name w:val="Heading 4 Char"/>
    <w:basedOn w:val="DefaultParagraphFont"/>
    <w:link w:val="Heading4"/>
    <w:rsid w:val="00EB45DE"/>
    <w:rPr>
      <w:rFonts w:ascii="Arial" w:eastAsia="SimSun" w:hAnsi="Arial" w:cs="Arial"/>
      <w:bCs/>
      <w:i/>
      <w:sz w:val="22"/>
      <w:szCs w:val="28"/>
      <w:lang w:val="es-ES" w:eastAsia="zh-CN"/>
    </w:rPr>
  </w:style>
  <w:style w:type="character" w:customStyle="1" w:styleId="hps">
    <w:name w:val="hps"/>
    <w:basedOn w:val="DefaultParagraphFont"/>
    <w:rsid w:val="00EB45DE"/>
  </w:style>
  <w:style w:type="paragraph" w:customStyle="1" w:styleId="Normal-table">
    <w:name w:val="Normal-table"/>
    <w:rsid w:val="00EB45DE"/>
    <w:rPr>
      <w:rFonts w:ascii="Arial" w:eastAsia="Batang" w:hAnsi="Arial"/>
    </w:rPr>
  </w:style>
  <w:style w:type="paragraph" w:customStyle="1" w:styleId="CharCharCharChar2">
    <w:name w:val="Char Char Char Char2"/>
    <w:basedOn w:val="Normal"/>
    <w:rsid w:val="00EB45DE"/>
    <w:pPr>
      <w:spacing w:after="160" w:line="240" w:lineRule="exact"/>
    </w:pPr>
    <w:rPr>
      <w:rFonts w:ascii="Verdana" w:eastAsia="Times New Roman" w:hAnsi="Verdana" w:cs="Times New Roman"/>
      <w:sz w:val="20"/>
      <w:lang w:val="en-GB" w:eastAsia="en-US"/>
    </w:rPr>
  </w:style>
  <w:style w:type="paragraph" w:customStyle="1" w:styleId="CharCharCharChar1">
    <w:name w:val="Char Char Char Char1"/>
    <w:basedOn w:val="Normal"/>
    <w:rsid w:val="00EB45DE"/>
    <w:pPr>
      <w:spacing w:after="160" w:line="240" w:lineRule="exact"/>
    </w:pPr>
    <w:rPr>
      <w:rFonts w:ascii="Verdana" w:eastAsia="Times New Roman" w:hAnsi="Verdana" w:cs="Times New Roman"/>
      <w:sz w:val="20"/>
      <w:lang w:val="en-GB" w:eastAsia="en-US"/>
    </w:rPr>
  </w:style>
  <w:style w:type="character" w:customStyle="1" w:styleId="CharChar1">
    <w:name w:val="Char Char1"/>
    <w:locked/>
    <w:rsid w:val="00EB45DE"/>
    <w:rPr>
      <w:rFonts w:ascii="Arial" w:hAnsi="Arial" w:cs="Times New Roman"/>
      <w:lang w:val="en-US" w:eastAsia="en-US" w:bidi="ar-SA"/>
    </w:rPr>
  </w:style>
  <w:style w:type="paragraph" w:customStyle="1" w:styleId="CarCar1">
    <w:name w:val="Car Car1"/>
    <w:basedOn w:val="Normal"/>
    <w:rsid w:val="00EB45DE"/>
    <w:pPr>
      <w:spacing w:after="160" w:line="240" w:lineRule="exact"/>
    </w:pPr>
    <w:rPr>
      <w:rFonts w:ascii="Verdana" w:eastAsia="Times New Roman" w:hAnsi="Verdana" w:cs="Times New Roman"/>
      <w:sz w:val="20"/>
      <w:lang w:val="en-GB" w:eastAsia="en-US"/>
    </w:rPr>
  </w:style>
  <w:style w:type="character" w:customStyle="1" w:styleId="CharChar21">
    <w:name w:val="Char Char21"/>
    <w:rsid w:val="00EB45DE"/>
    <w:rPr>
      <w:rFonts w:ascii="Arial" w:hAnsi="Arial"/>
      <w:lang w:val="en-US" w:eastAsia="en-US" w:bidi="ar-SA"/>
    </w:rPr>
  </w:style>
  <w:style w:type="character" w:customStyle="1" w:styleId="CharChar31">
    <w:name w:val="Char Char31"/>
    <w:rsid w:val="00EB45DE"/>
    <w:rPr>
      <w:rFonts w:ascii="Arial" w:hAnsi="Arial"/>
      <w:lang w:val="en-US" w:eastAsia="en-US" w:bidi="ar-SA"/>
    </w:rPr>
  </w:style>
  <w:style w:type="character" w:customStyle="1" w:styleId="CharChar41">
    <w:name w:val="Char Char41"/>
    <w:rsid w:val="00EB45DE"/>
    <w:rPr>
      <w:rFonts w:ascii="Arial" w:hAnsi="Arial"/>
      <w:lang w:val="en-US" w:eastAsia="en-US" w:bidi="ar-SA"/>
    </w:rPr>
  </w:style>
  <w:style w:type="character" w:customStyle="1" w:styleId="CharChar61">
    <w:name w:val="Char Char61"/>
    <w:rsid w:val="00EB45DE"/>
    <w:rPr>
      <w:rFonts w:ascii="Arial" w:hAnsi="Arial"/>
      <w:lang w:val="en-US" w:eastAsia="en-US" w:bidi="ar-SA"/>
    </w:rPr>
  </w:style>
  <w:style w:type="paragraph" w:customStyle="1" w:styleId="Char1">
    <w:name w:val="Char 字元 字元1"/>
    <w:basedOn w:val="Normal"/>
    <w:rsid w:val="00EB45DE"/>
    <w:pPr>
      <w:spacing w:after="160" w:line="240" w:lineRule="exact"/>
    </w:pPr>
    <w:rPr>
      <w:rFonts w:ascii="Verdana" w:eastAsia="PMingLiU" w:hAnsi="Verdana" w:cs="Times New Roman"/>
      <w:sz w:val="20"/>
      <w:lang w:val="en-US" w:eastAsia="en-US"/>
    </w:rPr>
  </w:style>
  <w:style w:type="table" w:customStyle="1" w:styleId="TableGrid1">
    <w:name w:val="Table Grid1"/>
    <w:basedOn w:val="TableNormal"/>
    <w:next w:val="TableGrid"/>
    <w:uiPriority w:val="59"/>
    <w:rsid w:val="00EB45D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ofdocument">
    <w:name w:val="End of document"/>
    <w:basedOn w:val="Normal"/>
    <w:rsid w:val="00EB45DE"/>
    <w:pPr>
      <w:ind w:left="4536"/>
      <w:jc w:val="center"/>
    </w:pPr>
    <w:rPr>
      <w:rFonts w:ascii="Times New Roman" w:eastAsia="Times New Roman" w:hAnsi="Times New Roman" w:cs="Times New Roman"/>
      <w:sz w:val="24"/>
      <w:lang w:val="en-US" w:eastAsia="en-US"/>
    </w:rPr>
  </w:style>
  <w:style w:type="numbering" w:customStyle="1" w:styleId="NoList1">
    <w:name w:val="No List1"/>
    <w:next w:val="NoList"/>
    <w:uiPriority w:val="99"/>
    <w:semiHidden/>
    <w:unhideWhenUsed/>
    <w:rsid w:val="00CA682E"/>
  </w:style>
  <w:style w:type="table" w:customStyle="1" w:styleId="TableGrid2">
    <w:name w:val="Table Grid2"/>
    <w:basedOn w:val="TableNormal"/>
    <w:next w:val="TableGrid"/>
    <w:rsid w:val="00CA68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d">
    <w:name w:val="std"/>
    <w:basedOn w:val="Normal"/>
    <w:rsid w:val="003E311F"/>
    <w:rPr>
      <w:rFonts w:ascii="Times New Roman" w:eastAsia="Times New Roman" w:hAnsi="Times New Roman" w:cs="Times New Roman"/>
      <w:sz w:val="24"/>
      <w:szCs w:val="24"/>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endnote reference"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Cite"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qFormat/>
    <w:rsid w:val="00A32C9E"/>
    <w:pPr>
      <w:keepNext/>
      <w:numPr>
        <w:numId w:val="3"/>
      </w:numPr>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link w:val="Heading4Char"/>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
    <w:uiPriority w:val="99"/>
    <w:rsid w:val="00A32C9E"/>
    <w:rPr>
      <w:sz w:val="18"/>
    </w:rPr>
  </w:style>
  <w:style w:type="paragraph" w:styleId="EndnoteText">
    <w:name w:val="endnote text"/>
    <w:basedOn w:val="Normal"/>
    <w:link w:val="EndnoteTextChar"/>
    <w:rsid w:val="00A32C9E"/>
    <w:rPr>
      <w:sz w:val="18"/>
    </w:rPr>
  </w:style>
  <w:style w:type="paragraph" w:styleId="Footer">
    <w:name w:val="footer"/>
    <w:basedOn w:val="Normal"/>
    <w:link w:val="FooterChar"/>
    <w:uiPriority w:val="99"/>
    <w:rsid w:val="00A32C9E"/>
    <w:pPr>
      <w:tabs>
        <w:tab w:val="center" w:pos="4320"/>
        <w:tab w:val="right" w:pos="8640"/>
      </w:tabs>
    </w:pPr>
  </w:style>
  <w:style w:type="paragraph" w:styleId="FootnoteText">
    <w:name w:val="footnote text"/>
    <w:basedOn w:val="Normal"/>
    <w:link w:val="FootnoteTextChar"/>
    <w:uiPriority w:val="99"/>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link w:val="HeaderChar"/>
    <w:uiPriority w:val="99"/>
    <w:rsid w:val="00A32C9E"/>
    <w:pPr>
      <w:tabs>
        <w:tab w:val="center" w:pos="4536"/>
        <w:tab w:val="right" w:pos="9072"/>
      </w:tabs>
    </w:pPr>
  </w:style>
  <w:style w:type="paragraph" w:styleId="ListNumber">
    <w:name w:val="List Number"/>
    <w:basedOn w:val="Normal"/>
    <w:rsid w:val="00A32C9E"/>
    <w:pPr>
      <w:numPr>
        <w:numId w:val="1"/>
      </w:numPr>
    </w:pPr>
  </w:style>
  <w:style w:type="paragraph" w:customStyle="1" w:styleId="ONUME">
    <w:name w:val="ONUM E"/>
    <w:basedOn w:val="BodyText"/>
    <w:link w:val="ONUMEChar"/>
    <w:rsid w:val="00A32C9E"/>
  </w:style>
  <w:style w:type="paragraph" w:customStyle="1" w:styleId="ONUMFS">
    <w:name w:val="ONUM FS"/>
    <w:basedOn w:val="BodyText"/>
    <w:rsid w:val="00A32C9E"/>
    <w:pPr>
      <w:numPr>
        <w:numId w:val="2"/>
      </w:numPr>
    </w:pPr>
  </w:style>
  <w:style w:type="paragraph" w:styleId="Salutation">
    <w:name w:val="Salutation"/>
    <w:basedOn w:val="Normal"/>
    <w:next w:val="Normal"/>
    <w:link w:val="SalutationChar"/>
    <w:rsid w:val="00A32C9E"/>
  </w:style>
  <w:style w:type="paragraph" w:styleId="Signature">
    <w:name w:val="Signature"/>
    <w:basedOn w:val="Normal"/>
    <w:link w:val="SignatureChar"/>
    <w:rsid w:val="00A32C9E"/>
    <w:pPr>
      <w:ind w:left="5250"/>
    </w:pPr>
  </w:style>
  <w:style w:type="paragraph" w:customStyle="1" w:styleId="DecisionInvitingPara">
    <w:name w:val="Decision Inviting Para."/>
    <w:basedOn w:val="Normal"/>
    <w:link w:val="DecisionInvitingParaChar"/>
    <w:rsid w:val="00966335"/>
    <w:pPr>
      <w:spacing w:after="120" w:line="260" w:lineRule="exact"/>
      <w:ind w:left="5534"/>
    </w:pPr>
    <w:rPr>
      <w:rFonts w:eastAsia="Times New Roman" w:cs="Times New Roman"/>
      <w:i/>
      <w:sz w:val="20"/>
      <w:lang w:val="en-US" w:eastAsia="en-US"/>
    </w:rPr>
  </w:style>
  <w:style w:type="paragraph" w:styleId="ListParagraph">
    <w:name w:val="List Paragraph"/>
    <w:basedOn w:val="Normal"/>
    <w:uiPriority w:val="34"/>
    <w:qFormat/>
    <w:rsid w:val="00966335"/>
    <w:pPr>
      <w:ind w:left="720"/>
    </w:pPr>
    <w:rPr>
      <w:rFonts w:eastAsia="Times New Roman" w:cs="Times New Roman"/>
      <w:sz w:val="20"/>
      <w:lang w:val="en-US" w:eastAsia="en-US"/>
    </w:rPr>
  </w:style>
  <w:style w:type="character" w:customStyle="1" w:styleId="DecisionInvitingParaChar">
    <w:name w:val="Decision Inviting Para. Char"/>
    <w:link w:val="DecisionInvitingPara"/>
    <w:locked/>
    <w:rsid w:val="00966335"/>
    <w:rPr>
      <w:rFonts w:ascii="Arial" w:hAnsi="Arial"/>
      <w:i/>
    </w:rPr>
  </w:style>
  <w:style w:type="character" w:customStyle="1" w:styleId="ONUMEChar">
    <w:name w:val="ONUM E Char"/>
    <w:link w:val="ONUME"/>
    <w:locked/>
    <w:rsid w:val="00966335"/>
    <w:rPr>
      <w:rFonts w:ascii="Arial" w:eastAsia="SimSun" w:hAnsi="Arial" w:cs="Arial"/>
      <w:sz w:val="22"/>
      <w:lang w:val="es-ES" w:eastAsia="zh-CN"/>
    </w:rPr>
  </w:style>
  <w:style w:type="character" w:customStyle="1" w:styleId="FooterChar">
    <w:name w:val="Footer Char"/>
    <w:basedOn w:val="DefaultParagraphFont"/>
    <w:link w:val="Footer"/>
    <w:uiPriority w:val="99"/>
    <w:rsid w:val="00B26D73"/>
    <w:rPr>
      <w:rFonts w:ascii="Arial" w:eastAsia="SimSun" w:hAnsi="Arial" w:cs="Arial"/>
      <w:sz w:val="22"/>
      <w:lang w:val="es-ES" w:eastAsia="zh-CN"/>
    </w:rPr>
  </w:style>
  <w:style w:type="character" w:styleId="FootnoteReference">
    <w:name w:val="footnote reference"/>
    <w:aliases w:val="Footnote"/>
    <w:uiPriority w:val="99"/>
    <w:rsid w:val="00A712D3"/>
    <w:rPr>
      <w:vertAlign w:val="superscript"/>
    </w:rPr>
  </w:style>
  <w:style w:type="character" w:customStyle="1" w:styleId="FootnoteTextChar">
    <w:name w:val="Footnote Text Char"/>
    <w:link w:val="FootnoteText"/>
    <w:uiPriority w:val="99"/>
    <w:locked/>
    <w:rsid w:val="00A712D3"/>
    <w:rPr>
      <w:rFonts w:ascii="Arial" w:eastAsia="SimSun" w:hAnsi="Arial" w:cs="Arial"/>
      <w:sz w:val="18"/>
      <w:lang w:val="es-ES" w:eastAsia="zh-CN"/>
    </w:rPr>
  </w:style>
  <w:style w:type="character" w:customStyle="1" w:styleId="HeaderChar">
    <w:name w:val="Header Char"/>
    <w:basedOn w:val="DefaultParagraphFont"/>
    <w:link w:val="Header"/>
    <w:uiPriority w:val="99"/>
    <w:rsid w:val="00A712D3"/>
    <w:rPr>
      <w:rFonts w:ascii="Arial" w:eastAsia="SimSun" w:hAnsi="Arial" w:cs="Arial"/>
      <w:sz w:val="22"/>
      <w:lang w:val="es-ES" w:eastAsia="zh-CN"/>
    </w:rPr>
  </w:style>
  <w:style w:type="character" w:customStyle="1" w:styleId="Heading1Char">
    <w:name w:val="Heading 1 Char"/>
    <w:basedOn w:val="DefaultParagraphFont"/>
    <w:link w:val="Heading1"/>
    <w:rsid w:val="00A712D3"/>
    <w:rPr>
      <w:rFonts w:ascii="Arial" w:eastAsia="SimSun" w:hAnsi="Arial" w:cs="Arial"/>
      <w:b/>
      <w:bCs/>
      <w:caps/>
      <w:kern w:val="32"/>
      <w:sz w:val="22"/>
      <w:szCs w:val="32"/>
      <w:lang w:val="es-ES" w:eastAsia="zh-CN"/>
    </w:rPr>
  </w:style>
  <w:style w:type="table" w:styleId="TableGrid">
    <w:name w:val="Table Grid"/>
    <w:basedOn w:val="TableNormal"/>
    <w:uiPriority w:val="59"/>
    <w:rsid w:val="002671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basedOn w:val="Normal"/>
    <w:rsid w:val="002671EB"/>
    <w:pPr>
      <w:spacing w:after="160" w:line="240" w:lineRule="exact"/>
    </w:pPr>
    <w:rPr>
      <w:rFonts w:ascii="Verdana" w:eastAsia="Times New Roman" w:hAnsi="Verdana" w:cs="Times New Roman"/>
      <w:sz w:val="20"/>
      <w:lang w:val="en-GB" w:eastAsia="en-US"/>
    </w:rPr>
  </w:style>
  <w:style w:type="character" w:customStyle="1" w:styleId="BodyTextChar">
    <w:name w:val="Body Text Char"/>
    <w:link w:val="BodyText"/>
    <w:rsid w:val="002671EB"/>
    <w:rPr>
      <w:rFonts w:ascii="Arial" w:eastAsia="SimSun" w:hAnsi="Arial" w:cs="Arial"/>
      <w:sz w:val="22"/>
      <w:lang w:val="es-ES" w:eastAsia="zh-CN"/>
    </w:rPr>
  </w:style>
  <w:style w:type="paragraph" w:styleId="BodyTextIndent">
    <w:name w:val="Body Text Indent"/>
    <w:basedOn w:val="Normal"/>
    <w:link w:val="BodyTextIndentChar"/>
    <w:rsid w:val="002671EB"/>
    <w:pPr>
      <w:ind w:left="567"/>
    </w:pPr>
    <w:rPr>
      <w:rFonts w:eastAsia="Times New Roman" w:cs="Times New Roman"/>
      <w:sz w:val="20"/>
      <w:lang w:val="en-US" w:eastAsia="en-US"/>
    </w:rPr>
  </w:style>
  <w:style w:type="character" w:customStyle="1" w:styleId="BodyTextIndentChar">
    <w:name w:val="Body Text Indent Char"/>
    <w:basedOn w:val="DefaultParagraphFont"/>
    <w:link w:val="BodyTextIndent"/>
    <w:rsid w:val="002671EB"/>
    <w:rPr>
      <w:rFonts w:ascii="Arial" w:hAnsi="Arial"/>
    </w:rPr>
  </w:style>
  <w:style w:type="character" w:styleId="PageNumber">
    <w:name w:val="page number"/>
    <w:basedOn w:val="DefaultParagraphFont"/>
    <w:rsid w:val="002671EB"/>
  </w:style>
  <w:style w:type="character" w:customStyle="1" w:styleId="CharChar">
    <w:name w:val="Char Char"/>
    <w:locked/>
    <w:rsid w:val="002671EB"/>
    <w:rPr>
      <w:rFonts w:ascii="Arial" w:hAnsi="Arial" w:cs="Times New Roman"/>
      <w:lang w:val="en-US" w:eastAsia="en-US" w:bidi="ar-SA"/>
    </w:rPr>
  </w:style>
  <w:style w:type="character" w:styleId="Hyperlink">
    <w:name w:val="Hyperlink"/>
    <w:uiPriority w:val="99"/>
    <w:rsid w:val="002671EB"/>
    <w:rPr>
      <w:color w:val="000099"/>
      <w:u w:val="single"/>
    </w:rPr>
  </w:style>
  <w:style w:type="paragraph" w:styleId="BalloonText">
    <w:name w:val="Balloon Text"/>
    <w:basedOn w:val="Normal"/>
    <w:link w:val="BalloonTextChar"/>
    <w:uiPriority w:val="99"/>
    <w:rsid w:val="002671EB"/>
    <w:rPr>
      <w:rFonts w:ascii="Tahoma" w:eastAsia="Times New Roman" w:hAnsi="Tahoma" w:cs="Tahoma"/>
      <w:sz w:val="16"/>
      <w:szCs w:val="16"/>
      <w:lang w:val="en-US" w:eastAsia="en-US"/>
    </w:rPr>
  </w:style>
  <w:style w:type="character" w:customStyle="1" w:styleId="BalloonTextChar">
    <w:name w:val="Balloon Text Char"/>
    <w:basedOn w:val="DefaultParagraphFont"/>
    <w:link w:val="BalloonText"/>
    <w:uiPriority w:val="99"/>
    <w:rsid w:val="002671EB"/>
    <w:rPr>
      <w:rFonts w:ascii="Tahoma" w:hAnsi="Tahoma" w:cs="Tahoma"/>
      <w:sz w:val="16"/>
      <w:szCs w:val="16"/>
    </w:rPr>
  </w:style>
  <w:style w:type="paragraph" w:customStyle="1" w:styleId="CarCar">
    <w:name w:val="Car Car"/>
    <w:basedOn w:val="Normal"/>
    <w:rsid w:val="002671EB"/>
    <w:pPr>
      <w:spacing w:after="160" w:line="240" w:lineRule="exact"/>
    </w:pPr>
    <w:rPr>
      <w:rFonts w:ascii="Verdana" w:eastAsia="Times New Roman" w:hAnsi="Verdana" w:cs="Times New Roman"/>
      <w:sz w:val="20"/>
      <w:lang w:val="en-GB" w:eastAsia="en-US"/>
    </w:rPr>
  </w:style>
  <w:style w:type="character" w:styleId="CommentReference">
    <w:name w:val="annotation reference"/>
    <w:uiPriority w:val="99"/>
    <w:rsid w:val="002671EB"/>
    <w:rPr>
      <w:sz w:val="16"/>
      <w:szCs w:val="16"/>
    </w:rPr>
  </w:style>
  <w:style w:type="paragraph" w:styleId="CommentSubject">
    <w:name w:val="annotation subject"/>
    <w:basedOn w:val="CommentText"/>
    <w:next w:val="CommentText"/>
    <w:link w:val="CommentSubjectChar"/>
    <w:uiPriority w:val="99"/>
    <w:rsid w:val="002671EB"/>
    <w:rPr>
      <w:rFonts w:eastAsia="Times New Roman" w:cs="Times New Roman"/>
      <w:b/>
      <w:bCs/>
      <w:sz w:val="20"/>
      <w:lang w:val="en-US" w:eastAsia="en-US"/>
    </w:rPr>
  </w:style>
  <w:style w:type="character" w:customStyle="1" w:styleId="CommentTextChar">
    <w:name w:val="Comment Text Char"/>
    <w:basedOn w:val="DefaultParagraphFont"/>
    <w:link w:val="CommentText"/>
    <w:uiPriority w:val="99"/>
    <w:rsid w:val="002671EB"/>
    <w:rPr>
      <w:rFonts w:ascii="Arial" w:eastAsia="SimSun" w:hAnsi="Arial" w:cs="Arial"/>
      <w:sz w:val="18"/>
      <w:lang w:val="es-ES" w:eastAsia="zh-CN"/>
    </w:rPr>
  </w:style>
  <w:style w:type="character" w:customStyle="1" w:styleId="CommentSubjectChar">
    <w:name w:val="Comment Subject Char"/>
    <w:basedOn w:val="CommentTextChar"/>
    <w:link w:val="CommentSubject"/>
    <w:uiPriority w:val="99"/>
    <w:rsid w:val="002671EB"/>
    <w:rPr>
      <w:rFonts w:ascii="Arial" w:eastAsia="SimSun" w:hAnsi="Arial" w:cs="Arial"/>
      <w:b/>
      <w:bCs/>
      <w:sz w:val="18"/>
      <w:lang w:val="es-ES" w:eastAsia="zh-CN"/>
    </w:rPr>
  </w:style>
  <w:style w:type="paragraph" w:customStyle="1" w:styleId="Default">
    <w:name w:val="Default"/>
    <w:rsid w:val="002671EB"/>
    <w:pPr>
      <w:autoSpaceDE w:val="0"/>
      <w:autoSpaceDN w:val="0"/>
      <w:adjustRightInd w:val="0"/>
    </w:pPr>
    <w:rPr>
      <w:rFonts w:ascii="Arial" w:eastAsia="Batang" w:hAnsi="Arial" w:cs="Arial"/>
      <w:color w:val="000000"/>
      <w:sz w:val="24"/>
      <w:szCs w:val="24"/>
      <w:lang w:eastAsia="ja-JP"/>
    </w:rPr>
  </w:style>
  <w:style w:type="character" w:customStyle="1" w:styleId="CharChar2">
    <w:name w:val="Char Char2"/>
    <w:rsid w:val="002671EB"/>
    <w:rPr>
      <w:rFonts w:ascii="Arial" w:hAnsi="Arial"/>
      <w:lang w:val="en-US" w:eastAsia="en-US" w:bidi="ar-SA"/>
    </w:rPr>
  </w:style>
  <w:style w:type="paragraph" w:styleId="TOC2">
    <w:name w:val="toc 2"/>
    <w:basedOn w:val="Normal"/>
    <w:next w:val="Normal"/>
    <w:autoRedefine/>
    <w:uiPriority w:val="39"/>
    <w:qFormat/>
    <w:rsid w:val="00DD5AB6"/>
    <w:pPr>
      <w:tabs>
        <w:tab w:val="left" w:pos="1560"/>
        <w:tab w:val="right" w:leader="dot" w:pos="9498"/>
      </w:tabs>
      <w:ind w:left="1560" w:right="-143" w:hanging="1360"/>
    </w:pPr>
    <w:rPr>
      <w:rFonts w:asciiTheme="minorHAnsi" w:eastAsia="Times New Roman" w:hAnsiTheme="minorHAnsi" w:cs="Times New Roman"/>
      <w:smallCaps/>
      <w:sz w:val="20"/>
      <w:lang w:val="en-US" w:eastAsia="en-US"/>
    </w:rPr>
  </w:style>
  <w:style w:type="paragraph" w:styleId="TOC1">
    <w:name w:val="toc 1"/>
    <w:basedOn w:val="Normal"/>
    <w:next w:val="Normal"/>
    <w:autoRedefine/>
    <w:uiPriority w:val="39"/>
    <w:qFormat/>
    <w:rsid w:val="00211983"/>
    <w:pPr>
      <w:tabs>
        <w:tab w:val="left" w:pos="426"/>
        <w:tab w:val="right" w:leader="dot" w:pos="9498"/>
      </w:tabs>
      <w:spacing w:before="120" w:after="120"/>
      <w:ind w:left="426" w:right="-143" w:hanging="426"/>
    </w:pPr>
    <w:rPr>
      <w:rFonts w:asciiTheme="minorHAnsi" w:eastAsia="Times New Roman" w:hAnsiTheme="minorHAnsi" w:cs="Times New Roman"/>
      <w:bCs/>
      <w:caps/>
      <w:noProof/>
      <w:szCs w:val="22"/>
      <w:lang w:val="en-US" w:eastAsia="en-US"/>
    </w:rPr>
  </w:style>
  <w:style w:type="paragraph" w:customStyle="1" w:styleId="Indicators">
    <w:name w:val="Indicators"/>
    <w:basedOn w:val="Normal"/>
    <w:link w:val="IndicatorsChar"/>
    <w:rsid w:val="002671EB"/>
    <w:pPr>
      <w:spacing w:before="120"/>
      <w:ind w:left="284" w:right="170"/>
    </w:pPr>
    <w:rPr>
      <w:rFonts w:eastAsia="Times New Roman" w:cs="Times New Roman"/>
      <w:sz w:val="20"/>
      <w:lang w:val="en-US" w:eastAsia="en-US"/>
    </w:rPr>
  </w:style>
  <w:style w:type="character" w:customStyle="1" w:styleId="IndicatorsChar">
    <w:name w:val="Indicators Char"/>
    <w:link w:val="Indicators"/>
    <w:rsid w:val="002671EB"/>
    <w:rPr>
      <w:rFonts w:ascii="Arial" w:hAnsi="Arial"/>
    </w:rPr>
  </w:style>
  <w:style w:type="paragraph" w:customStyle="1" w:styleId="preparedby">
    <w:name w:val="prepared by"/>
    <w:basedOn w:val="Normal"/>
    <w:next w:val="Normal"/>
    <w:rsid w:val="002671EB"/>
    <w:pPr>
      <w:spacing w:after="480" w:line="260" w:lineRule="exact"/>
      <w:ind w:left="1021"/>
    </w:pPr>
    <w:rPr>
      <w:rFonts w:eastAsia="Times New Roman" w:cs="Times New Roman"/>
      <w:i/>
      <w:sz w:val="20"/>
      <w:lang w:val="en-US" w:eastAsia="en-US"/>
    </w:rPr>
  </w:style>
  <w:style w:type="paragraph" w:customStyle="1" w:styleId="Documenttitle">
    <w:name w:val="Document title"/>
    <w:basedOn w:val="Normal"/>
    <w:rsid w:val="002671EB"/>
    <w:pPr>
      <w:spacing w:before="1200" w:after="120" w:line="260" w:lineRule="exact"/>
      <w:ind w:left="1021"/>
    </w:pPr>
    <w:rPr>
      <w:rFonts w:eastAsia="Times New Roman" w:cs="Times New Roman"/>
      <w:b/>
      <w:caps/>
      <w:sz w:val="20"/>
      <w:lang w:val="en-US" w:eastAsia="en-US"/>
    </w:rPr>
  </w:style>
  <w:style w:type="paragraph" w:customStyle="1" w:styleId="MeetinglanguageDate">
    <w:name w:val="Meeting language &amp; Date"/>
    <w:basedOn w:val="Normal"/>
    <w:next w:val="Meetingtitle"/>
    <w:rsid w:val="002671EB"/>
    <w:pPr>
      <w:spacing w:after="1680" w:line="160" w:lineRule="exact"/>
      <w:ind w:left="1021"/>
      <w:contextualSpacing/>
      <w:jc w:val="right"/>
    </w:pPr>
    <w:rPr>
      <w:rFonts w:ascii="Arial Black" w:eastAsia="Times New Roman" w:hAnsi="Arial Black" w:cs="Times New Roman"/>
      <w:b/>
      <w:caps/>
      <w:sz w:val="15"/>
      <w:lang w:val="fr-FR" w:eastAsia="en-US"/>
    </w:rPr>
  </w:style>
  <w:style w:type="paragraph" w:customStyle="1" w:styleId="Language">
    <w:name w:val="Language"/>
    <w:basedOn w:val="Normal"/>
    <w:next w:val="Normal"/>
    <w:autoRedefine/>
    <w:rsid w:val="002671EB"/>
    <w:pPr>
      <w:spacing w:after="120" w:line="340" w:lineRule="atLeast"/>
      <w:ind w:left="1021"/>
      <w:jc w:val="right"/>
    </w:pPr>
    <w:rPr>
      <w:rFonts w:eastAsia="Times New Roman" w:cs="Times New Roman"/>
      <w:b/>
      <w:caps/>
      <w:sz w:val="40"/>
      <w:lang w:val="pt-BR" w:eastAsia="en-US"/>
    </w:rPr>
  </w:style>
  <w:style w:type="paragraph" w:customStyle="1" w:styleId="MeetingCode">
    <w:name w:val="Meeting Code"/>
    <w:basedOn w:val="MeetinglanguageDate"/>
    <w:rsid w:val="002671EB"/>
    <w:pPr>
      <w:spacing w:before="300" w:after="0"/>
    </w:pPr>
  </w:style>
  <w:style w:type="paragraph" w:customStyle="1" w:styleId="Meetingtitle">
    <w:name w:val="Meeting title"/>
    <w:basedOn w:val="Normal"/>
    <w:next w:val="Sessiontitle"/>
    <w:rsid w:val="002671EB"/>
    <w:pPr>
      <w:spacing w:after="360" w:line="336" w:lineRule="exact"/>
      <w:ind w:left="1021"/>
    </w:pPr>
    <w:rPr>
      <w:rFonts w:eastAsia="Times New Roman" w:cs="Times New Roman"/>
      <w:b/>
      <w:sz w:val="28"/>
      <w:lang w:val="fr-FR" w:eastAsia="en-US"/>
    </w:rPr>
  </w:style>
  <w:style w:type="paragraph" w:customStyle="1" w:styleId="Sessiontitle">
    <w:name w:val="Session title"/>
    <w:basedOn w:val="Meetingtitle"/>
    <w:next w:val="Meetingdateplace"/>
    <w:rsid w:val="002671EB"/>
    <w:pPr>
      <w:spacing w:after="0"/>
    </w:pPr>
    <w:rPr>
      <w:sz w:val="24"/>
    </w:rPr>
  </w:style>
  <w:style w:type="paragraph" w:customStyle="1" w:styleId="Meetingdateplace">
    <w:name w:val="Meeting date &amp; place"/>
    <w:basedOn w:val="Sessiontitle"/>
    <w:next w:val="Documenttitle"/>
    <w:rsid w:val="002671EB"/>
    <w:rPr>
      <w:lang w:val="en-US"/>
    </w:rPr>
  </w:style>
  <w:style w:type="character" w:customStyle="1" w:styleId="CharChar3">
    <w:name w:val="Char Char3"/>
    <w:rsid w:val="002671EB"/>
    <w:rPr>
      <w:rFonts w:ascii="Arial" w:hAnsi="Arial"/>
      <w:lang w:val="en-US" w:eastAsia="en-US" w:bidi="ar-SA"/>
    </w:rPr>
  </w:style>
  <w:style w:type="paragraph" w:styleId="BlockText">
    <w:name w:val="Block Text"/>
    <w:basedOn w:val="Normal"/>
    <w:rsid w:val="002671EB"/>
    <w:pPr>
      <w:spacing w:before="60" w:after="60"/>
      <w:ind w:left="266" w:right="142"/>
    </w:pPr>
    <w:rPr>
      <w:rFonts w:eastAsia="Times New Roman" w:cs="Times New Roman"/>
      <w:lang w:val="en-US" w:eastAsia="en-US"/>
    </w:rPr>
  </w:style>
  <w:style w:type="paragraph" w:customStyle="1" w:styleId="BoxText1">
    <w:name w:val="Box Text1"/>
    <w:basedOn w:val="Normal"/>
    <w:rsid w:val="002671EB"/>
    <w:pPr>
      <w:ind w:left="284"/>
    </w:pPr>
    <w:rPr>
      <w:rFonts w:eastAsia="Times New Roman" w:cs="Times New Roman"/>
      <w:snapToGrid w:val="0"/>
      <w:lang w:val="en-US" w:eastAsia="en-US"/>
    </w:rPr>
  </w:style>
  <w:style w:type="paragraph" w:customStyle="1" w:styleId="Normal1">
    <w:name w:val="Normal+1"/>
    <w:basedOn w:val="Normal"/>
    <w:next w:val="Normal"/>
    <w:rsid w:val="002671EB"/>
    <w:pPr>
      <w:autoSpaceDE w:val="0"/>
      <w:autoSpaceDN w:val="0"/>
      <w:adjustRightInd w:val="0"/>
    </w:pPr>
    <w:rPr>
      <w:rFonts w:eastAsia="Times New Roman" w:cs="Times New Roman"/>
      <w:sz w:val="20"/>
      <w:szCs w:val="24"/>
      <w:lang w:val="en-US" w:eastAsia="en-US"/>
    </w:rPr>
  </w:style>
  <w:style w:type="paragraph" w:styleId="NormalWeb">
    <w:name w:val="Normal (Web)"/>
    <w:basedOn w:val="Normal"/>
    <w:uiPriority w:val="99"/>
    <w:rsid w:val="002671EB"/>
    <w:pPr>
      <w:spacing w:before="100" w:beforeAutospacing="1" w:after="100" w:afterAutospacing="1"/>
    </w:pPr>
    <w:rPr>
      <w:rFonts w:eastAsia="Times New Roman"/>
      <w:sz w:val="18"/>
      <w:szCs w:val="18"/>
      <w:lang w:val="en-US" w:eastAsia="en-US"/>
    </w:rPr>
  </w:style>
  <w:style w:type="paragraph" w:styleId="BodyText2">
    <w:name w:val="Body Text 2"/>
    <w:basedOn w:val="Normal"/>
    <w:link w:val="BodyText2Char"/>
    <w:rsid w:val="002671EB"/>
    <w:pPr>
      <w:spacing w:after="120" w:line="480" w:lineRule="auto"/>
    </w:pPr>
    <w:rPr>
      <w:rFonts w:eastAsia="Times New Roman" w:cs="Times New Roman"/>
      <w:sz w:val="20"/>
      <w:szCs w:val="24"/>
      <w:lang w:val="en-US" w:eastAsia="en-US"/>
    </w:rPr>
  </w:style>
  <w:style w:type="character" w:customStyle="1" w:styleId="BodyText2Char">
    <w:name w:val="Body Text 2 Char"/>
    <w:basedOn w:val="DefaultParagraphFont"/>
    <w:link w:val="BodyText2"/>
    <w:rsid w:val="002671EB"/>
    <w:rPr>
      <w:rFonts w:ascii="Arial" w:hAnsi="Arial"/>
      <w:szCs w:val="24"/>
    </w:rPr>
  </w:style>
  <w:style w:type="character" w:customStyle="1" w:styleId="CharChar4">
    <w:name w:val="Char Char4"/>
    <w:rsid w:val="002671EB"/>
    <w:rPr>
      <w:rFonts w:ascii="Arial" w:hAnsi="Arial"/>
      <w:lang w:val="en-US" w:eastAsia="en-US" w:bidi="ar-SA"/>
    </w:rPr>
  </w:style>
  <w:style w:type="character" w:styleId="FollowedHyperlink">
    <w:name w:val="FollowedHyperlink"/>
    <w:rsid w:val="002671EB"/>
    <w:rPr>
      <w:color w:val="606420"/>
      <w:u w:val="single"/>
    </w:rPr>
  </w:style>
  <w:style w:type="paragraph" w:customStyle="1" w:styleId="Meetingplacedate">
    <w:name w:val="Meeting place &amp; date"/>
    <w:basedOn w:val="Sessiontitle"/>
    <w:next w:val="Documenttitle"/>
    <w:rsid w:val="002671EB"/>
    <w:rPr>
      <w:lang w:val="en-US"/>
    </w:rPr>
  </w:style>
  <w:style w:type="character" w:customStyle="1" w:styleId="CharChar6">
    <w:name w:val="Char Char6"/>
    <w:rsid w:val="002671EB"/>
    <w:rPr>
      <w:rFonts w:ascii="Arial" w:hAnsi="Arial"/>
      <w:lang w:val="en-US" w:eastAsia="en-US" w:bidi="ar-SA"/>
    </w:rPr>
  </w:style>
  <w:style w:type="character" w:customStyle="1" w:styleId="Novruzova">
    <w:name w:val="Novruzova"/>
    <w:semiHidden/>
    <w:rsid w:val="002671EB"/>
    <w:rPr>
      <w:rFonts w:ascii="Arial" w:hAnsi="Arial" w:cs="Arial"/>
      <w:color w:val="000080"/>
      <w:sz w:val="20"/>
      <w:szCs w:val="20"/>
    </w:rPr>
  </w:style>
  <w:style w:type="character" w:customStyle="1" w:styleId="description">
    <w:name w:val="description"/>
    <w:basedOn w:val="DefaultParagraphFont"/>
    <w:rsid w:val="002671EB"/>
  </w:style>
  <w:style w:type="paragraph" w:customStyle="1" w:styleId="FreeFormA">
    <w:name w:val="Free Form A"/>
    <w:rsid w:val="002671EB"/>
    <w:rPr>
      <w:rFonts w:ascii="Helvetica" w:eastAsia="ヒラギノ角ゴ Pro W3" w:hAnsi="Helvetica"/>
      <w:color w:val="000000"/>
      <w:sz w:val="24"/>
    </w:rPr>
  </w:style>
  <w:style w:type="paragraph" w:customStyle="1" w:styleId="Char">
    <w:name w:val="Char 字元 字元"/>
    <w:basedOn w:val="Normal"/>
    <w:rsid w:val="002671EB"/>
    <w:pPr>
      <w:spacing w:after="160" w:line="240" w:lineRule="exact"/>
    </w:pPr>
    <w:rPr>
      <w:rFonts w:ascii="Verdana" w:eastAsia="PMingLiU" w:hAnsi="Verdana" w:cs="Times New Roman"/>
      <w:sz w:val="20"/>
      <w:lang w:val="en-US" w:eastAsia="en-US"/>
    </w:rPr>
  </w:style>
  <w:style w:type="character" w:customStyle="1" w:styleId="underline">
    <w:name w:val="underline"/>
    <w:rsid w:val="002671EB"/>
    <w:rPr>
      <w:u w:val="single"/>
    </w:rPr>
  </w:style>
  <w:style w:type="paragraph" w:customStyle="1" w:styleId="FreeForm">
    <w:name w:val="Free Form"/>
    <w:rsid w:val="002671EB"/>
    <w:rPr>
      <w:rFonts w:eastAsia="ヒラギノ角ゴ Pro W3"/>
      <w:color w:val="000000"/>
    </w:rPr>
  </w:style>
  <w:style w:type="paragraph" w:customStyle="1" w:styleId="Heading2A">
    <w:name w:val="Heading 2 A"/>
    <w:next w:val="Normal"/>
    <w:rsid w:val="002671EB"/>
    <w:pPr>
      <w:keepNext/>
      <w:tabs>
        <w:tab w:val="left" w:pos="567"/>
        <w:tab w:val="right" w:pos="9072"/>
      </w:tabs>
      <w:ind w:left="1701" w:hanging="1701"/>
      <w:outlineLvl w:val="1"/>
    </w:pPr>
    <w:rPr>
      <w:rFonts w:ascii="Arial Bold" w:eastAsia="ヒラギノ角ゴ Pro W3" w:hAnsi="Arial Bold"/>
      <w:color w:val="000000"/>
      <w:sz w:val="22"/>
    </w:rPr>
  </w:style>
  <w:style w:type="paragraph" w:customStyle="1" w:styleId="Normal-Header">
    <w:name w:val="Normal-Header"/>
    <w:rsid w:val="002671EB"/>
    <w:rPr>
      <w:rFonts w:ascii="Arial" w:hAnsi="Arial"/>
      <w:sz w:val="16"/>
    </w:rPr>
  </w:style>
  <w:style w:type="character" w:styleId="PlaceholderText">
    <w:name w:val="Placeholder Text"/>
    <w:basedOn w:val="DefaultParagraphFont"/>
    <w:uiPriority w:val="99"/>
    <w:semiHidden/>
    <w:rsid w:val="002671EB"/>
    <w:rPr>
      <w:color w:val="808080"/>
    </w:rPr>
  </w:style>
  <w:style w:type="character" w:customStyle="1" w:styleId="Style5">
    <w:name w:val="Style5"/>
    <w:basedOn w:val="DefaultParagraphFont"/>
    <w:uiPriority w:val="99"/>
    <w:rsid w:val="002671EB"/>
    <w:rPr>
      <w:rFonts w:asciiTheme="minorHAnsi" w:hAnsiTheme="minorHAnsi"/>
      <w:sz w:val="20"/>
    </w:rPr>
  </w:style>
  <w:style w:type="paragraph" w:styleId="Revision">
    <w:name w:val="Revision"/>
    <w:hidden/>
    <w:uiPriority w:val="99"/>
    <w:semiHidden/>
    <w:rsid w:val="002671EB"/>
    <w:rPr>
      <w:rFonts w:ascii="Arial" w:hAnsi="Arial"/>
      <w:szCs w:val="24"/>
    </w:rPr>
  </w:style>
  <w:style w:type="paragraph" w:styleId="TOCHeading">
    <w:name w:val="TOC Heading"/>
    <w:basedOn w:val="Heading1"/>
    <w:next w:val="Normal"/>
    <w:uiPriority w:val="39"/>
    <w:unhideWhenUsed/>
    <w:qFormat/>
    <w:rsid w:val="002671EB"/>
    <w:pPr>
      <w:keepLines/>
      <w:spacing w:before="480" w:after="0" w:line="276" w:lineRule="auto"/>
      <w:outlineLvl w:val="9"/>
    </w:pPr>
    <w:rPr>
      <w:rFonts w:asciiTheme="majorHAnsi" w:eastAsiaTheme="majorEastAsia" w:hAnsiTheme="majorHAnsi" w:cstheme="majorBidi"/>
      <w:caps w:val="0"/>
      <w:color w:val="365F91" w:themeColor="accent1" w:themeShade="BF"/>
      <w:kern w:val="0"/>
      <w:sz w:val="28"/>
      <w:szCs w:val="28"/>
      <w:lang w:val="en-US" w:eastAsia="ja-JP"/>
    </w:rPr>
  </w:style>
  <w:style w:type="paragraph" w:styleId="TOC3">
    <w:name w:val="toc 3"/>
    <w:basedOn w:val="Normal"/>
    <w:next w:val="Normal"/>
    <w:autoRedefine/>
    <w:uiPriority w:val="39"/>
    <w:unhideWhenUsed/>
    <w:qFormat/>
    <w:rsid w:val="008F093A"/>
    <w:pPr>
      <w:tabs>
        <w:tab w:val="left" w:pos="1712"/>
        <w:tab w:val="right" w:leader="dot" w:pos="9498"/>
      </w:tabs>
      <w:ind w:left="1701" w:right="-143" w:hanging="1301"/>
    </w:pPr>
    <w:rPr>
      <w:rFonts w:asciiTheme="minorHAnsi" w:eastAsia="Times New Roman" w:hAnsiTheme="minorHAnsi" w:cs="Times New Roman"/>
      <w:i/>
      <w:iCs/>
      <w:noProof/>
      <w:sz w:val="20"/>
      <w:lang w:val="fr-FR" w:eastAsia="en-US"/>
    </w:rPr>
  </w:style>
  <w:style w:type="paragraph" w:styleId="TOC4">
    <w:name w:val="toc 4"/>
    <w:basedOn w:val="Normal"/>
    <w:next w:val="Normal"/>
    <w:autoRedefine/>
    <w:uiPriority w:val="39"/>
    <w:rsid w:val="002671EB"/>
    <w:pPr>
      <w:ind w:left="600"/>
    </w:pPr>
    <w:rPr>
      <w:rFonts w:asciiTheme="minorHAnsi" w:eastAsia="Times New Roman" w:hAnsiTheme="minorHAnsi" w:cs="Times New Roman"/>
      <w:sz w:val="18"/>
      <w:szCs w:val="18"/>
      <w:lang w:val="en-US" w:eastAsia="en-US"/>
    </w:rPr>
  </w:style>
  <w:style w:type="paragraph" w:styleId="TOC5">
    <w:name w:val="toc 5"/>
    <w:basedOn w:val="Normal"/>
    <w:next w:val="Normal"/>
    <w:autoRedefine/>
    <w:rsid w:val="002671EB"/>
    <w:pPr>
      <w:ind w:left="800"/>
    </w:pPr>
    <w:rPr>
      <w:rFonts w:asciiTheme="minorHAnsi" w:eastAsia="Times New Roman" w:hAnsiTheme="minorHAnsi" w:cs="Times New Roman"/>
      <w:sz w:val="18"/>
      <w:szCs w:val="18"/>
      <w:lang w:val="en-US" w:eastAsia="en-US"/>
    </w:rPr>
  </w:style>
  <w:style w:type="paragraph" w:styleId="TOC6">
    <w:name w:val="toc 6"/>
    <w:basedOn w:val="Normal"/>
    <w:next w:val="Normal"/>
    <w:autoRedefine/>
    <w:rsid w:val="002671EB"/>
    <w:pPr>
      <w:ind w:left="1000"/>
    </w:pPr>
    <w:rPr>
      <w:rFonts w:asciiTheme="minorHAnsi" w:eastAsia="Times New Roman" w:hAnsiTheme="minorHAnsi" w:cs="Times New Roman"/>
      <w:sz w:val="18"/>
      <w:szCs w:val="18"/>
      <w:lang w:val="en-US" w:eastAsia="en-US"/>
    </w:rPr>
  </w:style>
  <w:style w:type="paragraph" w:styleId="TOC7">
    <w:name w:val="toc 7"/>
    <w:basedOn w:val="Normal"/>
    <w:next w:val="Normal"/>
    <w:autoRedefine/>
    <w:rsid w:val="002671EB"/>
    <w:pPr>
      <w:ind w:left="1200"/>
    </w:pPr>
    <w:rPr>
      <w:rFonts w:asciiTheme="minorHAnsi" w:eastAsia="Times New Roman" w:hAnsiTheme="minorHAnsi" w:cs="Times New Roman"/>
      <w:sz w:val="18"/>
      <w:szCs w:val="18"/>
      <w:lang w:val="en-US" w:eastAsia="en-US"/>
    </w:rPr>
  </w:style>
  <w:style w:type="paragraph" w:styleId="TOC8">
    <w:name w:val="toc 8"/>
    <w:basedOn w:val="Normal"/>
    <w:next w:val="Normal"/>
    <w:autoRedefine/>
    <w:rsid w:val="002671EB"/>
    <w:pPr>
      <w:ind w:left="1400"/>
    </w:pPr>
    <w:rPr>
      <w:rFonts w:asciiTheme="minorHAnsi" w:eastAsia="Times New Roman" w:hAnsiTheme="minorHAnsi" w:cs="Times New Roman"/>
      <w:sz w:val="18"/>
      <w:szCs w:val="18"/>
      <w:lang w:val="en-US" w:eastAsia="en-US"/>
    </w:rPr>
  </w:style>
  <w:style w:type="paragraph" w:styleId="TOC9">
    <w:name w:val="toc 9"/>
    <w:basedOn w:val="Normal"/>
    <w:next w:val="Normal"/>
    <w:autoRedefine/>
    <w:rsid w:val="002671EB"/>
    <w:pPr>
      <w:ind w:left="1600"/>
    </w:pPr>
    <w:rPr>
      <w:rFonts w:asciiTheme="minorHAnsi" w:eastAsia="Times New Roman" w:hAnsiTheme="minorHAnsi" w:cs="Times New Roman"/>
      <w:sz w:val="18"/>
      <w:szCs w:val="18"/>
      <w:lang w:val="en-US" w:eastAsia="en-US"/>
    </w:rPr>
  </w:style>
  <w:style w:type="character" w:customStyle="1" w:styleId="Heading2Char">
    <w:name w:val="Heading 2 Char"/>
    <w:link w:val="Heading2"/>
    <w:rsid w:val="002671EB"/>
    <w:rPr>
      <w:rFonts w:ascii="Arial" w:eastAsia="SimSun" w:hAnsi="Arial" w:cs="Arial"/>
      <w:bCs/>
      <w:iCs/>
      <w:caps/>
      <w:sz w:val="22"/>
      <w:szCs w:val="28"/>
      <w:lang w:val="es-ES" w:eastAsia="zh-CN"/>
    </w:rPr>
  </w:style>
  <w:style w:type="paragraph" w:styleId="PlainText">
    <w:name w:val="Plain Text"/>
    <w:basedOn w:val="Normal"/>
    <w:link w:val="PlainTextChar"/>
    <w:uiPriority w:val="99"/>
    <w:rsid w:val="002671EB"/>
    <w:rPr>
      <w:rFonts w:ascii="Courier New" w:hAnsi="Courier New" w:cs="Courier New"/>
      <w:color w:val="0000FF"/>
      <w:sz w:val="20"/>
      <w:lang w:val="en-US"/>
    </w:rPr>
  </w:style>
  <w:style w:type="character" w:customStyle="1" w:styleId="PlainTextChar">
    <w:name w:val="Plain Text Char"/>
    <w:basedOn w:val="DefaultParagraphFont"/>
    <w:link w:val="PlainText"/>
    <w:uiPriority w:val="99"/>
    <w:rsid w:val="002671EB"/>
    <w:rPr>
      <w:rFonts w:ascii="Courier New" w:eastAsia="SimSun" w:hAnsi="Courier New" w:cs="Courier New"/>
      <w:color w:val="0000FF"/>
      <w:lang w:eastAsia="zh-CN"/>
    </w:rPr>
  </w:style>
  <w:style w:type="character" w:customStyle="1" w:styleId="Heading3Char">
    <w:name w:val="Heading 3 Char"/>
    <w:basedOn w:val="DefaultParagraphFont"/>
    <w:link w:val="Heading3"/>
    <w:rsid w:val="002671EB"/>
    <w:rPr>
      <w:rFonts w:ascii="Arial" w:eastAsia="SimSun" w:hAnsi="Arial" w:cs="Arial"/>
      <w:bCs/>
      <w:sz w:val="22"/>
      <w:szCs w:val="26"/>
      <w:u w:val="single"/>
      <w:lang w:val="es-ES" w:eastAsia="zh-CN"/>
    </w:rPr>
  </w:style>
  <w:style w:type="paragraph" w:customStyle="1" w:styleId="StyleHeading3BoldNounderline">
    <w:name w:val="Style Heading 3 + Bold No underline"/>
    <w:basedOn w:val="Heading3"/>
    <w:rsid w:val="002671EB"/>
    <w:rPr>
      <w:i/>
      <w:u w:val="none"/>
      <w:lang w:val="en-US" w:eastAsia="en-US"/>
    </w:rPr>
  </w:style>
  <w:style w:type="paragraph" w:customStyle="1" w:styleId="Style1">
    <w:name w:val="Style1"/>
    <w:basedOn w:val="Normal"/>
    <w:qFormat/>
    <w:rsid w:val="002671EB"/>
    <w:pPr>
      <w:numPr>
        <w:numId w:val="7"/>
      </w:numPr>
    </w:pPr>
    <w:rPr>
      <w:rFonts w:eastAsia="Times New Roman" w:cs="Times New Roman"/>
      <w:sz w:val="20"/>
      <w:szCs w:val="24"/>
      <w:lang w:val="en-US" w:eastAsia="en-US"/>
    </w:rPr>
  </w:style>
  <w:style w:type="character" w:customStyle="1" w:styleId="SalutationChar">
    <w:name w:val="Salutation Char"/>
    <w:basedOn w:val="DefaultParagraphFont"/>
    <w:link w:val="Salutation"/>
    <w:rsid w:val="002671EB"/>
    <w:rPr>
      <w:rFonts w:ascii="Arial" w:eastAsia="SimSun" w:hAnsi="Arial" w:cs="Arial"/>
      <w:sz w:val="22"/>
      <w:lang w:val="es-ES" w:eastAsia="zh-CN"/>
    </w:rPr>
  </w:style>
  <w:style w:type="character" w:customStyle="1" w:styleId="SignatureChar">
    <w:name w:val="Signature Char"/>
    <w:basedOn w:val="DefaultParagraphFont"/>
    <w:link w:val="Signature"/>
    <w:rsid w:val="002671EB"/>
    <w:rPr>
      <w:rFonts w:ascii="Arial" w:eastAsia="SimSun" w:hAnsi="Arial" w:cs="Arial"/>
      <w:sz w:val="22"/>
      <w:lang w:val="es-ES" w:eastAsia="zh-CN"/>
    </w:rPr>
  </w:style>
  <w:style w:type="character" w:customStyle="1" w:styleId="EndnoteTextChar">
    <w:name w:val="Endnote Text Char"/>
    <w:basedOn w:val="DefaultParagraphFont"/>
    <w:link w:val="EndnoteText"/>
    <w:rsid w:val="002671EB"/>
    <w:rPr>
      <w:rFonts w:ascii="Arial" w:eastAsia="SimSun" w:hAnsi="Arial" w:cs="Arial"/>
      <w:sz w:val="18"/>
      <w:lang w:val="es-ES" w:eastAsia="zh-CN"/>
    </w:rPr>
  </w:style>
  <w:style w:type="character" w:customStyle="1" w:styleId="st">
    <w:name w:val="st"/>
    <w:basedOn w:val="DefaultParagraphFont"/>
    <w:rsid w:val="002671EB"/>
  </w:style>
  <w:style w:type="paragraph" w:styleId="NoSpacing">
    <w:name w:val="No Spacing"/>
    <w:uiPriority w:val="1"/>
    <w:qFormat/>
    <w:rsid w:val="002671EB"/>
    <w:rPr>
      <w:rFonts w:asciiTheme="minorHAnsi" w:eastAsiaTheme="minorHAnsi" w:hAnsiTheme="minorHAnsi" w:cstheme="minorBidi"/>
      <w:sz w:val="22"/>
      <w:szCs w:val="22"/>
    </w:rPr>
  </w:style>
  <w:style w:type="paragraph" w:customStyle="1" w:styleId="StyleStyleHeading3ComplexItalicLatin12pt">
    <w:name w:val="Style Style Heading 3 + (Complex) Italic + (Latin) 12 pt"/>
    <w:basedOn w:val="Normal"/>
    <w:link w:val="StyleStyleHeading3ComplexItalicLatin12ptChar"/>
    <w:rsid w:val="002671EB"/>
    <w:pPr>
      <w:keepNext/>
      <w:tabs>
        <w:tab w:val="left" w:pos="1985"/>
      </w:tabs>
      <w:outlineLvl w:val="2"/>
    </w:pPr>
    <w:rPr>
      <w:rFonts w:eastAsia="Times New Roman" w:cs="Times New Roman"/>
      <w:b/>
      <w:iCs/>
      <w:caps/>
      <w:sz w:val="20"/>
      <w:szCs w:val="22"/>
      <w:lang w:val="en-US" w:eastAsia="en-US"/>
    </w:rPr>
  </w:style>
  <w:style w:type="character" w:customStyle="1" w:styleId="StyleStyleHeading3ComplexItalicLatin12ptChar">
    <w:name w:val="Style Style Heading 3 + (Complex) Italic + (Latin) 12 pt Char"/>
    <w:basedOn w:val="DefaultParagraphFont"/>
    <w:link w:val="StyleStyleHeading3ComplexItalicLatin12pt"/>
    <w:rsid w:val="002671EB"/>
    <w:rPr>
      <w:rFonts w:ascii="Arial" w:hAnsi="Arial"/>
      <w:b/>
      <w:iCs/>
      <w:caps/>
      <w:szCs w:val="22"/>
    </w:rPr>
  </w:style>
  <w:style w:type="paragraph" w:customStyle="1" w:styleId="Test">
    <w:name w:val="Test"/>
    <w:basedOn w:val="Normal"/>
    <w:qFormat/>
    <w:rsid w:val="002671EB"/>
    <w:pPr>
      <w:numPr>
        <w:numId w:val="8"/>
      </w:numPr>
    </w:pPr>
    <w:rPr>
      <w:rFonts w:eastAsiaTheme="minorHAnsi"/>
      <w:szCs w:val="22"/>
      <w:lang w:val="en-US" w:eastAsia="en-US"/>
    </w:rPr>
  </w:style>
  <w:style w:type="paragraph" w:customStyle="1" w:styleId="StyleHeading214ptAuto">
    <w:name w:val="Style Heading 2 + 14 pt Auto"/>
    <w:basedOn w:val="Heading2"/>
    <w:rsid w:val="002671EB"/>
    <w:pPr>
      <w:keepNext w:val="0"/>
      <w:widowControl w:val="0"/>
      <w:tabs>
        <w:tab w:val="num" w:pos="567"/>
      </w:tabs>
      <w:spacing w:before="0" w:after="0" w:line="300" w:lineRule="atLeast"/>
      <w:ind w:left="567" w:hanging="567"/>
      <w:jc w:val="center"/>
    </w:pPr>
    <w:rPr>
      <w:rFonts w:ascii="Arial Bold" w:eastAsia="Times New Roman" w:hAnsi="Arial Bold" w:cs="Times New Roman"/>
      <w:b/>
      <w:sz w:val="24"/>
      <w:lang w:val="en-GB" w:eastAsia="da-DK"/>
    </w:rPr>
  </w:style>
  <w:style w:type="character" w:customStyle="1" w:styleId="preferred">
    <w:name w:val="preferred"/>
    <w:basedOn w:val="DefaultParagraphFont"/>
    <w:rsid w:val="00B84891"/>
  </w:style>
  <w:style w:type="character" w:styleId="EndnoteReference">
    <w:name w:val="endnote reference"/>
    <w:basedOn w:val="DefaultParagraphFont"/>
    <w:uiPriority w:val="99"/>
    <w:unhideWhenUsed/>
    <w:rsid w:val="0095318C"/>
    <w:rPr>
      <w:vertAlign w:val="superscript"/>
    </w:rPr>
  </w:style>
  <w:style w:type="character" w:styleId="HTMLCite">
    <w:name w:val="HTML Cite"/>
    <w:basedOn w:val="DefaultParagraphFont"/>
    <w:uiPriority w:val="99"/>
    <w:unhideWhenUsed/>
    <w:rsid w:val="0095318C"/>
    <w:rPr>
      <w:i/>
      <w:iCs/>
    </w:rPr>
  </w:style>
  <w:style w:type="character" w:customStyle="1" w:styleId="admitted">
    <w:name w:val="admitted"/>
    <w:basedOn w:val="DefaultParagraphFont"/>
    <w:rsid w:val="00221F0B"/>
  </w:style>
  <w:style w:type="character" w:styleId="Strong">
    <w:name w:val="Strong"/>
    <w:basedOn w:val="DefaultParagraphFont"/>
    <w:uiPriority w:val="22"/>
    <w:qFormat/>
    <w:rsid w:val="00EB45DE"/>
    <w:rPr>
      <w:b/>
      <w:bCs/>
    </w:rPr>
  </w:style>
  <w:style w:type="paragraph" w:customStyle="1" w:styleId="StyleHeading3ComplexItalic">
    <w:name w:val="Style Heading 3 + (Complex) Italic"/>
    <w:basedOn w:val="Heading3"/>
    <w:link w:val="StyleHeading3ComplexItalicChar"/>
    <w:rsid w:val="00EB45DE"/>
    <w:pPr>
      <w:tabs>
        <w:tab w:val="left" w:pos="1985"/>
      </w:tabs>
      <w:spacing w:before="0" w:after="0"/>
    </w:pPr>
    <w:rPr>
      <w:rFonts w:eastAsia="Times New Roman"/>
      <w:b/>
      <w:bCs w:val="0"/>
      <w:iCs/>
      <w:caps/>
      <w:szCs w:val="22"/>
      <w:u w:val="none"/>
      <w:lang w:val="en-US" w:eastAsia="en-US"/>
    </w:rPr>
  </w:style>
  <w:style w:type="character" w:customStyle="1" w:styleId="StyleHeading3ComplexItalicChar">
    <w:name w:val="Style Heading 3 + (Complex) Italic Char"/>
    <w:link w:val="StyleHeading3ComplexItalic"/>
    <w:rsid w:val="00EB45DE"/>
    <w:rPr>
      <w:rFonts w:ascii="Arial" w:hAnsi="Arial" w:cs="Arial"/>
      <w:b/>
      <w:iCs/>
      <w:caps/>
      <w:sz w:val="22"/>
      <w:szCs w:val="22"/>
    </w:rPr>
  </w:style>
  <w:style w:type="character" w:customStyle="1" w:styleId="Heading4Char">
    <w:name w:val="Heading 4 Char"/>
    <w:basedOn w:val="DefaultParagraphFont"/>
    <w:link w:val="Heading4"/>
    <w:rsid w:val="00EB45DE"/>
    <w:rPr>
      <w:rFonts w:ascii="Arial" w:eastAsia="SimSun" w:hAnsi="Arial" w:cs="Arial"/>
      <w:bCs/>
      <w:i/>
      <w:sz w:val="22"/>
      <w:szCs w:val="28"/>
      <w:lang w:val="es-ES" w:eastAsia="zh-CN"/>
    </w:rPr>
  </w:style>
  <w:style w:type="character" w:customStyle="1" w:styleId="hps">
    <w:name w:val="hps"/>
    <w:basedOn w:val="DefaultParagraphFont"/>
    <w:rsid w:val="00EB45DE"/>
  </w:style>
  <w:style w:type="paragraph" w:customStyle="1" w:styleId="Normal-table">
    <w:name w:val="Normal-table"/>
    <w:rsid w:val="00EB45DE"/>
    <w:rPr>
      <w:rFonts w:ascii="Arial" w:eastAsia="Batang" w:hAnsi="Arial"/>
    </w:rPr>
  </w:style>
  <w:style w:type="paragraph" w:customStyle="1" w:styleId="CharCharCharChar2">
    <w:name w:val="Char Char Char Char2"/>
    <w:basedOn w:val="Normal"/>
    <w:rsid w:val="00EB45DE"/>
    <w:pPr>
      <w:spacing w:after="160" w:line="240" w:lineRule="exact"/>
    </w:pPr>
    <w:rPr>
      <w:rFonts w:ascii="Verdana" w:eastAsia="Times New Roman" w:hAnsi="Verdana" w:cs="Times New Roman"/>
      <w:sz w:val="20"/>
      <w:lang w:val="en-GB" w:eastAsia="en-US"/>
    </w:rPr>
  </w:style>
  <w:style w:type="paragraph" w:customStyle="1" w:styleId="CharCharCharChar1">
    <w:name w:val="Char Char Char Char1"/>
    <w:basedOn w:val="Normal"/>
    <w:rsid w:val="00EB45DE"/>
    <w:pPr>
      <w:spacing w:after="160" w:line="240" w:lineRule="exact"/>
    </w:pPr>
    <w:rPr>
      <w:rFonts w:ascii="Verdana" w:eastAsia="Times New Roman" w:hAnsi="Verdana" w:cs="Times New Roman"/>
      <w:sz w:val="20"/>
      <w:lang w:val="en-GB" w:eastAsia="en-US"/>
    </w:rPr>
  </w:style>
  <w:style w:type="character" w:customStyle="1" w:styleId="CharChar1">
    <w:name w:val="Char Char1"/>
    <w:locked/>
    <w:rsid w:val="00EB45DE"/>
    <w:rPr>
      <w:rFonts w:ascii="Arial" w:hAnsi="Arial" w:cs="Times New Roman"/>
      <w:lang w:val="en-US" w:eastAsia="en-US" w:bidi="ar-SA"/>
    </w:rPr>
  </w:style>
  <w:style w:type="paragraph" w:customStyle="1" w:styleId="CarCar1">
    <w:name w:val="Car Car1"/>
    <w:basedOn w:val="Normal"/>
    <w:rsid w:val="00EB45DE"/>
    <w:pPr>
      <w:spacing w:after="160" w:line="240" w:lineRule="exact"/>
    </w:pPr>
    <w:rPr>
      <w:rFonts w:ascii="Verdana" w:eastAsia="Times New Roman" w:hAnsi="Verdana" w:cs="Times New Roman"/>
      <w:sz w:val="20"/>
      <w:lang w:val="en-GB" w:eastAsia="en-US"/>
    </w:rPr>
  </w:style>
  <w:style w:type="character" w:customStyle="1" w:styleId="CharChar21">
    <w:name w:val="Char Char21"/>
    <w:rsid w:val="00EB45DE"/>
    <w:rPr>
      <w:rFonts w:ascii="Arial" w:hAnsi="Arial"/>
      <w:lang w:val="en-US" w:eastAsia="en-US" w:bidi="ar-SA"/>
    </w:rPr>
  </w:style>
  <w:style w:type="character" w:customStyle="1" w:styleId="CharChar31">
    <w:name w:val="Char Char31"/>
    <w:rsid w:val="00EB45DE"/>
    <w:rPr>
      <w:rFonts w:ascii="Arial" w:hAnsi="Arial"/>
      <w:lang w:val="en-US" w:eastAsia="en-US" w:bidi="ar-SA"/>
    </w:rPr>
  </w:style>
  <w:style w:type="character" w:customStyle="1" w:styleId="CharChar41">
    <w:name w:val="Char Char41"/>
    <w:rsid w:val="00EB45DE"/>
    <w:rPr>
      <w:rFonts w:ascii="Arial" w:hAnsi="Arial"/>
      <w:lang w:val="en-US" w:eastAsia="en-US" w:bidi="ar-SA"/>
    </w:rPr>
  </w:style>
  <w:style w:type="character" w:customStyle="1" w:styleId="CharChar61">
    <w:name w:val="Char Char61"/>
    <w:rsid w:val="00EB45DE"/>
    <w:rPr>
      <w:rFonts w:ascii="Arial" w:hAnsi="Arial"/>
      <w:lang w:val="en-US" w:eastAsia="en-US" w:bidi="ar-SA"/>
    </w:rPr>
  </w:style>
  <w:style w:type="paragraph" w:customStyle="1" w:styleId="Char1">
    <w:name w:val="Char 字元 字元1"/>
    <w:basedOn w:val="Normal"/>
    <w:rsid w:val="00EB45DE"/>
    <w:pPr>
      <w:spacing w:after="160" w:line="240" w:lineRule="exact"/>
    </w:pPr>
    <w:rPr>
      <w:rFonts w:ascii="Verdana" w:eastAsia="PMingLiU" w:hAnsi="Verdana" w:cs="Times New Roman"/>
      <w:sz w:val="20"/>
      <w:lang w:val="en-US" w:eastAsia="en-US"/>
    </w:rPr>
  </w:style>
  <w:style w:type="table" w:customStyle="1" w:styleId="TableGrid1">
    <w:name w:val="Table Grid1"/>
    <w:basedOn w:val="TableNormal"/>
    <w:next w:val="TableGrid"/>
    <w:uiPriority w:val="59"/>
    <w:rsid w:val="00EB45D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ofdocument">
    <w:name w:val="End of document"/>
    <w:basedOn w:val="Normal"/>
    <w:rsid w:val="00EB45DE"/>
    <w:pPr>
      <w:ind w:left="4536"/>
      <w:jc w:val="center"/>
    </w:pPr>
    <w:rPr>
      <w:rFonts w:ascii="Times New Roman" w:eastAsia="Times New Roman" w:hAnsi="Times New Roman" w:cs="Times New Roman"/>
      <w:sz w:val="24"/>
      <w:lang w:val="en-US" w:eastAsia="en-US"/>
    </w:rPr>
  </w:style>
  <w:style w:type="numbering" w:customStyle="1" w:styleId="NoList1">
    <w:name w:val="No List1"/>
    <w:next w:val="NoList"/>
    <w:uiPriority w:val="99"/>
    <w:semiHidden/>
    <w:unhideWhenUsed/>
    <w:rsid w:val="00CA682E"/>
  </w:style>
  <w:style w:type="table" w:customStyle="1" w:styleId="TableGrid2">
    <w:name w:val="Table Grid2"/>
    <w:basedOn w:val="TableNormal"/>
    <w:next w:val="TableGrid"/>
    <w:rsid w:val="00CA68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d">
    <w:name w:val="std"/>
    <w:basedOn w:val="Normal"/>
    <w:rsid w:val="003E311F"/>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105.emf"/><Relationship Id="rId21" Type="http://schemas.openxmlformats.org/officeDocument/2006/relationships/image" Target="media/image9.emf"/><Relationship Id="rId42" Type="http://schemas.openxmlformats.org/officeDocument/2006/relationships/image" Target="media/image30.emf"/><Relationship Id="rId63" Type="http://schemas.openxmlformats.org/officeDocument/2006/relationships/image" Target="media/image51.emf"/><Relationship Id="rId84" Type="http://schemas.openxmlformats.org/officeDocument/2006/relationships/image" Target="media/image72.emf"/><Relationship Id="rId138" Type="http://schemas.openxmlformats.org/officeDocument/2006/relationships/image" Target="media/image126.emf"/><Relationship Id="rId159" Type="http://schemas.openxmlformats.org/officeDocument/2006/relationships/image" Target="media/image147.emf"/><Relationship Id="rId170" Type="http://schemas.openxmlformats.org/officeDocument/2006/relationships/image" Target="media/image157.emf"/><Relationship Id="rId191" Type="http://schemas.openxmlformats.org/officeDocument/2006/relationships/image" Target="media/image178.emf"/><Relationship Id="rId205" Type="http://schemas.openxmlformats.org/officeDocument/2006/relationships/footer" Target="footer6.xml"/><Relationship Id="rId16" Type="http://schemas.openxmlformats.org/officeDocument/2006/relationships/image" Target="media/image4.emf"/><Relationship Id="rId107" Type="http://schemas.openxmlformats.org/officeDocument/2006/relationships/image" Target="media/image95.emf"/><Relationship Id="rId11" Type="http://schemas.openxmlformats.org/officeDocument/2006/relationships/header" Target="header2.xml"/><Relationship Id="rId32" Type="http://schemas.openxmlformats.org/officeDocument/2006/relationships/image" Target="media/image20.emf"/><Relationship Id="rId37" Type="http://schemas.openxmlformats.org/officeDocument/2006/relationships/image" Target="media/image25.emf"/><Relationship Id="rId53" Type="http://schemas.openxmlformats.org/officeDocument/2006/relationships/image" Target="media/image41.emf"/><Relationship Id="rId58" Type="http://schemas.openxmlformats.org/officeDocument/2006/relationships/image" Target="media/image46.emf"/><Relationship Id="rId74" Type="http://schemas.openxmlformats.org/officeDocument/2006/relationships/image" Target="media/image62.emf"/><Relationship Id="rId79" Type="http://schemas.openxmlformats.org/officeDocument/2006/relationships/image" Target="media/image67.emf"/><Relationship Id="rId102" Type="http://schemas.openxmlformats.org/officeDocument/2006/relationships/image" Target="media/image90.emf"/><Relationship Id="rId123" Type="http://schemas.openxmlformats.org/officeDocument/2006/relationships/image" Target="media/image111.emf"/><Relationship Id="rId128" Type="http://schemas.openxmlformats.org/officeDocument/2006/relationships/image" Target="media/image116.emf"/><Relationship Id="rId144" Type="http://schemas.openxmlformats.org/officeDocument/2006/relationships/image" Target="media/image132.emf"/><Relationship Id="rId149" Type="http://schemas.openxmlformats.org/officeDocument/2006/relationships/image" Target="media/image137.emf"/><Relationship Id="rId5" Type="http://schemas.openxmlformats.org/officeDocument/2006/relationships/settings" Target="settings.xml"/><Relationship Id="rId90" Type="http://schemas.openxmlformats.org/officeDocument/2006/relationships/image" Target="media/image78.emf"/><Relationship Id="rId95" Type="http://schemas.openxmlformats.org/officeDocument/2006/relationships/image" Target="media/image83.emf"/><Relationship Id="rId160" Type="http://schemas.openxmlformats.org/officeDocument/2006/relationships/image" Target="media/image148.emf"/><Relationship Id="rId165" Type="http://schemas.openxmlformats.org/officeDocument/2006/relationships/image" Target="media/image152.emf"/><Relationship Id="rId181" Type="http://schemas.openxmlformats.org/officeDocument/2006/relationships/image" Target="media/image168.emf"/><Relationship Id="rId186" Type="http://schemas.openxmlformats.org/officeDocument/2006/relationships/image" Target="media/image173.emf"/><Relationship Id="rId22" Type="http://schemas.openxmlformats.org/officeDocument/2006/relationships/image" Target="media/image10.emf"/><Relationship Id="rId27" Type="http://schemas.openxmlformats.org/officeDocument/2006/relationships/image" Target="media/image15.emf"/><Relationship Id="rId43" Type="http://schemas.openxmlformats.org/officeDocument/2006/relationships/image" Target="media/image31.emf"/><Relationship Id="rId48" Type="http://schemas.openxmlformats.org/officeDocument/2006/relationships/image" Target="media/image36.emf"/><Relationship Id="rId64" Type="http://schemas.openxmlformats.org/officeDocument/2006/relationships/image" Target="media/image52.emf"/><Relationship Id="rId69" Type="http://schemas.openxmlformats.org/officeDocument/2006/relationships/image" Target="media/image57.emf"/><Relationship Id="rId113" Type="http://schemas.openxmlformats.org/officeDocument/2006/relationships/image" Target="media/image101.emf"/><Relationship Id="rId118" Type="http://schemas.openxmlformats.org/officeDocument/2006/relationships/image" Target="media/image106.emf"/><Relationship Id="rId134" Type="http://schemas.openxmlformats.org/officeDocument/2006/relationships/image" Target="media/image122.png"/><Relationship Id="rId139" Type="http://schemas.openxmlformats.org/officeDocument/2006/relationships/image" Target="media/image127.emf"/><Relationship Id="rId80" Type="http://schemas.openxmlformats.org/officeDocument/2006/relationships/image" Target="media/image68.emf"/><Relationship Id="rId85" Type="http://schemas.openxmlformats.org/officeDocument/2006/relationships/image" Target="media/image73.emf"/><Relationship Id="rId150" Type="http://schemas.openxmlformats.org/officeDocument/2006/relationships/image" Target="media/image138.emf"/><Relationship Id="rId155" Type="http://schemas.openxmlformats.org/officeDocument/2006/relationships/image" Target="media/image143.emf"/><Relationship Id="rId171" Type="http://schemas.openxmlformats.org/officeDocument/2006/relationships/image" Target="media/image158.emf"/><Relationship Id="rId176" Type="http://schemas.openxmlformats.org/officeDocument/2006/relationships/image" Target="media/image163.emf"/><Relationship Id="rId192" Type="http://schemas.openxmlformats.org/officeDocument/2006/relationships/image" Target="media/image179.emf"/><Relationship Id="rId197" Type="http://schemas.openxmlformats.org/officeDocument/2006/relationships/footer" Target="footer2.xml"/><Relationship Id="rId206" Type="http://schemas.openxmlformats.org/officeDocument/2006/relationships/fontTable" Target="fontTable.xml"/><Relationship Id="rId201" Type="http://schemas.openxmlformats.org/officeDocument/2006/relationships/header" Target="header7.xml"/><Relationship Id="rId12" Type="http://schemas.openxmlformats.org/officeDocument/2006/relationships/footer" Target="footer1.xml"/><Relationship Id="rId17" Type="http://schemas.openxmlformats.org/officeDocument/2006/relationships/image" Target="media/image5.emf"/><Relationship Id="rId33" Type="http://schemas.openxmlformats.org/officeDocument/2006/relationships/image" Target="media/image21.emf"/><Relationship Id="rId38" Type="http://schemas.openxmlformats.org/officeDocument/2006/relationships/image" Target="media/image26.emf"/><Relationship Id="rId59" Type="http://schemas.openxmlformats.org/officeDocument/2006/relationships/image" Target="media/image47.emf"/><Relationship Id="rId103" Type="http://schemas.openxmlformats.org/officeDocument/2006/relationships/image" Target="media/image91.emf"/><Relationship Id="rId108" Type="http://schemas.openxmlformats.org/officeDocument/2006/relationships/image" Target="media/image96.emf"/><Relationship Id="rId124" Type="http://schemas.openxmlformats.org/officeDocument/2006/relationships/image" Target="media/image112.emf"/><Relationship Id="rId129" Type="http://schemas.openxmlformats.org/officeDocument/2006/relationships/image" Target="media/image117.emf"/><Relationship Id="rId54" Type="http://schemas.openxmlformats.org/officeDocument/2006/relationships/image" Target="media/image42.emf"/><Relationship Id="rId70" Type="http://schemas.openxmlformats.org/officeDocument/2006/relationships/image" Target="media/image58.emf"/><Relationship Id="rId75" Type="http://schemas.openxmlformats.org/officeDocument/2006/relationships/image" Target="media/image63.emf"/><Relationship Id="rId91" Type="http://schemas.openxmlformats.org/officeDocument/2006/relationships/image" Target="media/image79.emf"/><Relationship Id="rId96" Type="http://schemas.openxmlformats.org/officeDocument/2006/relationships/image" Target="media/image84.emf"/><Relationship Id="rId140" Type="http://schemas.openxmlformats.org/officeDocument/2006/relationships/image" Target="media/image128.emf"/><Relationship Id="rId145" Type="http://schemas.openxmlformats.org/officeDocument/2006/relationships/image" Target="media/image133.emf"/><Relationship Id="rId161" Type="http://schemas.openxmlformats.org/officeDocument/2006/relationships/hyperlink" Target="http://www.wipo.int/meetings/en/details.jsp?meeting_id=35262" TargetMode="External"/><Relationship Id="rId166" Type="http://schemas.openxmlformats.org/officeDocument/2006/relationships/image" Target="media/image153.emf"/><Relationship Id="rId182" Type="http://schemas.openxmlformats.org/officeDocument/2006/relationships/image" Target="media/image169.emf"/><Relationship Id="rId187" Type="http://schemas.openxmlformats.org/officeDocument/2006/relationships/image" Target="media/image174.emf"/><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11.emf"/><Relationship Id="rId28" Type="http://schemas.openxmlformats.org/officeDocument/2006/relationships/image" Target="media/image16.emf"/><Relationship Id="rId49" Type="http://schemas.openxmlformats.org/officeDocument/2006/relationships/image" Target="media/image37.emf"/><Relationship Id="rId114" Type="http://schemas.openxmlformats.org/officeDocument/2006/relationships/image" Target="media/image102.emf"/><Relationship Id="rId119" Type="http://schemas.openxmlformats.org/officeDocument/2006/relationships/image" Target="media/image107.emf"/><Relationship Id="rId44" Type="http://schemas.openxmlformats.org/officeDocument/2006/relationships/image" Target="media/image32.emf"/><Relationship Id="rId60" Type="http://schemas.openxmlformats.org/officeDocument/2006/relationships/image" Target="media/image48.emf"/><Relationship Id="rId65" Type="http://schemas.openxmlformats.org/officeDocument/2006/relationships/image" Target="media/image53.emf"/><Relationship Id="rId81" Type="http://schemas.openxmlformats.org/officeDocument/2006/relationships/image" Target="media/image69.emf"/><Relationship Id="rId86" Type="http://schemas.openxmlformats.org/officeDocument/2006/relationships/image" Target="media/image74.emf"/><Relationship Id="rId130" Type="http://schemas.openxmlformats.org/officeDocument/2006/relationships/image" Target="media/image118.emf"/><Relationship Id="rId135" Type="http://schemas.openxmlformats.org/officeDocument/2006/relationships/image" Target="media/image123.emf"/><Relationship Id="rId151" Type="http://schemas.openxmlformats.org/officeDocument/2006/relationships/image" Target="media/image139.emf"/><Relationship Id="rId156" Type="http://schemas.openxmlformats.org/officeDocument/2006/relationships/image" Target="media/image144.emf"/><Relationship Id="rId177" Type="http://schemas.openxmlformats.org/officeDocument/2006/relationships/image" Target="media/image164.emf"/><Relationship Id="rId198" Type="http://schemas.openxmlformats.org/officeDocument/2006/relationships/footer" Target="footer3.xml"/><Relationship Id="rId172" Type="http://schemas.openxmlformats.org/officeDocument/2006/relationships/image" Target="media/image159.emf"/><Relationship Id="rId193" Type="http://schemas.openxmlformats.org/officeDocument/2006/relationships/image" Target="media/image180.emf"/><Relationship Id="rId202" Type="http://schemas.openxmlformats.org/officeDocument/2006/relationships/header" Target="header8.xml"/><Relationship Id="rId207" Type="http://schemas.openxmlformats.org/officeDocument/2006/relationships/theme" Target="theme/theme1.xml"/><Relationship Id="rId13" Type="http://schemas.openxmlformats.org/officeDocument/2006/relationships/header" Target="header3.xml"/><Relationship Id="rId18" Type="http://schemas.openxmlformats.org/officeDocument/2006/relationships/image" Target="media/image6.emf"/><Relationship Id="rId39" Type="http://schemas.openxmlformats.org/officeDocument/2006/relationships/image" Target="media/image27.emf"/><Relationship Id="rId109" Type="http://schemas.openxmlformats.org/officeDocument/2006/relationships/image" Target="media/image97.emf"/><Relationship Id="rId34" Type="http://schemas.openxmlformats.org/officeDocument/2006/relationships/image" Target="media/image22.emf"/><Relationship Id="rId50" Type="http://schemas.openxmlformats.org/officeDocument/2006/relationships/image" Target="media/image38.emf"/><Relationship Id="rId55" Type="http://schemas.openxmlformats.org/officeDocument/2006/relationships/image" Target="media/image43.emf"/><Relationship Id="rId76" Type="http://schemas.openxmlformats.org/officeDocument/2006/relationships/image" Target="media/image64.emf"/><Relationship Id="rId97" Type="http://schemas.openxmlformats.org/officeDocument/2006/relationships/image" Target="media/image85.emf"/><Relationship Id="rId104" Type="http://schemas.openxmlformats.org/officeDocument/2006/relationships/image" Target="media/image92.emf"/><Relationship Id="rId120" Type="http://schemas.openxmlformats.org/officeDocument/2006/relationships/image" Target="media/image108.emf"/><Relationship Id="rId125" Type="http://schemas.openxmlformats.org/officeDocument/2006/relationships/image" Target="media/image113.emf"/><Relationship Id="rId141" Type="http://schemas.openxmlformats.org/officeDocument/2006/relationships/image" Target="media/image129.emf"/><Relationship Id="rId146" Type="http://schemas.openxmlformats.org/officeDocument/2006/relationships/image" Target="media/image134.emf"/><Relationship Id="rId167" Type="http://schemas.openxmlformats.org/officeDocument/2006/relationships/image" Target="media/image154.emf"/><Relationship Id="rId188" Type="http://schemas.openxmlformats.org/officeDocument/2006/relationships/image" Target="media/image175.emf"/><Relationship Id="rId7" Type="http://schemas.openxmlformats.org/officeDocument/2006/relationships/footnotes" Target="footnotes.xml"/><Relationship Id="rId71" Type="http://schemas.openxmlformats.org/officeDocument/2006/relationships/image" Target="media/image59.emf"/><Relationship Id="rId92" Type="http://schemas.openxmlformats.org/officeDocument/2006/relationships/image" Target="media/image80.emf"/><Relationship Id="rId162" Type="http://schemas.openxmlformats.org/officeDocument/2006/relationships/image" Target="media/image149.emf"/><Relationship Id="rId183" Type="http://schemas.openxmlformats.org/officeDocument/2006/relationships/image" Target="media/image170.emf"/><Relationship Id="rId2" Type="http://schemas.openxmlformats.org/officeDocument/2006/relationships/numbering" Target="numbering.xml"/><Relationship Id="rId29" Type="http://schemas.openxmlformats.org/officeDocument/2006/relationships/image" Target="media/image17.emf"/><Relationship Id="rId24" Type="http://schemas.openxmlformats.org/officeDocument/2006/relationships/image" Target="media/image12.emf"/><Relationship Id="rId40" Type="http://schemas.openxmlformats.org/officeDocument/2006/relationships/image" Target="media/image28.emf"/><Relationship Id="rId45" Type="http://schemas.openxmlformats.org/officeDocument/2006/relationships/image" Target="media/image33.emf"/><Relationship Id="rId66" Type="http://schemas.openxmlformats.org/officeDocument/2006/relationships/image" Target="media/image54.emf"/><Relationship Id="rId87" Type="http://schemas.openxmlformats.org/officeDocument/2006/relationships/image" Target="media/image75.emf"/><Relationship Id="rId110" Type="http://schemas.openxmlformats.org/officeDocument/2006/relationships/image" Target="media/image98.emf"/><Relationship Id="rId115" Type="http://schemas.openxmlformats.org/officeDocument/2006/relationships/image" Target="media/image103.emf"/><Relationship Id="rId131" Type="http://schemas.openxmlformats.org/officeDocument/2006/relationships/image" Target="media/image119.emf"/><Relationship Id="rId136" Type="http://schemas.openxmlformats.org/officeDocument/2006/relationships/image" Target="media/image124.png"/><Relationship Id="rId157" Type="http://schemas.openxmlformats.org/officeDocument/2006/relationships/image" Target="media/image145.emf"/><Relationship Id="rId178" Type="http://schemas.openxmlformats.org/officeDocument/2006/relationships/image" Target="media/image165.emf"/><Relationship Id="rId61" Type="http://schemas.openxmlformats.org/officeDocument/2006/relationships/image" Target="media/image49.emf"/><Relationship Id="rId82" Type="http://schemas.openxmlformats.org/officeDocument/2006/relationships/image" Target="media/image70.emf"/><Relationship Id="rId152" Type="http://schemas.openxmlformats.org/officeDocument/2006/relationships/image" Target="media/image140.emf"/><Relationship Id="rId173" Type="http://schemas.openxmlformats.org/officeDocument/2006/relationships/image" Target="media/image160.emf"/><Relationship Id="rId194" Type="http://schemas.openxmlformats.org/officeDocument/2006/relationships/image" Target="media/image181.emf"/><Relationship Id="rId199" Type="http://schemas.openxmlformats.org/officeDocument/2006/relationships/header" Target="header6.xml"/><Relationship Id="rId203" Type="http://schemas.openxmlformats.org/officeDocument/2006/relationships/footer" Target="footer5.xml"/><Relationship Id="rId19" Type="http://schemas.openxmlformats.org/officeDocument/2006/relationships/image" Target="media/image7.emf"/><Relationship Id="rId14" Type="http://schemas.openxmlformats.org/officeDocument/2006/relationships/image" Target="media/image2.emf"/><Relationship Id="rId30" Type="http://schemas.openxmlformats.org/officeDocument/2006/relationships/image" Target="media/image18.emf"/><Relationship Id="rId35" Type="http://schemas.openxmlformats.org/officeDocument/2006/relationships/image" Target="media/image23.emf"/><Relationship Id="rId56" Type="http://schemas.openxmlformats.org/officeDocument/2006/relationships/image" Target="media/image44.emf"/><Relationship Id="rId77" Type="http://schemas.openxmlformats.org/officeDocument/2006/relationships/image" Target="media/image65.emf"/><Relationship Id="rId100" Type="http://schemas.openxmlformats.org/officeDocument/2006/relationships/image" Target="media/image88.emf"/><Relationship Id="rId105" Type="http://schemas.openxmlformats.org/officeDocument/2006/relationships/image" Target="media/image93.emf"/><Relationship Id="rId126" Type="http://schemas.openxmlformats.org/officeDocument/2006/relationships/image" Target="media/image114.emf"/><Relationship Id="rId147" Type="http://schemas.openxmlformats.org/officeDocument/2006/relationships/image" Target="media/image135.emf"/><Relationship Id="rId168" Type="http://schemas.openxmlformats.org/officeDocument/2006/relationships/image" Target="media/image155.emf"/><Relationship Id="rId8" Type="http://schemas.openxmlformats.org/officeDocument/2006/relationships/endnotes" Target="endnotes.xml"/><Relationship Id="rId51" Type="http://schemas.openxmlformats.org/officeDocument/2006/relationships/image" Target="media/image39.emf"/><Relationship Id="rId72" Type="http://schemas.openxmlformats.org/officeDocument/2006/relationships/image" Target="media/image60.emf"/><Relationship Id="rId93" Type="http://schemas.openxmlformats.org/officeDocument/2006/relationships/image" Target="media/image81.emf"/><Relationship Id="rId98" Type="http://schemas.openxmlformats.org/officeDocument/2006/relationships/image" Target="media/image86.emf"/><Relationship Id="rId121" Type="http://schemas.openxmlformats.org/officeDocument/2006/relationships/image" Target="media/image109.emf"/><Relationship Id="rId142" Type="http://schemas.openxmlformats.org/officeDocument/2006/relationships/image" Target="media/image130.emf"/><Relationship Id="rId163" Type="http://schemas.openxmlformats.org/officeDocument/2006/relationships/image" Target="media/image150.emf"/><Relationship Id="rId184" Type="http://schemas.openxmlformats.org/officeDocument/2006/relationships/image" Target="media/image171.emf"/><Relationship Id="rId189" Type="http://schemas.openxmlformats.org/officeDocument/2006/relationships/image" Target="media/image176.emf"/><Relationship Id="rId3" Type="http://schemas.openxmlformats.org/officeDocument/2006/relationships/styles" Target="styles.xml"/><Relationship Id="rId25" Type="http://schemas.openxmlformats.org/officeDocument/2006/relationships/image" Target="media/image13.emf"/><Relationship Id="rId46" Type="http://schemas.openxmlformats.org/officeDocument/2006/relationships/image" Target="media/image34.emf"/><Relationship Id="rId67" Type="http://schemas.openxmlformats.org/officeDocument/2006/relationships/image" Target="media/image55.emf"/><Relationship Id="rId116" Type="http://schemas.openxmlformats.org/officeDocument/2006/relationships/image" Target="media/image104.emf"/><Relationship Id="rId137" Type="http://schemas.openxmlformats.org/officeDocument/2006/relationships/image" Target="media/image125.emf"/><Relationship Id="rId158" Type="http://schemas.openxmlformats.org/officeDocument/2006/relationships/image" Target="media/image146.emf"/><Relationship Id="rId20" Type="http://schemas.openxmlformats.org/officeDocument/2006/relationships/image" Target="media/image8.emf"/><Relationship Id="rId41" Type="http://schemas.openxmlformats.org/officeDocument/2006/relationships/image" Target="media/image29.emf"/><Relationship Id="rId62" Type="http://schemas.openxmlformats.org/officeDocument/2006/relationships/image" Target="media/image50.emf"/><Relationship Id="rId83" Type="http://schemas.openxmlformats.org/officeDocument/2006/relationships/image" Target="media/image71.emf"/><Relationship Id="rId88" Type="http://schemas.openxmlformats.org/officeDocument/2006/relationships/image" Target="media/image76.emf"/><Relationship Id="rId111" Type="http://schemas.openxmlformats.org/officeDocument/2006/relationships/image" Target="media/image99.emf"/><Relationship Id="rId132" Type="http://schemas.openxmlformats.org/officeDocument/2006/relationships/image" Target="media/image120.emf"/><Relationship Id="rId153" Type="http://schemas.openxmlformats.org/officeDocument/2006/relationships/image" Target="media/image141.emf"/><Relationship Id="rId174" Type="http://schemas.openxmlformats.org/officeDocument/2006/relationships/image" Target="media/image161.emf"/><Relationship Id="rId179" Type="http://schemas.openxmlformats.org/officeDocument/2006/relationships/image" Target="media/image166.emf"/><Relationship Id="rId195" Type="http://schemas.openxmlformats.org/officeDocument/2006/relationships/header" Target="header4.xml"/><Relationship Id="rId190" Type="http://schemas.openxmlformats.org/officeDocument/2006/relationships/image" Target="media/image177.emf"/><Relationship Id="rId204" Type="http://schemas.openxmlformats.org/officeDocument/2006/relationships/header" Target="header9.xml"/><Relationship Id="rId15" Type="http://schemas.openxmlformats.org/officeDocument/2006/relationships/image" Target="media/image3.emf"/><Relationship Id="rId36" Type="http://schemas.openxmlformats.org/officeDocument/2006/relationships/image" Target="media/image24.emf"/><Relationship Id="rId57" Type="http://schemas.openxmlformats.org/officeDocument/2006/relationships/image" Target="media/image45.emf"/><Relationship Id="rId106" Type="http://schemas.openxmlformats.org/officeDocument/2006/relationships/image" Target="media/image94.emf"/><Relationship Id="rId127" Type="http://schemas.openxmlformats.org/officeDocument/2006/relationships/image" Target="media/image115.emf"/><Relationship Id="rId10" Type="http://schemas.openxmlformats.org/officeDocument/2006/relationships/header" Target="header1.xml"/><Relationship Id="rId31" Type="http://schemas.openxmlformats.org/officeDocument/2006/relationships/image" Target="media/image19.emf"/><Relationship Id="rId52" Type="http://schemas.openxmlformats.org/officeDocument/2006/relationships/image" Target="media/image40.emf"/><Relationship Id="rId73" Type="http://schemas.openxmlformats.org/officeDocument/2006/relationships/image" Target="media/image61.emf"/><Relationship Id="rId78" Type="http://schemas.openxmlformats.org/officeDocument/2006/relationships/image" Target="media/image66.emf"/><Relationship Id="rId94" Type="http://schemas.openxmlformats.org/officeDocument/2006/relationships/image" Target="media/image82.emf"/><Relationship Id="rId99" Type="http://schemas.openxmlformats.org/officeDocument/2006/relationships/image" Target="media/image87.emf"/><Relationship Id="rId101" Type="http://schemas.openxmlformats.org/officeDocument/2006/relationships/image" Target="media/image89.emf"/><Relationship Id="rId122" Type="http://schemas.openxmlformats.org/officeDocument/2006/relationships/image" Target="media/image110.emf"/><Relationship Id="rId143" Type="http://schemas.openxmlformats.org/officeDocument/2006/relationships/image" Target="media/image131.emf"/><Relationship Id="rId148" Type="http://schemas.openxmlformats.org/officeDocument/2006/relationships/image" Target="media/image136.emf"/><Relationship Id="rId164" Type="http://schemas.openxmlformats.org/officeDocument/2006/relationships/image" Target="media/image151.emf"/><Relationship Id="rId169" Type="http://schemas.openxmlformats.org/officeDocument/2006/relationships/image" Target="media/image156.emf"/><Relationship Id="rId185" Type="http://schemas.openxmlformats.org/officeDocument/2006/relationships/image" Target="media/image172.emf"/><Relationship Id="rId4" Type="http://schemas.microsoft.com/office/2007/relationships/stylesWithEffects" Target="stylesWithEffects.xml"/><Relationship Id="rId9" Type="http://schemas.openxmlformats.org/officeDocument/2006/relationships/image" Target="media/image1.jpeg"/><Relationship Id="rId180" Type="http://schemas.openxmlformats.org/officeDocument/2006/relationships/image" Target="media/image167.emf"/><Relationship Id="rId26" Type="http://schemas.openxmlformats.org/officeDocument/2006/relationships/image" Target="media/image14.emf"/><Relationship Id="rId47" Type="http://schemas.openxmlformats.org/officeDocument/2006/relationships/image" Target="media/image35.emf"/><Relationship Id="rId68" Type="http://schemas.openxmlformats.org/officeDocument/2006/relationships/image" Target="media/image56.emf"/><Relationship Id="rId89" Type="http://schemas.openxmlformats.org/officeDocument/2006/relationships/image" Target="media/image77.emf"/><Relationship Id="rId112" Type="http://schemas.openxmlformats.org/officeDocument/2006/relationships/image" Target="media/image100.emf"/><Relationship Id="rId133" Type="http://schemas.openxmlformats.org/officeDocument/2006/relationships/image" Target="media/image121.png"/><Relationship Id="rId154" Type="http://schemas.openxmlformats.org/officeDocument/2006/relationships/image" Target="media/image142.emf"/><Relationship Id="rId175" Type="http://schemas.openxmlformats.org/officeDocument/2006/relationships/image" Target="media/image162.emf"/><Relationship Id="rId196" Type="http://schemas.openxmlformats.org/officeDocument/2006/relationships/header" Target="header5.xml"/><Relationship Id="rId200" Type="http://schemas.openxmlformats.org/officeDocument/2006/relationships/footer" Target="footer4.xml"/></Relationships>
</file>

<file path=word/_rels/footnotes.xml.rels><?xml version="1.0" encoding="UTF-8" standalone="yes"?>
<Relationships xmlns="http://schemas.openxmlformats.org/package/2006/relationships"><Relationship Id="rId8" Type="http://schemas.openxmlformats.org/officeDocument/2006/relationships/hyperlink" Target="http://www.wipo.int/edocs/mdocs/mdocs/en/ompi_pi_dak_15/ompi_pi_dak_15_www_319536.pdf" TargetMode="External"/><Relationship Id="rId13" Type="http://schemas.openxmlformats.org/officeDocument/2006/relationships/hyperlink" Target="http://www.wipo.int/publications/en/details.jsp?id=3893&amp;plang=EN" TargetMode="External"/><Relationship Id="rId18" Type="http://schemas.openxmlformats.org/officeDocument/2006/relationships/hyperlink" Target="http://www.wipo.int/about-wipo/en/oversight/iaod/pdf/qa_report.pdf" TargetMode="External"/><Relationship Id="rId3" Type="http://schemas.openxmlformats.org/officeDocument/2006/relationships/hyperlink" Target="file:///\\Wipogvafs01\DAT2\ORGLAN\SHARED\LANS%20New\Archivo\Fernando%20Puchol\39474\madrid.qp@wipo.int" TargetMode="External"/><Relationship Id="rId21" Type="http://schemas.openxmlformats.org/officeDocument/2006/relationships/hyperlink" Target="http://www.wipo.int/publications/en/details.jsp?id=259&amp;plang=EN" TargetMode="External"/><Relationship Id="rId7" Type="http://schemas.openxmlformats.org/officeDocument/2006/relationships/hyperlink" Target="http://www.wipo.int/cooperation/es/south_south/" TargetMode="External"/><Relationship Id="rId12" Type="http://schemas.openxmlformats.org/officeDocument/2006/relationships/hyperlink" Target="http://www.wipo.int/publications/en/details.jsp?id=3912&amp;plang=EN" TargetMode="External"/><Relationship Id="rId17" Type="http://schemas.openxmlformats.org/officeDocument/2006/relationships/hyperlink" Target="http://www.wipo.int/export/sites/www/research/en/docs/wipo_research_external_review.pdf" TargetMode="External"/><Relationship Id="rId2" Type="http://schemas.openxmlformats.org/officeDocument/2006/relationships/hyperlink" Target="http://www.wipo.int/edocs/pubdocs/en/wipo_pub_1043.pdf" TargetMode="External"/><Relationship Id="rId16" Type="http://schemas.openxmlformats.org/officeDocument/2006/relationships/hyperlink" Target="http://www.wipo.int/publications/en/details.jsp?id=3924&amp;plang=EN" TargetMode="External"/><Relationship Id="rId20" Type="http://schemas.openxmlformats.org/officeDocument/2006/relationships/hyperlink" Target="http://www.wipo.int/about-wipo/en/oversight/pdf/external_quality_assessment_wipo_investigation_function.pdf" TargetMode="External"/><Relationship Id="rId1" Type="http://schemas.openxmlformats.org/officeDocument/2006/relationships/hyperlink" Target="http://www.wipo.int/meetings/en/doc_details.jsp?doc_id=327197" TargetMode="External"/><Relationship Id="rId6" Type="http://schemas.openxmlformats.org/officeDocument/2006/relationships/hyperlink" Target="http://www.sida.se/English/publications/Publication_database/publications-by-year1/2015/march/evaluation-of-sidas-international-training-programmes-in-intellectual-property---final-report/" TargetMode="External"/><Relationship Id="rId11" Type="http://schemas.openxmlformats.org/officeDocument/2006/relationships/hyperlink" Target="http://www.wipo.int/publications/en/details.jsp?id=3887&amp;plang=EN" TargetMode="External"/><Relationship Id="rId5" Type="http://schemas.openxmlformats.org/officeDocument/2006/relationships/hyperlink" Target="http://www.wipo.int/meetings/es/doc_details.jsp?doc_id=239806" TargetMode="External"/><Relationship Id="rId15" Type="http://schemas.openxmlformats.org/officeDocument/2006/relationships/hyperlink" Target="http://www.wipo.int/publications/en/details.jsp?id=3891&amp;plang=EN" TargetMode="External"/><Relationship Id="rId10" Type="http://schemas.openxmlformats.org/officeDocument/2006/relationships/hyperlink" Target="http://www.wipo.int/edocs/mdocs/africa/en/ompi_pi_dak_15/ompi_pi_dak_15_declaration.pdf" TargetMode="External"/><Relationship Id="rId19" Type="http://schemas.openxmlformats.org/officeDocument/2006/relationships/hyperlink" Target="http://www.wipo.int/about-wipo/en/oversight/iaod/pdf/eqa_report.pdf" TargetMode="External"/><Relationship Id="rId4" Type="http://schemas.openxmlformats.org/officeDocument/2006/relationships/hyperlink" Target="http://www.wipo.int/meetings/es/doc_details.jsp?doc_id=208882" TargetMode="External"/><Relationship Id="rId9" Type="http://schemas.openxmlformats.org/officeDocument/2006/relationships/hyperlink" Target="http://www.wipo.int/export/sites/www/cooperation/es/pdf/ta_manual.pdf" TargetMode="External"/><Relationship Id="rId14" Type="http://schemas.openxmlformats.org/officeDocument/2006/relationships/hyperlink" Target="http://www.wipo.int/publications/en/details.jsp?id=3990&amp;plang=EN" TargetMode="External"/><Relationship Id="rId22" Type="http://schemas.openxmlformats.org/officeDocument/2006/relationships/hyperlink" Target="http://www.uibm.gov.it/attachments/FINAL%20Guide_for_IP%20Agri-food%20SME%20_Italian_publication_EN_GBA-Jaiya.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BUDGET\WO%20PBC%2025%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912873-9986-43DF-AB66-3CEA010BF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 PBC 25 (S)</Template>
  <TotalTime>59</TotalTime>
  <Pages>374</Pages>
  <Words>154417</Words>
  <Characters>829492</Characters>
  <Application>Microsoft Office Word</Application>
  <DocSecurity>0</DocSecurity>
  <Lines>6912</Lines>
  <Paragraphs>1963</Paragraphs>
  <ScaleCrop>false</ScaleCrop>
  <HeadingPairs>
    <vt:vector size="2" baseType="variant">
      <vt:variant>
        <vt:lpstr>Title</vt:lpstr>
      </vt:variant>
      <vt:variant>
        <vt:i4>1</vt:i4>
      </vt:variant>
    </vt:vector>
  </HeadingPairs>
  <TitlesOfParts>
    <vt:vector size="1" baseType="lpstr">
      <vt:lpstr>A/56/5 &amp; WO/PBC/25/7</vt:lpstr>
    </vt:vector>
  </TitlesOfParts>
  <Company>WIPO</Company>
  <LinksUpToDate>false</LinksUpToDate>
  <CharactersWithSpaces>981946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A/56/5 &amp; WO/PBC/25/7</dc:title>
  <dc:creator>CEVALLOS DUQUE Nilo</dc:creator>
  <cp:lastModifiedBy>MARIN-CUDRAZ DAVI Nicoletta</cp:lastModifiedBy>
  <cp:revision>11</cp:revision>
  <cp:lastPrinted>2016-07-01T12:46:00Z</cp:lastPrinted>
  <dcterms:created xsi:type="dcterms:W3CDTF">2016-07-05T14:22:00Z</dcterms:created>
  <dcterms:modified xsi:type="dcterms:W3CDTF">2016-07-06T14:49:00Z</dcterms:modified>
</cp:coreProperties>
</file>